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814F4" w14:textId="77777777" w:rsidR="00035E51" w:rsidRPr="00AD075F" w:rsidRDefault="00035E51" w:rsidP="000B3303">
      <w:pPr>
        <w:jc w:val="center"/>
        <w:rPr>
          <w:rFonts w:ascii="Times New Roman" w:hAnsi="Times New Roman"/>
          <w:color w:val="FF0000"/>
          <w:sz w:val="24"/>
          <w:szCs w:val="24"/>
        </w:rPr>
      </w:pPr>
      <w:r w:rsidRPr="00AD075F">
        <w:rPr>
          <w:noProof/>
          <w:color w:val="FF0000"/>
          <w:lang w:eastAsia="pl-PL"/>
        </w:rPr>
        <w:drawing>
          <wp:inline distT="0" distB="0" distL="0" distR="0" wp14:anchorId="2A276F0F" wp14:editId="45DC50F0">
            <wp:extent cx="3238500" cy="809625"/>
            <wp:effectExtent l="0" t="0" r="0" b="9525"/>
            <wp:docPr id="21" name="Obraz 21" descr="Ministerstwo Rodziny, Pracy i Polityki Społecz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Ministerstwo Rodziny, Pracy i Polityki Społeczne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809625"/>
                    </a:xfrm>
                    <a:prstGeom prst="rect">
                      <a:avLst/>
                    </a:prstGeom>
                    <a:noFill/>
                    <a:ln>
                      <a:noFill/>
                    </a:ln>
                  </pic:spPr>
                </pic:pic>
              </a:graphicData>
            </a:graphic>
          </wp:inline>
        </w:drawing>
      </w:r>
    </w:p>
    <w:p w14:paraId="3C487BD4" w14:textId="77777777" w:rsidR="00035E51" w:rsidRPr="00AD075F" w:rsidRDefault="00035E51" w:rsidP="003C1988">
      <w:pPr>
        <w:rPr>
          <w:rFonts w:ascii="Times New Roman" w:hAnsi="Times New Roman"/>
          <w:color w:val="FF0000"/>
          <w:sz w:val="24"/>
          <w:szCs w:val="24"/>
        </w:rPr>
      </w:pPr>
    </w:p>
    <w:p w14:paraId="43C34DC8" w14:textId="77777777" w:rsidR="00035E51" w:rsidRPr="00AD075F" w:rsidRDefault="00035E51" w:rsidP="003C1988">
      <w:pPr>
        <w:rPr>
          <w:rFonts w:ascii="Times New Roman" w:hAnsi="Times New Roman"/>
          <w:color w:val="FF0000"/>
          <w:sz w:val="24"/>
          <w:szCs w:val="24"/>
        </w:rPr>
      </w:pPr>
    </w:p>
    <w:p w14:paraId="368BBC5C" w14:textId="77777777" w:rsidR="00035E51" w:rsidRPr="00AD075F" w:rsidRDefault="00035E51" w:rsidP="003C1988">
      <w:pPr>
        <w:rPr>
          <w:rFonts w:ascii="Times New Roman" w:hAnsi="Times New Roman"/>
          <w:color w:val="FF0000"/>
          <w:sz w:val="24"/>
          <w:szCs w:val="24"/>
        </w:rPr>
      </w:pPr>
    </w:p>
    <w:p w14:paraId="29C5F2EF" w14:textId="77777777" w:rsidR="00035E51" w:rsidRPr="00AD075F" w:rsidRDefault="00035E51" w:rsidP="003C1988">
      <w:pPr>
        <w:rPr>
          <w:rFonts w:ascii="Times New Roman" w:hAnsi="Times New Roman"/>
          <w:color w:val="FF0000"/>
          <w:sz w:val="24"/>
          <w:szCs w:val="24"/>
        </w:rPr>
      </w:pPr>
    </w:p>
    <w:p w14:paraId="2A0588AD" w14:textId="77777777" w:rsidR="00035E51" w:rsidRPr="00AD075F" w:rsidRDefault="00035E51" w:rsidP="003C1988">
      <w:pPr>
        <w:rPr>
          <w:rFonts w:ascii="Times New Roman" w:hAnsi="Times New Roman"/>
          <w:color w:val="FF0000"/>
          <w:sz w:val="24"/>
          <w:szCs w:val="24"/>
        </w:rPr>
      </w:pPr>
    </w:p>
    <w:p w14:paraId="3159241F" w14:textId="77777777" w:rsidR="00035E51" w:rsidRPr="00AD075F" w:rsidRDefault="00035E51" w:rsidP="003C1988">
      <w:pPr>
        <w:rPr>
          <w:rFonts w:ascii="Garamond" w:hAnsi="Garamond"/>
          <w:color w:val="FF0000"/>
          <w:sz w:val="32"/>
          <w:szCs w:val="24"/>
        </w:rPr>
      </w:pPr>
    </w:p>
    <w:p w14:paraId="43CB99D8" w14:textId="77777777" w:rsidR="00035E51" w:rsidRPr="00E93F22" w:rsidRDefault="00035E51" w:rsidP="000B3303">
      <w:pPr>
        <w:jc w:val="center"/>
        <w:rPr>
          <w:rFonts w:ascii="Garamond" w:hAnsi="Garamond"/>
          <w:b/>
          <w:sz w:val="52"/>
          <w:szCs w:val="28"/>
        </w:rPr>
      </w:pPr>
      <w:r w:rsidRPr="00E93F22">
        <w:rPr>
          <w:rFonts w:ascii="Garamond" w:hAnsi="Garamond"/>
          <w:b/>
          <w:sz w:val="52"/>
          <w:szCs w:val="28"/>
        </w:rPr>
        <w:t>Informacja</w:t>
      </w:r>
    </w:p>
    <w:p w14:paraId="74D9D27A" w14:textId="77777777" w:rsidR="00035E51" w:rsidRPr="00E93F22" w:rsidRDefault="00035E51" w:rsidP="000B3303">
      <w:pPr>
        <w:jc w:val="center"/>
        <w:rPr>
          <w:rFonts w:ascii="Garamond" w:hAnsi="Garamond"/>
          <w:b/>
          <w:sz w:val="52"/>
          <w:szCs w:val="28"/>
        </w:rPr>
      </w:pPr>
      <w:r w:rsidRPr="00E93F22">
        <w:rPr>
          <w:rFonts w:ascii="Garamond" w:hAnsi="Garamond"/>
          <w:b/>
          <w:sz w:val="52"/>
          <w:szCs w:val="28"/>
        </w:rPr>
        <w:t>o sytuacji osób starszych w Polsce</w:t>
      </w:r>
    </w:p>
    <w:p w14:paraId="636C7872" w14:textId="77777777" w:rsidR="00035E51" w:rsidRPr="00E93F22" w:rsidRDefault="00035E51" w:rsidP="000B3303">
      <w:pPr>
        <w:jc w:val="center"/>
        <w:rPr>
          <w:rFonts w:ascii="Garamond" w:hAnsi="Garamond"/>
          <w:b/>
          <w:sz w:val="52"/>
          <w:szCs w:val="28"/>
        </w:rPr>
      </w:pPr>
      <w:r>
        <w:rPr>
          <w:rFonts w:ascii="Garamond" w:hAnsi="Garamond"/>
          <w:b/>
          <w:sz w:val="52"/>
          <w:szCs w:val="28"/>
        </w:rPr>
        <w:t>za 2019</w:t>
      </w:r>
      <w:r w:rsidRPr="00E93F22">
        <w:rPr>
          <w:rFonts w:ascii="Garamond" w:hAnsi="Garamond"/>
          <w:b/>
          <w:sz w:val="52"/>
          <w:szCs w:val="28"/>
        </w:rPr>
        <w:t xml:space="preserve"> r.</w:t>
      </w:r>
    </w:p>
    <w:p w14:paraId="53559D6E" w14:textId="77777777" w:rsidR="00035E51" w:rsidRPr="00AD075F" w:rsidRDefault="00035E51" w:rsidP="003C1988">
      <w:pPr>
        <w:ind w:left="5664" w:firstLine="708"/>
        <w:rPr>
          <w:rFonts w:ascii="Times New Roman" w:hAnsi="Times New Roman"/>
          <w:b/>
          <w:sz w:val="24"/>
          <w:szCs w:val="24"/>
        </w:rPr>
      </w:pPr>
    </w:p>
    <w:p w14:paraId="16857402" w14:textId="77777777" w:rsidR="00035E51" w:rsidRPr="00AD075F" w:rsidRDefault="00035E51" w:rsidP="003C1988">
      <w:pPr>
        <w:rPr>
          <w:rFonts w:ascii="Times New Roman" w:hAnsi="Times New Roman"/>
          <w:sz w:val="24"/>
          <w:szCs w:val="24"/>
        </w:rPr>
      </w:pPr>
    </w:p>
    <w:p w14:paraId="18C02B8C" w14:textId="77777777" w:rsidR="00035E51" w:rsidRPr="00AD075F" w:rsidRDefault="00035E51" w:rsidP="003C1988">
      <w:pPr>
        <w:rPr>
          <w:rFonts w:ascii="Times New Roman" w:hAnsi="Times New Roman"/>
          <w:sz w:val="24"/>
          <w:szCs w:val="24"/>
        </w:rPr>
      </w:pPr>
    </w:p>
    <w:p w14:paraId="1F5363E4" w14:textId="77777777" w:rsidR="00035E51" w:rsidRPr="00AD075F" w:rsidRDefault="00035E51" w:rsidP="003C1988">
      <w:pPr>
        <w:rPr>
          <w:rFonts w:ascii="Times New Roman" w:hAnsi="Times New Roman"/>
          <w:sz w:val="24"/>
          <w:szCs w:val="24"/>
        </w:rPr>
      </w:pPr>
    </w:p>
    <w:p w14:paraId="5D2BE6FC" w14:textId="77777777" w:rsidR="00035E51" w:rsidRPr="00AD075F" w:rsidRDefault="00035E51" w:rsidP="003C1988">
      <w:pPr>
        <w:rPr>
          <w:rFonts w:ascii="Times New Roman" w:hAnsi="Times New Roman"/>
          <w:sz w:val="24"/>
          <w:szCs w:val="24"/>
        </w:rPr>
      </w:pPr>
    </w:p>
    <w:p w14:paraId="7849447C" w14:textId="77777777" w:rsidR="00035E51" w:rsidRPr="00AD075F" w:rsidRDefault="00035E51" w:rsidP="003C1988">
      <w:pPr>
        <w:rPr>
          <w:rFonts w:ascii="Times New Roman" w:hAnsi="Times New Roman"/>
          <w:sz w:val="24"/>
          <w:szCs w:val="24"/>
        </w:rPr>
      </w:pPr>
    </w:p>
    <w:p w14:paraId="2DD53B50" w14:textId="77777777" w:rsidR="00035E51" w:rsidRDefault="00035E51" w:rsidP="003C1988"/>
    <w:p w14:paraId="6851460D" w14:textId="77777777" w:rsidR="00035E51" w:rsidRDefault="00035E51" w:rsidP="003C1988"/>
    <w:p w14:paraId="10F94056" w14:textId="77777777" w:rsidR="00035E51" w:rsidRDefault="00035E51" w:rsidP="003C1988"/>
    <w:p w14:paraId="4525CE07" w14:textId="77777777" w:rsidR="00035E51" w:rsidRDefault="00035E51" w:rsidP="003C1988">
      <w:pPr>
        <w:rPr>
          <w:rFonts w:ascii="Garamond" w:hAnsi="Garamond"/>
          <w:sz w:val="32"/>
        </w:rPr>
      </w:pPr>
    </w:p>
    <w:p w14:paraId="565DB184" w14:textId="77777777" w:rsidR="00035E51" w:rsidRDefault="00035E51" w:rsidP="003C1988">
      <w:pPr>
        <w:rPr>
          <w:rFonts w:ascii="Garamond" w:hAnsi="Garamond"/>
          <w:sz w:val="32"/>
        </w:rPr>
      </w:pPr>
    </w:p>
    <w:p w14:paraId="63700006" w14:textId="77777777" w:rsidR="00F70D5A" w:rsidRDefault="00F70D5A" w:rsidP="000B3303">
      <w:pPr>
        <w:jc w:val="center"/>
        <w:rPr>
          <w:rFonts w:ascii="Garamond" w:hAnsi="Garamond"/>
          <w:sz w:val="32"/>
        </w:rPr>
      </w:pPr>
    </w:p>
    <w:p w14:paraId="5ABDD5AC" w14:textId="77777777" w:rsidR="00035E51" w:rsidRPr="001301A5" w:rsidRDefault="00035E51" w:rsidP="000B3303">
      <w:pPr>
        <w:jc w:val="center"/>
        <w:rPr>
          <w:rFonts w:ascii="Garamond" w:hAnsi="Garamond"/>
          <w:sz w:val="32"/>
        </w:rPr>
      </w:pPr>
      <w:r>
        <w:rPr>
          <w:rFonts w:ascii="Garamond" w:hAnsi="Garamond"/>
          <w:sz w:val="32"/>
        </w:rPr>
        <w:t>Warszawa, 2020</w:t>
      </w:r>
      <w:r w:rsidRPr="001301A5">
        <w:rPr>
          <w:rFonts w:ascii="Garamond" w:hAnsi="Garamond"/>
          <w:sz w:val="32"/>
        </w:rPr>
        <w:t xml:space="preserve"> r.</w:t>
      </w:r>
    </w:p>
    <w:p w14:paraId="3FBB0C1D" w14:textId="77777777" w:rsidR="00035E51" w:rsidRDefault="00035E51" w:rsidP="003C1988">
      <w:pPr>
        <w:rPr>
          <w:rFonts w:ascii="Times New Roman" w:hAnsi="Times New Roman"/>
          <w:sz w:val="24"/>
          <w:szCs w:val="24"/>
        </w:rPr>
      </w:pPr>
    </w:p>
    <w:p w14:paraId="05CC8C35" w14:textId="77777777" w:rsidR="00035E51" w:rsidRDefault="00035E51" w:rsidP="003C1988">
      <w:pPr>
        <w:rPr>
          <w:rFonts w:ascii="Times New Roman" w:hAnsi="Times New Roman"/>
          <w:sz w:val="24"/>
          <w:szCs w:val="24"/>
        </w:rPr>
      </w:pPr>
    </w:p>
    <w:p w14:paraId="132B6E4D" w14:textId="77777777" w:rsidR="00035E51" w:rsidRDefault="00035E51" w:rsidP="003C1988">
      <w:pPr>
        <w:rPr>
          <w:rFonts w:ascii="Times New Roman" w:hAnsi="Times New Roman"/>
          <w:sz w:val="24"/>
          <w:szCs w:val="24"/>
        </w:rPr>
      </w:pPr>
    </w:p>
    <w:p w14:paraId="0433376C" w14:textId="77777777" w:rsidR="00035E51" w:rsidRDefault="00035E51" w:rsidP="003C1988">
      <w:pPr>
        <w:rPr>
          <w:rFonts w:ascii="Times New Roman" w:hAnsi="Times New Roman"/>
          <w:sz w:val="24"/>
          <w:szCs w:val="24"/>
        </w:rPr>
      </w:pPr>
    </w:p>
    <w:p w14:paraId="3BE1ED98" w14:textId="77777777" w:rsidR="00035E51" w:rsidRDefault="00035E51" w:rsidP="003C1988">
      <w:pPr>
        <w:rPr>
          <w:rFonts w:ascii="Times New Roman" w:hAnsi="Times New Roman"/>
          <w:sz w:val="24"/>
          <w:szCs w:val="24"/>
        </w:rPr>
      </w:pPr>
    </w:p>
    <w:p w14:paraId="6564C55F" w14:textId="77777777" w:rsidR="00035E51" w:rsidRDefault="00035E51" w:rsidP="003C1988">
      <w:pPr>
        <w:rPr>
          <w:rFonts w:ascii="Times New Roman" w:hAnsi="Times New Roman"/>
          <w:sz w:val="24"/>
          <w:szCs w:val="24"/>
        </w:rPr>
      </w:pPr>
    </w:p>
    <w:p w14:paraId="65F4AF97" w14:textId="77777777" w:rsidR="00035E51" w:rsidRDefault="00035E51" w:rsidP="003C1988">
      <w:pPr>
        <w:rPr>
          <w:rFonts w:ascii="Times New Roman" w:hAnsi="Times New Roman"/>
          <w:sz w:val="24"/>
          <w:szCs w:val="24"/>
        </w:rPr>
      </w:pPr>
    </w:p>
    <w:p w14:paraId="77012B23" w14:textId="77777777" w:rsidR="00035E51" w:rsidRDefault="00035E51" w:rsidP="003C1988">
      <w:pPr>
        <w:rPr>
          <w:rFonts w:ascii="Times New Roman" w:hAnsi="Times New Roman"/>
          <w:sz w:val="24"/>
          <w:szCs w:val="24"/>
        </w:rPr>
      </w:pPr>
    </w:p>
    <w:p w14:paraId="02E0E484" w14:textId="77777777" w:rsidR="00035E51" w:rsidRDefault="00035E51" w:rsidP="003C1988">
      <w:pPr>
        <w:rPr>
          <w:rFonts w:ascii="Times New Roman" w:hAnsi="Times New Roman"/>
          <w:sz w:val="24"/>
          <w:szCs w:val="24"/>
        </w:rPr>
      </w:pPr>
    </w:p>
    <w:p w14:paraId="08AB46BE" w14:textId="77777777" w:rsidR="00035E51" w:rsidRDefault="00035E51" w:rsidP="003C1988">
      <w:pPr>
        <w:rPr>
          <w:rFonts w:ascii="Times New Roman" w:hAnsi="Times New Roman"/>
          <w:sz w:val="24"/>
          <w:szCs w:val="24"/>
        </w:rPr>
      </w:pPr>
    </w:p>
    <w:p w14:paraId="2DC58FA3" w14:textId="77777777" w:rsidR="00035E51" w:rsidRDefault="00035E51" w:rsidP="003C1988">
      <w:pPr>
        <w:rPr>
          <w:rFonts w:ascii="Times New Roman" w:hAnsi="Times New Roman"/>
          <w:sz w:val="24"/>
          <w:szCs w:val="24"/>
        </w:rPr>
      </w:pPr>
    </w:p>
    <w:p w14:paraId="0F243BEC" w14:textId="77777777" w:rsidR="00035E51" w:rsidRDefault="00035E51" w:rsidP="003C1988">
      <w:pPr>
        <w:rPr>
          <w:rFonts w:ascii="Times New Roman" w:hAnsi="Times New Roman"/>
          <w:sz w:val="24"/>
          <w:szCs w:val="24"/>
        </w:rPr>
      </w:pPr>
    </w:p>
    <w:p w14:paraId="7C1B7D8C" w14:textId="77777777" w:rsidR="00035E51" w:rsidRDefault="00035E51" w:rsidP="003C1988">
      <w:pPr>
        <w:rPr>
          <w:rFonts w:ascii="Times New Roman" w:hAnsi="Times New Roman"/>
          <w:sz w:val="24"/>
          <w:szCs w:val="24"/>
        </w:rPr>
      </w:pPr>
    </w:p>
    <w:p w14:paraId="45AC5DE1" w14:textId="77777777" w:rsidR="00035E51" w:rsidRDefault="00035E51" w:rsidP="003C1988">
      <w:pPr>
        <w:rPr>
          <w:rFonts w:ascii="Times New Roman" w:hAnsi="Times New Roman"/>
          <w:sz w:val="24"/>
          <w:szCs w:val="24"/>
        </w:rPr>
      </w:pPr>
    </w:p>
    <w:p w14:paraId="009A6645" w14:textId="77777777" w:rsidR="00035E51" w:rsidRDefault="00035E51" w:rsidP="003C1988">
      <w:pPr>
        <w:rPr>
          <w:rFonts w:ascii="Times New Roman" w:hAnsi="Times New Roman"/>
          <w:sz w:val="24"/>
          <w:szCs w:val="24"/>
        </w:rPr>
      </w:pPr>
    </w:p>
    <w:p w14:paraId="3E521D43" w14:textId="77777777" w:rsidR="00035E51" w:rsidRDefault="00035E51" w:rsidP="003C1988">
      <w:pPr>
        <w:rPr>
          <w:rFonts w:ascii="Times New Roman" w:hAnsi="Times New Roman"/>
          <w:sz w:val="24"/>
          <w:szCs w:val="24"/>
        </w:rPr>
      </w:pPr>
    </w:p>
    <w:p w14:paraId="6F397605" w14:textId="77777777" w:rsidR="00035E51" w:rsidRDefault="00035E51" w:rsidP="003C1988">
      <w:pPr>
        <w:rPr>
          <w:rFonts w:ascii="Times New Roman" w:hAnsi="Times New Roman"/>
          <w:sz w:val="24"/>
          <w:szCs w:val="24"/>
        </w:rPr>
      </w:pPr>
    </w:p>
    <w:p w14:paraId="0A718B97" w14:textId="77777777" w:rsidR="00035E51" w:rsidRDefault="00035E51" w:rsidP="003C1988">
      <w:pPr>
        <w:rPr>
          <w:rFonts w:ascii="Times New Roman" w:hAnsi="Times New Roman"/>
          <w:sz w:val="24"/>
          <w:szCs w:val="24"/>
        </w:rPr>
      </w:pPr>
    </w:p>
    <w:p w14:paraId="4104D761" w14:textId="77777777" w:rsidR="00035E51" w:rsidRDefault="00035E51" w:rsidP="003C1988">
      <w:pPr>
        <w:rPr>
          <w:rFonts w:ascii="Times New Roman" w:hAnsi="Times New Roman"/>
          <w:sz w:val="24"/>
          <w:szCs w:val="24"/>
        </w:rPr>
      </w:pPr>
    </w:p>
    <w:p w14:paraId="71C76E90" w14:textId="77777777" w:rsidR="00035E51" w:rsidRDefault="00035E51" w:rsidP="003C1988">
      <w:pPr>
        <w:rPr>
          <w:rFonts w:ascii="Times New Roman" w:hAnsi="Times New Roman"/>
          <w:sz w:val="24"/>
          <w:szCs w:val="24"/>
        </w:rPr>
      </w:pPr>
    </w:p>
    <w:p w14:paraId="0AE991B6" w14:textId="77777777" w:rsidR="00035E51" w:rsidRDefault="00035E51" w:rsidP="003C1988">
      <w:pPr>
        <w:rPr>
          <w:rFonts w:ascii="Times New Roman" w:hAnsi="Times New Roman"/>
          <w:sz w:val="24"/>
          <w:szCs w:val="24"/>
        </w:rPr>
      </w:pPr>
    </w:p>
    <w:p w14:paraId="3D87AF49" w14:textId="77777777" w:rsidR="00035E51" w:rsidRDefault="00035E51" w:rsidP="003C1988">
      <w:pPr>
        <w:rPr>
          <w:rFonts w:ascii="Times New Roman" w:hAnsi="Times New Roman"/>
          <w:sz w:val="24"/>
          <w:szCs w:val="24"/>
        </w:rPr>
      </w:pPr>
    </w:p>
    <w:p w14:paraId="195C57E4" w14:textId="77777777" w:rsidR="00035E51" w:rsidRDefault="00035E51" w:rsidP="003C1988">
      <w:pPr>
        <w:rPr>
          <w:rFonts w:ascii="Times New Roman" w:hAnsi="Times New Roman"/>
          <w:sz w:val="24"/>
          <w:szCs w:val="24"/>
        </w:rPr>
      </w:pPr>
    </w:p>
    <w:p w14:paraId="06A48D8A" w14:textId="77777777" w:rsidR="00035E51" w:rsidRDefault="00035E51" w:rsidP="003C1988">
      <w:pPr>
        <w:rPr>
          <w:rFonts w:ascii="Times New Roman" w:hAnsi="Times New Roman"/>
          <w:sz w:val="24"/>
          <w:szCs w:val="24"/>
        </w:rPr>
      </w:pPr>
    </w:p>
    <w:p w14:paraId="71D69416" w14:textId="77777777" w:rsidR="00035E51" w:rsidRDefault="00035E51" w:rsidP="003C1988">
      <w:pPr>
        <w:rPr>
          <w:rFonts w:ascii="Times New Roman" w:hAnsi="Times New Roman"/>
          <w:sz w:val="24"/>
          <w:szCs w:val="24"/>
        </w:rPr>
      </w:pPr>
    </w:p>
    <w:p w14:paraId="4FFC0F98" w14:textId="77777777" w:rsidR="00035E51" w:rsidRDefault="00035E51" w:rsidP="000B3303">
      <w:pPr>
        <w:jc w:val="center"/>
        <w:rPr>
          <w:rFonts w:ascii="Times New Roman" w:hAnsi="Times New Roman"/>
          <w:sz w:val="24"/>
          <w:szCs w:val="24"/>
        </w:rPr>
      </w:pPr>
      <w:r>
        <w:rPr>
          <w:rFonts w:ascii="Times New Roman" w:hAnsi="Times New Roman"/>
          <w:sz w:val="24"/>
          <w:szCs w:val="24"/>
        </w:rPr>
        <w:t>Dokument przyjęty przez Radę Ministrów w dniu …………….</w:t>
      </w:r>
    </w:p>
    <w:p w14:paraId="13EF20F3" w14:textId="77777777" w:rsidR="00035E51" w:rsidRDefault="00035E51" w:rsidP="003C1988">
      <w:pPr>
        <w:rPr>
          <w:rFonts w:ascii="Times New Roman" w:hAnsi="Times New Roman"/>
          <w:sz w:val="24"/>
          <w:szCs w:val="24"/>
        </w:rPr>
      </w:pPr>
    </w:p>
    <w:p w14:paraId="57CFBEE0" w14:textId="77777777" w:rsidR="000B3303" w:rsidRDefault="000B3303" w:rsidP="003C1988">
      <w:pPr>
        <w:rPr>
          <w:rFonts w:ascii="Times New Roman" w:hAnsi="Times New Roman"/>
          <w:sz w:val="24"/>
          <w:szCs w:val="24"/>
        </w:rPr>
      </w:pPr>
    </w:p>
    <w:bookmarkStart w:id="0" w:name="_Toc49171325" w:displacedByCustomXml="next"/>
    <w:sdt>
      <w:sdtPr>
        <w:rPr>
          <w:rFonts w:asciiTheme="minorHAnsi" w:eastAsiaTheme="minorHAnsi" w:hAnsiTheme="minorHAnsi" w:cstheme="minorBidi"/>
          <w:b w:val="0"/>
          <w:color w:val="2F5496" w:themeColor="accent5" w:themeShade="BF"/>
          <w:sz w:val="28"/>
          <w:szCs w:val="22"/>
        </w:rPr>
        <w:id w:val="1585956015"/>
        <w:docPartObj>
          <w:docPartGallery w:val="Table of Contents"/>
          <w:docPartUnique/>
        </w:docPartObj>
      </w:sdtPr>
      <w:sdtEndPr>
        <w:rPr>
          <w:bCs/>
          <w:color w:val="auto"/>
          <w:sz w:val="22"/>
        </w:rPr>
      </w:sdtEndPr>
      <w:sdtContent>
        <w:p w14:paraId="57DA84D8" w14:textId="77777777" w:rsidR="00B25D75" w:rsidRPr="00697B76" w:rsidRDefault="00B25D75" w:rsidP="00A56113">
          <w:pPr>
            <w:pStyle w:val="Nagwek1"/>
            <w:numPr>
              <w:ilvl w:val="0"/>
              <w:numId w:val="0"/>
            </w:numPr>
            <w:spacing w:after="240"/>
            <w:rPr>
              <w:color w:val="2F5496" w:themeColor="accent5" w:themeShade="BF"/>
              <w:sz w:val="40"/>
            </w:rPr>
          </w:pPr>
          <w:r w:rsidRPr="00697B76">
            <w:rPr>
              <w:color w:val="2F5496" w:themeColor="accent5" w:themeShade="BF"/>
              <w:sz w:val="40"/>
            </w:rPr>
            <w:t>Spis treści</w:t>
          </w:r>
          <w:bookmarkEnd w:id="0"/>
        </w:p>
        <w:p w14:paraId="157716D8" w14:textId="468859FA" w:rsidR="00E37612" w:rsidRDefault="00B25D75">
          <w:pPr>
            <w:pStyle w:val="Spistreci1"/>
            <w:rPr>
              <w:rFonts w:eastAsiaTheme="minorEastAsia"/>
              <w:noProof/>
              <w:lang w:eastAsia="pl-PL"/>
            </w:rPr>
          </w:pPr>
          <w:r>
            <w:fldChar w:fldCharType="begin"/>
          </w:r>
          <w:r>
            <w:instrText xml:space="preserve"> TOC \o "1-3" \h \z \u </w:instrText>
          </w:r>
          <w:r>
            <w:fldChar w:fldCharType="separate"/>
          </w:r>
          <w:hyperlink w:anchor="_Toc49171325" w:history="1">
            <w:r w:rsidR="00E37612" w:rsidRPr="00AD152F">
              <w:rPr>
                <w:rStyle w:val="Hipercze"/>
                <w:noProof/>
              </w:rPr>
              <w:t>Spis treści</w:t>
            </w:r>
            <w:r w:rsidR="00E37612">
              <w:rPr>
                <w:noProof/>
                <w:webHidden/>
              </w:rPr>
              <w:tab/>
            </w:r>
            <w:r w:rsidR="00E37612">
              <w:rPr>
                <w:noProof/>
                <w:webHidden/>
              </w:rPr>
              <w:fldChar w:fldCharType="begin"/>
            </w:r>
            <w:r w:rsidR="00E37612">
              <w:rPr>
                <w:noProof/>
                <w:webHidden/>
              </w:rPr>
              <w:instrText xml:space="preserve"> PAGEREF _Toc49171325 \h </w:instrText>
            </w:r>
            <w:r w:rsidR="00E37612">
              <w:rPr>
                <w:noProof/>
                <w:webHidden/>
              </w:rPr>
            </w:r>
            <w:r w:rsidR="00E37612">
              <w:rPr>
                <w:noProof/>
                <w:webHidden/>
              </w:rPr>
              <w:fldChar w:fldCharType="separate"/>
            </w:r>
            <w:r w:rsidR="00C154C9">
              <w:rPr>
                <w:noProof/>
                <w:webHidden/>
              </w:rPr>
              <w:t>3</w:t>
            </w:r>
            <w:r w:rsidR="00E37612">
              <w:rPr>
                <w:noProof/>
                <w:webHidden/>
              </w:rPr>
              <w:fldChar w:fldCharType="end"/>
            </w:r>
          </w:hyperlink>
        </w:p>
        <w:p w14:paraId="14B424DA" w14:textId="636114F9" w:rsidR="00E37612" w:rsidRDefault="00141E52">
          <w:pPr>
            <w:pStyle w:val="Spistreci1"/>
            <w:rPr>
              <w:rFonts w:eastAsiaTheme="minorEastAsia"/>
              <w:noProof/>
              <w:lang w:eastAsia="pl-PL"/>
            </w:rPr>
          </w:pPr>
          <w:hyperlink w:anchor="_Toc49171326" w:history="1">
            <w:r w:rsidR="00E37612" w:rsidRPr="00AD152F">
              <w:rPr>
                <w:rStyle w:val="Hipercze"/>
                <w:rFonts w:cs="Times New Roman"/>
                <w:noProof/>
              </w:rPr>
              <w:t>Wprowadzenie</w:t>
            </w:r>
            <w:r w:rsidR="00E37612">
              <w:rPr>
                <w:noProof/>
                <w:webHidden/>
              </w:rPr>
              <w:tab/>
            </w:r>
            <w:r w:rsidR="00E37612">
              <w:rPr>
                <w:noProof/>
                <w:webHidden/>
              </w:rPr>
              <w:fldChar w:fldCharType="begin"/>
            </w:r>
            <w:r w:rsidR="00E37612">
              <w:rPr>
                <w:noProof/>
                <w:webHidden/>
              </w:rPr>
              <w:instrText xml:space="preserve"> PAGEREF _Toc49171326 \h </w:instrText>
            </w:r>
            <w:r w:rsidR="00E37612">
              <w:rPr>
                <w:noProof/>
                <w:webHidden/>
              </w:rPr>
            </w:r>
            <w:r w:rsidR="00E37612">
              <w:rPr>
                <w:noProof/>
                <w:webHidden/>
              </w:rPr>
              <w:fldChar w:fldCharType="separate"/>
            </w:r>
            <w:r w:rsidR="00C154C9">
              <w:rPr>
                <w:noProof/>
                <w:webHidden/>
              </w:rPr>
              <w:t>5</w:t>
            </w:r>
            <w:r w:rsidR="00E37612">
              <w:rPr>
                <w:noProof/>
                <w:webHidden/>
              </w:rPr>
              <w:fldChar w:fldCharType="end"/>
            </w:r>
          </w:hyperlink>
        </w:p>
        <w:p w14:paraId="5DF68481" w14:textId="115B7F50" w:rsidR="00E37612" w:rsidRDefault="00141E52">
          <w:pPr>
            <w:pStyle w:val="Spistreci1"/>
            <w:rPr>
              <w:rFonts w:eastAsiaTheme="minorEastAsia"/>
              <w:noProof/>
              <w:lang w:eastAsia="pl-PL"/>
            </w:rPr>
          </w:pPr>
          <w:hyperlink w:anchor="_Toc49171327" w:history="1">
            <w:r w:rsidR="00E37612" w:rsidRPr="00AD152F">
              <w:rPr>
                <w:rStyle w:val="Hipercze"/>
                <w:noProof/>
              </w:rPr>
              <w:t>1.</w:t>
            </w:r>
            <w:r w:rsidR="00E37612">
              <w:rPr>
                <w:rFonts w:eastAsiaTheme="minorEastAsia"/>
                <w:noProof/>
                <w:lang w:eastAsia="pl-PL"/>
              </w:rPr>
              <w:tab/>
            </w:r>
            <w:r w:rsidR="00E37612" w:rsidRPr="00AD152F">
              <w:rPr>
                <w:rStyle w:val="Hipercze"/>
                <w:noProof/>
              </w:rPr>
              <w:t>Sytuacja społeczno-ekonomiczna osób starszych  w Polsce</w:t>
            </w:r>
            <w:r w:rsidR="00E37612">
              <w:rPr>
                <w:noProof/>
                <w:webHidden/>
              </w:rPr>
              <w:tab/>
            </w:r>
            <w:r w:rsidR="00E37612">
              <w:rPr>
                <w:noProof/>
                <w:webHidden/>
              </w:rPr>
              <w:fldChar w:fldCharType="begin"/>
            </w:r>
            <w:r w:rsidR="00E37612">
              <w:rPr>
                <w:noProof/>
                <w:webHidden/>
              </w:rPr>
              <w:instrText xml:space="preserve"> PAGEREF _Toc49171327 \h </w:instrText>
            </w:r>
            <w:r w:rsidR="00E37612">
              <w:rPr>
                <w:noProof/>
                <w:webHidden/>
              </w:rPr>
            </w:r>
            <w:r w:rsidR="00E37612">
              <w:rPr>
                <w:noProof/>
                <w:webHidden/>
              </w:rPr>
              <w:fldChar w:fldCharType="separate"/>
            </w:r>
            <w:r w:rsidR="00C154C9">
              <w:rPr>
                <w:noProof/>
                <w:webHidden/>
              </w:rPr>
              <w:t>7</w:t>
            </w:r>
            <w:r w:rsidR="00E37612">
              <w:rPr>
                <w:noProof/>
                <w:webHidden/>
              </w:rPr>
              <w:fldChar w:fldCharType="end"/>
            </w:r>
          </w:hyperlink>
        </w:p>
        <w:p w14:paraId="55462360" w14:textId="0E7F4807" w:rsidR="00E37612" w:rsidRDefault="00141E52">
          <w:pPr>
            <w:pStyle w:val="Spistreci2"/>
            <w:tabs>
              <w:tab w:val="left" w:pos="880"/>
            </w:tabs>
            <w:rPr>
              <w:rFonts w:eastAsiaTheme="minorEastAsia"/>
              <w:noProof/>
              <w:lang w:eastAsia="pl-PL"/>
            </w:rPr>
          </w:pPr>
          <w:hyperlink w:anchor="_Toc49171328" w:history="1">
            <w:r w:rsidR="00E37612" w:rsidRPr="00AD152F">
              <w:rPr>
                <w:rStyle w:val="Hipercze"/>
                <w:noProof/>
              </w:rPr>
              <w:t>1.1.</w:t>
            </w:r>
            <w:r w:rsidR="00E37612">
              <w:rPr>
                <w:rFonts w:eastAsiaTheme="minorEastAsia"/>
                <w:noProof/>
                <w:lang w:eastAsia="pl-PL"/>
              </w:rPr>
              <w:tab/>
            </w:r>
            <w:r w:rsidR="00E37612" w:rsidRPr="00AD152F">
              <w:rPr>
                <w:rStyle w:val="Hipercze"/>
                <w:noProof/>
              </w:rPr>
              <w:t>Sytuacja demograficzna i społeczna</w:t>
            </w:r>
            <w:r w:rsidR="00E37612">
              <w:rPr>
                <w:noProof/>
                <w:webHidden/>
              </w:rPr>
              <w:tab/>
            </w:r>
            <w:r w:rsidR="00E37612">
              <w:rPr>
                <w:noProof/>
                <w:webHidden/>
              </w:rPr>
              <w:fldChar w:fldCharType="begin"/>
            </w:r>
            <w:r w:rsidR="00E37612">
              <w:rPr>
                <w:noProof/>
                <w:webHidden/>
              </w:rPr>
              <w:instrText xml:space="preserve"> PAGEREF _Toc49171328 \h </w:instrText>
            </w:r>
            <w:r w:rsidR="00E37612">
              <w:rPr>
                <w:noProof/>
                <w:webHidden/>
              </w:rPr>
            </w:r>
            <w:r w:rsidR="00E37612">
              <w:rPr>
                <w:noProof/>
                <w:webHidden/>
              </w:rPr>
              <w:fldChar w:fldCharType="separate"/>
            </w:r>
            <w:r w:rsidR="00C154C9">
              <w:rPr>
                <w:noProof/>
                <w:webHidden/>
              </w:rPr>
              <w:t>7</w:t>
            </w:r>
            <w:r w:rsidR="00E37612">
              <w:rPr>
                <w:noProof/>
                <w:webHidden/>
              </w:rPr>
              <w:fldChar w:fldCharType="end"/>
            </w:r>
          </w:hyperlink>
        </w:p>
        <w:p w14:paraId="7EC803E5" w14:textId="0E10BD8F" w:rsidR="00E37612" w:rsidRDefault="00141E52">
          <w:pPr>
            <w:pStyle w:val="Spistreci2"/>
            <w:tabs>
              <w:tab w:val="left" w:pos="880"/>
            </w:tabs>
            <w:rPr>
              <w:rFonts w:eastAsiaTheme="minorEastAsia"/>
              <w:noProof/>
              <w:lang w:eastAsia="pl-PL"/>
            </w:rPr>
          </w:pPr>
          <w:hyperlink w:anchor="_Toc49171329" w:history="1">
            <w:r w:rsidR="00E37612" w:rsidRPr="00AD152F">
              <w:rPr>
                <w:rStyle w:val="Hipercze"/>
                <w:rFonts w:cs="Times New Roman"/>
                <w:noProof/>
              </w:rPr>
              <w:t>1.2.</w:t>
            </w:r>
            <w:r w:rsidR="00E37612">
              <w:rPr>
                <w:rFonts w:eastAsiaTheme="minorEastAsia"/>
                <w:noProof/>
                <w:lang w:eastAsia="pl-PL"/>
              </w:rPr>
              <w:tab/>
            </w:r>
            <w:r w:rsidR="00E37612" w:rsidRPr="00AD152F">
              <w:rPr>
                <w:rStyle w:val="Hipercze"/>
                <w:rFonts w:cs="Times New Roman"/>
                <w:noProof/>
              </w:rPr>
              <w:t>Sytuacja ekonomiczna</w:t>
            </w:r>
            <w:r w:rsidR="00E37612">
              <w:rPr>
                <w:noProof/>
                <w:webHidden/>
              </w:rPr>
              <w:tab/>
            </w:r>
            <w:r w:rsidR="00E37612">
              <w:rPr>
                <w:noProof/>
                <w:webHidden/>
              </w:rPr>
              <w:fldChar w:fldCharType="begin"/>
            </w:r>
            <w:r w:rsidR="00E37612">
              <w:rPr>
                <w:noProof/>
                <w:webHidden/>
              </w:rPr>
              <w:instrText xml:space="preserve"> PAGEREF _Toc49171329 \h </w:instrText>
            </w:r>
            <w:r w:rsidR="00E37612">
              <w:rPr>
                <w:noProof/>
                <w:webHidden/>
              </w:rPr>
            </w:r>
            <w:r w:rsidR="00E37612">
              <w:rPr>
                <w:noProof/>
                <w:webHidden/>
              </w:rPr>
              <w:fldChar w:fldCharType="separate"/>
            </w:r>
            <w:r w:rsidR="00C154C9">
              <w:rPr>
                <w:noProof/>
                <w:webHidden/>
              </w:rPr>
              <w:t>11</w:t>
            </w:r>
            <w:r w:rsidR="00E37612">
              <w:rPr>
                <w:noProof/>
                <w:webHidden/>
              </w:rPr>
              <w:fldChar w:fldCharType="end"/>
            </w:r>
          </w:hyperlink>
        </w:p>
        <w:p w14:paraId="5A4A6937" w14:textId="6FDA577E" w:rsidR="00E37612" w:rsidRDefault="00141E52">
          <w:pPr>
            <w:pStyle w:val="Spistreci2"/>
            <w:tabs>
              <w:tab w:val="left" w:pos="880"/>
            </w:tabs>
            <w:rPr>
              <w:rFonts w:eastAsiaTheme="minorEastAsia"/>
              <w:noProof/>
              <w:lang w:eastAsia="pl-PL"/>
            </w:rPr>
          </w:pPr>
          <w:hyperlink w:anchor="_Toc49171330" w:history="1">
            <w:r w:rsidR="00E37612" w:rsidRPr="00AD152F">
              <w:rPr>
                <w:rStyle w:val="Hipercze"/>
                <w:rFonts w:cs="Times New Roman"/>
                <w:noProof/>
              </w:rPr>
              <w:t>1.3.</w:t>
            </w:r>
            <w:r w:rsidR="00E37612">
              <w:rPr>
                <w:rFonts w:eastAsiaTheme="minorEastAsia"/>
                <w:noProof/>
                <w:lang w:eastAsia="pl-PL"/>
              </w:rPr>
              <w:tab/>
            </w:r>
            <w:r w:rsidR="00E37612" w:rsidRPr="00AD152F">
              <w:rPr>
                <w:rStyle w:val="Hipercze"/>
                <w:rFonts w:cs="Times New Roman"/>
                <w:noProof/>
              </w:rPr>
              <w:t>Sytuacja na rynku pracy</w:t>
            </w:r>
            <w:r w:rsidR="00E37612">
              <w:rPr>
                <w:noProof/>
                <w:webHidden/>
              </w:rPr>
              <w:tab/>
            </w:r>
            <w:r w:rsidR="00E37612">
              <w:rPr>
                <w:noProof/>
                <w:webHidden/>
              </w:rPr>
              <w:fldChar w:fldCharType="begin"/>
            </w:r>
            <w:r w:rsidR="00E37612">
              <w:rPr>
                <w:noProof/>
                <w:webHidden/>
              </w:rPr>
              <w:instrText xml:space="preserve"> PAGEREF _Toc49171330 \h </w:instrText>
            </w:r>
            <w:r w:rsidR="00E37612">
              <w:rPr>
                <w:noProof/>
                <w:webHidden/>
              </w:rPr>
            </w:r>
            <w:r w:rsidR="00E37612">
              <w:rPr>
                <w:noProof/>
                <w:webHidden/>
              </w:rPr>
              <w:fldChar w:fldCharType="separate"/>
            </w:r>
            <w:r w:rsidR="00C154C9">
              <w:rPr>
                <w:noProof/>
                <w:webHidden/>
              </w:rPr>
              <w:t>31</w:t>
            </w:r>
            <w:r w:rsidR="00E37612">
              <w:rPr>
                <w:noProof/>
                <w:webHidden/>
              </w:rPr>
              <w:fldChar w:fldCharType="end"/>
            </w:r>
          </w:hyperlink>
        </w:p>
        <w:p w14:paraId="73B35B16" w14:textId="1DB6E181" w:rsidR="00E37612" w:rsidRDefault="00141E52">
          <w:pPr>
            <w:pStyle w:val="Spistreci2"/>
            <w:tabs>
              <w:tab w:val="left" w:pos="880"/>
            </w:tabs>
            <w:rPr>
              <w:rFonts w:eastAsiaTheme="minorEastAsia"/>
              <w:noProof/>
              <w:lang w:eastAsia="pl-PL"/>
            </w:rPr>
          </w:pPr>
          <w:hyperlink w:anchor="_Toc49171331" w:history="1">
            <w:r w:rsidR="00E37612" w:rsidRPr="00AD152F">
              <w:rPr>
                <w:rStyle w:val="Hipercze"/>
                <w:rFonts w:cs="Times New Roman"/>
                <w:noProof/>
              </w:rPr>
              <w:t>1.4.</w:t>
            </w:r>
            <w:r w:rsidR="00E37612">
              <w:rPr>
                <w:rFonts w:eastAsiaTheme="minorEastAsia"/>
                <w:noProof/>
                <w:lang w:eastAsia="pl-PL"/>
              </w:rPr>
              <w:tab/>
            </w:r>
            <w:r w:rsidR="00E37612" w:rsidRPr="00AD152F">
              <w:rPr>
                <w:rStyle w:val="Hipercze"/>
                <w:rFonts w:cs="Times New Roman"/>
                <w:noProof/>
              </w:rPr>
              <w:t>Stan zdrowia i opieka zdrowotna</w:t>
            </w:r>
            <w:r w:rsidR="00E37612">
              <w:rPr>
                <w:noProof/>
                <w:webHidden/>
              </w:rPr>
              <w:tab/>
            </w:r>
            <w:r w:rsidR="00E37612">
              <w:rPr>
                <w:noProof/>
                <w:webHidden/>
              </w:rPr>
              <w:fldChar w:fldCharType="begin"/>
            </w:r>
            <w:r w:rsidR="00E37612">
              <w:rPr>
                <w:noProof/>
                <w:webHidden/>
              </w:rPr>
              <w:instrText xml:space="preserve"> PAGEREF _Toc49171331 \h </w:instrText>
            </w:r>
            <w:r w:rsidR="00E37612">
              <w:rPr>
                <w:noProof/>
                <w:webHidden/>
              </w:rPr>
            </w:r>
            <w:r w:rsidR="00E37612">
              <w:rPr>
                <w:noProof/>
                <w:webHidden/>
              </w:rPr>
              <w:fldChar w:fldCharType="separate"/>
            </w:r>
            <w:r w:rsidR="00C154C9">
              <w:rPr>
                <w:noProof/>
                <w:webHidden/>
              </w:rPr>
              <w:t>41</w:t>
            </w:r>
            <w:r w:rsidR="00E37612">
              <w:rPr>
                <w:noProof/>
                <w:webHidden/>
              </w:rPr>
              <w:fldChar w:fldCharType="end"/>
            </w:r>
          </w:hyperlink>
        </w:p>
        <w:p w14:paraId="42BA61B7" w14:textId="6E1F1218" w:rsidR="00E37612" w:rsidRDefault="00141E52">
          <w:pPr>
            <w:pStyle w:val="Spistreci2"/>
            <w:tabs>
              <w:tab w:val="left" w:pos="880"/>
            </w:tabs>
            <w:rPr>
              <w:rFonts w:eastAsiaTheme="minorEastAsia"/>
              <w:noProof/>
              <w:lang w:eastAsia="pl-PL"/>
            </w:rPr>
          </w:pPr>
          <w:hyperlink w:anchor="_Toc49171332" w:history="1">
            <w:r w:rsidR="00E37612" w:rsidRPr="00AD152F">
              <w:rPr>
                <w:rStyle w:val="Hipercze"/>
                <w:rFonts w:cs="Times New Roman"/>
                <w:noProof/>
              </w:rPr>
              <w:t>1.5.</w:t>
            </w:r>
            <w:r w:rsidR="00E37612">
              <w:rPr>
                <w:rFonts w:eastAsiaTheme="minorEastAsia"/>
                <w:noProof/>
                <w:lang w:eastAsia="pl-PL"/>
              </w:rPr>
              <w:tab/>
            </w:r>
            <w:r w:rsidR="00E37612" w:rsidRPr="00AD152F">
              <w:rPr>
                <w:rStyle w:val="Hipercze"/>
                <w:rFonts w:cs="Times New Roman"/>
                <w:noProof/>
              </w:rPr>
              <w:t>Dostępne formy aktywności</w:t>
            </w:r>
            <w:r w:rsidR="00E37612">
              <w:rPr>
                <w:noProof/>
                <w:webHidden/>
              </w:rPr>
              <w:tab/>
            </w:r>
            <w:r w:rsidR="00E37612">
              <w:rPr>
                <w:noProof/>
                <w:webHidden/>
              </w:rPr>
              <w:fldChar w:fldCharType="begin"/>
            </w:r>
            <w:r w:rsidR="00E37612">
              <w:rPr>
                <w:noProof/>
                <w:webHidden/>
              </w:rPr>
              <w:instrText xml:space="preserve"> PAGEREF _Toc49171332 \h </w:instrText>
            </w:r>
            <w:r w:rsidR="00E37612">
              <w:rPr>
                <w:noProof/>
                <w:webHidden/>
              </w:rPr>
            </w:r>
            <w:r w:rsidR="00E37612">
              <w:rPr>
                <w:noProof/>
                <w:webHidden/>
              </w:rPr>
              <w:fldChar w:fldCharType="separate"/>
            </w:r>
            <w:r w:rsidR="00C154C9">
              <w:rPr>
                <w:noProof/>
                <w:webHidden/>
              </w:rPr>
              <w:t>52</w:t>
            </w:r>
            <w:r w:rsidR="00E37612">
              <w:rPr>
                <w:noProof/>
                <w:webHidden/>
              </w:rPr>
              <w:fldChar w:fldCharType="end"/>
            </w:r>
          </w:hyperlink>
        </w:p>
        <w:p w14:paraId="034373BD" w14:textId="3A70F52D" w:rsidR="00E37612" w:rsidRDefault="00141E52">
          <w:pPr>
            <w:pStyle w:val="Spistreci2"/>
            <w:tabs>
              <w:tab w:val="left" w:pos="880"/>
            </w:tabs>
            <w:rPr>
              <w:rFonts w:eastAsiaTheme="minorEastAsia"/>
              <w:noProof/>
              <w:lang w:eastAsia="pl-PL"/>
            </w:rPr>
          </w:pPr>
          <w:hyperlink w:anchor="_Toc49171333" w:history="1">
            <w:r w:rsidR="00E37612" w:rsidRPr="00AD152F">
              <w:rPr>
                <w:rStyle w:val="Hipercze"/>
                <w:rFonts w:cs="Times New Roman"/>
                <w:noProof/>
              </w:rPr>
              <w:t>1.6.</w:t>
            </w:r>
            <w:r w:rsidR="00E37612">
              <w:rPr>
                <w:rFonts w:eastAsiaTheme="minorEastAsia"/>
                <w:noProof/>
                <w:lang w:eastAsia="pl-PL"/>
              </w:rPr>
              <w:tab/>
            </w:r>
            <w:r w:rsidR="00E37612" w:rsidRPr="00AD152F">
              <w:rPr>
                <w:rStyle w:val="Hipercze"/>
                <w:rFonts w:cs="Times New Roman"/>
                <w:noProof/>
              </w:rPr>
              <w:t>Równe traktowanie i przeciwdziałanie dyskryminacji</w:t>
            </w:r>
            <w:r w:rsidR="00E37612">
              <w:rPr>
                <w:noProof/>
                <w:webHidden/>
              </w:rPr>
              <w:tab/>
            </w:r>
            <w:r w:rsidR="00E37612">
              <w:rPr>
                <w:noProof/>
                <w:webHidden/>
              </w:rPr>
              <w:fldChar w:fldCharType="begin"/>
            </w:r>
            <w:r w:rsidR="00E37612">
              <w:rPr>
                <w:noProof/>
                <w:webHidden/>
              </w:rPr>
              <w:instrText xml:space="preserve"> PAGEREF _Toc49171333 \h </w:instrText>
            </w:r>
            <w:r w:rsidR="00E37612">
              <w:rPr>
                <w:noProof/>
                <w:webHidden/>
              </w:rPr>
            </w:r>
            <w:r w:rsidR="00E37612">
              <w:rPr>
                <w:noProof/>
                <w:webHidden/>
              </w:rPr>
              <w:fldChar w:fldCharType="separate"/>
            </w:r>
            <w:r w:rsidR="00C154C9">
              <w:rPr>
                <w:noProof/>
                <w:webHidden/>
              </w:rPr>
              <w:t>69</w:t>
            </w:r>
            <w:r w:rsidR="00E37612">
              <w:rPr>
                <w:noProof/>
                <w:webHidden/>
              </w:rPr>
              <w:fldChar w:fldCharType="end"/>
            </w:r>
          </w:hyperlink>
        </w:p>
        <w:p w14:paraId="4DBBCD5C" w14:textId="6AF7C7C1" w:rsidR="00E37612" w:rsidRDefault="00141E52">
          <w:pPr>
            <w:pStyle w:val="Spistreci2"/>
            <w:tabs>
              <w:tab w:val="left" w:pos="880"/>
            </w:tabs>
            <w:rPr>
              <w:rFonts w:eastAsiaTheme="minorEastAsia"/>
              <w:noProof/>
              <w:lang w:eastAsia="pl-PL"/>
            </w:rPr>
          </w:pPr>
          <w:hyperlink w:anchor="_Toc49171334" w:history="1">
            <w:r w:rsidR="00E37612" w:rsidRPr="00AD152F">
              <w:rPr>
                <w:rStyle w:val="Hipercze"/>
                <w:rFonts w:cs="Times New Roman"/>
                <w:noProof/>
              </w:rPr>
              <w:t>1.7.</w:t>
            </w:r>
            <w:r w:rsidR="00E37612">
              <w:rPr>
                <w:rFonts w:eastAsiaTheme="minorEastAsia"/>
                <w:noProof/>
                <w:lang w:eastAsia="pl-PL"/>
              </w:rPr>
              <w:tab/>
            </w:r>
            <w:r w:rsidR="00E37612" w:rsidRPr="00AD152F">
              <w:rPr>
                <w:rStyle w:val="Hipercze"/>
                <w:rFonts w:cs="Times New Roman"/>
                <w:noProof/>
              </w:rPr>
              <w:t>Sytuacja niepełnosprawnych osób starszych</w:t>
            </w:r>
            <w:r w:rsidR="00E37612">
              <w:rPr>
                <w:noProof/>
                <w:webHidden/>
              </w:rPr>
              <w:tab/>
            </w:r>
            <w:r w:rsidR="00E37612">
              <w:rPr>
                <w:noProof/>
                <w:webHidden/>
              </w:rPr>
              <w:fldChar w:fldCharType="begin"/>
            </w:r>
            <w:r w:rsidR="00E37612">
              <w:rPr>
                <w:noProof/>
                <w:webHidden/>
              </w:rPr>
              <w:instrText xml:space="preserve"> PAGEREF _Toc49171334 \h </w:instrText>
            </w:r>
            <w:r w:rsidR="00E37612">
              <w:rPr>
                <w:noProof/>
                <w:webHidden/>
              </w:rPr>
            </w:r>
            <w:r w:rsidR="00E37612">
              <w:rPr>
                <w:noProof/>
                <w:webHidden/>
              </w:rPr>
              <w:fldChar w:fldCharType="separate"/>
            </w:r>
            <w:r w:rsidR="00C154C9">
              <w:rPr>
                <w:noProof/>
                <w:webHidden/>
              </w:rPr>
              <w:t>70</w:t>
            </w:r>
            <w:r w:rsidR="00E37612">
              <w:rPr>
                <w:noProof/>
                <w:webHidden/>
              </w:rPr>
              <w:fldChar w:fldCharType="end"/>
            </w:r>
          </w:hyperlink>
        </w:p>
        <w:p w14:paraId="38C22900" w14:textId="15BDD101" w:rsidR="00E37612" w:rsidRDefault="00141E52">
          <w:pPr>
            <w:pStyle w:val="Spistreci1"/>
            <w:rPr>
              <w:rFonts w:eastAsiaTheme="minorEastAsia"/>
              <w:noProof/>
              <w:lang w:eastAsia="pl-PL"/>
            </w:rPr>
          </w:pPr>
          <w:hyperlink w:anchor="_Toc49171335" w:history="1">
            <w:r w:rsidR="00E37612" w:rsidRPr="00AD152F">
              <w:rPr>
                <w:rStyle w:val="Hipercze"/>
                <w:rFonts w:cs="Times New Roman"/>
                <w:noProof/>
              </w:rPr>
              <w:t>2.</w:t>
            </w:r>
            <w:r w:rsidR="00E37612">
              <w:rPr>
                <w:rFonts w:eastAsiaTheme="minorEastAsia"/>
                <w:noProof/>
                <w:lang w:eastAsia="pl-PL"/>
              </w:rPr>
              <w:tab/>
            </w:r>
            <w:r w:rsidR="00E37612" w:rsidRPr="00AD152F">
              <w:rPr>
                <w:rStyle w:val="Hipercze"/>
                <w:rFonts w:cs="Times New Roman"/>
                <w:noProof/>
              </w:rPr>
              <w:t>Polityka społeczna wobec osób starszych na szczeblu centralnym</w:t>
            </w:r>
            <w:r w:rsidR="00E37612">
              <w:rPr>
                <w:noProof/>
                <w:webHidden/>
              </w:rPr>
              <w:tab/>
            </w:r>
            <w:r w:rsidR="00E37612">
              <w:rPr>
                <w:noProof/>
                <w:webHidden/>
              </w:rPr>
              <w:fldChar w:fldCharType="begin"/>
            </w:r>
            <w:r w:rsidR="00E37612">
              <w:rPr>
                <w:noProof/>
                <w:webHidden/>
              </w:rPr>
              <w:instrText xml:space="preserve"> PAGEREF _Toc49171335 \h </w:instrText>
            </w:r>
            <w:r w:rsidR="00E37612">
              <w:rPr>
                <w:noProof/>
                <w:webHidden/>
              </w:rPr>
            </w:r>
            <w:r w:rsidR="00E37612">
              <w:rPr>
                <w:noProof/>
                <w:webHidden/>
              </w:rPr>
              <w:fldChar w:fldCharType="separate"/>
            </w:r>
            <w:r w:rsidR="00C154C9">
              <w:rPr>
                <w:noProof/>
                <w:webHidden/>
              </w:rPr>
              <w:t>72</w:t>
            </w:r>
            <w:r w:rsidR="00E37612">
              <w:rPr>
                <w:noProof/>
                <w:webHidden/>
              </w:rPr>
              <w:fldChar w:fldCharType="end"/>
            </w:r>
          </w:hyperlink>
        </w:p>
        <w:p w14:paraId="0BABC908" w14:textId="7FA566C2" w:rsidR="00E37612" w:rsidRDefault="00141E52">
          <w:pPr>
            <w:pStyle w:val="Spistreci2"/>
            <w:tabs>
              <w:tab w:val="left" w:pos="880"/>
            </w:tabs>
            <w:rPr>
              <w:rFonts w:eastAsiaTheme="minorEastAsia"/>
              <w:noProof/>
              <w:lang w:eastAsia="pl-PL"/>
            </w:rPr>
          </w:pPr>
          <w:hyperlink w:anchor="_Toc49171336" w:history="1">
            <w:r w:rsidR="00E37612" w:rsidRPr="00AD152F">
              <w:rPr>
                <w:rStyle w:val="Hipercze"/>
                <w:rFonts w:cs="Times New Roman"/>
                <w:noProof/>
              </w:rPr>
              <w:t>2.1.</w:t>
            </w:r>
            <w:r w:rsidR="00E37612">
              <w:rPr>
                <w:rFonts w:eastAsiaTheme="minorEastAsia"/>
                <w:noProof/>
                <w:lang w:eastAsia="pl-PL"/>
              </w:rPr>
              <w:tab/>
            </w:r>
            <w:r w:rsidR="00E37612" w:rsidRPr="00AD152F">
              <w:rPr>
                <w:rStyle w:val="Hipercze"/>
                <w:rFonts w:cs="Times New Roman"/>
                <w:noProof/>
              </w:rPr>
              <w:t>Ministerstwo Rodziny, Pracy i Polityki Społecznej</w:t>
            </w:r>
            <w:r w:rsidR="00E37612">
              <w:rPr>
                <w:noProof/>
                <w:webHidden/>
              </w:rPr>
              <w:tab/>
            </w:r>
            <w:r w:rsidR="00E37612">
              <w:rPr>
                <w:noProof/>
                <w:webHidden/>
              </w:rPr>
              <w:fldChar w:fldCharType="begin"/>
            </w:r>
            <w:r w:rsidR="00E37612">
              <w:rPr>
                <w:noProof/>
                <w:webHidden/>
              </w:rPr>
              <w:instrText xml:space="preserve"> PAGEREF _Toc49171336 \h </w:instrText>
            </w:r>
            <w:r w:rsidR="00E37612">
              <w:rPr>
                <w:noProof/>
                <w:webHidden/>
              </w:rPr>
            </w:r>
            <w:r w:rsidR="00E37612">
              <w:rPr>
                <w:noProof/>
                <w:webHidden/>
              </w:rPr>
              <w:fldChar w:fldCharType="separate"/>
            </w:r>
            <w:r w:rsidR="00C154C9">
              <w:rPr>
                <w:noProof/>
                <w:webHidden/>
              </w:rPr>
              <w:t>72</w:t>
            </w:r>
            <w:r w:rsidR="00E37612">
              <w:rPr>
                <w:noProof/>
                <w:webHidden/>
              </w:rPr>
              <w:fldChar w:fldCharType="end"/>
            </w:r>
          </w:hyperlink>
        </w:p>
        <w:p w14:paraId="584BFE30" w14:textId="28DBD2A6" w:rsidR="00E37612" w:rsidRDefault="00141E52">
          <w:pPr>
            <w:pStyle w:val="Spistreci2"/>
            <w:tabs>
              <w:tab w:val="left" w:pos="880"/>
            </w:tabs>
            <w:rPr>
              <w:rFonts w:eastAsiaTheme="minorEastAsia"/>
              <w:noProof/>
              <w:lang w:eastAsia="pl-PL"/>
            </w:rPr>
          </w:pPr>
          <w:hyperlink w:anchor="_Toc49171337" w:history="1">
            <w:r w:rsidR="00E37612" w:rsidRPr="00AD152F">
              <w:rPr>
                <w:rStyle w:val="Hipercze"/>
                <w:rFonts w:cs="Times New Roman"/>
                <w:noProof/>
                <w:lang w:eastAsia="ar-SA"/>
              </w:rPr>
              <w:t>2.2.</w:t>
            </w:r>
            <w:r w:rsidR="00E37612">
              <w:rPr>
                <w:rFonts w:eastAsiaTheme="minorEastAsia"/>
                <w:noProof/>
                <w:lang w:eastAsia="pl-PL"/>
              </w:rPr>
              <w:tab/>
            </w:r>
            <w:r w:rsidR="00E37612" w:rsidRPr="00AD152F">
              <w:rPr>
                <w:rStyle w:val="Hipercze"/>
                <w:rFonts w:cs="Times New Roman"/>
                <w:noProof/>
              </w:rPr>
              <w:t xml:space="preserve">Ministerstwo </w:t>
            </w:r>
            <w:r w:rsidR="00E37612" w:rsidRPr="00AD152F">
              <w:rPr>
                <w:rStyle w:val="Hipercze"/>
                <w:rFonts w:cs="Times New Roman"/>
                <w:noProof/>
                <w:lang w:eastAsia="ar-SA"/>
              </w:rPr>
              <w:t>Kultury i Dziedzictwa Narodowego</w:t>
            </w:r>
            <w:r w:rsidR="00E37612">
              <w:rPr>
                <w:noProof/>
                <w:webHidden/>
              </w:rPr>
              <w:tab/>
            </w:r>
            <w:r w:rsidR="00E37612">
              <w:rPr>
                <w:noProof/>
                <w:webHidden/>
              </w:rPr>
              <w:fldChar w:fldCharType="begin"/>
            </w:r>
            <w:r w:rsidR="00E37612">
              <w:rPr>
                <w:noProof/>
                <w:webHidden/>
              </w:rPr>
              <w:instrText xml:space="preserve"> PAGEREF _Toc49171337 \h </w:instrText>
            </w:r>
            <w:r w:rsidR="00E37612">
              <w:rPr>
                <w:noProof/>
                <w:webHidden/>
              </w:rPr>
            </w:r>
            <w:r w:rsidR="00E37612">
              <w:rPr>
                <w:noProof/>
                <w:webHidden/>
              </w:rPr>
              <w:fldChar w:fldCharType="separate"/>
            </w:r>
            <w:r w:rsidR="00C154C9">
              <w:rPr>
                <w:noProof/>
                <w:webHidden/>
              </w:rPr>
              <w:t>85</w:t>
            </w:r>
            <w:r w:rsidR="00E37612">
              <w:rPr>
                <w:noProof/>
                <w:webHidden/>
              </w:rPr>
              <w:fldChar w:fldCharType="end"/>
            </w:r>
          </w:hyperlink>
        </w:p>
        <w:p w14:paraId="76635FCF" w14:textId="1D1BFB97" w:rsidR="00E37612" w:rsidRDefault="00141E52">
          <w:pPr>
            <w:pStyle w:val="Spistreci2"/>
            <w:tabs>
              <w:tab w:val="left" w:pos="880"/>
            </w:tabs>
            <w:rPr>
              <w:rFonts w:eastAsiaTheme="minorEastAsia"/>
              <w:noProof/>
              <w:lang w:eastAsia="pl-PL"/>
            </w:rPr>
          </w:pPr>
          <w:hyperlink w:anchor="_Toc49171338" w:history="1">
            <w:r w:rsidR="00E37612" w:rsidRPr="00AD152F">
              <w:rPr>
                <w:rStyle w:val="Hipercze"/>
                <w:rFonts w:cs="Times New Roman"/>
                <w:noProof/>
                <w:lang w:eastAsia="ar-SA"/>
              </w:rPr>
              <w:t>2.3.</w:t>
            </w:r>
            <w:r w:rsidR="00E37612">
              <w:rPr>
                <w:rFonts w:eastAsiaTheme="minorEastAsia"/>
                <w:noProof/>
                <w:lang w:eastAsia="pl-PL"/>
              </w:rPr>
              <w:tab/>
            </w:r>
            <w:r w:rsidR="00E37612" w:rsidRPr="00AD152F">
              <w:rPr>
                <w:rStyle w:val="Hipercze"/>
                <w:rFonts w:cs="Times New Roman"/>
                <w:noProof/>
                <w:lang w:eastAsia="ar-SA"/>
              </w:rPr>
              <w:t>Ministerstwo Rozwoju</w:t>
            </w:r>
            <w:r w:rsidR="00E37612">
              <w:rPr>
                <w:noProof/>
                <w:webHidden/>
              </w:rPr>
              <w:tab/>
            </w:r>
            <w:r w:rsidR="00E37612">
              <w:rPr>
                <w:noProof/>
                <w:webHidden/>
              </w:rPr>
              <w:fldChar w:fldCharType="begin"/>
            </w:r>
            <w:r w:rsidR="00E37612">
              <w:rPr>
                <w:noProof/>
                <w:webHidden/>
              </w:rPr>
              <w:instrText xml:space="preserve"> PAGEREF _Toc49171338 \h </w:instrText>
            </w:r>
            <w:r w:rsidR="00E37612">
              <w:rPr>
                <w:noProof/>
                <w:webHidden/>
              </w:rPr>
            </w:r>
            <w:r w:rsidR="00E37612">
              <w:rPr>
                <w:noProof/>
                <w:webHidden/>
              </w:rPr>
              <w:fldChar w:fldCharType="separate"/>
            </w:r>
            <w:r w:rsidR="00C154C9">
              <w:rPr>
                <w:noProof/>
                <w:webHidden/>
              </w:rPr>
              <w:t>86</w:t>
            </w:r>
            <w:r w:rsidR="00E37612">
              <w:rPr>
                <w:noProof/>
                <w:webHidden/>
              </w:rPr>
              <w:fldChar w:fldCharType="end"/>
            </w:r>
          </w:hyperlink>
        </w:p>
        <w:p w14:paraId="5D5F8960" w14:textId="01A4D7E7" w:rsidR="00E37612" w:rsidRDefault="00141E52">
          <w:pPr>
            <w:pStyle w:val="Spistreci2"/>
            <w:tabs>
              <w:tab w:val="left" w:pos="880"/>
            </w:tabs>
            <w:rPr>
              <w:rFonts w:eastAsiaTheme="minorEastAsia"/>
              <w:noProof/>
              <w:lang w:eastAsia="pl-PL"/>
            </w:rPr>
          </w:pPr>
          <w:hyperlink w:anchor="_Toc49171339" w:history="1">
            <w:r w:rsidR="00E37612" w:rsidRPr="00AD152F">
              <w:rPr>
                <w:rStyle w:val="Hipercze"/>
                <w:rFonts w:eastAsia="Times New Roman" w:cs="Times New Roman"/>
                <w:noProof/>
                <w:lang w:eastAsia="ar-SA"/>
              </w:rPr>
              <w:t>2.4.</w:t>
            </w:r>
            <w:r w:rsidR="00E37612">
              <w:rPr>
                <w:rFonts w:eastAsiaTheme="minorEastAsia"/>
                <w:noProof/>
                <w:lang w:eastAsia="pl-PL"/>
              </w:rPr>
              <w:tab/>
            </w:r>
            <w:r w:rsidR="00E37612" w:rsidRPr="00AD152F">
              <w:rPr>
                <w:rStyle w:val="Hipercze"/>
                <w:rFonts w:eastAsia="Times New Roman" w:cs="Times New Roman"/>
                <w:noProof/>
                <w:lang w:eastAsia="ar-SA"/>
              </w:rPr>
              <w:t>Ministerstwo Infrastruktury</w:t>
            </w:r>
            <w:r w:rsidR="00E37612">
              <w:rPr>
                <w:noProof/>
                <w:webHidden/>
              </w:rPr>
              <w:tab/>
            </w:r>
            <w:r w:rsidR="00E37612">
              <w:rPr>
                <w:noProof/>
                <w:webHidden/>
              </w:rPr>
              <w:fldChar w:fldCharType="begin"/>
            </w:r>
            <w:r w:rsidR="00E37612">
              <w:rPr>
                <w:noProof/>
                <w:webHidden/>
              </w:rPr>
              <w:instrText xml:space="preserve"> PAGEREF _Toc49171339 \h </w:instrText>
            </w:r>
            <w:r w:rsidR="00E37612">
              <w:rPr>
                <w:noProof/>
                <w:webHidden/>
              </w:rPr>
            </w:r>
            <w:r w:rsidR="00E37612">
              <w:rPr>
                <w:noProof/>
                <w:webHidden/>
              </w:rPr>
              <w:fldChar w:fldCharType="separate"/>
            </w:r>
            <w:r w:rsidR="00C154C9">
              <w:rPr>
                <w:noProof/>
                <w:webHidden/>
              </w:rPr>
              <w:t>86</w:t>
            </w:r>
            <w:r w:rsidR="00E37612">
              <w:rPr>
                <w:noProof/>
                <w:webHidden/>
              </w:rPr>
              <w:fldChar w:fldCharType="end"/>
            </w:r>
          </w:hyperlink>
        </w:p>
        <w:p w14:paraId="35260769" w14:textId="67DECBD6" w:rsidR="00E37612" w:rsidRDefault="00141E52">
          <w:pPr>
            <w:pStyle w:val="Spistreci2"/>
            <w:tabs>
              <w:tab w:val="left" w:pos="880"/>
            </w:tabs>
            <w:rPr>
              <w:rFonts w:eastAsiaTheme="minorEastAsia"/>
              <w:noProof/>
              <w:lang w:eastAsia="pl-PL"/>
            </w:rPr>
          </w:pPr>
          <w:hyperlink w:anchor="_Toc49171340" w:history="1">
            <w:r w:rsidR="00E37612" w:rsidRPr="00AD152F">
              <w:rPr>
                <w:rStyle w:val="Hipercze"/>
                <w:rFonts w:cs="Times New Roman"/>
                <w:noProof/>
                <w:lang w:eastAsia="ar-SA"/>
              </w:rPr>
              <w:t>2.5.</w:t>
            </w:r>
            <w:r w:rsidR="00E37612">
              <w:rPr>
                <w:rFonts w:eastAsiaTheme="minorEastAsia"/>
                <w:noProof/>
                <w:lang w:eastAsia="pl-PL"/>
              </w:rPr>
              <w:tab/>
            </w:r>
            <w:r w:rsidR="00E37612" w:rsidRPr="00AD152F">
              <w:rPr>
                <w:rStyle w:val="Hipercze"/>
                <w:rFonts w:cs="Times New Roman"/>
                <w:noProof/>
                <w:lang w:eastAsia="ar-SA"/>
              </w:rPr>
              <w:t>Ministerstwo Rolnictwa i Rozwoju Wsi</w:t>
            </w:r>
            <w:r w:rsidR="00E37612">
              <w:rPr>
                <w:noProof/>
                <w:webHidden/>
              </w:rPr>
              <w:tab/>
            </w:r>
            <w:r w:rsidR="00E37612">
              <w:rPr>
                <w:noProof/>
                <w:webHidden/>
              </w:rPr>
              <w:fldChar w:fldCharType="begin"/>
            </w:r>
            <w:r w:rsidR="00E37612">
              <w:rPr>
                <w:noProof/>
                <w:webHidden/>
              </w:rPr>
              <w:instrText xml:space="preserve"> PAGEREF _Toc49171340 \h </w:instrText>
            </w:r>
            <w:r w:rsidR="00E37612">
              <w:rPr>
                <w:noProof/>
                <w:webHidden/>
              </w:rPr>
            </w:r>
            <w:r w:rsidR="00E37612">
              <w:rPr>
                <w:noProof/>
                <w:webHidden/>
              </w:rPr>
              <w:fldChar w:fldCharType="separate"/>
            </w:r>
            <w:r w:rsidR="00C154C9">
              <w:rPr>
                <w:noProof/>
                <w:webHidden/>
              </w:rPr>
              <w:t>89</w:t>
            </w:r>
            <w:r w:rsidR="00E37612">
              <w:rPr>
                <w:noProof/>
                <w:webHidden/>
              </w:rPr>
              <w:fldChar w:fldCharType="end"/>
            </w:r>
          </w:hyperlink>
        </w:p>
        <w:p w14:paraId="0EF71154" w14:textId="272C74C8" w:rsidR="00E37612" w:rsidRDefault="00141E52">
          <w:pPr>
            <w:pStyle w:val="Spistreci2"/>
            <w:tabs>
              <w:tab w:val="left" w:pos="880"/>
            </w:tabs>
            <w:rPr>
              <w:rFonts w:eastAsiaTheme="minorEastAsia"/>
              <w:noProof/>
              <w:lang w:eastAsia="pl-PL"/>
            </w:rPr>
          </w:pPr>
          <w:hyperlink w:anchor="_Toc49171341" w:history="1">
            <w:r w:rsidR="00E37612" w:rsidRPr="00AD152F">
              <w:rPr>
                <w:rStyle w:val="Hipercze"/>
                <w:rFonts w:eastAsia="Times New Roman" w:cs="Times New Roman"/>
                <w:noProof/>
                <w:lang w:eastAsia="ar-SA"/>
              </w:rPr>
              <w:t>2.6.</w:t>
            </w:r>
            <w:r w:rsidR="00E37612">
              <w:rPr>
                <w:rFonts w:eastAsiaTheme="minorEastAsia"/>
                <w:noProof/>
                <w:lang w:eastAsia="pl-PL"/>
              </w:rPr>
              <w:tab/>
            </w:r>
            <w:r w:rsidR="00E37612" w:rsidRPr="00AD152F">
              <w:rPr>
                <w:rStyle w:val="Hipercze"/>
                <w:rFonts w:eastAsia="Times New Roman" w:cs="Times New Roman"/>
                <w:noProof/>
                <w:lang w:eastAsia="ar-SA"/>
              </w:rPr>
              <w:t>Ministerstwo Sportu</w:t>
            </w:r>
            <w:r w:rsidR="00E37612">
              <w:rPr>
                <w:noProof/>
                <w:webHidden/>
              </w:rPr>
              <w:tab/>
            </w:r>
            <w:r w:rsidR="00E37612">
              <w:rPr>
                <w:noProof/>
                <w:webHidden/>
              </w:rPr>
              <w:fldChar w:fldCharType="begin"/>
            </w:r>
            <w:r w:rsidR="00E37612">
              <w:rPr>
                <w:noProof/>
                <w:webHidden/>
              </w:rPr>
              <w:instrText xml:space="preserve"> PAGEREF _Toc49171341 \h </w:instrText>
            </w:r>
            <w:r w:rsidR="00E37612">
              <w:rPr>
                <w:noProof/>
                <w:webHidden/>
              </w:rPr>
            </w:r>
            <w:r w:rsidR="00E37612">
              <w:rPr>
                <w:noProof/>
                <w:webHidden/>
              </w:rPr>
              <w:fldChar w:fldCharType="separate"/>
            </w:r>
            <w:r w:rsidR="00C154C9">
              <w:rPr>
                <w:noProof/>
                <w:webHidden/>
              </w:rPr>
              <w:t>106</w:t>
            </w:r>
            <w:r w:rsidR="00E37612">
              <w:rPr>
                <w:noProof/>
                <w:webHidden/>
              </w:rPr>
              <w:fldChar w:fldCharType="end"/>
            </w:r>
          </w:hyperlink>
        </w:p>
        <w:p w14:paraId="37607040" w14:textId="73798269" w:rsidR="00E37612" w:rsidRDefault="00141E52">
          <w:pPr>
            <w:pStyle w:val="Spistreci2"/>
            <w:tabs>
              <w:tab w:val="left" w:pos="880"/>
            </w:tabs>
            <w:rPr>
              <w:rFonts w:eastAsiaTheme="minorEastAsia"/>
              <w:noProof/>
              <w:lang w:eastAsia="pl-PL"/>
            </w:rPr>
          </w:pPr>
          <w:hyperlink w:anchor="_Toc49171342" w:history="1">
            <w:r w:rsidR="00E37612" w:rsidRPr="00AD152F">
              <w:rPr>
                <w:rStyle w:val="Hipercze"/>
                <w:rFonts w:cs="Times New Roman"/>
                <w:noProof/>
                <w:lang w:eastAsia="ar-SA"/>
              </w:rPr>
              <w:t>2.7.</w:t>
            </w:r>
            <w:r w:rsidR="00E37612">
              <w:rPr>
                <w:rFonts w:eastAsiaTheme="minorEastAsia"/>
                <w:noProof/>
                <w:lang w:eastAsia="pl-PL"/>
              </w:rPr>
              <w:tab/>
            </w:r>
            <w:r w:rsidR="00E37612" w:rsidRPr="00AD152F">
              <w:rPr>
                <w:rStyle w:val="Hipercze"/>
                <w:rFonts w:cs="Times New Roman"/>
                <w:noProof/>
                <w:lang w:eastAsia="ar-SA"/>
              </w:rPr>
              <w:t>Ministerstwo Spraw Wewnętrznych i Administracji</w:t>
            </w:r>
            <w:r w:rsidR="00E37612">
              <w:rPr>
                <w:noProof/>
                <w:webHidden/>
              </w:rPr>
              <w:tab/>
            </w:r>
            <w:r w:rsidR="00E37612">
              <w:rPr>
                <w:noProof/>
                <w:webHidden/>
              </w:rPr>
              <w:fldChar w:fldCharType="begin"/>
            </w:r>
            <w:r w:rsidR="00E37612">
              <w:rPr>
                <w:noProof/>
                <w:webHidden/>
              </w:rPr>
              <w:instrText xml:space="preserve"> PAGEREF _Toc49171342 \h </w:instrText>
            </w:r>
            <w:r w:rsidR="00E37612">
              <w:rPr>
                <w:noProof/>
                <w:webHidden/>
              </w:rPr>
            </w:r>
            <w:r w:rsidR="00E37612">
              <w:rPr>
                <w:noProof/>
                <w:webHidden/>
              </w:rPr>
              <w:fldChar w:fldCharType="separate"/>
            </w:r>
            <w:r w:rsidR="00C154C9">
              <w:rPr>
                <w:noProof/>
                <w:webHidden/>
              </w:rPr>
              <w:t>111</w:t>
            </w:r>
            <w:r w:rsidR="00E37612">
              <w:rPr>
                <w:noProof/>
                <w:webHidden/>
              </w:rPr>
              <w:fldChar w:fldCharType="end"/>
            </w:r>
          </w:hyperlink>
        </w:p>
        <w:p w14:paraId="09BF0B97" w14:textId="14A89388" w:rsidR="00E37612" w:rsidRDefault="00141E52">
          <w:pPr>
            <w:pStyle w:val="Spistreci2"/>
            <w:tabs>
              <w:tab w:val="left" w:pos="880"/>
            </w:tabs>
            <w:rPr>
              <w:rFonts w:eastAsiaTheme="minorEastAsia"/>
              <w:noProof/>
              <w:lang w:eastAsia="pl-PL"/>
            </w:rPr>
          </w:pPr>
          <w:hyperlink w:anchor="_Toc49171343" w:history="1">
            <w:r w:rsidR="00E37612" w:rsidRPr="00AD152F">
              <w:rPr>
                <w:rStyle w:val="Hipercze"/>
                <w:rFonts w:cs="Times New Roman"/>
                <w:noProof/>
                <w:lang w:eastAsia="ar-SA"/>
              </w:rPr>
              <w:t>2.8.</w:t>
            </w:r>
            <w:r w:rsidR="00E37612">
              <w:rPr>
                <w:rFonts w:eastAsiaTheme="minorEastAsia"/>
                <w:noProof/>
                <w:lang w:eastAsia="pl-PL"/>
              </w:rPr>
              <w:tab/>
            </w:r>
            <w:r w:rsidR="00E37612" w:rsidRPr="00AD152F">
              <w:rPr>
                <w:rStyle w:val="Hipercze"/>
                <w:rFonts w:cs="Times New Roman"/>
                <w:noProof/>
                <w:lang w:eastAsia="ar-SA"/>
              </w:rPr>
              <w:t>Ministerstwo Nauki i Szkolnictwa Wyższego</w:t>
            </w:r>
            <w:r w:rsidR="00E37612">
              <w:rPr>
                <w:noProof/>
                <w:webHidden/>
              </w:rPr>
              <w:tab/>
            </w:r>
            <w:r w:rsidR="00E37612">
              <w:rPr>
                <w:noProof/>
                <w:webHidden/>
              </w:rPr>
              <w:fldChar w:fldCharType="begin"/>
            </w:r>
            <w:r w:rsidR="00E37612">
              <w:rPr>
                <w:noProof/>
                <w:webHidden/>
              </w:rPr>
              <w:instrText xml:space="preserve"> PAGEREF _Toc49171343 \h </w:instrText>
            </w:r>
            <w:r w:rsidR="00E37612">
              <w:rPr>
                <w:noProof/>
                <w:webHidden/>
              </w:rPr>
            </w:r>
            <w:r w:rsidR="00E37612">
              <w:rPr>
                <w:noProof/>
                <w:webHidden/>
              </w:rPr>
              <w:fldChar w:fldCharType="separate"/>
            </w:r>
            <w:r w:rsidR="00C154C9">
              <w:rPr>
                <w:noProof/>
                <w:webHidden/>
              </w:rPr>
              <w:t>119</w:t>
            </w:r>
            <w:r w:rsidR="00E37612">
              <w:rPr>
                <w:noProof/>
                <w:webHidden/>
              </w:rPr>
              <w:fldChar w:fldCharType="end"/>
            </w:r>
          </w:hyperlink>
        </w:p>
        <w:p w14:paraId="012C4626" w14:textId="3B046824" w:rsidR="00E37612" w:rsidRDefault="00141E52">
          <w:pPr>
            <w:pStyle w:val="Spistreci2"/>
            <w:tabs>
              <w:tab w:val="left" w:pos="880"/>
            </w:tabs>
            <w:rPr>
              <w:rFonts w:eastAsiaTheme="minorEastAsia"/>
              <w:noProof/>
              <w:lang w:eastAsia="pl-PL"/>
            </w:rPr>
          </w:pPr>
          <w:hyperlink w:anchor="_Toc49171344" w:history="1">
            <w:r w:rsidR="00E37612" w:rsidRPr="00AD152F">
              <w:rPr>
                <w:rStyle w:val="Hipercze"/>
                <w:rFonts w:cs="Times New Roman"/>
                <w:noProof/>
                <w:lang w:eastAsia="ar-SA"/>
              </w:rPr>
              <w:t>2.9.</w:t>
            </w:r>
            <w:r w:rsidR="00E37612">
              <w:rPr>
                <w:rFonts w:eastAsiaTheme="minorEastAsia"/>
                <w:noProof/>
                <w:lang w:eastAsia="pl-PL"/>
              </w:rPr>
              <w:tab/>
            </w:r>
            <w:r w:rsidR="00E37612" w:rsidRPr="00AD152F">
              <w:rPr>
                <w:rStyle w:val="Hipercze"/>
                <w:rFonts w:cs="Times New Roman"/>
                <w:noProof/>
                <w:lang w:eastAsia="ar-SA"/>
              </w:rPr>
              <w:t>Ministerstwo Klimatu</w:t>
            </w:r>
            <w:r w:rsidR="00E37612">
              <w:rPr>
                <w:noProof/>
                <w:webHidden/>
              </w:rPr>
              <w:tab/>
            </w:r>
            <w:r w:rsidR="00E37612">
              <w:rPr>
                <w:noProof/>
                <w:webHidden/>
              </w:rPr>
              <w:fldChar w:fldCharType="begin"/>
            </w:r>
            <w:r w:rsidR="00E37612">
              <w:rPr>
                <w:noProof/>
                <w:webHidden/>
              </w:rPr>
              <w:instrText xml:space="preserve"> PAGEREF _Toc49171344 \h </w:instrText>
            </w:r>
            <w:r w:rsidR="00E37612">
              <w:rPr>
                <w:noProof/>
                <w:webHidden/>
              </w:rPr>
            </w:r>
            <w:r w:rsidR="00E37612">
              <w:rPr>
                <w:noProof/>
                <w:webHidden/>
              </w:rPr>
              <w:fldChar w:fldCharType="separate"/>
            </w:r>
            <w:r w:rsidR="00C154C9">
              <w:rPr>
                <w:noProof/>
                <w:webHidden/>
              </w:rPr>
              <w:t>119</w:t>
            </w:r>
            <w:r w:rsidR="00E37612">
              <w:rPr>
                <w:noProof/>
                <w:webHidden/>
              </w:rPr>
              <w:fldChar w:fldCharType="end"/>
            </w:r>
          </w:hyperlink>
        </w:p>
        <w:p w14:paraId="1A8BCC51" w14:textId="56590A7F" w:rsidR="00E37612" w:rsidRDefault="00141E52">
          <w:pPr>
            <w:pStyle w:val="Spistreci2"/>
            <w:tabs>
              <w:tab w:val="left" w:pos="1100"/>
            </w:tabs>
            <w:rPr>
              <w:rFonts w:eastAsiaTheme="minorEastAsia"/>
              <w:noProof/>
              <w:lang w:eastAsia="pl-PL"/>
            </w:rPr>
          </w:pPr>
          <w:hyperlink w:anchor="_Toc49171345" w:history="1">
            <w:r w:rsidR="00E37612" w:rsidRPr="00AD152F">
              <w:rPr>
                <w:rStyle w:val="Hipercze"/>
                <w:rFonts w:cs="Times New Roman"/>
                <w:noProof/>
                <w:lang w:eastAsia="ar-SA"/>
              </w:rPr>
              <w:t>2.10.</w:t>
            </w:r>
            <w:r w:rsidR="00E37612">
              <w:rPr>
                <w:rFonts w:eastAsiaTheme="minorEastAsia"/>
                <w:noProof/>
                <w:lang w:eastAsia="pl-PL"/>
              </w:rPr>
              <w:tab/>
            </w:r>
            <w:r w:rsidR="00E37612" w:rsidRPr="00AD152F">
              <w:rPr>
                <w:rStyle w:val="Hipercze"/>
                <w:rFonts w:cs="Times New Roman"/>
                <w:noProof/>
                <w:lang w:eastAsia="ar-SA"/>
              </w:rPr>
              <w:t>Ministerstwo Finansów</w:t>
            </w:r>
            <w:r w:rsidR="00E37612">
              <w:rPr>
                <w:noProof/>
                <w:webHidden/>
              </w:rPr>
              <w:tab/>
            </w:r>
            <w:r w:rsidR="00E37612">
              <w:rPr>
                <w:noProof/>
                <w:webHidden/>
              </w:rPr>
              <w:fldChar w:fldCharType="begin"/>
            </w:r>
            <w:r w:rsidR="00E37612">
              <w:rPr>
                <w:noProof/>
                <w:webHidden/>
              </w:rPr>
              <w:instrText xml:space="preserve"> PAGEREF _Toc49171345 \h </w:instrText>
            </w:r>
            <w:r w:rsidR="00E37612">
              <w:rPr>
                <w:noProof/>
                <w:webHidden/>
              </w:rPr>
            </w:r>
            <w:r w:rsidR="00E37612">
              <w:rPr>
                <w:noProof/>
                <w:webHidden/>
              </w:rPr>
              <w:fldChar w:fldCharType="separate"/>
            </w:r>
            <w:r w:rsidR="00C154C9">
              <w:rPr>
                <w:noProof/>
                <w:webHidden/>
              </w:rPr>
              <w:t>121</w:t>
            </w:r>
            <w:r w:rsidR="00E37612">
              <w:rPr>
                <w:noProof/>
                <w:webHidden/>
              </w:rPr>
              <w:fldChar w:fldCharType="end"/>
            </w:r>
          </w:hyperlink>
        </w:p>
        <w:p w14:paraId="0029EEDC" w14:textId="32BC59DC" w:rsidR="00E37612" w:rsidRDefault="00141E52">
          <w:pPr>
            <w:pStyle w:val="Spistreci2"/>
            <w:tabs>
              <w:tab w:val="left" w:pos="1100"/>
            </w:tabs>
            <w:rPr>
              <w:rFonts w:eastAsiaTheme="minorEastAsia"/>
              <w:noProof/>
              <w:lang w:eastAsia="pl-PL"/>
            </w:rPr>
          </w:pPr>
          <w:hyperlink w:anchor="_Toc49171346" w:history="1">
            <w:r w:rsidR="00E37612" w:rsidRPr="00AD152F">
              <w:rPr>
                <w:rStyle w:val="Hipercze"/>
                <w:rFonts w:cs="Times New Roman"/>
                <w:noProof/>
                <w:lang w:eastAsia="ar-SA"/>
              </w:rPr>
              <w:t>2.11.</w:t>
            </w:r>
            <w:r w:rsidR="00E37612">
              <w:rPr>
                <w:rFonts w:eastAsiaTheme="minorEastAsia"/>
                <w:noProof/>
                <w:lang w:eastAsia="pl-PL"/>
              </w:rPr>
              <w:tab/>
            </w:r>
            <w:r w:rsidR="00E37612" w:rsidRPr="00AD152F">
              <w:rPr>
                <w:rStyle w:val="Hipercze"/>
                <w:rFonts w:cs="Times New Roman"/>
                <w:noProof/>
                <w:lang w:eastAsia="ar-SA"/>
              </w:rPr>
              <w:t>Ministerstwo Zdrowia</w:t>
            </w:r>
            <w:r w:rsidR="00E37612">
              <w:rPr>
                <w:noProof/>
                <w:webHidden/>
              </w:rPr>
              <w:tab/>
            </w:r>
            <w:r w:rsidR="00E37612">
              <w:rPr>
                <w:noProof/>
                <w:webHidden/>
              </w:rPr>
              <w:fldChar w:fldCharType="begin"/>
            </w:r>
            <w:r w:rsidR="00E37612">
              <w:rPr>
                <w:noProof/>
                <w:webHidden/>
              </w:rPr>
              <w:instrText xml:space="preserve"> PAGEREF _Toc49171346 \h </w:instrText>
            </w:r>
            <w:r w:rsidR="00E37612">
              <w:rPr>
                <w:noProof/>
                <w:webHidden/>
              </w:rPr>
            </w:r>
            <w:r w:rsidR="00E37612">
              <w:rPr>
                <w:noProof/>
                <w:webHidden/>
              </w:rPr>
              <w:fldChar w:fldCharType="separate"/>
            </w:r>
            <w:r w:rsidR="00C154C9">
              <w:rPr>
                <w:noProof/>
                <w:webHidden/>
              </w:rPr>
              <w:t>122</w:t>
            </w:r>
            <w:r w:rsidR="00E37612">
              <w:rPr>
                <w:noProof/>
                <w:webHidden/>
              </w:rPr>
              <w:fldChar w:fldCharType="end"/>
            </w:r>
          </w:hyperlink>
        </w:p>
        <w:p w14:paraId="63BD2C13" w14:textId="10DC4A7E" w:rsidR="00E37612" w:rsidRDefault="00141E52">
          <w:pPr>
            <w:pStyle w:val="Spistreci2"/>
            <w:tabs>
              <w:tab w:val="left" w:pos="1100"/>
            </w:tabs>
            <w:rPr>
              <w:rFonts w:eastAsiaTheme="minorEastAsia"/>
              <w:noProof/>
              <w:lang w:eastAsia="pl-PL"/>
            </w:rPr>
          </w:pPr>
          <w:hyperlink w:anchor="_Toc49171347" w:history="1">
            <w:r w:rsidR="00E37612" w:rsidRPr="00AD152F">
              <w:rPr>
                <w:rStyle w:val="Hipercze"/>
                <w:rFonts w:cs="Times New Roman"/>
                <w:noProof/>
                <w:lang w:eastAsia="ar-SA"/>
              </w:rPr>
              <w:t>2.12.</w:t>
            </w:r>
            <w:r w:rsidR="00E37612">
              <w:rPr>
                <w:rFonts w:eastAsiaTheme="minorEastAsia"/>
                <w:noProof/>
                <w:lang w:eastAsia="pl-PL"/>
              </w:rPr>
              <w:tab/>
            </w:r>
            <w:r w:rsidR="00E37612" w:rsidRPr="00AD152F">
              <w:rPr>
                <w:rStyle w:val="Hipercze"/>
                <w:rFonts w:cs="Times New Roman"/>
                <w:noProof/>
                <w:lang w:eastAsia="ar-SA"/>
              </w:rPr>
              <w:t>Ministerstwo Funduszy i Polityki Regionalnej</w:t>
            </w:r>
            <w:r w:rsidR="00E37612">
              <w:rPr>
                <w:noProof/>
                <w:webHidden/>
              </w:rPr>
              <w:tab/>
            </w:r>
            <w:r w:rsidR="00E37612">
              <w:rPr>
                <w:noProof/>
                <w:webHidden/>
              </w:rPr>
              <w:fldChar w:fldCharType="begin"/>
            </w:r>
            <w:r w:rsidR="00E37612">
              <w:rPr>
                <w:noProof/>
                <w:webHidden/>
              </w:rPr>
              <w:instrText xml:space="preserve"> PAGEREF _Toc49171347 \h </w:instrText>
            </w:r>
            <w:r w:rsidR="00E37612">
              <w:rPr>
                <w:noProof/>
                <w:webHidden/>
              </w:rPr>
            </w:r>
            <w:r w:rsidR="00E37612">
              <w:rPr>
                <w:noProof/>
                <w:webHidden/>
              </w:rPr>
              <w:fldChar w:fldCharType="separate"/>
            </w:r>
            <w:r w:rsidR="00C154C9">
              <w:rPr>
                <w:noProof/>
                <w:webHidden/>
              </w:rPr>
              <w:t>143</w:t>
            </w:r>
            <w:r w:rsidR="00E37612">
              <w:rPr>
                <w:noProof/>
                <w:webHidden/>
              </w:rPr>
              <w:fldChar w:fldCharType="end"/>
            </w:r>
          </w:hyperlink>
        </w:p>
        <w:p w14:paraId="6B50B54C" w14:textId="3AD2A918" w:rsidR="00E37612" w:rsidRDefault="00141E52">
          <w:pPr>
            <w:pStyle w:val="Spistreci2"/>
            <w:tabs>
              <w:tab w:val="left" w:pos="1100"/>
            </w:tabs>
            <w:rPr>
              <w:rFonts w:eastAsiaTheme="minorEastAsia"/>
              <w:noProof/>
              <w:lang w:eastAsia="pl-PL"/>
            </w:rPr>
          </w:pPr>
          <w:hyperlink w:anchor="_Toc49171348" w:history="1">
            <w:r w:rsidR="00E37612" w:rsidRPr="00AD152F">
              <w:rPr>
                <w:rStyle w:val="Hipercze"/>
                <w:rFonts w:cs="Times New Roman"/>
                <w:noProof/>
                <w:lang w:eastAsia="ar-SA"/>
              </w:rPr>
              <w:t>2.13.</w:t>
            </w:r>
            <w:r w:rsidR="00E37612">
              <w:rPr>
                <w:rFonts w:eastAsiaTheme="minorEastAsia"/>
                <w:noProof/>
                <w:lang w:eastAsia="pl-PL"/>
              </w:rPr>
              <w:tab/>
            </w:r>
            <w:r w:rsidR="00E37612" w:rsidRPr="00AD152F">
              <w:rPr>
                <w:rStyle w:val="Hipercze"/>
                <w:rFonts w:cs="Times New Roman"/>
                <w:noProof/>
                <w:lang w:eastAsia="ar-SA"/>
              </w:rPr>
              <w:t>Ministerstwo Cyfryzacji</w:t>
            </w:r>
            <w:r w:rsidR="00E37612">
              <w:rPr>
                <w:noProof/>
                <w:webHidden/>
              </w:rPr>
              <w:tab/>
            </w:r>
            <w:r w:rsidR="00E37612">
              <w:rPr>
                <w:noProof/>
                <w:webHidden/>
              </w:rPr>
              <w:fldChar w:fldCharType="begin"/>
            </w:r>
            <w:r w:rsidR="00E37612">
              <w:rPr>
                <w:noProof/>
                <w:webHidden/>
              </w:rPr>
              <w:instrText xml:space="preserve"> PAGEREF _Toc49171348 \h </w:instrText>
            </w:r>
            <w:r w:rsidR="00E37612">
              <w:rPr>
                <w:noProof/>
                <w:webHidden/>
              </w:rPr>
            </w:r>
            <w:r w:rsidR="00E37612">
              <w:rPr>
                <w:noProof/>
                <w:webHidden/>
              </w:rPr>
              <w:fldChar w:fldCharType="separate"/>
            </w:r>
            <w:r w:rsidR="00C154C9">
              <w:rPr>
                <w:noProof/>
                <w:webHidden/>
              </w:rPr>
              <w:t>153</w:t>
            </w:r>
            <w:r w:rsidR="00E37612">
              <w:rPr>
                <w:noProof/>
                <w:webHidden/>
              </w:rPr>
              <w:fldChar w:fldCharType="end"/>
            </w:r>
          </w:hyperlink>
        </w:p>
        <w:p w14:paraId="124813BB" w14:textId="2FDCC77B" w:rsidR="00E37612" w:rsidRDefault="00141E52">
          <w:pPr>
            <w:pStyle w:val="Spistreci2"/>
            <w:tabs>
              <w:tab w:val="left" w:pos="1100"/>
            </w:tabs>
            <w:rPr>
              <w:rFonts w:eastAsiaTheme="minorEastAsia"/>
              <w:noProof/>
              <w:lang w:eastAsia="pl-PL"/>
            </w:rPr>
          </w:pPr>
          <w:hyperlink w:anchor="_Toc49171349" w:history="1">
            <w:r w:rsidR="00E37612" w:rsidRPr="00AD152F">
              <w:rPr>
                <w:rStyle w:val="Hipercze"/>
                <w:rFonts w:cs="Times New Roman"/>
                <w:noProof/>
                <w:lang w:eastAsia="ar-SA"/>
              </w:rPr>
              <w:t>2.14.</w:t>
            </w:r>
            <w:r w:rsidR="00E37612">
              <w:rPr>
                <w:rFonts w:eastAsiaTheme="minorEastAsia"/>
                <w:noProof/>
                <w:lang w:eastAsia="pl-PL"/>
              </w:rPr>
              <w:tab/>
            </w:r>
            <w:r w:rsidR="00E37612" w:rsidRPr="00AD152F">
              <w:rPr>
                <w:rStyle w:val="Hipercze"/>
                <w:rFonts w:cs="Times New Roman"/>
                <w:noProof/>
                <w:lang w:eastAsia="ar-SA"/>
              </w:rPr>
              <w:t>Ministerstwo Sprawiedliwości</w:t>
            </w:r>
            <w:r w:rsidR="00E37612">
              <w:rPr>
                <w:noProof/>
                <w:webHidden/>
              </w:rPr>
              <w:tab/>
            </w:r>
            <w:r w:rsidR="00E37612">
              <w:rPr>
                <w:noProof/>
                <w:webHidden/>
              </w:rPr>
              <w:fldChar w:fldCharType="begin"/>
            </w:r>
            <w:r w:rsidR="00E37612">
              <w:rPr>
                <w:noProof/>
                <w:webHidden/>
              </w:rPr>
              <w:instrText xml:space="preserve"> PAGEREF _Toc49171349 \h </w:instrText>
            </w:r>
            <w:r w:rsidR="00E37612">
              <w:rPr>
                <w:noProof/>
                <w:webHidden/>
              </w:rPr>
            </w:r>
            <w:r w:rsidR="00E37612">
              <w:rPr>
                <w:noProof/>
                <w:webHidden/>
              </w:rPr>
              <w:fldChar w:fldCharType="separate"/>
            </w:r>
            <w:r w:rsidR="00C154C9">
              <w:rPr>
                <w:noProof/>
                <w:webHidden/>
              </w:rPr>
              <w:t>153</w:t>
            </w:r>
            <w:r w:rsidR="00E37612">
              <w:rPr>
                <w:noProof/>
                <w:webHidden/>
              </w:rPr>
              <w:fldChar w:fldCharType="end"/>
            </w:r>
          </w:hyperlink>
        </w:p>
        <w:p w14:paraId="7229AECB" w14:textId="26F58768" w:rsidR="00E37612" w:rsidRDefault="00141E52">
          <w:pPr>
            <w:pStyle w:val="Spistreci2"/>
            <w:tabs>
              <w:tab w:val="left" w:pos="1100"/>
            </w:tabs>
            <w:rPr>
              <w:rFonts w:eastAsiaTheme="minorEastAsia"/>
              <w:noProof/>
              <w:lang w:eastAsia="pl-PL"/>
            </w:rPr>
          </w:pPr>
          <w:hyperlink w:anchor="_Toc49171350" w:history="1">
            <w:r w:rsidR="00E37612" w:rsidRPr="00AD152F">
              <w:rPr>
                <w:rStyle w:val="Hipercze"/>
                <w:rFonts w:cs="Times New Roman"/>
                <w:noProof/>
                <w:lang w:eastAsia="ar-SA"/>
              </w:rPr>
              <w:t>2.15.</w:t>
            </w:r>
            <w:r w:rsidR="00E37612">
              <w:rPr>
                <w:rFonts w:eastAsiaTheme="minorEastAsia"/>
                <w:noProof/>
                <w:lang w:eastAsia="pl-PL"/>
              </w:rPr>
              <w:tab/>
            </w:r>
            <w:r w:rsidR="00E37612" w:rsidRPr="00AD152F">
              <w:rPr>
                <w:rStyle w:val="Hipercze"/>
                <w:rFonts w:cs="Times New Roman"/>
                <w:noProof/>
                <w:lang w:eastAsia="ar-SA"/>
              </w:rPr>
              <w:t>Ministerstwo Edukacji Narodowej</w:t>
            </w:r>
            <w:r w:rsidR="00E37612">
              <w:rPr>
                <w:noProof/>
                <w:webHidden/>
              </w:rPr>
              <w:tab/>
            </w:r>
            <w:r w:rsidR="00E37612">
              <w:rPr>
                <w:noProof/>
                <w:webHidden/>
              </w:rPr>
              <w:fldChar w:fldCharType="begin"/>
            </w:r>
            <w:r w:rsidR="00E37612">
              <w:rPr>
                <w:noProof/>
                <w:webHidden/>
              </w:rPr>
              <w:instrText xml:space="preserve"> PAGEREF _Toc49171350 \h </w:instrText>
            </w:r>
            <w:r w:rsidR="00E37612">
              <w:rPr>
                <w:noProof/>
                <w:webHidden/>
              </w:rPr>
            </w:r>
            <w:r w:rsidR="00E37612">
              <w:rPr>
                <w:noProof/>
                <w:webHidden/>
              </w:rPr>
              <w:fldChar w:fldCharType="separate"/>
            </w:r>
            <w:r w:rsidR="00C154C9">
              <w:rPr>
                <w:noProof/>
                <w:webHidden/>
              </w:rPr>
              <w:t>177</w:t>
            </w:r>
            <w:r w:rsidR="00E37612">
              <w:rPr>
                <w:noProof/>
                <w:webHidden/>
              </w:rPr>
              <w:fldChar w:fldCharType="end"/>
            </w:r>
          </w:hyperlink>
        </w:p>
        <w:p w14:paraId="442394FC" w14:textId="3BEA368C" w:rsidR="00E37612" w:rsidRDefault="00141E52">
          <w:pPr>
            <w:pStyle w:val="Spistreci2"/>
            <w:tabs>
              <w:tab w:val="left" w:pos="1100"/>
            </w:tabs>
            <w:rPr>
              <w:rFonts w:eastAsiaTheme="minorEastAsia"/>
              <w:noProof/>
              <w:lang w:eastAsia="pl-PL"/>
            </w:rPr>
          </w:pPr>
          <w:hyperlink w:anchor="_Toc49171351" w:history="1">
            <w:r w:rsidR="00E37612" w:rsidRPr="00AD152F">
              <w:rPr>
                <w:rStyle w:val="Hipercze"/>
                <w:rFonts w:cs="Times New Roman"/>
                <w:noProof/>
                <w:lang w:eastAsia="ar-SA"/>
              </w:rPr>
              <w:t>2.16.</w:t>
            </w:r>
            <w:r w:rsidR="00E37612">
              <w:rPr>
                <w:rFonts w:eastAsiaTheme="minorEastAsia"/>
                <w:noProof/>
                <w:lang w:eastAsia="pl-PL"/>
              </w:rPr>
              <w:tab/>
            </w:r>
            <w:r w:rsidR="00E37612" w:rsidRPr="00AD152F">
              <w:rPr>
                <w:rStyle w:val="Hipercze"/>
                <w:rFonts w:cs="Times New Roman"/>
                <w:noProof/>
                <w:lang w:eastAsia="ar-SA"/>
              </w:rPr>
              <w:t>Ministerstwo Środowiska</w:t>
            </w:r>
            <w:r w:rsidR="00E37612">
              <w:rPr>
                <w:noProof/>
                <w:webHidden/>
              </w:rPr>
              <w:tab/>
            </w:r>
            <w:r w:rsidR="00E37612">
              <w:rPr>
                <w:noProof/>
                <w:webHidden/>
              </w:rPr>
              <w:fldChar w:fldCharType="begin"/>
            </w:r>
            <w:r w:rsidR="00E37612">
              <w:rPr>
                <w:noProof/>
                <w:webHidden/>
              </w:rPr>
              <w:instrText xml:space="preserve"> PAGEREF _Toc49171351 \h </w:instrText>
            </w:r>
            <w:r w:rsidR="00E37612">
              <w:rPr>
                <w:noProof/>
                <w:webHidden/>
              </w:rPr>
            </w:r>
            <w:r w:rsidR="00E37612">
              <w:rPr>
                <w:noProof/>
                <w:webHidden/>
              </w:rPr>
              <w:fldChar w:fldCharType="separate"/>
            </w:r>
            <w:r w:rsidR="00C154C9">
              <w:rPr>
                <w:noProof/>
                <w:webHidden/>
              </w:rPr>
              <w:t>184</w:t>
            </w:r>
            <w:r w:rsidR="00E37612">
              <w:rPr>
                <w:noProof/>
                <w:webHidden/>
              </w:rPr>
              <w:fldChar w:fldCharType="end"/>
            </w:r>
          </w:hyperlink>
        </w:p>
        <w:p w14:paraId="24176F79" w14:textId="3747F5C2" w:rsidR="00E37612" w:rsidRDefault="00141E52">
          <w:pPr>
            <w:pStyle w:val="Spistreci2"/>
            <w:tabs>
              <w:tab w:val="left" w:pos="1100"/>
            </w:tabs>
            <w:rPr>
              <w:rFonts w:eastAsiaTheme="minorEastAsia"/>
              <w:noProof/>
              <w:lang w:eastAsia="pl-PL"/>
            </w:rPr>
          </w:pPr>
          <w:hyperlink w:anchor="_Toc49171352" w:history="1">
            <w:r w:rsidR="00E37612" w:rsidRPr="00AD152F">
              <w:rPr>
                <w:rStyle w:val="Hipercze"/>
                <w:rFonts w:cs="Times New Roman"/>
                <w:noProof/>
                <w:lang w:eastAsia="ar-SA"/>
              </w:rPr>
              <w:t>2.17.</w:t>
            </w:r>
            <w:r w:rsidR="00E37612">
              <w:rPr>
                <w:rFonts w:eastAsiaTheme="minorEastAsia"/>
                <w:noProof/>
                <w:lang w:eastAsia="pl-PL"/>
              </w:rPr>
              <w:tab/>
            </w:r>
            <w:r w:rsidR="00E37612" w:rsidRPr="00AD152F">
              <w:rPr>
                <w:rStyle w:val="Hipercze"/>
                <w:rFonts w:cs="Times New Roman"/>
                <w:noProof/>
                <w:lang w:eastAsia="ar-SA"/>
              </w:rPr>
              <w:t>Narodowy Instytut Wolności – Centrum Rozwoju Społeczeństwa Obywatelskiego</w:t>
            </w:r>
            <w:r w:rsidR="00E37612">
              <w:rPr>
                <w:noProof/>
                <w:webHidden/>
              </w:rPr>
              <w:tab/>
            </w:r>
            <w:r w:rsidR="00E37612">
              <w:rPr>
                <w:noProof/>
                <w:webHidden/>
              </w:rPr>
              <w:fldChar w:fldCharType="begin"/>
            </w:r>
            <w:r w:rsidR="00E37612">
              <w:rPr>
                <w:noProof/>
                <w:webHidden/>
              </w:rPr>
              <w:instrText xml:space="preserve"> PAGEREF _Toc49171352 \h </w:instrText>
            </w:r>
            <w:r w:rsidR="00E37612">
              <w:rPr>
                <w:noProof/>
                <w:webHidden/>
              </w:rPr>
            </w:r>
            <w:r w:rsidR="00E37612">
              <w:rPr>
                <w:noProof/>
                <w:webHidden/>
              </w:rPr>
              <w:fldChar w:fldCharType="separate"/>
            </w:r>
            <w:r w:rsidR="00C154C9">
              <w:rPr>
                <w:noProof/>
                <w:webHidden/>
              </w:rPr>
              <w:t>195</w:t>
            </w:r>
            <w:r w:rsidR="00E37612">
              <w:rPr>
                <w:noProof/>
                <w:webHidden/>
              </w:rPr>
              <w:fldChar w:fldCharType="end"/>
            </w:r>
          </w:hyperlink>
        </w:p>
        <w:p w14:paraId="321C4C53" w14:textId="0174B3DD" w:rsidR="00E37612" w:rsidRDefault="00141E52">
          <w:pPr>
            <w:pStyle w:val="Spistreci2"/>
            <w:tabs>
              <w:tab w:val="left" w:pos="1100"/>
            </w:tabs>
            <w:rPr>
              <w:rFonts w:eastAsiaTheme="minorEastAsia"/>
              <w:noProof/>
              <w:lang w:eastAsia="pl-PL"/>
            </w:rPr>
          </w:pPr>
          <w:hyperlink w:anchor="_Toc49171353" w:history="1">
            <w:r w:rsidR="00E37612" w:rsidRPr="00AD152F">
              <w:rPr>
                <w:rStyle w:val="Hipercze"/>
                <w:rFonts w:cs="Times New Roman"/>
                <w:noProof/>
                <w:lang w:eastAsia="ar-SA"/>
              </w:rPr>
              <w:t>2.18.</w:t>
            </w:r>
            <w:r w:rsidR="00E37612">
              <w:rPr>
                <w:rFonts w:eastAsiaTheme="minorEastAsia"/>
                <w:noProof/>
                <w:lang w:eastAsia="pl-PL"/>
              </w:rPr>
              <w:tab/>
            </w:r>
            <w:r w:rsidR="00E37612" w:rsidRPr="00AD152F">
              <w:rPr>
                <w:rStyle w:val="Hipercze"/>
                <w:rFonts w:cs="Times New Roman"/>
                <w:noProof/>
                <w:lang w:eastAsia="ar-SA"/>
              </w:rPr>
              <w:t>Zakład Ubezpieczeń Społecznych</w:t>
            </w:r>
            <w:r w:rsidR="00E37612">
              <w:rPr>
                <w:noProof/>
                <w:webHidden/>
              </w:rPr>
              <w:tab/>
            </w:r>
            <w:r w:rsidR="00E37612">
              <w:rPr>
                <w:noProof/>
                <w:webHidden/>
              </w:rPr>
              <w:fldChar w:fldCharType="begin"/>
            </w:r>
            <w:r w:rsidR="00E37612">
              <w:rPr>
                <w:noProof/>
                <w:webHidden/>
              </w:rPr>
              <w:instrText xml:space="preserve"> PAGEREF _Toc49171353 \h </w:instrText>
            </w:r>
            <w:r w:rsidR="00E37612">
              <w:rPr>
                <w:noProof/>
                <w:webHidden/>
              </w:rPr>
            </w:r>
            <w:r w:rsidR="00E37612">
              <w:rPr>
                <w:noProof/>
                <w:webHidden/>
              </w:rPr>
              <w:fldChar w:fldCharType="separate"/>
            </w:r>
            <w:r w:rsidR="00C154C9">
              <w:rPr>
                <w:noProof/>
                <w:webHidden/>
              </w:rPr>
              <w:t>197</w:t>
            </w:r>
            <w:r w:rsidR="00E37612">
              <w:rPr>
                <w:noProof/>
                <w:webHidden/>
              </w:rPr>
              <w:fldChar w:fldCharType="end"/>
            </w:r>
          </w:hyperlink>
        </w:p>
        <w:p w14:paraId="02A8DE0E" w14:textId="23A7AAFA" w:rsidR="00E37612" w:rsidRDefault="00141E52">
          <w:pPr>
            <w:pStyle w:val="Spistreci2"/>
            <w:tabs>
              <w:tab w:val="left" w:pos="1100"/>
            </w:tabs>
            <w:rPr>
              <w:rFonts w:eastAsiaTheme="minorEastAsia"/>
              <w:noProof/>
              <w:lang w:eastAsia="pl-PL"/>
            </w:rPr>
          </w:pPr>
          <w:hyperlink w:anchor="_Toc49171354" w:history="1">
            <w:r w:rsidR="00E37612" w:rsidRPr="00AD152F">
              <w:rPr>
                <w:rStyle w:val="Hipercze"/>
                <w:rFonts w:cs="Times New Roman"/>
                <w:noProof/>
                <w:lang w:eastAsia="ar-SA"/>
              </w:rPr>
              <w:t>2.19.</w:t>
            </w:r>
            <w:r w:rsidR="00E37612">
              <w:rPr>
                <w:rFonts w:eastAsiaTheme="minorEastAsia"/>
                <w:noProof/>
                <w:lang w:eastAsia="pl-PL"/>
              </w:rPr>
              <w:tab/>
            </w:r>
            <w:r w:rsidR="00E37612" w:rsidRPr="00AD152F">
              <w:rPr>
                <w:rStyle w:val="Hipercze"/>
                <w:rFonts w:cs="Times New Roman"/>
                <w:noProof/>
                <w:lang w:eastAsia="ar-SA"/>
              </w:rPr>
              <w:t>Urząd Ochrony Konkurencji i Konsumentów</w:t>
            </w:r>
            <w:r w:rsidR="00E37612">
              <w:rPr>
                <w:noProof/>
                <w:webHidden/>
              </w:rPr>
              <w:tab/>
            </w:r>
            <w:r w:rsidR="00E37612">
              <w:rPr>
                <w:noProof/>
                <w:webHidden/>
              </w:rPr>
              <w:fldChar w:fldCharType="begin"/>
            </w:r>
            <w:r w:rsidR="00E37612">
              <w:rPr>
                <w:noProof/>
                <w:webHidden/>
              </w:rPr>
              <w:instrText xml:space="preserve"> PAGEREF _Toc49171354 \h </w:instrText>
            </w:r>
            <w:r w:rsidR="00E37612">
              <w:rPr>
                <w:noProof/>
                <w:webHidden/>
              </w:rPr>
            </w:r>
            <w:r w:rsidR="00E37612">
              <w:rPr>
                <w:noProof/>
                <w:webHidden/>
              </w:rPr>
              <w:fldChar w:fldCharType="separate"/>
            </w:r>
            <w:r w:rsidR="00C154C9">
              <w:rPr>
                <w:noProof/>
                <w:webHidden/>
              </w:rPr>
              <w:t>204</w:t>
            </w:r>
            <w:r w:rsidR="00E37612">
              <w:rPr>
                <w:noProof/>
                <w:webHidden/>
              </w:rPr>
              <w:fldChar w:fldCharType="end"/>
            </w:r>
          </w:hyperlink>
        </w:p>
        <w:p w14:paraId="235B60A8" w14:textId="0FF28066" w:rsidR="00E37612" w:rsidRDefault="00141E52">
          <w:pPr>
            <w:pStyle w:val="Spistreci1"/>
            <w:rPr>
              <w:rFonts w:eastAsiaTheme="minorEastAsia"/>
              <w:noProof/>
              <w:lang w:eastAsia="pl-PL"/>
            </w:rPr>
          </w:pPr>
          <w:hyperlink w:anchor="_Toc49171355" w:history="1">
            <w:r w:rsidR="00E37612" w:rsidRPr="00AD152F">
              <w:rPr>
                <w:rStyle w:val="Hipercze"/>
                <w:noProof/>
                <w:lang w:eastAsia="ar-SA"/>
              </w:rPr>
              <w:t>3.</w:t>
            </w:r>
            <w:r w:rsidR="00E37612">
              <w:rPr>
                <w:rFonts w:eastAsiaTheme="minorEastAsia"/>
                <w:noProof/>
                <w:lang w:eastAsia="pl-PL"/>
              </w:rPr>
              <w:tab/>
            </w:r>
            <w:r w:rsidR="00E37612" w:rsidRPr="00AD152F">
              <w:rPr>
                <w:rStyle w:val="Hipercze"/>
                <w:noProof/>
                <w:lang w:eastAsia="ar-SA"/>
              </w:rPr>
              <w:t>Polityka społeczna wobec osób starszych na szczeblu regionalnym</w:t>
            </w:r>
            <w:r w:rsidR="00E37612">
              <w:rPr>
                <w:noProof/>
                <w:webHidden/>
              </w:rPr>
              <w:tab/>
            </w:r>
            <w:r w:rsidR="00E37612">
              <w:rPr>
                <w:noProof/>
                <w:webHidden/>
              </w:rPr>
              <w:fldChar w:fldCharType="begin"/>
            </w:r>
            <w:r w:rsidR="00E37612">
              <w:rPr>
                <w:noProof/>
                <w:webHidden/>
              </w:rPr>
              <w:instrText xml:space="preserve"> PAGEREF _Toc49171355 \h </w:instrText>
            </w:r>
            <w:r w:rsidR="00E37612">
              <w:rPr>
                <w:noProof/>
                <w:webHidden/>
              </w:rPr>
            </w:r>
            <w:r w:rsidR="00E37612">
              <w:rPr>
                <w:noProof/>
                <w:webHidden/>
              </w:rPr>
              <w:fldChar w:fldCharType="separate"/>
            </w:r>
            <w:r w:rsidR="00C154C9">
              <w:rPr>
                <w:noProof/>
                <w:webHidden/>
              </w:rPr>
              <w:t>220</w:t>
            </w:r>
            <w:r w:rsidR="00E37612">
              <w:rPr>
                <w:noProof/>
                <w:webHidden/>
              </w:rPr>
              <w:fldChar w:fldCharType="end"/>
            </w:r>
          </w:hyperlink>
        </w:p>
        <w:p w14:paraId="0397CEE6" w14:textId="2BCDA5BB" w:rsidR="00E37612" w:rsidRDefault="00141E52">
          <w:pPr>
            <w:pStyle w:val="Spistreci2"/>
            <w:tabs>
              <w:tab w:val="left" w:pos="880"/>
            </w:tabs>
            <w:rPr>
              <w:rFonts w:eastAsiaTheme="minorEastAsia"/>
              <w:noProof/>
              <w:lang w:eastAsia="pl-PL"/>
            </w:rPr>
          </w:pPr>
          <w:hyperlink w:anchor="_Toc49171356" w:history="1">
            <w:r w:rsidR="00E37612" w:rsidRPr="00AD152F">
              <w:rPr>
                <w:rStyle w:val="Hipercze"/>
                <w:rFonts w:eastAsia="Times New Roman" w:cs="Times New Roman"/>
                <w:noProof/>
                <w:lang w:eastAsia="ar-SA"/>
              </w:rPr>
              <w:t>3.1.</w:t>
            </w:r>
            <w:r w:rsidR="00E37612">
              <w:rPr>
                <w:rFonts w:eastAsiaTheme="minorEastAsia"/>
                <w:noProof/>
                <w:lang w:eastAsia="pl-PL"/>
              </w:rPr>
              <w:tab/>
            </w:r>
            <w:r w:rsidR="00E37612" w:rsidRPr="00AD152F">
              <w:rPr>
                <w:rStyle w:val="Hipercze"/>
                <w:rFonts w:eastAsia="Times New Roman" w:cs="Times New Roman"/>
                <w:noProof/>
                <w:lang w:eastAsia="ar-SA"/>
              </w:rPr>
              <w:t>Województwo dolnośląskie</w:t>
            </w:r>
            <w:r w:rsidR="00E37612">
              <w:rPr>
                <w:noProof/>
                <w:webHidden/>
              </w:rPr>
              <w:tab/>
            </w:r>
            <w:r w:rsidR="00E37612">
              <w:rPr>
                <w:noProof/>
                <w:webHidden/>
              </w:rPr>
              <w:fldChar w:fldCharType="begin"/>
            </w:r>
            <w:r w:rsidR="00E37612">
              <w:rPr>
                <w:noProof/>
                <w:webHidden/>
              </w:rPr>
              <w:instrText xml:space="preserve"> PAGEREF _Toc49171356 \h </w:instrText>
            </w:r>
            <w:r w:rsidR="00E37612">
              <w:rPr>
                <w:noProof/>
                <w:webHidden/>
              </w:rPr>
            </w:r>
            <w:r w:rsidR="00E37612">
              <w:rPr>
                <w:noProof/>
                <w:webHidden/>
              </w:rPr>
              <w:fldChar w:fldCharType="separate"/>
            </w:r>
            <w:r w:rsidR="00C154C9">
              <w:rPr>
                <w:noProof/>
                <w:webHidden/>
              </w:rPr>
              <w:t>220</w:t>
            </w:r>
            <w:r w:rsidR="00E37612">
              <w:rPr>
                <w:noProof/>
                <w:webHidden/>
              </w:rPr>
              <w:fldChar w:fldCharType="end"/>
            </w:r>
          </w:hyperlink>
        </w:p>
        <w:p w14:paraId="71E90B11" w14:textId="5C0351FF" w:rsidR="00E37612" w:rsidRDefault="00141E52">
          <w:pPr>
            <w:pStyle w:val="Spistreci2"/>
            <w:tabs>
              <w:tab w:val="left" w:pos="880"/>
            </w:tabs>
            <w:rPr>
              <w:rFonts w:eastAsiaTheme="minorEastAsia"/>
              <w:noProof/>
              <w:lang w:eastAsia="pl-PL"/>
            </w:rPr>
          </w:pPr>
          <w:hyperlink w:anchor="_Toc49171357" w:history="1">
            <w:r w:rsidR="00E37612" w:rsidRPr="00AD152F">
              <w:rPr>
                <w:rStyle w:val="Hipercze"/>
                <w:rFonts w:eastAsia="Times New Roman" w:cs="Times New Roman"/>
                <w:noProof/>
                <w:lang w:eastAsia="ar-SA"/>
              </w:rPr>
              <w:t>3.2.</w:t>
            </w:r>
            <w:r w:rsidR="00E37612">
              <w:rPr>
                <w:rFonts w:eastAsiaTheme="minorEastAsia"/>
                <w:noProof/>
                <w:lang w:eastAsia="pl-PL"/>
              </w:rPr>
              <w:tab/>
            </w:r>
            <w:r w:rsidR="00E37612" w:rsidRPr="00AD152F">
              <w:rPr>
                <w:rStyle w:val="Hipercze"/>
                <w:rFonts w:eastAsia="Times New Roman" w:cs="Times New Roman"/>
                <w:noProof/>
                <w:lang w:eastAsia="ar-SA"/>
              </w:rPr>
              <w:t>Województwo kujawsko-pomorskie</w:t>
            </w:r>
            <w:r w:rsidR="00E37612">
              <w:rPr>
                <w:noProof/>
                <w:webHidden/>
              </w:rPr>
              <w:tab/>
            </w:r>
            <w:r w:rsidR="00E37612">
              <w:rPr>
                <w:noProof/>
                <w:webHidden/>
              </w:rPr>
              <w:fldChar w:fldCharType="begin"/>
            </w:r>
            <w:r w:rsidR="00E37612">
              <w:rPr>
                <w:noProof/>
                <w:webHidden/>
              </w:rPr>
              <w:instrText xml:space="preserve"> PAGEREF _Toc49171357 \h </w:instrText>
            </w:r>
            <w:r w:rsidR="00E37612">
              <w:rPr>
                <w:noProof/>
                <w:webHidden/>
              </w:rPr>
            </w:r>
            <w:r w:rsidR="00E37612">
              <w:rPr>
                <w:noProof/>
                <w:webHidden/>
              </w:rPr>
              <w:fldChar w:fldCharType="separate"/>
            </w:r>
            <w:r w:rsidR="00C154C9">
              <w:rPr>
                <w:noProof/>
                <w:webHidden/>
              </w:rPr>
              <w:t>230</w:t>
            </w:r>
            <w:r w:rsidR="00E37612">
              <w:rPr>
                <w:noProof/>
                <w:webHidden/>
              </w:rPr>
              <w:fldChar w:fldCharType="end"/>
            </w:r>
          </w:hyperlink>
        </w:p>
        <w:p w14:paraId="145A9040" w14:textId="35225893" w:rsidR="00E37612" w:rsidRDefault="00141E52">
          <w:pPr>
            <w:pStyle w:val="Spistreci2"/>
            <w:tabs>
              <w:tab w:val="left" w:pos="880"/>
            </w:tabs>
            <w:rPr>
              <w:rFonts w:eastAsiaTheme="minorEastAsia"/>
              <w:noProof/>
              <w:lang w:eastAsia="pl-PL"/>
            </w:rPr>
          </w:pPr>
          <w:hyperlink w:anchor="_Toc49171358" w:history="1">
            <w:r w:rsidR="00E37612" w:rsidRPr="00AD152F">
              <w:rPr>
                <w:rStyle w:val="Hipercze"/>
                <w:rFonts w:eastAsia="Times New Roman" w:cs="Times New Roman"/>
                <w:noProof/>
                <w:lang w:eastAsia="ar-SA"/>
              </w:rPr>
              <w:t>3.3.</w:t>
            </w:r>
            <w:r w:rsidR="00E37612">
              <w:rPr>
                <w:rFonts w:eastAsiaTheme="minorEastAsia"/>
                <w:noProof/>
                <w:lang w:eastAsia="pl-PL"/>
              </w:rPr>
              <w:tab/>
            </w:r>
            <w:r w:rsidR="00E37612" w:rsidRPr="00AD152F">
              <w:rPr>
                <w:rStyle w:val="Hipercze"/>
                <w:rFonts w:eastAsia="Times New Roman" w:cs="Times New Roman"/>
                <w:noProof/>
                <w:lang w:eastAsia="ar-SA"/>
              </w:rPr>
              <w:t>Województwo lubelskie</w:t>
            </w:r>
            <w:r w:rsidR="00E37612">
              <w:rPr>
                <w:noProof/>
                <w:webHidden/>
              </w:rPr>
              <w:tab/>
            </w:r>
            <w:r w:rsidR="00E37612">
              <w:rPr>
                <w:noProof/>
                <w:webHidden/>
              </w:rPr>
              <w:fldChar w:fldCharType="begin"/>
            </w:r>
            <w:r w:rsidR="00E37612">
              <w:rPr>
                <w:noProof/>
                <w:webHidden/>
              </w:rPr>
              <w:instrText xml:space="preserve"> PAGEREF _Toc49171358 \h </w:instrText>
            </w:r>
            <w:r w:rsidR="00E37612">
              <w:rPr>
                <w:noProof/>
                <w:webHidden/>
              </w:rPr>
            </w:r>
            <w:r w:rsidR="00E37612">
              <w:rPr>
                <w:noProof/>
                <w:webHidden/>
              </w:rPr>
              <w:fldChar w:fldCharType="separate"/>
            </w:r>
            <w:r w:rsidR="00C154C9">
              <w:rPr>
                <w:noProof/>
                <w:webHidden/>
              </w:rPr>
              <w:t>250</w:t>
            </w:r>
            <w:r w:rsidR="00E37612">
              <w:rPr>
                <w:noProof/>
                <w:webHidden/>
              </w:rPr>
              <w:fldChar w:fldCharType="end"/>
            </w:r>
          </w:hyperlink>
        </w:p>
        <w:p w14:paraId="715CB180" w14:textId="5DACC17D" w:rsidR="00E37612" w:rsidRDefault="00141E52">
          <w:pPr>
            <w:pStyle w:val="Spistreci2"/>
            <w:tabs>
              <w:tab w:val="left" w:pos="880"/>
            </w:tabs>
            <w:rPr>
              <w:rFonts w:eastAsiaTheme="minorEastAsia"/>
              <w:noProof/>
              <w:lang w:eastAsia="pl-PL"/>
            </w:rPr>
          </w:pPr>
          <w:hyperlink w:anchor="_Toc49171359" w:history="1">
            <w:r w:rsidR="00E37612" w:rsidRPr="00AD152F">
              <w:rPr>
                <w:rStyle w:val="Hipercze"/>
                <w:rFonts w:eastAsia="Times New Roman" w:cs="Times New Roman"/>
                <w:noProof/>
                <w:lang w:eastAsia="ar-SA"/>
              </w:rPr>
              <w:t>3.4.</w:t>
            </w:r>
            <w:r w:rsidR="00E37612">
              <w:rPr>
                <w:rFonts w:eastAsiaTheme="minorEastAsia"/>
                <w:noProof/>
                <w:lang w:eastAsia="pl-PL"/>
              </w:rPr>
              <w:tab/>
            </w:r>
            <w:r w:rsidR="00E37612" w:rsidRPr="00AD152F">
              <w:rPr>
                <w:rStyle w:val="Hipercze"/>
                <w:rFonts w:eastAsia="Times New Roman" w:cs="Times New Roman"/>
                <w:noProof/>
                <w:lang w:eastAsia="ar-SA"/>
              </w:rPr>
              <w:t>Województwo lubuskie</w:t>
            </w:r>
            <w:r w:rsidR="00E37612">
              <w:rPr>
                <w:noProof/>
                <w:webHidden/>
              </w:rPr>
              <w:tab/>
            </w:r>
            <w:r w:rsidR="00E37612">
              <w:rPr>
                <w:noProof/>
                <w:webHidden/>
              </w:rPr>
              <w:fldChar w:fldCharType="begin"/>
            </w:r>
            <w:r w:rsidR="00E37612">
              <w:rPr>
                <w:noProof/>
                <w:webHidden/>
              </w:rPr>
              <w:instrText xml:space="preserve"> PAGEREF _Toc49171359 \h </w:instrText>
            </w:r>
            <w:r w:rsidR="00E37612">
              <w:rPr>
                <w:noProof/>
                <w:webHidden/>
              </w:rPr>
            </w:r>
            <w:r w:rsidR="00E37612">
              <w:rPr>
                <w:noProof/>
                <w:webHidden/>
              </w:rPr>
              <w:fldChar w:fldCharType="separate"/>
            </w:r>
            <w:r w:rsidR="00C154C9">
              <w:rPr>
                <w:noProof/>
                <w:webHidden/>
              </w:rPr>
              <w:t>266</w:t>
            </w:r>
            <w:r w:rsidR="00E37612">
              <w:rPr>
                <w:noProof/>
                <w:webHidden/>
              </w:rPr>
              <w:fldChar w:fldCharType="end"/>
            </w:r>
          </w:hyperlink>
        </w:p>
        <w:p w14:paraId="0C127BEE" w14:textId="3ED08744" w:rsidR="00E37612" w:rsidRDefault="00141E52">
          <w:pPr>
            <w:pStyle w:val="Spistreci2"/>
            <w:tabs>
              <w:tab w:val="left" w:pos="880"/>
            </w:tabs>
            <w:rPr>
              <w:rFonts w:eastAsiaTheme="minorEastAsia"/>
              <w:noProof/>
              <w:lang w:eastAsia="pl-PL"/>
            </w:rPr>
          </w:pPr>
          <w:hyperlink w:anchor="_Toc49171360" w:history="1">
            <w:r w:rsidR="00E37612" w:rsidRPr="00AD152F">
              <w:rPr>
                <w:rStyle w:val="Hipercze"/>
                <w:rFonts w:eastAsia="Times New Roman" w:cs="Times New Roman"/>
                <w:noProof/>
                <w:lang w:eastAsia="ar-SA"/>
              </w:rPr>
              <w:t>3.5.</w:t>
            </w:r>
            <w:r w:rsidR="00E37612">
              <w:rPr>
                <w:rFonts w:eastAsiaTheme="minorEastAsia"/>
                <w:noProof/>
                <w:lang w:eastAsia="pl-PL"/>
              </w:rPr>
              <w:tab/>
            </w:r>
            <w:r w:rsidR="00E37612" w:rsidRPr="00AD152F">
              <w:rPr>
                <w:rStyle w:val="Hipercze"/>
                <w:rFonts w:eastAsia="Times New Roman" w:cs="Times New Roman"/>
                <w:noProof/>
                <w:lang w:eastAsia="ar-SA"/>
              </w:rPr>
              <w:t>Województwo łódzkie</w:t>
            </w:r>
            <w:r w:rsidR="00E37612">
              <w:rPr>
                <w:noProof/>
                <w:webHidden/>
              </w:rPr>
              <w:tab/>
            </w:r>
            <w:r w:rsidR="00E37612">
              <w:rPr>
                <w:noProof/>
                <w:webHidden/>
              </w:rPr>
              <w:fldChar w:fldCharType="begin"/>
            </w:r>
            <w:r w:rsidR="00E37612">
              <w:rPr>
                <w:noProof/>
                <w:webHidden/>
              </w:rPr>
              <w:instrText xml:space="preserve"> PAGEREF _Toc49171360 \h </w:instrText>
            </w:r>
            <w:r w:rsidR="00E37612">
              <w:rPr>
                <w:noProof/>
                <w:webHidden/>
              </w:rPr>
            </w:r>
            <w:r w:rsidR="00E37612">
              <w:rPr>
                <w:noProof/>
                <w:webHidden/>
              </w:rPr>
              <w:fldChar w:fldCharType="separate"/>
            </w:r>
            <w:r w:rsidR="00C154C9">
              <w:rPr>
                <w:noProof/>
                <w:webHidden/>
              </w:rPr>
              <w:t>284</w:t>
            </w:r>
            <w:r w:rsidR="00E37612">
              <w:rPr>
                <w:noProof/>
                <w:webHidden/>
              </w:rPr>
              <w:fldChar w:fldCharType="end"/>
            </w:r>
          </w:hyperlink>
        </w:p>
        <w:p w14:paraId="3C2919D3" w14:textId="5C2AA9A0" w:rsidR="00E37612" w:rsidRDefault="00141E52">
          <w:pPr>
            <w:pStyle w:val="Spistreci2"/>
            <w:tabs>
              <w:tab w:val="left" w:pos="880"/>
            </w:tabs>
            <w:rPr>
              <w:rFonts w:eastAsiaTheme="minorEastAsia"/>
              <w:noProof/>
              <w:lang w:eastAsia="pl-PL"/>
            </w:rPr>
          </w:pPr>
          <w:hyperlink w:anchor="_Toc49171361" w:history="1">
            <w:r w:rsidR="00E37612" w:rsidRPr="00AD152F">
              <w:rPr>
                <w:rStyle w:val="Hipercze"/>
                <w:rFonts w:eastAsia="Times New Roman"/>
                <w:noProof/>
                <w:lang w:eastAsia="ar-SA"/>
              </w:rPr>
              <w:t>3.6</w:t>
            </w:r>
            <w:r w:rsidR="00E37612">
              <w:rPr>
                <w:rFonts w:eastAsiaTheme="minorEastAsia"/>
                <w:noProof/>
                <w:lang w:eastAsia="pl-PL"/>
              </w:rPr>
              <w:tab/>
            </w:r>
            <w:r w:rsidR="00E37612" w:rsidRPr="00AD152F">
              <w:rPr>
                <w:rStyle w:val="Hipercze"/>
                <w:rFonts w:eastAsia="Times New Roman"/>
                <w:noProof/>
                <w:lang w:eastAsia="ar-SA"/>
              </w:rPr>
              <w:t>Województwo małopolskie</w:t>
            </w:r>
            <w:r w:rsidR="00E37612">
              <w:rPr>
                <w:noProof/>
                <w:webHidden/>
              </w:rPr>
              <w:tab/>
            </w:r>
            <w:r w:rsidR="00E37612">
              <w:rPr>
                <w:noProof/>
                <w:webHidden/>
              </w:rPr>
              <w:fldChar w:fldCharType="begin"/>
            </w:r>
            <w:r w:rsidR="00E37612">
              <w:rPr>
                <w:noProof/>
                <w:webHidden/>
              </w:rPr>
              <w:instrText xml:space="preserve"> PAGEREF _Toc49171361 \h </w:instrText>
            </w:r>
            <w:r w:rsidR="00E37612">
              <w:rPr>
                <w:noProof/>
                <w:webHidden/>
              </w:rPr>
            </w:r>
            <w:r w:rsidR="00E37612">
              <w:rPr>
                <w:noProof/>
                <w:webHidden/>
              </w:rPr>
              <w:fldChar w:fldCharType="separate"/>
            </w:r>
            <w:r w:rsidR="00C154C9">
              <w:rPr>
                <w:noProof/>
                <w:webHidden/>
              </w:rPr>
              <w:t>302</w:t>
            </w:r>
            <w:r w:rsidR="00E37612">
              <w:rPr>
                <w:noProof/>
                <w:webHidden/>
              </w:rPr>
              <w:fldChar w:fldCharType="end"/>
            </w:r>
          </w:hyperlink>
        </w:p>
        <w:p w14:paraId="0FD08E9E" w14:textId="62534B76" w:rsidR="00E37612" w:rsidRDefault="00141E52">
          <w:pPr>
            <w:pStyle w:val="Spistreci2"/>
            <w:rPr>
              <w:rFonts w:eastAsiaTheme="minorEastAsia"/>
              <w:noProof/>
              <w:lang w:eastAsia="pl-PL"/>
            </w:rPr>
          </w:pPr>
          <w:hyperlink w:anchor="_Toc49171362" w:history="1">
            <w:r w:rsidR="00E37612" w:rsidRPr="00AD152F">
              <w:rPr>
                <w:rStyle w:val="Hipercze"/>
                <w:rFonts w:eastAsia="Times New Roman"/>
                <w:noProof/>
                <w:lang w:eastAsia="ar-SA"/>
              </w:rPr>
              <w:t>3.7 Województwo mazowieckie</w:t>
            </w:r>
            <w:r w:rsidR="00E37612">
              <w:rPr>
                <w:noProof/>
                <w:webHidden/>
              </w:rPr>
              <w:tab/>
            </w:r>
            <w:r w:rsidR="00E37612">
              <w:rPr>
                <w:noProof/>
                <w:webHidden/>
              </w:rPr>
              <w:fldChar w:fldCharType="begin"/>
            </w:r>
            <w:r w:rsidR="00E37612">
              <w:rPr>
                <w:noProof/>
                <w:webHidden/>
              </w:rPr>
              <w:instrText xml:space="preserve"> PAGEREF _Toc49171362 \h </w:instrText>
            </w:r>
            <w:r w:rsidR="00E37612">
              <w:rPr>
                <w:noProof/>
                <w:webHidden/>
              </w:rPr>
            </w:r>
            <w:r w:rsidR="00E37612">
              <w:rPr>
                <w:noProof/>
                <w:webHidden/>
              </w:rPr>
              <w:fldChar w:fldCharType="separate"/>
            </w:r>
            <w:r w:rsidR="00C154C9">
              <w:rPr>
                <w:noProof/>
                <w:webHidden/>
              </w:rPr>
              <w:t>321</w:t>
            </w:r>
            <w:r w:rsidR="00E37612">
              <w:rPr>
                <w:noProof/>
                <w:webHidden/>
              </w:rPr>
              <w:fldChar w:fldCharType="end"/>
            </w:r>
          </w:hyperlink>
        </w:p>
        <w:p w14:paraId="4EFC0A81" w14:textId="2661E357" w:rsidR="00E37612" w:rsidRDefault="00141E52">
          <w:pPr>
            <w:pStyle w:val="Spistreci2"/>
            <w:tabs>
              <w:tab w:val="left" w:pos="880"/>
            </w:tabs>
            <w:rPr>
              <w:rFonts w:eastAsiaTheme="minorEastAsia"/>
              <w:noProof/>
              <w:lang w:eastAsia="pl-PL"/>
            </w:rPr>
          </w:pPr>
          <w:hyperlink w:anchor="_Toc49171363" w:history="1">
            <w:r w:rsidR="00E37612" w:rsidRPr="00AD152F">
              <w:rPr>
                <w:rStyle w:val="Hipercze"/>
                <w:rFonts w:eastAsia="Times New Roman" w:cs="Times New Roman"/>
                <w:noProof/>
                <w:lang w:eastAsia="ar-SA"/>
              </w:rPr>
              <w:t>3.8</w:t>
            </w:r>
            <w:r w:rsidR="00E37612">
              <w:rPr>
                <w:rFonts w:eastAsiaTheme="minorEastAsia"/>
                <w:noProof/>
                <w:lang w:eastAsia="pl-PL"/>
              </w:rPr>
              <w:tab/>
            </w:r>
            <w:r w:rsidR="00E37612" w:rsidRPr="00AD152F">
              <w:rPr>
                <w:rStyle w:val="Hipercze"/>
                <w:rFonts w:eastAsia="Times New Roman" w:cs="Times New Roman"/>
                <w:noProof/>
                <w:lang w:eastAsia="ar-SA"/>
              </w:rPr>
              <w:t>Województwo opolskie</w:t>
            </w:r>
            <w:r w:rsidR="00E37612">
              <w:rPr>
                <w:noProof/>
                <w:webHidden/>
              </w:rPr>
              <w:tab/>
            </w:r>
            <w:r w:rsidR="00E37612">
              <w:rPr>
                <w:noProof/>
                <w:webHidden/>
              </w:rPr>
              <w:fldChar w:fldCharType="begin"/>
            </w:r>
            <w:r w:rsidR="00E37612">
              <w:rPr>
                <w:noProof/>
                <w:webHidden/>
              </w:rPr>
              <w:instrText xml:space="preserve"> PAGEREF _Toc49171363 \h </w:instrText>
            </w:r>
            <w:r w:rsidR="00E37612">
              <w:rPr>
                <w:noProof/>
                <w:webHidden/>
              </w:rPr>
            </w:r>
            <w:r w:rsidR="00E37612">
              <w:rPr>
                <w:noProof/>
                <w:webHidden/>
              </w:rPr>
              <w:fldChar w:fldCharType="separate"/>
            </w:r>
            <w:r w:rsidR="00C154C9">
              <w:rPr>
                <w:noProof/>
                <w:webHidden/>
              </w:rPr>
              <w:t>336</w:t>
            </w:r>
            <w:r w:rsidR="00E37612">
              <w:rPr>
                <w:noProof/>
                <w:webHidden/>
              </w:rPr>
              <w:fldChar w:fldCharType="end"/>
            </w:r>
          </w:hyperlink>
        </w:p>
        <w:p w14:paraId="362BDF2A" w14:textId="0AC4517A" w:rsidR="00E37612" w:rsidRDefault="00141E52">
          <w:pPr>
            <w:pStyle w:val="Spistreci2"/>
            <w:tabs>
              <w:tab w:val="left" w:pos="880"/>
            </w:tabs>
            <w:rPr>
              <w:rFonts w:eastAsiaTheme="minorEastAsia"/>
              <w:noProof/>
              <w:lang w:eastAsia="pl-PL"/>
            </w:rPr>
          </w:pPr>
          <w:hyperlink w:anchor="_Toc49171364" w:history="1">
            <w:r w:rsidR="00E37612" w:rsidRPr="00AD152F">
              <w:rPr>
                <w:rStyle w:val="Hipercze"/>
                <w:rFonts w:eastAsia="Times New Roman" w:cs="Times New Roman"/>
                <w:noProof/>
                <w:lang w:eastAsia="ar-SA"/>
              </w:rPr>
              <w:t>3.9</w:t>
            </w:r>
            <w:r w:rsidR="00E37612">
              <w:rPr>
                <w:rFonts w:eastAsiaTheme="minorEastAsia"/>
                <w:noProof/>
                <w:lang w:eastAsia="pl-PL"/>
              </w:rPr>
              <w:tab/>
            </w:r>
            <w:r w:rsidR="00E37612" w:rsidRPr="00AD152F">
              <w:rPr>
                <w:rStyle w:val="Hipercze"/>
                <w:rFonts w:eastAsia="Times New Roman" w:cs="Times New Roman"/>
                <w:noProof/>
                <w:lang w:eastAsia="ar-SA"/>
              </w:rPr>
              <w:t>Województwo podkarpackie</w:t>
            </w:r>
            <w:r w:rsidR="00E37612">
              <w:rPr>
                <w:noProof/>
                <w:webHidden/>
              </w:rPr>
              <w:tab/>
            </w:r>
            <w:r w:rsidR="00E37612">
              <w:rPr>
                <w:noProof/>
                <w:webHidden/>
              </w:rPr>
              <w:fldChar w:fldCharType="begin"/>
            </w:r>
            <w:r w:rsidR="00E37612">
              <w:rPr>
                <w:noProof/>
                <w:webHidden/>
              </w:rPr>
              <w:instrText xml:space="preserve"> PAGEREF _Toc49171364 \h </w:instrText>
            </w:r>
            <w:r w:rsidR="00E37612">
              <w:rPr>
                <w:noProof/>
                <w:webHidden/>
              </w:rPr>
            </w:r>
            <w:r w:rsidR="00E37612">
              <w:rPr>
                <w:noProof/>
                <w:webHidden/>
              </w:rPr>
              <w:fldChar w:fldCharType="separate"/>
            </w:r>
            <w:r w:rsidR="00C154C9">
              <w:rPr>
                <w:noProof/>
                <w:webHidden/>
              </w:rPr>
              <w:t>358</w:t>
            </w:r>
            <w:r w:rsidR="00E37612">
              <w:rPr>
                <w:noProof/>
                <w:webHidden/>
              </w:rPr>
              <w:fldChar w:fldCharType="end"/>
            </w:r>
          </w:hyperlink>
        </w:p>
        <w:p w14:paraId="4C1D221A" w14:textId="609C776B" w:rsidR="00E37612" w:rsidRDefault="00141E52">
          <w:pPr>
            <w:pStyle w:val="Spistreci2"/>
            <w:tabs>
              <w:tab w:val="left" w:pos="880"/>
            </w:tabs>
            <w:rPr>
              <w:rFonts w:eastAsiaTheme="minorEastAsia"/>
              <w:noProof/>
              <w:lang w:eastAsia="pl-PL"/>
            </w:rPr>
          </w:pPr>
          <w:hyperlink w:anchor="_Toc49171365" w:history="1">
            <w:r w:rsidR="00E37612" w:rsidRPr="00AD152F">
              <w:rPr>
                <w:rStyle w:val="Hipercze"/>
                <w:rFonts w:eastAsia="Times New Roman" w:cs="Times New Roman"/>
                <w:noProof/>
                <w:lang w:eastAsia="ar-SA"/>
              </w:rPr>
              <w:t>3.10</w:t>
            </w:r>
            <w:r w:rsidR="00E37612">
              <w:rPr>
                <w:rFonts w:eastAsiaTheme="minorEastAsia"/>
                <w:noProof/>
                <w:lang w:eastAsia="pl-PL"/>
              </w:rPr>
              <w:tab/>
            </w:r>
            <w:r w:rsidR="00E37612" w:rsidRPr="00AD152F">
              <w:rPr>
                <w:rStyle w:val="Hipercze"/>
                <w:rFonts w:eastAsia="Times New Roman" w:cs="Times New Roman"/>
                <w:noProof/>
                <w:lang w:eastAsia="ar-SA"/>
              </w:rPr>
              <w:t>Województwo podlaskie</w:t>
            </w:r>
            <w:r w:rsidR="00E37612">
              <w:rPr>
                <w:noProof/>
                <w:webHidden/>
              </w:rPr>
              <w:tab/>
            </w:r>
            <w:r w:rsidR="00E37612">
              <w:rPr>
                <w:noProof/>
                <w:webHidden/>
              </w:rPr>
              <w:fldChar w:fldCharType="begin"/>
            </w:r>
            <w:r w:rsidR="00E37612">
              <w:rPr>
                <w:noProof/>
                <w:webHidden/>
              </w:rPr>
              <w:instrText xml:space="preserve"> PAGEREF _Toc49171365 \h </w:instrText>
            </w:r>
            <w:r w:rsidR="00E37612">
              <w:rPr>
                <w:noProof/>
                <w:webHidden/>
              </w:rPr>
            </w:r>
            <w:r w:rsidR="00E37612">
              <w:rPr>
                <w:noProof/>
                <w:webHidden/>
              </w:rPr>
              <w:fldChar w:fldCharType="separate"/>
            </w:r>
            <w:r w:rsidR="00C154C9">
              <w:rPr>
                <w:noProof/>
                <w:webHidden/>
              </w:rPr>
              <w:t>375</w:t>
            </w:r>
            <w:r w:rsidR="00E37612">
              <w:rPr>
                <w:noProof/>
                <w:webHidden/>
              </w:rPr>
              <w:fldChar w:fldCharType="end"/>
            </w:r>
          </w:hyperlink>
        </w:p>
        <w:p w14:paraId="14B2231A" w14:textId="69AC7555" w:rsidR="00E37612" w:rsidRDefault="00141E52">
          <w:pPr>
            <w:pStyle w:val="Spistreci2"/>
            <w:tabs>
              <w:tab w:val="left" w:pos="880"/>
            </w:tabs>
            <w:rPr>
              <w:rFonts w:eastAsiaTheme="minorEastAsia"/>
              <w:noProof/>
              <w:lang w:eastAsia="pl-PL"/>
            </w:rPr>
          </w:pPr>
          <w:hyperlink w:anchor="_Toc49171366" w:history="1">
            <w:r w:rsidR="00E37612" w:rsidRPr="00AD152F">
              <w:rPr>
                <w:rStyle w:val="Hipercze"/>
                <w:rFonts w:eastAsia="Times New Roman" w:cs="Times New Roman"/>
                <w:noProof/>
                <w:lang w:eastAsia="ar-SA"/>
              </w:rPr>
              <w:t>3.11</w:t>
            </w:r>
            <w:r w:rsidR="00E37612">
              <w:rPr>
                <w:rFonts w:eastAsiaTheme="minorEastAsia"/>
                <w:noProof/>
                <w:lang w:eastAsia="pl-PL"/>
              </w:rPr>
              <w:tab/>
            </w:r>
            <w:r w:rsidR="00E37612" w:rsidRPr="00AD152F">
              <w:rPr>
                <w:rStyle w:val="Hipercze"/>
                <w:rFonts w:eastAsia="Times New Roman" w:cs="Times New Roman"/>
                <w:noProof/>
                <w:lang w:eastAsia="ar-SA"/>
              </w:rPr>
              <w:t>Województwo pomorskie</w:t>
            </w:r>
            <w:r w:rsidR="00E37612">
              <w:rPr>
                <w:noProof/>
                <w:webHidden/>
              </w:rPr>
              <w:tab/>
            </w:r>
            <w:r w:rsidR="00E37612">
              <w:rPr>
                <w:noProof/>
                <w:webHidden/>
              </w:rPr>
              <w:fldChar w:fldCharType="begin"/>
            </w:r>
            <w:r w:rsidR="00E37612">
              <w:rPr>
                <w:noProof/>
                <w:webHidden/>
              </w:rPr>
              <w:instrText xml:space="preserve"> PAGEREF _Toc49171366 \h </w:instrText>
            </w:r>
            <w:r w:rsidR="00E37612">
              <w:rPr>
                <w:noProof/>
                <w:webHidden/>
              </w:rPr>
            </w:r>
            <w:r w:rsidR="00E37612">
              <w:rPr>
                <w:noProof/>
                <w:webHidden/>
              </w:rPr>
              <w:fldChar w:fldCharType="separate"/>
            </w:r>
            <w:r w:rsidR="00C154C9">
              <w:rPr>
                <w:noProof/>
                <w:webHidden/>
              </w:rPr>
              <w:t>398</w:t>
            </w:r>
            <w:r w:rsidR="00E37612">
              <w:rPr>
                <w:noProof/>
                <w:webHidden/>
              </w:rPr>
              <w:fldChar w:fldCharType="end"/>
            </w:r>
          </w:hyperlink>
        </w:p>
        <w:p w14:paraId="10F96641" w14:textId="5AAB0406" w:rsidR="00E37612" w:rsidRDefault="00141E52">
          <w:pPr>
            <w:pStyle w:val="Spistreci2"/>
            <w:tabs>
              <w:tab w:val="left" w:pos="880"/>
            </w:tabs>
            <w:rPr>
              <w:rFonts w:eastAsiaTheme="minorEastAsia"/>
              <w:noProof/>
              <w:lang w:eastAsia="pl-PL"/>
            </w:rPr>
          </w:pPr>
          <w:hyperlink w:anchor="_Toc49171367" w:history="1">
            <w:r w:rsidR="00E37612" w:rsidRPr="00AD152F">
              <w:rPr>
                <w:rStyle w:val="Hipercze"/>
                <w:rFonts w:eastAsia="Times New Roman" w:cs="Times New Roman"/>
                <w:noProof/>
                <w:lang w:eastAsia="ar-SA"/>
              </w:rPr>
              <w:t>3.12</w:t>
            </w:r>
            <w:r w:rsidR="00E37612">
              <w:rPr>
                <w:rFonts w:eastAsiaTheme="minorEastAsia"/>
                <w:noProof/>
                <w:lang w:eastAsia="pl-PL"/>
              </w:rPr>
              <w:tab/>
            </w:r>
            <w:r w:rsidR="00E37612" w:rsidRPr="00AD152F">
              <w:rPr>
                <w:rStyle w:val="Hipercze"/>
                <w:rFonts w:eastAsia="Times New Roman" w:cs="Times New Roman"/>
                <w:noProof/>
                <w:lang w:eastAsia="ar-SA"/>
              </w:rPr>
              <w:t>Województwo śląskie</w:t>
            </w:r>
            <w:r w:rsidR="00E37612">
              <w:rPr>
                <w:noProof/>
                <w:webHidden/>
              </w:rPr>
              <w:tab/>
            </w:r>
            <w:r w:rsidR="00E37612">
              <w:rPr>
                <w:noProof/>
                <w:webHidden/>
              </w:rPr>
              <w:fldChar w:fldCharType="begin"/>
            </w:r>
            <w:r w:rsidR="00E37612">
              <w:rPr>
                <w:noProof/>
                <w:webHidden/>
              </w:rPr>
              <w:instrText xml:space="preserve"> PAGEREF _Toc49171367 \h </w:instrText>
            </w:r>
            <w:r w:rsidR="00E37612">
              <w:rPr>
                <w:noProof/>
                <w:webHidden/>
              </w:rPr>
            </w:r>
            <w:r w:rsidR="00E37612">
              <w:rPr>
                <w:noProof/>
                <w:webHidden/>
              </w:rPr>
              <w:fldChar w:fldCharType="separate"/>
            </w:r>
            <w:r w:rsidR="00C154C9">
              <w:rPr>
                <w:noProof/>
                <w:webHidden/>
              </w:rPr>
              <w:t>413</w:t>
            </w:r>
            <w:r w:rsidR="00E37612">
              <w:rPr>
                <w:noProof/>
                <w:webHidden/>
              </w:rPr>
              <w:fldChar w:fldCharType="end"/>
            </w:r>
          </w:hyperlink>
        </w:p>
        <w:p w14:paraId="4AD47BDE" w14:textId="6B138F77" w:rsidR="00E37612" w:rsidRDefault="00141E52">
          <w:pPr>
            <w:pStyle w:val="Spistreci2"/>
            <w:tabs>
              <w:tab w:val="left" w:pos="880"/>
            </w:tabs>
            <w:rPr>
              <w:rFonts w:eastAsiaTheme="minorEastAsia"/>
              <w:noProof/>
              <w:lang w:eastAsia="pl-PL"/>
            </w:rPr>
          </w:pPr>
          <w:hyperlink w:anchor="_Toc49171368" w:history="1">
            <w:r w:rsidR="00E37612" w:rsidRPr="00AD152F">
              <w:rPr>
                <w:rStyle w:val="Hipercze"/>
                <w:rFonts w:eastAsia="Times New Roman" w:cs="Times New Roman"/>
                <w:noProof/>
                <w:lang w:eastAsia="ar-SA"/>
              </w:rPr>
              <w:t>3.13</w:t>
            </w:r>
            <w:r w:rsidR="00E37612">
              <w:rPr>
                <w:rFonts w:eastAsiaTheme="minorEastAsia"/>
                <w:noProof/>
                <w:lang w:eastAsia="pl-PL"/>
              </w:rPr>
              <w:tab/>
            </w:r>
            <w:r w:rsidR="00E37612" w:rsidRPr="00AD152F">
              <w:rPr>
                <w:rStyle w:val="Hipercze"/>
                <w:rFonts w:eastAsia="Times New Roman" w:cs="Times New Roman"/>
                <w:noProof/>
                <w:lang w:eastAsia="ar-SA"/>
              </w:rPr>
              <w:t>Województwo świętokrzyskie</w:t>
            </w:r>
            <w:r w:rsidR="00E37612">
              <w:rPr>
                <w:noProof/>
                <w:webHidden/>
              </w:rPr>
              <w:tab/>
            </w:r>
            <w:r w:rsidR="00E37612">
              <w:rPr>
                <w:noProof/>
                <w:webHidden/>
              </w:rPr>
              <w:fldChar w:fldCharType="begin"/>
            </w:r>
            <w:r w:rsidR="00E37612">
              <w:rPr>
                <w:noProof/>
                <w:webHidden/>
              </w:rPr>
              <w:instrText xml:space="preserve"> PAGEREF _Toc49171368 \h </w:instrText>
            </w:r>
            <w:r w:rsidR="00E37612">
              <w:rPr>
                <w:noProof/>
                <w:webHidden/>
              </w:rPr>
            </w:r>
            <w:r w:rsidR="00E37612">
              <w:rPr>
                <w:noProof/>
                <w:webHidden/>
              </w:rPr>
              <w:fldChar w:fldCharType="separate"/>
            </w:r>
            <w:r w:rsidR="00C154C9">
              <w:rPr>
                <w:noProof/>
                <w:webHidden/>
              </w:rPr>
              <w:t>433</w:t>
            </w:r>
            <w:r w:rsidR="00E37612">
              <w:rPr>
                <w:noProof/>
                <w:webHidden/>
              </w:rPr>
              <w:fldChar w:fldCharType="end"/>
            </w:r>
          </w:hyperlink>
        </w:p>
        <w:p w14:paraId="54A0CC96" w14:textId="39734363" w:rsidR="00E37612" w:rsidRDefault="00141E52">
          <w:pPr>
            <w:pStyle w:val="Spistreci2"/>
            <w:tabs>
              <w:tab w:val="left" w:pos="880"/>
            </w:tabs>
            <w:rPr>
              <w:rFonts w:eastAsiaTheme="minorEastAsia"/>
              <w:noProof/>
              <w:lang w:eastAsia="pl-PL"/>
            </w:rPr>
          </w:pPr>
          <w:hyperlink w:anchor="_Toc49171369" w:history="1">
            <w:r w:rsidR="00E37612" w:rsidRPr="00AD152F">
              <w:rPr>
                <w:rStyle w:val="Hipercze"/>
                <w:rFonts w:eastAsia="Times New Roman" w:cs="Times New Roman"/>
                <w:noProof/>
                <w:lang w:eastAsia="ar-SA"/>
              </w:rPr>
              <w:t>3.14</w:t>
            </w:r>
            <w:r w:rsidR="00E37612">
              <w:rPr>
                <w:rFonts w:eastAsiaTheme="minorEastAsia"/>
                <w:noProof/>
                <w:lang w:eastAsia="pl-PL"/>
              </w:rPr>
              <w:tab/>
            </w:r>
            <w:r w:rsidR="00E37612" w:rsidRPr="00AD152F">
              <w:rPr>
                <w:rStyle w:val="Hipercze"/>
                <w:rFonts w:eastAsia="Times New Roman" w:cs="Times New Roman"/>
                <w:noProof/>
                <w:lang w:eastAsia="ar-SA"/>
              </w:rPr>
              <w:t>Województwo warmińsko-mazurskie</w:t>
            </w:r>
            <w:r w:rsidR="00E37612">
              <w:rPr>
                <w:noProof/>
                <w:webHidden/>
              </w:rPr>
              <w:tab/>
            </w:r>
            <w:r w:rsidR="00E37612">
              <w:rPr>
                <w:noProof/>
                <w:webHidden/>
              </w:rPr>
              <w:fldChar w:fldCharType="begin"/>
            </w:r>
            <w:r w:rsidR="00E37612">
              <w:rPr>
                <w:noProof/>
                <w:webHidden/>
              </w:rPr>
              <w:instrText xml:space="preserve"> PAGEREF _Toc49171369 \h </w:instrText>
            </w:r>
            <w:r w:rsidR="00E37612">
              <w:rPr>
                <w:noProof/>
                <w:webHidden/>
              </w:rPr>
            </w:r>
            <w:r w:rsidR="00E37612">
              <w:rPr>
                <w:noProof/>
                <w:webHidden/>
              </w:rPr>
              <w:fldChar w:fldCharType="separate"/>
            </w:r>
            <w:r w:rsidR="00C154C9">
              <w:rPr>
                <w:noProof/>
                <w:webHidden/>
              </w:rPr>
              <w:t>445</w:t>
            </w:r>
            <w:r w:rsidR="00E37612">
              <w:rPr>
                <w:noProof/>
                <w:webHidden/>
              </w:rPr>
              <w:fldChar w:fldCharType="end"/>
            </w:r>
          </w:hyperlink>
        </w:p>
        <w:p w14:paraId="37D587A2" w14:textId="402B0A05" w:rsidR="00E37612" w:rsidRDefault="00141E52">
          <w:pPr>
            <w:pStyle w:val="Spistreci2"/>
            <w:tabs>
              <w:tab w:val="left" w:pos="880"/>
            </w:tabs>
            <w:rPr>
              <w:rFonts w:eastAsiaTheme="minorEastAsia"/>
              <w:noProof/>
              <w:lang w:eastAsia="pl-PL"/>
            </w:rPr>
          </w:pPr>
          <w:hyperlink w:anchor="_Toc49171370" w:history="1">
            <w:r w:rsidR="00E37612" w:rsidRPr="00AD152F">
              <w:rPr>
                <w:rStyle w:val="Hipercze"/>
                <w:rFonts w:eastAsia="Times New Roman" w:cs="Times New Roman"/>
                <w:noProof/>
                <w:lang w:eastAsia="ar-SA"/>
              </w:rPr>
              <w:t>3.15</w:t>
            </w:r>
            <w:r w:rsidR="00E37612">
              <w:rPr>
                <w:rFonts w:eastAsiaTheme="minorEastAsia"/>
                <w:noProof/>
                <w:lang w:eastAsia="pl-PL"/>
              </w:rPr>
              <w:tab/>
            </w:r>
            <w:r w:rsidR="00E37612" w:rsidRPr="00AD152F">
              <w:rPr>
                <w:rStyle w:val="Hipercze"/>
                <w:rFonts w:eastAsia="Times New Roman" w:cs="Times New Roman"/>
                <w:noProof/>
                <w:lang w:eastAsia="ar-SA"/>
              </w:rPr>
              <w:t>Województwo wielkopolskie</w:t>
            </w:r>
            <w:r w:rsidR="00E37612">
              <w:rPr>
                <w:noProof/>
                <w:webHidden/>
              </w:rPr>
              <w:tab/>
            </w:r>
            <w:r w:rsidR="00E37612">
              <w:rPr>
                <w:noProof/>
                <w:webHidden/>
              </w:rPr>
              <w:fldChar w:fldCharType="begin"/>
            </w:r>
            <w:r w:rsidR="00E37612">
              <w:rPr>
                <w:noProof/>
                <w:webHidden/>
              </w:rPr>
              <w:instrText xml:space="preserve"> PAGEREF _Toc49171370 \h </w:instrText>
            </w:r>
            <w:r w:rsidR="00E37612">
              <w:rPr>
                <w:noProof/>
                <w:webHidden/>
              </w:rPr>
            </w:r>
            <w:r w:rsidR="00E37612">
              <w:rPr>
                <w:noProof/>
                <w:webHidden/>
              </w:rPr>
              <w:fldChar w:fldCharType="separate"/>
            </w:r>
            <w:r w:rsidR="00C154C9">
              <w:rPr>
                <w:noProof/>
                <w:webHidden/>
              </w:rPr>
              <w:t>461</w:t>
            </w:r>
            <w:r w:rsidR="00E37612">
              <w:rPr>
                <w:noProof/>
                <w:webHidden/>
              </w:rPr>
              <w:fldChar w:fldCharType="end"/>
            </w:r>
          </w:hyperlink>
        </w:p>
        <w:p w14:paraId="15C13655" w14:textId="0F616B95" w:rsidR="00E37612" w:rsidRDefault="00141E52">
          <w:pPr>
            <w:pStyle w:val="Spistreci2"/>
            <w:tabs>
              <w:tab w:val="left" w:pos="880"/>
            </w:tabs>
            <w:rPr>
              <w:rFonts w:eastAsiaTheme="minorEastAsia"/>
              <w:noProof/>
              <w:lang w:eastAsia="pl-PL"/>
            </w:rPr>
          </w:pPr>
          <w:hyperlink w:anchor="_Toc49171371" w:history="1">
            <w:r w:rsidR="00E37612" w:rsidRPr="00AD152F">
              <w:rPr>
                <w:rStyle w:val="Hipercze"/>
                <w:rFonts w:eastAsia="Times New Roman" w:cs="Times New Roman"/>
                <w:noProof/>
                <w:lang w:eastAsia="ar-SA"/>
              </w:rPr>
              <w:t>3.16</w:t>
            </w:r>
            <w:r w:rsidR="00E37612">
              <w:rPr>
                <w:rFonts w:eastAsiaTheme="minorEastAsia"/>
                <w:noProof/>
                <w:lang w:eastAsia="pl-PL"/>
              </w:rPr>
              <w:tab/>
            </w:r>
            <w:r w:rsidR="00E37612" w:rsidRPr="00AD152F">
              <w:rPr>
                <w:rStyle w:val="Hipercze"/>
                <w:rFonts w:eastAsia="Times New Roman" w:cs="Times New Roman"/>
                <w:noProof/>
                <w:lang w:eastAsia="ar-SA"/>
              </w:rPr>
              <w:t>Województwo zachodniopomorskie</w:t>
            </w:r>
            <w:r w:rsidR="00E37612">
              <w:rPr>
                <w:noProof/>
                <w:webHidden/>
              </w:rPr>
              <w:tab/>
            </w:r>
            <w:r w:rsidR="00E37612">
              <w:rPr>
                <w:noProof/>
                <w:webHidden/>
              </w:rPr>
              <w:fldChar w:fldCharType="begin"/>
            </w:r>
            <w:r w:rsidR="00E37612">
              <w:rPr>
                <w:noProof/>
                <w:webHidden/>
              </w:rPr>
              <w:instrText xml:space="preserve"> PAGEREF _Toc49171371 \h </w:instrText>
            </w:r>
            <w:r w:rsidR="00E37612">
              <w:rPr>
                <w:noProof/>
                <w:webHidden/>
              </w:rPr>
            </w:r>
            <w:r w:rsidR="00E37612">
              <w:rPr>
                <w:noProof/>
                <w:webHidden/>
              </w:rPr>
              <w:fldChar w:fldCharType="separate"/>
            </w:r>
            <w:r w:rsidR="00C154C9">
              <w:rPr>
                <w:noProof/>
                <w:webHidden/>
              </w:rPr>
              <w:t>475</w:t>
            </w:r>
            <w:r w:rsidR="00E37612">
              <w:rPr>
                <w:noProof/>
                <w:webHidden/>
              </w:rPr>
              <w:fldChar w:fldCharType="end"/>
            </w:r>
          </w:hyperlink>
        </w:p>
        <w:p w14:paraId="304E249C" w14:textId="7D41470A" w:rsidR="00E37612" w:rsidRDefault="00141E52">
          <w:pPr>
            <w:pStyle w:val="Spistreci1"/>
            <w:rPr>
              <w:rFonts w:eastAsiaTheme="minorEastAsia"/>
              <w:noProof/>
              <w:lang w:eastAsia="pl-PL"/>
            </w:rPr>
          </w:pPr>
          <w:hyperlink w:anchor="_Toc49171372" w:history="1">
            <w:r w:rsidR="00E37612" w:rsidRPr="00AD152F">
              <w:rPr>
                <w:rStyle w:val="Hipercze"/>
                <w:rFonts w:cs="Times New Roman"/>
                <w:i/>
                <w:noProof/>
                <w:lang w:eastAsia="ar-SA"/>
              </w:rPr>
              <w:t>4.</w:t>
            </w:r>
            <w:r w:rsidR="00E37612">
              <w:rPr>
                <w:rFonts w:eastAsiaTheme="minorEastAsia"/>
                <w:noProof/>
                <w:lang w:eastAsia="pl-PL"/>
              </w:rPr>
              <w:tab/>
            </w:r>
            <w:r w:rsidR="00E37612" w:rsidRPr="00AD152F">
              <w:rPr>
                <w:rStyle w:val="Hipercze"/>
                <w:rFonts w:cs="Times New Roman"/>
                <w:noProof/>
                <w:lang w:eastAsia="ar-SA"/>
              </w:rPr>
              <w:t xml:space="preserve">Sprawozdanie z realizacji działań zaplanowanych  w dokumencie </w:t>
            </w:r>
            <w:r w:rsidR="00E37612" w:rsidRPr="00AD152F">
              <w:rPr>
                <w:rStyle w:val="Hipercze"/>
                <w:rFonts w:cs="Times New Roman"/>
                <w:i/>
                <w:noProof/>
                <w:lang w:eastAsia="ar-SA"/>
              </w:rPr>
              <w:t>Polityka społeczna wobec osób starszych 2030. Bezpieczeństwo – Uczestnictwo – Solidarność</w:t>
            </w:r>
            <w:r w:rsidR="00E37612">
              <w:rPr>
                <w:noProof/>
                <w:webHidden/>
              </w:rPr>
              <w:tab/>
            </w:r>
            <w:r w:rsidR="00E37612">
              <w:rPr>
                <w:noProof/>
                <w:webHidden/>
              </w:rPr>
              <w:fldChar w:fldCharType="begin"/>
            </w:r>
            <w:r w:rsidR="00E37612">
              <w:rPr>
                <w:noProof/>
                <w:webHidden/>
              </w:rPr>
              <w:instrText xml:space="preserve"> PAGEREF _Toc49171372 \h </w:instrText>
            </w:r>
            <w:r w:rsidR="00E37612">
              <w:rPr>
                <w:noProof/>
                <w:webHidden/>
              </w:rPr>
            </w:r>
            <w:r w:rsidR="00E37612">
              <w:rPr>
                <w:noProof/>
                <w:webHidden/>
              </w:rPr>
              <w:fldChar w:fldCharType="separate"/>
            </w:r>
            <w:r w:rsidR="00C154C9">
              <w:rPr>
                <w:noProof/>
                <w:webHidden/>
              </w:rPr>
              <w:t>499</w:t>
            </w:r>
            <w:r w:rsidR="00E37612">
              <w:rPr>
                <w:noProof/>
                <w:webHidden/>
              </w:rPr>
              <w:fldChar w:fldCharType="end"/>
            </w:r>
          </w:hyperlink>
        </w:p>
        <w:p w14:paraId="40DF4452" w14:textId="18083027" w:rsidR="00E37612" w:rsidRDefault="00141E52">
          <w:pPr>
            <w:pStyle w:val="Spistreci1"/>
            <w:rPr>
              <w:rFonts w:eastAsiaTheme="minorEastAsia"/>
              <w:noProof/>
              <w:lang w:eastAsia="pl-PL"/>
            </w:rPr>
          </w:pPr>
          <w:hyperlink w:anchor="_Toc49171373" w:history="1">
            <w:r w:rsidR="00E37612" w:rsidRPr="00AD152F">
              <w:rPr>
                <w:rStyle w:val="Hipercze"/>
                <w:rFonts w:cs="Times New Roman"/>
                <w:noProof/>
                <w:lang w:eastAsia="ar-SA"/>
              </w:rPr>
              <w:t>Wnioski i rekomendacje</w:t>
            </w:r>
            <w:r w:rsidR="00E37612">
              <w:rPr>
                <w:noProof/>
                <w:webHidden/>
              </w:rPr>
              <w:tab/>
            </w:r>
            <w:r w:rsidR="00E37612">
              <w:rPr>
                <w:noProof/>
                <w:webHidden/>
              </w:rPr>
              <w:fldChar w:fldCharType="begin"/>
            </w:r>
            <w:r w:rsidR="00E37612">
              <w:rPr>
                <w:noProof/>
                <w:webHidden/>
              </w:rPr>
              <w:instrText xml:space="preserve"> PAGEREF _Toc49171373 \h </w:instrText>
            </w:r>
            <w:r w:rsidR="00E37612">
              <w:rPr>
                <w:noProof/>
                <w:webHidden/>
              </w:rPr>
            </w:r>
            <w:r w:rsidR="00E37612">
              <w:rPr>
                <w:noProof/>
                <w:webHidden/>
              </w:rPr>
              <w:fldChar w:fldCharType="separate"/>
            </w:r>
            <w:r w:rsidR="00C154C9">
              <w:rPr>
                <w:noProof/>
                <w:webHidden/>
              </w:rPr>
              <w:t>592</w:t>
            </w:r>
            <w:r w:rsidR="00E37612">
              <w:rPr>
                <w:noProof/>
                <w:webHidden/>
              </w:rPr>
              <w:fldChar w:fldCharType="end"/>
            </w:r>
          </w:hyperlink>
        </w:p>
        <w:p w14:paraId="504CDAD9" w14:textId="6AD4E0F3" w:rsidR="00E37612" w:rsidRDefault="00141E52">
          <w:pPr>
            <w:pStyle w:val="Spistreci1"/>
            <w:rPr>
              <w:rFonts w:eastAsiaTheme="minorEastAsia"/>
              <w:noProof/>
              <w:lang w:eastAsia="pl-PL"/>
            </w:rPr>
          </w:pPr>
          <w:hyperlink w:anchor="_Toc49171374" w:history="1">
            <w:r w:rsidR="00E37612" w:rsidRPr="00AD152F">
              <w:rPr>
                <w:rStyle w:val="Hipercze"/>
                <w:rFonts w:cs="Times New Roman"/>
                <w:noProof/>
                <w:lang w:eastAsia="ar-SA"/>
              </w:rPr>
              <w:t>Zestawienie tabel</w:t>
            </w:r>
            <w:r w:rsidR="00E37612">
              <w:rPr>
                <w:noProof/>
                <w:webHidden/>
              </w:rPr>
              <w:tab/>
            </w:r>
            <w:r w:rsidR="00E37612">
              <w:rPr>
                <w:noProof/>
                <w:webHidden/>
              </w:rPr>
              <w:fldChar w:fldCharType="begin"/>
            </w:r>
            <w:r w:rsidR="00E37612">
              <w:rPr>
                <w:noProof/>
                <w:webHidden/>
              </w:rPr>
              <w:instrText xml:space="preserve"> PAGEREF _Toc49171374 \h </w:instrText>
            </w:r>
            <w:r w:rsidR="00E37612">
              <w:rPr>
                <w:noProof/>
                <w:webHidden/>
              </w:rPr>
            </w:r>
            <w:r w:rsidR="00E37612">
              <w:rPr>
                <w:noProof/>
                <w:webHidden/>
              </w:rPr>
              <w:fldChar w:fldCharType="separate"/>
            </w:r>
            <w:r w:rsidR="00C154C9">
              <w:rPr>
                <w:noProof/>
                <w:webHidden/>
              </w:rPr>
              <w:t>594</w:t>
            </w:r>
            <w:r w:rsidR="00E37612">
              <w:rPr>
                <w:noProof/>
                <w:webHidden/>
              </w:rPr>
              <w:fldChar w:fldCharType="end"/>
            </w:r>
          </w:hyperlink>
        </w:p>
        <w:p w14:paraId="2F74A79A" w14:textId="7805B3E2" w:rsidR="00E37612" w:rsidRDefault="00141E52">
          <w:pPr>
            <w:pStyle w:val="Spistreci1"/>
            <w:rPr>
              <w:rFonts w:eastAsiaTheme="minorEastAsia"/>
              <w:noProof/>
              <w:lang w:eastAsia="pl-PL"/>
            </w:rPr>
          </w:pPr>
          <w:hyperlink w:anchor="_Toc49171375" w:history="1">
            <w:r w:rsidR="00E37612" w:rsidRPr="00AD152F">
              <w:rPr>
                <w:rStyle w:val="Hipercze"/>
                <w:rFonts w:cs="Times New Roman"/>
                <w:noProof/>
                <w:lang w:eastAsia="ar-SA"/>
              </w:rPr>
              <w:t>Zestawienie wykresów</w:t>
            </w:r>
            <w:r w:rsidR="00E37612">
              <w:rPr>
                <w:noProof/>
                <w:webHidden/>
              </w:rPr>
              <w:tab/>
            </w:r>
            <w:r w:rsidR="00E37612">
              <w:rPr>
                <w:noProof/>
                <w:webHidden/>
              </w:rPr>
              <w:fldChar w:fldCharType="begin"/>
            </w:r>
            <w:r w:rsidR="00E37612">
              <w:rPr>
                <w:noProof/>
                <w:webHidden/>
              </w:rPr>
              <w:instrText xml:space="preserve"> PAGEREF _Toc49171375 \h </w:instrText>
            </w:r>
            <w:r w:rsidR="00E37612">
              <w:rPr>
                <w:noProof/>
                <w:webHidden/>
              </w:rPr>
            </w:r>
            <w:r w:rsidR="00E37612">
              <w:rPr>
                <w:noProof/>
                <w:webHidden/>
              </w:rPr>
              <w:fldChar w:fldCharType="separate"/>
            </w:r>
            <w:r w:rsidR="00C154C9">
              <w:rPr>
                <w:noProof/>
                <w:webHidden/>
              </w:rPr>
              <w:t>596</w:t>
            </w:r>
            <w:r w:rsidR="00E37612">
              <w:rPr>
                <w:noProof/>
                <w:webHidden/>
              </w:rPr>
              <w:fldChar w:fldCharType="end"/>
            </w:r>
          </w:hyperlink>
        </w:p>
        <w:p w14:paraId="1FA4CF94" w14:textId="46E68B34" w:rsidR="00035E51" w:rsidRPr="000B3303" w:rsidRDefault="00B25D75" w:rsidP="003C1988">
          <w:r>
            <w:rPr>
              <w:b/>
              <w:bCs/>
            </w:rPr>
            <w:fldChar w:fldCharType="end"/>
          </w:r>
        </w:p>
      </w:sdtContent>
    </w:sdt>
    <w:p w14:paraId="10BC22C8" w14:textId="77777777" w:rsidR="008459D0" w:rsidRDefault="008459D0" w:rsidP="003C1988">
      <w:pPr>
        <w:pStyle w:val="Nagwek1"/>
        <w:sectPr w:rsidR="008459D0" w:rsidSect="00F70D5A">
          <w:footerReference w:type="default" r:id="rId9"/>
          <w:pgSz w:w="11909" w:h="16838"/>
          <w:pgMar w:top="1137" w:right="1250" w:bottom="1132" w:left="1293" w:header="0" w:footer="567" w:gutter="0"/>
          <w:cols w:space="720"/>
          <w:noEndnote/>
          <w:titlePg/>
          <w:docGrid w:linePitch="360"/>
        </w:sectPr>
      </w:pPr>
    </w:p>
    <w:p w14:paraId="1C8F071C" w14:textId="77777777" w:rsidR="00C879B1" w:rsidRPr="00697B76" w:rsidRDefault="00035E51" w:rsidP="00A56113">
      <w:pPr>
        <w:pStyle w:val="Nagwek1"/>
        <w:numPr>
          <w:ilvl w:val="0"/>
          <w:numId w:val="0"/>
        </w:numPr>
        <w:spacing w:after="240"/>
        <w:rPr>
          <w:rFonts w:cs="Times New Roman"/>
          <w:b w:val="0"/>
          <w:color w:val="2F5496" w:themeColor="accent5" w:themeShade="BF"/>
          <w:sz w:val="40"/>
        </w:rPr>
      </w:pPr>
      <w:bookmarkStart w:id="1" w:name="_Toc49171326"/>
      <w:r w:rsidRPr="00697B76">
        <w:rPr>
          <w:rFonts w:cs="Times New Roman"/>
          <w:color w:val="2F5496" w:themeColor="accent5" w:themeShade="BF"/>
          <w:sz w:val="40"/>
        </w:rPr>
        <w:lastRenderedPageBreak/>
        <w:t>Wprowadzenie</w:t>
      </w:r>
      <w:bookmarkEnd w:id="1"/>
    </w:p>
    <w:p w14:paraId="36107658" w14:textId="77777777" w:rsidR="004A5614" w:rsidRPr="004A5614" w:rsidRDefault="00274917" w:rsidP="007B7E79">
      <w:pPr>
        <w:autoSpaceDE w:val="0"/>
        <w:autoSpaceDN w:val="0"/>
        <w:adjustRightInd w:val="0"/>
        <w:spacing w:before="240" w:after="240"/>
        <w:jc w:val="both"/>
        <w:rPr>
          <w:rFonts w:ascii="Times New Roman" w:hAnsi="Times New Roman" w:cs="Times New Roman"/>
          <w:bCs/>
          <w:sz w:val="24"/>
          <w:szCs w:val="24"/>
        </w:rPr>
      </w:pPr>
      <w:r w:rsidRPr="004A5614">
        <w:rPr>
          <w:rFonts w:ascii="Times New Roman" w:hAnsi="Times New Roman" w:cs="Times New Roman"/>
          <w:color w:val="000000"/>
          <w:sz w:val="24"/>
          <w:szCs w:val="24"/>
        </w:rPr>
        <w:t xml:space="preserve">Zgodnie z przepisami </w:t>
      </w:r>
      <w:r w:rsidRPr="004A5614">
        <w:rPr>
          <w:rFonts w:ascii="Times New Roman" w:hAnsi="Times New Roman" w:cs="Times New Roman"/>
          <w:i/>
          <w:color w:val="000000"/>
          <w:sz w:val="24"/>
          <w:szCs w:val="24"/>
        </w:rPr>
        <w:t xml:space="preserve">ustawy z dnia </w:t>
      </w:r>
      <w:r w:rsidRPr="004A5614">
        <w:rPr>
          <w:rFonts w:ascii="Times New Roman" w:hAnsi="Times New Roman" w:cs="Times New Roman"/>
          <w:bCs/>
          <w:i/>
          <w:sz w:val="24"/>
          <w:szCs w:val="24"/>
        </w:rPr>
        <w:t>11 września 2015 r. o osobach starszych</w:t>
      </w:r>
      <w:r w:rsidRPr="004A5614">
        <w:rPr>
          <w:rFonts w:ascii="Times New Roman" w:hAnsi="Times New Roman" w:cs="Times New Roman"/>
          <w:bCs/>
          <w:sz w:val="24"/>
          <w:szCs w:val="24"/>
        </w:rPr>
        <w:t xml:space="preserve"> (Dz. U. poz. 1705) Ministerstwo Rodziny, Pracy i Polityki Społecznej, co roku we współpracy z innymi resortami, instytucjami centralnymi oraz służbami społecznymi na szczeblu województw opracowuje </w:t>
      </w:r>
      <w:r w:rsidRPr="004A5614">
        <w:rPr>
          <w:rFonts w:ascii="Times New Roman" w:hAnsi="Times New Roman" w:cs="Times New Roman"/>
          <w:bCs/>
          <w:i/>
          <w:sz w:val="24"/>
          <w:szCs w:val="24"/>
        </w:rPr>
        <w:t>Informację o sytuacji osób starszych w Polsce</w:t>
      </w:r>
      <w:r w:rsidRPr="004A5614">
        <w:rPr>
          <w:rFonts w:ascii="Times New Roman" w:hAnsi="Times New Roman" w:cs="Times New Roman"/>
          <w:bCs/>
          <w:sz w:val="24"/>
          <w:szCs w:val="24"/>
        </w:rPr>
        <w:t>, która stanowi opis i diagnozę bieżącej sytuacji oraz</w:t>
      </w:r>
      <w:r w:rsidR="007B7E79">
        <w:rPr>
          <w:rFonts w:ascii="Times New Roman" w:hAnsi="Times New Roman" w:cs="Times New Roman"/>
          <w:bCs/>
          <w:sz w:val="24"/>
          <w:szCs w:val="24"/>
        </w:rPr>
        <w:t xml:space="preserve"> potrzeb i oczekiwań seniorów. </w:t>
      </w:r>
    </w:p>
    <w:p w14:paraId="3098D826" w14:textId="77777777" w:rsidR="00015763" w:rsidRPr="004A5614" w:rsidRDefault="004A5614" w:rsidP="007B7E79">
      <w:pPr>
        <w:spacing w:before="240" w:after="240"/>
        <w:jc w:val="both"/>
        <w:rPr>
          <w:rFonts w:ascii="Times New Roman" w:hAnsi="Times New Roman" w:cs="Times New Roman"/>
          <w:sz w:val="24"/>
          <w:szCs w:val="24"/>
        </w:rPr>
      </w:pPr>
      <w:r w:rsidRPr="004A5614">
        <w:rPr>
          <w:rFonts w:ascii="Times New Roman" w:hAnsi="Times New Roman" w:cs="Times New Roman"/>
          <w:sz w:val="24"/>
          <w:szCs w:val="24"/>
        </w:rPr>
        <w:t xml:space="preserve">Przygotowywane są informacje dotyczące sytuacji społeczno-ekonomicznej osób starszych w Polsce – w szczególności z zakresu sytuacji demograficznej, ekonomicznej, rodzinnej, zdrowotnej, sytuacji na rynku pracy, dostępności i poziomu usług społecznych, czy wszelkiego rodzaju aktywności podejmowanych przez osoby starsze. </w:t>
      </w:r>
      <w:r w:rsidRPr="00015763">
        <w:rPr>
          <w:rFonts w:ascii="Times New Roman" w:hAnsi="Times New Roman" w:cs="Times New Roman"/>
          <w:i/>
          <w:sz w:val="24"/>
          <w:szCs w:val="24"/>
        </w:rPr>
        <w:t>Informacja o sytuacji osób starszych</w:t>
      </w:r>
      <w:r w:rsidR="00015763" w:rsidRPr="00015763">
        <w:rPr>
          <w:rFonts w:ascii="Times New Roman" w:hAnsi="Times New Roman" w:cs="Times New Roman"/>
          <w:i/>
          <w:sz w:val="24"/>
          <w:szCs w:val="24"/>
        </w:rPr>
        <w:t xml:space="preserve"> w Polsce</w:t>
      </w:r>
      <w:r w:rsidRPr="004A5614">
        <w:rPr>
          <w:rFonts w:ascii="Times New Roman" w:hAnsi="Times New Roman" w:cs="Times New Roman"/>
          <w:sz w:val="24"/>
          <w:szCs w:val="24"/>
        </w:rPr>
        <w:t xml:space="preserve"> zawiera również opracowanie na temat </w:t>
      </w:r>
      <w:r w:rsidR="008466C1">
        <w:rPr>
          <w:rFonts w:ascii="Times New Roman" w:hAnsi="Times New Roman" w:cs="Times New Roman"/>
          <w:sz w:val="24"/>
          <w:szCs w:val="24"/>
        </w:rPr>
        <w:t>realizacji polityki społecznej wobec osób starszych</w:t>
      </w:r>
      <w:r w:rsidR="008466C1" w:rsidRPr="008466C1">
        <w:rPr>
          <w:rFonts w:ascii="Times New Roman" w:hAnsi="Times New Roman" w:cs="Times New Roman"/>
          <w:sz w:val="24"/>
          <w:szCs w:val="24"/>
        </w:rPr>
        <w:t xml:space="preserve"> </w:t>
      </w:r>
      <w:r w:rsidR="008466C1" w:rsidRPr="004A5614">
        <w:rPr>
          <w:rFonts w:ascii="Times New Roman" w:hAnsi="Times New Roman" w:cs="Times New Roman"/>
          <w:sz w:val="24"/>
          <w:szCs w:val="24"/>
        </w:rPr>
        <w:t>w Polsce na szczeblu centralnym oraz na szczeblu regionalnym</w:t>
      </w:r>
      <w:r w:rsidR="00015763">
        <w:rPr>
          <w:rFonts w:ascii="Times New Roman" w:hAnsi="Times New Roman" w:cs="Times New Roman"/>
          <w:sz w:val="24"/>
          <w:szCs w:val="24"/>
        </w:rPr>
        <w:t xml:space="preserve">. W tej części </w:t>
      </w:r>
      <w:r w:rsidR="003429F5">
        <w:rPr>
          <w:rFonts w:ascii="Times New Roman" w:hAnsi="Times New Roman" w:cs="Times New Roman"/>
          <w:sz w:val="24"/>
          <w:szCs w:val="24"/>
        </w:rPr>
        <w:t>po raz pierwszy zastosowana została</w:t>
      </w:r>
      <w:r w:rsidR="00015763">
        <w:rPr>
          <w:rFonts w:ascii="Times New Roman" w:hAnsi="Times New Roman" w:cs="Times New Roman"/>
          <w:sz w:val="24"/>
          <w:szCs w:val="24"/>
        </w:rPr>
        <w:t xml:space="preserve"> </w:t>
      </w:r>
      <w:r w:rsidR="003429F5">
        <w:rPr>
          <w:rFonts w:ascii="Times New Roman" w:hAnsi="Times New Roman" w:cs="Times New Roman"/>
          <w:sz w:val="24"/>
          <w:szCs w:val="24"/>
        </w:rPr>
        <w:t>Karta</w:t>
      </w:r>
      <w:r w:rsidR="00015763">
        <w:rPr>
          <w:rFonts w:ascii="Times New Roman" w:hAnsi="Times New Roman" w:cs="Times New Roman"/>
          <w:sz w:val="24"/>
          <w:szCs w:val="24"/>
        </w:rPr>
        <w:t xml:space="preserve"> Województwa,</w:t>
      </w:r>
      <w:r w:rsidR="003429F5">
        <w:rPr>
          <w:rFonts w:ascii="Times New Roman" w:hAnsi="Times New Roman" w:cs="Times New Roman"/>
          <w:sz w:val="24"/>
          <w:szCs w:val="24"/>
        </w:rPr>
        <w:t xml:space="preserve"> która ma na celu uporządkowanie i ujednolicenie danych gromadzonych przez Wojewodów.</w:t>
      </w:r>
    </w:p>
    <w:p w14:paraId="72A8FCE6" w14:textId="77777777" w:rsidR="00640C8E" w:rsidRPr="007B7E79" w:rsidRDefault="003429F5" w:rsidP="007B7E79">
      <w:pPr>
        <w:spacing w:before="240" w:after="240"/>
        <w:jc w:val="both"/>
        <w:rPr>
          <w:rFonts w:ascii="Times New Roman" w:hAnsi="Times New Roman"/>
          <w:color w:val="000000"/>
          <w:sz w:val="24"/>
          <w:szCs w:val="24"/>
        </w:rPr>
      </w:pPr>
      <w:r>
        <w:rPr>
          <w:rFonts w:ascii="Times New Roman" w:hAnsi="Times New Roman" w:cs="Times New Roman"/>
          <w:sz w:val="24"/>
          <w:szCs w:val="24"/>
        </w:rPr>
        <w:t>Dodatkowo, p</w:t>
      </w:r>
      <w:r w:rsidR="00C36C6B" w:rsidRPr="00C36C6B">
        <w:rPr>
          <w:rFonts w:ascii="Times New Roman" w:hAnsi="Times New Roman" w:cs="Times New Roman"/>
          <w:sz w:val="24"/>
          <w:szCs w:val="24"/>
        </w:rPr>
        <w:t>o raz pierwszy</w:t>
      </w:r>
      <w:r w:rsidR="00C36C6B">
        <w:rPr>
          <w:rFonts w:ascii="Times New Roman" w:hAnsi="Times New Roman" w:cs="Times New Roman"/>
          <w:i/>
          <w:sz w:val="24"/>
          <w:szCs w:val="24"/>
        </w:rPr>
        <w:t xml:space="preserve"> </w:t>
      </w:r>
      <w:r w:rsidR="00E06978">
        <w:rPr>
          <w:rFonts w:ascii="Times New Roman" w:hAnsi="Times New Roman" w:cs="Times New Roman"/>
          <w:i/>
          <w:sz w:val="24"/>
          <w:szCs w:val="24"/>
        </w:rPr>
        <w:t>w Informacji</w:t>
      </w:r>
      <w:r w:rsidR="00DB166A" w:rsidRPr="00F40195">
        <w:rPr>
          <w:rFonts w:ascii="Times New Roman" w:hAnsi="Times New Roman" w:cs="Times New Roman"/>
          <w:i/>
          <w:sz w:val="24"/>
          <w:szCs w:val="24"/>
        </w:rPr>
        <w:t xml:space="preserve"> o sytuacji osób starszych w Polsce za 2019 r</w:t>
      </w:r>
      <w:r w:rsidR="00DB166A" w:rsidRPr="001B1F7A">
        <w:rPr>
          <w:rFonts w:ascii="Times New Roman" w:hAnsi="Times New Roman" w:cs="Times New Roman"/>
          <w:sz w:val="24"/>
          <w:szCs w:val="24"/>
        </w:rPr>
        <w:t xml:space="preserve">. </w:t>
      </w:r>
      <w:r w:rsidR="00E06978">
        <w:rPr>
          <w:rFonts w:ascii="Times New Roman" w:hAnsi="Times New Roman" w:cs="Times New Roman"/>
          <w:sz w:val="24"/>
          <w:szCs w:val="24"/>
        </w:rPr>
        <w:t xml:space="preserve">uwzględnione zostało </w:t>
      </w:r>
      <w:r w:rsidR="00C36C6B">
        <w:rPr>
          <w:rFonts w:ascii="Times New Roman" w:hAnsi="Times New Roman" w:cs="Times New Roman"/>
          <w:sz w:val="24"/>
          <w:szCs w:val="24"/>
        </w:rPr>
        <w:t xml:space="preserve">szczegółowe </w:t>
      </w:r>
      <w:r w:rsidR="00DB166A" w:rsidRPr="001B1F7A">
        <w:rPr>
          <w:rFonts w:ascii="Times New Roman" w:hAnsi="Times New Roman" w:cs="Times New Roman"/>
          <w:sz w:val="24"/>
          <w:szCs w:val="24"/>
        </w:rPr>
        <w:t xml:space="preserve">sprawozdanie z </w:t>
      </w:r>
      <w:r w:rsidR="00DB166A" w:rsidRPr="001B1F7A">
        <w:rPr>
          <w:rFonts w:ascii="Times New Roman" w:hAnsi="Times New Roman" w:cs="Times New Roman"/>
          <w:color w:val="000000"/>
          <w:sz w:val="24"/>
          <w:szCs w:val="24"/>
        </w:rPr>
        <w:t xml:space="preserve">realizacji założeń zawartych w </w:t>
      </w:r>
      <w:r w:rsidR="00DB166A" w:rsidRPr="001B1F7A">
        <w:rPr>
          <w:rFonts w:ascii="Times New Roman" w:hAnsi="Times New Roman" w:cs="Times New Roman"/>
          <w:i/>
          <w:color w:val="000000"/>
          <w:sz w:val="24"/>
          <w:szCs w:val="24"/>
        </w:rPr>
        <w:t>Polityce społecznej wobec osób starszych 2030. Bezpieczeństwo – Uczestnictwo – Solidarność</w:t>
      </w:r>
      <w:r w:rsidR="00DB166A">
        <w:rPr>
          <w:rFonts w:ascii="Times New Roman" w:hAnsi="Times New Roman" w:cs="Times New Roman"/>
          <w:i/>
          <w:color w:val="000000"/>
          <w:sz w:val="24"/>
          <w:szCs w:val="24"/>
        </w:rPr>
        <w:t>.</w:t>
      </w:r>
      <w:r w:rsidR="00DB166A" w:rsidRPr="001B1F7A">
        <w:rPr>
          <w:rFonts w:ascii="Times New Roman" w:hAnsi="Times New Roman" w:cs="Times New Roman"/>
          <w:color w:val="000000"/>
          <w:sz w:val="24"/>
          <w:szCs w:val="24"/>
        </w:rPr>
        <w:t xml:space="preserve"> </w:t>
      </w:r>
      <w:r w:rsidR="00E06978">
        <w:rPr>
          <w:rFonts w:ascii="Times New Roman" w:hAnsi="Times New Roman" w:cs="Times New Roman"/>
          <w:color w:val="000000"/>
          <w:sz w:val="24"/>
          <w:szCs w:val="24"/>
        </w:rPr>
        <w:t xml:space="preserve">Szczegółowe informacje zostały umieszczone w nowym, osobnym rozdziale. </w:t>
      </w:r>
      <w:r w:rsidR="00F1491D">
        <w:rPr>
          <w:rFonts w:ascii="Times New Roman" w:hAnsi="Times New Roman" w:cs="Times New Roman"/>
          <w:color w:val="000000"/>
          <w:sz w:val="24"/>
          <w:szCs w:val="24"/>
        </w:rPr>
        <w:t>P</w:t>
      </w:r>
      <w:r w:rsidR="00DB166A" w:rsidRPr="001B1F7A">
        <w:rPr>
          <w:rFonts w:ascii="Times New Roman" w:hAnsi="Times New Roman" w:cs="Times New Roman"/>
          <w:color w:val="000000"/>
          <w:sz w:val="24"/>
          <w:szCs w:val="24"/>
        </w:rPr>
        <w:t>odmioty odpowiedzialne za realizację poszczególnych działań zobowiązane są do corocznego zebrania oraz przedstawienia informacj</w:t>
      </w:r>
      <w:r w:rsidR="00C36C6B">
        <w:rPr>
          <w:rFonts w:ascii="Times New Roman" w:hAnsi="Times New Roman" w:cs="Times New Roman"/>
          <w:color w:val="000000"/>
          <w:sz w:val="24"/>
          <w:szCs w:val="24"/>
        </w:rPr>
        <w:t xml:space="preserve">i na temat stanu ich realizacji </w:t>
      </w:r>
      <w:r w:rsidR="00C36C6B">
        <w:rPr>
          <w:rFonts w:ascii="Times New Roman" w:hAnsi="Times New Roman"/>
          <w:color w:val="000000"/>
          <w:sz w:val="24"/>
          <w:szCs w:val="24"/>
        </w:rPr>
        <w:t>wed</w:t>
      </w:r>
      <w:r w:rsidR="007B7E79">
        <w:rPr>
          <w:rFonts w:ascii="Times New Roman" w:hAnsi="Times New Roman"/>
          <w:color w:val="000000"/>
          <w:sz w:val="24"/>
          <w:szCs w:val="24"/>
        </w:rPr>
        <w:t xml:space="preserve">ług poniższych obszarów: </w:t>
      </w:r>
    </w:p>
    <w:p w14:paraId="57FAEE40" w14:textId="77777777" w:rsidR="00C36C6B" w:rsidRPr="00F1491D" w:rsidRDefault="00C36C6B" w:rsidP="007B7E79">
      <w:pPr>
        <w:spacing w:before="240" w:after="240"/>
        <w:jc w:val="both"/>
        <w:rPr>
          <w:rFonts w:ascii="Times New Roman" w:hAnsi="Times New Roman"/>
          <w:b/>
          <w:color w:val="000000"/>
          <w:sz w:val="24"/>
          <w:szCs w:val="24"/>
        </w:rPr>
      </w:pPr>
      <w:r w:rsidRPr="00F1491D">
        <w:rPr>
          <w:rFonts w:ascii="Times New Roman" w:hAnsi="Times New Roman"/>
          <w:b/>
          <w:color w:val="000000"/>
          <w:sz w:val="24"/>
          <w:szCs w:val="24"/>
        </w:rPr>
        <w:t>dotyczących ogółu osób starszych:</w:t>
      </w:r>
    </w:p>
    <w:p w14:paraId="50930044" w14:textId="77777777" w:rsidR="00C36C6B" w:rsidRPr="002835FD" w:rsidRDefault="00C36C6B" w:rsidP="008C71A9">
      <w:pPr>
        <w:numPr>
          <w:ilvl w:val="0"/>
          <w:numId w:val="381"/>
        </w:numPr>
        <w:spacing w:before="120" w:after="120"/>
        <w:ind w:left="360"/>
        <w:jc w:val="both"/>
        <w:rPr>
          <w:rFonts w:ascii="Times New Roman" w:hAnsi="Times New Roman" w:cs="Times New Roman"/>
          <w:sz w:val="24"/>
        </w:rPr>
      </w:pPr>
      <w:r w:rsidRPr="002835FD">
        <w:rPr>
          <w:rFonts w:ascii="Times New Roman" w:hAnsi="Times New Roman" w:cs="Times New Roman"/>
          <w:sz w:val="24"/>
        </w:rPr>
        <w:t>kształtowanie pozytywnego postrzegania starości w społeczeństwie</w:t>
      </w:r>
      <w:r>
        <w:rPr>
          <w:rFonts w:ascii="Times New Roman" w:hAnsi="Times New Roman" w:cs="Times New Roman"/>
          <w:sz w:val="24"/>
        </w:rPr>
        <w:t>,</w:t>
      </w:r>
    </w:p>
    <w:p w14:paraId="327E0393" w14:textId="77777777" w:rsidR="00C36C6B" w:rsidRPr="002835FD" w:rsidRDefault="00C36C6B" w:rsidP="008C71A9">
      <w:pPr>
        <w:numPr>
          <w:ilvl w:val="0"/>
          <w:numId w:val="381"/>
        </w:numPr>
        <w:spacing w:before="120" w:after="120"/>
        <w:ind w:left="360"/>
        <w:jc w:val="both"/>
        <w:rPr>
          <w:rFonts w:ascii="Times New Roman" w:hAnsi="Times New Roman" w:cs="Times New Roman"/>
          <w:sz w:val="24"/>
        </w:rPr>
      </w:pPr>
      <w:r w:rsidRPr="002835FD">
        <w:rPr>
          <w:rFonts w:ascii="Times New Roman" w:hAnsi="Times New Roman" w:cs="Times New Roman"/>
          <w:sz w:val="24"/>
        </w:rPr>
        <w:t>uczestnictwo w życiu społecznym oraz wspieranie wszelkich form aktywności obywatelskiej, społecznej, kulturalnej, artystycznej, sportowej i religijnej</w:t>
      </w:r>
      <w:r>
        <w:rPr>
          <w:rFonts w:ascii="Times New Roman" w:hAnsi="Times New Roman" w:cs="Times New Roman"/>
          <w:sz w:val="24"/>
        </w:rPr>
        <w:t>,</w:t>
      </w:r>
    </w:p>
    <w:p w14:paraId="275BF432" w14:textId="77777777" w:rsidR="00C36C6B" w:rsidRPr="002835FD" w:rsidRDefault="00C36C6B" w:rsidP="008C71A9">
      <w:pPr>
        <w:numPr>
          <w:ilvl w:val="0"/>
          <w:numId w:val="381"/>
        </w:numPr>
        <w:spacing w:before="120" w:after="120"/>
        <w:ind w:left="360"/>
        <w:jc w:val="both"/>
        <w:rPr>
          <w:rFonts w:ascii="Times New Roman" w:hAnsi="Times New Roman" w:cs="Times New Roman"/>
          <w:sz w:val="24"/>
        </w:rPr>
      </w:pPr>
      <w:r w:rsidRPr="002835FD">
        <w:rPr>
          <w:rFonts w:ascii="Times New Roman" w:hAnsi="Times New Roman" w:cs="Times New Roman"/>
          <w:sz w:val="24"/>
        </w:rPr>
        <w:t>tworzenie warunków umożliwiających wykorzystanie potencjału osób starszych jako aktywnych uczestników życia gospodarczego i rynku pracy, dostosowanych do ich możliwości psychofizycznych oraz sytuacji rodzinnej</w:t>
      </w:r>
      <w:r>
        <w:rPr>
          <w:rFonts w:ascii="Times New Roman" w:hAnsi="Times New Roman" w:cs="Times New Roman"/>
          <w:sz w:val="24"/>
        </w:rPr>
        <w:t>,</w:t>
      </w:r>
    </w:p>
    <w:p w14:paraId="0DB3FB2F" w14:textId="77777777" w:rsidR="00C36C6B" w:rsidRPr="002835FD" w:rsidRDefault="00C36C6B" w:rsidP="008C71A9">
      <w:pPr>
        <w:numPr>
          <w:ilvl w:val="0"/>
          <w:numId w:val="381"/>
        </w:numPr>
        <w:spacing w:before="120" w:after="120"/>
        <w:ind w:left="360"/>
        <w:jc w:val="both"/>
        <w:rPr>
          <w:rFonts w:ascii="Times New Roman" w:hAnsi="Times New Roman" w:cs="Times New Roman"/>
          <w:sz w:val="24"/>
        </w:rPr>
      </w:pPr>
      <w:r w:rsidRPr="002835FD">
        <w:rPr>
          <w:rFonts w:ascii="Times New Roman" w:hAnsi="Times New Roman" w:cs="Times New Roman"/>
          <w:sz w:val="24"/>
        </w:rPr>
        <w:t>promocja zdrowia, profilaktyka chorób, dostęp do diagnostyki, leczenia i rehabilitacji</w:t>
      </w:r>
    </w:p>
    <w:p w14:paraId="4CB7E575" w14:textId="77777777" w:rsidR="00C36C6B" w:rsidRPr="002835FD" w:rsidRDefault="00C36C6B" w:rsidP="008C71A9">
      <w:pPr>
        <w:numPr>
          <w:ilvl w:val="0"/>
          <w:numId w:val="381"/>
        </w:numPr>
        <w:spacing w:before="120" w:after="120"/>
        <w:ind w:left="360"/>
        <w:jc w:val="both"/>
        <w:rPr>
          <w:rFonts w:ascii="Times New Roman" w:hAnsi="Times New Roman" w:cs="Times New Roman"/>
          <w:sz w:val="24"/>
        </w:rPr>
      </w:pPr>
      <w:r w:rsidRPr="002835FD">
        <w:rPr>
          <w:rFonts w:ascii="Times New Roman" w:hAnsi="Times New Roman" w:cs="Times New Roman"/>
          <w:sz w:val="24"/>
        </w:rPr>
        <w:t>zwiększanie bezpieczeństwa fizycznego – przeciwdziałanie przemocy i zaniedbaniom wobec osób starszych</w:t>
      </w:r>
      <w:r>
        <w:rPr>
          <w:rFonts w:ascii="Times New Roman" w:hAnsi="Times New Roman" w:cs="Times New Roman"/>
          <w:sz w:val="24"/>
        </w:rPr>
        <w:t>,</w:t>
      </w:r>
    </w:p>
    <w:p w14:paraId="45EA99DD" w14:textId="77777777" w:rsidR="00C36C6B" w:rsidRPr="002835FD" w:rsidRDefault="00C36C6B" w:rsidP="008C71A9">
      <w:pPr>
        <w:numPr>
          <w:ilvl w:val="0"/>
          <w:numId w:val="381"/>
        </w:numPr>
        <w:spacing w:before="120" w:after="120"/>
        <w:ind w:left="360"/>
        <w:jc w:val="both"/>
        <w:rPr>
          <w:rFonts w:ascii="Times New Roman" w:hAnsi="Times New Roman" w:cs="Times New Roman"/>
          <w:sz w:val="24"/>
        </w:rPr>
      </w:pPr>
      <w:r w:rsidRPr="002835FD">
        <w:rPr>
          <w:rFonts w:ascii="Times New Roman" w:hAnsi="Times New Roman" w:cs="Times New Roman"/>
          <w:sz w:val="24"/>
        </w:rPr>
        <w:t>tworzenie warunków do solidarności i integracji międzypokoleniowej</w:t>
      </w:r>
      <w:r>
        <w:rPr>
          <w:rFonts w:ascii="Times New Roman" w:hAnsi="Times New Roman" w:cs="Times New Roman"/>
          <w:sz w:val="24"/>
        </w:rPr>
        <w:t>,</w:t>
      </w:r>
    </w:p>
    <w:p w14:paraId="541D7D63" w14:textId="77777777" w:rsidR="007B7E79" w:rsidRDefault="00C36C6B" w:rsidP="008C71A9">
      <w:pPr>
        <w:numPr>
          <w:ilvl w:val="0"/>
          <w:numId w:val="381"/>
        </w:numPr>
        <w:spacing w:before="120" w:after="120"/>
        <w:ind w:left="360"/>
        <w:jc w:val="both"/>
        <w:rPr>
          <w:rFonts w:ascii="Times New Roman" w:hAnsi="Times New Roman" w:cs="Times New Roman"/>
          <w:sz w:val="24"/>
        </w:rPr>
      </w:pPr>
      <w:r w:rsidRPr="002835FD">
        <w:rPr>
          <w:rFonts w:ascii="Times New Roman" w:hAnsi="Times New Roman" w:cs="Times New Roman"/>
          <w:sz w:val="24"/>
        </w:rPr>
        <w:t>działania na rzecz edukacji dla starości (kadry opiekuńcze i medyczne), do starości (całe społeczeństwo), przez starość (od najmłod</w:t>
      </w:r>
      <w:r>
        <w:rPr>
          <w:rFonts w:ascii="Times New Roman" w:hAnsi="Times New Roman" w:cs="Times New Roman"/>
          <w:sz w:val="24"/>
        </w:rPr>
        <w:t xml:space="preserve">szego pokolenia) oraz edukacja </w:t>
      </w:r>
      <w:r w:rsidRPr="002835FD">
        <w:rPr>
          <w:rFonts w:ascii="Times New Roman" w:hAnsi="Times New Roman" w:cs="Times New Roman"/>
          <w:sz w:val="24"/>
        </w:rPr>
        <w:t>w starości (osoby starsze)</w:t>
      </w:r>
      <w:r>
        <w:rPr>
          <w:rFonts w:ascii="Times New Roman" w:hAnsi="Times New Roman" w:cs="Times New Roman"/>
          <w:sz w:val="24"/>
        </w:rPr>
        <w:t>.</w:t>
      </w:r>
    </w:p>
    <w:p w14:paraId="0A603175" w14:textId="77777777" w:rsidR="00790CCC" w:rsidRDefault="00790CCC" w:rsidP="00790CCC">
      <w:pPr>
        <w:spacing w:before="120" w:after="120"/>
        <w:jc w:val="both"/>
        <w:rPr>
          <w:rFonts w:ascii="Times New Roman" w:hAnsi="Times New Roman" w:cs="Times New Roman"/>
          <w:sz w:val="24"/>
        </w:rPr>
      </w:pPr>
    </w:p>
    <w:p w14:paraId="27561DF6" w14:textId="77777777" w:rsidR="00790CCC" w:rsidRDefault="00790CCC" w:rsidP="00790CCC">
      <w:pPr>
        <w:spacing w:before="120" w:after="120"/>
        <w:jc w:val="both"/>
        <w:rPr>
          <w:rFonts w:ascii="Times New Roman" w:hAnsi="Times New Roman" w:cs="Times New Roman"/>
          <w:sz w:val="24"/>
        </w:rPr>
      </w:pPr>
    </w:p>
    <w:p w14:paraId="2DC832A5" w14:textId="77777777" w:rsidR="00790CCC" w:rsidRPr="00790CCC" w:rsidRDefault="00790CCC" w:rsidP="00790CCC">
      <w:pPr>
        <w:spacing w:before="120" w:after="120"/>
        <w:jc w:val="both"/>
        <w:rPr>
          <w:rFonts w:ascii="Times New Roman" w:hAnsi="Times New Roman" w:cs="Times New Roman"/>
          <w:sz w:val="24"/>
        </w:rPr>
      </w:pPr>
    </w:p>
    <w:p w14:paraId="744BBA55" w14:textId="77777777" w:rsidR="00C36C6B" w:rsidRPr="00F1491D" w:rsidRDefault="00C36C6B" w:rsidP="007B7E79">
      <w:pPr>
        <w:spacing w:before="240" w:after="240"/>
        <w:jc w:val="both"/>
        <w:rPr>
          <w:rFonts w:ascii="Times New Roman" w:hAnsi="Times New Roman" w:cs="Times New Roman"/>
          <w:b/>
          <w:sz w:val="24"/>
        </w:rPr>
      </w:pPr>
      <w:r w:rsidRPr="00F1491D">
        <w:rPr>
          <w:rFonts w:ascii="Times New Roman" w:hAnsi="Times New Roman" w:cs="Times New Roman"/>
          <w:b/>
          <w:sz w:val="24"/>
        </w:rPr>
        <w:lastRenderedPageBreak/>
        <w:t>dotyczących niesamodzielnych osób starszych i ich opiekunów:</w:t>
      </w:r>
    </w:p>
    <w:p w14:paraId="18383948" w14:textId="77777777" w:rsidR="00C36C6B" w:rsidRPr="002835FD" w:rsidRDefault="00C36C6B" w:rsidP="008C71A9">
      <w:pPr>
        <w:numPr>
          <w:ilvl w:val="0"/>
          <w:numId w:val="381"/>
        </w:numPr>
        <w:spacing w:before="120" w:after="120"/>
        <w:ind w:left="360"/>
        <w:jc w:val="both"/>
        <w:rPr>
          <w:rFonts w:ascii="Times New Roman" w:hAnsi="Times New Roman" w:cs="Times New Roman"/>
          <w:sz w:val="24"/>
        </w:rPr>
      </w:pPr>
      <w:r w:rsidRPr="002835FD">
        <w:rPr>
          <w:rFonts w:ascii="Times New Roman" w:hAnsi="Times New Roman" w:cs="Times New Roman"/>
          <w:sz w:val="24"/>
        </w:rPr>
        <w:t>zmniejszanie skali zależności od innych poprzez ułatwienie dostępu do usług wzmacniających samodzielność oraz dostos</w:t>
      </w:r>
      <w:r w:rsidR="00F1491D">
        <w:rPr>
          <w:rFonts w:ascii="Times New Roman" w:hAnsi="Times New Roman" w:cs="Times New Roman"/>
          <w:sz w:val="24"/>
        </w:rPr>
        <w:t xml:space="preserve">owanie środowiska zamieszkania </w:t>
      </w:r>
      <w:r w:rsidRPr="002835FD">
        <w:rPr>
          <w:rFonts w:ascii="Times New Roman" w:hAnsi="Times New Roman" w:cs="Times New Roman"/>
          <w:sz w:val="24"/>
        </w:rPr>
        <w:t>do możliwości funkcjonalnych niesamodzielnych osób starszych</w:t>
      </w:r>
      <w:r>
        <w:rPr>
          <w:rFonts w:ascii="Times New Roman" w:hAnsi="Times New Roman" w:cs="Times New Roman"/>
          <w:sz w:val="24"/>
        </w:rPr>
        <w:t>,</w:t>
      </w:r>
    </w:p>
    <w:p w14:paraId="3FFA2FEF" w14:textId="77777777" w:rsidR="00C36C6B" w:rsidRPr="002835FD" w:rsidRDefault="00C36C6B" w:rsidP="008C71A9">
      <w:pPr>
        <w:numPr>
          <w:ilvl w:val="0"/>
          <w:numId w:val="381"/>
        </w:numPr>
        <w:spacing w:before="120" w:after="120"/>
        <w:ind w:left="360"/>
        <w:jc w:val="both"/>
        <w:rPr>
          <w:rFonts w:ascii="Times New Roman" w:hAnsi="Times New Roman" w:cs="Times New Roman"/>
          <w:sz w:val="24"/>
        </w:rPr>
      </w:pPr>
      <w:r w:rsidRPr="002835FD">
        <w:rPr>
          <w:rFonts w:ascii="Times New Roman" w:hAnsi="Times New Roman" w:cs="Times New Roman"/>
          <w:sz w:val="24"/>
        </w:rPr>
        <w:t xml:space="preserve">zapewnienie optymalnego dostępu do usług </w:t>
      </w:r>
      <w:r w:rsidR="00F1491D">
        <w:rPr>
          <w:rFonts w:ascii="Times New Roman" w:hAnsi="Times New Roman" w:cs="Times New Roman"/>
          <w:sz w:val="24"/>
        </w:rPr>
        <w:t xml:space="preserve">zdrowotnych, rehabilitacyjnych </w:t>
      </w:r>
      <w:r w:rsidRPr="002835FD">
        <w:rPr>
          <w:rFonts w:ascii="Times New Roman" w:hAnsi="Times New Roman" w:cs="Times New Roman"/>
          <w:sz w:val="24"/>
        </w:rPr>
        <w:t>i opiekuńczo-pielęgnacyjnych, dostosowanych do potrzeb niesamodzielnych osób starszych</w:t>
      </w:r>
      <w:r>
        <w:rPr>
          <w:rFonts w:ascii="Times New Roman" w:hAnsi="Times New Roman" w:cs="Times New Roman"/>
          <w:sz w:val="24"/>
        </w:rPr>
        <w:t>,</w:t>
      </w:r>
    </w:p>
    <w:p w14:paraId="7C0DC72D" w14:textId="77777777" w:rsidR="00C36C6B" w:rsidRPr="002835FD" w:rsidRDefault="00C36C6B" w:rsidP="008C71A9">
      <w:pPr>
        <w:numPr>
          <w:ilvl w:val="0"/>
          <w:numId w:val="381"/>
        </w:numPr>
        <w:spacing w:before="120" w:after="120"/>
        <w:ind w:left="360"/>
        <w:jc w:val="both"/>
        <w:rPr>
          <w:rFonts w:ascii="Times New Roman" w:hAnsi="Times New Roman" w:cs="Times New Roman"/>
          <w:sz w:val="24"/>
        </w:rPr>
      </w:pPr>
      <w:r w:rsidRPr="002835FD">
        <w:rPr>
          <w:rFonts w:ascii="Times New Roman" w:hAnsi="Times New Roman" w:cs="Times New Roman"/>
          <w:sz w:val="24"/>
        </w:rPr>
        <w:t>sieć usług środowiskowych i instytucjonalnych udzielanych niesamodzielnym osobom starszym</w:t>
      </w:r>
      <w:r>
        <w:rPr>
          <w:rFonts w:ascii="Times New Roman" w:hAnsi="Times New Roman" w:cs="Times New Roman"/>
          <w:sz w:val="24"/>
        </w:rPr>
        <w:t>,</w:t>
      </w:r>
    </w:p>
    <w:p w14:paraId="379F0402" w14:textId="77777777" w:rsidR="00640C8E" w:rsidRPr="007B7E79" w:rsidRDefault="00C36C6B" w:rsidP="008C71A9">
      <w:pPr>
        <w:numPr>
          <w:ilvl w:val="0"/>
          <w:numId w:val="381"/>
        </w:numPr>
        <w:spacing w:before="120" w:after="120"/>
        <w:ind w:left="360"/>
        <w:jc w:val="both"/>
        <w:rPr>
          <w:rFonts w:ascii="Times New Roman" w:hAnsi="Times New Roman" w:cs="Times New Roman"/>
          <w:sz w:val="24"/>
        </w:rPr>
      </w:pPr>
      <w:r w:rsidRPr="002835FD">
        <w:rPr>
          <w:rFonts w:ascii="Times New Roman" w:hAnsi="Times New Roman" w:cs="Times New Roman"/>
          <w:sz w:val="24"/>
        </w:rPr>
        <w:t>system wsparcia nieformalnych opiekunów niesamodzielnych osób starszych przez instytucje publiczne.</w:t>
      </w:r>
    </w:p>
    <w:p w14:paraId="6A69818A" w14:textId="5E17CAEC" w:rsidR="00C879B1" w:rsidRPr="00F1491D" w:rsidRDefault="0054524F" w:rsidP="007B7E79">
      <w:pPr>
        <w:autoSpaceDE w:val="0"/>
        <w:autoSpaceDN w:val="0"/>
        <w:adjustRightInd w:val="0"/>
        <w:spacing w:before="240" w:after="240"/>
        <w:jc w:val="both"/>
        <w:rPr>
          <w:rFonts w:ascii="Times New Roman" w:hAnsi="Times New Roman" w:cs="Times New Roman"/>
          <w:bCs/>
          <w:sz w:val="24"/>
          <w:szCs w:val="24"/>
        </w:rPr>
      </w:pPr>
      <w:r>
        <w:rPr>
          <w:rFonts w:ascii="Times New Roman" w:hAnsi="Times New Roman" w:cs="Times New Roman"/>
          <w:bCs/>
          <w:sz w:val="24"/>
          <w:szCs w:val="24"/>
        </w:rPr>
        <w:t xml:space="preserve">W dokumencie użyte zostały najbardziej aktualne dane statystyczne. Niektóre badania, ze względu na ich częstotliwość lub zasady publikacji są dostępne jedynie za lata ubiegłe. </w:t>
      </w:r>
      <w:r w:rsidR="00F1491D">
        <w:rPr>
          <w:rFonts w:ascii="Times New Roman" w:hAnsi="Times New Roman" w:cs="Times New Roman"/>
          <w:bCs/>
          <w:sz w:val="24"/>
          <w:szCs w:val="24"/>
        </w:rPr>
        <w:t xml:space="preserve">Należy </w:t>
      </w:r>
      <w:r>
        <w:rPr>
          <w:rFonts w:ascii="Times New Roman" w:hAnsi="Times New Roman" w:cs="Times New Roman"/>
          <w:bCs/>
          <w:sz w:val="24"/>
          <w:szCs w:val="24"/>
        </w:rPr>
        <w:t xml:space="preserve">także </w:t>
      </w:r>
      <w:r w:rsidR="00F1491D">
        <w:rPr>
          <w:rFonts w:ascii="Times New Roman" w:hAnsi="Times New Roman" w:cs="Times New Roman"/>
          <w:bCs/>
          <w:sz w:val="24"/>
          <w:szCs w:val="24"/>
        </w:rPr>
        <w:t>zauważyć, że c</w:t>
      </w:r>
      <w:r w:rsidR="00C879B1" w:rsidRPr="00C879B1">
        <w:rPr>
          <w:rFonts w:ascii="Times New Roman" w:hAnsi="Times New Roman" w:cs="Times New Roman"/>
          <w:sz w:val="24"/>
          <w:szCs w:val="24"/>
        </w:rPr>
        <w:t xml:space="preserve">zęść wcześniej prezentowanych przez Główny Urząd Statystyczny badań pochodzi z badań realizowanych przez statystykę publiczną w cyklu kilkuletnim, w tym z Narodowego Spisu Powszechnego. W związku z tym, prezentowane dane są najbardziej aktualne z tego zakresu. </w:t>
      </w:r>
    </w:p>
    <w:p w14:paraId="6C9B698A" w14:textId="77777777" w:rsidR="00C879B1" w:rsidRDefault="00C879B1" w:rsidP="00640C8E">
      <w:pPr>
        <w:spacing w:before="120" w:after="120"/>
      </w:pPr>
    </w:p>
    <w:p w14:paraId="212CCE3E" w14:textId="77777777" w:rsidR="00274917" w:rsidRPr="00F40195" w:rsidRDefault="00274917" w:rsidP="00F40195">
      <w:pPr>
        <w:jc w:val="both"/>
        <w:rPr>
          <w:rFonts w:ascii="Times New Roman" w:hAnsi="Times New Roman" w:cs="Times New Roman"/>
          <w:sz w:val="24"/>
          <w:szCs w:val="24"/>
        </w:rPr>
        <w:sectPr w:rsidR="00274917" w:rsidRPr="00F40195" w:rsidSect="00E1300F">
          <w:pgSz w:w="11909" w:h="16838"/>
          <w:pgMar w:top="1137" w:right="1250" w:bottom="1132" w:left="1293" w:header="0" w:footer="567" w:gutter="0"/>
          <w:cols w:space="720"/>
          <w:noEndnote/>
          <w:docGrid w:linePitch="360"/>
        </w:sectPr>
      </w:pPr>
    </w:p>
    <w:p w14:paraId="4EF0E4C8" w14:textId="77777777" w:rsidR="00035E51" w:rsidRPr="00697B76" w:rsidRDefault="00035E51" w:rsidP="00835584">
      <w:pPr>
        <w:pStyle w:val="Nagwek1"/>
        <w:spacing w:after="240"/>
        <w:ind w:left="0" w:hanging="426"/>
        <w:rPr>
          <w:color w:val="2F5496" w:themeColor="accent5" w:themeShade="BF"/>
          <w:sz w:val="40"/>
        </w:rPr>
      </w:pPr>
      <w:bookmarkStart w:id="2" w:name="_Toc49171327"/>
      <w:r w:rsidRPr="00697B76">
        <w:rPr>
          <w:color w:val="2F5496" w:themeColor="accent5" w:themeShade="BF"/>
          <w:sz w:val="40"/>
        </w:rPr>
        <w:lastRenderedPageBreak/>
        <w:t xml:space="preserve">Sytuacja społeczno-ekonomiczna </w:t>
      </w:r>
      <w:r w:rsidR="00891D5D" w:rsidRPr="00697B76">
        <w:rPr>
          <w:color w:val="2F5496" w:themeColor="accent5" w:themeShade="BF"/>
          <w:sz w:val="40"/>
        </w:rPr>
        <w:t xml:space="preserve">osób starszych </w:t>
      </w:r>
      <w:r w:rsidR="00835584">
        <w:rPr>
          <w:color w:val="2F5496" w:themeColor="accent5" w:themeShade="BF"/>
          <w:sz w:val="40"/>
        </w:rPr>
        <w:br/>
      </w:r>
      <w:r w:rsidR="00891D5D" w:rsidRPr="00697B76">
        <w:rPr>
          <w:color w:val="2F5496" w:themeColor="accent5" w:themeShade="BF"/>
          <w:sz w:val="40"/>
        </w:rPr>
        <w:t>w Polsce</w:t>
      </w:r>
      <w:bookmarkEnd w:id="2"/>
    </w:p>
    <w:p w14:paraId="0A85B8B5" w14:textId="77777777" w:rsidR="00915E20" w:rsidRPr="00A56113" w:rsidRDefault="00891D5D" w:rsidP="00A56113">
      <w:pPr>
        <w:pStyle w:val="Nagwek2"/>
        <w:numPr>
          <w:ilvl w:val="1"/>
          <w:numId w:val="383"/>
        </w:numPr>
        <w:spacing w:before="240" w:after="240"/>
        <w:ind w:left="432"/>
        <w:rPr>
          <w:sz w:val="40"/>
        </w:rPr>
      </w:pPr>
      <w:bookmarkStart w:id="3" w:name="_Toc49171328"/>
      <w:r w:rsidRPr="00A56113">
        <w:rPr>
          <w:sz w:val="40"/>
        </w:rPr>
        <w:t>Sytuacja demograficzna i społeczna</w:t>
      </w:r>
      <w:bookmarkEnd w:id="3"/>
      <w:r w:rsidRPr="00A56113">
        <w:rPr>
          <w:sz w:val="40"/>
        </w:rPr>
        <w:t xml:space="preserve"> </w:t>
      </w:r>
    </w:p>
    <w:p w14:paraId="470BA862" w14:textId="77777777" w:rsidR="00915E20" w:rsidRDefault="00915E20" w:rsidP="00915E20">
      <w:pPr>
        <w:autoSpaceDE w:val="0"/>
        <w:autoSpaceDN w:val="0"/>
        <w:adjustRightInd w:val="0"/>
        <w:spacing w:after="0"/>
        <w:jc w:val="both"/>
        <w:rPr>
          <w:rFonts w:ascii="Times New Roman" w:eastAsia="MS Mincho" w:hAnsi="Times New Roman" w:cs="Times New Roman"/>
          <w:sz w:val="24"/>
          <w:szCs w:val="24"/>
          <w:lang w:eastAsia="ja-JP"/>
        </w:rPr>
      </w:pPr>
      <w:r w:rsidRPr="002F2D56">
        <w:rPr>
          <w:rFonts w:ascii="Times New Roman" w:eastAsia="MS Mincho" w:hAnsi="Times New Roman" w:cs="Times New Roman"/>
          <w:sz w:val="24"/>
          <w:szCs w:val="24"/>
          <w:lang w:eastAsia="ja-JP"/>
        </w:rPr>
        <w:t xml:space="preserve">Procesy związane z </w:t>
      </w:r>
      <w:r>
        <w:rPr>
          <w:rFonts w:ascii="Times New Roman" w:eastAsia="MS Mincho" w:hAnsi="Times New Roman" w:cs="Times New Roman"/>
          <w:sz w:val="24"/>
          <w:szCs w:val="24"/>
          <w:lang w:eastAsia="ja-JP"/>
        </w:rPr>
        <w:t>wydłużającym się systematycznie czasem trwania życia oraz ciągłe zmiany</w:t>
      </w:r>
      <w:r w:rsidRPr="002F2D56">
        <w:rPr>
          <w:rFonts w:ascii="Times New Roman" w:eastAsia="MS Mincho" w:hAnsi="Times New Roman" w:cs="Times New Roman"/>
          <w:sz w:val="24"/>
          <w:szCs w:val="24"/>
          <w:lang w:eastAsia="ja-JP"/>
        </w:rPr>
        <w:t xml:space="preserve"> </w:t>
      </w:r>
      <w:r w:rsidR="00E704D2">
        <w:rPr>
          <w:rFonts w:ascii="Times New Roman" w:eastAsia="MS Mincho" w:hAnsi="Times New Roman" w:cs="Times New Roman"/>
          <w:sz w:val="24"/>
          <w:szCs w:val="24"/>
          <w:lang w:eastAsia="ja-JP"/>
        </w:rPr>
        <w:br/>
      </w:r>
      <w:r w:rsidRPr="002F2D56">
        <w:rPr>
          <w:rFonts w:ascii="Times New Roman" w:eastAsia="MS Mincho" w:hAnsi="Times New Roman" w:cs="Times New Roman"/>
          <w:sz w:val="24"/>
          <w:szCs w:val="24"/>
          <w:lang w:eastAsia="ja-JP"/>
        </w:rPr>
        <w:t xml:space="preserve">w strukturze demograficznej ludności stawiają </w:t>
      </w:r>
      <w:r>
        <w:rPr>
          <w:rFonts w:ascii="Times New Roman" w:eastAsia="MS Mincho" w:hAnsi="Times New Roman" w:cs="Times New Roman"/>
          <w:sz w:val="24"/>
          <w:szCs w:val="24"/>
          <w:lang w:eastAsia="ja-JP"/>
        </w:rPr>
        <w:t xml:space="preserve">przed </w:t>
      </w:r>
      <w:r w:rsidRPr="002F2D56">
        <w:rPr>
          <w:rFonts w:ascii="Times New Roman" w:eastAsia="MS Mincho" w:hAnsi="Times New Roman" w:cs="Times New Roman"/>
          <w:sz w:val="24"/>
          <w:szCs w:val="24"/>
          <w:lang w:eastAsia="ja-JP"/>
        </w:rPr>
        <w:t>społecze</w:t>
      </w:r>
      <w:r>
        <w:rPr>
          <w:rFonts w:ascii="Times New Roman" w:eastAsia="MS Mincho" w:hAnsi="Times New Roman" w:cs="Times New Roman"/>
          <w:sz w:val="24"/>
          <w:szCs w:val="24"/>
          <w:lang w:eastAsia="ja-JP"/>
        </w:rPr>
        <w:t xml:space="preserve">ństwem nowe wyzwania społeczne, tj. odpowiedzialne projektowanie polityki społecznej wobec osób starszych oraz wdrożenie rozwiązań, które zapewnią godną, bezpieczną aktywną starość. </w:t>
      </w:r>
    </w:p>
    <w:p w14:paraId="25478D06" w14:textId="77777777" w:rsidR="00FE405D" w:rsidRDefault="00FE405D" w:rsidP="00FE405D">
      <w:pPr>
        <w:pStyle w:val="Default"/>
        <w:spacing w:line="276" w:lineRule="auto"/>
        <w:jc w:val="both"/>
        <w:rPr>
          <w:rFonts w:ascii="Times New Roman" w:hAnsi="Times New Roman" w:cs="Times New Roman"/>
          <w:color w:val="000000" w:themeColor="text1"/>
        </w:rPr>
      </w:pPr>
    </w:p>
    <w:p w14:paraId="44F9D55A" w14:textId="77777777" w:rsidR="00FE405D" w:rsidRPr="00BE48EF" w:rsidRDefault="00FE405D" w:rsidP="00FE405D">
      <w:pPr>
        <w:pStyle w:val="Default"/>
        <w:spacing w:line="276" w:lineRule="auto"/>
        <w:jc w:val="both"/>
        <w:rPr>
          <w:rFonts w:ascii="Times New Roman" w:hAnsi="Times New Roman" w:cs="Times New Roman"/>
          <w:color w:val="000000" w:themeColor="text1"/>
        </w:rPr>
      </w:pPr>
      <w:r w:rsidRPr="007136A9">
        <w:rPr>
          <w:rFonts w:ascii="Times New Roman" w:hAnsi="Times New Roman" w:cs="Times New Roman"/>
          <w:color w:val="000000" w:themeColor="text1"/>
        </w:rPr>
        <w:t xml:space="preserve">W okresie minionych 30 lat obserwujemy w Polsce spowolnienie rozwoju demograficznego </w:t>
      </w:r>
      <w:r w:rsidR="00E704D2">
        <w:rPr>
          <w:rFonts w:ascii="Times New Roman" w:hAnsi="Times New Roman" w:cs="Times New Roman"/>
          <w:color w:val="000000" w:themeColor="text1"/>
        </w:rPr>
        <w:br/>
      </w:r>
      <w:r w:rsidRPr="007136A9">
        <w:rPr>
          <w:rFonts w:ascii="Times New Roman" w:hAnsi="Times New Roman" w:cs="Times New Roman"/>
          <w:color w:val="000000" w:themeColor="text1"/>
        </w:rPr>
        <w:t xml:space="preserve">oraz znaczące zmiany w strukturze wieku mieszkańców. Trwający proces starzenia się </w:t>
      </w:r>
      <w:r>
        <w:rPr>
          <w:rFonts w:ascii="Times New Roman" w:hAnsi="Times New Roman" w:cs="Times New Roman"/>
          <w:color w:val="000000" w:themeColor="text1"/>
        </w:rPr>
        <w:t>populacji</w:t>
      </w:r>
      <w:r w:rsidRPr="007136A9">
        <w:rPr>
          <w:rFonts w:ascii="Times New Roman" w:hAnsi="Times New Roman" w:cs="Times New Roman"/>
          <w:color w:val="000000" w:themeColor="text1"/>
        </w:rPr>
        <w:t xml:space="preserve"> Polski </w:t>
      </w:r>
      <w:r>
        <w:rPr>
          <w:rFonts w:ascii="Times New Roman" w:hAnsi="Times New Roman" w:cs="Times New Roman"/>
          <w:color w:val="000000" w:themeColor="text1"/>
        </w:rPr>
        <w:t>jest</w:t>
      </w:r>
      <w:r w:rsidRPr="007136A9">
        <w:rPr>
          <w:rFonts w:ascii="Times New Roman" w:hAnsi="Times New Roman" w:cs="Times New Roman"/>
          <w:color w:val="000000" w:themeColor="text1"/>
        </w:rPr>
        <w:t xml:space="preserve"> wynikiem </w:t>
      </w:r>
      <w:r>
        <w:rPr>
          <w:rFonts w:ascii="Times New Roman" w:hAnsi="Times New Roman" w:cs="Times New Roman"/>
          <w:color w:val="000000" w:themeColor="text1"/>
        </w:rPr>
        <w:t>niskiego poziomu dzietności oraz wydłużania</w:t>
      </w:r>
      <w:r w:rsidRPr="007136A9">
        <w:rPr>
          <w:rFonts w:ascii="Times New Roman" w:hAnsi="Times New Roman" w:cs="Times New Roman"/>
          <w:color w:val="000000" w:themeColor="text1"/>
        </w:rPr>
        <w:t xml:space="preserve"> się trwania życia</w:t>
      </w:r>
      <w:r>
        <w:rPr>
          <w:rFonts w:ascii="Times New Roman" w:hAnsi="Times New Roman" w:cs="Times New Roman"/>
          <w:color w:val="000000" w:themeColor="text1"/>
        </w:rPr>
        <w:t>.</w:t>
      </w:r>
      <w:r w:rsidRPr="007136A9">
        <w:rPr>
          <w:rFonts w:ascii="Times New Roman" w:hAnsi="Times New Roman" w:cs="Times New Roman"/>
          <w:color w:val="000000" w:themeColor="text1"/>
        </w:rPr>
        <w:t xml:space="preserve"> W końcu </w:t>
      </w:r>
      <w:r>
        <w:rPr>
          <w:rFonts w:ascii="Times New Roman" w:hAnsi="Times New Roman" w:cs="Times New Roman"/>
          <w:color w:val="000000" w:themeColor="text1"/>
        </w:rPr>
        <w:t>2019</w:t>
      </w:r>
      <w:r w:rsidRPr="007136A9">
        <w:rPr>
          <w:rFonts w:ascii="Times New Roman" w:hAnsi="Times New Roman" w:cs="Times New Roman"/>
          <w:color w:val="000000" w:themeColor="text1"/>
        </w:rPr>
        <w:t xml:space="preserve"> r. liczba ludności Polski wyniosła 38,4 mln, w tym ponad 9,7 mln stanowiły osoby w wieku 60 lat i więcej (</w:t>
      </w:r>
      <w:r w:rsidRPr="00087FBC">
        <w:rPr>
          <w:rFonts w:ascii="Times New Roman" w:hAnsi="Times New Roman" w:cs="Times New Roman"/>
          <w:color w:val="000000" w:themeColor="text1"/>
        </w:rPr>
        <w:t xml:space="preserve">ponad 25%). W stosunku do </w:t>
      </w:r>
      <w:r>
        <w:rPr>
          <w:rFonts w:ascii="Times New Roman" w:hAnsi="Times New Roman" w:cs="Times New Roman"/>
          <w:color w:val="000000" w:themeColor="text1"/>
        </w:rPr>
        <w:t>2018</w:t>
      </w:r>
      <w:r w:rsidR="00BE48EF">
        <w:rPr>
          <w:rFonts w:ascii="Times New Roman" w:hAnsi="Times New Roman" w:cs="Times New Roman"/>
          <w:color w:val="000000" w:themeColor="text1"/>
        </w:rPr>
        <w:t xml:space="preserve"> r.</w:t>
      </w:r>
      <w:r w:rsidRPr="00087FBC">
        <w:rPr>
          <w:rFonts w:ascii="Times New Roman" w:hAnsi="Times New Roman" w:cs="Times New Roman"/>
          <w:color w:val="000000" w:themeColor="text1"/>
        </w:rPr>
        <w:t xml:space="preserve"> liczba osób w wieku senioralnym wzrosła </w:t>
      </w:r>
      <w:r w:rsidR="00E704D2">
        <w:rPr>
          <w:rFonts w:ascii="Times New Roman" w:hAnsi="Times New Roman" w:cs="Times New Roman"/>
          <w:color w:val="000000" w:themeColor="text1"/>
        </w:rPr>
        <w:br/>
      </w:r>
      <w:r w:rsidRPr="00087FBC">
        <w:rPr>
          <w:rFonts w:ascii="Times New Roman" w:hAnsi="Times New Roman" w:cs="Times New Roman"/>
          <w:color w:val="000000" w:themeColor="text1"/>
        </w:rPr>
        <w:t xml:space="preserve">o 195 tys. osób tj. o 2,1%. </w:t>
      </w:r>
    </w:p>
    <w:p w14:paraId="3F7AC40C" w14:textId="77777777" w:rsidR="00324309" w:rsidRDefault="00324309" w:rsidP="006648DD">
      <w:pPr>
        <w:spacing w:after="0"/>
      </w:pPr>
    </w:p>
    <w:p w14:paraId="63BFDED8" w14:textId="3F4077A4" w:rsidR="001E1614" w:rsidRPr="00A9161D" w:rsidRDefault="001E1614" w:rsidP="001E1614">
      <w:pPr>
        <w:pStyle w:val="Legenda"/>
        <w:keepNext/>
        <w:rPr>
          <w:rFonts w:ascii="Times New Roman" w:hAnsi="Times New Roman" w:cs="Times New Roman"/>
          <w:b/>
          <w:i w:val="0"/>
          <w:sz w:val="24"/>
        </w:rPr>
      </w:pPr>
      <w:bookmarkStart w:id="4" w:name="_Toc49171376"/>
      <w:r w:rsidRPr="00A9161D">
        <w:rPr>
          <w:rFonts w:ascii="Times New Roman" w:hAnsi="Times New Roman" w:cs="Times New Roman"/>
          <w:b/>
          <w:i w:val="0"/>
          <w:sz w:val="24"/>
        </w:rPr>
        <w:t xml:space="preserve">Tabela </w:t>
      </w:r>
      <w:r w:rsidRPr="00A9161D">
        <w:rPr>
          <w:rFonts w:ascii="Times New Roman" w:hAnsi="Times New Roman" w:cs="Times New Roman"/>
          <w:b/>
          <w:i w:val="0"/>
          <w:sz w:val="24"/>
        </w:rPr>
        <w:fldChar w:fldCharType="begin"/>
      </w:r>
      <w:r w:rsidRPr="00A9161D">
        <w:rPr>
          <w:rFonts w:ascii="Times New Roman" w:hAnsi="Times New Roman" w:cs="Times New Roman"/>
          <w:b/>
          <w:i w:val="0"/>
          <w:sz w:val="24"/>
        </w:rPr>
        <w:instrText xml:space="preserve"> SEQ Tabela \* ARABIC </w:instrText>
      </w:r>
      <w:r w:rsidRPr="00A9161D">
        <w:rPr>
          <w:rFonts w:ascii="Times New Roman" w:hAnsi="Times New Roman" w:cs="Times New Roman"/>
          <w:b/>
          <w:i w:val="0"/>
          <w:sz w:val="24"/>
        </w:rPr>
        <w:fldChar w:fldCharType="separate"/>
      </w:r>
      <w:r w:rsidR="00C154C9">
        <w:rPr>
          <w:rFonts w:ascii="Times New Roman" w:hAnsi="Times New Roman" w:cs="Times New Roman"/>
          <w:b/>
          <w:i w:val="0"/>
          <w:noProof/>
          <w:sz w:val="24"/>
        </w:rPr>
        <w:t>1</w:t>
      </w:r>
      <w:r w:rsidRPr="00A9161D">
        <w:rPr>
          <w:rFonts w:ascii="Times New Roman" w:hAnsi="Times New Roman" w:cs="Times New Roman"/>
          <w:b/>
          <w:i w:val="0"/>
          <w:sz w:val="24"/>
        </w:rPr>
        <w:fldChar w:fldCharType="end"/>
      </w:r>
      <w:r w:rsidRPr="00A9161D">
        <w:rPr>
          <w:rFonts w:ascii="Times New Roman" w:hAnsi="Times New Roman" w:cs="Times New Roman"/>
          <w:b/>
          <w:i w:val="0"/>
          <w:sz w:val="24"/>
        </w:rPr>
        <w:t xml:space="preserve"> Ludność w 2019 r.</w:t>
      </w:r>
      <w:bookmarkEnd w:id="4"/>
    </w:p>
    <w:tbl>
      <w:tblPr>
        <w:tblW w:w="9691"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807"/>
        <w:gridCol w:w="846"/>
        <w:gridCol w:w="1040"/>
        <w:gridCol w:w="1134"/>
        <w:gridCol w:w="992"/>
        <w:gridCol w:w="1018"/>
        <w:gridCol w:w="851"/>
        <w:gridCol w:w="1134"/>
        <w:gridCol w:w="1018"/>
        <w:gridCol w:w="851"/>
      </w:tblGrid>
      <w:tr w:rsidR="00324309" w:rsidRPr="00342041" w14:paraId="2F4EB1D3" w14:textId="77777777" w:rsidTr="004020A2">
        <w:trPr>
          <w:trHeight w:val="300"/>
          <w:jc w:val="center"/>
        </w:trPr>
        <w:tc>
          <w:tcPr>
            <w:tcW w:w="807" w:type="dxa"/>
            <w:vMerge w:val="restart"/>
            <w:shd w:val="clear" w:color="auto" w:fill="9CC2E5" w:themeFill="accent1" w:themeFillTint="99"/>
            <w:hideMark/>
          </w:tcPr>
          <w:p w14:paraId="52D4E02E"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Grupy wieku</w:t>
            </w:r>
          </w:p>
        </w:tc>
        <w:tc>
          <w:tcPr>
            <w:tcW w:w="846" w:type="dxa"/>
            <w:vMerge w:val="restart"/>
            <w:shd w:val="clear" w:color="auto" w:fill="9CC2E5" w:themeFill="accent1" w:themeFillTint="99"/>
            <w:hideMark/>
          </w:tcPr>
          <w:p w14:paraId="4BA92B23"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040" w:type="dxa"/>
            <w:vMerge w:val="restart"/>
            <w:shd w:val="clear" w:color="auto" w:fill="9CC2E5" w:themeFill="accent1" w:themeFillTint="99"/>
            <w:noWrap/>
            <w:hideMark/>
          </w:tcPr>
          <w:p w14:paraId="33E8C32B"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1134" w:type="dxa"/>
            <w:vMerge w:val="restart"/>
            <w:shd w:val="clear" w:color="auto" w:fill="9CC2E5" w:themeFill="accent1" w:themeFillTint="99"/>
            <w:hideMark/>
          </w:tcPr>
          <w:p w14:paraId="03942037"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2861" w:type="dxa"/>
            <w:gridSpan w:val="3"/>
            <w:shd w:val="clear" w:color="auto" w:fill="9CC2E5" w:themeFill="accent1" w:themeFillTint="99"/>
            <w:noWrap/>
            <w:hideMark/>
          </w:tcPr>
          <w:p w14:paraId="64A49E6B"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3003" w:type="dxa"/>
            <w:gridSpan w:val="3"/>
            <w:shd w:val="clear" w:color="auto" w:fill="9CC2E5" w:themeFill="accent1" w:themeFillTint="99"/>
            <w:noWrap/>
            <w:hideMark/>
          </w:tcPr>
          <w:p w14:paraId="1A5E50CE"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r>
      <w:tr w:rsidR="00324309" w:rsidRPr="00342041" w14:paraId="1487B997" w14:textId="77777777" w:rsidTr="004020A2">
        <w:trPr>
          <w:trHeight w:val="458"/>
          <w:jc w:val="center"/>
        </w:trPr>
        <w:tc>
          <w:tcPr>
            <w:tcW w:w="807" w:type="dxa"/>
            <w:vMerge/>
            <w:shd w:val="clear" w:color="auto" w:fill="9CC2E5" w:themeFill="accent1" w:themeFillTint="99"/>
            <w:hideMark/>
          </w:tcPr>
          <w:p w14:paraId="7908ADF6"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p>
        </w:tc>
        <w:tc>
          <w:tcPr>
            <w:tcW w:w="846" w:type="dxa"/>
            <w:vMerge/>
            <w:shd w:val="clear" w:color="auto" w:fill="9CC2E5" w:themeFill="accent1" w:themeFillTint="99"/>
            <w:hideMark/>
          </w:tcPr>
          <w:p w14:paraId="5D06AD0D"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p>
        </w:tc>
        <w:tc>
          <w:tcPr>
            <w:tcW w:w="1040" w:type="dxa"/>
            <w:vMerge/>
            <w:shd w:val="clear" w:color="auto" w:fill="9CC2E5" w:themeFill="accent1" w:themeFillTint="99"/>
            <w:hideMark/>
          </w:tcPr>
          <w:p w14:paraId="6429C122"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p>
        </w:tc>
        <w:tc>
          <w:tcPr>
            <w:tcW w:w="1134" w:type="dxa"/>
            <w:vMerge/>
            <w:shd w:val="clear" w:color="auto" w:fill="9CC2E5" w:themeFill="accent1" w:themeFillTint="99"/>
            <w:hideMark/>
          </w:tcPr>
          <w:p w14:paraId="30E32765"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p>
        </w:tc>
        <w:tc>
          <w:tcPr>
            <w:tcW w:w="992" w:type="dxa"/>
            <w:vMerge w:val="restart"/>
            <w:shd w:val="clear" w:color="auto" w:fill="9CC2E5" w:themeFill="accent1" w:themeFillTint="99"/>
            <w:hideMark/>
          </w:tcPr>
          <w:p w14:paraId="156B12B4"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razem</w:t>
            </w:r>
          </w:p>
        </w:tc>
        <w:tc>
          <w:tcPr>
            <w:tcW w:w="1018" w:type="dxa"/>
            <w:vMerge w:val="restart"/>
            <w:shd w:val="clear" w:color="auto" w:fill="9CC2E5" w:themeFill="accent1" w:themeFillTint="99"/>
            <w:hideMark/>
          </w:tcPr>
          <w:p w14:paraId="47B94208"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851" w:type="dxa"/>
            <w:vMerge w:val="restart"/>
            <w:shd w:val="clear" w:color="auto" w:fill="9CC2E5" w:themeFill="accent1" w:themeFillTint="99"/>
            <w:hideMark/>
          </w:tcPr>
          <w:p w14:paraId="2927010D"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1134" w:type="dxa"/>
            <w:vMerge w:val="restart"/>
            <w:shd w:val="clear" w:color="auto" w:fill="9CC2E5" w:themeFill="accent1" w:themeFillTint="99"/>
            <w:hideMark/>
          </w:tcPr>
          <w:p w14:paraId="586028E3"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razem</w:t>
            </w:r>
          </w:p>
        </w:tc>
        <w:tc>
          <w:tcPr>
            <w:tcW w:w="1018" w:type="dxa"/>
            <w:vMerge w:val="restart"/>
            <w:shd w:val="clear" w:color="auto" w:fill="9CC2E5" w:themeFill="accent1" w:themeFillTint="99"/>
            <w:hideMark/>
          </w:tcPr>
          <w:p w14:paraId="7C0D6C25"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851" w:type="dxa"/>
            <w:vMerge w:val="restart"/>
            <w:shd w:val="clear" w:color="auto" w:fill="9CC2E5" w:themeFill="accent1" w:themeFillTint="99"/>
            <w:hideMark/>
          </w:tcPr>
          <w:p w14:paraId="29FAC5EC"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r>
      <w:tr w:rsidR="00324309" w:rsidRPr="00342041" w14:paraId="4D0C0534" w14:textId="77777777" w:rsidTr="004020A2">
        <w:trPr>
          <w:trHeight w:val="458"/>
          <w:jc w:val="center"/>
        </w:trPr>
        <w:tc>
          <w:tcPr>
            <w:tcW w:w="807" w:type="dxa"/>
            <w:vMerge/>
            <w:shd w:val="clear" w:color="auto" w:fill="9CC2E5" w:themeFill="accent1" w:themeFillTint="99"/>
            <w:hideMark/>
          </w:tcPr>
          <w:p w14:paraId="35E79AF1"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p>
        </w:tc>
        <w:tc>
          <w:tcPr>
            <w:tcW w:w="846" w:type="dxa"/>
            <w:vMerge/>
            <w:shd w:val="clear" w:color="auto" w:fill="9CC2E5" w:themeFill="accent1" w:themeFillTint="99"/>
            <w:hideMark/>
          </w:tcPr>
          <w:p w14:paraId="112FD52A"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p>
        </w:tc>
        <w:tc>
          <w:tcPr>
            <w:tcW w:w="1040" w:type="dxa"/>
            <w:vMerge/>
            <w:shd w:val="clear" w:color="auto" w:fill="9CC2E5" w:themeFill="accent1" w:themeFillTint="99"/>
            <w:hideMark/>
          </w:tcPr>
          <w:p w14:paraId="731155EA"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p>
        </w:tc>
        <w:tc>
          <w:tcPr>
            <w:tcW w:w="1134" w:type="dxa"/>
            <w:vMerge/>
            <w:shd w:val="clear" w:color="auto" w:fill="9CC2E5" w:themeFill="accent1" w:themeFillTint="99"/>
            <w:hideMark/>
          </w:tcPr>
          <w:p w14:paraId="7B19F1E8"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p>
        </w:tc>
        <w:tc>
          <w:tcPr>
            <w:tcW w:w="992" w:type="dxa"/>
            <w:vMerge/>
            <w:shd w:val="clear" w:color="auto" w:fill="9CC2E5" w:themeFill="accent1" w:themeFillTint="99"/>
            <w:hideMark/>
          </w:tcPr>
          <w:p w14:paraId="2D6253E2"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p>
        </w:tc>
        <w:tc>
          <w:tcPr>
            <w:tcW w:w="1018" w:type="dxa"/>
            <w:vMerge/>
            <w:shd w:val="clear" w:color="auto" w:fill="9CC2E5" w:themeFill="accent1" w:themeFillTint="99"/>
            <w:hideMark/>
          </w:tcPr>
          <w:p w14:paraId="3038CFA8"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p>
        </w:tc>
        <w:tc>
          <w:tcPr>
            <w:tcW w:w="851" w:type="dxa"/>
            <w:vMerge/>
            <w:shd w:val="clear" w:color="auto" w:fill="9CC2E5" w:themeFill="accent1" w:themeFillTint="99"/>
            <w:hideMark/>
          </w:tcPr>
          <w:p w14:paraId="0E832F9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p>
        </w:tc>
        <w:tc>
          <w:tcPr>
            <w:tcW w:w="1134" w:type="dxa"/>
            <w:vMerge/>
            <w:shd w:val="clear" w:color="auto" w:fill="9CC2E5" w:themeFill="accent1" w:themeFillTint="99"/>
            <w:hideMark/>
          </w:tcPr>
          <w:p w14:paraId="59C62366"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p>
        </w:tc>
        <w:tc>
          <w:tcPr>
            <w:tcW w:w="1018" w:type="dxa"/>
            <w:vMerge/>
            <w:shd w:val="clear" w:color="auto" w:fill="9CC2E5" w:themeFill="accent1" w:themeFillTint="99"/>
            <w:hideMark/>
          </w:tcPr>
          <w:p w14:paraId="2148F4F2"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p>
        </w:tc>
        <w:tc>
          <w:tcPr>
            <w:tcW w:w="851" w:type="dxa"/>
            <w:vMerge/>
            <w:shd w:val="clear" w:color="auto" w:fill="9CC2E5" w:themeFill="accent1" w:themeFillTint="99"/>
            <w:hideMark/>
          </w:tcPr>
          <w:p w14:paraId="06E9A92E"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p>
        </w:tc>
      </w:tr>
      <w:tr w:rsidR="00764758" w:rsidRPr="00342041" w14:paraId="1C6909DD" w14:textId="77777777" w:rsidTr="004020A2">
        <w:trPr>
          <w:trHeight w:val="300"/>
          <w:jc w:val="center"/>
        </w:trPr>
        <w:tc>
          <w:tcPr>
            <w:tcW w:w="9691" w:type="dxa"/>
            <w:gridSpan w:val="10"/>
            <w:shd w:val="clear" w:color="auto" w:fill="auto"/>
            <w:noWrap/>
            <w:hideMark/>
          </w:tcPr>
          <w:p w14:paraId="61307E45" w14:textId="77777777" w:rsidR="00764758" w:rsidRPr="00342041" w:rsidRDefault="00764758" w:rsidP="00A06770">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tysiącach</w:t>
            </w:r>
          </w:p>
        </w:tc>
      </w:tr>
      <w:tr w:rsidR="00324309" w:rsidRPr="00342041" w14:paraId="39D3D827" w14:textId="77777777" w:rsidTr="004020A2">
        <w:trPr>
          <w:trHeight w:val="300"/>
          <w:jc w:val="center"/>
        </w:trPr>
        <w:tc>
          <w:tcPr>
            <w:tcW w:w="807" w:type="dxa"/>
            <w:shd w:val="clear" w:color="auto" w:fill="9CC2E5" w:themeFill="accent1" w:themeFillTint="99"/>
            <w:noWrap/>
            <w:hideMark/>
          </w:tcPr>
          <w:p w14:paraId="04AC333D"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846" w:type="dxa"/>
            <w:shd w:val="clear" w:color="auto" w:fill="auto"/>
            <w:noWrap/>
            <w:hideMark/>
          </w:tcPr>
          <w:p w14:paraId="5D36575E"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38 382,6</w:t>
            </w:r>
          </w:p>
        </w:tc>
        <w:tc>
          <w:tcPr>
            <w:tcW w:w="1040" w:type="dxa"/>
            <w:shd w:val="clear" w:color="auto" w:fill="auto"/>
            <w:noWrap/>
            <w:hideMark/>
          </w:tcPr>
          <w:p w14:paraId="08C2916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18 567,1</w:t>
            </w:r>
          </w:p>
        </w:tc>
        <w:tc>
          <w:tcPr>
            <w:tcW w:w="1134" w:type="dxa"/>
            <w:shd w:val="clear" w:color="auto" w:fill="auto"/>
            <w:noWrap/>
            <w:hideMark/>
          </w:tcPr>
          <w:p w14:paraId="2B521276"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19 815,5</w:t>
            </w:r>
          </w:p>
        </w:tc>
        <w:tc>
          <w:tcPr>
            <w:tcW w:w="992" w:type="dxa"/>
            <w:shd w:val="clear" w:color="auto" w:fill="auto"/>
            <w:noWrap/>
            <w:hideMark/>
          </w:tcPr>
          <w:p w14:paraId="069B091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23 033,1</w:t>
            </w:r>
          </w:p>
        </w:tc>
        <w:tc>
          <w:tcPr>
            <w:tcW w:w="1018" w:type="dxa"/>
            <w:shd w:val="clear" w:color="auto" w:fill="auto"/>
            <w:noWrap/>
            <w:hideMark/>
          </w:tcPr>
          <w:p w14:paraId="04B98BF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10 913,6</w:t>
            </w:r>
          </w:p>
        </w:tc>
        <w:tc>
          <w:tcPr>
            <w:tcW w:w="851" w:type="dxa"/>
            <w:shd w:val="clear" w:color="auto" w:fill="auto"/>
            <w:noWrap/>
            <w:hideMark/>
          </w:tcPr>
          <w:p w14:paraId="5D3BEBFB"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12 119,4</w:t>
            </w:r>
          </w:p>
        </w:tc>
        <w:tc>
          <w:tcPr>
            <w:tcW w:w="1134" w:type="dxa"/>
            <w:shd w:val="clear" w:color="auto" w:fill="auto"/>
            <w:noWrap/>
            <w:hideMark/>
          </w:tcPr>
          <w:p w14:paraId="5ED8E72E"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15 349,5</w:t>
            </w:r>
          </w:p>
        </w:tc>
        <w:tc>
          <w:tcPr>
            <w:tcW w:w="1018" w:type="dxa"/>
            <w:shd w:val="clear" w:color="auto" w:fill="auto"/>
            <w:noWrap/>
            <w:hideMark/>
          </w:tcPr>
          <w:p w14:paraId="4229B83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7 653,4</w:t>
            </w:r>
          </w:p>
        </w:tc>
        <w:tc>
          <w:tcPr>
            <w:tcW w:w="851" w:type="dxa"/>
            <w:shd w:val="clear" w:color="auto" w:fill="auto"/>
            <w:noWrap/>
            <w:hideMark/>
          </w:tcPr>
          <w:p w14:paraId="558DBE8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7 696,1</w:t>
            </w:r>
          </w:p>
        </w:tc>
      </w:tr>
      <w:tr w:rsidR="00324309" w:rsidRPr="00342041" w14:paraId="6A5312CD" w14:textId="77777777" w:rsidTr="004020A2">
        <w:trPr>
          <w:trHeight w:val="300"/>
          <w:jc w:val="center"/>
        </w:trPr>
        <w:tc>
          <w:tcPr>
            <w:tcW w:w="807" w:type="dxa"/>
            <w:shd w:val="clear" w:color="auto" w:fill="9CC2E5" w:themeFill="accent1" w:themeFillTint="99"/>
            <w:noWrap/>
            <w:hideMark/>
          </w:tcPr>
          <w:p w14:paraId="0F181B19"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 60 lat i więcej</w:t>
            </w:r>
          </w:p>
        </w:tc>
        <w:tc>
          <w:tcPr>
            <w:tcW w:w="846" w:type="dxa"/>
            <w:shd w:val="clear" w:color="auto" w:fill="auto"/>
            <w:noWrap/>
            <w:hideMark/>
          </w:tcPr>
          <w:p w14:paraId="2AD45A2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9 703,7</w:t>
            </w:r>
          </w:p>
        </w:tc>
        <w:tc>
          <w:tcPr>
            <w:tcW w:w="1040" w:type="dxa"/>
            <w:shd w:val="clear" w:color="auto" w:fill="auto"/>
            <w:noWrap/>
            <w:hideMark/>
          </w:tcPr>
          <w:p w14:paraId="2F92B23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4 064,4</w:t>
            </w:r>
          </w:p>
        </w:tc>
        <w:tc>
          <w:tcPr>
            <w:tcW w:w="1134" w:type="dxa"/>
            <w:shd w:val="clear" w:color="auto" w:fill="auto"/>
            <w:noWrap/>
            <w:hideMark/>
          </w:tcPr>
          <w:p w14:paraId="29CB454A"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5 639,3</w:t>
            </w:r>
          </w:p>
        </w:tc>
        <w:tc>
          <w:tcPr>
            <w:tcW w:w="992" w:type="dxa"/>
            <w:shd w:val="clear" w:color="auto" w:fill="auto"/>
            <w:noWrap/>
            <w:hideMark/>
          </w:tcPr>
          <w:p w14:paraId="762DFDE6"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6 322,4</w:t>
            </w:r>
          </w:p>
        </w:tc>
        <w:tc>
          <w:tcPr>
            <w:tcW w:w="1018" w:type="dxa"/>
            <w:shd w:val="clear" w:color="auto" w:fill="auto"/>
            <w:noWrap/>
            <w:hideMark/>
          </w:tcPr>
          <w:p w14:paraId="5D724E79"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2 571,4</w:t>
            </w:r>
          </w:p>
        </w:tc>
        <w:tc>
          <w:tcPr>
            <w:tcW w:w="851" w:type="dxa"/>
            <w:shd w:val="clear" w:color="auto" w:fill="auto"/>
            <w:noWrap/>
            <w:hideMark/>
          </w:tcPr>
          <w:p w14:paraId="053963C8"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3 751,0</w:t>
            </w:r>
          </w:p>
        </w:tc>
        <w:tc>
          <w:tcPr>
            <w:tcW w:w="1134" w:type="dxa"/>
            <w:shd w:val="clear" w:color="auto" w:fill="auto"/>
            <w:noWrap/>
            <w:hideMark/>
          </w:tcPr>
          <w:p w14:paraId="05B5B1B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3 381,3</w:t>
            </w:r>
          </w:p>
        </w:tc>
        <w:tc>
          <w:tcPr>
            <w:tcW w:w="1018" w:type="dxa"/>
            <w:shd w:val="clear" w:color="auto" w:fill="auto"/>
            <w:noWrap/>
            <w:hideMark/>
          </w:tcPr>
          <w:p w14:paraId="2670A7C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1 493,0</w:t>
            </w:r>
          </w:p>
        </w:tc>
        <w:tc>
          <w:tcPr>
            <w:tcW w:w="851" w:type="dxa"/>
            <w:shd w:val="clear" w:color="auto" w:fill="auto"/>
            <w:noWrap/>
            <w:hideMark/>
          </w:tcPr>
          <w:p w14:paraId="4AE26540"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1 888,3</w:t>
            </w:r>
          </w:p>
        </w:tc>
      </w:tr>
      <w:tr w:rsidR="00324309" w:rsidRPr="00342041" w14:paraId="345338F4" w14:textId="77777777" w:rsidTr="004020A2">
        <w:trPr>
          <w:trHeight w:val="300"/>
          <w:jc w:val="center"/>
        </w:trPr>
        <w:tc>
          <w:tcPr>
            <w:tcW w:w="807" w:type="dxa"/>
            <w:shd w:val="clear" w:color="auto" w:fill="9CC2E5" w:themeFill="accent1" w:themeFillTint="99"/>
            <w:noWrap/>
            <w:hideMark/>
          </w:tcPr>
          <w:p w14:paraId="1005386A"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60-64 lata</w:t>
            </w:r>
          </w:p>
        </w:tc>
        <w:tc>
          <w:tcPr>
            <w:tcW w:w="846" w:type="dxa"/>
            <w:shd w:val="clear" w:color="auto" w:fill="auto"/>
            <w:noWrap/>
            <w:hideMark/>
          </w:tcPr>
          <w:p w14:paraId="3351EA3D"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2 756,7</w:t>
            </w:r>
          </w:p>
        </w:tc>
        <w:tc>
          <w:tcPr>
            <w:tcW w:w="1040" w:type="dxa"/>
            <w:shd w:val="clear" w:color="auto" w:fill="auto"/>
            <w:noWrap/>
            <w:hideMark/>
          </w:tcPr>
          <w:p w14:paraId="6893F4A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1 295,8</w:t>
            </w:r>
          </w:p>
        </w:tc>
        <w:tc>
          <w:tcPr>
            <w:tcW w:w="1134" w:type="dxa"/>
            <w:shd w:val="clear" w:color="auto" w:fill="auto"/>
            <w:noWrap/>
            <w:hideMark/>
          </w:tcPr>
          <w:p w14:paraId="0F1EC53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1 460,9</w:t>
            </w:r>
          </w:p>
        </w:tc>
        <w:tc>
          <w:tcPr>
            <w:tcW w:w="992" w:type="dxa"/>
            <w:shd w:val="clear" w:color="auto" w:fill="auto"/>
            <w:noWrap/>
            <w:hideMark/>
          </w:tcPr>
          <w:p w14:paraId="2A80176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1 747,2</w:t>
            </w:r>
          </w:p>
        </w:tc>
        <w:tc>
          <w:tcPr>
            <w:tcW w:w="1018" w:type="dxa"/>
            <w:shd w:val="clear" w:color="auto" w:fill="auto"/>
            <w:noWrap/>
            <w:hideMark/>
          </w:tcPr>
          <w:p w14:paraId="0F0DECF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784,8</w:t>
            </w:r>
          </w:p>
        </w:tc>
        <w:tc>
          <w:tcPr>
            <w:tcW w:w="851" w:type="dxa"/>
            <w:shd w:val="clear" w:color="auto" w:fill="auto"/>
            <w:noWrap/>
            <w:hideMark/>
          </w:tcPr>
          <w:p w14:paraId="244945FB"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962,4</w:t>
            </w:r>
          </w:p>
        </w:tc>
        <w:tc>
          <w:tcPr>
            <w:tcW w:w="1134" w:type="dxa"/>
            <w:shd w:val="clear" w:color="auto" w:fill="auto"/>
            <w:noWrap/>
            <w:hideMark/>
          </w:tcPr>
          <w:p w14:paraId="2A0E7E22"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1 009,6</w:t>
            </w:r>
          </w:p>
        </w:tc>
        <w:tc>
          <w:tcPr>
            <w:tcW w:w="1018" w:type="dxa"/>
            <w:shd w:val="clear" w:color="auto" w:fill="auto"/>
            <w:noWrap/>
            <w:hideMark/>
          </w:tcPr>
          <w:p w14:paraId="0909B0ED"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511,0</w:t>
            </w:r>
          </w:p>
        </w:tc>
        <w:tc>
          <w:tcPr>
            <w:tcW w:w="851" w:type="dxa"/>
            <w:shd w:val="clear" w:color="auto" w:fill="auto"/>
            <w:noWrap/>
            <w:hideMark/>
          </w:tcPr>
          <w:p w14:paraId="53D52E0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498,5</w:t>
            </w:r>
          </w:p>
        </w:tc>
      </w:tr>
      <w:tr w:rsidR="00324309" w:rsidRPr="00342041" w14:paraId="22BF1B19" w14:textId="77777777" w:rsidTr="004020A2">
        <w:trPr>
          <w:trHeight w:val="300"/>
          <w:jc w:val="center"/>
        </w:trPr>
        <w:tc>
          <w:tcPr>
            <w:tcW w:w="807" w:type="dxa"/>
            <w:shd w:val="clear" w:color="auto" w:fill="9CC2E5" w:themeFill="accent1" w:themeFillTint="99"/>
            <w:noWrap/>
            <w:hideMark/>
          </w:tcPr>
          <w:p w14:paraId="77BCB8E3"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65-69</w:t>
            </w:r>
          </w:p>
        </w:tc>
        <w:tc>
          <w:tcPr>
            <w:tcW w:w="846" w:type="dxa"/>
            <w:shd w:val="clear" w:color="auto" w:fill="auto"/>
            <w:noWrap/>
            <w:hideMark/>
          </w:tcPr>
          <w:p w14:paraId="1E0DCAE9"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2 462,4</w:t>
            </w:r>
          </w:p>
        </w:tc>
        <w:tc>
          <w:tcPr>
            <w:tcW w:w="1040" w:type="dxa"/>
            <w:shd w:val="clear" w:color="auto" w:fill="auto"/>
            <w:noWrap/>
            <w:hideMark/>
          </w:tcPr>
          <w:p w14:paraId="122E1C99"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1 102,6</w:t>
            </w:r>
          </w:p>
        </w:tc>
        <w:tc>
          <w:tcPr>
            <w:tcW w:w="1134" w:type="dxa"/>
            <w:shd w:val="clear" w:color="auto" w:fill="auto"/>
            <w:noWrap/>
            <w:hideMark/>
          </w:tcPr>
          <w:p w14:paraId="0E0BC5CB"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1 359,8</w:t>
            </w:r>
          </w:p>
        </w:tc>
        <w:tc>
          <w:tcPr>
            <w:tcW w:w="992" w:type="dxa"/>
            <w:shd w:val="clear" w:color="auto" w:fill="auto"/>
            <w:noWrap/>
            <w:hideMark/>
          </w:tcPr>
          <w:p w14:paraId="74AFB6AA"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1 629,7</w:t>
            </w:r>
          </w:p>
        </w:tc>
        <w:tc>
          <w:tcPr>
            <w:tcW w:w="1018" w:type="dxa"/>
            <w:shd w:val="clear" w:color="auto" w:fill="auto"/>
            <w:noWrap/>
            <w:hideMark/>
          </w:tcPr>
          <w:p w14:paraId="13FF814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700,6</w:t>
            </w:r>
          </w:p>
        </w:tc>
        <w:tc>
          <w:tcPr>
            <w:tcW w:w="851" w:type="dxa"/>
            <w:shd w:val="clear" w:color="auto" w:fill="auto"/>
            <w:noWrap/>
            <w:hideMark/>
          </w:tcPr>
          <w:p w14:paraId="4C0E9139"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929,1</w:t>
            </w:r>
          </w:p>
        </w:tc>
        <w:tc>
          <w:tcPr>
            <w:tcW w:w="1134" w:type="dxa"/>
            <w:shd w:val="clear" w:color="auto" w:fill="auto"/>
            <w:noWrap/>
            <w:hideMark/>
          </w:tcPr>
          <w:p w14:paraId="65E62626"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832,7</w:t>
            </w:r>
          </w:p>
        </w:tc>
        <w:tc>
          <w:tcPr>
            <w:tcW w:w="1018" w:type="dxa"/>
            <w:shd w:val="clear" w:color="auto" w:fill="auto"/>
            <w:noWrap/>
            <w:hideMark/>
          </w:tcPr>
          <w:p w14:paraId="495275F7"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402,0</w:t>
            </w:r>
          </w:p>
        </w:tc>
        <w:tc>
          <w:tcPr>
            <w:tcW w:w="851" w:type="dxa"/>
            <w:shd w:val="clear" w:color="auto" w:fill="auto"/>
            <w:noWrap/>
            <w:hideMark/>
          </w:tcPr>
          <w:p w14:paraId="7B846FBA"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430,7</w:t>
            </w:r>
          </w:p>
        </w:tc>
      </w:tr>
      <w:tr w:rsidR="00324309" w:rsidRPr="00342041" w14:paraId="7D61C4EB" w14:textId="77777777" w:rsidTr="004020A2">
        <w:trPr>
          <w:trHeight w:val="300"/>
          <w:jc w:val="center"/>
        </w:trPr>
        <w:tc>
          <w:tcPr>
            <w:tcW w:w="807" w:type="dxa"/>
            <w:shd w:val="clear" w:color="auto" w:fill="9CC2E5" w:themeFill="accent1" w:themeFillTint="99"/>
            <w:noWrap/>
            <w:hideMark/>
          </w:tcPr>
          <w:p w14:paraId="187F508C"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70-74</w:t>
            </w:r>
          </w:p>
        </w:tc>
        <w:tc>
          <w:tcPr>
            <w:tcW w:w="846" w:type="dxa"/>
            <w:shd w:val="clear" w:color="auto" w:fill="auto"/>
            <w:noWrap/>
            <w:hideMark/>
          </w:tcPr>
          <w:p w14:paraId="6741C2C1"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1 754,7</w:t>
            </w:r>
          </w:p>
        </w:tc>
        <w:tc>
          <w:tcPr>
            <w:tcW w:w="1040" w:type="dxa"/>
            <w:shd w:val="clear" w:color="auto" w:fill="auto"/>
            <w:noWrap/>
            <w:hideMark/>
          </w:tcPr>
          <w:p w14:paraId="60D95348"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741,3</w:t>
            </w:r>
          </w:p>
        </w:tc>
        <w:tc>
          <w:tcPr>
            <w:tcW w:w="1134" w:type="dxa"/>
            <w:shd w:val="clear" w:color="auto" w:fill="auto"/>
            <w:noWrap/>
            <w:hideMark/>
          </w:tcPr>
          <w:p w14:paraId="0C5CE3F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1 013,4</w:t>
            </w:r>
          </w:p>
        </w:tc>
        <w:tc>
          <w:tcPr>
            <w:tcW w:w="992" w:type="dxa"/>
            <w:shd w:val="clear" w:color="auto" w:fill="auto"/>
            <w:noWrap/>
            <w:hideMark/>
          </w:tcPr>
          <w:p w14:paraId="62A19F3E"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1 178,7</w:t>
            </w:r>
          </w:p>
        </w:tc>
        <w:tc>
          <w:tcPr>
            <w:tcW w:w="1018" w:type="dxa"/>
            <w:shd w:val="clear" w:color="auto" w:fill="auto"/>
            <w:noWrap/>
            <w:hideMark/>
          </w:tcPr>
          <w:p w14:paraId="6D66EFAD"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486,2</w:t>
            </w:r>
          </w:p>
        </w:tc>
        <w:tc>
          <w:tcPr>
            <w:tcW w:w="851" w:type="dxa"/>
            <w:shd w:val="clear" w:color="auto" w:fill="auto"/>
            <w:noWrap/>
            <w:hideMark/>
          </w:tcPr>
          <w:p w14:paraId="2105BE1B"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692,6</w:t>
            </w:r>
          </w:p>
        </w:tc>
        <w:tc>
          <w:tcPr>
            <w:tcW w:w="1134" w:type="dxa"/>
            <w:shd w:val="clear" w:color="auto" w:fill="auto"/>
            <w:noWrap/>
            <w:hideMark/>
          </w:tcPr>
          <w:p w14:paraId="745AC7D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575,9</w:t>
            </w:r>
          </w:p>
        </w:tc>
        <w:tc>
          <w:tcPr>
            <w:tcW w:w="1018" w:type="dxa"/>
            <w:shd w:val="clear" w:color="auto" w:fill="auto"/>
            <w:noWrap/>
            <w:hideMark/>
          </w:tcPr>
          <w:p w14:paraId="59B10ECB"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255,1</w:t>
            </w:r>
          </w:p>
        </w:tc>
        <w:tc>
          <w:tcPr>
            <w:tcW w:w="851" w:type="dxa"/>
            <w:shd w:val="clear" w:color="auto" w:fill="auto"/>
            <w:noWrap/>
            <w:hideMark/>
          </w:tcPr>
          <w:p w14:paraId="78916878"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320,8</w:t>
            </w:r>
          </w:p>
        </w:tc>
      </w:tr>
      <w:tr w:rsidR="00324309" w:rsidRPr="00342041" w14:paraId="2FBDB74C" w14:textId="77777777" w:rsidTr="004020A2">
        <w:trPr>
          <w:trHeight w:val="300"/>
          <w:jc w:val="center"/>
        </w:trPr>
        <w:tc>
          <w:tcPr>
            <w:tcW w:w="807" w:type="dxa"/>
            <w:shd w:val="clear" w:color="auto" w:fill="9CC2E5" w:themeFill="accent1" w:themeFillTint="99"/>
            <w:noWrap/>
            <w:hideMark/>
          </w:tcPr>
          <w:p w14:paraId="2ACC58FE"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75-79</w:t>
            </w:r>
          </w:p>
        </w:tc>
        <w:tc>
          <w:tcPr>
            <w:tcW w:w="846" w:type="dxa"/>
            <w:shd w:val="clear" w:color="auto" w:fill="auto"/>
            <w:noWrap/>
            <w:hideMark/>
          </w:tcPr>
          <w:p w14:paraId="7C7ED838"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1 038,2</w:t>
            </w:r>
          </w:p>
        </w:tc>
        <w:tc>
          <w:tcPr>
            <w:tcW w:w="1040" w:type="dxa"/>
            <w:shd w:val="clear" w:color="auto" w:fill="auto"/>
            <w:noWrap/>
            <w:hideMark/>
          </w:tcPr>
          <w:p w14:paraId="2939D548"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398,1</w:t>
            </w:r>
          </w:p>
        </w:tc>
        <w:tc>
          <w:tcPr>
            <w:tcW w:w="1134" w:type="dxa"/>
            <w:shd w:val="clear" w:color="auto" w:fill="auto"/>
            <w:noWrap/>
            <w:hideMark/>
          </w:tcPr>
          <w:p w14:paraId="2AB7E53A"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640,1</w:t>
            </w:r>
          </w:p>
        </w:tc>
        <w:tc>
          <w:tcPr>
            <w:tcW w:w="992" w:type="dxa"/>
            <w:shd w:val="clear" w:color="auto" w:fill="auto"/>
            <w:noWrap/>
            <w:hideMark/>
          </w:tcPr>
          <w:p w14:paraId="6BE1B32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683,8</w:t>
            </w:r>
          </w:p>
        </w:tc>
        <w:tc>
          <w:tcPr>
            <w:tcW w:w="1018" w:type="dxa"/>
            <w:shd w:val="clear" w:color="auto" w:fill="auto"/>
            <w:noWrap/>
            <w:hideMark/>
          </w:tcPr>
          <w:p w14:paraId="4CA25A72"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259,4</w:t>
            </w:r>
          </w:p>
        </w:tc>
        <w:tc>
          <w:tcPr>
            <w:tcW w:w="851" w:type="dxa"/>
            <w:shd w:val="clear" w:color="auto" w:fill="auto"/>
            <w:noWrap/>
            <w:hideMark/>
          </w:tcPr>
          <w:p w14:paraId="0B74B6B0"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424,4</w:t>
            </w:r>
          </w:p>
        </w:tc>
        <w:tc>
          <w:tcPr>
            <w:tcW w:w="1134" w:type="dxa"/>
            <w:shd w:val="clear" w:color="auto" w:fill="auto"/>
            <w:noWrap/>
            <w:hideMark/>
          </w:tcPr>
          <w:p w14:paraId="1791274D"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354,4</w:t>
            </w:r>
          </w:p>
        </w:tc>
        <w:tc>
          <w:tcPr>
            <w:tcW w:w="1018" w:type="dxa"/>
            <w:shd w:val="clear" w:color="auto" w:fill="auto"/>
            <w:noWrap/>
            <w:hideMark/>
          </w:tcPr>
          <w:p w14:paraId="369D72A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138,7</w:t>
            </w:r>
          </w:p>
        </w:tc>
        <w:tc>
          <w:tcPr>
            <w:tcW w:w="851" w:type="dxa"/>
            <w:shd w:val="clear" w:color="auto" w:fill="auto"/>
            <w:noWrap/>
            <w:hideMark/>
          </w:tcPr>
          <w:p w14:paraId="5143C3D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215,7</w:t>
            </w:r>
          </w:p>
        </w:tc>
      </w:tr>
      <w:tr w:rsidR="00324309" w:rsidRPr="00342041" w14:paraId="0EFD7775" w14:textId="77777777" w:rsidTr="004020A2">
        <w:trPr>
          <w:trHeight w:val="300"/>
          <w:jc w:val="center"/>
        </w:trPr>
        <w:tc>
          <w:tcPr>
            <w:tcW w:w="807" w:type="dxa"/>
            <w:shd w:val="clear" w:color="auto" w:fill="9CC2E5" w:themeFill="accent1" w:themeFillTint="99"/>
            <w:noWrap/>
            <w:hideMark/>
          </w:tcPr>
          <w:p w14:paraId="1C2DB96D"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80-84</w:t>
            </w:r>
          </w:p>
        </w:tc>
        <w:tc>
          <w:tcPr>
            <w:tcW w:w="846" w:type="dxa"/>
            <w:shd w:val="clear" w:color="auto" w:fill="auto"/>
            <w:noWrap/>
            <w:hideMark/>
          </w:tcPr>
          <w:p w14:paraId="212F43C5"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879,6</w:t>
            </w:r>
          </w:p>
        </w:tc>
        <w:tc>
          <w:tcPr>
            <w:tcW w:w="1040" w:type="dxa"/>
            <w:shd w:val="clear" w:color="auto" w:fill="auto"/>
            <w:noWrap/>
            <w:hideMark/>
          </w:tcPr>
          <w:p w14:paraId="2D47A6B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298,1</w:t>
            </w:r>
          </w:p>
        </w:tc>
        <w:tc>
          <w:tcPr>
            <w:tcW w:w="1134" w:type="dxa"/>
            <w:shd w:val="clear" w:color="auto" w:fill="auto"/>
            <w:noWrap/>
            <w:hideMark/>
          </w:tcPr>
          <w:p w14:paraId="30D4C07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581,5</w:t>
            </w:r>
          </w:p>
        </w:tc>
        <w:tc>
          <w:tcPr>
            <w:tcW w:w="992" w:type="dxa"/>
            <w:shd w:val="clear" w:color="auto" w:fill="auto"/>
            <w:noWrap/>
            <w:hideMark/>
          </w:tcPr>
          <w:p w14:paraId="6CE91961"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568,2</w:t>
            </w:r>
          </w:p>
        </w:tc>
        <w:tc>
          <w:tcPr>
            <w:tcW w:w="1018" w:type="dxa"/>
            <w:shd w:val="clear" w:color="auto" w:fill="auto"/>
            <w:noWrap/>
            <w:hideMark/>
          </w:tcPr>
          <w:p w14:paraId="457F9141"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191,8</w:t>
            </w:r>
          </w:p>
        </w:tc>
        <w:tc>
          <w:tcPr>
            <w:tcW w:w="851" w:type="dxa"/>
            <w:shd w:val="clear" w:color="auto" w:fill="auto"/>
            <w:noWrap/>
            <w:hideMark/>
          </w:tcPr>
          <w:p w14:paraId="49F43D8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376,4</w:t>
            </w:r>
          </w:p>
        </w:tc>
        <w:tc>
          <w:tcPr>
            <w:tcW w:w="1134" w:type="dxa"/>
            <w:shd w:val="clear" w:color="auto" w:fill="auto"/>
            <w:noWrap/>
            <w:hideMark/>
          </w:tcPr>
          <w:p w14:paraId="39EA73B6"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311,4</w:t>
            </w:r>
          </w:p>
        </w:tc>
        <w:tc>
          <w:tcPr>
            <w:tcW w:w="1018" w:type="dxa"/>
            <w:shd w:val="clear" w:color="auto" w:fill="auto"/>
            <w:noWrap/>
            <w:hideMark/>
          </w:tcPr>
          <w:p w14:paraId="7265E202"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106,3</w:t>
            </w:r>
          </w:p>
        </w:tc>
        <w:tc>
          <w:tcPr>
            <w:tcW w:w="851" w:type="dxa"/>
            <w:shd w:val="clear" w:color="auto" w:fill="auto"/>
            <w:noWrap/>
            <w:hideMark/>
          </w:tcPr>
          <w:p w14:paraId="499C5F36"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205,1</w:t>
            </w:r>
          </w:p>
        </w:tc>
      </w:tr>
      <w:tr w:rsidR="00324309" w:rsidRPr="00342041" w14:paraId="2AB925FE" w14:textId="77777777" w:rsidTr="004020A2">
        <w:trPr>
          <w:trHeight w:val="300"/>
          <w:jc w:val="center"/>
        </w:trPr>
        <w:tc>
          <w:tcPr>
            <w:tcW w:w="807" w:type="dxa"/>
            <w:shd w:val="clear" w:color="auto" w:fill="9CC2E5" w:themeFill="accent1" w:themeFillTint="99"/>
            <w:noWrap/>
            <w:hideMark/>
          </w:tcPr>
          <w:p w14:paraId="2CDC7901"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85 lat i więcej</w:t>
            </w:r>
          </w:p>
        </w:tc>
        <w:tc>
          <w:tcPr>
            <w:tcW w:w="846" w:type="dxa"/>
            <w:shd w:val="clear" w:color="auto" w:fill="auto"/>
            <w:noWrap/>
            <w:hideMark/>
          </w:tcPr>
          <w:p w14:paraId="211AE95E"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812,1</w:t>
            </w:r>
          </w:p>
        </w:tc>
        <w:tc>
          <w:tcPr>
            <w:tcW w:w="1040" w:type="dxa"/>
            <w:shd w:val="clear" w:color="auto" w:fill="auto"/>
            <w:noWrap/>
            <w:hideMark/>
          </w:tcPr>
          <w:p w14:paraId="20777200"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228,6</w:t>
            </w:r>
          </w:p>
        </w:tc>
        <w:tc>
          <w:tcPr>
            <w:tcW w:w="1134" w:type="dxa"/>
            <w:shd w:val="clear" w:color="auto" w:fill="auto"/>
            <w:noWrap/>
            <w:hideMark/>
          </w:tcPr>
          <w:p w14:paraId="215D1BFB"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583,5</w:t>
            </w:r>
          </w:p>
        </w:tc>
        <w:tc>
          <w:tcPr>
            <w:tcW w:w="992" w:type="dxa"/>
            <w:shd w:val="clear" w:color="auto" w:fill="auto"/>
            <w:noWrap/>
            <w:hideMark/>
          </w:tcPr>
          <w:p w14:paraId="0C072595"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514,8</w:t>
            </w:r>
          </w:p>
        </w:tc>
        <w:tc>
          <w:tcPr>
            <w:tcW w:w="1018" w:type="dxa"/>
            <w:shd w:val="clear" w:color="auto" w:fill="auto"/>
            <w:noWrap/>
            <w:hideMark/>
          </w:tcPr>
          <w:p w14:paraId="09397DDA"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148,7</w:t>
            </w:r>
          </w:p>
        </w:tc>
        <w:tc>
          <w:tcPr>
            <w:tcW w:w="851" w:type="dxa"/>
            <w:shd w:val="clear" w:color="auto" w:fill="auto"/>
            <w:noWrap/>
            <w:hideMark/>
          </w:tcPr>
          <w:p w14:paraId="7D9DDAED"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366,2</w:t>
            </w:r>
          </w:p>
        </w:tc>
        <w:tc>
          <w:tcPr>
            <w:tcW w:w="1134" w:type="dxa"/>
            <w:shd w:val="clear" w:color="auto" w:fill="auto"/>
            <w:noWrap/>
            <w:hideMark/>
          </w:tcPr>
          <w:p w14:paraId="2BE4A1E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297,3</w:t>
            </w:r>
          </w:p>
        </w:tc>
        <w:tc>
          <w:tcPr>
            <w:tcW w:w="1018" w:type="dxa"/>
            <w:shd w:val="clear" w:color="auto" w:fill="auto"/>
            <w:noWrap/>
            <w:hideMark/>
          </w:tcPr>
          <w:p w14:paraId="7D249CE5"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79,9</w:t>
            </w:r>
          </w:p>
        </w:tc>
        <w:tc>
          <w:tcPr>
            <w:tcW w:w="851" w:type="dxa"/>
            <w:shd w:val="clear" w:color="auto" w:fill="auto"/>
            <w:noWrap/>
            <w:hideMark/>
          </w:tcPr>
          <w:p w14:paraId="00A3E5F2"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217,4</w:t>
            </w:r>
          </w:p>
        </w:tc>
      </w:tr>
      <w:tr w:rsidR="00B054BF" w:rsidRPr="00342041" w14:paraId="61D5E663" w14:textId="77777777" w:rsidTr="004020A2">
        <w:trPr>
          <w:trHeight w:val="300"/>
          <w:jc w:val="center"/>
        </w:trPr>
        <w:tc>
          <w:tcPr>
            <w:tcW w:w="9691" w:type="dxa"/>
            <w:gridSpan w:val="10"/>
            <w:shd w:val="clear" w:color="auto" w:fill="auto"/>
            <w:noWrap/>
            <w:hideMark/>
          </w:tcPr>
          <w:p w14:paraId="1BF35A24" w14:textId="77777777" w:rsidR="00B054BF" w:rsidRPr="00342041" w:rsidRDefault="00B054BF" w:rsidP="00A06770">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w:t>
            </w:r>
          </w:p>
        </w:tc>
      </w:tr>
      <w:tr w:rsidR="00324309" w:rsidRPr="00342041" w14:paraId="44638F34" w14:textId="77777777" w:rsidTr="004020A2">
        <w:trPr>
          <w:trHeight w:val="300"/>
          <w:jc w:val="center"/>
        </w:trPr>
        <w:tc>
          <w:tcPr>
            <w:tcW w:w="807" w:type="dxa"/>
            <w:shd w:val="clear" w:color="auto" w:fill="9CC2E5" w:themeFill="accent1" w:themeFillTint="99"/>
            <w:noWrap/>
            <w:hideMark/>
          </w:tcPr>
          <w:p w14:paraId="65F45B36"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846" w:type="dxa"/>
            <w:shd w:val="clear" w:color="auto" w:fill="auto"/>
            <w:noWrap/>
            <w:hideMark/>
          </w:tcPr>
          <w:p w14:paraId="6A5C16B5"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100,0</w:t>
            </w:r>
          </w:p>
        </w:tc>
        <w:tc>
          <w:tcPr>
            <w:tcW w:w="1040" w:type="dxa"/>
            <w:shd w:val="clear" w:color="auto" w:fill="auto"/>
            <w:noWrap/>
            <w:hideMark/>
          </w:tcPr>
          <w:p w14:paraId="69E013C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100,0</w:t>
            </w:r>
          </w:p>
        </w:tc>
        <w:tc>
          <w:tcPr>
            <w:tcW w:w="1134" w:type="dxa"/>
            <w:shd w:val="clear" w:color="auto" w:fill="auto"/>
            <w:noWrap/>
            <w:hideMark/>
          </w:tcPr>
          <w:p w14:paraId="5463234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100,0</w:t>
            </w:r>
          </w:p>
        </w:tc>
        <w:tc>
          <w:tcPr>
            <w:tcW w:w="992" w:type="dxa"/>
            <w:shd w:val="clear" w:color="auto" w:fill="auto"/>
            <w:noWrap/>
            <w:hideMark/>
          </w:tcPr>
          <w:p w14:paraId="7A4CB21B"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100,0</w:t>
            </w:r>
          </w:p>
        </w:tc>
        <w:tc>
          <w:tcPr>
            <w:tcW w:w="1018" w:type="dxa"/>
            <w:shd w:val="clear" w:color="auto" w:fill="auto"/>
            <w:noWrap/>
            <w:hideMark/>
          </w:tcPr>
          <w:p w14:paraId="6B599DC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100,0</w:t>
            </w:r>
          </w:p>
        </w:tc>
        <w:tc>
          <w:tcPr>
            <w:tcW w:w="851" w:type="dxa"/>
            <w:shd w:val="clear" w:color="auto" w:fill="auto"/>
            <w:noWrap/>
            <w:hideMark/>
          </w:tcPr>
          <w:p w14:paraId="6807EC88"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100,0</w:t>
            </w:r>
          </w:p>
        </w:tc>
        <w:tc>
          <w:tcPr>
            <w:tcW w:w="1134" w:type="dxa"/>
            <w:shd w:val="clear" w:color="auto" w:fill="auto"/>
            <w:noWrap/>
            <w:hideMark/>
          </w:tcPr>
          <w:p w14:paraId="130A11A0"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100,0</w:t>
            </w:r>
          </w:p>
        </w:tc>
        <w:tc>
          <w:tcPr>
            <w:tcW w:w="1018" w:type="dxa"/>
            <w:shd w:val="clear" w:color="auto" w:fill="auto"/>
            <w:noWrap/>
            <w:hideMark/>
          </w:tcPr>
          <w:p w14:paraId="0452D00A"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100,0</w:t>
            </w:r>
          </w:p>
        </w:tc>
        <w:tc>
          <w:tcPr>
            <w:tcW w:w="851" w:type="dxa"/>
            <w:shd w:val="clear" w:color="auto" w:fill="auto"/>
            <w:noWrap/>
            <w:hideMark/>
          </w:tcPr>
          <w:p w14:paraId="7803C9D9"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100,0</w:t>
            </w:r>
          </w:p>
        </w:tc>
      </w:tr>
      <w:tr w:rsidR="00324309" w:rsidRPr="00342041" w14:paraId="24760C8C" w14:textId="77777777" w:rsidTr="004020A2">
        <w:trPr>
          <w:trHeight w:val="300"/>
          <w:jc w:val="center"/>
        </w:trPr>
        <w:tc>
          <w:tcPr>
            <w:tcW w:w="807" w:type="dxa"/>
            <w:shd w:val="clear" w:color="auto" w:fill="9CC2E5" w:themeFill="accent1" w:themeFillTint="99"/>
            <w:noWrap/>
            <w:hideMark/>
          </w:tcPr>
          <w:p w14:paraId="3A79A405"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 60 lat i więcej</w:t>
            </w:r>
          </w:p>
        </w:tc>
        <w:tc>
          <w:tcPr>
            <w:tcW w:w="846" w:type="dxa"/>
            <w:shd w:val="clear" w:color="auto" w:fill="auto"/>
            <w:noWrap/>
            <w:hideMark/>
          </w:tcPr>
          <w:p w14:paraId="67961D65"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25,3</w:t>
            </w:r>
          </w:p>
        </w:tc>
        <w:tc>
          <w:tcPr>
            <w:tcW w:w="1040" w:type="dxa"/>
            <w:shd w:val="clear" w:color="auto" w:fill="auto"/>
            <w:noWrap/>
            <w:hideMark/>
          </w:tcPr>
          <w:p w14:paraId="04F293C5"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21,9</w:t>
            </w:r>
          </w:p>
        </w:tc>
        <w:tc>
          <w:tcPr>
            <w:tcW w:w="1134" w:type="dxa"/>
            <w:shd w:val="clear" w:color="auto" w:fill="auto"/>
            <w:noWrap/>
            <w:hideMark/>
          </w:tcPr>
          <w:p w14:paraId="691BAB81"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28,5</w:t>
            </w:r>
          </w:p>
        </w:tc>
        <w:tc>
          <w:tcPr>
            <w:tcW w:w="992" w:type="dxa"/>
            <w:shd w:val="clear" w:color="auto" w:fill="auto"/>
            <w:noWrap/>
            <w:hideMark/>
          </w:tcPr>
          <w:p w14:paraId="658F63E1"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27,4</w:t>
            </w:r>
          </w:p>
        </w:tc>
        <w:tc>
          <w:tcPr>
            <w:tcW w:w="1018" w:type="dxa"/>
            <w:shd w:val="clear" w:color="auto" w:fill="auto"/>
            <w:noWrap/>
            <w:hideMark/>
          </w:tcPr>
          <w:p w14:paraId="48F79DC8"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23,6</w:t>
            </w:r>
          </w:p>
        </w:tc>
        <w:tc>
          <w:tcPr>
            <w:tcW w:w="851" w:type="dxa"/>
            <w:shd w:val="clear" w:color="auto" w:fill="auto"/>
            <w:noWrap/>
            <w:hideMark/>
          </w:tcPr>
          <w:p w14:paraId="5E6CE2D6"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31,0</w:t>
            </w:r>
          </w:p>
        </w:tc>
        <w:tc>
          <w:tcPr>
            <w:tcW w:w="1134" w:type="dxa"/>
            <w:shd w:val="clear" w:color="auto" w:fill="auto"/>
            <w:noWrap/>
            <w:hideMark/>
          </w:tcPr>
          <w:p w14:paraId="12471C2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22,0</w:t>
            </w:r>
          </w:p>
        </w:tc>
        <w:tc>
          <w:tcPr>
            <w:tcW w:w="1018" w:type="dxa"/>
            <w:shd w:val="clear" w:color="auto" w:fill="auto"/>
            <w:noWrap/>
            <w:hideMark/>
          </w:tcPr>
          <w:p w14:paraId="4D0F2FE0"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19,5</w:t>
            </w:r>
          </w:p>
        </w:tc>
        <w:tc>
          <w:tcPr>
            <w:tcW w:w="851" w:type="dxa"/>
            <w:shd w:val="clear" w:color="auto" w:fill="auto"/>
            <w:noWrap/>
            <w:hideMark/>
          </w:tcPr>
          <w:p w14:paraId="5AAC70F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24,5</w:t>
            </w:r>
          </w:p>
        </w:tc>
      </w:tr>
      <w:tr w:rsidR="00B054BF" w:rsidRPr="00342041" w14:paraId="31B836C9" w14:textId="77777777" w:rsidTr="004020A2">
        <w:trPr>
          <w:trHeight w:val="300"/>
          <w:jc w:val="center"/>
        </w:trPr>
        <w:tc>
          <w:tcPr>
            <w:tcW w:w="9691" w:type="dxa"/>
            <w:gridSpan w:val="10"/>
            <w:shd w:val="clear" w:color="auto" w:fill="auto"/>
            <w:noWrap/>
            <w:hideMark/>
          </w:tcPr>
          <w:p w14:paraId="5FCC0A69" w14:textId="77777777" w:rsidR="00B054BF" w:rsidRPr="00342041" w:rsidRDefault="00B054BF" w:rsidP="00A06770">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60 lat i więcej = 100</w:t>
            </w:r>
          </w:p>
        </w:tc>
      </w:tr>
      <w:tr w:rsidR="00324309" w:rsidRPr="00342041" w14:paraId="5917A98C" w14:textId="77777777" w:rsidTr="004020A2">
        <w:trPr>
          <w:trHeight w:val="300"/>
          <w:jc w:val="center"/>
        </w:trPr>
        <w:tc>
          <w:tcPr>
            <w:tcW w:w="807" w:type="dxa"/>
            <w:shd w:val="clear" w:color="auto" w:fill="9CC2E5" w:themeFill="accent1" w:themeFillTint="99"/>
            <w:noWrap/>
            <w:hideMark/>
          </w:tcPr>
          <w:p w14:paraId="031A924B"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60-64 lata</w:t>
            </w:r>
          </w:p>
        </w:tc>
        <w:tc>
          <w:tcPr>
            <w:tcW w:w="846" w:type="dxa"/>
            <w:shd w:val="clear" w:color="auto" w:fill="auto"/>
            <w:noWrap/>
            <w:hideMark/>
          </w:tcPr>
          <w:p w14:paraId="2D6AEF7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28,4</w:t>
            </w:r>
          </w:p>
        </w:tc>
        <w:tc>
          <w:tcPr>
            <w:tcW w:w="1040" w:type="dxa"/>
            <w:shd w:val="clear" w:color="auto" w:fill="auto"/>
            <w:noWrap/>
            <w:hideMark/>
          </w:tcPr>
          <w:p w14:paraId="7A723047"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31,9</w:t>
            </w:r>
          </w:p>
        </w:tc>
        <w:tc>
          <w:tcPr>
            <w:tcW w:w="1134" w:type="dxa"/>
            <w:shd w:val="clear" w:color="auto" w:fill="auto"/>
            <w:noWrap/>
            <w:hideMark/>
          </w:tcPr>
          <w:p w14:paraId="09B30889"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25,9</w:t>
            </w:r>
          </w:p>
        </w:tc>
        <w:tc>
          <w:tcPr>
            <w:tcW w:w="992" w:type="dxa"/>
            <w:shd w:val="clear" w:color="auto" w:fill="auto"/>
            <w:noWrap/>
            <w:hideMark/>
          </w:tcPr>
          <w:p w14:paraId="345B233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27,6</w:t>
            </w:r>
          </w:p>
        </w:tc>
        <w:tc>
          <w:tcPr>
            <w:tcW w:w="1018" w:type="dxa"/>
            <w:shd w:val="clear" w:color="auto" w:fill="auto"/>
            <w:noWrap/>
            <w:hideMark/>
          </w:tcPr>
          <w:p w14:paraId="2763F98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30,5</w:t>
            </w:r>
          </w:p>
        </w:tc>
        <w:tc>
          <w:tcPr>
            <w:tcW w:w="851" w:type="dxa"/>
            <w:shd w:val="clear" w:color="auto" w:fill="auto"/>
            <w:noWrap/>
            <w:hideMark/>
          </w:tcPr>
          <w:p w14:paraId="4169BC57"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25,7</w:t>
            </w:r>
          </w:p>
        </w:tc>
        <w:tc>
          <w:tcPr>
            <w:tcW w:w="1134" w:type="dxa"/>
            <w:shd w:val="clear" w:color="auto" w:fill="auto"/>
            <w:noWrap/>
            <w:hideMark/>
          </w:tcPr>
          <w:p w14:paraId="106B23D5"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29,9</w:t>
            </w:r>
          </w:p>
        </w:tc>
        <w:tc>
          <w:tcPr>
            <w:tcW w:w="1018" w:type="dxa"/>
            <w:shd w:val="clear" w:color="auto" w:fill="auto"/>
            <w:noWrap/>
            <w:hideMark/>
          </w:tcPr>
          <w:p w14:paraId="794A6E21"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34,2</w:t>
            </w:r>
          </w:p>
        </w:tc>
        <w:tc>
          <w:tcPr>
            <w:tcW w:w="851" w:type="dxa"/>
            <w:shd w:val="clear" w:color="auto" w:fill="auto"/>
            <w:noWrap/>
            <w:hideMark/>
          </w:tcPr>
          <w:p w14:paraId="376FDA5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26,4</w:t>
            </w:r>
          </w:p>
        </w:tc>
      </w:tr>
      <w:tr w:rsidR="00324309" w:rsidRPr="00342041" w14:paraId="02956CC3" w14:textId="77777777" w:rsidTr="004020A2">
        <w:trPr>
          <w:trHeight w:val="300"/>
          <w:jc w:val="center"/>
        </w:trPr>
        <w:tc>
          <w:tcPr>
            <w:tcW w:w="807" w:type="dxa"/>
            <w:shd w:val="clear" w:color="auto" w:fill="9CC2E5" w:themeFill="accent1" w:themeFillTint="99"/>
            <w:noWrap/>
            <w:hideMark/>
          </w:tcPr>
          <w:p w14:paraId="7BD04250"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65-69</w:t>
            </w:r>
          </w:p>
        </w:tc>
        <w:tc>
          <w:tcPr>
            <w:tcW w:w="846" w:type="dxa"/>
            <w:shd w:val="clear" w:color="auto" w:fill="auto"/>
            <w:noWrap/>
            <w:hideMark/>
          </w:tcPr>
          <w:p w14:paraId="7F8CEAD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25,4</w:t>
            </w:r>
          </w:p>
        </w:tc>
        <w:tc>
          <w:tcPr>
            <w:tcW w:w="1040" w:type="dxa"/>
            <w:shd w:val="clear" w:color="auto" w:fill="auto"/>
            <w:noWrap/>
            <w:hideMark/>
          </w:tcPr>
          <w:p w14:paraId="5C1992EB"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27,1</w:t>
            </w:r>
          </w:p>
        </w:tc>
        <w:tc>
          <w:tcPr>
            <w:tcW w:w="1134" w:type="dxa"/>
            <w:shd w:val="clear" w:color="auto" w:fill="auto"/>
            <w:noWrap/>
            <w:hideMark/>
          </w:tcPr>
          <w:p w14:paraId="5C261B5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24,1</w:t>
            </w:r>
          </w:p>
        </w:tc>
        <w:tc>
          <w:tcPr>
            <w:tcW w:w="992" w:type="dxa"/>
            <w:shd w:val="clear" w:color="auto" w:fill="auto"/>
            <w:noWrap/>
            <w:hideMark/>
          </w:tcPr>
          <w:p w14:paraId="3CF47808"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25,8</w:t>
            </w:r>
          </w:p>
        </w:tc>
        <w:tc>
          <w:tcPr>
            <w:tcW w:w="1018" w:type="dxa"/>
            <w:shd w:val="clear" w:color="auto" w:fill="auto"/>
            <w:noWrap/>
            <w:hideMark/>
          </w:tcPr>
          <w:p w14:paraId="09AD9C0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27,2</w:t>
            </w:r>
          </w:p>
        </w:tc>
        <w:tc>
          <w:tcPr>
            <w:tcW w:w="851" w:type="dxa"/>
            <w:shd w:val="clear" w:color="auto" w:fill="auto"/>
            <w:noWrap/>
            <w:hideMark/>
          </w:tcPr>
          <w:p w14:paraId="6448940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24,8</w:t>
            </w:r>
          </w:p>
        </w:tc>
        <w:tc>
          <w:tcPr>
            <w:tcW w:w="1134" w:type="dxa"/>
            <w:shd w:val="clear" w:color="auto" w:fill="auto"/>
            <w:noWrap/>
            <w:hideMark/>
          </w:tcPr>
          <w:p w14:paraId="4F64EE85"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24,6</w:t>
            </w:r>
          </w:p>
        </w:tc>
        <w:tc>
          <w:tcPr>
            <w:tcW w:w="1018" w:type="dxa"/>
            <w:shd w:val="clear" w:color="auto" w:fill="auto"/>
            <w:noWrap/>
            <w:hideMark/>
          </w:tcPr>
          <w:p w14:paraId="6E1F53C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26,9</w:t>
            </w:r>
          </w:p>
        </w:tc>
        <w:tc>
          <w:tcPr>
            <w:tcW w:w="851" w:type="dxa"/>
            <w:shd w:val="clear" w:color="auto" w:fill="auto"/>
            <w:noWrap/>
            <w:hideMark/>
          </w:tcPr>
          <w:p w14:paraId="42DF10D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22,8</w:t>
            </w:r>
          </w:p>
        </w:tc>
      </w:tr>
      <w:tr w:rsidR="00324309" w:rsidRPr="00342041" w14:paraId="3B7EC5DA" w14:textId="77777777" w:rsidTr="004020A2">
        <w:trPr>
          <w:trHeight w:val="300"/>
          <w:jc w:val="center"/>
        </w:trPr>
        <w:tc>
          <w:tcPr>
            <w:tcW w:w="807" w:type="dxa"/>
            <w:shd w:val="clear" w:color="auto" w:fill="9CC2E5" w:themeFill="accent1" w:themeFillTint="99"/>
            <w:noWrap/>
            <w:hideMark/>
          </w:tcPr>
          <w:p w14:paraId="397A1CDA"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70-74</w:t>
            </w:r>
          </w:p>
        </w:tc>
        <w:tc>
          <w:tcPr>
            <w:tcW w:w="846" w:type="dxa"/>
            <w:shd w:val="clear" w:color="auto" w:fill="auto"/>
            <w:noWrap/>
            <w:hideMark/>
          </w:tcPr>
          <w:p w14:paraId="1CB1B0E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18,1</w:t>
            </w:r>
          </w:p>
        </w:tc>
        <w:tc>
          <w:tcPr>
            <w:tcW w:w="1040" w:type="dxa"/>
            <w:shd w:val="clear" w:color="auto" w:fill="auto"/>
            <w:noWrap/>
            <w:hideMark/>
          </w:tcPr>
          <w:p w14:paraId="67DBCF3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18,2</w:t>
            </w:r>
          </w:p>
        </w:tc>
        <w:tc>
          <w:tcPr>
            <w:tcW w:w="1134" w:type="dxa"/>
            <w:shd w:val="clear" w:color="auto" w:fill="auto"/>
            <w:noWrap/>
            <w:hideMark/>
          </w:tcPr>
          <w:p w14:paraId="76A8D67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18,0</w:t>
            </w:r>
          </w:p>
        </w:tc>
        <w:tc>
          <w:tcPr>
            <w:tcW w:w="992" w:type="dxa"/>
            <w:shd w:val="clear" w:color="auto" w:fill="auto"/>
            <w:noWrap/>
            <w:hideMark/>
          </w:tcPr>
          <w:p w14:paraId="463814CE"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18,6</w:t>
            </w:r>
          </w:p>
        </w:tc>
        <w:tc>
          <w:tcPr>
            <w:tcW w:w="1018" w:type="dxa"/>
            <w:shd w:val="clear" w:color="auto" w:fill="auto"/>
            <w:noWrap/>
            <w:hideMark/>
          </w:tcPr>
          <w:p w14:paraId="7082F5A1"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18,9</w:t>
            </w:r>
          </w:p>
        </w:tc>
        <w:tc>
          <w:tcPr>
            <w:tcW w:w="851" w:type="dxa"/>
            <w:shd w:val="clear" w:color="auto" w:fill="auto"/>
            <w:noWrap/>
            <w:hideMark/>
          </w:tcPr>
          <w:p w14:paraId="6B1616A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18,5</w:t>
            </w:r>
          </w:p>
        </w:tc>
        <w:tc>
          <w:tcPr>
            <w:tcW w:w="1134" w:type="dxa"/>
            <w:shd w:val="clear" w:color="auto" w:fill="auto"/>
            <w:noWrap/>
            <w:hideMark/>
          </w:tcPr>
          <w:p w14:paraId="4970C7F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17,0</w:t>
            </w:r>
          </w:p>
        </w:tc>
        <w:tc>
          <w:tcPr>
            <w:tcW w:w="1018" w:type="dxa"/>
            <w:shd w:val="clear" w:color="auto" w:fill="auto"/>
            <w:noWrap/>
            <w:hideMark/>
          </w:tcPr>
          <w:p w14:paraId="06B4DFF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17,1</w:t>
            </w:r>
          </w:p>
        </w:tc>
        <w:tc>
          <w:tcPr>
            <w:tcW w:w="851" w:type="dxa"/>
            <w:shd w:val="clear" w:color="auto" w:fill="auto"/>
            <w:noWrap/>
            <w:hideMark/>
          </w:tcPr>
          <w:p w14:paraId="6401FE1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17,0</w:t>
            </w:r>
          </w:p>
        </w:tc>
      </w:tr>
      <w:tr w:rsidR="00324309" w:rsidRPr="00342041" w14:paraId="4848B9A4" w14:textId="77777777" w:rsidTr="004020A2">
        <w:trPr>
          <w:trHeight w:val="300"/>
          <w:jc w:val="center"/>
        </w:trPr>
        <w:tc>
          <w:tcPr>
            <w:tcW w:w="807" w:type="dxa"/>
            <w:shd w:val="clear" w:color="auto" w:fill="9CC2E5" w:themeFill="accent1" w:themeFillTint="99"/>
            <w:noWrap/>
            <w:hideMark/>
          </w:tcPr>
          <w:p w14:paraId="097906D4"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75-79</w:t>
            </w:r>
          </w:p>
        </w:tc>
        <w:tc>
          <w:tcPr>
            <w:tcW w:w="846" w:type="dxa"/>
            <w:shd w:val="clear" w:color="auto" w:fill="auto"/>
            <w:noWrap/>
            <w:hideMark/>
          </w:tcPr>
          <w:p w14:paraId="0307A33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10,7</w:t>
            </w:r>
          </w:p>
        </w:tc>
        <w:tc>
          <w:tcPr>
            <w:tcW w:w="1040" w:type="dxa"/>
            <w:shd w:val="clear" w:color="auto" w:fill="auto"/>
            <w:noWrap/>
            <w:hideMark/>
          </w:tcPr>
          <w:p w14:paraId="570C8722"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9,8</w:t>
            </w:r>
          </w:p>
        </w:tc>
        <w:tc>
          <w:tcPr>
            <w:tcW w:w="1134" w:type="dxa"/>
            <w:shd w:val="clear" w:color="auto" w:fill="auto"/>
            <w:noWrap/>
            <w:hideMark/>
          </w:tcPr>
          <w:p w14:paraId="16A9189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11,4</w:t>
            </w:r>
          </w:p>
        </w:tc>
        <w:tc>
          <w:tcPr>
            <w:tcW w:w="992" w:type="dxa"/>
            <w:shd w:val="clear" w:color="auto" w:fill="auto"/>
            <w:noWrap/>
            <w:hideMark/>
          </w:tcPr>
          <w:p w14:paraId="70223A2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10,8</w:t>
            </w:r>
          </w:p>
        </w:tc>
        <w:tc>
          <w:tcPr>
            <w:tcW w:w="1018" w:type="dxa"/>
            <w:shd w:val="clear" w:color="auto" w:fill="auto"/>
            <w:noWrap/>
            <w:hideMark/>
          </w:tcPr>
          <w:p w14:paraId="6C1D61A0"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10,1</w:t>
            </w:r>
          </w:p>
        </w:tc>
        <w:tc>
          <w:tcPr>
            <w:tcW w:w="851" w:type="dxa"/>
            <w:shd w:val="clear" w:color="auto" w:fill="auto"/>
            <w:noWrap/>
            <w:hideMark/>
          </w:tcPr>
          <w:p w14:paraId="3E371C5B"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11,3</w:t>
            </w:r>
          </w:p>
        </w:tc>
        <w:tc>
          <w:tcPr>
            <w:tcW w:w="1134" w:type="dxa"/>
            <w:shd w:val="clear" w:color="auto" w:fill="auto"/>
            <w:noWrap/>
            <w:hideMark/>
          </w:tcPr>
          <w:p w14:paraId="634791D1"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10,5</w:t>
            </w:r>
          </w:p>
        </w:tc>
        <w:tc>
          <w:tcPr>
            <w:tcW w:w="1018" w:type="dxa"/>
            <w:shd w:val="clear" w:color="auto" w:fill="auto"/>
            <w:noWrap/>
            <w:hideMark/>
          </w:tcPr>
          <w:p w14:paraId="4BB1F90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9,3</w:t>
            </w:r>
          </w:p>
        </w:tc>
        <w:tc>
          <w:tcPr>
            <w:tcW w:w="851" w:type="dxa"/>
            <w:shd w:val="clear" w:color="auto" w:fill="auto"/>
            <w:noWrap/>
            <w:hideMark/>
          </w:tcPr>
          <w:p w14:paraId="05AC9124"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11,4</w:t>
            </w:r>
          </w:p>
        </w:tc>
      </w:tr>
      <w:tr w:rsidR="00324309" w:rsidRPr="00342041" w14:paraId="5A7E766D" w14:textId="77777777" w:rsidTr="004020A2">
        <w:trPr>
          <w:trHeight w:val="300"/>
          <w:jc w:val="center"/>
        </w:trPr>
        <w:tc>
          <w:tcPr>
            <w:tcW w:w="807" w:type="dxa"/>
            <w:shd w:val="clear" w:color="auto" w:fill="auto"/>
            <w:noWrap/>
            <w:hideMark/>
          </w:tcPr>
          <w:p w14:paraId="29069ED3"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lastRenderedPageBreak/>
              <w:t>80-84</w:t>
            </w:r>
          </w:p>
        </w:tc>
        <w:tc>
          <w:tcPr>
            <w:tcW w:w="846" w:type="dxa"/>
            <w:shd w:val="clear" w:color="auto" w:fill="auto"/>
            <w:noWrap/>
            <w:hideMark/>
          </w:tcPr>
          <w:p w14:paraId="7E07BAB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9,1</w:t>
            </w:r>
          </w:p>
        </w:tc>
        <w:tc>
          <w:tcPr>
            <w:tcW w:w="1040" w:type="dxa"/>
            <w:shd w:val="clear" w:color="auto" w:fill="auto"/>
            <w:noWrap/>
            <w:hideMark/>
          </w:tcPr>
          <w:p w14:paraId="0994372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7,3</w:t>
            </w:r>
          </w:p>
        </w:tc>
        <w:tc>
          <w:tcPr>
            <w:tcW w:w="1134" w:type="dxa"/>
            <w:shd w:val="clear" w:color="auto" w:fill="auto"/>
            <w:noWrap/>
            <w:hideMark/>
          </w:tcPr>
          <w:p w14:paraId="1613F609"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10,3</w:t>
            </w:r>
          </w:p>
        </w:tc>
        <w:tc>
          <w:tcPr>
            <w:tcW w:w="992" w:type="dxa"/>
            <w:shd w:val="clear" w:color="auto" w:fill="auto"/>
            <w:noWrap/>
            <w:hideMark/>
          </w:tcPr>
          <w:p w14:paraId="16D27337"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9,0</w:t>
            </w:r>
          </w:p>
        </w:tc>
        <w:tc>
          <w:tcPr>
            <w:tcW w:w="1018" w:type="dxa"/>
            <w:shd w:val="clear" w:color="auto" w:fill="auto"/>
            <w:noWrap/>
            <w:hideMark/>
          </w:tcPr>
          <w:p w14:paraId="229AC472"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7,5</w:t>
            </w:r>
          </w:p>
        </w:tc>
        <w:tc>
          <w:tcPr>
            <w:tcW w:w="851" w:type="dxa"/>
            <w:shd w:val="clear" w:color="auto" w:fill="auto"/>
            <w:noWrap/>
            <w:hideMark/>
          </w:tcPr>
          <w:p w14:paraId="266F1D7C"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134" w:type="dxa"/>
            <w:shd w:val="clear" w:color="auto" w:fill="auto"/>
            <w:noWrap/>
            <w:hideMark/>
          </w:tcPr>
          <w:p w14:paraId="0FCAF03F"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9,2</w:t>
            </w:r>
          </w:p>
        </w:tc>
        <w:tc>
          <w:tcPr>
            <w:tcW w:w="1018" w:type="dxa"/>
            <w:shd w:val="clear" w:color="auto" w:fill="auto"/>
            <w:noWrap/>
            <w:hideMark/>
          </w:tcPr>
          <w:p w14:paraId="776F5E5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7,1</w:t>
            </w:r>
          </w:p>
        </w:tc>
        <w:tc>
          <w:tcPr>
            <w:tcW w:w="851" w:type="dxa"/>
            <w:shd w:val="clear" w:color="auto" w:fill="auto"/>
            <w:noWrap/>
            <w:hideMark/>
          </w:tcPr>
          <w:p w14:paraId="06829443"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10,9</w:t>
            </w:r>
          </w:p>
        </w:tc>
      </w:tr>
      <w:tr w:rsidR="00324309" w:rsidRPr="00342041" w14:paraId="750CC154" w14:textId="77777777" w:rsidTr="004020A2">
        <w:trPr>
          <w:trHeight w:val="300"/>
          <w:jc w:val="center"/>
        </w:trPr>
        <w:tc>
          <w:tcPr>
            <w:tcW w:w="807" w:type="dxa"/>
            <w:shd w:val="clear" w:color="auto" w:fill="auto"/>
            <w:noWrap/>
            <w:hideMark/>
          </w:tcPr>
          <w:p w14:paraId="40921441" w14:textId="77777777" w:rsidR="00324309" w:rsidRPr="00342041" w:rsidRDefault="00324309"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85 lat i więcej</w:t>
            </w:r>
          </w:p>
        </w:tc>
        <w:tc>
          <w:tcPr>
            <w:tcW w:w="846" w:type="dxa"/>
            <w:shd w:val="clear" w:color="auto" w:fill="auto"/>
            <w:noWrap/>
            <w:hideMark/>
          </w:tcPr>
          <w:p w14:paraId="3F1FE797"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8,4</w:t>
            </w:r>
          </w:p>
        </w:tc>
        <w:tc>
          <w:tcPr>
            <w:tcW w:w="1040" w:type="dxa"/>
            <w:shd w:val="clear" w:color="auto" w:fill="auto"/>
            <w:noWrap/>
            <w:hideMark/>
          </w:tcPr>
          <w:p w14:paraId="46046DDD"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5,6</w:t>
            </w:r>
          </w:p>
        </w:tc>
        <w:tc>
          <w:tcPr>
            <w:tcW w:w="1134" w:type="dxa"/>
            <w:shd w:val="clear" w:color="auto" w:fill="auto"/>
            <w:noWrap/>
            <w:hideMark/>
          </w:tcPr>
          <w:p w14:paraId="32F7813E"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10,3</w:t>
            </w:r>
          </w:p>
        </w:tc>
        <w:tc>
          <w:tcPr>
            <w:tcW w:w="992" w:type="dxa"/>
            <w:shd w:val="clear" w:color="auto" w:fill="auto"/>
            <w:noWrap/>
            <w:hideMark/>
          </w:tcPr>
          <w:p w14:paraId="5C25E5B6"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8,1</w:t>
            </w:r>
          </w:p>
        </w:tc>
        <w:tc>
          <w:tcPr>
            <w:tcW w:w="1018" w:type="dxa"/>
            <w:shd w:val="clear" w:color="auto" w:fill="auto"/>
            <w:noWrap/>
            <w:hideMark/>
          </w:tcPr>
          <w:p w14:paraId="34EA6E2E"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5,8</w:t>
            </w:r>
          </w:p>
        </w:tc>
        <w:tc>
          <w:tcPr>
            <w:tcW w:w="851" w:type="dxa"/>
            <w:shd w:val="clear" w:color="auto" w:fill="auto"/>
            <w:noWrap/>
            <w:hideMark/>
          </w:tcPr>
          <w:p w14:paraId="2091A63E"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9,8</w:t>
            </w:r>
          </w:p>
        </w:tc>
        <w:tc>
          <w:tcPr>
            <w:tcW w:w="1134" w:type="dxa"/>
            <w:shd w:val="clear" w:color="auto" w:fill="auto"/>
            <w:noWrap/>
            <w:hideMark/>
          </w:tcPr>
          <w:p w14:paraId="0EA34F99"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8,8</w:t>
            </w:r>
          </w:p>
        </w:tc>
        <w:tc>
          <w:tcPr>
            <w:tcW w:w="1018" w:type="dxa"/>
            <w:shd w:val="clear" w:color="auto" w:fill="auto"/>
            <w:noWrap/>
            <w:hideMark/>
          </w:tcPr>
          <w:p w14:paraId="2A316777"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5,4</w:t>
            </w:r>
          </w:p>
        </w:tc>
        <w:tc>
          <w:tcPr>
            <w:tcW w:w="851" w:type="dxa"/>
            <w:shd w:val="clear" w:color="auto" w:fill="auto"/>
            <w:noWrap/>
            <w:hideMark/>
          </w:tcPr>
          <w:p w14:paraId="445B13A0" w14:textId="77777777" w:rsidR="00324309" w:rsidRPr="00342041" w:rsidRDefault="00324309"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11,5</w:t>
            </w:r>
          </w:p>
        </w:tc>
      </w:tr>
    </w:tbl>
    <w:p w14:paraId="0561BC6A" w14:textId="77777777" w:rsidR="0038435D" w:rsidRPr="00CC4497" w:rsidRDefault="00D20E72" w:rsidP="00CC4497">
      <w:pPr>
        <w:spacing w:after="0"/>
        <w:rPr>
          <w:rFonts w:ascii="Times New Roman" w:hAnsi="Times New Roman" w:cs="Times New Roman"/>
          <w:b/>
        </w:rPr>
      </w:pPr>
      <w:r w:rsidRPr="00CC4497">
        <w:rPr>
          <w:rFonts w:ascii="Times New Roman" w:hAnsi="Times New Roman" w:cs="Times New Roman"/>
          <w:b/>
        </w:rPr>
        <w:t>Stan w dniu 31 XII</w:t>
      </w:r>
    </w:p>
    <w:p w14:paraId="1185DC98" w14:textId="77777777" w:rsidR="00D20E72" w:rsidRPr="00CC4497" w:rsidRDefault="00D20E72" w:rsidP="00CC4497">
      <w:pPr>
        <w:spacing w:after="0"/>
        <w:rPr>
          <w:rFonts w:ascii="Times New Roman" w:hAnsi="Times New Roman" w:cs="Times New Roman"/>
          <w:b/>
        </w:rPr>
      </w:pPr>
      <w:r w:rsidRPr="00CC4497">
        <w:rPr>
          <w:rFonts w:ascii="Times New Roman" w:hAnsi="Times New Roman" w:cs="Times New Roman"/>
          <w:b/>
        </w:rPr>
        <w:t>Źródło: Wyniki bieżących bilansów ludności, GUS</w:t>
      </w:r>
    </w:p>
    <w:p w14:paraId="576C5B87" w14:textId="77777777" w:rsidR="00FE405D" w:rsidRDefault="00FE405D" w:rsidP="00FE405D">
      <w:pPr>
        <w:pStyle w:val="Default"/>
        <w:spacing w:line="276" w:lineRule="auto"/>
        <w:jc w:val="both"/>
        <w:rPr>
          <w:rFonts w:ascii="Times New Roman" w:hAnsi="Times New Roman" w:cs="Times New Roman"/>
          <w:color w:val="000000" w:themeColor="text1"/>
        </w:rPr>
      </w:pPr>
    </w:p>
    <w:p w14:paraId="73003F9A" w14:textId="77777777" w:rsidR="00887A2B" w:rsidRDefault="00FE405D" w:rsidP="00FE405D">
      <w:pPr>
        <w:pStyle w:val="Default"/>
        <w:spacing w:line="276" w:lineRule="auto"/>
        <w:jc w:val="both"/>
        <w:rPr>
          <w:rFonts w:ascii="Times New Roman" w:hAnsi="Times New Roman" w:cs="Times New Roman"/>
          <w:color w:val="000000" w:themeColor="text1"/>
        </w:rPr>
      </w:pPr>
      <w:r w:rsidRPr="00AA503E">
        <w:rPr>
          <w:rFonts w:ascii="Times New Roman" w:hAnsi="Times New Roman" w:cs="Times New Roman"/>
          <w:color w:val="000000" w:themeColor="text1"/>
        </w:rPr>
        <w:t>W subpopulacji osób starszy</w:t>
      </w:r>
      <w:r>
        <w:rPr>
          <w:rFonts w:ascii="Times New Roman" w:hAnsi="Times New Roman" w:cs="Times New Roman"/>
          <w:color w:val="000000" w:themeColor="text1"/>
        </w:rPr>
        <w:t xml:space="preserve">ch </w:t>
      </w:r>
      <w:r w:rsidRPr="00AA503E">
        <w:rPr>
          <w:rFonts w:ascii="Times New Roman" w:hAnsi="Times New Roman" w:cs="Times New Roman"/>
          <w:color w:val="000000" w:themeColor="text1"/>
        </w:rPr>
        <w:t xml:space="preserve">najliczniejszą grupę (28,4%) stanowią </w:t>
      </w:r>
      <w:r>
        <w:rPr>
          <w:rFonts w:ascii="Times New Roman" w:hAnsi="Times New Roman" w:cs="Times New Roman"/>
          <w:color w:val="000000" w:themeColor="text1"/>
        </w:rPr>
        <w:t xml:space="preserve">najmłodsi seniorzy, czyli </w:t>
      </w:r>
      <w:r w:rsidRPr="00AA503E">
        <w:rPr>
          <w:rFonts w:ascii="Times New Roman" w:hAnsi="Times New Roman" w:cs="Times New Roman"/>
          <w:color w:val="000000" w:themeColor="text1"/>
        </w:rPr>
        <w:t>osoby</w:t>
      </w:r>
      <w:r>
        <w:rPr>
          <w:rFonts w:ascii="Times New Roman" w:hAnsi="Times New Roman" w:cs="Times New Roman"/>
          <w:color w:val="000000" w:themeColor="text1"/>
        </w:rPr>
        <w:t xml:space="preserve"> w wieku</w:t>
      </w:r>
      <w:r w:rsidRPr="00AA503E">
        <w:rPr>
          <w:rFonts w:ascii="Times New Roman" w:hAnsi="Times New Roman" w:cs="Times New Roman"/>
          <w:color w:val="000000" w:themeColor="text1"/>
        </w:rPr>
        <w:t xml:space="preserve"> 60-64</w:t>
      </w:r>
      <w:r>
        <w:rPr>
          <w:rFonts w:ascii="Times New Roman" w:hAnsi="Times New Roman" w:cs="Times New Roman"/>
          <w:color w:val="000000" w:themeColor="text1"/>
        </w:rPr>
        <w:t xml:space="preserve"> lata</w:t>
      </w:r>
      <w:r w:rsidRPr="00AA503E">
        <w:rPr>
          <w:rFonts w:ascii="Times New Roman" w:hAnsi="Times New Roman" w:cs="Times New Roman"/>
          <w:color w:val="000000" w:themeColor="text1"/>
        </w:rPr>
        <w:t>, jednakże w stosunku do roku poprzedniego ich udział w</w:t>
      </w:r>
      <w:r>
        <w:rPr>
          <w:rFonts w:ascii="Times New Roman" w:hAnsi="Times New Roman" w:cs="Times New Roman"/>
          <w:color w:val="000000" w:themeColor="text1"/>
        </w:rPr>
        <w:t xml:space="preserve"> ogóle</w:t>
      </w:r>
      <w:r w:rsidRPr="00AA503E">
        <w:rPr>
          <w:rFonts w:ascii="Times New Roman" w:hAnsi="Times New Roman" w:cs="Times New Roman"/>
          <w:color w:val="000000" w:themeColor="text1"/>
        </w:rPr>
        <w:t xml:space="preserve"> osób starszych </w:t>
      </w:r>
      <w:r>
        <w:rPr>
          <w:rFonts w:ascii="Times New Roman" w:hAnsi="Times New Roman" w:cs="Times New Roman"/>
          <w:color w:val="000000" w:themeColor="text1"/>
        </w:rPr>
        <w:t xml:space="preserve">zmniejszył się o 0,8 p. </w:t>
      </w:r>
      <w:r w:rsidRPr="00AA503E">
        <w:rPr>
          <w:rFonts w:ascii="Times New Roman" w:hAnsi="Times New Roman" w:cs="Times New Roman"/>
          <w:color w:val="000000" w:themeColor="text1"/>
        </w:rPr>
        <w:t xml:space="preserve">proc. </w:t>
      </w:r>
      <w:r>
        <w:rPr>
          <w:rFonts w:ascii="Times New Roman" w:hAnsi="Times New Roman" w:cs="Times New Roman"/>
          <w:color w:val="000000" w:themeColor="text1"/>
        </w:rPr>
        <w:t xml:space="preserve">Drugą pod względem liczebności grupę stanowią osoby </w:t>
      </w:r>
      <w:r w:rsidR="00E704D2">
        <w:rPr>
          <w:rFonts w:ascii="Times New Roman" w:hAnsi="Times New Roman" w:cs="Times New Roman"/>
          <w:color w:val="000000" w:themeColor="text1"/>
        </w:rPr>
        <w:br/>
      </w:r>
      <w:r>
        <w:rPr>
          <w:rFonts w:ascii="Times New Roman" w:hAnsi="Times New Roman" w:cs="Times New Roman"/>
          <w:color w:val="000000" w:themeColor="text1"/>
        </w:rPr>
        <w:t>w wieku 65-69 (ponad jednej czwartej osób w wieku senioralnym). Liczba tych osób w stosunku do roku poprzedniego wzrosła o 2,1%. Mniej liczną, ale najszybciej rosnącą (w stosunku do roku poprzedniego) jest grupa osób w wieku 70-74 lata. Liczba osób w tym wieku wzrosła o 9,9%,</w:t>
      </w:r>
      <w:r w:rsidR="00E704D2">
        <w:rPr>
          <w:rFonts w:ascii="Times New Roman" w:hAnsi="Times New Roman" w:cs="Times New Roman"/>
          <w:color w:val="000000" w:themeColor="text1"/>
        </w:rPr>
        <w:br/>
      </w:r>
      <w:r>
        <w:rPr>
          <w:rFonts w:ascii="Times New Roman" w:hAnsi="Times New Roman" w:cs="Times New Roman"/>
          <w:color w:val="000000" w:themeColor="text1"/>
        </w:rPr>
        <w:t xml:space="preserve"> a ich udział w populacji osób starszych o 1,3 p. </w:t>
      </w:r>
      <w:r w:rsidRPr="009437C3">
        <w:rPr>
          <w:rFonts w:ascii="Times New Roman" w:hAnsi="Times New Roman" w:cs="Times New Roman"/>
          <w:color w:val="000000" w:themeColor="text1"/>
        </w:rPr>
        <w:t xml:space="preserve">proc </w:t>
      </w:r>
      <w:r>
        <w:rPr>
          <w:rFonts w:ascii="Times New Roman" w:hAnsi="Times New Roman" w:cs="Times New Roman"/>
          <w:color w:val="000000" w:themeColor="text1"/>
        </w:rPr>
        <w:t xml:space="preserve">- </w:t>
      </w:r>
      <w:r w:rsidRPr="009437C3">
        <w:rPr>
          <w:rFonts w:ascii="Times New Roman" w:hAnsi="Times New Roman" w:cs="Times New Roman"/>
          <w:color w:val="000000" w:themeColor="text1"/>
        </w:rPr>
        <w:t>do poziomu 18,1%.  Należy zwrócić uwagę, że około 17,4% osób starszych stanowią osoby w wieku co najmniej 80 lat</w:t>
      </w:r>
      <w:r>
        <w:rPr>
          <w:rFonts w:ascii="Times New Roman" w:hAnsi="Times New Roman" w:cs="Times New Roman"/>
          <w:color w:val="000000" w:themeColor="text1"/>
        </w:rPr>
        <w:t>.</w:t>
      </w:r>
    </w:p>
    <w:p w14:paraId="6B94F6EC" w14:textId="77777777" w:rsidR="00FE405D" w:rsidRPr="00FE405D" w:rsidRDefault="00FE405D" w:rsidP="00FE405D">
      <w:pPr>
        <w:pStyle w:val="Default"/>
        <w:spacing w:line="276" w:lineRule="auto"/>
        <w:jc w:val="both"/>
        <w:rPr>
          <w:rFonts w:ascii="Times New Roman" w:hAnsi="Times New Roman" w:cs="Times New Roman"/>
          <w:color w:val="000000" w:themeColor="text1"/>
        </w:rPr>
      </w:pPr>
    </w:p>
    <w:p w14:paraId="4CD19EDD" w14:textId="5E857FB3" w:rsidR="00F357B9" w:rsidRPr="00A9161D" w:rsidRDefault="00F357B9" w:rsidP="00F357B9">
      <w:pPr>
        <w:pStyle w:val="Legenda"/>
        <w:keepNext/>
        <w:rPr>
          <w:rFonts w:ascii="Times New Roman" w:hAnsi="Times New Roman" w:cs="Times New Roman"/>
          <w:b/>
          <w:i w:val="0"/>
          <w:sz w:val="24"/>
        </w:rPr>
      </w:pPr>
      <w:bookmarkStart w:id="5" w:name="_Toc49171377"/>
      <w:r w:rsidRPr="00A9161D">
        <w:rPr>
          <w:rFonts w:ascii="Times New Roman" w:hAnsi="Times New Roman" w:cs="Times New Roman"/>
          <w:b/>
          <w:i w:val="0"/>
          <w:sz w:val="24"/>
        </w:rPr>
        <w:t xml:space="preserve">Tabela </w:t>
      </w:r>
      <w:r w:rsidRPr="00A9161D">
        <w:rPr>
          <w:rFonts w:ascii="Times New Roman" w:hAnsi="Times New Roman" w:cs="Times New Roman"/>
          <w:b/>
          <w:i w:val="0"/>
          <w:sz w:val="24"/>
        </w:rPr>
        <w:fldChar w:fldCharType="begin"/>
      </w:r>
      <w:r w:rsidRPr="00A9161D">
        <w:rPr>
          <w:rFonts w:ascii="Times New Roman" w:hAnsi="Times New Roman" w:cs="Times New Roman"/>
          <w:b/>
          <w:i w:val="0"/>
          <w:sz w:val="24"/>
        </w:rPr>
        <w:instrText xml:space="preserve"> SEQ Tabela \* ARABIC </w:instrText>
      </w:r>
      <w:r w:rsidRPr="00A9161D">
        <w:rPr>
          <w:rFonts w:ascii="Times New Roman" w:hAnsi="Times New Roman" w:cs="Times New Roman"/>
          <w:b/>
          <w:i w:val="0"/>
          <w:sz w:val="24"/>
        </w:rPr>
        <w:fldChar w:fldCharType="separate"/>
      </w:r>
      <w:r w:rsidR="00C154C9">
        <w:rPr>
          <w:rFonts w:ascii="Times New Roman" w:hAnsi="Times New Roman" w:cs="Times New Roman"/>
          <w:b/>
          <w:i w:val="0"/>
          <w:noProof/>
          <w:sz w:val="24"/>
        </w:rPr>
        <w:t>2</w:t>
      </w:r>
      <w:r w:rsidRPr="00A9161D">
        <w:rPr>
          <w:rFonts w:ascii="Times New Roman" w:hAnsi="Times New Roman" w:cs="Times New Roman"/>
          <w:b/>
          <w:i w:val="0"/>
          <w:sz w:val="24"/>
        </w:rPr>
        <w:fldChar w:fldCharType="end"/>
      </w:r>
      <w:r w:rsidRPr="00A9161D">
        <w:rPr>
          <w:rFonts w:ascii="Times New Roman" w:hAnsi="Times New Roman" w:cs="Times New Roman"/>
          <w:b/>
          <w:i w:val="0"/>
          <w:sz w:val="24"/>
        </w:rPr>
        <w:t xml:space="preserve"> Współczynnik zgonów w 2019 r.</w:t>
      </w:r>
      <w:bookmarkEnd w:id="5"/>
    </w:p>
    <w:tbl>
      <w:tblPr>
        <w:tblW w:w="9284"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576"/>
        <w:gridCol w:w="1340"/>
        <w:gridCol w:w="1340"/>
        <w:gridCol w:w="1340"/>
        <w:gridCol w:w="1340"/>
        <w:gridCol w:w="1348"/>
      </w:tblGrid>
      <w:tr w:rsidR="00887A2B" w:rsidRPr="00342041" w14:paraId="7F76523B" w14:textId="77777777" w:rsidTr="004020A2">
        <w:trPr>
          <w:trHeight w:val="450"/>
          <w:jc w:val="center"/>
        </w:trPr>
        <w:tc>
          <w:tcPr>
            <w:tcW w:w="2576" w:type="dxa"/>
            <w:vMerge w:val="restart"/>
            <w:shd w:val="clear" w:color="auto" w:fill="9CC2E5" w:themeFill="accent1" w:themeFillTint="99"/>
            <w:noWrap/>
            <w:vAlign w:val="center"/>
            <w:hideMark/>
          </w:tcPr>
          <w:p w14:paraId="20C86A1D" w14:textId="77777777" w:rsidR="00887A2B" w:rsidRPr="00342041" w:rsidRDefault="00887A2B" w:rsidP="00CD046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Grupy wieku</w:t>
            </w:r>
          </w:p>
        </w:tc>
        <w:tc>
          <w:tcPr>
            <w:tcW w:w="1340" w:type="dxa"/>
            <w:vMerge w:val="restart"/>
            <w:shd w:val="clear" w:color="auto" w:fill="9CC2E5" w:themeFill="accent1" w:themeFillTint="99"/>
            <w:noWrap/>
            <w:vAlign w:val="center"/>
            <w:hideMark/>
          </w:tcPr>
          <w:p w14:paraId="439BAE9B" w14:textId="77777777" w:rsidR="00887A2B" w:rsidRPr="00342041" w:rsidRDefault="00887A2B" w:rsidP="00CD046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340" w:type="dxa"/>
            <w:vMerge w:val="restart"/>
            <w:shd w:val="clear" w:color="auto" w:fill="9CC2E5" w:themeFill="accent1" w:themeFillTint="99"/>
            <w:noWrap/>
            <w:vAlign w:val="center"/>
            <w:hideMark/>
          </w:tcPr>
          <w:p w14:paraId="46864281" w14:textId="77777777" w:rsidR="00887A2B" w:rsidRPr="00342041" w:rsidRDefault="00887A2B" w:rsidP="00CD046D">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Mężczyźni</w:t>
            </w:r>
          </w:p>
        </w:tc>
        <w:tc>
          <w:tcPr>
            <w:tcW w:w="1340" w:type="dxa"/>
            <w:vMerge w:val="restart"/>
            <w:shd w:val="clear" w:color="auto" w:fill="9CC2E5" w:themeFill="accent1" w:themeFillTint="99"/>
            <w:noWrap/>
            <w:vAlign w:val="center"/>
            <w:hideMark/>
          </w:tcPr>
          <w:p w14:paraId="27B232AB" w14:textId="77777777" w:rsidR="00887A2B" w:rsidRPr="00342041" w:rsidRDefault="00887A2B" w:rsidP="00CD046D">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Kobiety</w:t>
            </w:r>
          </w:p>
        </w:tc>
        <w:tc>
          <w:tcPr>
            <w:tcW w:w="1340" w:type="dxa"/>
            <w:vMerge w:val="restart"/>
            <w:shd w:val="clear" w:color="auto" w:fill="9CC2E5" w:themeFill="accent1" w:themeFillTint="99"/>
            <w:noWrap/>
            <w:vAlign w:val="center"/>
            <w:hideMark/>
          </w:tcPr>
          <w:p w14:paraId="7A4EA1DC" w14:textId="77777777" w:rsidR="00887A2B" w:rsidRPr="00342041" w:rsidRDefault="00887A2B" w:rsidP="00CD046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1348" w:type="dxa"/>
            <w:vMerge w:val="restart"/>
            <w:shd w:val="clear" w:color="auto" w:fill="9CC2E5" w:themeFill="accent1" w:themeFillTint="99"/>
            <w:noWrap/>
            <w:vAlign w:val="center"/>
            <w:hideMark/>
          </w:tcPr>
          <w:p w14:paraId="35A469A9" w14:textId="77777777" w:rsidR="00887A2B" w:rsidRPr="00342041" w:rsidRDefault="00887A2B" w:rsidP="00CD046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r>
      <w:tr w:rsidR="00887A2B" w:rsidRPr="00342041" w14:paraId="2372CD83" w14:textId="77777777" w:rsidTr="004020A2">
        <w:trPr>
          <w:trHeight w:val="450"/>
          <w:jc w:val="center"/>
        </w:trPr>
        <w:tc>
          <w:tcPr>
            <w:tcW w:w="2576" w:type="dxa"/>
            <w:vMerge/>
            <w:shd w:val="clear" w:color="auto" w:fill="9CC2E5" w:themeFill="accent1" w:themeFillTint="99"/>
            <w:vAlign w:val="center"/>
            <w:hideMark/>
          </w:tcPr>
          <w:p w14:paraId="793D9977" w14:textId="77777777" w:rsidR="00887A2B" w:rsidRPr="00342041" w:rsidRDefault="00887A2B" w:rsidP="003C1988">
            <w:pPr>
              <w:spacing w:after="0" w:line="240" w:lineRule="auto"/>
              <w:rPr>
                <w:rFonts w:ascii="Times New Roman" w:eastAsia="Times New Roman" w:hAnsi="Times New Roman" w:cs="Times New Roman"/>
                <w:sz w:val="20"/>
                <w:szCs w:val="20"/>
                <w:lang w:eastAsia="pl-PL"/>
              </w:rPr>
            </w:pPr>
          </w:p>
        </w:tc>
        <w:tc>
          <w:tcPr>
            <w:tcW w:w="1340" w:type="dxa"/>
            <w:vMerge/>
            <w:shd w:val="clear" w:color="auto" w:fill="9CC2E5" w:themeFill="accent1" w:themeFillTint="99"/>
            <w:vAlign w:val="center"/>
            <w:hideMark/>
          </w:tcPr>
          <w:p w14:paraId="4B356A22" w14:textId="77777777" w:rsidR="00887A2B" w:rsidRPr="00342041" w:rsidRDefault="00887A2B" w:rsidP="003C1988">
            <w:pPr>
              <w:spacing w:after="0" w:line="240" w:lineRule="auto"/>
              <w:rPr>
                <w:rFonts w:ascii="Times New Roman" w:eastAsia="Times New Roman" w:hAnsi="Times New Roman" w:cs="Times New Roman"/>
                <w:sz w:val="20"/>
                <w:szCs w:val="20"/>
                <w:lang w:eastAsia="pl-PL"/>
              </w:rPr>
            </w:pPr>
          </w:p>
        </w:tc>
        <w:tc>
          <w:tcPr>
            <w:tcW w:w="1340" w:type="dxa"/>
            <w:vMerge/>
            <w:shd w:val="clear" w:color="auto" w:fill="9CC2E5" w:themeFill="accent1" w:themeFillTint="99"/>
            <w:vAlign w:val="center"/>
            <w:hideMark/>
          </w:tcPr>
          <w:p w14:paraId="5B357696" w14:textId="77777777" w:rsidR="00887A2B" w:rsidRPr="00342041" w:rsidRDefault="00887A2B"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2D134956" w14:textId="77777777" w:rsidR="00887A2B" w:rsidRPr="00342041" w:rsidRDefault="00887A2B"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57F130D9" w14:textId="77777777" w:rsidR="00887A2B" w:rsidRPr="00342041" w:rsidRDefault="00887A2B" w:rsidP="003C1988">
            <w:pPr>
              <w:spacing w:after="0" w:line="240" w:lineRule="auto"/>
              <w:rPr>
                <w:rFonts w:ascii="Times New Roman" w:eastAsia="Times New Roman" w:hAnsi="Times New Roman" w:cs="Times New Roman"/>
                <w:sz w:val="20"/>
                <w:szCs w:val="20"/>
                <w:lang w:eastAsia="pl-PL"/>
              </w:rPr>
            </w:pPr>
          </w:p>
        </w:tc>
        <w:tc>
          <w:tcPr>
            <w:tcW w:w="1348" w:type="dxa"/>
            <w:vMerge/>
            <w:shd w:val="clear" w:color="auto" w:fill="9CC2E5" w:themeFill="accent1" w:themeFillTint="99"/>
            <w:vAlign w:val="center"/>
            <w:hideMark/>
          </w:tcPr>
          <w:p w14:paraId="5AEBCF0B" w14:textId="77777777" w:rsidR="00887A2B" w:rsidRPr="00342041" w:rsidRDefault="00887A2B" w:rsidP="003C1988">
            <w:pPr>
              <w:spacing w:after="0" w:line="240" w:lineRule="auto"/>
              <w:rPr>
                <w:rFonts w:ascii="Times New Roman" w:eastAsia="Times New Roman" w:hAnsi="Times New Roman" w:cs="Times New Roman"/>
                <w:sz w:val="20"/>
                <w:szCs w:val="20"/>
                <w:lang w:eastAsia="pl-PL"/>
              </w:rPr>
            </w:pPr>
          </w:p>
        </w:tc>
      </w:tr>
      <w:tr w:rsidR="00887A2B" w:rsidRPr="00342041" w14:paraId="3A555BA9" w14:textId="77777777" w:rsidTr="004020A2">
        <w:trPr>
          <w:trHeight w:val="300"/>
          <w:jc w:val="center"/>
        </w:trPr>
        <w:tc>
          <w:tcPr>
            <w:tcW w:w="2576" w:type="dxa"/>
            <w:shd w:val="clear" w:color="auto" w:fill="9CC2E5" w:themeFill="accent1" w:themeFillTint="99"/>
            <w:noWrap/>
            <w:vAlign w:val="center"/>
            <w:hideMark/>
          </w:tcPr>
          <w:p w14:paraId="0642DF61" w14:textId="77777777" w:rsidR="00887A2B" w:rsidRPr="00342041" w:rsidRDefault="00887A2B"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340" w:type="dxa"/>
            <w:shd w:val="clear" w:color="auto" w:fill="auto"/>
            <w:noWrap/>
            <w:vAlign w:val="bottom"/>
            <w:hideMark/>
          </w:tcPr>
          <w:p w14:paraId="4E8035F9"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10,7</w:t>
            </w:r>
          </w:p>
        </w:tc>
        <w:tc>
          <w:tcPr>
            <w:tcW w:w="1340" w:type="dxa"/>
            <w:shd w:val="clear" w:color="auto" w:fill="auto"/>
            <w:noWrap/>
            <w:vAlign w:val="bottom"/>
            <w:hideMark/>
          </w:tcPr>
          <w:p w14:paraId="27A371F7"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11,4</w:t>
            </w:r>
          </w:p>
        </w:tc>
        <w:tc>
          <w:tcPr>
            <w:tcW w:w="1340" w:type="dxa"/>
            <w:shd w:val="clear" w:color="auto" w:fill="auto"/>
            <w:noWrap/>
            <w:vAlign w:val="bottom"/>
            <w:hideMark/>
          </w:tcPr>
          <w:p w14:paraId="4457E8C5"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40" w:type="dxa"/>
            <w:shd w:val="clear" w:color="auto" w:fill="auto"/>
            <w:noWrap/>
            <w:vAlign w:val="bottom"/>
            <w:hideMark/>
          </w:tcPr>
          <w:p w14:paraId="7B89B7D0"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11,0</w:t>
            </w:r>
          </w:p>
        </w:tc>
        <w:tc>
          <w:tcPr>
            <w:tcW w:w="1348" w:type="dxa"/>
            <w:shd w:val="clear" w:color="auto" w:fill="auto"/>
            <w:noWrap/>
            <w:vAlign w:val="bottom"/>
            <w:hideMark/>
          </w:tcPr>
          <w:p w14:paraId="6D5D9621"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10,2</w:t>
            </w:r>
          </w:p>
        </w:tc>
      </w:tr>
      <w:tr w:rsidR="00887A2B" w:rsidRPr="00342041" w14:paraId="165F2BA7" w14:textId="77777777" w:rsidTr="004020A2">
        <w:trPr>
          <w:trHeight w:val="300"/>
          <w:jc w:val="center"/>
        </w:trPr>
        <w:tc>
          <w:tcPr>
            <w:tcW w:w="2576" w:type="dxa"/>
            <w:shd w:val="clear" w:color="auto" w:fill="9CC2E5" w:themeFill="accent1" w:themeFillTint="99"/>
            <w:noWrap/>
            <w:vAlign w:val="center"/>
            <w:hideMark/>
          </w:tcPr>
          <w:p w14:paraId="77AA3CFB" w14:textId="77777777" w:rsidR="00887A2B" w:rsidRPr="00342041" w:rsidRDefault="00887A2B"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 xml:space="preserve">w tym 60 lat i więcej </w:t>
            </w:r>
          </w:p>
        </w:tc>
        <w:tc>
          <w:tcPr>
            <w:tcW w:w="1340" w:type="dxa"/>
            <w:shd w:val="clear" w:color="auto" w:fill="auto"/>
            <w:noWrap/>
            <w:vAlign w:val="bottom"/>
            <w:hideMark/>
          </w:tcPr>
          <w:p w14:paraId="58F25A2D"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36,4</w:t>
            </w:r>
          </w:p>
        </w:tc>
        <w:tc>
          <w:tcPr>
            <w:tcW w:w="1340" w:type="dxa"/>
            <w:shd w:val="clear" w:color="auto" w:fill="auto"/>
            <w:noWrap/>
            <w:vAlign w:val="bottom"/>
            <w:hideMark/>
          </w:tcPr>
          <w:p w14:paraId="647A46E3"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41,8</w:t>
            </w:r>
          </w:p>
        </w:tc>
        <w:tc>
          <w:tcPr>
            <w:tcW w:w="1340" w:type="dxa"/>
            <w:shd w:val="clear" w:color="auto" w:fill="auto"/>
            <w:noWrap/>
            <w:vAlign w:val="bottom"/>
            <w:hideMark/>
          </w:tcPr>
          <w:p w14:paraId="41FE6ACD"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32,5</w:t>
            </w:r>
          </w:p>
        </w:tc>
        <w:tc>
          <w:tcPr>
            <w:tcW w:w="1340" w:type="dxa"/>
            <w:shd w:val="clear" w:color="auto" w:fill="auto"/>
            <w:noWrap/>
            <w:vAlign w:val="bottom"/>
            <w:hideMark/>
          </w:tcPr>
          <w:p w14:paraId="5854095F"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34,9</w:t>
            </w:r>
          </w:p>
        </w:tc>
        <w:tc>
          <w:tcPr>
            <w:tcW w:w="1348" w:type="dxa"/>
            <w:shd w:val="clear" w:color="auto" w:fill="auto"/>
            <w:noWrap/>
            <w:vAlign w:val="bottom"/>
            <w:hideMark/>
          </w:tcPr>
          <w:p w14:paraId="2AF8659E"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39,3</w:t>
            </w:r>
          </w:p>
        </w:tc>
      </w:tr>
      <w:tr w:rsidR="00887A2B" w:rsidRPr="00342041" w14:paraId="33512254" w14:textId="77777777" w:rsidTr="004020A2">
        <w:trPr>
          <w:trHeight w:val="300"/>
          <w:jc w:val="center"/>
        </w:trPr>
        <w:tc>
          <w:tcPr>
            <w:tcW w:w="2576" w:type="dxa"/>
            <w:shd w:val="clear" w:color="auto" w:fill="9CC2E5" w:themeFill="accent1" w:themeFillTint="99"/>
            <w:noWrap/>
            <w:vAlign w:val="center"/>
            <w:hideMark/>
          </w:tcPr>
          <w:p w14:paraId="5C1A638F" w14:textId="77777777" w:rsidR="00887A2B" w:rsidRPr="00342041" w:rsidRDefault="00887A2B"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60-64 lata</w:t>
            </w:r>
          </w:p>
        </w:tc>
        <w:tc>
          <w:tcPr>
            <w:tcW w:w="1340" w:type="dxa"/>
            <w:shd w:val="clear" w:color="auto" w:fill="auto"/>
            <w:noWrap/>
            <w:vAlign w:val="bottom"/>
            <w:hideMark/>
          </w:tcPr>
          <w:p w14:paraId="7B6A4022"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13,4</w:t>
            </w:r>
          </w:p>
        </w:tc>
        <w:tc>
          <w:tcPr>
            <w:tcW w:w="1340" w:type="dxa"/>
            <w:shd w:val="clear" w:color="auto" w:fill="auto"/>
            <w:noWrap/>
            <w:vAlign w:val="bottom"/>
            <w:hideMark/>
          </w:tcPr>
          <w:p w14:paraId="362B5ABA"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19,2</w:t>
            </w:r>
          </w:p>
        </w:tc>
        <w:tc>
          <w:tcPr>
            <w:tcW w:w="1340" w:type="dxa"/>
            <w:shd w:val="clear" w:color="auto" w:fill="auto"/>
            <w:noWrap/>
            <w:vAlign w:val="bottom"/>
            <w:hideMark/>
          </w:tcPr>
          <w:p w14:paraId="38446D82"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8,2</w:t>
            </w:r>
          </w:p>
        </w:tc>
        <w:tc>
          <w:tcPr>
            <w:tcW w:w="1340" w:type="dxa"/>
            <w:shd w:val="clear" w:color="auto" w:fill="auto"/>
            <w:noWrap/>
            <w:vAlign w:val="bottom"/>
            <w:hideMark/>
          </w:tcPr>
          <w:p w14:paraId="3429E932"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13,0</w:t>
            </w:r>
          </w:p>
        </w:tc>
        <w:tc>
          <w:tcPr>
            <w:tcW w:w="1348" w:type="dxa"/>
            <w:shd w:val="clear" w:color="auto" w:fill="auto"/>
            <w:noWrap/>
            <w:vAlign w:val="bottom"/>
            <w:hideMark/>
          </w:tcPr>
          <w:p w14:paraId="46E3FC41"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13,9</w:t>
            </w:r>
          </w:p>
        </w:tc>
      </w:tr>
      <w:tr w:rsidR="00887A2B" w:rsidRPr="00342041" w14:paraId="019DC014" w14:textId="77777777" w:rsidTr="004020A2">
        <w:trPr>
          <w:trHeight w:val="300"/>
          <w:jc w:val="center"/>
        </w:trPr>
        <w:tc>
          <w:tcPr>
            <w:tcW w:w="2576" w:type="dxa"/>
            <w:shd w:val="clear" w:color="auto" w:fill="9CC2E5" w:themeFill="accent1" w:themeFillTint="99"/>
            <w:noWrap/>
            <w:vAlign w:val="center"/>
            <w:hideMark/>
          </w:tcPr>
          <w:p w14:paraId="4A9ECCC1" w14:textId="77777777" w:rsidR="00887A2B" w:rsidRPr="00342041" w:rsidRDefault="00887A2B"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65-69</w:t>
            </w:r>
          </w:p>
        </w:tc>
        <w:tc>
          <w:tcPr>
            <w:tcW w:w="1340" w:type="dxa"/>
            <w:shd w:val="clear" w:color="auto" w:fill="auto"/>
            <w:noWrap/>
            <w:vAlign w:val="bottom"/>
            <w:hideMark/>
          </w:tcPr>
          <w:p w14:paraId="4921D297"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19,7</w:t>
            </w:r>
          </w:p>
        </w:tc>
        <w:tc>
          <w:tcPr>
            <w:tcW w:w="1340" w:type="dxa"/>
            <w:shd w:val="clear" w:color="auto" w:fill="auto"/>
            <w:noWrap/>
            <w:vAlign w:val="bottom"/>
            <w:hideMark/>
          </w:tcPr>
          <w:p w14:paraId="3198D9D3"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28,5</w:t>
            </w:r>
          </w:p>
        </w:tc>
        <w:tc>
          <w:tcPr>
            <w:tcW w:w="1340" w:type="dxa"/>
            <w:shd w:val="clear" w:color="auto" w:fill="auto"/>
            <w:noWrap/>
            <w:vAlign w:val="bottom"/>
            <w:hideMark/>
          </w:tcPr>
          <w:p w14:paraId="4FE94DDE"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12,5</w:t>
            </w:r>
          </w:p>
        </w:tc>
        <w:tc>
          <w:tcPr>
            <w:tcW w:w="1340" w:type="dxa"/>
            <w:shd w:val="clear" w:color="auto" w:fill="auto"/>
            <w:noWrap/>
            <w:vAlign w:val="bottom"/>
            <w:hideMark/>
          </w:tcPr>
          <w:p w14:paraId="445D0BCC"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19,0</w:t>
            </w:r>
          </w:p>
        </w:tc>
        <w:tc>
          <w:tcPr>
            <w:tcW w:w="1348" w:type="dxa"/>
            <w:shd w:val="clear" w:color="auto" w:fill="auto"/>
            <w:noWrap/>
            <w:vAlign w:val="bottom"/>
            <w:hideMark/>
          </w:tcPr>
          <w:p w14:paraId="409A7C42"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20,9</w:t>
            </w:r>
          </w:p>
        </w:tc>
      </w:tr>
      <w:tr w:rsidR="00887A2B" w:rsidRPr="00342041" w14:paraId="287E6597" w14:textId="77777777" w:rsidTr="004020A2">
        <w:trPr>
          <w:trHeight w:val="300"/>
          <w:jc w:val="center"/>
        </w:trPr>
        <w:tc>
          <w:tcPr>
            <w:tcW w:w="2576" w:type="dxa"/>
            <w:shd w:val="clear" w:color="auto" w:fill="9CC2E5" w:themeFill="accent1" w:themeFillTint="99"/>
            <w:noWrap/>
            <w:vAlign w:val="center"/>
            <w:hideMark/>
          </w:tcPr>
          <w:p w14:paraId="1BDE796A" w14:textId="77777777" w:rsidR="00887A2B" w:rsidRPr="00342041" w:rsidRDefault="00887A2B"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70-74</w:t>
            </w:r>
          </w:p>
        </w:tc>
        <w:tc>
          <w:tcPr>
            <w:tcW w:w="1340" w:type="dxa"/>
            <w:shd w:val="clear" w:color="auto" w:fill="auto"/>
            <w:noWrap/>
            <w:vAlign w:val="bottom"/>
            <w:hideMark/>
          </w:tcPr>
          <w:p w14:paraId="40E48930"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27,1</w:t>
            </w:r>
          </w:p>
        </w:tc>
        <w:tc>
          <w:tcPr>
            <w:tcW w:w="1340" w:type="dxa"/>
            <w:shd w:val="clear" w:color="auto" w:fill="auto"/>
            <w:noWrap/>
            <w:vAlign w:val="bottom"/>
            <w:hideMark/>
          </w:tcPr>
          <w:p w14:paraId="1A6FC5D4"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38,0</w:t>
            </w:r>
          </w:p>
        </w:tc>
        <w:tc>
          <w:tcPr>
            <w:tcW w:w="1340" w:type="dxa"/>
            <w:shd w:val="clear" w:color="auto" w:fill="auto"/>
            <w:noWrap/>
            <w:vAlign w:val="bottom"/>
            <w:hideMark/>
          </w:tcPr>
          <w:p w14:paraId="4D050778"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19,0</w:t>
            </w:r>
          </w:p>
        </w:tc>
        <w:tc>
          <w:tcPr>
            <w:tcW w:w="1340" w:type="dxa"/>
            <w:shd w:val="clear" w:color="auto" w:fill="auto"/>
            <w:noWrap/>
            <w:vAlign w:val="bottom"/>
            <w:hideMark/>
          </w:tcPr>
          <w:p w14:paraId="54FC5BF0"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26,5</w:t>
            </w:r>
          </w:p>
        </w:tc>
        <w:tc>
          <w:tcPr>
            <w:tcW w:w="1348" w:type="dxa"/>
            <w:shd w:val="clear" w:color="auto" w:fill="auto"/>
            <w:noWrap/>
            <w:vAlign w:val="bottom"/>
            <w:hideMark/>
          </w:tcPr>
          <w:p w14:paraId="705FDBC1"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28,2</w:t>
            </w:r>
          </w:p>
        </w:tc>
      </w:tr>
      <w:tr w:rsidR="00887A2B" w:rsidRPr="00342041" w14:paraId="49312681" w14:textId="77777777" w:rsidTr="004020A2">
        <w:trPr>
          <w:trHeight w:val="300"/>
          <w:jc w:val="center"/>
        </w:trPr>
        <w:tc>
          <w:tcPr>
            <w:tcW w:w="2576" w:type="dxa"/>
            <w:shd w:val="clear" w:color="auto" w:fill="9CC2E5" w:themeFill="accent1" w:themeFillTint="99"/>
            <w:noWrap/>
            <w:vAlign w:val="center"/>
            <w:hideMark/>
          </w:tcPr>
          <w:p w14:paraId="140C09AE" w14:textId="77777777" w:rsidR="00887A2B" w:rsidRPr="00342041" w:rsidRDefault="00887A2B"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75-79</w:t>
            </w:r>
          </w:p>
        </w:tc>
        <w:tc>
          <w:tcPr>
            <w:tcW w:w="1340" w:type="dxa"/>
            <w:shd w:val="clear" w:color="auto" w:fill="auto"/>
            <w:noWrap/>
            <w:vAlign w:val="bottom"/>
            <w:hideMark/>
          </w:tcPr>
          <w:p w14:paraId="2CDC180D"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40,9</w:t>
            </w:r>
          </w:p>
        </w:tc>
        <w:tc>
          <w:tcPr>
            <w:tcW w:w="1340" w:type="dxa"/>
            <w:shd w:val="clear" w:color="auto" w:fill="auto"/>
            <w:noWrap/>
            <w:vAlign w:val="bottom"/>
            <w:hideMark/>
          </w:tcPr>
          <w:p w14:paraId="12937B46"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55,9</w:t>
            </w:r>
          </w:p>
        </w:tc>
        <w:tc>
          <w:tcPr>
            <w:tcW w:w="1340" w:type="dxa"/>
            <w:shd w:val="clear" w:color="auto" w:fill="auto"/>
            <w:noWrap/>
            <w:vAlign w:val="bottom"/>
            <w:hideMark/>
          </w:tcPr>
          <w:p w14:paraId="3EECEA05"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31,6</w:t>
            </w:r>
          </w:p>
        </w:tc>
        <w:tc>
          <w:tcPr>
            <w:tcW w:w="1340" w:type="dxa"/>
            <w:shd w:val="clear" w:color="auto" w:fill="auto"/>
            <w:noWrap/>
            <w:vAlign w:val="bottom"/>
            <w:hideMark/>
          </w:tcPr>
          <w:p w14:paraId="21DAA77F"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40,1</w:t>
            </w:r>
          </w:p>
        </w:tc>
        <w:tc>
          <w:tcPr>
            <w:tcW w:w="1348" w:type="dxa"/>
            <w:shd w:val="clear" w:color="auto" w:fill="auto"/>
            <w:noWrap/>
            <w:vAlign w:val="bottom"/>
            <w:hideMark/>
          </w:tcPr>
          <w:p w14:paraId="5C587945"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42,4</w:t>
            </w:r>
          </w:p>
        </w:tc>
      </w:tr>
      <w:tr w:rsidR="00887A2B" w:rsidRPr="00342041" w14:paraId="00C92032" w14:textId="77777777" w:rsidTr="004020A2">
        <w:trPr>
          <w:trHeight w:val="300"/>
          <w:jc w:val="center"/>
        </w:trPr>
        <w:tc>
          <w:tcPr>
            <w:tcW w:w="2576" w:type="dxa"/>
            <w:shd w:val="clear" w:color="auto" w:fill="9CC2E5" w:themeFill="accent1" w:themeFillTint="99"/>
            <w:noWrap/>
            <w:vAlign w:val="center"/>
            <w:hideMark/>
          </w:tcPr>
          <w:p w14:paraId="7D9F05EA" w14:textId="77777777" w:rsidR="00887A2B" w:rsidRPr="00342041" w:rsidRDefault="00887A2B"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80-84</w:t>
            </w:r>
          </w:p>
        </w:tc>
        <w:tc>
          <w:tcPr>
            <w:tcW w:w="1340" w:type="dxa"/>
            <w:shd w:val="clear" w:color="auto" w:fill="auto"/>
            <w:noWrap/>
            <w:vAlign w:val="bottom"/>
            <w:hideMark/>
          </w:tcPr>
          <w:p w14:paraId="58B2E727"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66,3</w:t>
            </w:r>
          </w:p>
        </w:tc>
        <w:tc>
          <w:tcPr>
            <w:tcW w:w="1340" w:type="dxa"/>
            <w:shd w:val="clear" w:color="auto" w:fill="auto"/>
            <w:noWrap/>
            <w:vAlign w:val="bottom"/>
            <w:hideMark/>
          </w:tcPr>
          <w:p w14:paraId="625ABAD4"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86,7</w:t>
            </w:r>
          </w:p>
        </w:tc>
        <w:tc>
          <w:tcPr>
            <w:tcW w:w="1340" w:type="dxa"/>
            <w:shd w:val="clear" w:color="auto" w:fill="auto"/>
            <w:noWrap/>
            <w:vAlign w:val="bottom"/>
            <w:hideMark/>
          </w:tcPr>
          <w:p w14:paraId="4DBE33ED"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55,8</w:t>
            </w:r>
          </w:p>
        </w:tc>
        <w:tc>
          <w:tcPr>
            <w:tcW w:w="1340" w:type="dxa"/>
            <w:shd w:val="clear" w:color="auto" w:fill="auto"/>
            <w:noWrap/>
            <w:vAlign w:val="bottom"/>
            <w:hideMark/>
          </w:tcPr>
          <w:p w14:paraId="14DAEDEE"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63,6</w:t>
            </w:r>
          </w:p>
        </w:tc>
        <w:tc>
          <w:tcPr>
            <w:tcW w:w="1348" w:type="dxa"/>
            <w:shd w:val="clear" w:color="auto" w:fill="auto"/>
            <w:noWrap/>
            <w:vAlign w:val="bottom"/>
            <w:hideMark/>
          </w:tcPr>
          <w:p w14:paraId="2DE68D57"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71,2</w:t>
            </w:r>
          </w:p>
        </w:tc>
      </w:tr>
      <w:tr w:rsidR="00887A2B" w:rsidRPr="00342041" w14:paraId="146A0E3E" w14:textId="77777777" w:rsidTr="004020A2">
        <w:trPr>
          <w:trHeight w:val="300"/>
          <w:jc w:val="center"/>
        </w:trPr>
        <w:tc>
          <w:tcPr>
            <w:tcW w:w="2576" w:type="dxa"/>
            <w:shd w:val="clear" w:color="auto" w:fill="9CC2E5" w:themeFill="accent1" w:themeFillTint="99"/>
            <w:noWrap/>
            <w:vAlign w:val="center"/>
            <w:hideMark/>
          </w:tcPr>
          <w:p w14:paraId="3EE4CC9F" w14:textId="77777777" w:rsidR="00887A2B" w:rsidRPr="00342041" w:rsidRDefault="00887A2B"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85 lat i więcej</w:t>
            </w:r>
          </w:p>
        </w:tc>
        <w:tc>
          <w:tcPr>
            <w:tcW w:w="1340" w:type="dxa"/>
            <w:shd w:val="clear" w:color="auto" w:fill="auto"/>
            <w:noWrap/>
            <w:vAlign w:val="bottom"/>
            <w:hideMark/>
          </w:tcPr>
          <w:p w14:paraId="6A8ABAEA"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148,0</w:t>
            </w:r>
          </w:p>
        </w:tc>
        <w:tc>
          <w:tcPr>
            <w:tcW w:w="1340" w:type="dxa"/>
            <w:shd w:val="clear" w:color="auto" w:fill="auto"/>
            <w:noWrap/>
            <w:vAlign w:val="bottom"/>
            <w:hideMark/>
          </w:tcPr>
          <w:p w14:paraId="67318F6D"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164,0</w:t>
            </w:r>
          </w:p>
        </w:tc>
        <w:tc>
          <w:tcPr>
            <w:tcW w:w="1340" w:type="dxa"/>
            <w:shd w:val="clear" w:color="auto" w:fill="auto"/>
            <w:noWrap/>
            <w:vAlign w:val="bottom"/>
            <w:hideMark/>
          </w:tcPr>
          <w:p w14:paraId="7358426E"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141,7</w:t>
            </w:r>
          </w:p>
        </w:tc>
        <w:tc>
          <w:tcPr>
            <w:tcW w:w="1340" w:type="dxa"/>
            <w:shd w:val="clear" w:color="auto" w:fill="auto"/>
            <w:noWrap/>
            <w:vAlign w:val="bottom"/>
            <w:hideMark/>
          </w:tcPr>
          <w:p w14:paraId="1BF95D24"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141,1</w:t>
            </w:r>
          </w:p>
        </w:tc>
        <w:tc>
          <w:tcPr>
            <w:tcW w:w="1348" w:type="dxa"/>
            <w:shd w:val="clear" w:color="auto" w:fill="auto"/>
            <w:noWrap/>
            <w:vAlign w:val="bottom"/>
            <w:hideMark/>
          </w:tcPr>
          <w:p w14:paraId="4876E633" w14:textId="77777777" w:rsidR="00887A2B" w:rsidRPr="00342041" w:rsidRDefault="00887A2B" w:rsidP="00CD046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159,8</w:t>
            </w:r>
          </w:p>
        </w:tc>
      </w:tr>
    </w:tbl>
    <w:p w14:paraId="43B12096" w14:textId="77777777" w:rsidR="00887A2B" w:rsidRPr="00CD046D" w:rsidRDefault="00887A2B" w:rsidP="00CD046D">
      <w:pPr>
        <w:spacing w:after="0"/>
        <w:rPr>
          <w:rFonts w:ascii="Times New Roman" w:hAnsi="Times New Roman" w:cs="Times New Roman"/>
          <w:b/>
        </w:rPr>
      </w:pPr>
      <w:r w:rsidRPr="00CD046D">
        <w:rPr>
          <w:rFonts w:ascii="Times New Roman" w:hAnsi="Times New Roman" w:cs="Times New Roman"/>
          <w:b/>
        </w:rPr>
        <w:t>a Liczba zgonów osób w danym wieku na 1000 ludności w danym wieku</w:t>
      </w:r>
    </w:p>
    <w:p w14:paraId="7D3BFFF1" w14:textId="77777777" w:rsidR="00D20E72" w:rsidRPr="00CD046D" w:rsidRDefault="00887A2B" w:rsidP="00CD046D">
      <w:pPr>
        <w:spacing w:after="0"/>
        <w:rPr>
          <w:rFonts w:ascii="Times New Roman" w:hAnsi="Times New Roman" w:cs="Times New Roman"/>
          <w:b/>
        </w:rPr>
      </w:pPr>
      <w:r w:rsidRPr="00CD046D">
        <w:rPr>
          <w:rFonts w:ascii="Times New Roman" w:hAnsi="Times New Roman" w:cs="Times New Roman"/>
          <w:b/>
        </w:rPr>
        <w:t>Źródło: Wyniki bieżących badań GUS</w:t>
      </w:r>
    </w:p>
    <w:p w14:paraId="01D6BE82" w14:textId="77777777" w:rsidR="00E41B95" w:rsidRDefault="00E41B95" w:rsidP="00E41B95">
      <w:pPr>
        <w:autoSpaceDE w:val="0"/>
        <w:autoSpaceDN w:val="0"/>
        <w:adjustRightInd w:val="0"/>
        <w:spacing w:after="0"/>
        <w:jc w:val="both"/>
      </w:pPr>
    </w:p>
    <w:p w14:paraId="265741BE" w14:textId="77777777" w:rsidR="00E41B95" w:rsidRPr="00E41B95" w:rsidRDefault="00E41B95" w:rsidP="00E41B95">
      <w:pPr>
        <w:autoSpaceDE w:val="0"/>
        <w:autoSpaceDN w:val="0"/>
        <w:adjustRightInd w:val="0"/>
        <w:spacing w:after="0"/>
        <w:jc w:val="both"/>
        <w:rPr>
          <w:rFonts w:ascii="Times New Roman" w:hAnsi="Times New Roman" w:cs="Times New Roman"/>
          <w:color w:val="70AD47" w:themeColor="accent6"/>
          <w:sz w:val="24"/>
          <w:szCs w:val="24"/>
        </w:rPr>
      </w:pPr>
      <w:r w:rsidRPr="00E41B95">
        <w:rPr>
          <w:rFonts w:ascii="Times New Roman" w:hAnsi="Times New Roman" w:cs="Times New Roman"/>
          <w:color w:val="000000" w:themeColor="text1"/>
          <w:sz w:val="24"/>
          <w:szCs w:val="24"/>
        </w:rPr>
        <w:t xml:space="preserve">Choroby układu krążenia są typowe </w:t>
      </w:r>
      <w:r w:rsidR="00BE48EF">
        <w:rPr>
          <w:rFonts w:ascii="Times New Roman" w:hAnsi="Times New Roman" w:cs="Times New Roman"/>
          <w:color w:val="000000" w:themeColor="text1"/>
          <w:sz w:val="24"/>
          <w:szCs w:val="24"/>
        </w:rPr>
        <w:t xml:space="preserve">dla osób starszych. W 2018 r. </w:t>
      </w:r>
      <w:r w:rsidRPr="00E41B95">
        <w:rPr>
          <w:rFonts w:ascii="Times New Roman" w:hAnsi="Times New Roman" w:cs="Times New Roman"/>
          <w:color w:val="000000" w:themeColor="text1"/>
          <w:sz w:val="24"/>
          <w:szCs w:val="24"/>
        </w:rPr>
        <w:t xml:space="preserve">spośród ogólnej liczby zgonów spowodowanych chorobami układu krążenia 92,8% dotyczyło osób w wieku  60 lat i więcej. Wśród osób starszych zgony spowodowane chorobami układu krążenia stanowiły 44,3% ogólnej ich liczby. Zdecydowanie częściej były one przyczyną zgonu wśród kobiet w wieku senioralnym (odpowiadały za 48,3% zgonów) niż mężczyzn (odpowiadały za 40,0% zgonów). Częściej przyczyniały się do zgonów mieszkańców wsi – 47,5% zgonów, niż  miast – 42,5%. W przypadku osób w wieku 85 lat i więcej tylko 4 na 10 osób umiera w wyniku innych przyczyn niż kardiologiczne. </w:t>
      </w:r>
    </w:p>
    <w:p w14:paraId="7C81D88F" w14:textId="77777777" w:rsidR="00E41B95" w:rsidRDefault="00E41B95" w:rsidP="00E41B95">
      <w:pPr>
        <w:autoSpaceDE w:val="0"/>
        <w:autoSpaceDN w:val="0"/>
        <w:adjustRightInd w:val="0"/>
        <w:spacing w:after="0"/>
        <w:jc w:val="both"/>
        <w:rPr>
          <w:rFonts w:ascii="Times New Roman" w:hAnsi="Times New Roman" w:cs="Times New Roman"/>
          <w:color w:val="000000" w:themeColor="text1"/>
          <w:sz w:val="24"/>
          <w:szCs w:val="24"/>
        </w:rPr>
      </w:pPr>
    </w:p>
    <w:p w14:paraId="1C5DE22F" w14:textId="77777777" w:rsidR="00E41B95" w:rsidRPr="00E41B95" w:rsidRDefault="00E41B95" w:rsidP="00E41B95">
      <w:pPr>
        <w:autoSpaceDE w:val="0"/>
        <w:autoSpaceDN w:val="0"/>
        <w:adjustRightInd w:val="0"/>
        <w:spacing w:after="0"/>
        <w:jc w:val="both"/>
        <w:rPr>
          <w:rFonts w:ascii="Times New Roman" w:hAnsi="Times New Roman" w:cs="Times New Roman"/>
          <w:color w:val="0D0D0D" w:themeColor="text1" w:themeTint="F2"/>
          <w:sz w:val="24"/>
          <w:szCs w:val="24"/>
        </w:rPr>
      </w:pPr>
      <w:r w:rsidRPr="00E41B95">
        <w:rPr>
          <w:rFonts w:ascii="Times New Roman" w:hAnsi="Times New Roman" w:cs="Times New Roman"/>
          <w:color w:val="000000" w:themeColor="text1"/>
          <w:sz w:val="24"/>
          <w:szCs w:val="24"/>
        </w:rPr>
        <w:t>Drugą najczęstszą przyczyną zgonów są nowotwory, w tym nowotwory złośliwe. Ich udział wśród przyczyn śmierci z roku na rok rośnie</w:t>
      </w:r>
      <w:r w:rsidRPr="00E41B95">
        <w:rPr>
          <w:rFonts w:ascii="Times New Roman" w:hAnsi="Times New Roman" w:cs="Times New Roman"/>
          <w:color w:val="70AD47" w:themeColor="accent6"/>
          <w:sz w:val="24"/>
          <w:szCs w:val="24"/>
        </w:rPr>
        <w:t xml:space="preserve">. </w:t>
      </w:r>
      <w:r w:rsidRPr="00E41B95">
        <w:rPr>
          <w:rFonts w:ascii="Times New Roman" w:hAnsi="Times New Roman" w:cs="Times New Roman"/>
          <w:color w:val="000000" w:themeColor="text1"/>
          <w:sz w:val="24"/>
          <w:szCs w:val="24"/>
        </w:rPr>
        <w:t xml:space="preserve">W 2018 r. zarówno w całej populacji, jak i w grupie osób starszych co czwarty zgon był spowodowany chorobami nowotworowymi. Według danych Krajowego Rejestru Nowotworów (KRN) spośród wszystkich wykrywanych nowotworów złośliwych ponad 73% dotyczy osób w wieku 60 lat i więcej. O skali tego zjawiska może świadczyć fakt, że zgodnie z najnowszymi danymi KRN,  w 2017 r. na prawie 165 tys. wszystkich zachorowań na nowotwory ponad 121 tys. przypadków dotyczyło osób w starszym wieku. </w:t>
      </w:r>
      <w:r w:rsidRPr="00E41B95">
        <w:rPr>
          <w:rFonts w:ascii="Times New Roman" w:hAnsi="Times New Roman" w:cs="Times New Roman"/>
          <w:color w:val="0D0D0D" w:themeColor="text1" w:themeTint="F2"/>
          <w:sz w:val="24"/>
          <w:szCs w:val="24"/>
        </w:rPr>
        <w:lastRenderedPageBreak/>
        <w:t xml:space="preserve">Mężczyźni stosunkowo częściej niż kobiety umierają na skutek nowotworów złośliwych. Są one przyczyną 30,1% zgonów </w:t>
      </w:r>
      <w:r w:rsidR="00BE48EF">
        <w:rPr>
          <w:rFonts w:ascii="Times New Roman" w:hAnsi="Times New Roman" w:cs="Times New Roman"/>
          <w:color w:val="0D0D0D" w:themeColor="text1" w:themeTint="F2"/>
          <w:sz w:val="24"/>
          <w:szCs w:val="24"/>
        </w:rPr>
        <w:t xml:space="preserve">mężczyzn i 23,1% zgonów kobiet. </w:t>
      </w:r>
      <w:r w:rsidRPr="00E41B95">
        <w:rPr>
          <w:rFonts w:ascii="Times New Roman" w:hAnsi="Times New Roman" w:cs="Times New Roman"/>
          <w:color w:val="0D0D0D" w:themeColor="text1" w:themeTint="F2"/>
          <w:sz w:val="24"/>
          <w:szCs w:val="24"/>
        </w:rPr>
        <w:t>Inne, najczęściej obserwowane przyczyny zgonów osób starszych to: choroby układu oddechowego i pokarmowego, zaburzenia wydzielania wewnętrznego, stanu odżywiania i przemiany metabolicznej.</w:t>
      </w:r>
    </w:p>
    <w:p w14:paraId="58BADED8" w14:textId="77777777" w:rsidR="00E41B95" w:rsidRDefault="00E41B95" w:rsidP="00E41B95">
      <w:pPr>
        <w:autoSpaceDE w:val="0"/>
        <w:autoSpaceDN w:val="0"/>
        <w:adjustRightInd w:val="0"/>
        <w:spacing w:after="0"/>
        <w:jc w:val="both"/>
        <w:rPr>
          <w:rFonts w:ascii="Times New Roman" w:hAnsi="Times New Roman" w:cs="Times New Roman"/>
          <w:color w:val="0D0D0D" w:themeColor="text1" w:themeTint="F2"/>
          <w:sz w:val="24"/>
          <w:szCs w:val="24"/>
        </w:rPr>
      </w:pPr>
    </w:p>
    <w:p w14:paraId="1403E009" w14:textId="77777777" w:rsidR="00E41B95" w:rsidRPr="00E41B95" w:rsidRDefault="00E41B95" w:rsidP="00E41B95">
      <w:pPr>
        <w:autoSpaceDE w:val="0"/>
        <w:autoSpaceDN w:val="0"/>
        <w:adjustRightInd w:val="0"/>
        <w:spacing w:after="0"/>
        <w:jc w:val="both"/>
        <w:rPr>
          <w:rFonts w:ascii="Times New Roman" w:hAnsi="Times New Roman" w:cs="Times New Roman"/>
          <w:color w:val="0D0D0D" w:themeColor="text1" w:themeTint="F2"/>
          <w:sz w:val="24"/>
          <w:szCs w:val="24"/>
        </w:rPr>
      </w:pPr>
      <w:r w:rsidRPr="00E41B95">
        <w:rPr>
          <w:rFonts w:ascii="Times New Roman" w:hAnsi="Times New Roman" w:cs="Times New Roman"/>
          <w:color w:val="0D0D0D" w:themeColor="text1" w:themeTint="F2"/>
          <w:sz w:val="24"/>
          <w:szCs w:val="24"/>
        </w:rPr>
        <w:t xml:space="preserve">Struktura i częstość zgonów jest zróżnicowana według płci – zarówno dla całej populacji, jak i dla grupy osób w wieku 60 lat i więcej. Umieralność wśród mężczyzn jest zdecydowanie wyższa niż wśród kobiet i proces ten nasila się wraz z wiekiem. </w:t>
      </w:r>
    </w:p>
    <w:p w14:paraId="73B66B65" w14:textId="77777777" w:rsidR="00E41B95" w:rsidRDefault="00E41B95" w:rsidP="00EA0D2A">
      <w:pPr>
        <w:spacing w:after="0"/>
      </w:pPr>
    </w:p>
    <w:p w14:paraId="3842EF63" w14:textId="4C4BB7B1" w:rsidR="00CD046D" w:rsidRPr="00A9161D" w:rsidRDefault="00CD046D" w:rsidP="00CD046D">
      <w:pPr>
        <w:pStyle w:val="Legenda"/>
        <w:keepNext/>
        <w:rPr>
          <w:rFonts w:ascii="Times New Roman" w:hAnsi="Times New Roman" w:cs="Times New Roman"/>
          <w:b/>
          <w:i w:val="0"/>
          <w:sz w:val="24"/>
        </w:rPr>
      </w:pPr>
      <w:bookmarkStart w:id="6" w:name="_Toc49171378"/>
      <w:r w:rsidRPr="00A9161D">
        <w:rPr>
          <w:rFonts w:ascii="Times New Roman" w:hAnsi="Times New Roman" w:cs="Times New Roman"/>
          <w:b/>
          <w:i w:val="0"/>
          <w:sz w:val="24"/>
        </w:rPr>
        <w:t xml:space="preserve">Tabela </w:t>
      </w:r>
      <w:r w:rsidRPr="00A9161D">
        <w:rPr>
          <w:rFonts w:ascii="Times New Roman" w:hAnsi="Times New Roman" w:cs="Times New Roman"/>
          <w:b/>
          <w:i w:val="0"/>
          <w:sz w:val="24"/>
        </w:rPr>
        <w:fldChar w:fldCharType="begin"/>
      </w:r>
      <w:r w:rsidRPr="00A9161D">
        <w:rPr>
          <w:rFonts w:ascii="Times New Roman" w:hAnsi="Times New Roman" w:cs="Times New Roman"/>
          <w:b/>
          <w:i w:val="0"/>
          <w:sz w:val="24"/>
        </w:rPr>
        <w:instrText xml:space="preserve"> SEQ Tabela \* ARABIC </w:instrText>
      </w:r>
      <w:r w:rsidRPr="00A9161D">
        <w:rPr>
          <w:rFonts w:ascii="Times New Roman" w:hAnsi="Times New Roman" w:cs="Times New Roman"/>
          <w:b/>
          <w:i w:val="0"/>
          <w:sz w:val="24"/>
        </w:rPr>
        <w:fldChar w:fldCharType="separate"/>
      </w:r>
      <w:r w:rsidR="00C154C9">
        <w:rPr>
          <w:rFonts w:ascii="Times New Roman" w:hAnsi="Times New Roman" w:cs="Times New Roman"/>
          <w:b/>
          <w:i w:val="0"/>
          <w:noProof/>
          <w:sz w:val="24"/>
        </w:rPr>
        <w:t>3</w:t>
      </w:r>
      <w:r w:rsidRPr="00A9161D">
        <w:rPr>
          <w:rFonts w:ascii="Times New Roman" w:hAnsi="Times New Roman" w:cs="Times New Roman"/>
          <w:b/>
          <w:i w:val="0"/>
          <w:sz w:val="24"/>
        </w:rPr>
        <w:fldChar w:fldCharType="end"/>
      </w:r>
      <w:r w:rsidRPr="00A9161D">
        <w:rPr>
          <w:rFonts w:ascii="Times New Roman" w:hAnsi="Times New Roman" w:cs="Times New Roman"/>
          <w:b/>
          <w:i w:val="0"/>
          <w:sz w:val="24"/>
        </w:rPr>
        <w:t xml:space="preserve"> Prognoza ludności - udział osób w wieku 60 lat i więcej w populacji ogółem</w:t>
      </w:r>
      <w:bookmarkEnd w:id="6"/>
    </w:p>
    <w:tbl>
      <w:tblPr>
        <w:tblW w:w="9781"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1276"/>
        <w:gridCol w:w="1755"/>
        <w:gridCol w:w="1222"/>
        <w:gridCol w:w="1417"/>
        <w:gridCol w:w="1276"/>
        <w:gridCol w:w="1418"/>
        <w:gridCol w:w="1417"/>
      </w:tblGrid>
      <w:tr w:rsidR="00A56118" w:rsidRPr="00342041" w14:paraId="5330D290" w14:textId="77777777" w:rsidTr="004020A2">
        <w:trPr>
          <w:trHeight w:val="398"/>
          <w:jc w:val="center"/>
        </w:trPr>
        <w:tc>
          <w:tcPr>
            <w:tcW w:w="1276" w:type="dxa"/>
            <w:vMerge w:val="restart"/>
            <w:shd w:val="clear" w:color="auto" w:fill="9CC2E5" w:themeFill="accent1" w:themeFillTint="99"/>
            <w:vAlign w:val="center"/>
            <w:hideMark/>
          </w:tcPr>
          <w:p w14:paraId="7AE67FCE" w14:textId="77777777" w:rsidR="00A56118" w:rsidRPr="00342041" w:rsidRDefault="00A56118"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Rok prognozy</w:t>
            </w:r>
          </w:p>
        </w:tc>
        <w:tc>
          <w:tcPr>
            <w:tcW w:w="1755" w:type="dxa"/>
            <w:vMerge w:val="restart"/>
            <w:shd w:val="clear" w:color="auto" w:fill="9CC2E5" w:themeFill="accent1" w:themeFillTint="99"/>
            <w:vAlign w:val="center"/>
            <w:hideMark/>
          </w:tcPr>
          <w:p w14:paraId="77C1EFAE" w14:textId="77777777" w:rsidR="00A56118" w:rsidRPr="00342041" w:rsidRDefault="00A56118"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Grupy wieku</w:t>
            </w:r>
          </w:p>
        </w:tc>
        <w:tc>
          <w:tcPr>
            <w:tcW w:w="1222" w:type="dxa"/>
            <w:shd w:val="clear" w:color="auto" w:fill="9CC2E5" w:themeFill="accent1" w:themeFillTint="99"/>
            <w:vAlign w:val="center"/>
            <w:hideMark/>
          </w:tcPr>
          <w:p w14:paraId="6614CB23" w14:textId="77777777" w:rsidR="00A56118" w:rsidRPr="00342041" w:rsidRDefault="00A56118"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417" w:type="dxa"/>
            <w:shd w:val="clear" w:color="auto" w:fill="8EAADB" w:themeFill="accent5" w:themeFillTint="99"/>
            <w:vAlign w:val="center"/>
            <w:hideMark/>
          </w:tcPr>
          <w:p w14:paraId="46C1F154" w14:textId="77777777" w:rsidR="00A56118" w:rsidRPr="00342041" w:rsidRDefault="00A56118"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1276" w:type="dxa"/>
            <w:shd w:val="clear" w:color="auto" w:fill="8EAADB" w:themeFill="accent5" w:themeFillTint="99"/>
            <w:vAlign w:val="center"/>
            <w:hideMark/>
          </w:tcPr>
          <w:p w14:paraId="195407C6" w14:textId="77777777" w:rsidR="00A56118" w:rsidRPr="00342041" w:rsidRDefault="00A56118"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1418" w:type="dxa"/>
            <w:shd w:val="clear" w:color="auto" w:fill="8EAADB" w:themeFill="accent5" w:themeFillTint="99"/>
            <w:vAlign w:val="center"/>
            <w:hideMark/>
          </w:tcPr>
          <w:p w14:paraId="47BAEBC1" w14:textId="77777777" w:rsidR="00A56118" w:rsidRPr="00342041" w:rsidRDefault="00A56118"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1417" w:type="dxa"/>
            <w:shd w:val="clear" w:color="auto" w:fill="8EAADB" w:themeFill="accent5" w:themeFillTint="99"/>
            <w:vAlign w:val="center"/>
            <w:hideMark/>
          </w:tcPr>
          <w:p w14:paraId="68F32720" w14:textId="77777777" w:rsidR="00A56118" w:rsidRPr="00342041" w:rsidRDefault="00A56118"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r>
      <w:tr w:rsidR="00A56118" w:rsidRPr="00342041" w14:paraId="5B05EF2E" w14:textId="77777777" w:rsidTr="004020A2">
        <w:trPr>
          <w:trHeight w:val="300"/>
          <w:jc w:val="center"/>
        </w:trPr>
        <w:tc>
          <w:tcPr>
            <w:tcW w:w="1276" w:type="dxa"/>
            <w:vMerge/>
            <w:shd w:val="clear" w:color="auto" w:fill="9CC2E5" w:themeFill="accent1" w:themeFillTint="99"/>
            <w:vAlign w:val="center"/>
            <w:hideMark/>
          </w:tcPr>
          <w:p w14:paraId="130AB349" w14:textId="77777777" w:rsidR="00A56118" w:rsidRPr="00342041" w:rsidRDefault="00A56118" w:rsidP="00A06770">
            <w:pPr>
              <w:spacing w:after="0" w:line="240" w:lineRule="auto"/>
              <w:jc w:val="center"/>
              <w:rPr>
                <w:rFonts w:ascii="Times New Roman" w:eastAsia="Times New Roman" w:hAnsi="Times New Roman" w:cs="Times New Roman"/>
                <w:b/>
                <w:sz w:val="20"/>
                <w:szCs w:val="20"/>
                <w:lang w:eastAsia="pl-PL"/>
              </w:rPr>
            </w:pPr>
          </w:p>
        </w:tc>
        <w:tc>
          <w:tcPr>
            <w:tcW w:w="1755" w:type="dxa"/>
            <w:vMerge/>
            <w:shd w:val="clear" w:color="auto" w:fill="9CC2E5" w:themeFill="accent1" w:themeFillTint="99"/>
            <w:vAlign w:val="center"/>
            <w:hideMark/>
          </w:tcPr>
          <w:p w14:paraId="1C8CAA40" w14:textId="77777777" w:rsidR="00A56118" w:rsidRPr="00342041" w:rsidRDefault="00A56118" w:rsidP="00A06770">
            <w:pPr>
              <w:spacing w:after="0" w:line="240" w:lineRule="auto"/>
              <w:jc w:val="center"/>
              <w:rPr>
                <w:rFonts w:ascii="Times New Roman" w:eastAsia="Times New Roman" w:hAnsi="Times New Roman" w:cs="Times New Roman"/>
                <w:b/>
                <w:sz w:val="20"/>
                <w:szCs w:val="20"/>
                <w:lang w:eastAsia="pl-PL"/>
              </w:rPr>
            </w:pPr>
          </w:p>
        </w:tc>
        <w:tc>
          <w:tcPr>
            <w:tcW w:w="6750" w:type="dxa"/>
            <w:gridSpan w:val="5"/>
            <w:shd w:val="clear" w:color="auto" w:fill="9CC2E5" w:themeFill="accent1" w:themeFillTint="99"/>
            <w:vAlign w:val="center"/>
            <w:hideMark/>
          </w:tcPr>
          <w:p w14:paraId="5B6C0B9A" w14:textId="77777777" w:rsidR="00A56118" w:rsidRPr="00342041" w:rsidRDefault="00A56118"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 = 100</w:t>
            </w:r>
          </w:p>
        </w:tc>
      </w:tr>
      <w:tr w:rsidR="00FE405D" w:rsidRPr="00342041" w14:paraId="60B2BFF6" w14:textId="77777777" w:rsidTr="004020A2">
        <w:trPr>
          <w:trHeight w:val="300"/>
          <w:jc w:val="center"/>
        </w:trPr>
        <w:tc>
          <w:tcPr>
            <w:tcW w:w="1276" w:type="dxa"/>
            <w:vMerge w:val="restart"/>
            <w:shd w:val="clear" w:color="auto" w:fill="9CC2E5" w:themeFill="accent1" w:themeFillTint="99"/>
            <w:noWrap/>
            <w:vAlign w:val="center"/>
            <w:hideMark/>
          </w:tcPr>
          <w:p w14:paraId="0DB5A88E" w14:textId="77777777" w:rsidR="00FE405D" w:rsidRPr="00342041" w:rsidRDefault="00FE405D" w:rsidP="00A06770">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2030</w:t>
            </w:r>
          </w:p>
          <w:p w14:paraId="0D101832"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3D7CEA04"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7C2A699A"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02222419"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72CF7CF7"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1CF9FE2E"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3D98EB3A" w14:textId="77777777" w:rsidR="00FE405D" w:rsidRPr="00342041" w:rsidRDefault="00FE405D" w:rsidP="00A06770">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sz w:val="20"/>
                <w:szCs w:val="20"/>
                <w:lang w:eastAsia="pl-PL"/>
              </w:rPr>
              <w:t> </w:t>
            </w:r>
          </w:p>
        </w:tc>
        <w:tc>
          <w:tcPr>
            <w:tcW w:w="1755" w:type="dxa"/>
            <w:shd w:val="clear" w:color="auto" w:fill="9CC2E5" w:themeFill="accent1" w:themeFillTint="99"/>
            <w:noWrap/>
            <w:vAlign w:val="center"/>
            <w:hideMark/>
          </w:tcPr>
          <w:p w14:paraId="2E84D29C" w14:textId="77777777" w:rsidR="00FE405D" w:rsidRPr="00342041" w:rsidRDefault="00FE405D" w:rsidP="00A06770">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Ogółem</w:t>
            </w:r>
          </w:p>
        </w:tc>
        <w:tc>
          <w:tcPr>
            <w:tcW w:w="1222" w:type="dxa"/>
            <w:shd w:val="clear" w:color="auto" w:fill="auto"/>
            <w:noWrap/>
            <w:vAlign w:val="center"/>
            <w:hideMark/>
          </w:tcPr>
          <w:p w14:paraId="3890698A"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100,0</w:t>
            </w:r>
          </w:p>
        </w:tc>
        <w:tc>
          <w:tcPr>
            <w:tcW w:w="1417" w:type="dxa"/>
            <w:shd w:val="clear" w:color="auto" w:fill="auto"/>
            <w:noWrap/>
            <w:vAlign w:val="center"/>
            <w:hideMark/>
          </w:tcPr>
          <w:p w14:paraId="172D95D2"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58,1</w:t>
            </w:r>
          </w:p>
        </w:tc>
        <w:tc>
          <w:tcPr>
            <w:tcW w:w="1276" w:type="dxa"/>
            <w:shd w:val="clear" w:color="auto" w:fill="auto"/>
            <w:noWrap/>
            <w:vAlign w:val="center"/>
            <w:hideMark/>
          </w:tcPr>
          <w:p w14:paraId="4AD96617"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41,9</w:t>
            </w:r>
          </w:p>
        </w:tc>
        <w:tc>
          <w:tcPr>
            <w:tcW w:w="1418" w:type="dxa"/>
            <w:shd w:val="clear" w:color="auto" w:fill="auto"/>
            <w:noWrap/>
            <w:vAlign w:val="center"/>
            <w:hideMark/>
          </w:tcPr>
          <w:p w14:paraId="112E612A"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48,4</w:t>
            </w:r>
          </w:p>
        </w:tc>
        <w:tc>
          <w:tcPr>
            <w:tcW w:w="1417" w:type="dxa"/>
            <w:shd w:val="clear" w:color="auto" w:fill="auto"/>
            <w:noWrap/>
            <w:vAlign w:val="center"/>
            <w:hideMark/>
          </w:tcPr>
          <w:p w14:paraId="3B5255CF"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51,6</w:t>
            </w:r>
          </w:p>
        </w:tc>
      </w:tr>
      <w:tr w:rsidR="00FE405D" w:rsidRPr="00342041" w14:paraId="5FE45EAD" w14:textId="77777777" w:rsidTr="004020A2">
        <w:trPr>
          <w:trHeight w:val="300"/>
          <w:jc w:val="center"/>
        </w:trPr>
        <w:tc>
          <w:tcPr>
            <w:tcW w:w="1276" w:type="dxa"/>
            <w:vMerge/>
            <w:shd w:val="clear" w:color="auto" w:fill="auto"/>
            <w:noWrap/>
            <w:vAlign w:val="center"/>
            <w:hideMark/>
          </w:tcPr>
          <w:p w14:paraId="447B316F"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45244CD6"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xml:space="preserve">w tym 60 lat i więcej </w:t>
            </w:r>
          </w:p>
        </w:tc>
        <w:tc>
          <w:tcPr>
            <w:tcW w:w="1222" w:type="dxa"/>
            <w:shd w:val="clear" w:color="auto" w:fill="auto"/>
            <w:noWrap/>
            <w:vAlign w:val="center"/>
            <w:hideMark/>
          </w:tcPr>
          <w:p w14:paraId="1CA47B98"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29,0</w:t>
            </w:r>
          </w:p>
        </w:tc>
        <w:tc>
          <w:tcPr>
            <w:tcW w:w="1417" w:type="dxa"/>
            <w:shd w:val="clear" w:color="auto" w:fill="auto"/>
            <w:noWrap/>
            <w:vAlign w:val="center"/>
            <w:hideMark/>
          </w:tcPr>
          <w:p w14:paraId="6D26457E"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18,0</w:t>
            </w:r>
          </w:p>
        </w:tc>
        <w:tc>
          <w:tcPr>
            <w:tcW w:w="1276" w:type="dxa"/>
            <w:shd w:val="clear" w:color="auto" w:fill="auto"/>
            <w:noWrap/>
            <w:vAlign w:val="center"/>
            <w:hideMark/>
          </w:tcPr>
          <w:p w14:paraId="7044D35A"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11,0</w:t>
            </w:r>
          </w:p>
        </w:tc>
        <w:tc>
          <w:tcPr>
            <w:tcW w:w="1418" w:type="dxa"/>
            <w:shd w:val="clear" w:color="auto" w:fill="auto"/>
            <w:noWrap/>
            <w:vAlign w:val="center"/>
            <w:hideMark/>
          </w:tcPr>
          <w:p w14:paraId="1B6D2925"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12,3</w:t>
            </w:r>
          </w:p>
        </w:tc>
        <w:tc>
          <w:tcPr>
            <w:tcW w:w="1417" w:type="dxa"/>
            <w:shd w:val="clear" w:color="auto" w:fill="auto"/>
            <w:noWrap/>
            <w:vAlign w:val="center"/>
            <w:hideMark/>
          </w:tcPr>
          <w:p w14:paraId="45D03740"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16,7</w:t>
            </w:r>
          </w:p>
        </w:tc>
      </w:tr>
      <w:tr w:rsidR="00FE405D" w:rsidRPr="00342041" w14:paraId="4BF07914" w14:textId="77777777" w:rsidTr="004020A2">
        <w:trPr>
          <w:trHeight w:val="300"/>
          <w:jc w:val="center"/>
        </w:trPr>
        <w:tc>
          <w:tcPr>
            <w:tcW w:w="1276" w:type="dxa"/>
            <w:vMerge/>
            <w:shd w:val="clear" w:color="auto" w:fill="auto"/>
            <w:noWrap/>
            <w:vAlign w:val="center"/>
            <w:hideMark/>
          </w:tcPr>
          <w:p w14:paraId="5710F72D"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40E75B81"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60-64 lata</w:t>
            </w:r>
          </w:p>
        </w:tc>
        <w:tc>
          <w:tcPr>
            <w:tcW w:w="1222" w:type="dxa"/>
            <w:shd w:val="clear" w:color="auto" w:fill="auto"/>
            <w:noWrap/>
            <w:vAlign w:val="center"/>
            <w:hideMark/>
          </w:tcPr>
          <w:p w14:paraId="06AE3BC2"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5,7</w:t>
            </w:r>
          </w:p>
        </w:tc>
        <w:tc>
          <w:tcPr>
            <w:tcW w:w="1417" w:type="dxa"/>
            <w:shd w:val="clear" w:color="auto" w:fill="auto"/>
            <w:noWrap/>
            <w:vAlign w:val="center"/>
            <w:hideMark/>
          </w:tcPr>
          <w:p w14:paraId="6537376C"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w:t>
            </w:r>
          </w:p>
        </w:tc>
        <w:tc>
          <w:tcPr>
            <w:tcW w:w="1276" w:type="dxa"/>
            <w:shd w:val="clear" w:color="auto" w:fill="auto"/>
            <w:noWrap/>
            <w:vAlign w:val="center"/>
            <w:hideMark/>
          </w:tcPr>
          <w:p w14:paraId="1256220C"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w:t>
            </w:r>
          </w:p>
        </w:tc>
        <w:tc>
          <w:tcPr>
            <w:tcW w:w="1418" w:type="dxa"/>
            <w:shd w:val="clear" w:color="auto" w:fill="auto"/>
            <w:noWrap/>
            <w:vAlign w:val="center"/>
            <w:hideMark/>
          </w:tcPr>
          <w:p w14:paraId="0D64EAD9"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w:t>
            </w:r>
          </w:p>
        </w:tc>
        <w:tc>
          <w:tcPr>
            <w:tcW w:w="1417" w:type="dxa"/>
            <w:shd w:val="clear" w:color="auto" w:fill="auto"/>
            <w:noWrap/>
            <w:vAlign w:val="center"/>
            <w:hideMark/>
          </w:tcPr>
          <w:p w14:paraId="73923B0E"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3,0</w:t>
            </w:r>
          </w:p>
        </w:tc>
      </w:tr>
      <w:tr w:rsidR="00FE405D" w:rsidRPr="00342041" w14:paraId="295EB201" w14:textId="77777777" w:rsidTr="004020A2">
        <w:trPr>
          <w:trHeight w:val="300"/>
          <w:jc w:val="center"/>
        </w:trPr>
        <w:tc>
          <w:tcPr>
            <w:tcW w:w="1276" w:type="dxa"/>
            <w:vMerge/>
            <w:shd w:val="clear" w:color="auto" w:fill="auto"/>
            <w:noWrap/>
            <w:vAlign w:val="center"/>
            <w:hideMark/>
          </w:tcPr>
          <w:p w14:paraId="6361CACE"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39AE392C"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65-69</w:t>
            </w:r>
          </w:p>
        </w:tc>
        <w:tc>
          <w:tcPr>
            <w:tcW w:w="1222" w:type="dxa"/>
            <w:shd w:val="clear" w:color="auto" w:fill="auto"/>
            <w:noWrap/>
            <w:vAlign w:val="center"/>
            <w:hideMark/>
          </w:tcPr>
          <w:p w14:paraId="6BD41BE2"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5,7</w:t>
            </w:r>
          </w:p>
        </w:tc>
        <w:tc>
          <w:tcPr>
            <w:tcW w:w="1417" w:type="dxa"/>
            <w:shd w:val="clear" w:color="auto" w:fill="auto"/>
            <w:noWrap/>
            <w:vAlign w:val="center"/>
            <w:hideMark/>
          </w:tcPr>
          <w:p w14:paraId="433E9135"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w:t>
            </w:r>
          </w:p>
        </w:tc>
        <w:tc>
          <w:tcPr>
            <w:tcW w:w="1276" w:type="dxa"/>
            <w:shd w:val="clear" w:color="auto" w:fill="auto"/>
            <w:noWrap/>
            <w:vAlign w:val="center"/>
            <w:hideMark/>
          </w:tcPr>
          <w:p w14:paraId="52556B81"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w:t>
            </w:r>
          </w:p>
        </w:tc>
        <w:tc>
          <w:tcPr>
            <w:tcW w:w="1418" w:type="dxa"/>
            <w:shd w:val="clear" w:color="auto" w:fill="auto"/>
            <w:noWrap/>
            <w:vAlign w:val="center"/>
            <w:hideMark/>
          </w:tcPr>
          <w:p w14:paraId="320A181E"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w:t>
            </w:r>
          </w:p>
        </w:tc>
        <w:tc>
          <w:tcPr>
            <w:tcW w:w="1417" w:type="dxa"/>
            <w:shd w:val="clear" w:color="auto" w:fill="auto"/>
            <w:noWrap/>
            <w:vAlign w:val="center"/>
            <w:hideMark/>
          </w:tcPr>
          <w:p w14:paraId="484C1216"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3,0</w:t>
            </w:r>
          </w:p>
        </w:tc>
      </w:tr>
      <w:tr w:rsidR="00FE405D" w:rsidRPr="00342041" w14:paraId="058BD943" w14:textId="77777777" w:rsidTr="004020A2">
        <w:trPr>
          <w:trHeight w:val="300"/>
          <w:jc w:val="center"/>
        </w:trPr>
        <w:tc>
          <w:tcPr>
            <w:tcW w:w="1276" w:type="dxa"/>
            <w:vMerge/>
            <w:shd w:val="clear" w:color="auto" w:fill="auto"/>
            <w:noWrap/>
            <w:vAlign w:val="center"/>
            <w:hideMark/>
          </w:tcPr>
          <w:p w14:paraId="30DFAC4D"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0FE1DAF2"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70-74</w:t>
            </w:r>
          </w:p>
        </w:tc>
        <w:tc>
          <w:tcPr>
            <w:tcW w:w="1222" w:type="dxa"/>
            <w:shd w:val="clear" w:color="auto" w:fill="auto"/>
            <w:noWrap/>
            <w:vAlign w:val="center"/>
            <w:hideMark/>
          </w:tcPr>
          <w:p w14:paraId="669928A3"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6,2</w:t>
            </w:r>
          </w:p>
        </w:tc>
        <w:tc>
          <w:tcPr>
            <w:tcW w:w="1417" w:type="dxa"/>
            <w:shd w:val="clear" w:color="auto" w:fill="auto"/>
            <w:noWrap/>
            <w:vAlign w:val="center"/>
            <w:hideMark/>
          </w:tcPr>
          <w:p w14:paraId="1CB8F44C"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3,9</w:t>
            </w:r>
          </w:p>
        </w:tc>
        <w:tc>
          <w:tcPr>
            <w:tcW w:w="1276" w:type="dxa"/>
            <w:shd w:val="clear" w:color="auto" w:fill="auto"/>
            <w:noWrap/>
            <w:vAlign w:val="center"/>
            <w:hideMark/>
          </w:tcPr>
          <w:p w14:paraId="7E80BD7B"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w:t>
            </w:r>
          </w:p>
        </w:tc>
        <w:tc>
          <w:tcPr>
            <w:tcW w:w="1418" w:type="dxa"/>
            <w:shd w:val="clear" w:color="auto" w:fill="auto"/>
            <w:noWrap/>
            <w:vAlign w:val="center"/>
            <w:hideMark/>
          </w:tcPr>
          <w:p w14:paraId="2BF20887"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w:t>
            </w:r>
          </w:p>
        </w:tc>
        <w:tc>
          <w:tcPr>
            <w:tcW w:w="1417" w:type="dxa"/>
            <w:shd w:val="clear" w:color="auto" w:fill="auto"/>
            <w:noWrap/>
            <w:vAlign w:val="center"/>
            <w:hideMark/>
          </w:tcPr>
          <w:p w14:paraId="7F3DEBCB"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3,5</w:t>
            </w:r>
          </w:p>
        </w:tc>
      </w:tr>
      <w:tr w:rsidR="00FE405D" w:rsidRPr="00342041" w14:paraId="0B62A660" w14:textId="77777777" w:rsidTr="004020A2">
        <w:trPr>
          <w:trHeight w:val="300"/>
          <w:jc w:val="center"/>
        </w:trPr>
        <w:tc>
          <w:tcPr>
            <w:tcW w:w="1276" w:type="dxa"/>
            <w:vMerge/>
            <w:shd w:val="clear" w:color="auto" w:fill="auto"/>
            <w:noWrap/>
            <w:vAlign w:val="center"/>
            <w:hideMark/>
          </w:tcPr>
          <w:p w14:paraId="611AA565"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56480D86"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75-79</w:t>
            </w:r>
          </w:p>
        </w:tc>
        <w:tc>
          <w:tcPr>
            <w:tcW w:w="1222" w:type="dxa"/>
            <w:shd w:val="clear" w:color="auto" w:fill="auto"/>
            <w:noWrap/>
            <w:vAlign w:val="center"/>
            <w:hideMark/>
          </w:tcPr>
          <w:p w14:paraId="253BB4DC"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5,4</w:t>
            </w:r>
          </w:p>
        </w:tc>
        <w:tc>
          <w:tcPr>
            <w:tcW w:w="1417" w:type="dxa"/>
            <w:shd w:val="clear" w:color="auto" w:fill="auto"/>
            <w:noWrap/>
            <w:vAlign w:val="center"/>
            <w:hideMark/>
          </w:tcPr>
          <w:p w14:paraId="7E9613F7"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3,6</w:t>
            </w:r>
          </w:p>
        </w:tc>
        <w:tc>
          <w:tcPr>
            <w:tcW w:w="1276" w:type="dxa"/>
            <w:shd w:val="clear" w:color="auto" w:fill="auto"/>
            <w:noWrap/>
            <w:vAlign w:val="center"/>
            <w:hideMark/>
          </w:tcPr>
          <w:p w14:paraId="5E88E5D6"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w:t>
            </w:r>
          </w:p>
        </w:tc>
        <w:tc>
          <w:tcPr>
            <w:tcW w:w="1418" w:type="dxa"/>
            <w:shd w:val="clear" w:color="auto" w:fill="auto"/>
            <w:noWrap/>
            <w:vAlign w:val="center"/>
            <w:hideMark/>
          </w:tcPr>
          <w:p w14:paraId="44E62D5D"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w:t>
            </w:r>
          </w:p>
        </w:tc>
        <w:tc>
          <w:tcPr>
            <w:tcW w:w="1417" w:type="dxa"/>
            <w:shd w:val="clear" w:color="auto" w:fill="auto"/>
            <w:noWrap/>
            <w:vAlign w:val="center"/>
            <w:hideMark/>
          </w:tcPr>
          <w:p w14:paraId="4D6734D5"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3,2</w:t>
            </w:r>
          </w:p>
        </w:tc>
      </w:tr>
      <w:tr w:rsidR="00FE405D" w:rsidRPr="00342041" w14:paraId="548C5453" w14:textId="77777777" w:rsidTr="004020A2">
        <w:trPr>
          <w:trHeight w:val="300"/>
          <w:jc w:val="center"/>
        </w:trPr>
        <w:tc>
          <w:tcPr>
            <w:tcW w:w="1276" w:type="dxa"/>
            <w:vMerge/>
            <w:shd w:val="clear" w:color="auto" w:fill="auto"/>
            <w:noWrap/>
            <w:vAlign w:val="center"/>
            <w:hideMark/>
          </w:tcPr>
          <w:p w14:paraId="62955FEE"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178E0A00"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80-84</w:t>
            </w:r>
          </w:p>
        </w:tc>
        <w:tc>
          <w:tcPr>
            <w:tcW w:w="1222" w:type="dxa"/>
            <w:shd w:val="clear" w:color="auto" w:fill="auto"/>
            <w:noWrap/>
            <w:vAlign w:val="center"/>
            <w:hideMark/>
          </w:tcPr>
          <w:p w14:paraId="3F2261FD"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3,5</w:t>
            </w:r>
          </w:p>
        </w:tc>
        <w:tc>
          <w:tcPr>
            <w:tcW w:w="1417" w:type="dxa"/>
            <w:shd w:val="clear" w:color="auto" w:fill="auto"/>
            <w:noWrap/>
            <w:vAlign w:val="center"/>
            <w:hideMark/>
          </w:tcPr>
          <w:p w14:paraId="25160566"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w:t>
            </w:r>
          </w:p>
        </w:tc>
        <w:tc>
          <w:tcPr>
            <w:tcW w:w="1276" w:type="dxa"/>
            <w:shd w:val="clear" w:color="auto" w:fill="auto"/>
            <w:noWrap/>
            <w:vAlign w:val="center"/>
            <w:hideMark/>
          </w:tcPr>
          <w:p w14:paraId="58D9CF67"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w:t>
            </w:r>
          </w:p>
        </w:tc>
        <w:tc>
          <w:tcPr>
            <w:tcW w:w="1418" w:type="dxa"/>
            <w:shd w:val="clear" w:color="auto" w:fill="auto"/>
            <w:noWrap/>
            <w:vAlign w:val="center"/>
            <w:hideMark/>
          </w:tcPr>
          <w:p w14:paraId="36F688D9"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w:t>
            </w:r>
          </w:p>
        </w:tc>
        <w:tc>
          <w:tcPr>
            <w:tcW w:w="1417" w:type="dxa"/>
            <w:shd w:val="clear" w:color="auto" w:fill="auto"/>
            <w:noWrap/>
            <w:vAlign w:val="center"/>
            <w:hideMark/>
          </w:tcPr>
          <w:p w14:paraId="2AECABEC"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2,3</w:t>
            </w:r>
          </w:p>
        </w:tc>
      </w:tr>
      <w:tr w:rsidR="00FE405D" w:rsidRPr="00342041" w14:paraId="11DDA125" w14:textId="77777777" w:rsidTr="004020A2">
        <w:trPr>
          <w:trHeight w:val="300"/>
          <w:jc w:val="center"/>
        </w:trPr>
        <w:tc>
          <w:tcPr>
            <w:tcW w:w="1276" w:type="dxa"/>
            <w:vMerge/>
            <w:shd w:val="clear" w:color="auto" w:fill="auto"/>
            <w:noWrap/>
            <w:vAlign w:val="center"/>
            <w:hideMark/>
          </w:tcPr>
          <w:p w14:paraId="268BDAF5"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5E5BA492"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85 lat i więcej</w:t>
            </w:r>
          </w:p>
        </w:tc>
        <w:tc>
          <w:tcPr>
            <w:tcW w:w="1222" w:type="dxa"/>
            <w:shd w:val="clear" w:color="auto" w:fill="auto"/>
            <w:noWrap/>
            <w:vAlign w:val="center"/>
            <w:hideMark/>
          </w:tcPr>
          <w:p w14:paraId="7CC55E63"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w:t>
            </w:r>
          </w:p>
        </w:tc>
        <w:tc>
          <w:tcPr>
            <w:tcW w:w="1417" w:type="dxa"/>
            <w:shd w:val="clear" w:color="auto" w:fill="auto"/>
            <w:noWrap/>
            <w:vAlign w:val="center"/>
            <w:hideMark/>
          </w:tcPr>
          <w:p w14:paraId="3AC2E4A4"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w:t>
            </w:r>
          </w:p>
        </w:tc>
        <w:tc>
          <w:tcPr>
            <w:tcW w:w="1276" w:type="dxa"/>
            <w:shd w:val="clear" w:color="auto" w:fill="auto"/>
            <w:noWrap/>
            <w:vAlign w:val="center"/>
            <w:hideMark/>
          </w:tcPr>
          <w:p w14:paraId="61CA37F9"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0,8</w:t>
            </w:r>
          </w:p>
        </w:tc>
        <w:tc>
          <w:tcPr>
            <w:tcW w:w="1418" w:type="dxa"/>
            <w:shd w:val="clear" w:color="auto" w:fill="auto"/>
            <w:noWrap/>
            <w:vAlign w:val="center"/>
            <w:hideMark/>
          </w:tcPr>
          <w:p w14:paraId="25D247D7"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0,7</w:t>
            </w:r>
          </w:p>
        </w:tc>
        <w:tc>
          <w:tcPr>
            <w:tcW w:w="1417" w:type="dxa"/>
            <w:shd w:val="clear" w:color="auto" w:fill="auto"/>
            <w:noWrap/>
            <w:vAlign w:val="center"/>
            <w:hideMark/>
          </w:tcPr>
          <w:p w14:paraId="0F1ACAAA"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w:t>
            </w:r>
          </w:p>
        </w:tc>
      </w:tr>
      <w:tr w:rsidR="00FE405D" w:rsidRPr="00342041" w14:paraId="69D5BD4F" w14:textId="77777777" w:rsidTr="004020A2">
        <w:trPr>
          <w:trHeight w:val="300"/>
          <w:jc w:val="center"/>
        </w:trPr>
        <w:tc>
          <w:tcPr>
            <w:tcW w:w="1276" w:type="dxa"/>
            <w:vMerge w:val="restart"/>
            <w:shd w:val="clear" w:color="auto" w:fill="9CC2E5" w:themeFill="accent1" w:themeFillTint="99"/>
            <w:noWrap/>
            <w:vAlign w:val="center"/>
            <w:hideMark/>
          </w:tcPr>
          <w:p w14:paraId="7E7BC38E" w14:textId="77777777" w:rsidR="00FE405D" w:rsidRPr="00342041" w:rsidRDefault="00FE405D" w:rsidP="00A06770">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2040</w:t>
            </w:r>
          </w:p>
          <w:p w14:paraId="6D0A2AD9"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3A1AC83C"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308073F3"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4AECF610"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7FA893E8"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013F3228"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7073DA35" w14:textId="77777777" w:rsidR="00FE405D" w:rsidRPr="00342041" w:rsidRDefault="00FE405D" w:rsidP="00A06770">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sz w:val="20"/>
                <w:szCs w:val="20"/>
                <w:lang w:eastAsia="pl-PL"/>
              </w:rPr>
              <w:t> </w:t>
            </w:r>
          </w:p>
        </w:tc>
        <w:tc>
          <w:tcPr>
            <w:tcW w:w="1755" w:type="dxa"/>
            <w:shd w:val="clear" w:color="auto" w:fill="9CC2E5" w:themeFill="accent1" w:themeFillTint="99"/>
            <w:noWrap/>
            <w:vAlign w:val="center"/>
            <w:hideMark/>
          </w:tcPr>
          <w:p w14:paraId="27870D81" w14:textId="77777777" w:rsidR="00FE405D" w:rsidRPr="00342041" w:rsidRDefault="00FE405D" w:rsidP="00A06770">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Ogółem</w:t>
            </w:r>
          </w:p>
        </w:tc>
        <w:tc>
          <w:tcPr>
            <w:tcW w:w="1222" w:type="dxa"/>
            <w:shd w:val="clear" w:color="auto" w:fill="auto"/>
            <w:noWrap/>
            <w:vAlign w:val="center"/>
            <w:hideMark/>
          </w:tcPr>
          <w:p w14:paraId="031DE29C"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100,0</w:t>
            </w:r>
          </w:p>
        </w:tc>
        <w:tc>
          <w:tcPr>
            <w:tcW w:w="1417" w:type="dxa"/>
            <w:shd w:val="clear" w:color="auto" w:fill="auto"/>
            <w:noWrap/>
            <w:vAlign w:val="center"/>
            <w:hideMark/>
          </w:tcPr>
          <w:p w14:paraId="2C8B3EDC"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56,7</w:t>
            </w:r>
          </w:p>
        </w:tc>
        <w:tc>
          <w:tcPr>
            <w:tcW w:w="1276" w:type="dxa"/>
            <w:shd w:val="clear" w:color="auto" w:fill="auto"/>
            <w:noWrap/>
            <w:vAlign w:val="center"/>
            <w:hideMark/>
          </w:tcPr>
          <w:p w14:paraId="74F73CA3"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43,3</w:t>
            </w:r>
          </w:p>
        </w:tc>
        <w:tc>
          <w:tcPr>
            <w:tcW w:w="1418" w:type="dxa"/>
            <w:shd w:val="clear" w:color="auto" w:fill="auto"/>
            <w:noWrap/>
            <w:vAlign w:val="center"/>
            <w:hideMark/>
          </w:tcPr>
          <w:p w14:paraId="4BDE2B55"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48,5</w:t>
            </w:r>
          </w:p>
        </w:tc>
        <w:tc>
          <w:tcPr>
            <w:tcW w:w="1417" w:type="dxa"/>
            <w:shd w:val="clear" w:color="auto" w:fill="auto"/>
            <w:noWrap/>
            <w:vAlign w:val="center"/>
            <w:hideMark/>
          </w:tcPr>
          <w:p w14:paraId="253127EF"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51,5</w:t>
            </w:r>
          </w:p>
        </w:tc>
      </w:tr>
      <w:tr w:rsidR="00FE405D" w:rsidRPr="00342041" w14:paraId="59F7D81E" w14:textId="77777777" w:rsidTr="004020A2">
        <w:trPr>
          <w:trHeight w:val="300"/>
          <w:jc w:val="center"/>
        </w:trPr>
        <w:tc>
          <w:tcPr>
            <w:tcW w:w="1276" w:type="dxa"/>
            <w:vMerge/>
            <w:shd w:val="clear" w:color="auto" w:fill="auto"/>
            <w:noWrap/>
            <w:vAlign w:val="center"/>
            <w:hideMark/>
          </w:tcPr>
          <w:p w14:paraId="47CC7676"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09E962E3"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xml:space="preserve">w tym 60 lat i więcej </w:t>
            </w:r>
          </w:p>
        </w:tc>
        <w:tc>
          <w:tcPr>
            <w:tcW w:w="1222" w:type="dxa"/>
            <w:shd w:val="clear" w:color="auto" w:fill="auto"/>
            <w:noWrap/>
            <w:vAlign w:val="center"/>
            <w:hideMark/>
          </w:tcPr>
          <w:p w14:paraId="59836605"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34,4</w:t>
            </w:r>
          </w:p>
        </w:tc>
        <w:tc>
          <w:tcPr>
            <w:tcW w:w="1417" w:type="dxa"/>
            <w:shd w:val="clear" w:color="auto" w:fill="auto"/>
            <w:noWrap/>
            <w:vAlign w:val="center"/>
            <w:hideMark/>
          </w:tcPr>
          <w:p w14:paraId="20EDB991"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20,6</w:t>
            </w:r>
          </w:p>
        </w:tc>
        <w:tc>
          <w:tcPr>
            <w:tcW w:w="1276" w:type="dxa"/>
            <w:shd w:val="clear" w:color="auto" w:fill="auto"/>
            <w:noWrap/>
            <w:vAlign w:val="center"/>
            <w:hideMark/>
          </w:tcPr>
          <w:p w14:paraId="5AF4AACB"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13,7</w:t>
            </w:r>
          </w:p>
        </w:tc>
        <w:tc>
          <w:tcPr>
            <w:tcW w:w="1418" w:type="dxa"/>
            <w:shd w:val="clear" w:color="auto" w:fill="auto"/>
            <w:noWrap/>
            <w:vAlign w:val="center"/>
            <w:hideMark/>
          </w:tcPr>
          <w:p w14:paraId="774913A5"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15,0</w:t>
            </w:r>
          </w:p>
        </w:tc>
        <w:tc>
          <w:tcPr>
            <w:tcW w:w="1417" w:type="dxa"/>
            <w:shd w:val="clear" w:color="auto" w:fill="auto"/>
            <w:noWrap/>
            <w:vAlign w:val="center"/>
            <w:hideMark/>
          </w:tcPr>
          <w:p w14:paraId="4983A258"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19,4</w:t>
            </w:r>
          </w:p>
        </w:tc>
      </w:tr>
      <w:tr w:rsidR="00FE405D" w:rsidRPr="00342041" w14:paraId="16858905" w14:textId="77777777" w:rsidTr="004020A2">
        <w:trPr>
          <w:trHeight w:val="300"/>
          <w:jc w:val="center"/>
        </w:trPr>
        <w:tc>
          <w:tcPr>
            <w:tcW w:w="1276" w:type="dxa"/>
            <w:vMerge/>
            <w:shd w:val="clear" w:color="auto" w:fill="auto"/>
            <w:noWrap/>
            <w:vAlign w:val="center"/>
            <w:hideMark/>
          </w:tcPr>
          <w:p w14:paraId="142AE20D"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4C2EB675"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60-64 lata</w:t>
            </w:r>
          </w:p>
        </w:tc>
        <w:tc>
          <w:tcPr>
            <w:tcW w:w="1222" w:type="dxa"/>
            <w:shd w:val="clear" w:color="auto" w:fill="auto"/>
            <w:noWrap/>
            <w:vAlign w:val="center"/>
            <w:hideMark/>
          </w:tcPr>
          <w:p w14:paraId="371A8703"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7,9</w:t>
            </w:r>
          </w:p>
        </w:tc>
        <w:tc>
          <w:tcPr>
            <w:tcW w:w="1417" w:type="dxa"/>
            <w:shd w:val="clear" w:color="auto" w:fill="auto"/>
            <w:noWrap/>
            <w:vAlign w:val="center"/>
            <w:hideMark/>
          </w:tcPr>
          <w:p w14:paraId="0FBA5622"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4,7</w:t>
            </w:r>
          </w:p>
        </w:tc>
        <w:tc>
          <w:tcPr>
            <w:tcW w:w="1276" w:type="dxa"/>
            <w:shd w:val="clear" w:color="auto" w:fill="auto"/>
            <w:noWrap/>
            <w:vAlign w:val="center"/>
            <w:hideMark/>
          </w:tcPr>
          <w:p w14:paraId="7A871A3C"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w:t>
            </w:r>
          </w:p>
        </w:tc>
        <w:tc>
          <w:tcPr>
            <w:tcW w:w="1418" w:type="dxa"/>
            <w:shd w:val="clear" w:color="auto" w:fill="auto"/>
            <w:noWrap/>
            <w:vAlign w:val="center"/>
            <w:hideMark/>
          </w:tcPr>
          <w:p w14:paraId="2C065F5E"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3,9</w:t>
            </w:r>
          </w:p>
        </w:tc>
        <w:tc>
          <w:tcPr>
            <w:tcW w:w="1417" w:type="dxa"/>
            <w:shd w:val="clear" w:color="auto" w:fill="auto"/>
            <w:noWrap/>
            <w:vAlign w:val="center"/>
            <w:hideMark/>
          </w:tcPr>
          <w:p w14:paraId="0B855E76"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4,0</w:t>
            </w:r>
          </w:p>
        </w:tc>
      </w:tr>
      <w:tr w:rsidR="00FE405D" w:rsidRPr="00342041" w14:paraId="338CAF52" w14:textId="77777777" w:rsidTr="004020A2">
        <w:trPr>
          <w:trHeight w:val="300"/>
          <w:jc w:val="center"/>
        </w:trPr>
        <w:tc>
          <w:tcPr>
            <w:tcW w:w="1276" w:type="dxa"/>
            <w:vMerge/>
            <w:shd w:val="clear" w:color="auto" w:fill="auto"/>
            <w:noWrap/>
            <w:vAlign w:val="center"/>
            <w:hideMark/>
          </w:tcPr>
          <w:p w14:paraId="1BE6487B"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6C774AFB"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65-69</w:t>
            </w:r>
          </w:p>
        </w:tc>
        <w:tc>
          <w:tcPr>
            <w:tcW w:w="1222" w:type="dxa"/>
            <w:shd w:val="clear" w:color="auto" w:fill="auto"/>
            <w:noWrap/>
            <w:vAlign w:val="center"/>
            <w:hideMark/>
          </w:tcPr>
          <w:p w14:paraId="37847725"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6,7</w:t>
            </w:r>
          </w:p>
        </w:tc>
        <w:tc>
          <w:tcPr>
            <w:tcW w:w="1417" w:type="dxa"/>
            <w:shd w:val="clear" w:color="auto" w:fill="auto"/>
            <w:noWrap/>
            <w:vAlign w:val="center"/>
            <w:hideMark/>
          </w:tcPr>
          <w:p w14:paraId="6FDB98EF"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3,9</w:t>
            </w:r>
          </w:p>
        </w:tc>
        <w:tc>
          <w:tcPr>
            <w:tcW w:w="1276" w:type="dxa"/>
            <w:shd w:val="clear" w:color="auto" w:fill="auto"/>
            <w:noWrap/>
            <w:vAlign w:val="center"/>
            <w:hideMark/>
          </w:tcPr>
          <w:p w14:paraId="56870880"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w:t>
            </w:r>
          </w:p>
        </w:tc>
        <w:tc>
          <w:tcPr>
            <w:tcW w:w="1418" w:type="dxa"/>
            <w:shd w:val="clear" w:color="auto" w:fill="auto"/>
            <w:noWrap/>
            <w:vAlign w:val="center"/>
            <w:hideMark/>
          </w:tcPr>
          <w:p w14:paraId="155E041F"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3,2</w:t>
            </w:r>
          </w:p>
        </w:tc>
        <w:tc>
          <w:tcPr>
            <w:tcW w:w="1417" w:type="dxa"/>
            <w:shd w:val="clear" w:color="auto" w:fill="auto"/>
            <w:noWrap/>
            <w:vAlign w:val="center"/>
            <w:hideMark/>
          </w:tcPr>
          <w:p w14:paraId="52D0E922"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3,5</w:t>
            </w:r>
          </w:p>
        </w:tc>
      </w:tr>
      <w:tr w:rsidR="00FE405D" w:rsidRPr="00342041" w14:paraId="1CE93D25" w14:textId="77777777" w:rsidTr="004020A2">
        <w:trPr>
          <w:trHeight w:val="300"/>
          <w:jc w:val="center"/>
        </w:trPr>
        <w:tc>
          <w:tcPr>
            <w:tcW w:w="1276" w:type="dxa"/>
            <w:vMerge/>
            <w:shd w:val="clear" w:color="auto" w:fill="auto"/>
            <w:noWrap/>
            <w:vAlign w:val="center"/>
            <w:hideMark/>
          </w:tcPr>
          <w:p w14:paraId="372E9AD5"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11F6A025"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70-74</w:t>
            </w:r>
          </w:p>
        </w:tc>
        <w:tc>
          <w:tcPr>
            <w:tcW w:w="1222" w:type="dxa"/>
            <w:shd w:val="clear" w:color="auto" w:fill="auto"/>
            <w:noWrap/>
            <w:vAlign w:val="center"/>
            <w:hideMark/>
          </w:tcPr>
          <w:p w14:paraId="3D6A58D9"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5,4</w:t>
            </w:r>
          </w:p>
        </w:tc>
        <w:tc>
          <w:tcPr>
            <w:tcW w:w="1417" w:type="dxa"/>
            <w:shd w:val="clear" w:color="auto" w:fill="auto"/>
            <w:noWrap/>
            <w:vAlign w:val="center"/>
            <w:hideMark/>
          </w:tcPr>
          <w:p w14:paraId="33DF5985"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3,0</w:t>
            </w:r>
          </w:p>
        </w:tc>
        <w:tc>
          <w:tcPr>
            <w:tcW w:w="1276" w:type="dxa"/>
            <w:shd w:val="clear" w:color="auto" w:fill="auto"/>
            <w:noWrap/>
            <w:vAlign w:val="center"/>
            <w:hideMark/>
          </w:tcPr>
          <w:p w14:paraId="1A7A113F"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2,3</w:t>
            </w:r>
          </w:p>
        </w:tc>
        <w:tc>
          <w:tcPr>
            <w:tcW w:w="1418" w:type="dxa"/>
            <w:shd w:val="clear" w:color="auto" w:fill="auto"/>
            <w:noWrap/>
            <w:vAlign w:val="center"/>
            <w:hideMark/>
          </w:tcPr>
          <w:p w14:paraId="57F44DC4"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w:t>
            </w:r>
          </w:p>
        </w:tc>
        <w:tc>
          <w:tcPr>
            <w:tcW w:w="1417" w:type="dxa"/>
            <w:shd w:val="clear" w:color="auto" w:fill="auto"/>
            <w:noWrap/>
            <w:vAlign w:val="center"/>
            <w:hideMark/>
          </w:tcPr>
          <w:p w14:paraId="525834AA"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w:t>
            </w:r>
          </w:p>
        </w:tc>
      </w:tr>
      <w:tr w:rsidR="00FE405D" w:rsidRPr="00342041" w14:paraId="49AE208F" w14:textId="77777777" w:rsidTr="004020A2">
        <w:trPr>
          <w:trHeight w:val="300"/>
          <w:jc w:val="center"/>
        </w:trPr>
        <w:tc>
          <w:tcPr>
            <w:tcW w:w="1276" w:type="dxa"/>
            <w:vMerge/>
            <w:shd w:val="clear" w:color="auto" w:fill="auto"/>
            <w:noWrap/>
            <w:vAlign w:val="center"/>
            <w:hideMark/>
          </w:tcPr>
          <w:p w14:paraId="3ADB70AF"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0F7EC4EA"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75-79</w:t>
            </w:r>
          </w:p>
        </w:tc>
        <w:tc>
          <w:tcPr>
            <w:tcW w:w="1222" w:type="dxa"/>
            <w:shd w:val="clear" w:color="auto" w:fill="auto"/>
            <w:noWrap/>
            <w:vAlign w:val="center"/>
            <w:hideMark/>
          </w:tcPr>
          <w:p w14:paraId="0D550899"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4,9</w:t>
            </w:r>
          </w:p>
        </w:tc>
        <w:tc>
          <w:tcPr>
            <w:tcW w:w="1417" w:type="dxa"/>
            <w:shd w:val="clear" w:color="auto" w:fill="auto"/>
            <w:noWrap/>
            <w:vAlign w:val="center"/>
            <w:hideMark/>
          </w:tcPr>
          <w:p w14:paraId="123782EB"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w:t>
            </w:r>
          </w:p>
        </w:tc>
        <w:tc>
          <w:tcPr>
            <w:tcW w:w="1276" w:type="dxa"/>
            <w:shd w:val="clear" w:color="auto" w:fill="auto"/>
            <w:noWrap/>
            <w:vAlign w:val="center"/>
            <w:hideMark/>
          </w:tcPr>
          <w:p w14:paraId="76A620B9"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2,0</w:t>
            </w:r>
          </w:p>
        </w:tc>
        <w:tc>
          <w:tcPr>
            <w:tcW w:w="1418" w:type="dxa"/>
            <w:shd w:val="clear" w:color="auto" w:fill="auto"/>
            <w:noWrap/>
            <w:vAlign w:val="center"/>
            <w:hideMark/>
          </w:tcPr>
          <w:p w14:paraId="5E42519E"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2,1</w:t>
            </w:r>
          </w:p>
        </w:tc>
        <w:tc>
          <w:tcPr>
            <w:tcW w:w="1417" w:type="dxa"/>
            <w:shd w:val="clear" w:color="auto" w:fill="auto"/>
            <w:noWrap/>
            <w:vAlign w:val="center"/>
            <w:hideMark/>
          </w:tcPr>
          <w:p w14:paraId="3141F058"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w:t>
            </w:r>
          </w:p>
        </w:tc>
      </w:tr>
      <w:tr w:rsidR="00FE405D" w:rsidRPr="00342041" w14:paraId="5D1045BD" w14:textId="77777777" w:rsidTr="004020A2">
        <w:trPr>
          <w:trHeight w:val="300"/>
          <w:jc w:val="center"/>
        </w:trPr>
        <w:tc>
          <w:tcPr>
            <w:tcW w:w="1276" w:type="dxa"/>
            <w:vMerge/>
            <w:shd w:val="clear" w:color="auto" w:fill="auto"/>
            <w:noWrap/>
            <w:vAlign w:val="center"/>
            <w:hideMark/>
          </w:tcPr>
          <w:p w14:paraId="3823D774"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520D5E3F"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80-84</w:t>
            </w:r>
          </w:p>
        </w:tc>
        <w:tc>
          <w:tcPr>
            <w:tcW w:w="1222" w:type="dxa"/>
            <w:shd w:val="clear" w:color="auto" w:fill="auto"/>
            <w:noWrap/>
            <w:vAlign w:val="center"/>
            <w:hideMark/>
          </w:tcPr>
          <w:p w14:paraId="65E5804F"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4,7</w:t>
            </w:r>
          </w:p>
        </w:tc>
        <w:tc>
          <w:tcPr>
            <w:tcW w:w="1417" w:type="dxa"/>
            <w:shd w:val="clear" w:color="auto" w:fill="auto"/>
            <w:noWrap/>
            <w:vAlign w:val="center"/>
            <w:hideMark/>
          </w:tcPr>
          <w:p w14:paraId="30784658"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w:t>
            </w:r>
          </w:p>
        </w:tc>
        <w:tc>
          <w:tcPr>
            <w:tcW w:w="1276" w:type="dxa"/>
            <w:shd w:val="clear" w:color="auto" w:fill="auto"/>
            <w:noWrap/>
            <w:vAlign w:val="center"/>
            <w:hideMark/>
          </w:tcPr>
          <w:p w14:paraId="112F6A2D"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w:t>
            </w:r>
          </w:p>
        </w:tc>
        <w:tc>
          <w:tcPr>
            <w:tcW w:w="1418" w:type="dxa"/>
            <w:shd w:val="clear" w:color="auto" w:fill="auto"/>
            <w:noWrap/>
            <w:vAlign w:val="center"/>
            <w:hideMark/>
          </w:tcPr>
          <w:p w14:paraId="6308E968"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w:t>
            </w:r>
          </w:p>
        </w:tc>
        <w:tc>
          <w:tcPr>
            <w:tcW w:w="1417" w:type="dxa"/>
            <w:shd w:val="clear" w:color="auto" w:fill="auto"/>
            <w:noWrap/>
            <w:vAlign w:val="center"/>
            <w:hideMark/>
          </w:tcPr>
          <w:p w14:paraId="67EF294C"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w:t>
            </w:r>
          </w:p>
        </w:tc>
      </w:tr>
      <w:tr w:rsidR="00FE405D" w:rsidRPr="00342041" w14:paraId="4C274187" w14:textId="77777777" w:rsidTr="004020A2">
        <w:trPr>
          <w:trHeight w:val="300"/>
          <w:jc w:val="center"/>
        </w:trPr>
        <w:tc>
          <w:tcPr>
            <w:tcW w:w="1276" w:type="dxa"/>
            <w:vMerge/>
            <w:shd w:val="clear" w:color="auto" w:fill="auto"/>
            <w:noWrap/>
            <w:vAlign w:val="center"/>
            <w:hideMark/>
          </w:tcPr>
          <w:p w14:paraId="54504A89"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274852AC"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85 lat i więcej</w:t>
            </w:r>
          </w:p>
        </w:tc>
        <w:tc>
          <w:tcPr>
            <w:tcW w:w="1222" w:type="dxa"/>
            <w:shd w:val="clear" w:color="auto" w:fill="auto"/>
            <w:noWrap/>
            <w:vAlign w:val="center"/>
            <w:hideMark/>
          </w:tcPr>
          <w:p w14:paraId="1C984F5A"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4,8</w:t>
            </w:r>
          </w:p>
        </w:tc>
        <w:tc>
          <w:tcPr>
            <w:tcW w:w="1417" w:type="dxa"/>
            <w:shd w:val="clear" w:color="auto" w:fill="auto"/>
            <w:noWrap/>
            <w:vAlign w:val="center"/>
            <w:hideMark/>
          </w:tcPr>
          <w:p w14:paraId="1A28F262"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w:t>
            </w:r>
          </w:p>
        </w:tc>
        <w:tc>
          <w:tcPr>
            <w:tcW w:w="1276" w:type="dxa"/>
            <w:shd w:val="clear" w:color="auto" w:fill="auto"/>
            <w:noWrap/>
            <w:vAlign w:val="center"/>
            <w:hideMark/>
          </w:tcPr>
          <w:p w14:paraId="2FE76668"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w:t>
            </w:r>
          </w:p>
        </w:tc>
        <w:tc>
          <w:tcPr>
            <w:tcW w:w="1418" w:type="dxa"/>
            <w:shd w:val="clear" w:color="auto" w:fill="auto"/>
            <w:noWrap/>
            <w:vAlign w:val="center"/>
            <w:hideMark/>
          </w:tcPr>
          <w:p w14:paraId="5B505E39"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w:t>
            </w:r>
          </w:p>
        </w:tc>
        <w:tc>
          <w:tcPr>
            <w:tcW w:w="1417" w:type="dxa"/>
            <w:shd w:val="clear" w:color="auto" w:fill="auto"/>
            <w:noWrap/>
            <w:vAlign w:val="center"/>
            <w:hideMark/>
          </w:tcPr>
          <w:p w14:paraId="353BA49F"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w:t>
            </w:r>
          </w:p>
        </w:tc>
      </w:tr>
      <w:tr w:rsidR="00FE405D" w:rsidRPr="00342041" w14:paraId="53EC78F5" w14:textId="77777777" w:rsidTr="004020A2">
        <w:trPr>
          <w:trHeight w:val="300"/>
          <w:jc w:val="center"/>
        </w:trPr>
        <w:tc>
          <w:tcPr>
            <w:tcW w:w="1276" w:type="dxa"/>
            <w:vMerge w:val="restart"/>
            <w:shd w:val="clear" w:color="auto" w:fill="9CC2E5" w:themeFill="accent1" w:themeFillTint="99"/>
            <w:noWrap/>
            <w:vAlign w:val="center"/>
            <w:hideMark/>
          </w:tcPr>
          <w:p w14:paraId="1909A2C0" w14:textId="77777777" w:rsidR="00FE405D" w:rsidRPr="00342041" w:rsidRDefault="00FE405D" w:rsidP="00A06770">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2050</w:t>
            </w:r>
          </w:p>
          <w:p w14:paraId="21B556E6"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44D38368"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0164FC0F"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1A2685AC"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52E2D021"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w:t>
            </w:r>
          </w:p>
          <w:p w14:paraId="6257739E" w14:textId="77777777" w:rsidR="00FE405D" w:rsidRPr="00342041" w:rsidRDefault="00FE405D" w:rsidP="00A06770">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sz w:val="20"/>
                <w:szCs w:val="20"/>
                <w:lang w:eastAsia="pl-PL"/>
              </w:rPr>
              <w:t> </w:t>
            </w:r>
          </w:p>
        </w:tc>
        <w:tc>
          <w:tcPr>
            <w:tcW w:w="1755" w:type="dxa"/>
            <w:shd w:val="clear" w:color="auto" w:fill="9CC2E5" w:themeFill="accent1" w:themeFillTint="99"/>
            <w:noWrap/>
            <w:vAlign w:val="center"/>
            <w:hideMark/>
          </w:tcPr>
          <w:p w14:paraId="4FFB4CAA" w14:textId="77777777" w:rsidR="00FE405D" w:rsidRPr="00342041" w:rsidRDefault="00FE405D" w:rsidP="00A06770">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Ogółem</w:t>
            </w:r>
          </w:p>
        </w:tc>
        <w:tc>
          <w:tcPr>
            <w:tcW w:w="1222" w:type="dxa"/>
            <w:shd w:val="clear" w:color="auto" w:fill="auto"/>
            <w:noWrap/>
            <w:vAlign w:val="center"/>
            <w:hideMark/>
          </w:tcPr>
          <w:p w14:paraId="76B8EE8B"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100,0</w:t>
            </w:r>
          </w:p>
        </w:tc>
        <w:tc>
          <w:tcPr>
            <w:tcW w:w="1417" w:type="dxa"/>
            <w:shd w:val="clear" w:color="auto" w:fill="auto"/>
            <w:noWrap/>
            <w:vAlign w:val="center"/>
            <w:hideMark/>
          </w:tcPr>
          <w:p w14:paraId="2FA45411"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55,5</w:t>
            </w:r>
          </w:p>
        </w:tc>
        <w:tc>
          <w:tcPr>
            <w:tcW w:w="1276" w:type="dxa"/>
            <w:shd w:val="clear" w:color="auto" w:fill="auto"/>
            <w:noWrap/>
            <w:vAlign w:val="center"/>
            <w:hideMark/>
          </w:tcPr>
          <w:p w14:paraId="4E39D688"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44,5</w:t>
            </w:r>
          </w:p>
        </w:tc>
        <w:tc>
          <w:tcPr>
            <w:tcW w:w="1418" w:type="dxa"/>
            <w:shd w:val="clear" w:color="auto" w:fill="auto"/>
            <w:noWrap/>
            <w:vAlign w:val="center"/>
            <w:hideMark/>
          </w:tcPr>
          <w:p w14:paraId="1BE80EC1"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48,8</w:t>
            </w:r>
          </w:p>
        </w:tc>
        <w:tc>
          <w:tcPr>
            <w:tcW w:w="1417" w:type="dxa"/>
            <w:shd w:val="clear" w:color="auto" w:fill="auto"/>
            <w:noWrap/>
            <w:vAlign w:val="center"/>
            <w:hideMark/>
          </w:tcPr>
          <w:p w14:paraId="308AB271" w14:textId="77777777" w:rsidR="00FE405D" w:rsidRPr="00342041" w:rsidRDefault="00FE405D" w:rsidP="00A06770">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51,2</w:t>
            </w:r>
          </w:p>
        </w:tc>
      </w:tr>
      <w:tr w:rsidR="00FE405D" w:rsidRPr="00342041" w14:paraId="79581B70" w14:textId="77777777" w:rsidTr="004020A2">
        <w:trPr>
          <w:trHeight w:val="300"/>
          <w:jc w:val="center"/>
        </w:trPr>
        <w:tc>
          <w:tcPr>
            <w:tcW w:w="1276" w:type="dxa"/>
            <w:vMerge/>
            <w:shd w:val="clear" w:color="auto" w:fill="auto"/>
            <w:noWrap/>
            <w:vAlign w:val="center"/>
            <w:hideMark/>
          </w:tcPr>
          <w:p w14:paraId="31E93C07"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5BB09708"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 xml:space="preserve">w tym 60 lat i więcej </w:t>
            </w:r>
          </w:p>
        </w:tc>
        <w:tc>
          <w:tcPr>
            <w:tcW w:w="1222" w:type="dxa"/>
            <w:shd w:val="clear" w:color="auto" w:fill="auto"/>
            <w:noWrap/>
            <w:vAlign w:val="center"/>
            <w:hideMark/>
          </w:tcPr>
          <w:p w14:paraId="209EFA7B"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40,4</w:t>
            </w:r>
          </w:p>
        </w:tc>
        <w:tc>
          <w:tcPr>
            <w:tcW w:w="1417" w:type="dxa"/>
            <w:shd w:val="clear" w:color="auto" w:fill="auto"/>
            <w:noWrap/>
            <w:vAlign w:val="center"/>
            <w:hideMark/>
          </w:tcPr>
          <w:p w14:paraId="0DFBFBBB"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23,5</w:t>
            </w:r>
          </w:p>
        </w:tc>
        <w:tc>
          <w:tcPr>
            <w:tcW w:w="1276" w:type="dxa"/>
            <w:shd w:val="clear" w:color="auto" w:fill="auto"/>
            <w:noWrap/>
            <w:vAlign w:val="center"/>
            <w:hideMark/>
          </w:tcPr>
          <w:p w14:paraId="16F4ED82"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16,8</w:t>
            </w:r>
          </w:p>
        </w:tc>
        <w:tc>
          <w:tcPr>
            <w:tcW w:w="1418" w:type="dxa"/>
            <w:shd w:val="clear" w:color="auto" w:fill="auto"/>
            <w:noWrap/>
            <w:vAlign w:val="center"/>
            <w:hideMark/>
          </w:tcPr>
          <w:p w14:paraId="4D484D06"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18,2</w:t>
            </w:r>
          </w:p>
        </w:tc>
        <w:tc>
          <w:tcPr>
            <w:tcW w:w="1417" w:type="dxa"/>
            <w:shd w:val="clear" w:color="auto" w:fill="auto"/>
            <w:noWrap/>
            <w:vAlign w:val="center"/>
            <w:hideMark/>
          </w:tcPr>
          <w:p w14:paraId="69BFACE1"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22,2</w:t>
            </w:r>
          </w:p>
        </w:tc>
      </w:tr>
      <w:tr w:rsidR="00FE405D" w:rsidRPr="00342041" w14:paraId="02FC0732" w14:textId="77777777" w:rsidTr="004020A2">
        <w:trPr>
          <w:trHeight w:val="300"/>
          <w:jc w:val="center"/>
        </w:trPr>
        <w:tc>
          <w:tcPr>
            <w:tcW w:w="1276" w:type="dxa"/>
            <w:vMerge/>
            <w:shd w:val="clear" w:color="auto" w:fill="auto"/>
            <w:noWrap/>
            <w:vAlign w:val="center"/>
            <w:hideMark/>
          </w:tcPr>
          <w:p w14:paraId="44218083"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544BFFEC"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60-64 lata</w:t>
            </w:r>
          </w:p>
        </w:tc>
        <w:tc>
          <w:tcPr>
            <w:tcW w:w="1222" w:type="dxa"/>
            <w:shd w:val="clear" w:color="auto" w:fill="auto"/>
            <w:noWrap/>
            <w:vAlign w:val="center"/>
            <w:hideMark/>
          </w:tcPr>
          <w:p w14:paraId="02A5F4E1"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7,7</w:t>
            </w:r>
          </w:p>
        </w:tc>
        <w:tc>
          <w:tcPr>
            <w:tcW w:w="1417" w:type="dxa"/>
            <w:shd w:val="clear" w:color="auto" w:fill="auto"/>
            <w:noWrap/>
            <w:vAlign w:val="center"/>
            <w:hideMark/>
          </w:tcPr>
          <w:p w14:paraId="33AFFDAF"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4,3</w:t>
            </w:r>
          </w:p>
        </w:tc>
        <w:tc>
          <w:tcPr>
            <w:tcW w:w="1276" w:type="dxa"/>
            <w:shd w:val="clear" w:color="auto" w:fill="auto"/>
            <w:noWrap/>
            <w:vAlign w:val="center"/>
            <w:hideMark/>
          </w:tcPr>
          <w:p w14:paraId="01A3E0EC"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3,4</w:t>
            </w:r>
          </w:p>
        </w:tc>
        <w:tc>
          <w:tcPr>
            <w:tcW w:w="1418" w:type="dxa"/>
            <w:shd w:val="clear" w:color="auto" w:fill="auto"/>
            <w:noWrap/>
            <w:vAlign w:val="center"/>
            <w:hideMark/>
          </w:tcPr>
          <w:p w14:paraId="06F866A6"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w:t>
            </w:r>
          </w:p>
        </w:tc>
        <w:tc>
          <w:tcPr>
            <w:tcW w:w="1417" w:type="dxa"/>
            <w:shd w:val="clear" w:color="auto" w:fill="auto"/>
            <w:noWrap/>
            <w:vAlign w:val="center"/>
            <w:hideMark/>
          </w:tcPr>
          <w:p w14:paraId="0286A887"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w:t>
            </w:r>
          </w:p>
        </w:tc>
      </w:tr>
      <w:tr w:rsidR="00FE405D" w:rsidRPr="00342041" w14:paraId="26960F61" w14:textId="77777777" w:rsidTr="004020A2">
        <w:trPr>
          <w:trHeight w:val="300"/>
          <w:jc w:val="center"/>
        </w:trPr>
        <w:tc>
          <w:tcPr>
            <w:tcW w:w="1276" w:type="dxa"/>
            <w:vMerge/>
            <w:shd w:val="clear" w:color="auto" w:fill="auto"/>
            <w:noWrap/>
            <w:vAlign w:val="center"/>
            <w:hideMark/>
          </w:tcPr>
          <w:p w14:paraId="19ACB138"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11176BF9"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65-69</w:t>
            </w:r>
          </w:p>
        </w:tc>
        <w:tc>
          <w:tcPr>
            <w:tcW w:w="1222" w:type="dxa"/>
            <w:shd w:val="clear" w:color="auto" w:fill="auto"/>
            <w:noWrap/>
            <w:vAlign w:val="center"/>
            <w:hideMark/>
          </w:tcPr>
          <w:p w14:paraId="4A95F39F"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8,5</w:t>
            </w:r>
          </w:p>
        </w:tc>
        <w:tc>
          <w:tcPr>
            <w:tcW w:w="1417" w:type="dxa"/>
            <w:shd w:val="clear" w:color="auto" w:fill="auto"/>
            <w:noWrap/>
            <w:vAlign w:val="center"/>
            <w:hideMark/>
          </w:tcPr>
          <w:p w14:paraId="75B007B0"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4,9</w:t>
            </w:r>
          </w:p>
        </w:tc>
        <w:tc>
          <w:tcPr>
            <w:tcW w:w="1276" w:type="dxa"/>
            <w:shd w:val="clear" w:color="auto" w:fill="auto"/>
            <w:noWrap/>
            <w:vAlign w:val="center"/>
            <w:hideMark/>
          </w:tcPr>
          <w:p w14:paraId="7D23D0B0"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3,6</w:t>
            </w:r>
          </w:p>
        </w:tc>
        <w:tc>
          <w:tcPr>
            <w:tcW w:w="1418" w:type="dxa"/>
            <w:shd w:val="clear" w:color="auto" w:fill="auto"/>
            <w:noWrap/>
            <w:vAlign w:val="center"/>
            <w:hideMark/>
          </w:tcPr>
          <w:p w14:paraId="6209E38D"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4,1</w:t>
            </w:r>
          </w:p>
        </w:tc>
        <w:tc>
          <w:tcPr>
            <w:tcW w:w="1417" w:type="dxa"/>
            <w:shd w:val="clear" w:color="auto" w:fill="auto"/>
            <w:noWrap/>
            <w:vAlign w:val="center"/>
            <w:hideMark/>
          </w:tcPr>
          <w:p w14:paraId="306B7C8E"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4,3</w:t>
            </w:r>
          </w:p>
        </w:tc>
      </w:tr>
      <w:tr w:rsidR="00FE405D" w:rsidRPr="00342041" w14:paraId="3D32590C" w14:textId="77777777" w:rsidTr="004020A2">
        <w:trPr>
          <w:trHeight w:val="300"/>
          <w:jc w:val="center"/>
        </w:trPr>
        <w:tc>
          <w:tcPr>
            <w:tcW w:w="1276" w:type="dxa"/>
            <w:vMerge/>
            <w:shd w:val="clear" w:color="auto" w:fill="auto"/>
            <w:noWrap/>
            <w:vAlign w:val="center"/>
            <w:hideMark/>
          </w:tcPr>
          <w:p w14:paraId="65D8D421"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4A4ED24D"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70-74</w:t>
            </w:r>
          </w:p>
        </w:tc>
        <w:tc>
          <w:tcPr>
            <w:tcW w:w="1222" w:type="dxa"/>
            <w:shd w:val="clear" w:color="auto" w:fill="auto"/>
            <w:noWrap/>
            <w:vAlign w:val="center"/>
            <w:hideMark/>
          </w:tcPr>
          <w:p w14:paraId="4CE6A56B"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7,7</w:t>
            </w:r>
          </w:p>
        </w:tc>
        <w:tc>
          <w:tcPr>
            <w:tcW w:w="1417" w:type="dxa"/>
            <w:shd w:val="clear" w:color="auto" w:fill="auto"/>
            <w:noWrap/>
            <w:vAlign w:val="center"/>
            <w:hideMark/>
          </w:tcPr>
          <w:p w14:paraId="4764E4B8"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4,5</w:t>
            </w:r>
          </w:p>
        </w:tc>
        <w:tc>
          <w:tcPr>
            <w:tcW w:w="1276" w:type="dxa"/>
            <w:shd w:val="clear" w:color="auto" w:fill="auto"/>
            <w:noWrap/>
            <w:vAlign w:val="center"/>
            <w:hideMark/>
          </w:tcPr>
          <w:p w14:paraId="04A74170"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3,2</w:t>
            </w:r>
          </w:p>
        </w:tc>
        <w:tc>
          <w:tcPr>
            <w:tcW w:w="1418" w:type="dxa"/>
            <w:shd w:val="clear" w:color="auto" w:fill="auto"/>
            <w:noWrap/>
            <w:vAlign w:val="center"/>
            <w:hideMark/>
          </w:tcPr>
          <w:p w14:paraId="1F8609F5"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3,7</w:t>
            </w:r>
          </w:p>
        </w:tc>
        <w:tc>
          <w:tcPr>
            <w:tcW w:w="1417" w:type="dxa"/>
            <w:shd w:val="clear" w:color="auto" w:fill="auto"/>
            <w:noWrap/>
            <w:vAlign w:val="center"/>
            <w:hideMark/>
          </w:tcPr>
          <w:p w14:paraId="7438AC2E"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4,0</w:t>
            </w:r>
          </w:p>
        </w:tc>
      </w:tr>
      <w:tr w:rsidR="00FE405D" w:rsidRPr="00342041" w14:paraId="0BDE40BE" w14:textId="77777777" w:rsidTr="004020A2">
        <w:trPr>
          <w:trHeight w:val="300"/>
          <w:jc w:val="center"/>
        </w:trPr>
        <w:tc>
          <w:tcPr>
            <w:tcW w:w="1276" w:type="dxa"/>
            <w:vMerge/>
            <w:shd w:val="clear" w:color="auto" w:fill="auto"/>
            <w:noWrap/>
            <w:vAlign w:val="center"/>
            <w:hideMark/>
          </w:tcPr>
          <w:p w14:paraId="4F8EF068"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39A9B7D3"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75-79</w:t>
            </w:r>
          </w:p>
        </w:tc>
        <w:tc>
          <w:tcPr>
            <w:tcW w:w="1222" w:type="dxa"/>
            <w:shd w:val="clear" w:color="auto" w:fill="auto"/>
            <w:noWrap/>
            <w:vAlign w:val="center"/>
            <w:hideMark/>
          </w:tcPr>
          <w:p w14:paraId="3EFDDEA9"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6,1</w:t>
            </w:r>
          </w:p>
        </w:tc>
        <w:tc>
          <w:tcPr>
            <w:tcW w:w="1417" w:type="dxa"/>
            <w:shd w:val="clear" w:color="auto" w:fill="auto"/>
            <w:noWrap/>
            <w:vAlign w:val="center"/>
            <w:hideMark/>
          </w:tcPr>
          <w:p w14:paraId="2C53DE66"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3,5</w:t>
            </w:r>
          </w:p>
        </w:tc>
        <w:tc>
          <w:tcPr>
            <w:tcW w:w="1276" w:type="dxa"/>
            <w:shd w:val="clear" w:color="auto" w:fill="auto"/>
            <w:noWrap/>
            <w:vAlign w:val="center"/>
            <w:hideMark/>
          </w:tcPr>
          <w:p w14:paraId="2887C333"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2,6</w:t>
            </w:r>
          </w:p>
        </w:tc>
        <w:tc>
          <w:tcPr>
            <w:tcW w:w="1418" w:type="dxa"/>
            <w:shd w:val="clear" w:color="auto" w:fill="auto"/>
            <w:noWrap/>
            <w:vAlign w:val="center"/>
            <w:hideMark/>
          </w:tcPr>
          <w:p w14:paraId="7B5854B0"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w:t>
            </w:r>
          </w:p>
        </w:tc>
        <w:tc>
          <w:tcPr>
            <w:tcW w:w="1417" w:type="dxa"/>
            <w:shd w:val="clear" w:color="auto" w:fill="auto"/>
            <w:noWrap/>
            <w:vAlign w:val="center"/>
            <w:hideMark/>
          </w:tcPr>
          <w:p w14:paraId="06B5E9FD"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w:t>
            </w:r>
          </w:p>
        </w:tc>
      </w:tr>
      <w:tr w:rsidR="00FE405D" w:rsidRPr="00342041" w14:paraId="66454D22" w14:textId="77777777" w:rsidTr="004020A2">
        <w:trPr>
          <w:trHeight w:val="300"/>
          <w:jc w:val="center"/>
        </w:trPr>
        <w:tc>
          <w:tcPr>
            <w:tcW w:w="1276" w:type="dxa"/>
            <w:vMerge/>
            <w:shd w:val="clear" w:color="auto" w:fill="auto"/>
            <w:noWrap/>
            <w:vAlign w:val="center"/>
            <w:hideMark/>
          </w:tcPr>
          <w:p w14:paraId="6866647B"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3B29AA03"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80-84</w:t>
            </w:r>
          </w:p>
        </w:tc>
        <w:tc>
          <w:tcPr>
            <w:tcW w:w="1222" w:type="dxa"/>
            <w:shd w:val="clear" w:color="auto" w:fill="auto"/>
            <w:noWrap/>
            <w:vAlign w:val="center"/>
            <w:hideMark/>
          </w:tcPr>
          <w:p w14:paraId="486BFB13"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4,3</w:t>
            </w:r>
          </w:p>
        </w:tc>
        <w:tc>
          <w:tcPr>
            <w:tcW w:w="1417" w:type="dxa"/>
            <w:shd w:val="clear" w:color="auto" w:fill="auto"/>
            <w:noWrap/>
            <w:vAlign w:val="center"/>
            <w:hideMark/>
          </w:tcPr>
          <w:p w14:paraId="718BD467"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w:t>
            </w:r>
          </w:p>
        </w:tc>
        <w:tc>
          <w:tcPr>
            <w:tcW w:w="1276" w:type="dxa"/>
            <w:shd w:val="clear" w:color="auto" w:fill="auto"/>
            <w:noWrap/>
            <w:vAlign w:val="center"/>
            <w:hideMark/>
          </w:tcPr>
          <w:p w14:paraId="1C605EB8"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w:t>
            </w:r>
          </w:p>
        </w:tc>
        <w:tc>
          <w:tcPr>
            <w:tcW w:w="1418" w:type="dxa"/>
            <w:shd w:val="clear" w:color="auto" w:fill="auto"/>
            <w:noWrap/>
            <w:vAlign w:val="center"/>
            <w:hideMark/>
          </w:tcPr>
          <w:p w14:paraId="381E7084"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w:t>
            </w:r>
          </w:p>
        </w:tc>
        <w:tc>
          <w:tcPr>
            <w:tcW w:w="1417" w:type="dxa"/>
            <w:shd w:val="clear" w:color="auto" w:fill="auto"/>
            <w:noWrap/>
            <w:vAlign w:val="center"/>
            <w:hideMark/>
          </w:tcPr>
          <w:p w14:paraId="02CF5039"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w:t>
            </w:r>
          </w:p>
        </w:tc>
      </w:tr>
      <w:tr w:rsidR="00FE405D" w:rsidRPr="00342041" w14:paraId="5DBD8D3C" w14:textId="77777777" w:rsidTr="004020A2">
        <w:trPr>
          <w:trHeight w:val="300"/>
          <w:jc w:val="center"/>
        </w:trPr>
        <w:tc>
          <w:tcPr>
            <w:tcW w:w="1276" w:type="dxa"/>
            <w:vMerge/>
            <w:shd w:val="clear" w:color="auto" w:fill="auto"/>
            <w:noWrap/>
            <w:vAlign w:val="center"/>
            <w:hideMark/>
          </w:tcPr>
          <w:p w14:paraId="0BACF490"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p>
        </w:tc>
        <w:tc>
          <w:tcPr>
            <w:tcW w:w="1755" w:type="dxa"/>
            <w:shd w:val="clear" w:color="auto" w:fill="9CC2E5" w:themeFill="accent1" w:themeFillTint="99"/>
            <w:noWrap/>
            <w:vAlign w:val="center"/>
            <w:hideMark/>
          </w:tcPr>
          <w:p w14:paraId="052EEF50" w14:textId="77777777" w:rsidR="00FE405D" w:rsidRPr="00342041" w:rsidRDefault="00FE405D" w:rsidP="00A06770">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85 lat i więcej</w:t>
            </w:r>
          </w:p>
        </w:tc>
        <w:tc>
          <w:tcPr>
            <w:tcW w:w="1222" w:type="dxa"/>
            <w:shd w:val="clear" w:color="auto" w:fill="auto"/>
            <w:noWrap/>
            <w:vAlign w:val="center"/>
            <w:hideMark/>
          </w:tcPr>
          <w:p w14:paraId="749F8FF9"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6,1</w:t>
            </w:r>
          </w:p>
        </w:tc>
        <w:tc>
          <w:tcPr>
            <w:tcW w:w="1417" w:type="dxa"/>
            <w:shd w:val="clear" w:color="auto" w:fill="auto"/>
            <w:noWrap/>
            <w:vAlign w:val="center"/>
            <w:hideMark/>
          </w:tcPr>
          <w:p w14:paraId="28634157"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w:t>
            </w:r>
          </w:p>
        </w:tc>
        <w:tc>
          <w:tcPr>
            <w:tcW w:w="1276" w:type="dxa"/>
            <w:shd w:val="clear" w:color="auto" w:fill="auto"/>
            <w:noWrap/>
            <w:vAlign w:val="center"/>
            <w:hideMark/>
          </w:tcPr>
          <w:p w14:paraId="02CE6014"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2,3</w:t>
            </w:r>
          </w:p>
        </w:tc>
        <w:tc>
          <w:tcPr>
            <w:tcW w:w="1418" w:type="dxa"/>
            <w:shd w:val="clear" w:color="auto" w:fill="auto"/>
            <w:noWrap/>
            <w:vAlign w:val="center"/>
            <w:hideMark/>
          </w:tcPr>
          <w:p w14:paraId="42489EF4"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2,0</w:t>
            </w:r>
          </w:p>
        </w:tc>
        <w:tc>
          <w:tcPr>
            <w:tcW w:w="1417" w:type="dxa"/>
            <w:shd w:val="clear" w:color="auto" w:fill="auto"/>
            <w:noWrap/>
            <w:vAlign w:val="center"/>
            <w:hideMark/>
          </w:tcPr>
          <w:p w14:paraId="7706DF9D" w14:textId="77777777" w:rsidR="00FE405D" w:rsidRPr="00342041" w:rsidRDefault="00FE405D"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4,1</w:t>
            </w:r>
          </w:p>
        </w:tc>
      </w:tr>
    </w:tbl>
    <w:p w14:paraId="4BE012BC" w14:textId="77777777" w:rsidR="00CD046D" w:rsidRPr="00CD046D" w:rsidRDefault="00CD046D" w:rsidP="00CD046D">
      <w:pPr>
        <w:spacing w:after="0"/>
        <w:rPr>
          <w:rFonts w:ascii="Times New Roman" w:hAnsi="Times New Roman" w:cs="Times New Roman"/>
          <w:b/>
        </w:rPr>
      </w:pPr>
      <w:r w:rsidRPr="00CD046D">
        <w:rPr>
          <w:rFonts w:ascii="Times New Roman" w:hAnsi="Times New Roman" w:cs="Times New Roman"/>
          <w:b/>
        </w:rPr>
        <w:t>Stan w dniu 31 XII</w:t>
      </w:r>
    </w:p>
    <w:p w14:paraId="6E3B8B43" w14:textId="77777777" w:rsidR="00BA673F" w:rsidRPr="00CD046D" w:rsidRDefault="00A56118" w:rsidP="003C1988">
      <w:pPr>
        <w:rPr>
          <w:rFonts w:ascii="Times New Roman" w:hAnsi="Times New Roman" w:cs="Times New Roman"/>
          <w:b/>
        </w:rPr>
      </w:pPr>
      <w:r w:rsidRPr="00CD046D">
        <w:rPr>
          <w:rFonts w:ascii="Times New Roman" w:hAnsi="Times New Roman" w:cs="Times New Roman"/>
          <w:b/>
        </w:rPr>
        <w:t>Źródło:  Prognozy GUS</w:t>
      </w:r>
    </w:p>
    <w:p w14:paraId="7D5A88CA" w14:textId="77777777" w:rsidR="00E41B95" w:rsidRPr="000F6546" w:rsidRDefault="00E41B95" w:rsidP="00E41B95">
      <w:pPr>
        <w:pStyle w:val="Default"/>
        <w:spacing w:line="276" w:lineRule="auto"/>
        <w:jc w:val="both"/>
        <w:rPr>
          <w:rFonts w:ascii="Times New Roman" w:hAnsi="Times New Roman" w:cs="Times New Roman"/>
          <w:color w:val="70AD47" w:themeColor="accent6"/>
        </w:rPr>
      </w:pPr>
      <w:r w:rsidRPr="009437C3">
        <w:rPr>
          <w:rFonts w:ascii="Times New Roman" w:hAnsi="Times New Roman" w:cs="Times New Roman"/>
          <w:color w:val="000000" w:themeColor="text1"/>
        </w:rPr>
        <w:t>W populacji osób w starszym wieku większość stanowią kobiety (58,1%)</w:t>
      </w:r>
      <w:r>
        <w:rPr>
          <w:rFonts w:ascii="Times New Roman" w:hAnsi="Times New Roman" w:cs="Times New Roman"/>
          <w:color w:val="000000" w:themeColor="text1"/>
        </w:rPr>
        <w:t>.</w:t>
      </w:r>
      <w:r w:rsidRPr="009437C3">
        <w:rPr>
          <w:rFonts w:ascii="Times New Roman" w:hAnsi="Times New Roman" w:cs="Times New Roman"/>
          <w:color w:val="000000" w:themeColor="text1"/>
        </w:rPr>
        <w:t xml:space="preserve"> </w:t>
      </w:r>
      <w:r>
        <w:rPr>
          <w:rFonts w:ascii="Times New Roman" w:hAnsi="Times New Roman" w:cs="Times New Roman"/>
          <w:color w:val="000000" w:themeColor="text1"/>
        </w:rPr>
        <w:t>N</w:t>
      </w:r>
      <w:r w:rsidRPr="009437C3">
        <w:rPr>
          <w:rFonts w:ascii="Times New Roman" w:hAnsi="Times New Roman" w:cs="Times New Roman"/>
          <w:color w:val="000000" w:themeColor="text1"/>
        </w:rPr>
        <w:t xml:space="preserve">a 100 mężczyzn przypada ich 139 (dla ludności Polski wskaźnik feminizacji wynosi 107). </w:t>
      </w:r>
      <w:r w:rsidRPr="00C60C16">
        <w:rPr>
          <w:rFonts w:ascii="Times New Roman" w:hAnsi="Times New Roman" w:cs="Times New Roman"/>
          <w:color w:val="000000" w:themeColor="text1"/>
        </w:rPr>
        <w:t xml:space="preserve">Rosnący wraz z wiekiem udział kobiet w populacji jest konsekwencją </w:t>
      </w:r>
      <w:r>
        <w:rPr>
          <w:rFonts w:ascii="Times New Roman" w:hAnsi="Times New Roman" w:cs="Times New Roman"/>
          <w:color w:val="000000" w:themeColor="text1"/>
        </w:rPr>
        <w:t>dłuższego przeciętnego życia kobiet oraz nadumieralności mężczyzn. K</w:t>
      </w:r>
      <w:r w:rsidRPr="00C60C16">
        <w:rPr>
          <w:rFonts w:ascii="Times New Roman" w:hAnsi="Times New Roman" w:cs="Times New Roman"/>
          <w:color w:val="000000" w:themeColor="text1"/>
        </w:rPr>
        <w:t xml:space="preserve">obiety osiągające wiek 60 lat mają przed sobą </w:t>
      </w:r>
      <w:r>
        <w:rPr>
          <w:rFonts w:ascii="Times New Roman" w:hAnsi="Times New Roman" w:cs="Times New Roman"/>
          <w:color w:val="000000" w:themeColor="text1"/>
        </w:rPr>
        <w:t>blisko</w:t>
      </w:r>
      <w:r w:rsidRPr="00C60C16">
        <w:rPr>
          <w:rFonts w:ascii="Times New Roman" w:hAnsi="Times New Roman" w:cs="Times New Roman"/>
          <w:color w:val="000000" w:themeColor="text1"/>
        </w:rPr>
        <w:t xml:space="preserve"> 5 lat więcej </w:t>
      </w:r>
      <w:r w:rsidRPr="00C60C16">
        <w:rPr>
          <w:rFonts w:ascii="Times New Roman" w:hAnsi="Times New Roman" w:cs="Times New Roman"/>
          <w:color w:val="000000" w:themeColor="text1"/>
        </w:rPr>
        <w:lastRenderedPageBreak/>
        <w:t xml:space="preserve">dalszego trwania życia niż mężczyźni. Przewaga liczebna kobiet wzrasta wraz z przechodzeniem do kolejnych grup wieku, np. w grupie 60-64 lata kobiety stanowią 53% zbiorowości </w:t>
      </w:r>
      <w:r w:rsidR="00E704D2">
        <w:rPr>
          <w:rFonts w:ascii="Times New Roman" w:hAnsi="Times New Roman" w:cs="Times New Roman"/>
          <w:color w:val="000000" w:themeColor="text1"/>
        </w:rPr>
        <w:br/>
      </w:r>
      <w:r w:rsidRPr="00C60C16">
        <w:rPr>
          <w:rFonts w:ascii="Times New Roman" w:hAnsi="Times New Roman" w:cs="Times New Roman"/>
          <w:color w:val="000000" w:themeColor="text1"/>
        </w:rPr>
        <w:t xml:space="preserve">i współczynnik feminizacji wynosi 113, a wśród osób co najmniej 85-letnich już niemal 72% </w:t>
      </w:r>
      <w:r w:rsidR="00E704D2">
        <w:rPr>
          <w:rFonts w:ascii="Times New Roman" w:hAnsi="Times New Roman" w:cs="Times New Roman"/>
          <w:color w:val="000000" w:themeColor="text1"/>
        </w:rPr>
        <w:br/>
      </w:r>
      <w:r w:rsidRPr="00C60C16">
        <w:rPr>
          <w:rFonts w:ascii="Times New Roman" w:hAnsi="Times New Roman" w:cs="Times New Roman"/>
          <w:color w:val="000000" w:themeColor="text1"/>
        </w:rPr>
        <w:t xml:space="preserve">to kobiety, a na 100 mężczyzn przypada ich 255. </w:t>
      </w:r>
      <w:r>
        <w:rPr>
          <w:rFonts w:ascii="Times New Roman" w:hAnsi="Times New Roman" w:cs="Times New Roman"/>
          <w:color w:val="000000" w:themeColor="text1"/>
        </w:rPr>
        <w:t xml:space="preserve">Poziom zróżnicowania międzypłciowego zależy od miejsca zamieszkania. W miastach współczynnik feminizacji w grupie osób w wieku senioralnym wyniósł w 2019 roku 146, natomiast na </w:t>
      </w:r>
      <w:r w:rsidRPr="0032124D">
        <w:rPr>
          <w:rFonts w:ascii="Times New Roman" w:hAnsi="Times New Roman" w:cs="Times New Roman"/>
          <w:color w:val="000000" w:themeColor="text1"/>
        </w:rPr>
        <w:t>wsi</w:t>
      </w:r>
      <w:r>
        <w:rPr>
          <w:rFonts w:ascii="Times New Roman" w:hAnsi="Times New Roman" w:cs="Times New Roman"/>
          <w:color w:val="000000" w:themeColor="text1"/>
        </w:rPr>
        <w:t xml:space="preserve"> -</w:t>
      </w:r>
      <w:r w:rsidRPr="0032124D">
        <w:rPr>
          <w:rFonts w:ascii="Times New Roman" w:hAnsi="Times New Roman" w:cs="Times New Roman"/>
          <w:color w:val="000000" w:themeColor="text1"/>
        </w:rPr>
        <w:t xml:space="preserve"> 126. Jedynie w najstarszej grupie wieku, tj. osób w wieku 85 lat i więcej współczynnik feminizacji na wsi był wyższy niż w mieście </w:t>
      </w:r>
      <w:r w:rsidR="00E704D2">
        <w:rPr>
          <w:rFonts w:ascii="Times New Roman" w:hAnsi="Times New Roman" w:cs="Times New Roman"/>
          <w:color w:val="000000" w:themeColor="text1"/>
        </w:rPr>
        <w:br/>
      </w:r>
      <w:r w:rsidRPr="0032124D">
        <w:rPr>
          <w:rFonts w:ascii="Times New Roman" w:hAnsi="Times New Roman" w:cs="Times New Roman"/>
          <w:color w:val="000000" w:themeColor="text1"/>
        </w:rPr>
        <w:t>i wyniósł odpowiednio</w:t>
      </w:r>
      <w:r>
        <w:rPr>
          <w:rFonts w:ascii="Times New Roman" w:hAnsi="Times New Roman" w:cs="Times New Roman"/>
          <w:color w:val="000000" w:themeColor="text1"/>
        </w:rPr>
        <w:t xml:space="preserve"> 272 i  246. </w:t>
      </w:r>
      <w:r w:rsidRPr="0032124D">
        <w:rPr>
          <w:rFonts w:ascii="Times New Roman" w:hAnsi="Times New Roman" w:cs="Times New Roman"/>
          <w:color w:val="000000" w:themeColor="text1"/>
        </w:rPr>
        <w:t xml:space="preserve"> </w:t>
      </w:r>
    </w:p>
    <w:p w14:paraId="153EAC8A" w14:textId="77777777" w:rsidR="00E41B95" w:rsidRDefault="00E41B95" w:rsidP="00E41B95">
      <w:pPr>
        <w:pStyle w:val="Default"/>
        <w:spacing w:line="276" w:lineRule="auto"/>
        <w:jc w:val="both"/>
        <w:rPr>
          <w:rFonts w:ascii="Times New Roman" w:hAnsi="Times New Roman" w:cs="Times New Roman"/>
          <w:color w:val="000000" w:themeColor="text1"/>
        </w:rPr>
      </w:pPr>
    </w:p>
    <w:p w14:paraId="206DE70D" w14:textId="77777777" w:rsidR="00A9161D" w:rsidRDefault="00E41B95" w:rsidP="00684941">
      <w:pPr>
        <w:pStyle w:val="Default"/>
        <w:spacing w:line="276" w:lineRule="auto"/>
        <w:jc w:val="both"/>
        <w:rPr>
          <w:rFonts w:ascii="Times New Roman" w:hAnsi="Times New Roman" w:cs="Times New Roman"/>
          <w:color w:val="000000" w:themeColor="text1"/>
        </w:rPr>
      </w:pPr>
      <w:r w:rsidRPr="0032124D">
        <w:rPr>
          <w:rFonts w:ascii="Times New Roman" w:hAnsi="Times New Roman" w:cs="Times New Roman"/>
          <w:color w:val="000000" w:themeColor="text1"/>
        </w:rPr>
        <w:t>W miastach ludność w starszym wieku stanowi prawie 27,4% populacji</w:t>
      </w:r>
      <w:r>
        <w:rPr>
          <w:rFonts w:ascii="Times New Roman" w:hAnsi="Times New Roman" w:cs="Times New Roman"/>
          <w:color w:val="000000" w:themeColor="text1"/>
        </w:rPr>
        <w:t>,</w:t>
      </w:r>
      <w:r w:rsidRPr="0032124D">
        <w:rPr>
          <w:rFonts w:ascii="Times New Roman" w:hAnsi="Times New Roman" w:cs="Times New Roman"/>
          <w:color w:val="000000" w:themeColor="text1"/>
        </w:rPr>
        <w:t xml:space="preserve"> na terenach wiejskich udzia</w:t>
      </w:r>
      <w:r>
        <w:rPr>
          <w:rFonts w:ascii="Times New Roman" w:hAnsi="Times New Roman" w:cs="Times New Roman"/>
          <w:color w:val="000000" w:themeColor="text1"/>
        </w:rPr>
        <w:t>ł ten jest niższy i wynosi 22,0</w:t>
      </w:r>
      <w:r w:rsidRPr="0032124D">
        <w:rPr>
          <w:rFonts w:ascii="Times New Roman" w:hAnsi="Times New Roman" w:cs="Times New Roman"/>
          <w:color w:val="000000" w:themeColor="text1"/>
        </w:rPr>
        <w:t xml:space="preserve">% mieszkańców wsi. </w:t>
      </w:r>
    </w:p>
    <w:p w14:paraId="3345AB0D" w14:textId="77777777" w:rsidR="00684941" w:rsidRPr="00684941" w:rsidRDefault="00684941" w:rsidP="00684941">
      <w:pPr>
        <w:pStyle w:val="Default"/>
        <w:spacing w:line="276" w:lineRule="auto"/>
        <w:jc w:val="both"/>
        <w:rPr>
          <w:rFonts w:ascii="Times New Roman" w:hAnsi="Times New Roman" w:cs="Times New Roman"/>
          <w:color w:val="000000" w:themeColor="text1"/>
        </w:rPr>
      </w:pPr>
    </w:p>
    <w:p w14:paraId="12BFD696" w14:textId="5AABEDD9" w:rsidR="00A9161D" w:rsidRPr="00A9161D" w:rsidRDefault="00A9161D" w:rsidP="00A9161D">
      <w:pPr>
        <w:pStyle w:val="Legenda"/>
        <w:keepNext/>
        <w:rPr>
          <w:rFonts w:ascii="Times New Roman" w:hAnsi="Times New Roman" w:cs="Times New Roman"/>
          <w:b/>
          <w:i w:val="0"/>
          <w:sz w:val="24"/>
        </w:rPr>
      </w:pPr>
      <w:bookmarkStart w:id="7" w:name="_Toc49171379"/>
      <w:r w:rsidRPr="00A9161D">
        <w:rPr>
          <w:rFonts w:ascii="Times New Roman" w:hAnsi="Times New Roman" w:cs="Times New Roman"/>
          <w:b/>
          <w:i w:val="0"/>
          <w:sz w:val="24"/>
        </w:rPr>
        <w:t xml:space="preserve">Tabela </w:t>
      </w:r>
      <w:r w:rsidRPr="00A9161D">
        <w:rPr>
          <w:rFonts w:ascii="Times New Roman" w:hAnsi="Times New Roman" w:cs="Times New Roman"/>
          <w:b/>
          <w:i w:val="0"/>
          <w:sz w:val="24"/>
        </w:rPr>
        <w:fldChar w:fldCharType="begin"/>
      </w:r>
      <w:r w:rsidRPr="00A9161D">
        <w:rPr>
          <w:rFonts w:ascii="Times New Roman" w:hAnsi="Times New Roman" w:cs="Times New Roman"/>
          <w:b/>
          <w:i w:val="0"/>
          <w:sz w:val="24"/>
        </w:rPr>
        <w:instrText xml:space="preserve"> SEQ Tabela \* ARABIC </w:instrText>
      </w:r>
      <w:r w:rsidRPr="00A9161D">
        <w:rPr>
          <w:rFonts w:ascii="Times New Roman" w:hAnsi="Times New Roman" w:cs="Times New Roman"/>
          <w:b/>
          <w:i w:val="0"/>
          <w:sz w:val="24"/>
        </w:rPr>
        <w:fldChar w:fldCharType="separate"/>
      </w:r>
      <w:r w:rsidR="00C154C9">
        <w:rPr>
          <w:rFonts w:ascii="Times New Roman" w:hAnsi="Times New Roman" w:cs="Times New Roman"/>
          <w:b/>
          <w:i w:val="0"/>
          <w:noProof/>
          <w:sz w:val="24"/>
        </w:rPr>
        <w:t>4</w:t>
      </w:r>
      <w:r w:rsidRPr="00A9161D">
        <w:rPr>
          <w:rFonts w:ascii="Times New Roman" w:hAnsi="Times New Roman" w:cs="Times New Roman"/>
          <w:b/>
          <w:i w:val="0"/>
          <w:sz w:val="24"/>
        </w:rPr>
        <w:fldChar w:fldCharType="end"/>
      </w:r>
      <w:r w:rsidRPr="00A9161D">
        <w:rPr>
          <w:rFonts w:ascii="Times New Roman" w:hAnsi="Times New Roman" w:cs="Times New Roman"/>
          <w:b/>
          <w:i w:val="0"/>
          <w:sz w:val="24"/>
        </w:rPr>
        <w:t xml:space="preserve"> Współczynnik feminizacji w 2019 r.</w:t>
      </w:r>
      <w:bookmarkEnd w:id="7"/>
    </w:p>
    <w:tbl>
      <w:tblPr>
        <w:tblW w:w="9356" w:type="dxa"/>
        <w:tblInd w:w="-1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CellMar>
          <w:left w:w="70" w:type="dxa"/>
          <w:right w:w="70" w:type="dxa"/>
        </w:tblCellMar>
        <w:tblLook w:val="04A0" w:firstRow="1" w:lastRow="0" w:firstColumn="1" w:lastColumn="0" w:noHBand="0" w:noVBand="1"/>
      </w:tblPr>
      <w:tblGrid>
        <w:gridCol w:w="3544"/>
        <w:gridCol w:w="1937"/>
        <w:gridCol w:w="1937"/>
        <w:gridCol w:w="1938"/>
      </w:tblGrid>
      <w:tr w:rsidR="00D20E72" w:rsidRPr="00342041" w14:paraId="4A8137A4" w14:textId="77777777" w:rsidTr="00A06770">
        <w:trPr>
          <w:trHeight w:val="491"/>
        </w:trPr>
        <w:tc>
          <w:tcPr>
            <w:tcW w:w="3544" w:type="dxa"/>
            <w:vMerge w:val="restart"/>
            <w:shd w:val="clear" w:color="auto" w:fill="9CC2E5" w:themeFill="accent1" w:themeFillTint="99"/>
            <w:vAlign w:val="center"/>
            <w:hideMark/>
          </w:tcPr>
          <w:p w14:paraId="6497E932" w14:textId="77777777" w:rsidR="00E1300F" w:rsidRPr="00342041" w:rsidRDefault="00D20E72"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Grupy wieku</w:t>
            </w:r>
          </w:p>
          <w:p w14:paraId="32D9FF8D" w14:textId="77777777" w:rsidR="00E1300F" w:rsidRPr="00342041" w:rsidRDefault="00E1300F" w:rsidP="00A06770">
            <w:pPr>
              <w:spacing w:line="240" w:lineRule="auto"/>
              <w:jc w:val="center"/>
              <w:rPr>
                <w:rFonts w:ascii="Times New Roman" w:eastAsia="Times New Roman" w:hAnsi="Times New Roman" w:cs="Times New Roman"/>
                <w:b/>
                <w:sz w:val="20"/>
                <w:szCs w:val="20"/>
                <w:lang w:eastAsia="pl-PL"/>
              </w:rPr>
            </w:pPr>
          </w:p>
          <w:p w14:paraId="702D9CA3" w14:textId="77777777" w:rsidR="00D20E72" w:rsidRPr="00342041" w:rsidRDefault="00D20E72" w:rsidP="00A06770">
            <w:pPr>
              <w:spacing w:line="240" w:lineRule="auto"/>
              <w:jc w:val="center"/>
              <w:rPr>
                <w:rFonts w:ascii="Times New Roman" w:eastAsia="Times New Roman" w:hAnsi="Times New Roman" w:cs="Times New Roman"/>
                <w:b/>
                <w:sz w:val="20"/>
                <w:szCs w:val="20"/>
                <w:lang w:eastAsia="pl-PL"/>
              </w:rPr>
            </w:pPr>
          </w:p>
        </w:tc>
        <w:tc>
          <w:tcPr>
            <w:tcW w:w="1937" w:type="dxa"/>
            <w:vMerge w:val="restart"/>
            <w:shd w:val="clear" w:color="auto" w:fill="9CC2E5" w:themeFill="accent1" w:themeFillTint="99"/>
            <w:noWrap/>
            <w:vAlign w:val="center"/>
            <w:hideMark/>
          </w:tcPr>
          <w:p w14:paraId="20DEFFF2" w14:textId="77777777" w:rsidR="00D20E72" w:rsidRPr="00342041" w:rsidRDefault="00D20E72"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937" w:type="dxa"/>
            <w:vMerge w:val="restart"/>
            <w:shd w:val="clear" w:color="auto" w:fill="9CC2E5" w:themeFill="accent1" w:themeFillTint="99"/>
            <w:noWrap/>
            <w:vAlign w:val="center"/>
            <w:hideMark/>
          </w:tcPr>
          <w:p w14:paraId="260D9B97" w14:textId="77777777" w:rsidR="00D20E72" w:rsidRPr="00342041" w:rsidRDefault="00D20E72"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1938" w:type="dxa"/>
            <w:vMerge w:val="restart"/>
            <w:shd w:val="clear" w:color="auto" w:fill="9CC2E5" w:themeFill="accent1" w:themeFillTint="99"/>
            <w:noWrap/>
            <w:vAlign w:val="center"/>
            <w:hideMark/>
          </w:tcPr>
          <w:p w14:paraId="7316BDEE" w14:textId="77777777" w:rsidR="00D20E72" w:rsidRPr="00342041" w:rsidRDefault="00D20E72" w:rsidP="00A06770">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r>
      <w:tr w:rsidR="00D20E72" w:rsidRPr="00342041" w14:paraId="1951399F" w14:textId="77777777" w:rsidTr="00A06770">
        <w:trPr>
          <w:trHeight w:val="450"/>
        </w:trPr>
        <w:tc>
          <w:tcPr>
            <w:tcW w:w="3544" w:type="dxa"/>
            <w:vMerge/>
            <w:shd w:val="clear" w:color="auto" w:fill="9CC2E5" w:themeFill="accent1" w:themeFillTint="99"/>
            <w:vAlign w:val="center"/>
            <w:hideMark/>
          </w:tcPr>
          <w:p w14:paraId="5A4062DF" w14:textId="77777777" w:rsidR="00D20E72" w:rsidRPr="00342041" w:rsidRDefault="00D20E72" w:rsidP="00A06770">
            <w:pPr>
              <w:spacing w:after="0" w:line="240" w:lineRule="auto"/>
              <w:rPr>
                <w:rFonts w:ascii="Times New Roman" w:eastAsia="Times New Roman" w:hAnsi="Times New Roman" w:cs="Times New Roman"/>
                <w:sz w:val="20"/>
                <w:szCs w:val="20"/>
                <w:lang w:eastAsia="pl-PL"/>
              </w:rPr>
            </w:pPr>
          </w:p>
        </w:tc>
        <w:tc>
          <w:tcPr>
            <w:tcW w:w="1937" w:type="dxa"/>
            <w:vMerge/>
            <w:shd w:val="clear" w:color="auto" w:fill="9CC2E5" w:themeFill="accent1" w:themeFillTint="99"/>
            <w:vAlign w:val="center"/>
            <w:hideMark/>
          </w:tcPr>
          <w:p w14:paraId="731DEC1C" w14:textId="77777777" w:rsidR="00D20E72" w:rsidRPr="00342041" w:rsidRDefault="00D20E72" w:rsidP="00A06770">
            <w:pPr>
              <w:spacing w:after="0" w:line="240" w:lineRule="auto"/>
              <w:rPr>
                <w:rFonts w:ascii="Times New Roman" w:eastAsia="Times New Roman" w:hAnsi="Times New Roman" w:cs="Times New Roman"/>
                <w:sz w:val="20"/>
                <w:szCs w:val="20"/>
                <w:lang w:eastAsia="pl-PL"/>
              </w:rPr>
            </w:pPr>
          </w:p>
        </w:tc>
        <w:tc>
          <w:tcPr>
            <w:tcW w:w="1937" w:type="dxa"/>
            <w:vMerge/>
            <w:shd w:val="clear" w:color="auto" w:fill="9CC2E5" w:themeFill="accent1" w:themeFillTint="99"/>
            <w:vAlign w:val="center"/>
            <w:hideMark/>
          </w:tcPr>
          <w:p w14:paraId="5DF7EBFA" w14:textId="77777777" w:rsidR="00D20E72" w:rsidRPr="00342041" w:rsidRDefault="00D20E72" w:rsidP="00A06770">
            <w:pPr>
              <w:spacing w:after="0" w:line="240" w:lineRule="auto"/>
              <w:rPr>
                <w:rFonts w:ascii="Times New Roman" w:eastAsia="Times New Roman" w:hAnsi="Times New Roman" w:cs="Times New Roman"/>
                <w:sz w:val="20"/>
                <w:szCs w:val="20"/>
                <w:lang w:eastAsia="pl-PL"/>
              </w:rPr>
            </w:pPr>
          </w:p>
        </w:tc>
        <w:tc>
          <w:tcPr>
            <w:tcW w:w="1938" w:type="dxa"/>
            <w:vMerge/>
            <w:shd w:val="clear" w:color="auto" w:fill="9CC2E5" w:themeFill="accent1" w:themeFillTint="99"/>
            <w:vAlign w:val="center"/>
            <w:hideMark/>
          </w:tcPr>
          <w:p w14:paraId="0B24AEC4" w14:textId="77777777" w:rsidR="00D20E72" w:rsidRPr="00342041" w:rsidRDefault="00D20E72" w:rsidP="00A06770">
            <w:pPr>
              <w:spacing w:after="0" w:line="240" w:lineRule="auto"/>
              <w:rPr>
                <w:rFonts w:ascii="Times New Roman" w:eastAsia="Times New Roman" w:hAnsi="Times New Roman" w:cs="Times New Roman"/>
                <w:sz w:val="20"/>
                <w:szCs w:val="20"/>
                <w:lang w:eastAsia="pl-PL"/>
              </w:rPr>
            </w:pPr>
          </w:p>
        </w:tc>
      </w:tr>
      <w:tr w:rsidR="00D20E72" w:rsidRPr="00342041" w14:paraId="3AF57DE6" w14:textId="77777777" w:rsidTr="00A06770">
        <w:trPr>
          <w:trHeight w:val="301"/>
        </w:trPr>
        <w:tc>
          <w:tcPr>
            <w:tcW w:w="3544" w:type="dxa"/>
            <w:shd w:val="clear" w:color="auto" w:fill="9CC2E5" w:themeFill="accent1" w:themeFillTint="99"/>
            <w:noWrap/>
            <w:vAlign w:val="center"/>
            <w:hideMark/>
          </w:tcPr>
          <w:p w14:paraId="5C1C46E0" w14:textId="77777777" w:rsidR="00D20E72" w:rsidRPr="00342041" w:rsidRDefault="00D20E72" w:rsidP="00A06770">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937" w:type="dxa"/>
            <w:shd w:val="clear" w:color="auto" w:fill="auto"/>
            <w:noWrap/>
            <w:vAlign w:val="center"/>
            <w:hideMark/>
          </w:tcPr>
          <w:p w14:paraId="43D7EF78"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107</w:t>
            </w:r>
          </w:p>
        </w:tc>
        <w:tc>
          <w:tcPr>
            <w:tcW w:w="1937" w:type="dxa"/>
            <w:shd w:val="clear" w:color="auto" w:fill="auto"/>
            <w:noWrap/>
            <w:vAlign w:val="center"/>
            <w:hideMark/>
          </w:tcPr>
          <w:p w14:paraId="4E0A9E3E"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111</w:t>
            </w:r>
          </w:p>
        </w:tc>
        <w:tc>
          <w:tcPr>
            <w:tcW w:w="1938" w:type="dxa"/>
            <w:shd w:val="clear" w:color="auto" w:fill="auto"/>
            <w:noWrap/>
            <w:vAlign w:val="center"/>
            <w:hideMark/>
          </w:tcPr>
          <w:p w14:paraId="08658D97" w14:textId="77777777" w:rsidR="00D20E72" w:rsidRPr="00342041" w:rsidRDefault="00D20E72" w:rsidP="00A06770">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101</w:t>
            </w:r>
          </w:p>
        </w:tc>
      </w:tr>
      <w:tr w:rsidR="00D20E72" w:rsidRPr="00342041" w14:paraId="173CCBDD" w14:textId="77777777" w:rsidTr="00A06770">
        <w:trPr>
          <w:trHeight w:val="301"/>
        </w:trPr>
        <w:tc>
          <w:tcPr>
            <w:tcW w:w="3544" w:type="dxa"/>
            <w:shd w:val="clear" w:color="auto" w:fill="9CC2E5" w:themeFill="accent1" w:themeFillTint="99"/>
            <w:noWrap/>
            <w:vAlign w:val="center"/>
            <w:hideMark/>
          </w:tcPr>
          <w:p w14:paraId="76EBA230" w14:textId="77777777" w:rsidR="00D20E72" w:rsidRPr="00342041" w:rsidRDefault="00D20E72" w:rsidP="00A06770">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 xml:space="preserve">w tym 60 lat i więcej </w:t>
            </w:r>
          </w:p>
        </w:tc>
        <w:tc>
          <w:tcPr>
            <w:tcW w:w="1937" w:type="dxa"/>
            <w:shd w:val="clear" w:color="auto" w:fill="auto"/>
            <w:noWrap/>
            <w:vAlign w:val="center"/>
            <w:hideMark/>
          </w:tcPr>
          <w:p w14:paraId="48BA1023"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139</w:t>
            </w:r>
          </w:p>
        </w:tc>
        <w:tc>
          <w:tcPr>
            <w:tcW w:w="1937" w:type="dxa"/>
            <w:shd w:val="clear" w:color="auto" w:fill="auto"/>
            <w:noWrap/>
            <w:vAlign w:val="center"/>
            <w:hideMark/>
          </w:tcPr>
          <w:p w14:paraId="2509DC91"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146</w:t>
            </w:r>
          </w:p>
        </w:tc>
        <w:tc>
          <w:tcPr>
            <w:tcW w:w="1938" w:type="dxa"/>
            <w:shd w:val="clear" w:color="auto" w:fill="auto"/>
            <w:noWrap/>
            <w:vAlign w:val="center"/>
            <w:hideMark/>
          </w:tcPr>
          <w:p w14:paraId="065F75F4" w14:textId="77777777" w:rsidR="00D20E72" w:rsidRPr="00342041" w:rsidRDefault="00D20E72" w:rsidP="00A06770">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126</w:t>
            </w:r>
          </w:p>
        </w:tc>
      </w:tr>
      <w:tr w:rsidR="00D20E72" w:rsidRPr="00342041" w14:paraId="0DB7FF5C" w14:textId="77777777" w:rsidTr="00A06770">
        <w:trPr>
          <w:trHeight w:val="301"/>
        </w:trPr>
        <w:tc>
          <w:tcPr>
            <w:tcW w:w="3544" w:type="dxa"/>
            <w:shd w:val="clear" w:color="auto" w:fill="9CC2E5" w:themeFill="accent1" w:themeFillTint="99"/>
            <w:noWrap/>
            <w:vAlign w:val="center"/>
            <w:hideMark/>
          </w:tcPr>
          <w:p w14:paraId="126595EF" w14:textId="77777777" w:rsidR="00D20E72" w:rsidRPr="00342041" w:rsidRDefault="00D20E72" w:rsidP="00A06770">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60-64 lata</w:t>
            </w:r>
          </w:p>
        </w:tc>
        <w:tc>
          <w:tcPr>
            <w:tcW w:w="1937" w:type="dxa"/>
            <w:shd w:val="clear" w:color="auto" w:fill="auto"/>
            <w:noWrap/>
            <w:vAlign w:val="center"/>
            <w:hideMark/>
          </w:tcPr>
          <w:p w14:paraId="5E35B196"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113</w:t>
            </w:r>
          </w:p>
        </w:tc>
        <w:tc>
          <w:tcPr>
            <w:tcW w:w="1937" w:type="dxa"/>
            <w:shd w:val="clear" w:color="auto" w:fill="auto"/>
            <w:noWrap/>
            <w:vAlign w:val="center"/>
            <w:hideMark/>
          </w:tcPr>
          <w:p w14:paraId="4CEAB76F"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123</w:t>
            </w:r>
          </w:p>
        </w:tc>
        <w:tc>
          <w:tcPr>
            <w:tcW w:w="1938" w:type="dxa"/>
            <w:shd w:val="clear" w:color="auto" w:fill="auto"/>
            <w:noWrap/>
            <w:vAlign w:val="center"/>
            <w:hideMark/>
          </w:tcPr>
          <w:p w14:paraId="638C0566" w14:textId="77777777" w:rsidR="00D20E72" w:rsidRPr="00342041" w:rsidRDefault="00D20E72" w:rsidP="00A06770">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w:t>
            </w:r>
          </w:p>
        </w:tc>
      </w:tr>
      <w:tr w:rsidR="00D20E72" w:rsidRPr="00342041" w14:paraId="5788E8B1" w14:textId="77777777" w:rsidTr="00A06770">
        <w:trPr>
          <w:trHeight w:val="301"/>
        </w:trPr>
        <w:tc>
          <w:tcPr>
            <w:tcW w:w="3544" w:type="dxa"/>
            <w:shd w:val="clear" w:color="auto" w:fill="9CC2E5" w:themeFill="accent1" w:themeFillTint="99"/>
            <w:noWrap/>
            <w:vAlign w:val="center"/>
            <w:hideMark/>
          </w:tcPr>
          <w:p w14:paraId="66CC3613" w14:textId="77777777" w:rsidR="00D20E72" w:rsidRPr="00342041" w:rsidRDefault="00D20E72" w:rsidP="00A06770">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65-69</w:t>
            </w:r>
          </w:p>
        </w:tc>
        <w:tc>
          <w:tcPr>
            <w:tcW w:w="1937" w:type="dxa"/>
            <w:shd w:val="clear" w:color="auto" w:fill="auto"/>
            <w:noWrap/>
            <w:vAlign w:val="center"/>
            <w:hideMark/>
          </w:tcPr>
          <w:p w14:paraId="434365F2"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123</w:t>
            </w:r>
          </w:p>
        </w:tc>
        <w:tc>
          <w:tcPr>
            <w:tcW w:w="1937" w:type="dxa"/>
            <w:shd w:val="clear" w:color="auto" w:fill="auto"/>
            <w:noWrap/>
            <w:vAlign w:val="center"/>
            <w:hideMark/>
          </w:tcPr>
          <w:p w14:paraId="0BAAD619"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133</w:t>
            </w:r>
          </w:p>
        </w:tc>
        <w:tc>
          <w:tcPr>
            <w:tcW w:w="1938" w:type="dxa"/>
            <w:shd w:val="clear" w:color="auto" w:fill="auto"/>
            <w:noWrap/>
            <w:vAlign w:val="center"/>
            <w:hideMark/>
          </w:tcPr>
          <w:p w14:paraId="33E4471D" w14:textId="77777777" w:rsidR="00D20E72" w:rsidRPr="00342041" w:rsidRDefault="00D20E72" w:rsidP="00A06770">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107</w:t>
            </w:r>
          </w:p>
        </w:tc>
      </w:tr>
      <w:tr w:rsidR="00D20E72" w:rsidRPr="00342041" w14:paraId="0A40E4B5" w14:textId="77777777" w:rsidTr="00A06770">
        <w:trPr>
          <w:trHeight w:val="301"/>
        </w:trPr>
        <w:tc>
          <w:tcPr>
            <w:tcW w:w="3544" w:type="dxa"/>
            <w:shd w:val="clear" w:color="auto" w:fill="9CC2E5" w:themeFill="accent1" w:themeFillTint="99"/>
            <w:noWrap/>
            <w:vAlign w:val="center"/>
            <w:hideMark/>
          </w:tcPr>
          <w:p w14:paraId="3A53C13E" w14:textId="77777777" w:rsidR="00D20E72" w:rsidRPr="00342041" w:rsidRDefault="00D20E72" w:rsidP="00A06770">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70-74</w:t>
            </w:r>
          </w:p>
        </w:tc>
        <w:tc>
          <w:tcPr>
            <w:tcW w:w="1937" w:type="dxa"/>
            <w:shd w:val="clear" w:color="auto" w:fill="auto"/>
            <w:noWrap/>
            <w:vAlign w:val="center"/>
            <w:hideMark/>
          </w:tcPr>
          <w:p w14:paraId="3A29336D"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137</w:t>
            </w:r>
          </w:p>
        </w:tc>
        <w:tc>
          <w:tcPr>
            <w:tcW w:w="1937" w:type="dxa"/>
            <w:shd w:val="clear" w:color="auto" w:fill="auto"/>
            <w:noWrap/>
            <w:vAlign w:val="center"/>
            <w:hideMark/>
          </w:tcPr>
          <w:p w14:paraId="59A6B683"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142</w:t>
            </w:r>
          </w:p>
        </w:tc>
        <w:tc>
          <w:tcPr>
            <w:tcW w:w="1938" w:type="dxa"/>
            <w:shd w:val="clear" w:color="auto" w:fill="auto"/>
            <w:noWrap/>
            <w:vAlign w:val="center"/>
            <w:hideMark/>
          </w:tcPr>
          <w:p w14:paraId="6BB4983A" w14:textId="77777777" w:rsidR="00D20E72" w:rsidRPr="00342041" w:rsidRDefault="00D20E72" w:rsidP="00A06770">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126</w:t>
            </w:r>
          </w:p>
        </w:tc>
      </w:tr>
      <w:tr w:rsidR="00D20E72" w:rsidRPr="00342041" w14:paraId="03CAC3E9" w14:textId="77777777" w:rsidTr="00A06770">
        <w:trPr>
          <w:trHeight w:val="301"/>
        </w:trPr>
        <w:tc>
          <w:tcPr>
            <w:tcW w:w="3544" w:type="dxa"/>
            <w:shd w:val="clear" w:color="auto" w:fill="9CC2E5" w:themeFill="accent1" w:themeFillTint="99"/>
            <w:noWrap/>
            <w:vAlign w:val="center"/>
            <w:hideMark/>
          </w:tcPr>
          <w:p w14:paraId="76929C23" w14:textId="77777777" w:rsidR="00D20E72" w:rsidRPr="00342041" w:rsidRDefault="00D20E72" w:rsidP="00A06770">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75-79</w:t>
            </w:r>
          </w:p>
        </w:tc>
        <w:tc>
          <w:tcPr>
            <w:tcW w:w="1937" w:type="dxa"/>
            <w:shd w:val="clear" w:color="auto" w:fill="auto"/>
            <w:noWrap/>
            <w:vAlign w:val="center"/>
            <w:hideMark/>
          </w:tcPr>
          <w:p w14:paraId="717CE73E"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161</w:t>
            </w:r>
          </w:p>
        </w:tc>
        <w:tc>
          <w:tcPr>
            <w:tcW w:w="1937" w:type="dxa"/>
            <w:shd w:val="clear" w:color="auto" w:fill="auto"/>
            <w:noWrap/>
            <w:vAlign w:val="center"/>
            <w:hideMark/>
          </w:tcPr>
          <w:p w14:paraId="5FC03187"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164</w:t>
            </w:r>
          </w:p>
        </w:tc>
        <w:tc>
          <w:tcPr>
            <w:tcW w:w="1938" w:type="dxa"/>
            <w:shd w:val="clear" w:color="auto" w:fill="auto"/>
            <w:noWrap/>
            <w:vAlign w:val="center"/>
            <w:hideMark/>
          </w:tcPr>
          <w:p w14:paraId="6B38F98F" w14:textId="77777777" w:rsidR="00D20E72" w:rsidRPr="00342041" w:rsidRDefault="00D20E72" w:rsidP="00A06770">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156</w:t>
            </w:r>
          </w:p>
        </w:tc>
      </w:tr>
      <w:tr w:rsidR="00D20E72" w:rsidRPr="00342041" w14:paraId="493196DD" w14:textId="77777777" w:rsidTr="00A06770">
        <w:trPr>
          <w:trHeight w:val="301"/>
        </w:trPr>
        <w:tc>
          <w:tcPr>
            <w:tcW w:w="3544" w:type="dxa"/>
            <w:shd w:val="clear" w:color="auto" w:fill="9CC2E5" w:themeFill="accent1" w:themeFillTint="99"/>
            <w:noWrap/>
            <w:vAlign w:val="center"/>
            <w:hideMark/>
          </w:tcPr>
          <w:p w14:paraId="14CA76EC" w14:textId="77777777" w:rsidR="00D20E72" w:rsidRPr="00342041" w:rsidRDefault="00D20E72" w:rsidP="00A06770">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80-84</w:t>
            </w:r>
          </w:p>
        </w:tc>
        <w:tc>
          <w:tcPr>
            <w:tcW w:w="1937" w:type="dxa"/>
            <w:shd w:val="clear" w:color="auto" w:fill="auto"/>
            <w:noWrap/>
            <w:vAlign w:val="center"/>
            <w:hideMark/>
          </w:tcPr>
          <w:p w14:paraId="3640F4D5"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195</w:t>
            </w:r>
          </w:p>
        </w:tc>
        <w:tc>
          <w:tcPr>
            <w:tcW w:w="1937" w:type="dxa"/>
            <w:shd w:val="clear" w:color="auto" w:fill="auto"/>
            <w:noWrap/>
            <w:vAlign w:val="center"/>
            <w:hideMark/>
          </w:tcPr>
          <w:p w14:paraId="74FD5296"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196</w:t>
            </w:r>
          </w:p>
        </w:tc>
        <w:tc>
          <w:tcPr>
            <w:tcW w:w="1938" w:type="dxa"/>
            <w:shd w:val="clear" w:color="auto" w:fill="auto"/>
            <w:noWrap/>
            <w:vAlign w:val="center"/>
            <w:hideMark/>
          </w:tcPr>
          <w:p w14:paraId="35564213" w14:textId="77777777" w:rsidR="00D20E72" w:rsidRPr="00342041" w:rsidRDefault="00D20E72" w:rsidP="00A06770">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193</w:t>
            </w:r>
          </w:p>
        </w:tc>
      </w:tr>
      <w:tr w:rsidR="00D20E72" w:rsidRPr="00342041" w14:paraId="2DB41839" w14:textId="77777777" w:rsidTr="00A06770">
        <w:trPr>
          <w:trHeight w:val="301"/>
        </w:trPr>
        <w:tc>
          <w:tcPr>
            <w:tcW w:w="3544" w:type="dxa"/>
            <w:shd w:val="clear" w:color="auto" w:fill="9CC2E5" w:themeFill="accent1" w:themeFillTint="99"/>
            <w:noWrap/>
            <w:vAlign w:val="center"/>
            <w:hideMark/>
          </w:tcPr>
          <w:p w14:paraId="0E756C76" w14:textId="77777777" w:rsidR="00D20E72" w:rsidRPr="00342041" w:rsidRDefault="00D20E72" w:rsidP="00A06770">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85 lat i więcej</w:t>
            </w:r>
          </w:p>
        </w:tc>
        <w:tc>
          <w:tcPr>
            <w:tcW w:w="1937" w:type="dxa"/>
            <w:shd w:val="clear" w:color="auto" w:fill="auto"/>
            <w:noWrap/>
            <w:vAlign w:val="center"/>
            <w:hideMark/>
          </w:tcPr>
          <w:p w14:paraId="49CEABFB"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255</w:t>
            </w:r>
          </w:p>
        </w:tc>
        <w:tc>
          <w:tcPr>
            <w:tcW w:w="1937" w:type="dxa"/>
            <w:shd w:val="clear" w:color="auto" w:fill="auto"/>
            <w:noWrap/>
            <w:vAlign w:val="center"/>
            <w:hideMark/>
          </w:tcPr>
          <w:p w14:paraId="18A8901B" w14:textId="77777777" w:rsidR="00D20E72" w:rsidRPr="00342041" w:rsidRDefault="00D20E72" w:rsidP="00A06770">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246</w:t>
            </w:r>
          </w:p>
        </w:tc>
        <w:tc>
          <w:tcPr>
            <w:tcW w:w="1938" w:type="dxa"/>
            <w:shd w:val="clear" w:color="auto" w:fill="auto"/>
            <w:noWrap/>
            <w:vAlign w:val="center"/>
            <w:hideMark/>
          </w:tcPr>
          <w:p w14:paraId="15AD2012" w14:textId="77777777" w:rsidR="00D20E72" w:rsidRPr="00342041" w:rsidRDefault="00D20E72" w:rsidP="00A06770">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272</w:t>
            </w:r>
          </w:p>
        </w:tc>
      </w:tr>
    </w:tbl>
    <w:p w14:paraId="711219B2" w14:textId="77777777" w:rsidR="00887A2B" w:rsidRPr="00A9161D" w:rsidRDefault="00887A2B" w:rsidP="003C1988">
      <w:pPr>
        <w:spacing w:after="0"/>
        <w:rPr>
          <w:rFonts w:ascii="Times New Roman" w:hAnsi="Times New Roman" w:cs="Times New Roman"/>
          <w:b/>
        </w:rPr>
      </w:pPr>
      <w:r w:rsidRPr="00A9161D">
        <w:rPr>
          <w:rFonts w:ascii="Times New Roman" w:hAnsi="Times New Roman" w:cs="Times New Roman"/>
          <w:b/>
        </w:rPr>
        <w:t xml:space="preserve">a Liczba kobiet na 100 mężczyzn (w dniu 31 XII) </w:t>
      </w:r>
    </w:p>
    <w:p w14:paraId="5E70BD72" w14:textId="77777777" w:rsidR="005A4229" w:rsidRPr="00A9161D" w:rsidRDefault="00887A2B" w:rsidP="005A4229">
      <w:pPr>
        <w:spacing w:after="0"/>
        <w:rPr>
          <w:rFonts w:ascii="Times New Roman" w:hAnsi="Times New Roman" w:cs="Times New Roman"/>
          <w:b/>
        </w:rPr>
      </w:pPr>
      <w:r w:rsidRPr="00A9161D">
        <w:rPr>
          <w:rFonts w:ascii="Times New Roman" w:hAnsi="Times New Roman" w:cs="Times New Roman"/>
          <w:b/>
        </w:rPr>
        <w:t>Źródło: Wyniki bieżących bilansów ludności, GUS</w:t>
      </w:r>
      <w:bookmarkStart w:id="8" w:name="_Toc23242524"/>
    </w:p>
    <w:p w14:paraId="26209AF4" w14:textId="77777777" w:rsidR="005A4229" w:rsidRDefault="005A4229" w:rsidP="005A4229">
      <w:pPr>
        <w:spacing w:after="0"/>
      </w:pPr>
    </w:p>
    <w:bookmarkEnd w:id="8"/>
    <w:p w14:paraId="4BE542A1" w14:textId="77777777" w:rsidR="00FD60D2" w:rsidRPr="00FD60D2" w:rsidRDefault="00FD60D2" w:rsidP="00FD60D2">
      <w:pPr>
        <w:autoSpaceDE w:val="0"/>
        <w:autoSpaceDN w:val="0"/>
        <w:adjustRightInd w:val="0"/>
        <w:spacing w:after="0"/>
        <w:jc w:val="both"/>
        <w:rPr>
          <w:rFonts w:ascii="Times New Roman" w:hAnsi="Times New Roman" w:cs="Times New Roman"/>
          <w:color w:val="0D0D0D" w:themeColor="text1" w:themeTint="F2"/>
          <w:sz w:val="24"/>
        </w:rPr>
      </w:pPr>
      <w:r w:rsidRPr="00FD60D2">
        <w:rPr>
          <w:rFonts w:ascii="Times New Roman" w:hAnsi="Times New Roman" w:cs="Times New Roman"/>
          <w:color w:val="0D0D0D" w:themeColor="text1" w:themeTint="F2"/>
          <w:sz w:val="24"/>
        </w:rPr>
        <w:t>W 2019 r. przeciętne dalsze trwanie życia noworodka płci męskiej wynosiło 74,1 lat, natomiast płci żeńskiej 81,8. Korzystne zmiany w dalszym przeciętnym trwaniu życia obserwowane są we wszystkich grupach wieku. W Polsce w 2019 r. mężczyzna w wieku 60 lat miał przed sobą jeszcze średnio ponad 19 lat życia, zaś kobieta w tym wieku ponad 24 lata. W 2019 r. przeciętne dalsze trwanie życia mężczyzn zamieszkałych w miastach wynosiło 74,5 roku tj. o ponad 1 rok dłużej niż mężczyzn na wsi, natomiast dalsze trwanie życia kobiet było niezależne od miejsce zamieszkania.</w:t>
      </w:r>
    </w:p>
    <w:p w14:paraId="3539F8F9" w14:textId="77777777" w:rsidR="005A4229" w:rsidRPr="009824C8" w:rsidRDefault="005A4229" w:rsidP="005A4229">
      <w:pPr>
        <w:spacing w:after="0"/>
        <w:jc w:val="both"/>
        <w:rPr>
          <w:rFonts w:ascii="Times New Roman" w:hAnsi="Times New Roman" w:cs="Times New Roman"/>
          <w:sz w:val="24"/>
          <w:szCs w:val="24"/>
        </w:rPr>
      </w:pPr>
    </w:p>
    <w:p w14:paraId="0C11442C" w14:textId="77777777" w:rsidR="00A51ADD" w:rsidRDefault="00A51ADD" w:rsidP="00A51ADD">
      <w:pPr>
        <w:spacing w:after="0"/>
        <w:jc w:val="both"/>
        <w:rPr>
          <w:rFonts w:ascii="Times New Roman" w:hAnsi="Times New Roman" w:cs="Times New Roman"/>
          <w:sz w:val="24"/>
          <w:szCs w:val="24"/>
        </w:rPr>
      </w:pPr>
      <w:r w:rsidRPr="009824C8">
        <w:rPr>
          <w:rFonts w:ascii="Times New Roman" w:hAnsi="Times New Roman" w:cs="Times New Roman"/>
          <w:sz w:val="24"/>
          <w:szCs w:val="24"/>
        </w:rPr>
        <w:t xml:space="preserve">Obok długości trwania życia, istotne znaczenie dla jakości życia ma trwanie życia </w:t>
      </w:r>
      <w:r>
        <w:rPr>
          <w:rFonts w:ascii="Times New Roman" w:hAnsi="Times New Roman" w:cs="Times New Roman"/>
          <w:sz w:val="24"/>
          <w:szCs w:val="24"/>
        </w:rPr>
        <w:br/>
      </w:r>
      <w:r w:rsidRPr="009824C8">
        <w:rPr>
          <w:rFonts w:ascii="Times New Roman" w:hAnsi="Times New Roman" w:cs="Times New Roman"/>
          <w:sz w:val="24"/>
          <w:szCs w:val="24"/>
        </w:rPr>
        <w:t xml:space="preserve">w zdrowiu (średnia liczba lat bez niepełnosprawności). Wyniki badań Eurostatu dotyczące </w:t>
      </w:r>
      <w:r>
        <w:rPr>
          <w:rFonts w:ascii="Times New Roman" w:hAnsi="Times New Roman" w:cs="Times New Roman"/>
          <w:sz w:val="24"/>
          <w:szCs w:val="24"/>
        </w:rPr>
        <w:br/>
      </w:r>
      <w:r w:rsidRPr="009824C8">
        <w:rPr>
          <w:rFonts w:ascii="Times New Roman" w:hAnsi="Times New Roman" w:cs="Times New Roman"/>
          <w:sz w:val="24"/>
          <w:szCs w:val="24"/>
        </w:rPr>
        <w:t>2017 r. wskazują, że w Polsce 65-letni mężczyzna m</w:t>
      </w:r>
      <w:r>
        <w:rPr>
          <w:rFonts w:ascii="Times New Roman" w:hAnsi="Times New Roman" w:cs="Times New Roman"/>
          <w:sz w:val="24"/>
          <w:szCs w:val="24"/>
        </w:rPr>
        <w:t>a przed sobą jeszcze około 15,8</w:t>
      </w:r>
      <w:r w:rsidRPr="009824C8">
        <w:rPr>
          <w:rFonts w:ascii="Times New Roman" w:hAnsi="Times New Roman" w:cs="Times New Roman"/>
          <w:sz w:val="24"/>
          <w:szCs w:val="24"/>
        </w:rPr>
        <w:t xml:space="preserve"> lata życia, </w:t>
      </w:r>
      <w:r w:rsidR="00414348">
        <w:rPr>
          <w:rFonts w:ascii="Times New Roman" w:hAnsi="Times New Roman" w:cs="Times New Roman"/>
          <w:sz w:val="24"/>
          <w:szCs w:val="24"/>
        </w:rPr>
        <w:br/>
      </w:r>
      <w:r w:rsidRPr="009824C8">
        <w:rPr>
          <w:rFonts w:ascii="Times New Roman" w:hAnsi="Times New Roman" w:cs="Times New Roman"/>
          <w:sz w:val="24"/>
          <w:szCs w:val="24"/>
        </w:rPr>
        <w:t>w tym 8,3  lat życia w zdrowiu, natomiast kobieta  8,6 lat w zdrow</w:t>
      </w:r>
      <w:r>
        <w:rPr>
          <w:rFonts w:ascii="Times New Roman" w:hAnsi="Times New Roman" w:cs="Times New Roman"/>
          <w:sz w:val="24"/>
          <w:szCs w:val="24"/>
        </w:rPr>
        <w:t xml:space="preserve">iu z pozostałych jej około </w:t>
      </w:r>
      <w:r>
        <w:rPr>
          <w:rFonts w:ascii="Times New Roman" w:hAnsi="Times New Roman" w:cs="Times New Roman"/>
          <w:sz w:val="24"/>
          <w:szCs w:val="24"/>
        </w:rPr>
        <w:br/>
        <w:t>20,1</w:t>
      </w:r>
      <w:r w:rsidRPr="009824C8">
        <w:rPr>
          <w:rFonts w:ascii="Times New Roman" w:hAnsi="Times New Roman" w:cs="Times New Roman"/>
          <w:sz w:val="24"/>
          <w:szCs w:val="24"/>
        </w:rPr>
        <w:t xml:space="preserve"> lat życia.</w:t>
      </w:r>
    </w:p>
    <w:p w14:paraId="0D710C0D" w14:textId="77777777" w:rsidR="00597726" w:rsidRPr="00597726" w:rsidRDefault="00597726" w:rsidP="003C1988"/>
    <w:p w14:paraId="44E80DD0" w14:textId="77777777" w:rsidR="00684941" w:rsidRPr="00A56113" w:rsidRDefault="00891D5D" w:rsidP="00A56113">
      <w:pPr>
        <w:pStyle w:val="Nagwek2"/>
        <w:numPr>
          <w:ilvl w:val="1"/>
          <w:numId w:val="383"/>
        </w:numPr>
        <w:spacing w:before="240" w:after="240"/>
        <w:ind w:left="432"/>
        <w:rPr>
          <w:rFonts w:cs="Times New Roman"/>
          <w:sz w:val="40"/>
        </w:rPr>
      </w:pPr>
      <w:bookmarkStart w:id="9" w:name="_Toc49171329"/>
      <w:r w:rsidRPr="00A56113">
        <w:rPr>
          <w:rFonts w:cs="Times New Roman"/>
          <w:sz w:val="40"/>
        </w:rPr>
        <w:lastRenderedPageBreak/>
        <w:t>Sytuacja ekonomiczna</w:t>
      </w:r>
      <w:bookmarkEnd w:id="9"/>
      <w:r w:rsidRPr="00A56113">
        <w:rPr>
          <w:rFonts w:cs="Times New Roman"/>
          <w:sz w:val="40"/>
        </w:rPr>
        <w:t xml:space="preserve"> </w:t>
      </w:r>
    </w:p>
    <w:p w14:paraId="1566BC28" w14:textId="77777777" w:rsidR="00684941" w:rsidRDefault="00684941" w:rsidP="00684941">
      <w:pPr>
        <w:spacing w:after="0"/>
        <w:jc w:val="both"/>
        <w:rPr>
          <w:rFonts w:ascii="Times New Roman" w:hAnsi="Times New Roman" w:cs="Times New Roman"/>
          <w:color w:val="0D0D0D" w:themeColor="text1" w:themeTint="F2"/>
          <w:spacing w:val="-2"/>
          <w:sz w:val="24"/>
          <w:szCs w:val="24"/>
        </w:rPr>
      </w:pPr>
      <w:r w:rsidRPr="00684941">
        <w:rPr>
          <w:rFonts w:ascii="Times New Roman" w:hAnsi="Times New Roman" w:cs="Times New Roman"/>
          <w:color w:val="0D0D0D" w:themeColor="text1" w:themeTint="F2"/>
          <w:spacing w:val="-2"/>
          <w:sz w:val="24"/>
          <w:szCs w:val="24"/>
        </w:rPr>
        <w:t>Zgodnie z wynikami reprezentacyjnego badania budżetów gospodarstw domowych przeciętny miesięczny dochód rozporządzalny na 1 osobę w gospodarstwach domowych wyłącznie z osobami starszymi w 2019 r. wyniósł 2108,93 zł i był o 14,6% wyższy niż w gospodarstwach, w skład których wchodziły wyłącznie osoby młodsze, mające poniżej 60 lat. W porównaniu do 2018</w:t>
      </w:r>
      <w:r>
        <w:rPr>
          <w:rFonts w:ascii="Times New Roman" w:hAnsi="Times New Roman" w:cs="Times New Roman"/>
          <w:color w:val="0D0D0D" w:themeColor="text1" w:themeTint="F2"/>
          <w:spacing w:val="-2"/>
          <w:sz w:val="24"/>
          <w:szCs w:val="24"/>
        </w:rPr>
        <w:t xml:space="preserve"> r.</w:t>
      </w:r>
      <w:r w:rsidRPr="00684941">
        <w:rPr>
          <w:rFonts w:ascii="Times New Roman" w:hAnsi="Times New Roman" w:cs="Times New Roman"/>
          <w:color w:val="0D0D0D" w:themeColor="text1" w:themeTint="F2"/>
          <w:spacing w:val="-2"/>
          <w:sz w:val="24"/>
          <w:szCs w:val="24"/>
        </w:rPr>
        <w:t xml:space="preserve"> nastąpił wzrost dochodów na 1 osobę w gospodarstwach domowych wyłącznie z osobami starszymi o 7,0%, podczas gdy w gospodarstwach wyłącznie z osobami w wieku poniżej 60 lat ten wzrost był nieco wyższy i wyniósł   7,9%.</w:t>
      </w:r>
    </w:p>
    <w:p w14:paraId="214D0AF9" w14:textId="77777777" w:rsidR="00684941" w:rsidRDefault="00684941" w:rsidP="00684941">
      <w:pPr>
        <w:spacing w:after="0"/>
        <w:jc w:val="both"/>
        <w:rPr>
          <w:rFonts w:ascii="Times New Roman" w:hAnsi="Times New Roman" w:cs="Times New Roman"/>
          <w:color w:val="0D0D0D" w:themeColor="text1" w:themeTint="F2"/>
          <w:spacing w:val="-2"/>
          <w:sz w:val="24"/>
          <w:szCs w:val="24"/>
        </w:rPr>
      </w:pPr>
    </w:p>
    <w:p w14:paraId="23AAAE07" w14:textId="720BEC17" w:rsidR="00684941" w:rsidRDefault="00684941" w:rsidP="00684941">
      <w:pPr>
        <w:spacing w:after="0"/>
        <w:jc w:val="both"/>
        <w:rPr>
          <w:rFonts w:ascii="Times New Roman" w:hAnsi="Times New Roman" w:cs="Times New Roman"/>
          <w:color w:val="0D0D0D" w:themeColor="text1" w:themeTint="F2"/>
          <w:sz w:val="24"/>
        </w:rPr>
      </w:pPr>
      <w:r w:rsidRPr="00684941">
        <w:rPr>
          <w:rFonts w:ascii="Times New Roman" w:hAnsi="Times New Roman" w:cs="Times New Roman"/>
          <w:color w:val="0D0D0D" w:themeColor="text1" w:themeTint="F2"/>
          <w:sz w:val="24"/>
        </w:rPr>
        <w:t>Gospodarstwa domowe wyłącznie z osobami w wieku 60 lat i więcej utrzymywały się przede wszystkim z emerytur lub rent, które stanowiły 79,1% ich dochodów. Natomiast gospodarstwa domowe, w skład których wchodziły tylko osoby poniżej 60 lat, utrzymywały się głównie z pracy (najemnej oraz na własny rachunek poza rolnictwem i w rolnictwie), z której dochody stanowiły 82,6% ich dochodu rozporządzalnego.</w:t>
      </w:r>
    </w:p>
    <w:p w14:paraId="4E6D221E" w14:textId="7D9A3825" w:rsidR="00631D12" w:rsidRDefault="00631D12" w:rsidP="00684941">
      <w:pPr>
        <w:spacing w:after="0"/>
        <w:jc w:val="both"/>
        <w:rPr>
          <w:rFonts w:ascii="Times New Roman" w:hAnsi="Times New Roman" w:cs="Times New Roman"/>
          <w:color w:val="0D0D0D" w:themeColor="text1" w:themeTint="F2"/>
          <w:sz w:val="24"/>
        </w:rPr>
      </w:pPr>
    </w:p>
    <w:p w14:paraId="65E30587" w14:textId="4AF4131C" w:rsidR="00684941" w:rsidRDefault="00631D12" w:rsidP="00684941">
      <w:pPr>
        <w:spacing w:after="0"/>
        <w:jc w:val="both"/>
        <w:rPr>
          <w:rFonts w:ascii="Times New Roman" w:hAnsi="Times New Roman" w:cs="Times New Roman"/>
          <w:color w:val="0D0D0D" w:themeColor="text1" w:themeTint="F2"/>
          <w:spacing w:val="-2"/>
          <w:sz w:val="24"/>
          <w:szCs w:val="24"/>
        </w:rPr>
      </w:pPr>
      <w:r w:rsidRPr="00631D12">
        <w:rPr>
          <w:rFonts w:ascii="Times New Roman" w:hAnsi="Times New Roman" w:cs="Times New Roman"/>
          <w:color w:val="0D0D0D" w:themeColor="text1" w:themeTint="F2"/>
          <w:spacing w:val="-2"/>
          <w:sz w:val="24"/>
          <w:szCs w:val="24"/>
        </w:rPr>
        <w:t>Świadczenia emerytalno-rentowe podlegają corocznej waloryzacji. Od 1 marca 2019 r. emerytury i renty wzrosły o 2,86%, jednak nie mniej niż o 70 zł. Zastosowanie zasad waloryzacji procentowo-kwotowej zapewniło nie tylko ochronę realnej wartości wszystkich wypłacanych świadczeń emerytalno-rentowych, lecz wyszło naprzeciw oczekiwaniom wyższych podwyżek przez większość emerytów i rencistów.</w:t>
      </w:r>
    </w:p>
    <w:p w14:paraId="108E005A" w14:textId="77777777" w:rsidR="00631D12" w:rsidRPr="00684941" w:rsidRDefault="00631D12" w:rsidP="00684941">
      <w:pPr>
        <w:spacing w:after="0"/>
        <w:jc w:val="both"/>
        <w:rPr>
          <w:rFonts w:ascii="Times New Roman" w:hAnsi="Times New Roman" w:cs="Times New Roman"/>
          <w:color w:val="0D0D0D" w:themeColor="text1" w:themeTint="F2"/>
          <w:spacing w:val="-2"/>
          <w:sz w:val="24"/>
          <w:szCs w:val="24"/>
        </w:rPr>
      </w:pPr>
    </w:p>
    <w:p w14:paraId="5157F4B8" w14:textId="4D0B635C" w:rsidR="00A9161D" w:rsidRPr="00A9161D" w:rsidRDefault="00A9161D" w:rsidP="00A9161D">
      <w:pPr>
        <w:pStyle w:val="Legenda"/>
        <w:keepNext/>
        <w:jc w:val="both"/>
        <w:rPr>
          <w:rFonts w:ascii="Times New Roman" w:hAnsi="Times New Roman" w:cs="Times New Roman"/>
          <w:b/>
          <w:i w:val="0"/>
          <w:sz w:val="24"/>
        </w:rPr>
      </w:pPr>
      <w:bookmarkStart w:id="10" w:name="_Toc49171380"/>
      <w:r w:rsidRPr="00A9161D">
        <w:rPr>
          <w:rFonts w:ascii="Times New Roman" w:hAnsi="Times New Roman" w:cs="Times New Roman"/>
          <w:b/>
          <w:i w:val="0"/>
          <w:sz w:val="24"/>
        </w:rPr>
        <w:t xml:space="preserve">Tabela </w:t>
      </w:r>
      <w:r w:rsidRPr="00A9161D">
        <w:rPr>
          <w:rFonts w:ascii="Times New Roman" w:hAnsi="Times New Roman" w:cs="Times New Roman"/>
          <w:b/>
          <w:i w:val="0"/>
          <w:sz w:val="24"/>
        </w:rPr>
        <w:fldChar w:fldCharType="begin"/>
      </w:r>
      <w:r w:rsidRPr="00A9161D">
        <w:rPr>
          <w:rFonts w:ascii="Times New Roman" w:hAnsi="Times New Roman" w:cs="Times New Roman"/>
          <w:b/>
          <w:i w:val="0"/>
          <w:sz w:val="24"/>
        </w:rPr>
        <w:instrText xml:space="preserve"> SEQ Tabela \* ARABIC </w:instrText>
      </w:r>
      <w:r w:rsidRPr="00A9161D">
        <w:rPr>
          <w:rFonts w:ascii="Times New Roman" w:hAnsi="Times New Roman" w:cs="Times New Roman"/>
          <w:b/>
          <w:i w:val="0"/>
          <w:sz w:val="24"/>
        </w:rPr>
        <w:fldChar w:fldCharType="separate"/>
      </w:r>
      <w:r w:rsidR="00C154C9">
        <w:rPr>
          <w:rFonts w:ascii="Times New Roman" w:hAnsi="Times New Roman" w:cs="Times New Roman"/>
          <w:b/>
          <w:i w:val="0"/>
          <w:noProof/>
          <w:sz w:val="24"/>
        </w:rPr>
        <w:t>5</w:t>
      </w:r>
      <w:r w:rsidRPr="00A9161D">
        <w:rPr>
          <w:rFonts w:ascii="Times New Roman" w:hAnsi="Times New Roman" w:cs="Times New Roman"/>
          <w:b/>
          <w:i w:val="0"/>
          <w:sz w:val="24"/>
        </w:rPr>
        <w:fldChar w:fldCharType="end"/>
      </w:r>
      <w:r w:rsidRPr="00A9161D">
        <w:rPr>
          <w:rFonts w:ascii="Times New Roman" w:hAnsi="Times New Roman" w:cs="Times New Roman"/>
          <w:b/>
          <w:i w:val="0"/>
          <w:sz w:val="24"/>
        </w:rPr>
        <w:t xml:space="preserve"> Przeciętne miesięczne dochody na 1 osobę w gospodarstwach domowych według liczby osób</w:t>
      </w:r>
      <w:bookmarkEnd w:id="10"/>
    </w:p>
    <w:tbl>
      <w:tblPr>
        <w:tblW w:w="9952"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3252"/>
        <w:gridCol w:w="1340"/>
        <w:gridCol w:w="1340"/>
        <w:gridCol w:w="1340"/>
        <w:gridCol w:w="1340"/>
        <w:gridCol w:w="1340"/>
      </w:tblGrid>
      <w:tr w:rsidR="00A5671F" w:rsidRPr="00342041" w14:paraId="36C9512A" w14:textId="77777777" w:rsidTr="00F95264">
        <w:trPr>
          <w:trHeight w:val="398"/>
          <w:jc w:val="center"/>
        </w:trPr>
        <w:tc>
          <w:tcPr>
            <w:tcW w:w="3252" w:type="dxa"/>
            <w:vMerge w:val="restart"/>
            <w:shd w:val="clear" w:color="auto" w:fill="9CC2E5" w:themeFill="accent1" w:themeFillTint="99"/>
            <w:vAlign w:val="center"/>
            <w:hideMark/>
          </w:tcPr>
          <w:p w14:paraId="3654072B"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Wyszczególnienie</w:t>
            </w:r>
          </w:p>
        </w:tc>
        <w:tc>
          <w:tcPr>
            <w:tcW w:w="6700" w:type="dxa"/>
            <w:gridSpan w:val="5"/>
            <w:shd w:val="clear" w:color="auto" w:fill="9CC2E5" w:themeFill="accent1" w:themeFillTint="99"/>
            <w:vAlign w:val="center"/>
            <w:hideMark/>
          </w:tcPr>
          <w:p w14:paraId="50A3CBAB"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Gospodarstwa domowe</w:t>
            </w:r>
          </w:p>
        </w:tc>
      </w:tr>
      <w:tr w:rsidR="00A5671F" w:rsidRPr="00342041" w14:paraId="61B4C387" w14:textId="77777777" w:rsidTr="00F95264">
        <w:trPr>
          <w:trHeight w:val="398"/>
          <w:jc w:val="center"/>
        </w:trPr>
        <w:tc>
          <w:tcPr>
            <w:tcW w:w="3252" w:type="dxa"/>
            <w:vMerge/>
            <w:shd w:val="clear" w:color="auto" w:fill="9CC2E5" w:themeFill="accent1" w:themeFillTint="99"/>
            <w:vAlign w:val="center"/>
            <w:hideMark/>
          </w:tcPr>
          <w:p w14:paraId="643B7D44"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p>
        </w:tc>
        <w:tc>
          <w:tcPr>
            <w:tcW w:w="1340" w:type="dxa"/>
            <w:vMerge w:val="restart"/>
            <w:shd w:val="clear" w:color="auto" w:fill="9CC2E5" w:themeFill="accent1" w:themeFillTint="99"/>
            <w:vAlign w:val="center"/>
            <w:hideMark/>
          </w:tcPr>
          <w:p w14:paraId="59417EB5"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bez osób </w:t>
            </w:r>
            <w:r w:rsidRPr="00342041">
              <w:rPr>
                <w:rFonts w:ascii="Times New Roman" w:eastAsia="Times New Roman" w:hAnsi="Times New Roman" w:cs="Times New Roman"/>
                <w:b/>
                <w:color w:val="000000"/>
                <w:sz w:val="20"/>
                <w:szCs w:val="20"/>
                <w:lang w:eastAsia="pl-PL"/>
              </w:rPr>
              <w:br/>
              <w:t xml:space="preserve">w wieku 60 lat </w:t>
            </w:r>
            <w:r w:rsidRPr="00342041">
              <w:rPr>
                <w:rFonts w:ascii="Times New Roman" w:eastAsia="Times New Roman" w:hAnsi="Times New Roman" w:cs="Times New Roman"/>
                <w:b/>
                <w:color w:val="000000"/>
                <w:sz w:val="20"/>
                <w:szCs w:val="20"/>
                <w:lang w:eastAsia="pl-PL"/>
              </w:rPr>
              <w:br/>
              <w:t>i więcej</w:t>
            </w:r>
          </w:p>
        </w:tc>
        <w:tc>
          <w:tcPr>
            <w:tcW w:w="1340" w:type="dxa"/>
            <w:vMerge w:val="restart"/>
            <w:shd w:val="clear" w:color="auto" w:fill="9CC2E5" w:themeFill="accent1" w:themeFillTint="99"/>
            <w:vAlign w:val="center"/>
            <w:hideMark/>
          </w:tcPr>
          <w:p w14:paraId="40A6B9E6"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z przynajmniej </w:t>
            </w:r>
            <w:r w:rsidRPr="00342041">
              <w:rPr>
                <w:rFonts w:ascii="Times New Roman" w:eastAsia="Times New Roman" w:hAnsi="Times New Roman" w:cs="Times New Roman"/>
                <w:b/>
                <w:color w:val="000000"/>
                <w:sz w:val="20"/>
                <w:szCs w:val="20"/>
                <w:lang w:eastAsia="pl-PL"/>
              </w:rPr>
              <w:br/>
              <w:t>1 osobą w wieku 60 lat i więcej</w:t>
            </w:r>
          </w:p>
        </w:tc>
        <w:tc>
          <w:tcPr>
            <w:tcW w:w="4020" w:type="dxa"/>
            <w:gridSpan w:val="3"/>
            <w:shd w:val="clear" w:color="auto" w:fill="9CC2E5" w:themeFill="accent1" w:themeFillTint="99"/>
            <w:vAlign w:val="center"/>
            <w:hideMark/>
          </w:tcPr>
          <w:p w14:paraId="573685B8"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wyłącznie z osobami w wieku 60 lat i więcej</w:t>
            </w:r>
          </w:p>
        </w:tc>
      </w:tr>
      <w:tr w:rsidR="00A5671F" w:rsidRPr="00342041" w14:paraId="14275A55" w14:textId="77777777" w:rsidTr="00F95264">
        <w:trPr>
          <w:trHeight w:val="398"/>
          <w:jc w:val="center"/>
        </w:trPr>
        <w:tc>
          <w:tcPr>
            <w:tcW w:w="3252" w:type="dxa"/>
            <w:vMerge/>
            <w:shd w:val="clear" w:color="auto" w:fill="9CC2E5" w:themeFill="accent1" w:themeFillTint="99"/>
            <w:vAlign w:val="center"/>
            <w:hideMark/>
          </w:tcPr>
          <w:p w14:paraId="6EBDEA28"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06CCF1C0"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7F6317E8"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p>
        </w:tc>
        <w:tc>
          <w:tcPr>
            <w:tcW w:w="1340" w:type="dxa"/>
            <w:vMerge w:val="restart"/>
            <w:shd w:val="clear" w:color="auto" w:fill="9CC2E5" w:themeFill="accent1" w:themeFillTint="99"/>
            <w:vAlign w:val="center"/>
            <w:hideMark/>
          </w:tcPr>
          <w:p w14:paraId="17991239"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razem</w:t>
            </w:r>
          </w:p>
        </w:tc>
        <w:tc>
          <w:tcPr>
            <w:tcW w:w="2680" w:type="dxa"/>
            <w:gridSpan w:val="2"/>
            <w:shd w:val="clear" w:color="auto" w:fill="9CC2E5" w:themeFill="accent1" w:themeFillTint="99"/>
            <w:vAlign w:val="center"/>
            <w:hideMark/>
          </w:tcPr>
          <w:p w14:paraId="665CE0C2"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w:t>
            </w:r>
          </w:p>
        </w:tc>
      </w:tr>
      <w:tr w:rsidR="00A5671F" w:rsidRPr="00342041" w14:paraId="17A9BFAC" w14:textId="77777777" w:rsidTr="00F95264">
        <w:trPr>
          <w:trHeight w:val="450"/>
          <w:jc w:val="center"/>
        </w:trPr>
        <w:tc>
          <w:tcPr>
            <w:tcW w:w="3252" w:type="dxa"/>
            <w:vMerge/>
            <w:shd w:val="clear" w:color="auto" w:fill="9CC2E5" w:themeFill="accent1" w:themeFillTint="99"/>
            <w:vAlign w:val="center"/>
            <w:hideMark/>
          </w:tcPr>
          <w:p w14:paraId="44C118EA"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3EE59F07"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0A12971A"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063B85D5"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p>
        </w:tc>
        <w:tc>
          <w:tcPr>
            <w:tcW w:w="1340" w:type="dxa"/>
            <w:vMerge w:val="restart"/>
            <w:shd w:val="clear" w:color="auto" w:fill="9CC2E5" w:themeFill="accent1" w:themeFillTint="99"/>
            <w:vAlign w:val="center"/>
            <w:hideMark/>
          </w:tcPr>
          <w:p w14:paraId="3489F780"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1-osobowe</w:t>
            </w:r>
          </w:p>
        </w:tc>
        <w:tc>
          <w:tcPr>
            <w:tcW w:w="1340" w:type="dxa"/>
            <w:vMerge w:val="restart"/>
            <w:shd w:val="clear" w:color="auto" w:fill="9CC2E5" w:themeFill="accent1" w:themeFillTint="99"/>
            <w:vAlign w:val="center"/>
            <w:hideMark/>
          </w:tcPr>
          <w:p w14:paraId="2BE8A90A"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2-osobowe (obydwie osoby</w:t>
            </w:r>
            <w:r w:rsidRPr="00342041">
              <w:rPr>
                <w:rFonts w:ascii="Times New Roman" w:eastAsia="Times New Roman" w:hAnsi="Times New Roman" w:cs="Times New Roman"/>
                <w:b/>
                <w:color w:val="000000"/>
                <w:sz w:val="20"/>
                <w:szCs w:val="20"/>
                <w:lang w:eastAsia="pl-PL"/>
              </w:rPr>
              <w:br/>
              <w:t xml:space="preserve">w wieku 60 lat </w:t>
            </w:r>
            <w:r w:rsidRPr="00342041">
              <w:rPr>
                <w:rFonts w:ascii="Times New Roman" w:eastAsia="Times New Roman" w:hAnsi="Times New Roman" w:cs="Times New Roman"/>
                <w:b/>
                <w:color w:val="000000"/>
                <w:sz w:val="20"/>
                <w:szCs w:val="20"/>
                <w:lang w:eastAsia="pl-PL"/>
              </w:rPr>
              <w:br/>
              <w:t>i więcej)</w:t>
            </w:r>
          </w:p>
        </w:tc>
      </w:tr>
      <w:tr w:rsidR="00A5671F" w:rsidRPr="00342041" w14:paraId="7B1EF319" w14:textId="77777777" w:rsidTr="00F95264">
        <w:trPr>
          <w:trHeight w:val="450"/>
          <w:jc w:val="center"/>
        </w:trPr>
        <w:tc>
          <w:tcPr>
            <w:tcW w:w="3252" w:type="dxa"/>
            <w:vMerge/>
            <w:shd w:val="clear" w:color="auto" w:fill="9CC2E5" w:themeFill="accent1" w:themeFillTint="99"/>
            <w:vAlign w:val="center"/>
            <w:hideMark/>
          </w:tcPr>
          <w:p w14:paraId="662AF78F"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19680D22"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47CC7F35"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0B38F464"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23045588"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7851F488"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r>
      <w:tr w:rsidR="00A5671F" w:rsidRPr="00342041" w14:paraId="331E0979" w14:textId="77777777" w:rsidTr="00F95264">
        <w:trPr>
          <w:trHeight w:val="450"/>
          <w:jc w:val="center"/>
        </w:trPr>
        <w:tc>
          <w:tcPr>
            <w:tcW w:w="3252" w:type="dxa"/>
            <w:vMerge/>
            <w:shd w:val="clear" w:color="auto" w:fill="9CC2E5" w:themeFill="accent1" w:themeFillTint="99"/>
            <w:vAlign w:val="center"/>
            <w:hideMark/>
          </w:tcPr>
          <w:p w14:paraId="6D610349"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3DC7F571"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3B1FB583"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4A8324AD"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2422E2A2"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695D15E6" w14:textId="77777777" w:rsidR="00A5671F" w:rsidRPr="00342041" w:rsidRDefault="00A5671F" w:rsidP="00094325">
            <w:pPr>
              <w:spacing w:after="0" w:line="240" w:lineRule="auto"/>
              <w:rPr>
                <w:rFonts w:ascii="Times New Roman" w:eastAsia="Times New Roman" w:hAnsi="Times New Roman" w:cs="Times New Roman"/>
                <w:color w:val="000000"/>
                <w:sz w:val="20"/>
                <w:szCs w:val="20"/>
                <w:lang w:eastAsia="pl-PL"/>
              </w:rPr>
            </w:pPr>
          </w:p>
        </w:tc>
      </w:tr>
      <w:tr w:rsidR="00A5671F" w:rsidRPr="00342041" w14:paraId="135ED580" w14:textId="77777777" w:rsidTr="00094325">
        <w:trPr>
          <w:trHeight w:val="398"/>
          <w:jc w:val="center"/>
        </w:trPr>
        <w:tc>
          <w:tcPr>
            <w:tcW w:w="9952" w:type="dxa"/>
            <w:gridSpan w:val="6"/>
            <w:shd w:val="clear" w:color="auto" w:fill="FFFFFF" w:themeFill="background1"/>
            <w:vAlign w:val="center"/>
            <w:hideMark/>
          </w:tcPr>
          <w:p w14:paraId="225E3688"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w:t>
            </w:r>
          </w:p>
        </w:tc>
      </w:tr>
      <w:tr w:rsidR="00A5671F" w:rsidRPr="00342041" w14:paraId="58F0F3CE" w14:textId="77777777" w:rsidTr="00F95264">
        <w:trPr>
          <w:trHeight w:val="300"/>
          <w:jc w:val="center"/>
        </w:trPr>
        <w:tc>
          <w:tcPr>
            <w:tcW w:w="9952" w:type="dxa"/>
            <w:gridSpan w:val="6"/>
            <w:shd w:val="clear" w:color="auto" w:fill="9CC2E5" w:themeFill="accent1" w:themeFillTint="99"/>
            <w:vAlign w:val="center"/>
            <w:hideMark/>
          </w:tcPr>
          <w:p w14:paraId="38315E07"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złotych</w:t>
            </w:r>
          </w:p>
        </w:tc>
      </w:tr>
      <w:tr w:rsidR="00A5671F" w:rsidRPr="00342041" w14:paraId="2DB94A8F" w14:textId="77777777" w:rsidTr="00F95264">
        <w:trPr>
          <w:trHeight w:val="300"/>
          <w:jc w:val="center"/>
        </w:trPr>
        <w:tc>
          <w:tcPr>
            <w:tcW w:w="3252" w:type="dxa"/>
            <w:shd w:val="clear" w:color="auto" w:fill="9CC2E5" w:themeFill="accent1" w:themeFillTint="99"/>
            <w:vAlign w:val="center"/>
            <w:hideMark/>
          </w:tcPr>
          <w:p w14:paraId="2EC607B2" w14:textId="77777777" w:rsidR="00A5671F" w:rsidRPr="00342041" w:rsidRDefault="00A5671F" w:rsidP="00094325">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 xml:space="preserve">Dochód rozporządzalny                                                                                                                                                                                     </w:t>
            </w:r>
          </w:p>
        </w:tc>
        <w:tc>
          <w:tcPr>
            <w:tcW w:w="1340" w:type="dxa"/>
            <w:shd w:val="clear" w:color="auto" w:fill="auto"/>
            <w:vAlign w:val="center"/>
            <w:hideMark/>
          </w:tcPr>
          <w:p w14:paraId="7E21F3AE"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1 839,46</w:t>
            </w:r>
          </w:p>
        </w:tc>
        <w:tc>
          <w:tcPr>
            <w:tcW w:w="1340" w:type="dxa"/>
            <w:shd w:val="clear" w:color="auto" w:fill="auto"/>
            <w:vAlign w:val="center"/>
            <w:hideMark/>
          </w:tcPr>
          <w:p w14:paraId="778E4701"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1 789,85</w:t>
            </w:r>
          </w:p>
        </w:tc>
        <w:tc>
          <w:tcPr>
            <w:tcW w:w="1340" w:type="dxa"/>
            <w:shd w:val="clear" w:color="auto" w:fill="auto"/>
            <w:vAlign w:val="center"/>
            <w:hideMark/>
          </w:tcPr>
          <w:p w14:paraId="2846E7AD"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2 108,93</w:t>
            </w:r>
          </w:p>
        </w:tc>
        <w:tc>
          <w:tcPr>
            <w:tcW w:w="1340" w:type="dxa"/>
            <w:shd w:val="clear" w:color="auto" w:fill="auto"/>
            <w:vAlign w:val="center"/>
            <w:hideMark/>
          </w:tcPr>
          <w:p w14:paraId="4332AA7E"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2 094,63</w:t>
            </w:r>
          </w:p>
        </w:tc>
        <w:tc>
          <w:tcPr>
            <w:tcW w:w="1340" w:type="dxa"/>
            <w:shd w:val="clear" w:color="auto" w:fill="auto"/>
            <w:vAlign w:val="center"/>
            <w:hideMark/>
          </w:tcPr>
          <w:p w14:paraId="09C38B07"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2 131,73</w:t>
            </w:r>
          </w:p>
        </w:tc>
      </w:tr>
      <w:tr w:rsidR="00A5671F" w:rsidRPr="00342041" w14:paraId="73E46BF5" w14:textId="77777777" w:rsidTr="00F95264">
        <w:trPr>
          <w:trHeight w:val="300"/>
          <w:jc w:val="center"/>
        </w:trPr>
        <w:tc>
          <w:tcPr>
            <w:tcW w:w="9952" w:type="dxa"/>
            <w:gridSpan w:val="6"/>
            <w:shd w:val="clear" w:color="auto" w:fill="9CC2E5" w:themeFill="accent1" w:themeFillTint="99"/>
            <w:vAlign w:val="center"/>
            <w:hideMark/>
          </w:tcPr>
          <w:p w14:paraId="386E2093"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odsetkach</w:t>
            </w:r>
          </w:p>
        </w:tc>
      </w:tr>
      <w:tr w:rsidR="00A5671F" w:rsidRPr="00342041" w14:paraId="37F99925" w14:textId="77777777" w:rsidTr="00F95264">
        <w:trPr>
          <w:trHeight w:val="300"/>
          <w:jc w:val="center"/>
        </w:trPr>
        <w:tc>
          <w:tcPr>
            <w:tcW w:w="3252" w:type="dxa"/>
            <w:shd w:val="clear" w:color="auto" w:fill="9CC2E5" w:themeFill="accent1" w:themeFillTint="99"/>
            <w:vAlign w:val="center"/>
            <w:hideMark/>
          </w:tcPr>
          <w:p w14:paraId="1D0E9DED" w14:textId="77777777" w:rsidR="00A5671F" w:rsidRPr="00342041" w:rsidRDefault="00A5671F" w:rsidP="00094325">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Dochód rozporządzalny</w:t>
            </w:r>
          </w:p>
        </w:tc>
        <w:tc>
          <w:tcPr>
            <w:tcW w:w="1340" w:type="dxa"/>
            <w:shd w:val="clear" w:color="auto" w:fill="auto"/>
            <w:vAlign w:val="center"/>
            <w:hideMark/>
          </w:tcPr>
          <w:p w14:paraId="54CD53C1"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6412F7F7"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46BFAB4D"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421B8A61"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35988A2C"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r>
      <w:tr w:rsidR="00A5671F" w:rsidRPr="00342041" w14:paraId="7BE06040" w14:textId="77777777" w:rsidTr="00F95264">
        <w:trPr>
          <w:trHeight w:val="300"/>
          <w:jc w:val="center"/>
        </w:trPr>
        <w:tc>
          <w:tcPr>
            <w:tcW w:w="3252" w:type="dxa"/>
            <w:shd w:val="clear" w:color="auto" w:fill="9CC2E5" w:themeFill="accent1" w:themeFillTint="99"/>
            <w:vAlign w:val="center"/>
            <w:hideMark/>
          </w:tcPr>
          <w:p w14:paraId="7D74EE23"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 dochód do dyspozycji</w:t>
            </w:r>
          </w:p>
        </w:tc>
        <w:tc>
          <w:tcPr>
            <w:tcW w:w="1340" w:type="dxa"/>
            <w:shd w:val="clear" w:color="auto" w:fill="auto"/>
            <w:vAlign w:val="center"/>
            <w:hideMark/>
          </w:tcPr>
          <w:p w14:paraId="09E0C2C8"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97,5</w:t>
            </w:r>
          </w:p>
        </w:tc>
        <w:tc>
          <w:tcPr>
            <w:tcW w:w="1340" w:type="dxa"/>
            <w:shd w:val="clear" w:color="auto" w:fill="auto"/>
            <w:vAlign w:val="center"/>
            <w:hideMark/>
          </w:tcPr>
          <w:p w14:paraId="0E9D351F"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96,8</w:t>
            </w:r>
          </w:p>
        </w:tc>
        <w:tc>
          <w:tcPr>
            <w:tcW w:w="1340" w:type="dxa"/>
            <w:shd w:val="clear" w:color="auto" w:fill="auto"/>
            <w:vAlign w:val="center"/>
            <w:hideMark/>
          </w:tcPr>
          <w:p w14:paraId="400B9E29"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95,4</w:t>
            </w:r>
          </w:p>
        </w:tc>
        <w:tc>
          <w:tcPr>
            <w:tcW w:w="1340" w:type="dxa"/>
            <w:shd w:val="clear" w:color="auto" w:fill="auto"/>
            <w:vAlign w:val="center"/>
            <w:hideMark/>
          </w:tcPr>
          <w:p w14:paraId="18BF51B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94,9</w:t>
            </w:r>
          </w:p>
        </w:tc>
        <w:tc>
          <w:tcPr>
            <w:tcW w:w="1340" w:type="dxa"/>
            <w:shd w:val="clear" w:color="auto" w:fill="auto"/>
            <w:vAlign w:val="center"/>
            <w:hideMark/>
          </w:tcPr>
          <w:p w14:paraId="7EAE32D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95,7</w:t>
            </w:r>
          </w:p>
        </w:tc>
      </w:tr>
      <w:tr w:rsidR="00A5671F" w:rsidRPr="00342041" w14:paraId="53DC46DA" w14:textId="77777777" w:rsidTr="00F95264">
        <w:trPr>
          <w:trHeight w:val="300"/>
          <w:jc w:val="center"/>
        </w:trPr>
        <w:tc>
          <w:tcPr>
            <w:tcW w:w="3252" w:type="dxa"/>
            <w:shd w:val="clear" w:color="auto" w:fill="9CC2E5" w:themeFill="accent1" w:themeFillTint="99"/>
            <w:vAlign w:val="center"/>
            <w:hideMark/>
          </w:tcPr>
          <w:p w14:paraId="69D97FD8"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 pracy najemnej                                                                                                                                                                             </w:t>
            </w:r>
          </w:p>
        </w:tc>
        <w:tc>
          <w:tcPr>
            <w:tcW w:w="1340" w:type="dxa"/>
            <w:shd w:val="clear" w:color="auto" w:fill="auto"/>
            <w:vAlign w:val="center"/>
            <w:hideMark/>
          </w:tcPr>
          <w:p w14:paraId="580A6067"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67,5</w:t>
            </w:r>
          </w:p>
        </w:tc>
        <w:tc>
          <w:tcPr>
            <w:tcW w:w="1340" w:type="dxa"/>
            <w:shd w:val="clear" w:color="auto" w:fill="auto"/>
            <w:vAlign w:val="center"/>
            <w:hideMark/>
          </w:tcPr>
          <w:p w14:paraId="21212E9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28,4</w:t>
            </w:r>
          </w:p>
        </w:tc>
        <w:tc>
          <w:tcPr>
            <w:tcW w:w="1340" w:type="dxa"/>
            <w:shd w:val="clear" w:color="auto" w:fill="auto"/>
            <w:vAlign w:val="center"/>
            <w:hideMark/>
          </w:tcPr>
          <w:p w14:paraId="1104B178"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9,2</w:t>
            </w:r>
          </w:p>
        </w:tc>
        <w:tc>
          <w:tcPr>
            <w:tcW w:w="1340" w:type="dxa"/>
            <w:shd w:val="clear" w:color="auto" w:fill="auto"/>
            <w:vAlign w:val="center"/>
            <w:hideMark/>
          </w:tcPr>
          <w:p w14:paraId="7C1909EE"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7,3</w:t>
            </w:r>
          </w:p>
        </w:tc>
        <w:tc>
          <w:tcPr>
            <w:tcW w:w="1340" w:type="dxa"/>
            <w:shd w:val="clear" w:color="auto" w:fill="auto"/>
            <w:vAlign w:val="center"/>
            <w:hideMark/>
          </w:tcPr>
          <w:p w14:paraId="679ED849"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10,2</w:t>
            </w:r>
          </w:p>
        </w:tc>
      </w:tr>
      <w:tr w:rsidR="00A5671F" w:rsidRPr="00342041" w14:paraId="35288A57" w14:textId="77777777" w:rsidTr="00F95264">
        <w:trPr>
          <w:trHeight w:val="720"/>
          <w:jc w:val="center"/>
        </w:trPr>
        <w:tc>
          <w:tcPr>
            <w:tcW w:w="3252" w:type="dxa"/>
            <w:shd w:val="clear" w:color="auto" w:fill="9CC2E5" w:themeFill="accent1" w:themeFillTint="99"/>
            <w:vAlign w:val="center"/>
            <w:hideMark/>
          </w:tcPr>
          <w:p w14:paraId="44970D56"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Dochody z pracy na własny rachunek poza</w:t>
            </w:r>
            <w:r w:rsidRPr="00342041">
              <w:rPr>
                <w:rFonts w:ascii="Times New Roman" w:eastAsia="Times New Roman" w:hAnsi="Times New Roman" w:cs="Times New Roman"/>
                <w:b/>
                <w:color w:val="000000"/>
                <w:sz w:val="20"/>
                <w:szCs w:val="20"/>
                <w:lang w:eastAsia="pl-PL"/>
              </w:rPr>
              <w:br/>
              <w:t xml:space="preserve">gospodarstwem rolnym w użytkowaniu indywidualnym                                                                                                     </w:t>
            </w:r>
          </w:p>
        </w:tc>
        <w:tc>
          <w:tcPr>
            <w:tcW w:w="1340" w:type="dxa"/>
            <w:shd w:val="clear" w:color="auto" w:fill="auto"/>
            <w:vAlign w:val="center"/>
            <w:hideMark/>
          </w:tcPr>
          <w:p w14:paraId="71E7648C"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12,5</w:t>
            </w:r>
          </w:p>
        </w:tc>
        <w:tc>
          <w:tcPr>
            <w:tcW w:w="1340" w:type="dxa"/>
            <w:shd w:val="clear" w:color="auto" w:fill="auto"/>
            <w:vAlign w:val="center"/>
            <w:hideMark/>
          </w:tcPr>
          <w:p w14:paraId="5509339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3,9</w:t>
            </w:r>
          </w:p>
        </w:tc>
        <w:tc>
          <w:tcPr>
            <w:tcW w:w="1340" w:type="dxa"/>
            <w:shd w:val="clear" w:color="auto" w:fill="auto"/>
            <w:vAlign w:val="center"/>
            <w:hideMark/>
          </w:tcPr>
          <w:p w14:paraId="5D0BF9F2"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1,9</w:t>
            </w:r>
          </w:p>
        </w:tc>
        <w:tc>
          <w:tcPr>
            <w:tcW w:w="1340" w:type="dxa"/>
            <w:shd w:val="clear" w:color="auto" w:fill="auto"/>
            <w:vAlign w:val="center"/>
            <w:hideMark/>
          </w:tcPr>
          <w:p w14:paraId="2F80A29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1,4</w:t>
            </w:r>
          </w:p>
        </w:tc>
        <w:tc>
          <w:tcPr>
            <w:tcW w:w="1340" w:type="dxa"/>
            <w:shd w:val="clear" w:color="auto" w:fill="auto"/>
            <w:vAlign w:val="center"/>
            <w:hideMark/>
          </w:tcPr>
          <w:p w14:paraId="74E94C7F"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2,1</w:t>
            </w:r>
          </w:p>
        </w:tc>
      </w:tr>
      <w:tr w:rsidR="00A5671F" w:rsidRPr="00342041" w14:paraId="2A7ECBF7" w14:textId="77777777" w:rsidTr="00F95264">
        <w:trPr>
          <w:trHeight w:val="300"/>
          <w:jc w:val="center"/>
        </w:trPr>
        <w:tc>
          <w:tcPr>
            <w:tcW w:w="3252" w:type="dxa"/>
            <w:shd w:val="clear" w:color="auto" w:fill="9CC2E5" w:themeFill="accent1" w:themeFillTint="99"/>
            <w:vAlign w:val="center"/>
            <w:hideMark/>
          </w:tcPr>
          <w:p w14:paraId="6F4FFC27"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 gospodarstwa rolnego                                                                                                                                                                                              </w:t>
            </w:r>
          </w:p>
        </w:tc>
        <w:tc>
          <w:tcPr>
            <w:tcW w:w="1340" w:type="dxa"/>
            <w:shd w:val="clear" w:color="auto" w:fill="auto"/>
            <w:vAlign w:val="center"/>
            <w:hideMark/>
          </w:tcPr>
          <w:p w14:paraId="6A89481F"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2,6</w:t>
            </w:r>
          </w:p>
        </w:tc>
        <w:tc>
          <w:tcPr>
            <w:tcW w:w="1340" w:type="dxa"/>
            <w:shd w:val="clear" w:color="auto" w:fill="auto"/>
            <w:vAlign w:val="center"/>
            <w:hideMark/>
          </w:tcPr>
          <w:p w14:paraId="2FA0B317"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4,6</w:t>
            </w:r>
          </w:p>
        </w:tc>
        <w:tc>
          <w:tcPr>
            <w:tcW w:w="1340" w:type="dxa"/>
            <w:shd w:val="clear" w:color="auto" w:fill="auto"/>
            <w:vAlign w:val="center"/>
            <w:hideMark/>
          </w:tcPr>
          <w:p w14:paraId="43034D6D"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0,5</w:t>
            </w:r>
          </w:p>
        </w:tc>
        <w:tc>
          <w:tcPr>
            <w:tcW w:w="1340" w:type="dxa"/>
            <w:shd w:val="clear" w:color="auto" w:fill="auto"/>
            <w:vAlign w:val="center"/>
            <w:hideMark/>
          </w:tcPr>
          <w:p w14:paraId="70BE20C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0,2</w:t>
            </w:r>
          </w:p>
        </w:tc>
        <w:tc>
          <w:tcPr>
            <w:tcW w:w="1340" w:type="dxa"/>
            <w:shd w:val="clear" w:color="auto" w:fill="auto"/>
            <w:vAlign w:val="center"/>
            <w:hideMark/>
          </w:tcPr>
          <w:p w14:paraId="48FCEF8D"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0,6</w:t>
            </w:r>
          </w:p>
        </w:tc>
      </w:tr>
      <w:tr w:rsidR="00A5671F" w:rsidRPr="00342041" w14:paraId="487D84C3" w14:textId="77777777" w:rsidTr="00F95264">
        <w:trPr>
          <w:trHeight w:val="300"/>
          <w:jc w:val="center"/>
        </w:trPr>
        <w:tc>
          <w:tcPr>
            <w:tcW w:w="3252" w:type="dxa"/>
            <w:shd w:val="clear" w:color="auto" w:fill="9CC2E5" w:themeFill="accent1" w:themeFillTint="99"/>
            <w:vAlign w:val="center"/>
            <w:hideMark/>
          </w:tcPr>
          <w:p w14:paraId="5D63911B"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ze świadczeń społecznych                                                                                                                                                                                                                  </w:t>
            </w:r>
          </w:p>
        </w:tc>
        <w:tc>
          <w:tcPr>
            <w:tcW w:w="1340" w:type="dxa"/>
            <w:shd w:val="clear" w:color="auto" w:fill="auto"/>
            <w:vAlign w:val="center"/>
            <w:hideMark/>
          </w:tcPr>
          <w:p w14:paraId="4FC2927F"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13,1</w:t>
            </w:r>
          </w:p>
        </w:tc>
        <w:tc>
          <w:tcPr>
            <w:tcW w:w="1340" w:type="dxa"/>
            <w:shd w:val="clear" w:color="auto" w:fill="auto"/>
            <w:vAlign w:val="center"/>
            <w:hideMark/>
          </w:tcPr>
          <w:p w14:paraId="767AFC3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60,3</w:t>
            </w:r>
          </w:p>
        </w:tc>
        <w:tc>
          <w:tcPr>
            <w:tcW w:w="1340" w:type="dxa"/>
            <w:shd w:val="clear" w:color="auto" w:fill="auto"/>
            <w:vAlign w:val="center"/>
            <w:hideMark/>
          </w:tcPr>
          <w:p w14:paraId="672B6B6D"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84,8</w:t>
            </w:r>
          </w:p>
        </w:tc>
        <w:tc>
          <w:tcPr>
            <w:tcW w:w="1340" w:type="dxa"/>
            <w:shd w:val="clear" w:color="auto" w:fill="auto"/>
            <w:vAlign w:val="center"/>
            <w:hideMark/>
          </w:tcPr>
          <w:p w14:paraId="07C5288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85,5</w:t>
            </w:r>
          </w:p>
        </w:tc>
        <w:tc>
          <w:tcPr>
            <w:tcW w:w="1340" w:type="dxa"/>
            <w:shd w:val="clear" w:color="auto" w:fill="auto"/>
            <w:vAlign w:val="center"/>
            <w:hideMark/>
          </w:tcPr>
          <w:p w14:paraId="31B0035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84,5</w:t>
            </w:r>
          </w:p>
        </w:tc>
      </w:tr>
      <w:tr w:rsidR="00A5671F" w:rsidRPr="00342041" w14:paraId="09C940B3" w14:textId="77777777" w:rsidTr="00F95264">
        <w:trPr>
          <w:trHeight w:val="480"/>
          <w:jc w:val="center"/>
        </w:trPr>
        <w:tc>
          <w:tcPr>
            <w:tcW w:w="3252" w:type="dxa"/>
            <w:shd w:val="clear" w:color="auto" w:fill="9CC2E5" w:themeFill="accent1" w:themeFillTint="99"/>
            <w:vAlign w:val="center"/>
            <w:hideMark/>
          </w:tcPr>
          <w:p w14:paraId="125B0A5A"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lastRenderedPageBreak/>
              <w:t xml:space="preserve"> dochody ze świadczeń z ubezpieczeń społecznych                                                                       </w:t>
            </w:r>
          </w:p>
        </w:tc>
        <w:tc>
          <w:tcPr>
            <w:tcW w:w="1340" w:type="dxa"/>
            <w:shd w:val="clear" w:color="auto" w:fill="auto"/>
            <w:vAlign w:val="center"/>
            <w:hideMark/>
          </w:tcPr>
          <w:p w14:paraId="49A8EC8C"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3,7</w:t>
            </w:r>
          </w:p>
        </w:tc>
        <w:tc>
          <w:tcPr>
            <w:tcW w:w="1340" w:type="dxa"/>
            <w:shd w:val="clear" w:color="auto" w:fill="auto"/>
            <w:vAlign w:val="center"/>
            <w:hideMark/>
          </w:tcPr>
          <w:p w14:paraId="70878622"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56,2</w:t>
            </w:r>
          </w:p>
        </w:tc>
        <w:tc>
          <w:tcPr>
            <w:tcW w:w="1340" w:type="dxa"/>
            <w:shd w:val="clear" w:color="auto" w:fill="auto"/>
            <w:vAlign w:val="center"/>
            <w:hideMark/>
          </w:tcPr>
          <w:p w14:paraId="1A31A6F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84,1</w:t>
            </w:r>
          </w:p>
        </w:tc>
        <w:tc>
          <w:tcPr>
            <w:tcW w:w="1340" w:type="dxa"/>
            <w:shd w:val="clear" w:color="auto" w:fill="auto"/>
            <w:vAlign w:val="center"/>
            <w:hideMark/>
          </w:tcPr>
          <w:p w14:paraId="7DDDFDE8"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84,5</w:t>
            </w:r>
          </w:p>
        </w:tc>
        <w:tc>
          <w:tcPr>
            <w:tcW w:w="1340" w:type="dxa"/>
            <w:shd w:val="clear" w:color="auto" w:fill="auto"/>
            <w:vAlign w:val="center"/>
            <w:hideMark/>
          </w:tcPr>
          <w:p w14:paraId="48629A6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84,0</w:t>
            </w:r>
          </w:p>
        </w:tc>
      </w:tr>
      <w:tr w:rsidR="00A5671F" w:rsidRPr="00342041" w14:paraId="460D98F6" w14:textId="77777777" w:rsidTr="00F95264">
        <w:trPr>
          <w:trHeight w:val="300"/>
          <w:jc w:val="center"/>
        </w:trPr>
        <w:tc>
          <w:tcPr>
            <w:tcW w:w="3252" w:type="dxa"/>
            <w:shd w:val="clear" w:color="auto" w:fill="9CC2E5" w:themeFill="accent1" w:themeFillTint="99"/>
            <w:vAlign w:val="center"/>
            <w:hideMark/>
          </w:tcPr>
          <w:p w14:paraId="08C3D51E"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w tym emerytury i renty                                                                                                                                                                               </w:t>
            </w:r>
          </w:p>
        </w:tc>
        <w:tc>
          <w:tcPr>
            <w:tcW w:w="1340" w:type="dxa"/>
            <w:shd w:val="clear" w:color="auto" w:fill="auto"/>
            <w:vAlign w:val="center"/>
            <w:hideMark/>
          </w:tcPr>
          <w:p w14:paraId="5BD39B51"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2,5</w:t>
            </w:r>
          </w:p>
        </w:tc>
        <w:tc>
          <w:tcPr>
            <w:tcW w:w="1340" w:type="dxa"/>
            <w:shd w:val="clear" w:color="auto" w:fill="auto"/>
            <w:vAlign w:val="center"/>
            <w:hideMark/>
          </w:tcPr>
          <w:p w14:paraId="5FFA4DD6"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52,3</w:t>
            </w:r>
          </w:p>
        </w:tc>
        <w:tc>
          <w:tcPr>
            <w:tcW w:w="1340" w:type="dxa"/>
            <w:shd w:val="clear" w:color="auto" w:fill="auto"/>
            <w:vAlign w:val="center"/>
            <w:hideMark/>
          </w:tcPr>
          <w:p w14:paraId="2088FBA9"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79,1</w:t>
            </w:r>
          </w:p>
        </w:tc>
        <w:tc>
          <w:tcPr>
            <w:tcW w:w="1340" w:type="dxa"/>
            <w:shd w:val="clear" w:color="auto" w:fill="auto"/>
            <w:vAlign w:val="center"/>
            <w:hideMark/>
          </w:tcPr>
          <w:p w14:paraId="422B51F8"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72,5</w:t>
            </w:r>
          </w:p>
        </w:tc>
        <w:tc>
          <w:tcPr>
            <w:tcW w:w="1340" w:type="dxa"/>
            <w:shd w:val="clear" w:color="auto" w:fill="auto"/>
            <w:vAlign w:val="center"/>
            <w:hideMark/>
          </w:tcPr>
          <w:p w14:paraId="12F46D3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83,4</w:t>
            </w:r>
          </w:p>
        </w:tc>
      </w:tr>
      <w:tr w:rsidR="00A5671F" w:rsidRPr="00342041" w14:paraId="0B0190D8" w14:textId="77777777" w:rsidTr="00F95264">
        <w:trPr>
          <w:trHeight w:val="300"/>
          <w:jc w:val="center"/>
        </w:trPr>
        <w:tc>
          <w:tcPr>
            <w:tcW w:w="3252" w:type="dxa"/>
            <w:shd w:val="clear" w:color="auto" w:fill="9CC2E5" w:themeFill="accent1" w:themeFillTint="99"/>
            <w:vAlign w:val="center"/>
            <w:hideMark/>
          </w:tcPr>
          <w:p w14:paraId="12B1FCFF"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 pozostałych świadczeń społecznych                            </w:t>
            </w:r>
          </w:p>
        </w:tc>
        <w:tc>
          <w:tcPr>
            <w:tcW w:w="1340" w:type="dxa"/>
            <w:shd w:val="clear" w:color="auto" w:fill="auto"/>
            <w:vAlign w:val="center"/>
            <w:hideMark/>
          </w:tcPr>
          <w:p w14:paraId="51437E21"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9,4</w:t>
            </w:r>
          </w:p>
        </w:tc>
        <w:tc>
          <w:tcPr>
            <w:tcW w:w="1340" w:type="dxa"/>
            <w:shd w:val="clear" w:color="auto" w:fill="auto"/>
            <w:vAlign w:val="center"/>
            <w:hideMark/>
          </w:tcPr>
          <w:p w14:paraId="254A9A5F"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4,2</w:t>
            </w:r>
          </w:p>
        </w:tc>
        <w:tc>
          <w:tcPr>
            <w:tcW w:w="1340" w:type="dxa"/>
            <w:shd w:val="clear" w:color="auto" w:fill="auto"/>
            <w:vAlign w:val="center"/>
            <w:hideMark/>
          </w:tcPr>
          <w:p w14:paraId="3A10F4F2"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0,6</w:t>
            </w:r>
          </w:p>
        </w:tc>
        <w:tc>
          <w:tcPr>
            <w:tcW w:w="1340" w:type="dxa"/>
            <w:shd w:val="clear" w:color="auto" w:fill="auto"/>
            <w:vAlign w:val="center"/>
            <w:hideMark/>
          </w:tcPr>
          <w:p w14:paraId="3791B7DD"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0,9</w:t>
            </w:r>
          </w:p>
        </w:tc>
        <w:tc>
          <w:tcPr>
            <w:tcW w:w="1340" w:type="dxa"/>
            <w:shd w:val="clear" w:color="auto" w:fill="auto"/>
            <w:vAlign w:val="center"/>
            <w:hideMark/>
          </w:tcPr>
          <w:p w14:paraId="6C476BD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0,4</w:t>
            </w:r>
          </w:p>
        </w:tc>
      </w:tr>
      <w:tr w:rsidR="00A5671F" w:rsidRPr="00342041" w14:paraId="761ED950" w14:textId="77777777" w:rsidTr="00F95264">
        <w:trPr>
          <w:trHeight w:val="300"/>
          <w:jc w:val="center"/>
        </w:trPr>
        <w:tc>
          <w:tcPr>
            <w:tcW w:w="3252" w:type="dxa"/>
            <w:shd w:val="clear" w:color="auto" w:fill="9CC2E5" w:themeFill="accent1" w:themeFillTint="99"/>
            <w:vAlign w:val="center"/>
            <w:hideMark/>
          </w:tcPr>
          <w:p w14:paraId="561E71AE"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Pozostałe dochody                                                                                                                          </w:t>
            </w:r>
          </w:p>
        </w:tc>
        <w:tc>
          <w:tcPr>
            <w:tcW w:w="1340" w:type="dxa"/>
            <w:shd w:val="clear" w:color="auto" w:fill="auto"/>
            <w:vAlign w:val="center"/>
            <w:hideMark/>
          </w:tcPr>
          <w:p w14:paraId="68FBF76D"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3,8</w:t>
            </w:r>
          </w:p>
        </w:tc>
        <w:tc>
          <w:tcPr>
            <w:tcW w:w="1340" w:type="dxa"/>
            <w:shd w:val="clear" w:color="auto" w:fill="auto"/>
            <w:vAlign w:val="center"/>
            <w:hideMark/>
          </w:tcPr>
          <w:p w14:paraId="254FFAEC"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2,4</w:t>
            </w:r>
          </w:p>
        </w:tc>
        <w:tc>
          <w:tcPr>
            <w:tcW w:w="1340" w:type="dxa"/>
            <w:shd w:val="clear" w:color="auto" w:fill="auto"/>
            <w:vAlign w:val="center"/>
            <w:hideMark/>
          </w:tcPr>
          <w:p w14:paraId="0859FFE9"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3,1</w:t>
            </w:r>
          </w:p>
        </w:tc>
        <w:tc>
          <w:tcPr>
            <w:tcW w:w="1340" w:type="dxa"/>
            <w:shd w:val="clear" w:color="auto" w:fill="auto"/>
            <w:vAlign w:val="center"/>
            <w:hideMark/>
          </w:tcPr>
          <w:p w14:paraId="7FBB4EC1"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5,0</w:t>
            </w:r>
          </w:p>
        </w:tc>
        <w:tc>
          <w:tcPr>
            <w:tcW w:w="1340" w:type="dxa"/>
            <w:shd w:val="clear" w:color="auto" w:fill="auto"/>
            <w:vAlign w:val="center"/>
            <w:hideMark/>
          </w:tcPr>
          <w:p w14:paraId="4FC93C65"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w:t>
            </w:r>
          </w:p>
        </w:tc>
      </w:tr>
      <w:tr w:rsidR="00A5671F" w:rsidRPr="00342041" w14:paraId="54DC6D26" w14:textId="77777777" w:rsidTr="00F95264">
        <w:trPr>
          <w:trHeight w:val="480"/>
          <w:jc w:val="center"/>
        </w:trPr>
        <w:tc>
          <w:tcPr>
            <w:tcW w:w="3252" w:type="dxa"/>
            <w:shd w:val="clear" w:color="auto" w:fill="9CC2E5" w:themeFill="accent1" w:themeFillTint="99"/>
            <w:vAlign w:val="center"/>
            <w:hideMark/>
          </w:tcPr>
          <w:p w14:paraId="1883BE1D"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 dary otrzymane od osób prywatnych na</w:t>
            </w:r>
            <w:r w:rsidRPr="00342041">
              <w:rPr>
                <w:rFonts w:ascii="Times New Roman" w:eastAsia="Times New Roman" w:hAnsi="Times New Roman" w:cs="Times New Roman"/>
                <w:b/>
                <w:color w:val="000000"/>
                <w:sz w:val="20"/>
                <w:szCs w:val="20"/>
                <w:lang w:eastAsia="pl-PL"/>
              </w:rPr>
              <w:br/>
              <w:t xml:space="preserve">gospodarstwo domowe </w:t>
            </w:r>
          </w:p>
        </w:tc>
        <w:tc>
          <w:tcPr>
            <w:tcW w:w="1340" w:type="dxa"/>
            <w:shd w:val="clear" w:color="auto" w:fill="auto"/>
            <w:vAlign w:val="center"/>
            <w:hideMark/>
          </w:tcPr>
          <w:p w14:paraId="11210F51"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3,1</w:t>
            </w:r>
          </w:p>
        </w:tc>
        <w:tc>
          <w:tcPr>
            <w:tcW w:w="1340" w:type="dxa"/>
            <w:shd w:val="clear" w:color="auto" w:fill="auto"/>
            <w:vAlign w:val="center"/>
            <w:hideMark/>
          </w:tcPr>
          <w:p w14:paraId="3C55536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w:t>
            </w:r>
          </w:p>
        </w:tc>
        <w:tc>
          <w:tcPr>
            <w:tcW w:w="1340" w:type="dxa"/>
            <w:shd w:val="clear" w:color="auto" w:fill="auto"/>
            <w:vAlign w:val="center"/>
            <w:hideMark/>
          </w:tcPr>
          <w:p w14:paraId="306E042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w:t>
            </w:r>
          </w:p>
        </w:tc>
        <w:tc>
          <w:tcPr>
            <w:tcW w:w="1340" w:type="dxa"/>
            <w:shd w:val="clear" w:color="auto" w:fill="auto"/>
            <w:vAlign w:val="center"/>
            <w:hideMark/>
          </w:tcPr>
          <w:p w14:paraId="07A2A65D"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4,7</w:t>
            </w:r>
          </w:p>
        </w:tc>
        <w:tc>
          <w:tcPr>
            <w:tcW w:w="1340" w:type="dxa"/>
            <w:shd w:val="clear" w:color="auto" w:fill="auto"/>
            <w:vAlign w:val="center"/>
            <w:hideMark/>
          </w:tcPr>
          <w:p w14:paraId="05D4EEDE"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w:t>
            </w:r>
          </w:p>
        </w:tc>
      </w:tr>
      <w:tr w:rsidR="00A5671F" w:rsidRPr="00342041" w14:paraId="6481436B" w14:textId="77777777" w:rsidTr="00F95264">
        <w:trPr>
          <w:trHeight w:val="398"/>
          <w:jc w:val="center"/>
        </w:trPr>
        <w:tc>
          <w:tcPr>
            <w:tcW w:w="9952" w:type="dxa"/>
            <w:gridSpan w:val="6"/>
            <w:shd w:val="clear" w:color="auto" w:fill="auto"/>
            <w:noWrap/>
            <w:vAlign w:val="center"/>
            <w:hideMark/>
          </w:tcPr>
          <w:p w14:paraId="275434FB"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MIASTA</w:t>
            </w:r>
          </w:p>
        </w:tc>
      </w:tr>
      <w:tr w:rsidR="00A5671F" w:rsidRPr="00342041" w14:paraId="166E2707" w14:textId="77777777" w:rsidTr="00F95264">
        <w:trPr>
          <w:trHeight w:val="300"/>
          <w:jc w:val="center"/>
        </w:trPr>
        <w:tc>
          <w:tcPr>
            <w:tcW w:w="9952" w:type="dxa"/>
            <w:gridSpan w:val="6"/>
            <w:shd w:val="clear" w:color="auto" w:fill="9CC2E5" w:themeFill="accent1" w:themeFillTint="99"/>
            <w:vAlign w:val="center"/>
            <w:hideMark/>
          </w:tcPr>
          <w:p w14:paraId="4E044F97"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złotych</w:t>
            </w:r>
          </w:p>
        </w:tc>
      </w:tr>
      <w:tr w:rsidR="00A5671F" w:rsidRPr="00342041" w14:paraId="73A0BCD9" w14:textId="77777777" w:rsidTr="00F95264">
        <w:trPr>
          <w:trHeight w:val="300"/>
          <w:jc w:val="center"/>
        </w:trPr>
        <w:tc>
          <w:tcPr>
            <w:tcW w:w="3252" w:type="dxa"/>
            <w:shd w:val="clear" w:color="auto" w:fill="9CC2E5" w:themeFill="accent1" w:themeFillTint="99"/>
            <w:vAlign w:val="center"/>
            <w:hideMark/>
          </w:tcPr>
          <w:p w14:paraId="1ADC02D9" w14:textId="77777777" w:rsidR="00A5671F" w:rsidRPr="00342041" w:rsidRDefault="00A5671F" w:rsidP="00094325">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 xml:space="preserve">Dochód rozporządzalny                                                                                                                                                                                       </w:t>
            </w:r>
          </w:p>
        </w:tc>
        <w:tc>
          <w:tcPr>
            <w:tcW w:w="1340" w:type="dxa"/>
            <w:shd w:val="clear" w:color="auto" w:fill="auto"/>
            <w:vAlign w:val="center"/>
            <w:hideMark/>
          </w:tcPr>
          <w:p w14:paraId="0566075E"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1 986,66</w:t>
            </w:r>
          </w:p>
        </w:tc>
        <w:tc>
          <w:tcPr>
            <w:tcW w:w="1340" w:type="dxa"/>
            <w:shd w:val="clear" w:color="auto" w:fill="auto"/>
            <w:vAlign w:val="center"/>
            <w:hideMark/>
          </w:tcPr>
          <w:p w14:paraId="36354E08"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1 998,68</w:t>
            </w:r>
          </w:p>
        </w:tc>
        <w:tc>
          <w:tcPr>
            <w:tcW w:w="1340" w:type="dxa"/>
            <w:shd w:val="clear" w:color="auto" w:fill="auto"/>
            <w:vAlign w:val="center"/>
            <w:hideMark/>
          </w:tcPr>
          <w:p w14:paraId="35FF5B2E"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2 217,60</w:t>
            </w:r>
          </w:p>
        </w:tc>
        <w:tc>
          <w:tcPr>
            <w:tcW w:w="1340" w:type="dxa"/>
            <w:shd w:val="clear" w:color="auto" w:fill="auto"/>
            <w:vAlign w:val="center"/>
            <w:hideMark/>
          </w:tcPr>
          <w:p w14:paraId="2059B81F"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2 212,48</w:t>
            </w:r>
          </w:p>
        </w:tc>
        <w:tc>
          <w:tcPr>
            <w:tcW w:w="1340" w:type="dxa"/>
            <w:shd w:val="clear" w:color="auto" w:fill="auto"/>
            <w:vAlign w:val="center"/>
            <w:hideMark/>
          </w:tcPr>
          <w:p w14:paraId="2CF950E2"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2 230,37</w:t>
            </w:r>
          </w:p>
        </w:tc>
      </w:tr>
      <w:tr w:rsidR="00A5671F" w:rsidRPr="00342041" w14:paraId="73C83E6D" w14:textId="77777777" w:rsidTr="00F95264">
        <w:trPr>
          <w:trHeight w:val="300"/>
          <w:jc w:val="center"/>
        </w:trPr>
        <w:tc>
          <w:tcPr>
            <w:tcW w:w="9952" w:type="dxa"/>
            <w:gridSpan w:val="6"/>
            <w:shd w:val="clear" w:color="auto" w:fill="9CC2E5" w:themeFill="accent1" w:themeFillTint="99"/>
            <w:vAlign w:val="center"/>
            <w:hideMark/>
          </w:tcPr>
          <w:p w14:paraId="7879CD5C"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odsetkach</w:t>
            </w:r>
          </w:p>
        </w:tc>
      </w:tr>
      <w:tr w:rsidR="00A5671F" w:rsidRPr="00342041" w14:paraId="6DFA33E5" w14:textId="77777777" w:rsidTr="00F95264">
        <w:trPr>
          <w:trHeight w:val="300"/>
          <w:jc w:val="center"/>
        </w:trPr>
        <w:tc>
          <w:tcPr>
            <w:tcW w:w="3252" w:type="dxa"/>
            <w:shd w:val="clear" w:color="auto" w:fill="9CC2E5" w:themeFill="accent1" w:themeFillTint="99"/>
            <w:vAlign w:val="center"/>
            <w:hideMark/>
          </w:tcPr>
          <w:p w14:paraId="640FCD1D" w14:textId="77777777" w:rsidR="00A5671F" w:rsidRPr="00342041" w:rsidRDefault="00A5671F" w:rsidP="00094325">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Dochód rozporządzalny</w:t>
            </w:r>
          </w:p>
        </w:tc>
        <w:tc>
          <w:tcPr>
            <w:tcW w:w="1340" w:type="dxa"/>
            <w:shd w:val="clear" w:color="auto" w:fill="auto"/>
            <w:vAlign w:val="center"/>
            <w:hideMark/>
          </w:tcPr>
          <w:p w14:paraId="4D3CB291"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2C9B4722"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5C04B0C0"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3AFDA7F1"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30209B7F"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r>
      <w:tr w:rsidR="00A5671F" w:rsidRPr="00342041" w14:paraId="535CF2D2" w14:textId="77777777" w:rsidTr="00F95264">
        <w:trPr>
          <w:trHeight w:val="300"/>
          <w:jc w:val="center"/>
        </w:trPr>
        <w:tc>
          <w:tcPr>
            <w:tcW w:w="3252" w:type="dxa"/>
            <w:shd w:val="clear" w:color="auto" w:fill="9CC2E5" w:themeFill="accent1" w:themeFillTint="99"/>
            <w:vAlign w:val="center"/>
            <w:hideMark/>
          </w:tcPr>
          <w:p w14:paraId="32A5D373"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 dochód do dyspozycji</w:t>
            </w:r>
          </w:p>
        </w:tc>
        <w:tc>
          <w:tcPr>
            <w:tcW w:w="1340" w:type="dxa"/>
            <w:shd w:val="clear" w:color="auto" w:fill="auto"/>
            <w:vAlign w:val="center"/>
            <w:hideMark/>
          </w:tcPr>
          <w:p w14:paraId="1EADB4FA"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97,3</w:t>
            </w:r>
          </w:p>
        </w:tc>
        <w:tc>
          <w:tcPr>
            <w:tcW w:w="1340" w:type="dxa"/>
            <w:shd w:val="clear" w:color="auto" w:fill="auto"/>
            <w:vAlign w:val="center"/>
            <w:hideMark/>
          </w:tcPr>
          <w:p w14:paraId="0904984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96,2</w:t>
            </w:r>
          </w:p>
        </w:tc>
        <w:tc>
          <w:tcPr>
            <w:tcW w:w="1340" w:type="dxa"/>
            <w:shd w:val="clear" w:color="auto" w:fill="auto"/>
            <w:vAlign w:val="center"/>
            <w:hideMark/>
          </w:tcPr>
          <w:p w14:paraId="10521A16"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95,2</w:t>
            </w:r>
          </w:p>
        </w:tc>
        <w:tc>
          <w:tcPr>
            <w:tcW w:w="1340" w:type="dxa"/>
            <w:shd w:val="clear" w:color="auto" w:fill="auto"/>
            <w:vAlign w:val="center"/>
            <w:hideMark/>
          </w:tcPr>
          <w:p w14:paraId="38BF6601"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94,6</w:t>
            </w:r>
          </w:p>
        </w:tc>
        <w:tc>
          <w:tcPr>
            <w:tcW w:w="1340" w:type="dxa"/>
            <w:shd w:val="clear" w:color="auto" w:fill="auto"/>
            <w:vAlign w:val="center"/>
            <w:hideMark/>
          </w:tcPr>
          <w:p w14:paraId="21B90E0E"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95,5</w:t>
            </w:r>
          </w:p>
        </w:tc>
      </w:tr>
      <w:tr w:rsidR="00A5671F" w:rsidRPr="00342041" w14:paraId="52C2C788" w14:textId="77777777" w:rsidTr="00F95264">
        <w:trPr>
          <w:trHeight w:val="300"/>
          <w:jc w:val="center"/>
        </w:trPr>
        <w:tc>
          <w:tcPr>
            <w:tcW w:w="3252" w:type="dxa"/>
            <w:shd w:val="clear" w:color="auto" w:fill="9CC2E5" w:themeFill="accent1" w:themeFillTint="99"/>
            <w:vAlign w:val="center"/>
            <w:hideMark/>
          </w:tcPr>
          <w:p w14:paraId="2FDC43EC"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 pracy najemnej                                                                                                                                                                             </w:t>
            </w:r>
          </w:p>
        </w:tc>
        <w:tc>
          <w:tcPr>
            <w:tcW w:w="1340" w:type="dxa"/>
            <w:shd w:val="clear" w:color="auto" w:fill="auto"/>
            <w:vAlign w:val="center"/>
            <w:hideMark/>
          </w:tcPr>
          <w:p w14:paraId="30268236"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69,8</w:t>
            </w:r>
          </w:p>
        </w:tc>
        <w:tc>
          <w:tcPr>
            <w:tcW w:w="1340" w:type="dxa"/>
            <w:shd w:val="clear" w:color="auto" w:fill="auto"/>
            <w:vAlign w:val="center"/>
            <w:hideMark/>
          </w:tcPr>
          <w:p w14:paraId="505E246A"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26,4</w:t>
            </w:r>
          </w:p>
        </w:tc>
        <w:tc>
          <w:tcPr>
            <w:tcW w:w="1340" w:type="dxa"/>
            <w:shd w:val="clear" w:color="auto" w:fill="auto"/>
            <w:vAlign w:val="center"/>
            <w:hideMark/>
          </w:tcPr>
          <w:p w14:paraId="46A7C555"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9,7</w:t>
            </w:r>
          </w:p>
        </w:tc>
        <w:tc>
          <w:tcPr>
            <w:tcW w:w="1340" w:type="dxa"/>
            <w:shd w:val="clear" w:color="auto" w:fill="auto"/>
            <w:vAlign w:val="center"/>
            <w:hideMark/>
          </w:tcPr>
          <w:p w14:paraId="2D4A2B0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7,8</w:t>
            </w:r>
          </w:p>
        </w:tc>
        <w:tc>
          <w:tcPr>
            <w:tcW w:w="1340" w:type="dxa"/>
            <w:shd w:val="clear" w:color="auto" w:fill="auto"/>
            <w:vAlign w:val="center"/>
            <w:hideMark/>
          </w:tcPr>
          <w:p w14:paraId="116109D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10,8</w:t>
            </w:r>
          </w:p>
        </w:tc>
      </w:tr>
      <w:tr w:rsidR="00A5671F" w:rsidRPr="00342041" w14:paraId="73981E6F" w14:textId="77777777" w:rsidTr="00F95264">
        <w:trPr>
          <w:trHeight w:val="720"/>
          <w:jc w:val="center"/>
        </w:trPr>
        <w:tc>
          <w:tcPr>
            <w:tcW w:w="3252" w:type="dxa"/>
            <w:shd w:val="clear" w:color="auto" w:fill="9CC2E5" w:themeFill="accent1" w:themeFillTint="99"/>
            <w:vAlign w:val="center"/>
            <w:hideMark/>
          </w:tcPr>
          <w:p w14:paraId="156D8B1E"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Dochody z pracy na własny rachunek poza</w:t>
            </w:r>
            <w:r w:rsidRPr="00342041">
              <w:rPr>
                <w:rFonts w:ascii="Times New Roman" w:eastAsia="Times New Roman" w:hAnsi="Times New Roman" w:cs="Times New Roman"/>
                <w:b/>
                <w:color w:val="000000"/>
                <w:sz w:val="20"/>
                <w:szCs w:val="20"/>
                <w:lang w:eastAsia="pl-PL"/>
              </w:rPr>
              <w:br/>
              <w:t>gospodarstwem rolnym w użytkowaniu</w:t>
            </w:r>
            <w:r w:rsidRPr="00342041">
              <w:rPr>
                <w:rFonts w:ascii="Times New Roman" w:eastAsia="Times New Roman" w:hAnsi="Times New Roman" w:cs="Times New Roman"/>
                <w:b/>
                <w:color w:val="000000"/>
                <w:sz w:val="20"/>
                <w:szCs w:val="20"/>
                <w:lang w:eastAsia="pl-PL"/>
              </w:rPr>
              <w:br/>
              <w:t xml:space="preserve">indywidualnym                                                                                                     </w:t>
            </w:r>
          </w:p>
        </w:tc>
        <w:tc>
          <w:tcPr>
            <w:tcW w:w="1340" w:type="dxa"/>
            <w:shd w:val="clear" w:color="auto" w:fill="auto"/>
            <w:vAlign w:val="center"/>
            <w:hideMark/>
          </w:tcPr>
          <w:p w14:paraId="267EC827"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13,4</w:t>
            </w:r>
          </w:p>
        </w:tc>
        <w:tc>
          <w:tcPr>
            <w:tcW w:w="1340" w:type="dxa"/>
            <w:shd w:val="clear" w:color="auto" w:fill="auto"/>
            <w:vAlign w:val="center"/>
            <w:hideMark/>
          </w:tcPr>
          <w:p w14:paraId="68D15A3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3,9</w:t>
            </w:r>
          </w:p>
        </w:tc>
        <w:tc>
          <w:tcPr>
            <w:tcW w:w="1340" w:type="dxa"/>
            <w:shd w:val="clear" w:color="auto" w:fill="auto"/>
            <w:vAlign w:val="center"/>
            <w:hideMark/>
          </w:tcPr>
          <w:p w14:paraId="427F7003"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w:t>
            </w:r>
          </w:p>
        </w:tc>
        <w:tc>
          <w:tcPr>
            <w:tcW w:w="1340" w:type="dxa"/>
            <w:shd w:val="clear" w:color="auto" w:fill="auto"/>
            <w:vAlign w:val="center"/>
            <w:hideMark/>
          </w:tcPr>
          <w:p w14:paraId="2DF8F01E"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w:t>
            </w:r>
          </w:p>
        </w:tc>
        <w:tc>
          <w:tcPr>
            <w:tcW w:w="1340" w:type="dxa"/>
            <w:shd w:val="clear" w:color="auto" w:fill="auto"/>
            <w:vAlign w:val="center"/>
            <w:hideMark/>
          </w:tcPr>
          <w:p w14:paraId="42207E3F"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2,2</w:t>
            </w:r>
          </w:p>
        </w:tc>
      </w:tr>
      <w:tr w:rsidR="00A5671F" w:rsidRPr="00342041" w14:paraId="5A2DD27F" w14:textId="77777777" w:rsidTr="00F95264">
        <w:trPr>
          <w:trHeight w:val="300"/>
          <w:jc w:val="center"/>
        </w:trPr>
        <w:tc>
          <w:tcPr>
            <w:tcW w:w="3252" w:type="dxa"/>
            <w:shd w:val="clear" w:color="auto" w:fill="9CC2E5" w:themeFill="accent1" w:themeFillTint="99"/>
            <w:vAlign w:val="center"/>
            <w:hideMark/>
          </w:tcPr>
          <w:p w14:paraId="2DD48994"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 gospodarstwa rolnego                                                                                                                                                                                              </w:t>
            </w:r>
          </w:p>
        </w:tc>
        <w:tc>
          <w:tcPr>
            <w:tcW w:w="1340" w:type="dxa"/>
            <w:shd w:val="clear" w:color="auto" w:fill="auto"/>
            <w:vAlign w:val="center"/>
            <w:hideMark/>
          </w:tcPr>
          <w:p w14:paraId="4DAEB2F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0,2</w:t>
            </w:r>
          </w:p>
        </w:tc>
        <w:tc>
          <w:tcPr>
            <w:tcW w:w="1340" w:type="dxa"/>
            <w:shd w:val="clear" w:color="auto" w:fill="auto"/>
            <w:vAlign w:val="center"/>
            <w:hideMark/>
          </w:tcPr>
          <w:p w14:paraId="42151436"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0,2</w:t>
            </w:r>
          </w:p>
        </w:tc>
        <w:tc>
          <w:tcPr>
            <w:tcW w:w="1340" w:type="dxa"/>
            <w:shd w:val="clear" w:color="auto" w:fill="auto"/>
            <w:vAlign w:val="center"/>
            <w:hideMark/>
          </w:tcPr>
          <w:p w14:paraId="3DB52AF7"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0,0</w:t>
            </w:r>
          </w:p>
        </w:tc>
        <w:tc>
          <w:tcPr>
            <w:tcW w:w="1340" w:type="dxa"/>
            <w:shd w:val="clear" w:color="auto" w:fill="auto"/>
            <w:vAlign w:val="center"/>
            <w:hideMark/>
          </w:tcPr>
          <w:p w14:paraId="6A3E2D47"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0,0</w:t>
            </w:r>
          </w:p>
        </w:tc>
        <w:tc>
          <w:tcPr>
            <w:tcW w:w="1340" w:type="dxa"/>
            <w:shd w:val="clear" w:color="auto" w:fill="auto"/>
            <w:vAlign w:val="center"/>
            <w:hideMark/>
          </w:tcPr>
          <w:p w14:paraId="6E5BFE0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0,0</w:t>
            </w:r>
          </w:p>
        </w:tc>
      </w:tr>
      <w:tr w:rsidR="00A5671F" w:rsidRPr="00342041" w14:paraId="1E1799F8" w14:textId="77777777" w:rsidTr="00F95264">
        <w:trPr>
          <w:trHeight w:val="300"/>
          <w:jc w:val="center"/>
        </w:trPr>
        <w:tc>
          <w:tcPr>
            <w:tcW w:w="3252" w:type="dxa"/>
            <w:shd w:val="clear" w:color="auto" w:fill="9CC2E5" w:themeFill="accent1" w:themeFillTint="99"/>
            <w:vAlign w:val="center"/>
            <w:hideMark/>
          </w:tcPr>
          <w:p w14:paraId="2AF13E8F"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ze świadczeń społecznych                                                                                                                                                                                                                  </w:t>
            </w:r>
          </w:p>
        </w:tc>
        <w:tc>
          <w:tcPr>
            <w:tcW w:w="1340" w:type="dxa"/>
            <w:shd w:val="clear" w:color="auto" w:fill="auto"/>
            <w:vAlign w:val="center"/>
            <w:hideMark/>
          </w:tcPr>
          <w:p w14:paraId="03F9C76C"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11,7</w:t>
            </w:r>
          </w:p>
        </w:tc>
        <w:tc>
          <w:tcPr>
            <w:tcW w:w="1340" w:type="dxa"/>
            <w:shd w:val="clear" w:color="auto" w:fill="auto"/>
            <w:vAlign w:val="center"/>
            <w:hideMark/>
          </w:tcPr>
          <w:p w14:paraId="20643B0D"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66,6</w:t>
            </w:r>
          </w:p>
        </w:tc>
        <w:tc>
          <w:tcPr>
            <w:tcW w:w="1340" w:type="dxa"/>
            <w:shd w:val="clear" w:color="auto" w:fill="auto"/>
            <w:vAlign w:val="center"/>
            <w:hideMark/>
          </w:tcPr>
          <w:p w14:paraId="403A19C5"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84,7</w:t>
            </w:r>
          </w:p>
        </w:tc>
        <w:tc>
          <w:tcPr>
            <w:tcW w:w="1340" w:type="dxa"/>
            <w:shd w:val="clear" w:color="auto" w:fill="auto"/>
            <w:vAlign w:val="center"/>
            <w:hideMark/>
          </w:tcPr>
          <w:p w14:paraId="0FFB6F5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85,2</w:t>
            </w:r>
          </w:p>
        </w:tc>
        <w:tc>
          <w:tcPr>
            <w:tcW w:w="1340" w:type="dxa"/>
            <w:shd w:val="clear" w:color="auto" w:fill="auto"/>
            <w:vAlign w:val="center"/>
            <w:hideMark/>
          </w:tcPr>
          <w:p w14:paraId="3BEA143F"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84,5</w:t>
            </w:r>
          </w:p>
        </w:tc>
      </w:tr>
      <w:tr w:rsidR="00A5671F" w:rsidRPr="00342041" w14:paraId="39199B21" w14:textId="77777777" w:rsidTr="00F95264">
        <w:trPr>
          <w:trHeight w:val="480"/>
          <w:jc w:val="center"/>
        </w:trPr>
        <w:tc>
          <w:tcPr>
            <w:tcW w:w="3252" w:type="dxa"/>
            <w:shd w:val="clear" w:color="auto" w:fill="9CC2E5" w:themeFill="accent1" w:themeFillTint="99"/>
            <w:vAlign w:val="center"/>
            <w:hideMark/>
          </w:tcPr>
          <w:p w14:paraId="0A7A73D9"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 dochody ze świadczeń z ubezpieczeń społecznych                                                                       </w:t>
            </w:r>
          </w:p>
        </w:tc>
        <w:tc>
          <w:tcPr>
            <w:tcW w:w="1340" w:type="dxa"/>
            <w:shd w:val="clear" w:color="auto" w:fill="auto"/>
            <w:vAlign w:val="center"/>
            <w:hideMark/>
          </w:tcPr>
          <w:p w14:paraId="16BAFA8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3,5</w:t>
            </w:r>
          </w:p>
        </w:tc>
        <w:tc>
          <w:tcPr>
            <w:tcW w:w="1340" w:type="dxa"/>
            <w:shd w:val="clear" w:color="auto" w:fill="auto"/>
            <w:vAlign w:val="center"/>
            <w:hideMark/>
          </w:tcPr>
          <w:p w14:paraId="1E2953A6"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63,8</w:t>
            </w:r>
          </w:p>
        </w:tc>
        <w:tc>
          <w:tcPr>
            <w:tcW w:w="1340" w:type="dxa"/>
            <w:shd w:val="clear" w:color="auto" w:fill="auto"/>
            <w:vAlign w:val="center"/>
            <w:hideMark/>
          </w:tcPr>
          <w:p w14:paraId="327ADBE6"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84,1</w:t>
            </w:r>
          </w:p>
        </w:tc>
        <w:tc>
          <w:tcPr>
            <w:tcW w:w="1340" w:type="dxa"/>
            <w:shd w:val="clear" w:color="auto" w:fill="auto"/>
            <w:vAlign w:val="center"/>
            <w:hideMark/>
          </w:tcPr>
          <w:p w14:paraId="2E52E32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84,3</w:t>
            </w:r>
          </w:p>
        </w:tc>
        <w:tc>
          <w:tcPr>
            <w:tcW w:w="1340" w:type="dxa"/>
            <w:shd w:val="clear" w:color="auto" w:fill="auto"/>
            <w:vAlign w:val="center"/>
            <w:hideMark/>
          </w:tcPr>
          <w:p w14:paraId="3CE1AF9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84,1</w:t>
            </w:r>
          </w:p>
        </w:tc>
      </w:tr>
      <w:tr w:rsidR="00A5671F" w:rsidRPr="00342041" w14:paraId="20F9BBDD" w14:textId="77777777" w:rsidTr="00F95264">
        <w:trPr>
          <w:trHeight w:val="300"/>
          <w:jc w:val="center"/>
        </w:trPr>
        <w:tc>
          <w:tcPr>
            <w:tcW w:w="3252" w:type="dxa"/>
            <w:shd w:val="clear" w:color="auto" w:fill="9CC2E5" w:themeFill="accent1" w:themeFillTint="99"/>
            <w:vAlign w:val="center"/>
            <w:hideMark/>
          </w:tcPr>
          <w:p w14:paraId="26611D14"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w tym emerytury i renty                                                                                                                                                                               </w:t>
            </w:r>
          </w:p>
        </w:tc>
        <w:tc>
          <w:tcPr>
            <w:tcW w:w="1340" w:type="dxa"/>
            <w:shd w:val="clear" w:color="auto" w:fill="auto"/>
            <w:vAlign w:val="center"/>
            <w:hideMark/>
          </w:tcPr>
          <w:p w14:paraId="76A544CE"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2,3</w:t>
            </w:r>
          </w:p>
        </w:tc>
        <w:tc>
          <w:tcPr>
            <w:tcW w:w="1340" w:type="dxa"/>
            <w:shd w:val="clear" w:color="auto" w:fill="auto"/>
            <w:vAlign w:val="center"/>
            <w:hideMark/>
          </w:tcPr>
          <w:p w14:paraId="3D4D8A0C"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59,5</w:t>
            </w:r>
          </w:p>
        </w:tc>
        <w:tc>
          <w:tcPr>
            <w:tcW w:w="1340" w:type="dxa"/>
            <w:shd w:val="clear" w:color="auto" w:fill="auto"/>
            <w:vAlign w:val="center"/>
            <w:hideMark/>
          </w:tcPr>
          <w:p w14:paraId="62B5C7E6"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79,1</w:t>
            </w:r>
          </w:p>
        </w:tc>
        <w:tc>
          <w:tcPr>
            <w:tcW w:w="1340" w:type="dxa"/>
            <w:shd w:val="clear" w:color="auto" w:fill="auto"/>
            <w:vAlign w:val="center"/>
            <w:hideMark/>
          </w:tcPr>
          <w:p w14:paraId="72C29EB7"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72,4</w:t>
            </w:r>
          </w:p>
        </w:tc>
        <w:tc>
          <w:tcPr>
            <w:tcW w:w="1340" w:type="dxa"/>
            <w:shd w:val="clear" w:color="auto" w:fill="auto"/>
            <w:vAlign w:val="center"/>
            <w:hideMark/>
          </w:tcPr>
          <w:p w14:paraId="2F4FBC5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83,5</w:t>
            </w:r>
          </w:p>
        </w:tc>
      </w:tr>
      <w:tr w:rsidR="00A5671F" w:rsidRPr="00342041" w14:paraId="67C519A7" w14:textId="77777777" w:rsidTr="00F95264">
        <w:trPr>
          <w:trHeight w:val="300"/>
          <w:jc w:val="center"/>
        </w:trPr>
        <w:tc>
          <w:tcPr>
            <w:tcW w:w="3252" w:type="dxa"/>
            <w:shd w:val="clear" w:color="auto" w:fill="9CC2E5" w:themeFill="accent1" w:themeFillTint="99"/>
            <w:vAlign w:val="center"/>
            <w:hideMark/>
          </w:tcPr>
          <w:p w14:paraId="27A8C7BB"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 pozostałych świadczeń społecznych                            </w:t>
            </w:r>
          </w:p>
        </w:tc>
        <w:tc>
          <w:tcPr>
            <w:tcW w:w="1340" w:type="dxa"/>
            <w:shd w:val="clear" w:color="auto" w:fill="auto"/>
            <w:vAlign w:val="center"/>
            <w:hideMark/>
          </w:tcPr>
          <w:p w14:paraId="11031E7D"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8,2</w:t>
            </w:r>
          </w:p>
        </w:tc>
        <w:tc>
          <w:tcPr>
            <w:tcW w:w="1340" w:type="dxa"/>
            <w:shd w:val="clear" w:color="auto" w:fill="auto"/>
            <w:vAlign w:val="center"/>
            <w:hideMark/>
          </w:tcPr>
          <w:p w14:paraId="3FB554D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2,8</w:t>
            </w:r>
          </w:p>
        </w:tc>
        <w:tc>
          <w:tcPr>
            <w:tcW w:w="1340" w:type="dxa"/>
            <w:shd w:val="clear" w:color="auto" w:fill="auto"/>
            <w:vAlign w:val="center"/>
            <w:hideMark/>
          </w:tcPr>
          <w:p w14:paraId="2A837A45"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0,6</w:t>
            </w:r>
          </w:p>
        </w:tc>
        <w:tc>
          <w:tcPr>
            <w:tcW w:w="1340" w:type="dxa"/>
            <w:shd w:val="clear" w:color="auto" w:fill="auto"/>
            <w:vAlign w:val="center"/>
            <w:hideMark/>
          </w:tcPr>
          <w:p w14:paraId="10F66038"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0,9</w:t>
            </w:r>
          </w:p>
        </w:tc>
        <w:tc>
          <w:tcPr>
            <w:tcW w:w="1340" w:type="dxa"/>
            <w:shd w:val="clear" w:color="auto" w:fill="auto"/>
            <w:vAlign w:val="center"/>
            <w:hideMark/>
          </w:tcPr>
          <w:p w14:paraId="56D5EBD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0,4</w:t>
            </w:r>
          </w:p>
        </w:tc>
      </w:tr>
      <w:tr w:rsidR="00A5671F" w:rsidRPr="00342041" w14:paraId="6FA72FD7" w14:textId="77777777" w:rsidTr="00F95264">
        <w:trPr>
          <w:trHeight w:val="300"/>
          <w:jc w:val="center"/>
        </w:trPr>
        <w:tc>
          <w:tcPr>
            <w:tcW w:w="3252" w:type="dxa"/>
            <w:shd w:val="clear" w:color="auto" w:fill="9CC2E5" w:themeFill="accent1" w:themeFillTint="99"/>
            <w:vAlign w:val="center"/>
            <w:hideMark/>
          </w:tcPr>
          <w:p w14:paraId="0F75FC41"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Pozostałe dochody                                                                                                                          </w:t>
            </w:r>
          </w:p>
        </w:tc>
        <w:tc>
          <w:tcPr>
            <w:tcW w:w="1340" w:type="dxa"/>
            <w:shd w:val="clear" w:color="auto" w:fill="auto"/>
            <w:vAlign w:val="center"/>
            <w:hideMark/>
          </w:tcPr>
          <w:p w14:paraId="3C5B0242"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4,3</w:t>
            </w:r>
          </w:p>
        </w:tc>
        <w:tc>
          <w:tcPr>
            <w:tcW w:w="1340" w:type="dxa"/>
            <w:shd w:val="clear" w:color="auto" w:fill="auto"/>
            <w:vAlign w:val="center"/>
            <w:hideMark/>
          </w:tcPr>
          <w:p w14:paraId="0A72841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2,3</w:t>
            </w:r>
          </w:p>
        </w:tc>
        <w:tc>
          <w:tcPr>
            <w:tcW w:w="1340" w:type="dxa"/>
            <w:shd w:val="clear" w:color="auto" w:fill="auto"/>
            <w:vAlign w:val="center"/>
            <w:hideMark/>
          </w:tcPr>
          <w:p w14:paraId="6642C963"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2,9</w:t>
            </w:r>
          </w:p>
        </w:tc>
        <w:tc>
          <w:tcPr>
            <w:tcW w:w="1340" w:type="dxa"/>
            <w:shd w:val="clear" w:color="auto" w:fill="auto"/>
            <w:vAlign w:val="center"/>
            <w:hideMark/>
          </w:tcPr>
          <w:p w14:paraId="2B34C30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4,7</w:t>
            </w:r>
          </w:p>
        </w:tc>
        <w:tc>
          <w:tcPr>
            <w:tcW w:w="1340" w:type="dxa"/>
            <w:shd w:val="clear" w:color="auto" w:fill="auto"/>
            <w:vAlign w:val="center"/>
            <w:hideMark/>
          </w:tcPr>
          <w:p w14:paraId="222B3BF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1,8</w:t>
            </w:r>
          </w:p>
        </w:tc>
      </w:tr>
      <w:tr w:rsidR="00A5671F" w:rsidRPr="00342041" w14:paraId="60AAE08D" w14:textId="77777777" w:rsidTr="00F95264">
        <w:trPr>
          <w:trHeight w:val="480"/>
          <w:jc w:val="center"/>
        </w:trPr>
        <w:tc>
          <w:tcPr>
            <w:tcW w:w="3252" w:type="dxa"/>
            <w:shd w:val="clear" w:color="auto" w:fill="9CC2E5" w:themeFill="accent1" w:themeFillTint="99"/>
            <w:vAlign w:val="center"/>
            <w:hideMark/>
          </w:tcPr>
          <w:p w14:paraId="7BE33A25"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 dary otrzymane od osób prywatnych na</w:t>
            </w:r>
            <w:r w:rsidRPr="00342041">
              <w:rPr>
                <w:rFonts w:ascii="Times New Roman" w:eastAsia="Times New Roman" w:hAnsi="Times New Roman" w:cs="Times New Roman"/>
                <w:b/>
                <w:color w:val="000000"/>
                <w:sz w:val="20"/>
                <w:szCs w:val="20"/>
                <w:lang w:eastAsia="pl-PL"/>
              </w:rPr>
              <w:br/>
              <w:t xml:space="preserve">gospodarstwo domowe </w:t>
            </w:r>
          </w:p>
        </w:tc>
        <w:tc>
          <w:tcPr>
            <w:tcW w:w="1340" w:type="dxa"/>
            <w:shd w:val="clear" w:color="auto" w:fill="auto"/>
            <w:vAlign w:val="center"/>
            <w:hideMark/>
          </w:tcPr>
          <w:p w14:paraId="573AA523"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3,5</w:t>
            </w:r>
          </w:p>
        </w:tc>
        <w:tc>
          <w:tcPr>
            <w:tcW w:w="1340" w:type="dxa"/>
            <w:shd w:val="clear" w:color="auto" w:fill="auto"/>
            <w:vAlign w:val="center"/>
            <w:hideMark/>
          </w:tcPr>
          <w:p w14:paraId="7FDE07C1"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2,1</w:t>
            </w:r>
          </w:p>
        </w:tc>
        <w:tc>
          <w:tcPr>
            <w:tcW w:w="1340" w:type="dxa"/>
            <w:shd w:val="clear" w:color="auto" w:fill="auto"/>
            <w:vAlign w:val="center"/>
            <w:hideMark/>
          </w:tcPr>
          <w:p w14:paraId="03DC615E"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2,6</w:t>
            </w:r>
          </w:p>
        </w:tc>
        <w:tc>
          <w:tcPr>
            <w:tcW w:w="1340" w:type="dxa"/>
            <w:shd w:val="clear" w:color="auto" w:fill="auto"/>
            <w:vAlign w:val="center"/>
            <w:hideMark/>
          </w:tcPr>
          <w:p w14:paraId="388FF62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4,6</w:t>
            </w:r>
          </w:p>
        </w:tc>
        <w:tc>
          <w:tcPr>
            <w:tcW w:w="1340" w:type="dxa"/>
            <w:shd w:val="clear" w:color="auto" w:fill="auto"/>
            <w:vAlign w:val="center"/>
            <w:hideMark/>
          </w:tcPr>
          <w:p w14:paraId="05E29641"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w:t>
            </w:r>
          </w:p>
        </w:tc>
      </w:tr>
      <w:tr w:rsidR="00A5671F" w:rsidRPr="00342041" w14:paraId="325B0225" w14:textId="77777777" w:rsidTr="00094325">
        <w:trPr>
          <w:trHeight w:val="260"/>
          <w:jc w:val="center"/>
        </w:trPr>
        <w:tc>
          <w:tcPr>
            <w:tcW w:w="9952" w:type="dxa"/>
            <w:gridSpan w:val="6"/>
            <w:shd w:val="clear" w:color="auto" w:fill="auto"/>
            <w:vAlign w:val="center"/>
            <w:hideMark/>
          </w:tcPr>
          <w:p w14:paraId="1675701F" w14:textId="77777777" w:rsidR="00A5671F" w:rsidRPr="00342041" w:rsidRDefault="00A5671F"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WIEŚ</w:t>
            </w:r>
          </w:p>
        </w:tc>
      </w:tr>
      <w:tr w:rsidR="00A5671F" w:rsidRPr="00342041" w14:paraId="62908BE3" w14:textId="77777777" w:rsidTr="00F95264">
        <w:trPr>
          <w:trHeight w:val="300"/>
          <w:jc w:val="center"/>
        </w:trPr>
        <w:tc>
          <w:tcPr>
            <w:tcW w:w="9952" w:type="dxa"/>
            <w:gridSpan w:val="6"/>
            <w:shd w:val="clear" w:color="auto" w:fill="9CC2E5" w:themeFill="accent1" w:themeFillTint="99"/>
            <w:vAlign w:val="center"/>
            <w:hideMark/>
          </w:tcPr>
          <w:p w14:paraId="686E17B6"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złotych</w:t>
            </w:r>
          </w:p>
        </w:tc>
      </w:tr>
      <w:tr w:rsidR="00A5671F" w:rsidRPr="00342041" w14:paraId="01128721" w14:textId="77777777" w:rsidTr="00F95264">
        <w:trPr>
          <w:trHeight w:val="300"/>
          <w:jc w:val="center"/>
        </w:trPr>
        <w:tc>
          <w:tcPr>
            <w:tcW w:w="3252" w:type="dxa"/>
            <w:shd w:val="clear" w:color="auto" w:fill="9CC2E5" w:themeFill="accent1" w:themeFillTint="99"/>
            <w:vAlign w:val="center"/>
            <w:hideMark/>
          </w:tcPr>
          <w:p w14:paraId="5E537D72" w14:textId="77777777" w:rsidR="00A5671F" w:rsidRPr="00342041" w:rsidRDefault="00A5671F" w:rsidP="00094325">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 xml:space="preserve">Dochód rozporządzalny                                                                                                                                                                                       </w:t>
            </w:r>
          </w:p>
        </w:tc>
        <w:tc>
          <w:tcPr>
            <w:tcW w:w="1340" w:type="dxa"/>
            <w:shd w:val="clear" w:color="auto" w:fill="auto"/>
            <w:vAlign w:val="center"/>
            <w:hideMark/>
          </w:tcPr>
          <w:p w14:paraId="44007387"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1 563,33</w:t>
            </w:r>
          </w:p>
        </w:tc>
        <w:tc>
          <w:tcPr>
            <w:tcW w:w="1340" w:type="dxa"/>
            <w:shd w:val="clear" w:color="auto" w:fill="auto"/>
            <w:vAlign w:val="center"/>
            <w:hideMark/>
          </w:tcPr>
          <w:p w14:paraId="605CD835"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1 537,71</w:t>
            </w:r>
          </w:p>
        </w:tc>
        <w:tc>
          <w:tcPr>
            <w:tcW w:w="1340" w:type="dxa"/>
            <w:shd w:val="clear" w:color="auto" w:fill="auto"/>
            <w:vAlign w:val="center"/>
            <w:hideMark/>
          </w:tcPr>
          <w:p w14:paraId="64DF651C"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1 804,18</w:t>
            </w:r>
          </w:p>
        </w:tc>
        <w:tc>
          <w:tcPr>
            <w:tcW w:w="1340" w:type="dxa"/>
            <w:shd w:val="clear" w:color="auto" w:fill="auto"/>
            <w:vAlign w:val="center"/>
            <w:hideMark/>
          </w:tcPr>
          <w:p w14:paraId="6936C6AD"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1 752,18</w:t>
            </w:r>
          </w:p>
        </w:tc>
        <w:tc>
          <w:tcPr>
            <w:tcW w:w="1340" w:type="dxa"/>
            <w:shd w:val="clear" w:color="auto" w:fill="auto"/>
            <w:vAlign w:val="center"/>
            <w:hideMark/>
          </w:tcPr>
          <w:p w14:paraId="7570BD13"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1 847,64</w:t>
            </w:r>
          </w:p>
        </w:tc>
      </w:tr>
      <w:tr w:rsidR="00A5671F" w:rsidRPr="00342041" w14:paraId="4D03197D" w14:textId="77777777" w:rsidTr="00F95264">
        <w:trPr>
          <w:trHeight w:val="300"/>
          <w:jc w:val="center"/>
        </w:trPr>
        <w:tc>
          <w:tcPr>
            <w:tcW w:w="9952" w:type="dxa"/>
            <w:gridSpan w:val="6"/>
            <w:shd w:val="clear" w:color="auto" w:fill="9CC2E5" w:themeFill="accent1" w:themeFillTint="99"/>
            <w:vAlign w:val="center"/>
            <w:hideMark/>
          </w:tcPr>
          <w:p w14:paraId="3ED6AEF7"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odsetkach</w:t>
            </w:r>
          </w:p>
        </w:tc>
      </w:tr>
      <w:tr w:rsidR="00A5671F" w:rsidRPr="00342041" w14:paraId="02780AF2" w14:textId="77777777" w:rsidTr="00F95264">
        <w:trPr>
          <w:trHeight w:val="300"/>
          <w:jc w:val="center"/>
        </w:trPr>
        <w:tc>
          <w:tcPr>
            <w:tcW w:w="3252" w:type="dxa"/>
            <w:shd w:val="clear" w:color="auto" w:fill="9CC2E5" w:themeFill="accent1" w:themeFillTint="99"/>
            <w:vAlign w:val="center"/>
            <w:hideMark/>
          </w:tcPr>
          <w:p w14:paraId="0AF5BAF6" w14:textId="77777777" w:rsidR="00A5671F" w:rsidRPr="00342041" w:rsidRDefault="00A5671F" w:rsidP="00094325">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Dochód rozporządzalny</w:t>
            </w:r>
          </w:p>
        </w:tc>
        <w:tc>
          <w:tcPr>
            <w:tcW w:w="1340" w:type="dxa"/>
            <w:shd w:val="clear" w:color="auto" w:fill="auto"/>
            <w:vAlign w:val="center"/>
            <w:hideMark/>
          </w:tcPr>
          <w:p w14:paraId="10122E16"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247EB6BE"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2C356C12"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187FA83D"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7465DA63" w14:textId="77777777" w:rsidR="00A5671F" w:rsidRPr="00342041" w:rsidRDefault="00A5671F"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r>
      <w:tr w:rsidR="00A5671F" w:rsidRPr="00342041" w14:paraId="5CF46271" w14:textId="77777777" w:rsidTr="00F95264">
        <w:trPr>
          <w:trHeight w:val="300"/>
          <w:jc w:val="center"/>
        </w:trPr>
        <w:tc>
          <w:tcPr>
            <w:tcW w:w="3252" w:type="dxa"/>
            <w:shd w:val="clear" w:color="auto" w:fill="9CC2E5" w:themeFill="accent1" w:themeFillTint="99"/>
            <w:vAlign w:val="center"/>
            <w:hideMark/>
          </w:tcPr>
          <w:p w14:paraId="52488682"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 dochód do dyspozycji</w:t>
            </w:r>
          </w:p>
        </w:tc>
        <w:tc>
          <w:tcPr>
            <w:tcW w:w="1340" w:type="dxa"/>
            <w:shd w:val="clear" w:color="auto" w:fill="auto"/>
            <w:vAlign w:val="center"/>
            <w:hideMark/>
          </w:tcPr>
          <w:p w14:paraId="435D0398"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98,0</w:t>
            </w:r>
          </w:p>
        </w:tc>
        <w:tc>
          <w:tcPr>
            <w:tcW w:w="1340" w:type="dxa"/>
            <w:shd w:val="clear" w:color="auto" w:fill="auto"/>
            <w:vAlign w:val="center"/>
            <w:hideMark/>
          </w:tcPr>
          <w:p w14:paraId="625FAAF2"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97,7</w:t>
            </w:r>
          </w:p>
        </w:tc>
        <w:tc>
          <w:tcPr>
            <w:tcW w:w="1340" w:type="dxa"/>
            <w:shd w:val="clear" w:color="auto" w:fill="auto"/>
            <w:vAlign w:val="center"/>
            <w:hideMark/>
          </w:tcPr>
          <w:p w14:paraId="0B2DDFC2"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96,2</w:t>
            </w:r>
          </w:p>
        </w:tc>
        <w:tc>
          <w:tcPr>
            <w:tcW w:w="1340" w:type="dxa"/>
            <w:shd w:val="clear" w:color="auto" w:fill="auto"/>
            <w:vAlign w:val="center"/>
            <w:hideMark/>
          </w:tcPr>
          <w:p w14:paraId="79EDC0C8"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96,1</w:t>
            </w:r>
          </w:p>
        </w:tc>
        <w:tc>
          <w:tcPr>
            <w:tcW w:w="1340" w:type="dxa"/>
            <w:shd w:val="clear" w:color="auto" w:fill="auto"/>
            <w:vAlign w:val="center"/>
            <w:hideMark/>
          </w:tcPr>
          <w:p w14:paraId="3109B869"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96,3</w:t>
            </w:r>
          </w:p>
        </w:tc>
      </w:tr>
      <w:tr w:rsidR="00A5671F" w:rsidRPr="00342041" w14:paraId="21189154" w14:textId="77777777" w:rsidTr="00F95264">
        <w:trPr>
          <w:trHeight w:val="300"/>
          <w:jc w:val="center"/>
        </w:trPr>
        <w:tc>
          <w:tcPr>
            <w:tcW w:w="3252" w:type="dxa"/>
            <w:shd w:val="clear" w:color="auto" w:fill="9CC2E5" w:themeFill="accent1" w:themeFillTint="99"/>
            <w:vAlign w:val="center"/>
            <w:hideMark/>
          </w:tcPr>
          <w:p w14:paraId="26718223"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 pracy najemnej                                                                                                                                                                             </w:t>
            </w:r>
          </w:p>
        </w:tc>
        <w:tc>
          <w:tcPr>
            <w:tcW w:w="1340" w:type="dxa"/>
            <w:shd w:val="clear" w:color="auto" w:fill="auto"/>
            <w:vAlign w:val="center"/>
            <w:hideMark/>
          </w:tcPr>
          <w:p w14:paraId="6B9A4092"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62,0</w:t>
            </w:r>
          </w:p>
        </w:tc>
        <w:tc>
          <w:tcPr>
            <w:tcW w:w="1340" w:type="dxa"/>
            <w:shd w:val="clear" w:color="auto" w:fill="auto"/>
            <w:vAlign w:val="center"/>
            <w:hideMark/>
          </w:tcPr>
          <w:p w14:paraId="17AC024C"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31,6</w:t>
            </w:r>
          </w:p>
        </w:tc>
        <w:tc>
          <w:tcPr>
            <w:tcW w:w="1340" w:type="dxa"/>
            <w:shd w:val="clear" w:color="auto" w:fill="auto"/>
            <w:vAlign w:val="center"/>
            <w:hideMark/>
          </w:tcPr>
          <w:p w14:paraId="3CE0EEC2"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7,2</w:t>
            </w:r>
          </w:p>
        </w:tc>
        <w:tc>
          <w:tcPr>
            <w:tcW w:w="1340" w:type="dxa"/>
            <w:shd w:val="clear" w:color="auto" w:fill="auto"/>
            <w:vAlign w:val="center"/>
            <w:hideMark/>
          </w:tcPr>
          <w:p w14:paraId="1C34577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5,5</w:t>
            </w:r>
          </w:p>
        </w:tc>
        <w:tc>
          <w:tcPr>
            <w:tcW w:w="1340" w:type="dxa"/>
            <w:shd w:val="clear" w:color="auto" w:fill="auto"/>
            <w:vAlign w:val="center"/>
            <w:hideMark/>
          </w:tcPr>
          <w:p w14:paraId="1F0BC1DA"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8,1</w:t>
            </w:r>
          </w:p>
        </w:tc>
      </w:tr>
      <w:tr w:rsidR="00A5671F" w:rsidRPr="00342041" w14:paraId="3DCE9D71" w14:textId="77777777" w:rsidTr="00F95264">
        <w:trPr>
          <w:trHeight w:val="720"/>
          <w:jc w:val="center"/>
        </w:trPr>
        <w:tc>
          <w:tcPr>
            <w:tcW w:w="3252" w:type="dxa"/>
            <w:shd w:val="clear" w:color="auto" w:fill="9CC2E5" w:themeFill="accent1" w:themeFillTint="99"/>
            <w:vAlign w:val="center"/>
            <w:hideMark/>
          </w:tcPr>
          <w:p w14:paraId="468C01C8"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Dochody z pracy na własny rachunek poza</w:t>
            </w:r>
            <w:r w:rsidRPr="00342041">
              <w:rPr>
                <w:rFonts w:ascii="Times New Roman" w:eastAsia="Times New Roman" w:hAnsi="Times New Roman" w:cs="Times New Roman"/>
                <w:b/>
                <w:color w:val="000000"/>
                <w:sz w:val="20"/>
                <w:szCs w:val="20"/>
                <w:lang w:eastAsia="pl-PL"/>
              </w:rPr>
              <w:br/>
              <w:t xml:space="preserve">gospodarstwem rolnym w użytkowaniu indywidualnym                                                                                                     </w:t>
            </w:r>
          </w:p>
        </w:tc>
        <w:tc>
          <w:tcPr>
            <w:tcW w:w="1340" w:type="dxa"/>
            <w:shd w:val="clear" w:color="auto" w:fill="auto"/>
            <w:vAlign w:val="center"/>
            <w:hideMark/>
          </w:tcPr>
          <w:p w14:paraId="042D2D5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10,4</w:t>
            </w:r>
          </w:p>
        </w:tc>
        <w:tc>
          <w:tcPr>
            <w:tcW w:w="1340" w:type="dxa"/>
            <w:shd w:val="clear" w:color="auto" w:fill="auto"/>
            <w:vAlign w:val="center"/>
            <w:hideMark/>
          </w:tcPr>
          <w:p w14:paraId="5430908F"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3,9</w:t>
            </w:r>
          </w:p>
        </w:tc>
        <w:tc>
          <w:tcPr>
            <w:tcW w:w="1340" w:type="dxa"/>
            <w:shd w:val="clear" w:color="auto" w:fill="auto"/>
            <w:vAlign w:val="center"/>
            <w:hideMark/>
          </w:tcPr>
          <w:p w14:paraId="66269BC2"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w:t>
            </w:r>
          </w:p>
        </w:tc>
        <w:tc>
          <w:tcPr>
            <w:tcW w:w="1340" w:type="dxa"/>
            <w:shd w:val="clear" w:color="auto" w:fill="auto"/>
            <w:vAlign w:val="center"/>
            <w:hideMark/>
          </w:tcPr>
          <w:p w14:paraId="72324B33"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0,6</w:t>
            </w:r>
          </w:p>
        </w:tc>
        <w:tc>
          <w:tcPr>
            <w:tcW w:w="1340" w:type="dxa"/>
            <w:shd w:val="clear" w:color="auto" w:fill="auto"/>
            <w:vAlign w:val="center"/>
            <w:hideMark/>
          </w:tcPr>
          <w:p w14:paraId="0E7BC8AF"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w:t>
            </w:r>
          </w:p>
        </w:tc>
      </w:tr>
      <w:tr w:rsidR="00A5671F" w:rsidRPr="00342041" w14:paraId="1E42D19B" w14:textId="77777777" w:rsidTr="00F95264">
        <w:trPr>
          <w:trHeight w:val="300"/>
          <w:jc w:val="center"/>
        </w:trPr>
        <w:tc>
          <w:tcPr>
            <w:tcW w:w="3252" w:type="dxa"/>
            <w:shd w:val="clear" w:color="auto" w:fill="9CC2E5" w:themeFill="accent1" w:themeFillTint="99"/>
            <w:vAlign w:val="center"/>
            <w:hideMark/>
          </w:tcPr>
          <w:p w14:paraId="3A7AD6E9"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 gospodarstwa rolnego                                                                                                                                                                                              </w:t>
            </w:r>
          </w:p>
        </w:tc>
        <w:tc>
          <w:tcPr>
            <w:tcW w:w="1340" w:type="dxa"/>
            <w:shd w:val="clear" w:color="auto" w:fill="auto"/>
            <w:vAlign w:val="center"/>
            <w:hideMark/>
          </w:tcPr>
          <w:p w14:paraId="159380D7"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8,3</w:t>
            </w:r>
          </w:p>
        </w:tc>
        <w:tc>
          <w:tcPr>
            <w:tcW w:w="1340" w:type="dxa"/>
            <w:shd w:val="clear" w:color="auto" w:fill="auto"/>
            <w:vAlign w:val="center"/>
            <w:hideMark/>
          </w:tcPr>
          <w:p w14:paraId="56C2639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11,4</w:t>
            </w:r>
          </w:p>
        </w:tc>
        <w:tc>
          <w:tcPr>
            <w:tcW w:w="1340" w:type="dxa"/>
            <w:shd w:val="clear" w:color="auto" w:fill="auto"/>
            <w:vAlign w:val="center"/>
            <w:hideMark/>
          </w:tcPr>
          <w:p w14:paraId="7A7272A3"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2,1</w:t>
            </w:r>
          </w:p>
        </w:tc>
        <w:tc>
          <w:tcPr>
            <w:tcW w:w="1340" w:type="dxa"/>
            <w:shd w:val="clear" w:color="auto" w:fill="auto"/>
            <w:vAlign w:val="center"/>
            <w:hideMark/>
          </w:tcPr>
          <w:p w14:paraId="13A4C39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0,9</w:t>
            </w:r>
          </w:p>
        </w:tc>
        <w:tc>
          <w:tcPr>
            <w:tcW w:w="1340" w:type="dxa"/>
            <w:shd w:val="clear" w:color="auto" w:fill="auto"/>
            <w:vAlign w:val="center"/>
            <w:hideMark/>
          </w:tcPr>
          <w:p w14:paraId="32EF37F7"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2,8</w:t>
            </w:r>
          </w:p>
        </w:tc>
      </w:tr>
      <w:tr w:rsidR="00A5671F" w:rsidRPr="00342041" w14:paraId="5C8F2D88" w14:textId="77777777" w:rsidTr="00F95264">
        <w:trPr>
          <w:trHeight w:val="300"/>
          <w:jc w:val="center"/>
        </w:trPr>
        <w:tc>
          <w:tcPr>
            <w:tcW w:w="3252" w:type="dxa"/>
            <w:shd w:val="clear" w:color="auto" w:fill="9CC2E5" w:themeFill="accent1" w:themeFillTint="99"/>
            <w:vAlign w:val="center"/>
            <w:hideMark/>
          </w:tcPr>
          <w:p w14:paraId="046FD6BE"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ze świadczeń społecznych                                                                                                                                                                                                                  </w:t>
            </w:r>
          </w:p>
        </w:tc>
        <w:tc>
          <w:tcPr>
            <w:tcW w:w="1340" w:type="dxa"/>
            <w:shd w:val="clear" w:color="auto" w:fill="auto"/>
            <w:vAlign w:val="center"/>
            <w:hideMark/>
          </w:tcPr>
          <w:p w14:paraId="518DE9AD"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16,5</w:t>
            </w:r>
          </w:p>
        </w:tc>
        <w:tc>
          <w:tcPr>
            <w:tcW w:w="1340" w:type="dxa"/>
            <w:shd w:val="clear" w:color="auto" w:fill="auto"/>
            <w:vAlign w:val="center"/>
            <w:hideMark/>
          </w:tcPr>
          <w:p w14:paraId="4C4A6398"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50,5</w:t>
            </w:r>
          </w:p>
        </w:tc>
        <w:tc>
          <w:tcPr>
            <w:tcW w:w="1340" w:type="dxa"/>
            <w:shd w:val="clear" w:color="auto" w:fill="auto"/>
            <w:vAlign w:val="center"/>
            <w:hideMark/>
          </w:tcPr>
          <w:p w14:paraId="5CDB9E93"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85,1</w:t>
            </w:r>
          </w:p>
        </w:tc>
        <w:tc>
          <w:tcPr>
            <w:tcW w:w="1340" w:type="dxa"/>
            <w:shd w:val="clear" w:color="auto" w:fill="auto"/>
            <w:vAlign w:val="center"/>
            <w:hideMark/>
          </w:tcPr>
          <w:p w14:paraId="705F5DDE"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86,5</w:t>
            </w:r>
          </w:p>
        </w:tc>
        <w:tc>
          <w:tcPr>
            <w:tcW w:w="1340" w:type="dxa"/>
            <w:shd w:val="clear" w:color="auto" w:fill="auto"/>
            <w:vAlign w:val="center"/>
            <w:hideMark/>
          </w:tcPr>
          <w:p w14:paraId="15A1002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84,2</w:t>
            </w:r>
          </w:p>
        </w:tc>
      </w:tr>
      <w:tr w:rsidR="00A5671F" w:rsidRPr="00342041" w14:paraId="3F06FCE5" w14:textId="77777777" w:rsidTr="00F95264">
        <w:trPr>
          <w:trHeight w:val="480"/>
          <w:jc w:val="center"/>
        </w:trPr>
        <w:tc>
          <w:tcPr>
            <w:tcW w:w="3252" w:type="dxa"/>
            <w:shd w:val="clear" w:color="auto" w:fill="9CC2E5" w:themeFill="accent1" w:themeFillTint="99"/>
            <w:vAlign w:val="center"/>
            <w:hideMark/>
          </w:tcPr>
          <w:p w14:paraId="7BD2AD0B"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 dochody ze świadczeń z ubezpieczeń społecznych                                                                       </w:t>
            </w:r>
          </w:p>
        </w:tc>
        <w:tc>
          <w:tcPr>
            <w:tcW w:w="1340" w:type="dxa"/>
            <w:shd w:val="clear" w:color="auto" w:fill="auto"/>
            <w:vAlign w:val="center"/>
            <w:hideMark/>
          </w:tcPr>
          <w:p w14:paraId="5C457BC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4,2</w:t>
            </w:r>
          </w:p>
        </w:tc>
        <w:tc>
          <w:tcPr>
            <w:tcW w:w="1340" w:type="dxa"/>
            <w:shd w:val="clear" w:color="auto" w:fill="auto"/>
            <w:vAlign w:val="center"/>
            <w:hideMark/>
          </w:tcPr>
          <w:p w14:paraId="70A95F38"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44,2</w:t>
            </w:r>
          </w:p>
        </w:tc>
        <w:tc>
          <w:tcPr>
            <w:tcW w:w="1340" w:type="dxa"/>
            <w:shd w:val="clear" w:color="auto" w:fill="auto"/>
            <w:vAlign w:val="center"/>
            <w:hideMark/>
          </w:tcPr>
          <w:p w14:paraId="2CB6EBD2"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84,4</w:t>
            </w:r>
          </w:p>
        </w:tc>
        <w:tc>
          <w:tcPr>
            <w:tcW w:w="1340" w:type="dxa"/>
            <w:shd w:val="clear" w:color="auto" w:fill="auto"/>
            <w:vAlign w:val="center"/>
            <w:hideMark/>
          </w:tcPr>
          <w:p w14:paraId="0081902A"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85,5</w:t>
            </w:r>
          </w:p>
        </w:tc>
        <w:tc>
          <w:tcPr>
            <w:tcW w:w="1340" w:type="dxa"/>
            <w:shd w:val="clear" w:color="auto" w:fill="auto"/>
            <w:vAlign w:val="center"/>
            <w:hideMark/>
          </w:tcPr>
          <w:p w14:paraId="05844991"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83,7</w:t>
            </w:r>
          </w:p>
        </w:tc>
      </w:tr>
      <w:tr w:rsidR="00A5671F" w:rsidRPr="00342041" w14:paraId="6898A56D" w14:textId="77777777" w:rsidTr="00F95264">
        <w:trPr>
          <w:trHeight w:val="300"/>
          <w:jc w:val="center"/>
        </w:trPr>
        <w:tc>
          <w:tcPr>
            <w:tcW w:w="3252" w:type="dxa"/>
            <w:shd w:val="clear" w:color="auto" w:fill="9CC2E5" w:themeFill="accent1" w:themeFillTint="99"/>
            <w:vAlign w:val="center"/>
            <w:hideMark/>
          </w:tcPr>
          <w:p w14:paraId="0A20AB87"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w tym emerytury i renty                                                                                                                                                                               </w:t>
            </w:r>
          </w:p>
        </w:tc>
        <w:tc>
          <w:tcPr>
            <w:tcW w:w="1340" w:type="dxa"/>
            <w:shd w:val="clear" w:color="auto" w:fill="auto"/>
            <w:vAlign w:val="center"/>
            <w:hideMark/>
          </w:tcPr>
          <w:p w14:paraId="22611577"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2,9</w:t>
            </w:r>
          </w:p>
        </w:tc>
        <w:tc>
          <w:tcPr>
            <w:tcW w:w="1340" w:type="dxa"/>
            <w:shd w:val="clear" w:color="auto" w:fill="auto"/>
            <w:vAlign w:val="center"/>
            <w:hideMark/>
          </w:tcPr>
          <w:p w14:paraId="01812B49"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40,9</w:t>
            </w:r>
          </w:p>
        </w:tc>
        <w:tc>
          <w:tcPr>
            <w:tcW w:w="1340" w:type="dxa"/>
            <w:shd w:val="clear" w:color="auto" w:fill="auto"/>
            <w:vAlign w:val="center"/>
            <w:hideMark/>
          </w:tcPr>
          <w:p w14:paraId="536633B6"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79,3</w:t>
            </w:r>
          </w:p>
        </w:tc>
        <w:tc>
          <w:tcPr>
            <w:tcW w:w="1340" w:type="dxa"/>
            <w:shd w:val="clear" w:color="auto" w:fill="auto"/>
            <w:vAlign w:val="center"/>
            <w:hideMark/>
          </w:tcPr>
          <w:p w14:paraId="12DA9CB2"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72,9</w:t>
            </w:r>
          </w:p>
        </w:tc>
        <w:tc>
          <w:tcPr>
            <w:tcW w:w="1340" w:type="dxa"/>
            <w:shd w:val="clear" w:color="auto" w:fill="auto"/>
            <w:vAlign w:val="center"/>
            <w:hideMark/>
          </w:tcPr>
          <w:p w14:paraId="67BA13D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83,2</w:t>
            </w:r>
          </w:p>
        </w:tc>
      </w:tr>
      <w:tr w:rsidR="00A5671F" w:rsidRPr="00342041" w14:paraId="062F3C52" w14:textId="77777777" w:rsidTr="00F95264">
        <w:trPr>
          <w:trHeight w:val="300"/>
          <w:jc w:val="center"/>
        </w:trPr>
        <w:tc>
          <w:tcPr>
            <w:tcW w:w="3252" w:type="dxa"/>
            <w:shd w:val="clear" w:color="auto" w:fill="9CC2E5" w:themeFill="accent1" w:themeFillTint="99"/>
            <w:vAlign w:val="center"/>
            <w:hideMark/>
          </w:tcPr>
          <w:p w14:paraId="430F43E1"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dochody z pozostałych świadczeń społecznych                            </w:t>
            </w:r>
          </w:p>
        </w:tc>
        <w:tc>
          <w:tcPr>
            <w:tcW w:w="1340" w:type="dxa"/>
            <w:shd w:val="clear" w:color="auto" w:fill="auto"/>
            <w:vAlign w:val="center"/>
            <w:hideMark/>
          </w:tcPr>
          <w:p w14:paraId="3BABDD3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12,3</w:t>
            </w:r>
          </w:p>
        </w:tc>
        <w:tc>
          <w:tcPr>
            <w:tcW w:w="1340" w:type="dxa"/>
            <w:shd w:val="clear" w:color="auto" w:fill="auto"/>
            <w:vAlign w:val="center"/>
            <w:hideMark/>
          </w:tcPr>
          <w:p w14:paraId="4B515B18"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6,3</w:t>
            </w:r>
          </w:p>
        </w:tc>
        <w:tc>
          <w:tcPr>
            <w:tcW w:w="1340" w:type="dxa"/>
            <w:shd w:val="clear" w:color="auto" w:fill="auto"/>
            <w:vAlign w:val="center"/>
            <w:hideMark/>
          </w:tcPr>
          <w:p w14:paraId="0B208DB3"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0,7</w:t>
            </w:r>
          </w:p>
        </w:tc>
        <w:tc>
          <w:tcPr>
            <w:tcW w:w="1340" w:type="dxa"/>
            <w:shd w:val="clear" w:color="auto" w:fill="auto"/>
            <w:vAlign w:val="center"/>
            <w:hideMark/>
          </w:tcPr>
          <w:p w14:paraId="7AE8C7A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w:t>
            </w:r>
          </w:p>
        </w:tc>
        <w:tc>
          <w:tcPr>
            <w:tcW w:w="1340" w:type="dxa"/>
            <w:shd w:val="clear" w:color="auto" w:fill="auto"/>
            <w:vAlign w:val="center"/>
            <w:hideMark/>
          </w:tcPr>
          <w:p w14:paraId="4F40DB70"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0,5</w:t>
            </w:r>
          </w:p>
        </w:tc>
      </w:tr>
      <w:tr w:rsidR="00A5671F" w:rsidRPr="00342041" w14:paraId="076936E0" w14:textId="77777777" w:rsidTr="00F95264">
        <w:trPr>
          <w:trHeight w:val="300"/>
          <w:jc w:val="center"/>
        </w:trPr>
        <w:tc>
          <w:tcPr>
            <w:tcW w:w="3252" w:type="dxa"/>
            <w:shd w:val="clear" w:color="auto" w:fill="9CC2E5" w:themeFill="accent1" w:themeFillTint="99"/>
            <w:vAlign w:val="center"/>
            <w:hideMark/>
          </w:tcPr>
          <w:p w14:paraId="5D29C717"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Pozostałe dochody                                                                                                                          </w:t>
            </w:r>
          </w:p>
        </w:tc>
        <w:tc>
          <w:tcPr>
            <w:tcW w:w="1340" w:type="dxa"/>
            <w:shd w:val="clear" w:color="auto" w:fill="auto"/>
            <w:vAlign w:val="center"/>
            <w:hideMark/>
          </w:tcPr>
          <w:p w14:paraId="26C7AB21"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2,5</w:t>
            </w:r>
          </w:p>
        </w:tc>
        <w:tc>
          <w:tcPr>
            <w:tcW w:w="1340" w:type="dxa"/>
            <w:shd w:val="clear" w:color="auto" w:fill="auto"/>
            <w:vAlign w:val="center"/>
            <w:hideMark/>
          </w:tcPr>
          <w:p w14:paraId="54FCC86F"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2,4</w:t>
            </w:r>
          </w:p>
        </w:tc>
        <w:tc>
          <w:tcPr>
            <w:tcW w:w="1340" w:type="dxa"/>
            <w:shd w:val="clear" w:color="auto" w:fill="auto"/>
            <w:vAlign w:val="center"/>
            <w:hideMark/>
          </w:tcPr>
          <w:p w14:paraId="00A2340D"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3,9</w:t>
            </w:r>
          </w:p>
        </w:tc>
        <w:tc>
          <w:tcPr>
            <w:tcW w:w="1340" w:type="dxa"/>
            <w:shd w:val="clear" w:color="auto" w:fill="auto"/>
            <w:vAlign w:val="center"/>
            <w:hideMark/>
          </w:tcPr>
          <w:p w14:paraId="69B39583"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6,2</w:t>
            </w:r>
          </w:p>
        </w:tc>
        <w:tc>
          <w:tcPr>
            <w:tcW w:w="1340" w:type="dxa"/>
            <w:shd w:val="clear" w:color="auto" w:fill="auto"/>
            <w:vAlign w:val="center"/>
            <w:hideMark/>
          </w:tcPr>
          <w:p w14:paraId="297BA4AD"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2,6</w:t>
            </w:r>
          </w:p>
        </w:tc>
      </w:tr>
      <w:tr w:rsidR="00A5671F" w:rsidRPr="00342041" w14:paraId="594C0C99" w14:textId="77777777" w:rsidTr="00F95264">
        <w:trPr>
          <w:trHeight w:val="480"/>
          <w:jc w:val="center"/>
        </w:trPr>
        <w:tc>
          <w:tcPr>
            <w:tcW w:w="3252" w:type="dxa"/>
            <w:shd w:val="clear" w:color="auto" w:fill="9CC2E5" w:themeFill="accent1" w:themeFillTint="99"/>
            <w:vAlign w:val="center"/>
            <w:hideMark/>
          </w:tcPr>
          <w:p w14:paraId="6A6AE16D" w14:textId="77777777" w:rsidR="00A5671F" w:rsidRPr="00342041" w:rsidRDefault="00A5671F"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lastRenderedPageBreak/>
              <w:t>w tym dary otrzymane od osób prywatnych na</w:t>
            </w:r>
            <w:r w:rsidRPr="00342041">
              <w:rPr>
                <w:rFonts w:ascii="Times New Roman" w:eastAsia="Times New Roman" w:hAnsi="Times New Roman" w:cs="Times New Roman"/>
                <w:b/>
                <w:color w:val="000000"/>
                <w:sz w:val="20"/>
                <w:szCs w:val="20"/>
                <w:lang w:eastAsia="pl-PL"/>
              </w:rPr>
              <w:br/>
              <w:t xml:space="preserve">gospodarstwo domowe </w:t>
            </w:r>
          </w:p>
        </w:tc>
        <w:tc>
          <w:tcPr>
            <w:tcW w:w="1340" w:type="dxa"/>
            <w:shd w:val="clear" w:color="auto" w:fill="auto"/>
            <w:vAlign w:val="center"/>
            <w:hideMark/>
          </w:tcPr>
          <w:p w14:paraId="2156F954"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w:t>
            </w:r>
          </w:p>
        </w:tc>
        <w:tc>
          <w:tcPr>
            <w:tcW w:w="1340" w:type="dxa"/>
            <w:shd w:val="clear" w:color="auto" w:fill="auto"/>
            <w:vAlign w:val="center"/>
            <w:hideMark/>
          </w:tcPr>
          <w:p w14:paraId="20A7C01E"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1,7</w:t>
            </w:r>
          </w:p>
        </w:tc>
        <w:tc>
          <w:tcPr>
            <w:tcW w:w="1340" w:type="dxa"/>
            <w:shd w:val="clear" w:color="auto" w:fill="auto"/>
            <w:vAlign w:val="center"/>
            <w:hideMark/>
          </w:tcPr>
          <w:p w14:paraId="5E820601"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3,0</w:t>
            </w:r>
          </w:p>
        </w:tc>
        <w:tc>
          <w:tcPr>
            <w:tcW w:w="1340" w:type="dxa"/>
            <w:shd w:val="clear" w:color="auto" w:fill="auto"/>
            <w:vAlign w:val="center"/>
            <w:hideMark/>
          </w:tcPr>
          <w:p w14:paraId="3D2D3CAA"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5,4</w:t>
            </w:r>
          </w:p>
        </w:tc>
        <w:tc>
          <w:tcPr>
            <w:tcW w:w="1340" w:type="dxa"/>
            <w:shd w:val="clear" w:color="auto" w:fill="auto"/>
            <w:vAlign w:val="center"/>
            <w:hideMark/>
          </w:tcPr>
          <w:p w14:paraId="0B7D199B" w14:textId="77777777" w:rsidR="00A5671F" w:rsidRPr="00342041" w:rsidRDefault="00A5671F"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1,7</w:t>
            </w:r>
          </w:p>
        </w:tc>
      </w:tr>
    </w:tbl>
    <w:p w14:paraId="558C39C0" w14:textId="77777777" w:rsidR="00A5671F" w:rsidRPr="00D809F9" w:rsidRDefault="00A5671F" w:rsidP="003C1988">
      <w:pPr>
        <w:spacing w:after="120"/>
        <w:rPr>
          <w:rFonts w:ascii="Times New Roman" w:hAnsi="Times New Roman" w:cs="Times New Roman"/>
          <w:b/>
        </w:rPr>
      </w:pPr>
      <w:r w:rsidRPr="00A9161D">
        <w:rPr>
          <w:rFonts w:ascii="Times New Roman" w:hAnsi="Times New Roman" w:cs="Times New Roman"/>
          <w:b/>
        </w:rPr>
        <w:t>Źródło: Badanie budżetów gospodarstw domowych w 2019 r., GUS</w:t>
      </w:r>
    </w:p>
    <w:p w14:paraId="7F90515D" w14:textId="77777777" w:rsidR="00684941" w:rsidRPr="0063334E" w:rsidRDefault="00684941" w:rsidP="0063334E">
      <w:pPr>
        <w:jc w:val="both"/>
        <w:rPr>
          <w:rFonts w:ascii="Times New Roman" w:hAnsi="Times New Roman" w:cs="Times New Roman"/>
          <w:color w:val="FF0000"/>
          <w:sz w:val="24"/>
          <w:szCs w:val="24"/>
        </w:rPr>
      </w:pPr>
      <w:r w:rsidRPr="0063334E">
        <w:rPr>
          <w:rFonts w:ascii="Times New Roman" w:hAnsi="Times New Roman" w:cs="Times New Roman"/>
          <w:color w:val="0D0D0D" w:themeColor="text1" w:themeTint="F2"/>
          <w:sz w:val="24"/>
          <w:szCs w:val="24"/>
        </w:rPr>
        <w:t>Przeciętne miesięczne wydatki na 1 osobę w gospodarstwach domowych wyłącznie z osobami starszymi w 2019</w:t>
      </w:r>
      <w:r w:rsidR="0063334E">
        <w:rPr>
          <w:rFonts w:ascii="Times New Roman" w:hAnsi="Times New Roman" w:cs="Times New Roman"/>
          <w:color w:val="0D0D0D" w:themeColor="text1" w:themeTint="F2"/>
          <w:sz w:val="24"/>
          <w:szCs w:val="24"/>
        </w:rPr>
        <w:t xml:space="preserve"> r. </w:t>
      </w:r>
      <w:r w:rsidRPr="0063334E">
        <w:rPr>
          <w:rFonts w:ascii="Times New Roman" w:hAnsi="Times New Roman" w:cs="Times New Roman"/>
          <w:color w:val="0D0D0D" w:themeColor="text1" w:themeTint="F2"/>
          <w:sz w:val="24"/>
          <w:szCs w:val="24"/>
        </w:rPr>
        <w:t xml:space="preserve">wyniosły 1576,10 zł i były o 23,1% wyższe niż w gospodarstwach, w skład których wchodziły wyłącznie osoby młodsze. W porównaniu do 2018 </w:t>
      </w:r>
      <w:r w:rsidR="0063334E">
        <w:rPr>
          <w:rFonts w:ascii="Times New Roman" w:hAnsi="Times New Roman" w:cs="Times New Roman"/>
          <w:color w:val="0D0D0D" w:themeColor="text1" w:themeTint="F2"/>
          <w:sz w:val="24"/>
          <w:szCs w:val="24"/>
        </w:rPr>
        <w:t xml:space="preserve">r. </w:t>
      </w:r>
      <w:r w:rsidRPr="0063334E">
        <w:rPr>
          <w:rFonts w:ascii="Times New Roman" w:hAnsi="Times New Roman" w:cs="Times New Roman"/>
          <w:color w:val="0D0D0D" w:themeColor="text1" w:themeTint="F2"/>
          <w:sz w:val="24"/>
          <w:szCs w:val="24"/>
        </w:rPr>
        <w:t>nastąpił wzrost wydatków na 1 osobę w gospodarstwach domowych wyłącznie z osobami w wieku 60 lat i więcej o 5,0%,. W gospodarstwach, mających w składzie wyłącznie osoby młodsze, wzrost był wyższy i wyniósł 6,4%.</w:t>
      </w:r>
    </w:p>
    <w:p w14:paraId="5E8E5C16" w14:textId="77777777" w:rsidR="00684941" w:rsidRPr="0063334E" w:rsidRDefault="00684941" w:rsidP="0063334E">
      <w:pPr>
        <w:jc w:val="both"/>
        <w:rPr>
          <w:rFonts w:ascii="Times New Roman" w:hAnsi="Times New Roman" w:cs="Times New Roman"/>
          <w:color w:val="FF0000"/>
          <w:spacing w:val="-4"/>
          <w:sz w:val="24"/>
          <w:szCs w:val="24"/>
        </w:rPr>
      </w:pPr>
      <w:r w:rsidRPr="0063334E">
        <w:rPr>
          <w:rFonts w:ascii="Times New Roman" w:hAnsi="Times New Roman" w:cs="Times New Roman"/>
          <w:color w:val="0D0D0D" w:themeColor="text1" w:themeTint="F2"/>
          <w:spacing w:val="-4"/>
          <w:sz w:val="24"/>
          <w:szCs w:val="24"/>
        </w:rPr>
        <w:t>Udział przeciętnych miesięcznych wydatków na 1 osobę w dochodzie rozporządzalnym w gospodarstwach domowych składających się wyłącznie z osób w wieku 60 lat i więcej wyniósł 74,7% i był niższy o 1,5 p. proc. niż w 2018 r., podczas gdy w gospodarstwach domowych wyłącznie z osobami poniżej 60 lat wyniósł 69,6% (w 2017 r. – 70,5%).</w:t>
      </w:r>
    </w:p>
    <w:p w14:paraId="166FA936" w14:textId="77777777" w:rsidR="00684941" w:rsidRPr="0063334E" w:rsidRDefault="00684941" w:rsidP="0063334E">
      <w:pPr>
        <w:jc w:val="both"/>
        <w:rPr>
          <w:rFonts w:ascii="Times New Roman" w:hAnsi="Times New Roman" w:cs="Times New Roman"/>
          <w:color w:val="0D0D0D" w:themeColor="text1" w:themeTint="F2"/>
          <w:spacing w:val="-2"/>
          <w:sz w:val="24"/>
          <w:szCs w:val="24"/>
        </w:rPr>
      </w:pPr>
      <w:r w:rsidRPr="0063334E">
        <w:rPr>
          <w:rFonts w:ascii="Times New Roman" w:hAnsi="Times New Roman" w:cs="Times New Roman"/>
          <w:color w:val="0D0D0D" w:themeColor="text1" w:themeTint="F2"/>
          <w:spacing w:val="-2"/>
          <w:sz w:val="24"/>
          <w:szCs w:val="24"/>
        </w:rPr>
        <w:t xml:space="preserve">W gospodarstwach domowych, w skład których wchodziły tylko osoby w wieku 60 lat i więcej, w porównaniu z gospodarstwami domowymi osób młodszych, wystąpił wyższy udział wydatków na 1 osobę na żywność i napoje bezalkoholowe (o 4,2 p. proc.), użytkowanie mieszkania lub domu i nośniki energii (o 4,7 p. proc.) oraz zdrowie (o 4,8 p. proc.). </w:t>
      </w:r>
    </w:p>
    <w:p w14:paraId="54BB41B3" w14:textId="558F700D" w:rsidR="00A9161D" w:rsidRPr="00A9161D" w:rsidRDefault="00A9161D" w:rsidP="00A9161D">
      <w:pPr>
        <w:pStyle w:val="Legenda"/>
        <w:keepNext/>
        <w:rPr>
          <w:rFonts w:ascii="Times New Roman" w:hAnsi="Times New Roman" w:cs="Times New Roman"/>
          <w:b/>
          <w:i w:val="0"/>
          <w:sz w:val="24"/>
        </w:rPr>
      </w:pPr>
      <w:bookmarkStart w:id="11" w:name="_Toc49171381"/>
      <w:r w:rsidRPr="00A9161D">
        <w:rPr>
          <w:rFonts w:ascii="Times New Roman" w:hAnsi="Times New Roman" w:cs="Times New Roman"/>
          <w:b/>
          <w:i w:val="0"/>
          <w:sz w:val="24"/>
        </w:rPr>
        <w:t xml:space="preserve">Tabela </w:t>
      </w:r>
      <w:r w:rsidRPr="00A9161D">
        <w:rPr>
          <w:rFonts w:ascii="Times New Roman" w:hAnsi="Times New Roman" w:cs="Times New Roman"/>
          <w:b/>
          <w:i w:val="0"/>
          <w:sz w:val="24"/>
        </w:rPr>
        <w:fldChar w:fldCharType="begin"/>
      </w:r>
      <w:r w:rsidRPr="00A9161D">
        <w:rPr>
          <w:rFonts w:ascii="Times New Roman" w:hAnsi="Times New Roman" w:cs="Times New Roman"/>
          <w:b/>
          <w:i w:val="0"/>
          <w:sz w:val="24"/>
        </w:rPr>
        <w:instrText xml:space="preserve"> SEQ Tabela \* ARABIC </w:instrText>
      </w:r>
      <w:r w:rsidRPr="00A9161D">
        <w:rPr>
          <w:rFonts w:ascii="Times New Roman" w:hAnsi="Times New Roman" w:cs="Times New Roman"/>
          <w:b/>
          <w:i w:val="0"/>
          <w:sz w:val="24"/>
        </w:rPr>
        <w:fldChar w:fldCharType="separate"/>
      </w:r>
      <w:r w:rsidR="00C154C9">
        <w:rPr>
          <w:rFonts w:ascii="Times New Roman" w:hAnsi="Times New Roman" w:cs="Times New Roman"/>
          <w:b/>
          <w:i w:val="0"/>
          <w:noProof/>
          <w:sz w:val="24"/>
        </w:rPr>
        <w:t>6</w:t>
      </w:r>
      <w:r w:rsidRPr="00A9161D">
        <w:rPr>
          <w:rFonts w:ascii="Times New Roman" w:hAnsi="Times New Roman" w:cs="Times New Roman"/>
          <w:b/>
          <w:i w:val="0"/>
          <w:sz w:val="24"/>
        </w:rPr>
        <w:fldChar w:fldCharType="end"/>
      </w:r>
      <w:r w:rsidRPr="00A9161D">
        <w:rPr>
          <w:rFonts w:ascii="Times New Roman" w:hAnsi="Times New Roman" w:cs="Times New Roman"/>
          <w:b/>
          <w:i w:val="0"/>
          <w:sz w:val="24"/>
        </w:rPr>
        <w:t xml:space="preserve"> Przeciętne miesięczne wydatki na 1 osobę w gospodarstwach domowych</w:t>
      </w:r>
      <w:bookmarkEnd w:id="11"/>
    </w:p>
    <w:tbl>
      <w:tblPr>
        <w:tblW w:w="9957"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3257"/>
        <w:gridCol w:w="1340"/>
        <w:gridCol w:w="1340"/>
        <w:gridCol w:w="1340"/>
        <w:gridCol w:w="1340"/>
        <w:gridCol w:w="1340"/>
      </w:tblGrid>
      <w:tr w:rsidR="00C256BD" w:rsidRPr="00342041" w14:paraId="063D8BB9" w14:textId="77777777" w:rsidTr="00094325">
        <w:trPr>
          <w:trHeight w:val="398"/>
          <w:jc w:val="center"/>
        </w:trPr>
        <w:tc>
          <w:tcPr>
            <w:tcW w:w="3257" w:type="dxa"/>
            <w:vMerge w:val="restart"/>
            <w:shd w:val="clear" w:color="auto" w:fill="9CC2E5" w:themeFill="accent1" w:themeFillTint="99"/>
            <w:vAlign w:val="center"/>
            <w:hideMark/>
          </w:tcPr>
          <w:p w14:paraId="2ED45C00"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Wyszczególnienie</w:t>
            </w:r>
          </w:p>
        </w:tc>
        <w:tc>
          <w:tcPr>
            <w:tcW w:w="6700" w:type="dxa"/>
            <w:gridSpan w:val="5"/>
            <w:shd w:val="clear" w:color="auto" w:fill="9CC2E5" w:themeFill="accent1" w:themeFillTint="99"/>
            <w:vAlign w:val="center"/>
            <w:hideMark/>
          </w:tcPr>
          <w:p w14:paraId="23DA3C07"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Gospodarstwa domowe  </w:t>
            </w:r>
          </w:p>
        </w:tc>
      </w:tr>
      <w:tr w:rsidR="00C256BD" w:rsidRPr="00342041" w14:paraId="29695255" w14:textId="77777777" w:rsidTr="00094325">
        <w:trPr>
          <w:trHeight w:val="398"/>
          <w:jc w:val="center"/>
        </w:trPr>
        <w:tc>
          <w:tcPr>
            <w:tcW w:w="3257" w:type="dxa"/>
            <w:vMerge/>
            <w:shd w:val="clear" w:color="auto" w:fill="9CC2E5" w:themeFill="accent1" w:themeFillTint="99"/>
            <w:vAlign w:val="center"/>
            <w:hideMark/>
          </w:tcPr>
          <w:p w14:paraId="0225EE02"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p>
        </w:tc>
        <w:tc>
          <w:tcPr>
            <w:tcW w:w="1340" w:type="dxa"/>
            <w:vMerge w:val="restart"/>
            <w:shd w:val="clear" w:color="auto" w:fill="9CC2E5" w:themeFill="accent1" w:themeFillTint="99"/>
            <w:vAlign w:val="center"/>
            <w:hideMark/>
          </w:tcPr>
          <w:p w14:paraId="0428863E"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bez osób </w:t>
            </w:r>
            <w:r w:rsidRPr="00342041">
              <w:rPr>
                <w:rFonts w:ascii="Times New Roman" w:eastAsia="Times New Roman" w:hAnsi="Times New Roman" w:cs="Times New Roman"/>
                <w:b/>
                <w:color w:val="000000"/>
                <w:sz w:val="20"/>
                <w:szCs w:val="20"/>
                <w:lang w:eastAsia="pl-PL"/>
              </w:rPr>
              <w:br/>
              <w:t xml:space="preserve">w wieku 60 lat </w:t>
            </w:r>
            <w:r w:rsidRPr="00342041">
              <w:rPr>
                <w:rFonts w:ascii="Times New Roman" w:eastAsia="Times New Roman" w:hAnsi="Times New Roman" w:cs="Times New Roman"/>
                <w:b/>
                <w:color w:val="000000"/>
                <w:sz w:val="20"/>
                <w:szCs w:val="20"/>
                <w:lang w:eastAsia="pl-PL"/>
              </w:rPr>
              <w:br/>
              <w:t>i więcej</w:t>
            </w:r>
          </w:p>
        </w:tc>
        <w:tc>
          <w:tcPr>
            <w:tcW w:w="1340" w:type="dxa"/>
            <w:vMerge w:val="restart"/>
            <w:shd w:val="clear" w:color="auto" w:fill="9CC2E5" w:themeFill="accent1" w:themeFillTint="99"/>
            <w:vAlign w:val="center"/>
            <w:hideMark/>
          </w:tcPr>
          <w:p w14:paraId="21B29EE4"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z przynajmniej </w:t>
            </w:r>
            <w:r w:rsidRPr="00342041">
              <w:rPr>
                <w:rFonts w:ascii="Times New Roman" w:eastAsia="Times New Roman" w:hAnsi="Times New Roman" w:cs="Times New Roman"/>
                <w:b/>
                <w:color w:val="000000"/>
                <w:sz w:val="20"/>
                <w:szCs w:val="20"/>
                <w:lang w:eastAsia="pl-PL"/>
              </w:rPr>
              <w:br/>
              <w:t>1 osobą w wieku 60 lat i więcej</w:t>
            </w:r>
          </w:p>
        </w:tc>
        <w:tc>
          <w:tcPr>
            <w:tcW w:w="4020" w:type="dxa"/>
            <w:gridSpan w:val="3"/>
            <w:shd w:val="clear" w:color="auto" w:fill="9CC2E5" w:themeFill="accent1" w:themeFillTint="99"/>
            <w:vAlign w:val="center"/>
            <w:hideMark/>
          </w:tcPr>
          <w:p w14:paraId="5C865B4C"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wyłącznie z osobami w wieku 60 lat i więcej</w:t>
            </w:r>
          </w:p>
        </w:tc>
      </w:tr>
      <w:tr w:rsidR="00C256BD" w:rsidRPr="00342041" w14:paraId="3AA1BA26" w14:textId="77777777" w:rsidTr="00094325">
        <w:trPr>
          <w:trHeight w:val="398"/>
          <w:jc w:val="center"/>
        </w:trPr>
        <w:tc>
          <w:tcPr>
            <w:tcW w:w="3257" w:type="dxa"/>
            <w:vMerge/>
            <w:shd w:val="clear" w:color="auto" w:fill="9CC2E5" w:themeFill="accent1" w:themeFillTint="99"/>
            <w:vAlign w:val="center"/>
            <w:hideMark/>
          </w:tcPr>
          <w:p w14:paraId="48884F42"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305582A6"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5B81F4D1"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p>
        </w:tc>
        <w:tc>
          <w:tcPr>
            <w:tcW w:w="1340" w:type="dxa"/>
            <w:vMerge w:val="restart"/>
            <w:shd w:val="clear" w:color="auto" w:fill="9CC2E5" w:themeFill="accent1" w:themeFillTint="99"/>
            <w:vAlign w:val="center"/>
            <w:hideMark/>
          </w:tcPr>
          <w:p w14:paraId="2399DFF4"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razem</w:t>
            </w:r>
          </w:p>
        </w:tc>
        <w:tc>
          <w:tcPr>
            <w:tcW w:w="2680" w:type="dxa"/>
            <w:gridSpan w:val="2"/>
            <w:shd w:val="clear" w:color="auto" w:fill="9CC2E5" w:themeFill="accent1" w:themeFillTint="99"/>
            <w:vAlign w:val="center"/>
            <w:hideMark/>
          </w:tcPr>
          <w:p w14:paraId="613147F0"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w:t>
            </w:r>
          </w:p>
        </w:tc>
      </w:tr>
      <w:tr w:rsidR="00C256BD" w:rsidRPr="00342041" w14:paraId="0975AE12" w14:textId="77777777" w:rsidTr="00094325">
        <w:trPr>
          <w:trHeight w:val="450"/>
          <w:jc w:val="center"/>
        </w:trPr>
        <w:tc>
          <w:tcPr>
            <w:tcW w:w="3257" w:type="dxa"/>
            <w:vMerge/>
            <w:shd w:val="clear" w:color="auto" w:fill="9CC2E5" w:themeFill="accent1" w:themeFillTint="99"/>
            <w:vAlign w:val="center"/>
            <w:hideMark/>
          </w:tcPr>
          <w:p w14:paraId="696F1639"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65B4816A"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58D5B13F"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18FDB3C0"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p>
        </w:tc>
        <w:tc>
          <w:tcPr>
            <w:tcW w:w="1340" w:type="dxa"/>
            <w:vMerge w:val="restart"/>
            <w:shd w:val="clear" w:color="auto" w:fill="9CC2E5" w:themeFill="accent1" w:themeFillTint="99"/>
            <w:vAlign w:val="center"/>
            <w:hideMark/>
          </w:tcPr>
          <w:p w14:paraId="57E59BE0"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1-osobowe</w:t>
            </w:r>
          </w:p>
        </w:tc>
        <w:tc>
          <w:tcPr>
            <w:tcW w:w="1340" w:type="dxa"/>
            <w:vMerge w:val="restart"/>
            <w:shd w:val="clear" w:color="auto" w:fill="9CC2E5" w:themeFill="accent1" w:themeFillTint="99"/>
            <w:vAlign w:val="center"/>
            <w:hideMark/>
          </w:tcPr>
          <w:p w14:paraId="1E99B306"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2-osobowe (obydwie osoby </w:t>
            </w:r>
            <w:r w:rsidRPr="00342041">
              <w:rPr>
                <w:rFonts w:ascii="Times New Roman" w:eastAsia="Times New Roman" w:hAnsi="Times New Roman" w:cs="Times New Roman"/>
                <w:b/>
                <w:color w:val="000000"/>
                <w:sz w:val="20"/>
                <w:szCs w:val="20"/>
                <w:lang w:eastAsia="pl-PL"/>
              </w:rPr>
              <w:br/>
              <w:t xml:space="preserve">w wieku 60 lat </w:t>
            </w:r>
            <w:r w:rsidRPr="00342041">
              <w:rPr>
                <w:rFonts w:ascii="Times New Roman" w:eastAsia="Times New Roman" w:hAnsi="Times New Roman" w:cs="Times New Roman"/>
                <w:b/>
                <w:color w:val="000000"/>
                <w:sz w:val="20"/>
                <w:szCs w:val="20"/>
                <w:lang w:eastAsia="pl-PL"/>
              </w:rPr>
              <w:br/>
              <w:t>i więcej)</w:t>
            </w:r>
          </w:p>
        </w:tc>
      </w:tr>
      <w:tr w:rsidR="00C256BD" w:rsidRPr="00342041" w14:paraId="19A44AC0" w14:textId="77777777" w:rsidTr="00094325">
        <w:trPr>
          <w:trHeight w:val="450"/>
          <w:jc w:val="center"/>
        </w:trPr>
        <w:tc>
          <w:tcPr>
            <w:tcW w:w="3257" w:type="dxa"/>
            <w:vMerge/>
            <w:shd w:val="clear" w:color="auto" w:fill="9CC2E5" w:themeFill="accent1" w:themeFillTint="99"/>
            <w:vAlign w:val="center"/>
            <w:hideMark/>
          </w:tcPr>
          <w:p w14:paraId="02A3A78F"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5B5FC335"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03D0B32F"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7876BDE7"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7E605115"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501390BC"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r>
      <w:tr w:rsidR="00C256BD" w:rsidRPr="00342041" w14:paraId="46315EF7" w14:textId="77777777" w:rsidTr="00094325">
        <w:trPr>
          <w:trHeight w:val="450"/>
          <w:jc w:val="center"/>
        </w:trPr>
        <w:tc>
          <w:tcPr>
            <w:tcW w:w="3257" w:type="dxa"/>
            <w:vMerge/>
            <w:shd w:val="clear" w:color="auto" w:fill="9CC2E5" w:themeFill="accent1" w:themeFillTint="99"/>
            <w:vAlign w:val="center"/>
            <w:hideMark/>
          </w:tcPr>
          <w:p w14:paraId="4ED4620B"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44C225F9"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6737A376"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5C86D62F"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3BD3ADA1"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c>
          <w:tcPr>
            <w:tcW w:w="1340" w:type="dxa"/>
            <w:vMerge/>
            <w:shd w:val="clear" w:color="auto" w:fill="9CC2E5" w:themeFill="accent1" w:themeFillTint="99"/>
            <w:vAlign w:val="center"/>
            <w:hideMark/>
          </w:tcPr>
          <w:p w14:paraId="42B8CA30" w14:textId="77777777" w:rsidR="00C256BD" w:rsidRPr="00342041" w:rsidRDefault="00C256BD" w:rsidP="003C1988">
            <w:pPr>
              <w:spacing w:after="0" w:line="240" w:lineRule="auto"/>
              <w:rPr>
                <w:rFonts w:ascii="Times New Roman" w:eastAsia="Times New Roman" w:hAnsi="Times New Roman" w:cs="Times New Roman"/>
                <w:color w:val="000000"/>
                <w:sz w:val="20"/>
                <w:szCs w:val="20"/>
                <w:lang w:eastAsia="pl-PL"/>
              </w:rPr>
            </w:pPr>
          </w:p>
        </w:tc>
      </w:tr>
      <w:tr w:rsidR="00C256BD" w:rsidRPr="00342041" w14:paraId="14C0C382" w14:textId="77777777" w:rsidTr="00094325">
        <w:trPr>
          <w:trHeight w:val="315"/>
          <w:jc w:val="center"/>
        </w:trPr>
        <w:tc>
          <w:tcPr>
            <w:tcW w:w="9957" w:type="dxa"/>
            <w:gridSpan w:val="6"/>
            <w:shd w:val="clear" w:color="auto" w:fill="FFFFFF" w:themeFill="background1"/>
            <w:vAlign w:val="center"/>
            <w:hideMark/>
          </w:tcPr>
          <w:p w14:paraId="6F15072A" w14:textId="77777777" w:rsidR="00C256BD" w:rsidRPr="00342041" w:rsidRDefault="00C256BD"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w:t>
            </w:r>
          </w:p>
        </w:tc>
      </w:tr>
      <w:tr w:rsidR="00C256BD" w:rsidRPr="00342041" w14:paraId="540B26ED" w14:textId="77777777" w:rsidTr="00094325">
        <w:trPr>
          <w:trHeight w:val="300"/>
          <w:jc w:val="center"/>
        </w:trPr>
        <w:tc>
          <w:tcPr>
            <w:tcW w:w="9957" w:type="dxa"/>
            <w:gridSpan w:val="6"/>
            <w:shd w:val="clear" w:color="auto" w:fill="9CC2E5" w:themeFill="accent1" w:themeFillTint="99"/>
            <w:vAlign w:val="center"/>
            <w:hideMark/>
          </w:tcPr>
          <w:p w14:paraId="4218FF69"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złotych</w:t>
            </w:r>
          </w:p>
        </w:tc>
      </w:tr>
      <w:tr w:rsidR="00C256BD" w:rsidRPr="00342041" w14:paraId="423CA78B" w14:textId="77777777" w:rsidTr="00094325">
        <w:trPr>
          <w:trHeight w:val="300"/>
          <w:jc w:val="center"/>
        </w:trPr>
        <w:tc>
          <w:tcPr>
            <w:tcW w:w="3257" w:type="dxa"/>
            <w:shd w:val="clear" w:color="auto" w:fill="9CC2E5" w:themeFill="accent1" w:themeFillTint="99"/>
            <w:vAlign w:val="center"/>
            <w:hideMark/>
          </w:tcPr>
          <w:p w14:paraId="4AE12C63" w14:textId="77777777" w:rsidR="00C256BD" w:rsidRPr="00342041" w:rsidRDefault="00C256BD" w:rsidP="003C1988">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 xml:space="preserve">Wydatki gospodarstwa domowego                                                                                                                                                                                                                                                                                                                                                                                                                              </w:t>
            </w:r>
          </w:p>
        </w:tc>
        <w:tc>
          <w:tcPr>
            <w:tcW w:w="1340" w:type="dxa"/>
            <w:shd w:val="clear" w:color="auto" w:fill="auto"/>
            <w:vAlign w:val="center"/>
            <w:hideMark/>
          </w:tcPr>
          <w:p w14:paraId="3B70A716"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1 279,92</w:t>
            </w:r>
          </w:p>
        </w:tc>
        <w:tc>
          <w:tcPr>
            <w:tcW w:w="1340" w:type="dxa"/>
            <w:shd w:val="clear" w:color="auto" w:fill="auto"/>
            <w:vAlign w:val="center"/>
            <w:hideMark/>
          </w:tcPr>
          <w:p w14:paraId="6BC6B7A7"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1 211,06</w:t>
            </w:r>
          </w:p>
        </w:tc>
        <w:tc>
          <w:tcPr>
            <w:tcW w:w="1340" w:type="dxa"/>
            <w:shd w:val="clear" w:color="auto" w:fill="auto"/>
            <w:vAlign w:val="center"/>
            <w:hideMark/>
          </w:tcPr>
          <w:p w14:paraId="41807881"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1 576,10</w:t>
            </w:r>
          </w:p>
        </w:tc>
        <w:tc>
          <w:tcPr>
            <w:tcW w:w="1340" w:type="dxa"/>
            <w:shd w:val="clear" w:color="auto" w:fill="auto"/>
            <w:vAlign w:val="center"/>
            <w:hideMark/>
          </w:tcPr>
          <w:p w14:paraId="789BC9FF"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1 702,28</w:t>
            </w:r>
          </w:p>
        </w:tc>
        <w:tc>
          <w:tcPr>
            <w:tcW w:w="1340" w:type="dxa"/>
            <w:shd w:val="clear" w:color="auto" w:fill="auto"/>
            <w:vAlign w:val="center"/>
            <w:hideMark/>
          </w:tcPr>
          <w:p w14:paraId="0BA13360"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1 512,52</w:t>
            </w:r>
          </w:p>
        </w:tc>
      </w:tr>
      <w:tr w:rsidR="00C256BD" w:rsidRPr="00342041" w14:paraId="5525CBAB" w14:textId="77777777" w:rsidTr="00094325">
        <w:trPr>
          <w:trHeight w:val="300"/>
          <w:jc w:val="center"/>
        </w:trPr>
        <w:tc>
          <w:tcPr>
            <w:tcW w:w="9957" w:type="dxa"/>
            <w:gridSpan w:val="6"/>
            <w:shd w:val="clear" w:color="auto" w:fill="9CC2E5" w:themeFill="accent1" w:themeFillTint="99"/>
            <w:vAlign w:val="center"/>
            <w:hideMark/>
          </w:tcPr>
          <w:p w14:paraId="2BF445C8" w14:textId="77777777" w:rsidR="00C256BD" w:rsidRPr="00342041" w:rsidRDefault="00C256BD" w:rsidP="00F95264">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odsetkach</w:t>
            </w:r>
          </w:p>
        </w:tc>
      </w:tr>
      <w:tr w:rsidR="00C256BD" w:rsidRPr="00342041" w14:paraId="4E8DA42B" w14:textId="77777777" w:rsidTr="00094325">
        <w:trPr>
          <w:trHeight w:val="300"/>
          <w:jc w:val="center"/>
        </w:trPr>
        <w:tc>
          <w:tcPr>
            <w:tcW w:w="3257" w:type="dxa"/>
            <w:shd w:val="clear" w:color="auto" w:fill="9CC2E5" w:themeFill="accent1" w:themeFillTint="99"/>
            <w:vAlign w:val="center"/>
            <w:hideMark/>
          </w:tcPr>
          <w:p w14:paraId="260339F0"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Wydatki gospodarstwa domowego                                                                                                                                                                                                                                                                                                                                                                                                                                      </w:t>
            </w:r>
          </w:p>
        </w:tc>
        <w:tc>
          <w:tcPr>
            <w:tcW w:w="1340" w:type="dxa"/>
            <w:shd w:val="clear" w:color="auto" w:fill="auto"/>
            <w:vAlign w:val="center"/>
            <w:hideMark/>
          </w:tcPr>
          <w:p w14:paraId="64D2655B"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76874499"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3E5F9B0B"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74CBB967"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46949E67"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r>
      <w:tr w:rsidR="00C256BD" w:rsidRPr="00342041" w14:paraId="5294F333" w14:textId="77777777" w:rsidTr="00094325">
        <w:trPr>
          <w:trHeight w:val="300"/>
          <w:jc w:val="center"/>
        </w:trPr>
        <w:tc>
          <w:tcPr>
            <w:tcW w:w="3257" w:type="dxa"/>
            <w:shd w:val="clear" w:color="auto" w:fill="9CC2E5" w:themeFill="accent1" w:themeFillTint="99"/>
            <w:vAlign w:val="center"/>
            <w:hideMark/>
          </w:tcPr>
          <w:p w14:paraId="2ADFDBCA"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w:t>
            </w:r>
          </w:p>
        </w:tc>
        <w:tc>
          <w:tcPr>
            <w:tcW w:w="1340" w:type="dxa"/>
            <w:shd w:val="clear" w:color="auto" w:fill="auto"/>
            <w:vAlign w:val="center"/>
            <w:hideMark/>
          </w:tcPr>
          <w:p w14:paraId="68FFA9E0"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3324D9E2"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27C76EF9"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28F8FEF4"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7359AED4"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r>
      <w:tr w:rsidR="00C256BD" w:rsidRPr="00342041" w14:paraId="4E24AA2C" w14:textId="77777777" w:rsidTr="00094325">
        <w:trPr>
          <w:trHeight w:val="300"/>
          <w:jc w:val="center"/>
        </w:trPr>
        <w:tc>
          <w:tcPr>
            <w:tcW w:w="3257" w:type="dxa"/>
            <w:shd w:val="clear" w:color="auto" w:fill="9CC2E5" w:themeFill="accent1" w:themeFillTint="99"/>
            <w:vAlign w:val="center"/>
            <w:hideMark/>
          </w:tcPr>
          <w:p w14:paraId="3742D2DB"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żywność i napoje bezalkoholowe                                                                                                                                                                                                                                                                                                                                                                                                                               </w:t>
            </w:r>
          </w:p>
        </w:tc>
        <w:tc>
          <w:tcPr>
            <w:tcW w:w="1340" w:type="dxa"/>
            <w:shd w:val="clear" w:color="auto" w:fill="auto"/>
            <w:vAlign w:val="center"/>
            <w:hideMark/>
          </w:tcPr>
          <w:p w14:paraId="199FE18B"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23,2</w:t>
            </w:r>
          </w:p>
        </w:tc>
        <w:tc>
          <w:tcPr>
            <w:tcW w:w="1340" w:type="dxa"/>
            <w:shd w:val="clear" w:color="auto" w:fill="auto"/>
            <w:vAlign w:val="center"/>
            <w:hideMark/>
          </w:tcPr>
          <w:p w14:paraId="259C5E00"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28,0</w:t>
            </w:r>
          </w:p>
        </w:tc>
        <w:tc>
          <w:tcPr>
            <w:tcW w:w="1340" w:type="dxa"/>
            <w:shd w:val="clear" w:color="auto" w:fill="auto"/>
            <w:vAlign w:val="center"/>
            <w:hideMark/>
          </w:tcPr>
          <w:p w14:paraId="7ACEEAEE"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27,4</w:t>
            </w:r>
          </w:p>
        </w:tc>
        <w:tc>
          <w:tcPr>
            <w:tcW w:w="1340" w:type="dxa"/>
            <w:shd w:val="clear" w:color="auto" w:fill="auto"/>
            <w:vAlign w:val="center"/>
            <w:hideMark/>
          </w:tcPr>
          <w:p w14:paraId="6F17B0DB"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27,7</w:t>
            </w:r>
          </w:p>
        </w:tc>
        <w:tc>
          <w:tcPr>
            <w:tcW w:w="1340" w:type="dxa"/>
            <w:shd w:val="clear" w:color="auto" w:fill="auto"/>
            <w:vAlign w:val="center"/>
            <w:hideMark/>
          </w:tcPr>
          <w:p w14:paraId="7AE8C042"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27,2</w:t>
            </w:r>
          </w:p>
        </w:tc>
      </w:tr>
      <w:tr w:rsidR="00C256BD" w:rsidRPr="00342041" w14:paraId="606523B3" w14:textId="77777777" w:rsidTr="00094325">
        <w:trPr>
          <w:trHeight w:val="480"/>
          <w:jc w:val="center"/>
        </w:trPr>
        <w:tc>
          <w:tcPr>
            <w:tcW w:w="3257" w:type="dxa"/>
            <w:shd w:val="clear" w:color="auto" w:fill="9CC2E5" w:themeFill="accent1" w:themeFillTint="99"/>
            <w:vAlign w:val="center"/>
            <w:hideMark/>
          </w:tcPr>
          <w:p w14:paraId="6FA1401C"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użytkowanie mieszkania lub domu i nośniki energii </w:t>
            </w:r>
          </w:p>
        </w:tc>
        <w:tc>
          <w:tcPr>
            <w:tcW w:w="1340" w:type="dxa"/>
            <w:shd w:val="clear" w:color="auto" w:fill="auto"/>
            <w:vAlign w:val="center"/>
            <w:hideMark/>
          </w:tcPr>
          <w:p w14:paraId="1825621E"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17,0</w:t>
            </w:r>
          </w:p>
        </w:tc>
        <w:tc>
          <w:tcPr>
            <w:tcW w:w="1340" w:type="dxa"/>
            <w:shd w:val="clear" w:color="auto" w:fill="auto"/>
            <w:vAlign w:val="center"/>
            <w:hideMark/>
          </w:tcPr>
          <w:p w14:paraId="6D31DAC2"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19,5</w:t>
            </w:r>
          </w:p>
        </w:tc>
        <w:tc>
          <w:tcPr>
            <w:tcW w:w="1340" w:type="dxa"/>
            <w:shd w:val="clear" w:color="auto" w:fill="auto"/>
            <w:vAlign w:val="center"/>
            <w:hideMark/>
          </w:tcPr>
          <w:p w14:paraId="2CA237B8"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21,7</w:t>
            </w:r>
          </w:p>
        </w:tc>
        <w:tc>
          <w:tcPr>
            <w:tcW w:w="1340" w:type="dxa"/>
            <w:shd w:val="clear" w:color="auto" w:fill="auto"/>
            <w:vAlign w:val="center"/>
            <w:hideMark/>
          </w:tcPr>
          <w:p w14:paraId="66404F67"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24,2</w:t>
            </w:r>
          </w:p>
        </w:tc>
        <w:tc>
          <w:tcPr>
            <w:tcW w:w="1340" w:type="dxa"/>
            <w:shd w:val="clear" w:color="auto" w:fill="auto"/>
            <w:vAlign w:val="center"/>
            <w:hideMark/>
          </w:tcPr>
          <w:p w14:paraId="4C332026"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20,0</w:t>
            </w:r>
          </w:p>
        </w:tc>
      </w:tr>
      <w:tr w:rsidR="00C256BD" w:rsidRPr="00342041" w14:paraId="25B7132B" w14:textId="77777777" w:rsidTr="00094325">
        <w:trPr>
          <w:trHeight w:val="300"/>
          <w:jc w:val="center"/>
        </w:trPr>
        <w:tc>
          <w:tcPr>
            <w:tcW w:w="3257" w:type="dxa"/>
            <w:shd w:val="clear" w:color="auto" w:fill="9CC2E5" w:themeFill="accent1" w:themeFillTint="99"/>
            <w:vAlign w:val="center"/>
            <w:hideMark/>
          </w:tcPr>
          <w:p w14:paraId="23177853"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 zdrowie                                                                                                                                                                                                                                                                                                                                                                                                                                                   </w:t>
            </w:r>
          </w:p>
        </w:tc>
        <w:tc>
          <w:tcPr>
            <w:tcW w:w="1340" w:type="dxa"/>
            <w:shd w:val="clear" w:color="auto" w:fill="auto"/>
            <w:vAlign w:val="center"/>
            <w:hideMark/>
          </w:tcPr>
          <w:p w14:paraId="566FCA03"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3,9</w:t>
            </w:r>
          </w:p>
        </w:tc>
        <w:tc>
          <w:tcPr>
            <w:tcW w:w="1340" w:type="dxa"/>
            <w:shd w:val="clear" w:color="auto" w:fill="auto"/>
            <w:vAlign w:val="center"/>
            <w:hideMark/>
          </w:tcPr>
          <w:p w14:paraId="19A5C855"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7,1</w:t>
            </w:r>
          </w:p>
        </w:tc>
        <w:tc>
          <w:tcPr>
            <w:tcW w:w="1340" w:type="dxa"/>
            <w:shd w:val="clear" w:color="auto" w:fill="auto"/>
            <w:vAlign w:val="center"/>
            <w:hideMark/>
          </w:tcPr>
          <w:p w14:paraId="0803264C"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w:t>
            </w:r>
          </w:p>
        </w:tc>
        <w:tc>
          <w:tcPr>
            <w:tcW w:w="1340" w:type="dxa"/>
            <w:shd w:val="clear" w:color="auto" w:fill="auto"/>
            <w:vAlign w:val="center"/>
            <w:hideMark/>
          </w:tcPr>
          <w:p w14:paraId="7BE0D4AC"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8,6</w:t>
            </w:r>
          </w:p>
        </w:tc>
        <w:tc>
          <w:tcPr>
            <w:tcW w:w="1340" w:type="dxa"/>
            <w:shd w:val="clear" w:color="auto" w:fill="auto"/>
            <w:vAlign w:val="center"/>
            <w:hideMark/>
          </w:tcPr>
          <w:p w14:paraId="7B4BCAFC"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w:t>
            </w:r>
          </w:p>
        </w:tc>
      </w:tr>
      <w:tr w:rsidR="00C256BD" w:rsidRPr="00342041" w14:paraId="3F8C3B9C" w14:textId="77777777" w:rsidTr="00094325">
        <w:trPr>
          <w:trHeight w:val="275"/>
          <w:jc w:val="center"/>
        </w:trPr>
        <w:tc>
          <w:tcPr>
            <w:tcW w:w="9957" w:type="dxa"/>
            <w:gridSpan w:val="6"/>
            <w:shd w:val="clear" w:color="auto" w:fill="FFFFFF" w:themeFill="background1"/>
            <w:noWrap/>
            <w:vAlign w:val="center"/>
            <w:hideMark/>
          </w:tcPr>
          <w:p w14:paraId="7B672891" w14:textId="77777777" w:rsidR="00C256BD" w:rsidRPr="00342041" w:rsidRDefault="00C256BD"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MIASTA</w:t>
            </w:r>
          </w:p>
        </w:tc>
      </w:tr>
      <w:tr w:rsidR="00C256BD" w:rsidRPr="00342041" w14:paraId="4A8BCCE1" w14:textId="77777777" w:rsidTr="00094325">
        <w:trPr>
          <w:trHeight w:val="300"/>
          <w:jc w:val="center"/>
        </w:trPr>
        <w:tc>
          <w:tcPr>
            <w:tcW w:w="9957" w:type="dxa"/>
            <w:gridSpan w:val="6"/>
            <w:shd w:val="clear" w:color="auto" w:fill="9CC2E5" w:themeFill="accent1" w:themeFillTint="99"/>
            <w:vAlign w:val="center"/>
            <w:hideMark/>
          </w:tcPr>
          <w:p w14:paraId="01D7B01C"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złotych</w:t>
            </w:r>
          </w:p>
        </w:tc>
      </w:tr>
      <w:tr w:rsidR="00C256BD" w:rsidRPr="00342041" w14:paraId="6EFCCD72" w14:textId="77777777" w:rsidTr="00094325">
        <w:trPr>
          <w:trHeight w:val="300"/>
          <w:jc w:val="center"/>
        </w:trPr>
        <w:tc>
          <w:tcPr>
            <w:tcW w:w="3257" w:type="dxa"/>
            <w:shd w:val="clear" w:color="auto" w:fill="9CC2E5" w:themeFill="accent1" w:themeFillTint="99"/>
            <w:vAlign w:val="center"/>
            <w:hideMark/>
          </w:tcPr>
          <w:p w14:paraId="703FC21B" w14:textId="77777777" w:rsidR="00C256BD" w:rsidRPr="00342041" w:rsidRDefault="00C256BD" w:rsidP="003C1988">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 xml:space="preserve">Wydatki gospodarstwa domowego                                                                                                                                                                                                                                                                                                                                                                                                                                 </w:t>
            </w:r>
          </w:p>
        </w:tc>
        <w:tc>
          <w:tcPr>
            <w:tcW w:w="1340" w:type="dxa"/>
            <w:shd w:val="clear" w:color="auto" w:fill="auto"/>
            <w:vAlign w:val="center"/>
            <w:hideMark/>
          </w:tcPr>
          <w:p w14:paraId="59068C01"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1 393,56</w:t>
            </w:r>
          </w:p>
        </w:tc>
        <w:tc>
          <w:tcPr>
            <w:tcW w:w="1340" w:type="dxa"/>
            <w:shd w:val="clear" w:color="auto" w:fill="auto"/>
            <w:vAlign w:val="center"/>
            <w:hideMark/>
          </w:tcPr>
          <w:p w14:paraId="6B35E87D"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1 389,80</w:t>
            </w:r>
          </w:p>
        </w:tc>
        <w:tc>
          <w:tcPr>
            <w:tcW w:w="1340" w:type="dxa"/>
            <w:shd w:val="clear" w:color="auto" w:fill="auto"/>
            <w:vAlign w:val="center"/>
            <w:hideMark/>
          </w:tcPr>
          <w:p w14:paraId="0E24F35B"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1 647,29</w:t>
            </w:r>
          </w:p>
        </w:tc>
        <w:tc>
          <w:tcPr>
            <w:tcW w:w="1340" w:type="dxa"/>
            <w:shd w:val="clear" w:color="auto" w:fill="auto"/>
            <w:vAlign w:val="center"/>
            <w:hideMark/>
          </w:tcPr>
          <w:p w14:paraId="3A98ABEC"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1 782,13</w:t>
            </w:r>
          </w:p>
        </w:tc>
        <w:tc>
          <w:tcPr>
            <w:tcW w:w="1340" w:type="dxa"/>
            <w:shd w:val="clear" w:color="auto" w:fill="auto"/>
            <w:vAlign w:val="center"/>
            <w:hideMark/>
          </w:tcPr>
          <w:p w14:paraId="0E08499D"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1 572,95</w:t>
            </w:r>
          </w:p>
        </w:tc>
      </w:tr>
      <w:tr w:rsidR="00C256BD" w:rsidRPr="00342041" w14:paraId="24909165" w14:textId="77777777" w:rsidTr="00094325">
        <w:trPr>
          <w:trHeight w:val="300"/>
          <w:jc w:val="center"/>
        </w:trPr>
        <w:tc>
          <w:tcPr>
            <w:tcW w:w="9957" w:type="dxa"/>
            <w:gridSpan w:val="6"/>
            <w:shd w:val="clear" w:color="auto" w:fill="9CC2E5" w:themeFill="accent1" w:themeFillTint="99"/>
            <w:vAlign w:val="center"/>
            <w:hideMark/>
          </w:tcPr>
          <w:p w14:paraId="73627E34"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odsetkach</w:t>
            </w:r>
          </w:p>
        </w:tc>
      </w:tr>
      <w:tr w:rsidR="00C256BD" w:rsidRPr="00342041" w14:paraId="01E5F03A" w14:textId="77777777" w:rsidTr="00094325">
        <w:trPr>
          <w:trHeight w:val="300"/>
          <w:jc w:val="center"/>
        </w:trPr>
        <w:tc>
          <w:tcPr>
            <w:tcW w:w="3257" w:type="dxa"/>
            <w:shd w:val="clear" w:color="auto" w:fill="9CC2E5" w:themeFill="accent1" w:themeFillTint="99"/>
            <w:vAlign w:val="center"/>
            <w:hideMark/>
          </w:tcPr>
          <w:p w14:paraId="592696F2"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Wydatki gospodarstwa domowego                                                                                                                                                                                                                                                                                                                                                                                                                                      </w:t>
            </w:r>
          </w:p>
        </w:tc>
        <w:tc>
          <w:tcPr>
            <w:tcW w:w="1340" w:type="dxa"/>
            <w:shd w:val="clear" w:color="auto" w:fill="auto"/>
            <w:vAlign w:val="center"/>
            <w:hideMark/>
          </w:tcPr>
          <w:p w14:paraId="3879B827"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309A7BC6"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318B18F9"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4049CB38"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6A05F71D"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r>
      <w:tr w:rsidR="00C256BD" w:rsidRPr="00342041" w14:paraId="208F87D8" w14:textId="77777777" w:rsidTr="00094325">
        <w:trPr>
          <w:trHeight w:val="300"/>
          <w:jc w:val="center"/>
        </w:trPr>
        <w:tc>
          <w:tcPr>
            <w:tcW w:w="3257" w:type="dxa"/>
            <w:shd w:val="clear" w:color="auto" w:fill="9CC2E5" w:themeFill="accent1" w:themeFillTint="99"/>
            <w:vAlign w:val="center"/>
            <w:hideMark/>
          </w:tcPr>
          <w:p w14:paraId="6D3D88A1"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w:t>
            </w:r>
          </w:p>
        </w:tc>
        <w:tc>
          <w:tcPr>
            <w:tcW w:w="1340" w:type="dxa"/>
            <w:shd w:val="clear" w:color="auto" w:fill="auto"/>
            <w:vAlign w:val="center"/>
            <w:hideMark/>
          </w:tcPr>
          <w:p w14:paraId="6CAF8518"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2491DD2F"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0ADF2A78"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2E6D01A1"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26E454A2"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r>
      <w:tr w:rsidR="00C256BD" w:rsidRPr="00342041" w14:paraId="2BC48FCF" w14:textId="77777777" w:rsidTr="00094325">
        <w:trPr>
          <w:trHeight w:val="300"/>
          <w:jc w:val="center"/>
        </w:trPr>
        <w:tc>
          <w:tcPr>
            <w:tcW w:w="3257" w:type="dxa"/>
            <w:shd w:val="clear" w:color="auto" w:fill="9CC2E5" w:themeFill="accent1" w:themeFillTint="99"/>
            <w:vAlign w:val="center"/>
            <w:hideMark/>
          </w:tcPr>
          <w:p w14:paraId="3D5B3DC3"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lastRenderedPageBreak/>
              <w:t xml:space="preserve">żywność i napoje bezalkoholowe                                                                                                                                                                                                                                                                                                                                                                                                                               </w:t>
            </w:r>
          </w:p>
        </w:tc>
        <w:tc>
          <w:tcPr>
            <w:tcW w:w="1340" w:type="dxa"/>
            <w:shd w:val="clear" w:color="auto" w:fill="auto"/>
            <w:vAlign w:val="center"/>
            <w:hideMark/>
          </w:tcPr>
          <w:p w14:paraId="705D48F0"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21,6</w:t>
            </w:r>
          </w:p>
        </w:tc>
        <w:tc>
          <w:tcPr>
            <w:tcW w:w="1340" w:type="dxa"/>
            <w:shd w:val="clear" w:color="auto" w:fill="auto"/>
            <w:vAlign w:val="center"/>
            <w:hideMark/>
          </w:tcPr>
          <w:p w14:paraId="45C41CFE"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26,5</w:t>
            </w:r>
          </w:p>
        </w:tc>
        <w:tc>
          <w:tcPr>
            <w:tcW w:w="1340" w:type="dxa"/>
            <w:shd w:val="clear" w:color="auto" w:fill="auto"/>
            <w:vAlign w:val="center"/>
            <w:hideMark/>
          </w:tcPr>
          <w:p w14:paraId="0F991537"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26,3</w:t>
            </w:r>
          </w:p>
        </w:tc>
        <w:tc>
          <w:tcPr>
            <w:tcW w:w="1340" w:type="dxa"/>
            <w:shd w:val="clear" w:color="auto" w:fill="auto"/>
            <w:vAlign w:val="center"/>
            <w:hideMark/>
          </w:tcPr>
          <w:p w14:paraId="7ECFA9C1"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26,3</w:t>
            </w:r>
          </w:p>
        </w:tc>
        <w:tc>
          <w:tcPr>
            <w:tcW w:w="1340" w:type="dxa"/>
            <w:shd w:val="clear" w:color="auto" w:fill="auto"/>
            <w:vAlign w:val="center"/>
            <w:hideMark/>
          </w:tcPr>
          <w:p w14:paraId="7FB05BF4"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26,3</w:t>
            </w:r>
          </w:p>
        </w:tc>
      </w:tr>
      <w:tr w:rsidR="00C256BD" w:rsidRPr="00342041" w14:paraId="5E5F24BC" w14:textId="77777777" w:rsidTr="00094325">
        <w:trPr>
          <w:trHeight w:val="480"/>
          <w:jc w:val="center"/>
        </w:trPr>
        <w:tc>
          <w:tcPr>
            <w:tcW w:w="3257" w:type="dxa"/>
            <w:shd w:val="clear" w:color="auto" w:fill="9CC2E5" w:themeFill="accent1" w:themeFillTint="99"/>
            <w:vAlign w:val="center"/>
            <w:hideMark/>
          </w:tcPr>
          <w:p w14:paraId="2ECDCEE5"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użytkowanie mieszkania lub domu i nośniki energii </w:t>
            </w:r>
          </w:p>
        </w:tc>
        <w:tc>
          <w:tcPr>
            <w:tcW w:w="1340" w:type="dxa"/>
            <w:shd w:val="clear" w:color="auto" w:fill="auto"/>
            <w:vAlign w:val="center"/>
            <w:hideMark/>
          </w:tcPr>
          <w:p w14:paraId="2886E0BD"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17,9</w:t>
            </w:r>
          </w:p>
        </w:tc>
        <w:tc>
          <w:tcPr>
            <w:tcW w:w="1340" w:type="dxa"/>
            <w:shd w:val="clear" w:color="auto" w:fill="auto"/>
            <w:vAlign w:val="center"/>
            <w:hideMark/>
          </w:tcPr>
          <w:p w14:paraId="59687951"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20,7</w:t>
            </w:r>
          </w:p>
        </w:tc>
        <w:tc>
          <w:tcPr>
            <w:tcW w:w="1340" w:type="dxa"/>
            <w:shd w:val="clear" w:color="auto" w:fill="auto"/>
            <w:vAlign w:val="center"/>
            <w:hideMark/>
          </w:tcPr>
          <w:p w14:paraId="1802FD48"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21,9</w:t>
            </w:r>
          </w:p>
        </w:tc>
        <w:tc>
          <w:tcPr>
            <w:tcW w:w="1340" w:type="dxa"/>
            <w:shd w:val="clear" w:color="auto" w:fill="auto"/>
            <w:vAlign w:val="center"/>
            <w:hideMark/>
          </w:tcPr>
          <w:p w14:paraId="45BB795D"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24,9</w:t>
            </w:r>
          </w:p>
        </w:tc>
        <w:tc>
          <w:tcPr>
            <w:tcW w:w="1340" w:type="dxa"/>
            <w:shd w:val="clear" w:color="auto" w:fill="auto"/>
            <w:vAlign w:val="center"/>
            <w:hideMark/>
          </w:tcPr>
          <w:p w14:paraId="442BC631"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19,8</w:t>
            </w:r>
          </w:p>
        </w:tc>
      </w:tr>
      <w:tr w:rsidR="00C256BD" w:rsidRPr="00342041" w14:paraId="6D2F7EE0" w14:textId="77777777" w:rsidTr="00094325">
        <w:trPr>
          <w:trHeight w:val="300"/>
          <w:jc w:val="center"/>
        </w:trPr>
        <w:tc>
          <w:tcPr>
            <w:tcW w:w="3257" w:type="dxa"/>
            <w:shd w:val="clear" w:color="auto" w:fill="9CC2E5" w:themeFill="accent1" w:themeFillTint="99"/>
            <w:vAlign w:val="center"/>
            <w:hideMark/>
          </w:tcPr>
          <w:p w14:paraId="03111F76"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zdrowie                                                                                                                                                                                                                                                                                                                                                                                                                                                   </w:t>
            </w:r>
          </w:p>
        </w:tc>
        <w:tc>
          <w:tcPr>
            <w:tcW w:w="1340" w:type="dxa"/>
            <w:shd w:val="clear" w:color="auto" w:fill="auto"/>
            <w:vAlign w:val="center"/>
            <w:hideMark/>
          </w:tcPr>
          <w:p w14:paraId="42F09934"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3,9</w:t>
            </w:r>
          </w:p>
        </w:tc>
        <w:tc>
          <w:tcPr>
            <w:tcW w:w="1340" w:type="dxa"/>
            <w:shd w:val="clear" w:color="auto" w:fill="auto"/>
            <w:vAlign w:val="center"/>
            <w:hideMark/>
          </w:tcPr>
          <w:p w14:paraId="23324799"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7,6</w:t>
            </w:r>
          </w:p>
        </w:tc>
        <w:tc>
          <w:tcPr>
            <w:tcW w:w="1340" w:type="dxa"/>
            <w:shd w:val="clear" w:color="auto" w:fill="auto"/>
            <w:vAlign w:val="center"/>
            <w:hideMark/>
          </w:tcPr>
          <w:p w14:paraId="5AF16BAF"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8,8</w:t>
            </w:r>
          </w:p>
        </w:tc>
        <w:tc>
          <w:tcPr>
            <w:tcW w:w="1340" w:type="dxa"/>
            <w:shd w:val="clear" w:color="auto" w:fill="auto"/>
            <w:vAlign w:val="center"/>
            <w:hideMark/>
          </w:tcPr>
          <w:p w14:paraId="7ABCEDC4"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8,6</w:t>
            </w:r>
          </w:p>
        </w:tc>
        <w:tc>
          <w:tcPr>
            <w:tcW w:w="1340" w:type="dxa"/>
            <w:shd w:val="clear" w:color="auto" w:fill="auto"/>
            <w:vAlign w:val="center"/>
            <w:hideMark/>
          </w:tcPr>
          <w:p w14:paraId="3CFA6633"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8,9</w:t>
            </w:r>
          </w:p>
        </w:tc>
      </w:tr>
      <w:tr w:rsidR="00C256BD" w:rsidRPr="00342041" w14:paraId="316AB483" w14:textId="77777777" w:rsidTr="00094325">
        <w:trPr>
          <w:trHeight w:val="398"/>
          <w:jc w:val="center"/>
        </w:trPr>
        <w:tc>
          <w:tcPr>
            <w:tcW w:w="9957" w:type="dxa"/>
            <w:gridSpan w:val="6"/>
            <w:shd w:val="clear" w:color="auto" w:fill="FFFFFF" w:themeFill="background1"/>
            <w:vAlign w:val="center"/>
            <w:hideMark/>
          </w:tcPr>
          <w:p w14:paraId="52235B19" w14:textId="77777777" w:rsidR="00C256BD" w:rsidRPr="00342041" w:rsidRDefault="00C256BD" w:rsidP="00F95264">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WIEŚ</w:t>
            </w:r>
          </w:p>
        </w:tc>
      </w:tr>
      <w:tr w:rsidR="00C256BD" w:rsidRPr="00342041" w14:paraId="23D51ECE" w14:textId="77777777" w:rsidTr="00094325">
        <w:trPr>
          <w:trHeight w:val="300"/>
          <w:jc w:val="center"/>
        </w:trPr>
        <w:tc>
          <w:tcPr>
            <w:tcW w:w="9957" w:type="dxa"/>
            <w:gridSpan w:val="6"/>
            <w:shd w:val="clear" w:color="auto" w:fill="9CC2E5" w:themeFill="accent1" w:themeFillTint="99"/>
            <w:vAlign w:val="center"/>
            <w:hideMark/>
          </w:tcPr>
          <w:p w14:paraId="659BC4AD"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złotych</w:t>
            </w:r>
          </w:p>
        </w:tc>
      </w:tr>
      <w:tr w:rsidR="00C256BD" w:rsidRPr="00342041" w14:paraId="62BB1B13" w14:textId="77777777" w:rsidTr="00094325">
        <w:trPr>
          <w:trHeight w:val="300"/>
          <w:jc w:val="center"/>
        </w:trPr>
        <w:tc>
          <w:tcPr>
            <w:tcW w:w="3257" w:type="dxa"/>
            <w:shd w:val="clear" w:color="auto" w:fill="9CC2E5" w:themeFill="accent1" w:themeFillTint="99"/>
            <w:vAlign w:val="center"/>
            <w:hideMark/>
          </w:tcPr>
          <w:p w14:paraId="420B8546" w14:textId="77777777" w:rsidR="00C256BD" w:rsidRPr="00342041" w:rsidRDefault="00C256BD" w:rsidP="003C1988">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 xml:space="preserve">Wydatki gospodarstwa domowego                                                                                                                                                                                                                                                                                                                                                                                                                                 </w:t>
            </w:r>
          </w:p>
        </w:tc>
        <w:tc>
          <w:tcPr>
            <w:tcW w:w="1340" w:type="dxa"/>
            <w:shd w:val="clear" w:color="auto" w:fill="auto"/>
            <w:vAlign w:val="center"/>
            <w:hideMark/>
          </w:tcPr>
          <w:p w14:paraId="4F04B05C"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1 066,74</w:t>
            </w:r>
          </w:p>
        </w:tc>
        <w:tc>
          <w:tcPr>
            <w:tcW w:w="1340" w:type="dxa"/>
            <w:shd w:val="clear" w:color="auto" w:fill="auto"/>
            <w:vAlign w:val="center"/>
            <w:hideMark/>
          </w:tcPr>
          <w:p w14:paraId="01EEA2C6"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995,25</w:t>
            </w:r>
          </w:p>
        </w:tc>
        <w:tc>
          <w:tcPr>
            <w:tcW w:w="1340" w:type="dxa"/>
            <w:shd w:val="clear" w:color="auto" w:fill="auto"/>
            <w:vAlign w:val="center"/>
            <w:hideMark/>
          </w:tcPr>
          <w:p w14:paraId="3AE7483E"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1 376,46</w:t>
            </w:r>
          </w:p>
        </w:tc>
        <w:tc>
          <w:tcPr>
            <w:tcW w:w="1340" w:type="dxa"/>
            <w:shd w:val="clear" w:color="auto" w:fill="auto"/>
            <w:vAlign w:val="center"/>
            <w:hideMark/>
          </w:tcPr>
          <w:p w14:paraId="55CB42D9"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1 470,25</w:t>
            </w:r>
          </w:p>
        </w:tc>
        <w:tc>
          <w:tcPr>
            <w:tcW w:w="1340" w:type="dxa"/>
            <w:shd w:val="clear" w:color="auto" w:fill="auto"/>
            <w:vAlign w:val="center"/>
            <w:hideMark/>
          </w:tcPr>
          <w:p w14:paraId="71D064E2" w14:textId="77777777" w:rsidR="00C256BD" w:rsidRPr="00342041" w:rsidRDefault="00C256BD" w:rsidP="00F95264">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1 338,49</w:t>
            </w:r>
          </w:p>
        </w:tc>
      </w:tr>
      <w:tr w:rsidR="00C256BD" w:rsidRPr="00342041" w14:paraId="13E347E2" w14:textId="77777777" w:rsidTr="00094325">
        <w:trPr>
          <w:trHeight w:val="300"/>
          <w:jc w:val="center"/>
        </w:trPr>
        <w:tc>
          <w:tcPr>
            <w:tcW w:w="9957" w:type="dxa"/>
            <w:gridSpan w:val="6"/>
            <w:shd w:val="clear" w:color="auto" w:fill="9CC2E5" w:themeFill="accent1" w:themeFillTint="99"/>
            <w:vAlign w:val="center"/>
            <w:hideMark/>
          </w:tcPr>
          <w:p w14:paraId="3F0A942D"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odsetkach</w:t>
            </w:r>
          </w:p>
        </w:tc>
      </w:tr>
      <w:tr w:rsidR="00C256BD" w:rsidRPr="00342041" w14:paraId="77745F20" w14:textId="77777777" w:rsidTr="00094325">
        <w:trPr>
          <w:trHeight w:val="300"/>
          <w:jc w:val="center"/>
        </w:trPr>
        <w:tc>
          <w:tcPr>
            <w:tcW w:w="3257" w:type="dxa"/>
            <w:shd w:val="clear" w:color="auto" w:fill="9CC2E5" w:themeFill="accent1" w:themeFillTint="99"/>
            <w:vAlign w:val="center"/>
            <w:hideMark/>
          </w:tcPr>
          <w:p w14:paraId="11497229"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Wydatki gospodarstwa domowego                                                                                                                                                                                                                                                                                                                                                                                                                                      </w:t>
            </w:r>
          </w:p>
        </w:tc>
        <w:tc>
          <w:tcPr>
            <w:tcW w:w="1340" w:type="dxa"/>
            <w:shd w:val="clear" w:color="auto" w:fill="auto"/>
            <w:vAlign w:val="center"/>
            <w:hideMark/>
          </w:tcPr>
          <w:p w14:paraId="49AD4631"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176AA197"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70C5E4E3"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72EAB9CB"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40" w:type="dxa"/>
            <w:shd w:val="clear" w:color="auto" w:fill="auto"/>
            <w:vAlign w:val="center"/>
            <w:hideMark/>
          </w:tcPr>
          <w:p w14:paraId="31E69F27"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r>
      <w:tr w:rsidR="00C256BD" w:rsidRPr="00342041" w14:paraId="4ACB16BA" w14:textId="77777777" w:rsidTr="00094325">
        <w:trPr>
          <w:trHeight w:val="300"/>
          <w:jc w:val="center"/>
        </w:trPr>
        <w:tc>
          <w:tcPr>
            <w:tcW w:w="3257" w:type="dxa"/>
            <w:shd w:val="clear" w:color="auto" w:fill="9CC2E5" w:themeFill="accent1" w:themeFillTint="99"/>
            <w:vAlign w:val="center"/>
            <w:hideMark/>
          </w:tcPr>
          <w:p w14:paraId="46724529"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w:t>
            </w:r>
          </w:p>
        </w:tc>
        <w:tc>
          <w:tcPr>
            <w:tcW w:w="1340" w:type="dxa"/>
            <w:shd w:val="clear" w:color="auto" w:fill="auto"/>
            <w:vAlign w:val="center"/>
            <w:hideMark/>
          </w:tcPr>
          <w:p w14:paraId="28D41D86"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6C7D592C"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1FD2CF5E"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756A0FA7"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c>
          <w:tcPr>
            <w:tcW w:w="1340" w:type="dxa"/>
            <w:shd w:val="clear" w:color="auto" w:fill="auto"/>
            <w:vAlign w:val="center"/>
            <w:hideMark/>
          </w:tcPr>
          <w:p w14:paraId="00E776F4"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p>
        </w:tc>
      </w:tr>
      <w:tr w:rsidR="00C256BD" w:rsidRPr="00342041" w14:paraId="4A323AFA" w14:textId="77777777" w:rsidTr="00094325">
        <w:trPr>
          <w:trHeight w:val="300"/>
          <w:jc w:val="center"/>
        </w:trPr>
        <w:tc>
          <w:tcPr>
            <w:tcW w:w="3257" w:type="dxa"/>
            <w:shd w:val="clear" w:color="auto" w:fill="9CC2E5" w:themeFill="accent1" w:themeFillTint="99"/>
            <w:vAlign w:val="center"/>
            <w:hideMark/>
          </w:tcPr>
          <w:p w14:paraId="6C33BE3A"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żywność i napoje bezalkoholowe                                                                                                                                                                                                                                                                                                                                                                                                                               </w:t>
            </w:r>
          </w:p>
        </w:tc>
        <w:tc>
          <w:tcPr>
            <w:tcW w:w="1340" w:type="dxa"/>
            <w:shd w:val="clear" w:color="auto" w:fill="auto"/>
            <w:vAlign w:val="center"/>
            <w:hideMark/>
          </w:tcPr>
          <w:p w14:paraId="1815A884"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27,2</w:t>
            </w:r>
          </w:p>
        </w:tc>
        <w:tc>
          <w:tcPr>
            <w:tcW w:w="1340" w:type="dxa"/>
            <w:shd w:val="clear" w:color="auto" w:fill="auto"/>
            <w:vAlign w:val="center"/>
            <w:hideMark/>
          </w:tcPr>
          <w:p w14:paraId="11EE83BB"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30,6</w:t>
            </w:r>
          </w:p>
        </w:tc>
        <w:tc>
          <w:tcPr>
            <w:tcW w:w="1340" w:type="dxa"/>
            <w:shd w:val="clear" w:color="auto" w:fill="auto"/>
            <w:vAlign w:val="center"/>
            <w:hideMark/>
          </w:tcPr>
          <w:p w14:paraId="0640641F"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31,1</w:t>
            </w:r>
          </w:p>
        </w:tc>
        <w:tc>
          <w:tcPr>
            <w:tcW w:w="1340" w:type="dxa"/>
            <w:shd w:val="clear" w:color="auto" w:fill="auto"/>
            <w:vAlign w:val="center"/>
            <w:hideMark/>
          </w:tcPr>
          <w:p w14:paraId="6F4D9BCD"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32,5</w:t>
            </w:r>
          </w:p>
        </w:tc>
        <w:tc>
          <w:tcPr>
            <w:tcW w:w="1340" w:type="dxa"/>
            <w:shd w:val="clear" w:color="auto" w:fill="auto"/>
            <w:vAlign w:val="center"/>
            <w:hideMark/>
          </w:tcPr>
          <w:p w14:paraId="0F5EFD90"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30,3</w:t>
            </w:r>
          </w:p>
        </w:tc>
      </w:tr>
      <w:tr w:rsidR="00C256BD" w:rsidRPr="00342041" w14:paraId="7AB6CB68" w14:textId="77777777" w:rsidTr="00094325">
        <w:trPr>
          <w:trHeight w:val="480"/>
          <w:jc w:val="center"/>
        </w:trPr>
        <w:tc>
          <w:tcPr>
            <w:tcW w:w="3257" w:type="dxa"/>
            <w:shd w:val="clear" w:color="auto" w:fill="9CC2E5" w:themeFill="accent1" w:themeFillTint="99"/>
            <w:vAlign w:val="center"/>
            <w:hideMark/>
          </w:tcPr>
          <w:p w14:paraId="040D7578"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użytkowanie mieszkania lub domu i nośniki energii </w:t>
            </w:r>
          </w:p>
        </w:tc>
        <w:tc>
          <w:tcPr>
            <w:tcW w:w="1340" w:type="dxa"/>
            <w:shd w:val="clear" w:color="auto" w:fill="auto"/>
            <w:vAlign w:val="center"/>
            <w:hideMark/>
          </w:tcPr>
          <w:p w14:paraId="13603E9C"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14,7</w:t>
            </w:r>
          </w:p>
        </w:tc>
        <w:tc>
          <w:tcPr>
            <w:tcW w:w="1340" w:type="dxa"/>
            <w:shd w:val="clear" w:color="auto" w:fill="auto"/>
            <w:vAlign w:val="center"/>
            <w:hideMark/>
          </w:tcPr>
          <w:p w14:paraId="6E4E9B1F"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17,5</w:t>
            </w:r>
          </w:p>
        </w:tc>
        <w:tc>
          <w:tcPr>
            <w:tcW w:w="1340" w:type="dxa"/>
            <w:shd w:val="clear" w:color="auto" w:fill="auto"/>
            <w:vAlign w:val="center"/>
            <w:hideMark/>
          </w:tcPr>
          <w:p w14:paraId="58A1D3CB"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21,0</w:t>
            </w:r>
          </w:p>
        </w:tc>
        <w:tc>
          <w:tcPr>
            <w:tcW w:w="1340" w:type="dxa"/>
            <w:shd w:val="clear" w:color="auto" w:fill="auto"/>
            <w:vAlign w:val="center"/>
            <w:hideMark/>
          </w:tcPr>
          <w:p w14:paraId="5347035D"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21,8</w:t>
            </w:r>
          </w:p>
        </w:tc>
        <w:tc>
          <w:tcPr>
            <w:tcW w:w="1340" w:type="dxa"/>
            <w:shd w:val="clear" w:color="auto" w:fill="auto"/>
            <w:vAlign w:val="center"/>
            <w:hideMark/>
          </w:tcPr>
          <w:p w14:paraId="6658E0D9"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20,6</w:t>
            </w:r>
          </w:p>
        </w:tc>
      </w:tr>
      <w:tr w:rsidR="00C256BD" w:rsidRPr="00342041" w14:paraId="10C65ADA" w14:textId="77777777" w:rsidTr="00094325">
        <w:trPr>
          <w:trHeight w:val="300"/>
          <w:jc w:val="center"/>
        </w:trPr>
        <w:tc>
          <w:tcPr>
            <w:tcW w:w="3257" w:type="dxa"/>
            <w:shd w:val="clear" w:color="auto" w:fill="9CC2E5" w:themeFill="accent1" w:themeFillTint="99"/>
            <w:vAlign w:val="center"/>
            <w:hideMark/>
          </w:tcPr>
          <w:p w14:paraId="51A6482C" w14:textId="77777777" w:rsidR="00C256BD" w:rsidRPr="00342041" w:rsidRDefault="00C256BD"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zdrowie                                                                                                                                                                                                                                                                                                                                                                                                                                                   </w:t>
            </w:r>
          </w:p>
        </w:tc>
        <w:tc>
          <w:tcPr>
            <w:tcW w:w="1340" w:type="dxa"/>
            <w:shd w:val="clear" w:color="auto" w:fill="auto"/>
            <w:vAlign w:val="center"/>
            <w:hideMark/>
          </w:tcPr>
          <w:p w14:paraId="732B8F55"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3,7</w:t>
            </w:r>
          </w:p>
        </w:tc>
        <w:tc>
          <w:tcPr>
            <w:tcW w:w="1340" w:type="dxa"/>
            <w:shd w:val="clear" w:color="auto" w:fill="auto"/>
            <w:vAlign w:val="center"/>
            <w:hideMark/>
          </w:tcPr>
          <w:p w14:paraId="6926976D"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6,2</w:t>
            </w:r>
          </w:p>
        </w:tc>
        <w:tc>
          <w:tcPr>
            <w:tcW w:w="1340" w:type="dxa"/>
            <w:shd w:val="clear" w:color="auto" w:fill="auto"/>
            <w:vAlign w:val="center"/>
            <w:hideMark/>
          </w:tcPr>
          <w:p w14:paraId="088C3201"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8,2</w:t>
            </w:r>
          </w:p>
        </w:tc>
        <w:tc>
          <w:tcPr>
            <w:tcW w:w="1340" w:type="dxa"/>
            <w:shd w:val="clear" w:color="auto" w:fill="auto"/>
            <w:vAlign w:val="center"/>
            <w:hideMark/>
          </w:tcPr>
          <w:p w14:paraId="0566F814"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w:t>
            </w:r>
          </w:p>
        </w:tc>
        <w:tc>
          <w:tcPr>
            <w:tcW w:w="1340" w:type="dxa"/>
            <w:shd w:val="clear" w:color="auto" w:fill="auto"/>
            <w:vAlign w:val="center"/>
            <w:hideMark/>
          </w:tcPr>
          <w:p w14:paraId="5A47D515" w14:textId="77777777" w:rsidR="00C256BD" w:rsidRPr="00342041" w:rsidRDefault="00C256BD" w:rsidP="00F95264">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7,9</w:t>
            </w:r>
          </w:p>
        </w:tc>
      </w:tr>
    </w:tbl>
    <w:p w14:paraId="249816F8" w14:textId="77777777" w:rsidR="00A5671F" w:rsidRPr="00A9161D" w:rsidRDefault="00C256BD" w:rsidP="003C1988">
      <w:pPr>
        <w:spacing w:after="120"/>
        <w:rPr>
          <w:rFonts w:ascii="Times New Roman" w:hAnsi="Times New Roman" w:cs="Times New Roman"/>
          <w:b/>
          <w:bCs/>
          <w:spacing w:val="-10"/>
          <w:kern w:val="20"/>
          <w:szCs w:val="24"/>
        </w:rPr>
      </w:pPr>
      <w:r w:rsidRPr="00A9161D">
        <w:rPr>
          <w:rFonts w:ascii="Times New Roman" w:hAnsi="Times New Roman" w:cs="Times New Roman"/>
          <w:b/>
          <w:bCs/>
          <w:spacing w:val="-10"/>
          <w:kern w:val="20"/>
          <w:szCs w:val="24"/>
        </w:rPr>
        <w:t>Źródło: Badanie budżetów gospodarstw domowych w 2019 r., GUS</w:t>
      </w:r>
    </w:p>
    <w:p w14:paraId="79B5DD4A" w14:textId="77777777" w:rsidR="0063334E" w:rsidRPr="0063334E" w:rsidRDefault="0063334E" w:rsidP="0063334E">
      <w:pPr>
        <w:spacing w:after="0"/>
        <w:jc w:val="both"/>
        <w:rPr>
          <w:rFonts w:ascii="Times New Roman" w:hAnsi="Times New Roman" w:cs="Times New Roman"/>
          <w:color w:val="FF0000"/>
          <w:sz w:val="24"/>
        </w:rPr>
      </w:pPr>
      <w:r w:rsidRPr="0063334E">
        <w:rPr>
          <w:rFonts w:ascii="Times New Roman" w:hAnsi="Times New Roman" w:cs="Times New Roman"/>
          <w:color w:val="0D0D0D" w:themeColor="text1" w:themeTint="F2"/>
          <w:sz w:val="24"/>
        </w:rPr>
        <w:t xml:space="preserve">Poziom, dynamika i struktura dochodów oraz wydatków są istotnie zróżnicowane ze względu </w:t>
      </w:r>
      <w:r w:rsidR="00A84B3D">
        <w:rPr>
          <w:rFonts w:ascii="Times New Roman" w:hAnsi="Times New Roman" w:cs="Times New Roman"/>
          <w:color w:val="0D0D0D" w:themeColor="text1" w:themeTint="F2"/>
          <w:sz w:val="24"/>
        </w:rPr>
        <w:br/>
      </w:r>
      <w:r w:rsidRPr="0063334E">
        <w:rPr>
          <w:rFonts w:ascii="Times New Roman" w:hAnsi="Times New Roman" w:cs="Times New Roman"/>
          <w:color w:val="0D0D0D" w:themeColor="text1" w:themeTint="F2"/>
          <w:sz w:val="24"/>
        </w:rPr>
        <w:t xml:space="preserve">na miejsce zamieszkania gospodarstwa domowego. Sytuacja dochodowa gospodarstw domowych zamieszkujących w miastach jest lepsza niż gospodarstw domowych na wsi. W miastach gospodarstwa domowe wyłącznie z osobami w wieku 60 lat i więcej miały dochody o 22,9% wyższe (w 2018 r. o 25,1%) a gospodarstwa domowe bez osób starszych o 27,1% wyższe </w:t>
      </w:r>
      <w:r w:rsidR="00A84B3D">
        <w:rPr>
          <w:rFonts w:ascii="Times New Roman" w:hAnsi="Times New Roman" w:cs="Times New Roman"/>
          <w:color w:val="0D0D0D" w:themeColor="text1" w:themeTint="F2"/>
          <w:sz w:val="24"/>
        </w:rPr>
        <w:br/>
      </w:r>
      <w:r w:rsidRPr="0063334E">
        <w:rPr>
          <w:rFonts w:ascii="Times New Roman" w:hAnsi="Times New Roman" w:cs="Times New Roman"/>
          <w:color w:val="0D0D0D" w:themeColor="text1" w:themeTint="F2"/>
          <w:sz w:val="24"/>
        </w:rPr>
        <w:t xml:space="preserve">(w 2018 r. o 28,6%) niż gospodarstwa na wsi. Również wydatki gospodarstw domowych wyłącznie osób starszych zamieszkujących w miastach były wyższe o  19,7% (w 2018 r. o 17,8%), a w przypadku gospodarstw wyłącznie z osobami poniżej 60 roku życia  – o 30,6% (w 2018 r. </w:t>
      </w:r>
      <w:r w:rsidR="00A84B3D">
        <w:rPr>
          <w:rFonts w:ascii="Times New Roman" w:hAnsi="Times New Roman" w:cs="Times New Roman"/>
          <w:color w:val="0D0D0D" w:themeColor="text1" w:themeTint="F2"/>
          <w:sz w:val="24"/>
        </w:rPr>
        <w:br/>
      </w:r>
      <w:r w:rsidRPr="0063334E">
        <w:rPr>
          <w:rFonts w:ascii="Times New Roman" w:hAnsi="Times New Roman" w:cs="Times New Roman"/>
          <w:color w:val="0D0D0D" w:themeColor="text1" w:themeTint="F2"/>
          <w:sz w:val="24"/>
        </w:rPr>
        <w:t xml:space="preserve">o 32,4%) niż gospodarstw na wsi. </w:t>
      </w:r>
    </w:p>
    <w:p w14:paraId="50F75EBC" w14:textId="77777777" w:rsidR="00A5671F" w:rsidRDefault="00A5671F" w:rsidP="00D809F9">
      <w:pPr>
        <w:spacing w:after="0"/>
        <w:rPr>
          <w:rFonts w:ascii="Times New Roman" w:hAnsi="Times New Roman" w:cs="Times New Roman"/>
          <w:bCs/>
          <w:spacing w:val="-10"/>
          <w:kern w:val="20"/>
          <w:sz w:val="24"/>
          <w:szCs w:val="24"/>
        </w:rPr>
      </w:pPr>
    </w:p>
    <w:p w14:paraId="3CFA4011" w14:textId="7E50041B" w:rsidR="00A9161D" w:rsidRPr="00A9161D" w:rsidRDefault="00A9161D" w:rsidP="00A9161D">
      <w:pPr>
        <w:pStyle w:val="Legenda"/>
        <w:keepNext/>
        <w:rPr>
          <w:rFonts w:ascii="Times New Roman" w:hAnsi="Times New Roman" w:cs="Times New Roman"/>
          <w:b/>
          <w:i w:val="0"/>
          <w:sz w:val="24"/>
        </w:rPr>
      </w:pPr>
      <w:bookmarkStart w:id="12" w:name="_Toc49171382"/>
      <w:r w:rsidRPr="00A9161D">
        <w:rPr>
          <w:rFonts w:ascii="Times New Roman" w:hAnsi="Times New Roman" w:cs="Times New Roman"/>
          <w:b/>
          <w:i w:val="0"/>
          <w:sz w:val="24"/>
        </w:rPr>
        <w:t xml:space="preserve">Tabela </w:t>
      </w:r>
      <w:r w:rsidRPr="00A9161D">
        <w:rPr>
          <w:rFonts w:ascii="Times New Roman" w:hAnsi="Times New Roman" w:cs="Times New Roman"/>
          <w:b/>
          <w:i w:val="0"/>
          <w:sz w:val="24"/>
        </w:rPr>
        <w:fldChar w:fldCharType="begin"/>
      </w:r>
      <w:r w:rsidRPr="00A9161D">
        <w:rPr>
          <w:rFonts w:ascii="Times New Roman" w:hAnsi="Times New Roman" w:cs="Times New Roman"/>
          <w:b/>
          <w:i w:val="0"/>
          <w:sz w:val="24"/>
        </w:rPr>
        <w:instrText xml:space="preserve"> SEQ Tabela \* ARABIC </w:instrText>
      </w:r>
      <w:r w:rsidRPr="00A9161D">
        <w:rPr>
          <w:rFonts w:ascii="Times New Roman" w:hAnsi="Times New Roman" w:cs="Times New Roman"/>
          <w:b/>
          <w:i w:val="0"/>
          <w:sz w:val="24"/>
        </w:rPr>
        <w:fldChar w:fldCharType="separate"/>
      </w:r>
      <w:r w:rsidR="00C154C9">
        <w:rPr>
          <w:rFonts w:ascii="Times New Roman" w:hAnsi="Times New Roman" w:cs="Times New Roman"/>
          <w:b/>
          <w:i w:val="0"/>
          <w:noProof/>
          <w:sz w:val="24"/>
        </w:rPr>
        <w:t>7</w:t>
      </w:r>
      <w:r w:rsidRPr="00A9161D">
        <w:rPr>
          <w:rFonts w:ascii="Times New Roman" w:hAnsi="Times New Roman" w:cs="Times New Roman"/>
          <w:b/>
          <w:i w:val="0"/>
          <w:sz w:val="24"/>
        </w:rPr>
        <w:fldChar w:fldCharType="end"/>
      </w:r>
      <w:r w:rsidRPr="00A9161D">
        <w:rPr>
          <w:rFonts w:ascii="Times New Roman" w:hAnsi="Times New Roman" w:cs="Times New Roman"/>
          <w:b/>
          <w:i w:val="0"/>
          <w:sz w:val="24"/>
        </w:rPr>
        <w:t xml:space="preserve"> Subiektywna ocena sytuacji materialnej gospodarstwa domowego</w:t>
      </w:r>
      <w:bookmarkEnd w:id="12"/>
    </w:p>
    <w:tbl>
      <w:tblPr>
        <w:tblW w:w="9680"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980"/>
        <w:gridCol w:w="1340"/>
        <w:gridCol w:w="1340"/>
        <w:gridCol w:w="1340"/>
        <w:gridCol w:w="1340"/>
        <w:gridCol w:w="1340"/>
      </w:tblGrid>
      <w:tr w:rsidR="00C256BD" w:rsidRPr="00342041" w14:paraId="6BAFC638" w14:textId="77777777" w:rsidTr="00094325">
        <w:trPr>
          <w:trHeight w:val="398"/>
          <w:jc w:val="center"/>
        </w:trPr>
        <w:tc>
          <w:tcPr>
            <w:tcW w:w="2980" w:type="dxa"/>
            <w:vMerge w:val="restart"/>
            <w:shd w:val="clear" w:color="auto" w:fill="9CC2E5" w:themeFill="accent1" w:themeFillTint="99"/>
            <w:vAlign w:val="center"/>
            <w:hideMark/>
          </w:tcPr>
          <w:p w14:paraId="6778A9FC"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Wyszczególnienie</w:t>
            </w:r>
          </w:p>
        </w:tc>
        <w:tc>
          <w:tcPr>
            <w:tcW w:w="6700" w:type="dxa"/>
            <w:gridSpan w:val="5"/>
            <w:shd w:val="clear" w:color="auto" w:fill="9CC2E5" w:themeFill="accent1" w:themeFillTint="99"/>
            <w:vAlign w:val="center"/>
            <w:hideMark/>
          </w:tcPr>
          <w:p w14:paraId="1B1E1246"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Gospodarstwa domowe  </w:t>
            </w:r>
          </w:p>
        </w:tc>
      </w:tr>
      <w:tr w:rsidR="00C256BD" w:rsidRPr="00342041" w14:paraId="459C24DC" w14:textId="77777777" w:rsidTr="00094325">
        <w:trPr>
          <w:trHeight w:val="398"/>
          <w:jc w:val="center"/>
        </w:trPr>
        <w:tc>
          <w:tcPr>
            <w:tcW w:w="2980" w:type="dxa"/>
            <w:vMerge/>
            <w:shd w:val="clear" w:color="auto" w:fill="9CC2E5" w:themeFill="accent1" w:themeFillTint="99"/>
            <w:vAlign w:val="center"/>
            <w:hideMark/>
          </w:tcPr>
          <w:p w14:paraId="5154346D"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val="restart"/>
            <w:shd w:val="clear" w:color="auto" w:fill="9CC2E5" w:themeFill="accent1" w:themeFillTint="99"/>
            <w:vAlign w:val="center"/>
            <w:hideMark/>
          </w:tcPr>
          <w:p w14:paraId="266C0A99"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bez osób </w:t>
            </w:r>
            <w:r w:rsidRPr="00342041">
              <w:rPr>
                <w:rFonts w:ascii="Times New Roman" w:eastAsia="Times New Roman" w:hAnsi="Times New Roman" w:cs="Times New Roman"/>
                <w:b/>
                <w:color w:val="000000"/>
                <w:sz w:val="20"/>
                <w:szCs w:val="20"/>
                <w:lang w:eastAsia="pl-PL"/>
              </w:rPr>
              <w:br/>
              <w:t xml:space="preserve">w wieku 60 lat </w:t>
            </w:r>
            <w:r w:rsidRPr="00342041">
              <w:rPr>
                <w:rFonts w:ascii="Times New Roman" w:eastAsia="Times New Roman" w:hAnsi="Times New Roman" w:cs="Times New Roman"/>
                <w:b/>
                <w:color w:val="000000"/>
                <w:sz w:val="20"/>
                <w:szCs w:val="20"/>
                <w:lang w:eastAsia="pl-PL"/>
              </w:rPr>
              <w:br/>
              <w:t>i więcej</w:t>
            </w:r>
          </w:p>
        </w:tc>
        <w:tc>
          <w:tcPr>
            <w:tcW w:w="1340" w:type="dxa"/>
            <w:vMerge w:val="restart"/>
            <w:shd w:val="clear" w:color="auto" w:fill="9CC2E5" w:themeFill="accent1" w:themeFillTint="99"/>
            <w:vAlign w:val="center"/>
            <w:hideMark/>
          </w:tcPr>
          <w:p w14:paraId="19DF509F"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z przynajmniej </w:t>
            </w:r>
            <w:r w:rsidRPr="00342041">
              <w:rPr>
                <w:rFonts w:ascii="Times New Roman" w:eastAsia="Times New Roman" w:hAnsi="Times New Roman" w:cs="Times New Roman"/>
                <w:b/>
                <w:color w:val="000000"/>
                <w:sz w:val="20"/>
                <w:szCs w:val="20"/>
                <w:lang w:eastAsia="pl-PL"/>
              </w:rPr>
              <w:br/>
              <w:t>1 osobą w wieku 60 lat i więcej</w:t>
            </w:r>
          </w:p>
        </w:tc>
        <w:tc>
          <w:tcPr>
            <w:tcW w:w="4020" w:type="dxa"/>
            <w:gridSpan w:val="3"/>
            <w:shd w:val="clear" w:color="auto" w:fill="9CC2E5" w:themeFill="accent1" w:themeFillTint="99"/>
            <w:vAlign w:val="center"/>
            <w:hideMark/>
          </w:tcPr>
          <w:p w14:paraId="2724B0B7"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wyłącznie z osobami w wieku 60 lat i więcej</w:t>
            </w:r>
          </w:p>
        </w:tc>
      </w:tr>
      <w:tr w:rsidR="00C256BD" w:rsidRPr="00342041" w14:paraId="6EEE1243" w14:textId="77777777" w:rsidTr="00094325">
        <w:trPr>
          <w:trHeight w:val="398"/>
          <w:jc w:val="center"/>
        </w:trPr>
        <w:tc>
          <w:tcPr>
            <w:tcW w:w="2980" w:type="dxa"/>
            <w:vMerge/>
            <w:shd w:val="clear" w:color="auto" w:fill="9CC2E5" w:themeFill="accent1" w:themeFillTint="99"/>
            <w:vAlign w:val="center"/>
            <w:hideMark/>
          </w:tcPr>
          <w:p w14:paraId="123EF799"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14AD5CBC"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59CB5BF5"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val="restart"/>
            <w:shd w:val="clear" w:color="auto" w:fill="9CC2E5" w:themeFill="accent1" w:themeFillTint="99"/>
            <w:vAlign w:val="center"/>
            <w:hideMark/>
          </w:tcPr>
          <w:p w14:paraId="6993A0AA"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razem</w:t>
            </w:r>
          </w:p>
        </w:tc>
        <w:tc>
          <w:tcPr>
            <w:tcW w:w="2680" w:type="dxa"/>
            <w:gridSpan w:val="2"/>
            <w:shd w:val="clear" w:color="auto" w:fill="9CC2E5" w:themeFill="accent1" w:themeFillTint="99"/>
            <w:vAlign w:val="center"/>
            <w:hideMark/>
          </w:tcPr>
          <w:p w14:paraId="5F8791B7"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w:t>
            </w:r>
          </w:p>
        </w:tc>
      </w:tr>
      <w:tr w:rsidR="00C256BD" w:rsidRPr="00342041" w14:paraId="0D3BAD49" w14:textId="77777777" w:rsidTr="00094325">
        <w:trPr>
          <w:trHeight w:val="450"/>
          <w:jc w:val="center"/>
        </w:trPr>
        <w:tc>
          <w:tcPr>
            <w:tcW w:w="2980" w:type="dxa"/>
            <w:vMerge/>
            <w:shd w:val="clear" w:color="auto" w:fill="9CC2E5" w:themeFill="accent1" w:themeFillTint="99"/>
            <w:vAlign w:val="center"/>
            <w:hideMark/>
          </w:tcPr>
          <w:p w14:paraId="3E3F8D0D"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2712F72D"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1DA14FD1"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507FCFEE"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val="restart"/>
            <w:shd w:val="clear" w:color="auto" w:fill="9CC2E5" w:themeFill="accent1" w:themeFillTint="99"/>
            <w:vAlign w:val="center"/>
            <w:hideMark/>
          </w:tcPr>
          <w:p w14:paraId="5258B07B"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1-osobowe</w:t>
            </w:r>
          </w:p>
        </w:tc>
        <w:tc>
          <w:tcPr>
            <w:tcW w:w="1340" w:type="dxa"/>
            <w:vMerge w:val="restart"/>
            <w:shd w:val="clear" w:color="auto" w:fill="9CC2E5" w:themeFill="accent1" w:themeFillTint="99"/>
            <w:vAlign w:val="center"/>
            <w:hideMark/>
          </w:tcPr>
          <w:p w14:paraId="2F77426A"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2-osobowe (obydwie osoby </w:t>
            </w:r>
            <w:r w:rsidRPr="00342041">
              <w:rPr>
                <w:rFonts w:ascii="Times New Roman" w:eastAsia="Times New Roman" w:hAnsi="Times New Roman" w:cs="Times New Roman"/>
                <w:b/>
                <w:color w:val="000000"/>
                <w:sz w:val="20"/>
                <w:szCs w:val="20"/>
                <w:lang w:eastAsia="pl-PL"/>
              </w:rPr>
              <w:br/>
              <w:t xml:space="preserve">w wieku 60 lat </w:t>
            </w:r>
            <w:r w:rsidRPr="00342041">
              <w:rPr>
                <w:rFonts w:ascii="Times New Roman" w:eastAsia="Times New Roman" w:hAnsi="Times New Roman" w:cs="Times New Roman"/>
                <w:b/>
                <w:color w:val="000000"/>
                <w:sz w:val="20"/>
                <w:szCs w:val="20"/>
                <w:lang w:eastAsia="pl-PL"/>
              </w:rPr>
              <w:br/>
              <w:t>i więcej)</w:t>
            </w:r>
          </w:p>
        </w:tc>
      </w:tr>
      <w:tr w:rsidR="00C256BD" w:rsidRPr="00342041" w14:paraId="537F2E37" w14:textId="77777777" w:rsidTr="00094325">
        <w:trPr>
          <w:trHeight w:val="450"/>
          <w:jc w:val="center"/>
        </w:trPr>
        <w:tc>
          <w:tcPr>
            <w:tcW w:w="2980" w:type="dxa"/>
            <w:vMerge/>
            <w:shd w:val="clear" w:color="auto" w:fill="9CC2E5" w:themeFill="accent1" w:themeFillTint="99"/>
            <w:vAlign w:val="center"/>
            <w:hideMark/>
          </w:tcPr>
          <w:p w14:paraId="457375A7"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797560FB"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27166ACE"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220C30C9"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48B86197"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6484BE23"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r>
      <w:tr w:rsidR="00C256BD" w:rsidRPr="00342041" w14:paraId="3A97AE22" w14:textId="77777777" w:rsidTr="00094325">
        <w:trPr>
          <w:trHeight w:val="450"/>
          <w:jc w:val="center"/>
        </w:trPr>
        <w:tc>
          <w:tcPr>
            <w:tcW w:w="2980" w:type="dxa"/>
            <w:vMerge/>
            <w:shd w:val="clear" w:color="auto" w:fill="9CC2E5" w:themeFill="accent1" w:themeFillTint="99"/>
            <w:vAlign w:val="center"/>
            <w:hideMark/>
          </w:tcPr>
          <w:p w14:paraId="511CC43A"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57A0D383"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4FDF3EC0"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427736BF"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727C25E9"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1FC74466"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r>
      <w:tr w:rsidR="00C256BD" w:rsidRPr="00342041" w14:paraId="739BE7C4" w14:textId="77777777" w:rsidTr="00094325">
        <w:trPr>
          <w:trHeight w:val="300"/>
          <w:jc w:val="center"/>
        </w:trPr>
        <w:tc>
          <w:tcPr>
            <w:tcW w:w="2980" w:type="dxa"/>
            <w:vMerge/>
            <w:shd w:val="clear" w:color="auto" w:fill="9CC2E5" w:themeFill="accent1" w:themeFillTint="99"/>
            <w:vAlign w:val="center"/>
            <w:hideMark/>
          </w:tcPr>
          <w:p w14:paraId="68002737"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p>
        </w:tc>
        <w:tc>
          <w:tcPr>
            <w:tcW w:w="6700" w:type="dxa"/>
            <w:gridSpan w:val="5"/>
            <w:shd w:val="clear" w:color="auto" w:fill="9CC2E5" w:themeFill="accent1" w:themeFillTint="99"/>
            <w:vAlign w:val="center"/>
            <w:hideMark/>
          </w:tcPr>
          <w:p w14:paraId="68ED5327"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 danej grupy gospodarstw</w:t>
            </w:r>
          </w:p>
        </w:tc>
      </w:tr>
      <w:tr w:rsidR="00C256BD" w:rsidRPr="00342041" w14:paraId="7915E5FA" w14:textId="77777777" w:rsidTr="00094325">
        <w:trPr>
          <w:trHeight w:val="300"/>
          <w:jc w:val="center"/>
        </w:trPr>
        <w:tc>
          <w:tcPr>
            <w:tcW w:w="9680" w:type="dxa"/>
            <w:gridSpan w:val="6"/>
            <w:shd w:val="clear" w:color="auto" w:fill="FFFFFF" w:themeFill="background1"/>
            <w:vAlign w:val="center"/>
            <w:hideMark/>
          </w:tcPr>
          <w:p w14:paraId="3F1739EC" w14:textId="77777777" w:rsidR="00C256BD" w:rsidRPr="00342041" w:rsidRDefault="00C256BD"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w:t>
            </w:r>
          </w:p>
        </w:tc>
      </w:tr>
      <w:tr w:rsidR="00C256BD" w:rsidRPr="00342041" w14:paraId="24A7070C" w14:textId="77777777" w:rsidTr="00094325">
        <w:trPr>
          <w:trHeight w:val="300"/>
          <w:jc w:val="center"/>
        </w:trPr>
        <w:tc>
          <w:tcPr>
            <w:tcW w:w="2980" w:type="dxa"/>
            <w:shd w:val="clear" w:color="auto" w:fill="9CC2E5" w:themeFill="accent1" w:themeFillTint="99"/>
            <w:vAlign w:val="center"/>
            <w:hideMark/>
          </w:tcPr>
          <w:p w14:paraId="5824A074" w14:textId="77777777" w:rsidR="00C256BD" w:rsidRPr="00342041" w:rsidRDefault="00C256BD" w:rsidP="00094325">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Ocena sytuacji materialnej przez gospodarstwo domowe</w:t>
            </w:r>
          </w:p>
        </w:tc>
        <w:tc>
          <w:tcPr>
            <w:tcW w:w="1340" w:type="dxa"/>
            <w:shd w:val="clear" w:color="auto" w:fill="auto"/>
            <w:vAlign w:val="center"/>
            <w:hideMark/>
          </w:tcPr>
          <w:p w14:paraId="102C6D11"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1360E05F"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068C6306"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52BF8DBB"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19AD33C0"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r>
      <w:tr w:rsidR="00C256BD" w:rsidRPr="00342041" w14:paraId="7A47902A" w14:textId="77777777" w:rsidTr="00094325">
        <w:trPr>
          <w:trHeight w:val="300"/>
          <w:jc w:val="center"/>
        </w:trPr>
        <w:tc>
          <w:tcPr>
            <w:tcW w:w="2980" w:type="dxa"/>
            <w:shd w:val="clear" w:color="auto" w:fill="9CC2E5" w:themeFill="accent1" w:themeFillTint="99"/>
            <w:vAlign w:val="center"/>
            <w:hideMark/>
          </w:tcPr>
          <w:p w14:paraId="36C616F9"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Bardzo dobra i raczej dobra</w:t>
            </w:r>
          </w:p>
        </w:tc>
        <w:tc>
          <w:tcPr>
            <w:tcW w:w="1340" w:type="dxa"/>
            <w:shd w:val="clear" w:color="auto" w:fill="auto"/>
            <w:vAlign w:val="center"/>
            <w:hideMark/>
          </w:tcPr>
          <w:p w14:paraId="686C3076"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56,5</w:t>
            </w:r>
          </w:p>
        </w:tc>
        <w:tc>
          <w:tcPr>
            <w:tcW w:w="1340" w:type="dxa"/>
            <w:shd w:val="clear" w:color="auto" w:fill="auto"/>
            <w:vAlign w:val="center"/>
            <w:hideMark/>
          </w:tcPr>
          <w:p w14:paraId="198C0F30"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39,9</w:t>
            </w:r>
          </w:p>
        </w:tc>
        <w:tc>
          <w:tcPr>
            <w:tcW w:w="1340" w:type="dxa"/>
            <w:shd w:val="clear" w:color="auto" w:fill="auto"/>
            <w:vAlign w:val="center"/>
            <w:hideMark/>
          </w:tcPr>
          <w:p w14:paraId="2D2F62A1"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37,4</w:t>
            </w:r>
          </w:p>
        </w:tc>
        <w:tc>
          <w:tcPr>
            <w:tcW w:w="1340" w:type="dxa"/>
            <w:shd w:val="clear" w:color="auto" w:fill="auto"/>
            <w:vAlign w:val="center"/>
            <w:hideMark/>
          </w:tcPr>
          <w:p w14:paraId="0DE78B30"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27,9</w:t>
            </w:r>
          </w:p>
        </w:tc>
        <w:tc>
          <w:tcPr>
            <w:tcW w:w="1340" w:type="dxa"/>
            <w:shd w:val="clear" w:color="auto" w:fill="auto"/>
            <w:vAlign w:val="center"/>
            <w:hideMark/>
          </w:tcPr>
          <w:p w14:paraId="06D37BF8"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48,6</w:t>
            </w:r>
          </w:p>
        </w:tc>
      </w:tr>
      <w:tr w:rsidR="00C256BD" w:rsidRPr="00342041" w14:paraId="33331F65" w14:textId="77777777" w:rsidTr="00094325">
        <w:trPr>
          <w:trHeight w:val="300"/>
          <w:jc w:val="center"/>
        </w:trPr>
        <w:tc>
          <w:tcPr>
            <w:tcW w:w="2980" w:type="dxa"/>
            <w:shd w:val="clear" w:color="auto" w:fill="9CC2E5" w:themeFill="accent1" w:themeFillTint="99"/>
            <w:vAlign w:val="center"/>
            <w:hideMark/>
          </w:tcPr>
          <w:p w14:paraId="26728881"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Przeciętna</w:t>
            </w:r>
          </w:p>
        </w:tc>
        <w:tc>
          <w:tcPr>
            <w:tcW w:w="1340" w:type="dxa"/>
            <w:shd w:val="clear" w:color="auto" w:fill="auto"/>
            <w:vAlign w:val="center"/>
            <w:hideMark/>
          </w:tcPr>
          <w:p w14:paraId="12EB9069"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38,2</w:t>
            </w:r>
          </w:p>
        </w:tc>
        <w:tc>
          <w:tcPr>
            <w:tcW w:w="1340" w:type="dxa"/>
            <w:shd w:val="clear" w:color="auto" w:fill="auto"/>
            <w:vAlign w:val="center"/>
            <w:hideMark/>
          </w:tcPr>
          <w:p w14:paraId="720FD3EC"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51,2</w:t>
            </w:r>
          </w:p>
        </w:tc>
        <w:tc>
          <w:tcPr>
            <w:tcW w:w="1340" w:type="dxa"/>
            <w:shd w:val="clear" w:color="auto" w:fill="auto"/>
            <w:vAlign w:val="center"/>
            <w:hideMark/>
          </w:tcPr>
          <w:p w14:paraId="64420562"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52,2</w:t>
            </w:r>
          </w:p>
        </w:tc>
        <w:tc>
          <w:tcPr>
            <w:tcW w:w="1340" w:type="dxa"/>
            <w:shd w:val="clear" w:color="auto" w:fill="auto"/>
            <w:vAlign w:val="center"/>
            <w:hideMark/>
          </w:tcPr>
          <w:p w14:paraId="53D57C28"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56,4</w:t>
            </w:r>
          </w:p>
        </w:tc>
        <w:tc>
          <w:tcPr>
            <w:tcW w:w="1340" w:type="dxa"/>
            <w:shd w:val="clear" w:color="auto" w:fill="auto"/>
            <w:vAlign w:val="center"/>
            <w:hideMark/>
          </w:tcPr>
          <w:p w14:paraId="4008F887"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47,5</w:t>
            </w:r>
          </w:p>
        </w:tc>
      </w:tr>
      <w:tr w:rsidR="00C256BD" w:rsidRPr="00342041" w14:paraId="33F703CA" w14:textId="77777777" w:rsidTr="00094325">
        <w:trPr>
          <w:trHeight w:val="300"/>
          <w:jc w:val="center"/>
        </w:trPr>
        <w:tc>
          <w:tcPr>
            <w:tcW w:w="2980" w:type="dxa"/>
            <w:shd w:val="clear" w:color="auto" w:fill="9CC2E5" w:themeFill="accent1" w:themeFillTint="99"/>
            <w:vAlign w:val="center"/>
            <w:hideMark/>
          </w:tcPr>
          <w:p w14:paraId="4B48430D"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Raczej zła i zła</w:t>
            </w:r>
          </w:p>
        </w:tc>
        <w:tc>
          <w:tcPr>
            <w:tcW w:w="1340" w:type="dxa"/>
            <w:shd w:val="clear" w:color="auto" w:fill="auto"/>
            <w:vAlign w:val="center"/>
            <w:hideMark/>
          </w:tcPr>
          <w:p w14:paraId="2E413000"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5,3</w:t>
            </w:r>
          </w:p>
        </w:tc>
        <w:tc>
          <w:tcPr>
            <w:tcW w:w="1340" w:type="dxa"/>
            <w:shd w:val="clear" w:color="auto" w:fill="auto"/>
            <w:vAlign w:val="center"/>
            <w:hideMark/>
          </w:tcPr>
          <w:p w14:paraId="15DB4785"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8,9</w:t>
            </w:r>
          </w:p>
        </w:tc>
        <w:tc>
          <w:tcPr>
            <w:tcW w:w="1340" w:type="dxa"/>
            <w:shd w:val="clear" w:color="auto" w:fill="auto"/>
            <w:vAlign w:val="center"/>
            <w:hideMark/>
          </w:tcPr>
          <w:p w14:paraId="185372CA"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10,4</w:t>
            </w:r>
          </w:p>
        </w:tc>
        <w:tc>
          <w:tcPr>
            <w:tcW w:w="1340" w:type="dxa"/>
            <w:shd w:val="clear" w:color="auto" w:fill="auto"/>
            <w:vAlign w:val="center"/>
            <w:hideMark/>
          </w:tcPr>
          <w:p w14:paraId="54676F12"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15,7</w:t>
            </w:r>
          </w:p>
        </w:tc>
        <w:tc>
          <w:tcPr>
            <w:tcW w:w="1340" w:type="dxa"/>
            <w:shd w:val="clear" w:color="auto" w:fill="auto"/>
            <w:vAlign w:val="center"/>
            <w:hideMark/>
          </w:tcPr>
          <w:p w14:paraId="1F1CEE84"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3,9</w:t>
            </w:r>
          </w:p>
        </w:tc>
      </w:tr>
      <w:tr w:rsidR="00C256BD" w:rsidRPr="00342041" w14:paraId="436BA974" w14:textId="77777777" w:rsidTr="00094325">
        <w:trPr>
          <w:trHeight w:val="300"/>
          <w:jc w:val="center"/>
        </w:trPr>
        <w:tc>
          <w:tcPr>
            <w:tcW w:w="9680" w:type="dxa"/>
            <w:gridSpan w:val="6"/>
            <w:shd w:val="clear" w:color="auto" w:fill="auto"/>
            <w:vAlign w:val="center"/>
            <w:hideMark/>
          </w:tcPr>
          <w:p w14:paraId="26591AF3" w14:textId="77777777" w:rsidR="00C256BD" w:rsidRPr="00342041" w:rsidRDefault="00C256BD"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MIASTA</w:t>
            </w:r>
          </w:p>
        </w:tc>
      </w:tr>
      <w:tr w:rsidR="00C256BD" w:rsidRPr="00342041" w14:paraId="71EC8823" w14:textId="77777777" w:rsidTr="00094325">
        <w:trPr>
          <w:trHeight w:val="300"/>
          <w:jc w:val="center"/>
        </w:trPr>
        <w:tc>
          <w:tcPr>
            <w:tcW w:w="2980" w:type="dxa"/>
            <w:shd w:val="clear" w:color="auto" w:fill="9CC2E5" w:themeFill="accent1" w:themeFillTint="99"/>
            <w:vAlign w:val="center"/>
            <w:hideMark/>
          </w:tcPr>
          <w:p w14:paraId="1450A46E" w14:textId="77777777" w:rsidR="00C256BD" w:rsidRPr="00342041" w:rsidRDefault="00C256BD" w:rsidP="00094325">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Ocena sytuacji materialnej przez gospodarstwo domowe</w:t>
            </w:r>
          </w:p>
        </w:tc>
        <w:tc>
          <w:tcPr>
            <w:tcW w:w="1340" w:type="dxa"/>
            <w:shd w:val="clear" w:color="auto" w:fill="auto"/>
            <w:vAlign w:val="center"/>
            <w:hideMark/>
          </w:tcPr>
          <w:p w14:paraId="74C0C8E7"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22E847EC"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441BE1E8"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7CB64B75"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7879C0F6"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r>
      <w:tr w:rsidR="00C256BD" w:rsidRPr="00342041" w14:paraId="49F0FB83" w14:textId="77777777" w:rsidTr="00094325">
        <w:trPr>
          <w:trHeight w:val="300"/>
          <w:jc w:val="center"/>
        </w:trPr>
        <w:tc>
          <w:tcPr>
            <w:tcW w:w="2980" w:type="dxa"/>
            <w:shd w:val="clear" w:color="auto" w:fill="9CC2E5" w:themeFill="accent1" w:themeFillTint="99"/>
            <w:vAlign w:val="center"/>
            <w:hideMark/>
          </w:tcPr>
          <w:p w14:paraId="1A2FA0C7"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Bardzo dobra i raczej dobra</w:t>
            </w:r>
          </w:p>
        </w:tc>
        <w:tc>
          <w:tcPr>
            <w:tcW w:w="1340" w:type="dxa"/>
            <w:shd w:val="clear" w:color="auto" w:fill="auto"/>
            <w:vAlign w:val="center"/>
            <w:hideMark/>
          </w:tcPr>
          <w:p w14:paraId="3037A1B9"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58,6</w:t>
            </w:r>
          </w:p>
        </w:tc>
        <w:tc>
          <w:tcPr>
            <w:tcW w:w="1340" w:type="dxa"/>
            <w:shd w:val="clear" w:color="auto" w:fill="auto"/>
            <w:vAlign w:val="center"/>
            <w:hideMark/>
          </w:tcPr>
          <w:p w14:paraId="61440F38"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41,2</w:t>
            </w:r>
          </w:p>
        </w:tc>
        <w:tc>
          <w:tcPr>
            <w:tcW w:w="1340" w:type="dxa"/>
            <w:shd w:val="clear" w:color="auto" w:fill="auto"/>
            <w:vAlign w:val="center"/>
            <w:hideMark/>
          </w:tcPr>
          <w:p w14:paraId="0B08CF75"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39,8</w:t>
            </w:r>
          </w:p>
        </w:tc>
        <w:tc>
          <w:tcPr>
            <w:tcW w:w="1340" w:type="dxa"/>
            <w:shd w:val="clear" w:color="auto" w:fill="auto"/>
            <w:vAlign w:val="center"/>
            <w:hideMark/>
          </w:tcPr>
          <w:p w14:paraId="6C0B757F"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30,4</w:t>
            </w:r>
          </w:p>
        </w:tc>
        <w:tc>
          <w:tcPr>
            <w:tcW w:w="1340" w:type="dxa"/>
            <w:shd w:val="clear" w:color="auto" w:fill="auto"/>
            <w:vAlign w:val="center"/>
            <w:hideMark/>
          </w:tcPr>
          <w:p w14:paraId="0EA7799C"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50,9</w:t>
            </w:r>
          </w:p>
        </w:tc>
      </w:tr>
      <w:tr w:rsidR="00C256BD" w:rsidRPr="00342041" w14:paraId="56D4B3F3" w14:textId="77777777" w:rsidTr="00094325">
        <w:trPr>
          <w:trHeight w:val="70"/>
          <w:jc w:val="center"/>
        </w:trPr>
        <w:tc>
          <w:tcPr>
            <w:tcW w:w="2980" w:type="dxa"/>
            <w:shd w:val="clear" w:color="auto" w:fill="9CC2E5" w:themeFill="accent1" w:themeFillTint="99"/>
            <w:vAlign w:val="center"/>
            <w:hideMark/>
          </w:tcPr>
          <w:p w14:paraId="3CEDA004"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Przeciętna</w:t>
            </w:r>
          </w:p>
        </w:tc>
        <w:tc>
          <w:tcPr>
            <w:tcW w:w="1340" w:type="dxa"/>
            <w:shd w:val="clear" w:color="auto" w:fill="auto"/>
            <w:vAlign w:val="center"/>
            <w:hideMark/>
          </w:tcPr>
          <w:p w14:paraId="0320819D"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36,3</w:t>
            </w:r>
          </w:p>
        </w:tc>
        <w:tc>
          <w:tcPr>
            <w:tcW w:w="1340" w:type="dxa"/>
            <w:shd w:val="clear" w:color="auto" w:fill="auto"/>
            <w:vAlign w:val="center"/>
            <w:hideMark/>
          </w:tcPr>
          <w:p w14:paraId="11191471"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50,0</w:t>
            </w:r>
          </w:p>
        </w:tc>
        <w:tc>
          <w:tcPr>
            <w:tcW w:w="1340" w:type="dxa"/>
            <w:shd w:val="clear" w:color="auto" w:fill="auto"/>
            <w:vAlign w:val="center"/>
            <w:hideMark/>
          </w:tcPr>
          <w:p w14:paraId="0A31F392"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50,6</w:t>
            </w:r>
          </w:p>
        </w:tc>
        <w:tc>
          <w:tcPr>
            <w:tcW w:w="1340" w:type="dxa"/>
            <w:shd w:val="clear" w:color="auto" w:fill="auto"/>
            <w:vAlign w:val="center"/>
            <w:hideMark/>
          </w:tcPr>
          <w:p w14:paraId="3959DB37"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55,1</w:t>
            </w:r>
          </w:p>
        </w:tc>
        <w:tc>
          <w:tcPr>
            <w:tcW w:w="1340" w:type="dxa"/>
            <w:shd w:val="clear" w:color="auto" w:fill="auto"/>
            <w:vAlign w:val="center"/>
            <w:hideMark/>
          </w:tcPr>
          <w:p w14:paraId="473BA924"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45,5</w:t>
            </w:r>
          </w:p>
        </w:tc>
      </w:tr>
      <w:tr w:rsidR="00C256BD" w:rsidRPr="00342041" w14:paraId="6F91B23A" w14:textId="77777777" w:rsidTr="00094325">
        <w:trPr>
          <w:trHeight w:val="300"/>
          <w:jc w:val="center"/>
        </w:trPr>
        <w:tc>
          <w:tcPr>
            <w:tcW w:w="2980" w:type="dxa"/>
            <w:shd w:val="clear" w:color="auto" w:fill="9CC2E5" w:themeFill="accent1" w:themeFillTint="99"/>
            <w:vAlign w:val="center"/>
            <w:hideMark/>
          </w:tcPr>
          <w:p w14:paraId="3908645E"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lastRenderedPageBreak/>
              <w:t>Raczej zła i zła</w:t>
            </w:r>
          </w:p>
        </w:tc>
        <w:tc>
          <w:tcPr>
            <w:tcW w:w="1340" w:type="dxa"/>
            <w:shd w:val="clear" w:color="auto" w:fill="auto"/>
            <w:vAlign w:val="center"/>
            <w:hideMark/>
          </w:tcPr>
          <w:p w14:paraId="11FF43FE"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5,0</w:t>
            </w:r>
          </w:p>
        </w:tc>
        <w:tc>
          <w:tcPr>
            <w:tcW w:w="1340" w:type="dxa"/>
            <w:shd w:val="clear" w:color="auto" w:fill="auto"/>
            <w:vAlign w:val="center"/>
            <w:hideMark/>
          </w:tcPr>
          <w:p w14:paraId="08E01296"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8,9</w:t>
            </w:r>
          </w:p>
        </w:tc>
        <w:tc>
          <w:tcPr>
            <w:tcW w:w="1340" w:type="dxa"/>
            <w:shd w:val="clear" w:color="auto" w:fill="auto"/>
            <w:vAlign w:val="center"/>
            <w:hideMark/>
          </w:tcPr>
          <w:p w14:paraId="1735B785"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9,6</w:t>
            </w:r>
          </w:p>
        </w:tc>
        <w:tc>
          <w:tcPr>
            <w:tcW w:w="1340" w:type="dxa"/>
            <w:shd w:val="clear" w:color="auto" w:fill="auto"/>
            <w:vAlign w:val="center"/>
            <w:hideMark/>
          </w:tcPr>
          <w:p w14:paraId="02CE378C"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14,5</w:t>
            </w:r>
          </w:p>
        </w:tc>
        <w:tc>
          <w:tcPr>
            <w:tcW w:w="1340" w:type="dxa"/>
            <w:shd w:val="clear" w:color="auto" w:fill="auto"/>
            <w:vAlign w:val="center"/>
            <w:hideMark/>
          </w:tcPr>
          <w:p w14:paraId="3C359B40"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3,6</w:t>
            </w:r>
          </w:p>
        </w:tc>
      </w:tr>
      <w:tr w:rsidR="00C256BD" w:rsidRPr="00342041" w14:paraId="20CE4C75" w14:textId="77777777" w:rsidTr="00094325">
        <w:trPr>
          <w:trHeight w:val="300"/>
          <w:jc w:val="center"/>
        </w:trPr>
        <w:tc>
          <w:tcPr>
            <w:tcW w:w="9680" w:type="dxa"/>
            <w:gridSpan w:val="6"/>
            <w:shd w:val="clear" w:color="auto" w:fill="auto"/>
            <w:vAlign w:val="center"/>
            <w:hideMark/>
          </w:tcPr>
          <w:p w14:paraId="436F52F5" w14:textId="77777777" w:rsidR="00C256BD" w:rsidRPr="00342041" w:rsidRDefault="00C256BD" w:rsidP="00094325">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WIEŚ</w:t>
            </w:r>
          </w:p>
        </w:tc>
      </w:tr>
      <w:tr w:rsidR="00C256BD" w:rsidRPr="00342041" w14:paraId="712A57A1" w14:textId="77777777" w:rsidTr="00094325">
        <w:trPr>
          <w:trHeight w:val="300"/>
          <w:jc w:val="center"/>
        </w:trPr>
        <w:tc>
          <w:tcPr>
            <w:tcW w:w="2980" w:type="dxa"/>
            <w:shd w:val="clear" w:color="auto" w:fill="9CC2E5" w:themeFill="accent1" w:themeFillTint="99"/>
            <w:vAlign w:val="center"/>
            <w:hideMark/>
          </w:tcPr>
          <w:p w14:paraId="2557FAF9" w14:textId="77777777" w:rsidR="00C256BD" w:rsidRPr="00342041" w:rsidRDefault="00C256BD" w:rsidP="00094325">
            <w:pPr>
              <w:spacing w:after="0" w:line="240" w:lineRule="auto"/>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Ocena sytuacji materialnej przez gospodarstwo domowe</w:t>
            </w:r>
          </w:p>
        </w:tc>
        <w:tc>
          <w:tcPr>
            <w:tcW w:w="1340" w:type="dxa"/>
            <w:shd w:val="clear" w:color="auto" w:fill="auto"/>
            <w:vAlign w:val="center"/>
            <w:hideMark/>
          </w:tcPr>
          <w:p w14:paraId="3B43ED76"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37F99AE3"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7DB7DA31"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113A80F1"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40" w:type="dxa"/>
            <w:shd w:val="clear" w:color="auto" w:fill="auto"/>
            <w:vAlign w:val="center"/>
            <w:hideMark/>
          </w:tcPr>
          <w:p w14:paraId="0C7149D6" w14:textId="77777777" w:rsidR="00C256BD" w:rsidRPr="00342041" w:rsidRDefault="00C256BD" w:rsidP="00094325">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r>
      <w:tr w:rsidR="00C256BD" w:rsidRPr="00342041" w14:paraId="0393F772" w14:textId="77777777" w:rsidTr="00094325">
        <w:trPr>
          <w:trHeight w:val="300"/>
          <w:jc w:val="center"/>
        </w:trPr>
        <w:tc>
          <w:tcPr>
            <w:tcW w:w="2980" w:type="dxa"/>
            <w:shd w:val="clear" w:color="auto" w:fill="9CC2E5" w:themeFill="accent1" w:themeFillTint="99"/>
            <w:vAlign w:val="center"/>
            <w:hideMark/>
          </w:tcPr>
          <w:p w14:paraId="0070A0DF"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Bardzo dobra i raczej dobra</w:t>
            </w:r>
          </w:p>
        </w:tc>
        <w:tc>
          <w:tcPr>
            <w:tcW w:w="1340" w:type="dxa"/>
            <w:shd w:val="clear" w:color="auto" w:fill="auto"/>
            <w:vAlign w:val="center"/>
            <w:hideMark/>
          </w:tcPr>
          <w:p w14:paraId="7BD83558"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51,5</w:t>
            </w:r>
          </w:p>
        </w:tc>
        <w:tc>
          <w:tcPr>
            <w:tcW w:w="1340" w:type="dxa"/>
            <w:shd w:val="clear" w:color="auto" w:fill="auto"/>
            <w:vAlign w:val="center"/>
            <w:hideMark/>
          </w:tcPr>
          <w:p w14:paraId="308362DD"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37,7</w:t>
            </w:r>
          </w:p>
        </w:tc>
        <w:tc>
          <w:tcPr>
            <w:tcW w:w="1340" w:type="dxa"/>
            <w:shd w:val="clear" w:color="auto" w:fill="auto"/>
            <w:vAlign w:val="center"/>
            <w:hideMark/>
          </w:tcPr>
          <w:p w14:paraId="3B747AE6"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30,5</w:t>
            </w:r>
          </w:p>
        </w:tc>
        <w:tc>
          <w:tcPr>
            <w:tcW w:w="1340" w:type="dxa"/>
            <w:shd w:val="clear" w:color="auto" w:fill="auto"/>
            <w:vAlign w:val="center"/>
            <w:hideMark/>
          </w:tcPr>
          <w:p w14:paraId="7E9B8F62"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20,6</w:t>
            </w:r>
          </w:p>
        </w:tc>
        <w:tc>
          <w:tcPr>
            <w:tcW w:w="1340" w:type="dxa"/>
            <w:shd w:val="clear" w:color="auto" w:fill="auto"/>
            <w:vAlign w:val="center"/>
            <w:hideMark/>
          </w:tcPr>
          <w:p w14:paraId="30D8ADE5"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41,7</w:t>
            </w:r>
          </w:p>
        </w:tc>
      </w:tr>
      <w:tr w:rsidR="00C256BD" w:rsidRPr="00342041" w14:paraId="5C097EFB" w14:textId="77777777" w:rsidTr="00094325">
        <w:trPr>
          <w:trHeight w:val="300"/>
          <w:jc w:val="center"/>
        </w:trPr>
        <w:tc>
          <w:tcPr>
            <w:tcW w:w="2980" w:type="dxa"/>
            <w:shd w:val="clear" w:color="auto" w:fill="9CC2E5" w:themeFill="accent1" w:themeFillTint="99"/>
            <w:vAlign w:val="center"/>
            <w:hideMark/>
          </w:tcPr>
          <w:p w14:paraId="5E888E4E"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Przeciętna</w:t>
            </w:r>
          </w:p>
        </w:tc>
        <w:tc>
          <w:tcPr>
            <w:tcW w:w="1340" w:type="dxa"/>
            <w:shd w:val="clear" w:color="auto" w:fill="auto"/>
            <w:vAlign w:val="center"/>
            <w:hideMark/>
          </w:tcPr>
          <w:p w14:paraId="37C82186"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42,5</w:t>
            </w:r>
          </w:p>
        </w:tc>
        <w:tc>
          <w:tcPr>
            <w:tcW w:w="1340" w:type="dxa"/>
            <w:shd w:val="clear" w:color="auto" w:fill="auto"/>
            <w:vAlign w:val="center"/>
            <w:hideMark/>
          </w:tcPr>
          <w:p w14:paraId="13BAEDB2"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53,5</w:t>
            </w:r>
          </w:p>
        </w:tc>
        <w:tc>
          <w:tcPr>
            <w:tcW w:w="1340" w:type="dxa"/>
            <w:shd w:val="clear" w:color="auto" w:fill="auto"/>
            <w:vAlign w:val="center"/>
            <w:hideMark/>
          </w:tcPr>
          <w:p w14:paraId="053D7B3E"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56,9</w:t>
            </w:r>
          </w:p>
        </w:tc>
        <w:tc>
          <w:tcPr>
            <w:tcW w:w="1340" w:type="dxa"/>
            <w:shd w:val="clear" w:color="auto" w:fill="auto"/>
            <w:vAlign w:val="center"/>
            <w:hideMark/>
          </w:tcPr>
          <w:p w14:paraId="22ADA822"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60,1</w:t>
            </w:r>
          </w:p>
        </w:tc>
        <w:tc>
          <w:tcPr>
            <w:tcW w:w="1340" w:type="dxa"/>
            <w:shd w:val="clear" w:color="auto" w:fill="auto"/>
            <w:vAlign w:val="center"/>
            <w:hideMark/>
          </w:tcPr>
          <w:p w14:paraId="7B17D313"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53,5</w:t>
            </w:r>
          </w:p>
        </w:tc>
      </w:tr>
      <w:tr w:rsidR="00C256BD" w:rsidRPr="00342041" w14:paraId="5D169183" w14:textId="77777777" w:rsidTr="00094325">
        <w:trPr>
          <w:trHeight w:val="300"/>
          <w:jc w:val="center"/>
        </w:trPr>
        <w:tc>
          <w:tcPr>
            <w:tcW w:w="2980" w:type="dxa"/>
            <w:shd w:val="clear" w:color="auto" w:fill="9CC2E5" w:themeFill="accent1" w:themeFillTint="99"/>
            <w:vAlign w:val="center"/>
            <w:hideMark/>
          </w:tcPr>
          <w:p w14:paraId="73593F6B" w14:textId="77777777" w:rsidR="00C256BD" w:rsidRPr="00342041" w:rsidRDefault="00C256BD" w:rsidP="00094325">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Raczej zła i zła</w:t>
            </w:r>
          </w:p>
        </w:tc>
        <w:tc>
          <w:tcPr>
            <w:tcW w:w="1340" w:type="dxa"/>
            <w:shd w:val="clear" w:color="auto" w:fill="auto"/>
            <w:vAlign w:val="center"/>
            <w:hideMark/>
          </w:tcPr>
          <w:p w14:paraId="41E2DCB7"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6,0</w:t>
            </w:r>
          </w:p>
        </w:tc>
        <w:tc>
          <w:tcPr>
            <w:tcW w:w="1340" w:type="dxa"/>
            <w:shd w:val="clear" w:color="auto" w:fill="auto"/>
            <w:vAlign w:val="center"/>
            <w:hideMark/>
          </w:tcPr>
          <w:p w14:paraId="373A213D"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8,9</w:t>
            </w:r>
          </w:p>
        </w:tc>
        <w:tc>
          <w:tcPr>
            <w:tcW w:w="1340" w:type="dxa"/>
            <w:shd w:val="clear" w:color="auto" w:fill="auto"/>
            <w:vAlign w:val="center"/>
            <w:hideMark/>
          </w:tcPr>
          <w:p w14:paraId="4C19E2F2"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12,6</w:t>
            </w:r>
          </w:p>
        </w:tc>
        <w:tc>
          <w:tcPr>
            <w:tcW w:w="1340" w:type="dxa"/>
            <w:shd w:val="clear" w:color="auto" w:fill="auto"/>
            <w:vAlign w:val="center"/>
            <w:hideMark/>
          </w:tcPr>
          <w:p w14:paraId="18244A30"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19,2</w:t>
            </w:r>
          </w:p>
        </w:tc>
        <w:tc>
          <w:tcPr>
            <w:tcW w:w="1340" w:type="dxa"/>
            <w:shd w:val="clear" w:color="auto" w:fill="auto"/>
            <w:vAlign w:val="center"/>
            <w:hideMark/>
          </w:tcPr>
          <w:p w14:paraId="433ED8F9" w14:textId="77777777" w:rsidR="00C256BD" w:rsidRPr="00342041" w:rsidRDefault="00C256BD" w:rsidP="00094325">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4,8</w:t>
            </w:r>
          </w:p>
        </w:tc>
      </w:tr>
    </w:tbl>
    <w:p w14:paraId="45D92C40" w14:textId="77777777" w:rsidR="0017313F" w:rsidRDefault="00C44070" w:rsidP="003C1988">
      <w:pPr>
        <w:spacing w:after="120"/>
        <w:rPr>
          <w:rFonts w:ascii="Times New Roman" w:hAnsi="Times New Roman" w:cs="Times New Roman"/>
          <w:b/>
          <w:bCs/>
          <w:spacing w:val="-10"/>
          <w:kern w:val="20"/>
          <w:szCs w:val="24"/>
        </w:rPr>
      </w:pPr>
      <w:r w:rsidRPr="00A9161D">
        <w:rPr>
          <w:rFonts w:ascii="Times New Roman" w:hAnsi="Times New Roman" w:cs="Times New Roman"/>
          <w:b/>
          <w:bCs/>
          <w:spacing w:val="-10"/>
          <w:kern w:val="20"/>
          <w:szCs w:val="24"/>
        </w:rPr>
        <w:t>Źródło: Badanie budżetów gospodarstw domowych w 2019 r., GUS</w:t>
      </w:r>
    </w:p>
    <w:p w14:paraId="37836F0A" w14:textId="77777777" w:rsidR="00B23828" w:rsidRPr="00B23828" w:rsidRDefault="00B23828" w:rsidP="00B23828">
      <w:pPr>
        <w:spacing w:after="0"/>
        <w:jc w:val="both"/>
        <w:rPr>
          <w:rFonts w:ascii="Times New Roman" w:hAnsi="Times New Roman" w:cs="Times New Roman"/>
          <w:color w:val="0D0D0D" w:themeColor="text1" w:themeTint="F2"/>
          <w:spacing w:val="-2"/>
          <w:sz w:val="24"/>
          <w:szCs w:val="24"/>
        </w:rPr>
      </w:pPr>
      <w:r w:rsidRPr="00B23828">
        <w:rPr>
          <w:rFonts w:ascii="Times New Roman" w:hAnsi="Times New Roman" w:cs="Times New Roman"/>
          <w:color w:val="0D0D0D" w:themeColor="text1" w:themeTint="F2"/>
          <w:spacing w:val="-2"/>
          <w:sz w:val="24"/>
          <w:szCs w:val="24"/>
        </w:rPr>
        <w:t>Gospodarstwa domowe wyłącznie z osobami starszymi rzadziej oceniały swoją sytuację materialną jako bardzo dobrą lub dobrą w porównaniu z gospodarstwami bez osób starszych (37,4% wobec 56,5%), a częściej jako przeciętną i raczej złą lub złą. Najgorzej swoją sytuację materialną oceniały osoby w wieku 60 lat i więcej zamieszkujące samotnie, w szczególności na wsi – 19,2% z nich oceniło swoją sytuację jako raczej złą lub złą. Było to jednak o 2,8 p. proc. mniej niż w 2018</w:t>
      </w:r>
      <w:r>
        <w:rPr>
          <w:rFonts w:ascii="Times New Roman" w:hAnsi="Times New Roman" w:cs="Times New Roman"/>
          <w:color w:val="0D0D0D" w:themeColor="text1" w:themeTint="F2"/>
          <w:spacing w:val="-2"/>
          <w:sz w:val="24"/>
          <w:szCs w:val="24"/>
        </w:rPr>
        <w:t xml:space="preserve"> r</w:t>
      </w:r>
      <w:r w:rsidRPr="00B23828">
        <w:rPr>
          <w:rFonts w:ascii="Times New Roman" w:hAnsi="Times New Roman" w:cs="Times New Roman"/>
          <w:color w:val="0D0D0D" w:themeColor="text1" w:themeTint="F2"/>
          <w:spacing w:val="-2"/>
          <w:sz w:val="24"/>
          <w:szCs w:val="24"/>
        </w:rPr>
        <w:t>.</w:t>
      </w:r>
    </w:p>
    <w:p w14:paraId="484799AA" w14:textId="77777777" w:rsidR="00B23828" w:rsidRDefault="00B23828" w:rsidP="00B23828">
      <w:pPr>
        <w:spacing w:after="0"/>
        <w:jc w:val="both"/>
        <w:rPr>
          <w:color w:val="0D0D0D" w:themeColor="text1" w:themeTint="F2"/>
        </w:rPr>
      </w:pPr>
    </w:p>
    <w:p w14:paraId="7DDEF016" w14:textId="77777777" w:rsidR="00B23828" w:rsidRPr="00B23828" w:rsidRDefault="00B23828" w:rsidP="00B23828">
      <w:pPr>
        <w:spacing w:after="0"/>
        <w:jc w:val="both"/>
        <w:rPr>
          <w:rFonts w:ascii="Times New Roman" w:hAnsi="Times New Roman" w:cs="Times New Roman"/>
          <w:color w:val="0D0D0D" w:themeColor="text1" w:themeTint="F2"/>
          <w:sz w:val="24"/>
          <w:szCs w:val="24"/>
        </w:rPr>
      </w:pPr>
      <w:r w:rsidRPr="00B23828">
        <w:rPr>
          <w:rFonts w:ascii="Times New Roman" w:hAnsi="Times New Roman" w:cs="Times New Roman"/>
          <w:color w:val="0D0D0D" w:themeColor="text1" w:themeTint="F2"/>
          <w:sz w:val="24"/>
          <w:szCs w:val="24"/>
        </w:rPr>
        <w:t>W 2019 r. gospodarstwa domowe składające się wyłącznie z osób starszych mieszkały w przeważającej części w budynkach wielorodzinnych – 61,0%.</w:t>
      </w:r>
    </w:p>
    <w:p w14:paraId="6CAD7A52" w14:textId="77777777" w:rsidR="00B23828" w:rsidRDefault="00B23828" w:rsidP="00B23828">
      <w:pPr>
        <w:spacing w:after="0"/>
        <w:jc w:val="both"/>
        <w:rPr>
          <w:rFonts w:ascii="Times New Roman" w:hAnsi="Times New Roman" w:cs="Times New Roman"/>
          <w:color w:val="0D0D0D" w:themeColor="text1" w:themeTint="F2"/>
          <w:sz w:val="24"/>
          <w:szCs w:val="24"/>
        </w:rPr>
      </w:pPr>
    </w:p>
    <w:p w14:paraId="563A7F38" w14:textId="77777777" w:rsidR="00B23828" w:rsidRPr="00B23828" w:rsidRDefault="00B23828" w:rsidP="00B23828">
      <w:pPr>
        <w:spacing w:after="0"/>
        <w:jc w:val="both"/>
        <w:rPr>
          <w:rFonts w:ascii="Times New Roman" w:hAnsi="Times New Roman" w:cs="Times New Roman"/>
          <w:color w:val="0D0D0D" w:themeColor="text1" w:themeTint="F2"/>
          <w:sz w:val="24"/>
          <w:szCs w:val="24"/>
        </w:rPr>
      </w:pPr>
      <w:r w:rsidRPr="00B23828">
        <w:rPr>
          <w:rFonts w:ascii="Times New Roman" w:hAnsi="Times New Roman" w:cs="Times New Roman"/>
          <w:color w:val="0D0D0D" w:themeColor="text1" w:themeTint="F2"/>
          <w:sz w:val="24"/>
          <w:szCs w:val="24"/>
        </w:rPr>
        <w:t>Przeciętna powierzchnia użytkowa mieszkania na 1 gospodarstwo domowe osób starszych wynosiła 68,77 m</w:t>
      </w:r>
      <w:r w:rsidRPr="00B23828">
        <w:rPr>
          <w:rFonts w:ascii="Times New Roman" w:hAnsi="Times New Roman" w:cs="Times New Roman"/>
          <w:color w:val="0D0D0D" w:themeColor="text1" w:themeTint="F2"/>
          <w:sz w:val="24"/>
          <w:szCs w:val="24"/>
          <w:vertAlign w:val="superscript"/>
        </w:rPr>
        <w:t>2</w:t>
      </w:r>
      <w:r w:rsidRPr="00B23828">
        <w:rPr>
          <w:rFonts w:ascii="Times New Roman" w:hAnsi="Times New Roman" w:cs="Times New Roman"/>
          <w:color w:val="0D0D0D" w:themeColor="text1" w:themeTint="F2"/>
          <w:sz w:val="24"/>
          <w:szCs w:val="24"/>
        </w:rPr>
        <w:t>, przy czym w miastach ponad 24 m</w:t>
      </w:r>
      <w:r w:rsidRPr="00B23828">
        <w:rPr>
          <w:rFonts w:ascii="Times New Roman" w:hAnsi="Times New Roman" w:cs="Times New Roman"/>
          <w:color w:val="0D0D0D" w:themeColor="text1" w:themeTint="F2"/>
          <w:sz w:val="24"/>
          <w:szCs w:val="24"/>
          <w:vertAlign w:val="superscript"/>
        </w:rPr>
        <w:t>2</w:t>
      </w:r>
      <w:r w:rsidRPr="00B23828">
        <w:rPr>
          <w:rFonts w:ascii="Times New Roman" w:hAnsi="Times New Roman" w:cs="Times New Roman"/>
          <w:color w:val="0D0D0D" w:themeColor="text1" w:themeTint="F2"/>
          <w:sz w:val="24"/>
          <w:szCs w:val="24"/>
        </w:rPr>
        <w:t xml:space="preserve"> mniej niż na wsi (62,48 m</w:t>
      </w:r>
      <w:r w:rsidRPr="00B23828">
        <w:rPr>
          <w:rFonts w:ascii="Times New Roman" w:hAnsi="Times New Roman" w:cs="Times New Roman"/>
          <w:color w:val="0D0D0D" w:themeColor="text1" w:themeTint="F2"/>
          <w:sz w:val="24"/>
          <w:szCs w:val="24"/>
          <w:vertAlign w:val="superscript"/>
        </w:rPr>
        <w:t>2</w:t>
      </w:r>
      <w:r w:rsidRPr="00B23828">
        <w:rPr>
          <w:rFonts w:ascii="Times New Roman" w:hAnsi="Times New Roman" w:cs="Times New Roman"/>
          <w:color w:val="0D0D0D" w:themeColor="text1" w:themeTint="F2"/>
          <w:sz w:val="24"/>
          <w:szCs w:val="24"/>
        </w:rPr>
        <w:t xml:space="preserve"> wobec </w:t>
      </w:r>
      <w:r w:rsidR="00A84B3D">
        <w:rPr>
          <w:rFonts w:ascii="Times New Roman" w:hAnsi="Times New Roman" w:cs="Times New Roman"/>
          <w:color w:val="0D0D0D" w:themeColor="text1" w:themeTint="F2"/>
          <w:sz w:val="24"/>
          <w:szCs w:val="24"/>
        </w:rPr>
        <w:br/>
      </w:r>
      <w:r w:rsidRPr="00B23828">
        <w:rPr>
          <w:rFonts w:ascii="Times New Roman" w:hAnsi="Times New Roman" w:cs="Times New Roman"/>
          <w:color w:val="0D0D0D" w:themeColor="text1" w:themeTint="F2"/>
          <w:sz w:val="24"/>
          <w:szCs w:val="24"/>
        </w:rPr>
        <w:t>86,69 m</w:t>
      </w:r>
      <w:r w:rsidRPr="00B23828">
        <w:rPr>
          <w:rFonts w:ascii="Times New Roman" w:hAnsi="Times New Roman" w:cs="Times New Roman"/>
          <w:color w:val="0D0D0D" w:themeColor="text1" w:themeTint="F2"/>
          <w:sz w:val="24"/>
          <w:szCs w:val="24"/>
          <w:vertAlign w:val="superscript"/>
        </w:rPr>
        <w:t>2</w:t>
      </w:r>
      <w:r w:rsidRPr="00B23828">
        <w:rPr>
          <w:rFonts w:ascii="Times New Roman" w:hAnsi="Times New Roman" w:cs="Times New Roman"/>
          <w:color w:val="0D0D0D" w:themeColor="text1" w:themeTint="F2"/>
          <w:sz w:val="24"/>
          <w:szCs w:val="24"/>
        </w:rPr>
        <w:t>). Ogółem w gospodarstwach osób starszych były to mieszkania o blisko 11 m</w:t>
      </w:r>
      <w:r w:rsidRPr="00B23828">
        <w:rPr>
          <w:rFonts w:ascii="Times New Roman" w:hAnsi="Times New Roman" w:cs="Times New Roman"/>
          <w:color w:val="0D0D0D" w:themeColor="text1" w:themeTint="F2"/>
          <w:sz w:val="24"/>
          <w:szCs w:val="24"/>
          <w:vertAlign w:val="superscript"/>
        </w:rPr>
        <w:t>2</w:t>
      </w:r>
      <w:r w:rsidRPr="00B23828">
        <w:rPr>
          <w:rFonts w:ascii="Times New Roman" w:hAnsi="Times New Roman" w:cs="Times New Roman"/>
          <w:color w:val="0D0D0D" w:themeColor="text1" w:themeTint="F2"/>
          <w:sz w:val="24"/>
          <w:szCs w:val="24"/>
        </w:rPr>
        <w:t xml:space="preserve"> mniejsze </w:t>
      </w:r>
      <w:r w:rsidR="00A84B3D">
        <w:rPr>
          <w:rFonts w:ascii="Times New Roman" w:hAnsi="Times New Roman" w:cs="Times New Roman"/>
          <w:color w:val="0D0D0D" w:themeColor="text1" w:themeTint="F2"/>
          <w:sz w:val="24"/>
          <w:szCs w:val="24"/>
        </w:rPr>
        <w:br/>
      </w:r>
      <w:r w:rsidRPr="00B23828">
        <w:rPr>
          <w:rFonts w:ascii="Times New Roman" w:hAnsi="Times New Roman" w:cs="Times New Roman"/>
          <w:color w:val="0D0D0D" w:themeColor="text1" w:themeTint="F2"/>
          <w:sz w:val="24"/>
          <w:szCs w:val="24"/>
        </w:rPr>
        <w:t>od zamieszkiwanych przez członków gospodarstw bez osób w wieku 60 lat lub więcej (w miastach mniejsze o blisko 4  m</w:t>
      </w:r>
      <w:r w:rsidRPr="00B23828">
        <w:rPr>
          <w:rFonts w:ascii="Times New Roman" w:hAnsi="Times New Roman" w:cs="Times New Roman"/>
          <w:color w:val="0D0D0D" w:themeColor="text1" w:themeTint="F2"/>
          <w:sz w:val="24"/>
          <w:szCs w:val="24"/>
          <w:vertAlign w:val="superscript"/>
        </w:rPr>
        <w:t xml:space="preserve">2 </w:t>
      </w:r>
      <w:r w:rsidRPr="00B23828">
        <w:rPr>
          <w:rFonts w:ascii="Times New Roman" w:hAnsi="Times New Roman" w:cs="Times New Roman"/>
          <w:color w:val="0D0D0D" w:themeColor="text1" w:themeTint="F2"/>
          <w:sz w:val="24"/>
          <w:szCs w:val="24"/>
        </w:rPr>
        <w:t>a na wsi</w:t>
      </w:r>
      <w:r w:rsidRPr="00B23828">
        <w:rPr>
          <w:rFonts w:ascii="Times New Roman" w:hAnsi="Times New Roman" w:cs="Times New Roman"/>
          <w:color w:val="0D0D0D" w:themeColor="text1" w:themeTint="F2"/>
          <w:sz w:val="24"/>
          <w:szCs w:val="24"/>
          <w:vertAlign w:val="superscript"/>
        </w:rPr>
        <w:t xml:space="preserve"> </w:t>
      </w:r>
      <w:r w:rsidRPr="00B23828">
        <w:rPr>
          <w:rFonts w:ascii="Times New Roman" w:hAnsi="Times New Roman" w:cs="Times New Roman"/>
          <w:color w:val="0D0D0D" w:themeColor="text1" w:themeTint="F2"/>
          <w:sz w:val="24"/>
          <w:szCs w:val="24"/>
        </w:rPr>
        <w:t>o ponad 23  m</w:t>
      </w:r>
      <w:r w:rsidRPr="00B23828">
        <w:rPr>
          <w:rFonts w:ascii="Times New Roman" w:hAnsi="Times New Roman" w:cs="Times New Roman"/>
          <w:color w:val="0D0D0D" w:themeColor="text1" w:themeTint="F2"/>
          <w:sz w:val="24"/>
          <w:szCs w:val="24"/>
          <w:vertAlign w:val="superscript"/>
        </w:rPr>
        <w:t>2</w:t>
      </w:r>
      <w:r w:rsidRPr="00B23828">
        <w:rPr>
          <w:rFonts w:ascii="Times New Roman" w:hAnsi="Times New Roman" w:cs="Times New Roman"/>
          <w:color w:val="0D0D0D" w:themeColor="text1" w:themeTint="F2"/>
          <w:sz w:val="24"/>
          <w:szCs w:val="24"/>
        </w:rPr>
        <w:t>).</w:t>
      </w:r>
    </w:p>
    <w:p w14:paraId="1D2F62AF" w14:textId="77777777" w:rsidR="0063334E" w:rsidRPr="0017313F" w:rsidRDefault="0063334E" w:rsidP="003C1988">
      <w:pPr>
        <w:spacing w:after="120"/>
        <w:rPr>
          <w:rFonts w:ascii="Times New Roman" w:hAnsi="Times New Roman" w:cs="Times New Roman"/>
          <w:b/>
          <w:bCs/>
          <w:spacing w:val="-10"/>
          <w:kern w:val="20"/>
          <w:szCs w:val="24"/>
        </w:rPr>
      </w:pPr>
    </w:p>
    <w:p w14:paraId="3DE99729" w14:textId="47E63B14" w:rsidR="00A9161D" w:rsidRPr="00A9161D" w:rsidRDefault="00A9161D" w:rsidP="00A9161D">
      <w:pPr>
        <w:pStyle w:val="Legenda"/>
        <w:keepNext/>
        <w:rPr>
          <w:rFonts w:ascii="Times New Roman" w:hAnsi="Times New Roman" w:cs="Times New Roman"/>
          <w:b/>
          <w:i w:val="0"/>
          <w:sz w:val="24"/>
        </w:rPr>
      </w:pPr>
      <w:bookmarkStart w:id="13" w:name="_Toc49171383"/>
      <w:r w:rsidRPr="00A9161D">
        <w:rPr>
          <w:rFonts w:ascii="Times New Roman" w:hAnsi="Times New Roman" w:cs="Times New Roman"/>
          <w:b/>
          <w:i w:val="0"/>
          <w:sz w:val="24"/>
        </w:rPr>
        <w:t xml:space="preserve">Tabela </w:t>
      </w:r>
      <w:r w:rsidRPr="00A9161D">
        <w:rPr>
          <w:rFonts w:ascii="Times New Roman" w:hAnsi="Times New Roman" w:cs="Times New Roman"/>
          <w:b/>
          <w:i w:val="0"/>
          <w:sz w:val="24"/>
        </w:rPr>
        <w:fldChar w:fldCharType="begin"/>
      </w:r>
      <w:r w:rsidRPr="00A9161D">
        <w:rPr>
          <w:rFonts w:ascii="Times New Roman" w:hAnsi="Times New Roman" w:cs="Times New Roman"/>
          <w:b/>
          <w:i w:val="0"/>
          <w:sz w:val="24"/>
        </w:rPr>
        <w:instrText xml:space="preserve"> SEQ Tabela \* ARABIC </w:instrText>
      </w:r>
      <w:r w:rsidRPr="00A9161D">
        <w:rPr>
          <w:rFonts w:ascii="Times New Roman" w:hAnsi="Times New Roman" w:cs="Times New Roman"/>
          <w:b/>
          <w:i w:val="0"/>
          <w:sz w:val="24"/>
        </w:rPr>
        <w:fldChar w:fldCharType="separate"/>
      </w:r>
      <w:r w:rsidR="00C154C9">
        <w:rPr>
          <w:rFonts w:ascii="Times New Roman" w:hAnsi="Times New Roman" w:cs="Times New Roman"/>
          <w:b/>
          <w:i w:val="0"/>
          <w:noProof/>
          <w:sz w:val="24"/>
        </w:rPr>
        <w:t>8</w:t>
      </w:r>
      <w:r w:rsidRPr="00A9161D">
        <w:rPr>
          <w:rFonts w:ascii="Times New Roman" w:hAnsi="Times New Roman" w:cs="Times New Roman"/>
          <w:b/>
          <w:i w:val="0"/>
          <w:sz w:val="24"/>
        </w:rPr>
        <w:fldChar w:fldCharType="end"/>
      </w:r>
      <w:r w:rsidRPr="00A9161D">
        <w:rPr>
          <w:rFonts w:ascii="Times New Roman" w:hAnsi="Times New Roman" w:cs="Times New Roman"/>
          <w:b/>
          <w:i w:val="0"/>
          <w:sz w:val="24"/>
        </w:rPr>
        <w:t xml:space="preserve"> Sytuacja mieszkaniowa gospodarstw domowych według liczby osób</w:t>
      </w:r>
      <w:bookmarkEnd w:id="13"/>
    </w:p>
    <w:tbl>
      <w:tblPr>
        <w:tblW w:w="9189"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489"/>
        <w:gridCol w:w="1318"/>
        <w:gridCol w:w="1411"/>
        <w:gridCol w:w="1318"/>
        <w:gridCol w:w="1325"/>
        <w:gridCol w:w="1328"/>
      </w:tblGrid>
      <w:tr w:rsidR="00C44070" w:rsidRPr="0035219D" w14:paraId="2E0D6273" w14:textId="77777777" w:rsidTr="0035219D">
        <w:trPr>
          <w:trHeight w:val="398"/>
          <w:jc w:val="center"/>
        </w:trPr>
        <w:tc>
          <w:tcPr>
            <w:tcW w:w="2489" w:type="dxa"/>
            <w:vMerge w:val="restart"/>
            <w:shd w:val="clear" w:color="auto" w:fill="9CC2E5" w:themeFill="accent1" w:themeFillTint="99"/>
            <w:vAlign w:val="center"/>
            <w:hideMark/>
          </w:tcPr>
          <w:p w14:paraId="4558D397"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Wyszczególnienie</w:t>
            </w:r>
          </w:p>
        </w:tc>
        <w:tc>
          <w:tcPr>
            <w:tcW w:w="6700" w:type="dxa"/>
            <w:gridSpan w:val="5"/>
            <w:shd w:val="clear" w:color="auto" w:fill="9CC2E5" w:themeFill="accent1" w:themeFillTint="99"/>
            <w:vAlign w:val="center"/>
            <w:hideMark/>
          </w:tcPr>
          <w:p w14:paraId="7BBA1D92"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Gospodarstwa domowe  </w:t>
            </w:r>
          </w:p>
        </w:tc>
      </w:tr>
      <w:tr w:rsidR="00C44070" w:rsidRPr="0035219D" w14:paraId="6B068180" w14:textId="77777777" w:rsidTr="0035219D">
        <w:trPr>
          <w:trHeight w:val="398"/>
          <w:jc w:val="center"/>
        </w:trPr>
        <w:tc>
          <w:tcPr>
            <w:tcW w:w="2489" w:type="dxa"/>
            <w:vMerge/>
            <w:shd w:val="clear" w:color="auto" w:fill="9CC2E5" w:themeFill="accent1" w:themeFillTint="99"/>
            <w:vAlign w:val="center"/>
            <w:hideMark/>
          </w:tcPr>
          <w:p w14:paraId="5286ABB8"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18" w:type="dxa"/>
            <w:vMerge w:val="restart"/>
            <w:shd w:val="clear" w:color="auto" w:fill="9CC2E5" w:themeFill="accent1" w:themeFillTint="99"/>
            <w:vAlign w:val="center"/>
            <w:hideMark/>
          </w:tcPr>
          <w:p w14:paraId="137698C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bez osób </w:t>
            </w:r>
            <w:r w:rsidRPr="00342041">
              <w:rPr>
                <w:rFonts w:ascii="Times New Roman" w:eastAsia="Times New Roman" w:hAnsi="Times New Roman" w:cs="Times New Roman"/>
                <w:b/>
                <w:color w:val="000000"/>
                <w:sz w:val="20"/>
                <w:szCs w:val="20"/>
                <w:lang w:eastAsia="pl-PL"/>
              </w:rPr>
              <w:br/>
              <w:t>w wieku 60 lat i więcej</w:t>
            </w:r>
          </w:p>
        </w:tc>
        <w:tc>
          <w:tcPr>
            <w:tcW w:w="1411" w:type="dxa"/>
            <w:vMerge w:val="restart"/>
            <w:shd w:val="clear" w:color="auto" w:fill="9CC2E5" w:themeFill="accent1" w:themeFillTint="99"/>
            <w:vAlign w:val="center"/>
            <w:hideMark/>
          </w:tcPr>
          <w:p w14:paraId="47D0939D"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z przynajmniej 1 osobą </w:t>
            </w:r>
            <w:r w:rsidRPr="00342041">
              <w:rPr>
                <w:rFonts w:ascii="Times New Roman" w:eastAsia="Times New Roman" w:hAnsi="Times New Roman" w:cs="Times New Roman"/>
                <w:b/>
                <w:color w:val="000000"/>
                <w:sz w:val="20"/>
                <w:szCs w:val="20"/>
                <w:lang w:eastAsia="pl-PL"/>
              </w:rPr>
              <w:br/>
              <w:t>w wieku 60 lat i więcej</w:t>
            </w:r>
          </w:p>
        </w:tc>
        <w:tc>
          <w:tcPr>
            <w:tcW w:w="3971" w:type="dxa"/>
            <w:gridSpan w:val="3"/>
            <w:shd w:val="clear" w:color="auto" w:fill="9CC2E5" w:themeFill="accent1" w:themeFillTint="99"/>
            <w:vAlign w:val="center"/>
            <w:hideMark/>
          </w:tcPr>
          <w:p w14:paraId="27BBCF25"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wyłącznie z osobami w wieku 60 lat i więcej</w:t>
            </w:r>
          </w:p>
        </w:tc>
      </w:tr>
      <w:tr w:rsidR="00C44070" w:rsidRPr="0035219D" w14:paraId="60843743" w14:textId="77777777" w:rsidTr="0035219D">
        <w:trPr>
          <w:trHeight w:val="398"/>
          <w:jc w:val="center"/>
        </w:trPr>
        <w:tc>
          <w:tcPr>
            <w:tcW w:w="2489" w:type="dxa"/>
            <w:vMerge/>
            <w:shd w:val="clear" w:color="auto" w:fill="9CC2E5" w:themeFill="accent1" w:themeFillTint="99"/>
            <w:vAlign w:val="center"/>
            <w:hideMark/>
          </w:tcPr>
          <w:p w14:paraId="73A2FB24"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18" w:type="dxa"/>
            <w:vMerge/>
            <w:shd w:val="clear" w:color="auto" w:fill="9CC2E5" w:themeFill="accent1" w:themeFillTint="99"/>
            <w:vAlign w:val="center"/>
            <w:hideMark/>
          </w:tcPr>
          <w:p w14:paraId="4E8986CB"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411" w:type="dxa"/>
            <w:vMerge/>
            <w:shd w:val="clear" w:color="auto" w:fill="9CC2E5" w:themeFill="accent1" w:themeFillTint="99"/>
            <w:vAlign w:val="center"/>
            <w:hideMark/>
          </w:tcPr>
          <w:p w14:paraId="0D04F72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18" w:type="dxa"/>
            <w:vMerge w:val="restart"/>
            <w:shd w:val="clear" w:color="auto" w:fill="9CC2E5" w:themeFill="accent1" w:themeFillTint="99"/>
            <w:vAlign w:val="center"/>
            <w:hideMark/>
          </w:tcPr>
          <w:p w14:paraId="128B8CF6" w14:textId="77777777" w:rsidR="00C44070" w:rsidRPr="00342041" w:rsidRDefault="00C44070" w:rsidP="0035219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razem</w:t>
            </w:r>
          </w:p>
        </w:tc>
        <w:tc>
          <w:tcPr>
            <w:tcW w:w="2653" w:type="dxa"/>
            <w:gridSpan w:val="2"/>
            <w:shd w:val="clear" w:color="auto" w:fill="9CC2E5" w:themeFill="accent1" w:themeFillTint="99"/>
            <w:vAlign w:val="center"/>
            <w:hideMark/>
          </w:tcPr>
          <w:p w14:paraId="0EAB6667"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w:t>
            </w:r>
          </w:p>
        </w:tc>
      </w:tr>
      <w:tr w:rsidR="00C44070" w:rsidRPr="0035219D" w14:paraId="1B9345A8" w14:textId="77777777" w:rsidTr="0035219D">
        <w:trPr>
          <w:trHeight w:val="450"/>
          <w:jc w:val="center"/>
        </w:trPr>
        <w:tc>
          <w:tcPr>
            <w:tcW w:w="2489" w:type="dxa"/>
            <w:vMerge/>
            <w:shd w:val="clear" w:color="auto" w:fill="9CC2E5" w:themeFill="accent1" w:themeFillTint="99"/>
            <w:vAlign w:val="center"/>
            <w:hideMark/>
          </w:tcPr>
          <w:p w14:paraId="4B48E7D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18" w:type="dxa"/>
            <w:vMerge/>
            <w:shd w:val="clear" w:color="auto" w:fill="9CC2E5" w:themeFill="accent1" w:themeFillTint="99"/>
            <w:vAlign w:val="center"/>
            <w:hideMark/>
          </w:tcPr>
          <w:p w14:paraId="46F42A62"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411" w:type="dxa"/>
            <w:vMerge/>
            <w:shd w:val="clear" w:color="auto" w:fill="9CC2E5" w:themeFill="accent1" w:themeFillTint="99"/>
            <w:vAlign w:val="center"/>
            <w:hideMark/>
          </w:tcPr>
          <w:p w14:paraId="200AB94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18" w:type="dxa"/>
            <w:vMerge/>
            <w:shd w:val="clear" w:color="auto" w:fill="9CC2E5" w:themeFill="accent1" w:themeFillTint="99"/>
            <w:vAlign w:val="center"/>
            <w:hideMark/>
          </w:tcPr>
          <w:p w14:paraId="5673DF05" w14:textId="77777777" w:rsidR="00C44070" w:rsidRPr="00342041" w:rsidRDefault="00C44070" w:rsidP="0035219D">
            <w:pPr>
              <w:spacing w:after="0" w:line="240" w:lineRule="auto"/>
              <w:rPr>
                <w:rFonts w:ascii="Times New Roman" w:eastAsia="Times New Roman" w:hAnsi="Times New Roman" w:cs="Times New Roman"/>
                <w:b/>
                <w:sz w:val="20"/>
                <w:szCs w:val="20"/>
                <w:lang w:eastAsia="pl-PL"/>
              </w:rPr>
            </w:pPr>
          </w:p>
        </w:tc>
        <w:tc>
          <w:tcPr>
            <w:tcW w:w="1325" w:type="dxa"/>
            <w:vMerge w:val="restart"/>
            <w:shd w:val="clear" w:color="auto" w:fill="9CC2E5" w:themeFill="accent1" w:themeFillTint="99"/>
            <w:vAlign w:val="center"/>
            <w:hideMark/>
          </w:tcPr>
          <w:p w14:paraId="363F9C0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1-osobowe</w:t>
            </w:r>
          </w:p>
        </w:tc>
        <w:tc>
          <w:tcPr>
            <w:tcW w:w="1328" w:type="dxa"/>
            <w:vMerge w:val="restart"/>
            <w:shd w:val="clear" w:color="auto" w:fill="9CC2E5" w:themeFill="accent1" w:themeFillTint="99"/>
            <w:vAlign w:val="center"/>
            <w:hideMark/>
          </w:tcPr>
          <w:p w14:paraId="4152ABBD"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2-osobowe (obydwie osoby</w:t>
            </w:r>
            <w:r w:rsidRPr="00342041">
              <w:rPr>
                <w:rFonts w:ascii="Times New Roman" w:eastAsia="Times New Roman" w:hAnsi="Times New Roman" w:cs="Times New Roman"/>
                <w:b/>
                <w:color w:val="000000"/>
                <w:sz w:val="20"/>
                <w:szCs w:val="20"/>
                <w:lang w:eastAsia="pl-PL"/>
              </w:rPr>
              <w:br/>
              <w:t xml:space="preserve">w wieku 60 lat </w:t>
            </w:r>
            <w:r w:rsidRPr="00342041">
              <w:rPr>
                <w:rFonts w:ascii="Times New Roman" w:eastAsia="Times New Roman" w:hAnsi="Times New Roman" w:cs="Times New Roman"/>
                <w:b/>
                <w:color w:val="000000"/>
                <w:sz w:val="20"/>
                <w:szCs w:val="20"/>
                <w:lang w:eastAsia="pl-PL"/>
              </w:rPr>
              <w:br/>
              <w:t>i więcej)</w:t>
            </w:r>
          </w:p>
        </w:tc>
      </w:tr>
      <w:tr w:rsidR="00C44070" w:rsidRPr="0035219D" w14:paraId="7C785679" w14:textId="77777777" w:rsidTr="0035219D">
        <w:trPr>
          <w:trHeight w:val="450"/>
          <w:jc w:val="center"/>
        </w:trPr>
        <w:tc>
          <w:tcPr>
            <w:tcW w:w="2489" w:type="dxa"/>
            <w:vMerge/>
            <w:shd w:val="clear" w:color="auto" w:fill="9CC2E5" w:themeFill="accent1" w:themeFillTint="99"/>
            <w:vAlign w:val="center"/>
            <w:hideMark/>
          </w:tcPr>
          <w:p w14:paraId="7BE40942"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18" w:type="dxa"/>
            <w:vMerge/>
            <w:shd w:val="clear" w:color="auto" w:fill="9CC2E5" w:themeFill="accent1" w:themeFillTint="99"/>
            <w:vAlign w:val="center"/>
            <w:hideMark/>
          </w:tcPr>
          <w:p w14:paraId="764410E6"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411" w:type="dxa"/>
            <w:vMerge/>
            <w:shd w:val="clear" w:color="auto" w:fill="9CC2E5" w:themeFill="accent1" w:themeFillTint="99"/>
            <w:vAlign w:val="center"/>
            <w:hideMark/>
          </w:tcPr>
          <w:p w14:paraId="2C49455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18" w:type="dxa"/>
            <w:vMerge/>
            <w:shd w:val="clear" w:color="auto" w:fill="9CC2E5" w:themeFill="accent1" w:themeFillTint="99"/>
            <w:vAlign w:val="center"/>
            <w:hideMark/>
          </w:tcPr>
          <w:p w14:paraId="11F6B35D" w14:textId="77777777" w:rsidR="00C44070" w:rsidRPr="00342041" w:rsidRDefault="00C44070" w:rsidP="0035219D">
            <w:pPr>
              <w:spacing w:after="0" w:line="240" w:lineRule="auto"/>
              <w:rPr>
                <w:rFonts w:ascii="Times New Roman" w:eastAsia="Times New Roman" w:hAnsi="Times New Roman" w:cs="Times New Roman"/>
                <w:b/>
                <w:sz w:val="20"/>
                <w:szCs w:val="20"/>
                <w:lang w:eastAsia="pl-PL"/>
              </w:rPr>
            </w:pPr>
          </w:p>
        </w:tc>
        <w:tc>
          <w:tcPr>
            <w:tcW w:w="1325" w:type="dxa"/>
            <w:vMerge/>
            <w:shd w:val="clear" w:color="auto" w:fill="9CC2E5" w:themeFill="accent1" w:themeFillTint="99"/>
            <w:vAlign w:val="center"/>
            <w:hideMark/>
          </w:tcPr>
          <w:p w14:paraId="404BC190"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28" w:type="dxa"/>
            <w:vMerge/>
            <w:shd w:val="clear" w:color="auto" w:fill="9CC2E5" w:themeFill="accent1" w:themeFillTint="99"/>
            <w:vAlign w:val="center"/>
            <w:hideMark/>
          </w:tcPr>
          <w:p w14:paraId="354D95CB"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r>
      <w:tr w:rsidR="00C44070" w:rsidRPr="0035219D" w14:paraId="46B4EA26" w14:textId="77777777" w:rsidTr="0035219D">
        <w:trPr>
          <w:trHeight w:val="450"/>
          <w:jc w:val="center"/>
        </w:trPr>
        <w:tc>
          <w:tcPr>
            <w:tcW w:w="2489" w:type="dxa"/>
            <w:vMerge/>
            <w:shd w:val="clear" w:color="auto" w:fill="9CC2E5" w:themeFill="accent1" w:themeFillTint="99"/>
            <w:vAlign w:val="center"/>
            <w:hideMark/>
          </w:tcPr>
          <w:p w14:paraId="2F9A55F8"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18" w:type="dxa"/>
            <w:vMerge/>
            <w:shd w:val="clear" w:color="auto" w:fill="9CC2E5" w:themeFill="accent1" w:themeFillTint="99"/>
            <w:vAlign w:val="center"/>
            <w:hideMark/>
          </w:tcPr>
          <w:p w14:paraId="4EE0E83B"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411" w:type="dxa"/>
            <w:vMerge/>
            <w:shd w:val="clear" w:color="auto" w:fill="9CC2E5" w:themeFill="accent1" w:themeFillTint="99"/>
            <w:vAlign w:val="center"/>
            <w:hideMark/>
          </w:tcPr>
          <w:p w14:paraId="2539F0C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18" w:type="dxa"/>
            <w:vMerge/>
            <w:shd w:val="clear" w:color="auto" w:fill="9CC2E5" w:themeFill="accent1" w:themeFillTint="99"/>
            <w:vAlign w:val="center"/>
            <w:hideMark/>
          </w:tcPr>
          <w:p w14:paraId="3AD7F2B7" w14:textId="77777777" w:rsidR="00C44070" w:rsidRPr="00342041" w:rsidRDefault="00C44070" w:rsidP="0035219D">
            <w:pPr>
              <w:spacing w:after="0" w:line="240" w:lineRule="auto"/>
              <w:rPr>
                <w:rFonts w:ascii="Times New Roman" w:eastAsia="Times New Roman" w:hAnsi="Times New Roman" w:cs="Times New Roman"/>
                <w:b/>
                <w:sz w:val="20"/>
                <w:szCs w:val="20"/>
                <w:lang w:eastAsia="pl-PL"/>
              </w:rPr>
            </w:pPr>
          </w:p>
        </w:tc>
        <w:tc>
          <w:tcPr>
            <w:tcW w:w="1325" w:type="dxa"/>
            <w:vMerge/>
            <w:shd w:val="clear" w:color="auto" w:fill="9CC2E5" w:themeFill="accent1" w:themeFillTint="99"/>
            <w:vAlign w:val="center"/>
            <w:hideMark/>
          </w:tcPr>
          <w:p w14:paraId="09873532"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28" w:type="dxa"/>
            <w:vMerge/>
            <w:shd w:val="clear" w:color="auto" w:fill="9CC2E5" w:themeFill="accent1" w:themeFillTint="99"/>
            <w:vAlign w:val="center"/>
            <w:hideMark/>
          </w:tcPr>
          <w:p w14:paraId="2310630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r>
      <w:tr w:rsidR="00C44070" w:rsidRPr="0035219D" w14:paraId="02B2E5D7" w14:textId="77777777" w:rsidTr="0035219D">
        <w:trPr>
          <w:trHeight w:val="300"/>
          <w:jc w:val="center"/>
        </w:trPr>
        <w:tc>
          <w:tcPr>
            <w:tcW w:w="2489" w:type="dxa"/>
            <w:vMerge/>
            <w:shd w:val="clear" w:color="auto" w:fill="9CC2E5" w:themeFill="accent1" w:themeFillTint="99"/>
            <w:vAlign w:val="center"/>
            <w:hideMark/>
          </w:tcPr>
          <w:p w14:paraId="25879A62"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6700" w:type="dxa"/>
            <w:gridSpan w:val="5"/>
            <w:shd w:val="clear" w:color="auto" w:fill="9CC2E5" w:themeFill="accent1" w:themeFillTint="99"/>
            <w:vAlign w:val="center"/>
            <w:hideMark/>
          </w:tcPr>
          <w:p w14:paraId="5E3A6EA0"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 danej grupy gospodarstw</w:t>
            </w:r>
          </w:p>
        </w:tc>
      </w:tr>
      <w:tr w:rsidR="00C44070" w:rsidRPr="0035219D" w14:paraId="33EB5A23" w14:textId="77777777" w:rsidTr="0035219D">
        <w:trPr>
          <w:trHeight w:val="398"/>
          <w:jc w:val="center"/>
        </w:trPr>
        <w:tc>
          <w:tcPr>
            <w:tcW w:w="9189" w:type="dxa"/>
            <w:gridSpan w:val="6"/>
            <w:shd w:val="clear" w:color="auto" w:fill="auto"/>
            <w:vAlign w:val="center"/>
            <w:hideMark/>
          </w:tcPr>
          <w:p w14:paraId="24282A4C" w14:textId="77777777" w:rsidR="00C44070" w:rsidRPr="00342041" w:rsidRDefault="00C44070" w:rsidP="0035219D">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w:t>
            </w:r>
          </w:p>
        </w:tc>
      </w:tr>
      <w:tr w:rsidR="00C44070" w:rsidRPr="0035219D" w14:paraId="027A2A8E" w14:textId="77777777" w:rsidTr="0035219D">
        <w:trPr>
          <w:trHeight w:val="300"/>
          <w:jc w:val="center"/>
        </w:trPr>
        <w:tc>
          <w:tcPr>
            <w:tcW w:w="2489" w:type="dxa"/>
            <w:shd w:val="clear" w:color="auto" w:fill="9CC2E5" w:themeFill="accent1" w:themeFillTint="99"/>
            <w:noWrap/>
            <w:vAlign w:val="center"/>
            <w:hideMark/>
          </w:tcPr>
          <w:p w14:paraId="66EDC7DB" w14:textId="77777777" w:rsidR="00C44070" w:rsidRPr="00342041" w:rsidRDefault="00C44070" w:rsidP="0035219D">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Ogółem </w:t>
            </w:r>
          </w:p>
        </w:tc>
        <w:tc>
          <w:tcPr>
            <w:tcW w:w="1318" w:type="dxa"/>
            <w:shd w:val="clear" w:color="000000" w:fill="FFFFFF"/>
            <w:vAlign w:val="center"/>
            <w:hideMark/>
          </w:tcPr>
          <w:p w14:paraId="4B18FFEA"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411" w:type="dxa"/>
            <w:shd w:val="clear" w:color="000000" w:fill="FFFFFF"/>
            <w:vAlign w:val="center"/>
            <w:hideMark/>
          </w:tcPr>
          <w:p w14:paraId="191E884E"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18" w:type="dxa"/>
            <w:shd w:val="clear" w:color="000000" w:fill="FFFFFF"/>
            <w:vAlign w:val="center"/>
            <w:hideMark/>
          </w:tcPr>
          <w:p w14:paraId="435FD913" w14:textId="77777777" w:rsidR="00C44070" w:rsidRPr="00342041" w:rsidRDefault="00C44070" w:rsidP="0035219D">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100,0</w:t>
            </w:r>
          </w:p>
        </w:tc>
        <w:tc>
          <w:tcPr>
            <w:tcW w:w="1325" w:type="dxa"/>
            <w:shd w:val="clear" w:color="000000" w:fill="FFFFFF"/>
            <w:vAlign w:val="center"/>
            <w:hideMark/>
          </w:tcPr>
          <w:p w14:paraId="4F178558"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28" w:type="dxa"/>
            <w:shd w:val="clear" w:color="000000" w:fill="FFFFFF"/>
            <w:vAlign w:val="center"/>
            <w:hideMark/>
          </w:tcPr>
          <w:p w14:paraId="546359D5"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r>
      <w:tr w:rsidR="00C44070" w:rsidRPr="0035219D" w14:paraId="319373B9" w14:textId="77777777" w:rsidTr="0035219D">
        <w:trPr>
          <w:trHeight w:val="300"/>
          <w:jc w:val="center"/>
        </w:trPr>
        <w:tc>
          <w:tcPr>
            <w:tcW w:w="2489" w:type="dxa"/>
            <w:shd w:val="clear" w:color="auto" w:fill="9CC2E5" w:themeFill="accent1" w:themeFillTint="99"/>
            <w:vAlign w:val="center"/>
            <w:hideMark/>
          </w:tcPr>
          <w:p w14:paraId="23BF4BD3"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Rodzaj budynku:                   </w:t>
            </w:r>
          </w:p>
        </w:tc>
        <w:tc>
          <w:tcPr>
            <w:tcW w:w="1318" w:type="dxa"/>
            <w:shd w:val="clear" w:color="000000" w:fill="FFFFFF"/>
            <w:vAlign w:val="center"/>
            <w:hideMark/>
          </w:tcPr>
          <w:p w14:paraId="7CCCA70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411" w:type="dxa"/>
            <w:shd w:val="clear" w:color="000000" w:fill="FFFFFF"/>
            <w:vAlign w:val="center"/>
            <w:hideMark/>
          </w:tcPr>
          <w:p w14:paraId="522FE1E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18" w:type="dxa"/>
            <w:shd w:val="clear" w:color="000000" w:fill="FFFFFF"/>
            <w:vAlign w:val="center"/>
            <w:hideMark/>
          </w:tcPr>
          <w:p w14:paraId="11FA1D3C"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p>
        </w:tc>
        <w:tc>
          <w:tcPr>
            <w:tcW w:w="1325" w:type="dxa"/>
            <w:shd w:val="clear" w:color="000000" w:fill="FFFFFF"/>
            <w:vAlign w:val="center"/>
            <w:hideMark/>
          </w:tcPr>
          <w:p w14:paraId="434030C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28" w:type="dxa"/>
            <w:shd w:val="clear" w:color="000000" w:fill="FFFFFF"/>
            <w:vAlign w:val="center"/>
            <w:hideMark/>
          </w:tcPr>
          <w:p w14:paraId="109B518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r>
      <w:tr w:rsidR="00C44070" w:rsidRPr="0035219D" w14:paraId="2BAACAA9" w14:textId="77777777" w:rsidTr="0035219D">
        <w:trPr>
          <w:trHeight w:val="300"/>
          <w:jc w:val="center"/>
        </w:trPr>
        <w:tc>
          <w:tcPr>
            <w:tcW w:w="2489" w:type="dxa"/>
            <w:shd w:val="clear" w:color="auto" w:fill="9CC2E5" w:themeFill="accent1" w:themeFillTint="99"/>
            <w:vAlign w:val="center"/>
            <w:hideMark/>
          </w:tcPr>
          <w:p w14:paraId="00CB4538"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budynek wielorodzinny</w:t>
            </w:r>
          </w:p>
        </w:tc>
        <w:tc>
          <w:tcPr>
            <w:tcW w:w="1318" w:type="dxa"/>
            <w:shd w:val="clear" w:color="000000" w:fill="FFFFFF"/>
            <w:vAlign w:val="center"/>
            <w:hideMark/>
          </w:tcPr>
          <w:p w14:paraId="112B33F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58,9</w:t>
            </w:r>
          </w:p>
        </w:tc>
        <w:tc>
          <w:tcPr>
            <w:tcW w:w="1411" w:type="dxa"/>
            <w:shd w:val="clear" w:color="000000" w:fill="FFFFFF"/>
            <w:vAlign w:val="center"/>
            <w:hideMark/>
          </w:tcPr>
          <w:p w14:paraId="41761EB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50,6</w:t>
            </w:r>
          </w:p>
        </w:tc>
        <w:tc>
          <w:tcPr>
            <w:tcW w:w="1318" w:type="dxa"/>
            <w:shd w:val="clear" w:color="000000" w:fill="FFFFFF"/>
            <w:vAlign w:val="center"/>
            <w:hideMark/>
          </w:tcPr>
          <w:p w14:paraId="6B8450F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61,0</w:t>
            </w:r>
          </w:p>
        </w:tc>
        <w:tc>
          <w:tcPr>
            <w:tcW w:w="1325" w:type="dxa"/>
            <w:shd w:val="clear" w:color="000000" w:fill="FFFFFF"/>
            <w:vAlign w:val="center"/>
            <w:hideMark/>
          </w:tcPr>
          <w:p w14:paraId="4E23020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66,5</w:t>
            </w:r>
          </w:p>
        </w:tc>
        <w:tc>
          <w:tcPr>
            <w:tcW w:w="1328" w:type="dxa"/>
            <w:shd w:val="clear" w:color="000000" w:fill="FFFFFF"/>
            <w:vAlign w:val="center"/>
            <w:hideMark/>
          </w:tcPr>
          <w:p w14:paraId="30118868"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55,2</w:t>
            </w:r>
          </w:p>
        </w:tc>
      </w:tr>
      <w:tr w:rsidR="00C44070" w:rsidRPr="0035219D" w14:paraId="346612C1" w14:textId="77777777" w:rsidTr="0035219D">
        <w:trPr>
          <w:trHeight w:val="300"/>
          <w:jc w:val="center"/>
        </w:trPr>
        <w:tc>
          <w:tcPr>
            <w:tcW w:w="2489" w:type="dxa"/>
            <w:shd w:val="clear" w:color="auto" w:fill="9CC2E5" w:themeFill="accent1" w:themeFillTint="99"/>
            <w:vAlign w:val="center"/>
            <w:hideMark/>
          </w:tcPr>
          <w:p w14:paraId="522D76CE"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dom 1-rodzinny</w:t>
            </w:r>
          </w:p>
        </w:tc>
        <w:tc>
          <w:tcPr>
            <w:tcW w:w="1318" w:type="dxa"/>
            <w:shd w:val="clear" w:color="000000" w:fill="FFFFFF"/>
            <w:vAlign w:val="center"/>
            <w:hideMark/>
          </w:tcPr>
          <w:p w14:paraId="3533ACA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41,0</w:t>
            </w:r>
          </w:p>
        </w:tc>
        <w:tc>
          <w:tcPr>
            <w:tcW w:w="1411" w:type="dxa"/>
            <w:shd w:val="clear" w:color="000000" w:fill="FFFFFF"/>
            <w:vAlign w:val="center"/>
            <w:hideMark/>
          </w:tcPr>
          <w:p w14:paraId="1A7276A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49,3</w:t>
            </w:r>
          </w:p>
        </w:tc>
        <w:tc>
          <w:tcPr>
            <w:tcW w:w="1318" w:type="dxa"/>
            <w:shd w:val="clear" w:color="000000" w:fill="FFFFFF"/>
            <w:vAlign w:val="center"/>
            <w:hideMark/>
          </w:tcPr>
          <w:p w14:paraId="343DC5A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38,8</w:t>
            </w:r>
          </w:p>
        </w:tc>
        <w:tc>
          <w:tcPr>
            <w:tcW w:w="1325" w:type="dxa"/>
            <w:shd w:val="clear" w:color="000000" w:fill="FFFFFF"/>
            <w:vAlign w:val="center"/>
            <w:hideMark/>
          </w:tcPr>
          <w:p w14:paraId="40D5206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33,3</w:t>
            </w:r>
          </w:p>
        </w:tc>
        <w:tc>
          <w:tcPr>
            <w:tcW w:w="1328" w:type="dxa"/>
            <w:shd w:val="clear" w:color="000000" w:fill="FFFFFF"/>
            <w:vAlign w:val="center"/>
            <w:hideMark/>
          </w:tcPr>
          <w:p w14:paraId="4B486C0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44,6</w:t>
            </w:r>
          </w:p>
        </w:tc>
      </w:tr>
      <w:tr w:rsidR="00C44070" w:rsidRPr="0035219D" w14:paraId="5B472EC2" w14:textId="77777777" w:rsidTr="0035219D">
        <w:trPr>
          <w:trHeight w:val="300"/>
          <w:jc w:val="center"/>
        </w:trPr>
        <w:tc>
          <w:tcPr>
            <w:tcW w:w="2489" w:type="dxa"/>
            <w:shd w:val="clear" w:color="auto" w:fill="9CC2E5" w:themeFill="accent1" w:themeFillTint="99"/>
            <w:vAlign w:val="center"/>
            <w:hideMark/>
          </w:tcPr>
          <w:p w14:paraId="4AEA3C65"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inny</w:t>
            </w:r>
          </w:p>
        </w:tc>
        <w:tc>
          <w:tcPr>
            <w:tcW w:w="1318" w:type="dxa"/>
            <w:shd w:val="clear" w:color="000000" w:fill="FFFFFF"/>
            <w:vAlign w:val="center"/>
            <w:hideMark/>
          </w:tcPr>
          <w:p w14:paraId="171BD71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0,1</w:t>
            </w:r>
          </w:p>
        </w:tc>
        <w:tc>
          <w:tcPr>
            <w:tcW w:w="1411" w:type="dxa"/>
            <w:shd w:val="clear" w:color="000000" w:fill="FFFFFF"/>
            <w:vAlign w:val="center"/>
            <w:hideMark/>
          </w:tcPr>
          <w:p w14:paraId="221681F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0,1</w:t>
            </w:r>
          </w:p>
        </w:tc>
        <w:tc>
          <w:tcPr>
            <w:tcW w:w="1318" w:type="dxa"/>
            <w:shd w:val="clear" w:color="000000" w:fill="FFFFFF"/>
            <w:vAlign w:val="center"/>
            <w:hideMark/>
          </w:tcPr>
          <w:p w14:paraId="5485A67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0,2</w:t>
            </w:r>
          </w:p>
        </w:tc>
        <w:tc>
          <w:tcPr>
            <w:tcW w:w="1325" w:type="dxa"/>
            <w:shd w:val="clear" w:color="000000" w:fill="FFFFFF"/>
            <w:vAlign w:val="center"/>
            <w:hideMark/>
          </w:tcPr>
          <w:p w14:paraId="264F2D98"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0,2</w:t>
            </w:r>
          </w:p>
        </w:tc>
        <w:tc>
          <w:tcPr>
            <w:tcW w:w="1328" w:type="dxa"/>
            <w:shd w:val="clear" w:color="000000" w:fill="FFFFFF"/>
            <w:vAlign w:val="center"/>
            <w:hideMark/>
          </w:tcPr>
          <w:p w14:paraId="4694F35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0,1</w:t>
            </w:r>
          </w:p>
        </w:tc>
      </w:tr>
      <w:tr w:rsidR="00C44070" w:rsidRPr="0035219D" w14:paraId="3449C5ED" w14:textId="77777777" w:rsidTr="0035219D">
        <w:trPr>
          <w:trHeight w:val="300"/>
          <w:jc w:val="center"/>
        </w:trPr>
        <w:tc>
          <w:tcPr>
            <w:tcW w:w="2489" w:type="dxa"/>
            <w:shd w:val="clear" w:color="auto" w:fill="9CC2E5" w:themeFill="accent1" w:themeFillTint="99"/>
            <w:vAlign w:val="center"/>
            <w:hideMark/>
          </w:tcPr>
          <w:p w14:paraId="54D9BB7E"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Gospodarstwa domowe wyposażone w: </w:t>
            </w:r>
          </w:p>
        </w:tc>
        <w:tc>
          <w:tcPr>
            <w:tcW w:w="1318" w:type="dxa"/>
            <w:shd w:val="clear" w:color="000000" w:fill="FFFFFF"/>
            <w:vAlign w:val="center"/>
            <w:hideMark/>
          </w:tcPr>
          <w:p w14:paraId="3FFAA3A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411" w:type="dxa"/>
            <w:shd w:val="clear" w:color="000000" w:fill="FFFFFF"/>
            <w:vAlign w:val="center"/>
            <w:hideMark/>
          </w:tcPr>
          <w:p w14:paraId="0D64C6B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18" w:type="dxa"/>
            <w:shd w:val="clear" w:color="000000" w:fill="FFFFFF"/>
            <w:vAlign w:val="center"/>
            <w:hideMark/>
          </w:tcPr>
          <w:p w14:paraId="6E28F34F"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p>
        </w:tc>
        <w:tc>
          <w:tcPr>
            <w:tcW w:w="1325" w:type="dxa"/>
            <w:shd w:val="clear" w:color="000000" w:fill="FFFFFF"/>
            <w:vAlign w:val="center"/>
            <w:hideMark/>
          </w:tcPr>
          <w:p w14:paraId="340B15C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28" w:type="dxa"/>
            <w:shd w:val="clear" w:color="000000" w:fill="FFFFFF"/>
            <w:vAlign w:val="center"/>
            <w:hideMark/>
          </w:tcPr>
          <w:p w14:paraId="285086A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r>
      <w:tr w:rsidR="00C44070" w:rsidRPr="0035219D" w14:paraId="4E1CB8EC" w14:textId="77777777" w:rsidTr="0035219D">
        <w:trPr>
          <w:trHeight w:val="300"/>
          <w:jc w:val="center"/>
        </w:trPr>
        <w:tc>
          <w:tcPr>
            <w:tcW w:w="2489" w:type="dxa"/>
            <w:shd w:val="clear" w:color="auto" w:fill="9CC2E5" w:themeFill="accent1" w:themeFillTint="99"/>
            <w:vAlign w:val="center"/>
            <w:hideMark/>
          </w:tcPr>
          <w:p w14:paraId="0D3ADD1B"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wodociąg</w:t>
            </w:r>
          </w:p>
        </w:tc>
        <w:tc>
          <w:tcPr>
            <w:tcW w:w="1318" w:type="dxa"/>
            <w:shd w:val="clear" w:color="000000" w:fill="FFFFFF"/>
            <w:vAlign w:val="center"/>
            <w:hideMark/>
          </w:tcPr>
          <w:p w14:paraId="26411DA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99,9</w:t>
            </w:r>
          </w:p>
        </w:tc>
        <w:tc>
          <w:tcPr>
            <w:tcW w:w="1411" w:type="dxa"/>
            <w:shd w:val="clear" w:color="000000" w:fill="FFFFFF"/>
            <w:vAlign w:val="center"/>
            <w:hideMark/>
          </w:tcPr>
          <w:p w14:paraId="2B1AE55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99,7</w:t>
            </w:r>
          </w:p>
        </w:tc>
        <w:tc>
          <w:tcPr>
            <w:tcW w:w="1318" w:type="dxa"/>
            <w:shd w:val="clear" w:color="000000" w:fill="FFFFFF"/>
            <w:vAlign w:val="center"/>
            <w:hideMark/>
          </w:tcPr>
          <w:p w14:paraId="41DCD608"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99,7</w:t>
            </w:r>
          </w:p>
        </w:tc>
        <w:tc>
          <w:tcPr>
            <w:tcW w:w="1325" w:type="dxa"/>
            <w:shd w:val="clear" w:color="000000" w:fill="FFFFFF"/>
            <w:vAlign w:val="center"/>
            <w:hideMark/>
          </w:tcPr>
          <w:p w14:paraId="500BB6D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99,5</w:t>
            </w:r>
          </w:p>
        </w:tc>
        <w:tc>
          <w:tcPr>
            <w:tcW w:w="1328" w:type="dxa"/>
            <w:shd w:val="clear" w:color="000000" w:fill="FFFFFF"/>
            <w:vAlign w:val="center"/>
            <w:hideMark/>
          </w:tcPr>
          <w:p w14:paraId="6C71357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99,9</w:t>
            </w:r>
          </w:p>
        </w:tc>
      </w:tr>
      <w:tr w:rsidR="00C44070" w:rsidRPr="0035219D" w14:paraId="4CB555D6" w14:textId="77777777" w:rsidTr="0035219D">
        <w:trPr>
          <w:trHeight w:val="300"/>
          <w:jc w:val="center"/>
        </w:trPr>
        <w:tc>
          <w:tcPr>
            <w:tcW w:w="2489" w:type="dxa"/>
            <w:shd w:val="clear" w:color="auto" w:fill="9CC2E5" w:themeFill="accent1" w:themeFillTint="99"/>
            <w:vAlign w:val="center"/>
            <w:hideMark/>
          </w:tcPr>
          <w:p w14:paraId="3EEF1378"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ustęp spłukiwany</w:t>
            </w:r>
          </w:p>
        </w:tc>
        <w:tc>
          <w:tcPr>
            <w:tcW w:w="1318" w:type="dxa"/>
            <w:shd w:val="clear" w:color="000000" w:fill="FFFFFF"/>
            <w:vAlign w:val="center"/>
            <w:hideMark/>
          </w:tcPr>
          <w:p w14:paraId="74CAC55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99,0</w:t>
            </w:r>
          </w:p>
        </w:tc>
        <w:tc>
          <w:tcPr>
            <w:tcW w:w="1411" w:type="dxa"/>
            <w:shd w:val="clear" w:color="000000" w:fill="FFFFFF"/>
            <w:vAlign w:val="center"/>
            <w:hideMark/>
          </w:tcPr>
          <w:p w14:paraId="2201D09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98,1</w:t>
            </w:r>
          </w:p>
        </w:tc>
        <w:tc>
          <w:tcPr>
            <w:tcW w:w="1318" w:type="dxa"/>
            <w:shd w:val="clear" w:color="000000" w:fill="FFFFFF"/>
            <w:vAlign w:val="center"/>
            <w:hideMark/>
          </w:tcPr>
          <w:p w14:paraId="3AACAC17"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97,7</w:t>
            </w:r>
          </w:p>
        </w:tc>
        <w:tc>
          <w:tcPr>
            <w:tcW w:w="1325" w:type="dxa"/>
            <w:shd w:val="clear" w:color="000000" w:fill="FFFFFF"/>
            <w:vAlign w:val="center"/>
            <w:hideMark/>
          </w:tcPr>
          <w:p w14:paraId="0D52C9C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96,6</w:t>
            </w:r>
          </w:p>
        </w:tc>
        <w:tc>
          <w:tcPr>
            <w:tcW w:w="1328" w:type="dxa"/>
            <w:shd w:val="clear" w:color="000000" w:fill="FFFFFF"/>
            <w:vAlign w:val="center"/>
            <w:hideMark/>
          </w:tcPr>
          <w:p w14:paraId="3C13551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99,1</w:t>
            </w:r>
          </w:p>
        </w:tc>
      </w:tr>
      <w:tr w:rsidR="00C44070" w:rsidRPr="0035219D" w14:paraId="29158B13" w14:textId="77777777" w:rsidTr="0035219D">
        <w:trPr>
          <w:trHeight w:val="300"/>
          <w:jc w:val="center"/>
        </w:trPr>
        <w:tc>
          <w:tcPr>
            <w:tcW w:w="2489" w:type="dxa"/>
            <w:shd w:val="clear" w:color="auto" w:fill="9CC2E5" w:themeFill="accent1" w:themeFillTint="99"/>
            <w:vAlign w:val="center"/>
            <w:hideMark/>
          </w:tcPr>
          <w:p w14:paraId="63AAC8D5"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łazienkę</w:t>
            </w:r>
          </w:p>
        </w:tc>
        <w:tc>
          <w:tcPr>
            <w:tcW w:w="1318" w:type="dxa"/>
            <w:shd w:val="clear" w:color="000000" w:fill="FFFFFF"/>
            <w:vAlign w:val="center"/>
            <w:hideMark/>
          </w:tcPr>
          <w:p w14:paraId="29E7884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98,7</w:t>
            </w:r>
          </w:p>
        </w:tc>
        <w:tc>
          <w:tcPr>
            <w:tcW w:w="1411" w:type="dxa"/>
            <w:shd w:val="clear" w:color="000000" w:fill="FFFFFF"/>
            <w:vAlign w:val="center"/>
            <w:hideMark/>
          </w:tcPr>
          <w:p w14:paraId="3263805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97,6</w:t>
            </w:r>
          </w:p>
        </w:tc>
        <w:tc>
          <w:tcPr>
            <w:tcW w:w="1318" w:type="dxa"/>
            <w:shd w:val="clear" w:color="000000" w:fill="FFFFFF"/>
            <w:vAlign w:val="center"/>
            <w:hideMark/>
          </w:tcPr>
          <w:p w14:paraId="2E3EF860"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97,2</w:t>
            </w:r>
          </w:p>
        </w:tc>
        <w:tc>
          <w:tcPr>
            <w:tcW w:w="1325" w:type="dxa"/>
            <w:shd w:val="clear" w:color="000000" w:fill="FFFFFF"/>
            <w:vAlign w:val="center"/>
            <w:hideMark/>
          </w:tcPr>
          <w:p w14:paraId="40CB36E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95,8</w:t>
            </w:r>
          </w:p>
        </w:tc>
        <w:tc>
          <w:tcPr>
            <w:tcW w:w="1328" w:type="dxa"/>
            <w:shd w:val="clear" w:color="000000" w:fill="FFFFFF"/>
            <w:vAlign w:val="center"/>
            <w:hideMark/>
          </w:tcPr>
          <w:p w14:paraId="4F05B5A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99,0</w:t>
            </w:r>
          </w:p>
        </w:tc>
      </w:tr>
      <w:tr w:rsidR="00C44070" w:rsidRPr="0035219D" w14:paraId="381874D2" w14:textId="77777777" w:rsidTr="0035219D">
        <w:trPr>
          <w:trHeight w:val="300"/>
          <w:jc w:val="center"/>
        </w:trPr>
        <w:tc>
          <w:tcPr>
            <w:tcW w:w="2489" w:type="dxa"/>
            <w:shd w:val="clear" w:color="auto" w:fill="9CC2E5" w:themeFill="accent1" w:themeFillTint="99"/>
            <w:vAlign w:val="center"/>
            <w:hideMark/>
          </w:tcPr>
          <w:p w14:paraId="3A852A79"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lastRenderedPageBreak/>
              <w:t>ciepłą wodę bieżącą</w:t>
            </w:r>
          </w:p>
        </w:tc>
        <w:tc>
          <w:tcPr>
            <w:tcW w:w="1318" w:type="dxa"/>
            <w:shd w:val="clear" w:color="000000" w:fill="FFFFFF"/>
            <w:vAlign w:val="center"/>
            <w:hideMark/>
          </w:tcPr>
          <w:p w14:paraId="21BB443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99,1</w:t>
            </w:r>
          </w:p>
        </w:tc>
        <w:tc>
          <w:tcPr>
            <w:tcW w:w="1411" w:type="dxa"/>
            <w:shd w:val="clear" w:color="000000" w:fill="FFFFFF"/>
            <w:vAlign w:val="center"/>
            <w:hideMark/>
          </w:tcPr>
          <w:p w14:paraId="2835C1A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98,3</w:t>
            </w:r>
          </w:p>
        </w:tc>
        <w:tc>
          <w:tcPr>
            <w:tcW w:w="1318" w:type="dxa"/>
            <w:shd w:val="clear" w:color="000000" w:fill="FFFFFF"/>
            <w:vAlign w:val="center"/>
            <w:hideMark/>
          </w:tcPr>
          <w:p w14:paraId="315340A5"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98,0</w:t>
            </w:r>
          </w:p>
        </w:tc>
        <w:tc>
          <w:tcPr>
            <w:tcW w:w="1325" w:type="dxa"/>
            <w:shd w:val="clear" w:color="000000" w:fill="FFFFFF"/>
            <w:vAlign w:val="center"/>
            <w:hideMark/>
          </w:tcPr>
          <w:p w14:paraId="61E3C20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97,0</w:t>
            </w:r>
          </w:p>
        </w:tc>
        <w:tc>
          <w:tcPr>
            <w:tcW w:w="1328" w:type="dxa"/>
            <w:shd w:val="clear" w:color="000000" w:fill="FFFFFF"/>
            <w:vAlign w:val="center"/>
            <w:hideMark/>
          </w:tcPr>
          <w:p w14:paraId="79972FF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99,3</w:t>
            </w:r>
          </w:p>
        </w:tc>
      </w:tr>
      <w:tr w:rsidR="00C44070" w:rsidRPr="0035219D" w14:paraId="07425920" w14:textId="77777777" w:rsidTr="0035219D">
        <w:trPr>
          <w:trHeight w:val="300"/>
          <w:jc w:val="center"/>
        </w:trPr>
        <w:tc>
          <w:tcPr>
            <w:tcW w:w="2489" w:type="dxa"/>
            <w:shd w:val="clear" w:color="auto" w:fill="9CC2E5" w:themeFill="accent1" w:themeFillTint="99"/>
            <w:vAlign w:val="center"/>
            <w:hideMark/>
          </w:tcPr>
          <w:p w14:paraId="1D465E74"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gaz</w:t>
            </w:r>
          </w:p>
        </w:tc>
        <w:tc>
          <w:tcPr>
            <w:tcW w:w="1318" w:type="dxa"/>
            <w:shd w:val="clear" w:color="000000" w:fill="FFFFFF"/>
            <w:vAlign w:val="center"/>
            <w:hideMark/>
          </w:tcPr>
          <w:p w14:paraId="2FA24A8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84,7</w:t>
            </w:r>
          </w:p>
        </w:tc>
        <w:tc>
          <w:tcPr>
            <w:tcW w:w="1411" w:type="dxa"/>
            <w:shd w:val="clear" w:color="000000" w:fill="FFFFFF"/>
            <w:vAlign w:val="center"/>
            <w:hideMark/>
          </w:tcPr>
          <w:p w14:paraId="0011F45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93,4</w:t>
            </w:r>
          </w:p>
        </w:tc>
        <w:tc>
          <w:tcPr>
            <w:tcW w:w="1318" w:type="dxa"/>
            <w:shd w:val="clear" w:color="000000" w:fill="FFFFFF"/>
            <w:vAlign w:val="center"/>
            <w:hideMark/>
          </w:tcPr>
          <w:p w14:paraId="4BD7522C"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92,9</w:t>
            </w:r>
          </w:p>
        </w:tc>
        <w:tc>
          <w:tcPr>
            <w:tcW w:w="1325" w:type="dxa"/>
            <w:shd w:val="clear" w:color="000000" w:fill="FFFFFF"/>
            <w:vAlign w:val="center"/>
            <w:hideMark/>
          </w:tcPr>
          <w:p w14:paraId="1E782E0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92,4</w:t>
            </w:r>
          </w:p>
        </w:tc>
        <w:tc>
          <w:tcPr>
            <w:tcW w:w="1328" w:type="dxa"/>
            <w:shd w:val="clear" w:color="000000" w:fill="FFFFFF"/>
            <w:vAlign w:val="center"/>
            <w:hideMark/>
          </w:tcPr>
          <w:p w14:paraId="038B04C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93,4</w:t>
            </w:r>
          </w:p>
        </w:tc>
      </w:tr>
      <w:tr w:rsidR="00C44070" w:rsidRPr="0035219D" w14:paraId="69BA3A6E" w14:textId="77777777" w:rsidTr="0035219D">
        <w:trPr>
          <w:trHeight w:val="300"/>
          <w:jc w:val="center"/>
        </w:trPr>
        <w:tc>
          <w:tcPr>
            <w:tcW w:w="2489" w:type="dxa"/>
            <w:shd w:val="clear" w:color="auto" w:fill="9CC2E5" w:themeFill="accent1" w:themeFillTint="99"/>
            <w:vAlign w:val="center"/>
            <w:hideMark/>
          </w:tcPr>
          <w:p w14:paraId="1761E184"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gaz z sieci</w:t>
            </w:r>
          </w:p>
        </w:tc>
        <w:tc>
          <w:tcPr>
            <w:tcW w:w="1318" w:type="dxa"/>
            <w:shd w:val="clear" w:color="000000" w:fill="FFFFFF"/>
            <w:vAlign w:val="center"/>
            <w:hideMark/>
          </w:tcPr>
          <w:p w14:paraId="211543F8"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53,9</w:t>
            </w:r>
          </w:p>
        </w:tc>
        <w:tc>
          <w:tcPr>
            <w:tcW w:w="1411" w:type="dxa"/>
            <w:shd w:val="clear" w:color="000000" w:fill="FFFFFF"/>
            <w:vAlign w:val="center"/>
            <w:hideMark/>
          </w:tcPr>
          <w:p w14:paraId="47DD51B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57,4</w:t>
            </w:r>
          </w:p>
        </w:tc>
        <w:tc>
          <w:tcPr>
            <w:tcW w:w="1318" w:type="dxa"/>
            <w:shd w:val="clear" w:color="000000" w:fill="FFFFFF"/>
            <w:vAlign w:val="center"/>
            <w:hideMark/>
          </w:tcPr>
          <w:p w14:paraId="1094C468"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63,8</w:t>
            </w:r>
          </w:p>
        </w:tc>
        <w:tc>
          <w:tcPr>
            <w:tcW w:w="1325" w:type="dxa"/>
            <w:shd w:val="clear" w:color="000000" w:fill="FFFFFF"/>
            <w:vAlign w:val="center"/>
            <w:hideMark/>
          </w:tcPr>
          <w:p w14:paraId="363F84F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62,6</w:t>
            </w:r>
          </w:p>
        </w:tc>
        <w:tc>
          <w:tcPr>
            <w:tcW w:w="1328" w:type="dxa"/>
            <w:shd w:val="clear" w:color="000000" w:fill="FFFFFF"/>
            <w:vAlign w:val="center"/>
            <w:hideMark/>
          </w:tcPr>
          <w:p w14:paraId="3DDD315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65,4</w:t>
            </w:r>
          </w:p>
        </w:tc>
      </w:tr>
      <w:tr w:rsidR="00C44070" w:rsidRPr="0035219D" w14:paraId="5042F2DE" w14:textId="77777777" w:rsidTr="0035219D">
        <w:trPr>
          <w:trHeight w:val="300"/>
          <w:jc w:val="center"/>
        </w:trPr>
        <w:tc>
          <w:tcPr>
            <w:tcW w:w="2489" w:type="dxa"/>
            <w:shd w:val="clear" w:color="auto" w:fill="9CC2E5" w:themeFill="accent1" w:themeFillTint="99"/>
            <w:vAlign w:val="center"/>
            <w:hideMark/>
          </w:tcPr>
          <w:p w14:paraId="286082C7"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gaz z butli</w:t>
            </w:r>
          </w:p>
        </w:tc>
        <w:tc>
          <w:tcPr>
            <w:tcW w:w="1318" w:type="dxa"/>
            <w:shd w:val="clear" w:color="000000" w:fill="FFFFFF"/>
            <w:vAlign w:val="center"/>
            <w:hideMark/>
          </w:tcPr>
          <w:p w14:paraId="1985C69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30,8</w:t>
            </w:r>
          </w:p>
        </w:tc>
        <w:tc>
          <w:tcPr>
            <w:tcW w:w="1411" w:type="dxa"/>
            <w:shd w:val="clear" w:color="000000" w:fill="FFFFFF"/>
            <w:vAlign w:val="center"/>
            <w:hideMark/>
          </w:tcPr>
          <w:p w14:paraId="3C204E78"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36,1</w:t>
            </w:r>
          </w:p>
        </w:tc>
        <w:tc>
          <w:tcPr>
            <w:tcW w:w="1318" w:type="dxa"/>
            <w:shd w:val="clear" w:color="000000" w:fill="FFFFFF"/>
            <w:vAlign w:val="center"/>
            <w:hideMark/>
          </w:tcPr>
          <w:p w14:paraId="3E6F339A"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29,0</w:t>
            </w:r>
          </w:p>
        </w:tc>
        <w:tc>
          <w:tcPr>
            <w:tcW w:w="1325" w:type="dxa"/>
            <w:shd w:val="clear" w:color="000000" w:fill="FFFFFF"/>
            <w:vAlign w:val="center"/>
            <w:hideMark/>
          </w:tcPr>
          <w:p w14:paraId="4B1B64E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29,8</w:t>
            </w:r>
          </w:p>
        </w:tc>
        <w:tc>
          <w:tcPr>
            <w:tcW w:w="1328" w:type="dxa"/>
            <w:shd w:val="clear" w:color="000000" w:fill="FFFFFF"/>
            <w:vAlign w:val="center"/>
            <w:hideMark/>
          </w:tcPr>
          <w:p w14:paraId="74FAB01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28,0</w:t>
            </w:r>
          </w:p>
        </w:tc>
      </w:tr>
      <w:tr w:rsidR="00C44070" w:rsidRPr="0035219D" w14:paraId="29DCF21F" w14:textId="77777777" w:rsidTr="0035219D">
        <w:trPr>
          <w:trHeight w:val="300"/>
          <w:jc w:val="center"/>
        </w:trPr>
        <w:tc>
          <w:tcPr>
            <w:tcW w:w="2489" w:type="dxa"/>
            <w:shd w:val="clear" w:color="auto" w:fill="9CC2E5" w:themeFill="accent1" w:themeFillTint="99"/>
            <w:vAlign w:val="center"/>
            <w:hideMark/>
          </w:tcPr>
          <w:p w14:paraId="336C209E"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klimatyzację</w:t>
            </w:r>
          </w:p>
        </w:tc>
        <w:tc>
          <w:tcPr>
            <w:tcW w:w="1318" w:type="dxa"/>
            <w:shd w:val="clear" w:color="000000" w:fill="FFFFFF"/>
            <w:vAlign w:val="center"/>
            <w:hideMark/>
          </w:tcPr>
          <w:p w14:paraId="562C0B7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w:t>
            </w:r>
          </w:p>
        </w:tc>
        <w:tc>
          <w:tcPr>
            <w:tcW w:w="1411" w:type="dxa"/>
            <w:shd w:val="clear" w:color="000000" w:fill="FFFFFF"/>
            <w:vAlign w:val="center"/>
            <w:hideMark/>
          </w:tcPr>
          <w:p w14:paraId="72BFB0C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1,4</w:t>
            </w:r>
          </w:p>
        </w:tc>
        <w:tc>
          <w:tcPr>
            <w:tcW w:w="1318" w:type="dxa"/>
            <w:shd w:val="clear" w:color="000000" w:fill="FFFFFF"/>
            <w:vAlign w:val="center"/>
            <w:hideMark/>
          </w:tcPr>
          <w:p w14:paraId="3EEEEF55"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w:t>
            </w:r>
          </w:p>
        </w:tc>
        <w:tc>
          <w:tcPr>
            <w:tcW w:w="1325" w:type="dxa"/>
            <w:shd w:val="clear" w:color="000000" w:fill="FFFFFF"/>
            <w:vAlign w:val="center"/>
            <w:hideMark/>
          </w:tcPr>
          <w:p w14:paraId="6F606CB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w:t>
            </w:r>
          </w:p>
        </w:tc>
        <w:tc>
          <w:tcPr>
            <w:tcW w:w="1328" w:type="dxa"/>
            <w:shd w:val="clear" w:color="000000" w:fill="FFFFFF"/>
            <w:vAlign w:val="center"/>
            <w:hideMark/>
          </w:tcPr>
          <w:p w14:paraId="6137845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w:t>
            </w:r>
          </w:p>
        </w:tc>
      </w:tr>
      <w:tr w:rsidR="00C44070" w:rsidRPr="0035219D" w14:paraId="4C568062" w14:textId="77777777" w:rsidTr="0035219D">
        <w:trPr>
          <w:trHeight w:val="300"/>
          <w:jc w:val="center"/>
        </w:trPr>
        <w:tc>
          <w:tcPr>
            <w:tcW w:w="2489" w:type="dxa"/>
            <w:shd w:val="clear" w:color="auto" w:fill="9CC2E5" w:themeFill="accent1" w:themeFillTint="99"/>
            <w:vAlign w:val="center"/>
            <w:hideMark/>
          </w:tcPr>
          <w:p w14:paraId="1C41540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ogrzewanie centralne</w:t>
            </w:r>
          </w:p>
        </w:tc>
        <w:tc>
          <w:tcPr>
            <w:tcW w:w="1318" w:type="dxa"/>
            <w:shd w:val="clear" w:color="000000" w:fill="FFFFFF"/>
            <w:vAlign w:val="center"/>
            <w:hideMark/>
          </w:tcPr>
          <w:p w14:paraId="1142207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87,0</w:t>
            </w:r>
          </w:p>
        </w:tc>
        <w:tc>
          <w:tcPr>
            <w:tcW w:w="1411" w:type="dxa"/>
            <w:shd w:val="clear" w:color="000000" w:fill="FFFFFF"/>
            <w:vAlign w:val="center"/>
            <w:hideMark/>
          </w:tcPr>
          <w:p w14:paraId="30E4090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86,1</w:t>
            </w:r>
          </w:p>
        </w:tc>
        <w:tc>
          <w:tcPr>
            <w:tcW w:w="1318" w:type="dxa"/>
            <w:shd w:val="clear" w:color="000000" w:fill="FFFFFF"/>
            <w:vAlign w:val="center"/>
            <w:hideMark/>
          </w:tcPr>
          <w:p w14:paraId="373A9022"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86,3</w:t>
            </w:r>
          </w:p>
        </w:tc>
        <w:tc>
          <w:tcPr>
            <w:tcW w:w="1325" w:type="dxa"/>
            <w:shd w:val="clear" w:color="000000" w:fill="FFFFFF"/>
            <w:vAlign w:val="center"/>
            <w:hideMark/>
          </w:tcPr>
          <w:p w14:paraId="5CB82C3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84,2</w:t>
            </w:r>
          </w:p>
        </w:tc>
        <w:tc>
          <w:tcPr>
            <w:tcW w:w="1328" w:type="dxa"/>
            <w:shd w:val="clear" w:color="000000" w:fill="FFFFFF"/>
            <w:vAlign w:val="center"/>
            <w:hideMark/>
          </w:tcPr>
          <w:p w14:paraId="2085E95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88,7</w:t>
            </w:r>
          </w:p>
        </w:tc>
      </w:tr>
      <w:tr w:rsidR="00C44070" w:rsidRPr="0035219D" w14:paraId="36ADC5B2" w14:textId="77777777" w:rsidTr="0035219D">
        <w:trPr>
          <w:trHeight w:val="300"/>
          <w:jc w:val="center"/>
        </w:trPr>
        <w:tc>
          <w:tcPr>
            <w:tcW w:w="2489" w:type="dxa"/>
            <w:shd w:val="clear" w:color="auto" w:fill="9CC2E5" w:themeFill="accent1" w:themeFillTint="99"/>
            <w:vAlign w:val="center"/>
            <w:hideMark/>
          </w:tcPr>
          <w:p w14:paraId="2D880326"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piece </w:t>
            </w:r>
          </w:p>
        </w:tc>
        <w:tc>
          <w:tcPr>
            <w:tcW w:w="1318" w:type="dxa"/>
            <w:shd w:val="clear" w:color="000000" w:fill="FFFFFF"/>
            <w:vAlign w:val="center"/>
            <w:hideMark/>
          </w:tcPr>
          <w:p w14:paraId="55ED909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12,9</w:t>
            </w:r>
          </w:p>
        </w:tc>
        <w:tc>
          <w:tcPr>
            <w:tcW w:w="1411" w:type="dxa"/>
            <w:shd w:val="clear" w:color="000000" w:fill="FFFFFF"/>
            <w:vAlign w:val="center"/>
            <w:hideMark/>
          </w:tcPr>
          <w:p w14:paraId="15D0A4C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13,8</w:t>
            </w:r>
          </w:p>
        </w:tc>
        <w:tc>
          <w:tcPr>
            <w:tcW w:w="1318" w:type="dxa"/>
            <w:shd w:val="clear" w:color="000000" w:fill="FFFFFF"/>
            <w:vAlign w:val="center"/>
            <w:hideMark/>
          </w:tcPr>
          <w:p w14:paraId="004E61C7"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13,6</w:t>
            </w:r>
          </w:p>
        </w:tc>
        <w:tc>
          <w:tcPr>
            <w:tcW w:w="1325" w:type="dxa"/>
            <w:shd w:val="clear" w:color="000000" w:fill="FFFFFF"/>
            <w:vAlign w:val="center"/>
            <w:hideMark/>
          </w:tcPr>
          <w:p w14:paraId="5A09CFF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15,7</w:t>
            </w:r>
          </w:p>
        </w:tc>
        <w:tc>
          <w:tcPr>
            <w:tcW w:w="1328" w:type="dxa"/>
            <w:shd w:val="clear" w:color="000000" w:fill="FFFFFF"/>
            <w:vAlign w:val="center"/>
            <w:hideMark/>
          </w:tcPr>
          <w:p w14:paraId="457BBA7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11,2</w:t>
            </w:r>
          </w:p>
        </w:tc>
      </w:tr>
      <w:tr w:rsidR="00C44070" w:rsidRPr="0035219D" w14:paraId="329CABC7" w14:textId="77777777" w:rsidTr="0035219D">
        <w:trPr>
          <w:trHeight w:val="990"/>
          <w:jc w:val="center"/>
        </w:trPr>
        <w:tc>
          <w:tcPr>
            <w:tcW w:w="2489" w:type="dxa"/>
            <w:shd w:val="clear" w:color="auto" w:fill="9CC2E5" w:themeFill="accent1" w:themeFillTint="99"/>
            <w:vAlign w:val="center"/>
            <w:hideMark/>
          </w:tcPr>
          <w:p w14:paraId="4385FC4E"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Przeciętna powierzchnia użytkowa mieszkania zajmowana przez gosp. domowe w m</w:t>
            </w:r>
            <w:r w:rsidRPr="00342041">
              <w:rPr>
                <w:rFonts w:ascii="Times New Roman" w:eastAsia="Times New Roman" w:hAnsi="Times New Roman" w:cs="Times New Roman"/>
                <w:b/>
                <w:color w:val="000000"/>
                <w:sz w:val="20"/>
                <w:szCs w:val="20"/>
                <w:vertAlign w:val="superscript"/>
                <w:lang w:eastAsia="pl-PL"/>
              </w:rPr>
              <w:t>2</w:t>
            </w:r>
            <w:r w:rsidRPr="00342041">
              <w:rPr>
                <w:rFonts w:ascii="Times New Roman" w:eastAsia="Times New Roman" w:hAnsi="Times New Roman" w:cs="Times New Roman"/>
                <w:b/>
                <w:color w:val="000000"/>
                <w:sz w:val="20"/>
                <w:szCs w:val="20"/>
                <w:lang w:eastAsia="pl-PL"/>
              </w:rPr>
              <w:t xml:space="preserve"> na 1 gospodarstwo domowe</w:t>
            </w:r>
          </w:p>
        </w:tc>
        <w:tc>
          <w:tcPr>
            <w:tcW w:w="1318" w:type="dxa"/>
            <w:shd w:val="clear" w:color="000000" w:fill="FFFFFF"/>
            <w:vAlign w:val="center"/>
            <w:hideMark/>
          </w:tcPr>
          <w:p w14:paraId="062D107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79,34</w:t>
            </w:r>
          </w:p>
        </w:tc>
        <w:tc>
          <w:tcPr>
            <w:tcW w:w="1411" w:type="dxa"/>
            <w:shd w:val="clear" w:color="000000" w:fill="FFFFFF"/>
            <w:vAlign w:val="center"/>
            <w:hideMark/>
          </w:tcPr>
          <w:p w14:paraId="09DE17D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81,51</w:t>
            </w:r>
          </w:p>
        </w:tc>
        <w:tc>
          <w:tcPr>
            <w:tcW w:w="1318" w:type="dxa"/>
            <w:shd w:val="clear" w:color="000000" w:fill="FFFFFF"/>
            <w:vAlign w:val="center"/>
            <w:hideMark/>
          </w:tcPr>
          <w:p w14:paraId="2845BF84"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68,77</w:t>
            </w:r>
          </w:p>
        </w:tc>
        <w:tc>
          <w:tcPr>
            <w:tcW w:w="1325" w:type="dxa"/>
            <w:shd w:val="clear" w:color="000000" w:fill="FFFFFF"/>
            <w:vAlign w:val="center"/>
            <w:hideMark/>
          </w:tcPr>
          <w:p w14:paraId="16D1031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60,09</w:t>
            </w:r>
          </w:p>
        </w:tc>
        <w:tc>
          <w:tcPr>
            <w:tcW w:w="1328" w:type="dxa"/>
            <w:shd w:val="clear" w:color="000000" w:fill="FFFFFF"/>
            <w:vAlign w:val="center"/>
            <w:hideMark/>
          </w:tcPr>
          <w:p w14:paraId="6B6F946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78,48</w:t>
            </w:r>
          </w:p>
        </w:tc>
      </w:tr>
      <w:tr w:rsidR="00C44070" w:rsidRPr="0035219D" w14:paraId="48594BAF" w14:textId="77777777" w:rsidTr="0035219D">
        <w:trPr>
          <w:trHeight w:val="304"/>
          <w:jc w:val="center"/>
        </w:trPr>
        <w:tc>
          <w:tcPr>
            <w:tcW w:w="9189" w:type="dxa"/>
            <w:gridSpan w:val="6"/>
            <w:shd w:val="clear" w:color="auto" w:fill="auto"/>
            <w:vAlign w:val="center"/>
            <w:hideMark/>
          </w:tcPr>
          <w:p w14:paraId="3F76B70D" w14:textId="77777777" w:rsidR="00C44070" w:rsidRPr="00342041" w:rsidRDefault="00C44070" w:rsidP="0035219D">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MIASTA</w:t>
            </w:r>
          </w:p>
        </w:tc>
      </w:tr>
      <w:tr w:rsidR="00C44070" w:rsidRPr="0035219D" w14:paraId="40495D15" w14:textId="77777777" w:rsidTr="0035219D">
        <w:trPr>
          <w:trHeight w:val="300"/>
          <w:jc w:val="center"/>
        </w:trPr>
        <w:tc>
          <w:tcPr>
            <w:tcW w:w="2489" w:type="dxa"/>
            <w:shd w:val="clear" w:color="auto" w:fill="9CC2E5" w:themeFill="accent1" w:themeFillTint="99"/>
            <w:noWrap/>
            <w:vAlign w:val="center"/>
            <w:hideMark/>
          </w:tcPr>
          <w:p w14:paraId="24B949E0" w14:textId="77777777" w:rsidR="00C44070" w:rsidRPr="00342041" w:rsidRDefault="00C44070" w:rsidP="0035219D">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Ogółem </w:t>
            </w:r>
          </w:p>
        </w:tc>
        <w:tc>
          <w:tcPr>
            <w:tcW w:w="1318" w:type="dxa"/>
            <w:shd w:val="clear" w:color="000000" w:fill="FFFFFF"/>
            <w:vAlign w:val="center"/>
            <w:hideMark/>
          </w:tcPr>
          <w:p w14:paraId="7353CCEC"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411" w:type="dxa"/>
            <w:shd w:val="clear" w:color="000000" w:fill="FFFFFF"/>
            <w:vAlign w:val="center"/>
            <w:hideMark/>
          </w:tcPr>
          <w:p w14:paraId="70E95C90"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18" w:type="dxa"/>
            <w:shd w:val="clear" w:color="000000" w:fill="FFFFFF"/>
            <w:vAlign w:val="center"/>
            <w:hideMark/>
          </w:tcPr>
          <w:p w14:paraId="4390F0A1" w14:textId="77777777" w:rsidR="00C44070" w:rsidRPr="00342041" w:rsidRDefault="00C44070" w:rsidP="0035219D">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100,0</w:t>
            </w:r>
          </w:p>
        </w:tc>
        <w:tc>
          <w:tcPr>
            <w:tcW w:w="1325" w:type="dxa"/>
            <w:shd w:val="clear" w:color="000000" w:fill="FFFFFF"/>
            <w:vAlign w:val="center"/>
            <w:hideMark/>
          </w:tcPr>
          <w:p w14:paraId="2A6C351E"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28" w:type="dxa"/>
            <w:shd w:val="clear" w:color="000000" w:fill="FFFFFF"/>
            <w:vAlign w:val="center"/>
            <w:hideMark/>
          </w:tcPr>
          <w:p w14:paraId="143E9791"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r>
      <w:tr w:rsidR="00C44070" w:rsidRPr="0035219D" w14:paraId="0E4FE427" w14:textId="77777777" w:rsidTr="0035219D">
        <w:trPr>
          <w:trHeight w:val="300"/>
          <w:jc w:val="center"/>
        </w:trPr>
        <w:tc>
          <w:tcPr>
            <w:tcW w:w="2489" w:type="dxa"/>
            <w:shd w:val="clear" w:color="auto" w:fill="9CC2E5" w:themeFill="accent1" w:themeFillTint="99"/>
            <w:vAlign w:val="center"/>
            <w:hideMark/>
          </w:tcPr>
          <w:p w14:paraId="5984CC70"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Rodzaj budynku:                   </w:t>
            </w:r>
          </w:p>
        </w:tc>
        <w:tc>
          <w:tcPr>
            <w:tcW w:w="1318" w:type="dxa"/>
            <w:shd w:val="clear" w:color="000000" w:fill="FFFFFF"/>
            <w:vAlign w:val="center"/>
            <w:hideMark/>
          </w:tcPr>
          <w:p w14:paraId="56A3CE6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411" w:type="dxa"/>
            <w:shd w:val="clear" w:color="000000" w:fill="FFFFFF"/>
            <w:vAlign w:val="center"/>
            <w:hideMark/>
          </w:tcPr>
          <w:p w14:paraId="6532774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18" w:type="dxa"/>
            <w:shd w:val="clear" w:color="000000" w:fill="FFFFFF"/>
            <w:vAlign w:val="center"/>
            <w:hideMark/>
          </w:tcPr>
          <w:p w14:paraId="5C1780B0"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p>
        </w:tc>
        <w:tc>
          <w:tcPr>
            <w:tcW w:w="1325" w:type="dxa"/>
            <w:shd w:val="clear" w:color="000000" w:fill="FFFFFF"/>
            <w:vAlign w:val="center"/>
            <w:hideMark/>
          </w:tcPr>
          <w:p w14:paraId="0CB0D73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28" w:type="dxa"/>
            <w:shd w:val="clear" w:color="000000" w:fill="FFFFFF"/>
            <w:vAlign w:val="center"/>
            <w:hideMark/>
          </w:tcPr>
          <w:p w14:paraId="773D862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r>
      <w:tr w:rsidR="00C44070" w:rsidRPr="0035219D" w14:paraId="711A9A23" w14:textId="77777777" w:rsidTr="0035219D">
        <w:trPr>
          <w:trHeight w:val="300"/>
          <w:jc w:val="center"/>
        </w:trPr>
        <w:tc>
          <w:tcPr>
            <w:tcW w:w="2489" w:type="dxa"/>
            <w:shd w:val="clear" w:color="auto" w:fill="9CC2E5" w:themeFill="accent1" w:themeFillTint="99"/>
            <w:vAlign w:val="center"/>
            <w:hideMark/>
          </w:tcPr>
          <w:p w14:paraId="29F07453"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budynek wielorodzinny</w:t>
            </w:r>
          </w:p>
        </w:tc>
        <w:tc>
          <w:tcPr>
            <w:tcW w:w="1318" w:type="dxa"/>
            <w:shd w:val="clear" w:color="000000" w:fill="FFFFFF"/>
            <w:vAlign w:val="center"/>
            <w:hideMark/>
          </w:tcPr>
          <w:p w14:paraId="08AB6AE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78,8</w:t>
            </w:r>
          </w:p>
        </w:tc>
        <w:tc>
          <w:tcPr>
            <w:tcW w:w="1411" w:type="dxa"/>
            <w:shd w:val="clear" w:color="000000" w:fill="FFFFFF"/>
            <w:vAlign w:val="center"/>
            <w:hideMark/>
          </w:tcPr>
          <w:p w14:paraId="3331A04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72,6</w:t>
            </w:r>
          </w:p>
        </w:tc>
        <w:tc>
          <w:tcPr>
            <w:tcW w:w="1318" w:type="dxa"/>
            <w:shd w:val="clear" w:color="000000" w:fill="FFFFFF"/>
            <w:vAlign w:val="center"/>
            <w:hideMark/>
          </w:tcPr>
          <w:p w14:paraId="11DD79CA"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77,5</w:t>
            </w:r>
          </w:p>
        </w:tc>
        <w:tc>
          <w:tcPr>
            <w:tcW w:w="1325" w:type="dxa"/>
            <w:shd w:val="clear" w:color="000000" w:fill="FFFFFF"/>
            <w:vAlign w:val="center"/>
            <w:hideMark/>
          </w:tcPr>
          <w:p w14:paraId="7895F93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83,9</w:t>
            </w:r>
          </w:p>
        </w:tc>
        <w:tc>
          <w:tcPr>
            <w:tcW w:w="1328" w:type="dxa"/>
            <w:shd w:val="clear" w:color="000000" w:fill="FFFFFF"/>
            <w:vAlign w:val="center"/>
            <w:hideMark/>
          </w:tcPr>
          <w:p w14:paraId="2C87CEF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70,3</w:t>
            </w:r>
          </w:p>
        </w:tc>
      </w:tr>
      <w:tr w:rsidR="00C44070" w:rsidRPr="0035219D" w14:paraId="2608016D" w14:textId="77777777" w:rsidTr="0035219D">
        <w:trPr>
          <w:trHeight w:val="300"/>
          <w:jc w:val="center"/>
        </w:trPr>
        <w:tc>
          <w:tcPr>
            <w:tcW w:w="2489" w:type="dxa"/>
            <w:shd w:val="clear" w:color="auto" w:fill="9CC2E5" w:themeFill="accent1" w:themeFillTint="99"/>
            <w:vAlign w:val="center"/>
            <w:hideMark/>
          </w:tcPr>
          <w:p w14:paraId="24981F76"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dom 1-rodzinny</w:t>
            </w:r>
          </w:p>
        </w:tc>
        <w:tc>
          <w:tcPr>
            <w:tcW w:w="1318" w:type="dxa"/>
            <w:shd w:val="clear" w:color="000000" w:fill="FFFFFF"/>
            <w:vAlign w:val="center"/>
            <w:hideMark/>
          </w:tcPr>
          <w:p w14:paraId="7AFBB75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21,1</w:t>
            </w:r>
          </w:p>
        </w:tc>
        <w:tc>
          <w:tcPr>
            <w:tcW w:w="1411" w:type="dxa"/>
            <w:shd w:val="clear" w:color="000000" w:fill="FFFFFF"/>
            <w:vAlign w:val="center"/>
            <w:hideMark/>
          </w:tcPr>
          <w:p w14:paraId="25B4D39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27,3</w:t>
            </w:r>
          </w:p>
        </w:tc>
        <w:tc>
          <w:tcPr>
            <w:tcW w:w="1318" w:type="dxa"/>
            <w:shd w:val="clear" w:color="000000" w:fill="FFFFFF"/>
            <w:vAlign w:val="center"/>
            <w:hideMark/>
          </w:tcPr>
          <w:p w14:paraId="25269CE1"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22,4</w:t>
            </w:r>
          </w:p>
        </w:tc>
        <w:tc>
          <w:tcPr>
            <w:tcW w:w="1325" w:type="dxa"/>
            <w:shd w:val="clear" w:color="000000" w:fill="FFFFFF"/>
            <w:vAlign w:val="center"/>
            <w:hideMark/>
          </w:tcPr>
          <w:p w14:paraId="555D26B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16,0</w:t>
            </w:r>
          </w:p>
        </w:tc>
        <w:tc>
          <w:tcPr>
            <w:tcW w:w="1328" w:type="dxa"/>
            <w:shd w:val="clear" w:color="000000" w:fill="FFFFFF"/>
            <w:vAlign w:val="center"/>
            <w:hideMark/>
          </w:tcPr>
          <w:p w14:paraId="71A36FE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29,6</w:t>
            </w:r>
          </w:p>
        </w:tc>
      </w:tr>
      <w:tr w:rsidR="00C44070" w:rsidRPr="0035219D" w14:paraId="48B2A8F1" w14:textId="77777777" w:rsidTr="0035219D">
        <w:trPr>
          <w:trHeight w:val="300"/>
          <w:jc w:val="center"/>
        </w:trPr>
        <w:tc>
          <w:tcPr>
            <w:tcW w:w="2489" w:type="dxa"/>
            <w:shd w:val="clear" w:color="auto" w:fill="9CC2E5" w:themeFill="accent1" w:themeFillTint="99"/>
            <w:vAlign w:val="center"/>
            <w:hideMark/>
          </w:tcPr>
          <w:p w14:paraId="1C2B81A6"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inny</w:t>
            </w:r>
          </w:p>
        </w:tc>
        <w:tc>
          <w:tcPr>
            <w:tcW w:w="1318" w:type="dxa"/>
            <w:shd w:val="clear" w:color="000000" w:fill="FFFFFF"/>
            <w:vAlign w:val="center"/>
            <w:hideMark/>
          </w:tcPr>
          <w:p w14:paraId="4C1988F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0,1</w:t>
            </w:r>
          </w:p>
        </w:tc>
        <w:tc>
          <w:tcPr>
            <w:tcW w:w="1411" w:type="dxa"/>
            <w:shd w:val="clear" w:color="000000" w:fill="FFFFFF"/>
            <w:vAlign w:val="center"/>
            <w:hideMark/>
          </w:tcPr>
          <w:p w14:paraId="0AA8F08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0,1</w:t>
            </w:r>
          </w:p>
        </w:tc>
        <w:tc>
          <w:tcPr>
            <w:tcW w:w="1318" w:type="dxa"/>
            <w:shd w:val="clear" w:color="000000" w:fill="FFFFFF"/>
            <w:vAlign w:val="center"/>
            <w:hideMark/>
          </w:tcPr>
          <w:p w14:paraId="0E215C98"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0,1</w:t>
            </w:r>
          </w:p>
        </w:tc>
        <w:tc>
          <w:tcPr>
            <w:tcW w:w="1325" w:type="dxa"/>
            <w:shd w:val="clear" w:color="000000" w:fill="FFFFFF"/>
            <w:vAlign w:val="center"/>
            <w:hideMark/>
          </w:tcPr>
          <w:p w14:paraId="30E9E10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0,2</w:t>
            </w:r>
          </w:p>
        </w:tc>
        <w:tc>
          <w:tcPr>
            <w:tcW w:w="1328" w:type="dxa"/>
            <w:shd w:val="clear" w:color="000000" w:fill="FFFFFF"/>
            <w:vAlign w:val="center"/>
            <w:hideMark/>
          </w:tcPr>
          <w:p w14:paraId="1769962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0,1</w:t>
            </w:r>
          </w:p>
        </w:tc>
      </w:tr>
      <w:tr w:rsidR="00C44070" w:rsidRPr="0035219D" w14:paraId="4B795F59" w14:textId="77777777" w:rsidTr="0035219D">
        <w:trPr>
          <w:trHeight w:val="300"/>
          <w:jc w:val="center"/>
        </w:trPr>
        <w:tc>
          <w:tcPr>
            <w:tcW w:w="2489" w:type="dxa"/>
            <w:shd w:val="clear" w:color="auto" w:fill="9CC2E5" w:themeFill="accent1" w:themeFillTint="99"/>
            <w:vAlign w:val="center"/>
            <w:hideMark/>
          </w:tcPr>
          <w:p w14:paraId="0907FDA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Gospodarstwa domowe wyposażone w: </w:t>
            </w:r>
          </w:p>
        </w:tc>
        <w:tc>
          <w:tcPr>
            <w:tcW w:w="1318" w:type="dxa"/>
            <w:shd w:val="clear" w:color="000000" w:fill="FFFFFF"/>
            <w:vAlign w:val="center"/>
            <w:hideMark/>
          </w:tcPr>
          <w:p w14:paraId="129B53F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411" w:type="dxa"/>
            <w:shd w:val="clear" w:color="000000" w:fill="FFFFFF"/>
            <w:vAlign w:val="center"/>
            <w:hideMark/>
          </w:tcPr>
          <w:p w14:paraId="6BF162E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18" w:type="dxa"/>
            <w:shd w:val="clear" w:color="000000" w:fill="FFFFFF"/>
            <w:vAlign w:val="center"/>
            <w:hideMark/>
          </w:tcPr>
          <w:p w14:paraId="266C23E4"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p>
        </w:tc>
        <w:tc>
          <w:tcPr>
            <w:tcW w:w="1325" w:type="dxa"/>
            <w:shd w:val="clear" w:color="000000" w:fill="FFFFFF"/>
            <w:vAlign w:val="center"/>
            <w:hideMark/>
          </w:tcPr>
          <w:p w14:paraId="1DA9B1E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28" w:type="dxa"/>
            <w:shd w:val="clear" w:color="000000" w:fill="FFFFFF"/>
            <w:vAlign w:val="center"/>
            <w:hideMark/>
          </w:tcPr>
          <w:p w14:paraId="121BB19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r>
      <w:tr w:rsidR="00C44070" w:rsidRPr="0035219D" w14:paraId="1F67A95F" w14:textId="77777777" w:rsidTr="0035219D">
        <w:trPr>
          <w:trHeight w:val="300"/>
          <w:jc w:val="center"/>
        </w:trPr>
        <w:tc>
          <w:tcPr>
            <w:tcW w:w="2489" w:type="dxa"/>
            <w:shd w:val="clear" w:color="auto" w:fill="9CC2E5" w:themeFill="accent1" w:themeFillTint="99"/>
            <w:vAlign w:val="center"/>
            <w:hideMark/>
          </w:tcPr>
          <w:p w14:paraId="0A4BC395"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wodociąg</w:t>
            </w:r>
          </w:p>
        </w:tc>
        <w:tc>
          <w:tcPr>
            <w:tcW w:w="1318" w:type="dxa"/>
            <w:shd w:val="clear" w:color="000000" w:fill="FFFFFF"/>
            <w:vAlign w:val="center"/>
            <w:hideMark/>
          </w:tcPr>
          <w:p w14:paraId="179AF45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411" w:type="dxa"/>
            <w:shd w:val="clear" w:color="000000" w:fill="FFFFFF"/>
            <w:vAlign w:val="center"/>
            <w:hideMark/>
          </w:tcPr>
          <w:p w14:paraId="2E9C4C7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99,9</w:t>
            </w:r>
          </w:p>
        </w:tc>
        <w:tc>
          <w:tcPr>
            <w:tcW w:w="1318" w:type="dxa"/>
            <w:shd w:val="clear" w:color="000000" w:fill="FFFFFF"/>
            <w:vAlign w:val="center"/>
            <w:hideMark/>
          </w:tcPr>
          <w:p w14:paraId="3D2EB7DE"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100,0</w:t>
            </w:r>
          </w:p>
        </w:tc>
        <w:tc>
          <w:tcPr>
            <w:tcW w:w="1325" w:type="dxa"/>
            <w:shd w:val="clear" w:color="000000" w:fill="FFFFFF"/>
            <w:vAlign w:val="center"/>
            <w:hideMark/>
          </w:tcPr>
          <w:p w14:paraId="4450876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100,0</w:t>
            </w:r>
          </w:p>
        </w:tc>
        <w:tc>
          <w:tcPr>
            <w:tcW w:w="1328" w:type="dxa"/>
            <w:shd w:val="clear" w:color="000000" w:fill="FFFFFF"/>
            <w:vAlign w:val="center"/>
            <w:hideMark/>
          </w:tcPr>
          <w:p w14:paraId="6068613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99,9</w:t>
            </w:r>
          </w:p>
        </w:tc>
      </w:tr>
      <w:tr w:rsidR="00C44070" w:rsidRPr="0035219D" w14:paraId="2DCF004A" w14:textId="77777777" w:rsidTr="0035219D">
        <w:trPr>
          <w:trHeight w:val="300"/>
          <w:jc w:val="center"/>
        </w:trPr>
        <w:tc>
          <w:tcPr>
            <w:tcW w:w="2489" w:type="dxa"/>
            <w:shd w:val="clear" w:color="auto" w:fill="9CC2E5" w:themeFill="accent1" w:themeFillTint="99"/>
            <w:vAlign w:val="center"/>
            <w:hideMark/>
          </w:tcPr>
          <w:p w14:paraId="66D9622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ustęp spłukiwany</w:t>
            </w:r>
          </w:p>
        </w:tc>
        <w:tc>
          <w:tcPr>
            <w:tcW w:w="1318" w:type="dxa"/>
            <w:shd w:val="clear" w:color="000000" w:fill="FFFFFF"/>
            <w:vAlign w:val="center"/>
            <w:hideMark/>
          </w:tcPr>
          <w:p w14:paraId="3C9828D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99,3</w:t>
            </w:r>
          </w:p>
        </w:tc>
        <w:tc>
          <w:tcPr>
            <w:tcW w:w="1411" w:type="dxa"/>
            <w:shd w:val="clear" w:color="000000" w:fill="FFFFFF"/>
            <w:vAlign w:val="center"/>
            <w:hideMark/>
          </w:tcPr>
          <w:p w14:paraId="3462DD4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99,1</w:t>
            </w:r>
          </w:p>
        </w:tc>
        <w:tc>
          <w:tcPr>
            <w:tcW w:w="1318" w:type="dxa"/>
            <w:shd w:val="clear" w:color="000000" w:fill="FFFFFF"/>
            <w:vAlign w:val="center"/>
            <w:hideMark/>
          </w:tcPr>
          <w:p w14:paraId="4FCFB03A"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99,1</w:t>
            </w:r>
          </w:p>
        </w:tc>
        <w:tc>
          <w:tcPr>
            <w:tcW w:w="1325" w:type="dxa"/>
            <w:shd w:val="clear" w:color="000000" w:fill="FFFFFF"/>
            <w:vAlign w:val="center"/>
            <w:hideMark/>
          </w:tcPr>
          <w:p w14:paraId="6DA88D3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98,8</w:t>
            </w:r>
          </w:p>
        </w:tc>
        <w:tc>
          <w:tcPr>
            <w:tcW w:w="1328" w:type="dxa"/>
            <w:shd w:val="clear" w:color="000000" w:fill="FFFFFF"/>
            <w:vAlign w:val="center"/>
            <w:hideMark/>
          </w:tcPr>
          <w:p w14:paraId="763D6EC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99,6</w:t>
            </w:r>
          </w:p>
        </w:tc>
      </w:tr>
      <w:tr w:rsidR="00C44070" w:rsidRPr="0035219D" w14:paraId="66145D2F" w14:textId="77777777" w:rsidTr="0035219D">
        <w:trPr>
          <w:trHeight w:val="300"/>
          <w:jc w:val="center"/>
        </w:trPr>
        <w:tc>
          <w:tcPr>
            <w:tcW w:w="2489" w:type="dxa"/>
            <w:shd w:val="clear" w:color="auto" w:fill="9CC2E5" w:themeFill="accent1" w:themeFillTint="99"/>
            <w:vAlign w:val="center"/>
            <w:hideMark/>
          </w:tcPr>
          <w:p w14:paraId="794ADB70"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łazienkę</w:t>
            </w:r>
          </w:p>
        </w:tc>
        <w:tc>
          <w:tcPr>
            <w:tcW w:w="1318" w:type="dxa"/>
            <w:shd w:val="clear" w:color="000000" w:fill="FFFFFF"/>
            <w:vAlign w:val="center"/>
            <w:hideMark/>
          </w:tcPr>
          <w:p w14:paraId="47D15F9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99,0</w:t>
            </w:r>
          </w:p>
        </w:tc>
        <w:tc>
          <w:tcPr>
            <w:tcW w:w="1411" w:type="dxa"/>
            <w:shd w:val="clear" w:color="000000" w:fill="FFFFFF"/>
            <w:vAlign w:val="center"/>
            <w:hideMark/>
          </w:tcPr>
          <w:p w14:paraId="464DAA5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98,6</w:t>
            </w:r>
          </w:p>
        </w:tc>
        <w:tc>
          <w:tcPr>
            <w:tcW w:w="1318" w:type="dxa"/>
            <w:shd w:val="clear" w:color="000000" w:fill="FFFFFF"/>
            <w:vAlign w:val="center"/>
            <w:hideMark/>
          </w:tcPr>
          <w:p w14:paraId="2C8C3D5F"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98,7</w:t>
            </w:r>
          </w:p>
        </w:tc>
        <w:tc>
          <w:tcPr>
            <w:tcW w:w="1325" w:type="dxa"/>
            <w:shd w:val="clear" w:color="000000" w:fill="FFFFFF"/>
            <w:vAlign w:val="center"/>
            <w:hideMark/>
          </w:tcPr>
          <w:p w14:paraId="1B1B2BB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98,0</w:t>
            </w:r>
          </w:p>
        </w:tc>
        <w:tc>
          <w:tcPr>
            <w:tcW w:w="1328" w:type="dxa"/>
            <w:shd w:val="clear" w:color="000000" w:fill="FFFFFF"/>
            <w:vAlign w:val="center"/>
            <w:hideMark/>
          </w:tcPr>
          <w:p w14:paraId="7C69133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99,5</w:t>
            </w:r>
          </w:p>
        </w:tc>
      </w:tr>
      <w:tr w:rsidR="00C44070" w:rsidRPr="0035219D" w14:paraId="29D57F6C" w14:textId="77777777" w:rsidTr="0035219D">
        <w:trPr>
          <w:trHeight w:val="300"/>
          <w:jc w:val="center"/>
        </w:trPr>
        <w:tc>
          <w:tcPr>
            <w:tcW w:w="2489" w:type="dxa"/>
            <w:shd w:val="clear" w:color="auto" w:fill="9CC2E5" w:themeFill="accent1" w:themeFillTint="99"/>
            <w:vAlign w:val="center"/>
            <w:hideMark/>
          </w:tcPr>
          <w:p w14:paraId="3647B34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ciepłą wodę bieżącą</w:t>
            </w:r>
          </w:p>
        </w:tc>
        <w:tc>
          <w:tcPr>
            <w:tcW w:w="1318" w:type="dxa"/>
            <w:shd w:val="clear" w:color="000000" w:fill="FFFFFF"/>
            <w:vAlign w:val="center"/>
            <w:hideMark/>
          </w:tcPr>
          <w:p w14:paraId="77B6B25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99,5</w:t>
            </w:r>
          </w:p>
        </w:tc>
        <w:tc>
          <w:tcPr>
            <w:tcW w:w="1411" w:type="dxa"/>
            <w:shd w:val="clear" w:color="000000" w:fill="FFFFFF"/>
            <w:vAlign w:val="center"/>
            <w:hideMark/>
          </w:tcPr>
          <w:p w14:paraId="36E5A3B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99,1</w:t>
            </w:r>
          </w:p>
        </w:tc>
        <w:tc>
          <w:tcPr>
            <w:tcW w:w="1318" w:type="dxa"/>
            <w:shd w:val="clear" w:color="000000" w:fill="FFFFFF"/>
            <w:vAlign w:val="center"/>
            <w:hideMark/>
          </w:tcPr>
          <w:p w14:paraId="22C6FFD9"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99,2</w:t>
            </w:r>
          </w:p>
        </w:tc>
        <w:tc>
          <w:tcPr>
            <w:tcW w:w="1325" w:type="dxa"/>
            <w:shd w:val="clear" w:color="000000" w:fill="FFFFFF"/>
            <w:vAlign w:val="center"/>
            <w:hideMark/>
          </w:tcPr>
          <w:p w14:paraId="4751E32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98,8</w:t>
            </w:r>
          </w:p>
        </w:tc>
        <w:tc>
          <w:tcPr>
            <w:tcW w:w="1328" w:type="dxa"/>
            <w:shd w:val="clear" w:color="000000" w:fill="FFFFFF"/>
            <w:vAlign w:val="center"/>
            <w:hideMark/>
          </w:tcPr>
          <w:p w14:paraId="2B8509C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99,7</w:t>
            </w:r>
          </w:p>
        </w:tc>
      </w:tr>
      <w:tr w:rsidR="00C44070" w:rsidRPr="0035219D" w14:paraId="5265805F" w14:textId="77777777" w:rsidTr="0035219D">
        <w:trPr>
          <w:trHeight w:val="300"/>
          <w:jc w:val="center"/>
        </w:trPr>
        <w:tc>
          <w:tcPr>
            <w:tcW w:w="2489" w:type="dxa"/>
            <w:shd w:val="clear" w:color="auto" w:fill="9CC2E5" w:themeFill="accent1" w:themeFillTint="99"/>
            <w:vAlign w:val="center"/>
            <w:hideMark/>
          </w:tcPr>
          <w:p w14:paraId="7E86216E"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gaz</w:t>
            </w:r>
          </w:p>
        </w:tc>
        <w:tc>
          <w:tcPr>
            <w:tcW w:w="1318" w:type="dxa"/>
            <w:shd w:val="clear" w:color="000000" w:fill="FFFFFF"/>
            <w:vAlign w:val="center"/>
            <w:hideMark/>
          </w:tcPr>
          <w:p w14:paraId="7ABD78E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82,2</w:t>
            </w:r>
          </w:p>
        </w:tc>
        <w:tc>
          <w:tcPr>
            <w:tcW w:w="1411" w:type="dxa"/>
            <w:shd w:val="clear" w:color="000000" w:fill="FFFFFF"/>
            <w:vAlign w:val="center"/>
            <w:hideMark/>
          </w:tcPr>
          <w:p w14:paraId="51D5725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92,8</w:t>
            </w:r>
          </w:p>
        </w:tc>
        <w:tc>
          <w:tcPr>
            <w:tcW w:w="1318" w:type="dxa"/>
            <w:shd w:val="clear" w:color="000000" w:fill="FFFFFF"/>
            <w:vAlign w:val="center"/>
            <w:hideMark/>
          </w:tcPr>
          <w:p w14:paraId="048F7342"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92,9</w:t>
            </w:r>
          </w:p>
        </w:tc>
        <w:tc>
          <w:tcPr>
            <w:tcW w:w="1325" w:type="dxa"/>
            <w:shd w:val="clear" w:color="000000" w:fill="FFFFFF"/>
            <w:vAlign w:val="center"/>
            <w:hideMark/>
          </w:tcPr>
          <w:p w14:paraId="0E4558B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92,6</w:t>
            </w:r>
          </w:p>
        </w:tc>
        <w:tc>
          <w:tcPr>
            <w:tcW w:w="1328" w:type="dxa"/>
            <w:shd w:val="clear" w:color="000000" w:fill="FFFFFF"/>
            <w:vAlign w:val="center"/>
            <w:hideMark/>
          </w:tcPr>
          <w:p w14:paraId="156803C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93,2</w:t>
            </w:r>
          </w:p>
        </w:tc>
      </w:tr>
      <w:tr w:rsidR="00C44070" w:rsidRPr="0035219D" w14:paraId="46F1D2B6" w14:textId="77777777" w:rsidTr="0035219D">
        <w:trPr>
          <w:trHeight w:val="300"/>
          <w:jc w:val="center"/>
        </w:trPr>
        <w:tc>
          <w:tcPr>
            <w:tcW w:w="2489" w:type="dxa"/>
            <w:shd w:val="clear" w:color="auto" w:fill="9CC2E5" w:themeFill="accent1" w:themeFillTint="99"/>
            <w:vAlign w:val="center"/>
            <w:hideMark/>
          </w:tcPr>
          <w:p w14:paraId="1AFA9441"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gaz z sieci</w:t>
            </w:r>
          </w:p>
        </w:tc>
        <w:tc>
          <w:tcPr>
            <w:tcW w:w="1318" w:type="dxa"/>
            <w:shd w:val="clear" w:color="000000" w:fill="FFFFFF"/>
            <w:vAlign w:val="center"/>
            <w:hideMark/>
          </w:tcPr>
          <w:p w14:paraId="1A164FF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66,8</w:t>
            </w:r>
          </w:p>
        </w:tc>
        <w:tc>
          <w:tcPr>
            <w:tcW w:w="1411" w:type="dxa"/>
            <w:shd w:val="clear" w:color="000000" w:fill="FFFFFF"/>
            <w:vAlign w:val="center"/>
            <w:hideMark/>
          </w:tcPr>
          <w:p w14:paraId="6507769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75,7</w:t>
            </w:r>
          </w:p>
        </w:tc>
        <w:tc>
          <w:tcPr>
            <w:tcW w:w="1318" w:type="dxa"/>
            <w:shd w:val="clear" w:color="000000" w:fill="FFFFFF"/>
            <w:vAlign w:val="center"/>
            <w:hideMark/>
          </w:tcPr>
          <w:p w14:paraId="6A5DB5AE"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77,4</w:t>
            </w:r>
          </w:p>
        </w:tc>
        <w:tc>
          <w:tcPr>
            <w:tcW w:w="1325" w:type="dxa"/>
            <w:shd w:val="clear" w:color="000000" w:fill="FFFFFF"/>
            <w:vAlign w:val="center"/>
            <w:hideMark/>
          </w:tcPr>
          <w:p w14:paraId="280FB5D8"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76,6</w:t>
            </w:r>
          </w:p>
        </w:tc>
        <w:tc>
          <w:tcPr>
            <w:tcW w:w="1328" w:type="dxa"/>
            <w:shd w:val="clear" w:color="000000" w:fill="FFFFFF"/>
            <w:vAlign w:val="center"/>
            <w:hideMark/>
          </w:tcPr>
          <w:p w14:paraId="7DBFECF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78,4</w:t>
            </w:r>
          </w:p>
        </w:tc>
      </w:tr>
      <w:tr w:rsidR="00C44070" w:rsidRPr="0035219D" w14:paraId="02CCDAA0" w14:textId="77777777" w:rsidTr="0035219D">
        <w:trPr>
          <w:trHeight w:val="300"/>
          <w:jc w:val="center"/>
        </w:trPr>
        <w:tc>
          <w:tcPr>
            <w:tcW w:w="2489" w:type="dxa"/>
            <w:shd w:val="clear" w:color="auto" w:fill="9CC2E5" w:themeFill="accent1" w:themeFillTint="99"/>
            <w:vAlign w:val="center"/>
            <w:hideMark/>
          </w:tcPr>
          <w:p w14:paraId="462D5F04"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gaz z butli</w:t>
            </w:r>
          </w:p>
        </w:tc>
        <w:tc>
          <w:tcPr>
            <w:tcW w:w="1318" w:type="dxa"/>
            <w:shd w:val="clear" w:color="000000" w:fill="FFFFFF"/>
            <w:vAlign w:val="center"/>
            <w:hideMark/>
          </w:tcPr>
          <w:p w14:paraId="55A3008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15,4</w:t>
            </w:r>
          </w:p>
        </w:tc>
        <w:tc>
          <w:tcPr>
            <w:tcW w:w="1411" w:type="dxa"/>
            <w:shd w:val="clear" w:color="000000" w:fill="FFFFFF"/>
            <w:vAlign w:val="center"/>
            <w:hideMark/>
          </w:tcPr>
          <w:p w14:paraId="69593B3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17,2</w:t>
            </w:r>
          </w:p>
        </w:tc>
        <w:tc>
          <w:tcPr>
            <w:tcW w:w="1318" w:type="dxa"/>
            <w:shd w:val="clear" w:color="000000" w:fill="FFFFFF"/>
            <w:vAlign w:val="center"/>
            <w:hideMark/>
          </w:tcPr>
          <w:p w14:paraId="1F40F7C9"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15,4</w:t>
            </w:r>
          </w:p>
        </w:tc>
        <w:tc>
          <w:tcPr>
            <w:tcW w:w="1325" w:type="dxa"/>
            <w:shd w:val="clear" w:color="000000" w:fill="FFFFFF"/>
            <w:vAlign w:val="center"/>
            <w:hideMark/>
          </w:tcPr>
          <w:p w14:paraId="1A6E8ED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16,0</w:t>
            </w:r>
          </w:p>
        </w:tc>
        <w:tc>
          <w:tcPr>
            <w:tcW w:w="1328" w:type="dxa"/>
            <w:shd w:val="clear" w:color="000000" w:fill="FFFFFF"/>
            <w:vAlign w:val="center"/>
            <w:hideMark/>
          </w:tcPr>
          <w:p w14:paraId="1E6AD07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14,8</w:t>
            </w:r>
          </w:p>
        </w:tc>
      </w:tr>
      <w:tr w:rsidR="00C44070" w:rsidRPr="0035219D" w14:paraId="5E69D179" w14:textId="77777777" w:rsidTr="0035219D">
        <w:trPr>
          <w:trHeight w:val="300"/>
          <w:jc w:val="center"/>
        </w:trPr>
        <w:tc>
          <w:tcPr>
            <w:tcW w:w="2489" w:type="dxa"/>
            <w:shd w:val="clear" w:color="auto" w:fill="9CC2E5" w:themeFill="accent1" w:themeFillTint="99"/>
            <w:vAlign w:val="center"/>
            <w:hideMark/>
          </w:tcPr>
          <w:p w14:paraId="07EBDAB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klimatyzację</w:t>
            </w:r>
          </w:p>
        </w:tc>
        <w:tc>
          <w:tcPr>
            <w:tcW w:w="1318" w:type="dxa"/>
            <w:shd w:val="clear" w:color="000000" w:fill="FFFFFF"/>
            <w:vAlign w:val="center"/>
            <w:hideMark/>
          </w:tcPr>
          <w:p w14:paraId="7E33110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3,0</w:t>
            </w:r>
          </w:p>
        </w:tc>
        <w:tc>
          <w:tcPr>
            <w:tcW w:w="1411" w:type="dxa"/>
            <w:shd w:val="clear" w:color="000000" w:fill="FFFFFF"/>
            <w:vAlign w:val="center"/>
            <w:hideMark/>
          </w:tcPr>
          <w:p w14:paraId="082102E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w:t>
            </w:r>
          </w:p>
        </w:tc>
        <w:tc>
          <w:tcPr>
            <w:tcW w:w="1318" w:type="dxa"/>
            <w:shd w:val="clear" w:color="000000" w:fill="FFFFFF"/>
            <w:vAlign w:val="center"/>
            <w:hideMark/>
          </w:tcPr>
          <w:p w14:paraId="7578A8C9"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w:t>
            </w:r>
          </w:p>
        </w:tc>
        <w:tc>
          <w:tcPr>
            <w:tcW w:w="1325" w:type="dxa"/>
            <w:shd w:val="clear" w:color="000000" w:fill="FFFFFF"/>
            <w:vAlign w:val="center"/>
            <w:hideMark/>
          </w:tcPr>
          <w:p w14:paraId="30F01D8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1,3</w:t>
            </w:r>
          </w:p>
        </w:tc>
        <w:tc>
          <w:tcPr>
            <w:tcW w:w="1328" w:type="dxa"/>
            <w:shd w:val="clear" w:color="000000" w:fill="FFFFFF"/>
            <w:vAlign w:val="center"/>
            <w:hideMark/>
          </w:tcPr>
          <w:p w14:paraId="06AAB83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w:t>
            </w:r>
          </w:p>
        </w:tc>
      </w:tr>
      <w:tr w:rsidR="00C44070" w:rsidRPr="0035219D" w14:paraId="14D8F5A6" w14:textId="77777777" w:rsidTr="0035219D">
        <w:trPr>
          <w:trHeight w:val="300"/>
          <w:jc w:val="center"/>
        </w:trPr>
        <w:tc>
          <w:tcPr>
            <w:tcW w:w="2489" w:type="dxa"/>
            <w:shd w:val="clear" w:color="auto" w:fill="9CC2E5" w:themeFill="accent1" w:themeFillTint="99"/>
            <w:vAlign w:val="center"/>
            <w:hideMark/>
          </w:tcPr>
          <w:p w14:paraId="1C95F157"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ogrzewanie centralne</w:t>
            </w:r>
          </w:p>
        </w:tc>
        <w:tc>
          <w:tcPr>
            <w:tcW w:w="1318" w:type="dxa"/>
            <w:shd w:val="clear" w:color="000000" w:fill="FFFFFF"/>
            <w:vAlign w:val="center"/>
            <w:hideMark/>
          </w:tcPr>
          <w:p w14:paraId="3F585D0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87,4</w:t>
            </w:r>
          </w:p>
        </w:tc>
        <w:tc>
          <w:tcPr>
            <w:tcW w:w="1411" w:type="dxa"/>
            <w:shd w:val="clear" w:color="000000" w:fill="FFFFFF"/>
            <w:vAlign w:val="center"/>
            <w:hideMark/>
          </w:tcPr>
          <w:p w14:paraId="3BF6189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87,3</w:t>
            </w:r>
          </w:p>
        </w:tc>
        <w:tc>
          <w:tcPr>
            <w:tcW w:w="1318" w:type="dxa"/>
            <w:shd w:val="clear" w:color="000000" w:fill="FFFFFF"/>
            <w:vAlign w:val="center"/>
            <w:hideMark/>
          </w:tcPr>
          <w:p w14:paraId="6B19DEB3"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88,8</w:t>
            </w:r>
          </w:p>
        </w:tc>
        <w:tc>
          <w:tcPr>
            <w:tcW w:w="1325" w:type="dxa"/>
            <w:shd w:val="clear" w:color="000000" w:fill="FFFFFF"/>
            <w:vAlign w:val="center"/>
            <w:hideMark/>
          </w:tcPr>
          <w:p w14:paraId="5A81594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87,8</w:t>
            </w:r>
          </w:p>
        </w:tc>
        <w:tc>
          <w:tcPr>
            <w:tcW w:w="1328" w:type="dxa"/>
            <w:shd w:val="clear" w:color="000000" w:fill="FFFFFF"/>
            <w:vAlign w:val="center"/>
            <w:hideMark/>
          </w:tcPr>
          <w:p w14:paraId="2F4C154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89,8</w:t>
            </w:r>
          </w:p>
        </w:tc>
      </w:tr>
      <w:tr w:rsidR="00C44070" w:rsidRPr="0035219D" w14:paraId="70B531C1" w14:textId="77777777" w:rsidTr="0035219D">
        <w:trPr>
          <w:trHeight w:val="300"/>
          <w:jc w:val="center"/>
        </w:trPr>
        <w:tc>
          <w:tcPr>
            <w:tcW w:w="2489" w:type="dxa"/>
            <w:shd w:val="clear" w:color="auto" w:fill="9CC2E5" w:themeFill="accent1" w:themeFillTint="99"/>
            <w:vAlign w:val="center"/>
            <w:hideMark/>
          </w:tcPr>
          <w:p w14:paraId="6254A543"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piece </w:t>
            </w:r>
          </w:p>
        </w:tc>
        <w:tc>
          <w:tcPr>
            <w:tcW w:w="1318" w:type="dxa"/>
            <w:shd w:val="clear" w:color="000000" w:fill="FFFFFF"/>
            <w:vAlign w:val="center"/>
            <w:hideMark/>
          </w:tcPr>
          <w:p w14:paraId="6454F1E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12,5</w:t>
            </w:r>
          </w:p>
        </w:tc>
        <w:tc>
          <w:tcPr>
            <w:tcW w:w="1411" w:type="dxa"/>
            <w:shd w:val="clear" w:color="000000" w:fill="FFFFFF"/>
            <w:vAlign w:val="center"/>
            <w:hideMark/>
          </w:tcPr>
          <w:p w14:paraId="29D005D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12,6</w:t>
            </w:r>
          </w:p>
        </w:tc>
        <w:tc>
          <w:tcPr>
            <w:tcW w:w="1318" w:type="dxa"/>
            <w:shd w:val="clear" w:color="000000" w:fill="FFFFFF"/>
            <w:vAlign w:val="center"/>
            <w:hideMark/>
          </w:tcPr>
          <w:p w14:paraId="2C7D501E"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11,2</w:t>
            </w:r>
          </w:p>
        </w:tc>
        <w:tc>
          <w:tcPr>
            <w:tcW w:w="1325" w:type="dxa"/>
            <w:shd w:val="clear" w:color="000000" w:fill="FFFFFF"/>
            <w:vAlign w:val="center"/>
            <w:hideMark/>
          </w:tcPr>
          <w:p w14:paraId="5E775328"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12,1</w:t>
            </w:r>
          </w:p>
        </w:tc>
        <w:tc>
          <w:tcPr>
            <w:tcW w:w="1328" w:type="dxa"/>
            <w:shd w:val="clear" w:color="000000" w:fill="FFFFFF"/>
            <w:vAlign w:val="center"/>
            <w:hideMark/>
          </w:tcPr>
          <w:p w14:paraId="22BE119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10,1</w:t>
            </w:r>
          </w:p>
        </w:tc>
      </w:tr>
      <w:tr w:rsidR="00C44070" w:rsidRPr="0035219D" w14:paraId="06D95F49" w14:textId="77777777" w:rsidTr="0035219D">
        <w:trPr>
          <w:trHeight w:val="990"/>
          <w:jc w:val="center"/>
        </w:trPr>
        <w:tc>
          <w:tcPr>
            <w:tcW w:w="2489" w:type="dxa"/>
            <w:shd w:val="clear" w:color="auto" w:fill="9CC2E5" w:themeFill="accent1" w:themeFillTint="99"/>
            <w:vAlign w:val="center"/>
            <w:hideMark/>
          </w:tcPr>
          <w:p w14:paraId="7242B4E4"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Przeciętna powierzchnia użytkowa mieszkania zajmowana przez gosp. domowe w m</w:t>
            </w:r>
            <w:r w:rsidRPr="00342041">
              <w:rPr>
                <w:rFonts w:ascii="Times New Roman" w:eastAsia="Times New Roman" w:hAnsi="Times New Roman" w:cs="Times New Roman"/>
                <w:b/>
                <w:color w:val="000000"/>
                <w:sz w:val="20"/>
                <w:szCs w:val="20"/>
                <w:vertAlign w:val="superscript"/>
                <w:lang w:eastAsia="pl-PL"/>
              </w:rPr>
              <w:t>2</w:t>
            </w:r>
            <w:r w:rsidRPr="00342041">
              <w:rPr>
                <w:rFonts w:ascii="Times New Roman" w:eastAsia="Times New Roman" w:hAnsi="Times New Roman" w:cs="Times New Roman"/>
                <w:b/>
                <w:color w:val="000000"/>
                <w:sz w:val="20"/>
                <w:szCs w:val="20"/>
                <w:lang w:eastAsia="pl-PL"/>
              </w:rPr>
              <w:t xml:space="preserve"> na 1 gospodarstwo domowe</w:t>
            </w:r>
          </w:p>
        </w:tc>
        <w:tc>
          <w:tcPr>
            <w:tcW w:w="1318" w:type="dxa"/>
            <w:shd w:val="clear" w:color="000000" w:fill="FFFFFF"/>
            <w:vAlign w:val="center"/>
            <w:hideMark/>
          </w:tcPr>
          <w:p w14:paraId="042291B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66,11</w:t>
            </w:r>
          </w:p>
        </w:tc>
        <w:tc>
          <w:tcPr>
            <w:tcW w:w="1411" w:type="dxa"/>
            <w:shd w:val="clear" w:color="000000" w:fill="FFFFFF"/>
            <w:vAlign w:val="center"/>
            <w:hideMark/>
          </w:tcPr>
          <w:p w14:paraId="3D3D72F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68,63</w:t>
            </w:r>
          </w:p>
        </w:tc>
        <w:tc>
          <w:tcPr>
            <w:tcW w:w="1318" w:type="dxa"/>
            <w:shd w:val="clear" w:color="000000" w:fill="FFFFFF"/>
            <w:vAlign w:val="center"/>
            <w:hideMark/>
          </w:tcPr>
          <w:p w14:paraId="79718616"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62,48</w:t>
            </w:r>
          </w:p>
        </w:tc>
        <w:tc>
          <w:tcPr>
            <w:tcW w:w="1325" w:type="dxa"/>
            <w:shd w:val="clear" w:color="000000" w:fill="FFFFFF"/>
            <w:vAlign w:val="center"/>
            <w:hideMark/>
          </w:tcPr>
          <w:p w14:paraId="1331F7F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54,21</w:t>
            </w:r>
          </w:p>
        </w:tc>
        <w:tc>
          <w:tcPr>
            <w:tcW w:w="1328" w:type="dxa"/>
            <w:shd w:val="clear" w:color="000000" w:fill="FFFFFF"/>
            <w:vAlign w:val="center"/>
            <w:hideMark/>
          </w:tcPr>
          <w:p w14:paraId="7F01E5C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71,9</w:t>
            </w:r>
          </w:p>
        </w:tc>
      </w:tr>
      <w:tr w:rsidR="00C44070" w:rsidRPr="0035219D" w14:paraId="337EC2A7" w14:textId="77777777" w:rsidTr="0035219D">
        <w:trPr>
          <w:trHeight w:val="332"/>
          <w:jc w:val="center"/>
        </w:trPr>
        <w:tc>
          <w:tcPr>
            <w:tcW w:w="9189" w:type="dxa"/>
            <w:gridSpan w:val="6"/>
            <w:shd w:val="clear" w:color="auto" w:fill="auto"/>
            <w:vAlign w:val="center"/>
            <w:hideMark/>
          </w:tcPr>
          <w:p w14:paraId="5C293262" w14:textId="77777777" w:rsidR="00C44070" w:rsidRPr="00342041" w:rsidRDefault="00C44070" w:rsidP="0035219D">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WIEŚ</w:t>
            </w:r>
          </w:p>
        </w:tc>
      </w:tr>
      <w:tr w:rsidR="00C44070" w:rsidRPr="0035219D" w14:paraId="03A2E412" w14:textId="77777777" w:rsidTr="0035219D">
        <w:trPr>
          <w:trHeight w:val="300"/>
          <w:jc w:val="center"/>
        </w:trPr>
        <w:tc>
          <w:tcPr>
            <w:tcW w:w="2489" w:type="dxa"/>
            <w:shd w:val="clear" w:color="auto" w:fill="9CC2E5" w:themeFill="accent1" w:themeFillTint="99"/>
            <w:noWrap/>
            <w:vAlign w:val="center"/>
            <w:hideMark/>
          </w:tcPr>
          <w:p w14:paraId="20FE4D79" w14:textId="77777777" w:rsidR="00C44070" w:rsidRPr="00342041" w:rsidRDefault="00C44070" w:rsidP="0035219D">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Ogółem </w:t>
            </w:r>
          </w:p>
        </w:tc>
        <w:tc>
          <w:tcPr>
            <w:tcW w:w="1318" w:type="dxa"/>
            <w:shd w:val="clear" w:color="000000" w:fill="FFFFFF"/>
            <w:vAlign w:val="center"/>
            <w:hideMark/>
          </w:tcPr>
          <w:p w14:paraId="56EED566"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411" w:type="dxa"/>
            <w:shd w:val="clear" w:color="000000" w:fill="FFFFFF"/>
            <w:vAlign w:val="center"/>
            <w:hideMark/>
          </w:tcPr>
          <w:p w14:paraId="237D9DF9"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18" w:type="dxa"/>
            <w:shd w:val="clear" w:color="000000" w:fill="FFFFFF"/>
            <w:vAlign w:val="center"/>
            <w:hideMark/>
          </w:tcPr>
          <w:p w14:paraId="25220CDC" w14:textId="77777777" w:rsidR="00C44070" w:rsidRPr="00342041" w:rsidRDefault="00C44070" w:rsidP="0035219D">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100,0</w:t>
            </w:r>
          </w:p>
        </w:tc>
        <w:tc>
          <w:tcPr>
            <w:tcW w:w="1325" w:type="dxa"/>
            <w:shd w:val="clear" w:color="000000" w:fill="FFFFFF"/>
            <w:vAlign w:val="center"/>
            <w:hideMark/>
          </w:tcPr>
          <w:p w14:paraId="26541EA1"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c>
          <w:tcPr>
            <w:tcW w:w="1328" w:type="dxa"/>
            <w:shd w:val="clear" w:color="000000" w:fill="FFFFFF"/>
            <w:vAlign w:val="center"/>
            <w:hideMark/>
          </w:tcPr>
          <w:p w14:paraId="0427BDA4" w14:textId="77777777" w:rsidR="00C44070" w:rsidRPr="00342041" w:rsidRDefault="00C44070" w:rsidP="0035219D">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100,0</w:t>
            </w:r>
          </w:p>
        </w:tc>
      </w:tr>
      <w:tr w:rsidR="00C44070" w:rsidRPr="0035219D" w14:paraId="49961CDC" w14:textId="77777777" w:rsidTr="0035219D">
        <w:trPr>
          <w:trHeight w:val="300"/>
          <w:jc w:val="center"/>
        </w:trPr>
        <w:tc>
          <w:tcPr>
            <w:tcW w:w="2489" w:type="dxa"/>
            <w:shd w:val="clear" w:color="auto" w:fill="9CC2E5" w:themeFill="accent1" w:themeFillTint="99"/>
            <w:vAlign w:val="center"/>
            <w:hideMark/>
          </w:tcPr>
          <w:p w14:paraId="1B142F74"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Rodzaj budynku:                   </w:t>
            </w:r>
          </w:p>
        </w:tc>
        <w:tc>
          <w:tcPr>
            <w:tcW w:w="1318" w:type="dxa"/>
            <w:shd w:val="clear" w:color="000000" w:fill="FFFFFF"/>
            <w:vAlign w:val="center"/>
            <w:hideMark/>
          </w:tcPr>
          <w:p w14:paraId="706D2F5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411" w:type="dxa"/>
            <w:shd w:val="clear" w:color="000000" w:fill="FFFFFF"/>
            <w:vAlign w:val="center"/>
            <w:hideMark/>
          </w:tcPr>
          <w:p w14:paraId="27BEBB6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18" w:type="dxa"/>
            <w:shd w:val="clear" w:color="000000" w:fill="FFFFFF"/>
            <w:vAlign w:val="center"/>
            <w:hideMark/>
          </w:tcPr>
          <w:p w14:paraId="5B295116"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p>
        </w:tc>
        <w:tc>
          <w:tcPr>
            <w:tcW w:w="1325" w:type="dxa"/>
            <w:shd w:val="clear" w:color="000000" w:fill="FFFFFF"/>
            <w:vAlign w:val="center"/>
            <w:hideMark/>
          </w:tcPr>
          <w:p w14:paraId="5B18A8E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28" w:type="dxa"/>
            <w:shd w:val="clear" w:color="000000" w:fill="FFFFFF"/>
            <w:vAlign w:val="center"/>
            <w:hideMark/>
          </w:tcPr>
          <w:p w14:paraId="5C15C0E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r>
      <w:tr w:rsidR="00C44070" w:rsidRPr="0035219D" w14:paraId="6E7C1F13" w14:textId="77777777" w:rsidTr="0035219D">
        <w:trPr>
          <w:trHeight w:val="300"/>
          <w:jc w:val="center"/>
        </w:trPr>
        <w:tc>
          <w:tcPr>
            <w:tcW w:w="2489" w:type="dxa"/>
            <w:shd w:val="clear" w:color="auto" w:fill="9CC2E5" w:themeFill="accent1" w:themeFillTint="99"/>
            <w:vAlign w:val="center"/>
            <w:hideMark/>
          </w:tcPr>
          <w:p w14:paraId="1EDDED94" w14:textId="77777777" w:rsidR="00C44070" w:rsidRPr="00342041" w:rsidRDefault="00094325"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b</w:t>
            </w:r>
            <w:r w:rsidR="00C44070" w:rsidRPr="00342041">
              <w:rPr>
                <w:rFonts w:ascii="Times New Roman" w:eastAsia="Times New Roman" w:hAnsi="Times New Roman" w:cs="Times New Roman"/>
                <w:b/>
                <w:color w:val="000000"/>
                <w:sz w:val="20"/>
                <w:szCs w:val="20"/>
                <w:lang w:eastAsia="pl-PL"/>
              </w:rPr>
              <w:t>udynek wielorodzinny</w:t>
            </w:r>
          </w:p>
        </w:tc>
        <w:tc>
          <w:tcPr>
            <w:tcW w:w="1318" w:type="dxa"/>
            <w:shd w:val="clear" w:color="000000" w:fill="FFFFFF"/>
            <w:vAlign w:val="center"/>
            <w:hideMark/>
          </w:tcPr>
          <w:p w14:paraId="42F00F7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12,6</w:t>
            </w:r>
          </w:p>
        </w:tc>
        <w:tc>
          <w:tcPr>
            <w:tcW w:w="1411" w:type="dxa"/>
            <w:shd w:val="clear" w:color="000000" w:fill="FFFFFF"/>
            <w:vAlign w:val="center"/>
            <w:hideMark/>
          </w:tcPr>
          <w:p w14:paraId="0E8D699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10,3</w:t>
            </w:r>
          </w:p>
        </w:tc>
        <w:tc>
          <w:tcPr>
            <w:tcW w:w="1318" w:type="dxa"/>
            <w:shd w:val="clear" w:color="000000" w:fill="FFFFFF"/>
            <w:vAlign w:val="center"/>
            <w:hideMark/>
          </w:tcPr>
          <w:p w14:paraId="6218DC9C"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13,9</w:t>
            </w:r>
          </w:p>
        </w:tc>
        <w:tc>
          <w:tcPr>
            <w:tcW w:w="1325" w:type="dxa"/>
            <w:shd w:val="clear" w:color="000000" w:fill="FFFFFF"/>
            <w:vAlign w:val="center"/>
            <w:hideMark/>
          </w:tcPr>
          <w:p w14:paraId="6ED4383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16,0</w:t>
            </w:r>
          </w:p>
        </w:tc>
        <w:tc>
          <w:tcPr>
            <w:tcW w:w="1328" w:type="dxa"/>
            <w:shd w:val="clear" w:color="000000" w:fill="FFFFFF"/>
            <w:vAlign w:val="center"/>
            <w:hideMark/>
          </w:tcPr>
          <w:p w14:paraId="5E7CA2B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11,9</w:t>
            </w:r>
          </w:p>
        </w:tc>
      </w:tr>
      <w:tr w:rsidR="00C44070" w:rsidRPr="0035219D" w14:paraId="1B46B464" w14:textId="77777777" w:rsidTr="0035219D">
        <w:trPr>
          <w:trHeight w:val="300"/>
          <w:jc w:val="center"/>
        </w:trPr>
        <w:tc>
          <w:tcPr>
            <w:tcW w:w="2489" w:type="dxa"/>
            <w:shd w:val="clear" w:color="auto" w:fill="9CC2E5" w:themeFill="accent1" w:themeFillTint="99"/>
            <w:vAlign w:val="center"/>
            <w:hideMark/>
          </w:tcPr>
          <w:p w14:paraId="2AC103C1"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dom 1-rodzinny</w:t>
            </w:r>
          </w:p>
        </w:tc>
        <w:tc>
          <w:tcPr>
            <w:tcW w:w="1318" w:type="dxa"/>
            <w:shd w:val="clear" w:color="000000" w:fill="FFFFFF"/>
            <w:vAlign w:val="center"/>
            <w:hideMark/>
          </w:tcPr>
          <w:p w14:paraId="49B9D3A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87,3</w:t>
            </w:r>
          </w:p>
        </w:tc>
        <w:tc>
          <w:tcPr>
            <w:tcW w:w="1411" w:type="dxa"/>
            <w:shd w:val="clear" w:color="000000" w:fill="FFFFFF"/>
            <w:vAlign w:val="center"/>
            <w:hideMark/>
          </w:tcPr>
          <w:p w14:paraId="78F9DE5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89,6</w:t>
            </w:r>
          </w:p>
        </w:tc>
        <w:tc>
          <w:tcPr>
            <w:tcW w:w="1318" w:type="dxa"/>
            <w:shd w:val="clear" w:color="000000" w:fill="FFFFFF"/>
            <w:vAlign w:val="center"/>
            <w:hideMark/>
          </w:tcPr>
          <w:p w14:paraId="24D3E203"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85,8</w:t>
            </w:r>
          </w:p>
        </w:tc>
        <w:tc>
          <w:tcPr>
            <w:tcW w:w="1325" w:type="dxa"/>
            <w:shd w:val="clear" w:color="000000" w:fill="FFFFFF"/>
            <w:vAlign w:val="center"/>
            <w:hideMark/>
          </w:tcPr>
          <w:p w14:paraId="6F92534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83,7</w:t>
            </w:r>
          </w:p>
        </w:tc>
        <w:tc>
          <w:tcPr>
            <w:tcW w:w="1328" w:type="dxa"/>
            <w:shd w:val="clear" w:color="000000" w:fill="FFFFFF"/>
            <w:vAlign w:val="center"/>
            <w:hideMark/>
          </w:tcPr>
          <w:p w14:paraId="5B926C0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87,8</w:t>
            </w:r>
          </w:p>
        </w:tc>
      </w:tr>
      <w:tr w:rsidR="00C44070" w:rsidRPr="0035219D" w14:paraId="65958AD2" w14:textId="77777777" w:rsidTr="0035219D">
        <w:trPr>
          <w:trHeight w:val="300"/>
          <w:jc w:val="center"/>
        </w:trPr>
        <w:tc>
          <w:tcPr>
            <w:tcW w:w="2489" w:type="dxa"/>
            <w:shd w:val="clear" w:color="auto" w:fill="9CC2E5" w:themeFill="accent1" w:themeFillTint="99"/>
            <w:vAlign w:val="center"/>
            <w:hideMark/>
          </w:tcPr>
          <w:p w14:paraId="02831921"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inny</w:t>
            </w:r>
          </w:p>
        </w:tc>
        <w:tc>
          <w:tcPr>
            <w:tcW w:w="1318" w:type="dxa"/>
            <w:shd w:val="clear" w:color="000000" w:fill="FFFFFF"/>
            <w:vAlign w:val="center"/>
            <w:hideMark/>
          </w:tcPr>
          <w:p w14:paraId="7A67AE5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0,2</w:t>
            </w:r>
          </w:p>
        </w:tc>
        <w:tc>
          <w:tcPr>
            <w:tcW w:w="1411" w:type="dxa"/>
            <w:shd w:val="clear" w:color="000000" w:fill="FFFFFF"/>
            <w:vAlign w:val="center"/>
            <w:hideMark/>
          </w:tcPr>
          <w:p w14:paraId="76978DD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0,2</w:t>
            </w:r>
          </w:p>
        </w:tc>
        <w:tc>
          <w:tcPr>
            <w:tcW w:w="1318" w:type="dxa"/>
            <w:shd w:val="clear" w:color="000000" w:fill="FFFFFF"/>
            <w:vAlign w:val="center"/>
            <w:hideMark/>
          </w:tcPr>
          <w:p w14:paraId="2F29E419"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0,3</w:t>
            </w:r>
          </w:p>
        </w:tc>
        <w:tc>
          <w:tcPr>
            <w:tcW w:w="1325" w:type="dxa"/>
            <w:shd w:val="clear" w:color="000000" w:fill="FFFFFF"/>
            <w:vAlign w:val="center"/>
            <w:hideMark/>
          </w:tcPr>
          <w:p w14:paraId="75206F5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0,3</w:t>
            </w:r>
          </w:p>
        </w:tc>
        <w:tc>
          <w:tcPr>
            <w:tcW w:w="1328" w:type="dxa"/>
            <w:shd w:val="clear" w:color="000000" w:fill="FFFFFF"/>
            <w:vAlign w:val="center"/>
            <w:hideMark/>
          </w:tcPr>
          <w:p w14:paraId="785B674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0,3</w:t>
            </w:r>
          </w:p>
        </w:tc>
      </w:tr>
      <w:tr w:rsidR="00C44070" w:rsidRPr="0035219D" w14:paraId="17714D20" w14:textId="77777777" w:rsidTr="0035219D">
        <w:trPr>
          <w:trHeight w:val="300"/>
          <w:jc w:val="center"/>
        </w:trPr>
        <w:tc>
          <w:tcPr>
            <w:tcW w:w="2489" w:type="dxa"/>
            <w:shd w:val="clear" w:color="auto" w:fill="9CC2E5" w:themeFill="accent1" w:themeFillTint="99"/>
            <w:vAlign w:val="center"/>
            <w:hideMark/>
          </w:tcPr>
          <w:p w14:paraId="34FB8284"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Gospodarstwa domowe wyposażone w: </w:t>
            </w:r>
          </w:p>
        </w:tc>
        <w:tc>
          <w:tcPr>
            <w:tcW w:w="1318" w:type="dxa"/>
            <w:shd w:val="clear" w:color="000000" w:fill="FFFFFF"/>
            <w:vAlign w:val="center"/>
            <w:hideMark/>
          </w:tcPr>
          <w:p w14:paraId="2FCACED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411" w:type="dxa"/>
            <w:shd w:val="clear" w:color="000000" w:fill="FFFFFF"/>
            <w:vAlign w:val="center"/>
            <w:hideMark/>
          </w:tcPr>
          <w:p w14:paraId="126D82C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18" w:type="dxa"/>
            <w:shd w:val="clear" w:color="000000" w:fill="FFFFFF"/>
            <w:vAlign w:val="center"/>
            <w:hideMark/>
          </w:tcPr>
          <w:p w14:paraId="0E3F6F2E"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p>
        </w:tc>
        <w:tc>
          <w:tcPr>
            <w:tcW w:w="1325" w:type="dxa"/>
            <w:shd w:val="clear" w:color="000000" w:fill="FFFFFF"/>
            <w:vAlign w:val="center"/>
            <w:hideMark/>
          </w:tcPr>
          <w:p w14:paraId="3298EB7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c>
          <w:tcPr>
            <w:tcW w:w="1328" w:type="dxa"/>
            <w:shd w:val="clear" w:color="000000" w:fill="FFFFFF"/>
            <w:vAlign w:val="center"/>
            <w:hideMark/>
          </w:tcPr>
          <w:p w14:paraId="2F8EE198"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p>
        </w:tc>
      </w:tr>
      <w:tr w:rsidR="00C44070" w:rsidRPr="0035219D" w14:paraId="738DB462" w14:textId="77777777" w:rsidTr="0035219D">
        <w:trPr>
          <w:trHeight w:val="300"/>
          <w:jc w:val="center"/>
        </w:trPr>
        <w:tc>
          <w:tcPr>
            <w:tcW w:w="2489" w:type="dxa"/>
            <w:shd w:val="clear" w:color="auto" w:fill="9CC2E5" w:themeFill="accent1" w:themeFillTint="99"/>
            <w:vAlign w:val="center"/>
            <w:hideMark/>
          </w:tcPr>
          <w:p w14:paraId="70A89459"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wodociąg</w:t>
            </w:r>
          </w:p>
        </w:tc>
        <w:tc>
          <w:tcPr>
            <w:tcW w:w="1318" w:type="dxa"/>
            <w:shd w:val="clear" w:color="000000" w:fill="FFFFFF"/>
            <w:vAlign w:val="center"/>
            <w:hideMark/>
          </w:tcPr>
          <w:p w14:paraId="0E4FFE5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99,8</w:t>
            </w:r>
          </w:p>
        </w:tc>
        <w:tc>
          <w:tcPr>
            <w:tcW w:w="1411" w:type="dxa"/>
            <w:shd w:val="clear" w:color="000000" w:fill="FFFFFF"/>
            <w:vAlign w:val="center"/>
            <w:hideMark/>
          </w:tcPr>
          <w:p w14:paraId="2DDDFC2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99,3</w:t>
            </w:r>
          </w:p>
        </w:tc>
        <w:tc>
          <w:tcPr>
            <w:tcW w:w="1318" w:type="dxa"/>
            <w:shd w:val="clear" w:color="000000" w:fill="FFFFFF"/>
            <w:vAlign w:val="center"/>
            <w:hideMark/>
          </w:tcPr>
          <w:p w14:paraId="381EE06C"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98,8</w:t>
            </w:r>
          </w:p>
        </w:tc>
        <w:tc>
          <w:tcPr>
            <w:tcW w:w="1325" w:type="dxa"/>
            <w:shd w:val="clear" w:color="000000" w:fill="FFFFFF"/>
            <w:vAlign w:val="center"/>
            <w:hideMark/>
          </w:tcPr>
          <w:p w14:paraId="139465E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98,2</w:t>
            </w:r>
          </w:p>
        </w:tc>
        <w:tc>
          <w:tcPr>
            <w:tcW w:w="1328" w:type="dxa"/>
            <w:shd w:val="clear" w:color="000000" w:fill="FFFFFF"/>
            <w:vAlign w:val="center"/>
            <w:hideMark/>
          </w:tcPr>
          <w:p w14:paraId="3F17150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99,6</w:t>
            </w:r>
          </w:p>
        </w:tc>
      </w:tr>
      <w:tr w:rsidR="00C44070" w:rsidRPr="0035219D" w14:paraId="17C6E4CD" w14:textId="77777777" w:rsidTr="0035219D">
        <w:trPr>
          <w:trHeight w:val="300"/>
          <w:jc w:val="center"/>
        </w:trPr>
        <w:tc>
          <w:tcPr>
            <w:tcW w:w="2489" w:type="dxa"/>
            <w:shd w:val="clear" w:color="auto" w:fill="9CC2E5" w:themeFill="accent1" w:themeFillTint="99"/>
            <w:vAlign w:val="center"/>
            <w:hideMark/>
          </w:tcPr>
          <w:p w14:paraId="1E4DF875"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ustęp spłukiwany</w:t>
            </w:r>
          </w:p>
        </w:tc>
        <w:tc>
          <w:tcPr>
            <w:tcW w:w="1318" w:type="dxa"/>
            <w:shd w:val="clear" w:color="000000" w:fill="FFFFFF"/>
            <w:vAlign w:val="center"/>
            <w:hideMark/>
          </w:tcPr>
          <w:p w14:paraId="304166D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98,2</w:t>
            </w:r>
          </w:p>
        </w:tc>
        <w:tc>
          <w:tcPr>
            <w:tcW w:w="1411" w:type="dxa"/>
            <w:shd w:val="clear" w:color="000000" w:fill="FFFFFF"/>
            <w:vAlign w:val="center"/>
            <w:hideMark/>
          </w:tcPr>
          <w:p w14:paraId="5813F54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96,1</w:t>
            </w:r>
          </w:p>
        </w:tc>
        <w:tc>
          <w:tcPr>
            <w:tcW w:w="1318" w:type="dxa"/>
            <w:shd w:val="clear" w:color="000000" w:fill="FFFFFF"/>
            <w:vAlign w:val="center"/>
            <w:hideMark/>
          </w:tcPr>
          <w:p w14:paraId="10B50866"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93,6</w:t>
            </w:r>
          </w:p>
        </w:tc>
        <w:tc>
          <w:tcPr>
            <w:tcW w:w="1325" w:type="dxa"/>
            <w:shd w:val="clear" w:color="000000" w:fill="FFFFFF"/>
            <w:vAlign w:val="center"/>
            <w:hideMark/>
          </w:tcPr>
          <w:p w14:paraId="0C0FEA9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90,1</w:t>
            </w:r>
          </w:p>
        </w:tc>
        <w:tc>
          <w:tcPr>
            <w:tcW w:w="1328" w:type="dxa"/>
            <w:shd w:val="clear" w:color="000000" w:fill="FFFFFF"/>
            <w:vAlign w:val="center"/>
            <w:hideMark/>
          </w:tcPr>
          <w:p w14:paraId="59A7DC9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97,7</w:t>
            </w:r>
          </w:p>
        </w:tc>
      </w:tr>
      <w:tr w:rsidR="00C44070" w:rsidRPr="0035219D" w14:paraId="3682315F" w14:textId="77777777" w:rsidTr="0035219D">
        <w:trPr>
          <w:trHeight w:val="300"/>
          <w:jc w:val="center"/>
        </w:trPr>
        <w:tc>
          <w:tcPr>
            <w:tcW w:w="2489" w:type="dxa"/>
            <w:shd w:val="clear" w:color="auto" w:fill="9CC2E5" w:themeFill="accent1" w:themeFillTint="99"/>
            <w:vAlign w:val="center"/>
            <w:hideMark/>
          </w:tcPr>
          <w:p w14:paraId="444452AE"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łazienkę</w:t>
            </w:r>
          </w:p>
        </w:tc>
        <w:tc>
          <w:tcPr>
            <w:tcW w:w="1318" w:type="dxa"/>
            <w:shd w:val="clear" w:color="000000" w:fill="FFFFFF"/>
            <w:vAlign w:val="center"/>
            <w:hideMark/>
          </w:tcPr>
          <w:p w14:paraId="0C24BE9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97,9</w:t>
            </w:r>
          </w:p>
        </w:tc>
        <w:tc>
          <w:tcPr>
            <w:tcW w:w="1411" w:type="dxa"/>
            <w:shd w:val="clear" w:color="000000" w:fill="FFFFFF"/>
            <w:vAlign w:val="center"/>
            <w:hideMark/>
          </w:tcPr>
          <w:p w14:paraId="78B1925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95,8</w:t>
            </w:r>
          </w:p>
        </w:tc>
        <w:tc>
          <w:tcPr>
            <w:tcW w:w="1318" w:type="dxa"/>
            <w:shd w:val="clear" w:color="000000" w:fill="FFFFFF"/>
            <w:vAlign w:val="center"/>
            <w:hideMark/>
          </w:tcPr>
          <w:p w14:paraId="4F47A60A"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93,1</w:t>
            </w:r>
          </w:p>
        </w:tc>
        <w:tc>
          <w:tcPr>
            <w:tcW w:w="1325" w:type="dxa"/>
            <w:shd w:val="clear" w:color="000000" w:fill="FFFFFF"/>
            <w:vAlign w:val="center"/>
            <w:hideMark/>
          </w:tcPr>
          <w:p w14:paraId="0AB99B7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89,4</w:t>
            </w:r>
          </w:p>
        </w:tc>
        <w:tc>
          <w:tcPr>
            <w:tcW w:w="1328" w:type="dxa"/>
            <w:shd w:val="clear" w:color="000000" w:fill="FFFFFF"/>
            <w:vAlign w:val="center"/>
            <w:hideMark/>
          </w:tcPr>
          <w:p w14:paraId="0D8EB35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97,5</w:t>
            </w:r>
          </w:p>
        </w:tc>
      </w:tr>
      <w:tr w:rsidR="00C44070" w:rsidRPr="0035219D" w14:paraId="6FA730FC" w14:textId="77777777" w:rsidTr="0035219D">
        <w:trPr>
          <w:trHeight w:val="300"/>
          <w:jc w:val="center"/>
        </w:trPr>
        <w:tc>
          <w:tcPr>
            <w:tcW w:w="2489" w:type="dxa"/>
            <w:shd w:val="clear" w:color="auto" w:fill="9CC2E5" w:themeFill="accent1" w:themeFillTint="99"/>
            <w:vAlign w:val="center"/>
            <w:hideMark/>
          </w:tcPr>
          <w:p w14:paraId="3BACE885"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ciepłą wodę bieżącą</w:t>
            </w:r>
          </w:p>
        </w:tc>
        <w:tc>
          <w:tcPr>
            <w:tcW w:w="1318" w:type="dxa"/>
            <w:shd w:val="clear" w:color="000000" w:fill="FFFFFF"/>
            <w:vAlign w:val="center"/>
            <w:hideMark/>
          </w:tcPr>
          <w:p w14:paraId="73611C7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98,3</w:t>
            </w:r>
          </w:p>
        </w:tc>
        <w:tc>
          <w:tcPr>
            <w:tcW w:w="1411" w:type="dxa"/>
            <w:shd w:val="clear" w:color="000000" w:fill="FFFFFF"/>
            <w:vAlign w:val="center"/>
            <w:hideMark/>
          </w:tcPr>
          <w:p w14:paraId="6F8D0AF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96,8</w:t>
            </w:r>
          </w:p>
        </w:tc>
        <w:tc>
          <w:tcPr>
            <w:tcW w:w="1318" w:type="dxa"/>
            <w:shd w:val="clear" w:color="000000" w:fill="FFFFFF"/>
            <w:vAlign w:val="center"/>
            <w:hideMark/>
          </w:tcPr>
          <w:p w14:paraId="10EB9A80"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94,7</w:t>
            </w:r>
          </w:p>
        </w:tc>
        <w:tc>
          <w:tcPr>
            <w:tcW w:w="1325" w:type="dxa"/>
            <w:shd w:val="clear" w:color="000000" w:fill="FFFFFF"/>
            <w:vAlign w:val="center"/>
            <w:hideMark/>
          </w:tcPr>
          <w:p w14:paraId="3992ED7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91,7</w:t>
            </w:r>
          </w:p>
        </w:tc>
        <w:tc>
          <w:tcPr>
            <w:tcW w:w="1328" w:type="dxa"/>
            <w:shd w:val="clear" w:color="000000" w:fill="FFFFFF"/>
            <w:vAlign w:val="center"/>
            <w:hideMark/>
          </w:tcPr>
          <w:p w14:paraId="54AC438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98,3</w:t>
            </w:r>
          </w:p>
        </w:tc>
      </w:tr>
      <w:tr w:rsidR="00C44070" w:rsidRPr="0035219D" w14:paraId="63C2FEF5" w14:textId="77777777" w:rsidTr="0035219D">
        <w:trPr>
          <w:trHeight w:val="300"/>
          <w:jc w:val="center"/>
        </w:trPr>
        <w:tc>
          <w:tcPr>
            <w:tcW w:w="2489" w:type="dxa"/>
            <w:shd w:val="clear" w:color="auto" w:fill="9CC2E5" w:themeFill="accent1" w:themeFillTint="99"/>
            <w:vAlign w:val="center"/>
            <w:hideMark/>
          </w:tcPr>
          <w:p w14:paraId="7C0F346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gaz</w:t>
            </w:r>
          </w:p>
        </w:tc>
        <w:tc>
          <w:tcPr>
            <w:tcW w:w="1318" w:type="dxa"/>
            <w:shd w:val="clear" w:color="000000" w:fill="FFFFFF"/>
            <w:vAlign w:val="center"/>
            <w:hideMark/>
          </w:tcPr>
          <w:p w14:paraId="6E5AFD4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90,4</w:t>
            </w:r>
          </w:p>
        </w:tc>
        <w:tc>
          <w:tcPr>
            <w:tcW w:w="1411" w:type="dxa"/>
            <w:shd w:val="clear" w:color="000000" w:fill="FFFFFF"/>
            <w:vAlign w:val="center"/>
            <w:hideMark/>
          </w:tcPr>
          <w:p w14:paraId="33B2A7B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94,5</w:t>
            </w:r>
          </w:p>
        </w:tc>
        <w:tc>
          <w:tcPr>
            <w:tcW w:w="1318" w:type="dxa"/>
            <w:shd w:val="clear" w:color="000000" w:fill="FFFFFF"/>
            <w:vAlign w:val="center"/>
            <w:hideMark/>
          </w:tcPr>
          <w:p w14:paraId="67D8F01E"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92,9</w:t>
            </w:r>
          </w:p>
        </w:tc>
        <w:tc>
          <w:tcPr>
            <w:tcW w:w="1325" w:type="dxa"/>
            <w:shd w:val="clear" w:color="000000" w:fill="FFFFFF"/>
            <w:vAlign w:val="center"/>
            <w:hideMark/>
          </w:tcPr>
          <w:p w14:paraId="0880AA8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91,9</w:t>
            </w:r>
          </w:p>
        </w:tc>
        <w:tc>
          <w:tcPr>
            <w:tcW w:w="1328" w:type="dxa"/>
            <w:shd w:val="clear" w:color="000000" w:fill="FFFFFF"/>
            <w:vAlign w:val="center"/>
            <w:hideMark/>
          </w:tcPr>
          <w:p w14:paraId="4B1AF20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94,0</w:t>
            </w:r>
          </w:p>
        </w:tc>
      </w:tr>
      <w:tr w:rsidR="00C44070" w:rsidRPr="0035219D" w14:paraId="552C6B3E" w14:textId="77777777" w:rsidTr="0035219D">
        <w:trPr>
          <w:trHeight w:val="300"/>
          <w:jc w:val="center"/>
        </w:trPr>
        <w:tc>
          <w:tcPr>
            <w:tcW w:w="2489" w:type="dxa"/>
            <w:shd w:val="clear" w:color="auto" w:fill="9CC2E5" w:themeFill="accent1" w:themeFillTint="99"/>
            <w:vAlign w:val="center"/>
            <w:hideMark/>
          </w:tcPr>
          <w:p w14:paraId="4ABBDABD"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gaz z sieci</w:t>
            </w:r>
          </w:p>
        </w:tc>
        <w:tc>
          <w:tcPr>
            <w:tcW w:w="1318" w:type="dxa"/>
            <w:shd w:val="clear" w:color="000000" w:fill="FFFFFF"/>
            <w:vAlign w:val="center"/>
            <w:hideMark/>
          </w:tcPr>
          <w:p w14:paraId="23C3676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23,9</w:t>
            </w:r>
          </w:p>
        </w:tc>
        <w:tc>
          <w:tcPr>
            <w:tcW w:w="1411" w:type="dxa"/>
            <w:shd w:val="clear" w:color="000000" w:fill="FFFFFF"/>
            <w:vAlign w:val="center"/>
            <w:hideMark/>
          </w:tcPr>
          <w:p w14:paraId="1A6336C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23,8</w:t>
            </w:r>
          </w:p>
        </w:tc>
        <w:tc>
          <w:tcPr>
            <w:tcW w:w="1318" w:type="dxa"/>
            <w:shd w:val="clear" w:color="000000" w:fill="FFFFFF"/>
            <w:vAlign w:val="center"/>
            <w:hideMark/>
          </w:tcPr>
          <w:p w14:paraId="6B39785C"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25,0</w:t>
            </w:r>
          </w:p>
        </w:tc>
        <w:tc>
          <w:tcPr>
            <w:tcW w:w="1325" w:type="dxa"/>
            <w:shd w:val="clear" w:color="000000" w:fill="FFFFFF"/>
            <w:vAlign w:val="center"/>
            <w:hideMark/>
          </w:tcPr>
          <w:p w14:paraId="16CB5C3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22,2</w:t>
            </w:r>
          </w:p>
        </w:tc>
        <w:tc>
          <w:tcPr>
            <w:tcW w:w="1328" w:type="dxa"/>
            <w:shd w:val="clear" w:color="000000" w:fill="FFFFFF"/>
            <w:vAlign w:val="center"/>
            <w:hideMark/>
          </w:tcPr>
          <w:p w14:paraId="129E123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27,9</w:t>
            </w:r>
          </w:p>
        </w:tc>
      </w:tr>
      <w:tr w:rsidR="00C44070" w:rsidRPr="0035219D" w14:paraId="7A5C3726" w14:textId="77777777" w:rsidTr="0035219D">
        <w:trPr>
          <w:trHeight w:val="300"/>
          <w:jc w:val="center"/>
        </w:trPr>
        <w:tc>
          <w:tcPr>
            <w:tcW w:w="2489" w:type="dxa"/>
            <w:shd w:val="clear" w:color="auto" w:fill="9CC2E5" w:themeFill="accent1" w:themeFillTint="99"/>
            <w:vAlign w:val="center"/>
            <w:hideMark/>
          </w:tcPr>
          <w:p w14:paraId="241AFF05"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lastRenderedPageBreak/>
              <w:t>gaz z butli</w:t>
            </w:r>
          </w:p>
        </w:tc>
        <w:tc>
          <w:tcPr>
            <w:tcW w:w="1318" w:type="dxa"/>
            <w:shd w:val="clear" w:color="000000" w:fill="FFFFFF"/>
            <w:vAlign w:val="center"/>
            <w:hideMark/>
          </w:tcPr>
          <w:p w14:paraId="3AB61FF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66,5</w:t>
            </w:r>
          </w:p>
        </w:tc>
        <w:tc>
          <w:tcPr>
            <w:tcW w:w="1411" w:type="dxa"/>
            <w:shd w:val="clear" w:color="000000" w:fill="FFFFFF"/>
            <w:vAlign w:val="center"/>
            <w:hideMark/>
          </w:tcPr>
          <w:p w14:paraId="77F4DC3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70,7</w:t>
            </w:r>
          </w:p>
        </w:tc>
        <w:tc>
          <w:tcPr>
            <w:tcW w:w="1318" w:type="dxa"/>
            <w:shd w:val="clear" w:color="000000" w:fill="FFFFFF"/>
            <w:vAlign w:val="center"/>
            <w:hideMark/>
          </w:tcPr>
          <w:p w14:paraId="07B1C8A9"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67,9</w:t>
            </w:r>
          </w:p>
        </w:tc>
        <w:tc>
          <w:tcPr>
            <w:tcW w:w="1325" w:type="dxa"/>
            <w:shd w:val="clear" w:color="000000" w:fill="FFFFFF"/>
            <w:vAlign w:val="center"/>
            <w:hideMark/>
          </w:tcPr>
          <w:p w14:paraId="4A6BAD5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69,7</w:t>
            </w:r>
          </w:p>
        </w:tc>
        <w:tc>
          <w:tcPr>
            <w:tcW w:w="1328" w:type="dxa"/>
            <w:shd w:val="clear" w:color="000000" w:fill="FFFFFF"/>
            <w:vAlign w:val="center"/>
            <w:hideMark/>
          </w:tcPr>
          <w:p w14:paraId="1FE6F54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66,1</w:t>
            </w:r>
          </w:p>
        </w:tc>
      </w:tr>
      <w:tr w:rsidR="00C44070" w:rsidRPr="0035219D" w14:paraId="79302620" w14:textId="77777777" w:rsidTr="0035219D">
        <w:trPr>
          <w:trHeight w:val="300"/>
          <w:jc w:val="center"/>
        </w:trPr>
        <w:tc>
          <w:tcPr>
            <w:tcW w:w="2489" w:type="dxa"/>
            <w:shd w:val="clear" w:color="auto" w:fill="9CC2E5" w:themeFill="accent1" w:themeFillTint="99"/>
            <w:vAlign w:val="center"/>
            <w:hideMark/>
          </w:tcPr>
          <w:p w14:paraId="3EBC99E7"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klimatyzację</w:t>
            </w:r>
          </w:p>
        </w:tc>
        <w:tc>
          <w:tcPr>
            <w:tcW w:w="1318" w:type="dxa"/>
            <w:shd w:val="clear" w:color="000000" w:fill="FFFFFF"/>
            <w:vAlign w:val="center"/>
            <w:hideMark/>
          </w:tcPr>
          <w:p w14:paraId="6468F86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w:t>
            </w:r>
          </w:p>
        </w:tc>
        <w:tc>
          <w:tcPr>
            <w:tcW w:w="1411" w:type="dxa"/>
            <w:shd w:val="clear" w:color="000000" w:fill="FFFFFF"/>
            <w:vAlign w:val="center"/>
            <w:hideMark/>
          </w:tcPr>
          <w:p w14:paraId="2A0D635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w:t>
            </w:r>
          </w:p>
        </w:tc>
        <w:tc>
          <w:tcPr>
            <w:tcW w:w="1318" w:type="dxa"/>
            <w:shd w:val="clear" w:color="000000" w:fill="FFFFFF"/>
            <w:vAlign w:val="center"/>
            <w:hideMark/>
          </w:tcPr>
          <w:p w14:paraId="5EA848EF"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w:t>
            </w:r>
          </w:p>
        </w:tc>
        <w:tc>
          <w:tcPr>
            <w:tcW w:w="1325" w:type="dxa"/>
            <w:shd w:val="clear" w:color="000000" w:fill="FFFFFF"/>
            <w:vAlign w:val="center"/>
            <w:hideMark/>
          </w:tcPr>
          <w:p w14:paraId="7902D43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0,9</w:t>
            </w:r>
          </w:p>
        </w:tc>
        <w:tc>
          <w:tcPr>
            <w:tcW w:w="1328" w:type="dxa"/>
            <w:shd w:val="clear" w:color="000000" w:fill="FFFFFF"/>
            <w:vAlign w:val="center"/>
            <w:hideMark/>
          </w:tcPr>
          <w:p w14:paraId="7C94F2B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1,4</w:t>
            </w:r>
          </w:p>
        </w:tc>
      </w:tr>
      <w:tr w:rsidR="00C44070" w:rsidRPr="0035219D" w14:paraId="57F497A6" w14:textId="77777777" w:rsidTr="0035219D">
        <w:trPr>
          <w:trHeight w:val="300"/>
          <w:jc w:val="center"/>
        </w:trPr>
        <w:tc>
          <w:tcPr>
            <w:tcW w:w="2489" w:type="dxa"/>
            <w:shd w:val="clear" w:color="auto" w:fill="9CC2E5" w:themeFill="accent1" w:themeFillTint="99"/>
            <w:vAlign w:val="center"/>
            <w:hideMark/>
          </w:tcPr>
          <w:p w14:paraId="47339D20"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ogrzewanie centralne</w:t>
            </w:r>
          </w:p>
        </w:tc>
        <w:tc>
          <w:tcPr>
            <w:tcW w:w="1318" w:type="dxa"/>
            <w:shd w:val="clear" w:color="000000" w:fill="FFFFFF"/>
            <w:vAlign w:val="center"/>
            <w:hideMark/>
          </w:tcPr>
          <w:p w14:paraId="221FA61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86,2</w:t>
            </w:r>
          </w:p>
        </w:tc>
        <w:tc>
          <w:tcPr>
            <w:tcW w:w="1411" w:type="dxa"/>
            <w:shd w:val="clear" w:color="000000" w:fill="FFFFFF"/>
            <w:vAlign w:val="center"/>
            <w:hideMark/>
          </w:tcPr>
          <w:p w14:paraId="3332EB6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84,0</w:t>
            </w:r>
          </w:p>
        </w:tc>
        <w:tc>
          <w:tcPr>
            <w:tcW w:w="1318" w:type="dxa"/>
            <w:shd w:val="clear" w:color="000000" w:fill="FFFFFF"/>
            <w:vAlign w:val="center"/>
            <w:hideMark/>
          </w:tcPr>
          <w:p w14:paraId="437D0F8E"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79,2</w:t>
            </w:r>
          </w:p>
        </w:tc>
        <w:tc>
          <w:tcPr>
            <w:tcW w:w="1325" w:type="dxa"/>
            <w:shd w:val="clear" w:color="000000" w:fill="FFFFFF"/>
            <w:vAlign w:val="center"/>
            <w:hideMark/>
          </w:tcPr>
          <w:p w14:paraId="2FCA853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73,8</w:t>
            </w:r>
          </w:p>
        </w:tc>
        <w:tc>
          <w:tcPr>
            <w:tcW w:w="1328" w:type="dxa"/>
            <w:shd w:val="clear" w:color="000000" w:fill="FFFFFF"/>
            <w:vAlign w:val="center"/>
            <w:hideMark/>
          </w:tcPr>
          <w:p w14:paraId="0765658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85,3</w:t>
            </w:r>
          </w:p>
        </w:tc>
      </w:tr>
      <w:tr w:rsidR="00C44070" w:rsidRPr="0035219D" w14:paraId="544D6164" w14:textId="77777777" w:rsidTr="0035219D">
        <w:trPr>
          <w:trHeight w:val="300"/>
          <w:jc w:val="center"/>
        </w:trPr>
        <w:tc>
          <w:tcPr>
            <w:tcW w:w="2489" w:type="dxa"/>
            <w:shd w:val="clear" w:color="auto" w:fill="9CC2E5" w:themeFill="accent1" w:themeFillTint="99"/>
            <w:vAlign w:val="center"/>
            <w:hideMark/>
          </w:tcPr>
          <w:p w14:paraId="5D6AB091"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piece </w:t>
            </w:r>
          </w:p>
        </w:tc>
        <w:tc>
          <w:tcPr>
            <w:tcW w:w="1318" w:type="dxa"/>
            <w:shd w:val="clear" w:color="000000" w:fill="FFFFFF"/>
            <w:vAlign w:val="center"/>
            <w:hideMark/>
          </w:tcPr>
          <w:p w14:paraId="61048EC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13,7</w:t>
            </w:r>
          </w:p>
        </w:tc>
        <w:tc>
          <w:tcPr>
            <w:tcW w:w="1411" w:type="dxa"/>
            <w:shd w:val="clear" w:color="000000" w:fill="FFFFFF"/>
            <w:vAlign w:val="center"/>
            <w:hideMark/>
          </w:tcPr>
          <w:p w14:paraId="06E65BE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15,9</w:t>
            </w:r>
          </w:p>
        </w:tc>
        <w:tc>
          <w:tcPr>
            <w:tcW w:w="1318" w:type="dxa"/>
            <w:shd w:val="clear" w:color="000000" w:fill="FFFFFF"/>
            <w:vAlign w:val="center"/>
            <w:hideMark/>
          </w:tcPr>
          <w:p w14:paraId="4E60B789"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20,7</w:t>
            </w:r>
          </w:p>
        </w:tc>
        <w:tc>
          <w:tcPr>
            <w:tcW w:w="1325" w:type="dxa"/>
            <w:shd w:val="clear" w:color="000000" w:fill="FFFFFF"/>
            <w:vAlign w:val="center"/>
            <w:hideMark/>
          </w:tcPr>
          <w:p w14:paraId="6F6DDDF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26,0</w:t>
            </w:r>
          </w:p>
        </w:tc>
        <w:tc>
          <w:tcPr>
            <w:tcW w:w="1328" w:type="dxa"/>
            <w:shd w:val="clear" w:color="000000" w:fill="FFFFFF"/>
            <w:vAlign w:val="center"/>
            <w:hideMark/>
          </w:tcPr>
          <w:p w14:paraId="64E8DC0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14,6</w:t>
            </w:r>
          </w:p>
        </w:tc>
      </w:tr>
      <w:tr w:rsidR="00C44070" w:rsidRPr="0035219D" w14:paraId="02E80D7C" w14:textId="77777777" w:rsidTr="0035219D">
        <w:trPr>
          <w:trHeight w:val="990"/>
          <w:jc w:val="center"/>
        </w:trPr>
        <w:tc>
          <w:tcPr>
            <w:tcW w:w="2489" w:type="dxa"/>
            <w:shd w:val="clear" w:color="auto" w:fill="9CC2E5" w:themeFill="accent1" w:themeFillTint="99"/>
            <w:vAlign w:val="center"/>
            <w:hideMark/>
          </w:tcPr>
          <w:p w14:paraId="379E0E4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Przeciętna powierzchnia użytkowa mieszkania zajmowana przez gosp. domowe w m</w:t>
            </w:r>
            <w:r w:rsidRPr="00342041">
              <w:rPr>
                <w:rFonts w:ascii="Times New Roman" w:eastAsia="Times New Roman" w:hAnsi="Times New Roman" w:cs="Times New Roman"/>
                <w:b/>
                <w:color w:val="000000"/>
                <w:sz w:val="20"/>
                <w:szCs w:val="20"/>
                <w:vertAlign w:val="superscript"/>
                <w:lang w:eastAsia="pl-PL"/>
              </w:rPr>
              <w:t>2</w:t>
            </w:r>
            <w:r w:rsidRPr="00342041">
              <w:rPr>
                <w:rFonts w:ascii="Times New Roman" w:eastAsia="Times New Roman" w:hAnsi="Times New Roman" w:cs="Times New Roman"/>
                <w:b/>
                <w:color w:val="000000"/>
                <w:sz w:val="20"/>
                <w:szCs w:val="20"/>
                <w:lang w:eastAsia="pl-PL"/>
              </w:rPr>
              <w:t xml:space="preserve"> na 1 gospodarstwo domowe</w:t>
            </w:r>
          </w:p>
        </w:tc>
        <w:tc>
          <w:tcPr>
            <w:tcW w:w="1318" w:type="dxa"/>
            <w:shd w:val="clear" w:color="000000" w:fill="FFFFFF"/>
            <w:vAlign w:val="center"/>
            <w:hideMark/>
          </w:tcPr>
          <w:p w14:paraId="459752B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110,07</w:t>
            </w:r>
          </w:p>
        </w:tc>
        <w:tc>
          <w:tcPr>
            <w:tcW w:w="1411" w:type="dxa"/>
            <w:shd w:val="clear" w:color="000000" w:fill="FFFFFF"/>
            <w:vAlign w:val="center"/>
            <w:hideMark/>
          </w:tcPr>
          <w:p w14:paraId="594C75B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105,12</w:t>
            </w:r>
          </w:p>
        </w:tc>
        <w:tc>
          <w:tcPr>
            <w:tcW w:w="1318" w:type="dxa"/>
            <w:shd w:val="clear" w:color="000000" w:fill="FFFFFF"/>
            <w:vAlign w:val="center"/>
            <w:hideMark/>
          </w:tcPr>
          <w:p w14:paraId="654DD642" w14:textId="77777777" w:rsidR="00C44070" w:rsidRPr="00342041" w:rsidRDefault="00C44070" w:rsidP="0035219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86,69</w:t>
            </w:r>
          </w:p>
        </w:tc>
        <w:tc>
          <w:tcPr>
            <w:tcW w:w="1325" w:type="dxa"/>
            <w:shd w:val="clear" w:color="000000" w:fill="FFFFFF"/>
            <w:vAlign w:val="center"/>
            <w:hideMark/>
          </w:tcPr>
          <w:p w14:paraId="762192D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77,2</w:t>
            </w:r>
          </w:p>
        </w:tc>
        <w:tc>
          <w:tcPr>
            <w:tcW w:w="1328" w:type="dxa"/>
            <w:shd w:val="clear" w:color="000000" w:fill="FFFFFF"/>
            <w:vAlign w:val="center"/>
            <w:hideMark/>
          </w:tcPr>
          <w:p w14:paraId="010A4AE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97,43</w:t>
            </w:r>
          </w:p>
        </w:tc>
      </w:tr>
    </w:tbl>
    <w:p w14:paraId="1B59FCCE" w14:textId="77777777" w:rsidR="00C44070" w:rsidRPr="00A9161D" w:rsidRDefault="00C44070" w:rsidP="003C1988">
      <w:pPr>
        <w:spacing w:after="120"/>
        <w:rPr>
          <w:rFonts w:ascii="Times New Roman" w:hAnsi="Times New Roman" w:cs="Times New Roman"/>
          <w:b/>
          <w:bCs/>
          <w:spacing w:val="-10"/>
          <w:kern w:val="20"/>
          <w:szCs w:val="24"/>
        </w:rPr>
      </w:pPr>
      <w:r w:rsidRPr="00A9161D">
        <w:rPr>
          <w:rFonts w:ascii="Times New Roman" w:hAnsi="Times New Roman" w:cs="Times New Roman"/>
          <w:b/>
          <w:bCs/>
          <w:spacing w:val="-10"/>
          <w:kern w:val="20"/>
          <w:szCs w:val="24"/>
        </w:rPr>
        <w:t>Źródło: Badanie budżetów gospodarstw domowych w 2019 r., GUS</w:t>
      </w:r>
    </w:p>
    <w:p w14:paraId="664436FF" w14:textId="77777777" w:rsidR="00B23828" w:rsidRPr="00B23828" w:rsidRDefault="00B23828" w:rsidP="00B23828">
      <w:pPr>
        <w:spacing w:after="0"/>
        <w:jc w:val="both"/>
        <w:rPr>
          <w:rFonts w:ascii="Times New Roman" w:hAnsi="Times New Roman" w:cs="Times New Roman"/>
          <w:color w:val="FF0000"/>
          <w:spacing w:val="-2"/>
          <w:sz w:val="24"/>
          <w:szCs w:val="24"/>
        </w:rPr>
      </w:pPr>
      <w:r w:rsidRPr="00B23828">
        <w:rPr>
          <w:rFonts w:ascii="Times New Roman" w:hAnsi="Times New Roman" w:cs="Times New Roman"/>
          <w:color w:val="0D0D0D" w:themeColor="text1" w:themeTint="F2"/>
          <w:spacing w:val="-2"/>
          <w:sz w:val="24"/>
          <w:szCs w:val="24"/>
        </w:rPr>
        <w:t xml:space="preserve">Mieszkania wyposażone w wodociąg miało w 2019 r. 99,7% gospodarstw osób starszych. Mieszkania mające łazienkę, ciepłą wodę, ustęp spłukiwany użytkowało około 97–98% gospodarstw osób starszych. Gaz z sieci miało doprowadzone do mieszkań 63,8% gospodarstw osób starszych, </w:t>
      </w:r>
      <w:r w:rsidR="00A84B3D">
        <w:rPr>
          <w:rFonts w:ascii="Times New Roman" w:hAnsi="Times New Roman" w:cs="Times New Roman"/>
          <w:color w:val="0D0D0D" w:themeColor="text1" w:themeTint="F2"/>
          <w:spacing w:val="-2"/>
          <w:sz w:val="24"/>
          <w:szCs w:val="24"/>
        </w:rPr>
        <w:br/>
      </w:r>
      <w:r w:rsidRPr="00B23828">
        <w:rPr>
          <w:rFonts w:ascii="Times New Roman" w:hAnsi="Times New Roman" w:cs="Times New Roman"/>
          <w:color w:val="0D0D0D" w:themeColor="text1" w:themeTint="F2"/>
          <w:spacing w:val="-2"/>
          <w:sz w:val="24"/>
          <w:szCs w:val="24"/>
        </w:rPr>
        <w:t xml:space="preserve">a kolejne 29,0% korzystało z gazu z butli. Z ogrzewania centralnego (z elektrociepłowni, kotłowni osiedlowej lub lokalnego) korzystało 86,3% gospodarstw osób starszych. Najwięcej gospodarstw domowych osób starszych używających jeszcze do ogrzewania mieszkania pieca było wśród </w:t>
      </w:r>
      <w:r w:rsidR="00A84B3D">
        <w:rPr>
          <w:rFonts w:ascii="Times New Roman" w:hAnsi="Times New Roman" w:cs="Times New Roman"/>
          <w:color w:val="0D0D0D" w:themeColor="text1" w:themeTint="F2"/>
          <w:spacing w:val="-2"/>
          <w:sz w:val="24"/>
          <w:szCs w:val="24"/>
        </w:rPr>
        <w:br/>
      </w:r>
      <w:r w:rsidRPr="00B23828">
        <w:rPr>
          <w:rFonts w:ascii="Times New Roman" w:hAnsi="Times New Roman" w:cs="Times New Roman"/>
          <w:color w:val="0D0D0D" w:themeColor="text1" w:themeTint="F2"/>
          <w:spacing w:val="-2"/>
          <w:sz w:val="24"/>
          <w:szCs w:val="24"/>
        </w:rPr>
        <w:t xml:space="preserve">1-osobowych gospodarstw osób w wieku 60 lat lub więcej mieszkających na wsi – 26,0% (wobec 13,7% gospodarstw domowych też zamieszkujących na wsi, ale bez osób starszych). Było </w:t>
      </w:r>
      <w:r w:rsidR="00A84B3D">
        <w:rPr>
          <w:rFonts w:ascii="Times New Roman" w:hAnsi="Times New Roman" w:cs="Times New Roman"/>
          <w:color w:val="0D0D0D" w:themeColor="text1" w:themeTint="F2"/>
          <w:spacing w:val="-2"/>
          <w:sz w:val="24"/>
          <w:szCs w:val="24"/>
        </w:rPr>
        <w:br/>
      </w:r>
      <w:r w:rsidRPr="00B23828">
        <w:rPr>
          <w:rFonts w:ascii="Times New Roman" w:hAnsi="Times New Roman" w:cs="Times New Roman"/>
          <w:color w:val="0D0D0D" w:themeColor="text1" w:themeTint="F2"/>
          <w:spacing w:val="-2"/>
          <w:sz w:val="24"/>
          <w:szCs w:val="24"/>
        </w:rPr>
        <w:t xml:space="preserve">to o 0,8 p. proc. mniej niż w </w:t>
      </w:r>
      <w:r w:rsidRPr="00B23828">
        <w:rPr>
          <w:rFonts w:ascii="Times New Roman" w:hAnsi="Times New Roman" w:cs="Times New Roman"/>
          <w:spacing w:val="-2"/>
          <w:sz w:val="24"/>
          <w:szCs w:val="24"/>
        </w:rPr>
        <w:t>2018</w:t>
      </w:r>
      <w:r>
        <w:rPr>
          <w:rFonts w:ascii="Times New Roman" w:hAnsi="Times New Roman" w:cs="Times New Roman"/>
          <w:spacing w:val="-2"/>
          <w:sz w:val="24"/>
          <w:szCs w:val="24"/>
        </w:rPr>
        <w:t xml:space="preserve"> r</w:t>
      </w:r>
      <w:r w:rsidRPr="00B23828">
        <w:rPr>
          <w:rFonts w:ascii="Times New Roman" w:hAnsi="Times New Roman" w:cs="Times New Roman"/>
          <w:spacing w:val="-2"/>
          <w:sz w:val="24"/>
          <w:szCs w:val="24"/>
        </w:rPr>
        <w:t>.</w:t>
      </w:r>
    </w:p>
    <w:p w14:paraId="61FEC31E" w14:textId="77777777" w:rsidR="00B23828" w:rsidRDefault="00B23828" w:rsidP="00B23828">
      <w:pPr>
        <w:spacing w:after="0"/>
        <w:jc w:val="both"/>
        <w:rPr>
          <w:rFonts w:ascii="Times New Roman" w:hAnsi="Times New Roman" w:cs="Times New Roman"/>
          <w:color w:val="FF0000"/>
          <w:sz w:val="24"/>
          <w:szCs w:val="24"/>
        </w:rPr>
      </w:pPr>
    </w:p>
    <w:p w14:paraId="05903C67" w14:textId="77777777" w:rsidR="00B23828" w:rsidRPr="00B23828" w:rsidRDefault="00B23828" w:rsidP="00B23828">
      <w:pPr>
        <w:spacing w:after="0"/>
        <w:jc w:val="both"/>
        <w:rPr>
          <w:rFonts w:ascii="Times New Roman" w:hAnsi="Times New Roman" w:cs="Times New Roman"/>
          <w:color w:val="0D0D0D" w:themeColor="text1" w:themeTint="F2"/>
          <w:sz w:val="24"/>
          <w:szCs w:val="24"/>
        </w:rPr>
      </w:pPr>
      <w:r w:rsidRPr="00B23828">
        <w:rPr>
          <w:rFonts w:ascii="Times New Roman" w:hAnsi="Times New Roman" w:cs="Times New Roman"/>
          <w:color w:val="0D0D0D" w:themeColor="text1" w:themeTint="F2"/>
          <w:sz w:val="24"/>
          <w:szCs w:val="24"/>
        </w:rPr>
        <w:t xml:space="preserve">Użytkowanie mieszkań posiadających odpowiednie warunki techniczno-sanitarne zadeklarowało w 2019 r. 91,9 % gospodarstw osób w wieku 60 lat lub więcej (93,7% w miastach i 86,7% na wsi). Osoby starsze w większości zadeklarowały, że ich mieszkania wyposażone były w balkon, taras lub ogródek, a także miały zapewniony odpowiedni komfort termiczny (odpowiednio 80,5% </w:t>
      </w:r>
      <w:r w:rsidR="00A84B3D">
        <w:rPr>
          <w:rFonts w:ascii="Times New Roman" w:hAnsi="Times New Roman" w:cs="Times New Roman"/>
          <w:color w:val="0D0D0D" w:themeColor="text1" w:themeTint="F2"/>
          <w:sz w:val="24"/>
          <w:szCs w:val="24"/>
        </w:rPr>
        <w:br/>
      </w:r>
      <w:r w:rsidRPr="00B23828">
        <w:rPr>
          <w:rFonts w:ascii="Times New Roman" w:hAnsi="Times New Roman" w:cs="Times New Roman"/>
          <w:color w:val="0D0D0D" w:themeColor="text1" w:themeTint="F2"/>
          <w:sz w:val="24"/>
          <w:szCs w:val="24"/>
        </w:rPr>
        <w:t>i 84,9%). Na zamieszkiwanie w hałaśliwym lub zanieczyszczonym otoczeniu uskarżało się 16,3% gospodarstw osób starszych, 5,3% oceniło, że zamieszkuje w rejonie o złej infrastrukturze, a 3,0% wskazało na szczególne zagrożenie przestępczością (także przemocą, wandalizmem, bliskością melin). Szczególną uwagę należy zwrócić na fakt, że ponad 1/3 mieszkań osób będących w wieku 60 lat lub więcej znajdowała się w budynkach posiadających bariery architektoniczne utrudniające dostęp do mieszkania i problem ten sygnalizowały częściej gospodarstwa domowe zamieszkujące w miastach – 35,5 % niż na wsi - 19,7%.</w:t>
      </w:r>
    </w:p>
    <w:p w14:paraId="096A017B" w14:textId="77777777" w:rsidR="00C44070" w:rsidRDefault="00C44070" w:rsidP="003C1988">
      <w:pPr>
        <w:spacing w:after="120"/>
        <w:rPr>
          <w:rFonts w:ascii="Times New Roman" w:hAnsi="Times New Roman" w:cs="Times New Roman"/>
          <w:bCs/>
          <w:spacing w:val="-10"/>
          <w:kern w:val="20"/>
          <w:sz w:val="24"/>
          <w:szCs w:val="24"/>
        </w:rPr>
      </w:pPr>
    </w:p>
    <w:p w14:paraId="42C778CA" w14:textId="4BE985E1" w:rsidR="00A9161D" w:rsidRPr="00A9161D" w:rsidRDefault="00A9161D" w:rsidP="00A9161D">
      <w:pPr>
        <w:pStyle w:val="Legenda"/>
        <w:keepNext/>
        <w:jc w:val="both"/>
        <w:rPr>
          <w:rFonts w:ascii="Times New Roman" w:hAnsi="Times New Roman" w:cs="Times New Roman"/>
          <w:b/>
          <w:i w:val="0"/>
          <w:sz w:val="24"/>
        </w:rPr>
      </w:pPr>
      <w:bookmarkStart w:id="14" w:name="_Toc49171384"/>
      <w:r w:rsidRPr="00A9161D">
        <w:rPr>
          <w:rFonts w:ascii="Times New Roman" w:hAnsi="Times New Roman" w:cs="Times New Roman"/>
          <w:b/>
          <w:i w:val="0"/>
          <w:sz w:val="24"/>
        </w:rPr>
        <w:t xml:space="preserve">Tabela </w:t>
      </w:r>
      <w:r w:rsidRPr="00A9161D">
        <w:rPr>
          <w:rFonts w:ascii="Times New Roman" w:hAnsi="Times New Roman" w:cs="Times New Roman"/>
          <w:b/>
          <w:i w:val="0"/>
          <w:sz w:val="24"/>
        </w:rPr>
        <w:fldChar w:fldCharType="begin"/>
      </w:r>
      <w:r w:rsidRPr="00A9161D">
        <w:rPr>
          <w:rFonts w:ascii="Times New Roman" w:hAnsi="Times New Roman" w:cs="Times New Roman"/>
          <w:b/>
          <w:i w:val="0"/>
          <w:sz w:val="24"/>
        </w:rPr>
        <w:instrText xml:space="preserve"> SEQ Tabela \* ARABIC </w:instrText>
      </w:r>
      <w:r w:rsidRPr="00A9161D">
        <w:rPr>
          <w:rFonts w:ascii="Times New Roman" w:hAnsi="Times New Roman" w:cs="Times New Roman"/>
          <w:b/>
          <w:i w:val="0"/>
          <w:sz w:val="24"/>
        </w:rPr>
        <w:fldChar w:fldCharType="separate"/>
      </w:r>
      <w:r w:rsidR="00C154C9">
        <w:rPr>
          <w:rFonts w:ascii="Times New Roman" w:hAnsi="Times New Roman" w:cs="Times New Roman"/>
          <w:b/>
          <w:i w:val="0"/>
          <w:noProof/>
          <w:sz w:val="24"/>
        </w:rPr>
        <w:t>9</w:t>
      </w:r>
      <w:r w:rsidRPr="00A9161D">
        <w:rPr>
          <w:rFonts w:ascii="Times New Roman" w:hAnsi="Times New Roman" w:cs="Times New Roman"/>
          <w:b/>
          <w:i w:val="0"/>
          <w:sz w:val="24"/>
        </w:rPr>
        <w:fldChar w:fldCharType="end"/>
      </w:r>
      <w:r w:rsidRPr="00A9161D">
        <w:rPr>
          <w:rFonts w:ascii="Times New Roman" w:hAnsi="Times New Roman" w:cs="Times New Roman"/>
          <w:b/>
          <w:i w:val="0"/>
          <w:sz w:val="24"/>
        </w:rPr>
        <w:t xml:space="preserve"> Subiektywna opinia na temat użytkowanego przez gospodarstwo domowe mieszkania</w:t>
      </w:r>
      <w:bookmarkEnd w:id="14"/>
    </w:p>
    <w:tbl>
      <w:tblPr>
        <w:tblW w:w="9233"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497"/>
        <w:gridCol w:w="1329"/>
        <w:gridCol w:w="1411"/>
        <w:gridCol w:w="1329"/>
        <w:gridCol w:w="1333"/>
        <w:gridCol w:w="1334"/>
      </w:tblGrid>
      <w:tr w:rsidR="00C44070" w:rsidRPr="00342041" w14:paraId="21DF1E2B" w14:textId="77777777" w:rsidTr="00C10ECA">
        <w:trPr>
          <w:trHeight w:val="398"/>
          <w:jc w:val="center"/>
        </w:trPr>
        <w:tc>
          <w:tcPr>
            <w:tcW w:w="2497" w:type="dxa"/>
            <w:vMerge w:val="restart"/>
            <w:shd w:val="clear" w:color="auto" w:fill="9CC2E5" w:themeFill="accent1" w:themeFillTint="99"/>
            <w:vAlign w:val="center"/>
            <w:hideMark/>
          </w:tcPr>
          <w:p w14:paraId="7971C48E"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Wyszczególnienie</w:t>
            </w:r>
          </w:p>
        </w:tc>
        <w:tc>
          <w:tcPr>
            <w:tcW w:w="6736" w:type="dxa"/>
            <w:gridSpan w:val="5"/>
            <w:shd w:val="clear" w:color="auto" w:fill="9CC2E5" w:themeFill="accent1" w:themeFillTint="99"/>
            <w:vAlign w:val="center"/>
            <w:hideMark/>
          </w:tcPr>
          <w:p w14:paraId="1C8E805D"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Gospodarstwa domowe  </w:t>
            </w:r>
          </w:p>
        </w:tc>
      </w:tr>
      <w:tr w:rsidR="00C44070" w:rsidRPr="00342041" w14:paraId="56350865" w14:textId="77777777" w:rsidTr="00C10ECA">
        <w:trPr>
          <w:trHeight w:val="398"/>
          <w:jc w:val="center"/>
        </w:trPr>
        <w:tc>
          <w:tcPr>
            <w:tcW w:w="2497" w:type="dxa"/>
            <w:vMerge/>
            <w:shd w:val="clear" w:color="auto" w:fill="9CC2E5" w:themeFill="accent1" w:themeFillTint="99"/>
            <w:vAlign w:val="center"/>
            <w:hideMark/>
          </w:tcPr>
          <w:p w14:paraId="07951BC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29" w:type="dxa"/>
            <w:vMerge w:val="restart"/>
            <w:shd w:val="clear" w:color="auto" w:fill="9CC2E5" w:themeFill="accent1" w:themeFillTint="99"/>
            <w:vAlign w:val="center"/>
            <w:hideMark/>
          </w:tcPr>
          <w:p w14:paraId="7E5892E9"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bez osób </w:t>
            </w:r>
            <w:r w:rsidRPr="00342041">
              <w:rPr>
                <w:rFonts w:ascii="Times New Roman" w:eastAsia="Times New Roman" w:hAnsi="Times New Roman" w:cs="Times New Roman"/>
                <w:b/>
                <w:color w:val="000000"/>
                <w:sz w:val="20"/>
                <w:szCs w:val="20"/>
                <w:lang w:eastAsia="pl-PL"/>
              </w:rPr>
              <w:br/>
              <w:t>w wieku 60 lat i więcej</w:t>
            </w:r>
          </w:p>
        </w:tc>
        <w:tc>
          <w:tcPr>
            <w:tcW w:w="1411" w:type="dxa"/>
            <w:vMerge w:val="restart"/>
            <w:shd w:val="clear" w:color="auto" w:fill="9CC2E5" w:themeFill="accent1" w:themeFillTint="99"/>
            <w:vAlign w:val="center"/>
            <w:hideMark/>
          </w:tcPr>
          <w:p w14:paraId="2708F61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z przynajmniej 1 osobą </w:t>
            </w:r>
            <w:r w:rsidRPr="00342041">
              <w:rPr>
                <w:rFonts w:ascii="Times New Roman" w:eastAsia="Times New Roman" w:hAnsi="Times New Roman" w:cs="Times New Roman"/>
                <w:b/>
                <w:color w:val="000000"/>
                <w:sz w:val="20"/>
                <w:szCs w:val="20"/>
                <w:lang w:eastAsia="pl-PL"/>
              </w:rPr>
              <w:br/>
              <w:t>w wieku 60 lat i więcej</w:t>
            </w:r>
          </w:p>
        </w:tc>
        <w:tc>
          <w:tcPr>
            <w:tcW w:w="3996" w:type="dxa"/>
            <w:gridSpan w:val="3"/>
            <w:shd w:val="clear" w:color="auto" w:fill="9CC2E5" w:themeFill="accent1" w:themeFillTint="99"/>
            <w:vAlign w:val="center"/>
            <w:hideMark/>
          </w:tcPr>
          <w:p w14:paraId="1DD6D84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wyłącznie z osobami w wieku 60 lat i więcej</w:t>
            </w:r>
          </w:p>
        </w:tc>
      </w:tr>
      <w:tr w:rsidR="00C44070" w:rsidRPr="00342041" w14:paraId="0DE01B77" w14:textId="77777777" w:rsidTr="00C10ECA">
        <w:trPr>
          <w:trHeight w:val="398"/>
          <w:jc w:val="center"/>
        </w:trPr>
        <w:tc>
          <w:tcPr>
            <w:tcW w:w="2497" w:type="dxa"/>
            <w:vMerge/>
            <w:shd w:val="clear" w:color="auto" w:fill="9CC2E5" w:themeFill="accent1" w:themeFillTint="99"/>
            <w:vAlign w:val="center"/>
            <w:hideMark/>
          </w:tcPr>
          <w:p w14:paraId="4B8FDF49"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29" w:type="dxa"/>
            <w:vMerge/>
            <w:shd w:val="clear" w:color="auto" w:fill="9CC2E5" w:themeFill="accent1" w:themeFillTint="99"/>
            <w:vAlign w:val="center"/>
            <w:hideMark/>
          </w:tcPr>
          <w:p w14:paraId="6975D021"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411" w:type="dxa"/>
            <w:vMerge/>
            <w:shd w:val="clear" w:color="auto" w:fill="9CC2E5" w:themeFill="accent1" w:themeFillTint="99"/>
            <w:vAlign w:val="center"/>
            <w:hideMark/>
          </w:tcPr>
          <w:p w14:paraId="67BE6F4E"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29" w:type="dxa"/>
            <w:vMerge w:val="restart"/>
            <w:shd w:val="clear" w:color="auto" w:fill="9CC2E5" w:themeFill="accent1" w:themeFillTint="99"/>
            <w:vAlign w:val="center"/>
            <w:hideMark/>
          </w:tcPr>
          <w:p w14:paraId="0FC10411"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razem</w:t>
            </w:r>
          </w:p>
        </w:tc>
        <w:tc>
          <w:tcPr>
            <w:tcW w:w="2667" w:type="dxa"/>
            <w:gridSpan w:val="2"/>
            <w:shd w:val="clear" w:color="auto" w:fill="9CC2E5" w:themeFill="accent1" w:themeFillTint="99"/>
            <w:vAlign w:val="center"/>
            <w:hideMark/>
          </w:tcPr>
          <w:p w14:paraId="7AC5B5E5"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w:t>
            </w:r>
          </w:p>
        </w:tc>
      </w:tr>
      <w:tr w:rsidR="00C44070" w:rsidRPr="00342041" w14:paraId="0033E698" w14:textId="77777777" w:rsidTr="00C10ECA">
        <w:trPr>
          <w:trHeight w:val="450"/>
          <w:jc w:val="center"/>
        </w:trPr>
        <w:tc>
          <w:tcPr>
            <w:tcW w:w="2497" w:type="dxa"/>
            <w:vMerge/>
            <w:shd w:val="clear" w:color="auto" w:fill="9CC2E5" w:themeFill="accent1" w:themeFillTint="99"/>
            <w:vAlign w:val="center"/>
            <w:hideMark/>
          </w:tcPr>
          <w:p w14:paraId="698A4EB6"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29" w:type="dxa"/>
            <w:vMerge/>
            <w:shd w:val="clear" w:color="auto" w:fill="9CC2E5" w:themeFill="accent1" w:themeFillTint="99"/>
            <w:vAlign w:val="center"/>
            <w:hideMark/>
          </w:tcPr>
          <w:p w14:paraId="79FA9BF1"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411" w:type="dxa"/>
            <w:vMerge/>
            <w:shd w:val="clear" w:color="auto" w:fill="9CC2E5" w:themeFill="accent1" w:themeFillTint="99"/>
            <w:vAlign w:val="center"/>
            <w:hideMark/>
          </w:tcPr>
          <w:p w14:paraId="1E3D681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29" w:type="dxa"/>
            <w:vMerge/>
            <w:shd w:val="clear" w:color="auto" w:fill="9CC2E5" w:themeFill="accent1" w:themeFillTint="99"/>
            <w:vAlign w:val="center"/>
            <w:hideMark/>
          </w:tcPr>
          <w:p w14:paraId="34CFC1E1"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33" w:type="dxa"/>
            <w:vMerge w:val="restart"/>
            <w:shd w:val="clear" w:color="auto" w:fill="9CC2E5" w:themeFill="accent1" w:themeFillTint="99"/>
            <w:vAlign w:val="center"/>
            <w:hideMark/>
          </w:tcPr>
          <w:p w14:paraId="214DA810"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1-osobowe</w:t>
            </w:r>
          </w:p>
        </w:tc>
        <w:tc>
          <w:tcPr>
            <w:tcW w:w="1334" w:type="dxa"/>
            <w:vMerge w:val="restart"/>
            <w:shd w:val="clear" w:color="auto" w:fill="9CC2E5" w:themeFill="accent1" w:themeFillTint="99"/>
            <w:vAlign w:val="center"/>
            <w:hideMark/>
          </w:tcPr>
          <w:p w14:paraId="3B3520B0"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2-osobowe (obydwie osoby</w:t>
            </w:r>
            <w:r w:rsidRPr="00342041">
              <w:rPr>
                <w:rFonts w:ascii="Times New Roman" w:eastAsia="Times New Roman" w:hAnsi="Times New Roman" w:cs="Times New Roman"/>
                <w:b/>
                <w:color w:val="000000"/>
                <w:sz w:val="20"/>
                <w:szCs w:val="20"/>
                <w:lang w:eastAsia="pl-PL"/>
              </w:rPr>
              <w:br/>
              <w:t xml:space="preserve">w wieku 60 lat </w:t>
            </w:r>
            <w:r w:rsidRPr="00342041">
              <w:rPr>
                <w:rFonts w:ascii="Times New Roman" w:eastAsia="Times New Roman" w:hAnsi="Times New Roman" w:cs="Times New Roman"/>
                <w:b/>
                <w:color w:val="000000"/>
                <w:sz w:val="20"/>
                <w:szCs w:val="20"/>
                <w:lang w:eastAsia="pl-PL"/>
              </w:rPr>
              <w:br/>
              <w:t>i więcej)</w:t>
            </w:r>
          </w:p>
        </w:tc>
      </w:tr>
      <w:tr w:rsidR="00C44070" w:rsidRPr="00342041" w14:paraId="3CFF7C6E" w14:textId="77777777" w:rsidTr="00C10ECA">
        <w:trPr>
          <w:trHeight w:val="450"/>
          <w:jc w:val="center"/>
        </w:trPr>
        <w:tc>
          <w:tcPr>
            <w:tcW w:w="2497" w:type="dxa"/>
            <w:vMerge/>
            <w:shd w:val="clear" w:color="auto" w:fill="9CC2E5" w:themeFill="accent1" w:themeFillTint="99"/>
            <w:vAlign w:val="center"/>
            <w:hideMark/>
          </w:tcPr>
          <w:p w14:paraId="622202D9"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29" w:type="dxa"/>
            <w:vMerge/>
            <w:shd w:val="clear" w:color="auto" w:fill="9CC2E5" w:themeFill="accent1" w:themeFillTint="99"/>
            <w:vAlign w:val="center"/>
            <w:hideMark/>
          </w:tcPr>
          <w:p w14:paraId="4DD4306D"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411" w:type="dxa"/>
            <w:vMerge/>
            <w:shd w:val="clear" w:color="auto" w:fill="9CC2E5" w:themeFill="accent1" w:themeFillTint="99"/>
            <w:vAlign w:val="center"/>
            <w:hideMark/>
          </w:tcPr>
          <w:p w14:paraId="6052958B"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29" w:type="dxa"/>
            <w:vMerge/>
            <w:shd w:val="clear" w:color="auto" w:fill="9CC2E5" w:themeFill="accent1" w:themeFillTint="99"/>
            <w:vAlign w:val="center"/>
            <w:hideMark/>
          </w:tcPr>
          <w:p w14:paraId="5B3FEE6E"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33" w:type="dxa"/>
            <w:vMerge/>
            <w:shd w:val="clear" w:color="auto" w:fill="9CC2E5" w:themeFill="accent1" w:themeFillTint="99"/>
            <w:vAlign w:val="center"/>
            <w:hideMark/>
          </w:tcPr>
          <w:p w14:paraId="3EAAD23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34" w:type="dxa"/>
            <w:vMerge/>
            <w:shd w:val="clear" w:color="auto" w:fill="9CC2E5" w:themeFill="accent1" w:themeFillTint="99"/>
            <w:vAlign w:val="center"/>
            <w:hideMark/>
          </w:tcPr>
          <w:p w14:paraId="3A507E06"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r>
      <w:tr w:rsidR="00C44070" w:rsidRPr="00342041" w14:paraId="7CEB40A8" w14:textId="77777777" w:rsidTr="00C10ECA">
        <w:trPr>
          <w:trHeight w:val="450"/>
          <w:jc w:val="center"/>
        </w:trPr>
        <w:tc>
          <w:tcPr>
            <w:tcW w:w="2497" w:type="dxa"/>
            <w:vMerge/>
            <w:shd w:val="clear" w:color="auto" w:fill="9CC2E5" w:themeFill="accent1" w:themeFillTint="99"/>
            <w:vAlign w:val="center"/>
            <w:hideMark/>
          </w:tcPr>
          <w:p w14:paraId="3055500B"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29" w:type="dxa"/>
            <w:vMerge/>
            <w:shd w:val="clear" w:color="auto" w:fill="9CC2E5" w:themeFill="accent1" w:themeFillTint="99"/>
            <w:vAlign w:val="center"/>
            <w:hideMark/>
          </w:tcPr>
          <w:p w14:paraId="53EC85CB"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411" w:type="dxa"/>
            <w:vMerge/>
            <w:shd w:val="clear" w:color="auto" w:fill="9CC2E5" w:themeFill="accent1" w:themeFillTint="99"/>
            <w:vAlign w:val="center"/>
            <w:hideMark/>
          </w:tcPr>
          <w:p w14:paraId="33D5A7B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29" w:type="dxa"/>
            <w:vMerge/>
            <w:shd w:val="clear" w:color="auto" w:fill="9CC2E5" w:themeFill="accent1" w:themeFillTint="99"/>
            <w:vAlign w:val="center"/>
            <w:hideMark/>
          </w:tcPr>
          <w:p w14:paraId="26910C8D"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33" w:type="dxa"/>
            <w:vMerge/>
            <w:shd w:val="clear" w:color="auto" w:fill="9CC2E5" w:themeFill="accent1" w:themeFillTint="99"/>
            <w:vAlign w:val="center"/>
            <w:hideMark/>
          </w:tcPr>
          <w:p w14:paraId="259B3F9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1334" w:type="dxa"/>
            <w:vMerge/>
            <w:shd w:val="clear" w:color="auto" w:fill="9CC2E5" w:themeFill="accent1" w:themeFillTint="99"/>
            <w:vAlign w:val="center"/>
            <w:hideMark/>
          </w:tcPr>
          <w:p w14:paraId="4FE41AF6"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r>
      <w:tr w:rsidR="00C44070" w:rsidRPr="00342041" w14:paraId="79F660F8" w14:textId="77777777" w:rsidTr="00C10ECA">
        <w:trPr>
          <w:trHeight w:val="338"/>
          <w:jc w:val="center"/>
        </w:trPr>
        <w:tc>
          <w:tcPr>
            <w:tcW w:w="2497" w:type="dxa"/>
            <w:vMerge/>
            <w:shd w:val="clear" w:color="auto" w:fill="9CC2E5" w:themeFill="accent1" w:themeFillTint="99"/>
            <w:vAlign w:val="center"/>
            <w:hideMark/>
          </w:tcPr>
          <w:p w14:paraId="681C5F72"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p>
        </w:tc>
        <w:tc>
          <w:tcPr>
            <w:tcW w:w="6736" w:type="dxa"/>
            <w:gridSpan w:val="5"/>
            <w:shd w:val="clear" w:color="auto" w:fill="9CC2E5" w:themeFill="accent1" w:themeFillTint="99"/>
            <w:vAlign w:val="center"/>
            <w:hideMark/>
          </w:tcPr>
          <w:p w14:paraId="23868057"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 danej grupy gospodarstw</w:t>
            </w:r>
          </w:p>
        </w:tc>
      </w:tr>
      <w:tr w:rsidR="00C44070" w:rsidRPr="00342041" w14:paraId="34AE2511" w14:textId="77777777" w:rsidTr="00C10ECA">
        <w:trPr>
          <w:trHeight w:val="398"/>
          <w:jc w:val="center"/>
        </w:trPr>
        <w:tc>
          <w:tcPr>
            <w:tcW w:w="9233" w:type="dxa"/>
            <w:gridSpan w:val="6"/>
            <w:shd w:val="clear" w:color="auto" w:fill="auto"/>
            <w:vAlign w:val="center"/>
            <w:hideMark/>
          </w:tcPr>
          <w:p w14:paraId="7BF3025A" w14:textId="77777777" w:rsidR="00C44070" w:rsidRPr="00342041" w:rsidRDefault="00C44070" w:rsidP="0035219D">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w:t>
            </w:r>
          </w:p>
        </w:tc>
      </w:tr>
      <w:tr w:rsidR="00C44070" w:rsidRPr="00342041" w14:paraId="6AB08499" w14:textId="77777777" w:rsidTr="00C10ECA">
        <w:trPr>
          <w:trHeight w:val="300"/>
          <w:jc w:val="center"/>
        </w:trPr>
        <w:tc>
          <w:tcPr>
            <w:tcW w:w="2497" w:type="dxa"/>
            <w:shd w:val="clear" w:color="auto" w:fill="9CC2E5" w:themeFill="accent1" w:themeFillTint="99"/>
            <w:hideMark/>
          </w:tcPr>
          <w:p w14:paraId="17D0C615"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lastRenderedPageBreak/>
              <w:t xml:space="preserve">Posiada odpowiednie warunki techniczno-sanitarne                                                      </w:t>
            </w:r>
          </w:p>
        </w:tc>
        <w:tc>
          <w:tcPr>
            <w:tcW w:w="1329" w:type="dxa"/>
            <w:shd w:val="clear" w:color="000000" w:fill="FFFFFF"/>
            <w:hideMark/>
          </w:tcPr>
          <w:p w14:paraId="3F4BE35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93,1</w:t>
            </w:r>
          </w:p>
        </w:tc>
        <w:tc>
          <w:tcPr>
            <w:tcW w:w="1411" w:type="dxa"/>
            <w:shd w:val="clear" w:color="000000" w:fill="FFFFFF"/>
            <w:hideMark/>
          </w:tcPr>
          <w:p w14:paraId="5D5DD7B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92,0</w:t>
            </w:r>
          </w:p>
        </w:tc>
        <w:tc>
          <w:tcPr>
            <w:tcW w:w="1329" w:type="dxa"/>
            <w:shd w:val="clear" w:color="000000" w:fill="FFFFFF"/>
            <w:hideMark/>
          </w:tcPr>
          <w:p w14:paraId="7429C0D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91,9</w:t>
            </w:r>
          </w:p>
        </w:tc>
        <w:tc>
          <w:tcPr>
            <w:tcW w:w="1333" w:type="dxa"/>
            <w:shd w:val="clear" w:color="000000" w:fill="FFFFFF"/>
            <w:hideMark/>
          </w:tcPr>
          <w:p w14:paraId="00D8539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89,4</w:t>
            </w:r>
          </w:p>
        </w:tc>
        <w:tc>
          <w:tcPr>
            <w:tcW w:w="1334" w:type="dxa"/>
            <w:shd w:val="clear" w:color="000000" w:fill="FFFFFF"/>
            <w:hideMark/>
          </w:tcPr>
          <w:p w14:paraId="060AE2E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94,9</w:t>
            </w:r>
          </w:p>
        </w:tc>
      </w:tr>
      <w:tr w:rsidR="00C44070" w:rsidRPr="00342041" w14:paraId="50A61CB4" w14:textId="77777777" w:rsidTr="00C10ECA">
        <w:trPr>
          <w:trHeight w:val="300"/>
          <w:jc w:val="center"/>
        </w:trPr>
        <w:tc>
          <w:tcPr>
            <w:tcW w:w="2497" w:type="dxa"/>
            <w:shd w:val="clear" w:color="auto" w:fill="9CC2E5" w:themeFill="accent1" w:themeFillTint="99"/>
            <w:hideMark/>
          </w:tcPr>
          <w:p w14:paraId="10DBD981"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hałaśliwym lub zanieczyszczonym otoczeniu                                             </w:t>
            </w:r>
          </w:p>
        </w:tc>
        <w:tc>
          <w:tcPr>
            <w:tcW w:w="1329" w:type="dxa"/>
            <w:shd w:val="clear" w:color="000000" w:fill="FFFFFF"/>
            <w:hideMark/>
          </w:tcPr>
          <w:p w14:paraId="5D33DE0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15,9</w:t>
            </w:r>
          </w:p>
        </w:tc>
        <w:tc>
          <w:tcPr>
            <w:tcW w:w="1411" w:type="dxa"/>
            <w:shd w:val="clear" w:color="000000" w:fill="FFFFFF"/>
            <w:hideMark/>
          </w:tcPr>
          <w:p w14:paraId="29D9031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15,7</w:t>
            </w:r>
          </w:p>
        </w:tc>
        <w:tc>
          <w:tcPr>
            <w:tcW w:w="1329" w:type="dxa"/>
            <w:shd w:val="clear" w:color="000000" w:fill="FFFFFF"/>
            <w:hideMark/>
          </w:tcPr>
          <w:p w14:paraId="05594A3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16,3</w:t>
            </w:r>
          </w:p>
        </w:tc>
        <w:tc>
          <w:tcPr>
            <w:tcW w:w="1333" w:type="dxa"/>
            <w:shd w:val="clear" w:color="000000" w:fill="FFFFFF"/>
            <w:hideMark/>
          </w:tcPr>
          <w:p w14:paraId="4D80582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16,7</w:t>
            </w:r>
          </w:p>
        </w:tc>
        <w:tc>
          <w:tcPr>
            <w:tcW w:w="1334" w:type="dxa"/>
            <w:shd w:val="clear" w:color="000000" w:fill="FFFFFF"/>
            <w:hideMark/>
          </w:tcPr>
          <w:p w14:paraId="4FC1960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15,9</w:t>
            </w:r>
          </w:p>
        </w:tc>
      </w:tr>
      <w:tr w:rsidR="00C44070" w:rsidRPr="00342041" w14:paraId="2F1D5648" w14:textId="77777777" w:rsidTr="00C10ECA">
        <w:trPr>
          <w:trHeight w:val="503"/>
          <w:jc w:val="center"/>
        </w:trPr>
        <w:tc>
          <w:tcPr>
            <w:tcW w:w="2497" w:type="dxa"/>
            <w:shd w:val="clear" w:color="auto" w:fill="9CC2E5" w:themeFill="accent1" w:themeFillTint="99"/>
            <w:hideMark/>
          </w:tcPr>
          <w:p w14:paraId="0FA81723"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rejonie szczególnie zagrożonym </w:t>
            </w:r>
            <w:r w:rsidRPr="00342041">
              <w:rPr>
                <w:rFonts w:ascii="Times New Roman" w:eastAsia="Times New Roman" w:hAnsi="Times New Roman" w:cs="Times New Roman"/>
                <w:b/>
                <w:color w:val="000000"/>
                <w:sz w:val="20"/>
                <w:szCs w:val="20"/>
                <w:lang w:eastAsia="pl-PL"/>
              </w:rPr>
              <w:br/>
              <w:t xml:space="preserve">    przestępczością, przemocą, wandalizmem, w pobliżu melin</w:t>
            </w:r>
          </w:p>
        </w:tc>
        <w:tc>
          <w:tcPr>
            <w:tcW w:w="1329" w:type="dxa"/>
            <w:shd w:val="clear" w:color="000000" w:fill="FFFFFF"/>
            <w:hideMark/>
          </w:tcPr>
          <w:p w14:paraId="3E8C42D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3,7</w:t>
            </w:r>
          </w:p>
        </w:tc>
        <w:tc>
          <w:tcPr>
            <w:tcW w:w="1411" w:type="dxa"/>
            <w:shd w:val="clear" w:color="000000" w:fill="FFFFFF"/>
            <w:hideMark/>
          </w:tcPr>
          <w:p w14:paraId="25ED745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2,9</w:t>
            </w:r>
          </w:p>
        </w:tc>
        <w:tc>
          <w:tcPr>
            <w:tcW w:w="1329" w:type="dxa"/>
            <w:shd w:val="clear" w:color="000000" w:fill="FFFFFF"/>
            <w:hideMark/>
          </w:tcPr>
          <w:p w14:paraId="2194407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3,0</w:t>
            </w:r>
          </w:p>
        </w:tc>
        <w:tc>
          <w:tcPr>
            <w:tcW w:w="1333" w:type="dxa"/>
            <w:shd w:val="clear" w:color="000000" w:fill="FFFFFF"/>
            <w:hideMark/>
          </w:tcPr>
          <w:p w14:paraId="4F78C99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3,6</w:t>
            </w:r>
          </w:p>
        </w:tc>
        <w:tc>
          <w:tcPr>
            <w:tcW w:w="1334" w:type="dxa"/>
            <w:shd w:val="clear" w:color="000000" w:fill="FFFFFF"/>
            <w:hideMark/>
          </w:tcPr>
          <w:p w14:paraId="67D9F1C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2,1</w:t>
            </w:r>
          </w:p>
        </w:tc>
      </w:tr>
      <w:tr w:rsidR="00C44070" w:rsidRPr="00342041" w14:paraId="4DC91E6E" w14:textId="77777777" w:rsidTr="00C10ECA">
        <w:trPr>
          <w:trHeight w:val="300"/>
          <w:jc w:val="center"/>
        </w:trPr>
        <w:tc>
          <w:tcPr>
            <w:tcW w:w="2497" w:type="dxa"/>
            <w:shd w:val="clear" w:color="auto" w:fill="9CC2E5" w:themeFill="accent1" w:themeFillTint="99"/>
            <w:hideMark/>
          </w:tcPr>
          <w:p w14:paraId="1383CCB8"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rejonie o złej infrastrukturze                                                        </w:t>
            </w:r>
          </w:p>
        </w:tc>
        <w:tc>
          <w:tcPr>
            <w:tcW w:w="1329" w:type="dxa"/>
            <w:shd w:val="clear" w:color="000000" w:fill="FFFFFF"/>
            <w:hideMark/>
          </w:tcPr>
          <w:p w14:paraId="42516A0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6,1</w:t>
            </w:r>
          </w:p>
        </w:tc>
        <w:tc>
          <w:tcPr>
            <w:tcW w:w="1411" w:type="dxa"/>
            <w:shd w:val="clear" w:color="000000" w:fill="FFFFFF"/>
            <w:hideMark/>
          </w:tcPr>
          <w:p w14:paraId="485DC82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6,8</w:t>
            </w:r>
          </w:p>
        </w:tc>
        <w:tc>
          <w:tcPr>
            <w:tcW w:w="1329" w:type="dxa"/>
            <w:shd w:val="clear" w:color="000000" w:fill="FFFFFF"/>
            <w:hideMark/>
          </w:tcPr>
          <w:p w14:paraId="50D3E3F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5,3</w:t>
            </w:r>
          </w:p>
        </w:tc>
        <w:tc>
          <w:tcPr>
            <w:tcW w:w="1333" w:type="dxa"/>
            <w:shd w:val="clear" w:color="000000" w:fill="FFFFFF"/>
            <w:hideMark/>
          </w:tcPr>
          <w:p w14:paraId="6BDE7C1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5,1</w:t>
            </w:r>
          </w:p>
        </w:tc>
        <w:tc>
          <w:tcPr>
            <w:tcW w:w="1334" w:type="dxa"/>
            <w:shd w:val="clear" w:color="000000" w:fill="FFFFFF"/>
            <w:hideMark/>
          </w:tcPr>
          <w:p w14:paraId="514B38A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5,5</w:t>
            </w:r>
          </w:p>
        </w:tc>
      </w:tr>
      <w:tr w:rsidR="00C44070" w:rsidRPr="00342041" w14:paraId="5D92DCD4" w14:textId="77777777" w:rsidTr="00C10ECA">
        <w:trPr>
          <w:trHeight w:val="300"/>
          <w:jc w:val="center"/>
        </w:trPr>
        <w:tc>
          <w:tcPr>
            <w:tcW w:w="2497" w:type="dxa"/>
            <w:shd w:val="clear" w:color="auto" w:fill="9CC2E5" w:themeFill="accent1" w:themeFillTint="99"/>
            <w:hideMark/>
          </w:tcPr>
          <w:p w14:paraId="37A151E8"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rejonie o szczególnych zaletach                                                       </w:t>
            </w:r>
          </w:p>
        </w:tc>
        <w:tc>
          <w:tcPr>
            <w:tcW w:w="1329" w:type="dxa"/>
            <w:shd w:val="clear" w:color="000000" w:fill="FFFFFF"/>
            <w:hideMark/>
          </w:tcPr>
          <w:p w14:paraId="42CFF2F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11,1</w:t>
            </w:r>
          </w:p>
        </w:tc>
        <w:tc>
          <w:tcPr>
            <w:tcW w:w="1411" w:type="dxa"/>
            <w:shd w:val="clear" w:color="000000" w:fill="FFFFFF"/>
            <w:hideMark/>
          </w:tcPr>
          <w:p w14:paraId="3EA9DF9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w:t>
            </w:r>
          </w:p>
        </w:tc>
        <w:tc>
          <w:tcPr>
            <w:tcW w:w="1329" w:type="dxa"/>
            <w:shd w:val="clear" w:color="000000" w:fill="FFFFFF"/>
            <w:hideMark/>
          </w:tcPr>
          <w:p w14:paraId="15F2FA6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11,0</w:t>
            </w:r>
          </w:p>
        </w:tc>
        <w:tc>
          <w:tcPr>
            <w:tcW w:w="1333" w:type="dxa"/>
            <w:shd w:val="clear" w:color="000000" w:fill="FFFFFF"/>
            <w:hideMark/>
          </w:tcPr>
          <w:p w14:paraId="257DC9E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10,4</w:t>
            </w:r>
          </w:p>
        </w:tc>
        <w:tc>
          <w:tcPr>
            <w:tcW w:w="1334" w:type="dxa"/>
            <w:shd w:val="clear" w:color="000000" w:fill="FFFFFF"/>
            <w:hideMark/>
          </w:tcPr>
          <w:p w14:paraId="65B7F73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11,6</w:t>
            </w:r>
          </w:p>
        </w:tc>
      </w:tr>
      <w:tr w:rsidR="00C44070" w:rsidRPr="00342041" w14:paraId="161B8BF5" w14:textId="77777777" w:rsidTr="00C10ECA">
        <w:trPr>
          <w:trHeight w:val="300"/>
          <w:jc w:val="center"/>
        </w:trPr>
        <w:tc>
          <w:tcPr>
            <w:tcW w:w="2497" w:type="dxa"/>
            <w:shd w:val="clear" w:color="auto" w:fill="9CC2E5" w:themeFill="accent1" w:themeFillTint="99"/>
            <w:hideMark/>
          </w:tcPr>
          <w:p w14:paraId="662E9C89"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Posiada balkon (taras), ogródek                                                                       </w:t>
            </w:r>
          </w:p>
        </w:tc>
        <w:tc>
          <w:tcPr>
            <w:tcW w:w="1329" w:type="dxa"/>
            <w:shd w:val="clear" w:color="000000" w:fill="FFFFFF"/>
            <w:hideMark/>
          </w:tcPr>
          <w:p w14:paraId="253826B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79,5</w:t>
            </w:r>
          </w:p>
        </w:tc>
        <w:tc>
          <w:tcPr>
            <w:tcW w:w="1411" w:type="dxa"/>
            <w:shd w:val="clear" w:color="000000" w:fill="FFFFFF"/>
            <w:hideMark/>
          </w:tcPr>
          <w:p w14:paraId="7631E00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83,4</w:t>
            </w:r>
          </w:p>
        </w:tc>
        <w:tc>
          <w:tcPr>
            <w:tcW w:w="1329" w:type="dxa"/>
            <w:shd w:val="clear" w:color="000000" w:fill="FFFFFF"/>
            <w:hideMark/>
          </w:tcPr>
          <w:p w14:paraId="726BF9B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80,5</w:t>
            </w:r>
          </w:p>
        </w:tc>
        <w:tc>
          <w:tcPr>
            <w:tcW w:w="1333" w:type="dxa"/>
            <w:shd w:val="clear" w:color="000000" w:fill="FFFFFF"/>
            <w:hideMark/>
          </w:tcPr>
          <w:p w14:paraId="3358539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75,2</w:t>
            </w:r>
          </w:p>
        </w:tc>
        <w:tc>
          <w:tcPr>
            <w:tcW w:w="1334" w:type="dxa"/>
            <w:shd w:val="clear" w:color="000000" w:fill="FFFFFF"/>
            <w:hideMark/>
          </w:tcPr>
          <w:p w14:paraId="5E8B03B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86,7</w:t>
            </w:r>
          </w:p>
        </w:tc>
      </w:tr>
      <w:tr w:rsidR="00C44070" w:rsidRPr="00342041" w14:paraId="5C37678C" w14:textId="77777777" w:rsidTr="00C10ECA">
        <w:trPr>
          <w:trHeight w:val="300"/>
          <w:jc w:val="center"/>
        </w:trPr>
        <w:tc>
          <w:tcPr>
            <w:tcW w:w="2497" w:type="dxa"/>
            <w:shd w:val="clear" w:color="auto" w:fill="9CC2E5" w:themeFill="accent1" w:themeFillTint="99"/>
            <w:hideMark/>
          </w:tcPr>
          <w:p w14:paraId="39D4FA1D"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Zapewnia komfort termiczny                                                                            </w:t>
            </w:r>
          </w:p>
        </w:tc>
        <w:tc>
          <w:tcPr>
            <w:tcW w:w="1329" w:type="dxa"/>
            <w:shd w:val="clear" w:color="000000" w:fill="FFFFFF"/>
            <w:hideMark/>
          </w:tcPr>
          <w:p w14:paraId="3A8C08A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86,2</w:t>
            </w:r>
          </w:p>
        </w:tc>
        <w:tc>
          <w:tcPr>
            <w:tcW w:w="1411" w:type="dxa"/>
            <w:shd w:val="clear" w:color="000000" w:fill="FFFFFF"/>
            <w:hideMark/>
          </w:tcPr>
          <w:p w14:paraId="2934812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85,4</w:t>
            </w:r>
          </w:p>
        </w:tc>
        <w:tc>
          <w:tcPr>
            <w:tcW w:w="1329" w:type="dxa"/>
            <w:shd w:val="clear" w:color="000000" w:fill="FFFFFF"/>
            <w:hideMark/>
          </w:tcPr>
          <w:p w14:paraId="5E4C700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84,9</w:t>
            </w:r>
          </w:p>
        </w:tc>
        <w:tc>
          <w:tcPr>
            <w:tcW w:w="1333" w:type="dxa"/>
            <w:shd w:val="clear" w:color="000000" w:fill="FFFFFF"/>
            <w:hideMark/>
          </w:tcPr>
          <w:p w14:paraId="35722D0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82,5</w:t>
            </w:r>
          </w:p>
        </w:tc>
        <w:tc>
          <w:tcPr>
            <w:tcW w:w="1334" w:type="dxa"/>
            <w:shd w:val="clear" w:color="000000" w:fill="FFFFFF"/>
            <w:hideMark/>
          </w:tcPr>
          <w:p w14:paraId="7836751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87,9</w:t>
            </w:r>
          </w:p>
        </w:tc>
      </w:tr>
      <w:tr w:rsidR="00C44070" w:rsidRPr="00342041" w14:paraId="6BF9AE41" w14:textId="77777777" w:rsidTr="00C10ECA">
        <w:trPr>
          <w:trHeight w:val="480"/>
          <w:jc w:val="center"/>
        </w:trPr>
        <w:tc>
          <w:tcPr>
            <w:tcW w:w="2497" w:type="dxa"/>
            <w:shd w:val="clear" w:color="auto" w:fill="9CC2E5" w:themeFill="accent1" w:themeFillTint="99"/>
            <w:hideMark/>
          </w:tcPr>
          <w:p w14:paraId="548C3E80"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Znajduje się w budynku posiadającym bariery architektoniczne utrudniające </w:t>
            </w:r>
            <w:r w:rsidR="0035219D" w:rsidRPr="00342041">
              <w:rPr>
                <w:rFonts w:ascii="Times New Roman" w:eastAsia="Times New Roman" w:hAnsi="Times New Roman" w:cs="Times New Roman"/>
                <w:b/>
                <w:color w:val="000000"/>
                <w:sz w:val="20"/>
                <w:szCs w:val="20"/>
                <w:lang w:eastAsia="pl-PL"/>
              </w:rPr>
              <w:t>dostęp</w:t>
            </w:r>
            <w:r w:rsidRPr="00342041">
              <w:rPr>
                <w:rFonts w:ascii="Times New Roman" w:eastAsia="Times New Roman" w:hAnsi="Times New Roman" w:cs="Times New Roman"/>
                <w:b/>
                <w:color w:val="000000"/>
                <w:sz w:val="20"/>
                <w:szCs w:val="20"/>
                <w:lang w:eastAsia="pl-PL"/>
              </w:rPr>
              <w:t xml:space="preserve"> do mieszkania        </w:t>
            </w:r>
          </w:p>
        </w:tc>
        <w:tc>
          <w:tcPr>
            <w:tcW w:w="1329" w:type="dxa"/>
            <w:shd w:val="clear" w:color="000000" w:fill="FFFFFF"/>
            <w:hideMark/>
          </w:tcPr>
          <w:p w14:paraId="234689C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27,8</w:t>
            </w:r>
          </w:p>
        </w:tc>
        <w:tc>
          <w:tcPr>
            <w:tcW w:w="1411" w:type="dxa"/>
            <w:shd w:val="clear" w:color="000000" w:fill="FFFFFF"/>
            <w:hideMark/>
          </w:tcPr>
          <w:p w14:paraId="6420192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29,1</w:t>
            </w:r>
          </w:p>
        </w:tc>
        <w:tc>
          <w:tcPr>
            <w:tcW w:w="1329" w:type="dxa"/>
            <w:shd w:val="clear" w:color="000000" w:fill="FFFFFF"/>
            <w:hideMark/>
          </w:tcPr>
          <w:p w14:paraId="3E724ED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31,4</w:t>
            </w:r>
          </w:p>
        </w:tc>
        <w:tc>
          <w:tcPr>
            <w:tcW w:w="1333" w:type="dxa"/>
            <w:shd w:val="clear" w:color="000000" w:fill="FFFFFF"/>
            <w:hideMark/>
          </w:tcPr>
          <w:p w14:paraId="4247DEE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32,2</w:t>
            </w:r>
          </w:p>
        </w:tc>
        <w:tc>
          <w:tcPr>
            <w:tcW w:w="1334" w:type="dxa"/>
            <w:shd w:val="clear" w:color="000000" w:fill="FFFFFF"/>
            <w:hideMark/>
          </w:tcPr>
          <w:p w14:paraId="5A40333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30,5</w:t>
            </w:r>
          </w:p>
        </w:tc>
      </w:tr>
      <w:tr w:rsidR="00C44070" w:rsidRPr="00342041" w14:paraId="3C6A7F3C" w14:textId="77777777" w:rsidTr="00C10ECA">
        <w:trPr>
          <w:trHeight w:val="315"/>
          <w:jc w:val="center"/>
        </w:trPr>
        <w:tc>
          <w:tcPr>
            <w:tcW w:w="9233" w:type="dxa"/>
            <w:gridSpan w:val="6"/>
            <w:shd w:val="clear" w:color="auto" w:fill="auto"/>
            <w:vAlign w:val="center"/>
            <w:hideMark/>
          </w:tcPr>
          <w:p w14:paraId="649ED551" w14:textId="77777777" w:rsidR="00C44070" w:rsidRPr="00342041" w:rsidRDefault="00C44070" w:rsidP="0035219D">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MIASTA</w:t>
            </w:r>
          </w:p>
        </w:tc>
      </w:tr>
      <w:tr w:rsidR="00C44070" w:rsidRPr="00342041" w14:paraId="2AB7DAE4" w14:textId="77777777" w:rsidTr="00C10ECA">
        <w:trPr>
          <w:trHeight w:val="300"/>
          <w:jc w:val="center"/>
        </w:trPr>
        <w:tc>
          <w:tcPr>
            <w:tcW w:w="2497" w:type="dxa"/>
            <w:shd w:val="clear" w:color="auto" w:fill="9CC2E5" w:themeFill="accent1" w:themeFillTint="99"/>
            <w:hideMark/>
          </w:tcPr>
          <w:p w14:paraId="5C9FEF78"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Posiada odpowiednie warunki techniczno-sanitarne                                                      </w:t>
            </w:r>
          </w:p>
        </w:tc>
        <w:tc>
          <w:tcPr>
            <w:tcW w:w="1329" w:type="dxa"/>
            <w:shd w:val="clear" w:color="000000" w:fill="FFFFFF"/>
            <w:hideMark/>
          </w:tcPr>
          <w:p w14:paraId="7EB2C42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93,5</w:t>
            </w:r>
          </w:p>
        </w:tc>
        <w:tc>
          <w:tcPr>
            <w:tcW w:w="1411" w:type="dxa"/>
            <w:shd w:val="clear" w:color="000000" w:fill="FFFFFF"/>
            <w:hideMark/>
          </w:tcPr>
          <w:p w14:paraId="2B1C0C2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93,4</w:t>
            </w:r>
          </w:p>
        </w:tc>
        <w:tc>
          <w:tcPr>
            <w:tcW w:w="1329" w:type="dxa"/>
            <w:shd w:val="clear" w:color="000000" w:fill="FFFFFF"/>
            <w:hideMark/>
          </w:tcPr>
          <w:p w14:paraId="6E0ACA9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93,7</w:t>
            </w:r>
          </w:p>
        </w:tc>
        <w:tc>
          <w:tcPr>
            <w:tcW w:w="1333" w:type="dxa"/>
            <w:shd w:val="clear" w:color="000000" w:fill="FFFFFF"/>
            <w:hideMark/>
          </w:tcPr>
          <w:p w14:paraId="2F0A28C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91,9</w:t>
            </w:r>
          </w:p>
        </w:tc>
        <w:tc>
          <w:tcPr>
            <w:tcW w:w="1334" w:type="dxa"/>
            <w:shd w:val="clear" w:color="000000" w:fill="FFFFFF"/>
            <w:hideMark/>
          </w:tcPr>
          <w:p w14:paraId="33CBC10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95,8</w:t>
            </w:r>
          </w:p>
        </w:tc>
      </w:tr>
      <w:tr w:rsidR="00C44070" w:rsidRPr="00342041" w14:paraId="1CDCD1BA" w14:textId="77777777" w:rsidTr="00C10ECA">
        <w:trPr>
          <w:trHeight w:val="300"/>
          <w:jc w:val="center"/>
        </w:trPr>
        <w:tc>
          <w:tcPr>
            <w:tcW w:w="2497" w:type="dxa"/>
            <w:shd w:val="clear" w:color="auto" w:fill="9CC2E5" w:themeFill="accent1" w:themeFillTint="99"/>
            <w:hideMark/>
          </w:tcPr>
          <w:p w14:paraId="6A553803"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hałaśliwym lub zanieczyszczonym otoczeniu                                             </w:t>
            </w:r>
          </w:p>
        </w:tc>
        <w:tc>
          <w:tcPr>
            <w:tcW w:w="1329" w:type="dxa"/>
            <w:shd w:val="clear" w:color="000000" w:fill="FFFFFF"/>
            <w:hideMark/>
          </w:tcPr>
          <w:p w14:paraId="6252CD7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18,1</w:t>
            </w:r>
          </w:p>
        </w:tc>
        <w:tc>
          <w:tcPr>
            <w:tcW w:w="1411" w:type="dxa"/>
            <w:shd w:val="clear" w:color="000000" w:fill="FFFFFF"/>
            <w:hideMark/>
          </w:tcPr>
          <w:p w14:paraId="1DA12A2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18,3</w:t>
            </w:r>
          </w:p>
        </w:tc>
        <w:tc>
          <w:tcPr>
            <w:tcW w:w="1329" w:type="dxa"/>
            <w:shd w:val="clear" w:color="000000" w:fill="FFFFFF"/>
            <w:hideMark/>
          </w:tcPr>
          <w:p w14:paraId="4ADB889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18,0</w:t>
            </w:r>
          </w:p>
        </w:tc>
        <w:tc>
          <w:tcPr>
            <w:tcW w:w="1333" w:type="dxa"/>
            <w:shd w:val="clear" w:color="000000" w:fill="FFFFFF"/>
            <w:hideMark/>
          </w:tcPr>
          <w:p w14:paraId="6313E1F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18,6</w:t>
            </w:r>
          </w:p>
        </w:tc>
        <w:tc>
          <w:tcPr>
            <w:tcW w:w="1334" w:type="dxa"/>
            <w:shd w:val="clear" w:color="000000" w:fill="FFFFFF"/>
            <w:hideMark/>
          </w:tcPr>
          <w:p w14:paraId="0CCFD9A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17,4</w:t>
            </w:r>
          </w:p>
        </w:tc>
      </w:tr>
      <w:tr w:rsidR="00C44070" w:rsidRPr="00342041" w14:paraId="5BFDB8D6" w14:textId="77777777" w:rsidTr="00C10ECA">
        <w:trPr>
          <w:trHeight w:val="720"/>
          <w:jc w:val="center"/>
        </w:trPr>
        <w:tc>
          <w:tcPr>
            <w:tcW w:w="2497" w:type="dxa"/>
            <w:shd w:val="clear" w:color="auto" w:fill="9CC2E5" w:themeFill="accent1" w:themeFillTint="99"/>
            <w:hideMark/>
          </w:tcPr>
          <w:p w14:paraId="5E66970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rejonie szczególnie zagrożonym </w:t>
            </w:r>
            <w:r w:rsidRPr="00342041">
              <w:rPr>
                <w:rFonts w:ascii="Times New Roman" w:eastAsia="Times New Roman" w:hAnsi="Times New Roman" w:cs="Times New Roman"/>
                <w:b/>
                <w:color w:val="000000"/>
                <w:sz w:val="20"/>
                <w:szCs w:val="20"/>
                <w:lang w:eastAsia="pl-PL"/>
              </w:rPr>
              <w:br/>
              <w:t xml:space="preserve">    przestępczością, przemocą, wandalizmem, w pobliżu melin</w:t>
            </w:r>
          </w:p>
        </w:tc>
        <w:tc>
          <w:tcPr>
            <w:tcW w:w="1329" w:type="dxa"/>
            <w:shd w:val="clear" w:color="000000" w:fill="FFFFFF"/>
            <w:hideMark/>
          </w:tcPr>
          <w:p w14:paraId="20BD965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4,9</w:t>
            </w:r>
          </w:p>
        </w:tc>
        <w:tc>
          <w:tcPr>
            <w:tcW w:w="1411" w:type="dxa"/>
            <w:shd w:val="clear" w:color="000000" w:fill="FFFFFF"/>
            <w:hideMark/>
          </w:tcPr>
          <w:p w14:paraId="243CEEB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4,0</w:t>
            </w:r>
          </w:p>
        </w:tc>
        <w:tc>
          <w:tcPr>
            <w:tcW w:w="1329" w:type="dxa"/>
            <w:shd w:val="clear" w:color="000000" w:fill="FFFFFF"/>
            <w:hideMark/>
          </w:tcPr>
          <w:p w14:paraId="509F4A1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3,7</w:t>
            </w:r>
          </w:p>
        </w:tc>
        <w:tc>
          <w:tcPr>
            <w:tcW w:w="1333" w:type="dxa"/>
            <w:shd w:val="clear" w:color="000000" w:fill="FFFFFF"/>
            <w:hideMark/>
          </w:tcPr>
          <w:p w14:paraId="09E9F2C8"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4,5</w:t>
            </w:r>
          </w:p>
        </w:tc>
        <w:tc>
          <w:tcPr>
            <w:tcW w:w="1334" w:type="dxa"/>
            <w:shd w:val="clear" w:color="000000" w:fill="FFFFFF"/>
            <w:hideMark/>
          </w:tcPr>
          <w:p w14:paraId="6F138C6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w:t>
            </w:r>
          </w:p>
        </w:tc>
      </w:tr>
      <w:tr w:rsidR="00C44070" w:rsidRPr="00342041" w14:paraId="43FA7E4B" w14:textId="77777777" w:rsidTr="00C10ECA">
        <w:trPr>
          <w:trHeight w:val="300"/>
          <w:jc w:val="center"/>
        </w:trPr>
        <w:tc>
          <w:tcPr>
            <w:tcW w:w="2497" w:type="dxa"/>
            <w:shd w:val="clear" w:color="auto" w:fill="9CC2E5" w:themeFill="accent1" w:themeFillTint="99"/>
            <w:hideMark/>
          </w:tcPr>
          <w:p w14:paraId="2FA8C1C9"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rejonie o złej infrastrukturze                                                        </w:t>
            </w:r>
          </w:p>
        </w:tc>
        <w:tc>
          <w:tcPr>
            <w:tcW w:w="1329" w:type="dxa"/>
            <w:shd w:val="clear" w:color="000000" w:fill="FFFFFF"/>
            <w:hideMark/>
          </w:tcPr>
          <w:p w14:paraId="781EFFE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2,9</w:t>
            </w:r>
          </w:p>
        </w:tc>
        <w:tc>
          <w:tcPr>
            <w:tcW w:w="1411" w:type="dxa"/>
            <w:shd w:val="clear" w:color="000000" w:fill="FFFFFF"/>
            <w:hideMark/>
          </w:tcPr>
          <w:p w14:paraId="584C307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3,0</w:t>
            </w:r>
          </w:p>
        </w:tc>
        <w:tc>
          <w:tcPr>
            <w:tcW w:w="1329" w:type="dxa"/>
            <w:shd w:val="clear" w:color="000000" w:fill="FFFFFF"/>
            <w:hideMark/>
          </w:tcPr>
          <w:p w14:paraId="7DECF0B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2,8</w:t>
            </w:r>
          </w:p>
        </w:tc>
        <w:tc>
          <w:tcPr>
            <w:tcW w:w="1333" w:type="dxa"/>
            <w:shd w:val="clear" w:color="000000" w:fill="FFFFFF"/>
            <w:hideMark/>
          </w:tcPr>
          <w:p w14:paraId="05DB9D5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2,5</w:t>
            </w:r>
          </w:p>
        </w:tc>
        <w:tc>
          <w:tcPr>
            <w:tcW w:w="1334" w:type="dxa"/>
            <w:shd w:val="clear" w:color="000000" w:fill="FFFFFF"/>
            <w:hideMark/>
          </w:tcPr>
          <w:p w14:paraId="5530961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3,2</w:t>
            </w:r>
          </w:p>
        </w:tc>
      </w:tr>
      <w:tr w:rsidR="00C44070" w:rsidRPr="00342041" w14:paraId="67E0EE67" w14:textId="77777777" w:rsidTr="00C10ECA">
        <w:trPr>
          <w:trHeight w:val="300"/>
          <w:jc w:val="center"/>
        </w:trPr>
        <w:tc>
          <w:tcPr>
            <w:tcW w:w="2497" w:type="dxa"/>
            <w:shd w:val="clear" w:color="auto" w:fill="9CC2E5" w:themeFill="accent1" w:themeFillTint="99"/>
            <w:hideMark/>
          </w:tcPr>
          <w:p w14:paraId="7BCBD4D7"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rejonie o szczególnych zaletach                                                       </w:t>
            </w:r>
          </w:p>
        </w:tc>
        <w:tc>
          <w:tcPr>
            <w:tcW w:w="1329" w:type="dxa"/>
            <w:shd w:val="clear" w:color="000000" w:fill="FFFFFF"/>
            <w:hideMark/>
          </w:tcPr>
          <w:p w14:paraId="55B134E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13,2</w:t>
            </w:r>
          </w:p>
        </w:tc>
        <w:tc>
          <w:tcPr>
            <w:tcW w:w="1411" w:type="dxa"/>
            <w:shd w:val="clear" w:color="000000" w:fill="FFFFFF"/>
            <w:hideMark/>
          </w:tcPr>
          <w:p w14:paraId="0A46E12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12,5</w:t>
            </w:r>
          </w:p>
        </w:tc>
        <w:tc>
          <w:tcPr>
            <w:tcW w:w="1329" w:type="dxa"/>
            <w:shd w:val="clear" w:color="000000" w:fill="FFFFFF"/>
            <w:hideMark/>
          </w:tcPr>
          <w:p w14:paraId="5C3946B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12,8</w:t>
            </w:r>
          </w:p>
        </w:tc>
        <w:tc>
          <w:tcPr>
            <w:tcW w:w="1333" w:type="dxa"/>
            <w:shd w:val="clear" w:color="000000" w:fill="FFFFFF"/>
            <w:hideMark/>
          </w:tcPr>
          <w:p w14:paraId="1C5B1D12"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12,4</w:t>
            </w:r>
          </w:p>
        </w:tc>
        <w:tc>
          <w:tcPr>
            <w:tcW w:w="1334" w:type="dxa"/>
            <w:shd w:val="clear" w:color="000000" w:fill="FFFFFF"/>
            <w:hideMark/>
          </w:tcPr>
          <w:p w14:paraId="6E770AA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13,1</w:t>
            </w:r>
          </w:p>
        </w:tc>
      </w:tr>
      <w:tr w:rsidR="00C44070" w:rsidRPr="00342041" w14:paraId="6DE2717E" w14:textId="77777777" w:rsidTr="00C10ECA">
        <w:trPr>
          <w:trHeight w:val="300"/>
          <w:jc w:val="center"/>
        </w:trPr>
        <w:tc>
          <w:tcPr>
            <w:tcW w:w="2497" w:type="dxa"/>
            <w:shd w:val="clear" w:color="auto" w:fill="9CC2E5" w:themeFill="accent1" w:themeFillTint="99"/>
            <w:hideMark/>
          </w:tcPr>
          <w:p w14:paraId="3B26CCBF"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Posiada balkon (taras), ogródek                                                                       </w:t>
            </w:r>
          </w:p>
        </w:tc>
        <w:tc>
          <w:tcPr>
            <w:tcW w:w="1329" w:type="dxa"/>
            <w:shd w:val="clear" w:color="000000" w:fill="FFFFFF"/>
            <w:hideMark/>
          </w:tcPr>
          <w:p w14:paraId="5A89815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73,9</w:t>
            </w:r>
          </w:p>
        </w:tc>
        <w:tc>
          <w:tcPr>
            <w:tcW w:w="1411" w:type="dxa"/>
            <w:shd w:val="clear" w:color="000000" w:fill="FFFFFF"/>
            <w:hideMark/>
          </w:tcPr>
          <w:p w14:paraId="6834E60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78,3</w:t>
            </w:r>
          </w:p>
        </w:tc>
        <w:tc>
          <w:tcPr>
            <w:tcW w:w="1329" w:type="dxa"/>
            <w:shd w:val="clear" w:color="000000" w:fill="FFFFFF"/>
            <w:hideMark/>
          </w:tcPr>
          <w:p w14:paraId="5068EC6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77,2</w:t>
            </w:r>
          </w:p>
        </w:tc>
        <w:tc>
          <w:tcPr>
            <w:tcW w:w="1333" w:type="dxa"/>
            <w:shd w:val="clear" w:color="000000" w:fill="FFFFFF"/>
            <w:hideMark/>
          </w:tcPr>
          <w:p w14:paraId="64416FF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71,2</w:t>
            </w:r>
          </w:p>
        </w:tc>
        <w:tc>
          <w:tcPr>
            <w:tcW w:w="1334" w:type="dxa"/>
            <w:shd w:val="clear" w:color="000000" w:fill="FFFFFF"/>
            <w:hideMark/>
          </w:tcPr>
          <w:p w14:paraId="3D72884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84,3</w:t>
            </w:r>
          </w:p>
        </w:tc>
      </w:tr>
      <w:tr w:rsidR="00C44070" w:rsidRPr="00342041" w14:paraId="3319A34B" w14:textId="77777777" w:rsidTr="00C10ECA">
        <w:trPr>
          <w:trHeight w:val="300"/>
          <w:jc w:val="center"/>
        </w:trPr>
        <w:tc>
          <w:tcPr>
            <w:tcW w:w="2497" w:type="dxa"/>
            <w:shd w:val="clear" w:color="auto" w:fill="9CC2E5" w:themeFill="accent1" w:themeFillTint="99"/>
            <w:hideMark/>
          </w:tcPr>
          <w:p w14:paraId="2328D1FB"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Zapewnia komfort termiczny                                                                            </w:t>
            </w:r>
          </w:p>
        </w:tc>
        <w:tc>
          <w:tcPr>
            <w:tcW w:w="1329" w:type="dxa"/>
            <w:shd w:val="clear" w:color="000000" w:fill="FFFFFF"/>
            <w:hideMark/>
          </w:tcPr>
          <w:p w14:paraId="700C508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85,4</w:t>
            </w:r>
          </w:p>
        </w:tc>
        <w:tc>
          <w:tcPr>
            <w:tcW w:w="1411" w:type="dxa"/>
            <w:shd w:val="clear" w:color="000000" w:fill="FFFFFF"/>
            <w:hideMark/>
          </w:tcPr>
          <w:p w14:paraId="237AAD7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85,3</w:t>
            </w:r>
          </w:p>
        </w:tc>
        <w:tc>
          <w:tcPr>
            <w:tcW w:w="1329" w:type="dxa"/>
            <w:shd w:val="clear" w:color="000000" w:fill="FFFFFF"/>
            <w:hideMark/>
          </w:tcPr>
          <w:p w14:paraId="345DF82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85,9</w:t>
            </w:r>
          </w:p>
        </w:tc>
        <w:tc>
          <w:tcPr>
            <w:tcW w:w="1333" w:type="dxa"/>
            <w:shd w:val="clear" w:color="000000" w:fill="FFFFFF"/>
            <w:hideMark/>
          </w:tcPr>
          <w:p w14:paraId="14062AB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84,2</w:t>
            </w:r>
          </w:p>
        </w:tc>
        <w:tc>
          <w:tcPr>
            <w:tcW w:w="1334" w:type="dxa"/>
            <w:shd w:val="clear" w:color="000000" w:fill="FFFFFF"/>
            <w:hideMark/>
          </w:tcPr>
          <w:p w14:paraId="4BA2797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87,7</w:t>
            </w:r>
          </w:p>
        </w:tc>
      </w:tr>
      <w:tr w:rsidR="00C44070" w:rsidRPr="00342041" w14:paraId="692B0025" w14:textId="77777777" w:rsidTr="00C10ECA">
        <w:trPr>
          <w:trHeight w:val="720"/>
          <w:jc w:val="center"/>
        </w:trPr>
        <w:tc>
          <w:tcPr>
            <w:tcW w:w="2497" w:type="dxa"/>
            <w:shd w:val="clear" w:color="auto" w:fill="9CC2E5" w:themeFill="accent1" w:themeFillTint="99"/>
            <w:hideMark/>
          </w:tcPr>
          <w:p w14:paraId="799A3368"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Znajduje się w budynku posiadającym bariery architektoniczne</w:t>
            </w:r>
            <w:r w:rsidRPr="00342041">
              <w:rPr>
                <w:rFonts w:ascii="Times New Roman" w:eastAsia="Times New Roman" w:hAnsi="Times New Roman" w:cs="Times New Roman"/>
                <w:b/>
                <w:color w:val="000000"/>
                <w:sz w:val="20"/>
                <w:szCs w:val="20"/>
                <w:lang w:eastAsia="pl-PL"/>
              </w:rPr>
              <w:br/>
              <w:t xml:space="preserve">    utrudniające </w:t>
            </w:r>
            <w:r w:rsidR="0035219D" w:rsidRPr="00342041">
              <w:rPr>
                <w:rFonts w:ascii="Times New Roman" w:eastAsia="Times New Roman" w:hAnsi="Times New Roman" w:cs="Times New Roman"/>
                <w:b/>
                <w:color w:val="000000"/>
                <w:sz w:val="20"/>
                <w:szCs w:val="20"/>
                <w:lang w:eastAsia="pl-PL"/>
              </w:rPr>
              <w:t>dostęp</w:t>
            </w:r>
            <w:r w:rsidRPr="00342041">
              <w:rPr>
                <w:rFonts w:ascii="Times New Roman" w:eastAsia="Times New Roman" w:hAnsi="Times New Roman" w:cs="Times New Roman"/>
                <w:b/>
                <w:color w:val="000000"/>
                <w:sz w:val="20"/>
                <w:szCs w:val="20"/>
                <w:lang w:eastAsia="pl-PL"/>
              </w:rPr>
              <w:t xml:space="preserve"> do mieszkania        </w:t>
            </w:r>
          </w:p>
        </w:tc>
        <w:tc>
          <w:tcPr>
            <w:tcW w:w="1329" w:type="dxa"/>
            <w:shd w:val="clear" w:color="000000" w:fill="FFFFFF"/>
            <w:hideMark/>
          </w:tcPr>
          <w:p w14:paraId="2BB321B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32,5</w:t>
            </w:r>
          </w:p>
        </w:tc>
        <w:tc>
          <w:tcPr>
            <w:tcW w:w="1411" w:type="dxa"/>
            <w:shd w:val="clear" w:color="000000" w:fill="FFFFFF"/>
            <w:hideMark/>
          </w:tcPr>
          <w:p w14:paraId="1220D93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34,7</w:t>
            </w:r>
          </w:p>
        </w:tc>
        <w:tc>
          <w:tcPr>
            <w:tcW w:w="1329" w:type="dxa"/>
            <w:shd w:val="clear" w:color="000000" w:fill="FFFFFF"/>
            <w:hideMark/>
          </w:tcPr>
          <w:p w14:paraId="113A299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35,5</w:t>
            </w:r>
          </w:p>
        </w:tc>
        <w:tc>
          <w:tcPr>
            <w:tcW w:w="1333" w:type="dxa"/>
            <w:shd w:val="clear" w:color="000000" w:fill="FFFFFF"/>
            <w:hideMark/>
          </w:tcPr>
          <w:p w14:paraId="7F5A3D1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36,6</w:t>
            </w:r>
          </w:p>
        </w:tc>
        <w:tc>
          <w:tcPr>
            <w:tcW w:w="1334" w:type="dxa"/>
            <w:shd w:val="clear" w:color="000000" w:fill="FFFFFF"/>
            <w:hideMark/>
          </w:tcPr>
          <w:p w14:paraId="43E5FD1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34,1</w:t>
            </w:r>
          </w:p>
        </w:tc>
      </w:tr>
      <w:tr w:rsidR="00C44070" w:rsidRPr="00342041" w14:paraId="7E98608A" w14:textId="77777777" w:rsidTr="00C10ECA">
        <w:trPr>
          <w:trHeight w:val="398"/>
          <w:jc w:val="center"/>
        </w:trPr>
        <w:tc>
          <w:tcPr>
            <w:tcW w:w="9233" w:type="dxa"/>
            <w:gridSpan w:val="6"/>
            <w:shd w:val="clear" w:color="auto" w:fill="auto"/>
            <w:vAlign w:val="center"/>
            <w:hideMark/>
          </w:tcPr>
          <w:p w14:paraId="31B16C66" w14:textId="77777777" w:rsidR="00C44070" w:rsidRPr="00342041" w:rsidRDefault="00C44070" w:rsidP="0035219D">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WIEŚ</w:t>
            </w:r>
          </w:p>
        </w:tc>
      </w:tr>
      <w:tr w:rsidR="00C44070" w:rsidRPr="00342041" w14:paraId="5B2A1DE7" w14:textId="77777777" w:rsidTr="00C10ECA">
        <w:trPr>
          <w:trHeight w:val="300"/>
          <w:jc w:val="center"/>
        </w:trPr>
        <w:tc>
          <w:tcPr>
            <w:tcW w:w="2497" w:type="dxa"/>
            <w:shd w:val="clear" w:color="auto" w:fill="9CC2E5" w:themeFill="accent1" w:themeFillTint="99"/>
            <w:hideMark/>
          </w:tcPr>
          <w:p w14:paraId="36BC8605"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Posiada odpowiednie warunki techniczno-sanitarne                                                      </w:t>
            </w:r>
          </w:p>
        </w:tc>
        <w:tc>
          <w:tcPr>
            <w:tcW w:w="1329" w:type="dxa"/>
            <w:shd w:val="clear" w:color="000000" w:fill="FFFFFF"/>
            <w:hideMark/>
          </w:tcPr>
          <w:p w14:paraId="796E394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92,1</w:t>
            </w:r>
          </w:p>
        </w:tc>
        <w:tc>
          <w:tcPr>
            <w:tcW w:w="1411" w:type="dxa"/>
            <w:shd w:val="clear" w:color="000000" w:fill="FFFFFF"/>
            <w:hideMark/>
          </w:tcPr>
          <w:p w14:paraId="1497E28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89,5</w:t>
            </w:r>
          </w:p>
        </w:tc>
        <w:tc>
          <w:tcPr>
            <w:tcW w:w="1329" w:type="dxa"/>
            <w:shd w:val="clear" w:color="000000" w:fill="FFFFFF"/>
            <w:hideMark/>
          </w:tcPr>
          <w:p w14:paraId="21DA6CE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86,7</w:t>
            </w:r>
          </w:p>
        </w:tc>
        <w:tc>
          <w:tcPr>
            <w:tcW w:w="1333" w:type="dxa"/>
            <w:shd w:val="clear" w:color="000000" w:fill="FFFFFF"/>
            <w:hideMark/>
          </w:tcPr>
          <w:p w14:paraId="53917AB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82,0</w:t>
            </w:r>
          </w:p>
        </w:tc>
        <w:tc>
          <w:tcPr>
            <w:tcW w:w="1334" w:type="dxa"/>
            <w:shd w:val="clear" w:color="000000" w:fill="FFFFFF"/>
            <w:hideMark/>
          </w:tcPr>
          <w:p w14:paraId="0F1CB3C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92,2</w:t>
            </w:r>
          </w:p>
        </w:tc>
      </w:tr>
      <w:tr w:rsidR="00C44070" w:rsidRPr="00342041" w14:paraId="15269B5C" w14:textId="77777777" w:rsidTr="00C10ECA">
        <w:trPr>
          <w:trHeight w:val="300"/>
          <w:jc w:val="center"/>
        </w:trPr>
        <w:tc>
          <w:tcPr>
            <w:tcW w:w="2497" w:type="dxa"/>
            <w:shd w:val="clear" w:color="auto" w:fill="9CC2E5" w:themeFill="accent1" w:themeFillTint="99"/>
            <w:hideMark/>
          </w:tcPr>
          <w:p w14:paraId="79CA18BB"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hałaśliwym lub zanieczyszczonym otoczeniu                                             </w:t>
            </w:r>
          </w:p>
        </w:tc>
        <w:tc>
          <w:tcPr>
            <w:tcW w:w="1329" w:type="dxa"/>
            <w:shd w:val="clear" w:color="000000" w:fill="FFFFFF"/>
            <w:hideMark/>
          </w:tcPr>
          <w:p w14:paraId="5923BAC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10,8</w:t>
            </w:r>
          </w:p>
        </w:tc>
        <w:tc>
          <w:tcPr>
            <w:tcW w:w="1411" w:type="dxa"/>
            <w:shd w:val="clear" w:color="000000" w:fill="FFFFFF"/>
            <w:hideMark/>
          </w:tcPr>
          <w:p w14:paraId="4AC0BC5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11,1</w:t>
            </w:r>
          </w:p>
        </w:tc>
        <w:tc>
          <w:tcPr>
            <w:tcW w:w="1329" w:type="dxa"/>
            <w:shd w:val="clear" w:color="000000" w:fill="FFFFFF"/>
            <w:hideMark/>
          </w:tcPr>
          <w:p w14:paraId="5F06D00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11,3</w:t>
            </w:r>
          </w:p>
        </w:tc>
        <w:tc>
          <w:tcPr>
            <w:tcW w:w="1333" w:type="dxa"/>
            <w:shd w:val="clear" w:color="000000" w:fill="FFFFFF"/>
            <w:hideMark/>
          </w:tcPr>
          <w:p w14:paraId="236704F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10,9</w:t>
            </w:r>
          </w:p>
        </w:tc>
        <w:tc>
          <w:tcPr>
            <w:tcW w:w="1334" w:type="dxa"/>
            <w:shd w:val="clear" w:color="000000" w:fill="FFFFFF"/>
            <w:hideMark/>
          </w:tcPr>
          <w:p w14:paraId="4235631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11,7</w:t>
            </w:r>
          </w:p>
        </w:tc>
      </w:tr>
      <w:tr w:rsidR="00C44070" w:rsidRPr="00342041" w14:paraId="05BC0AC3" w14:textId="77777777" w:rsidTr="00C10ECA">
        <w:trPr>
          <w:trHeight w:val="720"/>
          <w:jc w:val="center"/>
        </w:trPr>
        <w:tc>
          <w:tcPr>
            <w:tcW w:w="2497" w:type="dxa"/>
            <w:shd w:val="clear" w:color="auto" w:fill="9CC2E5" w:themeFill="accent1" w:themeFillTint="99"/>
            <w:hideMark/>
          </w:tcPr>
          <w:p w14:paraId="0522C888"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rejonie szczególnie zagrożonym </w:t>
            </w:r>
            <w:r w:rsidRPr="00342041">
              <w:rPr>
                <w:rFonts w:ascii="Times New Roman" w:eastAsia="Times New Roman" w:hAnsi="Times New Roman" w:cs="Times New Roman"/>
                <w:b/>
                <w:color w:val="000000"/>
                <w:sz w:val="20"/>
                <w:szCs w:val="20"/>
                <w:lang w:eastAsia="pl-PL"/>
              </w:rPr>
              <w:br/>
              <w:t xml:space="preserve">    przestępczością, </w:t>
            </w:r>
            <w:r w:rsidRPr="00342041">
              <w:rPr>
                <w:rFonts w:ascii="Times New Roman" w:eastAsia="Times New Roman" w:hAnsi="Times New Roman" w:cs="Times New Roman"/>
                <w:b/>
                <w:color w:val="000000"/>
                <w:sz w:val="20"/>
                <w:szCs w:val="20"/>
                <w:lang w:eastAsia="pl-PL"/>
              </w:rPr>
              <w:lastRenderedPageBreak/>
              <w:t>przemocą, wandalizmem, w pobliżu melin</w:t>
            </w:r>
          </w:p>
        </w:tc>
        <w:tc>
          <w:tcPr>
            <w:tcW w:w="1329" w:type="dxa"/>
            <w:shd w:val="clear" w:color="000000" w:fill="FFFFFF"/>
            <w:hideMark/>
          </w:tcPr>
          <w:p w14:paraId="2273AE0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lastRenderedPageBreak/>
              <w:t>0,8</w:t>
            </w:r>
          </w:p>
        </w:tc>
        <w:tc>
          <w:tcPr>
            <w:tcW w:w="1411" w:type="dxa"/>
            <w:shd w:val="clear" w:color="000000" w:fill="FFFFFF"/>
            <w:hideMark/>
          </w:tcPr>
          <w:p w14:paraId="4AE8D56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0,9</w:t>
            </w:r>
          </w:p>
        </w:tc>
        <w:tc>
          <w:tcPr>
            <w:tcW w:w="1329" w:type="dxa"/>
            <w:shd w:val="clear" w:color="000000" w:fill="FFFFFF"/>
            <w:hideMark/>
          </w:tcPr>
          <w:p w14:paraId="614ECDF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0,9</w:t>
            </w:r>
          </w:p>
        </w:tc>
        <w:tc>
          <w:tcPr>
            <w:tcW w:w="1333" w:type="dxa"/>
            <w:shd w:val="clear" w:color="000000" w:fill="FFFFFF"/>
            <w:hideMark/>
          </w:tcPr>
          <w:p w14:paraId="274073DE"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w:t>
            </w:r>
          </w:p>
        </w:tc>
        <w:tc>
          <w:tcPr>
            <w:tcW w:w="1334" w:type="dxa"/>
            <w:shd w:val="clear" w:color="000000" w:fill="FFFFFF"/>
            <w:hideMark/>
          </w:tcPr>
          <w:p w14:paraId="6EA9DE2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0,5</w:t>
            </w:r>
          </w:p>
        </w:tc>
      </w:tr>
      <w:tr w:rsidR="00C44070" w:rsidRPr="00342041" w14:paraId="69FD51F1" w14:textId="77777777" w:rsidTr="00C10ECA">
        <w:trPr>
          <w:trHeight w:val="300"/>
          <w:jc w:val="center"/>
        </w:trPr>
        <w:tc>
          <w:tcPr>
            <w:tcW w:w="2497" w:type="dxa"/>
            <w:shd w:val="clear" w:color="auto" w:fill="9CC2E5" w:themeFill="accent1" w:themeFillTint="99"/>
            <w:hideMark/>
          </w:tcPr>
          <w:p w14:paraId="19F57BBC"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rejonie o złej infrastrukturze                                                        </w:t>
            </w:r>
          </w:p>
        </w:tc>
        <w:tc>
          <w:tcPr>
            <w:tcW w:w="1329" w:type="dxa"/>
            <w:shd w:val="clear" w:color="000000" w:fill="FFFFFF"/>
            <w:hideMark/>
          </w:tcPr>
          <w:p w14:paraId="7998AB2B"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13,6</w:t>
            </w:r>
          </w:p>
        </w:tc>
        <w:tc>
          <w:tcPr>
            <w:tcW w:w="1411" w:type="dxa"/>
            <w:shd w:val="clear" w:color="000000" w:fill="FFFFFF"/>
            <w:hideMark/>
          </w:tcPr>
          <w:p w14:paraId="70EB8296"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13,9</w:t>
            </w:r>
          </w:p>
        </w:tc>
        <w:tc>
          <w:tcPr>
            <w:tcW w:w="1329" w:type="dxa"/>
            <w:shd w:val="clear" w:color="000000" w:fill="FFFFFF"/>
            <w:hideMark/>
          </w:tcPr>
          <w:p w14:paraId="15FD98F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12,5</w:t>
            </w:r>
          </w:p>
        </w:tc>
        <w:tc>
          <w:tcPr>
            <w:tcW w:w="1333" w:type="dxa"/>
            <w:shd w:val="clear" w:color="000000" w:fill="FFFFFF"/>
            <w:hideMark/>
          </w:tcPr>
          <w:p w14:paraId="3CE2524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12,6</w:t>
            </w:r>
          </w:p>
        </w:tc>
        <w:tc>
          <w:tcPr>
            <w:tcW w:w="1334" w:type="dxa"/>
            <w:shd w:val="clear" w:color="000000" w:fill="FFFFFF"/>
            <w:hideMark/>
          </w:tcPr>
          <w:p w14:paraId="517AAAF5"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12,4</w:t>
            </w:r>
          </w:p>
        </w:tc>
      </w:tr>
      <w:tr w:rsidR="00C44070" w:rsidRPr="00342041" w14:paraId="378C860C" w14:textId="77777777" w:rsidTr="00C10ECA">
        <w:trPr>
          <w:trHeight w:val="300"/>
          <w:jc w:val="center"/>
        </w:trPr>
        <w:tc>
          <w:tcPr>
            <w:tcW w:w="2497" w:type="dxa"/>
            <w:shd w:val="clear" w:color="auto" w:fill="9CC2E5" w:themeFill="accent1" w:themeFillTint="99"/>
            <w:hideMark/>
          </w:tcPr>
          <w:p w14:paraId="363D7BB2"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Jest położone w rejonie o szczególnych zaletach                                                       </w:t>
            </w:r>
          </w:p>
        </w:tc>
        <w:tc>
          <w:tcPr>
            <w:tcW w:w="1329" w:type="dxa"/>
            <w:shd w:val="clear" w:color="000000" w:fill="FFFFFF"/>
            <w:hideMark/>
          </w:tcPr>
          <w:p w14:paraId="6FBF19C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6,1</w:t>
            </w:r>
          </w:p>
        </w:tc>
        <w:tc>
          <w:tcPr>
            <w:tcW w:w="1411" w:type="dxa"/>
            <w:shd w:val="clear" w:color="000000" w:fill="FFFFFF"/>
            <w:hideMark/>
          </w:tcPr>
          <w:p w14:paraId="114CD764"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5,2</w:t>
            </w:r>
          </w:p>
        </w:tc>
        <w:tc>
          <w:tcPr>
            <w:tcW w:w="1329" w:type="dxa"/>
            <w:shd w:val="clear" w:color="000000" w:fill="FFFFFF"/>
            <w:hideMark/>
          </w:tcPr>
          <w:p w14:paraId="4BEFC09D"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5,8</w:t>
            </w:r>
          </w:p>
        </w:tc>
        <w:tc>
          <w:tcPr>
            <w:tcW w:w="1333" w:type="dxa"/>
            <w:shd w:val="clear" w:color="000000" w:fill="FFFFFF"/>
            <w:hideMark/>
          </w:tcPr>
          <w:p w14:paraId="47BD241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4,6</w:t>
            </w:r>
          </w:p>
        </w:tc>
        <w:tc>
          <w:tcPr>
            <w:tcW w:w="1334" w:type="dxa"/>
            <w:shd w:val="clear" w:color="000000" w:fill="FFFFFF"/>
            <w:hideMark/>
          </w:tcPr>
          <w:p w14:paraId="3E1E9D7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7,5</w:t>
            </w:r>
          </w:p>
        </w:tc>
      </w:tr>
      <w:tr w:rsidR="00C44070" w:rsidRPr="00342041" w14:paraId="7BD40AB1" w14:textId="77777777" w:rsidTr="00C10ECA">
        <w:trPr>
          <w:trHeight w:val="300"/>
          <w:jc w:val="center"/>
        </w:trPr>
        <w:tc>
          <w:tcPr>
            <w:tcW w:w="2497" w:type="dxa"/>
            <w:shd w:val="clear" w:color="auto" w:fill="9CC2E5" w:themeFill="accent1" w:themeFillTint="99"/>
            <w:hideMark/>
          </w:tcPr>
          <w:p w14:paraId="24FF58B2"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Posiada balkon (taras), ogródek                                                                       </w:t>
            </w:r>
          </w:p>
        </w:tc>
        <w:tc>
          <w:tcPr>
            <w:tcW w:w="1329" w:type="dxa"/>
            <w:shd w:val="clear" w:color="000000" w:fill="FFFFFF"/>
            <w:hideMark/>
          </w:tcPr>
          <w:p w14:paraId="72FA727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92,4</w:t>
            </w:r>
          </w:p>
        </w:tc>
        <w:tc>
          <w:tcPr>
            <w:tcW w:w="1411" w:type="dxa"/>
            <w:shd w:val="clear" w:color="000000" w:fill="FFFFFF"/>
            <w:hideMark/>
          </w:tcPr>
          <w:p w14:paraId="0D05215C"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92,7</w:t>
            </w:r>
          </w:p>
        </w:tc>
        <w:tc>
          <w:tcPr>
            <w:tcW w:w="1329" w:type="dxa"/>
            <w:shd w:val="clear" w:color="000000" w:fill="FFFFFF"/>
            <w:hideMark/>
          </w:tcPr>
          <w:p w14:paraId="18DD84D7"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90,1</w:t>
            </w:r>
          </w:p>
        </w:tc>
        <w:tc>
          <w:tcPr>
            <w:tcW w:w="1333" w:type="dxa"/>
            <w:shd w:val="clear" w:color="000000" w:fill="FFFFFF"/>
            <w:hideMark/>
          </w:tcPr>
          <w:p w14:paraId="053DEB59"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87,0</w:t>
            </w:r>
          </w:p>
        </w:tc>
        <w:tc>
          <w:tcPr>
            <w:tcW w:w="1334" w:type="dxa"/>
            <w:shd w:val="clear" w:color="000000" w:fill="FFFFFF"/>
            <w:hideMark/>
          </w:tcPr>
          <w:p w14:paraId="337A747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93,7</w:t>
            </w:r>
          </w:p>
        </w:tc>
      </w:tr>
      <w:tr w:rsidR="00C44070" w:rsidRPr="00342041" w14:paraId="386EA1FA" w14:textId="77777777" w:rsidTr="00C10ECA">
        <w:trPr>
          <w:trHeight w:val="300"/>
          <w:jc w:val="center"/>
        </w:trPr>
        <w:tc>
          <w:tcPr>
            <w:tcW w:w="2497" w:type="dxa"/>
            <w:shd w:val="clear" w:color="auto" w:fill="9CC2E5" w:themeFill="accent1" w:themeFillTint="99"/>
            <w:hideMark/>
          </w:tcPr>
          <w:p w14:paraId="10AB3159"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Zapewnia komfort termiczny                                                                            </w:t>
            </w:r>
          </w:p>
        </w:tc>
        <w:tc>
          <w:tcPr>
            <w:tcW w:w="1329" w:type="dxa"/>
            <w:shd w:val="clear" w:color="000000" w:fill="FFFFFF"/>
            <w:hideMark/>
          </w:tcPr>
          <w:p w14:paraId="1290DF5A"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87,9</w:t>
            </w:r>
          </w:p>
        </w:tc>
        <w:tc>
          <w:tcPr>
            <w:tcW w:w="1411" w:type="dxa"/>
            <w:shd w:val="clear" w:color="000000" w:fill="FFFFFF"/>
            <w:hideMark/>
          </w:tcPr>
          <w:p w14:paraId="5AD5462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85,5</w:t>
            </w:r>
          </w:p>
        </w:tc>
        <w:tc>
          <w:tcPr>
            <w:tcW w:w="1329" w:type="dxa"/>
            <w:shd w:val="clear" w:color="000000" w:fill="FFFFFF"/>
            <w:hideMark/>
          </w:tcPr>
          <w:p w14:paraId="42F02FF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82,3</w:t>
            </w:r>
          </w:p>
        </w:tc>
        <w:tc>
          <w:tcPr>
            <w:tcW w:w="1333" w:type="dxa"/>
            <w:shd w:val="clear" w:color="000000" w:fill="FFFFFF"/>
            <w:hideMark/>
          </w:tcPr>
          <w:p w14:paraId="136BDCC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77,2</w:t>
            </w:r>
          </w:p>
        </w:tc>
        <w:tc>
          <w:tcPr>
            <w:tcW w:w="1334" w:type="dxa"/>
            <w:shd w:val="clear" w:color="000000" w:fill="FFFFFF"/>
            <w:hideMark/>
          </w:tcPr>
          <w:p w14:paraId="2C00DEC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88,4</w:t>
            </w:r>
          </w:p>
        </w:tc>
      </w:tr>
      <w:tr w:rsidR="00C44070" w:rsidRPr="00342041" w14:paraId="03755A22" w14:textId="77777777" w:rsidTr="00C10ECA">
        <w:trPr>
          <w:trHeight w:val="720"/>
          <w:jc w:val="center"/>
        </w:trPr>
        <w:tc>
          <w:tcPr>
            <w:tcW w:w="2497" w:type="dxa"/>
            <w:shd w:val="clear" w:color="auto" w:fill="9CC2E5" w:themeFill="accent1" w:themeFillTint="99"/>
            <w:hideMark/>
          </w:tcPr>
          <w:p w14:paraId="0748C413" w14:textId="77777777" w:rsidR="00C44070" w:rsidRPr="00342041" w:rsidRDefault="00C44070" w:rsidP="0035219D">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Znajduje się w budynku posiadającym bariery architektoniczne</w:t>
            </w:r>
            <w:r w:rsidRPr="00342041">
              <w:rPr>
                <w:rFonts w:ascii="Times New Roman" w:eastAsia="Times New Roman" w:hAnsi="Times New Roman" w:cs="Times New Roman"/>
                <w:b/>
                <w:color w:val="000000"/>
                <w:sz w:val="20"/>
                <w:szCs w:val="20"/>
                <w:lang w:eastAsia="pl-PL"/>
              </w:rPr>
              <w:br/>
              <w:t xml:space="preserve">    utrudniające </w:t>
            </w:r>
            <w:r w:rsidR="0035219D" w:rsidRPr="00342041">
              <w:rPr>
                <w:rFonts w:ascii="Times New Roman" w:eastAsia="Times New Roman" w:hAnsi="Times New Roman" w:cs="Times New Roman"/>
                <w:b/>
                <w:color w:val="000000"/>
                <w:sz w:val="20"/>
                <w:szCs w:val="20"/>
                <w:lang w:eastAsia="pl-PL"/>
              </w:rPr>
              <w:t>dostęp</w:t>
            </w:r>
            <w:r w:rsidRPr="00342041">
              <w:rPr>
                <w:rFonts w:ascii="Times New Roman" w:eastAsia="Times New Roman" w:hAnsi="Times New Roman" w:cs="Times New Roman"/>
                <w:b/>
                <w:color w:val="000000"/>
                <w:sz w:val="20"/>
                <w:szCs w:val="20"/>
                <w:lang w:eastAsia="pl-PL"/>
              </w:rPr>
              <w:t xml:space="preserve"> do mieszkania        </w:t>
            </w:r>
          </w:p>
        </w:tc>
        <w:tc>
          <w:tcPr>
            <w:tcW w:w="1329" w:type="dxa"/>
            <w:shd w:val="clear" w:color="000000" w:fill="FFFFFF"/>
            <w:hideMark/>
          </w:tcPr>
          <w:p w14:paraId="0D96AEA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16,7</w:t>
            </w:r>
          </w:p>
        </w:tc>
        <w:tc>
          <w:tcPr>
            <w:tcW w:w="1411" w:type="dxa"/>
            <w:shd w:val="clear" w:color="000000" w:fill="FFFFFF"/>
            <w:hideMark/>
          </w:tcPr>
          <w:p w14:paraId="68B5D98F"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18,7</w:t>
            </w:r>
          </w:p>
        </w:tc>
        <w:tc>
          <w:tcPr>
            <w:tcW w:w="1329" w:type="dxa"/>
            <w:shd w:val="clear" w:color="000000" w:fill="FFFFFF"/>
            <w:hideMark/>
          </w:tcPr>
          <w:p w14:paraId="23682DF3"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19,7</w:t>
            </w:r>
          </w:p>
        </w:tc>
        <w:tc>
          <w:tcPr>
            <w:tcW w:w="1333" w:type="dxa"/>
            <w:shd w:val="clear" w:color="000000" w:fill="FFFFFF"/>
            <w:hideMark/>
          </w:tcPr>
          <w:p w14:paraId="6EB78570"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19,2</w:t>
            </w:r>
          </w:p>
        </w:tc>
        <w:tc>
          <w:tcPr>
            <w:tcW w:w="1334" w:type="dxa"/>
            <w:shd w:val="clear" w:color="000000" w:fill="FFFFFF"/>
            <w:hideMark/>
          </w:tcPr>
          <w:p w14:paraId="11870271" w14:textId="77777777" w:rsidR="00C44070" w:rsidRPr="00342041" w:rsidRDefault="00C44070" w:rsidP="0035219D">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20,2</w:t>
            </w:r>
          </w:p>
        </w:tc>
      </w:tr>
    </w:tbl>
    <w:p w14:paraId="480F7CDA" w14:textId="77777777" w:rsidR="00C44070" w:rsidRPr="00A9161D" w:rsidRDefault="00C44070" w:rsidP="003C1988">
      <w:pPr>
        <w:spacing w:after="120"/>
        <w:rPr>
          <w:rFonts w:ascii="Times New Roman" w:hAnsi="Times New Roman" w:cs="Times New Roman"/>
          <w:b/>
          <w:bCs/>
          <w:spacing w:val="-10"/>
          <w:kern w:val="20"/>
          <w:szCs w:val="24"/>
        </w:rPr>
      </w:pPr>
      <w:r w:rsidRPr="00A9161D">
        <w:rPr>
          <w:rFonts w:ascii="Times New Roman" w:hAnsi="Times New Roman" w:cs="Times New Roman"/>
          <w:b/>
          <w:bCs/>
          <w:spacing w:val="-10"/>
          <w:kern w:val="20"/>
          <w:szCs w:val="24"/>
        </w:rPr>
        <w:t>Źródło: Badanie budżetów gospodarstw domowych w 2019 r., GUS</w:t>
      </w:r>
    </w:p>
    <w:p w14:paraId="1535A15F" w14:textId="77777777" w:rsidR="00225116" w:rsidRPr="000478B4" w:rsidRDefault="000478B4" w:rsidP="000478B4">
      <w:pPr>
        <w:spacing w:after="0"/>
        <w:jc w:val="both"/>
        <w:rPr>
          <w:rFonts w:ascii="Times New Roman" w:hAnsi="Times New Roman" w:cs="Times New Roman"/>
          <w:color w:val="0D0D0D" w:themeColor="text1" w:themeTint="F2"/>
          <w:sz w:val="24"/>
          <w:szCs w:val="24"/>
        </w:rPr>
      </w:pPr>
      <w:r w:rsidRPr="000478B4">
        <w:rPr>
          <w:rFonts w:ascii="Times New Roman" w:hAnsi="Times New Roman" w:cs="Times New Roman"/>
          <w:color w:val="0D0D0D" w:themeColor="text1" w:themeTint="F2"/>
          <w:sz w:val="24"/>
          <w:szCs w:val="24"/>
        </w:rPr>
        <w:t xml:space="preserve">Na podstawie przeprowadzonej analizy danych z badania budżetów gospodarstw domowych można stwierdzić, że sytuacja gospodarstw domowych osób w wieku 60 lat lub więcej </w:t>
      </w:r>
      <w:r w:rsidR="00A84B3D">
        <w:rPr>
          <w:rFonts w:ascii="Times New Roman" w:hAnsi="Times New Roman" w:cs="Times New Roman"/>
          <w:color w:val="0D0D0D" w:themeColor="text1" w:themeTint="F2"/>
          <w:sz w:val="24"/>
          <w:szCs w:val="24"/>
        </w:rPr>
        <w:br/>
      </w:r>
      <w:r w:rsidRPr="000478B4">
        <w:rPr>
          <w:rFonts w:ascii="Times New Roman" w:hAnsi="Times New Roman" w:cs="Times New Roman"/>
          <w:color w:val="0D0D0D" w:themeColor="text1" w:themeTint="F2"/>
          <w:sz w:val="24"/>
          <w:szCs w:val="24"/>
        </w:rPr>
        <w:t xml:space="preserve">w porównaniu do 2018 </w:t>
      </w:r>
      <w:r>
        <w:rPr>
          <w:rFonts w:ascii="Times New Roman" w:hAnsi="Times New Roman" w:cs="Times New Roman"/>
          <w:color w:val="0D0D0D" w:themeColor="text1" w:themeTint="F2"/>
          <w:sz w:val="24"/>
          <w:szCs w:val="24"/>
        </w:rPr>
        <w:t xml:space="preserve">r. </w:t>
      </w:r>
      <w:r w:rsidRPr="000478B4">
        <w:rPr>
          <w:rFonts w:ascii="Times New Roman" w:hAnsi="Times New Roman" w:cs="Times New Roman"/>
          <w:color w:val="0D0D0D" w:themeColor="text1" w:themeTint="F2"/>
          <w:sz w:val="24"/>
          <w:szCs w:val="24"/>
        </w:rPr>
        <w:t xml:space="preserve">poprawiła się zarówno pod względem wysokości dochodów, </w:t>
      </w:r>
      <w:r w:rsidR="00A84B3D">
        <w:rPr>
          <w:rFonts w:ascii="Times New Roman" w:hAnsi="Times New Roman" w:cs="Times New Roman"/>
          <w:color w:val="0D0D0D" w:themeColor="text1" w:themeTint="F2"/>
          <w:sz w:val="24"/>
          <w:szCs w:val="24"/>
        </w:rPr>
        <w:br/>
      </w:r>
      <w:r w:rsidRPr="000478B4">
        <w:rPr>
          <w:rFonts w:ascii="Times New Roman" w:hAnsi="Times New Roman" w:cs="Times New Roman"/>
          <w:color w:val="0D0D0D" w:themeColor="text1" w:themeTint="F2"/>
          <w:sz w:val="24"/>
          <w:szCs w:val="24"/>
        </w:rPr>
        <w:t xml:space="preserve">jak i warunków mieszkaniowych. </w:t>
      </w:r>
    </w:p>
    <w:p w14:paraId="457C7BC0" w14:textId="77777777" w:rsidR="00225116" w:rsidRDefault="00225116" w:rsidP="009A096B">
      <w:pPr>
        <w:pStyle w:val="Akapitzlist"/>
        <w:spacing w:after="0"/>
        <w:ind w:left="0"/>
        <w:contextualSpacing w:val="0"/>
        <w:jc w:val="both"/>
        <w:rPr>
          <w:rFonts w:ascii="Times New Roman" w:hAnsi="Times New Roman" w:cs="Times New Roman"/>
          <w:sz w:val="24"/>
          <w:szCs w:val="24"/>
        </w:rPr>
      </w:pPr>
    </w:p>
    <w:p w14:paraId="53A43E1B" w14:textId="7F7BEBE6" w:rsidR="009A096B" w:rsidRPr="002F2A45" w:rsidRDefault="002F2A45" w:rsidP="002F2A45">
      <w:pPr>
        <w:pStyle w:val="Akapitzlist"/>
        <w:spacing w:after="0"/>
        <w:ind w:left="0"/>
        <w:contextualSpacing w:val="0"/>
        <w:jc w:val="both"/>
        <w:rPr>
          <w:rFonts w:ascii="Times New Roman" w:hAnsi="Times New Roman" w:cs="Times New Roman"/>
          <w:sz w:val="24"/>
          <w:szCs w:val="24"/>
        </w:rPr>
      </w:pPr>
      <w:r w:rsidRPr="002F2A45">
        <w:rPr>
          <w:rFonts w:ascii="Times New Roman" w:hAnsi="Times New Roman" w:cs="Times New Roman"/>
          <w:sz w:val="24"/>
          <w:szCs w:val="24"/>
        </w:rPr>
        <w:t>2019 r. przyniósł poprawę sytuacji materialnej gospodarstw domowych w Polsce, co znalazło odzwierciedlenie w niewielkim spadku  zasięgu ubóstwa ekonomicznego, w tym ubóstwa skr</w:t>
      </w:r>
      <w:r>
        <w:rPr>
          <w:rFonts w:ascii="Times New Roman" w:hAnsi="Times New Roman" w:cs="Times New Roman"/>
          <w:sz w:val="24"/>
          <w:szCs w:val="24"/>
        </w:rPr>
        <w:t>ajnego (z ok. 5% w 2018 r. do</w:t>
      </w:r>
      <w:r w:rsidRPr="002F2A45">
        <w:rPr>
          <w:rFonts w:ascii="Times New Roman" w:hAnsi="Times New Roman" w:cs="Times New Roman"/>
          <w:sz w:val="24"/>
          <w:szCs w:val="24"/>
        </w:rPr>
        <w:t xml:space="preserve"> ok. 4% w 2019 r.) W 2019</w:t>
      </w:r>
      <w:r w:rsidR="009A096B" w:rsidRPr="002F2A45">
        <w:rPr>
          <w:rFonts w:ascii="Times New Roman" w:hAnsi="Times New Roman" w:cs="Times New Roman"/>
          <w:sz w:val="24"/>
          <w:szCs w:val="24"/>
        </w:rPr>
        <w:t xml:space="preserve"> r., podobnie jak w latach poprzednich, stopa ubóstwa skrajnego</w:t>
      </w:r>
      <w:r w:rsidR="009A096B" w:rsidRPr="002F2A45">
        <w:rPr>
          <w:rStyle w:val="Odwoanieprzypisudolnego"/>
          <w:rFonts w:ascii="Times New Roman" w:hAnsi="Times New Roman" w:cs="Times New Roman"/>
          <w:sz w:val="24"/>
          <w:szCs w:val="24"/>
        </w:rPr>
        <w:footnoteReference w:id="1"/>
      </w:r>
      <w:r w:rsidR="009A096B" w:rsidRPr="002F2A45">
        <w:rPr>
          <w:rFonts w:ascii="Times New Roman" w:hAnsi="Times New Roman" w:cs="Times New Roman"/>
          <w:sz w:val="24"/>
          <w:szCs w:val="24"/>
        </w:rPr>
        <w:t xml:space="preserve"> wśród osób starszych, </w:t>
      </w:r>
      <w:r w:rsidR="00510730">
        <w:rPr>
          <w:rFonts w:ascii="Times New Roman" w:hAnsi="Times New Roman" w:cs="Times New Roman"/>
          <w:sz w:val="24"/>
          <w:szCs w:val="24"/>
        </w:rPr>
        <w:t>w wieku 65</w:t>
      </w:r>
      <w:r w:rsidR="009A096B" w:rsidRPr="002F2A45">
        <w:rPr>
          <w:rFonts w:ascii="Times New Roman" w:hAnsi="Times New Roman" w:cs="Times New Roman"/>
          <w:sz w:val="24"/>
          <w:szCs w:val="24"/>
        </w:rPr>
        <w:t xml:space="preserve"> lat i więcej (</w:t>
      </w:r>
      <w:r w:rsidR="00510730">
        <w:rPr>
          <w:rFonts w:ascii="Times New Roman" w:hAnsi="Times New Roman" w:cs="Times New Roman"/>
          <w:sz w:val="24"/>
          <w:szCs w:val="24"/>
        </w:rPr>
        <w:t>3,8</w:t>
      </w:r>
      <w:r w:rsidR="009A096B" w:rsidRPr="002F2A45">
        <w:rPr>
          <w:rFonts w:ascii="Times New Roman" w:hAnsi="Times New Roman" w:cs="Times New Roman"/>
          <w:sz w:val="24"/>
          <w:szCs w:val="24"/>
        </w:rPr>
        <w:t>% osób ubogich), była niższa niż wśród</w:t>
      </w:r>
      <w:r w:rsidR="00510730">
        <w:rPr>
          <w:rFonts w:ascii="Times New Roman" w:hAnsi="Times New Roman" w:cs="Times New Roman"/>
          <w:sz w:val="24"/>
          <w:szCs w:val="24"/>
        </w:rPr>
        <w:t xml:space="preserve"> osób w wieku do 64 lat (około 4,2</w:t>
      </w:r>
      <w:r w:rsidR="009A096B" w:rsidRPr="002F2A45">
        <w:rPr>
          <w:rFonts w:ascii="Times New Roman" w:hAnsi="Times New Roman" w:cs="Times New Roman"/>
          <w:sz w:val="24"/>
          <w:szCs w:val="24"/>
        </w:rPr>
        <w:t xml:space="preserve">%). </w:t>
      </w:r>
    </w:p>
    <w:p w14:paraId="5EEF64FA" w14:textId="77777777" w:rsidR="00AB5150" w:rsidRPr="00AB5150" w:rsidRDefault="00AB5150" w:rsidP="00AB5150">
      <w:pPr>
        <w:pStyle w:val="Akapitzlist"/>
        <w:spacing w:after="0"/>
        <w:ind w:left="0"/>
        <w:contextualSpacing w:val="0"/>
        <w:jc w:val="both"/>
        <w:rPr>
          <w:rFonts w:ascii="Times New Roman" w:hAnsi="Times New Roman" w:cs="Times New Roman"/>
          <w:sz w:val="24"/>
          <w:szCs w:val="24"/>
        </w:rPr>
      </w:pPr>
    </w:p>
    <w:p w14:paraId="2101BC7D" w14:textId="101635DC" w:rsidR="008B383C" w:rsidRPr="008B383C" w:rsidRDefault="008B383C" w:rsidP="008B383C">
      <w:pPr>
        <w:pStyle w:val="Legenda"/>
        <w:keepNext/>
        <w:rPr>
          <w:rFonts w:ascii="Times New Roman" w:hAnsi="Times New Roman" w:cs="Times New Roman"/>
          <w:b/>
          <w:i w:val="0"/>
          <w:sz w:val="24"/>
        </w:rPr>
      </w:pPr>
      <w:bookmarkStart w:id="15" w:name="_Toc49171385"/>
      <w:r w:rsidRPr="008B383C">
        <w:rPr>
          <w:rFonts w:ascii="Times New Roman" w:hAnsi="Times New Roman" w:cs="Times New Roman"/>
          <w:b/>
          <w:i w:val="0"/>
          <w:sz w:val="24"/>
        </w:rPr>
        <w:t xml:space="preserve">Tabela </w:t>
      </w:r>
      <w:r w:rsidRPr="008B383C">
        <w:rPr>
          <w:rFonts w:ascii="Times New Roman" w:hAnsi="Times New Roman" w:cs="Times New Roman"/>
          <w:b/>
          <w:i w:val="0"/>
          <w:sz w:val="24"/>
        </w:rPr>
        <w:fldChar w:fldCharType="begin"/>
      </w:r>
      <w:r w:rsidRPr="008B383C">
        <w:rPr>
          <w:rFonts w:ascii="Times New Roman" w:hAnsi="Times New Roman" w:cs="Times New Roman"/>
          <w:b/>
          <w:i w:val="0"/>
          <w:sz w:val="24"/>
        </w:rPr>
        <w:instrText xml:space="preserve"> SEQ Tabela \* ARABIC </w:instrText>
      </w:r>
      <w:r w:rsidRPr="008B383C">
        <w:rPr>
          <w:rFonts w:ascii="Times New Roman" w:hAnsi="Times New Roman" w:cs="Times New Roman"/>
          <w:b/>
          <w:i w:val="0"/>
          <w:sz w:val="24"/>
        </w:rPr>
        <w:fldChar w:fldCharType="separate"/>
      </w:r>
      <w:r w:rsidR="00C154C9">
        <w:rPr>
          <w:rFonts w:ascii="Times New Roman" w:hAnsi="Times New Roman" w:cs="Times New Roman"/>
          <w:b/>
          <w:i w:val="0"/>
          <w:noProof/>
          <w:sz w:val="24"/>
        </w:rPr>
        <w:t>10</w:t>
      </w:r>
      <w:r w:rsidRPr="008B383C">
        <w:rPr>
          <w:rFonts w:ascii="Times New Roman" w:hAnsi="Times New Roman" w:cs="Times New Roman"/>
          <w:b/>
          <w:i w:val="0"/>
          <w:sz w:val="24"/>
        </w:rPr>
        <w:fldChar w:fldCharType="end"/>
      </w:r>
      <w:r w:rsidRPr="008B383C">
        <w:rPr>
          <w:rFonts w:ascii="Times New Roman" w:hAnsi="Times New Roman" w:cs="Times New Roman"/>
          <w:b/>
          <w:i w:val="0"/>
          <w:sz w:val="24"/>
        </w:rPr>
        <w:t xml:space="preserve"> Zasięg ubóstwa </w:t>
      </w:r>
      <w:r w:rsidR="002F2A45">
        <w:rPr>
          <w:rFonts w:ascii="Times New Roman" w:hAnsi="Times New Roman" w:cs="Times New Roman"/>
          <w:b/>
          <w:i w:val="0"/>
          <w:sz w:val="24"/>
        </w:rPr>
        <w:t>w gospodarstwach domowych w 2019</w:t>
      </w:r>
      <w:r w:rsidRPr="008B383C">
        <w:rPr>
          <w:rFonts w:ascii="Times New Roman" w:hAnsi="Times New Roman" w:cs="Times New Roman"/>
          <w:b/>
          <w:i w:val="0"/>
          <w:sz w:val="24"/>
        </w:rPr>
        <w:t xml:space="preserve"> r.</w:t>
      </w:r>
      <w:bookmarkEnd w:id="15"/>
    </w:p>
    <w:tbl>
      <w:tblPr>
        <w:tblW w:w="9351"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936"/>
        <w:gridCol w:w="2180"/>
        <w:gridCol w:w="1546"/>
        <w:gridCol w:w="1418"/>
        <w:gridCol w:w="1271"/>
      </w:tblGrid>
      <w:tr w:rsidR="00C44070" w:rsidRPr="00342041" w14:paraId="565BFDBD" w14:textId="77777777" w:rsidTr="00C10ECA">
        <w:trPr>
          <w:trHeight w:val="398"/>
          <w:jc w:val="center"/>
        </w:trPr>
        <w:tc>
          <w:tcPr>
            <w:tcW w:w="2936" w:type="dxa"/>
            <w:vMerge w:val="restart"/>
            <w:shd w:val="clear" w:color="auto" w:fill="9CC2E5" w:themeFill="accent1" w:themeFillTint="99"/>
            <w:vAlign w:val="center"/>
            <w:hideMark/>
          </w:tcPr>
          <w:p w14:paraId="5AA8CFF0" w14:textId="77777777" w:rsidR="00C44070" w:rsidRPr="00342041" w:rsidRDefault="00C44070" w:rsidP="00C10ECA">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Wyszczególnienie</w:t>
            </w:r>
          </w:p>
        </w:tc>
        <w:tc>
          <w:tcPr>
            <w:tcW w:w="2180" w:type="dxa"/>
            <w:shd w:val="clear" w:color="auto" w:fill="9CC2E5" w:themeFill="accent1" w:themeFillTint="99"/>
            <w:noWrap/>
            <w:vAlign w:val="center"/>
            <w:hideMark/>
          </w:tcPr>
          <w:p w14:paraId="193E23CC" w14:textId="77777777" w:rsidR="00C44070" w:rsidRPr="00342041" w:rsidRDefault="00C44070" w:rsidP="00C10ECA">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546" w:type="dxa"/>
            <w:shd w:val="clear" w:color="auto" w:fill="9CC2E5" w:themeFill="accent1" w:themeFillTint="99"/>
            <w:noWrap/>
            <w:vAlign w:val="center"/>
            <w:hideMark/>
          </w:tcPr>
          <w:p w14:paraId="7FF01B61" w14:textId="77777777" w:rsidR="00C44070" w:rsidRPr="00342041" w:rsidRDefault="00C44070" w:rsidP="00C10ECA">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w wieku 0-17</w:t>
            </w:r>
          </w:p>
        </w:tc>
        <w:tc>
          <w:tcPr>
            <w:tcW w:w="1418" w:type="dxa"/>
            <w:shd w:val="clear" w:color="auto" w:fill="9CC2E5" w:themeFill="accent1" w:themeFillTint="99"/>
            <w:vAlign w:val="center"/>
            <w:hideMark/>
          </w:tcPr>
          <w:p w14:paraId="39574303" w14:textId="60911857" w:rsidR="00C44070" w:rsidRPr="00342041" w:rsidRDefault="004566AA" w:rsidP="00C10ECA">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Osoby w wieku 18-64</w:t>
            </w:r>
          </w:p>
        </w:tc>
        <w:tc>
          <w:tcPr>
            <w:tcW w:w="1271" w:type="dxa"/>
            <w:shd w:val="clear" w:color="auto" w:fill="9CC2E5" w:themeFill="accent1" w:themeFillTint="99"/>
            <w:vAlign w:val="center"/>
            <w:hideMark/>
          </w:tcPr>
          <w:p w14:paraId="63B29DC8" w14:textId="4E108C71" w:rsidR="00C44070" w:rsidRPr="00342041" w:rsidRDefault="004566AA" w:rsidP="00C10ECA">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Osoby w wieku 65</w:t>
            </w:r>
            <w:r w:rsidR="00C44070" w:rsidRPr="00342041">
              <w:rPr>
                <w:rFonts w:ascii="Times New Roman" w:eastAsia="Times New Roman" w:hAnsi="Times New Roman" w:cs="Times New Roman"/>
                <w:b/>
                <w:sz w:val="20"/>
                <w:szCs w:val="20"/>
                <w:lang w:eastAsia="pl-PL"/>
              </w:rPr>
              <w:t xml:space="preserve"> lat i więcej</w:t>
            </w:r>
          </w:p>
        </w:tc>
      </w:tr>
      <w:tr w:rsidR="00C44070" w:rsidRPr="00342041" w14:paraId="0A5BE9C0" w14:textId="77777777" w:rsidTr="00C10ECA">
        <w:trPr>
          <w:trHeight w:val="289"/>
          <w:jc w:val="center"/>
        </w:trPr>
        <w:tc>
          <w:tcPr>
            <w:tcW w:w="2936" w:type="dxa"/>
            <w:vMerge/>
            <w:shd w:val="clear" w:color="auto" w:fill="9CC2E5" w:themeFill="accent1" w:themeFillTint="99"/>
            <w:vAlign w:val="center"/>
            <w:hideMark/>
          </w:tcPr>
          <w:p w14:paraId="22220DB5" w14:textId="77777777" w:rsidR="00C44070" w:rsidRPr="00342041" w:rsidRDefault="00C44070" w:rsidP="00C10ECA">
            <w:pPr>
              <w:spacing w:after="0" w:line="240" w:lineRule="auto"/>
              <w:jc w:val="center"/>
              <w:rPr>
                <w:rFonts w:ascii="Times New Roman" w:eastAsia="Times New Roman" w:hAnsi="Times New Roman" w:cs="Times New Roman"/>
                <w:b/>
                <w:sz w:val="20"/>
                <w:szCs w:val="20"/>
                <w:lang w:eastAsia="pl-PL"/>
              </w:rPr>
            </w:pPr>
          </w:p>
        </w:tc>
        <w:tc>
          <w:tcPr>
            <w:tcW w:w="6415" w:type="dxa"/>
            <w:gridSpan w:val="4"/>
            <w:shd w:val="clear" w:color="auto" w:fill="9CC2E5" w:themeFill="accent1" w:themeFillTint="99"/>
            <w:noWrap/>
            <w:vAlign w:val="center"/>
            <w:hideMark/>
          </w:tcPr>
          <w:p w14:paraId="0F74AEA0" w14:textId="77777777" w:rsidR="00C44070" w:rsidRPr="00342041" w:rsidRDefault="00C44070" w:rsidP="00C10ECA">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 osób</w:t>
            </w:r>
          </w:p>
        </w:tc>
      </w:tr>
      <w:tr w:rsidR="00C44070" w:rsidRPr="00342041" w14:paraId="68185546" w14:textId="77777777" w:rsidTr="00C10ECA">
        <w:trPr>
          <w:trHeight w:val="300"/>
          <w:jc w:val="center"/>
        </w:trPr>
        <w:tc>
          <w:tcPr>
            <w:tcW w:w="2936" w:type="dxa"/>
            <w:shd w:val="clear" w:color="auto" w:fill="9CC2E5" w:themeFill="accent1" w:themeFillTint="99"/>
            <w:vAlign w:val="center"/>
            <w:hideMark/>
          </w:tcPr>
          <w:p w14:paraId="03231204" w14:textId="77777777" w:rsidR="00C44070" w:rsidRPr="00342041" w:rsidRDefault="00C44070" w:rsidP="00C10ECA">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Stopa ubóstwa skrajnego</w:t>
            </w:r>
          </w:p>
        </w:tc>
        <w:tc>
          <w:tcPr>
            <w:tcW w:w="2180" w:type="dxa"/>
            <w:shd w:val="clear" w:color="auto" w:fill="auto"/>
            <w:noWrap/>
            <w:vAlign w:val="center"/>
            <w:hideMark/>
          </w:tcPr>
          <w:p w14:paraId="7376DDD2" w14:textId="249F6E6E" w:rsidR="00C44070" w:rsidRPr="00342041" w:rsidRDefault="004566AA" w:rsidP="00C10ECA">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4,2</w:t>
            </w:r>
          </w:p>
        </w:tc>
        <w:tc>
          <w:tcPr>
            <w:tcW w:w="1546" w:type="dxa"/>
            <w:shd w:val="clear" w:color="auto" w:fill="auto"/>
            <w:noWrap/>
            <w:vAlign w:val="center"/>
            <w:hideMark/>
          </w:tcPr>
          <w:p w14:paraId="3228AE3D" w14:textId="60C604E4" w:rsidR="00C44070" w:rsidRPr="00342041" w:rsidRDefault="004566AA" w:rsidP="00C10ECA">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4,5</w:t>
            </w:r>
          </w:p>
        </w:tc>
        <w:tc>
          <w:tcPr>
            <w:tcW w:w="1418" w:type="dxa"/>
            <w:shd w:val="clear" w:color="auto" w:fill="auto"/>
            <w:vAlign w:val="center"/>
            <w:hideMark/>
          </w:tcPr>
          <w:p w14:paraId="5DB128C2" w14:textId="0BB2BE91" w:rsidR="00C44070" w:rsidRPr="00342041" w:rsidRDefault="004566AA" w:rsidP="00C10ECA">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4,2</w:t>
            </w:r>
          </w:p>
        </w:tc>
        <w:tc>
          <w:tcPr>
            <w:tcW w:w="1271" w:type="dxa"/>
            <w:shd w:val="clear" w:color="auto" w:fill="auto"/>
            <w:vAlign w:val="center"/>
            <w:hideMark/>
          </w:tcPr>
          <w:p w14:paraId="70758911" w14:textId="49A70031" w:rsidR="00C44070" w:rsidRPr="00342041" w:rsidRDefault="004566AA" w:rsidP="00C10ECA">
            <w:pPr>
              <w:spacing w:after="0" w:line="240" w:lineRule="auto"/>
              <w:jc w:val="center"/>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3,8</w:t>
            </w:r>
          </w:p>
        </w:tc>
      </w:tr>
    </w:tbl>
    <w:p w14:paraId="29244708" w14:textId="71D2A102" w:rsidR="00C44070" w:rsidRPr="008B383C" w:rsidRDefault="00C44070" w:rsidP="003C1988">
      <w:pPr>
        <w:spacing w:after="0"/>
        <w:rPr>
          <w:rFonts w:ascii="Times New Roman" w:hAnsi="Times New Roman" w:cs="Times New Roman"/>
          <w:b/>
          <w:bCs/>
          <w:spacing w:val="-10"/>
          <w:kern w:val="20"/>
          <w:szCs w:val="24"/>
        </w:rPr>
      </w:pPr>
      <w:r w:rsidRPr="008B383C">
        <w:rPr>
          <w:rFonts w:ascii="Times New Roman" w:hAnsi="Times New Roman" w:cs="Times New Roman"/>
          <w:b/>
          <w:bCs/>
          <w:spacing w:val="-10"/>
          <w:kern w:val="20"/>
          <w:szCs w:val="24"/>
        </w:rPr>
        <w:t>Źródła: stopa ubóstwa skrajnego – Badanie bu</w:t>
      </w:r>
      <w:r w:rsidR="002F2A45">
        <w:rPr>
          <w:rFonts w:ascii="Times New Roman" w:hAnsi="Times New Roman" w:cs="Times New Roman"/>
          <w:b/>
          <w:bCs/>
          <w:spacing w:val="-10"/>
          <w:kern w:val="20"/>
          <w:szCs w:val="24"/>
        </w:rPr>
        <w:t>dżetów gospodarstw domowych 2019</w:t>
      </w:r>
      <w:r w:rsidRPr="008B383C">
        <w:rPr>
          <w:rFonts w:ascii="Times New Roman" w:hAnsi="Times New Roman" w:cs="Times New Roman"/>
          <w:b/>
          <w:bCs/>
          <w:spacing w:val="-10"/>
          <w:kern w:val="20"/>
          <w:szCs w:val="24"/>
        </w:rPr>
        <w:t>, GUS</w:t>
      </w:r>
    </w:p>
    <w:p w14:paraId="2561DF3C" w14:textId="23ACF563" w:rsidR="00AB5150" w:rsidRPr="000B3303" w:rsidRDefault="00AB5150" w:rsidP="000B3303">
      <w:pPr>
        <w:spacing w:after="0"/>
        <w:rPr>
          <w:rFonts w:ascii="Times New Roman" w:hAnsi="Times New Roman" w:cs="Times New Roman"/>
          <w:bCs/>
          <w:spacing w:val="-10"/>
          <w:kern w:val="20"/>
          <w:sz w:val="24"/>
          <w:szCs w:val="24"/>
        </w:rPr>
      </w:pPr>
    </w:p>
    <w:p w14:paraId="36BDD072" w14:textId="77777777" w:rsidR="004D7B9C" w:rsidRDefault="004D7B9C" w:rsidP="004D7B9C">
      <w:pPr>
        <w:spacing w:after="0"/>
        <w:jc w:val="both"/>
        <w:rPr>
          <w:rFonts w:ascii="Times New Roman" w:hAnsi="Times New Roman" w:cs="Times New Roman"/>
          <w:i/>
          <w:sz w:val="24"/>
          <w:szCs w:val="24"/>
        </w:rPr>
      </w:pPr>
      <w:r w:rsidRPr="00F9195B">
        <w:rPr>
          <w:rFonts w:ascii="Times New Roman" w:hAnsi="Times New Roman" w:cs="Times New Roman"/>
          <w:sz w:val="24"/>
          <w:szCs w:val="24"/>
        </w:rPr>
        <w:t xml:space="preserve">Wszystkie zmiany, wprowadzane kolejno poprzez nowe regulacje prawne oraz programy rządowe, pozostają w ścisłym związku z ideą deinstytucjonalizacji. Szczególnie promowane są działania służące procesowi odchodzenia od organizowania usług świadczonych wobec osób niesamodzielnych oraz starszych w dużych instytucjach - na rzecz form kameralnych, rodzinnych i środowiskowych. Działania, o których mowa to rozwój usług opiekuńczych i specjalistycznych usług opiekuńczych, w tym świadczonych w ośrodkach wsparcia, rozwój sieci mieszkań chronionych, a także działalność rodzinnych domów pomocy. </w:t>
      </w:r>
    </w:p>
    <w:p w14:paraId="2AF2827A" w14:textId="77777777" w:rsidR="004D7B9C" w:rsidRPr="004D7B9C" w:rsidRDefault="004D7B9C" w:rsidP="004D7B9C">
      <w:pPr>
        <w:spacing w:after="0"/>
        <w:jc w:val="both"/>
        <w:rPr>
          <w:rFonts w:ascii="Times New Roman" w:hAnsi="Times New Roman" w:cs="Times New Roman"/>
          <w:sz w:val="24"/>
          <w:szCs w:val="24"/>
        </w:rPr>
      </w:pPr>
    </w:p>
    <w:p w14:paraId="34844CBA" w14:textId="77777777" w:rsidR="00F9195B" w:rsidRPr="00414B78" w:rsidRDefault="00F9195B" w:rsidP="00224DCE">
      <w:pPr>
        <w:spacing w:after="0"/>
        <w:jc w:val="both"/>
        <w:rPr>
          <w:rFonts w:ascii="Times New Roman" w:hAnsi="Times New Roman" w:cs="Times New Roman"/>
          <w:b/>
          <w:color w:val="00B0F0"/>
          <w:sz w:val="24"/>
          <w:szCs w:val="24"/>
        </w:rPr>
      </w:pPr>
      <w:r w:rsidRPr="00414B78">
        <w:rPr>
          <w:rFonts w:ascii="Times New Roman" w:hAnsi="Times New Roman" w:cs="Times New Roman"/>
          <w:b/>
          <w:color w:val="00B0F0"/>
          <w:sz w:val="24"/>
          <w:szCs w:val="24"/>
        </w:rPr>
        <w:t>Usługi opiekuńcze i specjalistyczne usługi opiekuńcze w miejscu za</w:t>
      </w:r>
      <w:r w:rsidR="00414B78">
        <w:rPr>
          <w:rFonts w:ascii="Times New Roman" w:hAnsi="Times New Roman" w:cs="Times New Roman"/>
          <w:b/>
          <w:color w:val="00B0F0"/>
          <w:sz w:val="24"/>
          <w:szCs w:val="24"/>
        </w:rPr>
        <w:t>mieszkania</w:t>
      </w:r>
    </w:p>
    <w:p w14:paraId="52803D35" w14:textId="190D68CE" w:rsidR="00F9195B" w:rsidRPr="00F9195B" w:rsidRDefault="00F9195B" w:rsidP="00224DCE">
      <w:pPr>
        <w:pStyle w:val="Tekstpodstawowy"/>
        <w:spacing w:after="0" w:line="276" w:lineRule="auto"/>
        <w:jc w:val="both"/>
        <w:rPr>
          <w:rFonts w:ascii="Times New Roman" w:hAnsi="Times New Roman" w:cs="Times New Roman"/>
        </w:rPr>
      </w:pPr>
      <w:r w:rsidRPr="00F9195B">
        <w:rPr>
          <w:rFonts w:ascii="Times New Roman" w:hAnsi="Times New Roman" w:cs="Times New Roman"/>
        </w:rPr>
        <w:t xml:space="preserve">Usługi opiekuńcze i specjalistyczne usługi opiekuńcze jest to  forma wsparcia realizowana </w:t>
      </w:r>
      <w:r w:rsidR="00A84B3D">
        <w:rPr>
          <w:rFonts w:ascii="Times New Roman" w:hAnsi="Times New Roman" w:cs="Times New Roman"/>
        </w:rPr>
        <w:br/>
      </w:r>
      <w:r w:rsidRPr="00F9195B">
        <w:rPr>
          <w:rFonts w:ascii="Times New Roman" w:hAnsi="Times New Roman" w:cs="Times New Roman"/>
        </w:rPr>
        <w:t xml:space="preserve">w oparciu o przepisy </w:t>
      </w:r>
      <w:r w:rsidRPr="00224DCE">
        <w:rPr>
          <w:rFonts w:ascii="Times New Roman" w:hAnsi="Times New Roman" w:cs="Times New Roman"/>
          <w:i/>
        </w:rPr>
        <w:t>ustawy z dnia 12 marca 2004 r.  o pomocy społecznej</w:t>
      </w:r>
      <w:r w:rsidRPr="00F9195B">
        <w:rPr>
          <w:rFonts w:ascii="Times New Roman" w:hAnsi="Times New Roman" w:cs="Times New Roman"/>
        </w:rPr>
        <w:t xml:space="preserve"> (Dz. U. z 2019 r. </w:t>
      </w:r>
      <w:r w:rsidR="00A84B3D">
        <w:rPr>
          <w:rFonts w:ascii="Times New Roman" w:hAnsi="Times New Roman" w:cs="Times New Roman"/>
        </w:rPr>
        <w:br/>
      </w:r>
      <w:r w:rsidR="002C28F4">
        <w:rPr>
          <w:rFonts w:ascii="Times New Roman" w:hAnsi="Times New Roman" w:cs="Times New Roman"/>
        </w:rPr>
        <w:t>poz. 1507, z późn.</w:t>
      </w:r>
      <w:r w:rsidRPr="00F9195B">
        <w:rPr>
          <w:rFonts w:ascii="Times New Roman" w:hAnsi="Times New Roman" w:cs="Times New Roman"/>
        </w:rPr>
        <w:t xml:space="preserve"> zm.) oraz </w:t>
      </w:r>
      <w:r w:rsidRPr="00224DCE">
        <w:rPr>
          <w:rFonts w:ascii="Times New Roman" w:hAnsi="Times New Roman" w:cs="Times New Roman"/>
          <w:i/>
        </w:rPr>
        <w:t xml:space="preserve">rozporządzenia Ministra Polityki Społecznej z dnia 22 września </w:t>
      </w:r>
      <w:r w:rsidR="002C28F4">
        <w:rPr>
          <w:rFonts w:ascii="Times New Roman" w:hAnsi="Times New Roman" w:cs="Times New Roman"/>
          <w:i/>
        </w:rPr>
        <w:br/>
      </w:r>
      <w:r w:rsidRPr="00224DCE">
        <w:rPr>
          <w:rFonts w:ascii="Times New Roman" w:hAnsi="Times New Roman" w:cs="Times New Roman"/>
          <w:i/>
        </w:rPr>
        <w:t>2005 r. w</w:t>
      </w:r>
      <w:r w:rsidRPr="00F9195B">
        <w:rPr>
          <w:rFonts w:ascii="Times New Roman" w:hAnsi="Times New Roman" w:cs="Times New Roman"/>
          <w:i/>
        </w:rPr>
        <w:t xml:space="preserve"> sprawie specjalistycznych usług opiekuńczych</w:t>
      </w:r>
      <w:r w:rsidRPr="00F9195B">
        <w:rPr>
          <w:rFonts w:ascii="Times New Roman" w:hAnsi="Times New Roman" w:cs="Times New Roman"/>
        </w:rPr>
        <w:t xml:space="preserve"> (D</w:t>
      </w:r>
      <w:r w:rsidR="002C28F4">
        <w:rPr>
          <w:rFonts w:ascii="Times New Roman" w:hAnsi="Times New Roman" w:cs="Times New Roman"/>
        </w:rPr>
        <w:t>z. U. z 2005 r. poz. 1598, z późn. zm</w:t>
      </w:r>
      <w:r w:rsidRPr="00F9195B">
        <w:rPr>
          <w:rFonts w:ascii="Times New Roman" w:hAnsi="Times New Roman" w:cs="Times New Roman"/>
        </w:rPr>
        <w:t>.) oraz w ramach Programu „ Opieka 75+” i przysługuje:</w:t>
      </w:r>
    </w:p>
    <w:p w14:paraId="1CB8F897" w14:textId="77777777" w:rsidR="00224DCE" w:rsidRDefault="00F9195B" w:rsidP="008C71A9">
      <w:pPr>
        <w:pStyle w:val="Tekstpodstawowy"/>
        <w:widowControl/>
        <w:numPr>
          <w:ilvl w:val="0"/>
          <w:numId w:val="289"/>
        </w:numPr>
        <w:suppressAutoHyphens w:val="0"/>
        <w:spacing w:after="0" w:line="276" w:lineRule="auto"/>
        <w:ind w:left="360"/>
        <w:jc w:val="both"/>
        <w:rPr>
          <w:rFonts w:ascii="Times New Roman" w:hAnsi="Times New Roman" w:cs="Times New Roman"/>
        </w:rPr>
      </w:pPr>
      <w:r w:rsidRPr="00F9195B">
        <w:rPr>
          <w:rFonts w:ascii="Times New Roman" w:hAnsi="Times New Roman" w:cs="Times New Roman"/>
        </w:rPr>
        <w:t>osobie samotnej, która z powodu wieku, choroby lub niepełnosprawności wymaga pomocy innych osób,</w:t>
      </w:r>
    </w:p>
    <w:p w14:paraId="7F2586A1" w14:textId="77777777" w:rsidR="00F9195B" w:rsidRPr="00224DCE" w:rsidRDefault="00F9195B" w:rsidP="008C71A9">
      <w:pPr>
        <w:pStyle w:val="Tekstpodstawowy"/>
        <w:widowControl/>
        <w:numPr>
          <w:ilvl w:val="0"/>
          <w:numId w:val="289"/>
        </w:numPr>
        <w:suppressAutoHyphens w:val="0"/>
        <w:spacing w:after="0" w:line="276" w:lineRule="auto"/>
        <w:ind w:left="360"/>
        <w:jc w:val="both"/>
        <w:rPr>
          <w:rFonts w:ascii="Times New Roman" w:hAnsi="Times New Roman" w:cs="Times New Roman"/>
        </w:rPr>
      </w:pPr>
      <w:r w:rsidRPr="00224DCE">
        <w:rPr>
          <w:rFonts w:ascii="Times New Roman" w:hAnsi="Times New Roman" w:cs="Times New Roman"/>
        </w:rPr>
        <w:t xml:space="preserve">osobie w rodzinie, która wymaga pomocy innych osób, jednak rodzina, a także wspólnie </w:t>
      </w:r>
      <w:r w:rsidR="00A84B3D">
        <w:rPr>
          <w:rFonts w:ascii="Times New Roman" w:hAnsi="Times New Roman" w:cs="Times New Roman"/>
        </w:rPr>
        <w:br/>
      </w:r>
      <w:r w:rsidRPr="00224DCE">
        <w:rPr>
          <w:rFonts w:ascii="Times New Roman" w:hAnsi="Times New Roman" w:cs="Times New Roman"/>
        </w:rPr>
        <w:t>nie zamieszkujący małżonek, wstępni i zstępni nie są w stanie takiej pomocy zapewnić.</w:t>
      </w:r>
    </w:p>
    <w:p w14:paraId="5DAABD28" w14:textId="77777777" w:rsidR="002C3640" w:rsidRDefault="002C3640" w:rsidP="00224DCE">
      <w:pPr>
        <w:pStyle w:val="Tekstpodstawowy"/>
        <w:spacing w:after="0" w:line="276" w:lineRule="auto"/>
        <w:jc w:val="both"/>
        <w:rPr>
          <w:rFonts w:ascii="Times New Roman" w:hAnsi="Times New Roman" w:cs="Times New Roman"/>
          <w:u w:val="single"/>
        </w:rPr>
      </w:pPr>
    </w:p>
    <w:p w14:paraId="7A278C4E" w14:textId="77777777" w:rsidR="00F9195B" w:rsidRPr="00F9195B" w:rsidRDefault="00F9195B" w:rsidP="00224DCE">
      <w:pPr>
        <w:pStyle w:val="Tekstpodstawowy"/>
        <w:spacing w:after="0" w:line="276" w:lineRule="auto"/>
        <w:jc w:val="both"/>
        <w:rPr>
          <w:rFonts w:ascii="Times New Roman" w:hAnsi="Times New Roman" w:cs="Times New Roman"/>
        </w:rPr>
      </w:pPr>
      <w:r w:rsidRPr="002C3640">
        <w:rPr>
          <w:rFonts w:ascii="Times New Roman" w:hAnsi="Times New Roman" w:cs="Times New Roman"/>
        </w:rPr>
        <w:t>Usługi opiekuńcze</w:t>
      </w:r>
      <w:r w:rsidRPr="00F9195B">
        <w:rPr>
          <w:rFonts w:ascii="Times New Roman" w:hAnsi="Times New Roman" w:cs="Times New Roman"/>
        </w:rPr>
        <w:t xml:space="preserve"> obejmują: zaspokajanie codziennych potrzeb życiowych (sprzątanie, pranie, zakupy, sporządzanie posiłków), opiekę higieniczną, zaleconą przez lekarza pielęgnację, zapewnianie kontaktów z otoczeniem. </w:t>
      </w:r>
    </w:p>
    <w:p w14:paraId="5A3E984D" w14:textId="77777777" w:rsidR="002C3640" w:rsidRDefault="002C3640" w:rsidP="00224DCE">
      <w:pPr>
        <w:pStyle w:val="Akapitzlist"/>
        <w:spacing w:after="0"/>
        <w:ind w:left="0"/>
        <w:jc w:val="both"/>
        <w:rPr>
          <w:rFonts w:ascii="Times New Roman" w:hAnsi="Times New Roman" w:cs="Times New Roman"/>
          <w:sz w:val="24"/>
          <w:szCs w:val="24"/>
          <w:u w:val="single"/>
        </w:rPr>
      </w:pPr>
    </w:p>
    <w:p w14:paraId="2E65A780" w14:textId="77777777" w:rsidR="00F9195B" w:rsidRPr="00F9195B" w:rsidRDefault="00F9195B" w:rsidP="00224DCE">
      <w:pPr>
        <w:pStyle w:val="Akapitzlist"/>
        <w:spacing w:after="0"/>
        <w:ind w:left="0"/>
        <w:jc w:val="both"/>
        <w:rPr>
          <w:rFonts w:ascii="Times New Roman" w:hAnsi="Times New Roman" w:cs="Times New Roman"/>
          <w:sz w:val="24"/>
          <w:szCs w:val="24"/>
        </w:rPr>
      </w:pPr>
      <w:r w:rsidRPr="002C3640">
        <w:rPr>
          <w:rFonts w:ascii="Times New Roman" w:hAnsi="Times New Roman" w:cs="Times New Roman"/>
          <w:sz w:val="24"/>
          <w:szCs w:val="24"/>
        </w:rPr>
        <w:t>Specjalistyczne usługi opiekuńcze</w:t>
      </w:r>
      <w:r w:rsidRPr="00F9195B">
        <w:rPr>
          <w:rFonts w:ascii="Times New Roman" w:hAnsi="Times New Roman" w:cs="Times New Roman"/>
          <w:sz w:val="24"/>
          <w:szCs w:val="24"/>
        </w:rPr>
        <w:t xml:space="preserve"> są usługami dostosowanymi do szczególnych potrzeb wynikających z rodzaju schorzenia lub niepełnosprawności, które są świadczone przez osoby </w:t>
      </w:r>
      <w:r w:rsidR="00A84B3D">
        <w:rPr>
          <w:rFonts w:ascii="Times New Roman" w:hAnsi="Times New Roman" w:cs="Times New Roman"/>
          <w:sz w:val="24"/>
          <w:szCs w:val="24"/>
        </w:rPr>
        <w:br/>
      </w:r>
      <w:r w:rsidRPr="00F9195B">
        <w:rPr>
          <w:rFonts w:ascii="Times New Roman" w:hAnsi="Times New Roman" w:cs="Times New Roman"/>
          <w:sz w:val="24"/>
          <w:szCs w:val="24"/>
        </w:rPr>
        <w:t xml:space="preserve">ze specjalistycznym przygotowaniem zawodowym: pracowników socjalnych, psychologów, pedagogów, logopedów, terapeutów zajęciowych, pielęgniarki, asystentów osoby niepełnosprawnej, opiekunki środowiskowe, specjalistów w zakresie rehabilitacji medycznej </w:t>
      </w:r>
      <w:r w:rsidR="00A84B3D">
        <w:rPr>
          <w:rFonts w:ascii="Times New Roman" w:hAnsi="Times New Roman" w:cs="Times New Roman"/>
          <w:sz w:val="24"/>
          <w:szCs w:val="24"/>
        </w:rPr>
        <w:br/>
      </w:r>
      <w:r w:rsidRPr="00F9195B">
        <w:rPr>
          <w:rFonts w:ascii="Times New Roman" w:hAnsi="Times New Roman" w:cs="Times New Roman"/>
          <w:sz w:val="24"/>
          <w:szCs w:val="24"/>
        </w:rPr>
        <w:t xml:space="preserve">czy fizjoterapeutów. Są zadaniem własnym gminy. Specjalistyczne usługi opiekuńcze dla osób </w:t>
      </w:r>
      <w:r w:rsidR="00A84B3D">
        <w:rPr>
          <w:rFonts w:ascii="Times New Roman" w:hAnsi="Times New Roman" w:cs="Times New Roman"/>
          <w:sz w:val="24"/>
          <w:szCs w:val="24"/>
        </w:rPr>
        <w:br/>
      </w:r>
      <w:r w:rsidRPr="00F9195B">
        <w:rPr>
          <w:rFonts w:ascii="Times New Roman" w:hAnsi="Times New Roman" w:cs="Times New Roman"/>
          <w:sz w:val="24"/>
          <w:szCs w:val="24"/>
        </w:rPr>
        <w:t xml:space="preserve">z zaburzeniami psychicznymi są natomiast zadaniem zleconym gminie, finansowanym </w:t>
      </w:r>
      <w:r w:rsidRPr="00F9195B">
        <w:rPr>
          <w:rFonts w:ascii="Times New Roman" w:hAnsi="Times New Roman" w:cs="Times New Roman"/>
          <w:sz w:val="24"/>
          <w:szCs w:val="24"/>
        </w:rPr>
        <w:br/>
        <w:t>z budżetu państwa.</w:t>
      </w:r>
    </w:p>
    <w:p w14:paraId="0CD7B810" w14:textId="77777777" w:rsidR="00F9195B" w:rsidRPr="00F9195B" w:rsidRDefault="00F9195B" w:rsidP="00224DCE">
      <w:pPr>
        <w:pStyle w:val="Tekstpodstawowy"/>
        <w:spacing w:after="0" w:line="276" w:lineRule="auto"/>
        <w:jc w:val="both"/>
        <w:rPr>
          <w:rFonts w:ascii="Times New Roman" w:hAnsi="Times New Roman" w:cs="Times New Roman"/>
        </w:rPr>
      </w:pPr>
    </w:p>
    <w:p w14:paraId="4ABCFA21" w14:textId="77777777" w:rsidR="00F9195B" w:rsidRPr="00F9195B" w:rsidRDefault="00F9195B" w:rsidP="00224DCE">
      <w:pPr>
        <w:pStyle w:val="Akapitzlist"/>
        <w:spacing w:after="0"/>
        <w:ind w:left="0"/>
        <w:jc w:val="both"/>
        <w:rPr>
          <w:rFonts w:ascii="Times New Roman" w:hAnsi="Times New Roman" w:cs="Times New Roman"/>
          <w:sz w:val="24"/>
          <w:szCs w:val="24"/>
        </w:rPr>
      </w:pPr>
      <w:r w:rsidRPr="00F9195B">
        <w:rPr>
          <w:rFonts w:ascii="Times New Roman" w:hAnsi="Times New Roman" w:cs="Times New Roman"/>
          <w:sz w:val="24"/>
          <w:szCs w:val="24"/>
        </w:rPr>
        <w:t xml:space="preserve">Specjalistyczne usługi opiekuńcze obejmują uczenie i rozwijanie umiejętności niezbędnych </w:t>
      </w:r>
      <w:r w:rsidR="00A84B3D">
        <w:rPr>
          <w:rFonts w:ascii="Times New Roman" w:hAnsi="Times New Roman" w:cs="Times New Roman"/>
          <w:sz w:val="24"/>
          <w:szCs w:val="24"/>
        </w:rPr>
        <w:br/>
      </w:r>
      <w:r w:rsidRPr="00F9195B">
        <w:rPr>
          <w:rFonts w:ascii="Times New Roman" w:hAnsi="Times New Roman" w:cs="Times New Roman"/>
          <w:sz w:val="24"/>
          <w:szCs w:val="24"/>
        </w:rPr>
        <w:t xml:space="preserve">do samodzielnego życia, w tym m.in.: </w:t>
      </w:r>
    </w:p>
    <w:p w14:paraId="4ED4A64B" w14:textId="77777777" w:rsidR="00F9195B" w:rsidRPr="00F9195B" w:rsidRDefault="00F9195B" w:rsidP="008C71A9">
      <w:pPr>
        <w:pStyle w:val="Akapitzlist"/>
        <w:numPr>
          <w:ilvl w:val="0"/>
          <w:numId w:val="218"/>
        </w:numPr>
        <w:spacing w:after="0"/>
        <w:ind w:left="360"/>
        <w:jc w:val="both"/>
        <w:rPr>
          <w:rFonts w:ascii="Times New Roman" w:hAnsi="Times New Roman" w:cs="Times New Roman"/>
          <w:sz w:val="24"/>
          <w:szCs w:val="24"/>
        </w:rPr>
      </w:pPr>
      <w:r w:rsidRPr="00F9195B">
        <w:rPr>
          <w:rFonts w:ascii="Times New Roman" w:hAnsi="Times New Roman" w:cs="Times New Roman"/>
          <w:sz w:val="24"/>
          <w:szCs w:val="24"/>
        </w:rPr>
        <w:t>kształtowanie umiejętności zaspokajania podstawowych potrzeb życiowych i umiejętności społecznego funkcjonowania,</w:t>
      </w:r>
    </w:p>
    <w:p w14:paraId="4EFC7113" w14:textId="77777777" w:rsidR="00F9195B" w:rsidRPr="00F9195B" w:rsidRDefault="00F9195B" w:rsidP="008C71A9">
      <w:pPr>
        <w:pStyle w:val="Akapitzlist"/>
        <w:numPr>
          <w:ilvl w:val="0"/>
          <w:numId w:val="218"/>
        </w:numPr>
        <w:spacing w:after="0"/>
        <w:ind w:left="360"/>
        <w:jc w:val="both"/>
        <w:rPr>
          <w:rFonts w:ascii="Times New Roman" w:hAnsi="Times New Roman" w:cs="Times New Roman"/>
          <w:sz w:val="24"/>
          <w:szCs w:val="24"/>
        </w:rPr>
      </w:pPr>
      <w:r w:rsidRPr="00F9195B">
        <w:rPr>
          <w:rFonts w:ascii="Times New Roman" w:hAnsi="Times New Roman" w:cs="Times New Roman"/>
          <w:sz w:val="24"/>
          <w:szCs w:val="24"/>
        </w:rPr>
        <w:t>pomoc w załatwianiu spraw urzędowych,</w:t>
      </w:r>
    </w:p>
    <w:p w14:paraId="458AB9F9" w14:textId="77777777" w:rsidR="00F9195B" w:rsidRPr="00F9195B" w:rsidRDefault="00F9195B" w:rsidP="008C71A9">
      <w:pPr>
        <w:pStyle w:val="Akapitzlist"/>
        <w:numPr>
          <w:ilvl w:val="0"/>
          <w:numId w:val="218"/>
        </w:numPr>
        <w:spacing w:after="0"/>
        <w:ind w:left="360"/>
        <w:jc w:val="both"/>
        <w:rPr>
          <w:rFonts w:ascii="Times New Roman" w:hAnsi="Times New Roman" w:cs="Times New Roman"/>
          <w:sz w:val="24"/>
          <w:szCs w:val="24"/>
        </w:rPr>
      </w:pPr>
      <w:r w:rsidRPr="00F9195B">
        <w:rPr>
          <w:rFonts w:ascii="Times New Roman" w:hAnsi="Times New Roman" w:cs="Times New Roman"/>
          <w:sz w:val="24"/>
          <w:szCs w:val="24"/>
        </w:rPr>
        <w:t>pomoc w gospodarowaniu pieniędzmi,</w:t>
      </w:r>
    </w:p>
    <w:p w14:paraId="760D57A7" w14:textId="77777777" w:rsidR="00F9195B" w:rsidRPr="00F9195B" w:rsidRDefault="00F9195B" w:rsidP="008C71A9">
      <w:pPr>
        <w:pStyle w:val="Akapitzlist"/>
        <w:numPr>
          <w:ilvl w:val="0"/>
          <w:numId w:val="218"/>
        </w:numPr>
        <w:spacing w:after="0"/>
        <w:ind w:left="360"/>
        <w:jc w:val="both"/>
        <w:rPr>
          <w:rFonts w:ascii="Times New Roman" w:hAnsi="Times New Roman" w:cs="Times New Roman"/>
          <w:sz w:val="24"/>
          <w:szCs w:val="24"/>
        </w:rPr>
      </w:pPr>
      <w:r w:rsidRPr="00F9195B">
        <w:rPr>
          <w:rFonts w:ascii="Times New Roman" w:hAnsi="Times New Roman" w:cs="Times New Roman"/>
          <w:sz w:val="24"/>
          <w:szCs w:val="24"/>
        </w:rPr>
        <w:t>pielęgnację - jako wspieranie procesu leczenia,</w:t>
      </w:r>
    </w:p>
    <w:p w14:paraId="78E88578" w14:textId="691B3CF9" w:rsidR="00F9195B" w:rsidRDefault="00F9195B" w:rsidP="008C71A9">
      <w:pPr>
        <w:pStyle w:val="Akapitzlist"/>
        <w:numPr>
          <w:ilvl w:val="0"/>
          <w:numId w:val="218"/>
        </w:numPr>
        <w:spacing w:after="0"/>
        <w:ind w:left="360"/>
        <w:jc w:val="both"/>
        <w:rPr>
          <w:rFonts w:ascii="Times New Roman" w:hAnsi="Times New Roman" w:cs="Times New Roman"/>
          <w:sz w:val="24"/>
          <w:szCs w:val="24"/>
        </w:rPr>
      </w:pPr>
      <w:r w:rsidRPr="00F9195B">
        <w:rPr>
          <w:rFonts w:ascii="Times New Roman" w:hAnsi="Times New Roman" w:cs="Times New Roman"/>
          <w:sz w:val="24"/>
          <w:szCs w:val="24"/>
        </w:rPr>
        <w:t xml:space="preserve">rehabilitację fizyczną i usprawnianie zaburzonych funkcji organizmu w zakresie nieobjętym przepisami </w:t>
      </w:r>
      <w:r w:rsidRPr="002C3640">
        <w:rPr>
          <w:rFonts w:ascii="Times New Roman" w:hAnsi="Times New Roman" w:cs="Times New Roman"/>
          <w:i/>
          <w:sz w:val="24"/>
          <w:szCs w:val="24"/>
        </w:rPr>
        <w:t>ustawy z dnia 27 sierpnia 2004 r. o świadczeniach opieki zdrowotnej finansowanych ze środków publicznych</w:t>
      </w:r>
      <w:r w:rsidR="004E42FA">
        <w:rPr>
          <w:rFonts w:ascii="Times New Roman" w:hAnsi="Times New Roman" w:cs="Times New Roman"/>
          <w:sz w:val="24"/>
          <w:szCs w:val="24"/>
        </w:rPr>
        <w:t xml:space="preserve"> (Dz. U. z 2020 r. poz. 1398</w:t>
      </w:r>
      <w:r w:rsidRPr="00F9195B">
        <w:rPr>
          <w:rFonts w:ascii="Times New Roman" w:hAnsi="Times New Roman" w:cs="Times New Roman"/>
          <w:sz w:val="24"/>
          <w:szCs w:val="24"/>
        </w:rPr>
        <w:t>).</w:t>
      </w:r>
    </w:p>
    <w:p w14:paraId="19D643BA" w14:textId="0019E681" w:rsidR="00A84B3D" w:rsidRPr="007E1A37" w:rsidRDefault="00A84B3D" w:rsidP="00224DCE">
      <w:pPr>
        <w:spacing w:after="0"/>
        <w:jc w:val="both"/>
        <w:rPr>
          <w:rFonts w:ascii="Times New Roman" w:hAnsi="Times New Roman" w:cs="Times New Roman"/>
          <w:sz w:val="24"/>
          <w:szCs w:val="24"/>
        </w:rPr>
      </w:pPr>
    </w:p>
    <w:p w14:paraId="4BF0F0A4" w14:textId="77777777" w:rsidR="007E1A37" w:rsidRPr="00414B78" w:rsidRDefault="007E1A37" w:rsidP="00224DCE">
      <w:pPr>
        <w:spacing w:after="0"/>
        <w:jc w:val="both"/>
        <w:rPr>
          <w:rFonts w:ascii="Times New Roman" w:hAnsi="Times New Roman" w:cs="Times New Roman"/>
          <w:b/>
          <w:color w:val="00B0F0"/>
          <w:sz w:val="24"/>
          <w:szCs w:val="24"/>
        </w:rPr>
      </w:pPr>
      <w:r w:rsidRPr="00414B78">
        <w:rPr>
          <w:rFonts w:ascii="Times New Roman" w:hAnsi="Times New Roman" w:cs="Times New Roman"/>
          <w:b/>
          <w:color w:val="00B0F0"/>
          <w:sz w:val="24"/>
          <w:szCs w:val="24"/>
        </w:rPr>
        <w:t xml:space="preserve">Usługi opiekuńcze i specjalistyczne usługi opiekuńcze </w:t>
      </w:r>
      <w:r w:rsidR="00414B78">
        <w:rPr>
          <w:rFonts w:ascii="Times New Roman" w:hAnsi="Times New Roman" w:cs="Times New Roman"/>
          <w:b/>
          <w:color w:val="00B0F0"/>
          <w:sz w:val="24"/>
          <w:szCs w:val="24"/>
        </w:rPr>
        <w:t>świadczone w ośrodkach wsparcia</w:t>
      </w:r>
    </w:p>
    <w:p w14:paraId="754C94A6" w14:textId="77777777" w:rsidR="007E1A37" w:rsidRPr="007E1A37" w:rsidRDefault="007E1A37" w:rsidP="00224DCE">
      <w:pPr>
        <w:spacing w:after="0"/>
        <w:jc w:val="both"/>
        <w:rPr>
          <w:rFonts w:ascii="Times New Roman" w:hAnsi="Times New Roman" w:cs="Times New Roman"/>
          <w:b/>
          <w:sz w:val="24"/>
          <w:szCs w:val="24"/>
        </w:rPr>
      </w:pPr>
      <w:r w:rsidRPr="007E1A37">
        <w:rPr>
          <w:rFonts w:ascii="Times New Roman" w:eastAsia="Calibri" w:hAnsi="Times New Roman" w:cs="Times New Roman"/>
          <w:sz w:val="24"/>
          <w:szCs w:val="24"/>
        </w:rPr>
        <w:t xml:space="preserve">Usługi opiekuńcze i specjalistyczne usługi opiekuńcze mogą być także świadczone </w:t>
      </w:r>
      <w:r w:rsidRPr="007E1A37">
        <w:rPr>
          <w:rFonts w:ascii="Times New Roman" w:eastAsia="Calibri" w:hAnsi="Times New Roman" w:cs="Times New Roman"/>
          <w:sz w:val="24"/>
          <w:szCs w:val="24"/>
        </w:rPr>
        <w:br/>
        <w:t xml:space="preserve">w </w:t>
      </w:r>
      <w:r w:rsidRPr="007E1A37">
        <w:rPr>
          <w:rFonts w:ascii="Times New Roman" w:eastAsia="Calibri" w:hAnsi="Times New Roman" w:cs="Times New Roman"/>
          <w:b/>
          <w:sz w:val="24"/>
          <w:szCs w:val="24"/>
        </w:rPr>
        <w:t>ośrodkach wsparcia</w:t>
      </w:r>
      <w:r w:rsidRPr="007E1A37">
        <w:rPr>
          <w:rFonts w:ascii="Times New Roman" w:eastAsia="Calibri" w:hAnsi="Times New Roman" w:cs="Times New Roman"/>
          <w:sz w:val="24"/>
          <w:szCs w:val="24"/>
        </w:rPr>
        <w:t xml:space="preserve">. Ośrodkami wsparcia są m. in.: </w:t>
      </w:r>
    </w:p>
    <w:p w14:paraId="15EF92AD" w14:textId="77777777" w:rsidR="007E1A37" w:rsidRPr="002C3640" w:rsidRDefault="007E1A37" w:rsidP="008C71A9">
      <w:pPr>
        <w:pStyle w:val="Akapitzlist"/>
        <w:numPr>
          <w:ilvl w:val="0"/>
          <w:numId w:val="224"/>
        </w:numPr>
        <w:spacing w:after="0"/>
        <w:ind w:left="360"/>
        <w:jc w:val="both"/>
        <w:rPr>
          <w:rFonts w:ascii="Times New Roman" w:eastAsia="Calibri" w:hAnsi="Times New Roman" w:cs="Times New Roman"/>
          <w:sz w:val="24"/>
          <w:szCs w:val="24"/>
        </w:rPr>
      </w:pPr>
      <w:r w:rsidRPr="002C3640">
        <w:rPr>
          <w:rFonts w:ascii="Times New Roman" w:eastAsia="Calibri" w:hAnsi="Times New Roman" w:cs="Times New Roman"/>
          <w:sz w:val="24"/>
          <w:szCs w:val="24"/>
        </w:rPr>
        <w:t xml:space="preserve">dzienne domy pomocy, </w:t>
      </w:r>
    </w:p>
    <w:p w14:paraId="22DABFC1" w14:textId="77777777" w:rsidR="007E1A37" w:rsidRPr="002C3640" w:rsidRDefault="007E1A37" w:rsidP="008C71A9">
      <w:pPr>
        <w:pStyle w:val="Akapitzlist"/>
        <w:numPr>
          <w:ilvl w:val="0"/>
          <w:numId w:val="224"/>
        </w:numPr>
        <w:spacing w:after="0"/>
        <w:ind w:left="360"/>
        <w:jc w:val="both"/>
        <w:rPr>
          <w:rFonts w:ascii="Times New Roman" w:eastAsia="Calibri" w:hAnsi="Times New Roman" w:cs="Times New Roman"/>
          <w:sz w:val="24"/>
          <w:szCs w:val="24"/>
        </w:rPr>
      </w:pPr>
      <w:r w:rsidRPr="002C3640">
        <w:rPr>
          <w:rFonts w:ascii="Times New Roman" w:eastAsia="Calibri" w:hAnsi="Times New Roman" w:cs="Times New Roman"/>
          <w:sz w:val="24"/>
          <w:szCs w:val="24"/>
        </w:rPr>
        <w:t xml:space="preserve">ośrodki wsparcia dla osób z zaburzeniami psychicznymi: środowiskowe domy samopomocy </w:t>
      </w:r>
      <w:r w:rsidRPr="002C3640">
        <w:rPr>
          <w:rFonts w:ascii="Times New Roman" w:eastAsia="Calibri" w:hAnsi="Times New Roman" w:cs="Times New Roman"/>
          <w:sz w:val="24"/>
          <w:szCs w:val="24"/>
        </w:rPr>
        <w:br/>
        <w:t xml:space="preserve">i kluby samopomocy dla osób z zaburzeniami psychicznymi. </w:t>
      </w:r>
    </w:p>
    <w:p w14:paraId="3CFB1ED6" w14:textId="77777777" w:rsidR="007E1A37" w:rsidRDefault="007E1A37" w:rsidP="00224DCE">
      <w:pPr>
        <w:spacing w:after="0"/>
        <w:jc w:val="both"/>
        <w:rPr>
          <w:rFonts w:ascii="Times New Roman" w:hAnsi="Times New Roman" w:cs="Times New Roman"/>
          <w:sz w:val="24"/>
          <w:szCs w:val="24"/>
        </w:rPr>
      </w:pPr>
    </w:p>
    <w:p w14:paraId="08DADBC6" w14:textId="77777777" w:rsidR="007E1A37" w:rsidRPr="007E1A37" w:rsidRDefault="007E1A37" w:rsidP="00224DCE">
      <w:pPr>
        <w:spacing w:after="0"/>
        <w:jc w:val="both"/>
        <w:rPr>
          <w:rFonts w:ascii="Times New Roman" w:hAnsi="Times New Roman" w:cs="Times New Roman"/>
          <w:sz w:val="24"/>
          <w:szCs w:val="24"/>
        </w:rPr>
      </w:pPr>
      <w:r w:rsidRPr="007E1A37">
        <w:rPr>
          <w:rFonts w:ascii="Times New Roman" w:hAnsi="Times New Roman" w:cs="Times New Roman"/>
          <w:sz w:val="24"/>
          <w:szCs w:val="24"/>
        </w:rPr>
        <w:t xml:space="preserve">Działalność ośrodków wsparcia jest o tyle istotna, że działają wspierająco na całą rodzinę, pomagając w sprawowaniu funkcji opiekuńczych nad niepełnosprawnymi i niesamodzielnymi </w:t>
      </w:r>
      <w:r w:rsidRPr="007E1A37">
        <w:rPr>
          <w:rFonts w:ascii="Times New Roman" w:hAnsi="Times New Roman" w:cs="Times New Roman"/>
          <w:sz w:val="24"/>
          <w:szCs w:val="24"/>
        </w:rPr>
        <w:lastRenderedPageBreak/>
        <w:t xml:space="preserve">członkami rodzin, zapobiegając jednocześnie umieszczaniu ich w placówkach całodobowych. </w:t>
      </w:r>
      <w:r w:rsidR="00A84B3D">
        <w:rPr>
          <w:rFonts w:ascii="Times New Roman" w:hAnsi="Times New Roman" w:cs="Times New Roman"/>
          <w:sz w:val="24"/>
          <w:szCs w:val="24"/>
        </w:rPr>
        <w:br/>
      </w:r>
      <w:r w:rsidRPr="007E1A37">
        <w:rPr>
          <w:rFonts w:ascii="Times New Roman" w:hAnsi="Times New Roman" w:cs="Times New Roman"/>
          <w:sz w:val="24"/>
          <w:szCs w:val="24"/>
        </w:rPr>
        <w:t>W stosunku do osób starszych, samotnych zapobiega ic</w:t>
      </w:r>
      <w:r w:rsidR="002C3640">
        <w:rPr>
          <w:rFonts w:ascii="Times New Roman" w:hAnsi="Times New Roman" w:cs="Times New Roman"/>
          <w:sz w:val="24"/>
          <w:szCs w:val="24"/>
        </w:rPr>
        <w:t xml:space="preserve">h wieloaspektowemu wykluczeniu </w:t>
      </w:r>
      <w:r w:rsidRPr="007E1A37">
        <w:rPr>
          <w:rFonts w:ascii="Times New Roman" w:hAnsi="Times New Roman" w:cs="Times New Roman"/>
          <w:sz w:val="24"/>
          <w:szCs w:val="24"/>
        </w:rPr>
        <w:t xml:space="preserve">z życia społecznego. </w:t>
      </w:r>
    </w:p>
    <w:p w14:paraId="4F2E0136" w14:textId="77777777" w:rsidR="007E1A37" w:rsidRDefault="007E1A37" w:rsidP="00224DCE">
      <w:pPr>
        <w:spacing w:after="0"/>
        <w:jc w:val="both"/>
        <w:rPr>
          <w:rFonts w:ascii="Times New Roman" w:hAnsi="Times New Roman" w:cs="Times New Roman"/>
          <w:sz w:val="24"/>
          <w:szCs w:val="24"/>
        </w:rPr>
      </w:pPr>
    </w:p>
    <w:p w14:paraId="32F15CFE" w14:textId="11A35559" w:rsidR="007E1A37" w:rsidRPr="002C3640" w:rsidRDefault="007E1A37" w:rsidP="00224DCE">
      <w:pPr>
        <w:spacing w:after="0"/>
        <w:jc w:val="both"/>
        <w:rPr>
          <w:rFonts w:ascii="Times New Roman" w:hAnsi="Times New Roman" w:cs="Times New Roman"/>
          <w:i/>
          <w:sz w:val="24"/>
          <w:szCs w:val="24"/>
        </w:rPr>
      </w:pPr>
      <w:r w:rsidRPr="007E1A37">
        <w:rPr>
          <w:rFonts w:ascii="Times New Roman" w:hAnsi="Times New Roman" w:cs="Times New Roman"/>
          <w:sz w:val="24"/>
          <w:szCs w:val="24"/>
        </w:rPr>
        <w:t>Prowadzenie ośrodków wsparcia, z wyłączen</w:t>
      </w:r>
      <w:r w:rsidR="008841AF">
        <w:rPr>
          <w:rFonts w:ascii="Times New Roman" w:hAnsi="Times New Roman" w:cs="Times New Roman"/>
          <w:sz w:val="24"/>
          <w:szCs w:val="24"/>
        </w:rPr>
        <w:t xml:space="preserve">iem ośrodków wsparcia dla osób </w:t>
      </w:r>
      <w:r w:rsidRPr="007E1A37">
        <w:rPr>
          <w:rFonts w:ascii="Times New Roman" w:hAnsi="Times New Roman" w:cs="Times New Roman"/>
          <w:sz w:val="24"/>
          <w:szCs w:val="24"/>
        </w:rPr>
        <w:t xml:space="preserve">z zaburzeniami psychicznymi, jest zadaniem własnym gminy lub powiatu finansowanym </w:t>
      </w:r>
      <w:r w:rsidRPr="007E1A37">
        <w:rPr>
          <w:rFonts w:ascii="Times New Roman" w:hAnsi="Times New Roman" w:cs="Times New Roman"/>
          <w:sz w:val="24"/>
          <w:szCs w:val="24"/>
        </w:rPr>
        <w:br/>
        <w:t xml:space="preserve">z ich budżetu. Gmina lub powiat może zlecać prowadzenie takich jednostek innym podmiotom, </w:t>
      </w:r>
      <w:r w:rsidR="00A84B3D">
        <w:rPr>
          <w:rFonts w:ascii="Times New Roman" w:hAnsi="Times New Roman" w:cs="Times New Roman"/>
          <w:sz w:val="24"/>
          <w:szCs w:val="24"/>
        </w:rPr>
        <w:br/>
      </w:r>
      <w:r w:rsidRPr="007E1A37">
        <w:rPr>
          <w:rFonts w:ascii="Times New Roman" w:hAnsi="Times New Roman" w:cs="Times New Roman"/>
          <w:sz w:val="24"/>
          <w:szCs w:val="24"/>
        </w:rPr>
        <w:t xml:space="preserve">o których mowa w art. 25 </w:t>
      </w:r>
      <w:r w:rsidRPr="002C3640">
        <w:rPr>
          <w:rFonts w:ascii="Times New Roman" w:hAnsi="Times New Roman" w:cs="Times New Roman"/>
          <w:i/>
          <w:sz w:val="24"/>
          <w:szCs w:val="24"/>
        </w:rPr>
        <w:t>ustawy</w:t>
      </w:r>
      <w:r w:rsidR="008841AF">
        <w:rPr>
          <w:rFonts w:ascii="Times New Roman" w:hAnsi="Times New Roman" w:cs="Times New Roman"/>
          <w:i/>
          <w:sz w:val="24"/>
          <w:szCs w:val="24"/>
        </w:rPr>
        <w:t xml:space="preserve"> z dnia 12 czerwca 2004 r.</w:t>
      </w:r>
      <w:r w:rsidRPr="002C3640">
        <w:rPr>
          <w:rFonts w:ascii="Times New Roman" w:hAnsi="Times New Roman" w:cs="Times New Roman"/>
          <w:i/>
          <w:sz w:val="24"/>
          <w:szCs w:val="24"/>
        </w:rPr>
        <w:t xml:space="preserve"> o pomocy społecznej.</w:t>
      </w:r>
    </w:p>
    <w:p w14:paraId="70895715" w14:textId="77777777" w:rsidR="007E1A37" w:rsidRDefault="007E1A37" w:rsidP="00224DCE">
      <w:pPr>
        <w:pStyle w:val="Akapitzlist"/>
        <w:spacing w:after="0"/>
        <w:ind w:left="0"/>
        <w:jc w:val="both"/>
        <w:rPr>
          <w:rFonts w:ascii="Times New Roman" w:eastAsia="Calibri" w:hAnsi="Times New Roman" w:cs="Times New Roman"/>
          <w:b/>
          <w:sz w:val="24"/>
          <w:szCs w:val="24"/>
        </w:rPr>
      </w:pPr>
    </w:p>
    <w:p w14:paraId="5FDEC686" w14:textId="77777777" w:rsidR="007E1A37" w:rsidRPr="002C3640" w:rsidRDefault="007E1A37" w:rsidP="002C3640">
      <w:pPr>
        <w:pStyle w:val="Akapitzlist"/>
        <w:spacing w:after="0"/>
        <w:ind w:left="0"/>
        <w:jc w:val="both"/>
        <w:rPr>
          <w:rFonts w:ascii="Times New Roman" w:eastAsia="Calibri" w:hAnsi="Times New Roman" w:cs="Times New Roman"/>
          <w:sz w:val="24"/>
          <w:szCs w:val="24"/>
        </w:rPr>
      </w:pPr>
      <w:r w:rsidRPr="007E1A37">
        <w:rPr>
          <w:rFonts w:ascii="Times New Roman" w:eastAsia="Calibri" w:hAnsi="Times New Roman" w:cs="Times New Roman"/>
          <w:b/>
          <w:sz w:val="24"/>
          <w:szCs w:val="24"/>
        </w:rPr>
        <w:t>Dzienne domy pomocy</w:t>
      </w:r>
      <w:r w:rsidRPr="007E1A37">
        <w:rPr>
          <w:rFonts w:ascii="Times New Roman" w:eastAsia="Calibri" w:hAnsi="Times New Roman" w:cs="Times New Roman"/>
          <w:sz w:val="24"/>
          <w:szCs w:val="24"/>
        </w:rPr>
        <w:t xml:space="preserve"> są prowadzone i finansowane przez jednostki samorządu terytoria</w:t>
      </w:r>
      <w:r w:rsidR="002C3640">
        <w:rPr>
          <w:rFonts w:ascii="Times New Roman" w:eastAsia="Calibri" w:hAnsi="Times New Roman" w:cs="Times New Roman"/>
          <w:sz w:val="24"/>
          <w:szCs w:val="24"/>
        </w:rPr>
        <w:t xml:space="preserve">lnego w ramach zadań własnych. </w:t>
      </w:r>
      <w:r w:rsidRPr="007E1A37">
        <w:rPr>
          <w:rFonts w:ascii="Times New Roman" w:hAnsi="Times New Roman" w:cs="Times New Roman"/>
          <w:sz w:val="24"/>
          <w:szCs w:val="24"/>
        </w:rPr>
        <w:t xml:space="preserve">Według stanu na koniec 2019 </w:t>
      </w:r>
      <w:r w:rsidR="002C3640">
        <w:rPr>
          <w:rFonts w:ascii="Times New Roman" w:hAnsi="Times New Roman" w:cs="Times New Roman"/>
          <w:sz w:val="24"/>
          <w:szCs w:val="24"/>
        </w:rPr>
        <w:t>r.</w:t>
      </w:r>
      <w:r w:rsidRPr="007E1A37">
        <w:rPr>
          <w:rStyle w:val="Odwoanieprzypisudolnego"/>
          <w:rFonts w:ascii="Times New Roman" w:hAnsi="Times New Roman" w:cs="Times New Roman"/>
          <w:sz w:val="24"/>
          <w:szCs w:val="24"/>
        </w:rPr>
        <w:footnoteReference w:id="2"/>
      </w:r>
      <w:r w:rsidRPr="007E1A37">
        <w:rPr>
          <w:rFonts w:ascii="Times New Roman" w:hAnsi="Times New Roman" w:cs="Times New Roman"/>
          <w:sz w:val="24"/>
          <w:szCs w:val="24"/>
        </w:rPr>
        <w:t xml:space="preserve"> na terenie Polski funkcjonowało </w:t>
      </w:r>
      <w:r w:rsidR="00A84B3D">
        <w:rPr>
          <w:rFonts w:ascii="Times New Roman" w:hAnsi="Times New Roman" w:cs="Times New Roman"/>
          <w:sz w:val="24"/>
          <w:szCs w:val="24"/>
        </w:rPr>
        <w:br/>
      </w:r>
      <w:r w:rsidRPr="007E1A37">
        <w:rPr>
          <w:rFonts w:ascii="Times New Roman" w:hAnsi="Times New Roman" w:cs="Times New Roman"/>
          <w:sz w:val="24"/>
          <w:szCs w:val="24"/>
        </w:rPr>
        <w:t>468 dziennych domów pomo</w:t>
      </w:r>
      <w:r w:rsidR="002C3640">
        <w:rPr>
          <w:rFonts w:ascii="Times New Roman" w:hAnsi="Times New Roman" w:cs="Times New Roman"/>
          <w:sz w:val="24"/>
          <w:szCs w:val="24"/>
        </w:rPr>
        <w:t>cy (o 96 więcej, niż w 2018 r.</w:t>
      </w:r>
      <w:r w:rsidRPr="007E1A37">
        <w:rPr>
          <w:rFonts w:ascii="Times New Roman" w:hAnsi="Times New Roman" w:cs="Times New Roman"/>
          <w:sz w:val="24"/>
          <w:szCs w:val="24"/>
        </w:rPr>
        <w:t xml:space="preserve">, co stanowi wzrost liczby placówek </w:t>
      </w:r>
      <w:r w:rsidR="00A84B3D">
        <w:rPr>
          <w:rFonts w:ascii="Times New Roman" w:hAnsi="Times New Roman" w:cs="Times New Roman"/>
          <w:sz w:val="24"/>
          <w:szCs w:val="24"/>
        </w:rPr>
        <w:br/>
      </w:r>
      <w:r w:rsidRPr="007E1A37">
        <w:rPr>
          <w:rFonts w:ascii="Times New Roman" w:hAnsi="Times New Roman" w:cs="Times New Roman"/>
          <w:sz w:val="24"/>
          <w:szCs w:val="24"/>
        </w:rPr>
        <w:t xml:space="preserve">o ok. 25 %) na 19 019 miejsc (zwiększenie liczby miejsc o 2018, co stanowi ok. 12 % wzrost </w:t>
      </w:r>
      <w:r w:rsidR="002C3640">
        <w:rPr>
          <w:rFonts w:ascii="Times New Roman" w:hAnsi="Times New Roman" w:cs="Times New Roman"/>
          <w:sz w:val="24"/>
          <w:szCs w:val="24"/>
        </w:rPr>
        <w:t>liczby miejsc względem 2018 r.</w:t>
      </w:r>
      <w:r w:rsidRPr="007E1A37">
        <w:rPr>
          <w:rFonts w:ascii="Times New Roman" w:hAnsi="Times New Roman" w:cs="Times New Roman"/>
          <w:sz w:val="24"/>
          <w:szCs w:val="24"/>
        </w:rPr>
        <w:t>).</w:t>
      </w:r>
    </w:p>
    <w:p w14:paraId="0072F34D" w14:textId="77777777" w:rsidR="007E1A37" w:rsidRDefault="007E1A37" w:rsidP="00224DCE">
      <w:pPr>
        <w:spacing w:after="0"/>
        <w:jc w:val="both"/>
        <w:rPr>
          <w:rFonts w:ascii="Times New Roman" w:eastAsia="Calibri" w:hAnsi="Times New Roman" w:cs="Times New Roman"/>
          <w:b/>
          <w:sz w:val="24"/>
          <w:szCs w:val="24"/>
        </w:rPr>
      </w:pPr>
    </w:p>
    <w:p w14:paraId="54EC84AC" w14:textId="1ED65F17" w:rsidR="007E1A37" w:rsidRPr="007E1A37" w:rsidRDefault="007E1A37" w:rsidP="00224DCE">
      <w:pPr>
        <w:spacing w:after="0"/>
        <w:jc w:val="both"/>
        <w:rPr>
          <w:rFonts w:ascii="Times New Roman" w:eastAsia="Calibri" w:hAnsi="Times New Roman" w:cs="Times New Roman"/>
          <w:sz w:val="24"/>
          <w:szCs w:val="24"/>
        </w:rPr>
      </w:pPr>
      <w:r w:rsidRPr="007E1A37">
        <w:rPr>
          <w:rFonts w:ascii="Times New Roman" w:eastAsia="Calibri" w:hAnsi="Times New Roman" w:cs="Times New Roman"/>
          <w:b/>
          <w:sz w:val="24"/>
          <w:szCs w:val="24"/>
        </w:rPr>
        <w:t xml:space="preserve">Środowiskowe domy samopomocy </w:t>
      </w:r>
      <w:r w:rsidRPr="007E1A37">
        <w:rPr>
          <w:rFonts w:ascii="Times New Roman" w:eastAsia="Calibri" w:hAnsi="Times New Roman" w:cs="Times New Roman"/>
          <w:sz w:val="24"/>
          <w:szCs w:val="24"/>
        </w:rPr>
        <w:t>są prowadzone przez gminy i powiaty</w:t>
      </w:r>
      <w:r w:rsidRPr="007E1A37">
        <w:rPr>
          <w:rFonts w:ascii="Times New Roman" w:eastAsia="Calibri" w:hAnsi="Times New Roman" w:cs="Times New Roman"/>
          <w:b/>
          <w:sz w:val="24"/>
          <w:szCs w:val="24"/>
        </w:rPr>
        <w:t xml:space="preserve"> </w:t>
      </w:r>
      <w:r w:rsidRPr="007E1A37">
        <w:rPr>
          <w:rFonts w:ascii="Times New Roman" w:eastAsia="Calibri" w:hAnsi="Times New Roman" w:cs="Times New Roman"/>
          <w:sz w:val="24"/>
          <w:szCs w:val="24"/>
        </w:rPr>
        <w:t>jako</w:t>
      </w:r>
      <w:r w:rsidRPr="007E1A37">
        <w:rPr>
          <w:rFonts w:ascii="Times New Roman" w:eastAsia="Calibri" w:hAnsi="Times New Roman" w:cs="Times New Roman"/>
          <w:b/>
          <w:sz w:val="24"/>
          <w:szCs w:val="24"/>
        </w:rPr>
        <w:t xml:space="preserve"> </w:t>
      </w:r>
      <w:r w:rsidR="002C3640">
        <w:rPr>
          <w:rFonts w:ascii="Times New Roman" w:eastAsia="Calibri" w:hAnsi="Times New Roman" w:cs="Times New Roman"/>
          <w:sz w:val="24"/>
          <w:szCs w:val="24"/>
        </w:rPr>
        <w:t xml:space="preserve"> zadanie </w:t>
      </w:r>
      <w:r w:rsidRPr="007E1A37">
        <w:rPr>
          <w:rFonts w:ascii="Times New Roman" w:eastAsia="Calibri" w:hAnsi="Times New Roman" w:cs="Times New Roman"/>
          <w:sz w:val="24"/>
          <w:szCs w:val="24"/>
        </w:rPr>
        <w:t xml:space="preserve">z zakresu administracji rządowej, zleconym do realizacji gminom i powiatom. Na ich tworzenie </w:t>
      </w:r>
      <w:r w:rsidR="00A84B3D">
        <w:rPr>
          <w:rFonts w:ascii="Times New Roman" w:eastAsia="Calibri" w:hAnsi="Times New Roman" w:cs="Times New Roman"/>
          <w:sz w:val="24"/>
          <w:szCs w:val="24"/>
        </w:rPr>
        <w:br/>
      </w:r>
      <w:r w:rsidRPr="007E1A37">
        <w:rPr>
          <w:rFonts w:ascii="Times New Roman" w:eastAsia="Calibri" w:hAnsi="Times New Roman" w:cs="Times New Roman"/>
          <w:sz w:val="24"/>
          <w:szCs w:val="24"/>
        </w:rPr>
        <w:t xml:space="preserve">i prowadzenie samorządy otrzymują dotację z budżetu państwa. </w:t>
      </w:r>
      <w:r w:rsidRPr="007E1A37">
        <w:rPr>
          <w:rFonts w:ascii="Times New Roman" w:hAnsi="Times New Roman" w:cs="Times New Roman"/>
          <w:sz w:val="24"/>
          <w:szCs w:val="24"/>
        </w:rPr>
        <w:t xml:space="preserve">W celu wykonania nałożonego zadania, jednostki samorządu terytorialnego mogą samodzielnie prowadzić ośrodki wsparcia, bądź zlecić ich prowadzenie innemu podmiotowi w trybie przewidzianym w przepisach </w:t>
      </w:r>
      <w:r w:rsidRPr="002C3640">
        <w:rPr>
          <w:rFonts w:ascii="Times New Roman" w:hAnsi="Times New Roman" w:cs="Times New Roman"/>
          <w:i/>
          <w:sz w:val="24"/>
          <w:szCs w:val="24"/>
        </w:rPr>
        <w:t xml:space="preserve">ustawy </w:t>
      </w:r>
      <w:r w:rsidR="00A84B3D">
        <w:rPr>
          <w:rFonts w:ascii="Times New Roman" w:hAnsi="Times New Roman" w:cs="Times New Roman"/>
          <w:i/>
          <w:sz w:val="24"/>
          <w:szCs w:val="24"/>
        </w:rPr>
        <w:br/>
      </w:r>
      <w:r w:rsidR="008841AF">
        <w:rPr>
          <w:rFonts w:ascii="Times New Roman" w:hAnsi="Times New Roman" w:cs="Times New Roman"/>
          <w:i/>
          <w:sz w:val="24"/>
          <w:szCs w:val="24"/>
        </w:rPr>
        <w:t>z dnia 12 czerwca 2004 r.</w:t>
      </w:r>
      <w:r w:rsidR="008841AF" w:rsidRPr="002C3640">
        <w:rPr>
          <w:rFonts w:ascii="Times New Roman" w:hAnsi="Times New Roman" w:cs="Times New Roman"/>
          <w:i/>
          <w:sz w:val="24"/>
          <w:szCs w:val="24"/>
        </w:rPr>
        <w:t xml:space="preserve"> </w:t>
      </w:r>
      <w:r w:rsidRPr="002C3640">
        <w:rPr>
          <w:rFonts w:ascii="Times New Roman" w:hAnsi="Times New Roman" w:cs="Times New Roman"/>
          <w:i/>
          <w:sz w:val="24"/>
          <w:szCs w:val="24"/>
        </w:rPr>
        <w:t>o pomocy społecznej</w:t>
      </w:r>
      <w:r w:rsidRPr="007E1A37">
        <w:rPr>
          <w:rFonts w:ascii="Times New Roman" w:hAnsi="Times New Roman" w:cs="Times New Roman"/>
          <w:sz w:val="24"/>
          <w:szCs w:val="24"/>
        </w:rPr>
        <w:t xml:space="preserve"> (art. 25).</w:t>
      </w:r>
    </w:p>
    <w:p w14:paraId="10AAA111" w14:textId="77777777" w:rsidR="007E1A37" w:rsidRDefault="007E1A37" w:rsidP="00224DCE">
      <w:pPr>
        <w:spacing w:after="0"/>
        <w:jc w:val="both"/>
        <w:rPr>
          <w:rFonts w:ascii="Times New Roman" w:hAnsi="Times New Roman" w:cs="Times New Roman"/>
          <w:sz w:val="24"/>
          <w:szCs w:val="24"/>
        </w:rPr>
      </w:pPr>
    </w:p>
    <w:p w14:paraId="7CF1BB4D" w14:textId="77777777" w:rsidR="007E1A37" w:rsidRPr="007E1A37" w:rsidRDefault="007E1A37" w:rsidP="00224DCE">
      <w:pPr>
        <w:spacing w:after="0"/>
        <w:jc w:val="both"/>
        <w:rPr>
          <w:rFonts w:ascii="Times New Roman" w:eastAsia="Calibri" w:hAnsi="Times New Roman" w:cs="Times New Roman"/>
          <w:sz w:val="24"/>
          <w:szCs w:val="24"/>
        </w:rPr>
      </w:pPr>
      <w:r w:rsidRPr="007E1A37">
        <w:rPr>
          <w:rFonts w:ascii="Times New Roman" w:hAnsi="Times New Roman" w:cs="Times New Roman"/>
          <w:sz w:val="24"/>
          <w:szCs w:val="24"/>
        </w:rPr>
        <w:t>Środowiskowe domy samopomocy świadczą usługi w ramach indywidualnych lub zespołowych treningów samoobsługi i treningów umiejętności społecznych, które obejmują:</w:t>
      </w:r>
    </w:p>
    <w:p w14:paraId="60AB66AA" w14:textId="77777777" w:rsidR="007E1A37" w:rsidRPr="007E1A37" w:rsidRDefault="007E1A37" w:rsidP="008C71A9">
      <w:pPr>
        <w:pStyle w:val="Akapitzlist"/>
        <w:numPr>
          <w:ilvl w:val="0"/>
          <w:numId w:val="223"/>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trening funkcjonowania w codziennym życiu, w tym: trening dbałości o wygląd zewnętrzny, trening nauki higieny, trening kulinarny, trening umiejętności praktycznych, trening gospodarowania własnymi środkami finansowymi;</w:t>
      </w:r>
    </w:p>
    <w:p w14:paraId="2A8E84F7" w14:textId="77777777" w:rsidR="007E1A37" w:rsidRPr="007E1A37" w:rsidRDefault="007E1A37" w:rsidP="008C71A9">
      <w:pPr>
        <w:pStyle w:val="Akapitzlist"/>
        <w:numPr>
          <w:ilvl w:val="0"/>
          <w:numId w:val="223"/>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trening umiejętności interpersonalnych i rozwiązywania problemów, w tym: kształtowanie pozytywnych relacji uc</w:t>
      </w:r>
      <w:r w:rsidR="00414B78">
        <w:rPr>
          <w:rFonts w:ascii="Times New Roman" w:hAnsi="Times New Roman" w:cs="Times New Roman"/>
          <w:sz w:val="24"/>
          <w:szCs w:val="24"/>
        </w:rPr>
        <w:t>zestnika z osobami bliskimi, są</w:t>
      </w:r>
      <w:r w:rsidRPr="007E1A37">
        <w:rPr>
          <w:rFonts w:ascii="Times New Roman" w:hAnsi="Times New Roman" w:cs="Times New Roman"/>
          <w:sz w:val="24"/>
          <w:szCs w:val="24"/>
        </w:rPr>
        <w:t>siadami, z innymi osobami w czasie zakupów, w środkach komunikacji publicznej, w urzędach, w instytucjach kultury;</w:t>
      </w:r>
    </w:p>
    <w:p w14:paraId="388FBF36" w14:textId="77777777" w:rsidR="007E1A37" w:rsidRPr="007E1A37" w:rsidRDefault="007E1A37" w:rsidP="008C71A9">
      <w:pPr>
        <w:pStyle w:val="Akapitzlist"/>
        <w:numPr>
          <w:ilvl w:val="0"/>
          <w:numId w:val="223"/>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 xml:space="preserve">trening umiejętności spędzania czasu wolnego, w tym: rozwijanie zainteresowań literaturą, audycjami radiowymi, telewizyjnymi, internetem, udział w spotkaniach towarzyskich </w:t>
      </w:r>
      <w:r w:rsidRPr="007E1A37">
        <w:rPr>
          <w:rFonts w:ascii="Times New Roman" w:hAnsi="Times New Roman" w:cs="Times New Roman"/>
          <w:sz w:val="24"/>
          <w:szCs w:val="24"/>
        </w:rPr>
        <w:br/>
        <w:t>i kulturalnych;</w:t>
      </w:r>
    </w:p>
    <w:p w14:paraId="7DA75F64" w14:textId="77777777" w:rsidR="007E1A37" w:rsidRPr="007E1A37" w:rsidRDefault="007E1A37" w:rsidP="008C71A9">
      <w:pPr>
        <w:pStyle w:val="Akapitzlist"/>
        <w:numPr>
          <w:ilvl w:val="0"/>
          <w:numId w:val="223"/>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poradnictwo psychologiczne;</w:t>
      </w:r>
    </w:p>
    <w:p w14:paraId="19038B4C" w14:textId="77777777" w:rsidR="007E1A37" w:rsidRPr="007E1A37" w:rsidRDefault="007E1A37" w:rsidP="008C71A9">
      <w:pPr>
        <w:pStyle w:val="Akapitzlist"/>
        <w:numPr>
          <w:ilvl w:val="0"/>
          <w:numId w:val="223"/>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pomoc w załatwianiu spraw urzędowych;</w:t>
      </w:r>
    </w:p>
    <w:p w14:paraId="3803A1C6" w14:textId="77777777" w:rsidR="007E1A37" w:rsidRPr="007E1A37" w:rsidRDefault="007E1A37" w:rsidP="008C71A9">
      <w:pPr>
        <w:pStyle w:val="Akapitzlist"/>
        <w:numPr>
          <w:ilvl w:val="0"/>
          <w:numId w:val="223"/>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 xml:space="preserve">pomoc w dostępie do niezbędnych świadczeń </w:t>
      </w:r>
      <w:r w:rsidR="002C3640">
        <w:rPr>
          <w:rFonts w:ascii="Times New Roman" w:hAnsi="Times New Roman" w:cs="Times New Roman"/>
          <w:sz w:val="24"/>
          <w:szCs w:val="24"/>
        </w:rPr>
        <w:t xml:space="preserve">zdrowotnych, w tym uzgadnianie </w:t>
      </w:r>
      <w:r w:rsidRPr="007E1A37">
        <w:rPr>
          <w:rFonts w:ascii="Times New Roman" w:hAnsi="Times New Roman" w:cs="Times New Roman"/>
          <w:sz w:val="24"/>
          <w:szCs w:val="24"/>
        </w:rPr>
        <w:t>i pilnowanie terminów wizyt u lekarza</w:t>
      </w:r>
      <w:r w:rsidR="002C3640">
        <w:rPr>
          <w:rFonts w:ascii="Times New Roman" w:hAnsi="Times New Roman" w:cs="Times New Roman"/>
          <w:sz w:val="24"/>
          <w:szCs w:val="24"/>
        </w:rPr>
        <w:t xml:space="preserve">, pomoc w zakupie leków, pomoc </w:t>
      </w:r>
      <w:r w:rsidRPr="007E1A37">
        <w:rPr>
          <w:rFonts w:ascii="Times New Roman" w:hAnsi="Times New Roman" w:cs="Times New Roman"/>
          <w:sz w:val="24"/>
          <w:szCs w:val="24"/>
        </w:rPr>
        <w:t>w dotarciu do jednostek ochrony zdrowia;</w:t>
      </w:r>
    </w:p>
    <w:p w14:paraId="7E62077C" w14:textId="77777777" w:rsidR="007E1A37" w:rsidRPr="007E1A37" w:rsidRDefault="007E1A37" w:rsidP="008C71A9">
      <w:pPr>
        <w:pStyle w:val="Akapitzlist"/>
        <w:numPr>
          <w:ilvl w:val="0"/>
          <w:numId w:val="223"/>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niezbędną opiekę;</w:t>
      </w:r>
    </w:p>
    <w:p w14:paraId="11C62918" w14:textId="77777777" w:rsidR="007E1A37" w:rsidRPr="007E1A37" w:rsidRDefault="007E1A37" w:rsidP="008C71A9">
      <w:pPr>
        <w:pStyle w:val="Akapitzlist"/>
        <w:numPr>
          <w:ilvl w:val="0"/>
          <w:numId w:val="223"/>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terapię ruchową, w tym: zajęcia sportowe, turystykę i rekreację;</w:t>
      </w:r>
    </w:p>
    <w:p w14:paraId="7A2339BC" w14:textId="77777777" w:rsidR="007E1A37" w:rsidRPr="007E1A37" w:rsidRDefault="007E1A37" w:rsidP="008C71A9">
      <w:pPr>
        <w:pStyle w:val="Akapitzlist"/>
        <w:numPr>
          <w:ilvl w:val="0"/>
          <w:numId w:val="223"/>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całodobowe wyżywienie dla uczestników sk</w:t>
      </w:r>
      <w:r w:rsidR="002C3640">
        <w:rPr>
          <w:rFonts w:ascii="Times New Roman" w:hAnsi="Times New Roman" w:cs="Times New Roman"/>
          <w:sz w:val="24"/>
          <w:szCs w:val="24"/>
        </w:rPr>
        <w:t xml:space="preserve">ierowanych na pobyt całodobowy </w:t>
      </w:r>
      <w:r w:rsidRPr="007E1A37">
        <w:rPr>
          <w:rFonts w:ascii="Times New Roman" w:hAnsi="Times New Roman" w:cs="Times New Roman"/>
          <w:sz w:val="24"/>
          <w:szCs w:val="24"/>
        </w:rPr>
        <w:t>w formie posiłków lub produktów żywnościowych do przygotowania posiłków przez uczestnika;</w:t>
      </w:r>
    </w:p>
    <w:p w14:paraId="346ACE18" w14:textId="77777777" w:rsidR="007E1A37" w:rsidRPr="007E1A37" w:rsidRDefault="007E1A37" w:rsidP="008C71A9">
      <w:pPr>
        <w:pStyle w:val="Akapitzlist"/>
        <w:numPr>
          <w:ilvl w:val="0"/>
          <w:numId w:val="223"/>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lastRenderedPageBreak/>
        <w:t>inne formy postępowania przygotowujące do uczestnictwa w</w:t>
      </w:r>
      <w:r w:rsidR="002C3640">
        <w:rPr>
          <w:rFonts w:ascii="Times New Roman" w:hAnsi="Times New Roman" w:cs="Times New Roman"/>
          <w:sz w:val="24"/>
          <w:szCs w:val="24"/>
        </w:rPr>
        <w:t xml:space="preserve"> warsztatach terapii zajęciowej </w:t>
      </w:r>
      <w:r w:rsidRPr="007E1A37">
        <w:rPr>
          <w:rFonts w:ascii="Times New Roman" w:hAnsi="Times New Roman" w:cs="Times New Roman"/>
          <w:sz w:val="24"/>
          <w:szCs w:val="24"/>
        </w:rPr>
        <w:t>lub podjęcia zatrudnienia, w tym w warunkach pracy chronionej na przystosowanym stanowisku pracy.</w:t>
      </w:r>
    </w:p>
    <w:p w14:paraId="00713EAC" w14:textId="77777777" w:rsidR="00414B78" w:rsidRDefault="00414B78" w:rsidP="00224DCE">
      <w:pPr>
        <w:pStyle w:val="Tekstpodstawowy"/>
        <w:spacing w:after="0" w:line="276" w:lineRule="auto"/>
        <w:jc w:val="both"/>
        <w:rPr>
          <w:rFonts w:ascii="Times New Roman" w:hAnsi="Times New Roman" w:cs="Times New Roman"/>
        </w:rPr>
      </w:pPr>
    </w:p>
    <w:p w14:paraId="137DF8B2" w14:textId="77777777" w:rsidR="007E1A37" w:rsidRPr="00414B78" w:rsidRDefault="007E1A37" w:rsidP="00224DCE">
      <w:pPr>
        <w:pStyle w:val="Tekstpodstawowy"/>
        <w:spacing w:after="0" w:line="276" w:lineRule="auto"/>
        <w:jc w:val="both"/>
        <w:rPr>
          <w:rFonts w:ascii="Times New Roman" w:hAnsi="Times New Roman" w:cs="Times New Roman"/>
        </w:rPr>
      </w:pPr>
      <w:r w:rsidRPr="00414B78">
        <w:rPr>
          <w:rFonts w:ascii="Times New Roman" w:hAnsi="Times New Roman" w:cs="Times New Roman"/>
        </w:rPr>
        <w:t xml:space="preserve">Osoby starsze korzystające z usług świadczonych w środowiskowych domach samopomocy </w:t>
      </w:r>
      <w:r w:rsidR="00A84B3D">
        <w:rPr>
          <w:rFonts w:ascii="Times New Roman" w:hAnsi="Times New Roman" w:cs="Times New Roman"/>
        </w:rPr>
        <w:br/>
      </w:r>
      <w:r w:rsidRPr="00414B78">
        <w:rPr>
          <w:rFonts w:ascii="Times New Roman" w:hAnsi="Times New Roman" w:cs="Times New Roman"/>
        </w:rPr>
        <w:t>to przede wszystkim osoby z chorobami otępiennymi, w tym z chorobą Alzheimera.</w:t>
      </w:r>
    </w:p>
    <w:p w14:paraId="62BA7E95" w14:textId="77777777" w:rsidR="007E1A37" w:rsidRDefault="007E1A37" w:rsidP="00224DCE">
      <w:pPr>
        <w:pStyle w:val="Tekstpodstawowy"/>
        <w:spacing w:after="0" w:line="276" w:lineRule="auto"/>
        <w:jc w:val="both"/>
        <w:rPr>
          <w:rFonts w:ascii="Times New Roman" w:hAnsi="Times New Roman" w:cs="Times New Roman"/>
          <w:b/>
        </w:rPr>
      </w:pPr>
    </w:p>
    <w:p w14:paraId="27970F22" w14:textId="77777777" w:rsidR="007E1A37" w:rsidRPr="007E1A37" w:rsidRDefault="007E1A37" w:rsidP="00224DCE">
      <w:pPr>
        <w:pStyle w:val="Tekstpodstawowy"/>
        <w:spacing w:after="0" w:line="276" w:lineRule="auto"/>
        <w:jc w:val="both"/>
        <w:rPr>
          <w:rFonts w:ascii="Times New Roman" w:hAnsi="Times New Roman" w:cs="Times New Roman"/>
        </w:rPr>
      </w:pPr>
      <w:r w:rsidRPr="007E1A37">
        <w:rPr>
          <w:rFonts w:ascii="Times New Roman" w:hAnsi="Times New Roman" w:cs="Times New Roman"/>
          <w:b/>
        </w:rPr>
        <w:t>Kluby samopomocy dla osób z zaburzeniami psychicznymi</w:t>
      </w:r>
      <w:r w:rsidRPr="007E1A37">
        <w:rPr>
          <w:rFonts w:ascii="Times New Roman" w:hAnsi="Times New Roman" w:cs="Times New Roman"/>
        </w:rPr>
        <w:t xml:space="preserve"> są ośrodkami wsparcia dla osób </w:t>
      </w:r>
      <w:r w:rsidR="00A84B3D">
        <w:rPr>
          <w:rFonts w:ascii="Times New Roman" w:hAnsi="Times New Roman" w:cs="Times New Roman"/>
        </w:rPr>
        <w:br/>
      </w:r>
      <w:r w:rsidRPr="007E1A37">
        <w:rPr>
          <w:rFonts w:ascii="Times New Roman" w:hAnsi="Times New Roman" w:cs="Times New Roman"/>
        </w:rPr>
        <w:t xml:space="preserve">z zaburzeniami psychicznymi, w ramach których podejmowane są działania samopomocowe oraz w zakresie integracji społecznej. Korzystanie z usług w klubach samopomocy jest dobrowolne </w:t>
      </w:r>
      <w:r w:rsidR="00A84B3D">
        <w:rPr>
          <w:rFonts w:ascii="Times New Roman" w:hAnsi="Times New Roman" w:cs="Times New Roman"/>
        </w:rPr>
        <w:br/>
      </w:r>
      <w:r w:rsidRPr="007E1A37">
        <w:rPr>
          <w:rFonts w:ascii="Times New Roman" w:hAnsi="Times New Roman" w:cs="Times New Roman"/>
        </w:rPr>
        <w:t xml:space="preserve">i nie wymaga wydania decyzji administracyjnej. Z zajęć w klubach korzystają osoby </w:t>
      </w:r>
      <w:r w:rsidR="00A84B3D">
        <w:rPr>
          <w:rFonts w:ascii="Times New Roman" w:hAnsi="Times New Roman" w:cs="Times New Roman"/>
        </w:rPr>
        <w:br/>
      </w:r>
      <w:r w:rsidRPr="007E1A37">
        <w:rPr>
          <w:rFonts w:ascii="Times New Roman" w:hAnsi="Times New Roman" w:cs="Times New Roman"/>
        </w:rPr>
        <w:t>z zaburzeniami psychicznymi.</w:t>
      </w:r>
    </w:p>
    <w:p w14:paraId="692C43D8" w14:textId="77777777" w:rsidR="007E1A37" w:rsidRDefault="007E1A37" w:rsidP="00224DCE">
      <w:pPr>
        <w:tabs>
          <w:tab w:val="num" w:pos="0"/>
        </w:tabs>
        <w:spacing w:after="0"/>
        <w:jc w:val="both"/>
        <w:rPr>
          <w:rFonts w:ascii="Times New Roman" w:hAnsi="Times New Roman" w:cs="Times New Roman"/>
          <w:b/>
          <w:sz w:val="24"/>
          <w:szCs w:val="24"/>
        </w:rPr>
      </w:pPr>
    </w:p>
    <w:p w14:paraId="6233B405" w14:textId="77777777" w:rsidR="007E1A37" w:rsidRPr="00414B78" w:rsidRDefault="007E1A37" w:rsidP="00224DCE">
      <w:pPr>
        <w:tabs>
          <w:tab w:val="num" w:pos="0"/>
        </w:tabs>
        <w:spacing w:after="0"/>
        <w:jc w:val="both"/>
        <w:rPr>
          <w:rFonts w:ascii="Times New Roman" w:hAnsi="Times New Roman" w:cs="Times New Roman"/>
          <w:b/>
          <w:color w:val="00B0F0"/>
          <w:sz w:val="24"/>
          <w:szCs w:val="24"/>
        </w:rPr>
      </w:pPr>
      <w:r w:rsidRPr="00414B78">
        <w:rPr>
          <w:rFonts w:ascii="Times New Roman" w:hAnsi="Times New Roman" w:cs="Times New Roman"/>
          <w:b/>
          <w:color w:val="00B0F0"/>
          <w:sz w:val="24"/>
          <w:szCs w:val="24"/>
        </w:rPr>
        <w:t>Całodobowe usługi świadczone w rodzinnym domu pomocy, w domu pomocy społe</w:t>
      </w:r>
      <w:r w:rsidR="00414B78" w:rsidRPr="00414B78">
        <w:rPr>
          <w:rFonts w:ascii="Times New Roman" w:hAnsi="Times New Roman" w:cs="Times New Roman"/>
          <w:b/>
          <w:color w:val="00B0F0"/>
          <w:sz w:val="24"/>
          <w:szCs w:val="24"/>
        </w:rPr>
        <w:t>cznej lub mieszkaniu chronionym</w:t>
      </w:r>
    </w:p>
    <w:p w14:paraId="748E1C00" w14:textId="77777777" w:rsidR="007E1A37" w:rsidRPr="007E1A37" w:rsidRDefault="007E1A37" w:rsidP="00414B78">
      <w:pPr>
        <w:spacing w:after="0"/>
        <w:jc w:val="both"/>
        <w:rPr>
          <w:rFonts w:ascii="Times New Roman" w:hAnsi="Times New Roman" w:cs="Times New Roman"/>
          <w:sz w:val="24"/>
          <w:szCs w:val="24"/>
        </w:rPr>
      </w:pPr>
      <w:r w:rsidRPr="007E1A37">
        <w:rPr>
          <w:rFonts w:ascii="Times New Roman" w:hAnsi="Times New Roman" w:cs="Times New Roman"/>
          <w:sz w:val="24"/>
          <w:szCs w:val="24"/>
        </w:rPr>
        <w:t xml:space="preserve">Osoby niepełnosprawne, w tym osoby starsze, mogą korzystać również z form wsparcia jakimi </w:t>
      </w:r>
      <w:r w:rsidR="00A84B3D">
        <w:rPr>
          <w:rFonts w:ascii="Times New Roman" w:hAnsi="Times New Roman" w:cs="Times New Roman"/>
          <w:sz w:val="24"/>
          <w:szCs w:val="24"/>
        </w:rPr>
        <w:br/>
      </w:r>
      <w:r w:rsidRPr="007E1A37">
        <w:rPr>
          <w:rFonts w:ascii="Times New Roman" w:hAnsi="Times New Roman" w:cs="Times New Roman"/>
          <w:sz w:val="24"/>
          <w:szCs w:val="24"/>
        </w:rPr>
        <w:t>są mieszkania chronione i rodzinne domy pomocy.</w:t>
      </w:r>
    </w:p>
    <w:p w14:paraId="0AD51354" w14:textId="77777777" w:rsidR="00D86FF5" w:rsidRDefault="00D86FF5" w:rsidP="00224DCE">
      <w:pPr>
        <w:pStyle w:val="Akapitzlist"/>
        <w:spacing w:after="0"/>
        <w:ind w:left="0"/>
        <w:jc w:val="both"/>
        <w:rPr>
          <w:rFonts w:ascii="Times New Roman" w:hAnsi="Times New Roman" w:cs="Times New Roman"/>
          <w:b/>
          <w:sz w:val="24"/>
          <w:szCs w:val="24"/>
        </w:rPr>
      </w:pPr>
    </w:p>
    <w:p w14:paraId="2B534393" w14:textId="77777777" w:rsidR="007E1A37" w:rsidRPr="007E1A37" w:rsidRDefault="007E1A37" w:rsidP="00224DCE">
      <w:pPr>
        <w:pStyle w:val="Akapitzlist"/>
        <w:spacing w:after="0"/>
        <w:ind w:left="0"/>
        <w:jc w:val="both"/>
        <w:rPr>
          <w:rFonts w:ascii="Times New Roman" w:hAnsi="Times New Roman" w:cs="Times New Roman"/>
          <w:sz w:val="24"/>
          <w:szCs w:val="24"/>
        </w:rPr>
      </w:pPr>
      <w:r w:rsidRPr="007E1A37">
        <w:rPr>
          <w:rFonts w:ascii="Times New Roman" w:hAnsi="Times New Roman" w:cs="Times New Roman"/>
          <w:b/>
          <w:sz w:val="24"/>
          <w:szCs w:val="24"/>
        </w:rPr>
        <w:t>Mieszkanie chronione</w:t>
      </w:r>
      <w:r w:rsidRPr="007E1A37">
        <w:rPr>
          <w:rFonts w:ascii="Times New Roman" w:hAnsi="Times New Roman" w:cs="Times New Roman"/>
          <w:sz w:val="24"/>
          <w:szCs w:val="24"/>
        </w:rPr>
        <w:t xml:space="preserve"> to miejsce (mieszkanie), w którym osoba — ze względu na trudną sytuację życiową, wiek, niepełnosprawność lub chorobę otrzymuje okresowe </w:t>
      </w:r>
      <w:r w:rsidRPr="007E1A37">
        <w:rPr>
          <w:rFonts w:ascii="Times New Roman" w:hAnsi="Times New Roman" w:cs="Times New Roman"/>
          <w:noProof/>
          <w:sz w:val="24"/>
          <w:szCs w:val="24"/>
          <w:lang w:eastAsia="pl-PL"/>
        </w:rPr>
        <w:drawing>
          <wp:inline distT="0" distB="0" distL="0" distR="0" wp14:anchorId="3019F3C3" wp14:editId="6EA93AE1">
            <wp:extent cx="9144" cy="79271"/>
            <wp:effectExtent l="0" t="0" r="0" b="0"/>
            <wp:docPr id="7" name="Picture 22748"/>
            <wp:cNvGraphicFramePr/>
            <a:graphic xmlns:a="http://schemas.openxmlformats.org/drawingml/2006/main">
              <a:graphicData uri="http://schemas.openxmlformats.org/drawingml/2006/picture">
                <pic:pic xmlns:pic="http://schemas.openxmlformats.org/drawingml/2006/picture">
                  <pic:nvPicPr>
                    <pic:cNvPr id="22748" name="Picture 22748"/>
                    <pic:cNvPicPr/>
                  </pic:nvPicPr>
                  <pic:blipFill>
                    <a:blip r:embed="rId10"/>
                    <a:stretch>
                      <a:fillRect/>
                    </a:stretch>
                  </pic:blipFill>
                  <pic:spPr>
                    <a:xfrm>
                      <a:off x="0" y="0"/>
                      <a:ext cx="9144" cy="79271"/>
                    </a:xfrm>
                    <a:prstGeom prst="rect">
                      <a:avLst/>
                    </a:prstGeom>
                  </pic:spPr>
                </pic:pic>
              </a:graphicData>
            </a:graphic>
          </wp:inline>
        </w:drawing>
      </w:r>
      <w:r w:rsidRPr="007E1A37">
        <w:rPr>
          <w:rFonts w:ascii="Times New Roman" w:hAnsi="Times New Roman" w:cs="Times New Roman"/>
          <w:sz w:val="24"/>
          <w:szCs w:val="24"/>
        </w:rPr>
        <w:t xml:space="preserve">(w wyjątkowych sytuacjach — stałe) wsparcie w funkcjonowaniu w codziennym życiu, przygotowujące ją do prowadzenia samodzielnego życia w integracji ze </w:t>
      </w:r>
      <w:r w:rsidR="00D86FF5">
        <w:rPr>
          <w:rFonts w:ascii="Times New Roman" w:hAnsi="Times New Roman" w:cs="Times New Roman"/>
          <w:sz w:val="24"/>
          <w:szCs w:val="24"/>
        </w:rPr>
        <w:t xml:space="preserve">społecznością lokalną. </w:t>
      </w:r>
      <w:r w:rsidRPr="007E1A37">
        <w:rPr>
          <w:rFonts w:ascii="Times New Roman" w:hAnsi="Times New Roman" w:cs="Times New Roman"/>
          <w:sz w:val="24"/>
          <w:szCs w:val="24"/>
        </w:rPr>
        <w:t xml:space="preserve">Ta forma pomocy społecznej przeznaczona jest także dla osób, które wymagają stałego </w:t>
      </w:r>
      <w:r w:rsidRPr="007E1A37">
        <w:rPr>
          <w:rFonts w:ascii="Times New Roman" w:hAnsi="Times New Roman" w:cs="Times New Roman"/>
          <w:noProof/>
          <w:sz w:val="24"/>
          <w:szCs w:val="24"/>
          <w:lang w:eastAsia="pl-PL"/>
        </w:rPr>
        <w:drawing>
          <wp:inline distT="0" distB="0" distL="0" distR="0" wp14:anchorId="6D44CF09" wp14:editId="03C76B82">
            <wp:extent cx="9144" cy="18293"/>
            <wp:effectExtent l="0" t="0" r="0" b="0"/>
            <wp:docPr id="9" name="Picture 22752"/>
            <wp:cNvGraphicFramePr/>
            <a:graphic xmlns:a="http://schemas.openxmlformats.org/drawingml/2006/main">
              <a:graphicData uri="http://schemas.openxmlformats.org/drawingml/2006/picture">
                <pic:pic xmlns:pic="http://schemas.openxmlformats.org/drawingml/2006/picture">
                  <pic:nvPicPr>
                    <pic:cNvPr id="22752" name="Picture 22752"/>
                    <pic:cNvPicPr/>
                  </pic:nvPicPr>
                  <pic:blipFill>
                    <a:blip r:embed="rId11"/>
                    <a:stretch>
                      <a:fillRect/>
                    </a:stretch>
                  </pic:blipFill>
                  <pic:spPr>
                    <a:xfrm>
                      <a:off x="0" y="0"/>
                      <a:ext cx="9144" cy="18293"/>
                    </a:xfrm>
                    <a:prstGeom prst="rect">
                      <a:avLst/>
                    </a:prstGeom>
                  </pic:spPr>
                </pic:pic>
              </a:graphicData>
            </a:graphic>
          </wp:inline>
        </w:drawing>
      </w:r>
      <w:r w:rsidRPr="007E1A37">
        <w:rPr>
          <w:rFonts w:ascii="Times New Roman" w:hAnsi="Times New Roman" w:cs="Times New Roman"/>
          <w:sz w:val="24"/>
          <w:szCs w:val="24"/>
        </w:rPr>
        <w:t xml:space="preserve">wsparcia, ale nie wymagają usług </w:t>
      </w:r>
      <w:r w:rsidR="00A84B3D">
        <w:rPr>
          <w:rFonts w:ascii="Times New Roman" w:hAnsi="Times New Roman" w:cs="Times New Roman"/>
          <w:sz w:val="24"/>
          <w:szCs w:val="24"/>
        </w:rPr>
        <w:br/>
      </w:r>
      <w:r w:rsidRPr="007E1A37">
        <w:rPr>
          <w:rFonts w:ascii="Times New Roman" w:hAnsi="Times New Roman" w:cs="Times New Roman"/>
          <w:sz w:val="24"/>
          <w:szCs w:val="24"/>
        </w:rPr>
        <w:t>w takim wymiarze i</w:t>
      </w:r>
      <w:r>
        <w:rPr>
          <w:rFonts w:ascii="Times New Roman" w:hAnsi="Times New Roman" w:cs="Times New Roman"/>
          <w:sz w:val="24"/>
          <w:szCs w:val="24"/>
        </w:rPr>
        <w:t xml:space="preserve"> zakresie jaki jest świadczony </w:t>
      </w:r>
      <w:r w:rsidRPr="007E1A37">
        <w:rPr>
          <w:rFonts w:ascii="Times New Roman" w:hAnsi="Times New Roman" w:cs="Times New Roman"/>
          <w:sz w:val="24"/>
          <w:szCs w:val="24"/>
        </w:rPr>
        <w:t xml:space="preserve">w placówkach opieki całodobowej. </w:t>
      </w:r>
    </w:p>
    <w:p w14:paraId="345431E0" w14:textId="77777777" w:rsidR="007E1A37" w:rsidRDefault="007E1A37" w:rsidP="00224DCE">
      <w:pPr>
        <w:pStyle w:val="Akapitzlist"/>
        <w:spacing w:after="0"/>
        <w:ind w:left="0"/>
        <w:jc w:val="both"/>
        <w:rPr>
          <w:rFonts w:ascii="Times New Roman" w:hAnsi="Times New Roman" w:cs="Times New Roman"/>
          <w:sz w:val="24"/>
          <w:szCs w:val="24"/>
        </w:rPr>
      </w:pPr>
    </w:p>
    <w:p w14:paraId="1D0A1F31" w14:textId="70039AD3" w:rsidR="007E1A37" w:rsidRPr="007E1A37" w:rsidRDefault="007E1A37" w:rsidP="00224DCE">
      <w:pPr>
        <w:pStyle w:val="Akapitzlist"/>
        <w:spacing w:after="0"/>
        <w:ind w:left="0"/>
        <w:jc w:val="both"/>
        <w:rPr>
          <w:rFonts w:ascii="Times New Roman" w:hAnsi="Times New Roman" w:cs="Times New Roman"/>
          <w:sz w:val="24"/>
          <w:szCs w:val="24"/>
        </w:rPr>
      </w:pPr>
      <w:r w:rsidRPr="007E1A37">
        <w:rPr>
          <w:rFonts w:ascii="Times New Roman" w:hAnsi="Times New Roman" w:cs="Times New Roman"/>
          <w:sz w:val="24"/>
          <w:szCs w:val="24"/>
        </w:rPr>
        <w:t xml:space="preserve">Kadrę stanowią m. in. pracownik socjalny, psycholog, terapeuta, asystent osoby niepełnosprawnej. Warunki pobytu w mieszkaniu chronionym muszą być dostosowane do potrzeb osób przebywających w nim (także osób niepełnosprawnych). Standard określa </w:t>
      </w:r>
      <w:r w:rsidRPr="00414B78">
        <w:rPr>
          <w:rFonts w:ascii="Times New Roman" w:hAnsi="Times New Roman" w:cs="Times New Roman"/>
          <w:i/>
          <w:sz w:val="24"/>
          <w:szCs w:val="24"/>
        </w:rPr>
        <w:t>rozporządzenie  z dnia 26 kwietnia 2018 r. w sprawie mieszkań chronionych</w:t>
      </w:r>
      <w:r w:rsidRPr="007E1A37">
        <w:rPr>
          <w:rFonts w:ascii="Times New Roman" w:hAnsi="Times New Roman" w:cs="Times New Roman"/>
          <w:sz w:val="24"/>
          <w:szCs w:val="24"/>
        </w:rPr>
        <w:t xml:space="preserve"> (Dz. U. poz.</w:t>
      </w:r>
      <w:r w:rsidR="008841AF">
        <w:rPr>
          <w:rFonts w:ascii="Times New Roman" w:hAnsi="Times New Roman" w:cs="Times New Roman"/>
          <w:sz w:val="24"/>
          <w:szCs w:val="24"/>
        </w:rPr>
        <w:t xml:space="preserve"> </w:t>
      </w:r>
      <w:r w:rsidRPr="007E1A37">
        <w:rPr>
          <w:rFonts w:ascii="Times New Roman" w:hAnsi="Times New Roman" w:cs="Times New Roman"/>
          <w:sz w:val="24"/>
          <w:szCs w:val="24"/>
        </w:rPr>
        <w:t xml:space="preserve">822), określające </w:t>
      </w:r>
      <w:r w:rsidR="00A84B3D">
        <w:rPr>
          <w:rFonts w:ascii="Times New Roman" w:hAnsi="Times New Roman" w:cs="Times New Roman"/>
          <w:sz w:val="24"/>
          <w:szCs w:val="24"/>
        </w:rPr>
        <w:br/>
      </w:r>
      <w:r w:rsidRPr="007E1A37">
        <w:rPr>
          <w:rFonts w:ascii="Times New Roman" w:hAnsi="Times New Roman" w:cs="Times New Roman"/>
          <w:sz w:val="24"/>
          <w:szCs w:val="24"/>
        </w:rPr>
        <w:t>m.in. minimalne standardy usług oraz  minimalne standardy pomieszczeń w mieszkaniu chronionym.</w:t>
      </w:r>
    </w:p>
    <w:p w14:paraId="285B52D9" w14:textId="77777777" w:rsidR="007E1A37" w:rsidRDefault="007E1A37" w:rsidP="00224DCE">
      <w:pPr>
        <w:pStyle w:val="Akapitzlist"/>
        <w:spacing w:after="0"/>
        <w:ind w:left="0"/>
        <w:jc w:val="both"/>
        <w:rPr>
          <w:rFonts w:ascii="Times New Roman" w:hAnsi="Times New Roman" w:cs="Times New Roman"/>
          <w:sz w:val="24"/>
          <w:szCs w:val="24"/>
        </w:rPr>
      </w:pPr>
    </w:p>
    <w:p w14:paraId="52862393" w14:textId="77777777" w:rsidR="007E1A37" w:rsidRPr="007E1A37" w:rsidRDefault="007E1A37" w:rsidP="00224DCE">
      <w:pPr>
        <w:pStyle w:val="Akapitzlist"/>
        <w:spacing w:after="0"/>
        <w:ind w:left="0"/>
        <w:jc w:val="both"/>
        <w:rPr>
          <w:rFonts w:ascii="Times New Roman" w:hAnsi="Times New Roman" w:cs="Times New Roman"/>
          <w:sz w:val="24"/>
          <w:szCs w:val="24"/>
        </w:rPr>
      </w:pPr>
      <w:r w:rsidRPr="007E1A37">
        <w:rPr>
          <w:rFonts w:ascii="Times New Roman" w:hAnsi="Times New Roman" w:cs="Times New Roman"/>
          <w:sz w:val="24"/>
          <w:szCs w:val="24"/>
        </w:rPr>
        <w:t xml:space="preserve">Mieszkania chronione dzielą się na: </w:t>
      </w:r>
      <w:r w:rsidRPr="007E1A37">
        <w:rPr>
          <w:rFonts w:ascii="Times New Roman" w:hAnsi="Times New Roman" w:cs="Times New Roman"/>
          <w:b/>
          <w:sz w:val="24"/>
          <w:szCs w:val="24"/>
        </w:rPr>
        <w:t>mieszkania chronione treningowe oraz wspierane</w:t>
      </w:r>
      <w:r w:rsidRPr="007E1A37">
        <w:rPr>
          <w:rFonts w:ascii="Times New Roman" w:hAnsi="Times New Roman" w:cs="Times New Roman"/>
          <w:sz w:val="24"/>
          <w:szCs w:val="24"/>
        </w:rPr>
        <w:t xml:space="preserve">. </w:t>
      </w:r>
      <w:r w:rsidR="00A84B3D">
        <w:rPr>
          <w:rFonts w:ascii="Times New Roman" w:hAnsi="Times New Roman" w:cs="Times New Roman"/>
          <w:sz w:val="24"/>
          <w:szCs w:val="24"/>
        </w:rPr>
        <w:br/>
      </w:r>
      <w:r w:rsidRPr="007E1A37">
        <w:rPr>
          <w:rFonts w:ascii="Times New Roman" w:hAnsi="Times New Roman" w:cs="Times New Roman"/>
          <w:sz w:val="24"/>
          <w:szCs w:val="24"/>
        </w:rPr>
        <w:t xml:space="preserve">W mieszkaniu chronionym treningowym zapewnia się usługi bytowe oraz naukę, rozwijanie </w:t>
      </w:r>
      <w:r w:rsidR="00A84B3D">
        <w:rPr>
          <w:rFonts w:ascii="Times New Roman" w:hAnsi="Times New Roman" w:cs="Times New Roman"/>
          <w:sz w:val="24"/>
          <w:szCs w:val="24"/>
        </w:rPr>
        <w:br/>
      </w:r>
      <w:r w:rsidRPr="007E1A37">
        <w:rPr>
          <w:rFonts w:ascii="Times New Roman" w:hAnsi="Times New Roman" w:cs="Times New Roman"/>
          <w:sz w:val="24"/>
          <w:szCs w:val="24"/>
        </w:rPr>
        <w:t xml:space="preserve">lub utrwalanie samodzielności, sprawności w zakresie samoobsługi, pełnienia ról społecznych </w:t>
      </w:r>
      <w:r w:rsidR="00A84B3D">
        <w:rPr>
          <w:rFonts w:ascii="Times New Roman" w:hAnsi="Times New Roman" w:cs="Times New Roman"/>
          <w:sz w:val="24"/>
          <w:szCs w:val="24"/>
        </w:rPr>
        <w:br/>
      </w:r>
      <w:r w:rsidRPr="007E1A37">
        <w:rPr>
          <w:rFonts w:ascii="Times New Roman" w:hAnsi="Times New Roman" w:cs="Times New Roman"/>
          <w:sz w:val="24"/>
          <w:szCs w:val="24"/>
        </w:rPr>
        <w:t>w integracji ze społecznością lokalną, w celu umożliwienia prowadzenia samodzielnego życia.</w:t>
      </w:r>
    </w:p>
    <w:p w14:paraId="7F0FA8F2" w14:textId="77777777" w:rsidR="007E1A37" w:rsidRDefault="007E1A37" w:rsidP="00224DCE">
      <w:pPr>
        <w:pStyle w:val="Akapitzlist"/>
        <w:spacing w:after="0"/>
        <w:ind w:left="0"/>
        <w:jc w:val="both"/>
        <w:rPr>
          <w:rFonts w:ascii="Times New Roman" w:hAnsi="Times New Roman" w:cs="Times New Roman"/>
          <w:sz w:val="24"/>
          <w:szCs w:val="24"/>
        </w:rPr>
      </w:pPr>
    </w:p>
    <w:p w14:paraId="16D1575C" w14:textId="77777777" w:rsidR="007E1A37" w:rsidRPr="007E1A37" w:rsidRDefault="007E1A37" w:rsidP="00224DCE">
      <w:pPr>
        <w:pStyle w:val="Akapitzlist"/>
        <w:spacing w:after="0"/>
        <w:ind w:left="0"/>
        <w:jc w:val="both"/>
        <w:rPr>
          <w:rFonts w:ascii="Times New Roman" w:hAnsi="Times New Roman" w:cs="Times New Roman"/>
          <w:sz w:val="24"/>
          <w:szCs w:val="24"/>
        </w:rPr>
      </w:pPr>
      <w:r w:rsidRPr="007E1A37">
        <w:rPr>
          <w:rFonts w:ascii="Times New Roman" w:hAnsi="Times New Roman" w:cs="Times New Roman"/>
          <w:sz w:val="24"/>
          <w:szCs w:val="24"/>
        </w:rPr>
        <w:t xml:space="preserve">Natomiast w mieszkaniu chronionym wspieranym zapewnia się usługi bytowe oraz pomoc </w:t>
      </w:r>
      <w:r w:rsidR="00A84B3D">
        <w:rPr>
          <w:rFonts w:ascii="Times New Roman" w:hAnsi="Times New Roman" w:cs="Times New Roman"/>
          <w:sz w:val="24"/>
          <w:szCs w:val="24"/>
        </w:rPr>
        <w:br/>
      </w:r>
      <w:r w:rsidRPr="007E1A37">
        <w:rPr>
          <w:rFonts w:ascii="Times New Roman" w:hAnsi="Times New Roman" w:cs="Times New Roman"/>
          <w:sz w:val="24"/>
          <w:szCs w:val="24"/>
        </w:rPr>
        <w:t>w wykonywaniu czynności niezbędnych w życiu codziennym i realizacji kontaktów społecznych, w celu utrzymania lub rozwijania samodzielności o</w:t>
      </w:r>
      <w:r>
        <w:rPr>
          <w:rFonts w:ascii="Times New Roman" w:hAnsi="Times New Roman" w:cs="Times New Roman"/>
          <w:sz w:val="24"/>
          <w:szCs w:val="24"/>
        </w:rPr>
        <w:t xml:space="preserve">soby na poziomie </w:t>
      </w:r>
      <w:r w:rsidRPr="007E1A37">
        <w:rPr>
          <w:rFonts w:ascii="Times New Roman" w:hAnsi="Times New Roman" w:cs="Times New Roman"/>
          <w:sz w:val="24"/>
          <w:szCs w:val="24"/>
        </w:rPr>
        <w:t xml:space="preserve">jej psychofizycznych możliwości. </w:t>
      </w:r>
    </w:p>
    <w:p w14:paraId="7811193E" w14:textId="77777777" w:rsidR="007E1A37" w:rsidRDefault="007E1A37" w:rsidP="00224DCE">
      <w:pPr>
        <w:pStyle w:val="Akapitzlist"/>
        <w:spacing w:after="0"/>
        <w:ind w:left="0"/>
        <w:jc w:val="both"/>
        <w:rPr>
          <w:rFonts w:ascii="Times New Roman" w:hAnsi="Times New Roman" w:cs="Times New Roman"/>
          <w:sz w:val="24"/>
          <w:szCs w:val="24"/>
          <w:u w:val="single"/>
        </w:rPr>
      </w:pPr>
    </w:p>
    <w:p w14:paraId="430261E6" w14:textId="77777777" w:rsidR="007E1A37" w:rsidRPr="00D86FF5" w:rsidRDefault="007E1A37" w:rsidP="00224DCE">
      <w:pPr>
        <w:pStyle w:val="Akapitzlist"/>
        <w:spacing w:after="0"/>
        <w:ind w:left="0"/>
        <w:jc w:val="both"/>
        <w:rPr>
          <w:rFonts w:ascii="Times New Roman" w:hAnsi="Times New Roman" w:cs="Times New Roman"/>
          <w:sz w:val="24"/>
          <w:szCs w:val="24"/>
        </w:rPr>
      </w:pPr>
      <w:r w:rsidRPr="00D86FF5">
        <w:rPr>
          <w:rFonts w:ascii="Times New Roman" w:hAnsi="Times New Roman" w:cs="Times New Roman"/>
          <w:sz w:val="24"/>
          <w:szCs w:val="24"/>
        </w:rPr>
        <w:t xml:space="preserve">Jeśli chodzi o osoby starsze, to są one kierowane przede wszystkim do mieszkań chronionych wspieranych, gdzie zapewnia się usługi bytowe oraz pomoc w wykonywaniu czynności </w:t>
      </w:r>
      <w:r w:rsidRPr="00D86FF5">
        <w:rPr>
          <w:rFonts w:ascii="Times New Roman" w:hAnsi="Times New Roman" w:cs="Times New Roman"/>
          <w:sz w:val="24"/>
          <w:szCs w:val="24"/>
        </w:rPr>
        <w:lastRenderedPageBreak/>
        <w:t xml:space="preserve">niezbędnych w życiu codziennym i realizacji kontaktów społecznych, w celu utrzymania </w:t>
      </w:r>
      <w:r w:rsidR="00A84B3D">
        <w:rPr>
          <w:rFonts w:ascii="Times New Roman" w:hAnsi="Times New Roman" w:cs="Times New Roman"/>
          <w:sz w:val="24"/>
          <w:szCs w:val="24"/>
        </w:rPr>
        <w:br/>
      </w:r>
      <w:r w:rsidRPr="00D86FF5">
        <w:rPr>
          <w:rFonts w:ascii="Times New Roman" w:hAnsi="Times New Roman" w:cs="Times New Roman"/>
          <w:sz w:val="24"/>
          <w:szCs w:val="24"/>
        </w:rPr>
        <w:t xml:space="preserve">lub rozwijania samodzielności osoby na poziomie jej psychofizycznych możliwości. </w:t>
      </w:r>
    </w:p>
    <w:p w14:paraId="4D72907E" w14:textId="77777777" w:rsidR="007E1A37" w:rsidRDefault="007E1A37" w:rsidP="00224DCE">
      <w:pPr>
        <w:spacing w:after="0"/>
        <w:jc w:val="both"/>
        <w:rPr>
          <w:rFonts w:ascii="Times New Roman" w:hAnsi="Times New Roman" w:cs="Times New Roman"/>
          <w:sz w:val="24"/>
          <w:szCs w:val="24"/>
        </w:rPr>
      </w:pPr>
    </w:p>
    <w:p w14:paraId="3F1E06BE" w14:textId="77777777" w:rsidR="007E1A37" w:rsidRPr="007E1A37" w:rsidRDefault="00D86FF5" w:rsidP="00224DCE">
      <w:pPr>
        <w:spacing w:after="0"/>
        <w:jc w:val="both"/>
        <w:rPr>
          <w:rFonts w:ascii="Times New Roman" w:hAnsi="Times New Roman" w:cs="Times New Roman"/>
          <w:sz w:val="24"/>
          <w:szCs w:val="24"/>
        </w:rPr>
      </w:pPr>
      <w:r>
        <w:rPr>
          <w:rFonts w:ascii="Times New Roman" w:hAnsi="Times New Roman" w:cs="Times New Roman"/>
          <w:sz w:val="24"/>
          <w:szCs w:val="24"/>
        </w:rPr>
        <w:t>Według stanu na koniec 2019 r.</w:t>
      </w:r>
      <w:r w:rsidR="007E1A37" w:rsidRPr="007E1A37">
        <w:rPr>
          <w:rStyle w:val="Odwoanieprzypisudolnego"/>
          <w:rFonts w:ascii="Times New Roman" w:hAnsi="Times New Roman" w:cs="Times New Roman"/>
          <w:sz w:val="24"/>
          <w:szCs w:val="24"/>
        </w:rPr>
        <w:footnoteReference w:id="3"/>
      </w:r>
      <w:r w:rsidR="007E1A37" w:rsidRPr="007E1A37">
        <w:rPr>
          <w:rFonts w:ascii="Times New Roman" w:hAnsi="Times New Roman" w:cs="Times New Roman"/>
          <w:sz w:val="24"/>
          <w:szCs w:val="24"/>
        </w:rPr>
        <w:t xml:space="preserve"> funkcjonowało 1 106 mieszkań chronionych na 3 812 miejsc, </w:t>
      </w:r>
      <w:r w:rsidR="00A84B3D">
        <w:rPr>
          <w:rFonts w:ascii="Times New Roman" w:hAnsi="Times New Roman" w:cs="Times New Roman"/>
          <w:sz w:val="24"/>
          <w:szCs w:val="24"/>
        </w:rPr>
        <w:br/>
      </w:r>
      <w:r w:rsidR="007E1A37" w:rsidRPr="007E1A37">
        <w:rPr>
          <w:rFonts w:ascii="Times New Roman" w:hAnsi="Times New Roman" w:cs="Times New Roman"/>
          <w:sz w:val="24"/>
          <w:szCs w:val="24"/>
        </w:rPr>
        <w:t xml:space="preserve">z których skorzystało 3 568 osób. </w:t>
      </w:r>
    </w:p>
    <w:p w14:paraId="7DF5801C" w14:textId="77777777" w:rsidR="007E1A37" w:rsidRDefault="007E1A37" w:rsidP="00224DCE">
      <w:pPr>
        <w:spacing w:after="0"/>
        <w:jc w:val="both"/>
        <w:rPr>
          <w:rFonts w:ascii="Times New Roman" w:hAnsi="Times New Roman" w:cs="Times New Roman"/>
          <w:sz w:val="24"/>
          <w:szCs w:val="24"/>
        </w:rPr>
      </w:pPr>
    </w:p>
    <w:p w14:paraId="4E40B140" w14:textId="77777777" w:rsidR="007E1A37" w:rsidRPr="007E1A37" w:rsidRDefault="007E1A37" w:rsidP="00224DCE">
      <w:pPr>
        <w:spacing w:after="0"/>
        <w:jc w:val="both"/>
        <w:rPr>
          <w:rFonts w:ascii="Times New Roman" w:hAnsi="Times New Roman" w:cs="Times New Roman"/>
          <w:sz w:val="24"/>
          <w:szCs w:val="24"/>
        </w:rPr>
      </w:pPr>
      <w:r w:rsidRPr="007E1A37">
        <w:rPr>
          <w:rFonts w:ascii="Times New Roman" w:hAnsi="Times New Roman" w:cs="Times New Roman"/>
          <w:sz w:val="24"/>
          <w:szCs w:val="24"/>
        </w:rPr>
        <w:t xml:space="preserve">Liczba mieszkań chronionych działających w 2019 </w:t>
      </w:r>
      <w:r w:rsidR="00D86FF5">
        <w:rPr>
          <w:rFonts w:ascii="Times New Roman" w:hAnsi="Times New Roman" w:cs="Times New Roman"/>
          <w:sz w:val="24"/>
          <w:szCs w:val="24"/>
        </w:rPr>
        <w:t xml:space="preserve">r. była wyższa o 171 jednostek </w:t>
      </w:r>
      <w:r w:rsidRPr="007E1A37">
        <w:rPr>
          <w:rFonts w:ascii="Times New Roman" w:hAnsi="Times New Roman" w:cs="Times New Roman"/>
          <w:sz w:val="24"/>
          <w:szCs w:val="24"/>
        </w:rPr>
        <w:t xml:space="preserve">w stosunku </w:t>
      </w:r>
      <w:r w:rsidR="00A84B3D">
        <w:rPr>
          <w:rFonts w:ascii="Times New Roman" w:hAnsi="Times New Roman" w:cs="Times New Roman"/>
          <w:sz w:val="24"/>
          <w:szCs w:val="24"/>
        </w:rPr>
        <w:br/>
      </w:r>
      <w:r w:rsidRPr="007E1A37">
        <w:rPr>
          <w:rFonts w:ascii="Times New Roman" w:hAnsi="Times New Roman" w:cs="Times New Roman"/>
          <w:sz w:val="24"/>
          <w:szCs w:val="24"/>
        </w:rPr>
        <w:t>do liczby m</w:t>
      </w:r>
      <w:r w:rsidR="00D86FF5">
        <w:rPr>
          <w:rFonts w:ascii="Times New Roman" w:hAnsi="Times New Roman" w:cs="Times New Roman"/>
          <w:sz w:val="24"/>
          <w:szCs w:val="24"/>
        </w:rPr>
        <w:t>ieszkań, które funkcjonowały w</w:t>
      </w:r>
      <w:r w:rsidRPr="007E1A37">
        <w:rPr>
          <w:rFonts w:ascii="Times New Roman" w:hAnsi="Times New Roman" w:cs="Times New Roman"/>
          <w:sz w:val="24"/>
          <w:szCs w:val="24"/>
        </w:rPr>
        <w:t xml:space="preserve"> 2018 </w:t>
      </w:r>
      <w:r w:rsidR="00D86FF5">
        <w:rPr>
          <w:rFonts w:ascii="Times New Roman" w:hAnsi="Times New Roman" w:cs="Times New Roman"/>
          <w:sz w:val="24"/>
          <w:szCs w:val="24"/>
        </w:rPr>
        <w:t xml:space="preserve">r. </w:t>
      </w:r>
      <w:r w:rsidRPr="007E1A37">
        <w:rPr>
          <w:rFonts w:ascii="Times New Roman" w:hAnsi="Times New Roman" w:cs="Times New Roman"/>
          <w:sz w:val="24"/>
          <w:szCs w:val="24"/>
        </w:rPr>
        <w:t>(935 mieszkań chronionych ogółem na 3 544 miejsca), co stanowi wzrost o ok. 18 %.</w:t>
      </w:r>
    </w:p>
    <w:p w14:paraId="22DCC07D" w14:textId="77777777" w:rsidR="007E1A37" w:rsidRDefault="007E1A37" w:rsidP="00224DCE">
      <w:pPr>
        <w:pStyle w:val="Default"/>
        <w:spacing w:line="276" w:lineRule="auto"/>
        <w:jc w:val="both"/>
        <w:rPr>
          <w:rFonts w:ascii="Times New Roman" w:hAnsi="Times New Roman" w:cs="Times New Roman"/>
        </w:rPr>
      </w:pPr>
    </w:p>
    <w:p w14:paraId="09D145E4" w14:textId="04EE1F87" w:rsidR="007E1A37" w:rsidRPr="007E1A37" w:rsidRDefault="007E1A37" w:rsidP="00224DCE">
      <w:pPr>
        <w:pStyle w:val="Default"/>
        <w:spacing w:line="276" w:lineRule="auto"/>
        <w:jc w:val="both"/>
        <w:rPr>
          <w:rFonts w:ascii="Times New Roman" w:hAnsi="Times New Roman" w:cs="Times New Roman"/>
        </w:rPr>
      </w:pPr>
      <w:r w:rsidRPr="007E1A37">
        <w:rPr>
          <w:rFonts w:ascii="Times New Roman" w:hAnsi="Times New Roman" w:cs="Times New Roman"/>
        </w:rPr>
        <w:t>Tworzenie i prowadzenie mieszkań chronionych jest zadaniem własnym samorządu. Jednakże,</w:t>
      </w:r>
      <w:r w:rsidR="00A84B3D">
        <w:rPr>
          <w:rFonts w:ascii="Times New Roman" w:hAnsi="Times New Roman" w:cs="Times New Roman"/>
        </w:rPr>
        <w:br/>
      </w:r>
      <w:r w:rsidRPr="007E1A37">
        <w:rPr>
          <w:rFonts w:ascii="Times New Roman" w:hAnsi="Times New Roman" w:cs="Times New Roman"/>
        </w:rPr>
        <w:t xml:space="preserve"> w związku z realizacją Programu „Za życiem”, </w:t>
      </w:r>
      <w:r w:rsidR="0051797F">
        <w:rPr>
          <w:rFonts w:ascii="Times New Roman" w:hAnsi="Times New Roman" w:cs="Times New Roman"/>
        </w:rPr>
        <w:t xml:space="preserve">przyjętego </w:t>
      </w:r>
      <w:r w:rsidR="0051797F" w:rsidRPr="00E8534F">
        <w:rPr>
          <w:rFonts w:ascii="Times New Roman" w:hAnsi="Times New Roman" w:cs="Times New Roman"/>
          <w:i/>
        </w:rPr>
        <w:t>uchwałą nr 160 Rady Ministrów w sprawie programu kompleksowego wsparcia dla rodzin „Za Życiem” z dnia 20 grudnia 2016 r.</w:t>
      </w:r>
      <w:r w:rsidR="0051797F">
        <w:rPr>
          <w:rFonts w:ascii="Times New Roman" w:hAnsi="Times New Roman" w:cs="Times New Roman"/>
        </w:rPr>
        <w:t xml:space="preserve">  (M.P. z 2016 r. poz. 1250), </w:t>
      </w:r>
      <w:r w:rsidRPr="007E1A37">
        <w:rPr>
          <w:rFonts w:ascii="Times New Roman" w:hAnsi="Times New Roman" w:cs="Times New Roman"/>
        </w:rPr>
        <w:t>możliwe jest dofinansowanie utworzenia takiego mieszkania ze środków budżetu państwa. W 2019</w:t>
      </w:r>
      <w:r w:rsidR="00D86FF5">
        <w:rPr>
          <w:rFonts w:ascii="Times New Roman" w:hAnsi="Times New Roman" w:cs="Times New Roman"/>
        </w:rPr>
        <w:t xml:space="preserve"> r.</w:t>
      </w:r>
      <w:r w:rsidRPr="007E1A37">
        <w:rPr>
          <w:rFonts w:ascii="Times New Roman" w:hAnsi="Times New Roman" w:cs="Times New Roman"/>
        </w:rPr>
        <w:t xml:space="preserve"> dotacja na  realizację tego zadania wynosiła do 70% kosztów jego realizacji. Na powyższe w 2019 </w:t>
      </w:r>
      <w:r w:rsidR="00D86FF5">
        <w:rPr>
          <w:rFonts w:ascii="Times New Roman" w:hAnsi="Times New Roman" w:cs="Times New Roman"/>
        </w:rPr>
        <w:t xml:space="preserve">r. </w:t>
      </w:r>
      <w:r w:rsidRPr="007E1A37">
        <w:rPr>
          <w:rFonts w:ascii="Times New Roman" w:hAnsi="Times New Roman" w:cs="Times New Roman"/>
        </w:rPr>
        <w:t>wydatkowano środki finansowe w wysokości 5 775 606, 36 zł., z czego z budżetu państwa wydatkowano 3 907 745,74 zł, co umożliwiło powstanie 55 nowych mieszkań chronionych dla 180 osób.</w:t>
      </w:r>
    </w:p>
    <w:p w14:paraId="3C73046F" w14:textId="77777777" w:rsidR="007E1A37" w:rsidRPr="007E1A37" w:rsidRDefault="007E1A37" w:rsidP="00224DCE">
      <w:pPr>
        <w:spacing w:after="0"/>
        <w:jc w:val="both"/>
        <w:rPr>
          <w:rFonts w:ascii="Times New Roman" w:hAnsi="Times New Roman" w:cs="Times New Roman"/>
          <w:sz w:val="24"/>
          <w:szCs w:val="24"/>
        </w:rPr>
      </w:pPr>
    </w:p>
    <w:p w14:paraId="237DF08A" w14:textId="77777777" w:rsidR="007E1A37" w:rsidRPr="007E1A37" w:rsidRDefault="007E1A37" w:rsidP="00224DCE">
      <w:pPr>
        <w:pStyle w:val="Akapitzlist"/>
        <w:spacing w:after="0"/>
        <w:ind w:left="0"/>
        <w:jc w:val="both"/>
        <w:rPr>
          <w:rFonts w:ascii="Times New Roman" w:hAnsi="Times New Roman" w:cs="Times New Roman"/>
          <w:sz w:val="24"/>
          <w:szCs w:val="24"/>
        </w:rPr>
      </w:pPr>
      <w:r w:rsidRPr="007E1A37">
        <w:rPr>
          <w:rFonts w:ascii="Times New Roman" w:hAnsi="Times New Roman" w:cs="Times New Roman"/>
          <w:b/>
          <w:sz w:val="24"/>
          <w:szCs w:val="24"/>
        </w:rPr>
        <w:t>Rodzinne domy pomocy</w:t>
      </w:r>
      <w:r w:rsidRPr="007E1A37">
        <w:rPr>
          <w:rFonts w:ascii="Times New Roman" w:hAnsi="Times New Roman" w:cs="Times New Roman"/>
          <w:sz w:val="24"/>
          <w:szCs w:val="24"/>
        </w:rPr>
        <w:t xml:space="preserve"> służą zapewnieniu pobytu stałego lub okresowego osobom wymagającym pomocy innych osób, z powodu wieku lub niepełnosprawności, którym nie można zapewnić usług opiek</w:t>
      </w:r>
      <w:r w:rsidR="00D86FF5">
        <w:rPr>
          <w:rFonts w:ascii="Times New Roman" w:hAnsi="Times New Roman" w:cs="Times New Roman"/>
          <w:sz w:val="24"/>
          <w:szCs w:val="24"/>
        </w:rPr>
        <w:t xml:space="preserve">uńczych w miejscu zamieszkania. </w:t>
      </w:r>
      <w:r w:rsidRPr="007E1A37">
        <w:rPr>
          <w:rFonts w:ascii="Times New Roman" w:hAnsi="Times New Roman" w:cs="Times New Roman"/>
          <w:sz w:val="24"/>
          <w:szCs w:val="24"/>
        </w:rPr>
        <w:t xml:space="preserve">Tego rodzaju wsparcie zapewnia usługi opiekuńcze i bytowe i jest świadczone przez osoby fizyczne lub organizacje pożytku publicznego. </w:t>
      </w:r>
    </w:p>
    <w:p w14:paraId="3181AC49" w14:textId="77777777" w:rsidR="007E1A37" w:rsidRPr="007E1A37" w:rsidRDefault="007E1A37" w:rsidP="00224DCE">
      <w:pPr>
        <w:pStyle w:val="Akapitzlist"/>
        <w:spacing w:after="0"/>
        <w:ind w:left="0"/>
        <w:jc w:val="both"/>
        <w:rPr>
          <w:rFonts w:ascii="Times New Roman" w:hAnsi="Times New Roman" w:cs="Times New Roman"/>
          <w:sz w:val="24"/>
          <w:szCs w:val="24"/>
        </w:rPr>
      </w:pPr>
      <w:r w:rsidRPr="007E1A37">
        <w:rPr>
          <w:rFonts w:ascii="Times New Roman" w:hAnsi="Times New Roman" w:cs="Times New Roman"/>
          <w:i/>
          <w:sz w:val="24"/>
          <w:szCs w:val="24"/>
        </w:rPr>
        <w:t>Rozporządzeniem z dnia 31 maja 2012 r. w sprawie rodzinnych domów pomocy</w:t>
      </w:r>
      <w:r w:rsidRPr="007E1A37">
        <w:rPr>
          <w:rFonts w:ascii="Times New Roman" w:hAnsi="Times New Roman" w:cs="Times New Roman"/>
          <w:sz w:val="24"/>
          <w:szCs w:val="24"/>
        </w:rPr>
        <w:t xml:space="preserve"> </w:t>
      </w:r>
      <w:r w:rsidR="002C1314">
        <w:rPr>
          <w:rFonts w:ascii="Times New Roman" w:hAnsi="Times New Roman" w:cs="Times New Roman"/>
          <w:sz w:val="24"/>
          <w:szCs w:val="24"/>
        </w:rPr>
        <w:br/>
        <w:t xml:space="preserve">(Dz. U. </w:t>
      </w:r>
      <w:r w:rsidRPr="007E1A37">
        <w:rPr>
          <w:rFonts w:ascii="Times New Roman" w:hAnsi="Times New Roman" w:cs="Times New Roman"/>
          <w:sz w:val="24"/>
          <w:szCs w:val="24"/>
        </w:rPr>
        <w:t xml:space="preserve">poz. 719) określono szczegółowe warunki dotyczące miejsca pobytu osób, wyżywienia, utrzymania czystości oraz zakresu usług opiekuńczych. </w:t>
      </w:r>
    </w:p>
    <w:p w14:paraId="56BB314D" w14:textId="77777777" w:rsidR="007E1A37" w:rsidRDefault="007E1A37" w:rsidP="00224DCE">
      <w:pPr>
        <w:spacing w:after="0"/>
        <w:jc w:val="both"/>
        <w:rPr>
          <w:rFonts w:ascii="Times New Roman" w:hAnsi="Times New Roman" w:cs="Times New Roman"/>
          <w:sz w:val="24"/>
          <w:szCs w:val="24"/>
        </w:rPr>
      </w:pPr>
    </w:p>
    <w:p w14:paraId="665F4D6F" w14:textId="77777777" w:rsidR="007E1A37" w:rsidRPr="007E1A37" w:rsidRDefault="00D86FF5" w:rsidP="00224DCE">
      <w:pPr>
        <w:spacing w:after="0"/>
        <w:jc w:val="both"/>
        <w:rPr>
          <w:rFonts w:ascii="Times New Roman" w:hAnsi="Times New Roman" w:cs="Times New Roman"/>
          <w:sz w:val="24"/>
          <w:szCs w:val="24"/>
        </w:rPr>
      </w:pPr>
      <w:r>
        <w:rPr>
          <w:rFonts w:ascii="Times New Roman" w:hAnsi="Times New Roman" w:cs="Times New Roman"/>
          <w:sz w:val="24"/>
          <w:szCs w:val="24"/>
        </w:rPr>
        <w:t>Według stanu na koniec 2019 r.</w:t>
      </w:r>
      <w:r w:rsidR="007E1A37" w:rsidRPr="007E1A37">
        <w:rPr>
          <w:rFonts w:ascii="Times New Roman" w:hAnsi="Times New Roman" w:cs="Times New Roman"/>
          <w:sz w:val="24"/>
          <w:szCs w:val="24"/>
          <w:vertAlign w:val="superscript"/>
        </w:rPr>
        <w:t>4</w:t>
      </w:r>
      <w:r w:rsidR="007E1A37" w:rsidRPr="007E1A37">
        <w:rPr>
          <w:rFonts w:ascii="Times New Roman" w:hAnsi="Times New Roman" w:cs="Times New Roman"/>
          <w:sz w:val="24"/>
          <w:szCs w:val="24"/>
        </w:rPr>
        <w:t xml:space="preserve"> na terenie Polski funkcjonowały 33  rodzinne domy pom</w:t>
      </w:r>
      <w:r>
        <w:rPr>
          <w:rFonts w:ascii="Times New Roman" w:hAnsi="Times New Roman" w:cs="Times New Roman"/>
          <w:sz w:val="24"/>
          <w:szCs w:val="24"/>
        </w:rPr>
        <w:t xml:space="preserve">ocy </w:t>
      </w:r>
      <w:r w:rsidR="002C1314">
        <w:rPr>
          <w:rFonts w:ascii="Times New Roman" w:hAnsi="Times New Roman" w:cs="Times New Roman"/>
          <w:sz w:val="24"/>
          <w:szCs w:val="24"/>
        </w:rPr>
        <w:br/>
      </w:r>
      <w:r>
        <w:rPr>
          <w:rFonts w:ascii="Times New Roman" w:hAnsi="Times New Roman" w:cs="Times New Roman"/>
          <w:sz w:val="24"/>
          <w:szCs w:val="24"/>
        </w:rPr>
        <w:t>(o 4 więcej, niż w 2018 r.</w:t>
      </w:r>
      <w:r w:rsidR="007E1A37" w:rsidRPr="007E1A37">
        <w:rPr>
          <w:rFonts w:ascii="Times New Roman" w:hAnsi="Times New Roman" w:cs="Times New Roman"/>
          <w:sz w:val="24"/>
          <w:szCs w:val="24"/>
        </w:rPr>
        <w:t xml:space="preserve">, co stanowi wzrost liczby placówek o ok. 14 %) </w:t>
      </w:r>
      <w:r w:rsidR="007E1A37" w:rsidRPr="007E1A37">
        <w:rPr>
          <w:rFonts w:ascii="Times New Roman" w:hAnsi="Times New Roman" w:cs="Times New Roman"/>
          <w:noProof/>
          <w:sz w:val="24"/>
          <w:szCs w:val="24"/>
          <w:lang w:eastAsia="pl-PL"/>
        </w:rPr>
        <w:drawing>
          <wp:inline distT="0" distB="0" distL="0" distR="0" wp14:anchorId="1474089C" wp14:editId="427B0CDB">
            <wp:extent cx="3047" cy="6098"/>
            <wp:effectExtent l="0" t="0" r="0" b="0"/>
            <wp:docPr id="26" name="Picture 7937"/>
            <wp:cNvGraphicFramePr/>
            <a:graphic xmlns:a="http://schemas.openxmlformats.org/drawingml/2006/main">
              <a:graphicData uri="http://schemas.openxmlformats.org/drawingml/2006/picture">
                <pic:pic xmlns:pic="http://schemas.openxmlformats.org/drawingml/2006/picture">
                  <pic:nvPicPr>
                    <pic:cNvPr id="7937" name="Picture 7937"/>
                    <pic:cNvPicPr/>
                  </pic:nvPicPr>
                  <pic:blipFill>
                    <a:blip r:embed="rId12"/>
                    <a:stretch>
                      <a:fillRect/>
                    </a:stretch>
                  </pic:blipFill>
                  <pic:spPr>
                    <a:xfrm>
                      <a:off x="0" y="0"/>
                      <a:ext cx="3047" cy="6098"/>
                    </a:xfrm>
                    <a:prstGeom prst="rect">
                      <a:avLst/>
                    </a:prstGeom>
                  </pic:spPr>
                </pic:pic>
              </a:graphicData>
            </a:graphic>
          </wp:inline>
        </w:drawing>
      </w:r>
      <w:r w:rsidR="007E1A37" w:rsidRPr="007E1A37">
        <w:rPr>
          <w:rFonts w:ascii="Times New Roman" w:hAnsi="Times New Roman" w:cs="Times New Roman"/>
          <w:sz w:val="24"/>
          <w:szCs w:val="24"/>
        </w:rPr>
        <w:t xml:space="preserve">na 228 miejsc (zwiększenie liczby miejsc o 35, co stanowi ok. 18 % wzrost </w:t>
      </w:r>
      <w:r>
        <w:rPr>
          <w:rFonts w:ascii="Times New Roman" w:hAnsi="Times New Roman" w:cs="Times New Roman"/>
          <w:sz w:val="24"/>
          <w:szCs w:val="24"/>
        </w:rPr>
        <w:t>liczby miejsc względem 2018 r.</w:t>
      </w:r>
      <w:r w:rsidR="007E1A37" w:rsidRPr="007E1A37">
        <w:rPr>
          <w:rFonts w:ascii="Times New Roman" w:hAnsi="Times New Roman" w:cs="Times New Roman"/>
          <w:sz w:val="24"/>
          <w:szCs w:val="24"/>
        </w:rPr>
        <w:t xml:space="preserve">). </w:t>
      </w:r>
      <w:r w:rsidR="002C1314">
        <w:rPr>
          <w:rFonts w:ascii="Times New Roman" w:hAnsi="Times New Roman" w:cs="Times New Roman"/>
          <w:sz w:val="24"/>
          <w:szCs w:val="24"/>
        </w:rPr>
        <w:br/>
      </w:r>
      <w:r w:rsidR="007E1A37" w:rsidRPr="007E1A37">
        <w:rPr>
          <w:rFonts w:ascii="Times New Roman" w:hAnsi="Times New Roman" w:cs="Times New Roman"/>
          <w:sz w:val="24"/>
          <w:szCs w:val="24"/>
        </w:rPr>
        <w:t>Z rod</w:t>
      </w:r>
      <w:r>
        <w:rPr>
          <w:rFonts w:ascii="Times New Roman" w:hAnsi="Times New Roman" w:cs="Times New Roman"/>
          <w:sz w:val="24"/>
          <w:szCs w:val="24"/>
        </w:rPr>
        <w:t>zinnych domów pomocy w 2019 r.</w:t>
      </w:r>
      <w:r w:rsidR="007E1A37" w:rsidRPr="007E1A37">
        <w:rPr>
          <w:rFonts w:ascii="Times New Roman" w:hAnsi="Times New Roman" w:cs="Times New Roman"/>
          <w:sz w:val="24"/>
          <w:szCs w:val="24"/>
        </w:rPr>
        <w:t xml:space="preserve"> skorzystało łącznie 231 osób (o 58 osób więcej, </w:t>
      </w:r>
      <w:r w:rsidR="002C1314">
        <w:rPr>
          <w:rFonts w:ascii="Times New Roman" w:hAnsi="Times New Roman" w:cs="Times New Roman"/>
          <w:sz w:val="24"/>
          <w:szCs w:val="24"/>
        </w:rPr>
        <w:br/>
      </w:r>
      <w:r w:rsidR="007E1A37" w:rsidRPr="007E1A37">
        <w:rPr>
          <w:rFonts w:ascii="Times New Roman" w:hAnsi="Times New Roman" w:cs="Times New Roman"/>
          <w:sz w:val="24"/>
          <w:szCs w:val="24"/>
        </w:rPr>
        <w:t>niż w 2018 roku, co stanowi wzrost liczby osób korzystających z tej formy wsparc</w:t>
      </w:r>
      <w:r>
        <w:rPr>
          <w:rFonts w:ascii="Times New Roman" w:hAnsi="Times New Roman" w:cs="Times New Roman"/>
          <w:sz w:val="24"/>
          <w:szCs w:val="24"/>
        </w:rPr>
        <w:t>ia o ok. 33 % względem 2018 r.</w:t>
      </w:r>
      <w:r w:rsidR="007E1A37" w:rsidRPr="007E1A37">
        <w:rPr>
          <w:rFonts w:ascii="Times New Roman" w:hAnsi="Times New Roman" w:cs="Times New Roman"/>
          <w:sz w:val="24"/>
          <w:szCs w:val="24"/>
        </w:rPr>
        <w:t>).</w:t>
      </w:r>
    </w:p>
    <w:p w14:paraId="712A7BD4" w14:textId="77777777" w:rsidR="007E1A37" w:rsidRPr="007E1A37" w:rsidRDefault="007E1A37" w:rsidP="00224DCE">
      <w:pPr>
        <w:spacing w:after="0"/>
        <w:jc w:val="both"/>
        <w:rPr>
          <w:rFonts w:ascii="Times New Roman" w:hAnsi="Times New Roman" w:cs="Times New Roman"/>
          <w:b/>
          <w:sz w:val="24"/>
          <w:szCs w:val="24"/>
        </w:rPr>
      </w:pPr>
    </w:p>
    <w:p w14:paraId="05DD726C" w14:textId="77777777" w:rsidR="007E1A37" w:rsidRPr="007E1A37" w:rsidRDefault="007E1A37" w:rsidP="00224DCE">
      <w:pPr>
        <w:spacing w:after="0"/>
        <w:jc w:val="both"/>
        <w:rPr>
          <w:rFonts w:ascii="Times New Roman" w:hAnsi="Times New Roman" w:cs="Times New Roman"/>
          <w:sz w:val="24"/>
          <w:szCs w:val="24"/>
        </w:rPr>
      </w:pPr>
      <w:r w:rsidRPr="007E1A37">
        <w:rPr>
          <w:rFonts w:ascii="Times New Roman" w:hAnsi="Times New Roman" w:cs="Times New Roman"/>
          <w:sz w:val="24"/>
          <w:szCs w:val="24"/>
        </w:rPr>
        <w:t xml:space="preserve">Oprócz ww. usług i form świadczonych w środowisku lokalnym, osobom starszym przysługuje prawo do umieszczenia w domu pomocy społecznej. Należy wyraźnie podkreślić, że umieszczenie osoby w domu pomocy społecznej </w:t>
      </w:r>
      <w:r w:rsidR="00D051DE">
        <w:rPr>
          <w:rFonts w:ascii="Times New Roman" w:hAnsi="Times New Roman" w:cs="Times New Roman"/>
          <w:sz w:val="24"/>
          <w:szCs w:val="24"/>
        </w:rPr>
        <w:t>jest ostatecznością. Działanie to powinno być poprzedzone</w:t>
      </w:r>
      <w:r w:rsidRPr="007E1A37">
        <w:rPr>
          <w:rFonts w:ascii="Times New Roman" w:hAnsi="Times New Roman" w:cs="Times New Roman"/>
          <w:sz w:val="24"/>
          <w:szCs w:val="24"/>
        </w:rPr>
        <w:t xml:space="preserve"> rzetelną oceną możliwości udzielenia pomocy w miejscu jej zamieszkania oraz zbadaniem </w:t>
      </w:r>
      <w:r w:rsidR="002C1314">
        <w:rPr>
          <w:rFonts w:ascii="Times New Roman" w:hAnsi="Times New Roman" w:cs="Times New Roman"/>
          <w:sz w:val="24"/>
          <w:szCs w:val="24"/>
        </w:rPr>
        <w:br/>
      </w:r>
      <w:r w:rsidRPr="007E1A37">
        <w:rPr>
          <w:rFonts w:ascii="Times New Roman" w:hAnsi="Times New Roman" w:cs="Times New Roman"/>
          <w:sz w:val="24"/>
          <w:szCs w:val="24"/>
        </w:rPr>
        <w:t>jej sytuacji rodzinnej. Skierowanie do domu pomocy społecznej (DPS) wymaga oceny stanu zdrowia oraz uprzedniego ustalenia zakresu możliwości korzystania przez daną osobę z pomocy środowiskowej, zwłaszcza zbadania możliwości zorganizowania usług opiekuńczych lub specjalistycznych usług opiekuńczych w miejscu zamieszkania.</w:t>
      </w:r>
    </w:p>
    <w:p w14:paraId="1B7B5D32" w14:textId="77777777" w:rsidR="007E1A37" w:rsidRPr="007E1A37" w:rsidRDefault="007E1A37" w:rsidP="00224DCE">
      <w:pPr>
        <w:spacing w:after="0"/>
        <w:jc w:val="both"/>
        <w:rPr>
          <w:rFonts w:ascii="Times New Roman" w:hAnsi="Times New Roman" w:cs="Times New Roman"/>
          <w:color w:val="FF0000"/>
          <w:sz w:val="24"/>
          <w:szCs w:val="24"/>
        </w:rPr>
      </w:pPr>
    </w:p>
    <w:p w14:paraId="66B31756" w14:textId="77777777" w:rsidR="007E1A37" w:rsidRPr="007E1A37" w:rsidRDefault="007E1A37" w:rsidP="00224DCE">
      <w:pPr>
        <w:spacing w:after="0"/>
        <w:jc w:val="both"/>
        <w:rPr>
          <w:rFonts w:ascii="Times New Roman" w:hAnsi="Times New Roman" w:cs="Times New Roman"/>
          <w:b/>
          <w:sz w:val="24"/>
          <w:szCs w:val="24"/>
        </w:rPr>
      </w:pPr>
      <w:r w:rsidRPr="007E1A37">
        <w:rPr>
          <w:rFonts w:ascii="Times New Roman" w:eastAsia="Calibri" w:hAnsi="Times New Roman" w:cs="Times New Roman"/>
          <w:b/>
          <w:sz w:val="24"/>
          <w:szCs w:val="24"/>
        </w:rPr>
        <w:lastRenderedPageBreak/>
        <w:t xml:space="preserve">Dom pomocy społecznej </w:t>
      </w:r>
    </w:p>
    <w:p w14:paraId="7F9325B7" w14:textId="77777777" w:rsidR="007E1A37" w:rsidRPr="007E1A37" w:rsidRDefault="007E1A37" w:rsidP="00224DCE">
      <w:pPr>
        <w:spacing w:after="0"/>
        <w:jc w:val="both"/>
        <w:rPr>
          <w:rFonts w:ascii="Times New Roman" w:hAnsi="Times New Roman" w:cs="Times New Roman"/>
          <w:b/>
          <w:sz w:val="24"/>
          <w:szCs w:val="24"/>
        </w:rPr>
      </w:pPr>
      <w:r w:rsidRPr="007E1A37">
        <w:rPr>
          <w:rFonts w:ascii="Times New Roman" w:hAnsi="Times New Roman" w:cs="Times New Roman"/>
          <w:bCs/>
          <w:sz w:val="24"/>
          <w:szCs w:val="24"/>
        </w:rPr>
        <w:t xml:space="preserve">Domy pomocy społecznej przeznaczone są dla osób wymagających  całodobowej opieki </w:t>
      </w:r>
      <w:r w:rsidR="002C1314">
        <w:rPr>
          <w:rFonts w:ascii="Times New Roman" w:hAnsi="Times New Roman" w:cs="Times New Roman"/>
          <w:bCs/>
          <w:sz w:val="24"/>
          <w:szCs w:val="24"/>
        </w:rPr>
        <w:br/>
      </w:r>
      <w:r w:rsidRPr="007E1A37">
        <w:rPr>
          <w:rFonts w:ascii="Times New Roman" w:hAnsi="Times New Roman" w:cs="Times New Roman"/>
          <w:bCs/>
          <w:sz w:val="24"/>
          <w:szCs w:val="24"/>
        </w:rPr>
        <w:t>ze względu na wiek, ch</w:t>
      </w:r>
      <w:r w:rsidR="00D051DE">
        <w:rPr>
          <w:rFonts w:ascii="Times New Roman" w:hAnsi="Times New Roman" w:cs="Times New Roman"/>
          <w:bCs/>
          <w:sz w:val="24"/>
          <w:szCs w:val="24"/>
        </w:rPr>
        <w:t xml:space="preserve">orobę lub niepełnosprawność </w:t>
      </w:r>
      <w:r w:rsidRPr="007E1A37">
        <w:rPr>
          <w:rFonts w:ascii="Times New Roman" w:hAnsi="Times New Roman" w:cs="Times New Roman"/>
          <w:bCs/>
          <w:sz w:val="24"/>
          <w:szCs w:val="24"/>
        </w:rPr>
        <w:t xml:space="preserve">to placówki całodobowego stałego pobytu zapewniające usługi bytowe, opiekuńcze, wspomagające. Domy pomocy społecznej umożliwiają i organizują mieszkańcom pomoc w korzystaniu ze świadczeń zdrowotnych przysługujących </w:t>
      </w:r>
      <w:r w:rsidR="002C1314">
        <w:rPr>
          <w:rFonts w:ascii="Times New Roman" w:hAnsi="Times New Roman" w:cs="Times New Roman"/>
          <w:bCs/>
          <w:sz w:val="24"/>
          <w:szCs w:val="24"/>
        </w:rPr>
        <w:br/>
      </w:r>
      <w:r w:rsidRPr="007E1A37">
        <w:rPr>
          <w:rFonts w:ascii="Times New Roman" w:hAnsi="Times New Roman" w:cs="Times New Roman"/>
          <w:bCs/>
          <w:sz w:val="24"/>
          <w:szCs w:val="24"/>
        </w:rPr>
        <w:t>im na podstawie odrębnych przepisów.</w:t>
      </w:r>
    </w:p>
    <w:p w14:paraId="4B1AD7C3" w14:textId="77777777" w:rsidR="00661C05" w:rsidRDefault="00661C05" w:rsidP="00224DCE">
      <w:pPr>
        <w:spacing w:after="0"/>
        <w:jc w:val="both"/>
        <w:rPr>
          <w:rFonts w:ascii="Times New Roman" w:hAnsi="Times New Roman" w:cs="Times New Roman"/>
          <w:sz w:val="24"/>
          <w:szCs w:val="24"/>
        </w:rPr>
      </w:pPr>
    </w:p>
    <w:p w14:paraId="5FD43E76" w14:textId="77777777" w:rsidR="007E1A37" w:rsidRPr="007E1A37" w:rsidRDefault="007E1A37" w:rsidP="00224DCE">
      <w:pPr>
        <w:spacing w:after="0"/>
        <w:jc w:val="both"/>
        <w:rPr>
          <w:rFonts w:ascii="Times New Roman" w:hAnsi="Times New Roman" w:cs="Times New Roman"/>
          <w:b/>
          <w:sz w:val="24"/>
          <w:szCs w:val="24"/>
        </w:rPr>
      </w:pPr>
      <w:r w:rsidRPr="007E1A37">
        <w:rPr>
          <w:rFonts w:ascii="Times New Roman" w:hAnsi="Times New Roman" w:cs="Times New Roman"/>
          <w:sz w:val="24"/>
          <w:szCs w:val="24"/>
        </w:rPr>
        <w:t xml:space="preserve">Decyzję o skierowaniu do domu pomocy społecznej i decyzję ustalającą opłatę za pobyt </w:t>
      </w:r>
      <w:r w:rsidRPr="007E1A37">
        <w:rPr>
          <w:rFonts w:ascii="Times New Roman" w:hAnsi="Times New Roman" w:cs="Times New Roman"/>
          <w:sz w:val="24"/>
          <w:szCs w:val="24"/>
        </w:rPr>
        <w:br/>
        <w:t xml:space="preserve">w domu wydaje organ gminy właściwej dla tej osoby w dniu jej kierowania do domu. Decyzję </w:t>
      </w:r>
      <w:r w:rsidR="002C1314">
        <w:rPr>
          <w:rFonts w:ascii="Times New Roman" w:hAnsi="Times New Roman" w:cs="Times New Roman"/>
          <w:sz w:val="24"/>
          <w:szCs w:val="24"/>
        </w:rPr>
        <w:br/>
      </w:r>
      <w:r w:rsidRPr="007E1A37">
        <w:rPr>
          <w:rFonts w:ascii="Times New Roman" w:hAnsi="Times New Roman" w:cs="Times New Roman"/>
          <w:sz w:val="24"/>
          <w:szCs w:val="24"/>
        </w:rPr>
        <w:t xml:space="preserve">o umieszczeniu w domu pomocy społecznej wydaje organ gminy prowadzącej dom lub starosta powiatu prowadzącego dom. W przypadku regionalnych domów pomocy społecznej decyzję wydaje marszałek województwa. </w:t>
      </w:r>
      <w:r w:rsidRPr="007E1A37">
        <w:rPr>
          <w:rFonts w:ascii="Times New Roman" w:hAnsi="Times New Roman" w:cs="Times New Roman"/>
          <w:bCs/>
          <w:sz w:val="24"/>
          <w:szCs w:val="24"/>
        </w:rPr>
        <w:t>Pobyt w domu pomocy społecznej jest odpłatny do pełnego kosztu utrzymania, przy czym:</w:t>
      </w:r>
    </w:p>
    <w:p w14:paraId="6C6D20E9" w14:textId="77777777" w:rsidR="007E1A37" w:rsidRPr="007E1A37" w:rsidRDefault="007E1A37" w:rsidP="008C71A9">
      <w:pPr>
        <w:pStyle w:val="Akapitzlist"/>
        <w:numPr>
          <w:ilvl w:val="0"/>
          <w:numId w:val="225"/>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jako pierwsza opłatę ponosi osoba kierowana do domu pomoc</w:t>
      </w:r>
      <w:r w:rsidR="00661C05">
        <w:rPr>
          <w:rFonts w:ascii="Times New Roman" w:hAnsi="Times New Roman" w:cs="Times New Roman"/>
          <w:sz w:val="24"/>
          <w:szCs w:val="24"/>
        </w:rPr>
        <w:t xml:space="preserve">y społecznej </w:t>
      </w:r>
      <w:r w:rsidRPr="007E1A37">
        <w:rPr>
          <w:rFonts w:ascii="Times New Roman" w:hAnsi="Times New Roman" w:cs="Times New Roman"/>
          <w:sz w:val="24"/>
          <w:szCs w:val="24"/>
        </w:rPr>
        <w:t>w wysokości 70 % dochodu własnego nie więcej niż pełny koszt utrzymania,</w:t>
      </w:r>
    </w:p>
    <w:p w14:paraId="31948800" w14:textId="77777777" w:rsidR="007E1A37" w:rsidRPr="007E1A37" w:rsidRDefault="007E1A37" w:rsidP="008C71A9">
      <w:pPr>
        <w:pStyle w:val="Akapitzlist"/>
        <w:numPr>
          <w:ilvl w:val="0"/>
          <w:numId w:val="225"/>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 xml:space="preserve">w drugiej kolejności rodzina osoby kierowanej - małżonek, zstępni (dzieci, wnuki) przed wstępnymi (rodzicami, dziadkami) jeżeli jej sytuacja na to pozwala (tylko wtedy, </w:t>
      </w:r>
      <w:r w:rsidR="002C1314">
        <w:rPr>
          <w:rFonts w:ascii="Times New Roman" w:hAnsi="Times New Roman" w:cs="Times New Roman"/>
          <w:sz w:val="24"/>
          <w:szCs w:val="24"/>
        </w:rPr>
        <w:br/>
      </w:r>
      <w:r w:rsidRPr="007E1A37">
        <w:rPr>
          <w:rFonts w:ascii="Times New Roman" w:hAnsi="Times New Roman" w:cs="Times New Roman"/>
          <w:sz w:val="24"/>
          <w:szCs w:val="24"/>
        </w:rPr>
        <w:t xml:space="preserve">gdy odpłatność wnoszona przez mieszkańca domu nie pokrywa w pełni średniego miesięcznego kosztu utrzymania w domu pomocy społecznej); </w:t>
      </w:r>
    </w:p>
    <w:p w14:paraId="2A323D7F" w14:textId="77777777" w:rsidR="00661C05" w:rsidRDefault="00661C05" w:rsidP="00224DCE">
      <w:pPr>
        <w:spacing w:after="0"/>
        <w:jc w:val="both"/>
        <w:rPr>
          <w:rFonts w:ascii="Times New Roman" w:hAnsi="Times New Roman" w:cs="Times New Roman"/>
          <w:sz w:val="24"/>
          <w:szCs w:val="24"/>
        </w:rPr>
      </w:pPr>
    </w:p>
    <w:p w14:paraId="646DEE47" w14:textId="77777777" w:rsidR="007E1A37" w:rsidRPr="007E1A37" w:rsidRDefault="007E1A37" w:rsidP="00224DCE">
      <w:pPr>
        <w:spacing w:after="0"/>
        <w:jc w:val="both"/>
        <w:rPr>
          <w:rFonts w:ascii="Times New Roman" w:hAnsi="Times New Roman" w:cs="Times New Roman"/>
          <w:sz w:val="24"/>
          <w:szCs w:val="24"/>
        </w:rPr>
      </w:pPr>
      <w:r w:rsidRPr="007E1A37">
        <w:rPr>
          <w:rFonts w:ascii="Times New Roman" w:hAnsi="Times New Roman" w:cs="Times New Roman"/>
          <w:sz w:val="24"/>
          <w:szCs w:val="24"/>
        </w:rPr>
        <w:t>Ustawa określa ustalanie odpłatności w przypadku dochodu wyższego niż 300% kryterium dochodowego osoby samotnie gospodarującej (czyli powyżej 2</w:t>
      </w:r>
      <w:r w:rsidR="00D051DE">
        <w:rPr>
          <w:rFonts w:ascii="Times New Roman" w:hAnsi="Times New Roman" w:cs="Times New Roman"/>
          <w:sz w:val="24"/>
          <w:szCs w:val="24"/>
        </w:rPr>
        <w:t xml:space="preserve"> </w:t>
      </w:r>
      <w:r w:rsidRPr="007E1A37">
        <w:rPr>
          <w:rFonts w:ascii="Times New Roman" w:hAnsi="Times New Roman" w:cs="Times New Roman"/>
          <w:sz w:val="24"/>
          <w:szCs w:val="24"/>
        </w:rPr>
        <w:t>103 zł) i wyższego niż 300% kryterium dochodowego na osobę w ro</w:t>
      </w:r>
      <w:r w:rsidR="00D051DE">
        <w:rPr>
          <w:rFonts w:ascii="Times New Roman" w:hAnsi="Times New Roman" w:cs="Times New Roman"/>
          <w:sz w:val="24"/>
          <w:szCs w:val="24"/>
        </w:rPr>
        <w:t xml:space="preserve">dzinie (czyli powyżej 1 584 zł). </w:t>
      </w:r>
      <w:r w:rsidRPr="007E1A37">
        <w:rPr>
          <w:rFonts w:ascii="Times New Roman" w:hAnsi="Times New Roman" w:cs="Times New Roman"/>
          <w:sz w:val="24"/>
          <w:szCs w:val="24"/>
        </w:rPr>
        <w:t xml:space="preserve">W sytuacji wniesienia odpłatności przez członków rodziny kwota dochodu pozostająca po wniesieniu opłaty </w:t>
      </w:r>
      <w:r w:rsidR="002C1314">
        <w:rPr>
          <w:rFonts w:ascii="Times New Roman" w:hAnsi="Times New Roman" w:cs="Times New Roman"/>
          <w:sz w:val="24"/>
          <w:szCs w:val="24"/>
        </w:rPr>
        <w:br/>
      </w:r>
      <w:r w:rsidRPr="007E1A37">
        <w:rPr>
          <w:rFonts w:ascii="Times New Roman" w:hAnsi="Times New Roman" w:cs="Times New Roman"/>
          <w:sz w:val="24"/>
          <w:szCs w:val="24"/>
        </w:rPr>
        <w:t xml:space="preserve">w przypadku osoby samotnie gospodarującej nie może być niższa niż 300% tego kryterium, </w:t>
      </w:r>
      <w:r w:rsidR="002C1314">
        <w:rPr>
          <w:rFonts w:ascii="Times New Roman" w:hAnsi="Times New Roman" w:cs="Times New Roman"/>
          <w:sz w:val="24"/>
          <w:szCs w:val="24"/>
        </w:rPr>
        <w:br/>
      </w:r>
      <w:r w:rsidRPr="007E1A37">
        <w:rPr>
          <w:rFonts w:ascii="Times New Roman" w:hAnsi="Times New Roman" w:cs="Times New Roman"/>
          <w:sz w:val="24"/>
          <w:szCs w:val="24"/>
        </w:rPr>
        <w:t>a w przypadku osoby w rodzinie nie może być niższa niż 300% kryterium dochodowego na osobę w rodzinie,</w:t>
      </w:r>
    </w:p>
    <w:p w14:paraId="685AFC06" w14:textId="77777777" w:rsidR="007E1A37" w:rsidRPr="007E1A37" w:rsidRDefault="007E1A37" w:rsidP="008C71A9">
      <w:pPr>
        <w:pStyle w:val="Akapitzlist"/>
        <w:numPr>
          <w:ilvl w:val="0"/>
          <w:numId w:val="226"/>
        </w:numPr>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 xml:space="preserve">trzecia w kolejności jest gmina, z której osoba została skierowana do domu pomocy społecznej – w wysokości różnicy między średnim kosztem utrzymania w domu pomocy społecznej </w:t>
      </w:r>
      <w:r w:rsidRPr="007E1A37">
        <w:rPr>
          <w:rFonts w:ascii="Times New Roman" w:hAnsi="Times New Roman" w:cs="Times New Roman"/>
          <w:sz w:val="24"/>
          <w:szCs w:val="24"/>
        </w:rPr>
        <w:br/>
        <w:t xml:space="preserve">a opłatami wnoszonymi przez osoby, o których mowa wyżej. </w:t>
      </w:r>
    </w:p>
    <w:p w14:paraId="0583510B" w14:textId="77777777" w:rsidR="00661C05" w:rsidRDefault="00661C05" w:rsidP="00224DCE">
      <w:pPr>
        <w:pStyle w:val="Tekstpodstawowy2"/>
        <w:spacing w:after="0" w:line="276" w:lineRule="auto"/>
        <w:ind w:left="0" w:right="0" w:firstLine="0"/>
        <w:rPr>
          <w:szCs w:val="24"/>
        </w:rPr>
      </w:pPr>
    </w:p>
    <w:p w14:paraId="2B53BF81" w14:textId="60D25772" w:rsidR="002C1314" w:rsidRDefault="007E1A37" w:rsidP="008841AF">
      <w:pPr>
        <w:pStyle w:val="Tekstpodstawowy2"/>
        <w:spacing w:after="0" w:line="276" w:lineRule="auto"/>
        <w:ind w:left="0" w:right="0" w:firstLine="0"/>
        <w:rPr>
          <w:szCs w:val="24"/>
        </w:rPr>
      </w:pPr>
      <w:r w:rsidRPr="007E1A37">
        <w:rPr>
          <w:szCs w:val="24"/>
        </w:rPr>
        <w:t xml:space="preserve">W przypadku mieszkańca domu odpłatność za pobyt w domu pomocy społecznej ustalana jest </w:t>
      </w:r>
      <w:r w:rsidR="002C1314">
        <w:rPr>
          <w:szCs w:val="24"/>
        </w:rPr>
        <w:br/>
      </w:r>
      <w:r w:rsidRPr="007E1A37">
        <w:rPr>
          <w:szCs w:val="24"/>
        </w:rPr>
        <w:t>w drodze decyzji administracyjnej. Odpłatność wnoszona przez rodzinę ustalana jest w drodze umowy. Jeżeli osoba zobowiązana nie wyrazi zgody na zawarcie takiej umowy, wysokość jej opłaty za pobyt mieszkańca domu w domu pomocy społecznej ustala w drodze decyzji organ gminy.</w:t>
      </w:r>
    </w:p>
    <w:p w14:paraId="46E6845D" w14:textId="77777777" w:rsidR="002C1314" w:rsidRDefault="002C1314" w:rsidP="00224DCE">
      <w:pPr>
        <w:spacing w:after="0"/>
        <w:jc w:val="both"/>
        <w:rPr>
          <w:rFonts w:ascii="Times New Roman" w:hAnsi="Times New Roman" w:cs="Times New Roman"/>
          <w:sz w:val="24"/>
          <w:szCs w:val="24"/>
        </w:rPr>
      </w:pPr>
    </w:p>
    <w:p w14:paraId="1470CF16" w14:textId="77777777" w:rsidR="007E1A37" w:rsidRPr="007E1A37" w:rsidRDefault="007E1A37" w:rsidP="00224DCE">
      <w:pPr>
        <w:spacing w:after="0"/>
        <w:jc w:val="both"/>
        <w:rPr>
          <w:rFonts w:ascii="Times New Roman" w:hAnsi="Times New Roman" w:cs="Times New Roman"/>
          <w:sz w:val="24"/>
          <w:szCs w:val="24"/>
        </w:rPr>
      </w:pPr>
      <w:r w:rsidRPr="007E1A37">
        <w:rPr>
          <w:rFonts w:ascii="Times New Roman" w:hAnsi="Times New Roman" w:cs="Times New Roman"/>
          <w:sz w:val="24"/>
          <w:szCs w:val="24"/>
        </w:rPr>
        <w:t>Domy pomocy społecznej mogą prowadzić, po uzyskaniu zezwolenia wojewody:</w:t>
      </w:r>
    </w:p>
    <w:p w14:paraId="46C536AA" w14:textId="77777777" w:rsidR="00D051DE" w:rsidRDefault="007E1A37" w:rsidP="008C71A9">
      <w:pPr>
        <w:pStyle w:val="Akapitzlist"/>
        <w:numPr>
          <w:ilvl w:val="0"/>
          <w:numId w:val="226"/>
        </w:numPr>
        <w:spacing w:after="0"/>
        <w:ind w:left="360"/>
        <w:jc w:val="both"/>
        <w:rPr>
          <w:rFonts w:ascii="Times New Roman" w:hAnsi="Times New Roman" w:cs="Times New Roman"/>
          <w:sz w:val="24"/>
          <w:szCs w:val="24"/>
        </w:rPr>
      </w:pPr>
      <w:r w:rsidRPr="00D051DE">
        <w:rPr>
          <w:rFonts w:ascii="Times New Roman" w:hAnsi="Times New Roman" w:cs="Times New Roman"/>
          <w:sz w:val="24"/>
          <w:szCs w:val="24"/>
        </w:rPr>
        <w:t>jednostki samorządu terytorialnego;</w:t>
      </w:r>
    </w:p>
    <w:p w14:paraId="16CEF007" w14:textId="77777777" w:rsidR="00D051DE" w:rsidRDefault="007E1A37" w:rsidP="008C71A9">
      <w:pPr>
        <w:pStyle w:val="Akapitzlist"/>
        <w:numPr>
          <w:ilvl w:val="0"/>
          <w:numId w:val="226"/>
        </w:numPr>
        <w:spacing w:after="0"/>
        <w:ind w:left="360"/>
        <w:jc w:val="both"/>
        <w:rPr>
          <w:rFonts w:ascii="Times New Roman" w:hAnsi="Times New Roman" w:cs="Times New Roman"/>
          <w:sz w:val="24"/>
          <w:szCs w:val="24"/>
        </w:rPr>
      </w:pPr>
      <w:r w:rsidRPr="00D051DE">
        <w:rPr>
          <w:rFonts w:ascii="Times New Roman" w:hAnsi="Times New Roman" w:cs="Times New Roman"/>
          <w:sz w:val="24"/>
          <w:szCs w:val="24"/>
        </w:rPr>
        <w:t>Kościół Katolicki, inne kościoły, związki wyznaniowe oraz organizacje   społeczne, fundacje i stowarzyszenia;</w:t>
      </w:r>
    </w:p>
    <w:p w14:paraId="1BDAEEF9" w14:textId="77777777" w:rsidR="00D051DE" w:rsidRDefault="007E1A37" w:rsidP="008C71A9">
      <w:pPr>
        <w:pStyle w:val="Akapitzlist"/>
        <w:numPr>
          <w:ilvl w:val="0"/>
          <w:numId w:val="226"/>
        </w:numPr>
        <w:spacing w:after="0"/>
        <w:ind w:left="360"/>
        <w:jc w:val="both"/>
        <w:rPr>
          <w:rFonts w:ascii="Times New Roman" w:hAnsi="Times New Roman" w:cs="Times New Roman"/>
          <w:sz w:val="24"/>
          <w:szCs w:val="24"/>
        </w:rPr>
      </w:pPr>
      <w:r w:rsidRPr="00D051DE">
        <w:rPr>
          <w:rFonts w:ascii="Times New Roman" w:hAnsi="Times New Roman" w:cs="Times New Roman"/>
          <w:sz w:val="24"/>
          <w:szCs w:val="24"/>
        </w:rPr>
        <w:t>inne osoby prawne;</w:t>
      </w:r>
    </w:p>
    <w:p w14:paraId="390E834D" w14:textId="77777777" w:rsidR="007E1A37" w:rsidRPr="00D051DE" w:rsidRDefault="007E1A37" w:rsidP="008C71A9">
      <w:pPr>
        <w:pStyle w:val="Akapitzlist"/>
        <w:numPr>
          <w:ilvl w:val="0"/>
          <w:numId w:val="226"/>
        </w:numPr>
        <w:spacing w:after="0"/>
        <w:ind w:left="360"/>
        <w:jc w:val="both"/>
        <w:rPr>
          <w:rFonts w:ascii="Times New Roman" w:hAnsi="Times New Roman" w:cs="Times New Roman"/>
          <w:sz w:val="24"/>
          <w:szCs w:val="24"/>
        </w:rPr>
      </w:pPr>
      <w:r w:rsidRPr="00D051DE">
        <w:rPr>
          <w:rFonts w:ascii="Times New Roman" w:hAnsi="Times New Roman" w:cs="Times New Roman"/>
          <w:sz w:val="24"/>
          <w:szCs w:val="24"/>
        </w:rPr>
        <w:t>osoby fizyczne.</w:t>
      </w:r>
    </w:p>
    <w:p w14:paraId="7CCFE754" w14:textId="77777777" w:rsidR="00661C05" w:rsidRDefault="00661C05" w:rsidP="00224DCE">
      <w:pPr>
        <w:spacing w:after="0"/>
        <w:jc w:val="both"/>
        <w:rPr>
          <w:rFonts w:ascii="Times New Roman" w:hAnsi="Times New Roman" w:cs="Times New Roman"/>
          <w:sz w:val="24"/>
          <w:szCs w:val="24"/>
        </w:rPr>
      </w:pPr>
    </w:p>
    <w:p w14:paraId="4EEA70DC" w14:textId="24E4DC6E" w:rsidR="007E1A37" w:rsidRPr="007E1A37" w:rsidRDefault="00D303D0" w:rsidP="00224DCE">
      <w:pPr>
        <w:spacing w:after="0"/>
        <w:jc w:val="both"/>
        <w:rPr>
          <w:rFonts w:ascii="Times New Roman" w:hAnsi="Times New Roman" w:cs="Times New Roman"/>
          <w:b/>
          <w:sz w:val="24"/>
          <w:szCs w:val="24"/>
        </w:rPr>
      </w:pPr>
      <w:r>
        <w:rPr>
          <w:rFonts w:ascii="Times New Roman" w:hAnsi="Times New Roman" w:cs="Times New Roman"/>
          <w:sz w:val="24"/>
          <w:szCs w:val="24"/>
        </w:rPr>
        <w:lastRenderedPageBreak/>
        <w:t>Na koniec 2019 r.</w:t>
      </w:r>
      <w:r w:rsidR="007E1A37" w:rsidRPr="007E1A37">
        <w:rPr>
          <w:rStyle w:val="Odwoanieprzypisudolnego"/>
          <w:rFonts w:ascii="Times New Roman" w:hAnsi="Times New Roman" w:cs="Times New Roman"/>
          <w:sz w:val="24"/>
          <w:szCs w:val="24"/>
        </w:rPr>
        <w:footnoteReference w:id="4"/>
      </w:r>
      <w:r w:rsidR="007E1A37" w:rsidRPr="007E1A37">
        <w:rPr>
          <w:rFonts w:ascii="Times New Roman" w:hAnsi="Times New Roman" w:cs="Times New Roman"/>
          <w:sz w:val="24"/>
          <w:szCs w:val="24"/>
        </w:rPr>
        <w:t xml:space="preserve"> na t</w:t>
      </w:r>
      <w:r w:rsidR="008841AF">
        <w:rPr>
          <w:rFonts w:ascii="Times New Roman" w:hAnsi="Times New Roman" w:cs="Times New Roman"/>
          <w:sz w:val="24"/>
          <w:szCs w:val="24"/>
        </w:rPr>
        <w:t xml:space="preserve">erenie kraju funkcjonowały 823 </w:t>
      </w:r>
      <w:r w:rsidR="007E1A37" w:rsidRPr="007E1A37">
        <w:rPr>
          <w:rFonts w:ascii="Times New Roman" w:hAnsi="Times New Roman" w:cs="Times New Roman"/>
          <w:sz w:val="24"/>
          <w:szCs w:val="24"/>
        </w:rPr>
        <w:t>gminne i ponadgminne domy pomocy społecznej na ogólną liczbę miejsc 81 004, w których liczba mieszkańców wynosiła 79 766 osób, przy czym w domach pomocy społecznej, w których przebywają osoby starsze kształtowała się następująco:</w:t>
      </w:r>
    </w:p>
    <w:p w14:paraId="12F87EC4" w14:textId="77777777" w:rsidR="007E1A37" w:rsidRPr="00D303D0" w:rsidRDefault="007E1A37" w:rsidP="008C71A9">
      <w:pPr>
        <w:pStyle w:val="Akapitzlist"/>
        <w:numPr>
          <w:ilvl w:val="0"/>
          <w:numId w:val="290"/>
        </w:numPr>
        <w:spacing w:after="0"/>
        <w:jc w:val="both"/>
        <w:rPr>
          <w:rFonts w:ascii="Times New Roman" w:hAnsi="Times New Roman" w:cs="Times New Roman"/>
          <w:sz w:val="24"/>
          <w:szCs w:val="24"/>
        </w:rPr>
      </w:pPr>
      <w:r w:rsidRPr="00D303D0">
        <w:rPr>
          <w:rFonts w:ascii="Times New Roman" w:hAnsi="Times New Roman" w:cs="Times New Roman"/>
          <w:sz w:val="24"/>
          <w:szCs w:val="24"/>
        </w:rPr>
        <w:t>dla osób w podeszłym wieku liczba mieszkańców wynosiła 6 686 na 6 957 miejsc,</w:t>
      </w:r>
    </w:p>
    <w:p w14:paraId="6223ECAF" w14:textId="77777777" w:rsidR="007E1A37" w:rsidRPr="00D303D0" w:rsidRDefault="007E1A37" w:rsidP="008C71A9">
      <w:pPr>
        <w:pStyle w:val="Akapitzlist"/>
        <w:numPr>
          <w:ilvl w:val="0"/>
          <w:numId w:val="290"/>
        </w:numPr>
        <w:spacing w:after="0"/>
        <w:jc w:val="both"/>
        <w:rPr>
          <w:rFonts w:ascii="Times New Roman" w:hAnsi="Times New Roman" w:cs="Times New Roman"/>
          <w:sz w:val="24"/>
          <w:szCs w:val="24"/>
        </w:rPr>
      </w:pPr>
      <w:r w:rsidRPr="00D303D0">
        <w:rPr>
          <w:rFonts w:ascii="Times New Roman" w:hAnsi="Times New Roman" w:cs="Times New Roman"/>
          <w:sz w:val="24"/>
          <w:szCs w:val="24"/>
        </w:rPr>
        <w:t>dla osób przewlekle somatycznie chorych liczba mieszkańców wynosiła 13 734 na 13 917 miejsc,</w:t>
      </w:r>
    </w:p>
    <w:p w14:paraId="173BDA5B" w14:textId="77777777" w:rsidR="007E1A37" w:rsidRPr="00D303D0" w:rsidRDefault="007E1A37" w:rsidP="008C71A9">
      <w:pPr>
        <w:pStyle w:val="Akapitzlist"/>
        <w:numPr>
          <w:ilvl w:val="0"/>
          <w:numId w:val="290"/>
        </w:numPr>
        <w:spacing w:after="0"/>
        <w:jc w:val="both"/>
        <w:rPr>
          <w:rFonts w:ascii="Times New Roman" w:hAnsi="Times New Roman" w:cs="Times New Roman"/>
          <w:sz w:val="24"/>
          <w:szCs w:val="24"/>
        </w:rPr>
      </w:pPr>
      <w:r w:rsidRPr="00D303D0">
        <w:rPr>
          <w:rFonts w:ascii="Times New Roman" w:hAnsi="Times New Roman" w:cs="Times New Roman"/>
          <w:sz w:val="24"/>
          <w:szCs w:val="24"/>
        </w:rPr>
        <w:t>dla osób w podeszłym wieku i dla osób przewlekle somatycznie chorych (typ łączony) liczba mieszkańców wynosiła 9 594 na 9 783 miejsca,</w:t>
      </w:r>
    </w:p>
    <w:p w14:paraId="6E34944C" w14:textId="77777777" w:rsidR="007E1A37" w:rsidRPr="00D303D0" w:rsidRDefault="007E1A37" w:rsidP="008C71A9">
      <w:pPr>
        <w:pStyle w:val="Akapitzlist"/>
        <w:numPr>
          <w:ilvl w:val="0"/>
          <w:numId w:val="290"/>
        </w:numPr>
        <w:spacing w:after="0"/>
        <w:jc w:val="both"/>
        <w:rPr>
          <w:rFonts w:ascii="Times New Roman" w:hAnsi="Times New Roman" w:cs="Times New Roman"/>
          <w:sz w:val="24"/>
          <w:szCs w:val="24"/>
        </w:rPr>
      </w:pPr>
      <w:r w:rsidRPr="00D303D0">
        <w:rPr>
          <w:rFonts w:ascii="Times New Roman" w:hAnsi="Times New Roman" w:cs="Times New Roman"/>
          <w:sz w:val="24"/>
          <w:szCs w:val="24"/>
        </w:rPr>
        <w:t xml:space="preserve">dla osób w podeszłym wieku i osób niepełnosprawnych fizycznie (typ łączony) liczba mieszkańców wynosiła  1 686 na 1 754 miejsca. </w:t>
      </w:r>
    </w:p>
    <w:p w14:paraId="722A0D22" w14:textId="77777777" w:rsidR="00661C05" w:rsidRDefault="00661C05" w:rsidP="00224DCE">
      <w:pPr>
        <w:spacing w:after="0"/>
        <w:jc w:val="both"/>
        <w:rPr>
          <w:rFonts w:ascii="Times New Roman" w:hAnsi="Times New Roman" w:cs="Times New Roman"/>
          <w:sz w:val="24"/>
          <w:szCs w:val="24"/>
        </w:rPr>
      </w:pPr>
    </w:p>
    <w:p w14:paraId="5246D659" w14:textId="77777777" w:rsidR="007E1A37" w:rsidRPr="007E1A37" w:rsidRDefault="007E1A37" w:rsidP="00224DCE">
      <w:pPr>
        <w:spacing w:after="0"/>
        <w:jc w:val="both"/>
        <w:rPr>
          <w:rFonts w:ascii="Times New Roman" w:hAnsi="Times New Roman" w:cs="Times New Roman"/>
          <w:sz w:val="24"/>
          <w:szCs w:val="24"/>
        </w:rPr>
      </w:pPr>
      <w:r w:rsidRPr="007E1A37">
        <w:rPr>
          <w:rFonts w:ascii="Times New Roman" w:hAnsi="Times New Roman" w:cs="Times New Roman"/>
          <w:sz w:val="24"/>
          <w:szCs w:val="24"/>
        </w:rPr>
        <w:t>Prowadzenie domów pomocy społecznej jest zadaniem własnym jednostek samorządu gminnego i powiatowego, jednakże rokrocznie budżet państwa wspiera samorząd, przekazując środki z rezerwy celowej będącej w dyspozycji Ministra Rodziny, Pracy i Polityki Społecznej.</w:t>
      </w:r>
    </w:p>
    <w:p w14:paraId="0299FE0F" w14:textId="77777777" w:rsidR="007E1A37" w:rsidRPr="007E1A37" w:rsidRDefault="007E1A37" w:rsidP="00224DCE">
      <w:pPr>
        <w:autoSpaceDE w:val="0"/>
        <w:autoSpaceDN w:val="0"/>
        <w:adjustRightInd w:val="0"/>
        <w:spacing w:after="0"/>
        <w:jc w:val="both"/>
        <w:rPr>
          <w:rFonts w:ascii="Times New Roman" w:hAnsi="Times New Roman" w:cs="Times New Roman"/>
          <w:sz w:val="24"/>
          <w:szCs w:val="24"/>
        </w:rPr>
      </w:pPr>
      <w:r w:rsidRPr="007E1A37">
        <w:rPr>
          <w:rFonts w:ascii="Times New Roman" w:hAnsi="Times New Roman" w:cs="Times New Roman"/>
          <w:bCs/>
          <w:sz w:val="24"/>
          <w:szCs w:val="24"/>
        </w:rPr>
        <w:t>W 2019</w:t>
      </w:r>
      <w:r w:rsidR="00380914">
        <w:rPr>
          <w:rFonts w:ascii="Times New Roman" w:hAnsi="Times New Roman" w:cs="Times New Roman"/>
          <w:bCs/>
          <w:sz w:val="24"/>
          <w:szCs w:val="24"/>
        </w:rPr>
        <w:t xml:space="preserve"> r.</w:t>
      </w:r>
      <w:r w:rsidRPr="007E1A37">
        <w:rPr>
          <w:rFonts w:ascii="Times New Roman" w:hAnsi="Times New Roman" w:cs="Times New Roman"/>
          <w:sz w:val="24"/>
          <w:szCs w:val="24"/>
        </w:rPr>
        <w:t xml:space="preserve"> przekazano na ten cel  83 340 605 zł, z czego:</w:t>
      </w:r>
    </w:p>
    <w:p w14:paraId="68B4443D" w14:textId="77777777" w:rsidR="007E1A37" w:rsidRPr="007E1A37" w:rsidRDefault="007E1A37" w:rsidP="008C71A9">
      <w:pPr>
        <w:pStyle w:val="Akapitzlist"/>
        <w:numPr>
          <w:ilvl w:val="0"/>
          <w:numId w:val="291"/>
        </w:numPr>
        <w:autoSpaceDE w:val="0"/>
        <w:autoSpaceDN w:val="0"/>
        <w:adjustRightInd w:val="0"/>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na dofinansowanie bieżącej działalności dps na mieszkańców na tzw. „starych zasadach” - 32 914 493 zł,</w:t>
      </w:r>
    </w:p>
    <w:p w14:paraId="66AABA3E" w14:textId="77777777" w:rsidR="007E1A37" w:rsidRPr="007E1A37" w:rsidRDefault="007E1A37" w:rsidP="008C71A9">
      <w:pPr>
        <w:pStyle w:val="Akapitzlist"/>
        <w:numPr>
          <w:ilvl w:val="0"/>
          <w:numId w:val="291"/>
        </w:numPr>
        <w:autoSpaceDE w:val="0"/>
        <w:autoSpaceDN w:val="0"/>
        <w:adjustRightInd w:val="0"/>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 xml:space="preserve">na dofinansowanie realizacji zadań własnych powiatu (działania bieżące 28 985 795 zł </w:t>
      </w:r>
      <w:r w:rsidRPr="007E1A37">
        <w:rPr>
          <w:rFonts w:ascii="Times New Roman" w:hAnsi="Times New Roman" w:cs="Times New Roman"/>
          <w:sz w:val="24"/>
          <w:szCs w:val="24"/>
        </w:rPr>
        <w:br/>
        <w:t>i inwestycyjne - 21 440 317 zł) - 50 426 112 zł.</w:t>
      </w:r>
    </w:p>
    <w:p w14:paraId="3EB7C473" w14:textId="77777777" w:rsidR="007E1A37" w:rsidRPr="007E1A37" w:rsidRDefault="007E1A37" w:rsidP="00224DCE">
      <w:pPr>
        <w:spacing w:after="0"/>
        <w:jc w:val="both"/>
        <w:rPr>
          <w:rFonts w:ascii="Times New Roman" w:hAnsi="Times New Roman" w:cs="Times New Roman"/>
          <w:sz w:val="24"/>
          <w:szCs w:val="24"/>
        </w:rPr>
      </w:pPr>
      <w:r w:rsidRPr="007E1A37">
        <w:rPr>
          <w:rFonts w:ascii="Times New Roman" w:hAnsi="Times New Roman" w:cs="Times New Roman"/>
          <w:sz w:val="24"/>
          <w:szCs w:val="24"/>
        </w:rPr>
        <w:t xml:space="preserve"> </w:t>
      </w:r>
    </w:p>
    <w:p w14:paraId="2AF84725" w14:textId="77777777" w:rsidR="007E1A37" w:rsidRPr="00380914" w:rsidRDefault="007E1A37" w:rsidP="00224DCE">
      <w:pPr>
        <w:spacing w:after="0"/>
        <w:jc w:val="both"/>
        <w:rPr>
          <w:rFonts w:ascii="Times New Roman" w:hAnsi="Times New Roman" w:cs="Times New Roman"/>
          <w:b/>
          <w:color w:val="00B0F0"/>
          <w:sz w:val="24"/>
          <w:szCs w:val="24"/>
        </w:rPr>
      </w:pPr>
      <w:r w:rsidRPr="00380914">
        <w:rPr>
          <w:rFonts w:ascii="Times New Roman" w:hAnsi="Times New Roman" w:cs="Times New Roman"/>
          <w:b/>
          <w:color w:val="00B0F0"/>
          <w:sz w:val="24"/>
          <w:szCs w:val="24"/>
        </w:rPr>
        <w:t>Całodobowe usługi świadczone w placówkach zapewniających całodobową opiekę osobom niepełnosprawnym, przewlekle chorym lub osobom w podeszłym wieku prowadzonych w ramach działalnoś</w:t>
      </w:r>
      <w:r w:rsidR="00380914">
        <w:rPr>
          <w:rFonts w:ascii="Times New Roman" w:hAnsi="Times New Roman" w:cs="Times New Roman"/>
          <w:b/>
          <w:color w:val="00B0F0"/>
          <w:sz w:val="24"/>
          <w:szCs w:val="24"/>
        </w:rPr>
        <w:t>ci gospodarczej lub statutowej</w:t>
      </w:r>
    </w:p>
    <w:p w14:paraId="11CE2857" w14:textId="77777777" w:rsidR="007E1A37" w:rsidRPr="007E1A37" w:rsidRDefault="007E1A37" w:rsidP="00224DCE">
      <w:pPr>
        <w:spacing w:after="0"/>
        <w:jc w:val="both"/>
        <w:rPr>
          <w:rFonts w:ascii="Times New Roman" w:hAnsi="Times New Roman" w:cs="Times New Roman"/>
          <w:b/>
          <w:sz w:val="24"/>
          <w:szCs w:val="24"/>
        </w:rPr>
      </w:pPr>
      <w:r w:rsidRPr="007E1A37">
        <w:rPr>
          <w:rFonts w:ascii="Times New Roman" w:hAnsi="Times New Roman" w:cs="Times New Roman"/>
          <w:sz w:val="24"/>
          <w:szCs w:val="24"/>
        </w:rPr>
        <w:t xml:space="preserve">Zgodnie z przepisami </w:t>
      </w:r>
      <w:r w:rsidRPr="00380914">
        <w:rPr>
          <w:rFonts w:ascii="Times New Roman" w:hAnsi="Times New Roman" w:cs="Times New Roman"/>
          <w:i/>
          <w:sz w:val="24"/>
          <w:szCs w:val="24"/>
        </w:rPr>
        <w:t xml:space="preserve">ustawy z dnia 12 marca 2004 r. o pomocy społecznej </w:t>
      </w:r>
      <w:r w:rsidRPr="007E1A37">
        <w:rPr>
          <w:rFonts w:ascii="Times New Roman" w:hAnsi="Times New Roman" w:cs="Times New Roman"/>
          <w:sz w:val="24"/>
          <w:szCs w:val="24"/>
        </w:rPr>
        <w:t xml:space="preserve">działalność gospodarcza w zakresie prowadzenia placówki zapewniającej całodobową opiekę osobom niepełnosprawnym, przewlekle chorym lub osobom w podeszłym wieku może być prowadzona po uzyskaniu zezwolenia wojewody. Wymóg uzyskana zezwolenia dotyczy też placówek prowadzonych w ramach działalności statutowej przez Kościół Katolicki, inne kościoły, związki wyznaniowe oraz organizacje społeczne, fundacje i stowarzyszenia. </w:t>
      </w:r>
    </w:p>
    <w:p w14:paraId="2CEE598A" w14:textId="77777777" w:rsidR="007E1A37" w:rsidRPr="007E1A37" w:rsidRDefault="007E1A37" w:rsidP="00224DCE">
      <w:pPr>
        <w:spacing w:after="0"/>
        <w:jc w:val="both"/>
        <w:rPr>
          <w:rFonts w:ascii="Times New Roman" w:hAnsi="Times New Roman" w:cs="Times New Roman"/>
          <w:b/>
          <w:sz w:val="24"/>
          <w:szCs w:val="24"/>
        </w:rPr>
      </w:pPr>
      <w:r w:rsidRPr="007E1A37">
        <w:rPr>
          <w:rFonts w:ascii="Times New Roman" w:hAnsi="Times New Roman" w:cs="Times New Roman"/>
          <w:sz w:val="24"/>
          <w:szCs w:val="24"/>
        </w:rPr>
        <w:t>Opieka w placówce zapewniającej całodobową opiekę osobom niepełnosprawnym, przewlekle chorym lub osobom w podeszłym wieku polega na świadczeniu przez całą dobę usług:</w:t>
      </w:r>
    </w:p>
    <w:p w14:paraId="4EEDC4FF" w14:textId="77777777" w:rsidR="007E1A37" w:rsidRPr="00380914" w:rsidRDefault="007E1A37" w:rsidP="008C71A9">
      <w:pPr>
        <w:pStyle w:val="Akapitzlist"/>
        <w:numPr>
          <w:ilvl w:val="0"/>
          <w:numId w:val="292"/>
        </w:numPr>
        <w:spacing w:after="0"/>
        <w:ind w:left="360"/>
        <w:jc w:val="both"/>
        <w:rPr>
          <w:rFonts w:ascii="Times New Roman" w:hAnsi="Times New Roman" w:cs="Times New Roman"/>
          <w:sz w:val="24"/>
          <w:szCs w:val="24"/>
        </w:rPr>
      </w:pPr>
      <w:r w:rsidRPr="00380914">
        <w:rPr>
          <w:rFonts w:ascii="Times New Roman" w:hAnsi="Times New Roman" w:cs="Times New Roman"/>
          <w:sz w:val="24"/>
          <w:szCs w:val="24"/>
        </w:rPr>
        <w:t>opiekuńczych zapewniających:</w:t>
      </w:r>
    </w:p>
    <w:p w14:paraId="12AB3784" w14:textId="77777777" w:rsidR="007E1A37" w:rsidRPr="00380914" w:rsidRDefault="007E1A37" w:rsidP="008C71A9">
      <w:pPr>
        <w:pStyle w:val="Akapitzlist"/>
        <w:numPr>
          <w:ilvl w:val="0"/>
          <w:numId w:val="293"/>
        </w:numPr>
        <w:spacing w:after="0"/>
        <w:ind w:left="643"/>
        <w:jc w:val="both"/>
        <w:rPr>
          <w:rFonts w:ascii="Times New Roman" w:hAnsi="Times New Roman" w:cs="Times New Roman"/>
          <w:sz w:val="24"/>
          <w:szCs w:val="24"/>
        </w:rPr>
      </w:pPr>
      <w:r w:rsidRPr="00380914">
        <w:rPr>
          <w:rFonts w:ascii="Times New Roman" w:hAnsi="Times New Roman" w:cs="Times New Roman"/>
          <w:sz w:val="24"/>
          <w:szCs w:val="24"/>
        </w:rPr>
        <w:t>udzielanie pomocy w podstawowych czynnościach życiowych,</w:t>
      </w:r>
    </w:p>
    <w:p w14:paraId="4D7D845D" w14:textId="77777777" w:rsidR="007E1A37" w:rsidRPr="00380914" w:rsidRDefault="007E1A37" w:rsidP="008C71A9">
      <w:pPr>
        <w:pStyle w:val="Akapitzlist"/>
        <w:numPr>
          <w:ilvl w:val="0"/>
          <w:numId w:val="293"/>
        </w:numPr>
        <w:spacing w:after="0"/>
        <w:ind w:left="643"/>
        <w:jc w:val="both"/>
        <w:rPr>
          <w:rFonts w:ascii="Times New Roman" w:hAnsi="Times New Roman" w:cs="Times New Roman"/>
          <w:sz w:val="24"/>
          <w:szCs w:val="24"/>
        </w:rPr>
      </w:pPr>
      <w:r w:rsidRPr="00380914">
        <w:rPr>
          <w:rFonts w:ascii="Times New Roman" w:hAnsi="Times New Roman" w:cs="Times New Roman"/>
          <w:sz w:val="24"/>
          <w:szCs w:val="24"/>
        </w:rPr>
        <w:t>pielęgnację, w tym pielęgnację w czasie choroby,</w:t>
      </w:r>
    </w:p>
    <w:p w14:paraId="634BD394" w14:textId="77777777" w:rsidR="007E1A37" w:rsidRPr="00380914" w:rsidRDefault="007E1A37" w:rsidP="008C71A9">
      <w:pPr>
        <w:pStyle w:val="Akapitzlist"/>
        <w:numPr>
          <w:ilvl w:val="0"/>
          <w:numId w:val="293"/>
        </w:numPr>
        <w:spacing w:after="0"/>
        <w:ind w:left="643"/>
        <w:jc w:val="both"/>
        <w:rPr>
          <w:rFonts w:ascii="Times New Roman" w:hAnsi="Times New Roman" w:cs="Times New Roman"/>
          <w:sz w:val="24"/>
          <w:szCs w:val="24"/>
        </w:rPr>
      </w:pPr>
      <w:r w:rsidRPr="00380914">
        <w:rPr>
          <w:rFonts w:ascii="Times New Roman" w:hAnsi="Times New Roman" w:cs="Times New Roman"/>
          <w:sz w:val="24"/>
          <w:szCs w:val="24"/>
        </w:rPr>
        <w:t>opiekę higieniczną,</w:t>
      </w:r>
    </w:p>
    <w:p w14:paraId="6F00AEE7" w14:textId="77777777" w:rsidR="007E1A37" w:rsidRPr="00380914" w:rsidRDefault="007E1A37" w:rsidP="008C71A9">
      <w:pPr>
        <w:pStyle w:val="Akapitzlist"/>
        <w:numPr>
          <w:ilvl w:val="0"/>
          <w:numId w:val="293"/>
        </w:numPr>
        <w:spacing w:after="0"/>
        <w:ind w:left="643"/>
        <w:jc w:val="both"/>
        <w:rPr>
          <w:rFonts w:ascii="Times New Roman" w:hAnsi="Times New Roman" w:cs="Times New Roman"/>
          <w:sz w:val="24"/>
          <w:szCs w:val="24"/>
        </w:rPr>
      </w:pPr>
      <w:r w:rsidRPr="00380914">
        <w:rPr>
          <w:rFonts w:ascii="Times New Roman" w:hAnsi="Times New Roman" w:cs="Times New Roman"/>
          <w:sz w:val="24"/>
          <w:szCs w:val="24"/>
        </w:rPr>
        <w:t>niezbędną pomoc w załatwianiu spraw osobistych,</w:t>
      </w:r>
    </w:p>
    <w:p w14:paraId="0842C178" w14:textId="77777777" w:rsidR="00380914" w:rsidRDefault="007E1A37" w:rsidP="008C71A9">
      <w:pPr>
        <w:pStyle w:val="Akapitzlist"/>
        <w:numPr>
          <w:ilvl w:val="0"/>
          <w:numId w:val="293"/>
        </w:numPr>
        <w:spacing w:after="0"/>
        <w:ind w:left="643"/>
        <w:jc w:val="both"/>
        <w:rPr>
          <w:rFonts w:ascii="Times New Roman" w:hAnsi="Times New Roman" w:cs="Times New Roman"/>
          <w:sz w:val="24"/>
          <w:szCs w:val="24"/>
        </w:rPr>
      </w:pPr>
      <w:r w:rsidRPr="00380914">
        <w:rPr>
          <w:rFonts w:ascii="Times New Roman" w:hAnsi="Times New Roman" w:cs="Times New Roman"/>
          <w:sz w:val="24"/>
          <w:szCs w:val="24"/>
        </w:rPr>
        <w:t>kontakty z otoczeniem;</w:t>
      </w:r>
    </w:p>
    <w:p w14:paraId="0404BB4A" w14:textId="77777777" w:rsidR="007E1A37" w:rsidRPr="00380914" w:rsidRDefault="007E1A37" w:rsidP="008C71A9">
      <w:pPr>
        <w:pStyle w:val="Akapitzlist"/>
        <w:numPr>
          <w:ilvl w:val="0"/>
          <w:numId w:val="292"/>
        </w:numPr>
        <w:spacing w:after="0"/>
        <w:ind w:left="360"/>
        <w:jc w:val="both"/>
        <w:rPr>
          <w:rFonts w:ascii="Times New Roman" w:hAnsi="Times New Roman" w:cs="Times New Roman"/>
          <w:sz w:val="24"/>
          <w:szCs w:val="24"/>
        </w:rPr>
      </w:pPr>
      <w:r w:rsidRPr="00380914">
        <w:rPr>
          <w:rFonts w:ascii="Times New Roman" w:hAnsi="Times New Roman" w:cs="Times New Roman"/>
          <w:sz w:val="24"/>
          <w:szCs w:val="24"/>
        </w:rPr>
        <w:t>bytowych zapewniających:</w:t>
      </w:r>
    </w:p>
    <w:p w14:paraId="4491BD2E" w14:textId="77777777" w:rsidR="007E1A37" w:rsidRPr="00380914" w:rsidRDefault="007E1A37" w:rsidP="008C71A9">
      <w:pPr>
        <w:pStyle w:val="Akapitzlist"/>
        <w:numPr>
          <w:ilvl w:val="0"/>
          <w:numId w:val="294"/>
        </w:numPr>
        <w:spacing w:after="0"/>
        <w:ind w:left="643"/>
        <w:jc w:val="both"/>
        <w:rPr>
          <w:rFonts w:ascii="Times New Roman" w:hAnsi="Times New Roman" w:cs="Times New Roman"/>
          <w:sz w:val="24"/>
          <w:szCs w:val="24"/>
        </w:rPr>
      </w:pPr>
      <w:r w:rsidRPr="00380914">
        <w:rPr>
          <w:rFonts w:ascii="Times New Roman" w:hAnsi="Times New Roman" w:cs="Times New Roman"/>
          <w:sz w:val="24"/>
          <w:szCs w:val="24"/>
        </w:rPr>
        <w:t>miejsce pobytu,</w:t>
      </w:r>
    </w:p>
    <w:p w14:paraId="26136980" w14:textId="77777777" w:rsidR="007E1A37" w:rsidRPr="00380914" w:rsidRDefault="007E1A37" w:rsidP="008C71A9">
      <w:pPr>
        <w:pStyle w:val="Akapitzlist"/>
        <w:numPr>
          <w:ilvl w:val="0"/>
          <w:numId w:val="294"/>
        </w:numPr>
        <w:spacing w:after="0"/>
        <w:ind w:left="643"/>
        <w:jc w:val="both"/>
        <w:rPr>
          <w:rFonts w:ascii="Times New Roman" w:hAnsi="Times New Roman" w:cs="Times New Roman"/>
          <w:sz w:val="24"/>
          <w:szCs w:val="24"/>
        </w:rPr>
      </w:pPr>
      <w:r w:rsidRPr="00380914">
        <w:rPr>
          <w:rFonts w:ascii="Times New Roman" w:hAnsi="Times New Roman" w:cs="Times New Roman"/>
          <w:sz w:val="24"/>
          <w:szCs w:val="24"/>
        </w:rPr>
        <w:t>wyżywienie,</w:t>
      </w:r>
    </w:p>
    <w:p w14:paraId="51C31A88" w14:textId="77777777" w:rsidR="007E1A37" w:rsidRPr="00380914" w:rsidRDefault="007E1A37" w:rsidP="008C71A9">
      <w:pPr>
        <w:pStyle w:val="Akapitzlist"/>
        <w:numPr>
          <w:ilvl w:val="0"/>
          <w:numId w:val="294"/>
        </w:numPr>
        <w:spacing w:after="0"/>
        <w:ind w:left="643"/>
        <w:jc w:val="both"/>
        <w:rPr>
          <w:rFonts w:ascii="Times New Roman" w:hAnsi="Times New Roman" w:cs="Times New Roman"/>
          <w:sz w:val="24"/>
          <w:szCs w:val="24"/>
        </w:rPr>
      </w:pPr>
      <w:r w:rsidRPr="00380914">
        <w:rPr>
          <w:rFonts w:ascii="Times New Roman" w:hAnsi="Times New Roman" w:cs="Times New Roman"/>
          <w:sz w:val="24"/>
          <w:szCs w:val="24"/>
        </w:rPr>
        <w:t>utrzymanie czystości.</w:t>
      </w:r>
    </w:p>
    <w:p w14:paraId="44DDB4BD" w14:textId="77777777" w:rsidR="00661C05" w:rsidRDefault="00661C05" w:rsidP="00224DCE">
      <w:pPr>
        <w:spacing w:after="0"/>
        <w:jc w:val="both"/>
        <w:rPr>
          <w:rFonts w:ascii="Times New Roman" w:hAnsi="Times New Roman" w:cs="Times New Roman"/>
          <w:sz w:val="24"/>
          <w:szCs w:val="24"/>
        </w:rPr>
      </w:pPr>
    </w:p>
    <w:p w14:paraId="086B8EA1" w14:textId="0BA82D6D" w:rsidR="007E1A37" w:rsidRDefault="007E1A37" w:rsidP="00224DCE">
      <w:pPr>
        <w:spacing w:after="0"/>
        <w:jc w:val="both"/>
        <w:rPr>
          <w:rFonts w:ascii="Times New Roman" w:hAnsi="Times New Roman" w:cs="Times New Roman"/>
          <w:sz w:val="24"/>
          <w:szCs w:val="24"/>
        </w:rPr>
      </w:pPr>
      <w:r w:rsidRPr="007E1A37">
        <w:rPr>
          <w:rFonts w:ascii="Times New Roman" w:hAnsi="Times New Roman" w:cs="Times New Roman"/>
          <w:sz w:val="24"/>
          <w:szCs w:val="24"/>
        </w:rPr>
        <w:t>Sposób świadczenia usług powinien uwzględniać st</w:t>
      </w:r>
      <w:r w:rsidR="00380914">
        <w:rPr>
          <w:rFonts w:ascii="Times New Roman" w:hAnsi="Times New Roman" w:cs="Times New Roman"/>
          <w:sz w:val="24"/>
          <w:szCs w:val="24"/>
        </w:rPr>
        <w:t xml:space="preserve">an zdrowia, sprawność fizyczną </w:t>
      </w:r>
      <w:r w:rsidRPr="007E1A37">
        <w:rPr>
          <w:rFonts w:ascii="Times New Roman" w:hAnsi="Times New Roman" w:cs="Times New Roman"/>
          <w:sz w:val="24"/>
          <w:szCs w:val="24"/>
        </w:rPr>
        <w:t>i intelektualną oraz indywidualne potrzeby i możliwości o</w:t>
      </w:r>
      <w:r w:rsidR="00380914">
        <w:rPr>
          <w:rFonts w:ascii="Times New Roman" w:hAnsi="Times New Roman" w:cs="Times New Roman"/>
          <w:sz w:val="24"/>
          <w:szCs w:val="24"/>
        </w:rPr>
        <w:t xml:space="preserve">soby przebywającej w placówce, </w:t>
      </w:r>
      <w:r w:rsidRPr="007E1A37">
        <w:rPr>
          <w:rFonts w:ascii="Times New Roman" w:hAnsi="Times New Roman" w:cs="Times New Roman"/>
          <w:sz w:val="24"/>
          <w:szCs w:val="24"/>
        </w:rPr>
        <w:t xml:space="preserve">a także prawa człowieka, w tym w szczególności prawo do </w:t>
      </w:r>
      <w:r w:rsidR="00380914">
        <w:rPr>
          <w:rFonts w:ascii="Times New Roman" w:hAnsi="Times New Roman" w:cs="Times New Roman"/>
          <w:sz w:val="24"/>
          <w:szCs w:val="24"/>
        </w:rPr>
        <w:t xml:space="preserve">godności, wolności, intymności </w:t>
      </w:r>
      <w:r w:rsidRPr="007E1A37">
        <w:rPr>
          <w:rFonts w:ascii="Times New Roman" w:hAnsi="Times New Roman" w:cs="Times New Roman"/>
          <w:sz w:val="24"/>
          <w:szCs w:val="24"/>
        </w:rPr>
        <w:t>i poczucia bezpieczeństwa. Umieszczenie osoby w tego typu placówce odbywa się na podstawie umowy cywilno-prawnej i nie w</w:t>
      </w:r>
      <w:r w:rsidR="00380914">
        <w:rPr>
          <w:rFonts w:ascii="Times New Roman" w:hAnsi="Times New Roman" w:cs="Times New Roman"/>
          <w:sz w:val="24"/>
          <w:szCs w:val="24"/>
        </w:rPr>
        <w:t>ymaga decyzji administracyjnej. Według stanu na koniec 2019 r.</w:t>
      </w:r>
      <w:r w:rsidRPr="007E1A37">
        <w:rPr>
          <w:rStyle w:val="Odwoanieprzypisudolnego"/>
          <w:rFonts w:ascii="Times New Roman" w:hAnsi="Times New Roman" w:cs="Times New Roman"/>
          <w:sz w:val="24"/>
          <w:szCs w:val="24"/>
        </w:rPr>
        <w:footnoteReference w:id="5"/>
      </w:r>
      <w:r w:rsidRPr="007E1A37">
        <w:rPr>
          <w:rFonts w:ascii="Times New Roman" w:hAnsi="Times New Roman" w:cs="Times New Roman"/>
          <w:sz w:val="24"/>
          <w:szCs w:val="24"/>
        </w:rPr>
        <w:t xml:space="preserve"> w Polsce funkcjonowały 623 placówki całodobowej opieki na 23 221 miejsc i przebywało w nich 18 805 mieszkańców.</w:t>
      </w:r>
    </w:p>
    <w:p w14:paraId="4DE36CDD" w14:textId="77777777" w:rsidR="0061047D" w:rsidRPr="007E1A37" w:rsidRDefault="0061047D" w:rsidP="00224DCE">
      <w:pPr>
        <w:spacing w:after="0"/>
        <w:jc w:val="both"/>
        <w:rPr>
          <w:rFonts w:ascii="Times New Roman" w:hAnsi="Times New Roman" w:cs="Times New Roman"/>
          <w:sz w:val="24"/>
          <w:szCs w:val="24"/>
        </w:rPr>
      </w:pPr>
    </w:p>
    <w:p w14:paraId="3FDEA305" w14:textId="443195B3" w:rsidR="0061047D" w:rsidRPr="00342041" w:rsidRDefault="0061047D" w:rsidP="0061047D">
      <w:pPr>
        <w:pStyle w:val="Legenda"/>
        <w:keepNext/>
        <w:rPr>
          <w:rFonts w:ascii="Times New Roman" w:hAnsi="Times New Roman" w:cs="Times New Roman"/>
          <w:b/>
          <w:i w:val="0"/>
          <w:sz w:val="24"/>
          <w:szCs w:val="24"/>
        </w:rPr>
      </w:pPr>
      <w:bookmarkStart w:id="16" w:name="_Toc49171386"/>
      <w:r w:rsidRPr="00342041">
        <w:rPr>
          <w:rFonts w:ascii="Times New Roman" w:hAnsi="Times New Roman" w:cs="Times New Roman"/>
          <w:b/>
          <w:i w:val="0"/>
          <w:sz w:val="24"/>
          <w:szCs w:val="24"/>
        </w:rPr>
        <w:t xml:space="preserve">Tabela </w:t>
      </w:r>
      <w:r w:rsidRPr="00342041">
        <w:rPr>
          <w:rFonts w:ascii="Times New Roman" w:hAnsi="Times New Roman" w:cs="Times New Roman"/>
          <w:b/>
          <w:i w:val="0"/>
          <w:sz w:val="24"/>
          <w:szCs w:val="24"/>
        </w:rPr>
        <w:fldChar w:fldCharType="begin"/>
      </w:r>
      <w:r w:rsidRPr="00342041">
        <w:rPr>
          <w:rFonts w:ascii="Times New Roman" w:hAnsi="Times New Roman" w:cs="Times New Roman"/>
          <w:b/>
          <w:i w:val="0"/>
          <w:sz w:val="24"/>
          <w:szCs w:val="24"/>
        </w:rPr>
        <w:instrText xml:space="preserve"> SEQ Tabela \* ARABIC </w:instrText>
      </w:r>
      <w:r w:rsidRPr="00342041">
        <w:rPr>
          <w:rFonts w:ascii="Times New Roman" w:hAnsi="Times New Roman" w:cs="Times New Roman"/>
          <w:b/>
          <w:i w:val="0"/>
          <w:sz w:val="24"/>
          <w:szCs w:val="24"/>
        </w:rPr>
        <w:fldChar w:fldCharType="separate"/>
      </w:r>
      <w:r w:rsidR="00C154C9">
        <w:rPr>
          <w:rFonts w:ascii="Times New Roman" w:hAnsi="Times New Roman" w:cs="Times New Roman"/>
          <w:b/>
          <w:i w:val="0"/>
          <w:noProof/>
          <w:sz w:val="24"/>
          <w:szCs w:val="24"/>
        </w:rPr>
        <w:t>11</w:t>
      </w:r>
      <w:r w:rsidRPr="00342041">
        <w:rPr>
          <w:rFonts w:ascii="Times New Roman" w:hAnsi="Times New Roman" w:cs="Times New Roman"/>
          <w:b/>
          <w:i w:val="0"/>
          <w:sz w:val="24"/>
          <w:szCs w:val="24"/>
        </w:rPr>
        <w:fldChar w:fldCharType="end"/>
      </w:r>
      <w:r w:rsidRPr="00342041">
        <w:rPr>
          <w:rFonts w:ascii="Times New Roman" w:hAnsi="Times New Roman" w:cs="Times New Roman"/>
          <w:b/>
          <w:i w:val="0"/>
          <w:sz w:val="24"/>
          <w:szCs w:val="24"/>
        </w:rPr>
        <w:t xml:space="preserve"> Mieszkańcy zakładów stacjonarnych pomocy społecznej w 2019 r.</w:t>
      </w:r>
      <w:bookmarkEnd w:id="16"/>
    </w:p>
    <w:tbl>
      <w:tblPr>
        <w:tblW w:w="9167"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462"/>
        <w:gridCol w:w="1337"/>
        <w:gridCol w:w="1340"/>
        <w:gridCol w:w="1340"/>
        <w:gridCol w:w="1340"/>
        <w:gridCol w:w="1348"/>
      </w:tblGrid>
      <w:tr w:rsidR="0061047D" w:rsidRPr="00342041" w14:paraId="7EB304A8" w14:textId="77777777" w:rsidTr="008841AF">
        <w:trPr>
          <w:trHeight w:val="398"/>
          <w:jc w:val="center"/>
        </w:trPr>
        <w:tc>
          <w:tcPr>
            <w:tcW w:w="2462" w:type="dxa"/>
            <w:shd w:val="clear" w:color="auto" w:fill="9CC2E5" w:themeFill="accent1" w:themeFillTint="99"/>
            <w:vAlign w:val="center"/>
            <w:hideMark/>
          </w:tcPr>
          <w:p w14:paraId="5B20DE5E" w14:textId="77777777" w:rsidR="0061047D" w:rsidRPr="00342041" w:rsidRDefault="0061047D" w:rsidP="008841AF">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Wyszczególnienie</w:t>
            </w:r>
          </w:p>
        </w:tc>
        <w:tc>
          <w:tcPr>
            <w:tcW w:w="1337" w:type="dxa"/>
            <w:shd w:val="clear" w:color="auto" w:fill="9CC2E5" w:themeFill="accent1" w:themeFillTint="99"/>
            <w:vAlign w:val="center"/>
            <w:hideMark/>
          </w:tcPr>
          <w:p w14:paraId="16FF970A" w14:textId="77777777" w:rsidR="0061047D" w:rsidRPr="00342041" w:rsidRDefault="0061047D" w:rsidP="008841AF">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w:t>
            </w:r>
          </w:p>
        </w:tc>
        <w:tc>
          <w:tcPr>
            <w:tcW w:w="1340" w:type="dxa"/>
            <w:shd w:val="clear" w:color="auto" w:fill="9CC2E5" w:themeFill="accent1" w:themeFillTint="99"/>
            <w:noWrap/>
            <w:vAlign w:val="center"/>
            <w:hideMark/>
          </w:tcPr>
          <w:p w14:paraId="66521AC5" w14:textId="77777777" w:rsidR="0061047D" w:rsidRPr="00342041" w:rsidRDefault="0061047D" w:rsidP="008841AF">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Miasta</w:t>
            </w:r>
          </w:p>
        </w:tc>
        <w:tc>
          <w:tcPr>
            <w:tcW w:w="1340" w:type="dxa"/>
            <w:shd w:val="clear" w:color="auto" w:fill="9CC2E5" w:themeFill="accent1" w:themeFillTint="99"/>
            <w:noWrap/>
            <w:vAlign w:val="center"/>
            <w:hideMark/>
          </w:tcPr>
          <w:p w14:paraId="76D9E3FC" w14:textId="77777777" w:rsidR="0061047D" w:rsidRPr="00342041" w:rsidRDefault="0061047D" w:rsidP="008841AF">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Wieś</w:t>
            </w:r>
          </w:p>
        </w:tc>
        <w:tc>
          <w:tcPr>
            <w:tcW w:w="1340" w:type="dxa"/>
            <w:shd w:val="clear" w:color="auto" w:fill="9CC2E5" w:themeFill="accent1" w:themeFillTint="99"/>
            <w:noWrap/>
            <w:vAlign w:val="center"/>
            <w:hideMark/>
          </w:tcPr>
          <w:p w14:paraId="200C3462" w14:textId="77777777" w:rsidR="0061047D" w:rsidRPr="00342041" w:rsidRDefault="0061047D" w:rsidP="008841AF">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Kobiety</w:t>
            </w:r>
          </w:p>
        </w:tc>
        <w:tc>
          <w:tcPr>
            <w:tcW w:w="1348" w:type="dxa"/>
            <w:shd w:val="clear" w:color="auto" w:fill="9CC2E5" w:themeFill="accent1" w:themeFillTint="99"/>
            <w:noWrap/>
            <w:vAlign w:val="center"/>
            <w:hideMark/>
          </w:tcPr>
          <w:p w14:paraId="0F425491" w14:textId="77777777" w:rsidR="0061047D" w:rsidRPr="00342041" w:rsidRDefault="0061047D" w:rsidP="008841AF">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Mężczyźni</w:t>
            </w:r>
          </w:p>
        </w:tc>
      </w:tr>
      <w:tr w:rsidR="0061047D" w:rsidRPr="00342041" w14:paraId="7E5E2E97" w14:textId="77777777" w:rsidTr="008841AF">
        <w:trPr>
          <w:trHeight w:val="300"/>
          <w:jc w:val="center"/>
        </w:trPr>
        <w:tc>
          <w:tcPr>
            <w:tcW w:w="2462" w:type="dxa"/>
            <w:shd w:val="clear" w:color="auto" w:fill="9CC2E5" w:themeFill="accent1" w:themeFillTint="99"/>
            <w:noWrap/>
            <w:vAlign w:val="center"/>
            <w:hideMark/>
          </w:tcPr>
          <w:p w14:paraId="34C693E6" w14:textId="77777777" w:rsidR="0061047D" w:rsidRPr="00342041" w:rsidRDefault="0061047D" w:rsidP="008841AF">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w:t>
            </w:r>
          </w:p>
        </w:tc>
        <w:tc>
          <w:tcPr>
            <w:tcW w:w="1337" w:type="dxa"/>
            <w:shd w:val="clear" w:color="auto" w:fill="auto"/>
            <w:noWrap/>
            <w:vAlign w:val="center"/>
            <w:hideMark/>
          </w:tcPr>
          <w:p w14:paraId="4124A390" w14:textId="77777777" w:rsidR="0061047D" w:rsidRPr="00342041" w:rsidRDefault="0061047D" w:rsidP="008841AF">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112 460</w:t>
            </w:r>
          </w:p>
        </w:tc>
        <w:tc>
          <w:tcPr>
            <w:tcW w:w="1340" w:type="dxa"/>
            <w:shd w:val="clear" w:color="auto" w:fill="auto"/>
            <w:noWrap/>
            <w:vAlign w:val="center"/>
            <w:hideMark/>
          </w:tcPr>
          <w:p w14:paraId="35A3B051" w14:textId="77777777" w:rsidR="0061047D" w:rsidRPr="00342041" w:rsidRDefault="0061047D" w:rsidP="008841AF">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64 657</w:t>
            </w:r>
          </w:p>
        </w:tc>
        <w:tc>
          <w:tcPr>
            <w:tcW w:w="1340" w:type="dxa"/>
            <w:shd w:val="clear" w:color="auto" w:fill="auto"/>
            <w:noWrap/>
            <w:vAlign w:val="center"/>
            <w:hideMark/>
          </w:tcPr>
          <w:p w14:paraId="63AFE792" w14:textId="77777777" w:rsidR="0061047D" w:rsidRPr="00342041" w:rsidRDefault="0061047D" w:rsidP="008841AF">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47 803</w:t>
            </w:r>
          </w:p>
        </w:tc>
        <w:tc>
          <w:tcPr>
            <w:tcW w:w="1340" w:type="dxa"/>
            <w:shd w:val="clear" w:color="auto" w:fill="auto"/>
            <w:noWrap/>
            <w:vAlign w:val="center"/>
            <w:hideMark/>
          </w:tcPr>
          <w:p w14:paraId="6E53A534" w14:textId="77777777" w:rsidR="0061047D" w:rsidRPr="00342041" w:rsidRDefault="0061047D" w:rsidP="008841AF">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53 901</w:t>
            </w:r>
          </w:p>
        </w:tc>
        <w:tc>
          <w:tcPr>
            <w:tcW w:w="1348" w:type="dxa"/>
            <w:shd w:val="clear" w:color="auto" w:fill="auto"/>
            <w:noWrap/>
            <w:vAlign w:val="center"/>
            <w:hideMark/>
          </w:tcPr>
          <w:p w14:paraId="19F59B94" w14:textId="77777777" w:rsidR="0061047D" w:rsidRPr="00342041" w:rsidRDefault="0061047D" w:rsidP="008841AF">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58 559</w:t>
            </w:r>
          </w:p>
        </w:tc>
      </w:tr>
      <w:tr w:rsidR="0061047D" w:rsidRPr="00342041" w14:paraId="68D53F8D" w14:textId="77777777" w:rsidTr="008841AF">
        <w:trPr>
          <w:trHeight w:val="300"/>
          <w:jc w:val="center"/>
        </w:trPr>
        <w:tc>
          <w:tcPr>
            <w:tcW w:w="2462" w:type="dxa"/>
            <w:shd w:val="clear" w:color="auto" w:fill="9CC2E5" w:themeFill="accent1" w:themeFillTint="99"/>
            <w:noWrap/>
            <w:vAlign w:val="center"/>
            <w:hideMark/>
          </w:tcPr>
          <w:p w14:paraId="7E2E4F09" w14:textId="77777777" w:rsidR="0061047D" w:rsidRPr="00342041" w:rsidRDefault="0061047D" w:rsidP="008841AF">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 w wieku 60 lat i więcej</w:t>
            </w:r>
          </w:p>
        </w:tc>
        <w:tc>
          <w:tcPr>
            <w:tcW w:w="1337" w:type="dxa"/>
            <w:shd w:val="clear" w:color="auto" w:fill="auto"/>
            <w:noWrap/>
            <w:vAlign w:val="center"/>
            <w:hideMark/>
          </w:tcPr>
          <w:p w14:paraId="519B19F5"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72 527</w:t>
            </w:r>
          </w:p>
        </w:tc>
        <w:tc>
          <w:tcPr>
            <w:tcW w:w="1340" w:type="dxa"/>
            <w:shd w:val="clear" w:color="auto" w:fill="auto"/>
            <w:noWrap/>
            <w:vAlign w:val="center"/>
            <w:hideMark/>
          </w:tcPr>
          <w:p w14:paraId="463FB86D"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42 777</w:t>
            </w:r>
          </w:p>
        </w:tc>
        <w:tc>
          <w:tcPr>
            <w:tcW w:w="1340" w:type="dxa"/>
            <w:shd w:val="clear" w:color="auto" w:fill="auto"/>
            <w:noWrap/>
            <w:vAlign w:val="center"/>
            <w:hideMark/>
          </w:tcPr>
          <w:p w14:paraId="15930112"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29 750</w:t>
            </w:r>
          </w:p>
        </w:tc>
        <w:tc>
          <w:tcPr>
            <w:tcW w:w="1340" w:type="dxa"/>
            <w:shd w:val="clear" w:color="auto" w:fill="auto"/>
            <w:noWrap/>
            <w:vAlign w:val="center"/>
            <w:hideMark/>
          </w:tcPr>
          <w:p w14:paraId="439CD05A"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40 049</w:t>
            </w:r>
          </w:p>
        </w:tc>
        <w:tc>
          <w:tcPr>
            <w:tcW w:w="1348" w:type="dxa"/>
            <w:shd w:val="clear" w:color="auto" w:fill="auto"/>
            <w:noWrap/>
            <w:vAlign w:val="center"/>
            <w:hideMark/>
          </w:tcPr>
          <w:p w14:paraId="71F1EB1A"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32 478</w:t>
            </w:r>
          </w:p>
        </w:tc>
      </w:tr>
      <w:tr w:rsidR="0061047D" w:rsidRPr="00342041" w14:paraId="3788DA68" w14:textId="77777777" w:rsidTr="008841AF">
        <w:trPr>
          <w:trHeight w:val="300"/>
          <w:jc w:val="center"/>
        </w:trPr>
        <w:tc>
          <w:tcPr>
            <w:tcW w:w="2462" w:type="dxa"/>
            <w:shd w:val="clear" w:color="auto" w:fill="9CC2E5" w:themeFill="accent1" w:themeFillTint="99"/>
            <w:noWrap/>
            <w:vAlign w:val="bottom"/>
            <w:hideMark/>
          </w:tcPr>
          <w:p w14:paraId="57F3EED8" w14:textId="77777777" w:rsidR="0061047D" w:rsidRPr="00342041" w:rsidRDefault="0061047D" w:rsidP="008841AF">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60-64</w:t>
            </w:r>
          </w:p>
        </w:tc>
        <w:tc>
          <w:tcPr>
            <w:tcW w:w="1337" w:type="dxa"/>
            <w:shd w:val="clear" w:color="auto" w:fill="auto"/>
            <w:noWrap/>
            <w:vAlign w:val="center"/>
            <w:hideMark/>
          </w:tcPr>
          <w:p w14:paraId="441EC084"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13 546</w:t>
            </w:r>
          </w:p>
        </w:tc>
        <w:tc>
          <w:tcPr>
            <w:tcW w:w="1340" w:type="dxa"/>
            <w:shd w:val="clear" w:color="auto" w:fill="auto"/>
            <w:noWrap/>
            <w:vAlign w:val="bottom"/>
            <w:hideMark/>
          </w:tcPr>
          <w:p w14:paraId="6ACC5EF1"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7744</w:t>
            </w:r>
          </w:p>
        </w:tc>
        <w:tc>
          <w:tcPr>
            <w:tcW w:w="1340" w:type="dxa"/>
            <w:shd w:val="clear" w:color="auto" w:fill="auto"/>
            <w:noWrap/>
            <w:vAlign w:val="center"/>
            <w:hideMark/>
          </w:tcPr>
          <w:p w14:paraId="3D633F55"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5 802</w:t>
            </w:r>
          </w:p>
        </w:tc>
        <w:tc>
          <w:tcPr>
            <w:tcW w:w="1340" w:type="dxa"/>
            <w:shd w:val="clear" w:color="auto" w:fill="auto"/>
            <w:noWrap/>
            <w:vAlign w:val="bottom"/>
            <w:hideMark/>
          </w:tcPr>
          <w:p w14:paraId="23817C6B"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4243</w:t>
            </w:r>
          </w:p>
        </w:tc>
        <w:tc>
          <w:tcPr>
            <w:tcW w:w="1348" w:type="dxa"/>
            <w:shd w:val="clear" w:color="auto" w:fill="auto"/>
            <w:noWrap/>
            <w:vAlign w:val="center"/>
            <w:hideMark/>
          </w:tcPr>
          <w:p w14:paraId="398ED4DC"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9 303</w:t>
            </w:r>
          </w:p>
        </w:tc>
      </w:tr>
      <w:tr w:rsidR="0061047D" w:rsidRPr="00342041" w14:paraId="614BE5EF" w14:textId="77777777" w:rsidTr="008841AF">
        <w:trPr>
          <w:trHeight w:val="300"/>
          <w:jc w:val="center"/>
        </w:trPr>
        <w:tc>
          <w:tcPr>
            <w:tcW w:w="2462" w:type="dxa"/>
            <w:shd w:val="clear" w:color="auto" w:fill="9CC2E5" w:themeFill="accent1" w:themeFillTint="99"/>
            <w:noWrap/>
            <w:vAlign w:val="bottom"/>
            <w:hideMark/>
          </w:tcPr>
          <w:p w14:paraId="182FA37F" w14:textId="77777777" w:rsidR="0061047D" w:rsidRPr="00342041" w:rsidRDefault="0061047D" w:rsidP="008841AF">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65-74</w:t>
            </w:r>
          </w:p>
        </w:tc>
        <w:tc>
          <w:tcPr>
            <w:tcW w:w="1337" w:type="dxa"/>
            <w:shd w:val="clear" w:color="auto" w:fill="auto"/>
            <w:noWrap/>
            <w:vAlign w:val="bottom"/>
            <w:hideMark/>
          </w:tcPr>
          <w:p w14:paraId="769FFF33"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22661</w:t>
            </w:r>
          </w:p>
        </w:tc>
        <w:tc>
          <w:tcPr>
            <w:tcW w:w="1340" w:type="dxa"/>
            <w:shd w:val="clear" w:color="auto" w:fill="auto"/>
            <w:noWrap/>
            <w:vAlign w:val="bottom"/>
            <w:hideMark/>
          </w:tcPr>
          <w:p w14:paraId="730E2CFA"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13138</w:t>
            </w:r>
          </w:p>
        </w:tc>
        <w:tc>
          <w:tcPr>
            <w:tcW w:w="1340" w:type="dxa"/>
            <w:shd w:val="clear" w:color="auto" w:fill="auto"/>
            <w:noWrap/>
            <w:vAlign w:val="center"/>
            <w:hideMark/>
          </w:tcPr>
          <w:p w14:paraId="01E070EE"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9 523</w:t>
            </w:r>
          </w:p>
        </w:tc>
        <w:tc>
          <w:tcPr>
            <w:tcW w:w="1340" w:type="dxa"/>
            <w:shd w:val="clear" w:color="auto" w:fill="auto"/>
            <w:noWrap/>
            <w:vAlign w:val="bottom"/>
            <w:hideMark/>
          </w:tcPr>
          <w:p w14:paraId="1A59028D"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9050</w:t>
            </w:r>
          </w:p>
        </w:tc>
        <w:tc>
          <w:tcPr>
            <w:tcW w:w="1348" w:type="dxa"/>
            <w:shd w:val="clear" w:color="auto" w:fill="auto"/>
            <w:noWrap/>
            <w:vAlign w:val="center"/>
            <w:hideMark/>
          </w:tcPr>
          <w:p w14:paraId="63C39584"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13 611</w:t>
            </w:r>
          </w:p>
        </w:tc>
      </w:tr>
      <w:tr w:rsidR="0061047D" w:rsidRPr="00342041" w14:paraId="25C7EA33" w14:textId="77777777" w:rsidTr="008841AF">
        <w:trPr>
          <w:trHeight w:val="300"/>
          <w:jc w:val="center"/>
        </w:trPr>
        <w:tc>
          <w:tcPr>
            <w:tcW w:w="2462" w:type="dxa"/>
            <w:shd w:val="clear" w:color="auto" w:fill="9CC2E5" w:themeFill="accent1" w:themeFillTint="99"/>
            <w:noWrap/>
            <w:vAlign w:val="bottom"/>
            <w:hideMark/>
          </w:tcPr>
          <w:p w14:paraId="37C0DAC4" w14:textId="77777777" w:rsidR="0061047D" w:rsidRPr="00342041" w:rsidRDefault="0061047D" w:rsidP="008841AF">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75-79</w:t>
            </w:r>
          </w:p>
        </w:tc>
        <w:tc>
          <w:tcPr>
            <w:tcW w:w="1337" w:type="dxa"/>
            <w:shd w:val="clear" w:color="auto" w:fill="auto"/>
            <w:noWrap/>
            <w:vAlign w:val="bottom"/>
            <w:hideMark/>
          </w:tcPr>
          <w:p w14:paraId="7C955BFA"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9161</w:t>
            </w:r>
          </w:p>
        </w:tc>
        <w:tc>
          <w:tcPr>
            <w:tcW w:w="1340" w:type="dxa"/>
            <w:shd w:val="clear" w:color="auto" w:fill="auto"/>
            <w:noWrap/>
            <w:vAlign w:val="bottom"/>
            <w:hideMark/>
          </w:tcPr>
          <w:p w14:paraId="08F690AB"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5269</w:t>
            </w:r>
          </w:p>
        </w:tc>
        <w:tc>
          <w:tcPr>
            <w:tcW w:w="1340" w:type="dxa"/>
            <w:shd w:val="clear" w:color="auto" w:fill="auto"/>
            <w:noWrap/>
            <w:vAlign w:val="center"/>
            <w:hideMark/>
          </w:tcPr>
          <w:p w14:paraId="7618938F"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3 892</w:t>
            </w:r>
          </w:p>
        </w:tc>
        <w:tc>
          <w:tcPr>
            <w:tcW w:w="1340" w:type="dxa"/>
            <w:shd w:val="clear" w:color="auto" w:fill="auto"/>
            <w:noWrap/>
            <w:vAlign w:val="bottom"/>
            <w:hideMark/>
          </w:tcPr>
          <w:p w14:paraId="27E1D1EE"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5477</w:t>
            </w:r>
          </w:p>
        </w:tc>
        <w:tc>
          <w:tcPr>
            <w:tcW w:w="1348" w:type="dxa"/>
            <w:shd w:val="clear" w:color="auto" w:fill="auto"/>
            <w:noWrap/>
            <w:vAlign w:val="center"/>
            <w:hideMark/>
          </w:tcPr>
          <w:p w14:paraId="1D3F7067"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3 684</w:t>
            </w:r>
          </w:p>
        </w:tc>
      </w:tr>
      <w:tr w:rsidR="0061047D" w:rsidRPr="00342041" w14:paraId="6590274C" w14:textId="77777777" w:rsidTr="008841AF">
        <w:trPr>
          <w:trHeight w:val="300"/>
          <w:jc w:val="center"/>
        </w:trPr>
        <w:tc>
          <w:tcPr>
            <w:tcW w:w="2462" w:type="dxa"/>
            <w:shd w:val="clear" w:color="auto" w:fill="9CC2E5" w:themeFill="accent1" w:themeFillTint="99"/>
            <w:noWrap/>
            <w:vAlign w:val="bottom"/>
            <w:hideMark/>
          </w:tcPr>
          <w:p w14:paraId="017064A6" w14:textId="77777777" w:rsidR="0061047D" w:rsidRPr="00342041" w:rsidRDefault="0061047D" w:rsidP="008841AF">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80 lat i więcej</w:t>
            </w:r>
          </w:p>
        </w:tc>
        <w:tc>
          <w:tcPr>
            <w:tcW w:w="1337" w:type="dxa"/>
            <w:shd w:val="clear" w:color="auto" w:fill="auto"/>
            <w:noWrap/>
            <w:vAlign w:val="bottom"/>
            <w:hideMark/>
          </w:tcPr>
          <w:p w14:paraId="4FD1D7AC"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27159</w:t>
            </w:r>
          </w:p>
        </w:tc>
        <w:tc>
          <w:tcPr>
            <w:tcW w:w="1340" w:type="dxa"/>
            <w:shd w:val="clear" w:color="auto" w:fill="auto"/>
            <w:noWrap/>
            <w:vAlign w:val="bottom"/>
            <w:hideMark/>
          </w:tcPr>
          <w:p w14:paraId="404BB122"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16626</w:t>
            </w:r>
          </w:p>
        </w:tc>
        <w:tc>
          <w:tcPr>
            <w:tcW w:w="1340" w:type="dxa"/>
            <w:shd w:val="clear" w:color="auto" w:fill="auto"/>
            <w:noWrap/>
            <w:vAlign w:val="center"/>
            <w:hideMark/>
          </w:tcPr>
          <w:p w14:paraId="32D74DE1"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10 533</w:t>
            </w:r>
          </w:p>
        </w:tc>
        <w:tc>
          <w:tcPr>
            <w:tcW w:w="1340" w:type="dxa"/>
            <w:shd w:val="clear" w:color="auto" w:fill="auto"/>
            <w:noWrap/>
            <w:vAlign w:val="bottom"/>
            <w:hideMark/>
          </w:tcPr>
          <w:p w14:paraId="08D37321"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21279</w:t>
            </w:r>
          </w:p>
        </w:tc>
        <w:tc>
          <w:tcPr>
            <w:tcW w:w="1348" w:type="dxa"/>
            <w:shd w:val="clear" w:color="auto" w:fill="auto"/>
            <w:noWrap/>
            <w:vAlign w:val="center"/>
            <w:hideMark/>
          </w:tcPr>
          <w:p w14:paraId="32F469EB" w14:textId="77777777" w:rsidR="0061047D" w:rsidRPr="00342041" w:rsidRDefault="0061047D" w:rsidP="008841AF">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5 880</w:t>
            </w:r>
          </w:p>
        </w:tc>
      </w:tr>
    </w:tbl>
    <w:p w14:paraId="66408106" w14:textId="77777777" w:rsidR="0061047D" w:rsidRPr="005F7033" w:rsidRDefault="0061047D" w:rsidP="0061047D">
      <w:pPr>
        <w:rPr>
          <w:rFonts w:ascii="Times New Roman" w:hAnsi="Times New Roman" w:cs="Times New Roman"/>
          <w:b/>
        </w:rPr>
      </w:pPr>
      <w:r w:rsidRPr="005F7033">
        <w:rPr>
          <w:rFonts w:ascii="Times New Roman" w:hAnsi="Times New Roman" w:cs="Times New Roman"/>
          <w:b/>
        </w:rPr>
        <w:t>Żródło: PS-03 "Zakłady stacjonarne pomocy społecznej", GUS</w:t>
      </w:r>
    </w:p>
    <w:p w14:paraId="214B7368" w14:textId="77777777" w:rsidR="007E1A37" w:rsidRPr="007E1A37" w:rsidRDefault="007E1A37" w:rsidP="00224DCE">
      <w:pPr>
        <w:pStyle w:val="NormalnyWeb"/>
        <w:spacing w:after="0"/>
        <w:jc w:val="both"/>
        <w:rPr>
          <w:b/>
        </w:rPr>
      </w:pPr>
    </w:p>
    <w:p w14:paraId="66972A1B" w14:textId="77777777" w:rsidR="007E1A37" w:rsidRPr="007E1A37" w:rsidRDefault="007E1A37" w:rsidP="00224DCE">
      <w:pPr>
        <w:pStyle w:val="NormalnyWeb"/>
        <w:spacing w:after="0"/>
        <w:jc w:val="both"/>
      </w:pPr>
      <w:r w:rsidRPr="007E1A37">
        <w:t xml:space="preserve">Jeśli chodzi o inne działania podejmowane na rzecz osób starszych, to zaliczyć do nich należy dodatkowo: poradnictwo oraz świadczenia pieniężne. </w:t>
      </w:r>
    </w:p>
    <w:p w14:paraId="50373908" w14:textId="77777777" w:rsidR="007E1A37" w:rsidRDefault="007E1A37" w:rsidP="00224DCE">
      <w:pPr>
        <w:spacing w:after="0"/>
        <w:jc w:val="both"/>
        <w:rPr>
          <w:rFonts w:ascii="Times New Roman" w:hAnsi="Times New Roman" w:cs="Times New Roman"/>
          <w:sz w:val="24"/>
          <w:szCs w:val="24"/>
        </w:rPr>
      </w:pPr>
      <w:r w:rsidRPr="007E1A37">
        <w:rPr>
          <w:rFonts w:ascii="Times New Roman" w:hAnsi="Times New Roman" w:cs="Times New Roman"/>
          <w:sz w:val="24"/>
          <w:szCs w:val="24"/>
        </w:rPr>
        <w:t xml:space="preserve">Bez względu na posiadany dochód, w ramach świadczeń niepieniężnych z pomocy społecznej oferowana jest praca socjalna, a ponadto prowadzone jest </w:t>
      </w:r>
      <w:r w:rsidRPr="007E1A37">
        <w:rPr>
          <w:rFonts w:ascii="Times New Roman" w:hAnsi="Times New Roman" w:cs="Times New Roman"/>
          <w:b/>
          <w:sz w:val="24"/>
          <w:szCs w:val="24"/>
        </w:rPr>
        <w:t>poradnictwo specjalistyczne</w:t>
      </w:r>
      <w:r w:rsidRPr="007E1A37">
        <w:rPr>
          <w:rFonts w:ascii="Times New Roman" w:hAnsi="Times New Roman" w:cs="Times New Roman"/>
          <w:sz w:val="24"/>
          <w:szCs w:val="24"/>
        </w:rPr>
        <w:t>, w szczególności prawne, psychologiczne i rodzinne, dla osób i rodzin, które mają trudności w rozwiązywaniu swoich problemów życiowych lub potrzebują wsparcia.</w:t>
      </w:r>
    </w:p>
    <w:p w14:paraId="7193BEF8" w14:textId="77777777" w:rsidR="00776E73" w:rsidRPr="007E1A37" w:rsidRDefault="00776E73" w:rsidP="00224DCE">
      <w:pPr>
        <w:spacing w:after="0"/>
        <w:jc w:val="both"/>
        <w:rPr>
          <w:rFonts w:ascii="Times New Roman" w:hAnsi="Times New Roman" w:cs="Times New Roman"/>
          <w:sz w:val="24"/>
          <w:szCs w:val="24"/>
        </w:rPr>
      </w:pPr>
    </w:p>
    <w:p w14:paraId="4C1232D8" w14:textId="77777777" w:rsidR="007E1A37" w:rsidRPr="00776E73" w:rsidRDefault="007E1A37" w:rsidP="00224DCE">
      <w:pPr>
        <w:spacing w:after="0"/>
        <w:jc w:val="both"/>
        <w:rPr>
          <w:rFonts w:ascii="Times New Roman" w:hAnsi="Times New Roman" w:cs="Times New Roman"/>
          <w:sz w:val="24"/>
          <w:szCs w:val="24"/>
        </w:rPr>
      </w:pPr>
      <w:r w:rsidRPr="00776E73">
        <w:rPr>
          <w:rFonts w:ascii="Times New Roman" w:hAnsi="Times New Roman" w:cs="Times New Roman"/>
          <w:sz w:val="24"/>
          <w:szCs w:val="24"/>
        </w:rPr>
        <w:t>Do świadczeń pieniężnych należą:</w:t>
      </w:r>
    </w:p>
    <w:p w14:paraId="713560F5" w14:textId="77777777" w:rsidR="007E1A37" w:rsidRPr="00776E73" w:rsidRDefault="00776E73" w:rsidP="00776E73">
      <w:pPr>
        <w:pStyle w:val="Tekstpodstawowywcity"/>
        <w:spacing w:after="0"/>
        <w:ind w:left="0"/>
        <w:jc w:val="both"/>
        <w:rPr>
          <w:rFonts w:ascii="Times New Roman" w:hAnsi="Times New Roman" w:cs="Times New Roman"/>
          <w:b/>
          <w:sz w:val="24"/>
          <w:szCs w:val="24"/>
        </w:rPr>
      </w:pPr>
      <w:r>
        <w:rPr>
          <w:rFonts w:ascii="Times New Roman" w:hAnsi="Times New Roman" w:cs="Times New Roman"/>
          <w:b/>
          <w:sz w:val="24"/>
          <w:szCs w:val="24"/>
        </w:rPr>
        <w:t xml:space="preserve">Zasiłek stały </w:t>
      </w:r>
      <w:r w:rsidR="007E1A37" w:rsidRPr="007E1A37">
        <w:rPr>
          <w:rFonts w:ascii="Times New Roman" w:hAnsi="Times New Roman" w:cs="Times New Roman"/>
          <w:sz w:val="24"/>
          <w:szCs w:val="24"/>
        </w:rPr>
        <w:t>przysługuje:</w:t>
      </w:r>
    </w:p>
    <w:p w14:paraId="27D584B3" w14:textId="77777777" w:rsidR="007E1A37" w:rsidRPr="007E1A37" w:rsidRDefault="007E1A37" w:rsidP="008C71A9">
      <w:pPr>
        <w:numPr>
          <w:ilvl w:val="0"/>
          <w:numId w:val="221"/>
        </w:numPr>
        <w:tabs>
          <w:tab w:val="right" w:pos="284"/>
          <w:tab w:val="left" w:pos="408"/>
        </w:tabs>
        <w:autoSpaceDE w:val="0"/>
        <w:autoSpaceDN w:val="0"/>
        <w:adjustRightInd w:val="0"/>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pełnoletniej osobie samotnie gospodarującej, niezdolnej do pracy z powodu wieku lub całkowicie niezdolnej do pracy, jeżeli jej dochód jest niższy od kryterium dochodowego osoby samotnie gospodarującej;</w:t>
      </w:r>
    </w:p>
    <w:p w14:paraId="45509DDF" w14:textId="77777777" w:rsidR="007E1A37" w:rsidRPr="007E1A37" w:rsidRDefault="007E1A37" w:rsidP="008C71A9">
      <w:pPr>
        <w:numPr>
          <w:ilvl w:val="0"/>
          <w:numId w:val="221"/>
        </w:numPr>
        <w:tabs>
          <w:tab w:val="right" w:pos="284"/>
          <w:tab w:val="left" w:pos="408"/>
        </w:tabs>
        <w:autoSpaceDE w:val="0"/>
        <w:autoSpaceDN w:val="0"/>
        <w:adjustRightInd w:val="0"/>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pełnoletniej osobie pozostającej w rodzinie, niezdolnej do pracy z powodu wieku lub całkowicie niezdolnej do pracy, jeżeli jej dochód, jak również dochód na osobę w rodzinie są niższe od kryterium dochodowego na osobę w rodzinie.</w:t>
      </w:r>
    </w:p>
    <w:p w14:paraId="40C53B7E" w14:textId="77777777" w:rsidR="00661C05" w:rsidRDefault="00661C05" w:rsidP="00224DCE">
      <w:pPr>
        <w:autoSpaceDE w:val="0"/>
        <w:autoSpaceDN w:val="0"/>
        <w:adjustRightInd w:val="0"/>
        <w:spacing w:after="0"/>
        <w:jc w:val="both"/>
        <w:rPr>
          <w:rFonts w:ascii="Times New Roman" w:hAnsi="Times New Roman" w:cs="Times New Roman"/>
          <w:sz w:val="24"/>
          <w:szCs w:val="24"/>
        </w:rPr>
      </w:pPr>
    </w:p>
    <w:p w14:paraId="6988358D" w14:textId="77777777" w:rsidR="007E1A37" w:rsidRPr="007E1A37" w:rsidRDefault="007E1A37" w:rsidP="00224DCE">
      <w:pPr>
        <w:autoSpaceDE w:val="0"/>
        <w:autoSpaceDN w:val="0"/>
        <w:adjustRightInd w:val="0"/>
        <w:spacing w:after="0"/>
        <w:jc w:val="both"/>
        <w:rPr>
          <w:rFonts w:ascii="Times New Roman" w:hAnsi="Times New Roman" w:cs="Times New Roman"/>
          <w:sz w:val="24"/>
          <w:szCs w:val="24"/>
        </w:rPr>
      </w:pPr>
      <w:r w:rsidRPr="007E1A37">
        <w:rPr>
          <w:rFonts w:ascii="Times New Roman" w:hAnsi="Times New Roman" w:cs="Times New Roman"/>
          <w:sz w:val="24"/>
          <w:szCs w:val="24"/>
        </w:rPr>
        <w:t>Zasiłek stały ustala się w wysokości:</w:t>
      </w:r>
    </w:p>
    <w:p w14:paraId="297B47D4" w14:textId="77777777" w:rsidR="007E1A37" w:rsidRPr="007E1A37" w:rsidRDefault="007E1A37" w:rsidP="008C71A9">
      <w:pPr>
        <w:numPr>
          <w:ilvl w:val="0"/>
          <w:numId w:val="222"/>
        </w:numPr>
        <w:tabs>
          <w:tab w:val="right" w:pos="284"/>
          <w:tab w:val="left" w:pos="408"/>
        </w:tabs>
        <w:autoSpaceDE w:val="0"/>
        <w:autoSpaceDN w:val="0"/>
        <w:adjustRightInd w:val="0"/>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w przypadku osoby samotnie gospodarującej - różnicy między kryterium dochodowym osoby samotnie gospodarującej a dochodem tej osoby, z tym że kwota zasiłku nie może być wyższa niż 645 zł miesięcznie;</w:t>
      </w:r>
    </w:p>
    <w:p w14:paraId="797F4F2D" w14:textId="77777777" w:rsidR="007E1A37" w:rsidRPr="007E1A37" w:rsidRDefault="007E1A37" w:rsidP="008C71A9">
      <w:pPr>
        <w:numPr>
          <w:ilvl w:val="0"/>
          <w:numId w:val="222"/>
        </w:numPr>
        <w:tabs>
          <w:tab w:val="right" w:pos="284"/>
          <w:tab w:val="left" w:pos="426"/>
        </w:tabs>
        <w:autoSpaceDE w:val="0"/>
        <w:autoSpaceDN w:val="0"/>
        <w:adjustRightInd w:val="0"/>
        <w:spacing w:after="0"/>
        <w:ind w:left="360"/>
        <w:jc w:val="both"/>
        <w:rPr>
          <w:rFonts w:ascii="Times New Roman" w:hAnsi="Times New Roman" w:cs="Times New Roman"/>
          <w:sz w:val="24"/>
          <w:szCs w:val="24"/>
        </w:rPr>
      </w:pPr>
      <w:r w:rsidRPr="007E1A37">
        <w:rPr>
          <w:rFonts w:ascii="Times New Roman" w:hAnsi="Times New Roman" w:cs="Times New Roman"/>
          <w:sz w:val="24"/>
          <w:szCs w:val="24"/>
        </w:rPr>
        <w:t>w przypadku osoby w rodzinie - różnicy między kryterium</w:t>
      </w:r>
      <w:r w:rsidR="00776E73">
        <w:rPr>
          <w:rFonts w:ascii="Times New Roman" w:hAnsi="Times New Roman" w:cs="Times New Roman"/>
          <w:sz w:val="24"/>
          <w:szCs w:val="24"/>
        </w:rPr>
        <w:t xml:space="preserve"> dochodowym na osobę w rodzinie </w:t>
      </w:r>
      <w:r w:rsidRPr="007E1A37">
        <w:rPr>
          <w:rFonts w:ascii="Times New Roman" w:hAnsi="Times New Roman" w:cs="Times New Roman"/>
          <w:sz w:val="24"/>
          <w:szCs w:val="24"/>
        </w:rPr>
        <w:t>a dochodem na osobę w rodzinie.</w:t>
      </w:r>
    </w:p>
    <w:p w14:paraId="25935AD4" w14:textId="2F76604C" w:rsidR="0061047D" w:rsidRDefault="0061047D" w:rsidP="00224DCE">
      <w:pPr>
        <w:autoSpaceDE w:val="0"/>
        <w:autoSpaceDN w:val="0"/>
        <w:adjustRightInd w:val="0"/>
        <w:spacing w:after="0"/>
        <w:jc w:val="both"/>
        <w:rPr>
          <w:rFonts w:ascii="Times New Roman" w:hAnsi="Times New Roman" w:cs="Times New Roman"/>
          <w:sz w:val="24"/>
          <w:szCs w:val="24"/>
        </w:rPr>
      </w:pPr>
    </w:p>
    <w:p w14:paraId="337F17E6" w14:textId="77777777" w:rsidR="007E1A37" w:rsidRPr="007E1A37" w:rsidRDefault="007E1A37" w:rsidP="00224DCE">
      <w:pPr>
        <w:autoSpaceDE w:val="0"/>
        <w:autoSpaceDN w:val="0"/>
        <w:adjustRightInd w:val="0"/>
        <w:spacing w:after="0"/>
        <w:jc w:val="both"/>
        <w:rPr>
          <w:rFonts w:ascii="Times New Roman" w:hAnsi="Times New Roman" w:cs="Times New Roman"/>
          <w:sz w:val="24"/>
          <w:szCs w:val="24"/>
        </w:rPr>
      </w:pPr>
      <w:r w:rsidRPr="007E1A37">
        <w:rPr>
          <w:rFonts w:ascii="Times New Roman" w:hAnsi="Times New Roman" w:cs="Times New Roman"/>
          <w:sz w:val="24"/>
          <w:szCs w:val="24"/>
        </w:rPr>
        <w:t xml:space="preserve">Kwota zasiłku stałego nie może być niższa niż 30 zł miesięcznie. </w:t>
      </w:r>
    </w:p>
    <w:p w14:paraId="2DC49C6F" w14:textId="77777777" w:rsidR="00661C05" w:rsidRDefault="00661C05" w:rsidP="00224DCE">
      <w:pPr>
        <w:tabs>
          <w:tab w:val="right" w:pos="360"/>
        </w:tabs>
        <w:spacing w:after="0"/>
        <w:jc w:val="both"/>
        <w:rPr>
          <w:rFonts w:ascii="Times New Roman" w:hAnsi="Times New Roman" w:cs="Times New Roman"/>
          <w:b/>
          <w:sz w:val="24"/>
          <w:szCs w:val="24"/>
        </w:rPr>
      </w:pPr>
    </w:p>
    <w:p w14:paraId="6AB22BE8" w14:textId="77777777" w:rsidR="007E1A37" w:rsidRPr="007E1A37" w:rsidRDefault="007E1A37" w:rsidP="00776E73">
      <w:pPr>
        <w:tabs>
          <w:tab w:val="right" w:pos="360"/>
        </w:tabs>
        <w:spacing w:after="0"/>
        <w:jc w:val="both"/>
        <w:rPr>
          <w:rFonts w:ascii="Times New Roman" w:hAnsi="Times New Roman" w:cs="Times New Roman"/>
          <w:sz w:val="24"/>
          <w:szCs w:val="24"/>
        </w:rPr>
      </w:pPr>
      <w:r w:rsidRPr="007E1A37">
        <w:rPr>
          <w:rFonts w:ascii="Times New Roman" w:hAnsi="Times New Roman" w:cs="Times New Roman"/>
          <w:b/>
          <w:sz w:val="24"/>
          <w:szCs w:val="24"/>
        </w:rPr>
        <w:t>Zasiłek celowy</w:t>
      </w:r>
      <w:r w:rsidR="00776E73">
        <w:rPr>
          <w:rFonts w:ascii="Times New Roman" w:hAnsi="Times New Roman" w:cs="Times New Roman"/>
          <w:sz w:val="24"/>
          <w:szCs w:val="24"/>
        </w:rPr>
        <w:t xml:space="preserve"> </w:t>
      </w:r>
      <w:r w:rsidRPr="007E1A37">
        <w:rPr>
          <w:rFonts w:ascii="Times New Roman" w:hAnsi="Times New Roman" w:cs="Times New Roman"/>
          <w:sz w:val="24"/>
          <w:szCs w:val="24"/>
        </w:rPr>
        <w:t>może być przyznany w celu zaspokojenia niezbędnej potrzeby bytowej, w szczególności na pokrycie części lub całości kosztów zakupu żywności, leków i leczenia, opału, odzieży, niezbędnych przedmiotów użytku domowe</w:t>
      </w:r>
      <w:r w:rsidR="00776E73">
        <w:rPr>
          <w:rFonts w:ascii="Times New Roman" w:hAnsi="Times New Roman" w:cs="Times New Roman"/>
          <w:sz w:val="24"/>
          <w:szCs w:val="24"/>
        </w:rPr>
        <w:t xml:space="preserve">go, drobnych remontów i napraw </w:t>
      </w:r>
      <w:r w:rsidRPr="007E1A37">
        <w:rPr>
          <w:rFonts w:ascii="Times New Roman" w:hAnsi="Times New Roman" w:cs="Times New Roman"/>
          <w:sz w:val="24"/>
          <w:szCs w:val="24"/>
        </w:rPr>
        <w:t>w mieszkaniu, a także kosztów pogrzebu. Zasiłek celowy może być przyznany również osobie albo rodzinie, które poniosły stratę w wyniku zdarzenia losowego, w wyniku klęski żywiołowej lub ekologicznej. Zasiłek przyznawany z takich przyczyn, może być przyznany niezależnie od dochodu i może nie podlegać zwrotowi.</w:t>
      </w:r>
    </w:p>
    <w:p w14:paraId="504B5E76" w14:textId="77777777" w:rsidR="00661C05" w:rsidRDefault="00661C05" w:rsidP="00224DCE">
      <w:pPr>
        <w:spacing w:after="0"/>
        <w:jc w:val="both"/>
        <w:rPr>
          <w:rFonts w:ascii="Times New Roman" w:hAnsi="Times New Roman" w:cs="Times New Roman"/>
          <w:sz w:val="24"/>
          <w:szCs w:val="24"/>
        </w:rPr>
      </w:pPr>
    </w:p>
    <w:p w14:paraId="7673C661" w14:textId="77777777" w:rsidR="007E1A37" w:rsidRPr="007E1A37" w:rsidRDefault="007E1A37" w:rsidP="00224DCE">
      <w:pPr>
        <w:spacing w:after="0"/>
        <w:jc w:val="both"/>
        <w:rPr>
          <w:rFonts w:ascii="Times New Roman" w:hAnsi="Times New Roman" w:cs="Times New Roman"/>
          <w:sz w:val="24"/>
          <w:szCs w:val="24"/>
        </w:rPr>
      </w:pPr>
      <w:r w:rsidRPr="007E1A37">
        <w:rPr>
          <w:rFonts w:ascii="Times New Roman" w:hAnsi="Times New Roman" w:cs="Times New Roman"/>
          <w:sz w:val="24"/>
          <w:szCs w:val="24"/>
        </w:rPr>
        <w:t xml:space="preserve">W szczególnie uzasadnionych przypadkach osobie albo rodzinie o dochodach przekraczających kryterium dochodowe może być przyznany </w:t>
      </w:r>
      <w:r w:rsidRPr="007E1A37">
        <w:rPr>
          <w:rFonts w:ascii="Times New Roman" w:hAnsi="Times New Roman" w:cs="Times New Roman"/>
          <w:b/>
          <w:sz w:val="24"/>
          <w:szCs w:val="24"/>
        </w:rPr>
        <w:t>specjalny zasiłek celowy</w:t>
      </w:r>
      <w:r w:rsidRPr="007E1A37">
        <w:rPr>
          <w:rFonts w:ascii="Times New Roman" w:hAnsi="Times New Roman" w:cs="Times New Roman"/>
          <w:sz w:val="24"/>
          <w:szCs w:val="24"/>
        </w:rPr>
        <w:t xml:space="preserve"> w wysokości nieprzekraczającej odpowiednio kryterium dochodowego osoby samotnie gospodarującej lub rodziny, który nie podlega zwrotowi. Może też być przyznany zasiłek okresowy, zasiłek celowy lub pomoc rzeczowa, pod warunkiem zwrotu części lub całości kwoty zasiłku lub wydatków na pomoc rzeczową. </w:t>
      </w:r>
    </w:p>
    <w:p w14:paraId="528E7E8F" w14:textId="77777777" w:rsidR="00F9195B" w:rsidRDefault="00F9195B" w:rsidP="003C1988">
      <w:pPr>
        <w:spacing w:after="0"/>
        <w:rPr>
          <w:rFonts w:ascii="Times New Roman" w:hAnsi="Times New Roman" w:cs="Times New Roman"/>
          <w:sz w:val="24"/>
          <w:szCs w:val="24"/>
        </w:rPr>
      </w:pPr>
    </w:p>
    <w:p w14:paraId="5FE17606" w14:textId="77777777" w:rsidR="0097172D" w:rsidRPr="00776E73" w:rsidRDefault="00F9195B" w:rsidP="003C1988">
      <w:pPr>
        <w:spacing w:after="0"/>
        <w:rPr>
          <w:rFonts w:ascii="Times New Roman" w:hAnsi="Times New Roman" w:cs="Times New Roman"/>
          <w:b/>
          <w:color w:val="00B0F0"/>
          <w:sz w:val="24"/>
          <w:szCs w:val="24"/>
        </w:rPr>
      </w:pPr>
      <w:r w:rsidRPr="00776E73">
        <w:rPr>
          <w:rFonts w:ascii="Times New Roman" w:hAnsi="Times New Roman" w:cs="Times New Roman"/>
          <w:b/>
          <w:color w:val="00B0F0"/>
          <w:sz w:val="24"/>
          <w:szCs w:val="24"/>
        </w:rPr>
        <w:t xml:space="preserve">Przeciwdziałanie przemocy w rodzinie </w:t>
      </w:r>
    </w:p>
    <w:p w14:paraId="6779AA3B" w14:textId="77777777" w:rsidR="0097172D" w:rsidRPr="0097172D" w:rsidRDefault="0097172D" w:rsidP="00776E73">
      <w:pPr>
        <w:spacing w:after="0"/>
        <w:jc w:val="both"/>
        <w:rPr>
          <w:rFonts w:ascii="Times New Roman" w:hAnsi="Times New Roman" w:cs="Times New Roman"/>
          <w:sz w:val="24"/>
          <w:szCs w:val="24"/>
        </w:rPr>
      </w:pPr>
      <w:r w:rsidRPr="0097172D">
        <w:rPr>
          <w:rFonts w:ascii="Times New Roman" w:hAnsi="Times New Roman" w:cs="Times New Roman"/>
          <w:sz w:val="24"/>
          <w:szCs w:val="24"/>
        </w:rPr>
        <w:t>Ministerstwo Rodziny, Pracy i Polityki Społecznej podejmuje liczne działania służące przeciwdziałaniu przemocy, zapewnieniu bezpieczeństwa osobom starszym, przebywającym zarówno w jednostkach całodobowej opieki jak i w środowisku lokalnym.</w:t>
      </w:r>
    </w:p>
    <w:p w14:paraId="41848269" w14:textId="77777777" w:rsidR="0097172D" w:rsidRDefault="0097172D" w:rsidP="00776E73">
      <w:pPr>
        <w:spacing w:after="0"/>
        <w:jc w:val="both"/>
        <w:rPr>
          <w:rFonts w:ascii="Times New Roman" w:eastAsia="Calibri" w:hAnsi="Times New Roman" w:cs="Times New Roman"/>
          <w:sz w:val="24"/>
          <w:szCs w:val="24"/>
        </w:rPr>
      </w:pPr>
    </w:p>
    <w:p w14:paraId="138BBBFB" w14:textId="2A13D7AA" w:rsidR="0097172D" w:rsidRPr="0097172D" w:rsidRDefault="0097172D" w:rsidP="00776E73">
      <w:pPr>
        <w:spacing w:after="0"/>
        <w:jc w:val="both"/>
        <w:rPr>
          <w:rFonts w:ascii="Times New Roman" w:hAnsi="Times New Roman" w:cs="Times New Roman"/>
          <w:sz w:val="24"/>
          <w:szCs w:val="24"/>
        </w:rPr>
      </w:pPr>
      <w:r w:rsidRPr="0097172D">
        <w:rPr>
          <w:rFonts w:ascii="Times New Roman" w:eastAsia="Calibri" w:hAnsi="Times New Roman" w:cs="Times New Roman"/>
          <w:sz w:val="24"/>
          <w:szCs w:val="24"/>
        </w:rPr>
        <w:t xml:space="preserve">Zgodnie z art. 55 ust. 2 </w:t>
      </w:r>
      <w:r w:rsidRPr="00776E73">
        <w:rPr>
          <w:rFonts w:ascii="Times New Roman" w:eastAsia="Calibri" w:hAnsi="Times New Roman" w:cs="Times New Roman"/>
          <w:i/>
          <w:sz w:val="24"/>
          <w:szCs w:val="24"/>
        </w:rPr>
        <w:t>ustawy z dnia 12 marca 2004 r. o pomocy społecznej</w:t>
      </w:r>
      <w:r w:rsidRPr="0097172D">
        <w:rPr>
          <w:rFonts w:ascii="Times New Roman" w:eastAsia="Calibri" w:hAnsi="Times New Roman" w:cs="Times New Roman"/>
          <w:sz w:val="24"/>
          <w:szCs w:val="24"/>
        </w:rPr>
        <w:t xml:space="preserve"> organizacja domu pomocy społecznej, zakres i poziom usług świadczonych przez dom uwzględnia w szczególności wolność, intymność, godność i poczucie bezpieczeństwa mieszkańców domu oraz stopień ich fizycznej i psychicznej sprawności. Aktualnie obowiązujące przepisy zakładają więc, że sytuacje stosowania przemocy, wobec osób starszych, przebywających w tych jednostkach absolutnie nie mogą mieć miejsca i każdorazowo traktowane są jako niedopuszczalne. Dlatego też wszystkie ewentualne sygnały docierające do Ministerstwa Rodziny, Pracy i Polityki Społecznej, również anonimowe, dotyczące nieprawidłowości występujących w domach pomocy, a także placówkach zapewniających całodobową opiekę osobom niepełnosprawnym, przewlekle chorym lub osobom w podeszłym wieku w szczególności w zakresie złego traktowania mieszkańców, ograniczania lub łamania ich praw i wolności są analizowane i przesyłane do właściwych wojewodów, z prośbą o sprawdzenie ich zasadności poprzez przeprowadzenie stosownych kontroli.</w:t>
      </w:r>
    </w:p>
    <w:p w14:paraId="72B74ABF" w14:textId="77777777" w:rsidR="0097172D" w:rsidRDefault="0097172D" w:rsidP="00776E73">
      <w:pPr>
        <w:spacing w:after="0"/>
        <w:jc w:val="both"/>
        <w:rPr>
          <w:rFonts w:ascii="Times New Roman" w:eastAsia="Calibri" w:hAnsi="Times New Roman" w:cs="Times New Roman"/>
          <w:sz w:val="24"/>
          <w:szCs w:val="24"/>
        </w:rPr>
      </w:pPr>
    </w:p>
    <w:p w14:paraId="7CBB74EC" w14:textId="77777777" w:rsidR="0097172D" w:rsidRPr="0097172D" w:rsidRDefault="0097172D" w:rsidP="00776E73">
      <w:pPr>
        <w:spacing w:after="0"/>
        <w:jc w:val="both"/>
        <w:rPr>
          <w:rFonts w:ascii="Times New Roman" w:hAnsi="Times New Roman" w:cs="Times New Roman"/>
          <w:sz w:val="24"/>
          <w:szCs w:val="24"/>
        </w:rPr>
      </w:pPr>
      <w:r w:rsidRPr="0097172D">
        <w:rPr>
          <w:rFonts w:ascii="Times New Roman" w:eastAsia="Calibri" w:hAnsi="Times New Roman" w:cs="Times New Roman"/>
          <w:sz w:val="24"/>
          <w:szCs w:val="24"/>
        </w:rPr>
        <w:t>Jednocześnie w celu ograniczenia skali nieprawidłowości w placówkach zapewniających całodobową opiekę, a tym samym zwiększenia poczucia bezpieczeństwa osób starszych i niepełnosprawnych w nich przebywających, a także aby poprawić skuteczność stosowania sankcji nakładanych na podmioty prowadzące placówki bez zezwolenia zmienione zostały przepisy ustawy o pomocy społecznej.</w:t>
      </w:r>
    </w:p>
    <w:p w14:paraId="3E818589" w14:textId="77777777" w:rsidR="0097172D" w:rsidRDefault="0097172D" w:rsidP="00776E73">
      <w:pPr>
        <w:autoSpaceDE w:val="0"/>
        <w:autoSpaceDN w:val="0"/>
        <w:adjustRightInd w:val="0"/>
        <w:spacing w:after="0"/>
        <w:jc w:val="both"/>
        <w:rPr>
          <w:rFonts w:ascii="Times New Roman" w:eastAsiaTheme="minorEastAsia" w:hAnsi="Times New Roman" w:cs="Times New Roman"/>
          <w:sz w:val="24"/>
          <w:szCs w:val="24"/>
        </w:rPr>
      </w:pPr>
    </w:p>
    <w:p w14:paraId="09EC9FBB" w14:textId="77777777" w:rsidR="0097172D" w:rsidRPr="0097172D" w:rsidRDefault="0097172D" w:rsidP="00776E73">
      <w:pPr>
        <w:autoSpaceDE w:val="0"/>
        <w:autoSpaceDN w:val="0"/>
        <w:adjustRightInd w:val="0"/>
        <w:spacing w:after="0"/>
        <w:jc w:val="both"/>
        <w:rPr>
          <w:rFonts w:ascii="Times New Roman" w:eastAsiaTheme="minorEastAsia" w:hAnsi="Times New Roman" w:cs="Times New Roman"/>
          <w:sz w:val="24"/>
          <w:szCs w:val="24"/>
        </w:rPr>
      </w:pPr>
      <w:r w:rsidRPr="0097172D">
        <w:rPr>
          <w:rFonts w:ascii="Times New Roman" w:eastAsiaTheme="minorEastAsia" w:hAnsi="Times New Roman" w:cs="Times New Roman"/>
          <w:sz w:val="24"/>
          <w:szCs w:val="24"/>
        </w:rPr>
        <w:t xml:space="preserve">Nowe regulacje, wprowadzone </w:t>
      </w:r>
      <w:r w:rsidRPr="00C13552">
        <w:rPr>
          <w:rFonts w:ascii="Times New Roman" w:eastAsiaTheme="minorEastAsia" w:hAnsi="Times New Roman" w:cs="Times New Roman"/>
          <w:i/>
          <w:sz w:val="24"/>
          <w:szCs w:val="24"/>
        </w:rPr>
        <w:t>ustawą z dnia 19 lipca 2019 r. o zmianie ustawy o pomocy społecznej oraz ustawy o ochronie zdrowia psychicznego</w:t>
      </w:r>
      <w:r w:rsidRPr="0097172D">
        <w:rPr>
          <w:rFonts w:ascii="Times New Roman" w:eastAsiaTheme="minorEastAsia" w:hAnsi="Times New Roman" w:cs="Times New Roman"/>
          <w:sz w:val="24"/>
          <w:szCs w:val="24"/>
        </w:rPr>
        <w:t xml:space="preserve"> (Dz. U. poz.1690) skupiały się nie tylko na regulacjach dotyczących całodobowych placówek,</w:t>
      </w:r>
      <w:r>
        <w:rPr>
          <w:rFonts w:ascii="Times New Roman" w:eastAsiaTheme="minorEastAsia" w:hAnsi="Times New Roman" w:cs="Times New Roman"/>
          <w:sz w:val="24"/>
          <w:szCs w:val="24"/>
        </w:rPr>
        <w:t xml:space="preserve"> ale również innych jednostek </w:t>
      </w:r>
      <w:r w:rsidRPr="0097172D">
        <w:rPr>
          <w:rFonts w:ascii="Times New Roman" w:eastAsiaTheme="minorEastAsia" w:hAnsi="Times New Roman" w:cs="Times New Roman"/>
          <w:sz w:val="24"/>
          <w:szCs w:val="24"/>
        </w:rPr>
        <w:lastRenderedPageBreak/>
        <w:t xml:space="preserve">organizacyjnych pomocy społecznej, tak aby uniknąć sytuacji „podszywania się” nielegalnych placówek pod inne dopuszczone prawem podmioty. </w:t>
      </w:r>
    </w:p>
    <w:p w14:paraId="55B87CEF" w14:textId="77777777" w:rsidR="0097172D" w:rsidRDefault="0097172D" w:rsidP="00776E73">
      <w:pPr>
        <w:autoSpaceDE w:val="0"/>
        <w:autoSpaceDN w:val="0"/>
        <w:adjustRightInd w:val="0"/>
        <w:spacing w:after="0"/>
        <w:jc w:val="both"/>
        <w:rPr>
          <w:rFonts w:ascii="Times New Roman" w:eastAsiaTheme="minorEastAsia" w:hAnsi="Times New Roman" w:cs="Times New Roman"/>
          <w:sz w:val="24"/>
          <w:szCs w:val="24"/>
        </w:rPr>
      </w:pPr>
    </w:p>
    <w:p w14:paraId="219DB8EA" w14:textId="4B048062" w:rsidR="00EF0A98" w:rsidRPr="00C13552" w:rsidRDefault="0097172D" w:rsidP="00C13552">
      <w:pPr>
        <w:autoSpaceDE w:val="0"/>
        <w:autoSpaceDN w:val="0"/>
        <w:adjustRightInd w:val="0"/>
        <w:spacing w:after="0"/>
        <w:jc w:val="both"/>
        <w:rPr>
          <w:rFonts w:ascii="Times New Roman" w:eastAsiaTheme="minorEastAsia" w:hAnsi="Times New Roman" w:cs="Times New Roman"/>
          <w:sz w:val="24"/>
          <w:szCs w:val="24"/>
        </w:rPr>
      </w:pPr>
      <w:r w:rsidRPr="0097172D">
        <w:rPr>
          <w:rFonts w:ascii="Times New Roman" w:eastAsiaTheme="minorEastAsia" w:hAnsi="Times New Roman" w:cs="Times New Roman"/>
          <w:sz w:val="24"/>
          <w:szCs w:val="24"/>
        </w:rPr>
        <w:t>Nowe przepisy przewidują m. in. możliwość ukarania</w:t>
      </w:r>
      <w:r w:rsidR="00C13552">
        <w:rPr>
          <w:rFonts w:ascii="Times New Roman" w:eastAsiaTheme="minorEastAsia" w:hAnsi="Times New Roman" w:cs="Times New Roman"/>
          <w:sz w:val="24"/>
          <w:szCs w:val="24"/>
        </w:rPr>
        <w:t xml:space="preserve"> karą w wysokości 40 </w:t>
      </w:r>
      <w:r w:rsidRPr="0097172D">
        <w:rPr>
          <w:rFonts w:ascii="Times New Roman" w:eastAsiaTheme="minorEastAsia" w:hAnsi="Times New Roman" w:cs="Times New Roman"/>
          <w:sz w:val="24"/>
          <w:szCs w:val="24"/>
        </w:rPr>
        <w:t>000 zł podmiotu, który po otrzymaniu prawomocnie kary za prowadzenie bez zezwolenia jednej placówki, przenosi ją w inne miejsce lub rozpoczyna prowadze</w:t>
      </w:r>
      <w:r w:rsidR="00C13552">
        <w:rPr>
          <w:rFonts w:ascii="Times New Roman" w:eastAsiaTheme="minorEastAsia" w:hAnsi="Times New Roman" w:cs="Times New Roman"/>
          <w:sz w:val="24"/>
          <w:szCs w:val="24"/>
        </w:rPr>
        <w:t xml:space="preserve">nie innej (pod innym adresem). </w:t>
      </w:r>
      <w:r w:rsidRPr="0097172D">
        <w:rPr>
          <w:rFonts w:ascii="Times New Roman" w:eastAsiaTheme="minorEastAsia" w:hAnsi="Times New Roman" w:cs="Times New Roman"/>
          <w:sz w:val="24"/>
          <w:szCs w:val="24"/>
        </w:rPr>
        <w:t xml:space="preserve">Wprowadzono również możliwość jednoczesnego cofnięcia zezwolenia na prowadzenie działalności z nakazem zaprzestania prowadzenia przedmiotowej działalności, gdy organ kontrolujący stwierdzi zagrożenie życia i zdrowia </w:t>
      </w:r>
      <w:r w:rsidR="00C13552">
        <w:rPr>
          <w:rFonts w:ascii="Times New Roman" w:eastAsiaTheme="minorEastAsia" w:hAnsi="Times New Roman" w:cs="Times New Roman"/>
          <w:sz w:val="24"/>
          <w:szCs w:val="24"/>
        </w:rPr>
        <w:t xml:space="preserve">osób przebywających w placówce. </w:t>
      </w:r>
      <w:r w:rsidRPr="0097172D">
        <w:rPr>
          <w:rFonts w:ascii="Times New Roman" w:eastAsiaTheme="minorEastAsia" w:hAnsi="Times New Roman" w:cs="Times New Roman"/>
          <w:sz w:val="24"/>
          <w:szCs w:val="24"/>
        </w:rPr>
        <w:t>Po raz pierwszy wprowadzono standardy dotyczące podmiotów i osób kierujących placówkami, kwalifikacji kadry zatrudnionej w placówkach, oraz wskaźników zatrudnienia w placówkach zapewniających całodobową opiekę działających na podstawie zezwolenia wydanego na podsta</w:t>
      </w:r>
      <w:r w:rsidR="00C13552">
        <w:rPr>
          <w:rFonts w:ascii="Times New Roman" w:eastAsiaTheme="minorEastAsia" w:hAnsi="Times New Roman" w:cs="Times New Roman"/>
          <w:sz w:val="24"/>
          <w:szCs w:val="24"/>
        </w:rPr>
        <w:t xml:space="preserve">wie ustawy o pomocy społecznej. </w:t>
      </w:r>
      <w:r w:rsidRPr="0097172D">
        <w:rPr>
          <w:rFonts w:ascii="Times New Roman" w:eastAsiaTheme="minorEastAsia" w:hAnsi="Times New Roman" w:cs="Times New Roman"/>
          <w:sz w:val="24"/>
          <w:szCs w:val="24"/>
        </w:rPr>
        <w:t>W celu zapewnienia sprawnego przepływu informacji o podmiotach ukaranych między poszczególnymi województwami nowelizacja przewidziała utworzenie wykazu kar zasilanego danymi pochodzącymi od wojewodów oraz udostępnianego im do celów prowadzenia postępowań w zakresie nałożenia kary lub wydania albo cofnięcia zezwolenia na prowadzenie placówki.</w:t>
      </w:r>
      <w:r w:rsidRPr="0097172D">
        <w:rPr>
          <w:rFonts w:ascii="Times New Roman" w:eastAsia="Calibri" w:hAnsi="Times New Roman" w:cs="Times New Roman"/>
          <w:sz w:val="24"/>
          <w:szCs w:val="24"/>
        </w:rPr>
        <w:t xml:space="preserve"> W </w:t>
      </w:r>
      <w:r w:rsidR="00C13552">
        <w:rPr>
          <w:rFonts w:ascii="Times New Roman" w:eastAsia="Calibri" w:hAnsi="Times New Roman" w:cs="Times New Roman"/>
          <w:sz w:val="24"/>
          <w:szCs w:val="24"/>
        </w:rPr>
        <w:t xml:space="preserve">celu </w:t>
      </w:r>
      <w:r w:rsidRPr="0097172D">
        <w:rPr>
          <w:rFonts w:ascii="Times New Roman" w:eastAsia="Calibri" w:hAnsi="Times New Roman" w:cs="Times New Roman"/>
          <w:sz w:val="24"/>
          <w:szCs w:val="24"/>
        </w:rPr>
        <w:t xml:space="preserve">zgłaszania </w:t>
      </w:r>
      <w:r w:rsidR="00C13552">
        <w:rPr>
          <w:rFonts w:ascii="Times New Roman" w:eastAsia="Calibri" w:hAnsi="Times New Roman" w:cs="Times New Roman"/>
          <w:sz w:val="24"/>
          <w:szCs w:val="24"/>
        </w:rPr>
        <w:t xml:space="preserve">ewentualnych </w:t>
      </w:r>
      <w:r w:rsidRPr="0097172D">
        <w:rPr>
          <w:rFonts w:ascii="Times New Roman" w:eastAsia="Calibri" w:hAnsi="Times New Roman" w:cs="Times New Roman"/>
          <w:sz w:val="24"/>
          <w:szCs w:val="24"/>
        </w:rPr>
        <w:t xml:space="preserve">przypadków łamania praw oraz nadużyć i przemocy doznawanej przez osoby starsze przebywające w domach pomocy społecznej </w:t>
      </w:r>
      <w:r w:rsidR="00C13552">
        <w:rPr>
          <w:rFonts w:ascii="Times New Roman" w:eastAsia="Calibri" w:hAnsi="Times New Roman" w:cs="Times New Roman"/>
          <w:sz w:val="24"/>
          <w:szCs w:val="24"/>
        </w:rPr>
        <w:t xml:space="preserve">- </w:t>
      </w:r>
      <w:r w:rsidRPr="0097172D">
        <w:rPr>
          <w:rFonts w:ascii="Times New Roman" w:eastAsia="Calibri" w:hAnsi="Times New Roman" w:cs="Times New Roman"/>
          <w:sz w:val="24"/>
          <w:szCs w:val="24"/>
        </w:rPr>
        <w:t xml:space="preserve">osoby te zgodnie z </w:t>
      </w:r>
      <w:r w:rsidRPr="00C13552">
        <w:rPr>
          <w:rFonts w:ascii="Times New Roman" w:eastAsia="Calibri" w:hAnsi="Times New Roman" w:cs="Times New Roman"/>
          <w:i/>
          <w:sz w:val="24"/>
          <w:szCs w:val="24"/>
        </w:rPr>
        <w:t xml:space="preserve">rozporządzeniem </w:t>
      </w:r>
      <w:r w:rsidR="008841AF">
        <w:rPr>
          <w:rFonts w:ascii="Times New Roman" w:eastAsia="Calibri" w:hAnsi="Times New Roman" w:cs="Times New Roman"/>
          <w:i/>
          <w:sz w:val="24"/>
          <w:szCs w:val="24"/>
        </w:rPr>
        <w:t xml:space="preserve">Ministra Rodziny, Pracy i Polityki Społecznej z dnia 31 maja 2012 r. </w:t>
      </w:r>
      <w:r w:rsidRPr="00C13552">
        <w:rPr>
          <w:rFonts w:ascii="Times New Roman" w:eastAsia="Calibri" w:hAnsi="Times New Roman" w:cs="Times New Roman"/>
          <w:i/>
          <w:sz w:val="24"/>
          <w:szCs w:val="24"/>
        </w:rPr>
        <w:t>w sprawie domów pomocy społecznej</w:t>
      </w:r>
      <w:r w:rsidRPr="0097172D">
        <w:rPr>
          <w:rFonts w:ascii="Times New Roman" w:eastAsia="Calibri" w:hAnsi="Times New Roman" w:cs="Times New Roman"/>
          <w:sz w:val="24"/>
          <w:szCs w:val="24"/>
        </w:rPr>
        <w:t xml:space="preserve"> mają zapewniony regularny kontakt z dyrekt</w:t>
      </w:r>
      <w:r>
        <w:rPr>
          <w:rFonts w:ascii="Times New Roman" w:eastAsia="Calibri" w:hAnsi="Times New Roman" w:cs="Times New Roman"/>
          <w:sz w:val="24"/>
          <w:szCs w:val="24"/>
        </w:rPr>
        <w:t xml:space="preserve">orem domu w określonych dniach </w:t>
      </w:r>
      <w:r w:rsidRPr="0097172D">
        <w:rPr>
          <w:rFonts w:ascii="Times New Roman" w:eastAsia="Calibri" w:hAnsi="Times New Roman" w:cs="Times New Roman"/>
          <w:sz w:val="24"/>
          <w:szCs w:val="24"/>
        </w:rPr>
        <w:t>i godzinach, podanych do wiadomości w dostępnym miejscu.</w:t>
      </w:r>
    </w:p>
    <w:p w14:paraId="3ACBA58D" w14:textId="77777777" w:rsidR="00EF0A98" w:rsidRPr="00EF0A98" w:rsidRDefault="00EF0A98" w:rsidP="00776E73">
      <w:pPr>
        <w:spacing w:after="0"/>
        <w:jc w:val="both"/>
        <w:rPr>
          <w:rFonts w:ascii="Times New Roman" w:eastAsia="Calibri" w:hAnsi="Times New Roman" w:cs="Times New Roman"/>
          <w:sz w:val="24"/>
          <w:szCs w:val="24"/>
        </w:rPr>
      </w:pPr>
    </w:p>
    <w:p w14:paraId="319AE312" w14:textId="47398DBB" w:rsidR="0097172D" w:rsidRDefault="00EF0A98" w:rsidP="00776E73">
      <w:pPr>
        <w:spacing w:after="0"/>
        <w:jc w:val="both"/>
        <w:rPr>
          <w:rFonts w:ascii="Times New Roman" w:eastAsia="Calibri" w:hAnsi="Times New Roman" w:cs="Times New Roman"/>
          <w:sz w:val="24"/>
          <w:szCs w:val="24"/>
        </w:rPr>
      </w:pPr>
      <w:r w:rsidRPr="00EF0A98">
        <w:rPr>
          <w:rFonts w:ascii="Times New Roman" w:eastAsia="Calibri" w:hAnsi="Times New Roman" w:cs="Times New Roman"/>
          <w:sz w:val="24"/>
          <w:szCs w:val="24"/>
        </w:rPr>
        <w:t xml:space="preserve">Działania na rzecz przeciwdziałania przemocy w rodzinie, w tym wobec osób starszych, realizowane są m.in. w oparciu </w:t>
      </w:r>
      <w:r w:rsidRPr="00C13552">
        <w:rPr>
          <w:rFonts w:ascii="Times New Roman" w:eastAsia="Calibri" w:hAnsi="Times New Roman" w:cs="Times New Roman"/>
          <w:i/>
          <w:sz w:val="24"/>
          <w:szCs w:val="24"/>
        </w:rPr>
        <w:t>ustawę z dnia 29 lipca 2005 r. o przeciwdziałaniu przemocy w rodzinie</w:t>
      </w:r>
      <w:r w:rsidRPr="00EF0A98">
        <w:rPr>
          <w:rFonts w:ascii="Times New Roman" w:eastAsia="Calibri" w:hAnsi="Times New Roman" w:cs="Times New Roman"/>
          <w:sz w:val="24"/>
          <w:szCs w:val="24"/>
        </w:rPr>
        <w:t xml:space="preserve"> (Dz. U. z 2020 r. poz. 218) oraz o Krajowy Program Przeciwdziałania Przemocy </w:t>
      </w:r>
      <w:r w:rsidRPr="00EF0A98">
        <w:rPr>
          <w:rFonts w:ascii="Times New Roman" w:eastAsia="Calibri" w:hAnsi="Times New Roman" w:cs="Times New Roman"/>
          <w:sz w:val="24"/>
          <w:szCs w:val="24"/>
        </w:rPr>
        <w:br/>
        <w:t xml:space="preserve">w Rodzinie na lata 2014-2020 ustanowiony w dniu 29 kwietnia 2014 r. Uchwałą Rady Ministrów Nr 76. Należy wskazać również na obowiązywanie w polskim prawodawstwie szeregu rozporządzeń wydanych na podstawie </w:t>
      </w:r>
      <w:r w:rsidRPr="00546251">
        <w:rPr>
          <w:rFonts w:ascii="Times New Roman" w:eastAsia="Calibri" w:hAnsi="Times New Roman" w:cs="Times New Roman"/>
          <w:i/>
          <w:sz w:val="24"/>
          <w:szCs w:val="24"/>
        </w:rPr>
        <w:t xml:space="preserve">ustawy </w:t>
      </w:r>
      <w:r w:rsidR="008841AF">
        <w:rPr>
          <w:rFonts w:ascii="Times New Roman" w:eastAsia="Calibri" w:hAnsi="Times New Roman" w:cs="Times New Roman"/>
          <w:i/>
          <w:sz w:val="24"/>
          <w:szCs w:val="24"/>
        </w:rPr>
        <w:t xml:space="preserve">z dnia 29 lipca 2005 r. </w:t>
      </w:r>
      <w:r w:rsidRPr="00546251">
        <w:rPr>
          <w:rFonts w:ascii="Times New Roman" w:eastAsia="Calibri" w:hAnsi="Times New Roman" w:cs="Times New Roman"/>
          <w:i/>
          <w:sz w:val="24"/>
          <w:szCs w:val="24"/>
        </w:rPr>
        <w:t>o przeciwdziałaniu przemocy w rodzinie</w:t>
      </w:r>
      <w:r w:rsidRPr="00EF0A98">
        <w:rPr>
          <w:rFonts w:ascii="Times New Roman" w:eastAsia="Calibri" w:hAnsi="Times New Roman" w:cs="Times New Roman"/>
          <w:sz w:val="24"/>
          <w:szCs w:val="24"/>
        </w:rPr>
        <w:t>. Regulacje zawarte w wymienionych aktach prawnych są tak skonstruowane, aby można się do nich odwołać w przypadku wszystkich kategorii osób doznających przemocy w rodzinie, w tym kobiet, mężczyzn, dzieci, osób starsz</w:t>
      </w:r>
      <w:r w:rsidR="00C13552">
        <w:rPr>
          <w:rFonts w:ascii="Times New Roman" w:eastAsia="Calibri" w:hAnsi="Times New Roman" w:cs="Times New Roman"/>
          <w:sz w:val="24"/>
          <w:szCs w:val="24"/>
        </w:rPr>
        <w:t>ych czy osób niepełnosprawnych.</w:t>
      </w:r>
    </w:p>
    <w:p w14:paraId="1E060301" w14:textId="77777777" w:rsidR="00C13552" w:rsidRDefault="00C13552" w:rsidP="00776E73">
      <w:pPr>
        <w:spacing w:after="0"/>
        <w:jc w:val="both"/>
        <w:rPr>
          <w:rFonts w:ascii="Times New Roman" w:eastAsia="Calibri" w:hAnsi="Times New Roman" w:cs="Times New Roman"/>
          <w:sz w:val="24"/>
          <w:szCs w:val="24"/>
        </w:rPr>
      </w:pPr>
    </w:p>
    <w:p w14:paraId="16570347" w14:textId="1A247C98" w:rsidR="002C1314" w:rsidRPr="00C13552" w:rsidRDefault="002C1314" w:rsidP="00776E73">
      <w:pPr>
        <w:spacing w:after="0"/>
        <w:jc w:val="both"/>
        <w:rPr>
          <w:rFonts w:ascii="Times New Roman" w:eastAsia="Calibri" w:hAnsi="Times New Roman" w:cs="Times New Roman"/>
          <w:sz w:val="24"/>
          <w:szCs w:val="24"/>
        </w:rPr>
      </w:pPr>
    </w:p>
    <w:p w14:paraId="23256BF3" w14:textId="77777777" w:rsidR="00FA62C1" w:rsidRPr="00C13552" w:rsidRDefault="00C13552" w:rsidP="00776E73">
      <w:pPr>
        <w:spacing w:after="0"/>
        <w:jc w:val="both"/>
        <w:rPr>
          <w:rFonts w:ascii="Times New Roman" w:hAnsi="Times New Roman" w:cs="Times New Roman"/>
          <w:b/>
          <w:color w:val="00B0F0"/>
          <w:sz w:val="24"/>
        </w:rPr>
      </w:pPr>
      <w:r w:rsidRPr="00C13552">
        <w:rPr>
          <w:rFonts w:ascii="Times New Roman" w:hAnsi="Times New Roman" w:cs="Times New Roman"/>
          <w:b/>
          <w:color w:val="00B0F0"/>
          <w:sz w:val="24"/>
        </w:rPr>
        <w:t xml:space="preserve">Świadczenia rodzinne </w:t>
      </w:r>
    </w:p>
    <w:p w14:paraId="6DAB02BF" w14:textId="77777777" w:rsidR="00FA62C1" w:rsidRPr="00B47428" w:rsidRDefault="00FA62C1" w:rsidP="00776E73">
      <w:pPr>
        <w:tabs>
          <w:tab w:val="left" w:pos="709"/>
        </w:tabs>
        <w:spacing w:after="0"/>
        <w:jc w:val="both"/>
        <w:rPr>
          <w:rFonts w:ascii="Times New Roman" w:hAnsi="Times New Roman"/>
          <w:sz w:val="24"/>
          <w:szCs w:val="24"/>
        </w:rPr>
      </w:pPr>
      <w:r w:rsidRPr="00B47428">
        <w:rPr>
          <w:rFonts w:ascii="Times New Roman" w:hAnsi="Times New Roman"/>
          <w:sz w:val="24"/>
          <w:szCs w:val="24"/>
        </w:rPr>
        <w:t xml:space="preserve">Na podstawie </w:t>
      </w:r>
      <w:r w:rsidRPr="00C13552">
        <w:rPr>
          <w:rFonts w:ascii="Times New Roman" w:hAnsi="Times New Roman"/>
          <w:i/>
          <w:sz w:val="24"/>
          <w:szCs w:val="24"/>
        </w:rPr>
        <w:t xml:space="preserve">ustawy z dnia </w:t>
      </w:r>
      <w:r w:rsidRPr="00C13552">
        <w:rPr>
          <w:rFonts w:ascii="Times New Roman" w:hAnsi="Times New Roman"/>
          <w:i/>
          <w:iCs/>
          <w:sz w:val="24"/>
          <w:szCs w:val="24"/>
        </w:rPr>
        <w:t>28 listopada 2003 r. o świadczeniach rodzinnych</w:t>
      </w:r>
      <w:r w:rsidRPr="00B47428">
        <w:rPr>
          <w:rFonts w:ascii="Times New Roman" w:hAnsi="Times New Roman"/>
          <w:iCs/>
          <w:sz w:val="24"/>
          <w:szCs w:val="24"/>
        </w:rPr>
        <w:t xml:space="preserve"> </w:t>
      </w:r>
      <w:r w:rsidRPr="00B47428">
        <w:rPr>
          <w:rFonts w:ascii="Times New Roman" w:hAnsi="Times New Roman"/>
          <w:sz w:val="24"/>
          <w:szCs w:val="24"/>
        </w:rPr>
        <w:t>mogą odpowiednio przysługiwać trzy rodzaje świadczeń opiekuńczych</w:t>
      </w:r>
      <w:r>
        <w:rPr>
          <w:rFonts w:ascii="Times New Roman" w:hAnsi="Times New Roman"/>
          <w:sz w:val="24"/>
          <w:szCs w:val="24"/>
        </w:rPr>
        <w:t>, finansowanych z budżetu państwa</w:t>
      </w:r>
      <w:r w:rsidRPr="00B47428">
        <w:rPr>
          <w:rFonts w:ascii="Times New Roman" w:hAnsi="Times New Roman"/>
          <w:sz w:val="24"/>
          <w:szCs w:val="24"/>
        </w:rPr>
        <w:t xml:space="preserve">: </w:t>
      </w:r>
    </w:p>
    <w:p w14:paraId="54953F70" w14:textId="77777777" w:rsidR="00FA62C1" w:rsidRDefault="00FA62C1" w:rsidP="008C71A9">
      <w:pPr>
        <w:pStyle w:val="Akapitzlist"/>
        <w:numPr>
          <w:ilvl w:val="0"/>
          <w:numId w:val="216"/>
        </w:numPr>
        <w:spacing w:after="0"/>
        <w:ind w:left="360" w:hanging="360"/>
        <w:jc w:val="both"/>
        <w:rPr>
          <w:rFonts w:ascii="Times New Roman" w:hAnsi="Times New Roman"/>
          <w:sz w:val="24"/>
          <w:szCs w:val="24"/>
        </w:rPr>
      </w:pPr>
      <w:r w:rsidRPr="0052333A">
        <w:rPr>
          <w:rFonts w:ascii="Times New Roman" w:hAnsi="Times New Roman"/>
          <w:b/>
          <w:sz w:val="24"/>
          <w:szCs w:val="24"/>
        </w:rPr>
        <w:t>zasiłek pielęgnacyjny</w:t>
      </w:r>
      <w:r w:rsidRPr="00B47428">
        <w:rPr>
          <w:rFonts w:ascii="Times New Roman" w:hAnsi="Times New Roman"/>
          <w:sz w:val="24"/>
          <w:szCs w:val="24"/>
        </w:rPr>
        <w:t xml:space="preserve"> – adresowany do osób niepełnosprawnych, od 1 listopada 2019 r. w wysokości 215,84 zł miesięcznie przysługuje, bez względu na osiągany dochód, niepełnosprawnemu dziecku, osobie niepełnosprawnej w wieku powyżej 16. roku życia, jeżeli legitymuje się orzeczeniem o znacznym stopniu niepełnosprawności oraz osobie, która ukończyła 75 lat. Zasiłek pielęgnacyjny przysługuje także osobie niepełnosprawnej w wieku powyżej 16. roku życia legitymującej się orzeczeniem o umiarkowanym stopniu niepełnosprawności, jeżeli niepełnosprawność </w:t>
      </w:r>
      <w:r w:rsidR="0052333A">
        <w:rPr>
          <w:rFonts w:ascii="Times New Roman" w:hAnsi="Times New Roman"/>
          <w:sz w:val="24"/>
          <w:szCs w:val="24"/>
        </w:rPr>
        <w:t xml:space="preserve">powstała w wieku do ukończenia </w:t>
      </w:r>
      <w:r w:rsidRPr="00B47428">
        <w:rPr>
          <w:rFonts w:ascii="Times New Roman" w:hAnsi="Times New Roman"/>
          <w:sz w:val="24"/>
          <w:szCs w:val="24"/>
        </w:rPr>
        <w:t xml:space="preserve">21. roku życia. Zasiłek pielęgnacyjny nie </w:t>
      </w:r>
      <w:r>
        <w:rPr>
          <w:rFonts w:ascii="Times New Roman" w:hAnsi="Times New Roman"/>
          <w:sz w:val="24"/>
          <w:szCs w:val="24"/>
        </w:rPr>
        <w:t xml:space="preserve">przysługuje osobom uprawnionym </w:t>
      </w:r>
      <w:r w:rsidRPr="00B47428">
        <w:rPr>
          <w:rFonts w:ascii="Times New Roman" w:hAnsi="Times New Roman"/>
          <w:sz w:val="24"/>
          <w:szCs w:val="24"/>
        </w:rPr>
        <w:t xml:space="preserve">do dodatku pielęgnacyjnego w ramach świadczenia emerytalno-rentowego. </w:t>
      </w:r>
      <w:r>
        <w:rPr>
          <w:rFonts w:ascii="Times New Roman" w:hAnsi="Times New Roman"/>
          <w:bCs/>
          <w:sz w:val="24"/>
          <w:szCs w:val="24"/>
        </w:rPr>
        <w:t xml:space="preserve">Prawo </w:t>
      </w:r>
      <w:r w:rsidRPr="00B47428">
        <w:rPr>
          <w:rFonts w:ascii="Times New Roman" w:hAnsi="Times New Roman"/>
          <w:bCs/>
          <w:sz w:val="24"/>
          <w:szCs w:val="24"/>
        </w:rPr>
        <w:t xml:space="preserve">do tego świadczenia </w:t>
      </w:r>
      <w:r w:rsidRPr="00B47428">
        <w:rPr>
          <w:rFonts w:ascii="Times New Roman" w:hAnsi="Times New Roman"/>
          <w:bCs/>
          <w:sz w:val="24"/>
          <w:szCs w:val="24"/>
        </w:rPr>
        <w:lastRenderedPageBreak/>
        <w:t>przyznawane jes</w:t>
      </w:r>
      <w:r>
        <w:rPr>
          <w:rFonts w:ascii="Times New Roman" w:hAnsi="Times New Roman"/>
          <w:bCs/>
          <w:sz w:val="24"/>
          <w:szCs w:val="24"/>
        </w:rPr>
        <w:t xml:space="preserve">t na okres ważności orzeczenia </w:t>
      </w:r>
      <w:r w:rsidRPr="00B47428">
        <w:rPr>
          <w:rFonts w:ascii="Times New Roman" w:hAnsi="Times New Roman"/>
          <w:bCs/>
          <w:sz w:val="24"/>
          <w:szCs w:val="24"/>
        </w:rPr>
        <w:t>o niepełnosprawności lub stopniu niepełnosprawności</w:t>
      </w:r>
      <w:r w:rsidRPr="00B47428">
        <w:rPr>
          <w:rFonts w:ascii="Times New Roman" w:hAnsi="Times New Roman"/>
          <w:sz w:val="24"/>
          <w:szCs w:val="24"/>
        </w:rPr>
        <w:t>;</w:t>
      </w:r>
    </w:p>
    <w:p w14:paraId="7CAF94CF" w14:textId="77777777" w:rsidR="00FA62C1" w:rsidRPr="00FA62C1" w:rsidRDefault="00FA62C1" w:rsidP="008C71A9">
      <w:pPr>
        <w:pStyle w:val="Akapitzlist"/>
        <w:numPr>
          <w:ilvl w:val="0"/>
          <w:numId w:val="216"/>
        </w:numPr>
        <w:spacing w:after="0"/>
        <w:ind w:left="360" w:hanging="360"/>
        <w:jc w:val="both"/>
        <w:rPr>
          <w:rFonts w:ascii="Times New Roman" w:hAnsi="Times New Roman"/>
          <w:sz w:val="24"/>
          <w:szCs w:val="24"/>
        </w:rPr>
      </w:pPr>
      <w:r w:rsidRPr="0052333A">
        <w:rPr>
          <w:rFonts w:ascii="Times New Roman" w:hAnsi="Times New Roman"/>
          <w:b/>
          <w:sz w:val="24"/>
          <w:szCs w:val="24"/>
        </w:rPr>
        <w:t>świadczenie pielęgnacyjne oraz specjalny z</w:t>
      </w:r>
      <w:r w:rsidR="0097172D" w:rsidRPr="0052333A">
        <w:rPr>
          <w:rFonts w:ascii="Times New Roman" w:hAnsi="Times New Roman"/>
          <w:b/>
          <w:sz w:val="24"/>
          <w:szCs w:val="24"/>
        </w:rPr>
        <w:t>asiłek opiekuńczy</w:t>
      </w:r>
      <w:r w:rsidR="0097172D">
        <w:rPr>
          <w:rFonts w:ascii="Times New Roman" w:hAnsi="Times New Roman"/>
          <w:sz w:val="24"/>
          <w:szCs w:val="24"/>
        </w:rPr>
        <w:t xml:space="preserve"> – adresowane </w:t>
      </w:r>
      <w:r w:rsidRPr="00FA62C1">
        <w:rPr>
          <w:rFonts w:ascii="Times New Roman" w:hAnsi="Times New Roman"/>
          <w:sz w:val="24"/>
          <w:szCs w:val="24"/>
        </w:rPr>
        <w:t xml:space="preserve">do osób sprawujących opiekę nad niepełnosprawnym członkiem rodziny (nie można pobierać obu świadczeń łącznie). Warunkiem otrzymania tych świadczeń jest posiadanie w pkt 7 orzeczenia wskazania, że </w:t>
      </w:r>
      <w:r w:rsidRPr="00FA62C1">
        <w:rPr>
          <w:rFonts w:ascii="Times New Roman" w:hAnsi="Times New Roman"/>
          <w:bCs/>
          <w:sz w:val="24"/>
          <w:szCs w:val="24"/>
        </w:rPr>
        <w:t xml:space="preserve">osoba, której dane orzeczenie dotyczy wymaga konieczności stałej lub długotrwałej opieki lub pomocy innej osoby w związku ze znacznie ograniczoną możliwością samodzielnej egzystencji oraz konieczności stałego współudziału na co dzień opiekuna dziecka w procesie jego leczenia, rehabilitacji i edukacji;  </w:t>
      </w:r>
    </w:p>
    <w:p w14:paraId="76ECC354" w14:textId="77777777" w:rsidR="00FA62C1" w:rsidRDefault="00FA62C1" w:rsidP="00776E73">
      <w:pPr>
        <w:pStyle w:val="Akapitzlist"/>
        <w:spacing w:after="0"/>
        <w:ind w:left="0"/>
        <w:jc w:val="both"/>
        <w:rPr>
          <w:rFonts w:ascii="Times New Roman" w:hAnsi="Times New Roman"/>
          <w:bCs/>
          <w:sz w:val="24"/>
          <w:szCs w:val="24"/>
        </w:rPr>
      </w:pPr>
    </w:p>
    <w:p w14:paraId="740E70B6" w14:textId="77777777" w:rsidR="00FA62C1" w:rsidRPr="00B47428" w:rsidRDefault="00FA62C1" w:rsidP="00776E73">
      <w:pPr>
        <w:pStyle w:val="Akapitzlist"/>
        <w:spacing w:after="0"/>
        <w:ind w:left="0"/>
        <w:jc w:val="both"/>
        <w:rPr>
          <w:rFonts w:ascii="Times New Roman" w:hAnsi="Times New Roman"/>
          <w:bCs/>
          <w:sz w:val="24"/>
          <w:szCs w:val="24"/>
        </w:rPr>
      </w:pPr>
      <w:r w:rsidRPr="00B47428">
        <w:rPr>
          <w:rFonts w:ascii="Times New Roman" w:hAnsi="Times New Roman"/>
          <w:bCs/>
          <w:sz w:val="24"/>
          <w:szCs w:val="24"/>
        </w:rPr>
        <w:t>Świadczenie pielęgnacyjne – od 1 stycznia 2020 r. w wysokości 1</w:t>
      </w:r>
      <w:r w:rsidR="0052333A">
        <w:rPr>
          <w:rFonts w:ascii="Times New Roman" w:hAnsi="Times New Roman"/>
          <w:bCs/>
          <w:sz w:val="24"/>
          <w:szCs w:val="24"/>
        </w:rPr>
        <w:t xml:space="preserve"> </w:t>
      </w:r>
      <w:r w:rsidRPr="00B47428">
        <w:rPr>
          <w:rFonts w:ascii="Times New Roman" w:hAnsi="Times New Roman"/>
          <w:bCs/>
          <w:sz w:val="24"/>
          <w:szCs w:val="24"/>
        </w:rPr>
        <w:t xml:space="preserve">830 zł miesięcznie, przysługuje, niezależnie od osiąganego dochodu, matce albo ojcu, opiekunowi faktycznemu dziecka, osobie będącej rodziną zastępczą spokrewnioną oraz innym osobom, na których ciąży obowiązek alimentacyjny, z tytułu rezygnacji z zatrudnienia lub innej pracy zarobkowej, którzy sprawują opiekę nad osobą niepełnosprawną, jeżeli niepełnosprawność powstała nie później niż do ukończenia 18. roku życia lub w trakcie nauki w szkole lub w szkole wyższej, jednak nie później niż do ukończenia 25. roku życia. </w:t>
      </w:r>
    </w:p>
    <w:p w14:paraId="6906F86A" w14:textId="77777777" w:rsidR="00FA62C1" w:rsidRDefault="00FA62C1" w:rsidP="00776E73">
      <w:pPr>
        <w:pStyle w:val="Default"/>
        <w:spacing w:line="276" w:lineRule="auto"/>
        <w:jc w:val="both"/>
        <w:rPr>
          <w:rFonts w:ascii="Times New Roman" w:hAnsi="Times New Roman" w:cs="Times New Roman"/>
          <w:color w:val="auto"/>
        </w:rPr>
      </w:pPr>
    </w:p>
    <w:p w14:paraId="4B74F5EA" w14:textId="77777777" w:rsidR="00FA62C1" w:rsidRPr="00B47428" w:rsidRDefault="00FA62C1" w:rsidP="00776E73">
      <w:pPr>
        <w:pStyle w:val="Default"/>
        <w:spacing w:line="276" w:lineRule="auto"/>
        <w:jc w:val="both"/>
        <w:rPr>
          <w:rFonts w:ascii="Times New Roman" w:hAnsi="Times New Roman" w:cs="Times New Roman"/>
          <w:color w:val="auto"/>
        </w:rPr>
      </w:pPr>
      <w:r w:rsidRPr="00B47428">
        <w:rPr>
          <w:rFonts w:ascii="Times New Roman" w:hAnsi="Times New Roman" w:cs="Times New Roman"/>
          <w:color w:val="auto"/>
        </w:rPr>
        <w:t>Osobom, na których ciąży obowiązek aliment</w:t>
      </w:r>
      <w:r w:rsidR="0052333A">
        <w:rPr>
          <w:rFonts w:ascii="Times New Roman" w:hAnsi="Times New Roman" w:cs="Times New Roman"/>
          <w:color w:val="auto"/>
        </w:rPr>
        <w:t xml:space="preserve">acyjny, innym niż spokrewnione </w:t>
      </w:r>
      <w:r w:rsidRPr="00B47428">
        <w:rPr>
          <w:rFonts w:ascii="Times New Roman" w:hAnsi="Times New Roman" w:cs="Times New Roman"/>
          <w:color w:val="auto"/>
        </w:rPr>
        <w:t xml:space="preserve">w pierwszym stopniu z osobą wymagającą opieki, przysługuje świadczenie pielęgnacyjne, w przypadku gdy spełnione są łącznie następujące warunki: </w:t>
      </w:r>
    </w:p>
    <w:p w14:paraId="610AF210" w14:textId="77777777" w:rsidR="00FA62C1" w:rsidRPr="00B47428" w:rsidRDefault="00FA62C1" w:rsidP="008C71A9">
      <w:pPr>
        <w:pStyle w:val="Default"/>
        <w:numPr>
          <w:ilvl w:val="0"/>
          <w:numId w:val="215"/>
        </w:numPr>
        <w:tabs>
          <w:tab w:val="left" w:pos="426"/>
        </w:tabs>
        <w:spacing w:line="276" w:lineRule="auto"/>
        <w:ind w:left="360" w:hanging="360"/>
        <w:jc w:val="both"/>
        <w:rPr>
          <w:rFonts w:ascii="Times New Roman" w:hAnsi="Times New Roman" w:cs="Times New Roman"/>
          <w:color w:val="auto"/>
        </w:rPr>
      </w:pPr>
      <w:r w:rsidRPr="00B47428">
        <w:rPr>
          <w:rFonts w:ascii="Times New Roman" w:hAnsi="Times New Roman" w:cs="Times New Roman"/>
          <w:color w:val="auto"/>
        </w:rPr>
        <w:t xml:space="preserve">rodzice osoby wymagającej opieki nie żyją, zostali pozbawieni praw rodzicielskich, </w:t>
      </w:r>
      <w:r w:rsidRPr="00B47428">
        <w:rPr>
          <w:rFonts w:ascii="Times New Roman" w:hAnsi="Times New Roman" w:cs="Times New Roman"/>
          <w:color w:val="auto"/>
        </w:rPr>
        <w:br/>
        <w:t xml:space="preserve">są małoletni lub legitymują się orzeczeniem o znacznym stopniu niepełnosprawności; </w:t>
      </w:r>
    </w:p>
    <w:p w14:paraId="7BF54AC4" w14:textId="77777777" w:rsidR="00FA62C1" w:rsidRPr="00B47428" w:rsidRDefault="00FA62C1" w:rsidP="008C71A9">
      <w:pPr>
        <w:pStyle w:val="Default"/>
        <w:numPr>
          <w:ilvl w:val="0"/>
          <w:numId w:val="215"/>
        </w:numPr>
        <w:tabs>
          <w:tab w:val="left" w:pos="426"/>
        </w:tabs>
        <w:spacing w:line="276" w:lineRule="auto"/>
        <w:ind w:left="360" w:hanging="360"/>
        <w:jc w:val="both"/>
        <w:rPr>
          <w:rFonts w:ascii="Times New Roman" w:hAnsi="Times New Roman" w:cs="Times New Roman"/>
          <w:color w:val="auto"/>
        </w:rPr>
      </w:pPr>
      <w:r w:rsidRPr="00B47428">
        <w:rPr>
          <w:rFonts w:ascii="Times New Roman" w:hAnsi="Times New Roman" w:cs="Times New Roman"/>
          <w:color w:val="auto"/>
        </w:rPr>
        <w:t>nie ma innych osób spokrewnionych w pi</w:t>
      </w:r>
      <w:r>
        <w:rPr>
          <w:rFonts w:ascii="Times New Roman" w:hAnsi="Times New Roman" w:cs="Times New Roman"/>
          <w:color w:val="auto"/>
        </w:rPr>
        <w:t xml:space="preserve">erwszym stopniu, są małoletnie </w:t>
      </w:r>
      <w:r w:rsidRPr="00B47428">
        <w:rPr>
          <w:rFonts w:ascii="Times New Roman" w:hAnsi="Times New Roman" w:cs="Times New Roman"/>
          <w:color w:val="auto"/>
        </w:rPr>
        <w:t xml:space="preserve">lub legitymują się orzeczeniem o znacznym stopniu niepełnosprawności; </w:t>
      </w:r>
    </w:p>
    <w:p w14:paraId="0C42442E" w14:textId="77777777" w:rsidR="00FA62C1" w:rsidRPr="00B47428" w:rsidRDefault="00FA62C1" w:rsidP="008C71A9">
      <w:pPr>
        <w:pStyle w:val="Default"/>
        <w:numPr>
          <w:ilvl w:val="0"/>
          <w:numId w:val="215"/>
        </w:numPr>
        <w:tabs>
          <w:tab w:val="left" w:pos="426"/>
        </w:tabs>
        <w:spacing w:line="276" w:lineRule="auto"/>
        <w:ind w:left="360" w:hanging="360"/>
        <w:jc w:val="both"/>
        <w:rPr>
          <w:rFonts w:ascii="Times New Roman" w:hAnsi="Times New Roman" w:cs="Times New Roman"/>
          <w:color w:val="auto"/>
        </w:rPr>
      </w:pPr>
      <w:r w:rsidRPr="00B47428">
        <w:rPr>
          <w:rFonts w:ascii="Times New Roman" w:hAnsi="Times New Roman" w:cs="Times New Roman"/>
          <w:color w:val="auto"/>
        </w:rPr>
        <w:t>nie ma opiekuna prawnego dziecka  i osoby  będącej rodziną zastępczą spokrewnioną  lub legitymuje się orzeczeniem o znacznym stopniu niepełnosprawności.</w:t>
      </w:r>
    </w:p>
    <w:p w14:paraId="653E5FAB" w14:textId="77777777" w:rsidR="00FA62C1" w:rsidRDefault="00FA62C1" w:rsidP="00776E73">
      <w:pPr>
        <w:pStyle w:val="Akapitzlist"/>
        <w:spacing w:after="0"/>
        <w:ind w:left="0"/>
        <w:jc w:val="both"/>
        <w:rPr>
          <w:rFonts w:ascii="Times New Roman" w:hAnsi="Times New Roman"/>
          <w:bCs/>
          <w:sz w:val="24"/>
          <w:szCs w:val="24"/>
        </w:rPr>
      </w:pPr>
    </w:p>
    <w:p w14:paraId="24E8FD7D" w14:textId="77777777" w:rsidR="00FA62C1" w:rsidRPr="00B47428" w:rsidRDefault="00FA62C1" w:rsidP="00776E73">
      <w:pPr>
        <w:pStyle w:val="Akapitzlist"/>
        <w:spacing w:after="0"/>
        <w:ind w:left="0"/>
        <w:jc w:val="both"/>
        <w:rPr>
          <w:rFonts w:ascii="Times New Roman" w:hAnsi="Times New Roman"/>
          <w:bCs/>
          <w:sz w:val="24"/>
          <w:szCs w:val="24"/>
        </w:rPr>
      </w:pPr>
      <w:r w:rsidRPr="00B47428">
        <w:rPr>
          <w:rFonts w:ascii="Times New Roman" w:hAnsi="Times New Roman"/>
          <w:bCs/>
          <w:sz w:val="24"/>
          <w:szCs w:val="24"/>
        </w:rPr>
        <w:t>Prawo do tego świadczenia przyznawane jes</w:t>
      </w:r>
      <w:r>
        <w:rPr>
          <w:rFonts w:ascii="Times New Roman" w:hAnsi="Times New Roman"/>
          <w:bCs/>
          <w:sz w:val="24"/>
          <w:szCs w:val="24"/>
        </w:rPr>
        <w:t xml:space="preserve">t na okres ważności orzeczenia </w:t>
      </w:r>
      <w:r w:rsidRPr="00B47428">
        <w:rPr>
          <w:rFonts w:ascii="Times New Roman" w:hAnsi="Times New Roman"/>
          <w:bCs/>
          <w:sz w:val="24"/>
          <w:szCs w:val="24"/>
        </w:rPr>
        <w:t>o niepełnosprawności lub stopniu niepełnosprawności;</w:t>
      </w:r>
    </w:p>
    <w:p w14:paraId="19515A23" w14:textId="77777777" w:rsidR="00FA62C1" w:rsidRDefault="00FA62C1" w:rsidP="00776E73">
      <w:pPr>
        <w:pStyle w:val="Akapitzlist"/>
        <w:spacing w:after="0"/>
        <w:ind w:left="0"/>
        <w:jc w:val="both"/>
        <w:rPr>
          <w:rFonts w:ascii="Times New Roman" w:hAnsi="Times New Roman"/>
          <w:sz w:val="24"/>
          <w:szCs w:val="24"/>
        </w:rPr>
      </w:pPr>
    </w:p>
    <w:p w14:paraId="60FBAD41" w14:textId="77777777" w:rsidR="00FA62C1" w:rsidRPr="00B47428" w:rsidRDefault="00FA62C1" w:rsidP="00776E73">
      <w:pPr>
        <w:pStyle w:val="Akapitzlist"/>
        <w:spacing w:after="0"/>
        <w:ind w:left="0"/>
        <w:jc w:val="both"/>
        <w:rPr>
          <w:rFonts w:ascii="Times New Roman" w:hAnsi="Times New Roman"/>
          <w:sz w:val="24"/>
          <w:szCs w:val="24"/>
        </w:rPr>
      </w:pPr>
      <w:r w:rsidRPr="0052333A">
        <w:rPr>
          <w:rFonts w:ascii="Times New Roman" w:hAnsi="Times New Roman"/>
          <w:b/>
          <w:sz w:val="24"/>
          <w:szCs w:val="24"/>
        </w:rPr>
        <w:t>Specjalny zasiłek opiekuńczy</w:t>
      </w:r>
      <w:r w:rsidRPr="00B47428">
        <w:rPr>
          <w:rFonts w:ascii="Times New Roman" w:hAnsi="Times New Roman"/>
          <w:sz w:val="24"/>
          <w:szCs w:val="24"/>
        </w:rPr>
        <w:t xml:space="preserve"> – w wysokości 620 zł miesięcznie przysługuje osobom niepodejmującym lub rezygnującym z zatrudnie</w:t>
      </w:r>
      <w:r>
        <w:rPr>
          <w:rFonts w:ascii="Times New Roman" w:hAnsi="Times New Roman"/>
          <w:sz w:val="24"/>
          <w:szCs w:val="24"/>
        </w:rPr>
        <w:t xml:space="preserve">nia lub innej pracy zarobkowej </w:t>
      </w:r>
      <w:r w:rsidRPr="00B47428">
        <w:rPr>
          <w:rFonts w:ascii="Times New Roman" w:hAnsi="Times New Roman"/>
          <w:sz w:val="24"/>
          <w:szCs w:val="24"/>
        </w:rPr>
        <w:t>w celu sprawowania opieki nad niepełnosprawnym</w:t>
      </w:r>
      <w:r>
        <w:rPr>
          <w:rFonts w:ascii="Times New Roman" w:hAnsi="Times New Roman"/>
          <w:sz w:val="24"/>
          <w:szCs w:val="24"/>
        </w:rPr>
        <w:t xml:space="preserve"> członkiem rodziny bez względu </w:t>
      </w:r>
      <w:r w:rsidRPr="00B47428">
        <w:rPr>
          <w:rFonts w:ascii="Times New Roman" w:hAnsi="Times New Roman"/>
          <w:sz w:val="24"/>
          <w:szCs w:val="24"/>
        </w:rPr>
        <w:t>na wiek powstania niepełnosprawności. W praktyce, specjalny zasiłek opiekuńczy przysługuje osobom, które nie spełniają warunków otrzymywania świadczenia pielęgnacyjnego, tj. przede wszystkim ww. warunku daty powstania w dzieciństwie niepełnosprawności osoby wymagającej opieki. Specjalny zasiłek opiekuńczy przysługuje po spełnieniu kryterium dochodowego, k</w:t>
      </w:r>
      <w:r>
        <w:rPr>
          <w:rFonts w:ascii="Times New Roman" w:hAnsi="Times New Roman"/>
          <w:sz w:val="24"/>
          <w:szCs w:val="24"/>
        </w:rPr>
        <w:t xml:space="preserve">tóre wynosi 764 zł miesięcznie </w:t>
      </w:r>
      <w:r w:rsidRPr="00B47428">
        <w:rPr>
          <w:rFonts w:ascii="Times New Roman" w:hAnsi="Times New Roman"/>
          <w:sz w:val="24"/>
          <w:szCs w:val="24"/>
        </w:rPr>
        <w:t xml:space="preserve">w przeliczeniu na osobę w rodzinie osoby sprawującej opiekę i osoby wymagającej opieki. Prawo do tego świadczenia ustala się co do zasady na okres od 1 listopada </w:t>
      </w:r>
      <w:r w:rsidRPr="00B47428">
        <w:rPr>
          <w:rFonts w:ascii="Times New Roman" w:hAnsi="Times New Roman"/>
          <w:sz w:val="24"/>
          <w:szCs w:val="24"/>
        </w:rPr>
        <w:br/>
        <w:t>do 30 października roku kolejnego.</w:t>
      </w:r>
    </w:p>
    <w:p w14:paraId="32328DD3" w14:textId="77777777" w:rsidR="0052333A" w:rsidRDefault="0052333A" w:rsidP="00776E73">
      <w:pPr>
        <w:spacing w:after="0"/>
        <w:jc w:val="both"/>
        <w:rPr>
          <w:rFonts w:ascii="Times New Roman" w:hAnsi="Times New Roman"/>
          <w:bCs/>
          <w:sz w:val="24"/>
          <w:szCs w:val="24"/>
        </w:rPr>
      </w:pPr>
    </w:p>
    <w:p w14:paraId="5877B11E" w14:textId="7E83188E" w:rsidR="00FA62C1" w:rsidRPr="00B47428" w:rsidRDefault="00FA62C1" w:rsidP="00776E73">
      <w:pPr>
        <w:spacing w:after="0"/>
        <w:jc w:val="both"/>
        <w:rPr>
          <w:rFonts w:ascii="Times New Roman" w:hAnsi="Times New Roman"/>
          <w:color w:val="000000"/>
          <w:sz w:val="24"/>
          <w:szCs w:val="24"/>
        </w:rPr>
      </w:pPr>
      <w:r w:rsidRPr="00B47428">
        <w:rPr>
          <w:rFonts w:ascii="Times New Roman" w:hAnsi="Times New Roman"/>
          <w:bCs/>
          <w:sz w:val="24"/>
          <w:szCs w:val="24"/>
        </w:rPr>
        <w:t xml:space="preserve">Ponadto na podstawie </w:t>
      </w:r>
      <w:r w:rsidRPr="0052333A">
        <w:rPr>
          <w:rFonts w:ascii="Times New Roman" w:hAnsi="Times New Roman"/>
          <w:bCs/>
          <w:i/>
          <w:sz w:val="24"/>
          <w:szCs w:val="24"/>
        </w:rPr>
        <w:t xml:space="preserve">ustawy </w:t>
      </w:r>
      <w:r w:rsidR="005467D3">
        <w:rPr>
          <w:rFonts w:ascii="Times New Roman" w:hAnsi="Times New Roman"/>
          <w:bCs/>
          <w:i/>
          <w:sz w:val="24"/>
          <w:szCs w:val="24"/>
        </w:rPr>
        <w:t xml:space="preserve">z dnia 4 kwietnia 2014 r. </w:t>
      </w:r>
      <w:r w:rsidRPr="0052333A">
        <w:rPr>
          <w:rFonts w:ascii="Times New Roman" w:hAnsi="Times New Roman"/>
          <w:bCs/>
          <w:i/>
          <w:sz w:val="24"/>
          <w:szCs w:val="24"/>
        </w:rPr>
        <w:t>o ustaleniu i wypłacie zasiłku dla opiekuna</w:t>
      </w:r>
      <w:r w:rsidR="005467D3">
        <w:rPr>
          <w:rFonts w:ascii="Times New Roman" w:hAnsi="Times New Roman"/>
          <w:bCs/>
          <w:i/>
          <w:sz w:val="24"/>
          <w:szCs w:val="24"/>
        </w:rPr>
        <w:t xml:space="preserve"> (Dz. U. z 2020 r. poz. 1297)</w:t>
      </w:r>
      <w:r w:rsidRPr="0052333A">
        <w:rPr>
          <w:rFonts w:ascii="Times New Roman" w:hAnsi="Times New Roman"/>
          <w:bCs/>
          <w:i/>
          <w:sz w:val="24"/>
          <w:szCs w:val="24"/>
        </w:rPr>
        <w:t xml:space="preserve"> </w:t>
      </w:r>
      <w:r w:rsidRPr="00B47428">
        <w:rPr>
          <w:rFonts w:ascii="Times New Roman" w:hAnsi="Times New Roman"/>
          <w:bCs/>
          <w:sz w:val="24"/>
          <w:szCs w:val="24"/>
        </w:rPr>
        <w:t>wypłacany jest zasiłek dla opiekuna</w:t>
      </w:r>
      <w:r w:rsidRPr="00B47428">
        <w:rPr>
          <w:rFonts w:ascii="Times New Roman" w:hAnsi="Times New Roman"/>
          <w:sz w:val="24"/>
          <w:szCs w:val="24"/>
        </w:rPr>
        <w:t xml:space="preserve"> – w wysokości 620 zł mie</w:t>
      </w:r>
      <w:r>
        <w:rPr>
          <w:rFonts w:ascii="Times New Roman" w:hAnsi="Times New Roman"/>
          <w:sz w:val="24"/>
          <w:szCs w:val="24"/>
        </w:rPr>
        <w:t xml:space="preserve">sięcznie. Zasiłek dla opiekuna </w:t>
      </w:r>
      <w:r w:rsidRPr="00B47428">
        <w:rPr>
          <w:rFonts w:ascii="Times New Roman" w:hAnsi="Times New Roman"/>
          <w:sz w:val="24"/>
          <w:szCs w:val="24"/>
        </w:rPr>
        <w:t xml:space="preserve">to  świadczenie wypłacane przez gminy w związku z realizacją wyroku </w:t>
      </w:r>
      <w:r w:rsidRPr="00B47428">
        <w:rPr>
          <w:rFonts w:ascii="Times New Roman" w:hAnsi="Times New Roman"/>
          <w:sz w:val="24"/>
          <w:szCs w:val="24"/>
        </w:rPr>
        <w:lastRenderedPageBreak/>
        <w:t>Trybunału Konstytucyjnego z dnia 5 grudnia 2013 r., nieaktywnym zawodowo opiekunom dorosłych osób niepełnosprawnych, których decyzje w sprawach świa</w:t>
      </w:r>
      <w:r>
        <w:rPr>
          <w:rFonts w:ascii="Times New Roman" w:hAnsi="Times New Roman"/>
          <w:sz w:val="24"/>
          <w:szCs w:val="24"/>
        </w:rPr>
        <w:t xml:space="preserve">dczeń  pielęgnacyjnych wygasły </w:t>
      </w:r>
      <w:r w:rsidRPr="00B47428">
        <w:rPr>
          <w:rFonts w:ascii="Times New Roman" w:hAnsi="Times New Roman"/>
          <w:sz w:val="24"/>
          <w:szCs w:val="24"/>
        </w:rPr>
        <w:t xml:space="preserve">z mocy prawa z dniem 1 lipca 2013 r. </w:t>
      </w:r>
      <w:r w:rsidRPr="00B47428">
        <w:rPr>
          <w:rFonts w:ascii="Times New Roman" w:hAnsi="Times New Roman"/>
          <w:color w:val="000000"/>
          <w:sz w:val="24"/>
          <w:szCs w:val="24"/>
        </w:rPr>
        <w:t xml:space="preserve">Obecnie o zasiłek dla opiekuna mogą ubiegać się tylko osoby, które miały już ustalone prawo do tego </w:t>
      </w:r>
      <w:r>
        <w:rPr>
          <w:rFonts w:ascii="Times New Roman" w:hAnsi="Times New Roman"/>
          <w:color w:val="000000"/>
          <w:sz w:val="24"/>
          <w:szCs w:val="24"/>
        </w:rPr>
        <w:t xml:space="preserve">świadczenia i chcą kontynuować </w:t>
      </w:r>
      <w:r w:rsidRPr="00B47428">
        <w:rPr>
          <w:rFonts w:ascii="Times New Roman" w:hAnsi="Times New Roman"/>
          <w:color w:val="000000"/>
          <w:sz w:val="24"/>
          <w:szCs w:val="24"/>
        </w:rPr>
        <w:t>jego pobieranie w związku z otrzymaniem przez osobę wymagającą opieki kolejnego orzeczenia o niepełnosprawności.</w:t>
      </w:r>
    </w:p>
    <w:p w14:paraId="02D2A119" w14:textId="77777777" w:rsidR="00FA62C1" w:rsidRPr="00B47428" w:rsidRDefault="00FA62C1" w:rsidP="00776E73">
      <w:pPr>
        <w:spacing w:after="0"/>
        <w:ind w:firstLine="851"/>
        <w:jc w:val="both"/>
        <w:rPr>
          <w:rFonts w:ascii="Times New Roman" w:hAnsi="Times New Roman"/>
          <w:sz w:val="24"/>
          <w:szCs w:val="24"/>
        </w:rPr>
      </w:pPr>
    </w:p>
    <w:p w14:paraId="657ADD59" w14:textId="77777777" w:rsidR="00FA62C1" w:rsidRPr="00B47428" w:rsidRDefault="00FA62C1" w:rsidP="00776E73">
      <w:pPr>
        <w:pStyle w:val="Akapitzlist"/>
        <w:spacing w:after="0"/>
        <w:ind w:left="0"/>
        <w:jc w:val="both"/>
        <w:rPr>
          <w:rFonts w:ascii="Times New Roman" w:hAnsi="Times New Roman"/>
          <w:sz w:val="24"/>
          <w:szCs w:val="24"/>
        </w:rPr>
      </w:pPr>
      <w:r w:rsidRPr="00B47428">
        <w:rPr>
          <w:rFonts w:ascii="Times New Roman" w:hAnsi="Times New Roman"/>
          <w:sz w:val="24"/>
          <w:szCs w:val="24"/>
        </w:rPr>
        <w:t>Dodatkowo za osoby otrzymujące specjalny zasiłek opiekuńczy, świadczenie pielęgnacyjne oraz zasiłek dla opiekuna opłacane są z budżetu państwa składki na ubezpieczenia emerytalne, rentowe i ubezpieczenie zdrowotne.</w:t>
      </w:r>
    </w:p>
    <w:p w14:paraId="358A920D" w14:textId="77777777" w:rsidR="00FA62C1" w:rsidRDefault="00FA62C1" w:rsidP="00776E73">
      <w:pPr>
        <w:tabs>
          <w:tab w:val="left" w:pos="851"/>
        </w:tabs>
        <w:spacing w:after="0"/>
        <w:jc w:val="both"/>
        <w:rPr>
          <w:rFonts w:ascii="Times New Roman" w:hAnsi="Times New Roman"/>
          <w:sz w:val="24"/>
          <w:szCs w:val="24"/>
        </w:rPr>
      </w:pPr>
    </w:p>
    <w:p w14:paraId="2011CABA" w14:textId="77777777" w:rsidR="0052333A" w:rsidRDefault="00FA62C1" w:rsidP="0052333A">
      <w:pPr>
        <w:tabs>
          <w:tab w:val="left" w:pos="851"/>
        </w:tabs>
        <w:spacing w:after="0"/>
        <w:jc w:val="both"/>
        <w:rPr>
          <w:rFonts w:ascii="Times New Roman" w:hAnsi="Times New Roman"/>
          <w:sz w:val="24"/>
          <w:szCs w:val="24"/>
        </w:rPr>
      </w:pPr>
      <w:r w:rsidRPr="00B47428">
        <w:rPr>
          <w:rFonts w:ascii="Times New Roman" w:hAnsi="Times New Roman"/>
          <w:sz w:val="24"/>
          <w:szCs w:val="24"/>
        </w:rPr>
        <w:t>W ostatnim czasie miały miejsce następujące zmiany w zakresie świadczeń dla osób niepełnosprawnych (w tym starszych osób niepełnosprawnych) i ich opiekunów:</w:t>
      </w:r>
    </w:p>
    <w:p w14:paraId="659AF86A" w14:textId="77777777" w:rsidR="0052333A" w:rsidRDefault="00FA62C1" w:rsidP="008C71A9">
      <w:pPr>
        <w:pStyle w:val="Akapitzlist"/>
        <w:numPr>
          <w:ilvl w:val="0"/>
          <w:numId w:val="295"/>
        </w:numPr>
        <w:tabs>
          <w:tab w:val="left" w:pos="851"/>
        </w:tabs>
        <w:spacing w:after="0"/>
        <w:ind w:left="360"/>
        <w:jc w:val="both"/>
        <w:rPr>
          <w:rFonts w:ascii="Times New Roman" w:hAnsi="Times New Roman"/>
          <w:sz w:val="24"/>
          <w:szCs w:val="24"/>
        </w:rPr>
      </w:pPr>
      <w:r w:rsidRPr="0052333A">
        <w:rPr>
          <w:rFonts w:ascii="Times New Roman" w:hAnsi="Times New Roman"/>
          <w:bCs/>
          <w:sz w:val="24"/>
          <w:szCs w:val="24"/>
        </w:rPr>
        <w:t xml:space="preserve">od </w:t>
      </w:r>
      <w:r w:rsidR="0052333A">
        <w:rPr>
          <w:rFonts w:ascii="Times New Roman" w:hAnsi="Times New Roman"/>
          <w:bCs/>
          <w:sz w:val="24"/>
          <w:szCs w:val="24"/>
        </w:rPr>
        <w:t>1 stycznia 2020 r.</w:t>
      </w:r>
      <w:r w:rsidRPr="0052333A">
        <w:rPr>
          <w:rFonts w:ascii="Times New Roman" w:hAnsi="Times New Roman"/>
          <w:bCs/>
          <w:sz w:val="24"/>
          <w:szCs w:val="24"/>
        </w:rPr>
        <w:t xml:space="preserve"> w ramach corocznej waloryzacji wysokości świadczenia pielęgnacyjnego o procentowy wskaźnik wzrostu minimalnego wynagrodzenia za pracę, dzięki znacznemu podwyższeniu wysokości minimalnego wynagrodzenia za pracę, kwota świadczenia pielęgnacyjnego została podwyższona z kwoty 1</w:t>
      </w:r>
      <w:r w:rsidR="0052333A">
        <w:rPr>
          <w:rFonts w:ascii="Times New Roman" w:hAnsi="Times New Roman"/>
          <w:bCs/>
          <w:sz w:val="24"/>
          <w:szCs w:val="24"/>
        </w:rPr>
        <w:t xml:space="preserve"> </w:t>
      </w:r>
      <w:r w:rsidRPr="0052333A">
        <w:rPr>
          <w:rFonts w:ascii="Times New Roman" w:hAnsi="Times New Roman"/>
          <w:bCs/>
          <w:sz w:val="24"/>
          <w:szCs w:val="24"/>
        </w:rPr>
        <w:t>530 zł do kwoty 1</w:t>
      </w:r>
      <w:r w:rsidR="0052333A">
        <w:rPr>
          <w:rFonts w:ascii="Times New Roman" w:hAnsi="Times New Roman"/>
          <w:bCs/>
          <w:sz w:val="24"/>
          <w:szCs w:val="24"/>
        </w:rPr>
        <w:t xml:space="preserve"> </w:t>
      </w:r>
      <w:r w:rsidRPr="0052333A">
        <w:rPr>
          <w:rFonts w:ascii="Times New Roman" w:hAnsi="Times New Roman"/>
          <w:bCs/>
          <w:sz w:val="24"/>
          <w:szCs w:val="24"/>
        </w:rPr>
        <w:t>830 zł;</w:t>
      </w:r>
    </w:p>
    <w:p w14:paraId="0538F937" w14:textId="77777777" w:rsidR="00FA62C1" w:rsidRPr="0052333A" w:rsidRDefault="00FA62C1" w:rsidP="008C71A9">
      <w:pPr>
        <w:pStyle w:val="Akapitzlist"/>
        <w:numPr>
          <w:ilvl w:val="0"/>
          <w:numId w:val="295"/>
        </w:numPr>
        <w:tabs>
          <w:tab w:val="left" w:pos="851"/>
        </w:tabs>
        <w:spacing w:after="0"/>
        <w:ind w:left="360"/>
        <w:jc w:val="both"/>
        <w:rPr>
          <w:rFonts w:ascii="Times New Roman" w:hAnsi="Times New Roman"/>
          <w:sz w:val="24"/>
          <w:szCs w:val="24"/>
        </w:rPr>
      </w:pPr>
      <w:r w:rsidRPr="0052333A">
        <w:rPr>
          <w:rFonts w:ascii="Times New Roman" w:hAnsi="Times New Roman"/>
          <w:bCs/>
          <w:sz w:val="24"/>
          <w:szCs w:val="24"/>
        </w:rPr>
        <w:t>od 1 listopada 2019 r. wszedł w życie drugi etap podwyższenia wysokości zasiłku pielęgnacyjnego do kwoty 215,84 zł miesięcznie (od 1 listopada 2018 r. do 31 października 2019 r. zasiłek pielęgnacyjny wynosił 184,42 zł miesięcznie, zaś przed 1 listopada 2018 r. przez 12 lat zasiłek wynosił 153 zł).</w:t>
      </w:r>
    </w:p>
    <w:p w14:paraId="75BD6C5F" w14:textId="77777777" w:rsidR="00FA62C1" w:rsidRDefault="00FA62C1" w:rsidP="00776E73">
      <w:pPr>
        <w:spacing w:after="0"/>
        <w:jc w:val="both"/>
        <w:rPr>
          <w:rFonts w:ascii="Times New Roman" w:hAnsi="Times New Roman"/>
          <w:bCs/>
          <w:sz w:val="24"/>
          <w:szCs w:val="24"/>
        </w:rPr>
      </w:pPr>
    </w:p>
    <w:p w14:paraId="7EF37DF5" w14:textId="77777777" w:rsidR="00744B33" w:rsidRDefault="00744B33" w:rsidP="00744B33">
      <w:pPr>
        <w:spacing w:after="0"/>
        <w:jc w:val="both"/>
        <w:rPr>
          <w:rFonts w:ascii="Times New Roman" w:hAnsi="Times New Roman"/>
          <w:bCs/>
          <w:sz w:val="24"/>
          <w:szCs w:val="24"/>
        </w:rPr>
      </w:pPr>
      <w:r>
        <w:rPr>
          <w:rFonts w:ascii="Times New Roman" w:hAnsi="Times New Roman"/>
          <w:bCs/>
          <w:sz w:val="24"/>
          <w:szCs w:val="24"/>
        </w:rPr>
        <w:t>W 2019 r. wypłacono:</w:t>
      </w:r>
    </w:p>
    <w:p w14:paraId="5E340D2C" w14:textId="77777777" w:rsidR="00744B33" w:rsidRDefault="00FA62C1" w:rsidP="008C71A9">
      <w:pPr>
        <w:pStyle w:val="Akapitzlist"/>
        <w:numPr>
          <w:ilvl w:val="0"/>
          <w:numId w:val="296"/>
        </w:numPr>
        <w:spacing w:after="0"/>
        <w:ind w:left="360"/>
        <w:jc w:val="both"/>
        <w:rPr>
          <w:rFonts w:ascii="Times New Roman" w:hAnsi="Times New Roman"/>
          <w:bCs/>
          <w:sz w:val="24"/>
          <w:szCs w:val="24"/>
        </w:rPr>
      </w:pPr>
      <w:r w:rsidRPr="00744B33">
        <w:rPr>
          <w:rFonts w:ascii="Times New Roman" w:hAnsi="Times New Roman"/>
          <w:bCs/>
          <w:sz w:val="24"/>
          <w:szCs w:val="24"/>
        </w:rPr>
        <w:t xml:space="preserve">przeciętnie miesięcznie 923,8 tys. zasiłków pielęgnacyjnych na kwotę ogółem </w:t>
      </w:r>
      <w:r w:rsidRPr="00744B33">
        <w:rPr>
          <w:rFonts w:ascii="Times New Roman" w:hAnsi="Times New Roman"/>
          <w:bCs/>
          <w:sz w:val="24"/>
          <w:szCs w:val="24"/>
        </w:rPr>
        <w:br/>
        <w:t xml:space="preserve">2 097,9 mln zł, w tym 19,9 tys. zasiłków pielęgnacyjnych dla osób, które ukończyły 75 lat </w:t>
      </w:r>
      <w:r w:rsidRPr="00744B33">
        <w:rPr>
          <w:rFonts w:ascii="Times New Roman" w:hAnsi="Times New Roman"/>
          <w:bCs/>
          <w:sz w:val="24"/>
          <w:szCs w:val="24"/>
        </w:rPr>
        <w:br/>
        <w:t>i nie są uprawnione do dodatku pielęgnacyjnego, na kwotę ogółem 45,1 mln zł;</w:t>
      </w:r>
    </w:p>
    <w:p w14:paraId="0DEA43DA" w14:textId="77777777" w:rsidR="00744B33" w:rsidRDefault="00FA62C1" w:rsidP="008C71A9">
      <w:pPr>
        <w:pStyle w:val="Akapitzlist"/>
        <w:numPr>
          <w:ilvl w:val="0"/>
          <w:numId w:val="296"/>
        </w:numPr>
        <w:spacing w:after="0"/>
        <w:ind w:left="360"/>
        <w:jc w:val="both"/>
        <w:rPr>
          <w:rFonts w:ascii="Times New Roman" w:hAnsi="Times New Roman"/>
          <w:bCs/>
          <w:sz w:val="24"/>
          <w:szCs w:val="24"/>
        </w:rPr>
      </w:pPr>
      <w:r w:rsidRPr="00744B33">
        <w:rPr>
          <w:rFonts w:ascii="Times New Roman" w:hAnsi="Times New Roman"/>
          <w:bCs/>
          <w:sz w:val="24"/>
          <w:szCs w:val="24"/>
        </w:rPr>
        <w:t>przeciętnie miesięcznie 142,7 tys. świadczeń pielęgnacyjnych na kwotę ogółem 2 690,0 mln zł;</w:t>
      </w:r>
    </w:p>
    <w:p w14:paraId="6F39C720" w14:textId="77777777" w:rsidR="00744B33" w:rsidRDefault="00FA62C1" w:rsidP="008C71A9">
      <w:pPr>
        <w:pStyle w:val="Akapitzlist"/>
        <w:numPr>
          <w:ilvl w:val="0"/>
          <w:numId w:val="296"/>
        </w:numPr>
        <w:spacing w:after="0"/>
        <w:ind w:left="360"/>
        <w:jc w:val="both"/>
        <w:rPr>
          <w:rFonts w:ascii="Times New Roman" w:hAnsi="Times New Roman"/>
          <w:bCs/>
          <w:sz w:val="24"/>
          <w:szCs w:val="24"/>
        </w:rPr>
      </w:pPr>
      <w:r w:rsidRPr="00744B33">
        <w:rPr>
          <w:rFonts w:ascii="Times New Roman" w:hAnsi="Times New Roman"/>
          <w:bCs/>
          <w:sz w:val="24"/>
          <w:szCs w:val="24"/>
        </w:rPr>
        <w:t xml:space="preserve">przeciętnie miesięcznie 39,1 tys. specjalnych zasiłków opiekuńczych na kwotę ogółem </w:t>
      </w:r>
      <w:r w:rsidRPr="00744B33">
        <w:rPr>
          <w:rFonts w:ascii="Times New Roman" w:hAnsi="Times New Roman"/>
          <w:bCs/>
          <w:sz w:val="24"/>
          <w:szCs w:val="24"/>
        </w:rPr>
        <w:br/>
        <w:t>287,1 mln zł;</w:t>
      </w:r>
    </w:p>
    <w:p w14:paraId="16991B07" w14:textId="77777777" w:rsidR="00FA62C1" w:rsidRPr="00744B33" w:rsidRDefault="00FA62C1" w:rsidP="008C71A9">
      <w:pPr>
        <w:pStyle w:val="Akapitzlist"/>
        <w:numPr>
          <w:ilvl w:val="0"/>
          <w:numId w:val="296"/>
        </w:numPr>
        <w:spacing w:after="0"/>
        <w:ind w:left="360"/>
        <w:jc w:val="both"/>
        <w:rPr>
          <w:rFonts w:ascii="Times New Roman" w:hAnsi="Times New Roman"/>
          <w:bCs/>
          <w:sz w:val="24"/>
          <w:szCs w:val="24"/>
        </w:rPr>
      </w:pPr>
      <w:r w:rsidRPr="00744B33">
        <w:rPr>
          <w:rFonts w:ascii="Times New Roman" w:hAnsi="Times New Roman"/>
          <w:bCs/>
          <w:sz w:val="24"/>
          <w:szCs w:val="24"/>
        </w:rPr>
        <w:t>przeciętnie miesięczne 19,7 tys. zasiłków dla opiekuna na kwotę ogółem 145,7 mln zł.</w:t>
      </w:r>
    </w:p>
    <w:p w14:paraId="0AAE8D86" w14:textId="77777777" w:rsidR="00FA62C1" w:rsidRDefault="00FA62C1" w:rsidP="00776E73">
      <w:pPr>
        <w:spacing w:after="0"/>
        <w:jc w:val="both"/>
        <w:rPr>
          <w:rFonts w:ascii="Times New Roman" w:hAnsi="Times New Roman"/>
          <w:bCs/>
          <w:sz w:val="24"/>
          <w:szCs w:val="24"/>
        </w:rPr>
      </w:pPr>
    </w:p>
    <w:p w14:paraId="65780713" w14:textId="77777777" w:rsidR="00FA62C1" w:rsidRPr="00B47428" w:rsidRDefault="00FA62C1" w:rsidP="00776E73">
      <w:pPr>
        <w:spacing w:after="0"/>
        <w:jc w:val="both"/>
        <w:rPr>
          <w:rFonts w:ascii="Times New Roman" w:hAnsi="Times New Roman"/>
          <w:bCs/>
          <w:sz w:val="24"/>
          <w:szCs w:val="24"/>
        </w:rPr>
      </w:pPr>
      <w:r>
        <w:rPr>
          <w:rFonts w:ascii="Times New Roman" w:hAnsi="Times New Roman"/>
          <w:bCs/>
          <w:sz w:val="24"/>
          <w:szCs w:val="24"/>
        </w:rPr>
        <w:t xml:space="preserve">Na opłacenie </w:t>
      </w:r>
      <w:r w:rsidRPr="00B47428">
        <w:rPr>
          <w:rFonts w:ascii="Times New Roman" w:hAnsi="Times New Roman"/>
          <w:sz w:val="24"/>
          <w:szCs w:val="24"/>
        </w:rPr>
        <w:t>skład</w:t>
      </w:r>
      <w:r>
        <w:rPr>
          <w:rFonts w:ascii="Times New Roman" w:hAnsi="Times New Roman"/>
          <w:sz w:val="24"/>
          <w:szCs w:val="24"/>
        </w:rPr>
        <w:t>ek</w:t>
      </w:r>
      <w:r w:rsidRPr="00B47428">
        <w:rPr>
          <w:rFonts w:ascii="Times New Roman" w:hAnsi="Times New Roman"/>
          <w:sz w:val="24"/>
          <w:szCs w:val="24"/>
        </w:rPr>
        <w:t xml:space="preserve"> na ubezpieczenia emerytalne, rentowe i ubezpieczenie zdrowotne</w:t>
      </w:r>
      <w:r>
        <w:rPr>
          <w:rFonts w:ascii="Times New Roman" w:hAnsi="Times New Roman"/>
          <w:sz w:val="24"/>
          <w:szCs w:val="24"/>
        </w:rPr>
        <w:t xml:space="preserve"> </w:t>
      </w:r>
      <w:r w:rsidRPr="00B47428">
        <w:rPr>
          <w:rFonts w:ascii="Times New Roman" w:hAnsi="Times New Roman"/>
          <w:sz w:val="24"/>
          <w:szCs w:val="24"/>
        </w:rPr>
        <w:t>za osoby otrzymujące specjalny zasiłek opiekuńczy, świadczenie pielęgnacyjne oraz zasiłek dla opiekuna</w:t>
      </w:r>
      <w:r>
        <w:rPr>
          <w:rFonts w:ascii="Times New Roman" w:hAnsi="Times New Roman"/>
          <w:sz w:val="24"/>
          <w:szCs w:val="24"/>
        </w:rPr>
        <w:t xml:space="preserve"> wydatkowano w 2019 r. 684,3 mln zł</w:t>
      </w:r>
      <w:r w:rsidRPr="00B47428">
        <w:rPr>
          <w:rFonts w:ascii="Times New Roman" w:hAnsi="Times New Roman"/>
          <w:sz w:val="24"/>
          <w:szCs w:val="24"/>
        </w:rPr>
        <w:t>.</w:t>
      </w:r>
    </w:p>
    <w:p w14:paraId="48B442FC" w14:textId="77777777" w:rsidR="00FA62C1" w:rsidRDefault="00FA62C1" w:rsidP="00776E73">
      <w:pPr>
        <w:spacing w:after="0"/>
        <w:jc w:val="both"/>
        <w:rPr>
          <w:rFonts w:ascii="Times New Roman" w:hAnsi="Times New Roman"/>
          <w:sz w:val="24"/>
          <w:szCs w:val="24"/>
        </w:rPr>
      </w:pPr>
    </w:p>
    <w:p w14:paraId="467AAAA4" w14:textId="77777777" w:rsidR="00FA62C1" w:rsidRPr="00B47428" w:rsidRDefault="00FA62C1" w:rsidP="00776E73">
      <w:pPr>
        <w:spacing w:after="0"/>
        <w:jc w:val="both"/>
        <w:rPr>
          <w:rFonts w:ascii="Times New Roman" w:hAnsi="Times New Roman"/>
          <w:bCs/>
          <w:sz w:val="24"/>
          <w:szCs w:val="24"/>
        </w:rPr>
      </w:pPr>
      <w:r w:rsidRPr="00B47428">
        <w:rPr>
          <w:rFonts w:ascii="Times New Roman" w:hAnsi="Times New Roman"/>
          <w:sz w:val="24"/>
          <w:szCs w:val="24"/>
        </w:rPr>
        <w:t>Głównym postulatem opiekunów dorosłych osób niepełnosprawnych jest realizacja wyroku Trybunału Konstytucyjnego z dnia 21</w:t>
      </w:r>
      <w:r w:rsidRPr="00B47428">
        <w:rPr>
          <w:rFonts w:ascii="Times New Roman" w:hAnsi="Times New Roman"/>
          <w:bCs/>
          <w:sz w:val="24"/>
          <w:szCs w:val="24"/>
        </w:rPr>
        <w:t xml:space="preserve"> października 2014 r., sygn. akt K 38/13, </w:t>
      </w:r>
      <w:r w:rsidRPr="00B47428">
        <w:rPr>
          <w:rFonts w:ascii="Times New Roman" w:hAnsi="Times New Roman"/>
          <w:bCs/>
          <w:sz w:val="24"/>
          <w:szCs w:val="24"/>
        </w:rPr>
        <w:br/>
        <w:t xml:space="preserve">w którym to wyroku Trybunał Konstytucyjny zakwestionował przepis art. 17 ust. 1b </w:t>
      </w:r>
      <w:r w:rsidRPr="00744B33">
        <w:rPr>
          <w:rFonts w:ascii="Times New Roman" w:hAnsi="Times New Roman"/>
          <w:bCs/>
          <w:i/>
          <w:sz w:val="24"/>
          <w:szCs w:val="24"/>
        </w:rPr>
        <w:t xml:space="preserve">ustawy </w:t>
      </w:r>
      <w:r w:rsidRPr="00744B33">
        <w:rPr>
          <w:rFonts w:ascii="Times New Roman" w:hAnsi="Times New Roman"/>
          <w:bCs/>
          <w:i/>
          <w:sz w:val="24"/>
          <w:szCs w:val="24"/>
        </w:rPr>
        <w:br/>
        <w:t>o świadczeniach rodzinnych</w:t>
      </w:r>
      <w:r w:rsidRPr="00B47428">
        <w:rPr>
          <w:rFonts w:ascii="Times New Roman" w:hAnsi="Times New Roman"/>
          <w:bCs/>
          <w:sz w:val="24"/>
          <w:szCs w:val="24"/>
        </w:rPr>
        <w:t xml:space="preserve"> uzależniający prawo do świadczenia pielęgnacyjnego od daty powstania niepełnospraw</w:t>
      </w:r>
      <w:r w:rsidR="00744B33">
        <w:rPr>
          <w:rFonts w:ascii="Times New Roman" w:hAnsi="Times New Roman"/>
          <w:bCs/>
          <w:sz w:val="24"/>
          <w:szCs w:val="24"/>
        </w:rPr>
        <w:t xml:space="preserve">ności osoby wymagającej opieki. </w:t>
      </w:r>
      <w:r w:rsidRPr="00B47428">
        <w:rPr>
          <w:rFonts w:ascii="Times New Roman" w:hAnsi="Times New Roman"/>
          <w:bCs/>
          <w:sz w:val="24"/>
          <w:szCs w:val="24"/>
        </w:rPr>
        <w:t>Od realizacji ww. wyroku, zależy kształt systemowego wsparcia opiekunów niesamodzielnych osób niepełnosprawnych, którzy zakończyli aktywność zawodow</w:t>
      </w:r>
      <w:r>
        <w:rPr>
          <w:rFonts w:ascii="Times New Roman" w:hAnsi="Times New Roman"/>
          <w:bCs/>
          <w:sz w:val="24"/>
          <w:szCs w:val="24"/>
        </w:rPr>
        <w:t xml:space="preserve">ą </w:t>
      </w:r>
      <w:r w:rsidRPr="00B47428">
        <w:rPr>
          <w:rFonts w:ascii="Times New Roman" w:hAnsi="Times New Roman"/>
          <w:bCs/>
          <w:sz w:val="24"/>
          <w:szCs w:val="24"/>
        </w:rPr>
        <w:t>z powodu konieczności zapewnienia stałej opieki niepe</w:t>
      </w:r>
      <w:r w:rsidR="00744B33">
        <w:rPr>
          <w:rFonts w:ascii="Times New Roman" w:hAnsi="Times New Roman"/>
          <w:bCs/>
          <w:sz w:val="24"/>
          <w:szCs w:val="24"/>
        </w:rPr>
        <w:t xml:space="preserve">łnosprawnemu członkowi rodziny. </w:t>
      </w:r>
      <w:r w:rsidRPr="00B47428">
        <w:rPr>
          <w:rFonts w:ascii="Times New Roman" w:hAnsi="Times New Roman"/>
          <w:bCs/>
          <w:sz w:val="24"/>
          <w:szCs w:val="24"/>
        </w:rPr>
        <w:t xml:space="preserve">Jednakże, aby postulat dotyczący realizacji ww. wyroku Trybunału Konstytucyjnego, mógł zostać zrealizowany, niezbędne są </w:t>
      </w:r>
      <w:r>
        <w:rPr>
          <w:rFonts w:ascii="Times New Roman" w:hAnsi="Times New Roman"/>
          <w:bCs/>
          <w:sz w:val="24"/>
          <w:szCs w:val="24"/>
        </w:rPr>
        <w:t xml:space="preserve">zmiany w systemie </w:t>
      </w:r>
      <w:r>
        <w:rPr>
          <w:rFonts w:ascii="Times New Roman" w:hAnsi="Times New Roman"/>
          <w:bCs/>
          <w:sz w:val="24"/>
          <w:szCs w:val="24"/>
        </w:rPr>
        <w:lastRenderedPageBreak/>
        <w:t xml:space="preserve">orzecznictwa </w:t>
      </w:r>
      <w:r w:rsidRPr="00B47428">
        <w:rPr>
          <w:rFonts w:ascii="Times New Roman" w:hAnsi="Times New Roman"/>
          <w:bCs/>
          <w:sz w:val="24"/>
          <w:szCs w:val="24"/>
        </w:rPr>
        <w:t>o niepełnosprawności, w oparciu o który możliw</w:t>
      </w:r>
      <w:r>
        <w:rPr>
          <w:rFonts w:ascii="Times New Roman" w:hAnsi="Times New Roman"/>
          <w:bCs/>
          <w:sz w:val="24"/>
          <w:szCs w:val="24"/>
        </w:rPr>
        <w:t xml:space="preserve">e będzie wyodrębnienie spośród </w:t>
      </w:r>
      <w:r w:rsidRPr="00B47428">
        <w:rPr>
          <w:rFonts w:ascii="Times New Roman" w:hAnsi="Times New Roman"/>
          <w:bCs/>
          <w:sz w:val="24"/>
          <w:szCs w:val="24"/>
        </w:rPr>
        <w:t>osób niepełnosprawnych - osób faktycznie niesamodzielnych, których funkcjonowanie bezwzględnie wymaga pomocy opiekuna uprawnionego do odpowi</w:t>
      </w:r>
      <w:r w:rsidR="00744B33">
        <w:rPr>
          <w:rFonts w:ascii="Times New Roman" w:hAnsi="Times New Roman"/>
          <w:bCs/>
          <w:sz w:val="24"/>
          <w:szCs w:val="24"/>
        </w:rPr>
        <w:t xml:space="preserve">ednich świadczeń opiekuńczych. </w:t>
      </w:r>
      <w:r w:rsidRPr="00B47428">
        <w:rPr>
          <w:rFonts w:ascii="Times New Roman" w:hAnsi="Times New Roman"/>
          <w:bCs/>
          <w:sz w:val="24"/>
          <w:szCs w:val="24"/>
        </w:rPr>
        <w:t>Dopiero po wprowadzeniu zmian w systemie orzecznictwa, możliwe będzie zakończenie prac nad realizacją ww. wyroku TK.</w:t>
      </w:r>
    </w:p>
    <w:p w14:paraId="6AF14166" w14:textId="77777777" w:rsidR="00FA62C1" w:rsidRDefault="00FA62C1" w:rsidP="00776E73">
      <w:pPr>
        <w:spacing w:after="0"/>
        <w:jc w:val="both"/>
        <w:rPr>
          <w:rFonts w:ascii="Times New Roman" w:hAnsi="Times New Roman"/>
          <w:sz w:val="24"/>
          <w:szCs w:val="24"/>
        </w:rPr>
      </w:pPr>
    </w:p>
    <w:p w14:paraId="4466CE81" w14:textId="77777777" w:rsidR="00FA62C1" w:rsidRPr="002C1314" w:rsidRDefault="00FA62C1" w:rsidP="002C1314">
      <w:pPr>
        <w:spacing w:after="0"/>
        <w:jc w:val="both"/>
        <w:rPr>
          <w:rFonts w:ascii="Times New Roman" w:hAnsi="Times New Roman"/>
          <w:sz w:val="24"/>
          <w:szCs w:val="24"/>
        </w:rPr>
      </w:pPr>
      <w:r w:rsidRPr="00B47428">
        <w:rPr>
          <w:rFonts w:ascii="Times New Roman" w:hAnsi="Times New Roman"/>
          <w:sz w:val="24"/>
          <w:szCs w:val="24"/>
        </w:rPr>
        <w:t xml:space="preserve">W związku z powyższym, dostrzegając zasadność realizacji postulatów zgłaszanych przez środowiska osób niepełnosprawnych, wprowadzenie zmian dotyczących zwiększenia wsparcia opiekunów dorosłych osób niepełnosprawnych będzie możliwe do zrealizowania </w:t>
      </w:r>
      <w:r w:rsidRPr="00B47428">
        <w:rPr>
          <w:rFonts w:ascii="Times New Roman" w:hAnsi="Times New Roman"/>
          <w:sz w:val="24"/>
          <w:szCs w:val="24"/>
        </w:rPr>
        <w:br/>
        <w:t>po wcześniejszym uregulowaniu kwestii podstawowej dla kształtu systemu świadczeń opiekuńczych, tj. ww. wyroku Trybunału Konstytucyjnego w oparciu o zreformowane orz</w:t>
      </w:r>
      <w:r w:rsidR="002C1314">
        <w:rPr>
          <w:rFonts w:ascii="Times New Roman" w:hAnsi="Times New Roman"/>
          <w:sz w:val="24"/>
          <w:szCs w:val="24"/>
        </w:rPr>
        <w:t>ecznictwo o niepełnosprawności.</w:t>
      </w:r>
    </w:p>
    <w:p w14:paraId="370D0CCC" w14:textId="77777777" w:rsidR="00D92613" w:rsidRPr="00A56113" w:rsidRDefault="00891D5D" w:rsidP="00A56113">
      <w:pPr>
        <w:pStyle w:val="Nagwek2"/>
        <w:numPr>
          <w:ilvl w:val="1"/>
          <w:numId w:val="383"/>
        </w:numPr>
        <w:spacing w:before="240" w:after="240"/>
        <w:ind w:left="432"/>
        <w:rPr>
          <w:rFonts w:cs="Times New Roman"/>
          <w:sz w:val="40"/>
        </w:rPr>
      </w:pPr>
      <w:bookmarkStart w:id="17" w:name="_Toc49171330"/>
      <w:r w:rsidRPr="00A56113">
        <w:rPr>
          <w:rFonts w:cs="Times New Roman"/>
          <w:sz w:val="40"/>
        </w:rPr>
        <w:t>Sytuacja na rynku pracy</w:t>
      </w:r>
      <w:bookmarkEnd w:id="17"/>
    </w:p>
    <w:p w14:paraId="0AB0B119" w14:textId="2AF5E102" w:rsidR="00D92613" w:rsidRPr="00D92613" w:rsidRDefault="00D92613" w:rsidP="00744B33">
      <w:pPr>
        <w:spacing w:after="0"/>
        <w:jc w:val="both"/>
        <w:rPr>
          <w:rFonts w:ascii="Times New Roman" w:eastAsia="Lucida Sans Unicode" w:hAnsi="Times New Roman" w:cs="Times New Roman"/>
          <w:sz w:val="24"/>
          <w:szCs w:val="24"/>
          <w:lang w:eastAsia="ar-SA"/>
        </w:rPr>
      </w:pPr>
      <w:r>
        <w:rPr>
          <w:rFonts w:ascii="Times New Roman" w:eastAsia="Lucida Sans Unicode" w:hAnsi="Times New Roman" w:cs="Times New Roman"/>
          <w:sz w:val="24"/>
          <w:szCs w:val="24"/>
          <w:lang w:eastAsia="ar-SA"/>
        </w:rPr>
        <w:t xml:space="preserve">W kompetencjach Ministra Rodziny, Pracy i Polityki Społecznej pozostaje kształtowanie polityki rynku pracy w zakresie i formach, określonych w </w:t>
      </w:r>
      <w:r w:rsidRPr="00744B33">
        <w:rPr>
          <w:rFonts w:ascii="Times New Roman" w:eastAsia="Lucida Sans Unicode" w:hAnsi="Times New Roman" w:cs="Times New Roman"/>
          <w:i/>
          <w:sz w:val="24"/>
          <w:szCs w:val="24"/>
          <w:lang w:eastAsia="ar-SA"/>
        </w:rPr>
        <w:t>ustawie</w:t>
      </w:r>
      <w:r w:rsidR="005467D3">
        <w:rPr>
          <w:rFonts w:ascii="Times New Roman" w:eastAsia="Lucida Sans Unicode" w:hAnsi="Times New Roman" w:cs="Times New Roman"/>
          <w:i/>
          <w:sz w:val="24"/>
          <w:szCs w:val="24"/>
          <w:lang w:eastAsia="ar-SA"/>
        </w:rPr>
        <w:t xml:space="preserve"> z dnia 20 kwietnia 2004 r.</w:t>
      </w:r>
      <w:r w:rsidRPr="00744B33">
        <w:rPr>
          <w:rFonts w:ascii="Times New Roman" w:eastAsia="Lucida Sans Unicode" w:hAnsi="Times New Roman" w:cs="Times New Roman"/>
          <w:i/>
          <w:sz w:val="24"/>
          <w:szCs w:val="24"/>
          <w:lang w:eastAsia="ar-SA"/>
        </w:rPr>
        <w:t xml:space="preserve"> o promocji zatrudnienia</w:t>
      </w:r>
      <w:r>
        <w:rPr>
          <w:rFonts w:ascii="Times New Roman" w:eastAsia="Lucida Sans Unicode" w:hAnsi="Times New Roman" w:cs="Times New Roman"/>
          <w:sz w:val="24"/>
          <w:szCs w:val="24"/>
          <w:lang w:eastAsia="ar-SA"/>
        </w:rPr>
        <w:t xml:space="preserve"> </w:t>
      </w:r>
      <w:r w:rsidR="005467D3" w:rsidRPr="005467D3">
        <w:rPr>
          <w:rFonts w:ascii="Times New Roman" w:eastAsia="Lucida Sans Unicode" w:hAnsi="Times New Roman" w:cs="Times New Roman"/>
          <w:i/>
          <w:sz w:val="24"/>
          <w:szCs w:val="24"/>
          <w:lang w:eastAsia="ar-SA"/>
        </w:rPr>
        <w:t>i instytucjach rynku pracy</w:t>
      </w:r>
      <w:r w:rsidR="005467D3">
        <w:rPr>
          <w:rFonts w:ascii="Times New Roman" w:eastAsia="Lucida Sans Unicode" w:hAnsi="Times New Roman" w:cs="Times New Roman"/>
          <w:sz w:val="24"/>
          <w:szCs w:val="24"/>
          <w:lang w:eastAsia="ar-SA"/>
        </w:rPr>
        <w:t xml:space="preserve"> (Dz. U. z 2020 r. poz. 1409)</w:t>
      </w:r>
      <w:r>
        <w:rPr>
          <w:rFonts w:ascii="Times New Roman" w:eastAsia="Lucida Sans Unicode" w:hAnsi="Times New Roman" w:cs="Times New Roman"/>
          <w:sz w:val="24"/>
          <w:szCs w:val="24"/>
          <w:lang w:eastAsia="ar-SA"/>
        </w:rPr>
        <w:t xml:space="preserve">. </w:t>
      </w:r>
      <w:r w:rsidRPr="00D92613">
        <w:rPr>
          <w:rFonts w:ascii="Times New Roman" w:eastAsia="Lucida Sans Unicode" w:hAnsi="Times New Roman" w:cs="Times New Roman"/>
          <w:sz w:val="24"/>
          <w:szCs w:val="24"/>
          <w:lang w:eastAsia="ar-SA"/>
        </w:rPr>
        <w:t>Stąd działania resortu - zgodnie z przepisami ustawy, koncentrują się na podejmowaniu działań aktywizacyjnych wobec osób zarejestrowanych w urzędach pracy, w tym przede wszystkim wobec osób będących w szczególnie trudnej sytuacji na rynku, do których zalicza się również bezrobotnych powyżej 50 roku życia. Resort pracy koncentruje się na wprowadzaniu takich rozwiązań systemowych, które ukierunkowane są na efektywną aktywizację osób zarejestrowanych w urzędach pracy i długotrwałą współpracę powiatowyc</w:t>
      </w:r>
      <w:r>
        <w:rPr>
          <w:rFonts w:ascii="Times New Roman" w:eastAsia="Lucida Sans Unicode" w:hAnsi="Times New Roman" w:cs="Times New Roman"/>
          <w:sz w:val="24"/>
          <w:szCs w:val="24"/>
          <w:lang w:eastAsia="ar-SA"/>
        </w:rPr>
        <w:t>h urzędów pracy z pracodawcami.</w:t>
      </w:r>
    </w:p>
    <w:p w14:paraId="3786CE65" w14:textId="77777777" w:rsidR="00D92613" w:rsidRDefault="00D92613" w:rsidP="00744B33">
      <w:pPr>
        <w:spacing w:after="0"/>
        <w:jc w:val="both"/>
        <w:rPr>
          <w:rFonts w:ascii="Times New Roman" w:eastAsia="Lucida Sans Unicode" w:hAnsi="Times New Roman" w:cs="Times New Roman"/>
          <w:sz w:val="24"/>
          <w:szCs w:val="24"/>
          <w:lang w:eastAsia="ar-SA"/>
        </w:rPr>
      </w:pPr>
    </w:p>
    <w:p w14:paraId="49A8C904" w14:textId="0FE396DA" w:rsidR="00D92613" w:rsidRPr="00D92613" w:rsidRDefault="00D92613" w:rsidP="00744B33">
      <w:pPr>
        <w:spacing w:after="0"/>
        <w:jc w:val="both"/>
        <w:rPr>
          <w:rFonts w:ascii="Times New Roman" w:eastAsia="Lucida Sans Unicode" w:hAnsi="Times New Roman" w:cs="Times New Roman"/>
          <w:sz w:val="24"/>
          <w:szCs w:val="24"/>
          <w:lang w:eastAsia="ar-SA"/>
        </w:rPr>
      </w:pPr>
      <w:r w:rsidRPr="00744B33">
        <w:rPr>
          <w:rFonts w:ascii="Times New Roman" w:eastAsia="Lucida Sans Unicode" w:hAnsi="Times New Roman" w:cs="Times New Roman"/>
          <w:i/>
          <w:sz w:val="24"/>
          <w:szCs w:val="24"/>
          <w:lang w:eastAsia="ar-SA"/>
        </w:rPr>
        <w:t xml:space="preserve">Ustawa </w:t>
      </w:r>
      <w:r w:rsidR="005467D3">
        <w:rPr>
          <w:rFonts w:ascii="Times New Roman" w:eastAsia="Lucida Sans Unicode" w:hAnsi="Times New Roman" w:cs="Times New Roman"/>
          <w:i/>
          <w:sz w:val="24"/>
          <w:szCs w:val="24"/>
          <w:lang w:eastAsia="ar-SA"/>
        </w:rPr>
        <w:t xml:space="preserve">z dnia 20 kwietnia 2020 r. </w:t>
      </w:r>
      <w:r w:rsidRPr="00744B33">
        <w:rPr>
          <w:rFonts w:ascii="Times New Roman" w:eastAsia="Lucida Sans Unicode" w:hAnsi="Times New Roman" w:cs="Times New Roman"/>
          <w:i/>
          <w:sz w:val="24"/>
          <w:szCs w:val="24"/>
          <w:lang w:eastAsia="ar-SA"/>
        </w:rPr>
        <w:t>o promocji zatrudnienia</w:t>
      </w:r>
      <w:r w:rsidRPr="00D92613">
        <w:rPr>
          <w:rFonts w:ascii="Times New Roman" w:eastAsia="Lucida Sans Unicode" w:hAnsi="Times New Roman" w:cs="Times New Roman"/>
          <w:sz w:val="24"/>
          <w:szCs w:val="24"/>
          <w:lang w:eastAsia="ar-SA"/>
        </w:rPr>
        <w:t xml:space="preserve"> </w:t>
      </w:r>
      <w:r w:rsidR="005467D3" w:rsidRPr="005467D3">
        <w:rPr>
          <w:rFonts w:ascii="Times New Roman" w:eastAsia="Lucida Sans Unicode" w:hAnsi="Times New Roman" w:cs="Times New Roman"/>
          <w:i/>
          <w:sz w:val="24"/>
          <w:szCs w:val="24"/>
          <w:lang w:eastAsia="ar-SA"/>
        </w:rPr>
        <w:t>i instytucjach rynku pracy</w:t>
      </w:r>
      <w:r w:rsidRPr="00D92613">
        <w:rPr>
          <w:rFonts w:ascii="Times New Roman" w:eastAsia="Lucida Sans Unicode" w:hAnsi="Times New Roman" w:cs="Times New Roman"/>
          <w:sz w:val="24"/>
          <w:szCs w:val="24"/>
          <w:lang w:eastAsia="ar-SA"/>
        </w:rPr>
        <w:t xml:space="preserve"> przewiduje instrumenty adresowane do pracodawców, których celem jest tworzenie i utrzymanie miejsc pracy m.in. dla osób powyżej 50 roku życia.</w:t>
      </w:r>
    </w:p>
    <w:p w14:paraId="6B346D80" w14:textId="77777777" w:rsidR="00D92613" w:rsidRDefault="00D92613" w:rsidP="00744B33">
      <w:pPr>
        <w:autoSpaceDE w:val="0"/>
        <w:autoSpaceDN w:val="0"/>
        <w:adjustRightInd w:val="0"/>
        <w:spacing w:after="0"/>
        <w:jc w:val="both"/>
        <w:rPr>
          <w:rFonts w:ascii="Times New Roman" w:hAnsi="Times New Roman" w:cs="Times New Roman"/>
          <w:sz w:val="24"/>
          <w:szCs w:val="24"/>
        </w:rPr>
      </w:pPr>
    </w:p>
    <w:p w14:paraId="5559B98A" w14:textId="77777777" w:rsidR="00D92613" w:rsidRPr="00D92613" w:rsidRDefault="00D92613" w:rsidP="00744B33">
      <w:pPr>
        <w:autoSpaceDE w:val="0"/>
        <w:autoSpaceDN w:val="0"/>
        <w:adjustRightInd w:val="0"/>
        <w:spacing w:after="0"/>
        <w:jc w:val="both"/>
        <w:rPr>
          <w:rFonts w:ascii="Times New Roman" w:hAnsi="Times New Roman" w:cs="Times New Roman"/>
          <w:sz w:val="24"/>
          <w:szCs w:val="24"/>
        </w:rPr>
      </w:pPr>
      <w:r w:rsidRPr="00D92613">
        <w:rPr>
          <w:rFonts w:ascii="Times New Roman" w:hAnsi="Times New Roman" w:cs="Times New Roman"/>
          <w:sz w:val="24"/>
          <w:szCs w:val="24"/>
        </w:rPr>
        <w:t xml:space="preserve">Zgodnie z przepisami tej ustawy bezrobotni, którzy ukończyli 50 rok życia są zaliczani do bezrobotnych będących w szczególnej sytuacji na rynku pracy i przysługuje im pierwszeństwo w skierowaniu do udziału w programach specjalnych. </w:t>
      </w:r>
    </w:p>
    <w:p w14:paraId="6E2FCEA7" w14:textId="77777777" w:rsidR="00D92613" w:rsidRDefault="00D92613" w:rsidP="00744B33">
      <w:pPr>
        <w:spacing w:after="0"/>
        <w:jc w:val="both"/>
        <w:rPr>
          <w:rFonts w:ascii="Times New Roman" w:hAnsi="Times New Roman" w:cs="Times New Roman"/>
          <w:sz w:val="24"/>
          <w:szCs w:val="24"/>
        </w:rPr>
      </w:pPr>
    </w:p>
    <w:p w14:paraId="3B17CF9C" w14:textId="77777777" w:rsidR="00D92613" w:rsidRPr="00D92613" w:rsidRDefault="00D92613" w:rsidP="00744B33">
      <w:pPr>
        <w:spacing w:after="0"/>
        <w:jc w:val="both"/>
        <w:rPr>
          <w:rFonts w:ascii="Times New Roman" w:hAnsi="Times New Roman" w:cs="Times New Roman"/>
          <w:color w:val="000000"/>
          <w:sz w:val="24"/>
          <w:szCs w:val="24"/>
        </w:rPr>
      </w:pPr>
      <w:r w:rsidRPr="00D92613">
        <w:rPr>
          <w:rFonts w:ascii="Times New Roman" w:hAnsi="Times New Roman" w:cs="Times New Roman"/>
          <w:sz w:val="24"/>
          <w:szCs w:val="24"/>
        </w:rPr>
        <w:t xml:space="preserve">Tacy bezrobotni mogą być również skierowani do zatrudnienia u pracodawcy w ramach prac interwencyjnych na okres do 24 miesięcy, zaś w przypadku gdy refundacja wynagrodzenia i składek na ubezpieczenia społeczne jest dokonywana za co drugi miesiąc, nawet na okres </w:t>
      </w:r>
      <w:r w:rsidRPr="00D92613">
        <w:rPr>
          <w:rFonts w:ascii="Times New Roman" w:hAnsi="Times New Roman" w:cs="Times New Roman"/>
          <w:sz w:val="24"/>
          <w:szCs w:val="24"/>
        </w:rPr>
        <w:br/>
        <w:t>do 4 lat. J</w:t>
      </w:r>
      <w:r w:rsidRPr="00D92613">
        <w:rPr>
          <w:rFonts w:ascii="Times New Roman" w:hAnsi="Times New Roman" w:cs="Times New Roman"/>
          <w:color w:val="000000"/>
          <w:sz w:val="24"/>
          <w:szCs w:val="24"/>
        </w:rPr>
        <w:t>eżeli skierowani bezrobotni powyżej 50 roku życia:</w:t>
      </w:r>
    </w:p>
    <w:p w14:paraId="1B845FBA" w14:textId="77777777" w:rsidR="00D92613" w:rsidRPr="00D92613" w:rsidRDefault="00D92613" w:rsidP="008C71A9">
      <w:pPr>
        <w:numPr>
          <w:ilvl w:val="0"/>
          <w:numId w:val="214"/>
        </w:numPr>
        <w:spacing w:after="0"/>
        <w:contextualSpacing/>
        <w:jc w:val="both"/>
        <w:rPr>
          <w:rFonts w:ascii="Times New Roman" w:hAnsi="Times New Roman" w:cs="Times New Roman"/>
          <w:color w:val="000000"/>
          <w:sz w:val="24"/>
          <w:szCs w:val="24"/>
        </w:rPr>
      </w:pPr>
      <w:r w:rsidRPr="00D92613">
        <w:rPr>
          <w:rFonts w:ascii="Times New Roman" w:hAnsi="Times New Roman" w:cs="Times New Roman"/>
          <w:color w:val="000000"/>
          <w:sz w:val="24"/>
          <w:szCs w:val="24"/>
        </w:rPr>
        <w:t xml:space="preserve">spełniają warunki konieczne do nabycia prawa do świadczenia przedemerytalnego – refundacja jest przyznawana w wysokości </w:t>
      </w:r>
      <w:r w:rsidRPr="00744B33">
        <w:rPr>
          <w:rFonts w:ascii="Times New Roman" w:hAnsi="Times New Roman" w:cs="Times New Roman"/>
          <w:color w:val="000000"/>
          <w:sz w:val="24"/>
          <w:szCs w:val="24"/>
        </w:rPr>
        <w:t>do 80%</w:t>
      </w:r>
      <w:r w:rsidRPr="00D92613">
        <w:rPr>
          <w:rFonts w:ascii="Times New Roman" w:hAnsi="Times New Roman" w:cs="Times New Roman"/>
          <w:color w:val="000000"/>
          <w:sz w:val="24"/>
          <w:szCs w:val="24"/>
        </w:rPr>
        <w:t xml:space="preserve"> minimalnego wynagrodzenia za pracę </w:t>
      </w:r>
      <w:r w:rsidRPr="00D92613">
        <w:rPr>
          <w:rFonts w:ascii="Times New Roman" w:hAnsi="Times New Roman" w:cs="Times New Roman"/>
          <w:color w:val="000000"/>
          <w:sz w:val="24"/>
          <w:szCs w:val="24"/>
        </w:rPr>
        <w:br/>
        <w:t>i składek na ubezpieczenia społeczne od refundowanego wynagrodzenia,</w:t>
      </w:r>
    </w:p>
    <w:p w14:paraId="4059240F" w14:textId="77777777" w:rsidR="00D92613" w:rsidRPr="00D92613" w:rsidRDefault="00D92613" w:rsidP="008C71A9">
      <w:pPr>
        <w:numPr>
          <w:ilvl w:val="0"/>
          <w:numId w:val="214"/>
        </w:numPr>
        <w:spacing w:after="0"/>
        <w:contextualSpacing/>
        <w:jc w:val="both"/>
        <w:rPr>
          <w:rFonts w:ascii="Times New Roman" w:hAnsi="Times New Roman" w:cs="Times New Roman"/>
          <w:color w:val="000000"/>
          <w:sz w:val="24"/>
          <w:szCs w:val="24"/>
        </w:rPr>
      </w:pPr>
      <w:r w:rsidRPr="00D92613">
        <w:rPr>
          <w:rFonts w:ascii="Times New Roman" w:hAnsi="Times New Roman" w:cs="Times New Roman"/>
          <w:color w:val="000000"/>
          <w:sz w:val="24"/>
          <w:szCs w:val="24"/>
        </w:rPr>
        <w:t xml:space="preserve">nie spełniają warunków koniecznych do uzyskania świadczenia przedemerytalnego – refundacja jest przyznawana w wysokości </w:t>
      </w:r>
      <w:r w:rsidRPr="00744B33">
        <w:rPr>
          <w:rFonts w:ascii="Times New Roman" w:hAnsi="Times New Roman" w:cs="Times New Roman"/>
          <w:color w:val="000000"/>
          <w:sz w:val="24"/>
          <w:szCs w:val="24"/>
        </w:rPr>
        <w:t>do 50%</w:t>
      </w:r>
      <w:r w:rsidRPr="00D92613">
        <w:rPr>
          <w:rFonts w:ascii="Times New Roman" w:hAnsi="Times New Roman" w:cs="Times New Roman"/>
          <w:color w:val="000000"/>
          <w:sz w:val="24"/>
          <w:szCs w:val="24"/>
        </w:rPr>
        <w:t xml:space="preserve"> minimalnego wynagrodzenia za pracę </w:t>
      </w:r>
      <w:r w:rsidRPr="00D92613">
        <w:rPr>
          <w:rFonts w:ascii="Times New Roman" w:hAnsi="Times New Roman" w:cs="Times New Roman"/>
          <w:color w:val="000000"/>
          <w:sz w:val="24"/>
          <w:szCs w:val="24"/>
        </w:rPr>
        <w:br/>
        <w:t>i składek na ubezpieczenia społeczne od refundowanego wynagrodzenia.</w:t>
      </w:r>
    </w:p>
    <w:p w14:paraId="36C923D9" w14:textId="77777777" w:rsidR="00A3788E" w:rsidRDefault="00A3788E" w:rsidP="00744B33">
      <w:pPr>
        <w:autoSpaceDE w:val="0"/>
        <w:autoSpaceDN w:val="0"/>
        <w:adjustRightInd w:val="0"/>
        <w:spacing w:after="0"/>
        <w:jc w:val="both"/>
        <w:rPr>
          <w:rFonts w:ascii="Times New Roman" w:hAnsi="Times New Roman" w:cs="Times New Roman"/>
          <w:color w:val="000000"/>
          <w:sz w:val="24"/>
          <w:szCs w:val="24"/>
        </w:rPr>
      </w:pPr>
    </w:p>
    <w:p w14:paraId="5D7111D9" w14:textId="77777777" w:rsidR="00D92613" w:rsidRPr="00D92613" w:rsidRDefault="00D92613" w:rsidP="00744B33">
      <w:pPr>
        <w:autoSpaceDE w:val="0"/>
        <w:autoSpaceDN w:val="0"/>
        <w:adjustRightInd w:val="0"/>
        <w:spacing w:after="0"/>
        <w:jc w:val="both"/>
        <w:rPr>
          <w:rFonts w:ascii="Times New Roman" w:hAnsi="Times New Roman" w:cs="Times New Roman"/>
          <w:color w:val="000000"/>
          <w:sz w:val="24"/>
          <w:szCs w:val="24"/>
        </w:rPr>
      </w:pPr>
      <w:r w:rsidRPr="00D92613">
        <w:rPr>
          <w:rFonts w:ascii="Times New Roman" w:hAnsi="Times New Roman" w:cs="Times New Roman"/>
          <w:color w:val="000000"/>
          <w:sz w:val="24"/>
          <w:szCs w:val="24"/>
        </w:rPr>
        <w:lastRenderedPageBreak/>
        <w:t>Pracodawca jest obowiązany, stosownie do zawartej umowy, do utrzymania w zatrudnieniu skierowanego bezrobotnego przez okres objęty re</w:t>
      </w:r>
      <w:r w:rsidR="00744B33">
        <w:rPr>
          <w:rFonts w:ascii="Times New Roman" w:hAnsi="Times New Roman" w:cs="Times New Roman"/>
          <w:color w:val="000000"/>
          <w:sz w:val="24"/>
          <w:szCs w:val="24"/>
        </w:rPr>
        <w:t xml:space="preserve">fundacją wynagrodzeń i składek </w:t>
      </w:r>
      <w:r w:rsidRPr="00D92613">
        <w:rPr>
          <w:rFonts w:ascii="Times New Roman" w:hAnsi="Times New Roman" w:cs="Times New Roman"/>
          <w:color w:val="000000"/>
          <w:sz w:val="24"/>
          <w:szCs w:val="24"/>
        </w:rPr>
        <w:t>na ubezpieczenia społeczne oraz okres 6 miesięcy po zakończeniu tej refundacji.</w:t>
      </w:r>
    </w:p>
    <w:p w14:paraId="55C69FC0" w14:textId="77777777" w:rsidR="00D92613" w:rsidRDefault="00D92613" w:rsidP="00744B33">
      <w:pPr>
        <w:autoSpaceDE w:val="0"/>
        <w:autoSpaceDN w:val="0"/>
        <w:adjustRightInd w:val="0"/>
        <w:spacing w:after="0"/>
        <w:jc w:val="both"/>
        <w:rPr>
          <w:rFonts w:ascii="Times New Roman" w:hAnsi="Times New Roman" w:cs="Times New Roman"/>
          <w:sz w:val="24"/>
          <w:szCs w:val="24"/>
        </w:rPr>
      </w:pPr>
    </w:p>
    <w:p w14:paraId="3FEB747F" w14:textId="77777777" w:rsidR="00D92613" w:rsidRPr="00D92613" w:rsidRDefault="00D92613" w:rsidP="00744B33">
      <w:pPr>
        <w:autoSpaceDE w:val="0"/>
        <w:autoSpaceDN w:val="0"/>
        <w:adjustRightInd w:val="0"/>
        <w:spacing w:after="0"/>
        <w:jc w:val="both"/>
        <w:rPr>
          <w:rFonts w:ascii="Times New Roman" w:hAnsi="Times New Roman" w:cs="Times New Roman"/>
          <w:sz w:val="24"/>
          <w:szCs w:val="24"/>
        </w:rPr>
      </w:pPr>
      <w:r w:rsidRPr="00D92613">
        <w:rPr>
          <w:rFonts w:ascii="Times New Roman" w:hAnsi="Times New Roman" w:cs="Times New Roman"/>
          <w:sz w:val="24"/>
          <w:szCs w:val="24"/>
        </w:rPr>
        <w:t>Ponadto, starosta może zawrzeć z agencją zatrudnienia umowę na doprowadzenie skierowanego bezrobotnego będącego w szczególnej sytuacji na rynku pracy, w tym właśnie bezrobotnego powyżej 50 roku życia, do podjęcia zatrudnie</w:t>
      </w:r>
      <w:r>
        <w:rPr>
          <w:rFonts w:ascii="Times New Roman" w:hAnsi="Times New Roman" w:cs="Times New Roman"/>
          <w:sz w:val="24"/>
          <w:szCs w:val="24"/>
        </w:rPr>
        <w:t xml:space="preserve">nia lub innej pracy zarobkowej </w:t>
      </w:r>
      <w:r w:rsidRPr="00D92613">
        <w:rPr>
          <w:rFonts w:ascii="Times New Roman" w:hAnsi="Times New Roman" w:cs="Times New Roman"/>
          <w:sz w:val="24"/>
          <w:szCs w:val="24"/>
        </w:rPr>
        <w:t xml:space="preserve">na podstawie umów cywilnoprawnych, stanowiących </w:t>
      </w:r>
      <w:r>
        <w:rPr>
          <w:rFonts w:ascii="Times New Roman" w:hAnsi="Times New Roman" w:cs="Times New Roman"/>
          <w:sz w:val="24"/>
          <w:szCs w:val="24"/>
        </w:rPr>
        <w:t xml:space="preserve">odpowiednią pracę, przez okres </w:t>
      </w:r>
      <w:r w:rsidRPr="00D92613">
        <w:rPr>
          <w:rFonts w:ascii="Times New Roman" w:hAnsi="Times New Roman" w:cs="Times New Roman"/>
          <w:sz w:val="24"/>
          <w:szCs w:val="24"/>
        </w:rPr>
        <w:t>co najmniej 6 miesięcy.</w:t>
      </w:r>
    </w:p>
    <w:p w14:paraId="46E10D9E" w14:textId="77777777" w:rsidR="00D92613" w:rsidRDefault="00D92613" w:rsidP="00744B33">
      <w:pPr>
        <w:tabs>
          <w:tab w:val="left" w:pos="0"/>
        </w:tabs>
        <w:spacing w:after="0"/>
        <w:jc w:val="both"/>
        <w:rPr>
          <w:rFonts w:ascii="Times New Roman" w:eastAsia="Calibri" w:hAnsi="Times New Roman" w:cs="Times New Roman"/>
          <w:sz w:val="24"/>
          <w:szCs w:val="24"/>
        </w:rPr>
      </w:pPr>
    </w:p>
    <w:p w14:paraId="42D44C4D" w14:textId="4FDA5AAF" w:rsidR="00D92613" w:rsidRDefault="00D92613" w:rsidP="00744B33">
      <w:pPr>
        <w:tabs>
          <w:tab w:val="left" w:pos="0"/>
        </w:tabs>
        <w:spacing w:after="0"/>
        <w:jc w:val="both"/>
        <w:rPr>
          <w:rFonts w:ascii="Times New Roman" w:hAnsi="Times New Roman" w:cs="Times New Roman"/>
          <w:color w:val="000000"/>
          <w:sz w:val="24"/>
          <w:szCs w:val="24"/>
          <w:lang w:eastAsia="zh-CN"/>
        </w:rPr>
      </w:pPr>
      <w:r w:rsidRPr="00D92613">
        <w:rPr>
          <w:rFonts w:ascii="Times New Roman" w:eastAsia="Calibri" w:hAnsi="Times New Roman" w:cs="Times New Roman"/>
          <w:sz w:val="24"/>
          <w:szCs w:val="24"/>
        </w:rPr>
        <w:t xml:space="preserve">Jednocześnie dodatkową zachętę do zatrudniania osób starszych ma stanowić zwolnienie </w:t>
      </w:r>
      <w:r w:rsidRPr="00D92613">
        <w:rPr>
          <w:rFonts w:ascii="Times New Roman" w:hAnsi="Times New Roman" w:cs="Times New Roman"/>
          <w:color w:val="000000"/>
          <w:sz w:val="24"/>
          <w:szCs w:val="24"/>
          <w:lang w:eastAsia="zh-CN"/>
        </w:rPr>
        <w:t>pracodawców oraz innych jednostek organizacyjnych z obowiązku opłacania składek na Fundusz Pracy i Fundusz Gwarantowanych Świadczeń Pracowniczych</w:t>
      </w:r>
      <w:r w:rsidR="00D544F8">
        <w:rPr>
          <w:rStyle w:val="Odwoanieprzypisudolnego"/>
          <w:rFonts w:ascii="Times New Roman" w:hAnsi="Times New Roman" w:cs="Times New Roman"/>
          <w:color w:val="000000"/>
          <w:sz w:val="24"/>
          <w:szCs w:val="24"/>
          <w:lang w:eastAsia="zh-CN"/>
        </w:rPr>
        <w:footnoteReference w:id="6"/>
      </w:r>
      <w:r w:rsidRPr="00D92613">
        <w:rPr>
          <w:rFonts w:ascii="Times New Roman" w:hAnsi="Times New Roman" w:cs="Times New Roman"/>
          <w:color w:val="000000"/>
          <w:sz w:val="24"/>
          <w:szCs w:val="24"/>
          <w:lang w:eastAsia="zh-CN"/>
        </w:rPr>
        <w:t xml:space="preserve"> przez okres 12 miesięcy, począwszy od pierwszego miesiąca po zawarciu umowy o pracę, za osoby zatrudnione, które ukończyły 50 rok życia i w okresie 30 dni przed zatrudnieniem pozostawały w ewidencji bezrobotnych powiatowego urzędu pracy.</w:t>
      </w:r>
    </w:p>
    <w:p w14:paraId="65800102" w14:textId="77777777" w:rsidR="00D92613" w:rsidRPr="00D92613" w:rsidRDefault="00D92613" w:rsidP="00744B33">
      <w:pPr>
        <w:tabs>
          <w:tab w:val="left" w:pos="0"/>
        </w:tabs>
        <w:spacing w:after="0"/>
        <w:jc w:val="both"/>
        <w:rPr>
          <w:rFonts w:ascii="Times New Roman" w:hAnsi="Times New Roman" w:cs="Times New Roman"/>
          <w:sz w:val="24"/>
          <w:szCs w:val="24"/>
          <w:lang w:eastAsia="zh-CN"/>
        </w:rPr>
      </w:pPr>
    </w:p>
    <w:p w14:paraId="7AB39E29" w14:textId="77777777" w:rsidR="00D92613" w:rsidRDefault="00D92613" w:rsidP="00744B33">
      <w:pPr>
        <w:tabs>
          <w:tab w:val="left" w:pos="850"/>
          <w:tab w:val="left" w:pos="1191"/>
          <w:tab w:val="left" w:pos="1531"/>
        </w:tabs>
        <w:spacing w:after="0"/>
        <w:jc w:val="both"/>
        <w:rPr>
          <w:rFonts w:ascii="Times New Roman" w:hAnsi="Times New Roman" w:cs="Times New Roman"/>
          <w:sz w:val="24"/>
          <w:szCs w:val="24"/>
          <w:lang w:eastAsia="zh-CN"/>
        </w:rPr>
      </w:pPr>
      <w:r w:rsidRPr="00D92613">
        <w:rPr>
          <w:rFonts w:ascii="Times New Roman" w:hAnsi="Times New Roman" w:cs="Times New Roman"/>
          <w:sz w:val="24"/>
          <w:szCs w:val="24"/>
          <w:lang w:eastAsia="zh-CN"/>
        </w:rPr>
        <w:t xml:space="preserve">Natomiast pracodawca </w:t>
      </w:r>
      <w:r w:rsidRPr="00D92613">
        <w:rPr>
          <w:rFonts w:ascii="Times New Roman" w:hAnsi="Times New Roman" w:cs="Times New Roman"/>
          <w:color w:val="000000"/>
          <w:sz w:val="24"/>
          <w:szCs w:val="24"/>
          <w:lang w:eastAsia="zh-CN"/>
        </w:rPr>
        <w:t xml:space="preserve">oraz inne jednostki organizacyjne </w:t>
      </w:r>
      <w:r w:rsidRPr="00D92613">
        <w:rPr>
          <w:rFonts w:ascii="Times New Roman" w:hAnsi="Times New Roman" w:cs="Times New Roman"/>
          <w:sz w:val="24"/>
          <w:szCs w:val="24"/>
          <w:lang w:eastAsia="zh-CN"/>
        </w:rPr>
        <w:t>zatrudniający osoby w wieku powyżej 55 lat (kobiety) i 60 lat (mężczyźni) są całkowicie zwolnieni z obowiązku odprowadzania za nich składek na te Fundusze.</w:t>
      </w:r>
    </w:p>
    <w:p w14:paraId="57C79570" w14:textId="77777777" w:rsidR="00D92613" w:rsidRPr="00D92613" w:rsidRDefault="00D92613" w:rsidP="00744B33">
      <w:pPr>
        <w:tabs>
          <w:tab w:val="left" w:pos="850"/>
          <w:tab w:val="left" w:pos="1191"/>
          <w:tab w:val="left" w:pos="1531"/>
        </w:tabs>
        <w:spacing w:after="0"/>
        <w:jc w:val="both"/>
        <w:rPr>
          <w:rFonts w:ascii="Times New Roman" w:hAnsi="Times New Roman" w:cs="Times New Roman"/>
          <w:sz w:val="24"/>
          <w:szCs w:val="24"/>
          <w:lang w:eastAsia="zh-CN"/>
        </w:rPr>
      </w:pPr>
    </w:p>
    <w:p w14:paraId="1EBCBDFC" w14:textId="77777777" w:rsidR="00D92613" w:rsidRPr="00A3788E" w:rsidRDefault="00D92613" w:rsidP="00A3788E">
      <w:pPr>
        <w:tabs>
          <w:tab w:val="left" w:pos="0"/>
        </w:tabs>
        <w:spacing w:after="0"/>
        <w:jc w:val="both"/>
        <w:rPr>
          <w:rFonts w:ascii="Times New Roman" w:hAnsi="Times New Roman" w:cs="Times New Roman"/>
          <w:sz w:val="24"/>
          <w:szCs w:val="24"/>
          <w:lang w:eastAsia="zh-CN"/>
        </w:rPr>
      </w:pPr>
      <w:r w:rsidRPr="00D92613">
        <w:rPr>
          <w:rFonts w:ascii="Times New Roman" w:hAnsi="Times New Roman" w:cs="Times New Roman"/>
          <w:sz w:val="24"/>
          <w:szCs w:val="24"/>
          <w:lang w:eastAsia="zh-CN"/>
        </w:rPr>
        <w:t>Kolejny instrument, o którym warto wspomnieć polega na dofinansowaniu pracodawcy lub przedsiębiorcy wynagrodzenia zatrudnionego skierowanego bezrobotnego, który ukończył 50 rok życia, przez okres 12 (jeżeli bezrobotny ukończył 50 lat, a nie ukończył 60 lat) lub 24 miesięcy (jeżeli bez</w:t>
      </w:r>
      <w:r w:rsidR="00A3788E">
        <w:rPr>
          <w:rFonts w:ascii="Times New Roman" w:hAnsi="Times New Roman" w:cs="Times New Roman"/>
          <w:sz w:val="24"/>
          <w:szCs w:val="24"/>
          <w:lang w:eastAsia="zh-CN"/>
        </w:rPr>
        <w:t xml:space="preserve">robotny ukończył 60 rok życia). </w:t>
      </w:r>
      <w:r w:rsidRPr="00D92613">
        <w:rPr>
          <w:rFonts w:ascii="Times New Roman" w:eastAsia="Calibri" w:hAnsi="Times New Roman" w:cs="Times New Roman"/>
          <w:sz w:val="24"/>
          <w:szCs w:val="24"/>
        </w:rPr>
        <w:t>Dofinansowanie ze środków Funduszu Pracy wynosi maksymalnie do 50% minimalnego wynagrodzenia za pracę miesięcznie, zaś pracodawca finansuje z własnych środków pozostałą część wynagrodzenia przysługującego takiemu pracownikowi.</w:t>
      </w:r>
      <w:r w:rsidR="00A3788E">
        <w:rPr>
          <w:rFonts w:ascii="Times New Roman" w:hAnsi="Times New Roman" w:cs="Times New Roman"/>
          <w:sz w:val="24"/>
          <w:szCs w:val="24"/>
          <w:lang w:eastAsia="zh-CN"/>
        </w:rPr>
        <w:t xml:space="preserve"> </w:t>
      </w:r>
      <w:r w:rsidRPr="00D92613">
        <w:rPr>
          <w:rFonts w:ascii="Times New Roman" w:eastAsia="Calibri" w:hAnsi="Times New Roman" w:cs="Times New Roman"/>
          <w:sz w:val="24"/>
          <w:szCs w:val="24"/>
        </w:rPr>
        <w:t>Pracodawca w umowie musi zagwarantować zatrudnienie bezrobotnego po zakończeniu refundacji przez okres równy co najmniej połowie okresu refundacji, czyli odpowiednio 6 i 12 miesięcy, pod rygorem zwrotu całości udzielonej pomocy z odsetkami ustawowymi.</w:t>
      </w:r>
    </w:p>
    <w:p w14:paraId="49D12D49" w14:textId="77777777" w:rsidR="00D92613" w:rsidRDefault="00D92613" w:rsidP="00744B33">
      <w:pPr>
        <w:spacing w:after="0"/>
        <w:jc w:val="both"/>
        <w:rPr>
          <w:rFonts w:ascii="Times New Roman" w:eastAsia="Calibri" w:hAnsi="Times New Roman" w:cs="Times New Roman"/>
          <w:sz w:val="24"/>
          <w:szCs w:val="24"/>
        </w:rPr>
      </w:pPr>
    </w:p>
    <w:p w14:paraId="78C320F5" w14:textId="77777777" w:rsidR="00D92613" w:rsidRDefault="00D92613" w:rsidP="00744B33">
      <w:pPr>
        <w:spacing w:after="0"/>
        <w:jc w:val="both"/>
        <w:rPr>
          <w:rFonts w:ascii="Times New Roman" w:hAnsi="Times New Roman" w:cs="Times New Roman"/>
          <w:sz w:val="24"/>
          <w:szCs w:val="24"/>
        </w:rPr>
      </w:pPr>
      <w:r w:rsidRPr="00D92613">
        <w:rPr>
          <w:rFonts w:ascii="Times New Roman" w:eastAsia="Calibri" w:hAnsi="Times New Roman" w:cs="Times New Roman"/>
          <w:sz w:val="24"/>
          <w:szCs w:val="24"/>
        </w:rPr>
        <w:t xml:space="preserve">Należy również wspomnieć o stosunkowo nowym, bo działającym od 2014 roku, instrumencie rynku pracy o nazwie Krajowy Fundusz Szkoleniowy (KFS). Jego podstawowym celem jest </w:t>
      </w:r>
      <w:r w:rsidRPr="00D92613">
        <w:rPr>
          <w:rFonts w:ascii="Times New Roman" w:hAnsi="Times New Roman" w:cs="Times New Roman"/>
          <w:sz w:val="24"/>
          <w:szCs w:val="24"/>
        </w:rPr>
        <w:t>zapobieganie utracie zatrudnienia przez osoby pracujące z powodu kompetencji nieadekwatnych do wymagań dynamicznie zmieniającej się gospodarki. Przyjęto założenie, że zwiększenie inwestycji w potencjał kadrowy powinno poprawić zarówno pozycję firm, jak i samych pracowników na konkurencyjnym rynku pracy a to poprzez wzrost liczby i odsetka osób pracujących podejmujących kształcenie ustawiczne a zarazem wzrost liczby pracodawców inwestujących w kształcenie ustawiczne swoje i swoich pracowników. Środki KFS wydatkowane są poprzez przyjmowane każdego roku tzw. priorytety wydatkowania, wśród których właściwie corocznie powtarzają się priorytety (przykładowo w roku bieżącym) dotyczące wsparcia różnych form kształcenia ustawicznego dla osób w wieku 45+.</w:t>
      </w:r>
    </w:p>
    <w:p w14:paraId="70D4563B" w14:textId="77777777" w:rsidR="00D92613" w:rsidRDefault="00D92613" w:rsidP="00744B33">
      <w:pPr>
        <w:spacing w:after="0"/>
        <w:jc w:val="both"/>
        <w:rPr>
          <w:rFonts w:ascii="Times New Roman" w:hAnsi="Times New Roman" w:cs="Times New Roman"/>
          <w:sz w:val="24"/>
          <w:szCs w:val="24"/>
        </w:rPr>
      </w:pPr>
    </w:p>
    <w:p w14:paraId="1CFCFFC2" w14:textId="77777777" w:rsidR="00D92613" w:rsidRPr="00D92613" w:rsidRDefault="00D92613" w:rsidP="00744B33">
      <w:pPr>
        <w:spacing w:after="0"/>
        <w:jc w:val="both"/>
        <w:rPr>
          <w:rFonts w:ascii="Times New Roman" w:hAnsi="Times New Roman" w:cs="Times New Roman"/>
          <w:sz w:val="24"/>
          <w:szCs w:val="24"/>
        </w:rPr>
      </w:pPr>
      <w:r w:rsidRPr="00D92613">
        <w:rPr>
          <w:rFonts w:ascii="Times New Roman" w:hAnsi="Times New Roman" w:cs="Times New Roman"/>
          <w:color w:val="000000"/>
          <w:sz w:val="24"/>
          <w:szCs w:val="24"/>
        </w:rPr>
        <w:lastRenderedPageBreak/>
        <w:t>Ponadto, w celu p</w:t>
      </w:r>
      <w:r w:rsidRPr="00D92613">
        <w:rPr>
          <w:rFonts w:ascii="Times New Roman" w:hAnsi="Times New Roman" w:cs="Times New Roman"/>
          <w:sz w:val="24"/>
          <w:szCs w:val="24"/>
        </w:rPr>
        <w:t>oprawy zatrudnialności starszych pracowników powiatowe urzędy pracy są ustawowo zobowiązane do organizowania szkoleń dla grup bezrobotnych, na podstawie diagnozy zapotrzebowania na zawody, specjalności i kwalifikacje, z uwzględnieniem potrzeb osób kierowanych na szkolenia. Potrzeby gospodarki są identyfikowane na podstawie analiz rynku pracy, w tym pomocnym narzędziem jest monitoring zawodów deficytowych i nadwyżkowych.</w:t>
      </w:r>
    </w:p>
    <w:p w14:paraId="30EC85BA" w14:textId="77777777" w:rsidR="001C0289" w:rsidRDefault="001C0289" w:rsidP="00D63E16">
      <w:pPr>
        <w:spacing w:after="0"/>
      </w:pPr>
    </w:p>
    <w:p w14:paraId="7CD2F8A6" w14:textId="77777777" w:rsidR="008F5175" w:rsidRPr="008F5175" w:rsidRDefault="008F5175" w:rsidP="008F5175">
      <w:pPr>
        <w:autoSpaceDE w:val="0"/>
        <w:autoSpaceDN w:val="0"/>
        <w:adjustRightInd w:val="0"/>
        <w:spacing w:after="0"/>
        <w:jc w:val="both"/>
        <w:rPr>
          <w:rFonts w:ascii="Times New Roman" w:hAnsi="Times New Roman" w:cs="Times New Roman"/>
          <w:color w:val="FF0000"/>
          <w:sz w:val="24"/>
          <w:szCs w:val="24"/>
        </w:rPr>
      </w:pPr>
      <w:r w:rsidRPr="008F5175">
        <w:rPr>
          <w:rFonts w:ascii="Times New Roman" w:hAnsi="Times New Roman" w:cs="Times New Roman"/>
          <w:sz w:val="24"/>
          <w:szCs w:val="24"/>
        </w:rPr>
        <w:t>W 2019 r. ludność aktywna zawodowo w wieku 60 lat i więcej liczyła 1301 tys. (Badanie Aktywności Ekonomicznej Ludności BAEL). Wśród tych osób 1277 tys. to osoby pracujące (tj. 98,2%). W porównaniu do roku poprzedniego nastąpił wzrost liczby osób starszych aktywnych zawodowo o 1,5%, a pracujących o 2,1%. Osoby aktywne zawodowo w wieku 60 lat i więcej stanowiły 7,6% ogółu aktywnych zawodowo w  wieku 15 lat i  więcej (dla pracujących analogiczny odsetek wynosił 7,8%).</w:t>
      </w:r>
      <w:r w:rsidRPr="008F5175">
        <w:rPr>
          <w:rFonts w:ascii="Times New Roman" w:hAnsi="Times New Roman" w:cs="Times New Roman"/>
          <w:color w:val="FF0000"/>
          <w:sz w:val="24"/>
          <w:szCs w:val="24"/>
        </w:rPr>
        <w:t xml:space="preserve"> </w:t>
      </w:r>
      <w:r w:rsidRPr="008F5175">
        <w:rPr>
          <w:rFonts w:ascii="Times New Roman" w:hAnsi="Times New Roman" w:cs="Times New Roman"/>
          <w:sz w:val="24"/>
          <w:szCs w:val="24"/>
        </w:rPr>
        <w:t>Wśród aktywnych zawodowo seniorów przeważali mężczyźni - populacja ta liczyła 880 tys. (tj. 67,6%).</w:t>
      </w:r>
      <w:r w:rsidRPr="008F5175">
        <w:rPr>
          <w:rFonts w:ascii="Times New Roman" w:hAnsi="Times New Roman" w:cs="Times New Roman"/>
          <w:color w:val="FF0000"/>
          <w:sz w:val="24"/>
          <w:szCs w:val="24"/>
        </w:rPr>
        <w:t xml:space="preserve"> </w:t>
      </w:r>
    </w:p>
    <w:p w14:paraId="4499EE77" w14:textId="77777777" w:rsidR="008F5175" w:rsidRDefault="008F5175" w:rsidP="008F5175">
      <w:pPr>
        <w:autoSpaceDE w:val="0"/>
        <w:autoSpaceDN w:val="0"/>
        <w:adjustRightInd w:val="0"/>
        <w:spacing w:after="0"/>
        <w:jc w:val="both"/>
        <w:rPr>
          <w:rFonts w:ascii="Times New Roman" w:hAnsi="Times New Roman" w:cs="Times New Roman"/>
          <w:sz w:val="24"/>
          <w:szCs w:val="24"/>
        </w:rPr>
      </w:pPr>
    </w:p>
    <w:p w14:paraId="605E364D" w14:textId="77777777" w:rsidR="008F5175" w:rsidRDefault="008F5175" w:rsidP="002C1314">
      <w:pPr>
        <w:autoSpaceDE w:val="0"/>
        <w:autoSpaceDN w:val="0"/>
        <w:adjustRightInd w:val="0"/>
        <w:spacing w:after="0"/>
        <w:jc w:val="both"/>
        <w:rPr>
          <w:rFonts w:ascii="Times New Roman" w:hAnsi="Times New Roman" w:cs="Times New Roman"/>
          <w:sz w:val="24"/>
          <w:szCs w:val="24"/>
        </w:rPr>
      </w:pPr>
      <w:r w:rsidRPr="008F5175">
        <w:rPr>
          <w:rFonts w:ascii="Times New Roman" w:hAnsi="Times New Roman" w:cs="Times New Roman"/>
          <w:sz w:val="24"/>
          <w:szCs w:val="24"/>
        </w:rPr>
        <w:t xml:space="preserve">W 2019 r. współczynnik aktywności zawodowej dla zbiorowości osób starszych wynosił 13,9% (w 2018 roku było to 14,0%), natomiast wskaźnik zatrudnienia, podobnie jak w roku poprzednim, ukształtował się na poziomie 13,7%. </w:t>
      </w:r>
    </w:p>
    <w:p w14:paraId="19561778" w14:textId="77777777" w:rsidR="002C1314" w:rsidRPr="002C1314" w:rsidRDefault="002C1314" w:rsidP="002C1314">
      <w:pPr>
        <w:autoSpaceDE w:val="0"/>
        <w:autoSpaceDN w:val="0"/>
        <w:adjustRightInd w:val="0"/>
        <w:spacing w:after="0"/>
        <w:jc w:val="both"/>
        <w:rPr>
          <w:rFonts w:ascii="Times New Roman" w:hAnsi="Times New Roman" w:cs="Times New Roman"/>
          <w:color w:val="FF0000"/>
          <w:sz w:val="24"/>
          <w:szCs w:val="24"/>
        </w:rPr>
      </w:pPr>
    </w:p>
    <w:p w14:paraId="16CF14DD" w14:textId="55F446C7" w:rsidR="008B383C" w:rsidRPr="008B383C" w:rsidRDefault="008B383C" w:rsidP="008B383C">
      <w:pPr>
        <w:pStyle w:val="Legenda"/>
        <w:keepNext/>
        <w:jc w:val="both"/>
        <w:rPr>
          <w:rFonts w:ascii="Times New Roman" w:hAnsi="Times New Roman" w:cs="Times New Roman"/>
          <w:b/>
          <w:i w:val="0"/>
          <w:sz w:val="24"/>
        </w:rPr>
      </w:pPr>
      <w:bookmarkStart w:id="18" w:name="_Toc49171387"/>
      <w:r w:rsidRPr="008B383C">
        <w:rPr>
          <w:rFonts w:ascii="Times New Roman" w:hAnsi="Times New Roman" w:cs="Times New Roman"/>
          <w:b/>
          <w:i w:val="0"/>
          <w:sz w:val="24"/>
        </w:rPr>
        <w:t xml:space="preserve">Tabela </w:t>
      </w:r>
      <w:r w:rsidRPr="008B383C">
        <w:rPr>
          <w:rFonts w:ascii="Times New Roman" w:hAnsi="Times New Roman" w:cs="Times New Roman"/>
          <w:b/>
          <w:i w:val="0"/>
          <w:sz w:val="24"/>
        </w:rPr>
        <w:fldChar w:fldCharType="begin"/>
      </w:r>
      <w:r w:rsidRPr="008B383C">
        <w:rPr>
          <w:rFonts w:ascii="Times New Roman" w:hAnsi="Times New Roman" w:cs="Times New Roman"/>
          <w:b/>
          <w:i w:val="0"/>
          <w:sz w:val="24"/>
        </w:rPr>
        <w:instrText xml:space="preserve"> SEQ Tabela \* ARABIC </w:instrText>
      </w:r>
      <w:r w:rsidRPr="008B383C">
        <w:rPr>
          <w:rFonts w:ascii="Times New Roman" w:hAnsi="Times New Roman" w:cs="Times New Roman"/>
          <w:b/>
          <w:i w:val="0"/>
          <w:sz w:val="24"/>
        </w:rPr>
        <w:fldChar w:fldCharType="separate"/>
      </w:r>
      <w:r w:rsidR="00C154C9">
        <w:rPr>
          <w:rFonts w:ascii="Times New Roman" w:hAnsi="Times New Roman" w:cs="Times New Roman"/>
          <w:b/>
          <w:i w:val="0"/>
          <w:noProof/>
          <w:sz w:val="24"/>
        </w:rPr>
        <w:t>12</w:t>
      </w:r>
      <w:r w:rsidRPr="008B383C">
        <w:rPr>
          <w:rFonts w:ascii="Times New Roman" w:hAnsi="Times New Roman" w:cs="Times New Roman"/>
          <w:b/>
          <w:i w:val="0"/>
          <w:sz w:val="24"/>
        </w:rPr>
        <w:fldChar w:fldCharType="end"/>
      </w:r>
      <w:r w:rsidRPr="008B383C">
        <w:rPr>
          <w:rFonts w:ascii="Times New Roman" w:hAnsi="Times New Roman" w:cs="Times New Roman"/>
          <w:b/>
          <w:i w:val="0"/>
          <w:sz w:val="24"/>
        </w:rPr>
        <w:t xml:space="preserve"> Aktywność ekonomiczna ludności w wieku 15 lat i więcej według płci i miejsca zamieszkania w 2019 r.</w:t>
      </w:r>
      <w:bookmarkEnd w:id="18"/>
    </w:p>
    <w:tbl>
      <w:tblPr>
        <w:tblW w:w="9970"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3262"/>
        <w:gridCol w:w="1340"/>
        <w:gridCol w:w="1340"/>
        <w:gridCol w:w="1340"/>
        <w:gridCol w:w="1340"/>
        <w:gridCol w:w="1348"/>
      </w:tblGrid>
      <w:tr w:rsidR="00F2053C" w:rsidRPr="00342041" w14:paraId="40D8D3CF" w14:textId="77777777" w:rsidTr="00FF1F11">
        <w:trPr>
          <w:trHeight w:val="503"/>
          <w:jc w:val="center"/>
        </w:trPr>
        <w:tc>
          <w:tcPr>
            <w:tcW w:w="3262" w:type="dxa"/>
            <w:shd w:val="clear" w:color="auto" w:fill="9CC2E5" w:themeFill="accent1" w:themeFillTint="99"/>
            <w:noWrap/>
            <w:vAlign w:val="center"/>
            <w:hideMark/>
          </w:tcPr>
          <w:p w14:paraId="21601397" w14:textId="77777777" w:rsidR="00F2053C" w:rsidRPr="00342041" w:rsidRDefault="00F2053C" w:rsidP="005F7033">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Wyszczególnienie</w:t>
            </w:r>
          </w:p>
        </w:tc>
        <w:tc>
          <w:tcPr>
            <w:tcW w:w="1340" w:type="dxa"/>
            <w:shd w:val="clear" w:color="auto" w:fill="9CC2E5" w:themeFill="accent1" w:themeFillTint="99"/>
            <w:noWrap/>
            <w:vAlign w:val="center"/>
            <w:hideMark/>
          </w:tcPr>
          <w:p w14:paraId="7DDC4F42" w14:textId="77777777" w:rsidR="00F2053C" w:rsidRPr="00342041" w:rsidRDefault="00F2053C" w:rsidP="005F703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340" w:type="dxa"/>
            <w:shd w:val="clear" w:color="auto" w:fill="9CC2E5" w:themeFill="accent1" w:themeFillTint="99"/>
            <w:noWrap/>
            <w:vAlign w:val="center"/>
            <w:hideMark/>
          </w:tcPr>
          <w:p w14:paraId="07D99B27" w14:textId="77777777" w:rsidR="00F2053C" w:rsidRPr="00342041" w:rsidRDefault="00F2053C" w:rsidP="005F703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1340" w:type="dxa"/>
            <w:shd w:val="clear" w:color="auto" w:fill="9CC2E5" w:themeFill="accent1" w:themeFillTint="99"/>
            <w:noWrap/>
            <w:vAlign w:val="center"/>
            <w:hideMark/>
          </w:tcPr>
          <w:p w14:paraId="4221EA87" w14:textId="77777777" w:rsidR="00F2053C" w:rsidRPr="00342041" w:rsidRDefault="00F2053C" w:rsidP="005F703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1340" w:type="dxa"/>
            <w:shd w:val="clear" w:color="auto" w:fill="9CC2E5" w:themeFill="accent1" w:themeFillTint="99"/>
            <w:noWrap/>
            <w:vAlign w:val="center"/>
            <w:hideMark/>
          </w:tcPr>
          <w:p w14:paraId="2A2F2233" w14:textId="77777777" w:rsidR="00F2053C" w:rsidRPr="00342041" w:rsidRDefault="00F2053C" w:rsidP="005F703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Miasto</w:t>
            </w:r>
          </w:p>
        </w:tc>
        <w:tc>
          <w:tcPr>
            <w:tcW w:w="1348" w:type="dxa"/>
            <w:shd w:val="clear" w:color="auto" w:fill="9CC2E5" w:themeFill="accent1" w:themeFillTint="99"/>
            <w:noWrap/>
            <w:vAlign w:val="center"/>
            <w:hideMark/>
          </w:tcPr>
          <w:p w14:paraId="6D3FBA3E" w14:textId="77777777" w:rsidR="00F2053C" w:rsidRPr="00342041" w:rsidRDefault="00F2053C" w:rsidP="005F703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r>
      <w:tr w:rsidR="00F2053C" w:rsidRPr="00342041" w14:paraId="5A8E4CD0" w14:textId="77777777" w:rsidTr="00FF1F11">
        <w:trPr>
          <w:trHeight w:val="300"/>
          <w:jc w:val="center"/>
        </w:trPr>
        <w:tc>
          <w:tcPr>
            <w:tcW w:w="3262" w:type="dxa"/>
            <w:shd w:val="clear" w:color="auto" w:fill="9CC2E5" w:themeFill="accent1" w:themeFillTint="99"/>
            <w:noWrap/>
            <w:vAlign w:val="center"/>
            <w:hideMark/>
          </w:tcPr>
          <w:p w14:paraId="59428CA1" w14:textId="77777777" w:rsidR="00F2053C" w:rsidRPr="00342041" w:rsidRDefault="00F2053C" w:rsidP="003C1988">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LUDNOŚĆ w tys.</w:t>
            </w:r>
          </w:p>
        </w:tc>
        <w:tc>
          <w:tcPr>
            <w:tcW w:w="1340" w:type="dxa"/>
            <w:shd w:val="clear" w:color="auto" w:fill="auto"/>
            <w:noWrap/>
            <w:vAlign w:val="center"/>
            <w:hideMark/>
          </w:tcPr>
          <w:p w14:paraId="6919F3EC"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30 283</w:t>
            </w:r>
          </w:p>
        </w:tc>
        <w:tc>
          <w:tcPr>
            <w:tcW w:w="1340" w:type="dxa"/>
            <w:shd w:val="clear" w:color="auto" w:fill="auto"/>
            <w:noWrap/>
            <w:vAlign w:val="center"/>
            <w:hideMark/>
          </w:tcPr>
          <w:p w14:paraId="23AF931B"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14 458</w:t>
            </w:r>
          </w:p>
        </w:tc>
        <w:tc>
          <w:tcPr>
            <w:tcW w:w="1340" w:type="dxa"/>
            <w:shd w:val="clear" w:color="auto" w:fill="auto"/>
            <w:noWrap/>
            <w:vAlign w:val="center"/>
            <w:hideMark/>
          </w:tcPr>
          <w:p w14:paraId="21AB3BA4"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15 824</w:t>
            </w:r>
          </w:p>
        </w:tc>
        <w:tc>
          <w:tcPr>
            <w:tcW w:w="1340" w:type="dxa"/>
            <w:shd w:val="clear" w:color="auto" w:fill="auto"/>
            <w:noWrap/>
            <w:vAlign w:val="center"/>
            <w:hideMark/>
          </w:tcPr>
          <w:p w14:paraId="411BCB55"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18 162</w:t>
            </w:r>
          </w:p>
        </w:tc>
        <w:tc>
          <w:tcPr>
            <w:tcW w:w="1348" w:type="dxa"/>
            <w:shd w:val="clear" w:color="auto" w:fill="auto"/>
            <w:noWrap/>
            <w:vAlign w:val="center"/>
            <w:hideMark/>
          </w:tcPr>
          <w:p w14:paraId="62546407"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12 121</w:t>
            </w:r>
          </w:p>
        </w:tc>
      </w:tr>
      <w:tr w:rsidR="00F2053C" w:rsidRPr="00342041" w14:paraId="2FAF6088" w14:textId="77777777" w:rsidTr="00FF1F11">
        <w:trPr>
          <w:trHeight w:val="300"/>
          <w:jc w:val="center"/>
        </w:trPr>
        <w:tc>
          <w:tcPr>
            <w:tcW w:w="3262" w:type="dxa"/>
            <w:shd w:val="clear" w:color="auto" w:fill="9CC2E5" w:themeFill="accent1" w:themeFillTint="99"/>
            <w:noWrap/>
            <w:vAlign w:val="center"/>
            <w:hideMark/>
          </w:tcPr>
          <w:p w14:paraId="2025B376" w14:textId="77777777" w:rsidR="00F2053C" w:rsidRPr="00342041" w:rsidRDefault="00F2053C" w:rsidP="003C1988">
            <w:pPr>
              <w:spacing w:after="0" w:line="240" w:lineRule="auto"/>
              <w:ind w:firstLineChars="100" w:firstLine="200"/>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 osoby w wieku 60 lat i więcej</w:t>
            </w:r>
          </w:p>
        </w:tc>
        <w:tc>
          <w:tcPr>
            <w:tcW w:w="1340" w:type="dxa"/>
            <w:shd w:val="clear" w:color="auto" w:fill="auto"/>
            <w:noWrap/>
            <w:vAlign w:val="center"/>
            <w:hideMark/>
          </w:tcPr>
          <w:p w14:paraId="61627EEC"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9 339</w:t>
            </w:r>
          </w:p>
        </w:tc>
        <w:tc>
          <w:tcPr>
            <w:tcW w:w="1340" w:type="dxa"/>
            <w:shd w:val="clear" w:color="auto" w:fill="auto"/>
            <w:noWrap/>
            <w:vAlign w:val="center"/>
            <w:hideMark/>
          </w:tcPr>
          <w:p w14:paraId="1AAC0166"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3 905</w:t>
            </w:r>
          </w:p>
        </w:tc>
        <w:tc>
          <w:tcPr>
            <w:tcW w:w="1340" w:type="dxa"/>
            <w:shd w:val="clear" w:color="auto" w:fill="auto"/>
            <w:noWrap/>
            <w:vAlign w:val="center"/>
            <w:hideMark/>
          </w:tcPr>
          <w:p w14:paraId="53BE5B7A"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5 434</w:t>
            </w:r>
          </w:p>
        </w:tc>
        <w:tc>
          <w:tcPr>
            <w:tcW w:w="1340" w:type="dxa"/>
            <w:shd w:val="clear" w:color="auto" w:fill="auto"/>
            <w:noWrap/>
            <w:vAlign w:val="center"/>
            <w:hideMark/>
          </w:tcPr>
          <w:p w14:paraId="48C844B7"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6 068</w:t>
            </w:r>
          </w:p>
        </w:tc>
        <w:tc>
          <w:tcPr>
            <w:tcW w:w="1348" w:type="dxa"/>
            <w:shd w:val="clear" w:color="auto" w:fill="auto"/>
            <w:noWrap/>
            <w:vAlign w:val="center"/>
            <w:hideMark/>
          </w:tcPr>
          <w:p w14:paraId="460101D0"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3 270</w:t>
            </w:r>
          </w:p>
        </w:tc>
      </w:tr>
      <w:tr w:rsidR="00F2053C" w:rsidRPr="00342041" w14:paraId="6B27837A" w14:textId="77777777" w:rsidTr="00FF1F11">
        <w:trPr>
          <w:trHeight w:val="300"/>
          <w:jc w:val="center"/>
        </w:trPr>
        <w:tc>
          <w:tcPr>
            <w:tcW w:w="9970" w:type="dxa"/>
            <w:gridSpan w:val="6"/>
            <w:shd w:val="clear" w:color="auto" w:fill="auto"/>
            <w:noWrap/>
            <w:vAlign w:val="center"/>
            <w:hideMark/>
          </w:tcPr>
          <w:p w14:paraId="7616FE52" w14:textId="77777777" w:rsidR="00F2053C" w:rsidRPr="00342041" w:rsidRDefault="00F2053C" w:rsidP="003C1988">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Aktywni zawodowo – razem (w tysiącach). Dane średnioroczne.</w:t>
            </w:r>
          </w:p>
        </w:tc>
      </w:tr>
      <w:tr w:rsidR="00F2053C" w:rsidRPr="00342041" w14:paraId="57CAD3FD" w14:textId="77777777" w:rsidTr="00FF1F11">
        <w:trPr>
          <w:trHeight w:val="300"/>
          <w:jc w:val="center"/>
        </w:trPr>
        <w:tc>
          <w:tcPr>
            <w:tcW w:w="3262" w:type="dxa"/>
            <w:shd w:val="clear" w:color="auto" w:fill="9CC2E5" w:themeFill="accent1" w:themeFillTint="99"/>
            <w:noWrap/>
            <w:vAlign w:val="center"/>
            <w:hideMark/>
          </w:tcPr>
          <w:p w14:paraId="65EBCA8A" w14:textId="77777777" w:rsidR="00F2053C" w:rsidRPr="00342041" w:rsidRDefault="00F2053C"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340" w:type="dxa"/>
            <w:shd w:val="clear" w:color="auto" w:fill="auto"/>
            <w:noWrap/>
            <w:vAlign w:val="center"/>
            <w:hideMark/>
          </w:tcPr>
          <w:p w14:paraId="21C60DA4"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17 019</w:t>
            </w:r>
          </w:p>
        </w:tc>
        <w:tc>
          <w:tcPr>
            <w:tcW w:w="1340" w:type="dxa"/>
            <w:shd w:val="clear" w:color="auto" w:fill="auto"/>
            <w:noWrap/>
            <w:vAlign w:val="center"/>
            <w:hideMark/>
          </w:tcPr>
          <w:p w14:paraId="46060992"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9 398</w:t>
            </w:r>
          </w:p>
        </w:tc>
        <w:tc>
          <w:tcPr>
            <w:tcW w:w="1340" w:type="dxa"/>
            <w:shd w:val="clear" w:color="auto" w:fill="auto"/>
            <w:noWrap/>
            <w:vAlign w:val="center"/>
            <w:hideMark/>
          </w:tcPr>
          <w:p w14:paraId="70A9FA55"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7 620</w:t>
            </w:r>
          </w:p>
        </w:tc>
        <w:tc>
          <w:tcPr>
            <w:tcW w:w="1340" w:type="dxa"/>
            <w:shd w:val="clear" w:color="auto" w:fill="auto"/>
            <w:noWrap/>
            <w:vAlign w:val="center"/>
            <w:hideMark/>
          </w:tcPr>
          <w:p w14:paraId="43F575FB"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10 210</w:t>
            </w:r>
          </w:p>
        </w:tc>
        <w:tc>
          <w:tcPr>
            <w:tcW w:w="1348" w:type="dxa"/>
            <w:shd w:val="clear" w:color="auto" w:fill="auto"/>
            <w:noWrap/>
            <w:vAlign w:val="center"/>
            <w:hideMark/>
          </w:tcPr>
          <w:p w14:paraId="3ABBF5A0"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6 808</w:t>
            </w:r>
          </w:p>
        </w:tc>
      </w:tr>
      <w:tr w:rsidR="00F2053C" w:rsidRPr="00342041" w14:paraId="3C8CEA73" w14:textId="77777777" w:rsidTr="00FF1F11">
        <w:trPr>
          <w:trHeight w:val="300"/>
          <w:jc w:val="center"/>
        </w:trPr>
        <w:tc>
          <w:tcPr>
            <w:tcW w:w="3262" w:type="dxa"/>
            <w:shd w:val="clear" w:color="auto" w:fill="9CC2E5" w:themeFill="accent1" w:themeFillTint="99"/>
            <w:noWrap/>
            <w:vAlign w:val="center"/>
            <w:hideMark/>
          </w:tcPr>
          <w:p w14:paraId="1B337B16" w14:textId="77777777" w:rsidR="00F2053C" w:rsidRPr="00342041" w:rsidRDefault="00F2053C" w:rsidP="00FF1F1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 osoby w wieku 60 lat i więcej</w:t>
            </w:r>
          </w:p>
        </w:tc>
        <w:tc>
          <w:tcPr>
            <w:tcW w:w="1340" w:type="dxa"/>
            <w:shd w:val="clear" w:color="auto" w:fill="auto"/>
            <w:noWrap/>
            <w:vAlign w:val="center"/>
            <w:hideMark/>
          </w:tcPr>
          <w:p w14:paraId="2105BD3B"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1 301</w:t>
            </w:r>
          </w:p>
        </w:tc>
        <w:tc>
          <w:tcPr>
            <w:tcW w:w="1340" w:type="dxa"/>
            <w:shd w:val="clear" w:color="auto" w:fill="auto"/>
            <w:noWrap/>
            <w:vAlign w:val="center"/>
            <w:hideMark/>
          </w:tcPr>
          <w:p w14:paraId="743949C9"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880</w:t>
            </w:r>
          </w:p>
        </w:tc>
        <w:tc>
          <w:tcPr>
            <w:tcW w:w="1340" w:type="dxa"/>
            <w:shd w:val="clear" w:color="auto" w:fill="auto"/>
            <w:noWrap/>
            <w:vAlign w:val="center"/>
            <w:hideMark/>
          </w:tcPr>
          <w:p w14:paraId="54D09D8D"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421</w:t>
            </w:r>
          </w:p>
        </w:tc>
        <w:tc>
          <w:tcPr>
            <w:tcW w:w="1340" w:type="dxa"/>
            <w:shd w:val="clear" w:color="auto" w:fill="auto"/>
            <w:noWrap/>
            <w:vAlign w:val="center"/>
            <w:hideMark/>
          </w:tcPr>
          <w:p w14:paraId="62391C09"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894</w:t>
            </w:r>
          </w:p>
        </w:tc>
        <w:tc>
          <w:tcPr>
            <w:tcW w:w="1348" w:type="dxa"/>
            <w:shd w:val="clear" w:color="auto" w:fill="auto"/>
            <w:noWrap/>
            <w:vAlign w:val="center"/>
            <w:hideMark/>
          </w:tcPr>
          <w:p w14:paraId="43F5821A"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407</w:t>
            </w:r>
          </w:p>
        </w:tc>
      </w:tr>
      <w:tr w:rsidR="00F2053C" w:rsidRPr="00342041" w14:paraId="149045D8" w14:textId="77777777" w:rsidTr="00FF1F11">
        <w:trPr>
          <w:trHeight w:val="300"/>
          <w:jc w:val="center"/>
        </w:trPr>
        <w:tc>
          <w:tcPr>
            <w:tcW w:w="9970" w:type="dxa"/>
            <w:gridSpan w:val="6"/>
            <w:shd w:val="clear" w:color="auto" w:fill="auto"/>
            <w:noWrap/>
            <w:vAlign w:val="center"/>
            <w:hideMark/>
          </w:tcPr>
          <w:p w14:paraId="050B10CD" w14:textId="77777777" w:rsidR="00F2053C" w:rsidRPr="00342041" w:rsidRDefault="00F2053C" w:rsidP="003C1988">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Aktywni zawodowo – pracujący (w tysiącach). Dane średnioroczne.</w:t>
            </w:r>
          </w:p>
        </w:tc>
      </w:tr>
      <w:tr w:rsidR="00F2053C" w:rsidRPr="00342041" w14:paraId="2B7B168F" w14:textId="77777777" w:rsidTr="00FF1F11">
        <w:trPr>
          <w:trHeight w:val="300"/>
          <w:jc w:val="center"/>
        </w:trPr>
        <w:tc>
          <w:tcPr>
            <w:tcW w:w="3262" w:type="dxa"/>
            <w:shd w:val="clear" w:color="auto" w:fill="9CC2E5" w:themeFill="accent1" w:themeFillTint="99"/>
            <w:noWrap/>
            <w:vAlign w:val="center"/>
            <w:hideMark/>
          </w:tcPr>
          <w:p w14:paraId="7DD419E0" w14:textId="77777777" w:rsidR="00F2053C" w:rsidRPr="00342041" w:rsidRDefault="00F2053C"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340" w:type="dxa"/>
            <w:shd w:val="clear" w:color="auto" w:fill="auto"/>
            <w:noWrap/>
            <w:vAlign w:val="center"/>
            <w:hideMark/>
          </w:tcPr>
          <w:p w14:paraId="4CF19F3C"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16 461</w:t>
            </w:r>
          </w:p>
        </w:tc>
        <w:tc>
          <w:tcPr>
            <w:tcW w:w="1340" w:type="dxa"/>
            <w:shd w:val="clear" w:color="auto" w:fill="auto"/>
            <w:noWrap/>
            <w:vAlign w:val="center"/>
            <w:hideMark/>
          </w:tcPr>
          <w:p w14:paraId="6C769A2F"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9 115</w:t>
            </w:r>
          </w:p>
        </w:tc>
        <w:tc>
          <w:tcPr>
            <w:tcW w:w="1340" w:type="dxa"/>
            <w:shd w:val="clear" w:color="auto" w:fill="auto"/>
            <w:noWrap/>
            <w:vAlign w:val="center"/>
            <w:hideMark/>
          </w:tcPr>
          <w:p w14:paraId="1D05F1AA"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7 346</w:t>
            </w:r>
          </w:p>
        </w:tc>
        <w:tc>
          <w:tcPr>
            <w:tcW w:w="1340" w:type="dxa"/>
            <w:shd w:val="clear" w:color="auto" w:fill="auto"/>
            <w:noWrap/>
            <w:vAlign w:val="center"/>
            <w:hideMark/>
          </w:tcPr>
          <w:p w14:paraId="0814D284"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9 887</w:t>
            </w:r>
          </w:p>
        </w:tc>
        <w:tc>
          <w:tcPr>
            <w:tcW w:w="1348" w:type="dxa"/>
            <w:shd w:val="clear" w:color="auto" w:fill="auto"/>
            <w:noWrap/>
            <w:vAlign w:val="center"/>
            <w:hideMark/>
          </w:tcPr>
          <w:p w14:paraId="21DCB792"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6 574</w:t>
            </w:r>
          </w:p>
        </w:tc>
      </w:tr>
      <w:tr w:rsidR="00F2053C" w:rsidRPr="00342041" w14:paraId="612C4E69" w14:textId="77777777" w:rsidTr="00FF1F11">
        <w:trPr>
          <w:trHeight w:val="300"/>
          <w:jc w:val="center"/>
        </w:trPr>
        <w:tc>
          <w:tcPr>
            <w:tcW w:w="3262" w:type="dxa"/>
            <w:shd w:val="clear" w:color="auto" w:fill="9CC2E5" w:themeFill="accent1" w:themeFillTint="99"/>
            <w:noWrap/>
            <w:vAlign w:val="center"/>
            <w:hideMark/>
          </w:tcPr>
          <w:p w14:paraId="2C1D4078" w14:textId="77777777" w:rsidR="00F2053C" w:rsidRPr="00342041" w:rsidRDefault="00F2053C" w:rsidP="00FF1F1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 osoby w wieku 60 lat i więcej</w:t>
            </w:r>
          </w:p>
        </w:tc>
        <w:tc>
          <w:tcPr>
            <w:tcW w:w="1340" w:type="dxa"/>
            <w:shd w:val="clear" w:color="auto" w:fill="auto"/>
            <w:noWrap/>
            <w:vAlign w:val="center"/>
            <w:hideMark/>
          </w:tcPr>
          <w:p w14:paraId="793F113C"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1 277</w:t>
            </w:r>
          </w:p>
        </w:tc>
        <w:tc>
          <w:tcPr>
            <w:tcW w:w="1340" w:type="dxa"/>
            <w:shd w:val="clear" w:color="auto" w:fill="auto"/>
            <w:noWrap/>
            <w:vAlign w:val="center"/>
            <w:hideMark/>
          </w:tcPr>
          <w:p w14:paraId="03851C3E"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860</w:t>
            </w:r>
          </w:p>
        </w:tc>
        <w:tc>
          <w:tcPr>
            <w:tcW w:w="1340" w:type="dxa"/>
            <w:shd w:val="clear" w:color="auto" w:fill="auto"/>
            <w:noWrap/>
            <w:vAlign w:val="center"/>
            <w:hideMark/>
          </w:tcPr>
          <w:p w14:paraId="24992A4D"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418</w:t>
            </w:r>
          </w:p>
        </w:tc>
        <w:tc>
          <w:tcPr>
            <w:tcW w:w="1340" w:type="dxa"/>
            <w:shd w:val="clear" w:color="auto" w:fill="auto"/>
            <w:noWrap/>
            <w:vAlign w:val="center"/>
            <w:hideMark/>
          </w:tcPr>
          <w:p w14:paraId="22F89328"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876</w:t>
            </w:r>
          </w:p>
        </w:tc>
        <w:tc>
          <w:tcPr>
            <w:tcW w:w="1348" w:type="dxa"/>
            <w:shd w:val="clear" w:color="auto" w:fill="auto"/>
            <w:noWrap/>
            <w:vAlign w:val="center"/>
            <w:hideMark/>
          </w:tcPr>
          <w:p w14:paraId="35322E70"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401</w:t>
            </w:r>
          </w:p>
        </w:tc>
      </w:tr>
      <w:tr w:rsidR="00F2053C" w:rsidRPr="00342041" w14:paraId="6798E2A1" w14:textId="77777777" w:rsidTr="00FF1F11">
        <w:trPr>
          <w:trHeight w:val="300"/>
          <w:jc w:val="center"/>
        </w:trPr>
        <w:tc>
          <w:tcPr>
            <w:tcW w:w="9970" w:type="dxa"/>
            <w:gridSpan w:val="6"/>
            <w:shd w:val="clear" w:color="auto" w:fill="auto"/>
            <w:noWrap/>
            <w:vAlign w:val="center"/>
            <w:hideMark/>
          </w:tcPr>
          <w:p w14:paraId="7BC8F62C" w14:textId="77777777" w:rsidR="00F2053C" w:rsidRPr="00342041" w:rsidRDefault="00F2053C" w:rsidP="003C1988">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Bierni zawodowo (w tysiącach). Dane średnioroczne.</w:t>
            </w:r>
          </w:p>
        </w:tc>
      </w:tr>
      <w:tr w:rsidR="00F2053C" w:rsidRPr="00342041" w14:paraId="51E51176" w14:textId="77777777" w:rsidTr="00FF1F11">
        <w:trPr>
          <w:trHeight w:val="300"/>
          <w:jc w:val="center"/>
        </w:trPr>
        <w:tc>
          <w:tcPr>
            <w:tcW w:w="3262" w:type="dxa"/>
            <w:shd w:val="clear" w:color="auto" w:fill="9CC2E5" w:themeFill="accent1" w:themeFillTint="99"/>
            <w:noWrap/>
            <w:vAlign w:val="center"/>
            <w:hideMark/>
          </w:tcPr>
          <w:p w14:paraId="6F3B2303" w14:textId="77777777" w:rsidR="00F2053C" w:rsidRPr="00342041" w:rsidRDefault="00F2053C"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340" w:type="dxa"/>
            <w:shd w:val="clear" w:color="auto" w:fill="auto"/>
            <w:noWrap/>
            <w:vAlign w:val="center"/>
            <w:hideMark/>
          </w:tcPr>
          <w:p w14:paraId="4ABB12D7"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13 264</w:t>
            </w:r>
          </w:p>
        </w:tc>
        <w:tc>
          <w:tcPr>
            <w:tcW w:w="1340" w:type="dxa"/>
            <w:shd w:val="clear" w:color="auto" w:fill="auto"/>
            <w:noWrap/>
            <w:vAlign w:val="center"/>
            <w:hideMark/>
          </w:tcPr>
          <w:p w14:paraId="05CE998D"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5 060</w:t>
            </w:r>
          </w:p>
        </w:tc>
        <w:tc>
          <w:tcPr>
            <w:tcW w:w="1340" w:type="dxa"/>
            <w:shd w:val="clear" w:color="auto" w:fill="auto"/>
            <w:noWrap/>
            <w:vAlign w:val="center"/>
            <w:hideMark/>
          </w:tcPr>
          <w:p w14:paraId="61E568B9"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8 204</w:t>
            </w:r>
          </w:p>
        </w:tc>
        <w:tc>
          <w:tcPr>
            <w:tcW w:w="1340" w:type="dxa"/>
            <w:shd w:val="clear" w:color="auto" w:fill="auto"/>
            <w:noWrap/>
            <w:vAlign w:val="center"/>
            <w:hideMark/>
          </w:tcPr>
          <w:p w14:paraId="38EF6B62"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7 952</w:t>
            </w:r>
          </w:p>
        </w:tc>
        <w:tc>
          <w:tcPr>
            <w:tcW w:w="1348" w:type="dxa"/>
            <w:shd w:val="clear" w:color="auto" w:fill="auto"/>
            <w:noWrap/>
            <w:vAlign w:val="center"/>
            <w:hideMark/>
          </w:tcPr>
          <w:p w14:paraId="53F750D6"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5 312</w:t>
            </w:r>
          </w:p>
        </w:tc>
      </w:tr>
      <w:tr w:rsidR="00F2053C" w:rsidRPr="00342041" w14:paraId="6F037310" w14:textId="77777777" w:rsidTr="00FF1F11">
        <w:trPr>
          <w:trHeight w:val="300"/>
          <w:jc w:val="center"/>
        </w:trPr>
        <w:tc>
          <w:tcPr>
            <w:tcW w:w="3262" w:type="dxa"/>
            <w:shd w:val="clear" w:color="auto" w:fill="9CC2E5" w:themeFill="accent1" w:themeFillTint="99"/>
            <w:noWrap/>
            <w:vAlign w:val="center"/>
            <w:hideMark/>
          </w:tcPr>
          <w:p w14:paraId="5BDBAF09" w14:textId="77777777" w:rsidR="00F2053C" w:rsidRPr="00342041" w:rsidRDefault="00F2053C" w:rsidP="00FF1F1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 osoby w wieku 60 lat i więcej</w:t>
            </w:r>
          </w:p>
        </w:tc>
        <w:tc>
          <w:tcPr>
            <w:tcW w:w="1340" w:type="dxa"/>
            <w:shd w:val="clear" w:color="auto" w:fill="auto"/>
            <w:noWrap/>
            <w:vAlign w:val="center"/>
            <w:hideMark/>
          </w:tcPr>
          <w:p w14:paraId="15D6DDF0"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8 038</w:t>
            </w:r>
          </w:p>
        </w:tc>
        <w:tc>
          <w:tcPr>
            <w:tcW w:w="1340" w:type="dxa"/>
            <w:shd w:val="clear" w:color="auto" w:fill="auto"/>
            <w:noWrap/>
            <w:vAlign w:val="center"/>
            <w:hideMark/>
          </w:tcPr>
          <w:p w14:paraId="6F0D08B7"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3 024</w:t>
            </w:r>
          </w:p>
        </w:tc>
        <w:tc>
          <w:tcPr>
            <w:tcW w:w="1340" w:type="dxa"/>
            <w:shd w:val="clear" w:color="auto" w:fill="auto"/>
            <w:noWrap/>
            <w:vAlign w:val="center"/>
            <w:hideMark/>
          </w:tcPr>
          <w:p w14:paraId="62144E16"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5 014</w:t>
            </w:r>
          </w:p>
        </w:tc>
        <w:tc>
          <w:tcPr>
            <w:tcW w:w="1340" w:type="dxa"/>
            <w:shd w:val="clear" w:color="auto" w:fill="auto"/>
            <w:noWrap/>
            <w:vAlign w:val="center"/>
            <w:hideMark/>
          </w:tcPr>
          <w:p w14:paraId="40049AB4"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5 175</w:t>
            </w:r>
          </w:p>
        </w:tc>
        <w:tc>
          <w:tcPr>
            <w:tcW w:w="1348" w:type="dxa"/>
            <w:shd w:val="clear" w:color="auto" w:fill="auto"/>
            <w:noWrap/>
            <w:vAlign w:val="center"/>
            <w:hideMark/>
          </w:tcPr>
          <w:p w14:paraId="0BAFB6C6"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2 863</w:t>
            </w:r>
          </w:p>
        </w:tc>
      </w:tr>
      <w:tr w:rsidR="00F2053C" w:rsidRPr="00342041" w14:paraId="39CAB69F" w14:textId="77777777" w:rsidTr="00FF1F11">
        <w:trPr>
          <w:trHeight w:val="300"/>
          <w:jc w:val="center"/>
        </w:trPr>
        <w:tc>
          <w:tcPr>
            <w:tcW w:w="9970" w:type="dxa"/>
            <w:gridSpan w:val="6"/>
            <w:shd w:val="clear" w:color="auto" w:fill="auto"/>
            <w:noWrap/>
            <w:vAlign w:val="center"/>
            <w:hideMark/>
          </w:tcPr>
          <w:p w14:paraId="7262224C" w14:textId="77777777" w:rsidR="00F2053C" w:rsidRPr="00342041" w:rsidRDefault="00F2053C" w:rsidP="003C1988">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Współczynnik aktywności zawodowej - w %.  Dane średnioroczne.</w:t>
            </w:r>
          </w:p>
        </w:tc>
      </w:tr>
      <w:tr w:rsidR="00F2053C" w:rsidRPr="00342041" w14:paraId="3558D728" w14:textId="77777777" w:rsidTr="00FF1F11">
        <w:trPr>
          <w:trHeight w:val="300"/>
          <w:jc w:val="center"/>
        </w:trPr>
        <w:tc>
          <w:tcPr>
            <w:tcW w:w="3262" w:type="dxa"/>
            <w:shd w:val="clear" w:color="auto" w:fill="9CC2E5" w:themeFill="accent1" w:themeFillTint="99"/>
            <w:noWrap/>
            <w:vAlign w:val="center"/>
            <w:hideMark/>
          </w:tcPr>
          <w:p w14:paraId="30CCB2BA" w14:textId="77777777" w:rsidR="00F2053C" w:rsidRPr="00342041" w:rsidRDefault="00F2053C"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340" w:type="dxa"/>
            <w:shd w:val="clear" w:color="auto" w:fill="auto"/>
            <w:noWrap/>
            <w:vAlign w:val="center"/>
            <w:hideMark/>
          </w:tcPr>
          <w:p w14:paraId="37F14F8E"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56,2</w:t>
            </w:r>
          </w:p>
        </w:tc>
        <w:tc>
          <w:tcPr>
            <w:tcW w:w="1340" w:type="dxa"/>
            <w:shd w:val="clear" w:color="auto" w:fill="auto"/>
            <w:noWrap/>
            <w:vAlign w:val="center"/>
            <w:hideMark/>
          </w:tcPr>
          <w:p w14:paraId="3F85C717"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65,0</w:t>
            </w:r>
          </w:p>
        </w:tc>
        <w:tc>
          <w:tcPr>
            <w:tcW w:w="1340" w:type="dxa"/>
            <w:shd w:val="clear" w:color="auto" w:fill="auto"/>
            <w:noWrap/>
            <w:vAlign w:val="center"/>
            <w:hideMark/>
          </w:tcPr>
          <w:p w14:paraId="0A33824B"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48,2</w:t>
            </w:r>
          </w:p>
        </w:tc>
        <w:tc>
          <w:tcPr>
            <w:tcW w:w="1340" w:type="dxa"/>
            <w:shd w:val="clear" w:color="auto" w:fill="auto"/>
            <w:noWrap/>
            <w:vAlign w:val="center"/>
            <w:hideMark/>
          </w:tcPr>
          <w:p w14:paraId="751A2EEA"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56,2</w:t>
            </w:r>
          </w:p>
        </w:tc>
        <w:tc>
          <w:tcPr>
            <w:tcW w:w="1348" w:type="dxa"/>
            <w:shd w:val="clear" w:color="auto" w:fill="auto"/>
            <w:noWrap/>
            <w:vAlign w:val="center"/>
            <w:hideMark/>
          </w:tcPr>
          <w:p w14:paraId="0886C5A4"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56,2</w:t>
            </w:r>
          </w:p>
        </w:tc>
      </w:tr>
      <w:tr w:rsidR="00F2053C" w:rsidRPr="00342041" w14:paraId="652FDD38" w14:textId="77777777" w:rsidTr="00FF1F11">
        <w:trPr>
          <w:trHeight w:val="300"/>
          <w:jc w:val="center"/>
        </w:trPr>
        <w:tc>
          <w:tcPr>
            <w:tcW w:w="3262" w:type="dxa"/>
            <w:shd w:val="clear" w:color="auto" w:fill="9CC2E5" w:themeFill="accent1" w:themeFillTint="99"/>
            <w:noWrap/>
            <w:vAlign w:val="center"/>
            <w:hideMark/>
          </w:tcPr>
          <w:p w14:paraId="2C42E450" w14:textId="77777777" w:rsidR="00F2053C" w:rsidRPr="00342041" w:rsidRDefault="00F2053C" w:rsidP="00FF1F1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 osoby w wieku 60 lat i więcej</w:t>
            </w:r>
          </w:p>
        </w:tc>
        <w:tc>
          <w:tcPr>
            <w:tcW w:w="1340" w:type="dxa"/>
            <w:shd w:val="clear" w:color="auto" w:fill="auto"/>
            <w:noWrap/>
            <w:vAlign w:val="center"/>
            <w:hideMark/>
          </w:tcPr>
          <w:p w14:paraId="1D3D8F2E"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13,9</w:t>
            </w:r>
          </w:p>
        </w:tc>
        <w:tc>
          <w:tcPr>
            <w:tcW w:w="1340" w:type="dxa"/>
            <w:shd w:val="clear" w:color="auto" w:fill="auto"/>
            <w:noWrap/>
            <w:vAlign w:val="center"/>
            <w:hideMark/>
          </w:tcPr>
          <w:p w14:paraId="5DAAA170"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22,5</w:t>
            </w:r>
          </w:p>
        </w:tc>
        <w:tc>
          <w:tcPr>
            <w:tcW w:w="1340" w:type="dxa"/>
            <w:shd w:val="clear" w:color="auto" w:fill="auto"/>
            <w:noWrap/>
            <w:vAlign w:val="center"/>
            <w:hideMark/>
          </w:tcPr>
          <w:p w14:paraId="76003BB2"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7,7</w:t>
            </w:r>
          </w:p>
        </w:tc>
        <w:tc>
          <w:tcPr>
            <w:tcW w:w="1340" w:type="dxa"/>
            <w:shd w:val="clear" w:color="auto" w:fill="auto"/>
            <w:noWrap/>
            <w:vAlign w:val="center"/>
            <w:hideMark/>
          </w:tcPr>
          <w:p w14:paraId="01FF1F18"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14,7</w:t>
            </w:r>
          </w:p>
        </w:tc>
        <w:tc>
          <w:tcPr>
            <w:tcW w:w="1348" w:type="dxa"/>
            <w:shd w:val="clear" w:color="auto" w:fill="auto"/>
            <w:noWrap/>
            <w:vAlign w:val="center"/>
            <w:hideMark/>
          </w:tcPr>
          <w:p w14:paraId="33587FE9"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12,4</w:t>
            </w:r>
          </w:p>
        </w:tc>
      </w:tr>
      <w:tr w:rsidR="00F2053C" w:rsidRPr="00342041" w14:paraId="479FA682" w14:textId="77777777" w:rsidTr="00FF1F11">
        <w:trPr>
          <w:trHeight w:val="300"/>
          <w:jc w:val="center"/>
        </w:trPr>
        <w:tc>
          <w:tcPr>
            <w:tcW w:w="9970" w:type="dxa"/>
            <w:gridSpan w:val="6"/>
            <w:shd w:val="clear" w:color="auto" w:fill="auto"/>
            <w:noWrap/>
            <w:vAlign w:val="center"/>
            <w:hideMark/>
          </w:tcPr>
          <w:p w14:paraId="78469A70" w14:textId="77777777" w:rsidR="00F2053C" w:rsidRPr="00342041" w:rsidRDefault="00F2053C" w:rsidP="003C1988">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Wskaźnik zatrudnienia - w %. Dane średnioroczne.</w:t>
            </w:r>
          </w:p>
        </w:tc>
      </w:tr>
      <w:tr w:rsidR="00F2053C" w:rsidRPr="00342041" w14:paraId="3523E355" w14:textId="77777777" w:rsidTr="00FF1F11">
        <w:trPr>
          <w:trHeight w:val="300"/>
          <w:jc w:val="center"/>
        </w:trPr>
        <w:tc>
          <w:tcPr>
            <w:tcW w:w="3262" w:type="dxa"/>
            <w:shd w:val="clear" w:color="auto" w:fill="9CC2E5" w:themeFill="accent1" w:themeFillTint="99"/>
            <w:noWrap/>
            <w:vAlign w:val="center"/>
            <w:hideMark/>
          </w:tcPr>
          <w:p w14:paraId="52C3B1C0" w14:textId="77777777" w:rsidR="00F2053C" w:rsidRPr="00342041" w:rsidRDefault="00F2053C"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340" w:type="dxa"/>
            <w:shd w:val="clear" w:color="auto" w:fill="auto"/>
            <w:noWrap/>
            <w:vAlign w:val="center"/>
            <w:hideMark/>
          </w:tcPr>
          <w:p w14:paraId="3886FB80"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54,4</w:t>
            </w:r>
          </w:p>
        </w:tc>
        <w:tc>
          <w:tcPr>
            <w:tcW w:w="1340" w:type="dxa"/>
            <w:shd w:val="clear" w:color="auto" w:fill="auto"/>
            <w:noWrap/>
            <w:vAlign w:val="center"/>
            <w:hideMark/>
          </w:tcPr>
          <w:p w14:paraId="2D6B34CB"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63,0</w:t>
            </w:r>
          </w:p>
        </w:tc>
        <w:tc>
          <w:tcPr>
            <w:tcW w:w="1340" w:type="dxa"/>
            <w:shd w:val="clear" w:color="auto" w:fill="auto"/>
            <w:noWrap/>
            <w:vAlign w:val="center"/>
            <w:hideMark/>
          </w:tcPr>
          <w:p w14:paraId="04D51AAE"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46,4</w:t>
            </w:r>
          </w:p>
        </w:tc>
        <w:tc>
          <w:tcPr>
            <w:tcW w:w="1340" w:type="dxa"/>
            <w:shd w:val="clear" w:color="auto" w:fill="auto"/>
            <w:noWrap/>
            <w:vAlign w:val="center"/>
            <w:hideMark/>
          </w:tcPr>
          <w:p w14:paraId="7E6D2AE5"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54,4</w:t>
            </w:r>
          </w:p>
        </w:tc>
        <w:tc>
          <w:tcPr>
            <w:tcW w:w="1348" w:type="dxa"/>
            <w:shd w:val="clear" w:color="auto" w:fill="auto"/>
            <w:noWrap/>
            <w:vAlign w:val="center"/>
            <w:hideMark/>
          </w:tcPr>
          <w:p w14:paraId="3D13A168"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54,2</w:t>
            </w:r>
          </w:p>
        </w:tc>
      </w:tr>
      <w:tr w:rsidR="00FF1F11" w:rsidRPr="00342041" w14:paraId="36CFE4FC" w14:textId="77777777" w:rsidTr="00FF1F11">
        <w:trPr>
          <w:trHeight w:val="505"/>
          <w:jc w:val="center"/>
        </w:trPr>
        <w:tc>
          <w:tcPr>
            <w:tcW w:w="3262" w:type="dxa"/>
            <w:shd w:val="clear" w:color="auto" w:fill="9CC2E5" w:themeFill="accent1" w:themeFillTint="99"/>
            <w:noWrap/>
            <w:vAlign w:val="center"/>
            <w:hideMark/>
          </w:tcPr>
          <w:p w14:paraId="3CD4F178" w14:textId="77777777" w:rsidR="00FF1F11" w:rsidRPr="00342041" w:rsidRDefault="00FF1F11" w:rsidP="00FF1F1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 osoby w wieku 60 lat i więcej</w:t>
            </w:r>
          </w:p>
        </w:tc>
        <w:tc>
          <w:tcPr>
            <w:tcW w:w="1340" w:type="dxa"/>
            <w:shd w:val="clear" w:color="auto" w:fill="auto"/>
            <w:noWrap/>
            <w:vAlign w:val="center"/>
            <w:hideMark/>
          </w:tcPr>
          <w:p w14:paraId="50406E45" w14:textId="77777777" w:rsidR="00FF1F11" w:rsidRPr="00342041" w:rsidRDefault="00FF1F11"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13,7</w:t>
            </w:r>
          </w:p>
        </w:tc>
        <w:tc>
          <w:tcPr>
            <w:tcW w:w="1340" w:type="dxa"/>
            <w:shd w:val="clear" w:color="auto" w:fill="auto"/>
            <w:noWrap/>
            <w:vAlign w:val="center"/>
            <w:hideMark/>
          </w:tcPr>
          <w:p w14:paraId="52D33990" w14:textId="77777777" w:rsidR="00FF1F11" w:rsidRPr="00342041" w:rsidRDefault="00FF1F11"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22,0</w:t>
            </w:r>
          </w:p>
        </w:tc>
        <w:tc>
          <w:tcPr>
            <w:tcW w:w="1340" w:type="dxa"/>
            <w:shd w:val="clear" w:color="auto" w:fill="auto"/>
            <w:noWrap/>
            <w:vAlign w:val="center"/>
            <w:hideMark/>
          </w:tcPr>
          <w:p w14:paraId="0C5423C1" w14:textId="77777777" w:rsidR="00FF1F11" w:rsidRPr="00342041" w:rsidRDefault="00FF1F11"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7,7</w:t>
            </w:r>
          </w:p>
        </w:tc>
        <w:tc>
          <w:tcPr>
            <w:tcW w:w="1340" w:type="dxa"/>
            <w:shd w:val="clear" w:color="auto" w:fill="auto"/>
            <w:noWrap/>
            <w:vAlign w:val="center"/>
            <w:hideMark/>
          </w:tcPr>
          <w:p w14:paraId="12EC5FCF" w14:textId="77777777" w:rsidR="00FF1F11" w:rsidRPr="00342041" w:rsidRDefault="00FF1F11"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14,4</w:t>
            </w:r>
          </w:p>
        </w:tc>
        <w:tc>
          <w:tcPr>
            <w:tcW w:w="1348" w:type="dxa"/>
            <w:shd w:val="clear" w:color="auto" w:fill="auto"/>
            <w:noWrap/>
            <w:vAlign w:val="center"/>
            <w:hideMark/>
          </w:tcPr>
          <w:p w14:paraId="112440A0" w14:textId="77777777" w:rsidR="00FF1F11" w:rsidRPr="00342041" w:rsidRDefault="00FF1F11"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12,3</w:t>
            </w:r>
          </w:p>
        </w:tc>
      </w:tr>
      <w:tr w:rsidR="00F2053C" w:rsidRPr="00342041" w14:paraId="1FC53B5D" w14:textId="77777777" w:rsidTr="00FF1F11">
        <w:trPr>
          <w:trHeight w:val="300"/>
          <w:jc w:val="center"/>
        </w:trPr>
        <w:tc>
          <w:tcPr>
            <w:tcW w:w="9970" w:type="dxa"/>
            <w:gridSpan w:val="6"/>
            <w:shd w:val="clear" w:color="auto" w:fill="auto"/>
            <w:noWrap/>
            <w:vAlign w:val="center"/>
            <w:hideMark/>
          </w:tcPr>
          <w:p w14:paraId="60906D7D" w14:textId="77777777" w:rsidR="00F2053C" w:rsidRPr="00342041" w:rsidRDefault="00F2053C" w:rsidP="003C1988">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Bierni zawodowo w wieku 60 i więcej lat według wybranych przyczyn bierności (w tysiącach). Dane średnioroczne.</w:t>
            </w:r>
          </w:p>
        </w:tc>
      </w:tr>
      <w:tr w:rsidR="00F2053C" w:rsidRPr="00342041" w14:paraId="01663E68" w14:textId="77777777" w:rsidTr="00FF1F11">
        <w:trPr>
          <w:trHeight w:val="300"/>
          <w:jc w:val="center"/>
        </w:trPr>
        <w:tc>
          <w:tcPr>
            <w:tcW w:w="3262" w:type="dxa"/>
            <w:shd w:val="clear" w:color="auto" w:fill="9CC2E5" w:themeFill="accent1" w:themeFillTint="99"/>
            <w:noWrap/>
            <w:vAlign w:val="center"/>
            <w:hideMark/>
          </w:tcPr>
          <w:p w14:paraId="6C83284A" w14:textId="77777777" w:rsidR="00F2053C" w:rsidRPr="00342041" w:rsidRDefault="00F2053C"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340" w:type="dxa"/>
            <w:shd w:val="clear" w:color="auto" w:fill="auto"/>
            <w:noWrap/>
            <w:vAlign w:val="bottom"/>
            <w:hideMark/>
          </w:tcPr>
          <w:p w14:paraId="7EAD7FFD"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8 038</w:t>
            </w:r>
          </w:p>
        </w:tc>
        <w:tc>
          <w:tcPr>
            <w:tcW w:w="1340" w:type="dxa"/>
            <w:shd w:val="clear" w:color="auto" w:fill="auto"/>
            <w:noWrap/>
            <w:vAlign w:val="bottom"/>
            <w:hideMark/>
          </w:tcPr>
          <w:p w14:paraId="6113F655"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3 024</w:t>
            </w:r>
          </w:p>
        </w:tc>
        <w:tc>
          <w:tcPr>
            <w:tcW w:w="1340" w:type="dxa"/>
            <w:shd w:val="clear" w:color="auto" w:fill="auto"/>
            <w:noWrap/>
            <w:vAlign w:val="bottom"/>
            <w:hideMark/>
          </w:tcPr>
          <w:p w14:paraId="55DE0A99"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5 014</w:t>
            </w:r>
          </w:p>
        </w:tc>
        <w:tc>
          <w:tcPr>
            <w:tcW w:w="1340" w:type="dxa"/>
            <w:shd w:val="clear" w:color="auto" w:fill="auto"/>
            <w:noWrap/>
            <w:vAlign w:val="bottom"/>
            <w:hideMark/>
          </w:tcPr>
          <w:p w14:paraId="424962C1"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5 175</w:t>
            </w:r>
          </w:p>
        </w:tc>
        <w:tc>
          <w:tcPr>
            <w:tcW w:w="1348" w:type="dxa"/>
            <w:shd w:val="clear" w:color="auto" w:fill="auto"/>
            <w:noWrap/>
            <w:vAlign w:val="bottom"/>
            <w:hideMark/>
          </w:tcPr>
          <w:p w14:paraId="145E516B"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2 863</w:t>
            </w:r>
          </w:p>
        </w:tc>
      </w:tr>
      <w:tr w:rsidR="00F2053C" w:rsidRPr="00342041" w14:paraId="4C822FF6" w14:textId="77777777" w:rsidTr="00FF1F11">
        <w:trPr>
          <w:trHeight w:val="300"/>
          <w:jc w:val="center"/>
        </w:trPr>
        <w:tc>
          <w:tcPr>
            <w:tcW w:w="3262" w:type="dxa"/>
            <w:shd w:val="clear" w:color="auto" w:fill="9CC2E5" w:themeFill="accent1" w:themeFillTint="99"/>
            <w:noWrap/>
            <w:vAlign w:val="center"/>
            <w:hideMark/>
          </w:tcPr>
          <w:p w14:paraId="4A74C8AA" w14:textId="77777777" w:rsidR="00F2053C" w:rsidRPr="00342041" w:rsidRDefault="00F2053C"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w:t>
            </w:r>
          </w:p>
        </w:tc>
        <w:tc>
          <w:tcPr>
            <w:tcW w:w="1340" w:type="dxa"/>
            <w:shd w:val="clear" w:color="auto" w:fill="auto"/>
            <w:noWrap/>
            <w:vAlign w:val="center"/>
            <w:hideMark/>
          </w:tcPr>
          <w:p w14:paraId="7D42F407"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p>
        </w:tc>
        <w:tc>
          <w:tcPr>
            <w:tcW w:w="1340" w:type="dxa"/>
            <w:shd w:val="clear" w:color="auto" w:fill="auto"/>
            <w:noWrap/>
            <w:vAlign w:val="center"/>
            <w:hideMark/>
          </w:tcPr>
          <w:p w14:paraId="0C98A6C9"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p>
        </w:tc>
        <w:tc>
          <w:tcPr>
            <w:tcW w:w="1340" w:type="dxa"/>
            <w:shd w:val="clear" w:color="auto" w:fill="auto"/>
            <w:noWrap/>
            <w:vAlign w:val="center"/>
            <w:hideMark/>
          </w:tcPr>
          <w:p w14:paraId="57431268"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p>
        </w:tc>
        <w:tc>
          <w:tcPr>
            <w:tcW w:w="1340" w:type="dxa"/>
            <w:shd w:val="clear" w:color="auto" w:fill="auto"/>
            <w:noWrap/>
            <w:vAlign w:val="center"/>
            <w:hideMark/>
          </w:tcPr>
          <w:p w14:paraId="4326121F"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p>
        </w:tc>
        <w:tc>
          <w:tcPr>
            <w:tcW w:w="1348" w:type="dxa"/>
            <w:shd w:val="clear" w:color="auto" w:fill="auto"/>
            <w:noWrap/>
            <w:vAlign w:val="center"/>
            <w:hideMark/>
          </w:tcPr>
          <w:p w14:paraId="26921025"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p>
        </w:tc>
      </w:tr>
      <w:tr w:rsidR="00F2053C" w:rsidRPr="00342041" w14:paraId="29B6CEC6" w14:textId="77777777" w:rsidTr="00FF1F11">
        <w:trPr>
          <w:trHeight w:val="300"/>
          <w:jc w:val="center"/>
        </w:trPr>
        <w:tc>
          <w:tcPr>
            <w:tcW w:w="3262" w:type="dxa"/>
            <w:shd w:val="clear" w:color="auto" w:fill="9CC2E5" w:themeFill="accent1" w:themeFillTint="99"/>
            <w:noWrap/>
            <w:vAlign w:val="center"/>
            <w:hideMark/>
          </w:tcPr>
          <w:p w14:paraId="3976C603" w14:textId="77777777" w:rsidR="00F2053C" w:rsidRPr="00342041" w:rsidRDefault="00F2053C"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nieposzukujące pracy - razem</w:t>
            </w:r>
          </w:p>
        </w:tc>
        <w:tc>
          <w:tcPr>
            <w:tcW w:w="1340" w:type="dxa"/>
            <w:shd w:val="clear" w:color="auto" w:fill="auto"/>
            <w:noWrap/>
            <w:vAlign w:val="bottom"/>
            <w:hideMark/>
          </w:tcPr>
          <w:p w14:paraId="1C972C2C"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8 034</w:t>
            </w:r>
          </w:p>
        </w:tc>
        <w:tc>
          <w:tcPr>
            <w:tcW w:w="1340" w:type="dxa"/>
            <w:shd w:val="clear" w:color="auto" w:fill="auto"/>
            <w:noWrap/>
            <w:vAlign w:val="bottom"/>
            <w:hideMark/>
          </w:tcPr>
          <w:p w14:paraId="6E86479C"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3 021</w:t>
            </w:r>
          </w:p>
        </w:tc>
        <w:tc>
          <w:tcPr>
            <w:tcW w:w="1340" w:type="dxa"/>
            <w:shd w:val="clear" w:color="auto" w:fill="auto"/>
            <w:noWrap/>
            <w:vAlign w:val="bottom"/>
            <w:hideMark/>
          </w:tcPr>
          <w:p w14:paraId="30760B48"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5 013</w:t>
            </w:r>
          </w:p>
        </w:tc>
        <w:tc>
          <w:tcPr>
            <w:tcW w:w="1340" w:type="dxa"/>
            <w:shd w:val="clear" w:color="auto" w:fill="auto"/>
            <w:noWrap/>
            <w:vAlign w:val="bottom"/>
            <w:hideMark/>
          </w:tcPr>
          <w:p w14:paraId="3B9B9A4E"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5 172</w:t>
            </w:r>
          </w:p>
        </w:tc>
        <w:tc>
          <w:tcPr>
            <w:tcW w:w="1348" w:type="dxa"/>
            <w:shd w:val="clear" w:color="auto" w:fill="auto"/>
            <w:noWrap/>
            <w:vAlign w:val="bottom"/>
            <w:hideMark/>
          </w:tcPr>
          <w:p w14:paraId="5B7B714F"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2 862</w:t>
            </w:r>
          </w:p>
        </w:tc>
      </w:tr>
      <w:tr w:rsidR="00F2053C" w:rsidRPr="00342041" w14:paraId="7980AC09" w14:textId="77777777" w:rsidTr="00FF1F11">
        <w:trPr>
          <w:trHeight w:val="300"/>
          <w:jc w:val="center"/>
        </w:trPr>
        <w:tc>
          <w:tcPr>
            <w:tcW w:w="3262" w:type="dxa"/>
            <w:shd w:val="clear" w:color="auto" w:fill="9CC2E5" w:themeFill="accent1" w:themeFillTint="99"/>
            <w:noWrap/>
            <w:vAlign w:val="center"/>
            <w:hideMark/>
          </w:tcPr>
          <w:p w14:paraId="65274B0F" w14:textId="77777777" w:rsidR="00F2053C" w:rsidRPr="00342041" w:rsidRDefault="00F2053C"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nieposzukujące pracy - emerytura</w:t>
            </w:r>
          </w:p>
        </w:tc>
        <w:tc>
          <w:tcPr>
            <w:tcW w:w="1340" w:type="dxa"/>
            <w:shd w:val="clear" w:color="auto" w:fill="auto"/>
            <w:noWrap/>
            <w:vAlign w:val="bottom"/>
            <w:hideMark/>
          </w:tcPr>
          <w:p w14:paraId="2F776314"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7 121</w:t>
            </w:r>
          </w:p>
        </w:tc>
        <w:tc>
          <w:tcPr>
            <w:tcW w:w="1340" w:type="dxa"/>
            <w:shd w:val="clear" w:color="auto" w:fill="auto"/>
            <w:noWrap/>
            <w:vAlign w:val="bottom"/>
            <w:hideMark/>
          </w:tcPr>
          <w:p w14:paraId="1220CDEF"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2 592</w:t>
            </w:r>
          </w:p>
        </w:tc>
        <w:tc>
          <w:tcPr>
            <w:tcW w:w="1340" w:type="dxa"/>
            <w:shd w:val="clear" w:color="auto" w:fill="auto"/>
            <w:noWrap/>
            <w:vAlign w:val="bottom"/>
            <w:hideMark/>
          </w:tcPr>
          <w:p w14:paraId="0F89113C"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4 529</w:t>
            </w:r>
          </w:p>
        </w:tc>
        <w:tc>
          <w:tcPr>
            <w:tcW w:w="1340" w:type="dxa"/>
            <w:shd w:val="clear" w:color="auto" w:fill="auto"/>
            <w:noWrap/>
            <w:vAlign w:val="bottom"/>
            <w:hideMark/>
          </w:tcPr>
          <w:p w14:paraId="1866E23F" w14:textId="77777777" w:rsidR="00F2053C" w:rsidRPr="00342041" w:rsidRDefault="00F2053C" w:rsidP="00FF1F11">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4 637</w:t>
            </w:r>
          </w:p>
        </w:tc>
        <w:tc>
          <w:tcPr>
            <w:tcW w:w="1348" w:type="dxa"/>
            <w:shd w:val="clear" w:color="auto" w:fill="auto"/>
            <w:noWrap/>
            <w:vAlign w:val="bottom"/>
            <w:hideMark/>
          </w:tcPr>
          <w:p w14:paraId="3E024E3F"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2 484</w:t>
            </w:r>
          </w:p>
        </w:tc>
      </w:tr>
      <w:tr w:rsidR="00F2053C" w:rsidRPr="00342041" w14:paraId="38BC0509" w14:textId="77777777" w:rsidTr="00FF1F11">
        <w:trPr>
          <w:trHeight w:val="300"/>
          <w:jc w:val="center"/>
        </w:trPr>
        <w:tc>
          <w:tcPr>
            <w:tcW w:w="3262" w:type="dxa"/>
            <w:shd w:val="clear" w:color="auto" w:fill="9CC2E5" w:themeFill="accent1" w:themeFillTint="99"/>
            <w:noWrap/>
            <w:vAlign w:val="center"/>
            <w:hideMark/>
          </w:tcPr>
          <w:p w14:paraId="5854DDB6" w14:textId="77777777" w:rsidR="00F2053C" w:rsidRPr="00342041" w:rsidRDefault="00F2053C"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lastRenderedPageBreak/>
              <w:t>osoby nieposzukujące pracy - choroba, niepełnosprawność</w:t>
            </w:r>
          </w:p>
        </w:tc>
        <w:tc>
          <w:tcPr>
            <w:tcW w:w="1340" w:type="dxa"/>
            <w:shd w:val="clear" w:color="auto" w:fill="auto"/>
            <w:noWrap/>
            <w:vAlign w:val="bottom"/>
            <w:hideMark/>
          </w:tcPr>
          <w:p w14:paraId="4ACA867A"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568</w:t>
            </w:r>
          </w:p>
        </w:tc>
        <w:tc>
          <w:tcPr>
            <w:tcW w:w="1340" w:type="dxa"/>
            <w:shd w:val="clear" w:color="auto" w:fill="auto"/>
            <w:noWrap/>
            <w:vAlign w:val="bottom"/>
            <w:hideMark/>
          </w:tcPr>
          <w:p w14:paraId="5695DDB8"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336</w:t>
            </w:r>
          </w:p>
        </w:tc>
        <w:tc>
          <w:tcPr>
            <w:tcW w:w="1340" w:type="dxa"/>
            <w:shd w:val="clear" w:color="auto" w:fill="auto"/>
            <w:noWrap/>
            <w:vAlign w:val="bottom"/>
            <w:hideMark/>
          </w:tcPr>
          <w:p w14:paraId="4E67CF28"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232</w:t>
            </w:r>
          </w:p>
        </w:tc>
        <w:tc>
          <w:tcPr>
            <w:tcW w:w="1340" w:type="dxa"/>
            <w:shd w:val="clear" w:color="auto" w:fill="auto"/>
            <w:noWrap/>
            <w:vAlign w:val="bottom"/>
            <w:hideMark/>
          </w:tcPr>
          <w:p w14:paraId="7F832046"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318</w:t>
            </w:r>
          </w:p>
        </w:tc>
        <w:tc>
          <w:tcPr>
            <w:tcW w:w="1348" w:type="dxa"/>
            <w:shd w:val="clear" w:color="auto" w:fill="auto"/>
            <w:noWrap/>
            <w:vAlign w:val="bottom"/>
            <w:hideMark/>
          </w:tcPr>
          <w:p w14:paraId="647A091A"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250</w:t>
            </w:r>
          </w:p>
        </w:tc>
      </w:tr>
      <w:tr w:rsidR="00F2053C" w:rsidRPr="00342041" w14:paraId="1ED4F219" w14:textId="77777777" w:rsidTr="00FF1F11">
        <w:trPr>
          <w:trHeight w:val="300"/>
          <w:jc w:val="center"/>
        </w:trPr>
        <w:tc>
          <w:tcPr>
            <w:tcW w:w="9970" w:type="dxa"/>
            <w:gridSpan w:val="6"/>
            <w:shd w:val="clear" w:color="auto" w:fill="auto"/>
            <w:noWrap/>
            <w:vAlign w:val="center"/>
            <w:hideMark/>
          </w:tcPr>
          <w:p w14:paraId="2019F4E6" w14:textId="77777777" w:rsidR="00F2053C" w:rsidRPr="00342041" w:rsidRDefault="00F2053C" w:rsidP="003C1988">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Bezrobotni zarejestrowani w urzędach pracy (w tysiącach). Stan w końcu grudnia.</w:t>
            </w:r>
          </w:p>
        </w:tc>
      </w:tr>
      <w:tr w:rsidR="00F2053C" w:rsidRPr="00342041" w14:paraId="11F0C114" w14:textId="77777777" w:rsidTr="00FF1F11">
        <w:trPr>
          <w:trHeight w:val="300"/>
          <w:jc w:val="center"/>
        </w:trPr>
        <w:tc>
          <w:tcPr>
            <w:tcW w:w="3262" w:type="dxa"/>
            <w:shd w:val="clear" w:color="auto" w:fill="9CC2E5" w:themeFill="accent1" w:themeFillTint="99"/>
            <w:noWrap/>
            <w:vAlign w:val="center"/>
            <w:hideMark/>
          </w:tcPr>
          <w:p w14:paraId="6A587B0D" w14:textId="77777777" w:rsidR="00F2053C" w:rsidRPr="00342041" w:rsidRDefault="00F2053C" w:rsidP="003C1988">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340" w:type="dxa"/>
            <w:shd w:val="clear" w:color="auto" w:fill="auto"/>
            <w:noWrap/>
            <w:vAlign w:val="bottom"/>
            <w:hideMark/>
          </w:tcPr>
          <w:p w14:paraId="5F7596FC"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866,4</w:t>
            </w:r>
          </w:p>
        </w:tc>
        <w:tc>
          <w:tcPr>
            <w:tcW w:w="1340" w:type="dxa"/>
            <w:shd w:val="clear" w:color="auto" w:fill="auto"/>
            <w:noWrap/>
            <w:vAlign w:val="bottom"/>
            <w:hideMark/>
          </w:tcPr>
          <w:p w14:paraId="3D2E25A7"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387,0</w:t>
            </w:r>
          </w:p>
        </w:tc>
        <w:tc>
          <w:tcPr>
            <w:tcW w:w="1340" w:type="dxa"/>
            <w:shd w:val="clear" w:color="auto" w:fill="auto"/>
            <w:noWrap/>
            <w:vAlign w:val="bottom"/>
            <w:hideMark/>
          </w:tcPr>
          <w:p w14:paraId="2E6744EC"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479,4</w:t>
            </w:r>
          </w:p>
        </w:tc>
        <w:tc>
          <w:tcPr>
            <w:tcW w:w="1340" w:type="dxa"/>
            <w:shd w:val="clear" w:color="auto" w:fill="auto"/>
            <w:noWrap/>
            <w:vAlign w:val="bottom"/>
            <w:hideMark/>
          </w:tcPr>
          <w:p w14:paraId="4ACBCFA0"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460,5</w:t>
            </w:r>
          </w:p>
        </w:tc>
        <w:tc>
          <w:tcPr>
            <w:tcW w:w="1348" w:type="dxa"/>
            <w:shd w:val="clear" w:color="auto" w:fill="auto"/>
            <w:noWrap/>
            <w:vAlign w:val="bottom"/>
            <w:hideMark/>
          </w:tcPr>
          <w:p w14:paraId="07E90851"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405,9</w:t>
            </w:r>
          </w:p>
        </w:tc>
      </w:tr>
      <w:tr w:rsidR="00F2053C" w:rsidRPr="00342041" w14:paraId="10DFB621" w14:textId="77777777" w:rsidTr="00FF1F11">
        <w:trPr>
          <w:trHeight w:val="300"/>
          <w:jc w:val="center"/>
        </w:trPr>
        <w:tc>
          <w:tcPr>
            <w:tcW w:w="3262" w:type="dxa"/>
            <w:shd w:val="clear" w:color="auto" w:fill="9CC2E5" w:themeFill="accent1" w:themeFillTint="99"/>
            <w:noWrap/>
            <w:vAlign w:val="center"/>
            <w:hideMark/>
          </w:tcPr>
          <w:p w14:paraId="5C2BD1D7" w14:textId="77777777" w:rsidR="00F2053C" w:rsidRPr="00342041" w:rsidRDefault="00F2053C" w:rsidP="00FF1F1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 osoby w wieku 60 lat i więcej</w:t>
            </w:r>
          </w:p>
        </w:tc>
        <w:tc>
          <w:tcPr>
            <w:tcW w:w="1340" w:type="dxa"/>
            <w:shd w:val="clear" w:color="auto" w:fill="auto"/>
            <w:noWrap/>
            <w:vAlign w:val="bottom"/>
            <w:hideMark/>
          </w:tcPr>
          <w:p w14:paraId="181DFA14"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60,2</w:t>
            </w:r>
          </w:p>
        </w:tc>
        <w:tc>
          <w:tcPr>
            <w:tcW w:w="1340" w:type="dxa"/>
            <w:shd w:val="clear" w:color="auto" w:fill="auto"/>
            <w:noWrap/>
            <w:vAlign w:val="bottom"/>
            <w:hideMark/>
          </w:tcPr>
          <w:p w14:paraId="510F83FE"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60,2</w:t>
            </w:r>
          </w:p>
        </w:tc>
        <w:tc>
          <w:tcPr>
            <w:tcW w:w="1340" w:type="dxa"/>
            <w:shd w:val="clear" w:color="auto" w:fill="auto"/>
            <w:noWrap/>
            <w:vAlign w:val="bottom"/>
            <w:hideMark/>
          </w:tcPr>
          <w:p w14:paraId="5B477FFD"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0,0</w:t>
            </w:r>
          </w:p>
        </w:tc>
        <w:tc>
          <w:tcPr>
            <w:tcW w:w="1340" w:type="dxa"/>
            <w:shd w:val="clear" w:color="auto" w:fill="auto"/>
            <w:noWrap/>
            <w:vAlign w:val="bottom"/>
            <w:hideMark/>
          </w:tcPr>
          <w:p w14:paraId="6105E925"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35,4</w:t>
            </w:r>
          </w:p>
        </w:tc>
        <w:tc>
          <w:tcPr>
            <w:tcW w:w="1348" w:type="dxa"/>
            <w:shd w:val="clear" w:color="auto" w:fill="auto"/>
            <w:noWrap/>
            <w:vAlign w:val="bottom"/>
            <w:hideMark/>
          </w:tcPr>
          <w:p w14:paraId="3ACE2149" w14:textId="77777777" w:rsidR="00F2053C" w:rsidRPr="00342041" w:rsidRDefault="00F2053C" w:rsidP="00FF1F1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24,7</w:t>
            </w:r>
          </w:p>
        </w:tc>
      </w:tr>
    </w:tbl>
    <w:p w14:paraId="715AC3D6" w14:textId="77777777" w:rsidR="00F2053C" w:rsidRPr="008B383C" w:rsidRDefault="00F2053C" w:rsidP="003C1988">
      <w:pPr>
        <w:spacing w:after="0"/>
        <w:rPr>
          <w:rFonts w:ascii="Times New Roman" w:hAnsi="Times New Roman" w:cs="Times New Roman"/>
          <w:b/>
          <w:bCs/>
          <w:spacing w:val="-10"/>
          <w:kern w:val="20"/>
          <w:szCs w:val="24"/>
        </w:rPr>
      </w:pPr>
      <w:r w:rsidRPr="008B383C">
        <w:rPr>
          <w:rFonts w:ascii="Times New Roman" w:hAnsi="Times New Roman" w:cs="Times New Roman"/>
          <w:b/>
          <w:bCs/>
          <w:spacing w:val="-10"/>
          <w:kern w:val="20"/>
          <w:szCs w:val="24"/>
        </w:rPr>
        <w:t>Z uwagi na reprezentacyjny charakter badania (BAEL), zalecana jest szczególna  ostrożność w posługiwaniu się danymi w tych przypadkach, gdy zastosowano bardziej szczegółowe podziały i występują liczby niskiego rzędu, mniejsze niż 15 tys.</w:t>
      </w:r>
    </w:p>
    <w:p w14:paraId="4217DD42" w14:textId="35F1A91F" w:rsidR="00F2053C" w:rsidRDefault="00F2053C" w:rsidP="003C1988">
      <w:pPr>
        <w:spacing w:after="0"/>
        <w:rPr>
          <w:rFonts w:ascii="Times New Roman" w:hAnsi="Times New Roman" w:cs="Times New Roman"/>
          <w:b/>
          <w:bCs/>
          <w:spacing w:val="-10"/>
          <w:kern w:val="20"/>
          <w:szCs w:val="24"/>
        </w:rPr>
      </w:pPr>
      <w:r w:rsidRPr="008B383C">
        <w:rPr>
          <w:rFonts w:ascii="Times New Roman" w:hAnsi="Times New Roman" w:cs="Times New Roman"/>
          <w:b/>
          <w:bCs/>
          <w:spacing w:val="-10"/>
          <w:kern w:val="20"/>
          <w:szCs w:val="24"/>
        </w:rPr>
        <w:t>Źródło: badanie BAEL ; dane dot. bezrobotnych - dane MRPiPS</w:t>
      </w:r>
    </w:p>
    <w:p w14:paraId="12F1D591" w14:textId="68E37EDC" w:rsidR="001D7B7A" w:rsidRDefault="001D7B7A" w:rsidP="003C1988">
      <w:pPr>
        <w:spacing w:after="0"/>
        <w:rPr>
          <w:rFonts w:ascii="Times New Roman" w:hAnsi="Times New Roman" w:cs="Times New Roman"/>
          <w:b/>
          <w:bCs/>
          <w:spacing w:val="-10"/>
          <w:kern w:val="20"/>
          <w:szCs w:val="24"/>
        </w:rPr>
      </w:pPr>
    </w:p>
    <w:p w14:paraId="2B277F89" w14:textId="01C5AD4B" w:rsidR="001D7B7A" w:rsidRPr="001D7B7A" w:rsidRDefault="001D7B7A" w:rsidP="001D7B7A">
      <w:pPr>
        <w:pStyle w:val="zwykly"/>
        <w:spacing w:before="0" w:after="0" w:line="276" w:lineRule="auto"/>
        <w:rPr>
          <w:rFonts w:ascii="Times New Roman" w:hAnsi="Times New Roman" w:cs="Times New Roman"/>
          <w:sz w:val="24"/>
          <w:szCs w:val="24"/>
        </w:rPr>
      </w:pPr>
      <w:r w:rsidRPr="001D7B7A">
        <w:rPr>
          <w:rFonts w:ascii="Times New Roman" w:hAnsi="Times New Roman" w:cs="Times New Roman"/>
          <w:sz w:val="24"/>
          <w:szCs w:val="24"/>
        </w:rPr>
        <w:t xml:space="preserve">Znaczna część osób w Polsce łączy pobieranie świadczenia emerytalnego z zatrudnieniem. System prawny w Polsce umożliwia pracę zarobkową bez ograniczeń w zakresie wymiaru czasu pracy, czy uzyskiwanych dochodów, przy jednoczesnym otrzymywaniu świadczenia emerytalnego. </w:t>
      </w:r>
      <w:r w:rsidRPr="00E345E6">
        <w:rPr>
          <w:rFonts w:ascii="Times New Roman" w:hAnsi="Times New Roman" w:cs="Times New Roman"/>
          <w:sz w:val="24"/>
          <w:szCs w:val="24"/>
        </w:rPr>
        <w:t>Zgodnie z danymi BAEL GUS w IV kw. 2019 r. około 478 tys. osób łączyło pracę zawodową z emeryturą, z czego ponad połowa (ok. 56%) wskazała, iż to praca jest ich głównym źródłem dochodów. Oznacza, to iż liczba osób pobierających emeryturę i jednocześnie decydujących się na dalszą aktywność zawodową wzrasta</w:t>
      </w:r>
      <w:r w:rsidRPr="001D7B7A">
        <w:rPr>
          <w:rFonts w:ascii="Times New Roman" w:hAnsi="Times New Roman" w:cs="Times New Roman"/>
          <w:sz w:val="24"/>
          <w:szCs w:val="24"/>
        </w:rPr>
        <w:t xml:space="preserve"> (w stosunku do IV kw. 2017 r. o 53 tys. osób). W stosunku do I kw. 2017, czyli czasu przed przywróceniem niższego wieku emerytalnego, liczba pracujących emerytów wzrosła o 20%, tj. o 80 tys. osób, a liczba emerytów, dla których praca jest głównym źródłem dochodów wzrosła o 40%, tj. o  77 tys. osób</w:t>
      </w:r>
      <w:r w:rsidRPr="001D7B7A">
        <w:rPr>
          <w:rStyle w:val="Odwoanieprzypisudolnego"/>
          <w:rFonts w:ascii="Times New Roman" w:hAnsi="Times New Roman" w:cs="Times New Roman"/>
          <w:sz w:val="24"/>
          <w:szCs w:val="24"/>
        </w:rPr>
        <w:footnoteReference w:id="7"/>
      </w:r>
      <w:r w:rsidRPr="001D7B7A">
        <w:rPr>
          <w:rFonts w:ascii="Times New Roman" w:hAnsi="Times New Roman" w:cs="Times New Roman"/>
          <w:sz w:val="24"/>
          <w:szCs w:val="24"/>
        </w:rPr>
        <w:t>. W</w:t>
      </w:r>
      <w:r w:rsidR="00E345E6">
        <w:rPr>
          <w:rFonts w:ascii="Times New Roman" w:hAnsi="Times New Roman" w:cs="Times New Roman"/>
          <w:sz w:val="24"/>
          <w:szCs w:val="24"/>
        </w:rPr>
        <w:t xml:space="preserve">prowadzenie reformy emerytalnej </w:t>
      </w:r>
      <w:r w:rsidRPr="001D7B7A">
        <w:rPr>
          <w:rFonts w:ascii="Times New Roman" w:hAnsi="Times New Roman" w:cs="Times New Roman"/>
          <w:sz w:val="24"/>
          <w:szCs w:val="24"/>
        </w:rPr>
        <w:t xml:space="preserve">w IV kw. 2017 r., przywracającej niższy wiek emerytalny, nie wpłynęło więc negatywnie na aktywność zawodową emerytów. </w:t>
      </w:r>
    </w:p>
    <w:p w14:paraId="288FF1D6" w14:textId="5CA249CA" w:rsidR="008F5175" w:rsidRDefault="008F5175" w:rsidP="008F5175">
      <w:pPr>
        <w:autoSpaceDE w:val="0"/>
        <w:autoSpaceDN w:val="0"/>
        <w:adjustRightInd w:val="0"/>
        <w:spacing w:after="0"/>
        <w:jc w:val="both"/>
        <w:rPr>
          <w:rFonts w:ascii="Times New Roman" w:hAnsi="Times New Roman" w:cs="Times New Roman"/>
          <w:sz w:val="24"/>
          <w:szCs w:val="24"/>
        </w:rPr>
      </w:pPr>
    </w:p>
    <w:p w14:paraId="353D75CF" w14:textId="77777777" w:rsidR="008F5175" w:rsidRPr="008F5175" w:rsidRDefault="008F5175" w:rsidP="004C226B">
      <w:pPr>
        <w:autoSpaceDE w:val="0"/>
        <w:autoSpaceDN w:val="0"/>
        <w:adjustRightInd w:val="0"/>
        <w:spacing w:after="0"/>
        <w:jc w:val="both"/>
        <w:rPr>
          <w:rFonts w:ascii="Times New Roman" w:hAnsi="Times New Roman" w:cs="Times New Roman"/>
          <w:color w:val="FF0000"/>
          <w:sz w:val="24"/>
          <w:szCs w:val="24"/>
        </w:rPr>
      </w:pPr>
      <w:r w:rsidRPr="008F5175">
        <w:rPr>
          <w:rFonts w:ascii="Times New Roman" w:hAnsi="Times New Roman" w:cs="Times New Roman"/>
          <w:sz w:val="24"/>
          <w:szCs w:val="24"/>
        </w:rPr>
        <w:t>Populacja osób starszych biernych zawodowo wynosiła 8038 tys., co stanowiło 86,1% ogółu ludności w wieku 60 lat i więcej. Wśród tych osób główną przyczyną bierności była emerytura, którą wskazało aż 7121 tys. osób. Drugą istotną przyczyną bierności była choroba lub niepełnosprawność, wskazana przez 568 tys. osób</w:t>
      </w:r>
      <w:r w:rsidR="004C226B">
        <w:rPr>
          <w:rFonts w:ascii="Times New Roman" w:hAnsi="Times New Roman" w:cs="Times New Roman"/>
          <w:i/>
          <w:sz w:val="24"/>
          <w:szCs w:val="24"/>
        </w:rPr>
        <w:t xml:space="preserve">. </w:t>
      </w:r>
      <w:r w:rsidRPr="008F5175">
        <w:rPr>
          <w:rFonts w:ascii="Times New Roman" w:hAnsi="Times New Roman" w:cs="Times New Roman"/>
          <w:sz w:val="24"/>
          <w:szCs w:val="24"/>
        </w:rPr>
        <w:t>Wśród bezrobotnych zarejestrowanych w urzędach pracy, których liczba w końcu grudnia 2019 r. wyniosła 866,4 tys. osób, 60,2 tys. (tj. 6,9%) stanowiły osoby w wieku 60 lat i więcej (wyłącznie mężczyźni)</w:t>
      </w:r>
      <w:r w:rsidRPr="008F5175">
        <w:rPr>
          <w:rFonts w:ascii="Times New Roman" w:hAnsi="Times New Roman" w:cs="Times New Roman"/>
          <w:i/>
          <w:sz w:val="24"/>
          <w:szCs w:val="24"/>
        </w:rPr>
        <w:t>.</w:t>
      </w:r>
      <w:r w:rsidRPr="008F5175">
        <w:rPr>
          <w:rFonts w:ascii="Times New Roman" w:hAnsi="Times New Roman" w:cs="Times New Roman"/>
          <w:sz w:val="24"/>
          <w:szCs w:val="24"/>
        </w:rPr>
        <w:t xml:space="preserve"> W stosunku do 2018</w:t>
      </w:r>
      <w:r w:rsidR="00B9513F">
        <w:rPr>
          <w:rFonts w:ascii="Times New Roman" w:hAnsi="Times New Roman" w:cs="Times New Roman"/>
          <w:sz w:val="24"/>
          <w:szCs w:val="24"/>
        </w:rPr>
        <w:t xml:space="preserve"> r.</w:t>
      </w:r>
      <w:r w:rsidRPr="008F5175">
        <w:rPr>
          <w:rFonts w:ascii="Times New Roman" w:hAnsi="Times New Roman" w:cs="Times New Roman"/>
          <w:sz w:val="24"/>
          <w:szCs w:val="24"/>
        </w:rPr>
        <w:t xml:space="preserve"> liczba bezrobotnych seniorów zmniejszyła się o 4,7%, ale ich udział wśród ogółu bezrobotnych nieznacznie wzrósł (o 0,4%).</w:t>
      </w:r>
    </w:p>
    <w:p w14:paraId="11DD6297" w14:textId="77777777" w:rsidR="00342041" w:rsidRDefault="00342041" w:rsidP="002C1314">
      <w:pPr>
        <w:spacing w:after="0"/>
        <w:rPr>
          <w:rFonts w:ascii="Times New Roman" w:hAnsi="Times New Roman" w:cs="Times New Roman"/>
          <w:bCs/>
          <w:spacing w:val="-10"/>
          <w:kern w:val="20"/>
          <w:sz w:val="24"/>
          <w:szCs w:val="24"/>
        </w:rPr>
      </w:pPr>
    </w:p>
    <w:p w14:paraId="751BECE8" w14:textId="028A6F8A" w:rsidR="007B5A43" w:rsidRPr="007B5A43" w:rsidRDefault="007B5A43" w:rsidP="007B5A43">
      <w:pPr>
        <w:pStyle w:val="Legenda"/>
        <w:keepNext/>
        <w:rPr>
          <w:rFonts w:ascii="Times New Roman" w:hAnsi="Times New Roman" w:cs="Times New Roman"/>
          <w:b/>
          <w:i w:val="0"/>
          <w:sz w:val="24"/>
        </w:rPr>
      </w:pPr>
      <w:bookmarkStart w:id="19" w:name="_Toc49171388"/>
      <w:r w:rsidRPr="007B5A43">
        <w:rPr>
          <w:rFonts w:ascii="Times New Roman" w:hAnsi="Times New Roman" w:cs="Times New Roman"/>
          <w:b/>
          <w:i w:val="0"/>
          <w:sz w:val="24"/>
        </w:rPr>
        <w:t xml:space="preserve">Tabela </w:t>
      </w:r>
      <w:r w:rsidRPr="007B5A43">
        <w:rPr>
          <w:rFonts w:ascii="Times New Roman" w:hAnsi="Times New Roman" w:cs="Times New Roman"/>
          <w:b/>
          <w:i w:val="0"/>
          <w:sz w:val="24"/>
        </w:rPr>
        <w:fldChar w:fldCharType="begin"/>
      </w:r>
      <w:r w:rsidRPr="007B5A43">
        <w:rPr>
          <w:rFonts w:ascii="Times New Roman" w:hAnsi="Times New Roman" w:cs="Times New Roman"/>
          <w:b/>
          <w:i w:val="0"/>
          <w:sz w:val="24"/>
        </w:rPr>
        <w:instrText xml:space="preserve"> SEQ Tabela \* ARABIC </w:instrText>
      </w:r>
      <w:r w:rsidRPr="007B5A43">
        <w:rPr>
          <w:rFonts w:ascii="Times New Roman" w:hAnsi="Times New Roman" w:cs="Times New Roman"/>
          <w:b/>
          <w:i w:val="0"/>
          <w:sz w:val="24"/>
        </w:rPr>
        <w:fldChar w:fldCharType="separate"/>
      </w:r>
      <w:r w:rsidR="00C154C9">
        <w:rPr>
          <w:rFonts w:ascii="Times New Roman" w:hAnsi="Times New Roman" w:cs="Times New Roman"/>
          <w:b/>
          <w:i w:val="0"/>
          <w:noProof/>
          <w:sz w:val="24"/>
        </w:rPr>
        <w:t>13</w:t>
      </w:r>
      <w:r w:rsidRPr="007B5A43">
        <w:rPr>
          <w:rFonts w:ascii="Times New Roman" w:hAnsi="Times New Roman" w:cs="Times New Roman"/>
          <w:b/>
          <w:i w:val="0"/>
          <w:sz w:val="24"/>
        </w:rPr>
        <w:fldChar w:fldCharType="end"/>
      </w:r>
      <w:r w:rsidRPr="007B5A43">
        <w:rPr>
          <w:rFonts w:ascii="Times New Roman" w:hAnsi="Times New Roman" w:cs="Times New Roman"/>
          <w:b/>
          <w:i w:val="0"/>
          <w:sz w:val="24"/>
        </w:rPr>
        <w:t xml:space="preserve"> Osoby pobierające emerytury i renty z tytułu niezdolności do pracy</w:t>
      </w:r>
      <w:bookmarkEnd w:id="19"/>
    </w:p>
    <w:tbl>
      <w:tblPr>
        <w:tblW w:w="9127"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407"/>
        <w:gridCol w:w="1120"/>
        <w:gridCol w:w="1120"/>
        <w:gridCol w:w="1120"/>
        <w:gridCol w:w="1120"/>
        <w:gridCol w:w="1120"/>
        <w:gridCol w:w="1120"/>
      </w:tblGrid>
      <w:tr w:rsidR="00F2053C" w:rsidRPr="00342041" w14:paraId="567C82F9" w14:textId="77777777" w:rsidTr="003A3F68">
        <w:trPr>
          <w:trHeight w:val="450"/>
          <w:jc w:val="center"/>
        </w:trPr>
        <w:tc>
          <w:tcPr>
            <w:tcW w:w="2407" w:type="dxa"/>
            <w:vMerge w:val="restart"/>
            <w:shd w:val="clear" w:color="auto" w:fill="9CC2E5" w:themeFill="accent1" w:themeFillTint="99"/>
            <w:vAlign w:val="center"/>
            <w:hideMark/>
          </w:tcPr>
          <w:p w14:paraId="4B5C6702"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Wyszczególnienie</w:t>
            </w:r>
          </w:p>
        </w:tc>
        <w:tc>
          <w:tcPr>
            <w:tcW w:w="3360" w:type="dxa"/>
            <w:gridSpan w:val="3"/>
            <w:vMerge w:val="restart"/>
            <w:shd w:val="clear" w:color="auto" w:fill="9CC2E5" w:themeFill="accent1" w:themeFillTint="99"/>
            <w:vAlign w:val="center"/>
            <w:hideMark/>
          </w:tcPr>
          <w:p w14:paraId="32E892C4"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Osoby pobierające emerytury</w:t>
            </w:r>
          </w:p>
        </w:tc>
        <w:tc>
          <w:tcPr>
            <w:tcW w:w="3360" w:type="dxa"/>
            <w:gridSpan w:val="3"/>
            <w:vMerge w:val="restart"/>
            <w:shd w:val="clear" w:color="auto" w:fill="9CC2E5" w:themeFill="accent1" w:themeFillTint="99"/>
            <w:vAlign w:val="center"/>
            <w:hideMark/>
          </w:tcPr>
          <w:p w14:paraId="1F533748"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Osoby pobierające renty z tytułu niezdolności do pracy</w:t>
            </w:r>
          </w:p>
        </w:tc>
      </w:tr>
      <w:tr w:rsidR="00F2053C" w:rsidRPr="00342041" w14:paraId="787028E0" w14:textId="77777777" w:rsidTr="003A3F68">
        <w:trPr>
          <w:trHeight w:val="450"/>
          <w:jc w:val="center"/>
        </w:trPr>
        <w:tc>
          <w:tcPr>
            <w:tcW w:w="2407" w:type="dxa"/>
            <w:vMerge/>
            <w:shd w:val="clear" w:color="auto" w:fill="9CC2E5" w:themeFill="accent1" w:themeFillTint="99"/>
            <w:vAlign w:val="center"/>
            <w:hideMark/>
          </w:tcPr>
          <w:p w14:paraId="01B95EAE"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p>
        </w:tc>
        <w:tc>
          <w:tcPr>
            <w:tcW w:w="3360" w:type="dxa"/>
            <w:gridSpan w:val="3"/>
            <w:vMerge/>
            <w:shd w:val="clear" w:color="auto" w:fill="9CC2E5" w:themeFill="accent1" w:themeFillTint="99"/>
            <w:vAlign w:val="center"/>
            <w:hideMark/>
          </w:tcPr>
          <w:p w14:paraId="3F71F2FB"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p>
        </w:tc>
        <w:tc>
          <w:tcPr>
            <w:tcW w:w="3360" w:type="dxa"/>
            <w:gridSpan w:val="3"/>
            <w:vMerge/>
            <w:shd w:val="clear" w:color="auto" w:fill="9CC2E5" w:themeFill="accent1" w:themeFillTint="99"/>
            <w:vAlign w:val="center"/>
            <w:hideMark/>
          </w:tcPr>
          <w:p w14:paraId="118362C0"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p>
        </w:tc>
      </w:tr>
      <w:tr w:rsidR="00F2053C" w:rsidRPr="00342041" w14:paraId="60C03DFC" w14:textId="77777777" w:rsidTr="003A3F68">
        <w:trPr>
          <w:trHeight w:val="300"/>
          <w:jc w:val="center"/>
        </w:trPr>
        <w:tc>
          <w:tcPr>
            <w:tcW w:w="2407" w:type="dxa"/>
            <w:vMerge/>
            <w:shd w:val="clear" w:color="auto" w:fill="9CC2E5" w:themeFill="accent1" w:themeFillTint="99"/>
            <w:vAlign w:val="center"/>
            <w:hideMark/>
          </w:tcPr>
          <w:p w14:paraId="01DD245F"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p>
        </w:tc>
        <w:tc>
          <w:tcPr>
            <w:tcW w:w="1120" w:type="dxa"/>
            <w:shd w:val="clear" w:color="auto" w:fill="9CC2E5" w:themeFill="accent1" w:themeFillTint="99"/>
            <w:vAlign w:val="center"/>
            <w:hideMark/>
          </w:tcPr>
          <w:p w14:paraId="1BC901E4"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w:t>
            </w:r>
          </w:p>
        </w:tc>
        <w:tc>
          <w:tcPr>
            <w:tcW w:w="1120" w:type="dxa"/>
            <w:shd w:val="clear" w:color="auto" w:fill="9CC2E5" w:themeFill="accent1" w:themeFillTint="99"/>
            <w:vAlign w:val="center"/>
            <w:hideMark/>
          </w:tcPr>
          <w:p w14:paraId="095A5636"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mężczyźni</w:t>
            </w:r>
          </w:p>
        </w:tc>
        <w:tc>
          <w:tcPr>
            <w:tcW w:w="1120" w:type="dxa"/>
            <w:shd w:val="clear" w:color="auto" w:fill="9CC2E5" w:themeFill="accent1" w:themeFillTint="99"/>
            <w:vAlign w:val="center"/>
            <w:hideMark/>
          </w:tcPr>
          <w:p w14:paraId="69A9F995"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kobiety</w:t>
            </w:r>
          </w:p>
        </w:tc>
        <w:tc>
          <w:tcPr>
            <w:tcW w:w="1120" w:type="dxa"/>
            <w:shd w:val="clear" w:color="auto" w:fill="9CC2E5" w:themeFill="accent1" w:themeFillTint="99"/>
            <w:vAlign w:val="center"/>
            <w:hideMark/>
          </w:tcPr>
          <w:p w14:paraId="38D8AA29"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w:t>
            </w:r>
          </w:p>
        </w:tc>
        <w:tc>
          <w:tcPr>
            <w:tcW w:w="1120" w:type="dxa"/>
            <w:shd w:val="clear" w:color="auto" w:fill="9CC2E5" w:themeFill="accent1" w:themeFillTint="99"/>
            <w:vAlign w:val="center"/>
            <w:hideMark/>
          </w:tcPr>
          <w:p w14:paraId="6B04C959"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mężczyźni</w:t>
            </w:r>
          </w:p>
        </w:tc>
        <w:tc>
          <w:tcPr>
            <w:tcW w:w="1120" w:type="dxa"/>
            <w:shd w:val="clear" w:color="auto" w:fill="9CC2E5" w:themeFill="accent1" w:themeFillTint="99"/>
            <w:vAlign w:val="center"/>
            <w:hideMark/>
          </w:tcPr>
          <w:p w14:paraId="31AD4F19" w14:textId="77777777" w:rsidR="00F2053C" w:rsidRPr="00342041" w:rsidRDefault="00F2053C" w:rsidP="003A3F68">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kobiety</w:t>
            </w:r>
          </w:p>
        </w:tc>
      </w:tr>
      <w:tr w:rsidR="00F2053C" w:rsidRPr="00342041" w14:paraId="4C96AD99" w14:textId="77777777" w:rsidTr="003A3F68">
        <w:trPr>
          <w:trHeight w:val="300"/>
          <w:jc w:val="center"/>
        </w:trPr>
        <w:tc>
          <w:tcPr>
            <w:tcW w:w="2407" w:type="dxa"/>
            <w:shd w:val="clear" w:color="auto" w:fill="9CC2E5" w:themeFill="accent1" w:themeFillTint="99"/>
            <w:noWrap/>
            <w:vAlign w:val="center"/>
            <w:hideMark/>
          </w:tcPr>
          <w:p w14:paraId="4A16C676" w14:textId="77777777" w:rsidR="00F2053C" w:rsidRPr="00342041" w:rsidRDefault="00F2053C"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 ZUS</w:t>
            </w:r>
          </w:p>
        </w:tc>
        <w:tc>
          <w:tcPr>
            <w:tcW w:w="1120" w:type="dxa"/>
            <w:shd w:val="clear" w:color="auto" w:fill="auto"/>
            <w:vAlign w:val="center"/>
            <w:hideMark/>
          </w:tcPr>
          <w:p w14:paraId="66C87581"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5 726 074</w:t>
            </w:r>
          </w:p>
        </w:tc>
        <w:tc>
          <w:tcPr>
            <w:tcW w:w="1120" w:type="dxa"/>
            <w:shd w:val="clear" w:color="auto" w:fill="auto"/>
            <w:vAlign w:val="center"/>
            <w:hideMark/>
          </w:tcPr>
          <w:p w14:paraId="3350D17F"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2 287 295</w:t>
            </w:r>
          </w:p>
        </w:tc>
        <w:tc>
          <w:tcPr>
            <w:tcW w:w="1120" w:type="dxa"/>
            <w:shd w:val="clear" w:color="auto" w:fill="auto"/>
            <w:vAlign w:val="center"/>
            <w:hideMark/>
          </w:tcPr>
          <w:p w14:paraId="3E81C3BD"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3 438 779</w:t>
            </w:r>
          </w:p>
        </w:tc>
        <w:tc>
          <w:tcPr>
            <w:tcW w:w="1120" w:type="dxa"/>
            <w:shd w:val="clear" w:color="auto" w:fill="auto"/>
            <w:vAlign w:val="center"/>
            <w:hideMark/>
          </w:tcPr>
          <w:p w14:paraId="133EF1E5"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753 123</w:t>
            </w:r>
          </w:p>
        </w:tc>
        <w:tc>
          <w:tcPr>
            <w:tcW w:w="1120" w:type="dxa"/>
            <w:shd w:val="clear" w:color="auto" w:fill="auto"/>
            <w:vAlign w:val="center"/>
            <w:hideMark/>
          </w:tcPr>
          <w:p w14:paraId="70D29590"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505 013</w:t>
            </w:r>
          </w:p>
        </w:tc>
        <w:tc>
          <w:tcPr>
            <w:tcW w:w="1120" w:type="dxa"/>
            <w:shd w:val="clear" w:color="auto" w:fill="auto"/>
            <w:vAlign w:val="center"/>
            <w:hideMark/>
          </w:tcPr>
          <w:p w14:paraId="59C09811"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248 110</w:t>
            </w:r>
          </w:p>
        </w:tc>
      </w:tr>
      <w:tr w:rsidR="00F2053C" w:rsidRPr="00342041" w14:paraId="64F63AE3" w14:textId="77777777" w:rsidTr="003A3F68">
        <w:trPr>
          <w:trHeight w:val="300"/>
          <w:jc w:val="center"/>
        </w:trPr>
        <w:tc>
          <w:tcPr>
            <w:tcW w:w="2407" w:type="dxa"/>
            <w:shd w:val="clear" w:color="auto" w:fill="9CC2E5" w:themeFill="accent1" w:themeFillTint="99"/>
            <w:vAlign w:val="center"/>
            <w:hideMark/>
          </w:tcPr>
          <w:p w14:paraId="4B8EB63A" w14:textId="77777777" w:rsidR="00F2053C" w:rsidRPr="00342041" w:rsidRDefault="00F2053C"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 60 lat i więcej</w:t>
            </w:r>
          </w:p>
        </w:tc>
        <w:tc>
          <w:tcPr>
            <w:tcW w:w="1120" w:type="dxa"/>
            <w:shd w:val="clear" w:color="auto" w:fill="auto"/>
            <w:noWrap/>
            <w:vAlign w:val="bottom"/>
            <w:hideMark/>
          </w:tcPr>
          <w:p w14:paraId="3CF19B46"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5 611 718</w:t>
            </w:r>
          </w:p>
        </w:tc>
        <w:tc>
          <w:tcPr>
            <w:tcW w:w="1120" w:type="dxa"/>
            <w:shd w:val="clear" w:color="auto" w:fill="auto"/>
            <w:noWrap/>
            <w:vAlign w:val="bottom"/>
            <w:hideMark/>
          </w:tcPr>
          <w:p w14:paraId="1BDE9BDB"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2 200 324</w:t>
            </w:r>
          </w:p>
        </w:tc>
        <w:tc>
          <w:tcPr>
            <w:tcW w:w="1120" w:type="dxa"/>
            <w:shd w:val="clear" w:color="auto" w:fill="auto"/>
            <w:noWrap/>
            <w:vAlign w:val="bottom"/>
            <w:hideMark/>
          </w:tcPr>
          <w:p w14:paraId="460DE8B7"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3 411 394</w:t>
            </w:r>
          </w:p>
        </w:tc>
        <w:tc>
          <w:tcPr>
            <w:tcW w:w="1120" w:type="dxa"/>
            <w:shd w:val="clear" w:color="auto" w:fill="auto"/>
            <w:noWrap/>
            <w:vAlign w:val="bottom"/>
            <w:hideMark/>
          </w:tcPr>
          <w:p w14:paraId="1EA58B40"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363 967</w:t>
            </w:r>
          </w:p>
        </w:tc>
        <w:tc>
          <w:tcPr>
            <w:tcW w:w="1120" w:type="dxa"/>
            <w:shd w:val="clear" w:color="auto" w:fill="auto"/>
            <w:noWrap/>
            <w:vAlign w:val="bottom"/>
            <w:hideMark/>
          </w:tcPr>
          <w:p w14:paraId="4FDBD6C3"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279 692</w:t>
            </w:r>
          </w:p>
        </w:tc>
        <w:tc>
          <w:tcPr>
            <w:tcW w:w="1120" w:type="dxa"/>
            <w:shd w:val="clear" w:color="auto" w:fill="auto"/>
            <w:noWrap/>
            <w:vAlign w:val="bottom"/>
            <w:hideMark/>
          </w:tcPr>
          <w:p w14:paraId="3FCADFBD"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84 275</w:t>
            </w:r>
          </w:p>
        </w:tc>
      </w:tr>
      <w:tr w:rsidR="00F2053C" w:rsidRPr="00342041" w14:paraId="1F9B1532" w14:textId="77777777" w:rsidTr="003A3F68">
        <w:trPr>
          <w:trHeight w:val="300"/>
          <w:jc w:val="center"/>
        </w:trPr>
        <w:tc>
          <w:tcPr>
            <w:tcW w:w="2407" w:type="dxa"/>
            <w:shd w:val="clear" w:color="auto" w:fill="9CC2E5" w:themeFill="accent1" w:themeFillTint="99"/>
            <w:noWrap/>
            <w:vAlign w:val="center"/>
            <w:hideMark/>
          </w:tcPr>
          <w:p w14:paraId="553DFF83" w14:textId="77777777" w:rsidR="00F2053C" w:rsidRPr="00342041" w:rsidRDefault="00F2053C"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 KRUS</w:t>
            </w:r>
          </w:p>
        </w:tc>
        <w:tc>
          <w:tcPr>
            <w:tcW w:w="1120" w:type="dxa"/>
            <w:shd w:val="clear" w:color="auto" w:fill="auto"/>
            <w:vAlign w:val="center"/>
            <w:hideMark/>
          </w:tcPr>
          <w:p w14:paraId="468037C1"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900 045</w:t>
            </w:r>
          </w:p>
        </w:tc>
        <w:tc>
          <w:tcPr>
            <w:tcW w:w="1120" w:type="dxa"/>
            <w:shd w:val="clear" w:color="auto" w:fill="auto"/>
            <w:vAlign w:val="center"/>
            <w:hideMark/>
          </w:tcPr>
          <w:p w14:paraId="3FE7C7EC"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272 651</w:t>
            </w:r>
          </w:p>
        </w:tc>
        <w:tc>
          <w:tcPr>
            <w:tcW w:w="1120" w:type="dxa"/>
            <w:shd w:val="clear" w:color="auto" w:fill="auto"/>
            <w:vAlign w:val="center"/>
            <w:hideMark/>
          </w:tcPr>
          <w:p w14:paraId="39ED7649"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627 394</w:t>
            </w:r>
          </w:p>
        </w:tc>
        <w:tc>
          <w:tcPr>
            <w:tcW w:w="1120" w:type="dxa"/>
            <w:shd w:val="clear" w:color="auto" w:fill="auto"/>
            <w:vAlign w:val="center"/>
            <w:hideMark/>
          </w:tcPr>
          <w:p w14:paraId="65DFA848"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196 947</w:t>
            </w:r>
          </w:p>
        </w:tc>
        <w:tc>
          <w:tcPr>
            <w:tcW w:w="1120" w:type="dxa"/>
            <w:shd w:val="clear" w:color="auto" w:fill="auto"/>
            <w:vAlign w:val="center"/>
            <w:hideMark/>
          </w:tcPr>
          <w:p w14:paraId="5047C339"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104 145</w:t>
            </w:r>
          </w:p>
        </w:tc>
        <w:tc>
          <w:tcPr>
            <w:tcW w:w="1120" w:type="dxa"/>
            <w:shd w:val="clear" w:color="auto" w:fill="auto"/>
            <w:vAlign w:val="center"/>
            <w:hideMark/>
          </w:tcPr>
          <w:p w14:paraId="6C193F37"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92 802</w:t>
            </w:r>
          </w:p>
        </w:tc>
      </w:tr>
      <w:tr w:rsidR="00F2053C" w:rsidRPr="00342041" w14:paraId="04922FA0" w14:textId="77777777" w:rsidTr="003A3F68">
        <w:trPr>
          <w:trHeight w:val="300"/>
          <w:jc w:val="center"/>
        </w:trPr>
        <w:tc>
          <w:tcPr>
            <w:tcW w:w="2407" w:type="dxa"/>
            <w:shd w:val="clear" w:color="auto" w:fill="9CC2E5" w:themeFill="accent1" w:themeFillTint="99"/>
            <w:vAlign w:val="center"/>
            <w:hideMark/>
          </w:tcPr>
          <w:p w14:paraId="1B88EE84" w14:textId="77777777" w:rsidR="00F2053C" w:rsidRPr="00342041" w:rsidRDefault="00F2053C"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 60 lat i więcej</w:t>
            </w:r>
          </w:p>
        </w:tc>
        <w:tc>
          <w:tcPr>
            <w:tcW w:w="1120" w:type="dxa"/>
            <w:shd w:val="clear" w:color="auto" w:fill="auto"/>
            <w:noWrap/>
            <w:vAlign w:val="bottom"/>
            <w:hideMark/>
          </w:tcPr>
          <w:p w14:paraId="6F32FF23"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871 407</w:t>
            </w:r>
          </w:p>
        </w:tc>
        <w:tc>
          <w:tcPr>
            <w:tcW w:w="1120" w:type="dxa"/>
            <w:shd w:val="clear" w:color="auto" w:fill="auto"/>
            <w:noWrap/>
            <w:vAlign w:val="bottom"/>
            <w:hideMark/>
          </w:tcPr>
          <w:p w14:paraId="1272E2F8"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272 651</w:t>
            </w:r>
          </w:p>
        </w:tc>
        <w:tc>
          <w:tcPr>
            <w:tcW w:w="1120" w:type="dxa"/>
            <w:shd w:val="clear" w:color="auto" w:fill="auto"/>
            <w:noWrap/>
            <w:vAlign w:val="bottom"/>
            <w:hideMark/>
          </w:tcPr>
          <w:p w14:paraId="5C7A044E"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598 756</w:t>
            </w:r>
          </w:p>
        </w:tc>
        <w:tc>
          <w:tcPr>
            <w:tcW w:w="1120" w:type="dxa"/>
            <w:shd w:val="clear" w:color="auto" w:fill="auto"/>
            <w:noWrap/>
            <w:vAlign w:val="bottom"/>
            <w:hideMark/>
          </w:tcPr>
          <w:p w14:paraId="500417BA"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99 402</w:t>
            </w:r>
          </w:p>
        </w:tc>
        <w:tc>
          <w:tcPr>
            <w:tcW w:w="1120" w:type="dxa"/>
            <w:shd w:val="clear" w:color="auto" w:fill="auto"/>
            <w:noWrap/>
            <w:vAlign w:val="bottom"/>
            <w:hideMark/>
          </w:tcPr>
          <w:p w14:paraId="480F09EB"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55 652</w:t>
            </w:r>
          </w:p>
        </w:tc>
        <w:tc>
          <w:tcPr>
            <w:tcW w:w="1120" w:type="dxa"/>
            <w:shd w:val="clear" w:color="auto" w:fill="auto"/>
            <w:noWrap/>
            <w:vAlign w:val="bottom"/>
            <w:hideMark/>
          </w:tcPr>
          <w:p w14:paraId="03FC63ED"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43 750</w:t>
            </w:r>
          </w:p>
        </w:tc>
      </w:tr>
      <w:tr w:rsidR="00F2053C" w:rsidRPr="00342041" w14:paraId="2409961A" w14:textId="77777777" w:rsidTr="003A3F68">
        <w:trPr>
          <w:trHeight w:val="300"/>
          <w:jc w:val="center"/>
        </w:trPr>
        <w:tc>
          <w:tcPr>
            <w:tcW w:w="2407" w:type="dxa"/>
            <w:shd w:val="clear" w:color="auto" w:fill="9CC2E5" w:themeFill="accent1" w:themeFillTint="99"/>
            <w:noWrap/>
            <w:vAlign w:val="center"/>
            <w:hideMark/>
          </w:tcPr>
          <w:p w14:paraId="7739CD43" w14:textId="77777777" w:rsidR="00F2053C" w:rsidRPr="00342041" w:rsidRDefault="00F2053C"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 MON</w:t>
            </w:r>
          </w:p>
        </w:tc>
        <w:tc>
          <w:tcPr>
            <w:tcW w:w="1120" w:type="dxa"/>
            <w:shd w:val="clear" w:color="auto" w:fill="auto"/>
            <w:vAlign w:val="center"/>
            <w:hideMark/>
          </w:tcPr>
          <w:p w14:paraId="7F846FC2"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110 000</w:t>
            </w:r>
          </w:p>
        </w:tc>
        <w:tc>
          <w:tcPr>
            <w:tcW w:w="1120" w:type="dxa"/>
            <w:shd w:val="clear" w:color="auto" w:fill="auto"/>
            <w:vAlign w:val="center"/>
            <w:hideMark/>
          </w:tcPr>
          <w:p w14:paraId="16C05F63"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109 839</w:t>
            </w:r>
          </w:p>
        </w:tc>
        <w:tc>
          <w:tcPr>
            <w:tcW w:w="1120" w:type="dxa"/>
            <w:shd w:val="clear" w:color="auto" w:fill="auto"/>
            <w:vAlign w:val="center"/>
            <w:hideMark/>
          </w:tcPr>
          <w:p w14:paraId="6D1820D2"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161</w:t>
            </w:r>
          </w:p>
        </w:tc>
        <w:tc>
          <w:tcPr>
            <w:tcW w:w="1120" w:type="dxa"/>
            <w:shd w:val="clear" w:color="auto" w:fill="auto"/>
            <w:vAlign w:val="center"/>
            <w:hideMark/>
          </w:tcPr>
          <w:p w14:paraId="51AFF98C"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12 528</w:t>
            </w:r>
          </w:p>
        </w:tc>
        <w:tc>
          <w:tcPr>
            <w:tcW w:w="1120" w:type="dxa"/>
            <w:shd w:val="clear" w:color="auto" w:fill="auto"/>
            <w:vAlign w:val="center"/>
            <w:hideMark/>
          </w:tcPr>
          <w:p w14:paraId="67054101"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12 495</w:t>
            </w:r>
          </w:p>
        </w:tc>
        <w:tc>
          <w:tcPr>
            <w:tcW w:w="1120" w:type="dxa"/>
            <w:shd w:val="clear" w:color="auto" w:fill="auto"/>
            <w:vAlign w:val="center"/>
            <w:hideMark/>
          </w:tcPr>
          <w:p w14:paraId="4F9BB8B3"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33</w:t>
            </w:r>
          </w:p>
        </w:tc>
      </w:tr>
      <w:tr w:rsidR="00F2053C" w:rsidRPr="00342041" w14:paraId="16C9F97E" w14:textId="77777777" w:rsidTr="003A3F68">
        <w:trPr>
          <w:trHeight w:val="300"/>
          <w:jc w:val="center"/>
        </w:trPr>
        <w:tc>
          <w:tcPr>
            <w:tcW w:w="2407" w:type="dxa"/>
            <w:shd w:val="clear" w:color="auto" w:fill="9CC2E5" w:themeFill="accent1" w:themeFillTint="99"/>
            <w:vAlign w:val="center"/>
            <w:hideMark/>
          </w:tcPr>
          <w:p w14:paraId="1ED02C94" w14:textId="77777777" w:rsidR="00F2053C" w:rsidRPr="00342041" w:rsidRDefault="00F2053C"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 60 lat i więcej</w:t>
            </w:r>
          </w:p>
        </w:tc>
        <w:tc>
          <w:tcPr>
            <w:tcW w:w="1120" w:type="dxa"/>
            <w:shd w:val="clear" w:color="auto" w:fill="auto"/>
            <w:noWrap/>
            <w:vAlign w:val="bottom"/>
            <w:hideMark/>
          </w:tcPr>
          <w:p w14:paraId="334AE808"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70 923</w:t>
            </w:r>
          </w:p>
        </w:tc>
        <w:tc>
          <w:tcPr>
            <w:tcW w:w="1120" w:type="dxa"/>
            <w:shd w:val="clear" w:color="auto" w:fill="auto"/>
            <w:noWrap/>
            <w:vAlign w:val="bottom"/>
            <w:hideMark/>
          </w:tcPr>
          <w:p w14:paraId="5BB45292"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70 887</w:t>
            </w:r>
          </w:p>
        </w:tc>
        <w:tc>
          <w:tcPr>
            <w:tcW w:w="1120" w:type="dxa"/>
            <w:shd w:val="clear" w:color="auto" w:fill="auto"/>
            <w:noWrap/>
            <w:vAlign w:val="bottom"/>
            <w:hideMark/>
          </w:tcPr>
          <w:p w14:paraId="2FD098CF"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36</w:t>
            </w:r>
          </w:p>
        </w:tc>
        <w:tc>
          <w:tcPr>
            <w:tcW w:w="1120" w:type="dxa"/>
            <w:shd w:val="clear" w:color="auto" w:fill="auto"/>
            <w:noWrap/>
            <w:vAlign w:val="bottom"/>
            <w:hideMark/>
          </w:tcPr>
          <w:p w14:paraId="70831B02"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10 571</w:t>
            </w:r>
          </w:p>
        </w:tc>
        <w:tc>
          <w:tcPr>
            <w:tcW w:w="1120" w:type="dxa"/>
            <w:shd w:val="clear" w:color="auto" w:fill="auto"/>
            <w:noWrap/>
            <w:vAlign w:val="bottom"/>
            <w:hideMark/>
          </w:tcPr>
          <w:p w14:paraId="70B00573"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10 569</w:t>
            </w:r>
          </w:p>
        </w:tc>
        <w:tc>
          <w:tcPr>
            <w:tcW w:w="1120" w:type="dxa"/>
            <w:shd w:val="clear" w:color="auto" w:fill="auto"/>
            <w:noWrap/>
            <w:vAlign w:val="bottom"/>
            <w:hideMark/>
          </w:tcPr>
          <w:p w14:paraId="2BCDF202"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w:t>
            </w:r>
          </w:p>
        </w:tc>
      </w:tr>
      <w:tr w:rsidR="00F2053C" w:rsidRPr="00342041" w14:paraId="4475DA19" w14:textId="77777777" w:rsidTr="003A3F68">
        <w:trPr>
          <w:trHeight w:val="300"/>
          <w:jc w:val="center"/>
        </w:trPr>
        <w:tc>
          <w:tcPr>
            <w:tcW w:w="2407" w:type="dxa"/>
            <w:shd w:val="clear" w:color="auto" w:fill="9CC2E5" w:themeFill="accent1" w:themeFillTint="99"/>
            <w:noWrap/>
            <w:vAlign w:val="center"/>
            <w:hideMark/>
          </w:tcPr>
          <w:p w14:paraId="5D75042E" w14:textId="77777777" w:rsidR="00F2053C" w:rsidRPr="00342041" w:rsidRDefault="00F2053C"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 MSWiA</w:t>
            </w:r>
          </w:p>
        </w:tc>
        <w:tc>
          <w:tcPr>
            <w:tcW w:w="1120" w:type="dxa"/>
            <w:shd w:val="clear" w:color="auto" w:fill="auto"/>
            <w:vAlign w:val="center"/>
            <w:hideMark/>
          </w:tcPr>
          <w:p w14:paraId="6D2E3565"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157 200</w:t>
            </w:r>
          </w:p>
        </w:tc>
        <w:tc>
          <w:tcPr>
            <w:tcW w:w="1120" w:type="dxa"/>
            <w:shd w:val="clear" w:color="auto" w:fill="auto"/>
            <w:vAlign w:val="center"/>
            <w:hideMark/>
          </w:tcPr>
          <w:p w14:paraId="20C357FB"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140 928</w:t>
            </w:r>
          </w:p>
        </w:tc>
        <w:tc>
          <w:tcPr>
            <w:tcW w:w="1120" w:type="dxa"/>
            <w:shd w:val="clear" w:color="auto" w:fill="auto"/>
            <w:vAlign w:val="center"/>
            <w:hideMark/>
          </w:tcPr>
          <w:p w14:paraId="01130E6E"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16 272</w:t>
            </w:r>
          </w:p>
        </w:tc>
        <w:tc>
          <w:tcPr>
            <w:tcW w:w="1120" w:type="dxa"/>
            <w:shd w:val="clear" w:color="auto" w:fill="auto"/>
            <w:vAlign w:val="center"/>
            <w:hideMark/>
          </w:tcPr>
          <w:p w14:paraId="531D480F"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12 054</w:t>
            </w:r>
          </w:p>
        </w:tc>
        <w:tc>
          <w:tcPr>
            <w:tcW w:w="1120" w:type="dxa"/>
            <w:shd w:val="clear" w:color="auto" w:fill="auto"/>
            <w:vAlign w:val="center"/>
            <w:hideMark/>
          </w:tcPr>
          <w:p w14:paraId="256246D6"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10 430</w:t>
            </w:r>
          </w:p>
        </w:tc>
        <w:tc>
          <w:tcPr>
            <w:tcW w:w="1120" w:type="dxa"/>
            <w:shd w:val="clear" w:color="auto" w:fill="auto"/>
            <w:vAlign w:val="center"/>
            <w:hideMark/>
          </w:tcPr>
          <w:p w14:paraId="46444773"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1 624</w:t>
            </w:r>
          </w:p>
        </w:tc>
      </w:tr>
      <w:tr w:rsidR="00F2053C" w:rsidRPr="00342041" w14:paraId="73DAC544" w14:textId="77777777" w:rsidTr="003A3F68">
        <w:trPr>
          <w:trHeight w:val="300"/>
          <w:jc w:val="center"/>
        </w:trPr>
        <w:tc>
          <w:tcPr>
            <w:tcW w:w="2407" w:type="dxa"/>
            <w:shd w:val="clear" w:color="auto" w:fill="9CC2E5" w:themeFill="accent1" w:themeFillTint="99"/>
            <w:vAlign w:val="center"/>
            <w:hideMark/>
          </w:tcPr>
          <w:p w14:paraId="783CCA52" w14:textId="77777777" w:rsidR="00F2053C" w:rsidRPr="00342041" w:rsidRDefault="00F2053C"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lastRenderedPageBreak/>
              <w:t>w tym 60 lat i więcej</w:t>
            </w:r>
          </w:p>
        </w:tc>
        <w:tc>
          <w:tcPr>
            <w:tcW w:w="1120" w:type="dxa"/>
            <w:shd w:val="clear" w:color="auto" w:fill="auto"/>
            <w:noWrap/>
            <w:vAlign w:val="bottom"/>
            <w:hideMark/>
          </w:tcPr>
          <w:p w14:paraId="4F2A9271"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84 288</w:t>
            </w:r>
          </w:p>
        </w:tc>
        <w:tc>
          <w:tcPr>
            <w:tcW w:w="1120" w:type="dxa"/>
            <w:shd w:val="clear" w:color="auto" w:fill="auto"/>
            <w:noWrap/>
            <w:vAlign w:val="bottom"/>
            <w:hideMark/>
          </w:tcPr>
          <w:p w14:paraId="2F40CD32"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71 961</w:t>
            </w:r>
          </w:p>
        </w:tc>
        <w:tc>
          <w:tcPr>
            <w:tcW w:w="1120" w:type="dxa"/>
            <w:shd w:val="clear" w:color="auto" w:fill="auto"/>
            <w:noWrap/>
            <w:vAlign w:val="bottom"/>
            <w:hideMark/>
          </w:tcPr>
          <w:p w14:paraId="640CD054"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12 327</w:t>
            </w:r>
          </w:p>
        </w:tc>
        <w:tc>
          <w:tcPr>
            <w:tcW w:w="1120" w:type="dxa"/>
            <w:shd w:val="clear" w:color="auto" w:fill="auto"/>
            <w:noWrap/>
            <w:vAlign w:val="bottom"/>
            <w:hideMark/>
          </w:tcPr>
          <w:p w14:paraId="5AA10633"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6 754</w:t>
            </w:r>
          </w:p>
        </w:tc>
        <w:tc>
          <w:tcPr>
            <w:tcW w:w="1120" w:type="dxa"/>
            <w:shd w:val="clear" w:color="auto" w:fill="auto"/>
            <w:noWrap/>
            <w:vAlign w:val="bottom"/>
            <w:hideMark/>
          </w:tcPr>
          <w:p w14:paraId="6E77AAA4"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5 469</w:t>
            </w:r>
          </w:p>
        </w:tc>
        <w:tc>
          <w:tcPr>
            <w:tcW w:w="1120" w:type="dxa"/>
            <w:shd w:val="clear" w:color="auto" w:fill="auto"/>
            <w:noWrap/>
            <w:vAlign w:val="bottom"/>
            <w:hideMark/>
          </w:tcPr>
          <w:p w14:paraId="7FDA46CB"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1 285</w:t>
            </w:r>
          </w:p>
        </w:tc>
      </w:tr>
      <w:tr w:rsidR="00F2053C" w:rsidRPr="00342041" w14:paraId="2A56DB54" w14:textId="77777777" w:rsidTr="003A3F68">
        <w:trPr>
          <w:trHeight w:val="300"/>
          <w:jc w:val="center"/>
        </w:trPr>
        <w:tc>
          <w:tcPr>
            <w:tcW w:w="2407" w:type="dxa"/>
            <w:shd w:val="clear" w:color="auto" w:fill="9CC2E5" w:themeFill="accent1" w:themeFillTint="99"/>
            <w:noWrap/>
            <w:vAlign w:val="center"/>
            <w:hideMark/>
          </w:tcPr>
          <w:p w14:paraId="2ACEB4B8" w14:textId="77777777" w:rsidR="00F2053C" w:rsidRPr="00342041" w:rsidRDefault="00F2053C"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Ogółem MS</w:t>
            </w:r>
          </w:p>
        </w:tc>
        <w:tc>
          <w:tcPr>
            <w:tcW w:w="1120" w:type="dxa"/>
            <w:shd w:val="clear" w:color="auto" w:fill="auto"/>
            <w:vAlign w:val="center"/>
            <w:hideMark/>
          </w:tcPr>
          <w:p w14:paraId="56F7C9CA"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24 831</w:t>
            </w:r>
          </w:p>
        </w:tc>
        <w:tc>
          <w:tcPr>
            <w:tcW w:w="1120" w:type="dxa"/>
            <w:shd w:val="clear" w:color="auto" w:fill="auto"/>
            <w:vAlign w:val="center"/>
            <w:hideMark/>
          </w:tcPr>
          <w:p w14:paraId="7B052724"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21 179</w:t>
            </w:r>
          </w:p>
        </w:tc>
        <w:tc>
          <w:tcPr>
            <w:tcW w:w="1120" w:type="dxa"/>
            <w:shd w:val="clear" w:color="auto" w:fill="auto"/>
            <w:vAlign w:val="center"/>
            <w:hideMark/>
          </w:tcPr>
          <w:p w14:paraId="0FBB8B57"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3 652</w:t>
            </w:r>
          </w:p>
        </w:tc>
        <w:tc>
          <w:tcPr>
            <w:tcW w:w="1120" w:type="dxa"/>
            <w:shd w:val="clear" w:color="auto" w:fill="auto"/>
            <w:vAlign w:val="center"/>
            <w:hideMark/>
          </w:tcPr>
          <w:p w14:paraId="28DD3471"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2 201</w:t>
            </w:r>
          </w:p>
        </w:tc>
        <w:tc>
          <w:tcPr>
            <w:tcW w:w="1120" w:type="dxa"/>
            <w:shd w:val="clear" w:color="auto" w:fill="auto"/>
            <w:vAlign w:val="center"/>
            <w:hideMark/>
          </w:tcPr>
          <w:p w14:paraId="4931907E"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1 798</w:t>
            </w:r>
          </w:p>
        </w:tc>
        <w:tc>
          <w:tcPr>
            <w:tcW w:w="1120" w:type="dxa"/>
            <w:shd w:val="clear" w:color="auto" w:fill="auto"/>
            <w:vAlign w:val="center"/>
            <w:hideMark/>
          </w:tcPr>
          <w:p w14:paraId="0D810985"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403</w:t>
            </w:r>
          </w:p>
        </w:tc>
      </w:tr>
      <w:tr w:rsidR="00F2053C" w:rsidRPr="00342041" w14:paraId="06A88654" w14:textId="77777777" w:rsidTr="003A3F68">
        <w:trPr>
          <w:trHeight w:val="300"/>
          <w:jc w:val="center"/>
        </w:trPr>
        <w:tc>
          <w:tcPr>
            <w:tcW w:w="2407" w:type="dxa"/>
            <w:shd w:val="clear" w:color="auto" w:fill="9CC2E5" w:themeFill="accent1" w:themeFillTint="99"/>
            <w:vAlign w:val="center"/>
            <w:hideMark/>
          </w:tcPr>
          <w:p w14:paraId="6128FF34" w14:textId="77777777" w:rsidR="00F2053C" w:rsidRPr="00342041" w:rsidRDefault="00F2053C" w:rsidP="003C1988">
            <w:pPr>
              <w:spacing w:after="0" w:line="240" w:lineRule="auto"/>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 tym 60 lat i więcej</w:t>
            </w:r>
          </w:p>
        </w:tc>
        <w:tc>
          <w:tcPr>
            <w:tcW w:w="1120" w:type="dxa"/>
            <w:shd w:val="clear" w:color="auto" w:fill="auto"/>
            <w:noWrap/>
            <w:vAlign w:val="bottom"/>
            <w:hideMark/>
          </w:tcPr>
          <w:p w14:paraId="7CD357FC"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12 967</w:t>
            </w:r>
          </w:p>
        </w:tc>
        <w:tc>
          <w:tcPr>
            <w:tcW w:w="1120" w:type="dxa"/>
            <w:shd w:val="clear" w:color="auto" w:fill="auto"/>
            <w:noWrap/>
            <w:vAlign w:val="bottom"/>
            <w:hideMark/>
          </w:tcPr>
          <w:p w14:paraId="52E3668A"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10 501</w:t>
            </w:r>
          </w:p>
        </w:tc>
        <w:tc>
          <w:tcPr>
            <w:tcW w:w="1120" w:type="dxa"/>
            <w:shd w:val="clear" w:color="auto" w:fill="auto"/>
            <w:noWrap/>
            <w:vAlign w:val="bottom"/>
            <w:hideMark/>
          </w:tcPr>
          <w:p w14:paraId="78E1B00B"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2 466</w:t>
            </w:r>
          </w:p>
        </w:tc>
        <w:tc>
          <w:tcPr>
            <w:tcW w:w="1120" w:type="dxa"/>
            <w:shd w:val="clear" w:color="auto" w:fill="auto"/>
            <w:noWrap/>
            <w:vAlign w:val="bottom"/>
            <w:hideMark/>
          </w:tcPr>
          <w:p w14:paraId="052B9621"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1 182</w:t>
            </w:r>
          </w:p>
        </w:tc>
        <w:tc>
          <w:tcPr>
            <w:tcW w:w="1120" w:type="dxa"/>
            <w:shd w:val="clear" w:color="auto" w:fill="auto"/>
            <w:noWrap/>
            <w:vAlign w:val="bottom"/>
            <w:hideMark/>
          </w:tcPr>
          <w:p w14:paraId="742B147A"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909</w:t>
            </w:r>
          </w:p>
        </w:tc>
        <w:tc>
          <w:tcPr>
            <w:tcW w:w="1120" w:type="dxa"/>
            <w:shd w:val="clear" w:color="auto" w:fill="auto"/>
            <w:noWrap/>
            <w:vAlign w:val="bottom"/>
            <w:hideMark/>
          </w:tcPr>
          <w:p w14:paraId="33BD77C5" w14:textId="77777777" w:rsidR="00F2053C" w:rsidRPr="00342041" w:rsidRDefault="00F2053C" w:rsidP="003A3F68">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273</w:t>
            </w:r>
          </w:p>
        </w:tc>
      </w:tr>
    </w:tbl>
    <w:p w14:paraId="0A35FC1E" w14:textId="77777777" w:rsidR="00F2053C" w:rsidRPr="007B5A43" w:rsidRDefault="00F2053C" w:rsidP="003C1988">
      <w:pPr>
        <w:spacing w:after="0"/>
        <w:rPr>
          <w:rFonts w:ascii="Times New Roman" w:hAnsi="Times New Roman" w:cs="Times New Roman"/>
          <w:b/>
          <w:bCs/>
          <w:spacing w:val="-10"/>
          <w:kern w:val="20"/>
          <w:szCs w:val="24"/>
        </w:rPr>
      </w:pPr>
      <w:r w:rsidRPr="007B5A43">
        <w:rPr>
          <w:rFonts w:ascii="Times New Roman" w:hAnsi="Times New Roman" w:cs="Times New Roman"/>
          <w:b/>
          <w:bCs/>
          <w:spacing w:val="-10"/>
          <w:kern w:val="20"/>
          <w:szCs w:val="24"/>
        </w:rPr>
        <w:t>Źródło: Dane ZUS, KRUS, MON, MSWiA i MS.</w:t>
      </w:r>
    </w:p>
    <w:p w14:paraId="5415B5D5" w14:textId="77777777" w:rsidR="00B9513F" w:rsidRPr="004C226B" w:rsidRDefault="00F2053C" w:rsidP="004C226B">
      <w:pPr>
        <w:spacing w:after="0"/>
        <w:rPr>
          <w:rFonts w:ascii="Times New Roman" w:hAnsi="Times New Roman" w:cs="Times New Roman"/>
          <w:b/>
          <w:bCs/>
          <w:spacing w:val="-10"/>
          <w:kern w:val="20"/>
          <w:szCs w:val="24"/>
        </w:rPr>
      </w:pPr>
      <w:r w:rsidRPr="007B5A43">
        <w:rPr>
          <w:rFonts w:ascii="Times New Roman" w:hAnsi="Times New Roman" w:cs="Times New Roman"/>
          <w:b/>
          <w:bCs/>
          <w:spacing w:val="-10"/>
          <w:kern w:val="20"/>
          <w:szCs w:val="24"/>
        </w:rPr>
        <w:t>dostępność danych - III kw</w:t>
      </w:r>
      <w:r w:rsidR="007B5A43">
        <w:rPr>
          <w:rFonts w:ascii="Times New Roman" w:hAnsi="Times New Roman" w:cs="Times New Roman"/>
          <w:b/>
          <w:bCs/>
          <w:spacing w:val="-10"/>
          <w:kern w:val="20"/>
          <w:szCs w:val="24"/>
        </w:rPr>
        <w:t>.</w:t>
      </w:r>
      <w:r w:rsidRPr="007B5A43">
        <w:rPr>
          <w:rFonts w:ascii="Times New Roman" w:hAnsi="Times New Roman" w:cs="Times New Roman"/>
          <w:b/>
          <w:bCs/>
          <w:spacing w:val="-10"/>
          <w:kern w:val="20"/>
          <w:szCs w:val="24"/>
        </w:rPr>
        <w:t xml:space="preserve"> 2020 r.</w:t>
      </w:r>
    </w:p>
    <w:p w14:paraId="1F0F26BD" w14:textId="77777777" w:rsidR="00D5766C" w:rsidRDefault="00D5766C" w:rsidP="00B9513F">
      <w:pPr>
        <w:spacing w:after="0"/>
        <w:jc w:val="both"/>
        <w:rPr>
          <w:rFonts w:ascii="Times New Roman" w:hAnsi="Times New Roman" w:cs="Times New Roman"/>
          <w:sz w:val="24"/>
          <w:szCs w:val="24"/>
        </w:rPr>
      </w:pPr>
    </w:p>
    <w:p w14:paraId="25430E04" w14:textId="0AEB4F22" w:rsidR="004C226B" w:rsidRDefault="00B9513F" w:rsidP="00D63E16">
      <w:pPr>
        <w:spacing w:after="0"/>
        <w:jc w:val="both"/>
        <w:rPr>
          <w:rFonts w:ascii="Times New Roman" w:hAnsi="Times New Roman" w:cs="Times New Roman"/>
          <w:sz w:val="24"/>
          <w:szCs w:val="24"/>
        </w:rPr>
      </w:pPr>
      <w:r w:rsidRPr="00FD4B04">
        <w:rPr>
          <w:rFonts w:ascii="Times New Roman" w:hAnsi="Times New Roman" w:cs="Times New Roman"/>
          <w:sz w:val="24"/>
          <w:szCs w:val="24"/>
        </w:rPr>
        <w:t xml:space="preserve">Wśród osób w wieku 60 lat i więcej </w:t>
      </w:r>
      <w:r>
        <w:rPr>
          <w:rFonts w:ascii="Times New Roman" w:hAnsi="Times New Roman" w:cs="Times New Roman"/>
          <w:sz w:val="24"/>
          <w:szCs w:val="24"/>
        </w:rPr>
        <w:t>po</w:t>
      </w:r>
      <w:r w:rsidR="007F12CC">
        <w:rPr>
          <w:rFonts w:ascii="Times New Roman" w:hAnsi="Times New Roman" w:cs="Times New Roman"/>
          <w:sz w:val="24"/>
          <w:szCs w:val="24"/>
        </w:rPr>
        <w:t>bierających emerytury z ZUS 60,8% stanowiły kobiety, a 39,2</w:t>
      </w:r>
      <w:r>
        <w:rPr>
          <w:rFonts w:ascii="Times New Roman" w:hAnsi="Times New Roman" w:cs="Times New Roman"/>
          <w:sz w:val="24"/>
          <w:szCs w:val="24"/>
        </w:rPr>
        <w:t xml:space="preserve">% </w:t>
      </w:r>
      <w:r w:rsidRPr="00FD4B04">
        <w:rPr>
          <w:rFonts w:ascii="Times New Roman" w:hAnsi="Times New Roman" w:cs="Times New Roman"/>
          <w:sz w:val="24"/>
          <w:szCs w:val="24"/>
        </w:rPr>
        <w:t>mężczyźni. W KRUS wielkości te prz</w:t>
      </w:r>
      <w:r>
        <w:rPr>
          <w:rFonts w:ascii="Times New Roman" w:hAnsi="Times New Roman" w:cs="Times New Roman"/>
          <w:sz w:val="24"/>
          <w:szCs w:val="24"/>
        </w:rPr>
        <w:t xml:space="preserve">edstawiały się następująco: </w:t>
      </w:r>
      <w:r w:rsidR="00D9184B">
        <w:rPr>
          <w:rFonts w:ascii="Times New Roman" w:hAnsi="Times New Roman" w:cs="Times New Roman"/>
          <w:sz w:val="24"/>
          <w:szCs w:val="24"/>
        </w:rPr>
        <w:t>68,7</w:t>
      </w:r>
      <w:r w:rsidR="003862F4">
        <w:rPr>
          <w:rFonts w:ascii="Times New Roman" w:hAnsi="Times New Roman" w:cs="Times New Roman"/>
          <w:sz w:val="24"/>
          <w:szCs w:val="24"/>
        </w:rPr>
        <w:t xml:space="preserve">% kobiety i </w:t>
      </w:r>
      <w:r w:rsidR="00D9184B">
        <w:rPr>
          <w:rFonts w:ascii="Times New Roman" w:hAnsi="Times New Roman" w:cs="Times New Roman"/>
          <w:sz w:val="24"/>
          <w:szCs w:val="24"/>
        </w:rPr>
        <w:t>31,3</w:t>
      </w:r>
      <w:r w:rsidRPr="00FD4B04">
        <w:rPr>
          <w:rFonts w:ascii="Times New Roman" w:hAnsi="Times New Roman" w:cs="Times New Roman"/>
          <w:sz w:val="24"/>
          <w:szCs w:val="24"/>
        </w:rPr>
        <w:t>% mężczyźni. W resortach tzw. „mundurowych” udział kobiet był znacznie niższy w</w:t>
      </w:r>
      <w:r>
        <w:rPr>
          <w:rFonts w:ascii="Times New Roman" w:hAnsi="Times New Roman" w:cs="Times New Roman"/>
          <w:sz w:val="24"/>
          <w:szCs w:val="24"/>
        </w:rPr>
        <w:t xml:space="preserve"> porównaniu do </w:t>
      </w:r>
      <w:r w:rsidRPr="00FD4B04">
        <w:rPr>
          <w:rFonts w:ascii="Times New Roman" w:hAnsi="Times New Roman" w:cs="Times New Roman"/>
          <w:sz w:val="24"/>
          <w:szCs w:val="24"/>
        </w:rPr>
        <w:t xml:space="preserve">świadczeniobiorców </w:t>
      </w:r>
      <w:r>
        <w:rPr>
          <w:rFonts w:ascii="Times New Roman" w:hAnsi="Times New Roman" w:cs="Times New Roman"/>
          <w:sz w:val="24"/>
          <w:szCs w:val="24"/>
        </w:rPr>
        <w:t xml:space="preserve">płci męskiej i wynosił </w:t>
      </w:r>
      <w:r w:rsidR="003862F4">
        <w:rPr>
          <w:rFonts w:ascii="Times New Roman" w:hAnsi="Times New Roman" w:cs="Times New Roman"/>
          <w:sz w:val="24"/>
          <w:szCs w:val="24"/>
        </w:rPr>
        <w:t>–</w:t>
      </w:r>
      <w:r>
        <w:rPr>
          <w:rFonts w:ascii="Times New Roman" w:hAnsi="Times New Roman" w:cs="Times New Roman"/>
          <w:sz w:val="24"/>
          <w:szCs w:val="24"/>
        </w:rPr>
        <w:t xml:space="preserve"> </w:t>
      </w:r>
      <w:r w:rsidR="003862F4">
        <w:rPr>
          <w:rFonts w:ascii="Times New Roman" w:hAnsi="Times New Roman" w:cs="Times New Roman"/>
          <w:sz w:val="24"/>
          <w:szCs w:val="24"/>
        </w:rPr>
        <w:t>0,</w:t>
      </w:r>
      <w:r w:rsidR="00D9184B">
        <w:rPr>
          <w:rFonts w:ascii="Times New Roman" w:hAnsi="Times New Roman" w:cs="Times New Roman"/>
          <w:sz w:val="24"/>
          <w:szCs w:val="24"/>
        </w:rPr>
        <w:t>05</w:t>
      </w:r>
      <w:r>
        <w:rPr>
          <w:rFonts w:ascii="Times New Roman" w:hAnsi="Times New Roman" w:cs="Times New Roman"/>
          <w:sz w:val="24"/>
          <w:szCs w:val="24"/>
        </w:rPr>
        <w:t xml:space="preserve">% w MON, </w:t>
      </w:r>
      <w:r w:rsidR="00D9184B">
        <w:rPr>
          <w:rFonts w:ascii="Times New Roman" w:hAnsi="Times New Roman" w:cs="Times New Roman"/>
          <w:sz w:val="24"/>
          <w:szCs w:val="24"/>
        </w:rPr>
        <w:t>14,6</w:t>
      </w:r>
      <w:r w:rsidR="00C052E8">
        <w:rPr>
          <w:rFonts w:ascii="Times New Roman" w:hAnsi="Times New Roman" w:cs="Times New Roman"/>
          <w:sz w:val="24"/>
          <w:szCs w:val="24"/>
        </w:rPr>
        <w:t xml:space="preserve">% w MSWiA i </w:t>
      </w:r>
      <w:r w:rsidR="00347CB2">
        <w:rPr>
          <w:rFonts w:ascii="Times New Roman" w:hAnsi="Times New Roman" w:cs="Times New Roman"/>
          <w:sz w:val="24"/>
          <w:szCs w:val="24"/>
        </w:rPr>
        <w:t>19,01</w:t>
      </w:r>
      <w:r w:rsidRPr="00FD4B04">
        <w:rPr>
          <w:rFonts w:ascii="Times New Roman" w:hAnsi="Times New Roman" w:cs="Times New Roman"/>
          <w:sz w:val="24"/>
          <w:szCs w:val="24"/>
        </w:rPr>
        <w:t xml:space="preserve">% w MS. Wśród osób w wieku 60 lat i więcej pobierających renty z tytułu niezdolności do pracy </w:t>
      </w:r>
      <w:r w:rsidR="00347CB2">
        <w:rPr>
          <w:rFonts w:ascii="Times New Roman" w:hAnsi="Times New Roman" w:cs="Times New Roman"/>
          <w:sz w:val="24"/>
          <w:szCs w:val="24"/>
        </w:rPr>
        <w:t>z ZUS kobiety stanowiły 23,2</w:t>
      </w:r>
      <w:r>
        <w:rPr>
          <w:rFonts w:ascii="Times New Roman" w:hAnsi="Times New Roman" w:cs="Times New Roman"/>
          <w:sz w:val="24"/>
          <w:szCs w:val="24"/>
        </w:rPr>
        <w:t xml:space="preserve">%, natomiast mężczyźni </w:t>
      </w:r>
      <w:r w:rsidR="00347CB2">
        <w:rPr>
          <w:rFonts w:ascii="Times New Roman" w:hAnsi="Times New Roman" w:cs="Times New Roman"/>
          <w:sz w:val="24"/>
          <w:szCs w:val="24"/>
        </w:rPr>
        <w:t>76,8</w:t>
      </w:r>
      <w:r w:rsidRPr="00FD4B04">
        <w:rPr>
          <w:rFonts w:ascii="Times New Roman" w:hAnsi="Times New Roman" w:cs="Times New Roman"/>
          <w:sz w:val="24"/>
          <w:szCs w:val="24"/>
        </w:rPr>
        <w:t>%. W KRUS udział kobiet był większ</w:t>
      </w:r>
      <w:r>
        <w:rPr>
          <w:rFonts w:ascii="Times New Roman" w:hAnsi="Times New Roman" w:cs="Times New Roman"/>
          <w:sz w:val="24"/>
          <w:szCs w:val="24"/>
        </w:rPr>
        <w:t>y i wynosił</w:t>
      </w:r>
      <w:r w:rsidR="00FB50DF">
        <w:rPr>
          <w:rFonts w:ascii="Times New Roman" w:hAnsi="Times New Roman" w:cs="Times New Roman"/>
          <w:sz w:val="24"/>
          <w:szCs w:val="24"/>
        </w:rPr>
        <w:t xml:space="preserve"> 44%, natomiast mężczyzn 56</w:t>
      </w:r>
      <w:r w:rsidRPr="00FD4B04">
        <w:rPr>
          <w:rFonts w:ascii="Times New Roman" w:hAnsi="Times New Roman" w:cs="Times New Roman"/>
          <w:sz w:val="24"/>
          <w:szCs w:val="24"/>
        </w:rPr>
        <w:t>%. W resortach tzw. „mundurowych” udział kobiet wynosił odpowiedni</w:t>
      </w:r>
      <w:r w:rsidR="00FB50DF">
        <w:rPr>
          <w:rFonts w:ascii="Times New Roman" w:hAnsi="Times New Roman" w:cs="Times New Roman"/>
          <w:sz w:val="24"/>
          <w:szCs w:val="24"/>
        </w:rPr>
        <w:t>o: 19</w:t>
      </w:r>
      <w:r>
        <w:rPr>
          <w:rFonts w:ascii="Times New Roman" w:hAnsi="Times New Roman" w:cs="Times New Roman"/>
          <w:sz w:val="24"/>
          <w:szCs w:val="24"/>
        </w:rPr>
        <w:t>% w MSWiA i 23</w:t>
      </w:r>
      <w:r w:rsidR="00FB50DF">
        <w:rPr>
          <w:rFonts w:ascii="Times New Roman" w:hAnsi="Times New Roman" w:cs="Times New Roman"/>
          <w:sz w:val="24"/>
          <w:szCs w:val="24"/>
        </w:rPr>
        <w:t>,1</w:t>
      </w:r>
      <w:r>
        <w:rPr>
          <w:rFonts w:ascii="Times New Roman" w:hAnsi="Times New Roman" w:cs="Times New Roman"/>
          <w:sz w:val="24"/>
          <w:szCs w:val="24"/>
        </w:rPr>
        <w:t>% w MS. W MON</w:t>
      </w:r>
      <w:r w:rsidRPr="00FD4B04">
        <w:rPr>
          <w:rFonts w:ascii="Times New Roman" w:hAnsi="Times New Roman" w:cs="Times New Roman"/>
          <w:sz w:val="24"/>
          <w:szCs w:val="24"/>
        </w:rPr>
        <w:t xml:space="preserve"> zanotowano</w:t>
      </w:r>
      <w:r>
        <w:rPr>
          <w:rFonts w:ascii="Times New Roman" w:hAnsi="Times New Roman" w:cs="Times New Roman"/>
          <w:sz w:val="24"/>
          <w:szCs w:val="24"/>
        </w:rPr>
        <w:t xml:space="preserve"> dwie</w:t>
      </w:r>
      <w:r w:rsidRPr="00FD4B04">
        <w:rPr>
          <w:rFonts w:ascii="Times New Roman" w:hAnsi="Times New Roman" w:cs="Times New Roman"/>
          <w:sz w:val="24"/>
          <w:szCs w:val="24"/>
        </w:rPr>
        <w:t xml:space="preserve"> kobiet</w:t>
      </w:r>
      <w:r>
        <w:rPr>
          <w:rFonts w:ascii="Times New Roman" w:hAnsi="Times New Roman" w:cs="Times New Roman"/>
          <w:sz w:val="24"/>
          <w:szCs w:val="24"/>
        </w:rPr>
        <w:t>y pobierające rentę</w:t>
      </w:r>
      <w:r w:rsidRPr="00FD4B04">
        <w:rPr>
          <w:rFonts w:ascii="Times New Roman" w:hAnsi="Times New Roman" w:cs="Times New Roman"/>
          <w:sz w:val="24"/>
          <w:szCs w:val="24"/>
        </w:rPr>
        <w:t xml:space="preserve"> z tytułu niezdolności do</w:t>
      </w:r>
      <w:r>
        <w:rPr>
          <w:rFonts w:ascii="Times New Roman" w:hAnsi="Times New Roman" w:cs="Times New Roman"/>
          <w:sz w:val="24"/>
          <w:szCs w:val="24"/>
        </w:rPr>
        <w:t xml:space="preserve"> pracy w wieku 60 lat i więcej.</w:t>
      </w:r>
    </w:p>
    <w:p w14:paraId="00479456" w14:textId="77777777" w:rsidR="001D7B7A" w:rsidRPr="00D5766C" w:rsidRDefault="001D7B7A" w:rsidP="00D63E16">
      <w:pPr>
        <w:spacing w:after="0"/>
        <w:jc w:val="both"/>
        <w:rPr>
          <w:rFonts w:ascii="Times New Roman" w:hAnsi="Times New Roman" w:cs="Times New Roman"/>
          <w:sz w:val="24"/>
          <w:szCs w:val="24"/>
        </w:rPr>
      </w:pPr>
    </w:p>
    <w:p w14:paraId="0FC50E9A" w14:textId="77777777" w:rsidR="00D63E16" w:rsidRPr="00D63E16" w:rsidRDefault="00D63E16" w:rsidP="00D63E16">
      <w:pPr>
        <w:spacing w:after="0"/>
        <w:contextualSpacing/>
        <w:jc w:val="both"/>
        <w:rPr>
          <w:rFonts w:ascii="Times New Roman" w:eastAsia="Times New Roman" w:hAnsi="Times New Roman" w:cs="Times New Roman"/>
          <w:vanish/>
          <w:sz w:val="24"/>
          <w:specVanish/>
        </w:rPr>
      </w:pPr>
      <w:r w:rsidRPr="00D63E16">
        <w:rPr>
          <w:rFonts w:ascii="Times New Roman" w:eastAsia="Times New Roman" w:hAnsi="Times New Roman" w:cs="Times New Roman"/>
          <w:sz w:val="24"/>
        </w:rPr>
        <w:t>Trzema głównymi przyczynami bierności zawodowej w IV kw. 2019 r. w grupie osób 50-64 lata (podobnie jak w poprzednich okresach) były: emerytura (1 484 tys. osób, tj. 52%), choroba i niepełnosprawność (770 tys. osób, tj. 27%) oraz inne powody osobiste i rodzinne (338 tys. osób, tj. 12%)</w:t>
      </w:r>
      <w:r w:rsidRPr="00D63E16">
        <w:rPr>
          <w:rStyle w:val="Odwoanieprzypisudolnego"/>
          <w:rFonts w:ascii="Times New Roman" w:hAnsi="Times New Roman" w:cs="Times New Roman"/>
          <w:sz w:val="24"/>
        </w:rPr>
        <w:footnoteReference w:id="8"/>
      </w:r>
      <w:r w:rsidRPr="00D63E16">
        <w:rPr>
          <w:rFonts w:ascii="Times New Roman" w:eastAsia="Times New Roman" w:hAnsi="Times New Roman" w:cs="Times New Roman"/>
          <w:sz w:val="24"/>
        </w:rPr>
        <w:t xml:space="preserve">. Zatem trudności ze zdrowiem są drugą w kolejności, po emeryturze, przyczyną niepodejmowania pracy przez osoby starsze. Warto zauważyć, iż w młodszych podgrupach wiekowych osób starszych, tj. wśród osób w wieku 50-54 lata oraz 55-59 lat, pozostawanie bez pracy z powodu braku zdrowia i niepełnosprawności było główną przyczyną bierności zawodowej (wskazało ją odpowiednio 42% oraz 37% osób w danej grupie wiekowej), a od 60 roku życia (wiek, w którym uprawnienia emerytalne nabywają kobiety) emerytura staje się zasadniczą przyczyną bierności zawodowej. Jednocześnie należy podkreślić, iż problemy ze zdrowiem silniej dotykają mężczyzn, gdyż w grupie 50-64 latków wskazujących brak podejmowania pracy z powodów zdrowotnych 479 tys. stanowili mężczyźni, tj. ponad 62% (w grupie osób w wieku 50+ udział mężczyzn zgłaszających tą przyczynę dezaktywizacji zawodowej był bardziej wyrównany w stosunku do kobiet i wyniósł ok. 55%). </w:t>
      </w:r>
    </w:p>
    <w:p w14:paraId="7A0A79A1" w14:textId="5FE84F03" w:rsidR="001D7B7A" w:rsidRPr="00D63E16" w:rsidRDefault="00D63E16" w:rsidP="00D63E16">
      <w:pPr>
        <w:spacing w:after="0"/>
        <w:contextualSpacing/>
        <w:jc w:val="both"/>
        <w:rPr>
          <w:rFonts w:ascii="Times New Roman" w:eastAsia="Times New Roman" w:hAnsi="Times New Roman" w:cs="Times New Roman"/>
          <w:sz w:val="24"/>
        </w:rPr>
      </w:pPr>
      <w:r w:rsidRPr="00D63E16">
        <w:rPr>
          <w:rFonts w:ascii="Times New Roman" w:eastAsia="Times New Roman" w:hAnsi="Times New Roman" w:cs="Times New Roman"/>
          <w:sz w:val="24"/>
        </w:rPr>
        <w:t xml:space="preserve"> </w:t>
      </w:r>
    </w:p>
    <w:p w14:paraId="666C6F53" w14:textId="77777777" w:rsidR="00D63E16" w:rsidRDefault="00D63E16" w:rsidP="00FB50DF">
      <w:pPr>
        <w:spacing w:after="0"/>
        <w:jc w:val="both"/>
        <w:rPr>
          <w:rFonts w:ascii="Times New Roman" w:hAnsi="Times New Roman" w:cs="Times New Roman"/>
          <w:bCs/>
          <w:spacing w:val="-10"/>
          <w:kern w:val="20"/>
          <w:sz w:val="24"/>
          <w:szCs w:val="24"/>
        </w:rPr>
      </w:pPr>
    </w:p>
    <w:p w14:paraId="187D6A0D" w14:textId="77777777" w:rsidR="00AF22D5" w:rsidRPr="0057376E" w:rsidRDefault="00AF22D5" w:rsidP="00AF22D5">
      <w:pPr>
        <w:pStyle w:val="Standard"/>
        <w:spacing w:line="276" w:lineRule="auto"/>
        <w:jc w:val="both"/>
        <w:rPr>
          <w:rFonts w:ascii="Times New Roman" w:hAnsi="Times New Roman" w:cs="Times New Roman"/>
          <w:b/>
          <w:bCs/>
          <w:color w:val="00B0F0"/>
        </w:rPr>
      </w:pPr>
      <w:r w:rsidRPr="0057376E">
        <w:rPr>
          <w:rFonts w:ascii="Times New Roman" w:hAnsi="Times New Roman" w:cs="Times New Roman"/>
          <w:b/>
          <w:bCs/>
          <w:color w:val="00B0F0"/>
        </w:rPr>
        <w:t>Realizacja działań związanych z ubezpieczeniem społecznym rolników</w:t>
      </w:r>
    </w:p>
    <w:p w14:paraId="1E5A29D9" w14:textId="77777777" w:rsidR="00AF22D5" w:rsidRPr="0057376E" w:rsidRDefault="00AF22D5" w:rsidP="00AF22D5">
      <w:pPr>
        <w:pStyle w:val="Standard"/>
        <w:spacing w:line="276" w:lineRule="auto"/>
        <w:jc w:val="both"/>
        <w:rPr>
          <w:rFonts w:ascii="Times New Roman" w:hAnsi="Times New Roman" w:cs="Times New Roman"/>
        </w:rPr>
      </w:pPr>
      <w:r w:rsidRPr="0057376E">
        <w:rPr>
          <w:rFonts w:ascii="Times New Roman" w:hAnsi="Times New Roman" w:cs="Times New Roman"/>
        </w:rPr>
        <w:t xml:space="preserve">Kompleksową obsługę ubezpieczonych rolników i członków ich rodzin, dla których działalność rolnicza stanowi jedyne, bądź podstawowe źródło utrzymania, w zakresie ubezpieczenia społecznego prowadzi Kasa Rolniczego Ubezpieczenia Społecznego (KRUS), na podstawie </w:t>
      </w:r>
      <w:r w:rsidRPr="0057376E">
        <w:rPr>
          <w:rFonts w:ascii="Times New Roman" w:hAnsi="Times New Roman" w:cs="Times New Roman"/>
          <w:i/>
        </w:rPr>
        <w:t>ustawy z dnia 20 grudnia 1990 r. o ubezpieczeniu społecznym rolników</w:t>
      </w:r>
      <w:r w:rsidRPr="0057376E">
        <w:rPr>
          <w:rFonts w:ascii="Times New Roman" w:hAnsi="Times New Roman" w:cs="Times New Roman"/>
        </w:rPr>
        <w:t xml:space="preserve"> (Dz. U. z 2020 r. poz. 174). Liczba osób starszych objętych ubezpieczeniem społecznym rolników (KRUS) na koniec 2019 r. wyniosła 85 084 osób. W tej grupie dominowali mężczyźni – 74 641 osób, natomiast ubezpieczone kobiety stanowiły 10 442 osoby (dysproporcje te należy bezpośrednio wiązać m.in. z ustawowym wiekiem przechodzenia na emeryturę rolniczą, który w przypadku kobiet wynosi 60 lat, a mężczyzn – 65 lat). Na koniec 2019 r. wśród  ubezpieczonych w KRUS dodatkowo pozarolniczą działalność gospodarczą prowadziło 4 697 osób starszych. Według stanu na dzień 31 grudnia 2019 r. liczba osób w wieku 60+ pobierających świadczenia emerytalne z KRUS wyniosła 856 702, w tym 591 628 kobiet. Renty z tytułu niezdolności do pracy pobierało 111 286 osób starszych, w tym </w:t>
      </w:r>
      <w:r w:rsidRPr="0057376E">
        <w:rPr>
          <w:rFonts w:ascii="Times New Roman" w:hAnsi="Times New Roman" w:cs="Times New Roman"/>
        </w:rPr>
        <w:lastRenderedPageBreak/>
        <w:t xml:space="preserve">62 539 mężczyzn, natomiast renty rodzinne pobierało prawie 12 013 osób starszych. </w:t>
      </w:r>
    </w:p>
    <w:p w14:paraId="04043B5C" w14:textId="77777777" w:rsidR="00AF22D5" w:rsidRDefault="00AF22D5" w:rsidP="00AF22D5">
      <w:pPr>
        <w:autoSpaceDE w:val="0"/>
        <w:spacing w:after="0"/>
        <w:jc w:val="both"/>
        <w:rPr>
          <w:rFonts w:ascii="Times New Roman" w:hAnsi="Times New Roman" w:cs="Times New Roman"/>
          <w:sz w:val="24"/>
          <w:szCs w:val="24"/>
        </w:rPr>
      </w:pPr>
    </w:p>
    <w:p w14:paraId="3165DD83" w14:textId="05926CE3" w:rsidR="00FD30BF" w:rsidRPr="00FD30BF" w:rsidRDefault="00FD30BF" w:rsidP="00FD30BF">
      <w:pPr>
        <w:pStyle w:val="Legenda"/>
        <w:keepNext/>
        <w:rPr>
          <w:rFonts w:ascii="Times New Roman" w:hAnsi="Times New Roman" w:cs="Times New Roman"/>
          <w:b/>
          <w:i w:val="0"/>
          <w:sz w:val="24"/>
          <w:szCs w:val="24"/>
        </w:rPr>
      </w:pPr>
      <w:bookmarkStart w:id="20" w:name="_Toc49171389"/>
      <w:r w:rsidRPr="00FD30BF">
        <w:rPr>
          <w:rFonts w:ascii="Times New Roman" w:hAnsi="Times New Roman" w:cs="Times New Roman"/>
          <w:b/>
          <w:i w:val="0"/>
          <w:sz w:val="24"/>
          <w:szCs w:val="24"/>
        </w:rPr>
        <w:t xml:space="preserve">Tabela </w:t>
      </w:r>
      <w:r w:rsidRPr="00FD30BF">
        <w:rPr>
          <w:rFonts w:ascii="Times New Roman" w:hAnsi="Times New Roman" w:cs="Times New Roman"/>
          <w:b/>
          <w:i w:val="0"/>
          <w:sz w:val="24"/>
          <w:szCs w:val="24"/>
        </w:rPr>
        <w:fldChar w:fldCharType="begin"/>
      </w:r>
      <w:r w:rsidRPr="00FD30BF">
        <w:rPr>
          <w:rFonts w:ascii="Times New Roman" w:hAnsi="Times New Roman" w:cs="Times New Roman"/>
          <w:b/>
          <w:i w:val="0"/>
          <w:sz w:val="24"/>
          <w:szCs w:val="24"/>
        </w:rPr>
        <w:instrText xml:space="preserve"> SEQ Tabela \* ARABIC </w:instrText>
      </w:r>
      <w:r w:rsidRPr="00FD30BF">
        <w:rPr>
          <w:rFonts w:ascii="Times New Roman" w:hAnsi="Times New Roman" w:cs="Times New Roman"/>
          <w:b/>
          <w:i w:val="0"/>
          <w:sz w:val="24"/>
          <w:szCs w:val="24"/>
        </w:rPr>
        <w:fldChar w:fldCharType="separate"/>
      </w:r>
      <w:r w:rsidR="00C154C9">
        <w:rPr>
          <w:rFonts w:ascii="Times New Roman" w:hAnsi="Times New Roman" w:cs="Times New Roman"/>
          <w:b/>
          <w:i w:val="0"/>
          <w:noProof/>
          <w:sz w:val="24"/>
          <w:szCs w:val="24"/>
        </w:rPr>
        <w:t>14</w:t>
      </w:r>
      <w:r w:rsidRPr="00FD30BF">
        <w:rPr>
          <w:rFonts w:ascii="Times New Roman" w:hAnsi="Times New Roman" w:cs="Times New Roman"/>
          <w:b/>
          <w:i w:val="0"/>
          <w:sz w:val="24"/>
          <w:szCs w:val="24"/>
        </w:rPr>
        <w:fldChar w:fldCharType="end"/>
      </w:r>
      <w:r w:rsidRPr="00FD30BF">
        <w:rPr>
          <w:rFonts w:ascii="Times New Roman" w:hAnsi="Times New Roman" w:cs="Times New Roman"/>
          <w:b/>
          <w:i w:val="0"/>
          <w:sz w:val="24"/>
          <w:szCs w:val="24"/>
        </w:rPr>
        <w:t xml:space="preserve"> Średni okres pobierania świadczeń emerytalno-rentowych w 2019 r. przez osoby, które ukończyły 60 lat</w:t>
      </w:r>
      <w:bookmarkEnd w:id="20"/>
    </w:p>
    <w:tbl>
      <w:tblPr>
        <w:tblW w:w="9346"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620"/>
        <w:gridCol w:w="2140"/>
        <w:gridCol w:w="2318"/>
        <w:gridCol w:w="2268"/>
      </w:tblGrid>
      <w:tr w:rsidR="00FD30BF" w:rsidRPr="00C4270E" w14:paraId="7D91E89F" w14:textId="77777777" w:rsidTr="00C4270E">
        <w:trPr>
          <w:trHeight w:val="290"/>
        </w:trPr>
        <w:tc>
          <w:tcPr>
            <w:tcW w:w="2620" w:type="dxa"/>
            <w:vMerge w:val="restart"/>
            <w:shd w:val="clear" w:color="auto" w:fill="9CC2E5" w:themeFill="accent1" w:themeFillTint="99"/>
            <w:vAlign w:val="center"/>
            <w:hideMark/>
          </w:tcPr>
          <w:p w14:paraId="2BEFC10F" w14:textId="77777777" w:rsidR="00FD30BF" w:rsidRPr="00C4270E" w:rsidRDefault="00FD30BF" w:rsidP="00FD30BF">
            <w:pPr>
              <w:spacing w:after="0" w:line="240" w:lineRule="auto"/>
              <w:jc w:val="center"/>
              <w:rPr>
                <w:rFonts w:ascii="Times New Roman" w:eastAsia="Times New Roman" w:hAnsi="Times New Roman" w:cs="Times New Roman"/>
                <w:b/>
                <w:bCs/>
                <w:sz w:val="20"/>
                <w:lang w:eastAsia="pl-PL"/>
              </w:rPr>
            </w:pPr>
            <w:r w:rsidRPr="00C4270E">
              <w:rPr>
                <w:rFonts w:ascii="Times New Roman" w:eastAsia="Times New Roman" w:hAnsi="Times New Roman" w:cs="Times New Roman"/>
                <w:b/>
                <w:bCs/>
                <w:sz w:val="20"/>
                <w:lang w:eastAsia="pl-PL"/>
              </w:rPr>
              <w:t>Wyszczególnienie</w:t>
            </w:r>
          </w:p>
        </w:tc>
        <w:tc>
          <w:tcPr>
            <w:tcW w:w="2140" w:type="dxa"/>
            <w:vMerge w:val="restart"/>
            <w:shd w:val="clear" w:color="auto" w:fill="9CC2E5" w:themeFill="accent1" w:themeFillTint="99"/>
            <w:vAlign w:val="center"/>
            <w:hideMark/>
          </w:tcPr>
          <w:p w14:paraId="27CE2774" w14:textId="77777777" w:rsidR="00FD30BF" w:rsidRPr="00C4270E" w:rsidRDefault="00C4270E" w:rsidP="00FD30BF">
            <w:pPr>
              <w:spacing w:after="0" w:line="240" w:lineRule="auto"/>
              <w:jc w:val="center"/>
              <w:rPr>
                <w:rFonts w:ascii="Times New Roman" w:eastAsia="Times New Roman" w:hAnsi="Times New Roman" w:cs="Times New Roman"/>
                <w:b/>
                <w:bCs/>
                <w:sz w:val="20"/>
                <w:lang w:eastAsia="pl-PL"/>
              </w:rPr>
            </w:pPr>
            <w:r>
              <w:rPr>
                <w:rFonts w:ascii="Times New Roman" w:eastAsia="Times New Roman" w:hAnsi="Times New Roman" w:cs="Times New Roman"/>
                <w:b/>
                <w:bCs/>
                <w:sz w:val="20"/>
                <w:lang w:eastAsia="pl-PL"/>
              </w:rPr>
              <w:t xml:space="preserve">Średni okres </w:t>
            </w:r>
            <w:r>
              <w:rPr>
                <w:rFonts w:ascii="Times New Roman" w:eastAsia="Times New Roman" w:hAnsi="Times New Roman" w:cs="Times New Roman"/>
                <w:b/>
                <w:bCs/>
                <w:sz w:val="20"/>
                <w:lang w:eastAsia="pl-PL"/>
              </w:rPr>
              <w:br/>
              <w:t>ogółem</w:t>
            </w:r>
            <w:r w:rsidR="00FD30BF" w:rsidRPr="00C4270E">
              <w:rPr>
                <w:rFonts w:ascii="Times New Roman" w:eastAsia="Times New Roman" w:hAnsi="Times New Roman" w:cs="Times New Roman"/>
                <w:b/>
                <w:bCs/>
                <w:sz w:val="20"/>
                <w:lang w:eastAsia="pl-PL"/>
              </w:rPr>
              <w:t>(w latach)</w:t>
            </w:r>
          </w:p>
        </w:tc>
        <w:tc>
          <w:tcPr>
            <w:tcW w:w="4586" w:type="dxa"/>
            <w:gridSpan w:val="2"/>
            <w:shd w:val="clear" w:color="auto" w:fill="9CC2E5" w:themeFill="accent1" w:themeFillTint="99"/>
            <w:vAlign w:val="center"/>
            <w:hideMark/>
          </w:tcPr>
          <w:p w14:paraId="2ACC602A" w14:textId="77777777" w:rsidR="00FD30BF" w:rsidRPr="00C4270E" w:rsidRDefault="00FD30BF" w:rsidP="00FD30BF">
            <w:pPr>
              <w:spacing w:after="0" w:line="240" w:lineRule="auto"/>
              <w:jc w:val="center"/>
              <w:rPr>
                <w:rFonts w:ascii="Times New Roman" w:eastAsia="Times New Roman" w:hAnsi="Times New Roman" w:cs="Times New Roman"/>
                <w:b/>
                <w:bCs/>
                <w:sz w:val="20"/>
                <w:lang w:eastAsia="pl-PL"/>
              </w:rPr>
            </w:pPr>
            <w:r w:rsidRPr="00C4270E">
              <w:rPr>
                <w:rFonts w:ascii="Times New Roman" w:eastAsia="Times New Roman" w:hAnsi="Times New Roman" w:cs="Times New Roman"/>
                <w:b/>
                <w:bCs/>
                <w:sz w:val="20"/>
                <w:lang w:eastAsia="pl-PL"/>
              </w:rPr>
              <w:t>Okres w podziale na:</w:t>
            </w:r>
          </w:p>
        </w:tc>
      </w:tr>
      <w:tr w:rsidR="00FD30BF" w:rsidRPr="00C4270E" w14:paraId="3814591C" w14:textId="77777777" w:rsidTr="00C4270E">
        <w:trPr>
          <w:trHeight w:val="253"/>
        </w:trPr>
        <w:tc>
          <w:tcPr>
            <w:tcW w:w="2620" w:type="dxa"/>
            <w:vMerge/>
            <w:shd w:val="clear" w:color="auto" w:fill="9CC2E5" w:themeFill="accent1" w:themeFillTint="99"/>
            <w:vAlign w:val="center"/>
            <w:hideMark/>
          </w:tcPr>
          <w:p w14:paraId="619612E5" w14:textId="77777777" w:rsidR="00FD30BF" w:rsidRPr="00C4270E" w:rsidRDefault="00FD30BF" w:rsidP="00FD30BF">
            <w:pPr>
              <w:spacing w:after="0" w:line="240" w:lineRule="auto"/>
              <w:rPr>
                <w:rFonts w:ascii="Times New Roman" w:eastAsia="Times New Roman" w:hAnsi="Times New Roman" w:cs="Times New Roman"/>
                <w:b/>
                <w:bCs/>
                <w:sz w:val="20"/>
                <w:lang w:eastAsia="pl-PL"/>
              </w:rPr>
            </w:pPr>
          </w:p>
        </w:tc>
        <w:tc>
          <w:tcPr>
            <w:tcW w:w="2140" w:type="dxa"/>
            <w:vMerge/>
            <w:shd w:val="clear" w:color="auto" w:fill="9CC2E5" w:themeFill="accent1" w:themeFillTint="99"/>
            <w:vAlign w:val="center"/>
            <w:hideMark/>
          </w:tcPr>
          <w:p w14:paraId="555FD433" w14:textId="77777777" w:rsidR="00FD30BF" w:rsidRPr="00C4270E" w:rsidRDefault="00FD30BF" w:rsidP="00FD30BF">
            <w:pPr>
              <w:spacing w:after="0" w:line="240" w:lineRule="auto"/>
              <w:rPr>
                <w:rFonts w:ascii="Times New Roman" w:eastAsia="Times New Roman" w:hAnsi="Times New Roman" w:cs="Times New Roman"/>
                <w:b/>
                <w:bCs/>
                <w:sz w:val="20"/>
                <w:lang w:eastAsia="pl-PL"/>
              </w:rPr>
            </w:pPr>
          </w:p>
        </w:tc>
        <w:tc>
          <w:tcPr>
            <w:tcW w:w="2318" w:type="dxa"/>
            <w:shd w:val="clear" w:color="auto" w:fill="9CC2E5" w:themeFill="accent1" w:themeFillTint="99"/>
            <w:vAlign w:val="center"/>
            <w:hideMark/>
          </w:tcPr>
          <w:p w14:paraId="585C8FC7" w14:textId="77777777" w:rsidR="00FD30BF" w:rsidRPr="00C4270E" w:rsidRDefault="00FD30BF" w:rsidP="00FD30BF">
            <w:pPr>
              <w:spacing w:after="0" w:line="240" w:lineRule="auto"/>
              <w:jc w:val="center"/>
              <w:rPr>
                <w:rFonts w:ascii="Times New Roman" w:eastAsia="Times New Roman" w:hAnsi="Times New Roman" w:cs="Times New Roman"/>
                <w:b/>
                <w:bCs/>
                <w:sz w:val="20"/>
                <w:lang w:eastAsia="pl-PL"/>
              </w:rPr>
            </w:pPr>
            <w:r w:rsidRPr="00C4270E">
              <w:rPr>
                <w:rFonts w:ascii="Times New Roman" w:eastAsia="Times New Roman" w:hAnsi="Times New Roman" w:cs="Times New Roman"/>
                <w:b/>
                <w:bCs/>
                <w:sz w:val="20"/>
                <w:lang w:eastAsia="pl-PL"/>
              </w:rPr>
              <w:t>kobiety</w:t>
            </w:r>
          </w:p>
        </w:tc>
        <w:tc>
          <w:tcPr>
            <w:tcW w:w="2268" w:type="dxa"/>
            <w:shd w:val="clear" w:color="auto" w:fill="9CC2E5" w:themeFill="accent1" w:themeFillTint="99"/>
            <w:vAlign w:val="center"/>
            <w:hideMark/>
          </w:tcPr>
          <w:p w14:paraId="7204AAAB" w14:textId="77777777" w:rsidR="00FD30BF" w:rsidRPr="00C4270E" w:rsidRDefault="00FD30BF" w:rsidP="00FD30BF">
            <w:pPr>
              <w:spacing w:after="0" w:line="240" w:lineRule="auto"/>
              <w:jc w:val="center"/>
              <w:rPr>
                <w:rFonts w:ascii="Times New Roman" w:eastAsia="Times New Roman" w:hAnsi="Times New Roman" w:cs="Times New Roman"/>
                <w:b/>
                <w:bCs/>
                <w:sz w:val="20"/>
                <w:lang w:eastAsia="pl-PL"/>
              </w:rPr>
            </w:pPr>
            <w:r w:rsidRPr="00C4270E">
              <w:rPr>
                <w:rFonts w:ascii="Times New Roman" w:eastAsia="Times New Roman" w:hAnsi="Times New Roman" w:cs="Times New Roman"/>
                <w:b/>
                <w:bCs/>
                <w:sz w:val="20"/>
                <w:lang w:eastAsia="pl-PL"/>
              </w:rPr>
              <w:t>mężczyźni</w:t>
            </w:r>
          </w:p>
        </w:tc>
      </w:tr>
      <w:tr w:rsidR="00FD30BF" w:rsidRPr="00C4270E" w14:paraId="3B449E22" w14:textId="77777777" w:rsidTr="00FD30BF">
        <w:trPr>
          <w:trHeight w:val="432"/>
        </w:trPr>
        <w:tc>
          <w:tcPr>
            <w:tcW w:w="2620" w:type="dxa"/>
            <w:shd w:val="clear" w:color="auto" w:fill="9CC2E5" w:themeFill="accent1" w:themeFillTint="99"/>
            <w:vAlign w:val="bottom"/>
            <w:hideMark/>
          </w:tcPr>
          <w:p w14:paraId="7FAB4BBA" w14:textId="77777777" w:rsidR="00FD30BF" w:rsidRPr="00C4270E" w:rsidRDefault="00FD30BF" w:rsidP="00FD30BF">
            <w:pPr>
              <w:spacing w:after="0" w:line="240" w:lineRule="auto"/>
              <w:rPr>
                <w:rFonts w:ascii="Times New Roman" w:eastAsia="Times New Roman" w:hAnsi="Times New Roman" w:cs="Times New Roman"/>
                <w:b/>
                <w:sz w:val="20"/>
                <w:lang w:eastAsia="pl-PL"/>
              </w:rPr>
            </w:pPr>
            <w:r w:rsidRPr="00C4270E">
              <w:rPr>
                <w:rFonts w:ascii="Times New Roman" w:eastAsia="Times New Roman" w:hAnsi="Times New Roman" w:cs="Times New Roman"/>
                <w:b/>
                <w:sz w:val="20"/>
                <w:lang w:eastAsia="pl-PL"/>
              </w:rPr>
              <w:t>Emerytura rolnicza</w:t>
            </w:r>
          </w:p>
        </w:tc>
        <w:tc>
          <w:tcPr>
            <w:tcW w:w="2140" w:type="dxa"/>
            <w:shd w:val="clear" w:color="auto" w:fill="auto"/>
            <w:vAlign w:val="bottom"/>
            <w:hideMark/>
          </w:tcPr>
          <w:p w14:paraId="6985267D"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22,83</w:t>
            </w:r>
          </w:p>
        </w:tc>
        <w:tc>
          <w:tcPr>
            <w:tcW w:w="2318" w:type="dxa"/>
            <w:shd w:val="clear" w:color="auto" w:fill="auto"/>
            <w:vAlign w:val="bottom"/>
            <w:hideMark/>
          </w:tcPr>
          <w:p w14:paraId="3422766F"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25,7</w:t>
            </w:r>
          </w:p>
        </w:tc>
        <w:tc>
          <w:tcPr>
            <w:tcW w:w="2268" w:type="dxa"/>
            <w:shd w:val="clear" w:color="auto" w:fill="auto"/>
            <w:vAlign w:val="bottom"/>
            <w:hideMark/>
          </w:tcPr>
          <w:p w14:paraId="29263ED1"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17,77</w:t>
            </w:r>
          </w:p>
        </w:tc>
      </w:tr>
      <w:tr w:rsidR="00FD30BF" w:rsidRPr="00C4270E" w14:paraId="2D0FFE0C" w14:textId="77777777" w:rsidTr="00FD30BF">
        <w:trPr>
          <w:trHeight w:val="409"/>
        </w:trPr>
        <w:tc>
          <w:tcPr>
            <w:tcW w:w="2620" w:type="dxa"/>
            <w:shd w:val="clear" w:color="auto" w:fill="9CC2E5" w:themeFill="accent1" w:themeFillTint="99"/>
            <w:vAlign w:val="bottom"/>
            <w:hideMark/>
          </w:tcPr>
          <w:p w14:paraId="52735FC2" w14:textId="77777777" w:rsidR="00FD30BF" w:rsidRPr="00C4270E" w:rsidRDefault="00FD30BF" w:rsidP="00FD30BF">
            <w:pPr>
              <w:spacing w:after="0" w:line="240" w:lineRule="auto"/>
              <w:rPr>
                <w:rFonts w:ascii="Times New Roman" w:eastAsia="Times New Roman" w:hAnsi="Times New Roman" w:cs="Times New Roman"/>
                <w:b/>
                <w:sz w:val="20"/>
                <w:lang w:eastAsia="pl-PL"/>
              </w:rPr>
            </w:pPr>
            <w:r w:rsidRPr="00C4270E">
              <w:rPr>
                <w:rFonts w:ascii="Times New Roman" w:eastAsia="Times New Roman" w:hAnsi="Times New Roman" w:cs="Times New Roman"/>
                <w:b/>
                <w:sz w:val="20"/>
                <w:lang w:eastAsia="pl-PL"/>
              </w:rPr>
              <w:t>Renta rolnicza ogółem</w:t>
            </w:r>
          </w:p>
        </w:tc>
        <w:tc>
          <w:tcPr>
            <w:tcW w:w="2140" w:type="dxa"/>
            <w:shd w:val="clear" w:color="auto" w:fill="auto"/>
            <w:vAlign w:val="bottom"/>
            <w:hideMark/>
          </w:tcPr>
          <w:p w14:paraId="2F2D7469"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15,01</w:t>
            </w:r>
          </w:p>
        </w:tc>
        <w:tc>
          <w:tcPr>
            <w:tcW w:w="2318" w:type="dxa"/>
            <w:shd w:val="clear" w:color="auto" w:fill="auto"/>
            <w:vAlign w:val="bottom"/>
            <w:hideMark/>
          </w:tcPr>
          <w:p w14:paraId="7DD7BF4D"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19,0</w:t>
            </w:r>
          </w:p>
        </w:tc>
        <w:tc>
          <w:tcPr>
            <w:tcW w:w="2268" w:type="dxa"/>
            <w:shd w:val="clear" w:color="auto" w:fill="auto"/>
            <w:vAlign w:val="bottom"/>
            <w:hideMark/>
          </w:tcPr>
          <w:p w14:paraId="58D2E109"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13,57</w:t>
            </w:r>
          </w:p>
        </w:tc>
      </w:tr>
      <w:tr w:rsidR="00FD30BF" w:rsidRPr="00C4270E" w14:paraId="32C66B87" w14:textId="77777777" w:rsidTr="00FD30BF">
        <w:trPr>
          <w:trHeight w:val="415"/>
        </w:trPr>
        <w:tc>
          <w:tcPr>
            <w:tcW w:w="2620" w:type="dxa"/>
            <w:shd w:val="clear" w:color="auto" w:fill="9CC2E5" w:themeFill="accent1" w:themeFillTint="99"/>
            <w:vAlign w:val="bottom"/>
            <w:hideMark/>
          </w:tcPr>
          <w:p w14:paraId="5991DBCA" w14:textId="77777777" w:rsidR="00FD30BF" w:rsidRPr="00C4270E" w:rsidRDefault="00FD30BF" w:rsidP="00FD30BF">
            <w:pPr>
              <w:spacing w:after="0" w:line="240" w:lineRule="auto"/>
              <w:rPr>
                <w:rFonts w:ascii="Times New Roman" w:eastAsia="Times New Roman" w:hAnsi="Times New Roman" w:cs="Times New Roman"/>
                <w:b/>
                <w:sz w:val="20"/>
                <w:lang w:eastAsia="pl-PL"/>
              </w:rPr>
            </w:pPr>
            <w:r w:rsidRPr="00C4270E">
              <w:rPr>
                <w:rFonts w:ascii="Times New Roman" w:eastAsia="Times New Roman" w:hAnsi="Times New Roman" w:cs="Times New Roman"/>
                <w:b/>
                <w:sz w:val="20"/>
                <w:lang w:eastAsia="pl-PL"/>
              </w:rPr>
              <w:t>Renta rolnicza stała</w:t>
            </w:r>
          </w:p>
        </w:tc>
        <w:tc>
          <w:tcPr>
            <w:tcW w:w="2140" w:type="dxa"/>
            <w:shd w:val="clear" w:color="auto" w:fill="auto"/>
            <w:vAlign w:val="bottom"/>
            <w:hideMark/>
          </w:tcPr>
          <w:p w14:paraId="4BA9AE85"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16,5</w:t>
            </w:r>
          </w:p>
        </w:tc>
        <w:tc>
          <w:tcPr>
            <w:tcW w:w="2318" w:type="dxa"/>
            <w:shd w:val="clear" w:color="auto" w:fill="auto"/>
            <w:vAlign w:val="bottom"/>
            <w:hideMark/>
          </w:tcPr>
          <w:p w14:paraId="479911DD"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19,36</w:t>
            </w:r>
          </w:p>
        </w:tc>
        <w:tc>
          <w:tcPr>
            <w:tcW w:w="2268" w:type="dxa"/>
            <w:shd w:val="clear" w:color="auto" w:fill="auto"/>
            <w:vAlign w:val="bottom"/>
            <w:hideMark/>
          </w:tcPr>
          <w:p w14:paraId="564F1430"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15,25</w:t>
            </w:r>
          </w:p>
        </w:tc>
      </w:tr>
      <w:tr w:rsidR="00FD30BF" w:rsidRPr="00C4270E" w14:paraId="0ABF4194" w14:textId="77777777" w:rsidTr="00FD30BF">
        <w:trPr>
          <w:trHeight w:val="393"/>
        </w:trPr>
        <w:tc>
          <w:tcPr>
            <w:tcW w:w="2620" w:type="dxa"/>
            <w:shd w:val="clear" w:color="auto" w:fill="9CC2E5" w:themeFill="accent1" w:themeFillTint="99"/>
            <w:vAlign w:val="bottom"/>
            <w:hideMark/>
          </w:tcPr>
          <w:p w14:paraId="0117D7B7" w14:textId="77777777" w:rsidR="00FD30BF" w:rsidRPr="00C4270E" w:rsidRDefault="00FD30BF" w:rsidP="00FD30BF">
            <w:pPr>
              <w:spacing w:after="0" w:line="240" w:lineRule="auto"/>
              <w:rPr>
                <w:rFonts w:ascii="Times New Roman" w:eastAsia="Times New Roman" w:hAnsi="Times New Roman" w:cs="Times New Roman"/>
                <w:b/>
                <w:sz w:val="20"/>
                <w:lang w:eastAsia="pl-PL"/>
              </w:rPr>
            </w:pPr>
            <w:r w:rsidRPr="00C4270E">
              <w:rPr>
                <w:rFonts w:ascii="Times New Roman" w:eastAsia="Times New Roman" w:hAnsi="Times New Roman" w:cs="Times New Roman"/>
                <w:b/>
                <w:sz w:val="20"/>
                <w:lang w:eastAsia="pl-PL"/>
              </w:rPr>
              <w:t>Renta rolnicza okresowa</w:t>
            </w:r>
          </w:p>
        </w:tc>
        <w:tc>
          <w:tcPr>
            <w:tcW w:w="2140" w:type="dxa"/>
            <w:shd w:val="clear" w:color="auto" w:fill="auto"/>
            <w:vAlign w:val="bottom"/>
            <w:hideMark/>
          </w:tcPr>
          <w:p w14:paraId="0ABB2767"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7,22</w:t>
            </w:r>
          </w:p>
        </w:tc>
        <w:tc>
          <w:tcPr>
            <w:tcW w:w="2318" w:type="dxa"/>
            <w:shd w:val="clear" w:color="auto" w:fill="auto"/>
            <w:vAlign w:val="bottom"/>
            <w:hideMark/>
          </w:tcPr>
          <w:p w14:paraId="48E35C6E"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10,97</w:t>
            </w:r>
          </w:p>
        </w:tc>
        <w:tc>
          <w:tcPr>
            <w:tcW w:w="2268" w:type="dxa"/>
            <w:shd w:val="clear" w:color="auto" w:fill="auto"/>
            <w:vAlign w:val="bottom"/>
            <w:hideMark/>
          </w:tcPr>
          <w:p w14:paraId="555DCE46"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6,94</w:t>
            </w:r>
          </w:p>
        </w:tc>
      </w:tr>
      <w:tr w:rsidR="00FD30BF" w:rsidRPr="00C4270E" w14:paraId="23BE5DAE" w14:textId="77777777" w:rsidTr="00FD30BF">
        <w:trPr>
          <w:trHeight w:val="399"/>
        </w:trPr>
        <w:tc>
          <w:tcPr>
            <w:tcW w:w="2620" w:type="dxa"/>
            <w:shd w:val="clear" w:color="auto" w:fill="9CC2E5" w:themeFill="accent1" w:themeFillTint="99"/>
            <w:vAlign w:val="bottom"/>
            <w:hideMark/>
          </w:tcPr>
          <w:p w14:paraId="66437EB0" w14:textId="77777777" w:rsidR="00FD30BF" w:rsidRPr="00C4270E" w:rsidRDefault="00FD30BF" w:rsidP="00FD30BF">
            <w:pPr>
              <w:spacing w:after="0" w:line="240" w:lineRule="auto"/>
              <w:rPr>
                <w:rFonts w:ascii="Times New Roman" w:eastAsia="Times New Roman" w:hAnsi="Times New Roman" w:cs="Times New Roman"/>
                <w:b/>
                <w:sz w:val="20"/>
                <w:lang w:eastAsia="pl-PL"/>
              </w:rPr>
            </w:pPr>
            <w:r w:rsidRPr="00C4270E">
              <w:rPr>
                <w:rFonts w:ascii="Times New Roman" w:eastAsia="Times New Roman" w:hAnsi="Times New Roman" w:cs="Times New Roman"/>
                <w:b/>
                <w:sz w:val="20"/>
                <w:lang w:eastAsia="pl-PL"/>
              </w:rPr>
              <w:t>Renta rodzinna</w:t>
            </w:r>
          </w:p>
        </w:tc>
        <w:tc>
          <w:tcPr>
            <w:tcW w:w="2140" w:type="dxa"/>
            <w:shd w:val="clear" w:color="auto" w:fill="auto"/>
            <w:vAlign w:val="bottom"/>
            <w:hideMark/>
          </w:tcPr>
          <w:p w14:paraId="4660216B"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18,89</w:t>
            </w:r>
          </w:p>
        </w:tc>
        <w:tc>
          <w:tcPr>
            <w:tcW w:w="2318" w:type="dxa"/>
            <w:shd w:val="clear" w:color="auto" w:fill="auto"/>
            <w:vAlign w:val="bottom"/>
            <w:hideMark/>
          </w:tcPr>
          <w:p w14:paraId="70EEECE5"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19,44</w:t>
            </w:r>
          </w:p>
        </w:tc>
        <w:tc>
          <w:tcPr>
            <w:tcW w:w="2268" w:type="dxa"/>
            <w:shd w:val="clear" w:color="auto" w:fill="auto"/>
            <w:vAlign w:val="bottom"/>
            <w:hideMark/>
          </w:tcPr>
          <w:p w14:paraId="19030408" w14:textId="77777777" w:rsidR="00FD30BF" w:rsidRPr="00C4270E" w:rsidRDefault="00FD30BF" w:rsidP="00FD30BF">
            <w:pPr>
              <w:spacing w:after="0" w:line="240" w:lineRule="auto"/>
              <w:jc w:val="center"/>
              <w:rPr>
                <w:rFonts w:ascii="Times New Roman" w:eastAsia="Times New Roman" w:hAnsi="Times New Roman" w:cs="Times New Roman"/>
                <w:sz w:val="20"/>
                <w:lang w:eastAsia="pl-PL"/>
              </w:rPr>
            </w:pPr>
            <w:r w:rsidRPr="00C4270E">
              <w:rPr>
                <w:rFonts w:ascii="Times New Roman" w:eastAsia="Times New Roman" w:hAnsi="Times New Roman" w:cs="Times New Roman"/>
                <w:sz w:val="20"/>
                <w:lang w:eastAsia="pl-PL"/>
              </w:rPr>
              <w:t>18,25</w:t>
            </w:r>
          </w:p>
        </w:tc>
      </w:tr>
    </w:tbl>
    <w:p w14:paraId="591CAD95" w14:textId="77777777" w:rsidR="00A92A69" w:rsidRDefault="00A92A69" w:rsidP="00AF22D5">
      <w:pPr>
        <w:autoSpaceDE w:val="0"/>
        <w:spacing w:after="0"/>
        <w:jc w:val="both"/>
        <w:rPr>
          <w:rFonts w:ascii="Times New Roman" w:hAnsi="Times New Roman" w:cs="Times New Roman"/>
          <w:b/>
          <w:szCs w:val="24"/>
        </w:rPr>
      </w:pPr>
      <w:r w:rsidRPr="00A92A69">
        <w:rPr>
          <w:rFonts w:ascii="Times New Roman" w:hAnsi="Times New Roman" w:cs="Times New Roman"/>
          <w:b/>
          <w:szCs w:val="24"/>
        </w:rPr>
        <w:t>Źródło: dane z Ministerstwa Rolnictwa i Rozwoju Wsi</w:t>
      </w:r>
    </w:p>
    <w:p w14:paraId="3C3C1102" w14:textId="77777777" w:rsidR="00A92A69" w:rsidRPr="004C226B" w:rsidRDefault="00FD30BF" w:rsidP="00AF22D5">
      <w:pPr>
        <w:autoSpaceDE w:val="0"/>
        <w:spacing w:after="0"/>
        <w:jc w:val="both"/>
        <w:rPr>
          <w:rFonts w:ascii="Times New Roman" w:hAnsi="Times New Roman" w:cs="Times New Roman"/>
          <w:b/>
          <w:szCs w:val="24"/>
        </w:rPr>
      </w:pPr>
      <w:r w:rsidRPr="00FD30BF">
        <w:rPr>
          <w:rFonts w:ascii="Times New Roman" w:hAnsi="Times New Roman" w:cs="Times New Roman"/>
          <w:b/>
          <w:szCs w:val="24"/>
        </w:rPr>
        <w:t>a) Średni okres pobierania świadczenia jest ustalany dla osób, które ukończyły 60 lat życia i zmarły w 2019 r.</w:t>
      </w:r>
    </w:p>
    <w:p w14:paraId="6765586F" w14:textId="77777777" w:rsidR="00C4270E" w:rsidRPr="0057376E" w:rsidRDefault="00C4270E" w:rsidP="00C4270E">
      <w:pPr>
        <w:pStyle w:val="Standard"/>
        <w:spacing w:line="276" w:lineRule="auto"/>
        <w:jc w:val="both"/>
        <w:rPr>
          <w:rFonts w:ascii="Times New Roman" w:hAnsi="Times New Roman" w:cs="Times New Roman"/>
        </w:rPr>
      </w:pPr>
      <w:r w:rsidRPr="0057376E">
        <w:rPr>
          <w:rFonts w:ascii="Times New Roman" w:hAnsi="Times New Roman" w:cs="Times New Roman"/>
        </w:rPr>
        <w:t>Średni okres pobierania świadczeń emerytalno-rentowych w 2019 r. wyniósł 22,8 lat w przypadku emerytury rolniczej, 15 lat w przypadku renty rolniczej (ogółem) oraz 18</w:t>
      </w:r>
      <w:r>
        <w:rPr>
          <w:rFonts w:ascii="Times New Roman" w:hAnsi="Times New Roman" w:cs="Times New Roman"/>
        </w:rPr>
        <w:t xml:space="preserve">,9 lat </w:t>
      </w:r>
      <w:r w:rsidRPr="0057376E">
        <w:rPr>
          <w:rFonts w:ascii="Times New Roman" w:hAnsi="Times New Roman" w:cs="Times New Roman"/>
        </w:rPr>
        <w:t xml:space="preserve">w przypadku renty rodzinnej. KRUS skierował w 2019 r. na rehabilitację leczniczą  ok. 6 500 osób. </w:t>
      </w:r>
    </w:p>
    <w:p w14:paraId="35FE8AF1" w14:textId="77777777" w:rsidR="00FD30BF" w:rsidRDefault="00FD30BF" w:rsidP="00AF22D5">
      <w:pPr>
        <w:autoSpaceDE w:val="0"/>
        <w:spacing w:after="0"/>
        <w:jc w:val="both"/>
        <w:rPr>
          <w:rFonts w:ascii="Times New Roman" w:hAnsi="Times New Roman" w:cs="Times New Roman"/>
          <w:sz w:val="24"/>
          <w:szCs w:val="24"/>
        </w:rPr>
      </w:pPr>
    </w:p>
    <w:p w14:paraId="0125199E" w14:textId="79010401" w:rsidR="00A92A69" w:rsidRPr="00A92A69" w:rsidRDefault="00A92A69" w:rsidP="00A92A69">
      <w:pPr>
        <w:pStyle w:val="Legenda"/>
        <w:keepNext/>
        <w:rPr>
          <w:rFonts w:ascii="Times New Roman" w:hAnsi="Times New Roman" w:cs="Times New Roman"/>
          <w:b/>
          <w:i w:val="0"/>
          <w:sz w:val="24"/>
          <w:szCs w:val="24"/>
        </w:rPr>
      </w:pPr>
      <w:bookmarkStart w:id="21" w:name="_Toc49171390"/>
      <w:r w:rsidRPr="00A92A69">
        <w:rPr>
          <w:rFonts w:ascii="Times New Roman" w:hAnsi="Times New Roman" w:cs="Times New Roman"/>
          <w:b/>
          <w:i w:val="0"/>
          <w:sz w:val="24"/>
          <w:szCs w:val="24"/>
        </w:rPr>
        <w:t xml:space="preserve">Tabela </w:t>
      </w:r>
      <w:r w:rsidRPr="00A92A69">
        <w:rPr>
          <w:rFonts w:ascii="Times New Roman" w:hAnsi="Times New Roman" w:cs="Times New Roman"/>
          <w:b/>
          <w:i w:val="0"/>
          <w:sz w:val="24"/>
          <w:szCs w:val="24"/>
        </w:rPr>
        <w:fldChar w:fldCharType="begin"/>
      </w:r>
      <w:r w:rsidRPr="00A92A69">
        <w:rPr>
          <w:rFonts w:ascii="Times New Roman" w:hAnsi="Times New Roman" w:cs="Times New Roman"/>
          <w:b/>
          <w:i w:val="0"/>
          <w:sz w:val="24"/>
          <w:szCs w:val="24"/>
        </w:rPr>
        <w:instrText xml:space="preserve"> SEQ Tabela \* ARABIC </w:instrText>
      </w:r>
      <w:r w:rsidRPr="00A92A69">
        <w:rPr>
          <w:rFonts w:ascii="Times New Roman" w:hAnsi="Times New Roman" w:cs="Times New Roman"/>
          <w:b/>
          <w:i w:val="0"/>
          <w:sz w:val="24"/>
          <w:szCs w:val="24"/>
        </w:rPr>
        <w:fldChar w:fldCharType="separate"/>
      </w:r>
      <w:r w:rsidR="00C154C9">
        <w:rPr>
          <w:rFonts w:ascii="Times New Roman" w:hAnsi="Times New Roman" w:cs="Times New Roman"/>
          <w:b/>
          <w:i w:val="0"/>
          <w:noProof/>
          <w:sz w:val="24"/>
          <w:szCs w:val="24"/>
        </w:rPr>
        <w:t>15</w:t>
      </w:r>
      <w:r w:rsidRPr="00A92A69">
        <w:rPr>
          <w:rFonts w:ascii="Times New Roman" w:hAnsi="Times New Roman" w:cs="Times New Roman"/>
          <w:b/>
          <w:i w:val="0"/>
          <w:sz w:val="24"/>
          <w:szCs w:val="24"/>
        </w:rPr>
        <w:fldChar w:fldCharType="end"/>
      </w:r>
      <w:r w:rsidRPr="00A92A69">
        <w:rPr>
          <w:rFonts w:ascii="Times New Roman" w:hAnsi="Times New Roman" w:cs="Times New Roman"/>
          <w:b/>
          <w:i w:val="0"/>
          <w:sz w:val="24"/>
          <w:szCs w:val="24"/>
        </w:rPr>
        <w:t xml:space="preserve"> Średni wiek, w jakim uzyskuje prawo do emerytury / renty w 2019 r.</w:t>
      </w:r>
      <w:bookmarkEnd w:id="21"/>
    </w:p>
    <w:tbl>
      <w:tblPr>
        <w:tblW w:w="9346"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960"/>
        <w:gridCol w:w="3141"/>
        <w:gridCol w:w="1701"/>
        <w:gridCol w:w="1701"/>
        <w:gridCol w:w="1843"/>
      </w:tblGrid>
      <w:tr w:rsidR="00A92A69" w:rsidRPr="0004384D" w14:paraId="49BE9D9B" w14:textId="77777777" w:rsidTr="00A92A69">
        <w:trPr>
          <w:trHeight w:val="278"/>
        </w:trPr>
        <w:tc>
          <w:tcPr>
            <w:tcW w:w="960" w:type="dxa"/>
            <w:vMerge w:val="restart"/>
            <w:shd w:val="clear" w:color="auto" w:fill="9CC2E5" w:themeFill="accent1" w:themeFillTint="99"/>
            <w:noWrap/>
            <w:vAlign w:val="center"/>
            <w:hideMark/>
          </w:tcPr>
          <w:p w14:paraId="0754829E"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LP</w:t>
            </w:r>
          </w:p>
        </w:tc>
        <w:tc>
          <w:tcPr>
            <w:tcW w:w="3141" w:type="dxa"/>
            <w:vMerge w:val="restart"/>
            <w:shd w:val="clear" w:color="auto" w:fill="9CC2E5" w:themeFill="accent1" w:themeFillTint="99"/>
            <w:noWrap/>
            <w:vAlign w:val="center"/>
            <w:hideMark/>
          </w:tcPr>
          <w:p w14:paraId="50238E10"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Rodzaj świadczenia</w:t>
            </w:r>
          </w:p>
        </w:tc>
        <w:tc>
          <w:tcPr>
            <w:tcW w:w="1701" w:type="dxa"/>
            <w:vMerge w:val="restart"/>
            <w:shd w:val="clear" w:color="auto" w:fill="9CC2E5" w:themeFill="accent1" w:themeFillTint="99"/>
            <w:vAlign w:val="center"/>
            <w:hideMark/>
          </w:tcPr>
          <w:p w14:paraId="7F0DD6A9"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Średni wiek nabycia prawa</w:t>
            </w:r>
          </w:p>
        </w:tc>
        <w:tc>
          <w:tcPr>
            <w:tcW w:w="3544" w:type="dxa"/>
            <w:gridSpan w:val="2"/>
            <w:shd w:val="clear" w:color="auto" w:fill="9CC2E5" w:themeFill="accent1" w:themeFillTint="99"/>
            <w:noWrap/>
            <w:vAlign w:val="bottom"/>
            <w:hideMark/>
          </w:tcPr>
          <w:p w14:paraId="50F107A1"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Średni wiek nabycia prawa</w:t>
            </w:r>
          </w:p>
        </w:tc>
      </w:tr>
      <w:tr w:rsidR="00A92A69" w:rsidRPr="0004384D" w14:paraId="26A97F7F" w14:textId="77777777" w:rsidTr="00A92A69">
        <w:trPr>
          <w:trHeight w:val="300"/>
        </w:trPr>
        <w:tc>
          <w:tcPr>
            <w:tcW w:w="960" w:type="dxa"/>
            <w:vMerge/>
            <w:shd w:val="clear" w:color="auto" w:fill="9CC2E5" w:themeFill="accent1" w:themeFillTint="99"/>
            <w:vAlign w:val="center"/>
            <w:hideMark/>
          </w:tcPr>
          <w:p w14:paraId="30B10F4A" w14:textId="77777777" w:rsidR="00A92A69" w:rsidRPr="0004384D" w:rsidRDefault="00A92A69" w:rsidP="00A92A69">
            <w:pPr>
              <w:spacing w:after="0" w:line="240" w:lineRule="auto"/>
              <w:rPr>
                <w:rFonts w:ascii="Times New Roman" w:eastAsia="Times New Roman" w:hAnsi="Times New Roman" w:cs="Times New Roman"/>
                <w:b/>
                <w:bCs/>
                <w:color w:val="000000"/>
                <w:sz w:val="20"/>
                <w:szCs w:val="20"/>
                <w:lang w:eastAsia="pl-PL"/>
              </w:rPr>
            </w:pPr>
          </w:p>
        </w:tc>
        <w:tc>
          <w:tcPr>
            <w:tcW w:w="3141" w:type="dxa"/>
            <w:vMerge/>
            <w:shd w:val="clear" w:color="auto" w:fill="9CC2E5" w:themeFill="accent1" w:themeFillTint="99"/>
            <w:vAlign w:val="center"/>
            <w:hideMark/>
          </w:tcPr>
          <w:p w14:paraId="13A44468" w14:textId="77777777" w:rsidR="00A92A69" w:rsidRPr="0004384D" w:rsidRDefault="00A92A69" w:rsidP="00A92A69">
            <w:pPr>
              <w:spacing w:after="0" w:line="240" w:lineRule="auto"/>
              <w:rPr>
                <w:rFonts w:ascii="Times New Roman" w:eastAsia="Times New Roman" w:hAnsi="Times New Roman" w:cs="Times New Roman"/>
                <w:b/>
                <w:bCs/>
                <w:color w:val="000000"/>
                <w:sz w:val="20"/>
                <w:szCs w:val="20"/>
                <w:lang w:eastAsia="pl-PL"/>
              </w:rPr>
            </w:pPr>
          </w:p>
        </w:tc>
        <w:tc>
          <w:tcPr>
            <w:tcW w:w="1701" w:type="dxa"/>
            <w:vMerge/>
            <w:shd w:val="clear" w:color="auto" w:fill="9CC2E5" w:themeFill="accent1" w:themeFillTint="99"/>
            <w:vAlign w:val="center"/>
            <w:hideMark/>
          </w:tcPr>
          <w:p w14:paraId="1FE0F7F0" w14:textId="77777777" w:rsidR="00A92A69" w:rsidRPr="0004384D" w:rsidRDefault="00A92A69" w:rsidP="00A92A69">
            <w:pPr>
              <w:spacing w:after="0" w:line="240" w:lineRule="auto"/>
              <w:rPr>
                <w:rFonts w:ascii="Times New Roman" w:eastAsia="Times New Roman" w:hAnsi="Times New Roman" w:cs="Times New Roman"/>
                <w:b/>
                <w:bCs/>
                <w:color w:val="000000"/>
                <w:sz w:val="20"/>
                <w:szCs w:val="20"/>
                <w:lang w:eastAsia="pl-PL"/>
              </w:rPr>
            </w:pPr>
          </w:p>
        </w:tc>
        <w:tc>
          <w:tcPr>
            <w:tcW w:w="1701" w:type="dxa"/>
            <w:shd w:val="clear" w:color="auto" w:fill="9CC2E5" w:themeFill="accent1" w:themeFillTint="99"/>
            <w:noWrap/>
            <w:vAlign w:val="bottom"/>
            <w:hideMark/>
          </w:tcPr>
          <w:p w14:paraId="149487D5"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Kobieta</w:t>
            </w:r>
          </w:p>
        </w:tc>
        <w:tc>
          <w:tcPr>
            <w:tcW w:w="1843" w:type="dxa"/>
            <w:shd w:val="clear" w:color="auto" w:fill="9CC2E5" w:themeFill="accent1" w:themeFillTint="99"/>
            <w:noWrap/>
            <w:vAlign w:val="bottom"/>
            <w:hideMark/>
          </w:tcPr>
          <w:p w14:paraId="212BC176"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Mężczyzna</w:t>
            </w:r>
          </w:p>
        </w:tc>
      </w:tr>
      <w:tr w:rsidR="00A92A69" w:rsidRPr="0004384D" w14:paraId="45464BEE" w14:textId="77777777" w:rsidTr="00A92A69">
        <w:trPr>
          <w:trHeight w:val="300"/>
        </w:trPr>
        <w:tc>
          <w:tcPr>
            <w:tcW w:w="960" w:type="dxa"/>
            <w:shd w:val="clear" w:color="auto" w:fill="9CC2E5" w:themeFill="accent1" w:themeFillTint="99"/>
            <w:noWrap/>
            <w:vAlign w:val="bottom"/>
            <w:hideMark/>
          </w:tcPr>
          <w:p w14:paraId="4F8CE462"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1.</w:t>
            </w:r>
          </w:p>
        </w:tc>
        <w:tc>
          <w:tcPr>
            <w:tcW w:w="3141" w:type="dxa"/>
            <w:shd w:val="clear" w:color="auto" w:fill="auto"/>
            <w:noWrap/>
            <w:vAlign w:val="bottom"/>
            <w:hideMark/>
          </w:tcPr>
          <w:p w14:paraId="6B2254BF" w14:textId="77777777" w:rsidR="00A92A69" w:rsidRPr="0004384D" w:rsidRDefault="00A92A69" w:rsidP="00A92A69">
            <w:pPr>
              <w:spacing w:after="0" w:line="240" w:lineRule="auto"/>
              <w:rPr>
                <w:rFonts w:ascii="Times New Roman" w:eastAsia="Times New Roman" w:hAnsi="Times New Roman" w:cs="Times New Roman"/>
                <w:b/>
                <w:color w:val="000000"/>
                <w:sz w:val="20"/>
                <w:szCs w:val="20"/>
                <w:lang w:eastAsia="pl-PL"/>
              </w:rPr>
            </w:pPr>
            <w:r w:rsidRPr="0004384D">
              <w:rPr>
                <w:rFonts w:ascii="Times New Roman" w:eastAsia="Times New Roman" w:hAnsi="Times New Roman" w:cs="Times New Roman"/>
                <w:b/>
                <w:color w:val="000000"/>
                <w:sz w:val="20"/>
                <w:szCs w:val="20"/>
                <w:lang w:eastAsia="pl-PL"/>
              </w:rPr>
              <w:t>emerytura rolnicza ogółem</w:t>
            </w:r>
          </w:p>
        </w:tc>
        <w:tc>
          <w:tcPr>
            <w:tcW w:w="1701" w:type="dxa"/>
            <w:shd w:val="clear" w:color="auto" w:fill="auto"/>
            <w:noWrap/>
            <w:vAlign w:val="bottom"/>
            <w:hideMark/>
          </w:tcPr>
          <w:p w14:paraId="1F1A18BA"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63</w:t>
            </w:r>
          </w:p>
        </w:tc>
        <w:tc>
          <w:tcPr>
            <w:tcW w:w="1701" w:type="dxa"/>
            <w:shd w:val="clear" w:color="auto" w:fill="auto"/>
            <w:noWrap/>
            <w:vAlign w:val="bottom"/>
            <w:hideMark/>
          </w:tcPr>
          <w:p w14:paraId="47335C6E"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61</w:t>
            </w:r>
          </w:p>
        </w:tc>
        <w:tc>
          <w:tcPr>
            <w:tcW w:w="1843" w:type="dxa"/>
            <w:shd w:val="clear" w:color="auto" w:fill="auto"/>
            <w:noWrap/>
            <w:vAlign w:val="bottom"/>
            <w:hideMark/>
          </w:tcPr>
          <w:p w14:paraId="186DBF08"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66</w:t>
            </w:r>
          </w:p>
        </w:tc>
      </w:tr>
      <w:tr w:rsidR="00A92A69" w:rsidRPr="0004384D" w14:paraId="78882BD8" w14:textId="77777777" w:rsidTr="00A92A69">
        <w:trPr>
          <w:trHeight w:val="300"/>
        </w:trPr>
        <w:tc>
          <w:tcPr>
            <w:tcW w:w="960" w:type="dxa"/>
            <w:shd w:val="clear" w:color="auto" w:fill="9CC2E5" w:themeFill="accent1" w:themeFillTint="99"/>
            <w:noWrap/>
            <w:vAlign w:val="bottom"/>
            <w:hideMark/>
          </w:tcPr>
          <w:p w14:paraId="34DBC1E1"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2.</w:t>
            </w:r>
          </w:p>
        </w:tc>
        <w:tc>
          <w:tcPr>
            <w:tcW w:w="3141" w:type="dxa"/>
            <w:shd w:val="clear" w:color="auto" w:fill="auto"/>
            <w:noWrap/>
            <w:vAlign w:val="bottom"/>
            <w:hideMark/>
          </w:tcPr>
          <w:p w14:paraId="6DA99519" w14:textId="77777777" w:rsidR="00A92A69" w:rsidRPr="0004384D" w:rsidRDefault="00A92A69" w:rsidP="00A92A69">
            <w:pPr>
              <w:spacing w:after="0" w:line="240" w:lineRule="auto"/>
              <w:rPr>
                <w:rFonts w:ascii="Times New Roman" w:eastAsia="Times New Roman" w:hAnsi="Times New Roman" w:cs="Times New Roman"/>
                <w:b/>
                <w:color w:val="000000"/>
                <w:sz w:val="20"/>
                <w:szCs w:val="20"/>
                <w:lang w:eastAsia="pl-PL"/>
              </w:rPr>
            </w:pPr>
            <w:r w:rsidRPr="0004384D">
              <w:rPr>
                <w:rFonts w:ascii="Times New Roman" w:eastAsia="Times New Roman" w:hAnsi="Times New Roman" w:cs="Times New Roman"/>
                <w:b/>
                <w:color w:val="000000"/>
                <w:sz w:val="20"/>
                <w:szCs w:val="20"/>
                <w:lang w:eastAsia="pl-PL"/>
              </w:rPr>
              <w:t>emerytura rolnicza "wcześniejsza"</w:t>
            </w:r>
          </w:p>
        </w:tc>
        <w:tc>
          <w:tcPr>
            <w:tcW w:w="1701" w:type="dxa"/>
            <w:shd w:val="clear" w:color="auto" w:fill="auto"/>
            <w:noWrap/>
            <w:vAlign w:val="bottom"/>
            <w:hideMark/>
          </w:tcPr>
          <w:p w14:paraId="1DC9E169"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62</w:t>
            </w:r>
          </w:p>
        </w:tc>
        <w:tc>
          <w:tcPr>
            <w:tcW w:w="1701" w:type="dxa"/>
            <w:shd w:val="clear" w:color="auto" w:fill="auto"/>
            <w:noWrap/>
            <w:vAlign w:val="bottom"/>
            <w:hideMark/>
          </w:tcPr>
          <w:p w14:paraId="64D94066"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59</w:t>
            </w:r>
          </w:p>
        </w:tc>
        <w:tc>
          <w:tcPr>
            <w:tcW w:w="1843" w:type="dxa"/>
            <w:shd w:val="clear" w:color="auto" w:fill="auto"/>
            <w:noWrap/>
            <w:vAlign w:val="bottom"/>
            <w:hideMark/>
          </w:tcPr>
          <w:p w14:paraId="7D887F4A"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64</w:t>
            </w:r>
          </w:p>
        </w:tc>
      </w:tr>
      <w:tr w:rsidR="00A92A69" w:rsidRPr="0004384D" w14:paraId="4B612853" w14:textId="77777777" w:rsidTr="00A92A69">
        <w:trPr>
          <w:trHeight w:val="300"/>
        </w:trPr>
        <w:tc>
          <w:tcPr>
            <w:tcW w:w="960" w:type="dxa"/>
            <w:shd w:val="clear" w:color="auto" w:fill="9CC2E5" w:themeFill="accent1" w:themeFillTint="99"/>
            <w:noWrap/>
            <w:vAlign w:val="bottom"/>
            <w:hideMark/>
          </w:tcPr>
          <w:p w14:paraId="1B070850"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3.</w:t>
            </w:r>
          </w:p>
        </w:tc>
        <w:tc>
          <w:tcPr>
            <w:tcW w:w="3141" w:type="dxa"/>
            <w:shd w:val="clear" w:color="auto" w:fill="auto"/>
            <w:noWrap/>
            <w:vAlign w:val="bottom"/>
            <w:hideMark/>
          </w:tcPr>
          <w:p w14:paraId="77D6AEDD" w14:textId="77777777" w:rsidR="00A92A69" w:rsidRPr="0004384D" w:rsidRDefault="00A92A69" w:rsidP="00A92A69">
            <w:pPr>
              <w:spacing w:after="0" w:line="240" w:lineRule="auto"/>
              <w:rPr>
                <w:rFonts w:ascii="Times New Roman" w:eastAsia="Times New Roman" w:hAnsi="Times New Roman" w:cs="Times New Roman"/>
                <w:b/>
                <w:color w:val="000000"/>
                <w:sz w:val="20"/>
                <w:szCs w:val="20"/>
                <w:lang w:eastAsia="pl-PL"/>
              </w:rPr>
            </w:pPr>
            <w:r w:rsidRPr="0004384D">
              <w:rPr>
                <w:rFonts w:ascii="Times New Roman" w:eastAsia="Times New Roman" w:hAnsi="Times New Roman" w:cs="Times New Roman"/>
                <w:b/>
                <w:color w:val="000000"/>
                <w:sz w:val="20"/>
                <w:szCs w:val="20"/>
                <w:lang w:eastAsia="pl-PL"/>
              </w:rPr>
              <w:t>emerytura rolnicza częściowa</w:t>
            </w:r>
          </w:p>
        </w:tc>
        <w:tc>
          <w:tcPr>
            <w:tcW w:w="1701" w:type="dxa"/>
            <w:shd w:val="clear" w:color="auto" w:fill="auto"/>
            <w:noWrap/>
            <w:vAlign w:val="bottom"/>
            <w:hideMark/>
          </w:tcPr>
          <w:p w14:paraId="01FF5145"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p>
        </w:tc>
        <w:tc>
          <w:tcPr>
            <w:tcW w:w="1701" w:type="dxa"/>
            <w:shd w:val="clear" w:color="auto" w:fill="auto"/>
            <w:noWrap/>
            <w:vAlign w:val="bottom"/>
            <w:hideMark/>
          </w:tcPr>
          <w:p w14:paraId="3ADD76A5"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p>
        </w:tc>
        <w:tc>
          <w:tcPr>
            <w:tcW w:w="1843" w:type="dxa"/>
            <w:shd w:val="clear" w:color="auto" w:fill="auto"/>
            <w:noWrap/>
            <w:vAlign w:val="bottom"/>
            <w:hideMark/>
          </w:tcPr>
          <w:p w14:paraId="5D1D62B9"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p>
        </w:tc>
      </w:tr>
      <w:tr w:rsidR="00A92A69" w:rsidRPr="0004384D" w14:paraId="18514E94" w14:textId="77777777" w:rsidTr="00A92A69">
        <w:trPr>
          <w:trHeight w:val="300"/>
        </w:trPr>
        <w:tc>
          <w:tcPr>
            <w:tcW w:w="960" w:type="dxa"/>
            <w:shd w:val="clear" w:color="auto" w:fill="9CC2E5" w:themeFill="accent1" w:themeFillTint="99"/>
            <w:noWrap/>
            <w:vAlign w:val="bottom"/>
            <w:hideMark/>
          </w:tcPr>
          <w:p w14:paraId="6954DF2D"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4.</w:t>
            </w:r>
          </w:p>
        </w:tc>
        <w:tc>
          <w:tcPr>
            <w:tcW w:w="3141" w:type="dxa"/>
            <w:shd w:val="clear" w:color="auto" w:fill="auto"/>
            <w:noWrap/>
            <w:vAlign w:val="bottom"/>
            <w:hideMark/>
          </w:tcPr>
          <w:p w14:paraId="7802B82E" w14:textId="77777777" w:rsidR="00A92A69" w:rsidRPr="0004384D" w:rsidRDefault="00A92A69" w:rsidP="00A92A69">
            <w:pPr>
              <w:spacing w:after="0" w:line="240" w:lineRule="auto"/>
              <w:rPr>
                <w:rFonts w:ascii="Times New Roman" w:eastAsia="Times New Roman" w:hAnsi="Times New Roman" w:cs="Times New Roman"/>
                <w:b/>
                <w:color w:val="000000"/>
                <w:sz w:val="20"/>
                <w:szCs w:val="20"/>
                <w:lang w:eastAsia="pl-PL"/>
              </w:rPr>
            </w:pPr>
            <w:r w:rsidRPr="0004384D">
              <w:rPr>
                <w:rFonts w:ascii="Times New Roman" w:eastAsia="Times New Roman" w:hAnsi="Times New Roman" w:cs="Times New Roman"/>
                <w:b/>
                <w:color w:val="000000"/>
                <w:sz w:val="20"/>
                <w:szCs w:val="20"/>
                <w:lang w:eastAsia="pl-PL"/>
              </w:rPr>
              <w:t>emerytura rolnicza okresowa</w:t>
            </w:r>
          </w:p>
        </w:tc>
        <w:tc>
          <w:tcPr>
            <w:tcW w:w="1701" w:type="dxa"/>
            <w:shd w:val="clear" w:color="auto" w:fill="auto"/>
            <w:noWrap/>
            <w:vAlign w:val="bottom"/>
            <w:hideMark/>
          </w:tcPr>
          <w:p w14:paraId="1B60C010"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61</w:t>
            </w:r>
          </w:p>
        </w:tc>
        <w:tc>
          <w:tcPr>
            <w:tcW w:w="1701" w:type="dxa"/>
            <w:shd w:val="clear" w:color="auto" w:fill="auto"/>
            <w:noWrap/>
            <w:vAlign w:val="bottom"/>
            <w:hideMark/>
          </w:tcPr>
          <w:p w14:paraId="69B4E952"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p>
        </w:tc>
        <w:tc>
          <w:tcPr>
            <w:tcW w:w="1843" w:type="dxa"/>
            <w:shd w:val="clear" w:color="auto" w:fill="auto"/>
            <w:noWrap/>
            <w:vAlign w:val="bottom"/>
            <w:hideMark/>
          </w:tcPr>
          <w:p w14:paraId="5C67E1E1"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61</w:t>
            </w:r>
          </w:p>
        </w:tc>
      </w:tr>
      <w:tr w:rsidR="00A92A69" w:rsidRPr="0004384D" w14:paraId="0B375B07" w14:textId="77777777" w:rsidTr="00A92A69">
        <w:trPr>
          <w:trHeight w:val="300"/>
        </w:trPr>
        <w:tc>
          <w:tcPr>
            <w:tcW w:w="960" w:type="dxa"/>
            <w:shd w:val="clear" w:color="auto" w:fill="9CC2E5" w:themeFill="accent1" w:themeFillTint="99"/>
            <w:noWrap/>
            <w:vAlign w:val="bottom"/>
            <w:hideMark/>
          </w:tcPr>
          <w:p w14:paraId="02405571"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5.</w:t>
            </w:r>
          </w:p>
        </w:tc>
        <w:tc>
          <w:tcPr>
            <w:tcW w:w="3141" w:type="dxa"/>
            <w:shd w:val="clear" w:color="auto" w:fill="auto"/>
            <w:noWrap/>
            <w:vAlign w:val="bottom"/>
            <w:hideMark/>
          </w:tcPr>
          <w:p w14:paraId="791A8313" w14:textId="77777777" w:rsidR="00A92A69" w:rsidRPr="0004384D" w:rsidRDefault="00A92A69" w:rsidP="00A92A69">
            <w:pPr>
              <w:spacing w:after="0" w:line="240" w:lineRule="auto"/>
              <w:rPr>
                <w:rFonts w:ascii="Times New Roman" w:eastAsia="Times New Roman" w:hAnsi="Times New Roman" w:cs="Times New Roman"/>
                <w:b/>
                <w:color w:val="000000"/>
                <w:sz w:val="20"/>
                <w:szCs w:val="20"/>
                <w:lang w:eastAsia="pl-PL"/>
              </w:rPr>
            </w:pPr>
            <w:r w:rsidRPr="0004384D">
              <w:rPr>
                <w:rFonts w:ascii="Times New Roman" w:eastAsia="Times New Roman" w:hAnsi="Times New Roman" w:cs="Times New Roman"/>
                <w:b/>
                <w:color w:val="000000"/>
                <w:sz w:val="20"/>
                <w:szCs w:val="20"/>
                <w:lang w:eastAsia="pl-PL"/>
              </w:rPr>
              <w:t>emerytura w pełnym wieku emerytalnym</w:t>
            </w:r>
          </w:p>
        </w:tc>
        <w:tc>
          <w:tcPr>
            <w:tcW w:w="1701" w:type="dxa"/>
            <w:shd w:val="clear" w:color="auto" w:fill="auto"/>
            <w:noWrap/>
            <w:vAlign w:val="bottom"/>
            <w:hideMark/>
          </w:tcPr>
          <w:p w14:paraId="0923647F"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63</w:t>
            </w:r>
          </w:p>
        </w:tc>
        <w:tc>
          <w:tcPr>
            <w:tcW w:w="1701" w:type="dxa"/>
            <w:shd w:val="clear" w:color="auto" w:fill="auto"/>
            <w:noWrap/>
            <w:vAlign w:val="bottom"/>
            <w:hideMark/>
          </w:tcPr>
          <w:p w14:paraId="2DD3189B"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61</w:t>
            </w:r>
          </w:p>
        </w:tc>
        <w:tc>
          <w:tcPr>
            <w:tcW w:w="1843" w:type="dxa"/>
            <w:shd w:val="clear" w:color="auto" w:fill="auto"/>
            <w:noWrap/>
            <w:vAlign w:val="bottom"/>
            <w:hideMark/>
          </w:tcPr>
          <w:p w14:paraId="1663BC31"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66</w:t>
            </w:r>
          </w:p>
        </w:tc>
      </w:tr>
      <w:tr w:rsidR="00A92A69" w:rsidRPr="0004384D" w14:paraId="3114C5E7" w14:textId="77777777" w:rsidTr="00A92A69">
        <w:trPr>
          <w:trHeight w:val="300"/>
        </w:trPr>
        <w:tc>
          <w:tcPr>
            <w:tcW w:w="960" w:type="dxa"/>
            <w:shd w:val="clear" w:color="auto" w:fill="9CC2E5" w:themeFill="accent1" w:themeFillTint="99"/>
            <w:noWrap/>
            <w:vAlign w:val="bottom"/>
            <w:hideMark/>
          </w:tcPr>
          <w:p w14:paraId="65ABC9FF" w14:textId="77777777" w:rsidR="00A92A69" w:rsidRPr="0004384D"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04384D">
              <w:rPr>
                <w:rFonts w:ascii="Times New Roman" w:eastAsia="Times New Roman" w:hAnsi="Times New Roman" w:cs="Times New Roman"/>
                <w:b/>
                <w:bCs/>
                <w:color w:val="000000"/>
                <w:sz w:val="20"/>
                <w:szCs w:val="20"/>
                <w:lang w:eastAsia="pl-PL"/>
              </w:rPr>
              <w:t>6.</w:t>
            </w:r>
          </w:p>
        </w:tc>
        <w:tc>
          <w:tcPr>
            <w:tcW w:w="3141" w:type="dxa"/>
            <w:shd w:val="clear" w:color="auto" w:fill="auto"/>
            <w:noWrap/>
            <w:vAlign w:val="bottom"/>
            <w:hideMark/>
          </w:tcPr>
          <w:p w14:paraId="0A712D28" w14:textId="77777777" w:rsidR="00A92A69" w:rsidRPr="0004384D" w:rsidRDefault="00A92A69" w:rsidP="00A92A69">
            <w:pPr>
              <w:spacing w:after="0" w:line="240" w:lineRule="auto"/>
              <w:rPr>
                <w:rFonts w:ascii="Times New Roman" w:eastAsia="Times New Roman" w:hAnsi="Times New Roman" w:cs="Times New Roman"/>
                <w:b/>
                <w:color w:val="000000"/>
                <w:sz w:val="20"/>
                <w:szCs w:val="20"/>
                <w:lang w:eastAsia="pl-PL"/>
              </w:rPr>
            </w:pPr>
            <w:r w:rsidRPr="0004384D">
              <w:rPr>
                <w:rFonts w:ascii="Times New Roman" w:eastAsia="Times New Roman" w:hAnsi="Times New Roman" w:cs="Times New Roman"/>
                <w:b/>
                <w:color w:val="000000"/>
                <w:sz w:val="20"/>
                <w:szCs w:val="20"/>
                <w:lang w:eastAsia="pl-PL"/>
              </w:rPr>
              <w:t>renta rolnicza ogółem</w:t>
            </w:r>
          </w:p>
        </w:tc>
        <w:tc>
          <w:tcPr>
            <w:tcW w:w="1701" w:type="dxa"/>
            <w:shd w:val="clear" w:color="auto" w:fill="auto"/>
            <w:noWrap/>
            <w:vAlign w:val="bottom"/>
            <w:hideMark/>
          </w:tcPr>
          <w:p w14:paraId="32DE1220"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55</w:t>
            </w:r>
          </w:p>
        </w:tc>
        <w:tc>
          <w:tcPr>
            <w:tcW w:w="1701" w:type="dxa"/>
            <w:shd w:val="clear" w:color="auto" w:fill="auto"/>
            <w:noWrap/>
            <w:vAlign w:val="bottom"/>
            <w:hideMark/>
          </w:tcPr>
          <w:p w14:paraId="0C6A311E"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53</w:t>
            </w:r>
          </w:p>
        </w:tc>
        <w:tc>
          <w:tcPr>
            <w:tcW w:w="1843" w:type="dxa"/>
            <w:shd w:val="clear" w:color="auto" w:fill="auto"/>
            <w:noWrap/>
            <w:vAlign w:val="bottom"/>
            <w:hideMark/>
          </w:tcPr>
          <w:p w14:paraId="60EAF70E"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56</w:t>
            </w:r>
          </w:p>
        </w:tc>
      </w:tr>
      <w:tr w:rsidR="00A92A69" w:rsidRPr="0004384D" w14:paraId="5639C5D1" w14:textId="77777777" w:rsidTr="00A92A69">
        <w:trPr>
          <w:trHeight w:val="300"/>
        </w:trPr>
        <w:tc>
          <w:tcPr>
            <w:tcW w:w="960" w:type="dxa"/>
            <w:vMerge w:val="restart"/>
            <w:shd w:val="clear" w:color="auto" w:fill="9CC2E5" w:themeFill="accent1" w:themeFillTint="99"/>
            <w:noWrap/>
            <w:vAlign w:val="bottom"/>
            <w:hideMark/>
          </w:tcPr>
          <w:p w14:paraId="04F90564"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 </w:t>
            </w:r>
          </w:p>
        </w:tc>
        <w:tc>
          <w:tcPr>
            <w:tcW w:w="3141" w:type="dxa"/>
            <w:shd w:val="clear" w:color="auto" w:fill="auto"/>
            <w:noWrap/>
            <w:vAlign w:val="bottom"/>
            <w:hideMark/>
          </w:tcPr>
          <w:p w14:paraId="605071F7" w14:textId="77777777" w:rsidR="00A92A69" w:rsidRPr="0004384D" w:rsidRDefault="00A92A69" w:rsidP="00A92A69">
            <w:pPr>
              <w:spacing w:after="0" w:line="240" w:lineRule="auto"/>
              <w:rPr>
                <w:rFonts w:ascii="Times New Roman" w:eastAsia="Times New Roman" w:hAnsi="Times New Roman" w:cs="Times New Roman"/>
                <w:b/>
                <w:color w:val="000000"/>
                <w:sz w:val="20"/>
                <w:szCs w:val="20"/>
                <w:lang w:eastAsia="pl-PL"/>
              </w:rPr>
            </w:pPr>
            <w:r w:rsidRPr="0004384D">
              <w:rPr>
                <w:rFonts w:ascii="Times New Roman" w:eastAsia="Times New Roman" w:hAnsi="Times New Roman" w:cs="Times New Roman"/>
                <w:b/>
                <w:color w:val="000000"/>
                <w:sz w:val="20"/>
                <w:szCs w:val="20"/>
                <w:lang w:eastAsia="pl-PL"/>
              </w:rPr>
              <w:t>renta rolnicza stała</w:t>
            </w:r>
          </w:p>
        </w:tc>
        <w:tc>
          <w:tcPr>
            <w:tcW w:w="1701" w:type="dxa"/>
            <w:shd w:val="clear" w:color="auto" w:fill="auto"/>
            <w:noWrap/>
            <w:vAlign w:val="bottom"/>
            <w:hideMark/>
          </w:tcPr>
          <w:p w14:paraId="09310A1E"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59</w:t>
            </w:r>
          </w:p>
        </w:tc>
        <w:tc>
          <w:tcPr>
            <w:tcW w:w="1701" w:type="dxa"/>
            <w:shd w:val="clear" w:color="auto" w:fill="auto"/>
            <w:noWrap/>
            <w:vAlign w:val="bottom"/>
            <w:hideMark/>
          </w:tcPr>
          <w:p w14:paraId="395DDE44"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58</w:t>
            </w:r>
          </w:p>
        </w:tc>
        <w:tc>
          <w:tcPr>
            <w:tcW w:w="1843" w:type="dxa"/>
            <w:shd w:val="clear" w:color="auto" w:fill="auto"/>
            <w:noWrap/>
            <w:vAlign w:val="bottom"/>
            <w:hideMark/>
          </w:tcPr>
          <w:p w14:paraId="6124A779"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60</w:t>
            </w:r>
          </w:p>
        </w:tc>
      </w:tr>
      <w:tr w:rsidR="00A92A69" w:rsidRPr="0004384D" w14:paraId="1A9FDB21" w14:textId="77777777" w:rsidTr="00A92A69">
        <w:trPr>
          <w:trHeight w:val="300"/>
        </w:trPr>
        <w:tc>
          <w:tcPr>
            <w:tcW w:w="960" w:type="dxa"/>
            <w:vMerge/>
            <w:shd w:val="clear" w:color="auto" w:fill="9CC2E5" w:themeFill="accent1" w:themeFillTint="99"/>
            <w:vAlign w:val="center"/>
            <w:hideMark/>
          </w:tcPr>
          <w:p w14:paraId="0166BC3F" w14:textId="77777777" w:rsidR="00A92A69" w:rsidRPr="0004384D" w:rsidRDefault="00A92A69" w:rsidP="00A92A69">
            <w:pPr>
              <w:spacing w:after="0" w:line="240" w:lineRule="auto"/>
              <w:rPr>
                <w:rFonts w:ascii="Times New Roman" w:eastAsia="Times New Roman" w:hAnsi="Times New Roman" w:cs="Times New Roman"/>
                <w:color w:val="000000"/>
                <w:sz w:val="20"/>
                <w:szCs w:val="20"/>
                <w:lang w:eastAsia="pl-PL"/>
              </w:rPr>
            </w:pPr>
          </w:p>
        </w:tc>
        <w:tc>
          <w:tcPr>
            <w:tcW w:w="3141" w:type="dxa"/>
            <w:shd w:val="clear" w:color="auto" w:fill="auto"/>
            <w:noWrap/>
            <w:vAlign w:val="bottom"/>
            <w:hideMark/>
          </w:tcPr>
          <w:p w14:paraId="5D505DC7" w14:textId="77777777" w:rsidR="00A92A69" w:rsidRPr="0004384D" w:rsidRDefault="00A92A69" w:rsidP="00A92A69">
            <w:pPr>
              <w:spacing w:after="0" w:line="240" w:lineRule="auto"/>
              <w:rPr>
                <w:rFonts w:ascii="Times New Roman" w:eastAsia="Times New Roman" w:hAnsi="Times New Roman" w:cs="Times New Roman"/>
                <w:b/>
                <w:color w:val="000000"/>
                <w:sz w:val="20"/>
                <w:szCs w:val="20"/>
                <w:lang w:eastAsia="pl-PL"/>
              </w:rPr>
            </w:pPr>
            <w:r w:rsidRPr="0004384D">
              <w:rPr>
                <w:rFonts w:ascii="Times New Roman" w:eastAsia="Times New Roman" w:hAnsi="Times New Roman" w:cs="Times New Roman"/>
                <w:b/>
                <w:color w:val="000000"/>
                <w:sz w:val="20"/>
                <w:szCs w:val="20"/>
                <w:lang w:eastAsia="pl-PL"/>
              </w:rPr>
              <w:t>renta rolnicza okresowa</w:t>
            </w:r>
          </w:p>
        </w:tc>
        <w:tc>
          <w:tcPr>
            <w:tcW w:w="1701" w:type="dxa"/>
            <w:shd w:val="clear" w:color="auto" w:fill="auto"/>
            <w:noWrap/>
            <w:vAlign w:val="bottom"/>
            <w:hideMark/>
          </w:tcPr>
          <w:p w14:paraId="6F2A9187"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54</w:t>
            </w:r>
          </w:p>
        </w:tc>
        <w:tc>
          <w:tcPr>
            <w:tcW w:w="1701" w:type="dxa"/>
            <w:shd w:val="clear" w:color="auto" w:fill="auto"/>
            <w:noWrap/>
            <w:vAlign w:val="bottom"/>
            <w:hideMark/>
          </w:tcPr>
          <w:p w14:paraId="4F1DE579"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52</w:t>
            </w:r>
          </w:p>
        </w:tc>
        <w:tc>
          <w:tcPr>
            <w:tcW w:w="1843" w:type="dxa"/>
            <w:shd w:val="clear" w:color="auto" w:fill="auto"/>
            <w:noWrap/>
            <w:vAlign w:val="bottom"/>
            <w:hideMark/>
          </w:tcPr>
          <w:p w14:paraId="48F92F7E" w14:textId="77777777" w:rsidR="00A92A69" w:rsidRPr="0004384D"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04384D">
              <w:rPr>
                <w:rFonts w:ascii="Times New Roman" w:eastAsia="Times New Roman" w:hAnsi="Times New Roman" w:cs="Times New Roman"/>
                <w:color w:val="000000"/>
                <w:sz w:val="20"/>
                <w:szCs w:val="20"/>
                <w:lang w:eastAsia="pl-PL"/>
              </w:rPr>
              <w:t>55</w:t>
            </w:r>
          </w:p>
        </w:tc>
      </w:tr>
    </w:tbl>
    <w:p w14:paraId="01A6391D" w14:textId="77777777" w:rsidR="00A92A69" w:rsidRPr="00A92A69" w:rsidRDefault="00A92A69" w:rsidP="00AF22D5">
      <w:pPr>
        <w:autoSpaceDE w:val="0"/>
        <w:spacing w:after="0"/>
        <w:jc w:val="both"/>
        <w:rPr>
          <w:rFonts w:ascii="Times New Roman" w:hAnsi="Times New Roman" w:cs="Times New Roman"/>
          <w:b/>
          <w:szCs w:val="24"/>
        </w:rPr>
      </w:pPr>
      <w:r w:rsidRPr="00A92A69">
        <w:rPr>
          <w:rFonts w:ascii="Times New Roman" w:hAnsi="Times New Roman" w:cs="Times New Roman"/>
          <w:b/>
          <w:szCs w:val="24"/>
        </w:rPr>
        <w:t>Źródło: dane z Ministerstwa Rolnictwa i Rozwoju Wsi</w:t>
      </w:r>
    </w:p>
    <w:p w14:paraId="60E9C2E2" w14:textId="77777777" w:rsidR="00FD30BF" w:rsidRDefault="00FD30BF" w:rsidP="00AF22D5">
      <w:pPr>
        <w:autoSpaceDE w:val="0"/>
        <w:spacing w:after="0"/>
        <w:jc w:val="both"/>
        <w:rPr>
          <w:rFonts w:ascii="Times New Roman" w:hAnsi="Times New Roman" w:cs="Times New Roman"/>
          <w:sz w:val="24"/>
          <w:szCs w:val="24"/>
        </w:rPr>
      </w:pPr>
    </w:p>
    <w:p w14:paraId="02E63E89" w14:textId="6713BD1F" w:rsidR="00AF22D5" w:rsidRPr="0057376E" w:rsidRDefault="00AF22D5" w:rsidP="00AF22D5">
      <w:pPr>
        <w:autoSpaceDE w:val="0"/>
        <w:spacing w:after="0"/>
        <w:jc w:val="both"/>
        <w:rPr>
          <w:sz w:val="24"/>
          <w:szCs w:val="24"/>
        </w:rPr>
      </w:pPr>
      <w:r w:rsidRPr="0057376E">
        <w:rPr>
          <w:rFonts w:ascii="Times New Roman" w:hAnsi="Times New Roman" w:cs="Times New Roman"/>
          <w:sz w:val="24"/>
          <w:szCs w:val="24"/>
        </w:rPr>
        <w:t xml:space="preserve">Jednym z działań z zakresu podnoszenia jakości życia seniorów na obszarach wiejskich jest również coroczna waloryzacja rent i emerytur. Waloryzacja świadczeń emerytalno-rentowych stanowi ważny element konstrukcji systemu ubezpieczeń społecznych zapobiegający deprecjacji świadczeń. W 2019 r., stosownie do zapisów </w:t>
      </w:r>
      <w:r w:rsidRPr="0057376E">
        <w:rPr>
          <w:rFonts w:ascii="Times New Roman" w:hAnsi="Times New Roman" w:cs="Times New Roman"/>
          <w:i/>
          <w:sz w:val="24"/>
          <w:szCs w:val="24"/>
        </w:rPr>
        <w:t xml:space="preserve">ustawy z dnia 14 grudnia 2018 r. </w:t>
      </w:r>
      <w:r>
        <w:rPr>
          <w:rFonts w:ascii="Times New Roman" w:hAnsi="Times New Roman" w:cs="Times New Roman"/>
          <w:i/>
          <w:sz w:val="24"/>
          <w:szCs w:val="24"/>
        </w:rPr>
        <w:t xml:space="preserve">o zmianie ustawy o emeryturach </w:t>
      </w:r>
      <w:r w:rsidRPr="0057376E">
        <w:rPr>
          <w:rFonts w:ascii="Times New Roman" w:hAnsi="Times New Roman" w:cs="Times New Roman"/>
          <w:i/>
          <w:sz w:val="24"/>
          <w:szCs w:val="24"/>
        </w:rPr>
        <w:t>i rentach z Funduszu Ubezpieczeń Społecznych oraz niektórych</w:t>
      </w:r>
      <w:r w:rsidR="005467D3">
        <w:rPr>
          <w:rFonts w:ascii="Times New Roman" w:hAnsi="Times New Roman" w:cs="Times New Roman"/>
          <w:i/>
          <w:sz w:val="24"/>
          <w:szCs w:val="24"/>
        </w:rPr>
        <w:t xml:space="preserve"> innych ustaw (Dz. U. z 2019 r.</w:t>
      </w:r>
      <w:r w:rsidRPr="0057376E">
        <w:rPr>
          <w:rFonts w:ascii="Times New Roman" w:hAnsi="Times New Roman" w:cs="Times New Roman"/>
          <w:i/>
          <w:sz w:val="24"/>
          <w:szCs w:val="24"/>
        </w:rPr>
        <w:t xml:space="preserve"> poz. 39), </w:t>
      </w:r>
      <w:r w:rsidRPr="0057376E">
        <w:rPr>
          <w:rFonts w:ascii="Times New Roman" w:hAnsi="Times New Roman" w:cs="Times New Roman"/>
          <w:iCs/>
          <w:sz w:val="24"/>
          <w:szCs w:val="24"/>
        </w:rPr>
        <w:t>KRUS przeprowadziła waloryzację świadczeń emerytalno-rentowych</w:t>
      </w:r>
      <w:r w:rsidRPr="0057376E">
        <w:rPr>
          <w:rFonts w:ascii="Times New Roman" w:hAnsi="Times New Roman" w:cs="Times New Roman"/>
          <w:i/>
          <w:sz w:val="24"/>
          <w:szCs w:val="24"/>
        </w:rPr>
        <w:t>.</w:t>
      </w:r>
      <w:r w:rsidRPr="0057376E">
        <w:rPr>
          <w:rFonts w:ascii="Times New Roman" w:hAnsi="Times New Roman" w:cs="Times New Roman"/>
          <w:color w:val="000000"/>
          <w:sz w:val="24"/>
          <w:szCs w:val="24"/>
        </w:rPr>
        <w:t xml:space="preserve"> Zgodnie z przepisami tej ustawy w 2019 r. zastosowany został nowy mechanizm waloryzacji świadczeń emerytalno-rentowych, tj. waloryzacja procentowo-kwotowa. Stosownie do przyjętych w ustawie rozwiązań od marca 2019 r. kwoty świadczeń emerytalno-rentowych uległy podwyższeniu wskaźnikiem waloryzacyjnym wynoszącym 102,86 %, nie mniej jednak niż o kwotę 70 zł. </w:t>
      </w:r>
    </w:p>
    <w:p w14:paraId="55F9B1F5" w14:textId="77777777" w:rsidR="00AF22D5" w:rsidRDefault="00AF22D5" w:rsidP="00AF22D5">
      <w:pPr>
        <w:autoSpaceDE w:val="0"/>
        <w:spacing w:after="0"/>
        <w:jc w:val="both"/>
        <w:rPr>
          <w:rFonts w:ascii="Times New Roman" w:hAnsi="Times New Roman" w:cs="Times New Roman"/>
          <w:color w:val="000000"/>
          <w:sz w:val="24"/>
          <w:szCs w:val="24"/>
        </w:rPr>
      </w:pPr>
    </w:p>
    <w:p w14:paraId="672CF9F1" w14:textId="77777777" w:rsidR="00AF22D5" w:rsidRPr="0057376E" w:rsidRDefault="00AF22D5" w:rsidP="00AF22D5">
      <w:pPr>
        <w:autoSpaceDE w:val="0"/>
        <w:spacing w:after="0"/>
        <w:jc w:val="both"/>
        <w:rPr>
          <w:rFonts w:ascii="Times New Roman" w:hAnsi="Times New Roman" w:cs="Times New Roman"/>
          <w:color w:val="000000"/>
          <w:sz w:val="24"/>
          <w:szCs w:val="24"/>
        </w:rPr>
      </w:pPr>
      <w:r w:rsidRPr="0057376E">
        <w:rPr>
          <w:rFonts w:ascii="Times New Roman" w:hAnsi="Times New Roman" w:cs="Times New Roman"/>
          <w:color w:val="000000"/>
          <w:sz w:val="24"/>
          <w:szCs w:val="24"/>
        </w:rPr>
        <w:lastRenderedPageBreak/>
        <w:t>Waloryzacja emerytur i rent rolniczych od 1 marca 2019 r. polegała na przemnożeniu kwoty emerytury podstawowej (wynoszącej 938,97 zł) przez wskaźnik wymiaru, ustalony indywidualnie dla każdego świadczenia, nie mniej niż o kwotę 70 zł. Jeżeli w wyniku waloryzacji świadczenie było niższe od kwoty najniższej emerytury pracowniczej, która od 1 marca 201</w:t>
      </w:r>
      <w:r>
        <w:rPr>
          <w:rFonts w:ascii="Times New Roman" w:hAnsi="Times New Roman" w:cs="Times New Roman"/>
          <w:color w:val="000000"/>
          <w:sz w:val="24"/>
          <w:szCs w:val="24"/>
        </w:rPr>
        <w:t xml:space="preserve">9 r. wynosiła 1 100 zł (wzrost </w:t>
      </w:r>
      <w:r w:rsidRPr="0057376E">
        <w:rPr>
          <w:rFonts w:ascii="Times New Roman" w:hAnsi="Times New Roman" w:cs="Times New Roman"/>
          <w:color w:val="000000"/>
          <w:sz w:val="24"/>
          <w:szCs w:val="24"/>
        </w:rPr>
        <w:t>z kwoty 1</w:t>
      </w:r>
      <w:r>
        <w:rPr>
          <w:rFonts w:ascii="Times New Roman" w:hAnsi="Times New Roman" w:cs="Times New Roman"/>
          <w:color w:val="000000"/>
          <w:sz w:val="24"/>
          <w:szCs w:val="24"/>
        </w:rPr>
        <w:t xml:space="preserve"> </w:t>
      </w:r>
      <w:r w:rsidRPr="0057376E">
        <w:rPr>
          <w:rFonts w:ascii="Times New Roman" w:hAnsi="Times New Roman" w:cs="Times New Roman"/>
          <w:color w:val="000000"/>
          <w:sz w:val="24"/>
          <w:szCs w:val="24"/>
        </w:rPr>
        <w:t>029,80 zł), świadczenie to z urzędu podwyższone zostało do tej kwoty. Przy czym podwyższenie to nie objęło:</w:t>
      </w:r>
    </w:p>
    <w:p w14:paraId="437D7FA6" w14:textId="22DFF705" w:rsidR="00AF22D5" w:rsidRDefault="00AF22D5" w:rsidP="008C71A9">
      <w:pPr>
        <w:pStyle w:val="Akapitzlist"/>
        <w:numPr>
          <w:ilvl w:val="0"/>
          <w:numId w:val="309"/>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 xml:space="preserve">emerytur przyznanych na podstawie art. 19 ust. 2 </w:t>
      </w:r>
      <w:r w:rsidRPr="005A134E">
        <w:rPr>
          <w:rFonts w:ascii="Times New Roman" w:hAnsi="Times New Roman" w:cs="Times New Roman"/>
          <w:i/>
          <w:color w:val="000000"/>
          <w:sz w:val="24"/>
          <w:szCs w:val="24"/>
        </w:rPr>
        <w:t xml:space="preserve">ustawy </w:t>
      </w:r>
      <w:r w:rsidR="005467D3" w:rsidRPr="005A134E">
        <w:rPr>
          <w:rFonts w:ascii="Times New Roman" w:hAnsi="Times New Roman" w:cs="Times New Roman"/>
          <w:i/>
          <w:color w:val="000000"/>
          <w:sz w:val="24"/>
          <w:szCs w:val="24"/>
        </w:rPr>
        <w:t xml:space="preserve">z dnia 20 grudnia 1990 r. </w:t>
      </w:r>
      <w:r w:rsidRPr="005A134E">
        <w:rPr>
          <w:rFonts w:ascii="Times New Roman" w:hAnsi="Times New Roman" w:cs="Times New Roman"/>
          <w:i/>
          <w:color w:val="000000"/>
          <w:sz w:val="24"/>
          <w:szCs w:val="24"/>
        </w:rPr>
        <w:t>o ubezpieczeniu społecznym rolników</w:t>
      </w:r>
      <w:r w:rsidRPr="00AF22D5">
        <w:rPr>
          <w:rFonts w:ascii="Times New Roman" w:hAnsi="Times New Roman" w:cs="Times New Roman"/>
          <w:color w:val="000000"/>
          <w:sz w:val="24"/>
          <w:szCs w:val="24"/>
        </w:rPr>
        <w:t xml:space="preserve"> </w:t>
      </w:r>
      <w:r w:rsidR="005A134E">
        <w:rPr>
          <w:rFonts w:ascii="Times New Roman" w:hAnsi="Times New Roman" w:cs="Times New Roman"/>
          <w:color w:val="000000"/>
          <w:sz w:val="24"/>
          <w:szCs w:val="24"/>
        </w:rPr>
        <w:t xml:space="preserve">(Dz. U. z 2020 r. poz. 174), </w:t>
      </w:r>
      <w:r w:rsidRPr="00AF22D5">
        <w:rPr>
          <w:rFonts w:ascii="Times New Roman" w:hAnsi="Times New Roman" w:cs="Times New Roman"/>
          <w:color w:val="000000"/>
          <w:sz w:val="24"/>
          <w:szCs w:val="24"/>
        </w:rPr>
        <w:t xml:space="preserve">(tzw. wcześniejsze emerytury rolnicze), </w:t>
      </w:r>
    </w:p>
    <w:p w14:paraId="4096C8C3" w14:textId="4D7FDE69" w:rsidR="00AF22D5" w:rsidRDefault="00AF22D5" w:rsidP="008C71A9">
      <w:pPr>
        <w:pStyle w:val="Akapitzlist"/>
        <w:numPr>
          <w:ilvl w:val="0"/>
          <w:numId w:val="309"/>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 xml:space="preserve">świadczeń, których wypłata została zawieszona stosownie do art. 28 lub 34 </w:t>
      </w:r>
      <w:r w:rsidRPr="005A134E">
        <w:rPr>
          <w:rFonts w:ascii="Times New Roman" w:hAnsi="Times New Roman" w:cs="Times New Roman"/>
          <w:i/>
          <w:color w:val="000000"/>
          <w:sz w:val="24"/>
          <w:szCs w:val="24"/>
        </w:rPr>
        <w:t xml:space="preserve">ustawy </w:t>
      </w:r>
      <w:r w:rsidR="005A134E" w:rsidRPr="005A134E">
        <w:rPr>
          <w:rFonts w:ascii="Times New Roman" w:hAnsi="Times New Roman" w:cs="Times New Roman"/>
          <w:i/>
          <w:color w:val="000000"/>
          <w:sz w:val="24"/>
          <w:szCs w:val="24"/>
        </w:rPr>
        <w:t xml:space="preserve">z dnia 20 grudnia 1990 r. </w:t>
      </w:r>
      <w:r w:rsidRPr="005A134E">
        <w:rPr>
          <w:rFonts w:ascii="Times New Roman" w:hAnsi="Times New Roman" w:cs="Times New Roman"/>
          <w:i/>
          <w:color w:val="000000"/>
          <w:sz w:val="24"/>
          <w:szCs w:val="24"/>
        </w:rPr>
        <w:t>o ubezpieczeniu społecznym rolników</w:t>
      </w:r>
      <w:r w:rsidRPr="00AF22D5">
        <w:rPr>
          <w:rFonts w:ascii="Times New Roman" w:hAnsi="Times New Roman" w:cs="Times New Roman"/>
          <w:color w:val="000000"/>
          <w:sz w:val="24"/>
          <w:szCs w:val="24"/>
        </w:rPr>
        <w:t xml:space="preserve">, tj. w związku z prowadzeniem działalności rolniczej lub osiąganiem przychodów z tytułu zatrudnienia, </w:t>
      </w:r>
    </w:p>
    <w:p w14:paraId="73A0C949" w14:textId="77777777" w:rsidR="00AF22D5" w:rsidRDefault="00AF22D5" w:rsidP="008C71A9">
      <w:pPr>
        <w:pStyle w:val="Akapitzlist"/>
        <w:numPr>
          <w:ilvl w:val="0"/>
          <w:numId w:val="309"/>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emerytur i rent z ubezpieczenia pobieranych w zbiegu z emeryturą lub rentą z innego ubezpieczenia społecznego, jeżeli suma tych świadczeń przekracza kwotę najniższej emerytury pracowniczej (dotyczy również pobierania jednocześnie emerytur z ZUS i KRUS), z wyjątk</w:t>
      </w:r>
      <w:r>
        <w:rPr>
          <w:rFonts w:ascii="Times New Roman" w:hAnsi="Times New Roman" w:cs="Times New Roman"/>
          <w:color w:val="000000"/>
          <w:sz w:val="24"/>
          <w:szCs w:val="24"/>
        </w:rPr>
        <w:t xml:space="preserve">iem renty rodzinnej wypłacanej </w:t>
      </w:r>
      <w:r w:rsidRPr="00AF22D5">
        <w:rPr>
          <w:rFonts w:ascii="Times New Roman" w:hAnsi="Times New Roman" w:cs="Times New Roman"/>
          <w:color w:val="000000"/>
          <w:sz w:val="24"/>
          <w:szCs w:val="24"/>
        </w:rPr>
        <w:t xml:space="preserve">w zbiegu z rentą socjalną, </w:t>
      </w:r>
    </w:p>
    <w:p w14:paraId="7A56FDA9" w14:textId="77777777" w:rsidR="00AF22D5" w:rsidRPr="00AF22D5" w:rsidRDefault="00AF22D5" w:rsidP="008C71A9">
      <w:pPr>
        <w:pStyle w:val="Akapitzlist"/>
        <w:numPr>
          <w:ilvl w:val="0"/>
          <w:numId w:val="309"/>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 xml:space="preserve">emerytur i rent wypłacanych w wysokości pro-rata. </w:t>
      </w:r>
    </w:p>
    <w:p w14:paraId="764E3E3E" w14:textId="77777777" w:rsidR="00AF22D5" w:rsidRDefault="00AF22D5" w:rsidP="00AF22D5">
      <w:pPr>
        <w:autoSpaceDE w:val="0"/>
        <w:spacing w:after="0"/>
        <w:jc w:val="both"/>
        <w:rPr>
          <w:rFonts w:ascii="Times New Roman" w:hAnsi="Times New Roman" w:cs="Times New Roman"/>
          <w:color w:val="000000"/>
          <w:sz w:val="24"/>
          <w:szCs w:val="24"/>
        </w:rPr>
      </w:pPr>
    </w:p>
    <w:p w14:paraId="32B6C87C" w14:textId="77777777" w:rsidR="00AF22D5" w:rsidRPr="0057376E" w:rsidRDefault="00AF22D5" w:rsidP="00AF22D5">
      <w:pPr>
        <w:autoSpaceDE w:val="0"/>
        <w:spacing w:after="0"/>
        <w:jc w:val="both"/>
        <w:rPr>
          <w:rFonts w:ascii="Times New Roman" w:hAnsi="Times New Roman" w:cs="Times New Roman"/>
          <w:color w:val="000000"/>
          <w:sz w:val="24"/>
          <w:szCs w:val="24"/>
        </w:rPr>
      </w:pPr>
      <w:r w:rsidRPr="0057376E">
        <w:rPr>
          <w:rFonts w:ascii="Times New Roman" w:hAnsi="Times New Roman" w:cs="Times New Roman"/>
          <w:color w:val="000000"/>
          <w:sz w:val="24"/>
          <w:szCs w:val="24"/>
        </w:rPr>
        <w:t xml:space="preserve">Ponadto od 1 marca 2019 r., w związku z waloryzacją, wysokość renty socjalnej wyniosła </w:t>
      </w:r>
      <w:r w:rsidRPr="0057376E">
        <w:rPr>
          <w:rFonts w:ascii="Times New Roman" w:hAnsi="Times New Roman" w:cs="Times New Roman"/>
          <w:color w:val="000000"/>
          <w:sz w:val="24"/>
          <w:szCs w:val="24"/>
        </w:rPr>
        <w:br/>
        <w:t>1 100 zł, a łączna wysokość renty socjalnej i renty rodzinnej nie mogła przekroczyć 2 200 zł (przy czym rentę socjalną można było maksymalnie obniżyć do 110 zł). Wzrosły także kwoty dodatków i świadczeń przysługujących do emerytur oraz rent, które wyniosły odpowiednio:</w:t>
      </w:r>
    </w:p>
    <w:p w14:paraId="29360F8B" w14:textId="77777777" w:rsidR="00AF22D5" w:rsidRDefault="00AF22D5" w:rsidP="008C71A9">
      <w:pPr>
        <w:pStyle w:val="Akapitzlist"/>
        <w:numPr>
          <w:ilvl w:val="0"/>
          <w:numId w:val="310"/>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 xml:space="preserve">dodatek pielęgnacyjny – 222,01 zł, </w:t>
      </w:r>
    </w:p>
    <w:p w14:paraId="19FF20D0" w14:textId="77777777" w:rsidR="00AF22D5" w:rsidRDefault="00AF22D5" w:rsidP="008C71A9">
      <w:pPr>
        <w:pStyle w:val="Akapitzlist"/>
        <w:numPr>
          <w:ilvl w:val="0"/>
          <w:numId w:val="310"/>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 xml:space="preserve">dodatek dla inwalidy wojennego uznanego za całkowicie niezdolnego do pracy i do samodzielnej egzystencji – 333,02 zł, </w:t>
      </w:r>
    </w:p>
    <w:p w14:paraId="6B9A92D1" w14:textId="77777777" w:rsidR="00AF22D5" w:rsidRDefault="00AF22D5" w:rsidP="008C71A9">
      <w:pPr>
        <w:pStyle w:val="Akapitzlist"/>
        <w:numPr>
          <w:ilvl w:val="0"/>
          <w:numId w:val="310"/>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 xml:space="preserve">dodatek kombatancki – 222,01 zł, </w:t>
      </w:r>
    </w:p>
    <w:p w14:paraId="23FF522A" w14:textId="77777777" w:rsidR="00AF22D5" w:rsidRDefault="00AF22D5" w:rsidP="008C71A9">
      <w:pPr>
        <w:pStyle w:val="Akapitzlist"/>
        <w:numPr>
          <w:ilvl w:val="0"/>
          <w:numId w:val="310"/>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 xml:space="preserve">dodatek za tajne nauczanie – 222,01 zł, </w:t>
      </w:r>
    </w:p>
    <w:p w14:paraId="14FFE103" w14:textId="77777777" w:rsidR="00AF22D5" w:rsidRDefault="00AF22D5" w:rsidP="008C71A9">
      <w:pPr>
        <w:pStyle w:val="Akapitzlist"/>
        <w:numPr>
          <w:ilvl w:val="0"/>
          <w:numId w:val="310"/>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 xml:space="preserve">dodatek kompensacyjny – 33,30 zł, </w:t>
      </w:r>
    </w:p>
    <w:p w14:paraId="3767FC11" w14:textId="77777777" w:rsidR="00AF22D5" w:rsidRDefault="00AF22D5" w:rsidP="008C71A9">
      <w:pPr>
        <w:pStyle w:val="Akapitzlist"/>
        <w:numPr>
          <w:ilvl w:val="0"/>
          <w:numId w:val="310"/>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 xml:space="preserve">dodatek dla sieroty zupełnej – 417,27 zł, </w:t>
      </w:r>
    </w:p>
    <w:p w14:paraId="2B3DF90F" w14:textId="77777777" w:rsidR="00AF22D5" w:rsidRDefault="00AF22D5" w:rsidP="008C71A9">
      <w:pPr>
        <w:pStyle w:val="Akapitzlist"/>
        <w:numPr>
          <w:ilvl w:val="0"/>
          <w:numId w:val="310"/>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 xml:space="preserve">ryczałt energetyczny – 171,41 zł, </w:t>
      </w:r>
    </w:p>
    <w:p w14:paraId="038888F9" w14:textId="77777777" w:rsidR="00AF22D5" w:rsidRDefault="00AF22D5" w:rsidP="008C71A9">
      <w:pPr>
        <w:pStyle w:val="Akapitzlist"/>
        <w:numPr>
          <w:ilvl w:val="0"/>
          <w:numId w:val="310"/>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 xml:space="preserve">świadczenie pieniężne przysługujące byłym żołnierzom górnikom – max 222,01 zł, </w:t>
      </w:r>
    </w:p>
    <w:p w14:paraId="27FB67BD" w14:textId="77777777" w:rsidR="00AF22D5" w:rsidRPr="00AF22D5" w:rsidRDefault="00AF22D5" w:rsidP="008C71A9">
      <w:pPr>
        <w:pStyle w:val="Akapitzlist"/>
        <w:numPr>
          <w:ilvl w:val="0"/>
          <w:numId w:val="310"/>
        </w:numPr>
        <w:autoSpaceDE w:val="0"/>
        <w:spacing w:after="0"/>
        <w:ind w:left="360"/>
        <w:jc w:val="both"/>
        <w:rPr>
          <w:rFonts w:ascii="Times New Roman" w:hAnsi="Times New Roman" w:cs="Times New Roman"/>
          <w:color w:val="000000"/>
          <w:sz w:val="24"/>
          <w:szCs w:val="24"/>
        </w:rPr>
      </w:pPr>
      <w:r w:rsidRPr="00AF22D5">
        <w:rPr>
          <w:rFonts w:ascii="Times New Roman" w:hAnsi="Times New Roman" w:cs="Times New Roman"/>
          <w:color w:val="000000"/>
          <w:sz w:val="24"/>
          <w:szCs w:val="24"/>
        </w:rPr>
        <w:t>świadczenie pieniężne przysługujące osobom deportowanym do pracy przymusowej oraz osadzonym w obozach pracy przez III Rzeszę i ZSRR – max 222,01 zł.</w:t>
      </w:r>
    </w:p>
    <w:p w14:paraId="72C788BC" w14:textId="77777777" w:rsidR="00AF22D5" w:rsidRDefault="00AF22D5" w:rsidP="00AF22D5">
      <w:pPr>
        <w:spacing w:after="0"/>
        <w:jc w:val="both"/>
        <w:rPr>
          <w:rFonts w:ascii="Times New Roman" w:hAnsi="Times New Roman" w:cs="Times New Roman"/>
          <w:sz w:val="24"/>
          <w:szCs w:val="24"/>
        </w:rPr>
      </w:pPr>
    </w:p>
    <w:p w14:paraId="6BD594A6" w14:textId="77777777" w:rsidR="00AF22D5" w:rsidRPr="00AF22D5" w:rsidRDefault="00AF22D5" w:rsidP="00AF22D5">
      <w:pPr>
        <w:spacing w:after="0"/>
        <w:jc w:val="both"/>
        <w:rPr>
          <w:sz w:val="24"/>
          <w:szCs w:val="24"/>
        </w:rPr>
      </w:pPr>
      <w:r w:rsidRPr="00AF22D5">
        <w:rPr>
          <w:rFonts w:ascii="Times New Roman" w:hAnsi="Times New Roman" w:cs="Times New Roman"/>
          <w:sz w:val="24"/>
          <w:szCs w:val="24"/>
        </w:rPr>
        <w:t>Zastosowanie w marcu 2019 r. nowego mechanizmu waloryzacji stanowiło realne wsparcie dla najuboższych grup emerytów i rencistów, przy zachowaniu siły nabywczej i realnej wartości wszystkich świadczeń. Nadto wyszło naprzeciw oczekiwaniom wyższych podwyżek pr</w:t>
      </w:r>
      <w:r>
        <w:rPr>
          <w:rFonts w:ascii="Times New Roman" w:hAnsi="Times New Roman" w:cs="Times New Roman"/>
          <w:sz w:val="24"/>
          <w:szCs w:val="24"/>
        </w:rPr>
        <w:t xml:space="preserve">zez większość emerytów </w:t>
      </w:r>
      <w:r w:rsidRPr="00AF22D5">
        <w:rPr>
          <w:rFonts w:ascii="Times New Roman" w:hAnsi="Times New Roman" w:cs="Times New Roman"/>
          <w:sz w:val="24"/>
          <w:szCs w:val="24"/>
        </w:rPr>
        <w:t>i rencistów. Było to szczególnie korzystne w stosunku do osób uprawnionych do świadczeń emerytalno-rentowych rolniczych. Należy jednocześnie mieć na uwadze, że wypracowane mechanizmy waloryzacji, uwzględniają z jednej strony potrzeby socjalne świadczeniobiorców, a z drugiej bieżącą sytuację gospodarczą, stan budżetu państwa i finansów ubezpieczeń społecznych. Od sytuacji finansowej państwa zależy bowiem możliwość przeznaczenia dodatkowych kwot na wsparcie najuboższych emerytów i rencistów.</w:t>
      </w:r>
      <w:r>
        <w:rPr>
          <w:sz w:val="24"/>
          <w:szCs w:val="24"/>
        </w:rPr>
        <w:t xml:space="preserve"> </w:t>
      </w:r>
      <w:r w:rsidRPr="0057376E">
        <w:rPr>
          <w:rFonts w:ascii="Times New Roman" w:hAnsi="Times New Roman" w:cs="Times New Roman"/>
          <w:sz w:val="24"/>
          <w:szCs w:val="24"/>
        </w:rPr>
        <w:t>W 2019 r. zwaloryzowanych zostało łącznie ponad 1 mln rolniczych świadczeń emerytalno-rentowych.</w:t>
      </w:r>
    </w:p>
    <w:p w14:paraId="7BB483FC" w14:textId="77777777" w:rsidR="00AF22D5" w:rsidRDefault="00AF22D5" w:rsidP="00AF22D5">
      <w:pPr>
        <w:pStyle w:val="Standard"/>
        <w:spacing w:line="276" w:lineRule="auto"/>
        <w:jc w:val="both"/>
        <w:rPr>
          <w:rFonts w:ascii="Times New Roman" w:hAnsi="Times New Roman" w:cs="Times New Roman"/>
        </w:rPr>
      </w:pPr>
    </w:p>
    <w:p w14:paraId="5738591A" w14:textId="77777777" w:rsidR="00AF22D5" w:rsidRPr="0057376E" w:rsidRDefault="00AF22D5" w:rsidP="00AF22D5">
      <w:pPr>
        <w:pStyle w:val="Standard"/>
        <w:spacing w:line="276" w:lineRule="auto"/>
        <w:jc w:val="both"/>
        <w:rPr>
          <w:rFonts w:hint="eastAsia"/>
        </w:rPr>
      </w:pPr>
      <w:r w:rsidRPr="0057376E">
        <w:rPr>
          <w:rFonts w:ascii="Times New Roman" w:hAnsi="Times New Roman" w:cs="Times New Roman"/>
        </w:rPr>
        <w:lastRenderedPageBreak/>
        <w:t xml:space="preserve"> </w:t>
      </w:r>
      <w:r w:rsidRPr="0057376E">
        <w:rPr>
          <w:rFonts w:ascii="Times New Roman" w:eastAsia="Calibri" w:hAnsi="Times New Roman" w:cs="Times New Roman"/>
        </w:rPr>
        <w:t xml:space="preserve">Ponadto w celu poprawy sytuacji dochodowej osób pobierających świadczenia emerytalne </w:t>
      </w:r>
      <w:r w:rsidRPr="0057376E">
        <w:rPr>
          <w:rFonts w:ascii="Times New Roman" w:eastAsia="Calibri" w:hAnsi="Times New Roman" w:cs="Times New Roman"/>
        </w:rPr>
        <w:br/>
        <w:t xml:space="preserve">i rentowe w </w:t>
      </w:r>
      <w:r w:rsidRPr="0057376E">
        <w:rPr>
          <w:rFonts w:ascii="Times New Roman" w:hAnsi="Times New Roman" w:cs="Times New Roman"/>
        </w:rPr>
        <w:t xml:space="preserve">2019 r. emeryci i renciści, zgodnie z </w:t>
      </w:r>
      <w:r w:rsidRPr="0057376E">
        <w:rPr>
          <w:rFonts w:ascii="Times New Roman" w:hAnsi="Times New Roman" w:cs="Times New Roman"/>
          <w:i/>
          <w:iCs/>
        </w:rPr>
        <w:t>ustawą z dnia 4 kwietnia 2019 r. o jednorazowym świadczeniu pieniężnym dla emerytów i rencistów w 2019 r. (Dz. U. poz. 743)</w:t>
      </w:r>
      <w:r w:rsidRPr="0057376E">
        <w:rPr>
          <w:rFonts w:ascii="Times New Roman" w:hAnsi="Times New Roman" w:cs="Times New Roman"/>
        </w:rPr>
        <w:t xml:space="preserve">, otrzymali jednorazowe świadczenie pieniężne w kwocie 1 100 zł brutto. Wypłacono je każdemu emerytowi i renciście, ponieważ nie miało ono charakteru świadczeń socjalnych z pomocy społecznej, które są uzależnione od wysokości kwoty przychodu przypadającej na osobę w rodzinie. Świadczenie to, nazywane często „trzynastą emeryturą” lub „emeryturą plus”, stanowiło wsparcie finansowe szczególnie znaczące dla osób pobierających niskie świadczenia emerytalno-rentowe. </w:t>
      </w:r>
    </w:p>
    <w:p w14:paraId="27BF0C58" w14:textId="77777777" w:rsidR="00AF22D5" w:rsidRDefault="00AF22D5" w:rsidP="003C1988"/>
    <w:p w14:paraId="674953E6" w14:textId="77777777" w:rsidR="00A92A69" w:rsidRDefault="00A92A69" w:rsidP="003C1988"/>
    <w:p w14:paraId="032486C9" w14:textId="77777777" w:rsidR="00A92A69" w:rsidRDefault="00A92A69" w:rsidP="003C1988">
      <w:pPr>
        <w:sectPr w:rsidR="00A92A69" w:rsidSect="00E1300F">
          <w:pgSz w:w="11909" w:h="16838"/>
          <w:pgMar w:top="1137" w:right="1250" w:bottom="1132" w:left="1293" w:header="0" w:footer="567" w:gutter="0"/>
          <w:cols w:space="720"/>
          <w:noEndnote/>
          <w:docGrid w:linePitch="360"/>
        </w:sectPr>
      </w:pPr>
    </w:p>
    <w:p w14:paraId="2B537389" w14:textId="574D7D69" w:rsidR="00A92A69" w:rsidRPr="00A92A69" w:rsidRDefault="00A92A69" w:rsidP="00A92A69">
      <w:pPr>
        <w:pStyle w:val="Legenda"/>
        <w:keepNext/>
        <w:rPr>
          <w:rFonts w:ascii="Times New Roman" w:hAnsi="Times New Roman" w:cs="Times New Roman"/>
          <w:b/>
          <w:i w:val="0"/>
          <w:sz w:val="24"/>
          <w:szCs w:val="24"/>
        </w:rPr>
      </w:pPr>
      <w:bookmarkStart w:id="22" w:name="_Toc49171391"/>
      <w:r w:rsidRPr="00A92A69">
        <w:rPr>
          <w:rFonts w:ascii="Times New Roman" w:hAnsi="Times New Roman" w:cs="Times New Roman"/>
          <w:b/>
          <w:i w:val="0"/>
          <w:sz w:val="24"/>
          <w:szCs w:val="24"/>
        </w:rPr>
        <w:lastRenderedPageBreak/>
        <w:t xml:space="preserve">Tabela </w:t>
      </w:r>
      <w:r w:rsidRPr="00A92A69">
        <w:rPr>
          <w:rFonts w:ascii="Times New Roman" w:hAnsi="Times New Roman" w:cs="Times New Roman"/>
          <w:b/>
          <w:i w:val="0"/>
          <w:sz w:val="24"/>
          <w:szCs w:val="24"/>
        </w:rPr>
        <w:fldChar w:fldCharType="begin"/>
      </w:r>
      <w:r w:rsidRPr="00A92A69">
        <w:rPr>
          <w:rFonts w:ascii="Times New Roman" w:hAnsi="Times New Roman" w:cs="Times New Roman"/>
          <w:b/>
          <w:i w:val="0"/>
          <w:sz w:val="24"/>
          <w:szCs w:val="24"/>
        </w:rPr>
        <w:instrText xml:space="preserve"> SEQ Tabela \* ARABIC </w:instrText>
      </w:r>
      <w:r w:rsidRPr="00A92A69">
        <w:rPr>
          <w:rFonts w:ascii="Times New Roman" w:hAnsi="Times New Roman" w:cs="Times New Roman"/>
          <w:b/>
          <w:i w:val="0"/>
          <w:sz w:val="24"/>
          <w:szCs w:val="24"/>
        </w:rPr>
        <w:fldChar w:fldCharType="separate"/>
      </w:r>
      <w:r w:rsidR="00C154C9">
        <w:rPr>
          <w:rFonts w:ascii="Times New Roman" w:hAnsi="Times New Roman" w:cs="Times New Roman"/>
          <w:b/>
          <w:i w:val="0"/>
          <w:noProof/>
          <w:sz w:val="24"/>
          <w:szCs w:val="24"/>
        </w:rPr>
        <w:t>16</w:t>
      </w:r>
      <w:r w:rsidRPr="00A92A69">
        <w:rPr>
          <w:rFonts w:ascii="Times New Roman" w:hAnsi="Times New Roman" w:cs="Times New Roman"/>
          <w:b/>
          <w:i w:val="0"/>
          <w:sz w:val="24"/>
          <w:szCs w:val="24"/>
        </w:rPr>
        <w:fldChar w:fldCharType="end"/>
      </w:r>
      <w:r w:rsidRPr="00A92A69">
        <w:rPr>
          <w:rFonts w:ascii="Times New Roman" w:hAnsi="Times New Roman" w:cs="Times New Roman"/>
          <w:b/>
          <w:i w:val="0"/>
          <w:sz w:val="24"/>
          <w:szCs w:val="24"/>
        </w:rPr>
        <w:t xml:space="preserve"> Liczba osób w wieku 60 lat i więcej objętych ubezpieczeniem społecznym rolników, według roku urodzenia i płci w podziale na rolników, domowników, ubezpieczonych na kontach podmiotów*</w:t>
      </w:r>
      <w:bookmarkEnd w:id="22"/>
    </w:p>
    <w:tbl>
      <w:tblPr>
        <w:tblW w:w="15850"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413"/>
        <w:gridCol w:w="690"/>
        <w:gridCol w:w="596"/>
        <w:gridCol w:w="1263"/>
        <w:gridCol w:w="1118"/>
        <w:gridCol w:w="1229"/>
        <w:gridCol w:w="1107"/>
        <w:gridCol w:w="1263"/>
        <w:gridCol w:w="1118"/>
        <w:gridCol w:w="1229"/>
        <w:gridCol w:w="1107"/>
        <w:gridCol w:w="1263"/>
        <w:gridCol w:w="1118"/>
        <w:gridCol w:w="1229"/>
        <w:gridCol w:w="1107"/>
      </w:tblGrid>
      <w:tr w:rsidR="00A92A69" w:rsidRPr="00D90234" w14:paraId="5BFB4967" w14:textId="77777777" w:rsidTr="00A92A69">
        <w:trPr>
          <w:trHeight w:val="555"/>
          <w:jc w:val="center"/>
        </w:trPr>
        <w:tc>
          <w:tcPr>
            <w:tcW w:w="413" w:type="dxa"/>
            <w:vMerge w:val="restart"/>
            <w:shd w:val="clear" w:color="auto" w:fill="9CC2E5" w:themeFill="accent1" w:themeFillTint="99"/>
            <w:vAlign w:val="center"/>
            <w:hideMark/>
          </w:tcPr>
          <w:p w14:paraId="3B84102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Lp.</w:t>
            </w:r>
          </w:p>
        </w:tc>
        <w:tc>
          <w:tcPr>
            <w:tcW w:w="690" w:type="dxa"/>
            <w:vMerge w:val="restart"/>
            <w:shd w:val="clear" w:color="auto" w:fill="9CC2E5" w:themeFill="accent1" w:themeFillTint="99"/>
            <w:vAlign w:val="center"/>
            <w:hideMark/>
          </w:tcPr>
          <w:p w14:paraId="546DBB82"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Rok urodz.</w:t>
            </w:r>
          </w:p>
        </w:tc>
        <w:tc>
          <w:tcPr>
            <w:tcW w:w="596" w:type="dxa"/>
            <w:vMerge w:val="restart"/>
            <w:shd w:val="clear" w:color="auto" w:fill="9CC2E5" w:themeFill="accent1" w:themeFillTint="99"/>
            <w:vAlign w:val="center"/>
            <w:hideMark/>
          </w:tcPr>
          <w:p w14:paraId="10BF3B4D"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Wiek</w:t>
            </w:r>
          </w:p>
        </w:tc>
        <w:tc>
          <w:tcPr>
            <w:tcW w:w="4717" w:type="dxa"/>
            <w:gridSpan w:val="4"/>
            <w:shd w:val="clear" w:color="auto" w:fill="9CC2E5" w:themeFill="accent1" w:themeFillTint="99"/>
            <w:vAlign w:val="center"/>
            <w:hideMark/>
          </w:tcPr>
          <w:p w14:paraId="1352C0FB"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Ogółem</w:t>
            </w:r>
          </w:p>
        </w:tc>
        <w:tc>
          <w:tcPr>
            <w:tcW w:w="4717" w:type="dxa"/>
            <w:gridSpan w:val="4"/>
            <w:shd w:val="clear" w:color="auto" w:fill="9CC2E5" w:themeFill="accent1" w:themeFillTint="99"/>
            <w:vAlign w:val="center"/>
            <w:hideMark/>
          </w:tcPr>
          <w:p w14:paraId="68C22603"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Kobiety</w:t>
            </w:r>
          </w:p>
        </w:tc>
        <w:tc>
          <w:tcPr>
            <w:tcW w:w="4717" w:type="dxa"/>
            <w:gridSpan w:val="4"/>
            <w:shd w:val="clear" w:color="auto" w:fill="9CC2E5" w:themeFill="accent1" w:themeFillTint="99"/>
            <w:vAlign w:val="center"/>
            <w:hideMark/>
          </w:tcPr>
          <w:p w14:paraId="7B393035"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Mężczyźni</w:t>
            </w:r>
          </w:p>
        </w:tc>
      </w:tr>
      <w:tr w:rsidR="00A92A69" w:rsidRPr="00D90234" w14:paraId="38556B45" w14:textId="77777777" w:rsidTr="00A92A69">
        <w:trPr>
          <w:trHeight w:val="1200"/>
          <w:jc w:val="center"/>
        </w:trPr>
        <w:tc>
          <w:tcPr>
            <w:tcW w:w="413" w:type="dxa"/>
            <w:vMerge/>
            <w:shd w:val="clear" w:color="auto" w:fill="9CC2E5" w:themeFill="accent1" w:themeFillTint="99"/>
            <w:vAlign w:val="center"/>
            <w:hideMark/>
          </w:tcPr>
          <w:p w14:paraId="523BE0D7"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p>
        </w:tc>
        <w:tc>
          <w:tcPr>
            <w:tcW w:w="690" w:type="dxa"/>
            <w:vMerge/>
            <w:shd w:val="clear" w:color="auto" w:fill="9CC2E5" w:themeFill="accent1" w:themeFillTint="99"/>
            <w:vAlign w:val="center"/>
            <w:hideMark/>
          </w:tcPr>
          <w:p w14:paraId="5E2D6B93"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p>
        </w:tc>
        <w:tc>
          <w:tcPr>
            <w:tcW w:w="596" w:type="dxa"/>
            <w:vMerge/>
            <w:shd w:val="clear" w:color="auto" w:fill="9CC2E5" w:themeFill="accent1" w:themeFillTint="99"/>
            <w:vAlign w:val="center"/>
            <w:hideMark/>
          </w:tcPr>
          <w:p w14:paraId="0F84CD95"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p>
        </w:tc>
        <w:tc>
          <w:tcPr>
            <w:tcW w:w="1263" w:type="dxa"/>
            <w:shd w:val="clear" w:color="auto" w:fill="9CC2E5" w:themeFill="accent1" w:themeFillTint="99"/>
            <w:vAlign w:val="center"/>
            <w:hideMark/>
          </w:tcPr>
          <w:p w14:paraId="74CF852C"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rolnicy/ małżonkowie rolników</w:t>
            </w:r>
          </w:p>
        </w:tc>
        <w:tc>
          <w:tcPr>
            <w:tcW w:w="1118" w:type="dxa"/>
            <w:shd w:val="clear" w:color="auto" w:fill="9CC2E5" w:themeFill="accent1" w:themeFillTint="99"/>
            <w:vAlign w:val="center"/>
            <w:hideMark/>
          </w:tcPr>
          <w:p w14:paraId="5834E417"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domownicy</w:t>
            </w:r>
          </w:p>
        </w:tc>
        <w:tc>
          <w:tcPr>
            <w:tcW w:w="1229" w:type="dxa"/>
            <w:shd w:val="clear" w:color="auto" w:fill="9CC2E5" w:themeFill="accent1" w:themeFillTint="99"/>
            <w:vAlign w:val="center"/>
            <w:hideMark/>
          </w:tcPr>
          <w:p w14:paraId="001F30FC"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ubezpieczeni na kontach podmiotów *</w:t>
            </w:r>
          </w:p>
        </w:tc>
        <w:tc>
          <w:tcPr>
            <w:tcW w:w="1107" w:type="dxa"/>
            <w:shd w:val="clear" w:color="auto" w:fill="9CC2E5" w:themeFill="accent1" w:themeFillTint="99"/>
            <w:vAlign w:val="center"/>
            <w:hideMark/>
          </w:tcPr>
          <w:p w14:paraId="47A6D2DE"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pomocnicy rolników**</w:t>
            </w:r>
          </w:p>
        </w:tc>
        <w:tc>
          <w:tcPr>
            <w:tcW w:w="1263" w:type="dxa"/>
            <w:shd w:val="clear" w:color="auto" w:fill="9CC2E5" w:themeFill="accent1" w:themeFillTint="99"/>
            <w:vAlign w:val="center"/>
            <w:hideMark/>
          </w:tcPr>
          <w:p w14:paraId="65F465A4"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rolnicy/ małżonkowie rolników</w:t>
            </w:r>
          </w:p>
        </w:tc>
        <w:tc>
          <w:tcPr>
            <w:tcW w:w="1118" w:type="dxa"/>
            <w:shd w:val="clear" w:color="auto" w:fill="9CC2E5" w:themeFill="accent1" w:themeFillTint="99"/>
            <w:vAlign w:val="center"/>
            <w:hideMark/>
          </w:tcPr>
          <w:p w14:paraId="6BEC2861"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domownicy</w:t>
            </w:r>
          </w:p>
        </w:tc>
        <w:tc>
          <w:tcPr>
            <w:tcW w:w="1229" w:type="dxa"/>
            <w:shd w:val="clear" w:color="auto" w:fill="9CC2E5" w:themeFill="accent1" w:themeFillTint="99"/>
            <w:vAlign w:val="center"/>
            <w:hideMark/>
          </w:tcPr>
          <w:p w14:paraId="5DD60F57"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ubezpieczeni na kontach podmiotów *</w:t>
            </w:r>
          </w:p>
        </w:tc>
        <w:tc>
          <w:tcPr>
            <w:tcW w:w="1107" w:type="dxa"/>
            <w:shd w:val="clear" w:color="auto" w:fill="9CC2E5" w:themeFill="accent1" w:themeFillTint="99"/>
            <w:vAlign w:val="center"/>
            <w:hideMark/>
          </w:tcPr>
          <w:p w14:paraId="7817716A"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pomocnicy rolników**</w:t>
            </w:r>
          </w:p>
        </w:tc>
        <w:tc>
          <w:tcPr>
            <w:tcW w:w="1263" w:type="dxa"/>
            <w:shd w:val="clear" w:color="auto" w:fill="9CC2E5" w:themeFill="accent1" w:themeFillTint="99"/>
            <w:vAlign w:val="center"/>
            <w:hideMark/>
          </w:tcPr>
          <w:p w14:paraId="3666F688" w14:textId="77777777" w:rsidR="00A92A69" w:rsidRPr="00D90234" w:rsidRDefault="00A92A69" w:rsidP="00A92A69">
            <w:pPr>
              <w:spacing w:after="0" w:line="240" w:lineRule="auto"/>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rolnicy/ małżonkowie rolników</w:t>
            </w:r>
          </w:p>
        </w:tc>
        <w:tc>
          <w:tcPr>
            <w:tcW w:w="1118" w:type="dxa"/>
            <w:shd w:val="clear" w:color="auto" w:fill="9CC2E5" w:themeFill="accent1" w:themeFillTint="99"/>
            <w:vAlign w:val="center"/>
            <w:hideMark/>
          </w:tcPr>
          <w:p w14:paraId="270C7F2C"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domownicy</w:t>
            </w:r>
          </w:p>
        </w:tc>
        <w:tc>
          <w:tcPr>
            <w:tcW w:w="1229" w:type="dxa"/>
            <w:shd w:val="clear" w:color="auto" w:fill="9CC2E5" w:themeFill="accent1" w:themeFillTint="99"/>
            <w:vAlign w:val="center"/>
            <w:hideMark/>
          </w:tcPr>
          <w:p w14:paraId="25778491"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ubezpieczeni na kontach podmiotów *</w:t>
            </w:r>
          </w:p>
        </w:tc>
        <w:tc>
          <w:tcPr>
            <w:tcW w:w="1107" w:type="dxa"/>
            <w:shd w:val="clear" w:color="auto" w:fill="9CC2E5" w:themeFill="accent1" w:themeFillTint="99"/>
            <w:vAlign w:val="center"/>
            <w:hideMark/>
          </w:tcPr>
          <w:p w14:paraId="75257063"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pomocnicy rolników**</w:t>
            </w:r>
          </w:p>
        </w:tc>
      </w:tr>
      <w:tr w:rsidR="00A92A69" w:rsidRPr="00D90234" w14:paraId="457EF05C" w14:textId="77777777" w:rsidTr="00A92A69">
        <w:trPr>
          <w:trHeight w:val="240"/>
          <w:jc w:val="center"/>
        </w:trPr>
        <w:tc>
          <w:tcPr>
            <w:tcW w:w="413" w:type="dxa"/>
            <w:shd w:val="clear" w:color="auto" w:fill="9CC2E5" w:themeFill="accent1" w:themeFillTint="99"/>
            <w:vAlign w:val="center"/>
            <w:hideMark/>
          </w:tcPr>
          <w:p w14:paraId="4000FFB9"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w:t>
            </w:r>
          </w:p>
        </w:tc>
        <w:tc>
          <w:tcPr>
            <w:tcW w:w="690" w:type="dxa"/>
            <w:shd w:val="clear" w:color="auto" w:fill="auto"/>
            <w:vAlign w:val="center"/>
            <w:hideMark/>
          </w:tcPr>
          <w:p w14:paraId="015F24E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w:t>
            </w:r>
          </w:p>
        </w:tc>
        <w:tc>
          <w:tcPr>
            <w:tcW w:w="596" w:type="dxa"/>
            <w:shd w:val="clear" w:color="auto" w:fill="auto"/>
            <w:vAlign w:val="center"/>
            <w:hideMark/>
          </w:tcPr>
          <w:p w14:paraId="3A16F9A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263" w:type="dxa"/>
            <w:shd w:val="clear" w:color="auto" w:fill="auto"/>
            <w:vAlign w:val="center"/>
            <w:hideMark/>
          </w:tcPr>
          <w:p w14:paraId="1E741F5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w:t>
            </w:r>
          </w:p>
        </w:tc>
        <w:tc>
          <w:tcPr>
            <w:tcW w:w="1118" w:type="dxa"/>
            <w:shd w:val="clear" w:color="auto" w:fill="auto"/>
            <w:vAlign w:val="center"/>
            <w:hideMark/>
          </w:tcPr>
          <w:p w14:paraId="67E2F6D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w:t>
            </w:r>
          </w:p>
        </w:tc>
        <w:tc>
          <w:tcPr>
            <w:tcW w:w="1229" w:type="dxa"/>
            <w:shd w:val="clear" w:color="auto" w:fill="auto"/>
            <w:vAlign w:val="center"/>
            <w:hideMark/>
          </w:tcPr>
          <w:p w14:paraId="0925673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w:t>
            </w:r>
          </w:p>
        </w:tc>
        <w:tc>
          <w:tcPr>
            <w:tcW w:w="1107" w:type="dxa"/>
            <w:shd w:val="clear" w:color="auto" w:fill="auto"/>
            <w:vAlign w:val="center"/>
            <w:hideMark/>
          </w:tcPr>
          <w:p w14:paraId="7AF53DC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w:t>
            </w:r>
          </w:p>
        </w:tc>
        <w:tc>
          <w:tcPr>
            <w:tcW w:w="1263" w:type="dxa"/>
            <w:shd w:val="clear" w:color="auto" w:fill="auto"/>
            <w:vAlign w:val="center"/>
            <w:hideMark/>
          </w:tcPr>
          <w:p w14:paraId="2D511B1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w:t>
            </w:r>
          </w:p>
        </w:tc>
        <w:tc>
          <w:tcPr>
            <w:tcW w:w="1118" w:type="dxa"/>
            <w:shd w:val="clear" w:color="auto" w:fill="auto"/>
            <w:vAlign w:val="center"/>
            <w:hideMark/>
          </w:tcPr>
          <w:p w14:paraId="1B88588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9</w:t>
            </w:r>
          </w:p>
        </w:tc>
        <w:tc>
          <w:tcPr>
            <w:tcW w:w="1229" w:type="dxa"/>
            <w:shd w:val="clear" w:color="auto" w:fill="auto"/>
            <w:vAlign w:val="center"/>
            <w:hideMark/>
          </w:tcPr>
          <w:p w14:paraId="58B92ED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10</w:t>
            </w:r>
          </w:p>
        </w:tc>
        <w:tc>
          <w:tcPr>
            <w:tcW w:w="1107" w:type="dxa"/>
            <w:shd w:val="clear" w:color="auto" w:fill="auto"/>
            <w:vAlign w:val="center"/>
            <w:hideMark/>
          </w:tcPr>
          <w:p w14:paraId="5346313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11</w:t>
            </w:r>
          </w:p>
        </w:tc>
        <w:tc>
          <w:tcPr>
            <w:tcW w:w="1263" w:type="dxa"/>
            <w:shd w:val="clear" w:color="auto" w:fill="auto"/>
            <w:vAlign w:val="center"/>
            <w:hideMark/>
          </w:tcPr>
          <w:p w14:paraId="46D9E4CA"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12</w:t>
            </w:r>
          </w:p>
        </w:tc>
        <w:tc>
          <w:tcPr>
            <w:tcW w:w="1118" w:type="dxa"/>
            <w:shd w:val="clear" w:color="auto" w:fill="auto"/>
            <w:vAlign w:val="center"/>
            <w:hideMark/>
          </w:tcPr>
          <w:p w14:paraId="302AF7D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13</w:t>
            </w:r>
          </w:p>
        </w:tc>
        <w:tc>
          <w:tcPr>
            <w:tcW w:w="1229" w:type="dxa"/>
            <w:shd w:val="clear" w:color="auto" w:fill="auto"/>
            <w:vAlign w:val="center"/>
            <w:hideMark/>
          </w:tcPr>
          <w:p w14:paraId="7B73DB5B"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14</w:t>
            </w:r>
          </w:p>
        </w:tc>
        <w:tc>
          <w:tcPr>
            <w:tcW w:w="1107" w:type="dxa"/>
            <w:shd w:val="clear" w:color="auto" w:fill="auto"/>
            <w:vAlign w:val="center"/>
            <w:hideMark/>
          </w:tcPr>
          <w:p w14:paraId="26B33EDA"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15</w:t>
            </w:r>
          </w:p>
        </w:tc>
      </w:tr>
      <w:tr w:rsidR="00A92A69" w:rsidRPr="00D90234" w14:paraId="55D6281D" w14:textId="77777777" w:rsidTr="00A92A69">
        <w:trPr>
          <w:trHeight w:val="319"/>
          <w:jc w:val="center"/>
        </w:trPr>
        <w:tc>
          <w:tcPr>
            <w:tcW w:w="413" w:type="dxa"/>
            <w:shd w:val="clear" w:color="auto" w:fill="9CC2E5" w:themeFill="accent1" w:themeFillTint="99"/>
            <w:vAlign w:val="center"/>
            <w:hideMark/>
          </w:tcPr>
          <w:p w14:paraId="31D7D7FC"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w:t>
            </w:r>
          </w:p>
        </w:tc>
        <w:tc>
          <w:tcPr>
            <w:tcW w:w="690" w:type="dxa"/>
            <w:shd w:val="clear" w:color="auto" w:fill="auto"/>
            <w:vAlign w:val="center"/>
            <w:hideMark/>
          </w:tcPr>
          <w:p w14:paraId="40859AD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1928</w:t>
            </w:r>
          </w:p>
        </w:tc>
        <w:tc>
          <w:tcPr>
            <w:tcW w:w="596" w:type="dxa"/>
            <w:shd w:val="clear" w:color="auto" w:fill="auto"/>
            <w:vAlign w:val="center"/>
            <w:hideMark/>
          </w:tcPr>
          <w:p w14:paraId="6092F297"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91</w:t>
            </w:r>
          </w:p>
        </w:tc>
        <w:tc>
          <w:tcPr>
            <w:tcW w:w="1263" w:type="dxa"/>
            <w:shd w:val="clear" w:color="auto" w:fill="auto"/>
            <w:vAlign w:val="center"/>
            <w:hideMark/>
          </w:tcPr>
          <w:p w14:paraId="007170B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118" w:type="dxa"/>
            <w:shd w:val="clear" w:color="auto" w:fill="auto"/>
            <w:vAlign w:val="center"/>
            <w:hideMark/>
          </w:tcPr>
          <w:p w14:paraId="1AFCBDA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29" w:type="dxa"/>
            <w:shd w:val="clear" w:color="auto" w:fill="auto"/>
            <w:vAlign w:val="center"/>
            <w:hideMark/>
          </w:tcPr>
          <w:p w14:paraId="6D04352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5776F0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61EAF93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118" w:type="dxa"/>
            <w:shd w:val="clear" w:color="auto" w:fill="auto"/>
            <w:vAlign w:val="center"/>
            <w:hideMark/>
          </w:tcPr>
          <w:p w14:paraId="0E68A4FB"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29" w:type="dxa"/>
            <w:shd w:val="clear" w:color="auto" w:fill="auto"/>
            <w:vAlign w:val="center"/>
            <w:hideMark/>
          </w:tcPr>
          <w:p w14:paraId="5F8DE26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133BCF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18E471D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18" w:type="dxa"/>
            <w:shd w:val="clear" w:color="auto" w:fill="auto"/>
            <w:vAlign w:val="center"/>
            <w:hideMark/>
          </w:tcPr>
          <w:p w14:paraId="0EF054D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29" w:type="dxa"/>
            <w:shd w:val="clear" w:color="auto" w:fill="auto"/>
            <w:vAlign w:val="center"/>
            <w:hideMark/>
          </w:tcPr>
          <w:p w14:paraId="34F2BE9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F86EA4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0B93227A" w14:textId="77777777" w:rsidTr="00A92A69">
        <w:trPr>
          <w:trHeight w:val="319"/>
          <w:jc w:val="center"/>
        </w:trPr>
        <w:tc>
          <w:tcPr>
            <w:tcW w:w="413" w:type="dxa"/>
            <w:shd w:val="clear" w:color="auto" w:fill="9CC2E5" w:themeFill="accent1" w:themeFillTint="99"/>
            <w:vAlign w:val="center"/>
            <w:hideMark/>
          </w:tcPr>
          <w:p w14:paraId="13CDD294"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2</w:t>
            </w:r>
          </w:p>
        </w:tc>
        <w:tc>
          <w:tcPr>
            <w:tcW w:w="690" w:type="dxa"/>
            <w:shd w:val="clear" w:color="auto" w:fill="auto"/>
            <w:vAlign w:val="center"/>
            <w:hideMark/>
          </w:tcPr>
          <w:p w14:paraId="5A143CC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1929</w:t>
            </w:r>
          </w:p>
        </w:tc>
        <w:tc>
          <w:tcPr>
            <w:tcW w:w="596" w:type="dxa"/>
            <w:shd w:val="clear" w:color="auto" w:fill="auto"/>
            <w:vAlign w:val="center"/>
            <w:hideMark/>
          </w:tcPr>
          <w:p w14:paraId="556C5CE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90</w:t>
            </w:r>
          </w:p>
        </w:tc>
        <w:tc>
          <w:tcPr>
            <w:tcW w:w="1263" w:type="dxa"/>
            <w:shd w:val="clear" w:color="auto" w:fill="auto"/>
            <w:vAlign w:val="center"/>
            <w:hideMark/>
          </w:tcPr>
          <w:p w14:paraId="393610F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118" w:type="dxa"/>
            <w:shd w:val="clear" w:color="auto" w:fill="auto"/>
            <w:vAlign w:val="center"/>
            <w:hideMark/>
          </w:tcPr>
          <w:p w14:paraId="6A35D34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29" w:type="dxa"/>
            <w:shd w:val="clear" w:color="auto" w:fill="auto"/>
            <w:vAlign w:val="center"/>
            <w:hideMark/>
          </w:tcPr>
          <w:p w14:paraId="2DF66AA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166AD8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3B1B457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18" w:type="dxa"/>
            <w:shd w:val="clear" w:color="auto" w:fill="auto"/>
            <w:vAlign w:val="center"/>
            <w:hideMark/>
          </w:tcPr>
          <w:p w14:paraId="2043EB8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29" w:type="dxa"/>
            <w:shd w:val="clear" w:color="auto" w:fill="auto"/>
            <w:vAlign w:val="center"/>
            <w:hideMark/>
          </w:tcPr>
          <w:p w14:paraId="68AE531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02B7293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47B43CB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118" w:type="dxa"/>
            <w:shd w:val="clear" w:color="auto" w:fill="auto"/>
            <w:vAlign w:val="center"/>
            <w:hideMark/>
          </w:tcPr>
          <w:p w14:paraId="6889A18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29" w:type="dxa"/>
            <w:shd w:val="clear" w:color="auto" w:fill="auto"/>
            <w:vAlign w:val="center"/>
            <w:hideMark/>
          </w:tcPr>
          <w:p w14:paraId="03079F1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66F6C1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2B73BB76" w14:textId="77777777" w:rsidTr="00A92A69">
        <w:trPr>
          <w:trHeight w:val="319"/>
          <w:jc w:val="center"/>
        </w:trPr>
        <w:tc>
          <w:tcPr>
            <w:tcW w:w="413" w:type="dxa"/>
            <w:shd w:val="clear" w:color="auto" w:fill="9CC2E5" w:themeFill="accent1" w:themeFillTint="99"/>
            <w:vAlign w:val="center"/>
            <w:hideMark/>
          </w:tcPr>
          <w:p w14:paraId="269E648F"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3</w:t>
            </w:r>
          </w:p>
        </w:tc>
        <w:tc>
          <w:tcPr>
            <w:tcW w:w="690" w:type="dxa"/>
            <w:shd w:val="clear" w:color="auto" w:fill="auto"/>
            <w:vAlign w:val="center"/>
            <w:hideMark/>
          </w:tcPr>
          <w:p w14:paraId="25848B4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1931</w:t>
            </w:r>
          </w:p>
        </w:tc>
        <w:tc>
          <w:tcPr>
            <w:tcW w:w="596" w:type="dxa"/>
            <w:shd w:val="clear" w:color="auto" w:fill="auto"/>
            <w:vAlign w:val="center"/>
            <w:hideMark/>
          </w:tcPr>
          <w:p w14:paraId="68E10281"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88</w:t>
            </w:r>
          </w:p>
        </w:tc>
        <w:tc>
          <w:tcPr>
            <w:tcW w:w="1263" w:type="dxa"/>
            <w:shd w:val="clear" w:color="auto" w:fill="auto"/>
            <w:vAlign w:val="center"/>
            <w:hideMark/>
          </w:tcPr>
          <w:p w14:paraId="1B2A008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w:t>
            </w:r>
          </w:p>
        </w:tc>
        <w:tc>
          <w:tcPr>
            <w:tcW w:w="1118" w:type="dxa"/>
            <w:shd w:val="clear" w:color="auto" w:fill="auto"/>
            <w:vAlign w:val="center"/>
            <w:hideMark/>
          </w:tcPr>
          <w:p w14:paraId="356329F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29" w:type="dxa"/>
            <w:shd w:val="clear" w:color="auto" w:fill="auto"/>
            <w:vAlign w:val="center"/>
            <w:hideMark/>
          </w:tcPr>
          <w:p w14:paraId="384CAF6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0F3079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36773CF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w:t>
            </w:r>
          </w:p>
        </w:tc>
        <w:tc>
          <w:tcPr>
            <w:tcW w:w="1118" w:type="dxa"/>
            <w:shd w:val="clear" w:color="auto" w:fill="auto"/>
            <w:vAlign w:val="center"/>
            <w:hideMark/>
          </w:tcPr>
          <w:p w14:paraId="176BAFF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29" w:type="dxa"/>
            <w:shd w:val="clear" w:color="auto" w:fill="auto"/>
            <w:vAlign w:val="center"/>
            <w:hideMark/>
          </w:tcPr>
          <w:p w14:paraId="194A92D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CEF079C"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5903C18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118" w:type="dxa"/>
            <w:shd w:val="clear" w:color="auto" w:fill="auto"/>
            <w:vAlign w:val="center"/>
            <w:hideMark/>
          </w:tcPr>
          <w:p w14:paraId="0024AB1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29" w:type="dxa"/>
            <w:shd w:val="clear" w:color="auto" w:fill="auto"/>
            <w:vAlign w:val="center"/>
            <w:hideMark/>
          </w:tcPr>
          <w:p w14:paraId="19C56B8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45BAD46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62CAE44D" w14:textId="77777777" w:rsidTr="00A92A69">
        <w:trPr>
          <w:trHeight w:val="319"/>
          <w:jc w:val="center"/>
        </w:trPr>
        <w:tc>
          <w:tcPr>
            <w:tcW w:w="413" w:type="dxa"/>
            <w:shd w:val="clear" w:color="auto" w:fill="9CC2E5" w:themeFill="accent1" w:themeFillTint="99"/>
            <w:vAlign w:val="center"/>
            <w:hideMark/>
          </w:tcPr>
          <w:p w14:paraId="11EB5877"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4</w:t>
            </w:r>
          </w:p>
        </w:tc>
        <w:tc>
          <w:tcPr>
            <w:tcW w:w="690" w:type="dxa"/>
            <w:shd w:val="clear" w:color="auto" w:fill="auto"/>
            <w:vAlign w:val="center"/>
            <w:hideMark/>
          </w:tcPr>
          <w:p w14:paraId="0CAD825C"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1932</w:t>
            </w:r>
          </w:p>
        </w:tc>
        <w:tc>
          <w:tcPr>
            <w:tcW w:w="596" w:type="dxa"/>
            <w:shd w:val="clear" w:color="auto" w:fill="auto"/>
            <w:vAlign w:val="center"/>
            <w:hideMark/>
          </w:tcPr>
          <w:p w14:paraId="776EAE9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87</w:t>
            </w:r>
          </w:p>
        </w:tc>
        <w:tc>
          <w:tcPr>
            <w:tcW w:w="1263" w:type="dxa"/>
            <w:shd w:val="clear" w:color="auto" w:fill="auto"/>
            <w:vAlign w:val="center"/>
            <w:hideMark/>
          </w:tcPr>
          <w:p w14:paraId="6C2C559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w:t>
            </w:r>
          </w:p>
        </w:tc>
        <w:tc>
          <w:tcPr>
            <w:tcW w:w="1118" w:type="dxa"/>
            <w:shd w:val="clear" w:color="auto" w:fill="auto"/>
            <w:vAlign w:val="center"/>
            <w:hideMark/>
          </w:tcPr>
          <w:p w14:paraId="7BDC0BAB"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w:t>
            </w:r>
          </w:p>
        </w:tc>
        <w:tc>
          <w:tcPr>
            <w:tcW w:w="1229" w:type="dxa"/>
            <w:shd w:val="clear" w:color="auto" w:fill="auto"/>
            <w:vAlign w:val="center"/>
            <w:hideMark/>
          </w:tcPr>
          <w:p w14:paraId="43B8978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1B9A125A"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00BEC74A"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118" w:type="dxa"/>
            <w:shd w:val="clear" w:color="auto" w:fill="auto"/>
            <w:vAlign w:val="center"/>
            <w:hideMark/>
          </w:tcPr>
          <w:p w14:paraId="31F0050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29" w:type="dxa"/>
            <w:shd w:val="clear" w:color="auto" w:fill="auto"/>
            <w:vAlign w:val="center"/>
            <w:hideMark/>
          </w:tcPr>
          <w:p w14:paraId="5FFD984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1EC81D7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7E1E766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118" w:type="dxa"/>
            <w:shd w:val="clear" w:color="auto" w:fill="auto"/>
            <w:vAlign w:val="center"/>
            <w:hideMark/>
          </w:tcPr>
          <w:p w14:paraId="71B04A8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229" w:type="dxa"/>
            <w:shd w:val="clear" w:color="auto" w:fill="auto"/>
            <w:vAlign w:val="center"/>
            <w:hideMark/>
          </w:tcPr>
          <w:p w14:paraId="13279DB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1DA67BE"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0E39FBC7" w14:textId="77777777" w:rsidTr="00A92A69">
        <w:trPr>
          <w:trHeight w:val="319"/>
          <w:jc w:val="center"/>
        </w:trPr>
        <w:tc>
          <w:tcPr>
            <w:tcW w:w="413" w:type="dxa"/>
            <w:shd w:val="clear" w:color="auto" w:fill="9CC2E5" w:themeFill="accent1" w:themeFillTint="99"/>
            <w:vAlign w:val="center"/>
            <w:hideMark/>
          </w:tcPr>
          <w:p w14:paraId="1CA5369E"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5</w:t>
            </w:r>
          </w:p>
        </w:tc>
        <w:tc>
          <w:tcPr>
            <w:tcW w:w="690" w:type="dxa"/>
            <w:shd w:val="clear" w:color="auto" w:fill="auto"/>
            <w:vAlign w:val="center"/>
            <w:hideMark/>
          </w:tcPr>
          <w:p w14:paraId="092CFA4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1933</w:t>
            </w:r>
          </w:p>
        </w:tc>
        <w:tc>
          <w:tcPr>
            <w:tcW w:w="596" w:type="dxa"/>
            <w:shd w:val="clear" w:color="auto" w:fill="auto"/>
            <w:vAlign w:val="center"/>
            <w:hideMark/>
          </w:tcPr>
          <w:p w14:paraId="1D8B50F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86</w:t>
            </w:r>
          </w:p>
        </w:tc>
        <w:tc>
          <w:tcPr>
            <w:tcW w:w="1263" w:type="dxa"/>
            <w:shd w:val="clear" w:color="auto" w:fill="auto"/>
            <w:vAlign w:val="center"/>
            <w:hideMark/>
          </w:tcPr>
          <w:p w14:paraId="04ACCF6C"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w:t>
            </w:r>
          </w:p>
        </w:tc>
        <w:tc>
          <w:tcPr>
            <w:tcW w:w="1118" w:type="dxa"/>
            <w:shd w:val="clear" w:color="auto" w:fill="auto"/>
            <w:vAlign w:val="center"/>
            <w:hideMark/>
          </w:tcPr>
          <w:p w14:paraId="749E199A"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w:t>
            </w:r>
          </w:p>
        </w:tc>
        <w:tc>
          <w:tcPr>
            <w:tcW w:w="1229" w:type="dxa"/>
            <w:shd w:val="clear" w:color="auto" w:fill="auto"/>
            <w:vAlign w:val="center"/>
            <w:hideMark/>
          </w:tcPr>
          <w:p w14:paraId="7049321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4312793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36C1E28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w:t>
            </w:r>
          </w:p>
        </w:tc>
        <w:tc>
          <w:tcPr>
            <w:tcW w:w="1118" w:type="dxa"/>
            <w:shd w:val="clear" w:color="auto" w:fill="auto"/>
            <w:vAlign w:val="center"/>
            <w:hideMark/>
          </w:tcPr>
          <w:p w14:paraId="471BB52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229" w:type="dxa"/>
            <w:shd w:val="clear" w:color="auto" w:fill="auto"/>
            <w:vAlign w:val="center"/>
            <w:hideMark/>
          </w:tcPr>
          <w:p w14:paraId="0D0057EE"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13A0DF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0B379C8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18" w:type="dxa"/>
            <w:shd w:val="clear" w:color="auto" w:fill="auto"/>
            <w:vAlign w:val="center"/>
            <w:hideMark/>
          </w:tcPr>
          <w:p w14:paraId="6F7C6C9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229" w:type="dxa"/>
            <w:shd w:val="clear" w:color="auto" w:fill="auto"/>
            <w:vAlign w:val="center"/>
            <w:hideMark/>
          </w:tcPr>
          <w:p w14:paraId="135EA14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305D816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2576F7E1" w14:textId="77777777" w:rsidTr="00A92A69">
        <w:trPr>
          <w:trHeight w:val="319"/>
          <w:jc w:val="center"/>
        </w:trPr>
        <w:tc>
          <w:tcPr>
            <w:tcW w:w="413" w:type="dxa"/>
            <w:shd w:val="clear" w:color="auto" w:fill="9CC2E5" w:themeFill="accent1" w:themeFillTint="99"/>
            <w:vAlign w:val="center"/>
            <w:hideMark/>
          </w:tcPr>
          <w:p w14:paraId="617CACF9"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6</w:t>
            </w:r>
          </w:p>
        </w:tc>
        <w:tc>
          <w:tcPr>
            <w:tcW w:w="690" w:type="dxa"/>
            <w:shd w:val="clear" w:color="auto" w:fill="auto"/>
            <w:vAlign w:val="center"/>
            <w:hideMark/>
          </w:tcPr>
          <w:p w14:paraId="0704C8B1"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1934</w:t>
            </w:r>
          </w:p>
        </w:tc>
        <w:tc>
          <w:tcPr>
            <w:tcW w:w="596" w:type="dxa"/>
            <w:shd w:val="clear" w:color="auto" w:fill="auto"/>
            <w:vAlign w:val="center"/>
            <w:hideMark/>
          </w:tcPr>
          <w:p w14:paraId="5D93E7EB"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85</w:t>
            </w:r>
          </w:p>
        </w:tc>
        <w:tc>
          <w:tcPr>
            <w:tcW w:w="1263" w:type="dxa"/>
            <w:shd w:val="clear" w:color="auto" w:fill="auto"/>
            <w:vAlign w:val="center"/>
            <w:hideMark/>
          </w:tcPr>
          <w:p w14:paraId="0E35165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118" w:type="dxa"/>
            <w:shd w:val="clear" w:color="auto" w:fill="auto"/>
            <w:vAlign w:val="center"/>
            <w:hideMark/>
          </w:tcPr>
          <w:p w14:paraId="25A7A82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w:t>
            </w:r>
          </w:p>
        </w:tc>
        <w:tc>
          <w:tcPr>
            <w:tcW w:w="1229" w:type="dxa"/>
            <w:shd w:val="clear" w:color="auto" w:fill="auto"/>
            <w:vAlign w:val="center"/>
            <w:hideMark/>
          </w:tcPr>
          <w:p w14:paraId="2BEACD1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9CBAF6B"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46158C9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118" w:type="dxa"/>
            <w:shd w:val="clear" w:color="auto" w:fill="auto"/>
            <w:vAlign w:val="center"/>
            <w:hideMark/>
          </w:tcPr>
          <w:p w14:paraId="43BE515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29" w:type="dxa"/>
            <w:shd w:val="clear" w:color="auto" w:fill="auto"/>
            <w:vAlign w:val="center"/>
            <w:hideMark/>
          </w:tcPr>
          <w:p w14:paraId="77437F6C"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37C45F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019639E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18" w:type="dxa"/>
            <w:shd w:val="clear" w:color="auto" w:fill="auto"/>
            <w:vAlign w:val="center"/>
            <w:hideMark/>
          </w:tcPr>
          <w:p w14:paraId="7B382CE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w:t>
            </w:r>
          </w:p>
        </w:tc>
        <w:tc>
          <w:tcPr>
            <w:tcW w:w="1229" w:type="dxa"/>
            <w:shd w:val="clear" w:color="auto" w:fill="auto"/>
            <w:vAlign w:val="center"/>
            <w:hideMark/>
          </w:tcPr>
          <w:p w14:paraId="351F9FE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1945CA8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0DA8881D" w14:textId="77777777" w:rsidTr="00A92A69">
        <w:trPr>
          <w:trHeight w:val="319"/>
          <w:jc w:val="center"/>
        </w:trPr>
        <w:tc>
          <w:tcPr>
            <w:tcW w:w="413" w:type="dxa"/>
            <w:shd w:val="clear" w:color="auto" w:fill="9CC2E5" w:themeFill="accent1" w:themeFillTint="99"/>
            <w:vAlign w:val="center"/>
            <w:hideMark/>
          </w:tcPr>
          <w:p w14:paraId="601048FB"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7</w:t>
            </w:r>
          </w:p>
        </w:tc>
        <w:tc>
          <w:tcPr>
            <w:tcW w:w="690" w:type="dxa"/>
            <w:shd w:val="clear" w:color="auto" w:fill="auto"/>
            <w:vAlign w:val="center"/>
            <w:hideMark/>
          </w:tcPr>
          <w:p w14:paraId="6BCCA1A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1935</w:t>
            </w:r>
          </w:p>
        </w:tc>
        <w:tc>
          <w:tcPr>
            <w:tcW w:w="596" w:type="dxa"/>
            <w:shd w:val="clear" w:color="auto" w:fill="auto"/>
            <w:vAlign w:val="center"/>
            <w:hideMark/>
          </w:tcPr>
          <w:p w14:paraId="2462165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84</w:t>
            </w:r>
          </w:p>
        </w:tc>
        <w:tc>
          <w:tcPr>
            <w:tcW w:w="1263" w:type="dxa"/>
            <w:shd w:val="clear" w:color="auto" w:fill="auto"/>
            <w:vAlign w:val="center"/>
            <w:hideMark/>
          </w:tcPr>
          <w:p w14:paraId="61FF50D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12</w:t>
            </w:r>
          </w:p>
        </w:tc>
        <w:tc>
          <w:tcPr>
            <w:tcW w:w="1118" w:type="dxa"/>
            <w:shd w:val="clear" w:color="auto" w:fill="auto"/>
            <w:vAlign w:val="center"/>
            <w:hideMark/>
          </w:tcPr>
          <w:p w14:paraId="1ACCDDB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w:t>
            </w:r>
          </w:p>
        </w:tc>
        <w:tc>
          <w:tcPr>
            <w:tcW w:w="1229" w:type="dxa"/>
            <w:shd w:val="clear" w:color="auto" w:fill="auto"/>
            <w:vAlign w:val="center"/>
            <w:hideMark/>
          </w:tcPr>
          <w:p w14:paraId="40616867"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3EF0B7C"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34988C9C"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w:t>
            </w:r>
          </w:p>
        </w:tc>
        <w:tc>
          <w:tcPr>
            <w:tcW w:w="1118" w:type="dxa"/>
            <w:shd w:val="clear" w:color="auto" w:fill="auto"/>
            <w:vAlign w:val="center"/>
            <w:hideMark/>
          </w:tcPr>
          <w:p w14:paraId="5B56FA3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229" w:type="dxa"/>
            <w:shd w:val="clear" w:color="auto" w:fill="auto"/>
            <w:vAlign w:val="center"/>
            <w:hideMark/>
          </w:tcPr>
          <w:p w14:paraId="32C8E22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F98960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7BC1978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w:t>
            </w:r>
          </w:p>
        </w:tc>
        <w:tc>
          <w:tcPr>
            <w:tcW w:w="1118" w:type="dxa"/>
            <w:shd w:val="clear" w:color="auto" w:fill="auto"/>
            <w:vAlign w:val="center"/>
            <w:hideMark/>
          </w:tcPr>
          <w:p w14:paraId="4CDE632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229" w:type="dxa"/>
            <w:shd w:val="clear" w:color="auto" w:fill="auto"/>
            <w:vAlign w:val="center"/>
            <w:hideMark/>
          </w:tcPr>
          <w:p w14:paraId="0A8F35B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330CD08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39F1E62E" w14:textId="77777777" w:rsidTr="00A92A69">
        <w:trPr>
          <w:trHeight w:val="319"/>
          <w:jc w:val="center"/>
        </w:trPr>
        <w:tc>
          <w:tcPr>
            <w:tcW w:w="413" w:type="dxa"/>
            <w:shd w:val="clear" w:color="auto" w:fill="9CC2E5" w:themeFill="accent1" w:themeFillTint="99"/>
            <w:vAlign w:val="center"/>
            <w:hideMark/>
          </w:tcPr>
          <w:p w14:paraId="157A7570"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8</w:t>
            </w:r>
          </w:p>
        </w:tc>
        <w:tc>
          <w:tcPr>
            <w:tcW w:w="690" w:type="dxa"/>
            <w:shd w:val="clear" w:color="auto" w:fill="auto"/>
            <w:vAlign w:val="center"/>
            <w:hideMark/>
          </w:tcPr>
          <w:p w14:paraId="15F8064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1936</w:t>
            </w:r>
          </w:p>
        </w:tc>
        <w:tc>
          <w:tcPr>
            <w:tcW w:w="596" w:type="dxa"/>
            <w:shd w:val="clear" w:color="auto" w:fill="auto"/>
            <w:vAlign w:val="center"/>
            <w:hideMark/>
          </w:tcPr>
          <w:p w14:paraId="6716B62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83</w:t>
            </w:r>
          </w:p>
        </w:tc>
        <w:tc>
          <w:tcPr>
            <w:tcW w:w="1263" w:type="dxa"/>
            <w:shd w:val="clear" w:color="auto" w:fill="auto"/>
            <w:vAlign w:val="center"/>
            <w:hideMark/>
          </w:tcPr>
          <w:p w14:paraId="6D56CB8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14</w:t>
            </w:r>
          </w:p>
        </w:tc>
        <w:tc>
          <w:tcPr>
            <w:tcW w:w="1118" w:type="dxa"/>
            <w:shd w:val="clear" w:color="auto" w:fill="auto"/>
            <w:vAlign w:val="center"/>
            <w:hideMark/>
          </w:tcPr>
          <w:p w14:paraId="35CA362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11</w:t>
            </w:r>
          </w:p>
        </w:tc>
        <w:tc>
          <w:tcPr>
            <w:tcW w:w="1229" w:type="dxa"/>
            <w:shd w:val="clear" w:color="auto" w:fill="auto"/>
            <w:vAlign w:val="center"/>
            <w:hideMark/>
          </w:tcPr>
          <w:p w14:paraId="298C872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0F29CF3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51FF47F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w:t>
            </w:r>
          </w:p>
        </w:tc>
        <w:tc>
          <w:tcPr>
            <w:tcW w:w="1118" w:type="dxa"/>
            <w:shd w:val="clear" w:color="auto" w:fill="auto"/>
            <w:vAlign w:val="center"/>
            <w:hideMark/>
          </w:tcPr>
          <w:p w14:paraId="4978F0E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229" w:type="dxa"/>
            <w:shd w:val="clear" w:color="auto" w:fill="auto"/>
            <w:vAlign w:val="center"/>
            <w:hideMark/>
          </w:tcPr>
          <w:p w14:paraId="3FBD9DE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85FD9F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403AEA1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w:t>
            </w:r>
          </w:p>
        </w:tc>
        <w:tc>
          <w:tcPr>
            <w:tcW w:w="1118" w:type="dxa"/>
            <w:shd w:val="clear" w:color="auto" w:fill="auto"/>
            <w:vAlign w:val="center"/>
            <w:hideMark/>
          </w:tcPr>
          <w:p w14:paraId="2F3482F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w:t>
            </w:r>
          </w:p>
        </w:tc>
        <w:tc>
          <w:tcPr>
            <w:tcW w:w="1229" w:type="dxa"/>
            <w:shd w:val="clear" w:color="auto" w:fill="auto"/>
            <w:vAlign w:val="center"/>
            <w:hideMark/>
          </w:tcPr>
          <w:p w14:paraId="0C9170E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42A4738E"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65509EC7" w14:textId="77777777" w:rsidTr="00A92A69">
        <w:trPr>
          <w:trHeight w:val="319"/>
          <w:jc w:val="center"/>
        </w:trPr>
        <w:tc>
          <w:tcPr>
            <w:tcW w:w="413" w:type="dxa"/>
            <w:shd w:val="clear" w:color="auto" w:fill="9CC2E5" w:themeFill="accent1" w:themeFillTint="99"/>
            <w:vAlign w:val="center"/>
            <w:hideMark/>
          </w:tcPr>
          <w:p w14:paraId="10183327"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9</w:t>
            </w:r>
          </w:p>
        </w:tc>
        <w:tc>
          <w:tcPr>
            <w:tcW w:w="690" w:type="dxa"/>
            <w:shd w:val="clear" w:color="auto" w:fill="auto"/>
            <w:vAlign w:val="center"/>
            <w:hideMark/>
          </w:tcPr>
          <w:p w14:paraId="0B6F1AB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1937</w:t>
            </w:r>
          </w:p>
        </w:tc>
        <w:tc>
          <w:tcPr>
            <w:tcW w:w="596" w:type="dxa"/>
            <w:shd w:val="clear" w:color="auto" w:fill="auto"/>
            <w:vAlign w:val="center"/>
            <w:hideMark/>
          </w:tcPr>
          <w:p w14:paraId="406187A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82</w:t>
            </w:r>
          </w:p>
        </w:tc>
        <w:tc>
          <w:tcPr>
            <w:tcW w:w="1263" w:type="dxa"/>
            <w:shd w:val="clear" w:color="auto" w:fill="auto"/>
            <w:vAlign w:val="center"/>
            <w:hideMark/>
          </w:tcPr>
          <w:p w14:paraId="789DAD9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16</w:t>
            </w:r>
          </w:p>
        </w:tc>
        <w:tc>
          <w:tcPr>
            <w:tcW w:w="1118" w:type="dxa"/>
            <w:shd w:val="clear" w:color="auto" w:fill="auto"/>
            <w:vAlign w:val="center"/>
            <w:hideMark/>
          </w:tcPr>
          <w:p w14:paraId="541A56B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w:t>
            </w:r>
          </w:p>
        </w:tc>
        <w:tc>
          <w:tcPr>
            <w:tcW w:w="1229" w:type="dxa"/>
            <w:shd w:val="clear" w:color="auto" w:fill="auto"/>
            <w:vAlign w:val="center"/>
            <w:hideMark/>
          </w:tcPr>
          <w:p w14:paraId="117DC64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212B9DA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214BFB0B"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w:t>
            </w:r>
          </w:p>
        </w:tc>
        <w:tc>
          <w:tcPr>
            <w:tcW w:w="1118" w:type="dxa"/>
            <w:shd w:val="clear" w:color="auto" w:fill="auto"/>
            <w:vAlign w:val="center"/>
            <w:hideMark/>
          </w:tcPr>
          <w:p w14:paraId="7AEA93A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229" w:type="dxa"/>
            <w:shd w:val="clear" w:color="auto" w:fill="auto"/>
            <w:vAlign w:val="center"/>
            <w:hideMark/>
          </w:tcPr>
          <w:p w14:paraId="142EA85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CFDAAA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0A88FC0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w:t>
            </w:r>
          </w:p>
        </w:tc>
        <w:tc>
          <w:tcPr>
            <w:tcW w:w="1118" w:type="dxa"/>
            <w:shd w:val="clear" w:color="auto" w:fill="auto"/>
            <w:vAlign w:val="center"/>
            <w:hideMark/>
          </w:tcPr>
          <w:p w14:paraId="443A2C5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w:t>
            </w:r>
          </w:p>
        </w:tc>
        <w:tc>
          <w:tcPr>
            <w:tcW w:w="1229" w:type="dxa"/>
            <w:shd w:val="clear" w:color="auto" w:fill="auto"/>
            <w:vAlign w:val="center"/>
            <w:hideMark/>
          </w:tcPr>
          <w:p w14:paraId="06C46A4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382E5A7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12312FCE" w14:textId="77777777" w:rsidTr="00A92A69">
        <w:trPr>
          <w:trHeight w:val="319"/>
          <w:jc w:val="center"/>
        </w:trPr>
        <w:tc>
          <w:tcPr>
            <w:tcW w:w="413" w:type="dxa"/>
            <w:shd w:val="clear" w:color="auto" w:fill="9CC2E5" w:themeFill="accent1" w:themeFillTint="99"/>
            <w:vAlign w:val="center"/>
            <w:hideMark/>
          </w:tcPr>
          <w:p w14:paraId="60E8308D"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10</w:t>
            </w:r>
          </w:p>
        </w:tc>
        <w:tc>
          <w:tcPr>
            <w:tcW w:w="690" w:type="dxa"/>
            <w:shd w:val="clear" w:color="auto" w:fill="auto"/>
            <w:vAlign w:val="center"/>
            <w:hideMark/>
          </w:tcPr>
          <w:p w14:paraId="469B7F8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1938</w:t>
            </w:r>
          </w:p>
        </w:tc>
        <w:tc>
          <w:tcPr>
            <w:tcW w:w="596" w:type="dxa"/>
            <w:shd w:val="clear" w:color="auto" w:fill="auto"/>
            <w:vAlign w:val="center"/>
            <w:hideMark/>
          </w:tcPr>
          <w:p w14:paraId="5677D32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81</w:t>
            </w:r>
          </w:p>
        </w:tc>
        <w:tc>
          <w:tcPr>
            <w:tcW w:w="1263" w:type="dxa"/>
            <w:shd w:val="clear" w:color="auto" w:fill="auto"/>
            <w:vAlign w:val="center"/>
            <w:hideMark/>
          </w:tcPr>
          <w:p w14:paraId="4DED589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22</w:t>
            </w:r>
          </w:p>
        </w:tc>
        <w:tc>
          <w:tcPr>
            <w:tcW w:w="1118" w:type="dxa"/>
            <w:shd w:val="clear" w:color="auto" w:fill="auto"/>
            <w:vAlign w:val="center"/>
            <w:hideMark/>
          </w:tcPr>
          <w:p w14:paraId="256C5A4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16</w:t>
            </w:r>
          </w:p>
        </w:tc>
        <w:tc>
          <w:tcPr>
            <w:tcW w:w="1229" w:type="dxa"/>
            <w:shd w:val="clear" w:color="auto" w:fill="auto"/>
            <w:vAlign w:val="center"/>
            <w:hideMark/>
          </w:tcPr>
          <w:p w14:paraId="48CFD27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7CB2C4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786E66F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18</w:t>
            </w:r>
          </w:p>
        </w:tc>
        <w:tc>
          <w:tcPr>
            <w:tcW w:w="1118" w:type="dxa"/>
            <w:shd w:val="clear" w:color="auto" w:fill="auto"/>
            <w:vAlign w:val="center"/>
            <w:hideMark/>
          </w:tcPr>
          <w:p w14:paraId="3E714DBA"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11</w:t>
            </w:r>
          </w:p>
        </w:tc>
        <w:tc>
          <w:tcPr>
            <w:tcW w:w="1229" w:type="dxa"/>
            <w:shd w:val="clear" w:color="auto" w:fill="auto"/>
            <w:vAlign w:val="center"/>
            <w:hideMark/>
          </w:tcPr>
          <w:p w14:paraId="1BBFA85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22AB092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168AB8F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w:t>
            </w:r>
          </w:p>
        </w:tc>
        <w:tc>
          <w:tcPr>
            <w:tcW w:w="1118" w:type="dxa"/>
            <w:shd w:val="clear" w:color="auto" w:fill="auto"/>
            <w:vAlign w:val="center"/>
            <w:hideMark/>
          </w:tcPr>
          <w:p w14:paraId="62E6C47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w:t>
            </w:r>
          </w:p>
        </w:tc>
        <w:tc>
          <w:tcPr>
            <w:tcW w:w="1229" w:type="dxa"/>
            <w:shd w:val="clear" w:color="auto" w:fill="auto"/>
            <w:vAlign w:val="center"/>
            <w:hideMark/>
          </w:tcPr>
          <w:p w14:paraId="4A0C79F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BB036B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4906FEBA" w14:textId="77777777" w:rsidTr="00A92A69">
        <w:trPr>
          <w:trHeight w:val="319"/>
          <w:jc w:val="center"/>
        </w:trPr>
        <w:tc>
          <w:tcPr>
            <w:tcW w:w="413" w:type="dxa"/>
            <w:shd w:val="clear" w:color="auto" w:fill="9CC2E5" w:themeFill="accent1" w:themeFillTint="99"/>
            <w:vAlign w:val="center"/>
            <w:hideMark/>
          </w:tcPr>
          <w:p w14:paraId="0403B354"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11</w:t>
            </w:r>
          </w:p>
        </w:tc>
        <w:tc>
          <w:tcPr>
            <w:tcW w:w="690" w:type="dxa"/>
            <w:shd w:val="clear" w:color="auto" w:fill="auto"/>
            <w:vAlign w:val="center"/>
            <w:hideMark/>
          </w:tcPr>
          <w:p w14:paraId="1D03478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1939</w:t>
            </w:r>
          </w:p>
        </w:tc>
        <w:tc>
          <w:tcPr>
            <w:tcW w:w="596" w:type="dxa"/>
            <w:shd w:val="clear" w:color="auto" w:fill="auto"/>
            <w:vAlign w:val="center"/>
            <w:hideMark/>
          </w:tcPr>
          <w:p w14:paraId="21DCC23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80</w:t>
            </w:r>
          </w:p>
        </w:tc>
        <w:tc>
          <w:tcPr>
            <w:tcW w:w="1263" w:type="dxa"/>
            <w:shd w:val="clear" w:color="auto" w:fill="auto"/>
            <w:vAlign w:val="center"/>
            <w:hideMark/>
          </w:tcPr>
          <w:p w14:paraId="2D148C1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29</w:t>
            </w:r>
          </w:p>
        </w:tc>
        <w:tc>
          <w:tcPr>
            <w:tcW w:w="1118" w:type="dxa"/>
            <w:shd w:val="clear" w:color="auto" w:fill="auto"/>
            <w:vAlign w:val="center"/>
            <w:hideMark/>
          </w:tcPr>
          <w:p w14:paraId="084EC70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17</w:t>
            </w:r>
          </w:p>
        </w:tc>
        <w:tc>
          <w:tcPr>
            <w:tcW w:w="1229" w:type="dxa"/>
            <w:shd w:val="clear" w:color="auto" w:fill="auto"/>
            <w:vAlign w:val="center"/>
            <w:hideMark/>
          </w:tcPr>
          <w:p w14:paraId="51359F9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113789F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1AB3BD97"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17</w:t>
            </w:r>
          </w:p>
        </w:tc>
        <w:tc>
          <w:tcPr>
            <w:tcW w:w="1118" w:type="dxa"/>
            <w:shd w:val="clear" w:color="auto" w:fill="auto"/>
            <w:vAlign w:val="center"/>
            <w:hideMark/>
          </w:tcPr>
          <w:p w14:paraId="7C7D17E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w:t>
            </w:r>
          </w:p>
        </w:tc>
        <w:tc>
          <w:tcPr>
            <w:tcW w:w="1229" w:type="dxa"/>
            <w:shd w:val="clear" w:color="auto" w:fill="auto"/>
            <w:vAlign w:val="center"/>
            <w:hideMark/>
          </w:tcPr>
          <w:p w14:paraId="660BE9A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20F0CD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466DAE1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12</w:t>
            </w:r>
          </w:p>
        </w:tc>
        <w:tc>
          <w:tcPr>
            <w:tcW w:w="1118" w:type="dxa"/>
            <w:shd w:val="clear" w:color="auto" w:fill="auto"/>
            <w:vAlign w:val="center"/>
            <w:hideMark/>
          </w:tcPr>
          <w:p w14:paraId="78BD65F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12</w:t>
            </w:r>
          </w:p>
        </w:tc>
        <w:tc>
          <w:tcPr>
            <w:tcW w:w="1229" w:type="dxa"/>
            <w:shd w:val="clear" w:color="auto" w:fill="auto"/>
            <w:vAlign w:val="center"/>
            <w:hideMark/>
          </w:tcPr>
          <w:p w14:paraId="14FE00B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F6D23E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659C6992" w14:textId="77777777" w:rsidTr="00A92A69">
        <w:trPr>
          <w:trHeight w:val="319"/>
          <w:jc w:val="center"/>
        </w:trPr>
        <w:tc>
          <w:tcPr>
            <w:tcW w:w="413" w:type="dxa"/>
            <w:shd w:val="clear" w:color="auto" w:fill="9CC2E5" w:themeFill="accent1" w:themeFillTint="99"/>
            <w:vAlign w:val="center"/>
            <w:hideMark/>
          </w:tcPr>
          <w:p w14:paraId="2C670D33"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12</w:t>
            </w:r>
          </w:p>
        </w:tc>
        <w:tc>
          <w:tcPr>
            <w:tcW w:w="690" w:type="dxa"/>
            <w:shd w:val="clear" w:color="auto" w:fill="auto"/>
            <w:vAlign w:val="center"/>
            <w:hideMark/>
          </w:tcPr>
          <w:p w14:paraId="0872190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1940</w:t>
            </w:r>
          </w:p>
        </w:tc>
        <w:tc>
          <w:tcPr>
            <w:tcW w:w="596" w:type="dxa"/>
            <w:shd w:val="clear" w:color="auto" w:fill="auto"/>
            <w:vAlign w:val="center"/>
            <w:hideMark/>
          </w:tcPr>
          <w:p w14:paraId="1C36B73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79</w:t>
            </w:r>
          </w:p>
        </w:tc>
        <w:tc>
          <w:tcPr>
            <w:tcW w:w="1263" w:type="dxa"/>
            <w:shd w:val="clear" w:color="auto" w:fill="auto"/>
            <w:vAlign w:val="center"/>
            <w:hideMark/>
          </w:tcPr>
          <w:p w14:paraId="7A1EE5F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31</w:t>
            </w:r>
          </w:p>
        </w:tc>
        <w:tc>
          <w:tcPr>
            <w:tcW w:w="1118" w:type="dxa"/>
            <w:shd w:val="clear" w:color="auto" w:fill="auto"/>
            <w:vAlign w:val="center"/>
            <w:hideMark/>
          </w:tcPr>
          <w:p w14:paraId="0E68DE5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23</w:t>
            </w:r>
          </w:p>
        </w:tc>
        <w:tc>
          <w:tcPr>
            <w:tcW w:w="1229" w:type="dxa"/>
            <w:shd w:val="clear" w:color="auto" w:fill="auto"/>
            <w:vAlign w:val="center"/>
            <w:hideMark/>
          </w:tcPr>
          <w:p w14:paraId="68259C1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05E145CB"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2E3F3BC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16</w:t>
            </w:r>
          </w:p>
        </w:tc>
        <w:tc>
          <w:tcPr>
            <w:tcW w:w="1118" w:type="dxa"/>
            <w:shd w:val="clear" w:color="auto" w:fill="auto"/>
            <w:vAlign w:val="center"/>
            <w:hideMark/>
          </w:tcPr>
          <w:p w14:paraId="4AE4787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15</w:t>
            </w:r>
          </w:p>
        </w:tc>
        <w:tc>
          <w:tcPr>
            <w:tcW w:w="1229" w:type="dxa"/>
            <w:shd w:val="clear" w:color="auto" w:fill="auto"/>
            <w:vAlign w:val="center"/>
            <w:hideMark/>
          </w:tcPr>
          <w:p w14:paraId="39EE31C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01F8F3F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46B32B0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15</w:t>
            </w:r>
          </w:p>
        </w:tc>
        <w:tc>
          <w:tcPr>
            <w:tcW w:w="1118" w:type="dxa"/>
            <w:shd w:val="clear" w:color="auto" w:fill="auto"/>
            <w:vAlign w:val="center"/>
            <w:hideMark/>
          </w:tcPr>
          <w:p w14:paraId="6287B55E"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w:t>
            </w:r>
          </w:p>
        </w:tc>
        <w:tc>
          <w:tcPr>
            <w:tcW w:w="1229" w:type="dxa"/>
            <w:shd w:val="clear" w:color="auto" w:fill="auto"/>
            <w:vAlign w:val="center"/>
            <w:hideMark/>
          </w:tcPr>
          <w:p w14:paraId="0B45BC9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0D61378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5197FB1E" w14:textId="77777777" w:rsidTr="00A92A69">
        <w:trPr>
          <w:trHeight w:val="319"/>
          <w:jc w:val="center"/>
        </w:trPr>
        <w:tc>
          <w:tcPr>
            <w:tcW w:w="413" w:type="dxa"/>
            <w:shd w:val="clear" w:color="auto" w:fill="9CC2E5" w:themeFill="accent1" w:themeFillTint="99"/>
            <w:vAlign w:val="center"/>
            <w:hideMark/>
          </w:tcPr>
          <w:p w14:paraId="3C8AE7F9"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13</w:t>
            </w:r>
          </w:p>
        </w:tc>
        <w:tc>
          <w:tcPr>
            <w:tcW w:w="690" w:type="dxa"/>
            <w:shd w:val="clear" w:color="auto" w:fill="auto"/>
            <w:vAlign w:val="center"/>
            <w:hideMark/>
          </w:tcPr>
          <w:p w14:paraId="37F1FE7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1941</w:t>
            </w:r>
          </w:p>
        </w:tc>
        <w:tc>
          <w:tcPr>
            <w:tcW w:w="596" w:type="dxa"/>
            <w:shd w:val="clear" w:color="auto" w:fill="auto"/>
            <w:vAlign w:val="center"/>
            <w:hideMark/>
          </w:tcPr>
          <w:p w14:paraId="59BB1DB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78</w:t>
            </w:r>
          </w:p>
        </w:tc>
        <w:tc>
          <w:tcPr>
            <w:tcW w:w="1263" w:type="dxa"/>
            <w:shd w:val="clear" w:color="auto" w:fill="auto"/>
            <w:vAlign w:val="center"/>
            <w:hideMark/>
          </w:tcPr>
          <w:p w14:paraId="7A7038E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39</w:t>
            </w:r>
          </w:p>
        </w:tc>
        <w:tc>
          <w:tcPr>
            <w:tcW w:w="1118" w:type="dxa"/>
            <w:shd w:val="clear" w:color="auto" w:fill="auto"/>
            <w:vAlign w:val="center"/>
            <w:hideMark/>
          </w:tcPr>
          <w:p w14:paraId="3E43783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17</w:t>
            </w:r>
          </w:p>
        </w:tc>
        <w:tc>
          <w:tcPr>
            <w:tcW w:w="1229" w:type="dxa"/>
            <w:shd w:val="clear" w:color="auto" w:fill="auto"/>
            <w:vAlign w:val="center"/>
            <w:hideMark/>
          </w:tcPr>
          <w:p w14:paraId="3D68AE47"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3F2A5C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3ECE577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22</w:t>
            </w:r>
          </w:p>
        </w:tc>
        <w:tc>
          <w:tcPr>
            <w:tcW w:w="1118" w:type="dxa"/>
            <w:shd w:val="clear" w:color="auto" w:fill="auto"/>
            <w:vAlign w:val="center"/>
            <w:hideMark/>
          </w:tcPr>
          <w:p w14:paraId="0CFDAB6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229" w:type="dxa"/>
            <w:shd w:val="clear" w:color="auto" w:fill="auto"/>
            <w:vAlign w:val="center"/>
            <w:hideMark/>
          </w:tcPr>
          <w:p w14:paraId="7AA4381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0909EA9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5C79309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17</w:t>
            </w:r>
          </w:p>
        </w:tc>
        <w:tc>
          <w:tcPr>
            <w:tcW w:w="1118" w:type="dxa"/>
            <w:shd w:val="clear" w:color="auto" w:fill="auto"/>
            <w:vAlign w:val="center"/>
            <w:hideMark/>
          </w:tcPr>
          <w:p w14:paraId="30490DB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14</w:t>
            </w:r>
          </w:p>
        </w:tc>
        <w:tc>
          <w:tcPr>
            <w:tcW w:w="1229" w:type="dxa"/>
            <w:shd w:val="clear" w:color="auto" w:fill="auto"/>
            <w:vAlign w:val="center"/>
            <w:hideMark/>
          </w:tcPr>
          <w:p w14:paraId="7DA09DB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15CF6D1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5444B426" w14:textId="77777777" w:rsidTr="00A92A69">
        <w:trPr>
          <w:trHeight w:val="319"/>
          <w:jc w:val="center"/>
        </w:trPr>
        <w:tc>
          <w:tcPr>
            <w:tcW w:w="413" w:type="dxa"/>
            <w:shd w:val="clear" w:color="auto" w:fill="9CC2E5" w:themeFill="accent1" w:themeFillTint="99"/>
            <w:vAlign w:val="center"/>
            <w:hideMark/>
          </w:tcPr>
          <w:p w14:paraId="4E8994D9"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14</w:t>
            </w:r>
          </w:p>
        </w:tc>
        <w:tc>
          <w:tcPr>
            <w:tcW w:w="690" w:type="dxa"/>
            <w:shd w:val="clear" w:color="auto" w:fill="auto"/>
            <w:vAlign w:val="center"/>
            <w:hideMark/>
          </w:tcPr>
          <w:p w14:paraId="0F2038B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1942</w:t>
            </w:r>
          </w:p>
        </w:tc>
        <w:tc>
          <w:tcPr>
            <w:tcW w:w="596" w:type="dxa"/>
            <w:shd w:val="clear" w:color="auto" w:fill="auto"/>
            <w:vAlign w:val="center"/>
            <w:hideMark/>
          </w:tcPr>
          <w:p w14:paraId="622C0C2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77</w:t>
            </w:r>
          </w:p>
        </w:tc>
        <w:tc>
          <w:tcPr>
            <w:tcW w:w="1263" w:type="dxa"/>
            <w:shd w:val="clear" w:color="auto" w:fill="auto"/>
            <w:vAlign w:val="center"/>
            <w:hideMark/>
          </w:tcPr>
          <w:p w14:paraId="4EDA5DC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38</w:t>
            </w:r>
          </w:p>
        </w:tc>
        <w:tc>
          <w:tcPr>
            <w:tcW w:w="1118" w:type="dxa"/>
            <w:shd w:val="clear" w:color="auto" w:fill="auto"/>
            <w:vAlign w:val="center"/>
            <w:hideMark/>
          </w:tcPr>
          <w:p w14:paraId="2A4C649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31</w:t>
            </w:r>
          </w:p>
        </w:tc>
        <w:tc>
          <w:tcPr>
            <w:tcW w:w="1229" w:type="dxa"/>
            <w:shd w:val="clear" w:color="auto" w:fill="auto"/>
            <w:vAlign w:val="center"/>
            <w:hideMark/>
          </w:tcPr>
          <w:p w14:paraId="4FBB279B"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9EB34BB"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2F52D87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18</w:t>
            </w:r>
          </w:p>
        </w:tc>
        <w:tc>
          <w:tcPr>
            <w:tcW w:w="1118" w:type="dxa"/>
            <w:shd w:val="clear" w:color="auto" w:fill="auto"/>
            <w:vAlign w:val="center"/>
            <w:hideMark/>
          </w:tcPr>
          <w:p w14:paraId="1846B0E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11</w:t>
            </w:r>
          </w:p>
        </w:tc>
        <w:tc>
          <w:tcPr>
            <w:tcW w:w="1229" w:type="dxa"/>
            <w:shd w:val="clear" w:color="auto" w:fill="auto"/>
            <w:vAlign w:val="center"/>
            <w:hideMark/>
          </w:tcPr>
          <w:p w14:paraId="6AFD9B2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1E36366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20D2FF3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20</w:t>
            </w:r>
          </w:p>
        </w:tc>
        <w:tc>
          <w:tcPr>
            <w:tcW w:w="1118" w:type="dxa"/>
            <w:shd w:val="clear" w:color="auto" w:fill="auto"/>
            <w:vAlign w:val="center"/>
            <w:hideMark/>
          </w:tcPr>
          <w:p w14:paraId="5994BD7C"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20</w:t>
            </w:r>
          </w:p>
        </w:tc>
        <w:tc>
          <w:tcPr>
            <w:tcW w:w="1229" w:type="dxa"/>
            <w:shd w:val="clear" w:color="auto" w:fill="auto"/>
            <w:vAlign w:val="center"/>
            <w:hideMark/>
          </w:tcPr>
          <w:p w14:paraId="3A36313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4C0AC56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6F329B3B" w14:textId="77777777" w:rsidTr="00A92A69">
        <w:trPr>
          <w:trHeight w:val="319"/>
          <w:jc w:val="center"/>
        </w:trPr>
        <w:tc>
          <w:tcPr>
            <w:tcW w:w="413" w:type="dxa"/>
            <w:shd w:val="clear" w:color="auto" w:fill="9CC2E5" w:themeFill="accent1" w:themeFillTint="99"/>
            <w:vAlign w:val="center"/>
            <w:hideMark/>
          </w:tcPr>
          <w:p w14:paraId="6ABFEF91"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15</w:t>
            </w:r>
          </w:p>
        </w:tc>
        <w:tc>
          <w:tcPr>
            <w:tcW w:w="690" w:type="dxa"/>
            <w:shd w:val="clear" w:color="auto" w:fill="auto"/>
            <w:vAlign w:val="center"/>
            <w:hideMark/>
          </w:tcPr>
          <w:p w14:paraId="60567EB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1943</w:t>
            </w:r>
          </w:p>
        </w:tc>
        <w:tc>
          <w:tcPr>
            <w:tcW w:w="596" w:type="dxa"/>
            <w:shd w:val="clear" w:color="auto" w:fill="auto"/>
            <w:vAlign w:val="center"/>
            <w:hideMark/>
          </w:tcPr>
          <w:p w14:paraId="71491C8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76</w:t>
            </w:r>
          </w:p>
        </w:tc>
        <w:tc>
          <w:tcPr>
            <w:tcW w:w="1263" w:type="dxa"/>
            <w:shd w:val="clear" w:color="auto" w:fill="auto"/>
            <w:vAlign w:val="center"/>
            <w:hideMark/>
          </w:tcPr>
          <w:p w14:paraId="1CD8819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54</w:t>
            </w:r>
          </w:p>
        </w:tc>
        <w:tc>
          <w:tcPr>
            <w:tcW w:w="1118" w:type="dxa"/>
            <w:shd w:val="clear" w:color="auto" w:fill="auto"/>
            <w:vAlign w:val="center"/>
            <w:hideMark/>
          </w:tcPr>
          <w:p w14:paraId="38F1801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33</w:t>
            </w:r>
          </w:p>
        </w:tc>
        <w:tc>
          <w:tcPr>
            <w:tcW w:w="1229" w:type="dxa"/>
            <w:shd w:val="clear" w:color="auto" w:fill="auto"/>
            <w:vAlign w:val="center"/>
            <w:hideMark/>
          </w:tcPr>
          <w:p w14:paraId="23CC99BA"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B322917"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4E5F643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30</w:t>
            </w:r>
          </w:p>
        </w:tc>
        <w:tc>
          <w:tcPr>
            <w:tcW w:w="1118" w:type="dxa"/>
            <w:shd w:val="clear" w:color="auto" w:fill="auto"/>
            <w:vAlign w:val="center"/>
            <w:hideMark/>
          </w:tcPr>
          <w:p w14:paraId="3C94A4C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14</w:t>
            </w:r>
          </w:p>
        </w:tc>
        <w:tc>
          <w:tcPr>
            <w:tcW w:w="1229" w:type="dxa"/>
            <w:shd w:val="clear" w:color="auto" w:fill="auto"/>
            <w:vAlign w:val="center"/>
            <w:hideMark/>
          </w:tcPr>
          <w:p w14:paraId="2D81C6A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6AF9BA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79F380C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24</w:t>
            </w:r>
          </w:p>
        </w:tc>
        <w:tc>
          <w:tcPr>
            <w:tcW w:w="1118" w:type="dxa"/>
            <w:shd w:val="clear" w:color="auto" w:fill="auto"/>
            <w:vAlign w:val="center"/>
            <w:hideMark/>
          </w:tcPr>
          <w:p w14:paraId="0DA1339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w:t>
            </w:r>
          </w:p>
        </w:tc>
        <w:tc>
          <w:tcPr>
            <w:tcW w:w="1229" w:type="dxa"/>
            <w:shd w:val="clear" w:color="auto" w:fill="auto"/>
            <w:vAlign w:val="center"/>
            <w:hideMark/>
          </w:tcPr>
          <w:p w14:paraId="7C449F6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FA3850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1EA2B993" w14:textId="77777777" w:rsidTr="00A92A69">
        <w:trPr>
          <w:trHeight w:val="319"/>
          <w:jc w:val="center"/>
        </w:trPr>
        <w:tc>
          <w:tcPr>
            <w:tcW w:w="413" w:type="dxa"/>
            <w:shd w:val="clear" w:color="auto" w:fill="9CC2E5" w:themeFill="accent1" w:themeFillTint="99"/>
            <w:vAlign w:val="center"/>
            <w:hideMark/>
          </w:tcPr>
          <w:p w14:paraId="037A09DE"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16</w:t>
            </w:r>
          </w:p>
        </w:tc>
        <w:tc>
          <w:tcPr>
            <w:tcW w:w="690" w:type="dxa"/>
            <w:shd w:val="clear" w:color="auto" w:fill="auto"/>
            <w:vAlign w:val="center"/>
            <w:hideMark/>
          </w:tcPr>
          <w:p w14:paraId="7BD93E9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1944</w:t>
            </w:r>
          </w:p>
        </w:tc>
        <w:tc>
          <w:tcPr>
            <w:tcW w:w="596" w:type="dxa"/>
            <w:shd w:val="clear" w:color="auto" w:fill="auto"/>
            <w:vAlign w:val="center"/>
            <w:hideMark/>
          </w:tcPr>
          <w:p w14:paraId="584443B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75</w:t>
            </w:r>
          </w:p>
        </w:tc>
        <w:tc>
          <w:tcPr>
            <w:tcW w:w="1263" w:type="dxa"/>
            <w:shd w:val="clear" w:color="auto" w:fill="auto"/>
            <w:vAlign w:val="center"/>
            <w:hideMark/>
          </w:tcPr>
          <w:p w14:paraId="4DE670F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51</w:t>
            </w:r>
          </w:p>
        </w:tc>
        <w:tc>
          <w:tcPr>
            <w:tcW w:w="1118" w:type="dxa"/>
            <w:shd w:val="clear" w:color="auto" w:fill="auto"/>
            <w:vAlign w:val="center"/>
            <w:hideMark/>
          </w:tcPr>
          <w:p w14:paraId="1C88710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26</w:t>
            </w:r>
          </w:p>
        </w:tc>
        <w:tc>
          <w:tcPr>
            <w:tcW w:w="1229" w:type="dxa"/>
            <w:shd w:val="clear" w:color="auto" w:fill="auto"/>
            <w:vAlign w:val="center"/>
            <w:hideMark/>
          </w:tcPr>
          <w:p w14:paraId="3964BCFC"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8B2E62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3234B23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29</w:t>
            </w:r>
          </w:p>
        </w:tc>
        <w:tc>
          <w:tcPr>
            <w:tcW w:w="1118" w:type="dxa"/>
            <w:shd w:val="clear" w:color="auto" w:fill="auto"/>
            <w:vAlign w:val="center"/>
            <w:hideMark/>
          </w:tcPr>
          <w:p w14:paraId="2AA5194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12</w:t>
            </w:r>
          </w:p>
        </w:tc>
        <w:tc>
          <w:tcPr>
            <w:tcW w:w="1229" w:type="dxa"/>
            <w:shd w:val="clear" w:color="auto" w:fill="auto"/>
            <w:vAlign w:val="center"/>
            <w:hideMark/>
          </w:tcPr>
          <w:p w14:paraId="1AC8A9D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1F2780A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497F7CAE"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22</w:t>
            </w:r>
          </w:p>
        </w:tc>
        <w:tc>
          <w:tcPr>
            <w:tcW w:w="1118" w:type="dxa"/>
            <w:shd w:val="clear" w:color="auto" w:fill="auto"/>
            <w:vAlign w:val="center"/>
            <w:hideMark/>
          </w:tcPr>
          <w:p w14:paraId="3ADEFC4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14</w:t>
            </w:r>
          </w:p>
        </w:tc>
        <w:tc>
          <w:tcPr>
            <w:tcW w:w="1229" w:type="dxa"/>
            <w:shd w:val="clear" w:color="auto" w:fill="auto"/>
            <w:vAlign w:val="center"/>
            <w:hideMark/>
          </w:tcPr>
          <w:p w14:paraId="1780D3D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444B7A6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4FCECB88" w14:textId="77777777" w:rsidTr="00A92A69">
        <w:trPr>
          <w:trHeight w:val="319"/>
          <w:jc w:val="center"/>
        </w:trPr>
        <w:tc>
          <w:tcPr>
            <w:tcW w:w="413" w:type="dxa"/>
            <w:shd w:val="clear" w:color="auto" w:fill="9CC2E5" w:themeFill="accent1" w:themeFillTint="99"/>
            <w:vAlign w:val="center"/>
            <w:hideMark/>
          </w:tcPr>
          <w:p w14:paraId="63B60A2D"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17</w:t>
            </w:r>
          </w:p>
        </w:tc>
        <w:tc>
          <w:tcPr>
            <w:tcW w:w="690" w:type="dxa"/>
            <w:shd w:val="clear" w:color="auto" w:fill="auto"/>
            <w:vAlign w:val="center"/>
            <w:hideMark/>
          </w:tcPr>
          <w:p w14:paraId="59B14F0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1945</w:t>
            </w:r>
          </w:p>
        </w:tc>
        <w:tc>
          <w:tcPr>
            <w:tcW w:w="596" w:type="dxa"/>
            <w:shd w:val="clear" w:color="auto" w:fill="auto"/>
            <w:vAlign w:val="center"/>
            <w:hideMark/>
          </w:tcPr>
          <w:p w14:paraId="0231312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74</w:t>
            </w:r>
          </w:p>
        </w:tc>
        <w:tc>
          <w:tcPr>
            <w:tcW w:w="1263" w:type="dxa"/>
            <w:shd w:val="clear" w:color="auto" w:fill="auto"/>
            <w:vAlign w:val="center"/>
            <w:hideMark/>
          </w:tcPr>
          <w:p w14:paraId="3437AA2B"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54</w:t>
            </w:r>
          </w:p>
        </w:tc>
        <w:tc>
          <w:tcPr>
            <w:tcW w:w="1118" w:type="dxa"/>
            <w:shd w:val="clear" w:color="auto" w:fill="auto"/>
            <w:vAlign w:val="center"/>
            <w:hideMark/>
          </w:tcPr>
          <w:p w14:paraId="5687F6E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37</w:t>
            </w:r>
          </w:p>
        </w:tc>
        <w:tc>
          <w:tcPr>
            <w:tcW w:w="1229" w:type="dxa"/>
            <w:shd w:val="clear" w:color="auto" w:fill="auto"/>
            <w:vAlign w:val="center"/>
            <w:hideMark/>
          </w:tcPr>
          <w:p w14:paraId="3918177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C4933BA"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63" w:type="dxa"/>
            <w:shd w:val="clear" w:color="auto" w:fill="auto"/>
            <w:vAlign w:val="center"/>
            <w:hideMark/>
          </w:tcPr>
          <w:p w14:paraId="4F525E4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28</w:t>
            </w:r>
          </w:p>
        </w:tc>
        <w:tc>
          <w:tcPr>
            <w:tcW w:w="1118" w:type="dxa"/>
            <w:shd w:val="clear" w:color="auto" w:fill="auto"/>
            <w:vAlign w:val="center"/>
            <w:hideMark/>
          </w:tcPr>
          <w:p w14:paraId="25F8BA5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18</w:t>
            </w:r>
          </w:p>
        </w:tc>
        <w:tc>
          <w:tcPr>
            <w:tcW w:w="1229" w:type="dxa"/>
            <w:shd w:val="clear" w:color="auto" w:fill="auto"/>
            <w:vAlign w:val="center"/>
            <w:hideMark/>
          </w:tcPr>
          <w:p w14:paraId="52126E6E"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28235A5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6F4D700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26</w:t>
            </w:r>
          </w:p>
        </w:tc>
        <w:tc>
          <w:tcPr>
            <w:tcW w:w="1118" w:type="dxa"/>
            <w:shd w:val="clear" w:color="auto" w:fill="auto"/>
            <w:vAlign w:val="center"/>
            <w:hideMark/>
          </w:tcPr>
          <w:p w14:paraId="08D0A8A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w:t>
            </w:r>
          </w:p>
        </w:tc>
        <w:tc>
          <w:tcPr>
            <w:tcW w:w="1229" w:type="dxa"/>
            <w:shd w:val="clear" w:color="auto" w:fill="auto"/>
            <w:vAlign w:val="center"/>
            <w:hideMark/>
          </w:tcPr>
          <w:p w14:paraId="47E1A60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36AAC18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r>
      <w:tr w:rsidR="00A92A69" w:rsidRPr="00D90234" w14:paraId="4F0E559F" w14:textId="77777777" w:rsidTr="00A92A69">
        <w:trPr>
          <w:trHeight w:val="319"/>
          <w:jc w:val="center"/>
        </w:trPr>
        <w:tc>
          <w:tcPr>
            <w:tcW w:w="413" w:type="dxa"/>
            <w:shd w:val="clear" w:color="auto" w:fill="9CC2E5" w:themeFill="accent1" w:themeFillTint="99"/>
            <w:vAlign w:val="center"/>
            <w:hideMark/>
          </w:tcPr>
          <w:p w14:paraId="4B62ED6F"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18</w:t>
            </w:r>
          </w:p>
        </w:tc>
        <w:tc>
          <w:tcPr>
            <w:tcW w:w="690" w:type="dxa"/>
            <w:shd w:val="clear" w:color="auto" w:fill="auto"/>
            <w:vAlign w:val="center"/>
            <w:hideMark/>
          </w:tcPr>
          <w:p w14:paraId="2D3B8AA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1946</w:t>
            </w:r>
          </w:p>
        </w:tc>
        <w:tc>
          <w:tcPr>
            <w:tcW w:w="596" w:type="dxa"/>
            <w:shd w:val="clear" w:color="auto" w:fill="auto"/>
            <w:vAlign w:val="center"/>
            <w:hideMark/>
          </w:tcPr>
          <w:p w14:paraId="6043D00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73</w:t>
            </w:r>
          </w:p>
        </w:tc>
        <w:tc>
          <w:tcPr>
            <w:tcW w:w="1263" w:type="dxa"/>
            <w:shd w:val="clear" w:color="auto" w:fill="auto"/>
            <w:vAlign w:val="center"/>
            <w:hideMark/>
          </w:tcPr>
          <w:p w14:paraId="2490C42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118</w:t>
            </w:r>
          </w:p>
        </w:tc>
        <w:tc>
          <w:tcPr>
            <w:tcW w:w="1118" w:type="dxa"/>
            <w:shd w:val="clear" w:color="auto" w:fill="auto"/>
            <w:vAlign w:val="center"/>
            <w:hideMark/>
          </w:tcPr>
          <w:p w14:paraId="60C2190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58</w:t>
            </w:r>
          </w:p>
        </w:tc>
        <w:tc>
          <w:tcPr>
            <w:tcW w:w="1229" w:type="dxa"/>
            <w:shd w:val="clear" w:color="auto" w:fill="auto"/>
            <w:vAlign w:val="center"/>
            <w:hideMark/>
          </w:tcPr>
          <w:p w14:paraId="1147345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3AF4DFC"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274FA3BA"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52</w:t>
            </w:r>
          </w:p>
        </w:tc>
        <w:tc>
          <w:tcPr>
            <w:tcW w:w="1118" w:type="dxa"/>
            <w:shd w:val="clear" w:color="auto" w:fill="auto"/>
            <w:vAlign w:val="center"/>
            <w:hideMark/>
          </w:tcPr>
          <w:p w14:paraId="3548CEB1"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39</w:t>
            </w:r>
          </w:p>
        </w:tc>
        <w:tc>
          <w:tcPr>
            <w:tcW w:w="1229" w:type="dxa"/>
            <w:shd w:val="clear" w:color="auto" w:fill="auto"/>
            <w:vAlign w:val="center"/>
            <w:hideMark/>
          </w:tcPr>
          <w:p w14:paraId="452E380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1927B18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22D1FA6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66</w:t>
            </w:r>
          </w:p>
        </w:tc>
        <w:tc>
          <w:tcPr>
            <w:tcW w:w="1118" w:type="dxa"/>
            <w:shd w:val="clear" w:color="auto" w:fill="auto"/>
            <w:vAlign w:val="center"/>
            <w:hideMark/>
          </w:tcPr>
          <w:p w14:paraId="6C803F5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w:t>
            </w:r>
          </w:p>
        </w:tc>
        <w:tc>
          <w:tcPr>
            <w:tcW w:w="1229" w:type="dxa"/>
            <w:shd w:val="clear" w:color="auto" w:fill="auto"/>
            <w:vAlign w:val="center"/>
            <w:hideMark/>
          </w:tcPr>
          <w:p w14:paraId="0F0C065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B5B0CFE"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616494C0" w14:textId="77777777" w:rsidTr="00A92A69">
        <w:trPr>
          <w:trHeight w:val="319"/>
          <w:jc w:val="center"/>
        </w:trPr>
        <w:tc>
          <w:tcPr>
            <w:tcW w:w="413" w:type="dxa"/>
            <w:shd w:val="clear" w:color="auto" w:fill="9CC2E5" w:themeFill="accent1" w:themeFillTint="99"/>
            <w:vAlign w:val="center"/>
            <w:hideMark/>
          </w:tcPr>
          <w:p w14:paraId="73F79D6F"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t>19</w:t>
            </w:r>
          </w:p>
        </w:tc>
        <w:tc>
          <w:tcPr>
            <w:tcW w:w="690" w:type="dxa"/>
            <w:shd w:val="clear" w:color="auto" w:fill="auto"/>
            <w:vAlign w:val="center"/>
            <w:hideMark/>
          </w:tcPr>
          <w:p w14:paraId="7D5FA20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1947</w:t>
            </w:r>
          </w:p>
        </w:tc>
        <w:tc>
          <w:tcPr>
            <w:tcW w:w="596" w:type="dxa"/>
            <w:shd w:val="clear" w:color="auto" w:fill="auto"/>
            <w:vAlign w:val="center"/>
            <w:hideMark/>
          </w:tcPr>
          <w:p w14:paraId="58D71C2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72</w:t>
            </w:r>
          </w:p>
        </w:tc>
        <w:tc>
          <w:tcPr>
            <w:tcW w:w="1263" w:type="dxa"/>
            <w:shd w:val="clear" w:color="auto" w:fill="auto"/>
            <w:vAlign w:val="center"/>
            <w:hideMark/>
          </w:tcPr>
          <w:p w14:paraId="4F5F5CD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160</w:t>
            </w:r>
          </w:p>
        </w:tc>
        <w:tc>
          <w:tcPr>
            <w:tcW w:w="1118" w:type="dxa"/>
            <w:shd w:val="clear" w:color="auto" w:fill="auto"/>
            <w:vAlign w:val="center"/>
            <w:hideMark/>
          </w:tcPr>
          <w:p w14:paraId="1879235C"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65</w:t>
            </w:r>
          </w:p>
        </w:tc>
        <w:tc>
          <w:tcPr>
            <w:tcW w:w="1229" w:type="dxa"/>
            <w:shd w:val="clear" w:color="auto" w:fill="auto"/>
            <w:vAlign w:val="center"/>
            <w:hideMark/>
          </w:tcPr>
          <w:p w14:paraId="7A4E3AF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2638041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4E00FC2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60</w:t>
            </w:r>
          </w:p>
        </w:tc>
        <w:tc>
          <w:tcPr>
            <w:tcW w:w="1118" w:type="dxa"/>
            <w:shd w:val="clear" w:color="auto" w:fill="auto"/>
            <w:vAlign w:val="center"/>
            <w:hideMark/>
          </w:tcPr>
          <w:p w14:paraId="16D7622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33</w:t>
            </w:r>
          </w:p>
        </w:tc>
        <w:tc>
          <w:tcPr>
            <w:tcW w:w="1229" w:type="dxa"/>
            <w:shd w:val="clear" w:color="auto" w:fill="auto"/>
            <w:vAlign w:val="center"/>
            <w:hideMark/>
          </w:tcPr>
          <w:p w14:paraId="5FDD4C2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47BF7A2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17BD883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100</w:t>
            </w:r>
          </w:p>
        </w:tc>
        <w:tc>
          <w:tcPr>
            <w:tcW w:w="1118" w:type="dxa"/>
            <w:shd w:val="clear" w:color="auto" w:fill="auto"/>
            <w:vAlign w:val="center"/>
            <w:hideMark/>
          </w:tcPr>
          <w:p w14:paraId="5D1FE80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32</w:t>
            </w:r>
          </w:p>
        </w:tc>
        <w:tc>
          <w:tcPr>
            <w:tcW w:w="1229" w:type="dxa"/>
            <w:shd w:val="clear" w:color="auto" w:fill="auto"/>
            <w:vAlign w:val="center"/>
            <w:hideMark/>
          </w:tcPr>
          <w:p w14:paraId="2C15D91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D3550A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07C2190B" w14:textId="77777777" w:rsidTr="00A92A69">
        <w:trPr>
          <w:trHeight w:val="319"/>
          <w:jc w:val="center"/>
        </w:trPr>
        <w:tc>
          <w:tcPr>
            <w:tcW w:w="413" w:type="dxa"/>
            <w:shd w:val="clear" w:color="auto" w:fill="9CC2E5" w:themeFill="accent1" w:themeFillTint="99"/>
            <w:vAlign w:val="center"/>
            <w:hideMark/>
          </w:tcPr>
          <w:p w14:paraId="6AAB616A" w14:textId="77777777" w:rsidR="00A92A69" w:rsidRPr="00D90234" w:rsidRDefault="00A92A69" w:rsidP="00A92A69">
            <w:pPr>
              <w:spacing w:after="0" w:line="240" w:lineRule="auto"/>
              <w:jc w:val="center"/>
              <w:rPr>
                <w:rFonts w:ascii="Times New Roman" w:eastAsia="Times New Roman" w:hAnsi="Times New Roman" w:cs="Times New Roman"/>
                <w:b/>
                <w:color w:val="000000"/>
                <w:sz w:val="20"/>
                <w:szCs w:val="20"/>
                <w:lang w:eastAsia="pl-PL"/>
              </w:rPr>
            </w:pPr>
            <w:r w:rsidRPr="00D90234">
              <w:rPr>
                <w:rFonts w:ascii="Times New Roman" w:eastAsia="Times New Roman" w:hAnsi="Times New Roman" w:cs="Times New Roman"/>
                <w:b/>
                <w:color w:val="000000"/>
                <w:sz w:val="20"/>
                <w:szCs w:val="20"/>
                <w:lang w:eastAsia="pl-PL"/>
              </w:rPr>
              <w:lastRenderedPageBreak/>
              <w:t>20</w:t>
            </w:r>
          </w:p>
        </w:tc>
        <w:tc>
          <w:tcPr>
            <w:tcW w:w="690" w:type="dxa"/>
            <w:shd w:val="clear" w:color="auto" w:fill="auto"/>
            <w:vAlign w:val="center"/>
            <w:hideMark/>
          </w:tcPr>
          <w:p w14:paraId="4BC50D47"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1948</w:t>
            </w:r>
          </w:p>
        </w:tc>
        <w:tc>
          <w:tcPr>
            <w:tcW w:w="596" w:type="dxa"/>
            <w:shd w:val="clear" w:color="auto" w:fill="auto"/>
            <w:vAlign w:val="center"/>
            <w:hideMark/>
          </w:tcPr>
          <w:p w14:paraId="619B3A9A"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71</w:t>
            </w:r>
          </w:p>
        </w:tc>
        <w:tc>
          <w:tcPr>
            <w:tcW w:w="1263" w:type="dxa"/>
            <w:shd w:val="clear" w:color="auto" w:fill="auto"/>
            <w:vAlign w:val="center"/>
            <w:hideMark/>
          </w:tcPr>
          <w:p w14:paraId="1B240FAC"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232</w:t>
            </w:r>
          </w:p>
        </w:tc>
        <w:tc>
          <w:tcPr>
            <w:tcW w:w="1118" w:type="dxa"/>
            <w:shd w:val="clear" w:color="auto" w:fill="auto"/>
            <w:vAlign w:val="center"/>
            <w:hideMark/>
          </w:tcPr>
          <w:p w14:paraId="5179F84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63</w:t>
            </w:r>
          </w:p>
        </w:tc>
        <w:tc>
          <w:tcPr>
            <w:tcW w:w="1229" w:type="dxa"/>
            <w:shd w:val="clear" w:color="auto" w:fill="auto"/>
            <w:vAlign w:val="center"/>
            <w:hideMark/>
          </w:tcPr>
          <w:p w14:paraId="4F36778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107" w:type="dxa"/>
            <w:shd w:val="clear" w:color="auto" w:fill="auto"/>
            <w:vAlign w:val="center"/>
            <w:hideMark/>
          </w:tcPr>
          <w:p w14:paraId="7793AD8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77745B0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66</w:t>
            </w:r>
          </w:p>
        </w:tc>
        <w:tc>
          <w:tcPr>
            <w:tcW w:w="1118" w:type="dxa"/>
            <w:shd w:val="clear" w:color="auto" w:fill="auto"/>
            <w:vAlign w:val="center"/>
            <w:hideMark/>
          </w:tcPr>
          <w:p w14:paraId="45D4C65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33</w:t>
            </w:r>
          </w:p>
        </w:tc>
        <w:tc>
          <w:tcPr>
            <w:tcW w:w="1229" w:type="dxa"/>
            <w:shd w:val="clear" w:color="auto" w:fill="auto"/>
            <w:vAlign w:val="center"/>
            <w:hideMark/>
          </w:tcPr>
          <w:p w14:paraId="0EC9539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107" w:type="dxa"/>
            <w:shd w:val="clear" w:color="auto" w:fill="auto"/>
            <w:vAlign w:val="center"/>
            <w:hideMark/>
          </w:tcPr>
          <w:p w14:paraId="5C97AD5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41E2411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166</w:t>
            </w:r>
          </w:p>
        </w:tc>
        <w:tc>
          <w:tcPr>
            <w:tcW w:w="1118" w:type="dxa"/>
            <w:shd w:val="clear" w:color="auto" w:fill="auto"/>
            <w:vAlign w:val="center"/>
            <w:hideMark/>
          </w:tcPr>
          <w:p w14:paraId="1FE70E2E"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30</w:t>
            </w:r>
          </w:p>
        </w:tc>
        <w:tc>
          <w:tcPr>
            <w:tcW w:w="1229" w:type="dxa"/>
            <w:shd w:val="clear" w:color="auto" w:fill="auto"/>
            <w:vAlign w:val="center"/>
            <w:hideMark/>
          </w:tcPr>
          <w:p w14:paraId="7E17CED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26780B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6DEDBD9C" w14:textId="77777777" w:rsidTr="00A92A69">
        <w:trPr>
          <w:trHeight w:val="319"/>
          <w:jc w:val="center"/>
        </w:trPr>
        <w:tc>
          <w:tcPr>
            <w:tcW w:w="413" w:type="dxa"/>
            <w:shd w:val="clear" w:color="auto" w:fill="9CC2E5" w:themeFill="accent1" w:themeFillTint="99"/>
            <w:vAlign w:val="center"/>
            <w:hideMark/>
          </w:tcPr>
          <w:p w14:paraId="3C477AC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21</w:t>
            </w:r>
          </w:p>
        </w:tc>
        <w:tc>
          <w:tcPr>
            <w:tcW w:w="690" w:type="dxa"/>
            <w:shd w:val="clear" w:color="auto" w:fill="auto"/>
            <w:vAlign w:val="center"/>
            <w:hideMark/>
          </w:tcPr>
          <w:p w14:paraId="1D3D546C"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1949</w:t>
            </w:r>
          </w:p>
        </w:tc>
        <w:tc>
          <w:tcPr>
            <w:tcW w:w="596" w:type="dxa"/>
            <w:shd w:val="clear" w:color="auto" w:fill="auto"/>
            <w:vAlign w:val="center"/>
            <w:hideMark/>
          </w:tcPr>
          <w:p w14:paraId="54DC74F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70</w:t>
            </w:r>
          </w:p>
        </w:tc>
        <w:tc>
          <w:tcPr>
            <w:tcW w:w="1263" w:type="dxa"/>
            <w:shd w:val="clear" w:color="auto" w:fill="auto"/>
            <w:vAlign w:val="center"/>
            <w:hideMark/>
          </w:tcPr>
          <w:p w14:paraId="287F4D3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301</w:t>
            </w:r>
          </w:p>
        </w:tc>
        <w:tc>
          <w:tcPr>
            <w:tcW w:w="1118" w:type="dxa"/>
            <w:shd w:val="clear" w:color="auto" w:fill="auto"/>
            <w:vAlign w:val="center"/>
            <w:hideMark/>
          </w:tcPr>
          <w:p w14:paraId="36C22700"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73</w:t>
            </w:r>
          </w:p>
        </w:tc>
        <w:tc>
          <w:tcPr>
            <w:tcW w:w="1229" w:type="dxa"/>
            <w:shd w:val="clear" w:color="auto" w:fill="auto"/>
            <w:vAlign w:val="center"/>
            <w:hideMark/>
          </w:tcPr>
          <w:p w14:paraId="515EF3A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42B73B6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0A6E5BB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73</w:t>
            </w:r>
          </w:p>
        </w:tc>
        <w:tc>
          <w:tcPr>
            <w:tcW w:w="1118" w:type="dxa"/>
            <w:shd w:val="clear" w:color="auto" w:fill="auto"/>
            <w:vAlign w:val="center"/>
            <w:hideMark/>
          </w:tcPr>
          <w:p w14:paraId="46C18D5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36</w:t>
            </w:r>
          </w:p>
        </w:tc>
        <w:tc>
          <w:tcPr>
            <w:tcW w:w="1229" w:type="dxa"/>
            <w:shd w:val="clear" w:color="auto" w:fill="auto"/>
            <w:vAlign w:val="center"/>
            <w:hideMark/>
          </w:tcPr>
          <w:p w14:paraId="0A591BB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17897A7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102C4DE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228</w:t>
            </w:r>
          </w:p>
        </w:tc>
        <w:tc>
          <w:tcPr>
            <w:tcW w:w="1118" w:type="dxa"/>
            <w:shd w:val="clear" w:color="auto" w:fill="auto"/>
            <w:vAlign w:val="center"/>
            <w:hideMark/>
          </w:tcPr>
          <w:p w14:paraId="0EB43CA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37</w:t>
            </w:r>
          </w:p>
        </w:tc>
        <w:tc>
          <w:tcPr>
            <w:tcW w:w="1229" w:type="dxa"/>
            <w:shd w:val="clear" w:color="auto" w:fill="auto"/>
            <w:vAlign w:val="center"/>
            <w:hideMark/>
          </w:tcPr>
          <w:p w14:paraId="3387A7F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64270C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26DB406D" w14:textId="77777777" w:rsidTr="00A92A69">
        <w:trPr>
          <w:trHeight w:val="319"/>
          <w:jc w:val="center"/>
        </w:trPr>
        <w:tc>
          <w:tcPr>
            <w:tcW w:w="413" w:type="dxa"/>
            <w:shd w:val="clear" w:color="auto" w:fill="9CC2E5" w:themeFill="accent1" w:themeFillTint="99"/>
            <w:vAlign w:val="center"/>
            <w:hideMark/>
          </w:tcPr>
          <w:p w14:paraId="54900DC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22</w:t>
            </w:r>
          </w:p>
        </w:tc>
        <w:tc>
          <w:tcPr>
            <w:tcW w:w="690" w:type="dxa"/>
            <w:shd w:val="clear" w:color="auto" w:fill="auto"/>
            <w:vAlign w:val="center"/>
            <w:hideMark/>
          </w:tcPr>
          <w:p w14:paraId="356D2166"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1950</w:t>
            </w:r>
          </w:p>
        </w:tc>
        <w:tc>
          <w:tcPr>
            <w:tcW w:w="596" w:type="dxa"/>
            <w:shd w:val="clear" w:color="auto" w:fill="auto"/>
            <w:vAlign w:val="center"/>
            <w:hideMark/>
          </w:tcPr>
          <w:p w14:paraId="36A70FE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69</w:t>
            </w:r>
          </w:p>
        </w:tc>
        <w:tc>
          <w:tcPr>
            <w:tcW w:w="1263" w:type="dxa"/>
            <w:shd w:val="clear" w:color="auto" w:fill="auto"/>
            <w:vAlign w:val="center"/>
            <w:hideMark/>
          </w:tcPr>
          <w:p w14:paraId="421B216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448</w:t>
            </w:r>
          </w:p>
        </w:tc>
        <w:tc>
          <w:tcPr>
            <w:tcW w:w="1118" w:type="dxa"/>
            <w:shd w:val="clear" w:color="auto" w:fill="auto"/>
            <w:vAlign w:val="center"/>
            <w:hideMark/>
          </w:tcPr>
          <w:p w14:paraId="25DD8DF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82</w:t>
            </w:r>
          </w:p>
        </w:tc>
        <w:tc>
          <w:tcPr>
            <w:tcW w:w="1229" w:type="dxa"/>
            <w:shd w:val="clear" w:color="auto" w:fill="auto"/>
            <w:vAlign w:val="center"/>
            <w:hideMark/>
          </w:tcPr>
          <w:p w14:paraId="3F9C07E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FE74A0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4710FCF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106</w:t>
            </w:r>
          </w:p>
        </w:tc>
        <w:tc>
          <w:tcPr>
            <w:tcW w:w="1118" w:type="dxa"/>
            <w:shd w:val="clear" w:color="auto" w:fill="auto"/>
            <w:vAlign w:val="center"/>
            <w:hideMark/>
          </w:tcPr>
          <w:p w14:paraId="71C454B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42</w:t>
            </w:r>
          </w:p>
        </w:tc>
        <w:tc>
          <w:tcPr>
            <w:tcW w:w="1229" w:type="dxa"/>
            <w:shd w:val="clear" w:color="auto" w:fill="auto"/>
            <w:vAlign w:val="center"/>
            <w:hideMark/>
          </w:tcPr>
          <w:p w14:paraId="13F2959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5C60D89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0A619E1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342</w:t>
            </w:r>
          </w:p>
        </w:tc>
        <w:tc>
          <w:tcPr>
            <w:tcW w:w="1118" w:type="dxa"/>
            <w:shd w:val="clear" w:color="auto" w:fill="auto"/>
            <w:vAlign w:val="center"/>
            <w:hideMark/>
          </w:tcPr>
          <w:p w14:paraId="5DFB1A5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40</w:t>
            </w:r>
          </w:p>
        </w:tc>
        <w:tc>
          <w:tcPr>
            <w:tcW w:w="1229" w:type="dxa"/>
            <w:shd w:val="clear" w:color="auto" w:fill="auto"/>
            <w:vAlign w:val="center"/>
            <w:hideMark/>
          </w:tcPr>
          <w:p w14:paraId="052E861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4DA542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40188FD7" w14:textId="77777777" w:rsidTr="00A92A69">
        <w:trPr>
          <w:trHeight w:val="319"/>
          <w:jc w:val="center"/>
        </w:trPr>
        <w:tc>
          <w:tcPr>
            <w:tcW w:w="413" w:type="dxa"/>
            <w:shd w:val="clear" w:color="auto" w:fill="9CC2E5" w:themeFill="accent1" w:themeFillTint="99"/>
            <w:vAlign w:val="center"/>
            <w:hideMark/>
          </w:tcPr>
          <w:p w14:paraId="44434A6C"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23</w:t>
            </w:r>
          </w:p>
        </w:tc>
        <w:tc>
          <w:tcPr>
            <w:tcW w:w="690" w:type="dxa"/>
            <w:shd w:val="clear" w:color="auto" w:fill="auto"/>
            <w:vAlign w:val="center"/>
            <w:hideMark/>
          </w:tcPr>
          <w:p w14:paraId="648AED3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1951</w:t>
            </w:r>
          </w:p>
        </w:tc>
        <w:tc>
          <w:tcPr>
            <w:tcW w:w="596" w:type="dxa"/>
            <w:shd w:val="clear" w:color="auto" w:fill="auto"/>
            <w:vAlign w:val="center"/>
            <w:hideMark/>
          </w:tcPr>
          <w:p w14:paraId="40BC65D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68</w:t>
            </w:r>
          </w:p>
        </w:tc>
        <w:tc>
          <w:tcPr>
            <w:tcW w:w="1263" w:type="dxa"/>
            <w:shd w:val="clear" w:color="auto" w:fill="auto"/>
            <w:vAlign w:val="center"/>
            <w:hideMark/>
          </w:tcPr>
          <w:p w14:paraId="169B24A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709</w:t>
            </w:r>
          </w:p>
        </w:tc>
        <w:tc>
          <w:tcPr>
            <w:tcW w:w="1118" w:type="dxa"/>
            <w:shd w:val="clear" w:color="auto" w:fill="auto"/>
            <w:vAlign w:val="center"/>
            <w:hideMark/>
          </w:tcPr>
          <w:p w14:paraId="58D8C0D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89</w:t>
            </w:r>
          </w:p>
        </w:tc>
        <w:tc>
          <w:tcPr>
            <w:tcW w:w="1229" w:type="dxa"/>
            <w:shd w:val="clear" w:color="auto" w:fill="auto"/>
            <w:vAlign w:val="center"/>
            <w:hideMark/>
          </w:tcPr>
          <w:p w14:paraId="0E6B43E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44191DE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w:t>
            </w:r>
          </w:p>
        </w:tc>
        <w:tc>
          <w:tcPr>
            <w:tcW w:w="1263" w:type="dxa"/>
            <w:shd w:val="clear" w:color="auto" w:fill="auto"/>
            <w:vAlign w:val="center"/>
            <w:hideMark/>
          </w:tcPr>
          <w:p w14:paraId="129C319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134</w:t>
            </w:r>
          </w:p>
        </w:tc>
        <w:tc>
          <w:tcPr>
            <w:tcW w:w="1118" w:type="dxa"/>
            <w:shd w:val="clear" w:color="auto" w:fill="auto"/>
            <w:vAlign w:val="center"/>
            <w:hideMark/>
          </w:tcPr>
          <w:p w14:paraId="0D26E9B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46</w:t>
            </w:r>
          </w:p>
        </w:tc>
        <w:tc>
          <w:tcPr>
            <w:tcW w:w="1229" w:type="dxa"/>
            <w:shd w:val="clear" w:color="auto" w:fill="auto"/>
            <w:vAlign w:val="center"/>
            <w:hideMark/>
          </w:tcPr>
          <w:p w14:paraId="28E1AB8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47D8EB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63" w:type="dxa"/>
            <w:shd w:val="clear" w:color="auto" w:fill="auto"/>
            <w:vAlign w:val="center"/>
            <w:hideMark/>
          </w:tcPr>
          <w:p w14:paraId="0FD9D3D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575</w:t>
            </w:r>
          </w:p>
        </w:tc>
        <w:tc>
          <w:tcPr>
            <w:tcW w:w="1118" w:type="dxa"/>
            <w:shd w:val="clear" w:color="auto" w:fill="auto"/>
            <w:vAlign w:val="center"/>
            <w:hideMark/>
          </w:tcPr>
          <w:p w14:paraId="329F7C7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43</w:t>
            </w:r>
          </w:p>
        </w:tc>
        <w:tc>
          <w:tcPr>
            <w:tcW w:w="1229" w:type="dxa"/>
            <w:shd w:val="clear" w:color="auto" w:fill="auto"/>
            <w:vAlign w:val="center"/>
            <w:hideMark/>
          </w:tcPr>
          <w:p w14:paraId="2B760FDC"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6B4B3AB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r>
      <w:tr w:rsidR="00A92A69" w:rsidRPr="00D90234" w14:paraId="00E7834F" w14:textId="77777777" w:rsidTr="00A92A69">
        <w:trPr>
          <w:trHeight w:val="319"/>
          <w:jc w:val="center"/>
        </w:trPr>
        <w:tc>
          <w:tcPr>
            <w:tcW w:w="413" w:type="dxa"/>
            <w:shd w:val="clear" w:color="auto" w:fill="9CC2E5" w:themeFill="accent1" w:themeFillTint="99"/>
            <w:vAlign w:val="center"/>
            <w:hideMark/>
          </w:tcPr>
          <w:p w14:paraId="095313A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24</w:t>
            </w:r>
          </w:p>
        </w:tc>
        <w:tc>
          <w:tcPr>
            <w:tcW w:w="690" w:type="dxa"/>
            <w:shd w:val="clear" w:color="auto" w:fill="auto"/>
            <w:vAlign w:val="center"/>
            <w:hideMark/>
          </w:tcPr>
          <w:p w14:paraId="5324F03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1952</w:t>
            </w:r>
          </w:p>
        </w:tc>
        <w:tc>
          <w:tcPr>
            <w:tcW w:w="596" w:type="dxa"/>
            <w:shd w:val="clear" w:color="auto" w:fill="auto"/>
            <w:vAlign w:val="center"/>
            <w:hideMark/>
          </w:tcPr>
          <w:p w14:paraId="4B212B7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67</w:t>
            </w:r>
          </w:p>
        </w:tc>
        <w:tc>
          <w:tcPr>
            <w:tcW w:w="1263" w:type="dxa"/>
            <w:shd w:val="clear" w:color="auto" w:fill="auto"/>
            <w:vAlign w:val="center"/>
            <w:hideMark/>
          </w:tcPr>
          <w:p w14:paraId="528CCC1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909</w:t>
            </w:r>
          </w:p>
        </w:tc>
        <w:tc>
          <w:tcPr>
            <w:tcW w:w="1118" w:type="dxa"/>
            <w:shd w:val="clear" w:color="auto" w:fill="auto"/>
            <w:vAlign w:val="center"/>
            <w:hideMark/>
          </w:tcPr>
          <w:p w14:paraId="7E7D9A9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97</w:t>
            </w:r>
          </w:p>
        </w:tc>
        <w:tc>
          <w:tcPr>
            <w:tcW w:w="1229" w:type="dxa"/>
            <w:shd w:val="clear" w:color="auto" w:fill="auto"/>
            <w:vAlign w:val="center"/>
            <w:hideMark/>
          </w:tcPr>
          <w:p w14:paraId="33A07AB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2E90424E"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6F4C67E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184</w:t>
            </w:r>
          </w:p>
        </w:tc>
        <w:tc>
          <w:tcPr>
            <w:tcW w:w="1118" w:type="dxa"/>
            <w:shd w:val="clear" w:color="auto" w:fill="auto"/>
            <w:vAlign w:val="center"/>
            <w:hideMark/>
          </w:tcPr>
          <w:p w14:paraId="613BD4C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44</w:t>
            </w:r>
          </w:p>
        </w:tc>
        <w:tc>
          <w:tcPr>
            <w:tcW w:w="1229" w:type="dxa"/>
            <w:shd w:val="clear" w:color="auto" w:fill="auto"/>
            <w:vAlign w:val="center"/>
            <w:hideMark/>
          </w:tcPr>
          <w:p w14:paraId="4F5E9C8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7BA6BBE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4683923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725</w:t>
            </w:r>
          </w:p>
        </w:tc>
        <w:tc>
          <w:tcPr>
            <w:tcW w:w="1118" w:type="dxa"/>
            <w:shd w:val="clear" w:color="auto" w:fill="auto"/>
            <w:vAlign w:val="center"/>
            <w:hideMark/>
          </w:tcPr>
          <w:p w14:paraId="408D273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53</w:t>
            </w:r>
          </w:p>
        </w:tc>
        <w:tc>
          <w:tcPr>
            <w:tcW w:w="1229" w:type="dxa"/>
            <w:shd w:val="clear" w:color="auto" w:fill="auto"/>
            <w:vAlign w:val="center"/>
            <w:hideMark/>
          </w:tcPr>
          <w:p w14:paraId="02263DA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107" w:type="dxa"/>
            <w:shd w:val="clear" w:color="auto" w:fill="auto"/>
            <w:vAlign w:val="center"/>
            <w:hideMark/>
          </w:tcPr>
          <w:p w14:paraId="1017ECE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18DFD103" w14:textId="77777777" w:rsidTr="00A92A69">
        <w:trPr>
          <w:trHeight w:val="319"/>
          <w:jc w:val="center"/>
        </w:trPr>
        <w:tc>
          <w:tcPr>
            <w:tcW w:w="413" w:type="dxa"/>
            <w:shd w:val="clear" w:color="auto" w:fill="9CC2E5" w:themeFill="accent1" w:themeFillTint="99"/>
            <w:vAlign w:val="center"/>
            <w:hideMark/>
          </w:tcPr>
          <w:p w14:paraId="4CA512B7"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25</w:t>
            </w:r>
          </w:p>
        </w:tc>
        <w:tc>
          <w:tcPr>
            <w:tcW w:w="690" w:type="dxa"/>
            <w:shd w:val="clear" w:color="auto" w:fill="auto"/>
            <w:vAlign w:val="center"/>
            <w:hideMark/>
          </w:tcPr>
          <w:p w14:paraId="73CBC5FA"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1953</w:t>
            </w:r>
          </w:p>
        </w:tc>
        <w:tc>
          <w:tcPr>
            <w:tcW w:w="596" w:type="dxa"/>
            <w:shd w:val="clear" w:color="auto" w:fill="auto"/>
            <w:vAlign w:val="center"/>
            <w:hideMark/>
          </w:tcPr>
          <w:p w14:paraId="6B7708C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66</w:t>
            </w:r>
          </w:p>
        </w:tc>
        <w:tc>
          <w:tcPr>
            <w:tcW w:w="1263" w:type="dxa"/>
            <w:shd w:val="clear" w:color="auto" w:fill="auto"/>
            <w:vAlign w:val="center"/>
            <w:hideMark/>
          </w:tcPr>
          <w:p w14:paraId="50985EA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1 321</w:t>
            </w:r>
          </w:p>
        </w:tc>
        <w:tc>
          <w:tcPr>
            <w:tcW w:w="1118" w:type="dxa"/>
            <w:shd w:val="clear" w:color="auto" w:fill="auto"/>
            <w:vAlign w:val="center"/>
            <w:hideMark/>
          </w:tcPr>
          <w:p w14:paraId="00734A7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124</w:t>
            </w:r>
          </w:p>
        </w:tc>
        <w:tc>
          <w:tcPr>
            <w:tcW w:w="1229" w:type="dxa"/>
            <w:shd w:val="clear" w:color="auto" w:fill="auto"/>
            <w:vAlign w:val="center"/>
            <w:hideMark/>
          </w:tcPr>
          <w:p w14:paraId="61FB7F8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107" w:type="dxa"/>
            <w:shd w:val="clear" w:color="auto" w:fill="auto"/>
            <w:vAlign w:val="center"/>
            <w:hideMark/>
          </w:tcPr>
          <w:p w14:paraId="0857696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263" w:type="dxa"/>
            <w:shd w:val="clear" w:color="auto" w:fill="auto"/>
            <w:vAlign w:val="center"/>
            <w:hideMark/>
          </w:tcPr>
          <w:p w14:paraId="1C729AA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287</w:t>
            </w:r>
          </w:p>
        </w:tc>
        <w:tc>
          <w:tcPr>
            <w:tcW w:w="1118" w:type="dxa"/>
            <w:shd w:val="clear" w:color="auto" w:fill="auto"/>
            <w:vAlign w:val="center"/>
            <w:hideMark/>
          </w:tcPr>
          <w:p w14:paraId="73A418D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49</w:t>
            </w:r>
          </w:p>
        </w:tc>
        <w:tc>
          <w:tcPr>
            <w:tcW w:w="1229" w:type="dxa"/>
            <w:shd w:val="clear" w:color="auto" w:fill="auto"/>
            <w:vAlign w:val="center"/>
            <w:hideMark/>
          </w:tcPr>
          <w:p w14:paraId="795ABD7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107" w:type="dxa"/>
            <w:shd w:val="clear" w:color="auto" w:fill="auto"/>
            <w:vAlign w:val="center"/>
            <w:hideMark/>
          </w:tcPr>
          <w:p w14:paraId="2923365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w:t>
            </w:r>
          </w:p>
        </w:tc>
        <w:tc>
          <w:tcPr>
            <w:tcW w:w="1263" w:type="dxa"/>
            <w:shd w:val="clear" w:color="auto" w:fill="auto"/>
            <w:vAlign w:val="center"/>
            <w:hideMark/>
          </w:tcPr>
          <w:p w14:paraId="46E8F67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1 034</w:t>
            </w:r>
          </w:p>
        </w:tc>
        <w:tc>
          <w:tcPr>
            <w:tcW w:w="1118" w:type="dxa"/>
            <w:shd w:val="clear" w:color="auto" w:fill="auto"/>
            <w:vAlign w:val="center"/>
            <w:hideMark/>
          </w:tcPr>
          <w:p w14:paraId="7244BA1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75</w:t>
            </w:r>
          </w:p>
        </w:tc>
        <w:tc>
          <w:tcPr>
            <w:tcW w:w="1229" w:type="dxa"/>
            <w:shd w:val="clear" w:color="auto" w:fill="auto"/>
            <w:vAlign w:val="center"/>
            <w:hideMark/>
          </w:tcPr>
          <w:p w14:paraId="51A3729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w:t>
            </w:r>
          </w:p>
        </w:tc>
        <w:tc>
          <w:tcPr>
            <w:tcW w:w="1107" w:type="dxa"/>
            <w:shd w:val="clear" w:color="auto" w:fill="auto"/>
            <w:vAlign w:val="center"/>
            <w:hideMark/>
          </w:tcPr>
          <w:p w14:paraId="06702FA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r>
      <w:tr w:rsidR="00A92A69" w:rsidRPr="00D90234" w14:paraId="4DAF67D2" w14:textId="77777777" w:rsidTr="00A92A69">
        <w:trPr>
          <w:trHeight w:val="319"/>
          <w:jc w:val="center"/>
        </w:trPr>
        <w:tc>
          <w:tcPr>
            <w:tcW w:w="413" w:type="dxa"/>
            <w:shd w:val="clear" w:color="auto" w:fill="9CC2E5" w:themeFill="accent1" w:themeFillTint="99"/>
            <w:vAlign w:val="center"/>
            <w:hideMark/>
          </w:tcPr>
          <w:p w14:paraId="5D62294B"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26</w:t>
            </w:r>
          </w:p>
        </w:tc>
        <w:tc>
          <w:tcPr>
            <w:tcW w:w="690" w:type="dxa"/>
            <w:shd w:val="clear" w:color="auto" w:fill="auto"/>
            <w:vAlign w:val="center"/>
            <w:hideMark/>
          </w:tcPr>
          <w:p w14:paraId="19D70DD9"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1954</w:t>
            </w:r>
          </w:p>
        </w:tc>
        <w:tc>
          <w:tcPr>
            <w:tcW w:w="596" w:type="dxa"/>
            <w:shd w:val="clear" w:color="auto" w:fill="auto"/>
            <w:vAlign w:val="center"/>
            <w:hideMark/>
          </w:tcPr>
          <w:p w14:paraId="6A3AEB0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65</w:t>
            </w:r>
          </w:p>
        </w:tc>
        <w:tc>
          <w:tcPr>
            <w:tcW w:w="1263" w:type="dxa"/>
            <w:shd w:val="clear" w:color="auto" w:fill="auto"/>
            <w:vAlign w:val="center"/>
            <w:hideMark/>
          </w:tcPr>
          <w:p w14:paraId="7156C03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2 619</w:t>
            </w:r>
          </w:p>
        </w:tc>
        <w:tc>
          <w:tcPr>
            <w:tcW w:w="1118" w:type="dxa"/>
            <w:shd w:val="clear" w:color="auto" w:fill="auto"/>
            <w:vAlign w:val="center"/>
            <w:hideMark/>
          </w:tcPr>
          <w:p w14:paraId="2819981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199</w:t>
            </w:r>
          </w:p>
        </w:tc>
        <w:tc>
          <w:tcPr>
            <w:tcW w:w="1229" w:type="dxa"/>
            <w:shd w:val="clear" w:color="auto" w:fill="auto"/>
            <w:vAlign w:val="center"/>
            <w:hideMark/>
          </w:tcPr>
          <w:p w14:paraId="78EC592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w:t>
            </w:r>
          </w:p>
        </w:tc>
        <w:tc>
          <w:tcPr>
            <w:tcW w:w="1107" w:type="dxa"/>
            <w:shd w:val="clear" w:color="auto" w:fill="auto"/>
            <w:vAlign w:val="center"/>
            <w:hideMark/>
          </w:tcPr>
          <w:p w14:paraId="1E264E1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3E8DD4E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442</w:t>
            </w:r>
          </w:p>
        </w:tc>
        <w:tc>
          <w:tcPr>
            <w:tcW w:w="1118" w:type="dxa"/>
            <w:shd w:val="clear" w:color="auto" w:fill="auto"/>
            <w:vAlign w:val="center"/>
            <w:hideMark/>
          </w:tcPr>
          <w:p w14:paraId="622D0C3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52</w:t>
            </w:r>
          </w:p>
        </w:tc>
        <w:tc>
          <w:tcPr>
            <w:tcW w:w="1229" w:type="dxa"/>
            <w:shd w:val="clear" w:color="auto" w:fill="auto"/>
            <w:vAlign w:val="center"/>
            <w:hideMark/>
          </w:tcPr>
          <w:p w14:paraId="753973B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107" w:type="dxa"/>
            <w:shd w:val="clear" w:color="auto" w:fill="auto"/>
            <w:vAlign w:val="center"/>
            <w:hideMark/>
          </w:tcPr>
          <w:p w14:paraId="38190AF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c>
          <w:tcPr>
            <w:tcW w:w="1263" w:type="dxa"/>
            <w:shd w:val="clear" w:color="auto" w:fill="auto"/>
            <w:vAlign w:val="center"/>
            <w:hideMark/>
          </w:tcPr>
          <w:p w14:paraId="33C7B87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2 177</w:t>
            </w:r>
          </w:p>
        </w:tc>
        <w:tc>
          <w:tcPr>
            <w:tcW w:w="1118" w:type="dxa"/>
            <w:shd w:val="clear" w:color="auto" w:fill="auto"/>
            <w:vAlign w:val="center"/>
            <w:hideMark/>
          </w:tcPr>
          <w:p w14:paraId="0FFCB9A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147</w:t>
            </w:r>
          </w:p>
        </w:tc>
        <w:tc>
          <w:tcPr>
            <w:tcW w:w="1229" w:type="dxa"/>
            <w:shd w:val="clear" w:color="auto" w:fill="auto"/>
            <w:vAlign w:val="center"/>
            <w:hideMark/>
          </w:tcPr>
          <w:p w14:paraId="6D6AD7E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107" w:type="dxa"/>
            <w:shd w:val="clear" w:color="auto" w:fill="auto"/>
            <w:vAlign w:val="center"/>
            <w:hideMark/>
          </w:tcPr>
          <w:p w14:paraId="36EA183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1B94261C" w14:textId="77777777" w:rsidTr="00A92A69">
        <w:trPr>
          <w:trHeight w:val="319"/>
          <w:jc w:val="center"/>
        </w:trPr>
        <w:tc>
          <w:tcPr>
            <w:tcW w:w="413" w:type="dxa"/>
            <w:shd w:val="clear" w:color="auto" w:fill="9CC2E5" w:themeFill="accent1" w:themeFillTint="99"/>
            <w:vAlign w:val="center"/>
            <w:hideMark/>
          </w:tcPr>
          <w:p w14:paraId="5D2EB077"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27</w:t>
            </w:r>
          </w:p>
        </w:tc>
        <w:tc>
          <w:tcPr>
            <w:tcW w:w="690" w:type="dxa"/>
            <w:shd w:val="clear" w:color="auto" w:fill="auto"/>
            <w:vAlign w:val="center"/>
            <w:hideMark/>
          </w:tcPr>
          <w:p w14:paraId="6334A284"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1955</w:t>
            </w:r>
          </w:p>
        </w:tc>
        <w:tc>
          <w:tcPr>
            <w:tcW w:w="596" w:type="dxa"/>
            <w:shd w:val="clear" w:color="auto" w:fill="auto"/>
            <w:vAlign w:val="center"/>
            <w:hideMark/>
          </w:tcPr>
          <w:p w14:paraId="754B814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64</w:t>
            </w:r>
          </w:p>
        </w:tc>
        <w:tc>
          <w:tcPr>
            <w:tcW w:w="1263" w:type="dxa"/>
            <w:shd w:val="clear" w:color="auto" w:fill="auto"/>
            <w:vAlign w:val="center"/>
            <w:hideMark/>
          </w:tcPr>
          <w:p w14:paraId="6CAAC2F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9 502</w:t>
            </w:r>
          </w:p>
        </w:tc>
        <w:tc>
          <w:tcPr>
            <w:tcW w:w="1118" w:type="dxa"/>
            <w:shd w:val="clear" w:color="auto" w:fill="auto"/>
            <w:vAlign w:val="center"/>
            <w:hideMark/>
          </w:tcPr>
          <w:p w14:paraId="6E06D05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702</w:t>
            </w:r>
          </w:p>
        </w:tc>
        <w:tc>
          <w:tcPr>
            <w:tcW w:w="1229" w:type="dxa"/>
            <w:shd w:val="clear" w:color="auto" w:fill="auto"/>
            <w:vAlign w:val="center"/>
            <w:hideMark/>
          </w:tcPr>
          <w:p w14:paraId="1673FD5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w:t>
            </w:r>
          </w:p>
        </w:tc>
        <w:tc>
          <w:tcPr>
            <w:tcW w:w="1107" w:type="dxa"/>
            <w:shd w:val="clear" w:color="auto" w:fill="auto"/>
            <w:vAlign w:val="center"/>
            <w:hideMark/>
          </w:tcPr>
          <w:p w14:paraId="7AC9C03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w:t>
            </w:r>
          </w:p>
        </w:tc>
        <w:tc>
          <w:tcPr>
            <w:tcW w:w="1263" w:type="dxa"/>
            <w:shd w:val="clear" w:color="auto" w:fill="auto"/>
            <w:vAlign w:val="center"/>
            <w:hideMark/>
          </w:tcPr>
          <w:p w14:paraId="28DF521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636</w:t>
            </w:r>
          </w:p>
        </w:tc>
        <w:tc>
          <w:tcPr>
            <w:tcW w:w="1118" w:type="dxa"/>
            <w:shd w:val="clear" w:color="auto" w:fill="auto"/>
            <w:vAlign w:val="center"/>
            <w:hideMark/>
          </w:tcPr>
          <w:p w14:paraId="1A5C6BF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58</w:t>
            </w:r>
          </w:p>
        </w:tc>
        <w:tc>
          <w:tcPr>
            <w:tcW w:w="1229" w:type="dxa"/>
            <w:shd w:val="clear" w:color="auto" w:fill="auto"/>
            <w:vAlign w:val="center"/>
            <w:hideMark/>
          </w:tcPr>
          <w:p w14:paraId="66A673A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c>
          <w:tcPr>
            <w:tcW w:w="1107" w:type="dxa"/>
            <w:shd w:val="clear" w:color="auto" w:fill="auto"/>
            <w:vAlign w:val="center"/>
            <w:hideMark/>
          </w:tcPr>
          <w:p w14:paraId="1AB01C8C"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63" w:type="dxa"/>
            <w:shd w:val="clear" w:color="auto" w:fill="auto"/>
            <w:vAlign w:val="center"/>
            <w:hideMark/>
          </w:tcPr>
          <w:p w14:paraId="7143EDE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8 866</w:t>
            </w:r>
          </w:p>
        </w:tc>
        <w:tc>
          <w:tcPr>
            <w:tcW w:w="1118" w:type="dxa"/>
            <w:shd w:val="clear" w:color="auto" w:fill="auto"/>
            <w:vAlign w:val="center"/>
            <w:hideMark/>
          </w:tcPr>
          <w:p w14:paraId="560A252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644</w:t>
            </w:r>
          </w:p>
        </w:tc>
        <w:tc>
          <w:tcPr>
            <w:tcW w:w="1229" w:type="dxa"/>
            <w:shd w:val="clear" w:color="auto" w:fill="auto"/>
            <w:vAlign w:val="center"/>
            <w:hideMark/>
          </w:tcPr>
          <w:p w14:paraId="5E406DE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16</w:t>
            </w:r>
          </w:p>
        </w:tc>
        <w:tc>
          <w:tcPr>
            <w:tcW w:w="1107" w:type="dxa"/>
            <w:shd w:val="clear" w:color="auto" w:fill="auto"/>
            <w:vAlign w:val="center"/>
            <w:hideMark/>
          </w:tcPr>
          <w:p w14:paraId="68C6541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r>
      <w:tr w:rsidR="00A92A69" w:rsidRPr="00D90234" w14:paraId="25ABB02A" w14:textId="77777777" w:rsidTr="00A92A69">
        <w:trPr>
          <w:trHeight w:val="319"/>
          <w:jc w:val="center"/>
        </w:trPr>
        <w:tc>
          <w:tcPr>
            <w:tcW w:w="413" w:type="dxa"/>
            <w:shd w:val="clear" w:color="auto" w:fill="9CC2E5" w:themeFill="accent1" w:themeFillTint="99"/>
            <w:vAlign w:val="center"/>
            <w:hideMark/>
          </w:tcPr>
          <w:p w14:paraId="1D86C56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28</w:t>
            </w:r>
          </w:p>
        </w:tc>
        <w:tc>
          <w:tcPr>
            <w:tcW w:w="690" w:type="dxa"/>
            <w:shd w:val="clear" w:color="auto" w:fill="auto"/>
            <w:vAlign w:val="center"/>
            <w:hideMark/>
          </w:tcPr>
          <w:p w14:paraId="564FFA5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1956</w:t>
            </w:r>
          </w:p>
        </w:tc>
        <w:tc>
          <w:tcPr>
            <w:tcW w:w="596" w:type="dxa"/>
            <w:shd w:val="clear" w:color="auto" w:fill="auto"/>
            <w:vAlign w:val="center"/>
            <w:hideMark/>
          </w:tcPr>
          <w:p w14:paraId="5543304C"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63</w:t>
            </w:r>
          </w:p>
        </w:tc>
        <w:tc>
          <w:tcPr>
            <w:tcW w:w="1263" w:type="dxa"/>
            <w:shd w:val="clear" w:color="auto" w:fill="auto"/>
            <w:vAlign w:val="center"/>
            <w:hideMark/>
          </w:tcPr>
          <w:p w14:paraId="0DA0ADE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9 665</w:t>
            </w:r>
          </w:p>
        </w:tc>
        <w:tc>
          <w:tcPr>
            <w:tcW w:w="1118" w:type="dxa"/>
            <w:shd w:val="clear" w:color="auto" w:fill="auto"/>
            <w:vAlign w:val="center"/>
            <w:hideMark/>
          </w:tcPr>
          <w:p w14:paraId="683C25AC"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817</w:t>
            </w:r>
          </w:p>
        </w:tc>
        <w:tc>
          <w:tcPr>
            <w:tcW w:w="1229" w:type="dxa"/>
            <w:shd w:val="clear" w:color="auto" w:fill="auto"/>
            <w:vAlign w:val="center"/>
            <w:hideMark/>
          </w:tcPr>
          <w:p w14:paraId="667E1E8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28</w:t>
            </w:r>
          </w:p>
        </w:tc>
        <w:tc>
          <w:tcPr>
            <w:tcW w:w="1107" w:type="dxa"/>
            <w:shd w:val="clear" w:color="auto" w:fill="auto"/>
            <w:vAlign w:val="center"/>
            <w:hideMark/>
          </w:tcPr>
          <w:p w14:paraId="0F65581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63" w:type="dxa"/>
            <w:shd w:val="clear" w:color="auto" w:fill="auto"/>
            <w:vAlign w:val="center"/>
            <w:hideMark/>
          </w:tcPr>
          <w:p w14:paraId="3DF03AC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893</w:t>
            </w:r>
          </w:p>
        </w:tc>
        <w:tc>
          <w:tcPr>
            <w:tcW w:w="1118" w:type="dxa"/>
            <w:shd w:val="clear" w:color="auto" w:fill="auto"/>
            <w:vAlign w:val="center"/>
            <w:hideMark/>
          </w:tcPr>
          <w:p w14:paraId="440C8DE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72</w:t>
            </w:r>
          </w:p>
        </w:tc>
        <w:tc>
          <w:tcPr>
            <w:tcW w:w="1229" w:type="dxa"/>
            <w:shd w:val="clear" w:color="auto" w:fill="auto"/>
            <w:vAlign w:val="center"/>
            <w:hideMark/>
          </w:tcPr>
          <w:p w14:paraId="30ACE96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w:t>
            </w:r>
          </w:p>
        </w:tc>
        <w:tc>
          <w:tcPr>
            <w:tcW w:w="1107" w:type="dxa"/>
            <w:shd w:val="clear" w:color="auto" w:fill="auto"/>
            <w:vAlign w:val="center"/>
            <w:hideMark/>
          </w:tcPr>
          <w:p w14:paraId="7482F26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w:t>
            </w:r>
          </w:p>
        </w:tc>
        <w:tc>
          <w:tcPr>
            <w:tcW w:w="1263" w:type="dxa"/>
            <w:shd w:val="clear" w:color="auto" w:fill="auto"/>
            <w:vAlign w:val="center"/>
            <w:hideMark/>
          </w:tcPr>
          <w:p w14:paraId="5E994489"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8 772</w:t>
            </w:r>
          </w:p>
        </w:tc>
        <w:tc>
          <w:tcPr>
            <w:tcW w:w="1118" w:type="dxa"/>
            <w:shd w:val="clear" w:color="auto" w:fill="auto"/>
            <w:vAlign w:val="center"/>
            <w:hideMark/>
          </w:tcPr>
          <w:p w14:paraId="38E718C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745</w:t>
            </w:r>
          </w:p>
        </w:tc>
        <w:tc>
          <w:tcPr>
            <w:tcW w:w="1229" w:type="dxa"/>
            <w:shd w:val="clear" w:color="auto" w:fill="auto"/>
            <w:vAlign w:val="center"/>
            <w:hideMark/>
          </w:tcPr>
          <w:p w14:paraId="14AD8DE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21</w:t>
            </w:r>
          </w:p>
        </w:tc>
        <w:tc>
          <w:tcPr>
            <w:tcW w:w="1107" w:type="dxa"/>
            <w:shd w:val="clear" w:color="auto" w:fill="auto"/>
            <w:vAlign w:val="center"/>
            <w:hideMark/>
          </w:tcPr>
          <w:p w14:paraId="612A0FC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2D0E661B" w14:textId="77777777" w:rsidTr="00A92A69">
        <w:trPr>
          <w:trHeight w:val="319"/>
          <w:jc w:val="center"/>
        </w:trPr>
        <w:tc>
          <w:tcPr>
            <w:tcW w:w="413" w:type="dxa"/>
            <w:shd w:val="clear" w:color="auto" w:fill="9CC2E5" w:themeFill="accent1" w:themeFillTint="99"/>
            <w:vAlign w:val="center"/>
            <w:hideMark/>
          </w:tcPr>
          <w:p w14:paraId="46920C8E"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29</w:t>
            </w:r>
          </w:p>
        </w:tc>
        <w:tc>
          <w:tcPr>
            <w:tcW w:w="690" w:type="dxa"/>
            <w:shd w:val="clear" w:color="auto" w:fill="auto"/>
            <w:vAlign w:val="center"/>
            <w:hideMark/>
          </w:tcPr>
          <w:p w14:paraId="6BF8807F"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1957</w:t>
            </w:r>
          </w:p>
        </w:tc>
        <w:tc>
          <w:tcPr>
            <w:tcW w:w="596" w:type="dxa"/>
            <w:shd w:val="clear" w:color="auto" w:fill="auto"/>
            <w:vAlign w:val="center"/>
            <w:hideMark/>
          </w:tcPr>
          <w:p w14:paraId="37666AF8"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62</w:t>
            </w:r>
          </w:p>
        </w:tc>
        <w:tc>
          <w:tcPr>
            <w:tcW w:w="1263" w:type="dxa"/>
            <w:shd w:val="clear" w:color="auto" w:fill="auto"/>
            <w:vAlign w:val="center"/>
            <w:hideMark/>
          </w:tcPr>
          <w:p w14:paraId="6F22760C"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11 329</w:t>
            </w:r>
          </w:p>
        </w:tc>
        <w:tc>
          <w:tcPr>
            <w:tcW w:w="1118" w:type="dxa"/>
            <w:shd w:val="clear" w:color="auto" w:fill="auto"/>
            <w:vAlign w:val="center"/>
            <w:hideMark/>
          </w:tcPr>
          <w:p w14:paraId="18178EEA"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882</w:t>
            </w:r>
          </w:p>
        </w:tc>
        <w:tc>
          <w:tcPr>
            <w:tcW w:w="1229" w:type="dxa"/>
            <w:shd w:val="clear" w:color="auto" w:fill="auto"/>
            <w:vAlign w:val="center"/>
            <w:hideMark/>
          </w:tcPr>
          <w:p w14:paraId="5AD277D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39</w:t>
            </w:r>
          </w:p>
        </w:tc>
        <w:tc>
          <w:tcPr>
            <w:tcW w:w="1107" w:type="dxa"/>
            <w:shd w:val="clear" w:color="auto" w:fill="auto"/>
            <w:vAlign w:val="center"/>
            <w:hideMark/>
          </w:tcPr>
          <w:p w14:paraId="574CE60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w:t>
            </w:r>
          </w:p>
        </w:tc>
        <w:tc>
          <w:tcPr>
            <w:tcW w:w="1263" w:type="dxa"/>
            <w:shd w:val="clear" w:color="auto" w:fill="auto"/>
            <w:vAlign w:val="center"/>
            <w:hideMark/>
          </w:tcPr>
          <w:p w14:paraId="3C21496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1 155</w:t>
            </w:r>
          </w:p>
        </w:tc>
        <w:tc>
          <w:tcPr>
            <w:tcW w:w="1118" w:type="dxa"/>
            <w:shd w:val="clear" w:color="auto" w:fill="auto"/>
            <w:vAlign w:val="center"/>
            <w:hideMark/>
          </w:tcPr>
          <w:p w14:paraId="6408AF8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103</w:t>
            </w:r>
          </w:p>
        </w:tc>
        <w:tc>
          <w:tcPr>
            <w:tcW w:w="1229" w:type="dxa"/>
            <w:shd w:val="clear" w:color="auto" w:fill="auto"/>
            <w:vAlign w:val="center"/>
            <w:hideMark/>
          </w:tcPr>
          <w:p w14:paraId="3C41DA9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14</w:t>
            </w:r>
          </w:p>
        </w:tc>
        <w:tc>
          <w:tcPr>
            <w:tcW w:w="1107" w:type="dxa"/>
            <w:shd w:val="clear" w:color="auto" w:fill="auto"/>
            <w:vAlign w:val="center"/>
            <w:hideMark/>
          </w:tcPr>
          <w:p w14:paraId="456B3D2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w:t>
            </w:r>
          </w:p>
        </w:tc>
        <w:tc>
          <w:tcPr>
            <w:tcW w:w="1263" w:type="dxa"/>
            <w:shd w:val="clear" w:color="auto" w:fill="auto"/>
            <w:vAlign w:val="center"/>
            <w:hideMark/>
          </w:tcPr>
          <w:p w14:paraId="3E14DAE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10 174</w:t>
            </w:r>
          </w:p>
        </w:tc>
        <w:tc>
          <w:tcPr>
            <w:tcW w:w="1118" w:type="dxa"/>
            <w:shd w:val="clear" w:color="auto" w:fill="auto"/>
            <w:vAlign w:val="center"/>
            <w:hideMark/>
          </w:tcPr>
          <w:p w14:paraId="411EA76F"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779</w:t>
            </w:r>
          </w:p>
        </w:tc>
        <w:tc>
          <w:tcPr>
            <w:tcW w:w="1229" w:type="dxa"/>
            <w:shd w:val="clear" w:color="auto" w:fill="auto"/>
            <w:vAlign w:val="center"/>
            <w:hideMark/>
          </w:tcPr>
          <w:p w14:paraId="500A2D2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25</w:t>
            </w:r>
          </w:p>
        </w:tc>
        <w:tc>
          <w:tcPr>
            <w:tcW w:w="1107" w:type="dxa"/>
            <w:shd w:val="clear" w:color="auto" w:fill="auto"/>
            <w:vAlign w:val="center"/>
            <w:hideMark/>
          </w:tcPr>
          <w:p w14:paraId="31733D9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0</w:t>
            </w:r>
          </w:p>
        </w:tc>
      </w:tr>
      <w:tr w:rsidR="00A92A69" w:rsidRPr="00D90234" w14:paraId="71BC930A" w14:textId="77777777" w:rsidTr="00A92A69">
        <w:trPr>
          <w:trHeight w:val="319"/>
          <w:jc w:val="center"/>
        </w:trPr>
        <w:tc>
          <w:tcPr>
            <w:tcW w:w="413" w:type="dxa"/>
            <w:shd w:val="clear" w:color="auto" w:fill="9CC2E5" w:themeFill="accent1" w:themeFillTint="99"/>
            <w:vAlign w:val="center"/>
            <w:hideMark/>
          </w:tcPr>
          <w:p w14:paraId="1C6FDFA5"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30</w:t>
            </w:r>
          </w:p>
        </w:tc>
        <w:tc>
          <w:tcPr>
            <w:tcW w:w="690" w:type="dxa"/>
            <w:shd w:val="clear" w:color="auto" w:fill="auto"/>
            <w:vAlign w:val="center"/>
            <w:hideMark/>
          </w:tcPr>
          <w:p w14:paraId="0AE37B83"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1958</w:t>
            </w:r>
          </w:p>
        </w:tc>
        <w:tc>
          <w:tcPr>
            <w:tcW w:w="596" w:type="dxa"/>
            <w:shd w:val="clear" w:color="auto" w:fill="auto"/>
            <w:vAlign w:val="center"/>
            <w:hideMark/>
          </w:tcPr>
          <w:p w14:paraId="5405F767"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61</w:t>
            </w:r>
          </w:p>
        </w:tc>
        <w:tc>
          <w:tcPr>
            <w:tcW w:w="1263" w:type="dxa"/>
            <w:shd w:val="clear" w:color="auto" w:fill="auto"/>
            <w:vAlign w:val="center"/>
            <w:hideMark/>
          </w:tcPr>
          <w:p w14:paraId="03F107B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18 427</w:t>
            </w:r>
          </w:p>
        </w:tc>
        <w:tc>
          <w:tcPr>
            <w:tcW w:w="1118" w:type="dxa"/>
            <w:shd w:val="clear" w:color="auto" w:fill="auto"/>
            <w:vAlign w:val="center"/>
            <w:hideMark/>
          </w:tcPr>
          <w:p w14:paraId="50C163B3"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1 992</w:t>
            </w:r>
          </w:p>
        </w:tc>
        <w:tc>
          <w:tcPr>
            <w:tcW w:w="1229" w:type="dxa"/>
            <w:shd w:val="clear" w:color="auto" w:fill="auto"/>
            <w:vAlign w:val="center"/>
            <w:hideMark/>
          </w:tcPr>
          <w:p w14:paraId="261AA5A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50</w:t>
            </w:r>
          </w:p>
        </w:tc>
        <w:tc>
          <w:tcPr>
            <w:tcW w:w="1107" w:type="dxa"/>
            <w:shd w:val="clear" w:color="auto" w:fill="auto"/>
            <w:vAlign w:val="center"/>
            <w:hideMark/>
          </w:tcPr>
          <w:p w14:paraId="67524A37"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w:t>
            </w:r>
          </w:p>
        </w:tc>
        <w:tc>
          <w:tcPr>
            <w:tcW w:w="1263" w:type="dxa"/>
            <w:shd w:val="clear" w:color="auto" w:fill="auto"/>
            <w:vAlign w:val="center"/>
            <w:hideMark/>
          </w:tcPr>
          <w:p w14:paraId="5AF6098E"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1 698</w:t>
            </w:r>
          </w:p>
        </w:tc>
        <w:tc>
          <w:tcPr>
            <w:tcW w:w="1118" w:type="dxa"/>
            <w:shd w:val="clear" w:color="auto" w:fill="auto"/>
            <w:vAlign w:val="center"/>
            <w:hideMark/>
          </w:tcPr>
          <w:p w14:paraId="2BD963CE"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118</w:t>
            </w:r>
          </w:p>
        </w:tc>
        <w:tc>
          <w:tcPr>
            <w:tcW w:w="1229" w:type="dxa"/>
            <w:shd w:val="clear" w:color="auto" w:fill="auto"/>
            <w:vAlign w:val="center"/>
            <w:hideMark/>
          </w:tcPr>
          <w:p w14:paraId="4DD699CC"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22</w:t>
            </w:r>
          </w:p>
        </w:tc>
        <w:tc>
          <w:tcPr>
            <w:tcW w:w="1107" w:type="dxa"/>
            <w:shd w:val="clear" w:color="auto" w:fill="auto"/>
            <w:vAlign w:val="center"/>
            <w:hideMark/>
          </w:tcPr>
          <w:p w14:paraId="3CD6F748"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4</w:t>
            </w:r>
          </w:p>
        </w:tc>
        <w:tc>
          <w:tcPr>
            <w:tcW w:w="1263" w:type="dxa"/>
            <w:shd w:val="clear" w:color="auto" w:fill="auto"/>
            <w:vAlign w:val="center"/>
            <w:hideMark/>
          </w:tcPr>
          <w:p w14:paraId="1DD96CA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16 729</w:t>
            </w:r>
          </w:p>
        </w:tc>
        <w:tc>
          <w:tcPr>
            <w:tcW w:w="1118" w:type="dxa"/>
            <w:shd w:val="clear" w:color="auto" w:fill="auto"/>
            <w:vAlign w:val="center"/>
            <w:hideMark/>
          </w:tcPr>
          <w:p w14:paraId="392956C6"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1 874</w:t>
            </w:r>
          </w:p>
        </w:tc>
        <w:tc>
          <w:tcPr>
            <w:tcW w:w="1229" w:type="dxa"/>
            <w:shd w:val="clear" w:color="auto" w:fill="auto"/>
            <w:vAlign w:val="center"/>
            <w:hideMark/>
          </w:tcPr>
          <w:p w14:paraId="01F2AE3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28</w:t>
            </w:r>
          </w:p>
        </w:tc>
        <w:tc>
          <w:tcPr>
            <w:tcW w:w="1107" w:type="dxa"/>
            <w:shd w:val="clear" w:color="auto" w:fill="auto"/>
            <w:vAlign w:val="center"/>
            <w:hideMark/>
          </w:tcPr>
          <w:p w14:paraId="5611537C"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r>
      <w:tr w:rsidR="00A92A69" w:rsidRPr="00D90234" w14:paraId="66481840" w14:textId="77777777" w:rsidTr="00A92A69">
        <w:trPr>
          <w:trHeight w:val="319"/>
          <w:jc w:val="center"/>
        </w:trPr>
        <w:tc>
          <w:tcPr>
            <w:tcW w:w="413" w:type="dxa"/>
            <w:shd w:val="clear" w:color="auto" w:fill="9CC2E5" w:themeFill="accent1" w:themeFillTint="99"/>
            <w:vAlign w:val="center"/>
            <w:hideMark/>
          </w:tcPr>
          <w:p w14:paraId="6A61D30D"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31</w:t>
            </w:r>
          </w:p>
        </w:tc>
        <w:tc>
          <w:tcPr>
            <w:tcW w:w="690" w:type="dxa"/>
            <w:shd w:val="clear" w:color="auto" w:fill="auto"/>
            <w:vAlign w:val="center"/>
            <w:hideMark/>
          </w:tcPr>
          <w:p w14:paraId="45EA93A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1959</w:t>
            </w:r>
          </w:p>
        </w:tc>
        <w:tc>
          <w:tcPr>
            <w:tcW w:w="596" w:type="dxa"/>
            <w:shd w:val="clear" w:color="auto" w:fill="auto"/>
            <w:vAlign w:val="center"/>
            <w:hideMark/>
          </w:tcPr>
          <w:p w14:paraId="532E75A2" w14:textId="77777777" w:rsidR="00A92A69" w:rsidRPr="00D90234" w:rsidRDefault="00A92A69" w:rsidP="00A92A69">
            <w:pPr>
              <w:spacing w:after="0" w:line="240" w:lineRule="auto"/>
              <w:jc w:val="center"/>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60</w:t>
            </w:r>
          </w:p>
        </w:tc>
        <w:tc>
          <w:tcPr>
            <w:tcW w:w="1263" w:type="dxa"/>
            <w:shd w:val="clear" w:color="auto" w:fill="auto"/>
            <w:vAlign w:val="center"/>
            <w:hideMark/>
          </w:tcPr>
          <w:p w14:paraId="3863A224"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21 343</w:t>
            </w:r>
          </w:p>
        </w:tc>
        <w:tc>
          <w:tcPr>
            <w:tcW w:w="1118" w:type="dxa"/>
            <w:shd w:val="clear" w:color="auto" w:fill="auto"/>
            <w:vAlign w:val="center"/>
            <w:hideMark/>
          </w:tcPr>
          <w:p w14:paraId="6150143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1 893</w:t>
            </w:r>
          </w:p>
        </w:tc>
        <w:tc>
          <w:tcPr>
            <w:tcW w:w="1229" w:type="dxa"/>
            <w:shd w:val="clear" w:color="auto" w:fill="auto"/>
            <w:vAlign w:val="center"/>
            <w:hideMark/>
          </w:tcPr>
          <w:p w14:paraId="5823A930"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71</w:t>
            </w:r>
          </w:p>
        </w:tc>
        <w:tc>
          <w:tcPr>
            <w:tcW w:w="1107" w:type="dxa"/>
            <w:shd w:val="clear" w:color="auto" w:fill="auto"/>
            <w:vAlign w:val="center"/>
            <w:hideMark/>
          </w:tcPr>
          <w:p w14:paraId="6B1E8D4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9</w:t>
            </w:r>
          </w:p>
        </w:tc>
        <w:tc>
          <w:tcPr>
            <w:tcW w:w="1263" w:type="dxa"/>
            <w:shd w:val="clear" w:color="auto" w:fill="auto"/>
            <w:vAlign w:val="center"/>
            <w:hideMark/>
          </w:tcPr>
          <w:p w14:paraId="0E1E936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3 267</w:t>
            </w:r>
          </w:p>
        </w:tc>
        <w:tc>
          <w:tcPr>
            <w:tcW w:w="1118" w:type="dxa"/>
            <w:shd w:val="clear" w:color="auto" w:fill="auto"/>
            <w:vAlign w:val="center"/>
            <w:hideMark/>
          </w:tcPr>
          <w:p w14:paraId="460A336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247</w:t>
            </w:r>
          </w:p>
        </w:tc>
        <w:tc>
          <w:tcPr>
            <w:tcW w:w="1229" w:type="dxa"/>
            <w:shd w:val="clear" w:color="auto" w:fill="auto"/>
            <w:vAlign w:val="center"/>
            <w:hideMark/>
          </w:tcPr>
          <w:p w14:paraId="10620355"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33</w:t>
            </w:r>
          </w:p>
        </w:tc>
        <w:tc>
          <w:tcPr>
            <w:tcW w:w="1107" w:type="dxa"/>
            <w:shd w:val="clear" w:color="auto" w:fill="auto"/>
            <w:vAlign w:val="center"/>
            <w:hideMark/>
          </w:tcPr>
          <w:p w14:paraId="1B26875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6</w:t>
            </w:r>
          </w:p>
        </w:tc>
        <w:tc>
          <w:tcPr>
            <w:tcW w:w="1263" w:type="dxa"/>
            <w:shd w:val="clear" w:color="auto" w:fill="auto"/>
            <w:vAlign w:val="center"/>
            <w:hideMark/>
          </w:tcPr>
          <w:p w14:paraId="30237FBB"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18 076</w:t>
            </w:r>
          </w:p>
        </w:tc>
        <w:tc>
          <w:tcPr>
            <w:tcW w:w="1118" w:type="dxa"/>
            <w:shd w:val="clear" w:color="auto" w:fill="auto"/>
            <w:vAlign w:val="center"/>
            <w:hideMark/>
          </w:tcPr>
          <w:p w14:paraId="5CE80252"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1 646</w:t>
            </w:r>
          </w:p>
        </w:tc>
        <w:tc>
          <w:tcPr>
            <w:tcW w:w="1229" w:type="dxa"/>
            <w:shd w:val="clear" w:color="auto" w:fill="auto"/>
            <w:vAlign w:val="center"/>
            <w:hideMark/>
          </w:tcPr>
          <w:p w14:paraId="4BADF861"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38</w:t>
            </w:r>
          </w:p>
        </w:tc>
        <w:tc>
          <w:tcPr>
            <w:tcW w:w="1107" w:type="dxa"/>
            <w:shd w:val="clear" w:color="auto" w:fill="auto"/>
            <w:vAlign w:val="center"/>
            <w:hideMark/>
          </w:tcPr>
          <w:p w14:paraId="6C1E6CFD" w14:textId="77777777" w:rsidR="00A92A69" w:rsidRPr="00D90234" w:rsidRDefault="00A92A69" w:rsidP="00A92A69">
            <w:pPr>
              <w:spacing w:after="0" w:line="240" w:lineRule="auto"/>
              <w:jc w:val="right"/>
              <w:rPr>
                <w:rFonts w:ascii="Times New Roman" w:eastAsia="Times New Roman" w:hAnsi="Times New Roman" w:cs="Times New Roman"/>
                <w:color w:val="000000"/>
                <w:sz w:val="20"/>
                <w:szCs w:val="20"/>
                <w:lang w:eastAsia="pl-PL"/>
              </w:rPr>
            </w:pPr>
            <w:r w:rsidRPr="00D90234">
              <w:rPr>
                <w:rFonts w:ascii="Times New Roman" w:eastAsia="Times New Roman" w:hAnsi="Times New Roman" w:cs="Times New Roman"/>
                <w:color w:val="000000"/>
                <w:sz w:val="20"/>
                <w:szCs w:val="20"/>
                <w:lang w:eastAsia="pl-PL"/>
              </w:rPr>
              <w:t>3</w:t>
            </w:r>
          </w:p>
        </w:tc>
      </w:tr>
      <w:tr w:rsidR="00A92A69" w:rsidRPr="00D90234" w14:paraId="4FF786A5" w14:textId="77777777" w:rsidTr="00A92A69">
        <w:trPr>
          <w:trHeight w:val="420"/>
          <w:jc w:val="center"/>
        </w:trPr>
        <w:tc>
          <w:tcPr>
            <w:tcW w:w="1699" w:type="dxa"/>
            <w:gridSpan w:val="3"/>
            <w:vMerge w:val="restart"/>
            <w:shd w:val="clear" w:color="auto" w:fill="9CC2E5" w:themeFill="accent1" w:themeFillTint="99"/>
            <w:vAlign w:val="center"/>
            <w:hideMark/>
          </w:tcPr>
          <w:p w14:paraId="76D73047"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Razem</w:t>
            </w:r>
          </w:p>
        </w:tc>
        <w:tc>
          <w:tcPr>
            <w:tcW w:w="1263" w:type="dxa"/>
            <w:shd w:val="clear" w:color="auto" w:fill="auto"/>
            <w:vAlign w:val="center"/>
            <w:hideMark/>
          </w:tcPr>
          <w:p w14:paraId="38641C9D"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77 462</w:t>
            </w:r>
          </w:p>
        </w:tc>
        <w:tc>
          <w:tcPr>
            <w:tcW w:w="1118" w:type="dxa"/>
            <w:shd w:val="clear" w:color="auto" w:fill="auto"/>
            <w:vAlign w:val="center"/>
            <w:hideMark/>
          </w:tcPr>
          <w:p w14:paraId="73AA8095"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7 379</w:t>
            </w:r>
          </w:p>
        </w:tc>
        <w:tc>
          <w:tcPr>
            <w:tcW w:w="1229" w:type="dxa"/>
            <w:shd w:val="clear" w:color="auto" w:fill="auto"/>
            <w:vAlign w:val="center"/>
            <w:hideMark/>
          </w:tcPr>
          <w:p w14:paraId="6F13D441"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213</w:t>
            </w:r>
          </w:p>
        </w:tc>
        <w:tc>
          <w:tcPr>
            <w:tcW w:w="1107" w:type="dxa"/>
            <w:shd w:val="clear" w:color="auto" w:fill="auto"/>
            <w:vAlign w:val="center"/>
            <w:hideMark/>
          </w:tcPr>
          <w:p w14:paraId="66C2B2D4"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30</w:t>
            </w:r>
          </w:p>
        </w:tc>
        <w:tc>
          <w:tcPr>
            <w:tcW w:w="1263" w:type="dxa"/>
            <w:shd w:val="clear" w:color="auto" w:fill="auto"/>
            <w:vAlign w:val="center"/>
            <w:hideMark/>
          </w:tcPr>
          <w:p w14:paraId="56535A89"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9 264</w:t>
            </w:r>
          </w:p>
        </w:tc>
        <w:tc>
          <w:tcPr>
            <w:tcW w:w="1118" w:type="dxa"/>
            <w:shd w:val="clear" w:color="auto" w:fill="auto"/>
            <w:vAlign w:val="center"/>
            <w:hideMark/>
          </w:tcPr>
          <w:p w14:paraId="56C52CB5"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1 077</w:t>
            </w:r>
          </w:p>
        </w:tc>
        <w:tc>
          <w:tcPr>
            <w:tcW w:w="1229" w:type="dxa"/>
            <w:shd w:val="clear" w:color="auto" w:fill="auto"/>
            <w:vAlign w:val="center"/>
            <w:hideMark/>
          </w:tcPr>
          <w:p w14:paraId="65510E05"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82</w:t>
            </w:r>
          </w:p>
        </w:tc>
        <w:tc>
          <w:tcPr>
            <w:tcW w:w="1107" w:type="dxa"/>
            <w:shd w:val="clear" w:color="auto" w:fill="auto"/>
            <w:vAlign w:val="center"/>
            <w:hideMark/>
          </w:tcPr>
          <w:p w14:paraId="7193AFBA"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20</w:t>
            </w:r>
          </w:p>
        </w:tc>
        <w:tc>
          <w:tcPr>
            <w:tcW w:w="1263" w:type="dxa"/>
            <w:shd w:val="clear" w:color="auto" w:fill="auto"/>
            <w:vAlign w:val="center"/>
            <w:hideMark/>
          </w:tcPr>
          <w:p w14:paraId="49C97193"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68 198</w:t>
            </w:r>
          </w:p>
        </w:tc>
        <w:tc>
          <w:tcPr>
            <w:tcW w:w="1118" w:type="dxa"/>
            <w:shd w:val="clear" w:color="auto" w:fill="auto"/>
            <w:vAlign w:val="center"/>
            <w:hideMark/>
          </w:tcPr>
          <w:p w14:paraId="5016E9BF"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6 302</w:t>
            </w:r>
          </w:p>
        </w:tc>
        <w:tc>
          <w:tcPr>
            <w:tcW w:w="1229" w:type="dxa"/>
            <w:shd w:val="clear" w:color="auto" w:fill="auto"/>
            <w:vAlign w:val="center"/>
            <w:hideMark/>
          </w:tcPr>
          <w:p w14:paraId="1A1219F5"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131</w:t>
            </w:r>
          </w:p>
        </w:tc>
        <w:tc>
          <w:tcPr>
            <w:tcW w:w="1107" w:type="dxa"/>
            <w:shd w:val="clear" w:color="auto" w:fill="auto"/>
            <w:vAlign w:val="center"/>
            <w:hideMark/>
          </w:tcPr>
          <w:p w14:paraId="437A901D" w14:textId="77777777" w:rsidR="00A92A69" w:rsidRPr="00D90234" w:rsidRDefault="00A92A69" w:rsidP="00A92A69">
            <w:pPr>
              <w:spacing w:after="0" w:line="240" w:lineRule="auto"/>
              <w:jc w:val="right"/>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10</w:t>
            </w:r>
          </w:p>
        </w:tc>
      </w:tr>
      <w:tr w:rsidR="00A92A69" w:rsidRPr="00D90234" w14:paraId="45430D8C" w14:textId="77777777" w:rsidTr="00A92A69">
        <w:trPr>
          <w:trHeight w:val="486"/>
          <w:jc w:val="center"/>
        </w:trPr>
        <w:tc>
          <w:tcPr>
            <w:tcW w:w="1699" w:type="dxa"/>
            <w:gridSpan w:val="3"/>
            <w:vMerge/>
            <w:shd w:val="clear" w:color="auto" w:fill="9CC2E5" w:themeFill="accent1" w:themeFillTint="99"/>
            <w:vAlign w:val="center"/>
            <w:hideMark/>
          </w:tcPr>
          <w:p w14:paraId="65F5472C" w14:textId="77777777" w:rsidR="00A92A69" w:rsidRPr="00D90234" w:rsidRDefault="00A92A69" w:rsidP="00A92A69">
            <w:pPr>
              <w:spacing w:after="0" w:line="240" w:lineRule="auto"/>
              <w:rPr>
                <w:rFonts w:ascii="Times New Roman" w:eastAsia="Times New Roman" w:hAnsi="Times New Roman" w:cs="Times New Roman"/>
                <w:b/>
                <w:bCs/>
                <w:color w:val="000000"/>
                <w:sz w:val="20"/>
                <w:szCs w:val="20"/>
                <w:lang w:eastAsia="pl-PL"/>
              </w:rPr>
            </w:pPr>
          </w:p>
        </w:tc>
        <w:tc>
          <w:tcPr>
            <w:tcW w:w="4717" w:type="dxa"/>
            <w:gridSpan w:val="4"/>
            <w:shd w:val="clear" w:color="auto" w:fill="9CC2E5" w:themeFill="accent1" w:themeFillTint="99"/>
            <w:vAlign w:val="center"/>
            <w:hideMark/>
          </w:tcPr>
          <w:p w14:paraId="0DB85E05"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85 084</w:t>
            </w:r>
          </w:p>
        </w:tc>
        <w:tc>
          <w:tcPr>
            <w:tcW w:w="4717" w:type="dxa"/>
            <w:gridSpan w:val="4"/>
            <w:shd w:val="clear" w:color="auto" w:fill="9CC2E5" w:themeFill="accent1" w:themeFillTint="99"/>
            <w:vAlign w:val="center"/>
            <w:hideMark/>
          </w:tcPr>
          <w:p w14:paraId="74FBA308"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10 443</w:t>
            </w:r>
          </w:p>
        </w:tc>
        <w:tc>
          <w:tcPr>
            <w:tcW w:w="4717" w:type="dxa"/>
            <w:gridSpan w:val="4"/>
            <w:shd w:val="clear" w:color="auto" w:fill="9CC2E5" w:themeFill="accent1" w:themeFillTint="99"/>
            <w:vAlign w:val="center"/>
            <w:hideMark/>
          </w:tcPr>
          <w:p w14:paraId="74AA531A" w14:textId="77777777" w:rsidR="00A92A69" w:rsidRPr="00D90234" w:rsidRDefault="00A92A69" w:rsidP="00A92A69">
            <w:pPr>
              <w:spacing w:after="0" w:line="240" w:lineRule="auto"/>
              <w:jc w:val="center"/>
              <w:rPr>
                <w:rFonts w:ascii="Times New Roman" w:eastAsia="Times New Roman" w:hAnsi="Times New Roman" w:cs="Times New Roman"/>
                <w:b/>
                <w:bCs/>
                <w:color w:val="000000"/>
                <w:sz w:val="20"/>
                <w:szCs w:val="20"/>
                <w:lang w:eastAsia="pl-PL"/>
              </w:rPr>
            </w:pPr>
            <w:r w:rsidRPr="00D90234">
              <w:rPr>
                <w:rFonts w:ascii="Times New Roman" w:eastAsia="Times New Roman" w:hAnsi="Times New Roman" w:cs="Times New Roman"/>
                <w:b/>
                <w:bCs/>
                <w:color w:val="000000"/>
                <w:sz w:val="20"/>
                <w:szCs w:val="20"/>
                <w:lang w:eastAsia="pl-PL"/>
              </w:rPr>
              <w:t>74 641</w:t>
            </w:r>
          </w:p>
        </w:tc>
      </w:tr>
    </w:tbl>
    <w:p w14:paraId="386B8C80" w14:textId="77777777" w:rsidR="00A92A69" w:rsidRDefault="00A92A69" w:rsidP="00766FD4">
      <w:pPr>
        <w:autoSpaceDE w:val="0"/>
        <w:spacing w:after="0"/>
        <w:jc w:val="both"/>
        <w:rPr>
          <w:rFonts w:ascii="Times New Roman" w:hAnsi="Times New Roman" w:cs="Times New Roman"/>
          <w:b/>
          <w:szCs w:val="24"/>
        </w:rPr>
      </w:pPr>
      <w:r w:rsidRPr="00A92A69">
        <w:rPr>
          <w:rFonts w:ascii="Times New Roman" w:hAnsi="Times New Roman" w:cs="Times New Roman"/>
          <w:b/>
          <w:szCs w:val="24"/>
        </w:rPr>
        <w:t>Źródło: dane z Minis</w:t>
      </w:r>
      <w:r w:rsidR="00766FD4">
        <w:rPr>
          <w:rFonts w:ascii="Times New Roman" w:hAnsi="Times New Roman" w:cs="Times New Roman"/>
          <w:b/>
          <w:szCs w:val="24"/>
        </w:rPr>
        <w:t>terstwa Rolnictwa i Rozwoju Wsi</w:t>
      </w:r>
    </w:p>
    <w:p w14:paraId="10F9DFC6" w14:textId="77777777" w:rsidR="00766FD4" w:rsidRPr="00766FD4" w:rsidRDefault="00766FD4" w:rsidP="00766FD4">
      <w:pPr>
        <w:autoSpaceDE w:val="0"/>
        <w:spacing w:after="0"/>
        <w:jc w:val="both"/>
        <w:rPr>
          <w:rFonts w:ascii="Times New Roman" w:hAnsi="Times New Roman" w:cs="Times New Roman"/>
          <w:b/>
          <w:szCs w:val="24"/>
        </w:rPr>
      </w:pPr>
    </w:p>
    <w:p w14:paraId="5D0A572A" w14:textId="77777777" w:rsidR="00766FD4" w:rsidRPr="00766FD4" w:rsidRDefault="00766FD4" w:rsidP="00766FD4">
      <w:pPr>
        <w:spacing w:after="0" w:line="240" w:lineRule="auto"/>
        <w:jc w:val="both"/>
        <w:rPr>
          <w:rFonts w:ascii="Times New Roman" w:hAnsi="Times New Roman" w:cs="Times New Roman"/>
          <w:b/>
        </w:rPr>
      </w:pPr>
      <w:r w:rsidRPr="00766FD4">
        <w:rPr>
          <w:rFonts w:ascii="Times New Roman" w:hAnsi="Times New Roman" w:cs="Times New Roman"/>
          <w:b/>
        </w:rPr>
        <w:t>* ubezpieczeni na kontach podmiotów - osoby ubezpieczone na wniosek z tytułu pobierania świadczenia pielęgnacyjnego, specjalnego zasiłku opiekuńczego albo zasiłku dla opiekuna, za które składki na ubezpieczenie emerytalno-rentowe opłaca wójt, burmistrz lub prezydent miasta.</w:t>
      </w:r>
    </w:p>
    <w:p w14:paraId="70BED4D9" w14:textId="77777777" w:rsidR="00766FD4" w:rsidRPr="00766FD4" w:rsidRDefault="00766FD4" w:rsidP="00766FD4">
      <w:pPr>
        <w:spacing w:after="0" w:line="240" w:lineRule="auto"/>
        <w:jc w:val="both"/>
        <w:rPr>
          <w:rFonts w:ascii="Times New Roman" w:hAnsi="Times New Roman" w:cs="Times New Roman"/>
          <w:b/>
        </w:rPr>
      </w:pPr>
    </w:p>
    <w:p w14:paraId="63F88CEE" w14:textId="77777777" w:rsidR="00766FD4" w:rsidRPr="00766FD4" w:rsidRDefault="00766FD4" w:rsidP="00766FD4">
      <w:pPr>
        <w:spacing w:after="0" w:line="240" w:lineRule="auto"/>
        <w:jc w:val="both"/>
        <w:rPr>
          <w:rFonts w:ascii="Times New Roman" w:hAnsi="Times New Roman" w:cs="Times New Roman"/>
          <w:b/>
        </w:rPr>
        <w:sectPr w:rsidR="00766FD4" w:rsidRPr="00766FD4" w:rsidSect="00A92A69">
          <w:pgSz w:w="16838" w:h="11909" w:orient="landscape"/>
          <w:pgMar w:top="1293" w:right="1137" w:bottom="1250" w:left="1132" w:header="0" w:footer="567" w:gutter="0"/>
          <w:cols w:space="720"/>
          <w:noEndnote/>
          <w:docGrid w:linePitch="360"/>
        </w:sectPr>
      </w:pPr>
      <w:r w:rsidRPr="00766FD4">
        <w:rPr>
          <w:rFonts w:ascii="Times New Roman" w:hAnsi="Times New Roman" w:cs="Times New Roman"/>
          <w:b/>
        </w:rPr>
        <w:t>** pomocnicy rolników podlegający z mocy ustawy ubezpieczeniu wypadkowemu, chorobowemu i macierzyńskiemu  w zakresie ograniczonym do świadczeń takich jak jednorazowe odszkodowanie z tytułu stałego lub długotrwałego uszczerbku na zdrowiu albo śmierci wskutek wypadku przy pracy rolniczej lub rolniczej choroby zawodowej oraz ubezpieczeniu zdrowotnemu z tytułu świadczenia rolnikowi odpłatnie pomocy przy zbiorach chmielu, owoców, warzyw, tytoniu, ziół i roślin zielarskich.</w:t>
      </w:r>
    </w:p>
    <w:p w14:paraId="5143694A" w14:textId="77777777" w:rsidR="002D4849" w:rsidRPr="00A56113" w:rsidRDefault="00891D5D" w:rsidP="003C1988">
      <w:pPr>
        <w:pStyle w:val="Nagwek2"/>
        <w:numPr>
          <w:ilvl w:val="1"/>
          <w:numId w:val="383"/>
        </w:numPr>
        <w:spacing w:before="240" w:after="240"/>
        <w:ind w:left="432"/>
        <w:rPr>
          <w:rFonts w:cs="Times New Roman"/>
          <w:sz w:val="40"/>
        </w:rPr>
      </w:pPr>
      <w:bookmarkStart w:id="23" w:name="_Toc49171331"/>
      <w:r w:rsidRPr="00A56113">
        <w:rPr>
          <w:rFonts w:cs="Times New Roman"/>
          <w:sz w:val="40"/>
        </w:rPr>
        <w:lastRenderedPageBreak/>
        <w:t>Stan zdrowia i opieka zdrowotna</w:t>
      </w:r>
      <w:bookmarkEnd w:id="23"/>
    </w:p>
    <w:p w14:paraId="222B2C21" w14:textId="77777777" w:rsidR="00B90E75" w:rsidRPr="00A3788E" w:rsidRDefault="00B90E75" w:rsidP="00A3788E">
      <w:pPr>
        <w:tabs>
          <w:tab w:val="left" w:pos="5400"/>
        </w:tabs>
        <w:spacing w:after="0"/>
        <w:jc w:val="both"/>
        <w:rPr>
          <w:rFonts w:ascii="Times New Roman" w:eastAsia="Times New Roman" w:hAnsi="Times New Roman" w:cs="Times New Roman"/>
          <w:b/>
          <w:color w:val="00B0F0"/>
          <w:sz w:val="24"/>
          <w:szCs w:val="24"/>
          <w:lang w:eastAsia="pl-PL"/>
        </w:rPr>
      </w:pPr>
      <w:r w:rsidRPr="00A3788E">
        <w:rPr>
          <w:rFonts w:ascii="Times New Roman" w:eastAsia="Times New Roman" w:hAnsi="Times New Roman" w:cs="Times New Roman"/>
          <w:b/>
          <w:color w:val="00B0F0"/>
          <w:sz w:val="24"/>
          <w:szCs w:val="24"/>
          <w:lang w:eastAsia="pl-PL"/>
        </w:rPr>
        <w:t>Stan opieki zdrowotnej dedykowanej osobom starszym w 2019 r.</w:t>
      </w:r>
    </w:p>
    <w:p w14:paraId="6D48A535" w14:textId="77777777" w:rsidR="00B90E75" w:rsidRDefault="00B90E75" w:rsidP="00A3788E">
      <w:pPr>
        <w:tabs>
          <w:tab w:val="left" w:pos="5400"/>
        </w:tabs>
        <w:spacing w:after="0"/>
        <w:jc w:val="both"/>
        <w:rPr>
          <w:rFonts w:ascii="Times New Roman" w:eastAsia="Times New Roman" w:hAnsi="Times New Roman" w:cs="Times New Roman"/>
          <w:sz w:val="24"/>
          <w:szCs w:val="24"/>
          <w:lang w:eastAsia="pl-PL"/>
        </w:rPr>
      </w:pPr>
      <w:r w:rsidRPr="009C5256">
        <w:rPr>
          <w:rFonts w:ascii="Times New Roman" w:eastAsia="Times New Roman" w:hAnsi="Times New Roman" w:cs="Times New Roman"/>
          <w:sz w:val="24"/>
          <w:szCs w:val="24"/>
          <w:lang w:eastAsia="pl-PL"/>
        </w:rPr>
        <w:t>Osoby starsze należą do grupy pacjentów, która ze względu na częste występowanie kilku chorób przewlekłych jednocześnie, wymaga w wielu przypadkach świadczeń opieki zdrowotnej z różnych zakresów.</w:t>
      </w:r>
      <w:r w:rsidRPr="009C5256">
        <w:rPr>
          <w:rFonts w:ascii="Times New Roman" w:eastAsia="Times New Roman" w:hAnsi="Times New Roman" w:cs="Times New Roman"/>
          <w:b/>
          <w:bCs/>
          <w:sz w:val="24"/>
          <w:szCs w:val="24"/>
          <w:lang w:eastAsia="pl-P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C5256">
        <w:rPr>
          <w:rFonts w:ascii="Times New Roman" w:eastAsia="Times New Roman" w:hAnsi="Times New Roman" w:cs="Times New Roman"/>
          <w:sz w:val="24"/>
          <w:szCs w:val="24"/>
          <w:lang w:eastAsia="pl-PL"/>
        </w:rPr>
        <w:t>Niezwykle istotne jest zapewnienie tym osobom dostępu do kompleksowej i skoordynowanej opieki, która w pełni zaspokajałaby ich potrzeby. Takim holistycznym podejściem do pacjenta w starszym wieku wyróżnia się geriatria. Ze względu na zachodzący proces starzenia się społeczeństwa, rozwój tejże dziedziny stanowi najbardziej pożądany kierunek zmian systemu opieki zdrowotnej.</w:t>
      </w:r>
    </w:p>
    <w:p w14:paraId="16F6DD70" w14:textId="77777777" w:rsidR="00B90E75" w:rsidRDefault="00B90E75" w:rsidP="00A3788E">
      <w:pPr>
        <w:tabs>
          <w:tab w:val="left" w:pos="5400"/>
        </w:tabs>
        <w:spacing w:after="0"/>
        <w:jc w:val="both"/>
        <w:rPr>
          <w:rFonts w:ascii="Times New Roman" w:eastAsia="Times New Roman" w:hAnsi="Times New Roman" w:cs="Times New Roman"/>
          <w:sz w:val="24"/>
          <w:szCs w:val="24"/>
          <w:lang w:eastAsia="pl-PL"/>
        </w:rPr>
      </w:pPr>
    </w:p>
    <w:p w14:paraId="1799DCD8" w14:textId="77777777" w:rsidR="00B90E75" w:rsidRPr="00A3788E" w:rsidRDefault="00B90E75" w:rsidP="00A3788E">
      <w:pPr>
        <w:tabs>
          <w:tab w:val="left" w:pos="5400"/>
        </w:tabs>
        <w:spacing w:after="0"/>
        <w:jc w:val="both"/>
        <w:rPr>
          <w:rFonts w:ascii="Times New Roman" w:eastAsia="Times New Roman" w:hAnsi="Times New Roman" w:cs="Times New Roman"/>
          <w:b/>
          <w:color w:val="00B0F0"/>
          <w:sz w:val="24"/>
          <w:szCs w:val="24"/>
          <w:lang w:eastAsia="pl-PL"/>
        </w:rPr>
      </w:pPr>
      <w:r w:rsidRPr="00A3788E">
        <w:rPr>
          <w:rFonts w:ascii="Times New Roman" w:eastAsia="Times New Roman" w:hAnsi="Times New Roman" w:cs="Times New Roman"/>
          <w:b/>
          <w:color w:val="00B0F0"/>
          <w:sz w:val="24"/>
          <w:szCs w:val="24"/>
          <w:lang w:eastAsia="pl-PL"/>
        </w:rPr>
        <w:t>Świadczenia udzielane osobom starszym</w:t>
      </w:r>
    </w:p>
    <w:p w14:paraId="04BA0511" w14:textId="77777777" w:rsidR="00B90E75" w:rsidRPr="00A3788E" w:rsidRDefault="00A3788E" w:rsidP="00A3788E">
      <w:pPr>
        <w:tabs>
          <w:tab w:val="left" w:pos="5400"/>
        </w:tabs>
        <w:spacing w:after="0"/>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O</w:t>
      </w:r>
      <w:r w:rsidR="00B90E75" w:rsidRPr="00A3788E">
        <w:rPr>
          <w:rFonts w:ascii="Times New Roman" w:eastAsia="Times New Roman" w:hAnsi="Times New Roman" w:cs="Times New Roman"/>
          <w:b/>
          <w:sz w:val="24"/>
          <w:szCs w:val="24"/>
          <w:lang w:eastAsia="pl-PL"/>
        </w:rPr>
        <w:t>pieka geriatryczna</w:t>
      </w:r>
    </w:p>
    <w:p w14:paraId="6F61124C" w14:textId="77777777" w:rsidR="00B90E75" w:rsidRDefault="00B90E75" w:rsidP="00A3788E">
      <w:pPr>
        <w:tabs>
          <w:tab w:val="left" w:pos="5400"/>
        </w:tabs>
        <w:spacing w:after="0"/>
        <w:jc w:val="both"/>
        <w:rPr>
          <w:rFonts w:ascii="Times New Roman" w:eastAsia="Times New Roman" w:hAnsi="Times New Roman" w:cs="Times New Roman"/>
          <w:sz w:val="24"/>
          <w:szCs w:val="24"/>
          <w:lang w:eastAsia="pl-PL"/>
        </w:rPr>
      </w:pPr>
      <w:bookmarkStart w:id="24" w:name="_Hlk43925095"/>
      <w:r w:rsidRPr="009C5256">
        <w:rPr>
          <w:rFonts w:ascii="Times New Roman" w:eastAsia="Times New Roman" w:hAnsi="Times New Roman" w:cs="Times New Roman"/>
          <w:sz w:val="24"/>
          <w:szCs w:val="24"/>
          <w:lang w:eastAsia="pl-PL"/>
        </w:rPr>
        <w:t>Zgodnie z danymi z Rejestru Podmiotów Wykonujących Działalność Leczniczą</w:t>
      </w:r>
      <w:bookmarkEnd w:id="24"/>
      <w:r w:rsidRPr="009C5256">
        <w:rPr>
          <w:rFonts w:ascii="Times New Roman" w:eastAsia="Times New Roman" w:hAnsi="Times New Roman" w:cs="Times New Roman"/>
          <w:sz w:val="24"/>
          <w:szCs w:val="24"/>
          <w:lang w:eastAsia="pl-PL"/>
        </w:rPr>
        <w:t xml:space="preserve">, w 2019 r. w szpitalach funkcjonowało </w:t>
      </w:r>
      <w:r w:rsidRPr="009C5256">
        <w:rPr>
          <w:rFonts w:ascii="Times New Roman" w:eastAsia="Times New Roman" w:hAnsi="Times New Roman" w:cs="Times New Roman"/>
          <w:b/>
          <w:bCs/>
          <w:sz w:val="24"/>
          <w:szCs w:val="24"/>
          <w:lang w:eastAsia="pl-PL"/>
        </w:rPr>
        <w:t>58 oddziałów geriatrycznych</w:t>
      </w:r>
      <w:r w:rsidRPr="009C5256">
        <w:rPr>
          <w:rStyle w:val="Odwoanieprzypisudolnego"/>
          <w:rFonts w:ascii="Times New Roman" w:eastAsia="Times New Roman" w:hAnsi="Times New Roman" w:cs="Times New Roman"/>
          <w:b/>
          <w:bCs/>
          <w:sz w:val="24"/>
          <w:szCs w:val="24"/>
          <w:lang w:eastAsia="pl-PL"/>
        </w:rPr>
        <w:footnoteReference w:id="9"/>
      </w:r>
      <w:r w:rsidRPr="009C5256">
        <w:rPr>
          <w:rFonts w:ascii="Times New Roman" w:eastAsia="Times New Roman" w:hAnsi="Times New Roman" w:cs="Times New Roman"/>
          <w:sz w:val="24"/>
          <w:szCs w:val="24"/>
          <w:lang w:eastAsia="pl-PL"/>
        </w:rPr>
        <w:t xml:space="preserve">, które dysponowały </w:t>
      </w:r>
      <w:r w:rsidRPr="009C5256">
        <w:rPr>
          <w:rFonts w:ascii="Times New Roman" w:eastAsia="Times New Roman" w:hAnsi="Times New Roman" w:cs="Times New Roman"/>
          <w:b/>
          <w:bCs/>
          <w:sz w:val="24"/>
          <w:szCs w:val="24"/>
          <w:lang w:eastAsia="pl-PL"/>
        </w:rPr>
        <w:t>1</w:t>
      </w:r>
      <w:r w:rsidR="00483D26">
        <w:rPr>
          <w:rFonts w:ascii="Times New Roman" w:eastAsia="Times New Roman" w:hAnsi="Times New Roman" w:cs="Times New Roman"/>
          <w:b/>
          <w:bCs/>
          <w:sz w:val="24"/>
          <w:szCs w:val="24"/>
          <w:lang w:eastAsia="pl-PL"/>
        </w:rPr>
        <w:t xml:space="preserve"> </w:t>
      </w:r>
      <w:r w:rsidRPr="009C5256">
        <w:rPr>
          <w:rFonts w:ascii="Times New Roman" w:eastAsia="Times New Roman" w:hAnsi="Times New Roman" w:cs="Times New Roman"/>
          <w:b/>
          <w:bCs/>
          <w:sz w:val="24"/>
          <w:szCs w:val="24"/>
          <w:lang w:eastAsia="pl-PL"/>
        </w:rPr>
        <w:t>208 łóżkami</w:t>
      </w:r>
      <w:r w:rsidR="00A3788E">
        <w:rPr>
          <w:rFonts w:ascii="Times New Roman" w:eastAsia="Times New Roman" w:hAnsi="Times New Roman" w:cs="Times New Roman"/>
          <w:sz w:val="24"/>
          <w:szCs w:val="24"/>
          <w:lang w:eastAsia="pl-PL"/>
        </w:rPr>
        <w:t xml:space="preserve">. </w:t>
      </w:r>
    </w:p>
    <w:p w14:paraId="7A07E57E" w14:textId="77777777" w:rsidR="00B90E75" w:rsidRPr="009C5256" w:rsidRDefault="00B90E75" w:rsidP="00A3788E">
      <w:pPr>
        <w:tabs>
          <w:tab w:val="left" w:pos="5400"/>
        </w:tabs>
        <w:spacing w:after="0"/>
        <w:jc w:val="both"/>
        <w:rPr>
          <w:rFonts w:ascii="Times New Roman" w:eastAsia="Times New Roman" w:hAnsi="Times New Roman" w:cs="Times New Roman"/>
          <w:sz w:val="24"/>
          <w:szCs w:val="24"/>
          <w:lang w:eastAsia="pl-PL"/>
        </w:rPr>
      </w:pPr>
    </w:p>
    <w:p w14:paraId="1BFC0498" w14:textId="0A1FCB3A" w:rsidR="007B5A43" w:rsidRPr="007B5A43" w:rsidRDefault="007B5A43" w:rsidP="007B5A43">
      <w:pPr>
        <w:pStyle w:val="Legenda"/>
        <w:keepNext/>
        <w:jc w:val="both"/>
        <w:rPr>
          <w:rFonts w:ascii="Times New Roman" w:hAnsi="Times New Roman" w:cs="Times New Roman"/>
          <w:b/>
          <w:i w:val="0"/>
          <w:sz w:val="24"/>
        </w:rPr>
      </w:pPr>
      <w:bookmarkStart w:id="25" w:name="_Toc49171392"/>
      <w:r w:rsidRPr="007B5A43">
        <w:rPr>
          <w:rFonts w:ascii="Times New Roman" w:hAnsi="Times New Roman" w:cs="Times New Roman"/>
          <w:b/>
          <w:i w:val="0"/>
          <w:sz w:val="24"/>
        </w:rPr>
        <w:t xml:space="preserve">Tabela </w:t>
      </w:r>
      <w:r w:rsidRPr="007B5A43">
        <w:rPr>
          <w:rFonts w:ascii="Times New Roman" w:hAnsi="Times New Roman" w:cs="Times New Roman"/>
          <w:b/>
          <w:i w:val="0"/>
          <w:sz w:val="24"/>
        </w:rPr>
        <w:fldChar w:fldCharType="begin"/>
      </w:r>
      <w:r w:rsidRPr="007B5A43">
        <w:rPr>
          <w:rFonts w:ascii="Times New Roman" w:hAnsi="Times New Roman" w:cs="Times New Roman"/>
          <w:b/>
          <w:i w:val="0"/>
          <w:sz w:val="24"/>
        </w:rPr>
        <w:instrText xml:space="preserve"> SEQ Tabela \* ARABIC </w:instrText>
      </w:r>
      <w:r w:rsidRPr="007B5A43">
        <w:rPr>
          <w:rFonts w:ascii="Times New Roman" w:hAnsi="Times New Roman" w:cs="Times New Roman"/>
          <w:b/>
          <w:i w:val="0"/>
          <w:sz w:val="24"/>
        </w:rPr>
        <w:fldChar w:fldCharType="separate"/>
      </w:r>
      <w:r w:rsidR="00C154C9">
        <w:rPr>
          <w:rFonts w:ascii="Times New Roman" w:hAnsi="Times New Roman" w:cs="Times New Roman"/>
          <w:b/>
          <w:i w:val="0"/>
          <w:noProof/>
          <w:sz w:val="24"/>
        </w:rPr>
        <w:t>17</w:t>
      </w:r>
      <w:r w:rsidRPr="007B5A43">
        <w:rPr>
          <w:rFonts w:ascii="Times New Roman" w:hAnsi="Times New Roman" w:cs="Times New Roman"/>
          <w:b/>
          <w:i w:val="0"/>
          <w:sz w:val="24"/>
        </w:rPr>
        <w:fldChar w:fldCharType="end"/>
      </w:r>
      <w:r w:rsidRPr="007B5A43">
        <w:rPr>
          <w:rFonts w:ascii="Times New Roman" w:hAnsi="Times New Roman" w:cs="Times New Roman"/>
          <w:b/>
          <w:i w:val="0"/>
          <w:sz w:val="24"/>
        </w:rPr>
        <w:t xml:space="preserve"> Liczba świadczeniodawców oraz liczba i wartość rozliczonych świadczeń udzielonych osobom powyżej 60 r.ż. w zakresie geriatria - hospitalizacja</w:t>
      </w:r>
      <w:bookmarkEnd w:id="25"/>
    </w:p>
    <w:tbl>
      <w:tblPr>
        <w:tblW w:w="5000" w:type="pct"/>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0" w:type="dxa"/>
          <w:right w:w="0" w:type="dxa"/>
        </w:tblCellMar>
        <w:tblLook w:val="04A0" w:firstRow="1" w:lastRow="0" w:firstColumn="1" w:lastColumn="0" w:noHBand="0" w:noVBand="1"/>
      </w:tblPr>
      <w:tblGrid>
        <w:gridCol w:w="2326"/>
        <w:gridCol w:w="2337"/>
        <w:gridCol w:w="2337"/>
        <w:gridCol w:w="2346"/>
      </w:tblGrid>
      <w:tr w:rsidR="00B90E75" w:rsidRPr="00342041" w14:paraId="7D83C7C7" w14:textId="77777777" w:rsidTr="00237B5E">
        <w:tc>
          <w:tcPr>
            <w:tcW w:w="1244" w:type="pct"/>
            <w:shd w:val="clear" w:color="auto" w:fill="9CC2E5" w:themeFill="accent1" w:themeFillTint="99"/>
            <w:tcMar>
              <w:top w:w="15" w:type="dxa"/>
              <w:left w:w="108" w:type="dxa"/>
              <w:bottom w:w="0" w:type="dxa"/>
              <w:right w:w="108" w:type="dxa"/>
            </w:tcMar>
            <w:hideMark/>
          </w:tcPr>
          <w:p w14:paraId="2E48EB66" w14:textId="77777777" w:rsidR="00B90E75" w:rsidRPr="00342041" w:rsidRDefault="00B90E75" w:rsidP="003A3F68">
            <w:pPr>
              <w:tabs>
                <w:tab w:val="left" w:pos="5400"/>
              </w:tabs>
              <w:spacing w:after="0"/>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Rok</w:t>
            </w:r>
          </w:p>
        </w:tc>
        <w:tc>
          <w:tcPr>
            <w:tcW w:w="1250" w:type="pct"/>
            <w:shd w:val="clear" w:color="auto" w:fill="9CC2E5" w:themeFill="accent1" w:themeFillTint="99"/>
            <w:tcMar>
              <w:top w:w="15" w:type="dxa"/>
              <w:left w:w="108" w:type="dxa"/>
              <w:bottom w:w="0" w:type="dxa"/>
              <w:right w:w="108" w:type="dxa"/>
            </w:tcMar>
            <w:hideMark/>
          </w:tcPr>
          <w:p w14:paraId="3E7B7A07" w14:textId="77777777" w:rsidR="00B90E75" w:rsidRPr="00342041" w:rsidRDefault="00B90E75" w:rsidP="003A3F68">
            <w:pPr>
              <w:tabs>
                <w:tab w:val="left" w:pos="5400"/>
              </w:tabs>
              <w:spacing w:after="0"/>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hospitalizacji</w:t>
            </w:r>
          </w:p>
        </w:tc>
        <w:tc>
          <w:tcPr>
            <w:tcW w:w="1250" w:type="pct"/>
            <w:shd w:val="clear" w:color="auto" w:fill="9CC2E5" w:themeFill="accent1" w:themeFillTint="99"/>
            <w:tcMar>
              <w:top w:w="15" w:type="dxa"/>
              <w:left w:w="108" w:type="dxa"/>
              <w:bottom w:w="0" w:type="dxa"/>
              <w:right w:w="108" w:type="dxa"/>
            </w:tcMar>
            <w:hideMark/>
          </w:tcPr>
          <w:p w14:paraId="22052D72" w14:textId="77777777" w:rsidR="00B90E75" w:rsidRPr="00342041" w:rsidRDefault="00B90E75" w:rsidP="003A3F68">
            <w:pPr>
              <w:tabs>
                <w:tab w:val="left" w:pos="5400"/>
              </w:tabs>
              <w:spacing w:after="0"/>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Wartość rozliczonych świadczeń</w:t>
            </w:r>
          </w:p>
        </w:tc>
        <w:tc>
          <w:tcPr>
            <w:tcW w:w="1255" w:type="pct"/>
            <w:shd w:val="clear" w:color="auto" w:fill="9CC2E5" w:themeFill="accent1" w:themeFillTint="99"/>
            <w:tcMar>
              <w:top w:w="15" w:type="dxa"/>
              <w:left w:w="108" w:type="dxa"/>
              <w:bottom w:w="0" w:type="dxa"/>
              <w:right w:w="108" w:type="dxa"/>
            </w:tcMar>
            <w:hideMark/>
          </w:tcPr>
          <w:p w14:paraId="3BAD2C28" w14:textId="77777777" w:rsidR="00B90E75" w:rsidRPr="00342041" w:rsidRDefault="00B90E75" w:rsidP="003A3F68">
            <w:pPr>
              <w:tabs>
                <w:tab w:val="left" w:pos="5400"/>
              </w:tabs>
              <w:spacing w:after="0"/>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świadczeniodawców</w:t>
            </w:r>
          </w:p>
        </w:tc>
      </w:tr>
      <w:tr w:rsidR="00B90E75" w:rsidRPr="00342041" w14:paraId="5B6C0D13" w14:textId="77777777" w:rsidTr="00237B5E">
        <w:tc>
          <w:tcPr>
            <w:tcW w:w="1244" w:type="pct"/>
            <w:shd w:val="clear" w:color="auto" w:fill="9CC2E5" w:themeFill="accent1" w:themeFillTint="99"/>
            <w:tcMar>
              <w:top w:w="15" w:type="dxa"/>
              <w:left w:w="108" w:type="dxa"/>
              <w:bottom w:w="0" w:type="dxa"/>
              <w:right w:w="108" w:type="dxa"/>
            </w:tcMar>
            <w:hideMark/>
          </w:tcPr>
          <w:p w14:paraId="439427E9" w14:textId="77777777" w:rsidR="00B90E75" w:rsidRPr="00342041" w:rsidRDefault="00B90E75" w:rsidP="003A3F68">
            <w:pPr>
              <w:tabs>
                <w:tab w:val="left" w:pos="5400"/>
              </w:tabs>
              <w:spacing w:after="0"/>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2019</w:t>
            </w:r>
          </w:p>
        </w:tc>
        <w:tc>
          <w:tcPr>
            <w:tcW w:w="1250" w:type="pct"/>
            <w:shd w:val="clear" w:color="auto" w:fill="FFFFFF" w:themeFill="background1"/>
            <w:tcMar>
              <w:top w:w="15" w:type="dxa"/>
              <w:left w:w="108" w:type="dxa"/>
              <w:bottom w:w="0" w:type="dxa"/>
              <w:right w:w="108" w:type="dxa"/>
            </w:tcMar>
            <w:hideMark/>
          </w:tcPr>
          <w:p w14:paraId="25CBF0FC" w14:textId="77777777" w:rsidR="00B90E75" w:rsidRPr="00342041" w:rsidRDefault="00B90E75" w:rsidP="003A3F68">
            <w:pPr>
              <w:tabs>
                <w:tab w:val="left" w:pos="5400"/>
              </w:tabs>
              <w:spacing w:after="0"/>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34 182</w:t>
            </w:r>
          </w:p>
        </w:tc>
        <w:tc>
          <w:tcPr>
            <w:tcW w:w="1250" w:type="pct"/>
            <w:shd w:val="clear" w:color="auto" w:fill="FFFFFF" w:themeFill="background1"/>
            <w:tcMar>
              <w:top w:w="15" w:type="dxa"/>
              <w:left w:w="108" w:type="dxa"/>
              <w:bottom w:w="0" w:type="dxa"/>
              <w:right w:w="108" w:type="dxa"/>
            </w:tcMar>
            <w:hideMark/>
          </w:tcPr>
          <w:p w14:paraId="1BE8B722" w14:textId="77777777" w:rsidR="00B90E75" w:rsidRPr="00342041" w:rsidRDefault="00B90E75" w:rsidP="003A3F68">
            <w:pPr>
              <w:tabs>
                <w:tab w:val="left" w:pos="5400"/>
              </w:tabs>
              <w:spacing w:after="0"/>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128 927 486,50</w:t>
            </w:r>
          </w:p>
        </w:tc>
        <w:tc>
          <w:tcPr>
            <w:tcW w:w="1255" w:type="pct"/>
            <w:shd w:val="clear" w:color="auto" w:fill="FFFFFF" w:themeFill="background1"/>
            <w:tcMar>
              <w:top w:w="15" w:type="dxa"/>
              <w:left w:w="108" w:type="dxa"/>
              <w:bottom w:w="0" w:type="dxa"/>
              <w:right w:w="108" w:type="dxa"/>
            </w:tcMar>
            <w:hideMark/>
          </w:tcPr>
          <w:p w14:paraId="49C6670C" w14:textId="77777777" w:rsidR="00B90E75" w:rsidRPr="00342041" w:rsidRDefault="00B90E75" w:rsidP="003A3F68">
            <w:pPr>
              <w:tabs>
                <w:tab w:val="left" w:pos="5400"/>
              </w:tabs>
              <w:spacing w:after="0"/>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55</w:t>
            </w:r>
          </w:p>
        </w:tc>
      </w:tr>
    </w:tbl>
    <w:p w14:paraId="5B3E8A50" w14:textId="77777777" w:rsidR="00826142" w:rsidRPr="00826142" w:rsidRDefault="00826142" w:rsidP="003C1988">
      <w:pPr>
        <w:tabs>
          <w:tab w:val="left" w:pos="5400"/>
        </w:tabs>
        <w:spacing w:after="0"/>
        <w:rPr>
          <w:rFonts w:ascii="Times New Roman" w:eastAsia="Times New Roman" w:hAnsi="Times New Roman" w:cs="Times New Roman"/>
          <w:b/>
          <w:szCs w:val="24"/>
          <w:lang w:eastAsia="pl-PL"/>
        </w:rPr>
      </w:pPr>
      <w:r w:rsidRPr="00826142">
        <w:rPr>
          <w:rFonts w:ascii="Times New Roman" w:eastAsia="Times New Roman" w:hAnsi="Times New Roman" w:cs="Times New Roman"/>
          <w:b/>
          <w:szCs w:val="24"/>
          <w:lang w:eastAsia="pl-PL"/>
        </w:rPr>
        <w:t>Źródło: dane z Ministerstwa Zdrowia</w:t>
      </w:r>
    </w:p>
    <w:p w14:paraId="094CF4EF" w14:textId="77777777" w:rsidR="00826142" w:rsidRDefault="00826142" w:rsidP="003C1988">
      <w:pPr>
        <w:tabs>
          <w:tab w:val="left" w:pos="5400"/>
        </w:tabs>
        <w:spacing w:after="0"/>
        <w:rPr>
          <w:rFonts w:ascii="Times New Roman" w:eastAsia="Times New Roman" w:hAnsi="Times New Roman" w:cs="Times New Roman"/>
          <w:sz w:val="24"/>
          <w:szCs w:val="24"/>
          <w:lang w:eastAsia="pl-PL"/>
        </w:rPr>
      </w:pPr>
    </w:p>
    <w:p w14:paraId="685D2E71" w14:textId="77777777" w:rsidR="00B90E75" w:rsidRDefault="00B90E75" w:rsidP="00826142">
      <w:pPr>
        <w:tabs>
          <w:tab w:val="left" w:pos="5400"/>
        </w:tabs>
        <w:spacing w:after="0"/>
        <w:jc w:val="both"/>
        <w:rPr>
          <w:rFonts w:ascii="Times New Roman" w:eastAsia="Times New Roman" w:hAnsi="Times New Roman" w:cs="Times New Roman"/>
          <w:sz w:val="24"/>
          <w:szCs w:val="24"/>
          <w:lang w:eastAsia="pl-PL"/>
        </w:rPr>
      </w:pPr>
      <w:r w:rsidRPr="009C5256">
        <w:rPr>
          <w:rFonts w:ascii="Times New Roman" w:eastAsia="Times New Roman" w:hAnsi="Times New Roman" w:cs="Times New Roman"/>
          <w:sz w:val="24"/>
          <w:szCs w:val="24"/>
          <w:lang w:eastAsia="pl-PL"/>
        </w:rPr>
        <w:t>Świadczenia z zakresu geriatrii realizowane są również w ramach ambulatoryjnej opieki specjalistycznej.</w:t>
      </w:r>
    </w:p>
    <w:p w14:paraId="59CB990A" w14:textId="77777777" w:rsidR="00B90E75" w:rsidRDefault="00B90E75" w:rsidP="003C1988">
      <w:pPr>
        <w:tabs>
          <w:tab w:val="left" w:pos="5400"/>
        </w:tabs>
        <w:spacing w:after="0"/>
        <w:rPr>
          <w:rFonts w:ascii="Times New Roman" w:eastAsia="Times New Roman" w:hAnsi="Times New Roman" w:cs="Times New Roman"/>
          <w:sz w:val="24"/>
          <w:szCs w:val="24"/>
          <w:lang w:eastAsia="pl-PL"/>
        </w:rPr>
      </w:pPr>
    </w:p>
    <w:p w14:paraId="72BAF55D" w14:textId="77777777" w:rsidR="00B90E75" w:rsidRPr="00A3788E" w:rsidRDefault="00A3788E" w:rsidP="00A3788E">
      <w:pPr>
        <w:tabs>
          <w:tab w:val="left" w:pos="5400"/>
        </w:tabs>
        <w:spacing w:after="0"/>
        <w:jc w:val="both"/>
        <w:rPr>
          <w:rFonts w:ascii="Times New Roman" w:eastAsia="Times New Roman" w:hAnsi="Times New Roman" w:cs="Times New Roman"/>
          <w:b/>
          <w:sz w:val="24"/>
          <w:szCs w:val="24"/>
          <w:lang w:eastAsia="pl-PL"/>
        </w:rPr>
      </w:pPr>
      <w:r w:rsidRPr="00A3788E">
        <w:rPr>
          <w:rFonts w:ascii="Times New Roman" w:eastAsia="Times New Roman" w:hAnsi="Times New Roman" w:cs="Times New Roman"/>
          <w:b/>
          <w:sz w:val="24"/>
          <w:szCs w:val="24"/>
          <w:lang w:eastAsia="pl-PL"/>
        </w:rPr>
        <w:t>O</w:t>
      </w:r>
      <w:r w:rsidR="00B90E75" w:rsidRPr="00A3788E">
        <w:rPr>
          <w:rFonts w:ascii="Times New Roman" w:eastAsia="Times New Roman" w:hAnsi="Times New Roman" w:cs="Times New Roman"/>
          <w:b/>
          <w:sz w:val="24"/>
          <w:szCs w:val="24"/>
          <w:lang w:eastAsia="pl-PL"/>
        </w:rPr>
        <w:t xml:space="preserve">pieka długoterminowa </w:t>
      </w:r>
    </w:p>
    <w:p w14:paraId="0963DDBC" w14:textId="77777777" w:rsidR="00B90E75" w:rsidRPr="009C5256" w:rsidRDefault="00B90E75" w:rsidP="00A3788E">
      <w:pPr>
        <w:tabs>
          <w:tab w:val="left" w:pos="5400"/>
        </w:tabs>
        <w:spacing w:after="0"/>
        <w:jc w:val="both"/>
        <w:rPr>
          <w:rFonts w:ascii="Times New Roman" w:eastAsia="Times New Roman" w:hAnsi="Times New Roman" w:cs="Times New Roman"/>
          <w:sz w:val="24"/>
          <w:szCs w:val="24"/>
          <w:lang w:eastAsia="pl-PL"/>
        </w:rPr>
      </w:pPr>
      <w:r w:rsidRPr="009C5256">
        <w:rPr>
          <w:rFonts w:ascii="Times New Roman" w:eastAsia="Times New Roman" w:hAnsi="Times New Roman" w:cs="Times New Roman"/>
          <w:sz w:val="24"/>
          <w:szCs w:val="24"/>
          <w:lang w:eastAsia="pl-PL"/>
        </w:rPr>
        <w:t>Zgodnie z danymi z Rejestru Podmiotów Wykonujących Działalność Leczniczą, w 2019 r. funkcjonowało</w:t>
      </w:r>
      <w:r w:rsidRPr="009C5256">
        <w:rPr>
          <w:rFonts w:ascii="Times New Roman" w:eastAsia="Times New Roman" w:hAnsi="Times New Roman" w:cs="Times New Roman"/>
          <w:b/>
          <w:bCs/>
          <w:sz w:val="24"/>
          <w:szCs w:val="24"/>
          <w:lang w:eastAsia="pl-PL"/>
        </w:rPr>
        <w:t xml:space="preserve"> 771 zakładów opiekuńczo-leczniczych i pielęgnacyjno-opiekuńczych</w:t>
      </w:r>
      <w:r w:rsidRPr="009C5256">
        <w:rPr>
          <w:rStyle w:val="Odwoanieprzypisudolnego"/>
          <w:rFonts w:ascii="Times New Roman" w:eastAsia="Times New Roman" w:hAnsi="Times New Roman" w:cs="Times New Roman"/>
          <w:b/>
          <w:bCs/>
          <w:sz w:val="24"/>
          <w:szCs w:val="24"/>
          <w:lang w:eastAsia="pl-PL"/>
        </w:rPr>
        <w:footnoteReference w:id="10"/>
      </w:r>
      <w:r w:rsidRPr="009C5256">
        <w:rPr>
          <w:rFonts w:ascii="Times New Roman" w:eastAsia="Times New Roman" w:hAnsi="Times New Roman" w:cs="Times New Roman"/>
          <w:sz w:val="24"/>
          <w:szCs w:val="24"/>
          <w:lang w:eastAsia="pl-PL"/>
        </w:rPr>
        <w:t xml:space="preserve">, dysponujących </w:t>
      </w:r>
      <w:r w:rsidRPr="009C5256">
        <w:rPr>
          <w:rFonts w:ascii="Times New Roman" w:eastAsia="Times New Roman" w:hAnsi="Times New Roman" w:cs="Times New Roman"/>
          <w:b/>
          <w:bCs/>
          <w:sz w:val="24"/>
          <w:szCs w:val="24"/>
          <w:lang w:eastAsia="pl-PL"/>
        </w:rPr>
        <w:t>37 829 łóżkami</w:t>
      </w:r>
      <w:r w:rsidRPr="009C5256">
        <w:rPr>
          <w:rFonts w:ascii="Times New Roman" w:eastAsia="Times New Roman" w:hAnsi="Times New Roman" w:cs="Times New Roman"/>
          <w:sz w:val="24"/>
          <w:szCs w:val="24"/>
          <w:lang w:eastAsia="pl-PL"/>
        </w:rPr>
        <w:t>.</w:t>
      </w:r>
      <w:bookmarkStart w:id="26" w:name="_Hlk43925281"/>
      <w:r>
        <w:rPr>
          <w:rFonts w:ascii="Times New Roman" w:eastAsia="Times New Roman" w:hAnsi="Times New Roman" w:cs="Times New Roman"/>
          <w:sz w:val="24"/>
          <w:szCs w:val="24"/>
          <w:lang w:eastAsia="pl-PL"/>
        </w:rPr>
        <w:t xml:space="preserve"> </w:t>
      </w:r>
      <w:r w:rsidRPr="009C5256">
        <w:rPr>
          <w:rFonts w:ascii="Times New Roman" w:eastAsia="Times New Roman" w:hAnsi="Times New Roman" w:cs="Times New Roman"/>
          <w:sz w:val="24"/>
          <w:szCs w:val="24"/>
          <w:lang w:eastAsia="pl-PL"/>
        </w:rPr>
        <w:t xml:space="preserve">W </w:t>
      </w:r>
      <w:r w:rsidR="00A3788E" w:rsidRPr="00A3788E">
        <w:rPr>
          <w:rFonts w:ascii="Times New Roman" w:eastAsia="Times New Roman" w:hAnsi="Times New Roman" w:cs="Times New Roman"/>
          <w:iCs/>
          <w:sz w:val="24"/>
          <w:szCs w:val="24"/>
          <w:lang w:eastAsia="pl-PL"/>
        </w:rPr>
        <w:t>tabeli poniżej</w:t>
      </w:r>
      <w:r w:rsidRPr="009C5256">
        <w:rPr>
          <w:rFonts w:ascii="Times New Roman" w:eastAsia="Times New Roman" w:hAnsi="Times New Roman" w:cs="Times New Roman"/>
          <w:sz w:val="24"/>
          <w:szCs w:val="24"/>
          <w:lang w:eastAsia="pl-PL"/>
        </w:rPr>
        <w:t xml:space="preserve"> przedstawiono dane liczbowe dotyczące świadczeń pielęgnacyjnych i opiekuńczych udzielonych w 2019 r. pacjentom po 60 roku życia. </w:t>
      </w:r>
    </w:p>
    <w:bookmarkEnd w:id="26"/>
    <w:p w14:paraId="573E2CF8" w14:textId="77777777" w:rsidR="00826142" w:rsidRPr="009C5256" w:rsidRDefault="00826142" w:rsidP="003C1988">
      <w:pPr>
        <w:tabs>
          <w:tab w:val="left" w:pos="5400"/>
        </w:tabs>
        <w:spacing w:after="0"/>
        <w:rPr>
          <w:rFonts w:ascii="Times New Roman" w:eastAsia="Times New Roman" w:hAnsi="Times New Roman" w:cs="Times New Roman"/>
          <w:sz w:val="24"/>
          <w:szCs w:val="24"/>
          <w:lang w:eastAsia="pl-PL"/>
        </w:rPr>
      </w:pPr>
    </w:p>
    <w:p w14:paraId="074FFE5D" w14:textId="0FDA2AB4" w:rsidR="00826142" w:rsidRPr="00826142" w:rsidRDefault="00826142" w:rsidP="00826142">
      <w:pPr>
        <w:pStyle w:val="Legenda"/>
        <w:keepNext/>
        <w:jc w:val="both"/>
        <w:rPr>
          <w:rFonts w:ascii="Times New Roman" w:hAnsi="Times New Roman" w:cs="Times New Roman"/>
          <w:b/>
          <w:i w:val="0"/>
          <w:sz w:val="24"/>
        </w:rPr>
      </w:pPr>
      <w:bookmarkStart w:id="27" w:name="_Toc49171393"/>
      <w:r w:rsidRPr="00826142">
        <w:rPr>
          <w:rFonts w:ascii="Times New Roman" w:hAnsi="Times New Roman" w:cs="Times New Roman"/>
          <w:b/>
          <w:i w:val="0"/>
          <w:sz w:val="24"/>
        </w:rPr>
        <w:t xml:space="preserve">Tabela </w:t>
      </w:r>
      <w:r w:rsidRPr="00826142">
        <w:rPr>
          <w:rFonts w:ascii="Times New Roman" w:hAnsi="Times New Roman" w:cs="Times New Roman"/>
          <w:b/>
          <w:i w:val="0"/>
          <w:sz w:val="24"/>
        </w:rPr>
        <w:fldChar w:fldCharType="begin"/>
      </w:r>
      <w:r w:rsidRPr="00826142">
        <w:rPr>
          <w:rFonts w:ascii="Times New Roman" w:hAnsi="Times New Roman" w:cs="Times New Roman"/>
          <w:b/>
          <w:i w:val="0"/>
          <w:sz w:val="24"/>
        </w:rPr>
        <w:instrText xml:space="preserve"> SEQ Tabela \* ARABIC </w:instrText>
      </w:r>
      <w:r w:rsidRPr="00826142">
        <w:rPr>
          <w:rFonts w:ascii="Times New Roman" w:hAnsi="Times New Roman" w:cs="Times New Roman"/>
          <w:b/>
          <w:i w:val="0"/>
          <w:sz w:val="24"/>
        </w:rPr>
        <w:fldChar w:fldCharType="separate"/>
      </w:r>
      <w:r w:rsidR="00C154C9">
        <w:rPr>
          <w:rFonts w:ascii="Times New Roman" w:hAnsi="Times New Roman" w:cs="Times New Roman"/>
          <w:b/>
          <w:i w:val="0"/>
          <w:noProof/>
          <w:sz w:val="24"/>
        </w:rPr>
        <w:t>18</w:t>
      </w:r>
      <w:r w:rsidRPr="00826142">
        <w:rPr>
          <w:rFonts w:ascii="Times New Roman" w:hAnsi="Times New Roman" w:cs="Times New Roman"/>
          <w:b/>
          <w:i w:val="0"/>
          <w:sz w:val="24"/>
        </w:rPr>
        <w:fldChar w:fldCharType="end"/>
      </w:r>
      <w:r w:rsidRPr="00826142">
        <w:rPr>
          <w:rFonts w:ascii="Times New Roman" w:hAnsi="Times New Roman" w:cs="Times New Roman"/>
          <w:b/>
          <w:i w:val="0"/>
          <w:sz w:val="24"/>
        </w:rPr>
        <w:t xml:space="preserve"> Liczba świadczeniodawców oraz liczba i wartość rozliczonych świadczeń udzielonych osobom powyżej 60 r. ż. w rodzaju SPO w podziale na zakresy świadczeń</w:t>
      </w:r>
      <w:bookmarkEnd w:id="27"/>
    </w:p>
    <w:tbl>
      <w:tblPr>
        <w:tblW w:w="5000" w:type="pct"/>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CellMar>
          <w:left w:w="0" w:type="dxa"/>
          <w:right w:w="0" w:type="dxa"/>
        </w:tblCellMar>
        <w:tblLook w:val="04A0" w:firstRow="1" w:lastRow="0" w:firstColumn="1" w:lastColumn="0" w:noHBand="0" w:noVBand="1"/>
      </w:tblPr>
      <w:tblGrid>
        <w:gridCol w:w="697"/>
        <w:gridCol w:w="2695"/>
        <w:gridCol w:w="1277"/>
        <w:gridCol w:w="1275"/>
        <w:gridCol w:w="1914"/>
        <w:gridCol w:w="1488"/>
      </w:tblGrid>
      <w:tr w:rsidR="00852482" w:rsidRPr="00342041" w14:paraId="39B1BDA0" w14:textId="77777777" w:rsidTr="00852482">
        <w:trPr>
          <w:trHeight w:val="772"/>
          <w:jc w:val="center"/>
        </w:trPr>
        <w:tc>
          <w:tcPr>
            <w:tcW w:w="373" w:type="pct"/>
            <w:shd w:val="clear" w:color="auto" w:fill="9CC2E5" w:themeFill="accent1" w:themeFillTint="99"/>
            <w:tcMar>
              <w:top w:w="15" w:type="dxa"/>
              <w:left w:w="59" w:type="dxa"/>
              <w:bottom w:w="0" w:type="dxa"/>
              <w:right w:w="59" w:type="dxa"/>
            </w:tcMar>
            <w:vAlign w:val="bottom"/>
            <w:hideMark/>
          </w:tcPr>
          <w:p w14:paraId="22DDE837"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Rok</w:t>
            </w:r>
          </w:p>
        </w:tc>
        <w:tc>
          <w:tcPr>
            <w:tcW w:w="1442" w:type="pct"/>
            <w:shd w:val="clear" w:color="auto" w:fill="9CC2E5" w:themeFill="accent1" w:themeFillTint="99"/>
            <w:tcMar>
              <w:top w:w="15" w:type="dxa"/>
              <w:left w:w="59" w:type="dxa"/>
              <w:bottom w:w="0" w:type="dxa"/>
              <w:right w:w="59" w:type="dxa"/>
            </w:tcMar>
            <w:vAlign w:val="bottom"/>
            <w:hideMark/>
          </w:tcPr>
          <w:p w14:paraId="362242D3"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Zakres umowy</w:t>
            </w:r>
          </w:p>
        </w:tc>
        <w:tc>
          <w:tcPr>
            <w:tcW w:w="683" w:type="pct"/>
            <w:shd w:val="clear" w:color="auto" w:fill="9CC2E5" w:themeFill="accent1" w:themeFillTint="99"/>
            <w:tcMar>
              <w:top w:w="15" w:type="dxa"/>
              <w:left w:w="59" w:type="dxa"/>
              <w:bottom w:w="0" w:type="dxa"/>
              <w:right w:w="59" w:type="dxa"/>
            </w:tcMar>
            <w:vAlign w:val="bottom"/>
            <w:hideMark/>
          </w:tcPr>
          <w:p w14:paraId="5B6A5F02"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świadczeń</w:t>
            </w:r>
          </w:p>
        </w:tc>
        <w:tc>
          <w:tcPr>
            <w:tcW w:w="682" w:type="pct"/>
            <w:shd w:val="clear" w:color="auto" w:fill="9CC2E5" w:themeFill="accent1" w:themeFillTint="99"/>
            <w:tcMar>
              <w:top w:w="15" w:type="dxa"/>
              <w:left w:w="59" w:type="dxa"/>
              <w:bottom w:w="0" w:type="dxa"/>
              <w:right w:w="59" w:type="dxa"/>
            </w:tcMar>
            <w:vAlign w:val="bottom"/>
            <w:hideMark/>
          </w:tcPr>
          <w:p w14:paraId="1ACBBF13"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produktów</w:t>
            </w:r>
          </w:p>
        </w:tc>
        <w:tc>
          <w:tcPr>
            <w:tcW w:w="1024" w:type="pct"/>
            <w:shd w:val="clear" w:color="auto" w:fill="9CC2E5" w:themeFill="accent1" w:themeFillTint="99"/>
            <w:tcMar>
              <w:top w:w="15" w:type="dxa"/>
              <w:left w:w="59" w:type="dxa"/>
              <w:bottom w:w="0" w:type="dxa"/>
              <w:right w:w="59" w:type="dxa"/>
            </w:tcMar>
            <w:vAlign w:val="bottom"/>
            <w:hideMark/>
          </w:tcPr>
          <w:p w14:paraId="156DEC3C"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 xml:space="preserve">Wartość rozliczonych świadczeń </w:t>
            </w:r>
            <w:r w:rsidR="00852482" w:rsidRPr="00342041">
              <w:rPr>
                <w:rFonts w:ascii="Times New Roman" w:eastAsia="Times New Roman" w:hAnsi="Times New Roman" w:cs="Times New Roman"/>
                <w:b/>
                <w:bCs/>
                <w:kern w:val="24"/>
                <w:sz w:val="20"/>
                <w:szCs w:val="20"/>
                <w:lang w:eastAsia="pl-PL"/>
              </w:rPr>
              <w:br/>
            </w:r>
            <w:r w:rsidRPr="00342041">
              <w:rPr>
                <w:rFonts w:ascii="Times New Roman" w:eastAsia="Times New Roman" w:hAnsi="Times New Roman" w:cs="Times New Roman"/>
                <w:b/>
                <w:bCs/>
                <w:kern w:val="24"/>
                <w:sz w:val="20"/>
                <w:szCs w:val="20"/>
                <w:lang w:eastAsia="pl-PL"/>
              </w:rPr>
              <w:t>(w zł)</w:t>
            </w:r>
          </w:p>
        </w:tc>
        <w:tc>
          <w:tcPr>
            <w:tcW w:w="796" w:type="pct"/>
            <w:shd w:val="clear" w:color="auto" w:fill="9CC2E5" w:themeFill="accent1" w:themeFillTint="99"/>
            <w:tcMar>
              <w:top w:w="15" w:type="dxa"/>
              <w:left w:w="59" w:type="dxa"/>
              <w:bottom w:w="0" w:type="dxa"/>
              <w:right w:w="59" w:type="dxa"/>
            </w:tcMar>
            <w:vAlign w:val="bottom"/>
            <w:hideMark/>
          </w:tcPr>
          <w:p w14:paraId="350C7358"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świadczenio-dawców</w:t>
            </w:r>
          </w:p>
        </w:tc>
      </w:tr>
      <w:tr w:rsidR="00852482" w:rsidRPr="00342041" w14:paraId="7DB66AA4" w14:textId="77777777" w:rsidTr="00852482">
        <w:trPr>
          <w:trHeight w:val="744"/>
          <w:jc w:val="center"/>
        </w:trPr>
        <w:tc>
          <w:tcPr>
            <w:tcW w:w="373" w:type="pct"/>
            <w:shd w:val="clear" w:color="auto" w:fill="9CC2E5" w:themeFill="accent1" w:themeFillTint="99"/>
            <w:tcMar>
              <w:top w:w="15" w:type="dxa"/>
              <w:left w:w="59" w:type="dxa"/>
              <w:bottom w:w="0" w:type="dxa"/>
              <w:right w:w="59" w:type="dxa"/>
            </w:tcMar>
            <w:vAlign w:val="bottom"/>
            <w:hideMark/>
          </w:tcPr>
          <w:p w14:paraId="72C487FA" w14:textId="77777777" w:rsidR="00B90E75" w:rsidRPr="00342041" w:rsidRDefault="00B90E75" w:rsidP="0085248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2019</w:t>
            </w:r>
          </w:p>
        </w:tc>
        <w:tc>
          <w:tcPr>
            <w:tcW w:w="1442" w:type="pct"/>
            <w:shd w:val="clear" w:color="auto" w:fill="FFFFFF" w:themeFill="background1"/>
            <w:tcMar>
              <w:top w:w="15" w:type="dxa"/>
              <w:left w:w="59" w:type="dxa"/>
              <w:bottom w:w="0" w:type="dxa"/>
              <w:right w:w="59" w:type="dxa"/>
            </w:tcMar>
            <w:vAlign w:val="bottom"/>
            <w:hideMark/>
          </w:tcPr>
          <w:p w14:paraId="78A16E63" w14:textId="77777777" w:rsidR="00B90E75" w:rsidRPr="00342041" w:rsidRDefault="00237B5E" w:rsidP="0085248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color w:val="000000"/>
                <w:kern w:val="24"/>
                <w:sz w:val="20"/>
                <w:szCs w:val="20"/>
                <w:lang w:eastAsia="pl-PL"/>
              </w:rPr>
              <w:t>Świadczenia Zespołu Długoterminowej Opieki Domowej - Dla Pacjentów Wentylowanych Mechanicznie</w:t>
            </w:r>
          </w:p>
        </w:tc>
        <w:tc>
          <w:tcPr>
            <w:tcW w:w="683" w:type="pct"/>
            <w:shd w:val="clear" w:color="auto" w:fill="FFFFFF" w:themeFill="background1"/>
            <w:tcMar>
              <w:top w:w="15" w:type="dxa"/>
              <w:left w:w="59" w:type="dxa"/>
              <w:bottom w:w="0" w:type="dxa"/>
              <w:right w:w="59" w:type="dxa"/>
            </w:tcMar>
            <w:vAlign w:val="bottom"/>
            <w:hideMark/>
          </w:tcPr>
          <w:p w14:paraId="6414D3CF"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98 702</w:t>
            </w:r>
          </w:p>
        </w:tc>
        <w:tc>
          <w:tcPr>
            <w:tcW w:w="682" w:type="pct"/>
            <w:shd w:val="clear" w:color="auto" w:fill="FFFFFF" w:themeFill="background1"/>
            <w:tcMar>
              <w:top w:w="15" w:type="dxa"/>
              <w:left w:w="59" w:type="dxa"/>
              <w:bottom w:w="0" w:type="dxa"/>
              <w:right w:w="59" w:type="dxa"/>
            </w:tcMar>
            <w:vAlign w:val="bottom"/>
            <w:hideMark/>
          </w:tcPr>
          <w:p w14:paraId="0E0E922E"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1 469 286</w:t>
            </w:r>
          </w:p>
        </w:tc>
        <w:tc>
          <w:tcPr>
            <w:tcW w:w="1024" w:type="pct"/>
            <w:shd w:val="clear" w:color="auto" w:fill="FFFFFF" w:themeFill="background1"/>
            <w:tcMar>
              <w:top w:w="15" w:type="dxa"/>
              <w:left w:w="59" w:type="dxa"/>
              <w:bottom w:w="0" w:type="dxa"/>
              <w:right w:w="59" w:type="dxa"/>
            </w:tcMar>
            <w:vAlign w:val="bottom"/>
            <w:hideMark/>
          </w:tcPr>
          <w:p w14:paraId="600AAA5A"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125 541 630,56</w:t>
            </w:r>
          </w:p>
        </w:tc>
        <w:tc>
          <w:tcPr>
            <w:tcW w:w="796" w:type="pct"/>
            <w:shd w:val="clear" w:color="auto" w:fill="FFFFFF" w:themeFill="background1"/>
            <w:tcMar>
              <w:top w:w="15" w:type="dxa"/>
              <w:left w:w="59" w:type="dxa"/>
              <w:bottom w:w="0" w:type="dxa"/>
              <w:right w:w="59" w:type="dxa"/>
            </w:tcMar>
            <w:vAlign w:val="bottom"/>
            <w:hideMark/>
          </w:tcPr>
          <w:p w14:paraId="14362F04"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85</w:t>
            </w:r>
          </w:p>
        </w:tc>
      </w:tr>
      <w:tr w:rsidR="00852482" w:rsidRPr="00342041" w14:paraId="24BDA21D" w14:textId="77777777" w:rsidTr="00852482">
        <w:trPr>
          <w:trHeight w:val="682"/>
          <w:jc w:val="center"/>
        </w:trPr>
        <w:tc>
          <w:tcPr>
            <w:tcW w:w="373" w:type="pct"/>
            <w:shd w:val="clear" w:color="auto" w:fill="9CC2E5" w:themeFill="accent1" w:themeFillTint="99"/>
            <w:tcMar>
              <w:top w:w="15" w:type="dxa"/>
              <w:left w:w="59" w:type="dxa"/>
              <w:bottom w:w="0" w:type="dxa"/>
              <w:right w:w="59" w:type="dxa"/>
            </w:tcMar>
            <w:vAlign w:val="bottom"/>
            <w:hideMark/>
          </w:tcPr>
          <w:p w14:paraId="5A260CA3" w14:textId="77777777" w:rsidR="00B90E75" w:rsidRPr="00342041" w:rsidRDefault="00B90E75" w:rsidP="0085248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lastRenderedPageBreak/>
              <w:t>2019</w:t>
            </w:r>
          </w:p>
        </w:tc>
        <w:tc>
          <w:tcPr>
            <w:tcW w:w="1442" w:type="pct"/>
            <w:shd w:val="clear" w:color="auto" w:fill="FFFFFF" w:themeFill="background1"/>
            <w:tcMar>
              <w:top w:w="15" w:type="dxa"/>
              <w:left w:w="59" w:type="dxa"/>
              <w:bottom w:w="0" w:type="dxa"/>
              <w:right w:w="59" w:type="dxa"/>
            </w:tcMar>
            <w:vAlign w:val="bottom"/>
            <w:hideMark/>
          </w:tcPr>
          <w:p w14:paraId="00BFBB2F" w14:textId="77777777" w:rsidR="00B90E75" w:rsidRPr="00342041" w:rsidRDefault="00237B5E" w:rsidP="0085248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color w:val="000000"/>
                <w:kern w:val="24"/>
                <w:sz w:val="20"/>
                <w:szCs w:val="20"/>
                <w:lang w:eastAsia="pl-PL"/>
              </w:rPr>
              <w:t>Świadczenia W Pielęgniarskiej Opiece Długoterminowej Domowej</w:t>
            </w:r>
          </w:p>
        </w:tc>
        <w:tc>
          <w:tcPr>
            <w:tcW w:w="683" w:type="pct"/>
            <w:shd w:val="clear" w:color="auto" w:fill="FFFFFF" w:themeFill="background1"/>
            <w:tcMar>
              <w:top w:w="15" w:type="dxa"/>
              <w:left w:w="59" w:type="dxa"/>
              <w:bottom w:w="0" w:type="dxa"/>
              <w:right w:w="59" w:type="dxa"/>
            </w:tcMar>
            <w:vAlign w:val="bottom"/>
            <w:hideMark/>
          </w:tcPr>
          <w:p w14:paraId="567CB81D"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1 609 575</w:t>
            </w:r>
          </w:p>
        </w:tc>
        <w:tc>
          <w:tcPr>
            <w:tcW w:w="682" w:type="pct"/>
            <w:shd w:val="clear" w:color="auto" w:fill="FFFFFF" w:themeFill="background1"/>
            <w:tcMar>
              <w:top w:w="15" w:type="dxa"/>
              <w:left w:w="59" w:type="dxa"/>
              <w:bottom w:w="0" w:type="dxa"/>
              <w:right w:w="59" w:type="dxa"/>
            </w:tcMar>
            <w:vAlign w:val="bottom"/>
            <w:hideMark/>
          </w:tcPr>
          <w:p w14:paraId="09B019AA"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22 364 279</w:t>
            </w:r>
          </w:p>
        </w:tc>
        <w:tc>
          <w:tcPr>
            <w:tcW w:w="1024" w:type="pct"/>
            <w:shd w:val="clear" w:color="auto" w:fill="FFFFFF" w:themeFill="background1"/>
            <w:tcMar>
              <w:top w:w="15" w:type="dxa"/>
              <w:left w:w="59" w:type="dxa"/>
              <w:bottom w:w="0" w:type="dxa"/>
              <w:right w:w="59" w:type="dxa"/>
            </w:tcMar>
            <w:vAlign w:val="bottom"/>
            <w:hideMark/>
          </w:tcPr>
          <w:p w14:paraId="43D547A1"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356 978 512,14</w:t>
            </w:r>
          </w:p>
        </w:tc>
        <w:tc>
          <w:tcPr>
            <w:tcW w:w="796" w:type="pct"/>
            <w:shd w:val="clear" w:color="auto" w:fill="FFFFFF" w:themeFill="background1"/>
            <w:tcMar>
              <w:top w:w="15" w:type="dxa"/>
              <w:left w:w="59" w:type="dxa"/>
              <w:bottom w:w="0" w:type="dxa"/>
              <w:right w:w="59" w:type="dxa"/>
            </w:tcMar>
            <w:vAlign w:val="bottom"/>
            <w:hideMark/>
          </w:tcPr>
          <w:p w14:paraId="6829C028"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1052</w:t>
            </w:r>
          </w:p>
        </w:tc>
      </w:tr>
      <w:tr w:rsidR="00852482" w:rsidRPr="00342041" w14:paraId="5B0B71E3" w14:textId="77777777" w:rsidTr="00852482">
        <w:trPr>
          <w:trHeight w:val="751"/>
          <w:jc w:val="center"/>
        </w:trPr>
        <w:tc>
          <w:tcPr>
            <w:tcW w:w="373" w:type="pct"/>
            <w:shd w:val="clear" w:color="auto" w:fill="9CC2E5" w:themeFill="accent1" w:themeFillTint="99"/>
            <w:tcMar>
              <w:top w:w="15" w:type="dxa"/>
              <w:left w:w="59" w:type="dxa"/>
              <w:bottom w:w="0" w:type="dxa"/>
              <w:right w:w="59" w:type="dxa"/>
            </w:tcMar>
            <w:vAlign w:val="bottom"/>
            <w:hideMark/>
          </w:tcPr>
          <w:p w14:paraId="1A00F560" w14:textId="77777777" w:rsidR="00B90E75" w:rsidRPr="00342041" w:rsidRDefault="00B90E75" w:rsidP="0085248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2019</w:t>
            </w:r>
          </w:p>
        </w:tc>
        <w:tc>
          <w:tcPr>
            <w:tcW w:w="1442" w:type="pct"/>
            <w:shd w:val="clear" w:color="auto" w:fill="FFFFFF" w:themeFill="background1"/>
            <w:tcMar>
              <w:top w:w="15" w:type="dxa"/>
              <w:left w:w="59" w:type="dxa"/>
              <w:bottom w:w="0" w:type="dxa"/>
              <w:right w:w="59" w:type="dxa"/>
            </w:tcMar>
            <w:vAlign w:val="bottom"/>
            <w:hideMark/>
          </w:tcPr>
          <w:p w14:paraId="31D21840" w14:textId="77777777" w:rsidR="00B90E75" w:rsidRPr="00342041" w:rsidRDefault="00237B5E" w:rsidP="00852482">
            <w:pPr>
              <w:spacing w:after="0" w:line="240" w:lineRule="auto"/>
              <w:rPr>
                <w:rFonts w:ascii="Times New Roman" w:eastAsia="Times New Roman" w:hAnsi="Times New Roman" w:cs="Times New Roman"/>
                <w:b/>
                <w:color w:val="000000"/>
                <w:kern w:val="24"/>
                <w:sz w:val="20"/>
                <w:szCs w:val="20"/>
                <w:lang w:eastAsia="pl-PL"/>
              </w:rPr>
            </w:pPr>
            <w:r w:rsidRPr="00342041">
              <w:rPr>
                <w:rFonts w:ascii="Times New Roman" w:eastAsia="Times New Roman" w:hAnsi="Times New Roman" w:cs="Times New Roman"/>
                <w:b/>
                <w:color w:val="000000"/>
                <w:kern w:val="24"/>
                <w:sz w:val="20"/>
                <w:szCs w:val="20"/>
                <w:lang w:eastAsia="pl-PL"/>
              </w:rPr>
              <w:t>Świadczenia W Zakładzie Pielęgnacyjno- Opiekuńczym/</w:t>
            </w:r>
          </w:p>
          <w:p w14:paraId="63F927D0" w14:textId="77777777" w:rsidR="00B90E75" w:rsidRPr="00342041" w:rsidRDefault="00237B5E" w:rsidP="0085248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color w:val="000000"/>
                <w:kern w:val="24"/>
                <w:sz w:val="20"/>
                <w:szCs w:val="20"/>
                <w:lang w:eastAsia="pl-PL"/>
              </w:rPr>
              <w:t>Opiekuńczo-Leczniczym</w:t>
            </w:r>
          </w:p>
        </w:tc>
        <w:tc>
          <w:tcPr>
            <w:tcW w:w="683" w:type="pct"/>
            <w:shd w:val="clear" w:color="auto" w:fill="FFFFFF" w:themeFill="background1"/>
            <w:tcMar>
              <w:top w:w="15" w:type="dxa"/>
              <w:left w:w="59" w:type="dxa"/>
              <w:bottom w:w="0" w:type="dxa"/>
              <w:right w:w="59" w:type="dxa"/>
            </w:tcMar>
            <w:vAlign w:val="bottom"/>
            <w:hideMark/>
          </w:tcPr>
          <w:p w14:paraId="68794B39"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40 863</w:t>
            </w:r>
          </w:p>
        </w:tc>
        <w:tc>
          <w:tcPr>
            <w:tcW w:w="682" w:type="pct"/>
            <w:shd w:val="clear" w:color="auto" w:fill="FFFFFF" w:themeFill="background1"/>
            <w:tcMar>
              <w:top w:w="15" w:type="dxa"/>
              <w:left w:w="59" w:type="dxa"/>
              <w:bottom w:w="0" w:type="dxa"/>
              <w:right w:w="59" w:type="dxa"/>
            </w:tcMar>
            <w:vAlign w:val="bottom"/>
            <w:hideMark/>
          </w:tcPr>
          <w:p w14:paraId="1047C2CB"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7 713 476</w:t>
            </w:r>
          </w:p>
        </w:tc>
        <w:tc>
          <w:tcPr>
            <w:tcW w:w="1024" w:type="pct"/>
            <w:shd w:val="clear" w:color="auto" w:fill="FFFFFF" w:themeFill="background1"/>
            <w:tcMar>
              <w:top w:w="15" w:type="dxa"/>
              <w:left w:w="59" w:type="dxa"/>
              <w:bottom w:w="0" w:type="dxa"/>
              <w:right w:w="59" w:type="dxa"/>
            </w:tcMar>
            <w:vAlign w:val="bottom"/>
            <w:hideMark/>
          </w:tcPr>
          <w:p w14:paraId="2C08AD9B"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716 306 874,70</w:t>
            </w:r>
          </w:p>
        </w:tc>
        <w:tc>
          <w:tcPr>
            <w:tcW w:w="796" w:type="pct"/>
            <w:shd w:val="clear" w:color="auto" w:fill="FFFFFF" w:themeFill="background1"/>
            <w:tcMar>
              <w:top w:w="15" w:type="dxa"/>
              <w:left w:w="59" w:type="dxa"/>
              <w:bottom w:w="0" w:type="dxa"/>
              <w:right w:w="59" w:type="dxa"/>
            </w:tcMar>
            <w:vAlign w:val="bottom"/>
            <w:hideMark/>
          </w:tcPr>
          <w:p w14:paraId="63F8CE33"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431</w:t>
            </w:r>
          </w:p>
        </w:tc>
      </w:tr>
      <w:tr w:rsidR="00852482" w:rsidRPr="00342041" w14:paraId="024DA8B7" w14:textId="77777777" w:rsidTr="00852482">
        <w:trPr>
          <w:trHeight w:val="538"/>
          <w:jc w:val="center"/>
        </w:trPr>
        <w:tc>
          <w:tcPr>
            <w:tcW w:w="373" w:type="pct"/>
            <w:shd w:val="clear" w:color="auto" w:fill="9CC2E5" w:themeFill="accent1" w:themeFillTint="99"/>
            <w:tcMar>
              <w:top w:w="15" w:type="dxa"/>
              <w:left w:w="59" w:type="dxa"/>
              <w:bottom w:w="0" w:type="dxa"/>
              <w:right w:w="59" w:type="dxa"/>
            </w:tcMar>
            <w:vAlign w:val="bottom"/>
            <w:hideMark/>
          </w:tcPr>
          <w:p w14:paraId="611CF8DD" w14:textId="77777777" w:rsidR="00B90E75" w:rsidRPr="00342041" w:rsidRDefault="00B90E75" w:rsidP="0085248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2019</w:t>
            </w:r>
          </w:p>
        </w:tc>
        <w:tc>
          <w:tcPr>
            <w:tcW w:w="1442" w:type="pct"/>
            <w:shd w:val="clear" w:color="auto" w:fill="FFFFFF" w:themeFill="background1"/>
            <w:tcMar>
              <w:top w:w="15" w:type="dxa"/>
              <w:left w:w="59" w:type="dxa"/>
              <w:bottom w:w="0" w:type="dxa"/>
              <w:right w:w="59" w:type="dxa"/>
            </w:tcMar>
            <w:vAlign w:val="bottom"/>
            <w:hideMark/>
          </w:tcPr>
          <w:p w14:paraId="2F84299A" w14:textId="77777777" w:rsidR="00B90E75" w:rsidRPr="00342041" w:rsidRDefault="00237B5E" w:rsidP="0085248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color w:val="000000"/>
                <w:kern w:val="24"/>
                <w:sz w:val="20"/>
                <w:szCs w:val="20"/>
                <w:lang w:eastAsia="pl-PL"/>
              </w:rPr>
              <w:t>Świadczenia W Zakładzie Pielęgnacyjno-Opiekuńczym Dla Pacjentów Wentylowanych Mechanicznie / Opiekuńczo - Leczniczym Dla Pacjentów Wentylowanych Mechanicznie</w:t>
            </w:r>
          </w:p>
        </w:tc>
        <w:tc>
          <w:tcPr>
            <w:tcW w:w="683" w:type="pct"/>
            <w:shd w:val="clear" w:color="auto" w:fill="FFFFFF" w:themeFill="background1"/>
            <w:tcMar>
              <w:top w:w="15" w:type="dxa"/>
              <w:left w:w="59" w:type="dxa"/>
              <w:bottom w:w="0" w:type="dxa"/>
              <w:right w:w="59" w:type="dxa"/>
            </w:tcMar>
            <w:vAlign w:val="bottom"/>
            <w:hideMark/>
          </w:tcPr>
          <w:p w14:paraId="7C3CC153"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1 090</w:t>
            </w:r>
          </w:p>
        </w:tc>
        <w:tc>
          <w:tcPr>
            <w:tcW w:w="682" w:type="pct"/>
            <w:shd w:val="clear" w:color="auto" w:fill="FFFFFF" w:themeFill="background1"/>
            <w:tcMar>
              <w:top w:w="15" w:type="dxa"/>
              <w:left w:w="59" w:type="dxa"/>
              <w:bottom w:w="0" w:type="dxa"/>
              <w:right w:w="59" w:type="dxa"/>
            </w:tcMar>
            <w:vAlign w:val="bottom"/>
            <w:hideMark/>
          </w:tcPr>
          <w:p w14:paraId="41D178D3"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108 008</w:t>
            </w:r>
          </w:p>
        </w:tc>
        <w:tc>
          <w:tcPr>
            <w:tcW w:w="1024" w:type="pct"/>
            <w:shd w:val="clear" w:color="auto" w:fill="FFFFFF" w:themeFill="background1"/>
            <w:tcMar>
              <w:top w:w="15" w:type="dxa"/>
              <w:left w:w="59" w:type="dxa"/>
              <w:bottom w:w="0" w:type="dxa"/>
              <w:right w:w="59" w:type="dxa"/>
            </w:tcMar>
            <w:vAlign w:val="bottom"/>
            <w:hideMark/>
          </w:tcPr>
          <w:p w14:paraId="1C15113E"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41 169 281,21</w:t>
            </w:r>
          </w:p>
        </w:tc>
        <w:tc>
          <w:tcPr>
            <w:tcW w:w="796" w:type="pct"/>
            <w:shd w:val="clear" w:color="auto" w:fill="FFFFFF" w:themeFill="background1"/>
            <w:tcMar>
              <w:top w:w="15" w:type="dxa"/>
              <w:left w:w="59" w:type="dxa"/>
              <w:bottom w:w="0" w:type="dxa"/>
              <w:right w:w="59" w:type="dxa"/>
            </w:tcMar>
            <w:vAlign w:val="bottom"/>
            <w:hideMark/>
          </w:tcPr>
          <w:p w14:paraId="6F434226" w14:textId="77777777" w:rsidR="00B90E75" w:rsidRPr="00342041" w:rsidRDefault="00B90E75" w:rsidP="0085248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46</w:t>
            </w:r>
          </w:p>
        </w:tc>
      </w:tr>
      <w:tr w:rsidR="00852482" w:rsidRPr="00342041" w14:paraId="0EDA2F02" w14:textId="77777777" w:rsidTr="00852482">
        <w:trPr>
          <w:trHeight w:val="538"/>
          <w:jc w:val="center"/>
        </w:trPr>
        <w:tc>
          <w:tcPr>
            <w:tcW w:w="1815" w:type="pct"/>
            <w:gridSpan w:val="2"/>
            <w:shd w:val="clear" w:color="auto" w:fill="9CC2E5" w:themeFill="accent1" w:themeFillTint="99"/>
            <w:tcMar>
              <w:top w:w="15" w:type="dxa"/>
              <w:left w:w="59" w:type="dxa"/>
              <w:bottom w:w="0" w:type="dxa"/>
              <w:right w:w="59" w:type="dxa"/>
            </w:tcMar>
            <w:vAlign w:val="bottom"/>
          </w:tcPr>
          <w:p w14:paraId="784E2029" w14:textId="77777777" w:rsidR="00B90E75" w:rsidRPr="00342041" w:rsidRDefault="00B90E75" w:rsidP="00852482">
            <w:pPr>
              <w:spacing w:after="0" w:line="240" w:lineRule="auto"/>
              <w:jc w:val="center"/>
              <w:rPr>
                <w:rFonts w:ascii="Times New Roman" w:eastAsia="Times New Roman" w:hAnsi="Times New Roman" w:cs="Times New Roman"/>
                <w:color w:val="000000"/>
                <w:kern w:val="24"/>
                <w:sz w:val="20"/>
                <w:szCs w:val="20"/>
                <w:lang w:eastAsia="pl-PL"/>
              </w:rPr>
            </w:pPr>
            <w:r w:rsidRPr="00342041">
              <w:rPr>
                <w:rFonts w:ascii="Times New Roman" w:eastAsia="Times New Roman" w:hAnsi="Times New Roman" w:cs="Times New Roman"/>
                <w:b/>
                <w:bCs/>
                <w:kern w:val="24"/>
                <w:sz w:val="20"/>
                <w:szCs w:val="20"/>
                <w:lang w:eastAsia="pl-PL"/>
              </w:rPr>
              <w:t>Ogółem</w:t>
            </w:r>
          </w:p>
        </w:tc>
        <w:tc>
          <w:tcPr>
            <w:tcW w:w="683" w:type="pct"/>
            <w:shd w:val="clear" w:color="auto" w:fill="FFFFFF" w:themeFill="background1"/>
            <w:tcMar>
              <w:top w:w="15" w:type="dxa"/>
              <w:left w:w="59" w:type="dxa"/>
              <w:bottom w:w="0" w:type="dxa"/>
              <w:right w:w="59" w:type="dxa"/>
            </w:tcMar>
            <w:vAlign w:val="bottom"/>
          </w:tcPr>
          <w:p w14:paraId="6834C120" w14:textId="77777777" w:rsidR="00B90E75" w:rsidRPr="00342041" w:rsidRDefault="00B90E75" w:rsidP="00852482">
            <w:pPr>
              <w:spacing w:after="0" w:line="240" w:lineRule="auto"/>
              <w:jc w:val="center"/>
              <w:rPr>
                <w:rFonts w:ascii="Times New Roman" w:eastAsia="Times New Roman" w:hAnsi="Times New Roman" w:cs="Times New Roman"/>
                <w:b/>
                <w:bCs/>
                <w:color w:val="000000"/>
                <w:kern w:val="24"/>
                <w:sz w:val="20"/>
                <w:szCs w:val="20"/>
                <w:lang w:eastAsia="pl-PL"/>
              </w:rPr>
            </w:pPr>
            <w:r w:rsidRPr="00342041">
              <w:rPr>
                <w:rFonts w:ascii="Times New Roman" w:eastAsia="Times New Roman" w:hAnsi="Times New Roman" w:cs="Times New Roman"/>
                <w:b/>
                <w:bCs/>
                <w:color w:val="000000"/>
                <w:kern w:val="24"/>
                <w:sz w:val="20"/>
                <w:szCs w:val="20"/>
                <w:lang w:eastAsia="pl-PL"/>
              </w:rPr>
              <w:t>1 750 230</w:t>
            </w:r>
          </w:p>
        </w:tc>
        <w:tc>
          <w:tcPr>
            <w:tcW w:w="682" w:type="pct"/>
            <w:shd w:val="clear" w:color="auto" w:fill="FFFFFF" w:themeFill="background1"/>
            <w:tcMar>
              <w:top w:w="15" w:type="dxa"/>
              <w:left w:w="59" w:type="dxa"/>
              <w:bottom w:w="0" w:type="dxa"/>
              <w:right w:w="59" w:type="dxa"/>
            </w:tcMar>
            <w:vAlign w:val="bottom"/>
          </w:tcPr>
          <w:p w14:paraId="4AE1DFB0" w14:textId="77777777" w:rsidR="00B90E75" w:rsidRPr="00342041" w:rsidRDefault="00B90E75" w:rsidP="00852482">
            <w:pPr>
              <w:spacing w:after="0" w:line="240" w:lineRule="auto"/>
              <w:jc w:val="center"/>
              <w:rPr>
                <w:rFonts w:ascii="Times New Roman" w:eastAsia="Times New Roman" w:hAnsi="Times New Roman" w:cs="Times New Roman"/>
                <w:b/>
                <w:bCs/>
                <w:color w:val="000000"/>
                <w:kern w:val="24"/>
                <w:sz w:val="20"/>
                <w:szCs w:val="20"/>
                <w:lang w:eastAsia="pl-PL"/>
              </w:rPr>
            </w:pPr>
            <w:r w:rsidRPr="00342041">
              <w:rPr>
                <w:rFonts w:ascii="Times New Roman" w:eastAsia="Times New Roman" w:hAnsi="Times New Roman" w:cs="Times New Roman"/>
                <w:b/>
                <w:bCs/>
                <w:color w:val="000000"/>
                <w:kern w:val="24"/>
                <w:sz w:val="20"/>
                <w:szCs w:val="20"/>
                <w:lang w:eastAsia="pl-PL"/>
              </w:rPr>
              <w:t>31 665 049</w:t>
            </w:r>
          </w:p>
        </w:tc>
        <w:tc>
          <w:tcPr>
            <w:tcW w:w="1024" w:type="pct"/>
            <w:shd w:val="clear" w:color="auto" w:fill="FFFFFF" w:themeFill="background1"/>
            <w:tcMar>
              <w:top w:w="15" w:type="dxa"/>
              <w:left w:w="59" w:type="dxa"/>
              <w:bottom w:w="0" w:type="dxa"/>
              <w:right w:w="59" w:type="dxa"/>
            </w:tcMar>
            <w:vAlign w:val="bottom"/>
          </w:tcPr>
          <w:p w14:paraId="564F2E77" w14:textId="77777777" w:rsidR="00B90E75" w:rsidRPr="00342041" w:rsidRDefault="00B90E75" w:rsidP="00852482">
            <w:pPr>
              <w:spacing w:after="0" w:line="240" w:lineRule="auto"/>
              <w:jc w:val="center"/>
              <w:rPr>
                <w:rFonts w:ascii="Times New Roman" w:eastAsia="Times New Roman" w:hAnsi="Times New Roman" w:cs="Times New Roman"/>
                <w:b/>
                <w:bCs/>
                <w:color w:val="000000"/>
                <w:kern w:val="24"/>
                <w:sz w:val="20"/>
                <w:szCs w:val="20"/>
                <w:lang w:eastAsia="pl-PL"/>
              </w:rPr>
            </w:pPr>
            <w:r w:rsidRPr="00342041">
              <w:rPr>
                <w:rFonts w:ascii="Times New Roman" w:eastAsia="Times New Roman" w:hAnsi="Times New Roman" w:cs="Times New Roman"/>
                <w:b/>
                <w:bCs/>
                <w:color w:val="000000"/>
                <w:kern w:val="24"/>
                <w:sz w:val="20"/>
                <w:szCs w:val="20"/>
                <w:lang w:eastAsia="pl-PL"/>
              </w:rPr>
              <w:t>1 239 996 298,61</w:t>
            </w:r>
          </w:p>
        </w:tc>
        <w:tc>
          <w:tcPr>
            <w:tcW w:w="796" w:type="pct"/>
            <w:shd w:val="clear" w:color="auto" w:fill="FFFFFF" w:themeFill="background1"/>
            <w:tcMar>
              <w:top w:w="15" w:type="dxa"/>
              <w:left w:w="59" w:type="dxa"/>
              <w:bottom w:w="0" w:type="dxa"/>
              <w:right w:w="59" w:type="dxa"/>
            </w:tcMar>
            <w:vAlign w:val="bottom"/>
          </w:tcPr>
          <w:p w14:paraId="36B668AB" w14:textId="77777777" w:rsidR="00B90E75" w:rsidRPr="00342041" w:rsidRDefault="00B90E75" w:rsidP="00852482">
            <w:pPr>
              <w:spacing w:after="0" w:line="240" w:lineRule="auto"/>
              <w:jc w:val="center"/>
              <w:rPr>
                <w:rFonts w:ascii="Times New Roman" w:eastAsia="Times New Roman" w:hAnsi="Times New Roman" w:cs="Times New Roman"/>
                <w:b/>
                <w:bCs/>
                <w:color w:val="000000"/>
                <w:kern w:val="24"/>
                <w:sz w:val="20"/>
                <w:szCs w:val="20"/>
                <w:lang w:eastAsia="pl-PL"/>
              </w:rPr>
            </w:pPr>
            <w:r w:rsidRPr="00342041">
              <w:rPr>
                <w:rFonts w:ascii="Times New Roman" w:eastAsia="Times New Roman" w:hAnsi="Times New Roman" w:cs="Times New Roman"/>
                <w:b/>
                <w:bCs/>
                <w:color w:val="000000"/>
                <w:kern w:val="24"/>
                <w:sz w:val="20"/>
                <w:szCs w:val="20"/>
                <w:lang w:eastAsia="pl-PL"/>
              </w:rPr>
              <w:t>1614</w:t>
            </w:r>
          </w:p>
        </w:tc>
      </w:tr>
    </w:tbl>
    <w:p w14:paraId="634A0CC2" w14:textId="77777777" w:rsidR="00826142" w:rsidRPr="00826142" w:rsidRDefault="00826142" w:rsidP="00826142">
      <w:pPr>
        <w:tabs>
          <w:tab w:val="left" w:pos="5400"/>
        </w:tabs>
        <w:spacing w:after="0"/>
        <w:rPr>
          <w:rFonts w:ascii="Times New Roman" w:eastAsia="Times New Roman" w:hAnsi="Times New Roman" w:cs="Times New Roman"/>
          <w:b/>
          <w:szCs w:val="24"/>
          <w:lang w:eastAsia="pl-PL"/>
        </w:rPr>
      </w:pPr>
      <w:r w:rsidRPr="00826142">
        <w:rPr>
          <w:rFonts w:ascii="Times New Roman" w:eastAsia="Times New Roman" w:hAnsi="Times New Roman" w:cs="Times New Roman"/>
          <w:b/>
          <w:szCs w:val="24"/>
          <w:lang w:eastAsia="pl-PL"/>
        </w:rPr>
        <w:t>Źródło: dane z Ministerstwa Zdrowia</w:t>
      </w:r>
    </w:p>
    <w:p w14:paraId="2AD84EB0" w14:textId="77777777" w:rsidR="00B90E75" w:rsidRDefault="00B90E75" w:rsidP="003C1988">
      <w:pPr>
        <w:tabs>
          <w:tab w:val="left" w:pos="5400"/>
        </w:tabs>
        <w:spacing w:after="0"/>
        <w:contextualSpacing/>
        <w:rPr>
          <w:rFonts w:ascii="Times New Roman" w:eastAsia="Times New Roman" w:hAnsi="Times New Roman" w:cs="Times New Roman"/>
          <w:sz w:val="24"/>
          <w:szCs w:val="24"/>
          <w:lang w:eastAsia="pl-PL"/>
        </w:rPr>
      </w:pPr>
    </w:p>
    <w:p w14:paraId="474F721B" w14:textId="77777777" w:rsidR="00B90E75" w:rsidRPr="00A3788E" w:rsidRDefault="00A3788E" w:rsidP="00A3788E">
      <w:pPr>
        <w:tabs>
          <w:tab w:val="left" w:pos="5400"/>
        </w:tabs>
        <w:spacing w:after="0"/>
        <w:rPr>
          <w:rFonts w:ascii="Times New Roman" w:eastAsia="Times New Roman" w:hAnsi="Times New Roman" w:cs="Times New Roman"/>
          <w:b/>
          <w:sz w:val="24"/>
          <w:szCs w:val="24"/>
          <w:lang w:eastAsia="pl-PL"/>
        </w:rPr>
      </w:pPr>
      <w:r w:rsidRPr="00A3788E">
        <w:rPr>
          <w:rFonts w:ascii="Times New Roman" w:eastAsia="Times New Roman" w:hAnsi="Times New Roman" w:cs="Times New Roman"/>
          <w:b/>
          <w:sz w:val="24"/>
          <w:szCs w:val="24"/>
          <w:lang w:eastAsia="pl-PL"/>
        </w:rPr>
        <w:t>O</w:t>
      </w:r>
      <w:r w:rsidR="00B90E75" w:rsidRPr="00A3788E">
        <w:rPr>
          <w:rFonts w:ascii="Times New Roman" w:eastAsia="Times New Roman" w:hAnsi="Times New Roman" w:cs="Times New Roman"/>
          <w:b/>
          <w:sz w:val="24"/>
          <w:szCs w:val="24"/>
          <w:lang w:eastAsia="pl-PL"/>
        </w:rPr>
        <w:t>pieka paliatywna i hospicyjna</w:t>
      </w:r>
    </w:p>
    <w:p w14:paraId="4DD94A2D" w14:textId="77777777" w:rsidR="00B90E75" w:rsidRPr="009C5256" w:rsidRDefault="00B90E75" w:rsidP="00A3788E">
      <w:pPr>
        <w:tabs>
          <w:tab w:val="left" w:pos="5400"/>
        </w:tabs>
        <w:spacing w:after="0"/>
        <w:contextualSpacing/>
        <w:jc w:val="both"/>
        <w:rPr>
          <w:rFonts w:ascii="Times New Roman" w:eastAsia="Times New Roman" w:hAnsi="Times New Roman" w:cs="Times New Roman"/>
          <w:sz w:val="24"/>
          <w:szCs w:val="24"/>
          <w:lang w:eastAsia="pl-PL"/>
        </w:rPr>
      </w:pPr>
      <w:r w:rsidRPr="009C5256">
        <w:rPr>
          <w:rFonts w:ascii="Times New Roman" w:eastAsia="Times New Roman" w:hAnsi="Times New Roman" w:cs="Times New Roman"/>
          <w:sz w:val="24"/>
          <w:szCs w:val="24"/>
          <w:lang w:eastAsia="pl-PL"/>
        </w:rPr>
        <w:t>Zgodnie z danymi z Rejestru Podmiotów Wykonujących Działalność Leczniczą, w 2019 r. funkcjonowało:</w:t>
      </w:r>
    </w:p>
    <w:p w14:paraId="23FF8E6B" w14:textId="77777777" w:rsidR="00B90E75" w:rsidRPr="00E23F85" w:rsidRDefault="00B90E75" w:rsidP="008C71A9">
      <w:pPr>
        <w:pStyle w:val="Akapitzlist"/>
        <w:numPr>
          <w:ilvl w:val="0"/>
          <w:numId w:val="273"/>
        </w:numPr>
        <w:tabs>
          <w:tab w:val="left" w:pos="5400"/>
        </w:tabs>
        <w:spacing w:after="0"/>
        <w:ind w:left="643"/>
        <w:contextualSpacing w:val="0"/>
        <w:jc w:val="both"/>
        <w:rPr>
          <w:rFonts w:ascii="Times New Roman" w:eastAsia="Times New Roman" w:hAnsi="Times New Roman" w:cs="Times New Roman"/>
          <w:sz w:val="24"/>
          <w:szCs w:val="24"/>
          <w:lang w:eastAsia="pl-PL"/>
        </w:rPr>
      </w:pPr>
      <w:r w:rsidRPr="00483D26">
        <w:rPr>
          <w:rFonts w:ascii="Times New Roman" w:eastAsia="Times New Roman" w:hAnsi="Times New Roman" w:cs="Times New Roman"/>
          <w:b/>
          <w:bCs/>
          <w:sz w:val="24"/>
          <w:szCs w:val="24"/>
          <w:lang w:eastAsia="pl-PL"/>
        </w:rPr>
        <w:t>118 hospicjów stacjonarnych</w:t>
      </w:r>
      <w:r w:rsidRPr="00E23F85">
        <w:rPr>
          <w:rStyle w:val="Odwoanieprzypisudolnego"/>
          <w:rFonts w:ascii="Times New Roman" w:eastAsia="Times New Roman" w:hAnsi="Times New Roman" w:cs="Times New Roman"/>
          <w:bCs/>
          <w:sz w:val="24"/>
          <w:szCs w:val="24"/>
          <w:lang w:eastAsia="pl-PL"/>
        </w:rPr>
        <w:footnoteReference w:id="11"/>
      </w:r>
      <w:r w:rsidRPr="00E23F85">
        <w:rPr>
          <w:rFonts w:ascii="Times New Roman" w:eastAsia="Times New Roman" w:hAnsi="Times New Roman" w:cs="Times New Roman"/>
          <w:sz w:val="24"/>
          <w:szCs w:val="24"/>
          <w:lang w:eastAsia="pl-PL"/>
        </w:rPr>
        <w:t xml:space="preserve"> z </w:t>
      </w:r>
      <w:r w:rsidRPr="00E23F85">
        <w:rPr>
          <w:rFonts w:ascii="Times New Roman" w:eastAsia="Times New Roman" w:hAnsi="Times New Roman" w:cs="Times New Roman"/>
          <w:bCs/>
          <w:sz w:val="24"/>
          <w:szCs w:val="24"/>
          <w:lang w:eastAsia="pl-PL"/>
        </w:rPr>
        <w:t>liczbą łóżek</w:t>
      </w:r>
      <w:r w:rsidRPr="00E23F85">
        <w:rPr>
          <w:rFonts w:ascii="Times New Roman" w:eastAsia="Times New Roman" w:hAnsi="Times New Roman" w:cs="Times New Roman"/>
          <w:sz w:val="24"/>
          <w:szCs w:val="24"/>
          <w:lang w:eastAsia="pl-PL"/>
        </w:rPr>
        <w:t xml:space="preserve"> wynoszącą </w:t>
      </w:r>
      <w:r w:rsidRPr="00483D26">
        <w:rPr>
          <w:rFonts w:ascii="Times New Roman" w:eastAsia="Times New Roman" w:hAnsi="Times New Roman" w:cs="Times New Roman"/>
          <w:b/>
          <w:bCs/>
          <w:sz w:val="24"/>
          <w:szCs w:val="24"/>
          <w:lang w:eastAsia="pl-PL"/>
        </w:rPr>
        <w:t>2 430</w:t>
      </w:r>
      <w:r w:rsidRPr="00E23F85">
        <w:rPr>
          <w:rFonts w:ascii="Times New Roman" w:eastAsia="Times New Roman" w:hAnsi="Times New Roman" w:cs="Times New Roman"/>
          <w:sz w:val="24"/>
          <w:szCs w:val="24"/>
          <w:lang w:eastAsia="pl-PL"/>
        </w:rPr>
        <w:t>;</w:t>
      </w:r>
    </w:p>
    <w:p w14:paraId="1E077232" w14:textId="77777777" w:rsidR="00B90E75" w:rsidRPr="00E23F85" w:rsidRDefault="00B90E75" w:rsidP="008C71A9">
      <w:pPr>
        <w:pStyle w:val="Akapitzlist"/>
        <w:numPr>
          <w:ilvl w:val="0"/>
          <w:numId w:val="273"/>
        </w:numPr>
        <w:tabs>
          <w:tab w:val="left" w:pos="5400"/>
        </w:tabs>
        <w:spacing w:after="0"/>
        <w:ind w:left="643"/>
        <w:contextualSpacing w:val="0"/>
        <w:jc w:val="both"/>
        <w:rPr>
          <w:rFonts w:ascii="Times New Roman" w:eastAsia="Times New Roman" w:hAnsi="Times New Roman" w:cs="Times New Roman"/>
          <w:sz w:val="24"/>
          <w:szCs w:val="24"/>
          <w:lang w:eastAsia="pl-PL"/>
        </w:rPr>
      </w:pPr>
      <w:r w:rsidRPr="00483D26">
        <w:rPr>
          <w:rFonts w:ascii="Times New Roman" w:eastAsia="Times New Roman" w:hAnsi="Times New Roman" w:cs="Times New Roman"/>
          <w:b/>
          <w:bCs/>
          <w:sz w:val="24"/>
          <w:szCs w:val="24"/>
          <w:lang w:eastAsia="pl-PL"/>
        </w:rPr>
        <w:t>798 hospicjów domowych</w:t>
      </w:r>
      <w:r w:rsidRPr="00E23F85">
        <w:rPr>
          <w:rStyle w:val="Odwoanieprzypisudolnego"/>
          <w:rFonts w:ascii="Times New Roman" w:eastAsia="Times New Roman" w:hAnsi="Times New Roman" w:cs="Times New Roman"/>
          <w:bCs/>
          <w:sz w:val="24"/>
          <w:szCs w:val="24"/>
          <w:lang w:eastAsia="pl-PL"/>
        </w:rPr>
        <w:footnoteReference w:id="12"/>
      </w:r>
      <w:r w:rsidRPr="00E23F85">
        <w:rPr>
          <w:rFonts w:ascii="Times New Roman" w:eastAsia="Times New Roman" w:hAnsi="Times New Roman" w:cs="Times New Roman"/>
          <w:sz w:val="24"/>
          <w:szCs w:val="24"/>
          <w:lang w:eastAsia="pl-PL"/>
        </w:rPr>
        <w:t>;</w:t>
      </w:r>
    </w:p>
    <w:p w14:paraId="1EB49B0B" w14:textId="77777777" w:rsidR="00B90E75" w:rsidRPr="009C5256" w:rsidRDefault="00B90E75" w:rsidP="008C71A9">
      <w:pPr>
        <w:pStyle w:val="Akapitzlist"/>
        <w:numPr>
          <w:ilvl w:val="0"/>
          <w:numId w:val="273"/>
        </w:numPr>
        <w:tabs>
          <w:tab w:val="left" w:pos="5400"/>
        </w:tabs>
        <w:spacing w:after="0"/>
        <w:ind w:left="643"/>
        <w:contextualSpacing w:val="0"/>
        <w:jc w:val="both"/>
        <w:rPr>
          <w:rFonts w:ascii="Times New Roman" w:eastAsia="Times New Roman" w:hAnsi="Times New Roman" w:cs="Times New Roman"/>
          <w:sz w:val="24"/>
          <w:szCs w:val="24"/>
          <w:lang w:eastAsia="pl-PL"/>
        </w:rPr>
      </w:pPr>
      <w:r w:rsidRPr="00483D26">
        <w:rPr>
          <w:rFonts w:ascii="Times New Roman" w:eastAsia="Times New Roman" w:hAnsi="Times New Roman" w:cs="Times New Roman"/>
          <w:b/>
          <w:bCs/>
          <w:sz w:val="24"/>
          <w:szCs w:val="24"/>
          <w:lang w:eastAsia="pl-PL"/>
        </w:rPr>
        <w:t>12 dziennych ośrodków opieki paliatywnej lub hospicyjnej</w:t>
      </w:r>
      <w:r w:rsidRPr="00E23F85">
        <w:rPr>
          <w:rStyle w:val="Odwoanieprzypisudolnego"/>
          <w:rFonts w:ascii="Times New Roman" w:eastAsia="Times New Roman" w:hAnsi="Times New Roman" w:cs="Times New Roman"/>
          <w:bCs/>
          <w:sz w:val="24"/>
          <w:szCs w:val="24"/>
          <w:lang w:eastAsia="pl-PL"/>
        </w:rPr>
        <w:footnoteReference w:id="13"/>
      </w:r>
      <w:r w:rsidRPr="009C5256">
        <w:rPr>
          <w:rFonts w:ascii="Times New Roman" w:eastAsia="Times New Roman" w:hAnsi="Times New Roman" w:cs="Times New Roman"/>
          <w:sz w:val="24"/>
          <w:szCs w:val="24"/>
          <w:lang w:eastAsia="pl-PL"/>
        </w:rPr>
        <w:t xml:space="preserve"> z liczbą miejsc dziennych </w:t>
      </w:r>
      <w:r w:rsidRPr="00E23F85">
        <w:rPr>
          <w:rFonts w:ascii="Times New Roman" w:eastAsia="Times New Roman" w:hAnsi="Times New Roman" w:cs="Times New Roman"/>
          <w:sz w:val="24"/>
          <w:szCs w:val="24"/>
          <w:lang w:eastAsia="pl-PL"/>
        </w:rPr>
        <w:t xml:space="preserve">równą </w:t>
      </w:r>
      <w:r w:rsidRPr="00483D26">
        <w:rPr>
          <w:rFonts w:ascii="Times New Roman" w:eastAsia="Times New Roman" w:hAnsi="Times New Roman" w:cs="Times New Roman"/>
          <w:b/>
          <w:bCs/>
          <w:sz w:val="24"/>
          <w:szCs w:val="24"/>
          <w:lang w:eastAsia="pl-PL"/>
        </w:rPr>
        <w:t>96.</w:t>
      </w:r>
    </w:p>
    <w:p w14:paraId="11ACB54A" w14:textId="77777777" w:rsidR="00B90E75" w:rsidRPr="009C5256" w:rsidRDefault="00094FD7" w:rsidP="00A3788E">
      <w:pPr>
        <w:tabs>
          <w:tab w:val="left" w:pos="5400"/>
        </w:tabs>
        <w:spacing w:after="0"/>
        <w:jc w:val="both"/>
        <w:rPr>
          <w:rFonts w:ascii="Times New Roman" w:eastAsia="Times New Roman" w:hAnsi="Times New Roman" w:cs="Times New Roman"/>
          <w:sz w:val="24"/>
          <w:szCs w:val="24"/>
          <w:lang w:eastAsia="pl-PL"/>
        </w:rPr>
      </w:pPr>
      <w:r w:rsidRPr="00094FD7">
        <w:rPr>
          <w:rFonts w:ascii="Times New Roman" w:eastAsia="Times New Roman" w:hAnsi="Times New Roman" w:cs="Times New Roman"/>
          <w:iCs/>
          <w:sz w:val="24"/>
          <w:szCs w:val="24"/>
          <w:lang w:eastAsia="pl-PL"/>
        </w:rPr>
        <w:t>Poniżej</w:t>
      </w:r>
      <w:r w:rsidR="00B90E75" w:rsidRPr="00094FD7">
        <w:rPr>
          <w:rFonts w:ascii="Times New Roman" w:eastAsia="Times New Roman" w:hAnsi="Times New Roman" w:cs="Times New Roman"/>
          <w:sz w:val="24"/>
          <w:szCs w:val="24"/>
          <w:lang w:eastAsia="pl-PL"/>
        </w:rPr>
        <w:t xml:space="preserve"> </w:t>
      </w:r>
      <w:r w:rsidR="00B90E75" w:rsidRPr="009C5256">
        <w:rPr>
          <w:rFonts w:ascii="Times New Roman" w:eastAsia="Times New Roman" w:hAnsi="Times New Roman" w:cs="Times New Roman"/>
          <w:sz w:val="24"/>
          <w:szCs w:val="24"/>
          <w:lang w:eastAsia="pl-PL"/>
        </w:rPr>
        <w:t xml:space="preserve">przedstawiono dane liczbowe na temat świadczeń z zakresu opieki paliatywno-hospicyjnej udzielonych w 2019 r. pacjentom po 60 roku życia. </w:t>
      </w:r>
    </w:p>
    <w:p w14:paraId="29B38584" w14:textId="77777777" w:rsidR="00B90E75" w:rsidRPr="009C5256" w:rsidRDefault="00B90E75" w:rsidP="003C1988">
      <w:pPr>
        <w:tabs>
          <w:tab w:val="left" w:pos="5400"/>
        </w:tabs>
        <w:spacing w:after="0"/>
        <w:ind w:left="357"/>
        <w:rPr>
          <w:rFonts w:ascii="Times New Roman" w:eastAsia="Times New Roman" w:hAnsi="Times New Roman" w:cs="Times New Roman"/>
          <w:b/>
          <w:bCs/>
          <w:sz w:val="24"/>
          <w:szCs w:val="24"/>
          <w:lang w:eastAsia="pl-PL"/>
        </w:rPr>
      </w:pPr>
    </w:p>
    <w:p w14:paraId="6715E42E" w14:textId="434DEF06" w:rsidR="00D71E8D" w:rsidRPr="00D71E8D" w:rsidRDefault="00D71E8D" w:rsidP="00D71E8D">
      <w:pPr>
        <w:pStyle w:val="Legenda"/>
        <w:keepNext/>
        <w:jc w:val="both"/>
        <w:rPr>
          <w:rFonts w:ascii="Times New Roman" w:hAnsi="Times New Roman" w:cs="Times New Roman"/>
          <w:b/>
          <w:i w:val="0"/>
          <w:sz w:val="24"/>
        </w:rPr>
      </w:pPr>
      <w:bookmarkStart w:id="28" w:name="_Toc49171394"/>
      <w:r w:rsidRPr="00D71E8D">
        <w:rPr>
          <w:rFonts w:ascii="Times New Roman" w:hAnsi="Times New Roman" w:cs="Times New Roman"/>
          <w:b/>
          <w:i w:val="0"/>
          <w:sz w:val="24"/>
        </w:rPr>
        <w:t xml:space="preserve">Tabela </w:t>
      </w:r>
      <w:r w:rsidRPr="00D71E8D">
        <w:rPr>
          <w:rFonts w:ascii="Times New Roman" w:hAnsi="Times New Roman" w:cs="Times New Roman"/>
          <w:b/>
          <w:i w:val="0"/>
          <w:sz w:val="24"/>
        </w:rPr>
        <w:fldChar w:fldCharType="begin"/>
      </w:r>
      <w:r w:rsidRPr="00D71E8D">
        <w:rPr>
          <w:rFonts w:ascii="Times New Roman" w:hAnsi="Times New Roman" w:cs="Times New Roman"/>
          <w:b/>
          <w:i w:val="0"/>
          <w:sz w:val="24"/>
        </w:rPr>
        <w:instrText xml:space="preserve"> SEQ Tabela \* ARABIC </w:instrText>
      </w:r>
      <w:r w:rsidRPr="00D71E8D">
        <w:rPr>
          <w:rFonts w:ascii="Times New Roman" w:hAnsi="Times New Roman" w:cs="Times New Roman"/>
          <w:b/>
          <w:i w:val="0"/>
          <w:sz w:val="24"/>
        </w:rPr>
        <w:fldChar w:fldCharType="separate"/>
      </w:r>
      <w:r w:rsidR="00C154C9">
        <w:rPr>
          <w:rFonts w:ascii="Times New Roman" w:hAnsi="Times New Roman" w:cs="Times New Roman"/>
          <w:b/>
          <w:i w:val="0"/>
          <w:noProof/>
          <w:sz w:val="24"/>
        </w:rPr>
        <w:t>19</w:t>
      </w:r>
      <w:r w:rsidRPr="00D71E8D">
        <w:rPr>
          <w:rFonts w:ascii="Times New Roman" w:hAnsi="Times New Roman" w:cs="Times New Roman"/>
          <w:b/>
          <w:i w:val="0"/>
          <w:sz w:val="24"/>
        </w:rPr>
        <w:fldChar w:fldCharType="end"/>
      </w:r>
      <w:r>
        <w:rPr>
          <w:rFonts w:ascii="Times New Roman" w:hAnsi="Times New Roman" w:cs="Times New Roman"/>
          <w:b/>
          <w:i w:val="0"/>
          <w:sz w:val="24"/>
        </w:rPr>
        <w:t xml:space="preserve"> </w:t>
      </w:r>
      <w:r w:rsidRPr="00D71E8D">
        <w:rPr>
          <w:rFonts w:ascii="Times New Roman" w:hAnsi="Times New Roman" w:cs="Times New Roman"/>
          <w:b/>
          <w:i w:val="0"/>
          <w:sz w:val="24"/>
        </w:rPr>
        <w:t>Liczba świadczeniodawców oraz liczba i wartość rozliczonych świadczeń udzielonych osobom powyżej 60 r. ż. w rodzaju OPH w podziale na zakresy świadczeń</w:t>
      </w:r>
      <w:bookmarkEnd w:id="28"/>
    </w:p>
    <w:tbl>
      <w:tblPr>
        <w:tblW w:w="5000" w:type="pct"/>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0" w:type="dxa"/>
          <w:right w:w="0" w:type="dxa"/>
        </w:tblCellMar>
        <w:tblLook w:val="04A0" w:firstRow="1" w:lastRow="0" w:firstColumn="1" w:lastColumn="0" w:noHBand="0" w:noVBand="1"/>
      </w:tblPr>
      <w:tblGrid>
        <w:gridCol w:w="573"/>
        <w:gridCol w:w="2499"/>
        <w:gridCol w:w="1258"/>
        <w:gridCol w:w="1085"/>
        <w:gridCol w:w="1873"/>
        <w:gridCol w:w="2058"/>
      </w:tblGrid>
      <w:tr w:rsidR="00852482" w:rsidRPr="00342041" w14:paraId="5039050D" w14:textId="77777777" w:rsidTr="00852482">
        <w:trPr>
          <w:trHeight w:val="765"/>
        </w:trPr>
        <w:tc>
          <w:tcPr>
            <w:tcW w:w="317" w:type="pct"/>
            <w:shd w:val="clear" w:color="auto" w:fill="9CC2E5" w:themeFill="accent1" w:themeFillTint="99"/>
            <w:tcMar>
              <w:top w:w="15" w:type="dxa"/>
              <w:left w:w="70" w:type="dxa"/>
              <w:bottom w:w="0" w:type="dxa"/>
              <w:right w:w="70" w:type="dxa"/>
            </w:tcMar>
            <w:vAlign w:val="bottom"/>
            <w:hideMark/>
          </w:tcPr>
          <w:p w14:paraId="4DDFA0A3"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Rok</w:t>
            </w:r>
          </w:p>
        </w:tc>
        <w:tc>
          <w:tcPr>
            <w:tcW w:w="1347" w:type="pct"/>
            <w:shd w:val="clear" w:color="auto" w:fill="9CC2E5" w:themeFill="accent1" w:themeFillTint="99"/>
            <w:tcMar>
              <w:top w:w="15" w:type="dxa"/>
              <w:left w:w="70" w:type="dxa"/>
              <w:bottom w:w="0" w:type="dxa"/>
              <w:right w:w="70" w:type="dxa"/>
            </w:tcMar>
            <w:vAlign w:val="bottom"/>
            <w:hideMark/>
          </w:tcPr>
          <w:p w14:paraId="17226496"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Zakres umowy</w:t>
            </w:r>
          </w:p>
        </w:tc>
        <w:tc>
          <w:tcPr>
            <w:tcW w:w="683" w:type="pct"/>
            <w:shd w:val="clear" w:color="auto" w:fill="9CC2E5" w:themeFill="accent1" w:themeFillTint="99"/>
            <w:tcMar>
              <w:top w:w="15" w:type="dxa"/>
              <w:left w:w="70" w:type="dxa"/>
              <w:bottom w:w="0" w:type="dxa"/>
              <w:right w:w="70" w:type="dxa"/>
            </w:tcMar>
            <w:vAlign w:val="bottom"/>
            <w:hideMark/>
          </w:tcPr>
          <w:p w14:paraId="1D797A07"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świadczeń</w:t>
            </w:r>
          </w:p>
        </w:tc>
        <w:tc>
          <w:tcPr>
            <w:tcW w:w="530" w:type="pct"/>
            <w:shd w:val="clear" w:color="auto" w:fill="9CC2E5" w:themeFill="accent1" w:themeFillTint="99"/>
            <w:tcMar>
              <w:top w:w="15" w:type="dxa"/>
              <w:left w:w="70" w:type="dxa"/>
              <w:bottom w:w="0" w:type="dxa"/>
              <w:right w:w="70" w:type="dxa"/>
            </w:tcMar>
            <w:vAlign w:val="bottom"/>
            <w:hideMark/>
          </w:tcPr>
          <w:p w14:paraId="584B2679"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produktów</w:t>
            </w:r>
          </w:p>
        </w:tc>
        <w:tc>
          <w:tcPr>
            <w:tcW w:w="1012" w:type="pct"/>
            <w:shd w:val="clear" w:color="auto" w:fill="9CC2E5" w:themeFill="accent1" w:themeFillTint="99"/>
            <w:tcMar>
              <w:top w:w="15" w:type="dxa"/>
              <w:left w:w="70" w:type="dxa"/>
              <w:bottom w:w="0" w:type="dxa"/>
              <w:right w:w="70" w:type="dxa"/>
            </w:tcMar>
            <w:vAlign w:val="bottom"/>
            <w:hideMark/>
          </w:tcPr>
          <w:p w14:paraId="560FD82E"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Wartość rozliczonych świadczeń</w:t>
            </w:r>
          </w:p>
        </w:tc>
        <w:tc>
          <w:tcPr>
            <w:tcW w:w="1111" w:type="pct"/>
            <w:shd w:val="clear" w:color="auto" w:fill="9CC2E5" w:themeFill="accent1" w:themeFillTint="99"/>
            <w:tcMar>
              <w:top w:w="15" w:type="dxa"/>
              <w:left w:w="70" w:type="dxa"/>
              <w:bottom w:w="0" w:type="dxa"/>
              <w:right w:w="70" w:type="dxa"/>
            </w:tcMar>
            <w:vAlign w:val="bottom"/>
            <w:hideMark/>
          </w:tcPr>
          <w:p w14:paraId="38E54FF4"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świadczeniodawców</w:t>
            </w:r>
          </w:p>
        </w:tc>
      </w:tr>
      <w:tr w:rsidR="00B90E75" w:rsidRPr="00342041" w14:paraId="6FDAF8F8" w14:textId="77777777" w:rsidTr="00C25A39">
        <w:trPr>
          <w:trHeight w:val="364"/>
        </w:trPr>
        <w:tc>
          <w:tcPr>
            <w:tcW w:w="317" w:type="pct"/>
            <w:shd w:val="clear" w:color="auto" w:fill="9CC2E5" w:themeFill="accent1" w:themeFillTint="99"/>
            <w:tcMar>
              <w:top w:w="15" w:type="dxa"/>
              <w:left w:w="70" w:type="dxa"/>
              <w:bottom w:w="0" w:type="dxa"/>
              <w:right w:w="70" w:type="dxa"/>
            </w:tcMar>
            <w:vAlign w:val="bottom"/>
            <w:hideMark/>
          </w:tcPr>
          <w:p w14:paraId="3683B384"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2019</w:t>
            </w:r>
          </w:p>
        </w:tc>
        <w:tc>
          <w:tcPr>
            <w:tcW w:w="1347" w:type="pct"/>
            <w:shd w:val="clear" w:color="auto" w:fill="FFFFFF" w:themeFill="background1"/>
            <w:tcMar>
              <w:top w:w="15" w:type="dxa"/>
              <w:left w:w="70" w:type="dxa"/>
              <w:bottom w:w="0" w:type="dxa"/>
              <w:right w:w="70" w:type="dxa"/>
            </w:tcMar>
            <w:vAlign w:val="bottom"/>
            <w:hideMark/>
          </w:tcPr>
          <w:p w14:paraId="758AA917" w14:textId="77777777" w:rsidR="00B90E75" w:rsidRPr="00342041" w:rsidRDefault="00852482" w:rsidP="00C25A39">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color w:val="000000"/>
                <w:kern w:val="24"/>
                <w:sz w:val="20"/>
                <w:szCs w:val="20"/>
                <w:lang w:eastAsia="pl-PL"/>
              </w:rPr>
              <w:t>Porada W Poradni Medycyny Paliatywnej</w:t>
            </w:r>
          </w:p>
        </w:tc>
        <w:tc>
          <w:tcPr>
            <w:tcW w:w="683" w:type="pct"/>
            <w:shd w:val="clear" w:color="auto" w:fill="FFFFFF" w:themeFill="background1"/>
            <w:tcMar>
              <w:top w:w="15" w:type="dxa"/>
              <w:left w:w="70" w:type="dxa"/>
              <w:bottom w:w="0" w:type="dxa"/>
              <w:right w:w="70" w:type="dxa"/>
            </w:tcMar>
            <w:vAlign w:val="bottom"/>
            <w:hideMark/>
          </w:tcPr>
          <w:p w14:paraId="6385C4E6"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50 423</w:t>
            </w:r>
          </w:p>
        </w:tc>
        <w:tc>
          <w:tcPr>
            <w:tcW w:w="530" w:type="pct"/>
            <w:shd w:val="clear" w:color="auto" w:fill="FFFFFF" w:themeFill="background1"/>
            <w:tcMar>
              <w:top w:w="15" w:type="dxa"/>
              <w:left w:w="70" w:type="dxa"/>
              <w:bottom w:w="0" w:type="dxa"/>
              <w:right w:w="70" w:type="dxa"/>
            </w:tcMar>
            <w:vAlign w:val="bottom"/>
            <w:hideMark/>
          </w:tcPr>
          <w:p w14:paraId="1DDF9AFA"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65 215</w:t>
            </w:r>
          </w:p>
        </w:tc>
        <w:tc>
          <w:tcPr>
            <w:tcW w:w="1012" w:type="pct"/>
            <w:shd w:val="clear" w:color="auto" w:fill="FFFFFF" w:themeFill="background1"/>
            <w:tcMar>
              <w:top w:w="15" w:type="dxa"/>
              <w:left w:w="70" w:type="dxa"/>
              <w:bottom w:w="0" w:type="dxa"/>
              <w:right w:w="70" w:type="dxa"/>
            </w:tcMar>
            <w:vAlign w:val="bottom"/>
            <w:hideMark/>
          </w:tcPr>
          <w:p w14:paraId="2649201F"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2 661 003,05</w:t>
            </w:r>
          </w:p>
        </w:tc>
        <w:tc>
          <w:tcPr>
            <w:tcW w:w="1111" w:type="pct"/>
            <w:shd w:val="clear" w:color="auto" w:fill="FFFFFF" w:themeFill="background1"/>
            <w:tcMar>
              <w:top w:w="15" w:type="dxa"/>
              <w:left w:w="70" w:type="dxa"/>
              <w:bottom w:w="0" w:type="dxa"/>
              <w:right w:w="70" w:type="dxa"/>
            </w:tcMar>
            <w:vAlign w:val="bottom"/>
            <w:hideMark/>
          </w:tcPr>
          <w:p w14:paraId="5E61FAAF"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149</w:t>
            </w:r>
          </w:p>
        </w:tc>
      </w:tr>
      <w:tr w:rsidR="00B90E75" w:rsidRPr="00342041" w14:paraId="06F14F3D" w14:textId="77777777" w:rsidTr="00C25A39">
        <w:trPr>
          <w:trHeight w:val="364"/>
        </w:trPr>
        <w:tc>
          <w:tcPr>
            <w:tcW w:w="317" w:type="pct"/>
            <w:shd w:val="clear" w:color="auto" w:fill="9CC2E5" w:themeFill="accent1" w:themeFillTint="99"/>
            <w:tcMar>
              <w:top w:w="15" w:type="dxa"/>
              <w:left w:w="70" w:type="dxa"/>
              <w:bottom w:w="0" w:type="dxa"/>
              <w:right w:w="70" w:type="dxa"/>
            </w:tcMar>
            <w:vAlign w:val="bottom"/>
            <w:hideMark/>
          </w:tcPr>
          <w:p w14:paraId="3E8E236D"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2019</w:t>
            </w:r>
          </w:p>
        </w:tc>
        <w:tc>
          <w:tcPr>
            <w:tcW w:w="1347" w:type="pct"/>
            <w:shd w:val="clear" w:color="auto" w:fill="FFFFFF" w:themeFill="background1"/>
            <w:tcMar>
              <w:top w:w="15" w:type="dxa"/>
              <w:left w:w="70" w:type="dxa"/>
              <w:bottom w:w="0" w:type="dxa"/>
              <w:right w:w="70" w:type="dxa"/>
            </w:tcMar>
            <w:vAlign w:val="bottom"/>
            <w:hideMark/>
          </w:tcPr>
          <w:p w14:paraId="6DF1E4A3" w14:textId="77777777" w:rsidR="00B90E75" w:rsidRPr="00342041" w:rsidRDefault="00852482" w:rsidP="00C25A39">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color w:val="000000"/>
                <w:kern w:val="24"/>
                <w:sz w:val="20"/>
                <w:szCs w:val="20"/>
                <w:lang w:eastAsia="pl-PL"/>
              </w:rPr>
              <w:t>Świadczenia W Hospicjum Domowym</w:t>
            </w:r>
          </w:p>
        </w:tc>
        <w:tc>
          <w:tcPr>
            <w:tcW w:w="683" w:type="pct"/>
            <w:shd w:val="clear" w:color="auto" w:fill="FFFFFF" w:themeFill="background1"/>
            <w:tcMar>
              <w:top w:w="15" w:type="dxa"/>
              <w:left w:w="70" w:type="dxa"/>
              <w:bottom w:w="0" w:type="dxa"/>
              <w:right w:w="70" w:type="dxa"/>
            </w:tcMar>
            <w:vAlign w:val="bottom"/>
            <w:hideMark/>
          </w:tcPr>
          <w:p w14:paraId="73DD2B76"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425 795</w:t>
            </w:r>
          </w:p>
        </w:tc>
        <w:tc>
          <w:tcPr>
            <w:tcW w:w="530" w:type="pct"/>
            <w:shd w:val="clear" w:color="auto" w:fill="FFFFFF" w:themeFill="background1"/>
            <w:tcMar>
              <w:top w:w="15" w:type="dxa"/>
              <w:left w:w="70" w:type="dxa"/>
              <w:bottom w:w="0" w:type="dxa"/>
              <w:right w:w="70" w:type="dxa"/>
            </w:tcMar>
            <w:vAlign w:val="bottom"/>
            <w:hideMark/>
          </w:tcPr>
          <w:p w14:paraId="06D93D97"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5 576 491</w:t>
            </w:r>
          </w:p>
        </w:tc>
        <w:tc>
          <w:tcPr>
            <w:tcW w:w="1012" w:type="pct"/>
            <w:shd w:val="clear" w:color="auto" w:fill="FFFFFF" w:themeFill="background1"/>
            <w:tcMar>
              <w:top w:w="15" w:type="dxa"/>
              <w:left w:w="70" w:type="dxa"/>
              <w:bottom w:w="0" w:type="dxa"/>
              <w:right w:w="70" w:type="dxa"/>
            </w:tcMar>
            <w:vAlign w:val="bottom"/>
            <w:hideMark/>
          </w:tcPr>
          <w:p w14:paraId="571C76BD"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257 576 259,97</w:t>
            </w:r>
          </w:p>
        </w:tc>
        <w:tc>
          <w:tcPr>
            <w:tcW w:w="1111" w:type="pct"/>
            <w:shd w:val="clear" w:color="auto" w:fill="FFFFFF" w:themeFill="background1"/>
            <w:tcMar>
              <w:top w:w="15" w:type="dxa"/>
              <w:left w:w="70" w:type="dxa"/>
              <w:bottom w:w="0" w:type="dxa"/>
              <w:right w:w="70" w:type="dxa"/>
            </w:tcMar>
            <w:vAlign w:val="bottom"/>
            <w:hideMark/>
          </w:tcPr>
          <w:p w14:paraId="7A0402EE"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395</w:t>
            </w:r>
          </w:p>
        </w:tc>
      </w:tr>
      <w:tr w:rsidR="00B90E75" w:rsidRPr="00342041" w14:paraId="185F7580" w14:textId="77777777" w:rsidTr="00C25A39">
        <w:trPr>
          <w:trHeight w:val="510"/>
        </w:trPr>
        <w:tc>
          <w:tcPr>
            <w:tcW w:w="317" w:type="pct"/>
            <w:shd w:val="clear" w:color="auto" w:fill="9CC2E5" w:themeFill="accent1" w:themeFillTint="99"/>
            <w:tcMar>
              <w:top w:w="15" w:type="dxa"/>
              <w:left w:w="70" w:type="dxa"/>
              <w:bottom w:w="0" w:type="dxa"/>
              <w:right w:w="70" w:type="dxa"/>
            </w:tcMar>
            <w:vAlign w:val="bottom"/>
            <w:hideMark/>
          </w:tcPr>
          <w:p w14:paraId="7279847D"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2019</w:t>
            </w:r>
          </w:p>
        </w:tc>
        <w:tc>
          <w:tcPr>
            <w:tcW w:w="1347" w:type="pct"/>
            <w:shd w:val="clear" w:color="auto" w:fill="FFFFFF" w:themeFill="background1"/>
            <w:tcMar>
              <w:top w:w="15" w:type="dxa"/>
              <w:left w:w="70" w:type="dxa"/>
              <w:bottom w:w="0" w:type="dxa"/>
              <w:right w:w="70" w:type="dxa"/>
            </w:tcMar>
            <w:vAlign w:val="bottom"/>
            <w:hideMark/>
          </w:tcPr>
          <w:p w14:paraId="3ADCAB7E" w14:textId="77777777" w:rsidR="00B90E75" w:rsidRPr="00342041" w:rsidRDefault="00852482" w:rsidP="00C25A39">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color w:val="000000"/>
                <w:kern w:val="24"/>
                <w:sz w:val="20"/>
                <w:szCs w:val="20"/>
                <w:lang w:eastAsia="pl-PL"/>
              </w:rPr>
              <w:t>Świadczenia W Oddziale Medycyny Paliatywnej/Hospicjum Stacjonarnym</w:t>
            </w:r>
          </w:p>
        </w:tc>
        <w:tc>
          <w:tcPr>
            <w:tcW w:w="683" w:type="pct"/>
            <w:shd w:val="clear" w:color="auto" w:fill="FFFFFF" w:themeFill="background1"/>
            <w:tcMar>
              <w:top w:w="15" w:type="dxa"/>
              <w:left w:w="70" w:type="dxa"/>
              <w:bottom w:w="0" w:type="dxa"/>
              <w:right w:w="70" w:type="dxa"/>
            </w:tcMar>
            <w:vAlign w:val="bottom"/>
            <w:hideMark/>
          </w:tcPr>
          <w:p w14:paraId="3EABD2D2"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33 752</w:t>
            </w:r>
          </w:p>
        </w:tc>
        <w:tc>
          <w:tcPr>
            <w:tcW w:w="530" w:type="pct"/>
            <w:shd w:val="clear" w:color="auto" w:fill="FFFFFF" w:themeFill="background1"/>
            <w:tcMar>
              <w:top w:w="15" w:type="dxa"/>
              <w:left w:w="70" w:type="dxa"/>
              <w:bottom w:w="0" w:type="dxa"/>
              <w:right w:w="70" w:type="dxa"/>
            </w:tcMar>
            <w:vAlign w:val="bottom"/>
            <w:hideMark/>
          </w:tcPr>
          <w:p w14:paraId="60C39828"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902 324</w:t>
            </w:r>
          </w:p>
        </w:tc>
        <w:tc>
          <w:tcPr>
            <w:tcW w:w="1012" w:type="pct"/>
            <w:shd w:val="clear" w:color="auto" w:fill="FFFFFF" w:themeFill="background1"/>
            <w:tcMar>
              <w:top w:w="15" w:type="dxa"/>
              <w:left w:w="70" w:type="dxa"/>
              <w:bottom w:w="0" w:type="dxa"/>
              <w:right w:w="70" w:type="dxa"/>
            </w:tcMar>
            <w:vAlign w:val="bottom"/>
            <w:hideMark/>
          </w:tcPr>
          <w:p w14:paraId="4AB11684"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307 415 124,35</w:t>
            </w:r>
          </w:p>
        </w:tc>
        <w:tc>
          <w:tcPr>
            <w:tcW w:w="1111" w:type="pct"/>
            <w:shd w:val="clear" w:color="auto" w:fill="FFFFFF" w:themeFill="background1"/>
            <w:tcMar>
              <w:top w:w="15" w:type="dxa"/>
              <w:left w:w="70" w:type="dxa"/>
              <w:bottom w:w="0" w:type="dxa"/>
              <w:right w:w="70" w:type="dxa"/>
            </w:tcMar>
            <w:vAlign w:val="bottom"/>
            <w:hideMark/>
          </w:tcPr>
          <w:p w14:paraId="06B99395"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187</w:t>
            </w:r>
          </w:p>
        </w:tc>
      </w:tr>
    </w:tbl>
    <w:p w14:paraId="212B7616" w14:textId="77777777" w:rsidR="00D71E8D" w:rsidRPr="00826142" w:rsidRDefault="00D71E8D" w:rsidP="00D71E8D">
      <w:pPr>
        <w:tabs>
          <w:tab w:val="left" w:pos="5400"/>
        </w:tabs>
        <w:spacing w:after="0"/>
        <w:rPr>
          <w:rFonts w:ascii="Times New Roman" w:eastAsia="Times New Roman" w:hAnsi="Times New Roman" w:cs="Times New Roman"/>
          <w:b/>
          <w:szCs w:val="24"/>
          <w:lang w:eastAsia="pl-PL"/>
        </w:rPr>
      </w:pPr>
      <w:r w:rsidRPr="00826142">
        <w:rPr>
          <w:rFonts w:ascii="Times New Roman" w:eastAsia="Times New Roman" w:hAnsi="Times New Roman" w:cs="Times New Roman"/>
          <w:b/>
          <w:szCs w:val="24"/>
          <w:lang w:eastAsia="pl-PL"/>
        </w:rPr>
        <w:t>Źródło: dane z Ministerstwa Zdrowia</w:t>
      </w:r>
    </w:p>
    <w:p w14:paraId="1B5DE184" w14:textId="77777777" w:rsidR="00B90E75" w:rsidRDefault="00B90E75" w:rsidP="003C1988">
      <w:pPr>
        <w:tabs>
          <w:tab w:val="left" w:pos="708"/>
        </w:tabs>
        <w:spacing w:after="0"/>
        <w:rPr>
          <w:rFonts w:ascii="Times New Roman" w:eastAsia="Times New Roman" w:hAnsi="Times New Roman" w:cs="Times New Roman"/>
          <w:sz w:val="24"/>
          <w:szCs w:val="24"/>
          <w:lang w:eastAsia="pl-PL"/>
        </w:rPr>
      </w:pPr>
    </w:p>
    <w:p w14:paraId="7BA14F47" w14:textId="77777777" w:rsidR="00B90E75" w:rsidRPr="00A3788E" w:rsidRDefault="00A3788E" w:rsidP="00A3788E">
      <w:pPr>
        <w:tabs>
          <w:tab w:val="left" w:pos="708"/>
        </w:tabs>
        <w:spacing w:after="0"/>
        <w:rPr>
          <w:rFonts w:ascii="Times New Roman" w:eastAsia="Times New Roman" w:hAnsi="Times New Roman" w:cs="Times New Roman"/>
          <w:b/>
          <w:sz w:val="24"/>
          <w:szCs w:val="24"/>
          <w:lang w:eastAsia="pl-PL"/>
        </w:rPr>
      </w:pPr>
      <w:r w:rsidRPr="00A3788E">
        <w:rPr>
          <w:rFonts w:ascii="Times New Roman" w:eastAsia="Times New Roman" w:hAnsi="Times New Roman" w:cs="Times New Roman"/>
          <w:b/>
          <w:sz w:val="24"/>
          <w:szCs w:val="24"/>
          <w:lang w:eastAsia="pl-PL"/>
        </w:rPr>
        <w:t>R</w:t>
      </w:r>
      <w:r w:rsidR="00B90E75" w:rsidRPr="00A3788E">
        <w:rPr>
          <w:rFonts w:ascii="Times New Roman" w:eastAsia="Times New Roman" w:hAnsi="Times New Roman" w:cs="Times New Roman"/>
          <w:b/>
          <w:sz w:val="24"/>
          <w:szCs w:val="24"/>
          <w:lang w:eastAsia="pl-PL"/>
        </w:rPr>
        <w:t xml:space="preserve">ehabilitacja </w:t>
      </w:r>
    </w:p>
    <w:p w14:paraId="766B5E2F" w14:textId="77777777" w:rsidR="00B90E75" w:rsidRPr="009C5256" w:rsidRDefault="00B90E75" w:rsidP="00A3788E">
      <w:pPr>
        <w:tabs>
          <w:tab w:val="left" w:pos="708"/>
        </w:tabs>
        <w:spacing w:after="0"/>
        <w:jc w:val="both"/>
        <w:rPr>
          <w:rFonts w:ascii="Times New Roman" w:eastAsia="Times New Roman" w:hAnsi="Times New Roman" w:cs="Times New Roman"/>
          <w:sz w:val="24"/>
          <w:szCs w:val="24"/>
          <w:lang w:eastAsia="pl-PL"/>
        </w:rPr>
      </w:pPr>
      <w:r w:rsidRPr="009C5256">
        <w:rPr>
          <w:rFonts w:ascii="Times New Roman" w:eastAsia="Times New Roman" w:hAnsi="Times New Roman" w:cs="Times New Roman"/>
          <w:sz w:val="24"/>
          <w:szCs w:val="24"/>
          <w:lang w:eastAsia="pl-PL"/>
        </w:rPr>
        <w:t>Aktualnie świadczenia rehabilitacyjne w ramach powszechnego ubezpieczenia finansowane i realizowane są w oparciu o rozporządzenie Ministra Zdrowia z zakresu rehabilitacji leczniczej</w:t>
      </w:r>
      <w:r w:rsidRPr="009C5256">
        <w:rPr>
          <w:rFonts w:ascii="Times New Roman" w:eastAsia="Times New Roman" w:hAnsi="Times New Roman" w:cs="Times New Roman"/>
          <w:sz w:val="24"/>
          <w:szCs w:val="24"/>
          <w:vertAlign w:val="superscript"/>
          <w:lang w:eastAsia="pl-PL"/>
        </w:rPr>
        <w:footnoteReference w:id="14"/>
      </w:r>
      <w:r w:rsidRPr="009C5256">
        <w:rPr>
          <w:rFonts w:ascii="Times New Roman" w:eastAsia="Times New Roman" w:hAnsi="Times New Roman" w:cs="Times New Roman"/>
          <w:sz w:val="24"/>
          <w:szCs w:val="24"/>
          <w:lang w:eastAsia="pl-PL"/>
        </w:rPr>
        <w:t xml:space="preserve">. </w:t>
      </w:r>
      <w:r w:rsidRPr="009C5256">
        <w:rPr>
          <w:rFonts w:ascii="Times New Roman" w:eastAsia="Times New Roman" w:hAnsi="Times New Roman" w:cs="Times New Roman"/>
          <w:sz w:val="24"/>
          <w:szCs w:val="24"/>
          <w:lang w:eastAsia="pl-PL"/>
        </w:rPr>
        <w:lastRenderedPageBreak/>
        <w:t xml:space="preserve">Wykaz świadczeń w nim zawartych obejmuje świadczenia ambulatoryjne i stacjonarne. </w:t>
      </w:r>
      <w:r w:rsidR="004C226B">
        <w:rPr>
          <w:rFonts w:ascii="Times New Roman" w:eastAsia="Times New Roman" w:hAnsi="Times New Roman" w:cs="Times New Roman"/>
          <w:sz w:val="24"/>
          <w:szCs w:val="24"/>
          <w:lang w:eastAsia="pl-PL"/>
        </w:rPr>
        <w:br/>
      </w:r>
      <w:r w:rsidRPr="009C5256">
        <w:rPr>
          <w:rFonts w:ascii="Times New Roman" w:eastAsia="Times New Roman" w:hAnsi="Times New Roman" w:cs="Times New Roman"/>
          <w:sz w:val="24"/>
          <w:szCs w:val="24"/>
          <w:lang w:eastAsia="pl-PL"/>
        </w:rPr>
        <w:t>W systemie nie są realizowane świadczenia dedykowane wyłącznie osobom starszym – świadczeniobiorcy, w zależności od aktualnego stanu zdrowia, korzystają z rehabilitacji na zasadach ogólnych.</w:t>
      </w:r>
    </w:p>
    <w:p w14:paraId="100939F9" w14:textId="77777777" w:rsidR="00B90E75" w:rsidRDefault="00B90E75" w:rsidP="00A3788E">
      <w:pPr>
        <w:tabs>
          <w:tab w:val="left" w:pos="708"/>
        </w:tabs>
        <w:spacing w:after="0"/>
        <w:jc w:val="both"/>
        <w:rPr>
          <w:rFonts w:ascii="Times New Roman" w:eastAsia="Times New Roman" w:hAnsi="Times New Roman" w:cs="Times New Roman"/>
          <w:sz w:val="24"/>
          <w:szCs w:val="24"/>
          <w:lang w:eastAsia="pl-PL"/>
        </w:rPr>
      </w:pPr>
    </w:p>
    <w:p w14:paraId="4D01B38A" w14:textId="77777777" w:rsidR="00B90E75" w:rsidRPr="009C5256" w:rsidRDefault="00B90E75" w:rsidP="00A3788E">
      <w:pPr>
        <w:tabs>
          <w:tab w:val="left" w:pos="708"/>
        </w:tabs>
        <w:spacing w:after="0"/>
        <w:jc w:val="both"/>
        <w:rPr>
          <w:rFonts w:ascii="Times New Roman" w:eastAsia="Times New Roman" w:hAnsi="Times New Roman" w:cs="Times New Roman"/>
          <w:sz w:val="24"/>
          <w:szCs w:val="24"/>
          <w:lang w:eastAsia="pl-PL"/>
        </w:rPr>
      </w:pPr>
      <w:r w:rsidRPr="009C5256">
        <w:rPr>
          <w:rFonts w:ascii="Times New Roman" w:eastAsia="Times New Roman" w:hAnsi="Times New Roman" w:cs="Times New Roman"/>
          <w:sz w:val="24"/>
          <w:szCs w:val="24"/>
          <w:lang w:eastAsia="pl-PL"/>
        </w:rPr>
        <w:t xml:space="preserve">Świadczeniami z zakresu rehabilitacji leczniczej mogą być objęci pacjenci z bardzo szerokim i różnorodnym spektrum schorzeń i dysfunkcji (ortopedycznych, reumatologicznych, neurologicznych, onkologicznych itp.).  </w:t>
      </w:r>
    </w:p>
    <w:p w14:paraId="555183CE" w14:textId="77777777" w:rsidR="00B90E75" w:rsidRDefault="00B90E75" w:rsidP="00A3788E">
      <w:pPr>
        <w:tabs>
          <w:tab w:val="left" w:pos="708"/>
        </w:tabs>
        <w:spacing w:after="0"/>
        <w:jc w:val="both"/>
        <w:rPr>
          <w:rFonts w:ascii="Times New Roman" w:eastAsia="Times New Roman" w:hAnsi="Times New Roman" w:cs="Times New Roman"/>
          <w:sz w:val="24"/>
          <w:szCs w:val="24"/>
          <w:lang w:eastAsia="pl-PL"/>
        </w:rPr>
      </w:pPr>
    </w:p>
    <w:p w14:paraId="333A6B66" w14:textId="77777777" w:rsidR="00B90E75" w:rsidRPr="009C5256" w:rsidRDefault="00B90E75" w:rsidP="00A3788E">
      <w:pPr>
        <w:tabs>
          <w:tab w:val="left" w:pos="708"/>
        </w:tabs>
        <w:spacing w:after="0"/>
        <w:jc w:val="both"/>
        <w:rPr>
          <w:rFonts w:ascii="Times New Roman" w:eastAsia="Times New Roman" w:hAnsi="Times New Roman" w:cs="Times New Roman"/>
          <w:sz w:val="24"/>
          <w:szCs w:val="24"/>
          <w:lang w:eastAsia="pl-PL"/>
        </w:rPr>
      </w:pPr>
      <w:r w:rsidRPr="009C5256">
        <w:rPr>
          <w:rFonts w:ascii="Times New Roman" w:eastAsia="Times New Roman" w:hAnsi="Times New Roman" w:cs="Times New Roman"/>
          <w:sz w:val="24"/>
          <w:szCs w:val="24"/>
          <w:lang w:eastAsia="pl-PL"/>
        </w:rPr>
        <w:t xml:space="preserve">W zależności od stanu zdrowia świadczeniobiorcy lekarz kierujący, wystawiając skierowanie decyduje w ramach jakiego zakresu prowadzona ma być rehabilitacja. Wpływ na dostępność do rehabilitacji ma kolejka oczekujących na tego rodzaju świadczenia. </w:t>
      </w:r>
    </w:p>
    <w:p w14:paraId="633701AB" w14:textId="77777777" w:rsidR="00B90E75" w:rsidRPr="009C5256" w:rsidRDefault="00B90E75" w:rsidP="00A3788E">
      <w:pPr>
        <w:tabs>
          <w:tab w:val="left" w:pos="5400"/>
        </w:tabs>
        <w:spacing w:after="0"/>
        <w:ind w:left="357"/>
        <w:jc w:val="both"/>
        <w:rPr>
          <w:rFonts w:ascii="Times New Roman" w:eastAsia="Times New Roman" w:hAnsi="Times New Roman" w:cs="Times New Roman"/>
          <w:b/>
          <w:bCs/>
          <w:sz w:val="24"/>
          <w:szCs w:val="24"/>
          <w:lang w:eastAsia="pl-PL"/>
        </w:rPr>
      </w:pPr>
    </w:p>
    <w:p w14:paraId="5047E040" w14:textId="568F4382" w:rsidR="00D71E8D" w:rsidRPr="00D71E8D" w:rsidRDefault="00D71E8D" w:rsidP="00D71E8D">
      <w:pPr>
        <w:pStyle w:val="Legenda"/>
        <w:keepNext/>
        <w:rPr>
          <w:rFonts w:ascii="Times New Roman" w:hAnsi="Times New Roman" w:cs="Times New Roman"/>
          <w:b/>
          <w:i w:val="0"/>
          <w:sz w:val="24"/>
        </w:rPr>
      </w:pPr>
      <w:bookmarkStart w:id="29" w:name="_Toc49171395"/>
      <w:r w:rsidRPr="00D71E8D">
        <w:rPr>
          <w:rFonts w:ascii="Times New Roman" w:hAnsi="Times New Roman" w:cs="Times New Roman"/>
          <w:b/>
          <w:i w:val="0"/>
          <w:sz w:val="24"/>
        </w:rPr>
        <w:t xml:space="preserve">Tabela </w:t>
      </w:r>
      <w:r w:rsidRPr="00D71E8D">
        <w:rPr>
          <w:rFonts w:ascii="Times New Roman" w:hAnsi="Times New Roman" w:cs="Times New Roman"/>
          <w:b/>
          <w:i w:val="0"/>
          <w:sz w:val="24"/>
        </w:rPr>
        <w:fldChar w:fldCharType="begin"/>
      </w:r>
      <w:r w:rsidRPr="00D71E8D">
        <w:rPr>
          <w:rFonts w:ascii="Times New Roman" w:hAnsi="Times New Roman" w:cs="Times New Roman"/>
          <w:b/>
          <w:i w:val="0"/>
          <w:sz w:val="24"/>
        </w:rPr>
        <w:instrText xml:space="preserve"> SEQ Tabela \* ARABIC </w:instrText>
      </w:r>
      <w:r w:rsidRPr="00D71E8D">
        <w:rPr>
          <w:rFonts w:ascii="Times New Roman" w:hAnsi="Times New Roman" w:cs="Times New Roman"/>
          <w:b/>
          <w:i w:val="0"/>
          <w:sz w:val="24"/>
        </w:rPr>
        <w:fldChar w:fldCharType="separate"/>
      </w:r>
      <w:r w:rsidR="00C154C9">
        <w:rPr>
          <w:rFonts w:ascii="Times New Roman" w:hAnsi="Times New Roman" w:cs="Times New Roman"/>
          <w:b/>
          <w:i w:val="0"/>
          <w:noProof/>
          <w:sz w:val="24"/>
        </w:rPr>
        <w:t>20</w:t>
      </w:r>
      <w:r w:rsidRPr="00D71E8D">
        <w:rPr>
          <w:rFonts w:ascii="Times New Roman" w:hAnsi="Times New Roman" w:cs="Times New Roman"/>
          <w:b/>
          <w:i w:val="0"/>
          <w:sz w:val="24"/>
        </w:rPr>
        <w:fldChar w:fldCharType="end"/>
      </w:r>
      <w:r w:rsidRPr="00D71E8D">
        <w:rPr>
          <w:rFonts w:ascii="Times New Roman" w:hAnsi="Times New Roman" w:cs="Times New Roman"/>
          <w:b/>
          <w:i w:val="0"/>
          <w:sz w:val="24"/>
        </w:rPr>
        <w:t xml:space="preserve"> Liczba i wartość rozliczonych świadczeń udzielonych osobom powyżej 60 r. ż. w rodzaju REH</w:t>
      </w:r>
      <w:bookmarkEnd w:id="29"/>
    </w:p>
    <w:tbl>
      <w:tblPr>
        <w:tblW w:w="5000" w:type="pct"/>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0" w:type="dxa"/>
          <w:right w:w="0" w:type="dxa"/>
        </w:tblCellMar>
        <w:tblLook w:val="04A0" w:firstRow="1" w:lastRow="0" w:firstColumn="1" w:lastColumn="0" w:noHBand="0" w:noVBand="1"/>
      </w:tblPr>
      <w:tblGrid>
        <w:gridCol w:w="1266"/>
        <w:gridCol w:w="3969"/>
        <w:gridCol w:w="4111"/>
      </w:tblGrid>
      <w:tr w:rsidR="00B90E75" w:rsidRPr="00342041" w14:paraId="3222F92A" w14:textId="77777777" w:rsidTr="00C25A39">
        <w:trPr>
          <w:trHeight w:val="327"/>
          <w:jc w:val="center"/>
        </w:trPr>
        <w:tc>
          <w:tcPr>
            <w:tcW w:w="677" w:type="pct"/>
            <w:shd w:val="clear" w:color="auto" w:fill="9CC2E5" w:themeFill="accent1" w:themeFillTint="99"/>
            <w:tcMar>
              <w:top w:w="15" w:type="dxa"/>
              <w:left w:w="70" w:type="dxa"/>
              <w:bottom w:w="0" w:type="dxa"/>
              <w:right w:w="70" w:type="dxa"/>
            </w:tcMar>
            <w:vAlign w:val="bottom"/>
            <w:hideMark/>
          </w:tcPr>
          <w:p w14:paraId="7072DD00"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bookmarkStart w:id="30" w:name="_Hlk43795032"/>
            <w:r w:rsidRPr="00342041">
              <w:rPr>
                <w:rFonts w:ascii="Times New Roman" w:eastAsia="Times New Roman" w:hAnsi="Times New Roman" w:cs="Times New Roman"/>
                <w:b/>
                <w:bCs/>
                <w:kern w:val="24"/>
                <w:sz w:val="20"/>
                <w:szCs w:val="20"/>
                <w:lang w:eastAsia="pl-PL"/>
              </w:rPr>
              <w:t>Rok</w:t>
            </w:r>
          </w:p>
        </w:tc>
        <w:tc>
          <w:tcPr>
            <w:tcW w:w="2123" w:type="pct"/>
            <w:shd w:val="clear" w:color="auto" w:fill="9CC2E5" w:themeFill="accent1" w:themeFillTint="99"/>
            <w:tcMar>
              <w:top w:w="15" w:type="dxa"/>
              <w:left w:w="70" w:type="dxa"/>
              <w:bottom w:w="0" w:type="dxa"/>
              <w:right w:w="70" w:type="dxa"/>
            </w:tcMar>
            <w:vAlign w:val="bottom"/>
            <w:hideMark/>
          </w:tcPr>
          <w:p w14:paraId="01953C78"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świadczeń</w:t>
            </w:r>
          </w:p>
        </w:tc>
        <w:tc>
          <w:tcPr>
            <w:tcW w:w="2199" w:type="pct"/>
            <w:shd w:val="clear" w:color="auto" w:fill="9CC2E5" w:themeFill="accent1" w:themeFillTint="99"/>
            <w:tcMar>
              <w:top w:w="15" w:type="dxa"/>
              <w:left w:w="70" w:type="dxa"/>
              <w:bottom w:w="0" w:type="dxa"/>
              <w:right w:w="70" w:type="dxa"/>
            </w:tcMar>
            <w:vAlign w:val="bottom"/>
            <w:hideMark/>
          </w:tcPr>
          <w:p w14:paraId="553D779F"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Wartość rozliczonych świadczeń (w zł)</w:t>
            </w:r>
          </w:p>
        </w:tc>
      </w:tr>
      <w:tr w:rsidR="00B90E75" w:rsidRPr="00342041" w14:paraId="1C201D00" w14:textId="77777777" w:rsidTr="00D85A94">
        <w:trPr>
          <w:trHeight w:val="255"/>
          <w:jc w:val="center"/>
        </w:trPr>
        <w:tc>
          <w:tcPr>
            <w:tcW w:w="677" w:type="pct"/>
            <w:shd w:val="clear" w:color="auto" w:fill="9CC2E5" w:themeFill="accent1" w:themeFillTint="99"/>
            <w:tcMar>
              <w:top w:w="15" w:type="dxa"/>
              <w:left w:w="70" w:type="dxa"/>
              <w:bottom w:w="0" w:type="dxa"/>
              <w:right w:w="70" w:type="dxa"/>
            </w:tcMar>
            <w:vAlign w:val="bottom"/>
            <w:hideMark/>
          </w:tcPr>
          <w:p w14:paraId="02BD7C81"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2019</w:t>
            </w:r>
          </w:p>
        </w:tc>
        <w:tc>
          <w:tcPr>
            <w:tcW w:w="2123" w:type="pct"/>
            <w:shd w:val="clear" w:color="auto" w:fill="FFFFFF" w:themeFill="background1"/>
            <w:tcMar>
              <w:top w:w="15" w:type="dxa"/>
              <w:left w:w="70" w:type="dxa"/>
              <w:bottom w:w="0" w:type="dxa"/>
              <w:right w:w="70" w:type="dxa"/>
            </w:tcMar>
            <w:vAlign w:val="bottom"/>
            <w:hideMark/>
          </w:tcPr>
          <w:p w14:paraId="3A5E15D7"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24 786 726</w:t>
            </w:r>
          </w:p>
        </w:tc>
        <w:tc>
          <w:tcPr>
            <w:tcW w:w="2199" w:type="pct"/>
            <w:shd w:val="clear" w:color="auto" w:fill="FFFFFF" w:themeFill="background1"/>
            <w:tcMar>
              <w:top w:w="15" w:type="dxa"/>
              <w:left w:w="70" w:type="dxa"/>
              <w:bottom w:w="0" w:type="dxa"/>
              <w:right w:w="70" w:type="dxa"/>
            </w:tcMar>
            <w:vAlign w:val="bottom"/>
            <w:hideMark/>
          </w:tcPr>
          <w:p w14:paraId="46789CB1" w14:textId="77777777" w:rsidR="00B90E75" w:rsidRPr="00342041" w:rsidRDefault="00B90E75" w:rsidP="00C25A39">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1 627 433 406,77</w:t>
            </w:r>
          </w:p>
        </w:tc>
      </w:tr>
    </w:tbl>
    <w:bookmarkEnd w:id="30"/>
    <w:p w14:paraId="170555A8" w14:textId="77777777" w:rsidR="00D71E8D" w:rsidRPr="00826142" w:rsidRDefault="00D71E8D" w:rsidP="00D71E8D">
      <w:pPr>
        <w:tabs>
          <w:tab w:val="left" w:pos="5400"/>
        </w:tabs>
        <w:spacing w:after="0"/>
        <w:rPr>
          <w:rFonts w:ascii="Times New Roman" w:eastAsia="Times New Roman" w:hAnsi="Times New Roman" w:cs="Times New Roman"/>
          <w:b/>
          <w:szCs w:val="24"/>
          <w:lang w:eastAsia="pl-PL"/>
        </w:rPr>
      </w:pPr>
      <w:r w:rsidRPr="00826142">
        <w:rPr>
          <w:rFonts w:ascii="Times New Roman" w:eastAsia="Times New Roman" w:hAnsi="Times New Roman" w:cs="Times New Roman"/>
          <w:b/>
          <w:szCs w:val="24"/>
          <w:lang w:eastAsia="pl-PL"/>
        </w:rPr>
        <w:t>Źródło: dane z Ministerstwa Zdrowia</w:t>
      </w:r>
    </w:p>
    <w:p w14:paraId="42B3BA8A" w14:textId="77777777" w:rsidR="00B90E75" w:rsidRDefault="00B90E75" w:rsidP="00665715">
      <w:pPr>
        <w:tabs>
          <w:tab w:val="left" w:pos="5400"/>
        </w:tabs>
        <w:spacing w:after="0"/>
        <w:rPr>
          <w:rFonts w:ascii="Times New Roman" w:eastAsia="Times New Roman" w:hAnsi="Times New Roman" w:cs="Times New Roman"/>
          <w:b/>
          <w:bCs/>
          <w:sz w:val="24"/>
          <w:szCs w:val="24"/>
          <w:lang w:eastAsia="pl-PL"/>
        </w:rPr>
      </w:pPr>
    </w:p>
    <w:p w14:paraId="040815EE" w14:textId="77777777" w:rsidR="00665715" w:rsidRDefault="00665715" w:rsidP="00665715">
      <w:pPr>
        <w:tabs>
          <w:tab w:val="left" w:pos="5400"/>
        </w:tabs>
        <w:spacing w:after="0"/>
        <w:jc w:val="both"/>
        <w:rPr>
          <w:rFonts w:ascii="Times New Roman" w:eastAsia="Times New Roman" w:hAnsi="Times New Roman" w:cs="Times New Roman"/>
          <w:bCs/>
          <w:sz w:val="24"/>
          <w:szCs w:val="24"/>
          <w:lang w:eastAsia="pl-PL"/>
        </w:rPr>
      </w:pPr>
      <w:r w:rsidRPr="00665715">
        <w:rPr>
          <w:rFonts w:ascii="Times New Roman" w:eastAsia="Times New Roman" w:hAnsi="Times New Roman" w:cs="Times New Roman"/>
          <w:bCs/>
          <w:sz w:val="24"/>
          <w:szCs w:val="24"/>
          <w:lang w:eastAsia="pl-PL"/>
        </w:rPr>
        <w:t xml:space="preserve">Wśród osób powyżej 60 roku życia </w:t>
      </w:r>
      <w:r>
        <w:rPr>
          <w:rFonts w:ascii="Times New Roman" w:eastAsia="Times New Roman" w:hAnsi="Times New Roman" w:cs="Times New Roman"/>
          <w:bCs/>
          <w:sz w:val="24"/>
          <w:szCs w:val="24"/>
          <w:lang w:eastAsia="pl-PL"/>
        </w:rPr>
        <w:t xml:space="preserve">rehabilitacja lecznicza była najczęściej stosowana ze względu na stwierdzone zmiany zwyrodnieniowe kręgosłupa, zwyrodnienia wielostawowe, chorobę zwyrodnieniową stawów kolanowych oraz zaburzenia korzeni nerwów rdzeniowych i splotów nerwowych. </w:t>
      </w:r>
      <w:r w:rsidR="00B11D89">
        <w:rPr>
          <w:rFonts w:ascii="Times New Roman" w:eastAsia="Times New Roman" w:hAnsi="Times New Roman" w:cs="Times New Roman"/>
          <w:bCs/>
          <w:sz w:val="24"/>
          <w:szCs w:val="24"/>
          <w:lang w:eastAsia="pl-PL"/>
        </w:rPr>
        <w:t>W 2019 r. na realizację tych świadczeń przekazano łącznie 287 044 241,11 zł.</w:t>
      </w:r>
    </w:p>
    <w:p w14:paraId="453DFE1D" w14:textId="77777777" w:rsidR="00665715" w:rsidRPr="00665715" w:rsidRDefault="00665715" w:rsidP="00665715">
      <w:pPr>
        <w:tabs>
          <w:tab w:val="left" w:pos="5400"/>
        </w:tabs>
        <w:spacing w:after="0"/>
        <w:rPr>
          <w:rFonts w:ascii="Times New Roman" w:eastAsia="Times New Roman" w:hAnsi="Times New Roman" w:cs="Times New Roman"/>
          <w:bCs/>
          <w:sz w:val="24"/>
          <w:szCs w:val="24"/>
          <w:lang w:eastAsia="pl-PL"/>
        </w:rPr>
      </w:pPr>
    </w:p>
    <w:p w14:paraId="764A7047" w14:textId="60D1C4EE" w:rsidR="002205F8" w:rsidRPr="002205F8" w:rsidRDefault="002205F8" w:rsidP="002205F8">
      <w:pPr>
        <w:pStyle w:val="Legenda"/>
        <w:keepNext/>
        <w:jc w:val="both"/>
        <w:rPr>
          <w:rFonts w:ascii="Times New Roman" w:hAnsi="Times New Roman" w:cs="Times New Roman"/>
          <w:b/>
          <w:i w:val="0"/>
          <w:sz w:val="24"/>
        </w:rPr>
      </w:pPr>
      <w:bookmarkStart w:id="31" w:name="_Toc49171396"/>
      <w:r w:rsidRPr="002205F8">
        <w:rPr>
          <w:rFonts w:ascii="Times New Roman" w:hAnsi="Times New Roman" w:cs="Times New Roman"/>
          <w:b/>
          <w:i w:val="0"/>
          <w:sz w:val="24"/>
        </w:rPr>
        <w:t xml:space="preserve">Tabela </w:t>
      </w:r>
      <w:r w:rsidRPr="002205F8">
        <w:rPr>
          <w:rFonts w:ascii="Times New Roman" w:hAnsi="Times New Roman" w:cs="Times New Roman"/>
          <w:b/>
          <w:i w:val="0"/>
          <w:sz w:val="24"/>
        </w:rPr>
        <w:fldChar w:fldCharType="begin"/>
      </w:r>
      <w:r w:rsidRPr="002205F8">
        <w:rPr>
          <w:rFonts w:ascii="Times New Roman" w:hAnsi="Times New Roman" w:cs="Times New Roman"/>
          <w:b/>
          <w:i w:val="0"/>
          <w:sz w:val="24"/>
        </w:rPr>
        <w:instrText xml:space="preserve"> SEQ Tabela \* ARABIC </w:instrText>
      </w:r>
      <w:r w:rsidRPr="002205F8">
        <w:rPr>
          <w:rFonts w:ascii="Times New Roman" w:hAnsi="Times New Roman" w:cs="Times New Roman"/>
          <w:b/>
          <w:i w:val="0"/>
          <w:sz w:val="24"/>
        </w:rPr>
        <w:fldChar w:fldCharType="separate"/>
      </w:r>
      <w:r w:rsidR="00C154C9">
        <w:rPr>
          <w:rFonts w:ascii="Times New Roman" w:hAnsi="Times New Roman" w:cs="Times New Roman"/>
          <w:b/>
          <w:i w:val="0"/>
          <w:noProof/>
          <w:sz w:val="24"/>
        </w:rPr>
        <w:t>21</w:t>
      </w:r>
      <w:r w:rsidRPr="002205F8">
        <w:rPr>
          <w:rFonts w:ascii="Times New Roman" w:hAnsi="Times New Roman" w:cs="Times New Roman"/>
          <w:b/>
          <w:i w:val="0"/>
          <w:sz w:val="24"/>
        </w:rPr>
        <w:fldChar w:fldCharType="end"/>
      </w:r>
      <w:r w:rsidRPr="002205F8">
        <w:rPr>
          <w:rFonts w:ascii="Times New Roman" w:hAnsi="Times New Roman" w:cs="Times New Roman"/>
          <w:b/>
          <w:i w:val="0"/>
          <w:sz w:val="24"/>
        </w:rPr>
        <w:t xml:space="preserve"> Najczęstsze rozpoznania ICD:10 wśród osób powyżej 60 r. ż., którym udzielone zostały świadczenia w rodzaju rehabilitacja lecznicza (liczba i wartość rozliczonych świadczeń)</w:t>
      </w:r>
      <w:bookmarkEnd w:id="31"/>
    </w:p>
    <w:tbl>
      <w:tblPr>
        <w:tblW w:w="5000" w:type="pct"/>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0" w:type="dxa"/>
          <w:right w:w="0" w:type="dxa"/>
        </w:tblCellMar>
        <w:tblLook w:val="04A0" w:firstRow="1" w:lastRow="0" w:firstColumn="1" w:lastColumn="0" w:noHBand="0" w:noVBand="1"/>
      </w:tblPr>
      <w:tblGrid>
        <w:gridCol w:w="835"/>
        <w:gridCol w:w="5071"/>
        <w:gridCol w:w="1492"/>
        <w:gridCol w:w="1948"/>
      </w:tblGrid>
      <w:tr w:rsidR="00B90E75" w:rsidRPr="00342041" w14:paraId="3D684C64" w14:textId="77777777" w:rsidTr="00D85A94">
        <w:trPr>
          <w:trHeight w:val="975"/>
          <w:jc w:val="center"/>
        </w:trPr>
        <w:tc>
          <w:tcPr>
            <w:tcW w:w="447" w:type="pct"/>
            <w:shd w:val="clear" w:color="auto" w:fill="9CC2E5" w:themeFill="accent1" w:themeFillTint="99"/>
            <w:tcMar>
              <w:top w:w="15" w:type="dxa"/>
              <w:left w:w="70" w:type="dxa"/>
              <w:bottom w:w="0" w:type="dxa"/>
              <w:right w:w="70" w:type="dxa"/>
            </w:tcMar>
            <w:vAlign w:val="bottom"/>
            <w:hideMark/>
          </w:tcPr>
          <w:p w14:paraId="20C25A84"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Rok</w:t>
            </w:r>
          </w:p>
        </w:tc>
        <w:tc>
          <w:tcPr>
            <w:tcW w:w="2713" w:type="pct"/>
            <w:shd w:val="clear" w:color="auto" w:fill="9CC2E5" w:themeFill="accent1" w:themeFillTint="99"/>
            <w:tcMar>
              <w:top w:w="15" w:type="dxa"/>
              <w:left w:w="70" w:type="dxa"/>
              <w:bottom w:w="0" w:type="dxa"/>
              <w:right w:w="70" w:type="dxa"/>
            </w:tcMar>
            <w:vAlign w:val="bottom"/>
            <w:hideMark/>
          </w:tcPr>
          <w:p w14:paraId="5B174435"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Rozpoznanie główne ICD10</w:t>
            </w:r>
          </w:p>
        </w:tc>
        <w:tc>
          <w:tcPr>
            <w:tcW w:w="798" w:type="pct"/>
            <w:shd w:val="clear" w:color="auto" w:fill="9CC2E5" w:themeFill="accent1" w:themeFillTint="99"/>
            <w:tcMar>
              <w:top w:w="15" w:type="dxa"/>
              <w:left w:w="70" w:type="dxa"/>
              <w:bottom w:w="0" w:type="dxa"/>
              <w:right w:w="70" w:type="dxa"/>
            </w:tcMar>
            <w:vAlign w:val="bottom"/>
            <w:hideMark/>
          </w:tcPr>
          <w:p w14:paraId="26A07F52"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świadczeń</w:t>
            </w:r>
          </w:p>
        </w:tc>
        <w:tc>
          <w:tcPr>
            <w:tcW w:w="1042" w:type="pct"/>
            <w:shd w:val="clear" w:color="auto" w:fill="9CC2E5" w:themeFill="accent1" w:themeFillTint="99"/>
            <w:tcMar>
              <w:top w:w="15" w:type="dxa"/>
              <w:left w:w="70" w:type="dxa"/>
              <w:bottom w:w="0" w:type="dxa"/>
              <w:right w:w="70" w:type="dxa"/>
            </w:tcMar>
            <w:vAlign w:val="bottom"/>
            <w:hideMark/>
          </w:tcPr>
          <w:p w14:paraId="76412D00"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Wartość rozliczonych świadczeń (w zł)</w:t>
            </w:r>
          </w:p>
        </w:tc>
      </w:tr>
      <w:tr w:rsidR="00B90E75" w:rsidRPr="00342041" w14:paraId="5184E904" w14:textId="77777777" w:rsidTr="00D85A94">
        <w:trPr>
          <w:trHeight w:val="255"/>
          <w:jc w:val="center"/>
        </w:trPr>
        <w:tc>
          <w:tcPr>
            <w:tcW w:w="447" w:type="pct"/>
            <w:vMerge w:val="restart"/>
            <w:shd w:val="clear" w:color="auto" w:fill="9CC2E5" w:themeFill="accent1" w:themeFillTint="99"/>
            <w:tcMar>
              <w:top w:w="15" w:type="dxa"/>
              <w:left w:w="70" w:type="dxa"/>
              <w:bottom w:w="0" w:type="dxa"/>
              <w:right w:w="70" w:type="dxa"/>
            </w:tcMar>
            <w:vAlign w:val="center"/>
            <w:hideMark/>
          </w:tcPr>
          <w:p w14:paraId="654767AD"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2019</w:t>
            </w:r>
          </w:p>
        </w:tc>
        <w:tc>
          <w:tcPr>
            <w:tcW w:w="2713" w:type="pct"/>
            <w:shd w:val="clear" w:color="auto" w:fill="FFFFFF" w:themeFill="background1"/>
            <w:tcMar>
              <w:top w:w="15" w:type="dxa"/>
              <w:left w:w="70" w:type="dxa"/>
              <w:bottom w:w="0" w:type="dxa"/>
              <w:right w:w="70" w:type="dxa"/>
            </w:tcMar>
            <w:vAlign w:val="bottom"/>
            <w:hideMark/>
          </w:tcPr>
          <w:p w14:paraId="7F613F65" w14:textId="77777777" w:rsidR="00B90E75" w:rsidRPr="00342041" w:rsidRDefault="00C25A39" w:rsidP="00D85A94">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M47 - Zmiany Zwyrodnieniowe Kręgosłupa</w:t>
            </w:r>
          </w:p>
        </w:tc>
        <w:tc>
          <w:tcPr>
            <w:tcW w:w="798" w:type="pct"/>
            <w:shd w:val="clear" w:color="auto" w:fill="FFFFFF" w:themeFill="background1"/>
            <w:tcMar>
              <w:top w:w="15" w:type="dxa"/>
              <w:left w:w="70" w:type="dxa"/>
              <w:bottom w:w="0" w:type="dxa"/>
              <w:right w:w="70" w:type="dxa"/>
            </w:tcMar>
            <w:vAlign w:val="bottom"/>
            <w:hideMark/>
          </w:tcPr>
          <w:p w14:paraId="50CA06F1"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3 645 793</w:t>
            </w:r>
          </w:p>
        </w:tc>
        <w:tc>
          <w:tcPr>
            <w:tcW w:w="1042" w:type="pct"/>
            <w:shd w:val="clear" w:color="auto" w:fill="FFFFFF" w:themeFill="background1"/>
            <w:tcMar>
              <w:top w:w="15" w:type="dxa"/>
              <w:left w:w="70" w:type="dxa"/>
              <w:bottom w:w="0" w:type="dxa"/>
              <w:right w:w="70" w:type="dxa"/>
            </w:tcMar>
            <w:vAlign w:val="bottom"/>
            <w:hideMark/>
          </w:tcPr>
          <w:p w14:paraId="71793220"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107 026 320,47</w:t>
            </w:r>
          </w:p>
        </w:tc>
      </w:tr>
      <w:tr w:rsidR="00B90E75" w:rsidRPr="00342041" w14:paraId="64515D0C" w14:textId="77777777" w:rsidTr="00D85A94">
        <w:trPr>
          <w:trHeight w:val="255"/>
          <w:jc w:val="center"/>
        </w:trPr>
        <w:tc>
          <w:tcPr>
            <w:tcW w:w="447" w:type="pct"/>
            <w:vMerge/>
            <w:shd w:val="clear" w:color="auto" w:fill="9CC2E5" w:themeFill="accent1" w:themeFillTint="99"/>
            <w:tcMar>
              <w:top w:w="15" w:type="dxa"/>
              <w:left w:w="70" w:type="dxa"/>
              <w:bottom w:w="0" w:type="dxa"/>
              <w:right w:w="70" w:type="dxa"/>
            </w:tcMar>
            <w:vAlign w:val="bottom"/>
            <w:hideMark/>
          </w:tcPr>
          <w:p w14:paraId="72EC0DCD" w14:textId="77777777" w:rsidR="00B90E75" w:rsidRPr="00342041" w:rsidRDefault="00B90E75" w:rsidP="00D85A94">
            <w:pPr>
              <w:spacing w:after="0" w:line="240" w:lineRule="auto"/>
              <w:rPr>
                <w:rFonts w:ascii="Times New Roman" w:eastAsia="Times New Roman" w:hAnsi="Times New Roman" w:cs="Times New Roman"/>
                <w:sz w:val="20"/>
                <w:szCs w:val="20"/>
                <w:lang w:eastAsia="pl-PL"/>
              </w:rPr>
            </w:pPr>
          </w:p>
        </w:tc>
        <w:tc>
          <w:tcPr>
            <w:tcW w:w="2713" w:type="pct"/>
            <w:shd w:val="clear" w:color="auto" w:fill="FFFFFF" w:themeFill="background1"/>
            <w:tcMar>
              <w:top w:w="15" w:type="dxa"/>
              <w:left w:w="70" w:type="dxa"/>
              <w:bottom w:w="0" w:type="dxa"/>
              <w:right w:w="70" w:type="dxa"/>
            </w:tcMar>
            <w:vAlign w:val="bottom"/>
            <w:hideMark/>
          </w:tcPr>
          <w:p w14:paraId="64DA5906" w14:textId="77777777" w:rsidR="00B90E75" w:rsidRPr="00342041" w:rsidRDefault="00C25A39" w:rsidP="00D85A94">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M15 - Zwyrodnienia Wielostawowe</w:t>
            </w:r>
          </w:p>
        </w:tc>
        <w:tc>
          <w:tcPr>
            <w:tcW w:w="798" w:type="pct"/>
            <w:shd w:val="clear" w:color="auto" w:fill="FFFFFF" w:themeFill="background1"/>
            <w:tcMar>
              <w:top w:w="15" w:type="dxa"/>
              <w:left w:w="70" w:type="dxa"/>
              <w:bottom w:w="0" w:type="dxa"/>
              <w:right w:w="70" w:type="dxa"/>
            </w:tcMar>
            <w:vAlign w:val="bottom"/>
            <w:hideMark/>
          </w:tcPr>
          <w:p w14:paraId="27961638"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3 119 887</w:t>
            </w:r>
          </w:p>
        </w:tc>
        <w:tc>
          <w:tcPr>
            <w:tcW w:w="1042" w:type="pct"/>
            <w:shd w:val="clear" w:color="auto" w:fill="FFFFFF" w:themeFill="background1"/>
            <w:tcMar>
              <w:top w:w="15" w:type="dxa"/>
              <w:left w:w="70" w:type="dxa"/>
              <w:bottom w:w="0" w:type="dxa"/>
              <w:right w:w="70" w:type="dxa"/>
            </w:tcMar>
            <w:vAlign w:val="bottom"/>
            <w:hideMark/>
          </w:tcPr>
          <w:p w14:paraId="43DF306B"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96 382 048,74</w:t>
            </w:r>
          </w:p>
        </w:tc>
      </w:tr>
      <w:tr w:rsidR="00B90E75" w:rsidRPr="00342041" w14:paraId="6A374095" w14:textId="77777777" w:rsidTr="00D85A94">
        <w:trPr>
          <w:trHeight w:val="255"/>
          <w:jc w:val="center"/>
        </w:trPr>
        <w:tc>
          <w:tcPr>
            <w:tcW w:w="447" w:type="pct"/>
            <w:vMerge/>
            <w:shd w:val="clear" w:color="auto" w:fill="9CC2E5" w:themeFill="accent1" w:themeFillTint="99"/>
            <w:tcMar>
              <w:top w:w="15" w:type="dxa"/>
              <w:left w:w="70" w:type="dxa"/>
              <w:bottom w:w="0" w:type="dxa"/>
              <w:right w:w="70" w:type="dxa"/>
            </w:tcMar>
            <w:vAlign w:val="bottom"/>
            <w:hideMark/>
          </w:tcPr>
          <w:p w14:paraId="206B8FF2" w14:textId="77777777" w:rsidR="00B90E75" w:rsidRPr="00342041" w:rsidRDefault="00B90E75" w:rsidP="00D85A94">
            <w:pPr>
              <w:spacing w:after="0" w:line="240" w:lineRule="auto"/>
              <w:rPr>
                <w:rFonts w:ascii="Times New Roman" w:eastAsia="Times New Roman" w:hAnsi="Times New Roman" w:cs="Times New Roman"/>
                <w:sz w:val="20"/>
                <w:szCs w:val="20"/>
                <w:lang w:eastAsia="pl-PL"/>
              </w:rPr>
            </w:pPr>
          </w:p>
        </w:tc>
        <w:tc>
          <w:tcPr>
            <w:tcW w:w="2713" w:type="pct"/>
            <w:shd w:val="clear" w:color="auto" w:fill="FFFFFF" w:themeFill="background1"/>
            <w:tcMar>
              <w:top w:w="15" w:type="dxa"/>
              <w:left w:w="70" w:type="dxa"/>
              <w:bottom w:w="0" w:type="dxa"/>
              <w:right w:w="70" w:type="dxa"/>
            </w:tcMar>
            <w:vAlign w:val="bottom"/>
            <w:hideMark/>
          </w:tcPr>
          <w:p w14:paraId="597DF0AF" w14:textId="77777777" w:rsidR="00B90E75" w:rsidRPr="00342041" w:rsidRDefault="00C25A39" w:rsidP="00D85A94">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M17 - Choroba Zwyrodnieniowa Stawów Kolanowych /Gonartroza/</w:t>
            </w:r>
          </w:p>
        </w:tc>
        <w:tc>
          <w:tcPr>
            <w:tcW w:w="798" w:type="pct"/>
            <w:shd w:val="clear" w:color="auto" w:fill="FFFFFF" w:themeFill="background1"/>
            <w:tcMar>
              <w:top w:w="15" w:type="dxa"/>
              <w:left w:w="70" w:type="dxa"/>
              <w:bottom w:w="0" w:type="dxa"/>
              <w:right w:w="70" w:type="dxa"/>
            </w:tcMar>
            <w:vAlign w:val="bottom"/>
            <w:hideMark/>
          </w:tcPr>
          <w:p w14:paraId="4F874523"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1 722 773</w:t>
            </w:r>
          </w:p>
        </w:tc>
        <w:tc>
          <w:tcPr>
            <w:tcW w:w="1042" w:type="pct"/>
            <w:shd w:val="clear" w:color="auto" w:fill="FFFFFF" w:themeFill="background1"/>
            <w:tcMar>
              <w:top w:w="15" w:type="dxa"/>
              <w:left w:w="70" w:type="dxa"/>
              <w:bottom w:w="0" w:type="dxa"/>
              <w:right w:w="70" w:type="dxa"/>
            </w:tcMar>
            <w:vAlign w:val="bottom"/>
            <w:hideMark/>
          </w:tcPr>
          <w:p w14:paraId="13742835"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51 568 845,09</w:t>
            </w:r>
          </w:p>
        </w:tc>
      </w:tr>
      <w:tr w:rsidR="00B90E75" w:rsidRPr="00342041" w14:paraId="0B3EF456" w14:textId="77777777" w:rsidTr="00D85A94">
        <w:trPr>
          <w:trHeight w:val="255"/>
          <w:jc w:val="center"/>
        </w:trPr>
        <w:tc>
          <w:tcPr>
            <w:tcW w:w="447" w:type="pct"/>
            <w:vMerge/>
            <w:shd w:val="clear" w:color="auto" w:fill="9CC2E5" w:themeFill="accent1" w:themeFillTint="99"/>
            <w:tcMar>
              <w:top w:w="15" w:type="dxa"/>
              <w:left w:w="70" w:type="dxa"/>
              <w:bottom w:w="0" w:type="dxa"/>
              <w:right w:w="70" w:type="dxa"/>
            </w:tcMar>
            <w:vAlign w:val="bottom"/>
            <w:hideMark/>
          </w:tcPr>
          <w:p w14:paraId="64B59155" w14:textId="77777777" w:rsidR="00B90E75" w:rsidRPr="00342041" w:rsidRDefault="00B90E75" w:rsidP="00D85A94">
            <w:pPr>
              <w:spacing w:after="0" w:line="240" w:lineRule="auto"/>
              <w:rPr>
                <w:rFonts w:ascii="Times New Roman" w:eastAsia="Times New Roman" w:hAnsi="Times New Roman" w:cs="Times New Roman"/>
                <w:sz w:val="20"/>
                <w:szCs w:val="20"/>
                <w:lang w:eastAsia="pl-PL"/>
              </w:rPr>
            </w:pPr>
          </w:p>
        </w:tc>
        <w:tc>
          <w:tcPr>
            <w:tcW w:w="2713" w:type="pct"/>
            <w:shd w:val="clear" w:color="auto" w:fill="FFFFFF" w:themeFill="background1"/>
            <w:tcMar>
              <w:top w:w="15" w:type="dxa"/>
              <w:left w:w="70" w:type="dxa"/>
              <w:bottom w:w="0" w:type="dxa"/>
              <w:right w:w="70" w:type="dxa"/>
            </w:tcMar>
            <w:vAlign w:val="bottom"/>
            <w:hideMark/>
          </w:tcPr>
          <w:p w14:paraId="249557BA" w14:textId="77777777" w:rsidR="00B90E75" w:rsidRPr="00342041" w:rsidRDefault="00C25A39" w:rsidP="00D85A94">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G54 - Zaburze</w:t>
            </w:r>
            <w:r w:rsidR="00A24ECE">
              <w:rPr>
                <w:rFonts w:ascii="Times New Roman" w:eastAsia="Times New Roman" w:hAnsi="Times New Roman" w:cs="Times New Roman"/>
                <w:color w:val="000000"/>
                <w:kern w:val="24"/>
                <w:sz w:val="20"/>
                <w:szCs w:val="20"/>
                <w:lang w:eastAsia="pl-PL"/>
              </w:rPr>
              <w:t>nia Korzeni Nerwów Rdzeniowych i</w:t>
            </w:r>
            <w:r w:rsidRPr="00342041">
              <w:rPr>
                <w:rFonts w:ascii="Times New Roman" w:eastAsia="Times New Roman" w:hAnsi="Times New Roman" w:cs="Times New Roman"/>
                <w:color w:val="000000"/>
                <w:kern w:val="24"/>
                <w:sz w:val="20"/>
                <w:szCs w:val="20"/>
                <w:lang w:eastAsia="pl-PL"/>
              </w:rPr>
              <w:t xml:space="preserve"> Splotów Nerwowych</w:t>
            </w:r>
          </w:p>
        </w:tc>
        <w:tc>
          <w:tcPr>
            <w:tcW w:w="798" w:type="pct"/>
            <w:shd w:val="clear" w:color="auto" w:fill="FFFFFF" w:themeFill="background1"/>
            <w:tcMar>
              <w:top w:w="15" w:type="dxa"/>
              <w:left w:w="70" w:type="dxa"/>
              <w:bottom w:w="0" w:type="dxa"/>
              <w:right w:w="70" w:type="dxa"/>
            </w:tcMar>
            <w:vAlign w:val="bottom"/>
            <w:hideMark/>
          </w:tcPr>
          <w:p w14:paraId="105338FD" w14:textId="77777777" w:rsidR="00B90E75" w:rsidRPr="00342041" w:rsidRDefault="00B90E75" w:rsidP="00D85A94">
            <w:pPr>
              <w:spacing w:after="0" w:line="240" w:lineRule="auto"/>
              <w:jc w:val="center"/>
              <w:rPr>
                <w:rFonts w:ascii="Times New Roman" w:eastAsia="Times New Roman" w:hAnsi="Times New Roman" w:cs="Times New Roman"/>
                <w:color w:val="000000"/>
                <w:kern w:val="24"/>
                <w:sz w:val="20"/>
                <w:szCs w:val="20"/>
                <w:lang w:eastAsia="pl-PL"/>
              </w:rPr>
            </w:pPr>
            <w:r w:rsidRPr="00342041">
              <w:rPr>
                <w:rFonts w:ascii="Times New Roman" w:eastAsia="Times New Roman" w:hAnsi="Times New Roman" w:cs="Times New Roman"/>
                <w:color w:val="000000"/>
                <w:kern w:val="24"/>
                <w:sz w:val="20"/>
                <w:szCs w:val="20"/>
                <w:lang w:eastAsia="pl-PL"/>
              </w:rPr>
              <w:t>1 183 788</w:t>
            </w:r>
          </w:p>
        </w:tc>
        <w:tc>
          <w:tcPr>
            <w:tcW w:w="1042" w:type="pct"/>
            <w:shd w:val="clear" w:color="auto" w:fill="FFFFFF" w:themeFill="background1"/>
            <w:tcMar>
              <w:top w:w="15" w:type="dxa"/>
              <w:left w:w="70" w:type="dxa"/>
              <w:bottom w:w="0" w:type="dxa"/>
              <w:right w:w="70" w:type="dxa"/>
            </w:tcMar>
            <w:vAlign w:val="bottom"/>
            <w:hideMark/>
          </w:tcPr>
          <w:p w14:paraId="63BE0126" w14:textId="77777777" w:rsidR="00B90E75" w:rsidRPr="00342041" w:rsidRDefault="00B90E75" w:rsidP="00D85A94">
            <w:pPr>
              <w:spacing w:after="0" w:line="240" w:lineRule="auto"/>
              <w:jc w:val="center"/>
              <w:rPr>
                <w:rFonts w:ascii="Times New Roman" w:eastAsia="Times New Roman" w:hAnsi="Times New Roman" w:cs="Times New Roman"/>
                <w:color w:val="000000"/>
                <w:kern w:val="24"/>
                <w:sz w:val="20"/>
                <w:szCs w:val="20"/>
                <w:lang w:eastAsia="pl-PL"/>
              </w:rPr>
            </w:pPr>
            <w:r w:rsidRPr="00342041">
              <w:rPr>
                <w:rFonts w:ascii="Times New Roman" w:eastAsia="Times New Roman" w:hAnsi="Times New Roman" w:cs="Times New Roman"/>
                <w:color w:val="000000"/>
                <w:kern w:val="24"/>
                <w:sz w:val="20"/>
                <w:szCs w:val="20"/>
                <w:lang w:eastAsia="pl-PL"/>
              </w:rPr>
              <w:t>32 067 026,81</w:t>
            </w:r>
          </w:p>
        </w:tc>
      </w:tr>
    </w:tbl>
    <w:p w14:paraId="09303F71" w14:textId="77777777" w:rsidR="002205F8" w:rsidRPr="00826142" w:rsidRDefault="002205F8" w:rsidP="002205F8">
      <w:pPr>
        <w:tabs>
          <w:tab w:val="left" w:pos="5400"/>
        </w:tabs>
        <w:spacing w:after="0"/>
        <w:rPr>
          <w:rFonts w:ascii="Times New Roman" w:eastAsia="Times New Roman" w:hAnsi="Times New Roman" w:cs="Times New Roman"/>
          <w:b/>
          <w:szCs w:val="24"/>
          <w:lang w:eastAsia="pl-PL"/>
        </w:rPr>
      </w:pPr>
      <w:r w:rsidRPr="00826142">
        <w:rPr>
          <w:rFonts w:ascii="Times New Roman" w:eastAsia="Times New Roman" w:hAnsi="Times New Roman" w:cs="Times New Roman"/>
          <w:b/>
          <w:szCs w:val="24"/>
          <w:lang w:eastAsia="pl-PL"/>
        </w:rPr>
        <w:t>Źródło: dane z Ministerstwa Zdrowia</w:t>
      </w:r>
    </w:p>
    <w:p w14:paraId="1AFE8E5F" w14:textId="77777777" w:rsidR="00A3788E" w:rsidRDefault="00A3788E" w:rsidP="00A3788E">
      <w:pPr>
        <w:tabs>
          <w:tab w:val="left" w:pos="5400"/>
        </w:tabs>
        <w:spacing w:after="0"/>
        <w:rPr>
          <w:rFonts w:ascii="Times New Roman" w:eastAsia="Times New Roman" w:hAnsi="Times New Roman" w:cs="Times New Roman"/>
          <w:sz w:val="24"/>
          <w:szCs w:val="24"/>
          <w:lang w:eastAsia="pl-PL"/>
        </w:rPr>
      </w:pPr>
    </w:p>
    <w:p w14:paraId="32A88E75" w14:textId="77777777" w:rsidR="00B90E75" w:rsidRPr="00A3788E" w:rsidRDefault="00A3788E" w:rsidP="00A3788E">
      <w:pPr>
        <w:tabs>
          <w:tab w:val="left" w:pos="5400"/>
        </w:tabs>
        <w:spacing w:after="0"/>
        <w:rPr>
          <w:rFonts w:ascii="Times New Roman" w:eastAsia="Times New Roman" w:hAnsi="Times New Roman" w:cs="Times New Roman"/>
          <w:b/>
          <w:sz w:val="24"/>
          <w:szCs w:val="24"/>
          <w:lang w:eastAsia="pl-PL"/>
        </w:rPr>
      </w:pPr>
      <w:r w:rsidRPr="00A3788E">
        <w:rPr>
          <w:rFonts w:ascii="Times New Roman" w:eastAsia="Times New Roman" w:hAnsi="Times New Roman" w:cs="Times New Roman"/>
          <w:b/>
          <w:sz w:val="24"/>
          <w:szCs w:val="24"/>
          <w:lang w:eastAsia="pl-PL"/>
        </w:rPr>
        <w:t>O</w:t>
      </w:r>
      <w:r w:rsidR="00B90E75" w:rsidRPr="00A3788E">
        <w:rPr>
          <w:rFonts w:ascii="Times New Roman" w:eastAsia="Times New Roman" w:hAnsi="Times New Roman" w:cs="Times New Roman"/>
          <w:b/>
          <w:sz w:val="24"/>
          <w:szCs w:val="24"/>
          <w:lang w:eastAsia="pl-PL"/>
        </w:rPr>
        <w:t>pieka psychiatryczna</w:t>
      </w:r>
    </w:p>
    <w:p w14:paraId="076DDDF9" w14:textId="77777777" w:rsidR="00B90E75" w:rsidRDefault="00B90E75" w:rsidP="00A3788E">
      <w:pPr>
        <w:tabs>
          <w:tab w:val="left" w:pos="5400"/>
        </w:tabs>
        <w:spacing w:after="0"/>
        <w:rPr>
          <w:rFonts w:ascii="Times New Roman" w:eastAsia="Times New Roman" w:hAnsi="Times New Roman" w:cs="Times New Roman"/>
          <w:sz w:val="24"/>
          <w:szCs w:val="24"/>
          <w:lang w:eastAsia="pl-PL"/>
        </w:rPr>
      </w:pPr>
      <w:r w:rsidRPr="009C5256">
        <w:rPr>
          <w:rFonts w:ascii="Times New Roman" w:eastAsia="Times New Roman" w:hAnsi="Times New Roman" w:cs="Times New Roman"/>
          <w:sz w:val="24"/>
          <w:szCs w:val="24"/>
          <w:lang w:eastAsia="pl-PL"/>
        </w:rPr>
        <w:t xml:space="preserve">W 2019 r., w zakresie opieki psychiatrycznej, osobom po 60 r.ż. były udzielane świadczenia na </w:t>
      </w:r>
      <w:r w:rsidR="00A3788E">
        <w:rPr>
          <w:rFonts w:ascii="Times New Roman" w:eastAsia="Times New Roman" w:hAnsi="Times New Roman" w:cs="Times New Roman"/>
          <w:sz w:val="24"/>
          <w:szCs w:val="24"/>
          <w:lang w:eastAsia="pl-PL"/>
        </w:rPr>
        <w:t>oddziałach psychogeriatrycznych.</w:t>
      </w:r>
    </w:p>
    <w:p w14:paraId="1CE9472A" w14:textId="62F65BE4" w:rsidR="00A3788E" w:rsidRDefault="00A3788E" w:rsidP="00A3788E">
      <w:pPr>
        <w:tabs>
          <w:tab w:val="left" w:pos="5400"/>
        </w:tabs>
        <w:spacing w:after="0"/>
        <w:rPr>
          <w:rFonts w:ascii="Times New Roman" w:eastAsia="Times New Roman" w:hAnsi="Times New Roman" w:cs="Times New Roman"/>
          <w:sz w:val="24"/>
          <w:szCs w:val="24"/>
          <w:lang w:eastAsia="pl-PL"/>
        </w:rPr>
      </w:pPr>
    </w:p>
    <w:p w14:paraId="203020B5" w14:textId="77777777" w:rsidR="00987739" w:rsidRPr="009C5256" w:rsidRDefault="00987739" w:rsidP="00A3788E">
      <w:pPr>
        <w:tabs>
          <w:tab w:val="left" w:pos="5400"/>
        </w:tabs>
        <w:spacing w:after="0"/>
        <w:rPr>
          <w:rFonts w:ascii="Times New Roman" w:eastAsia="Times New Roman" w:hAnsi="Times New Roman" w:cs="Times New Roman"/>
          <w:sz w:val="24"/>
          <w:szCs w:val="24"/>
          <w:lang w:eastAsia="pl-PL"/>
        </w:rPr>
      </w:pPr>
    </w:p>
    <w:p w14:paraId="3C5BE874" w14:textId="67F4EDB6" w:rsidR="002205F8" w:rsidRPr="002205F8" w:rsidRDefault="002205F8" w:rsidP="002205F8">
      <w:pPr>
        <w:pStyle w:val="Legenda"/>
        <w:keepNext/>
        <w:jc w:val="both"/>
        <w:rPr>
          <w:rFonts w:ascii="Times New Roman" w:hAnsi="Times New Roman" w:cs="Times New Roman"/>
          <w:b/>
          <w:i w:val="0"/>
          <w:sz w:val="24"/>
        </w:rPr>
      </w:pPr>
      <w:bookmarkStart w:id="32" w:name="_Toc49171397"/>
      <w:r w:rsidRPr="002205F8">
        <w:rPr>
          <w:rFonts w:ascii="Times New Roman" w:hAnsi="Times New Roman" w:cs="Times New Roman"/>
          <w:b/>
          <w:i w:val="0"/>
          <w:sz w:val="24"/>
        </w:rPr>
        <w:lastRenderedPageBreak/>
        <w:t xml:space="preserve">Tabela </w:t>
      </w:r>
      <w:r w:rsidRPr="002205F8">
        <w:rPr>
          <w:rFonts w:ascii="Times New Roman" w:hAnsi="Times New Roman" w:cs="Times New Roman"/>
          <w:b/>
          <w:i w:val="0"/>
          <w:sz w:val="24"/>
        </w:rPr>
        <w:fldChar w:fldCharType="begin"/>
      </w:r>
      <w:r w:rsidRPr="002205F8">
        <w:rPr>
          <w:rFonts w:ascii="Times New Roman" w:hAnsi="Times New Roman" w:cs="Times New Roman"/>
          <w:b/>
          <w:i w:val="0"/>
          <w:sz w:val="24"/>
        </w:rPr>
        <w:instrText xml:space="preserve"> SEQ Tabela \* ARABIC </w:instrText>
      </w:r>
      <w:r w:rsidRPr="002205F8">
        <w:rPr>
          <w:rFonts w:ascii="Times New Roman" w:hAnsi="Times New Roman" w:cs="Times New Roman"/>
          <w:b/>
          <w:i w:val="0"/>
          <w:sz w:val="24"/>
        </w:rPr>
        <w:fldChar w:fldCharType="separate"/>
      </w:r>
      <w:r w:rsidR="00C154C9">
        <w:rPr>
          <w:rFonts w:ascii="Times New Roman" w:hAnsi="Times New Roman" w:cs="Times New Roman"/>
          <w:b/>
          <w:i w:val="0"/>
          <w:noProof/>
          <w:sz w:val="24"/>
        </w:rPr>
        <w:t>22</w:t>
      </w:r>
      <w:r w:rsidRPr="002205F8">
        <w:rPr>
          <w:rFonts w:ascii="Times New Roman" w:hAnsi="Times New Roman" w:cs="Times New Roman"/>
          <w:b/>
          <w:i w:val="0"/>
          <w:sz w:val="24"/>
        </w:rPr>
        <w:fldChar w:fldCharType="end"/>
      </w:r>
      <w:r w:rsidRPr="002205F8">
        <w:rPr>
          <w:rFonts w:ascii="Times New Roman" w:hAnsi="Times New Roman" w:cs="Times New Roman"/>
          <w:b/>
          <w:i w:val="0"/>
          <w:sz w:val="24"/>
        </w:rPr>
        <w:t xml:space="preserve"> Świadczenia udzielone osobom powyżej 60 r. ż. na oddziałach psychogeriatrycznych w 2019 r.</w:t>
      </w:r>
      <w:bookmarkEnd w:id="32"/>
    </w:p>
    <w:tbl>
      <w:tblPr>
        <w:tblW w:w="9360"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0" w:type="dxa"/>
          <w:right w:w="0" w:type="dxa"/>
        </w:tblCellMar>
        <w:tblLook w:val="04A0" w:firstRow="1" w:lastRow="0" w:firstColumn="1" w:lastColumn="0" w:noHBand="0" w:noVBand="1"/>
      </w:tblPr>
      <w:tblGrid>
        <w:gridCol w:w="4243"/>
        <w:gridCol w:w="2126"/>
        <w:gridCol w:w="1431"/>
        <w:gridCol w:w="1560"/>
      </w:tblGrid>
      <w:tr w:rsidR="00B90E75" w:rsidRPr="00342041" w14:paraId="740AEFB0" w14:textId="77777777" w:rsidTr="00D85A94">
        <w:trPr>
          <w:trHeight w:val="255"/>
          <w:jc w:val="center"/>
        </w:trPr>
        <w:tc>
          <w:tcPr>
            <w:tcW w:w="4243" w:type="dxa"/>
            <w:shd w:val="clear" w:color="auto" w:fill="9CC2E5" w:themeFill="accent1" w:themeFillTint="99"/>
            <w:tcMar>
              <w:top w:w="15" w:type="dxa"/>
              <w:left w:w="70" w:type="dxa"/>
              <w:bottom w:w="0" w:type="dxa"/>
              <w:right w:w="70" w:type="dxa"/>
            </w:tcMar>
            <w:vAlign w:val="center"/>
            <w:hideMark/>
          </w:tcPr>
          <w:p w14:paraId="2CF18DF2" w14:textId="77777777" w:rsidR="00B90E75" w:rsidRPr="00342041" w:rsidRDefault="00B90E75" w:rsidP="00D85A94">
            <w:pPr>
              <w:tabs>
                <w:tab w:val="left" w:pos="708"/>
              </w:tabs>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Nazwa zakresu</w:t>
            </w:r>
          </w:p>
        </w:tc>
        <w:tc>
          <w:tcPr>
            <w:tcW w:w="2126" w:type="dxa"/>
            <w:shd w:val="clear" w:color="auto" w:fill="9CC2E5" w:themeFill="accent1" w:themeFillTint="99"/>
            <w:tcMar>
              <w:top w:w="15" w:type="dxa"/>
              <w:left w:w="70" w:type="dxa"/>
              <w:bottom w:w="0" w:type="dxa"/>
              <w:right w:w="70" w:type="dxa"/>
            </w:tcMar>
            <w:vAlign w:val="center"/>
            <w:hideMark/>
          </w:tcPr>
          <w:p w14:paraId="49DF54A8" w14:textId="77777777" w:rsidR="00B90E75" w:rsidRPr="00342041" w:rsidRDefault="00B90E75" w:rsidP="00D85A94">
            <w:pPr>
              <w:tabs>
                <w:tab w:val="left" w:pos="708"/>
              </w:tabs>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punktów zakresu</w:t>
            </w:r>
          </w:p>
        </w:tc>
        <w:tc>
          <w:tcPr>
            <w:tcW w:w="1431" w:type="dxa"/>
            <w:shd w:val="clear" w:color="auto" w:fill="9CC2E5" w:themeFill="accent1" w:themeFillTint="99"/>
            <w:tcMar>
              <w:top w:w="15" w:type="dxa"/>
              <w:left w:w="70" w:type="dxa"/>
              <w:bottom w:w="0" w:type="dxa"/>
              <w:right w:w="70" w:type="dxa"/>
            </w:tcMar>
            <w:vAlign w:val="center"/>
            <w:hideMark/>
          </w:tcPr>
          <w:p w14:paraId="17BF7F69" w14:textId="77777777" w:rsidR="00B90E75" w:rsidRPr="00342041" w:rsidRDefault="00B90E75" w:rsidP="00D85A94">
            <w:pPr>
              <w:tabs>
                <w:tab w:val="left" w:pos="708"/>
              </w:tabs>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Kwota zakresu</w:t>
            </w:r>
          </w:p>
        </w:tc>
        <w:tc>
          <w:tcPr>
            <w:tcW w:w="1560" w:type="dxa"/>
            <w:shd w:val="clear" w:color="auto" w:fill="9CC2E5" w:themeFill="accent1" w:themeFillTint="99"/>
            <w:tcMar>
              <w:top w:w="15" w:type="dxa"/>
              <w:left w:w="70" w:type="dxa"/>
              <w:bottom w:w="0" w:type="dxa"/>
              <w:right w:w="70" w:type="dxa"/>
            </w:tcMar>
            <w:vAlign w:val="center"/>
            <w:hideMark/>
          </w:tcPr>
          <w:p w14:paraId="28879279" w14:textId="77777777" w:rsidR="00B90E75" w:rsidRPr="00342041" w:rsidRDefault="00B90E75" w:rsidP="00D85A94">
            <w:pPr>
              <w:tabs>
                <w:tab w:val="left" w:pos="708"/>
              </w:tabs>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Liczba łóżek/miejsc</w:t>
            </w:r>
          </w:p>
        </w:tc>
      </w:tr>
      <w:tr w:rsidR="00B90E75" w:rsidRPr="00342041" w14:paraId="35EF59AB" w14:textId="77777777" w:rsidTr="00D85A94">
        <w:trPr>
          <w:trHeight w:val="218"/>
          <w:jc w:val="center"/>
        </w:trPr>
        <w:tc>
          <w:tcPr>
            <w:tcW w:w="4243" w:type="dxa"/>
            <w:shd w:val="clear" w:color="auto" w:fill="9CC2E5" w:themeFill="accent1" w:themeFillTint="99"/>
            <w:tcMar>
              <w:top w:w="15" w:type="dxa"/>
              <w:left w:w="70" w:type="dxa"/>
              <w:bottom w:w="0" w:type="dxa"/>
              <w:right w:w="70" w:type="dxa"/>
            </w:tcMar>
            <w:vAlign w:val="center"/>
            <w:hideMark/>
          </w:tcPr>
          <w:p w14:paraId="629A3AEE" w14:textId="77777777" w:rsidR="00B90E75" w:rsidRPr="00342041" w:rsidRDefault="00B90E75" w:rsidP="00D85A94">
            <w:pPr>
              <w:tabs>
                <w:tab w:val="left" w:pos="708"/>
              </w:tabs>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Świadczenia psychogeriatryczne</w:t>
            </w:r>
          </w:p>
        </w:tc>
        <w:tc>
          <w:tcPr>
            <w:tcW w:w="2126" w:type="dxa"/>
            <w:shd w:val="clear" w:color="auto" w:fill="FFFFFF" w:themeFill="background1"/>
            <w:tcMar>
              <w:top w:w="15" w:type="dxa"/>
              <w:left w:w="70" w:type="dxa"/>
              <w:bottom w:w="0" w:type="dxa"/>
              <w:right w:w="70" w:type="dxa"/>
            </w:tcMar>
            <w:vAlign w:val="center"/>
            <w:hideMark/>
          </w:tcPr>
          <w:p w14:paraId="51D3B060" w14:textId="77777777" w:rsidR="00B90E75" w:rsidRPr="00342041" w:rsidRDefault="00B90E75" w:rsidP="00D85A94">
            <w:pPr>
              <w:tabs>
                <w:tab w:val="left" w:pos="708"/>
              </w:tabs>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2 211 540,71</w:t>
            </w:r>
          </w:p>
        </w:tc>
        <w:tc>
          <w:tcPr>
            <w:tcW w:w="1431" w:type="dxa"/>
            <w:shd w:val="clear" w:color="auto" w:fill="FFFFFF" w:themeFill="background1"/>
            <w:tcMar>
              <w:top w:w="15" w:type="dxa"/>
              <w:left w:w="70" w:type="dxa"/>
              <w:bottom w:w="0" w:type="dxa"/>
              <w:right w:w="70" w:type="dxa"/>
            </w:tcMar>
            <w:vAlign w:val="center"/>
            <w:hideMark/>
          </w:tcPr>
          <w:p w14:paraId="41222CA4" w14:textId="77777777" w:rsidR="00B90E75" w:rsidRPr="00342041" w:rsidRDefault="00B90E75" w:rsidP="00D85A94">
            <w:pPr>
              <w:tabs>
                <w:tab w:val="left" w:pos="708"/>
              </w:tabs>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26 600 899,97</w:t>
            </w:r>
          </w:p>
        </w:tc>
        <w:tc>
          <w:tcPr>
            <w:tcW w:w="1560" w:type="dxa"/>
            <w:shd w:val="clear" w:color="auto" w:fill="FFFFFF" w:themeFill="background1"/>
            <w:tcMar>
              <w:top w:w="15" w:type="dxa"/>
              <w:left w:w="70" w:type="dxa"/>
              <w:bottom w:w="0" w:type="dxa"/>
              <w:right w:w="70" w:type="dxa"/>
            </w:tcMar>
            <w:vAlign w:val="center"/>
            <w:hideMark/>
          </w:tcPr>
          <w:p w14:paraId="57175A48" w14:textId="77777777" w:rsidR="00B90E75" w:rsidRPr="00342041" w:rsidRDefault="00B90E75" w:rsidP="00D85A94">
            <w:pPr>
              <w:tabs>
                <w:tab w:val="left" w:pos="708"/>
              </w:tabs>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350</w:t>
            </w:r>
          </w:p>
        </w:tc>
      </w:tr>
      <w:tr w:rsidR="00B90E75" w:rsidRPr="00342041" w14:paraId="1CFAA47F" w14:textId="77777777" w:rsidTr="00D85A94">
        <w:trPr>
          <w:trHeight w:val="255"/>
          <w:jc w:val="center"/>
        </w:trPr>
        <w:tc>
          <w:tcPr>
            <w:tcW w:w="4243" w:type="dxa"/>
            <w:shd w:val="clear" w:color="auto" w:fill="9CC2E5" w:themeFill="accent1" w:themeFillTint="99"/>
            <w:tcMar>
              <w:top w:w="15" w:type="dxa"/>
              <w:left w:w="70" w:type="dxa"/>
              <w:bottom w:w="0" w:type="dxa"/>
              <w:right w:w="70" w:type="dxa"/>
            </w:tcMar>
            <w:vAlign w:val="center"/>
            <w:hideMark/>
          </w:tcPr>
          <w:p w14:paraId="3A4FC2F9" w14:textId="77777777" w:rsidR="00B90E75" w:rsidRPr="00342041" w:rsidRDefault="00B90E75" w:rsidP="00D85A94">
            <w:pPr>
              <w:tabs>
                <w:tab w:val="left" w:pos="708"/>
              </w:tabs>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eastAsia="pl-PL"/>
              </w:rPr>
              <w:t>Świadczenia dzienne psychiatryczne geriatryczne</w:t>
            </w:r>
          </w:p>
        </w:tc>
        <w:tc>
          <w:tcPr>
            <w:tcW w:w="2126" w:type="dxa"/>
            <w:shd w:val="clear" w:color="auto" w:fill="FFFFFF" w:themeFill="background1"/>
            <w:tcMar>
              <w:top w:w="15" w:type="dxa"/>
              <w:left w:w="70" w:type="dxa"/>
              <w:bottom w:w="0" w:type="dxa"/>
              <w:right w:w="70" w:type="dxa"/>
            </w:tcMar>
            <w:vAlign w:val="center"/>
            <w:hideMark/>
          </w:tcPr>
          <w:p w14:paraId="20F799BC" w14:textId="77777777" w:rsidR="00B90E75" w:rsidRPr="00342041" w:rsidRDefault="00B90E75" w:rsidP="00D85A94">
            <w:pPr>
              <w:tabs>
                <w:tab w:val="left" w:pos="708"/>
              </w:tabs>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544 798,00</w:t>
            </w:r>
          </w:p>
        </w:tc>
        <w:tc>
          <w:tcPr>
            <w:tcW w:w="1431" w:type="dxa"/>
            <w:shd w:val="clear" w:color="auto" w:fill="FFFFFF" w:themeFill="background1"/>
            <w:tcMar>
              <w:top w:w="15" w:type="dxa"/>
              <w:left w:w="70" w:type="dxa"/>
              <w:bottom w:w="0" w:type="dxa"/>
              <w:right w:w="70" w:type="dxa"/>
            </w:tcMar>
            <w:vAlign w:val="center"/>
            <w:hideMark/>
          </w:tcPr>
          <w:p w14:paraId="55D17B84" w14:textId="77777777" w:rsidR="00B90E75" w:rsidRPr="00342041" w:rsidRDefault="00B90E75" w:rsidP="00D85A94">
            <w:pPr>
              <w:tabs>
                <w:tab w:val="left" w:pos="708"/>
              </w:tabs>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5 121 606,20</w:t>
            </w:r>
          </w:p>
        </w:tc>
        <w:tc>
          <w:tcPr>
            <w:tcW w:w="1560" w:type="dxa"/>
            <w:shd w:val="clear" w:color="auto" w:fill="FFFFFF" w:themeFill="background1"/>
            <w:tcMar>
              <w:top w:w="15" w:type="dxa"/>
              <w:left w:w="70" w:type="dxa"/>
              <w:bottom w:w="0" w:type="dxa"/>
              <w:right w:w="70" w:type="dxa"/>
            </w:tcMar>
            <w:vAlign w:val="center"/>
            <w:hideMark/>
          </w:tcPr>
          <w:p w14:paraId="607C55F6" w14:textId="77777777" w:rsidR="00B90E75" w:rsidRPr="00342041" w:rsidRDefault="00B90E75" w:rsidP="00D85A94">
            <w:pPr>
              <w:tabs>
                <w:tab w:val="left" w:pos="708"/>
              </w:tabs>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eastAsia="pl-PL"/>
              </w:rPr>
              <w:t>175</w:t>
            </w:r>
          </w:p>
        </w:tc>
      </w:tr>
    </w:tbl>
    <w:p w14:paraId="568565B7" w14:textId="77777777" w:rsidR="009149B2" w:rsidRPr="00826142" w:rsidRDefault="009149B2" w:rsidP="009149B2">
      <w:pPr>
        <w:tabs>
          <w:tab w:val="left" w:pos="5400"/>
        </w:tabs>
        <w:spacing w:after="0"/>
        <w:rPr>
          <w:rFonts w:ascii="Times New Roman" w:eastAsia="Times New Roman" w:hAnsi="Times New Roman" w:cs="Times New Roman"/>
          <w:b/>
          <w:szCs w:val="24"/>
          <w:lang w:eastAsia="pl-PL"/>
        </w:rPr>
      </w:pPr>
      <w:r w:rsidRPr="00826142">
        <w:rPr>
          <w:rFonts w:ascii="Times New Roman" w:eastAsia="Times New Roman" w:hAnsi="Times New Roman" w:cs="Times New Roman"/>
          <w:b/>
          <w:szCs w:val="24"/>
          <w:lang w:eastAsia="pl-PL"/>
        </w:rPr>
        <w:t>Źródło: dane z Ministerstwa Zdrowia</w:t>
      </w:r>
    </w:p>
    <w:p w14:paraId="569C058E" w14:textId="77777777" w:rsidR="00B90E75" w:rsidRDefault="00B90E75" w:rsidP="003C1988">
      <w:pPr>
        <w:tabs>
          <w:tab w:val="left" w:pos="5400"/>
        </w:tabs>
        <w:spacing w:after="0"/>
        <w:rPr>
          <w:rFonts w:ascii="Times New Roman" w:hAnsi="Times New Roman" w:cs="Times New Roman"/>
          <w:b/>
          <w:bCs/>
          <w:sz w:val="24"/>
          <w:szCs w:val="24"/>
          <w:u w:val="single"/>
        </w:rPr>
      </w:pPr>
    </w:p>
    <w:p w14:paraId="3A8DFDE4" w14:textId="77777777" w:rsidR="00341FBC" w:rsidRDefault="00341FBC" w:rsidP="00341FBC">
      <w:pPr>
        <w:tabs>
          <w:tab w:val="left" w:pos="5400"/>
        </w:tabs>
        <w:spacing w:after="0"/>
        <w:jc w:val="both"/>
        <w:rPr>
          <w:rFonts w:ascii="Times New Roman" w:hAnsi="Times New Roman" w:cs="Times New Roman"/>
          <w:bCs/>
          <w:sz w:val="24"/>
          <w:szCs w:val="24"/>
        </w:rPr>
      </w:pPr>
      <w:r>
        <w:rPr>
          <w:rFonts w:ascii="Times New Roman" w:hAnsi="Times New Roman" w:cs="Times New Roman"/>
          <w:bCs/>
          <w:sz w:val="24"/>
          <w:szCs w:val="24"/>
        </w:rPr>
        <w:t>Z kolei na świadczenia psychogeriatryczne oraz psychiatryczne geriatryczne w 2019 r. przeznaczono łącznie 31 722 506,17 zł.</w:t>
      </w:r>
    </w:p>
    <w:p w14:paraId="7451DD7B" w14:textId="77777777" w:rsidR="00341FBC" w:rsidRPr="00341FBC" w:rsidRDefault="00341FBC" w:rsidP="003C1988">
      <w:pPr>
        <w:tabs>
          <w:tab w:val="left" w:pos="5400"/>
        </w:tabs>
        <w:spacing w:after="0"/>
        <w:rPr>
          <w:rFonts w:ascii="Times New Roman" w:hAnsi="Times New Roman" w:cs="Times New Roman"/>
          <w:bCs/>
          <w:sz w:val="24"/>
          <w:szCs w:val="24"/>
        </w:rPr>
      </w:pPr>
    </w:p>
    <w:p w14:paraId="03AAA6BB" w14:textId="77777777" w:rsidR="00B90E75" w:rsidRPr="00A3788E" w:rsidRDefault="00B90E75" w:rsidP="003C1988">
      <w:pPr>
        <w:tabs>
          <w:tab w:val="left" w:pos="5400"/>
        </w:tabs>
        <w:spacing w:after="0"/>
        <w:rPr>
          <w:rFonts w:ascii="Times New Roman" w:hAnsi="Times New Roman" w:cs="Times New Roman"/>
          <w:b/>
          <w:bCs/>
          <w:color w:val="00B0F0"/>
          <w:sz w:val="24"/>
          <w:szCs w:val="24"/>
        </w:rPr>
      </w:pPr>
      <w:r w:rsidRPr="00A3788E">
        <w:rPr>
          <w:rFonts w:ascii="Times New Roman" w:hAnsi="Times New Roman" w:cs="Times New Roman"/>
          <w:b/>
          <w:bCs/>
          <w:color w:val="00B0F0"/>
          <w:sz w:val="24"/>
          <w:szCs w:val="24"/>
        </w:rPr>
        <w:t>Kadra udzielająca świadczeń zdrowotnych osobom starszym</w:t>
      </w:r>
    </w:p>
    <w:p w14:paraId="44CB0EE7" w14:textId="77777777" w:rsidR="00B90E75" w:rsidRDefault="00B90E75" w:rsidP="003C1988">
      <w:pPr>
        <w:tabs>
          <w:tab w:val="left" w:pos="5400"/>
        </w:tabs>
        <w:spacing w:after="0"/>
        <w:rPr>
          <w:rFonts w:ascii="Times New Roman" w:hAnsi="Times New Roman" w:cs="Times New Roman"/>
          <w:b/>
          <w:bCs/>
          <w:sz w:val="24"/>
          <w:szCs w:val="24"/>
          <w:u w:val="single"/>
        </w:rPr>
      </w:pPr>
    </w:p>
    <w:p w14:paraId="3D078BE2" w14:textId="77777777" w:rsidR="00B90E75" w:rsidRPr="00A3788E" w:rsidRDefault="00B90E75" w:rsidP="00A3788E">
      <w:pPr>
        <w:tabs>
          <w:tab w:val="left" w:pos="5400"/>
        </w:tabs>
        <w:spacing w:after="0"/>
        <w:jc w:val="both"/>
        <w:rPr>
          <w:rFonts w:ascii="Times New Roman" w:hAnsi="Times New Roman" w:cs="Times New Roman"/>
          <w:b/>
          <w:bCs/>
          <w:sz w:val="24"/>
          <w:szCs w:val="24"/>
        </w:rPr>
      </w:pPr>
      <w:r w:rsidRPr="00A3788E">
        <w:rPr>
          <w:rFonts w:ascii="Times New Roman" w:hAnsi="Times New Roman" w:cs="Times New Roman"/>
          <w:b/>
          <w:bCs/>
          <w:sz w:val="24"/>
          <w:szCs w:val="24"/>
        </w:rPr>
        <w:t>Lekarze geriatrzy</w:t>
      </w:r>
    </w:p>
    <w:p w14:paraId="658E4061" w14:textId="77777777" w:rsidR="00B90E75" w:rsidRDefault="00B90E75" w:rsidP="00A3788E">
      <w:pPr>
        <w:tabs>
          <w:tab w:val="left" w:pos="5400"/>
        </w:tabs>
        <w:spacing w:after="0"/>
        <w:jc w:val="both"/>
        <w:rPr>
          <w:rFonts w:ascii="Times New Roman" w:hAnsi="Times New Roman" w:cs="Times New Roman"/>
          <w:sz w:val="24"/>
          <w:szCs w:val="24"/>
        </w:rPr>
      </w:pPr>
      <w:r w:rsidRPr="009C5256">
        <w:rPr>
          <w:rFonts w:ascii="Times New Roman" w:hAnsi="Times New Roman" w:cs="Times New Roman"/>
          <w:sz w:val="24"/>
          <w:szCs w:val="24"/>
        </w:rPr>
        <w:t>Zgodnie z danymi z Centralnego Rejestru Lekarzy i Lekarzy Dentystów oraz Centralnego Wykazu Ubezpieczonych, w 2019 r. zarejestrowanych było 460 lekarzy geriatrów (1,2 na 100 tys. ludności). Średni wiek lekarza geriatry wyniósł 52,43, czyli prawie o 3 lata więcej niż śred</w:t>
      </w:r>
      <w:r w:rsidR="00A3788E">
        <w:rPr>
          <w:rFonts w:ascii="Times New Roman" w:hAnsi="Times New Roman" w:cs="Times New Roman"/>
          <w:sz w:val="24"/>
          <w:szCs w:val="24"/>
        </w:rPr>
        <w:t xml:space="preserve">ni wiek lekarzy ogółem (49,49). </w:t>
      </w:r>
      <w:r w:rsidRPr="009C5256">
        <w:rPr>
          <w:rFonts w:ascii="Times New Roman" w:hAnsi="Times New Roman" w:cs="Times New Roman"/>
          <w:sz w:val="24"/>
          <w:szCs w:val="24"/>
        </w:rPr>
        <w:t>Liczba lekarzy geriatrów pracujących według podstawowego miejsca pracy według stanu na dzień 31.12.2018 r. wynosiła 180</w:t>
      </w:r>
      <w:r w:rsidRPr="009C5256">
        <w:rPr>
          <w:rStyle w:val="Odwoanieprzypisudolnego"/>
          <w:rFonts w:ascii="Times New Roman" w:hAnsi="Times New Roman" w:cs="Times New Roman"/>
          <w:sz w:val="24"/>
          <w:szCs w:val="24"/>
        </w:rPr>
        <w:footnoteReference w:id="15"/>
      </w:r>
      <w:r w:rsidRPr="009C5256">
        <w:rPr>
          <w:rFonts w:ascii="Times New Roman" w:hAnsi="Times New Roman" w:cs="Times New Roman"/>
          <w:sz w:val="24"/>
          <w:szCs w:val="24"/>
        </w:rPr>
        <w:t>.</w:t>
      </w:r>
      <w:r w:rsidR="00A3788E">
        <w:rPr>
          <w:rFonts w:ascii="Times New Roman" w:hAnsi="Times New Roman" w:cs="Times New Roman"/>
          <w:sz w:val="24"/>
          <w:szCs w:val="24"/>
        </w:rPr>
        <w:t xml:space="preserve"> </w:t>
      </w:r>
      <w:r w:rsidRPr="009C5256">
        <w:rPr>
          <w:rFonts w:ascii="Times New Roman" w:hAnsi="Times New Roman" w:cs="Times New Roman"/>
          <w:sz w:val="24"/>
          <w:szCs w:val="24"/>
        </w:rPr>
        <w:t>Obecnie w trakcie specjalizacji/kursów w dziedzinie geriatrii jest 139 lekarzy</w:t>
      </w:r>
      <w:r w:rsidRPr="009C5256">
        <w:rPr>
          <w:rStyle w:val="Odwoanieprzypisudolnego"/>
          <w:rFonts w:ascii="Times New Roman" w:hAnsi="Times New Roman" w:cs="Times New Roman"/>
          <w:sz w:val="24"/>
          <w:szCs w:val="24"/>
        </w:rPr>
        <w:footnoteReference w:id="16"/>
      </w:r>
      <w:r w:rsidRPr="009C5256">
        <w:rPr>
          <w:rFonts w:ascii="Times New Roman" w:hAnsi="Times New Roman" w:cs="Times New Roman"/>
          <w:sz w:val="24"/>
          <w:szCs w:val="24"/>
        </w:rPr>
        <w:t xml:space="preserve">. </w:t>
      </w:r>
    </w:p>
    <w:p w14:paraId="1D48BCEE" w14:textId="77777777" w:rsidR="00B90E75" w:rsidRPr="009C5256" w:rsidRDefault="00B90E75" w:rsidP="00A3788E">
      <w:pPr>
        <w:tabs>
          <w:tab w:val="left" w:pos="5400"/>
        </w:tabs>
        <w:spacing w:after="0"/>
        <w:jc w:val="both"/>
        <w:rPr>
          <w:rFonts w:ascii="Times New Roman" w:hAnsi="Times New Roman" w:cs="Times New Roman"/>
          <w:sz w:val="24"/>
          <w:szCs w:val="24"/>
        </w:rPr>
      </w:pPr>
      <w:r w:rsidRPr="009C5256">
        <w:rPr>
          <w:rFonts w:ascii="Times New Roman" w:hAnsi="Times New Roman" w:cs="Times New Roman"/>
          <w:sz w:val="24"/>
          <w:szCs w:val="24"/>
        </w:rPr>
        <w:t>W celu zbadania rzeczywistej sytuacji lekarzy geriatrów w Polsce, przeprowadzono analizę zjawiska zastępowalności pokoleniowej tychże specjalistów. Obliczono liczbę lekarzy geriatrów aktywnych zawodowo w przedziale wiekowym 60-65 lat. Grupa ta (83 lekarzy) reprezentuje liczbę lekarzy, którzy w przeciągu 6 lat mogą przejść na emeryturę. Przyjęto także założenie, że lekarze w trakcie szkolenia specjalizacyjnego uzyskają tytuł specjalisty w przeciągu 6 lat. Z tego porównania można wysnuć wniosek, iż w przypadku geriatrii nie występuje problem wymienialności pokoleniowej, gdyż liczba lekarzy w trakcie szkoleń specjalizacyjnych przewyższa liczbę lekarzy geriatrów w wieku okołoemerytalnym.</w:t>
      </w:r>
    </w:p>
    <w:p w14:paraId="0A84BB53" w14:textId="77777777" w:rsidR="00B90E75" w:rsidRDefault="00B90E75" w:rsidP="00A3788E">
      <w:pPr>
        <w:tabs>
          <w:tab w:val="left" w:pos="5400"/>
        </w:tabs>
        <w:spacing w:after="0"/>
        <w:jc w:val="both"/>
        <w:rPr>
          <w:rFonts w:ascii="Times New Roman" w:hAnsi="Times New Roman" w:cs="Times New Roman"/>
          <w:b/>
          <w:bCs/>
          <w:sz w:val="24"/>
          <w:szCs w:val="24"/>
          <w:u w:val="single"/>
        </w:rPr>
      </w:pPr>
    </w:p>
    <w:p w14:paraId="21130FDC" w14:textId="77777777" w:rsidR="00B90E75" w:rsidRPr="00B10AC8" w:rsidRDefault="00B90E75" w:rsidP="00B10AC8">
      <w:pPr>
        <w:tabs>
          <w:tab w:val="left" w:pos="5400"/>
        </w:tabs>
        <w:spacing w:after="0"/>
        <w:jc w:val="both"/>
        <w:rPr>
          <w:rFonts w:ascii="Times New Roman" w:hAnsi="Times New Roman" w:cs="Times New Roman"/>
          <w:b/>
          <w:bCs/>
          <w:sz w:val="24"/>
          <w:szCs w:val="24"/>
        </w:rPr>
      </w:pPr>
      <w:r w:rsidRPr="00B10AC8">
        <w:rPr>
          <w:rFonts w:ascii="Times New Roman" w:hAnsi="Times New Roman" w:cs="Times New Roman"/>
          <w:b/>
          <w:bCs/>
          <w:sz w:val="24"/>
          <w:szCs w:val="24"/>
        </w:rPr>
        <w:t>Pielęgniarki</w:t>
      </w:r>
    </w:p>
    <w:p w14:paraId="735420F1" w14:textId="77777777" w:rsidR="00B90E75" w:rsidRDefault="00B90E75" w:rsidP="00A3788E">
      <w:pPr>
        <w:widowControl w:val="0"/>
        <w:autoSpaceDE w:val="0"/>
        <w:autoSpaceDN w:val="0"/>
        <w:spacing w:after="0"/>
        <w:ind w:right="119"/>
        <w:jc w:val="both"/>
        <w:rPr>
          <w:rFonts w:ascii="Times New Roman" w:eastAsia="Calibri" w:hAnsi="Times New Roman" w:cs="Times New Roman"/>
          <w:sz w:val="24"/>
          <w:szCs w:val="24"/>
        </w:rPr>
      </w:pPr>
      <w:r w:rsidRPr="009C5256">
        <w:rPr>
          <w:rFonts w:ascii="Times New Roman" w:eastAsia="Calibri" w:hAnsi="Times New Roman" w:cs="Times New Roman"/>
          <w:sz w:val="24"/>
          <w:szCs w:val="24"/>
        </w:rPr>
        <w:t>Dla zabezpieczenia wysokiej jakości świadczeń opieki zdrowotnej dla osób starszych szczególne znaczenie ma nie tylko liczba pielęgniarek i położnych zatrudnionych w systemie opieki zdrowotnej, ale także posiadane kwalifikacje zawodowe.</w:t>
      </w:r>
    </w:p>
    <w:p w14:paraId="7D80BC53" w14:textId="693FE014" w:rsidR="00B90E75" w:rsidRDefault="00B90E75" w:rsidP="003C1988">
      <w:pPr>
        <w:widowControl w:val="0"/>
        <w:autoSpaceDE w:val="0"/>
        <w:autoSpaceDN w:val="0"/>
        <w:spacing w:after="0"/>
        <w:ind w:right="119"/>
        <w:rPr>
          <w:rFonts w:ascii="Times New Roman" w:eastAsia="Calibri" w:hAnsi="Times New Roman" w:cs="Times New Roman"/>
          <w:sz w:val="24"/>
          <w:szCs w:val="24"/>
        </w:rPr>
      </w:pPr>
    </w:p>
    <w:p w14:paraId="5284605E" w14:textId="77777777" w:rsidR="00987739" w:rsidRPr="009C5256" w:rsidRDefault="00987739" w:rsidP="003C1988">
      <w:pPr>
        <w:widowControl w:val="0"/>
        <w:autoSpaceDE w:val="0"/>
        <w:autoSpaceDN w:val="0"/>
        <w:spacing w:after="0"/>
        <w:ind w:right="119"/>
        <w:rPr>
          <w:rFonts w:ascii="Times New Roman" w:eastAsia="Calibri" w:hAnsi="Times New Roman" w:cs="Times New Roman"/>
          <w:sz w:val="24"/>
          <w:szCs w:val="24"/>
        </w:rPr>
      </w:pPr>
    </w:p>
    <w:p w14:paraId="4EC5C93E" w14:textId="6FBA157D" w:rsidR="009149B2" w:rsidRPr="009149B2" w:rsidRDefault="009149B2" w:rsidP="009149B2">
      <w:pPr>
        <w:pStyle w:val="Legenda"/>
        <w:keepNext/>
        <w:jc w:val="both"/>
        <w:rPr>
          <w:rFonts w:ascii="Times New Roman" w:hAnsi="Times New Roman" w:cs="Times New Roman"/>
          <w:b/>
          <w:i w:val="0"/>
          <w:sz w:val="24"/>
        </w:rPr>
      </w:pPr>
      <w:bookmarkStart w:id="34" w:name="_Toc49171398"/>
      <w:r w:rsidRPr="009149B2">
        <w:rPr>
          <w:rFonts w:ascii="Times New Roman" w:hAnsi="Times New Roman" w:cs="Times New Roman"/>
          <w:b/>
          <w:i w:val="0"/>
          <w:sz w:val="24"/>
        </w:rPr>
        <w:lastRenderedPageBreak/>
        <w:t xml:space="preserve">Tabela </w:t>
      </w:r>
      <w:r w:rsidRPr="009149B2">
        <w:rPr>
          <w:rFonts w:ascii="Times New Roman" w:hAnsi="Times New Roman" w:cs="Times New Roman"/>
          <w:b/>
          <w:i w:val="0"/>
          <w:sz w:val="24"/>
        </w:rPr>
        <w:fldChar w:fldCharType="begin"/>
      </w:r>
      <w:r w:rsidRPr="009149B2">
        <w:rPr>
          <w:rFonts w:ascii="Times New Roman" w:hAnsi="Times New Roman" w:cs="Times New Roman"/>
          <w:b/>
          <w:i w:val="0"/>
          <w:sz w:val="24"/>
        </w:rPr>
        <w:instrText xml:space="preserve"> SEQ Tabela \* ARABIC </w:instrText>
      </w:r>
      <w:r w:rsidRPr="009149B2">
        <w:rPr>
          <w:rFonts w:ascii="Times New Roman" w:hAnsi="Times New Roman" w:cs="Times New Roman"/>
          <w:b/>
          <w:i w:val="0"/>
          <w:sz w:val="24"/>
        </w:rPr>
        <w:fldChar w:fldCharType="separate"/>
      </w:r>
      <w:r w:rsidR="00C154C9">
        <w:rPr>
          <w:rFonts w:ascii="Times New Roman" w:hAnsi="Times New Roman" w:cs="Times New Roman"/>
          <w:b/>
          <w:i w:val="0"/>
          <w:noProof/>
          <w:sz w:val="24"/>
        </w:rPr>
        <w:t>23</w:t>
      </w:r>
      <w:r w:rsidRPr="009149B2">
        <w:rPr>
          <w:rFonts w:ascii="Times New Roman" w:hAnsi="Times New Roman" w:cs="Times New Roman"/>
          <w:b/>
          <w:i w:val="0"/>
          <w:sz w:val="24"/>
        </w:rPr>
        <w:fldChar w:fldCharType="end"/>
      </w:r>
      <w:r w:rsidRPr="009149B2">
        <w:rPr>
          <w:rFonts w:ascii="Times New Roman" w:hAnsi="Times New Roman" w:cs="Times New Roman"/>
          <w:b/>
          <w:i w:val="0"/>
          <w:sz w:val="24"/>
        </w:rPr>
        <w:t xml:space="preserve"> Liczba pielęgniarek, które posiadają tytuł specjalisty we wskazanych dziedzinach pielęgniarstwa</w:t>
      </w:r>
      <w:bookmarkEnd w:id="34"/>
    </w:p>
    <w:tbl>
      <w:tblPr>
        <w:tblW w:w="9062"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0" w:type="dxa"/>
          <w:right w:w="0" w:type="dxa"/>
        </w:tblCellMar>
        <w:tblLook w:val="01E0" w:firstRow="1" w:lastRow="1" w:firstColumn="1" w:lastColumn="1" w:noHBand="0" w:noVBand="0"/>
      </w:tblPr>
      <w:tblGrid>
        <w:gridCol w:w="557"/>
        <w:gridCol w:w="5529"/>
        <w:gridCol w:w="2976"/>
      </w:tblGrid>
      <w:tr w:rsidR="00B90E75" w:rsidRPr="00342041" w14:paraId="4CEDF487" w14:textId="77777777" w:rsidTr="00D85A94">
        <w:trPr>
          <w:trHeight w:val="617"/>
          <w:jc w:val="center"/>
        </w:trPr>
        <w:tc>
          <w:tcPr>
            <w:tcW w:w="557" w:type="dxa"/>
            <w:shd w:val="clear" w:color="auto" w:fill="9CC2E5" w:themeFill="accent1" w:themeFillTint="99"/>
            <w:tcMar>
              <w:top w:w="15" w:type="dxa"/>
              <w:left w:w="15" w:type="dxa"/>
              <w:bottom w:w="0" w:type="dxa"/>
              <w:right w:w="15" w:type="dxa"/>
            </w:tcMar>
            <w:hideMark/>
          </w:tcPr>
          <w:p w14:paraId="14C62A90" w14:textId="77777777" w:rsidR="00B90E75" w:rsidRPr="00342041" w:rsidRDefault="00B90E75" w:rsidP="00D85A94">
            <w:pPr>
              <w:tabs>
                <w:tab w:val="left" w:pos="918"/>
                <w:tab w:val="left" w:pos="5079"/>
              </w:tabs>
              <w:spacing w:after="0" w:line="240" w:lineRule="auto"/>
              <w:ind w:left="115"/>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val="en-US" w:eastAsia="pl-PL"/>
              </w:rPr>
              <w:t>Lp.</w:t>
            </w:r>
          </w:p>
        </w:tc>
        <w:tc>
          <w:tcPr>
            <w:tcW w:w="5529" w:type="dxa"/>
            <w:shd w:val="clear" w:color="auto" w:fill="9CC2E5" w:themeFill="accent1" w:themeFillTint="99"/>
          </w:tcPr>
          <w:p w14:paraId="115BA464"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val="en-US" w:eastAsia="pl-PL"/>
              </w:rPr>
              <w:t>Dziedzina</w:t>
            </w:r>
            <w:r w:rsidRPr="00342041">
              <w:rPr>
                <w:rFonts w:ascii="Times New Roman" w:eastAsia="Times New Roman" w:hAnsi="Times New Roman" w:cs="Times New Roman"/>
                <w:b/>
                <w:bCs/>
                <w:spacing w:val="-7"/>
                <w:kern w:val="24"/>
                <w:sz w:val="20"/>
                <w:szCs w:val="20"/>
                <w:lang w:val="en-US" w:eastAsia="pl-PL"/>
              </w:rPr>
              <w:t xml:space="preserve"> </w:t>
            </w:r>
            <w:r w:rsidRPr="00342041">
              <w:rPr>
                <w:rFonts w:ascii="Times New Roman" w:eastAsia="Times New Roman" w:hAnsi="Times New Roman" w:cs="Times New Roman"/>
                <w:b/>
                <w:bCs/>
                <w:kern w:val="24"/>
                <w:sz w:val="20"/>
                <w:szCs w:val="20"/>
                <w:lang w:val="en-US" w:eastAsia="pl-PL"/>
              </w:rPr>
              <w:t>specjalizacji</w:t>
            </w:r>
          </w:p>
        </w:tc>
        <w:tc>
          <w:tcPr>
            <w:tcW w:w="2976" w:type="dxa"/>
            <w:shd w:val="clear" w:color="auto" w:fill="9CC2E5" w:themeFill="accent1" w:themeFillTint="99"/>
          </w:tcPr>
          <w:p w14:paraId="03BE4E26" w14:textId="77777777" w:rsidR="00B90E75" w:rsidRPr="00342041" w:rsidRDefault="00B90E75" w:rsidP="00D85A94">
            <w:pPr>
              <w:spacing w:after="0" w:line="240" w:lineRule="auto"/>
              <w:ind w:right="115"/>
              <w:jc w:val="center"/>
              <w:rPr>
                <w:rFonts w:ascii="Times New Roman" w:eastAsia="Times New Roman" w:hAnsi="Times New Roman" w:cs="Times New Roman"/>
                <w:b/>
                <w:bCs/>
                <w:kern w:val="24"/>
                <w:sz w:val="20"/>
                <w:szCs w:val="20"/>
                <w:lang w:val="en-US" w:eastAsia="pl-PL"/>
              </w:rPr>
            </w:pPr>
            <w:r w:rsidRPr="00342041">
              <w:rPr>
                <w:rFonts w:ascii="Times New Roman" w:eastAsia="Times New Roman" w:hAnsi="Times New Roman" w:cs="Times New Roman"/>
                <w:b/>
                <w:bCs/>
                <w:kern w:val="24"/>
                <w:sz w:val="20"/>
                <w:szCs w:val="20"/>
                <w:lang w:val="en-US" w:eastAsia="pl-PL"/>
              </w:rPr>
              <w:t>Łącznie</w:t>
            </w:r>
          </w:p>
          <w:p w14:paraId="36C8B5A9" w14:textId="77777777" w:rsidR="00B90E75" w:rsidRPr="00342041" w:rsidRDefault="00B90E75" w:rsidP="00D85A94">
            <w:pPr>
              <w:spacing w:after="0" w:line="240" w:lineRule="auto"/>
              <w:ind w:right="115"/>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kern w:val="24"/>
                <w:sz w:val="20"/>
                <w:szCs w:val="20"/>
                <w:lang w:val="en-US" w:eastAsia="pl-PL"/>
              </w:rPr>
              <w:t>(stan na 31.12.2019 r.)</w:t>
            </w:r>
          </w:p>
        </w:tc>
      </w:tr>
      <w:tr w:rsidR="00B90E75" w:rsidRPr="00342041" w14:paraId="5BB49CAD" w14:textId="77777777" w:rsidTr="00963AD6">
        <w:trPr>
          <w:trHeight w:val="345"/>
          <w:jc w:val="center"/>
        </w:trPr>
        <w:tc>
          <w:tcPr>
            <w:tcW w:w="557" w:type="dxa"/>
            <w:shd w:val="clear" w:color="auto" w:fill="9CC2E5" w:themeFill="accent1" w:themeFillTint="99"/>
            <w:tcMar>
              <w:top w:w="15" w:type="dxa"/>
              <w:left w:w="15" w:type="dxa"/>
              <w:bottom w:w="0" w:type="dxa"/>
              <w:right w:w="15" w:type="dxa"/>
            </w:tcMar>
            <w:hideMark/>
          </w:tcPr>
          <w:p w14:paraId="5FCABA9B" w14:textId="77777777" w:rsidR="00B90E75" w:rsidRPr="00342041" w:rsidRDefault="00B90E75" w:rsidP="00D85A94">
            <w:pPr>
              <w:spacing w:after="0" w:line="240" w:lineRule="auto"/>
              <w:ind w:left="115"/>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val="en-US" w:eastAsia="pl-PL"/>
              </w:rPr>
              <w:t>1.</w:t>
            </w:r>
          </w:p>
        </w:tc>
        <w:tc>
          <w:tcPr>
            <w:tcW w:w="5529" w:type="dxa"/>
            <w:shd w:val="clear" w:color="auto" w:fill="auto"/>
            <w:tcMar>
              <w:top w:w="15" w:type="dxa"/>
              <w:left w:w="15" w:type="dxa"/>
              <w:bottom w:w="0" w:type="dxa"/>
              <w:right w:w="15" w:type="dxa"/>
            </w:tcMar>
            <w:hideMark/>
          </w:tcPr>
          <w:p w14:paraId="7F65A4CC" w14:textId="77777777" w:rsidR="00B90E75" w:rsidRPr="00342041" w:rsidRDefault="00B90E75" w:rsidP="00D85A94">
            <w:pPr>
              <w:spacing w:after="0" w:line="240" w:lineRule="auto"/>
              <w:ind w:left="101"/>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val="en-US" w:eastAsia="pl-PL"/>
              </w:rPr>
              <w:t>Pielęgniarstwo zachowawcze/internistyczne</w:t>
            </w:r>
          </w:p>
        </w:tc>
        <w:tc>
          <w:tcPr>
            <w:tcW w:w="2976" w:type="dxa"/>
            <w:shd w:val="clear" w:color="auto" w:fill="auto"/>
            <w:tcMar>
              <w:top w:w="15" w:type="dxa"/>
              <w:left w:w="15" w:type="dxa"/>
              <w:bottom w:w="0" w:type="dxa"/>
              <w:right w:w="15" w:type="dxa"/>
            </w:tcMar>
            <w:hideMark/>
          </w:tcPr>
          <w:p w14:paraId="797013CD" w14:textId="77777777" w:rsidR="00B90E75" w:rsidRPr="00342041" w:rsidRDefault="00B90E75" w:rsidP="00D85A94">
            <w:pPr>
              <w:tabs>
                <w:tab w:val="left" w:pos="1035"/>
                <w:tab w:val="center" w:pos="1710"/>
              </w:tabs>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kern w:val="24"/>
                <w:sz w:val="20"/>
                <w:szCs w:val="20"/>
                <w:lang w:val="en-US" w:eastAsia="pl-PL"/>
              </w:rPr>
              <w:t>10 903</w:t>
            </w:r>
          </w:p>
        </w:tc>
      </w:tr>
      <w:tr w:rsidR="00B90E75" w:rsidRPr="00342041" w14:paraId="2953EF75" w14:textId="77777777" w:rsidTr="00963AD6">
        <w:trPr>
          <w:trHeight w:val="249"/>
          <w:jc w:val="center"/>
        </w:trPr>
        <w:tc>
          <w:tcPr>
            <w:tcW w:w="557" w:type="dxa"/>
            <w:shd w:val="clear" w:color="auto" w:fill="9CC2E5" w:themeFill="accent1" w:themeFillTint="99"/>
            <w:tcMar>
              <w:top w:w="15" w:type="dxa"/>
              <w:left w:w="15" w:type="dxa"/>
              <w:bottom w:w="0" w:type="dxa"/>
              <w:right w:w="15" w:type="dxa"/>
            </w:tcMar>
            <w:hideMark/>
          </w:tcPr>
          <w:p w14:paraId="3AEB86C5" w14:textId="77777777" w:rsidR="00B90E75" w:rsidRPr="00342041" w:rsidRDefault="00B90E75" w:rsidP="00D85A94">
            <w:pPr>
              <w:spacing w:after="0" w:line="240" w:lineRule="auto"/>
              <w:ind w:left="115"/>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val="en-US" w:eastAsia="pl-PL"/>
              </w:rPr>
              <w:t>2.</w:t>
            </w:r>
          </w:p>
        </w:tc>
        <w:tc>
          <w:tcPr>
            <w:tcW w:w="5529" w:type="dxa"/>
            <w:shd w:val="clear" w:color="auto" w:fill="auto"/>
            <w:tcMar>
              <w:top w:w="15" w:type="dxa"/>
              <w:left w:w="15" w:type="dxa"/>
              <w:bottom w:w="0" w:type="dxa"/>
              <w:right w:w="15" w:type="dxa"/>
            </w:tcMar>
            <w:hideMark/>
          </w:tcPr>
          <w:p w14:paraId="789DF8F2" w14:textId="208D16DC" w:rsidR="00B90E75" w:rsidRPr="00342041" w:rsidRDefault="00D67F37" w:rsidP="00D85A94">
            <w:pPr>
              <w:spacing w:after="0" w:line="240" w:lineRule="auto"/>
              <w:ind w:left="101"/>
              <w:rPr>
                <w:rFonts w:ascii="Times New Roman" w:eastAsia="Times New Roman" w:hAnsi="Times New Roman" w:cs="Times New Roman"/>
                <w:sz w:val="20"/>
                <w:szCs w:val="20"/>
                <w:lang w:eastAsia="pl-PL"/>
              </w:rPr>
            </w:pPr>
            <w:r>
              <w:rPr>
                <w:rFonts w:ascii="Times New Roman" w:eastAsia="Times New Roman" w:hAnsi="Times New Roman" w:cs="Times New Roman"/>
                <w:color w:val="000000"/>
                <w:kern w:val="24"/>
                <w:sz w:val="20"/>
                <w:szCs w:val="20"/>
                <w:lang w:val="en-US" w:eastAsia="pl-PL"/>
              </w:rPr>
              <w:t>Pielęgniarstwo opieki</w:t>
            </w:r>
            <w:r w:rsidR="00B90E75" w:rsidRPr="00342041">
              <w:rPr>
                <w:rFonts w:ascii="Times New Roman" w:eastAsia="Times New Roman" w:hAnsi="Times New Roman" w:cs="Times New Roman"/>
                <w:color w:val="000000"/>
                <w:kern w:val="24"/>
                <w:sz w:val="20"/>
                <w:szCs w:val="20"/>
                <w:lang w:val="en-US" w:eastAsia="pl-PL"/>
              </w:rPr>
              <w:t xml:space="preserve"> długoterminowej</w:t>
            </w:r>
          </w:p>
        </w:tc>
        <w:tc>
          <w:tcPr>
            <w:tcW w:w="2976" w:type="dxa"/>
            <w:shd w:val="clear" w:color="auto" w:fill="auto"/>
            <w:tcMar>
              <w:top w:w="15" w:type="dxa"/>
              <w:left w:w="15" w:type="dxa"/>
              <w:bottom w:w="0" w:type="dxa"/>
              <w:right w:w="15" w:type="dxa"/>
            </w:tcMar>
            <w:hideMark/>
          </w:tcPr>
          <w:p w14:paraId="5F6463C2"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kern w:val="24"/>
                <w:sz w:val="20"/>
                <w:szCs w:val="20"/>
                <w:lang w:val="en-US" w:eastAsia="pl-PL"/>
              </w:rPr>
              <w:t>3 010</w:t>
            </w:r>
          </w:p>
        </w:tc>
      </w:tr>
      <w:tr w:rsidR="00B90E75" w:rsidRPr="00342041" w14:paraId="7AAEC49A" w14:textId="77777777" w:rsidTr="00963AD6">
        <w:trPr>
          <w:trHeight w:val="211"/>
          <w:jc w:val="center"/>
        </w:trPr>
        <w:tc>
          <w:tcPr>
            <w:tcW w:w="557" w:type="dxa"/>
            <w:shd w:val="clear" w:color="auto" w:fill="9CC2E5" w:themeFill="accent1" w:themeFillTint="99"/>
            <w:tcMar>
              <w:top w:w="15" w:type="dxa"/>
              <w:left w:w="15" w:type="dxa"/>
              <w:bottom w:w="0" w:type="dxa"/>
              <w:right w:w="15" w:type="dxa"/>
            </w:tcMar>
            <w:hideMark/>
          </w:tcPr>
          <w:p w14:paraId="14161726" w14:textId="77777777" w:rsidR="00B90E75" w:rsidRPr="00342041" w:rsidRDefault="00B90E75" w:rsidP="00D85A94">
            <w:pPr>
              <w:spacing w:after="0" w:line="240" w:lineRule="auto"/>
              <w:ind w:left="115"/>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val="en-US" w:eastAsia="pl-PL"/>
              </w:rPr>
              <w:t>3.</w:t>
            </w:r>
          </w:p>
        </w:tc>
        <w:tc>
          <w:tcPr>
            <w:tcW w:w="5529" w:type="dxa"/>
            <w:shd w:val="clear" w:color="auto" w:fill="auto"/>
            <w:tcMar>
              <w:top w:w="15" w:type="dxa"/>
              <w:left w:w="15" w:type="dxa"/>
              <w:bottom w:w="0" w:type="dxa"/>
              <w:right w:w="15" w:type="dxa"/>
            </w:tcMar>
            <w:hideMark/>
          </w:tcPr>
          <w:p w14:paraId="2E82D6C3" w14:textId="77777777" w:rsidR="00B90E75" w:rsidRPr="00342041" w:rsidRDefault="00B90E75" w:rsidP="00D85A94">
            <w:pPr>
              <w:spacing w:after="0" w:line="240" w:lineRule="auto"/>
              <w:ind w:left="101" w:right="346"/>
              <w:rPr>
                <w:rFonts w:ascii="Times New Roman" w:eastAsia="Times New Roman" w:hAnsi="Times New Roman" w:cs="Times New Roman"/>
                <w:sz w:val="20"/>
                <w:szCs w:val="20"/>
                <w:lang w:eastAsia="pl-PL"/>
              </w:rPr>
            </w:pPr>
            <w:r w:rsidRPr="004D2D78">
              <w:rPr>
                <w:rFonts w:ascii="Times New Roman" w:eastAsia="Times New Roman" w:hAnsi="Times New Roman" w:cs="Times New Roman"/>
                <w:color w:val="000000"/>
                <w:kern w:val="24"/>
                <w:sz w:val="20"/>
                <w:szCs w:val="20"/>
                <w:lang w:eastAsia="pl-PL"/>
              </w:rPr>
              <w:t>Pielęgniarstwo przewlekle chorych i niepełnosprawnych</w:t>
            </w:r>
          </w:p>
        </w:tc>
        <w:tc>
          <w:tcPr>
            <w:tcW w:w="2976" w:type="dxa"/>
            <w:shd w:val="clear" w:color="auto" w:fill="auto"/>
            <w:tcMar>
              <w:top w:w="15" w:type="dxa"/>
              <w:left w:w="15" w:type="dxa"/>
              <w:bottom w:w="0" w:type="dxa"/>
              <w:right w:w="15" w:type="dxa"/>
            </w:tcMar>
            <w:hideMark/>
          </w:tcPr>
          <w:p w14:paraId="6C75B507"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kern w:val="24"/>
                <w:sz w:val="20"/>
                <w:szCs w:val="20"/>
                <w:lang w:val="en-US" w:eastAsia="pl-PL"/>
              </w:rPr>
              <w:t>169</w:t>
            </w:r>
          </w:p>
        </w:tc>
      </w:tr>
      <w:tr w:rsidR="00B90E75" w:rsidRPr="00342041" w14:paraId="661E37B5" w14:textId="77777777" w:rsidTr="00963AD6">
        <w:trPr>
          <w:trHeight w:val="258"/>
          <w:jc w:val="center"/>
        </w:trPr>
        <w:tc>
          <w:tcPr>
            <w:tcW w:w="557" w:type="dxa"/>
            <w:shd w:val="clear" w:color="auto" w:fill="9CC2E5" w:themeFill="accent1" w:themeFillTint="99"/>
            <w:tcMar>
              <w:top w:w="15" w:type="dxa"/>
              <w:left w:w="15" w:type="dxa"/>
              <w:bottom w:w="0" w:type="dxa"/>
              <w:right w:w="15" w:type="dxa"/>
            </w:tcMar>
            <w:hideMark/>
          </w:tcPr>
          <w:p w14:paraId="1DB939EA" w14:textId="77777777" w:rsidR="00B90E75" w:rsidRPr="00342041" w:rsidRDefault="00B90E75" w:rsidP="00D85A94">
            <w:pPr>
              <w:spacing w:after="0" w:line="240" w:lineRule="auto"/>
              <w:ind w:left="115"/>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val="en-US" w:eastAsia="pl-PL"/>
              </w:rPr>
              <w:t>3.</w:t>
            </w:r>
          </w:p>
        </w:tc>
        <w:tc>
          <w:tcPr>
            <w:tcW w:w="5529" w:type="dxa"/>
            <w:shd w:val="clear" w:color="auto" w:fill="auto"/>
            <w:tcMar>
              <w:top w:w="15" w:type="dxa"/>
              <w:left w:w="15" w:type="dxa"/>
              <w:bottom w:w="0" w:type="dxa"/>
              <w:right w:w="15" w:type="dxa"/>
            </w:tcMar>
            <w:hideMark/>
          </w:tcPr>
          <w:p w14:paraId="65EF841F" w14:textId="77777777" w:rsidR="00B90E75" w:rsidRPr="00342041" w:rsidRDefault="00B90E75" w:rsidP="00D85A94">
            <w:pPr>
              <w:spacing w:after="0" w:line="240" w:lineRule="auto"/>
              <w:ind w:left="101"/>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val="en-US" w:eastAsia="pl-PL"/>
              </w:rPr>
              <w:t>Pielęgniarstwo opieki paliatywnej</w:t>
            </w:r>
          </w:p>
        </w:tc>
        <w:tc>
          <w:tcPr>
            <w:tcW w:w="2976" w:type="dxa"/>
            <w:shd w:val="clear" w:color="auto" w:fill="auto"/>
            <w:tcMar>
              <w:top w:w="15" w:type="dxa"/>
              <w:left w:w="15" w:type="dxa"/>
              <w:bottom w:w="0" w:type="dxa"/>
              <w:right w:w="15" w:type="dxa"/>
            </w:tcMar>
            <w:hideMark/>
          </w:tcPr>
          <w:p w14:paraId="30AC895B"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kern w:val="24"/>
                <w:sz w:val="20"/>
                <w:szCs w:val="20"/>
                <w:lang w:val="en-US" w:eastAsia="pl-PL"/>
              </w:rPr>
              <w:t>2 096</w:t>
            </w:r>
          </w:p>
        </w:tc>
      </w:tr>
      <w:tr w:rsidR="00B90E75" w:rsidRPr="00342041" w14:paraId="65D93B49" w14:textId="77777777" w:rsidTr="00963AD6">
        <w:trPr>
          <w:trHeight w:val="294"/>
          <w:jc w:val="center"/>
        </w:trPr>
        <w:tc>
          <w:tcPr>
            <w:tcW w:w="557" w:type="dxa"/>
            <w:shd w:val="clear" w:color="auto" w:fill="9CC2E5" w:themeFill="accent1" w:themeFillTint="99"/>
            <w:tcMar>
              <w:top w:w="15" w:type="dxa"/>
              <w:left w:w="15" w:type="dxa"/>
              <w:bottom w:w="0" w:type="dxa"/>
              <w:right w:w="15" w:type="dxa"/>
            </w:tcMar>
            <w:hideMark/>
          </w:tcPr>
          <w:p w14:paraId="304BF7D1" w14:textId="77777777" w:rsidR="00B90E75" w:rsidRPr="00342041" w:rsidRDefault="00B90E75" w:rsidP="00D85A94">
            <w:pPr>
              <w:spacing w:after="0" w:line="240" w:lineRule="auto"/>
              <w:ind w:left="115"/>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val="en-US" w:eastAsia="pl-PL"/>
              </w:rPr>
              <w:t>4.</w:t>
            </w:r>
          </w:p>
        </w:tc>
        <w:tc>
          <w:tcPr>
            <w:tcW w:w="5529" w:type="dxa"/>
            <w:shd w:val="clear" w:color="auto" w:fill="auto"/>
            <w:tcMar>
              <w:top w:w="15" w:type="dxa"/>
              <w:left w:w="15" w:type="dxa"/>
              <w:bottom w:w="0" w:type="dxa"/>
              <w:right w:w="15" w:type="dxa"/>
            </w:tcMar>
            <w:hideMark/>
          </w:tcPr>
          <w:p w14:paraId="6D6ED754" w14:textId="77777777" w:rsidR="00B90E75" w:rsidRPr="00342041" w:rsidRDefault="00B90E75" w:rsidP="00D85A94">
            <w:pPr>
              <w:spacing w:after="0" w:line="240" w:lineRule="auto"/>
              <w:ind w:left="101"/>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val="en-US" w:eastAsia="pl-PL"/>
              </w:rPr>
              <w:t>Pielęgniarstwo rodzinne dla pielęgniarek</w:t>
            </w:r>
          </w:p>
        </w:tc>
        <w:tc>
          <w:tcPr>
            <w:tcW w:w="2976" w:type="dxa"/>
            <w:shd w:val="clear" w:color="auto" w:fill="auto"/>
            <w:tcMar>
              <w:top w:w="15" w:type="dxa"/>
              <w:left w:w="15" w:type="dxa"/>
              <w:bottom w:w="0" w:type="dxa"/>
              <w:right w:w="15" w:type="dxa"/>
            </w:tcMar>
            <w:hideMark/>
          </w:tcPr>
          <w:p w14:paraId="50479984"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kern w:val="24"/>
                <w:sz w:val="20"/>
                <w:szCs w:val="20"/>
                <w:lang w:val="en-US" w:eastAsia="pl-PL"/>
              </w:rPr>
              <w:t>2 235</w:t>
            </w:r>
          </w:p>
        </w:tc>
      </w:tr>
      <w:tr w:rsidR="00B90E75" w:rsidRPr="00342041" w14:paraId="00483192" w14:textId="77777777" w:rsidTr="00963AD6">
        <w:trPr>
          <w:trHeight w:val="256"/>
          <w:jc w:val="center"/>
        </w:trPr>
        <w:tc>
          <w:tcPr>
            <w:tcW w:w="557" w:type="dxa"/>
            <w:shd w:val="clear" w:color="auto" w:fill="9CC2E5" w:themeFill="accent1" w:themeFillTint="99"/>
            <w:tcMar>
              <w:top w:w="15" w:type="dxa"/>
              <w:left w:w="15" w:type="dxa"/>
              <w:bottom w:w="0" w:type="dxa"/>
              <w:right w:w="15" w:type="dxa"/>
            </w:tcMar>
            <w:hideMark/>
          </w:tcPr>
          <w:p w14:paraId="59C453A8" w14:textId="77777777" w:rsidR="00B90E75" w:rsidRPr="00342041" w:rsidRDefault="00B90E75" w:rsidP="00D85A94">
            <w:pPr>
              <w:spacing w:after="0" w:line="240" w:lineRule="auto"/>
              <w:ind w:left="115"/>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val="en-US" w:eastAsia="pl-PL"/>
              </w:rPr>
              <w:t>5.</w:t>
            </w:r>
          </w:p>
        </w:tc>
        <w:tc>
          <w:tcPr>
            <w:tcW w:w="5529" w:type="dxa"/>
            <w:shd w:val="clear" w:color="auto" w:fill="auto"/>
            <w:tcMar>
              <w:top w:w="15" w:type="dxa"/>
              <w:left w:w="15" w:type="dxa"/>
              <w:bottom w:w="0" w:type="dxa"/>
              <w:right w:w="15" w:type="dxa"/>
            </w:tcMar>
            <w:hideMark/>
          </w:tcPr>
          <w:p w14:paraId="5BCA42B3" w14:textId="77777777" w:rsidR="00B90E75" w:rsidRPr="00342041" w:rsidRDefault="00B90E75" w:rsidP="00D85A94">
            <w:pPr>
              <w:spacing w:after="0" w:line="240" w:lineRule="auto"/>
              <w:ind w:left="101"/>
              <w:rPr>
                <w:rFonts w:ascii="Times New Roman" w:eastAsia="Times New Roman" w:hAnsi="Times New Roman" w:cs="Times New Roman"/>
                <w:sz w:val="20"/>
                <w:szCs w:val="20"/>
                <w:lang w:eastAsia="pl-PL"/>
              </w:rPr>
            </w:pPr>
            <w:r w:rsidRPr="00342041">
              <w:rPr>
                <w:rFonts w:ascii="Times New Roman" w:eastAsia="Times New Roman" w:hAnsi="Times New Roman" w:cs="Times New Roman"/>
                <w:color w:val="000000"/>
                <w:kern w:val="24"/>
                <w:sz w:val="20"/>
                <w:szCs w:val="20"/>
                <w:lang w:val="en-US" w:eastAsia="pl-PL"/>
              </w:rPr>
              <w:t>Pielęgniarstwo geriatryczne</w:t>
            </w:r>
          </w:p>
        </w:tc>
        <w:tc>
          <w:tcPr>
            <w:tcW w:w="2976" w:type="dxa"/>
            <w:shd w:val="clear" w:color="auto" w:fill="auto"/>
            <w:tcMar>
              <w:top w:w="15" w:type="dxa"/>
              <w:left w:w="15" w:type="dxa"/>
              <w:bottom w:w="0" w:type="dxa"/>
              <w:right w:w="15" w:type="dxa"/>
            </w:tcMar>
            <w:hideMark/>
          </w:tcPr>
          <w:p w14:paraId="796DB1BA"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kern w:val="24"/>
                <w:sz w:val="20"/>
                <w:szCs w:val="20"/>
                <w:lang w:val="en-US" w:eastAsia="pl-PL"/>
              </w:rPr>
              <w:t>2 552</w:t>
            </w:r>
          </w:p>
        </w:tc>
      </w:tr>
      <w:tr w:rsidR="00B90E75" w:rsidRPr="00342041" w14:paraId="2B1D50B9" w14:textId="77777777" w:rsidTr="00963AD6">
        <w:trPr>
          <w:trHeight w:val="380"/>
          <w:jc w:val="center"/>
        </w:trPr>
        <w:tc>
          <w:tcPr>
            <w:tcW w:w="6086" w:type="dxa"/>
            <w:gridSpan w:val="2"/>
            <w:shd w:val="clear" w:color="auto" w:fill="9CC2E5" w:themeFill="accent1" w:themeFillTint="99"/>
            <w:tcMar>
              <w:top w:w="15" w:type="dxa"/>
              <w:left w:w="15" w:type="dxa"/>
              <w:bottom w:w="0" w:type="dxa"/>
              <w:right w:w="15" w:type="dxa"/>
            </w:tcMar>
            <w:hideMark/>
          </w:tcPr>
          <w:p w14:paraId="6CA27166" w14:textId="77777777" w:rsidR="00B90E75" w:rsidRPr="00342041" w:rsidRDefault="00B90E75" w:rsidP="00D85A94">
            <w:pPr>
              <w:spacing w:after="0" w:line="240" w:lineRule="auto"/>
              <w:ind w:left="115"/>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val="en-US" w:eastAsia="pl-PL"/>
              </w:rPr>
              <w:t>Łącznie:</w:t>
            </w:r>
          </w:p>
        </w:tc>
        <w:tc>
          <w:tcPr>
            <w:tcW w:w="2976" w:type="dxa"/>
            <w:shd w:val="clear" w:color="auto" w:fill="auto"/>
            <w:tcMar>
              <w:top w:w="15" w:type="dxa"/>
              <w:left w:w="15" w:type="dxa"/>
              <w:bottom w:w="0" w:type="dxa"/>
              <w:right w:w="15" w:type="dxa"/>
            </w:tcMar>
            <w:hideMark/>
          </w:tcPr>
          <w:p w14:paraId="2EE53B36" w14:textId="77777777" w:rsidR="00B90E75" w:rsidRPr="00342041" w:rsidRDefault="00B90E75" w:rsidP="00D85A94">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b/>
                <w:bCs/>
                <w:kern w:val="24"/>
                <w:sz w:val="20"/>
                <w:szCs w:val="20"/>
                <w:lang w:val="en-US" w:eastAsia="pl-PL"/>
              </w:rPr>
              <w:t>20 965</w:t>
            </w:r>
          </w:p>
        </w:tc>
      </w:tr>
    </w:tbl>
    <w:p w14:paraId="1EAE9556" w14:textId="77777777" w:rsidR="00B90E75" w:rsidRPr="009149B2" w:rsidRDefault="00B90E75" w:rsidP="009149B2">
      <w:pPr>
        <w:widowControl w:val="0"/>
        <w:autoSpaceDE w:val="0"/>
        <w:autoSpaceDN w:val="0"/>
        <w:spacing w:after="0"/>
        <w:ind w:right="611"/>
        <w:jc w:val="both"/>
        <w:rPr>
          <w:rFonts w:ascii="Times New Roman" w:eastAsia="Arial" w:hAnsi="Times New Roman" w:cs="Times New Roman"/>
          <w:b/>
          <w:szCs w:val="24"/>
        </w:rPr>
      </w:pPr>
      <w:r w:rsidRPr="009149B2">
        <w:rPr>
          <w:rFonts w:ascii="Times New Roman" w:eastAsia="Arial" w:hAnsi="Times New Roman" w:cs="Times New Roman"/>
          <w:b/>
          <w:szCs w:val="24"/>
        </w:rPr>
        <w:t>Opracowanie: Departament Pielęgniarek i Położnych Ministerstwa Zdrowia – na podstawie danych Centrum Kształcenia Podyplomowego Pielęgniarek i Położnych</w:t>
      </w:r>
    </w:p>
    <w:p w14:paraId="2AA3CCB3" w14:textId="77777777" w:rsidR="00B90E75" w:rsidRPr="009C5256" w:rsidRDefault="00B90E75" w:rsidP="003C1988">
      <w:pPr>
        <w:widowControl w:val="0"/>
        <w:autoSpaceDE w:val="0"/>
        <w:autoSpaceDN w:val="0"/>
        <w:spacing w:after="0"/>
        <w:ind w:right="611"/>
        <w:rPr>
          <w:rFonts w:ascii="Times New Roman" w:eastAsia="Arial" w:hAnsi="Times New Roman" w:cs="Times New Roman"/>
          <w:sz w:val="24"/>
          <w:szCs w:val="24"/>
        </w:rPr>
      </w:pPr>
    </w:p>
    <w:p w14:paraId="68F0BB4D" w14:textId="77777777" w:rsidR="00B90E75" w:rsidRPr="00B10AC8" w:rsidRDefault="00B90E75" w:rsidP="00B10AC8">
      <w:pPr>
        <w:tabs>
          <w:tab w:val="left" w:pos="6585"/>
        </w:tabs>
        <w:spacing w:after="0"/>
        <w:rPr>
          <w:rFonts w:ascii="Times New Roman" w:hAnsi="Times New Roman" w:cs="Times New Roman"/>
          <w:b/>
          <w:bCs/>
          <w:sz w:val="24"/>
          <w:szCs w:val="24"/>
        </w:rPr>
      </w:pPr>
      <w:r w:rsidRPr="00B10AC8">
        <w:rPr>
          <w:rFonts w:ascii="Times New Roman" w:hAnsi="Times New Roman" w:cs="Times New Roman"/>
          <w:b/>
          <w:bCs/>
          <w:sz w:val="24"/>
          <w:szCs w:val="24"/>
        </w:rPr>
        <w:t>Opiekunowie medyczni</w:t>
      </w:r>
    </w:p>
    <w:p w14:paraId="764E75BA" w14:textId="77777777" w:rsidR="00B90E75" w:rsidRDefault="00B90E75" w:rsidP="00B10AC8">
      <w:pPr>
        <w:tabs>
          <w:tab w:val="left" w:pos="6585"/>
        </w:tabs>
        <w:spacing w:after="0"/>
        <w:jc w:val="both"/>
        <w:rPr>
          <w:rFonts w:ascii="Times New Roman" w:hAnsi="Times New Roman" w:cs="Times New Roman"/>
          <w:sz w:val="24"/>
          <w:szCs w:val="24"/>
        </w:rPr>
      </w:pPr>
      <w:r w:rsidRPr="009C5256">
        <w:rPr>
          <w:rFonts w:ascii="Times New Roman" w:hAnsi="Times New Roman" w:cs="Times New Roman"/>
          <w:sz w:val="24"/>
          <w:szCs w:val="24"/>
        </w:rPr>
        <w:t>Z inicjatywy Ministra Zdrowia zawód opiekuna medycznego został wpisany do klasyfikacji zawodów szkolnictwa zawodowego.</w:t>
      </w:r>
      <w:r w:rsidR="00B10AC8">
        <w:rPr>
          <w:rFonts w:ascii="Times New Roman" w:hAnsi="Times New Roman" w:cs="Times New Roman"/>
          <w:sz w:val="24"/>
          <w:szCs w:val="24"/>
        </w:rPr>
        <w:t xml:space="preserve"> </w:t>
      </w:r>
      <w:r w:rsidRPr="009C5256">
        <w:rPr>
          <w:rFonts w:ascii="Times New Roman" w:hAnsi="Times New Roman" w:cs="Times New Roman"/>
          <w:sz w:val="24"/>
          <w:szCs w:val="24"/>
        </w:rPr>
        <w:t>Od czasu utworzenia tego zawodu w 2007 r., kwalifikacje w zawodzie opiekuna medycznego uzyskało 52 446 osób</w:t>
      </w:r>
      <w:r w:rsidRPr="009C5256">
        <w:rPr>
          <w:rStyle w:val="Odwoanieprzypisudolnego"/>
          <w:rFonts w:ascii="Times New Roman" w:hAnsi="Times New Roman" w:cs="Times New Roman"/>
          <w:sz w:val="24"/>
          <w:szCs w:val="24"/>
        </w:rPr>
        <w:footnoteReference w:id="17"/>
      </w:r>
      <w:r w:rsidRPr="009C5256">
        <w:rPr>
          <w:rFonts w:ascii="Times New Roman" w:hAnsi="Times New Roman" w:cs="Times New Roman"/>
          <w:sz w:val="24"/>
          <w:szCs w:val="24"/>
        </w:rPr>
        <w:t>.</w:t>
      </w:r>
      <w:r w:rsidR="00B10AC8">
        <w:rPr>
          <w:rFonts w:ascii="Times New Roman" w:hAnsi="Times New Roman" w:cs="Times New Roman"/>
          <w:sz w:val="24"/>
          <w:szCs w:val="24"/>
        </w:rPr>
        <w:t xml:space="preserve"> </w:t>
      </w:r>
      <w:r w:rsidRPr="00B10AC8">
        <w:rPr>
          <w:rFonts w:ascii="Times New Roman" w:hAnsi="Times New Roman" w:cs="Times New Roman"/>
          <w:bCs/>
          <w:sz w:val="24"/>
          <w:szCs w:val="24"/>
        </w:rPr>
        <w:t>Liczba opiekunów medycznych udzielających świadczeń w opiece długoterminowej</w:t>
      </w:r>
      <w:r w:rsidRPr="00B10AC8">
        <w:rPr>
          <w:rFonts w:ascii="Times New Roman" w:hAnsi="Times New Roman" w:cs="Times New Roman"/>
          <w:sz w:val="24"/>
          <w:szCs w:val="24"/>
        </w:rPr>
        <w:t xml:space="preserve"> </w:t>
      </w:r>
      <w:r w:rsidRPr="009C5256">
        <w:rPr>
          <w:rFonts w:ascii="Times New Roman" w:hAnsi="Times New Roman" w:cs="Times New Roman"/>
          <w:sz w:val="24"/>
          <w:szCs w:val="24"/>
        </w:rPr>
        <w:t>według stanu na dzień 31.12.2019 r. wynosiła 6 001</w:t>
      </w:r>
      <w:r w:rsidRPr="009C5256">
        <w:rPr>
          <w:rStyle w:val="Odwoanieprzypisudolnego"/>
          <w:rFonts w:ascii="Times New Roman" w:hAnsi="Times New Roman" w:cs="Times New Roman"/>
          <w:sz w:val="24"/>
          <w:szCs w:val="24"/>
        </w:rPr>
        <w:footnoteReference w:id="18"/>
      </w:r>
      <w:r w:rsidRPr="009C5256">
        <w:rPr>
          <w:rFonts w:ascii="Times New Roman" w:hAnsi="Times New Roman" w:cs="Times New Roman"/>
          <w:sz w:val="24"/>
          <w:szCs w:val="24"/>
        </w:rPr>
        <w:t>.</w:t>
      </w:r>
    </w:p>
    <w:p w14:paraId="3B074AF8" w14:textId="77777777" w:rsidR="00B90E75" w:rsidRPr="009C5256" w:rsidRDefault="00B90E75" w:rsidP="00B10AC8">
      <w:pPr>
        <w:tabs>
          <w:tab w:val="left" w:pos="6585"/>
        </w:tabs>
        <w:spacing w:after="0"/>
        <w:jc w:val="both"/>
        <w:rPr>
          <w:rFonts w:ascii="Times New Roman" w:hAnsi="Times New Roman" w:cs="Times New Roman"/>
          <w:sz w:val="24"/>
          <w:szCs w:val="24"/>
        </w:rPr>
      </w:pPr>
    </w:p>
    <w:p w14:paraId="21D3E33D" w14:textId="77777777" w:rsidR="00B90E75" w:rsidRPr="00B10AC8" w:rsidRDefault="00B90E75" w:rsidP="00B10AC8">
      <w:pPr>
        <w:tabs>
          <w:tab w:val="left" w:pos="6585"/>
        </w:tabs>
        <w:spacing w:after="0"/>
        <w:jc w:val="both"/>
        <w:rPr>
          <w:rFonts w:ascii="Times New Roman" w:hAnsi="Times New Roman" w:cs="Times New Roman"/>
          <w:b/>
          <w:bCs/>
          <w:sz w:val="24"/>
          <w:szCs w:val="24"/>
        </w:rPr>
      </w:pPr>
      <w:r w:rsidRPr="00B10AC8">
        <w:rPr>
          <w:rFonts w:ascii="Times New Roman" w:hAnsi="Times New Roman" w:cs="Times New Roman"/>
          <w:b/>
          <w:bCs/>
          <w:sz w:val="24"/>
          <w:szCs w:val="24"/>
        </w:rPr>
        <w:t xml:space="preserve">Kadry w opiece długoterminowej </w:t>
      </w:r>
    </w:p>
    <w:p w14:paraId="58C15827" w14:textId="77777777" w:rsidR="00B90E75" w:rsidRPr="009C5256" w:rsidRDefault="00B90E75" w:rsidP="00B10AC8">
      <w:pPr>
        <w:tabs>
          <w:tab w:val="left" w:pos="6585"/>
        </w:tabs>
        <w:spacing w:after="0"/>
        <w:jc w:val="both"/>
        <w:rPr>
          <w:rFonts w:ascii="Times New Roman" w:hAnsi="Times New Roman" w:cs="Times New Roman"/>
          <w:sz w:val="24"/>
          <w:szCs w:val="24"/>
        </w:rPr>
      </w:pPr>
      <w:r w:rsidRPr="009C5256">
        <w:rPr>
          <w:rFonts w:ascii="Times New Roman" w:hAnsi="Times New Roman" w:cs="Times New Roman"/>
          <w:sz w:val="24"/>
          <w:szCs w:val="24"/>
        </w:rPr>
        <w:t>W 2019 r. świadczenia opieki długoterminowej w ramach NFZ realizowało:</w:t>
      </w:r>
    </w:p>
    <w:p w14:paraId="0C5FA477" w14:textId="77777777" w:rsidR="00B90E75" w:rsidRPr="009C5256" w:rsidRDefault="00B90E75" w:rsidP="008C71A9">
      <w:pPr>
        <w:numPr>
          <w:ilvl w:val="0"/>
          <w:numId w:val="297"/>
        </w:numPr>
        <w:tabs>
          <w:tab w:val="left" w:pos="6585"/>
        </w:tabs>
        <w:spacing w:after="0"/>
        <w:ind w:left="360"/>
        <w:jc w:val="both"/>
        <w:rPr>
          <w:rFonts w:ascii="Times New Roman" w:hAnsi="Times New Roman" w:cs="Times New Roman"/>
          <w:sz w:val="24"/>
          <w:szCs w:val="24"/>
        </w:rPr>
      </w:pPr>
      <w:r w:rsidRPr="009C5256">
        <w:rPr>
          <w:rFonts w:ascii="Times New Roman" w:hAnsi="Times New Roman" w:cs="Times New Roman"/>
          <w:sz w:val="24"/>
          <w:szCs w:val="24"/>
        </w:rPr>
        <w:t xml:space="preserve">4,2 tys. lekarzy, </w:t>
      </w:r>
    </w:p>
    <w:p w14:paraId="4C3529F8" w14:textId="77777777" w:rsidR="00B90E75" w:rsidRPr="009C5256" w:rsidRDefault="00B90E75" w:rsidP="008C71A9">
      <w:pPr>
        <w:numPr>
          <w:ilvl w:val="0"/>
          <w:numId w:val="297"/>
        </w:numPr>
        <w:tabs>
          <w:tab w:val="left" w:pos="6585"/>
        </w:tabs>
        <w:spacing w:after="0"/>
        <w:ind w:left="360"/>
        <w:jc w:val="both"/>
        <w:rPr>
          <w:rFonts w:ascii="Times New Roman" w:hAnsi="Times New Roman" w:cs="Times New Roman"/>
          <w:sz w:val="24"/>
          <w:szCs w:val="24"/>
        </w:rPr>
      </w:pPr>
      <w:r w:rsidRPr="009C5256">
        <w:rPr>
          <w:rFonts w:ascii="Times New Roman" w:hAnsi="Times New Roman" w:cs="Times New Roman"/>
          <w:sz w:val="24"/>
          <w:szCs w:val="24"/>
        </w:rPr>
        <w:t>24,3 tys. pielęgniarek oraz</w:t>
      </w:r>
    </w:p>
    <w:p w14:paraId="2E97E689" w14:textId="77777777" w:rsidR="00B90E75" w:rsidRPr="009C5256" w:rsidRDefault="00B90E75" w:rsidP="008C71A9">
      <w:pPr>
        <w:numPr>
          <w:ilvl w:val="0"/>
          <w:numId w:val="297"/>
        </w:numPr>
        <w:tabs>
          <w:tab w:val="left" w:pos="6585"/>
        </w:tabs>
        <w:spacing w:after="0"/>
        <w:ind w:left="360"/>
        <w:jc w:val="both"/>
        <w:rPr>
          <w:rFonts w:ascii="Times New Roman" w:hAnsi="Times New Roman" w:cs="Times New Roman"/>
          <w:sz w:val="24"/>
          <w:szCs w:val="24"/>
        </w:rPr>
      </w:pPr>
      <w:r w:rsidRPr="009C5256">
        <w:rPr>
          <w:rFonts w:ascii="Times New Roman" w:hAnsi="Times New Roman" w:cs="Times New Roman"/>
          <w:sz w:val="24"/>
          <w:szCs w:val="24"/>
        </w:rPr>
        <w:t xml:space="preserve">5 tys. fizjoterapeutów. </w:t>
      </w:r>
    </w:p>
    <w:p w14:paraId="1473EEA3" w14:textId="77777777" w:rsidR="00B90E75" w:rsidRDefault="00B90E75" w:rsidP="00B10AC8">
      <w:pPr>
        <w:tabs>
          <w:tab w:val="left" w:pos="6585"/>
        </w:tabs>
        <w:spacing w:after="0"/>
        <w:jc w:val="both"/>
        <w:rPr>
          <w:rFonts w:ascii="Times New Roman" w:hAnsi="Times New Roman" w:cs="Times New Roman"/>
          <w:sz w:val="24"/>
          <w:szCs w:val="24"/>
        </w:rPr>
      </w:pPr>
    </w:p>
    <w:p w14:paraId="3E96A706" w14:textId="77777777" w:rsidR="00B90E75" w:rsidRPr="009C5256" w:rsidRDefault="00B90E75" w:rsidP="00B10AC8">
      <w:pPr>
        <w:tabs>
          <w:tab w:val="left" w:pos="6585"/>
        </w:tabs>
        <w:spacing w:after="0"/>
        <w:jc w:val="both"/>
        <w:rPr>
          <w:rFonts w:ascii="Times New Roman" w:hAnsi="Times New Roman" w:cs="Times New Roman"/>
          <w:sz w:val="24"/>
          <w:szCs w:val="24"/>
        </w:rPr>
      </w:pPr>
      <w:r w:rsidRPr="009C5256">
        <w:rPr>
          <w:rFonts w:ascii="Times New Roman" w:hAnsi="Times New Roman" w:cs="Times New Roman"/>
          <w:sz w:val="24"/>
          <w:szCs w:val="24"/>
        </w:rPr>
        <w:t>Najliczniejsze grupy specjalistów stanowili lekarze specjaliści:</w:t>
      </w:r>
    </w:p>
    <w:p w14:paraId="349279C8" w14:textId="77777777" w:rsidR="00B90E75" w:rsidRPr="00B10AC8" w:rsidRDefault="00B90E75" w:rsidP="008C71A9">
      <w:pPr>
        <w:pStyle w:val="Akapitzlist"/>
        <w:numPr>
          <w:ilvl w:val="0"/>
          <w:numId w:val="298"/>
        </w:numPr>
        <w:tabs>
          <w:tab w:val="left" w:pos="6585"/>
        </w:tabs>
        <w:spacing w:after="0"/>
        <w:ind w:left="360"/>
        <w:jc w:val="both"/>
        <w:rPr>
          <w:rFonts w:ascii="Times New Roman" w:hAnsi="Times New Roman" w:cs="Times New Roman"/>
          <w:sz w:val="24"/>
          <w:szCs w:val="24"/>
        </w:rPr>
      </w:pPr>
      <w:r w:rsidRPr="00B10AC8">
        <w:rPr>
          <w:rFonts w:ascii="Times New Roman" w:hAnsi="Times New Roman" w:cs="Times New Roman"/>
          <w:sz w:val="24"/>
          <w:szCs w:val="24"/>
        </w:rPr>
        <w:t xml:space="preserve">chorób wewnętrznych (1,4 tys.), </w:t>
      </w:r>
    </w:p>
    <w:p w14:paraId="7256B702" w14:textId="77777777" w:rsidR="00B90E75" w:rsidRPr="00B10AC8" w:rsidRDefault="00B90E75" w:rsidP="008C71A9">
      <w:pPr>
        <w:pStyle w:val="Akapitzlist"/>
        <w:numPr>
          <w:ilvl w:val="0"/>
          <w:numId w:val="298"/>
        </w:numPr>
        <w:tabs>
          <w:tab w:val="left" w:pos="6585"/>
        </w:tabs>
        <w:spacing w:after="0"/>
        <w:ind w:left="360"/>
        <w:jc w:val="both"/>
        <w:rPr>
          <w:rFonts w:ascii="Times New Roman" w:hAnsi="Times New Roman" w:cs="Times New Roman"/>
          <w:sz w:val="24"/>
          <w:szCs w:val="24"/>
        </w:rPr>
      </w:pPr>
      <w:r w:rsidRPr="00B10AC8">
        <w:rPr>
          <w:rFonts w:ascii="Times New Roman" w:hAnsi="Times New Roman" w:cs="Times New Roman"/>
          <w:sz w:val="24"/>
          <w:szCs w:val="24"/>
        </w:rPr>
        <w:t xml:space="preserve">anestezjologii i intensywnej terapii (1 tys.), </w:t>
      </w:r>
    </w:p>
    <w:p w14:paraId="03B7C144" w14:textId="77777777" w:rsidR="00B90E75" w:rsidRPr="00B10AC8" w:rsidRDefault="00B90E75" w:rsidP="008C71A9">
      <w:pPr>
        <w:pStyle w:val="Akapitzlist"/>
        <w:numPr>
          <w:ilvl w:val="0"/>
          <w:numId w:val="298"/>
        </w:numPr>
        <w:tabs>
          <w:tab w:val="left" w:pos="6585"/>
        </w:tabs>
        <w:spacing w:after="0"/>
        <w:ind w:left="360"/>
        <w:jc w:val="both"/>
        <w:rPr>
          <w:rFonts w:ascii="Times New Roman" w:hAnsi="Times New Roman" w:cs="Times New Roman"/>
          <w:sz w:val="24"/>
          <w:szCs w:val="24"/>
        </w:rPr>
      </w:pPr>
      <w:r w:rsidRPr="00B10AC8">
        <w:rPr>
          <w:rFonts w:ascii="Times New Roman" w:hAnsi="Times New Roman" w:cs="Times New Roman"/>
          <w:sz w:val="24"/>
          <w:szCs w:val="24"/>
        </w:rPr>
        <w:t xml:space="preserve">neurologii (0,6 tys.), </w:t>
      </w:r>
    </w:p>
    <w:p w14:paraId="3B7DF2CB" w14:textId="77777777" w:rsidR="00B90E75" w:rsidRPr="00B10AC8" w:rsidRDefault="00B90E75" w:rsidP="008C71A9">
      <w:pPr>
        <w:pStyle w:val="Akapitzlist"/>
        <w:numPr>
          <w:ilvl w:val="0"/>
          <w:numId w:val="298"/>
        </w:numPr>
        <w:tabs>
          <w:tab w:val="left" w:pos="6585"/>
        </w:tabs>
        <w:spacing w:after="0"/>
        <w:ind w:left="360"/>
        <w:jc w:val="both"/>
        <w:rPr>
          <w:rFonts w:ascii="Times New Roman" w:hAnsi="Times New Roman" w:cs="Times New Roman"/>
          <w:sz w:val="24"/>
          <w:szCs w:val="24"/>
        </w:rPr>
      </w:pPr>
      <w:r w:rsidRPr="00B10AC8">
        <w:rPr>
          <w:rFonts w:ascii="Times New Roman" w:hAnsi="Times New Roman" w:cs="Times New Roman"/>
          <w:sz w:val="24"/>
          <w:szCs w:val="24"/>
        </w:rPr>
        <w:t xml:space="preserve">psychiatrii (0,4 tys.), </w:t>
      </w:r>
    </w:p>
    <w:p w14:paraId="69D82C36" w14:textId="77777777" w:rsidR="00B90E75" w:rsidRPr="00B10AC8" w:rsidRDefault="00B90E75" w:rsidP="008C71A9">
      <w:pPr>
        <w:pStyle w:val="Akapitzlist"/>
        <w:numPr>
          <w:ilvl w:val="0"/>
          <w:numId w:val="298"/>
        </w:numPr>
        <w:tabs>
          <w:tab w:val="left" w:pos="6585"/>
        </w:tabs>
        <w:spacing w:after="0"/>
        <w:ind w:left="360"/>
        <w:jc w:val="both"/>
        <w:rPr>
          <w:rFonts w:ascii="Times New Roman" w:hAnsi="Times New Roman" w:cs="Times New Roman"/>
          <w:sz w:val="24"/>
          <w:szCs w:val="24"/>
        </w:rPr>
      </w:pPr>
      <w:r w:rsidRPr="00B10AC8">
        <w:rPr>
          <w:rFonts w:ascii="Times New Roman" w:hAnsi="Times New Roman" w:cs="Times New Roman"/>
          <w:sz w:val="24"/>
          <w:szCs w:val="24"/>
        </w:rPr>
        <w:t xml:space="preserve">chorób płuc (0,3 tys.). </w:t>
      </w:r>
    </w:p>
    <w:p w14:paraId="252504FC" w14:textId="77777777" w:rsidR="00B90E75" w:rsidRDefault="00B90E75" w:rsidP="00B10AC8">
      <w:pPr>
        <w:spacing w:after="0"/>
        <w:jc w:val="both"/>
      </w:pPr>
    </w:p>
    <w:p w14:paraId="183D0A92" w14:textId="355FCBAD" w:rsidR="009149B2" w:rsidRPr="009149B2" w:rsidRDefault="009149B2" w:rsidP="009149B2">
      <w:pPr>
        <w:pStyle w:val="Legenda"/>
        <w:keepNext/>
        <w:rPr>
          <w:rFonts w:ascii="Times New Roman" w:hAnsi="Times New Roman" w:cs="Times New Roman"/>
          <w:b/>
          <w:i w:val="0"/>
          <w:sz w:val="24"/>
        </w:rPr>
      </w:pPr>
      <w:bookmarkStart w:id="35" w:name="_Toc49171399"/>
      <w:r w:rsidRPr="009149B2">
        <w:rPr>
          <w:rFonts w:ascii="Times New Roman" w:hAnsi="Times New Roman" w:cs="Times New Roman"/>
          <w:b/>
          <w:i w:val="0"/>
          <w:sz w:val="24"/>
        </w:rPr>
        <w:t xml:space="preserve">Tabela </w:t>
      </w:r>
      <w:r w:rsidRPr="009149B2">
        <w:rPr>
          <w:rFonts w:ascii="Times New Roman" w:hAnsi="Times New Roman" w:cs="Times New Roman"/>
          <w:b/>
          <w:i w:val="0"/>
          <w:sz w:val="24"/>
        </w:rPr>
        <w:fldChar w:fldCharType="begin"/>
      </w:r>
      <w:r w:rsidRPr="009149B2">
        <w:rPr>
          <w:rFonts w:ascii="Times New Roman" w:hAnsi="Times New Roman" w:cs="Times New Roman"/>
          <w:b/>
          <w:i w:val="0"/>
          <w:sz w:val="24"/>
        </w:rPr>
        <w:instrText xml:space="preserve"> SEQ Tabela \* ARABIC </w:instrText>
      </w:r>
      <w:r w:rsidRPr="009149B2">
        <w:rPr>
          <w:rFonts w:ascii="Times New Roman" w:hAnsi="Times New Roman" w:cs="Times New Roman"/>
          <w:b/>
          <w:i w:val="0"/>
          <w:sz w:val="24"/>
        </w:rPr>
        <w:fldChar w:fldCharType="separate"/>
      </w:r>
      <w:r w:rsidR="00C154C9">
        <w:rPr>
          <w:rFonts w:ascii="Times New Roman" w:hAnsi="Times New Roman" w:cs="Times New Roman"/>
          <w:b/>
          <w:i w:val="0"/>
          <w:noProof/>
          <w:sz w:val="24"/>
        </w:rPr>
        <w:t>24</w:t>
      </w:r>
      <w:r w:rsidRPr="009149B2">
        <w:rPr>
          <w:rFonts w:ascii="Times New Roman" w:hAnsi="Times New Roman" w:cs="Times New Roman"/>
          <w:b/>
          <w:i w:val="0"/>
          <w:sz w:val="24"/>
        </w:rPr>
        <w:fldChar w:fldCharType="end"/>
      </w:r>
      <w:r w:rsidRPr="009149B2">
        <w:rPr>
          <w:rFonts w:ascii="Times New Roman" w:hAnsi="Times New Roman" w:cs="Times New Roman"/>
          <w:b/>
          <w:i w:val="0"/>
          <w:sz w:val="24"/>
        </w:rPr>
        <w:t xml:space="preserve"> Samoocena zdrowia w 2019 r.</w:t>
      </w:r>
      <w:bookmarkEnd w:id="35"/>
    </w:p>
    <w:tbl>
      <w:tblPr>
        <w:tblW w:w="10060"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1640"/>
        <w:gridCol w:w="992"/>
        <w:gridCol w:w="1398"/>
        <w:gridCol w:w="1728"/>
        <w:gridCol w:w="2093"/>
        <w:gridCol w:w="992"/>
        <w:gridCol w:w="1276"/>
      </w:tblGrid>
      <w:tr w:rsidR="002D4849" w:rsidRPr="00342041" w14:paraId="46E786AF" w14:textId="77777777" w:rsidTr="00963AD6">
        <w:trPr>
          <w:trHeight w:val="390"/>
          <w:jc w:val="center"/>
        </w:trPr>
        <w:tc>
          <w:tcPr>
            <w:tcW w:w="1581" w:type="dxa"/>
            <w:vMerge w:val="restart"/>
            <w:shd w:val="clear" w:color="auto" w:fill="9CC2E5" w:themeFill="accent1" w:themeFillTint="99"/>
            <w:noWrap/>
            <w:vAlign w:val="center"/>
            <w:hideMark/>
          </w:tcPr>
          <w:p w14:paraId="78CB4067"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Wyszczególnienie</w:t>
            </w:r>
          </w:p>
        </w:tc>
        <w:tc>
          <w:tcPr>
            <w:tcW w:w="992" w:type="dxa"/>
            <w:vMerge w:val="restart"/>
            <w:shd w:val="clear" w:color="auto" w:fill="9CC2E5" w:themeFill="accent1" w:themeFillTint="99"/>
            <w:noWrap/>
            <w:vAlign w:val="center"/>
            <w:hideMark/>
          </w:tcPr>
          <w:p w14:paraId="2872A68E"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7487" w:type="dxa"/>
            <w:gridSpan w:val="5"/>
            <w:shd w:val="clear" w:color="auto" w:fill="9CC2E5" w:themeFill="accent1" w:themeFillTint="99"/>
            <w:noWrap/>
            <w:vAlign w:val="center"/>
            <w:hideMark/>
          </w:tcPr>
          <w:p w14:paraId="516C683B"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Jak ogólnie ocenia Pan/Pani swoje zdrowie?</w:t>
            </w:r>
          </w:p>
        </w:tc>
      </w:tr>
      <w:tr w:rsidR="002D4849" w:rsidRPr="00342041" w14:paraId="003BC743" w14:textId="77777777" w:rsidTr="00963AD6">
        <w:trPr>
          <w:trHeight w:val="300"/>
          <w:jc w:val="center"/>
        </w:trPr>
        <w:tc>
          <w:tcPr>
            <w:tcW w:w="1581" w:type="dxa"/>
            <w:vMerge/>
            <w:shd w:val="clear" w:color="auto" w:fill="9CC2E5" w:themeFill="accent1" w:themeFillTint="99"/>
            <w:vAlign w:val="center"/>
            <w:hideMark/>
          </w:tcPr>
          <w:p w14:paraId="3B26CCF4"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p>
        </w:tc>
        <w:tc>
          <w:tcPr>
            <w:tcW w:w="992" w:type="dxa"/>
            <w:vMerge/>
            <w:shd w:val="clear" w:color="auto" w:fill="9CC2E5" w:themeFill="accent1" w:themeFillTint="99"/>
            <w:vAlign w:val="center"/>
            <w:hideMark/>
          </w:tcPr>
          <w:p w14:paraId="5A917D43"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p>
        </w:tc>
        <w:tc>
          <w:tcPr>
            <w:tcW w:w="1398" w:type="dxa"/>
            <w:shd w:val="clear" w:color="auto" w:fill="9CC2E5" w:themeFill="accent1" w:themeFillTint="99"/>
            <w:noWrap/>
            <w:vAlign w:val="center"/>
            <w:hideMark/>
          </w:tcPr>
          <w:p w14:paraId="1A7F5E44"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Bardzo dobrze</w:t>
            </w:r>
          </w:p>
        </w:tc>
        <w:tc>
          <w:tcPr>
            <w:tcW w:w="1728" w:type="dxa"/>
            <w:shd w:val="clear" w:color="auto" w:fill="9CC2E5" w:themeFill="accent1" w:themeFillTint="99"/>
            <w:noWrap/>
            <w:vAlign w:val="center"/>
            <w:hideMark/>
          </w:tcPr>
          <w:p w14:paraId="235011E6"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Dobrze</w:t>
            </w:r>
          </w:p>
        </w:tc>
        <w:tc>
          <w:tcPr>
            <w:tcW w:w="2093" w:type="dxa"/>
            <w:shd w:val="clear" w:color="auto" w:fill="9CC2E5" w:themeFill="accent1" w:themeFillTint="99"/>
            <w:vAlign w:val="center"/>
            <w:hideMark/>
          </w:tcPr>
          <w:p w14:paraId="51CB6B10"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Tak sobie, ani dobrze ani źle</w:t>
            </w:r>
          </w:p>
        </w:tc>
        <w:tc>
          <w:tcPr>
            <w:tcW w:w="992" w:type="dxa"/>
            <w:shd w:val="clear" w:color="auto" w:fill="9CC2E5" w:themeFill="accent1" w:themeFillTint="99"/>
            <w:noWrap/>
            <w:vAlign w:val="center"/>
            <w:hideMark/>
          </w:tcPr>
          <w:p w14:paraId="03D71BBC"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Źle</w:t>
            </w:r>
          </w:p>
        </w:tc>
        <w:tc>
          <w:tcPr>
            <w:tcW w:w="1276" w:type="dxa"/>
            <w:shd w:val="clear" w:color="auto" w:fill="9CC2E5" w:themeFill="accent1" w:themeFillTint="99"/>
            <w:noWrap/>
            <w:vAlign w:val="center"/>
            <w:hideMark/>
          </w:tcPr>
          <w:p w14:paraId="6E4FA362"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Bardzo źle</w:t>
            </w:r>
          </w:p>
        </w:tc>
      </w:tr>
      <w:tr w:rsidR="002D4849" w:rsidRPr="00342041" w14:paraId="7780AA68" w14:textId="77777777" w:rsidTr="00963AD6">
        <w:trPr>
          <w:trHeight w:val="300"/>
          <w:jc w:val="center"/>
        </w:trPr>
        <w:tc>
          <w:tcPr>
            <w:tcW w:w="1581" w:type="dxa"/>
            <w:vMerge/>
            <w:shd w:val="clear" w:color="auto" w:fill="9CC2E5" w:themeFill="accent1" w:themeFillTint="99"/>
            <w:vAlign w:val="center"/>
            <w:hideMark/>
          </w:tcPr>
          <w:p w14:paraId="1058151B"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p>
        </w:tc>
        <w:tc>
          <w:tcPr>
            <w:tcW w:w="8479" w:type="dxa"/>
            <w:gridSpan w:val="6"/>
            <w:shd w:val="clear" w:color="auto" w:fill="9CC2E5" w:themeFill="accent1" w:themeFillTint="99"/>
            <w:vAlign w:val="center"/>
            <w:hideMark/>
          </w:tcPr>
          <w:p w14:paraId="1E2E7664"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 osób danej grupy</w:t>
            </w:r>
          </w:p>
        </w:tc>
      </w:tr>
      <w:tr w:rsidR="002D4849" w:rsidRPr="00342041" w14:paraId="56A8196B" w14:textId="77777777" w:rsidTr="00963AD6">
        <w:trPr>
          <w:trHeight w:val="398"/>
          <w:jc w:val="center"/>
        </w:trPr>
        <w:tc>
          <w:tcPr>
            <w:tcW w:w="10060" w:type="dxa"/>
            <w:gridSpan w:val="7"/>
            <w:shd w:val="clear" w:color="auto" w:fill="auto"/>
            <w:noWrap/>
            <w:vAlign w:val="center"/>
            <w:hideMark/>
          </w:tcPr>
          <w:p w14:paraId="1E164029"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 osoby w wieku 16 lat i więcej</w:t>
            </w:r>
          </w:p>
        </w:tc>
      </w:tr>
      <w:tr w:rsidR="002D4849" w:rsidRPr="00342041" w14:paraId="13270D74" w14:textId="77777777" w:rsidTr="00963AD6">
        <w:trPr>
          <w:trHeight w:val="300"/>
          <w:jc w:val="center"/>
        </w:trPr>
        <w:tc>
          <w:tcPr>
            <w:tcW w:w="1581" w:type="dxa"/>
            <w:shd w:val="clear" w:color="auto" w:fill="9CC2E5" w:themeFill="accent1" w:themeFillTint="99"/>
            <w:noWrap/>
            <w:vAlign w:val="center"/>
            <w:hideMark/>
          </w:tcPr>
          <w:p w14:paraId="09E40460" w14:textId="77777777" w:rsidR="002D4849" w:rsidRPr="00342041" w:rsidRDefault="002D4849" w:rsidP="00963AD6">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Ogółem </w:t>
            </w:r>
          </w:p>
        </w:tc>
        <w:tc>
          <w:tcPr>
            <w:tcW w:w="992" w:type="dxa"/>
            <w:shd w:val="clear" w:color="auto" w:fill="auto"/>
            <w:noWrap/>
            <w:vAlign w:val="center"/>
            <w:hideMark/>
          </w:tcPr>
          <w:p w14:paraId="0B889CF0"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w:t>
            </w:r>
          </w:p>
        </w:tc>
        <w:tc>
          <w:tcPr>
            <w:tcW w:w="1398" w:type="dxa"/>
            <w:shd w:val="clear" w:color="auto" w:fill="auto"/>
            <w:noWrap/>
            <w:vAlign w:val="center"/>
            <w:hideMark/>
          </w:tcPr>
          <w:p w14:paraId="12F9504C"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15,4</w:t>
            </w:r>
          </w:p>
        </w:tc>
        <w:tc>
          <w:tcPr>
            <w:tcW w:w="1728" w:type="dxa"/>
            <w:shd w:val="clear" w:color="auto" w:fill="auto"/>
            <w:noWrap/>
            <w:vAlign w:val="center"/>
            <w:hideMark/>
          </w:tcPr>
          <w:p w14:paraId="018A346D"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44,5</w:t>
            </w:r>
          </w:p>
        </w:tc>
        <w:tc>
          <w:tcPr>
            <w:tcW w:w="2093" w:type="dxa"/>
            <w:shd w:val="clear" w:color="auto" w:fill="auto"/>
            <w:noWrap/>
            <w:vAlign w:val="center"/>
            <w:hideMark/>
          </w:tcPr>
          <w:p w14:paraId="2E09F1A5"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27,4</w:t>
            </w:r>
          </w:p>
        </w:tc>
        <w:tc>
          <w:tcPr>
            <w:tcW w:w="992" w:type="dxa"/>
            <w:shd w:val="clear" w:color="auto" w:fill="auto"/>
            <w:noWrap/>
            <w:vAlign w:val="center"/>
            <w:hideMark/>
          </w:tcPr>
          <w:p w14:paraId="4E881BB0"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10,3</w:t>
            </w:r>
          </w:p>
        </w:tc>
        <w:tc>
          <w:tcPr>
            <w:tcW w:w="1276" w:type="dxa"/>
            <w:shd w:val="clear" w:color="auto" w:fill="auto"/>
            <w:noWrap/>
            <w:vAlign w:val="center"/>
            <w:hideMark/>
          </w:tcPr>
          <w:p w14:paraId="569AFE9F"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2,4</w:t>
            </w:r>
          </w:p>
        </w:tc>
      </w:tr>
      <w:tr w:rsidR="002D4849" w:rsidRPr="00342041" w14:paraId="7BE8B940" w14:textId="77777777" w:rsidTr="00963AD6">
        <w:trPr>
          <w:trHeight w:val="300"/>
          <w:jc w:val="center"/>
        </w:trPr>
        <w:tc>
          <w:tcPr>
            <w:tcW w:w="1581" w:type="dxa"/>
            <w:shd w:val="clear" w:color="auto" w:fill="9CC2E5" w:themeFill="accent1" w:themeFillTint="99"/>
            <w:noWrap/>
            <w:vAlign w:val="center"/>
            <w:hideMark/>
          </w:tcPr>
          <w:p w14:paraId="5C3BE000"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lastRenderedPageBreak/>
              <w:t>Mężczyźni</w:t>
            </w:r>
          </w:p>
        </w:tc>
        <w:tc>
          <w:tcPr>
            <w:tcW w:w="992" w:type="dxa"/>
            <w:shd w:val="clear" w:color="auto" w:fill="auto"/>
            <w:noWrap/>
            <w:vAlign w:val="center"/>
            <w:hideMark/>
          </w:tcPr>
          <w:p w14:paraId="000D3712"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8" w:type="dxa"/>
            <w:shd w:val="clear" w:color="auto" w:fill="auto"/>
            <w:noWrap/>
            <w:vAlign w:val="center"/>
            <w:hideMark/>
          </w:tcPr>
          <w:p w14:paraId="16066391"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17,0</w:t>
            </w:r>
          </w:p>
        </w:tc>
        <w:tc>
          <w:tcPr>
            <w:tcW w:w="1728" w:type="dxa"/>
            <w:shd w:val="clear" w:color="auto" w:fill="auto"/>
            <w:noWrap/>
            <w:vAlign w:val="center"/>
            <w:hideMark/>
          </w:tcPr>
          <w:p w14:paraId="0E2663BC"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46,0</w:t>
            </w:r>
          </w:p>
        </w:tc>
        <w:tc>
          <w:tcPr>
            <w:tcW w:w="2093" w:type="dxa"/>
            <w:shd w:val="clear" w:color="auto" w:fill="auto"/>
            <w:noWrap/>
            <w:vAlign w:val="center"/>
            <w:hideMark/>
          </w:tcPr>
          <w:p w14:paraId="71CCCAF3"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25,1</w:t>
            </w:r>
          </w:p>
        </w:tc>
        <w:tc>
          <w:tcPr>
            <w:tcW w:w="992" w:type="dxa"/>
            <w:shd w:val="clear" w:color="auto" w:fill="auto"/>
            <w:noWrap/>
            <w:vAlign w:val="center"/>
            <w:hideMark/>
          </w:tcPr>
          <w:p w14:paraId="5892C800"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9,5</w:t>
            </w:r>
          </w:p>
        </w:tc>
        <w:tc>
          <w:tcPr>
            <w:tcW w:w="1276" w:type="dxa"/>
            <w:shd w:val="clear" w:color="auto" w:fill="auto"/>
            <w:noWrap/>
            <w:vAlign w:val="center"/>
            <w:hideMark/>
          </w:tcPr>
          <w:p w14:paraId="120F9C38"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w:t>
            </w:r>
          </w:p>
        </w:tc>
      </w:tr>
      <w:tr w:rsidR="002D4849" w:rsidRPr="00342041" w14:paraId="52934A28" w14:textId="77777777" w:rsidTr="00963AD6">
        <w:trPr>
          <w:trHeight w:val="300"/>
          <w:jc w:val="center"/>
        </w:trPr>
        <w:tc>
          <w:tcPr>
            <w:tcW w:w="1581" w:type="dxa"/>
            <w:shd w:val="clear" w:color="auto" w:fill="9CC2E5" w:themeFill="accent1" w:themeFillTint="99"/>
            <w:noWrap/>
            <w:vAlign w:val="center"/>
            <w:hideMark/>
          </w:tcPr>
          <w:p w14:paraId="2A17D333"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992" w:type="dxa"/>
            <w:shd w:val="clear" w:color="auto" w:fill="auto"/>
            <w:noWrap/>
            <w:vAlign w:val="center"/>
            <w:hideMark/>
          </w:tcPr>
          <w:p w14:paraId="6F0E043F"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8" w:type="dxa"/>
            <w:shd w:val="clear" w:color="auto" w:fill="auto"/>
            <w:noWrap/>
            <w:vAlign w:val="center"/>
            <w:hideMark/>
          </w:tcPr>
          <w:p w14:paraId="07C5D1FC"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14,0</w:t>
            </w:r>
          </w:p>
        </w:tc>
        <w:tc>
          <w:tcPr>
            <w:tcW w:w="1728" w:type="dxa"/>
            <w:shd w:val="clear" w:color="auto" w:fill="auto"/>
            <w:noWrap/>
            <w:vAlign w:val="center"/>
            <w:hideMark/>
          </w:tcPr>
          <w:p w14:paraId="4B157601"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43,2</w:t>
            </w:r>
          </w:p>
        </w:tc>
        <w:tc>
          <w:tcPr>
            <w:tcW w:w="2093" w:type="dxa"/>
            <w:shd w:val="clear" w:color="auto" w:fill="auto"/>
            <w:noWrap/>
            <w:vAlign w:val="center"/>
            <w:hideMark/>
          </w:tcPr>
          <w:p w14:paraId="115CECD1"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29,2</w:t>
            </w:r>
          </w:p>
        </w:tc>
        <w:tc>
          <w:tcPr>
            <w:tcW w:w="992" w:type="dxa"/>
            <w:shd w:val="clear" w:color="auto" w:fill="auto"/>
            <w:noWrap/>
            <w:vAlign w:val="center"/>
            <w:hideMark/>
          </w:tcPr>
          <w:p w14:paraId="34F5C958"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11,0</w:t>
            </w:r>
          </w:p>
        </w:tc>
        <w:tc>
          <w:tcPr>
            <w:tcW w:w="1276" w:type="dxa"/>
            <w:shd w:val="clear" w:color="auto" w:fill="auto"/>
            <w:noWrap/>
            <w:vAlign w:val="center"/>
            <w:hideMark/>
          </w:tcPr>
          <w:p w14:paraId="543A1061"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w:t>
            </w:r>
          </w:p>
        </w:tc>
      </w:tr>
      <w:tr w:rsidR="002D4849" w:rsidRPr="00342041" w14:paraId="55D580A4" w14:textId="77777777" w:rsidTr="00963AD6">
        <w:trPr>
          <w:trHeight w:val="300"/>
          <w:jc w:val="center"/>
        </w:trPr>
        <w:tc>
          <w:tcPr>
            <w:tcW w:w="1581" w:type="dxa"/>
            <w:shd w:val="clear" w:color="auto" w:fill="9CC2E5" w:themeFill="accent1" w:themeFillTint="99"/>
            <w:noWrap/>
            <w:vAlign w:val="center"/>
            <w:hideMark/>
          </w:tcPr>
          <w:p w14:paraId="7790B01A"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992" w:type="dxa"/>
            <w:shd w:val="clear" w:color="auto" w:fill="auto"/>
            <w:noWrap/>
            <w:vAlign w:val="center"/>
            <w:hideMark/>
          </w:tcPr>
          <w:p w14:paraId="04C0D1E8"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8" w:type="dxa"/>
            <w:shd w:val="clear" w:color="auto" w:fill="auto"/>
            <w:noWrap/>
            <w:vAlign w:val="center"/>
            <w:hideMark/>
          </w:tcPr>
          <w:p w14:paraId="74415984"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16,1</w:t>
            </w:r>
          </w:p>
        </w:tc>
        <w:tc>
          <w:tcPr>
            <w:tcW w:w="1728" w:type="dxa"/>
            <w:shd w:val="clear" w:color="auto" w:fill="auto"/>
            <w:noWrap/>
            <w:vAlign w:val="center"/>
            <w:hideMark/>
          </w:tcPr>
          <w:p w14:paraId="0A140B8D"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44,6</w:t>
            </w:r>
          </w:p>
        </w:tc>
        <w:tc>
          <w:tcPr>
            <w:tcW w:w="2093" w:type="dxa"/>
            <w:shd w:val="clear" w:color="auto" w:fill="auto"/>
            <w:noWrap/>
            <w:vAlign w:val="center"/>
            <w:hideMark/>
          </w:tcPr>
          <w:p w14:paraId="3E0BD798"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26,9</w:t>
            </w:r>
          </w:p>
        </w:tc>
        <w:tc>
          <w:tcPr>
            <w:tcW w:w="992" w:type="dxa"/>
            <w:shd w:val="clear" w:color="auto" w:fill="auto"/>
            <w:noWrap/>
            <w:vAlign w:val="center"/>
            <w:hideMark/>
          </w:tcPr>
          <w:p w14:paraId="675AC4F9"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9,7</w:t>
            </w:r>
          </w:p>
        </w:tc>
        <w:tc>
          <w:tcPr>
            <w:tcW w:w="1276" w:type="dxa"/>
            <w:shd w:val="clear" w:color="auto" w:fill="auto"/>
            <w:noWrap/>
            <w:vAlign w:val="center"/>
            <w:hideMark/>
          </w:tcPr>
          <w:p w14:paraId="20436DBC"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2,6</w:t>
            </w:r>
          </w:p>
        </w:tc>
      </w:tr>
      <w:tr w:rsidR="002D4849" w:rsidRPr="00342041" w14:paraId="13882FF1" w14:textId="77777777" w:rsidTr="00963AD6">
        <w:trPr>
          <w:trHeight w:val="300"/>
          <w:jc w:val="center"/>
        </w:trPr>
        <w:tc>
          <w:tcPr>
            <w:tcW w:w="1581" w:type="dxa"/>
            <w:shd w:val="clear" w:color="auto" w:fill="9CC2E5" w:themeFill="accent1" w:themeFillTint="99"/>
            <w:noWrap/>
            <w:vAlign w:val="center"/>
            <w:hideMark/>
          </w:tcPr>
          <w:p w14:paraId="7AB4E805"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992" w:type="dxa"/>
            <w:shd w:val="clear" w:color="auto" w:fill="auto"/>
            <w:noWrap/>
            <w:vAlign w:val="center"/>
            <w:hideMark/>
          </w:tcPr>
          <w:p w14:paraId="0935FCDC"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8" w:type="dxa"/>
            <w:shd w:val="clear" w:color="auto" w:fill="auto"/>
            <w:noWrap/>
            <w:vAlign w:val="center"/>
            <w:hideMark/>
          </w:tcPr>
          <w:p w14:paraId="77322CE8"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14,2</w:t>
            </w:r>
          </w:p>
        </w:tc>
        <w:tc>
          <w:tcPr>
            <w:tcW w:w="1728" w:type="dxa"/>
            <w:shd w:val="clear" w:color="auto" w:fill="auto"/>
            <w:noWrap/>
            <w:vAlign w:val="center"/>
            <w:hideMark/>
          </w:tcPr>
          <w:p w14:paraId="5AF1A7D5"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44,3</w:t>
            </w:r>
          </w:p>
        </w:tc>
        <w:tc>
          <w:tcPr>
            <w:tcW w:w="2093" w:type="dxa"/>
            <w:shd w:val="clear" w:color="auto" w:fill="auto"/>
            <w:noWrap/>
            <w:vAlign w:val="center"/>
            <w:hideMark/>
          </w:tcPr>
          <w:p w14:paraId="03C0716C"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28,0</w:t>
            </w:r>
          </w:p>
        </w:tc>
        <w:tc>
          <w:tcPr>
            <w:tcW w:w="992" w:type="dxa"/>
            <w:shd w:val="clear" w:color="auto" w:fill="auto"/>
            <w:noWrap/>
            <w:vAlign w:val="center"/>
            <w:hideMark/>
          </w:tcPr>
          <w:p w14:paraId="08CBE3F3"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11,3</w:t>
            </w:r>
          </w:p>
        </w:tc>
        <w:tc>
          <w:tcPr>
            <w:tcW w:w="1276" w:type="dxa"/>
            <w:shd w:val="clear" w:color="auto" w:fill="auto"/>
            <w:noWrap/>
            <w:vAlign w:val="center"/>
            <w:hideMark/>
          </w:tcPr>
          <w:p w14:paraId="10F49F19"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2,1</w:t>
            </w:r>
          </w:p>
        </w:tc>
      </w:tr>
      <w:tr w:rsidR="002D4849" w:rsidRPr="00342041" w14:paraId="2D61275A" w14:textId="77777777" w:rsidTr="00963AD6">
        <w:trPr>
          <w:trHeight w:val="398"/>
          <w:jc w:val="center"/>
        </w:trPr>
        <w:tc>
          <w:tcPr>
            <w:tcW w:w="10060" w:type="dxa"/>
            <w:gridSpan w:val="7"/>
            <w:shd w:val="clear" w:color="auto" w:fill="auto"/>
            <w:noWrap/>
            <w:vAlign w:val="center"/>
            <w:hideMark/>
          </w:tcPr>
          <w:p w14:paraId="6AA3EA51"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w wieku 60 lat i więcej</w:t>
            </w:r>
          </w:p>
        </w:tc>
      </w:tr>
      <w:tr w:rsidR="002D4849" w:rsidRPr="00342041" w14:paraId="18A9EC68" w14:textId="77777777" w:rsidTr="00963AD6">
        <w:trPr>
          <w:trHeight w:val="300"/>
          <w:jc w:val="center"/>
        </w:trPr>
        <w:tc>
          <w:tcPr>
            <w:tcW w:w="1581" w:type="dxa"/>
            <w:shd w:val="clear" w:color="auto" w:fill="9CC2E5" w:themeFill="accent1" w:themeFillTint="99"/>
            <w:noWrap/>
            <w:vAlign w:val="center"/>
            <w:hideMark/>
          </w:tcPr>
          <w:p w14:paraId="032F8031" w14:textId="77777777" w:rsidR="002D4849" w:rsidRPr="00342041" w:rsidRDefault="002D4849" w:rsidP="00963AD6">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Ogółem </w:t>
            </w:r>
          </w:p>
        </w:tc>
        <w:tc>
          <w:tcPr>
            <w:tcW w:w="992" w:type="dxa"/>
            <w:shd w:val="clear" w:color="auto" w:fill="auto"/>
            <w:noWrap/>
            <w:vAlign w:val="center"/>
            <w:hideMark/>
          </w:tcPr>
          <w:p w14:paraId="505578C5"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w:t>
            </w:r>
          </w:p>
        </w:tc>
        <w:tc>
          <w:tcPr>
            <w:tcW w:w="1398" w:type="dxa"/>
            <w:shd w:val="clear" w:color="auto" w:fill="auto"/>
            <w:noWrap/>
            <w:vAlign w:val="center"/>
            <w:hideMark/>
          </w:tcPr>
          <w:p w14:paraId="7A06F468"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2,2</w:t>
            </w:r>
          </w:p>
        </w:tc>
        <w:tc>
          <w:tcPr>
            <w:tcW w:w="1728" w:type="dxa"/>
            <w:shd w:val="clear" w:color="auto" w:fill="auto"/>
            <w:noWrap/>
            <w:vAlign w:val="center"/>
            <w:hideMark/>
          </w:tcPr>
          <w:p w14:paraId="77DB3EA0"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25,7</w:t>
            </w:r>
          </w:p>
        </w:tc>
        <w:tc>
          <w:tcPr>
            <w:tcW w:w="2093" w:type="dxa"/>
            <w:shd w:val="clear" w:color="auto" w:fill="auto"/>
            <w:noWrap/>
            <w:vAlign w:val="center"/>
            <w:hideMark/>
          </w:tcPr>
          <w:p w14:paraId="30FE8247"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45,6</w:t>
            </w:r>
          </w:p>
        </w:tc>
        <w:tc>
          <w:tcPr>
            <w:tcW w:w="992" w:type="dxa"/>
            <w:shd w:val="clear" w:color="auto" w:fill="auto"/>
            <w:noWrap/>
            <w:vAlign w:val="center"/>
            <w:hideMark/>
          </w:tcPr>
          <w:p w14:paraId="2ED8A4E7"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21,1</w:t>
            </w:r>
          </w:p>
        </w:tc>
        <w:tc>
          <w:tcPr>
            <w:tcW w:w="1276" w:type="dxa"/>
            <w:shd w:val="clear" w:color="auto" w:fill="auto"/>
            <w:noWrap/>
            <w:vAlign w:val="center"/>
            <w:hideMark/>
          </w:tcPr>
          <w:p w14:paraId="483AF3DB"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5,4</w:t>
            </w:r>
          </w:p>
        </w:tc>
      </w:tr>
      <w:tr w:rsidR="002D4849" w:rsidRPr="00342041" w14:paraId="57E076BF" w14:textId="77777777" w:rsidTr="00963AD6">
        <w:trPr>
          <w:trHeight w:val="300"/>
          <w:jc w:val="center"/>
        </w:trPr>
        <w:tc>
          <w:tcPr>
            <w:tcW w:w="1581" w:type="dxa"/>
            <w:shd w:val="clear" w:color="auto" w:fill="9CC2E5" w:themeFill="accent1" w:themeFillTint="99"/>
            <w:noWrap/>
            <w:vAlign w:val="center"/>
            <w:hideMark/>
          </w:tcPr>
          <w:p w14:paraId="49DF0F13"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992" w:type="dxa"/>
            <w:shd w:val="clear" w:color="auto" w:fill="auto"/>
            <w:noWrap/>
            <w:vAlign w:val="center"/>
            <w:hideMark/>
          </w:tcPr>
          <w:p w14:paraId="0D5215B6"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8" w:type="dxa"/>
            <w:shd w:val="clear" w:color="auto" w:fill="auto"/>
            <w:noWrap/>
            <w:vAlign w:val="center"/>
            <w:hideMark/>
          </w:tcPr>
          <w:p w14:paraId="21179760"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2,3</w:t>
            </w:r>
          </w:p>
        </w:tc>
        <w:tc>
          <w:tcPr>
            <w:tcW w:w="1728" w:type="dxa"/>
            <w:shd w:val="clear" w:color="auto" w:fill="auto"/>
            <w:noWrap/>
            <w:vAlign w:val="center"/>
            <w:hideMark/>
          </w:tcPr>
          <w:p w14:paraId="2116F074"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28,2</w:t>
            </w:r>
          </w:p>
        </w:tc>
        <w:tc>
          <w:tcPr>
            <w:tcW w:w="2093" w:type="dxa"/>
            <w:shd w:val="clear" w:color="auto" w:fill="auto"/>
            <w:noWrap/>
            <w:vAlign w:val="center"/>
            <w:hideMark/>
          </w:tcPr>
          <w:p w14:paraId="08135CEC"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44,9</w:t>
            </w:r>
          </w:p>
        </w:tc>
        <w:tc>
          <w:tcPr>
            <w:tcW w:w="992" w:type="dxa"/>
            <w:shd w:val="clear" w:color="auto" w:fill="auto"/>
            <w:noWrap/>
            <w:vAlign w:val="center"/>
            <w:hideMark/>
          </w:tcPr>
          <w:p w14:paraId="69E087D9"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19,1</w:t>
            </w:r>
          </w:p>
        </w:tc>
        <w:tc>
          <w:tcPr>
            <w:tcW w:w="1276" w:type="dxa"/>
            <w:shd w:val="clear" w:color="auto" w:fill="auto"/>
            <w:noWrap/>
            <w:vAlign w:val="center"/>
            <w:hideMark/>
          </w:tcPr>
          <w:p w14:paraId="65C87FEC"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5,5</w:t>
            </w:r>
          </w:p>
        </w:tc>
      </w:tr>
      <w:tr w:rsidR="002D4849" w:rsidRPr="00342041" w14:paraId="111C46DD" w14:textId="77777777" w:rsidTr="00963AD6">
        <w:trPr>
          <w:trHeight w:val="300"/>
          <w:jc w:val="center"/>
        </w:trPr>
        <w:tc>
          <w:tcPr>
            <w:tcW w:w="1581" w:type="dxa"/>
            <w:shd w:val="clear" w:color="auto" w:fill="9CC2E5" w:themeFill="accent1" w:themeFillTint="99"/>
            <w:noWrap/>
            <w:vAlign w:val="center"/>
            <w:hideMark/>
          </w:tcPr>
          <w:p w14:paraId="59385A72"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992" w:type="dxa"/>
            <w:shd w:val="clear" w:color="auto" w:fill="auto"/>
            <w:noWrap/>
            <w:vAlign w:val="center"/>
            <w:hideMark/>
          </w:tcPr>
          <w:p w14:paraId="61F2B82E"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8" w:type="dxa"/>
            <w:shd w:val="clear" w:color="auto" w:fill="auto"/>
            <w:noWrap/>
            <w:vAlign w:val="center"/>
            <w:hideMark/>
          </w:tcPr>
          <w:p w14:paraId="3790A4B6"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2,1</w:t>
            </w:r>
          </w:p>
        </w:tc>
        <w:tc>
          <w:tcPr>
            <w:tcW w:w="1728" w:type="dxa"/>
            <w:shd w:val="clear" w:color="auto" w:fill="auto"/>
            <w:noWrap/>
            <w:vAlign w:val="center"/>
            <w:hideMark/>
          </w:tcPr>
          <w:p w14:paraId="430BB874"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24,0</w:t>
            </w:r>
          </w:p>
        </w:tc>
        <w:tc>
          <w:tcPr>
            <w:tcW w:w="2093" w:type="dxa"/>
            <w:shd w:val="clear" w:color="auto" w:fill="auto"/>
            <w:noWrap/>
            <w:vAlign w:val="center"/>
            <w:hideMark/>
          </w:tcPr>
          <w:p w14:paraId="33B007EB"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46,1</w:t>
            </w:r>
          </w:p>
        </w:tc>
        <w:tc>
          <w:tcPr>
            <w:tcW w:w="992" w:type="dxa"/>
            <w:shd w:val="clear" w:color="auto" w:fill="auto"/>
            <w:noWrap/>
            <w:vAlign w:val="center"/>
            <w:hideMark/>
          </w:tcPr>
          <w:p w14:paraId="032C8AAE"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22,4</w:t>
            </w:r>
          </w:p>
        </w:tc>
        <w:tc>
          <w:tcPr>
            <w:tcW w:w="1276" w:type="dxa"/>
            <w:shd w:val="clear" w:color="auto" w:fill="auto"/>
            <w:noWrap/>
            <w:vAlign w:val="center"/>
            <w:hideMark/>
          </w:tcPr>
          <w:p w14:paraId="5ED0F38D"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5,4</w:t>
            </w:r>
          </w:p>
        </w:tc>
      </w:tr>
      <w:tr w:rsidR="002D4849" w:rsidRPr="00342041" w14:paraId="0B23A305" w14:textId="77777777" w:rsidTr="00963AD6">
        <w:trPr>
          <w:trHeight w:val="300"/>
          <w:jc w:val="center"/>
        </w:trPr>
        <w:tc>
          <w:tcPr>
            <w:tcW w:w="1581" w:type="dxa"/>
            <w:shd w:val="clear" w:color="auto" w:fill="9CC2E5" w:themeFill="accent1" w:themeFillTint="99"/>
            <w:noWrap/>
            <w:vAlign w:val="center"/>
            <w:hideMark/>
          </w:tcPr>
          <w:p w14:paraId="04D74037"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992" w:type="dxa"/>
            <w:shd w:val="clear" w:color="auto" w:fill="auto"/>
            <w:noWrap/>
            <w:vAlign w:val="center"/>
            <w:hideMark/>
          </w:tcPr>
          <w:p w14:paraId="50C72CBC"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8" w:type="dxa"/>
            <w:shd w:val="clear" w:color="auto" w:fill="auto"/>
            <w:noWrap/>
            <w:vAlign w:val="center"/>
            <w:hideMark/>
          </w:tcPr>
          <w:p w14:paraId="040C0F54"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2,6</w:t>
            </w:r>
          </w:p>
        </w:tc>
        <w:tc>
          <w:tcPr>
            <w:tcW w:w="1728" w:type="dxa"/>
            <w:shd w:val="clear" w:color="auto" w:fill="auto"/>
            <w:noWrap/>
            <w:vAlign w:val="center"/>
            <w:hideMark/>
          </w:tcPr>
          <w:p w14:paraId="5DB4B3A0"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27,4</w:t>
            </w:r>
          </w:p>
        </w:tc>
        <w:tc>
          <w:tcPr>
            <w:tcW w:w="2093" w:type="dxa"/>
            <w:shd w:val="clear" w:color="auto" w:fill="auto"/>
            <w:noWrap/>
            <w:vAlign w:val="center"/>
            <w:hideMark/>
          </w:tcPr>
          <w:p w14:paraId="785BDE1C"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44,4</w:t>
            </w:r>
          </w:p>
        </w:tc>
        <w:tc>
          <w:tcPr>
            <w:tcW w:w="992" w:type="dxa"/>
            <w:shd w:val="clear" w:color="auto" w:fill="auto"/>
            <w:noWrap/>
            <w:vAlign w:val="center"/>
            <w:hideMark/>
          </w:tcPr>
          <w:p w14:paraId="7764C1F8"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19,7</w:t>
            </w:r>
          </w:p>
        </w:tc>
        <w:tc>
          <w:tcPr>
            <w:tcW w:w="1276" w:type="dxa"/>
            <w:shd w:val="clear" w:color="auto" w:fill="auto"/>
            <w:noWrap/>
            <w:vAlign w:val="center"/>
            <w:hideMark/>
          </w:tcPr>
          <w:p w14:paraId="6F723336"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5,8</w:t>
            </w:r>
          </w:p>
        </w:tc>
      </w:tr>
      <w:tr w:rsidR="002D4849" w:rsidRPr="00342041" w14:paraId="40E9B7CD" w14:textId="77777777" w:rsidTr="00963AD6">
        <w:trPr>
          <w:trHeight w:val="300"/>
          <w:jc w:val="center"/>
        </w:trPr>
        <w:tc>
          <w:tcPr>
            <w:tcW w:w="1581" w:type="dxa"/>
            <w:shd w:val="clear" w:color="auto" w:fill="9CC2E5" w:themeFill="accent1" w:themeFillTint="99"/>
            <w:noWrap/>
            <w:vAlign w:val="center"/>
            <w:hideMark/>
          </w:tcPr>
          <w:p w14:paraId="7131A8CA"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992" w:type="dxa"/>
            <w:shd w:val="clear" w:color="auto" w:fill="auto"/>
            <w:noWrap/>
            <w:vAlign w:val="center"/>
            <w:hideMark/>
          </w:tcPr>
          <w:p w14:paraId="19255382"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8" w:type="dxa"/>
            <w:shd w:val="clear" w:color="auto" w:fill="auto"/>
            <w:noWrap/>
            <w:vAlign w:val="center"/>
            <w:hideMark/>
          </w:tcPr>
          <w:p w14:paraId="48015B19"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w:t>
            </w:r>
          </w:p>
        </w:tc>
        <w:tc>
          <w:tcPr>
            <w:tcW w:w="1728" w:type="dxa"/>
            <w:shd w:val="clear" w:color="auto" w:fill="auto"/>
            <w:noWrap/>
            <w:vAlign w:val="center"/>
            <w:hideMark/>
          </w:tcPr>
          <w:p w14:paraId="7710A2BF"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22,9</w:t>
            </w:r>
          </w:p>
        </w:tc>
        <w:tc>
          <w:tcPr>
            <w:tcW w:w="2093" w:type="dxa"/>
            <w:shd w:val="clear" w:color="auto" w:fill="auto"/>
            <w:noWrap/>
            <w:vAlign w:val="center"/>
            <w:hideMark/>
          </w:tcPr>
          <w:p w14:paraId="54408354"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47,6</w:t>
            </w:r>
          </w:p>
        </w:tc>
        <w:tc>
          <w:tcPr>
            <w:tcW w:w="992" w:type="dxa"/>
            <w:shd w:val="clear" w:color="auto" w:fill="auto"/>
            <w:noWrap/>
            <w:vAlign w:val="center"/>
            <w:hideMark/>
          </w:tcPr>
          <w:p w14:paraId="49FB16CA"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23,4</w:t>
            </w:r>
          </w:p>
        </w:tc>
        <w:tc>
          <w:tcPr>
            <w:tcW w:w="1276" w:type="dxa"/>
            <w:shd w:val="clear" w:color="auto" w:fill="auto"/>
            <w:noWrap/>
            <w:vAlign w:val="center"/>
            <w:hideMark/>
          </w:tcPr>
          <w:p w14:paraId="40A62517"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4,8</w:t>
            </w:r>
          </w:p>
        </w:tc>
      </w:tr>
    </w:tbl>
    <w:p w14:paraId="613D0225" w14:textId="77777777" w:rsidR="002D4849" w:rsidRDefault="002D4849" w:rsidP="003C1988">
      <w:pPr>
        <w:rPr>
          <w:rFonts w:ascii="Times New Roman" w:hAnsi="Times New Roman" w:cs="Times New Roman"/>
          <w:b/>
        </w:rPr>
      </w:pPr>
      <w:r w:rsidRPr="009149B2">
        <w:rPr>
          <w:rFonts w:ascii="Times New Roman" w:hAnsi="Times New Roman" w:cs="Times New Roman"/>
          <w:b/>
        </w:rPr>
        <w:t>Źródło: Badanie EU-SILC 2019 r</w:t>
      </w:r>
      <w:r w:rsidR="00A064B4">
        <w:rPr>
          <w:rFonts w:ascii="Times New Roman" w:hAnsi="Times New Roman" w:cs="Times New Roman"/>
          <w:b/>
        </w:rPr>
        <w:t xml:space="preserve">. </w:t>
      </w:r>
      <w:r w:rsidRPr="009149B2">
        <w:rPr>
          <w:rFonts w:ascii="Times New Roman" w:hAnsi="Times New Roman" w:cs="Times New Roman"/>
          <w:b/>
        </w:rPr>
        <w:t>GUS</w:t>
      </w:r>
    </w:p>
    <w:p w14:paraId="7C883B00" w14:textId="77777777" w:rsidR="002C6845" w:rsidRPr="002C6845" w:rsidRDefault="002C6845" w:rsidP="002C6845">
      <w:pPr>
        <w:spacing w:after="0"/>
        <w:jc w:val="both"/>
        <w:rPr>
          <w:rFonts w:ascii="Times New Roman" w:hAnsi="Times New Roman" w:cs="Times New Roman"/>
          <w:sz w:val="24"/>
          <w:szCs w:val="24"/>
        </w:rPr>
      </w:pPr>
      <w:r w:rsidRPr="002C6845">
        <w:rPr>
          <w:rFonts w:ascii="Times New Roman" w:hAnsi="Times New Roman" w:cs="Times New Roman"/>
          <w:sz w:val="24"/>
          <w:szCs w:val="24"/>
        </w:rPr>
        <w:t>Na podstawie wyników Europejskiego Badania Warunków Życia Ludności (EU-SILC) można stwierdzić, że 27,9% osób starszych w wieku 60 lat i więcej mieszkających w Polsce oceniło w 2019 r. swoje zdrowie jako „dobre” lub „bardzo dobre”</w:t>
      </w:r>
      <w:r w:rsidRPr="002C6845">
        <w:rPr>
          <w:rFonts w:ascii="Times New Roman" w:hAnsi="Times New Roman" w:cs="Times New Roman"/>
          <w:i/>
          <w:sz w:val="24"/>
          <w:szCs w:val="24"/>
        </w:rPr>
        <w:t>.</w:t>
      </w:r>
      <w:r w:rsidRPr="002C6845">
        <w:rPr>
          <w:rFonts w:ascii="Times New Roman" w:hAnsi="Times New Roman" w:cs="Times New Roman"/>
          <w:sz w:val="24"/>
          <w:szCs w:val="24"/>
        </w:rPr>
        <w:t xml:space="preserve"> W porównaniu do roku poprzedniego oznacza to wzrost tego wskaźnika o 2,2 p. proc. Częściej jako „dobre” lub „bardzo dobre” określali swoje zdrowie mężczyźni (30,5%) niż kobiety</w:t>
      </w:r>
      <w:r w:rsidRPr="002C6845">
        <w:rPr>
          <w:rFonts w:ascii="Times New Roman" w:hAnsi="Times New Roman" w:cs="Times New Roman"/>
          <w:color w:val="FF0000"/>
          <w:sz w:val="24"/>
          <w:szCs w:val="24"/>
        </w:rPr>
        <w:t xml:space="preserve"> </w:t>
      </w:r>
      <w:r w:rsidRPr="002C6845">
        <w:rPr>
          <w:rFonts w:ascii="Times New Roman" w:hAnsi="Times New Roman" w:cs="Times New Roman"/>
          <w:sz w:val="24"/>
          <w:szCs w:val="24"/>
        </w:rPr>
        <w:t xml:space="preserve">(26,1%). Z kolei 26,5% osób starszych (o 0,5 p. proc mniej niż rok wcześniej) uznało, że ich zdrowie jest „złe” lub „bardzo złe”. Częściej stwierdzały tak kobiety niż mężczyźni (27,9% wobec 24,6%).  </w:t>
      </w:r>
    </w:p>
    <w:p w14:paraId="114C6EFB" w14:textId="77777777" w:rsidR="002C6845" w:rsidRDefault="002C6845" w:rsidP="002C6845">
      <w:pPr>
        <w:spacing w:after="0"/>
        <w:jc w:val="both"/>
        <w:rPr>
          <w:rFonts w:ascii="Times New Roman" w:hAnsi="Times New Roman" w:cs="Times New Roman"/>
          <w:sz w:val="24"/>
          <w:szCs w:val="24"/>
        </w:rPr>
      </w:pPr>
    </w:p>
    <w:p w14:paraId="3C4A4FF3" w14:textId="77777777" w:rsidR="002C6845" w:rsidRPr="002C6845" w:rsidRDefault="002C6845" w:rsidP="002C6845">
      <w:pPr>
        <w:spacing w:after="0"/>
        <w:jc w:val="both"/>
        <w:rPr>
          <w:rFonts w:ascii="Times New Roman" w:hAnsi="Times New Roman" w:cs="Times New Roman"/>
          <w:color w:val="FF0000"/>
          <w:sz w:val="24"/>
          <w:szCs w:val="24"/>
        </w:rPr>
      </w:pPr>
      <w:r w:rsidRPr="002C6845">
        <w:rPr>
          <w:rFonts w:ascii="Times New Roman" w:hAnsi="Times New Roman" w:cs="Times New Roman"/>
          <w:sz w:val="24"/>
          <w:szCs w:val="24"/>
        </w:rPr>
        <w:t xml:space="preserve">Zgodnie z samooceną, „dobrym” lub „bardzo dobrym” zdrowiem częściej cieszyły się osoby starsze mieszkające w miastach (30,1%) niż na wsi (24,3%), a na „zły” lub „bardzo zły” stan zdrowia wskazało więcej mieszkańców wsi (28,2%) niż mieszkańców miast (25,5%).  </w:t>
      </w:r>
    </w:p>
    <w:p w14:paraId="09EA0309" w14:textId="77777777" w:rsidR="002C6845" w:rsidRDefault="002C6845" w:rsidP="002C6845">
      <w:pPr>
        <w:spacing w:after="0"/>
        <w:jc w:val="both"/>
        <w:rPr>
          <w:rFonts w:ascii="Times New Roman" w:hAnsi="Times New Roman" w:cs="Times New Roman"/>
          <w:sz w:val="24"/>
          <w:szCs w:val="24"/>
        </w:rPr>
      </w:pPr>
    </w:p>
    <w:p w14:paraId="71831701" w14:textId="77777777" w:rsidR="002C6845" w:rsidRPr="002C6845" w:rsidRDefault="002C6845" w:rsidP="002C6845">
      <w:pPr>
        <w:spacing w:after="0"/>
        <w:jc w:val="both"/>
        <w:rPr>
          <w:rFonts w:ascii="Times New Roman" w:hAnsi="Times New Roman" w:cs="Times New Roman"/>
          <w:sz w:val="24"/>
          <w:szCs w:val="24"/>
        </w:rPr>
      </w:pPr>
      <w:r w:rsidRPr="002C6845">
        <w:rPr>
          <w:rFonts w:ascii="Times New Roman" w:hAnsi="Times New Roman" w:cs="Times New Roman"/>
          <w:sz w:val="24"/>
          <w:szCs w:val="24"/>
        </w:rPr>
        <w:t>Jednocześnie prawie połowa wszystkich osób w wieku 60 lat i więcej nie określiła swojego zdrowia w sposób jednoznaczny, 45,6%  z nich stwierdziło, że ogólnie ocenia swoje zdrowie jako „takie sobie, ani dobre ani złe”.</w:t>
      </w:r>
    </w:p>
    <w:p w14:paraId="4D167E0B" w14:textId="77777777" w:rsidR="002C6845" w:rsidRPr="009149B2" w:rsidRDefault="002C6845" w:rsidP="00392F7C">
      <w:pPr>
        <w:spacing w:after="0"/>
        <w:rPr>
          <w:rFonts w:ascii="Times New Roman" w:hAnsi="Times New Roman" w:cs="Times New Roman"/>
          <w:b/>
        </w:rPr>
      </w:pPr>
    </w:p>
    <w:p w14:paraId="72EE4F6C" w14:textId="4BE0EAA3" w:rsidR="009149B2" w:rsidRPr="009149B2" w:rsidRDefault="009149B2" w:rsidP="009149B2">
      <w:pPr>
        <w:pStyle w:val="Legenda"/>
        <w:keepNext/>
        <w:rPr>
          <w:rFonts w:ascii="Times New Roman" w:hAnsi="Times New Roman" w:cs="Times New Roman"/>
          <w:b/>
          <w:i w:val="0"/>
          <w:sz w:val="24"/>
        </w:rPr>
      </w:pPr>
      <w:bookmarkStart w:id="36" w:name="_Toc49171400"/>
      <w:r w:rsidRPr="009149B2">
        <w:rPr>
          <w:rFonts w:ascii="Times New Roman" w:hAnsi="Times New Roman" w:cs="Times New Roman"/>
          <w:b/>
          <w:i w:val="0"/>
          <w:sz w:val="24"/>
        </w:rPr>
        <w:t xml:space="preserve">Tabela </w:t>
      </w:r>
      <w:r w:rsidRPr="009149B2">
        <w:rPr>
          <w:rFonts w:ascii="Times New Roman" w:hAnsi="Times New Roman" w:cs="Times New Roman"/>
          <w:b/>
          <w:i w:val="0"/>
          <w:sz w:val="24"/>
        </w:rPr>
        <w:fldChar w:fldCharType="begin"/>
      </w:r>
      <w:r w:rsidRPr="009149B2">
        <w:rPr>
          <w:rFonts w:ascii="Times New Roman" w:hAnsi="Times New Roman" w:cs="Times New Roman"/>
          <w:b/>
          <w:i w:val="0"/>
          <w:sz w:val="24"/>
        </w:rPr>
        <w:instrText xml:space="preserve"> SEQ Tabela \* ARABIC </w:instrText>
      </w:r>
      <w:r w:rsidRPr="009149B2">
        <w:rPr>
          <w:rFonts w:ascii="Times New Roman" w:hAnsi="Times New Roman" w:cs="Times New Roman"/>
          <w:b/>
          <w:i w:val="0"/>
          <w:sz w:val="24"/>
        </w:rPr>
        <w:fldChar w:fldCharType="separate"/>
      </w:r>
      <w:r w:rsidR="00C154C9">
        <w:rPr>
          <w:rFonts w:ascii="Times New Roman" w:hAnsi="Times New Roman" w:cs="Times New Roman"/>
          <w:b/>
          <w:i w:val="0"/>
          <w:noProof/>
          <w:sz w:val="24"/>
        </w:rPr>
        <w:t>25</w:t>
      </w:r>
      <w:r w:rsidRPr="009149B2">
        <w:rPr>
          <w:rFonts w:ascii="Times New Roman" w:hAnsi="Times New Roman" w:cs="Times New Roman"/>
          <w:b/>
          <w:i w:val="0"/>
          <w:sz w:val="24"/>
        </w:rPr>
        <w:fldChar w:fldCharType="end"/>
      </w:r>
      <w:r w:rsidRPr="009149B2">
        <w:rPr>
          <w:rFonts w:ascii="Times New Roman" w:hAnsi="Times New Roman" w:cs="Times New Roman"/>
          <w:b/>
          <w:i w:val="0"/>
          <w:sz w:val="24"/>
        </w:rPr>
        <w:t xml:space="preserve"> Długotrwałe problemy zdrowotne lub choroby przewlekłe w 2019 r.</w:t>
      </w:r>
      <w:bookmarkEnd w:id="36"/>
    </w:p>
    <w:tbl>
      <w:tblPr>
        <w:tblW w:w="9346"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488"/>
        <w:gridCol w:w="900"/>
        <w:gridCol w:w="2715"/>
        <w:gridCol w:w="3243"/>
      </w:tblGrid>
      <w:tr w:rsidR="002D4849" w:rsidRPr="00342041" w14:paraId="35ACEF6C" w14:textId="77777777" w:rsidTr="00392F7C">
        <w:trPr>
          <w:trHeight w:val="1170"/>
        </w:trPr>
        <w:tc>
          <w:tcPr>
            <w:tcW w:w="2488" w:type="dxa"/>
            <w:vMerge w:val="restart"/>
            <w:shd w:val="clear" w:color="auto" w:fill="9CC2E5" w:themeFill="accent1" w:themeFillTint="99"/>
            <w:noWrap/>
            <w:vAlign w:val="center"/>
            <w:hideMark/>
          </w:tcPr>
          <w:p w14:paraId="3B69E3DC"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Wyszczególnienie</w:t>
            </w:r>
          </w:p>
        </w:tc>
        <w:tc>
          <w:tcPr>
            <w:tcW w:w="900" w:type="dxa"/>
            <w:vMerge w:val="restart"/>
            <w:shd w:val="clear" w:color="auto" w:fill="9CC2E5" w:themeFill="accent1" w:themeFillTint="99"/>
            <w:noWrap/>
            <w:vAlign w:val="center"/>
            <w:hideMark/>
          </w:tcPr>
          <w:p w14:paraId="6857520D"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5958" w:type="dxa"/>
            <w:gridSpan w:val="2"/>
            <w:shd w:val="clear" w:color="auto" w:fill="9CC2E5" w:themeFill="accent1" w:themeFillTint="99"/>
            <w:vAlign w:val="center"/>
            <w:hideMark/>
          </w:tcPr>
          <w:p w14:paraId="78F3A279"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 xml:space="preserve">Czy ma Pan/Pani jakieś długotrwałe problemy zdrowotne lub choroby przewlekłe, trwające </w:t>
            </w:r>
            <w:r w:rsidRPr="00342041">
              <w:rPr>
                <w:rFonts w:ascii="Times New Roman" w:eastAsia="Times New Roman" w:hAnsi="Times New Roman" w:cs="Times New Roman"/>
                <w:b/>
                <w:sz w:val="20"/>
                <w:szCs w:val="20"/>
                <w:lang w:eastAsia="pl-PL"/>
              </w:rPr>
              <w:br/>
              <w:t xml:space="preserve">(lub przewidywane że będą trwały) </w:t>
            </w:r>
            <w:r w:rsidRPr="00342041">
              <w:rPr>
                <w:rFonts w:ascii="Times New Roman" w:eastAsia="Times New Roman" w:hAnsi="Times New Roman" w:cs="Times New Roman"/>
                <w:b/>
                <w:sz w:val="20"/>
                <w:szCs w:val="20"/>
                <w:lang w:eastAsia="pl-PL"/>
              </w:rPr>
              <w:br/>
              <w:t>przez 6 miesięcy lub dłużej?</w:t>
            </w:r>
          </w:p>
        </w:tc>
      </w:tr>
      <w:tr w:rsidR="002D4849" w:rsidRPr="00342041" w14:paraId="5745EC3C" w14:textId="77777777" w:rsidTr="00392F7C">
        <w:trPr>
          <w:trHeight w:val="300"/>
        </w:trPr>
        <w:tc>
          <w:tcPr>
            <w:tcW w:w="2488" w:type="dxa"/>
            <w:vMerge/>
            <w:shd w:val="clear" w:color="auto" w:fill="9CC2E5" w:themeFill="accent1" w:themeFillTint="99"/>
            <w:vAlign w:val="center"/>
            <w:hideMark/>
          </w:tcPr>
          <w:p w14:paraId="4669D8A0"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p>
        </w:tc>
        <w:tc>
          <w:tcPr>
            <w:tcW w:w="900" w:type="dxa"/>
            <w:vMerge/>
            <w:shd w:val="clear" w:color="auto" w:fill="9CC2E5" w:themeFill="accent1" w:themeFillTint="99"/>
            <w:vAlign w:val="center"/>
            <w:hideMark/>
          </w:tcPr>
          <w:p w14:paraId="65A85C85"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p>
        </w:tc>
        <w:tc>
          <w:tcPr>
            <w:tcW w:w="2715" w:type="dxa"/>
            <w:shd w:val="clear" w:color="auto" w:fill="9CC2E5" w:themeFill="accent1" w:themeFillTint="99"/>
            <w:noWrap/>
            <w:vAlign w:val="center"/>
            <w:hideMark/>
          </w:tcPr>
          <w:p w14:paraId="06F257D3"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Tak</w:t>
            </w:r>
          </w:p>
        </w:tc>
        <w:tc>
          <w:tcPr>
            <w:tcW w:w="3243" w:type="dxa"/>
            <w:shd w:val="clear" w:color="auto" w:fill="9CC2E5" w:themeFill="accent1" w:themeFillTint="99"/>
            <w:noWrap/>
            <w:vAlign w:val="center"/>
            <w:hideMark/>
          </w:tcPr>
          <w:p w14:paraId="1A1FF6A6"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Nie</w:t>
            </w:r>
          </w:p>
        </w:tc>
      </w:tr>
      <w:tr w:rsidR="002D4849" w:rsidRPr="00342041" w14:paraId="63380580" w14:textId="77777777" w:rsidTr="00392F7C">
        <w:trPr>
          <w:trHeight w:val="300"/>
        </w:trPr>
        <w:tc>
          <w:tcPr>
            <w:tcW w:w="2488" w:type="dxa"/>
            <w:vMerge/>
            <w:shd w:val="clear" w:color="auto" w:fill="9CC2E5" w:themeFill="accent1" w:themeFillTint="99"/>
            <w:vAlign w:val="center"/>
            <w:hideMark/>
          </w:tcPr>
          <w:p w14:paraId="3084A0E6"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p>
        </w:tc>
        <w:tc>
          <w:tcPr>
            <w:tcW w:w="6858" w:type="dxa"/>
            <w:gridSpan w:val="3"/>
            <w:shd w:val="clear" w:color="auto" w:fill="9CC2E5" w:themeFill="accent1" w:themeFillTint="99"/>
            <w:vAlign w:val="center"/>
            <w:hideMark/>
          </w:tcPr>
          <w:p w14:paraId="6B1D6EFE"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 osób danej grupy</w:t>
            </w:r>
          </w:p>
        </w:tc>
      </w:tr>
      <w:tr w:rsidR="002D4849" w:rsidRPr="00342041" w14:paraId="371213D4" w14:textId="77777777" w:rsidTr="00392F7C">
        <w:trPr>
          <w:trHeight w:val="398"/>
        </w:trPr>
        <w:tc>
          <w:tcPr>
            <w:tcW w:w="9346" w:type="dxa"/>
            <w:gridSpan w:val="4"/>
            <w:shd w:val="clear" w:color="auto" w:fill="auto"/>
            <w:noWrap/>
            <w:vAlign w:val="center"/>
            <w:hideMark/>
          </w:tcPr>
          <w:p w14:paraId="7737E9D2"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 osoby w wieku 16 lat i więcej</w:t>
            </w:r>
          </w:p>
        </w:tc>
      </w:tr>
      <w:tr w:rsidR="002D4849" w:rsidRPr="00342041" w14:paraId="4227C276" w14:textId="77777777" w:rsidTr="00392F7C">
        <w:trPr>
          <w:trHeight w:val="300"/>
        </w:trPr>
        <w:tc>
          <w:tcPr>
            <w:tcW w:w="2488" w:type="dxa"/>
            <w:shd w:val="clear" w:color="auto" w:fill="9CC2E5" w:themeFill="accent1" w:themeFillTint="99"/>
            <w:vAlign w:val="bottom"/>
            <w:hideMark/>
          </w:tcPr>
          <w:p w14:paraId="4B8F6D47" w14:textId="77777777" w:rsidR="002D4849" w:rsidRPr="00342041" w:rsidRDefault="002D4849" w:rsidP="00963AD6">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Ogółem </w:t>
            </w:r>
          </w:p>
        </w:tc>
        <w:tc>
          <w:tcPr>
            <w:tcW w:w="900" w:type="dxa"/>
            <w:shd w:val="clear" w:color="auto" w:fill="auto"/>
            <w:noWrap/>
            <w:vAlign w:val="center"/>
            <w:hideMark/>
          </w:tcPr>
          <w:p w14:paraId="58601EA6"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w:t>
            </w:r>
          </w:p>
        </w:tc>
        <w:tc>
          <w:tcPr>
            <w:tcW w:w="2715" w:type="dxa"/>
            <w:shd w:val="clear" w:color="auto" w:fill="auto"/>
            <w:noWrap/>
            <w:vAlign w:val="center"/>
            <w:hideMark/>
          </w:tcPr>
          <w:p w14:paraId="7A84A8AF"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39,2</w:t>
            </w:r>
          </w:p>
        </w:tc>
        <w:tc>
          <w:tcPr>
            <w:tcW w:w="3243" w:type="dxa"/>
            <w:shd w:val="clear" w:color="auto" w:fill="auto"/>
            <w:noWrap/>
            <w:vAlign w:val="center"/>
            <w:hideMark/>
          </w:tcPr>
          <w:p w14:paraId="4E482E5F"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60,8</w:t>
            </w:r>
          </w:p>
        </w:tc>
      </w:tr>
      <w:tr w:rsidR="002D4849" w:rsidRPr="00342041" w14:paraId="40B7BCAD" w14:textId="77777777" w:rsidTr="00392F7C">
        <w:trPr>
          <w:trHeight w:val="300"/>
        </w:trPr>
        <w:tc>
          <w:tcPr>
            <w:tcW w:w="2488" w:type="dxa"/>
            <w:shd w:val="clear" w:color="auto" w:fill="9CC2E5" w:themeFill="accent1" w:themeFillTint="99"/>
            <w:noWrap/>
            <w:vAlign w:val="bottom"/>
            <w:hideMark/>
          </w:tcPr>
          <w:p w14:paraId="0A5BFB71"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900" w:type="dxa"/>
            <w:shd w:val="clear" w:color="auto" w:fill="auto"/>
            <w:noWrap/>
            <w:vAlign w:val="bottom"/>
            <w:hideMark/>
          </w:tcPr>
          <w:p w14:paraId="05C9D7F9"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715" w:type="dxa"/>
            <w:shd w:val="clear" w:color="auto" w:fill="auto"/>
            <w:noWrap/>
            <w:vAlign w:val="center"/>
            <w:hideMark/>
          </w:tcPr>
          <w:p w14:paraId="2B6F2E98"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35,9</w:t>
            </w:r>
          </w:p>
        </w:tc>
        <w:tc>
          <w:tcPr>
            <w:tcW w:w="3243" w:type="dxa"/>
            <w:shd w:val="clear" w:color="auto" w:fill="auto"/>
            <w:noWrap/>
            <w:vAlign w:val="center"/>
            <w:hideMark/>
          </w:tcPr>
          <w:p w14:paraId="635B4D77"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64,1</w:t>
            </w:r>
          </w:p>
        </w:tc>
      </w:tr>
      <w:tr w:rsidR="002D4849" w:rsidRPr="00342041" w14:paraId="3AE884E3" w14:textId="77777777" w:rsidTr="00392F7C">
        <w:trPr>
          <w:trHeight w:val="300"/>
        </w:trPr>
        <w:tc>
          <w:tcPr>
            <w:tcW w:w="2488" w:type="dxa"/>
            <w:shd w:val="clear" w:color="auto" w:fill="9CC2E5" w:themeFill="accent1" w:themeFillTint="99"/>
            <w:noWrap/>
            <w:vAlign w:val="bottom"/>
            <w:hideMark/>
          </w:tcPr>
          <w:p w14:paraId="63CE08A5"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900" w:type="dxa"/>
            <w:shd w:val="clear" w:color="auto" w:fill="auto"/>
            <w:noWrap/>
            <w:vAlign w:val="bottom"/>
            <w:hideMark/>
          </w:tcPr>
          <w:p w14:paraId="722E8CF0"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715" w:type="dxa"/>
            <w:shd w:val="clear" w:color="auto" w:fill="auto"/>
            <w:noWrap/>
            <w:vAlign w:val="center"/>
            <w:hideMark/>
          </w:tcPr>
          <w:p w14:paraId="7EE1BBB5"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41,9</w:t>
            </w:r>
          </w:p>
        </w:tc>
        <w:tc>
          <w:tcPr>
            <w:tcW w:w="3243" w:type="dxa"/>
            <w:shd w:val="clear" w:color="auto" w:fill="auto"/>
            <w:noWrap/>
            <w:vAlign w:val="center"/>
            <w:hideMark/>
          </w:tcPr>
          <w:p w14:paraId="34EB1DF1"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58,1</w:t>
            </w:r>
          </w:p>
        </w:tc>
      </w:tr>
      <w:tr w:rsidR="002D4849" w:rsidRPr="00342041" w14:paraId="44D3EFF8" w14:textId="77777777" w:rsidTr="00392F7C">
        <w:trPr>
          <w:trHeight w:val="300"/>
        </w:trPr>
        <w:tc>
          <w:tcPr>
            <w:tcW w:w="2488" w:type="dxa"/>
            <w:shd w:val="clear" w:color="auto" w:fill="9CC2E5" w:themeFill="accent1" w:themeFillTint="99"/>
            <w:noWrap/>
            <w:vAlign w:val="bottom"/>
            <w:hideMark/>
          </w:tcPr>
          <w:p w14:paraId="053EC63F"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900" w:type="dxa"/>
            <w:shd w:val="clear" w:color="auto" w:fill="auto"/>
            <w:noWrap/>
            <w:vAlign w:val="bottom"/>
            <w:hideMark/>
          </w:tcPr>
          <w:p w14:paraId="544800D4"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715" w:type="dxa"/>
            <w:shd w:val="clear" w:color="auto" w:fill="auto"/>
            <w:noWrap/>
            <w:vAlign w:val="center"/>
            <w:hideMark/>
          </w:tcPr>
          <w:p w14:paraId="6954A9B8"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41,1</w:t>
            </w:r>
          </w:p>
        </w:tc>
        <w:tc>
          <w:tcPr>
            <w:tcW w:w="3243" w:type="dxa"/>
            <w:shd w:val="clear" w:color="auto" w:fill="auto"/>
            <w:noWrap/>
            <w:vAlign w:val="center"/>
            <w:hideMark/>
          </w:tcPr>
          <w:p w14:paraId="6FFFD67A"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58,9</w:t>
            </w:r>
          </w:p>
        </w:tc>
      </w:tr>
      <w:tr w:rsidR="002D4849" w:rsidRPr="00342041" w14:paraId="2C896AF6" w14:textId="77777777" w:rsidTr="00392F7C">
        <w:trPr>
          <w:trHeight w:val="300"/>
        </w:trPr>
        <w:tc>
          <w:tcPr>
            <w:tcW w:w="2488" w:type="dxa"/>
            <w:shd w:val="clear" w:color="auto" w:fill="9CC2E5" w:themeFill="accent1" w:themeFillTint="99"/>
            <w:noWrap/>
            <w:vAlign w:val="bottom"/>
            <w:hideMark/>
          </w:tcPr>
          <w:p w14:paraId="11A9DB6E"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900" w:type="dxa"/>
            <w:shd w:val="clear" w:color="auto" w:fill="auto"/>
            <w:noWrap/>
            <w:vAlign w:val="bottom"/>
            <w:hideMark/>
          </w:tcPr>
          <w:p w14:paraId="3C53D8BD"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715" w:type="dxa"/>
            <w:shd w:val="clear" w:color="auto" w:fill="auto"/>
            <w:noWrap/>
            <w:vAlign w:val="center"/>
            <w:hideMark/>
          </w:tcPr>
          <w:p w14:paraId="77AE92F6"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36,2</w:t>
            </w:r>
          </w:p>
        </w:tc>
        <w:tc>
          <w:tcPr>
            <w:tcW w:w="3243" w:type="dxa"/>
            <w:shd w:val="clear" w:color="auto" w:fill="auto"/>
            <w:noWrap/>
            <w:vAlign w:val="center"/>
            <w:hideMark/>
          </w:tcPr>
          <w:p w14:paraId="7F48F26E"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63,8</w:t>
            </w:r>
          </w:p>
        </w:tc>
      </w:tr>
      <w:tr w:rsidR="002D4849" w:rsidRPr="00342041" w14:paraId="5B161EB9" w14:textId="77777777" w:rsidTr="00392F7C">
        <w:trPr>
          <w:trHeight w:val="398"/>
        </w:trPr>
        <w:tc>
          <w:tcPr>
            <w:tcW w:w="9346" w:type="dxa"/>
            <w:gridSpan w:val="4"/>
            <w:shd w:val="clear" w:color="auto" w:fill="auto"/>
            <w:vAlign w:val="center"/>
            <w:hideMark/>
          </w:tcPr>
          <w:p w14:paraId="2ED922BB" w14:textId="77777777" w:rsidR="002D4849" w:rsidRPr="00342041" w:rsidRDefault="002D4849"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w wieku 60 lat i więcej</w:t>
            </w:r>
          </w:p>
        </w:tc>
      </w:tr>
      <w:tr w:rsidR="002D4849" w:rsidRPr="00342041" w14:paraId="75BC8015" w14:textId="77777777" w:rsidTr="00392F7C">
        <w:trPr>
          <w:trHeight w:val="300"/>
        </w:trPr>
        <w:tc>
          <w:tcPr>
            <w:tcW w:w="2488" w:type="dxa"/>
            <w:shd w:val="clear" w:color="auto" w:fill="9CC2E5" w:themeFill="accent1" w:themeFillTint="99"/>
            <w:vAlign w:val="bottom"/>
            <w:hideMark/>
          </w:tcPr>
          <w:p w14:paraId="7AA58149" w14:textId="77777777" w:rsidR="002D4849" w:rsidRPr="00342041" w:rsidRDefault="002D4849" w:rsidP="00963AD6">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Ogółem </w:t>
            </w:r>
          </w:p>
        </w:tc>
        <w:tc>
          <w:tcPr>
            <w:tcW w:w="900" w:type="dxa"/>
            <w:shd w:val="clear" w:color="auto" w:fill="auto"/>
            <w:noWrap/>
            <w:vAlign w:val="center"/>
            <w:hideMark/>
          </w:tcPr>
          <w:p w14:paraId="3A5DC4CE"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w:t>
            </w:r>
          </w:p>
        </w:tc>
        <w:tc>
          <w:tcPr>
            <w:tcW w:w="2715" w:type="dxa"/>
            <w:shd w:val="clear" w:color="auto" w:fill="auto"/>
            <w:noWrap/>
            <w:vAlign w:val="center"/>
            <w:hideMark/>
          </w:tcPr>
          <w:p w14:paraId="3A53F345"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66,3</w:t>
            </w:r>
          </w:p>
        </w:tc>
        <w:tc>
          <w:tcPr>
            <w:tcW w:w="3243" w:type="dxa"/>
            <w:shd w:val="clear" w:color="auto" w:fill="auto"/>
            <w:noWrap/>
            <w:vAlign w:val="center"/>
            <w:hideMark/>
          </w:tcPr>
          <w:p w14:paraId="41A86F24" w14:textId="77777777" w:rsidR="002D4849" w:rsidRPr="00342041" w:rsidRDefault="002D4849"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33,7</w:t>
            </w:r>
          </w:p>
        </w:tc>
      </w:tr>
      <w:tr w:rsidR="002D4849" w:rsidRPr="00342041" w14:paraId="61C52B92" w14:textId="77777777" w:rsidTr="00392F7C">
        <w:trPr>
          <w:trHeight w:val="300"/>
        </w:trPr>
        <w:tc>
          <w:tcPr>
            <w:tcW w:w="2488" w:type="dxa"/>
            <w:shd w:val="clear" w:color="auto" w:fill="9CC2E5" w:themeFill="accent1" w:themeFillTint="99"/>
            <w:noWrap/>
            <w:vAlign w:val="bottom"/>
            <w:hideMark/>
          </w:tcPr>
          <w:p w14:paraId="5B8A94D2"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900" w:type="dxa"/>
            <w:shd w:val="clear" w:color="auto" w:fill="auto"/>
            <w:noWrap/>
            <w:vAlign w:val="bottom"/>
            <w:hideMark/>
          </w:tcPr>
          <w:p w14:paraId="6E7C2B68"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715" w:type="dxa"/>
            <w:shd w:val="clear" w:color="auto" w:fill="auto"/>
            <w:noWrap/>
            <w:vAlign w:val="center"/>
            <w:hideMark/>
          </w:tcPr>
          <w:p w14:paraId="2C9A1CEF"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63,5</w:t>
            </w:r>
          </w:p>
        </w:tc>
        <w:tc>
          <w:tcPr>
            <w:tcW w:w="3243" w:type="dxa"/>
            <w:shd w:val="clear" w:color="auto" w:fill="auto"/>
            <w:noWrap/>
            <w:vAlign w:val="center"/>
            <w:hideMark/>
          </w:tcPr>
          <w:p w14:paraId="2F54C2E2"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36,5</w:t>
            </w:r>
          </w:p>
        </w:tc>
      </w:tr>
      <w:tr w:rsidR="002D4849" w:rsidRPr="00342041" w14:paraId="4A71F612" w14:textId="77777777" w:rsidTr="00392F7C">
        <w:trPr>
          <w:trHeight w:val="300"/>
        </w:trPr>
        <w:tc>
          <w:tcPr>
            <w:tcW w:w="2488" w:type="dxa"/>
            <w:shd w:val="clear" w:color="auto" w:fill="9CC2E5" w:themeFill="accent1" w:themeFillTint="99"/>
            <w:noWrap/>
            <w:vAlign w:val="bottom"/>
            <w:hideMark/>
          </w:tcPr>
          <w:p w14:paraId="64256737"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lastRenderedPageBreak/>
              <w:t>Kobiety</w:t>
            </w:r>
          </w:p>
        </w:tc>
        <w:tc>
          <w:tcPr>
            <w:tcW w:w="900" w:type="dxa"/>
            <w:shd w:val="clear" w:color="auto" w:fill="auto"/>
            <w:noWrap/>
            <w:vAlign w:val="bottom"/>
            <w:hideMark/>
          </w:tcPr>
          <w:p w14:paraId="09F58765"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715" w:type="dxa"/>
            <w:shd w:val="clear" w:color="auto" w:fill="auto"/>
            <w:noWrap/>
            <w:vAlign w:val="center"/>
            <w:hideMark/>
          </w:tcPr>
          <w:p w14:paraId="2B57DC13"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68,3</w:t>
            </w:r>
          </w:p>
        </w:tc>
        <w:tc>
          <w:tcPr>
            <w:tcW w:w="3243" w:type="dxa"/>
            <w:shd w:val="clear" w:color="auto" w:fill="auto"/>
            <w:noWrap/>
            <w:vAlign w:val="center"/>
            <w:hideMark/>
          </w:tcPr>
          <w:p w14:paraId="64A28916"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31,7</w:t>
            </w:r>
          </w:p>
        </w:tc>
      </w:tr>
      <w:tr w:rsidR="002D4849" w:rsidRPr="00342041" w14:paraId="0EF7FC2A" w14:textId="77777777" w:rsidTr="00392F7C">
        <w:trPr>
          <w:trHeight w:val="300"/>
        </w:trPr>
        <w:tc>
          <w:tcPr>
            <w:tcW w:w="2488" w:type="dxa"/>
            <w:shd w:val="clear" w:color="auto" w:fill="9CC2E5" w:themeFill="accent1" w:themeFillTint="99"/>
            <w:noWrap/>
            <w:vAlign w:val="bottom"/>
            <w:hideMark/>
          </w:tcPr>
          <w:p w14:paraId="10F9EBA8"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900" w:type="dxa"/>
            <w:shd w:val="clear" w:color="auto" w:fill="auto"/>
            <w:noWrap/>
            <w:vAlign w:val="bottom"/>
            <w:hideMark/>
          </w:tcPr>
          <w:p w14:paraId="5ED23AB6"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715" w:type="dxa"/>
            <w:shd w:val="clear" w:color="auto" w:fill="auto"/>
            <w:noWrap/>
            <w:vAlign w:val="center"/>
            <w:hideMark/>
          </w:tcPr>
          <w:p w14:paraId="4223382D"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67,7</w:t>
            </w:r>
          </w:p>
        </w:tc>
        <w:tc>
          <w:tcPr>
            <w:tcW w:w="3243" w:type="dxa"/>
            <w:shd w:val="clear" w:color="auto" w:fill="auto"/>
            <w:noWrap/>
            <w:vAlign w:val="center"/>
            <w:hideMark/>
          </w:tcPr>
          <w:p w14:paraId="5C2EEAF1"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32,3</w:t>
            </w:r>
          </w:p>
        </w:tc>
      </w:tr>
      <w:tr w:rsidR="002D4849" w:rsidRPr="00342041" w14:paraId="30D2F21F" w14:textId="77777777" w:rsidTr="00392F7C">
        <w:trPr>
          <w:trHeight w:val="300"/>
        </w:trPr>
        <w:tc>
          <w:tcPr>
            <w:tcW w:w="2488" w:type="dxa"/>
            <w:shd w:val="clear" w:color="auto" w:fill="9CC2E5" w:themeFill="accent1" w:themeFillTint="99"/>
            <w:noWrap/>
            <w:vAlign w:val="bottom"/>
            <w:hideMark/>
          </w:tcPr>
          <w:p w14:paraId="5A919E37" w14:textId="77777777" w:rsidR="002D4849" w:rsidRPr="00342041" w:rsidRDefault="002D4849"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900" w:type="dxa"/>
            <w:shd w:val="clear" w:color="auto" w:fill="auto"/>
            <w:noWrap/>
            <w:vAlign w:val="bottom"/>
            <w:hideMark/>
          </w:tcPr>
          <w:p w14:paraId="1F6F7E59"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715" w:type="dxa"/>
            <w:shd w:val="clear" w:color="auto" w:fill="auto"/>
            <w:noWrap/>
            <w:vAlign w:val="center"/>
            <w:hideMark/>
          </w:tcPr>
          <w:p w14:paraId="134ED20F"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64,0</w:t>
            </w:r>
          </w:p>
        </w:tc>
        <w:tc>
          <w:tcPr>
            <w:tcW w:w="3243" w:type="dxa"/>
            <w:shd w:val="clear" w:color="auto" w:fill="auto"/>
            <w:noWrap/>
            <w:vAlign w:val="center"/>
            <w:hideMark/>
          </w:tcPr>
          <w:p w14:paraId="51DD45FE" w14:textId="77777777" w:rsidR="002D4849" w:rsidRPr="00342041" w:rsidRDefault="002D4849"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36,0</w:t>
            </w:r>
          </w:p>
        </w:tc>
      </w:tr>
    </w:tbl>
    <w:p w14:paraId="279F68BA" w14:textId="77777777" w:rsidR="009149B2" w:rsidRDefault="00392F7C" w:rsidP="003C1988">
      <w:pPr>
        <w:rPr>
          <w:rFonts w:ascii="Times New Roman" w:hAnsi="Times New Roman" w:cs="Times New Roman"/>
          <w:b/>
        </w:rPr>
      </w:pPr>
      <w:r>
        <w:rPr>
          <w:rFonts w:ascii="Times New Roman" w:hAnsi="Times New Roman" w:cs="Times New Roman"/>
          <w:b/>
        </w:rPr>
        <w:t xml:space="preserve">Źródło: Badanie EU-SILC 2019 r. </w:t>
      </w:r>
      <w:r w:rsidR="002D4849" w:rsidRPr="009149B2">
        <w:rPr>
          <w:rFonts w:ascii="Times New Roman" w:hAnsi="Times New Roman" w:cs="Times New Roman"/>
          <w:b/>
        </w:rPr>
        <w:t>GUS</w:t>
      </w:r>
    </w:p>
    <w:p w14:paraId="29817CC4" w14:textId="77777777" w:rsidR="002B3DC0" w:rsidRPr="002C6845" w:rsidRDefault="002B3DC0" w:rsidP="002B3DC0">
      <w:pPr>
        <w:spacing w:after="0"/>
        <w:jc w:val="both"/>
        <w:rPr>
          <w:rFonts w:ascii="Times New Roman" w:hAnsi="Times New Roman" w:cs="Times New Roman"/>
          <w:sz w:val="24"/>
          <w:szCs w:val="24"/>
        </w:rPr>
      </w:pPr>
      <w:r w:rsidRPr="002C6845">
        <w:rPr>
          <w:rFonts w:ascii="Times New Roman" w:hAnsi="Times New Roman" w:cs="Times New Roman"/>
          <w:sz w:val="24"/>
          <w:szCs w:val="24"/>
        </w:rPr>
        <w:t xml:space="preserve">W 2019 r. prawie dwie trzecie osób w wieku 60 lat i więcej (66,3% wobec 67,0% w roku poprzednim) wskazało na długotrwałe problemy zdrowotne lub choroby przewlekłe, które trwają (lub przewidywano że będą trwały) co najmniej 6 miesięcy. Częściej były to kobiety (68,3%) niż mężczyźni (63,5%). Większy udział osób o długotrwałych problemach zdrowotnych lub chorobach przewlekłych odnotowano w miastach (67,7%) niż na wsi (64,0%).   </w:t>
      </w:r>
    </w:p>
    <w:p w14:paraId="679C32D5" w14:textId="77777777" w:rsidR="002B3DC0" w:rsidRPr="002B3DC0" w:rsidRDefault="002B3DC0" w:rsidP="002B3DC0">
      <w:pPr>
        <w:spacing w:after="0"/>
        <w:jc w:val="both"/>
        <w:rPr>
          <w:rFonts w:ascii="Times New Roman" w:hAnsi="Times New Roman" w:cs="Times New Roman"/>
          <w:strike/>
          <w:sz w:val="24"/>
          <w:szCs w:val="24"/>
        </w:rPr>
      </w:pPr>
    </w:p>
    <w:p w14:paraId="6E570817" w14:textId="071482FF" w:rsidR="009149B2" w:rsidRPr="009149B2" w:rsidRDefault="009149B2" w:rsidP="009149B2">
      <w:pPr>
        <w:pStyle w:val="Legenda"/>
        <w:keepNext/>
        <w:rPr>
          <w:rFonts w:ascii="Times New Roman" w:hAnsi="Times New Roman" w:cs="Times New Roman"/>
          <w:b/>
          <w:i w:val="0"/>
          <w:sz w:val="24"/>
        </w:rPr>
      </w:pPr>
      <w:bookmarkStart w:id="37" w:name="_Toc49171401"/>
      <w:r w:rsidRPr="009149B2">
        <w:rPr>
          <w:rFonts w:ascii="Times New Roman" w:hAnsi="Times New Roman" w:cs="Times New Roman"/>
          <w:b/>
          <w:i w:val="0"/>
          <w:sz w:val="24"/>
        </w:rPr>
        <w:t xml:space="preserve">Tabela </w:t>
      </w:r>
      <w:r w:rsidRPr="009149B2">
        <w:rPr>
          <w:rFonts w:ascii="Times New Roman" w:hAnsi="Times New Roman" w:cs="Times New Roman"/>
          <w:b/>
          <w:i w:val="0"/>
          <w:sz w:val="24"/>
        </w:rPr>
        <w:fldChar w:fldCharType="begin"/>
      </w:r>
      <w:r w:rsidRPr="009149B2">
        <w:rPr>
          <w:rFonts w:ascii="Times New Roman" w:hAnsi="Times New Roman" w:cs="Times New Roman"/>
          <w:b/>
          <w:i w:val="0"/>
          <w:sz w:val="24"/>
        </w:rPr>
        <w:instrText xml:space="preserve"> SEQ Tabela \* ARABIC </w:instrText>
      </w:r>
      <w:r w:rsidRPr="009149B2">
        <w:rPr>
          <w:rFonts w:ascii="Times New Roman" w:hAnsi="Times New Roman" w:cs="Times New Roman"/>
          <w:b/>
          <w:i w:val="0"/>
          <w:sz w:val="24"/>
        </w:rPr>
        <w:fldChar w:fldCharType="separate"/>
      </w:r>
      <w:r w:rsidR="00C154C9">
        <w:rPr>
          <w:rFonts w:ascii="Times New Roman" w:hAnsi="Times New Roman" w:cs="Times New Roman"/>
          <w:b/>
          <w:i w:val="0"/>
          <w:noProof/>
          <w:sz w:val="24"/>
        </w:rPr>
        <w:t>26</w:t>
      </w:r>
      <w:r w:rsidRPr="009149B2">
        <w:rPr>
          <w:rFonts w:ascii="Times New Roman" w:hAnsi="Times New Roman" w:cs="Times New Roman"/>
          <w:b/>
          <w:i w:val="0"/>
          <w:sz w:val="24"/>
        </w:rPr>
        <w:fldChar w:fldCharType="end"/>
      </w:r>
      <w:r w:rsidRPr="009149B2">
        <w:rPr>
          <w:rFonts w:ascii="Times New Roman" w:hAnsi="Times New Roman" w:cs="Times New Roman"/>
          <w:b/>
          <w:i w:val="0"/>
          <w:sz w:val="24"/>
        </w:rPr>
        <w:t xml:space="preserve"> Ograniczona zdolność wykonywania czynności w 2019 r.</w:t>
      </w:r>
      <w:bookmarkEnd w:id="37"/>
    </w:p>
    <w:tbl>
      <w:tblPr>
        <w:tblW w:w="9062"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1790"/>
        <w:gridCol w:w="900"/>
        <w:gridCol w:w="788"/>
        <w:gridCol w:w="1992"/>
        <w:gridCol w:w="2126"/>
        <w:gridCol w:w="1466"/>
      </w:tblGrid>
      <w:tr w:rsidR="000D3933" w:rsidRPr="00342041" w14:paraId="67B145B4" w14:textId="77777777" w:rsidTr="00963AD6">
        <w:trPr>
          <w:trHeight w:val="720"/>
          <w:jc w:val="center"/>
        </w:trPr>
        <w:tc>
          <w:tcPr>
            <w:tcW w:w="1790" w:type="dxa"/>
            <w:vMerge w:val="restart"/>
            <w:shd w:val="clear" w:color="auto" w:fill="9CC2E5" w:themeFill="accent1" w:themeFillTint="99"/>
            <w:noWrap/>
            <w:vAlign w:val="center"/>
            <w:hideMark/>
          </w:tcPr>
          <w:p w14:paraId="1BDE5E15"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Wyszczególnienie</w:t>
            </w:r>
          </w:p>
        </w:tc>
        <w:tc>
          <w:tcPr>
            <w:tcW w:w="900" w:type="dxa"/>
            <w:vMerge w:val="restart"/>
            <w:shd w:val="clear" w:color="auto" w:fill="9CC2E5" w:themeFill="accent1" w:themeFillTint="99"/>
            <w:noWrap/>
            <w:vAlign w:val="center"/>
            <w:hideMark/>
          </w:tcPr>
          <w:p w14:paraId="3CCC0BB1"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6372" w:type="dxa"/>
            <w:gridSpan w:val="4"/>
            <w:shd w:val="clear" w:color="auto" w:fill="9CC2E5" w:themeFill="accent1" w:themeFillTint="99"/>
            <w:vAlign w:val="center"/>
            <w:hideMark/>
          </w:tcPr>
          <w:p w14:paraId="7AE96AC0"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 xml:space="preserve">Czy z powodu problemów zdrowotnych miał(a) Pan/Pani ograniczoną zdolność wykonywania czynności, jakie ludzie zwykle wykonują, </w:t>
            </w:r>
            <w:r w:rsidRPr="00342041">
              <w:rPr>
                <w:rFonts w:ascii="Times New Roman" w:eastAsia="Times New Roman" w:hAnsi="Times New Roman" w:cs="Times New Roman"/>
                <w:b/>
                <w:sz w:val="20"/>
                <w:szCs w:val="20"/>
                <w:lang w:eastAsia="pl-PL"/>
              </w:rPr>
              <w:br/>
              <w:t>trwającą co najmniej ostatnie 6 miesięcy?</w:t>
            </w:r>
          </w:p>
        </w:tc>
      </w:tr>
      <w:tr w:rsidR="000D3933" w:rsidRPr="00342041" w14:paraId="73CFC211" w14:textId="77777777" w:rsidTr="00812B7B">
        <w:trPr>
          <w:trHeight w:val="275"/>
          <w:jc w:val="center"/>
        </w:trPr>
        <w:tc>
          <w:tcPr>
            <w:tcW w:w="1790" w:type="dxa"/>
            <w:vMerge/>
            <w:shd w:val="clear" w:color="auto" w:fill="9CC2E5" w:themeFill="accent1" w:themeFillTint="99"/>
            <w:vAlign w:val="center"/>
            <w:hideMark/>
          </w:tcPr>
          <w:p w14:paraId="16CBF145"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p>
        </w:tc>
        <w:tc>
          <w:tcPr>
            <w:tcW w:w="900" w:type="dxa"/>
            <w:vMerge/>
            <w:shd w:val="clear" w:color="auto" w:fill="9CC2E5" w:themeFill="accent1" w:themeFillTint="99"/>
            <w:vAlign w:val="center"/>
            <w:hideMark/>
          </w:tcPr>
          <w:p w14:paraId="28F3A69B"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p>
        </w:tc>
        <w:tc>
          <w:tcPr>
            <w:tcW w:w="4906" w:type="dxa"/>
            <w:gridSpan w:val="3"/>
            <w:shd w:val="clear" w:color="auto" w:fill="9CC2E5" w:themeFill="accent1" w:themeFillTint="99"/>
            <w:vAlign w:val="center"/>
            <w:hideMark/>
          </w:tcPr>
          <w:p w14:paraId="264B472D"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Tak</w:t>
            </w:r>
          </w:p>
        </w:tc>
        <w:tc>
          <w:tcPr>
            <w:tcW w:w="1466" w:type="dxa"/>
            <w:shd w:val="clear" w:color="auto" w:fill="9CC2E5" w:themeFill="accent1" w:themeFillTint="99"/>
            <w:vAlign w:val="center"/>
            <w:hideMark/>
          </w:tcPr>
          <w:p w14:paraId="30F64C09"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Nie</w:t>
            </w:r>
          </w:p>
        </w:tc>
      </w:tr>
      <w:tr w:rsidR="000D3933" w:rsidRPr="00342041" w14:paraId="003E4616" w14:textId="77777777" w:rsidTr="00963AD6">
        <w:trPr>
          <w:trHeight w:val="623"/>
          <w:jc w:val="center"/>
        </w:trPr>
        <w:tc>
          <w:tcPr>
            <w:tcW w:w="1790" w:type="dxa"/>
            <w:vMerge/>
            <w:shd w:val="clear" w:color="auto" w:fill="9CC2E5" w:themeFill="accent1" w:themeFillTint="99"/>
            <w:vAlign w:val="center"/>
            <w:hideMark/>
          </w:tcPr>
          <w:p w14:paraId="04550D5A"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p>
        </w:tc>
        <w:tc>
          <w:tcPr>
            <w:tcW w:w="900" w:type="dxa"/>
            <w:vMerge/>
            <w:shd w:val="clear" w:color="auto" w:fill="9CC2E5" w:themeFill="accent1" w:themeFillTint="99"/>
            <w:vAlign w:val="center"/>
            <w:hideMark/>
          </w:tcPr>
          <w:p w14:paraId="4DEDDCE2"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p>
        </w:tc>
        <w:tc>
          <w:tcPr>
            <w:tcW w:w="788" w:type="dxa"/>
            <w:shd w:val="clear" w:color="auto" w:fill="9CC2E5" w:themeFill="accent1" w:themeFillTint="99"/>
            <w:noWrap/>
            <w:vAlign w:val="center"/>
            <w:hideMark/>
          </w:tcPr>
          <w:p w14:paraId="393FA3DE"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Razem</w:t>
            </w:r>
          </w:p>
        </w:tc>
        <w:tc>
          <w:tcPr>
            <w:tcW w:w="1992" w:type="dxa"/>
            <w:shd w:val="clear" w:color="auto" w:fill="9CC2E5" w:themeFill="accent1" w:themeFillTint="99"/>
            <w:vAlign w:val="center"/>
            <w:hideMark/>
          </w:tcPr>
          <w:p w14:paraId="597E465A"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Poważnie ograniczoną</w:t>
            </w:r>
          </w:p>
        </w:tc>
        <w:tc>
          <w:tcPr>
            <w:tcW w:w="2126" w:type="dxa"/>
            <w:shd w:val="clear" w:color="auto" w:fill="9CC2E5" w:themeFill="accent1" w:themeFillTint="99"/>
            <w:vAlign w:val="center"/>
            <w:hideMark/>
          </w:tcPr>
          <w:p w14:paraId="5C5DC834"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Ograniczoną, ale niezbyt poważnie</w:t>
            </w:r>
          </w:p>
        </w:tc>
        <w:tc>
          <w:tcPr>
            <w:tcW w:w="1466" w:type="dxa"/>
            <w:shd w:val="clear" w:color="auto" w:fill="9CC2E5" w:themeFill="accent1" w:themeFillTint="99"/>
            <w:vAlign w:val="center"/>
            <w:hideMark/>
          </w:tcPr>
          <w:p w14:paraId="14D6671B" w14:textId="03BDC462"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Nie miałem(</w:t>
            </w:r>
            <w:r w:rsidR="00D759BA">
              <w:rPr>
                <w:rFonts w:ascii="Times New Roman" w:eastAsia="Times New Roman" w:hAnsi="Times New Roman" w:cs="Times New Roman"/>
                <w:b/>
                <w:sz w:val="20"/>
                <w:szCs w:val="20"/>
                <w:lang w:eastAsia="pl-PL"/>
              </w:rPr>
              <w:br/>
            </w:r>
            <w:r w:rsidRPr="00342041">
              <w:rPr>
                <w:rFonts w:ascii="Times New Roman" w:eastAsia="Times New Roman" w:hAnsi="Times New Roman" w:cs="Times New Roman"/>
                <w:b/>
                <w:sz w:val="20"/>
                <w:szCs w:val="20"/>
                <w:lang w:eastAsia="pl-PL"/>
              </w:rPr>
              <w:t>-am) żadnych ograniczeń</w:t>
            </w:r>
          </w:p>
        </w:tc>
      </w:tr>
      <w:tr w:rsidR="000D3933" w:rsidRPr="00342041" w14:paraId="763060A3" w14:textId="77777777" w:rsidTr="00963AD6">
        <w:trPr>
          <w:trHeight w:val="300"/>
          <w:jc w:val="center"/>
        </w:trPr>
        <w:tc>
          <w:tcPr>
            <w:tcW w:w="1790" w:type="dxa"/>
            <w:vMerge/>
            <w:shd w:val="clear" w:color="auto" w:fill="9CC2E5" w:themeFill="accent1" w:themeFillTint="99"/>
            <w:vAlign w:val="center"/>
            <w:hideMark/>
          </w:tcPr>
          <w:p w14:paraId="70137435"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p>
        </w:tc>
        <w:tc>
          <w:tcPr>
            <w:tcW w:w="7272" w:type="dxa"/>
            <w:gridSpan w:val="5"/>
            <w:shd w:val="clear" w:color="auto" w:fill="9CC2E5" w:themeFill="accent1" w:themeFillTint="99"/>
            <w:vAlign w:val="center"/>
            <w:hideMark/>
          </w:tcPr>
          <w:p w14:paraId="355E1AA1"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 osób danej grupy</w:t>
            </w:r>
          </w:p>
        </w:tc>
      </w:tr>
      <w:tr w:rsidR="000D3933" w:rsidRPr="00342041" w14:paraId="25971809" w14:textId="77777777" w:rsidTr="00812B7B">
        <w:trPr>
          <w:trHeight w:val="208"/>
          <w:jc w:val="center"/>
        </w:trPr>
        <w:tc>
          <w:tcPr>
            <w:tcW w:w="9062" w:type="dxa"/>
            <w:gridSpan w:val="6"/>
            <w:shd w:val="clear" w:color="auto" w:fill="auto"/>
            <w:vAlign w:val="center"/>
            <w:hideMark/>
          </w:tcPr>
          <w:p w14:paraId="38F8385D"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 osoby w wieku 16 lat i więcej</w:t>
            </w:r>
          </w:p>
        </w:tc>
      </w:tr>
      <w:tr w:rsidR="000D3933" w:rsidRPr="00342041" w14:paraId="1A16E7A8" w14:textId="77777777" w:rsidTr="00963AD6">
        <w:trPr>
          <w:trHeight w:val="300"/>
          <w:jc w:val="center"/>
        </w:trPr>
        <w:tc>
          <w:tcPr>
            <w:tcW w:w="1790" w:type="dxa"/>
            <w:shd w:val="clear" w:color="auto" w:fill="9CC2E5" w:themeFill="accent1" w:themeFillTint="99"/>
            <w:vAlign w:val="bottom"/>
            <w:hideMark/>
          </w:tcPr>
          <w:p w14:paraId="3081D95A" w14:textId="77777777" w:rsidR="000D3933" w:rsidRPr="00342041" w:rsidRDefault="000D3933" w:rsidP="00963AD6">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Ogółem</w:t>
            </w:r>
          </w:p>
        </w:tc>
        <w:tc>
          <w:tcPr>
            <w:tcW w:w="900" w:type="dxa"/>
            <w:shd w:val="clear" w:color="auto" w:fill="auto"/>
            <w:noWrap/>
            <w:vAlign w:val="bottom"/>
            <w:hideMark/>
          </w:tcPr>
          <w:p w14:paraId="007C2180" w14:textId="77777777" w:rsidR="000D3933" w:rsidRPr="00342041" w:rsidRDefault="000D3933"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w:t>
            </w:r>
          </w:p>
        </w:tc>
        <w:tc>
          <w:tcPr>
            <w:tcW w:w="788" w:type="dxa"/>
            <w:shd w:val="clear" w:color="auto" w:fill="auto"/>
            <w:noWrap/>
            <w:vAlign w:val="center"/>
            <w:hideMark/>
          </w:tcPr>
          <w:p w14:paraId="351DC9C6" w14:textId="77777777" w:rsidR="000D3933" w:rsidRPr="00342041" w:rsidRDefault="000D3933"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24,4</w:t>
            </w:r>
          </w:p>
        </w:tc>
        <w:tc>
          <w:tcPr>
            <w:tcW w:w="1992" w:type="dxa"/>
            <w:shd w:val="clear" w:color="auto" w:fill="auto"/>
            <w:noWrap/>
            <w:vAlign w:val="center"/>
            <w:hideMark/>
          </w:tcPr>
          <w:p w14:paraId="52D27317" w14:textId="77777777" w:rsidR="000D3933" w:rsidRPr="00342041" w:rsidRDefault="000D3933"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7,6</w:t>
            </w:r>
          </w:p>
        </w:tc>
        <w:tc>
          <w:tcPr>
            <w:tcW w:w="2126" w:type="dxa"/>
            <w:shd w:val="clear" w:color="auto" w:fill="auto"/>
            <w:noWrap/>
            <w:vAlign w:val="center"/>
            <w:hideMark/>
          </w:tcPr>
          <w:p w14:paraId="6E962D9B" w14:textId="77777777" w:rsidR="000D3933" w:rsidRPr="00342041" w:rsidRDefault="000D3933"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16,8</w:t>
            </w:r>
          </w:p>
        </w:tc>
        <w:tc>
          <w:tcPr>
            <w:tcW w:w="1466" w:type="dxa"/>
            <w:shd w:val="clear" w:color="auto" w:fill="auto"/>
            <w:noWrap/>
            <w:vAlign w:val="center"/>
            <w:hideMark/>
          </w:tcPr>
          <w:p w14:paraId="12607937" w14:textId="77777777" w:rsidR="000D3933" w:rsidRPr="00342041" w:rsidRDefault="000D3933"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75,6</w:t>
            </w:r>
          </w:p>
        </w:tc>
      </w:tr>
      <w:tr w:rsidR="000D3933" w:rsidRPr="00342041" w14:paraId="3E0AD625" w14:textId="77777777" w:rsidTr="00963AD6">
        <w:trPr>
          <w:trHeight w:val="300"/>
          <w:jc w:val="center"/>
        </w:trPr>
        <w:tc>
          <w:tcPr>
            <w:tcW w:w="1790" w:type="dxa"/>
            <w:shd w:val="clear" w:color="auto" w:fill="9CC2E5" w:themeFill="accent1" w:themeFillTint="99"/>
            <w:noWrap/>
            <w:vAlign w:val="bottom"/>
            <w:hideMark/>
          </w:tcPr>
          <w:p w14:paraId="7BC1E61A" w14:textId="77777777" w:rsidR="000D3933" w:rsidRPr="00342041" w:rsidRDefault="000D3933"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900" w:type="dxa"/>
            <w:shd w:val="clear" w:color="auto" w:fill="auto"/>
            <w:noWrap/>
            <w:vAlign w:val="bottom"/>
            <w:hideMark/>
          </w:tcPr>
          <w:p w14:paraId="58A57DFD"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788" w:type="dxa"/>
            <w:shd w:val="clear" w:color="000000" w:fill="FFFFFF"/>
            <w:noWrap/>
            <w:vAlign w:val="center"/>
            <w:hideMark/>
          </w:tcPr>
          <w:p w14:paraId="5FDF2734"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22,7</w:t>
            </w:r>
          </w:p>
        </w:tc>
        <w:tc>
          <w:tcPr>
            <w:tcW w:w="1992" w:type="dxa"/>
            <w:shd w:val="clear" w:color="000000" w:fill="FFFFFF"/>
            <w:noWrap/>
            <w:vAlign w:val="center"/>
            <w:hideMark/>
          </w:tcPr>
          <w:p w14:paraId="0EEFDCFF"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7,4</w:t>
            </w:r>
          </w:p>
        </w:tc>
        <w:tc>
          <w:tcPr>
            <w:tcW w:w="2126" w:type="dxa"/>
            <w:shd w:val="clear" w:color="000000" w:fill="FFFFFF"/>
            <w:noWrap/>
            <w:vAlign w:val="center"/>
            <w:hideMark/>
          </w:tcPr>
          <w:p w14:paraId="22FDD3B8"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15,4</w:t>
            </w:r>
          </w:p>
        </w:tc>
        <w:tc>
          <w:tcPr>
            <w:tcW w:w="1466" w:type="dxa"/>
            <w:shd w:val="clear" w:color="000000" w:fill="FFFFFF"/>
            <w:noWrap/>
            <w:vAlign w:val="center"/>
            <w:hideMark/>
          </w:tcPr>
          <w:p w14:paraId="7EAFEC58"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77,3</w:t>
            </w:r>
          </w:p>
        </w:tc>
      </w:tr>
      <w:tr w:rsidR="000D3933" w:rsidRPr="00342041" w14:paraId="15581D90" w14:textId="77777777" w:rsidTr="00963AD6">
        <w:trPr>
          <w:trHeight w:val="300"/>
          <w:jc w:val="center"/>
        </w:trPr>
        <w:tc>
          <w:tcPr>
            <w:tcW w:w="1790" w:type="dxa"/>
            <w:shd w:val="clear" w:color="auto" w:fill="9CC2E5" w:themeFill="accent1" w:themeFillTint="99"/>
            <w:noWrap/>
            <w:vAlign w:val="bottom"/>
            <w:hideMark/>
          </w:tcPr>
          <w:p w14:paraId="40C60BC1" w14:textId="77777777" w:rsidR="000D3933" w:rsidRPr="00342041" w:rsidRDefault="000D3933"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900" w:type="dxa"/>
            <w:shd w:val="clear" w:color="auto" w:fill="auto"/>
            <w:noWrap/>
            <w:vAlign w:val="bottom"/>
            <w:hideMark/>
          </w:tcPr>
          <w:p w14:paraId="08BDBB71"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788" w:type="dxa"/>
            <w:shd w:val="clear" w:color="000000" w:fill="FFFFFF"/>
            <w:noWrap/>
            <w:vAlign w:val="center"/>
            <w:hideMark/>
          </w:tcPr>
          <w:p w14:paraId="71CC86BC"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25,8</w:t>
            </w:r>
          </w:p>
        </w:tc>
        <w:tc>
          <w:tcPr>
            <w:tcW w:w="1992" w:type="dxa"/>
            <w:shd w:val="clear" w:color="000000" w:fill="FFFFFF"/>
            <w:noWrap/>
            <w:vAlign w:val="center"/>
            <w:hideMark/>
          </w:tcPr>
          <w:p w14:paraId="4E59CC56"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7,8</w:t>
            </w:r>
          </w:p>
        </w:tc>
        <w:tc>
          <w:tcPr>
            <w:tcW w:w="2126" w:type="dxa"/>
            <w:shd w:val="clear" w:color="000000" w:fill="FFFFFF"/>
            <w:noWrap/>
            <w:vAlign w:val="center"/>
            <w:hideMark/>
          </w:tcPr>
          <w:p w14:paraId="6600EAC3"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17,9</w:t>
            </w:r>
          </w:p>
        </w:tc>
        <w:tc>
          <w:tcPr>
            <w:tcW w:w="1466" w:type="dxa"/>
            <w:shd w:val="clear" w:color="000000" w:fill="FFFFFF"/>
            <w:noWrap/>
            <w:vAlign w:val="center"/>
            <w:hideMark/>
          </w:tcPr>
          <w:p w14:paraId="4C3B2DC8"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74,2</w:t>
            </w:r>
          </w:p>
        </w:tc>
      </w:tr>
      <w:tr w:rsidR="000D3933" w:rsidRPr="00342041" w14:paraId="66A173B3" w14:textId="77777777" w:rsidTr="00963AD6">
        <w:trPr>
          <w:trHeight w:val="300"/>
          <w:jc w:val="center"/>
        </w:trPr>
        <w:tc>
          <w:tcPr>
            <w:tcW w:w="1790" w:type="dxa"/>
            <w:shd w:val="clear" w:color="auto" w:fill="9CC2E5" w:themeFill="accent1" w:themeFillTint="99"/>
            <w:noWrap/>
            <w:vAlign w:val="bottom"/>
            <w:hideMark/>
          </w:tcPr>
          <w:p w14:paraId="7072D0DC" w14:textId="77777777" w:rsidR="000D3933" w:rsidRPr="00342041" w:rsidRDefault="000D3933"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900" w:type="dxa"/>
            <w:shd w:val="clear" w:color="auto" w:fill="auto"/>
            <w:noWrap/>
            <w:vAlign w:val="bottom"/>
            <w:hideMark/>
          </w:tcPr>
          <w:p w14:paraId="7FC386EC"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788" w:type="dxa"/>
            <w:shd w:val="clear" w:color="000000" w:fill="FFFFFF"/>
            <w:noWrap/>
            <w:vAlign w:val="center"/>
            <w:hideMark/>
          </w:tcPr>
          <w:p w14:paraId="0B1C0772"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24,5</w:t>
            </w:r>
          </w:p>
        </w:tc>
        <w:tc>
          <w:tcPr>
            <w:tcW w:w="1992" w:type="dxa"/>
            <w:shd w:val="clear" w:color="000000" w:fill="FFFFFF"/>
            <w:noWrap/>
            <w:vAlign w:val="center"/>
            <w:hideMark/>
          </w:tcPr>
          <w:p w14:paraId="4D564FB1"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8,0</w:t>
            </w:r>
          </w:p>
        </w:tc>
        <w:tc>
          <w:tcPr>
            <w:tcW w:w="2126" w:type="dxa"/>
            <w:shd w:val="clear" w:color="000000" w:fill="FFFFFF"/>
            <w:noWrap/>
            <w:vAlign w:val="center"/>
            <w:hideMark/>
          </w:tcPr>
          <w:p w14:paraId="033C2ABF"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16,5</w:t>
            </w:r>
          </w:p>
        </w:tc>
        <w:tc>
          <w:tcPr>
            <w:tcW w:w="1466" w:type="dxa"/>
            <w:shd w:val="clear" w:color="000000" w:fill="FFFFFF"/>
            <w:noWrap/>
            <w:vAlign w:val="center"/>
            <w:hideMark/>
          </w:tcPr>
          <w:p w14:paraId="36409503"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75,5</w:t>
            </w:r>
          </w:p>
        </w:tc>
      </w:tr>
      <w:tr w:rsidR="000D3933" w:rsidRPr="00342041" w14:paraId="46FA8051" w14:textId="77777777" w:rsidTr="00963AD6">
        <w:trPr>
          <w:trHeight w:val="300"/>
          <w:jc w:val="center"/>
        </w:trPr>
        <w:tc>
          <w:tcPr>
            <w:tcW w:w="1790" w:type="dxa"/>
            <w:shd w:val="clear" w:color="auto" w:fill="9CC2E5" w:themeFill="accent1" w:themeFillTint="99"/>
            <w:noWrap/>
            <w:vAlign w:val="bottom"/>
            <w:hideMark/>
          </w:tcPr>
          <w:p w14:paraId="5AE0822D" w14:textId="77777777" w:rsidR="000D3933" w:rsidRPr="00342041" w:rsidRDefault="000D3933"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900" w:type="dxa"/>
            <w:shd w:val="clear" w:color="auto" w:fill="auto"/>
            <w:noWrap/>
            <w:vAlign w:val="bottom"/>
            <w:hideMark/>
          </w:tcPr>
          <w:p w14:paraId="71EEE49E"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788" w:type="dxa"/>
            <w:shd w:val="clear" w:color="000000" w:fill="FFFFFF"/>
            <w:noWrap/>
            <w:vAlign w:val="center"/>
            <w:hideMark/>
          </w:tcPr>
          <w:p w14:paraId="74C56D4B"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24,2</w:t>
            </w:r>
          </w:p>
        </w:tc>
        <w:tc>
          <w:tcPr>
            <w:tcW w:w="1992" w:type="dxa"/>
            <w:shd w:val="clear" w:color="000000" w:fill="FFFFFF"/>
            <w:noWrap/>
            <w:vAlign w:val="center"/>
            <w:hideMark/>
          </w:tcPr>
          <w:p w14:paraId="54FEC5AA"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7,0</w:t>
            </w:r>
          </w:p>
        </w:tc>
        <w:tc>
          <w:tcPr>
            <w:tcW w:w="2126" w:type="dxa"/>
            <w:shd w:val="clear" w:color="000000" w:fill="FFFFFF"/>
            <w:noWrap/>
            <w:vAlign w:val="center"/>
            <w:hideMark/>
          </w:tcPr>
          <w:p w14:paraId="4CF1E87E"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17,2</w:t>
            </w:r>
          </w:p>
        </w:tc>
        <w:tc>
          <w:tcPr>
            <w:tcW w:w="1466" w:type="dxa"/>
            <w:shd w:val="clear" w:color="000000" w:fill="FFFFFF"/>
            <w:noWrap/>
            <w:vAlign w:val="center"/>
            <w:hideMark/>
          </w:tcPr>
          <w:p w14:paraId="77710C87"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75,8</w:t>
            </w:r>
          </w:p>
        </w:tc>
      </w:tr>
      <w:tr w:rsidR="000D3933" w:rsidRPr="00342041" w14:paraId="55181DAA" w14:textId="77777777" w:rsidTr="00812B7B">
        <w:trPr>
          <w:trHeight w:val="207"/>
          <w:jc w:val="center"/>
        </w:trPr>
        <w:tc>
          <w:tcPr>
            <w:tcW w:w="9062" w:type="dxa"/>
            <w:gridSpan w:val="6"/>
            <w:shd w:val="clear" w:color="auto" w:fill="auto"/>
            <w:vAlign w:val="center"/>
            <w:hideMark/>
          </w:tcPr>
          <w:p w14:paraId="13198536" w14:textId="77777777" w:rsidR="000D3933" w:rsidRPr="00342041" w:rsidRDefault="000D3933" w:rsidP="00963AD6">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w wieku 60 lat i więcej</w:t>
            </w:r>
          </w:p>
        </w:tc>
      </w:tr>
      <w:tr w:rsidR="000D3933" w:rsidRPr="00342041" w14:paraId="552B6309" w14:textId="77777777" w:rsidTr="00963AD6">
        <w:trPr>
          <w:trHeight w:val="300"/>
          <w:jc w:val="center"/>
        </w:trPr>
        <w:tc>
          <w:tcPr>
            <w:tcW w:w="1790" w:type="dxa"/>
            <w:shd w:val="clear" w:color="auto" w:fill="9CC2E5" w:themeFill="accent1" w:themeFillTint="99"/>
            <w:vAlign w:val="bottom"/>
            <w:hideMark/>
          </w:tcPr>
          <w:p w14:paraId="1936F3AD" w14:textId="77777777" w:rsidR="000D3933" w:rsidRPr="00342041" w:rsidRDefault="000D3933" w:rsidP="00963AD6">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Ogółem</w:t>
            </w:r>
          </w:p>
        </w:tc>
        <w:tc>
          <w:tcPr>
            <w:tcW w:w="900" w:type="dxa"/>
            <w:shd w:val="clear" w:color="auto" w:fill="auto"/>
            <w:noWrap/>
            <w:vAlign w:val="bottom"/>
            <w:hideMark/>
          </w:tcPr>
          <w:p w14:paraId="6C2F036B" w14:textId="77777777" w:rsidR="000D3933" w:rsidRPr="00342041" w:rsidRDefault="000D3933"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w:t>
            </w:r>
          </w:p>
        </w:tc>
        <w:tc>
          <w:tcPr>
            <w:tcW w:w="788" w:type="dxa"/>
            <w:shd w:val="clear" w:color="auto" w:fill="auto"/>
            <w:noWrap/>
            <w:vAlign w:val="center"/>
            <w:hideMark/>
          </w:tcPr>
          <w:p w14:paraId="62A31C53" w14:textId="77777777" w:rsidR="000D3933" w:rsidRPr="00342041" w:rsidRDefault="000D3933"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45,4</w:t>
            </w:r>
          </w:p>
        </w:tc>
        <w:tc>
          <w:tcPr>
            <w:tcW w:w="1992" w:type="dxa"/>
            <w:shd w:val="clear" w:color="auto" w:fill="auto"/>
            <w:noWrap/>
            <w:vAlign w:val="center"/>
            <w:hideMark/>
          </w:tcPr>
          <w:p w14:paraId="2682911E" w14:textId="77777777" w:rsidR="000D3933" w:rsidRPr="00342041" w:rsidRDefault="000D3933"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15,2</w:t>
            </w:r>
          </w:p>
        </w:tc>
        <w:tc>
          <w:tcPr>
            <w:tcW w:w="2126" w:type="dxa"/>
            <w:shd w:val="clear" w:color="auto" w:fill="auto"/>
            <w:noWrap/>
            <w:vAlign w:val="center"/>
            <w:hideMark/>
          </w:tcPr>
          <w:p w14:paraId="7A05F420" w14:textId="77777777" w:rsidR="000D3933" w:rsidRPr="00342041" w:rsidRDefault="000D3933"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30,2</w:t>
            </w:r>
          </w:p>
        </w:tc>
        <w:tc>
          <w:tcPr>
            <w:tcW w:w="1466" w:type="dxa"/>
            <w:shd w:val="clear" w:color="auto" w:fill="auto"/>
            <w:noWrap/>
            <w:vAlign w:val="center"/>
            <w:hideMark/>
          </w:tcPr>
          <w:p w14:paraId="517373B9" w14:textId="77777777" w:rsidR="000D3933" w:rsidRPr="00342041" w:rsidRDefault="000D3933" w:rsidP="00963AD6">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54,6</w:t>
            </w:r>
          </w:p>
        </w:tc>
      </w:tr>
      <w:tr w:rsidR="000D3933" w:rsidRPr="00342041" w14:paraId="5F422A88" w14:textId="77777777" w:rsidTr="00963AD6">
        <w:trPr>
          <w:trHeight w:val="300"/>
          <w:jc w:val="center"/>
        </w:trPr>
        <w:tc>
          <w:tcPr>
            <w:tcW w:w="1790" w:type="dxa"/>
            <w:shd w:val="clear" w:color="auto" w:fill="9CC2E5" w:themeFill="accent1" w:themeFillTint="99"/>
            <w:noWrap/>
            <w:vAlign w:val="bottom"/>
            <w:hideMark/>
          </w:tcPr>
          <w:p w14:paraId="7C834082" w14:textId="77777777" w:rsidR="000D3933" w:rsidRPr="00342041" w:rsidRDefault="000D3933"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900" w:type="dxa"/>
            <w:shd w:val="clear" w:color="000000" w:fill="FFFFFF"/>
            <w:noWrap/>
            <w:vAlign w:val="bottom"/>
            <w:hideMark/>
          </w:tcPr>
          <w:p w14:paraId="524EBF2D"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788" w:type="dxa"/>
            <w:shd w:val="clear" w:color="000000" w:fill="FFFFFF"/>
            <w:noWrap/>
            <w:vAlign w:val="center"/>
            <w:hideMark/>
          </w:tcPr>
          <w:p w14:paraId="3208F63E"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43,9</w:t>
            </w:r>
          </w:p>
        </w:tc>
        <w:tc>
          <w:tcPr>
            <w:tcW w:w="1992" w:type="dxa"/>
            <w:shd w:val="clear" w:color="000000" w:fill="FFFFFF"/>
            <w:noWrap/>
            <w:vAlign w:val="center"/>
            <w:hideMark/>
          </w:tcPr>
          <w:p w14:paraId="1CDB7AA6"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14,6</w:t>
            </w:r>
          </w:p>
        </w:tc>
        <w:tc>
          <w:tcPr>
            <w:tcW w:w="2126" w:type="dxa"/>
            <w:shd w:val="clear" w:color="000000" w:fill="FFFFFF"/>
            <w:noWrap/>
            <w:vAlign w:val="center"/>
            <w:hideMark/>
          </w:tcPr>
          <w:p w14:paraId="2AFCE8C7"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29,4</w:t>
            </w:r>
          </w:p>
        </w:tc>
        <w:tc>
          <w:tcPr>
            <w:tcW w:w="1466" w:type="dxa"/>
            <w:shd w:val="clear" w:color="000000" w:fill="FFFFFF"/>
            <w:noWrap/>
            <w:vAlign w:val="center"/>
            <w:hideMark/>
          </w:tcPr>
          <w:p w14:paraId="437AF628"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56,1</w:t>
            </w:r>
          </w:p>
        </w:tc>
      </w:tr>
      <w:tr w:rsidR="000D3933" w:rsidRPr="00342041" w14:paraId="2BF93A5A" w14:textId="77777777" w:rsidTr="00963AD6">
        <w:trPr>
          <w:trHeight w:val="300"/>
          <w:jc w:val="center"/>
        </w:trPr>
        <w:tc>
          <w:tcPr>
            <w:tcW w:w="1790" w:type="dxa"/>
            <w:shd w:val="clear" w:color="auto" w:fill="9CC2E5" w:themeFill="accent1" w:themeFillTint="99"/>
            <w:noWrap/>
            <w:vAlign w:val="bottom"/>
            <w:hideMark/>
          </w:tcPr>
          <w:p w14:paraId="0866809F" w14:textId="77777777" w:rsidR="000D3933" w:rsidRPr="00342041" w:rsidRDefault="000D3933"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900" w:type="dxa"/>
            <w:shd w:val="clear" w:color="auto" w:fill="auto"/>
            <w:noWrap/>
            <w:vAlign w:val="bottom"/>
            <w:hideMark/>
          </w:tcPr>
          <w:p w14:paraId="5F6105BD"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788" w:type="dxa"/>
            <w:shd w:val="clear" w:color="auto" w:fill="auto"/>
            <w:noWrap/>
            <w:vAlign w:val="center"/>
            <w:hideMark/>
          </w:tcPr>
          <w:p w14:paraId="2826036C"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46,4</w:t>
            </w:r>
          </w:p>
        </w:tc>
        <w:tc>
          <w:tcPr>
            <w:tcW w:w="1992" w:type="dxa"/>
            <w:shd w:val="clear" w:color="auto" w:fill="auto"/>
            <w:noWrap/>
            <w:vAlign w:val="center"/>
            <w:hideMark/>
          </w:tcPr>
          <w:p w14:paraId="555DFEF4"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15,7</w:t>
            </w:r>
          </w:p>
        </w:tc>
        <w:tc>
          <w:tcPr>
            <w:tcW w:w="2126" w:type="dxa"/>
            <w:shd w:val="clear" w:color="auto" w:fill="auto"/>
            <w:noWrap/>
            <w:vAlign w:val="center"/>
            <w:hideMark/>
          </w:tcPr>
          <w:p w14:paraId="120AC3BD"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30,7</w:t>
            </w:r>
          </w:p>
        </w:tc>
        <w:tc>
          <w:tcPr>
            <w:tcW w:w="1466" w:type="dxa"/>
            <w:shd w:val="clear" w:color="auto" w:fill="auto"/>
            <w:noWrap/>
            <w:vAlign w:val="center"/>
            <w:hideMark/>
          </w:tcPr>
          <w:p w14:paraId="4203EF1E"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53,6</w:t>
            </w:r>
          </w:p>
        </w:tc>
      </w:tr>
      <w:tr w:rsidR="000D3933" w:rsidRPr="00342041" w14:paraId="2A50CEEB" w14:textId="77777777" w:rsidTr="00963AD6">
        <w:trPr>
          <w:trHeight w:val="300"/>
          <w:jc w:val="center"/>
        </w:trPr>
        <w:tc>
          <w:tcPr>
            <w:tcW w:w="1790" w:type="dxa"/>
            <w:shd w:val="clear" w:color="auto" w:fill="9CC2E5" w:themeFill="accent1" w:themeFillTint="99"/>
            <w:noWrap/>
            <w:vAlign w:val="bottom"/>
            <w:hideMark/>
          </w:tcPr>
          <w:p w14:paraId="13404A1E" w14:textId="77777777" w:rsidR="000D3933" w:rsidRPr="00342041" w:rsidRDefault="000D3933"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900" w:type="dxa"/>
            <w:shd w:val="clear" w:color="auto" w:fill="auto"/>
            <w:noWrap/>
            <w:vAlign w:val="bottom"/>
            <w:hideMark/>
          </w:tcPr>
          <w:p w14:paraId="246815F3"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788" w:type="dxa"/>
            <w:shd w:val="clear" w:color="auto" w:fill="auto"/>
            <w:noWrap/>
            <w:vAlign w:val="center"/>
            <w:hideMark/>
          </w:tcPr>
          <w:p w14:paraId="481ED5D5"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45,0</w:t>
            </w:r>
          </w:p>
        </w:tc>
        <w:tc>
          <w:tcPr>
            <w:tcW w:w="1992" w:type="dxa"/>
            <w:shd w:val="clear" w:color="auto" w:fill="auto"/>
            <w:noWrap/>
            <w:vAlign w:val="center"/>
            <w:hideMark/>
          </w:tcPr>
          <w:p w14:paraId="61FE1BF3"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16,0</w:t>
            </w:r>
          </w:p>
        </w:tc>
        <w:tc>
          <w:tcPr>
            <w:tcW w:w="2126" w:type="dxa"/>
            <w:shd w:val="clear" w:color="auto" w:fill="auto"/>
            <w:noWrap/>
            <w:vAlign w:val="center"/>
            <w:hideMark/>
          </w:tcPr>
          <w:p w14:paraId="6C8335BB"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29,0</w:t>
            </w:r>
          </w:p>
        </w:tc>
        <w:tc>
          <w:tcPr>
            <w:tcW w:w="1466" w:type="dxa"/>
            <w:shd w:val="clear" w:color="auto" w:fill="auto"/>
            <w:noWrap/>
            <w:vAlign w:val="center"/>
            <w:hideMark/>
          </w:tcPr>
          <w:p w14:paraId="00B13BD3"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55,0</w:t>
            </w:r>
          </w:p>
        </w:tc>
      </w:tr>
      <w:tr w:rsidR="000D3933" w:rsidRPr="00342041" w14:paraId="7E2FDF27" w14:textId="77777777" w:rsidTr="00963AD6">
        <w:trPr>
          <w:trHeight w:val="300"/>
          <w:jc w:val="center"/>
        </w:trPr>
        <w:tc>
          <w:tcPr>
            <w:tcW w:w="1790" w:type="dxa"/>
            <w:shd w:val="clear" w:color="auto" w:fill="9CC2E5" w:themeFill="accent1" w:themeFillTint="99"/>
            <w:noWrap/>
            <w:vAlign w:val="bottom"/>
            <w:hideMark/>
          </w:tcPr>
          <w:p w14:paraId="791EC8DD" w14:textId="77777777" w:rsidR="000D3933" w:rsidRPr="00342041" w:rsidRDefault="000D3933" w:rsidP="00963AD6">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900" w:type="dxa"/>
            <w:shd w:val="clear" w:color="auto" w:fill="auto"/>
            <w:noWrap/>
            <w:vAlign w:val="bottom"/>
            <w:hideMark/>
          </w:tcPr>
          <w:p w14:paraId="2D0CB42B"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788" w:type="dxa"/>
            <w:shd w:val="clear" w:color="auto" w:fill="auto"/>
            <w:noWrap/>
            <w:vAlign w:val="center"/>
            <w:hideMark/>
          </w:tcPr>
          <w:p w14:paraId="5B68AAD0"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46,0</w:t>
            </w:r>
          </w:p>
        </w:tc>
        <w:tc>
          <w:tcPr>
            <w:tcW w:w="1992" w:type="dxa"/>
            <w:shd w:val="clear" w:color="auto" w:fill="auto"/>
            <w:noWrap/>
            <w:vAlign w:val="center"/>
            <w:hideMark/>
          </w:tcPr>
          <w:p w14:paraId="596DDB8E"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13,9</w:t>
            </w:r>
          </w:p>
        </w:tc>
        <w:tc>
          <w:tcPr>
            <w:tcW w:w="2126" w:type="dxa"/>
            <w:shd w:val="clear" w:color="auto" w:fill="auto"/>
            <w:noWrap/>
            <w:vAlign w:val="center"/>
            <w:hideMark/>
          </w:tcPr>
          <w:p w14:paraId="668CC94D"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32,1</w:t>
            </w:r>
          </w:p>
        </w:tc>
        <w:tc>
          <w:tcPr>
            <w:tcW w:w="1466" w:type="dxa"/>
            <w:shd w:val="clear" w:color="auto" w:fill="auto"/>
            <w:noWrap/>
            <w:vAlign w:val="center"/>
            <w:hideMark/>
          </w:tcPr>
          <w:p w14:paraId="42136C55" w14:textId="77777777" w:rsidR="000D3933" w:rsidRPr="00342041" w:rsidRDefault="000D3933" w:rsidP="00963AD6">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54,0</w:t>
            </w:r>
          </w:p>
        </w:tc>
      </w:tr>
    </w:tbl>
    <w:p w14:paraId="0D90D90D" w14:textId="77777777" w:rsidR="002D4849" w:rsidRPr="003614D0" w:rsidRDefault="000D3933" w:rsidP="003C1988">
      <w:pPr>
        <w:rPr>
          <w:rFonts w:ascii="Times New Roman" w:hAnsi="Times New Roman" w:cs="Times New Roman"/>
          <w:b/>
        </w:rPr>
      </w:pPr>
      <w:r w:rsidRPr="003614D0">
        <w:rPr>
          <w:rFonts w:ascii="Times New Roman" w:hAnsi="Times New Roman" w:cs="Times New Roman"/>
          <w:b/>
        </w:rPr>
        <w:t>Źródło: Badanie EU-SILC 2019 r.,</w:t>
      </w:r>
      <w:r w:rsidR="00392F7C">
        <w:rPr>
          <w:rFonts w:ascii="Times New Roman" w:hAnsi="Times New Roman" w:cs="Times New Roman"/>
          <w:b/>
        </w:rPr>
        <w:t xml:space="preserve"> </w:t>
      </w:r>
      <w:r w:rsidRPr="003614D0">
        <w:rPr>
          <w:rFonts w:ascii="Times New Roman" w:hAnsi="Times New Roman" w:cs="Times New Roman"/>
          <w:b/>
        </w:rPr>
        <w:t>GUS</w:t>
      </w:r>
    </w:p>
    <w:p w14:paraId="08E38132" w14:textId="77777777" w:rsidR="003614D0" w:rsidRDefault="002B3DC0" w:rsidP="002B3DC0">
      <w:pPr>
        <w:spacing w:after="0"/>
        <w:jc w:val="both"/>
        <w:rPr>
          <w:rFonts w:ascii="Times New Roman" w:hAnsi="Times New Roman" w:cs="Times New Roman"/>
          <w:color w:val="FF0000"/>
          <w:sz w:val="24"/>
          <w:szCs w:val="24"/>
        </w:rPr>
      </w:pPr>
      <w:r w:rsidRPr="002C6845">
        <w:rPr>
          <w:rFonts w:ascii="Times New Roman" w:hAnsi="Times New Roman" w:cs="Times New Roman"/>
          <w:sz w:val="24"/>
          <w:szCs w:val="24"/>
        </w:rPr>
        <w:t>Poważnie lub niezbyt poważnie ograniczona zdolność do wykonywania codziennych czynności (trwająca od co najmniej 6 miesięcy) dotyczyła w 2019 r. 45,4% osób starszych</w:t>
      </w:r>
      <w:r w:rsidRPr="002C6845">
        <w:rPr>
          <w:rFonts w:ascii="Times New Roman" w:hAnsi="Times New Roman" w:cs="Times New Roman"/>
          <w:i/>
          <w:sz w:val="24"/>
          <w:szCs w:val="24"/>
        </w:rPr>
        <w:t>.</w:t>
      </w:r>
      <w:r w:rsidRPr="002C6845">
        <w:rPr>
          <w:rFonts w:ascii="Times New Roman" w:hAnsi="Times New Roman" w:cs="Times New Roman"/>
          <w:sz w:val="24"/>
          <w:szCs w:val="24"/>
        </w:rPr>
        <w:t xml:space="preserve"> Odsetek wskazań był o 2,5 p. proc. wyższy wśród kobiet niż w grupie mężczyzn (</w:t>
      </w:r>
      <w:r w:rsidRPr="002C6845">
        <w:rPr>
          <w:rFonts w:ascii="Times New Roman" w:hAnsi="Times New Roman" w:cs="Times New Roman"/>
          <w:iCs/>
          <w:sz w:val="24"/>
          <w:szCs w:val="24"/>
        </w:rPr>
        <w:t xml:space="preserve">odpowiednio 46,4% i 43,9%). Większy udział </w:t>
      </w:r>
      <w:r w:rsidRPr="002C6845">
        <w:rPr>
          <w:rFonts w:ascii="Times New Roman" w:hAnsi="Times New Roman" w:cs="Times New Roman"/>
          <w:sz w:val="24"/>
          <w:szCs w:val="24"/>
        </w:rPr>
        <w:t>deklarujących ograniczoną zdolność do wykonywania codziennych czynności (w stopniu poważnym lub niezbyt poważnym) odnotowano wśród mieszkańców wsi (46,0%) niż miast (45,0%). Warto jednak zauważyć, że podobnie jak w roku poprzednim, ponad połowa osób powyżej 60 roku życia (54,6% w 2019 r.) zadeklarowała brak ograniczeń w wykonywaniu czynności.</w:t>
      </w:r>
      <w:r w:rsidRPr="002C6845">
        <w:rPr>
          <w:rFonts w:ascii="Times New Roman" w:hAnsi="Times New Roman" w:cs="Times New Roman"/>
          <w:color w:val="FF0000"/>
          <w:sz w:val="24"/>
          <w:szCs w:val="24"/>
        </w:rPr>
        <w:t xml:space="preserve"> </w:t>
      </w:r>
    </w:p>
    <w:p w14:paraId="1AE01ADB" w14:textId="77777777" w:rsidR="002B3DC0" w:rsidRPr="002B3DC0" w:rsidRDefault="002B3DC0" w:rsidP="002B3DC0">
      <w:pPr>
        <w:spacing w:after="0"/>
        <w:jc w:val="both"/>
        <w:rPr>
          <w:rFonts w:ascii="Times New Roman" w:hAnsi="Times New Roman" w:cs="Times New Roman"/>
          <w:color w:val="FF0000"/>
          <w:sz w:val="24"/>
          <w:szCs w:val="24"/>
        </w:rPr>
      </w:pPr>
    </w:p>
    <w:p w14:paraId="2273062C" w14:textId="3108E6C9" w:rsidR="003614D0" w:rsidRPr="003614D0" w:rsidRDefault="003614D0" w:rsidP="003614D0">
      <w:pPr>
        <w:pStyle w:val="Legenda"/>
        <w:keepNext/>
        <w:rPr>
          <w:rFonts w:ascii="Times New Roman" w:hAnsi="Times New Roman" w:cs="Times New Roman"/>
          <w:b/>
          <w:i w:val="0"/>
          <w:sz w:val="24"/>
        </w:rPr>
      </w:pPr>
      <w:bookmarkStart w:id="38" w:name="_Toc49171402"/>
      <w:r w:rsidRPr="003614D0">
        <w:rPr>
          <w:rFonts w:ascii="Times New Roman" w:hAnsi="Times New Roman" w:cs="Times New Roman"/>
          <w:b/>
          <w:i w:val="0"/>
          <w:sz w:val="24"/>
        </w:rPr>
        <w:lastRenderedPageBreak/>
        <w:t xml:space="preserve">Tabela </w:t>
      </w:r>
      <w:r w:rsidRPr="003614D0">
        <w:rPr>
          <w:rFonts w:ascii="Times New Roman" w:hAnsi="Times New Roman" w:cs="Times New Roman"/>
          <w:b/>
          <w:i w:val="0"/>
          <w:sz w:val="24"/>
        </w:rPr>
        <w:fldChar w:fldCharType="begin"/>
      </w:r>
      <w:r w:rsidRPr="003614D0">
        <w:rPr>
          <w:rFonts w:ascii="Times New Roman" w:hAnsi="Times New Roman" w:cs="Times New Roman"/>
          <w:b/>
          <w:i w:val="0"/>
          <w:sz w:val="24"/>
        </w:rPr>
        <w:instrText xml:space="preserve"> SEQ Tabela \* ARABIC </w:instrText>
      </w:r>
      <w:r w:rsidRPr="003614D0">
        <w:rPr>
          <w:rFonts w:ascii="Times New Roman" w:hAnsi="Times New Roman" w:cs="Times New Roman"/>
          <w:b/>
          <w:i w:val="0"/>
          <w:sz w:val="24"/>
        </w:rPr>
        <w:fldChar w:fldCharType="separate"/>
      </w:r>
      <w:r w:rsidR="00C154C9">
        <w:rPr>
          <w:rFonts w:ascii="Times New Roman" w:hAnsi="Times New Roman" w:cs="Times New Roman"/>
          <w:b/>
          <w:i w:val="0"/>
          <w:noProof/>
          <w:sz w:val="24"/>
        </w:rPr>
        <w:t>27</w:t>
      </w:r>
      <w:r w:rsidRPr="003614D0">
        <w:rPr>
          <w:rFonts w:ascii="Times New Roman" w:hAnsi="Times New Roman" w:cs="Times New Roman"/>
          <w:b/>
          <w:i w:val="0"/>
          <w:sz w:val="24"/>
        </w:rPr>
        <w:fldChar w:fldCharType="end"/>
      </w:r>
      <w:r w:rsidRPr="003614D0">
        <w:rPr>
          <w:rFonts w:ascii="Times New Roman" w:hAnsi="Times New Roman" w:cs="Times New Roman"/>
          <w:b/>
          <w:i w:val="0"/>
          <w:sz w:val="24"/>
        </w:rPr>
        <w:t xml:space="preserve"> Potrzeby skorzystania z leczenia lub badania w 2019 r.</w:t>
      </w:r>
      <w:bookmarkEnd w:id="38"/>
    </w:p>
    <w:tbl>
      <w:tblPr>
        <w:tblW w:w="9204"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488"/>
        <w:gridCol w:w="900"/>
        <w:gridCol w:w="2696"/>
        <w:gridCol w:w="3120"/>
      </w:tblGrid>
      <w:tr w:rsidR="00F2053C" w:rsidRPr="00342041" w14:paraId="7A1E8C94" w14:textId="77777777" w:rsidTr="00812B7B">
        <w:trPr>
          <w:trHeight w:val="1554"/>
        </w:trPr>
        <w:tc>
          <w:tcPr>
            <w:tcW w:w="2488" w:type="dxa"/>
            <w:vMerge w:val="restart"/>
            <w:shd w:val="clear" w:color="auto" w:fill="9CC2E5" w:themeFill="accent1" w:themeFillTint="99"/>
            <w:noWrap/>
            <w:vAlign w:val="center"/>
            <w:hideMark/>
          </w:tcPr>
          <w:p w14:paraId="31C08BD2" w14:textId="77777777" w:rsidR="00F2053C" w:rsidRPr="00342041" w:rsidRDefault="00F2053C"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Wyszczególnienie</w:t>
            </w:r>
          </w:p>
        </w:tc>
        <w:tc>
          <w:tcPr>
            <w:tcW w:w="900" w:type="dxa"/>
            <w:vMerge w:val="restart"/>
            <w:shd w:val="clear" w:color="auto" w:fill="9CC2E5" w:themeFill="accent1" w:themeFillTint="99"/>
            <w:noWrap/>
            <w:vAlign w:val="center"/>
            <w:hideMark/>
          </w:tcPr>
          <w:p w14:paraId="42C0B5DB" w14:textId="77777777" w:rsidR="00F2053C" w:rsidRPr="00342041" w:rsidRDefault="00F2053C"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5816" w:type="dxa"/>
            <w:gridSpan w:val="2"/>
            <w:shd w:val="clear" w:color="auto" w:fill="9CC2E5" w:themeFill="accent1" w:themeFillTint="99"/>
            <w:vAlign w:val="center"/>
            <w:hideMark/>
          </w:tcPr>
          <w:p w14:paraId="760D5FBB" w14:textId="77777777" w:rsidR="00F2053C" w:rsidRPr="00342041" w:rsidRDefault="00F2053C" w:rsidP="00BF1853">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 xml:space="preserve">Czy w ciągu ostatnich 12 miesięcy zdarzyło się, że rzeczywiście potrzebował(a) Pan/Pani leczenia lub badania, tj.: </w:t>
            </w:r>
            <w:r w:rsidRPr="00342041">
              <w:rPr>
                <w:rFonts w:ascii="Times New Roman" w:eastAsia="Times New Roman" w:hAnsi="Times New Roman" w:cs="Times New Roman"/>
                <w:b/>
                <w:color w:val="000000"/>
                <w:sz w:val="20"/>
                <w:szCs w:val="20"/>
                <w:lang w:eastAsia="pl-PL"/>
              </w:rPr>
              <w:br/>
              <w:t xml:space="preserve">-  konsultacji z lekarzem rodzinnym / pierwszego kontaktu lub specjalistą (wyłączając dentystę i ortodontę) </w:t>
            </w:r>
            <w:r w:rsidRPr="00342041">
              <w:rPr>
                <w:rFonts w:ascii="Times New Roman" w:eastAsia="Times New Roman" w:hAnsi="Times New Roman" w:cs="Times New Roman"/>
                <w:b/>
                <w:color w:val="000000"/>
                <w:sz w:val="20"/>
                <w:szCs w:val="20"/>
                <w:lang w:eastAsia="pl-PL"/>
              </w:rPr>
              <w:br/>
              <w:t>-  leczenia szpitalnego, rehabilitacji</w:t>
            </w:r>
            <w:r w:rsidRPr="00342041">
              <w:rPr>
                <w:rFonts w:ascii="Times New Roman" w:eastAsia="Times New Roman" w:hAnsi="Times New Roman" w:cs="Times New Roman"/>
                <w:b/>
                <w:color w:val="000000"/>
                <w:sz w:val="20"/>
                <w:szCs w:val="20"/>
                <w:lang w:eastAsia="pl-PL"/>
              </w:rPr>
              <w:br/>
              <w:t>-  badania w laboratorium lub pracowni diagnostycznej?</w:t>
            </w:r>
          </w:p>
        </w:tc>
      </w:tr>
      <w:tr w:rsidR="00F2053C" w:rsidRPr="00342041" w14:paraId="7F2707DC" w14:textId="77777777" w:rsidTr="00392F7C">
        <w:trPr>
          <w:trHeight w:val="300"/>
        </w:trPr>
        <w:tc>
          <w:tcPr>
            <w:tcW w:w="2488" w:type="dxa"/>
            <w:vMerge/>
            <w:shd w:val="clear" w:color="auto" w:fill="9CC2E5" w:themeFill="accent1" w:themeFillTint="99"/>
            <w:vAlign w:val="center"/>
            <w:hideMark/>
          </w:tcPr>
          <w:p w14:paraId="01040F84" w14:textId="77777777" w:rsidR="00F2053C" w:rsidRPr="00342041" w:rsidRDefault="00F2053C" w:rsidP="00BF1853">
            <w:pPr>
              <w:spacing w:after="0" w:line="240" w:lineRule="auto"/>
              <w:jc w:val="center"/>
              <w:rPr>
                <w:rFonts w:ascii="Times New Roman" w:eastAsia="Times New Roman" w:hAnsi="Times New Roman" w:cs="Times New Roman"/>
                <w:b/>
                <w:sz w:val="20"/>
                <w:szCs w:val="20"/>
                <w:lang w:eastAsia="pl-PL"/>
              </w:rPr>
            </w:pPr>
          </w:p>
        </w:tc>
        <w:tc>
          <w:tcPr>
            <w:tcW w:w="900" w:type="dxa"/>
            <w:vMerge/>
            <w:shd w:val="clear" w:color="auto" w:fill="9CC2E5" w:themeFill="accent1" w:themeFillTint="99"/>
            <w:vAlign w:val="center"/>
            <w:hideMark/>
          </w:tcPr>
          <w:p w14:paraId="13D3F746" w14:textId="77777777" w:rsidR="00F2053C" w:rsidRPr="00342041" w:rsidRDefault="00F2053C" w:rsidP="00BF1853">
            <w:pPr>
              <w:spacing w:after="0" w:line="240" w:lineRule="auto"/>
              <w:jc w:val="center"/>
              <w:rPr>
                <w:rFonts w:ascii="Times New Roman" w:eastAsia="Times New Roman" w:hAnsi="Times New Roman" w:cs="Times New Roman"/>
                <w:b/>
                <w:sz w:val="20"/>
                <w:szCs w:val="20"/>
                <w:lang w:eastAsia="pl-PL"/>
              </w:rPr>
            </w:pPr>
          </w:p>
        </w:tc>
        <w:tc>
          <w:tcPr>
            <w:tcW w:w="2696" w:type="dxa"/>
            <w:shd w:val="clear" w:color="auto" w:fill="9CC2E5" w:themeFill="accent1" w:themeFillTint="99"/>
            <w:vAlign w:val="center"/>
            <w:hideMark/>
          </w:tcPr>
          <w:p w14:paraId="45C1F460" w14:textId="77777777" w:rsidR="00F2053C" w:rsidRPr="00342041" w:rsidRDefault="00F2053C"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Tak</w:t>
            </w:r>
          </w:p>
        </w:tc>
        <w:tc>
          <w:tcPr>
            <w:tcW w:w="3120" w:type="dxa"/>
            <w:shd w:val="clear" w:color="auto" w:fill="9CC2E5" w:themeFill="accent1" w:themeFillTint="99"/>
            <w:vAlign w:val="center"/>
            <w:hideMark/>
          </w:tcPr>
          <w:p w14:paraId="3CC8D1D7" w14:textId="77777777" w:rsidR="00F2053C" w:rsidRPr="00342041" w:rsidRDefault="00F2053C"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Nie</w:t>
            </w:r>
          </w:p>
        </w:tc>
      </w:tr>
      <w:tr w:rsidR="00F2053C" w:rsidRPr="00342041" w14:paraId="4B0F6E54" w14:textId="77777777" w:rsidTr="00392F7C">
        <w:trPr>
          <w:trHeight w:val="300"/>
        </w:trPr>
        <w:tc>
          <w:tcPr>
            <w:tcW w:w="2488" w:type="dxa"/>
            <w:vMerge/>
            <w:shd w:val="clear" w:color="auto" w:fill="9CC2E5" w:themeFill="accent1" w:themeFillTint="99"/>
            <w:vAlign w:val="center"/>
            <w:hideMark/>
          </w:tcPr>
          <w:p w14:paraId="17656C33" w14:textId="77777777" w:rsidR="00F2053C" w:rsidRPr="00342041" w:rsidRDefault="00F2053C" w:rsidP="00BF1853">
            <w:pPr>
              <w:spacing w:after="0" w:line="240" w:lineRule="auto"/>
              <w:jc w:val="center"/>
              <w:rPr>
                <w:rFonts w:ascii="Times New Roman" w:eastAsia="Times New Roman" w:hAnsi="Times New Roman" w:cs="Times New Roman"/>
                <w:b/>
                <w:sz w:val="20"/>
                <w:szCs w:val="20"/>
                <w:lang w:eastAsia="pl-PL"/>
              </w:rPr>
            </w:pPr>
          </w:p>
        </w:tc>
        <w:tc>
          <w:tcPr>
            <w:tcW w:w="6716" w:type="dxa"/>
            <w:gridSpan w:val="3"/>
            <w:shd w:val="clear" w:color="auto" w:fill="9CC2E5" w:themeFill="accent1" w:themeFillTint="99"/>
            <w:vAlign w:val="center"/>
            <w:hideMark/>
          </w:tcPr>
          <w:p w14:paraId="28F49BF2" w14:textId="77777777" w:rsidR="00F2053C" w:rsidRPr="00342041" w:rsidRDefault="00F2053C"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 osób danej grupy</w:t>
            </w:r>
          </w:p>
        </w:tc>
      </w:tr>
      <w:tr w:rsidR="00F2053C" w:rsidRPr="00342041" w14:paraId="1D011D1E" w14:textId="77777777" w:rsidTr="00812B7B">
        <w:trPr>
          <w:trHeight w:val="94"/>
        </w:trPr>
        <w:tc>
          <w:tcPr>
            <w:tcW w:w="9204" w:type="dxa"/>
            <w:gridSpan w:val="4"/>
            <w:shd w:val="clear" w:color="auto" w:fill="auto"/>
            <w:vAlign w:val="center"/>
            <w:hideMark/>
          </w:tcPr>
          <w:p w14:paraId="2A085712" w14:textId="77777777" w:rsidR="00F2053C" w:rsidRPr="00342041" w:rsidRDefault="00F2053C"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 osoby w wieku 16 lat i więcej</w:t>
            </w:r>
          </w:p>
        </w:tc>
      </w:tr>
      <w:tr w:rsidR="00F2053C" w:rsidRPr="00342041" w14:paraId="368CD7A0" w14:textId="77777777" w:rsidTr="00392F7C">
        <w:trPr>
          <w:trHeight w:val="300"/>
        </w:trPr>
        <w:tc>
          <w:tcPr>
            <w:tcW w:w="2488" w:type="dxa"/>
            <w:shd w:val="clear" w:color="auto" w:fill="9CC2E5" w:themeFill="accent1" w:themeFillTint="99"/>
            <w:vAlign w:val="bottom"/>
            <w:hideMark/>
          </w:tcPr>
          <w:p w14:paraId="4EC6B7A1" w14:textId="77777777" w:rsidR="00F2053C" w:rsidRPr="00342041" w:rsidRDefault="00F2053C" w:rsidP="00BF1853">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Ogółem </w:t>
            </w:r>
          </w:p>
        </w:tc>
        <w:tc>
          <w:tcPr>
            <w:tcW w:w="900" w:type="dxa"/>
            <w:shd w:val="clear" w:color="auto" w:fill="auto"/>
            <w:noWrap/>
            <w:vAlign w:val="center"/>
            <w:hideMark/>
          </w:tcPr>
          <w:p w14:paraId="387F6A04" w14:textId="77777777" w:rsidR="00F2053C" w:rsidRPr="00342041" w:rsidRDefault="00F2053C"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w:t>
            </w:r>
          </w:p>
        </w:tc>
        <w:tc>
          <w:tcPr>
            <w:tcW w:w="2696" w:type="dxa"/>
            <w:shd w:val="clear" w:color="auto" w:fill="auto"/>
            <w:noWrap/>
            <w:vAlign w:val="center"/>
            <w:hideMark/>
          </w:tcPr>
          <w:p w14:paraId="0B12DCB8" w14:textId="77777777" w:rsidR="00F2053C" w:rsidRPr="00342041" w:rsidRDefault="00F2053C"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61,9</w:t>
            </w:r>
          </w:p>
        </w:tc>
        <w:tc>
          <w:tcPr>
            <w:tcW w:w="3120" w:type="dxa"/>
            <w:shd w:val="clear" w:color="auto" w:fill="auto"/>
            <w:noWrap/>
            <w:vAlign w:val="center"/>
            <w:hideMark/>
          </w:tcPr>
          <w:p w14:paraId="6DAA3A56" w14:textId="77777777" w:rsidR="00F2053C" w:rsidRPr="00342041" w:rsidRDefault="00F2053C"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38,1</w:t>
            </w:r>
          </w:p>
        </w:tc>
      </w:tr>
      <w:tr w:rsidR="00F2053C" w:rsidRPr="00342041" w14:paraId="1F3BBA4D" w14:textId="77777777" w:rsidTr="00392F7C">
        <w:trPr>
          <w:trHeight w:val="300"/>
        </w:trPr>
        <w:tc>
          <w:tcPr>
            <w:tcW w:w="2488" w:type="dxa"/>
            <w:shd w:val="clear" w:color="auto" w:fill="9CC2E5" w:themeFill="accent1" w:themeFillTint="99"/>
            <w:noWrap/>
            <w:vAlign w:val="bottom"/>
            <w:hideMark/>
          </w:tcPr>
          <w:p w14:paraId="5438DBA2" w14:textId="77777777" w:rsidR="00F2053C" w:rsidRPr="00342041" w:rsidRDefault="00F2053C"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900" w:type="dxa"/>
            <w:shd w:val="clear" w:color="auto" w:fill="auto"/>
            <w:noWrap/>
            <w:vAlign w:val="bottom"/>
            <w:hideMark/>
          </w:tcPr>
          <w:p w14:paraId="244EACC5"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696" w:type="dxa"/>
            <w:shd w:val="clear" w:color="auto" w:fill="auto"/>
            <w:noWrap/>
            <w:vAlign w:val="center"/>
            <w:hideMark/>
          </w:tcPr>
          <w:p w14:paraId="7946D003"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56,4</w:t>
            </w:r>
          </w:p>
        </w:tc>
        <w:tc>
          <w:tcPr>
            <w:tcW w:w="3120" w:type="dxa"/>
            <w:shd w:val="clear" w:color="auto" w:fill="auto"/>
            <w:noWrap/>
            <w:vAlign w:val="center"/>
            <w:hideMark/>
          </w:tcPr>
          <w:p w14:paraId="2CA70A1D"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43,6</w:t>
            </w:r>
          </w:p>
        </w:tc>
      </w:tr>
      <w:tr w:rsidR="00F2053C" w:rsidRPr="00342041" w14:paraId="05F31E71" w14:textId="77777777" w:rsidTr="00392F7C">
        <w:trPr>
          <w:trHeight w:val="300"/>
        </w:trPr>
        <w:tc>
          <w:tcPr>
            <w:tcW w:w="2488" w:type="dxa"/>
            <w:shd w:val="clear" w:color="auto" w:fill="9CC2E5" w:themeFill="accent1" w:themeFillTint="99"/>
            <w:noWrap/>
            <w:vAlign w:val="bottom"/>
            <w:hideMark/>
          </w:tcPr>
          <w:p w14:paraId="5166E58D" w14:textId="77777777" w:rsidR="00F2053C" w:rsidRPr="00342041" w:rsidRDefault="00F2053C"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900" w:type="dxa"/>
            <w:shd w:val="clear" w:color="auto" w:fill="auto"/>
            <w:noWrap/>
            <w:vAlign w:val="bottom"/>
            <w:hideMark/>
          </w:tcPr>
          <w:p w14:paraId="73813A4C"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696" w:type="dxa"/>
            <w:shd w:val="clear" w:color="auto" w:fill="auto"/>
            <w:noWrap/>
            <w:vAlign w:val="center"/>
            <w:hideMark/>
          </w:tcPr>
          <w:p w14:paraId="3FA65AEA"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66,5</w:t>
            </w:r>
          </w:p>
        </w:tc>
        <w:tc>
          <w:tcPr>
            <w:tcW w:w="3120" w:type="dxa"/>
            <w:shd w:val="clear" w:color="auto" w:fill="auto"/>
            <w:noWrap/>
            <w:vAlign w:val="center"/>
            <w:hideMark/>
          </w:tcPr>
          <w:p w14:paraId="6BFA8CA9"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33,5</w:t>
            </w:r>
          </w:p>
        </w:tc>
      </w:tr>
      <w:tr w:rsidR="00F2053C" w:rsidRPr="00342041" w14:paraId="733936CF" w14:textId="77777777" w:rsidTr="00392F7C">
        <w:trPr>
          <w:trHeight w:val="300"/>
        </w:trPr>
        <w:tc>
          <w:tcPr>
            <w:tcW w:w="2488" w:type="dxa"/>
            <w:shd w:val="clear" w:color="auto" w:fill="9CC2E5" w:themeFill="accent1" w:themeFillTint="99"/>
            <w:noWrap/>
            <w:vAlign w:val="bottom"/>
            <w:hideMark/>
          </w:tcPr>
          <w:p w14:paraId="5AE39005" w14:textId="77777777" w:rsidR="00F2053C" w:rsidRPr="00342041" w:rsidRDefault="00F2053C"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900" w:type="dxa"/>
            <w:shd w:val="clear" w:color="auto" w:fill="auto"/>
            <w:noWrap/>
            <w:vAlign w:val="bottom"/>
            <w:hideMark/>
          </w:tcPr>
          <w:p w14:paraId="6718E7C8"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696" w:type="dxa"/>
            <w:shd w:val="clear" w:color="auto" w:fill="auto"/>
            <w:noWrap/>
            <w:vAlign w:val="center"/>
            <w:hideMark/>
          </w:tcPr>
          <w:p w14:paraId="4180C6F0"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64,7</w:t>
            </w:r>
          </w:p>
        </w:tc>
        <w:tc>
          <w:tcPr>
            <w:tcW w:w="3120" w:type="dxa"/>
            <w:shd w:val="clear" w:color="auto" w:fill="auto"/>
            <w:noWrap/>
            <w:vAlign w:val="center"/>
            <w:hideMark/>
          </w:tcPr>
          <w:p w14:paraId="045CB284"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35,3</w:t>
            </w:r>
          </w:p>
        </w:tc>
      </w:tr>
      <w:tr w:rsidR="00F2053C" w:rsidRPr="00342041" w14:paraId="71101BE4" w14:textId="77777777" w:rsidTr="00392F7C">
        <w:trPr>
          <w:trHeight w:val="300"/>
        </w:trPr>
        <w:tc>
          <w:tcPr>
            <w:tcW w:w="2488" w:type="dxa"/>
            <w:shd w:val="clear" w:color="auto" w:fill="9CC2E5" w:themeFill="accent1" w:themeFillTint="99"/>
            <w:noWrap/>
            <w:vAlign w:val="bottom"/>
            <w:hideMark/>
          </w:tcPr>
          <w:p w14:paraId="74F8A0A0" w14:textId="77777777" w:rsidR="00F2053C" w:rsidRPr="00342041" w:rsidRDefault="00F2053C"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900" w:type="dxa"/>
            <w:shd w:val="clear" w:color="auto" w:fill="auto"/>
            <w:noWrap/>
            <w:vAlign w:val="bottom"/>
            <w:hideMark/>
          </w:tcPr>
          <w:p w14:paraId="01371D07"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696" w:type="dxa"/>
            <w:shd w:val="clear" w:color="auto" w:fill="auto"/>
            <w:noWrap/>
            <w:vAlign w:val="center"/>
            <w:hideMark/>
          </w:tcPr>
          <w:p w14:paraId="3A61559B"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57,5</w:t>
            </w:r>
          </w:p>
        </w:tc>
        <w:tc>
          <w:tcPr>
            <w:tcW w:w="3120" w:type="dxa"/>
            <w:shd w:val="clear" w:color="auto" w:fill="auto"/>
            <w:noWrap/>
            <w:vAlign w:val="center"/>
            <w:hideMark/>
          </w:tcPr>
          <w:p w14:paraId="431E00C3"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42,5</w:t>
            </w:r>
          </w:p>
        </w:tc>
      </w:tr>
      <w:tr w:rsidR="00F2053C" w:rsidRPr="00342041" w14:paraId="4AE48E1E" w14:textId="77777777" w:rsidTr="00812B7B">
        <w:trPr>
          <w:trHeight w:val="193"/>
        </w:trPr>
        <w:tc>
          <w:tcPr>
            <w:tcW w:w="9204" w:type="dxa"/>
            <w:gridSpan w:val="4"/>
            <w:shd w:val="clear" w:color="auto" w:fill="auto"/>
            <w:vAlign w:val="center"/>
            <w:hideMark/>
          </w:tcPr>
          <w:p w14:paraId="120AFEFB" w14:textId="77777777" w:rsidR="00F2053C" w:rsidRPr="00342041" w:rsidRDefault="00F2053C"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w wieku 60 lat i więcej</w:t>
            </w:r>
          </w:p>
        </w:tc>
      </w:tr>
      <w:tr w:rsidR="00F2053C" w:rsidRPr="00342041" w14:paraId="23F3CE80" w14:textId="77777777" w:rsidTr="00392F7C">
        <w:trPr>
          <w:trHeight w:val="300"/>
        </w:trPr>
        <w:tc>
          <w:tcPr>
            <w:tcW w:w="2488" w:type="dxa"/>
            <w:shd w:val="clear" w:color="auto" w:fill="9CC2E5" w:themeFill="accent1" w:themeFillTint="99"/>
            <w:vAlign w:val="bottom"/>
            <w:hideMark/>
          </w:tcPr>
          <w:p w14:paraId="3D2CF1CF" w14:textId="77777777" w:rsidR="00F2053C" w:rsidRPr="00342041" w:rsidRDefault="00F2053C" w:rsidP="00BF1853">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Ogółem </w:t>
            </w:r>
          </w:p>
        </w:tc>
        <w:tc>
          <w:tcPr>
            <w:tcW w:w="900" w:type="dxa"/>
            <w:shd w:val="clear" w:color="auto" w:fill="auto"/>
            <w:noWrap/>
            <w:vAlign w:val="center"/>
            <w:hideMark/>
          </w:tcPr>
          <w:p w14:paraId="00457509" w14:textId="77777777" w:rsidR="00F2053C" w:rsidRPr="00342041" w:rsidRDefault="00F2053C"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w:t>
            </w:r>
          </w:p>
        </w:tc>
        <w:tc>
          <w:tcPr>
            <w:tcW w:w="2696" w:type="dxa"/>
            <w:shd w:val="clear" w:color="auto" w:fill="auto"/>
            <w:noWrap/>
            <w:vAlign w:val="center"/>
            <w:hideMark/>
          </w:tcPr>
          <w:p w14:paraId="03A77DCA" w14:textId="77777777" w:rsidR="00F2053C" w:rsidRPr="00342041" w:rsidRDefault="00F2053C"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73,4</w:t>
            </w:r>
          </w:p>
        </w:tc>
        <w:tc>
          <w:tcPr>
            <w:tcW w:w="3120" w:type="dxa"/>
            <w:shd w:val="clear" w:color="auto" w:fill="auto"/>
            <w:noWrap/>
            <w:vAlign w:val="center"/>
            <w:hideMark/>
          </w:tcPr>
          <w:p w14:paraId="4B91659B" w14:textId="77777777" w:rsidR="00F2053C" w:rsidRPr="00342041" w:rsidRDefault="00F2053C"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26,6</w:t>
            </w:r>
          </w:p>
        </w:tc>
      </w:tr>
      <w:tr w:rsidR="00F2053C" w:rsidRPr="00342041" w14:paraId="7FE73E2A" w14:textId="77777777" w:rsidTr="00392F7C">
        <w:trPr>
          <w:trHeight w:val="300"/>
        </w:trPr>
        <w:tc>
          <w:tcPr>
            <w:tcW w:w="2488" w:type="dxa"/>
            <w:shd w:val="clear" w:color="auto" w:fill="9CC2E5" w:themeFill="accent1" w:themeFillTint="99"/>
            <w:noWrap/>
            <w:vAlign w:val="bottom"/>
            <w:hideMark/>
          </w:tcPr>
          <w:p w14:paraId="5B45DA5E" w14:textId="77777777" w:rsidR="00F2053C" w:rsidRPr="00342041" w:rsidRDefault="00F2053C"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900" w:type="dxa"/>
            <w:shd w:val="clear" w:color="auto" w:fill="auto"/>
            <w:noWrap/>
            <w:vAlign w:val="bottom"/>
            <w:hideMark/>
          </w:tcPr>
          <w:p w14:paraId="21D72822"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696" w:type="dxa"/>
            <w:shd w:val="clear" w:color="auto" w:fill="auto"/>
            <w:noWrap/>
            <w:vAlign w:val="center"/>
            <w:hideMark/>
          </w:tcPr>
          <w:p w14:paraId="562B6DFA"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70,9</w:t>
            </w:r>
          </w:p>
        </w:tc>
        <w:tc>
          <w:tcPr>
            <w:tcW w:w="3120" w:type="dxa"/>
            <w:shd w:val="clear" w:color="auto" w:fill="auto"/>
            <w:noWrap/>
            <w:vAlign w:val="center"/>
            <w:hideMark/>
          </w:tcPr>
          <w:p w14:paraId="5B26F08D"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29,1</w:t>
            </w:r>
          </w:p>
        </w:tc>
      </w:tr>
      <w:tr w:rsidR="00F2053C" w:rsidRPr="00342041" w14:paraId="0007883E" w14:textId="77777777" w:rsidTr="00392F7C">
        <w:trPr>
          <w:trHeight w:val="300"/>
        </w:trPr>
        <w:tc>
          <w:tcPr>
            <w:tcW w:w="2488" w:type="dxa"/>
            <w:shd w:val="clear" w:color="auto" w:fill="9CC2E5" w:themeFill="accent1" w:themeFillTint="99"/>
            <w:noWrap/>
            <w:vAlign w:val="bottom"/>
            <w:hideMark/>
          </w:tcPr>
          <w:p w14:paraId="6548D581" w14:textId="77777777" w:rsidR="00F2053C" w:rsidRPr="00342041" w:rsidRDefault="00F2053C"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900" w:type="dxa"/>
            <w:shd w:val="clear" w:color="auto" w:fill="auto"/>
            <w:noWrap/>
            <w:vAlign w:val="bottom"/>
            <w:hideMark/>
          </w:tcPr>
          <w:p w14:paraId="3633A6A2"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696" w:type="dxa"/>
            <w:shd w:val="clear" w:color="auto" w:fill="auto"/>
            <w:noWrap/>
            <w:vAlign w:val="center"/>
            <w:hideMark/>
          </w:tcPr>
          <w:p w14:paraId="768C567C"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75,2</w:t>
            </w:r>
          </w:p>
        </w:tc>
        <w:tc>
          <w:tcPr>
            <w:tcW w:w="3120" w:type="dxa"/>
            <w:shd w:val="clear" w:color="auto" w:fill="auto"/>
            <w:noWrap/>
            <w:vAlign w:val="center"/>
            <w:hideMark/>
          </w:tcPr>
          <w:p w14:paraId="00DED7C0"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24,8</w:t>
            </w:r>
          </w:p>
        </w:tc>
      </w:tr>
      <w:tr w:rsidR="00F2053C" w:rsidRPr="00342041" w14:paraId="7164DA3E" w14:textId="77777777" w:rsidTr="00392F7C">
        <w:trPr>
          <w:trHeight w:val="300"/>
        </w:trPr>
        <w:tc>
          <w:tcPr>
            <w:tcW w:w="2488" w:type="dxa"/>
            <w:shd w:val="clear" w:color="auto" w:fill="9CC2E5" w:themeFill="accent1" w:themeFillTint="99"/>
            <w:noWrap/>
            <w:vAlign w:val="bottom"/>
            <w:hideMark/>
          </w:tcPr>
          <w:p w14:paraId="3C025B70" w14:textId="77777777" w:rsidR="00F2053C" w:rsidRPr="00342041" w:rsidRDefault="00F2053C"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900" w:type="dxa"/>
            <w:shd w:val="clear" w:color="auto" w:fill="auto"/>
            <w:noWrap/>
            <w:vAlign w:val="bottom"/>
            <w:hideMark/>
          </w:tcPr>
          <w:p w14:paraId="417A9D68"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696" w:type="dxa"/>
            <w:shd w:val="clear" w:color="auto" w:fill="auto"/>
            <w:noWrap/>
            <w:vAlign w:val="center"/>
            <w:hideMark/>
          </w:tcPr>
          <w:p w14:paraId="17F57793"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74,6</w:t>
            </w:r>
          </w:p>
        </w:tc>
        <w:tc>
          <w:tcPr>
            <w:tcW w:w="3120" w:type="dxa"/>
            <w:shd w:val="clear" w:color="auto" w:fill="auto"/>
            <w:noWrap/>
            <w:vAlign w:val="center"/>
            <w:hideMark/>
          </w:tcPr>
          <w:p w14:paraId="3EF8FF3F"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25,4</w:t>
            </w:r>
          </w:p>
        </w:tc>
      </w:tr>
      <w:tr w:rsidR="00F2053C" w:rsidRPr="00342041" w14:paraId="43894EEE" w14:textId="77777777" w:rsidTr="00392F7C">
        <w:trPr>
          <w:trHeight w:val="300"/>
        </w:trPr>
        <w:tc>
          <w:tcPr>
            <w:tcW w:w="2488" w:type="dxa"/>
            <w:shd w:val="clear" w:color="auto" w:fill="9CC2E5" w:themeFill="accent1" w:themeFillTint="99"/>
            <w:noWrap/>
            <w:vAlign w:val="bottom"/>
            <w:hideMark/>
          </w:tcPr>
          <w:p w14:paraId="45156BDE" w14:textId="77777777" w:rsidR="00F2053C" w:rsidRPr="00342041" w:rsidRDefault="00F2053C"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900" w:type="dxa"/>
            <w:shd w:val="clear" w:color="auto" w:fill="auto"/>
            <w:noWrap/>
            <w:vAlign w:val="bottom"/>
            <w:hideMark/>
          </w:tcPr>
          <w:p w14:paraId="61D7FA7D"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2696" w:type="dxa"/>
            <w:shd w:val="clear" w:color="auto" w:fill="auto"/>
            <w:noWrap/>
            <w:vAlign w:val="center"/>
            <w:hideMark/>
          </w:tcPr>
          <w:p w14:paraId="35B17B42"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71,4</w:t>
            </w:r>
          </w:p>
        </w:tc>
        <w:tc>
          <w:tcPr>
            <w:tcW w:w="3120" w:type="dxa"/>
            <w:shd w:val="clear" w:color="auto" w:fill="auto"/>
            <w:noWrap/>
            <w:vAlign w:val="center"/>
            <w:hideMark/>
          </w:tcPr>
          <w:p w14:paraId="74D25164" w14:textId="77777777" w:rsidR="00F2053C" w:rsidRPr="00342041" w:rsidRDefault="00F2053C"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28,6</w:t>
            </w:r>
          </w:p>
        </w:tc>
      </w:tr>
    </w:tbl>
    <w:p w14:paraId="05A5E5FE" w14:textId="77777777" w:rsidR="002B3DC0" w:rsidRPr="00812B7B" w:rsidRDefault="00F2053C" w:rsidP="00812B7B">
      <w:pPr>
        <w:rPr>
          <w:rFonts w:ascii="Times New Roman" w:hAnsi="Times New Roman" w:cs="Times New Roman"/>
          <w:b/>
        </w:rPr>
      </w:pPr>
      <w:r w:rsidRPr="003614D0">
        <w:rPr>
          <w:rFonts w:ascii="Times New Roman" w:hAnsi="Times New Roman" w:cs="Times New Roman"/>
          <w:b/>
        </w:rPr>
        <w:t>Źródło: Badanie EU-SILC 2019 r.,GUS</w:t>
      </w:r>
    </w:p>
    <w:p w14:paraId="4874F978" w14:textId="38B1162D" w:rsidR="003614D0" w:rsidRPr="003614D0" w:rsidRDefault="003614D0" w:rsidP="003614D0">
      <w:pPr>
        <w:pStyle w:val="Legenda"/>
        <w:keepNext/>
        <w:rPr>
          <w:rFonts w:ascii="Times New Roman" w:hAnsi="Times New Roman" w:cs="Times New Roman"/>
          <w:b/>
          <w:i w:val="0"/>
          <w:sz w:val="24"/>
        </w:rPr>
      </w:pPr>
      <w:bookmarkStart w:id="39" w:name="_Toc49171403"/>
      <w:r w:rsidRPr="003614D0">
        <w:rPr>
          <w:rFonts w:ascii="Times New Roman" w:hAnsi="Times New Roman" w:cs="Times New Roman"/>
          <w:b/>
          <w:i w:val="0"/>
          <w:sz w:val="24"/>
        </w:rPr>
        <w:t xml:space="preserve">Tabela </w:t>
      </w:r>
      <w:r w:rsidRPr="003614D0">
        <w:rPr>
          <w:rFonts w:ascii="Times New Roman" w:hAnsi="Times New Roman" w:cs="Times New Roman"/>
          <w:b/>
          <w:i w:val="0"/>
          <w:sz w:val="24"/>
        </w:rPr>
        <w:fldChar w:fldCharType="begin"/>
      </w:r>
      <w:r w:rsidRPr="003614D0">
        <w:rPr>
          <w:rFonts w:ascii="Times New Roman" w:hAnsi="Times New Roman" w:cs="Times New Roman"/>
          <w:b/>
          <w:i w:val="0"/>
          <w:sz w:val="24"/>
        </w:rPr>
        <w:instrText xml:space="preserve"> SEQ Tabela \* ARABIC </w:instrText>
      </w:r>
      <w:r w:rsidRPr="003614D0">
        <w:rPr>
          <w:rFonts w:ascii="Times New Roman" w:hAnsi="Times New Roman" w:cs="Times New Roman"/>
          <w:b/>
          <w:i w:val="0"/>
          <w:sz w:val="24"/>
        </w:rPr>
        <w:fldChar w:fldCharType="separate"/>
      </w:r>
      <w:r w:rsidR="00C154C9">
        <w:rPr>
          <w:rFonts w:ascii="Times New Roman" w:hAnsi="Times New Roman" w:cs="Times New Roman"/>
          <w:b/>
          <w:i w:val="0"/>
          <w:noProof/>
          <w:sz w:val="24"/>
        </w:rPr>
        <w:t>28</w:t>
      </w:r>
      <w:r w:rsidRPr="003614D0">
        <w:rPr>
          <w:rFonts w:ascii="Times New Roman" w:hAnsi="Times New Roman" w:cs="Times New Roman"/>
          <w:b/>
          <w:i w:val="0"/>
          <w:sz w:val="24"/>
        </w:rPr>
        <w:fldChar w:fldCharType="end"/>
      </w:r>
      <w:r w:rsidRPr="003614D0">
        <w:rPr>
          <w:rFonts w:ascii="Times New Roman" w:hAnsi="Times New Roman" w:cs="Times New Roman"/>
          <w:b/>
          <w:i w:val="0"/>
          <w:sz w:val="24"/>
        </w:rPr>
        <w:t xml:space="preserve"> Przyczyny niezaspokojonych potrzeb w zakresie leczenia lub badania w 2019 r.</w:t>
      </w:r>
      <w:bookmarkEnd w:id="39"/>
    </w:p>
    <w:tbl>
      <w:tblPr>
        <w:tblW w:w="10675"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1640"/>
        <w:gridCol w:w="874"/>
        <w:gridCol w:w="1399"/>
        <w:gridCol w:w="1619"/>
        <w:gridCol w:w="1559"/>
        <w:gridCol w:w="1418"/>
        <w:gridCol w:w="1417"/>
        <w:gridCol w:w="1020"/>
      </w:tblGrid>
      <w:tr w:rsidR="00584DC2" w:rsidRPr="00342041" w14:paraId="6FDE5FB1" w14:textId="77777777" w:rsidTr="00812B7B">
        <w:trPr>
          <w:trHeight w:val="321"/>
          <w:jc w:val="center"/>
        </w:trPr>
        <w:tc>
          <w:tcPr>
            <w:tcW w:w="1369" w:type="dxa"/>
            <w:vMerge w:val="restart"/>
            <w:shd w:val="clear" w:color="auto" w:fill="9CC2E5" w:themeFill="accent1" w:themeFillTint="99"/>
            <w:noWrap/>
            <w:vAlign w:val="center"/>
            <w:hideMark/>
          </w:tcPr>
          <w:p w14:paraId="4A935346"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Wyszczególnienie</w:t>
            </w:r>
          </w:p>
        </w:tc>
        <w:tc>
          <w:tcPr>
            <w:tcW w:w="874" w:type="dxa"/>
            <w:vMerge w:val="restart"/>
            <w:shd w:val="clear" w:color="auto" w:fill="9CC2E5" w:themeFill="accent1" w:themeFillTint="99"/>
            <w:noWrap/>
            <w:vAlign w:val="center"/>
            <w:hideMark/>
          </w:tcPr>
          <w:p w14:paraId="10EE86BD"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8432" w:type="dxa"/>
            <w:gridSpan w:val="6"/>
            <w:shd w:val="clear" w:color="auto" w:fill="9CC2E5" w:themeFill="accent1" w:themeFillTint="99"/>
            <w:noWrap/>
            <w:vAlign w:val="center"/>
            <w:hideMark/>
          </w:tcPr>
          <w:p w14:paraId="29B3C020"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Jaka była tego główna przyczyna?</w:t>
            </w:r>
          </w:p>
        </w:tc>
      </w:tr>
      <w:tr w:rsidR="00584DC2" w:rsidRPr="00342041" w14:paraId="5A31DBAB" w14:textId="77777777" w:rsidTr="00BF1853">
        <w:trPr>
          <w:trHeight w:val="960"/>
          <w:jc w:val="center"/>
        </w:trPr>
        <w:tc>
          <w:tcPr>
            <w:tcW w:w="1369" w:type="dxa"/>
            <w:vMerge/>
            <w:shd w:val="clear" w:color="auto" w:fill="9CC2E5" w:themeFill="accent1" w:themeFillTint="99"/>
            <w:vAlign w:val="center"/>
            <w:hideMark/>
          </w:tcPr>
          <w:p w14:paraId="410A01DC"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p>
        </w:tc>
        <w:tc>
          <w:tcPr>
            <w:tcW w:w="874" w:type="dxa"/>
            <w:vMerge/>
            <w:shd w:val="clear" w:color="auto" w:fill="9CC2E5" w:themeFill="accent1" w:themeFillTint="99"/>
            <w:vAlign w:val="center"/>
            <w:hideMark/>
          </w:tcPr>
          <w:p w14:paraId="37F638CD"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p>
        </w:tc>
        <w:tc>
          <w:tcPr>
            <w:tcW w:w="1399" w:type="dxa"/>
            <w:shd w:val="clear" w:color="auto" w:fill="9CC2E5" w:themeFill="accent1" w:themeFillTint="99"/>
            <w:vAlign w:val="center"/>
            <w:hideMark/>
          </w:tcPr>
          <w:p w14:paraId="7BEDEF2E" w14:textId="77777777" w:rsidR="00584DC2" w:rsidRPr="00342041" w:rsidRDefault="00584DC2" w:rsidP="00BF1853">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strike/>
                <w:color w:val="000000"/>
                <w:sz w:val="20"/>
                <w:szCs w:val="20"/>
                <w:lang w:eastAsia="pl-PL"/>
              </w:rPr>
              <w:br/>
            </w:r>
            <w:r w:rsidRPr="00342041">
              <w:rPr>
                <w:rFonts w:ascii="Times New Roman" w:eastAsia="Times New Roman" w:hAnsi="Times New Roman" w:cs="Times New Roman"/>
                <w:b/>
                <w:color w:val="000000"/>
                <w:sz w:val="20"/>
                <w:szCs w:val="20"/>
                <w:lang w:eastAsia="pl-PL"/>
              </w:rPr>
              <w:t>Zbyt długa lista/kolejka oczekujących</w:t>
            </w:r>
          </w:p>
        </w:tc>
        <w:tc>
          <w:tcPr>
            <w:tcW w:w="1619" w:type="dxa"/>
            <w:shd w:val="clear" w:color="auto" w:fill="9CC2E5" w:themeFill="accent1" w:themeFillTint="99"/>
            <w:vAlign w:val="center"/>
            <w:hideMark/>
          </w:tcPr>
          <w:p w14:paraId="71FDA853"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Nie było mnie na to stać (wizyta była zbyt droga lub nieobjęta ubezpieczeniem zdrowotnym)</w:t>
            </w:r>
          </w:p>
        </w:tc>
        <w:tc>
          <w:tcPr>
            <w:tcW w:w="1559" w:type="dxa"/>
            <w:shd w:val="clear" w:color="auto" w:fill="9CC2E5" w:themeFill="accent1" w:themeFillTint="99"/>
            <w:vAlign w:val="center"/>
            <w:hideMark/>
          </w:tcPr>
          <w:p w14:paraId="2B2F78A8"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Chciałem(-am) poczekać i zobaczyć czy problem sam minie</w:t>
            </w:r>
          </w:p>
        </w:tc>
        <w:tc>
          <w:tcPr>
            <w:tcW w:w="1418" w:type="dxa"/>
            <w:shd w:val="clear" w:color="auto" w:fill="9CC2E5" w:themeFill="accent1" w:themeFillTint="99"/>
            <w:vAlign w:val="center"/>
            <w:hideMark/>
          </w:tcPr>
          <w:p w14:paraId="57348C49"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Zbyt duża odległość, brak środka transportu</w:t>
            </w:r>
          </w:p>
        </w:tc>
        <w:tc>
          <w:tcPr>
            <w:tcW w:w="1417" w:type="dxa"/>
            <w:shd w:val="clear" w:color="auto" w:fill="9CC2E5" w:themeFill="accent1" w:themeFillTint="99"/>
            <w:vAlign w:val="center"/>
            <w:hideMark/>
          </w:tcPr>
          <w:p w14:paraId="15F6C2C2"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Lęk przed lekarzem, szpitalami, badaniem lub leczeniem</w:t>
            </w:r>
          </w:p>
        </w:tc>
        <w:tc>
          <w:tcPr>
            <w:tcW w:w="1020" w:type="dxa"/>
            <w:shd w:val="clear" w:color="auto" w:fill="9CC2E5" w:themeFill="accent1" w:themeFillTint="99"/>
            <w:vAlign w:val="center"/>
            <w:hideMark/>
          </w:tcPr>
          <w:p w14:paraId="369A5815"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Pozostałe powody</w:t>
            </w:r>
          </w:p>
        </w:tc>
      </w:tr>
      <w:tr w:rsidR="00584DC2" w:rsidRPr="00342041" w14:paraId="72CC95B7" w14:textId="77777777" w:rsidTr="00BF1853">
        <w:trPr>
          <w:trHeight w:val="289"/>
          <w:jc w:val="center"/>
        </w:trPr>
        <w:tc>
          <w:tcPr>
            <w:tcW w:w="1369" w:type="dxa"/>
            <w:vMerge/>
            <w:shd w:val="clear" w:color="auto" w:fill="9CC2E5" w:themeFill="accent1" w:themeFillTint="99"/>
            <w:vAlign w:val="center"/>
            <w:hideMark/>
          </w:tcPr>
          <w:p w14:paraId="45C5183F"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p>
        </w:tc>
        <w:tc>
          <w:tcPr>
            <w:tcW w:w="9306" w:type="dxa"/>
            <w:gridSpan w:val="7"/>
            <w:shd w:val="clear" w:color="auto" w:fill="9CC2E5" w:themeFill="accent1" w:themeFillTint="99"/>
            <w:vAlign w:val="center"/>
            <w:hideMark/>
          </w:tcPr>
          <w:p w14:paraId="353FFCA8"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 osób danej grupy</w:t>
            </w:r>
          </w:p>
        </w:tc>
      </w:tr>
      <w:tr w:rsidR="00584DC2" w:rsidRPr="00342041" w14:paraId="4EB738CF" w14:textId="77777777" w:rsidTr="00BF1853">
        <w:trPr>
          <w:trHeight w:val="398"/>
          <w:jc w:val="center"/>
        </w:trPr>
        <w:tc>
          <w:tcPr>
            <w:tcW w:w="10675" w:type="dxa"/>
            <w:gridSpan w:val="8"/>
            <w:shd w:val="clear" w:color="auto" w:fill="auto"/>
            <w:vAlign w:val="center"/>
            <w:hideMark/>
          </w:tcPr>
          <w:p w14:paraId="2D9881C5"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 osoby w wieku 16 lat i więcej</w:t>
            </w:r>
          </w:p>
        </w:tc>
      </w:tr>
      <w:tr w:rsidR="00584DC2" w:rsidRPr="00342041" w14:paraId="3EB63CA3" w14:textId="77777777" w:rsidTr="00BF1853">
        <w:trPr>
          <w:trHeight w:val="300"/>
          <w:jc w:val="center"/>
        </w:trPr>
        <w:tc>
          <w:tcPr>
            <w:tcW w:w="1369" w:type="dxa"/>
            <w:shd w:val="clear" w:color="auto" w:fill="9CC2E5" w:themeFill="accent1" w:themeFillTint="99"/>
            <w:vAlign w:val="bottom"/>
            <w:hideMark/>
          </w:tcPr>
          <w:p w14:paraId="660B39A9" w14:textId="77777777" w:rsidR="00584DC2" w:rsidRPr="00342041" w:rsidRDefault="00584DC2" w:rsidP="00BF1853">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Ogółem </w:t>
            </w:r>
          </w:p>
        </w:tc>
        <w:tc>
          <w:tcPr>
            <w:tcW w:w="874" w:type="dxa"/>
            <w:shd w:val="clear" w:color="auto" w:fill="auto"/>
            <w:noWrap/>
            <w:vAlign w:val="bottom"/>
            <w:hideMark/>
          </w:tcPr>
          <w:p w14:paraId="57AFE7C7" w14:textId="77777777" w:rsidR="00584DC2" w:rsidRPr="00342041" w:rsidRDefault="00584DC2"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w:t>
            </w:r>
          </w:p>
        </w:tc>
        <w:tc>
          <w:tcPr>
            <w:tcW w:w="1399" w:type="dxa"/>
            <w:shd w:val="clear" w:color="auto" w:fill="auto"/>
            <w:noWrap/>
            <w:vAlign w:val="center"/>
            <w:hideMark/>
          </w:tcPr>
          <w:p w14:paraId="125B9FE7" w14:textId="77777777" w:rsidR="00584DC2" w:rsidRPr="00342041" w:rsidRDefault="00584DC2" w:rsidP="00BF1853">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35,2</w:t>
            </w:r>
          </w:p>
        </w:tc>
        <w:tc>
          <w:tcPr>
            <w:tcW w:w="1619" w:type="dxa"/>
            <w:shd w:val="clear" w:color="auto" w:fill="auto"/>
            <w:noWrap/>
            <w:vAlign w:val="center"/>
            <w:hideMark/>
          </w:tcPr>
          <w:p w14:paraId="601215E4" w14:textId="77777777" w:rsidR="00584DC2" w:rsidRPr="00342041" w:rsidRDefault="00584DC2" w:rsidP="00BF1853">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11,1</w:t>
            </w:r>
          </w:p>
        </w:tc>
        <w:tc>
          <w:tcPr>
            <w:tcW w:w="1559" w:type="dxa"/>
            <w:shd w:val="clear" w:color="auto" w:fill="auto"/>
            <w:noWrap/>
            <w:vAlign w:val="center"/>
            <w:hideMark/>
          </w:tcPr>
          <w:p w14:paraId="30DEB5C7" w14:textId="77777777" w:rsidR="00584DC2" w:rsidRPr="00342041" w:rsidRDefault="00584DC2" w:rsidP="00BF1853">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26,7</w:t>
            </w:r>
          </w:p>
        </w:tc>
        <w:tc>
          <w:tcPr>
            <w:tcW w:w="1418" w:type="dxa"/>
            <w:shd w:val="clear" w:color="auto" w:fill="auto"/>
            <w:noWrap/>
            <w:vAlign w:val="center"/>
            <w:hideMark/>
          </w:tcPr>
          <w:p w14:paraId="6AF066FC" w14:textId="77777777" w:rsidR="00584DC2" w:rsidRPr="00342041" w:rsidRDefault="00584DC2" w:rsidP="00BF1853">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2,7</w:t>
            </w:r>
          </w:p>
        </w:tc>
        <w:tc>
          <w:tcPr>
            <w:tcW w:w="1417" w:type="dxa"/>
            <w:shd w:val="clear" w:color="auto" w:fill="auto"/>
            <w:noWrap/>
            <w:vAlign w:val="center"/>
            <w:hideMark/>
          </w:tcPr>
          <w:p w14:paraId="23ABCDA1" w14:textId="77777777" w:rsidR="00584DC2" w:rsidRPr="00342041" w:rsidRDefault="00584DC2" w:rsidP="00BF1853">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2,7</w:t>
            </w:r>
          </w:p>
        </w:tc>
        <w:tc>
          <w:tcPr>
            <w:tcW w:w="1020" w:type="dxa"/>
            <w:shd w:val="clear" w:color="auto" w:fill="auto"/>
            <w:noWrap/>
            <w:vAlign w:val="bottom"/>
            <w:hideMark/>
          </w:tcPr>
          <w:p w14:paraId="10FC6B8A" w14:textId="77777777" w:rsidR="00584DC2" w:rsidRPr="00342041" w:rsidRDefault="00584DC2" w:rsidP="00BF1853">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21,7</w:t>
            </w:r>
          </w:p>
        </w:tc>
      </w:tr>
      <w:tr w:rsidR="00584DC2" w:rsidRPr="00342041" w14:paraId="0EAB2BCE" w14:textId="77777777" w:rsidTr="00BF1853">
        <w:trPr>
          <w:trHeight w:val="300"/>
          <w:jc w:val="center"/>
        </w:trPr>
        <w:tc>
          <w:tcPr>
            <w:tcW w:w="1369" w:type="dxa"/>
            <w:shd w:val="clear" w:color="auto" w:fill="9CC2E5" w:themeFill="accent1" w:themeFillTint="99"/>
            <w:noWrap/>
            <w:vAlign w:val="bottom"/>
            <w:hideMark/>
          </w:tcPr>
          <w:p w14:paraId="70411932" w14:textId="77777777" w:rsidR="00584DC2" w:rsidRPr="00342041" w:rsidRDefault="00584DC2"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874" w:type="dxa"/>
            <w:shd w:val="clear" w:color="auto" w:fill="auto"/>
            <w:noWrap/>
            <w:vAlign w:val="bottom"/>
            <w:hideMark/>
          </w:tcPr>
          <w:p w14:paraId="0C708728"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9" w:type="dxa"/>
            <w:shd w:val="clear" w:color="auto" w:fill="auto"/>
            <w:noWrap/>
            <w:vAlign w:val="center"/>
            <w:hideMark/>
          </w:tcPr>
          <w:p w14:paraId="53FDC3E6"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31,0</w:t>
            </w:r>
          </w:p>
        </w:tc>
        <w:tc>
          <w:tcPr>
            <w:tcW w:w="1619" w:type="dxa"/>
            <w:shd w:val="clear" w:color="auto" w:fill="auto"/>
            <w:noWrap/>
            <w:vAlign w:val="center"/>
            <w:hideMark/>
          </w:tcPr>
          <w:p w14:paraId="49513B80"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8,4</w:t>
            </w:r>
          </w:p>
        </w:tc>
        <w:tc>
          <w:tcPr>
            <w:tcW w:w="1559" w:type="dxa"/>
            <w:shd w:val="clear" w:color="auto" w:fill="auto"/>
            <w:noWrap/>
            <w:vAlign w:val="center"/>
            <w:hideMark/>
          </w:tcPr>
          <w:p w14:paraId="4C647B62"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29,6</w:t>
            </w:r>
          </w:p>
        </w:tc>
        <w:tc>
          <w:tcPr>
            <w:tcW w:w="1418" w:type="dxa"/>
            <w:shd w:val="clear" w:color="auto" w:fill="auto"/>
            <w:noWrap/>
            <w:vAlign w:val="center"/>
            <w:hideMark/>
          </w:tcPr>
          <w:p w14:paraId="45DE4F4B"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w:t>
            </w:r>
            <w:r w:rsidRPr="00342041">
              <w:rPr>
                <w:rFonts w:ascii="Times New Roman" w:eastAsia="Times New Roman" w:hAnsi="Times New Roman" w:cs="Times New Roman"/>
                <w:sz w:val="20"/>
                <w:szCs w:val="20"/>
                <w:vertAlign w:val="superscript"/>
                <w:lang w:eastAsia="pl-PL"/>
              </w:rPr>
              <w:t>a</w:t>
            </w:r>
          </w:p>
        </w:tc>
        <w:tc>
          <w:tcPr>
            <w:tcW w:w="1417" w:type="dxa"/>
            <w:shd w:val="clear" w:color="auto" w:fill="auto"/>
            <w:noWrap/>
            <w:vAlign w:val="center"/>
            <w:hideMark/>
          </w:tcPr>
          <w:p w14:paraId="7C94D146"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3,6</w:t>
            </w:r>
          </w:p>
        </w:tc>
        <w:tc>
          <w:tcPr>
            <w:tcW w:w="1020" w:type="dxa"/>
            <w:shd w:val="clear" w:color="auto" w:fill="auto"/>
            <w:noWrap/>
            <w:vAlign w:val="bottom"/>
            <w:hideMark/>
          </w:tcPr>
          <w:p w14:paraId="742D733F"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24,9</w:t>
            </w:r>
          </w:p>
        </w:tc>
      </w:tr>
      <w:tr w:rsidR="00584DC2" w:rsidRPr="00342041" w14:paraId="3D1D97F1" w14:textId="77777777" w:rsidTr="00BF1853">
        <w:trPr>
          <w:trHeight w:val="300"/>
          <w:jc w:val="center"/>
        </w:trPr>
        <w:tc>
          <w:tcPr>
            <w:tcW w:w="1369" w:type="dxa"/>
            <w:shd w:val="clear" w:color="auto" w:fill="9CC2E5" w:themeFill="accent1" w:themeFillTint="99"/>
            <w:noWrap/>
            <w:vAlign w:val="bottom"/>
            <w:hideMark/>
          </w:tcPr>
          <w:p w14:paraId="57BC3150" w14:textId="77777777" w:rsidR="00584DC2" w:rsidRPr="00342041" w:rsidRDefault="00584DC2"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874" w:type="dxa"/>
            <w:shd w:val="clear" w:color="auto" w:fill="auto"/>
            <w:noWrap/>
            <w:vAlign w:val="bottom"/>
            <w:hideMark/>
          </w:tcPr>
          <w:p w14:paraId="69BC9BBB"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9" w:type="dxa"/>
            <w:shd w:val="clear" w:color="auto" w:fill="auto"/>
            <w:noWrap/>
            <w:vAlign w:val="center"/>
            <w:hideMark/>
          </w:tcPr>
          <w:p w14:paraId="03AF54B1"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38,5</w:t>
            </w:r>
          </w:p>
        </w:tc>
        <w:tc>
          <w:tcPr>
            <w:tcW w:w="1619" w:type="dxa"/>
            <w:shd w:val="clear" w:color="auto" w:fill="auto"/>
            <w:noWrap/>
            <w:vAlign w:val="center"/>
            <w:hideMark/>
          </w:tcPr>
          <w:p w14:paraId="7850B229"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13,2</w:t>
            </w:r>
          </w:p>
        </w:tc>
        <w:tc>
          <w:tcPr>
            <w:tcW w:w="1559" w:type="dxa"/>
            <w:shd w:val="clear" w:color="auto" w:fill="auto"/>
            <w:noWrap/>
            <w:vAlign w:val="center"/>
            <w:hideMark/>
          </w:tcPr>
          <w:p w14:paraId="4ACFC103"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24,4</w:t>
            </w:r>
          </w:p>
        </w:tc>
        <w:tc>
          <w:tcPr>
            <w:tcW w:w="1418" w:type="dxa"/>
            <w:shd w:val="clear" w:color="auto" w:fill="auto"/>
            <w:noWrap/>
            <w:vAlign w:val="center"/>
            <w:hideMark/>
          </w:tcPr>
          <w:p w14:paraId="1F2C5C25"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w:t>
            </w:r>
          </w:p>
        </w:tc>
        <w:tc>
          <w:tcPr>
            <w:tcW w:w="1417" w:type="dxa"/>
            <w:shd w:val="clear" w:color="auto" w:fill="auto"/>
            <w:noWrap/>
            <w:vAlign w:val="center"/>
            <w:hideMark/>
          </w:tcPr>
          <w:p w14:paraId="03D7B8EF"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w:t>
            </w:r>
            <w:r w:rsidRPr="00342041">
              <w:rPr>
                <w:rFonts w:ascii="Times New Roman" w:eastAsia="Times New Roman" w:hAnsi="Times New Roman" w:cs="Times New Roman"/>
                <w:sz w:val="20"/>
                <w:szCs w:val="20"/>
                <w:vertAlign w:val="superscript"/>
                <w:lang w:eastAsia="pl-PL"/>
              </w:rPr>
              <w:t>a</w:t>
            </w:r>
          </w:p>
        </w:tc>
        <w:tc>
          <w:tcPr>
            <w:tcW w:w="1020" w:type="dxa"/>
            <w:shd w:val="clear" w:color="auto" w:fill="auto"/>
            <w:noWrap/>
            <w:vAlign w:val="bottom"/>
            <w:hideMark/>
          </w:tcPr>
          <w:p w14:paraId="05DE52DD"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19,1</w:t>
            </w:r>
          </w:p>
        </w:tc>
      </w:tr>
      <w:tr w:rsidR="00584DC2" w:rsidRPr="00342041" w14:paraId="63E94E83" w14:textId="77777777" w:rsidTr="00BF1853">
        <w:trPr>
          <w:trHeight w:val="300"/>
          <w:jc w:val="center"/>
        </w:trPr>
        <w:tc>
          <w:tcPr>
            <w:tcW w:w="1369" w:type="dxa"/>
            <w:shd w:val="clear" w:color="auto" w:fill="9CC2E5" w:themeFill="accent1" w:themeFillTint="99"/>
            <w:noWrap/>
            <w:vAlign w:val="bottom"/>
            <w:hideMark/>
          </w:tcPr>
          <w:p w14:paraId="335AC01C" w14:textId="77777777" w:rsidR="00584DC2" w:rsidRPr="00342041" w:rsidRDefault="00584DC2"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874" w:type="dxa"/>
            <w:shd w:val="clear" w:color="auto" w:fill="auto"/>
            <w:noWrap/>
            <w:vAlign w:val="bottom"/>
            <w:hideMark/>
          </w:tcPr>
          <w:p w14:paraId="3B88B78E"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9" w:type="dxa"/>
            <w:shd w:val="clear" w:color="auto" w:fill="auto"/>
            <w:noWrap/>
            <w:vAlign w:val="center"/>
            <w:hideMark/>
          </w:tcPr>
          <w:p w14:paraId="06F6A412"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39,2</w:t>
            </w:r>
          </w:p>
        </w:tc>
        <w:tc>
          <w:tcPr>
            <w:tcW w:w="1619" w:type="dxa"/>
            <w:shd w:val="clear" w:color="auto" w:fill="auto"/>
            <w:noWrap/>
            <w:vAlign w:val="center"/>
            <w:hideMark/>
          </w:tcPr>
          <w:p w14:paraId="3F010614"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9,3</w:t>
            </w:r>
          </w:p>
        </w:tc>
        <w:tc>
          <w:tcPr>
            <w:tcW w:w="1559" w:type="dxa"/>
            <w:shd w:val="clear" w:color="auto" w:fill="auto"/>
            <w:noWrap/>
            <w:vAlign w:val="center"/>
            <w:hideMark/>
          </w:tcPr>
          <w:p w14:paraId="2553084E"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25,1</w:t>
            </w:r>
          </w:p>
        </w:tc>
        <w:tc>
          <w:tcPr>
            <w:tcW w:w="1418" w:type="dxa"/>
            <w:shd w:val="clear" w:color="auto" w:fill="auto"/>
            <w:noWrap/>
            <w:vAlign w:val="center"/>
            <w:hideMark/>
          </w:tcPr>
          <w:p w14:paraId="7D726668"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w:t>
            </w:r>
            <w:r w:rsidRPr="00342041">
              <w:rPr>
                <w:rFonts w:ascii="Times New Roman" w:eastAsia="Times New Roman" w:hAnsi="Times New Roman" w:cs="Times New Roman"/>
                <w:sz w:val="20"/>
                <w:szCs w:val="20"/>
                <w:vertAlign w:val="superscript"/>
                <w:lang w:eastAsia="pl-PL"/>
              </w:rPr>
              <w:t>a</w:t>
            </w:r>
          </w:p>
        </w:tc>
        <w:tc>
          <w:tcPr>
            <w:tcW w:w="1417" w:type="dxa"/>
            <w:shd w:val="clear" w:color="auto" w:fill="auto"/>
            <w:noWrap/>
            <w:vAlign w:val="center"/>
            <w:hideMark/>
          </w:tcPr>
          <w:p w14:paraId="28CFAE53"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2,3</w:t>
            </w:r>
          </w:p>
        </w:tc>
        <w:tc>
          <w:tcPr>
            <w:tcW w:w="1020" w:type="dxa"/>
            <w:shd w:val="clear" w:color="auto" w:fill="auto"/>
            <w:noWrap/>
            <w:vAlign w:val="bottom"/>
            <w:hideMark/>
          </w:tcPr>
          <w:p w14:paraId="425F7A72"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22,5</w:t>
            </w:r>
          </w:p>
        </w:tc>
      </w:tr>
      <w:tr w:rsidR="00584DC2" w:rsidRPr="00342041" w14:paraId="177F17B7" w14:textId="77777777" w:rsidTr="00BF1853">
        <w:trPr>
          <w:trHeight w:val="300"/>
          <w:jc w:val="center"/>
        </w:trPr>
        <w:tc>
          <w:tcPr>
            <w:tcW w:w="1369" w:type="dxa"/>
            <w:shd w:val="clear" w:color="auto" w:fill="9CC2E5" w:themeFill="accent1" w:themeFillTint="99"/>
            <w:noWrap/>
            <w:vAlign w:val="bottom"/>
            <w:hideMark/>
          </w:tcPr>
          <w:p w14:paraId="0875F566" w14:textId="77777777" w:rsidR="00584DC2" w:rsidRPr="00342041" w:rsidRDefault="00584DC2"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874" w:type="dxa"/>
            <w:shd w:val="clear" w:color="auto" w:fill="auto"/>
            <w:noWrap/>
            <w:vAlign w:val="bottom"/>
            <w:hideMark/>
          </w:tcPr>
          <w:p w14:paraId="3053FC8F"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9" w:type="dxa"/>
            <w:shd w:val="clear" w:color="auto" w:fill="auto"/>
            <w:noWrap/>
            <w:vAlign w:val="center"/>
            <w:hideMark/>
          </w:tcPr>
          <w:p w14:paraId="210CBDC3"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27,5</w:t>
            </w:r>
          </w:p>
        </w:tc>
        <w:tc>
          <w:tcPr>
            <w:tcW w:w="1619" w:type="dxa"/>
            <w:shd w:val="clear" w:color="auto" w:fill="auto"/>
            <w:noWrap/>
            <w:vAlign w:val="center"/>
            <w:hideMark/>
          </w:tcPr>
          <w:p w14:paraId="00D8A415"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14,5</w:t>
            </w:r>
          </w:p>
        </w:tc>
        <w:tc>
          <w:tcPr>
            <w:tcW w:w="1559" w:type="dxa"/>
            <w:shd w:val="clear" w:color="auto" w:fill="auto"/>
            <w:noWrap/>
            <w:vAlign w:val="center"/>
            <w:hideMark/>
          </w:tcPr>
          <w:p w14:paraId="121B5CA0"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29,8</w:t>
            </w:r>
          </w:p>
        </w:tc>
        <w:tc>
          <w:tcPr>
            <w:tcW w:w="1418" w:type="dxa"/>
            <w:shd w:val="clear" w:color="auto" w:fill="auto"/>
            <w:noWrap/>
            <w:vAlign w:val="center"/>
            <w:hideMark/>
          </w:tcPr>
          <w:p w14:paraId="3EBD12EF"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4,7</w:t>
            </w:r>
          </w:p>
        </w:tc>
        <w:tc>
          <w:tcPr>
            <w:tcW w:w="1417" w:type="dxa"/>
            <w:shd w:val="clear" w:color="auto" w:fill="auto"/>
            <w:noWrap/>
            <w:vAlign w:val="center"/>
            <w:hideMark/>
          </w:tcPr>
          <w:p w14:paraId="768C31A0"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3,4</w:t>
            </w:r>
            <w:r w:rsidRPr="00342041">
              <w:rPr>
                <w:rFonts w:ascii="Times New Roman" w:eastAsia="Times New Roman" w:hAnsi="Times New Roman" w:cs="Times New Roman"/>
                <w:sz w:val="20"/>
                <w:szCs w:val="20"/>
                <w:vertAlign w:val="superscript"/>
                <w:lang w:eastAsia="pl-PL"/>
              </w:rPr>
              <w:t>a</w:t>
            </w:r>
          </w:p>
        </w:tc>
        <w:tc>
          <w:tcPr>
            <w:tcW w:w="1020" w:type="dxa"/>
            <w:shd w:val="clear" w:color="auto" w:fill="auto"/>
            <w:noWrap/>
            <w:vAlign w:val="bottom"/>
            <w:hideMark/>
          </w:tcPr>
          <w:p w14:paraId="7B58C4B4"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20,2</w:t>
            </w:r>
          </w:p>
        </w:tc>
      </w:tr>
      <w:tr w:rsidR="00584DC2" w:rsidRPr="00342041" w14:paraId="6172A903" w14:textId="77777777" w:rsidTr="00BF1853">
        <w:trPr>
          <w:trHeight w:val="398"/>
          <w:jc w:val="center"/>
        </w:trPr>
        <w:tc>
          <w:tcPr>
            <w:tcW w:w="10675" w:type="dxa"/>
            <w:gridSpan w:val="8"/>
            <w:shd w:val="clear" w:color="auto" w:fill="auto"/>
            <w:vAlign w:val="center"/>
            <w:hideMark/>
          </w:tcPr>
          <w:p w14:paraId="01BD97BC" w14:textId="77777777" w:rsidR="00584DC2" w:rsidRPr="00342041" w:rsidRDefault="00584DC2" w:rsidP="00BF1853">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w wieku 60 lat i więcej</w:t>
            </w:r>
          </w:p>
        </w:tc>
      </w:tr>
      <w:tr w:rsidR="00584DC2" w:rsidRPr="00342041" w14:paraId="52A193F7" w14:textId="77777777" w:rsidTr="00BF1853">
        <w:trPr>
          <w:trHeight w:val="300"/>
          <w:jc w:val="center"/>
        </w:trPr>
        <w:tc>
          <w:tcPr>
            <w:tcW w:w="1369" w:type="dxa"/>
            <w:shd w:val="clear" w:color="auto" w:fill="9CC2E5" w:themeFill="accent1" w:themeFillTint="99"/>
            <w:vAlign w:val="bottom"/>
            <w:hideMark/>
          </w:tcPr>
          <w:p w14:paraId="06CACE42" w14:textId="77777777" w:rsidR="00584DC2" w:rsidRPr="00342041" w:rsidRDefault="00584DC2" w:rsidP="00BF1853">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Ogółem </w:t>
            </w:r>
          </w:p>
        </w:tc>
        <w:tc>
          <w:tcPr>
            <w:tcW w:w="874" w:type="dxa"/>
            <w:shd w:val="clear" w:color="auto" w:fill="auto"/>
            <w:noWrap/>
            <w:vAlign w:val="bottom"/>
            <w:hideMark/>
          </w:tcPr>
          <w:p w14:paraId="2D576F41" w14:textId="77777777" w:rsidR="00584DC2" w:rsidRPr="00342041" w:rsidRDefault="00584DC2"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100</w:t>
            </w:r>
          </w:p>
        </w:tc>
        <w:tc>
          <w:tcPr>
            <w:tcW w:w="1399" w:type="dxa"/>
            <w:shd w:val="clear" w:color="auto" w:fill="auto"/>
            <w:noWrap/>
            <w:vAlign w:val="center"/>
            <w:hideMark/>
          </w:tcPr>
          <w:p w14:paraId="0E53C9B6" w14:textId="77777777" w:rsidR="00584DC2" w:rsidRPr="00342041" w:rsidRDefault="00584DC2"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40,9</w:t>
            </w:r>
          </w:p>
        </w:tc>
        <w:tc>
          <w:tcPr>
            <w:tcW w:w="1619" w:type="dxa"/>
            <w:shd w:val="clear" w:color="auto" w:fill="auto"/>
            <w:noWrap/>
            <w:vAlign w:val="center"/>
            <w:hideMark/>
          </w:tcPr>
          <w:p w14:paraId="3F6E0E54" w14:textId="77777777" w:rsidR="00584DC2" w:rsidRPr="00342041" w:rsidRDefault="00584DC2"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15,3</w:t>
            </w:r>
          </w:p>
        </w:tc>
        <w:tc>
          <w:tcPr>
            <w:tcW w:w="1559" w:type="dxa"/>
            <w:shd w:val="clear" w:color="auto" w:fill="auto"/>
            <w:noWrap/>
            <w:vAlign w:val="center"/>
            <w:hideMark/>
          </w:tcPr>
          <w:p w14:paraId="7C2883BB" w14:textId="77777777" w:rsidR="00584DC2" w:rsidRPr="00342041" w:rsidRDefault="00584DC2"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23,3</w:t>
            </w:r>
          </w:p>
        </w:tc>
        <w:tc>
          <w:tcPr>
            <w:tcW w:w="1418" w:type="dxa"/>
            <w:shd w:val="clear" w:color="auto" w:fill="auto"/>
            <w:noWrap/>
            <w:vAlign w:val="center"/>
            <w:hideMark/>
          </w:tcPr>
          <w:p w14:paraId="39528742" w14:textId="77777777" w:rsidR="00584DC2" w:rsidRPr="00342041" w:rsidRDefault="00584DC2"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5,7</w:t>
            </w:r>
          </w:p>
        </w:tc>
        <w:tc>
          <w:tcPr>
            <w:tcW w:w="1417" w:type="dxa"/>
            <w:shd w:val="clear" w:color="auto" w:fill="auto"/>
            <w:noWrap/>
            <w:vAlign w:val="center"/>
            <w:hideMark/>
          </w:tcPr>
          <w:p w14:paraId="2E1BBF3A" w14:textId="77777777" w:rsidR="00584DC2" w:rsidRPr="00342041" w:rsidRDefault="00584DC2"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3,2</w:t>
            </w:r>
            <w:r w:rsidRPr="00342041">
              <w:rPr>
                <w:rFonts w:ascii="Times New Roman" w:eastAsia="Times New Roman" w:hAnsi="Times New Roman" w:cs="Times New Roman"/>
                <w:b/>
                <w:bCs/>
                <w:sz w:val="20"/>
                <w:szCs w:val="20"/>
                <w:vertAlign w:val="superscript"/>
                <w:lang w:eastAsia="pl-PL"/>
              </w:rPr>
              <w:t>a</w:t>
            </w:r>
          </w:p>
        </w:tc>
        <w:tc>
          <w:tcPr>
            <w:tcW w:w="1020" w:type="dxa"/>
            <w:shd w:val="clear" w:color="auto" w:fill="auto"/>
            <w:noWrap/>
            <w:vAlign w:val="bottom"/>
            <w:hideMark/>
          </w:tcPr>
          <w:p w14:paraId="7983DC26" w14:textId="77777777" w:rsidR="00584DC2" w:rsidRPr="00342041" w:rsidRDefault="00584DC2" w:rsidP="00BF1853">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11,6</w:t>
            </w:r>
          </w:p>
        </w:tc>
      </w:tr>
      <w:tr w:rsidR="00584DC2" w:rsidRPr="00342041" w14:paraId="0DBF89C0" w14:textId="77777777" w:rsidTr="00BF1853">
        <w:trPr>
          <w:trHeight w:val="300"/>
          <w:jc w:val="center"/>
        </w:trPr>
        <w:tc>
          <w:tcPr>
            <w:tcW w:w="1369" w:type="dxa"/>
            <w:shd w:val="clear" w:color="auto" w:fill="9CC2E5" w:themeFill="accent1" w:themeFillTint="99"/>
            <w:noWrap/>
            <w:vAlign w:val="bottom"/>
            <w:hideMark/>
          </w:tcPr>
          <w:p w14:paraId="1BB655CE" w14:textId="77777777" w:rsidR="00584DC2" w:rsidRPr="00342041" w:rsidRDefault="00584DC2"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Mężczyźni</w:t>
            </w:r>
          </w:p>
        </w:tc>
        <w:tc>
          <w:tcPr>
            <w:tcW w:w="874" w:type="dxa"/>
            <w:shd w:val="clear" w:color="auto" w:fill="auto"/>
            <w:noWrap/>
            <w:vAlign w:val="bottom"/>
            <w:hideMark/>
          </w:tcPr>
          <w:p w14:paraId="3D0688F7"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9" w:type="dxa"/>
            <w:shd w:val="clear" w:color="auto" w:fill="auto"/>
            <w:noWrap/>
            <w:vAlign w:val="center"/>
            <w:hideMark/>
          </w:tcPr>
          <w:p w14:paraId="3EC1505C"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38,5</w:t>
            </w:r>
          </w:p>
        </w:tc>
        <w:tc>
          <w:tcPr>
            <w:tcW w:w="1619" w:type="dxa"/>
            <w:shd w:val="clear" w:color="auto" w:fill="auto"/>
            <w:noWrap/>
            <w:vAlign w:val="center"/>
            <w:hideMark/>
          </w:tcPr>
          <w:p w14:paraId="1934B117"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10,3</w:t>
            </w:r>
          </w:p>
        </w:tc>
        <w:tc>
          <w:tcPr>
            <w:tcW w:w="1559" w:type="dxa"/>
            <w:shd w:val="clear" w:color="auto" w:fill="auto"/>
            <w:noWrap/>
            <w:vAlign w:val="center"/>
            <w:hideMark/>
          </w:tcPr>
          <w:p w14:paraId="157A86C4"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29,5</w:t>
            </w:r>
          </w:p>
        </w:tc>
        <w:tc>
          <w:tcPr>
            <w:tcW w:w="1418" w:type="dxa"/>
            <w:shd w:val="clear" w:color="auto" w:fill="auto"/>
            <w:noWrap/>
            <w:vAlign w:val="center"/>
            <w:hideMark/>
          </w:tcPr>
          <w:p w14:paraId="1890C4A7"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3,9</w:t>
            </w:r>
            <w:r w:rsidRPr="00342041">
              <w:rPr>
                <w:rFonts w:ascii="Times New Roman" w:eastAsia="Times New Roman" w:hAnsi="Times New Roman" w:cs="Times New Roman"/>
                <w:sz w:val="20"/>
                <w:szCs w:val="20"/>
                <w:vertAlign w:val="superscript"/>
                <w:lang w:eastAsia="pl-PL"/>
              </w:rPr>
              <w:t>a</w:t>
            </w:r>
          </w:p>
        </w:tc>
        <w:tc>
          <w:tcPr>
            <w:tcW w:w="1417" w:type="dxa"/>
            <w:shd w:val="clear" w:color="auto" w:fill="auto"/>
            <w:noWrap/>
            <w:vAlign w:val="center"/>
            <w:hideMark/>
          </w:tcPr>
          <w:p w14:paraId="04D4FE08"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3,9</w:t>
            </w:r>
            <w:r w:rsidRPr="00342041">
              <w:rPr>
                <w:rFonts w:ascii="Times New Roman" w:eastAsia="Times New Roman" w:hAnsi="Times New Roman" w:cs="Times New Roman"/>
                <w:sz w:val="20"/>
                <w:szCs w:val="20"/>
                <w:vertAlign w:val="superscript"/>
                <w:lang w:eastAsia="pl-PL"/>
              </w:rPr>
              <w:t>a</w:t>
            </w:r>
          </w:p>
        </w:tc>
        <w:tc>
          <w:tcPr>
            <w:tcW w:w="1020" w:type="dxa"/>
            <w:shd w:val="clear" w:color="auto" w:fill="auto"/>
            <w:noWrap/>
            <w:vAlign w:val="bottom"/>
            <w:hideMark/>
          </w:tcPr>
          <w:p w14:paraId="7A2237B1"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13,8</w:t>
            </w:r>
          </w:p>
        </w:tc>
      </w:tr>
      <w:tr w:rsidR="00584DC2" w:rsidRPr="00342041" w14:paraId="049EEAC3" w14:textId="77777777" w:rsidTr="00BF1853">
        <w:trPr>
          <w:trHeight w:val="300"/>
          <w:jc w:val="center"/>
        </w:trPr>
        <w:tc>
          <w:tcPr>
            <w:tcW w:w="1369" w:type="dxa"/>
            <w:shd w:val="clear" w:color="auto" w:fill="9CC2E5" w:themeFill="accent1" w:themeFillTint="99"/>
            <w:noWrap/>
            <w:vAlign w:val="bottom"/>
            <w:hideMark/>
          </w:tcPr>
          <w:p w14:paraId="08143563" w14:textId="77777777" w:rsidR="00584DC2" w:rsidRPr="00342041" w:rsidRDefault="00584DC2"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Kobiety</w:t>
            </w:r>
          </w:p>
        </w:tc>
        <w:tc>
          <w:tcPr>
            <w:tcW w:w="874" w:type="dxa"/>
            <w:shd w:val="clear" w:color="auto" w:fill="auto"/>
            <w:noWrap/>
            <w:vAlign w:val="bottom"/>
            <w:hideMark/>
          </w:tcPr>
          <w:p w14:paraId="0A50D802"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9" w:type="dxa"/>
            <w:shd w:val="clear" w:color="auto" w:fill="auto"/>
            <w:noWrap/>
            <w:vAlign w:val="center"/>
            <w:hideMark/>
          </w:tcPr>
          <w:p w14:paraId="5A7B6B50"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42,7</w:t>
            </w:r>
          </w:p>
        </w:tc>
        <w:tc>
          <w:tcPr>
            <w:tcW w:w="1619" w:type="dxa"/>
            <w:shd w:val="clear" w:color="auto" w:fill="auto"/>
            <w:noWrap/>
            <w:vAlign w:val="center"/>
            <w:hideMark/>
          </w:tcPr>
          <w:p w14:paraId="4BD0CACE"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19,2</w:t>
            </w:r>
          </w:p>
        </w:tc>
        <w:tc>
          <w:tcPr>
            <w:tcW w:w="1559" w:type="dxa"/>
            <w:shd w:val="clear" w:color="auto" w:fill="auto"/>
            <w:noWrap/>
            <w:vAlign w:val="center"/>
            <w:hideMark/>
          </w:tcPr>
          <w:p w14:paraId="24012C83"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18,6</w:t>
            </w:r>
          </w:p>
        </w:tc>
        <w:tc>
          <w:tcPr>
            <w:tcW w:w="1418" w:type="dxa"/>
            <w:shd w:val="clear" w:color="auto" w:fill="auto"/>
            <w:noWrap/>
            <w:vAlign w:val="center"/>
            <w:hideMark/>
          </w:tcPr>
          <w:p w14:paraId="5C1551BD"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7,0</w:t>
            </w:r>
          </w:p>
        </w:tc>
        <w:tc>
          <w:tcPr>
            <w:tcW w:w="1417" w:type="dxa"/>
            <w:shd w:val="clear" w:color="auto" w:fill="auto"/>
            <w:noWrap/>
            <w:vAlign w:val="center"/>
            <w:hideMark/>
          </w:tcPr>
          <w:p w14:paraId="38EDA9AF"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2,6</w:t>
            </w:r>
            <w:r w:rsidRPr="00342041">
              <w:rPr>
                <w:rFonts w:ascii="Times New Roman" w:eastAsia="Times New Roman" w:hAnsi="Times New Roman" w:cs="Times New Roman"/>
                <w:sz w:val="20"/>
                <w:szCs w:val="20"/>
                <w:vertAlign w:val="superscript"/>
                <w:lang w:eastAsia="pl-PL"/>
              </w:rPr>
              <w:t>a</w:t>
            </w:r>
          </w:p>
        </w:tc>
        <w:tc>
          <w:tcPr>
            <w:tcW w:w="1020" w:type="dxa"/>
            <w:shd w:val="clear" w:color="auto" w:fill="auto"/>
            <w:noWrap/>
            <w:vAlign w:val="bottom"/>
            <w:hideMark/>
          </w:tcPr>
          <w:p w14:paraId="1093793E"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9,9</w:t>
            </w:r>
          </w:p>
        </w:tc>
      </w:tr>
      <w:tr w:rsidR="00584DC2" w:rsidRPr="00342041" w14:paraId="1F31F6E7" w14:textId="77777777" w:rsidTr="00BF1853">
        <w:trPr>
          <w:trHeight w:val="300"/>
          <w:jc w:val="center"/>
        </w:trPr>
        <w:tc>
          <w:tcPr>
            <w:tcW w:w="1369" w:type="dxa"/>
            <w:shd w:val="clear" w:color="auto" w:fill="9CC2E5" w:themeFill="accent1" w:themeFillTint="99"/>
            <w:noWrap/>
            <w:vAlign w:val="bottom"/>
            <w:hideMark/>
          </w:tcPr>
          <w:p w14:paraId="5FA0E6E5" w14:textId="77777777" w:rsidR="00584DC2" w:rsidRPr="00342041" w:rsidRDefault="00584DC2"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874" w:type="dxa"/>
            <w:shd w:val="clear" w:color="auto" w:fill="auto"/>
            <w:noWrap/>
            <w:vAlign w:val="bottom"/>
            <w:hideMark/>
          </w:tcPr>
          <w:p w14:paraId="3AC6D7E7"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9" w:type="dxa"/>
            <w:shd w:val="clear" w:color="auto" w:fill="auto"/>
            <w:noWrap/>
            <w:vAlign w:val="center"/>
            <w:hideMark/>
          </w:tcPr>
          <w:p w14:paraId="7955844B"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45,3</w:t>
            </w:r>
          </w:p>
        </w:tc>
        <w:tc>
          <w:tcPr>
            <w:tcW w:w="1619" w:type="dxa"/>
            <w:shd w:val="clear" w:color="auto" w:fill="auto"/>
            <w:noWrap/>
            <w:vAlign w:val="center"/>
            <w:hideMark/>
          </w:tcPr>
          <w:p w14:paraId="60C1271B"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13,6</w:t>
            </w:r>
          </w:p>
        </w:tc>
        <w:tc>
          <w:tcPr>
            <w:tcW w:w="1559" w:type="dxa"/>
            <w:shd w:val="clear" w:color="auto" w:fill="auto"/>
            <w:noWrap/>
            <w:vAlign w:val="center"/>
            <w:hideMark/>
          </w:tcPr>
          <w:p w14:paraId="6D062C5E"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21,4</w:t>
            </w:r>
          </w:p>
        </w:tc>
        <w:tc>
          <w:tcPr>
            <w:tcW w:w="1418" w:type="dxa"/>
            <w:shd w:val="clear" w:color="auto" w:fill="auto"/>
            <w:noWrap/>
            <w:vAlign w:val="center"/>
            <w:hideMark/>
          </w:tcPr>
          <w:p w14:paraId="20E11221"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3,5</w:t>
            </w:r>
            <w:r w:rsidRPr="00342041">
              <w:rPr>
                <w:rFonts w:ascii="Times New Roman" w:eastAsia="Times New Roman" w:hAnsi="Times New Roman" w:cs="Times New Roman"/>
                <w:sz w:val="20"/>
                <w:szCs w:val="20"/>
                <w:vertAlign w:val="superscript"/>
                <w:lang w:eastAsia="pl-PL"/>
              </w:rPr>
              <w:t>a</w:t>
            </w:r>
          </w:p>
        </w:tc>
        <w:tc>
          <w:tcPr>
            <w:tcW w:w="1417" w:type="dxa"/>
            <w:shd w:val="clear" w:color="auto" w:fill="auto"/>
            <w:noWrap/>
            <w:vAlign w:val="center"/>
            <w:hideMark/>
          </w:tcPr>
          <w:p w14:paraId="758138C1"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w:t>
            </w:r>
            <w:r w:rsidRPr="00342041">
              <w:rPr>
                <w:rFonts w:ascii="Times New Roman" w:eastAsia="Times New Roman" w:hAnsi="Times New Roman" w:cs="Times New Roman"/>
                <w:sz w:val="20"/>
                <w:szCs w:val="20"/>
                <w:vertAlign w:val="superscript"/>
                <w:lang w:eastAsia="pl-PL"/>
              </w:rPr>
              <w:t>a</w:t>
            </w:r>
          </w:p>
        </w:tc>
        <w:tc>
          <w:tcPr>
            <w:tcW w:w="1020" w:type="dxa"/>
            <w:shd w:val="clear" w:color="auto" w:fill="auto"/>
            <w:noWrap/>
            <w:vAlign w:val="bottom"/>
            <w:hideMark/>
          </w:tcPr>
          <w:p w14:paraId="796B29DD"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13,5</w:t>
            </w:r>
          </w:p>
        </w:tc>
      </w:tr>
      <w:tr w:rsidR="00584DC2" w:rsidRPr="00342041" w14:paraId="0D40398D" w14:textId="77777777" w:rsidTr="00BF1853">
        <w:trPr>
          <w:trHeight w:val="300"/>
          <w:jc w:val="center"/>
        </w:trPr>
        <w:tc>
          <w:tcPr>
            <w:tcW w:w="1369" w:type="dxa"/>
            <w:shd w:val="clear" w:color="auto" w:fill="9CC2E5" w:themeFill="accent1" w:themeFillTint="99"/>
            <w:noWrap/>
            <w:vAlign w:val="bottom"/>
            <w:hideMark/>
          </w:tcPr>
          <w:p w14:paraId="5AD9B9E2" w14:textId="77777777" w:rsidR="00584DC2" w:rsidRPr="00342041" w:rsidRDefault="00584DC2" w:rsidP="00BF1853">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874" w:type="dxa"/>
            <w:shd w:val="clear" w:color="auto" w:fill="auto"/>
            <w:noWrap/>
            <w:vAlign w:val="bottom"/>
            <w:hideMark/>
          </w:tcPr>
          <w:p w14:paraId="6DBCF541"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99" w:type="dxa"/>
            <w:shd w:val="clear" w:color="auto" w:fill="auto"/>
            <w:noWrap/>
            <w:vAlign w:val="center"/>
            <w:hideMark/>
          </w:tcPr>
          <w:p w14:paraId="0519BCDF"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33,0</w:t>
            </w:r>
          </w:p>
        </w:tc>
        <w:tc>
          <w:tcPr>
            <w:tcW w:w="1619" w:type="dxa"/>
            <w:shd w:val="clear" w:color="auto" w:fill="auto"/>
            <w:noWrap/>
            <w:vAlign w:val="center"/>
            <w:hideMark/>
          </w:tcPr>
          <w:p w14:paraId="476F6D09"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18,4</w:t>
            </w:r>
          </w:p>
        </w:tc>
        <w:tc>
          <w:tcPr>
            <w:tcW w:w="1559" w:type="dxa"/>
            <w:shd w:val="clear" w:color="auto" w:fill="auto"/>
            <w:noWrap/>
            <w:vAlign w:val="center"/>
            <w:hideMark/>
          </w:tcPr>
          <w:p w14:paraId="18B6CAB0"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26,7</w:t>
            </w:r>
          </w:p>
        </w:tc>
        <w:tc>
          <w:tcPr>
            <w:tcW w:w="1418" w:type="dxa"/>
            <w:shd w:val="clear" w:color="auto" w:fill="auto"/>
            <w:noWrap/>
            <w:vAlign w:val="center"/>
            <w:hideMark/>
          </w:tcPr>
          <w:p w14:paraId="378A824D"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9,7</w:t>
            </w:r>
          </w:p>
        </w:tc>
        <w:tc>
          <w:tcPr>
            <w:tcW w:w="1417" w:type="dxa"/>
            <w:shd w:val="clear" w:color="000000" w:fill="FFFFFF"/>
            <w:noWrap/>
            <w:vAlign w:val="center"/>
            <w:hideMark/>
          </w:tcPr>
          <w:p w14:paraId="57B59EEF"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w:t>
            </w:r>
          </w:p>
        </w:tc>
        <w:tc>
          <w:tcPr>
            <w:tcW w:w="1020" w:type="dxa"/>
            <w:shd w:val="clear" w:color="auto" w:fill="auto"/>
            <w:noWrap/>
            <w:vAlign w:val="bottom"/>
            <w:hideMark/>
          </w:tcPr>
          <w:p w14:paraId="6D9F244B" w14:textId="77777777" w:rsidR="00584DC2" w:rsidRPr="00342041" w:rsidRDefault="00584DC2" w:rsidP="00BF1853">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8,2</w:t>
            </w:r>
            <w:r w:rsidRPr="00342041">
              <w:rPr>
                <w:rFonts w:ascii="Times New Roman" w:eastAsia="Times New Roman" w:hAnsi="Times New Roman" w:cs="Times New Roman"/>
                <w:sz w:val="20"/>
                <w:szCs w:val="20"/>
                <w:vertAlign w:val="superscript"/>
                <w:lang w:eastAsia="pl-PL"/>
              </w:rPr>
              <w:t>a</w:t>
            </w:r>
          </w:p>
        </w:tc>
      </w:tr>
    </w:tbl>
    <w:p w14:paraId="73EC83B4" w14:textId="77777777" w:rsidR="00584DC2" w:rsidRPr="003614D0" w:rsidRDefault="00584DC2" w:rsidP="003614D0">
      <w:pPr>
        <w:spacing w:after="0"/>
        <w:jc w:val="both"/>
        <w:rPr>
          <w:rFonts w:ascii="Times New Roman" w:hAnsi="Times New Roman" w:cs="Times New Roman"/>
          <w:b/>
        </w:rPr>
      </w:pPr>
      <w:r w:rsidRPr="003614D0">
        <w:rPr>
          <w:rFonts w:ascii="Times New Roman" w:hAnsi="Times New Roman" w:cs="Times New Roman"/>
          <w:b/>
        </w:rPr>
        <w:t>(.)  Brak informacji wiarygodnych (mniej niż 20 przypadków z próby).</w:t>
      </w:r>
    </w:p>
    <w:p w14:paraId="5385740B" w14:textId="77777777" w:rsidR="00584DC2" w:rsidRPr="003614D0" w:rsidRDefault="00584DC2" w:rsidP="003614D0">
      <w:pPr>
        <w:spacing w:after="0"/>
        <w:jc w:val="both"/>
        <w:rPr>
          <w:rFonts w:ascii="Times New Roman" w:hAnsi="Times New Roman" w:cs="Times New Roman"/>
          <w:b/>
        </w:rPr>
      </w:pPr>
      <w:r w:rsidRPr="003614D0">
        <w:rPr>
          <w:rFonts w:ascii="Times New Roman" w:hAnsi="Times New Roman" w:cs="Times New Roman"/>
          <w:b/>
        </w:rPr>
        <w:t>a Zjawisko istniało, w wielkości większej lub równej 20 przypadków z próby, ale mniejszej niż 50.</w:t>
      </w:r>
    </w:p>
    <w:p w14:paraId="41C1BA50" w14:textId="77777777" w:rsidR="00584DC2" w:rsidRPr="003614D0" w:rsidRDefault="00584DC2" w:rsidP="003614D0">
      <w:pPr>
        <w:spacing w:after="0"/>
        <w:jc w:val="both"/>
        <w:rPr>
          <w:rFonts w:ascii="Times New Roman" w:hAnsi="Times New Roman" w:cs="Times New Roman"/>
          <w:b/>
        </w:rPr>
      </w:pPr>
      <w:r w:rsidRPr="003614D0">
        <w:rPr>
          <w:rFonts w:ascii="Times New Roman" w:hAnsi="Times New Roman" w:cs="Times New Roman"/>
          <w:b/>
        </w:rPr>
        <w:t xml:space="preserve">Dane w tablicach mogą nie sumować się do 100% ze względu na przyjęte zaokrąglenia. </w:t>
      </w:r>
    </w:p>
    <w:p w14:paraId="4015739E" w14:textId="77777777" w:rsidR="00EC59CC" w:rsidRDefault="00584DC2" w:rsidP="00812B7B">
      <w:pPr>
        <w:spacing w:after="0"/>
        <w:jc w:val="both"/>
        <w:rPr>
          <w:rFonts w:ascii="Times New Roman" w:hAnsi="Times New Roman" w:cs="Times New Roman"/>
          <w:b/>
        </w:rPr>
      </w:pPr>
      <w:r w:rsidRPr="003614D0">
        <w:rPr>
          <w:rFonts w:ascii="Times New Roman" w:hAnsi="Times New Roman" w:cs="Times New Roman"/>
          <w:b/>
        </w:rPr>
        <w:lastRenderedPageBreak/>
        <w:t>Źród</w:t>
      </w:r>
      <w:r w:rsidR="00812B7B">
        <w:rPr>
          <w:rFonts w:ascii="Times New Roman" w:hAnsi="Times New Roman" w:cs="Times New Roman"/>
          <w:b/>
        </w:rPr>
        <w:t>ło: Badanie EU-SILC 2019 r. GUS</w:t>
      </w:r>
    </w:p>
    <w:p w14:paraId="12014519" w14:textId="77777777" w:rsidR="00812B7B" w:rsidRPr="00812B7B" w:rsidRDefault="00812B7B" w:rsidP="00812B7B">
      <w:pPr>
        <w:spacing w:after="0"/>
        <w:jc w:val="both"/>
        <w:rPr>
          <w:rFonts w:ascii="Times New Roman" w:hAnsi="Times New Roman" w:cs="Times New Roman"/>
          <w:b/>
        </w:rPr>
      </w:pPr>
    </w:p>
    <w:p w14:paraId="55C49B9C" w14:textId="77777777" w:rsidR="002B3DC0" w:rsidRDefault="002B3DC0" w:rsidP="002B3DC0">
      <w:pPr>
        <w:spacing w:after="0"/>
        <w:jc w:val="both"/>
        <w:rPr>
          <w:rFonts w:ascii="Times New Roman" w:hAnsi="Times New Roman" w:cs="Times New Roman"/>
          <w:strike/>
          <w:sz w:val="24"/>
          <w:szCs w:val="24"/>
        </w:rPr>
      </w:pPr>
      <w:r w:rsidRPr="002C6845">
        <w:rPr>
          <w:rFonts w:ascii="Times New Roman" w:hAnsi="Times New Roman" w:cs="Times New Roman"/>
          <w:sz w:val="24"/>
          <w:szCs w:val="24"/>
        </w:rPr>
        <w:t>Biorąc pod uwagę 12 miesięcy poprzedzających badanie, rzeczywistą potrzebę leczenia lub badania</w:t>
      </w:r>
      <w:r w:rsidRPr="002C6845">
        <w:rPr>
          <w:rFonts w:ascii="Times New Roman" w:hAnsi="Times New Roman" w:cs="Times New Roman"/>
          <w:sz w:val="24"/>
          <w:szCs w:val="24"/>
          <w:vertAlign w:val="superscript"/>
        </w:rPr>
        <w:footnoteReference w:id="19"/>
      </w:r>
      <w:r w:rsidRPr="002C6845">
        <w:rPr>
          <w:rFonts w:ascii="Times New Roman" w:hAnsi="Times New Roman" w:cs="Times New Roman"/>
          <w:sz w:val="24"/>
          <w:szCs w:val="24"/>
        </w:rPr>
        <w:t xml:space="preserve"> zadeklarowało 73,4% osób starszych. Z tej grupy 12,1% przyznało, że nie skorzystało z leczenia lub badania za każdym razem gdy była taka potrzeba. Największa część (40,9%) jako powód podała „zbyt długą listę/kolejkę oczekujących”.</w:t>
      </w:r>
    </w:p>
    <w:p w14:paraId="72928D1B" w14:textId="77777777" w:rsidR="002B3DC0" w:rsidRDefault="002B3DC0" w:rsidP="003C1988">
      <w:pPr>
        <w:spacing w:after="0"/>
        <w:sectPr w:rsidR="002B3DC0" w:rsidSect="00E1300F">
          <w:pgSz w:w="11909" w:h="16838"/>
          <w:pgMar w:top="1137" w:right="1250" w:bottom="1132" w:left="1293" w:header="0" w:footer="567" w:gutter="0"/>
          <w:cols w:space="720"/>
          <w:noEndnote/>
          <w:docGrid w:linePitch="360"/>
        </w:sectPr>
      </w:pPr>
    </w:p>
    <w:p w14:paraId="7B3C320D" w14:textId="05132966" w:rsidR="003614D0" w:rsidRPr="003614D0" w:rsidRDefault="003614D0" w:rsidP="003614D0">
      <w:pPr>
        <w:pStyle w:val="Legenda"/>
        <w:keepNext/>
        <w:rPr>
          <w:rFonts w:ascii="Times New Roman" w:hAnsi="Times New Roman" w:cs="Times New Roman"/>
          <w:b/>
          <w:i w:val="0"/>
          <w:sz w:val="24"/>
        </w:rPr>
      </w:pPr>
      <w:bookmarkStart w:id="40" w:name="_Toc49171404"/>
      <w:r w:rsidRPr="003614D0">
        <w:rPr>
          <w:rFonts w:ascii="Times New Roman" w:hAnsi="Times New Roman" w:cs="Times New Roman"/>
          <w:b/>
          <w:i w:val="0"/>
          <w:sz w:val="24"/>
        </w:rPr>
        <w:lastRenderedPageBreak/>
        <w:t xml:space="preserve">Tabela </w:t>
      </w:r>
      <w:r w:rsidRPr="003614D0">
        <w:rPr>
          <w:rFonts w:ascii="Times New Roman" w:hAnsi="Times New Roman" w:cs="Times New Roman"/>
          <w:b/>
          <w:i w:val="0"/>
          <w:sz w:val="24"/>
        </w:rPr>
        <w:fldChar w:fldCharType="begin"/>
      </w:r>
      <w:r w:rsidRPr="003614D0">
        <w:rPr>
          <w:rFonts w:ascii="Times New Roman" w:hAnsi="Times New Roman" w:cs="Times New Roman"/>
          <w:b/>
          <w:i w:val="0"/>
          <w:sz w:val="24"/>
        </w:rPr>
        <w:instrText xml:space="preserve"> SEQ Tabela \* ARABIC </w:instrText>
      </w:r>
      <w:r w:rsidRPr="003614D0">
        <w:rPr>
          <w:rFonts w:ascii="Times New Roman" w:hAnsi="Times New Roman" w:cs="Times New Roman"/>
          <w:b/>
          <w:i w:val="0"/>
          <w:sz w:val="24"/>
        </w:rPr>
        <w:fldChar w:fldCharType="separate"/>
      </w:r>
      <w:r w:rsidR="00C154C9">
        <w:rPr>
          <w:rFonts w:ascii="Times New Roman" w:hAnsi="Times New Roman" w:cs="Times New Roman"/>
          <w:b/>
          <w:i w:val="0"/>
          <w:noProof/>
          <w:sz w:val="24"/>
        </w:rPr>
        <w:t>29</w:t>
      </w:r>
      <w:r w:rsidRPr="003614D0">
        <w:rPr>
          <w:rFonts w:ascii="Times New Roman" w:hAnsi="Times New Roman" w:cs="Times New Roman"/>
          <w:b/>
          <w:i w:val="0"/>
          <w:sz w:val="24"/>
        </w:rPr>
        <w:fldChar w:fldCharType="end"/>
      </w:r>
      <w:r w:rsidRPr="003614D0">
        <w:rPr>
          <w:rFonts w:ascii="Times New Roman" w:hAnsi="Times New Roman" w:cs="Times New Roman"/>
          <w:b/>
          <w:i w:val="0"/>
          <w:sz w:val="24"/>
        </w:rPr>
        <w:t xml:space="preserve"> Ambulatoryjna opieka zdrowotna w 2019 r.</w:t>
      </w:r>
      <w:bookmarkEnd w:id="40"/>
    </w:p>
    <w:tbl>
      <w:tblPr>
        <w:tblW w:w="12753"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1980"/>
        <w:gridCol w:w="1276"/>
        <w:gridCol w:w="1275"/>
        <w:gridCol w:w="1134"/>
        <w:gridCol w:w="1134"/>
        <w:gridCol w:w="1134"/>
        <w:gridCol w:w="1134"/>
        <w:gridCol w:w="1276"/>
        <w:gridCol w:w="1276"/>
        <w:gridCol w:w="1134"/>
      </w:tblGrid>
      <w:tr w:rsidR="00EC59CC" w:rsidRPr="00812B7B" w14:paraId="655DEC77" w14:textId="77777777" w:rsidTr="00BF1853">
        <w:trPr>
          <w:trHeight w:val="398"/>
          <w:jc w:val="center"/>
        </w:trPr>
        <w:tc>
          <w:tcPr>
            <w:tcW w:w="1980" w:type="dxa"/>
            <w:vMerge w:val="restart"/>
            <w:shd w:val="clear" w:color="auto" w:fill="9CC2E5" w:themeFill="accent1" w:themeFillTint="99"/>
            <w:vAlign w:val="center"/>
            <w:hideMark/>
          </w:tcPr>
          <w:p w14:paraId="4F5916A1"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Wyszczególnienie</w:t>
            </w:r>
          </w:p>
        </w:tc>
        <w:tc>
          <w:tcPr>
            <w:tcW w:w="3685" w:type="dxa"/>
            <w:gridSpan w:val="3"/>
            <w:shd w:val="clear" w:color="auto" w:fill="9CC2E5" w:themeFill="accent1" w:themeFillTint="99"/>
            <w:vAlign w:val="center"/>
            <w:hideMark/>
          </w:tcPr>
          <w:p w14:paraId="27C60CB6"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Ogółem</w:t>
            </w:r>
          </w:p>
        </w:tc>
        <w:tc>
          <w:tcPr>
            <w:tcW w:w="3402" w:type="dxa"/>
            <w:gridSpan w:val="3"/>
            <w:shd w:val="clear" w:color="auto" w:fill="9CC2E5" w:themeFill="accent1" w:themeFillTint="99"/>
            <w:vAlign w:val="center"/>
            <w:hideMark/>
          </w:tcPr>
          <w:p w14:paraId="73E25D02"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Osoby w wieku 65 lat i więcej</w:t>
            </w:r>
          </w:p>
        </w:tc>
        <w:tc>
          <w:tcPr>
            <w:tcW w:w="3686" w:type="dxa"/>
            <w:gridSpan w:val="3"/>
            <w:shd w:val="clear" w:color="auto" w:fill="9CC2E5" w:themeFill="accent1" w:themeFillTint="99"/>
            <w:vAlign w:val="center"/>
            <w:hideMark/>
          </w:tcPr>
          <w:p w14:paraId="4E170D16"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Osoby w wieku 0-64 lata</w:t>
            </w:r>
          </w:p>
        </w:tc>
      </w:tr>
      <w:tr w:rsidR="00EC59CC" w:rsidRPr="00812B7B" w14:paraId="1347D6E2" w14:textId="77777777" w:rsidTr="00BF1853">
        <w:trPr>
          <w:trHeight w:val="398"/>
          <w:jc w:val="center"/>
        </w:trPr>
        <w:tc>
          <w:tcPr>
            <w:tcW w:w="1980" w:type="dxa"/>
            <w:vMerge/>
            <w:shd w:val="clear" w:color="auto" w:fill="9CC2E5" w:themeFill="accent1" w:themeFillTint="99"/>
            <w:vAlign w:val="center"/>
            <w:hideMark/>
          </w:tcPr>
          <w:p w14:paraId="5F458B83"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p>
        </w:tc>
        <w:tc>
          <w:tcPr>
            <w:tcW w:w="1276" w:type="dxa"/>
            <w:shd w:val="clear" w:color="auto" w:fill="9CC2E5" w:themeFill="accent1" w:themeFillTint="99"/>
            <w:vAlign w:val="center"/>
            <w:hideMark/>
          </w:tcPr>
          <w:p w14:paraId="0A060B37"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ogółem</w:t>
            </w:r>
          </w:p>
        </w:tc>
        <w:tc>
          <w:tcPr>
            <w:tcW w:w="1275" w:type="dxa"/>
            <w:shd w:val="clear" w:color="auto" w:fill="9CC2E5" w:themeFill="accent1" w:themeFillTint="99"/>
            <w:vAlign w:val="center"/>
            <w:hideMark/>
          </w:tcPr>
          <w:p w14:paraId="24E902AA"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miasta</w:t>
            </w:r>
          </w:p>
        </w:tc>
        <w:tc>
          <w:tcPr>
            <w:tcW w:w="1134" w:type="dxa"/>
            <w:shd w:val="clear" w:color="auto" w:fill="9CC2E5" w:themeFill="accent1" w:themeFillTint="99"/>
            <w:vAlign w:val="center"/>
            <w:hideMark/>
          </w:tcPr>
          <w:p w14:paraId="1A180AC1"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wieś</w:t>
            </w:r>
          </w:p>
        </w:tc>
        <w:tc>
          <w:tcPr>
            <w:tcW w:w="1134" w:type="dxa"/>
            <w:shd w:val="clear" w:color="auto" w:fill="9CC2E5" w:themeFill="accent1" w:themeFillTint="99"/>
            <w:vAlign w:val="center"/>
            <w:hideMark/>
          </w:tcPr>
          <w:p w14:paraId="27613D2C"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razem</w:t>
            </w:r>
          </w:p>
        </w:tc>
        <w:tc>
          <w:tcPr>
            <w:tcW w:w="1134" w:type="dxa"/>
            <w:shd w:val="clear" w:color="auto" w:fill="9CC2E5" w:themeFill="accent1" w:themeFillTint="99"/>
            <w:vAlign w:val="center"/>
            <w:hideMark/>
          </w:tcPr>
          <w:p w14:paraId="58747728"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miasta</w:t>
            </w:r>
          </w:p>
        </w:tc>
        <w:tc>
          <w:tcPr>
            <w:tcW w:w="1134" w:type="dxa"/>
            <w:shd w:val="clear" w:color="auto" w:fill="9CC2E5" w:themeFill="accent1" w:themeFillTint="99"/>
            <w:vAlign w:val="center"/>
            <w:hideMark/>
          </w:tcPr>
          <w:p w14:paraId="070C1FE3"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wieś</w:t>
            </w:r>
          </w:p>
        </w:tc>
        <w:tc>
          <w:tcPr>
            <w:tcW w:w="1276" w:type="dxa"/>
            <w:shd w:val="clear" w:color="auto" w:fill="9CC2E5" w:themeFill="accent1" w:themeFillTint="99"/>
            <w:vAlign w:val="center"/>
            <w:hideMark/>
          </w:tcPr>
          <w:p w14:paraId="772FFF95"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razem</w:t>
            </w:r>
          </w:p>
        </w:tc>
        <w:tc>
          <w:tcPr>
            <w:tcW w:w="1276" w:type="dxa"/>
            <w:shd w:val="clear" w:color="auto" w:fill="9CC2E5" w:themeFill="accent1" w:themeFillTint="99"/>
            <w:vAlign w:val="center"/>
            <w:hideMark/>
          </w:tcPr>
          <w:p w14:paraId="076CF935"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miasta</w:t>
            </w:r>
          </w:p>
        </w:tc>
        <w:tc>
          <w:tcPr>
            <w:tcW w:w="1134" w:type="dxa"/>
            <w:shd w:val="clear" w:color="auto" w:fill="9CC2E5" w:themeFill="accent1" w:themeFillTint="99"/>
            <w:vAlign w:val="center"/>
            <w:hideMark/>
          </w:tcPr>
          <w:p w14:paraId="7AA12650" w14:textId="77777777" w:rsidR="00EC59CC" w:rsidRPr="00812B7B" w:rsidRDefault="00EC59CC" w:rsidP="00BF1853">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wieś</w:t>
            </w:r>
          </w:p>
        </w:tc>
      </w:tr>
      <w:tr w:rsidR="00EC59CC" w:rsidRPr="00812B7B" w14:paraId="1612AE85" w14:textId="77777777" w:rsidTr="00BF1853">
        <w:trPr>
          <w:trHeight w:val="300"/>
          <w:jc w:val="center"/>
        </w:trPr>
        <w:tc>
          <w:tcPr>
            <w:tcW w:w="1980" w:type="dxa"/>
            <w:shd w:val="clear" w:color="auto" w:fill="9CC2E5" w:themeFill="accent1" w:themeFillTint="99"/>
            <w:noWrap/>
            <w:vAlign w:val="center"/>
            <w:hideMark/>
          </w:tcPr>
          <w:p w14:paraId="460B4D7B" w14:textId="77777777" w:rsidR="00EC59CC" w:rsidRPr="00812B7B" w:rsidRDefault="00EC59CC" w:rsidP="003C1988">
            <w:pPr>
              <w:spacing w:after="0" w:line="240" w:lineRule="auto"/>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Porady ogółem</w:t>
            </w:r>
            <w:r w:rsidRPr="00812B7B">
              <w:rPr>
                <w:rFonts w:ascii="Times New Roman" w:eastAsia="Times New Roman" w:hAnsi="Times New Roman" w:cs="Times New Roman"/>
                <w:b/>
                <w:bCs/>
                <w:i/>
                <w:iCs/>
                <w:sz w:val="19"/>
                <w:szCs w:val="19"/>
                <w:vertAlign w:val="superscript"/>
                <w:lang w:eastAsia="pl-PL"/>
              </w:rPr>
              <w:t>a</w:t>
            </w:r>
          </w:p>
        </w:tc>
        <w:tc>
          <w:tcPr>
            <w:tcW w:w="1276" w:type="dxa"/>
            <w:shd w:val="clear" w:color="auto" w:fill="auto"/>
            <w:noWrap/>
            <w:vAlign w:val="center"/>
            <w:hideMark/>
          </w:tcPr>
          <w:p w14:paraId="3AA8360F"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325 803 174</w:t>
            </w:r>
          </w:p>
        </w:tc>
        <w:tc>
          <w:tcPr>
            <w:tcW w:w="1275" w:type="dxa"/>
            <w:shd w:val="clear" w:color="auto" w:fill="auto"/>
            <w:noWrap/>
            <w:vAlign w:val="center"/>
            <w:hideMark/>
          </w:tcPr>
          <w:p w14:paraId="622EB723"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276 993 682</w:t>
            </w:r>
          </w:p>
        </w:tc>
        <w:tc>
          <w:tcPr>
            <w:tcW w:w="1134" w:type="dxa"/>
            <w:shd w:val="clear" w:color="auto" w:fill="auto"/>
            <w:noWrap/>
            <w:vAlign w:val="center"/>
            <w:hideMark/>
          </w:tcPr>
          <w:p w14:paraId="3534A3D0"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48 809 492</w:t>
            </w:r>
          </w:p>
        </w:tc>
        <w:tc>
          <w:tcPr>
            <w:tcW w:w="1134" w:type="dxa"/>
            <w:shd w:val="clear" w:color="auto" w:fill="auto"/>
            <w:noWrap/>
            <w:vAlign w:val="center"/>
            <w:hideMark/>
          </w:tcPr>
          <w:p w14:paraId="3F7D4432"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98 795 601</w:t>
            </w:r>
          </w:p>
        </w:tc>
        <w:tc>
          <w:tcPr>
            <w:tcW w:w="1134" w:type="dxa"/>
            <w:shd w:val="clear" w:color="auto" w:fill="auto"/>
            <w:noWrap/>
            <w:vAlign w:val="center"/>
            <w:hideMark/>
          </w:tcPr>
          <w:p w14:paraId="43ADFFA4"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83 579 047</w:t>
            </w:r>
          </w:p>
        </w:tc>
        <w:tc>
          <w:tcPr>
            <w:tcW w:w="1134" w:type="dxa"/>
            <w:shd w:val="clear" w:color="auto" w:fill="auto"/>
            <w:noWrap/>
            <w:vAlign w:val="center"/>
            <w:hideMark/>
          </w:tcPr>
          <w:p w14:paraId="05350961"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15 216 554</w:t>
            </w:r>
          </w:p>
        </w:tc>
        <w:tc>
          <w:tcPr>
            <w:tcW w:w="1276" w:type="dxa"/>
            <w:shd w:val="clear" w:color="auto" w:fill="auto"/>
            <w:noWrap/>
            <w:vAlign w:val="center"/>
            <w:hideMark/>
          </w:tcPr>
          <w:p w14:paraId="5EB576B3"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227 007 573</w:t>
            </w:r>
          </w:p>
        </w:tc>
        <w:tc>
          <w:tcPr>
            <w:tcW w:w="1276" w:type="dxa"/>
            <w:shd w:val="clear" w:color="auto" w:fill="auto"/>
            <w:noWrap/>
            <w:vAlign w:val="center"/>
            <w:hideMark/>
          </w:tcPr>
          <w:p w14:paraId="72978E29"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193 414 635</w:t>
            </w:r>
          </w:p>
        </w:tc>
        <w:tc>
          <w:tcPr>
            <w:tcW w:w="1134" w:type="dxa"/>
            <w:shd w:val="clear" w:color="auto" w:fill="auto"/>
            <w:noWrap/>
            <w:vAlign w:val="center"/>
            <w:hideMark/>
          </w:tcPr>
          <w:p w14:paraId="3B35B2A1"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33 592 938</w:t>
            </w:r>
          </w:p>
        </w:tc>
      </w:tr>
      <w:tr w:rsidR="00EC59CC" w:rsidRPr="00812B7B" w14:paraId="008D3189" w14:textId="77777777" w:rsidTr="00BF1853">
        <w:trPr>
          <w:trHeight w:val="300"/>
          <w:jc w:val="center"/>
        </w:trPr>
        <w:tc>
          <w:tcPr>
            <w:tcW w:w="1980" w:type="dxa"/>
            <w:shd w:val="clear" w:color="auto" w:fill="9CC2E5" w:themeFill="accent1" w:themeFillTint="99"/>
            <w:vAlign w:val="center"/>
            <w:hideMark/>
          </w:tcPr>
          <w:p w14:paraId="65BDEA99" w14:textId="77777777" w:rsidR="00EC59CC" w:rsidRPr="00812B7B" w:rsidRDefault="00EC59CC" w:rsidP="003C1988">
            <w:pPr>
              <w:spacing w:after="0" w:line="240" w:lineRule="auto"/>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podstawowej opieki zdrowotnej (POZ)</w:t>
            </w:r>
          </w:p>
        </w:tc>
        <w:tc>
          <w:tcPr>
            <w:tcW w:w="1276" w:type="dxa"/>
            <w:shd w:val="clear" w:color="auto" w:fill="auto"/>
            <w:vAlign w:val="center"/>
            <w:hideMark/>
          </w:tcPr>
          <w:p w14:paraId="41DDD7F5"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173 782 807</w:t>
            </w:r>
          </w:p>
        </w:tc>
        <w:tc>
          <w:tcPr>
            <w:tcW w:w="1275" w:type="dxa"/>
            <w:shd w:val="clear" w:color="auto" w:fill="auto"/>
            <w:vAlign w:val="center"/>
            <w:hideMark/>
          </w:tcPr>
          <w:p w14:paraId="76B2ACD0"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133 098 641</w:t>
            </w:r>
          </w:p>
        </w:tc>
        <w:tc>
          <w:tcPr>
            <w:tcW w:w="1134" w:type="dxa"/>
            <w:shd w:val="clear" w:color="auto" w:fill="auto"/>
            <w:noWrap/>
            <w:vAlign w:val="center"/>
            <w:hideMark/>
          </w:tcPr>
          <w:p w14:paraId="3F9CAD76"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40 684 166</w:t>
            </w:r>
          </w:p>
        </w:tc>
        <w:tc>
          <w:tcPr>
            <w:tcW w:w="1134" w:type="dxa"/>
            <w:shd w:val="clear" w:color="auto" w:fill="auto"/>
            <w:noWrap/>
            <w:vAlign w:val="center"/>
            <w:hideMark/>
          </w:tcPr>
          <w:p w14:paraId="78B7521E"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58 841 599</w:t>
            </w:r>
          </w:p>
        </w:tc>
        <w:tc>
          <w:tcPr>
            <w:tcW w:w="1134" w:type="dxa"/>
            <w:shd w:val="clear" w:color="auto" w:fill="auto"/>
            <w:noWrap/>
            <w:vAlign w:val="center"/>
            <w:hideMark/>
          </w:tcPr>
          <w:p w14:paraId="2BD64954"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45 074 682</w:t>
            </w:r>
          </w:p>
        </w:tc>
        <w:tc>
          <w:tcPr>
            <w:tcW w:w="1134" w:type="dxa"/>
            <w:shd w:val="clear" w:color="auto" w:fill="auto"/>
            <w:noWrap/>
            <w:vAlign w:val="center"/>
            <w:hideMark/>
          </w:tcPr>
          <w:p w14:paraId="56C7DBE1"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13 766 917</w:t>
            </w:r>
          </w:p>
        </w:tc>
        <w:tc>
          <w:tcPr>
            <w:tcW w:w="1276" w:type="dxa"/>
            <w:shd w:val="clear" w:color="auto" w:fill="auto"/>
            <w:noWrap/>
            <w:vAlign w:val="center"/>
            <w:hideMark/>
          </w:tcPr>
          <w:p w14:paraId="4C4B21B3"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114 941 208</w:t>
            </w:r>
          </w:p>
        </w:tc>
        <w:tc>
          <w:tcPr>
            <w:tcW w:w="1276" w:type="dxa"/>
            <w:shd w:val="clear" w:color="auto" w:fill="auto"/>
            <w:noWrap/>
            <w:vAlign w:val="center"/>
            <w:hideMark/>
          </w:tcPr>
          <w:p w14:paraId="7958BD7F"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88 023 959</w:t>
            </w:r>
          </w:p>
        </w:tc>
        <w:tc>
          <w:tcPr>
            <w:tcW w:w="1134" w:type="dxa"/>
            <w:shd w:val="clear" w:color="auto" w:fill="auto"/>
            <w:noWrap/>
            <w:vAlign w:val="center"/>
            <w:hideMark/>
          </w:tcPr>
          <w:p w14:paraId="5C6A996F"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26 917 249</w:t>
            </w:r>
          </w:p>
        </w:tc>
      </w:tr>
      <w:tr w:rsidR="00EC59CC" w:rsidRPr="00812B7B" w14:paraId="2BB05C8D" w14:textId="77777777" w:rsidTr="00BF1853">
        <w:trPr>
          <w:trHeight w:val="300"/>
          <w:jc w:val="center"/>
        </w:trPr>
        <w:tc>
          <w:tcPr>
            <w:tcW w:w="1980" w:type="dxa"/>
            <w:shd w:val="clear" w:color="auto" w:fill="9CC2E5" w:themeFill="accent1" w:themeFillTint="99"/>
            <w:vAlign w:val="center"/>
            <w:hideMark/>
          </w:tcPr>
          <w:p w14:paraId="43B21210" w14:textId="77777777" w:rsidR="00EC59CC" w:rsidRPr="00812B7B" w:rsidRDefault="00EC59CC" w:rsidP="003C1988">
            <w:pPr>
              <w:spacing w:after="0" w:line="240" w:lineRule="auto"/>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specjalistyczne lekarskie (AOS)</w:t>
            </w:r>
          </w:p>
        </w:tc>
        <w:tc>
          <w:tcPr>
            <w:tcW w:w="1276" w:type="dxa"/>
            <w:shd w:val="clear" w:color="auto" w:fill="auto"/>
            <w:noWrap/>
            <w:vAlign w:val="center"/>
            <w:hideMark/>
          </w:tcPr>
          <w:p w14:paraId="216BB99F"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117 675 074</w:t>
            </w:r>
          </w:p>
        </w:tc>
        <w:tc>
          <w:tcPr>
            <w:tcW w:w="1275" w:type="dxa"/>
            <w:shd w:val="clear" w:color="auto" w:fill="auto"/>
            <w:noWrap/>
            <w:vAlign w:val="center"/>
            <w:hideMark/>
          </w:tcPr>
          <w:p w14:paraId="3CBCC47B"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114 464 766</w:t>
            </w:r>
          </w:p>
        </w:tc>
        <w:tc>
          <w:tcPr>
            <w:tcW w:w="1134" w:type="dxa"/>
            <w:shd w:val="clear" w:color="auto" w:fill="auto"/>
            <w:noWrap/>
            <w:vAlign w:val="center"/>
            <w:hideMark/>
          </w:tcPr>
          <w:p w14:paraId="30CA739B"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3 210 308</w:t>
            </w:r>
          </w:p>
        </w:tc>
        <w:tc>
          <w:tcPr>
            <w:tcW w:w="1134" w:type="dxa"/>
            <w:shd w:val="clear" w:color="auto" w:fill="auto"/>
            <w:noWrap/>
            <w:vAlign w:val="center"/>
            <w:hideMark/>
          </w:tcPr>
          <w:p w14:paraId="61C1E1BD"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34 575 058</w:t>
            </w:r>
          </w:p>
        </w:tc>
        <w:tc>
          <w:tcPr>
            <w:tcW w:w="1134" w:type="dxa"/>
            <w:shd w:val="clear" w:color="auto" w:fill="auto"/>
            <w:noWrap/>
            <w:vAlign w:val="center"/>
            <w:hideMark/>
          </w:tcPr>
          <w:p w14:paraId="65FE0718"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33 816 844</w:t>
            </w:r>
          </w:p>
        </w:tc>
        <w:tc>
          <w:tcPr>
            <w:tcW w:w="1134" w:type="dxa"/>
            <w:shd w:val="clear" w:color="auto" w:fill="auto"/>
            <w:noWrap/>
            <w:vAlign w:val="center"/>
            <w:hideMark/>
          </w:tcPr>
          <w:p w14:paraId="5D631216"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758 214</w:t>
            </w:r>
          </w:p>
        </w:tc>
        <w:tc>
          <w:tcPr>
            <w:tcW w:w="1276" w:type="dxa"/>
            <w:shd w:val="clear" w:color="auto" w:fill="auto"/>
            <w:noWrap/>
            <w:vAlign w:val="center"/>
            <w:hideMark/>
          </w:tcPr>
          <w:p w14:paraId="3CB9C530"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83 100 016</w:t>
            </w:r>
          </w:p>
        </w:tc>
        <w:tc>
          <w:tcPr>
            <w:tcW w:w="1276" w:type="dxa"/>
            <w:shd w:val="clear" w:color="auto" w:fill="auto"/>
            <w:noWrap/>
            <w:vAlign w:val="center"/>
            <w:hideMark/>
          </w:tcPr>
          <w:p w14:paraId="3DCE8B31"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80 647 922</w:t>
            </w:r>
          </w:p>
        </w:tc>
        <w:tc>
          <w:tcPr>
            <w:tcW w:w="1134" w:type="dxa"/>
            <w:shd w:val="clear" w:color="auto" w:fill="auto"/>
            <w:noWrap/>
            <w:vAlign w:val="center"/>
            <w:hideMark/>
          </w:tcPr>
          <w:p w14:paraId="37BEBEF4"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2 452 094</w:t>
            </w:r>
          </w:p>
        </w:tc>
      </w:tr>
      <w:tr w:rsidR="00EC59CC" w:rsidRPr="00812B7B" w14:paraId="1A9987BD" w14:textId="77777777" w:rsidTr="00BF1853">
        <w:trPr>
          <w:trHeight w:val="300"/>
          <w:jc w:val="center"/>
        </w:trPr>
        <w:tc>
          <w:tcPr>
            <w:tcW w:w="1980" w:type="dxa"/>
            <w:shd w:val="clear" w:color="auto" w:fill="9CC2E5" w:themeFill="accent1" w:themeFillTint="99"/>
            <w:vAlign w:val="center"/>
            <w:hideMark/>
          </w:tcPr>
          <w:p w14:paraId="27DB52C2" w14:textId="77777777" w:rsidR="00EC59CC" w:rsidRPr="00812B7B" w:rsidRDefault="00EC59CC" w:rsidP="003C1988">
            <w:pPr>
              <w:spacing w:after="0" w:line="240" w:lineRule="auto"/>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stomatologiczne</w:t>
            </w:r>
          </w:p>
        </w:tc>
        <w:tc>
          <w:tcPr>
            <w:tcW w:w="1276" w:type="dxa"/>
            <w:shd w:val="clear" w:color="auto" w:fill="auto"/>
            <w:noWrap/>
            <w:vAlign w:val="center"/>
            <w:hideMark/>
          </w:tcPr>
          <w:p w14:paraId="2402A589"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34 345 293</w:t>
            </w:r>
          </w:p>
        </w:tc>
        <w:tc>
          <w:tcPr>
            <w:tcW w:w="1275" w:type="dxa"/>
            <w:shd w:val="clear" w:color="auto" w:fill="auto"/>
            <w:noWrap/>
            <w:vAlign w:val="center"/>
            <w:hideMark/>
          </w:tcPr>
          <w:p w14:paraId="14953012"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29 430 275</w:t>
            </w:r>
          </w:p>
        </w:tc>
        <w:tc>
          <w:tcPr>
            <w:tcW w:w="1134" w:type="dxa"/>
            <w:shd w:val="clear" w:color="auto" w:fill="auto"/>
            <w:noWrap/>
            <w:vAlign w:val="center"/>
            <w:hideMark/>
          </w:tcPr>
          <w:p w14:paraId="3A61D7F7"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4 915 018</w:t>
            </w:r>
          </w:p>
        </w:tc>
        <w:tc>
          <w:tcPr>
            <w:tcW w:w="1134" w:type="dxa"/>
            <w:shd w:val="clear" w:color="auto" w:fill="auto"/>
            <w:noWrap/>
            <w:vAlign w:val="center"/>
            <w:hideMark/>
          </w:tcPr>
          <w:p w14:paraId="56A6E5C3"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5 378 944</w:t>
            </w:r>
          </w:p>
        </w:tc>
        <w:tc>
          <w:tcPr>
            <w:tcW w:w="1134" w:type="dxa"/>
            <w:shd w:val="clear" w:color="auto" w:fill="auto"/>
            <w:noWrap/>
            <w:vAlign w:val="center"/>
            <w:hideMark/>
          </w:tcPr>
          <w:p w14:paraId="5BC94B2C"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4 687 521</w:t>
            </w:r>
          </w:p>
        </w:tc>
        <w:tc>
          <w:tcPr>
            <w:tcW w:w="1134" w:type="dxa"/>
            <w:shd w:val="clear" w:color="auto" w:fill="auto"/>
            <w:noWrap/>
            <w:vAlign w:val="center"/>
            <w:hideMark/>
          </w:tcPr>
          <w:p w14:paraId="5455AEF3"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691 423</w:t>
            </w:r>
          </w:p>
        </w:tc>
        <w:tc>
          <w:tcPr>
            <w:tcW w:w="1276" w:type="dxa"/>
            <w:shd w:val="clear" w:color="auto" w:fill="auto"/>
            <w:noWrap/>
            <w:vAlign w:val="center"/>
            <w:hideMark/>
          </w:tcPr>
          <w:p w14:paraId="7625838E"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28 966 349</w:t>
            </w:r>
          </w:p>
        </w:tc>
        <w:tc>
          <w:tcPr>
            <w:tcW w:w="1276" w:type="dxa"/>
            <w:shd w:val="clear" w:color="auto" w:fill="auto"/>
            <w:noWrap/>
            <w:vAlign w:val="center"/>
            <w:hideMark/>
          </w:tcPr>
          <w:p w14:paraId="1834D247"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24 742 754</w:t>
            </w:r>
          </w:p>
        </w:tc>
        <w:tc>
          <w:tcPr>
            <w:tcW w:w="1134" w:type="dxa"/>
            <w:shd w:val="clear" w:color="auto" w:fill="auto"/>
            <w:noWrap/>
            <w:vAlign w:val="center"/>
            <w:hideMark/>
          </w:tcPr>
          <w:p w14:paraId="3D73B2A7"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4 223 595</w:t>
            </w:r>
          </w:p>
        </w:tc>
      </w:tr>
      <w:tr w:rsidR="00EC59CC" w:rsidRPr="00812B7B" w14:paraId="52A95D66" w14:textId="77777777" w:rsidTr="00BF1853">
        <w:trPr>
          <w:trHeight w:val="300"/>
          <w:jc w:val="center"/>
        </w:trPr>
        <w:tc>
          <w:tcPr>
            <w:tcW w:w="1980" w:type="dxa"/>
            <w:shd w:val="clear" w:color="auto" w:fill="9CC2E5" w:themeFill="accent1" w:themeFillTint="99"/>
            <w:vAlign w:val="center"/>
            <w:hideMark/>
          </w:tcPr>
          <w:p w14:paraId="0EF913B0" w14:textId="77777777" w:rsidR="00EC59CC" w:rsidRPr="00812B7B" w:rsidRDefault="00EC59CC" w:rsidP="003C1988">
            <w:pPr>
              <w:spacing w:after="0" w:line="240" w:lineRule="auto"/>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 xml:space="preserve">Przeciętna liczba porad na 1 osobę </w:t>
            </w:r>
          </w:p>
        </w:tc>
        <w:tc>
          <w:tcPr>
            <w:tcW w:w="1276" w:type="dxa"/>
            <w:shd w:val="clear" w:color="auto" w:fill="auto"/>
            <w:noWrap/>
            <w:vAlign w:val="center"/>
            <w:hideMark/>
          </w:tcPr>
          <w:p w14:paraId="0474F8FE"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8,5</w:t>
            </w:r>
          </w:p>
        </w:tc>
        <w:tc>
          <w:tcPr>
            <w:tcW w:w="1275" w:type="dxa"/>
            <w:shd w:val="clear" w:color="auto" w:fill="auto"/>
            <w:noWrap/>
            <w:vAlign w:val="center"/>
            <w:hideMark/>
          </w:tcPr>
          <w:p w14:paraId="1680E8A4"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12,0</w:t>
            </w:r>
          </w:p>
        </w:tc>
        <w:tc>
          <w:tcPr>
            <w:tcW w:w="1134" w:type="dxa"/>
            <w:shd w:val="clear" w:color="auto" w:fill="auto"/>
            <w:noWrap/>
            <w:vAlign w:val="center"/>
            <w:hideMark/>
          </w:tcPr>
          <w:p w14:paraId="6A69902D"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3,2</w:t>
            </w:r>
          </w:p>
        </w:tc>
        <w:tc>
          <w:tcPr>
            <w:tcW w:w="1134" w:type="dxa"/>
            <w:shd w:val="clear" w:color="auto" w:fill="auto"/>
            <w:noWrap/>
            <w:vAlign w:val="center"/>
            <w:hideMark/>
          </w:tcPr>
          <w:p w14:paraId="6ECCFBD1"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14,5</w:t>
            </w:r>
          </w:p>
        </w:tc>
        <w:tc>
          <w:tcPr>
            <w:tcW w:w="1134" w:type="dxa"/>
            <w:shd w:val="clear" w:color="auto" w:fill="auto"/>
            <w:noWrap/>
            <w:vAlign w:val="center"/>
            <w:hideMark/>
          </w:tcPr>
          <w:p w14:paraId="48E5693A"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18,6</w:t>
            </w:r>
          </w:p>
        </w:tc>
        <w:tc>
          <w:tcPr>
            <w:tcW w:w="1134" w:type="dxa"/>
            <w:shd w:val="clear" w:color="auto" w:fill="auto"/>
            <w:noWrap/>
            <w:vAlign w:val="center"/>
            <w:hideMark/>
          </w:tcPr>
          <w:p w14:paraId="2402A9EB"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6,5</w:t>
            </w:r>
          </w:p>
        </w:tc>
        <w:tc>
          <w:tcPr>
            <w:tcW w:w="1276" w:type="dxa"/>
            <w:shd w:val="clear" w:color="auto" w:fill="auto"/>
            <w:noWrap/>
            <w:vAlign w:val="center"/>
            <w:hideMark/>
          </w:tcPr>
          <w:p w14:paraId="153D59AA"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7,2</w:t>
            </w:r>
          </w:p>
        </w:tc>
        <w:tc>
          <w:tcPr>
            <w:tcW w:w="1276" w:type="dxa"/>
            <w:shd w:val="clear" w:color="auto" w:fill="auto"/>
            <w:noWrap/>
            <w:vAlign w:val="center"/>
            <w:hideMark/>
          </w:tcPr>
          <w:p w14:paraId="6DA5988F"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10,4</w:t>
            </w:r>
          </w:p>
        </w:tc>
        <w:tc>
          <w:tcPr>
            <w:tcW w:w="1134" w:type="dxa"/>
            <w:shd w:val="clear" w:color="auto" w:fill="auto"/>
            <w:noWrap/>
            <w:vAlign w:val="center"/>
            <w:hideMark/>
          </w:tcPr>
          <w:p w14:paraId="04DAA2EF" w14:textId="77777777" w:rsidR="00EC59CC" w:rsidRPr="00812B7B" w:rsidRDefault="00EC59CC" w:rsidP="00BF1853">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2,6</w:t>
            </w:r>
          </w:p>
        </w:tc>
      </w:tr>
      <w:tr w:rsidR="00EC59CC" w:rsidRPr="00812B7B" w14:paraId="51989C07" w14:textId="77777777" w:rsidTr="00BF1853">
        <w:trPr>
          <w:trHeight w:val="300"/>
          <w:jc w:val="center"/>
        </w:trPr>
        <w:tc>
          <w:tcPr>
            <w:tcW w:w="1980" w:type="dxa"/>
            <w:shd w:val="clear" w:color="auto" w:fill="9CC2E5" w:themeFill="accent1" w:themeFillTint="99"/>
            <w:vAlign w:val="center"/>
            <w:hideMark/>
          </w:tcPr>
          <w:p w14:paraId="46710332" w14:textId="77777777" w:rsidR="00EC59CC" w:rsidRPr="00812B7B" w:rsidRDefault="00EC59CC" w:rsidP="003C1988">
            <w:pPr>
              <w:spacing w:after="0" w:line="240" w:lineRule="auto"/>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podstawowej opieki zdrowotnej (POZ)</w:t>
            </w:r>
          </w:p>
        </w:tc>
        <w:tc>
          <w:tcPr>
            <w:tcW w:w="1276" w:type="dxa"/>
            <w:shd w:val="clear" w:color="auto" w:fill="auto"/>
            <w:noWrap/>
            <w:vAlign w:val="center"/>
            <w:hideMark/>
          </w:tcPr>
          <w:p w14:paraId="789479A4"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4,5</w:t>
            </w:r>
          </w:p>
        </w:tc>
        <w:tc>
          <w:tcPr>
            <w:tcW w:w="1275" w:type="dxa"/>
            <w:shd w:val="clear" w:color="auto" w:fill="auto"/>
            <w:noWrap/>
            <w:vAlign w:val="center"/>
            <w:hideMark/>
          </w:tcPr>
          <w:p w14:paraId="730B78AB"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5,8</w:t>
            </w:r>
          </w:p>
        </w:tc>
        <w:tc>
          <w:tcPr>
            <w:tcW w:w="1134" w:type="dxa"/>
            <w:shd w:val="clear" w:color="auto" w:fill="auto"/>
            <w:noWrap/>
            <w:vAlign w:val="center"/>
            <w:hideMark/>
          </w:tcPr>
          <w:p w14:paraId="1A212E23"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2,7</w:t>
            </w:r>
          </w:p>
        </w:tc>
        <w:tc>
          <w:tcPr>
            <w:tcW w:w="1134" w:type="dxa"/>
            <w:shd w:val="clear" w:color="auto" w:fill="auto"/>
            <w:noWrap/>
            <w:vAlign w:val="center"/>
            <w:hideMark/>
          </w:tcPr>
          <w:p w14:paraId="05F3AB7E"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8,6</w:t>
            </w:r>
          </w:p>
        </w:tc>
        <w:tc>
          <w:tcPr>
            <w:tcW w:w="1134" w:type="dxa"/>
            <w:shd w:val="clear" w:color="auto" w:fill="auto"/>
            <w:noWrap/>
            <w:vAlign w:val="center"/>
            <w:hideMark/>
          </w:tcPr>
          <w:p w14:paraId="7006ABC8"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10,0</w:t>
            </w:r>
          </w:p>
        </w:tc>
        <w:tc>
          <w:tcPr>
            <w:tcW w:w="1134" w:type="dxa"/>
            <w:shd w:val="clear" w:color="auto" w:fill="auto"/>
            <w:noWrap/>
            <w:vAlign w:val="center"/>
            <w:hideMark/>
          </w:tcPr>
          <w:p w14:paraId="4AF8FB89"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5,9</w:t>
            </w:r>
          </w:p>
        </w:tc>
        <w:tc>
          <w:tcPr>
            <w:tcW w:w="1276" w:type="dxa"/>
            <w:shd w:val="clear" w:color="auto" w:fill="auto"/>
            <w:noWrap/>
            <w:vAlign w:val="center"/>
            <w:hideMark/>
          </w:tcPr>
          <w:p w14:paraId="4CD6958E"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3,6</w:t>
            </w:r>
          </w:p>
        </w:tc>
        <w:tc>
          <w:tcPr>
            <w:tcW w:w="1276" w:type="dxa"/>
            <w:shd w:val="clear" w:color="auto" w:fill="auto"/>
            <w:noWrap/>
            <w:vAlign w:val="center"/>
            <w:hideMark/>
          </w:tcPr>
          <w:p w14:paraId="5F3439CE"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4,7</w:t>
            </w:r>
          </w:p>
        </w:tc>
        <w:tc>
          <w:tcPr>
            <w:tcW w:w="1134" w:type="dxa"/>
            <w:shd w:val="clear" w:color="auto" w:fill="auto"/>
            <w:noWrap/>
            <w:vAlign w:val="center"/>
            <w:hideMark/>
          </w:tcPr>
          <w:p w14:paraId="719A9024"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2,1</w:t>
            </w:r>
          </w:p>
        </w:tc>
      </w:tr>
      <w:tr w:rsidR="00EC59CC" w:rsidRPr="00812B7B" w14:paraId="5F7744FF" w14:textId="77777777" w:rsidTr="00BF1853">
        <w:trPr>
          <w:trHeight w:val="300"/>
          <w:jc w:val="center"/>
        </w:trPr>
        <w:tc>
          <w:tcPr>
            <w:tcW w:w="1980" w:type="dxa"/>
            <w:shd w:val="clear" w:color="auto" w:fill="9CC2E5" w:themeFill="accent1" w:themeFillTint="99"/>
            <w:vAlign w:val="center"/>
            <w:hideMark/>
          </w:tcPr>
          <w:p w14:paraId="66A6A88F" w14:textId="77777777" w:rsidR="00EC59CC" w:rsidRPr="00812B7B" w:rsidRDefault="00EC59CC" w:rsidP="003C1988">
            <w:pPr>
              <w:spacing w:after="0" w:line="240" w:lineRule="auto"/>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specjalistyczne lekarskie (AOS)</w:t>
            </w:r>
          </w:p>
        </w:tc>
        <w:tc>
          <w:tcPr>
            <w:tcW w:w="1276" w:type="dxa"/>
            <w:shd w:val="clear" w:color="auto" w:fill="auto"/>
            <w:noWrap/>
            <w:vAlign w:val="center"/>
            <w:hideMark/>
          </w:tcPr>
          <w:p w14:paraId="229D64FF"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3,1</w:t>
            </w:r>
          </w:p>
        </w:tc>
        <w:tc>
          <w:tcPr>
            <w:tcW w:w="1275" w:type="dxa"/>
            <w:shd w:val="clear" w:color="auto" w:fill="auto"/>
            <w:noWrap/>
            <w:vAlign w:val="center"/>
            <w:hideMark/>
          </w:tcPr>
          <w:p w14:paraId="0B384575"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5,0</w:t>
            </w:r>
          </w:p>
        </w:tc>
        <w:tc>
          <w:tcPr>
            <w:tcW w:w="1134" w:type="dxa"/>
            <w:shd w:val="clear" w:color="auto" w:fill="auto"/>
            <w:noWrap/>
            <w:vAlign w:val="center"/>
            <w:hideMark/>
          </w:tcPr>
          <w:p w14:paraId="08CD6389"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0,2</w:t>
            </w:r>
          </w:p>
        </w:tc>
        <w:tc>
          <w:tcPr>
            <w:tcW w:w="1134" w:type="dxa"/>
            <w:shd w:val="clear" w:color="auto" w:fill="auto"/>
            <w:noWrap/>
            <w:vAlign w:val="center"/>
            <w:hideMark/>
          </w:tcPr>
          <w:p w14:paraId="4A7043EE"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5,1</w:t>
            </w:r>
          </w:p>
        </w:tc>
        <w:tc>
          <w:tcPr>
            <w:tcW w:w="1134" w:type="dxa"/>
            <w:shd w:val="clear" w:color="auto" w:fill="auto"/>
            <w:noWrap/>
            <w:vAlign w:val="center"/>
            <w:hideMark/>
          </w:tcPr>
          <w:p w14:paraId="4FEACE09"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7,5</w:t>
            </w:r>
          </w:p>
        </w:tc>
        <w:tc>
          <w:tcPr>
            <w:tcW w:w="1134" w:type="dxa"/>
            <w:shd w:val="clear" w:color="auto" w:fill="auto"/>
            <w:noWrap/>
            <w:vAlign w:val="center"/>
            <w:hideMark/>
          </w:tcPr>
          <w:p w14:paraId="7DEF2188"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0,3</w:t>
            </w:r>
          </w:p>
        </w:tc>
        <w:tc>
          <w:tcPr>
            <w:tcW w:w="1276" w:type="dxa"/>
            <w:shd w:val="clear" w:color="auto" w:fill="auto"/>
            <w:noWrap/>
            <w:vAlign w:val="center"/>
            <w:hideMark/>
          </w:tcPr>
          <w:p w14:paraId="59E65EAF"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2,6</w:t>
            </w:r>
          </w:p>
        </w:tc>
        <w:tc>
          <w:tcPr>
            <w:tcW w:w="1276" w:type="dxa"/>
            <w:shd w:val="clear" w:color="auto" w:fill="auto"/>
            <w:noWrap/>
            <w:vAlign w:val="center"/>
            <w:hideMark/>
          </w:tcPr>
          <w:p w14:paraId="75CB3836"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4,3</w:t>
            </w:r>
          </w:p>
        </w:tc>
        <w:tc>
          <w:tcPr>
            <w:tcW w:w="1134" w:type="dxa"/>
            <w:shd w:val="clear" w:color="auto" w:fill="auto"/>
            <w:noWrap/>
            <w:vAlign w:val="center"/>
            <w:hideMark/>
          </w:tcPr>
          <w:p w14:paraId="10386B41"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0,2</w:t>
            </w:r>
          </w:p>
        </w:tc>
      </w:tr>
      <w:tr w:rsidR="00EC59CC" w:rsidRPr="00812B7B" w14:paraId="3C52D16D" w14:textId="77777777" w:rsidTr="00BF1853">
        <w:trPr>
          <w:trHeight w:val="300"/>
          <w:jc w:val="center"/>
        </w:trPr>
        <w:tc>
          <w:tcPr>
            <w:tcW w:w="1980" w:type="dxa"/>
            <w:shd w:val="clear" w:color="auto" w:fill="9CC2E5" w:themeFill="accent1" w:themeFillTint="99"/>
            <w:vAlign w:val="center"/>
            <w:hideMark/>
          </w:tcPr>
          <w:p w14:paraId="7D9EE72A" w14:textId="77777777" w:rsidR="00EC59CC" w:rsidRPr="00812B7B" w:rsidRDefault="00EC59CC" w:rsidP="003C1988">
            <w:pPr>
              <w:spacing w:after="0" w:line="240" w:lineRule="auto"/>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stomatologiczne</w:t>
            </w:r>
          </w:p>
        </w:tc>
        <w:tc>
          <w:tcPr>
            <w:tcW w:w="1276" w:type="dxa"/>
            <w:shd w:val="clear" w:color="auto" w:fill="auto"/>
            <w:noWrap/>
            <w:vAlign w:val="center"/>
            <w:hideMark/>
          </w:tcPr>
          <w:p w14:paraId="5417321D"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0,9</w:t>
            </w:r>
          </w:p>
        </w:tc>
        <w:tc>
          <w:tcPr>
            <w:tcW w:w="1275" w:type="dxa"/>
            <w:shd w:val="clear" w:color="auto" w:fill="auto"/>
            <w:noWrap/>
            <w:vAlign w:val="center"/>
            <w:hideMark/>
          </w:tcPr>
          <w:p w14:paraId="18EA661E"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1,3</w:t>
            </w:r>
          </w:p>
        </w:tc>
        <w:tc>
          <w:tcPr>
            <w:tcW w:w="1134" w:type="dxa"/>
            <w:shd w:val="clear" w:color="auto" w:fill="auto"/>
            <w:noWrap/>
            <w:vAlign w:val="center"/>
            <w:hideMark/>
          </w:tcPr>
          <w:p w14:paraId="735C4FBB"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0,3</w:t>
            </w:r>
          </w:p>
        </w:tc>
        <w:tc>
          <w:tcPr>
            <w:tcW w:w="1134" w:type="dxa"/>
            <w:shd w:val="clear" w:color="auto" w:fill="auto"/>
            <w:noWrap/>
            <w:vAlign w:val="center"/>
            <w:hideMark/>
          </w:tcPr>
          <w:p w14:paraId="376BBA09"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0,8</w:t>
            </w:r>
          </w:p>
        </w:tc>
        <w:tc>
          <w:tcPr>
            <w:tcW w:w="1134" w:type="dxa"/>
            <w:shd w:val="clear" w:color="auto" w:fill="auto"/>
            <w:noWrap/>
            <w:vAlign w:val="center"/>
            <w:hideMark/>
          </w:tcPr>
          <w:p w14:paraId="3ACCC3E9"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1,0</w:t>
            </w:r>
          </w:p>
        </w:tc>
        <w:tc>
          <w:tcPr>
            <w:tcW w:w="1134" w:type="dxa"/>
            <w:shd w:val="clear" w:color="auto" w:fill="auto"/>
            <w:noWrap/>
            <w:vAlign w:val="center"/>
            <w:hideMark/>
          </w:tcPr>
          <w:p w14:paraId="5C8496E9"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0,3</w:t>
            </w:r>
          </w:p>
        </w:tc>
        <w:tc>
          <w:tcPr>
            <w:tcW w:w="1276" w:type="dxa"/>
            <w:shd w:val="clear" w:color="auto" w:fill="auto"/>
            <w:noWrap/>
            <w:vAlign w:val="center"/>
            <w:hideMark/>
          </w:tcPr>
          <w:p w14:paraId="659E5D9B"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0,9</w:t>
            </w:r>
          </w:p>
        </w:tc>
        <w:tc>
          <w:tcPr>
            <w:tcW w:w="1276" w:type="dxa"/>
            <w:shd w:val="clear" w:color="auto" w:fill="auto"/>
            <w:noWrap/>
            <w:vAlign w:val="center"/>
            <w:hideMark/>
          </w:tcPr>
          <w:p w14:paraId="0779F1E8"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1,3</w:t>
            </w:r>
          </w:p>
        </w:tc>
        <w:tc>
          <w:tcPr>
            <w:tcW w:w="1134" w:type="dxa"/>
            <w:shd w:val="clear" w:color="auto" w:fill="auto"/>
            <w:noWrap/>
            <w:vAlign w:val="center"/>
            <w:hideMark/>
          </w:tcPr>
          <w:p w14:paraId="6C4208A7" w14:textId="77777777" w:rsidR="00EC59CC" w:rsidRPr="00812B7B" w:rsidRDefault="00EC59CC" w:rsidP="00BF1853">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0,3</w:t>
            </w:r>
          </w:p>
        </w:tc>
      </w:tr>
    </w:tbl>
    <w:p w14:paraId="503905A8" w14:textId="77777777" w:rsidR="00EC59CC" w:rsidRPr="003614D0" w:rsidRDefault="00EC59CC" w:rsidP="003C1988">
      <w:pPr>
        <w:spacing w:after="0"/>
        <w:rPr>
          <w:rFonts w:ascii="Times New Roman" w:hAnsi="Times New Roman" w:cs="Times New Roman"/>
          <w:b/>
        </w:rPr>
      </w:pPr>
      <w:r w:rsidRPr="003614D0">
        <w:rPr>
          <w:rFonts w:ascii="Times New Roman" w:hAnsi="Times New Roman" w:cs="Times New Roman"/>
          <w:b/>
        </w:rPr>
        <w:t>a łącznie z poradami nocnej i świątecznej opieki zdrowotnej, bez porad udzielonych w izbach przyjęć szpitali ogólnych</w:t>
      </w:r>
    </w:p>
    <w:p w14:paraId="369AEDAD" w14:textId="77777777" w:rsidR="00A30691" w:rsidRDefault="00EC59CC" w:rsidP="003C1988">
      <w:pPr>
        <w:spacing w:after="0"/>
        <w:rPr>
          <w:rFonts w:ascii="Times New Roman" w:hAnsi="Times New Roman" w:cs="Times New Roman"/>
          <w:b/>
        </w:rPr>
      </w:pPr>
      <w:r w:rsidRPr="003614D0">
        <w:rPr>
          <w:rFonts w:ascii="Times New Roman" w:hAnsi="Times New Roman" w:cs="Times New Roman"/>
          <w:b/>
        </w:rPr>
        <w:t>Źródło: Sprawozdanie z ambulatoryjnej opieki zdrowotnej, GUS (formularz ZD3)</w:t>
      </w:r>
    </w:p>
    <w:p w14:paraId="709CD20C" w14:textId="77777777" w:rsidR="00812B7B" w:rsidRPr="003614D0" w:rsidRDefault="00812B7B" w:rsidP="003C1988">
      <w:pPr>
        <w:spacing w:after="0"/>
        <w:rPr>
          <w:rFonts w:ascii="Times New Roman" w:hAnsi="Times New Roman" w:cs="Times New Roman"/>
          <w:b/>
        </w:rPr>
      </w:pPr>
    </w:p>
    <w:p w14:paraId="4B330C25" w14:textId="54419CC9" w:rsidR="00A30691" w:rsidRPr="00A30691" w:rsidRDefault="003614D0" w:rsidP="00A30691">
      <w:pPr>
        <w:pStyle w:val="Legenda"/>
        <w:keepNext/>
        <w:rPr>
          <w:rFonts w:ascii="Times New Roman" w:hAnsi="Times New Roman" w:cs="Times New Roman"/>
          <w:b/>
          <w:i w:val="0"/>
          <w:sz w:val="24"/>
        </w:rPr>
      </w:pPr>
      <w:bookmarkStart w:id="41" w:name="_Toc49171405"/>
      <w:r w:rsidRPr="003614D0">
        <w:rPr>
          <w:rFonts w:ascii="Times New Roman" w:hAnsi="Times New Roman" w:cs="Times New Roman"/>
          <w:b/>
          <w:i w:val="0"/>
          <w:sz w:val="24"/>
        </w:rPr>
        <w:t xml:space="preserve">Tabela </w:t>
      </w:r>
      <w:r w:rsidRPr="003614D0">
        <w:rPr>
          <w:rFonts w:ascii="Times New Roman" w:hAnsi="Times New Roman" w:cs="Times New Roman"/>
          <w:b/>
          <w:i w:val="0"/>
          <w:sz w:val="24"/>
        </w:rPr>
        <w:fldChar w:fldCharType="begin"/>
      </w:r>
      <w:r w:rsidRPr="003614D0">
        <w:rPr>
          <w:rFonts w:ascii="Times New Roman" w:hAnsi="Times New Roman" w:cs="Times New Roman"/>
          <w:b/>
          <w:i w:val="0"/>
          <w:sz w:val="24"/>
        </w:rPr>
        <w:instrText xml:space="preserve"> SEQ Tabela \* ARABIC </w:instrText>
      </w:r>
      <w:r w:rsidRPr="003614D0">
        <w:rPr>
          <w:rFonts w:ascii="Times New Roman" w:hAnsi="Times New Roman" w:cs="Times New Roman"/>
          <w:b/>
          <w:i w:val="0"/>
          <w:sz w:val="24"/>
        </w:rPr>
        <w:fldChar w:fldCharType="separate"/>
      </w:r>
      <w:r w:rsidR="00C154C9">
        <w:rPr>
          <w:rFonts w:ascii="Times New Roman" w:hAnsi="Times New Roman" w:cs="Times New Roman"/>
          <w:b/>
          <w:i w:val="0"/>
          <w:noProof/>
          <w:sz w:val="24"/>
        </w:rPr>
        <w:t>30</w:t>
      </w:r>
      <w:r w:rsidRPr="003614D0">
        <w:rPr>
          <w:rFonts w:ascii="Times New Roman" w:hAnsi="Times New Roman" w:cs="Times New Roman"/>
          <w:b/>
          <w:i w:val="0"/>
          <w:sz w:val="24"/>
        </w:rPr>
        <w:fldChar w:fldCharType="end"/>
      </w:r>
      <w:r w:rsidRPr="003614D0">
        <w:rPr>
          <w:rFonts w:ascii="Times New Roman" w:hAnsi="Times New Roman" w:cs="Times New Roman"/>
          <w:b/>
          <w:i w:val="0"/>
          <w:sz w:val="24"/>
        </w:rPr>
        <w:t xml:space="preserve"> Struktura porad ambulatoryjnej opieki zdrowotnej w 2019 r.</w:t>
      </w:r>
      <w:bookmarkEnd w:id="41"/>
    </w:p>
    <w:tbl>
      <w:tblPr>
        <w:tblW w:w="12763"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3017"/>
        <w:gridCol w:w="958"/>
        <w:gridCol w:w="1134"/>
        <w:gridCol w:w="992"/>
        <w:gridCol w:w="1134"/>
        <w:gridCol w:w="992"/>
        <w:gridCol w:w="709"/>
        <w:gridCol w:w="1276"/>
        <w:gridCol w:w="992"/>
        <w:gridCol w:w="1559"/>
      </w:tblGrid>
      <w:tr w:rsidR="00EC59CC" w:rsidRPr="00812B7B" w14:paraId="18BB2B7E" w14:textId="77777777" w:rsidTr="00812B7B">
        <w:trPr>
          <w:trHeight w:val="162"/>
          <w:jc w:val="center"/>
        </w:trPr>
        <w:tc>
          <w:tcPr>
            <w:tcW w:w="3017" w:type="dxa"/>
            <w:vMerge w:val="restart"/>
            <w:shd w:val="clear" w:color="auto" w:fill="9CC2E5" w:themeFill="accent1" w:themeFillTint="99"/>
            <w:vAlign w:val="center"/>
            <w:hideMark/>
          </w:tcPr>
          <w:p w14:paraId="0065D5F7"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Wyszczególnienie</w:t>
            </w:r>
          </w:p>
        </w:tc>
        <w:tc>
          <w:tcPr>
            <w:tcW w:w="3084" w:type="dxa"/>
            <w:gridSpan w:val="3"/>
            <w:shd w:val="clear" w:color="auto" w:fill="9CC2E5" w:themeFill="accent1" w:themeFillTint="99"/>
            <w:vAlign w:val="center"/>
            <w:hideMark/>
          </w:tcPr>
          <w:p w14:paraId="5DCE1522"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Ogółem</w:t>
            </w:r>
          </w:p>
        </w:tc>
        <w:tc>
          <w:tcPr>
            <w:tcW w:w="2835" w:type="dxa"/>
            <w:gridSpan w:val="3"/>
            <w:shd w:val="clear" w:color="auto" w:fill="9CC2E5" w:themeFill="accent1" w:themeFillTint="99"/>
            <w:vAlign w:val="center"/>
            <w:hideMark/>
          </w:tcPr>
          <w:p w14:paraId="460DA03B"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Osoby w wieku 65 lat i więcej</w:t>
            </w:r>
          </w:p>
        </w:tc>
        <w:tc>
          <w:tcPr>
            <w:tcW w:w="3827" w:type="dxa"/>
            <w:gridSpan w:val="3"/>
            <w:shd w:val="clear" w:color="auto" w:fill="9CC2E5" w:themeFill="accent1" w:themeFillTint="99"/>
            <w:vAlign w:val="center"/>
            <w:hideMark/>
          </w:tcPr>
          <w:p w14:paraId="13C8C85C"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Osoby w wieku 0-64 lata</w:t>
            </w:r>
          </w:p>
        </w:tc>
      </w:tr>
      <w:tr w:rsidR="007677E7" w:rsidRPr="00812B7B" w14:paraId="7C118E40" w14:textId="77777777" w:rsidTr="00812B7B">
        <w:trPr>
          <w:trHeight w:val="124"/>
          <w:jc w:val="center"/>
        </w:trPr>
        <w:tc>
          <w:tcPr>
            <w:tcW w:w="3017" w:type="dxa"/>
            <w:vMerge/>
            <w:shd w:val="clear" w:color="auto" w:fill="9CC2E5" w:themeFill="accent1" w:themeFillTint="99"/>
            <w:vAlign w:val="center"/>
            <w:hideMark/>
          </w:tcPr>
          <w:p w14:paraId="5F8051D8"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p>
        </w:tc>
        <w:tc>
          <w:tcPr>
            <w:tcW w:w="958" w:type="dxa"/>
            <w:vMerge w:val="restart"/>
            <w:shd w:val="clear" w:color="auto" w:fill="9CC2E5" w:themeFill="accent1" w:themeFillTint="99"/>
            <w:vAlign w:val="center"/>
            <w:hideMark/>
          </w:tcPr>
          <w:p w14:paraId="58D0B9D6"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ogółem</w:t>
            </w:r>
          </w:p>
        </w:tc>
        <w:tc>
          <w:tcPr>
            <w:tcW w:w="1134" w:type="dxa"/>
            <w:vMerge w:val="restart"/>
            <w:shd w:val="clear" w:color="auto" w:fill="9CC2E5" w:themeFill="accent1" w:themeFillTint="99"/>
            <w:vAlign w:val="center"/>
            <w:hideMark/>
          </w:tcPr>
          <w:p w14:paraId="5A7635EF"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miasta</w:t>
            </w:r>
          </w:p>
        </w:tc>
        <w:tc>
          <w:tcPr>
            <w:tcW w:w="992" w:type="dxa"/>
            <w:vMerge w:val="restart"/>
            <w:shd w:val="clear" w:color="auto" w:fill="9CC2E5" w:themeFill="accent1" w:themeFillTint="99"/>
            <w:vAlign w:val="center"/>
            <w:hideMark/>
          </w:tcPr>
          <w:p w14:paraId="040000F2"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wieś</w:t>
            </w:r>
          </w:p>
        </w:tc>
        <w:tc>
          <w:tcPr>
            <w:tcW w:w="1134" w:type="dxa"/>
            <w:shd w:val="clear" w:color="auto" w:fill="9CC2E5" w:themeFill="accent1" w:themeFillTint="99"/>
            <w:vAlign w:val="center"/>
            <w:hideMark/>
          </w:tcPr>
          <w:p w14:paraId="0F3105B4"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razem</w:t>
            </w:r>
          </w:p>
        </w:tc>
        <w:tc>
          <w:tcPr>
            <w:tcW w:w="992" w:type="dxa"/>
            <w:shd w:val="clear" w:color="auto" w:fill="9CC2E5" w:themeFill="accent1" w:themeFillTint="99"/>
            <w:vAlign w:val="center"/>
            <w:hideMark/>
          </w:tcPr>
          <w:p w14:paraId="66B4904C"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miasta</w:t>
            </w:r>
          </w:p>
        </w:tc>
        <w:tc>
          <w:tcPr>
            <w:tcW w:w="709" w:type="dxa"/>
            <w:shd w:val="clear" w:color="auto" w:fill="9CC2E5" w:themeFill="accent1" w:themeFillTint="99"/>
            <w:vAlign w:val="center"/>
            <w:hideMark/>
          </w:tcPr>
          <w:p w14:paraId="38109F82"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wieś</w:t>
            </w:r>
          </w:p>
        </w:tc>
        <w:tc>
          <w:tcPr>
            <w:tcW w:w="1276" w:type="dxa"/>
            <w:shd w:val="clear" w:color="auto" w:fill="9CC2E5" w:themeFill="accent1" w:themeFillTint="99"/>
            <w:vAlign w:val="center"/>
            <w:hideMark/>
          </w:tcPr>
          <w:p w14:paraId="70C40747"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razem</w:t>
            </w:r>
          </w:p>
        </w:tc>
        <w:tc>
          <w:tcPr>
            <w:tcW w:w="992" w:type="dxa"/>
            <w:shd w:val="clear" w:color="auto" w:fill="9CC2E5" w:themeFill="accent1" w:themeFillTint="99"/>
            <w:vAlign w:val="center"/>
            <w:hideMark/>
          </w:tcPr>
          <w:p w14:paraId="2B5832D1"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miasta</w:t>
            </w:r>
          </w:p>
        </w:tc>
        <w:tc>
          <w:tcPr>
            <w:tcW w:w="1559" w:type="dxa"/>
            <w:shd w:val="clear" w:color="auto" w:fill="9CC2E5" w:themeFill="accent1" w:themeFillTint="99"/>
            <w:vAlign w:val="center"/>
            <w:hideMark/>
          </w:tcPr>
          <w:p w14:paraId="71A257DC"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wieś</w:t>
            </w:r>
          </w:p>
        </w:tc>
      </w:tr>
      <w:tr w:rsidR="007677E7" w:rsidRPr="00812B7B" w14:paraId="4BAF22CF" w14:textId="77777777" w:rsidTr="00812B7B">
        <w:trPr>
          <w:trHeight w:val="371"/>
          <w:jc w:val="center"/>
        </w:trPr>
        <w:tc>
          <w:tcPr>
            <w:tcW w:w="3017" w:type="dxa"/>
            <w:vMerge/>
            <w:shd w:val="clear" w:color="auto" w:fill="9CC2E5" w:themeFill="accent1" w:themeFillTint="99"/>
            <w:vAlign w:val="center"/>
            <w:hideMark/>
          </w:tcPr>
          <w:p w14:paraId="488B2CDA"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p>
        </w:tc>
        <w:tc>
          <w:tcPr>
            <w:tcW w:w="958" w:type="dxa"/>
            <w:vMerge/>
            <w:shd w:val="clear" w:color="auto" w:fill="9CC2E5" w:themeFill="accent1" w:themeFillTint="99"/>
            <w:vAlign w:val="center"/>
            <w:hideMark/>
          </w:tcPr>
          <w:p w14:paraId="1E448DED"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p>
        </w:tc>
        <w:tc>
          <w:tcPr>
            <w:tcW w:w="1134" w:type="dxa"/>
            <w:vMerge/>
            <w:shd w:val="clear" w:color="auto" w:fill="9CC2E5" w:themeFill="accent1" w:themeFillTint="99"/>
            <w:vAlign w:val="center"/>
            <w:hideMark/>
          </w:tcPr>
          <w:p w14:paraId="470571B2"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p>
        </w:tc>
        <w:tc>
          <w:tcPr>
            <w:tcW w:w="992" w:type="dxa"/>
            <w:vMerge/>
            <w:shd w:val="clear" w:color="auto" w:fill="9CC2E5" w:themeFill="accent1" w:themeFillTint="99"/>
            <w:vAlign w:val="center"/>
            <w:hideMark/>
          </w:tcPr>
          <w:p w14:paraId="36E7A723"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p>
        </w:tc>
        <w:tc>
          <w:tcPr>
            <w:tcW w:w="1134" w:type="dxa"/>
            <w:shd w:val="clear" w:color="auto" w:fill="9CC2E5" w:themeFill="accent1" w:themeFillTint="99"/>
            <w:vAlign w:val="center"/>
            <w:hideMark/>
          </w:tcPr>
          <w:p w14:paraId="7003ABA6"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ogółem = 100</w:t>
            </w:r>
          </w:p>
        </w:tc>
        <w:tc>
          <w:tcPr>
            <w:tcW w:w="1701" w:type="dxa"/>
            <w:gridSpan w:val="2"/>
            <w:shd w:val="clear" w:color="auto" w:fill="9CC2E5" w:themeFill="accent1" w:themeFillTint="99"/>
            <w:vAlign w:val="center"/>
            <w:hideMark/>
          </w:tcPr>
          <w:p w14:paraId="57DCF983"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razem = 100</w:t>
            </w:r>
          </w:p>
        </w:tc>
        <w:tc>
          <w:tcPr>
            <w:tcW w:w="1276" w:type="dxa"/>
            <w:shd w:val="clear" w:color="auto" w:fill="9CC2E5" w:themeFill="accent1" w:themeFillTint="99"/>
            <w:vAlign w:val="center"/>
            <w:hideMark/>
          </w:tcPr>
          <w:p w14:paraId="535CFA52"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ogółem = 100</w:t>
            </w:r>
          </w:p>
        </w:tc>
        <w:tc>
          <w:tcPr>
            <w:tcW w:w="2551" w:type="dxa"/>
            <w:gridSpan w:val="2"/>
            <w:shd w:val="clear" w:color="auto" w:fill="9CC2E5" w:themeFill="accent1" w:themeFillTint="99"/>
            <w:vAlign w:val="center"/>
            <w:hideMark/>
          </w:tcPr>
          <w:p w14:paraId="30FBEC90"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razem = 100</w:t>
            </w:r>
          </w:p>
        </w:tc>
      </w:tr>
      <w:tr w:rsidR="00EC59CC" w:rsidRPr="00812B7B" w14:paraId="7875D27D" w14:textId="77777777" w:rsidTr="00812B7B">
        <w:trPr>
          <w:trHeight w:val="164"/>
          <w:jc w:val="center"/>
        </w:trPr>
        <w:tc>
          <w:tcPr>
            <w:tcW w:w="3017" w:type="dxa"/>
            <w:vMerge/>
            <w:shd w:val="clear" w:color="auto" w:fill="9CC2E5" w:themeFill="accent1" w:themeFillTint="99"/>
            <w:vAlign w:val="center"/>
            <w:hideMark/>
          </w:tcPr>
          <w:p w14:paraId="18D73884"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p>
        </w:tc>
        <w:tc>
          <w:tcPr>
            <w:tcW w:w="9746" w:type="dxa"/>
            <w:gridSpan w:val="9"/>
            <w:shd w:val="clear" w:color="auto" w:fill="9CC2E5" w:themeFill="accent1" w:themeFillTint="99"/>
            <w:vAlign w:val="center"/>
            <w:hideMark/>
          </w:tcPr>
          <w:p w14:paraId="139FE737" w14:textId="77777777" w:rsidR="00EC59CC" w:rsidRPr="00812B7B" w:rsidRDefault="00EC59CC" w:rsidP="00A30691">
            <w:pPr>
              <w:spacing w:after="0" w:line="240" w:lineRule="auto"/>
              <w:jc w:val="center"/>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w %</w:t>
            </w:r>
          </w:p>
        </w:tc>
      </w:tr>
      <w:tr w:rsidR="007677E7" w:rsidRPr="00812B7B" w14:paraId="16325C8B" w14:textId="77777777" w:rsidTr="00812B7B">
        <w:trPr>
          <w:trHeight w:val="300"/>
          <w:jc w:val="center"/>
        </w:trPr>
        <w:tc>
          <w:tcPr>
            <w:tcW w:w="3017" w:type="dxa"/>
            <w:shd w:val="clear" w:color="auto" w:fill="auto"/>
            <w:noWrap/>
            <w:vAlign w:val="center"/>
            <w:hideMark/>
          </w:tcPr>
          <w:p w14:paraId="5B18F760" w14:textId="77777777" w:rsidR="00EC59CC" w:rsidRPr="00812B7B" w:rsidRDefault="00EC59CC" w:rsidP="00A30691">
            <w:pPr>
              <w:spacing w:after="0" w:line="240" w:lineRule="auto"/>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Porady ogółem</w:t>
            </w:r>
            <w:r w:rsidRPr="00812B7B">
              <w:rPr>
                <w:rFonts w:ascii="Times New Roman" w:eastAsia="Times New Roman" w:hAnsi="Times New Roman" w:cs="Times New Roman"/>
                <w:b/>
                <w:bCs/>
                <w:i/>
                <w:iCs/>
                <w:sz w:val="19"/>
                <w:szCs w:val="19"/>
                <w:vertAlign w:val="superscript"/>
                <w:lang w:eastAsia="pl-PL"/>
              </w:rPr>
              <w:t>a</w:t>
            </w:r>
          </w:p>
        </w:tc>
        <w:tc>
          <w:tcPr>
            <w:tcW w:w="958" w:type="dxa"/>
            <w:shd w:val="clear" w:color="auto" w:fill="auto"/>
            <w:noWrap/>
            <w:vAlign w:val="bottom"/>
            <w:hideMark/>
          </w:tcPr>
          <w:p w14:paraId="67D7025A" w14:textId="77777777" w:rsidR="00EC59CC" w:rsidRPr="00812B7B" w:rsidRDefault="00EC59CC" w:rsidP="00A30691">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100,0</w:t>
            </w:r>
          </w:p>
        </w:tc>
        <w:tc>
          <w:tcPr>
            <w:tcW w:w="1134" w:type="dxa"/>
            <w:shd w:val="clear" w:color="auto" w:fill="auto"/>
            <w:noWrap/>
            <w:vAlign w:val="bottom"/>
            <w:hideMark/>
          </w:tcPr>
          <w:p w14:paraId="3E8226CA" w14:textId="77777777" w:rsidR="00EC59CC" w:rsidRPr="00812B7B" w:rsidRDefault="00EC59CC" w:rsidP="00A30691">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85,0</w:t>
            </w:r>
          </w:p>
        </w:tc>
        <w:tc>
          <w:tcPr>
            <w:tcW w:w="992" w:type="dxa"/>
            <w:shd w:val="clear" w:color="auto" w:fill="auto"/>
            <w:noWrap/>
            <w:vAlign w:val="bottom"/>
            <w:hideMark/>
          </w:tcPr>
          <w:p w14:paraId="2216E309" w14:textId="77777777" w:rsidR="00EC59CC" w:rsidRPr="00812B7B" w:rsidRDefault="00EC59CC" w:rsidP="00A30691">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15,0</w:t>
            </w:r>
          </w:p>
        </w:tc>
        <w:tc>
          <w:tcPr>
            <w:tcW w:w="1134" w:type="dxa"/>
            <w:shd w:val="clear" w:color="auto" w:fill="auto"/>
            <w:noWrap/>
            <w:vAlign w:val="bottom"/>
            <w:hideMark/>
          </w:tcPr>
          <w:p w14:paraId="631086F7" w14:textId="77777777" w:rsidR="00EC59CC" w:rsidRPr="00812B7B" w:rsidRDefault="00EC59CC" w:rsidP="00A30691">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30,3</w:t>
            </w:r>
          </w:p>
        </w:tc>
        <w:tc>
          <w:tcPr>
            <w:tcW w:w="992" w:type="dxa"/>
            <w:shd w:val="clear" w:color="auto" w:fill="auto"/>
            <w:noWrap/>
            <w:vAlign w:val="bottom"/>
            <w:hideMark/>
          </w:tcPr>
          <w:p w14:paraId="0C16A280" w14:textId="77777777" w:rsidR="00EC59CC" w:rsidRPr="00812B7B" w:rsidRDefault="00EC59CC" w:rsidP="00A30691">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84,6</w:t>
            </w:r>
          </w:p>
        </w:tc>
        <w:tc>
          <w:tcPr>
            <w:tcW w:w="709" w:type="dxa"/>
            <w:shd w:val="clear" w:color="auto" w:fill="auto"/>
            <w:noWrap/>
            <w:vAlign w:val="bottom"/>
            <w:hideMark/>
          </w:tcPr>
          <w:p w14:paraId="5B64CA23" w14:textId="77777777" w:rsidR="00EC59CC" w:rsidRPr="00812B7B" w:rsidRDefault="00EC59CC" w:rsidP="00A30691">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15,4</w:t>
            </w:r>
          </w:p>
        </w:tc>
        <w:tc>
          <w:tcPr>
            <w:tcW w:w="1276" w:type="dxa"/>
            <w:shd w:val="clear" w:color="auto" w:fill="auto"/>
            <w:noWrap/>
            <w:vAlign w:val="bottom"/>
            <w:hideMark/>
          </w:tcPr>
          <w:p w14:paraId="44AB7F0D" w14:textId="77777777" w:rsidR="00EC59CC" w:rsidRPr="00812B7B" w:rsidRDefault="00EC59CC" w:rsidP="00A30691">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69,7</w:t>
            </w:r>
          </w:p>
        </w:tc>
        <w:tc>
          <w:tcPr>
            <w:tcW w:w="992" w:type="dxa"/>
            <w:shd w:val="clear" w:color="auto" w:fill="auto"/>
            <w:noWrap/>
            <w:vAlign w:val="bottom"/>
            <w:hideMark/>
          </w:tcPr>
          <w:p w14:paraId="0235E381" w14:textId="77777777" w:rsidR="00EC59CC" w:rsidRPr="00812B7B" w:rsidRDefault="00EC59CC" w:rsidP="00A30691">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85,2</w:t>
            </w:r>
          </w:p>
        </w:tc>
        <w:tc>
          <w:tcPr>
            <w:tcW w:w="1559" w:type="dxa"/>
            <w:shd w:val="clear" w:color="auto" w:fill="auto"/>
            <w:noWrap/>
            <w:vAlign w:val="bottom"/>
            <w:hideMark/>
          </w:tcPr>
          <w:p w14:paraId="68656DCE" w14:textId="77777777" w:rsidR="00EC59CC" w:rsidRPr="00812B7B" w:rsidRDefault="00EC59CC" w:rsidP="00A30691">
            <w:pPr>
              <w:spacing w:after="0" w:line="240" w:lineRule="auto"/>
              <w:jc w:val="center"/>
              <w:rPr>
                <w:rFonts w:ascii="Times New Roman" w:eastAsia="Times New Roman" w:hAnsi="Times New Roman" w:cs="Times New Roman"/>
                <w:b/>
                <w:bCs/>
                <w:sz w:val="19"/>
                <w:szCs w:val="19"/>
                <w:lang w:eastAsia="pl-PL"/>
              </w:rPr>
            </w:pPr>
            <w:r w:rsidRPr="00812B7B">
              <w:rPr>
                <w:rFonts w:ascii="Times New Roman" w:eastAsia="Times New Roman" w:hAnsi="Times New Roman" w:cs="Times New Roman"/>
                <w:b/>
                <w:bCs/>
                <w:sz w:val="19"/>
                <w:szCs w:val="19"/>
                <w:lang w:eastAsia="pl-PL"/>
              </w:rPr>
              <w:t>14,8</w:t>
            </w:r>
          </w:p>
        </w:tc>
      </w:tr>
      <w:tr w:rsidR="007677E7" w:rsidRPr="00812B7B" w14:paraId="30DF3A0F" w14:textId="77777777" w:rsidTr="005013E4">
        <w:trPr>
          <w:trHeight w:val="517"/>
          <w:jc w:val="center"/>
        </w:trPr>
        <w:tc>
          <w:tcPr>
            <w:tcW w:w="3017" w:type="dxa"/>
            <w:shd w:val="clear" w:color="auto" w:fill="auto"/>
            <w:vAlign w:val="center"/>
            <w:hideMark/>
          </w:tcPr>
          <w:p w14:paraId="25150FC6" w14:textId="77777777" w:rsidR="00EC59CC" w:rsidRPr="00812B7B" w:rsidRDefault="00EC59CC" w:rsidP="00A30691">
            <w:pPr>
              <w:spacing w:after="0" w:line="240" w:lineRule="auto"/>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podstawowej opieki zdrowotnej (POZ)</w:t>
            </w:r>
          </w:p>
        </w:tc>
        <w:tc>
          <w:tcPr>
            <w:tcW w:w="958" w:type="dxa"/>
            <w:shd w:val="clear" w:color="auto" w:fill="auto"/>
            <w:noWrap/>
            <w:vAlign w:val="bottom"/>
            <w:hideMark/>
          </w:tcPr>
          <w:p w14:paraId="340AD926"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100,0</w:t>
            </w:r>
          </w:p>
        </w:tc>
        <w:tc>
          <w:tcPr>
            <w:tcW w:w="1134" w:type="dxa"/>
            <w:shd w:val="clear" w:color="auto" w:fill="auto"/>
            <w:noWrap/>
            <w:vAlign w:val="bottom"/>
            <w:hideMark/>
          </w:tcPr>
          <w:p w14:paraId="1F3965D1"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76,6</w:t>
            </w:r>
          </w:p>
        </w:tc>
        <w:tc>
          <w:tcPr>
            <w:tcW w:w="992" w:type="dxa"/>
            <w:shd w:val="clear" w:color="auto" w:fill="auto"/>
            <w:noWrap/>
            <w:vAlign w:val="bottom"/>
            <w:hideMark/>
          </w:tcPr>
          <w:p w14:paraId="7803C2B0"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23,4</w:t>
            </w:r>
          </w:p>
        </w:tc>
        <w:tc>
          <w:tcPr>
            <w:tcW w:w="1134" w:type="dxa"/>
            <w:shd w:val="clear" w:color="auto" w:fill="auto"/>
            <w:noWrap/>
            <w:vAlign w:val="bottom"/>
            <w:hideMark/>
          </w:tcPr>
          <w:p w14:paraId="4350C9E1"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33,9</w:t>
            </w:r>
          </w:p>
        </w:tc>
        <w:tc>
          <w:tcPr>
            <w:tcW w:w="992" w:type="dxa"/>
            <w:shd w:val="clear" w:color="auto" w:fill="auto"/>
            <w:noWrap/>
            <w:vAlign w:val="bottom"/>
            <w:hideMark/>
          </w:tcPr>
          <w:p w14:paraId="0D5DA4F8"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76,6</w:t>
            </w:r>
          </w:p>
        </w:tc>
        <w:tc>
          <w:tcPr>
            <w:tcW w:w="709" w:type="dxa"/>
            <w:shd w:val="clear" w:color="auto" w:fill="auto"/>
            <w:noWrap/>
            <w:vAlign w:val="bottom"/>
            <w:hideMark/>
          </w:tcPr>
          <w:p w14:paraId="5C8E649B"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23,4</w:t>
            </w:r>
          </w:p>
        </w:tc>
        <w:tc>
          <w:tcPr>
            <w:tcW w:w="1276" w:type="dxa"/>
            <w:shd w:val="clear" w:color="auto" w:fill="auto"/>
            <w:noWrap/>
            <w:vAlign w:val="bottom"/>
            <w:hideMark/>
          </w:tcPr>
          <w:p w14:paraId="5DB67615"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66,1</w:t>
            </w:r>
          </w:p>
        </w:tc>
        <w:tc>
          <w:tcPr>
            <w:tcW w:w="992" w:type="dxa"/>
            <w:shd w:val="clear" w:color="auto" w:fill="auto"/>
            <w:noWrap/>
            <w:vAlign w:val="bottom"/>
            <w:hideMark/>
          </w:tcPr>
          <w:p w14:paraId="3BDCF36C"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76,6</w:t>
            </w:r>
          </w:p>
        </w:tc>
        <w:tc>
          <w:tcPr>
            <w:tcW w:w="1559" w:type="dxa"/>
            <w:shd w:val="clear" w:color="auto" w:fill="auto"/>
            <w:noWrap/>
            <w:vAlign w:val="bottom"/>
            <w:hideMark/>
          </w:tcPr>
          <w:p w14:paraId="26735060"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23,4</w:t>
            </w:r>
          </w:p>
        </w:tc>
      </w:tr>
      <w:tr w:rsidR="007677E7" w:rsidRPr="00812B7B" w14:paraId="77EF8A94" w14:textId="77777777" w:rsidTr="00812B7B">
        <w:trPr>
          <w:trHeight w:val="300"/>
          <w:jc w:val="center"/>
        </w:trPr>
        <w:tc>
          <w:tcPr>
            <w:tcW w:w="3017" w:type="dxa"/>
            <w:shd w:val="clear" w:color="auto" w:fill="auto"/>
            <w:vAlign w:val="center"/>
            <w:hideMark/>
          </w:tcPr>
          <w:p w14:paraId="7EC31A5A" w14:textId="77777777" w:rsidR="00EC59CC" w:rsidRPr="00812B7B" w:rsidRDefault="00EC59CC" w:rsidP="00A30691">
            <w:pPr>
              <w:spacing w:after="0" w:line="240" w:lineRule="auto"/>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specjalistyczne lekarskie (AOS)</w:t>
            </w:r>
          </w:p>
        </w:tc>
        <w:tc>
          <w:tcPr>
            <w:tcW w:w="958" w:type="dxa"/>
            <w:shd w:val="clear" w:color="auto" w:fill="auto"/>
            <w:noWrap/>
            <w:vAlign w:val="bottom"/>
            <w:hideMark/>
          </w:tcPr>
          <w:p w14:paraId="1DD6E4C9"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100,0</w:t>
            </w:r>
          </w:p>
        </w:tc>
        <w:tc>
          <w:tcPr>
            <w:tcW w:w="1134" w:type="dxa"/>
            <w:shd w:val="clear" w:color="auto" w:fill="auto"/>
            <w:noWrap/>
            <w:vAlign w:val="bottom"/>
            <w:hideMark/>
          </w:tcPr>
          <w:p w14:paraId="5813B0AF"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97,3</w:t>
            </w:r>
          </w:p>
        </w:tc>
        <w:tc>
          <w:tcPr>
            <w:tcW w:w="992" w:type="dxa"/>
            <w:shd w:val="clear" w:color="auto" w:fill="auto"/>
            <w:noWrap/>
            <w:vAlign w:val="bottom"/>
            <w:hideMark/>
          </w:tcPr>
          <w:p w14:paraId="066E1639"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2,7</w:t>
            </w:r>
          </w:p>
        </w:tc>
        <w:tc>
          <w:tcPr>
            <w:tcW w:w="1134" w:type="dxa"/>
            <w:shd w:val="clear" w:color="auto" w:fill="auto"/>
            <w:noWrap/>
            <w:vAlign w:val="bottom"/>
            <w:hideMark/>
          </w:tcPr>
          <w:p w14:paraId="48574AB8"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29,4</w:t>
            </w:r>
          </w:p>
        </w:tc>
        <w:tc>
          <w:tcPr>
            <w:tcW w:w="992" w:type="dxa"/>
            <w:shd w:val="clear" w:color="auto" w:fill="auto"/>
            <w:noWrap/>
            <w:vAlign w:val="bottom"/>
            <w:hideMark/>
          </w:tcPr>
          <w:p w14:paraId="57DA4FA8"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97,8</w:t>
            </w:r>
          </w:p>
        </w:tc>
        <w:tc>
          <w:tcPr>
            <w:tcW w:w="709" w:type="dxa"/>
            <w:shd w:val="clear" w:color="auto" w:fill="auto"/>
            <w:noWrap/>
            <w:vAlign w:val="bottom"/>
            <w:hideMark/>
          </w:tcPr>
          <w:p w14:paraId="6D2EBF90"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2,2</w:t>
            </w:r>
          </w:p>
        </w:tc>
        <w:tc>
          <w:tcPr>
            <w:tcW w:w="1276" w:type="dxa"/>
            <w:shd w:val="clear" w:color="auto" w:fill="auto"/>
            <w:noWrap/>
            <w:vAlign w:val="bottom"/>
            <w:hideMark/>
          </w:tcPr>
          <w:p w14:paraId="3577E7DB"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70,6</w:t>
            </w:r>
          </w:p>
        </w:tc>
        <w:tc>
          <w:tcPr>
            <w:tcW w:w="992" w:type="dxa"/>
            <w:shd w:val="clear" w:color="auto" w:fill="auto"/>
            <w:noWrap/>
            <w:vAlign w:val="bottom"/>
            <w:hideMark/>
          </w:tcPr>
          <w:p w14:paraId="54068FCE"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97,0</w:t>
            </w:r>
          </w:p>
        </w:tc>
        <w:tc>
          <w:tcPr>
            <w:tcW w:w="1559" w:type="dxa"/>
            <w:shd w:val="clear" w:color="auto" w:fill="auto"/>
            <w:noWrap/>
            <w:vAlign w:val="bottom"/>
            <w:hideMark/>
          </w:tcPr>
          <w:p w14:paraId="1AC7A41C"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3,0</w:t>
            </w:r>
          </w:p>
        </w:tc>
      </w:tr>
      <w:tr w:rsidR="007677E7" w:rsidRPr="00812B7B" w14:paraId="4D0ED24B" w14:textId="77777777" w:rsidTr="00812B7B">
        <w:trPr>
          <w:trHeight w:val="300"/>
          <w:jc w:val="center"/>
        </w:trPr>
        <w:tc>
          <w:tcPr>
            <w:tcW w:w="3017" w:type="dxa"/>
            <w:shd w:val="clear" w:color="auto" w:fill="auto"/>
            <w:vAlign w:val="center"/>
            <w:hideMark/>
          </w:tcPr>
          <w:p w14:paraId="3BA449C0" w14:textId="77777777" w:rsidR="00EC59CC" w:rsidRPr="00812B7B" w:rsidRDefault="00EC59CC" w:rsidP="00A30691">
            <w:pPr>
              <w:spacing w:after="0" w:line="240" w:lineRule="auto"/>
              <w:rPr>
                <w:rFonts w:ascii="Times New Roman" w:eastAsia="Times New Roman" w:hAnsi="Times New Roman" w:cs="Times New Roman"/>
                <w:b/>
                <w:sz w:val="19"/>
                <w:szCs w:val="19"/>
                <w:lang w:eastAsia="pl-PL"/>
              </w:rPr>
            </w:pPr>
            <w:r w:rsidRPr="00812B7B">
              <w:rPr>
                <w:rFonts w:ascii="Times New Roman" w:eastAsia="Times New Roman" w:hAnsi="Times New Roman" w:cs="Times New Roman"/>
                <w:b/>
                <w:sz w:val="19"/>
                <w:szCs w:val="19"/>
                <w:lang w:eastAsia="pl-PL"/>
              </w:rPr>
              <w:t>stomatologiczne</w:t>
            </w:r>
          </w:p>
        </w:tc>
        <w:tc>
          <w:tcPr>
            <w:tcW w:w="958" w:type="dxa"/>
            <w:shd w:val="clear" w:color="auto" w:fill="auto"/>
            <w:noWrap/>
            <w:vAlign w:val="bottom"/>
            <w:hideMark/>
          </w:tcPr>
          <w:p w14:paraId="28AE1980"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100,0</w:t>
            </w:r>
          </w:p>
        </w:tc>
        <w:tc>
          <w:tcPr>
            <w:tcW w:w="1134" w:type="dxa"/>
            <w:shd w:val="clear" w:color="auto" w:fill="auto"/>
            <w:noWrap/>
            <w:vAlign w:val="bottom"/>
            <w:hideMark/>
          </w:tcPr>
          <w:p w14:paraId="3A1519AB"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85,7</w:t>
            </w:r>
          </w:p>
        </w:tc>
        <w:tc>
          <w:tcPr>
            <w:tcW w:w="992" w:type="dxa"/>
            <w:shd w:val="clear" w:color="auto" w:fill="auto"/>
            <w:noWrap/>
            <w:vAlign w:val="bottom"/>
            <w:hideMark/>
          </w:tcPr>
          <w:p w14:paraId="56868A9D"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14,3</w:t>
            </w:r>
          </w:p>
        </w:tc>
        <w:tc>
          <w:tcPr>
            <w:tcW w:w="1134" w:type="dxa"/>
            <w:shd w:val="clear" w:color="auto" w:fill="auto"/>
            <w:noWrap/>
            <w:vAlign w:val="bottom"/>
            <w:hideMark/>
          </w:tcPr>
          <w:p w14:paraId="02808C8B"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15,7</w:t>
            </w:r>
          </w:p>
        </w:tc>
        <w:tc>
          <w:tcPr>
            <w:tcW w:w="992" w:type="dxa"/>
            <w:shd w:val="clear" w:color="auto" w:fill="auto"/>
            <w:noWrap/>
            <w:vAlign w:val="bottom"/>
            <w:hideMark/>
          </w:tcPr>
          <w:p w14:paraId="189C6C5E"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87,1</w:t>
            </w:r>
          </w:p>
        </w:tc>
        <w:tc>
          <w:tcPr>
            <w:tcW w:w="709" w:type="dxa"/>
            <w:shd w:val="clear" w:color="auto" w:fill="auto"/>
            <w:noWrap/>
            <w:vAlign w:val="bottom"/>
            <w:hideMark/>
          </w:tcPr>
          <w:p w14:paraId="43F60AA6"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12,9</w:t>
            </w:r>
          </w:p>
        </w:tc>
        <w:tc>
          <w:tcPr>
            <w:tcW w:w="1276" w:type="dxa"/>
            <w:shd w:val="clear" w:color="auto" w:fill="auto"/>
            <w:noWrap/>
            <w:vAlign w:val="bottom"/>
            <w:hideMark/>
          </w:tcPr>
          <w:p w14:paraId="51034B22"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84,3</w:t>
            </w:r>
          </w:p>
        </w:tc>
        <w:tc>
          <w:tcPr>
            <w:tcW w:w="992" w:type="dxa"/>
            <w:shd w:val="clear" w:color="auto" w:fill="auto"/>
            <w:noWrap/>
            <w:vAlign w:val="bottom"/>
            <w:hideMark/>
          </w:tcPr>
          <w:p w14:paraId="06664679"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85,4</w:t>
            </w:r>
          </w:p>
        </w:tc>
        <w:tc>
          <w:tcPr>
            <w:tcW w:w="1559" w:type="dxa"/>
            <w:shd w:val="clear" w:color="auto" w:fill="auto"/>
            <w:noWrap/>
            <w:vAlign w:val="bottom"/>
            <w:hideMark/>
          </w:tcPr>
          <w:p w14:paraId="1CAA51BF" w14:textId="77777777" w:rsidR="00EC59CC" w:rsidRPr="00812B7B" w:rsidRDefault="00EC59CC" w:rsidP="00A30691">
            <w:pPr>
              <w:spacing w:after="0" w:line="240" w:lineRule="auto"/>
              <w:jc w:val="center"/>
              <w:rPr>
                <w:rFonts w:ascii="Times New Roman" w:eastAsia="Times New Roman" w:hAnsi="Times New Roman" w:cs="Times New Roman"/>
                <w:sz w:val="19"/>
                <w:szCs w:val="19"/>
                <w:lang w:eastAsia="pl-PL"/>
              </w:rPr>
            </w:pPr>
            <w:r w:rsidRPr="00812B7B">
              <w:rPr>
                <w:rFonts w:ascii="Times New Roman" w:eastAsia="Times New Roman" w:hAnsi="Times New Roman" w:cs="Times New Roman"/>
                <w:sz w:val="19"/>
                <w:szCs w:val="19"/>
                <w:lang w:eastAsia="pl-PL"/>
              </w:rPr>
              <w:t>14,6</w:t>
            </w:r>
          </w:p>
        </w:tc>
      </w:tr>
    </w:tbl>
    <w:p w14:paraId="4CA67324" w14:textId="77777777" w:rsidR="007677E7" w:rsidRPr="003614D0" w:rsidRDefault="007677E7" w:rsidP="003C1988">
      <w:pPr>
        <w:spacing w:after="0"/>
        <w:rPr>
          <w:rFonts w:ascii="Times New Roman" w:hAnsi="Times New Roman" w:cs="Times New Roman"/>
          <w:b/>
        </w:rPr>
      </w:pPr>
      <w:r w:rsidRPr="003614D0">
        <w:rPr>
          <w:rFonts w:ascii="Times New Roman" w:hAnsi="Times New Roman" w:cs="Times New Roman"/>
          <w:b/>
        </w:rPr>
        <w:t>a łącznie z poradami nocnej i świątecznej opieki zdrowotnej, bez porad udzielonych w izbach przyjęć szpitali ogólnych</w:t>
      </w:r>
    </w:p>
    <w:p w14:paraId="289C1B80" w14:textId="77777777" w:rsidR="00161FE6" w:rsidRPr="001818BF" w:rsidRDefault="007677E7" w:rsidP="003C1988">
      <w:pPr>
        <w:spacing w:after="0"/>
        <w:rPr>
          <w:rFonts w:ascii="Times New Roman" w:hAnsi="Times New Roman" w:cs="Times New Roman"/>
          <w:b/>
        </w:rPr>
        <w:sectPr w:rsidR="00161FE6" w:rsidRPr="001818BF" w:rsidSect="00EC59CC">
          <w:pgSz w:w="16838" w:h="11909" w:orient="landscape"/>
          <w:pgMar w:top="1293" w:right="1137" w:bottom="1250" w:left="1132" w:header="0" w:footer="3" w:gutter="0"/>
          <w:cols w:space="720"/>
          <w:noEndnote/>
          <w:docGrid w:linePitch="360"/>
        </w:sectPr>
      </w:pPr>
      <w:r w:rsidRPr="003614D0">
        <w:rPr>
          <w:rFonts w:ascii="Times New Roman" w:hAnsi="Times New Roman" w:cs="Times New Roman"/>
          <w:b/>
        </w:rPr>
        <w:t>Źródło: Sprawozdanie z ambulatoryjnej opieki</w:t>
      </w:r>
      <w:r w:rsidR="00F83B9E" w:rsidRPr="003614D0">
        <w:rPr>
          <w:rFonts w:ascii="Times New Roman" w:hAnsi="Times New Roman" w:cs="Times New Roman"/>
          <w:b/>
        </w:rPr>
        <w:t xml:space="preserve"> zdrowotnej, GUS (formularz ZD3</w:t>
      </w:r>
      <w:r w:rsidR="00161FE6" w:rsidRPr="003614D0">
        <w:rPr>
          <w:rFonts w:ascii="Times New Roman" w:hAnsi="Times New Roman" w:cs="Times New Roman"/>
          <w:b/>
        </w:rPr>
        <w:t>)</w:t>
      </w:r>
    </w:p>
    <w:p w14:paraId="07D7B4CD" w14:textId="2A0174E5" w:rsidR="001818BF" w:rsidRPr="001818BF" w:rsidRDefault="001818BF" w:rsidP="001818BF">
      <w:pPr>
        <w:pStyle w:val="Legenda"/>
        <w:keepNext/>
        <w:rPr>
          <w:rFonts w:ascii="Times New Roman" w:hAnsi="Times New Roman" w:cs="Times New Roman"/>
          <w:b/>
          <w:i w:val="0"/>
          <w:sz w:val="24"/>
        </w:rPr>
      </w:pPr>
      <w:bookmarkStart w:id="42" w:name="_Toc49171406"/>
      <w:r w:rsidRPr="001818BF">
        <w:rPr>
          <w:rFonts w:ascii="Times New Roman" w:hAnsi="Times New Roman" w:cs="Times New Roman"/>
          <w:b/>
          <w:i w:val="0"/>
          <w:sz w:val="24"/>
        </w:rPr>
        <w:lastRenderedPageBreak/>
        <w:t xml:space="preserve">Tabela </w:t>
      </w:r>
      <w:r w:rsidRPr="001818BF">
        <w:rPr>
          <w:rFonts w:ascii="Times New Roman" w:hAnsi="Times New Roman" w:cs="Times New Roman"/>
          <w:b/>
          <w:i w:val="0"/>
          <w:sz w:val="24"/>
        </w:rPr>
        <w:fldChar w:fldCharType="begin"/>
      </w:r>
      <w:r w:rsidRPr="001818BF">
        <w:rPr>
          <w:rFonts w:ascii="Times New Roman" w:hAnsi="Times New Roman" w:cs="Times New Roman"/>
          <w:b/>
          <w:i w:val="0"/>
          <w:sz w:val="24"/>
        </w:rPr>
        <w:instrText xml:space="preserve"> SEQ Tabela \* ARABIC </w:instrText>
      </w:r>
      <w:r w:rsidRPr="001818BF">
        <w:rPr>
          <w:rFonts w:ascii="Times New Roman" w:hAnsi="Times New Roman" w:cs="Times New Roman"/>
          <w:b/>
          <w:i w:val="0"/>
          <w:sz w:val="24"/>
        </w:rPr>
        <w:fldChar w:fldCharType="separate"/>
      </w:r>
      <w:r w:rsidR="00C154C9">
        <w:rPr>
          <w:rFonts w:ascii="Times New Roman" w:hAnsi="Times New Roman" w:cs="Times New Roman"/>
          <w:b/>
          <w:i w:val="0"/>
          <w:noProof/>
          <w:sz w:val="24"/>
        </w:rPr>
        <w:t>31</w:t>
      </w:r>
      <w:r w:rsidRPr="001818BF">
        <w:rPr>
          <w:rFonts w:ascii="Times New Roman" w:hAnsi="Times New Roman" w:cs="Times New Roman"/>
          <w:b/>
          <w:i w:val="0"/>
          <w:sz w:val="24"/>
        </w:rPr>
        <w:fldChar w:fldCharType="end"/>
      </w:r>
      <w:r w:rsidRPr="001818BF">
        <w:rPr>
          <w:rFonts w:ascii="Times New Roman" w:hAnsi="Times New Roman" w:cs="Times New Roman"/>
          <w:b/>
          <w:i w:val="0"/>
          <w:sz w:val="24"/>
        </w:rPr>
        <w:t xml:space="preserve"> Oddziały geriatryczne w szpitalach ogólnych w 2018 r.</w:t>
      </w:r>
      <w:bookmarkEnd w:id="42"/>
    </w:p>
    <w:tbl>
      <w:tblPr>
        <w:tblW w:w="8720"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3228"/>
        <w:gridCol w:w="1757"/>
        <w:gridCol w:w="1756"/>
        <w:gridCol w:w="1979"/>
      </w:tblGrid>
      <w:tr w:rsidR="00161FE6" w:rsidRPr="00342041" w14:paraId="364DB8AE" w14:textId="77777777" w:rsidTr="009D1BB2">
        <w:trPr>
          <w:trHeight w:val="780"/>
        </w:trPr>
        <w:tc>
          <w:tcPr>
            <w:tcW w:w="3228" w:type="dxa"/>
            <w:shd w:val="clear" w:color="auto" w:fill="9CC2E5" w:themeFill="accent1" w:themeFillTint="99"/>
            <w:noWrap/>
            <w:vAlign w:val="center"/>
            <w:hideMark/>
          </w:tcPr>
          <w:p w14:paraId="793FD1E5" w14:textId="77777777" w:rsidR="00161FE6" w:rsidRPr="00342041" w:rsidRDefault="00161FE6"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Województwo</w:t>
            </w:r>
          </w:p>
        </w:tc>
        <w:tc>
          <w:tcPr>
            <w:tcW w:w="1757" w:type="dxa"/>
            <w:shd w:val="clear" w:color="auto" w:fill="9CC2E5" w:themeFill="accent1" w:themeFillTint="99"/>
            <w:vAlign w:val="center"/>
            <w:hideMark/>
          </w:tcPr>
          <w:p w14:paraId="20642B97" w14:textId="77777777" w:rsidR="00161FE6" w:rsidRPr="00342041" w:rsidRDefault="00161FE6"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Liczba oddziałów</w:t>
            </w:r>
            <w:r w:rsidRPr="00342041">
              <w:rPr>
                <w:rFonts w:ascii="Times New Roman" w:eastAsia="Times New Roman" w:hAnsi="Times New Roman" w:cs="Times New Roman"/>
                <w:b/>
                <w:sz w:val="20"/>
                <w:szCs w:val="20"/>
                <w:lang w:eastAsia="pl-PL"/>
              </w:rPr>
              <w:br/>
              <w:t>(stan w dniu 31 XII)</w:t>
            </w:r>
          </w:p>
        </w:tc>
        <w:tc>
          <w:tcPr>
            <w:tcW w:w="1756" w:type="dxa"/>
            <w:shd w:val="clear" w:color="auto" w:fill="9CC2E5" w:themeFill="accent1" w:themeFillTint="99"/>
            <w:vAlign w:val="center"/>
            <w:hideMark/>
          </w:tcPr>
          <w:p w14:paraId="3DE8FAD3" w14:textId="77777777" w:rsidR="00161FE6" w:rsidRPr="00342041" w:rsidRDefault="00161FE6"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Łóżka</w:t>
            </w:r>
            <w:r w:rsidRPr="00342041">
              <w:rPr>
                <w:rFonts w:ascii="Times New Roman" w:eastAsia="Times New Roman" w:hAnsi="Times New Roman" w:cs="Times New Roman"/>
                <w:b/>
                <w:sz w:val="20"/>
                <w:szCs w:val="20"/>
                <w:lang w:eastAsia="pl-PL"/>
              </w:rPr>
              <w:br/>
              <w:t>(stan w dniu 31 XII)</w:t>
            </w:r>
          </w:p>
        </w:tc>
        <w:tc>
          <w:tcPr>
            <w:tcW w:w="1979" w:type="dxa"/>
            <w:shd w:val="clear" w:color="auto" w:fill="9CC2E5" w:themeFill="accent1" w:themeFillTint="99"/>
            <w:vAlign w:val="center"/>
            <w:hideMark/>
          </w:tcPr>
          <w:p w14:paraId="2DEB489F" w14:textId="77777777" w:rsidR="00161FE6" w:rsidRPr="00342041" w:rsidRDefault="00161FE6"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Pacjenci leczeni w ciągu roku (łącznie z ruchem międzyoddziałowym)</w:t>
            </w:r>
          </w:p>
        </w:tc>
      </w:tr>
      <w:tr w:rsidR="00161FE6" w:rsidRPr="00342041" w14:paraId="6AC2EAB0" w14:textId="77777777" w:rsidTr="009D1BB2">
        <w:trPr>
          <w:trHeight w:val="300"/>
        </w:trPr>
        <w:tc>
          <w:tcPr>
            <w:tcW w:w="3228" w:type="dxa"/>
            <w:shd w:val="clear" w:color="auto" w:fill="9CC2E5" w:themeFill="accent1" w:themeFillTint="99"/>
            <w:noWrap/>
            <w:vAlign w:val="bottom"/>
            <w:hideMark/>
          </w:tcPr>
          <w:p w14:paraId="5EB2B889" w14:textId="77777777" w:rsidR="00161FE6" w:rsidRPr="00342041" w:rsidRDefault="00161FE6" w:rsidP="009D1BB2">
            <w:pPr>
              <w:spacing w:after="0" w:line="240" w:lineRule="auto"/>
              <w:rPr>
                <w:rFonts w:ascii="Times New Roman" w:eastAsia="Times New Roman" w:hAnsi="Times New Roman" w:cs="Times New Roman"/>
                <w:bCs/>
                <w:sz w:val="20"/>
                <w:szCs w:val="20"/>
                <w:lang w:eastAsia="pl-PL"/>
              </w:rPr>
            </w:pPr>
            <w:r w:rsidRPr="00342041">
              <w:rPr>
                <w:rFonts w:ascii="Times New Roman" w:eastAsia="Times New Roman" w:hAnsi="Times New Roman" w:cs="Times New Roman"/>
                <w:bCs/>
                <w:sz w:val="20"/>
                <w:szCs w:val="20"/>
                <w:lang w:eastAsia="pl-PL"/>
              </w:rPr>
              <w:t xml:space="preserve">POLSKA   </w:t>
            </w:r>
          </w:p>
        </w:tc>
        <w:tc>
          <w:tcPr>
            <w:tcW w:w="1757" w:type="dxa"/>
            <w:shd w:val="clear" w:color="auto" w:fill="auto"/>
            <w:noWrap/>
            <w:vAlign w:val="bottom"/>
            <w:hideMark/>
          </w:tcPr>
          <w:p w14:paraId="095E4AFF" w14:textId="77777777" w:rsidR="00161FE6" w:rsidRPr="00342041" w:rsidRDefault="00161FE6" w:rsidP="009D1BB2">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52</w:t>
            </w:r>
          </w:p>
        </w:tc>
        <w:tc>
          <w:tcPr>
            <w:tcW w:w="1756" w:type="dxa"/>
            <w:shd w:val="clear" w:color="auto" w:fill="auto"/>
            <w:noWrap/>
            <w:vAlign w:val="bottom"/>
            <w:hideMark/>
          </w:tcPr>
          <w:p w14:paraId="016FC958" w14:textId="77777777" w:rsidR="00161FE6" w:rsidRPr="00342041" w:rsidRDefault="00161FE6" w:rsidP="009D1BB2">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1 143</w:t>
            </w:r>
          </w:p>
        </w:tc>
        <w:tc>
          <w:tcPr>
            <w:tcW w:w="1979" w:type="dxa"/>
            <w:shd w:val="clear" w:color="auto" w:fill="auto"/>
            <w:noWrap/>
            <w:vAlign w:val="bottom"/>
            <w:hideMark/>
          </w:tcPr>
          <w:p w14:paraId="388BEAFE" w14:textId="77777777" w:rsidR="00161FE6" w:rsidRPr="00342041" w:rsidRDefault="00161FE6" w:rsidP="009D1BB2">
            <w:pPr>
              <w:spacing w:after="0" w:line="240" w:lineRule="auto"/>
              <w:jc w:val="center"/>
              <w:rPr>
                <w:rFonts w:ascii="Times New Roman" w:eastAsia="Times New Roman" w:hAnsi="Times New Roman" w:cs="Times New Roman"/>
                <w:b/>
                <w:bCs/>
                <w:color w:val="000000"/>
                <w:sz w:val="20"/>
                <w:szCs w:val="20"/>
                <w:lang w:eastAsia="pl-PL"/>
              </w:rPr>
            </w:pPr>
            <w:r w:rsidRPr="00342041">
              <w:rPr>
                <w:rFonts w:ascii="Times New Roman" w:eastAsia="Times New Roman" w:hAnsi="Times New Roman" w:cs="Times New Roman"/>
                <w:b/>
                <w:bCs/>
                <w:color w:val="000000"/>
                <w:sz w:val="20"/>
                <w:szCs w:val="20"/>
                <w:lang w:eastAsia="pl-PL"/>
              </w:rPr>
              <w:t>31 881</w:t>
            </w:r>
          </w:p>
        </w:tc>
      </w:tr>
      <w:tr w:rsidR="00161FE6" w:rsidRPr="00342041" w14:paraId="48759816" w14:textId="77777777" w:rsidTr="009D1BB2">
        <w:trPr>
          <w:trHeight w:val="300"/>
        </w:trPr>
        <w:tc>
          <w:tcPr>
            <w:tcW w:w="3228" w:type="dxa"/>
            <w:shd w:val="clear" w:color="auto" w:fill="9CC2E5" w:themeFill="accent1" w:themeFillTint="99"/>
            <w:noWrap/>
            <w:vAlign w:val="bottom"/>
            <w:hideMark/>
          </w:tcPr>
          <w:p w14:paraId="52B25421"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Dolnośląskie</w:t>
            </w:r>
          </w:p>
        </w:tc>
        <w:tc>
          <w:tcPr>
            <w:tcW w:w="1757" w:type="dxa"/>
            <w:shd w:val="clear" w:color="auto" w:fill="auto"/>
            <w:noWrap/>
            <w:vAlign w:val="bottom"/>
            <w:hideMark/>
          </w:tcPr>
          <w:p w14:paraId="1E5248F0"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w:t>
            </w:r>
          </w:p>
        </w:tc>
        <w:tc>
          <w:tcPr>
            <w:tcW w:w="1756" w:type="dxa"/>
            <w:shd w:val="clear" w:color="auto" w:fill="auto"/>
            <w:noWrap/>
            <w:vAlign w:val="bottom"/>
            <w:hideMark/>
          </w:tcPr>
          <w:p w14:paraId="55C4D596"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74</w:t>
            </w:r>
          </w:p>
        </w:tc>
        <w:tc>
          <w:tcPr>
            <w:tcW w:w="1979" w:type="dxa"/>
            <w:shd w:val="clear" w:color="auto" w:fill="auto"/>
            <w:noWrap/>
            <w:vAlign w:val="bottom"/>
            <w:hideMark/>
          </w:tcPr>
          <w:p w14:paraId="7B42B062"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1 477</w:t>
            </w:r>
          </w:p>
        </w:tc>
      </w:tr>
      <w:tr w:rsidR="00161FE6" w:rsidRPr="00342041" w14:paraId="1E7E233A" w14:textId="77777777" w:rsidTr="009D1BB2">
        <w:trPr>
          <w:trHeight w:val="300"/>
        </w:trPr>
        <w:tc>
          <w:tcPr>
            <w:tcW w:w="3228" w:type="dxa"/>
            <w:shd w:val="clear" w:color="auto" w:fill="9CC2E5" w:themeFill="accent1" w:themeFillTint="99"/>
            <w:noWrap/>
            <w:vAlign w:val="bottom"/>
            <w:hideMark/>
          </w:tcPr>
          <w:p w14:paraId="625860D4"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Kujawsko-pomorskie</w:t>
            </w:r>
          </w:p>
        </w:tc>
        <w:tc>
          <w:tcPr>
            <w:tcW w:w="1757" w:type="dxa"/>
            <w:shd w:val="clear" w:color="auto" w:fill="auto"/>
            <w:noWrap/>
            <w:vAlign w:val="bottom"/>
            <w:hideMark/>
          </w:tcPr>
          <w:p w14:paraId="738780E0"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w:t>
            </w:r>
          </w:p>
        </w:tc>
        <w:tc>
          <w:tcPr>
            <w:tcW w:w="1756" w:type="dxa"/>
            <w:shd w:val="clear" w:color="auto" w:fill="auto"/>
            <w:noWrap/>
            <w:vAlign w:val="bottom"/>
            <w:hideMark/>
          </w:tcPr>
          <w:p w14:paraId="306805BD"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54</w:t>
            </w:r>
          </w:p>
        </w:tc>
        <w:tc>
          <w:tcPr>
            <w:tcW w:w="1979" w:type="dxa"/>
            <w:shd w:val="clear" w:color="auto" w:fill="auto"/>
            <w:noWrap/>
            <w:vAlign w:val="bottom"/>
            <w:hideMark/>
          </w:tcPr>
          <w:p w14:paraId="21B100F3"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1 869</w:t>
            </w:r>
          </w:p>
        </w:tc>
      </w:tr>
      <w:tr w:rsidR="00161FE6" w:rsidRPr="00342041" w14:paraId="154E50DB" w14:textId="77777777" w:rsidTr="009D1BB2">
        <w:trPr>
          <w:trHeight w:val="300"/>
        </w:trPr>
        <w:tc>
          <w:tcPr>
            <w:tcW w:w="3228" w:type="dxa"/>
            <w:shd w:val="clear" w:color="auto" w:fill="9CC2E5" w:themeFill="accent1" w:themeFillTint="99"/>
            <w:noWrap/>
            <w:vAlign w:val="bottom"/>
            <w:hideMark/>
          </w:tcPr>
          <w:p w14:paraId="681A1D58"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Lubelskie</w:t>
            </w:r>
          </w:p>
        </w:tc>
        <w:tc>
          <w:tcPr>
            <w:tcW w:w="1757" w:type="dxa"/>
            <w:shd w:val="clear" w:color="auto" w:fill="auto"/>
            <w:noWrap/>
            <w:vAlign w:val="bottom"/>
            <w:hideMark/>
          </w:tcPr>
          <w:p w14:paraId="4CE4986D"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w:t>
            </w:r>
          </w:p>
        </w:tc>
        <w:tc>
          <w:tcPr>
            <w:tcW w:w="1756" w:type="dxa"/>
            <w:shd w:val="clear" w:color="auto" w:fill="auto"/>
            <w:noWrap/>
            <w:vAlign w:val="bottom"/>
            <w:hideMark/>
          </w:tcPr>
          <w:p w14:paraId="78B8772B"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96</w:t>
            </w:r>
          </w:p>
        </w:tc>
        <w:tc>
          <w:tcPr>
            <w:tcW w:w="1979" w:type="dxa"/>
            <w:shd w:val="clear" w:color="auto" w:fill="auto"/>
            <w:noWrap/>
            <w:vAlign w:val="bottom"/>
            <w:hideMark/>
          </w:tcPr>
          <w:p w14:paraId="57C0AA33"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2 874</w:t>
            </w:r>
          </w:p>
        </w:tc>
      </w:tr>
      <w:tr w:rsidR="00161FE6" w:rsidRPr="00342041" w14:paraId="52215D35" w14:textId="77777777" w:rsidTr="009D1BB2">
        <w:trPr>
          <w:trHeight w:val="300"/>
        </w:trPr>
        <w:tc>
          <w:tcPr>
            <w:tcW w:w="3228" w:type="dxa"/>
            <w:shd w:val="clear" w:color="auto" w:fill="9CC2E5" w:themeFill="accent1" w:themeFillTint="99"/>
            <w:noWrap/>
            <w:vAlign w:val="bottom"/>
            <w:hideMark/>
          </w:tcPr>
          <w:p w14:paraId="78808B5E"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Lubuskie</w:t>
            </w:r>
          </w:p>
        </w:tc>
        <w:tc>
          <w:tcPr>
            <w:tcW w:w="1757" w:type="dxa"/>
            <w:shd w:val="clear" w:color="auto" w:fill="auto"/>
            <w:noWrap/>
            <w:vAlign w:val="bottom"/>
            <w:hideMark/>
          </w:tcPr>
          <w:p w14:paraId="766F7C9F"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w:t>
            </w:r>
          </w:p>
        </w:tc>
        <w:tc>
          <w:tcPr>
            <w:tcW w:w="1756" w:type="dxa"/>
            <w:shd w:val="clear" w:color="auto" w:fill="auto"/>
            <w:noWrap/>
            <w:vAlign w:val="bottom"/>
            <w:hideMark/>
          </w:tcPr>
          <w:p w14:paraId="2E0CDA1F"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23</w:t>
            </w:r>
          </w:p>
        </w:tc>
        <w:tc>
          <w:tcPr>
            <w:tcW w:w="1979" w:type="dxa"/>
            <w:shd w:val="clear" w:color="auto" w:fill="auto"/>
            <w:noWrap/>
            <w:vAlign w:val="bottom"/>
            <w:hideMark/>
          </w:tcPr>
          <w:p w14:paraId="3E18A291"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1 077</w:t>
            </w:r>
          </w:p>
        </w:tc>
      </w:tr>
      <w:tr w:rsidR="00161FE6" w:rsidRPr="00342041" w14:paraId="40E9D5D2" w14:textId="77777777" w:rsidTr="009D1BB2">
        <w:trPr>
          <w:trHeight w:val="300"/>
        </w:trPr>
        <w:tc>
          <w:tcPr>
            <w:tcW w:w="3228" w:type="dxa"/>
            <w:shd w:val="clear" w:color="auto" w:fill="9CC2E5" w:themeFill="accent1" w:themeFillTint="99"/>
            <w:noWrap/>
            <w:vAlign w:val="bottom"/>
            <w:hideMark/>
          </w:tcPr>
          <w:p w14:paraId="65018D7F"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Łódzkie</w:t>
            </w:r>
          </w:p>
        </w:tc>
        <w:tc>
          <w:tcPr>
            <w:tcW w:w="1757" w:type="dxa"/>
            <w:shd w:val="clear" w:color="auto" w:fill="auto"/>
            <w:noWrap/>
            <w:vAlign w:val="bottom"/>
            <w:hideMark/>
          </w:tcPr>
          <w:p w14:paraId="079E39C6"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w:t>
            </w:r>
          </w:p>
        </w:tc>
        <w:tc>
          <w:tcPr>
            <w:tcW w:w="1756" w:type="dxa"/>
            <w:shd w:val="clear" w:color="auto" w:fill="auto"/>
            <w:noWrap/>
            <w:vAlign w:val="bottom"/>
            <w:hideMark/>
          </w:tcPr>
          <w:p w14:paraId="5C1B2556"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44</w:t>
            </w:r>
          </w:p>
        </w:tc>
        <w:tc>
          <w:tcPr>
            <w:tcW w:w="1979" w:type="dxa"/>
            <w:shd w:val="clear" w:color="auto" w:fill="auto"/>
            <w:noWrap/>
            <w:vAlign w:val="bottom"/>
            <w:hideMark/>
          </w:tcPr>
          <w:p w14:paraId="18744E3A"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1 113</w:t>
            </w:r>
          </w:p>
        </w:tc>
      </w:tr>
      <w:tr w:rsidR="00161FE6" w:rsidRPr="00342041" w14:paraId="634B9A8E" w14:textId="77777777" w:rsidTr="009D1BB2">
        <w:trPr>
          <w:trHeight w:val="300"/>
        </w:trPr>
        <w:tc>
          <w:tcPr>
            <w:tcW w:w="3228" w:type="dxa"/>
            <w:shd w:val="clear" w:color="auto" w:fill="9CC2E5" w:themeFill="accent1" w:themeFillTint="99"/>
            <w:noWrap/>
            <w:vAlign w:val="bottom"/>
            <w:hideMark/>
          </w:tcPr>
          <w:p w14:paraId="65BCAF74"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Małopolskie</w:t>
            </w:r>
          </w:p>
        </w:tc>
        <w:tc>
          <w:tcPr>
            <w:tcW w:w="1757" w:type="dxa"/>
            <w:shd w:val="clear" w:color="auto" w:fill="auto"/>
            <w:noWrap/>
            <w:vAlign w:val="bottom"/>
            <w:hideMark/>
          </w:tcPr>
          <w:p w14:paraId="12A3F100"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w:t>
            </w:r>
          </w:p>
        </w:tc>
        <w:tc>
          <w:tcPr>
            <w:tcW w:w="1756" w:type="dxa"/>
            <w:shd w:val="clear" w:color="auto" w:fill="auto"/>
            <w:noWrap/>
            <w:vAlign w:val="bottom"/>
            <w:hideMark/>
          </w:tcPr>
          <w:p w14:paraId="36614A24"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113</w:t>
            </w:r>
          </w:p>
        </w:tc>
        <w:tc>
          <w:tcPr>
            <w:tcW w:w="1979" w:type="dxa"/>
            <w:shd w:val="clear" w:color="auto" w:fill="auto"/>
            <w:noWrap/>
            <w:vAlign w:val="bottom"/>
            <w:hideMark/>
          </w:tcPr>
          <w:p w14:paraId="4D66294F"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3 435</w:t>
            </w:r>
          </w:p>
        </w:tc>
      </w:tr>
      <w:tr w:rsidR="00161FE6" w:rsidRPr="00342041" w14:paraId="6CB6407E" w14:textId="77777777" w:rsidTr="009D1BB2">
        <w:trPr>
          <w:trHeight w:val="300"/>
        </w:trPr>
        <w:tc>
          <w:tcPr>
            <w:tcW w:w="3228" w:type="dxa"/>
            <w:shd w:val="clear" w:color="auto" w:fill="9CC2E5" w:themeFill="accent1" w:themeFillTint="99"/>
            <w:noWrap/>
            <w:vAlign w:val="bottom"/>
            <w:hideMark/>
          </w:tcPr>
          <w:p w14:paraId="66753823"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Mazowieckie</w:t>
            </w:r>
          </w:p>
        </w:tc>
        <w:tc>
          <w:tcPr>
            <w:tcW w:w="1757" w:type="dxa"/>
            <w:shd w:val="clear" w:color="auto" w:fill="auto"/>
            <w:noWrap/>
            <w:vAlign w:val="bottom"/>
            <w:hideMark/>
          </w:tcPr>
          <w:p w14:paraId="39F78EE7"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w:t>
            </w:r>
          </w:p>
        </w:tc>
        <w:tc>
          <w:tcPr>
            <w:tcW w:w="1756" w:type="dxa"/>
            <w:shd w:val="clear" w:color="auto" w:fill="auto"/>
            <w:noWrap/>
            <w:vAlign w:val="bottom"/>
            <w:hideMark/>
          </w:tcPr>
          <w:p w14:paraId="6931F4E1"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119</w:t>
            </w:r>
          </w:p>
        </w:tc>
        <w:tc>
          <w:tcPr>
            <w:tcW w:w="1979" w:type="dxa"/>
            <w:shd w:val="clear" w:color="auto" w:fill="auto"/>
            <w:noWrap/>
            <w:vAlign w:val="bottom"/>
            <w:hideMark/>
          </w:tcPr>
          <w:p w14:paraId="3C8C4816"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3 567</w:t>
            </w:r>
          </w:p>
        </w:tc>
      </w:tr>
      <w:tr w:rsidR="00161FE6" w:rsidRPr="00342041" w14:paraId="07F5E9DA" w14:textId="77777777" w:rsidTr="009D1BB2">
        <w:trPr>
          <w:trHeight w:val="300"/>
        </w:trPr>
        <w:tc>
          <w:tcPr>
            <w:tcW w:w="3228" w:type="dxa"/>
            <w:shd w:val="clear" w:color="auto" w:fill="9CC2E5" w:themeFill="accent1" w:themeFillTint="99"/>
            <w:noWrap/>
            <w:vAlign w:val="bottom"/>
            <w:hideMark/>
          </w:tcPr>
          <w:p w14:paraId="26D50D13"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Opolskie</w:t>
            </w:r>
          </w:p>
        </w:tc>
        <w:tc>
          <w:tcPr>
            <w:tcW w:w="1757" w:type="dxa"/>
            <w:shd w:val="clear" w:color="auto" w:fill="auto"/>
            <w:noWrap/>
            <w:vAlign w:val="bottom"/>
            <w:hideMark/>
          </w:tcPr>
          <w:p w14:paraId="56634993"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w:t>
            </w:r>
          </w:p>
        </w:tc>
        <w:tc>
          <w:tcPr>
            <w:tcW w:w="1756" w:type="dxa"/>
            <w:shd w:val="clear" w:color="auto" w:fill="auto"/>
            <w:noWrap/>
            <w:vAlign w:val="bottom"/>
            <w:hideMark/>
          </w:tcPr>
          <w:p w14:paraId="3A0A64AB"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56</w:t>
            </w:r>
          </w:p>
        </w:tc>
        <w:tc>
          <w:tcPr>
            <w:tcW w:w="1979" w:type="dxa"/>
            <w:shd w:val="clear" w:color="auto" w:fill="auto"/>
            <w:noWrap/>
            <w:vAlign w:val="bottom"/>
            <w:hideMark/>
          </w:tcPr>
          <w:p w14:paraId="3BC4CCE9"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1 425</w:t>
            </w:r>
          </w:p>
        </w:tc>
      </w:tr>
      <w:tr w:rsidR="00161FE6" w:rsidRPr="00342041" w14:paraId="3919AB92" w14:textId="77777777" w:rsidTr="009D1BB2">
        <w:trPr>
          <w:trHeight w:val="300"/>
        </w:trPr>
        <w:tc>
          <w:tcPr>
            <w:tcW w:w="3228" w:type="dxa"/>
            <w:shd w:val="clear" w:color="auto" w:fill="9CC2E5" w:themeFill="accent1" w:themeFillTint="99"/>
            <w:noWrap/>
            <w:vAlign w:val="bottom"/>
            <w:hideMark/>
          </w:tcPr>
          <w:p w14:paraId="0019168F"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Podkarpackie</w:t>
            </w:r>
          </w:p>
        </w:tc>
        <w:tc>
          <w:tcPr>
            <w:tcW w:w="1757" w:type="dxa"/>
            <w:shd w:val="clear" w:color="auto" w:fill="auto"/>
            <w:noWrap/>
            <w:vAlign w:val="bottom"/>
            <w:hideMark/>
          </w:tcPr>
          <w:p w14:paraId="5D830E91"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w:t>
            </w:r>
          </w:p>
        </w:tc>
        <w:tc>
          <w:tcPr>
            <w:tcW w:w="1756" w:type="dxa"/>
            <w:shd w:val="clear" w:color="auto" w:fill="auto"/>
            <w:noWrap/>
            <w:vAlign w:val="bottom"/>
            <w:hideMark/>
          </w:tcPr>
          <w:p w14:paraId="07D2A75F"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63</w:t>
            </w:r>
          </w:p>
        </w:tc>
        <w:tc>
          <w:tcPr>
            <w:tcW w:w="1979" w:type="dxa"/>
            <w:shd w:val="clear" w:color="auto" w:fill="auto"/>
            <w:noWrap/>
            <w:vAlign w:val="bottom"/>
            <w:hideMark/>
          </w:tcPr>
          <w:p w14:paraId="376BAEB2"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2 481</w:t>
            </w:r>
          </w:p>
        </w:tc>
      </w:tr>
      <w:tr w:rsidR="00161FE6" w:rsidRPr="00342041" w14:paraId="170AE352" w14:textId="77777777" w:rsidTr="009D1BB2">
        <w:trPr>
          <w:trHeight w:val="300"/>
        </w:trPr>
        <w:tc>
          <w:tcPr>
            <w:tcW w:w="3228" w:type="dxa"/>
            <w:shd w:val="clear" w:color="auto" w:fill="9CC2E5" w:themeFill="accent1" w:themeFillTint="99"/>
            <w:noWrap/>
            <w:vAlign w:val="bottom"/>
            <w:hideMark/>
          </w:tcPr>
          <w:p w14:paraId="28D7CFC4"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Podlaskie</w:t>
            </w:r>
          </w:p>
        </w:tc>
        <w:tc>
          <w:tcPr>
            <w:tcW w:w="1757" w:type="dxa"/>
            <w:shd w:val="clear" w:color="auto" w:fill="auto"/>
            <w:noWrap/>
            <w:vAlign w:val="bottom"/>
            <w:hideMark/>
          </w:tcPr>
          <w:p w14:paraId="7A4A4FDE"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w:t>
            </w:r>
          </w:p>
        </w:tc>
        <w:tc>
          <w:tcPr>
            <w:tcW w:w="1756" w:type="dxa"/>
            <w:shd w:val="clear" w:color="auto" w:fill="auto"/>
            <w:noWrap/>
            <w:vAlign w:val="bottom"/>
            <w:hideMark/>
          </w:tcPr>
          <w:p w14:paraId="0FE6E44C"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17</w:t>
            </w:r>
          </w:p>
        </w:tc>
        <w:tc>
          <w:tcPr>
            <w:tcW w:w="1979" w:type="dxa"/>
            <w:shd w:val="clear" w:color="auto" w:fill="auto"/>
            <w:noWrap/>
            <w:vAlign w:val="bottom"/>
            <w:hideMark/>
          </w:tcPr>
          <w:p w14:paraId="27D0F9C6"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583</w:t>
            </w:r>
          </w:p>
        </w:tc>
      </w:tr>
      <w:tr w:rsidR="00161FE6" w:rsidRPr="00342041" w14:paraId="348CFBAB" w14:textId="77777777" w:rsidTr="009D1BB2">
        <w:trPr>
          <w:trHeight w:val="300"/>
        </w:trPr>
        <w:tc>
          <w:tcPr>
            <w:tcW w:w="3228" w:type="dxa"/>
            <w:shd w:val="clear" w:color="auto" w:fill="9CC2E5" w:themeFill="accent1" w:themeFillTint="99"/>
            <w:noWrap/>
            <w:vAlign w:val="bottom"/>
            <w:hideMark/>
          </w:tcPr>
          <w:p w14:paraId="17BF71B8"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Pomorskie</w:t>
            </w:r>
          </w:p>
        </w:tc>
        <w:tc>
          <w:tcPr>
            <w:tcW w:w="1757" w:type="dxa"/>
            <w:shd w:val="clear" w:color="auto" w:fill="auto"/>
            <w:noWrap/>
            <w:vAlign w:val="bottom"/>
            <w:hideMark/>
          </w:tcPr>
          <w:p w14:paraId="267A6AC6"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w:t>
            </w:r>
          </w:p>
        </w:tc>
        <w:tc>
          <w:tcPr>
            <w:tcW w:w="1756" w:type="dxa"/>
            <w:shd w:val="clear" w:color="auto" w:fill="auto"/>
            <w:noWrap/>
            <w:vAlign w:val="bottom"/>
            <w:hideMark/>
          </w:tcPr>
          <w:p w14:paraId="415EF9FB"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24</w:t>
            </w:r>
          </w:p>
        </w:tc>
        <w:tc>
          <w:tcPr>
            <w:tcW w:w="1979" w:type="dxa"/>
            <w:shd w:val="clear" w:color="auto" w:fill="auto"/>
            <w:noWrap/>
            <w:vAlign w:val="bottom"/>
            <w:hideMark/>
          </w:tcPr>
          <w:p w14:paraId="73A8FA08"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223</w:t>
            </w:r>
          </w:p>
        </w:tc>
      </w:tr>
      <w:tr w:rsidR="00161FE6" w:rsidRPr="00342041" w14:paraId="0CFE2916" w14:textId="77777777" w:rsidTr="009D1BB2">
        <w:trPr>
          <w:trHeight w:val="300"/>
        </w:trPr>
        <w:tc>
          <w:tcPr>
            <w:tcW w:w="3228" w:type="dxa"/>
            <w:shd w:val="clear" w:color="auto" w:fill="9CC2E5" w:themeFill="accent1" w:themeFillTint="99"/>
            <w:noWrap/>
            <w:vAlign w:val="bottom"/>
            <w:hideMark/>
          </w:tcPr>
          <w:p w14:paraId="1F9FA537"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Śląskie</w:t>
            </w:r>
          </w:p>
        </w:tc>
        <w:tc>
          <w:tcPr>
            <w:tcW w:w="1757" w:type="dxa"/>
            <w:shd w:val="clear" w:color="auto" w:fill="auto"/>
            <w:noWrap/>
            <w:vAlign w:val="bottom"/>
            <w:hideMark/>
          </w:tcPr>
          <w:p w14:paraId="4A91FD81"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15</w:t>
            </w:r>
          </w:p>
        </w:tc>
        <w:tc>
          <w:tcPr>
            <w:tcW w:w="1756" w:type="dxa"/>
            <w:shd w:val="clear" w:color="auto" w:fill="auto"/>
            <w:noWrap/>
            <w:vAlign w:val="bottom"/>
            <w:hideMark/>
          </w:tcPr>
          <w:p w14:paraId="5DB7257D"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368</w:t>
            </w:r>
          </w:p>
        </w:tc>
        <w:tc>
          <w:tcPr>
            <w:tcW w:w="1979" w:type="dxa"/>
            <w:shd w:val="clear" w:color="auto" w:fill="auto"/>
            <w:noWrap/>
            <w:vAlign w:val="bottom"/>
            <w:hideMark/>
          </w:tcPr>
          <w:p w14:paraId="56260E44"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8 769</w:t>
            </w:r>
          </w:p>
        </w:tc>
      </w:tr>
      <w:tr w:rsidR="00161FE6" w:rsidRPr="00342041" w14:paraId="2B89F519" w14:textId="77777777" w:rsidTr="009D1BB2">
        <w:trPr>
          <w:trHeight w:val="300"/>
        </w:trPr>
        <w:tc>
          <w:tcPr>
            <w:tcW w:w="3228" w:type="dxa"/>
            <w:shd w:val="clear" w:color="auto" w:fill="9CC2E5" w:themeFill="accent1" w:themeFillTint="99"/>
            <w:noWrap/>
            <w:vAlign w:val="bottom"/>
            <w:hideMark/>
          </w:tcPr>
          <w:p w14:paraId="0D7AF76E"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Świętokrzyskie</w:t>
            </w:r>
          </w:p>
        </w:tc>
        <w:tc>
          <w:tcPr>
            <w:tcW w:w="1757" w:type="dxa"/>
            <w:shd w:val="clear" w:color="auto" w:fill="auto"/>
            <w:noWrap/>
            <w:vAlign w:val="bottom"/>
            <w:hideMark/>
          </w:tcPr>
          <w:p w14:paraId="4172E08C"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w:t>
            </w:r>
          </w:p>
        </w:tc>
        <w:tc>
          <w:tcPr>
            <w:tcW w:w="1756" w:type="dxa"/>
            <w:shd w:val="clear" w:color="auto" w:fill="auto"/>
            <w:noWrap/>
            <w:vAlign w:val="bottom"/>
            <w:hideMark/>
          </w:tcPr>
          <w:p w14:paraId="6F1D2D6E"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48</w:t>
            </w:r>
          </w:p>
        </w:tc>
        <w:tc>
          <w:tcPr>
            <w:tcW w:w="1979" w:type="dxa"/>
            <w:shd w:val="clear" w:color="auto" w:fill="auto"/>
            <w:noWrap/>
            <w:vAlign w:val="bottom"/>
            <w:hideMark/>
          </w:tcPr>
          <w:p w14:paraId="4D64B53E"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2 002</w:t>
            </w:r>
          </w:p>
        </w:tc>
      </w:tr>
      <w:tr w:rsidR="00161FE6" w:rsidRPr="00342041" w14:paraId="568E7A74" w14:textId="77777777" w:rsidTr="009D1BB2">
        <w:trPr>
          <w:trHeight w:val="300"/>
        </w:trPr>
        <w:tc>
          <w:tcPr>
            <w:tcW w:w="3228" w:type="dxa"/>
            <w:shd w:val="clear" w:color="auto" w:fill="9CC2E5" w:themeFill="accent1" w:themeFillTint="99"/>
            <w:noWrap/>
            <w:vAlign w:val="bottom"/>
            <w:hideMark/>
          </w:tcPr>
          <w:p w14:paraId="668C974C"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Warmińsko-mazurskie</w:t>
            </w:r>
          </w:p>
        </w:tc>
        <w:tc>
          <w:tcPr>
            <w:tcW w:w="1757" w:type="dxa"/>
            <w:shd w:val="clear" w:color="auto" w:fill="auto"/>
            <w:vAlign w:val="center"/>
            <w:hideMark/>
          </w:tcPr>
          <w:p w14:paraId="3A9528EF" w14:textId="77777777" w:rsidR="00161FE6" w:rsidRPr="00342041" w:rsidRDefault="00161FE6"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w:t>
            </w:r>
          </w:p>
        </w:tc>
        <w:tc>
          <w:tcPr>
            <w:tcW w:w="1756" w:type="dxa"/>
            <w:shd w:val="clear" w:color="auto" w:fill="auto"/>
            <w:vAlign w:val="center"/>
            <w:hideMark/>
          </w:tcPr>
          <w:p w14:paraId="07502900" w14:textId="77777777" w:rsidR="00161FE6" w:rsidRPr="00342041" w:rsidRDefault="00161FE6"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w:t>
            </w:r>
          </w:p>
        </w:tc>
        <w:tc>
          <w:tcPr>
            <w:tcW w:w="1979" w:type="dxa"/>
            <w:shd w:val="clear" w:color="auto" w:fill="auto"/>
            <w:vAlign w:val="center"/>
            <w:hideMark/>
          </w:tcPr>
          <w:p w14:paraId="2941A61D" w14:textId="77777777" w:rsidR="00161FE6" w:rsidRPr="00342041" w:rsidRDefault="00161FE6"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w:t>
            </w:r>
          </w:p>
        </w:tc>
      </w:tr>
      <w:tr w:rsidR="00161FE6" w:rsidRPr="00342041" w14:paraId="6F40A845" w14:textId="77777777" w:rsidTr="009D1BB2">
        <w:trPr>
          <w:trHeight w:val="300"/>
        </w:trPr>
        <w:tc>
          <w:tcPr>
            <w:tcW w:w="3228" w:type="dxa"/>
            <w:shd w:val="clear" w:color="auto" w:fill="9CC2E5" w:themeFill="accent1" w:themeFillTint="99"/>
            <w:noWrap/>
            <w:vAlign w:val="bottom"/>
            <w:hideMark/>
          </w:tcPr>
          <w:p w14:paraId="32FC9EC4"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Wielkopolskie</w:t>
            </w:r>
          </w:p>
        </w:tc>
        <w:tc>
          <w:tcPr>
            <w:tcW w:w="1757" w:type="dxa"/>
            <w:shd w:val="clear" w:color="auto" w:fill="auto"/>
            <w:noWrap/>
            <w:vAlign w:val="bottom"/>
            <w:hideMark/>
          </w:tcPr>
          <w:p w14:paraId="20638AE4"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w:t>
            </w:r>
          </w:p>
        </w:tc>
        <w:tc>
          <w:tcPr>
            <w:tcW w:w="1756" w:type="dxa"/>
            <w:shd w:val="clear" w:color="auto" w:fill="auto"/>
            <w:noWrap/>
            <w:vAlign w:val="bottom"/>
            <w:hideMark/>
          </w:tcPr>
          <w:p w14:paraId="25D3FD75"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20</w:t>
            </w:r>
          </w:p>
        </w:tc>
        <w:tc>
          <w:tcPr>
            <w:tcW w:w="1979" w:type="dxa"/>
            <w:shd w:val="clear" w:color="auto" w:fill="auto"/>
            <w:noWrap/>
            <w:vAlign w:val="bottom"/>
            <w:hideMark/>
          </w:tcPr>
          <w:p w14:paraId="50AF46EC"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473</w:t>
            </w:r>
          </w:p>
        </w:tc>
      </w:tr>
      <w:tr w:rsidR="00161FE6" w:rsidRPr="00342041" w14:paraId="67B13B21" w14:textId="77777777" w:rsidTr="009D1BB2">
        <w:trPr>
          <w:trHeight w:val="300"/>
        </w:trPr>
        <w:tc>
          <w:tcPr>
            <w:tcW w:w="3228" w:type="dxa"/>
            <w:shd w:val="clear" w:color="auto" w:fill="9CC2E5" w:themeFill="accent1" w:themeFillTint="99"/>
            <w:noWrap/>
            <w:vAlign w:val="bottom"/>
            <w:hideMark/>
          </w:tcPr>
          <w:p w14:paraId="1E84456C" w14:textId="77777777" w:rsidR="00161FE6" w:rsidRPr="00342041" w:rsidRDefault="00161FE6" w:rsidP="009D1BB2">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Zachodniopomorskie</w:t>
            </w:r>
          </w:p>
        </w:tc>
        <w:tc>
          <w:tcPr>
            <w:tcW w:w="1757" w:type="dxa"/>
            <w:shd w:val="clear" w:color="auto" w:fill="auto"/>
            <w:noWrap/>
            <w:vAlign w:val="bottom"/>
            <w:hideMark/>
          </w:tcPr>
          <w:p w14:paraId="5367F881"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1</w:t>
            </w:r>
          </w:p>
        </w:tc>
        <w:tc>
          <w:tcPr>
            <w:tcW w:w="1756" w:type="dxa"/>
            <w:shd w:val="clear" w:color="auto" w:fill="auto"/>
            <w:noWrap/>
            <w:vAlign w:val="bottom"/>
            <w:hideMark/>
          </w:tcPr>
          <w:p w14:paraId="56B55683"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24</w:t>
            </w:r>
          </w:p>
        </w:tc>
        <w:tc>
          <w:tcPr>
            <w:tcW w:w="1979" w:type="dxa"/>
            <w:shd w:val="clear" w:color="auto" w:fill="auto"/>
            <w:noWrap/>
            <w:vAlign w:val="bottom"/>
            <w:hideMark/>
          </w:tcPr>
          <w:p w14:paraId="05C4BDC7" w14:textId="77777777" w:rsidR="00161FE6" w:rsidRPr="00342041" w:rsidRDefault="00161FE6" w:rsidP="009D1BB2">
            <w:pPr>
              <w:spacing w:after="0" w:line="240" w:lineRule="auto"/>
              <w:jc w:val="center"/>
              <w:rPr>
                <w:rFonts w:ascii="Times New Roman" w:eastAsia="Times New Roman" w:hAnsi="Times New Roman" w:cs="Times New Roman"/>
                <w:color w:val="000000"/>
                <w:sz w:val="20"/>
                <w:szCs w:val="20"/>
                <w:lang w:eastAsia="pl-PL"/>
              </w:rPr>
            </w:pPr>
            <w:r w:rsidRPr="00342041">
              <w:rPr>
                <w:rFonts w:ascii="Times New Roman" w:eastAsia="Times New Roman" w:hAnsi="Times New Roman" w:cs="Times New Roman"/>
                <w:color w:val="000000"/>
                <w:sz w:val="20"/>
                <w:szCs w:val="20"/>
                <w:lang w:eastAsia="pl-PL"/>
              </w:rPr>
              <w:t>513</w:t>
            </w:r>
          </w:p>
        </w:tc>
      </w:tr>
    </w:tbl>
    <w:p w14:paraId="153657E7" w14:textId="77777777" w:rsidR="004606E7" w:rsidRPr="001818BF" w:rsidRDefault="004606E7" w:rsidP="001818BF">
      <w:pPr>
        <w:spacing w:after="0"/>
        <w:jc w:val="both"/>
        <w:rPr>
          <w:rFonts w:ascii="Times New Roman" w:hAnsi="Times New Roman" w:cs="Times New Roman"/>
          <w:b/>
        </w:rPr>
      </w:pPr>
      <w:r w:rsidRPr="001818BF">
        <w:rPr>
          <w:rFonts w:ascii="Times New Roman" w:hAnsi="Times New Roman" w:cs="Times New Roman"/>
          <w:b/>
        </w:rPr>
        <w:t>Źródło: Badanie Ministerstwa Zdrowia i Ministerstwa Spraw Wewnętrznych i Administracji (formularz MZ-29 i MSW-43)</w:t>
      </w:r>
    </w:p>
    <w:p w14:paraId="60D6F682" w14:textId="77777777" w:rsidR="004606E7" w:rsidRPr="001818BF" w:rsidRDefault="004606E7" w:rsidP="001818BF">
      <w:pPr>
        <w:spacing w:after="0"/>
        <w:jc w:val="both"/>
        <w:rPr>
          <w:rFonts w:ascii="Times New Roman" w:hAnsi="Times New Roman" w:cs="Times New Roman"/>
          <w:b/>
        </w:rPr>
      </w:pPr>
      <w:r w:rsidRPr="001818BF">
        <w:rPr>
          <w:rFonts w:ascii="Times New Roman" w:hAnsi="Times New Roman" w:cs="Times New Roman"/>
          <w:b/>
        </w:rPr>
        <w:t>Dostępność danych za 2019 r. - IV kw. 2020 r.</w:t>
      </w:r>
    </w:p>
    <w:p w14:paraId="31BBBEE8" w14:textId="77777777" w:rsidR="005013E4" w:rsidRDefault="005013E4" w:rsidP="005013E4">
      <w:pPr>
        <w:autoSpaceDE w:val="0"/>
        <w:autoSpaceDN w:val="0"/>
        <w:adjustRightInd w:val="0"/>
        <w:spacing w:after="0"/>
        <w:jc w:val="both"/>
        <w:rPr>
          <w:rFonts w:ascii="Times New Roman" w:hAnsi="Times New Roman" w:cs="Times New Roman"/>
          <w:sz w:val="24"/>
          <w:szCs w:val="24"/>
          <w:shd w:val="clear" w:color="auto" w:fill="FFFFFF"/>
        </w:rPr>
      </w:pPr>
    </w:p>
    <w:p w14:paraId="0A97906B" w14:textId="77777777" w:rsidR="005013E4" w:rsidRPr="00AC5875" w:rsidRDefault="005013E4" w:rsidP="005013E4">
      <w:pPr>
        <w:autoSpaceDE w:val="0"/>
        <w:autoSpaceDN w:val="0"/>
        <w:adjustRightInd w:val="0"/>
        <w:spacing w:after="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 2018</w:t>
      </w:r>
      <w:r w:rsidRPr="00A477F3">
        <w:rPr>
          <w:rFonts w:ascii="Times New Roman" w:hAnsi="Times New Roman" w:cs="Times New Roman"/>
          <w:sz w:val="24"/>
          <w:szCs w:val="24"/>
          <w:shd w:val="clear" w:color="auto" w:fill="FFFFFF"/>
        </w:rPr>
        <w:t xml:space="preserve"> r. </w:t>
      </w:r>
      <w:r>
        <w:rPr>
          <w:rFonts w:ascii="Times New Roman" w:hAnsi="Times New Roman" w:cs="Times New Roman"/>
          <w:sz w:val="24"/>
          <w:szCs w:val="24"/>
          <w:shd w:val="clear" w:color="auto" w:fill="FFFFFF"/>
        </w:rPr>
        <w:t>na terenie Polski funkcjonowały łącznie 52 oddziały geriatryczne</w:t>
      </w:r>
      <w:r w:rsidR="00401E44">
        <w:rPr>
          <w:rFonts w:ascii="Times New Roman" w:hAnsi="Times New Roman" w:cs="Times New Roman"/>
          <w:sz w:val="24"/>
          <w:szCs w:val="24"/>
          <w:shd w:val="clear" w:color="auto" w:fill="FFFFFF"/>
        </w:rPr>
        <w:t xml:space="preserve"> (najwięcej w woj. śląskim – 15, najmniej w woj. lubuskim, woj. podlaskim, woj. pomorskim, woj. wielkopolskim oraz woj. zachodniopomorskim – zaledwie po 1 oddziale)</w:t>
      </w:r>
      <w:r>
        <w:rPr>
          <w:rFonts w:ascii="Times New Roman" w:hAnsi="Times New Roman" w:cs="Times New Roman"/>
          <w:sz w:val="24"/>
          <w:szCs w:val="24"/>
          <w:shd w:val="clear" w:color="auto" w:fill="FFFFFF"/>
        </w:rPr>
        <w:t xml:space="preserve">, które dysponowały 1 143 </w:t>
      </w:r>
      <w:r w:rsidR="00401E44">
        <w:rPr>
          <w:rFonts w:ascii="Times New Roman" w:hAnsi="Times New Roman" w:cs="Times New Roman"/>
          <w:sz w:val="24"/>
          <w:szCs w:val="24"/>
          <w:shd w:val="clear" w:color="auto" w:fill="FFFFFF"/>
        </w:rPr>
        <w:t>łózkami.</w:t>
      </w:r>
    </w:p>
    <w:p w14:paraId="738C0CF2" w14:textId="77777777" w:rsidR="00077BF7" w:rsidRDefault="00077BF7" w:rsidP="003C1988">
      <w:pPr>
        <w:spacing w:after="0"/>
      </w:pPr>
    </w:p>
    <w:p w14:paraId="5ED982F8" w14:textId="4395850F" w:rsidR="001818BF" w:rsidRPr="001818BF" w:rsidRDefault="001818BF" w:rsidP="001818BF">
      <w:pPr>
        <w:pStyle w:val="Legenda"/>
        <w:keepNext/>
        <w:rPr>
          <w:rFonts w:ascii="Times New Roman" w:hAnsi="Times New Roman" w:cs="Times New Roman"/>
          <w:b/>
          <w:i w:val="0"/>
          <w:sz w:val="24"/>
        </w:rPr>
      </w:pPr>
      <w:bookmarkStart w:id="43" w:name="_Toc49171407"/>
      <w:r w:rsidRPr="001818BF">
        <w:rPr>
          <w:rFonts w:ascii="Times New Roman" w:hAnsi="Times New Roman" w:cs="Times New Roman"/>
          <w:b/>
          <w:i w:val="0"/>
          <w:sz w:val="24"/>
        </w:rPr>
        <w:t xml:space="preserve">Tabela </w:t>
      </w:r>
      <w:r w:rsidRPr="001818BF">
        <w:rPr>
          <w:rFonts w:ascii="Times New Roman" w:hAnsi="Times New Roman" w:cs="Times New Roman"/>
          <w:b/>
          <w:i w:val="0"/>
          <w:sz w:val="24"/>
        </w:rPr>
        <w:fldChar w:fldCharType="begin"/>
      </w:r>
      <w:r w:rsidRPr="001818BF">
        <w:rPr>
          <w:rFonts w:ascii="Times New Roman" w:hAnsi="Times New Roman" w:cs="Times New Roman"/>
          <w:b/>
          <w:i w:val="0"/>
          <w:sz w:val="24"/>
        </w:rPr>
        <w:instrText xml:space="preserve"> SEQ Tabela \* ARABIC </w:instrText>
      </w:r>
      <w:r w:rsidRPr="001818BF">
        <w:rPr>
          <w:rFonts w:ascii="Times New Roman" w:hAnsi="Times New Roman" w:cs="Times New Roman"/>
          <w:b/>
          <w:i w:val="0"/>
          <w:sz w:val="24"/>
        </w:rPr>
        <w:fldChar w:fldCharType="separate"/>
      </w:r>
      <w:r w:rsidR="00C154C9">
        <w:rPr>
          <w:rFonts w:ascii="Times New Roman" w:hAnsi="Times New Roman" w:cs="Times New Roman"/>
          <w:b/>
          <w:i w:val="0"/>
          <w:noProof/>
          <w:sz w:val="24"/>
        </w:rPr>
        <w:t>32</w:t>
      </w:r>
      <w:r w:rsidRPr="001818BF">
        <w:rPr>
          <w:rFonts w:ascii="Times New Roman" w:hAnsi="Times New Roman" w:cs="Times New Roman"/>
          <w:b/>
          <w:i w:val="0"/>
          <w:sz w:val="24"/>
        </w:rPr>
        <w:fldChar w:fldCharType="end"/>
      </w:r>
      <w:r w:rsidRPr="001818BF">
        <w:rPr>
          <w:rFonts w:ascii="Times New Roman" w:hAnsi="Times New Roman" w:cs="Times New Roman"/>
          <w:b/>
          <w:i w:val="0"/>
          <w:sz w:val="24"/>
        </w:rPr>
        <w:t xml:space="preserve"> Kuracjusze lecznictwa uzdrowiskowego leczeni w </w:t>
      </w:r>
      <w:r>
        <w:rPr>
          <w:rFonts w:ascii="Times New Roman" w:hAnsi="Times New Roman" w:cs="Times New Roman"/>
          <w:b/>
          <w:i w:val="0"/>
          <w:sz w:val="24"/>
        </w:rPr>
        <w:t>t</w:t>
      </w:r>
      <w:r w:rsidRPr="001818BF">
        <w:rPr>
          <w:rFonts w:ascii="Times New Roman" w:hAnsi="Times New Roman" w:cs="Times New Roman"/>
          <w:b/>
          <w:i w:val="0"/>
          <w:sz w:val="24"/>
        </w:rPr>
        <w:t>rybie stacjonarnym</w:t>
      </w:r>
      <w:bookmarkEnd w:id="43"/>
    </w:p>
    <w:tbl>
      <w:tblPr>
        <w:tblW w:w="8900"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4880"/>
        <w:gridCol w:w="1340"/>
        <w:gridCol w:w="1340"/>
        <w:gridCol w:w="1340"/>
      </w:tblGrid>
      <w:tr w:rsidR="00077BF7" w:rsidRPr="00342041" w14:paraId="765D7721" w14:textId="77777777" w:rsidTr="009D1BB2">
        <w:trPr>
          <w:trHeight w:val="300"/>
          <w:jc w:val="center"/>
        </w:trPr>
        <w:tc>
          <w:tcPr>
            <w:tcW w:w="4880" w:type="dxa"/>
            <w:vMerge w:val="restart"/>
            <w:shd w:val="clear" w:color="auto" w:fill="9CC2E5" w:themeFill="accent1" w:themeFillTint="99"/>
            <w:vAlign w:val="center"/>
            <w:hideMark/>
          </w:tcPr>
          <w:p w14:paraId="59824307" w14:textId="77777777" w:rsidR="00077BF7" w:rsidRPr="00342041" w:rsidRDefault="00077BF7" w:rsidP="009D1BB2">
            <w:pPr>
              <w:spacing w:after="0" w:line="240" w:lineRule="auto"/>
              <w:jc w:val="center"/>
              <w:rPr>
                <w:rFonts w:ascii="Times New Roman" w:eastAsia="Times New Roman" w:hAnsi="Times New Roman" w:cs="Times New Roman"/>
                <w:b/>
                <w:color w:val="000000"/>
                <w:sz w:val="20"/>
                <w:szCs w:val="20"/>
                <w:lang w:eastAsia="pl-PL"/>
              </w:rPr>
            </w:pPr>
            <w:r w:rsidRPr="00342041">
              <w:rPr>
                <w:rFonts w:ascii="Times New Roman" w:eastAsia="Times New Roman" w:hAnsi="Times New Roman" w:cs="Times New Roman"/>
                <w:b/>
                <w:color w:val="000000"/>
                <w:sz w:val="20"/>
                <w:szCs w:val="20"/>
                <w:lang w:eastAsia="pl-PL"/>
              </w:rPr>
              <w:t>Wyszczególnienie</w:t>
            </w:r>
          </w:p>
        </w:tc>
        <w:tc>
          <w:tcPr>
            <w:tcW w:w="1340" w:type="dxa"/>
            <w:vMerge w:val="restart"/>
            <w:shd w:val="clear" w:color="auto" w:fill="9CC2E5" w:themeFill="accent1" w:themeFillTint="99"/>
            <w:noWrap/>
            <w:vAlign w:val="center"/>
            <w:hideMark/>
          </w:tcPr>
          <w:p w14:paraId="755242B3"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2680" w:type="dxa"/>
            <w:gridSpan w:val="2"/>
            <w:shd w:val="clear" w:color="auto" w:fill="9CC2E5" w:themeFill="accent1" w:themeFillTint="99"/>
            <w:vAlign w:val="center"/>
            <w:hideMark/>
          </w:tcPr>
          <w:p w14:paraId="6FD5C117"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Z ogółem w wieku</w:t>
            </w:r>
          </w:p>
        </w:tc>
      </w:tr>
      <w:tr w:rsidR="00077BF7" w:rsidRPr="00342041" w14:paraId="4F933E5B" w14:textId="77777777" w:rsidTr="009D1BB2">
        <w:trPr>
          <w:trHeight w:val="300"/>
          <w:jc w:val="center"/>
        </w:trPr>
        <w:tc>
          <w:tcPr>
            <w:tcW w:w="4880" w:type="dxa"/>
            <w:vMerge/>
            <w:shd w:val="clear" w:color="auto" w:fill="9CC2E5" w:themeFill="accent1" w:themeFillTint="99"/>
            <w:vAlign w:val="center"/>
            <w:hideMark/>
          </w:tcPr>
          <w:p w14:paraId="7AB01CDA" w14:textId="77777777" w:rsidR="00077BF7" w:rsidRPr="00342041" w:rsidRDefault="00077BF7" w:rsidP="009D1BB2">
            <w:pPr>
              <w:spacing w:after="0" w:line="240" w:lineRule="auto"/>
              <w:jc w:val="center"/>
              <w:rPr>
                <w:rFonts w:ascii="Times New Roman" w:eastAsia="Times New Roman" w:hAnsi="Times New Roman" w:cs="Times New Roman"/>
                <w:b/>
                <w:color w:val="000000"/>
                <w:sz w:val="20"/>
                <w:szCs w:val="20"/>
                <w:lang w:eastAsia="pl-PL"/>
              </w:rPr>
            </w:pPr>
          </w:p>
        </w:tc>
        <w:tc>
          <w:tcPr>
            <w:tcW w:w="1340" w:type="dxa"/>
            <w:vMerge/>
            <w:shd w:val="clear" w:color="auto" w:fill="9CC2E5" w:themeFill="accent1" w:themeFillTint="99"/>
            <w:vAlign w:val="center"/>
            <w:hideMark/>
          </w:tcPr>
          <w:p w14:paraId="514FDEBD"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p>
        </w:tc>
        <w:tc>
          <w:tcPr>
            <w:tcW w:w="1340" w:type="dxa"/>
            <w:shd w:val="clear" w:color="auto" w:fill="9CC2E5" w:themeFill="accent1" w:themeFillTint="99"/>
            <w:vAlign w:val="center"/>
            <w:hideMark/>
          </w:tcPr>
          <w:p w14:paraId="0020E922"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65 lat i więcej</w:t>
            </w:r>
          </w:p>
        </w:tc>
        <w:tc>
          <w:tcPr>
            <w:tcW w:w="1340" w:type="dxa"/>
            <w:shd w:val="clear" w:color="auto" w:fill="9CC2E5" w:themeFill="accent1" w:themeFillTint="99"/>
            <w:noWrap/>
            <w:vAlign w:val="center"/>
            <w:hideMark/>
          </w:tcPr>
          <w:p w14:paraId="099C631E"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0-64 lata</w:t>
            </w:r>
          </w:p>
        </w:tc>
      </w:tr>
      <w:tr w:rsidR="00077BF7" w:rsidRPr="00342041" w14:paraId="70A5BE88" w14:textId="77777777" w:rsidTr="009D1BB2">
        <w:trPr>
          <w:trHeight w:val="300"/>
          <w:jc w:val="center"/>
        </w:trPr>
        <w:tc>
          <w:tcPr>
            <w:tcW w:w="4880" w:type="dxa"/>
            <w:shd w:val="clear" w:color="auto" w:fill="9CC2E5" w:themeFill="accent1" w:themeFillTint="99"/>
            <w:vAlign w:val="center"/>
            <w:hideMark/>
          </w:tcPr>
          <w:p w14:paraId="5ECC03B6" w14:textId="77777777" w:rsidR="00077BF7" w:rsidRPr="00342041" w:rsidRDefault="00077BF7" w:rsidP="009D1BB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Kuracjusze</w:t>
            </w:r>
          </w:p>
        </w:tc>
        <w:tc>
          <w:tcPr>
            <w:tcW w:w="1340" w:type="dxa"/>
            <w:shd w:val="clear" w:color="auto" w:fill="auto"/>
            <w:noWrap/>
            <w:vAlign w:val="center"/>
            <w:hideMark/>
          </w:tcPr>
          <w:p w14:paraId="53B745CB"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808 278</w:t>
            </w:r>
          </w:p>
        </w:tc>
        <w:tc>
          <w:tcPr>
            <w:tcW w:w="1340" w:type="dxa"/>
            <w:shd w:val="clear" w:color="auto" w:fill="auto"/>
            <w:noWrap/>
            <w:vAlign w:val="center"/>
            <w:hideMark/>
          </w:tcPr>
          <w:p w14:paraId="38FD4D12"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381 848</w:t>
            </w:r>
          </w:p>
        </w:tc>
        <w:tc>
          <w:tcPr>
            <w:tcW w:w="1340" w:type="dxa"/>
            <w:shd w:val="clear" w:color="auto" w:fill="auto"/>
            <w:noWrap/>
            <w:vAlign w:val="center"/>
            <w:hideMark/>
          </w:tcPr>
          <w:p w14:paraId="68827A96"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426 430</w:t>
            </w:r>
          </w:p>
        </w:tc>
      </w:tr>
      <w:tr w:rsidR="009D1BB2" w:rsidRPr="00342041" w14:paraId="4BF618AE" w14:textId="77777777" w:rsidTr="009D1BB2">
        <w:trPr>
          <w:trHeight w:val="300"/>
          <w:jc w:val="center"/>
        </w:trPr>
        <w:tc>
          <w:tcPr>
            <w:tcW w:w="4880" w:type="dxa"/>
            <w:shd w:val="clear" w:color="auto" w:fill="9CC2E5" w:themeFill="accent1" w:themeFillTint="99"/>
            <w:noWrap/>
            <w:vAlign w:val="center"/>
            <w:hideMark/>
          </w:tcPr>
          <w:p w14:paraId="218B52C8" w14:textId="77777777" w:rsidR="009D1BB2" w:rsidRPr="00342041" w:rsidRDefault="009D1BB2" w:rsidP="009D1BB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Struktura wieku kuracjuszy w %</w:t>
            </w:r>
          </w:p>
        </w:tc>
        <w:tc>
          <w:tcPr>
            <w:tcW w:w="1340" w:type="dxa"/>
            <w:shd w:val="clear" w:color="auto" w:fill="auto"/>
            <w:noWrap/>
            <w:vAlign w:val="center"/>
            <w:hideMark/>
          </w:tcPr>
          <w:p w14:paraId="78F3815E" w14:textId="77777777" w:rsidR="009D1BB2" w:rsidRPr="00342041" w:rsidRDefault="009D1BB2"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100</w:t>
            </w:r>
          </w:p>
        </w:tc>
        <w:tc>
          <w:tcPr>
            <w:tcW w:w="1340" w:type="dxa"/>
            <w:shd w:val="clear" w:color="auto" w:fill="auto"/>
            <w:noWrap/>
            <w:vAlign w:val="center"/>
            <w:hideMark/>
          </w:tcPr>
          <w:p w14:paraId="30B6F4A0" w14:textId="77777777" w:rsidR="009D1BB2" w:rsidRPr="00342041" w:rsidRDefault="009D1BB2"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47,2</w:t>
            </w:r>
          </w:p>
        </w:tc>
        <w:tc>
          <w:tcPr>
            <w:tcW w:w="1340" w:type="dxa"/>
            <w:shd w:val="clear" w:color="auto" w:fill="auto"/>
            <w:noWrap/>
            <w:vAlign w:val="center"/>
            <w:hideMark/>
          </w:tcPr>
          <w:p w14:paraId="75D3732A" w14:textId="77777777" w:rsidR="009D1BB2" w:rsidRPr="00342041" w:rsidRDefault="009D1BB2"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52,8</w:t>
            </w:r>
          </w:p>
        </w:tc>
      </w:tr>
      <w:tr w:rsidR="00077BF7" w:rsidRPr="00342041" w14:paraId="6E59F416" w14:textId="77777777" w:rsidTr="009D1BB2">
        <w:trPr>
          <w:trHeight w:val="300"/>
          <w:jc w:val="center"/>
        </w:trPr>
        <w:tc>
          <w:tcPr>
            <w:tcW w:w="4880" w:type="dxa"/>
            <w:shd w:val="clear" w:color="auto" w:fill="9CC2E5" w:themeFill="accent1" w:themeFillTint="99"/>
            <w:vAlign w:val="center"/>
            <w:hideMark/>
          </w:tcPr>
          <w:p w14:paraId="3B1D9FF5" w14:textId="77777777" w:rsidR="00077BF7" w:rsidRPr="00342041" w:rsidRDefault="00077BF7" w:rsidP="009D1BB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Kuracjusze w % ludności danej grupy wieku</w:t>
            </w:r>
          </w:p>
        </w:tc>
        <w:tc>
          <w:tcPr>
            <w:tcW w:w="1340" w:type="dxa"/>
            <w:shd w:val="clear" w:color="auto" w:fill="auto"/>
            <w:noWrap/>
            <w:vAlign w:val="center"/>
            <w:hideMark/>
          </w:tcPr>
          <w:p w14:paraId="7A8E3E2F"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2,1</w:t>
            </w:r>
          </w:p>
        </w:tc>
        <w:tc>
          <w:tcPr>
            <w:tcW w:w="1340" w:type="dxa"/>
            <w:shd w:val="clear" w:color="auto" w:fill="auto"/>
            <w:noWrap/>
            <w:vAlign w:val="center"/>
            <w:hideMark/>
          </w:tcPr>
          <w:p w14:paraId="3DF49C84"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5,6</w:t>
            </w:r>
          </w:p>
        </w:tc>
        <w:tc>
          <w:tcPr>
            <w:tcW w:w="1340" w:type="dxa"/>
            <w:shd w:val="clear" w:color="auto" w:fill="auto"/>
            <w:noWrap/>
            <w:vAlign w:val="center"/>
            <w:hideMark/>
          </w:tcPr>
          <w:p w14:paraId="6C254F23"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w:t>
            </w:r>
          </w:p>
        </w:tc>
      </w:tr>
    </w:tbl>
    <w:p w14:paraId="0BF5F24C" w14:textId="77777777" w:rsidR="00077BF7" w:rsidRPr="001818BF" w:rsidRDefault="00077BF7" w:rsidP="003C1988">
      <w:pPr>
        <w:spacing w:after="0"/>
        <w:rPr>
          <w:rFonts w:ascii="Times New Roman" w:hAnsi="Times New Roman" w:cs="Times New Roman"/>
          <w:b/>
        </w:rPr>
      </w:pPr>
      <w:r w:rsidRPr="001818BF">
        <w:rPr>
          <w:rFonts w:ascii="Times New Roman" w:hAnsi="Times New Roman" w:cs="Times New Roman"/>
          <w:b/>
        </w:rPr>
        <w:t>Źródło:  Badanie GUS i MSWiA  (formularz ZD-2 i MSW-45)</w:t>
      </w:r>
    </w:p>
    <w:p w14:paraId="755CFC49" w14:textId="77777777" w:rsidR="00E937C5" w:rsidRDefault="00E937C5" w:rsidP="003C1988">
      <w:pPr>
        <w:spacing w:after="0"/>
      </w:pPr>
    </w:p>
    <w:p w14:paraId="0B4782F2" w14:textId="77777777" w:rsidR="000B1611" w:rsidRPr="005E3859" w:rsidRDefault="000B1611" w:rsidP="005E3859">
      <w:pPr>
        <w:spacing w:after="0"/>
        <w:jc w:val="both"/>
        <w:rPr>
          <w:rFonts w:ascii="Times New Roman" w:hAnsi="Times New Roman" w:cs="Times New Roman"/>
          <w:sz w:val="24"/>
        </w:rPr>
      </w:pPr>
      <w:r w:rsidRPr="005E3859">
        <w:rPr>
          <w:rFonts w:ascii="Times New Roman" w:hAnsi="Times New Roman" w:cs="Times New Roman"/>
          <w:sz w:val="24"/>
        </w:rPr>
        <w:t xml:space="preserve">W 2019 r. </w:t>
      </w:r>
      <w:r w:rsidR="005E3859" w:rsidRPr="005E3859">
        <w:rPr>
          <w:rFonts w:ascii="Times New Roman" w:hAnsi="Times New Roman" w:cs="Times New Roman"/>
          <w:sz w:val="24"/>
        </w:rPr>
        <w:t xml:space="preserve">z lecznictwa uzdrowiskowego w trybie stacjonarnym skorzystało ponad 808 tys. osób. Prawie połowę (47,2%) kuracjuszy stanowiły osoby w wieku 65 lat i więcej. </w:t>
      </w:r>
    </w:p>
    <w:p w14:paraId="51772C4B" w14:textId="77777777" w:rsidR="000B1611" w:rsidRDefault="000B1611" w:rsidP="003C1988">
      <w:pPr>
        <w:spacing w:after="0"/>
      </w:pPr>
    </w:p>
    <w:p w14:paraId="63EB23CB" w14:textId="77777777" w:rsidR="004C226B" w:rsidRDefault="004C226B" w:rsidP="003C1988">
      <w:pPr>
        <w:spacing w:after="0"/>
      </w:pPr>
    </w:p>
    <w:p w14:paraId="4EC907D3" w14:textId="77777777" w:rsidR="004C226B" w:rsidRDefault="004C226B" w:rsidP="003C1988">
      <w:pPr>
        <w:spacing w:after="0"/>
      </w:pPr>
    </w:p>
    <w:p w14:paraId="113E04C5" w14:textId="77777777" w:rsidR="004C226B" w:rsidRDefault="004C226B" w:rsidP="003C1988">
      <w:pPr>
        <w:spacing w:after="0"/>
      </w:pPr>
    </w:p>
    <w:p w14:paraId="1349A840" w14:textId="680945F9" w:rsidR="001818BF" w:rsidRPr="001818BF" w:rsidRDefault="001818BF" w:rsidP="001818BF">
      <w:pPr>
        <w:pStyle w:val="Legenda"/>
        <w:keepNext/>
        <w:rPr>
          <w:rFonts w:ascii="Times New Roman" w:hAnsi="Times New Roman" w:cs="Times New Roman"/>
          <w:b/>
          <w:i w:val="0"/>
          <w:sz w:val="24"/>
        </w:rPr>
      </w:pPr>
      <w:bookmarkStart w:id="44" w:name="_Toc49171408"/>
      <w:r w:rsidRPr="001818BF">
        <w:rPr>
          <w:rFonts w:ascii="Times New Roman" w:hAnsi="Times New Roman" w:cs="Times New Roman"/>
          <w:b/>
          <w:i w:val="0"/>
          <w:sz w:val="24"/>
        </w:rPr>
        <w:lastRenderedPageBreak/>
        <w:t xml:space="preserve">Tabela </w:t>
      </w:r>
      <w:r w:rsidRPr="001818BF">
        <w:rPr>
          <w:rFonts w:ascii="Times New Roman" w:hAnsi="Times New Roman" w:cs="Times New Roman"/>
          <w:b/>
          <w:i w:val="0"/>
          <w:sz w:val="24"/>
        </w:rPr>
        <w:fldChar w:fldCharType="begin"/>
      </w:r>
      <w:r w:rsidRPr="001818BF">
        <w:rPr>
          <w:rFonts w:ascii="Times New Roman" w:hAnsi="Times New Roman" w:cs="Times New Roman"/>
          <w:b/>
          <w:i w:val="0"/>
          <w:sz w:val="24"/>
        </w:rPr>
        <w:instrText xml:space="preserve"> SEQ Tabela \* ARABIC </w:instrText>
      </w:r>
      <w:r w:rsidRPr="001818BF">
        <w:rPr>
          <w:rFonts w:ascii="Times New Roman" w:hAnsi="Times New Roman" w:cs="Times New Roman"/>
          <w:b/>
          <w:i w:val="0"/>
          <w:sz w:val="24"/>
        </w:rPr>
        <w:fldChar w:fldCharType="separate"/>
      </w:r>
      <w:r w:rsidR="00C154C9">
        <w:rPr>
          <w:rFonts w:ascii="Times New Roman" w:hAnsi="Times New Roman" w:cs="Times New Roman"/>
          <w:b/>
          <w:i w:val="0"/>
          <w:noProof/>
          <w:sz w:val="24"/>
        </w:rPr>
        <w:t>33</w:t>
      </w:r>
      <w:r w:rsidRPr="001818BF">
        <w:rPr>
          <w:rFonts w:ascii="Times New Roman" w:hAnsi="Times New Roman" w:cs="Times New Roman"/>
          <w:b/>
          <w:i w:val="0"/>
          <w:sz w:val="24"/>
        </w:rPr>
        <w:fldChar w:fldCharType="end"/>
      </w:r>
      <w:r w:rsidRPr="001818BF">
        <w:rPr>
          <w:rFonts w:ascii="Times New Roman" w:hAnsi="Times New Roman" w:cs="Times New Roman"/>
          <w:b/>
          <w:i w:val="0"/>
          <w:sz w:val="24"/>
        </w:rPr>
        <w:t xml:space="preserve"> Ratownictwo medyczne w 2019 r.</w:t>
      </w:r>
      <w:bookmarkEnd w:id="44"/>
    </w:p>
    <w:tbl>
      <w:tblPr>
        <w:tblW w:w="9018"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4038"/>
        <w:gridCol w:w="1660"/>
        <w:gridCol w:w="1660"/>
        <w:gridCol w:w="1660"/>
      </w:tblGrid>
      <w:tr w:rsidR="00077BF7" w:rsidRPr="00342041" w14:paraId="0AC42A11" w14:textId="77777777" w:rsidTr="009D1BB2">
        <w:trPr>
          <w:trHeight w:val="300"/>
          <w:jc w:val="center"/>
        </w:trPr>
        <w:tc>
          <w:tcPr>
            <w:tcW w:w="4038" w:type="dxa"/>
            <w:vMerge w:val="restart"/>
            <w:shd w:val="clear" w:color="auto" w:fill="9CC2E5" w:themeFill="accent1" w:themeFillTint="99"/>
            <w:vAlign w:val="center"/>
            <w:hideMark/>
          </w:tcPr>
          <w:p w14:paraId="0BC858F3"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Wyszczególnienie</w:t>
            </w:r>
          </w:p>
        </w:tc>
        <w:tc>
          <w:tcPr>
            <w:tcW w:w="1660" w:type="dxa"/>
            <w:vMerge w:val="restart"/>
            <w:shd w:val="clear" w:color="auto" w:fill="9CC2E5" w:themeFill="accent1" w:themeFillTint="99"/>
            <w:noWrap/>
            <w:vAlign w:val="center"/>
            <w:hideMark/>
          </w:tcPr>
          <w:p w14:paraId="20091083"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3320" w:type="dxa"/>
            <w:gridSpan w:val="2"/>
            <w:shd w:val="clear" w:color="auto" w:fill="9CC2E5" w:themeFill="accent1" w:themeFillTint="99"/>
            <w:vAlign w:val="center"/>
            <w:hideMark/>
          </w:tcPr>
          <w:p w14:paraId="16CB27D7"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Z ogółem w wieku</w:t>
            </w:r>
          </w:p>
        </w:tc>
      </w:tr>
      <w:tr w:rsidR="00077BF7" w:rsidRPr="00342041" w14:paraId="0B9C3CA0" w14:textId="77777777" w:rsidTr="009D1BB2">
        <w:trPr>
          <w:trHeight w:val="300"/>
          <w:jc w:val="center"/>
        </w:trPr>
        <w:tc>
          <w:tcPr>
            <w:tcW w:w="4038" w:type="dxa"/>
            <w:vMerge/>
            <w:shd w:val="clear" w:color="auto" w:fill="9CC2E5" w:themeFill="accent1" w:themeFillTint="99"/>
            <w:vAlign w:val="center"/>
            <w:hideMark/>
          </w:tcPr>
          <w:p w14:paraId="228E822E"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p>
        </w:tc>
        <w:tc>
          <w:tcPr>
            <w:tcW w:w="1660" w:type="dxa"/>
            <w:vMerge/>
            <w:shd w:val="clear" w:color="auto" w:fill="9CC2E5" w:themeFill="accent1" w:themeFillTint="99"/>
            <w:vAlign w:val="center"/>
            <w:hideMark/>
          </w:tcPr>
          <w:p w14:paraId="5024D46F"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p>
        </w:tc>
        <w:tc>
          <w:tcPr>
            <w:tcW w:w="1660" w:type="dxa"/>
            <w:shd w:val="clear" w:color="auto" w:fill="9CC2E5" w:themeFill="accent1" w:themeFillTint="99"/>
            <w:vAlign w:val="center"/>
            <w:hideMark/>
          </w:tcPr>
          <w:p w14:paraId="2FF6893B"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65 lat i więcej</w:t>
            </w:r>
          </w:p>
        </w:tc>
        <w:tc>
          <w:tcPr>
            <w:tcW w:w="1660" w:type="dxa"/>
            <w:shd w:val="clear" w:color="auto" w:fill="9CC2E5" w:themeFill="accent1" w:themeFillTint="99"/>
            <w:noWrap/>
            <w:vAlign w:val="center"/>
            <w:hideMark/>
          </w:tcPr>
          <w:p w14:paraId="1FFB6D49" w14:textId="77777777" w:rsidR="00077BF7" w:rsidRPr="00342041" w:rsidRDefault="00077BF7"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0-64 lata</w:t>
            </w:r>
          </w:p>
        </w:tc>
      </w:tr>
      <w:tr w:rsidR="00077BF7" w:rsidRPr="00342041" w14:paraId="241E628C" w14:textId="77777777" w:rsidTr="009D1BB2">
        <w:trPr>
          <w:trHeight w:val="600"/>
          <w:jc w:val="center"/>
        </w:trPr>
        <w:tc>
          <w:tcPr>
            <w:tcW w:w="4038" w:type="dxa"/>
            <w:shd w:val="clear" w:color="auto" w:fill="9CC2E5" w:themeFill="accent1" w:themeFillTint="99"/>
            <w:vAlign w:val="center"/>
            <w:hideMark/>
          </w:tcPr>
          <w:p w14:paraId="03CE74F6" w14:textId="77777777" w:rsidR="00077BF7" w:rsidRPr="00342041" w:rsidRDefault="00077BF7" w:rsidP="009D1BB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 xml:space="preserve">Osoby, którym udzielono świadczeń w ramach systemu PRM na miejscu zdarzenia </w:t>
            </w:r>
          </w:p>
        </w:tc>
        <w:tc>
          <w:tcPr>
            <w:tcW w:w="1660" w:type="dxa"/>
            <w:shd w:val="clear" w:color="auto" w:fill="auto"/>
            <w:noWrap/>
            <w:vAlign w:val="center"/>
            <w:hideMark/>
          </w:tcPr>
          <w:p w14:paraId="2269A2A3"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3 120 402</w:t>
            </w:r>
          </w:p>
        </w:tc>
        <w:tc>
          <w:tcPr>
            <w:tcW w:w="1660" w:type="dxa"/>
            <w:shd w:val="clear" w:color="auto" w:fill="auto"/>
            <w:noWrap/>
            <w:vAlign w:val="center"/>
            <w:hideMark/>
          </w:tcPr>
          <w:p w14:paraId="49911391"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1 415 386</w:t>
            </w:r>
          </w:p>
        </w:tc>
        <w:tc>
          <w:tcPr>
            <w:tcW w:w="1660" w:type="dxa"/>
            <w:shd w:val="clear" w:color="auto" w:fill="auto"/>
            <w:noWrap/>
            <w:vAlign w:val="center"/>
            <w:hideMark/>
          </w:tcPr>
          <w:p w14:paraId="5DA87F09"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1 705 016</w:t>
            </w:r>
          </w:p>
        </w:tc>
      </w:tr>
      <w:tr w:rsidR="00077BF7" w:rsidRPr="00342041" w14:paraId="2A059F66" w14:textId="77777777" w:rsidTr="009D1BB2">
        <w:trPr>
          <w:trHeight w:val="720"/>
          <w:jc w:val="center"/>
        </w:trPr>
        <w:tc>
          <w:tcPr>
            <w:tcW w:w="4038" w:type="dxa"/>
            <w:shd w:val="clear" w:color="auto" w:fill="9CC2E5" w:themeFill="accent1" w:themeFillTint="99"/>
            <w:vAlign w:val="center"/>
            <w:hideMark/>
          </w:tcPr>
          <w:p w14:paraId="3CB76C60" w14:textId="77777777" w:rsidR="00077BF7" w:rsidRPr="00342041" w:rsidRDefault="00077BF7" w:rsidP="009D1BB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którym udzielono świadczeń w ramach systemu PRM na miejscu zdarzenia na 1 tys. ludności w danym wieku</w:t>
            </w:r>
          </w:p>
        </w:tc>
        <w:tc>
          <w:tcPr>
            <w:tcW w:w="1660" w:type="dxa"/>
            <w:shd w:val="clear" w:color="auto" w:fill="auto"/>
            <w:noWrap/>
            <w:vAlign w:val="center"/>
            <w:hideMark/>
          </w:tcPr>
          <w:p w14:paraId="63C57EB5"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81,3</w:t>
            </w:r>
          </w:p>
        </w:tc>
        <w:tc>
          <w:tcPr>
            <w:tcW w:w="1660" w:type="dxa"/>
            <w:shd w:val="clear" w:color="auto" w:fill="auto"/>
            <w:noWrap/>
            <w:vAlign w:val="center"/>
            <w:hideMark/>
          </w:tcPr>
          <w:p w14:paraId="2A9ACBCF"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207,1</w:t>
            </w:r>
          </w:p>
        </w:tc>
        <w:tc>
          <w:tcPr>
            <w:tcW w:w="1660" w:type="dxa"/>
            <w:shd w:val="clear" w:color="auto" w:fill="auto"/>
            <w:noWrap/>
            <w:vAlign w:val="center"/>
            <w:hideMark/>
          </w:tcPr>
          <w:p w14:paraId="0F8986D0"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54,0</w:t>
            </w:r>
          </w:p>
        </w:tc>
      </w:tr>
      <w:tr w:rsidR="00077BF7" w:rsidRPr="00342041" w14:paraId="08BCE758" w14:textId="77777777" w:rsidTr="009D1BB2">
        <w:trPr>
          <w:trHeight w:val="600"/>
          <w:jc w:val="center"/>
        </w:trPr>
        <w:tc>
          <w:tcPr>
            <w:tcW w:w="4038" w:type="dxa"/>
            <w:shd w:val="clear" w:color="auto" w:fill="9CC2E5" w:themeFill="accent1" w:themeFillTint="99"/>
            <w:vAlign w:val="center"/>
            <w:hideMark/>
          </w:tcPr>
          <w:p w14:paraId="34C0CA9F" w14:textId="77777777" w:rsidR="00077BF7" w:rsidRPr="00342041" w:rsidRDefault="00077BF7" w:rsidP="009D1BB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 xml:space="preserve">Osoby, którym udzielono świadczeń w izbie przyjęć i SOR w trybie ambulatoryjnym </w:t>
            </w:r>
          </w:p>
        </w:tc>
        <w:tc>
          <w:tcPr>
            <w:tcW w:w="1660" w:type="dxa"/>
            <w:shd w:val="clear" w:color="auto" w:fill="auto"/>
            <w:noWrap/>
            <w:vAlign w:val="center"/>
            <w:hideMark/>
          </w:tcPr>
          <w:p w14:paraId="632A02F0"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4 570 888</w:t>
            </w:r>
          </w:p>
        </w:tc>
        <w:tc>
          <w:tcPr>
            <w:tcW w:w="1660" w:type="dxa"/>
            <w:shd w:val="clear" w:color="auto" w:fill="auto"/>
            <w:noWrap/>
            <w:vAlign w:val="center"/>
            <w:hideMark/>
          </w:tcPr>
          <w:p w14:paraId="5DBF8E79"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1 124 295</w:t>
            </w:r>
          </w:p>
        </w:tc>
        <w:tc>
          <w:tcPr>
            <w:tcW w:w="1660" w:type="dxa"/>
            <w:shd w:val="clear" w:color="auto" w:fill="auto"/>
            <w:noWrap/>
            <w:vAlign w:val="center"/>
            <w:hideMark/>
          </w:tcPr>
          <w:p w14:paraId="18C99745"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3 446 593</w:t>
            </w:r>
          </w:p>
        </w:tc>
      </w:tr>
      <w:tr w:rsidR="00077BF7" w:rsidRPr="00342041" w14:paraId="45DED071" w14:textId="77777777" w:rsidTr="009D1BB2">
        <w:trPr>
          <w:trHeight w:val="765"/>
          <w:jc w:val="center"/>
        </w:trPr>
        <w:tc>
          <w:tcPr>
            <w:tcW w:w="4038" w:type="dxa"/>
            <w:shd w:val="clear" w:color="auto" w:fill="9CC2E5" w:themeFill="accent1" w:themeFillTint="99"/>
            <w:vAlign w:val="center"/>
            <w:hideMark/>
          </w:tcPr>
          <w:p w14:paraId="5203D410" w14:textId="77777777" w:rsidR="00077BF7" w:rsidRPr="00342041" w:rsidRDefault="00077BF7" w:rsidP="009D1BB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którym udzielono świadczeń w izbie przyjęć i SOR w trybie ambulatoryjnym na 1 tys. ludności w danym wieku</w:t>
            </w:r>
          </w:p>
        </w:tc>
        <w:tc>
          <w:tcPr>
            <w:tcW w:w="1660" w:type="dxa"/>
            <w:shd w:val="clear" w:color="auto" w:fill="auto"/>
            <w:noWrap/>
            <w:vAlign w:val="center"/>
            <w:hideMark/>
          </w:tcPr>
          <w:p w14:paraId="77EB5362"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119,1</w:t>
            </w:r>
          </w:p>
        </w:tc>
        <w:tc>
          <w:tcPr>
            <w:tcW w:w="1660" w:type="dxa"/>
            <w:shd w:val="clear" w:color="auto" w:fill="auto"/>
            <w:noWrap/>
            <w:vAlign w:val="center"/>
            <w:hideMark/>
          </w:tcPr>
          <w:p w14:paraId="19EAD42F"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164,5</w:t>
            </w:r>
          </w:p>
        </w:tc>
        <w:tc>
          <w:tcPr>
            <w:tcW w:w="1660" w:type="dxa"/>
            <w:shd w:val="clear" w:color="auto" w:fill="auto"/>
            <w:noWrap/>
            <w:vAlign w:val="center"/>
            <w:hideMark/>
          </w:tcPr>
          <w:p w14:paraId="60DAD308" w14:textId="77777777" w:rsidR="00077BF7" w:rsidRPr="00342041" w:rsidRDefault="00077BF7"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109,2</w:t>
            </w:r>
          </w:p>
        </w:tc>
      </w:tr>
    </w:tbl>
    <w:p w14:paraId="0FEF6688" w14:textId="77777777" w:rsidR="00077BF7" w:rsidRPr="001818BF" w:rsidRDefault="003901A9" w:rsidP="003C1988">
      <w:pPr>
        <w:spacing w:after="0"/>
        <w:rPr>
          <w:rFonts w:ascii="Times New Roman" w:hAnsi="Times New Roman" w:cs="Times New Roman"/>
          <w:b/>
        </w:rPr>
      </w:pPr>
      <w:r w:rsidRPr="001818BF">
        <w:rPr>
          <w:rFonts w:ascii="Times New Roman" w:hAnsi="Times New Roman" w:cs="Times New Roman"/>
          <w:b/>
        </w:rPr>
        <w:t>Źródło: Badanie GUS (formularz ZD-4)</w:t>
      </w:r>
    </w:p>
    <w:p w14:paraId="6E3D1CF6" w14:textId="77777777" w:rsidR="0031049E" w:rsidRDefault="0031049E" w:rsidP="0031049E">
      <w:pPr>
        <w:spacing w:after="0"/>
        <w:jc w:val="both"/>
        <w:rPr>
          <w:rFonts w:ascii="Times New Roman" w:hAnsi="Times New Roman" w:cs="Times New Roman"/>
          <w:sz w:val="24"/>
        </w:rPr>
      </w:pPr>
    </w:p>
    <w:p w14:paraId="398CF3FE" w14:textId="77777777" w:rsidR="005E3859" w:rsidRPr="004C226B" w:rsidRDefault="0031049E" w:rsidP="004C226B">
      <w:pPr>
        <w:spacing w:after="0"/>
        <w:jc w:val="both"/>
        <w:rPr>
          <w:rFonts w:ascii="Times New Roman" w:hAnsi="Times New Roman" w:cs="Times New Roman"/>
          <w:sz w:val="24"/>
        </w:rPr>
      </w:pPr>
      <w:r w:rsidRPr="005E3859">
        <w:rPr>
          <w:rFonts w:ascii="Times New Roman" w:hAnsi="Times New Roman" w:cs="Times New Roman"/>
          <w:sz w:val="24"/>
        </w:rPr>
        <w:t xml:space="preserve">W 2019 r. </w:t>
      </w:r>
      <w:r>
        <w:rPr>
          <w:rFonts w:ascii="Times New Roman" w:hAnsi="Times New Roman" w:cs="Times New Roman"/>
          <w:sz w:val="24"/>
        </w:rPr>
        <w:t>z systemu państwowego ratownictwa medycznego skorzystało 3 120 402</w:t>
      </w:r>
      <w:r w:rsidRPr="005E3859">
        <w:rPr>
          <w:rFonts w:ascii="Times New Roman" w:hAnsi="Times New Roman" w:cs="Times New Roman"/>
          <w:sz w:val="24"/>
        </w:rPr>
        <w:t xml:space="preserve"> osób</w:t>
      </w:r>
      <w:r>
        <w:rPr>
          <w:rFonts w:ascii="Times New Roman" w:hAnsi="Times New Roman" w:cs="Times New Roman"/>
          <w:sz w:val="24"/>
        </w:rPr>
        <w:t xml:space="preserve">, z tego 1 415 386 </w:t>
      </w:r>
      <w:r w:rsidR="00B42387">
        <w:rPr>
          <w:rFonts w:ascii="Times New Roman" w:hAnsi="Times New Roman" w:cs="Times New Roman"/>
          <w:sz w:val="24"/>
        </w:rPr>
        <w:t xml:space="preserve">stanowiły osoby starsze (ponad 45 %). Jednocześnie, 4 570 888 osób skorzystało ze świadczeń w izbie przyjęć i SOR w trybie ambulatoryjnym. Osoby w wieku 65 lat i więcej stanowiły </w:t>
      </w:r>
      <w:r w:rsidR="009126B0">
        <w:rPr>
          <w:rFonts w:ascii="Times New Roman" w:hAnsi="Times New Roman" w:cs="Times New Roman"/>
          <w:sz w:val="24"/>
        </w:rPr>
        <w:t>¼ tej grupy.</w:t>
      </w:r>
    </w:p>
    <w:p w14:paraId="6F791D07" w14:textId="77777777" w:rsidR="00BB0C0C" w:rsidRPr="00A56113" w:rsidRDefault="00891D5D" w:rsidP="00A56113">
      <w:pPr>
        <w:pStyle w:val="Nagwek2"/>
        <w:numPr>
          <w:ilvl w:val="1"/>
          <w:numId w:val="383"/>
        </w:numPr>
        <w:spacing w:before="240" w:after="240"/>
        <w:ind w:left="432"/>
        <w:rPr>
          <w:rFonts w:cs="Times New Roman"/>
          <w:sz w:val="40"/>
        </w:rPr>
      </w:pPr>
      <w:bookmarkStart w:id="45" w:name="_Toc49171332"/>
      <w:r w:rsidRPr="00A56113">
        <w:rPr>
          <w:rFonts w:cs="Times New Roman"/>
          <w:sz w:val="40"/>
        </w:rPr>
        <w:t>Dostępne formy aktywności</w:t>
      </w:r>
      <w:bookmarkEnd w:id="45"/>
      <w:r w:rsidRPr="00A56113">
        <w:rPr>
          <w:rFonts w:cs="Times New Roman"/>
          <w:sz w:val="40"/>
        </w:rPr>
        <w:t xml:space="preserve"> </w:t>
      </w:r>
    </w:p>
    <w:p w14:paraId="145B99DF" w14:textId="77777777" w:rsidR="00EE669A" w:rsidRPr="00EE669A" w:rsidRDefault="009126B0" w:rsidP="00EE669A">
      <w:pPr>
        <w:spacing w:after="0"/>
        <w:jc w:val="both"/>
      </w:pPr>
      <w:r w:rsidRPr="00FA0D22">
        <w:rPr>
          <w:rFonts w:ascii="Times New Roman" w:hAnsi="Times New Roman" w:cs="Times New Roman"/>
          <w:sz w:val="24"/>
          <w:szCs w:val="24"/>
        </w:rPr>
        <w:t>W zwi</w:t>
      </w:r>
      <w:r>
        <w:rPr>
          <w:rFonts w:ascii="Times New Roman" w:hAnsi="Times New Roman" w:cs="Times New Roman"/>
          <w:sz w:val="24"/>
          <w:szCs w:val="24"/>
        </w:rPr>
        <w:t>ązku z dynamicznie zmieniającą się sytuacją demograficzną Polski, a także zmniejszającą się liczbą</w:t>
      </w:r>
      <w:r w:rsidRPr="00FA0D22">
        <w:rPr>
          <w:rFonts w:ascii="Times New Roman" w:hAnsi="Times New Roman" w:cs="Times New Roman"/>
          <w:sz w:val="24"/>
          <w:szCs w:val="24"/>
        </w:rPr>
        <w:t xml:space="preserve"> rodzin wielopokoleniowych i zmianami na rynku pracy (m.in. zwiększającymi migrację młodszych osób za pracą) osamotnienie osób starszych w rodzinie i społeczności lokalnej staje się coraz większym wyzwaniem. Działania ograniczające to osamotnienie mogą być prowadzone w różnego rodzaju projektach spo</w:t>
      </w:r>
      <w:r>
        <w:rPr>
          <w:rFonts w:ascii="Times New Roman" w:hAnsi="Times New Roman" w:cs="Times New Roman"/>
          <w:sz w:val="24"/>
          <w:szCs w:val="24"/>
        </w:rPr>
        <w:t xml:space="preserve">łecznych rozwijających więzi w </w:t>
      </w:r>
      <w:r w:rsidRPr="00FA0D22">
        <w:rPr>
          <w:rFonts w:ascii="Times New Roman" w:hAnsi="Times New Roman" w:cs="Times New Roman"/>
          <w:sz w:val="24"/>
          <w:szCs w:val="24"/>
        </w:rPr>
        <w:t xml:space="preserve">społecznościach i wspólnotach. </w:t>
      </w:r>
      <w:r>
        <w:rPr>
          <w:rFonts w:ascii="Times New Roman" w:hAnsi="Times New Roman" w:cs="Times New Roman"/>
          <w:sz w:val="24"/>
          <w:szCs w:val="24"/>
        </w:rPr>
        <w:t xml:space="preserve">Osoby biorące udział </w:t>
      </w:r>
      <w:r w:rsidRPr="00FA0D22">
        <w:rPr>
          <w:rFonts w:ascii="Times New Roman" w:hAnsi="Times New Roman" w:cs="Times New Roman"/>
          <w:sz w:val="24"/>
          <w:szCs w:val="24"/>
        </w:rPr>
        <w:t>w takich działaniach mogą zdobywać wiedzę, umiejętności i kompetencje społeczne poprzez zajęcia praktyczne.</w:t>
      </w:r>
      <w:r w:rsidR="00EE669A">
        <w:t xml:space="preserve"> </w:t>
      </w:r>
      <w:r w:rsidR="00EE669A" w:rsidRPr="00EE669A">
        <w:rPr>
          <w:rFonts w:ascii="Times New Roman" w:hAnsi="Times New Roman" w:cs="Times New Roman"/>
          <w:sz w:val="24"/>
          <w:szCs w:val="24"/>
        </w:rPr>
        <w:t xml:space="preserve">Osoby starsze </w:t>
      </w:r>
      <w:r w:rsidR="00B95C68">
        <w:rPr>
          <w:rFonts w:ascii="Times New Roman" w:hAnsi="Times New Roman" w:cs="Times New Roman"/>
          <w:sz w:val="24"/>
          <w:szCs w:val="24"/>
        </w:rPr>
        <w:t>m</w:t>
      </w:r>
      <w:r w:rsidR="00EE669A" w:rsidRPr="00EE669A">
        <w:rPr>
          <w:rFonts w:ascii="Times New Roman" w:hAnsi="Times New Roman" w:cs="Times New Roman"/>
          <w:sz w:val="24"/>
          <w:szCs w:val="24"/>
        </w:rPr>
        <w:t xml:space="preserve">ogą </w:t>
      </w:r>
      <w:r w:rsidR="00B95C68">
        <w:rPr>
          <w:rFonts w:ascii="Times New Roman" w:hAnsi="Times New Roman" w:cs="Times New Roman"/>
          <w:sz w:val="24"/>
          <w:szCs w:val="24"/>
        </w:rPr>
        <w:t>też</w:t>
      </w:r>
      <w:r w:rsidR="00EE669A" w:rsidRPr="00EE669A">
        <w:rPr>
          <w:rFonts w:ascii="Times New Roman" w:hAnsi="Times New Roman" w:cs="Times New Roman"/>
          <w:sz w:val="24"/>
          <w:szCs w:val="24"/>
        </w:rPr>
        <w:t xml:space="preserve"> zaangażować </w:t>
      </w:r>
      <w:r w:rsidR="00B95C68">
        <w:rPr>
          <w:rFonts w:ascii="Times New Roman" w:hAnsi="Times New Roman" w:cs="Times New Roman"/>
          <w:sz w:val="24"/>
          <w:szCs w:val="24"/>
        </w:rPr>
        <w:t xml:space="preserve">się </w:t>
      </w:r>
      <w:r w:rsidR="00EE669A" w:rsidRPr="00EE669A">
        <w:rPr>
          <w:rFonts w:ascii="Times New Roman" w:hAnsi="Times New Roman" w:cs="Times New Roman"/>
          <w:sz w:val="24"/>
          <w:szCs w:val="24"/>
        </w:rPr>
        <w:t>w działalność różnych organizacji, grup samopomocowych, czy realizować się w nowych rolach rodzinnych i społecznych. Codzienna aktywność daje energię, stwarza szansę na spotykanie się z innymi ludźmi. Aktywność daje osobom starszym poczucie bycia potrzebnym w społeczności lokalnej, czy poczucie akceptacji. Przede wszystkim pomyślna starość pozwala uniknąć samotności i izolacji społecznej.</w:t>
      </w:r>
    </w:p>
    <w:p w14:paraId="192AAB19" w14:textId="77777777" w:rsidR="009126B0" w:rsidRDefault="009126B0" w:rsidP="003C1988">
      <w:pPr>
        <w:spacing w:after="0"/>
      </w:pPr>
    </w:p>
    <w:p w14:paraId="14F2A292" w14:textId="20CCD7CC" w:rsidR="001818BF" w:rsidRPr="001818BF" w:rsidRDefault="001818BF" w:rsidP="001818BF">
      <w:pPr>
        <w:pStyle w:val="Legenda"/>
        <w:keepNext/>
        <w:rPr>
          <w:rFonts w:ascii="Times New Roman" w:hAnsi="Times New Roman" w:cs="Times New Roman"/>
          <w:b/>
          <w:i w:val="0"/>
          <w:sz w:val="24"/>
        </w:rPr>
      </w:pPr>
      <w:bookmarkStart w:id="46" w:name="_Toc49171409"/>
      <w:r w:rsidRPr="001818BF">
        <w:rPr>
          <w:rFonts w:ascii="Times New Roman" w:hAnsi="Times New Roman" w:cs="Times New Roman"/>
          <w:b/>
          <w:i w:val="0"/>
          <w:sz w:val="24"/>
        </w:rPr>
        <w:t xml:space="preserve">Tabela </w:t>
      </w:r>
      <w:r w:rsidRPr="001818BF">
        <w:rPr>
          <w:rFonts w:ascii="Times New Roman" w:hAnsi="Times New Roman" w:cs="Times New Roman"/>
          <w:b/>
          <w:i w:val="0"/>
          <w:sz w:val="24"/>
        </w:rPr>
        <w:fldChar w:fldCharType="begin"/>
      </w:r>
      <w:r w:rsidRPr="001818BF">
        <w:rPr>
          <w:rFonts w:ascii="Times New Roman" w:hAnsi="Times New Roman" w:cs="Times New Roman"/>
          <w:b/>
          <w:i w:val="0"/>
          <w:sz w:val="24"/>
        </w:rPr>
        <w:instrText xml:space="preserve"> SEQ Tabela \* ARABIC </w:instrText>
      </w:r>
      <w:r w:rsidRPr="001818BF">
        <w:rPr>
          <w:rFonts w:ascii="Times New Roman" w:hAnsi="Times New Roman" w:cs="Times New Roman"/>
          <w:b/>
          <w:i w:val="0"/>
          <w:sz w:val="24"/>
        </w:rPr>
        <w:fldChar w:fldCharType="separate"/>
      </w:r>
      <w:r w:rsidR="00C154C9">
        <w:rPr>
          <w:rFonts w:ascii="Times New Roman" w:hAnsi="Times New Roman" w:cs="Times New Roman"/>
          <w:b/>
          <w:i w:val="0"/>
          <w:noProof/>
          <w:sz w:val="24"/>
        </w:rPr>
        <w:t>34</w:t>
      </w:r>
      <w:r w:rsidRPr="001818BF">
        <w:rPr>
          <w:rFonts w:ascii="Times New Roman" w:hAnsi="Times New Roman" w:cs="Times New Roman"/>
          <w:b/>
          <w:i w:val="0"/>
          <w:sz w:val="24"/>
        </w:rPr>
        <w:fldChar w:fldCharType="end"/>
      </w:r>
      <w:r w:rsidRPr="001818BF">
        <w:rPr>
          <w:rFonts w:ascii="Times New Roman" w:hAnsi="Times New Roman" w:cs="Times New Roman"/>
          <w:b/>
          <w:i w:val="0"/>
          <w:sz w:val="24"/>
        </w:rPr>
        <w:t xml:space="preserve"> Aktywność społeczna i obywatelska w 2018 r.</w:t>
      </w:r>
      <w:bookmarkEnd w:id="46"/>
    </w:p>
    <w:tbl>
      <w:tblPr>
        <w:tblW w:w="8926"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3492"/>
        <w:gridCol w:w="1323"/>
        <w:gridCol w:w="1417"/>
        <w:gridCol w:w="2694"/>
      </w:tblGrid>
      <w:tr w:rsidR="00BB0C0C" w:rsidRPr="00342041" w14:paraId="55B10E27" w14:textId="77777777" w:rsidTr="009D1BB2">
        <w:trPr>
          <w:trHeight w:val="398"/>
          <w:jc w:val="center"/>
        </w:trPr>
        <w:tc>
          <w:tcPr>
            <w:tcW w:w="3492" w:type="dxa"/>
            <w:vMerge w:val="restart"/>
            <w:shd w:val="clear" w:color="auto" w:fill="9CC2E5" w:themeFill="accent1" w:themeFillTint="99"/>
            <w:vAlign w:val="center"/>
            <w:hideMark/>
          </w:tcPr>
          <w:p w14:paraId="3B536F44" w14:textId="77777777" w:rsidR="003901A9" w:rsidRPr="00342041" w:rsidRDefault="003901A9"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Wyszczególnienie</w:t>
            </w:r>
          </w:p>
        </w:tc>
        <w:tc>
          <w:tcPr>
            <w:tcW w:w="1323" w:type="dxa"/>
            <w:shd w:val="clear" w:color="auto" w:fill="9CC2E5" w:themeFill="accent1" w:themeFillTint="99"/>
            <w:noWrap/>
            <w:vAlign w:val="center"/>
            <w:hideMark/>
          </w:tcPr>
          <w:p w14:paraId="0AE04E56" w14:textId="77777777" w:rsidR="003901A9" w:rsidRPr="00342041" w:rsidRDefault="003901A9"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417" w:type="dxa"/>
            <w:shd w:val="clear" w:color="auto" w:fill="9CC2E5" w:themeFill="accent1" w:themeFillTint="99"/>
            <w:noWrap/>
            <w:vAlign w:val="center"/>
            <w:hideMark/>
          </w:tcPr>
          <w:p w14:paraId="5A29E96B" w14:textId="77777777" w:rsidR="003901A9" w:rsidRPr="00342041" w:rsidRDefault="003901A9"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w wieku 16-59</w:t>
            </w:r>
          </w:p>
        </w:tc>
        <w:tc>
          <w:tcPr>
            <w:tcW w:w="2694" w:type="dxa"/>
            <w:shd w:val="clear" w:color="auto" w:fill="9CC2E5" w:themeFill="accent1" w:themeFillTint="99"/>
            <w:noWrap/>
            <w:vAlign w:val="center"/>
            <w:hideMark/>
          </w:tcPr>
          <w:p w14:paraId="14ECA635" w14:textId="77777777" w:rsidR="003901A9" w:rsidRPr="00342041" w:rsidRDefault="003901A9"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Osoby w wieku 60 lat i więcej</w:t>
            </w:r>
          </w:p>
        </w:tc>
      </w:tr>
      <w:tr w:rsidR="003901A9" w:rsidRPr="00342041" w14:paraId="4B7FBB77" w14:textId="77777777" w:rsidTr="009D1BB2">
        <w:trPr>
          <w:trHeight w:val="300"/>
          <w:jc w:val="center"/>
        </w:trPr>
        <w:tc>
          <w:tcPr>
            <w:tcW w:w="3492" w:type="dxa"/>
            <w:vMerge/>
            <w:shd w:val="clear" w:color="auto" w:fill="9CC2E5" w:themeFill="accent1" w:themeFillTint="99"/>
            <w:vAlign w:val="center"/>
            <w:hideMark/>
          </w:tcPr>
          <w:p w14:paraId="0478D247" w14:textId="77777777" w:rsidR="003901A9" w:rsidRPr="00342041" w:rsidRDefault="003901A9" w:rsidP="009D1BB2">
            <w:pPr>
              <w:spacing w:after="0" w:line="240" w:lineRule="auto"/>
              <w:jc w:val="center"/>
              <w:rPr>
                <w:rFonts w:ascii="Times New Roman" w:eastAsia="Times New Roman" w:hAnsi="Times New Roman" w:cs="Times New Roman"/>
                <w:b/>
                <w:sz w:val="20"/>
                <w:szCs w:val="20"/>
                <w:lang w:eastAsia="pl-PL"/>
              </w:rPr>
            </w:pPr>
          </w:p>
        </w:tc>
        <w:tc>
          <w:tcPr>
            <w:tcW w:w="5434" w:type="dxa"/>
            <w:gridSpan w:val="3"/>
            <w:shd w:val="clear" w:color="auto" w:fill="9CC2E5" w:themeFill="accent1" w:themeFillTint="99"/>
            <w:noWrap/>
            <w:vAlign w:val="center"/>
            <w:hideMark/>
          </w:tcPr>
          <w:p w14:paraId="2A2794AF" w14:textId="77777777" w:rsidR="003901A9" w:rsidRPr="00342041" w:rsidRDefault="003901A9" w:rsidP="009D1BB2">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 osób</w:t>
            </w:r>
          </w:p>
        </w:tc>
      </w:tr>
      <w:tr w:rsidR="003901A9" w:rsidRPr="00342041" w14:paraId="7BF4BE08" w14:textId="77777777" w:rsidTr="009D1BB2">
        <w:trPr>
          <w:trHeight w:val="398"/>
          <w:jc w:val="center"/>
        </w:trPr>
        <w:tc>
          <w:tcPr>
            <w:tcW w:w="3492" w:type="dxa"/>
            <w:shd w:val="clear" w:color="auto" w:fill="9CC2E5" w:themeFill="accent1" w:themeFillTint="99"/>
            <w:vAlign w:val="center"/>
            <w:hideMark/>
          </w:tcPr>
          <w:p w14:paraId="7E479F6A" w14:textId="77777777" w:rsidR="003901A9" w:rsidRPr="00342041" w:rsidRDefault="003901A9" w:rsidP="009D1BB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Wskaźnik izolacji społecznej</w:t>
            </w:r>
          </w:p>
        </w:tc>
        <w:tc>
          <w:tcPr>
            <w:tcW w:w="1323" w:type="dxa"/>
            <w:shd w:val="clear" w:color="auto" w:fill="auto"/>
            <w:noWrap/>
            <w:vAlign w:val="center"/>
            <w:hideMark/>
          </w:tcPr>
          <w:p w14:paraId="1CBBA7E3" w14:textId="77777777" w:rsidR="003901A9" w:rsidRPr="00342041" w:rsidRDefault="003901A9"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6,6</w:t>
            </w:r>
          </w:p>
        </w:tc>
        <w:tc>
          <w:tcPr>
            <w:tcW w:w="1417" w:type="dxa"/>
            <w:shd w:val="clear" w:color="auto" w:fill="auto"/>
            <w:noWrap/>
            <w:vAlign w:val="center"/>
            <w:hideMark/>
          </w:tcPr>
          <w:p w14:paraId="66246509" w14:textId="77777777" w:rsidR="003901A9" w:rsidRPr="00342041" w:rsidRDefault="003901A9"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5,8</w:t>
            </w:r>
          </w:p>
        </w:tc>
        <w:tc>
          <w:tcPr>
            <w:tcW w:w="2694" w:type="dxa"/>
            <w:shd w:val="clear" w:color="auto" w:fill="auto"/>
            <w:noWrap/>
            <w:vAlign w:val="center"/>
            <w:hideMark/>
          </w:tcPr>
          <w:p w14:paraId="1D45059B" w14:textId="77777777" w:rsidR="003901A9" w:rsidRPr="00342041" w:rsidRDefault="003901A9"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8,6</w:t>
            </w:r>
          </w:p>
        </w:tc>
      </w:tr>
      <w:tr w:rsidR="003901A9" w:rsidRPr="00342041" w14:paraId="2AF1FDEB" w14:textId="77777777" w:rsidTr="009D1BB2">
        <w:trPr>
          <w:trHeight w:val="398"/>
          <w:jc w:val="center"/>
        </w:trPr>
        <w:tc>
          <w:tcPr>
            <w:tcW w:w="3492" w:type="dxa"/>
            <w:shd w:val="clear" w:color="auto" w:fill="9CC2E5" w:themeFill="accent1" w:themeFillTint="99"/>
            <w:vAlign w:val="center"/>
            <w:hideMark/>
          </w:tcPr>
          <w:p w14:paraId="772B37FB" w14:textId="77777777" w:rsidR="003901A9" w:rsidRPr="00342041" w:rsidRDefault="003901A9" w:rsidP="009D1BB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Satysfakcja ze sposobu spędzania czasu wolnego</w:t>
            </w:r>
          </w:p>
        </w:tc>
        <w:tc>
          <w:tcPr>
            <w:tcW w:w="1323" w:type="dxa"/>
            <w:shd w:val="clear" w:color="auto" w:fill="auto"/>
            <w:noWrap/>
            <w:vAlign w:val="center"/>
            <w:hideMark/>
          </w:tcPr>
          <w:p w14:paraId="500F9AC8" w14:textId="77777777" w:rsidR="003901A9" w:rsidRPr="00342041" w:rsidRDefault="003901A9"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61,5</w:t>
            </w:r>
          </w:p>
        </w:tc>
        <w:tc>
          <w:tcPr>
            <w:tcW w:w="1417" w:type="dxa"/>
            <w:shd w:val="clear" w:color="auto" w:fill="auto"/>
            <w:noWrap/>
            <w:vAlign w:val="center"/>
            <w:hideMark/>
          </w:tcPr>
          <w:p w14:paraId="01B1DB94" w14:textId="77777777" w:rsidR="003901A9" w:rsidRPr="00342041" w:rsidRDefault="003901A9"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60,4</w:t>
            </w:r>
          </w:p>
        </w:tc>
        <w:tc>
          <w:tcPr>
            <w:tcW w:w="2694" w:type="dxa"/>
            <w:shd w:val="clear" w:color="auto" w:fill="auto"/>
            <w:noWrap/>
            <w:vAlign w:val="center"/>
            <w:hideMark/>
          </w:tcPr>
          <w:p w14:paraId="1F4165FA" w14:textId="77777777" w:rsidR="003901A9" w:rsidRPr="00342041" w:rsidRDefault="003901A9"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64,5</w:t>
            </w:r>
          </w:p>
        </w:tc>
      </w:tr>
      <w:tr w:rsidR="003901A9" w:rsidRPr="00342041" w14:paraId="3166CF6C" w14:textId="77777777" w:rsidTr="009D1BB2">
        <w:trPr>
          <w:trHeight w:val="398"/>
          <w:jc w:val="center"/>
        </w:trPr>
        <w:tc>
          <w:tcPr>
            <w:tcW w:w="3492" w:type="dxa"/>
            <w:shd w:val="clear" w:color="auto" w:fill="9CC2E5" w:themeFill="accent1" w:themeFillTint="99"/>
            <w:vAlign w:val="center"/>
            <w:hideMark/>
          </w:tcPr>
          <w:p w14:paraId="20A6DF8A" w14:textId="77777777" w:rsidR="003901A9" w:rsidRPr="00342041" w:rsidRDefault="003901A9" w:rsidP="009D1BB2">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Zaufanie do innych osób</w:t>
            </w:r>
          </w:p>
        </w:tc>
        <w:tc>
          <w:tcPr>
            <w:tcW w:w="1323" w:type="dxa"/>
            <w:shd w:val="clear" w:color="auto" w:fill="auto"/>
            <w:noWrap/>
            <w:vAlign w:val="center"/>
            <w:hideMark/>
          </w:tcPr>
          <w:p w14:paraId="3CDA6954" w14:textId="77777777" w:rsidR="003901A9" w:rsidRPr="00342041" w:rsidRDefault="003901A9"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79,4</w:t>
            </w:r>
          </w:p>
        </w:tc>
        <w:tc>
          <w:tcPr>
            <w:tcW w:w="1417" w:type="dxa"/>
            <w:shd w:val="clear" w:color="auto" w:fill="auto"/>
            <w:noWrap/>
            <w:vAlign w:val="center"/>
            <w:hideMark/>
          </w:tcPr>
          <w:p w14:paraId="22079E33" w14:textId="77777777" w:rsidR="003901A9" w:rsidRPr="00342041" w:rsidRDefault="003901A9"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77,3</w:t>
            </w:r>
          </w:p>
        </w:tc>
        <w:tc>
          <w:tcPr>
            <w:tcW w:w="2694" w:type="dxa"/>
            <w:shd w:val="clear" w:color="auto" w:fill="auto"/>
            <w:noWrap/>
            <w:vAlign w:val="center"/>
            <w:hideMark/>
          </w:tcPr>
          <w:p w14:paraId="194CC679" w14:textId="77777777" w:rsidR="003901A9" w:rsidRPr="00342041" w:rsidRDefault="003901A9" w:rsidP="009D1BB2">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84,9</w:t>
            </w:r>
          </w:p>
        </w:tc>
      </w:tr>
    </w:tbl>
    <w:p w14:paraId="5030364E" w14:textId="77777777" w:rsidR="003901A9" w:rsidRPr="001818BF" w:rsidRDefault="00BB0C0C" w:rsidP="003C1988">
      <w:pPr>
        <w:rPr>
          <w:rFonts w:ascii="Times New Roman" w:hAnsi="Times New Roman" w:cs="Times New Roman"/>
          <w:b/>
        </w:rPr>
      </w:pPr>
      <w:r w:rsidRPr="001818BF">
        <w:rPr>
          <w:rFonts w:ascii="Times New Roman" w:hAnsi="Times New Roman" w:cs="Times New Roman"/>
          <w:b/>
        </w:rPr>
        <w:t>źródło: Badanie spójności społecznej 2018, GUS</w:t>
      </w:r>
    </w:p>
    <w:p w14:paraId="64A02088" w14:textId="77777777" w:rsidR="00BB0C0C" w:rsidRPr="00B10AC8" w:rsidRDefault="00BB0C0C" w:rsidP="00B10AC8">
      <w:pPr>
        <w:spacing w:after="0"/>
        <w:jc w:val="both"/>
        <w:rPr>
          <w:rFonts w:ascii="Times New Roman" w:hAnsi="Times New Roman" w:cs="Times New Roman"/>
          <w:sz w:val="24"/>
          <w:szCs w:val="24"/>
        </w:rPr>
      </w:pPr>
      <w:r w:rsidRPr="00B10AC8">
        <w:rPr>
          <w:rFonts w:ascii="Times New Roman" w:hAnsi="Times New Roman" w:cs="Times New Roman"/>
          <w:b/>
          <w:sz w:val="24"/>
          <w:szCs w:val="24"/>
        </w:rPr>
        <w:lastRenderedPageBreak/>
        <w:t>Wskaźnik izolacji społecznej</w:t>
      </w:r>
      <w:r w:rsidRPr="00B10AC8">
        <w:rPr>
          <w:rFonts w:ascii="Times New Roman" w:hAnsi="Times New Roman" w:cs="Times New Roman"/>
          <w:sz w:val="24"/>
          <w:szCs w:val="24"/>
        </w:rPr>
        <w:t xml:space="preserve"> - odsetek osób w wieku 16 lat lub więcej, u których zaobserwowano niewielką intensywność (lub brak) kontaktów społecznych z osobami spoza gospodarstwa domowego, co potraktowano jako objaw izolacji.</w:t>
      </w:r>
    </w:p>
    <w:p w14:paraId="6E0CE535" w14:textId="77777777" w:rsidR="00BB0C0C" w:rsidRPr="00B10AC8" w:rsidRDefault="00BB0C0C" w:rsidP="00B10AC8">
      <w:pPr>
        <w:spacing w:after="0"/>
        <w:jc w:val="both"/>
        <w:rPr>
          <w:rFonts w:ascii="Times New Roman" w:hAnsi="Times New Roman" w:cs="Times New Roman"/>
          <w:sz w:val="24"/>
          <w:szCs w:val="24"/>
        </w:rPr>
      </w:pPr>
      <w:r w:rsidRPr="00B10AC8">
        <w:rPr>
          <w:rFonts w:ascii="Times New Roman" w:hAnsi="Times New Roman" w:cs="Times New Roman"/>
          <w:b/>
          <w:sz w:val="24"/>
          <w:szCs w:val="24"/>
        </w:rPr>
        <w:t>Satysfakcja ze sposobu spędzania czasu wolnego</w:t>
      </w:r>
      <w:r w:rsidRPr="00B10AC8">
        <w:rPr>
          <w:rFonts w:ascii="Times New Roman" w:hAnsi="Times New Roman" w:cs="Times New Roman"/>
          <w:sz w:val="24"/>
          <w:szCs w:val="24"/>
        </w:rPr>
        <w:t xml:space="preserve"> - odsetek osób (w gospodarstwach domowych) w wieku 16 lat lub więcej deklarujących, że są zadowolone lub bardzo zadowolone ze sposobu spędzania swojego czasu wolnego.</w:t>
      </w:r>
    </w:p>
    <w:p w14:paraId="7FC2205B" w14:textId="77777777" w:rsidR="00BB0C0C" w:rsidRDefault="00BB0C0C" w:rsidP="00B10AC8">
      <w:pPr>
        <w:spacing w:after="0"/>
        <w:jc w:val="both"/>
        <w:rPr>
          <w:rFonts w:ascii="Times New Roman" w:hAnsi="Times New Roman" w:cs="Times New Roman"/>
          <w:sz w:val="24"/>
          <w:szCs w:val="24"/>
        </w:rPr>
      </w:pPr>
      <w:r w:rsidRPr="00B10AC8">
        <w:rPr>
          <w:rFonts w:ascii="Times New Roman" w:hAnsi="Times New Roman" w:cs="Times New Roman"/>
          <w:b/>
          <w:sz w:val="24"/>
          <w:szCs w:val="24"/>
        </w:rPr>
        <w:t>Zaufanie do innych osób</w:t>
      </w:r>
      <w:r w:rsidRPr="00B10AC8">
        <w:rPr>
          <w:rFonts w:ascii="Times New Roman" w:hAnsi="Times New Roman" w:cs="Times New Roman"/>
          <w:sz w:val="24"/>
          <w:szCs w:val="24"/>
        </w:rPr>
        <w:t xml:space="preserve"> - odsetek osób (w gospodarstwach domowych) w wieku 16 lat lub więcej deklarujących, że zdecydowanie mają zaufanie lub raczej mają zaufanie do ludzi ogólnie rzecz biorąc.</w:t>
      </w:r>
    </w:p>
    <w:p w14:paraId="556037DF" w14:textId="77777777" w:rsidR="00B10AC8" w:rsidRDefault="00B10AC8" w:rsidP="00B10AC8">
      <w:pPr>
        <w:spacing w:after="0"/>
        <w:jc w:val="both"/>
        <w:rPr>
          <w:rFonts w:ascii="Times New Roman" w:hAnsi="Times New Roman" w:cs="Times New Roman"/>
          <w:sz w:val="24"/>
          <w:szCs w:val="24"/>
        </w:rPr>
      </w:pPr>
    </w:p>
    <w:p w14:paraId="674C46BE" w14:textId="77777777" w:rsidR="006B44A8" w:rsidRDefault="006B44A8" w:rsidP="006B44A8">
      <w:pPr>
        <w:spacing w:after="0"/>
        <w:jc w:val="both"/>
        <w:rPr>
          <w:rFonts w:ascii="Times New Roman" w:hAnsi="Times New Roman"/>
          <w:sz w:val="24"/>
          <w:szCs w:val="24"/>
        </w:rPr>
      </w:pPr>
      <w:r>
        <w:rPr>
          <w:rFonts w:ascii="Times New Roman" w:hAnsi="Times New Roman"/>
          <w:sz w:val="24"/>
          <w:szCs w:val="24"/>
        </w:rPr>
        <w:t xml:space="preserve">W 2019 r. biblioteki publiczne odnotowały prawie 6 mln czytelników, z czego ponad 15% stanowiły osoby starsze. Największe zainteresowanie wykazali seniorzy z woj. zachodniopomorskiego i łódzkiego, a najmniejsze z woj. </w:t>
      </w:r>
      <w:r w:rsidR="00072C47">
        <w:rPr>
          <w:rFonts w:ascii="Times New Roman" w:hAnsi="Times New Roman"/>
          <w:sz w:val="24"/>
          <w:szCs w:val="24"/>
        </w:rPr>
        <w:t>podkarpackiego i woj. małopolskiego.</w:t>
      </w:r>
    </w:p>
    <w:p w14:paraId="7442D3F7" w14:textId="77777777" w:rsidR="00B95C68" w:rsidRPr="00B10AC8" w:rsidRDefault="00B95C68" w:rsidP="00B10AC8">
      <w:pPr>
        <w:spacing w:after="0"/>
        <w:jc w:val="both"/>
        <w:rPr>
          <w:rFonts w:ascii="Times New Roman" w:hAnsi="Times New Roman" w:cs="Times New Roman"/>
          <w:sz w:val="24"/>
          <w:szCs w:val="24"/>
        </w:rPr>
      </w:pPr>
    </w:p>
    <w:p w14:paraId="42CAAEFB" w14:textId="40F3DFDB" w:rsidR="001818BF" w:rsidRPr="001818BF" w:rsidRDefault="001818BF" w:rsidP="001818BF">
      <w:pPr>
        <w:pStyle w:val="Legenda"/>
        <w:keepNext/>
        <w:rPr>
          <w:rFonts w:ascii="Times New Roman" w:hAnsi="Times New Roman" w:cs="Times New Roman"/>
          <w:b/>
          <w:i w:val="0"/>
          <w:sz w:val="24"/>
        </w:rPr>
      </w:pPr>
      <w:bookmarkStart w:id="47" w:name="_Toc49171410"/>
      <w:r w:rsidRPr="001818BF">
        <w:rPr>
          <w:rFonts w:ascii="Times New Roman" w:hAnsi="Times New Roman" w:cs="Times New Roman"/>
          <w:b/>
          <w:i w:val="0"/>
          <w:sz w:val="24"/>
        </w:rPr>
        <w:t xml:space="preserve">Tabela </w:t>
      </w:r>
      <w:r w:rsidRPr="001818BF">
        <w:rPr>
          <w:rFonts w:ascii="Times New Roman" w:hAnsi="Times New Roman" w:cs="Times New Roman"/>
          <w:b/>
          <w:i w:val="0"/>
          <w:sz w:val="24"/>
        </w:rPr>
        <w:fldChar w:fldCharType="begin"/>
      </w:r>
      <w:r w:rsidRPr="001818BF">
        <w:rPr>
          <w:rFonts w:ascii="Times New Roman" w:hAnsi="Times New Roman" w:cs="Times New Roman"/>
          <w:b/>
          <w:i w:val="0"/>
          <w:sz w:val="24"/>
        </w:rPr>
        <w:instrText xml:space="preserve"> SEQ Tabela \* ARABIC </w:instrText>
      </w:r>
      <w:r w:rsidRPr="001818BF">
        <w:rPr>
          <w:rFonts w:ascii="Times New Roman" w:hAnsi="Times New Roman" w:cs="Times New Roman"/>
          <w:b/>
          <w:i w:val="0"/>
          <w:sz w:val="24"/>
        </w:rPr>
        <w:fldChar w:fldCharType="separate"/>
      </w:r>
      <w:r w:rsidR="00C154C9">
        <w:rPr>
          <w:rFonts w:ascii="Times New Roman" w:hAnsi="Times New Roman" w:cs="Times New Roman"/>
          <w:b/>
          <w:i w:val="0"/>
          <w:noProof/>
          <w:sz w:val="24"/>
        </w:rPr>
        <w:t>35</w:t>
      </w:r>
      <w:r w:rsidRPr="001818BF">
        <w:rPr>
          <w:rFonts w:ascii="Times New Roman" w:hAnsi="Times New Roman" w:cs="Times New Roman"/>
          <w:b/>
          <w:i w:val="0"/>
          <w:sz w:val="24"/>
        </w:rPr>
        <w:fldChar w:fldCharType="end"/>
      </w:r>
      <w:r w:rsidRPr="001818BF">
        <w:rPr>
          <w:rFonts w:ascii="Times New Roman" w:hAnsi="Times New Roman" w:cs="Times New Roman"/>
          <w:b/>
          <w:i w:val="0"/>
          <w:sz w:val="24"/>
        </w:rPr>
        <w:t xml:space="preserve"> Czytelnicy bibliotek publicznych w 2019 r.</w:t>
      </w:r>
      <w:bookmarkEnd w:id="47"/>
    </w:p>
    <w:tbl>
      <w:tblPr>
        <w:tblW w:w="8220"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648"/>
        <w:gridCol w:w="1860"/>
        <w:gridCol w:w="1857"/>
        <w:gridCol w:w="1855"/>
      </w:tblGrid>
      <w:tr w:rsidR="00BB0C0C" w:rsidRPr="00342041" w14:paraId="5929C2F2" w14:textId="77777777" w:rsidTr="00E51AC1">
        <w:trPr>
          <w:trHeight w:val="398"/>
          <w:jc w:val="center"/>
        </w:trPr>
        <w:tc>
          <w:tcPr>
            <w:tcW w:w="2648" w:type="dxa"/>
            <w:vMerge w:val="restart"/>
            <w:shd w:val="clear" w:color="auto" w:fill="9CC2E5" w:themeFill="accent1" w:themeFillTint="99"/>
            <w:noWrap/>
            <w:vAlign w:val="center"/>
            <w:hideMark/>
          </w:tcPr>
          <w:p w14:paraId="74A79D96" w14:textId="77777777" w:rsidR="00BB0C0C" w:rsidRPr="00342041" w:rsidRDefault="00BB0C0C" w:rsidP="00E51AC1">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Województwa</w:t>
            </w:r>
          </w:p>
        </w:tc>
        <w:tc>
          <w:tcPr>
            <w:tcW w:w="1860" w:type="dxa"/>
            <w:vMerge w:val="restart"/>
            <w:shd w:val="clear" w:color="auto" w:fill="9CC2E5" w:themeFill="accent1" w:themeFillTint="99"/>
            <w:noWrap/>
            <w:vAlign w:val="center"/>
            <w:hideMark/>
          </w:tcPr>
          <w:p w14:paraId="5D556B7E" w14:textId="77777777" w:rsidR="00BB0C0C" w:rsidRPr="00342041" w:rsidRDefault="00BB0C0C" w:rsidP="00E51AC1">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3712" w:type="dxa"/>
            <w:gridSpan w:val="2"/>
            <w:shd w:val="clear" w:color="auto" w:fill="9CC2E5" w:themeFill="accent1" w:themeFillTint="99"/>
            <w:vAlign w:val="center"/>
            <w:hideMark/>
          </w:tcPr>
          <w:p w14:paraId="31099F1C" w14:textId="77777777" w:rsidR="00BB0C0C" w:rsidRPr="00342041" w:rsidRDefault="00BB0C0C" w:rsidP="00E51AC1">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 w wieku powyżej 60 lat</w:t>
            </w:r>
          </w:p>
        </w:tc>
      </w:tr>
      <w:tr w:rsidR="00BB0C0C" w:rsidRPr="00342041" w14:paraId="0BD0BB00" w14:textId="77777777" w:rsidTr="00E51AC1">
        <w:trPr>
          <w:trHeight w:val="300"/>
          <w:jc w:val="center"/>
        </w:trPr>
        <w:tc>
          <w:tcPr>
            <w:tcW w:w="2648" w:type="dxa"/>
            <w:vMerge/>
            <w:shd w:val="clear" w:color="auto" w:fill="9CC2E5" w:themeFill="accent1" w:themeFillTint="99"/>
            <w:vAlign w:val="center"/>
            <w:hideMark/>
          </w:tcPr>
          <w:p w14:paraId="3228AC96" w14:textId="77777777" w:rsidR="00BB0C0C" w:rsidRPr="00342041" w:rsidRDefault="00BB0C0C" w:rsidP="00E51AC1">
            <w:pPr>
              <w:spacing w:after="0" w:line="240" w:lineRule="auto"/>
              <w:jc w:val="center"/>
              <w:rPr>
                <w:rFonts w:ascii="Times New Roman" w:eastAsia="Times New Roman" w:hAnsi="Times New Roman" w:cs="Times New Roman"/>
                <w:b/>
                <w:sz w:val="20"/>
                <w:szCs w:val="20"/>
                <w:lang w:eastAsia="pl-PL"/>
              </w:rPr>
            </w:pPr>
          </w:p>
        </w:tc>
        <w:tc>
          <w:tcPr>
            <w:tcW w:w="1860" w:type="dxa"/>
            <w:vMerge/>
            <w:shd w:val="clear" w:color="auto" w:fill="9CC2E5" w:themeFill="accent1" w:themeFillTint="99"/>
            <w:vAlign w:val="center"/>
            <w:hideMark/>
          </w:tcPr>
          <w:p w14:paraId="5D71B4D5" w14:textId="77777777" w:rsidR="00BB0C0C" w:rsidRPr="00342041" w:rsidRDefault="00BB0C0C" w:rsidP="00E51AC1">
            <w:pPr>
              <w:spacing w:after="0" w:line="240" w:lineRule="auto"/>
              <w:jc w:val="center"/>
              <w:rPr>
                <w:rFonts w:ascii="Times New Roman" w:eastAsia="Times New Roman" w:hAnsi="Times New Roman" w:cs="Times New Roman"/>
                <w:b/>
                <w:sz w:val="20"/>
                <w:szCs w:val="20"/>
                <w:lang w:eastAsia="pl-PL"/>
              </w:rPr>
            </w:pPr>
          </w:p>
        </w:tc>
        <w:tc>
          <w:tcPr>
            <w:tcW w:w="1857" w:type="dxa"/>
            <w:shd w:val="clear" w:color="auto" w:fill="9CC2E5" w:themeFill="accent1" w:themeFillTint="99"/>
            <w:noWrap/>
            <w:vAlign w:val="center"/>
            <w:hideMark/>
          </w:tcPr>
          <w:p w14:paraId="6E332E03" w14:textId="77777777" w:rsidR="00BB0C0C" w:rsidRPr="00342041" w:rsidRDefault="00BB0C0C" w:rsidP="00E51AC1">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osobach</w:t>
            </w:r>
          </w:p>
        </w:tc>
        <w:tc>
          <w:tcPr>
            <w:tcW w:w="1855" w:type="dxa"/>
            <w:shd w:val="clear" w:color="auto" w:fill="9CC2E5" w:themeFill="accent1" w:themeFillTint="99"/>
            <w:vAlign w:val="center"/>
            <w:hideMark/>
          </w:tcPr>
          <w:p w14:paraId="3C7912BD" w14:textId="77777777" w:rsidR="00BB0C0C" w:rsidRPr="00342041" w:rsidRDefault="00BB0C0C" w:rsidP="00E51AC1">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w:t>
            </w:r>
          </w:p>
        </w:tc>
      </w:tr>
      <w:tr w:rsidR="00BB0C0C" w:rsidRPr="00342041" w14:paraId="169297E5" w14:textId="77777777" w:rsidTr="00E51AC1">
        <w:trPr>
          <w:trHeight w:val="300"/>
          <w:jc w:val="center"/>
        </w:trPr>
        <w:tc>
          <w:tcPr>
            <w:tcW w:w="2648" w:type="dxa"/>
            <w:shd w:val="clear" w:color="auto" w:fill="9CC2E5" w:themeFill="accent1" w:themeFillTint="99"/>
            <w:noWrap/>
            <w:vAlign w:val="bottom"/>
            <w:hideMark/>
          </w:tcPr>
          <w:p w14:paraId="61A29669" w14:textId="77777777" w:rsidR="00BB0C0C" w:rsidRPr="00342041" w:rsidRDefault="00BB0C0C" w:rsidP="00E51AC1">
            <w:pPr>
              <w:spacing w:after="0" w:line="240" w:lineRule="auto"/>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 xml:space="preserve">POLSKA   </w:t>
            </w:r>
          </w:p>
        </w:tc>
        <w:tc>
          <w:tcPr>
            <w:tcW w:w="1860" w:type="dxa"/>
            <w:shd w:val="clear" w:color="auto" w:fill="auto"/>
            <w:vAlign w:val="center"/>
            <w:hideMark/>
          </w:tcPr>
          <w:p w14:paraId="357128D1" w14:textId="77777777" w:rsidR="00BB0C0C" w:rsidRPr="00342041" w:rsidRDefault="00BB0C0C" w:rsidP="00E51AC1">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5 983 725</w:t>
            </w:r>
          </w:p>
        </w:tc>
        <w:tc>
          <w:tcPr>
            <w:tcW w:w="1857" w:type="dxa"/>
            <w:shd w:val="clear" w:color="auto" w:fill="auto"/>
            <w:vAlign w:val="center"/>
            <w:hideMark/>
          </w:tcPr>
          <w:p w14:paraId="51379844" w14:textId="77777777" w:rsidR="00BB0C0C" w:rsidRPr="00342041" w:rsidRDefault="00BB0C0C" w:rsidP="00E51AC1">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905 131</w:t>
            </w:r>
          </w:p>
        </w:tc>
        <w:tc>
          <w:tcPr>
            <w:tcW w:w="1855" w:type="dxa"/>
            <w:shd w:val="clear" w:color="auto" w:fill="auto"/>
            <w:vAlign w:val="center"/>
            <w:hideMark/>
          </w:tcPr>
          <w:p w14:paraId="5CD94756" w14:textId="77777777" w:rsidR="00BB0C0C" w:rsidRPr="00342041" w:rsidRDefault="00BB0C0C" w:rsidP="00E51AC1">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15,1</w:t>
            </w:r>
          </w:p>
        </w:tc>
      </w:tr>
      <w:tr w:rsidR="00BB0C0C" w:rsidRPr="00342041" w14:paraId="5E8281B4" w14:textId="77777777" w:rsidTr="00E51AC1">
        <w:trPr>
          <w:trHeight w:val="300"/>
          <w:jc w:val="center"/>
        </w:trPr>
        <w:tc>
          <w:tcPr>
            <w:tcW w:w="2648" w:type="dxa"/>
            <w:shd w:val="clear" w:color="auto" w:fill="9CC2E5" w:themeFill="accent1" w:themeFillTint="99"/>
            <w:noWrap/>
            <w:vAlign w:val="bottom"/>
            <w:hideMark/>
          </w:tcPr>
          <w:p w14:paraId="10D9E404"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Dolnośląskie</w:t>
            </w:r>
          </w:p>
        </w:tc>
        <w:tc>
          <w:tcPr>
            <w:tcW w:w="1860" w:type="dxa"/>
            <w:shd w:val="clear" w:color="auto" w:fill="auto"/>
            <w:vAlign w:val="center"/>
            <w:hideMark/>
          </w:tcPr>
          <w:p w14:paraId="120D2D4C"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442 137</w:t>
            </w:r>
          </w:p>
        </w:tc>
        <w:tc>
          <w:tcPr>
            <w:tcW w:w="1857" w:type="dxa"/>
            <w:shd w:val="clear" w:color="auto" w:fill="auto"/>
            <w:vAlign w:val="center"/>
            <w:hideMark/>
          </w:tcPr>
          <w:p w14:paraId="1E8F66CC"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74 474</w:t>
            </w:r>
          </w:p>
        </w:tc>
        <w:tc>
          <w:tcPr>
            <w:tcW w:w="1855" w:type="dxa"/>
            <w:shd w:val="clear" w:color="auto" w:fill="auto"/>
            <w:vAlign w:val="center"/>
            <w:hideMark/>
          </w:tcPr>
          <w:p w14:paraId="7E675DB2"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16,8</w:t>
            </w:r>
          </w:p>
        </w:tc>
      </w:tr>
      <w:tr w:rsidR="00BB0C0C" w:rsidRPr="00342041" w14:paraId="5B543E1D" w14:textId="77777777" w:rsidTr="00E51AC1">
        <w:trPr>
          <w:trHeight w:val="300"/>
          <w:jc w:val="center"/>
        </w:trPr>
        <w:tc>
          <w:tcPr>
            <w:tcW w:w="2648" w:type="dxa"/>
            <w:shd w:val="clear" w:color="auto" w:fill="9CC2E5" w:themeFill="accent1" w:themeFillTint="99"/>
            <w:noWrap/>
            <w:vAlign w:val="bottom"/>
            <w:hideMark/>
          </w:tcPr>
          <w:p w14:paraId="4FB6C2F6"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Kujawsko-pomorskie</w:t>
            </w:r>
          </w:p>
        </w:tc>
        <w:tc>
          <w:tcPr>
            <w:tcW w:w="1860" w:type="dxa"/>
            <w:shd w:val="clear" w:color="auto" w:fill="auto"/>
            <w:vAlign w:val="center"/>
            <w:hideMark/>
          </w:tcPr>
          <w:p w14:paraId="316238C6"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244 554</w:t>
            </w:r>
          </w:p>
        </w:tc>
        <w:tc>
          <w:tcPr>
            <w:tcW w:w="1857" w:type="dxa"/>
            <w:shd w:val="clear" w:color="auto" w:fill="auto"/>
            <w:vAlign w:val="center"/>
            <w:hideMark/>
          </w:tcPr>
          <w:p w14:paraId="2028E2DE"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38 972</w:t>
            </w:r>
          </w:p>
        </w:tc>
        <w:tc>
          <w:tcPr>
            <w:tcW w:w="1855" w:type="dxa"/>
            <w:shd w:val="clear" w:color="auto" w:fill="auto"/>
            <w:vAlign w:val="center"/>
            <w:hideMark/>
          </w:tcPr>
          <w:p w14:paraId="5B941771"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15,9</w:t>
            </w:r>
          </w:p>
        </w:tc>
      </w:tr>
      <w:tr w:rsidR="00BB0C0C" w:rsidRPr="00342041" w14:paraId="79641855" w14:textId="77777777" w:rsidTr="00E51AC1">
        <w:trPr>
          <w:trHeight w:val="300"/>
          <w:jc w:val="center"/>
        </w:trPr>
        <w:tc>
          <w:tcPr>
            <w:tcW w:w="2648" w:type="dxa"/>
            <w:shd w:val="clear" w:color="auto" w:fill="9CC2E5" w:themeFill="accent1" w:themeFillTint="99"/>
            <w:noWrap/>
            <w:vAlign w:val="bottom"/>
            <w:hideMark/>
          </w:tcPr>
          <w:p w14:paraId="49DFC63C"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Lubelskie</w:t>
            </w:r>
          </w:p>
        </w:tc>
        <w:tc>
          <w:tcPr>
            <w:tcW w:w="1860" w:type="dxa"/>
            <w:shd w:val="clear" w:color="auto" w:fill="auto"/>
            <w:vAlign w:val="center"/>
            <w:hideMark/>
          </w:tcPr>
          <w:p w14:paraId="28C4D4A0"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353 615</w:t>
            </w:r>
          </w:p>
        </w:tc>
        <w:tc>
          <w:tcPr>
            <w:tcW w:w="1857" w:type="dxa"/>
            <w:shd w:val="clear" w:color="auto" w:fill="auto"/>
            <w:vAlign w:val="center"/>
            <w:hideMark/>
          </w:tcPr>
          <w:p w14:paraId="221DB606"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47 784</w:t>
            </w:r>
          </w:p>
        </w:tc>
        <w:tc>
          <w:tcPr>
            <w:tcW w:w="1855" w:type="dxa"/>
            <w:shd w:val="clear" w:color="auto" w:fill="auto"/>
            <w:vAlign w:val="center"/>
            <w:hideMark/>
          </w:tcPr>
          <w:p w14:paraId="68DCCAFC"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13,5</w:t>
            </w:r>
          </w:p>
        </w:tc>
      </w:tr>
      <w:tr w:rsidR="00BB0C0C" w:rsidRPr="00342041" w14:paraId="17176FB5" w14:textId="77777777" w:rsidTr="00E51AC1">
        <w:trPr>
          <w:trHeight w:val="300"/>
          <w:jc w:val="center"/>
        </w:trPr>
        <w:tc>
          <w:tcPr>
            <w:tcW w:w="2648" w:type="dxa"/>
            <w:shd w:val="clear" w:color="auto" w:fill="9CC2E5" w:themeFill="accent1" w:themeFillTint="99"/>
            <w:noWrap/>
            <w:vAlign w:val="bottom"/>
            <w:hideMark/>
          </w:tcPr>
          <w:p w14:paraId="10067F93"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Lubuskie</w:t>
            </w:r>
          </w:p>
        </w:tc>
        <w:tc>
          <w:tcPr>
            <w:tcW w:w="1860" w:type="dxa"/>
            <w:shd w:val="clear" w:color="auto" w:fill="auto"/>
            <w:vAlign w:val="center"/>
            <w:hideMark/>
          </w:tcPr>
          <w:p w14:paraId="6458E645"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137 290</w:t>
            </w:r>
          </w:p>
        </w:tc>
        <w:tc>
          <w:tcPr>
            <w:tcW w:w="1857" w:type="dxa"/>
            <w:shd w:val="clear" w:color="auto" w:fill="auto"/>
            <w:vAlign w:val="center"/>
            <w:hideMark/>
          </w:tcPr>
          <w:p w14:paraId="4186C3ED"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20 859</w:t>
            </w:r>
          </w:p>
        </w:tc>
        <w:tc>
          <w:tcPr>
            <w:tcW w:w="1855" w:type="dxa"/>
            <w:shd w:val="clear" w:color="auto" w:fill="auto"/>
            <w:vAlign w:val="center"/>
            <w:hideMark/>
          </w:tcPr>
          <w:p w14:paraId="6A173349"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15,2</w:t>
            </w:r>
          </w:p>
        </w:tc>
      </w:tr>
      <w:tr w:rsidR="00BB0C0C" w:rsidRPr="00342041" w14:paraId="6C8E8410" w14:textId="77777777" w:rsidTr="00E51AC1">
        <w:trPr>
          <w:trHeight w:val="300"/>
          <w:jc w:val="center"/>
        </w:trPr>
        <w:tc>
          <w:tcPr>
            <w:tcW w:w="2648" w:type="dxa"/>
            <w:shd w:val="clear" w:color="auto" w:fill="9CC2E5" w:themeFill="accent1" w:themeFillTint="99"/>
            <w:noWrap/>
            <w:vAlign w:val="bottom"/>
            <w:hideMark/>
          </w:tcPr>
          <w:p w14:paraId="792533B7"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Łódzkie</w:t>
            </w:r>
          </w:p>
        </w:tc>
        <w:tc>
          <w:tcPr>
            <w:tcW w:w="1860" w:type="dxa"/>
            <w:shd w:val="clear" w:color="auto" w:fill="auto"/>
            <w:vAlign w:val="center"/>
            <w:hideMark/>
          </w:tcPr>
          <w:p w14:paraId="233DDFD4"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365 986</w:t>
            </w:r>
          </w:p>
        </w:tc>
        <w:tc>
          <w:tcPr>
            <w:tcW w:w="1857" w:type="dxa"/>
            <w:shd w:val="clear" w:color="auto" w:fill="auto"/>
            <w:vAlign w:val="center"/>
            <w:hideMark/>
          </w:tcPr>
          <w:p w14:paraId="17C094AC"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64 818</w:t>
            </w:r>
          </w:p>
        </w:tc>
        <w:tc>
          <w:tcPr>
            <w:tcW w:w="1855" w:type="dxa"/>
            <w:shd w:val="clear" w:color="auto" w:fill="auto"/>
            <w:vAlign w:val="center"/>
            <w:hideMark/>
          </w:tcPr>
          <w:p w14:paraId="521436FE"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17,7</w:t>
            </w:r>
          </w:p>
        </w:tc>
      </w:tr>
      <w:tr w:rsidR="00BB0C0C" w:rsidRPr="00342041" w14:paraId="246926E8" w14:textId="77777777" w:rsidTr="00E51AC1">
        <w:trPr>
          <w:trHeight w:val="300"/>
          <w:jc w:val="center"/>
        </w:trPr>
        <w:tc>
          <w:tcPr>
            <w:tcW w:w="2648" w:type="dxa"/>
            <w:shd w:val="clear" w:color="auto" w:fill="9CC2E5" w:themeFill="accent1" w:themeFillTint="99"/>
            <w:noWrap/>
            <w:vAlign w:val="bottom"/>
            <w:hideMark/>
          </w:tcPr>
          <w:p w14:paraId="326D5931"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Małopolskie</w:t>
            </w:r>
          </w:p>
        </w:tc>
        <w:tc>
          <w:tcPr>
            <w:tcW w:w="1860" w:type="dxa"/>
            <w:shd w:val="clear" w:color="auto" w:fill="auto"/>
            <w:vAlign w:val="center"/>
            <w:hideMark/>
          </w:tcPr>
          <w:p w14:paraId="28037E8D"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663 512</w:t>
            </w:r>
          </w:p>
        </w:tc>
        <w:tc>
          <w:tcPr>
            <w:tcW w:w="1857" w:type="dxa"/>
            <w:shd w:val="clear" w:color="auto" w:fill="auto"/>
            <w:vAlign w:val="center"/>
            <w:hideMark/>
          </w:tcPr>
          <w:p w14:paraId="291AA138"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82 270</w:t>
            </w:r>
          </w:p>
        </w:tc>
        <w:tc>
          <w:tcPr>
            <w:tcW w:w="1855" w:type="dxa"/>
            <w:shd w:val="clear" w:color="auto" w:fill="auto"/>
            <w:vAlign w:val="center"/>
            <w:hideMark/>
          </w:tcPr>
          <w:p w14:paraId="7DA7AB72"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12,4</w:t>
            </w:r>
          </w:p>
        </w:tc>
      </w:tr>
      <w:tr w:rsidR="00BB0C0C" w:rsidRPr="00342041" w14:paraId="523CB32E" w14:textId="77777777" w:rsidTr="00E51AC1">
        <w:trPr>
          <w:trHeight w:val="300"/>
          <w:jc w:val="center"/>
        </w:trPr>
        <w:tc>
          <w:tcPr>
            <w:tcW w:w="2648" w:type="dxa"/>
            <w:shd w:val="clear" w:color="auto" w:fill="9CC2E5" w:themeFill="accent1" w:themeFillTint="99"/>
            <w:noWrap/>
            <w:vAlign w:val="bottom"/>
            <w:hideMark/>
          </w:tcPr>
          <w:p w14:paraId="71065ABC"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Mazowieckie</w:t>
            </w:r>
          </w:p>
        </w:tc>
        <w:tc>
          <w:tcPr>
            <w:tcW w:w="1860" w:type="dxa"/>
            <w:shd w:val="clear" w:color="auto" w:fill="auto"/>
            <w:vAlign w:val="center"/>
            <w:hideMark/>
          </w:tcPr>
          <w:p w14:paraId="1BD3D0F1"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944 529</w:t>
            </w:r>
          </w:p>
        </w:tc>
        <w:tc>
          <w:tcPr>
            <w:tcW w:w="1857" w:type="dxa"/>
            <w:shd w:val="clear" w:color="auto" w:fill="auto"/>
            <w:vAlign w:val="center"/>
            <w:hideMark/>
          </w:tcPr>
          <w:p w14:paraId="28035DBB"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145 488</w:t>
            </w:r>
          </w:p>
        </w:tc>
        <w:tc>
          <w:tcPr>
            <w:tcW w:w="1855" w:type="dxa"/>
            <w:shd w:val="clear" w:color="auto" w:fill="auto"/>
            <w:vAlign w:val="center"/>
            <w:hideMark/>
          </w:tcPr>
          <w:p w14:paraId="242FA0E8"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15,4</w:t>
            </w:r>
          </w:p>
        </w:tc>
      </w:tr>
      <w:tr w:rsidR="00BB0C0C" w:rsidRPr="00342041" w14:paraId="573CFD41" w14:textId="77777777" w:rsidTr="00E51AC1">
        <w:trPr>
          <w:trHeight w:val="300"/>
          <w:jc w:val="center"/>
        </w:trPr>
        <w:tc>
          <w:tcPr>
            <w:tcW w:w="2648" w:type="dxa"/>
            <w:shd w:val="clear" w:color="auto" w:fill="9CC2E5" w:themeFill="accent1" w:themeFillTint="99"/>
            <w:noWrap/>
            <w:vAlign w:val="bottom"/>
            <w:hideMark/>
          </w:tcPr>
          <w:p w14:paraId="7DB2CFD0"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Opolskie</w:t>
            </w:r>
          </w:p>
        </w:tc>
        <w:tc>
          <w:tcPr>
            <w:tcW w:w="1860" w:type="dxa"/>
            <w:shd w:val="clear" w:color="auto" w:fill="auto"/>
            <w:vAlign w:val="center"/>
            <w:hideMark/>
          </w:tcPr>
          <w:p w14:paraId="4FDB522D"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153 434</w:t>
            </w:r>
          </w:p>
        </w:tc>
        <w:tc>
          <w:tcPr>
            <w:tcW w:w="1857" w:type="dxa"/>
            <w:shd w:val="clear" w:color="auto" w:fill="auto"/>
            <w:vAlign w:val="center"/>
            <w:hideMark/>
          </w:tcPr>
          <w:p w14:paraId="2BEC6CAE"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22 212</w:t>
            </w:r>
          </w:p>
        </w:tc>
        <w:tc>
          <w:tcPr>
            <w:tcW w:w="1855" w:type="dxa"/>
            <w:shd w:val="clear" w:color="auto" w:fill="auto"/>
            <w:vAlign w:val="center"/>
            <w:hideMark/>
          </w:tcPr>
          <w:p w14:paraId="28120B01"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14,5</w:t>
            </w:r>
          </w:p>
        </w:tc>
      </w:tr>
      <w:tr w:rsidR="00BB0C0C" w:rsidRPr="00342041" w14:paraId="3B339C94" w14:textId="77777777" w:rsidTr="00E51AC1">
        <w:trPr>
          <w:trHeight w:val="300"/>
          <w:jc w:val="center"/>
        </w:trPr>
        <w:tc>
          <w:tcPr>
            <w:tcW w:w="2648" w:type="dxa"/>
            <w:shd w:val="clear" w:color="auto" w:fill="9CC2E5" w:themeFill="accent1" w:themeFillTint="99"/>
            <w:noWrap/>
            <w:vAlign w:val="bottom"/>
            <w:hideMark/>
          </w:tcPr>
          <w:p w14:paraId="59CC82EC"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Podkarpackie</w:t>
            </w:r>
          </w:p>
        </w:tc>
        <w:tc>
          <w:tcPr>
            <w:tcW w:w="1860" w:type="dxa"/>
            <w:shd w:val="clear" w:color="auto" w:fill="auto"/>
            <w:vAlign w:val="center"/>
            <w:hideMark/>
          </w:tcPr>
          <w:p w14:paraId="15C78F8C"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317 929</w:t>
            </w:r>
          </w:p>
        </w:tc>
        <w:tc>
          <w:tcPr>
            <w:tcW w:w="1857" w:type="dxa"/>
            <w:shd w:val="clear" w:color="auto" w:fill="auto"/>
            <w:vAlign w:val="center"/>
            <w:hideMark/>
          </w:tcPr>
          <w:p w14:paraId="23DAB259"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37 589</w:t>
            </w:r>
          </w:p>
        </w:tc>
        <w:tc>
          <w:tcPr>
            <w:tcW w:w="1855" w:type="dxa"/>
            <w:shd w:val="clear" w:color="auto" w:fill="auto"/>
            <w:vAlign w:val="center"/>
            <w:hideMark/>
          </w:tcPr>
          <w:p w14:paraId="17F8B48F"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11,8</w:t>
            </w:r>
          </w:p>
        </w:tc>
      </w:tr>
      <w:tr w:rsidR="00BB0C0C" w:rsidRPr="00342041" w14:paraId="428F4901" w14:textId="77777777" w:rsidTr="00E51AC1">
        <w:trPr>
          <w:trHeight w:val="300"/>
          <w:jc w:val="center"/>
        </w:trPr>
        <w:tc>
          <w:tcPr>
            <w:tcW w:w="2648" w:type="dxa"/>
            <w:shd w:val="clear" w:color="auto" w:fill="9CC2E5" w:themeFill="accent1" w:themeFillTint="99"/>
            <w:noWrap/>
            <w:vAlign w:val="bottom"/>
            <w:hideMark/>
          </w:tcPr>
          <w:p w14:paraId="460AB04F"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Podlaskie</w:t>
            </w:r>
          </w:p>
        </w:tc>
        <w:tc>
          <w:tcPr>
            <w:tcW w:w="1860" w:type="dxa"/>
            <w:shd w:val="clear" w:color="auto" w:fill="auto"/>
            <w:vAlign w:val="center"/>
            <w:hideMark/>
          </w:tcPr>
          <w:p w14:paraId="231A98AC"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140 893</w:t>
            </w:r>
          </w:p>
        </w:tc>
        <w:tc>
          <w:tcPr>
            <w:tcW w:w="1857" w:type="dxa"/>
            <w:shd w:val="clear" w:color="auto" w:fill="auto"/>
            <w:vAlign w:val="center"/>
            <w:hideMark/>
          </w:tcPr>
          <w:p w14:paraId="4E5FCD62"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18 741</w:t>
            </w:r>
          </w:p>
        </w:tc>
        <w:tc>
          <w:tcPr>
            <w:tcW w:w="1855" w:type="dxa"/>
            <w:shd w:val="clear" w:color="auto" w:fill="auto"/>
            <w:vAlign w:val="center"/>
            <w:hideMark/>
          </w:tcPr>
          <w:p w14:paraId="4C570CB5"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13,3</w:t>
            </w:r>
          </w:p>
        </w:tc>
      </w:tr>
      <w:tr w:rsidR="00BB0C0C" w:rsidRPr="00342041" w14:paraId="011DEA72" w14:textId="77777777" w:rsidTr="00E51AC1">
        <w:trPr>
          <w:trHeight w:val="300"/>
          <w:jc w:val="center"/>
        </w:trPr>
        <w:tc>
          <w:tcPr>
            <w:tcW w:w="2648" w:type="dxa"/>
            <w:shd w:val="clear" w:color="auto" w:fill="9CC2E5" w:themeFill="accent1" w:themeFillTint="99"/>
            <w:noWrap/>
            <w:vAlign w:val="bottom"/>
            <w:hideMark/>
          </w:tcPr>
          <w:p w14:paraId="0DF08F9F"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Pomorskie</w:t>
            </w:r>
          </w:p>
        </w:tc>
        <w:tc>
          <w:tcPr>
            <w:tcW w:w="1860" w:type="dxa"/>
            <w:shd w:val="clear" w:color="auto" w:fill="auto"/>
            <w:vAlign w:val="center"/>
            <w:hideMark/>
          </w:tcPr>
          <w:p w14:paraId="60C27B96"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382 450</w:t>
            </w:r>
          </w:p>
        </w:tc>
        <w:tc>
          <w:tcPr>
            <w:tcW w:w="1857" w:type="dxa"/>
            <w:shd w:val="clear" w:color="auto" w:fill="auto"/>
            <w:vAlign w:val="center"/>
            <w:hideMark/>
          </w:tcPr>
          <w:p w14:paraId="200C0582"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61 878</w:t>
            </w:r>
          </w:p>
        </w:tc>
        <w:tc>
          <w:tcPr>
            <w:tcW w:w="1855" w:type="dxa"/>
            <w:shd w:val="clear" w:color="auto" w:fill="auto"/>
            <w:vAlign w:val="center"/>
            <w:hideMark/>
          </w:tcPr>
          <w:p w14:paraId="083C01CE"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16,2</w:t>
            </w:r>
          </w:p>
        </w:tc>
      </w:tr>
      <w:tr w:rsidR="00BB0C0C" w:rsidRPr="00342041" w14:paraId="4E98D82E" w14:textId="77777777" w:rsidTr="00E51AC1">
        <w:trPr>
          <w:trHeight w:val="300"/>
          <w:jc w:val="center"/>
        </w:trPr>
        <w:tc>
          <w:tcPr>
            <w:tcW w:w="2648" w:type="dxa"/>
            <w:shd w:val="clear" w:color="auto" w:fill="9CC2E5" w:themeFill="accent1" w:themeFillTint="99"/>
            <w:noWrap/>
            <w:vAlign w:val="bottom"/>
            <w:hideMark/>
          </w:tcPr>
          <w:p w14:paraId="73B7CA23"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Śląskie</w:t>
            </w:r>
          </w:p>
        </w:tc>
        <w:tc>
          <w:tcPr>
            <w:tcW w:w="1860" w:type="dxa"/>
            <w:shd w:val="clear" w:color="auto" w:fill="auto"/>
            <w:vAlign w:val="center"/>
            <w:hideMark/>
          </w:tcPr>
          <w:p w14:paraId="6CD29FCB"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758 196</w:t>
            </w:r>
          </w:p>
        </w:tc>
        <w:tc>
          <w:tcPr>
            <w:tcW w:w="1857" w:type="dxa"/>
            <w:shd w:val="clear" w:color="auto" w:fill="auto"/>
            <w:vAlign w:val="center"/>
            <w:hideMark/>
          </w:tcPr>
          <w:p w14:paraId="67491685"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126 674</w:t>
            </w:r>
          </w:p>
        </w:tc>
        <w:tc>
          <w:tcPr>
            <w:tcW w:w="1855" w:type="dxa"/>
            <w:shd w:val="clear" w:color="auto" w:fill="auto"/>
            <w:vAlign w:val="center"/>
            <w:hideMark/>
          </w:tcPr>
          <w:p w14:paraId="79F1DC2E"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16,7</w:t>
            </w:r>
          </w:p>
        </w:tc>
      </w:tr>
      <w:tr w:rsidR="00BB0C0C" w:rsidRPr="00342041" w14:paraId="320C8F90" w14:textId="77777777" w:rsidTr="00E51AC1">
        <w:trPr>
          <w:trHeight w:val="300"/>
          <w:jc w:val="center"/>
        </w:trPr>
        <w:tc>
          <w:tcPr>
            <w:tcW w:w="2648" w:type="dxa"/>
            <w:shd w:val="clear" w:color="auto" w:fill="9CC2E5" w:themeFill="accent1" w:themeFillTint="99"/>
            <w:noWrap/>
            <w:vAlign w:val="bottom"/>
            <w:hideMark/>
          </w:tcPr>
          <w:p w14:paraId="58AA4622"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Świętokrzyskie</w:t>
            </w:r>
          </w:p>
        </w:tc>
        <w:tc>
          <w:tcPr>
            <w:tcW w:w="1860" w:type="dxa"/>
            <w:shd w:val="clear" w:color="auto" w:fill="auto"/>
            <w:vAlign w:val="center"/>
            <w:hideMark/>
          </w:tcPr>
          <w:p w14:paraId="175175FF"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154 791</w:t>
            </w:r>
          </w:p>
        </w:tc>
        <w:tc>
          <w:tcPr>
            <w:tcW w:w="1857" w:type="dxa"/>
            <w:shd w:val="clear" w:color="auto" w:fill="auto"/>
            <w:vAlign w:val="center"/>
            <w:hideMark/>
          </w:tcPr>
          <w:p w14:paraId="2B2883D7"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22 139</w:t>
            </w:r>
          </w:p>
        </w:tc>
        <w:tc>
          <w:tcPr>
            <w:tcW w:w="1855" w:type="dxa"/>
            <w:shd w:val="clear" w:color="auto" w:fill="auto"/>
            <w:vAlign w:val="center"/>
            <w:hideMark/>
          </w:tcPr>
          <w:p w14:paraId="4C569E87"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14,3</w:t>
            </w:r>
          </w:p>
        </w:tc>
      </w:tr>
      <w:tr w:rsidR="00BB0C0C" w:rsidRPr="00342041" w14:paraId="5303D27C" w14:textId="77777777" w:rsidTr="00E51AC1">
        <w:trPr>
          <w:trHeight w:val="300"/>
          <w:jc w:val="center"/>
        </w:trPr>
        <w:tc>
          <w:tcPr>
            <w:tcW w:w="2648" w:type="dxa"/>
            <w:shd w:val="clear" w:color="auto" w:fill="9CC2E5" w:themeFill="accent1" w:themeFillTint="99"/>
            <w:noWrap/>
            <w:vAlign w:val="bottom"/>
            <w:hideMark/>
          </w:tcPr>
          <w:p w14:paraId="26EC5E15"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Warmińsko-mazurskie</w:t>
            </w:r>
          </w:p>
        </w:tc>
        <w:tc>
          <w:tcPr>
            <w:tcW w:w="1860" w:type="dxa"/>
            <w:shd w:val="clear" w:color="auto" w:fill="auto"/>
            <w:vAlign w:val="center"/>
            <w:hideMark/>
          </w:tcPr>
          <w:p w14:paraId="54E20C24"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195 417</w:t>
            </w:r>
          </w:p>
        </w:tc>
        <w:tc>
          <w:tcPr>
            <w:tcW w:w="1857" w:type="dxa"/>
            <w:shd w:val="clear" w:color="auto" w:fill="auto"/>
            <w:vAlign w:val="center"/>
            <w:hideMark/>
          </w:tcPr>
          <w:p w14:paraId="7EF8A9F9"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30 293</w:t>
            </w:r>
          </w:p>
        </w:tc>
        <w:tc>
          <w:tcPr>
            <w:tcW w:w="1855" w:type="dxa"/>
            <w:shd w:val="clear" w:color="auto" w:fill="auto"/>
            <w:vAlign w:val="center"/>
            <w:hideMark/>
          </w:tcPr>
          <w:p w14:paraId="249DC10D"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15,5</w:t>
            </w:r>
          </w:p>
        </w:tc>
      </w:tr>
      <w:tr w:rsidR="00BB0C0C" w:rsidRPr="00342041" w14:paraId="4C587022" w14:textId="77777777" w:rsidTr="00E51AC1">
        <w:trPr>
          <w:trHeight w:val="300"/>
          <w:jc w:val="center"/>
        </w:trPr>
        <w:tc>
          <w:tcPr>
            <w:tcW w:w="2648" w:type="dxa"/>
            <w:shd w:val="clear" w:color="auto" w:fill="9CC2E5" w:themeFill="accent1" w:themeFillTint="99"/>
            <w:noWrap/>
            <w:vAlign w:val="bottom"/>
            <w:hideMark/>
          </w:tcPr>
          <w:p w14:paraId="54AEB2D1"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Wielkopolskie</w:t>
            </w:r>
          </w:p>
        </w:tc>
        <w:tc>
          <w:tcPr>
            <w:tcW w:w="1860" w:type="dxa"/>
            <w:shd w:val="clear" w:color="auto" w:fill="auto"/>
            <w:vAlign w:val="center"/>
            <w:hideMark/>
          </w:tcPr>
          <w:p w14:paraId="4D0ED89D"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508 433</w:t>
            </w:r>
          </w:p>
        </w:tc>
        <w:tc>
          <w:tcPr>
            <w:tcW w:w="1857" w:type="dxa"/>
            <w:shd w:val="clear" w:color="auto" w:fill="auto"/>
            <w:vAlign w:val="center"/>
            <w:hideMark/>
          </w:tcPr>
          <w:p w14:paraId="4D98CCF6"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70 939</w:t>
            </w:r>
          </w:p>
        </w:tc>
        <w:tc>
          <w:tcPr>
            <w:tcW w:w="1855" w:type="dxa"/>
            <w:shd w:val="clear" w:color="auto" w:fill="auto"/>
            <w:vAlign w:val="center"/>
            <w:hideMark/>
          </w:tcPr>
          <w:p w14:paraId="79FBCF9B"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14,0</w:t>
            </w:r>
          </w:p>
        </w:tc>
      </w:tr>
      <w:tr w:rsidR="00BB0C0C" w:rsidRPr="00342041" w14:paraId="7D793386" w14:textId="77777777" w:rsidTr="00E51AC1">
        <w:trPr>
          <w:trHeight w:val="300"/>
          <w:jc w:val="center"/>
        </w:trPr>
        <w:tc>
          <w:tcPr>
            <w:tcW w:w="2648" w:type="dxa"/>
            <w:shd w:val="clear" w:color="auto" w:fill="9CC2E5" w:themeFill="accent1" w:themeFillTint="99"/>
            <w:noWrap/>
            <w:vAlign w:val="bottom"/>
            <w:hideMark/>
          </w:tcPr>
          <w:p w14:paraId="77D2A7E2" w14:textId="77777777" w:rsidR="00BB0C0C" w:rsidRPr="00342041" w:rsidRDefault="00BB0C0C" w:rsidP="00E51AC1">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Zachodniopomorskie</w:t>
            </w:r>
          </w:p>
        </w:tc>
        <w:tc>
          <w:tcPr>
            <w:tcW w:w="1860" w:type="dxa"/>
            <w:shd w:val="clear" w:color="auto" w:fill="auto"/>
            <w:vAlign w:val="center"/>
            <w:hideMark/>
          </w:tcPr>
          <w:p w14:paraId="677F79A4"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220 559</w:t>
            </w:r>
          </w:p>
        </w:tc>
        <w:tc>
          <w:tcPr>
            <w:tcW w:w="1857" w:type="dxa"/>
            <w:shd w:val="clear" w:color="auto" w:fill="auto"/>
            <w:vAlign w:val="center"/>
            <w:hideMark/>
          </w:tcPr>
          <w:p w14:paraId="206A8230"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40 001</w:t>
            </w:r>
          </w:p>
        </w:tc>
        <w:tc>
          <w:tcPr>
            <w:tcW w:w="1855" w:type="dxa"/>
            <w:shd w:val="clear" w:color="auto" w:fill="auto"/>
            <w:vAlign w:val="center"/>
            <w:hideMark/>
          </w:tcPr>
          <w:p w14:paraId="31113DB6" w14:textId="77777777" w:rsidR="00BB0C0C" w:rsidRPr="00342041" w:rsidRDefault="00BB0C0C" w:rsidP="00E51AC1">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18,1</w:t>
            </w:r>
          </w:p>
        </w:tc>
      </w:tr>
    </w:tbl>
    <w:p w14:paraId="2DBA95AA" w14:textId="77777777" w:rsidR="001A279B" w:rsidRPr="006B44A8" w:rsidRDefault="00BB0C0C" w:rsidP="006B44A8">
      <w:pPr>
        <w:rPr>
          <w:rFonts w:ascii="Times New Roman" w:hAnsi="Times New Roman" w:cs="Times New Roman"/>
          <w:b/>
        </w:rPr>
      </w:pPr>
      <w:r w:rsidRPr="001818BF">
        <w:rPr>
          <w:rFonts w:ascii="Times New Roman" w:hAnsi="Times New Roman" w:cs="Times New Roman"/>
          <w:b/>
        </w:rPr>
        <w:t>Źródło:  Badanie GUS (sprawozdanie K-03)</w:t>
      </w:r>
    </w:p>
    <w:p w14:paraId="6A0C6981" w14:textId="77777777" w:rsidR="00D33544" w:rsidRPr="001144E2" w:rsidRDefault="001144E2" w:rsidP="001144E2">
      <w:pPr>
        <w:spacing w:after="0"/>
        <w:jc w:val="both"/>
      </w:pPr>
      <w:r w:rsidRPr="001144E2">
        <w:rPr>
          <w:rFonts w:ascii="Times New Roman" w:hAnsi="Times New Roman"/>
          <w:sz w:val="24"/>
          <w:szCs w:val="24"/>
        </w:rPr>
        <w:t>Z</w:t>
      </w:r>
      <w:r w:rsidR="00D33544" w:rsidRPr="001144E2">
        <w:rPr>
          <w:rFonts w:ascii="Times New Roman" w:hAnsi="Times New Roman"/>
          <w:sz w:val="24"/>
          <w:szCs w:val="24"/>
        </w:rPr>
        <w:t xml:space="preserve"> analizy porównawcze</w:t>
      </w:r>
      <w:r w:rsidR="001A279B">
        <w:rPr>
          <w:rFonts w:ascii="Times New Roman" w:hAnsi="Times New Roman"/>
          <w:sz w:val="24"/>
          <w:szCs w:val="24"/>
        </w:rPr>
        <w:t>j</w:t>
      </w:r>
      <w:r w:rsidR="00D33544" w:rsidRPr="001144E2">
        <w:rPr>
          <w:rFonts w:ascii="Times New Roman" w:hAnsi="Times New Roman"/>
          <w:sz w:val="24"/>
          <w:szCs w:val="24"/>
        </w:rPr>
        <w:t xml:space="preserve"> sondaży Biblioteki Narodowej</w:t>
      </w:r>
      <w:r w:rsidR="00D33544" w:rsidRPr="001144E2">
        <w:rPr>
          <w:rStyle w:val="Odwoanieprzypisudolnego"/>
          <w:rFonts w:ascii="Times New Roman" w:hAnsi="Times New Roman"/>
          <w:sz w:val="24"/>
          <w:szCs w:val="24"/>
        </w:rPr>
        <w:footnoteReference w:id="20"/>
      </w:r>
      <w:r w:rsidR="00D33544" w:rsidRPr="001144E2">
        <w:rPr>
          <w:rFonts w:ascii="Times New Roman" w:hAnsi="Times New Roman"/>
          <w:sz w:val="24"/>
          <w:szCs w:val="24"/>
        </w:rPr>
        <w:t xml:space="preserve"> w zakresie czytelnic</w:t>
      </w:r>
      <w:r>
        <w:rPr>
          <w:rFonts w:ascii="Times New Roman" w:hAnsi="Times New Roman"/>
          <w:sz w:val="24"/>
          <w:szCs w:val="24"/>
        </w:rPr>
        <w:t xml:space="preserve">twa </w:t>
      </w:r>
      <w:r w:rsidR="001A279B">
        <w:rPr>
          <w:rFonts w:ascii="Times New Roman" w:hAnsi="Times New Roman"/>
          <w:sz w:val="24"/>
          <w:szCs w:val="24"/>
        </w:rPr>
        <w:t>wynika, że</w:t>
      </w:r>
      <w:r>
        <w:rPr>
          <w:rFonts w:ascii="Times New Roman" w:hAnsi="Times New Roman"/>
          <w:sz w:val="24"/>
          <w:szCs w:val="24"/>
        </w:rPr>
        <w:t xml:space="preserve"> </w:t>
      </w:r>
      <w:r w:rsidR="00D33544" w:rsidRPr="001144E2">
        <w:rPr>
          <w:rFonts w:ascii="Times New Roman" w:hAnsi="Times New Roman"/>
          <w:sz w:val="24"/>
          <w:szCs w:val="24"/>
        </w:rPr>
        <w:t>wśród najstarszych Polaków wciąż odnotowujemy najmniejszy odsetek czytelników</w:t>
      </w:r>
      <w:r w:rsidR="001A279B">
        <w:rPr>
          <w:rFonts w:ascii="Times New Roman" w:hAnsi="Times New Roman"/>
          <w:sz w:val="24"/>
          <w:szCs w:val="24"/>
        </w:rPr>
        <w:t>. T</w:t>
      </w:r>
      <w:r w:rsidR="00D33544" w:rsidRPr="001144E2">
        <w:rPr>
          <w:rFonts w:ascii="Times New Roman" w:hAnsi="Times New Roman"/>
          <w:sz w:val="24"/>
          <w:szCs w:val="24"/>
        </w:rPr>
        <w:t>endencja ta</w:t>
      </w:r>
      <w:r w:rsidR="001A279B">
        <w:rPr>
          <w:rFonts w:ascii="Times New Roman" w:hAnsi="Times New Roman"/>
          <w:sz w:val="24"/>
          <w:szCs w:val="24"/>
        </w:rPr>
        <w:t xml:space="preserve"> jednak</w:t>
      </w:r>
      <w:r w:rsidR="00D33544" w:rsidRPr="001144E2">
        <w:rPr>
          <w:rFonts w:ascii="Times New Roman" w:hAnsi="Times New Roman"/>
          <w:sz w:val="24"/>
          <w:szCs w:val="24"/>
        </w:rPr>
        <w:t xml:space="preserve"> słabnie i stawiane są hipotezy</w:t>
      </w:r>
      <w:r>
        <w:rPr>
          <w:rFonts w:ascii="Times New Roman" w:hAnsi="Times New Roman"/>
          <w:sz w:val="24"/>
          <w:szCs w:val="24"/>
        </w:rPr>
        <w:t>, że</w:t>
      </w:r>
      <w:r w:rsidR="00D33544" w:rsidRPr="001144E2">
        <w:rPr>
          <w:rFonts w:ascii="Times New Roman" w:hAnsi="Times New Roman"/>
          <w:sz w:val="24"/>
          <w:szCs w:val="24"/>
        </w:rPr>
        <w:t xml:space="preserve"> dezaktywizacja zawodowa rzadziej oznacza dla nowego pokolenia seniorów wycofanie z kultury książki</w:t>
      </w:r>
      <w:r w:rsidR="00D33544" w:rsidRPr="001144E2">
        <w:rPr>
          <w:rStyle w:val="Odwoanieprzypisudolnego"/>
          <w:rFonts w:ascii="Times New Roman" w:hAnsi="Times New Roman"/>
          <w:sz w:val="24"/>
          <w:szCs w:val="24"/>
        </w:rPr>
        <w:footnoteReference w:id="21"/>
      </w:r>
      <w:r w:rsidR="00D33544" w:rsidRPr="001144E2">
        <w:rPr>
          <w:rFonts w:ascii="Times New Roman" w:hAnsi="Times New Roman"/>
          <w:sz w:val="24"/>
          <w:szCs w:val="24"/>
        </w:rPr>
        <w:t xml:space="preserve">. Podkreślany jest również fakt, iż wśród </w:t>
      </w:r>
      <w:r w:rsidR="00D33544" w:rsidRPr="001144E2">
        <w:rPr>
          <w:rFonts w:ascii="Times New Roman" w:hAnsi="Times New Roman"/>
          <w:sz w:val="24"/>
          <w:szCs w:val="24"/>
        </w:rPr>
        <w:lastRenderedPageBreak/>
        <w:t>czytelników książek nadal dominowały osoby, które miały w najbliższym otoczeniu innych czytelników.</w:t>
      </w:r>
    </w:p>
    <w:p w14:paraId="79387664" w14:textId="77777777" w:rsidR="009160B2" w:rsidRDefault="009160B2" w:rsidP="003C1988">
      <w:pPr>
        <w:spacing w:after="0" w:line="259" w:lineRule="auto"/>
        <w:rPr>
          <w:rFonts w:ascii="Times New Roman" w:hAnsi="Times New Roman"/>
          <w:b/>
          <w:sz w:val="24"/>
          <w:szCs w:val="24"/>
        </w:rPr>
      </w:pPr>
    </w:p>
    <w:p w14:paraId="0622D630" w14:textId="77777777" w:rsidR="00072C47" w:rsidRDefault="00072C47" w:rsidP="00072C47">
      <w:pPr>
        <w:spacing w:after="0"/>
        <w:jc w:val="both"/>
        <w:rPr>
          <w:rFonts w:ascii="Times New Roman" w:hAnsi="Times New Roman"/>
          <w:color w:val="FF0000"/>
          <w:sz w:val="24"/>
          <w:szCs w:val="24"/>
        </w:rPr>
      </w:pPr>
      <w:r w:rsidRPr="00C550C9">
        <w:rPr>
          <w:rFonts w:ascii="Times New Roman" w:hAnsi="Times New Roman"/>
          <w:sz w:val="24"/>
          <w:szCs w:val="24"/>
        </w:rPr>
        <w:t>Zgodnie z danymi GUS opublikowanymi w 2019 r.</w:t>
      </w:r>
      <w:r w:rsidRPr="00C550C9">
        <w:rPr>
          <w:rStyle w:val="Odwoanieprzypisudolnego"/>
          <w:rFonts w:ascii="Times New Roman" w:hAnsi="Times New Roman"/>
          <w:sz w:val="24"/>
          <w:szCs w:val="24"/>
        </w:rPr>
        <w:footnoteReference w:id="22"/>
      </w:r>
      <w:r w:rsidRPr="00C550C9">
        <w:rPr>
          <w:rFonts w:ascii="Times New Roman" w:hAnsi="Times New Roman"/>
          <w:sz w:val="24"/>
          <w:szCs w:val="24"/>
        </w:rPr>
        <w:t xml:space="preserve">  osoby starsze biorą aktywny udział w formach działalności kulturalnej organizowanych przez centra kultury, domy i ośrodki kultury oraz kluby i świetlice, choć należy zauważyć, że wybierane formy aktywności związane są często z miejscem zamieszkania i dostępną lokalnie ofertą kulturalną (różnice obserwowane są szczególnie między ofertą w miastach i na wsi). Mieszkańcy wsi, będący w wieku 50+ włączają się w inne rodzaje działań kulturalnych i społecznych, niż mieszkańcy miast. Mieszkańcy miast, zwłaszcza większych, częściej angażują się w działalność Uniwersytetów Trzeciego Wieku oraz w wolontariat, natomiast mieszkańcy wsi decydują się m.in. na członkostwo w kołach gospodyń wiejskich oraz w zespołach ludowych</w:t>
      </w:r>
      <w:r w:rsidRPr="00C550C9">
        <w:rPr>
          <w:rStyle w:val="Odwoanieprzypisudolnego"/>
          <w:rFonts w:ascii="Times New Roman" w:hAnsi="Times New Roman"/>
          <w:sz w:val="24"/>
          <w:szCs w:val="24"/>
        </w:rPr>
        <w:footnoteReference w:id="23"/>
      </w:r>
      <w:r w:rsidRPr="00C550C9">
        <w:rPr>
          <w:rFonts w:ascii="Times New Roman" w:hAnsi="Times New Roman"/>
          <w:sz w:val="24"/>
          <w:szCs w:val="24"/>
        </w:rPr>
        <w:t>.</w:t>
      </w:r>
    </w:p>
    <w:p w14:paraId="017FACA8" w14:textId="77777777" w:rsidR="00072C47" w:rsidRPr="00072C47" w:rsidRDefault="00072C47" w:rsidP="00072C47">
      <w:pPr>
        <w:spacing w:after="0"/>
        <w:jc w:val="both"/>
        <w:rPr>
          <w:rFonts w:ascii="Times New Roman" w:hAnsi="Times New Roman"/>
          <w:color w:val="FF0000"/>
          <w:sz w:val="24"/>
          <w:szCs w:val="24"/>
        </w:rPr>
      </w:pPr>
    </w:p>
    <w:p w14:paraId="1A0F6BDF" w14:textId="1EB21AEE" w:rsidR="00072C47" w:rsidRPr="001818BF" w:rsidRDefault="00072C47" w:rsidP="00072C47">
      <w:pPr>
        <w:pStyle w:val="Legenda"/>
        <w:keepNext/>
        <w:jc w:val="both"/>
        <w:rPr>
          <w:rFonts w:ascii="Times New Roman" w:hAnsi="Times New Roman" w:cs="Times New Roman"/>
          <w:b/>
          <w:i w:val="0"/>
          <w:sz w:val="24"/>
        </w:rPr>
      </w:pPr>
      <w:bookmarkStart w:id="48" w:name="_Toc49171411"/>
      <w:r w:rsidRPr="001818BF">
        <w:rPr>
          <w:rFonts w:ascii="Times New Roman" w:hAnsi="Times New Roman" w:cs="Times New Roman"/>
          <w:b/>
          <w:i w:val="0"/>
          <w:sz w:val="24"/>
        </w:rPr>
        <w:t xml:space="preserve">Tabela </w:t>
      </w:r>
      <w:r w:rsidRPr="001818BF">
        <w:rPr>
          <w:rFonts w:ascii="Times New Roman" w:hAnsi="Times New Roman" w:cs="Times New Roman"/>
          <w:b/>
          <w:i w:val="0"/>
          <w:sz w:val="24"/>
        </w:rPr>
        <w:fldChar w:fldCharType="begin"/>
      </w:r>
      <w:r w:rsidRPr="001818BF">
        <w:rPr>
          <w:rFonts w:ascii="Times New Roman" w:hAnsi="Times New Roman" w:cs="Times New Roman"/>
          <w:b/>
          <w:i w:val="0"/>
          <w:sz w:val="24"/>
        </w:rPr>
        <w:instrText xml:space="preserve"> SEQ Tabela \* ARABIC </w:instrText>
      </w:r>
      <w:r w:rsidRPr="001818BF">
        <w:rPr>
          <w:rFonts w:ascii="Times New Roman" w:hAnsi="Times New Roman" w:cs="Times New Roman"/>
          <w:b/>
          <w:i w:val="0"/>
          <w:sz w:val="24"/>
        </w:rPr>
        <w:fldChar w:fldCharType="separate"/>
      </w:r>
      <w:r w:rsidR="00C154C9">
        <w:rPr>
          <w:rFonts w:ascii="Times New Roman" w:hAnsi="Times New Roman" w:cs="Times New Roman"/>
          <w:b/>
          <w:i w:val="0"/>
          <w:noProof/>
          <w:sz w:val="24"/>
        </w:rPr>
        <w:t>36</w:t>
      </w:r>
      <w:r w:rsidRPr="001818BF">
        <w:rPr>
          <w:rFonts w:ascii="Times New Roman" w:hAnsi="Times New Roman" w:cs="Times New Roman"/>
          <w:b/>
          <w:i w:val="0"/>
          <w:sz w:val="24"/>
        </w:rPr>
        <w:fldChar w:fldCharType="end"/>
      </w:r>
      <w:r w:rsidRPr="001818BF">
        <w:rPr>
          <w:rFonts w:ascii="Times New Roman" w:hAnsi="Times New Roman" w:cs="Times New Roman"/>
          <w:b/>
          <w:i w:val="0"/>
          <w:sz w:val="24"/>
        </w:rPr>
        <w:t xml:space="preserve"> Udział osób starszych w formach aktywności kulturalnej organizowanych przez domy, ośrodki i centra kultury, kluby i świetlice w 2019 r.</w:t>
      </w:r>
      <w:bookmarkEnd w:id="48"/>
    </w:p>
    <w:tbl>
      <w:tblPr>
        <w:tblW w:w="9776"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2145"/>
        <w:gridCol w:w="1115"/>
        <w:gridCol w:w="1276"/>
        <w:gridCol w:w="1134"/>
        <w:gridCol w:w="1413"/>
        <w:gridCol w:w="1417"/>
        <w:gridCol w:w="1276"/>
      </w:tblGrid>
      <w:tr w:rsidR="00072C47" w:rsidRPr="00342041" w14:paraId="232757DC" w14:textId="77777777" w:rsidTr="001254CD">
        <w:trPr>
          <w:trHeight w:val="398"/>
          <w:jc w:val="center"/>
        </w:trPr>
        <w:tc>
          <w:tcPr>
            <w:tcW w:w="2145" w:type="dxa"/>
            <w:vMerge w:val="restart"/>
            <w:shd w:val="clear" w:color="auto" w:fill="9CC2E5" w:themeFill="accent1" w:themeFillTint="99"/>
            <w:noWrap/>
            <w:vAlign w:val="center"/>
            <w:hideMark/>
          </w:tcPr>
          <w:p w14:paraId="5CA9FE63"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Wyszczególnienie</w:t>
            </w:r>
          </w:p>
        </w:tc>
        <w:tc>
          <w:tcPr>
            <w:tcW w:w="1115" w:type="dxa"/>
            <w:vMerge w:val="restart"/>
            <w:shd w:val="clear" w:color="auto" w:fill="9CC2E5" w:themeFill="accent1" w:themeFillTint="99"/>
            <w:vAlign w:val="center"/>
            <w:hideMark/>
          </w:tcPr>
          <w:p w14:paraId="00910009"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276" w:type="dxa"/>
            <w:vMerge w:val="restart"/>
            <w:shd w:val="clear" w:color="auto" w:fill="9CC2E5" w:themeFill="accent1" w:themeFillTint="99"/>
            <w:vAlign w:val="center"/>
            <w:hideMark/>
          </w:tcPr>
          <w:p w14:paraId="55BB0FD1"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1134" w:type="dxa"/>
            <w:vMerge w:val="restart"/>
            <w:shd w:val="clear" w:color="auto" w:fill="9CC2E5" w:themeFill="accent1" w:themeFillTint="99"/>
            <w:vAlign w:val="center"/>
            <w:hideMark/>
          </w:tcPr>
          <w:p w14:paraId="045AA7C3"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c>
          <w:tcPr>
            <w:tcW w:w="4106" w:type="dxa"/>
            <w:gridSpan w:val="3"/>
            <w:shd w:val="clear" w:color="auto" w:fill="9CC2E5" w:themeFill="accent1" w:themeFillTint="99"/>
            <w:vAlign w:val="center"/>
            <w:hideMark/>
          </w:tcPr>
          <w:p w14:paraId="24E292D2"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Z  ogółem osoby w wieku 60 lat i więcej</w:t>
            </w:r>
          </w:p>
        </w:tc>
      </w:tr>
      <w:tr w:rsidR="00072C47" w:rsidRPr="00342041" w14:paraId="595162B3" w14:textId="77777777" w:rsidTr="001254CD">
        <w:trPr>
          <w:trHeight w:val="398"/>
          <w:jc w:val="center"/>
        </w:trPr>
        <w:tc>
          <w:tcPr>
            <w:tcW w:w="2145" w:type="dxa"/>
            <w:vMerge/>
            <w:shd w:val="clear" w:color="auto" w:fill="9CC2E5" w:themeFill="accent1" w:themeFillTint="99"/>
            <w:vAlign w:val="center"/>
            <w:hideMark/>
          </w:tcPr>
          <w:p w14:paraId="37625708"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p>
        </w:tc>
        <w:tc>
          <w:tcPr>
            <w:tcW w:w="1115" w:type="dxa"/>
            <w:vMerge/>
            <w:shd w:val="clear" w:color="auto" w:fill="9CC2E5" w:themeFill="accent1" w:themeFillTint="99"/>
            <w:vAlign w:val="center"/>
            <w:hideMark/>
          </w:tcPr>
          <w:p w14:paraId="52B1AC04"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p>
        </w:tc>
        <w:tc>
          <w:tcPr>
            <w:tcW w:w="1276" w:type="dxa"/>
            <w:vMerge/>
            <w:shd w:val="clear" w:color="auto" w:fill="9CC2E5" w:themeFill="accent1" w:themeFillTint="99"/>
            <w:vAlign w:val="center"/>
            <w:hideMark/>
          </w:tcPr>
          <w:p w14:paraId="0520F4B1"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p>
        </w:tc>
        <w:tc>
          <w:tcPr>
            <w:tcW w:w="1134" w:type="dxa"/>
            <w:vMerge/>
            <w:shd w:val="clear" w:color="auto" w:fill="9CC2E5" w:themeFill="accent1" w:themeFillTint="99"/>
            <w:vAlign w:val="center"/>
            <w:hideMark/>
          </w:tcPr>
          <w:p w14:paraId="5C57D89B"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p>
        </w:tc>
        <w:tc>
          <w:tcPr>
            <w:tcW w:w="1413" w:type="dxa"/>
            <w:shd w:val="clear" w:color="auto" w:fill="9CC2E5" w:themeFill="accent1" w:themeFillTint="99"/>
            <w:vAlign w:val="center"/>
            <w:hideMark/>
          </w:tcPr>
          <w:p w14:paraId="311D95E4"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razem</w:t>
            </w:r>
          </w:p>
        </w:tc>
        <w:tc>
          <w:tcPr>
            <w:tcW w:w="1417" w:type="dxa"/>
            <w:shd w:val="clear" w:color="auto" w:fill="9CC2E5" w:themeFill="accent1" w:themeFillTint="99"/>
            <w:vAlign w:val="center"/>
            <w:hideMark/>
          </w:tcPr>
          <w:p w14:paraId="570C0EAA"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miasta</w:t>
            </w:r>
          </w:p>
        </w:tc>
        <w:tc>
          <w:tcPr>
            <w:tcW w:w="1276" w:type="dxa"/>
            <w:shd w:val="clear" w:color="auto" w:fill="9CC2E5" w:themeFill="accent1" w:themeFillTint="99"/>
            <w:vAlign w:val="center"/>
            <w:hideMark/>
          </w:tcPr>
          <w:p w14:paraId="049B6A80" w14:textId="77777777" w:rsidR="00072C47" w:rsidRPr="00342041" w:rsidRDefault="00072C47" w:rsidP="001254CD">
            <w:pPr>
              <w:spacing w:after="0" w:line="240" w:lineRule="auto"/>
              <w:jc w:val="center"/>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wieś</w:t>
            </w:r>
          </w:p>
        </w:tc>
      </w:tr>
      <w:tr w:rsidR="00072C47" w:rsidRPr="00342041" w14:paraId="34649606" w14:textId="77777777" w:rsidTr="001254CD">
        <w:trPr>
          <w:trHeight w:val="398"/>
          <w:jc w:val="center"/>
        </w:trPr>
        <w:tc>
          <w:tcPr>
            <w:tcW w:w="9776" w:type="dxa"/>
            <w:gridSpan w:val="7"/>
            <w:shd w:val="clear" w:color="auto" w:fill="auto"/>
            <w:noWrap/>
            <w:vAlign w:val="center"/>
            <w:hideMark/>
          </w:tcPr>
          <w:p w14:paraId="224461B1" w14:textId="77777777" w:rsidR="00072C47" w:rsidRPr="00342041" w:rsidRDefault="00072C47" w:rsidP="001254CD">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Członkowie grup artystycznych w domach, ośrodkach i centrach kultury, klubach i świetlicach</w:t>
            </w:r>
          </w:p>
        </w:tc>
      </w:tr>
      <w:tr w:rsidR="00072C47" w:rsidRPr="00342041" w14:paraId="3C652992" w14:textId="77777777" w:rsidTr="001254CD">
        <w:trPr>
          <w:trHeight w:val="300"/>
          <w:jc w:val="center"/>
        </w:trPr>
        <w:tc>
          <w:tcPr>
            <w:tcW w:w="2145" w:type="dxa"/>
            <w:shd w:val="clear" w:color="auto" w:fill="9CC2E5" w:themeFill="accent1" w:themeFillTint="99"/>
            <w:vAlign w:val="center"/>
            <w:hideMark/>
          </w:tcPr>
          <w:p w14:paraId="11DC2C0A"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115" w:type="dxa"/>
            <w:shd w:val="clear" w:color="auto" w:fill="auto"/>
            <w:noWrap/>
            <w:vAlign w:val="center"/>
            <w:hideMark/>
          </w:tcPr>
          <w:p w14:paraId="46923687"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276 005</w:t>
            </w:r>
          </w:p>
        </w:tc>
        <w:tc>
          <w:tcPr>
            <w:tcW w:w="1276" w:type="dxa"/>
            <w:shd w:val="clear" w:color="auto" w:fill="auto"/>
            <w:vAlign w:val="center"/>
            <w:hideMark/>
          </w:tcPr>
          <w:p w14:paraId="7242AA0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170 050</w:t>
            </w:r>
          </w:p>
        </w:tc>
        <w:tc>
          <w:tcPr>
            <w:tcW w:w="1134" w:type="dxa"/>
            <w:shd w:val="clear" w:color="auto" w:fill="auto"/>
            <w:vAlign w:val="center"/>
            <w:hideMark/>
          </w:tcPr>
          <w:p w14:paraId="0282290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105 955</w:t>
            </w:r>
          </w:p>
        </w:tc>
        <w:tc>
          <w:tcPr>
            <w:tcW w:w="1413" w:type="dxa"/>
            <w:shd w:val="clear" w:color="auto" w:fill="auto"/>
            <w:vAlign w:val="center"/>
            <w:hideMark/>
          </w:tcPr>
          <w:p w14:paraId="566D0B38"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54 656</w:t>
            </w:r>
          </w:p>
        </w:tc>
        <w:tc>
          <w:tcPr>
            <w:tcW w:w="1417" w:type="dxa"/>
            <w:shd w:val="clear" w:color="auto" w:fill="auto"/>
            <w:vAlign w:val="center"/>
            <w:hideMark/>
          </w:tcPr>
          <w:p w14:paraId="30545217"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32 299</w:t>
            </w:r>
          </w:p>
        </w:tc>
        <w:tc>
          <w:tcPr>
            <w:tcW w:w="1276" w:type="dxa"/>
            <w:shd w:val="clear" w:color="auto" w:fill="auto"/>
            <w:vAlign w:val="center"/>
            <w:hideMark/>
          </w:tcPr>
          <w:p w14:paraId="2DDE18AB"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22 357</w:t>
            </w:r>
          </w:p>
        </w:tc>
      </w:tr>
      <w:tr w:rsidR="00072C47" w:rsidRPr="00342041" w14:paraId="4CE71144" w14:textId="77777777" w:rsidTr="001254CD">
        <w:trPr>
          <w:trHeight w:val="300"/>
          <w:jc w:val="center"/>
        </w:trPr>
        <w:tc>
          <w:tcPr>
            <w:tcW w:w="9776" w:type="dxa"/>
            <w:gridSpan w:val="7"/>
            <w:shd w:val="clear" w:color="auto" w:fill="9CC2E5" w:themeFill="accent1" w:themeFillTint="99"/>
            <w:vAlign w:val="center"/>
            <w:hideMark/>
          </w:tcPr>
          <w:p w14:paraId="0FF88A87"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w:t>
            </w:r>
          </w:p>
        </w:tc>
      </w:tr>
      <w:tr w:rsidR="00072C47" w:rsidRPr="00342041" w14:paraId="0E2A5A0D" w14:textId="77777777" w:rsidTr="001254CD">
        <w:trPr>
          <w:trHeight w:val="300"/>
          <w:jc w:val="center"/>
        </w:trPr>
        <w:tc>
          <w:tcPr>
            <w:tcW w:w="2145" w:type="dxa"/>
            <w:shd w:val="clear" w:color="auto" w:fill="9CC2E5" w:themeFill="accent1" w:themeFillTint="99"/>
            <w:vAlign w:val="center"/>
            <w:hideMark/>
          </w:tcPr>
          <w:p w14:paraId="578E4EB2"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teatralnych</w:t>
            </w:r>
          </w:p>
        </w:tc>
        <w:tc>
          <w:tcPr>
            <w:tcW w:w="1115" w:type="dxa"/>
            <w:shd w:val="clear" w:color="auto" w:fill="auto"/>
            <w:noWrap/>
            <w:vAlign w:val="center"/>
            <w:hideMark/>
          </w:tcPr>
          <w:p w14:paraId="096DD936"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27 025</w:t>
            </w:r>
          </w:p>
        </w:tc>
        <w:tc>
          <w:tcPr>
            <w:tcW w:w="1276" w:type="dxa"/>
            <w:shd w:val="clear" w:color="auto" w:fill="auto"/>
            <w:vAlign w:val="center"/>
            <w:hideMark/>
          </w:tcPr>
          <w:p w14:paraId="56329839"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17 704</w:t>
            </w:r>
          </w:p>
        </w:tc>
        <w:tc>
          <w:tcPr>
            <w:tcW w:w="1134" w:type="dxa"/>
            <w:shd w:val="clear" w:color="auto" w:fill="auto"/>
            <w:vAlign w:val="center"/>
            <w:hideMark/>
          </w:tcPr>
          <w:p w14:paraId="6E06B7F8"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9 321</w:t>
            </w:r>
          </w:p>
        </w:tc>
        <w:tc>
          <w:tcPr>
            <w:tcW w:w="1413" w:type="dxa"/>
            <w:shd w:val="clear" w:color="auto" w:fill="auto"/>
            <w:vAlign w:val="center"/>
            <w:hideMark/>
          </w:tcPr>
          <w:p w14:paraId="12CC8933"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4 084</w:t>
            </w:r>
          </w:p>
        </w:tc>
        <w:tc>
          <w:tcPr>
            <w:tcW w:w="1417" w:type="dxa"/>
            <w:shd w:val="clear" w:color="auto" w:fill="auto"/>
            <w:vAlign w:val="center"/>
            <w:hideMark/>
          </w:tcPr>
          <w:p w14:paraId="4BB836C7"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2 822</w:t>
            </w:r>
          </w:p>
        </w:tc>
        <w:tc>
          <w:tcPr>
            <w:tcW w:w="1276" w:type="dxa"/>
            <w:shd w:val="clear" w:color="auto" w:fill="auto"/>
            <w:vAlign w:val="center"/>
            <w:hideMark/>
          </w:tcPr>
          <w:p w14:paraId="751A548B"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1 262</w:t>
            </w:r>
          </w:p>
        </w:tc>
      </w:tr>
      <w:tr w:rsidR="00072C47" w:rsidRPr="00342041" w14:paraId="049FB40C" w14:textId="77777777" w:rsidTr="001254CD">
        <w:trPr>
          <w:trHeight w:val="300"/>
          <w:jc w:val="center"/>
        </w:trPr>
        <w:tc>
          <w:tcPr>
            <w:tcW w:w="2145" w:type="dxa"/>
            <w:shd w:val="clear" w:color="auto" w:fill="9CC2E5" w:themeFill="accent1" w:themeFillTint="99"/>
            <w:vAlign w:val="center"/>
            <w:hideMark/>
          </w:tcPr>
          <w:p w14:paraId="09CD5A73"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muzycznych - instrumentalnych</w:t>
            </w:r>
          </w:p>
        </w:tc>
        <w:tc>
          <w:tcPr>
            <w:tcW w:w="1115" w:type="dxa"/>
            <w:shd w:val="clear" w:color="auto" w:fill="auto"/>
            <w:noWrap/>
            <w:vAlign w:val="center"/>
            <w:hideMark/>
          </w:tcPr>
          <w:p w14:paraId="2613AA52"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41 714</w:t>
            </w:r>
          </w:p>
        </w:tc>
        <w:tc>
          <w:tcPr>
            <w:tcW w:w="1276" w:type="dxa"/>
            <w:shd w:val="clear" w:color="auto" w:fill="auto"/>
            <w:vAlign w:val="center"/>
            <w:hideMark/>
          </w:tcPr>
          <w:p w14:paraId="5B79DCA3"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23 058</w:t>
            </w:r>
          </w:p>
        </w:tc>
        <w:tc>
          <w:tcPr>
            <w:tcW w:w="1134" w:type="dxa"/>
            <w:shd w:val="clear" w:color="auto" w:fill="auto"/>
            <w:vAlign w:val="center"/>
            <w:hideMark/>
          </w:tcPr>
          <w:p w14:paraId="6D1232A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18 656</w:t>
            </w:r>
          </w:p>
        </w:tc>
        <w:tc>
          <w:tcPr>
            <w:tcW w:w="1413" w:type="dxa"/>
            <w:shd w:val="clear" w:color="auto" w:fill="auto"/>
            <w:vAlign w:val="center"/>
            <w:hideMark/>
          </w:tcPr>
          <w:p w14:paraId="6E2F1267"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4 192</w:t>
            </w:r>
          </w:p>
        </w:tc>
        <w:tc>
          <w:tcPr>
            <w:tcW w:w="1417" w:type="dxa"/>
            <w:shd w:val="clear" w:color="auto" w:fill="auto"/>
            <w:vAlign w:val="center"/>
            <w:hideMark/>
          </w:tcPr>
          <w:p w14:paraId="1EE1E77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2 312</w:t>
            </w:r>
          </w:p>
        </w:tc>
        <w:tc>
          <w:tcPr>
            <w:tcW w:w="1276" w:type="dxa"/>
            <w:shd w:val="clear" w:color="auto" w:fill="auto"/>
            <w:vAlign w:val="center"/>
            <w:hideMark/>
          </w:tcPr>
          <w:p w14:paraId="5B7A79C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1 880</w:t>
            </w:r>
          </w:p>
        </w:tc>
      </w:tr>
      <w:tr w:rsidR="00072C47" w:rsidRPr="00342041" w14:paraId="136BA03A" w14:textId="77777777" w:rsidTr="001254CD">
        <w:trPr>
          <w:trHeight w:val="300"/>
          <w:jc w:val="center"/>
        </w:trPr>
        <w:tc>
          <w:tcPr>
            <w:tcW w:w="2145" w:type="dxa"/>
            <w:shd w:val="clear" w:color="auto" w:fill="9CC2E5" w:themeFill="accent1" w:themeFillTint="99"/>
            <w:vAlign w:val="center"/>
            <w:hideMark/>
          </w:tcPr>
          <w:p w14:paraId="7DCAEC86"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wokalnych i chórów</w:t>
            </w:r>
          </w:p>
        </w:tc>
        <w:tc>
          <w:tcPr>
            <w:tcW w:w="1115" w:type="dxa"/>
            <w:shd w:val="clear" w:color="auto" w:fill="auto"/>
            <w:noWrap/>
            <w:vAlign w:val="center"/>
            <w:hideMark/>
          </w:tcPr>
          <w:p w14:paraId="6CE0CB69"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55 727</w:t>
            </w:r>
          </w:p>
        </w:tc>
        <w:tc>
          <w:tcPr>
            <w:tcW w:w="1276" w:type="dxa"/>
            <w:shd w:val="clear" w:color="auto" w:fill="auto"/>
            <w:vAlign w:val="center"/>
            <w:hideMark/>
          </w:tcPr>
          <w:p w14:paraId="06E8695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36 351</w:t>
            </w:r>
          </w:p>
        </w:tc>
        <w:tc>
          <w:tcPr>
            <w:tcW w:w="1134" w:type="dxa"/>
            <w:shd w:val="clear" w:color="auto" w:fill="auto"/>
            <w:vAlign w:val="center"/>
            <w:hideMark/>
          </w:tcPr>
          <w:p w14:paraId="1D1EF61F"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19 376</w:t>
            </w:r>
          </w:p>
        </w:tc>
        <w:tc>
          <w:tcPr>
            <w:tcW w:w="1413" w:type="dxa"/>
            <w:shd w:val="clear" w:color="auto" w:fill="auto"/>
            <w:vAlign w:val="center"/>
            <w:hideMark/>
          </w:tcPr>
          <w:p w14:paraId="47D4B4D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22 088</w:t>
            </w:r>
          </w:p>
        </w:tc>
        <w:tc>
          <w:tcPr>
            <w:tcW w:w="1417" w:type="dxa"/>
            <w:shd w:val="clear" w:color="auto" w:fill="auto"/>
            <w:vAlign w:val="center"/>
            <w:hideMark/>
          </w:tcPr>
          <w:p w14:paraId="462B659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14 997</w:t>
            </w:r>
          </w:p>
        </w:tc>
        <w:tc>
          <w:tcPr>
            <w:tcW w:w="1276" w:type="dxa"/>
            <w:shd w:val="clear" w:color="auto" w:fill="auto"/>
            <w:vAlign w:val="center"/>
            <w:hideMark/>
          </w:tcPr>
          <w:p w14:paraId="09E4390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7 091</w:t>
            </w:r>
          </w:p>
        </w:tc>
      </w:tr>
      <w:tr w:rsidR="00072C47" w:rsidRPr="00342041" w14:paraId="2B2442BD" w14:textId="77777777" w:rsidTr="001254CD">
        <w:trPr>
          <w:trHeight w:val="300"/>
          <w:jc w:val="center"/>
        </w:trPr>
        <w:tc>
          <w:tcPr>
            <w:tcW w:w="2145" w:type="dxa"/>
            <w:shd w:val="clear" w:color="auto" w:fill="9CC2E5" w:themeFill="accent1" w:themeFillTint="99"/>
            <w:vAlign w:val="center"/>
            <w:hideMark/>
          </w:tcPr>
          <w:p w14:paraId="22EE81C7"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folklorystycznych</w:t>
            </w:r>
          </w:p>
        </w:tc>
        <w:tc>
          <w:tcPr>
            <w:tcW w:w="1115" w:type="dxa"/>
            <w:shd w:val="clear" w:color="auto" w:fill="auto"/>
            <w:noWrap/>
            <w:vAlign w:val="center"/>
            <w:hideMark/>
          </w:tcPr>
          <w:p w14:paraId="32F5655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56 112</w:t>
            </w:r>
          </w:p>
        </w:tc>
        <w:tc>
          <w:tcPr>
            <w:tcW w:w="1276" w:type="dxa"/>
            <w:shd w:val="clear" w:color="auto" w:fill="auto"/>
            <w:vAlign w:val="center"/>
            <w:hideMark/>
          </w:tcPr>
          <w:p w14:paraId="0B3CACD8"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25 319</w:t>
            </w:r>
          </w:p>
        </w:tc>
        <w:tc>
          <w:tcPr>
            <w:tcW w:w="1134" w:type="dxa"/>
            <w:shd w:val="clear" w:color="auto" w:fill="auto"/>
            <w:vAlign w:val="center"/>
            <w:hideMark/>
          </w:tcPr>
          <w:p w14:paraId="31BF9AD5"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30 793</w:t>
            </w:r>
          </w:p>
        </w:tc>
        <w:tc>
          <w:tcPr>
            <w:tcW w:w="1413" w:type="dxa"/>
            <w:shd w:val="clear" w:color="auto" w:fill="auto"/>
            <w:vAlign w:val="center"/>
            <w:hideMark/>
          </w:tcPr>
          <w:p w14:paraId="1EA3B858"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18 220</w:t>
            </w:r>
          </w:p>
        </w:tc>
        <w:tc>
          <w:tcPr>
            <w:tcW w:w="1417" w:type="dxa"/>
            <w:shd w:val="clear" w:color="auto" w:fill="auto"/>
            <w:vAlign w:val="center"/>
            <w:hideMark/>
          </w:tcPr>
          <w:p w14:paraId="09E3CF14"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7 096</w:t>
            </w:r>
          </w:p>
        </w:tc>
        <w:tc>
          <w:tcPr>
            <w:tcW w:w="1276" w:type="dxa"/>
            <w:shd w:val="clear" w:color="auto" w:fill="auto"/>
            <w:vAlign w:val="center"/>
            <w:hideMark/>
          </w:tcPr>
          <w:p w14:paraId="038BF435"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11 124</w:t>
            </w:r>
          </w:p>
        </w:tc>
      </w:tr>
      <w:tr w:rsidR="00072C47" w:rsidRPr="00342041" w14:paraId="7E357A33" w14:textId="77777777" w:rsidTr="001254CD">
        <w:trPr>
          <w:trHeight w:val="300"/>
          <w:jc w:val="center"/>
        </w:trPr>
        <w:tc>
          <w:tcPr>
            <w:tcW w:w="2145" w:type="dxa"/>
            <w:shd w:val="clear" w:color="auto" w:fill="9CC2E5" w:themeFill="accent1" w:themeFillTint="99"/>
            <w:vAlign w:val="center"/>
            <w:hideMark/>
          </w:tcPr>
          <w:p w14:paraId="292109F4"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tanecznych</w:t>
            </w:r>
          </w:p>
        </w:tc>
        <w:tc>
          <w:tcPr>
            <w:tcW w:w="1115" w:type="dxa"/>
            <w:shd w:val="clear" w:color="auto" w:fill="auto"/>
            <w:noWrap/>
            <w:vAlign w:val="center"/>
            <w:hideMark/>
          </w:tcPr>
          <w:p w14:paraId="73879F7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85 259</w:t>
            </w:r>
          </w:p>
        </w:tc>
        <w:tc>
          <w:tcPr>
            <w:tcW w:w="1276" w:type="dxa"/>
            <w:shd w:val="clear" w:color="auto" w:fill="auto"/>
            <w:vAlign w:val="center"/>
            <w:hideMark/>
          </w:tcPr>
          <w:p w14:paraId="34FCAF08"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60 376</w:t>
            </w:r>
          </w:p>
        </w:tc>
        <w:tc>
          <w:tcPr>
            <w:tcW w:w="1134" w:type="dxa"/>
            <w:shd w:val="clear" w:color="auto" w:fill="auto"/>
            <w:vAlign w:val="center"/>
            <w:hideMark/>
          </w:tcPr>
          <w:p w14:paraId="5CD39ED8"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24 883</w:t>
            </w:r>
          </w:p>
        </w:tc>
        <w:tc>
          <w:tcPr>
            <w:tcW w:w="1413" w:type="dxa"/>
            <w:shd w:val="clear" w:color="auto" w:fill="auto"/>
            <w:vAlign w:val="center"/>
            <w:hideMark/>
          </w:tcPr>
          <w:p w14:paraId="3D81B59C"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3 589</w:t>
            </w:r>
          </w:p>
        </w:tc>
        <w:tc>
          <w:tcPr>
            <w:tcW w:w="1417" w:type="dxa"/>
            <w:shd w:val="clear" w:color="auto" w:fill="auto"/>
            <w:vAlign w:val="center"/>
            <w:hideMark/>
          </w:tcPr>
          <w:p w14:paraId="34210627"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3 086</w:t>
            </w:r>
          </w:p>
        </w:tc>
        <w:tc>
          <w:tcPr>
            <w:tcW w:w="1276" w:type="dxa"/>
            <w:shd w:val="clear" w:color="auto" w:fill="auto"/>
            <w:vAlign w:val="center"/>
            <w:hideMark/>
          </w:tcPr>
          <w:p w14:paraId="71F5CFE5"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503</w:t>
            </w:r>
          </w:p>
        </w:tc>
      </w:tr>
      <w:tr w:rsidR="00072C47" w:rsidRPr="00342041" w14:paraId="1B8DAFFE" w14:textId="77777777" w:rsidTr="001254CD">
        <w:trPr>
          <w:trHeight w:val="398"/>
          <w:jc w:val="center"/>
        </w:trPr>
        <w:tc>
          <w:tcPr>
            <w:tcW w:w="9776" w:type="dxa"/>
            <w:gridSpan w:val="7"/>
            <w:shd w:val="clear" w:color="auto" w:fill="auto"/>
            <w:noWrap/>
            <w:vAlign w:val="center"/>
            <w:hideMark/>
          </w:tcPr>
          <w:p w14:paraId="649DFA06" w14:textId="77777777" w:rsidR="00072C47" w:rsidRPr="00342041" w:rsidRDefault="00072C47" w:rsidP="001254CD">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Członkowie kół/klubów/sekcji w domach, ośrodkach i centrach kultury, klubach i świetlicach</w:t>
            </w:r>
          </w:p>
        </w:tc>
      </w:tr>
      <w:tr w:rsidR="00072C47" w:rsidRPr="00342041" w14:paraId="252EC093" w14:textId="77777777" w:rsidTr="001254CD">
        <w:trPr>
          <w:trHeight w:val="300"/>
          <w:jc w:val="center"/>
        </w:trPr>
        <w:tc>
          <w:tcPr>
            <w:tcW w:w="2145" w:type="dxa"/>
            <w:shd w:val="clear" w:color="auto" w:fill="9CC2E5" w:themeFill="accent1" w:themeFillTint="99"/>
            <w:vAlign w:val="center"/>
            <w:hideMark/>
          </w:tcPr>
          <w:p w14:paraId="25A567C3"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115" w:type="dxa"/>
            <w:shd w:val="clear" w:color="auto" w:fill="auto"/>
            <w:noWrap/>
            <w:vAlign w:val="center"/>
            <w:hideMark/>
          </w:tcPr>
          <w:p w14:paraId="558A5810"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575 480</w:t>
            </w:r>
          </w:p>
        </w:tc>
        <w:tc>
          <w:tcPr>
            <w:tcW w:w="1276" w:type="dxa"/>
            <w:shd w:val="clear" w:color="auto" w:fill="auto"/>
            <w:vAlign w:val="center"/>
            <w:hideMark/>
          </w:tcPr>
          <w:p w14:paraId="37614EC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388 336</w:t>
            </w:r>
          </w:p>
        </w:tc>
        <w:tc>
          <w:tcPr>
            <w:tcW w:w="1134" w:type="dxa"/>
            <w:shd w:val="clear" w:color="auto" w:fill="auto"/>
            <w:vAlign w:val="center"/>
            <w:hideMark/>
          </w:tcPr>
          <w:p w14:paraId="2B190B6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187 144</w:t>
            </w:r>
          </w:p>
        </w:tc>
        <w:tc>
          <w:tcPr>
            <w:tcW w:w="1413" w:type="dxa"/>
            <w:shd w:val="clear" w:color="auto" w:fill="auto"/>
            <w:vAlign w:val="center"/>
            <w:hideMark/>
          </w:tcPr>
          <w:p w14:paraId="7AD65A35"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210 406</w:t>
            </w:r>
          </w:p>
        </w:tc>
        <w:tc>
          <w:tcPr>
            <w:tcW w:w="1417" w:type="dxa"/>
            <w:shd w:val="clear" w:color="auto" w:fill="auto"/>
            <w:vAlign w:val="center"/>
            <w:hideMark/>
          </w:tcPr>
          <w:p w14:paraId="0C4F9885"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143 934</w:t>
            </w:r>
          </w:p>
        </w:tc>
        <w:tc>
          <w:tcPr>
            <w:tcW w:w="1276" w:type="dxa"/>
            <w:shd w:val="clear" w:color="auto" w:fill="auto"/>
            <w:vAlign w:val="center"/>
            <w:hideMark/>
          </w:tcPr>
          <w:p w14:paraId="649AE42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66 472</w:t>
            </w:r>
          </w:p>
        </w:tc>
      </w:tr>
      <w:tr w:rsidR="00072C47" w:rsidRPr="00342041" w14:paraId="14CE508D" w14:textId="77777777" w:rsidTr="001254CD">
        <w:trPr>
          <w:trHeight w:val="300"/>
          <w:jc w:val="center"/>
        </w:trPr>
        <w:tc>
          <w:tcPr>
            <w:tcW w:w="9776" w:type="dxa"/>
            <w:gridSpan w:val="7"/>
            <w:shd w:val="clear" w:color="auto" w:fill="9CC2E5" w:themeFill="accent1" w:themeFillTint="99"/>
            <w:vAlign w:val="center"/>
            <w:hideMark/>
          </w:tcPr>
          <w:p w14:paraId="0D9E812D"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 tym:</w:t>
            </w:r>
          </w:p>
        </w:tc>
      </w:tr>
      <w:tr w:rsidR="00072C47" w:rsidRPr="00342041" w14:paraId="3B00048D" w14:textId="77777777" w:rsidTr="001254CD">
        <w:trPr>
          <w:trHeight w:val="300"/>
          <w:jc w:val="center"/>
        </w:trPr>
        <w:tc>
          <w:tcPr>
            <w:tcW w:w="2145" w:type="dxa"/>
            <w:shd w:val="clear" w:color="auto" w:fill="9CC2E5" w:themeFill="accent1" w:themeFillTint="99"/>
            <w:vAlign w:val="center"/>
            <w:hideMark/>
          </w:tcPr>
          <w:p w14:paraId="49F4E359"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plastycznych/ technicznych</w:t>
            </w:r>
          </w:p>
        </w:tc>
        <w:tc>
          <w:tcPr>
            <w:tcW w:w="1115" w:type="dxa"/>
            <w:shd w:val="clear" w:color="auto" w:fill="auto"/>
            <w:noWrap/>
            <w:vAlign w:val="center"/>
            <w:hideMark/>
          </w:tcPr>
          <w:p w14:paraId="52C2BB07"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97 472</w:t>
            </w:r>
          </w:p>
        </w:tc>
        <w:tc>
          <w:tcPr>
            <w:tcW w:w="1276" w:type="dxa"/>
            <w:shd w:val="clear" w:color="auto" w:fill="auto"/>
            <w:vAlign w:val="center"/>
            <w:hideMark/>
          </w:tcPr>
          <w:p w14:paraId="138DD263"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66 623</w:t>
            </w:r>
          </w:p>
        </w:tc>
        <w:tc>
          <w:tcPr>
            <w:tcW w:w="1134" w:type="dxa"/>
            <w:shd w:val="clear" w:color="auto" w:fill="auto"/>
            <w:vAlign w:val="center"/>
            <w:hideMark/>
          </w:tcPr>
          <w:p w14:paraId="42CCE772"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30 849</w:t>
            </w:r>
          </w:p>
        </w:tc>
        <w:tc>
          <w:tcPr>
            <w:tcW w:w="1413" w:type="dxa"/>
            <w:shd w:val="clear" w:color="auto" w:fill="auto"/>
            <w:vAlign w:val="center"/>
            <w:hideMark/>
          </w:tcPr>
          <w:p w14:paraId="49D7E53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8 800</w:t>
            </w:r>
          </w:p>
        </w:tc>
        <w:tc>
          <w:tcPr>
            <w:tcW w:w="1417" w:type="dxa"/>
            <w:shd w:val="clear" w:color="auto" w:fill="auto"/>
            <w:vAlign w:val="center"/>
            <w:hideMark/>
          </w:tcPr>
          <w:p w14:paraId="7A806E66"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6 871</w:t>
            </w:r>
          </w:p>
        </w:tc>
        <w:tc>
          <w:tcPr>
            <w:tcW w:w="1276" w:type="dxa"/>
            <w:shd w:val="clear" w:color="auto" w:fill="auto"/>
            <w:vAlign w:val="center"/>
            <w:hideMark/>
          </w:tcPr>
          <w:p w14:paraId="2C184AF3"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1 929</w:t>
            </w:r>
          </w:p>
        </w:tc>
      </w:tr>
      <w:tr w:rsidR="00072C47" w:rsidRPr="00342041" w14:paraId="692AC7BC" w14:textId="77777777" w:rsidTr="001254CD">
        <w:trPr>
          <w:trHeight w:val="300"/>
          <w:jc w:val="center"/>
        </w:trPr>
        <w:tc>
          <w:tcPr>
            <w:tcW w:w="2145" w:type="dxa"/>
            <w:shd w:val="clear" w:color="auto" w:fill="9CC2E5" w:themeFill="accent1" w:themeFillTint="99"/>
            <w:vAlign w:val="center"/>
            <w:hideMark/>
          </w:tcPr>
          <w:p w14:paraId="0ABB5883"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tanecznych</w:t>
            </w:r>
          </w:p>
        </w:tc>
        <w:tc>
          <w:tcPr>
            <w:tcW w:w="1115" w:type="dxa"/>
            <w:shd w:val="clear" w:color="auto" w:fill="auto"/>
            <w:noWrap/>
            <w:vAlign w:val="center"/>
            <w:hideMark/>
          </w:tcPr>
          <w:p w14:paraId="503F5169"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79 923</w:t>
            </w:r>
          </w:p>
        </w:tc>
        <w:tc>
          <w:tcPr>
            <w:tcW w:w="1276" w:type="dxa"/>
            <w:shd w:val="clear" w:color="auto" w:fill="auto"/>
            <w:vAlign w:val="center"/>
            <w:hideMark/>
          </w:tcPr>
          <w:p w14:paraId="28230F59"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59 592</w:t>
            </w:r>
          </w:p>
        </w:tc>
        <w:tc>
          <w:tcPr>
            <w:tcW w:w="1134" w:type="dxa"/>
            <w:shd w:val="clear" w:color="auto" w:fill="auto"/>
            <w:vAlign w:val="center"/>
            <w:hideMark/>
          </w:tcPr>
          <w:p w14:paraId="641099E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20 331</w:t>
            </w:r>
          </w:p>
        </w:tc>
        <w:tc>
          <w:tcPr>
            <w:tcW w:w="1413" w:type="dxa"/>
            <w:shd w:val="clear" w:color="auto" w:fill="auto"/>
            <w:vAlign w:val="center"/>
            <w:hideMark/>
          </w:tcPr>
          <w:p w14:paraId="6BEC30B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5 985</w:t>
            </w:r>
          </w:p>
        </w:tc>
        <w:tc>
          <w:tcPr>
            <w:tcW w:w="1417" w:type="dxa"/>
            <w:shd w:val="clear" w:color="auto" w:fill="auto"/>
            <w:vAlign w:val="center"/>
            <w:hideMark/>
          </w:tcPr>
          <w:p w14:paraId="5F14DBF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5 093</w:t>
            </w:r>
          </w:p>
        </w:tc>
        <w:tc>
          <w:tcPr>
            <w:tcW w:w="1276" w:type="dxa"/>
            <w:shd w:val="clear" w:color="auto" w:fill="auto"/>
            <w:vAlign w:val="center"/>
            <w:hideMark/>
          </w:tcPr>
          <w:p w14:paraId="3E47F264"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892</w:t>
            </w:r>
          </w:p>
        </w:tc>
      </w:tr>
      <w:tr w:rsidR="00072C47" w:rsidRPr="00342041" w14:paraId="32F1FAF1" w14:textId="77777777" w:rsidTr="001254CD">
        <w:trPr>
          <w:trHeight w:val="300"/>
          <w:jc w:val="center"/>
        </w:trPr>
        <w:tc>
          <w:tcPr>
            <w:tcW w:w="2145" w:type="dxa"/>
            <w:shd w:val="clear" w:color="auto" w:fill="9CC2E5" w:themeFill="accent1" w:themeFillTint="99"/>
            <w:vAlign w:val="center"/>
            <w:hideMark/>
          </w:tcPr>
          <w:p w14:paraId="293D563C"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 xml:space="preserve">muzycznych </w:t>
            </w:r>
          </w:p>
        </w:tc>
        <w:tc>
          <w:tcPr>
            <w:tcW w:w="1115" w:type="dxa"/>
            <w:shd w:val="clear" w:color="auto" w:fill="auto"/>
            <w:noWrap/>
            <w:vAlign w:val="center"/>
            <w:hideMark/>
          </w:tcPr>
          <w:p w14:paraId="3121F498"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48 108</w:t>
            </w:r>
          </w:p>
        </w:tc>
        <w:tc>
          <w:tcPr>
            <w:tcW w:w="1276" w:type="dxa"/>
            <w:shd w:val="clear" w:color="auto" w:fill="auto"/>
            <w:vAlign w:val="center"/>
            <w:hideMark/>
          </w:tcPr>
          <w:p w14:paraId="7EB138E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33 465</w:t>
            </w:r>
          </w:p>
        </w:tc>
        <w:tc>
          <w:tcPr>
            <w:tcW w:w="1134" w:type="dxa"/>
            <w:shd w:val="clear" w:color="auto" w:fill="auto"/>
            <w:vAlign w:val="center"/>
            <w:hideMark/>
          </w:tcPr>
          <w:p w14:paraId="6FE17712"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14 643</w:t>
            </w:r>
          </w:p>
        </w:tc>
        <w:tc>
          <w:tcPr>
            <w:tcW w:w="1413" w:type="dxa"/>
            <w:shd w:val="clear" w:color="auto" w:fill="auto"/>
            <w:vAlign w:val="center"/>
            <w:hideMark/>
          </w:tcPr>
          <w:p w14:paraId="37A1D65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4 300</w:t>
            </w:r>
          </w:p>
        </w:tc>
        <w:tc>
          <w:tcPr>
            <w:tcW w:w="1417" w:type="dxa"/>
            <w:shd w:val="clear" w:color="auto" w:fill="auto"/>
            <w:vAlign w:val="center"/>
            <w:hideMark/>
          </w:tcPr>
          <w:p w14:paraId="56A98C1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2 783</w:t>
            </w:r>
          </w:p>
        </w:tc>
        <w:tc>
          <w:tcPr>
            <w:tcW w:w="1276" w:type="dxa"/>
            <w:shd w:val="clear" w:color="auto" w:fill="auto"/>
            <w:vAlign w:val="center"/>
            <w:hideMark/>
          </w:tcPr>
          <w:p w14:paraId="41714F0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1 517</w:t>
            </w:r>
          </w:p>
        </w:tc>
      </w:tr>
      <w:tr w:rsidR="00072C47" w:rsidRPr="00342041" w14:paraId="6AF1A7D4" w14:textId="77777777" w:rsidTr="001254CD">
        <w:trPr>
          <w:trHeight w:val="300"/>
          <w:jc w:val="center"/>
        </w:trPr>
        <w:tc>
          <w:tcPr>
            <w:tcW w:w="2145" w:type="dxa"/>
            <w:shd w:val="clear" w:color="auto" w:fill="9CC2E5" w:themeFill="accent1" w:themeFillTint="99"/>
            <w:vAlign w:val="center"/>
            <w:hideMark/>
          </w:tcPr>
          <w:p w14:paraId="0834ADE5"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informatycznych</w:t>
            </w:r>
          </w:p>
        </w:tc>
        <w:tc>
          <w:tcPr>
            <w:tcW w:w="1115" w:type="dxa"/>
            <w:shd w:val="clear" w:color="auto" w:fill="auto"/>
            <w:noWrap/>
            <w:vAlign w:val="center"/>
            <w:hideMark/>
          </w:tcPr>
          <w:p w14:paraId="67FFE276"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5 981</w:t>
            </w:r>
          </w:p>
        </w:tc>
        <w:tc>
          <w:tcPr>
            <w:tcW w:w="1276" w:type="dxa"/>
            <w:shd w:val="clear" w:color="auto" w:fill="auto"/>
            <w:vAlign w:val="center"/>
            <w:hideMark/>
          </w:tcPr>
          <w:p w14:paraId="5E9FB284"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4 410</w:t>
            </w:r>
          </w:p>
        </w:tc>
        <w:tc>
          <w:tcPr>
            <w:tcW w:w="1134" w:type="dxa"/>
            <w:shd w:val="clear" w:color="auto" w:fill="auto"/>
            <w:vAlign w:val="center"/>
            <w:hideMark/>
          </w:tcPr>
          <w:p w14:paraId="2F905024"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1 571</w:t>
            </w:r>
          </w:p>
        </w:tc>
        <w:tc>
          <w:tcPr>
            <w:tcW w:w="1413" w:type="dxa"/>
            <w:shd w:val="clear" w:color="auto" w:fill="auto"/>
            <w:vAlign w:val="center"/>
            <w:hideMark/>
          </w:tcPr>
          <w:p w14:paraId="4E5F34EB"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2 265</w:t>
            </w:r>
          </w:p>
        </w:tc>
        <w:tc>
          <w:tcPr>
            <w:tcW w:w="1417" w:type="dxa"/>
            <w:shd w:val="clear" w:color="auto" w:fill="auto"/>
            <w:vAlign w:val="center"/>
            <w:hideMark/>
          </w:tcPr>
          <w:p w14:paraId="357DEBEC"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1 985</w:t>
            </w:r>
          </w:p>
        </w:tc>
        <w:tc>
          <w:tcPr>
            <w:tcW w:w="1276" w:type="dxa"/>
            <w:shd w:val="clear" w:color="auto" w:fill="auto"/>
            <w:vAlign w:val="center"/>
            <w:hideMark/>
          </w:tcPr>
          <w:p w14:paraId="3AD07A53"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280</w:t>
            </w:r>
          </w:p>
        </w:tc>
      </w:tr>
      <w:tr w:rsidR="00072C47" w:rsidRPr="00342041" w14:paraId="12400EB1" w14:textId="77777777" w:rsidTr="001254CD">
        <w:trPr>
          <w:trHeight w:val="300"/>
          <w:jc w:val="center"/>
        </w:trPr>
        <w:tc>
          <w:tcPr>
            <w:tcW w:w="2145" w:type="dxa"/>
            <w:shd w:val="clear" w:color="auto" w:fill="9CC2E5" w:themeFill="accent1" w:themeFillTint="99"/>
            <w:vAlign w:val="center"/>
            <w:hideMark/>
          </w:tcPr>
          <w:p w14:paraId="53C05C83"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fotograficznych i filmowych</w:t>
            </w:r>
          </w:p>
        </w:tc>
        <w:tc>
          <w:tcPr>
            <w:tcW w:w="1115" w:type="dxa"/>
            <w:shd w:val="clear" w:color="auto" w:fill="auto"/>
            <w:noWrap/>
            <w:vAlign w:val="center"/>
            <w:hideMark/>
          </w:tcPr>
          <w:p w14:paraId="15A9E808"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9 042</w:t>
            </w:r>
          </w:p>
        </w:tc>
        <w:tc>
          <w:tcPr>
            <w:tcW w:w="1276" w:type="dxa"/>
            <w:shd w:val="clear" w:color="auto" w:fill="auto"/>
            <w:vAlign w:val="center"/>
            <w:hideMark/>
          </w:tcPr>
          <w:p w14:paraId="32373799"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7 823</w:t>
            </w:r>
          </w:p>
        </w:tc>
        <w:tc>
          <w:tcPr>
            <w:tcW w:w="1134" w:type="dxa"/>
            <w:shd w:val="clear" w:color="auto" w:fill="auto"/>
            <w:vAlign w:val="center"/>
            <w:hideMark/>
          </w:tcPr>
          <w:p w14:paraId="0B5CC75F"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1 219</w:t>
            </w:r>
          </w:p>
        </w:tc>
        <w:tc>
          <w:tcPr>
            <w:tcW w:w="1413" w:type="dxa"/>
            <w:shd w:val="clear" w:color="auto" w:fill="auto"/>
            <w:vAlign w:val="center"/>
            <w:hideMark/>
          </w:tcPr>
          <w:p w14:paraId="01593260"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1 414</w:t>
            </w:r>
          </w:p>
        </w:tc>
        <w:tc>
          <w:tcPr>
            <w:tcW w:w="1417" w:type="dxa"/>
            <w:shd w:val="clear" w:color="auto" w:fill="auto"/>
            <w:vAlign w:val="center"/>
            <w:hideMark/>
          </w:tcPr>
          <w:p w14:paraId="55EE3C74"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1 289</w:t>
            </w:r>
          </w:p>
        </w:tc>
        <w:tc>
          <w:tcPr>
            <w:tcW w:w="1276" w:type="dxa"/>
            <w:shd w:val="clear" w:color="auto" w:fill="auto"/>
            <w:vAlign w:val="center"/>
            <w:hideMark/>
          </w:tcPr>
          <w:p w14:paraId="2F921518"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125</w:t>
            </w:r>
          </w:p>
        </w:tc>
      </w:tr>
      <w:tr w:rsidR="00072C47" w:rsidRPr="00342041" w14:paraId="66F8607F" w14:textId="77777777" w:rsidTr="001254CD">
        <w:trPr>
          <w:trHeight w:val="300"/>
          <w:jc w:val="center"/>
        </w:trPr>
        <w:tc>
          <w:tcPr>
            <w:tcW w:w="2145" w:type="dxa"/>
            <w:shd w:val="clear" w:color="auto" w:fill="9CC2E5" w:themeFill="accent1" w:themeFillTint="99"/>
            <w:vAlign w:val="center"/>
            <w:hideMark/>
          </w:tcPr>
          <w:p w14:paraId="3E804F07"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teatralnych</w:t>
            </w:r>
          </w:p>
        </w:tc>
        <w:tc>
          <w:tcPr>
            <w:tcW w:w="1115" w:type="dxa"/>
            <w:shd w:val="clear" w:color="auto" w:fill="auto"/>
            <w:noWrap/>
            <w:vAlign w:val="center"/>
            <w:hideMark/>
          </w:tcPr>
          <w:p w14:paraId="5B649842"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16 020</w:t>
            </w:r>
          </w:p>
        </w:tc>
        <w:tc>
          <w:tcPr>
            <w:tcW w:w="1276" w:type="dxa"/>
            <w:shd w:val="clear" w:color="auto" w:fill="auto"/>
            <w:vAlign w:val="center"/>
            <w:hideMark/>
          </w:tcPr>
          <w:p w14:paraId="3D31F837"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10 959</w:t>
            </w:r>
          </w:p>
        </w:tc>
        <w:tc>
          <w:tcPr>
            <w:tcW w:w="1134" w:type="dxa"/>
            <w:shd w:val="clear" w:color="auto" w:fill="auto"/>
            <w:vAlign w:val="center"/>
            <w:hideMark/>
          </w:tcPr>
          <w:p w14:paraId="410C2076"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5 061</w:t>
            </w:r>
          </w:p>
        </w:tc>
        <w:tc>
          <w:tcPr>
            <w:tcW w:w="1413" w:type="dxa"/>
            <w:shd w:val="clear" w:color="auto" w:fill="auto"/>
            <w:vAlign w:val="center"/>
            <w:hideMark/>
          </w:tcPr>
          <w:p w14:paraId="0946177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2 037</w:t>
            </w:r>
          </w:p>
        </w:tc>
        <w:tc>
          <w:tcPr>
            <w:tcW w:w="1417" w:type="dxa"/>
            <w:shd w:val="clear" w:color="auto" w:fill="auto"/>
            <w:vAlign w:val="center"/>
            <w:hideMark/>
          </w:tcPr>
          <w:p w14:paraId="60FF572B"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1 314</w:t>
            </w:r>
          </w:p>
        </w:tc>
        <w:tc>
          <w:tcPr>
            <w:tcW w:w="1276" w:type="dxa"/>
            <w:shd w:val="clear" w:color="auto" w:fill="auto"/>
            <w:vAlign w:val="center"/>
            <w:hideMark/>
          </w:tcPr>
          <w:p w14:paraId="3EC00123"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723</w:t>
            </w:r>
          </w:p>
        </w:tc>
      </w:tr>
      <w:tr w:rsidR="00072C47" w:rsidRPr="00342041" w14:paraId="25E2458B" w14:textId="77777777" w:rsidTr="001254CD">
        <w:trPr>
          <w:trHeight w:val="300"/>
          <w:jc w:val="center"/>
        </w:trPr>
        <w:tc>
          <w:tcPr>
            <w:tcW w:w="2145" w:type="dxa"/>
            <w:shd w:val="clear" w:color="auto" w:fill="9CC2E5" w:themeFill="accent1" w:themeFillTint="99"/>
            <w:vAlign w:val="center"/>
            <w:hideMark/>
          </w:tcPr>
          <w:p w14:paraId="619ADE99"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turystycznych i sportowo-rekreacyjnych</w:t>
            </w:r>
          </w:p>
        </w:tc>
        <w:tc>
          <w:tcPr>
            <w:tcW w:w="1115" w:type="dxa"/>
            <w:shd w:val="clear" w:color="auto" w:fill="auto"/>
            <w:noWrap/>
            <w:vAlign w:val="center"/>
            <w:hideMark/>
          </w:tcPr>
          <w:p w14:paraId="0D5A7418"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62 439</w:t>
            </w:r>
          </w:p>
        </w:tc>
        <w:tc>
          <w:tcPr>
            <w:tcW w:w="1276" w:type="dxa"/>
            <w:shd w:val="clear" w:color="auto" w:fill="auto"/>
            <w:vAlign w:val="center"/>
            <w:hideMark/>
          </w:tcPr>
          <w:p w14:paraId="62246E65"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44 408</w:t>
            </w:r>
          </w:p>
        </w:tc>
        <w:tc>
          <w:tcPr>
            <w:tcW w:w="1134" w:type="dxa"/>
            <w:shd w:val="clear" w:color="auto" w:fill="auto"/>
            <w:vAlign w:val="center"/>
            <w:hideMark/>
          </w:tcPr>
          <w:p w14:paraId="2AAC02F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18 031</w:t>
            </w:r>
          </w:p>
        </w:tc>
        <w:tc>
          <w:tcPr>
            <w:tcW w:w="1413" w:type="dxa"/>
            <w:shd w:val="clear" w:color="auto" w:fill="auto"/>
            <w:vAlign w:val="center"/>
            <w:hideMark/>
          </w:tcPr>
          <w:p w14:paraId="23F9A0C2"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17 812</w:t>
            </w:r>
          </w:p>
        </w:tc>
        <w:tc>
          <w:tcPr>
            <w:tcW w:w="1417" w:type="dxa"/>
            <w:shd w:val="clear" w:color="auto" w:fill="auto"/>
            <w:vAlign w:val="center"/>
            <w:hideMark/>
          </w:tcPr>
          <w:p w14:paraId="3A98F7B6"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14 731</w:t>
            </w:r>
          </w:p>
        </w:tc>
        <w:tc>
          <w:tcPr>
            <w:tcW w:w="1276" w:type="dxa"/>
            <w:shd w:val="clear" w:color="auto" w:fill="auto"/>
            <w:vAlign w:val="center"/>
            <w:hideMark/>
          </w:tcPr>
          <w:p w14:paraId="1963D4A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3 081</w:t>
            </w:r>
          </w:p>
        </w:tc>
      </w:tr>
      <w:tr w:rsidR="00072C47" w:rsidRPr="00342041" w14:paraId="35500843" w14:textId="77777777" w:rsidTr="001254CD">
        <w:trPr>
          <w:trHeight w:val="300"/>
          <w:jc w:val="center"/>
        </w:trPr>
        <w:tc>
          <w:tcPr>
            <w:tcW w:w="2145" w:type="dxa"/>
            <w:shd w:val="clear" w:color="auto" w:fill="9CC2E5" w:themeFill="accent1" w:themeFillTint="99"/>
            <w:vAlign w:val="center"/>
            <w:hideMark/>
          </w:tcPr>
          <w:p w14:paraId="7492996B"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lastRenderedPageBreak/>
              <w:t>seniora/ Uniwersytetów Trzeciego Wieku</w:t>
            </w:r>
          </w:p>
        </w:tc>
        <w:tc>
          <w:tcPr>
            <w:tcW w:w="1115" w:type="dxa"/>
            <w:shd w:val="clear" w:color="auto" w:fill="auto"/>
            <w:noWrap/>
            <w:vAlign w:val="center"/>
            <w:hideMark/>
          </w:tcPr>
          <w:p w14:paraId="3714995B"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122 395</w:t>
            </w:r>
          </w:p>
        </w:tc>
        <w:tc>
          <w:tcPr>
            <w:tcW w:w="1276" w:type="dxa"/>
            <w:shd w:val="clear" w:color="auto" w:fill="auto"/>
            <w:vAlign w:val="center"/>
            <w:hideMark/>
          </w:tcPr>
          <w:p w14:paraId="2C4BF8B9"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92 406</w:t>
            </w:r>
          </w:p>
        </w:tc>
        <w:tc>
          <w:tcPr>
            <w:tcW w:w="1134" w:type="dxa"/>
            <w:shd w:val="clear" w:color="auto" w:fill="auto"/>
            <w:vAlign w:val="center"/>
            <w:hideMark/>
          </w:tcPr>
          <w:p w14:paraId="7991A1A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29 989</w:t>
            </w:r>
          </w:p>
        </w:tc>
        <w:tc>
          <w:tcPr>
            <w:tcW w:w="1413" w:type="dxa"/>
            <w:shd w:val="clear" w:color="auto" w:fill="auto"/>
            <w:vAlign w:val="center"/>
            <w:hideMark/>
          </w:tcPr>
          <w:p w14:paraId="62F46D32"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114 150</w:t>
            </w:r>
          </w:p>
        </w:tc>
        <w:tc>
          <w:tcPr>
            <w:tcW w:w="1417" w:type="dxa"/>
            <w:shd w:val="clear" w:color="auto" w:fill="auto"/>
            <w:vAlign w:val="center"/>
            <w:hideMark/>
          </w:tcPr>
          <w:p w14:paraId="560E0109"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86 240</w:t>
            </w:r>
          </w:p>
        </w:tc>
        <w:tc>
          <w:tcPr>
            <w:tcW w:w="1276" w:type="dxa"/>
            <w:shd w:val="clear" w:color="auto" w:fill="auto"/>
            <w:vAlign w:val="center"/>
            <w:hideMark/>
          </w:tcPr>
          <w:p w14:paraId="724AA95B"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27 910</w:t>
            </w:r>
          </w:p>
        </w:tc>
      </w:tr>
      <w:tr w:rsidR="00072C47" w:rsidRPr="00342041" w14:paraId="43B32B7C" w14:textId="77777777" w:rsidTr="001254CD">
        <w:trPr>
          <w:trHeight w:val="300"/>
          <w:jc w:val="center"/>
        </w:trPr>
        <w:tc>
          <w:tcPr>
            <w:tcW w:w="2145" w:type="dxa"/>
            <w:shd w:val="clear" w:color="auto" w:fill="9CC2E5" w:themeFill="accent1" w:themeFillTint="99"/>
            <w:vAlign w:val="center"/>
            <w:hideMark/>
          </w:tcPr>
          <w:p w14:paraId="5A59C416"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dyskusyjnych klubów filmowych</w:t>
            </w:r>
          </w:p>
        </w:tc>
        <w:tc>
          <w:tcPr>
            <w:tcW w:w="1115" w:type="dxa"/>
            <w:shd w:val="clear" w:color="auto" w:fill="auto"/>
            <w:noWrap/>
            <w:vAlign w:val="center"/>
            <w:hideMark/>
          </w:tcPr>
          <w:p w14:paraId="40C4605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7 727</w:t>
            </w:r>
          </w:p>
        </w:tc>
        <w:tc>
          <w:tcPr>
            <w:tcW w:w="1276" w:type="dxa"/>
            <w:shd w:val="clear" w:color="auto" w:fill="auto"/>
            <w:vAlign w:val="center"/>
            <w:hideMark/>
          </w:tcPr>
          <w:p w14:paraId="48B126C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7 368</w:t>
            </w:r>
          </w:p>
        </w:tc>
        <w:tc>
          <w:tcPr>
            <w:tcW w:w="1134" w:type="dxa"/>
            <w:shd w:val="clear" w:color="auto" w:fill="auto"/>
            <w:vAlign w:val="center"/>
            <w:hideMark/>
          </w:tcPr>
          <w:p w14:paraId="4F2A5299"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359</w:t>
            </w:r>
          </w:p>
        </w:tc>
        <w:tc>
          <w:tcPr>
            <w:tcW w:w="1413" w:type="dxa"/>
            <w:shd w:val="clear" w:color="auto" w:fill="auto"/>
            <w:vAlign w:val="center"/>
            <w:hideMark/>
          </w:tcPr>
          <w:p w14:paraId="25AFA667"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2 285</w:t>
            </w:r>
          </w:p>
        </w:tc>
        <w:tc>
          <w:tcPr>
            <w:tcW w:w="1417" w:type="dxa"/>
            <w:shd w:val="clear" w:color="auto" w:fill="auto"/>
            <w:vAlign w:val="center"/>
            <w:hideMark/>
          </w:tcPr>
          <w:p w14:paraId="5E8F89B2"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2 160</w:t>
            </w:r>
          </w:p>
        </w:tc>
        <w:tc>
          <w:tcPr>
            <w:tcW w:w="1276" w:type="dxa"/>
            <w:shd w:val="clear" w:color="auto" w:fill="auto"/>
            <w:vAlign w:val="center"/>
            <w:hideMark/>
          </w:tcPr>
          <w:p w14:paraId="43A2480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125</w:t>
            </w:r>
          </w:p>
        </w:tc>
      </w:tr>
      <w:tr w:rsidR="00072C47" w:rsidRPr="00342041" w14:paraId="37FE0CCC" w14:textId="77777777" w:rsidTr="001254CD">
        <w:trPr>
          <w:trHeight w:val="300"/>
          <w:jc w:val="center"/>
        </w:trPr>
        <w:tc>
          <w:tcPr>
            <w:tcW w:w="2145" w:type="dxa"/>
            <w:shd w:val="clear" w:color="auto" w:fill="9CC2E5" w:themeFill="accent1" w:themeFillTint="99"/>
            <w:vAlign w:val="center"/>
            <w:hideMark/>
          </w:tcPr>
          <w:p w14:paraId="4B980B30"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kół gospodyń wiejskich</w:t>
            </w:r>
          </w:p>
        </w:tc>
        <w:tc>
          <w:tcPr>
            <w:tcW w:w="1115" w:type="dxa"/>
            <w:shd w:val="clear" w:color="auto" w:fill="auto"/>
            <w:noWrap/>
            <w:vAlign w:val="center"/>
            <w:hideMark/>
          </w:tcPr>
          <w:p w14:paraId="22F213CB"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69 190</w:t>
            </w:r>
          </w:p>
        </w:tc>
        <w:tc>
          <w:tcPr>
            <w:tcW w:w="1276" w:type="dxa"/>
            <w:shd w:val="clear" w:color="auto" w:fill="auto"/>
            <w:vAlign w:val="center"/>
            <w:hideMark/>
          </w:tcPr>
          <w:p w14:paraId="3BEE270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16 333</w:t>
            </w:r>
          </w:p>
        </w:tc>
        <w:tc>
          <w:tcPr>
            <w:tcW w:w="1134" w:type="dxa"/>
            <w:shd w:val="clear" w:color="auto" w:fill="auto"/>
            <w:vAlign w:val="center"/>
            <w:hideMark/>
          </w:tcPr>
          <w:p w14:paraId="3A5C91BC"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52 857</w:t>
            </w:r>
          </w:p>
        </w:tc>
        <w:tc>
          <w:tcPr>
            <w:tcW w:w="1413" w:type="dxa"/>
            <w:shd w:val="clear" w:color="auto" w:fill="auto"/>
            <w:vAlign w:val="center"/>
            <w:hideMark/>
          </w:tcPr>
          <w:p w14:paraId="0C4FB0B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37 056</w:t>
            </w:r>
          </w:p>
        </w:tc>
        <w:tc>
          <w:tcPr>
            <w:tcW w:w="1417" w:type="dxa"/>
            <w:shd w:val="clear" w:color="auto" w:fill="auto"/>
            <w:vAlign w:val="center"/>
            <w:hideMark/>
          </w:tcPr>
          <w:p w14:paraId="683C1B86"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9 572</w:t>
            </w:r>
          </w:p>
        </w:tc>
        <w:tc>
          <w:tcPr>
            <w:tcW w:w="1276" w:type="dxa"/>
            <w:shd w:val="clear" w:color="auto" w:fill="auto"/>
            <w:vAlign w:val="center"/>
            <w:hideMark/>
          </w:tcPr>
          <w:p w14:paraId="64F8CDD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27 484</w:t>
            </w:r>
          </w:p>
        </w:tc>
      </w:tr>
      <w:tr w:rsidR="00072C47" w:rsidRPr="00342041" w14:paraId="1ABCF642" w14:textId="77777777" w:rsidTr="001254CD">
        <w:trPr>
          <w:trHeight w:val="300"/>
          <w:jc w:val="center"/>
        </w:trPr>
        <w:tc>
          <w:tcPr>
            <w:tcW w:w="2145" w:type="dxa"/>
            <w:shd w:val="clear" w:color="auto" w:fill="9CC2E5" w:themeFill="accent1" w:themeFillTint="99"/>
            <w:vAlign w:val="center"/>
            <w:hideMark/>
          </w:tcPr>
          <w:p w14:paraId="283DB777"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literackich</w:t>
            </w:r>
          </w:p>
        </w:tc>
        <w:tc>
          <w:tcPr>
            <w:tcW w:w="1115" w:type="dxa"/>
            <w:shd w:val="clear" w:color="auto" w:fill="auto"/>
            <w:noWrap/>
            <w:vAlign w:val="center"/>
            <w:hideMark/>
          </w:tcPr>
          <w:p w14:paraId="62B42366"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4 900</w:t>
            </w:r>
          </w:p>
        </w:tc>
        <w:tc>
          <w:tcPr>
            <w:tcW w:w="1276" w:type="dxa"/>
            <w:shd w:val="clear" w:color="auto" w:fill="auto"/>
            <w:vAlign w:val="center"/>
            <w:hideMark/>
          </w:tcPr>
          <w:p w14:paraId="33BEF1B9"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3 906</w:t>
            </w:r>
          </w:p>
        </w:tc>
        <w:tc>
          <w:tcPr>
            <w:tcW w:w="1134" w:type="dxa"/>
            <w:shd w:val="clear" w:color="auto" w:fill="auto"/>
            <w:vAlign w:val="center"/>
            <w:hideMark/>
          </w:tcPr>
          <w:p w14:paraId="3F4C0EB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994</w:t>
            </w:r>
          </w:p>
        </w:tc>
        <w:tc>
          <w:tcPr>
            <w:tcW w:w="1413" w:type="dxa"/>
            <w:shd w:val="clear" w:color="auto" w:fill="auto"/>
            <w:vAlign w:val="center"/>
            <w:hideMark/>
          </w:tcPr>
          <w:p w14:paraId="63DE3BE7"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1 612</w:t>
            </w:r>
          </w:p>
        </w:tc>
        <w:tc>
          <w:tcPr>
            <w:tcW w:w="1417" w:type="dxa"/>
            <w:shd w:val="clear" w:color="auto" w:fill="auto"/>
            <w:vAlign w:val="center"/>
            <w:hideMark/>
          </w:tcPr>
          <w:p w14:paraId="5FAD058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1 280</w:t>
            </w:r>
          </w:p>
        </w:tc>
        <w:tc>
          <w:tcPr>
            <w:tcW w:w="1276" w:type="dxa"/>
            <w:shd w:val="clear" w:color="auto" w:fill="auto"/>
            <w:vAlign w:val="center"/>
            <w:hideMark/>
          </w:tcPr>
          <w:p w14:paraId="0BBADD00"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332</w:t>
            </w:r>
          </w:p>
        </w:tc>
      </w:tr>
      <w:tr w:rsidR="00072C47" w:rsidRPr="00342041" w14:paraId="5ACE85BD" w14:textId="77777777" w:rsidTr="001254CD">
        <w:trPr>
          <w:trHeight w:val="398"/>
          <w:jc w:val="center"/>
        </w:trPr>
        <w:tc>
          <w:tcPr>
            <w:tcW w:w="9776" w:type="dxa"/>
            <w:gridSpan w:val="7"/>
            <w:shd w:val="clear" w:color="auto" w:fill="auto"/>
            <w:noWrap/>
            <w:vAlign w:val="center"/>
            <w:hideMark/>
          </w:tcPr>
          <w:p w14:paraId="5E4010BA" w14:textId="77777777" w:rsidR="00072C47" w:rsidRPr="00342041" w:rsidRDefault="00072C47" w:rsidP="001254CD">
            <w:pPr>
              <w:spacing w:after="0" w:line="240" w:lineRule="auto"/>
              <w:jc w:val="center"/>
              <w:rPr>
                <w:rFonts w:ascii="Times New Roman" w:eastAsia="Times New Roman" w:hAnsi="Times New Roman" w:cs="Times New Roman"/>
                <w:b/>
                <w:bCs/>
                <w:sz w:val="20"/>
                <w:szCs w:val="20"/>
                <w:lang w:eastAsia="pl-PL"/>
              </w:rPr>
            </w:pPr>
            <w:r w:rsidRPr="00342041">
              <w:rPr>
                <w:rFonts w:ascii="Times New Roman" w:eastAsia="Times New Roman" w:hAnsi="Times New Roman" w:cs="Times New Roman"/>
                <w:b/>
                <w:bCs/>
                <w:sz w:val="20"/>
                <w:szCs w:val="20"/>
                <w:lang w:eastAsia="pl-PL"/>
              </w:rPr>
              <w:t>Absolwenci kursów organizowanych przez domy, ośrodki i centra kultury, kluby i świetlice</w:t>
            </w:r>
          </w:p>
        </w:tc>
      </w:tr>
      <w:tr w:rsidR="00072C47" w:rsidRPr="00342041" w14:paraId="2098CB5E" w14:textId="77777777" w:rsidTr="001254CD">
        <w:trPr>
          <w:trHeight w:val="300"/>
          <w:jc w:val="center"/>
        </w:trPr>
        <w:tc>
          <w:tcPr>
            <w:tcW w:w="2145" w:type="dxa"/>
            <w:shd w:val="clear" w:color="auto" w:fill="9CC2E5" w:themeFill="accent1" w:themeFillTint="99"/>
            <w:noWrap/>
            <w:vAlign w:val="center"/>
            <w:hideMark/>
          </w:tcPr>
          <w:p w14:paraId="3FED7927"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Ogółem</w:t>
            </w:r>
          </w:p>
        </w:tc>
        <w:tc>
          <w:tcPr>
            <w:tcW w:w="1115" w:type="dxa"/>
            <w:shd w:val="clear" w:color="auto" w:fill="auto"/>
            <w:noWrap/>
            <w:vAlign w:val="center"/>
            <w:hideMark/>
          </w:tcPr>
          <w:p w14:paraId="144DB0A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101 013</w:t>
            </w:r>
          </w:p>
        </w:tc>
        <w:tc>
          <w:tcPr>
            <w:tcW w:w="1276" w:type="dxa"/>
            <w:shd w:val="clear" w:color="auto" w:fill="auto"/>
            <w:vAlign w:val="center"/>
            <w:hideMark/>
          </w:tcPr>
          <w:p w14:paraId="037F98B8"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67 871</w:t>
            </w:r>
          </w:p>
        </w:tc>
        <w:tc>
          <w:tcPr>
            <w:tcW w:w="1134" w:type="dxa"/>
            <w:shd w:val="clear" w:color="auto" w:fill="auto"/>
            <w:vAlign w:val="center"/>
            <w:hideMark/>
          </w:tcPr>
          <w:p w14:paraId="51128357"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33 142</w:t>
            </w:r>
          </w:p>
        </w:tc>
        <w:tc>
          <w:tcPr>
            <w:tcW w:w="1413" w:type="dxa"/>
            <w:shd w:val="clear" w:color="auto" w:fill="auto"/>
            <w:vAlign w:val="center"/>
            <w:hideMark/>
          </w:tcPr>
          <w:p w14:paraId="4E4578CC"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19 886</w:t>
            </w:r>
          </w:p>
        </w:tc>
        <w:tc>
          <w:tcPr>
            <w:tcW w:w="1417" w:type="dxa"/>
            <w:shd w:val="clear" w:color="auto" w:fill="auto"/>
            <w:vAlign w:val="center"/>
            <w:hideMark/>
          </w:tcPr>
          <w:p w14:paraId="5A37FBE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13 167</w:t>
            </w:r>
          </w:p>
        </w:tc>
        <w:tc>
          <w:tcPr>
            <w:tcW w:w="1276" w:type="dxa"/>
            <w:shd w:val="clear" w:color="auto" w:fill="auto"/>
            <w:vAlign w:val="center"/>
            <w:hideMark/>
          </w:tcPr>
          <w:p w14:paraId="30C8C0C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6 719</w:t>
            </w:r>
          </w:p>
        </w:tc>
      </w:tr>
      <w:tr w:rsidR="00072C47" w:rsidRPr="00342041" w14:paraId="4C4C489A" w14:textId="77777777" w:rsidTr="001254CD">
        <w:trPr>
          <w:trHeight w:val="300"/>
          <w:jc w:val="center"/>
        </w:trPr>
        <w:tc>
          <w:tcPr>
            <w:tcW w:w="9776" w:type="dxa"/>
            <w:gridSpan w:val="7"/>
            <w:shd w:val="clear" w:color="auto" w:fill="9CC2E5" w:themeFill="accent1" w:themeFillTint="99"/>
            <w:vAlign w:val="center"/>
            <w:hideMark/>
          </w:tcPr>
          <w:p w14:paraId="20BEA1A7" w14:textId="77777777" w:rsidR="00072C47" w:rsidRPr="00342041" w:rsidRDefault="00072C47" w:rsidP="001254CD">
            <w:pPr>
              <w:spacing w:after="0" w:line="240" w:lineRule="auto"/>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w tym: </w:t>
            </w:r>
          </w:p>
        </w:tc>
      </w:tr>
      <w:tr w:rsidR="00072C47" w:rsidRPr="00342041" w14:paraId="0BEAD197" w14:textId="77777777" w:rsidTr="001254CD">
        <w:trPr>
          <w:trHeight w:val="300"/>
          <w:jc w:val="center"/>
        </w:trPr>
        <w:tc>
          <w:tcPr>
            <w:tcW w:w="2145" w:type="dxa"/>
            <w:shd w:val="clear" w:color="auto" w:fill="9CC2E5" w:themeFill="accent1" w:themeFillTint="99"/>
            <w:noWrap/>
            <w:vAlign w:val="center"/>
            <w:hideMark/>
          </w:tcPr>
          <w:p w14:paraId="258A19FB" w14:textId="77777777" w:rsidR="00072C47" w:rsidRPr="00342041" w:rsidRDefault="00072C47" w:rsidP="001254CD">
            <w:pPr>
              <w:spacing w:after="0" w:line="240" w:lineRule="auto"/>
              <w:ind w:firstLineChars="100" w:firstLine="200"/>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języków obcych</w:t>
            </w:r>
          </w:p>
        </w:tc>
        <w:tc>
          <w:tcPr>
            <w:tcW w:w="1115" w:type="dxa"/>
            <w:shd w:val="clear" w:color="auto" w:fill="auto"/>
            <w:noWrap/>
            <w:vAlign w:val="center"/>
            <w:hideMark/>
          </w:tcPr>
          <w:p w14:paraId="3E138A73"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19 163</w:t>
            </w:r>
          </w:p>
        </w:tc>
        <w:tc>
          <w:tcPr>
            <w:tcW w:w="1276" w:type="dxa"/>
            <w:shd w:val="clear" w:color="auto" w:fill="auto"/>
            <w:vAlign w:val="center"/>
            <w:hideMark/>
          </w:tcPr>
          <w:p w14:paraId="0EB33692"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12 379</w:t>
            </w:r>
          </w:p>
        </w:tc>
        <w:tc>
          <w:tcPr>
            <w:tcW w:w="1134" w:type="dxa"/>
            <w:shd w:val="clear" w:color="auto" w:fill="auto"/>
            <w:vAlign w:val="center"/>
            <w:hideMark/>
          </w:tcPr>
          <w:p w14:paraId="0C413BE2"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6 784</w:t>
            </w:r>
          </w:p>
        </w:tc>
        <w:tc>
          <w:tcPr>
            <w:tcW w:w="1413" w:type="dxa"/>
            <w:shd w:val="clear" w:color="auto" w:fill="auto"/>
            <w:vAlign w:val="center"/>
            <w:hideMark/>
          </w:tcPr>
          <w:p w14:paraId="3DA31376"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4 664</w:t>
            </w:r>
          </w:p>
        </w:tc>
        <w:tc>
          <w:tcPr>
            <w:tcW w:w="1417" w:type="dxa"/>
            <w:shd w:val="clear" w:color="auto" w:fill="auto"/>
            <w:vAlign w:val="center"/>
            <w:hideMark/>
          </w:tcPr>
          <w:p w14:paraId="342E5ED9"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3 631</w:t>
            </w:r>
          </w:p>
        </w:tc>
        <w:tc>
          <w:tcPr>
            <w:tcW w:w="1276" w:type="dxa"/>
            <w:shd w:val="clear" w:color="auto" w:fill="auto"/>
            <w:vAlign w:val="center"/>
            <w:hideMark/>
          </w:tcPr>
          <w:p w14:paraId="71F98185"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1 033</w:t>
            </w:r>
          </w:p>
        </w:tc>
      </w:tr>
      <w:tr w:rsidR="00072C47" w:rsidRPr="00342041" w14:paraId="1A0EB0B2" w14:textId="77777777" w:rsidTr="001254CD">
        <w:trPr>
          <w:trHeight w:val="300"/>
          <w:jc w:val="center"/>
        </w:trPr>
        <w:tc>
          <w:tcPr>
            <w:tcW w:w="2145" w:type="dxa"/>
            <w:shd w:val="clear" w:color="auto" w:fill="9CC2E5" w:themeFill="accent1" w:themeFillTint="99"/>
            <w:noWrap/>
            <w:vAlign w:val="center"/>
            <w:hideMark/>
          </w:tcPr>
          <w:p w14:paraId="4A775483" w14:textId="77777777" w:rsidR="00072C47" w:rsidRPr="00342041" w:rsidRDefault="00072C47" w:rsidP="001254CD">
            <w:pPr>
              <w:spacing w:after="0" w:line="240" w:lineRule="auto"/>
              <w:ind w:firstLineChars="100" w:firstLine="200"/>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plastycznych</w:t>
            </w:r>
          </w:p>
        </w:tc>
        <w:tc>
          <w:tcPr>
            <w:tcW w:w="1115" w:type="dxa"/>
            <w:shd w:val="clear" w:color="auto" w:fill="auto"/>
            <w:noWrap/>
            <w:vAlign w:val="center"/>
            <w:hideMark/>
          </w:tcPr>
          <w:p w14:paraId="5EF20A7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17 277</w:t>
            </w:r>
          </w:p>
        </w:tc>
        <w:tc>
          <w:tcPr>
            <w:tcW w:w="1276" w:type="dxa"/>
            <w:shd w:val="clear" w:color="auto" w:fill="auto"/>
            <w:vAlign w:val="center"/>
            <w:hideMark/>
          </w:tcPr>
          <w:p w14:paraId="06877DA0"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11 135</w:t>
            </w:r>
          </w:p>
        </w:tc>
        <w:tc>
          <w:tcPr>
            <w:tcW w:w="1134" w:type="dxa"/>
            <w:shd w:val="clear" w:color="auto" w:fill="auto"/>
            <w:vAlign w:val="center"/>
            <w:hideMark/>
          </w:tcPr>
          <w:p w14:paraId="16EB1E2C"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6 142</w:t>
            </w:r>
          </w:p>
        </w:tc>
        <w:tc>
          <w:tcPr>
            <w:tcW w:w="1413" w:type="dxa"/>
            <w:shd w:val="clear" w:color="auto" w:fill="auto"/>
            <w:vAlign w:val="center"/>
            <w:hideMark/>
          </w:tcPr>
          <w:p w14:paraId="54F1368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2 096</w:t>
            </w:r>
          </w:p>
        </w:tc>
        <w:tc>
          <w:tcPr>
            <w:tcW w:w="1417" w:type="dxa"/>
            <w:shd w:val="clear" w:color="auto" w:fill="auto"/>
            <w:vAlign w:val="center"/>
            <w:hideMark/>
          </w:tcPr>
          <w:p w14:paraId="44C6C4BF"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1 364</w:t>
            </w:r>
          </w:p>
        </w:tc>
        <w:tc>
          <w:tcPr>
            <w:tcW w:w="1276" w:type="dxa"/>
            <w:shd w:val="clear" w:color="auto" w:fill="auto"/>
            <w:vAlign w:val="center"/>
            <w:hideMark/>
          </w:tcPr>
          <w:p w14:paraId="1876A117"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732</w:t>
            </w:r>
          </w:p>
        </w:tc>
      </w:tr>
      <w:tr w:rsidR="00072C47" w:rsidRPr="00342041" w14:paraId="3372CC5A" w14:textId="77777777" w:rsidTr="001254CD">
        <w:trPr>
          <w:trHeight w:val="300"/>
          <w:jc w:val="center"/>
        </w:trPr>
        <w:tc>
          <w:tcPr>
            <w:tcW w:w="2145" w:type="dxa"/>
            <w:shd w:val="clear" w:color="auto" w:fill="9CC2E5" w:themeFill="accent1" w:themeFillTint="99"/>
            <w:noWrap/>
            <w:vAlign w:val="center"/>
            <w:hideMark/>
          </w:tcPr>
          <w:p w14:paraId="409D5F20" w14:textId="77777777" w:rsidR="00072C47" w:rsidRPr="00342041" w:rsidRDefault="00072C47" w:rsidP="001254CD">
            <w:pPr>
              <w:spacing w:after="0" w:line="240" w:lineRule="auto"/>
              <w:ind w:firstLineChars="100" w:firstLine="200"/>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nauki gry na instrumentach</w:t>
            </w:r>
          </w:p>
        </w:tc>
        <w:tc>
          <w:tcPr>
            <w:tcW w:w="1115" w:type="dxa"/>
            <w:shd w:val="clear" w:color="auto" w:fill="auto"/>
            <w:noWrap/>
            <w:vAlign w:val="center"/>
            <w:hideMark/>
          </w:tcPr>
          <w:p w14:paraId="70572CE2"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14 755</w:t>
            </w:r>
          </w:p>
        </w:tc>
        <w:tc>
          <w:tcPr>
            <w:tcW w:w="1276" w:type="dxa"/>
            <w:shd w:val="clear" w:color="auto" w:fill="auto"/>
            <w:vAlign w:val="center"/>
            <w:hideMark/>
          </w:tcPr>
          <w:p w14:paraId="5B61C745"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10 126</w:t>
            </w:r>
          </w:p>
        </w:tc>
        <w:tc>
          <w:tcPr>
            <w:tcW w:w="1134" w:type="dxa"/>
            <w:shd w:val="clear" w:color="auto" w:fill="auto"/>
            <w:vAlign w:val="center"/>
            <w:hideMark/>
          </w:tcPr>
          <w:p w14:paraId="512694E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4 629</w:t>
            </w:r>
          </w:p>
        </w:tc>
        <w:tc>
          <w:tcPr>
            <w:tcW w:w="1413" w:type="dxa"/>
            <w:shd w:val="clear" w:color="auto" w:fill="auto"/>
            <w:vAlign w:val="center"/>
            <w:hideMark/>
          </w:tcPr>
          <w:p w14:paraId="502C59C2"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171</w:t>
            </w:r>
          </w:p>
        </w:tc>
        <w:tc>
          <w:tcPr>
            <w:tcW w:w="1417" w:type="dxa"/>
            <w:shd w:val="clear" w:color="auto" w:fill="auto"/>
            <w:vAlign w:val="center"/>
            <w:hideMark/>
          </w:tcPr>
          <w:p w14:paraId="507C4583"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130</w:t>
            </w:r>
          </w:p>
        </w:tc>
        <w:tc>
          <w:tcPr>
            <w:tcW w:w="1276" w:type="dxa"/>
            <w:shd w:val="clear" w:color="auto" w:fill="auto"/>
            <w:vAlign w:val="center"/>
            <w:hideMark/>
          </w:tcPr>
          <w:p w14:paraId="4A838ADB"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41</w:t>
            </w:r>
          </w:p>
        </w:tc>
      </w:tr>
      <w:tr w:rsidR="00072C47" w:rsidRPr="00342041" w14:paraId="1739C09C" w14:textId="77777777" w:rsidTr="001254CD">
        <w:trPr>
          <w:trHeight w:val="300"/>
          <w:jc w:val="center"/>
        </w:trPr>
        <w:tc>
          <w:tcPr>
            <w:tcW w:w="2145" w:type="dxa"/>
            <w:shd w:val="clear" w:color="auto" w:fill="9CC2E5" w:themeFill="accent1" w:themeFillTint="99"/>
            <w:noWrap/>
            <w:vAlign w:val="center"/>
            <w:hideMark/>
          </w:tcPr>
          <w:p w14:paraId="56165589" w14:textId="77777777" w:rsidR="00072C47" w:rsidRPr="00342041" w:rsidRDefault="00072C47" w:rsidP="001254CD">
            <w:pPr>
              <w:spacing w:after="0" w:line="240" w:lineRule="auto"/>
              <w:ind w:firstLineChars="100" w:firstLine="200"/>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wiedzy praktycznej</w:t>
            </w:r>
          </w:p>
        </w:tc>
        <w:tc>
          <w:tcPr>
            <w:tcW w:w="1115" w:type="dxa"/>
            <w:shd w:val="clear" w:color="auto" w:fill="auto"/>
            <w:noWrap/>
            <w:vAlign w:val="center"/>
            <w:hideMark/>
          </w:tcPr>
          <w:p w14:paraId="31DC557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6 913</w:t>
            </w:r>
          </w:p>
        </w:tc>
        <w:tc>
          <w:tcPr>
            <w:tcW w:w="1276" w:type="dxa"/>
            <w:shd w:val="clear" w:color="auto" w:fill="auto"/>
            <w:vAlign w:val="center"/>
            <w:hideMark/>
          </w:tcPr>
          <w:p w14:paraId="6CC88BC0"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3 245</w:t>
            </w:r>
          </w:p>
        </w:tc>
        <w:tc>
          <w:tcPr>
            <w:tcW w:w="1134" w:type="dxa"/>
            <w:shd w:val="clear" w:color="auto" w:fill="auto"/>
            <w:vAlign w:val="center"/>
            <w:hideMark/>
          </w:tcPr>
          <w:p w14:paraId="64A641C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3 668</w:t>
            </w:r>
          </w:p>
        </w:tc>
        <w:tc>
          <w:tcPr>
            <w:tcW w:w="1413" w:type="dxa"/>
            <w:shd w:val="clear" w:color="auto" w:fill="auto"/>
            <w:vAlign w:val="center"/>
            <w:hideMark/>
          </w:tcPr>
          <w:p w14:paraId="59375BD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2 116</w:t>
            </w:r>
          </w:p>
        </w:tc>
        <w:tc>
          <w:tcPr>
            <w:tcW w:w="1417" w:type="dxa"/>
            <w:shd w:val="clear" w:color="auto" w:fill="auto"/>
            <w:vAlign w:val="center"/>
            <w:hideMark/>
          </w:tcPr>
          <w:p w14:paraId="3BCA54EA"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967</w:t>
            </w:r>
          </w:p>
        </w:tc>
        <w:tc>
          <w:tcPr>
            <w:tcW w:w="1276" w:type="dxa"/>
            <w:shd w:val="clear" w:color="auto" w:fill="auto"/>
            <w:vAlign w:val="center"/>
            <w:hideMark/>
          </w:tcPr>
          <w:p w14:paraId="5C2875B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1 149</w:t>
            </w:r>
          </w:p>
        </w:tc>
      </w:tr>
      <w:tr w:rsidR="00072C47" w:rsidRPr="00342041" w14:paraId="505E9FBD" w14:textId="77777777" w:rsidTr="001254CD">
        <w:trPr>
          <w:trHeight w:val="300"/>
          <w:jc w:val="center"/>
        </w:trPr>
        <w:tc>
          <w:tcPr>
            <w:tcW w:w="2145" w:type="dxa"/>
            <w:shd w:val="clear" w:color="auto" w:fill="9CC2E5" w:themeFill="accent1" w:themeFillTint="99"/>
            <w:noWrap/>
            <w:vAlign w:val="center"/>
            <w:hideMark/>
          </w:tcPr>
          <w:p w14:paraId="1D9ED832" w14:textId="77777777" w:rsidR="00072C47" w:rsidRPr="00342041" w:rsidRDefault="00072C47" w:rsidP="001254CD">
            <w:pPr>
              <w:spacing w:after="0" w:line="240" w:lineRule="auto"/>
              <w:ind w:firstLineChars="100" w:firstLine="200"/>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tańca</w:t>
            </w:r>
          </w:p>
        </w:tc>
        <w:tc>
          <w:tcPr>
            <w:tcW w:w="1115" w:type="dxa"/>
            <w:shd w:val="clear" w:color="auto" w:fill="auto"/>
            <w:noWrap/>
            <w:vAlign w:val="center"/>
            <w:hideMark/>
          </w:tcPr>
          <w:p w14:paraId="71D8C07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20 639</w:t>
            </w:r>
          </w:p>
        </w:tc>
        <w:tc>
          <w:tcPr>
            <w:tcW w:w="1276" w:type="dxa"/>
            <w:shd w:val="clear" w:color="auto" w:fill="auto"/>
            <w:vAlign w:val="center"/>
            <w:hideMark/>
          </w:tcPr>
          <w:p w14:paraId="235D82CF"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15 843</w:t>
            </w:r>
          </w:p>
        </w:tc>
        <w:tc>
          <w:tcPr>
            <w:tcW w:w="1134" w:type="dxa"/>
            <w:shd w:val="clear" w:color="auto" w:fill="auto"/>
            <w:vAlign w:val="center"/>
            <w:hideMark/>
          </w:tcPr>
          <w:p w14:paraId="556FFB5E"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4 796</w:t>
            </w:r>
          </w:p>
        </w:tc>
        <w:tc>
          <w:tcPr>
            <w:tcW w:w="1413" w:type="dxa"/>
            <w:shd w:val="clear" w:color="auto" w:fill="auto"/>
            <w:vAlign w:val="center"/>
            <w:hideMark/>
          </w:tcPr>
          <w:p w14:paraId="440B1985"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2 348</w:t>
            </w:r>
          </w:p>
        </w:tc>
        <w:tc>
          <w:tcPr>
            <w:tcW w:w="1417" w:type="dxa"/>
            <w:shd w:val="clear" w:color="auto" w:fill="auto"/>
            <w:vAlign w:val="center"/>
            <w:hideMark/>
          </w:tcPr>
          <w:p w14:paraId="78DECB05"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2 164</w:t>
            </w:r>
          </w:p>
        </w:tc>
        <w:tc>
          <w:tcPr>
            <w:tcW w:w="1276" w:type="dxa"/>
            <w:shd w:val="clear" w:color="auto" w:fill="auto"/>
            <w:vAlign w:val="center"/>
            <w:hideMark/>
          </w:tcPr>
          <w:p w14:paraId="161F7881"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184</w:t>
            </w:r>
          </w:p>
        </w:tc>
      </w:tr>
      <w:tr w:rsidR="00072C47" w:rsidRPr="00342041" w14:paraId="46C18EDA" w14:textId="77777777" w:rsidTr="001254CD">
        <w:trPr>
          <w:trHeight w:val="300"/>
          <w:jc w:val="center"/>
        </w:trPr>
        <w:tc>
          <w:tcPr>
            <w:tcW w:w="2145" w:type="dxa"/>
            <w:shd w:val="clear" w:color="auto" w:fill="9CC2E5" w:themeFill="accent1" w:themeFillTint="99"/>
            <w:noWrap/>
            <w:vAlign w:val="center"/>
            <w:hideMark/>
          </w:tcPr>
          <w:p w14:paraId="5922FC50" w14:textId="77777777" w:rsidR="00072C47" w:rsidRPr="00342041" w:rsidRDefault="00072C47" w:rsidP="001254CD">
            <w:pPr>
              <w:spacing w:after="0" w:line="240" w:lineRule="auto"/>
              <w:rPr>
                <w:rFonts w:ascii="Times New Roman" w:eastAsia="Times New Roman" w:hAnsi="Times New Roman" w:cs="Times New Roman"/>
                <w:b/>
                <w:sz w:val="20"/>
                <w:szCs w:val="20"/>
                <w:lang w:eastAsia="pl-PL"/>
              </w:rPr>
            </w:pPr>
            <w:r w:rsidRPr="00342041">
              <w:rPr>
                <w:rFonts w:ascii="Times New Roman" w:eastAsia="Times New Roman" w:hAnsi="Times New Roman" w:cs="Times New Roman"/>
                <w:b/>
                <w:sz w:val="20"/>
                <w:szCs w:val="20"/>
                <w:lang w:eastAsia="pl-PL"/>
              </w:rPr>
              <w:t xml:space="preserve">   komputerowych</w:t>
            </w:r>
          </w:p>
        </w:tc>
        <w:tc>
          <w:tcPr>
            <w:tcW w:w="1115" w:type="dxa"/>
            <w:shd w:val="clear" w:color="auto" w:fill="auto"/>
            <w:noWrap/>
            <w:vAlign w:val="center"/>
            <w:hideMark/>
          </w:tcPr>
          <w:p w14:paraId="2E365D0F"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9 907</w:t>
            </w:r>
          </w:p>
        </w:tc>
        <w:tc>
          <w:tcPr>
            <w:tcW w:w="1276" w:type="dxa"/>
            <w:shd w:val="clear" w:color="auto" w:fill="auto"/>
            <w:vAlign w:val="center"/>
            <w:hideMark/>
          </w:tcPr>
          <w:p w14:paraId="769CD3AD"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4 945</w:t>
            </w:r>
          </w:p>
        </w:tc>
        <w:tc>
          <w:tcPr>
            <w:tcW w:w="1134" w:type="dxa"/>
            <w:shd w:val="clear" w:color="auto" w:fill="auto"/>
            <w:vAlign w:val="center"/>
            <w:hideMark/>
          </w:tcPr>
          <w:p w14:paraId="79717BC5"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4 962</w:t>
            </w:r>
          </w:p>
        </w:tc>
        <w:tc>
          <w:tcPr>
            <w:tcW w:w="1413" w:type="dxa"/>
            <w:shd w:val="clear" w:color="auto" w:fill="auto"/>
            <w:vAlign w:val="center"/>
            <w:hideMark/>
          </w:tcPr>
          <w:p w14:paraId="11A63260"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6 471</w:t>
            </w:r>
          </w:p>
        </w:tc>
        <w:tc>
          <w:tcPr>
            <w:tcW w:w="1417" w:type="dxa"/>
            <w:shd w:val="clear" w:color="auto" w:fill="auto"/>
            <w:vAlign w:val="center"/>
            <w:hideMark/>
          </w:tcPr>
          <w:p w14:paraId="2FE73F74"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3 241</w:t>
            </w:r>
          </w:p>
        </w:tc>
        <w:tc>
          <w:tcPr>
            <w:tcW w:w="1276" w:type="dxa"/>
            <w:shd w:val="clear" w:color="auto" w:fill="auto"/>
            <w:vAlign w:val="center"/>
            <w:hideMark/>
          </w:tcPr>
          <w:p w14:paraId="557A0FEB" w14:textId="77777777" w:rsidR="00072C47" w:rsidRPr="00342041" w:rsidRDefault="00072C47" w:rsidP="001254CD">
            <w:pPr>
              <w:spacing w:after="0" w:line="240" w:lineRule="auto"/>
              <w:jc w:val="center"/>
              <w:rPr>
                <w:rFonts w:ascii="Times New Roman" w:eastAsia="Times New Roman" w:hAnsi="Times New Roman" w:cs="Times New Roman"/>
                <w:sz w:val="20"/>
                <w:szCs w:val="20"/>
                <w:lang w:eastAsia="pl-PL"/>
              </w:rPr>
            </w:pPr>
            <w:r w:rsidRPr="00342041">
              <w:rPr>
                <w:rFonts w:ascii="Times New Roman" w:eastAsia="Times New Roman" w:hAnsi="Times New Roman" w:cs="Times New Roman"/>
                <w:sz w:val="20"/>
                <w:szCs w:val="20"/>
                <w:lang w:eastAsia="pl-PL"/>
              </w:rPr>
              <w:t>3 230</w:t>
            </w:r>
          </w:p>
        </w:tc>
      </w:tr>
    </w:tbl>
    <w:p w14:paraId="0A920AEE" w14:textId="77777777" w:rsidR="00072C47" w:rsidRPr="001818BF" w:rsidRDefault="00072C47" w:rsidP="00072C47">
      <w:pPr>
        <w:rPr>
          <w:rFonts w:ascii="Times New Roman" w:hAnsi="Times New Roman" w:cs="Times New Roman"/>
          <w:b/>
        </w:rPr>
      </w:pPr>
      <w:r w:rsidRPr="001818BF">
        <w:rPr>
          <w:rFonts w:ascii="Times New Roman" w:hAnsi="Times New Roman" w:cs="Times New Roman"/>
          <w:b/>
        </w:rPr>
        <w:t>Źródło:  Badanie GUS (sprawozdanie K-07)</w:t>
      </w:r>
    </w:p>
    <w:p w14:paraId="1FB9F5C0" w14:textId="77777777" w:rsidR="00072C47" w:rsidRPr="00F279D7" w:rsidRDefault="00072C47" w:rsidP="00072C47">
      <w:pPr>
        <w:spacing w:after="0"/>
        <w:jc w:val="both"/>
        <w:rPr>
          <w:rFonts w:ascii="Times New Roman" w:hAnsi="Times New Roman"/>
          <w:sz w:val="24"/>
          <w:szCs w:val="24"/>
        </w:rPr>
      </w:pPr>
      <w:r w:rsidRPr="00C550C9">
        <w:rPr>
          <w:rFonts w:ascii="Times New Roman" w:hAnsi="Times New Roman"/>
          <w:sz w:val="24"/>
          <w:szCs w:val="24"/>
        </w:rPr>
        <w:t xml:space="preserve">Z danych GUS  wynika również, iż aktywny udział osób w wieku 60 lat lub więcej odnotowano w ramach działalności różnorodnych kół zainteresowań, klubów i sekcji w instytucjach kultury. </w:t>
      </w:r>
      <w:r w:rsidRPr="00F279D7">
        <w:rPr>
          <w:rFonts w:ascii="Times New Roman" w:hAnsi="Times New Roman"/>
          <w:sz w:val="24"/>
          <w:szCs w:val="24"/>
        </w:rPr>
        <w:t>Osoby starsze liczyły blisko 1/3 uczestników tych stałych form działalności (</w:t>
      </w:r>
      <w:r w:rsidR="00F279D7" w:rsidRPr="00F279D7">
        <w:rPr>
          <w:rFonts w:ascii="Times New Roman" w:hAnsi="Times New Roman"/>
          <w:sz w:val="24"/>
          <w:szCs w:val="24"/>
        </w:rPr>
        <w:t>36,6</w:t>
      </w:r>
      <w:r w:rsidRPr="00F279D7">
        <w:rPr>
          <w:rFonts w:ascii="Times New Roman" w:hAnsi="Times New Roman"/>
          <w:sz w:val="24"/>
          <w:szCs w:val="24"/>
        </w:rPr>
        <w:t xml:space="preserve">%). Osoby w wieku </w:t>
      </w:r>
      <w:r w:rsidR="00F279D7">
        <w:rPr>
          <w:rFonts w:ascii="Times New Roman" w:hAnsi="Times New Roman"/>
          <w:sz w:val="24"/>
          <w:szCs w:val="24"/>
        </w:rPr>
        <w:t>60 lat lub więcej stanowiły ok. 54</w:t>
      </w:r>
      <w:r w:rsidRPr="00F279D7">
        <w:rPr>
          <w:rFonts w:ascii="Times New Roman" w:hAnsi="Times New Roman"/>
          <w:sz w:val="24"/>
          <w:szCs w:val="24"/>
        </w:rPr>
        <w:t>% ucze</w:t>
      </w:r>
      <w:r w:rsidR="00F279D7">
        <w:rPr>
          <w:rFonts w:ascii="Times New Roman" w:hAnsi="Times New Roman"/>
          <w:sz w:val="24"/>
          <w:szCs w:val="24"/>
        </w:rPr>
        <w:t>stników zajęć kół gospodyń, 30</w:t>
      </w:r>
      <w:r w:rsidRPr="00F279D7">
        <w:rPr>
          <w:rFonts w:ascii="Times New Roman" w:hAnsi="Times New Roman"/>
          <w:sz w:val="24"/>
          <w:szCs w:val="24"/>
        </w:rPr>
        <w:t xml:space="preserve">% osób biorących udział w spotkaniach dyskusyjnych klubów filmowych, </w:t>
      </w:r>
      <w:r w:rsidR="00F279D7">
        <w:rPr>
          <w:rFonts w:ascii="Times New Roman" w:hAnsi="Times New Roman"/>
          <w:sz w:val="24"/>
          <w:szCs w:val="24"/>
        </w:rPr>
        <w:t>ok. 38%</w:t>
      </w:r>
      <w:r w:rsidRPr="00F279D7">
        <w:rPr>
          <w:rFonts w:ascii="Times New Roman" w:hAnsi="Times New Roman"/>
          <w:sz w:val="24"/>
          <w:szCs w:val="24"/>
        </w:rPr>
        <w:t xml:space="preserve"> ucz</w:t>
      </w:r>
      <w:r w:rsidR="00F279D7">
        <w:rPr>
          <w:rFonts w:ascii="Times New Roman" w:hAnsi="Times New Roman"/>
          <w:sz w:val="24"/>
          <w:szCs w:val="24"/>
        </w:rPr>
        <w:t>estników zajęć informatycznych oraz ok. 33%</w:t>
      </w:r>
      <w:r w:rsidRPr="00F279D7">
        <w:rPr>
          <w:rFonts w:ascii="Times New Roman" w:hAnsi="Times New Roman"/>
          <w:sz w:val="24"/>
          <w:szCs w:val="24"/>
        </w:rPr>
        <w:t xml:space="preserve"> członków kół literackich.</w:t>
      </w:r>
    </w:p>
    <w:p w14:paraId="3C157D73" w14:textId="77777777" w:rsidR="001144E2" w:rsidRDefault="001144E2" w:rsidP="003C1988">
      <w:pPr>
        <w:spacing w:after="0"/>
        <w:rPr>
          <w:rFonts w:ascii="Times New Roman" w:hAnsi="Times New Roman"/>
          <w:sz w:val="24"/>
          <w:szCs w:val="24"/>
        </w:rPr>
      </w:pPr>
    </w:p>
    <w:p w14:paraId="1F7A6F2F" w14:textId="77777777" w:rsidR="009160B2" w:rsidRDefault="001144E2" w:rsidP="00072C47">
      <w:pPr>
        <w:spacing w:after="0"/>
        <w:jc w:val="both"/>
        <w:rPr>
          <w:rFonts w:ascii="Times New Roman" w:hAnsi="Times New Roman" w:cs="Times New Roman"/>
          <w:sz w:val="24"/>
          <w:szCs w:val="24"/>
        </w:rPr>
      </w:pPr>
      <w:r w:rsidRPr="001144E2">
        <w:rPr>
          <w:rFonts w:ascii="Times New Roman" w:hAnsi="Times New Roman" w:cs="Times New Roman"/>
          <w:sz w:val="24"/>
          <w:szCs w:val="24"/>
        </w:rPr>
        <w:t>Osoby starsze mogą korzystać z różnorodnych form aktywności kulturalnej i artystycznej organizowanej przez instytucje kultury, organizacje pozarządowe, w tym UTW oraz szkoły artystyczne, a także innego typu organizacje i zrzeszenia, w tym chóry</w:t>
      </w:r>
      <w:r w:rsidR="00072C47">
        <w:rPr>
          <w:rFonts w:ascii="Times New Roman" w:hAnsi="Times New Roman" w:cs="Times New Roman"/>
          <w:sz w:val="24"/>
          <w:szCs w:val="24"/>
        </w:rPr>
        <w:t xml:space="preserve">, orkiestry, zespoły muzyczne. </w:t>
      </w:r>
    </w:p>
    <w:p w14:paraId="37081FB6" w14:textId="77777777" w:rsidR="00072C47" w:rsidRPr="00072C47" w:rsidRDefault="00072C47" w:rsidP="00072C47">
      <w:pPr>
        <w:spacing w:after="0"/>
        <w:jc w:val="both"/>
        <w:rPr>
          <w:rFonts w:ascii="Times New Roman" w:hAnsi="Times New Roman" w:cs="Times New Roman"/>
          <w:sz w:val="24"/>
          <w:szCs w:val="24"/>
        </w:rPr>
      </w:pPr>
    </w:p>
    <w:p w14:paraId="4DB56774" w14:textId="77777777" w:rsidR="00060A45" w:rsidRPr="00060A45" w:rsidRDefault="00060A45" w:rsidP="00060A45">
      <w:pPr>
        <w:pStyle w:val="Akapitzlist"/>
        <w:spacing w:after="0"/>
        <w:ind w:left="-57"/>
        <w:contextualSpacing w:val="0"/>
        <w:jc w:val="both"/>
        <w:rPr>
          <w:rFonts w:ascii="Times New Roman" w:hAnsi="Times New Roman" w:cs="Times New Roman"/>
          <w:b/>
          <w:color w:val="00B0F0"/>
          <w:sz w:val="24"/>
        </w:rPr>
      </w:pPr>
      <w:r w:rsidRPr="00060A45">
        <w:rPr>
          <w:rFonts w:ascii="Times New Roman" w:hAnsi="Times New Roman" w:cs="Times New Roman"/>
          <w:b/>
          <w:color w:val="00B0F0"/>
          <w:sz w:val="24"/>
        </w:rPr>
        <w:t>Wspieranie dostępu i uczestnictwa seniorów w kulturze</w:t>
      </w:r>
    </w:p>
    <w:p w14:paraId="434E9AEB" w14:textId="77777777" w:rsidR="00060A45" w:rsidRPr="00060A45" w:rsidRDefault="00060A45" w:rsidP="00060A45">
      <w:pPr>
        <w:pStyle w:val="Akapitzlist"/>
        <w:spacing w:after="0"/>
        <w:ind w:left="-57"/>
        <w:contextualSpacing w:val="0"/>
        <w:jc w:val="both"/>
        <w:rPr>
          <w:rFonts w:ascii="Times New Roman" w:hAnsi="Times New Roman" w:cs="Times New Roman"/>
          <w:b/>
          <w:sz w:val="24"/>
        </w:rPr>
      </w:pPr>
      <w:r w:rsidRPr="00060A45">
        <w:rPr>
          <w:rFonts w:ascii="Times New Roman" w:hAnsi="Times New Roman" w:cs="Times New Roman"/>
          <w:b/>
          <w:sz w:val="24"/>
        </w:rPr>
        <w:t>Ulgi w opłatach wstępu do muzeów</w:t>
      </w:r>
    </w:p>
    <w:p w14:paraId="3999F1AD" w14:textId="77777777" w:rsidR="00060A45" w:rsidRPr="00060A45" w:rsidRDefault="00060A45" w:rsidP="00060A45">
      <w:pPr>
        <w:pStyle w:val="Akapitzlist"/>
        <w:spacing w:after="0"/>
        <w:ind w:left="-57"/>
        <w:contextualSpacing w:val="0"/>
        <w:jc w:val="both"/>
        <w:rPr>
          <w:rFonts w:ascii="Times New Roman" w:hAnsi="Times New Roman" w:cs="Times New Roman"/>
          <w:sz w:val="24"/>
        </w:rPr>
      </w:pPr>
      <w:r w:rsidRPr="00060A45">
        <w:rPr>
          <w:rFonts w:ascii="Times New Roman" w:hAnsi="Times New Roman" w:cs="Times New Roman"/>
          <w:sz w:val="24"/>
        </w:rPr>
        <w:t>Na podstawie ustawy z dnia 21 listopada 1996 r. o muzeach (art. 10 ust. 2) w jednym dniu tygodnia wstęp na wystawy stałe muzeów jest nieodpłatny. Ponadto, w pozostałe dni tygodnia osobom powyżej 65 roku życia, emerytom i rencistom przysługuje ulga w opłacie za wstęp do muzeum.</w:t>
      </w:r>
    </w:p>
    <w:p w14:paraId="61D95E8D" w14:textId="77777777" w:rsidR="00060A45" w:rsidRDefault="00060A45" w:rsidP="00060A45">
      <w:pPr>
        <w:pStyle w:val="Akapitzlist"/>
        <w:spacing w:after="0"/>
        <w:ind w:left="-57"/>
        <w:contextualSpacing w:val="0"/>
        <w:jc w:val="both"/>
        <w:rPr>
          <w:rFonts w:ascii="Times New Roman" w:hAnsi="Times New Roman" w:cs="Times New Roman"/>
          <w:b/>
          <w:sz w:val="24"/>
        </w:rPr>
      </w:pPr>
    </w:p>
    <w:p w14:paraId="6B0D25DB" w14:textId="77777777" w:rsidR="00060A45" w:rsidRPr="00060A45" w:rsidRDefault="00060A45" w:rsidP="00060A45">
      <w:pPr>
        <w:pStyle w:val="Akapitzlist"/>
        <w:spacing w:after="0"/>
        <w:ind w:left="-57"/>
        <w:contextualSpacing w:val="0"/>
        <w:jc w:val="both"/>
        <w:rPr>
          <w:rFonts w:ascii="Times New Roman" w:hAnsi="Times New Roman" w:cs="Times New Roman"/>
          <w:b/>
          <w:sz w:val="24"/>
        </w:rPr>
      </w:pPr>
      <w:r w:rsidRPr="00060A45">
        <w:rPr>
          <w:rFonts w:ascii="Times New Roman" w:hAnsi="Times New Roman" w:cs="Times New Roman"/>
          <w:b/>
          <w:sz w:val="24"/>
        </w:rPr>
        <w:t xml:space="preserve">Akcja „60+Kultura” </w:t>
      </w:r>
    </w:p>
    <w:p w14:paraId="72722C34" w14:textId="77777777" w:rsidR="00060A45" w:rsidRPr="00060A45" w:rsidRDefault="00060A45" w:rsidP="00060A45">
      <w:pPr>
        <w:pStyle w:val="Akapitzlist"/>
        <w:spacing w:after="0"/>
        <w:ind w:left="-57"/>
        <w:contextualSpacing w:val="0"/>
        <w:jc w:val="both"/>
        <w:rPr>
          <w:rFonts w:ascii="Times New Roman" w:hAnsi="Times New Roman" w:cs="Times New Roman"/>
          <w:sz w:val="24"/>
        </w:rPr>
      </w:pPr>
      <w:r w:rsidRPr="00060A45">
        <w:rPr>
          <w:rFonts w:ascii="Times New Roman" w:hAnsi="Times New Roman" w:cs="Times New Roman"/>
          <w:sz w:val="24"/>
        </w:rPr>
        <w:t xml:space="preserve">MKIDN od 8 lat organizuje akcję </w:t>
      </w:r>
      <w:r w:rsidRPr="00060A45">
        <w:rPr>
          <w:rFonts w:ascii="Times New Roman" w:hAnsi="Times New Roman" w:cs="Times New Roman"/>
          <w:i/>
          <w:sz w:val="24"/>
        </w:rPr>
        <w:t>„60+Kultura” Weekend seniora z kulturą</w:t>
      </w:r>
      <w:r w:rsidRPr="00060A45">
        <w:rPr>
          <w:rFonts w:ascii="Times New Roman" w:hAnsi="Times New Roman" w:cs="Times New Roman"/>
          <w:sz w:val="24"/>
        </w:rPr>
        <w:t xml:space="preserve"> skierowaną do osób powyżej sześćdziesiątego roku życia. Akcja ma zachęcić seniorów do aktywnego uczestniczenia w życiu kulturalnym dzięki wykorzystaniu oferty dostępnej w ich miejscu zamieszkania.</w:t>
      </w:r>
    </w:p>
    <w:p w14:paraId="2116CB97" w14:textId="77777777" w:rsidR="00060A45" w:rsidRDefault="00060A45" w:rsidP="00060A45">
      <w:pPr>
        <w:pStyle w:val="Akapitzlist"/>
        <w:spacing w:after="0"/>
        <w:ind w:left="-57"/>
        <w:contextualSpacing w:val="0"/>
        <w:jc w:val="both"/>
        <w:rPr>
          <w:rFonts w:ascii="Times New Roman" w:hAnsi="Times New Roman" w:cs="Times New Roman"/>
          <w:sz w:val="24"/>
        </w:rPr>
      </w:pPr>
    </w:p>
    <w:p w14:paraId="028D2DB6" w14:textId="77777777" w:rsidR="00060A45" w:rsidRPr="00060A45" w:rsidRDefault="00060A45" w:rsidP="00060A45">
      <w:pPr>
        <w:pStyle w:val="Akapitzlist"/>
        <w:spacing w:after="0"/>
        <w:ind w:left="-57"/>
        <w:contextualSpacing w:val="0"/>
        <w:jc w:val="both"/>
        <w:rPr>
          <w:rFonts w:ascii="Times New Roman" w:hAnsi="Times New Roman" w:cs="Times New Roman"/>
          <w:sz w:val="24"/>
        </w:rPr>
      </w:pPr>
      <w:r w:rsidRPr="00060A45">
        <w:rPr>
          <w:rFonts w:ascii="Times New Roman" w:hAnsi="Times New Roman" w:cs="Times New Roman"/>
          <w:sz w:val="24"/>
        </w:rPr>
        <w:t>Ósma edycja inicjatywy „60+ Kultura” odbyła się w dniach 27- 29 września 2019 r. Oprócz umożliwienia seniorom skorzystania z oferty kulturalnej w wybranym terminie, nadrzędnym celem akcji było włączenie ich do uczestnictwa w kulturze, aby zachęceni ofertą pobliskich instytucji, stali się w przyszłości ich stałymi gośćmi.</w:t>
      </w:r>
    </w:p>
    <w:p w14:paraId="7D1F4806" w14:textId="77777777" w:rsidR="00060A45" w:rsidRDefault="00060A45" w:rsidP="00060A45">
      <w:pPr>
        <w:pStyle w:val="Akapitzlist"/>
        <w:spacing w:after="0"/>
        <w:ind w:left="-57"/>
        <w:contextualSpacing w:val="0"/>
        <w:jc w:val="both"/>
        <w:rPr>
          <w:rFonts w:ascii="Times New Roman" w:hAnsi="Times New Roman" w:cs="Times New Roman"/>
          <w:sz w:val="24"/>
        </w:rPr>
      </w:pPr>
    </w:p>
    <w:p w14:paraId="341B1521" w14:textId="77777777" w:rsidR="00060A45" w:rsidRPr="00060A45" w:rsidRDefault="00060A45" w:rsidP="00060A45">
      <w:pPr>
        <w:pStyle w:val="Akapitzlist"/>
        <w:spacing w:after="0"/>
        <w:ind w:left="-57"/>
        <w:contextualSpacing w:val="0"/>
        <w:jc w:val="both"/>
        <w:rPr>
          <w:rFonts w:ascii="Times New Roman" w:hAnsi="Times New Roman" w:cs="Times New Roman"/>
          <w:sz w:val="24"/>
        </w:rPr>
      </w:pPr>
      <w:r w:rsidRPr="00060A45">
        <w:rPr>
          <w:rFonts w:ascii="Times New Roman" w:hAnsi="Times New Roman" w:cs="Times New Roman"/>
          <w:sz w:val="24"/>
        </w:rPr>
        <w:lastRenderedPageBreak/>
        <w:t>Zaproszenia do uczestnictwa w akcji zostały wysłane do prawie 600 instytucji. Samą akcję poprzedziły działania informacyjne resortu i promocja w mediach społecznościowych. Informacje o placówkach, które przyłączyły się do akcji wraz z zaproponowaną przez nie ofertą w formie informacji zbiorczej z podziałem na województwa znalazły się na stronie internetowej MKiDN oraz w licznych komunikatach. Placówki, które przyłączyły się do akcji, otrzymały przygotowaną przez MKiDN identyfikację wizualną do umieszczenia na swoich stronach internetowych oraz w mediach społecznościowych, aby promocja wspólnych działań była spójna wizualnie.</w:t>
      </w:r>
    </w:p>
    <w:p w14:paraId="0E0662A4" w14:textId="77777777" w:rsidR="00060A45" w:rsidRDefault="00060A45" w:rsidP="00060A45">
      <w:pPr>
        <w:pStyle w:val="Akapitzlist"/>
        <w:spacing w:after="0"/>
        <w:ind w:left="-57"/>
        <w:contextualSpacing w:val="0"/>
        <w:jc w:val="both"/>
        <w:rPr>
          <w:rFonts w:ascii="Times New Roman" w:hAnsi="Times New Roman" w:cs="Times New Roman"/>
          <w:bCs/>
          <w:sz w:val="24"/>
        </w:rPr>
      </w:pPr>
    </w:p>
    <w:p w14:paraId="2602E447" w14:textId="77777777" w:rsidR="00060A45" w:rsidRPr="00060A45" w:rsidRDefault="00060A45" w:rsidP="00060A45">
      <w:pPr>
        <w:pStyle w:val="Akapitzlist"/>
        <w:spacing w:after="0"/>
        <w:ind w:left="-57"/>
        <w:contextualSpacing w:val="0"/>
        <w:jc w:val="both"/>
        <w:rPr>
          <w:rFonts w:ascii="Times New Roman" w:hAnsi="Times New Roman" w:cs="Times New Roman"/>
          <w:bCs/>
          <w:sz w:val="24"/>
        </w:rPr>
      </w:pPr>
      <w:r w:rsidRPr="00060A45">
        <w:rPr>
          <w:rFonts w:ascii="Times New Roman" w:hAnsi="Times New Roman" w:cs="Times New Roman"/>
          <w:bCs/>
          <w:sz w:val="24"/>
        </w:rPr>
        <w:t>W 2019 r. specjalną ofertę przygotowało ok. 480 instytucji z całego kraju. Oferta była różnorodna – od darmowego wejścia, przez specjalnie zorganizowane spotkania, wykłady i warsztaty, po wycieczki z przewodnikami. Ubiegłoroczna akcja cieszyła się bardzo dużym zainteresowaniem – z dedykowanej oferty skorzystało ok. 22,5 tys. seniorów.</w:t>
      </w:r>
    </w:p>
    <w:p w14:paraId="57FC4232" w14:textId="77777777" w:rsidR="00060A45" w:rsidRDefault="00060A45" w:rsidP="00060A45">
      <w:pPr>
        <w:tabs>
          <w:tab w:val="left" w:pos="1418"/>
        </w:tabs>
        <w:spacing w:after="0"/>
        <w:ind w:left="-57"/>
        <w:jc w:val="both"/>
        <w:rPr>
          <w:rFonts w:ascii="Times New Roman" w:hAnsi="Times New Roman" w:cs="Times New Roman"/>
          <w:b/>
          <w:sz w:val="24"/>
        </w:rPr>
      </w:pPr>
    </w:p>
    <w:p w14:paraId="0384602B" w14:textId="77777777" w:rsidR="00060A45" w:rsidRPr="00A321CA" w:rsidRDefault="00060A45" w:rsidP="00060A45">
      <w:pPr>
        <w:tabs>
          <w:tab w:val="left" w:pos="1418"/>
        </w:tabs>
        <w:spacing w:after="0"/>
        <w:ind w:left="-57"/>
        <w:jc w:val="both"/>
        <w:rPr>
          <w:rFonts w:ascii="Times New Roman" w:hAnsi="Times New Roman" w:cs="Times New Roman"/>
          <w:b/>
          <w:color w:val="00B0F0"/>
          <w:sz w:val="24"/>
        </w:rPr>
      </w:pPr>
      <w:r w:rsidRPr="00A321CA">
        <w:rPr>
          <w:rFonts w:ascii="Times New Roman" w:hAnsi="Times New Roman" w:cs="Times New Roman"/>
          <w:b/>
          <w:color w:val="00B0F0"/>
          <w:sz w:val="24"/>
        </w:rPr>
        <w:t>Programy dotacyjne</w:t>
      </w:r>
    </w:p>
    <w:p w14:paraId="086A0999" w14:textId="76D4D096" w:rsidR="00060A45" w:rsidRPr="00060A45" w:rsidRDefault="00060A45" w:rsidP="00060A45">
      <w:pPr>
        <w:tabs>
          <w:tab w:val="left" w:pos="1418"/>
        </w:tabs>
        <w:spacing w:after="0"/>
        <w:ind w:left="-57"/>
        <w:jc w:val="both"/>
        <w:rPr>
          <w:rFonts w:ascii="Times New Roman" w:hAnsi="Times New Roman" w:cs="Times New Roman"/>
          <w:sz w:val="24"/>
        </w:rPr>
      </w:pPr>
      <w:r w:rsidRPr="00060A45">
        <w:rPr>
          <w:rFonts w:ascii="Times New Roman" w:hAnsi="Times New Roman" w:cs="Times New Roman"/>
          <w:sz w:val="24"/>
        </w:rPr>
        <w:t>Systemowym i stałym działaniem Ministra KiDN wspierającym realizację projektów kulturalnych i artystycznych są programy dotacyjne. Podstawowym celem Programów Ministra jest dofinansowanie najistotniejszych zadań</w:t>
      </w:r>
      <w:r w:rsidR="005A134E">
        <w:rPr>
          <w:rFonts w:ascii="Times New Roman" w:hAnsi="Times New Roman" w:cs="Times New Roman"/>
          <w:sz w:val="24"/>
        </w:rPr>
        <w:t xml:space="preserve"> </w:t>
      </w:r>
      <w:r w:rsidRPr="00060A45">
        <w:rPr>
          <w:rFonts w:ascii="Times New Roman" w:hAnsi="Times New Roman" w:cs="Times New Roman"/>
          <w:sz w:val="24"/>
        </w:rPr>
        <w:t>z zakresu kultury, skierowanych do szerokiego grona odbiorców, w tym do osób starszych. W ramach Programów Ministra ważnym aspektem jest wspieranie projektów uwzględniających potrzeby osób mających ograniczony dostęp do kultury. Dofinansowane zadania służą zatem m.in. ułatwieniu dostępu do kultury. Są one skierowane do różnych grup społecznych, w tym seniorów i osób o specjalnych potrzebach (m.in. osób niedowidzących, niedosłyszących czy o ograniczonej sprawności ruchowej), sprzyjając tym samym integracji społecznej i międzypokoleniowej. W zakresie wspierania inicjatyw zwiększających dostęp seniorów do kultury szczególnie istotną rolę odgrywają następujące programy dotacyjne Ministra KiDN:</w:t>
      </w:r>
    </w:p>
    <w:p w14:paraId="66FED9FE" w14:textId="77777777" w:rsidR="00060A45" w:rsidRPr="00060A45" w:rsidRDefault="00060A45" w:rsidP="008C71A9">
      <w:pPr>
        <w:numPr>
          <w:ilvl w:val="1"/>
          <w:numId w:val="384"/>
        </w:numPr>
        <w:tabs>
          <w:tab w:val="left" w:pos="1418"/>
        </w:tabs>
        <w:spacing w:after="0"/>
        <w:ind w:left="360"/>
        <w:jc w:val="both"/>
        <w:rPr>
          <w:rFonts w:ascii="Times New Roman" w:hAnsi="Times New Roman" w:cs="Times New Roman"/>
          <w:bCs/>
          <w:sz w:val="24"/>
        </w:rPr>
      </w:pPr>
      <w:r w:rsidRPr="00060A45">
        <w:rPr>
          <w:rFonts w:ascii="Times New Roman" w:hAnsi="Times New Roman" w:cs="Times New Roman"/>
          <w:bCs/>
          <w:sz w:val="24"/>
        </w:rPr>
        <w:t>Kultura Dostępna,</w:t>
      </w:r>
    </w:p>
    <w:p w14:paraId="59FDD3F1" w14:textId="77777777" w:rsidR="00060A45" w:rsidRPr="00060A45" w:rsidRDefault="00060A45" w:rsidP="008C71A9">
      <w:pPr>
        <w:numPr>
          <w:ilvl w:val="1"/>
          <w:numId w:val="384"/>
        </w:numPr>
        <w:tabs>
          <w:tab w:val="left" w:pos="1418"/>
        </w:tabs>
        <w:spacing w:after="0"/>
        <w:ind w:left="360"/>
        <w:jc w:val="both"/>
        <w:rPr>
          <w:rFonts w:ascii="Times New Roman" w:hAnsi="Times New Roman" w:cs="Times New Roman"/>
          <w:bCs/>
          <w:sz w:val="24"/>
        </w:rPr>
      </w:pPr>
      <w:r w:rsidRPr="00060A45">
        <w:rPr>
          <w:rFonts w:ascii="Times New Roman" w:hAnsi="Times New Roman" w:cs="Times New Roman"/>
          <w:bCs/>
          <w:sz w:val="24"/>
        </w:rPr>
        <w:t>Edukacja kulturalna,</w:t>
      </w:r>
    </w:p>
    <w:p w14:paraId="79B8A940" w14:textId="77777777" w:rsidR="00060A45" w:rsidRPr="00060A45" w:rsidRDefault="00060A45" w:rsidP="008C71A9">
      <w:pPr>
        <w:numPr>
          <w:ilvl w:val="1"/>
          <w:numId w:val="384"/>
        </w:numPr>
        <w:tabs>
          <w:tab w:val="left" w:pos="1418"/>
        </w:tabs>
        <w:spacing w:after="0"/>
        <w:ind w:left="360"/>
        <w:jc w:val="both"/>
        <w:rPr>
          <w:rFonts w:ascii="Times New Roman" w:hAnsi="Times New Roman" w:cs="Times New Roman"/>
          <w:bCs/>
          <w:sz w:val="24"/>
        </w:rPr>
      </w:pPr>
      <w:r w:rsidRPr="00060A45">
        <w:rPr>
          <w:rFonts w:ascii="Times New Roman" w:hAnsi="Times New Roman" w:cs="Times New Roman"/>
          <w:bCs/>
          <w:sz w:val="24"/>
        </w:rPr>
        <w:t>Kultura ludowa i tradycyjna,</w:t>
      </w:r>
    </w:p>
    <w:p w14:paraId="3C420140" w14:textId="77777777" w:rsidR="00060A45" w:rsidRPr="00060A45" w:rsidRDefault="00060A45" w:rsidP="008C71A9">
      <w:pPr>
        <w:numPr>
          <w:ilvl w:val="1"/>
          <w:numId w:val="384"/>
        </w:numPr>
        <w:tabs>
          <w:tab w:val="left" w:pos="1418"/>
        </w:tabs>
        <w:spacing w:after="0"/>
        <w:ind w:left="360"/>
        <w:jc w:val="both"/>
        <w:rPr>
          <w:rFonts w:ascii="Times New Roman" w:hAnsi="Times New Roman" w:cs="Times New Roman"/>
          <w:bCs/>
          <w:sz w:val="24"/>
        </w:rPr>
      </w:pPr>
      <w:r w:rsidRPr="00060A45">
        <w:rPr>
          <w:rFonts w:ascii="Times New Roman" w:hAnsi="Times New Roman" w:cs="Times New Roman"/>
          <w:bCs/>
          <w:sz w:val="24"/>
        </w:rPr>
        <w:t>Infrastruktura domów kultury,</w:t>
      </w:r>
    </w:p>
    <w:p w14:paraId="4B36B79C" w14:textId="77777777" w:rsidR="00060A45" w:rsidRPr="00060A45" w:rsidRDefault="00060A45" w:rsidP="008C71A9">
      <w:pPr>
        <w:numPr>
          <w:ilvl w:val="1"/>
          <w:numId w:val="384"/>
        </w:numPr>
        <w:tabs>
          <w:tab w:val="left" w:pos="1418"/>
        </w:tabs>
        <w:spacing w:after="0"/>
        <w:ind w:left="360"/>
        <w:jc w:val="both"/>
        <w:rPr>
          <w:rFonts w:ascii="Times New Roman" w:hAnsi="Times New Roman" w:cs="Times New Roman"/>
          <w:bCs/>
          <w:sz w:val="24"/>
        </w:rPr>
      </w:pPr>
      <w:r w:rsidRPr="00060A45">
        <w:rPr>
          <w:rFonts w:ascii="Times New Roman" w:hAnsi="Times New Roman" w:cs="Times New Roman"/>
          <w:bCs/>
          <w:sz w:val="24"/>
        </w:rPr>
        <w:t>Infrastruktura kultury,</w:t>
      </w:r>
    </w:p>
    <w:p w14:paraId="0D2EC0D4" w14:textId="77777777" w:rsidR="00060A45" w:rsidRPr="00060A45" w:rsidRDefault="00060A45" w:rsidP="008C71A9">
      <w:pPr>
        <w:numPr>
          <w:ilvl w:val="1"/>
          <w:numId w:val="384"/>
        </w:numPr>
        <w:tabs>
          <w:tab w:val="left" w:pos="1418"/>
        </w:tabs>
        <w:spacing w:after="0"/>
        <w:ind w:left="360"/>
        <w:jc w:val="both"/>
        <w:rPr>
          <w:rFonts w:ascii="Times New Roman" w:hAnsi="Times New Roman" w:cs="Times New Roman"/>
          <w:bCs/>
          <w:sz w:val="24"/>
        </w:rPr>
      </w:pPr>
      <w:r w:rsidRPr="00060A45">
        <w:rPr>
          <w:rFonts w:ascii="Times New Roman" w:hAnsi="Times New Roman" w:cs="Times New Roman"/>
          <w:bCs/>
          <w:sz w:val="24"/>
        </w:rPr>
        <w:t>Partnerstwo dla książki.</w:t>
      </w:r>
    </w:p>
    <w:p w14:paraId="55A840BC" w14:textId="77777777" w:rsidR="00060A45" w:rsidRDefault="00060A45" w:rsidP="00060A45">
      <w:pPr>
        <w:pStyle w:val="Akapitzlist"/>
        <w:spacing w:after="0"/>
        <w:ind w:left="-57"/>
        <w:contextualSpacing w:val="0"/>
        <w:jc w:val="both"/>
        <w:rPr>
          <w:rFonts w:ascii="Times New Roman" w:hAnsi="Times New Roman" w:cs="Times New Roman"/>
          <w:sz w:val="24"/>
        </w:rPr>
      </w:pPr>
    </w:p>
    <w:p w14:paraId="32C83D38" w14:textId="77777777" w:rsidR="00060A45" w:rsidRPr="00060A45" w:rsidRDefault="00060A45" w:rsidP="00060A45">
      <w:pPr>
        <w:pStyle w:val="Akapitzlist"/>
        <w:spacing w:after="0"/>
        <w:ind w:left="-57"/>
        <w:contextualSpacing w:val="0"/>
        <w:jc w:val="both"/>
        <w:rPr>
          <w:rFonts w:ascii="Times New Roman" w:hAnsi="Times New Roman" w:cs="Times New Roman"/>
          <w:sz w:val="24"/>
        </w:rPr>
      </w:pPr>
      <w:r w:rsidRPr="00060A45">
        <w:rPr>
          <w:rFonts w:ascii="Times New Roman" w:hAnsi="Times New Roman" w:cs="Times New Roman"/>
          <w:sz w:val="24"/>
        </w:rPr>
        <w:t>W 2019 r. kontynuowano również programy dotacyjne uwzględniające zadania z zakresu dostosowania budynków instytucji kultury do potrzeb osób starszych oraz niepełnosprawnych – likwidowano bariery architektoniczne oraz instalowano systemy wspomagające dostęp do oferty kulturalnej. Działania tego rodzaju były przedmiotem dofinansowań MKiDN udzielonych również za pośrednictwem programów:</w:t>
      </w:r>
    </w:p>
    <w:p w14:paraId="46E16DC7" w14:textId="77777777" w:rsidR="00060A45" w:rsidRPr="00060A45" w:rsidRDefault="00060A45" w:rsidP="008C71A9">
      <w:pPr>
        <w:numPr>
          <w:ilvl w:val="0"/>
          <w:numId w:val="385"/>
        </w:numPr>
        <w:tabs>
          <w:tab w:val="left" w:pos="1418"/>
        </w:tabs>
        <w:spacing w:after="0"/>
        <w:ind w:left="284" w:hanging="284"/>
        <w:jc w:val="both"/>
        <w:rPr>
          <w:rFonts w:ascii="Times New Roman" w:hAnsi="Times New Roman" w:cs="Times New Roman"/>
          <w:bCs/>
          <w:sz w:val="24"/>
        </w:rPr>
      </w:pPr>
      <w:r w:rsidRPr="00060A45">
        <w:rPr>
          <w:rFonts w:ascii="Times New Roman" w:hAnsi="Times New Roman" w:cs="Times New Roman"/>
          <w:bCs/>
          <w:sz w:val="24"/>
        </w:rPr>
        <w:t>Narodowy Program Rozwoju Czytelnictwa (w ramach Priorytetu</w:t>
      </w:r>
      <w:r>
        <w:rPr>
          <w:rFonts w:ascii="Times New Roman" w:hAnsi="Times New Roman" w:cs="Times New Roman"/>
          <w:bCs/>
          <w:sz w:val="24"/>
        </w:rPr>
        <w:t xml:space="preserve"> </w:t>
      </w:r>
      <w:r w:rsidRPr="00060A45">
        <w:rPr>
          <w:rFonts w:ascii="Times New Roman" w:hAnsi="Times New Roman" w:cs="Times New Roman"/>
          <w:bCs/>
          <w:sz w:val="24"/>
        </w:rPr>
        <w:t>2 - „Infrastruktura bibliotek 2016-2020”),</w:t>
      </w:r>
    </w:p>
    <w:p w14:paraId="513D3C5D" w14:textId="77777777" w:rsidR="00060A45" w:rsidRPr="00060A45" w:rsidRDefault="00060A45" w:rsidP="008C71A9">
      <w:pPr>
        <w:numPr>
          <w:ilvl w:val="0"/>
          <w:numId w:val="385"/>
        </w:numPr>
        <w:tabs>
          <w:tab w:val="left" w:pos="1418"/>
        </w:tabs>
        <w:spacing w:after="0"/>
        <w:ind w:left="284" w:hanging="284"/>
        <w:jc w:val="both"/>
        <w:rPr>
          <w:rFonts w:ascii="Times New Roman" w:hAnsi="Times New Roman" w:cs="Times New Roman"/>
          <w:bCs/>
          <w:sz w:val="24"/>
        </w:rPr>
      </w:pPr>
      <w:r w:rsidRPr="00060A45">
        <w:rPr>
          <w:rFonts w:ascii="Times New Roman" w:hAnsi="Times New Roman" w:cs="Times New Roman"/>
          <w:bCs/>
          <w:sz w:val="24"/>
        </w:rPr>
        <w:t>Program Operacyjny Infrastruktura i Środowisko 2014-2020 (Ochrona dziedzictwa kulturowego i rozwój zasobów kultury).</w:t>
      </w:r>
    </w:p>
    <w:p w14:paraId="3541AA28" w14:textId="77777777" w:rsidR="00060A45" w:rsidRDefault="00060A45" w:rsidP="00060A45">
      <w:pPr>
        <w:pStyle w:val="Akapitzlist"/>
        <w:spacing w:after="0"/>
        <w:ind w:left="-57"/>
        <w:contextualSpacing w:val="0"/>
        <w:jc w:val="both"/>
        <w:rPr>
          <w:rFonts w:ascii="Times New Roman" w:hAnsi="Times New Roman" w:cs="Times New Roman"/>
          <w:sz w:val="24"/>
        </w:rPr>
      </w:pPr>
    </w:p>
    <w:p w14:paraId="3329895D" w14:textId="77777777" w:rsidR="00A321CA" w:rsidRDefault="00A321CA" w:rsidP="00060A45">
      <w:pPr>
        <w:pStyle w:val="Akapitzlist"/>
        <w:spacing w:after="0"/>
        <w:ind w:left="-57"/>
        <w:contextualSpacing w:val="0"/>
        <w:jc w:val="both"/>
        <w:rPr>
          <w:rFonts w:ascii="Times New Roman" w:hAnsi="Times New Roman" w:cs="Times New Roman"/>
          <w:sz w:val="24"/>
        </w:rPr>
      </w:pPr>
    </w:p>
    <w:p w14:paraId="5B877D8A" w14:textId="77777777" w:rsidR="00A321CA" w:rsidRDefault="00A321CA" w:rsidP="00060A45">
      <w:pPr>
        <w:pStyle w:val="Akapitzlist"/>
        <w:spacing w:after="0"/>
        <w:ind w:left="-57"/>
        <w:contextualSpacing w:val="0"/>
        <w:jc w:val="both"/>
        <w:rPr>
          <w:rFonts w:ascii="Times New Roman" w:hAnsi="Times New Roman" w:cs="Times New Roman"/>
          <w:sz w:val="24"/>
        </w:rPr>
      </w:pPr>
    </w:p>
    <w:p w14:paraId="77E7FF48" w14:textId="77777777" w:rsidR="00A321CA" w:rsidRDefault="00A321CA" w:rsidP="00060A45">
      <w:pPr>
        <w:pStyle w:val="Akapitzlist"/>
        <w:spacing w:after="0"/>
        <w:ind w:left="-57"/>
        <w:contextualSpacing w:val="0"/>
        <w:jc w:val="both"/>
        <w:rPr>
          <w:rFonts w:ascii="Times New Roman" w:hAnsi="Times New Roman" w:cs="Times New Roman"/>
          <w:sz w:val="24"/>
        </w:rPr>
      </w:pPr>
    </w:p>
    <w:p w14:paraId="1A39596E" w14:textId="77777777" w:rsidR="00060A45" w:rsidRPr="00E22016" w:rsidRDefault="00060A45" w:rsidP="00E22016">
      <w:pPr>
        <w:tabs>
          <w:tab w:val="left" w:pos="709"/>
        </w:tabs>
        <w:spacing w:after="0"/>
        <w:ind w:left="-57"/>
        <w:jc w:val="both"/>
        <w:rPr>
          <w:rFonts w:ascii="Times New Roman" w:hAnsi="Times New Roman" w:cs="Times New Roman"/>
          <w:b/>
          <w:color w:val="00B0F0"/>
          <w:sz w:val="24"/>
        </w:rPr>
      </w:pPr>
      <w:r w:rsidRPr="00E22016">
        <w:rPr>
          <w:rFonts w:ascii="Times New Roman" w:hAnsi="Times New Roman" w:cs="Times New Roman"/>
          <w:b/>
          <w:color w:val="00B0F0"/>
          <w:sz w:val="24"/>
        </w:rPr>
        <w:lastRenderedPageBreak/>
        <w:t>Wspieranie aktywności kulturalnej i artystycznej seniorów</w:t>
      </w:r>
    </w:p>
    <w:p w14:paraId="25289692" w14:textId="77777777" w:rsidR="00E22016" w:rsidRDefault="00E22016" w:rsidP="00060A45">
      <w:pPr>
        <w:tabs>
          <w:tab w:val="left" w:pos="6930"/>
        </w:tabs>
        <w:spacing w:after="0"/>
        <w:ind w:left="-57"/>
        <w:jc w:val="both"/>
        <w:rPr>
          <w:rFonts w:ascii="Times New Roman" w:hAnsi="Times New Roman" w:cs="Times New Roman"/>
          <w:b/>
          <w:sz w:val="24"/>
        </w:rPr>
      </w:pPr>
    </w:p>
    <w:p w14:paraId="21252F11" w14:textId="77777777" w:rsidR="00060A45" w:rsidRPr="00060A45" w:rsidRDefault="00060A45" w:rsidP="00060A45">
      <w:pPr>
        <w:tabs>
          <w:tab w:val="left" w:pos="6930"/>
        </w:tabs>
        <w:spacing w:after="0"/>
        <w:ind w:left="-57"/>
        <w:jc w:val="both"/>
        <w:rPr>
          <w:rFonts w:ascii="Times New Roman" w:hAnsi="Times New Roman" w:cs="Times New Roman"/>
          <w:b/>
          <w:sz w:val="24"/>
        </w:rPr>
      </w:pPr>
      <w:r w:rsidRPr="00060A45">
        <w:rPr>
          <w:rFonts w:ascii="Times New Roman" w:hAnsi="Times New Roman" w:cs="Times New Roman"/>
          <w:b/>
          <w:sz w:val="24"/>
        </w:rPr>
        <w:t xml:space="preserve">Oferta kulturalna i edukacyjna instytucji kultury </w:t>
      </w:r>
    </w:p>
    <w:p w14:paraId="2A8B525A" w14:textId="77777777" w:rsidR="00060A45" w:rsidRPr="00060A45" w:rsidRDefault="00060A45" w:rsidP="00060A45">
      <w:pPr>
        <w:tabs>
          <w:tab w:val="left" w:pos="6930"/>
        </w:tabs>
        <w:spacing w:after="0"/>
        <w:ind w:left="-57"/>
        <w:jc w:val="both"/>
        <w:rPr>
          <w:rFonts w:ascii="Times New Roman" w:hAnsi="Times New Roman" w:cs="Times New Roman"/>
          <w:sz w:val="24"/>
        </w:rPr>
      </w:pPr>
      <w:r w:rsidRPr="00060A45">
        <w:rPr>
          <w:rFonts w:ascii="Times New Roman" w:hAnsi="Times New Roman" w:cs="Times New Roman"/>
          <w:sz w:val="24"/>
        </w:rPr>
        <w:t>Instytucje kultury tworzą oferty dedykowane dla osób starszych, jak również prowadzą działania mające na celu poprawę dostępności oferty na różnych poziomach – zniżkowe bilety wstępu, dostosowanie infrastruktury oraz działania mające na celu likwidację barier w komunikacji z placówką. Ponadto wszystkie placówki sztuk wizualnych posiadają w ofercie jeden dzień wolnego wstępu na wszystkie aktualne wystawy.</w:t>
      </w:r>
    </w:p>
    <w:p w14:paraId="3DE322DC" w14:textId="77777777" w:rsidR="00E22016" w:rsidRDefault="00E22016" w:rsidP="00060A45">
      <w:pPr>
        <w:tabs>
          <w:tab w:val="left" w:pos="6930"/>
        </w:tabs>
        <w:spacing w:after="0"/>
        <w:ind w:left="-57"/>
        <w:jc w:val="both"/>
        <w:rPr>
          <w:rFonts w:ascii="Times New Roman" w:hAnsi="Times New Roman" w:cs="Times New Roman"/>
          <w:sz w:val="24"/>
        </w:rPr>
      </w:pPr>
    </w:p>
    <w:p w14:paraId="4DBD156F" w14:textId="77777777" w:rsidR="00060A45" w:rsidRPr="00060A45" w:rsidRDefault="00060A45" w:rsidP="00060A45">
      <w:pPr>
        <w:tabs>
          <w:tab w:val="left" w:pos="6930"/>
        </w:tabs>
        <w:spacing w:after="0"/>
        <w:ind w:left="-57"/>
        <w:jc w:val="both"/>
        <w:rPr>
          <w:rFonts w:ascii="Times New Roman" w:hAnsi="Times New Roman" w:cs="Times New Roman"/>
          <w:sz w:val="24"/>
        </w:rPr>
      </w:pPr>
      <w:r w:rsidRPr="00060A45">
        <w:rPr>
          <w:rFonts w:ascii="Times New Roman" w:hAnsi="Times New Roman" w:cs="Times New Roman"/>
          <w:sz w:val="24"/>
        </w:rPr>
        <w:t>Instytucje kultury prowadzone lub współprowadzone przez MKiDN realizują programy edukacyjne i inne działania adresowane do różnych grup odbiorców. Przedsięwzięcia te – cykliczn</w:t>
      </w:r>
      <w:r w:rsidR="00E22016">
        <w:rPr>
          <w:rFonts w:ascii="Times New Roman" w:hAnsi="Times New Roman" w:cs="Times New Roman"/>
          <w:sz w:val="24"/>
        </w:rPr>
        <w:t xml:space="preserve">e i jednorazowe – są prowadzone </w:t>
      </w:r>
      <w:r w:rsidRPr="00060A45">
        <w:rPr>
          <w:rFonts w:ascii="Times New Roman" w:hAnsi="Times New Roman" w:cs="Times New Roman"/>
          <w:sz w:val="24"/>
        </w:rPr>
        <w:t>w ciągu całego roku. Najczęstszymi formami dedykowanych osobom starszym aktywności instytucji kultury są różnego rodzaju zajęcia warsztatowe, często prowadzone w cyklach wieloletnich (w tym w formie działalności kół zainteresowań), specjalne okolicznościowe wydarzenia (koncerty, wieczory), działania popularyzatorskie i akcje informacyjne.</w:t>
      </w:r>
    </w:p>
    <w:p w14:paraId="69EC100C" w14:textId="77777777" w:rsidR="00E22016" w:rsidRDefault="00E22016" w:rsidP="00060A45">
      <w:pPr>
        <w:tabs>
          <w:tab w:val="left" w:pos="6930"/>
        </w:tabs>
        <w:spacing w:after="0"/>
        <w:ind w:left="-57"/>
        <w:jc w:val="both"/>
        <w:rPr>
          <w:rFonts w:ascii="Times New Roman" w:hAnsi="Times New Roman" w:cs="Times New Roman"/>
          <w:sz w:val="24"/>
        </w:rPr>
      </w:pPr>
    </w:p>
    <w:p w14:paraId="20309C90" w14:textId="77777777" w:rsidR="00E22016" w:rsidRDefault="00060A45" w:rsidP="00E22016">
      <w:pPr>
        <w:tabs>
          <w:tab w:val="left" w:pos="6930"/>
        </w:tabs>
        <w:spacing w:after="0"/>
        <w:ind w:left="-57"/>
        <w:jc w:val="both"/>
        <w:rPr>
          <w:rFonts w:ascii="Times New Roman" w:hAnsi="Times New Roman" w:cs="Times New Roman"/>
          <w:sz w:val="24"/>
        </w:rPr>
      </w:pPr>
      <w:r w:rsidRPr="00060A45">
        <w:rPr>
          <w:rFonts w:ascii="Times New Roman" w:hAnsi="Times New Roman" w:cs="Times New Roman"/>
          <w:sz w:val="24"/>
        </w:rPr>
        <w:t xml:space="preserve">Instytucje kultury realizują projekty </w:t>
      </w:r>
      <w:r w:rsidR="00E22016">
        <w:rPr>
          <w:rFonts w:ascii="Times New Roman" w:hAnsi="Times New Roman" w:cs="Times New Roman"/>
          <w:sz w:val="24"/>
        </w:rPr>
        <w:t xml:space="preserve">przygotowane specjalnie z myślą </w:t>
      </w:r>
      <w:r w:rsidRPr="00060A45">
        <w:rPr>
          <w:rFonts w:ascii="Times New Roman" w:hAnsi="Times New Roman" w:cs="Times New Roman"/>
          <w:sz w:val="24"/>
        </w:rPr>
        <w:t>o seniorach oraz projekty ogólnodostępne, w których uczestniczy liczne grono osób starszych. Przy realizacji działań senioralnych placówki kultury współpracują ze stowarzyszeniami zrzeszającymi seniorów, instytucjami opiekuńczymi, lokalnymi samorządami i administracją państwową. Oferta edukacyjna instytucji kultury przyjmuje formę cyklicznych spotkań (zajęć tematycznych, warsztatów, wykładów czy oprowadzania po ekspozycji) lub też formę akcyjną (dzień seniora, plenery artyst</w:t>
      </w:r>
      <w:r w:rsidR="00E22016">
        <w:rPr>
          <w:rFonts w:ascii="Times New Roman" w:hAnsi="Times New Roman" w:cs="Times New Roman"/>
          <w:sz w:val="24"/>
        </w:rPr>
        <w:t>yczne, senioralia).</w:t>
      </w:r>
    </w:p>
    <w:p w14:paraId="03F311FD" w14:textId="77777777" w:rsidR="00E22016" w:rsidRDefault="00E22016" w:rsidP="00E22016">
      <w:pPr>
        <w:tabs>
          <w:tab w:val="left" w:pos="6930"/>
        </w:tabs>
        <w:spacing w:after="0"/>
        <w:jc w:val="both"/>
        <w:rPr>
          <w:rFonts w:ascii="Times New Roman" w:hAnsi="Times New Roman" w:cs="Times New Roman"/>
          <w:sz w:val="24"/>
        </w:rPr>
      </w:pPr>
    </w:p>
    <w:p w14:paraId="1F05C9F0" w14:textId="4294A143" w:rsidR="00E22016" w:rsidRPr="00E22016" w:rsidRDefault="00E22016" w:rsidP="00E22016">
      <w:pPr>
        <w:pStyle w:val="Legenda"/>
        <w:keepNext/>
        <w:jc w:val="both"/>
        <w:rPr>
          <w:rFonts w:ascii="Times New Roman" w:hAnsi="Times New Roman" w:cs="Times New Roman"/>
          <w:b/>
          <w:i w:val="0"/>
          <w:sz w:val="24"/>
        </w:rPr>
      </w:pPr>
      <w:bookmarkStart w:id="49" w:name="_Toc49171412"/>
      <w:r w:rsidRPr="00E22016">
        <w:rPr>
          <w:rFonts w:ascii="Times New Roman" w:hAnsi="Times New Roman" w:cs="Times New Roman"/>
          <w:b/>
          <w:i w:val="0"/>
          <w:sz w:val="24"/>
        </w:rPr>
        <w:t xml:space="preserve">Tabela </w:t>
      </w:r>
      <w:r w:rsidRPr="00E22016">
        <w:rPr>
          <w:rFonts w:ascii="Times New Roman" w:hAnsi="Times New Roman" w:cs="Times New Roman"/>
          <w:b/>
          <w:i w:val="0"/>
          <w:sz w:val="24"/>
        </w:rPr>
        <w:fldChar w:fldCharType="begin"/>
      </w:r>
      <w:r w:rsidRPr="00E22016">
        <w:rPr>
          <w:rFonts w:ascii="Times New Roman" w:hAnsi="Times New Roman" w:cs="Times New Roman"/>
          <w:b/>
          <w:i w:val="0"/>
          <w:sz w:val="24"/>
        </w:rPr>
        <w:instrText xml:space="preserve"> SEQ Tabela \* ARABIC </w:instrText>
      </w:r>
      <w:r w:rsidRPr="00E22016">
        <w:rPr>
          <w:rFonts w:ascii="Times New Roman" w:hAnsi="Times New Roman" w:cs="Times New Roman"/>
          <w:b/>
          <w:i w:val="0"/>
          <w:sz w:val="24"/>
        </w:rPr>
        <w:fldChar w:fldCharType="separate"/>
      </w:r>
      <w:r w:rsidR="00C154C9">
        <w:rPr>
          <w:rFonts w:ascii="Times New Roman" w:hAnsi="Times New Roman" w:cs="Times New Roman"/>
          <w:b/>
          <w:i w:val="0"/>
          <w:noProof/>
          <w:sz w:val="24"/>
        </w:rPr>
        <w:t>37</w:t>
      </w:r>
      <w:r w:rsidRPr="00E22016">
        <w:rPr>
          <w:rFonts w:ascii="Times New Roman" w:hAnsi="Times New Roman" w:cs="Times New Roman"/>
          <w:b/>
          <w:i w:val="0"/>
          <w:sz w:val="24"/>
        </w:rPr>
        <w:fldChar w:fldCharType="end"/>
      </w:r>
      <w:r w:rsidRPr="00E22016">
        <w:rPr>
          <w:rFonts w:ascii="Times New Roman" w:hAnsi="Times New Roman" w:cs="Times New Roman"/>
          <w:b/>
          <w:i w:val="0"/>
          <w:sz w:val="24"/>
        </w:rPr>
        <w:t xml:space="preserve"> Przykłady oferty instytucji kultury prowadzonych lub współprowadzonych przez Ministra Kultury i Dziedzictwa Narodowego oraz uczelni artystycznych, kierowanej do seniorów lub wspierającej ich aktywność kulturalną</w:t>
      </w:r>
      <w:bookmarkEnd w:id="49"/>
    </w:p>
    <w:tbl>
      <w:tblPr>
        <w:tblW w:w="9351"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ook w:val="04A0" w:firstRow="1" w:lastRow="0" w:firstColumn="1" w:lastColumn="0" w:noHBand="0" w:noVBand="1"/>
      </w:tblPr>
      <w:tblGrid>
        <w:gridCol w:w="2343"/>
        <w:gridCol w:w="7008"/>
      </w:tblGrid>
      <w:tr w:rsidR="00E22016" w:rsidRPr="00105686" w14:paraId="5736A651" w14:textId="77777777" w:rsidTr="007230B7">
        <w:trPr>
          <w:jc w:val="center"/>
        </w:trPr>
        <w:tc>
          <w:tcPr>
            <w:tcW w:w="2343" w:type="dxa"/>
            <w:shd w:val="clear" w:color="auto" w:fill="9CC2E5" w:themeFill="accent1" w:themeFillTint="99"/>
            <w:vAlign w:val="center"/>
          </w:tcPr>
          <w:p w14:paraId="3C20CA6A" w14:textId="77777777" w:rsidR="00E22016" w:rsidRPr="00342041" w:rsidRDefault="00105686" w:rsidP="00105686">
            <w:pPr>
              <w:spacing w:after="0" w:line="240" w:lineRule="auto"/>
              <w:jc w:val="center"/>
              <w:rPr>
                <w:rFonts w:ascii="Times New Roman" w:hAnsi="Times New Roman" w:cs="Times New Roman"/>
                <w:b/>
                <w:sz w:val="20"/>
                <w:szCs w:val="20"/>
              </w:rPr>
            </w:pPr>
            <w:r w:rsidRPr="00342041">
              <w:rPr>
                <w:rFonts w:ascii="Times New Roman" w:hAnsi="Times New Roman" w:cs="Times New Roman"/>
                <w:b/>
                <w:sz w:val="20"/>
                <w:szCs w:val="20"/>
              </w:rPr>
              <w:t>Instytucja</w:t>
            </w:r>
          </w:p>
        </w:tc>
        <w:tc>
          <w:tcPr>
            <w:tcW w:w="7008" w:type="dxa"/>
            <w:shd w:val="clear" w:color="auto" w:fill="9CC2E5" w:themeFill="accent1" w:themeFillTint="99"/>
            <w:vAlign w:val="center"/>
          </w:tcPr>
          <w:p w14:paraId="51021042" w14:textId="77777777" w:rsidR="00E22016" w:rsidRPr="00342041" w:rsidRDefault="00105686" w:rsidP="00105686">
            <w:pPr>
              <w:spacing w:after="0" w:line="240" w:lineRule="auto"/>
              <w:jc w:val="center"/>
              <w:rPr>
                <w:rFonts w:ascii="Times New Roman" w:hAnsi="Times New Roman" w:cs="Times New Roman"/>
                <w:b/>
                <w:sz w:val="20"/>
                <w:szCs w:val="20"/>
              </w:rPr>
            </w:pPr>
            <w:r w:rsidRPr="00342041">
              <w:rPr>
                <w:rFonts w:ascii="Times New Roman" w:hAnsi="Times New Roman" w:cs="Times New Roman"/>
                <w:b/>
                <w:sz w:val="20"/>
                <w:szCs w:val="20"/>
              </w:rPr>
              <w:t>Przykłady Zrealizowanych Działań</w:t>
            </w:r>
          </w:p>
        </w:tc>
      </w:tr>
      <w:tr w:rsidR="00E22016" w:rsidRPr="00105686" w14:paraId="1AB031E7" w14:textId="77777777" w:rsidTr="007230B7">
        <w:trPr>
          <w:jc w:val="center"/>
        </w:trPr>
        <w:tc>
          <w:tcPr>
            <w:tcW w:w="2343" w:type="dxa"/>
            <w:shd w:val="clear" w:color="auto" w:fill="9CC2E5" w:themeFill="accent1" w:themeFillTint="99"/>
            <w:vAlign w:val="center"/>
          </w:tcPr>
          <w:p w14:paraId="6697524E" w14:textId="77777777" w:rsidR="00E22016" w:rsidRPr="00342041" w:rsidRDefault="00E22016" w:rsidP="00105686">
            <w:pPr>
              <w:spacing w:after="0" w:line="240" w:lineRule="auto"/>
              <w:rPr>
                <w:rFonts w:ascii="Times New Roman" w:hAnsi="Times New Roman" w:cs="Times New Roman"/>
                <w:b/>
                <w:sz w:val="20"/>
                <w:szCs w:val="20"/>
              </w:rPr>
            </w:pPr>
            <w:r w:rsidRPr="00342041">
              <w:rPr>
                <w:rFonts w:ascii="Times New Roman" w:hAnsi="Times New Roman" w:cs="Times New Roman"/>
                <w:b/>
                <w:sz w:val="20"/>
                <w:szCs w:val="20"/>
              </w:rPr>
              <w:t xml:space="preserve">Narodowy Instytut Muzealnictwa i Ochrony Zbiorów </w:t>
            </w:r>
          </w:p>
        </w:tc>
        <w:tc>
          <w:tcPr>
            <w:tcW w:w="7008" w:type="dxa"/>
            <w:shd w:val="clear" w:color="auto" w:fill="auto"/>
            <w:vAlign w:val="center"/>
          </w:tcPr>
          <w:p w14:paraId="563D7538"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Projekt „Badania publiczności muzeów w Polsce” – edycja 2019 pt. „Formy obecności osób starszych w muzeach”</w:t>
            </w:r>
          </w:p>
          <w:p w14:paraId="0EC6BAFD"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Szkolenie „Senior w muzeum”</w:t>
            </w:r>
            <w:r w:rsidR="00105686" w:rsidRPr="00342041">
              <w:rPr>
                <w:rFonts w:ascii="Times New Roman" w:hAnsi="Times New Roman" w:cs="Times New Roman"/>
                <w:sz w:val="20"/>
                <w:szCs w:val="20"/>
              </w:rPr>
              <w:t xml:space="preserve"> </w:t>
            </w:r>
            <w:r w:rsidRPr="00342041">
              <w:rPr>
                <w:rFonts w:ascii="Times New Roman" w:hAnsi="Times New Roman" w:cs="Times New Roman"/>
                <w:sz w:val="20"/>
                <w:szCs w:val="20"/>
              </w:rPr>
              <w:t>skierowane do pracowników muzeów w Polsce, dotyczące współpracy z osobami starszymi (wolontariat, przedstawiciele ginących zawodów), form projektów edukacyjnych, oczekiwań osób starszych i ich potrzeb. Celem szkolenia jest pomoc pracownikom muzeów w zwiększeniu dostępności muzeów dla osób starszych i opracowaniu sprofilowanej oferty. Szkolenie częściowo warsztatowe. Udział wzięło 17 uczestników – pracowników muzeów,</w:t>
            </w:r>
            <w:r w:rsidR="007230B7" w:rsidRPr="00342041">
              <w:rPr>
                <w:rFonts w:ascii="Times New Roman" w:hAnsi="Times New Roman" w:cs="Times New Roman"/>
                <w:sz w:val="20"/>
                <w:szCs w:val="20"/>
              </w:rPr>
              <w:t xml:space="preserve"> </w:t>
            </w:r>
            <w:r w:rsidRPr="00342041">
              <w:rPr>
                <w:rFonts w:ascii="Times New Roman" w:hAnsi="Times New Roman" w:cs="Times New Roman"/>
                <w:sz w:val="20"/>
                <w:szCs w:val="20"/>
              </w:rPr>
              <w:t>w większości odpowiedzialnych za opracowanie oferty muzeum dla osób starszych oraz kontakty</w:t>
            </w:r>
            <w:r w:rsidR="00105686" w:rsidRPr="00342041">
              <w:rPr>
                <w:rFonts w:ascii="Times New Roman" w:hAnsi="Times New Roman" w:cs="Times New Roman"/>
                <w:sz w:val="20"/>
                <w:szCs w:val="20"/>
              </w:rPr>
              <w:t xml:space="preserve"> </w:t>
            </w:r>
            <w:r w:rsidRPr="00342041">
              <w:rPr>
                <w:rFonts w:ascii="Times New Roman" w:hAnsi="Times New Roman" w:cs="Times New Roman"/>
                <w:sz w:val="20"/>
                <w:szCs w:val="20"/>
              </w:rPr>
              <w:t>z publicznością.</w:t>
            </w:r>
          </w:p>
          <w:p w14:paraId="790046FC"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Materiały szkoleniowe „Muzeum dla seniora” w serii „Szkolenia NIMOZ”. Materiały opracowane zostały jako uzupełnienie szkolenia „Senior w muzeum”, ale także jako propozycja dla tych pracowników muzeów, którzy nie będą mieli okazji skorzystać ze szkolenia. W 2019 r. powstały teksty do publikacji.</w:t>
            </w:r>
          </w:p>
        </w:tc>
      </w:tr>
      <w:tr w:rsidR="00E22016" w:rsidRPr="00105686" w14:paraId="5D3C90FD" w14:textId="77777777" w:rsidTr="007230B7">
        <w:trPr>
          <w:jc w:val="center"/>
        </w:trPr>
        <w:tc>
          <w:tcPr>
            <w:tcW w:w="2343" w:type="dxa"/>
            <w:shd w:val="clear" w:color="auto" w:fill="9CC2E5" w:themeFill="accent1" w:themeFillTint="99"/>
            <w:vAlign w:val="center"/>
          </w:tcPr>
          <w:p w14:paraId="7477243C" w14:textId="77777777" w:rsidR="00E22016" w:rsidRPr="00342041" w:rsidRDefault="00E22016" w:rsidP="00105686">
            <w:pPr>
              <w:spacing w:after="0" w:line="240" w:lineRule="auto"/>
              <w:rPr>
                <w:rFonts w:ascii="Times New Roman" w:hAnsi="Times New Roman" w:cs="Times New Roman"/>
                <w:b/>
                <w:sz w:val="20"/>
                <w:szCs w:val="20"/>
              </w:rPr>
            </w:pPr>
            <w:r w:rsidRPr="00342041">
              <w:rPr>
                <w:rFonts w:ascii="Times New Roman" w:hAnsi="Times New Roman" w:cs="Times New Roman"/>
                <w:b/>
                <w:sz w:val="20"/>
                <w:szCs w:val="20"/>
              </w:rPr>
              <w:t>Międzynarodowe Centrum Kultury w Krakowie</w:t>
            </w:r>
          </w:p>
        </w:tc>
        <w:tc>
          <w:tcPr>
            <w:tcW w:w="7008" w:type="dxa"/>
            <w:shd w:val="clear" w:color="auto" w:fill="auto"/>
            <w:vAlign w:val="center"/>
          </w:tcPr>
          <w:p w14:paraId="19B61047" w14:textId="77777777" w:rsidR="00E22016" w:rsidRPr="00342041" w:rsidRDefault="00E22016" w:rsidP="00105686">
            <w:pPr>
              <w:pStyle w:val="Akapitzlist"/>
              <w:spacing w:after="0" w:line="240" w:lineRule="auto"/>
              <w:ind w:left="0"/>
              <w:contextualSpacing w:val="0"/>
              <w:jc w:val="both"/>
              <w:rPr>
                <w:rFonts w:ascii="Times New Roman" w:hAnsi="Times New Roman" w:cs="Times New Roman"/>
                <w:sz w:val="20"/>
                <w:szCs w:val="20"/>
              </w:rPr>
            </w:pPr>
            <w:r w:rsidRPr="00342041">
              <w:rPr>
                <w:rFonts w:ascii="Times New Roman" w:hAnsi="Times New Roman" w:cs="Times New Roman"/>
                <w:sz w:val="20"/>
                <w:szCs w:val="20"/>
              </w:rPr>
              <w:t>- Bezpłatny wstęp do Galerii MCK dla osób powyżej 75 roku życia.</w:t>
            </w:r>
          </w:p>
          <w:p w14:paraId="789B3EA5" w14:textId="77777777" w:rsidR="00E22016" w:rsidRPr="00342041" w:rsidRDefault="00E22016" w:rsidP="00105686">
            <w:pPr>
              <w:pStyle w:val="Akapitzlist"/>
              <w:spacing w:after="0" w:line="240" w:lineRule="auto"/>
              <w:ind w:left="0"/>
              <w:contextualSpacing w:val="0"/>
              <w:jc w:val="both"/>
              <w:rPr>
                <w:rFonts w:ascii="Times New Roman" w:hAnsi="Times New Roman" w:cs="Times New Roman"/>
                <w:sz w:val="20"/>
                <w:szCs w:val="20"/>
              </w:rPr>
            </w:pPr>
            <w:r w:rsidRPr="00342041">
              <w:rPr>
                <w:rFonts w:ascii="Times New Roman" w:hAnsi="Times New Roman" w:cs="Times New Roman"/>
                <w:sz w:val="20"/>
                <w:szCs w:val="20"/>
              </w:rPr>
              <w:t>- Bezpłatne oprowadzania po wystawie z przewodnikiem dla osób powyżej 75 roku życia w każdą niedzielę o 12.00. W 2019 r. odbyło się 45 takich oprowadzań. Łącznie wzięły w nich udział 894 osoby.</w:t>
            </w:r>
          </w:p>
          <w:p w14:paraId="76BF2B63" w14:textId="77777777" w:rsidR="00E22016" w:rsidRPr="00342041" w:rsidRDefault="00E22016" w:rsidP="00105686">
            <w:pPr>
              <w:pStyle w:val="Akapitzlist"/>
              <w:spacing w:after="0" w:line="240" w:lineRule="auto"/>
              <w:ind w:left="0"/>
              <w:contextualSpacing w:val="0"/>
              <w:jc w:val="both"/>
              <w:rPr>
                <w:rFonts w:ascii="Times New Roman" w:hAnsi="Times New Roman" w:cs="Times New Roman"/>
                <w:sz w:val="20"/>
                <w:szCs w:val="20"/>
              </w:rPr>
            </w:pPr>
            <w:r w:rsidRPr="00342041">
              <w:rPr>
                <w:rFonts w:ascii="Times New Roman" w:hAnsi="Times New Roman" w:cs="Times New Roman"/>
                <w:sz w:val="20"/>
                <w:szCs w:val="20"/>
              </w:rPr>
              <w:t xml:space="preserve">- Program „ Dojrzali do sztuki – spotkania dla seniorów”. Propozycja dla seniorów dysponujących wolnym przedpołudniem i chcących poszerzyć swoją wiedzę z zakresu kultury i sztuki. Program obejmuje tematyczne prelekcje historyka sztuki nawiązujące tematyką do wystawy prezentowanej w Galerii MCK, po których </w:t>
            </w:r>
            <w:r w:rsidRPr="00342041">
              <w:rPr>
                <w:rFonts w:ascii="Times New Roman" w:hAnsi="Times New Roman" w:cs="Times New Roman"/>
                <w:sz w:val="20"/>
                <w:szCs w:val="20"/>
              </w:rPr>
              <w:lastRenderedPageBreak/>
              <w:t>odbywa się dyskusja. W ramach programu w 2019 r. odbyło się 12 spotkań towarzyszących wystawom. Łącznie wzięły w nich udział 352 osoby.</w:t>
            </w:r>
          </w:p>
          <w:p w14:paraId="1EF06117" w14:textId="77777777" w:rsidR="00E22016" w:rsidRPr="00342041" w:rsidRDefault="00E22016" w:rsidP="00105686">
            <w:pPr>
              <w:pStyle w:val="Akapitzlist"/>
              <w:spacing w:after="0" w:line="240" w:lineRule="auto"/>
              <w:ind w:left="0"/>
              <w:contextualSpacing w:val="0"/>
              <w:jc w:val="both"/>
              <w:rPr>
                <w:rFonts w:ascii="Times New Roman" w:hAnsi="Times New Roman" w:cs="Times New Roman"/>
                <w:sz w:val="20"/>
                <w:szCs w:val="20"/>
              </w:rPr>
            </w:pPr>
            <w:r w:rsidRPr="00342041">
              <w:rPr>
                <w:rFonts w:ascii="Times New Roman" w:hAnsi="Times New Roman" w:cs="Times New Roman"/>
                <w:sz w:val="20"/>
                <w:szCs w:val="20"/>
              </w:rPr>
              <w:t>- „Kwadrans ze sztuką” – spotkanie w Galerii MCK raz bądź dwa razy w tygodniu o godzinie 13.00. Piętnastominutowe spotkanie dotyczące wybranego obiektu prezentowanego na aktualnej wystawie w Galerii MCK. Program nie jest adresowany wyłącznie do seniorów, jednak pora i formuła sprawiają, że jego odbiorcami są przede wszystkim seniorzy. W 2019 r. odbyło się 70 spotkań.</w:t>
            </w:r>
          </w:p>
          <w:p w14:paraId="06C96708" w14:textId="77777777" w:rsidR="00E22016" w:rsidRPr="00342041" w:rsidRDefault="00E22016" w:rsidP="00105686">
            <w:pPr>
              <w:pStyle w:val="Akapitzlist"/>
              <w:spacing w:after="0" w:line="240" w:lineRule="auto"/>
              <w:ind w:left="0"/>
              <w:contextualSpacing w:val="0"/>
              <w:jc w:val="both"/>
              <w:rPr>
                <w:rFonts w:ascii="Times New Roman" w:hAnsi="Times New Roman" w:cs="Times New Roman"/>
                <w:sz w:val="20"/>
                <w:szCs w:val="20"/>
              </w:rPr>
            </w:pPr>
            <w:r w:rsidRPr="00342041">
              <w:rPr>
                <w:rFonts w:ascii="Times New Roman" w:hAnsi="Times New Roman" w:cs="Times New Roman"/>
                <w:sz w:val="20"/>
                <w:szCs w:val="20"/>
              </w:rPr>
              <w:t>- Program „12 spacerów na 12 miesięcy” przybliżający dziedzictwo Krakowa (raz w miesiącu w sobotę). Program nie jest adresowany wyłącznie do seniorów, jednak jest on tak pomyślany (nieznaczne dystanse do pokonania, niespieszny spacerowy rytm), że cieszy się popularnością przede wszystkim wśród seniorów. W ramach programu w 2019 r. odbyło się 8 spacerów. Łącznie wzięło w nich udział 729 osób.</w:t>
            </w:r>
          </w:p>
          <w:p w14:paraId="77824FCE" w14:textId="77777777" w:rsidR="00E22016" w:rsidRPr="00342041" w:rsidRDefault="00E22016" w:rsidP="00105686">
            <w:pPr>
              <w:pStyle w:val="Akapitzlist"/>
              <w:spacing w:after="0" w:line="240" w:lineRule="auto"/>
              <w:ind w:left="0"/>
              <w:contextualSpacing w:val="0"/>
              <w:jc w:val="both"/>
              <w:rPr>
                <w:rFonts w:ascii="Times New Roman" w:hAnsi="Times New Roman" w:cs="Times New Roman"/>
                <w:sz w:val="20"/>
                <w:szCs w:val="20"/>
              </w:rPr>
            </w:pPr>
            <w:r w:rsidRPr="00342041">
              <w:rPr>
                <w:rFonts w:ascii="Times New Roman" w:hAnsi="Times New Roman" w:cs="Times New Roman"/>
                <w:sz w:val="20"/>
                <w:szCs w:val="20"/>
              </w:rPr>
              <w:t>- Program dla podopiecznych krakowskich ośrodków pomocy społecznej (DPS i MOPS) obejmujący wizytę w Galerii MCK (zwiedzanie wystawy z przewodnikiem) oraz/lub spotkanie prezentujące działalność MCK, dzieje siedziby (kamienicy „Pod Kruki”) oraz materialne i niematerialne dziedzictwo Rynku Głównego. W 2019 r. odbyło się 8 takich spotkań. Łącznie wzięło w nich udział 157 osób.</w:t>
            </w:r>
          </w:p>
        </w:tc>
      </w:tr>
      <w:tr w:rsidR="00E22016" w:rsidRPr="00105686" w14:paraId="7A4A17E5" w14:textId="77777777" w:rsidTr="007230B7">
        <w:trPr>
          <w:jc w:val="center"/>
        </w:trPr>
        <w:tc>
          <w:tcPr>
            <w:tcW w:w="2343" w:type="dxa"/>
            <w:shd w:val="clear" w:color="auto" w:fill="9CC2E5" w:themeFill="accent1" w:themeFillTint="99"/>
            <w:vAlign w:val="center"/>
          </w:tcPr>
          <w:p w14:paraId="77931D30" w14:textId="77777777" w:rsidR="00E22016" w:rsidRPr="00342041" w:rsidRDefault="00E22016" w:rsidP="00105686">
            <w:pPr>
              <w:spacing w:after="0" w:line="240" w:lineRule="auto"/>
              <w:rPr>
                <w:rFonts w:ascii="Times New Roman" w:hAnsi="Times New Roman" w:cs="Times New Roman"/>
                <w:b/>
                <w:sz w:val="20"/>
                <w:szCs w:val="20"/>
              </w:rPr>
            </w:pPr>
            <w:r w:rsidRPr="00342041">
              <w:rPr>
                <w:rFonts w:ascii="Times New Roman" w:hAnsi="Times New Roman" w:cs="Times New Roman"/>
                <w:b/>
                <w:sz w:val="20"/>
                <w:szCs w:val="20"/>
              </w:rPr>
              <w:lastRenderedPageBreak/>
              <w:t>Instytut Książki</w:t>
            </w:r>
          </w:p>
        </w:tc>
        <w:tc>
          <w:tcPr>
            <w:tcW w:w="7008" w:type="dxa"/>
            <w:shd w:val="clear" w:color="auto" w:fill="auto"/>
            <w:vAlign w:val="center"/>
          </w:tcPr>
          <w:p w14:paraId="61D3AE20"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W ramach działającego od 2007 roku programu Dyskusyjne Kluby Książki, co miesiąc w kilkuset polskich miejscowościach we wszystkich województwach czytelnicy spotykają się, aby rozmawiać</w:t>
            </w:r>
            <w:r w:rsidR="007230B7" w:rsidRPr="00342041">
              <w:rPr>
                <w:rFonts w:ascii="Times New Roman" w:hAnsi="Times New Roman" w:cs="Times New Roman"/>
                <w:sz w:val="20"/>
                <w:szCs w:val="20"/>
              </w:rPr>
              <w:t xml:space="preserve"> </w:t>
            </w:r>
            <w:r w:rsidRPr="00342041">
              <w:rPr>
                <w:rFonts w:ascii="Times New Roman" w:hAnsi="Times New Roman" w:cs="Times New Roman"/>
                <w:sz w:val="20"/>
                <w:szCs w:val="20"/>
              </w:rPr>
              <w:t>o książkach i literaturze. Program adresowany jest przede wszystkim do czytelników korzystających z bibliotek publicznych. Przyświeca mu założenie, że potrzebne są miejsca, w których można rozmawiać o wspólnie czytanych książkach, oraz że nie trzeba być krytykiem, by czerpać przyjemność z dyskutowania o literaturze. Spotkania i dyskusje o książkach mają charakter nieformalny. Kluby działają przy bibliotekach publicznych wszystkich stopni (od wojewódzkiego do gminnego). Mogą także działać przy innych instytucjach we współpracy z biblioteką publiczną – np. bibliotekach szkolnych, domach kultury, bibliotekach parafialnych itp. W 2019 r. w Polsce działało 1147 klubów dla dorosłych, w których spotykało się 11 191 stałych członków, przy czym ok. 37 % klubowiczów to osoby powyżej 60 roku życia. Wśród Dyskusyjnych Klubów Książki są również grupy dedykowane wyłącznie seniorom. Znajdziemy je m.in. we Wrocławiu (przy Dolnośląskiej Bibliotece Publicznej i Filii nr 1 Miejskiej Biblioteki Publicznej), Toruniu (przy Filii nr 1 Książnicy Kopernikańskiej we współpracy z Uniwersytetem Trzeciego Wieku), Gorzowie Wielkopolskim (przy Uniwersytecie Trzeciego Wieku), Sochaczewie (przy Stowarzyszeniu Uniwersytetu Trzeciego Wieku), Kielcach (przy Wojewódzkiej Bibliotece Publicznej), Turku (przy Miejskiej Bibliotece Publicznej we współpracy z Uniwersytetem Trzeciego Wieku).</w:t>
            </w:r>
          </w:p>
          <w:p w14:paraId="10CBECDA"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W ramach kampanii „Mała Książka – Wielki Człowiek”, której trzecia edycja miała miejsce w 2019 r., Instytut Książki promuje tzw. czytanie generacyjne, którego idea włącza seniorów</w:t>
            </w:r>
            <w:r w:rsidR="007230B7" w:rsidRPr="00342041">
              <w:rPr>
                <w:rFonts w:ascii="Times New Roman" w:hAnsi="Times New Roman" w:cs="Times New Roman"/>
                <w:sz w:val="20"/>
                <w:szCs w:val="20"/>
              </w:rPr>
              <w:t xml:space="preserve"> </w:t>
            </w:r>
            <w:r w:rsidRPr="00342041">
              <w:rPr>
                <w:rFonts w:ascii="Times New Roman" w:hAnsi="Times New Roman" w:cs="Times New Roman"/>
                <w:sz w:val="20"/>
                <w:szCs w:val="20"/>
              </w:rPr>
              <w:t>w przekazywanie praktyk czytelniczych najmłodszym. Czytanie dzieciom zarówno przez rodziców, jak i dziadków, jest niezwykle ważne ze względu na budowanie relacji i emocjonalnych więzi, a także tworzące się poczucie bliskości i bezpieczeństwa.</w:t>
            </w:r>
          </w:p>
        </w:tc>
      </w:tr>
      <w:tr w:rsidR="00E22016" w:rsidRPr="00105686" w14:paraId="58F99AE7" w14:textId="77777777" w:rsidTr="007230B7">
        <w:trPr>
          <w:jc w:val="center"/>
        </w:trPr>
        <w:tc>
          <w:tcPr>
            <w:tcW w:w="2343" w:type="dxa"/>
            <w:shd w:val="clear" w:color="auto" w:fill="9CC2E5" w:themeFill="accent1" w:themeFillTint="99"/>
            <w:vAlign w:val="center"/>
          </w:tcPr>
          <w:p w14:paraId="0783AEF2" w14:textId="77777777" w:rsidR="00E22016" w:rsidRPr="00342041" w:rsidRDefault="00E22016" w:rsidP="00105686">
            <w:pPr>
              <w:spacing w:after="0" w:line="240" w:lineRule="auto"/>
              <w:rPr>
                <w:rFonts w:ascii="Times New Roman" w:hAnsi="Times New Roman" w:cs="Times New Roman"/>
                <w:b/>
                <w:sz w:val="20"/>
                <w:szCs w:val="20"/>
              </w:rPr>
            </w:pPr>
            <w:r w:rsidRPr="00342041">
              <w:rPr>
                <w:rFonts w:ascii="Times New Roman" w:hAnsi="Times New Roman" w:cs="Times New Roman"/>
                <w:b/>
                <w:sz w:val="20"/>
                <w:szCs w:val="20"/>
              </w:rPr>
              <w:t>Muzeum Podlaskie w Białymstoku</w:t>
            </w:r>
          </w:p>
        </w:tc>
        <w:tc>
          <w:tcPr>
            <w:tcW w:w="7008" w:type="dxa"/>
            <w:shd w:val="clear" w:color="auto" w:fill="auto"/>
            <w:vAlign w:val="center"/>
          </w:tcPr>
          <w:p w14:paraId="61DB2C0A"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System zniżek i ulg w cenach biletów.</w:t>
            </w:r>
          </w:p>
          <w:p w14:paraId="30356954"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W ramach programu „Muzealne środy dla seniorów” w 2019 r. odbyło się 18 spotkań. Spotkania dla seniorów mają formę wykładu z prezentacją lub kuratorskiego oprowadzania po wystawie bądź wycieczki historycznej. Spotkania obejmują prezentowanie zbiorów i wystaw oraz oprowadzanie po Białymstoku z gawędą historyczną. Spotkania odbywają się raz w miesiącu (oprócz lipca i sierpnia), w środy o godz. 11.00 w białostockim ratuszu, Muzeum Historycznym, Muzeum Rzeźby Alfonsa Karnego i Muzeum w Bielsku Podlaskim.</w:t>
            </w:r>
          </w:p>
          <w:p w14:paraId="0C16925C"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Cykle wykładów dla Uniwersytetu Trzeciego Wieku – w 2019 r. odbyło się 9 wykładów.</w:t>
            </w:r>
          </w:p>
        </w:tc>
      </w:tr>
      <w:tr w:rsidR="00E22016" w:rsidRPr="00105686" w14:paraId="6D3C04DA" w14:textId="77777777" w:rsidTr="007230B7">
        <w:trPr>
          <w:jc w:val="center"/>
        </w:trPr>
        <w:tc>
          <w:tcPr>
            <w:tcW w:w="2343" w:type="dxa"/>
            <w:shd w:val="clear" w:color="auto" w:fill="9CC2E5" w:themeFill="accent1" w:themeFillTint="99"/>
            <w:vAlign w:val="center"/>
          </w:tcPr>
          <w:p w14:paraId="7AB874B1" w14:textId="77777777" w:rsidR="00E22016" w:rsidRPr="00342041" w:rsidRDefault="00E22016" w:rsidP="00105686">
            <w:pPr>
              <w:spacing w:after="0" w:line="240" w:lineRule="auto"/>
              <w:rPr>
                <w:rFonts w:ascii="Times New Roman" w:hAnsi="Times New Roman" w:cs="Times New Roman"/>
                <w:b/>
                <w:sz w:val="20"/>
                <w:szCs w:val="20"/>
              </w:rPr>
            </w:pPr>
            <w:r w:rsidRPr="00342041">
              <w:rPr>
                <w:rFonts w:ascii="Times New Roman" w:hAnsi="Times New Roman" w:cs="Times New Roman"/>
                <w:b/>
                <w:sz w:val="20"/>
                <w:szCs w:val="20"/>
              </w:rPr>
              <w:t>Muzeum Narodowe w Poznaniu wraz z oddziałami</w:t>
            </w:r>
          </w:p>
          <w:p w14:paraId="1161B645" w14:textId="77777777" w:rsidR="00E22016" w:rsidRPr="00342041" w:rsidRDefault="00E22016" w:rsidP="00105686">
            <w:pPr>
              <w:spacing w:after="0" w:line="240" w:lineRule="auto"/>
              <w:rPr>
                <w:rFonts w:ascii="Times New Roman" w:hAnsi="Times New Roman" w:cs="Times New Roman"/>
                <w:b/>
                <w:sz w:val="20"/>
                <w:szCs w:val="20"/>
              </w:rPr>
            </w:pPr>
          </w:p>
        </w:tc>
        <w:tc>
          <w:tcPr>
            <w:tcW w:w="7008" w:type="dxa"/>
            <w:shd w:val="clear" w:color="auto" w:fill="auto"/>
            <w:vAlign w:val="center"/>
          </w:tcPr>
          <w:p w14:paraId="6C9A343B"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System zniżek i ulg w cenach biletów.</w:t>
            </w:r>
          </w:p>
          <w:p w14:paraId="72D299FE"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Wydawnictwo cykliczne: Folder "Seniorzy".</w:t>
            </w:r>
          </w:p>
          <w:p w14:paraId="146A881B"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„Czwartki dla seniorów” – cykl spotkań i spacerów w galerii malarstwa i rzeźby mający na celu przybliżenie kolekcji MNP. Cykl każdego sezonu ma temat przewodni, który omawiany jest wielowątkowo z wykorzystaniem dzieł wszystkich galerii od średniowiecza po XX wiek. Działanie cykliczne, coroczne. Statystyka za 2019 rok: 13 spotkań, 342 uczestników.</w:t>
            </w:r>
          </w:p>
          <w:p w14:paraId="55F43DC3"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Senioralni – Współpraca coroczna, w ramach której w 2019 r. odbyły się 2 spacery przy frekwencji 75 osób.</w:t>
            </w:r>
          </w:p>
          <w:p w14:paraId="15F24666"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lastRenderedPageBreak/>
              <w:t>- „Akademia gitary dedykowana osobom 60+.</w:t>
            </w:r>
          </w:p>
          <w:p w14:paraId="0A836165"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Uniwersytet Trzeciego Wieku – cykl wykładów z historii sztuki odbywający się w ciągu roku akademickiego, organizowany we współpracy z Towarzystwem Uniwersytet Trzeciego Wieku, które stawia sobie za cel usprawnianie intelektualne seniorów, rozbudzanie nowych zainteresowań, doskonalenie wiedzy i umiejętności. Działanie cykliczne, coroczne. Statystyka za 2019 rok: 133 wykłady, frekwencja: 4028 osób.</w:t>
            </w:r>
          </w:p>
        </w:tc>
      </w:tr>
      <w:tr w:rsidR="00E22016" w:rsidRPr="00105686" w14:paraId="793BFC36" w14:textId="77777777" w:rsidTr="007230B7">
        <w:trPr>
          <w:jc w:val="center"/>
        </w:trPr>
        <w:tc>
          <w:tcPr>
            <w:tcW w:w="2343" w:type="dxa"/>
            <w:shd w:val="clear" w:color="auto" w:fill="9CC2E5" w:themeFill="accent1" w:themeFillTint="99"/>
            <w:vAlign w:val="center"/>
          </w:tcPr>
          <w:p w14:paraId="329322FF" w14:textId="77777777" w:rsidR="00E22016" w:rsidRPr="00342041" w:rsidRDefault="00E22016" w:rsidP="00105686">
            <w:pPr>
              <w:spacing w:after="0" w:line="240" w:lineRule="auto"/>
              <w:rPr>
                <w:rFonts w:ascii="Times New Roman" w:hAnsi="Times New Roman" w:cs="Times New Roman"/>
                <w:b/>
                <w:sz w:val="20"/>
                <w:szCs w:val="20"/>
              </w:rPr>
            </w:pPr>
            <w:r w:rsidRPr="00342041">
              <w:rPr>
                <w:rFonts w:ascii="Times New Roman" w:hAnsi="Times New Roman" w:cs="Times New Roman"/>
                <w:b/>
                <w:sz w:val="20"/>
                <w:szCs w:val="20"/>
              </w:rPr>
              <w:lastRenderedPageBreak/>
              <w:t>Narodowe Muzeum Morskie w Gdańsku</w:t>
            </w:r>
            <w:r w:rsidRPr="00342041">
              <w:rPr>
                <w:rFonts w:ascii="Times New Roman" w:hAnsi="Times New Roman" w:cs="Times New Roman"/>
                <w:b/>
                <w:sz w:val="20"/>
                <w:szCs w:val="20"/>
              </w:rPr>
              <w:tab/>
            </w:r>
          </w:p>
        </w:tc>
        <w:tc>
          <w:tcPr>
            <w:tcW w:w="7008" w:type="dxa"/>
            <w:shd w:val="clear" w:color="auto" w:fill="auto"/>
            <w:vAlign w:val="center"/>
          </w:tcPr>
          <w:p w14:paraId="51B25798"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System zniżek i ulg w cenach biletów.</w:t>
            </w:r>
          </w:p>
          <w:p w14:paraId="41D73C95" w14:textId="77777777" w:rsidR="00E22016" w:rsidRPr="00342041" w:rsidRDefault="00E22016" w:rsidP="00105686">
            <w:pPr>
              <w:tabs>
                <w:tab w:val="left" w:pos="4200"/>
              </w:tabs>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„Lubię poniedziałki” – warsztaty plastyczne dla osób 60+. Zadaniem warsztatów jest rozwijanie</w:t>
            </w:r>
            <w:r w:rsidR="007230B7" w:rsidRPr="00342041">
              <w:rPr>
                <w:rFonts w:ascii="Times New Roman" w:hAnsi="Times New Roman" w:cs="Times New Roman"/>
                <w:sz w:val="20"/>
                <w:szCs w:val="20"/>
              </w:rPr>
              <w:t xml:space="preserve"> </w:t>
            </w:r>
            <w:r w:rsidRPr="00342041">
              <w:rPr>
                <w:rFonts w:ascii="Times New Roman" w:hAnsi="Times New Roman" w:cs="Times New Roman"/>
                <w:sz w:val="20"/>
                <w:szCs w:val="20"/>
              </w:rPr>
              <w:t>u osób dojrzałych zdolności plastycznych i uzewnętrznianie ich pod okiem plastyka (pracownika Muzeum). W trakcie zajęć uczestnicy poznają różnorodne techniki plastyczne (malarstwo, rysunek, akwarelę, malarstwo na szkle i węglem oraz gwasz) i tworzą prace inspirowane wystawami NMM, morzem i regionem gdańskim. Zajęcia teoretyczno-praktyczne odbywają się w Ośrodku Kultury Morskiej w Gdańsku. W 2019 r. odbyło się 16 spotkań malarskich połączonych ze zwiedzaniem Galerii Morskiej i wystaw czasowych. Część zajęć odbywała się jako plener na nabrzeżu Motławy.</w:t>
            </w:r>
          </w:p>
        </w:tc>
      </w:tr>
      <w:tr w:rsidR="00E22016" w:rsidRPr="00105686" w14:paraId="11C7351E" w14:textId="77777777" w:rsidTr="007230B7">
        <w:trPr>
          <w:jc w:val="center"/>
        </w:trPr>
        <w:tc>
          <w:tcPr>
            <w:tcW w:w="2343" w:type="dxa"/>
            <w:shd w:val="clear" w:color="auto" w:fill="9CC2E5" w:themeFill="accent1" w:themeFillTint="99"/>
            <w:vAlign w:val="center"/>
          </w:tcPr>
          <w:p w14:paraId="0D47ACE4" w14:textId="77777777" w:rsidR="00E22016" w:rsidRPr="00342041" w:rsidRDefault="00E22016" w:rsidP="00105686">
            <w:pPr>
              <w:spacing w:after="0" w:line="240" w:lineRule="auto"/>
              <w:rPr>
                <w:rFonts w:ascii="Times New Roman" w:hAnsi="Times New Roman" w:cs="Times New Roman"/>
                <w:b/>
                <w:sz w:val="20"/>
                <w:szCs w:val="20"/>
              </w:rPr>
            </w:pPr>
            <w:r w:rsidRPr="00342041">
              <w:rPr>
                <w:rFonts w:ascii="Times New Roman" w:hAnsi="Times New Roman" w:cs="Times New Roman"/>
                <w:b/>
                <w:sz w:val="20"/>
                <w:szCs w:val="20"/>
              </w:rPr>
              <w:t>Muzeum Historii Żydów Polskich POLIN</w:t>
            </w:r>
          </w:p>
        </w:tc>
        <w:tc>
          <w:tcPr>
            <w:tcW w:w="7008" w:type="dxa"/>
            <w:shd w:val="clear" w:color="auto" w:fill="auto"/>
            <w:vAlign w:val="center"/>
          </w:tcPr>
          <w:p w14:paraId="11C05151"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System zniżek i ulg w cenach biletów.</w:t>
            </w:r>
          </w:p>
          <w:p w14:paraId="19FC4388" w14:textId="77777777" w:rsidR="00E22016" w:rsidRPr="00342041" w:rsidRDefault="00E22016" w:rsidP="00105686">
            <w:pPr>
              <w:tabs>
                <w:tab w:val="left" w:pos="4200"/>
              </w:tabs>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W 2019 r. w ramach programów dla seniorów odbyło się 35 wydarzeń dla niemal 1200 uczestników.</w:t>
            </w:r>
          </w:p>
          <w:p w14:paraId="7DB7673C" w14:textId="77777777" w:rsidR="00E22016" w:rsidRPr="00342041" w:rsidRDefault="00E22016" w:rsidP="00105686">
            <w:pPr>
              <w:tabs>
                <w:tab w:val="left" w:pos="4200"/>
              </w:tabs>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Program obejmował warsztaty i spotkania gł. wokół świąt i tradycji żydowskich, w tym również wykłady nt. historii i kultury żydowskiej dla Uniwersytetów Trzeciego Wieku.</w:t>
            </w:r>
          </w:p>
          <w:p w14:paraId="000056CC" w14:textId="77777777" w:rsidR="00E22016" w:rsidRPr="00342041" w:rsidRDefault="00E22016" w:rsidP="00105686">
            <w:pPr>
              <w:tabs>
                <w:tab w:val="left" w:pos="4200"/>
              </w:tabs>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„Senioralne piątki na wystawie stałej” – spacery z przewodnikiem wokół tradycji żydowskich</w:t>
            </w:r>
            <w:r w:rsidR="007230B7" w:rsidRPr="00342041">
              <w:rPr>
                <w:rFonts w:ascii="Times New Roman" w:hAnsi="Times New Roman" w:cs="Times New Roman"/>
                <w:sz w:val="20"/>
                <w:szCs w:val="20"/>
              </w:rPr>
              <w:t xml:space="preserve"> </w:t>
            </w:r>
            <w:r w:rsidRPr="00342041">
              <w:rPr>
                <w:rFonts w:ascii="Times New Roman" w:hAnsi="Times New Roman" w:cs="Times New Roman"/>
                <w:sz w:val="20"/>
                <w:szCs w:val="20"/>
              </w:rPr>
              <w:t>i w kręgu wspólnej historii oraz spacery po wystawach czasowych dla seniorów.</w:t>
            </w:r>
          </w:p>
          <w:p w14:paraId="280E761A" w14:textId="77777777" w:rsidR="00E22016" w:rsidRPr="00342041" w:rsidRDefault="00E22016" w:rsidP="00105686">
            <w:pPr>
              <w:tabs>
                <w:tab w:val="left" w:pos="4200"/>
              </w:tabs>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„Dziecięce marzenia” – warsztaty dla seniorów z wnukami towarzyszące wystawie czasowej.</w:t>
            </w:r>
          </w:p>
          <w:p w14:paraId="4DD57A72" w14:textId="77777777" w:rsidR="00E22016" w:rsidRPr="00342041" w:rsidRDefault="00E22016" w:rsidP="00105686">
            <w:pPr>
              <w:tabs>
                <w:tab w:val="left" w:pos="4200"/>
              </w:tabs>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Zajęcia ruchowe oraz działania we współpracy m.in. z Caritas Polska, Dzielnicową Radą Seniorów, Towarzystwem Inicjatyw Twórczych ”ę”, organizatorami Parady Seniorów (udział w Pikniku Pokoleń 2019).</w:t>
            </w:r>
          </w:p>
        </w:tc>
      </w:tr>
      <w:tr w:rsidR="00E22016" w:rsidRPr="00105686" w14:paraId="7E1971FC" w14:textId="77777777" w:rsidTr="007230B7">
        <w:trPr>
          <w:jc w:val="center"/>
        </w:trPr>
        <w:tc>
          <w:tcPr>
            <w:tcW w:w="2343" w:type="dxa"/>
            <w:shd w:val="clear" w:color="auto" w:fill="9CC2E5" w:themeFill="accent1" w:themeFillTint="99"/>
            <w:vAlign w:val="center"/>
          </w:tcPr>
          <w:p w14:paraId="224D813D" w14:textId="77777777" w:rsidR="00E22016" w:rsidRPr="00342041" w:rsidRDefault="00E22016" w:rsidP="00105686">
            <w:pPr>
              <w:spacing w:after="0" w:line="240" w:lineRule="auto"/>
              <w:rPr>
                <w:rFonts w:ascii="Times New Roman" w:hAnsi="Times New Roman" w:cs="Times New Roman"/>
                <w:b/>
                <w:sz w:val="20"/>
                <w:szCs w:val="20"/>
              </w:rPr>
            </w:pPr>
            <w:r w:rsidRPr="00342041">
              <w:rPr>
                <w:rFonts w:ascii="Times New Roman" w:hAnsi="Times New Roman" w:cs="Times New Roman"/>
                <w:b/>
                <w:sz w:val="20"/>
                <w:szCs w:val="20"/>
              </w:rPr>
              <w:t>Muzeum Józefa Piłsudskiego w Sulejówku</w:t>
            </w:r>
          </w:p>
        </w:tc>
        <w:tc>
          <w:tcPr>
            <w:tcW w:w="7008" w:type="dxa"/>
            <w:shd w:val="clear" w:color="auto" w:fill="auto"/>
            <w:vAlign w:val="center"/>
          </w:tcPr>
          <w:p w14:paraId="1263C3A0" w14:textId="77777777" w:rsidR="00E22016" w:rsidRPr="00342041" w:rsidRDefault="00E22016" w:rsidP="00105686">
            <w:pPr>
              <w:tabs>
                <w:tab w:val="left" w:pos="4200"/>
              </w:tabs>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System zniżek i ulg w cenach biletów.</w:t>
            </w:r>
          </w:p>
          <w:p w14:paraId="18548906" w14:textId="77777777" w:rsidR="00E22016" w:rsidRPr="00342041" w:rsidRDefault="00E22016" w:rsidP="00105686">
            <w:pPr>
              <w:tabs>
                <w:tab w:val="left" w:pos="4200"/>
              </w:tabs>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Cykl „Muzeum po godzinach. Wolontariat muzealny” – progr</w:t>
            </w:r>
            <w:r w:rsidR="00445B68">
              <w:rPr>
                <w:rFonts w:ascii="Times New Roman" w:hAnsi="Times New Roman" w:cs="Times New Roman"/>
                <w:sz w:val="20"/>
                <w:szCs w:val="20"/>
              </w:rPr>
              <w:t xml:space="preserve">am </w:t>
            </w:r>
            <w:r w:rsidRPr="00342041">
              <w:rPr>
                <w:rFonts w:ascii="Times New Roman" w:hAnsi="Times New Roman" w:cs="Times New Roman"/>
                <w:sz w:val="20"/>
                <w:szCs w:val="20"/>
              </w:rPr>
              <w:t>międzypokoleniowy, w ramach którego wolontariusze i wolontariuszki muzeum (osoby starsze) współtworzą program muzeum.</w:t>
            </w:r>
            <w:r w:rsidR="007230B7" w:rsidRPr="00342041">
              <w:rPr>
                <w:rFonts w:ascii="Times New Roman" w:hAnsi="Times New Roman" w:cs="Times New Roman"/>
                <w:sz w:val="20"/>
                <w:szCs w:val="20"/>
              </w:rPr>
              <w:t xml:space="preserve"> </w:t>
            </w:r>
            <w:r w:rsidRPr="00342041">
              <w:rPr>
                <w:rFonts w:ascii="Times New Roman" w:hAnsi="Times New Roman" w:cs="Times New Roman"/>
                <w:sz w:val="20"/>
                <w:szCs w:val="20"/>
              </w:rPr>
              <w:t>W grupie 80 wolontariuszy 7 osób to osoby starsze, które u</w:t>
            </w:r>
            <w:r w:rsidR="00445B68">
              <w:rPr>
                <w:rFonts w:ascii="Times New Roman" w:hAnsi="Times New Roman" w:cs="Times New Roman"/>
                <w:sz w:val="20"/>
                <w:szCs w:val="20"/>
              </w:rPr>
              <w:t xml:space="preserve">czestniczyły m.in. w warsztacie </w:t>
            </w:r>
            <w:r w:rsidRPr="00342041">
              <w:rPr>
                <w:rFonts w:ascii="Times New Roman" w:hAnsi="Times New Roman" w:cs="Times New Roman"/>
                <w:sz w:val="20"/>
                <w:szCs w:val="20"/>
              </w:rPr>
              <w:t>z komunikacji i 5 warsztatach z projektowania tras spacerowych.</w:t>
            </w:r>
          </w:p>
        </w:tc>
      </w:tr>
      <w:tr w:rsidR="00E22016" w:rsidRPr="00105686" w14:paraId="31676E81" w14:textId="77777777" w:rsidTr="007230B7">
        <w:trPr>
          <w:jc w:val="center"/>
        </w:trPr>
        <w:tc>
          <w:tcPr>
            <w:tcW w:w="2343" w:type="dxa"/>
            <w:shd w:val="clear" w:color="auto" w:fill="9CC2E5" w:themeFill="accent1" w:themeFillTint="99"/>
            <w:vAlign w:val="center"/>
          </w:tcPr>
          <w:p w14:paraId="3136C357" w14:textId="77777777" w:rsidR="00E22016" w:rsidRPr="00342041" w:rsidRDefault="00E22016" w:rsidP="00105686">
            <w:pPr>
              <w:spacing w:after="0" w:line="240" w:lineRule="auto"/>
              <w:rPr>
                <w:rFonts w:ascii="Times New Roman" w:hAnsi="Times New Roman" w:cs="Times New Roman"/>
                <w:b/>
                <w:sz w:val="20"/>
                <w:szCs w:val="20"/>
              </w:rPr>
            </w:pPr>
            <w:r w:rsidRPr="00342041">
              <w:rPr>
                <w:rFonts w:ascii="Times New Roman" w:hAnsi="Times New Roman" w:cs="Times New Roman"/>
                <w:b/>
                <w:sz w:val="20"/>
                <w:szCs w:val="20"/>
              </w:rPr>
              <w:t xml:space="preserve">Zachęta – Narodowa Galeria Sztuki </w:t>
            </w:r>
          </w:p>
          <w:p w14:paraId="1CF09E93" w14:textId="77777777" w:rsidR="00E22016" w:rsidRPr="00342041" w:rsidRDefault="00E22016" w:rsidP="00105686">
            <w:pPr>
              <w:spacing w:after="0" w:line="240" w:lineRule="auto"/>
              <w:rPr>
                <w:rFonts w:ascii="Times New Roman" w:hAnsi="Times New Roman" w:cs="Times New Roman"/>
                <w:b/>
                <w:sz w:val="20"/>
                <w:szCs w:val="20"/>
              </w:rPr>
            </w:pPr>
          </w:p>
        </w:tc>
        <w:tc>
          <w:tcPr>
            <w:tcW w:w="7008" w:type="dxa"/>
            <w:shd w:val="clear" w:color="auto" w:fill="auto"/>
            <w:vAlign w:val="center"/>
          </w:tcPr>
          <w:p w14:paraId="56002932"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Wstęp na wszystkie wydarzenia dla seniorów jest bezpłatny.</w:t>
            </w:r>
          </w:p>
          <w:p w14:paraId="5F393B0E"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Wprowadzono udogodnienia w ramach strony internetowej dla osób z dysfunkcja narządu wzroku.</w:t>
            </w:r>
          </w:p>
          <w:p w14:paraId="319B6466"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xml:space="preserve">- Spotkania z cyklu </w:t>
            </w:r>
            <w:r w:rsidRPr="00342041">
              <w:rPr>
                <w:rFonts w:ascii="Times New Roman" w:hAnsi="Times New Roman" w:cs="Times New Roman"/>
                <w:i/>
                <w:sz w:val="20"/>
                <w:szCs w:val="20"/>
              </w:rPr>
              <w:t>Patrzeć/zobaczyć</w:t>
            </w:r>
            <w:r w:rsidRPr="00342041">
              <w:rPr>
                <w:rFonts w:ascii="Times New Roman" w:hAnsi="Times New Roman" w:cs="Times New Roman"/>
                <w:sz w:val="20"/>
                <w:szCs w:val="20"/>
              </w:rPr>
              <w:t xml:space="preserve"> prowadzone są od 2008 r. Raz w miesiącu prezentowana jest jedna z aktualnych wystaw w Zachęcie. Pierwsza część spotkania to oprowadzanie po wystawie, druga ma formę wykładu w sali kinowej. W 2019 r. odbyło się łącznie 12 spotkań towarzyszących wystawom w Zachęcie.</w:t>
            </w:r>
          </w:p>
        </w:tc>
      </w:tr>
      <w:tr w:rsidR="00E22016" w:rsidRPr="00105686" w14:paraId="776F8341" w14:textId="77777777" w:rsidTr="007230B7">
        <w:trPr>
          <w:jc w:val="center"/>
        </w:trPr>
        <w:tc>
          <w:tcPr>
            <w:tcW w:w="2343" w:type="dxa"/>
            <w:shd w:val="clear" w:color="auto" w:fill="9CC2E5" w:themeFill="accent1" w:themeFillTint="99"/>
            <w:vAlign w:val="center"/>
          </w:tcPr>
          <w:p w14:paraId="68070F58" w14:textId="77777777" w:rsidR="00E22016" w:rsidRPr="00342041" w:rsidRDefault="00E22016" w:rsidP="00105686">
            <w:pPr>
              <w:spacing w:after="0" w:line="240" w:lineRule="auto"/>
              <w:rPr>
                <w:rFonts w:ascii="Times New Roman" w:hAnsi="Times New Roman" w:cs="Times New Roman"/>
                <w:b/>
                <w:sz w:val="20"/>
                <w:szCs w:val="20"/>
              </w:rPr>
            </w:pPr>
            <w:r w:rsidRPr="00342041">
              <w:rPr>
                <w:rFonts w:ascii="Times New Roman" w:hAnsi="Times New Roman" w:cs="Times New Roman"/>
                <w:b/>
                <w:sz w:val="20"/>
                <w:szCs w:val="20"/>
              </w:rPr>
              <w:t xml:space="preserve">Filharmonia Narodowa </w:t>
            </w:r>
          </w:p>
          <w:p w14:paraId="71E4A3EB" w14:textId="77777777" w:rsidR="00E22016" w:rsidRPr="00342041" w:rsidRDefault="00E22016" w:rsidP="00105686">
            <w:pPr>
              <w:spacing w:after="0" w:line="240" w:lineRule="auto"/>
              <w:rPr>
                <w:rFonts w:ascii="Times New Roman" w:hAnsi="Times New Roman" w:cs="Times New Roman"/>
                <w:b/>
                <w:sz w:val="20"/>
                <w:szCs w:val="20"/>
              </w:rPr>
            </w:pPr>
          </w:p>
        </w:tc>
        <w:tc>
          <w:tcPr>
            <w:tcW w:w="7008" w:type="dxa"/>
            <w:shd w:val="clear" w:color="auto" w:fill="auto"/>
            <w:vAlign w:val="center"/>
          </w:tcPr>
          <w:p w14:paraId="6B715F5C" w14:textId="77777777" w:rsidR="00E22016" w:rsidRPr="00342041" w:rsidRDefault="00E22016" w:rsidP="00105686">
            <w:pPr>
              <w:tabs>
                <w:tab w:val="left" w:pos="4200"/>
              </w:tabs>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System zniżek i ulg w cenach biletów. FN oferuje zniżki umożliwiające uczestnictwo w koncertach osobom starszym, także niepełnosprawnym ruchowo (osoby na wózkach uczestniczą w koncertach bezpłatnie). Oferta zniżek jest kierowana także do domów pomocy społecznej, Uniwersytetów Trzeciego Wieku, klubów seniora, ośrodków pomocy osobom starszym, domów kombatanta (bilety z 80% zniżką, w cenach między 5 a 12 zł). Jednorazowo na preferencyjnych warunkach może uczestniczyć w koncercie 50 osób w Sali kameralnej, a w Sali koncertowej do 100. Obie sale dostępne są dla osób z różnymi niepełnosprawnościami.</w:t>
            </w:r>
          </w:p>
          <w:p w14:paraId="77644953" w14:textId="77777777" w:rsidR="00E22016" w:rsidRPr="00342041" w:rsidRDefault="00E22016" w:rsidP="00105686">
            <w:pPr>
              <w:tabs>
                <w:tab w:val="left" w:pos="4200"/>
              </w:tabs>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Seniorzy uczestniczą także w różnych formach edukacyjnych, w tym wykładach wprowadzających (organizowanych przed koncertami symfonicznymi w piątki), specjalnych koncertach „Po prostu… Filharmonia” oraz „Spotkaniach z Muzyką” poza siedzibą Filharmonii.</w:t>
            </w:r>
          </w:p>
          <w:p w14:paraId="5D5DED90" w14:textId="77777777" w:rsidR="00E22016" w:rsidRPr="00342041" w:rsidRDefault="00E22016" w:rsidP="00105686">
            <w:pPr>
              <w:tabs>
                <w:tab w:val="left" w:pos="4200"/>
              </w:tabs>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Zainteresowaniem seniorów cieszą się również otwarte próby generalne (6 w trakcie sezonu) obejmujące spotkanie wprowadzające w program koncertu, wysłuchanie próby generalnej</w:t>
            </w:r>
            <w:r w:rsidR="007230B7" w:rsidRPr="00342041">
              <w:rPr>
                <w:rFonts w:ascii="Times New Roman" w:hAnsi="Times New Roman" w:cs="Times New Roman"/>
                <w:sz w:val="20"/>
                <w:szCs w:val="20"/>
              </w:rPr>
              <w:t xml:space="preserve"> </w:t>
            </w:r>
            <w:r w:rsidRPr="00342041">
              <w:rPr>
                <w:rFonts w:ascii="Times New Roman" w:hAnsi="Times New Roman" w:cs="Times New Roman"/>
                <w:sz w:val="20"/>
                <w:szCs w:val="20"/>
              </w:rPr>
              <w:t>i spotkanie z artystami biorącymi udział w próbie.</w:t>
            </w:r>
          </w:p>
        </w:tc>
      </w:tr>
      <w:tr w:rsidR="00E22016" w:rsidRPr="00105686" w14:paraId="4E7FB5BC" w14:textId="77777777" w:rsidTr="007230B7">
        <w:trPr>
          <w:jc w:val="center"/>
        </w:trPr>
        <w:tc>
          <w:tcPr>
            <w:tcW w:w="2343" w:type="dxa"/>
            <w:shd w:val="clear" w:color="auto" w:fill="9CC2E5" w:themeFill="accent1" w:themeFillTint="99"/>
            <w:vAlign w:val="center"/>
          </w:tcPr>
          <w:p w14:paraId="0C0B3B91" w14:textId="77777777" w:rsidR="00E22016" w:rsidRPr="00342041" w:rsidRDefault="00E22016" w:rsidP="00105686">
            <w:pPr>
              <w:spacing w:after="0" w:line="240" w:lineRule="auto"/>
              <w:rPr>
                <w:rFonts w:ascii="Times New Roman" w:hAnsi="Times New Roman" w:cs="Times New Roman"/>
                <w:b/>
                <w:sz w:val="20"/>
                <w:szCs w:val="20"/>
              </w:rPr>
            </w:pPr>
            <w:r w:rsidRPr="00342041">
              <w:rPr>
                <w:rFonts w:ascii="Times New Roman" w:hAnsi="Times New Roman" w:cs="Times New Roman"/>
                <w:b/>
                <w:sz w:val="20"/>
                <w:szCs w:val="20"/>
              </w:rPr>
              <w:t>Teatr Wielki – Opera Narodowa</w:t>
            </w:r>
          </w:p>
          <w:p w14:paraId="25F8F355" w14:textId="77777777" w:rsidR="00E22016" w:rsidRPr="00342041" w:rsidRDefault="00E22016" w:rsidP="00105686">
            <w:pPr>
              <w:spacing w:after="0" w:line="240" w:lineRule="auto"/>
              <w:rPr>
                <w:rFonts w:ascii="Times New Roman" w:hAnsi="Times New Roman" w:cs="Times New Roman"/>
                <w:b/>
                <w:sz w:val="20"/>
                <w:szCs w:val="20"/>
              </w:rPr>
            </w:pPr>
          </w:p>
        </w:tc>
        <w:tc>
          <w:tcPr>
            <w:tcW w:w="7008" w:type="dxa"/>
            <w:shd w:val="clear" w:color="auto" w:fill="auto"/>
            <w:vAlign w:val="center"/>
          </w:tcPr>
          <w:p w14:paraId="5A9BCC8F" w14:textId="77777777" w:rsidR="00E22016" w:rsidRPr="00342041" w:rsidRDefault="00E22016" w:rsidP="00105686">
            <w:pPr>
              <w:spacing w:after="0" w:line="240" w:lineRule="auto"/>
              <w:jc w:val="both"/>
              <w:rPr>
                <w:rFonts w:ascii="Times New Roman" w:eastAsia="MS Mincho" w:hAnsi="Times New Roman" w:cs="Times New Roman"/>
                <w:sz w:val="20"/>
                <w:szCs w:val="20"/>
              </w:rPr>
            </w:pPr>
            <w:r w:rsidRPr="00342041">
              <w:rPr>
                <w:rFonts w:ascii="Times New Roman" w:eastAsia="MS Mincho" w:hAnsi="Times New Roman" w:cs="Times New Roman"/>
                <w:sz w:val="20"/>
                <w:szCs w:val="20"/>
              </w:rPr>
              <w:t>- Stworzenie podstrony internetowej zawierającej podane w sposób zwięzły i jasny m.in. informacje o udogodnieniach, dojazdach, najczęściej zadawanych pytaniach w kontekście procedur zakupu czy zwrotu biletów.</w:t>
            </w:r>
          </w:p>
          <w:p w14:paraId="26036B22"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lastRenderedPageBreak/>
              <w:t>- Instytucja posiada system zniżek przy zakupie biletów dla osób indywidualnych z uprawnieniami seniora oraz dla grup zorganizowanych seniorów wraz z opiekunami.</w:t>
            </w:r>
          </w:p>
          <w:p w14:paraId="6C31C161"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Cykle Warsztatów Wokalnych 25+ oraz Warsztaty Taneczne 25 +, bez górnej granicy wieku, które cieszą się ogromnym powodzeniem wśród seniorów (najstarszy uczestnik miał 77 lat).</w:t>
            </w:r>
          </w:p>
          <w:p w14:paraId="4BD491C3"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Uniwersytet wiedzy operowej dla dorosłych – cykl dziewięciu wykładów m.in. dla osób starszych. Podczas zajęć słuchacze poznają podstawowe zagadnienia dotyczące opery, takie jak rola dyrygenta w orkiestrze czy proces powstawania scenografii.</w:t>
            </w:r>
          </w:p>
          <w:p w14:paraId="34E8B27E"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W ramach Muzeum Teatralnego prowadzono dla grup seniorów także bezpłatne oprowadzania kuratorskie po wystawie „Teatrowisko Warszawskie”.</w:t>
            </w:r>
          </w:p>
          <w:p w14:paraId="5E145EA5" w14:textId="77777777" w:rsidR="00E22016" w:rsidRPr="00342041" w:rsidRDefault="00E22016" w:rsidP="00105686">
            <w:pPr>
              <w:spacing w:after="0" w:line="240" w:lineRule="auto"/>
              <w:jc w:val="both"/>
              <w:rPr>
                <w:rFonts w:ascii="Times New Roman" w:hAnsi="Times New Roman" w:cs="Times New Roman"/>
                <w:sz w:val="20"/>
                <w:szCs w:val="20"/>
              </w:rPr>
            </w:pPr>
            <w:r w:rsidRPr="00342041">
              <w:rPr>
                <w:rFonts w:ascii="Times New Roman" w:hAnsi="Times New Roman" w:cs="Times New Roman"/>
                <w:sz w:val="20"/>
                <w:szCs w:val="20"/>
              </w:rPr>
              <w:t>- TW-ON współpracuje przy organizacji tego rodzaju aktywności ze stowarzyszeniami i związkami zrzeszającymi osoby w wieku emerytalnym (m.in. Związek Emerytów i Rencistów, Stowarzyszenie Seniorskie, Uniwersytet Trzeciego Wieku).</w:t>
            </w:r>
          </w:p>
        </w:tc>
      </w:tr>
      <w:tr w:rsidR="00E22016" w:rsidRPr="00105686" w14:paraId="116D050E" w14:textId="77777777" w:rsidTr="007230B7">
        <w:trPr>
          <w:jc w:val="center"/>
        </w:trPr>
        <w:tc>
          <w:tcPr>
            <w:tcW w:w="2343" w:type="dxa"/>
            <w:shd w:val="clear" w:color="auto" w:fill="9CC2E5" w:themeFill="accent1" w:themeFillTint="99"/>
            <w:vAlign w:val="center"/>
          </w:tcPr>
          <w:p w14:paraId="146BC651" w14:textId="77777777" w:rsidR="00E22016" w:rsidRPr="00342041" w:rsidRDefault="00E22016" w:rsidP="00105686">
            <w:pPr>
              <w:spacing w:after="0" w:line="240" w:lineRule="auto"/>
              <w:ind w:right="141"/>
              <w:rPr>
                <w:rFonts w:ascii="Times New Roman" w:hAnsi="Times New Roman" w:cs="Times New Roman"/>
                <w:b/>
                <w:sz w:val="20"/>
                <w:szCs w:val="20"/>
              </w:rPr>
            </w:pPr>
            <w:r w:rsidRPr="00342041">
              <w:rPr>
                <w:rFonts w:ascii="Times New Roman" w:eastAsia="Times New Roman" w:hAnsi="Times New Roman" w:cs="Times New Roman"/>
                <w:b/>
                <w:sz w:val="20"/>
                <w:szCs w:val="20"/>
              </w:rPr>
              <w:lastRenderedPageBreak/>
              <w:t>Muzyczna Akademia Seniora (Akademia Muzyczna w Katowicach)</w:t>
            </w:r>
          </w:p>
        </w:tc>
        <w:tc>
          <w:tcPr>
            <w:tcW w:w="7008" w:type="dxa"/>
            <w:shd w:val="clear" w:color="auto" w:fill="auto"/>
            <w:vAlign w:val="center"/>
          </w:tcPr>
          <w:p w14:paraId="05A3BCD0" w14:textId="77777777" w:rsidR="00E22016" w:rsidRPr="00342041" w:rsidRDefault="00E22016" w:rsidP="00105686">
            <w:pPr>
              <w:autoSpaceDE w:val="0"/>
              <w:autoSpaceDN w:val="0"/>
              <w:adjustRightInd w:val="0"/>
              <w:spacing w:after="0" w:line="240" w:lineRule="auto"/>
              <w:jc w:val="both"/>
              <w:rPr>
                <w:rFonts w:ascii="Times New Roman" w:eastAsia="Times New Roman" w:hAnsi="Times New Roman" w:cs="Times New Roman"/>
                <w:sz w:val="20"/>
                <w:szCs w:val="20"/>
              </w:rPr>
            </w:pPr>
            <w:r w:rsidRPr="00342041">
              <w:rPr>
                <w:rFonts w:ascii="Times New Roman" w:eastAsia="Times New Roman" w:hAnsi="Times New Roman" w:cs="Times New Roman"/>
                <w:sz w:val="20"/>
                <w:szCs w:val="20"/>
              </w:rPr>
              <w:t>- Muzyczna Akademia Seniora oferuje zajęcia obejmujące cykle sobotnich wykładów i ćwiczeń</w:t>
            </w:r>
            <w:r w:rsidR="007230B7" w:rsidRPr="00342041">
              <w:rPr>
                <w:rFonts w:ascii="Times New Roman" w:eastAsia="Times New Roman" w:hAnsi="Times New Roman" w:cs="Times New Roman"/>
                <w:sz w:val="20"/>
                <w:szCs w:val="20"/>
              </w:rPr>
              <w:t xml:space="preserve"> </w:t>
            </w:r>
            <w:r w:rsidRPr="00342041">
              <w:rPr>
                <w:rFonts w:ascii="Times New Roman" w:eastAsia="Times New Roman" w:hAnsi="Times New Roman" w:cs="Times New Roman"/>
                <w:sz w:val="20"/>
                <w:szCs w:val="20"/>
              </w:rPr>
              <w:t>z szeroko rozumianej tematyki muzycznej, w tym zajęcia taneczne, ruchowe i ze śpiewu, wykłady</w:t>
            </w:r>
            <w:r w:rsidR="007230B7" w:rsidRPr="00342041">
              <w:rPr>
                <w:rFonts w:ascii="Times New Roman" w:eastAsia="Times New Roman" w:hAnsi="Times New Roman" w:cs="Times New Roman"/>
                <w:sz w:val="20"/>
                <w:szCs w:val="20"/>
              </w:rPr>
              <w:t xml:space="preserve"> </w:t>
            </w:r>
            <w:r w:rsidRPr="00342041">
              <w:rPr>
                <w:rFonts w:ascii="Times New Roman" w:eastAsia="Times New Roman" w:hAnsi="Times New Roman" w:cs="Times New Roman"/>
                <w:sz w:val="20"/>
                <w:szCs w:val="20"/>
              </w:rPr>
              <w:t>i ćwiczenia, dzięki którym słuchacze mieli m.in. możliwość zapoznać się z różnymi instrumentami (ich skalą, budową, historią, sposobami artykulacji i cechami charakterystycznymi), technicznymi i estetycznymi wymiarami sztuki dźwięków, śpiewać tradycyjne pieśni, wziąć udział w zajęciach ruchowych i poznać wyniki badań związane z wpływem muzyki na funkcjonowanie człowieka. Zajęcia prowadzone są przez pedagogów Uczelni. W 2019 r. odbyło się 10 spotkań, a w każdym brało udział 60 – 70 osób.</w:t>
            </w:r>
          </w:p>
          <w:p w14:paraId="758F318E" w14:textId="77777777" w:rsidR="00E22016" w:rsidRPr="00342041" w:rsidRDefault="00E22016" w:rsidP="00105686">
            <w:pPr>
              <w:pStyle w:val="Akapitzlist"/>
              <w:autoSpaceDE w:val="0"/>
              <w:autoSpaceDN w:val="0"/>
              <w:adjustRightInd w:val="0"/>
              <w:spacing w:after="0" w:line="240" w:lineRule="auto"/>
              <w:ind w:left="0"/>
              <w:contextualSpacing w:val="0"/>
              <w:jc w:val="both"/>
              <w:rPr>
                <w:rFonts w:ascii="Times New Roman" w:hAnsi="Times New Roman" w:cs="Times New Roman"/>
                <w:sz w:val="20"/>
                <w:szCs w:val="20"/>
              </w:rPr>
            </w:pPr>
            <w:r w:rsidRPr="00342041">
              <w:rPr>
                <w:rFonts w:ascii="Times New Roman" w:hAnsi="Times New Roman" w:cs="Times New Roman"/>
                <w:sz w:val="20"/>
                <w:szCs w:val="20"/>
              </w:rPr>
              <w:t>- Akademia aktywnie współpracuje też z regionalnymi Uniwersytetami Trzeciego Wieku. Słuchacze Uniwersytetów regularnie korzystali z bogatej bezpłatnej oferty koncertowej Uczelni, zarówno</w:t>
            </w:r>
            <w:r w:rsidR="007230B7" w:rsidRPr="00342041">
              <w:rPr>
                <w:rFonts w:ascii="Times New Roman" w:hAnsi="Times New Roman" w:cs="Times New Roman"/>
                <w:sz w:val="20"/>
                <w:szCs w:val="20"/>
              </w:rPr>
              <w:t xml:space="preserve"> </w:t>
            </w:r>
            <w:r w:rsidRPr="00342041">
              <w:rPr>
                <w:rFonts w:ascii="Times New Roman" w:hAnsi="Times New Roman" w:cs="Times New Roman"/>
                <w:sz w:val="20"/>
                <w:szCs w:val="20"/>
              </w:rPr>
              <w:t xml:space="preserve">w ramach rezerwacji grupowych, jak i indywidualnych. </w:t>
            </w:r>
          </w:p>
        </w:tc>
      </w:tr>
      <w:tr w:rsidR="00E22016" w:rsidRPr="00105686" w14:paraId="3F5B3253" w14:textId="77777777" w:rsidTr="007230B7">
        <w:trPr>
          <w:jc w:val="center"/>
        </w:trPr>
        <w:tc>
          <w:tcPr>
            <w:tcW w:w="2343" w:type="dxa"/>
            <w:shd w:val="clear" w:color="auto" w:fill="9CC2E5" w:themeFill="accent1" w:themeFillTint="99"/>
            <w:vAlign w:val="center"/>
          </w:tcPr>
          <w:p w14:paraId="1E67B64A" w14:textId="77777777" w:rsidR="00E22016" w:rsidRPr="00342041" w:rsidRDefault="00E22016" w:rsidP="00105686">
            <w:pPr>
              <w:spacing w:after="0" w:line="240" w:lineRule="auto"/>
              <w:ind w:right="141"/>
              <w:rPr>
                <w:rFonts w:ascii="Times New Roman" w:hAnsi="Times New Roman" w:cs="Times New Roman"/>
                <w:b/>
                <w:sz w:val="20"/>
                <w:szCs w:val="20"/>
              </w:rPr>
            </w:pPr>
            <w:r w:rsidRPr="00342041">
              <w:rPr>
                <w:rFonts w:ascii="Times New Roman" w:eastAsia="Times New Roman" w:hAnsi="Times New Roman" w:cs="Times New Roman"/>
                <w:b/>
                <w:sz w:val="20"/>
                <w:szCs w:val="20"/>
              </w:rPr>
              <w:t>Akademia Kreatywnego Seniora (Akademia Sztuk Pięknych w Łodzi)</w:t>
            </w:r>
          </w:p>
        </w:tc>
        <w:tc>
          <w:tcPr>
            <w:tcW w:w="7008" w:type="dxa"/>
            <w:shd w:val="clear" w:color="auto" w:fill="auto"/>
            <w:vAlign w:val="center"/>
          </w:tcPr>
          <w:p w14:paraId="0BC9044F" w14:textId="77777777" w:rsidR="00E22016" w:rsidRPr="00342041" w:rsidRDefault="00E22016" w:rsidP="00105686">
            <w:pPr>
              <w:autoSpaceDE w:val="0"/>
              <w:autoSpaceDN w:val="0"/>
              <w:adjustRightInd w:val="0"/>
              <w:spacing w:after="0" w:line="240" w:lineRule="auto"/>
              <w:jc w:val="both"/>
              <w:rPr>
                <w:rFonts w:ascii="Times New Roman" w:hAnsi="Times New Roman" w:cs="Times New Roman"/>
                <w:sz w:val="20"/>
                <w:szCs w:val="20"/>
              </w:rPr>
            </w:pPr>
            <w:r w:rsidRPr="00342041">
              <w:rPr>
                <w:rFonts w:ascii="Times New Roman" w:eastAsia="Times New Roman" w:hAnsi="Times New Roman" w:cs="Times New Roman"/>
                <w:sz w:val="20"/>
                <w:szCs w:val="20"/>
              </w:rPr>
              <w:t>- Akademia Kreatywnego Seniora (AKS) stanowi jednostkę działającą w strukturze Uczelni, skupioną przy Wydziale Tkaniny i Ubioru. Jest to rodzaj Uniwersytetu Trzeciego Wieku, ale</w:t>
            </w:r>
            <w:r w:rsidR="007230B7" w:rsidRPr="00342041">
              <w:rPr>
                <w:rFonts w:ascii="Times New Roman" w:eastAsia="Times New Roman" w:hAnsi="Times New Roman" w:cs="Times New Roman"/>
                <w:sz w:val="20"/>
                <w:szCs w:val="20"/>
              </w:rPr>
              <w:t xml:space="preserve"> </w:t>
            </w:r>
            <w:r w:rsidRPr="00342041">
              <w:rPr>
                <w:rFonts w:ascii="Times New Roman" w:eastAsia="Times New Roman" w:hAnsi="Times New Roman" w:cs="Times New Roman"/>
                <w:sz w:val="20"/>
                <w:szCs w:val="20"/>
              </w:rPr>
              <w:t xml:space="preserve">o charakterze ściśle związanym z artystycznym profilem Uczelni. AKS funkcjonuje na Akademii od października 2014 r. AKS prowadzi działalność edukacyjną w ramach systemu kształcenia, skierowaną do osób dojrzałych, które odczuwają potrzebę poszerzania umiejętności i wiedzy, rozwoju intelektualnego, aktywności społecznej, uczestniczenia w szeroko rozumianym życiu kulturalnym oraz wymiany doświadczeń pokoleniowych. </w:t>
            </w:r>
            <w:r w:rsidRPr="00342041">
              <w:rPr>
                <w:rFonts w:ascii="Times New Roman" w:hAnsi="Times New Roman" w:cs="Times New Roman"/>
                <w:sz w:val="20"/>
                <w:szCs w:val="20"/>
              </w:rPr>
              <w:t>Program kształcenia</w:t>
            </w:r>
            <w:r w:rsidR="007230B7" w:rsidRPr="00342041">
              <w:rPr>
                <w:rFonts w:ascii="Times New Roman" w:hAnsi="Times New Roman" w:cs="Times New Roman"/>
                <w:sz w:val="20"/>
                <w:szCs w:val="20"/>
              </w:rPr>
              <w:t xml:space="preserve"> </w:t>
            </w:r>
            <w:r w:rsidRPr="00342041">
              <w:rPr>
                <w:rFonts w:ascii="Times New Roman" w:hAnsi="Times New Roman" w:cs="Times New Roman"/>
                <w:sz w:val="20"/>
                <w:szCs w:val="20"/>
              </w:rPr>
              <w:t>obejmuje wiedzę dotyczącą szeroko pojętych nauk humanistycznych z zakresu sztuki i działań w obszarze sztuk wizualnych. Metody pracy i tematyka podejmowana w AKS nastawione są na aktywność, kreatywność i samodzielność uczestników oraz dostosowane są do ich potrzeb i zainteresowań.</w:t>
            </w:r>
            <w:r w:rsidR="0034750E" w:rsidRPr="00342041">
              <w:rPr>
                <w:rFonts w:ascii="Times New Roman" w:hAnsi="Times New Roman" w:cs="Times New Roman"/>
                <w:sz w:val="20"/>
                <w:szCs w:val="20"/>
              </w:rPr>
              <w:t xml:space="preserve"> </w:t>
            </w:r>
            <w:r w:rsidRPr="00342041">
              <w:rPr>
                <w:rFonts w:ascii="Times New Roman" w:hAnsi="Times New Roman" w:cs="Times New Roman"/>
                <w:sz w:val="20"/>
                <w:szCs w:val="20"/>
              </w:rPr>
              <w:t>W 2019 r. w ramach dwóch semestrów w zajęciach AKS uczestniczyło ok. 80 osób. Uczestnicy AKS brali udział w zajęciach z malarstwa i rysunku, grafiki warsztatowej (druk płaski, wypukłyi wklęsły), druku na tkaninie, podstaw kompozycji, papieru czerpanego, rysunku eksperymentalnego, ilustracji i podstaw grafiki komputerowej. Uczestniczyli także w wykładach teoretycznych z historii sztuki, historii grafiki i tkaniny. Dodatkowo mogli brać udział w lektoracie</w:t>
            </w:r>
            <w:r w:rsidR="0034750E" w:rsidRPr="00342041">
              <w:rPr>
                <w:rFonts w:ascii="Times New Roman" w:hAnsi="Times New Roman" w:cs="Times New Roman"/>
                <w:sz w:val="20"/>
                <w:szCs w:val="20"/>
              </w:rPr>
              <w:t xml:space="preserve"> </w:t>
            </w:r>
            <w:r w:rsidRPr="00342041">
              <w:rPr>
                <w:rFonts w:ascii="Times New Roman" w:hAnsi="Times New Roman" w:cs="Times New Roman"/>
                <w:sz w:val="20"/>
                <w:szCs w:val="20"/>
              </w:rPr>
              <w:t>z języka angielskiego. Uczestnicy AKS włączyli się także aktywnie w życie kulturalne Łodzi, odwiedzając wystawy w Miejskiej Galerii Sztuki (Galeria Willa, Ośrodek Propagandy Sztuki), Muzeum Sztuki Ms1, Ms2, oraz aktywnie uczestniczyli w życiu kulturalnym ASP (m.in. wystawy, pokazy, Fashion Week i Festiwal Eco Made).</w:t>
            </w:r>
          </w:p>
          <w:p w14:paraId="39B712DB" w14:textId="77777777" w:rsidR="00E22016" w:rsidRPr="00342041" w:rsidRDefault="00E22016" w:rsidP="00105686">
            <w:pPr>
              <w:pStyle w:val="Akapitzlist"/>
              <w:autoSpaceDE w:val="0"/>
              <w:autoSpaceDN w:val="0"/>
              <w:adjustRightInd w:val="0"/>
              <w:spacing w:after="0" w:line="240" w:lineRule="auto"/>
              <w:ind w:left="0"/>
              <w:contextualSpacing w:val="0"/>
              <w:jc w:val="both"/>
              <w:rPr>
                <w:rFonts w:ascii="Times New Roman" w:hAnsi="Times New Roman" w:cs="Times New Roman"/>
                <w:sz w:val="20"/>
                <w:szCs w:val="20"/>
              </w:rPr>
            </w:pPr>
            <w:r w:rsidRPr="00342041">
              <w:rPr>
                <w:rFonts w:ascii="Times New Roman" w:hAnsi="Times New Roman" w:cs="Times New Roman"/>
                <w:sz w:val="20"/>
                <w:szCs w:val="20"/>
              </w:rPr>
              <w:t>- Uczelnia od powstania AKS bierze czynny udział w Senioraliach, realizowanych przez Departament ds. Seniorów w Łodzi, organizując warsztaty, pokazy, prelekcje i wykłady. W tym terminie Akademię odwiedza rokrocznie około 150 osób.</w:t>
            </w:r>
          </w:p>
        </w:tc>
      </w:tr>
    </w:tbl>
    <w:p w14:paraId="28A68108" w14:textId="77777777" w:rsidR="00E22016" w:rsidRDefault="00E22016" w:rsidP="00060A45">
      <w:pPr>
        <w:tabs>
          <w:tab w:val="left" w:pos="6930"/>
        </w:tabs>
        <w:spacing w:after="0"/>
        <w:ind w:left="-57"/>
        <w:jc w:val="both"/>
        <w:rPr>
          <w:rFonts w:ascii="Times New Roman" w:hAnsi="Times New Roman" w:cs="Times New Roman"/>
          <w:sz w:val="24"/>
        </w:rPr>
      </w:pPr>
    </w:p>
    <w:p w14:paraId="16B0D272" w14:textId="77777777" w:rsidR="00060A45" w:rsidRPr="00A321CA" w:rsidRDefault="00060A45" w:rsidP="00060A45">
      <w:pPr>
        <w:tabs>
          <w:tab w:val="left" w:pos="6930"/>
        </w:tabs>
        <w:spacing w:after="0"/>
        <w:ind w:left="-57"/>
        <w:jc w:val="both"/>
        <w:rPr>
          <w:rFonts w:ascii="Times New Roman" w:hAnsi="Times New Roman" w:cs="Times New Roman"/>
          <w:b/>
          <w:color w:val="00B0F0"/>
          <w:sz w:val="24"/>
        </w:rPr>
      </w:pPr>
      <w:r w:rsidRPr="00A321CA">
        <w:rPr>
          <w:rFonts w:ascii="Times New Roman" w:hAnsi="Times New Roman" w:cs="Times New Roman"/>
          <w:b/>
          <w:color w:val="00B0F0"/>
          <w:sz w:val="24"/>
        </w:rPr>
        <w:t>Oferta artystyczna i edukacyjna realizowana przez uczelnie artystyczne</w:t>
      </w:r>
    </w:p>
    <w:p w14:paraId="18861E48" w14:textId="77777777" w:rsidR="00060A45" w:rsidRPr="00060A45" w:rsidRDefault="00060A45" w:rsidP="00060A45">
      <w:pPr>
        <w:tabs>
          <w:tab w:val="left" w:pos="6930"/>
        </w:tabs>
        <w:spacing w:after="0"/>
        <w:ind w:left="-57"/>
        <w:jc w:val="both"/>
        <w:rPr>
          <w:rFonts w:ascii="Times New Roman" w:hAnsi="Times New Roman" w:cs="Times New Roman"/>
          <w:sz w:val="24"/>
        </w:rPr>
      </w:pPr>
      <w:r w:rsidRPr="00060A45">
        <w:rPr>
          <w:rFonts w:ascii="Times New Roman" w:hAnsi="Times New Roman" w:cs="Times New Roman"/>
          <w:sz w:val="24"/>
        </w:rPr>
        <w:t>Wyższe szkoły artystyczne prowadzą liczne działania kierowane do osób starszych. Głównym nurtem działalności uczelni, oprócz dydaktyki, jest działalność artystyczna. Uczelnie artystyczne – dysponujące profesjonalnymi salami koncertowymi, teatralnymi czy galeriami – proponują różnorodną ofertę adresowaną do odbiorców w każdym wieku, w tym również do seniorów. Przykłady działalności dydaktycznej uczelni artystycznych, kierowanej do seniorów:</w:t>
      </w:r>
    </w:p>
    <w:p w14:paraId="6C4472D7" w14:textId="77777777" w:rsidR="00060A45" w:rsidRPr="00060A45" w:rsidRDefault="00060A45" w:rsidP="008C71A9">
      <w:pPr>
        <w:numPr>
          <w:ilvl w:val="0"/>
          <w:numId w:val="386"/>
        </w:numPr>
        <w:spacing w:after="0"/>
        <w:ind w:left="360"/>
        <w:jc w:val="both"/>
        <w:rPr>
          <w:rFonts w:ascii="Times New Roman" w:hAnsi="Times New Roman" w:cs="Times New Roman"/>
          <w:sz w:val="24"/>
        </w:rPr>
      </w:pPr>
      <w:r w:rsidRPr="00060A45">
        <w:rPr>
          <w:rFonts w:ascii="Times New Roman" w:eastAsia="Times New Roman" w:hAnsi="Times New Roman" w:cs="Times New Roman"/>
          <w:sz w:val="24"/>
        </w:rPr>
        <w:lastRenderedPageBreak/>
        <w:t>Akademia Sztuk Pięknych w Warszawie –</w:t>
      </w:r>
      <w:r w:rsidRPr="00060A45">
        <w:rPr>
          <w:rFonts w:ascii="Times New Roman" w:hAnsi="Times New Roman" w:cs="Times New Roman"/>
          <w:sz w:val="24"/>
        </w:rPr>
        <w:t xml:space="preserve"> program edukacyjny pn. </w:t>
      </w:r>
      <w:r w:rsidRPr="00060A45">
        <w:rPr>
          <w:rFonts w:ascii="Times New Roman" w:hAnsi="Times New Roman" w:cs="Times New Roman"/>
          <w:i/>
          <w:sz w:val="24"/>
        </w:rPr>
        <w:t>Akademia Otwarta – Dorośli Do Sztuki</w:t>
      </w:r>
      <w:r w:rsidRPr="00060A45">
        <w:rPr>
          <w:rFonts w:ascii="Times New Roman" w:hAnsi="Times New Roman" w:cs="Times New Roman"/>
          <w:sz w:val="24"/>
        </w:rPr>
        <w:t xml:space="preserve"> (w roku 2019 odbyła się III edycja programu),</w:t>
      </w:r>
    </w:p>
    <w:p w14:paraId="18F69546" w14:textId="77777777" w:rsidR="00060A45" w:rsidRPr="00060A45" w:rsidRDefault="00060A45" w:rsidP="008C71A9">
      <w:pPr>
        <w:numPr>
          <w:ilvl w:val="0"/>
          <w:numId w:val="386"/>
        </w:numPr>
        <w:spacing w:after="0"/>
        <w:ind w:left="360"/>
        <w:jc w:val="both"/>
        <w:rPr>
          <w:rFonts w:ascii="Times New Roman" w:hAnsi="Times New Roman" w:cs="Times New Roman"/>
          <w:i/>
          <w:sz w:val="24"/>
        </w:rPr>
      </w:pPr>
      <w:r w:rsidRPr="00060A45">
        <w:rPr>
          <w:rFonts w:ascii="Times New Roman" w:eastAsia="Times New Roman" w:hAnsi="Times New Roman" w:cs="Times New Roman"/>
          <w:sz w:val="24"/>
          <w:lang w:eastAsia="pl-PL"/>
        </w:rPr>
        <w:t xml:space="preserve">Akademia Sztuk Pięknych w Łodzi – </w:t>
      </w:r>
      <w:r w:rsidRPr="00060A45">
        <w:rPr>
          <w:rFonts w:ascii="Times New Roman" w:eastAsia="Times New Roman" w:hAnsi="Times New Roman" w:cs="Times New Roman"/>
          <w:i/>
          <w:sz w:val="24"/>
          <w:lang w:eastAsia="pl-PL"/>
        </w:rPr>
        <w:t>Akademia Kreatywnego Seniora,</w:t>
      </w:r>
    </w:p>
    <w:p w14:paraId="46C958F3" w14:textId="77777777" w:rsidR="00060A45" w:rsidRPr="00060A45" w:rsidRDefault="00060A45" w:rsidP="008C71A9">
      <w:pPr>
        <w:numPr>
          <w:ilvl w:val="0"/>
          <w:numId w:val="386"/>
        </w:numPr>
        <w:spacing w:after="0"/>
        <w:ind w:left="360"/>
        <w:jc w:val="both"/>
        <w:rPr>
          <w:rFonts w:ascii="Times New Roman" w:hAnsi="Times New Roman" w:cs="Times New Roman"/>
          <w:sz w:val="24"/>
        </w:rPr>
      </w:pPr>
      <w:r w:rsidRPr="00060A45">
        <w:rPr>
          <w:rFonts w:ascii="Times New Roman" w:eastAsia="Times New Roman" w:hAnsi="Times New Roman" w:cs="Times New Roman"/>
          <w:sz w:val="24"/>
          <w:lang w:eastAsia="pl-PL"/>
        </w:rPr>
        <w:t xml:space="preserve">Akademia Muzyczna w Katowicach – </w:t>
      </w:r>
      <w:r w:rsidRPr="00060A45">
        <w:rPr>
          <w:rFonts w:ascii="Times New Roman" w:eastAsia="Times New Roman" w:hAnsi="Times New Roman" w:cs="Times New Roman"/>
          <w:i/>
          <w:sz w:val="24"/>
          <w:lang w:eastAsia="pl-PL"/>
        </w:rPr>
        <w:t>Muzyczna Akademia Seniora.</w:t>
      </w:r>
    </w:p>
    <w:p w14:paraId="356636CC" w14:textId="77777777" w:rsidR="0034750E" w:rsidRDefault="0034750E" w:rsidP="0034750E">
      <w:pPr>
        <w:tabs>
          <w:tab w:val="left" w:pos="6930"/>
        </w:tabs>
        <w:spacing w:after="0"/>
        <w:jc w:val="both"/>
        <w:rPr>
          <w:rFonts w:ascii="Times New Roman" w:hAnsi="Times New Roman" w:cs="Times New Roman"/>
          <w:sz w:val="24"/>
        </w:rPr>
      </w:pPr>
    </w:p>
    <w:p w14:paraId="2D5105C1" w14:textId="77777777" w:rsidR="00060A45" w:rsidRPr="00060A45" w:rsidRDefault="00060A45" w:rsidP="0034750E">
      <w:pPr>
        <w:tabs>
          <w:tab w:val="left" w:pos="6930"/>
        </w:tabs>
        <w:spacing w:after="0"/>
        <w:jc w:val="both"/>
        <w:rPr>
          <w:rFonts w:ascii="Times New Roman" w:hAnsi="Times New Roman" w:cs="Times New Roman"/>
          <w:sz w:val="24"/>
        </w:rPr>
      </w:pPr>
      <w:r w:rsidRPr="00060A45">
        <w:rPr>
          <w:rFonts w:ascii="Times New Roman" w:hAnsi="Times New Roman" w:cs="Times New Roman"/>
          <w:sz w:val="24"/>
        </w:rPr>
        <w:t>Szkoły teatralne, m.in. Akademia Sztuk Teatralnych w Krakowie oraz Akademia Teatralna w Warsz</w:t>
      </w:r>
      <w:r w:rsidR="0034750E">
        <w:rPr>
          <w:rFonts w:ascii="Times New Roman" w:hAnsi="Times New Roman" w:cs="Times New Roman"/>
          <w:sz w:val="24"/>
        </w:rPr>
        <w:t xml:space="preserve">awie, prowadzą stałą współpracę </w:t>
      </w:r>
      <w:r w:rsidRPr="00060A45">
        <w:rPr>
          <w:rFonts w:ascii="Times New Roman" w:hAnsi="Times New Roman" w:cs="Times New Roman"/>
          <w:sz w:val="24"/>
        </w:rPr>
        <w:t>z Uniwersytetami Trzeciego Wieku i Klubami Seniora. W ramach tej współpracy uczelnie umożliwiają bezpłatny udział w spektaklach i pokazach prac studentów. Słuchacze Uniwersytetów Trzeciego Wieku regularnie korzystają również z bogatej bezpłatnej oferty koncertowej uczelni, zarówno w ramach wizyt grupowych, jak i indywidualnych. Uczelnie muzyczne organizują koncerty kameralne i symfoniczne oraz spotkania z wybitnymi postaciami świata muzycznego.</w:t>
      </w:r>
    </w:p>
    <w:p w14:paraId="18568832" w14:textId="77777777" w:rsidR="00060A45" w:rsidRPr="00060A45" w:rsidRDefault="00060A45" w:rsidP="00060A45">
      <w:pPr>
        <w:spacing w:after="0"/>
        <w:jc w:val="both"/>
        <w:rPr>
          <w:rFonts w:ascii="Times New Roman" w:hAnsi="Times New Roman" w:cs="Times New Roman"/>
          <w:sz w:val="24"/>
        </w:rPr>
      </w:pPr>
    </w:p>
    <w:p w14:paraId="4AB399CA" w14:textId="77777777" w:rsidR="00060A45" w:rsidRPr="0034750E" w:rsidRDefault="00060A45" w:rsidP="00060A45">
      <w:pPr>
        <w:tabs>
          <w:tab w:val="left" w:pos="426"/>
        </w:tabs>
        <w:spacing w:after="0"/>
        <w:jc w:val="both"/>
        <w:rPr>
          <w:rFonts w:ascii="Times New Roman" w:hAnsi="Times New Roman" w:cs="Times New Roman"/>
          <w:b/>
          <w:color w:val="00B0F0"/>
          <w:sz w:val="24"/>
        </w:rPr>
      </w:pPr>
      <w:r w:rsidRPr="0034750E">
        <w:rPr>
          <w:rFonts w:ascii="Times New Roman" w:hAnsi="Times New Roman" w:cs="Times New Roman"/>
          <w:b/>
          <w:color w:val="00B0F0"/>
          <w:sz w:val="24"/>
        </w:rPr>
        <w:t>Wolontariat seniorów w kulturze</w:t>
      </w:r>
    </w:p>
    <w:p w14:paraId="671FB9FD" w14:textId="77777777" w:rsidR="00060A45" w:rsidRPr="00060A45" w:rsidRDefault="00060A45" w:rsidP="00060A45">
      <w:pPr>
        <w:tabs>
          <w:tab w:val="left" w:pos="426"/>
        </w:tabs>
        <w:spacing w:after="0"/>
        <w:jc w:val="both"/>
        <w:rPr>
          <w:rFonts w:ascii="Times New Roman" w:hAnsi="Times New Roman" w:cs="Times New Roman"/>
          <w:sz w:val="24"/>
        </w:rPr>
      </w:pPr>
      <w:r w:rsidRPr="00060A45">
        <w:rPr>
          <w:rFonts w:ascii="Times New Roman" w:hAnsi="Times New Roman" w:cs="Times New Roman"/>
          <w:sz w:val="24"/>
        </w:rPr>
        <w:t>Duża część instytucji kultury realizuje programy wolontariatu skierowane do seniorów lub umożliwiające seniorom udział w bieżącej działalności instytucji. W roku sprawozdawczym były to np. Filharm</w:t>
      </w:r>
      <w:r w:rsidR="0034750E">
        <w:rPr>
          <w:rFonts w:ascii="Times New Roman" w:hAnsi="Times New Roman" w:cs="Times New Roman"/>
          <w:sz w:val="24"/>
        </w:rPr>
        <w:t xml:space="preserve">onia im. Mieczysława Karłowicza </w:t>
      </w:r>
      <w:r w:rsidRPr="00060A45">
        <w:rPr>
          <w:rFonts w:ascii="Times New Roman" w:hAnsi="Times New Roman" w:cs="Times New Roman"/>
          <w:sz w:val="24"/>
        </w:rPr>
        <w:t>w Szczecinie, Muzeum Narodowe w Warszawie czy Muzeum II Wojny Światowej w Gdańsku. Wolontariusze-seniorzy wspierają prace różnych działów instytucji kultury oraz uczestniczą w specjalnie organizowanych spotkaniach tematycznych.</w:t>
      </w:r>
    </w:p>
    <w:p w14:paraId="472F166C" w14:textId="77777777" w:rsidR="00060A45" w:rsidRPr="00060A45" w:rsidRDefault="00060A45" w:rsidP="00060A45">
      <w:pPr>
        <w:tabs>
          <w:tab w:val="left" w:pos="426"/>
        </w:tabs>
        <w:spacing w:after="0"/>
        <w:jc w:val="both"/>
        <w:rPr>
          <w:rFonts w:ascii="Times New Roman" w:hAnsi="Times New Roman" w:cs="Times New Roman"/>
          <w:sz w:val="24"/>
        </w:rPr>
      </w:pPr>
    </w:p>
    <w:p w14:paraId="747BFC35" w14:textId="77777777" w:rsidR="00060A45" w:rsidRPr="0034750E" w:rsidRDefault="0034750E" w:rsidP="00060A45">
      <w:pPr>
        <w:tabs>
          <w:tab w:val="left" w:pos="426"/>
        </w:tabs>
        <w:spacing w:after="0"/>
        <w:jc w:val="both"/>
        <w:rPr>
          <w:rFonts w:ascii="Times New Roman" w:hAnsi="Times New Roman" w:cs="Times New Roman"/>
          <w:b/>
          <w:color w:val="00B0F0"/>
          <w:sz w:val="24"/>
        </w:rPr>
      </w:pPr>
      <w:r w:rsidRPr="0034750E">
        <w:rPr>
          <w:rFonts w:ascii="Times New Roman" w:hAnsi="Times New Roman" w:cs="Times New Roman"/>
          <w:b/>
          <w:color w:val="00B0F0"/>
          <w:sz w:val="24"/>
        </w:rPr>
        <w:t>Współpraca międzysektorowa</w:t>
      </w:r>
    </w:p>
    <w:p w14:paraId="53876853" w14:textId="77777777" w:rsidR="00060A45" w:rsidRPr="00060A45" w:rsidRDefault="00060A45" w:rsidP="00060A45">
      <w:pPr>
        <w:tabs>
          <w:tab w:val="left" w:pos="6930"/>
        </w:tabs>
        <w:spacing w:after="0"/>
        <w:jc w:val="both"/>
        <w:rPr>
          <w:rFonts w:ascii="Times New Roman" w:hAnsi="Times New Roman" w:cs="Times New Roman"/>
          <w:sz w:val="24"/>
        </w:rPr>
      </w:pPr>
      <w:r w:rsidRPr="00060A45">
        <w:rPr>
          <w:rFonts w:ascii="Times New Roman" w:hAnsi="Times New Roman" w:cs="Times New Roman"/>
          <w:sz w:val="24"/>
        </w:rPr>
        <w:t>Istotnym elementem wspierania aktywności senio</w:t>
      </w:r>
      <w:r w:rsidR="0034750E">
        <w:rPr>
          <w:rFonts w:ascii="Times New Roman" w:hAnsi="Times New Roman" w:cs="Times New Roman"/>
          <w:sz w:val="24"/>
        </w:rPr>
        <w:t xml:space="preserve">rów w kulturze jest współpraca </w:t>
      </w:r>
      <w:r w:rsidRPr="00060A45">
        <w:rPr>
          <w:rFonts w:ascii="Times New Roman" w:hAnsi="Times New Roman" w:cs="Times New Roman"/>
          <w:sz w:val="24"/>
        </w:rPr>
        <w:t>z organizacjami pozarządowymi, organizacjami zrzeszającymi seniorów oraz podmiotami sektora opieki społecznej, opieki zdrowotnej oraz kościołami i związkami wyznaniowymi.</w:t>
      </w:r>
    </w:p>
    <w:p w14:paraId="0CBA27B9" w14:textId="77777777" w:rsidR="0034750E" w:rsidRDefault="0034750E" w:rsidP="00060A45">
      <w:pPr>
        <w:tabs>
          <w:tab w:val="left" w:pos="6930"/>
        </w:tabs>
        <w:spacing w:after="0"/>
        <w:jc w:val="both"/>
        <w:rPr>
          <w:rFonts w:ascii="Times New Roman" w:hAnsi="Times New Roman" w:cs="Times New Roman"/>
          <w:sz w:val="24"/>
        </w:rPr>
      </w:pPr>
    </w:p>
    <w:p w14:paraId="5C92A970" w14:textId="77777777" w:rsidR="00060A45" w:rsidRPr="00060A45" w:rsidRDefault="00060A45" w:rsidP="00060A45">
      <w:pPr>
        <w:tabs>
          <w:tab w:val="left" w:pos="6930"/>
        </w:tabs>
        <w:spacing w:after="0"/>
        <w:jc w:val="both"/>
        <w:rPr>
          <w:rFonts w:ascii="Times New Roman" w:hAnsi="Times New Roman" w:cs="Times New Roman"/>
          <w:sz w:val="24"/>
        </w:rPr>
      </w:pPr>
      <w:r w:rsidRPr="00060A45">
        <w:rPr>
          <w:rFonts w:ascii="Times New Roman" w:hAnsi="Times New Roman" w:cs="Times New Roman"/>
          <w:sz w:val="24"/>
        </w:rPr>
        <w:t>Szczególnie ważna dla udziału osób starszych w kulturze jest stała współpraca nawiązywana pomiędzy sektorem kultury a środowiskami pozarządowymi, w których działają seniorzy. Najważniejszą rolę w tym współdziałaniu odgrywają Uniwersytety Trzeciego Wieku (UTW). Duża część instytucji kultury stale współdziała z UTW z danej miejscowości. Współpraca ta polega na likwidacji barier uczestnictwa (tanie lub darmowe bilety), dostosowywaniu oferty kulturalnej do potrzeb seniorów oraz przygotowaniu oferty specjalnie dla UTW.</w:t>
      </w:r>
    </w:p>
    <w:p w14:paraId="017B279A" w14:textId="77777777" w:rsidR="0034750E" w:rsidRDefault="0034750E" w:rsidP="00060A45">
      <w:pPr>
        <w:tabs>
          <w:tab w:val="left" w:pos="6930"/>
        </w:tabs>
        <w:spacing w:after="0"/>
        <w:jc w:val="both"/>
        <w:rPr>
          <w:rFonts w:ascii="Times New Roman" w:hAnsi="Times New Roman" w:cs="Times New Roman"/>
          <w:sz w:val="24"/>
        </w:rPr>
      </w:pPr>
    </w:p>
    <w:p w14:paraId="6CAAE05C" w14:textId="77777777" w:rsidR="00060A45" w:rsidRDefault="00060A45" w:rsidP="005F4320">
      <w:pPr>
        <w:tabs>
          <w:tab w:val="left" w:pos="6930"/>
        </w:tabs>
        <w:spacing w:after="0"/>
        <w:jc w:val="both"/>
        <w:rPr>
          <w:rFonts w:ascii="Times New Roman" w:hAnsi="Times New Roman" w:cs="Times New Roman"/>
          <w:sz w:val="24"/>
        </w:rPr>
      </w:pPr>
      <w:r w:rsidRPr="00060A45">
        <w:rPr>
          <w:rFonts w:ascii="Times New Roman" w:hAnsi="Times New Roman" w:cs="Times New Roman"/>
          <w:sz w:val="24"/>
        </w:rPr>
        <w:t xml:space="preserve">Część instytucji kultury realizuje działania dla </w:t>
      </w:r>
      <w:r w:rsidR="0034750E">
        <w:rPr>
          <w:rFonts w:ascii="Times New Roman" w:hAnsi="Times New Roman" w:cs="Times New Roman"/>
          <w:sz w:val="24"/>
        </w:rPr>
        <w:t xml:space="preserve">seniorów również we współpracy </w:t>
      </w:r>
      <w:r w:rsidRPr="00060A45">
        <w:rPr>
          <w:rFonts w:ascii="Times New Roman" w:hAnsi="Times New Roman" w:cs="Times New Roman"/>
          <w:sz w:val="24"/>
        </w:rPr>
        <w:t>z podmiotami reprezentującymi środowiska seniorów (np. związkami kombatantów, klubami seniora, stowarzyszeniami)</w:t>
      </w:r>
      <w:r w:rsidR="005F4320">
        <w:rPr>
          <w:rFonts w:ascii="Times New Roman" w:hAnsi="Times New Roman" w:cs="Times New Roman"/>
          <w:sz w:val="24"/>
        </w:rPr>
        <w:t xml:space="preserve"> oraz domami pomocy społecznej.</w:t>
      </w:r>
    </w:p>
    <w:p w14:paraId="726E2A12" w14:textId="77777777" w:rsidR="005F4320" w:rsidRPr="005F4320" w:rsidRDefault="005F4320" w:rsidP="005F4320">
      <w:pPr>
        <w:tabs>
          <w:tab w:val="left" w:pos="6930"/>
        </w:tabs>
        <w:spacing w:after="0"/>
        <w:jc w:val="both"/>
        <w:rPr>
          <w:rFonts w:ascii="Times New Roman" w:hAnsi="Times New Roman" w:cs="Times New Roman"/>
          <w:sz w:val="24"/>
        </w:rPr>
      </w:pPr>
    </w:p>
    <w:p w14:paraId="0750FBA3" w14:textId="59CDB390" w:rsidR="001818BF" w:rsidRPr="001818BF" w:rsidRDefault="001818BF" w:rsidP="001818BF">
      <w:pPr>
        <w:pStyle w:val="Legenda"/>
        <w:keepNext/>
        <w:rPr>
          <w:rFonts w:ascii="Times New Roman" w:hAnsi="Times New Roman" w:cs="Times New Roman"/>
          <w:b/>
          <w:i w:val="0"/>
          <w:sz w:val="24"/>
        </w:rPr>
      </w:pPr>
      <w:bookmarkStart w:id="50" w:name="_Toc49171413"/>
      <w:r w:rsidRPr="001818BF">
        <w:rPr>
          <w:rFonts w:ascii="Times New Roman" w:hAnsi="Times New Roman" w:cs="Times New Roman"/>
          <w:b/>
          <w:i w:val="0"/>
          <w:sz w:val="24"/>
        </w:rPr>
        <w:t xml:space="preserve">Tabela </w:t>
      </w:r>
      <w:r w:rsidRPr="001818BF">
        <w:rPr>
          <w:rFonts w:ascii="Times New Roman" w:hAnsi="Times New Roman" w:cs="Times New Roman"/>
          <w:b/>
          <w:i w:val="0"/>
          <w:sz w:val="24"/>
        </w:rPr>
        <w:fldChar w:fldCharType="begin"/>
      </w:r>
      <w:r w:rsidRPr="001818BF">
        <w:rPr>
          <w:rFonts w:ascii="Times New Roman" w:hAnsi="Times New Roman" w:cs="Times New Roman"/>
          <w:b/>
          <w:i w:val="0"/>
          <w:sz w:val="24"/>
        </w:rPr>
        <w:instrText xml:space="preserve"> SEQ Tabela \* ARABIC </w:instrText>
      </w:r>
      <w:r w:rsidRPr="001818BF">
        <w:rPr>
          <w:rFonts w:ascii="Times New Roman" w:hAnsi="Times New Roman" w:cs="Times New Roman"/>
          <w:b/>
          <w:i w:val="0"/>
          <w:sz w:val="24"/>
        </w:rPr>
        <w:fldChar w:fldCharType="separate"/>
      </w:r>
      <w:r w:rsidR="00C154C9">
        <w:rPr>
          <w:rFonts w:ascii="Times New Roman" w:hAnsi="Times New Roman" w:cs="Times New Roman"/>
          <w:b/>
          <w:i w:val="0"/>
          <w:noProof/>
          <w:sz w:val="24"/>
        </w:rPr>
        <w:t>38</w:t>
      </w:r>
      <w:r w:rsidRPr="001818BF">
        <w:rPr>
          <w:rFonts w:ascii="Times New Roman" w:hAnsi="Times New Roman" w:cs="Times New Roman"/>
          <w:b/>
          <w:i w:val="0"/>
          <w:sz w:val="24"/>
        </w:rPr>
        <w:fldChar w:fldCharType="end"/>
      </w:r>
      <w:r w:rsidRPr="001818BF">
        <w:rPr>
          <w:rFonts w:ascii="Times New Roman" w:hAnsi="Times New Roman" w:cs="Times New Roman"/>
          <w:b/>
          <w:i w:val="0"/>
          <w:sz w:val="24"/>
        </w:rPr>
        <w:t xml:space="preserve"> Osoby korzystające z komputera w 2019 r.</w:t>
      </w:r>
      <w:bookmarkEnd w:id="50"/>
    </w:p>
    <w:tbl>
      <w:tblPr>
        <w:tblW w:w="9805"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1774"/>
        <w:gridCol w:w="1334"/>
        <w:gridCol w:w="1335"/>
        <w:gridCol w:w="1361"/>
        <w:gridCol w:w="1333"/>
        <w:gridCol w:w="1335"/>
        <w:gridCol w:w="1333"/>
      </w:tblGrid>
      <w:tr w:rsidR="002C5FB0" w:rsidRPr="00840514" w14:paraId="3C269FEB" w14:textId="77777777" w:rsidTr="007230B7">
        <w:trPr>
          <w:trHeight w:val="563"/>
          <w:jc w:val="center"/>
        </w:trPr>
        <w:tc>
          <w:tcPr>
            <w:tcW w:w="1774" w:type="dxa"/>
            <w:vMerge w:val="restart"/>
            <w:shd w:val="clear" w:color="auto" w:fill="9CC2E5" w:themeFill="accent1" w:themeFillTint="99"/>
            <w:noWrap/>
            <w:vAlign w:val="center"/>
            <w:hideMark/>
          </w:tcPr>
          <w:p w14:paraId="48D262DF"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Wyszczególnienie</w:t>
            </w:r>
          </w:p>
        </w:tc>
        <w:tc>
          <w:tcPr>
            <w:tcW w:w="1334" w:type="dxa"/>
            <w:vMerge w:val="restart"/>
            <w:shd w:val="clear" w:color="auto" w:fill="9CC2E5" w:themeFill="accent1" w:themeFillTint="99"/>
            <w:vAlign w:val="center"/>
            <w:hideMark/>
          </w:tcPr>
          <w:p w14:paraId="4A27E9DD"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Ogółem osoby w wieku 16-74 lata</w:t>
            </w:r>
          </w:p>
        </w:tc>
        <w:tc>
          <w:tcPr>
            <w:tcW w:w="1335" w:type="dxa"/>
            <w:vMerge w:val="restart"/>
            <w:shd w:val="clear" w:color="auto" w:fill="9CC2E5" w:themeFill="accent1" w:themeFillTint="99"/>
            <w:vAlign w:val="center"/>
            <w:hideMark/>
          </w:tcPr>
          <w:p w14:paraId="7843AFDA"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Mężczyźni</w:t>
            </w:r>
          </w:p>
        </w:tc>
        <w:tc>
          <w:tcPr>
            <w:tcW w:w="1361" w:type="dxa"/>
            <w:vMerge w:val="restart"/>
            <w:shd w:val="clear" w:color="auto" w:fill="9CC2E5" w:themeFill="accent1" w:themeFillTint="99"/>
            <w:vAlign w:val="center"/>
            <w:hideMark/>
          </w:tcPr>
          <w:p w14:paraId="57BE45F7"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Kobiety</w:t>
            </w:r>
          </w:p>
        </w:tc>
        <w:tc>
          <w:tcPr>
            <w:tcW w:w="4001" w:type="dxa"/>
            <w:gridSpan w:val="3"/>
            <w:shd w:val="clear" w:color="auto" w:fill="9CC2E5" w:themeFill="accent1" w:themeFillTint="99"/>
            <w:vAlign w:val="center"/>
            <w:hideMark/>
          </w:tcPr>
          <w:p w14:paraId="398EF3AA"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Z liczby ogółem</w:t>
            </w:r>
            <w:r w:rsidRPr="00840514">
              <w:rPr>
                <w:rFonts w:ascii="Times New Roman" w:eastAsia="Times New Roman" w:hAnsi="Times New Roman" w:cs="Times New Roman"/>
                <w:b/>
                <w:sz w:val="20"/>
                <w:szCs w:val="20"/>
                <w:lang w:eastAsia="pl-PL"/>
              </w:rPr>
              <w:br/>
              <w:t xml:space="preserve"> osoby w wieku 65 - 74 lata</w:t>
            </w:r>
          </w:p>
        </w:tc>
      </w:tr>
      <w:tr w:rsidR="002C5FB0" w:rsidRPr="00840514" w14:paraId="6358A9A9" w14:textId="77777777" w:rsidTr="007230B7">
        <w:trPr>
          <w:trHeight w:val="398"/>
          <w:jc w:val="center"/>
        </w:trPr>
        <w:tc>
          <w:tcPr>
            <w:tcW w:w="1774" w:type="dxa"/>
            <w:vMerge/>
            <w:shd w:val="clear" w:color="auto" w:fill="9CC2E5" w:themeFill="accent1" w:themeFillTint="99"/>
            <w:vAlign w:val="center"/>
            <w:hideMark/>
          </w:tcPr>
          <w:p w14:paraId="30D1C813"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p>
        </w:tc>
        <w:tc>
          <w:tcPr>
            <w:tcW w:w="1334" w:type="dxa"/>
            <w:vMerge/>
            <w:shd w:val="clear" w:color="auto" w:fill="9CC2E5" w:themeFill="accent1" w:themeFillTint="99"/>
            <w:vAlign w:val="center"/>
            <w:hideMark/>
          </w:tcPr>
          <w:p w14:paraId="7AF5423D"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p>
        </w:tc>
        <w:tc>
          <w:tcPr>
            <w:tcW w:w="1335" w:type="dxa"/>
            <w:vMerge/>
            <w:shd w:val="clear" w:color="auto" w:fill="9CC2E5" w:themeFill="accent1" w:themeFillTint="99"/>
            <w:vAlign w:val="center"/>
            <w:hideMark/>
          </w:tcPr>
          <w:p w14:paraId="2DFB06FC"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p>
        </w:tc>
        <w:tc>
          <w:tcPr>
            <w:tcW w:w="1361" w:type="dxa"/>
            <w:vMerge/>
            <w:shd w:val="clear" w:color="auto" w:fill="9CC2E5" w:themeFill="accent1" w:themeFillTint="99"/>
            <w:vAlign w:val="center"/>
            <w:hideMark/>
          </w:tcPr>
          <w:p w14:paraId="1247CFE2"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p>
        </w:tc>
        <w:tc>
          <w:tcPr>
            <w:tcW w:w="1333" w:type="dxa"/>
            <w:shd w:val="clear" w:color="auto" w:fill="9CC2E5" w:themeFill="accent1" w:themeFillTint="99"/>
            <w:vAlign w:val="center"/>
            <w:hideMark/>
          </w:tcPr>
          <w:p w14:paraId="67FEDEE0"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razem</w:t>
            </w:r>
          </w:p>
        </w:tc>
        <w:tc>
          <w:tcPr>
            <w:tcW w:w="1335" w:type="dxa"/>
            <w:shd w:val="clear" w:color="auto" w:fill="9CC2E5" w:themeFill="accent1" w:themeFillTint="99"/>
            <w:vAlign w:val="center"/>
            <w:hideMark/>
          </w:tcPr>
          <w:p w14:paraId="37B9260B"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mężczyźni</w:t>
            </w:r>
          </w:p>
        </w:tc>
        <w:tc>
          <w:tcPr>
            <w:tcW w:w="1333" w:type="dxa"/>
            <w:shd w:val="clear" w:color="auto" w:fill="9CC2E5" w:themeFill="accent1" w:themeFillTint="99"/>
            <w:vAlign w:val="center"/>
            <w:hideMark/>
          </w:tcPr>
          <w:p w14:paraId="54F558B3" w14:textId="77777777" w:rsidR="002C5FB0" w:rsidRPr="00840514" w:rsidRDefault="002C5FB0" w:rsidP="007230B7">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kobiety</w:t>
            </w:r>
          </w:p>
        </w:tc>
      </w:tr>
      <w:tr w:rsidR="002C5FB0" w:rsidRPr="00840514" w14:paraId="31625E2F" w14:textId="77777777" w:rsidTr="007230B7">
        <w:trPr>
          <w:trHeight w:val="300"/>
          <w:jc w:val="center"/>
        </w:trPr>
        <w:tc>
          <w:tcPr>
            <w:tcW w:w="9805" w:type="dxa"/>
            <w:gridSpan w:val="7"/>
            <w:shd w:val="clear" w:color="auto" w:fill="9CC2E5" w:themeFill="accent1" w:themeFillTint="99"/>
            <w:noWrap/>
            <w:vAlign w:val="center"/>
            <w:hideMark/>
          </w:tcPr>
          <w:p w14:paraId="5B71A20B"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w tysiącach</w:t>
            </w:r>
          </w:p>
        </w:tc>
      </w:tr>
      <w:tr w:rsidR="002C5FB0" w:rsidRPr="00840514" w14:paraId="26703490" w14:textId="77777777" w:rsidTr="007230B7">
        <w:trPr>
          <w:trHeight w:val="300"/>
          <w:jc w:val="center"/>
        </w:trPr>
        <w:tc>
          <w:tcPr>
            <w:tcW w:w="1774" w:type="dxa"/>
            <w:shd w:val="clear" w:color="auto" w:fill="9CC2E5" w:themeFill="accent1" w:themeFillTint="99"/>
            <w:noWrap/>
            <w:vAlign w:val="center"/>
            <w:hideMark/>
          </w:tcPr>
          <w:p w14:paraId="25C3F0EA"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Osoby korzystające z komputera</w:t>
            </w:r>
          </w:p>
        </w:tc>
        <w:tc>
          <w:tcPr>
            <w:tcW w:w="1334" w:type="dxa"/>
            <w:shd w:val="clear" w:color="auto" w:fill="auto"/>
            <w:noWrap/>
            <w:vAlign w:val="center"/>
            <w:hideMark/>
          </w:tcPr>
          <w:p w14:paraId="68FE118E"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24 387,3</w:t>
            </w:r>
          </w:p>
        </w:tc>
        <w:tc>
          <w:tcPr>
            <w:tcW w:w="1335" w:type="dxa"/>
            <w:shd w:val="clear" w:color="auto" w:fill="auto"/>
            <w:noWrap/>
            <w:vAlign w:val="center"/>
            <w:hideMark/>
          </w:tcPr>
          <w:p w14:paraId="75F4588A"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12 054,1</w:t>
            </w:r>
          </w:p>
        </w:tc>
        <w:tc>
          <w:tcPr>
            <w:tcW w:w="1361" w:type="dxa"/>
            <w:shd w:val="clear" w:color="auto" w:fill="auto"/>
            <w:noWrap/>
            <w:vAlign w:val="center"/>
            <w:hideMark/>
          </w:tcPr>
          <w:p w14:paraId="39F58BD0"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12 333,3</w:t>
            </w:r>
          </w:p>
        </w:tc>
        <w:tc>
          <w:tcPr>
            <w:tcW w:w="1333" w:type="dxa"/>
            <w:shd w:val="clear" w:color="auto" w:fill="auto"/>
            <w:noWrap/>
            <w:vAlign w:val="center"/>
            <w:hideMark/>
          </w:tcPr>
          <w:p w14:paraId="1C0170C6"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1 818,3</w:t>
            </w:r>
          </w:p>
        </w:tc>
        <w:tc>
          <w:tcPr>
            <w:tcW w:w="1335" w:type="dxa"/>
            <w:shd w:val="clear" w:color="auto" w:fill="auto"/>
            <w:noWrap/>
            <w:vAlign w:val="center"/>
            <w:hideMark/>
          </w:tcPr>
          <w:p w14:paraId="7E5016F8"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863,9</w:t>
            </w:r>
          </w:p>
        </w:tc>
        <w:tc>
          <w:tcPr>
            <w:tcW w:w="1333" w:type="dxa"/>
            <w:shd w:val="clear" w:color="auto" w:fill="auto"/>
            <w:noWrap/>
            <w:vAlign w:val="center"/>
            <w:hideMark/>
          </w:tcPr>
          <w:p w14:paraId="618E2D64"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954,4</w:t>
            </w:r>
          </w:p>
        </w:tc>
      </w:tr>
      <w:tr w:rsidR="002C5FB0" w:rsidRPr="00840514" w14:paraId="377857E9" w14:textId="77777777" w:rsidTr="007230B7">
        <w:trPr>
          <w:trHeight w:val="300"/>
          <w:jc w:val="center"/>
        </w:trPr>
        <w:tc>
          <w:tcPr>
            <w:tcW w:w="1774" w:type="dxa"/>
            <w:shd w:val="clear" w:color="auto" w:fill="9CC2E5" w:themeFill="accent1" w:themeFillTint="99"/>
            <w:noWrap/>
            <w:vAlign w:val="center"/>
            <w:hideMark/>
          </w:tcPr>
          <w:p w14:paraId="399D4CFB"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lastRenderedPageBreak/>
              <w:t xml:space="preserve">   w ciągu ostatnich 3 miesięcy</w:t>
            </w:r>
          </w:p>
        </w:tc>
        <w:tc>
          <w:tcPr>
            <w:tcW w:w="1334" w:type="dxa"/>
            <w:shd w:val="clear" w:color="auto" w:fill="auto"/>
            <w:noWrap/>
            <w:vAlign w:val="center"/>
            <w:hideMark/>
          </w:tcPr>
          <w:p w14:paraId="629F1CC3"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22 232,5</w:t>
            </w:r>
          </w:p>
        </w:tc>
        <w:tc>
          <w:tcPr>
            <w:tcW w:w="1335" w:type="dxa"/>
            <w:shd w:val="clear" w:color="auto" w:fill="auto"/>
            <w:noWrap/>
            <w:vAlign w:val="center"/>
            <w:hideMark/>
          </w:tcPr>
          <w:p w14:paraId="0D1F4E0B"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11 023,0</w:t>
            </w:r>
          </w:p>
        </w:tc>
        <w:tc>
          <w:tcPr>
            <w:tcW w:w="1361" w:type="dxa"/>
            <w:shd w:val="clear" w:color="auto" w:fill="auto"/>
            <w:noWrap/>
            <w:vAlign w:val="center"/>
            <w:hideMark/>
          </w:tcPr>
          <w:p w14:paraId="0501B060"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11 209,5</w:t>
            </w:r>
          </w:p>
        </w:tc>
        <w:tc>
          <w:tcPr>
            <w:tcW w:w="1333" w:type="dxa"/>
            <w:shd w:val="clear" w:color="auto" w:fill="auto"/>
            <w:noWrap/>
            <w:vAlign w:val="center"/>
            <w:hideMark/>
          </w:tcPr>
          <w:p w14:paraId="2CD80514"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1 360,3</w:t>
            </w:r>
          </w:p>
        </w:tc>
        <w:tc>
          <w:tcPr>
            <w:tcW w:w="1335" w:type="dxa"/>
            <w:shd w:val="clear" w:color="auto" w:fill="auto"/>
            <w:noWrap/>
            <w:vAlign w:val="center"/>
            <w:hideMark/>
          </w:tcPr>
          <w:p w14:paraId="76479E90"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667,2</w:t>
            </w:r>
          </w:p>
        </w:tc>
        <w:tc>
          <w:tcPr>
            <w:tcW w:w="1333" w:type="dxa"/>
            <w:shd w:val="clear" w:color="auto" w:fill="auto"/>
            <w:noWrap/>
            <w:vAlign w:val="center"/>
            <w:hideMark/>
          </w:tcPr>
          <w:p w14:paraId="349AF366"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693,1</w:t>
            </w:r>
          </w:p>
        </w:tc>
      </w:tr>
      <w:tr w:rsidR="002C5FB0" w:rsidRPr="00840514" w14:paraId="1EA425F8" w14:textId="77777777" w:rsidTr="007230B7">
        <w:trPr>
          <w:trHeight w:val="300"/>
          <w:jc w:val="center"/>
        </w:trPr>
        <w:tc>
          <w:tcPr>
            <w:tcW w:w="1774" w:type="dxa"/>
            <w:shd w:val="clear" w:color="auto" w:fill="9CC2E5" w:themeFill="accent1" w:themeFillTint="99"/>
            <w:noWrap/>
            <w:vAlign w:val="center"/>
            <w:hideMark/>
          </w:tcPr>
          <w:p w14:paraId="1ED166E7"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 xml:space="preserve">   od 3 miesięcy do 12 miesięcy temu</w:t>
            </w:r>
          </w:p>
        </w:tc>
        <w:tc>
          <w:tcPr>
            <w:tcW w:w="1334" w:type="dxa"/>
            <w:shd w:val="clear" w:color="auto" w:fill="auto"/>
            <w:noWrap/>
            <w:vAlign w:val="center"/>
            <w:hideMark/>
          </w:tcPr>
          <w:p w14:paraId="62657CEA"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735,4</w:t>
            </w:r>
          </w:p>
        </w:tc>
        <w:tc>
          <w:tcPr>
            <w:tcW w:w="1335" w:type="dxa"/>
            <w:shd w:val="clear" w:color="auto" w:fill="auto"/>
            <w:noWrap/>
            <w:vAlign w:val="center"/>
            <w:hideMark/>
          </w:tcPr>
          <w:p w14:paraId="6A760468"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357,2</w:t>
            </w:r>
          </w:p>
        </w:tc>
        <w:tc>
          <w:tcPr>
            <w:tcW w:w="1361" w:type="dxa"/>
            <w:shd w:val="clear" w:color="auto" w:fill="auto"/>
            <w:noWrap/>
            <w:vAlign w:val="center"/>
            <w:hideMark/>
          </w:tcPr>
          <w:p w14:paraId="4C93FD18"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378,2</w:t>
            </w:r>
          </w:p>
        </w:tc>
        <w:tc>
          <w:tcPr>
            <w:tcW w:w="1333" w:type="dxa"/>
            <w:shd w:val="clear" w:color="auto" w:fill="auto"/>
            <w:noWrap/>
            <w:vAlign w:val="center"/>
            <w:hideMark/>
          </w:tcPr>
          <w:p w14:paraId="64617076"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131,2</w:t>
            </w:r>
          </w:p>
        </w:tc>
        <w:tc>
          <w:tcPr>
            <w:tcW w:w="1335" w:type="dxa"/>
            <w:shd w:val="clear" w:color="auto" w:fill="auto"/>
            <w:noWrap/>
            <w:vAlign w:val="center"/>
            <w:hideMark/>
          </w:tcPr>
          <w:p w14:paraId="09244A8B"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47,2</w:t>
            </w:r>
          </w:p>
        </w:tc>
        <w:tc>
          <w:tcPr>
            <w:tcW w:w="1333" w:type="dxa"/>
            <w:shd w:val="clear" w:color="auto" w:fill="auto"/>
            <w:noWrap/>
            <w:vAlign w:val="center"/>
            <w:hideMark/>
          </w:tcPr>
          <w:p w14:paraId="504C6AA5"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84,0</w:t>
            </w:r>
          </w:p>
        </w:tc>
      </w:tr>
      <w:tr w:rsidR="002C5FB0" w:rsidRPr="00840514" w14:paraId="7E871B88" w14:textId="77777777" w:rsidTr="007230B7">
        <w:trPr>
          <w:trHeight w:val="300"/>
          <w:jc w:val="center"/>
        </w:trPr>
        <w:tc>
          <w:tcPr>
            <w:tcW w:w="1774" w:type="dxa"/>
            <w:shd w:val="clear" w:color="auto" w:fill="9CC2E5" w:themeFill="accent1" w:themeFillTint="99"/>
            <w:noWrap/>
            <w:vAlign w:val="center"/>
            <w:hideMark/>
          </w:tcPr>
          <w:p w14:paraId="1A514F65"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 xml:space="preserve">   ponad rok temu</w:t>
            </w:r>
          </w:p>
        </w:tc>
        <w:tc>
          <w:tcPr>
            <w:tcW w:w="1334" w:type="dxa"/>
            <w:shd w:val="clear" w:color="auto" w:fill="auto"/>
            <w:noWrap/>
            <w:vAlign w:val="center"/>
            <w:hideMark/>
          </w:tcPr>
          <w:p w14:paraId="3C5FA74A"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1 419,4</w:t>
            </w:r>
          </w:p>
        </w:tc>
        <w:tc>
          <w:tcPr>
            <w:tcW w:w="1335" w:type="dxa"/>
            <w:shd w:val="clear" w:color="auto" w:fill="auto"/>
            <w:noWrap/>
            <w:vAlign w:val="center"/>
            <w:hideMark/>
          </w:tcPr>
          <w:p w14:paraId="3CA1944E"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673,9</w:t>
            </w:r>
          </w:p>
        </w:tc>
        <w:tc>
          <w:tcPr>
            <w:tcW w:w="1361" w:type="dxa"/>
            <w:shd w:val="clear" w:color="auto" w:fill="auto"/>
            <w:noWrap/>
            <w:vAlign w:val="center"/>
            <w:hideMark/>
          </w:tcPr>
          <w:p w14:paraId="1DC346AF"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745,5</w:t>
            </w:r>
          </w:p>
        </w:tc>
        <w:tc>
          <w:tcPr>
            <w:tcW w:w="1333" w:type="dxa"/>
            <w:shd w:val="clear" w:color="auto" w:fill="auto"/>
            <w:noWrap/>
            <w:vAlign w:val="center"/>
            <w:hideMark/>
          </w:tcPr>
          <w:p w14:paraId="677B72F3"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326,9</w:t>
            </w:r>
          </w:p>
        </w:tc>
        <w:tc>
          <w:tcPr>
            <w:tcW w:w="1335" w:type="dxa"/>
            <w:shd w:val="clear" w:color="auto" w:fill="auto"/>
            <w:noWrap/>
            <w:vAlign w:val="center"/>
            <w:hideMark/>
          </w:tcPr>
          <w:p w14:paraId="05F5CA25"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149,5</w:t>
            </w:r>
          </w:p>
        </w:tc>
        <w:tc>
          <w:tcPr>
            <w:tcW w:w="1333" w:type="dxa"/>
            <w:shd w:val="clear" w:color="auto" w:fill="auto"/>
            <w:noWrap/>
            <w:vAlign w:val="center"/>
            <w:hideMark/>
          </w:tcPr>
          <w:p w14:paraId="41589634"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177,3</w:t>
            </w:r>
          </w:p>
        </w:tc>
      </w:tr>
      <w:tr w:rsidR="002C5FB0" w:rsidRPr="00840514" w14:paraId="11ABB7C0" w14:textId="77777777" w:rsidTr="007230B7">
        <w:trPr>
          <w:trHeight w:val="300"/>
          <w:jc w:val="center"/>
        </w:trPr>
        <w:tc>
          <w:tcPr>
            <w:tcW w:w="1774" w:type="dxa"/>
            <w:shd w:val="clear" w:color="auto" w:fill="9CC2E5" w:themeFill="accent1" w:themeFillTint="99"/>
            <w:noWrap/>
            <w:vAlign w:val="center"/>
            <w:hideMark/>
          </w:tcPr>
          <w:p w14:paraId="20383E06"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Osoby nigdy nie korzystające z komputera</w:t>
            </w:r>
          </w:p>
        </w:tc>
        <w:tc>
          <w:tcPr>
            <w:tcW w:w="1334" w:type="dxa"/>
            <w:shd w:val="clear" w:color="auto" w:fill="auto"/>
            <w:noWrap/>
            <w:vAlign w:val="center"/>
            <w:hideMark/>
          </w:tcPr>
          <w:p w14:paraId="28B02B59"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4 787,2</w:t>
            </w:r>
          </w:p>
        </w:tc>
        <w:tc>
          <w:tcPr>
            <w:tcW w:w="1335" w:type="dxa"/>
            <w:shd w:val="clear" w:color="auto" w:fill="auto"/>
            <w:noWrap/>
            <w:vAlign w:val="center"/>
            <w:hideMark/>
          </w:tcPr>
          <w:p w14:paraId="097BAD88"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2 260,9</w:t>
            </w:r>
          </w:p>
        </w:tc>
        <w:tc>
          <w:tcPr>
            <w:tcW w:w="1361" w:type="dxa"/>
            <w:shd w:val="clear" w:color="auto" w:fill="auto"/>
            <w:noWrap/>
            <w:vAlign w:val="center"/>
            <w:hideMark/>
          </w:tcPr>
          <w:p w14:paraId="68BCF6B9"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2 526,3</w:t>
            </w:r>
          </w:p>
        </w:tc>
        <w:tc>
          <w:tcPr>
            <w:tcW w:w="1333" w:type="dxa"/>
            <w:shd w:val="clear" w:color="auto" w:fill="auto"/>
            <w:noWrap/>
            <w:vAlign w:val="center"/>
            <w:hideMark/>
          </w:tcPr>
          <w:p w14:paraId="3451F984"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2 169,6</w:t>
            </w:r>
          </w:p>
        </w:tc>
        <w:tc>
          <w:tcPr>
            <w:tcW w:w="1335" w:type="dxa"/>
            <w:shd w:val="clear" w:color="auto" w:fill="auto"/>
            <w:noWrap/>
            <w:vAlign w:val="center"/>
            <w:hideMark/>
          </w:tcPr>
          <w:p w14:paraId="47DDFC6B"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876,1</w:t>
            </w:r>
          </w:p>
        </w:tc>
        <w:tc>
          <w:tcPr>
            <w:tcW w:w="1333" w:type="dxa"/>
            <w:shd w:val="clear" w:color="auto" w:fill="auto"/>
            <w:noWrap/>
            <w:vAlign w:val="center"/>
            <w:hideMark/>
          </w:tcPr>
          <w:p w14:paraId="2A2968F1"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1 293,5</w:t>
            </w:r>
          </w:p>
        </w:tc>
      </w:tr>
      <w:tr w:rsidR="002C5FB0" w:rsidRPr="00840514" w14:paraId="5188758B" w14:textId="77777777" w:rsidTr="007230B7">
        <w:trPr>
          <w:trHeight w:val="300"/>
          <w:jc w:val="center"/>
        </w:trPr>
        <w:tc>
          <w:tcPr>
            <w:tcW w:w="9805" w:type="dxa"/>
            <w:gridSpan w:val="7"/>
            <w:shd w:val="clear" w:color="auto" w:fill="9CC2E5" w:themeFill="accent1" w:themeFillTint="99"/>
            <w:noWrap/>
            <w:vAlign w:val="center"/>
            <w:hideMark/>
          </w:tcPr>
          <w:p w14:paraId="03B4FE32"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w odsetkach</w:t>
            </w:r>
          </w:p>
        </w:tc>
      </w:tr>
      <w:tr w:rsidR="002C5FB0" w:rsidRPr="00840514" w14:paraId="63E201A8" w14:textId="77777777" w:rsidTr="007230B7">
        <w:trPr>
          <w:trHeight w:val="300"/>
          <w:jc w:val="center"/>
        </w:trPr>
        <w:tc>
          <w:tcPr>
            <w:tcW w:w="1774" w:type="dxa"/>
            <w:shd w:val="clear" w:color="auto" w:fill="9CC2E5" w:themeFill="accent1" w:themeFillTint="99"/>
            <w:noWrap/>
            <w:vAlign w:val="center"/>
            <w:hideMark/>
          </w:tcPr>
          <w:p w14:paraId="7B1223DE"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Osoby korzystające z komputera</w:t>
            </w:r>
          </w:p>
        </w:tc>
        <w:tc>
          <w:tcPr>
            <w:tcW w:w="1334" w:type="dxa"/>
            <w:shd w:val="clear" w:color="auto" w:fill="auto"/>
            <w:noWrap/>
            <w:vAlign w:val="center"/>
            <w:hideMark/>
          </w:tcPr>
          <w:p w14:paraId="01F6FBB4"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83,6</w:t>
            </w:r>
          </w:p>
        </w:tc>
        <w:tc>
          <w:tcPr>
            <w:tcW w:w="1335" w:type="dxa"/>
            <w:shd w:val="clear" w:color="auto" w:fill="auto"/>
            <w:noWrap/>
            <w:vAlign w:val="center"/>
            <w:hideMark/>
          </w:tcPr>
          <w:p w14:paraId="7B22EC33"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84,2</w:t>
            </w:r>
          </w:p>
        </w:tc>
        <w:tc>
          <w:tcPr>
            <w:tcW w:w="1361" w:type="dxa"/>
            <w:shd w:val="clear" w:color="auto" w:fill="auto"/>
            <w:noWrap/>
            <w:vAlign w:val="center"/>
            <w:hideMark/>
          </w:tcPr>
          <w:p w14:paraId="05CC4922"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83,0</w:t>
            </w:r>
          </w:p>
        </w:tc>
        <w:tc>
          <w:tcPr>
            <w:tcW w:w="1333" w:type="dxa"/>
            <w:shd w:val="clear" w:color="auto" w:fill="auto"/>
            <w:noWrap/>
            <w:vAlign w:val="center"/>
            <w:hideMark/>
          </w:tcPr>
          <w:p w14:paraId="091E576D"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45,6</w:t>
            </w:r>
          </w:p>
        </w:tc>
        <w:tc>
          <w:tcPr>
            <w:tcW w:w="1335" w:type="dxa"/>
            <w:shd w:val="clear" w:color="auto" w:fill="auto"/>
            <w:noWrap/>
            <w:vAlign w:val="center"/>
            <w:hideMark/>
          </w:tcPr>
          <w:p w14:paraId="6C0C9B4E"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49,7</w:t>
            </w:r>
          </w:p>
        </w:tc>
        <w:tc>
          <w:tcPr>
            <w:tcW w:w="1333" w:type="dxa"/>
            <w:shd w:val="clear" w:color="auto" w:fill="auto"/>
            <w:noWrap/>
            <w:vAlign w:val="center"/>
            <w:hideMark/>
          </w:tcPr>
          <w:p w14:paraId="3AAEEDB5"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42,5</w:t>
            </w:r>
          </w:p>
        </w:tc>
      </w:tr>
      <w:tr w:rsidR="002C5FB0" w:rsidRPr="00840514" w14:paraId="2ABCBB06" w14:textId="77777777" w:rsidTr="007230B7">
        <w:trPr>
          <w:trHeight w:val="300"/>
          <w:jc w:val="center"/>
        </w:trPr>
        <w:tc>
          <w:tcPr>
            <w:tcW w:w="1774" w:type="dxa"/>
            <w:shd w:val="clear" w:color="auto" w:fill="9CC2E5" w:themeFill="accent1" w:themeFillTint="99"/>
            <w:noWrap/>
            <w:vAlign w:val="center"/>
            <w:hideMark/>
          </w:tcPr>
          <w:p w14:paraId="7066801E"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 xml:space="preserve">   w ciągu ostatnich 3 miesięcy</w:t>
            </w:r>
          </w:p>
        </w:tc>
        <w:tc>
          <w:tcPr>
            <w:tcW w:w="1334" w:type="dxa"/>
            <w:shd w:val="clear" w:color="auto" w:fill="auto"/>
            <w:noWrap/>
            <w:vAlign w:val="center"/>
            <w:hideMark/>
          </w:tcPr>
          <w:p w14:paraId="274DE2EE"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76,2</w:t>
            </w:r>
          </w:p>
        </w:tc>
        <w:tc>
          <w:tcPr>
            <w:tcW w:w="1335" w:type="dxa"/>
            <w:shd w:val="clear" w:color="auto" w:fill="auto"/>
            <w:noWrap/>
            <w:vAlign w:val="center"/>
            <w:hideMark/>
          </w:tcPr>
          <w:p w14:paraId="72078AD1"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77,0</w:t>
            </w:r>
          </w:p>
        </w:tc>
        <w:tc>
          <w:tcPr>
            <w:tcW w:w="1361" w:type="dxa"/>
            <w:shd w:val="clear" w:color="auto" w:fill="auto"/>
            <w:noWrap/>
            <w:vAlign w:val="center"/>
            <w:hideMark/>
          </w:tcPr>
          <w:p w14:paraId="26656345"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75,4</w:t>
            </w:r>
          </w:p>
        </w:tc>
        <w:tc>
          <w:tcPr>
            <w:tcW w:w="1333" w:type="dxa"/>
            <w:shd w:val="clear" w:color="auto" w:fill="auto"/>
            <w:noWrap/>
            <w:vAlign w:val="center"/>
            <w:hideMark/>
          </w:tcPr>
          <w:p w14:paraId="1A9E24E9"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34,1</w:t>
            </w:r>
          </w:p>
        </w:tc>
        <w:tc>
          <w:tcPr>
            <w:tcW w:w="1335" w:type="dxa"/>
            <w:shd w:val="clear" w:color="auto" w:fill="auto"/>
            <w:noWrap/>
            <w:vAlign w:val="center"/>
            <w:hideMark/>
          </w:tcPr>
          <w:p w14:paraId="3FFAC620"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38,3</w:t>
            </w:r>
          </w:p>
        </w:tc>
        <w:tc>
          <w:tcPr>
            <w:tcW w:w="1333" w:type="dxa"/>
            <w:shd w:val="clear" w:color="auto" w:fill="auto"/>
            <w:noWrap/>
            <w:vAlign w:val="center"/>
            <w:hideMark/>
          </w:tcPr>
          <w:p w14:paraId="128F9E68"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30,8</w:t>
            </w:r>
          </w:p>
        </w:tc>
      </w:tr>
      <w:tr w:rsidR="002C5FB0" w:rsidRPr="00840514" w14:paraId="5F7F9B31" w14:textId="77777777" w:rsidTr="007230B7">
        <w:trPr>
          <w:trHeight w:val="300"/>
          <w:jc w:val="center"/>
        </w:trPr>
        <w:tc>
          <w:tcPr>
            <w:tcW w:w="1774" w:type="dxa"/>
            <w:shd w:val="clear" w:color="auto" w:fill="9CC2E5" w:themeFill="accent1" w:themeFillTint="99"/>
            <w:noWrap/>
            <w:vAlign w:val="center"/>
            <w:hideMark/>
          </w:tcPr>
          <w:p w14:paraId="255F9459"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 xml:space="preserve">   od 3 miesięcy do 12 miesięcy temu</w:t>
            </w:r>
          </w:p>
        </w:tc>
        <w:tc>
          <w:tcPr>
            <w:tcW w:w="1334" w:type="dxa"/>
            <w:shd w:val="clear" w:color="auto" w:fill="auto"/>
            <w:noWrap/>
            <w:vAlign w:val="center"/>
            <w:hideMark/>
          </w:tcPr>
          <w:p w14:paraId="5ECAD287"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2,5</w:t>
            </w:r>
          </w:p>
        </w:tc>
        <w:tc>
          <w:tcPr>
            <w:tcW w:w="1335" w:type="dxa"/>
            <w:shd w:val="clear" w:color="auto" w:fill="auto"/>
            <w:noWrap/>
            <w:vAlign w:val="center"/>
            <w:hideMark/>
          </w:tcPr>
          <w:p w14:paraId="25FB67BA"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2,5</w:t>
            </w:r>
          </w:p>
        </w:tc>
        <w:tc>
          <w:tcPr>
            <w:tcW w:w="1361" w:type="dxa"/>
            <w:shd w:val="clear" w:color="auto" w:fill="auto"/>
            <w:noWrap/>
            <w:vAlign w:val="center"/>
            <w:hideMark/>
          </w:tcPr>
          <w:p w14:paraId="38C70684"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2,5</w:t>
            </w:r>
          </w:p>
        </w:tc>
        <w:tc>
          <w:tcPr>
            <w:tcW w:w="1333" w:type="dxa"/>
            <w:shd w:val="clear" w:color="auto" w:fill="auto"/>
            <w:noWrap/>
            <w:vAlign w:val="center"/>
            <w:hideMark/>
          </w:tcPr>
          <w:p w14:paraId="4651B56B"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3,3</w:t>
            </w:r>
          </w:p>
        </w:tc>
        <w:tc>
          <w:tcPr>
            <w:tcW w:w="1335" w:type="dxa"/>
            <w:shd w:val="clear" w:color="auto" w:fill="auto"/>
            <w:noWrap/>
            <w:vAlign w:val="center"/>
            <w:hideMark/>
          </w:tcPr>
          <w:p w14:paraId="47A99DF1"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2,7</w:t>
            </w:r>
          </w:p>
        </w:tc>
        <w:tc>
          <w:tcPr>
            <w:tcW w:w="1333" w:type="dxa"/>
            <w:shd w:val="clear" w:color="auto" w:fill="auto"/>
            <w:noWrap/>
            <w:vAlign w:val="center"/>
            <w:hideMark/>
          </w:tcPr>
          <w:p w14:paraId="511CF8BF"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3,7</w:t>
            </w:r>
          </w:p>
        </w:tc>
      </w:tr>
      <w:tr w:rsidR="002C5FB0" w:rsidRPr="00840514" w14:paraId="4B3B787A" w14:textId="77777777" w:rsidTr="007230B7">
        <w:trPr>
          <w:trHeight w:val="300"/>
          <w:jc w:val="center"/>
        </w:trPr>
        <w:tc>
          <w:tcPr>
            <w:tcW w:w="1774" w:type="dxa"/>
            <w:shd w:val="clear" w:color="auto" w:fill="9CC2E5" w:themeFill="accent1" w:themeFillTint="99"/>
            <w:noWrap/>
            <w:vAlign w:val="center"/>
            <w:hideMark/>
          </w:tcPr>
          <w:p w14:paraId="3D717E8B"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 xml:space="preserve">   ponad rok temu</w:t>
            </w:r>
          </w:p>
        </w:tc>
        <w:tc>
          <w:tcPr>
            <w:tcW w:w="1334" w:type="dxa"/>
            <w:shd w:val="clear" w:color="auto" w:fill="auto"/>
            <w:noWrap/>
            <w:vAlign w:val="center"/>
            <w:hideMark/>
          </w:tcPr>
          <w:p w14:paraId="461068DF"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4,9</w:t>
            </w:r>
          </w:p>
        </w:tc>
        <w:tc>
          <w:tcPr>
            <w:tcW w:w="1335" w:type="dxa"/>
            <w:shd w:val="clear" w:color="auto" w:fill="auto"/>
            <w:noWrap/>
            <w:vAlign w:val="center"/>
            <w:hideMark/>
          </w:tcPr>
          <w:p w14:paraId="7E940CB3"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4,7</w:t>
            </w:r>
          </w:p>
        </w:tc>
        <w:tc>
          <w:tcPr>
            <w:tcW w:w="1361" w:type="dxa"/>
            <w:shd w:val="clear" w:color="auto" w:fill="auto"/>
            <w:noWrap/>
            <w:vAlign w:val="center"/>
            <w:hideMark/>
          </w:tcPr>
          <w:p w14:paraId="10B81921"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5,0</w:t>
            </w:r>
          </w:p>
        </w:tc>
        <w:tc>
          <w:tcPr>
            <w:tcW w:w="1333" w:type="dxa"/>
            <w:shd w:val="clear" w:color="auto" w:fill="auto"/>
            <w:noWrap/>
            <w:vAlign w:val="center"/>
            <w:hideMark/>
          </w:tcPr>
          <w:p w14:paraId="01A8C243"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8,2</w:t>
            </w:r>
          </w:p>
        </w:tc>
        <w:tc>
          <w:tcPr>
            <w:tcW w:w="1335" w:type="dxa"/>
            <w:shd w:val="clear" w:color="auto" w:fill="auto"/>
            <w:noWrap/>
            <w:vAlign w:val="center"/>
            <w:hideMark/>
          </w:tcPr>
          <w:p w14:paraId="42312B74"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8,6</w:t>
            </w:r>
          </w:p>
        </w:tc>
        <w:tc>
          <w:tcPr>
            <w:tcW w:w="1333" w:type="dxa"/>
            <w:shd w:val="clear" w:color="auto" w:fill="auto"/>
            <w:noWrap/>
            <w:vAlign w:val="center"/>
            <w:hideMark/>
          </w:tcPr>
          <w:p w14:paraId="735CD3EF"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7,9</w:t>
            </w:r>
          </w:p>
        </w:tc>
      </w:tr>
      <w:tr w:rsidR="002C5FB0" w:rsidRPr="00840514" w14:paraId="5C63389C" w14:textId="77777777" w:rsidTr="007230B7">
        <w:trPr>
          <w:trHeight w:val="300"/>
          <w:jc w:val="center"/>
        </w:trPr>
        <w:tc>
          <w:tcPr>
            <w:tcW w:w="1774" w:type="dxa"/>
            <w:shd w:val="clear" w:color="auto" w:fill="9CC2E5" w:themeFill="accent1" w:themeFillTint="99"/>
            <w:noWrap/>
            <w:vAlign w:val="center"/>
            <w:hideMark/>
          </w:tcPr>
          <w:p w14:paraId="4389B584" w14:textId="77777777" w:rsidR="002C5FB0" w:rsidRPr="00840514" w:rsidRDefault="002C5FB0" w:rsidP="007230B7">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Osoby nigdy nie korzystające z komputera</w:t>
            </w:r>
          </w:p>
        </w:tc>
        <w:tc>
          <w:tcPr>
            <w:tcW w:w="1334" w:type="dxa"/>
            <w:shd w:val="clear" w:color="auto" w:fill="auto"/>
            <w:noWrap/>
            <w:vAlign w:val="center"/>
            <w:hideMark/>
          </w:tcPr>
          <w:p w14:paraId="15055096"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16,4</w:t>
            </w:r>
          </w:p>
        </w:tc>
        <w:tc>
          <w:tcPr>
            <w:tcW w:w="1335" w:type="dxa"/>
            <w:shd w:val="clear" w:color="auto" w:fill="auto"/>
            <w:noWrap/>
            <w:vAlign w:val="center"/>
            <w:hideMark/>
          </w:tcPr>
          <w:p w14:paraId="07F156D9"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15,8</w:t>
            </w:r>
          </w:p>
        </w:tc>
        <w:tc>
          <w:tcPr>
            <w:tcW w:w="1361" w:type="dxa"/>
            <w:shd w:val="clear" w:color="auto" w:fill="auto"/>
            <w:noWrap/>
            <w:vAlign w:val="center"/>
            <w:hideMark/>
          </w:tcPr>
          <w:p w14:paraId="509D79D4"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17,0</w:t>
            </w:r>
          </w:p>
        </w:tc>
        <w:tc>
          <w:tcPr>
            <w:tcW w:w="1333" w:type="dxa"/>
            <w:shd w:val="clear" w:color="auto" w:fill="auto"/>
            <w:noWrap/>
            <w:vAlign w:val="center"/>
            <w:hideMark/>
          </w:tcPr>
          <w:p w14:paraId="4457A04B"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54,4</w:t>
            </w:r>
          </w:p>
        </w:tc>
        <w:tc>
          <w:tcPr>
            <w:tcW w:w="1335" w:type="dxa"/>
            <w:shd w:val="clear" w:color="auto" w:fill="auto"/>
            <w:noWrap/>
            <w:vAlign w:val="center"/>
            <w:hideMark/>
          </w:tcPr>
          <w:p w14:paraId="70AD34C2"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50,4</w:t>
            </w:r>
          </w:p>
        </w:tc>
        <w:tc>
          <w:tcPr>
            <w:tcW w:w="1333" w:type="dxa"/>
            <w:shd w:val="clear" w:color="auto" w:fill="auto"/>
            <w:noWrap/>
            <w:vAlign w:val="center"/>
            <w:hideMark/>
          </w:tcPr>
          <w:p w14:paraId="3FCDFCAC" w14:textId="77777777" w:rsidR="002C5FB0" w:rsidRPr="00840514" w:rsidRDefault="002C5FB0" w:rsidP="007230B7">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57,5</w:t>
            </w:r>
          </w:p>
        </w:tc>
      </w:tr>
    </w:tbl>
    <w:p w14:paraId="657FA89D" w14:textId="77777777" w:rsidR="002C5FB0" w:rsidRDefault="002C5FB0" w:rsidP="003C1988">
      <w:pPr>
        <w:rPr>
          <w:rFonts w:ascii="Times New Roman" w:hAnsi="Times New Roman" w:cs="Times New Roman"/>
          <w:b/>
        </w:rPr>
      </w:pPr>
      <w:r w:rsidRPr="001818BF">
        <w:rPr>
          <w:rFonts w:ascii="Times New Roman" w:hAnsi="Times New Roman" w:cs="Times New Roman"/>
          <w:b/>
        </w:rPr>
        <w:t>Źródło: Badanie "Wykorzystanie technologii informacyjno-komunikacyjnych w gospodarstwach domowych", GUS</w:t>
      </w:r>
    </w:p>
    <w:p w14:paraId="6D74771C" w14:textId="77777777" w:rsidR="00C24027" w:rsidRPr="00C24027" w:rsidRDefault="00C24027" w:rsidP="00C24027">
      <w:pPr>
        <w:spacing w:after="0"/>
        <w:jc w:val="both"/>
        <w:rPr>
          <w:rFonts w:ascii="Times New Roman" w:hAnsi="Times New Roman" w:cs="Times New Roman"/>
          <w:color w:val="FF0000"/>
          <w:sz w:val="24"/>
          <w:szCs w:val="24"/>
        </w:rPr>
      </w:pPr>
      <w:r w:rsidRPr="00C24027">
        <w:rPr>
          <w:rFonts w:ascii="Times New Roman" w:hAnsi="Times New Roman" w:cs="Times New Roman"/>
          <w:sz w:val="24"/>
          <w:szCs w:val="24"/>
        </w:rPr>
        <w:t xml:space="preserve">W Polsce w 2019 r. z komputera korzystało (w ciągu ostatnich 3 miesięcy poprzedzających badanie) 1360,3 tys. osób </w:t>
      </w:r>
      <w:r w:rsidRPr="00C24027">
        <w:rPr>
          <w:rFonts w:ascii="Times New Roman" w:hAnsi="Times New Roman" w:cs="Times New Roman"/>
          <w:color w:val="000000" w:themeColor="text1"/>
          <w:sz w:val="24"/>
          <w:szCs w:val="24"/>
        </w:rPr>
        <w:t xml:space="preserve">w wieku 65-74 lata, co stanowiło 34,1% ogółu osób w tej grupie wieku (wzrost w stosunku do </w:t>
      </w:r>
      <w:r w:rsidRPr="00C24027">
        <w:rPr>
          <w:rFonts w:ascii="Times New Roman" w:hAnsi="Times New Roman" w:cs="Times New Roman"/>
          <w:sz w:val="24"/>
          <w:szCs w:val="24"/>
        </w:rPr>
        <w:t xml:space="preserve">2018 r. o 2,4 p. proc). </w:t>
      </w:r>
      <w:r w:rsidRPr="00C24027">
        <w:rPr>
          <w:rFonts w:ascii="Times New Roman" w:hAnsi="Times New Roman" w:cs="Times New Roman"/>
          <w:color w:val="000000" w:themeColor="text1"/>
          <w:sz w:val="24"/>
          <w:szCs w:val="24"/>
        </w:rPr>
        <w:t>Odsetek korzystających z komputera był wyższy wśród mężczyzn (38,3%) niż wśród kobiet (30,8%). Z Internetu korzystało w ciągu ostatnich trzech miesięcy 1477,2 tys. osób w wieku 65-74 lata tj. 37,0% ogółu osób w tej grupie wieku (40,7% mężczyzn i 34,2% kobiet).</w:t>
      </w:r>
    </w:p>
    <w:p w14:paraId="280A527A" w14:textId="77777777" w:rsidR="00C24027" w:rsidRPr="001818BF" w:rsidRDefault="00C24027" w:rsidP="005F4320">
      <w:pPr>
        <w:spacing w:after="0"/>
        <w:rPr>
          <w:rFonts w:ascii="Times New Roman" w:hAnsi="Times New Roman" w:cs="Times New Roman"/>
          <w:b/>
        </w:rPr>
      </w:pPr>
    </w:p>
    <w:p w14:paraId="2F0ADBFA" w14:textId="388E335E" w:rsidR="001818BF" w:rsidRPr="001818BF" w:rsidRDefault="001818BF" w:rsidP="001818BF">
      <w:pPr>
        <w:pStyle w:val="Legenda"/>
        <w:keepNext/>
        <w:rPr>
          <w:rFonts w:ascii="Times New Roman" w:hAnsi="Times New Roman" w:cs="Times New Roman"/>
          <w:b/>
          <w:i w:val="0"/>
          <w:sz w:val="24"/>
        </w:rPr>
      </w:pPr>
      <w:bookmarkStart w:id="51" w:name="_Toc49171414"/>
      <w:r w:rsidRPr="001818BF">
        <w:rPr>
          <w:rFonts w:ascii="Times New Roman" w:hAnsi="Times New Roman" w:cs="Times New Roman"/>
          <w:b/>
          <w:i w:val="0"/>
          <w:sz w:val="24"/>
        </w:rPr>
        <w:t xml:space="preserve">Tabela </w:t>
      </w:r>
      <w:r w:rsidRPr="001818BF">
        <w:rPr>
          <w:rFonts w:ascii="Times New Roman" w:hAnsi="Times New Roman" w:cs="Times New Roman"/>
          <w:b/>
          <w:i w:val="0"/>
          <w:sz w:val="24"/>
        </w:rPr>
        <w:fldChar w:fldCharType="begin"/>
      </w:r>
      <w:r w:rsidRPr="001818BF">
        <w:rPr>
          <w:rFonts w:ascii="Times New Roman" w:hAnsi="Times New Roman" w:cs="Times New Roman"/>
          <w:b/>
          <w:i w:val="0"/>
          <w:sz w:val="24"/>
        </w:rPr>
        <w:instrText xml:space="preserve"> SEQ Tabela \* ARABIC </w:instrText>
      </w:r>
      <w:r w:rsidRPr="001818BF">
        <w:rPr>
          <w:rFonts w:ascii="Times New Roman" w:hAnsi="Times New Roman" w:cs="Times New Roman"/>
          <w:b/>
          <w:i w:val="0"/>
          <w:sz w:val="24"/>
        </w:rPr>
        <w:fldChar w:fldCharType="separate"/>
      </w:r>
      <w:r w:rsidR="00C154C9">
        <w:rPr>
          <w:rFonts w:ascii="Times New Roman" w:hAnsi="Times New Roman" w:cs="Times New Roman"/>
          <w:b/>
          <w:i w:val="0"/>
          <w:noProof/>
          <w:sz w:val="24"/>
        </w:rPr>
        <w:t>39</w:t>
      </w:r>
      <w:r w:rsidRPr="001818BF">
        <w:rPr>
          <w:rFonts w:ascii="Times New Roman" w:hAnsi="Times New Roman" w:cs="Times New Roman"/>
          <w:b/>
          <w:i w:val="0"/>
          <w:sz w:val="24"/>
        </w:rPr>
        <w:fldChar w:fldCharType="end"/>
      </w:r>
      <w:r w:rsidRPr="001818BF">
        <w:rPr>
          <w:rFonts w:ascii="Times New Roman" w:hAnsi="Times New Roman" w:cs="Times New Roman"/>
          <w:b/>
          <w:i w:val="0"/>
          <w:sz w:val="24"/>
        </w:rPr>
        <w:t xml:space="preserve"> Osoby korzystające z Internetu w 2019 r.</w:t>
      </w:r>
      <w:bookmarkEnd w:id="51"/>
    </w:p>
    <w:tbl>
      <w:tblPr>
        <w:tblW w:w="9209"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1769"/>
        <w:gridCol w:w="1334"/>
        <w:gridCol w:w="1145"/>
        <w:gridCol w:w="1134"/>
        <w:gridCol w:w="1276"/>
        <w:gridCol w:w="1275"/>
        <w:gridCol w:w="1276"/>
      </w:tblGrid>
      <w:tr w:rsidR="001F75E0" w:rsidRPr="00840514" w14:paraId="279046E3" w14:textId="77777777" w:rsidTr="00840514">
        <w:trPr>
          <w:trHeight w:val="600"/>
          <w:jc w:val="center"/>
        </w:trPr>
        <w:tc>
          <w:tcPr>
            <w:tcW w:w="1769" w:type="dxa"/>
            <w:vMerge w:val="restart"/>
            <w:shd w:val="clear" w:color="auto" w:fill="9CC2E5" w:themeFill="accent1" w:themeFillTint="99"/>
            <w:noWrap/>
            <w:vAlign w:val="center"/>
            <w:hideMark/>
          </w:tcPr>
          <w:p w14:paraId="4EA5CE80"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Wyszczególnienie</w:t>
            </w:r>
          </w:p>
        </w:tc>
        <w:tc>
          <w:tcPr>
            <w:tcW w:w="1334" w:type="dxa"/>
            <w:vMerge w:val="restart"/>
            <w:shd w:val="clear" w:color="auto" w:fill="9CC2E5" w:themeFill="accent1" w:themeFillTint="99"/>
            <w:vAlign w:val="center"/>
            <w:hideMark/>
          </w:tcPr>
          <w:p w14:paraId="49EFE5AF"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Ogółem osoby w wieku 16-74 lata</w:t>
            </w:r>
          </w:p>
        </w:tc>
        <w:tc>
          <w:tcPr>
            <w:tcW w:w="1145" w:type="dxa"/>
            <w:vMerge w:val="restart"/>
            <w:shd w:val="clear" w:color="auto" w:fill="9CC2E5" w:themeFill="accent1" w:themeFillTint="99"/>
            <w:vAlign w:val="center"/>
            <w:hideMark/>
          </w:tcPr>
          <w:p w14:paraId="134B349B"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Mężczyźni</w:t>
            </w:r>
          </w:p>
        </w:tc>
        <w:tc>
          <w:tcPr>
            <w:tcW w:w="1134" w:type="dxa"/>
            <w:vMerge w:val="restart"/>
            <w:shd w:val="clear" w:color="auto" w:fill="9CC2E5" w:themeFill="accent1" w:themeFillTint="99"/>
            <w:vAlign w:val="center"/>
            <w:hideMark/>
          </w:tcPr>
          <w:p w14:paraId="472DE378"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Kobiety</w:t>
            </w:r>
          </w:p>
        </w:tc>
        <w:tc>
          <w:tcPr>
            <w:tcW w:w="3827" w:type="dxa"/>
            <w:gridSpan w:val="3"/>
            <w:shd w:val="clear" w:color="auto" w:fill="9CC2E5" w:themeFill="accent1" w:themeFillTint="99"/>
            <w:vAlign w:val="center"/>
            <w:hideMark/>
          </w:tcPr>
          <w:p w14:paraId="467C3F2C"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Z liczby ogółem</w:t>
            </w:r>
            <w:r w:rsidRPr="00840514">
              <w:rPr>
                <w:rFonts w:ascii="Times New Roman" w:eastAsia="Times New Roman" w:hAnsi="Times New Roman" w:cs="Times New Roman"/>
                <w:b/>
                <w:sz w:val="20"/>
                <w:szCs w:val="20"/>
                <w:lang w:eastAsia="pl-PL"/>
              </w:rPr>
              <w:br/>
              <w:t xml:space="preserve"> osoby w wieku 65 - 74 lata</w:t>
            </w:r>
          </w:p>
        </w:tc>
      </w:tr>
      <w:tr w:rsidR="001F75E0" w:rsidRPr="00840514" w14:paraId="6E3E2EBA" w14:textId="77777777" w:rsidTr="00840514">
        <w:trPr>
          <w:trHeight w:val="398"/>
          <w:jc w:val="center"/>
        </w:trPr>
        <w:tc>
          <w:tcPr>
            <w:tcW w:w="1769" w:type="dxa"/>
            <w:vMerge/>
            <w:shd w:val="clear" w:color="auto" w:fill="9CC2E5" w:themeFill="accent1" w:themeFillTint="99"/>
            <w:vAlign w:val="center"/>
            <w:hideMark/>
          </w:tcPr>
          <w:p w14:paraId="64FC4C60"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p>
        </w:tc>
        <w:tc>
          <w:tcPr>
            <w:tcW w:w="1334" w:type="dxa"/>
            <w:vMerge/>
            <w:shd w:val="clear" w:color="auto" w:fill="9CC2E5" w:themeFill="accent1" w:themeFillTint="99"/>
            <w:vAlign w:val="center"/>
            <w:hideMark/>
          </w:tcPr>
          <w:p w14:paraId="3E0AFDE1"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p>
        </w:tc>
        <w:tc>
          <w:tcPr>
            <w:tcW w:w="1145" w:type="dxa"/>
            <w:vMerge/>
            <w:shd w:val="clear" w:color="auto" w:fill="9CC2E5" w:themeFill="accent1" w:themeFillTint="99"/>
            <w:vAlign w:val="center"/>
            <w:hideMark/>
          </w:tcPr>
          <w:p w14:paraId="46BA7602"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p>
        </w:tc>
        <w:tc>
          <w:tcPr>
            <w:tcW w:w="1134" w:type="dxa"/>
            <w:vMerge/>
            <w:shd w:val="clear" w:color="auto" w:fill="9CC2E5" w:themeFill="accent1" w:themeFillTint="99"/>
            <w:vAlign w:val="center"/>
            <w:hideMark/>
          </w:tcPr>
          <w:p w14:paraId="7A4DF953"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p>
        </w:tc>
        <w:tc>
          <w:tcPr>
            <w:tcW w:w="1276" w:type="dxa"/>
            <w:shd w:val="clear" w:color="auto" w:fill="9CC2E5" w:themeFill="accent1" w:themeFillTint="99"/>
            <w:vAlign w:val="center"/>
            <w:hideMark/>
          </w:tcPr>
          <w:p w14:paraId="1C62D3C0"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razem</w:t>
            </w:r>
          </w:p>
        </w:tc>
        <w:tc>
          <w:tcPr>
            <w:tcW w:w="1275" w:type="dxa"/>
            <w:shd w:val="clear" w:color="auto" w:fill="9CC2E5" w:themeFill="accent1" w:themeFillTint="99"/>
            <w:vAlign w:val="center"/>
            <w:hideMark/>
          </w:tcPr>
          <w:p w14:paraId="16622420"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mężczyźni</w:t>
            </w:r>
          </w:p>
        </w:tc>
        <w:tc>
          <w:tcPr>
            <w:tcW w:w="1276" w:type="dxa"/>
            <w:shd w:val="clear" w:color="auto" w:fill="9CC2E5" w:themeFill="accent1" w:themeFillTint="99"/>
            <w:vAlign w:val="center"/>
            <w:hideMark/>
          </w:tcPr>
          <w:p w14:paraId="4E109C04" w14:textId="77777777" w:rsidR="002C5FB0" w:rsidRPr="00840514" w:rsidRDefault="002C5FB0" w:rsidP="00840514">
            <w:pPr>
              <w:spacing w:after="0" w:line="240" w:lineRule="auto"/>
              <w:jc w:val="center"/>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kobiety</w:t>
            </w:r>
          </w:p>
        </w:tc>
      </w:tr>
      <w:tr w:rsidR="002C5FB0" w:rsidRPr="00840514" w14:paraId="4E53B33D" w14:textId="77777777" w:rsidTr="00840514">
        <w:trPr>
          <w:trHeight w:val="300"/>
          <w:jc w:val="center"/>
        </w:trPr>
        <w:tc>
          <w:tcPr>
            <w:tcW w:w="9209" w:type="dxa"/>
            <w:gridSpan w:val="7"/>
            <w:shd w:val="clear" w:color="auto" w:fill="9CC2E5" w:themeFill="accent1" w:themeFillTint="99"/>
            <w:noWrap/>
            <w:vAlign w:val="center"/>
            <w:hideMark/>
          </w:tcPr>
          <w:p w14:paraId="62937746"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w tysiącach</w:t>
            </w:r>
          </w:p>
        </w:tc>
      </w:tr>
      <w:tr w:rsidR="001F75E0" w:rsidRPr="00840514" w14:paraId="7F589DA8" w14:textId="77777777" w:rsidTr="00840514">
        <w:trPr>
          <w:trHeight w:val="300"/>
          <w:jc w:val="center"/>
        </w:trPr>
        <w:tc>
          <w:tcPr>
            <w:tcW w:w="1769" w:type="dxa"/>
            <w:shd w:val="clear" w:color="auto" w:fill="9CC2E5" w:themeFill="accent1" w:themeFillTint="99"/>
            <w:noWrap/>
            <w:vAlign w:val="center"/>
            <w:hideMark/>
          </w:tcPr>
          <w:p w14:paraId="7C0FF9D5"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Osoby korzystające z Internetu</w:t>
            </w:r>
          </w:p>
        </w:tc>
        <w:tc>
          <w:tcPr>
            <w:tcW w:w="1334" w:type="dxa"/>
            <w:shd w:val="clear" w:color="auto" w:fill="auto"/>
            <w:noWrap/>
            <w:vAlign w:val="center"/>
            <w:hideMark/>
          </w:tcPr>
          <w:p w14:paraId="0BF055F2"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24 657,3</w:t>
            </w:r>
          </w:p>
        </w:tc>
        <w:tc>
          <w:tcPr>
            <w:tcW w:w="1145" w:type="dxa"/>
            <w:shd w:val="clear" w:color="auto" w:fill="auto"/>
            <w:noWrap/>
            <w:vAlign w:val="center"/>
            <w:hideMark/>
          </w:tcPr>
          <w:p w14:paraId="1E1DD83E"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12 161,5</w:t>
            </w:r>
          </w:p>
        </w:tc>
        <w:tc>
          <w:tcPr>
            <w:tcW w:w="1134" w:type="dxa"/>
            <w:shd w:val="clear" w:color="auto" w:fill="auto"/>
            <w:noWrap/>
            <w:vAlign w:val="center"/>
            <w:hideMark/>
          </w:tcPr>
          <w:p w14:paraId="79FD8641"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12 495,7</w:t>
            </w:r>
          </w:p>
        </w:tc>
        <w:tc>
          <w:tcPr>
            <w:tcW w:w="1276" w:type="dxa"/>
            <w:shd w:val="clear" w:color="auto" w:fill="auto"/>
            <w:noWrap/>
            <w:vAlign w:val="center"/>
            <w:hideMark/>
          </w:tcPr>
          <w:p w14:paraId="0E14739D"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1 865,3</w:t>
            </w:r>
          </w:p>
        </w:tc>
        <w:tc>
          <w:tcPr>
            <w:tcW w:w="1275" w:type="dxa"/>
            <w:shd w:val="clear" w:color="auto" w:fill="auto"/>
            <w:noWrap/>
            <w:vAlign w:val="center"/>
            <w:hideMark/>
          </w:tcPr>
          <w:p w14:paraId="41A3F539"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863,2</w:t>
            </w:r>
          </w:p>
        </w:tc>
        <w:tc>
          <w:tcPr>
            <w:tcW w:w="1276" w:type="dxa"/>
            <w:shd w:val="clear" w:color="auto" w:fill="auto"/>
            <w:noWrap/>
            <w:vAlign w:val="center"/>
            <w:hideMark/>
          </w:tcPr>
          <w:p w14:paraId="4A036579"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1 002,1</w:t>
            </w:r>
          </w:p>
        </w:tc>
      </w:tr>
      <w:tr w:rsidR="001F75E0" w:rsidRPr="00840514" w14:paraId="67868DC3" w14:textId="77777777" w:rsidTr="00840514">
        <w:trPr>
          <w:trHeight w:val="300"/>
          <w:jc w:val="center"/>
        </w:trPr>
        <w:tc>
          <w:tcPr>
            <w:tcW w:w="1769" w:type="dxa"/>
            <w:shd w:val="clear" w:color="auto" w:fill="9CC2E5" w:themeFill="accent1" w:themeFillTint="99"/>
            <w:noWrap/>
            <w:vAlign w:val="center"/>
            <w:hideMark/>
          </w:tcPr>
          <w:p w14:paraId="05A539E9"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 xml:space="preserve">   w ciągu ostatnich 3 miesięcy</w:t>
            </w:r>
          </w:p>
        </w:tc>
        <w:tc>
          <w:tcPr>
            <w:tcW w:w="1334" w:type="dxa"/>
            <w:shd w:val="clear" w:color="auto" w:fill="auto"/>
            <w:noWrap/>
            <w:vAlign w:val="center"/>
            <w:hideMark/>
          </w:tcPr>
          <w:p w14:paraId="2EAB4722"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23 466,8</w:t>
            </w:r>
          </w:p>
        </w:tc>
        <w:tc>
          <w:tcPr>
            <w:tcW w:w="1145" w:type="dxa"/>
            <w:shd w:val="clear" w:color="auto" w:fill="auto"/>
            <w:noWrap/>
            <w:vAlign w:val="center"/>
            <w:hideMark/>
          </w:tcPr>
          <w:p w14:paraId="7BD4B29F"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11 583,6</w:t>
            </w:r>
          </w:p>
        </w:tc>
        <w:tc>
          <w:tcPr>
            <w:tcW w:w="1134" w:type="dxa"/>
            <w:shd w:val="clear" w:color="auto" w:fill="auto"/>
            <w:noWrap/>
            <w:vAlign w:val="center"/>
            <w:hideMark/>
          </w:tcPr>
          <w:p w14:paraId="29D584B6"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11 883,2</w:t>
            </w:r>
          </w:p>
        </w:tc>
        <w:tc>
          <w:tcPr>
            <w:tcW w:w="1276" w:type="dxa"/>
            <w:shd w:val="clear" w:color="auto" w:fill="auto"/>
            <w:noWrap/>
            <w:vAlign w:val="center"/>
            <w:hideMark/>
          </w:tcPr>
          <w:p w14:paraId="7F50F2D6"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1 477,2</w:t>
            </w:r>
          </w:p>
        </w:tc>
        <w:tc>
          <w:tcPr>
            <w:tcW w:w="1275" w:type="dxa"/>
            <w:shd w:val="clear" w:color="auto" w:fill="auto"/>
            <w:noWrap/>
            <w:vAlign w:val="center"/>
            <w:hideMark/>
          </w:tcPr>
          <w:p w14:paraId="5F80E8D6"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708,6</w:t>
            </w:r>
          </w:p>
        </w:tc>
        <w:tc>
          <w:tcPr>
            <w:tcW w:w="1276" w:type="dxa"/>
            <w:shd w:val="clear" w:color="auto" w:fill="auto"/>
            <w:noWrap/>
            <w:vAlign w:val="center"/>
            <w:hideMark/>
          </w:tcPr>
          <w:p w14:paraId="6F714590"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768,7</w:t>
            </w:r>
          </w:p>
        </w:tc>
      </w:tr>
      <w:tr w:rsidR="001F75E0" w:rsidRPr="00840514" w14:paraId="05A17DC4" w14:textId="77777777" w:rsidTr="00840514">
        <w:trPr>
          <w:trHeight w:val="300"/>
          <w:jc w:val="center"/>
        </w:trPr>
        <w:tc>
          <w:tcPr>
            <w:tcW w:w="1769" w:type="dxa"/>
            <w:shd w:val="clear" w:color="auto" w:fill="9CC2E5" w:themeFill="accent1" w:themeFillTint="99"/>
            <w:noWrap/>
            <w:vAlign w:val="center"/>
            <w:hideMark/>
          </w:tcPr>
          <w:p w14:paraId="2FF953C6"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 xml:space="preserve">   od 3 miesięcy do 12 miesięcy temu</w:t>
            </w:r>
          </w:p>
        </w:tc>
        <w:tc>
          <w:tcPr>
            <w:tcW w:w="1334" w:type="dxa"/>
            <w:shd w:val="clear" w:color="auto" w:fill="auto"/>
            <w:noWrap/>
            <w:vAlign w:val="center"/>
            <w:hideMark/>
          </w:tcPr>
          <w:p w14:paraId="0B0F95EB"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473,3</w:t>
            </w:r>
          </w:p>
        </w:tc>
        <w:tc>
          <w:tcPr>
            <w:tcW w:w="1145" w:type="dxa"/>
            <w:shd w:val="clear" w:color="auto" w:fill="auto"/>
            <w:noWrap/>
            <w:vAlign w:val="center"/>
            <w:hideMark/>
          </w:tcPr>
          <w:p w14:paraId="6FF71AAE"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244,2</w:t>
            </w:r>
          </w:p>
        </w:tc>
        <w:tc>
          <w:tcPr>
            <w:tcW w:w="1134" w:type="dxa"/>
            <w:shd w:val="clear" w:color="auto" w:fill="auto"/>
            <w:noWrap/>
            <w:vAlign w:val="center"/>
            <w:hideMark/>
          </w:tcPr>
          <w:p w14:paraId="75C77BE5"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229,1</w:t>
            </w:r>
          </w:p>
        </w:tc>
        <w:tc>
          <w:tcPr>
            <w:tcW w:w="1276" w:type="dxa"/>
            <w:shd w:val="clear" w:color="auto" w:fill="auto"/>
            <w:noWrap/>
            <w:vAlign w:val="center"/>
            <w:hideMark/>
          </w:tcPr>
          <w:p w14:paraId="00E8F59C"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127,5</w:t>
            </w:r>
          </w:p>
        </w:tc>
        <w:tc>
          <w:tcPr>
            <w:tcW w:w="1275" w:type="dxa"/>
            <w:shd w:val="clear" w:color="auto" w:fill="auto"/>
            <w:noWrap/>
            <w:vAlign w:val="center"/>
            <w:hideMark/>
          </w:tcPr>
          <w:p w14:paraId="04230711"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42,3</w:t>
            </w:r>
          </w:p>
        </w:tc>
        <w:tc>
          <w:tcPr>
            <w:tcW w:w="1276" w:type="dxa"/>
            <w:shd w:val="clear" w:color="auto" w:fill="auto"/>
            <w:noWrap/>
            <w:vAlign w:val="center"/>
            <w:hideMark/>
          </w:tcPr>
          <w:p w14:paraId="4ED2BCCA"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85,2</w:t>
            </w:r>
          </w:p>
        </w:tc>
      </w:tr>
      <w:tr w:rsidR="001F75E0" w:rsidRPr="00840514" w14:paraId="44978DE9" w14:textId="77777777" w:rsidTr="00840514">
        <w:trPr>
          <w:trHeight w:val="300"/>
          <w:jc w:val="center"/>
        </w:trPr>
        <w:tc>
          <w:tcPr>
            <w:tcW w:w="1769" w:type="dxa"/>
            <w:shd w:val="clear" w:color="auto" w:fill="9CC2E5" w:themeFill="accent1" w:themeFillTint="99"/>
            <w:noWrap/>
            <w:vAlign w:val="center"/>
            <w:hideMark/>
          </w:tcPr>
          <w:p w14:paraId="1F627D68"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 xml:space="preserve">   ponad rok temu</w:t>
            </w:r>
          </w:p>
        </w:tc>
        <w:tc>
          <w:tcPr>
            <w:tcW w:w="1334" w:type="dxa"/>
            <w:shd w:val="clear" w:color="auto" w:fill="auto"/>
            <w:noWrap/>
            <w:vAlign w:val="center"/>
            <w:hideMark/>
          </w:tcPr>
          <w:p w14:paraId="2071B0E9"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717,1</w:t>
            </w:r>
          </w:p>
        </w:tc>
        <w:tc>
          <w:tcPr>
            <w:tcW w:w="1145" w:type="dxa"/>
            <w:shd w:val="clear" w:color="auto" w:fill="auto"/>
            <w:noWrap/>
            <w:vAlign w:val="center"/>
            <w:hideMark/>
          </w:tcPr>
          <w:p w14:paraId="449CA1FA"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333,7</w:t>
            </w:r>
          </w:p>
        </w:tc>
        <w:tc>
          <w:tcPr>
            <w:tcW w:w="1134" w:type="dxa"/>
            <w:shd w:val="clear" w:color="auto" w:fill="auto"/>
            <w:noWrap/>
            <w:vAlign w:val="center"/>
            <w:hideMark/>
          </w:tcPr>
          <w:p w14:paraId="47FECAA9"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383,4</w:t>
            </w:r>
          </w:p>
        </w:tc>
        <w:tc>
          <w:tcPr>
            <w:tcW w:w="1276" w:type="dxa"/>
            <w:shd w:val="clear" w:color="auto" w:fill="auto"/>
            <w:noWrap/>
            <w:vAlign w:val="center"/>
            <w:hideMark/>
          </w:tcPr>
          <w:p w14:paraId="14B1A33E"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260,6</w:t>
            </w:r>
          </w:p>
        </w:tc>
        <w:tc>
          <w:tcPr>
            <w:tcW w:w="1275" w:type="dxa"/>
            <w:shd w:val="clear" w:color="auto" w:fill="auto"/>
            <w:noWrap/>
            <w:vAlign w:val="center"/>
            <w:hideMark/>
          </w:tcPr>
          <w:p w14:paraId="7DD03FEF"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112,3</w:t>
            </w:r>
          </w:p>
        </w:tc>
        <w:tc>
          <w:tcPr>
            <w:tcW w:w="1276" w:type="dxa"/>
            <w:shd w:val="clear" w:color="auto" w:fill="auto"/>
            <w:noWrap/>
            <w:vAlign w:val="center"/>
            <w:hideMark/>
          </w:tcPr>
          <w:p w14:paraId="3931BFCA"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148,3</w:t>
            </w:r>
          </w:p>
        </w:tc>
      </w:tr>
      <w:tr w:rsidR="001F75E0" w:rsidRPr="00840514" w14:paraId="6CA0CABB" w14:textId="77777777" w:rsidTr="00840514">
        <w:trPr>
          <w:trHeight w:val="300"/>
          <w:jc w:val="center"/>
        </w:trPr>
        <w:tc>
          <w:tcPr>
            <w:tcW w:w="1769" w:type="dxa"/>
            <w:shd w:val="clear" w:color="auto" w:fill="9CC2E5" w:themeFill="accent1" w:themeFillTint="99"/>
            <w:noWrap/>
            <w:vAlign w:val="center"/>
            <w:hideMark/>
          </w:tcPr>
          <w:p w14:paraId="052C0235"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Osoby nigdy nie korzystające z Internetu</w:t>
            </w:r>
          </w:p>
        </w:tc>
        <w:tc>
          <w:tcPr>
            <w:tcW w:w="1334" w:type="dxa"/>
            <w:shd w:val="clear" w:color="auto" w:fill="auto"/>
            <w:noWrap/>
            <w:vAlign w:val="center"/>
            <w:hideMark/>
          </w:tcPr>
          <w:p w14:paraId="045D6793"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4 517,3</w:t>
            </w:r>
          </w:p>
        </w:tc>
        <w:tc>
          <w:tcPr>
            <w:tcW w:w="1145" w:type="dxa"/>
            <w:shd w:val="clear" w:color="auto" w:fill="auto"/>
            <w:noWrap/>
            <w:vAlign w:val="center"/>
            <w:hideMark/>
          </w:tcPr>
          <w:p w14:paraId="0E5B2E59"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2 153,4</w:t>
            </w:r>
          </w:p>
        </w:tc>
        <w:tc>
          <w:tcPr>
            <w:tcW w:w="1134" w:type="dxa"/>
            <w:shd w:val="clear" w:color="auto" w:fill="auto"/>
            <w:noWrap/>
            <w:vAlign w:val="center"/>
            <w:hideMark/>
          </w:tcPr>
          <w:p w14:paraId="5B0DCBCC"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2 363,8</w:t>
            </w:r>
          </w:p>
        </w:tc>
        <w:tc>
          <w:tcPr>
            <w:tcW w:w="1276" w:type="dxa"/>
            <w:shd w:val="clear" w:color="auto" w:fill="auto"/>
            <w:noWrap/>
            <w:vAlign w:val="center"/>
            <w:hideMark/>
          </w:tcPr>
          <w:p w14:paraId="3B50252E"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2 122,7</w:t>
            </w:r>
          </w:p>
        </w:tc>
        <w:tc>
          <w:tcPr>
            <w:tcW w:w="1275" w:type="dxa"/>
            <w:shd w:val="clear" w:color="auto" w:fill="auto"/>
            <w:noWrap/>
            <w:vAlign w:val="center"/>
            <w:hideMark/>
          </w:tcPr>
          <w:p w14:paraId="0CAF27E9"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876,9</w:t>
            </w:r>
          </w:p>
        </w:tc>
        <w:tc>
          <w:tcPr>
            <w:tcW w:w="1276" w:type="dxa"/>
            <w:shd w:val="clear" w:color="auto" w:fill="auto"/>
            <w:noWrap/>
            <w:vAlign w:val="center"/>
            <w:hideMark/>
          </w:tcPr>
          <w:p w14:paraId="369AD316"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1 245,8</w:t>
            </w:r>
          </w:p>
        </w:tc>
      </w:tr>
      <w:tr w:rsidR="002C5FB0" w:rsidRPr="00840514" w14:paraId="43860C53" w14:textId="77777777" w:rsidTr="00840514">
        <w:trPr>
          <w:trHeight w:val="300"/>
          <w:jc w:val="center"/>
        </w:trPr>
        <w:tc>
          <w:tcPr>
            <w:tcW w:w="9209" w:type="dxa"/>
            <w:gridSpan w:val="7"/>
            <w:shd w:val="clear" w:color="auto" w:fill="9CC2E5" w:themeFill="accent1" w:themeFillTint="99"/>
            <w:noWrap/>
            <w:vAlign w:val="center"/>
            <w:hideMark/>
          </w:tcPr>
          <w:p w14:paraId="6F8E5CAB"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w odsetkach</w:t>
            </w:r>
          </w:p>
        </w:tc>
      </w:tr>
      <w:tr w:rsidR="001F75E0" w:rsidRPr="00840514" w14:paraId="20A9398D" w14:textId="77777777" w:rsidTr="00840514">
        <w:trPr>
          <w:trHeight w:val="300"/>
          <w:jc w:val="center"/>
        </w:trPr>
        <w:tc>
          <w:tcPr>
            <w:tcW w:w="1769" w:type="dxa"/>
            <w:shd w:val="clear" w:color="auto" w:fill="9CC2E5" w:themeFill="accent1" w:themeFillTint="99"/>
            <w:noWrap/>
            <w:vAlign w:val="center"/>
            <w:hideMark/>
          </w:tcPr>
          <w:p w14:paraId="08939DE7"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Osoby korzystające z Internetu</w:t>
            </w:r>
          </w:p>
        </w:tc>
        <w:tc>
          <w:tcPr>
            <w:tcW w:w="1334" w:type="dxa"/>
            <w:shd w:val="clear" w:color="auto" w:fill="auto"/>
            <w:noWrap/>
            <w:vAlign w:val="center"/>
            <w:hideMark/>
          </w:tcPr>
          <w:p w14:paraId="221D60EA"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84,5</w:t>
            </w:r>
          </w:p>
        </w:tc>
        <w:tc>
          <w:tcPr>
            <w:tcW w:w="1145" w:type="dxa"/>
            <w:shd w:val="clear" w:color="auto" w:fill="auto"/>
            <w:noWrap/>
            <w:vAlign w:val="center"/>
            <w:hideMark/>
          </w:tcPr>
          <w:p w14:paraId="5C1BBB1C"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85,0</w:t>
            </w:r>
          </w:p>
        </w:tc>
        <w:tc>
          <w:tcPr>
            <w:tcW w:w="1134" w:type="dxa"/>
            <w:shd w:val="clear" w:color="auto" w:fill="auto"/>
            <w:noWrap/>
            <w:vAlign w:val="center"/>
            <w:hideMark/>
          </w:tcPr>
          <w:p w14:paraId="2EE613AA"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84,1</w:t>
            </w:r>
          </w:p>
        </w:tc>
        <w:tc>
          <w:tcPr>
            <w:tcW w:w="1276" w:type="dxa"/>
            <w:shd w:val="clear" w:color="auto" w:fill="auto"/>
            <w:noWrap/>
            <w:vAlign w:val="center"/>
            <w:hideMark/>
          </w:tcPr>
          <w:p w14:paraId="4B8D2937"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46,8</w:t>
            </w:r>
          </w:p>
        </w:tc>
        <w:tc>
          <w:tcPr>
            <w:tcW w:w="1275" w:type="dxa"/>
            <w:shd w:val="clear" w:color="auto" w:fill="auto"/>
            <w:noWrap/>
            <w:vAlign w:val="center"/>
            <w:hideMark/>
          </w:tcPr>
          <w:p w14:paraId="0172EF43"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49,6</w:t>
            </w:r>
          </w:p>
        </w:tc>
        <w:tc>
          <w:tcPr>
            <w:tcW w:w="1276" w:type="dxa"/>
            <w:shd w:val="clear" w:color="auto" w:fill="auto"/>
            <w:noWrap/>
            <w:vAlign w:val="center"/>
            <w:hideMark/>
          </w:tcPr>
          <w:p w14:paraId="31518D5F"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44,6</w:t>
            </w:r>
          </w:p>
        </w:tc>
      </w:tr>
      <w:tr w:rsidR="001F75E0" w:rsidRPr="00840514" w14:paraId="1E6A6C74" w14:textId="77777777" w:rsidTr="00840514">
        <w:trPr>
          <w:trHeight w:val="300"/>
          <w:jc w:val="center"/>
        </w:trPr>
        <w:tc>
          <w:tcPr>
            <w:tcW w:w="1769" w:type="dxa"/>
            <w:shd w:val="clear" w:color="auto" w:fill="9CC2E5" w:themeFill="accent1" w:themeFillTint="99"/>
            <w:noWrap/>
            <w:vAlign w:val="center"/>
            <w:hideMark/>
          </w:tcPr>
          <w:p w14:paraId="17119281"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 xml:space="preserve">   w ciągu ostatnich 3 miesięcy</w:t>
            </w:r>
          </w:p>
        </w:tc>
        <w:tc>
          <w:tcPr>
            <w:tcW w:w="1334" w:type="dxa"/>
            <w:shd w:val="clear" w:color="auto" w:fill="auto"/>
            <w:noWrap/>
            <w:vAlign w:val="center"/>
            <w:hideMark/>
          </w:tcPr>
          <w:p w14:paraId="182E2A82"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80,4</w:t>
            </w:r>
          </w:p>
        </w:tc>
        <w:tc>
          <w:tcPr>
            <w:tcW w:w="1145" w:type="dxa"/>
            <w:shd w:val="clear" w:color="auto" w:fill="auto"/>
            <w:noWrap/>
            <w:vAlign w:val="center"/>
            <w:hideMark/>
          </w:tcPr>
          <w:p w14:paraId="3E216B92"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80,9</w:t>
            </w:r>
          </w:p>
        </w:tc>
        <w:tc>
          <w:tcPr>
            <w:tcW w:w="1134" w:type="dxa"/>
            <w:shd w:val="clear" w:color="auto" w:fill="auto"/>
            <w:noWrap/>
            <w:vAlign w:val="center"/>
            <w:hideMark/>
          </w:tcPr>
          <w:p w14:paraId="232893EC"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80,0</w:t>
            </w:r>
          </w:p>
        </w:tc>
        <w:tc>
          <w:tcPr>
            <w:tcW w:w="1276" w:type="dxa"/>
            <w:shd w:val="clear" w:color="auto" w:fill="auto"/>
            <w:noWrap/>
            <w:vAlign w:val="center"/>
            <w:hideMark/>
          </w:tcPr>
          <w:p w14:paraId="66BF98A7"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37,0</w:t>
            </w:r>
          </w:p>
        </w:tc>
        <w:tc>
          <w:tcPr>
            <w:tcW w:w="1275" w:type="dxa"/>
            <w:shd w:val="clear" w:color="auto" w:fill="auto"/>
            <w:noWrap/>
            <w:vAlign w:val="center"/>
            <w:hideMark/>
          </w:tcPr>
          <w:p w14:paraId="5F50294A"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40,7</w:t>
            </w:r>
          </w:p>
        </w:tc>
        <w:tc>
          <w:tcPr>
            <w:tcW w:w="1276" w:type="dxa"/>
            <w:shd w:val="clear" w:color="auto" w:fill="auto"/>
            <w:noWrap/>
            <w:vAlign w:val="center"/>
            <w:hideMark/>
          </w:tcPr>
          <w:p w14:paraId="214CE7EE"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34,2</w:t>
            </w:r>
          </w:p>
        </w:tc>
      </w:tr>
      <w:tr w:rsidR="001F75E0" w:rsidRPr="00840514" w14:paraId="16320A17" w14:textId="77777777" w:rsidTr="00840514">
        <w:trPr>
          <w:trHeight w:val="300"/>
          <w:jc w:val="center"/>
        </w:trPr>
        <w:tc>
          <w:tcPr>
            <w:tcW w:w="1769" w:type="dxa"/>
            <w:shd w:val="clear" w:color="auto" w:fill="9CC2E5" w:themeFill="accent1" w:themeFillTint="99"/>
            <w:noWrap/>
            <w:vAlign w:val="center"/>
            <w:hideMark/>
          </w:tcPr>
          <w:p w14:paraId="73CF738E"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 xml:space="preserve">   od 3 miesięcy do 12 miesięcy temu</w:t>
            </w:r>
          </w:p>
        </w:tc>
        <w:tc>
          <w:tcPr>
            <w:tcW w:w="1334" w:type="dxa"/>
            <w:shd w:val="clear" w:color="auto" w:fill="auto"/>
            <w:noWrap/>
            <w:vAlign w:val="center"/>
            <w:hideMark/>
          </w:tcPr>
          <w:p w14:paraId="7891117C"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1,6</w:t>
            </w:r>
          </w:p>
        </w:tc>
        <w:tc>
          <w:tcPr>
            <w:tcW w:w="1145" w:type="dxa"/>
            <w:shd w:val="clear" w:color="auto" w:fill="auto"/>
            <w:noWrap/>
            <w:vAlign w:val="center"/>
            <w:hideMark/>
          </w:tcPr>
          <w:p w14:paraId="7058A879"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1,7</w:t>
            </w:r>
          </w:p>
        </w:tc>
        <w:tc>
          <w:tcPr>
            <w:tcW w:w="1134" w:type="dxa"/>
            <w:shd w:val="clear" w:color="auto" w:fill="auto"/>
            <w:noWrap/>
            <w:vAlign w:val="center"/>
            <w:hideMark/>
          </w:tcPr>
          <w:p w14:paraId="14440F7D"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1,5</w:t>
            </w:r>
          </w:p>
        </w:tc>
        <w:tc>
          <w:tcPr>
            <w:tcW w:w="1276" w:type="dxa"/>
            <w:shd w:val="clear" w:color="auto" w:fill="auto"/>
            <w:noWrap/>
            <w:vAlign w:val="center"/>
            <w:hideMark/>
          </w:tcPr>
          <w:p w14:paraId="1212E6AF"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3,2</w:t>
            </w:r>
          </w:p>
        </w:tc>
        <w:tc>
          <w:tcPr>
            <w:tcW w:w="1275" w:type="dxa"/>
            <w:shd w:val="clear" w:color="auto" w:fill="auto"/>
            <w:noWrap/>
            <w:vAlign w:val="center"/>
            <w:hideMark/>
          </w:tcPr>
          <w:p w14:paraId="7A288ADB"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2,4</w:t>
            </w:r>
          </w:p>
        </w:tc>
        <w:tc>
          <w:tcPr>
            <w:tcW w:w="1276" w:type="dxa"/>
            <w:shd w:val="clear" w:color="auto" w:fill="auto"/>
            <w:noWrap/>
            <w:vAlign w:val="center"/>
            <w:hideMark/>
          </w:tcPr>
          <w:p w14:paraId="0063F81C"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3,8</w:t>
            </w:r>
          </w:p>
        </w:tc>
      </w:tr>
      <w:tr w:rsidR="001F75E0" w:rsidRPr="00840514" w14:paraId="18E85F98" w14:textId="77777777" w:rsidTr="00840514">
        <w:trPr>
          <w:trHeight w:val="300"/>
          <w:jc w:val="center"/>
        </w:trPr>
        <w:tc>
          <w:tcPr>
            <w:tcW w:w="1769" w:type="dxa"/>
            <w:shd w:val="clear" w:color="auto" w:fill="9CC2E5" w:themeFill="accent1" w:themeFillTint="99"/>
            <w:noWrap/>
            <w:vAlign w:val="center"/>
            <w:hideMark/>
          </w:tcPr>
          <w:p w14:paraId="18B9C583"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lastRenderedPageBreak/>
              <w:t xml:space="preserve">   ponad rok temu</w:t>
            </w:r>
          </w:p>
        </w:tc>
        <w:tc>
          <w:tcPr>
            <w:tcW w:w="1334" w:type="dxa"/>
            <w:shd w:val="clear" w:color="auto" w:fill="auto"/>
            <w:noWrap/>
            <w:vAlign w:val="center"/>
            <w:hideMark/>
          </w:tcPr>
          <w:p w14:paraId="29DAFA6E"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2,5</w:t>
            </w:r>
          </w:p>
        </w:tc>
        <w:tc>
          <w:tcPr>
            <w:tcW w:w="1145" w:type="dxa"/>
            <w:shd w:val="clear" w:color="auto" w:fill="auto"/>
            <w:noWrap/>
            <w:vAlign w:val="center"/>
            <w:hideMark/>
          </w:tcPr>
          <w:p w14:paraId="50C610B4"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2,3</w:t>
            </w:r>
          </w:p>
        </w:tc>
        <w:tc>
          <w:tcPr>
            <w:tcW w:w="1134" w:type="dxa"/>
            <w:shd w:val="clear" w:color="auto" w:fill="auto"/>
            <w:noWrap/>
            <w:vAlign w:val="center"/>
            <w:hideMark/>
          </w:tcPr>
          <w:p w14:paraId="597BA507"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2,6</w:t>
            </w:r>
          </w:p>
        </w:tc>
        <w:tc>
          <w:tcPr>
            <w:tcW w:w="1276" w:type="dxa"/>
            <w:shd w:val="clear" w:color="auto" w:fill="auto"/>
            <w:noWrap/>
            <w:vAlign w:val="center"/>
            <w:hideMark/>
          </w:tcPr>
          <w:p w14:paraId="7776DD00"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6,5</w:t>
            </w:r>
          </w:p>
        </w:tc>
        <w:tc>
          <w:tcPr>
            <w:tcW w:w="1275" w:type="dxa"/>
            <w:shd w:val="clear" w:color="auto" w:fill="auto"/>
            <w:noWrap/>
            <w:vAlign w:val="center"/>
            <w:hideMark/>
          </w:tcPr>
          <w:p w14:paraId="26093293"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6,5</w:t>
            </w:r>
          </w:p>
        </w:tc>
        <w:tc>
          <w:tcPr>
            <w:tcW w:w="1276" w:type="dxa"/>
            <w:shd w:val="clear" w:color="auto" w:fill="auto"/>
            <w:noWrap/>
            <w:vAlign w:val="center"/>
            <w:hideMark/>
          </w:tcPr>
          <w:p w14:paraId="49E608B2"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6,6</w:t>
            </w:r>
          </w:p>
        </w:tc>
      </w:tr>
      <w:tr w:rsidR="001F75E0" w:rsidRPr="00840514" w14:paraId="3D5DE3D4" w14:textId="77777777" w:rsidTr="00840514">
        <w:trPr>
          <w:trHeight w:val="300"/>
          <w:jc w:val="center"/>
        </w:trPr>
        <w:tc>
          <w:tcPr>
            <w:tcW w:w="1769" w:type="dxa"/>
            <w:shd w:val="clear" w:color="auto" w:fill="9CC2E5" w:themeFill="accent1" w:themeFillTint="99"/>
            <w:noWrap/>
            <w:vAlign w:val="center"/>
            <w:hideMark/>
          </w:tcPr>
          <w:p w14:paraId="25A81646" w14:textId="77777777" w:rsidR="002C5FB0" w:rsidRPr="00840514" w:rsidRDefault="002C5FB0" w:rsidP="00840514">
            <w:pPr>
              <w:spacing w:after="0" w:line="240" w:lineRule="auto"/>
              <w:rPr>
                <w:rFonts w:ascii="Times New Roman" w:eastAsia="Times New Roman" w:hAnsi="Times New Roman" w:cs="Times New Roman"/>
                <w:b/>
                <w:sz w:val="20"/>
                <w:szCs w:val="20"/>
                <w:lang w:eastAsia="pl-PL"/>
              </w:rPr>
            </w:pPr>
            <w:r w:rsidRPr="00840514">
              <w:rPr>
                <w:rFonts w:ascii="Times New Roman" w:eastAsia="Times New Roman" w:hAnsi="Times New Roman" w:cs="Times New Roman"/>
                <w:b/>
                <w:sz w:val="20"/>
                <w:szCs w:val="20"/>
                <w:lang w:eastAsia="pl-PL"/>
              </w:rPr>
              <w:t>Osoby nigdy nie korzystające z Internetu</w:t>
            </w:r>
          </w:p>
        </w:tc>
        <w:tc>
          <w:tcPr>
            <w:tcW w:w="1334" w:type="dxa"/>
            <w:shd w:val="clear" w:color="auto" w:fill="auto"/>
            <w:noWrap/>
            <w:vAlign w:val="center"/>
            <w:hideMark/>
          </w:tcPr>
          <w:p w14:paraId="3C6B3CEB"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15,5</w:t>
            </w:r>
          </w:p>
        </w:tc>
        <w:tc>
          <w:tcPr>
            <w:tcW w:w="1145" w:type="dxa"/>
            <w:shd w:val="clear" w:color="auto" w:fill="auto"/>
            <w:noWrap/>
            <w:vAlign w:val="center"/>
            <w:hideMark/>
          </w:tcPr>
          <w:p w14:paraId="790CD3C4"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15,0</w:t>
            </w:r>
          </w:p>
        </w:tc>
        <w:tc>
          <w:tcPr>
            <w:tcW w:w="1134" w:type="dxa"/>
            <w:shd w:val="clear" w:color="auto" w:fill="auto"/>
            <w:noWrap/>
            <w:vAlign w:val="center"/>
            <w:hideMark/>
          </w:tcPr>
          <w:p w14:paraId="7C250295"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15,9</w:t>
            </w:r>
          </w:p>
        </w:tc>
        <w:tc>
          <w:tcPr>
            <w:tcW w:w="1276" w:type="dxa"/>
            <w:shd w:val="clear" w:color="auto" w:fill="auto"/>
            <w:noWrap/>
            <w:vAlign w:val="center"/>
            <w:hideMark/>
          </w:tcPr>
          <w:p w14:paraId="32E0FC0D"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53,2</w:t>
            </w:r>
          </w:p>
        </w:tc>
        <w:tc>
          <w:tcPr>
            <w:tcW w:w="1275" w:type="dxa"/>
            <w:shd w:val="clear" w:color="auto" w:fill="auto"/>
            <w:noWrap/>
            <w:vAlign w:val="center"/>
            <w:hideMark/>
          </w:tcPr>
          <w:p w14:paraId="7C32442E"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50,4</w:t>
            </w:r>
          </w:p>
        </w:tc>
        <w:tc>
          <w:tcPr>
            <w:tcW w:w="1276" w:type="dxa"/>
            <w:shd w:val="clear" w:color="auto" w:fill="auto"/>
            <w:noWrap/>
            <w:vAlign w:val="center"/>
            <w:hideMark/>
          </w:tcPr>
          <w:p w14:paraId="2F6E812A" w14:textId="77777777" w:rsidR="002C5FB0" w:rsidRPr="00840514" w:rsidRDefault="002C5FB0" w:rsidP="00840514">
            <w:pPr>
              <w:spacing w:after="0" w:line="240" w:lineRule="auto"/>
              <w:jc w:val="center"/>
              <w:rPr>
                <w:rFonts w:ascii="Times New Roman" w:eastAsia="Times New Roman" w:hAnsi="Times New Roman" w:cs="Times New Roman"/>
                <w:sz w:val="20"/>
                <w:szCs w:val="20"/>
                <w:lang w:eastAsia="pl-PL"/>
              </w:rPr>
            </w:pPr>
            <w:r w:rsidRPr="00840514">
              <w:rPr>
                <w:rFonts w:ascii="Times New Roman" w:eastAsia="Times New Roman" w:hAnsi="Times New Roman" w:cs="Times New Roman"/>
                <w:sz w:val="20"/>
                <w:szCs w:val="20"/>
                <w:lang w:eastAsia="pl-PL"/>
              </w:rPr>
              <w:t>55,4</w:t>
            </w:r>
          </w:p>
        </w:tc>
      </w:tr>
    </w:tbl>
    <w:p w14:paraId="55F9FF00" w14:textId="77777777" w:rsidR="002C5FB0" w:rsidRDefault="001F75E0" w:rsidP="001818BF">
      <w:pPr>
        <w:jc w:val="both"/>
        <w:rPr>
          <w:rFonts w:ascii="Times New Roman" w:hAnsi="Times New Roman" w:cs="Times New Roman"/>
          <w:b/>
        </w:rPr>
      </w:pPr>
      <w:r w:rsidRPr="001818BF">
        <w:rPr>
          <w:rFonts w:ascii="Times New Roman" w:hAnsi="Times New Roman" w:cs="Times New Roman"/>
          <w:b/>
        </w:rPr>
        <w:t>Źródło: Badanie "Wykorzystanie technologii informacyjno-komunikacyjnych w gospodarstwach domowych", GUS</w:t>
      </w:r>
    </w:p>
    <w:p w14:paraId="72B88BAC" w14:textId="77777777" w:rsidR="00C24027" w:rsidRDefault="00C24027" w:rsidP="00C24027">
      <w:pPr>
        <w:spacing w:after="0" w:line="259" w:lineRule="auto"/>
        <w:jc w:val="both"/>
        <w:rPr>
          <w:rFonts w:ascii="Times New Roman" w:hAnsi="Times New Roman" w:cs="Times New Roman"/>
          <w:sz w:val="24"/>
          <w:szCs w:val="24"/>
        </w:rPr>
      </w:pPr>
      <w:r w:rsidRPr="000E4311">
        <w:rPr>
          <w:rFonts w:ascii="Times New Roman" w:hAnsi="Times New Roman" w:cs="Times New Roman"/>
          <w:sz w:val="24"/>
          <w:szCs w:val="24"/>
        </w:rPr>
        <w:t>Najbardziej aktualne dane wskazują, że osoby w wieku 60 lub więcej lat stosunkowo rzadko uczestniczyły w zajęciach sportowych lub rekreacji ruchowej – jedynie co czwarta osoba (25,1%) wśród ogółu tej grupy wiekowej podjęła takie uczestnictwo</w:t>
      </w:r>
      <w:r>
        <w:rPr>
          <w:rStyle w:val="Odwoanieprzypisudolnego"/>
          <w:rFonts w:ascii="Times New Roman" w:hAnsi="Times New Roman"/>
          <w:sz w:val="24"/>
          <w:szCs w:val="24"/>
        </w:rPr>
        <w:footnoteReference w:id="24"/>
      </w:r>
      <w:r w:rsidRPr="000E4311">
        <w:rPr>
          <w:rFonts w:ascii="Times New Roman" w:hAnsi="Times New Roman" w:cs="Times New Roman"/>
          <w:sz w:val="24"/>
          <w:szCs w:val="24"/>
        </w:rPr>
        <w:t>. Deklaracja o uczestnictwie regularnym, częstym</w:t>
      </w:r>
      <w:r>
        <w:rPr>
          <w:rFonts w:ascii="Times New Roman" w:hAnsi="Times New Roman" w:cs="Times New Roman"/>
          <w:sz w:val="24"/>
          <w:szCs w:val="24"/>
        </w:rPr>
        <w:t xml:space="preserve"> dotyczyła 10,6% osób starszych. Mężczyźni w </w:t>
      </w:r>
      <w:r w:rsidRPr="000E4311">
        <w:rPr>
          <w:rFonts w:ascii="Times New Roman" w:hAnsi="Times New Roman" w:cs="Times New Roman"/>
          <w:sz w:val="24"/>
          <w:szCs w:val="24"/>
        </w:rPr>
        <w:t>tej grupie wiekowej byli nieco bardziej aktywni sportowo-rekreacyj</w:t>
      </w:r>
      <w:bookmarkStart w:id="52" w:name="_Toc461191220"/>
      <w:r>
        <w:rPr>
          <w:rFonts w:ascii="Times New Roman" w:hAnsi="Times New Roman" w:cs="Times New Roman"/>
          <w:sz w:val="24"/>
          <w:szCs w:val="24"/>
        </w:rPr>
        <w:t>nie niż kobiety.</w:t>
      </w:r>
      <w:bookmarkEnd w:id="52"/>
    </w:p>
    <w:p w14:paraId="2CD33C2C" w14:textId="77777777" w:rsidR="00C24027" w:rsidRPr="00C24027" w:rsidRDefault="00C24027" w:rsidP="00C24027">
      <w:pPr>
        <w:spacing w:after="0" w:line="259" w:lineRule="auto"/>
        <w:jc w:val="both"/>
        <w:rPr>
          <w:rFonts w:ascii="Times New Roman" w:hAnsi="Times New Roman" w:cs="Times New Roman"/>
          <w:sz w:val="24"/>
          <w:szCs w:val="24"/>
        </w:rPr>
      </w:pPr>
    </w:p>
    <w:p w14:paraId="3EB83309" w14:textId="749AE982" w:rsidR="001818BF" w:rsidRPr="001818BF" w:rsidRDefault="001818BF" w:rsidP="001818BF">
      <w:pPr>
        <w:pStyle w:val="Legenda"/>
        <w:keepNext/>
        <w:jc w:val="both"/>
        <w:rPr>
          <w:rFonts w:ascii="Times New Roman" w:hAnsi="Times New Roman" w:cs="Times New Roman"/>
          <w:b/>
          <w:i w:val="0"/>
          <w:sz w:val="24"/>
        </w:rPr>
      </w:pPr>
      <w:bookmarkStart w:id="53" w:name="_Toc49171415"/>
      <w:r w:rsidRPr="001818BF">
        <w:rPr>
          <w:rFonts w:ascii="Times New Roman" w:hAnsi="Times New Roman" w:cs="Times New Roman"/>
          <w:b/>
          <w:i w:val="0"/>
          <w:sz w:val="24"/>
        </w:rPr>
        <w:t xml:space="preserve">Tabela </w:t>
      </w:r>
      <w:r w:rsidRPr="001818BF">
        <w:rPr>
          <w:rFonts w:ascii="Times New Roman" w:hAnsi="Times New Roman" w:cs="Times New Roman"/>
          <w:b/>
          <w:i w:val="0"/>
          <w:sz w:val="24"/>
        </w:rPr>
        <w:fldChar w:fldCharType="begin"/>
      </w:r>
      <w:r w:rsidRPr="001818BF">
        <w:rPr>
          <w:rFonts w:ascii="Times New Roman" w:hAnsi="Times New Roman" w:cs="Times New Roman"/>
          <w:b/>
          <w:i w:val="0"/>
          <w:sz w:val="24"/>
        </w:rPr>
        <w:instrText xml:space="preserve"> SEQ Tabela \* ARABIC </w:instrText>
      </w:r>
      <w:r w:rsidRPr="001818BF">
        <w:rPr>
          <w:rFonts w:ascii="Times New Roman" w:hAnsi="Times New Roman" w:cs="Times New Roman"/>
          <w:b/>
          <w:i w:val="0"/>
          <w:sz w:val="24"/>
        </w:rPr>
        <w:fldChar w:fldCharType="separate"/>
      </w:r>
      <w:r w:rsidR="00C154C9">
        <w:rPr>
          <w:rFonts w:ascii="Times New Roman" w:hAnsi="Times New Roman" w:cs="Times New Roman"/>
          <w:b/>
          <w:i w:val="0"/>
          <w:noProof/>
          <w:sz w:val="24"/>
        </w:rPr>
        <w:t>40</w:t>
      </w:r>
      <w:r w:rsidRPr="001818BF">
        <w:rPr>
          <w:rFonts w:ascii="Times New Roman" w:hAnsi="Times New Roman" w:cs="Times New Roman"/>
          <w:b/>
          <w:i w:val="0"/>
          <w:sz w:val="24"/>
        </w:rPr>
        <w:fldChar w:fldCharType="end"/>
      </w:r>
      <w:r w:rsidRPr="001818BF">
        <w:rPr>
          <w:rFonts w:ascii="Times New Roman" w:hAnsi="Times New Roman" w:cs="Times New Roman"/>
          <w:b/>
          <w:i w:val="0"/>
          <w:sz w:val="24"/>
        </w:rPr>
        <w:t xml:space="preserve"> Uczestnictwo członków gospodarstw domowych w zajęciach sportowych lub rekreacji ruchowej w 2016 r.</w:t>
      </w:r>
      <w:bookmarkEnd w:id="53"/>
    </w:p>
    <w:tbl>
      <w:tblPr>
        <w:tblW w:w="9073"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1937"/>
        <w:gridCol w:w="1040"/>
        <w:gridCol w:w="1305"/>
        <w:gridCol w:w="1276"/>
        <w:gridCol w:w="1263"/>
        <w:gridCol w:w="1134"/>
        <w:gridCol w:w="1118"/>
      </w:tblGrid>
      <w:tr w:rsidR="00D33544" w:rsidRPr="00FE563F" w14:paraId="270587D3" w14:textId="77777777" w:rsidTr="00840514">
        <w:trPr>
          <w:trHeight w:val="20"/>
          <w:jc w:val="center"/>
        </w:trPr>
        <w:tc>
          <w:tcPr>
            <w:tcW w:w="1937" w:type="dxa"/>
            <w:vMerge w:val="restart"/>
            <w:shd w:val="clear" w:color="auto" w:fill="9CC2E5" w:themeFill="accent1" w:themeFillTint="99"/>
            <w:vAlign w:val="center"/>
            <w:hideMark/>
          </w:tcPr>
          <w:p w14:paraId="3B8AABF3"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Wyszczególnienie</w:t>
            </w:r>
          </w:p>
        </w:tc>
        <w:tc>
          <w:tcPr>
            <w:tcW w:w="2345" w:type="dxa"/>
            <w:gridSpan w:val="2"/>
            <w:vMerge w:val="restart"/>
            <w:shd w:val="clear" w:color="auto" w:fill="9CC2E5" w:themeFill="accent1" w:themeFillTint="99"/>
            <w:vAlign w:val="center"/>
            <w:hideMark/>
          </w:tcPr>
          <w:p w14:paraId="51F34E49"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Ogółem</w:t>
            </w:r>
          </w:p>
        </w:tc>
        <w:tc>
          <w:tcPr>
            <w:tcW w:w="4791" w:type="dxa"/>
            <w:gridSpan w:val="4"/>
            <w:shd w:val="clear" w:color="auto" w:fill="9CC2E5" w:themeFill="accent1" w:themeFillTint="99"/>
            <w:noWrap/>
            <w:vAlign w:val="center"/>
            <w:hideMark/>
          </w:tcPr>
          <w:p w14:paraId="7E0F2B85"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Z liczby ogółem</w:t>
            </w:r>
          </w:p>
        </w:tc>
      </w:tr>
      <w:tr w:rsidR="00D33544" w:rsidRPr="00FE563F" w14:paraId="0F189F9E" w14:textId="77777777" w:rsidTr="00840514">
        <w:trPr>
          <w:trHeight w:val="20"/>
          <w:jc w:val="center"/>
        </w:trPr>
        <w:tc>
          <w:tcPr>
            <w:tcW w:w="1937" w:type="dxa"/>
            <w:vMerge/>
            <w:shd w:val="clear" w:color="auto" w:fill="9CC2E5" w:themeFill="accent1" w:themeFillTint="99"/>
            <w:vAlign w:val="center"/>
            <w:hideMark/>
          </w:tcPr>
          <w:p w14:paraId="1A3882E5"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p>
        </w:tc>
        <w:tc>
          <w:tcPr>
            <w:tcW w:w="2345" w:type="dxa"/>
            <w:gridSpan w:val="2"/>
            <w:vMerge/>
            <w:shd w:val="clear" w:color="auto" w:fill="9CC2E5" w:themeFill="accent1" w:themeFillTint="99"/>
            <w:vAlign w:val="center"/>
            <w:hideMark/>
          </w:tcPr>
          <w:p w14:paraId="05024B7C"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p>
        </w:tc>
        <w:tc>
          <w:tcPr>
            <w:tcW w:w="2539" w:type="dxa"/>
            <w:gridSpan w:val="2"/>
            <w:shd w:val="clear" w:color="auto" w:fill="9CC2E5" w:themeFill="accent1" w:themeFillTint="99"/>
            <w:vAlign w:val="center"/>
            <w:hideMark/>
          </w:tcPr>
          <w:p w14:paraId="441681AE"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Mężczyźni</w:t>
            </w:r>
          </w:p>
        </w:tc>
        <w:tc>
          <w:tcPr>
            <w:tcW w:w="2252" w:type="dxa"/>
            <w:gridSpan w:val="2"/>
            <w:shd w:val="clear" w:color="auto" w:fill="9CC2E5" w:themeFill="accent1" w:themeFillTint="99"/>
            <w:vAlign w:val="center"/>
            <w:hideMark/>
          </w:tcPr>
          <w:p w14:paraId="2E79BB71"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Kobiety</w:t>
            </w:r>
          </w:p>
        </w:tc>
      </w:tr>
      <w:tr w:rsidR="00D33544" w:rsidRPr="00FE563F" w14:paraId="7C6FF451" w14:textId="77777777" w:rsidTr="00840514">
        <w:trPr>
          <w:trHeight w:val="20"/>
          <w:jc w:val="center"/>
        </w:trPr>
        <w:tc>
          <w:tcPr>
            <w:tcW w:w="1937" w:type="dxa"/>
            <w:vMerge/>
            <w:shd w:val="clear" w:color="auto" w:fill="9CC2E5" w:themeFill="accent1" w:themeFillTint="99"/>
            <w:vAlign w:val="center"/>
            <w:hideMark/>
          </w:tcPr>
          <w:p w14:paraId="3EB02167"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p>
        </w:tc>
        <w:tc>
          <w:tcPr>
            <w:tcW w:w="1040" w:type="dxa"/>
            <w:shd w:val="clear" w:color="auto" w:fill="9CC2E5" w:themeFill="accent1" w:themeFillTint="99"/>
            <w:noWrap/>
            <w:vAlign w:val="center"/>
            <w:hideMark/>
          </w:tcPr>
          <w:p w14:paraId="05FE3E52"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razem</w:t>
            </w:r>
          </w:p>
        </w:tc>
        <w:tc>
          <w:tcPr>
            <w:tcW w:w="1305" w:type="dxa"/>
            <w:shd w:val="clear" w:color="auto" w:fill="9CC2E5" w:themeFill="accent1" w:themeFillTint="99"/>
            <w:vAlign w:val="center"/>
            <w:hideMark/>
          </w:tcPr>
          <w:p w14:paraId="05A9715C"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w tym regularnie / często</w:t>
            </w:r>
          </w:p>
        </w:tc>
        <w:tc>
          <w:tcPr>
            <w:tcW w:w="1276" w:type="dxa"/>
            <w:shd w:val="clear" w:color="auto" w:fill="9CC2E5" w:themeFill="accent1" w:themeFillTint="99"/>
            <w:noWrap/>
            <w:vAlign w:val="center"/>
            <w:hideMark/>
          </w:tcPr>
          <w:p w14:paraId="506E9848"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razem</w:t>
            </w:r>
          </w:p>
        </w:tc>
        <w:tc>
          <w:tcPr>
            <w:tcW w:w="1263" w:type="dxa"/>
            <w:shd w:val="clear" w:color="auto" w:fill="9CC2E5" w:themeFill="accent1" w:themeFillTint="99"/>
            <w:vAlign w:val="center"/>
            <w:hideMark/>
          </w:tcPr>
          <w:p w14:paraId="3DD4F565"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w tym regularnie / często</w:t>
            </w:r>
          </w:p>
        </w:tc>
        <w:tc>
          <w:tcPr>
            <w:tcW w:w="1134" w:type="dxa"/>
            <w:shd w:val="clear" w:color="auto" w:fill="9CC2E5" w:themeFill="accent1" w:themeFillTint="99"/>
            <w:noWrap/>
            <w:vAlign w:val="center"/>
            <w:hideMark/>
          </w:tcPr>
          <w:p w14:paraId="2DD70B78"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razem</w:t>
            </w:r>
          </w:p>
        </w:tc>
        <w:tc>
          <w:tcPr>
            <w:tcW w:w="1118" w:type="dxa"/>
            <w:shd w:val="clear" w:color="auto" w:fill="9CC2E5" w:themeFill="accent1" w:themeFillTint="99"/>
            <w:vAlign w:val="center"/>
            <w:hideMark/>
          </w:tcPr>
          <w:p w14:paraId="2DDFC406"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w tym regularnie / często</w:t>
            </w:r>
          </w:p>
        </w:tc>
      </w:tr>
      <w:tr w:rsidR="00D33544" w:rsidRPr="00FE563F" w14:paraId="2456E854" w14:textId="77777777" w:rsidTr="00840514">
        <w:trPr>
          <w:trHeight w:val="20"/>
          <w:jc w:val="center"/>
        </w:trPr>
        <w:tc>
          <w:tcPr>
            <w:tcW w:w="1937" w:type="dxa"/>
            <w:vMerge/>
            <w:shd w:val="clear" w:color="auto" w:fill="9CC2E5" w:themeFill="accent1" w:themeFillTint="99"/>
            <w:vAlign w:val="center"/>
            <w:hideMark/>
          </w:tcPr>
          <w:p w14:paraId="6DFCB4F8"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p>
        </w:tc>
        <w:tc>
          <w:tcPr>
            <w:tcW w:w="7136" w:type="dxa"/>
            <w:gridSpan w:val="6"/>
            <w:shd w:val="clear" w:color="auto" w:fill="9CC2E5" w:themeFill="accent1" w:themeFillTint="99"/>
            <w:noWrap/>
            <w:vAlign w:val="center"/>
            <w:hideMark/>
          </w:tcPr>
          <w:p w14:paraId="12B77D84"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w odsetkach ogółu danej grupy</w:t>
            </w:r>
          </w:p>
        </w:tc>
      </w:tr>
      <w:tr w:rsidR="00D33544" w:rsidRPr="00FE563F" w14:paraId="4889EB17" w14:textId="77777777" w:rsidTr="00840514">
        <w:trPr>
          <w:trHeight w:val="20"/>
          <w:jc w:val="center"/>
        </w:trPr>
        <w:tc>
          <w:tcPr>
            <w:tcW w:w="1937" w:type="dxa"/>
            <w:shd w:val="clear" w:color="auto" w:fill="9CC2E5" w:themeFill="accent1" w:themeFillTint="99"/>
            <w:vAlign w:val="center"/>
            <w:hideMark/>
          </w:tcPr>
          <w:p w14:paraId="351B9AE9"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średnia dla kraju - ogółem</w:t>
            </w:r>
          </w:p>
        </w:tc>
        <w:tc>
          <w:tcPr>
            <w:tcW w:w="1040" w:type="dxa"/>
            <w:shd w:val="clear" w:color="auto" w:fill="auto"/>
            <w:vAlign w:val="center"/>
            <w:hideMark/>
          </w:tcPr>
          <w:p w14:paraId="7F129F8D"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46,4</w:t>
            </w:r>
          </w:p>
        </w:tc>
        <w:tc>
          <w:tcPr>
            <w:tcW w:w="1305" w:type="dxa"/>
            <w:shd w:val="clear" w:color="auto" w:fill="auto"/>
            <w:vAlign w:val="center"/>
            <w:hideMark/>
          </w:tcPr>
          <w:p w14:paraId="087FEC4C"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21,7</w:t>
            </w:r>
          </w:p>
        </w:tc>
        <w:tc>
          <w:tcPr>
            <w:tcW w:w="1276" w:type="dxa"/>
            <w:shd w:val="clear" w:color="auto" w:fill="auto"/>
            <w:vAlign w:val="center"/>
            <w:hideMark/>
          </w:tcPr>
          <w:p w14:paraId="2E98CDB1"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48,4</w:t>
            </w:r>
          </w:p>
        </w:tc>
        <w:tc>
          <w:tcPr>
            <w:tcW w:w="1263" w:type="dxa"/>
            <w:shd w:val="clear" w:color="auto" w:fill="auto"/>
            <w:vAlign w:val="center"/>
            <w:hideMark/>
          </w:tcPr>
          <w:p w14:paraId="3717CDFA"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22,8</w:t>
            </w:r>
          </w:p>
        </w:tc>
        <w:tc>
          <w:tcPr>
            <w:tcW w:w="1134" w:type="dxa"/>
            <w:shd w:val="clear" w:color="auto" w:fill="auto"/>
            <w:vAlign w:val="center"/>
            <w:hideMark/>
          </w:tcPr>
          <w:p w14:paraId="2745BF05"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44,6</w:t>
            </w:r>
          </w:p>
        </w:tc>
        <w:tc>
          <w:tcPr>
            <w:tcW w:w="1118" w:type="dxa"/>
            <w:shd w:val="clear" w:color="auto" w:fill="auto"/>
            <w:vAlign w:val="center"/>
            <w:hideMark/>
          </w:tcPr>
          <w:p w14:paraId="39BDFC6E"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20,6</w:t>
            </w:r>
          </w:p>
        </w:tc>
      </w:tr>
      <w:tr w:rsidR="00D33544" w:rsidRPr="00FE563F" w14:paraId="5292278E" w14:textId="77777777" w:rsidTr="00840514">
        <w:trPr>
          <w:trHeight w:val="20"/>
          <w:jc w:val="center"/>
        </w:trPr>
        <w:tc>
          <w:tcPr>
            <w:tcW w:w="1937" w:type="dxa"/>
            <w:shd w:val="clear" w:color="auto" w:fill="9CC2E5" w:themeFill="accent1" w:themeFillTint="99"/>
            <w:vAlign w:val="center"/>
            <w:hideMark/>
          </w:tcPr>
          <w:p w14:paraId="6E0CB71B" w14:textId="77777777" w:rsidR="00D33544" w:rsidRPr="00840514" w:rsidRDefault="00D33544" w:rsidP="003C1988">
            <w:pPr>
              <w:spacing w:after="0" w:line="240" w:lineRule="auto"/>
              <w:rPr>
                <w:rFonts w:ascii="Times New Roman" w:eastAsia="Times New Roman" w:hAnsi="Times New Roman" w:cs="Times New Roman"/>
                <w:b/>
                <w:sz w:val="20"/>
                <w:szCs w:val="18"/>
                <w:lang w:eastAsia="pl-PL"/>
              </w:rPr>
            </w:pPr>
            <w:r w:rsidRPr="00840514">
              <w:rPr>
                <w:rFonts w:ascii="Times New Roman" w:eastAsia="Times New Roman" w:hAnsi="Times New Roman" w:cs="Times New Roman"/>
                <w:b/>
                <w:sz w:val="20"/>
                <w:szCs w:val="18"/>
                <w:lang w:eastAsia="pl-PL"/>
              </w:rPr>
              <w:t>60 lat i więcej (60+)</w:t>
            </w:r>
          </w:p>
        </w:tc>
        <w:tc>
          <w:tcPr>
            <w:tcW w:w="1040" w:type="dxa"/>
            <w:shd w:val="clear" w:color="auto" w:fill="auto"/>
            <w:vAlign w:val="center"/>
            <w:hideMark/>
          </w:tcPr>
          <w:p w14:paraId="78D97A45"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25,1</w:t>
            </w:r>
          </w:p>
        </w:tc>
        <w:tc>
          <w:tcPr>
            <w:tcW w:w="1305" w:type="dxa"/>
            <w:shd w:val="clear" w:color="auto" w:fill="auto"/>
            <w:vAlign w:val="center"/>
            <w:hideMark/>
          </w:tcPr>
          <w:p w14:paraId="4A34A5D2"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10,6</w:t>
            </w:r>
          </w:p>
        </w:tc>
        <w:tc>
          <w:tcPr>
            <w:tcW w:w="1276" w:type="dxa"/>
            <w:shd w:val="clear" w:color="auto" w:fill="auto"/>
            <w:vAlign w:val="center"/>
            <w:hideMark/>
          </w:tcPr>
          <w:p w14:paraId="60CA53C3"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27,7</w:t>
            </w:r>
          </w:p>
        </w:tc>
        <w:tc>
          <w:tcPr>
            <w:tcW w:w="1263" w:type="dxa"/>
            <w:shd w:val="clear" w:color="auto" w:fill="auto"/>
            <w:vAlign w:val="center"/>
            <w:hideMark/>
          </w:tcPr>
          <w:p w14:paraId="4CFC3DF3"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10,1</w:t>
            </w:r>
          </w:p>
        </w:tc>
        <w:tc>
          <w:tcPr>
            <w:tcW w:w="1134" w:type="dxa"/>
            <w:shd w:val="clear" w:color="auto" w:fill="auto"/>
            <w:vAlign w:val="center"/>
            <w:hideMark/>
          </w:tcPr>
          <w:p w14:paraId="03E17284"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23,2</w:t>
            </w:r>
          </w:p>
        </w:tc>
        <w:tc>
          <w:tcPr>
            <w:tcW w:w="1118" w:type="dxa"/>
            <w:shd w:val="clear" w:color="auto" w:fill="auto"/>
            <w:vAlign w:val="center"/>
            <w:hideMark/>
          </w:tcPr>
          <w:p w14:paraId="7AF2E041" w14:textId="77777777" w:rsidR="00D33544" w:rsidRPr="00840514" w:rsidRDefault="00D33544" w:rsidP="00840514">
            <w:pPr>
              <w:spacing w:after="0" w:line="240" w:lineRule="auto"/>
              <w:jc w:val="center"/>
              <w:rPr>
                <w:rFonts w:ascii="Times New Roman" w:eastAsia="Times New Roman" w:hAnsi="Times New Roman" w:cs="Times New Roman"/>
                <w:sz w:val="20"/>
                <w:szCs w:val="18"/>
                <w:lang w:eastAsia="pl-PL"/>
              </w:rPr>
            </w:pPr>
            <w:r w:rsidRPr="00840514">
              <w:rPr>
                <w:rFonts w:ascii="Times New Roman" w:eastAsia="Times New Roman" w:hAnsi="Times New Roman" w:cs="Times New Roman"/>
                <w:sz w:val="20"/>
                <w:szCs w:val="18"/>
                <w:lang w:eastAsia="pl-PL"/>
              </w:rPr>
              <w:t>10,9</w:t>
            </w:r>
          </w:p>
        </w:tc>
      </w:tr>
    </w:tbl>
    <w:p w14:paraId="4C045BDC" w14:textId="77777777" w:rsidR="00823FEB" w:rsidRPr="00EA0D2A" w:rsidRDefault="00D33544" w:rsidP="00EA0D2A">
      <w:pPr>
        <w:spacing w:after="120" w:line="259" w:lineRule="auto"/>
        <w:jc w:val="both"/>
        <w:rPr>
          <w:rFonts w:ascii="Times New Roman" w:hAnsi="Times New Roman" w:cs="Times New Roman"/>
          <w:b/>
          <w:szCs w:val="24"/>
          <w:highlight w:val="cyan"/>
        </w:rPr>
      </w:pPr>
      <w:r w:rsidRPr="001818BF">
        <w:rPr>
          <w:rFonts w:ascii="Times New Roman" w:hAnsi="Times New Roman" w:cs="Times New Roman"/>
          <w:b/>
          <w:szCs w:val="24"/>
        </w:rPr>
        <w:t xml:space="preserve">Źródło: badanie 1.30.15 Uczestnictwo w sporcie i rekreacji ruchowej (dotyczy okresu </w:t>
      </w:r>
      <w:r w:rsidRPr="001818BF">
        <w:rPr>
          <w:rFonts w:ascii="Times New Roman" w:hAnsi="Times New Roman" w:cs="Times New Roman"/>
          <w:b/>
          <w:szCs w:val="24"/>
        </w:rPr>
        <w:br/>
        <w:t>od 01/10/2015 do 30/09/2016)</w:t>
      </w:r>
    </w:p>
    <w:p w14:paraId="5E44E8A0" w14:textId="77777777" w:rsidR="00823FEB" w:rsidRPr="00823FEB" w:rsidRDefault="00823FEB" w:rsidP="00823FEB">
      <w:pPr>
        <w:spacing w:after="0" w:line="259" w:lineRule="auto"/>
        <w:jc w:val="both"/>
        <w:rPr>
          <w:rFonts w:ascii="Times New Roman" w:hAnsi="Times New Roman" w:cs="Times New Roman"/>
          <w:sz w:val="24"/>
          <w:szCs w:val="24"/>
        </w:rPr>
      </w:pPr>
      <w:r w:rsidRPr="00823FEB">
        <w:rPr>
          <w:rFonts w:ascii="Times New Roman" w:hAnsi="Times New Roman" w:cs="Times New Roman"/>
          <w:sz w:val="24"/>
          <w:szCs w:val="24"/>
        </w:rPr>
        <w:t>W 2019 r. wśród mieszkańców Polski w wieku 15 lat i więcej, odsetek osób w wieku 60 lat lub więcej, które uczestniczyły w podróżach (krajowych i/lub zagranicznych) z co najmniej 1 noclegiem w celu prywatnym (wypoczynek, rekreacja i wakacje, odwiedziny u krewnych lub znajomych, zdrowotny, religijny, pielgrzymka, edukacyjny, zakupy) – wyniósł 13,4%. Mieszkańcy miast w wieku 60 lat lub więcej uczestniczący w podróżach (krajowych i/lub zagranicznych) z co najmniej jednym noclegiem w celu prywatnym stanowili w 2019 r. 9,8% ogółu ludności w wieku 15 lat lub więcej, a mieszkańcy wsi – 3,6%.</w:t>
      </w:r>
    </w:p>
    <w:p w14:paraId="149D3CEF" w14:textId="77777777" w:rsidR="00823FEB" w:rsidRDefault="00823FEB" w:rsidP="008B6F02">
      <w:pPr>
        <w:spacing w:after="0" w:line="259" w:lineRule="auto"/>
        <w:jc w:val="both"/>
        <w:rPr>
          <w:rFonts w:ascii="Times New Roman" w:hAnsi="Times New Roman" w:cs="Times New Roman"/>
          <w:sz w:val="24"/>
          <w:szCs w:val="24"/>
        </w:rPr>
      </w:pPr>
    </w:p>
    <w:p w14:paraId="6F376B7F" w14:textId="77777777" w:rsidR="00823FEB" w:rsidRDefault="00823FEB" w:rsidP="008B6F02">
      <w:pPr>
        <w:spacing w:after="0" w:line="259" w:lineRule="auto"/>
        <w:jc w:val="both"/>
        <w:rPr>
          <w:rFonts w:ascii="Times New Roman" w:hAnsi="Times New Roman" w:cs="Times New Roman"/>
          <w:sz w:val="24"/>
          <w:szCs w:val="24"/>
        </w:rPr>
      </w:pPr>
    </w:p>
    <w:p w14:paraId="3C23DCB3" w14:textId="77777777" w:rsidR="00823FEB" w:rsidRPr="008B6F02" w:rsidRDefault="00823FEB" w:rsidP="008B6F02">
      <w:pPr>
        <w:spacing w:after="0" w:line="259" w:lineRule="auto"/>
        <w:jc w:val="both"/>
        <w:rPr>
          <w:rFonts w:ascii="Times New Roman" w:hAnsi="Times New Roman" w:cs="Times New Roman"/>
          <w:sz w:val="24"/>
          <w:szCs w:val="24"/>
        </w:rPr>
        <w:sectPr w:rsidR="00823FEB" w:rsidRPr="008B6F02" w:rsidSect="00080A38">
          <w:pgSz w:w="11909" w:h="16838"/>
          <w:pgMar w:top="1137" w:right="1250" w:bottom="1132" w:left="1293" w:header="0" w:footer="567" w:gutter="0"/>
          <w:cols w:space="720"/>
          <w:noEndnote/>
          <w:docGrid w:linePitch="360"/>
        </w:sectPr>
      </w:pPr>
    </w:p>
    <w:p w14:paraId="46D698B7" w14:textId="494C64F5" w:rsidR="001818BF" w:rsidRPr="001818BF" w:rsidRDefault="001818BF" w:rsidP="001818BF">
      <w:pPr>
        <w:pStyle w:val="Legenda"/>
        <w:keepNext/>
        <w:rPr>
          <w:rFonts w:ascii="Times New Roman" w:hAnsi="Times New Roman" w:cs="Times New Roman"/>
          <w:b/>
          <w:i w:val="0"/>
          <w:sz w:val="24"/>
        </w:rPr>
      </w:pPr>
      <w:bookmarkStart w:id="54" w:name="_Toc49171416"/>
      <w:r w:rsidRPr="001818BF">
        <w:rPr>
          <w:rFonts w:ascii="Times New Roman" w:hAnsi="Times New Roman" w:cs="Times New Roman"/>
          <w:b/>
          <w:i w:val="0"/>
          <w:sz w:val="24"/>
        </w:rPr>
        <w:lastRenderedPageBreak/>
        <w:t xml:space="preserve">Tabela </w:t>
      </w:r>
      <w:r w:rsidRPr="001818BF">
        <w:rPr>
          <w:rFonts w:ascii="Times New Roman" w:hAnsi="Times New Roman" w:cs="Times New Roman"/>
          <w:b/>
          <w:i w:val="0"/>
          <w:sz w:val="24"/>
        </w:rPr>
        <w:fldChar w:fldCharType="begin"/>
      </w:r>
      <w:r w:rsidRPr="001818BF">
        <w:rPr>
          <w:rFonts w:ascii="Times New Roman" w:hAnsi="Times New Roman" w:cs="Times New Roman"/>
          <w:b/>
          <w:i w:val="0"/>
          <w:sz w:val="24"/>
        </w:rPr>
        <w:instrText xml:space="preserve"> SEQ Tabela \* ARABIC </w:instrText>
      </w:r>
      <w:r w:rsidRPr="001818BF">
        <w:rPr>
          <w:rFonts w:ascii="Times New Roman" w:hAnsi="Times New Roman" w:cs="Times New Roman"/>
          <w:b/>
          <w:i w:val="0"/>
          <w:sz w:val="24"/>
        </w:rPr>
        <w:fldChar w:fldCharType="separate"/>
      </w:r>
      <w:r w:rsidR="00C154C9">
        <w:rPr>
          <w:rFonts w:ascii="Times New Roman" w:hAnsi="Times New Roman" w:cs="Times New Roman"/>
          <w:b/>
          <w:i w:val="0"/>
          <w:noProof/>
          <w:sz w:val="24"/>
        </w:rPr>
        <w:t>41</w:t>
      </w:r>
      <w:r w:rsidRPr="001818BF">
        <w:rPr>
          <w:rFonts w:ascii="Times New Roman" w:hAnsi="Times New Roman" w:cs="Times New Roman"/>
          <w:b/>
          <w:i w:val="0"/>
          <w:sz w:val="24"/>
        </w:rPr>
        <w:fldChar w:fldCharType="end"/>
      </w:r>
      <w:r w:rsidRPr="001818BF">
        <w:rPr>
          <w:rFonts w:ascii="Times New Roman" w:hAnsi="Times New Roman" w:cs="Times New Roman"/>
          <w:b/>
          <w:i w:val="0"/>
          <w:sz w:val="24"/>
        </w:rPr>
        <w:t xml:space="preserve"> Mieszkańcy Polski w wieku 15 lat lub więcej uczestniczący w podróżach w 2019 r.</w:t>
      </w:r>
      <w:bookmarkEnd w:id="54"/>
    </w:p>
    <w:tbl>
      <w:tblPr>
        <w:tblW w:w="16033"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1640"/>
        <w:gridCol w:w="1212"/>
        <w:gridCol w:w="1040"/>
        <w:gridCol w:w="940"/>
        <w:gridCol w:w="940"/>
        <w:gridCol w:w="940"/>
        <w:gridCol w:w="843"/>
        <w:gridCol w:w="1403"/>
        <w:gridCol w:w="957"/>
        <w:gridCol w:w="891"/>
        <w:gridCol w:w="611"/>
        <w:gridCol w:w="842"/>
        <w:gridCol w:w="1402"/>
        <w:gridCol w:w="957"/>
        <w:gridCol w:w="891"/>
        <w:gridCol w:w="603"/>
      </w:tblGrid>
      <w:tr w:rsidR="00BB0C0C" w:rsidRPr="00783A21" w14:paraId="62706C72" w14:textId="77777777" w:rsidTr="00783A21">
        <w:trPr>
          <w:trHeight w:val="300"/>
          <w:jc w:val="center"/>
        </w:trPr>
        <w:tc>
          <w:tcPr>
            <w:tcW w:w="1581" w:type="dxa"/>
            <w:vMerge w:val="restart"/>
            <w:shd w:val="clear" w:color="auto" w:fill="9CC2E5" w:themeFill="accent1" w:themeFillTint="99"/>
            <w:noWrap/>
            <w:vAlign w:val="center"/>
            <w:hideMark/>
          </w:tcPr>
          <w:p w14:paraId="31AD8E95"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Wyszczególnienie</w:t>
            </w:r>
          </w:p>
        </w:tc>
        <w:tc>
          <w:tcPr>
            <w:tcW w:w="1212" w:type="dxa"/>
            <w:vMerge w:val="restart"/>
            <w:shd w:val="clear" w:color="auto" w:fill="9CC2E5" w:themeFill="accent1" w:themeFillTint="99"/>
            <w:vAlign w:val="center"/>
            <w:hideMark/>
          </w:tcPr>
          <w:p w14:paraId="6A43A565"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Ogółem</w:t>
            </w:r>
          </w:p>
        </w:tc>
        <w:tc>
          <w:tcPr>
            <w:tcW w:w="1020" w:type="dxa"/>
            <w:vMerge w:val="restart"/>
            <w:shd w:val="clear" w:color="auto" w:fill="9CC2E5" w:themeFill="accent1" w:themeFillTint="99"/>
            <w:noWrap/>
            <w:vAlign w:val="center"/>
            <w:hideMark/>
          </w:tcPr>
          <w:p w14:paraId="402D0788"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Mężczyźni</w:t>
            </w:r>
          </w:p>
        </w:tc>
        <w:tc>
          <w:tcPr>
            <w:tcW w:w="940" w:type="dxa"/>
            <w:vMerge w:val="restart"/>
            <w:shd w:val="clear" w:color="auto" w:fill="9CC2E5" w:themeFill="accent1" w:themeFillTint="99"/>
            <w:noWrap/>
            <w:vAlign w:val="center"/>
            <w:hideMark/>
          </w:tcPr>
          <w:p w14:paraId="1A86BF34"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Kobiety</w:t>
            </w:r>
          </w:p>
        </w:tc>
        <w:tc>
          <w:tcPr>
            <w:tcW w:w="940" w:type="dxa"/>
            <w:vMerge w:val="restart"/>
            <w:shd w:val="clear" w:color="auto" w:fill="9CC2E5" w:themeFill="accent1" w:themeFillTint="99"/>
            <w:noWrap/>
            <w:vAlign w:val="center"/>
            <w:hideMark/>
          </w:tcPr>
          <w:p w14:paraId="3E61FCB7"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Miasto</w:t>
            </w:r>
          </w:p>
        </w:tc>
        <w:tc>
          <w:tcPr>
            <w:tcW w:w="940" w:type="dxa"/>
            <w:vMerge w:val="restart"/>
            <w:shd w:val="clear" w:color="auto" w:fill="9CC2E5" w:themeFill="accent1" w:themeFillTint="99"/>
            <w:noWrap/>
            <w:vAlign w:val="center"/>
            <w:hideMark/>
          </w:tcPr>
          <w:p w14:paraId="5028D59E"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Wieś</w:t>
            </w:r>
          </w:p>
        </w:tc>
        <w:tc>
          <w:tcPr>
            <w:tcW w:w="9400" w:type="dxa"/>
            <w:gridSpan w:val="10"/>
            <w:shd w:val="clear" w:color="auto" w:fill="9CC2E5" w:themeFill="accent1" w:themeFillTint="99"/>
            <w:noWrap/>
            <w:vAlign w:val="center"/>
            <w:hideMark/>
          </w:tcPr>
          <w:p w14:paraId="4997DFC5"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Z ogółem osoby w wieku</w:t>
            </w:r>
          </w:p>
        </w:tc>
      </w:tr>
      <w:tr w:rsidR="00BB0C0C" w:rsidRPr="00783A21" w14:paraId="6EF12929" w14:textId="77777777" w:rsidTr="00783A21">
        <w:trPr>
          <w:trHeight w:val="398"/>
          <w:jc w:val="center"/>
        </w:trPr>
        <w:tc>
          <w:tcPr>
            <w:tcW w:w="1581" w:type="dxa"/>
            <w:vMerge/>
            <w:shd w:val="clear" w:color="auto" w:fill="9CC2E5" w:themeFill="accent1" w:themeFillTint="99"/>
            <w:vAlign w:val="center"/>
            <w:hideMark/>
          </w:tcPr>
          <w:p w14:paraId="0DFD3020"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1212" w:type="dxa"/>
            <w:vMerge/>
            <w:shd w:val="clear" w:color="auto" w:fill="9CC2E5" w:themeFill="accent1" w:themeFillTint="99"/>
            <w:vAlign w:val="center"/>
            <w:hideMark/>
          </w:tcPr>
          <w:p w14:paraId="452C05E1"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1020" w:type="dxa"/>
            <w:vMerge/>
            <w:shd w:val="clear" w:color="auto" w:fill="9CC2E5" w:themeFill="accent1" w:themeFillTint="99"/>
            <w:vAlign w:val="center"/>
            <w:hideMark/>
          </w:tcPr>
          <w:p w14:paraId="44EA62CD"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940" w:type="dxa"/>
            <w:vMerge/>
            <w:shd w:val="clear" w:color="auto" w:fill="9CC2E5" w:themeFill="accent1" w:themeFillTint="99"/>
            <w:vAlign w:val="center"/>
            <w:hideMark/>
          </w:tcPr>
          <w:p w14:paraId="6EDD390C"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940" w:type="dxa"/>
            <w:vMerge/>
            <w:shd w:val="clear" w:color="auto" w:fill="9CC2E5" w:themeFill="accent1" w:themeFillTint="99"/>
            <w:vAlign w:val="center"/>
            <w:hideMark/>
          </w:tcPr>
          <w:p w14:paraId="37E274C0"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940" w:type="dxa"/>
            <w:vMerge/>
            <w:shd w:val="clear" w:color="auto" w:fill="9CC2E5" w:themeFill="accent1" w:themeFillTint="99"/>
            <w:vAlign w:val="center"/>
            <w:hideMark/>
          </w:tcPr>
          <w:p w14:paraId="05A5B91A"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4705" w:type="dxa"/>
            <w:gridSpan w:val="5"/>
            <w:shd w:val="clear" w:color="auto" w:fill="9CC2E5" w:themeFill="accent1" w:themeFillTint="99"/>
            <w:vAlign w:val="center"/>
            <w:hideMark/>
          </w:tcPr>
          <w:p w14:paraId="41BADBA2"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15-59 lat</w:t>
            </w:r>
          </w:p>
        </w:tc>
        <w:tc>
          <w:tcPr>
            <w:tcW w:w="4695" w:type="dxa"/>
            <w:gridSpan w:val="5"/>
            <w:shd w:val="clear" w:color="auto" w:fill="9CC2E5" w:themeFill="accent1" w:themeFillTint="99"/>
            <w:noWrap/>
            <w:vAlign w:val="center"/>
            <w:hideMark/>
          </w:tcPr>
          <w:p w14:paraId="3888B0BE"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60 lat i więcej</w:t>
            </w:r>
          </w:p>
        </w:tc>
      </w:tr>
      <w:tr w:rsidR="00BB0C0C" w:rsidRPr="00783A21" w14:paraId="6D6459CC" w14:textId="77777777" w:rsidTr="00783A21">
        <w:trPr>
          <w:trHeight w:val="398"/>
          <w:jc w:val="center"/>
        </w:trPr>
        <w:tc>
          <w:tcPr>
            <w:tcW w:w="1581" w:type="dxa"/>
            <w:vMerge/>
            <w:shd w:val="clear" w:color="auto" w:fill="9CC2E5" w:themeFill="accent1" w:themeFillTint="99"/>
            <w:vAlign w:val="center"/>
            <w:hideMark/>
          </w:tcPr>
          <w:p w14:paraId="34C4F651"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1212" w:type="dxa"/>
            <w:vMerge/>
            <w:shd w:val="clear" w:color="auto" w:fill="9CC2E5" w:themeFill="accent1" w:themeFillTint="99"/>
            <w:vAlign w:val="center"/>
            <w:hideMark/>
          </w:tcPr>
          <w:p w14:paraId="032A54FA"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1020" w:type="dxa"/>
            <w:vMerge/>
            <w:shd w:val="clear" w:color="auto" w:fill="9CC2E5" w:themeFill="accent1" w:themeFillTint="99"/>
            <w:vAlign w:val="center"/>
            <w:hideMark/>
          </w:tcPr>
          <w:p w14:paraId="0A0A9C3E"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940" w:type="dxa"/>
            <w:vMerge/>
            <w:shd w:val="clear" w:color="auto" w:fill="9CC2E5" w:themeFill="accent1" w:themeFillTint="99"/>
            <w:vAlign w:val="center"/>
            <w:hideMark/>
          </w:tcPr>
          <w:p w14:paraId="5418AA73"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940" w:type="dxa"/>
            <w:vMerge/>
            <w:shd w:val="clear" w:color="auto" w:fill="9CC2E5" w:themeFill="accent1" w:themeFillTint="99"/>
            <w:vAlign w:val="center"/>
            <w:hideMark/>
          </w:tcPr>
          <w:p w14:paraId="514FE9E4"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940" w:type="dxa"/>
            <w:vMerge/>
            <w:shd w:val="clear" w:color="auto" w:fill="9CC2E5" w:themeFill="accent1" w:themeFillTint="99"/>
            <w:vAlign w:val="center"/>
            <w:hideMark/>
          </w:tcPr>
          <w:p w14:paraId="01CC9E82"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843" w:type="dxa"/>
            <w:shd w:val="clear" w:color="auto" w:fill="9CC2E5" w:themeFill="accent1" w:themeFillTint="99"/>
            <w:noWrap/>
            <w:vAlign w:val="center"/>
            <w:hideMark/>
          </w:tcPr>
          <w:p w14:paraId="21E98A11"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razem</w:t>
            </w:r>
          </w:p>
        </w:tc>
        <w:tc>
          <w:tcPr>
            <w:tcW w:w="1403" w:type="dxa"/>
            <w:shd w:val="clear" w:color="auto" w:fill="9CC2E5" w:themeFill="accent1" w:themeFillTint="99"/>
            <w:noWrap/>
            <w:vAlign w:val="center"/>
            <w:hideMark/>
          </w:tcPr>
          <w:p w14:paraId="1762616F"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mężczyźni</w:t>
            </w:r>
          </w:p>
        </w:tc>
        <w:tc>
          <w:tcPr>
            <w:tcW w:w="957" w:type="dxa"/>
            <w:shd w:val="clear" w:color="auto" w:fill="9CC2E5" w:themeFill="accent1" w:themeFillTint="99"/>
            <w:noWrap/>
            <w:vAlign w:val="center"/>
            <w:hideMark/>
          </w:tcPr>
          <w:p w14:paraId="34408CBB"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kobiety</w:t>
            </w:r>
          </w:p>
        </w:tc>
        <w:tc>
          <w:tcPr>
            <w:tcW w:w="891" w:type="dxa"/>
            <w:shd w:val="clear" w:color="auto" w:fill="9CC2E5" w:themeFill="accent1" w:themeFillTint="99"/>
            <w:noWrap/>
            <w:vAlign w:val="center"/>
            <w:hideMark/>
          </w:tcPr>
          <w:p w14:paraId="2B63BE9F"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miasto</w:t>
            </w:r>
          </w:p>
        </w:tc>
        <w:tc>
          <w:tcPr>
            <w:tcW w:w="611" w:type="dxa"/>
            <w:shd w:val="clear" w:color="auto" w:fill="9CC2E5" w:themeFill="accent1" w:themeFillTint="99"/>
            <w:noWrap/>
            <w:vAlign w:val="center"/>
            <w:hideMark/>
          </w:tcPr>
          <w:p w14:paraId="2C94A7B0"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wieś</w:t>
            </w:r>
          </w:p>
        </w:tc>
        <w:tc>
          <w:tcPr>
            <w:tcW w:w="842" w:type="dxa"/>
            <w:shd w:val="clear" w:color="auto" w:fill="9CC2E5" w:themeFill="accent1" w:themeFillTint="99"/>
            <w:noWrap/>
            <w:vAlign w:val="center"/>
            <w:hideMark/>
          </w:tcPr>
          <w:p w14:paraId="5DF1E12E"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razem</w:t>
            </w:r>
          </w:p>
        </w:tc>
        <w:tc>
          <w:tcPr>
            <w:tcW w:w="1402" w:type="dxa"/>
            <w:shd w:val="clear" w:color="auto" w:fill="9CC2E5" w:themeFill="accent1" w:themeFillTint="99"/>
            <w:noWrap/>
            <w:vAlign w:val="center"/>
            <w:hideMark/>
          </w:tcPr>
          <w:p w14:paraId="23587E2D"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mężczyźni</w:t>
            </w:r>
          </w:p>
        </w:tc>
        <w:tc>
          <w:tcPr>
            <w:tcW w:w="957" w:type="dxa"/>
            <w:shd w:val="clear" w:color="auto" w:fill="9CC2E5" w:themeFill="accent1" w:themeFillTint="99"/>
            <w:noWrap/>
            <w:vAlign w:val="center"/>
            <w:hideMark/>
          </w:tcPr>
          <w:p w14:paraId="14ED3D5F"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kobiety</w:t>
            </w:r>
          </w:p>
        </w:tc>
        <w:tc>
          <w:tcPr>
            <w:tcW w:w="891" w:type="dxa"/>
            <w:shd w:val="clear" w:color="auto" w:fill="9CC2E5" w:themeFill="accent1" w:themeFillTint="99"/>
            <w:noWrap/>
            <w:vAlign w:val="center"/>
            <w:hideMark/>
          </w:tcPr>
          <w:p w14:paraId="6C5821C0"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miasto</w:t>
            </w:r>
          </w:p>
        </w:tc>
        <w:tc>
          <w:tcPr>
            <w:tcW w:w="603" w:type="dxa"/>
            <w:shd w:val="clear" w:color="auto" w:fill="9CC2E5" w:themeFill="accent1" w:themeFillTint="99"/>
            <w:noWrap/>
            <w:vAlign w:val="center"/>
            <w:hideMark/>
          </w:tcPr>
          <w:p w14:paraId="0C13C474"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wieś</w:t>
            </w:r>
          </w:p>
        </w:tc>
      </w:tr>
      <w:tr w:rsidR="00BB0C0C" w:rsidRPr="00783A21" w14:paraId="3049873A" w14:textId="77777777" w:rsidTr="00783A21">
        <w:trPr>
          <w:trHeight w:val="300"/>
          <w:jc w:val="center"/>
        </w:trPr>
        <w:tc>
          <w:tcPr>
            <w:tcW w:w="1581" w:type="dxa"/>
            <w:vMerge/>
            <w:shd w:val="clear" w:color="auto" w:fill="9CC2E5" w:themeFill="accent1" w:themeFillTint="99"/>
            <w:vAlign w:val="center"/>
            <w:hideMark/>
          </w:tcPr>
          <w:p w14:paraId="3DD5E823"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p>
        </w:tc>
        <w:tc>
          <w:tcPr>
            <w:tcW w:w="14452" w:type="dxa"/>
            <w:gridSpan w:val="15"/>
            <w:shd w:val="clear" w:color="auto" w:fill="9CC2E5" w:themeFill="accent1" w:themeFillTint="99"/>
            <w:noWrap/>
            <w:vAlign w:val="center"/>
            <w:hideMark/>
          </w:tcPr>
          <w:p w14:paraId="52375876" w14:textId="77777777" w:rsidR="00BB0C0C" w:rsidRPr="00783A21" w:rsidRDefault="00BB0C0C" w:rsidP="00783A21">
            <w:pPr>
              <w:spacing w:after="0" w:line="240" w:lineRule="auto"/>
              <w:jc w:val="center"/>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w % ogółu ludności w wieku 15 lat i więcej</w:t>
            </w:r>
          </w:p>
        </w:tc>
      </w:tr>
      <w:tr w:rsidR="00BB0C0C" w:rsidRPr="00783A21" w14:paraId="2B17F717" w14:textId="77777777" w:rsidTr="00783A21">
        <w:trPr>
          <w:trHeight w:val="300"/>
          <w:jc w:val="center"/>
        </w:trPr>
        <w:tc>
          <w:tcPr>
            <w:tcW w:w="1581" w:type="dxa"/>
            <w:shd w:val="clear" w:color="auto" w:fill="9CC2E5" w:themeFill="accent1" w:themeFillTint="99"/>
            <w:noWrap/>
            <w:vAlign w:val="bottom"/>
            <w:hideMark/>
          </w:tcPr>
          <w:p w14:paraId="0FD5862D" w14:textId="77777777" w:rsidR="00BB0C0C" w:rsidRPr="00783A21" w:rsidRDefault="00BB0C0C" w:rsidP="00783A21">
            <w:pPr>
              <w:spacing w:after="0" w:line="240" w:lineRule="auto"/>
              <w:rPr>
                <w:rFonts w:ascii="Times New Roman" w:eastAsia="Times New Roman" w:hAnsi="Times New Roman" w:cs="Times New Roman"/>
                <w:bCs/>
                <w:sz w:val="20"/>
                <w:szCs w:val="20"/>
                <w:lang w:eastAsia="pl-PL"/>
              </w:rPr>
            </w:pPr>
            <w:r w:rsidRPr="00783A21">
              <w:rPr>
                <w:rFonts w:ascii="Times New Roman" w:eastAsia="Times New Roman" w:hAnsi="Times New Roman" w:cs="Times New Roman"/>
                <w:bCs/>
                <w:sz w:val="20"/>
                <w:szCs w:val="20"/>
                <w:lang w:eastAsia="pl-PL"/>
              </w:rPr>
              <w:t>ROK</w:t>
            </w:r>
            <w:r w:rsidRPr="00783A21">
              <w:rPr>
                <w:rFonts w:ascii="Times New Roman" w:eastAsia="Times New Roman" w:hAnsi="Times New Roman" w:cs="Times New Roman"/>
                <w:bCs/>
                <w:sz w:val="20"/>
                <w:szCs w:val="20"/>
                <w:vertAlign w:val="superscript"/>
                <w:lang w:eastAsia="pl-PL"/>
              </w:rPr>
              <w:t xml:space="preserve"> a</w:t>
            </w:r>
          </w:p>
        </w:tc>
        <w:tc>
          <w:tcPr>
            <w:tcW w:w="1212" w:type="dxa"/>
            <w:shd w:val="clear" w:color="auto" w:fill="auto"/>
            <w:noWrap/>
            <w:vAlign w:val="bottom"/>
            <w:hideMark/>
          </w:tcPr>
          <w:p w14:paraId="0D89387A"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64,1</w:t>
            </w:r>
          </w:p>
        </w:tc>
        <w:tc>
          <w:tcPr>
            <w:tcW w:w="1020" w:type="dxa"/>
            <w:shd w:val="clear" w:color="auto" w:fill="auto"/>
            <w:noWrap/>
            <w:vAlign w:val="bottom"/>
            <w:hideMark/>
          </w:tcPr>
          <w:p w14:paraId="644868C6"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31,0</w:t>
            </w:r>
          </w:p>
        </w:tc>
        <w:tc>
          <w:tcPr>
            <w:tcW w:w="940" w:type="dxa"/>
            <w:shd w:val="clear" w:color="auto" w:fill="auto"/>
            <w:noWrap/>
            <w:vAlign w:val="bottom"/>
            <w:hideMark/>
          </w:tcPr>
          <w:p w14:paraId="48E86692"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33,2</w:t>
            </w:r>
          </w:p>
        </w:tc>
        <w:tc>
          <w:tcPr>
            <w:tcW w:w="940" w:type="dxa"/>
            <w:shd w:val="clear" w:color="auto" w:fill="auto"/>
            <w:noWrap/>
            <w:vAlign w:val="bottom"/>
            <w:hideMark/>
          </w:tcPr>
          <w:p w14:paraId="16B3C56F"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42,3</w:t>
            </w:r>
          </w:p>
        </w:tc>
        <w:tc>
          <w:tcPr>
            <w:tcW w:w="940" w:type="dxa"/>
            <w:shd w:val="clear" w:color="auto" w:fill="auto"/>
            <w:noWrap/>
            <w:vAlign w:val="bottom"/>
            <w:hideMark/>
          </w:tcPr>
          <w:p w14:paraId="09A9F75D"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21,8</w:t>
            </w:r>
          </w:p>
        </w:tc>
        <w:tc>
          <w:tcPr>
            <w:tcW w:w="843" w:type="dxa"/>
            <w:shd w:val="clear" w:color="auto" w:fill="auto"/>
            <w:noWrap/>
            <w:vAlign w:val="bottom"/>
            <w:hideMark/>
          </w:tcPr>
          <w:p w14:paraId="58835B90"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50,7</w:t>
            </w:r>
          </w:p>
        </w:tc>
        <w:tc>
          <w:tcPr>
            <w:tcW w:w="1403" w:type="dxa"/>
            <w:shd w:val="clear" w:color="auto" w:fill="auto"/>
            <w:noWrap/>
            <w:vAlign w:val="bottom"/>
            <w:hideMark/>
          </w:tcPr>
          <w:p w14:paraId="425C86AB"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25,4</w:t>
            </w:r>
          </w:p>
        </w:tc>
        <w:tc>
          <w:tcPr>
            <w:tcW w:w="957" w:type="dxa"/>
            <w:shd w:val="clear" w:color="auto" w:fill="auto"/>
            <w:noWrap/>
            <w:vAlign w:val="bottom"/>
            <w:hideMark/>
          </w:tcPr>
          <w:p w14:paraId="72A7226A"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25,3</w:t>
            </w:r>
          </w:p>
        </w:tc>
        <w:tc>
          <w:tcPr>
            <w:tcW w:w="891" w:type="dxa"/>
            <w:shd w:val="clear" w:color="auto" w:fill="auto"/>
            <w:noWrap/>
            <w:vAlign w:val="bottom"/>
            <w:hideMark/>
          </w:tcPr>
          <w:p w14:paraId="10E0239D"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32,5</w:t>
            </w:r>
          </w:p>
        </w:tc>
        <w:tc>
          <w:tcPr>
            <w:tcW w:w="611" w:type="dxa"/>
            <w:shd w:val="clear" w:color="auto" w:fill="auto"/>
            <w:noWrap/>
            <w:vAlign w:val="bottom"/>
            <w:hideMark/>
          </w:tcPr>
          <w:p w14:paraId="01C2EF1E"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18,2</w:t>
            </w:r>
          </w:p>
        </w:tc>
        <w:tc>
          <w:tcPr>
            <w:tcW w:w="842" w:type="dxa"/>
            <w:shd w:val="clear" w:color="auto" w:fill="auto"/>
            <w:noWrap/>
            <w:vAlign w:val="bottom"/>
            <w:hideMark/>
          </w:tcPr>
          <w:p w14:paraId="2E5C0467"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13,4</w:t>
            </w:r>
          </w:p>
        </w:tc>
        <w:tc>
          <w:tcPr>
            <w:tcW w:w="1402" w:type="dxa"/>
            <w:shd w:val="clear" w:color="auto" w:fill="auto"/>
            <w:noWrap/>
            <w:vAlign w:val="bottom"/>
            <w:hideMark/>
          </w:tcPr>
          <w:p w14:paraId="1B21A73C"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5,6</w:t>
            </w:r>
          </w:p>
        </w:tc>
        <w:tc>
          <w:tcPr>
            <w:tcW w:w="957" w:type="dxa"/>
            <w:shd w:val="clear" w:color="auto" w:fill="auto"/>
            <w:noWrap/>
            <w:vAlign w:val="bottom"/>
            <w:hideMark/>
          </w:tcPr>
          <w:p w14:paraId="75195BAC"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7,8</w:t>
            </w:r>
          </w:p>
        </w:tc>
        <w:tc>
          <w:tcPr>
            <w:tcW w:w="891" w:type="dxa"/>
            <w:shd w:val="clear" w:color="auto" w:fill="auto"/>
            <w:noWrap/>
            <w:vAlign w:val="bottom"/>
            <w:hideMark/>
          </w:tcPr>
          <w:p w14:paraId="68DEBC22"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9,8</w:t>
            </w:r>
          </w:p>
        </w:tc>
        <w:tc>
          <w:tcPr>
            <w:tcW w:w="603" w:type="dxa"/>
            <w:shd w:val="clear" w:color="auto" w:fill="auto"/>
            <w:noWrap/>
            <w:vAlign w:val="bottom"/>
            <w:hideMark/>
          </w:tcPr>
          <w:p w14:paraId="43E45EDC" w14:textId="77777777" w:rsidR="00BB0C0C" w:rsidRPr="00783A21" w:rsidRDefault="00BB0C0C" w:rsidP="00783A21">
            <w:pPr>
              <w:spacing w:after="0" w:line="240" w:lineRule="auto"/>
              <w:jc w:val="center"/>
              <w:rPr>
                <w:rFonts w:ascii="Times New Roman" w:eastAsia="Times New Roman" w:hAnsi="Times New Roman" w:cs="Times New Roman"/>
                <w:b/>
                <w:bCs/>
                <w:sz w:val="20"/>
                <w:szCs w:val="20"/>
                <w:lang w:eastAsia="pl-PL"/>
              </w:rPr>
            </w:pPr>
            <w:r w:rsidRPr="00783A21">
              <w:rPr>
                <w:rFonts w:ascii="Times New Roman" w:eastAsia="Times New Roman" w:hAnsi="Times New Roman" w:cs="Times New Roman"/>
                <w:b/>
                <w:bCs/>
                <w:sz w:val="20"/>
                <w:szCs w:val="20"/>
                <w:lang w:eastAsia="pl-PL"/>
              </w:rPr>
              <w:t>3,6</w:t>
            </w:r>
          </w:p>
        </w:tc>
      </w:tr>
      <w:tr w:rsidR="00BB0C0C" w:rsidRPr="00783A21" w14:paraId="5F11901B" w14:textId="77777777" w:rsidTr="00783A21">
        <w:trPr>
          <w:trHeight w:val="300"/>
          <w:jc w:val="center"/>
        </w:trPr>
        <w:tc>
          <w:tcPr>
            <w:tcW w:w="1581" w:type="dxa"/>
            <w:shd w:val="clear" w:color="auto" w:fill="9CC2E5" w:themeFill="accent1" w:themeFillTint="99"/>
            <w:noWrap/>
            <w:vAlign w:val="bottom"/>
            <w:hideMark/>
          </w:tcPr>
          <w:p w14:paraId="516EE6AD" w14:textId="77777777" w:rsidR="00BB0C0C" w:rsidRPr="00783A21" w:rsidRDefault="00BB0C0C" w:rsidP="00783A21">
            <w:pPr>
              <w:spacing w:after="0" w:line="240" w:lineRule="auto"/>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 xml:space="preserve">I kwartał </w:t>
            </w:r>
            <w:r w:rsidRPr="00783A21">
              <w:rPr>
                <w:rFonts w:ascii="Times New Roman" w:eastAsia="Times New Roman" w:hAnsi="Times New Roman" w:cs="Times New Roman"/>
                <w:sz w:val="20"/>
                <w:szCs w:val="20"/>
                <w:vertAlign w:val="superscript"/>
                <w:lang w:eastAsia="pl-PL"/>
              </w:rPr>
              <w:t>b</w:t>
            </w:r>
          </w:p>
        </w:tc>
        <w:tc>
          <w:tcPr>
            <w:tcW w:w="1212" w:type="dxa"/>
            <w:shd w:val="clear" w:color="auto" w:fill="auto"/>
            <w:noWrap/>
            <w:vAlign w:val="bottom"/>
            <w:hideMark/>
          </w:tcPr>
          <w:p w14:paraId="269452F7"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12,8</w:t>
            </w:r>
          </w:p>
        </w:tc>
        <w:tc>
          <w:tcPr>
            <w:tcW w:w="1020" w:type="dxa"/>
            <w:shd w:val="clear" w:color="auto" w:fill="auto"/>
            <w:noWrap/>
            <w:vAlign w:val="bottom"/>
            <w:hideMark/>
          </w:tcPr>
          <w:p w14:paraId="233F9896"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6,3</w:t>
            </w:r>
          </w:p>
        </w:tc>
        <w:tc>
          <w:tcPr>
            <w:tcW w:w="940" w:type="dxa"/>
            <w:shd w:val="clear" w:color="auto" w:fill="auto"/>
            <w:noWrap/>
            <w:vAlign w:val="bottom"/>
            <w:hideMark/>
          </w:tcPr>
          <w:p w14:paraId="59CD7793"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6,5</w:t>
            </w:r>
          </w:p>
        </w:tc>
        <w:tc>
          <w:tcPr>
            <w:tcW w:w="940" w:type="dxa"/>
            <w:shd w:val="clear" w:color="auto" w:fill="auto"/>
            <w:noWrap/>
            <w:vAlign w:val="bottom"/>
            <w:hideMark/>
          </w:tcPr>
          <w:p w14:paraId="3A712E60"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9,4</w:t>
            </w:r>
          </w:p>
        </w:tc>
        <w:tc>
          <w:tcPr>
            <w:tcW w:w="940" w:type="dxa"/>
            <w:shd w:val="clear" w:color="auto" w:fill="auto"/>
            <w:noWrap/>
            <w:vAlign w:val="bottom"/>
            <w:hideMark/>
          </w:tcPr>
          <w:p w14:paraId="230CE8E7"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3,4</w:t>
            </w:r>
          </w:p>
        </w:tc>
        <w:tc>
          <w:tcPr>
            <w:tcW w:w="843" w:type="dxa"/>
            <w:shd w:val="clear" w:color="auto" w:fill="auto"/>
            <w:noWrap/>
            <w:vAlign w:val="bottom"/>
            <w:hideMark/>
          </w:tcPr>
          <w:p w14:paraId="414F9918"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11,1</w:t>
            </w:r>
          </w:p>
        </w:tc>
        <w:tc>
          <w:tcPr>
            <w:tcW w:w="1403" w:type="dxa"/>
            <w:shd w:val="clear" w:color="auto" w:fill="auto"/>
            <w:noWrap/>
            <w:vAlign w:val="bottom"/>
            <w:hideMark/>
          </w:tcPr>
          <w:p w14:paraId="25B109E2"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5,5</w:t>
            </w:r>
          </w:p>
        </w:tc>
        <w:tc>
          <w:tcPr>
            <w:tcW w:w="957" w:type="dxa"/>
            <w:shd w:val="clear" w:color="auto" w:fill="auto"/>
            <w:noWrap/>
            <w:vAlign w:val="bottom"/>
            <w:hideMark/>
          </w:tcPr>
          <w:p w14:paraId="13D4E69D"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5,6</w:t>
            </w:r>
          </w:p>
        </w:tc>
        <w:tc>
          <w:tcPr>
            <w:tcW w:w="891" w:type="dxa"/>
            <w:shd w:val="clear" w:color="auto" w:fill="auto"/>
            <w:noWrap/>
            <w:vAlign w:val="bottom"/>
            <w:hideMark/>
          </w:tcPr>
          <w:p w14:paraId="699FE1C2"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8,0</w:t>
            </w:r>
          </w:p>
        </w:tc>
        <w:tc>
          <w:tcPr>
            <w:tcW w:w="611" w:type="dxa"/>
            <w:shd w:val="clear" w:color="auto" w:fill="auto"/>
            <w:noWrap/>
            <w:vAlign w:val="bottom"/>
            <w:hideMark/>
          </w:tcPr>
          <w:p w14:paraId="35A4CFAE"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3,1</w:t>
            </w:r>
          </w:p>
        </w:tc>
        <w:tc>
          <w:tcPr>
            <w:tcW w:w="842" w:type="dxa"/>
            <w:shd w:val="clear" w:color="auto" w:fill="auto"/>
            <w:noWrap/>
            <w:vAlign w:val="bottom"/>
            <w:hideMark/>
          </w:tcPr>
          <w:p w14:paraId="0EC017E3"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1,7</w:t>
            </w:r>
          </w:p>
        </w:tc>
        <w:tc>
          <w:tcPr>
            <w:tcW w:w="1402" w:type="dxa"/>
            <w:shd w:val="clear" w:color="auto" w:fill="auto"/>
            <w:noWrap/>
            <w:vAlign w:val="bottom"/>
            <w:hideMark/>
          </w:tcPr>
          <w:p w14:paraId="7A61127D"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0,8</w:t>
            </w:r>
          </w:p>
        </w:tc>
        <w:tc>
          <w:tcPr>
            <w:tcW w:w="957" w:type="dxa"/>
            <w:shd w:val="clear" w:color="auto" w:fill="auto"/>
            <w:noWrap/>
            <w:vAlign w:val="bottom"/>
            <w:hideMark/>
          </w:tcPr>
          <w:p w14:paraId="790F39FF"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0,8</w:t>
            </w:r>
          </w:p>
        </w:tc>
        <w:tc>
          <w:tcPr>
            <w:tcW w:w="891" w:type="dxa"/>
            <w:shd w:val="clear" w:color="auto" w:fill="auto"/>
            <w:noWrap/>
            <w:vAlign w:val="bottom"/>
            <w:hideMark/>
          </w:tcPr>
          <w:p w14:paraId="5830DDC0"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1,3</w:t>
            </w:r>
          </w:p>
        </w:tc>
        <w:tc>
          <w:tcPr>
            <w:tcW w:w="603" w:type="dxa"/>
            <w:shd w:val="clear" w:color="auto" w:fill="auto"/>
            <w:noWrap/>
            <w:vAlign w:val="bottom"/>
            <w:hideMark/>
          </w:tcPr>
          <w:p w14:paraId="65B8012A"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0,3</w:t>
            </w:r>
          </w:p>
        </w:tc>
      </w:tr>
      <w:tr w:rsidR="00BB0C0C" w:rsidRPr="00783A21" w14:paraId="7C8E1B03" w14:textId="77777777" w:rsidTr="00783A21">
        <w:trPr>
          <w:trHeight w:val="300"/>
          <w:jc w:val="center"/>
        </w:trPr>
        <w:tc>
          <w:tcPr>
            <w:tcW w:w="1581" w:type="dxa"/>
            <w:shd w:val="clear" w:color="auto" w:fill="9CC2E5" w:themeFill="accent1" w:themeFillTint="99"/>
            <w:noWrap/>
            <w:vAlign w:val="bottom"/>
            <w:hideMark/>
          </w:tcPr>
          <w:p w14:paraId="3FD25292" w14:textId="77777777" w:rsidR="00BB0C0C" w:rsidRPr="00783A21" w:rsidRDefault="00BB0C0C" w:rsidP="00783A21">
            <w:pPr>
              <w:spacing w:after="0" w:line="240" w:lineRule="auto"/>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 xml:space="preserve">II kwartał </w:t>
            </w:r>
            <w:r w:rsidRPr="00783A21">
              <w:rPr>
                <w:rFonts w:ascii="Times New Roman" w:eastAsia="Times New Roman" w:hAnsi="Times New Roman" w:cs="Times New Roman"/>
                <w:sz w:val="20"/>
                <w:szCs w:val="20"/>
                <w:vertAlign w:val="superscript"/>
                <w:lang w:eastAsia="pl-PL"/>
              </w:rPr>
              <w:t>b</w:t>
            </w:r>
          </w:p>
        </w:tc>
        <w:tc>
          <w:tcPr>
            <w:tcW w:w="1212" w:type="dxa"/>
            <w:shd w:val="clear" w:color="auto" w:fill="auto"/>
            <w:noWrap/>
            <w:vAlign w:val="bottom"/>
            <w:hideMark/>
          </w:tcPr>
          <w:p w14:paraId="02B68110"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15,7</w:t>
            </w:r>
          </w:p>
        </w:tc>
        <w:tc>
          <w:tcPr>
            <w:tcW w:w="1020" w:type="dxa"/>
            <w:shd w:val="clear" w:color="auto" w:fill="auto"/>
            <w:noWrap/>
            <w:vAlign w:val="bottom"/>
            <w:hideMark/>
          </w:tcPr>
          <w:p w14:paraId="2E81E402"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7,4</w:t>
            </w:r>
          </w:p>
        </w:tc>
        <w:tc>
          <w:tcPr>
            <w:tcW w:w="940" w:type="dxa"/>
            <w:shd w:val="clear" w:color="auto" w:fill="auto"/>
            <w:noWrap/>
            <w:vAlign w:val="bottom"/>
            <w:hideMark/>
          </w:tcPr>
          <w:p w14:paraId="4814E61D"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8,3</w:t>
            </w:r>
          </w:p>
        </w:tc>
        <w:tc>
          <w:tcPr>
            <w:tcW w:w="940" w:type="dxa"/>
            <w:shd w:val="clear" w:color="auto" w:fill="auto"/>
            <w:noWrap/>
            <w:vAlign w:val="bottom"/>
            <w:hideMark/>
          </w:tcPr>
          <w:p w14:paraId="64CCB8A8"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10,6</w:t>
            </w:r>
          </w:p>
        </w:tc>
        <w:tc>
          <w:tcPr>
            <w:tcW w:w="940" w:type="dxa"/>
            <w:shd w:val="clear" w:color="auto" w:fill="auto"/>
            <w:noWrap/>
            <w:vAlign w:val="bottom"/>
            <w:hideMark/>
          </w:tcPr>
          <w:p w14:paraId="1CD4E1DF"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5,0</w:t>
            </w:r>
          </w:p>
        </w:tc>
        <w:tc>
          <w:tcPr>
            <w:tcW w:w="843" w:type="dxa"/>
            <w:shd w:val="clear" w:color="auto" w:fill="auto"/>
            <w:noWrap/>
            <w:vAlign w:val="bottom"/>
            <w:hideMark/>
          </w:tcPr>
          <w:p w14:paraId="2DE9DD83"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13,0</w:t>
            </w:r>
          </w:p>
        </w:tc>
        <w:tc>
          <w:tcPr>
            <w:tcW w:w="1403" w:type="dxa"/>
            <w:shd w:val="clear" w:color="auto" w:fill="auto"/>
            <w:noWrap/>
            <w:vAlign w:val="bottom"/>
            <w:hideMark/>
          </w:tcPr>
          <w:p w14:paraId="7FE3B896"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6,2</w:t>
            </w:r>
          </w:p>
        </w:tc>
        <w:tc>
          <w:tcPr>
            <w:tcW w:w="957" w:type="dxa"/>
            <w:shd w:val="clear" w:color="auto" w:fill="auto"/>
            <w:noWrap/>
            <w:vAlign w:val="bottom"/>
            <w:hideMark/>
          </w:tcPr>
          <w:p w14:paraId="5E2D5611"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6,7</w:t>
            </w:r>
          </w:p>
        </w:tc>
        <w:tc>
          <w:tcPr>
            <w:tcW w:w="891" w:type="dxa"/>
            <w:shd w:val="clear" w:color="auto" w:fill="auto"/>
            <w:noWrap/>
            <w:vAlign w:val="bottom"/>
            <w:hideMark/>
          </w:tcPr>
          <w:p w14:paraId="0C4BA285"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8,5</w:t>
            </w:r>
          </w:p>
        </w:tc>
        <w:tc>
          <w:tcPr>
            <w:tcW w:w="611" w:type="dxa"/>
            <w:shd w:val="clear" w:color="auto" w:fill="auto"/>
            <w:noWrap/>
            <w:vAlign w:val="bottom"/>
            <w:hideMark/>
          </w:tcPr>
          <w:p w14:paraId="4CA681B6"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4,4</w:t>
            </w:r>
          </w:p>
        </w:tc>
        <w:tc>
          <w:tcPr>
            <w:tcW w:w="842" w:type="dxa"/>
            <w:shd w:val="clear" w:color="auto" w:fill="auto"/>
            <w:noWrap/>
            <w:vAlign w:val="bottom"/>
            <w:hideMark/>
          </w:tcPr>
          <w:p w14:paraId="2ACB0234"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2,7</w:t>
            </w:r>
          </w:p>
        </w:tc>
        <w:tc>
          <w:tcPr>
            <w:tcW w:w="1402" w:type="dxa"/>
            <w:shd w:val="clear" w:color="auto" w:fill="auto"/>
            <w:noWrap/>
            <w:vAlign w:val="bottom"/>
            <w:hideMark/>
          </w:tcPr>
          <w:p w14:paraId="49204B9F"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1,1</w:t>
            </w:r>
          </w:p>
        </w:tc>
        <w:tc>
          <w:tcPr>
            <w:tcW w:w="957" w:type="dxa"/>
            <w:shd w:val="clear" w:color="auto" w:fill="auto"/>
            <w:noWrap/>
            <w:vAlign w:val="bottom"/>
            <w:hideMark/>
          </w:tcPr>
          <w:p w14:paraId="7701FE95"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1,6</w:t>
            </w:r>
          </w:p>
        </w:tc>
        <w:tc>
          <w:tcPr>
            <w:tcW w:w="891" w:type="dxa"/>
            <w:shd w:val="clear" w:color="auto" w:fill="auto"/>
            <w:noWrap/>
            <w:vAlign w:val="bottom"/>
            <w:hideMark/>
          </w:tcPr>
          <w:p w14:paraId="22908295"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2,1</w:t>
            </w:r>
          </w:p>
        </w:tc>
        <w:tc>
          <w:tcPr>
            <w:tcW w:w="603" w:type="dxa"/>
            <w:shd w:val="clear" w:color="auto" w:fill="auto"/>
            <w:noWrap/>
            <w:vAlign w:val="bottom"/>
            <w:hideMark/>
          </w:tcPr>
          <w:p w14:paraId="1CEE49B3"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0,6</w:t>
            </w:r>
          </w:p>
        </w:tc>
      </w:tr>
      <w:tr w:rsidR="00BB0C0C" w:rsidRPr="00783A21" w14:paraId="7165BE8A" w14:textId="77777777" w:rsidTr="00783A21">
        <w:trPr>
          <w:trHeight w:val="300"/>
          <w:jc w:val="center"/>
        </w:trPr>
        <w:tc>
          <w:tcPr>
            <w:tcW w:w="1581" w:type="dxa"/>
            <w:shd w:val="clear" w:color="auto" w:fill="9CC2E5" w:themeFill="accent1" w:themeFillTint="99"/>
            <w:noWrap/>
            <w:vAlign w:val="bottom"/>
            <w:hideMark/>
          </w:tcPr>
          <w:p w14:paraId="72AF2AC3" w14:textId="77777777" w:rsidR="00BB0C0C" w:rsidRPr="00783A21" w:rsidRDefault="00BB0C0C" w:rsidP="00783A21">
            <w:pPr>
              <w:spacing w:after="0" w:line="240" w:lineRule="auto"/>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 xml:space="preserve">III kwartał </w:t>
            </w:r>
            <w:r w:rsidRPr="00783A21">
              <w:rPr>
                <w:rFonts w:ascii="Times New Roman" w:eastAsia="Times New Roman" w:hAnsi="Times New Roman" w:cs="Times New Roman"/>
                <w:sz w:val="20"/>
                <w:szCs w:val="20"/>
                <w:vertAlign w:val="superscript"/>
                <w:lang w:eastAsia="pl-PL"/>
              </w:rPr>
              <w:t>b</w:t>
            </w:r>
          </w:p>
        </w:tc>
        <w:tc>
          <w:tcPr>
            <w:tcW w:w="1212" w:type="dxa"/>
            <w:shd w:val="clear" w:color="auto" w:fill="auto"/>
            <w:noWrap/>
            <w:vAlign w:val="bottom"/>
            <w:hideMark/>
          </w:tcPr>
          <w:p w14:paraId="4508719A"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44,5</w:t>
            </w:r>
          </w:p>
        </w:tc>
        <w:tc>
          <w:tcPr>
            <w:tcW w:w="1020" w:type="dxa"/>
            <w:shd w:val="clear" w:color="auto" w:fill="auto"/>
            <w:noWrap/>
            <w:vAlign w:val="bottom"/>
            <w:hideMark/>
          </w:tcPr>
          <w:p w14:paraId="6FFAF709"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20,8</w:t>
            </w:r>
          </w:p>
        </w:tc>
        <w:tc>
          <w:tcPr>
            <w:tcW w:w="940" w:type="dxa"/>
            <w:shd w:val="clear" w:color="auto" w:fill="auto"/>
            <w:noWrap/>
            <w:vAlign w:val="bottom"/>
            <w:hideMark/>
          </w:tcPr>
          <w:p w14:paraId="09E40929"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23,7</w:t>
            </w:r>
          </w:p>
        </w:tc>
        <w:tc>
          <w:tcPr>
            <w:tcW w:w="940" w:type="dxa"/>
            <w:shd w:val="clear" w:color="auto" w:fill="auto"/>
            <w:noWrap/>
            <w:vAlign w:val="bottom"/>
            <w:hideMark/>
          </w:tcPr>
          <w:p w14:paraId="0C402B29"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31,2</w:t>
            </w:r>
          </w:p>
        </w:tc>
        <w:tc>
          <w:tcPr>
            <w:tcW w:w="940" w:type="dxa"/>
            <w:shd w:val="clear" w:color="auto" w:fill="auto"/>
            <w:noWrap/>
            <w:vAlign w:val="bottom"/>
            <w:hideMark/>
          </w:tcPr>
          <w:p w14:paraId="14C47F64"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13,2</w:t>
            </w:r>
          </w:p>
        </w:tc>
        <w:tc>
          <w:tcPr>
            <w:tcW w:w="843" w:type="dxa"/>
            <w:shd w:val="clear" w:color="auto" w:fill="auto"/>
            <w:noWrap/>
            <w:vAlign w:val="bottom"/>
            <w:hideMark/>
          </w:tcPr>
          <w:p w14:paraId="5157DB58"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35,0</w:t>
            </w:r>
          </w:p>
        </w:tc>
        <w:tc>
          <w:tcPr>
            <w:tcW w:w="1403" w:type="dxa"/>
            <w:shd w:val="clear" w:color="auto" w:fill="auto"/>
            <w:noWrap/>
            <w:vAlign w:val="bottom"/>
            <w:hideMark/>
          </w:tcPr>
          <w:p w14:paraId="3286ABC4"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16,6</w:t>
            </w:r>
          </w:p>
        </w:tc>
        <w:tc>
          <w:tcPr>
            <w:tcW w:w="957" w:type="dxa"/>
            <w:shd w:val="clear" w:color="auto" w:fill="auto"/>
            <w:noWrap/>
            <w:vAlign w:val="bottom"/>
            <w:hideMark/>
          </w:tcPr>
          <w:p w14:paraId="73784E26"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18,3</w:t>
            </w:r>
          </w:p>
        </w:tc>
        <w:tc>
          <w:tcPr>
            <w:tcW w:w="891" w:type="dxa"/>
            <w:shd w:val="clear" w:color="auto" w:fill="auto"/>
            <w:noWrap/>
            <w:vAlign w:val="bottom"/>
            <w:hideMark/>
          </w:tcPr>
          <w:p w14:paraId="695B00BD"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23,6</w:t>
            </w:r>
          </w:p>
        </w:tc>
        <w:tc>
          <w:tcPr>
            <w:tcW w:w="611" w:type="dxa"/>
            <w:shd w:val="clear" w:color="auto" w:fill="auto"/>
            <w:noWrap/>
            <w:vAlign w:val="bottom"/>
            <w:hideMark/>
          </w:tcPr>
          <w:p w14:paraId="63383317"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11,4</w:t>
            </w:r>
          </w:p>
        </w:tc>
        <w:tc>
          <w:tcPr>
            <w:tcW w:w="842" w:type="dxa"/>
            <w:shd w:val="clear" w:color="auto" w:fill="auto"/>
            <w:noWrap/>
            <w:vAlign w:val="bottom"/>
            <w:hideMark/>
          </w:tcPr>
          <w:p w14:paraId="7E0CF0CA"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9,5</w:t>
            </w:r>
          </w:p>
        </w:tc>
        <w:tc>
          <w:tcPr>
            <w:tcW w:w="1402" w:type="dxa"/>
            <w:shd w:val="clear" w:color="auto" w:fill="auto"/>
            <w:noWrap/>
            <w:vAlign w:val="bottom"/>
            <w:hideMark/>
          </w:tcPr>
          <w:p w14:paraId="517E63C0"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4,2</w:t>
            </w:r>
          </w:p>
        </w:tc>
        <w:tc>
          <w:tcPr>
            <w:tcW w:w="957" w:type="dxa"/>
            <w:shd w:val="clear" w:color="auto" w:fill="auto"/>
            <w:noWrap/>
            <w:vAlign w:val="bottom"/>
            <w:hideMark/>
          </w:tcPr>
          <w:p w14:paraId="78C5AC04"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5,4</w:t>
            </w:r>
          </w:p>
        </w:tc>
        <w:tc>
          <w:tcPr>
            <w:tcW w:w="891" w:type="dxa"/>
            <w:shd w:val="clear" w:color="auto" w:fill="auto"/>
            <w:noWrap/>
            <w:vAlign w:val="bottom"/>
            <w:hideMark/>
          </w:tcPr>
          <w:p w14:paraId="52650B8A"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7,7</w:t>
            </w:r>
          </w:p>
        </w:tc>
        <w:tc>
          <w:tcPr>
            <w:tcW w:w="603" w:type="dxa"/>
            <w:shd w:val="clear" w:color="auto" w:fill="auto"/>
            <w:noWrap/>
            <w:vAlign w:val="bottom"/>
            <w:hideMark/>
          </w:tcPr>
          <w:p w14:paraId="0978912A"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1,8</w:t>
            </w:r>
          </w:p>
        </w:tc>
      </w:tr>
      <w:tr w:rsidR="00BB0C0C" w:rsidRPr="00783A21" w14:paraId="142D5130" w14:textId="77777777" w:rsidTr="00783A21">
        <w:trPr>
          <w:trHeight w:val="300"/>
          <w:jc w:val="center"/>
        </w:trPr>
        <w:tc>
          <w:tcPr>
            <w:tcW w:w="1581" w:type="dxa"/>
            <w:shd w:val="clear" w:color="auto" w:fill="9CC2E5" w:themeFill="accent1" w:themeFillTint="99"/>
            <w:noWrap/>
            <w:vAlign w:val="bottom"/>
            <w:hideMark/>
          </w:tcPr>
          <w:p w14:paraId="674B9C81" w14:textId="77777777" w:rsidR="00BB0C0C" w:rsidRPr="00783A21" w:rsidRDefault="00BB0C0C" w:rsidP="00783A21">
            <w:pPr>
              <w:spacing w:after="0" w:line="240" w:lineRule="auto"/>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 xml:space="preserve">IV kwartał </w:t>
            </w:r>
            <w:r w:rsidRPr="00783A21">
              <w:rPr>
                <w:rFonts w:ascii="Times New Roman" w:eastAsia="Times New Roman" w:hAnsi="Times New Roman" w:cs="Times New Roman"/>
                <w:sz w:val="20"/>
                <w:szCs w:val="20"/>
                <w:vertAlign w:val="superscript"/>
                <w:lang w:eastAsia="pl-PL"/>
              </w:rPr>
              <w:t>b</w:t>
            </w:r>
          </w:p>
        </w:tc>
        <w:tc>
          <w:tcPr>
            <w:tcW w:w="1212" w:type="dxa"/>
            <w:shd w:val="clear" w:color="auto" w:fill="auto"/>
            <w:noWrap/>
            <w:vAlign w:val="bottom"/>
            <w:hideMark/>
          </w:tcPr>
          <w:p w14:paraId="5AC0021D"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11,4</w:t>
            </w:r>
          </w:p>
        </w:tc>
        <w:tc>
          <w:tcPr>
            <w:tcW w:w="1020" w:type="dxa"/>
            <w:shd w:val="clear" w:color="auto" w:fill="auto"/>
            <w:noWrap/>
            <w:vAlign w:val="bottom"/>
            <w:hideMark/>
          </w:tcPr>
          <w:p w14:paraId="131DF90A"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5,5</w:t>
            </w:r>
          </w:p>
        </w:tc>
        <w:tc>
          <w:tcPr>
            <w:tcW w:w="940" w:type="dxa"/>
            <w:shd w:val="clear" w:color="auto" w:fill="auto"/>
            <w:noWrap/>
            <w:vAlign w:val="bottom"/>
            <w:hideMark/>
          </w:tcPr>
          <w:p w14:paraId="7FE7BAB0"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5,9</w:t>
            </w:r>
          </w:p>
        </w:tc>
        <w:tc>
          <w:tcPr>
            <w:tcW w:w="940" w:type="dxa"/>
            <w:shd w:val="clear" w:color="auto" w:fill="auto"/>
            <w:noWrap/>
            <w:vAlign w:val="bottom"/>
            <w:hideMark/>
          </w:tcPr>
          <w:p w14:paraId="77F1EBC5"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8,0</w:t>
            </w:r>
          </w:p>
        </w:tc>
        <w:tc>
          <w:tcPr>
            <w:tcW w:w="940" w:type="dxa"/>
            <w:shd w:val="clear" w:color="auto" w:fill="auto"/>
            <w:noWrap/>
            <w:vAlign w:val="bottom"/>
            <w:hideMark/>
          </w:tcPr>
          <w:p w14:paraId="16EECBE5"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3,5</w:t>
            </w:r>
          </w:p>
        </w:tc>
        <w:tc>
          <w:tcPr>
            <w:tcW w:w="843" w:type="dxa"/>
            <w:shd w:val="clear" w:color="auto" w:fill="auto"/>
            <w:noWrap/>
            <w:vAlign w:val="bottom"/>
            <w:hideMark/>
          </w:tcPr>
          <w:p w14:paraId="6210D63F"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9,3</w:t>
            </w:r>
          </w:p>
        </w:tc>
        <w:tc>
          <w:tcPr>
            <w:tcW w:w="1403" w:type="dxa"/>
            <w:shd w:val="clear" w:color="auto" w:fill="auto"/>
            <w:noWrap/>
            <w:vAlign w:val="bottom"/>
            <w:hideMark/>
          </w:tcPr>
          <w:p w14:paraId="3AF828B9"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4,5</w:t>
            </w:r>
          </w:p>
        </w:tc>
        <w:tc>
          <w:tcPr>
            <w:tcW w:w="957" w:type="dxa"/>
            <w:shd w:val="clear" w:color="auto" w:fill="auto"/>
            <w:noWrap/>
            <w:vAlign w:val="bottom"/>
            <w:hideMark/>
          </w:tcPr>
          <w:p w14:paraId="5D3F0205"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4,8</w:t>
            </w:r>
          </w:p>
        </w:tc>
        <w:tc>
          <w:tcPr>
            <w:tcW w:w="891" w:type="dxa"/>
            <w:shd w:val="clear" w:color="auto" w:fill="auto"/>
            <w:noWrap/>
            <w:vAlign w:val="bottom"/>
            <w:hideMark/>
          </w:tcPr>
          <w:p w14:paraId="553D583A"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6,4</w:t>
            </w:r>
          </w:p>
        </w:tc>
        <w:tc>
          <w:tcPr>
            <w:tcW w:w="611" w:type="dxa"/>
            <w:shd w:val="clear" w:color="auto" w:fill="auto"/>
            <w:noWrap/>
            <w:vAlign w:val="bottom"/>
            <w:hideMark/>
          </w:tcPr>
          <w:p w14:paraId="2D6E7DD1"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2,9</w:t>
            </w:r>
          </w:p>
        </w:tc>
        <w:tc>
          <w:tcPr>
            <w:tcW w:w="842" w:type="dxa"/>
            <w:shd w:val="clear" w:color="auto" w:fill="auto"/>
            <w:noWrap/>
            <w:vAlign w:val="bottom"/>
            <w:hideMark/>
          </w:tcPr>
          <w:p w14:paraId="02DD7F1D"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2,1</w:t>
            </w:r>
          </w:p>
        </w:tc>
        <w:tc>
          <w:tcPr>
            <w:tcW w:w="1402" w:type="dxa"/>
            <w:shd w:val="clear" w:color="auto" w:fill="auto"/>
            <w:noWrap/>
            <w:vAlign w:val="bottom"/>
            <w:hideMark/>
          </w:tcPr>
          <w:p w14:paraId="06623A41"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1,0</w:t>
            </w:r>
          </w:p>
        </w:tc>
        <w:tc>
          <w:tcPr>
            <w:tcW w:w="957" w:type="dxa"/>
            <w:shd w:val="clear" w:color="auto" w:fill="auto"/>
            <w:noWrap/>
            <w:vAlign w:val="bottom"/>
            <w:hideMark/>
          </w:tcPr>
          <w:p w14:paraId="0161845F"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1,1</w:t>
            </w:r>
          </w:p>
        </w:tc>
        <w:tc>
          <w:tcPr>
            <w:tcW w:w="891" w:type="dxa"/>
            <w:shd w:val="clear" w:color="auto" w:fill="auto"/>
            <w:noWrap/>
            <w:vAlign w:val="bottom"/>
            <w:hideMark/>
          </w:tcPr>
          <w:p w14:paraId="151FCFD3"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1,5</w:t>
            </w:r>
          </w:p>
        </w:tc>
        <w:tc>
          <w:tcPr>
            <w:tcW w:w="603" w:type="dxa"/>
            <w:shd w:val="clear" w:color="auto" w:fill="auto"/>
            <w:noWrap/>
            <w:vAlign w:val="bottom"/>
            <w:hideMark/>
          </w:tcPr>
          <w:p w14:paraId="00749964" w14:textId="77777777" w:rsidR="00BB0C0C" w:rsidRPr="00783A21" w:rsidRDefault="00BB0C0C" w:rsidP="00783A21">
            <w:pPr>
              <w:spacing w:after="0" w:line="240" w:lineRule="auto"/>
              <w:jc w:val="center"/>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0,6</w:t>
            </w:r>
          </w:p>
        </w:tc>
      </w:tr>
    </w:tbl>
    <w:p w14:paraId="29906724" w14:textId="77777777" w:rsidR="00D8445F" w:rsidRPr="001818BF" w:rsidRDefault="00D8445F" w:rsidP="001818BF">
      <w:pPr>
        <w:tabs>
          <w:tab w:val="left" w:pos="1440"/>
        </w:tabs>
        <w:jc w:val="both"/>
        <w:rPr>
          <w:rFonts w:ascii="Times New Roman" w:hAnsi="Times New Roman" w:cs="Times New Roman"/>
          <w:b/>
        </w:rPr>
      </w:pPr>
    </w:p>
    <w:p w14:paraId="23D18E8D" w14:textId="46CB1F0B" w:rsidR="004F08BD" w:rsidRPr="001818BF" w:rsidRDefault="004F08BD" w:rsidP="001818BF">
      <w:pPr>
        <w:tabs>
          <w:tab w:val="left" w:pos="1440"/>
        </w:tabs>
        <w:jc w:val="both"/>
        <w:rPr>
          <w:rFonts w:ascii="Times New Roman" w:hAnsi="Times New Roman" w:cs="Times New Roman"/>
          <w:b/>
        </w:rPr>
      </w:pPr>
      <w:r w:rsidRPr="001818BF">
        <w:rPr>
          <w:rFonts w:ascii="Times New Roman" w:hAnsi="Times New Roman" w:cs="Times New Roman"/>
          <w:b/>
        </w:rPr>
        <w:t>a-dotyczy wszystkich podróży  łącznie (krajowych i zagranicznych z co najmniej z 1 noclegiem, w celu prywatnym - wypoczynek, rekreacja i wakacje, odwiedziny u k</w:t>
      </w:r>
      <w:r w:rsidR="00D759BA">
        <w:rPr>
          <w:rFonts w:ascii="Times New Roman" w:hAnsi="Times New Roman" w:cs="Times New Roman"/>
          <w:b/>
        </w:rPr>
        <w:t>rewnych lub znajom</w:t>
      </w:r>
      <w:r w:rsidRPr="001818BF">
        <w:rPr>
          <w:rFonts w:ascii="Times New Roman" w:hAnsi="Times New Roman" w:cs="Times New Roman"/>
          <w:b/>
        </w:rPr>
        <w:t>ych, zdrowotny, religijny, pielgrzymka, edukacyjny, zakupy, inny ), dana osoba jest liczona jeden raz nawet jeśli uczestniczyła w więcej niż jednej podróży.</w:t>
      </w:r>
    </w:p>
    <w:p w14:paraId="3956854C" w14:textId="7B719733" w:rsidR="004F08BD" w:rsidRPr="001818BF" w:rsidRDefault="004F08BD" w:rsidP="001818BF">
      <w:pPr>
        <w:tabs>
          <w:tab w:val="left" w:pos="1440"/>
        </w:tabs>
        <w:jc w:val="both"/>
        <w:rPr>
          <w:rFonts w:ascii="Times New Roman" w:hAnsi="Times New Roman" w:cs="Times New Roman"/>
          <w:b/>
        </w:rPr>
      </w:pPr>
      <w:r w:rsidRPr="001818BF">
        <w:rPr>
          <w:rFonts w:ascii="Times New Roman" w:hAnsi="Times New Roman" w:cs="Times New Roman"/>
          <w:b/>
        </w:rPr>
        <w:t>b dotyczy wszystkich podróży łącznie (krajowych z noclegiem i zagranicznych z noclegiem i bez noclegu, w celu prywatnym - wypoczynek, rekreacja i wakacje), dana oso</w:t>
      </w:r>
      <w:r w:rsidR="00D759BA">
        <w:rPr>
          <w:rFonts w:ascii="Times New Roman" w:hAnsi="Times New Roman" w:cs="Times New Roman"/>
          <w:b/>
        </w:rPr>
        <w:t xml:space="preserve">ba jest liczona jeden raz nawet </w:t>
      </w:r>
      <w:r w:rsidRPr="001818BF">
        <w:rPr>
          <w:rFonts w:ascii="Times New Roman" w:hAnsi="Times New Roman" w:cs="Times New Roman"/>
          <w:b/>
        </w:rPr>
        <w:t>jeśli uczestniczyła w więcej niż jednej podróży.</w:t>
      </w:r>
    </w:p>
    <w:p w14:paraId="474498CA" w14:textId="77777777" w:rsidR="004F08BD" w:rsidRPr="001818BF" w:rsidRDefault="004F08BD" w:rsidP="001818BF">
      <w:pPr>
        <w:tabs>
          <w:tab w:val="left" w:pos="1440"/>
        </w:tabs>
        <w:jc w:val="both"/>
        <w:rPr>
          <w:rFonts w:ascii="Times New Roman" w:hAnsi="Times New Roman" w:cs="Times New Roman"/>
          <w:b/>
        </w:rPr>
      </w:pPr>
      <w:r w:rsidRPr="001818BF">
        <w:rPr>
          <w:rFonts w:ascii="Times New Roman" w:hAnsi="Times New Roman" w:cs="Times New Roman"/>
          <w:b/>
        </w:rPr>
        <w:t>Źródło:  Badanie "Uczestnictwo mieszkańców Polski (rezydentów) w podróżach", GUS</w:t>
      </w:r>
    </w:p>
    <w:p w14:paraId="2DA6519B" w14:textId="77777777" w:rsidR="00BB0C0C" w:rsidRDefault="004F08BD" w:rsidP="003C1988">
      <w:pPr>
        <w:tabs>
          <w:tab w:val="left" w:pos="1440"/>
        </w:tabs>
      </w:pPr>
      <w:r>
        <w:tab/>
      </w:r>
    </w:p>
    <w:p w14:paraId="60956114" w14:textId="77777777" w:rsidR="00D8445F" w:rsidRDefault="00D8445F" w:rsidP="003C1988">
      <w:pPr>
        <w:tabs>
          <w:tab w:val="left" w:pos="1440"/>
        </w:tabs>
      </w:pPr>
    </w:p>
    <w:p w14:paraId="5DBA17D4" w14:textId="77777777" w:rsidR="00D8445F" w:rsidRDefault="00D8445F" w:rsidP="003C1988">
      <w:pPr>
        <w:tabs>
          <w:tab w:val="left" w:pos="1440"/>
        </w:tabs>
      </w:pPr>
    </w:p>
    <w:p w14:paraId="4730F881" w14:textId="77777777" w:rsidR="00D8445F" w:rsidRPr="004F08BD" w:rsidRDefault="00D8445F" w:rsidP="003C1988">
      <w:pPr>
        <w:tabs>
          <w:tab w:val="left" w:pos="1440"/>
        </w:tabs>
        <w:sectPr w:rsidR="00D8445F" w:rsidRPr="004F08BD" w:rsidSect="00BB0C0C">
          <w:pgSz w:w="16838" w:h="11909" w:orient="landscape"/>
          <w:pgMar w:top="1293" w:right="1137" w:bottom="1250" w:left="1132" w:header="0" w:footer="3" w:gutter="0"/>
          <w:cols w:space="720"/>
          <w:noEndnote/>
          <w:docGrid w:linePitch="360"/>
        </w:sectPr>
      </w:pPr>
    </w:p>
    <w:p w14:paraId="3CBA5A8F" w14:textId="77777777" w:rsidR="00D8445F" w:rsidRPr="001144E2" w:rsidRDefault="00D8445F" w:rsidP="003C1988">
      <w:pPr>
        <w:spacing w:after="0" w:line="259" w:lineRule="auto"/>
        <w:rPr>
          <w:rFonts w:ascii="Times New Roman" w:hAnsi="Times New Roman"/>
          <w:b/>
          <w:color w:val="00B0F0"/>
          <w:sz w:val="24"/>
          <w:szCs w:val="24"/>
        </w:rPr>
      </w:pPr>
      <w:r w:rsidRPr="001144E2">
        <w:rPr>
          <w:rFonts w:ascii="Times New Roman" w:hAnsi="Times New Roman"/>
          <w:b/>
          <w:color w:val="00B0F0"/>
          <w:sz w:val="24"/>
          <w:szCs w:val="24"/>
        </w:rPr>
        <w:lastRenderedPageBreak/>
        <w:t xml:space="preserve">Uniwersytety Trzeciego Wieku </w:t>
      </w:r>
    </w:p>
    <w:p w14:paraId="5430F6CA" w14:textId="77777777" w:rsidR="00D8445F" w:rsidRPr="00C537F7" w:rsidRDefault="00D8445F" w:rsidP="001144E2">
      <w:pPr>
        <w:spacing w:after="0"/>
        <w:jc w:val="both"/>
        <w:rPr>
          <w:rFonts w:ascii="Times New Roman" w:hAnsi="Times New Roman" w:cs="Times New Roman"/>
          <w:bCs/>
          <w:sz w:val="24"/>
          <w:szCs w:val="24"/>
        </w:rPr>
      </w:pPr>
      <w:r w:rsidRPr="001144E2">
        <w:rPr>
          <w:rFonts w:ascii="Times New Roman" w:hAnsi="Times New Roman" w:cs="Times New Roman"/>
          <w:bCs/>
          <w:sz w:val="24"/>
          <w:szCs w:val="24"/>
        </w:rPr>
        <w:t>W</w:t>
      </w:r>
      <w:r w:rsidRPr="00C537F7">
        <w:rPr>
          <w:rFonts w:ascii="Times New Roman" w:hAnsi="Times New Roman" w:cs="Times New Roman"/>
          <w:bCs/>
          <w:sz w:val="24"/>
          <w:szCs w:val="24"/>
        </w:rPr>
        <w:t xml:space="preserve"> 2018 r. w Polsce działało 640 uniwersytetów trzeciego wieku, tj. podmiotów, których głównym celem jest działalność edukacyjna, integracja oraz aktywizacja osób starszych w celu poprawy jakości życia oraz zwiększenia ich uczestnictwa w życiu społecznym. Uniwersytety trzeciego wieku (UTW) działały na terenie wszystkich województw, z tego najwięcej 80 jednostek, położonych było na terenie województwa mazowieckiego.</w:t>
      </w:r>
    </w:p>
    <w:p w14:paraId="7578913A" w14:textId="77777777" w:rsidR="001144E2" w:rsidRDefault="001144E2" w:rsidP="001144E2">
      <w:pPr>
        <w:spacing w:after="0"/>
        <w:jc w:val="both"/>
        <w:rPr>
          <w:rFonts w:ascii="Times New Roman" w:hAnsi="Times New Roman" w:cs="Times New Roman"/>
          <w:sz w:val="24"/>
          <w:szCs w:val="24"/>
        </w:rPr>
      </w:pPr>
    </w:p>
    <w:p w14:paraId="2D6842DA" w14:textId="77777777" w:rsidR="00D8445F" w:rsidRDefault="00D8445F" w:rsidP="001144E2">
      <w:pPr>
        <w:spacing w:after="0"/>
        <w:jc w:val="both"/>
        <w:rPr>
          <w:rFonts w:ascii="Times New Roman" w:hAnsi="Times New Roman" w:cs="Times New Roman"/>
          <w:sz w:val="24"/>
          <w:szCs w:val="24"/>
        </w:rPr>
      </w:pPr>
      <w:r w:rsidRPr="00C537F7">
        <w:rPr>
          <w:rFonts w:ascii="Times New Roman" w:hAnsi="Times New Roman" w:cs="Times New Roman"/>
          <w:sz w:val="24"/>
          <w:szCs w:val="24"/>
        </w:rPr>
        <w:t xml:space="preserve">Polskie UTW posiadały zróżnicowaną formę organizacyjno-prawną, tj. działały w strukturze rozmaitych organizacji czy instytucji. Ponad 56% uniwersytetów dla seniorów funkcjonowało w strukturze organizacji pozarządowych, w tym 44,7% było stowarzyszeniami założonymi wyłącznie </w:t>
      </w:r>
      <w:r>
        <w:rPr>
          <w:rFonts w:ascii="Times New Roman" w:hAnsi="Times New Roman" w:cs="Times New Roman"/>
          <w:sz w:val="24"/>
          <w:szCs w:val="24"/>
        </w:rPr>
        <w:t xml:space="preserve">w celu prowadzenia UTW. Ponadto, </w:t>
      </w:r>
      <w:r w:rsidRPr="00C537F7">
        <w:rPr>
          <w:rFonts w:ascii="Times New Roman" w:hAnsi="Times New Roman" w:cs="Times New Roman"/>
          <w:sz w:val="24"/>
          <w:szCs w:val="24"/>
        </w:rPr>
        <w:t>UTW działały również przede wszystkim w strukturze uczelni – 21,5% oraz domów i ośrodków kultury – 17,7%.</w:t>
      </w:r>
    </w:p>
    <w:p w14:paraId="13D96483" w14:textId="77777777" w:rsidR="001144E2" w:rsidRDefault="001144E2" w:rsidP="001144E2">
      <w:pPr>
        <w:spacing w:after="0"/>
        <w:jc w:val="both"/>
        <w:rPr>
          <w:rFonts w:ascii="Times New Roman" w:hAnsi="Times New Roman" w:cs="Times New Roman"/>
          <w:sz w:val="24"/>
          <w:szCs w:val="24"/>
        </w:rPr>
      </w:pPr>
    </w:p>
    <w:p w14:paraId="15F1BBBA" w14:textId="77777777" w:rsidR="00C27002" w:rsidRDefault="00C27002" w:rsidP="00C27002">
      <w:pPr>
        <w:spacing w:after="0"/>
        <w:jc w:val="both"/>
        <w:rPr>
          <w:rFonts w:ascii="Times New Roman" w:hAnsi="Times New Roman" w:cs="Times New Roman"/>
          <w:sz w:val="24"/>
          <w:szCs w:val="24"/>
        </w:rPr>
      </w:pPr>
      <w:r w:rsidRPr="00115AFC">
        <w:rPr>
          <w:rFonts w:ascii="Times New Roman" w:hAnsi="Times New Roman" w:cs="Times New Roman"/>
          <w:noProof/>
          <w:sz w:val="16"/>
          <w:szCs w:val="16"/>
          <w:lang w:eastAsia="pl-PL"/>
        </w:rPr>
        <w:drawing>
          <wp:anchor distT="0" distB="0" distL="114300" distR="114300" simplePos="0" relativeHeight="251682816" behindDoc="1" locked="0" layoutInCell="1" allowOverlap="1" wp14:anchorId="05A912A4" wp14:editId="423CD254">
            <wp:simplePos x="0" y="0"/>
            <wp:positionH relativeFrom="margin">
              <wp:posOffset>8255</wp:posOffset>
            </wp:positionH>
            <wp:positionV relativeFrom="paragraph">
              <wp:posOffset>2230415</wp:posOffset>
            </wp:positionV>
            <wp:extent cx="5829300" cy="2125345"/>
            <wp:effectExtent l="0" t="0" r="0" b="8255"/>
            <wp:wrapTopAndBottom/>
            <wp:docPr id="4" name="Obraz 4" descr="C:\Users\aleksandra_wojcik\Desktop\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eksandra_wojcik\Desktop\OK.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9300" cy="2125345"/>
                    </a:xfrm>
                    <a:prstGeom prst="rect">
                      <a:avLst/>
                    </a:prstGeom>
                    <a:noFill/>
                    <a:ln w="12700">
                      <a:noFill/>
                    </a:ln>
                    <a:effectLst>
                      <a:softEdge rad="12700"/>
                    </a:effectLst>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89984" behindDoc="0" locked="0" layoutInCell="1" allowOverlap="1" wp14:anchorId="325DB58F" wp14:editId="500B0F02">
                <wp:simplePos x="0" y="0"/>
                <wp:positionH relativeFrom="column">
                  <wp:posOffset>3175</wp:posOffset>
                </wp:positionH>
                <wp:positionV relativeFrom="paragraph">
                  <wp:posOffset>1927033</wp:posOffset>
                </wp:positionV>
                <wp:extent cx="5829300" cy="457200"/>
                <wp:effectExtent l="0" t="0" r="0" b="0"/>
                <wp:wrapTopAndBottom/>
                <wp:docPr id="11" name="Pole tekstowe 11"/>
                <wp:cNvGraphicFramePr/>
                <a:graphic xmlns:a="http://schemas.openxmlformats.org/drawingml/2006/main">
                  <a:graphicData uri="http://schemas.microsoft.com/office/word/2010/wordprocessingShape">
                    <wps:wsp>
                      <wps:cNvSpPr txBox="1"/>
                      <wps:spPr>
                        <a:xfrm>
                          <a:off x="0" y="0"/>
                          <a:ext cx="5829300" cy="457200"/>
                        </a:xfrm>
                        <a:prstGeom prst="rect">
                          <a:avLst/>
                        </a:prstGeom>
                        <a:solidFill>
                          <a:prstClr val="white"/>
                        </a:solidFill>
                        <a:ln>
                          <a:noFill/>
                        </a:ln>
                      </wps:spPr>
                      <wps:txbx>
                        <w:txbxContent>
                          <w:p w14:paraId="3EFB0ADA" w14:textId="7B5CE58E" w:rsidR="00E5701D" w:rsidRPr="00C27002" w:rsidRDefault="00E5701D" w:rsidP="00C27002">
                            <w:pPr>
                              <w:pStyle w:val="Legenda"/>
                              <w:rPr>
                                <w:rFonts w:ascii="Times New Roman" w:hAnsi="Times New Roman" w:cs="Times New Roman"/>
                                <w:b/>
                                <w:i w:val="0"/>
                                <w:noProof/>
                                <w:sz w:val="22"/>
                                <w:szCs w:val="16"/>
                              </w:rPr>
                            </w:pPr>
                            <w:bookmarkStart w:id="55" w:name="_Toc49171447"/>
                            <w:r w:rsidRPr="00C27002">
                              <w:rPr>
                                <w:rFonts w:ascii="Times New Roman" w:hAnsi="Times New Roman" w:cs="Times New Roman"/>
                                <w:b/>
                                <w:i w:val="0"/>
                                <w:sz w:val="24"/>
                              </w:rPr>
                              <w:t xml:space="preserve">Rysunek </w:t>
                            </w:r>
                            <w:r w:rsidRPr="00C27002">
                              <w:rPr>
                                <w:rFonts w:ascii="Times New Roman" w:hAnsi="Times New Roman" w:cs="Times New Roman"/>
                                <w:b/>
                                <w:i w:val="0"/>
                                <w:sz w:val="24"/>
                              </w:rPr>
                              <w:fldChar w:fldCharType="begin"/>
                            </w:r>
                            <w:r w:rsidRPr="00C27002">
                              <w:rPr>
                                <w:rFonts w:ascii="Times New Roman" w:hAnsi="Times New Roman" w:cs="Times New Roman"/>
                                <w:b/>
                                <w:i w:val="0"/>
                                <w:sz w:val="24"/>
                              </w:rPr>
                              <w:instrText xml:space="preserve"> SEQ Rysunek \* ARABIC </w:instrText>
                            </w:r>
                            <w:r w:rsidRPr="00C27002">
                              <w:rPr>
                                <w:rFonts w:ascii="Times New Roman" w:hAnsi="Times New Roman" w:cs="Times New Roman"/>
                                <w:b/>
                                <w:i w:val="0"/>
                                <w:sz w:val="24"/>
                              </w:rPr>
                              <w:fldChar w:fldCharType="separate"/>
                            </w:r>
                            <w:r>
                              <w:rPr>
                                <w:rFonts w:ascii="Times New Roman" w:hAnsi="Times New Roman" w:cs="Times New Roman"/>
                                <w:b/>
                                <w:i w:val="0"/>
                                <w:noProof/>
                                <w:sz w:val="24"/>
                              </w:rPr>
                              <w:t>1</w:t>
                            </w:r>
                            <w:r w:rsidRPr="00C27002">
                              <w:rPr>
                                <w:rFonts w:ascii="Times New Roman" w:hAnsi="Times New Roman" w:cs="Times New Roman"/>
                                <w:b/>
                                <w:i w:val="0"/>
                                <w:sz w:val="24"/>
                              </w:rPr>
                              <w:fldChar w:fldCharType="end"/>
                            </w:r>
                            <w:r w:rsidRPr="00C27002">
                              <w:rPr>
                                <w:rFonts w:ascii="Times New Roman" w:hAnsi="Times New Roman" w:cs="Times New Roman"/>
                                <w:b/>
                                <w:i w:val="0"/>
                                <w:sz w:val="24"/>
                              </w:rPr>
                              <w:t xml:space="preserve"> UTW według form prowadzonej działalności edukacyjnej i aktywizującej</w:t>
                            </w:r>
                            <w:bookmarkEnd w:id="55"/>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325DB58F" id="_x0000_t202" coordsize="21600,21600" o:spt="202" path="m,l,21600r21600,l21600,xe">
                <v:stroke joinstyle="miter"/>
                <v:path gradientshapeok="t" o:connecttype="rect"/>
              </v:shapetype>
              <v:shape id="Pole tekstowe 11" o:spid="_x0000_s1026" type="#_x0000_t202" style="position:absolute;left:0;text-align:left;margin-left:.25pt;margin-top:151.75pt;width:459pt;height:36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is/MQIAAGcEAAAOAAAAZHJzL2Uyb0RvYy54bWysVE2P0zAQvSPxHyzfadrCwhI1XZWuipBW&#10;u5W6aM+u4zQWtsfY0ybl1zPORxcWToiLM54Zj/3em8niprWGnVSIGlzBZ5MpZ8pJKLU7FPzr4+bN&#10;NWcRhSuFAacKflaR3yxfv1o0PldzqMGUKjAq4mLe+ILXiD7PsihrZUWcgFeOghUEK5C24ZCVQTRU&#10;3ZpsPp2+zxoIpQ8gVYzkve2DfNnVryol8aGqokJmCk5vw24N3bpPa7ZciPwQhK+1HJ4h/uEVVmhH&#10;l15K3QoU7Bj0H6WslgEiVDiRYDOoKi1Vh4HQzKYv0Oxq4VWHhciJ/kJT/H9l5f1pG5guSbsZZ05Y&#10;0mgLRjFU3yJCoxj5iaTGx5xyd56ysf0ELR0Y/ZGcCXtbBZu+hIpRnOg+XyhWLTJJzqvr+ce3UwpJ&#10;ir27+kAapjLZ82kfIn5WYFkyCh5Iwo5ZcbqL2KeOKemyCEaXG21M2qTA2gR2EiR3U2tUQ/HfsoxL&#10;uQ7Sqb5g8mQJYg8lWdju2wH3HsozwQ7Qd0/0cqPpojsRcSsCtQvBoRHAB1oqA03BYbA4qyH8+Js/&#10;5ZOKFOWsofYrePx+FEFxZr440jf16miE0diPhjvaNRBEkoxe05l0IKAZzSqAfaLJWKVbKCScpLsK&#10;jqO5xn4IaLKkWq26JOpIL/DO7bxMpUdCH9snEfwgB5KQ9zA2pshfqNLn9vSujgiV7iRLhPYsDjxT&#10;N3eiD5OXxuXXfZf1/H9Y/gQAAP//AwBQSwMEFAAGAAgAAAAhAPcOQ3beAAAACAEAAA8AAABkcnMv&#10;ZG93bnJldi54bWxMj81OwzAQhO9IvIO1SFxQ67RVSglxKmjhBof+qOdtbJKIeB3ZTpO+PcsJbrM7&#10;o9lv8/VoW3ExPjSOFMymCQhDpdMNVQqOh/fJCkSISBpbR0bB1QRYF7c3OWbaDbQzl32sBJdQyFBB&#10;HWOXSRnK2lgMU9cZYu/LeYuRR19J7XHgctvKeZIspcWG+EKNndnUpvze91bBcuv7YUebh+3x7QM/&#10;u2p+er2elLq/G1+eQUQzxr8w/OIzOhTMdHY96SBaBSnnFCySBQu2n2YrFmfePKYpyCKX/x8ofgAA&#10;AP//AwBQSwECLQAUAAYACAAAACEAtoM4kv4AAADhAQAAEwAAAAAAAAAAAAAAAAAAAAAAW0NvbnRl&#10;bnRfVHlwZXNdLnhtbFBLAQItABQABgAIAAAAIQA4/SH/1gAAAJQBAAALAAAAAAAAAAAAAAAAAC8B&#10;AABfcmVscy8ucmVsc1BLAQItABQABgAIAAAAIQBDIis/MQIAAGcEAAAOAAAAAAAAAAAAAAAAAC4C&#10;AABkcnMvZTJvRG9jLnhtbFBLAQItABQABgAIAAAAIQD3DkN23gAAAAgBAAAPAAAAAAAAAAAAAAAA&#10;AIsEAABkcnMvZG93bnJldi54bWxQSwUGAAAAAAQABADzAAAAlgUAAAAA&#10;" stroked="f">
                <v:textbox inset="0,0,0,0">
                  <w:txbxContent>
                    <w:p w14:paraId="3EFB0ADA" w14:textId="7B5CE58E" w:rsidR="00E5701D" w:rsidRPr="00C27002" w:rsidRDefault="00E5701D" w:rsidP="00C27002">
                      <w:pPr>
                        <w:pStyle w:val="Legenda"/>
                        <w:rPr>
                          <w:rFonts w:ascii="Times New Roman" w:hAnsi="Times New Roman" w:cs="Times New Roman"/>
                          <w:b/>
                          <w:i w:val="0"/>
                          <w:noProof/>
                          <w:sz w:val="22"/>
                          <w:szCs w:val="16"/>
                        </w:rPr>
                      </w:pPr>
                      <w:bookmarkStart w:id="56" w:name="_Toc49171447"/>
                      <w:r w:rsidRPr="00C27002">
                        <w:rPr>
                          <w:rFonts w:ascii="Times New Roman" w:hAnsi="Times New Roman" w:cs="Times New Roman"/>
                          <w:b/>
                          <w:i w:val="0"/>
                          <w:sz w:val="24"/>
                        </w:rPr>
                        <w:t xml:space="preserve">Rysunek </w:t>
                      </w:r>
                      <w:r w:rsidRPr="00C27002">
                        <w:rPr>
                          <w:rFonts w:ascii="Times New Roman" w:hAnsi="Times New Roman" w:cs="Times New Roman"/>
                          <w:b/>
                          <w:i w:val="0"/>
                          <w:sz w:val="24"/>
                        </w:rPr>
                        <w:fldChar w:fldCharType="begin"/>
                      </w:r>
                      <w:r w:rsidRPr="00C27002">
                        <w:rPr>
                          <w:rFonts w:ascii="Times New Roman" w:hAnsi="Times New Roman" w:cs="Times New Roman"/>
                          <w:b/>
                          <w:i w:val="0"/>
                          <w:sz w:val="24"/>
                        </w:rPr>
                        <w:instrText xml:space="preserve"> SEQ Rysunek \* ARABIC </w:instrText>
                      </w:r>
                      <w:r w:rsidRPr="00C27002">
                        <w:rPr>
                          <w:rFonts w:ascii="Times New Roman" w:hAnsi="Times New Roman" w:cs="Times New Roman"/>
                          <w:b/>
                          <w:i w:val="0"/>
                          <w:sz w:val="24"/>
                        </w:rPr>
                        <w:fldChar w:fldCharType="separate"/>
                      </w:r>
                      <w:r>
                        <w:rPr>
                          <w:rFonts w:ascii="Times New Roman" w:hAnsi="Times New Roman" w:cs="Times New Roman"/>
                          <w:b/>
                          <w:i w:val="0"/>
                          <w:noProof/>
                          <w:sz w:val="24"/>
                        </w:rPr>
                        <w:t>1</w:t>
                      </w:r>
                      <w:r w:rsidRPr="00C27002">
                        <w:rPr>
                          <w:rFonts w:ascii="Times New Roman" w:hAnsi="Times New Roman" w:cs="Times New Roman"/>
                          <w:b/>
                          <w:i w:val="0"/>
                          <w:sz w:val="24"/>
                        </w:rPr>
                        <w:fldChar w:fldCharType="end"/>
                      </w:r>
                      <w:r w:rsidRPr="00C27002">
                        <w:rPr>
                          <w:rFonts w:ascii="Times New Roman" w:hAnsi="Times New Roman" w:cs="Times New Roman"/>
                          <w:b/>
                          <w:i w:val="0"/>
                          <w:sz w:val="24"/>
                        </w:rPr>
                        <w:t xml:space="preserve"> UTW według form prowadzonej działalności edukacyjnej i aktywizującej</w:t>
                      </w:r>
                      <w:bookmarkEnd w:id="56"/>
                    </w:p>
                  </w:txbxContent>
                </v:textbox>
                <w10:wrap type="topAndBottom"/>
              </v:shape>
            </w:pict>
          </mc:Fallback>
        </mc:AlternateContent>
      </w:r>
      <w:r w:rsidR="00D8445F" w:rsidRPr="00C537F7">
        <w:rPr>
          <w:rFonts w:ascii="Times New Roman" w:hAnsi="Times New Roman" w:cs="Times New Roman"/>
          <w:sz w:val="24"/>
          <w:szCs w:val="24"/>
        </w:rPr>
        <w:t>Zadaniem uniwersytetu trzeciego wieku jest przede wszystkim organizowanie i prowadzenie wykładów, seminariów, zajęć regularnych, w tym warsztatów, kursów, kół zainteresowań, a także działalność kulturalno-artystyczna i nierzadko działalność społeczna na rzecz potrzebujących. Spośród UTW, które wzięły udział w badaniu statystycznym, 575 jednostek miało w ofercie edukacyjnej wykłady i seminaria. Nieco mniej, tj. 526 UTW, oferowało słuchaczom zajęcia regularne, wśród których dominowały zajęcia sportowe i ruchowe (88,2%), kursy językowe (81,4%) oraz zajęcia artystyczne (73,0%). Blisko 70% UTW oferowało słuchaczom zajęcia komputerowe. W skali kraju średnia frekwencja udziału słuchaczy w zajęciach regularnych wyniosła ponad 63%, a dziewi</w:t>
      </w:r>
      <w:r>
        <w:rPr>
          <w:rFonts w:ascii="Times New Roman" w:hAnsi="Times New Roman" w:cs="Times New Roman"/>
          <w:sz w:val="24"/>
          <w:szCs w:val="24"/>
        </w:rPr>
        <w:t>ęć UTW wykazało 100% frekwencję</w:t>
      </w:r>
    </w:p>
    <w:p w14:paraId="75BB82A4" w14:textId="77777777" w:rsidR="00D8445F" w:rsidRPr="00C27002" w:rsidRDefault="00D8445F" w:rsidP="00C27002">
      <w:pPr>
        <w:spacing w:after="0" w:line="240" w:lineRule="auto"/>
        <w:rPr>
          <w:rFonts w:ascii="Times New Roman" w:hAnsi="Times New Roman" w:cs="Times New Roman"/>
          <w:b/>
          <w:bCs/>
        </w:rPr>
      </w:pPr>
      <w:r w:rsidRPr="00C27002">
        <w:rPr>
          <w:rFonts w:ascii="Times New Roman" w:hAnsi="Times New Roman" w:cs="Times New Roman"/>
          <w:b/>
        </w:rPr>
        <w:t xml:space="preserve">Źródło: </w:t>
      </w:r>
      <w:r w:rsidRPr="00C27002">
        <w:rPr>
          <w:rFonts w:ascii="Times New Roman" w:hAnsi="Times New Roman" w:cs="Times New Roman"/>
          <w:b/>
          <w:bCs/>
        </w:rPr>
        <w:t>Uniwersytety trzeciego wieku w Polsce w 2018 r., GUS, 2019 r.</w:t>
      </w:r>
    </w:p>
    <w:p w14:paraId="358FD6FF" w14:textId="77777777" w:rsidR="00C27002" w:rsidRPr="00C27002" w:rsidRDefault="00C27002" w:rsidP="00C27002">
      <w:pPr>
        <w:spacing w:after="0" w:line="240" w:lineRule="auto"/>
        <w:rPr>
          <w:rFonts w:ascii="Times New Roman" w:hAnsi="Times New Roman" w:cs="Times New Roman"/>
          <w:sz w:val="16"/>
          <w:szCs w:val="16"/>
        </w:rPr>
      </w:pPr>
    </w:p>
    <w:p w14:paraId="6A37D392" w14:textId="77777777" w:rsidR="00D8445F" w:rsidRPr="00602F15" w:rsidRDefault="00D8445F" w:rsidP="00602F15">
      <w:pPr>
        <w:pStyle w:val="Default"/>
        <w:spacing w:line="276" w:lineRule="auto"/>
        <w:jc w:val="both"/>
        <w:rPr>
          <w:rFonts w:ascii="Times New Roman" w:hAnsi="Times New Roman" w:cs="Times New Roman"/>
        </w:rPr>
      </w:pPr>
      <w:r w:rsidRPr="00602F15">
        <w:rPr>
          <w:rFonts w:ascii="Times New Roman" w:hAnsi="Times New Roman" w:cs="Times New Roman"/>
        </w:rPr>
        <w:t xml:space="preserve">Inną formą działalności UTW są imprezy kulturalno-artystyczne, które oferowało swoim słuchaczom 550 uniwersytetów. Najpopularniejsze wśród nich były wyjazdy, wycieczki i rajdy turystyczne, które zorganizowało 98,8% UTW, a także wyjścia do kina, teatru, muzeum </w:t>
      </w:r>
      <w:r w:rsidRPr="00602F15">
        <w:rPr>
          <w:rFonts w:ascii="Times New Roman" w:hAnsi="Times New Roman" w:cs="Times New Roman"/>
        </w:rPr>
        <w:br/>
        <w:t xml:space="preserve">czy innych instytucji kultury (92,1%). </w:t>
      </w:r>
    </w:p>
    <w:p w14:paraId="7ABC6732" w14:textId="77777777" w:rsidR="00602F15" w:rsidRDefault="00602F15" w:rsidP="00602F15">
      <w:pPr>
        <w:spacing w:after="0"/>
        <w:jc w:val="both"/>
        <w:rPr>
          <w:rFonts w:ascii="Times New Roman" w:hAnsi="Times New Roman" w:cs="Times New Roman"/>
          <w:sz w:val="24"/>
          <w:szCs w:val="24"/>
        </w:rPr>
      </w:pPr>
    </w:p>
    <w:p w14:paraId="28CFDD3B" w14:textId="77777777" w:rsidR="00D8445F" w:rsidRDefault="00D8445F" w:rsidP="00602F15">
      <w:pPr>
        <w:spacing w:after="0"/>
        <w:jc w:val="both"/>
        <w:rPr>
          <w:rFonts w:ascii="Times New Roman" w:hAnsi="Times New Roman" w:cs="Times New Roman"/>
          <w:sz w:val="24"/>
          <w:szCs w:val="24"/>
        </w:rPr>
      </w:pPr>
      <w:r w:rsidRPr="00602F15">
        <w:rPr>
          <w:rFonts w:ascii="Times New Roman" w:hAnsi="Times New Roman" w:cs="Times New Roman"/>
          <w:sz w:val="24"/>
          <w:szCs w:val="24"/>
        </w:rPr>
        <w:lastRenderedPageBreak/>
        <w:t>Odmienną w charakterze działalnością, realizowaną przez 285 jednostek, były działania społeczne na rzecz osób potrzebujących spoza UTW. Pomoc słuchaczy była skierowana głównie do osób starszych (w 67,7% uniwersytetów), społeczności lokalnej (6</w:t>
      </w:r>
      <w:r w:rsidR="00602F15">
        <w:rPr>
          <w:rFonts w:ascii="Times New Roman" w:hAnsi="Times New Roman" w:cs="Times New Roman"/>
          <w:sz w:val="24"/>
          <w:szCs w:val="24"/>
        </w:rPr>
        <w:t xml:space="preserve">3,7%) oraz dzieci </w:t>
      </w:r>
      <w:r w:rsidRPr="00602F15">
        <w:rPr>
          <w:rFonts w:ascii="Times New Roman" w:hAnsi="Times New Roman" w:cs="Times New Roman"/>
          <w:sz w:val="24"/>
          <w:szCs w:val="24"/>
        </w:rPr>
        <w:t>i młodzieży (52,3%).</w:t>
      </w:r>
    </w:p>
    <w:p w14:paraId="4966E1D9" w14:textId="77777777" w:rsidR="008B6F02" w:rsidRPr="00602F15" w:rsidRDefault="008B6F02" w:rsidP="00602F15">
      <w:pPr>
        <w:spacing w:after="0"/>
        <w:jc w:val="both"/>
        <w:rPr>
          <w:rFonts w:ascii="Times New Roman" w:hAnsi="Times New Roman" w:cs="Times New Roman"/>
          <w:sz w:val="24"/>
          <w:szCs w:val="24"/>
        </w:rPr>
      </w:pPr>
    </w:p>
    <w:p w14:paraId="0AF30B44" w14:textId="77777777" w:rsidR="00D8445F" w:rsidRPr="00A82C5E" w:rsidRDefault="00D8445F" w:rsidP="00602F15">
      <w:pPr>
        <w:spacing w:after="0"/>
        <w:jc w:val="both"/>
        <w:rPr>
          <w:rFonts w:ascii="Times New Roman" w:hAnsi="Times New Roman" w:cs="Times New Roman"/>
          <w:sz w:val="24"/>
          <w:szCs w:val="24"/>
        </w:rPr>
      </w:pPr>
      <w:r w:rsidRPr="00A82C5E">
        <w:rPr>
          <w:rFonts w:ascii="Times New Roman" w:hAnsi="Times New Roman" w:cs="Times New Roman"/>
          <w:sz w:val="24"/>
          <w:szCs w:val="24"/>
        </w:rPr>
        <w:t>Uniwersytety trzeciego wieku zapraszały do współpracy lub zatrudniały osoby prowadzące wykłady i seminaria oraz zajęcia regularne. Pośród blisko 14 tys. wykładowców, najliczniejszą grupę stanowili nauczyciele akademiccy (bez lektorów i nauczycieli języków obcych) – ponad 4,1 tys. Cześć kadry dydaktycznej 41,1% pracowała na rzecz UTW nieodpłatnie. Największą grupę nieodpłatnie prowadzących zajęcia lub wykłady stanowili sami słuchacze (85,1%), natomiast najczęściej UTW ponosiły wydatki na opłacenie zawodowych instruktorów i trenerów – ponad 77% z nich otrzymało wynagrodzenie za pracę.</w:t>
      </w:r>
    </w:p>
    <w:p w14:paraId="2903E37B" w14:textId="77777777" w:rsidR="00602F15" w:rsidRDefault="00602F15" w:rsidP="00602F15">
      <w:pPr>
        <w:spacing w:after="0"/>
        <w:jc w:val="both"/>
        <w:rPr>
          <w:rFonts w:ascii="Times New Roman" w:hAnsi="Times New Roman" w:cs="Times New Roman"/>
          <w:sz w:val="24"/>
          <w:szCs w:val="24"/>
        </w:rPr>
      </w:pPr>
    </w:p>
    <w:p w14:paraId="153AACDE" w14:textId="77777777" w:rsidR="00D8445F" w:rsidRDefault="00D8445F" w:rsidP="00602F15">
      <w:pPr>
        <w:spacing w:after="0"/>
        <w:jc w:val="both"/>
        <w:rPr>
          <w:rFonts w:ascii="Times New Roman" w:hAnsi="Times New Roman" w:cs="Times New Roman"/>
          <w:sz w:val="24"/>
          <w:szCs w:val="24"/>
        </w:rPr>
      </w:pPr>
      <w:r w:rsidRPr="00A82C5E">
        <w:rPr>
          <w:rFonts w:ascii="Times New Roman" w:hAnsi="Times New Roman" w:cs="Times New Roman"/>
          <w:sz w:val="24"/>
          <w:szCs w:val="24"/>
        </w:rPr>
        <w:t xml:space="preserve">We wszystkich badanych UTW w Polsce studiowało łącznie 113,2 tys. słuchaczy, </w:t>
      </w:r>
      <w:r>
        <w:rPr>
          <w:rFonts w:ascii="Times New Roman" w:hAnsi="Times New Roman" w:cs="Times New Roman"/>
          <w:sz w:val="24"/>
          <w:szCs w:val="24"/>
        </w:rPr>
        <w:br/>
      </w:r>
      <w:r w:rsidRPr="00A82C5E">
        <w:rPr>
          <w:rFonts w:ascii="Times New Roman" w:hAnsi="Times New Roman" w:cs="Times New Roman"/>
          <w:sz w:val="24"/>
          <w:szCs w:val="24"/>
        </w:rPr>
        <w:t xml:space="preserve">w tym 95,4 tys. kobiet. Najwięcej studiujących seniorów to osoby w wieku 61-75 lat (71,9%). </w:t>
      </w:r>
      <w:r>
        <w:rPr>
          <w:rFonts w:ascii="Times New Roman" w:hAnsi="Times New Roman" w:cs="Times New Roman"/>
          <w:sz w:val="24"/>
          <w:szCs w:val="24"/>
        </w:rPr>
        <w:br/>
      </w:r>
      <w:r w:rsidRPr="00A82C5E">
        <w:rPr>
          <w:rFonts w:ascii="Times New Roman" w:hAnsi="Times New Roman" w:cs="Times New Roman"/>
          <w:sz w:val="24"/>
          <w:szCs w:val="24"/>
        </w:rPr>
        <w:t>Pod względem poziomu wykształcenia dominowały osoby z wykształceniem średnim (50,5%), a w przekroju według statusu na rynku pracy najwięcej słuchac</w:t>
      </w:r>
      <w:r>
        <w:rPr>
          <w:rFonts w:ascii="Times New Roman" w:hAnsi="Times New Roman" w:cs="Times New Roman"/>
          <w:sz w:val="24"/>
          <w:szCs w:val="24"/>
        </w:rPr>
        <w:t>zy miało status emeryta (87,9%).</w:t>
      </w:r>
    </w:p>
    <w:p w14:paraId="0706898F" w14:textId="77777777" w:rsidR="00602F15" w:rsidRDefault="00602F15" w:rsidP="00602F15">
      <w:pPr>
        <w:spacing w:after="0"/>
        <w:jc w:val="both"/>
        <w:rPr>
          <w:rFonts w:ascii="Times New Roman" w:hAnsi="Times New Roman" w:cs="Times New Roman"/>
          <w:sz w:val="24"/>
          <w:szCs w:val="24"/>
        </w:rPr>
      </w:pPr>
    </w:p>
    <w:p w14:paraId="20D7DC50" w14:textId="77777777" w:rsidR="00397768" w:rsidRPr="00397768" w:rsidRDefault="00397768" w:rsidP="00397768">
      <w:pPr>
        <w:spacing w:after="0"/>
        <w:jc w:val="both"/>
        <w:rPr>
          <w:rFonts w:ascii="Times New Roman" w:hAnsi="Times New Roman" w:cs="Times New Roman"/>
          <w:sz w:val="24"/>
          <w:szCs w:val="24"/>
        </w:rPr>
      </w:pPr>
      <w:r>
        <w:rPr>
          <w:noProof/>
          <w:lang w:eastAsia="pl-PL"/>
        </w:rPr>
        <mc:AlternateContent>
          <mc:Choice Requires="wps">
            <w:drawing>
              <wp:anchor distT="0" distB="0" distL="114300" distR="114300" simplePos="0" relativeHeight="251692032" behindDoc="0" locked="0" layoutInCell="1" allowOverlap="1" wp14:anchorId="534B9452" wp14:editId="1585EA67">
                <wp:simplePos x="0" y="0"/>
                <wp:positionH relativeFrom="column">
                  <wp:posOffset>48437</wp:posOffset>
                </wp:positionH>
                <wp:positionV relativeFrom="paragraph">
                  <wp:posOffset>1353820</wp:posOffset>
                </wp:positionV>
                <wp:extent cx="5849620" cy="457200"/>
                <wp:effectExtent l="0" t="0" r="0" b="0"/>
                <wp:wrapSquare wrapText="bothSides"/>
                <wp:docPr id="13" name="Pole tekstowe 13"/>
                <wp:cNvGraphicFramePr/>
                <a:graphic xmlns:a="http://schemas.openxmlformats.org/drawingml/2006/main">
                  <a:graphicData uri="http://schemas.microsoft.com/office/word/2010/wordprocessingShape">
                    <wps:wsp>
                      <wps:cNvSpPr txBox="1"/>
                      <wps:spPr>
                        <a:xfrm>
                          <a:off x="0" y="0"/>
                          <a:ext cx="5849620" cy="457200"/>
                        </a:xfrm>
                        <a:prstGeom prst="rect">
                          <a:avLst/>
                        </a:prstGeom>
                        <a:solidFill>
                          <a:prstClr val="white"/>
                        </a:solidFill>
                        <a:ln>
                          <a:noFill/>
                        </a:ln>
                      </wps:spPr>
                      <wps:txbx>
                        <w:txbxContent>
                          <w:p w14:paraId="7B8D590B" w14:textId="0FCEC169" w:rsidR="00E5701D" w:rsidRPr="00397768" w:rsidRDefault="00E5701D" w:rsidP="00397768">
                            <w:pPr>
                              <w:pStyle w:val="Legenda"/>
                              <w:rPr>
                                <w:rFonts w:ascii="Times New Roman" w:hAnsi="Times New Roman" w:cs="Times New Roman"/>
                                <w:b/>
                                <w:i w:val="0"/>
                                <w:noProof/>
                                <w:sz w:val="36"/>
                                <w:szCs w:val="24"/>
                              </w:rPr>
                            </w:pPr>
                            <w:bookmarkStart w:id="56" w:name="_Toc49171448"/>
                            <w:r w:rsidRPr="00397768">
                              <w:rPr>
                                <w:rFonts w:ascii="Times New Roman" w:hAnsi="Times New Roman" w:cs="Times New Roman"/>
                                <w:b/>
                                <w:i w:val="0"/>
                                <w:sz w:val="24"/>
                              </w:rPr>
                              <w:t xml:space="preserve">Rysunek </w:t>
                            </w:r>
                            <w:r w:rsidRPr="00397768">
                              <w:rPr>
                                <w:rFonts w:ascii="Times New Roman" w:hAnsi="Times New Roman" w:cs="Times New Roman"/>
                                <w:b/>
                                <w:i w:val="0"/>
                                <w:sz w:val="24"/>
                              </w:rPr>
                              <w:fldChar w:fldCharType="begin"/>
                            </w:r>
                            <w:r w:rsidRPr="00397768">
                              <w:rPr>
                                <w:rFonts w:ascii="Times New Roman" w:hAnsi="Times New Roman" w:cs="Times New Roman"/>
                                <w:b/>
                                <w:i w:val="0"/>
                                <w:sz w:val="24"/>
                              </w:rPr>
                              <w:instrText xml:space="preserve"> SEQ Rysunek \* ARABIC </w:instrText>
                            </w:r>
                            <w:r w:rsidRPr="00397768">
                              <w:rPr>
                                <w:rFonts w:ascii="Times New Roman" w:hAnsi="Times New Roman" w:cs="Times New Roman"/>
                                <w:b/>
                                <w:i w:val="0"/>
                                <w:sz w:val="24"/>
                              </w:rPr>
                              <w:fldChar w:fldCharType="separate"/>
                            </w:r>
                            <w:r>
                              <w:rPr>
                                <w:rFonts w:ascii="Times New Roman" w:hAnsi="Times New Roman" w:cs="Times New Roman"/>
                                <w:b/>
                                <w:i w:val="0"/>
                                <w:noProof/>
                                <w:sz w:val="24"/>
                              </w:rPr>
                              <w:t>2</w:t>
                            </w:r>
                            <w:r w:rsidRPr="00397768">
                              <w:rPr>
                                <w:rFonts w:ascii="Times New Roman" w:hAnsi="Times New Roman" w:cs="Times New Roman"/>
                                <w:b/>
                                <w:i w:val="0"/>
                                <w:sz w:val="24"/>
                              </w:rPr>
                              <w:fldChar w:fldCharType="end"/>
                            </w:r>
                            <w:r w:rsidRPr="00397768">
                              <w:rPr>
                                <w:rFonts w:ascii="Times New Roman" w:hAnsi="Times New Roman" w:cs="Times New Roman"/>
                                <w:b/>
                                <w:i w:val="0"/>
                                <w:sz w:val="24"/>
                              </w:rPr>
                              <w:t xml:space="preserve"> Słuchacze UTW według statusu na rynku pracy</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34B9452" id="Pole tekstowe 13" o:spid="_x0000_s1027" type="#_x0000_t202" style="position:absolute;left:0;text-align:left;margin-left:3.8pt;margin-top:106.6pt;width:460.6pt;height:36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9TFNAIAAG4EAAAOAAAAZHJzL2Uyb0RvYy54bWysVE1v2zAMvQ/YfxB0X5xkbdcFcYosRYYB&#10;QRsgHXpWZCkWJouaxMTOfv0of6Rbt9Owi0yRFKX3Hun5XVNZdlIhGnA5n4zGnCknoTDukPOvT+t3&#10;t5xFFK4QFpzK+VlFfrd4+2Ze+5maQgm2UIFRERdntc95iehnWRZlqSoRR+CVo6CGUAmkbThkRRA1&#10;Va9sNh2Pb7IaQuEDSBUjee+7IF+09bVWEh+1jgqZzTm9Dds1tOs+rdliLmaHIHxpZP8M8Q+vqIRx&#10;dOml1L1AwY7B/FGqMjJABI0jCVUGWhupWgyEZjJ+hWZXCq9aLERO9Bea4v8rKx9O28BMQdq958yJ&#10;ijTaglUM1beIUCtGfiKp9nFGuTtP2dh8goYODP5IzoS90aFKX0LFKE50ny8UqwaZJOf17dXHmymF&#10;JMWurj+QhqlM9nLah4ifFVQsGTkPJGHLrDhtInapQ0q6LII1xdpYmzYpsLKBnQTJXZcGVV/8tyzr&#10;Uq6DdKormDxZgthBSRY2+6bjZYC5h+JM6AN0TRS9XBu6byMibkWgriFUNAn4SIu2UOcceouzEsKP&#10;v/lTPolJUc5q6sKcx+9HERRn9osjmVPLDkYYjP1guGO1AkI6oRnzsjXpQEA7mDpA9UwDsky3UEg4&#10;SXflHAdzhd0s0IBJtVy2SdSYXuDG7bxMpQden5pnEXyvCpKeDzD0p5i9EqfL7VheHhG0aZVLvHYs&#10;9nRTU7fa9wOYpubXfZv18ptY/AQAAP//AwBQSwMEFAAGAAgAAAAhAFaPWczeAAAACQEAAA8AAABk&#10;cnMvZG93bnJldi54bWxMj8FOwzAQRO9I/IO1SFwQdWpECCFOBS3c4NBS9ezGSxIRr6PYadK/ZznB&#10;cWdGs2+K1ew6ccIhtJ40LBcJCKTK25ZqDfvPt9sMRIiGrOk8oYYzBliVlxeFya2faIunXawFl1DI&#10;jYYmxj6XMlQNOhMWvkdi78sPzkQ+h1rawUxc7jqpkiSVzrTEHxrT47rB6ns3Og3pZhinLa1vNvvX&#10;d/PR1+rwcj5ofX01Pz+BiDjHvzD84jM6lMx09CPZIDoNDykHNajlnQLB/qPKeMqRlexegSwL+X9B&#10;+QMAAP//AwBQSwECLQAUAAYACAAAACEAtoM4kv4AAADhAQAAEwAAAAAAAAAAAAAAAAAAAAAAW0Nv&#10;bnRlbnRfVHlwZXNdLnhtbFBLAQItABQABgAIAAAAIQA4/SH/1gAAAJQBAAALAAAAAAAAAAAAAAAA&#10;AC8BAABfcmVscy8ucmVsc1BLAQItABQABgAIAAAAIQAY69TFNAIAAG4EAAAOAAAAAAAAAAAAAAAA&#10;AC4CAABkcnMvZTJvRG9jLnhtbFBLAQItABQABgAIAAAAIQBWj1nM3gAAAAkBAAAPAAAAAAAAAAAA&#10;AAAAAI4EAABkcnMvZG93bnJldi54bWxQSwUGAAAAAAQABADzAAAAmQUAAAAA&#10;" stroked="f">
                <v:textbox inset="0,0,0,0">
                  <w:txbxContent>
                    <w:p w14:paraId="7B8D590B" w14:textId="0FCEC169" w:rsidR="00E5701D" w:rsidRPr="00397768" w:rsidRDefault="00E5701D" w:rsidP="00397768">
                      <w:pPr>
                        <w:pStyle w:val="Legenda"/>
                        <w:rPr>
                          <w:rFonts w:ascii="Times New Roman" w:hAnsi="Times New Roman" w:cs="Times New Roman"/>
                          <w:b/>
                          <w:i w:val="0"/>
                          <w:noProof/>
                          <w:sz w:val="36"/>
                          <w:szCs w:val="24"/>
                        </w:rPr>
                      </w:pPr>
                      <w:bookmarkStart w:id="58" w:name="_Toc49171448"/>
                      <w:r w:rsidRPr="00397768">
                        <w:rPr>
                          <w:rFonts w:ascii="Times New Roman" w:hAnsi="Times New Roman" w:cs="Times New Roman"/>
                          <w:b/>
                          <w:i w:val="0"/>
                          <w:sz w:val="24"/>
                        </w:rPr>
                        <w:t xml:space="preserve">Rysunek </w:t>
                      </w:r>
                      <w:r w:rsidRPr="00397768">
                        <w:rPr>
                          <w:rFonts w:ascii="Times New Roman" w:hAnsi="Times New Roman" w:cs="Times New Roman"/>
                          <w:b/>
                          <w:i w:val="0"/>
                          <w:sz w:val="24"/>
                        </w:rPr>
                        <w:fldChar w:fldCharType="begin"/>
                      </w:r>
                      <w:r w:rsidRPr="00397768">
                        <w:rPr>
                          <w:rFonts w:ascii="Times New Roman" w:hAnsi="Times New Roman" w:cs="Times New Roman"/>
                          <w:b/>
                          <w:i w:val="0"/>
                          <w:sz w:val="24"/>
                        </w:rPr>
                        <w:instrText xml:space="preserve"> SEQ Rysunek \* ARABIC </w:instrText>
                      </w:r>
                      <w:r w:rsidRPr="00397768">
                        <w:rPr>
                          <w:rFonts w:ascii="Times New Roman" w:hAnsi="Times New Roman" w:cs="Times New Roman"/>
                          <w:b/>
                          <w:i w:val="0"/>
                          <w:sz w:val="24"/>
                        </w:rPr>
                        <w:fldChar w:fldCharType="separate"/>
                      </w:r>
                      <w:r>
                        <w:rPr>
                          <w:rFonts w:ascii="Times New Roman" w:hAnsi="Times New Roman" w:cs="Times New Roman"/>
                          <w:b/>
                          <w:i w:val="0"/>
                          <w:noProof/>
                          <w:sz w:val="24"/>
                        </w:rPr>
                        <w:t>2</w:t>
                      </w:r>
                      <w:r w:rsidRPr="00397768">
                        <w:rPr>
                          <w:rFonts w:ascii="Times New Roman" w:hAnsi="Times New Roman" w:cs="Times New Roman"/>
                          <w:b/>
                          <w:i w:val="0"/>
                          <w:sz w:val="24"/>
                        </w:rPr>
                        <w:fldChar w:fldCharType="end"/>
                      </w:r>
                      <w:r w:rsidRPr="00397768">
                        <w:rPr>
                          <w:rFonts w:ascii="Times New Roman" w:hAnsi="Times New Roman" w:cs="Times New Roman"/>
                          <w:b/>
                          <w:i w:val="0"/>
                          <w:sz w:val="24"/>
                        </w:rPr>
                        <w:t xml:space="preserve"> Słuchacze UTW według statusu na rynku pracy</w:t>
                      </w:r>
                      <w:bookmarkEnd w:id="58"/>
                    </w:p>
                  </w:txbxContent>
                </v:textbox>
                <w10:wrap type="square"/>
              </v:shape>
            </w:pict>
          </mc:Fallback>
        </mc:AlternateContent>
      </w:r>
      <w:r w:rsidRPr="00A82C5E">
        <w:rPr>
          <w:rFonts w:ascii="Times New Roman" w:hAnsi="Times New Roman" w:cs="Times New Roman"/>
          <w:noProof/>
          <w:sz w:val="24"/>
          <w:szCs w:val="24"/>
          <w:lang w:eastAsia="pl-PL"/>
        </w:rPr>
        <w:drawing>
          <wp:anchor distT="0" distB="0" distL="114300" distR="114300" simplePos="0" relativeHeight="251683840" behindDoc="0" locked="0" layoutInCell="1" allowOverlap="0" wp14:anchorId="4D7E3860" wp14:editId="7E45953C">
            <wp:simplePos x="0" y="0"/>
            <wp:positionH relativeFrom="margin">
              <wp:posOffset>48895</wp:posOffset>
            </wp:positionH>
            <wp:positionV relativeFrom="paragraph">
              <wp:posOffset>1652196</wp:posOffset>
            </wp:positionV>
            <wp:extent cx="5850000" cy="2296800"/>
            <wp:effectExtent l="0" t="0" r="0" b="8255"/>
            <wp:wrapSquare wrapText="bothSides"/>
            <wp:docPr id="5" name="Obraz 5" descr="C:\Users\aleksandra_wojcik\Desktop\OK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eksandra_wojcik\Desktop\OK 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0000" cy="2296800"/>
                    </a:xfrm>
                    <a:prstGeom prst="rect">
                      <a:avLst/>
                    </a:prstGeom>
                    <a:noFill/>
                    <a:ln w="12700">
                      <a:noFill/>
                    </a:ln>
                  </pic:spPr>
                </pic:pic>
              </a:graphicData>
            </a:graphic>
            <wp14:sizeRelH relativeFrom="margin">
              <wp14:pctWidth>0</wp14:pctWidth>
            </wp14:sizeRelH>
            <wp14:sizeRelV relativeFrom="margin">
              <wp14:pctHeight>0</wp14:pctHeight>
            </wp14:sizeRelV>
          </wp:anchor>
        </w:drawing>
      </w:r>
      <w:r w:rsidR="00D8445F" w:rsidRPr="00A82C5E">
        <w:rPr>
          <w:rFonts w:ascii="Times New Roman" w:hAnsi="Times New Roman" w:cs="Times New Roman"/>
          <w:sz w:val="24"/>
          <w:szCs w:val="24"/>
        </w:rPr>
        <w:t xml:space="preserve">Uniwersytety trzeciego wieku w Polsce utrzymywały się przede wszystkim ze środków pobieranych od kandydatów i słuchaczy. Opłaty słuchaczy (wpisowe, czesne, opłaty za zajęcia) dla 35,9% jednostek były głównym źródłem dochodu. Dla 24,7% uniwersytetów głównym źródłem finansowania były natomiast dotacje ze środków samorządowych. Budżety na prowadzenie działalności uniwersytetów trzeciego wieku były bardzo zróżnicowane </w:t>
      </w:r>
      <w:r w:rsidR="00D8445F">
        <w:rPr>
          <w:rFonts w:ascii="Times New Roman" w:hAnsi="Times New Roman" w:cs="Times New Roman"/>
          <w:sz w:val="24"/>
          <w:szCs w:val="24"/>
        </w:rPr>
        <w:br/>
      </w:r>
      <w:r w:rsidR="00D8445F" w:rsidRPr="00A82C5E">
        <w:rPr>
          <w:rFonts w:ascii="Times New Roman" w:hAnsi="Times New Roman" w:cs="Times New Roman"/>
          <w:sz w:val="24"/>
          <w:szCs w:val="24"/>
        </w:rPr>
        <w:t>– od 110 zł do ponad 2 mln zł.</w:t>
      </w:r>
    </w:p>
    <w:p w14:paraId="142BA6BB" w14:textId="77777777" w:rsidR="00D42912" w:rsidRPr="008B6F02" w:rsidRDefault="00D8445F" w:rsidP="008B6F02">
      <w:pPr>
        <w:spacing w:after="120"/>
        <w:rPr>
          <w:rFonts w:ascii="Times New Roman" w:hAnsi="Times New Roman" w:cs="Times New Roman"/>
          <w:b/>
          <w:szCs w:val="24"/>
        </w:rPr>
      </w:pPr>
      <w:r w:rsidRPr="00397768">
        <w:rPr>
          <w:rFonts w:ascii="Times New Roman" w:hAnsi="Times New Roman" w:cs="Times New Roman"/>
          <w:b/>
          <w:szCs w:val="24"/>
        </w:rPr>
        <w:t xml:space="preserve">Źródło: Uniwersytety trzeciego wieku w Polsce w 2018 r., </w:t>
      </w:r>
      <w:r w:rsidR="008B6F02">
        <w:rPr>
          <w:rFonts w:ascii="Times New Roman" w:hAnsi="Times New Roman" w:cs="Times New Roman"/>
          <w:b/>
          <w:szCs w:val="24"/>
        </w:rPr>
        <w:t>GUS, 2019 r.</w:t>
      </w:r>
    </w:p>
    <w:p w14:paraId="69A81A37" w14:textId="2E2FE3A3" w:rsidR="00D42912" w:rsidRPr="00D42912" w:rsidRDefault="00D42912" w:rsidP="00D42912">
      <w:pPr>
        <w:pStyle w:val="Legenda"/>
        <w:keepNext/>
        <w:jc w:val="both"/>
        <w:rPr>
          <w:rFonts w:ascii="Times New Roman" w:hAnsi="Times New Roman" w:cs="Times New Roman"/>
          <w:b/>
          <w:i w:val="0"/>
          <w:sz w:val="24"/>
          <w:szCs w:val="24"/>
        </w:rPr>
      </w:pPr>
      <w:bookmarkStart w:id="57" w:name="_Toc49171417"/>
      <w:r w:rsidRPr="00D42912">
        <w:rPr>
          <w:rFonts w:ascii="Times New Roman" w:hAnsi="Times New Roman" w:cs="Times New Roman"/>
          <w:b/>
          <w:i w:val="0"/>
          <w:sz w:val="24"/>
          <w:szCs w:val="24"/>
        </w:rPr>
        <w:lastRenderedPageBreak/>
        <w:t xml:space="preserve">Tabela </w:t>
      </w:r>
      <w:r w:rsidRPr="00D42912">
        <w:rPr>
          <w:rFonts w:ascii="Times New Roman" w:hAnsi="Times New Roman" w:cs="Times New Roman"/>
          <w:b/>
          <w:i w:val="0"/>
          <w:sz w:val="24"/>
          <w:szCs w:val="24"/>
        </w:rPr>
        <w:fldChar w:fldCharType="begin"/>
      </w:r>
      <w:r w:rsidRPr="00D42912">
        <w:rPr>
          <w:rFonts w:ascii="Times New Roman" w:hAnsi="Times New Roman" w:cs="Times New Roman"/>
          <w:b/>
          <w:i w:val="0"/>
          <w:sz w:val="24"/>
          <w:szCs w:val="24"/>
        </w:rPr>
        <w:instrText xml:space="preserve"> SEQ Tabela \* ARABIC </w:instrText>
      </w:r>
      <w:r w:rsidRPr="00D42912">
        <w:rPr>
          <w:rFonts w:ascii="Times New Roman" w:hAnsi="Times New Roman" w:cs="Times New Roman"/>
          <w:b/>
          <w:i w:val="0"/>
          <w:sz w:val="24"/>
          <w:szCs w:val="24"/>
        </w:rPr>
        <w:fldChar w:fldCharType="separate"/>
      </w:r>
      <w:r w:rsidR="00C154C9">
        <w:rPr>
          <w:rFonts w:ascii="Times New Roman" w:hAnsi="Times New Roman" w:cs="Times New Roman"/>
          <w:b/>
          <w:i w:val="0"/>
          <w:noProof/>
          <w:sz w:val="24"/>
          <w:szCs w:val="24"/>
        </w:rPr>
        <w:t>42</w:t>
      </w:r>
      <w:r w:rsidRPr="00D42912">
        <w:rPr>
          <w:rFonts w:ascii="Times New Roman" w:hAnsi="Times New Roman" w:cs="Times New Roman"/>
          <w:b/>
          <w:i w:val="0"/>
          <w:sz w:val="24"/>
          <w:szCs w:val="24"/>
        </w:rPr>
        <w:fldChar w:fldCharType="end"/>
      </w:r>
      <w:r w:rsidRPr="00D42912">
        <w:rPr>
          <w:rFonts w:ascii="Times New Roman" w:hAnsi="Times New Roman" w:cs="Times New Roman"/>
          <w:b/>
          <w:i w:val="0"/>
          <w:sz w:val="24"/>
          <w:szCs w:val="24"/>
        </w:rPr>
        <w:t xml:space="preserve"> Osoby w wieku 61 lat i więcej wśród słuchaczy uniwersytetów trzeciego wieku (dane z roku akademickiego 2017/2018)</w:t>
      </w:r>
      <w:bookmarkEnd w:id="57"/>
    </w:p>
    <w:tbl>
      <w:tblPr>
        <w:tblStyle w:val="Tabela-Siatka"/>
        <w:tblW w:w="9209"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1838"/>
        <w:gridCol w:w="1134"/>
        <w:gridCol w:w="1276"/>
        <w:gridCol w:w="1701"/>
        <w:gridCol w:w="1134"/>
        <w:gridCol w:w="969"/>
        <w:gridCol w:w="1157"/>
      </w:tblGrid>
      <w:tr w:rsidR="00D8445F" w:rsidRPr="00783A21" w14:paraId="496D5F03" w14:textId="77777777" w:rsidTr="00783A21">
        <w:trPr>
          <w:jc w:val="center"/>
        </w:trPr>
        <w:tc>
          <w:tcPr>
            <w:tcW w:w="1838" w:type="dxa"/>
            <w:shd w:val="clear" w:color="auto" w:fill="BDD6EE" w:themeFill="accent1" w:themeFillTint="66"/>
            <w:vAlign w:val="center"/>
          </w:tcPr>
          <w:p w14:paraId="7102985A"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Wyszczególnienie</w:t>
            </w:r>
          </w:p>
        </w:tc>
        <w:tc>
          <w:tcPr>
            <w:tcW w:w="1134" w:type="dxa"/>
            <w:shd w:val="clear" w:color="auto" w:fill="BDD6EE" w:themeFill="accent1" w:themeFillTint="66"/>
            <w:vAlign w:val="center"/>
          </w:tcPr>
          <w:p w14:paraId="0B9BB5E0"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Ogółem</w:t>
            </w:r>
          </w:p>
        </w:tc>
        <w:tc>
          <w:tcPr>
            <w:tcW w:w="1276" w:type="dxa"/>
            <w:shd w:val="clear" w:color="auto" w:fill="BDD6EE" w:themeFill="accent1" w:themeFillTint="66"/>
            <w:vAlign w:val="center"/>
          </w:tcPr>
          <w:p w14:paraId="6F9D0B8B"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sz w:val="20"/>
                <w:szCs w:val="20"/>
                <w:lang w:eastAsia="pl-PL"/>
              </w:rPr>
              <w:t>w tym w wieku 61 lat i więcej</w:t>
            </w:r>
          </w:p>
        </w:tc>
        <w:tc>
          <w:tcPr>
            <w:tcW w:w="1701" w:type="dxa"/>
            <w:shd w:val="clear" w:color="auto" w:fill="BDD6EE" w:themeFill="accent1" w:themeFillTint="66"/>
            <w:vAlign w:val="center"/>
          </w:tcPr>
          <w:p w14:paraId="76D0C409"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sz w:val="20"/>
                <w:szCs w:val="20"/>
                <w:lang w:eastAsia="pl-PL"/>
              </w:rPr>
              <w:t>Odsetek osób w wieku 61 lat i więcej w liczbie słuchaczy ogółem</w:t>
            </w:r>
          </w:p>
        </w:tc>
        <w:tc>
          <w:tcPr>
            <w:tcW w:w="1134" w:type="dxa"/>
            <w:shd w:val="clear" w:color="auto" w:fill="BDD6EE" w:themeFill="accent1" w:themeFillTint="66"/>
            <w:vAlign w:val="center"/>
          </w:tcPr>
          <w:p w14:paraId="41FD86E1" w14:textId="77777777" w:rsidR="00D8445F" w:rsidRPr="00783A21" w:rsidRDefault="00D8445F" w:rsidP="00783A21">
            <w:pPr>
              <w:spacing w:after="0" w:line="240" w:lineRule="auto"/>
              <w:rPr>
                <w:rFonts w:ascii="Times New Roman" w:eastAsia="Times New Roman" w:hAnsi="Times New Roman" w:cs="Times New Roman"/>
                <w:b/>
                <w:sz w:val="20"/>
                <w:szCs w:val="20"/>
                <w:lang w:eastAsia="pl-PL"/>
              </w:rPr>
            </w:pPr>
            <w:r w:rsidRPr="00783A21">
              <w:rPr>
                <w:rFonts w:ascii="Times New Roman" w:eastAsia="Times New Roman" w:hAnsi="Times New Roman" w:cs="Times New Roman"/>
                <w:b/>
                <w:sz w:val="20"/>
                <w:szCs w:val="20"/>
                <w:lang w:eastAsia="pl-PL"/>
              </w:rPr>
              <w:t>w tym w wieku:</w:t>
            </w:r>
          </w:p>
        </w:tc>
        <w:tc>
          <w:tcPr>
            <w:tcW w:w="969" w:type="dxa"/>
            <w:shd w:val="clear" w:color="auto" w:fill="BDD6EE" w:themeFill="accent1" w:themeFillTint="66"/>
            <w:vAlign w:val="center"/>
          </w:tcPr>
          <w:p w14:paraId="362C3816"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sz w:val="20"/>
                <w:szCs w:val="20"/>
                <w:lang w:eastAsia="pl-PL"/>
              </w:rPr>
              <w:t>61-75 lat</w:t>
            </w:r>
          </w:p>
        </w:tc>
        <w:tc>
          <w:tcPr>
            <w:tcW w:w="1157" w:type="dxa"/>
            <w:shd w:val="clear" w:color="auto" w:fill="BDD6EE" w:themeFill="accent1" w:themeFillTint="66"/>
            <w:vAlign w:val="center"/>
          </w:tcPr>
          <w:p w14:paraId="59706F5E"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sz w:val="20"/>
                <w:szCs w:val="20"/>
                <w:lang w:eastAsia="pl-PL"/>
              </w:rPr>
              <w:t>76 lat i więcej</w:t>
            </w:r>
          </w:p>
        </w:tc>
      </w:tr>
      <w:tr w:rsidR="00D8445F" w:rsidRPr="00783A21" w14:paraId="50F415ED" w14:textId="77777777" w:rsidTr="00783A21">
        <w:trPr>
          <w:jc w:val="center"/>
        </w:trPr>
        <w:tc>
          <w:tcPr>
            <w:tcW w:w="1838" w:type="dxa"/>
            <w:shd w:val="clear" w:color="auto" w:fill="BDD6EE" w:themeFill="accent1" w:themeFillTint="66"/>
            <w:vAlign w:val="center"/>
          </w:tcPr>
          <w:p w14:paraId="03E2C538"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Polska</w:t>
            </w:r>
          </w:p>
        </w:tc>
        <w:tc>
          <w:tcPr>
            <w:tcW w:w="1134" w:type="dxa"/>
            <w:vAlign w:val="center"/>
          </w:tcPr>
          <w:p w14:paraId="2DB4A1A1"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113 193</w:t>
            </w:r>
          </w:p>
        </w:tc>
        <w:tc>
          <w:tcPr>
            <w:tcW w:w="1276" w:type="dxa"/>
            <w:vAlign w:val="center"/>
          </w:tcPr>
          <w:p w14:paraId="05A95E61"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97 728</w:t>
            </w:r>
          </w:p>
        </w:tc>
        <w:tc>
          <w:tcPr>
            <w:tcW w:w="1701" w:type="dxa"/>
            <w:vAlign w:val="center"/>
          </w:tcPr>
          <w:p w14:paraId="4D966E41" w14:textId="77777777" w:rsidR="00D8445F" w:rsidRPr="00783A21" w:rsidRDefault="00D8445F" w:rsidP="00783A21">
            <w:pPr>
              <w:spacing w:after="0" w:line="240" w:lineRule="auto"/>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86,3</w:t>
            </w:r>
          </w:p>
        </w:tc>
        <w:tc>
          <w:tcPr>
            <w:tcW w:w="1134" w:type="dxa"/>
            <w:vMerge w:val="restart"/>
            <w:vAlign w:val="center"/>
          </w:tcPr>
          <w:p w14:paraId="1F10843D"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57ADDCB8"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70,3</w:t>
            </w:r>
          </w:p>
        </w:tc>
        <w:tc>
          <w:tcPr>
            <w:tcW w:w="1157" w:type="dxa"/>
            <w:vAlign w:val="center"/>
          </w:tcPr>
          <w:p w14:paraId="43F96067"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16,0</w:t>
            </w:r>
          </w:p>
        </w:tc>
      </w:tr>
      <w:tr w:rsidR="00D8445F" w:rsidRPr="00783A21" w14:paraId="26071F5F" w14:textId="77777777" w:rsidTr="00783A21">
        <w:trPr>
          <w:jc w:val="center"/>
        </w:trPr>
        <w:tc>
          <w:tcPr>
            <w:tcW w:w="1838" w:type="dxa"/>
            <w:shd w:val="clear" w:color="auto" w:fill="BDD6EE" w:themeFill="accent1" w:themeFillTint="66"/>
            <w:vAlign w:val="center"/>
          </w:tcPr>
          <w:p w14:paraId="3EF9FC04"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Dolnośląskie</w:t>
            </w:r>
          </w:p>
        </w:tc>
        <w:tc>
          <w:tcPr>
            <w:tcW w:w="1134" w:type="dxa"/>
            <w:vAlign w:val="center"/>
          </w:tcPr>
          <w:p w14:paraId="1745F3E8"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7 514</w:t>
            </w:r>
          </w:p>
        </w:tc>
        <w:tc>
          <w:tcPr>
            <w:tcW w:w="1276" w:type="dxa"/>
            <w:vAlign w:val="center"/>
          </w:tcPr>
          <w:p w14:paraId="71AAC593"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6 296</w:t>
            </w:r>
          </w:p>
        </w:tc>
        <w:tc>
          <w:tcPr>
            <w:tcW w:w="1701" w:type="dxa"/>
            <w:vAlign w:val="center"/>
          </w:tcPr>
          <w:p w14:paraId="3F6A7E61"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83,8</w:t>
            </w:r>
          </w:p>
        </w:tc>
        <w:tc>
          <w:tcPr>
            <w:tcW w:w="1134" w:type="dxa"/>
            <w:vMerge/>
            <w:vAlign w:val="center"/>
          </w:tcPr>
          <w:p w14:paraId="737F3151"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7193E7B5"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69,6</w:t>
            </w:r>
          </w:p>
        </w:tc>
        <w:tc>
          <w:tcPr>
            <w:tcW w:w="1157" w:type="dxa"/>
            <w:vAlign w:val="center"/>
          </w:tcPr>
          <w:p w14:paraId="522D118D" w14:textId="77777777" w:rsidR="00D8445F" w:rsidRPr="00783A21" w:rsidRDefault="00D8445F" w:rsidP="00783A21">
            <w:pPr>
              <w:spacing w:after="0" w:line="240" w:lineRule="auto"/>
              <w:rPr>
                <w:rFonts w:ascii="Times New Roman" w:eastAsia="Times New Roman" w:hAnsi="Times New Roman" w:cs="Times New Roman"/>
                <w:color w:val="000000"/>
                <w:sz w:val="20"/>
                <w:szCs w:val="20"/>
                <w:lang w:eastAsia="pl-PL"/>
              </w:rPr>
            </w:pPr>
            <w:r w:rsidRPr="00783A21">
              <w:rPr>
                <w:rFonts w:ascii="Times New Roman" w:eastAsia="Times New Roman" w:hAnsi="Times New Roman" w:cs="Times New Roman"/>
                <w:color w:val="000000"/>
                <w:sz w:val="20"/>
                <w:szCs w:val="20"/>
                <w:lang w:eastAsia="pl-PL"/>
              </w:rPr>
              <w:t>14,2</w:t>
            </w:r>
          </w:p>
        </w:tc>
      </w:tr>
      <w:tr w:rsidR="00D8445F" w:rsidRPr="00783A21" w14:paraId="7E3698D8" w14:textId="77777777" w:rsidTr="00783A21">
        <w:trPr>
          <w:jc w:val="center"/>
        </w:trPr>
        <w:tc>
          <w:tcPr>
            <w:tcW w:w="1838" w:type="dxa"/>
            <w:shd w:val="clear" w:color="auto" w:fill="BDD6EE" w:themeFill="accent1" w:themeFillTint="66"/>
            <w:vAlign w:val="center"/>
          </w:tcPr>
          <w:p w14:paraId="7A4B4E7C"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Kujawsko – Pomorskie</w:t>
            </w:r>
          </w:p>
        </w:tc>
        <w:tc>
          <w:tcPr>
            <w:tcW w:w="1134" w:type="dxa"/>
            <w:vAlign w:val="center"/>
          </w:tcPr>
          <w:p w14:paraId="360ED61F"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7 189</w:t>
            </w:r>
          </w:p>
        </w:tc>
        <w:tc>
          <w:tcPr>
            <w:tcW w:w="1276" w:type="dxa"/>
            <w:vAlign w:val="center"/>
          </w:tcPr>
          <w:p w14:paraId="72392C77"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5 802</w:t>
            </w:r>
          </w:p>
        </w:tc>
        <w:tc>
          <w:tcPr>
            <w:tcW w:w="1701" w:type="dxa"/>
            <w:vAlign w:val="center"/>
          </w:tcPr>
          <w:p w14:paraId="166BBCD5"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80,7</w:t>
            </w:r>
          </w:p>
        </w:tc>
        <w:tc>
          <w:tcPr>
            <w:tcW w:w="1134" w:type="dxa"/>
            <w:vMerge/>
            <w:vAlign w:val="center"/>
          </w:tcPr>
          <w:p w14:paraId="3E37E490"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01483019"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71,3</w:t>
            </w:r>
          </w:p>
        </w:tc>
        <w:tc>
          <w:tcPr>
            <w:tcW w:w="1157" w:type="dxa"/>
            <w:vAlign w:val="center"/>
          </w:tcPr>
          <w:p w14:paraId="4969E302"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9,4</w:t>
            </w:r>
          </w:p>
        </w:tc>
      </w:tr>
      <w:tr w:rsidR="00D8445F" w:rsidRPr="00783A21" w14:paraId="17410097" w14:textId="77777777" w:rsidTr="00783A21">
        <w:trPr>
          <w:jc w:val="center"/>
        </w:trPr>
        <w:tc>
          <w:tcPr>
            <w:tcW w:w="1838" w:type="dxa"/>
            <w:shd w:val="clear" w:color="auto" w:fill="BDD6EE" w:themeFill="accent1" w:themeFillTint="66"/>
            <w:vAlign w:val="center"/>
          </w:tcPr>
          <w:p w14:paraId="0F9288F6"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Lubelskie</w:t>
            </w:r>
          </w:p>
        </w:tc>
        <w:tc>
          <w:tcPr>
            <w:tcW w:w="1134" w:type="dxa"/>
            <w:vAlign w:val="center"/>
          </w:tcPr>
          <w:p w14:paraId="039D0DD4"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2 659</w:t>
            </w:r>
          </w:p>
        </w:tc>
        <w:tc>
          <w:tcPr>
            <w:tcW w:w="1276" w:type="dxa"/>
            <w:vAlign w:val="center"/>
          </w:tcPr>
          <w:p w14:paraId="3B2823EE"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2 373</w:t>
            </w:r>
          </w:p>
        </w:tc>
        <w:tc>
          <w:tcPr>
            <w:tcW w:w="1701" w:type="dxa"/>
            <w:vAlign w:val="center"/>
          </w:tcPr>
          <w:p w14:paraId="0DF737DB"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89,2</w:t>
            </w:r>
          </w:p>
        </w:tc>
        <w:tc>
          <w:tcPr>
            <w:tcW w:w="1134" w:type="dxa"/>
            <w:vMerge/>
            <w:vAlign w:val="center"/>
          </w:tcPr>
          <w:p w14:paraId="60269098"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4285EE5C"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73,1</w:t>
            </w:r>
          </w:p>
        </w:tc>
        <w:tc>
          <w:tcPr>
            <w:tcW w:w="1157" w:type="dxa"/>
            <w:vAlign w:val="center"/>
          </w:tcPr>
          <w:p w14:paraId="271622C7"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16,2</w:t>
            </w:r>
          </w:p>
        </w:tc>
      </w:tr>
      <w:tr w:rsidR="00D8445F" w:rsidRPr="00783A21" w14:paraId="2D559182" w14:textId="77777777" w:rsidTr="00783A21">
        <w:trPr>
          <w:jc w:val="center"/>
        </w:trPr>
        <w:tc>
          <w:tcPr>
            <w:tcW w:w="1838" w:type="dxa"/>
            <w:shd w:val="clear" w:color="auto" w:fill="BDD6EE" w:themeFill="accent1" w:themeFillTint="66"/>
            <w:vAlign w:val="center"/>
          </w:tcPr>
          <w:p w14:paraId="33C06198"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Lubuskie</w:t>
            </w:r>
          </w:p>
        </w:tc>
        <w:tc>
          <w:tcPr>
            <w:tcW w:w="1134" w:type="dxa"/>
            <w:vAlign w:val="center"/>
          </w:tcPr>
          <w:p w14:paraId="766CDBA8"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4 072</w:t>
            </w:r>
          </w:p>
        </w:tc>
        <w:tc>
          <w:tcPr>
            <w:tcW w:w="1276" w:type="dxa"/>
            <w:vAlign w:val="center"/>
          </w:tcPr>
          <w:p w14:paraId="4933BB42"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3 797</w:t>
            </w:r>
          </w:p>
        </w:tc>
        <w:tc>
          <w:tcPr>
            <w:tcW w:w="1701" w:type="dxa"/>
            <w:vAlign w:val="center"/>
          </w:tcPr>
          <w:p w14:paraId="60A3BD4C"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93,2</w:t>
            </w:r>
          </w:p>
        </w:tc>
        <w:tc>
          <w:tcPr>
            <w:tcW w:w="1134" w:type="dxa"/>
            <w:vMerge/>
            <w:vAlign w:val="center"/>
          </w:tcPr>
          <w:p w14:paraId="04A20326"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565F89EB"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77,1</w:t>
            </w:r>
          </w:p>
        </w:tc>
        <w:tc>
          <w:tcPr>
            <w:tcW w:w="1157" w:type="dxa"/>
            <w:vAlign w:val="center"/>
          </w:tcPr>
          <w:p w14:paraId="2A3AD04B"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16,2</w:t>
            </w:r>
          </w:p>
        </w:tc>
      </w:tr>
      <w:tr w:rsidR="00D8445F" w:rsidRPr="00783A21" w14:paraId="0E09C35C" w14:textId="77777777" w:rsidTr="00783A21">
        <w:trPr>
          <w:jc w:val="center"/>
        </w:trPr>
        <w:tc>
          <w:tcPr>
            <w:tcW w:w="1838" w:type="dxa"/>
            <w:shd w:val="clear" w:color="auto" w:fill="BDD6EE" w:themeFill="accent1" w:themeFillTint="66"/>
            <w:vAlign w:val="center"/>
          </w:tcPr>
          <w:p w14:paraId="46BBEDE9"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Łódzkie</w:t>
            </w:r>
          </w:p>
        </w:tc>
        <w:tc>
          <w:tcPr>
            <w:tcW w:w="1134" w:type="dxa"/>
            <w:vAlign w:val="center"/>
          </w:tcPr>
          <w:p w14:paraId="32A2DAA3"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7 449</w:t>
            </w:r>
          </w:p>
        </w:tc>
        <w:tc>
          <w:tcPr>
            <w:tcW w:w="1276" w:type="dxa"/>
            <w:vAlign w:val="center"/>
          </w:tcPr>
          <w:p w14:paraId="2CAA74A2"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6 670</w:t>
            </w:r>
          </w:p>
        </w:tc>
        <w:tc>
          <w:tcPr>
            <w:tcW w:w="1701" w:type="dxa"/>
            <w:vAlign w:val="center"/>
          </w:tcPr>
          <w:p w14:paraId="22494764" w14:textId="77777777" w:rsidR="00D8445F" w:rsidRPr="00783A21" w:rsidRDefault="00D8445F" w:rsidP="00783A21">
            <w:pPr>
              <w:spacing w:after="0" w:line="240" w:lineRule="auto"/>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89,5</w:t>
            </w:r>
          </w:p>
        </w:tc>
        <w:tc>
          <w:tcPr>
            <w:tcW w:w="1134" w:type="dxa"/>
            <w:vMerge/>
            <w:vAlign w:val="center"/>
          </w:tcPr>
          <w:p w14:paraId="70448750"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10080CEA"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73,3</w:t>
            </w:r>
          </w:p>
        </w:tc>
        <w:tc>
          <w:tcPr>
            <w:tcW w:w="1157" w:type="dxa"/>
            <w:vAlign w:val="center"/>
          </w:tcPr>
          <w:p w14:paraId="1FE4226F"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16,2</w:t>
            </w:r>
          </w:p>
        </w:tc>
      </w:tr>
      <w:tr w:rsidR="00D8445F" w:rsidRPr="00783A21" w14:paraId="36729596" w14:textId="77777777" w:rsidTr="00783A21">
        <w:trPr>
          <w:jc w:val="center"/>
        </w:trPr>
        <w:tc>
          <w:tcPr>
            <w:tcW w:w="1838" w:type="dxa"/>
            <w:shd w:val="clear" w:color="auto" w:fill="BDD6EE" w:themeFill="accent1" w:themeFillTint="66"/>
            <w:vAlign w:val="center"/>
          </w:tcPr>
          <w:p w14:paraId="27985B64"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 xml:space="preserve">Małopolskie </w:t>
            </w:r>
          </w:p>
        </w:tc>
        <w:tc>
          <w:tcPr>
            <w:tcW w:w="1134" w:type="dxa"/>
            <w:vAlign w:val="center"/>
          </w:tcPr>
          <w:p w14:paraId="1AF6E34C"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7 048</w:t>
            </w:r>
          </w:p>
        </w:tc>
        <w:tc>
          <w:tcPr>
            <w:tcW w:w="1276" w:type="dxa"/>
            <w:vAlign w:val="center"/>
          </w:tcPr>
          <w:p w14:paraId="0C7A9788"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6 333</w:t>
            </w:r>
          </w:p>
        </w:tc>
        <w:tc>
          <w:tcPr>
            <w:tcW w:w="1701" w:type="dxa"/>
            <w:vAlign w:val="center"/>
          </w:tcPr>
          <w:p w14:paraId="5613E35E"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89,9</w:t>
            </w:r>
          </w:p>
        </w:tc>
        <w:tc>
          <w:tcPr>
            <w:tcW w:w="1134" w:type="dxa"/>
            <w:vMerge/>
            <w:vAlign w:val="center"/>
          </w:tcPr>
          <w:p w14:paraId="5406785F"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1744AB95"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75,2</w:t>
            </w:r>
          </w:p>
        </w:tc>
        <w:tc>
          <w:tcPr>
            <w:tcW w:w="1157" w:type="dxa"/>
            <w:vAlign w:val="center"/>
          </w:tcPr>
          <w:p w14:paraId="40772927" w14:textId="77777777" w:rsidR="00D8445F" w:rsidRPr="00783A21" w:rsidRDefault="00D8445F" w:rsidP="00783A21">
            <w:pPr>
              <w:spacing w:after="0" w:line="240" w:lineRule="auto"/>
              <w:rPr>
                <w:rFonts w:ascii="Times New Roman" w:eastAsia="Times New Roman" w:hAnsi="Times New Roman" w:cs="Times New Roman"/>
                <w:color w:val="000000"/>
                <w:sz w:val="20"/>
                <w:szCs w:val="20"/>
                <w:lang w:eastAsia="pl-PL"/>
              </w:rPr>
            </w:pPr>
            <w:r w:rsidRPr="00783A21">
              <w:rPr>
                <w:rFonts w:ascii="Times New Roman" w:eastAsia="Times New Roman" w:hAnsi="Times New Roman" w:cs="Times New Roman"/>
                <w:color w:val="000000"/>
                <w:sz w:val="20"/>
                <w:szCs w:val="20"/>
                <w:lang w:eastAsia="pl-PL"/>
              </w:rPr>
              <w:t>14,7</w:t>
            </w:r>
          </w:p>
        </w:tc>
      </w:tr>
      <w:tr w:rsidR="00D8445F" w:rsidRPr="00783A21" w14:paraId="4A525E86" w14:textId="77777777" w:rsidTr="00783A21">
        <w:trPr>
          <w:jc w:val="center"/>
        </w:trPr>
        <w:tc>
          <w:tcPr>
            <w:tcW w:w="1838" w:type="dxa"/>
            <w:shd w:val="clear" w:color="auto" w:fill="BDD6EE" w:themeFill="accent1" w:themeFillTint="66"/>
            <w:vAlign w:val="center"/>
          </w:tcPr>
          <w:p w14:paraId="64E15BDB"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Mazowieckie</w:t>
            </w:r>
          </w:p>
        </w:tc>
        <w:tc>
          <w:tcPr>
            <w:tcW w:w="1134" w:type="dxa"/>
            <w:vAlign w:val="center"/>
          </w:tcPr>
          <w:p w14:paraId="348DBB86" w14:textId="77777777" w:rsidR="00D8445F" w:rsidRPr="00783A21" w:rsidRDefault="00D8445F" w:rsidP="00783A21">
            <w:pPr>
              <w:spacing w:after="0" w:line="240" w:lineRule="auto"/>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14 997</w:t>
            </w:r>
          </w:p>
        </w:tc>
        <w:tc>
          <w:tcPr>
            <w:tcW w:w="1276" w:type="dxa"/>
            <w:vAlign w:val="center"/>
          </w:tcPr>
          <w:p w14:paraId="3C5FCACA"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13 344</w:t>
            </w:r>
          </w:p>
        </w:tc>
        <w:tc>
          <w:tcPr>
            <w:tcW w:w="1701" w:type="dxa"/>
            <w:vAlign w:val="center"/>
          </w:tcPr>
          <w:p w14:paraId="41F36952"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89,0</w:t>
            </w:r>
          </w:p>
        </w:tc>
        <w:tc>
          <w:tcPr>
            <w:tcW w:w="1134" w:type="dxa"/>
            <w:vMerge/>
            <w:vAlign w:val="center"/>
          </w:tcPr>
          <w:p w14:paraId="321C42A3"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01352483" w14:textId="77777777" w:rsidR="00D8445F" w:rsidRPr="00783A21" w:rsidRDefault="00D8445F" w:rsidP="00783A21">
            <w:pPr>
              <w:spacing w:after="0" w:line="240" w:lineRule="auto"/>
              <w:rPr>
                <w:rFonts w:ascii="Times New Roman" w:eastAsia="Times New Roman" w:hAnsi="Times New Roman" w:cs="Times New Roman"/>
                <w:color w:val="000000"/>
                <w:sz w:val="20"/>
                <w:szCs w:val="20"/>
                <w:lang w:eastAsia="pl-PL"/>
              </w:rPr>
            </w:pPr>
            <w:r w:rsidRPr="00783A21">
              <w:rPr>
                <w:rFonts w:ascii="Times New Roman" w:eastAsia="Times New Roman" w:hAnsi="Times New Roman" w:cs="Times New Roman"/>
                <w:color w:val="000000"/>
                <w:sz w:val="20"/>
                <w:szCs w:val="20"/>
                <w:lang w:eastAsia="pl-PL"/>
              </w:rPr>
              <w:t>67,6</w:t>
            </w:r>
          </w:p>
        </w:tc>
        <w:tc>
          <w:tcPr>
            <w:tcW w:w="1157" w:type="dxa"/>
            <w:vAlign w:val="center"/>
          </w:tcPr>
          <w:p w14:paraId="6EC65907"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21,4</w:t>
            </w:r>
          </w:p>
        </w:tc>
      </w:tr>
      <w:tr w:rsidR="00D8445F" w:rsidRPr="00783A21" w14:paraId="612C328B" w14:textId="77777777" w:rsidTr="00783A21">
        <w:trPr>
          <w:jc w:val="center"/>
        </w:trPr>
        <w:tc>
          <w:tcPr>
            <w:tcW w:w="1838" w:type="dxa"/>
            <w:shd w:val="clear" w:color="auto" w:fill="BDD6EE" w:themeFill="accent1" w:themeFillTint="66"/>
            <w:vAlign w:val="center"/>
          </w:tcPr>
          <w:p w14:paraId="55011F28"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 xml:space="preserve">Opolskie </w:t>
            </w:r>
          </w:p>
        </w:tc>
        <w:tc>
          <w:tcPr>
            <w:tcW w:w="1134" w:type="dxa"/>
            <w:vAlign w:val="center"/>
          </w:tcPr>
          <w:p w14:paraId="271531A0"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2 151</w:t>
            </w:r>
          </w:p>
        </w:tc>
        <w:tc>
          <w:tcPr>
            <w:tcW w:w="1276" w:type="dxa"/>
            <w:vAlign w:val="center"/>
          </w:tcPr>
          <w:p w14:paraId="731D96C5"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1 922</w:t>
            </w:r>
          </w:p>
        </w:tc>
        <w:tc>
          <w:tcPr>
            <w:tcW w:w="1701" w:type="dxa"/>
            <w:vAlign w:val="center"/>
          </w:tcPr>
          <w:p w14:paraId="512E06FD"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89,4</w:t>
            </w:r>
          </w:p>
        </w:tc>
        <w:tc>
          <w:tcPr>
            <w:tcW w:w="1134" w:type="dxa"/>
            <w:vMerge/>
            <w:vAlign w:val="center"/>
          </w:tcPr>
          <w:p w14:paraId="6DCF08D3"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3A927C97"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70,1</w:t>
            </w:r>
          </w:p>
        </w:tc>
        <w:tc>
          <w:tcPr>
            <w:tcW w:w="1157" w:type="dxa"/>
            <w:vAlign w:val="center"/>
          </w:tcPr>
          <w:p w14:paraId="20C2831A" w14:textId="77777777" w:rsidR="00D8445F" w:rsidRPr="00783A21" w:rsidRDefault="00D8445F" w:rsidP="00783A21">
            <w:pPr>
              <w:spacing w:after="0" w:line="240" w:lineRule="auto"/>
              <w:rPr>
                <w:rFonts w:ascii="Times New Roman" w:eastAsia="Times New Roman" w:hAnsi="Times New Roman" w:cs="Times New Roman"/>
                <w:color w:val="000000"/>
                <w:sz w:val="20"/>
                <w:szCs w:val="20"/>
                <w:lang w:eastAsia="pl-PL"/>
              </w:rPr>
            </w:pPr>
            <w:r w:rsidRPr="00783A21">
              <w:rPr>
                <w:rFonts w:ascii="Times New Roman" w:eastAsia="Times New Roman" w:hAnsi="Times New Roman" w:cs="Times New Roman"/>
                <w:color w:val="000000"/>
                <w:sz w:val="20"/>
                <w:szCs w:val="20"/>
                <w:lang w:eastAsia="pl-PL"/>
              </w:rPr>
              <w:t>19,2</w:t>
            </w:r>
          </w:p>
        </w:tc>
      </w:tr>
      <w:tr w:rsidR="00D8445F" w:rsidRPr="00783A21" w14:paraId="650372C5" w14:textId="77777777" w:rsidTr="00783A21">
        <w:trPr>
          <w:jc w:val="center"/>
        </w:trPr>
        <w:tc>
          <w:tcPr>
            <w:tcW w:w="1838" w:type="dxa"/>
            <w:shd w:val="clear" w:color="auto" w:fill="BDD6EE" w:themeFill="accent1" w:themeFillTint="66"/>
            <w:vAlign w:val="center"/>
          </w:tcPr>
          <w:p w14:paraId="779BDDE0"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Podkarpackie</w:t>
            </w:r>
          </w:p>
        </w:tc>
        <w:tc>
          <w:tcPr>
            <w:tcW w:w="1134" w:type="dxa"/>
            <w:vAlign w:val="center"/>
          </w:tcPr>
          <w:p w14:paraId="319BE358"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4 139</w:t>
            </w:r>
          </w:p>
        </w:tc>
        <w:tc>
          <w:tcPr>
            <w:tcW w:w="1276" w:type="dxa"/>
            <w:vAlign w:val="center"/>
          </w:tcPr>
          <w:p w14:paraId="446D824E"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3 472</w:t>
            </w:r>
          </w:p>
        </w:tc>
        <w:tc>
          <w:tcPr>
            <w:tcW w:w="1701" w:type="dxa"/>
            <w:vAlign w:val="center"/>
          </w:tcPr>
          <w:p w14:paraId="382CD449"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83,9</w:t>
            </w:r>
          </w:p>
        </w:tc>
        <w:tc>
          <w:tcPr>
            <w:tcW w:w="1134" w:type="dxa"/>
            <w:vMerge/>
            <w:vAlign w:val="center"/>
          </w:tcPr>
          <w:p w14:paraId="2AD8C837"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5985BBB2"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70,6</w:t>
            </w:r>
          </w:p>
        </w:tc>
        <w:tc>
          <w:tcPr>
            <w:tcW w:w="1157" w:type="dxa"/>
            <w:vAlign w:val="center"/>
          </w:tcPr>
          <w:p w14:paraId="7A7E9412"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13,3</w:t>
            </w:r>
          </w:p>
        </w:tc>
      </w:tr>
      <w:tr w:rsidR="00D8445F" w:rsidRPr="00783A21" w14:paraId="36604838" w14:textId="77777777" w:rsidTr="00783A21">
        <w:trPr>
          <w:jc w:val="center"/>
        </w:trPr>
        <w:tc>
          <w:tcPr>
            <w:tcW w:w="1838" w:type="dxa"/>
            <w:shd w:val="clear" w:color="auto" w:fill="BDD6EE" w:themeFill="accent1" w:themeFillTint="66"/>
            <w:vAlign w:val="center"/>
          </w:tcPr>
          <w:p w14:paraId="5056CFB3"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Podlaskie</w:t>
            </w:r>
          </w:p>
        </w:tc>
        <w:tc>
          <w:tcPr>
            <w:tcW w:w="1134" w:type="dxa"/>
            <w:vAlign w:val="center"/>
          </w:tcPr>
          <w:p w14:paraId="2D6AE197"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1 991</w:t>
            </w:r>
          </w:p>
        </w:tc>
        <w:tc>
          <w:tcPr>
            <w:tcW w:w="1276" w:type="dxa"/>
            <w:vAlign w:val="center"/>
          </w:tcPr>
          <w:p w14:paraId="785D3658"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1 883</w:t>
            </w:r>
          </w:p>
        </w:tc>
        <w:tc>
          <w:tcPr>
            <w:tcW w:w="1701" w:type="dxa"/>
            <w:vAlign w:val="center"/>
          </w:tcPr>
          <w:p w14:paraId="2AFABBAA"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94,6</w:t>
            </w:r>
          </w:p>
        </w:tc>
        <w:tc>
          <w:tcPr>
            <w:tcW w:w="1134" w:type="dxa"/>
            <w:vMerge/>
            <w:vAlign w:val="center"/>
          </w:tcPr>
          <w:p w14:paraId="6FFE3F99"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07DABE6E"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79,9</w:t>
            </w:r>
          </w:p>
        </w:tc>
        <w:tc>
          <w:tcPr>
            <w:tcW w:w="1157" w:type="dxa"/>
            <w:vAlign w:val="center"/>
          </w:tcPr>
          <w:p w14:paraId="6DC84086"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14,7</w:t>
            </w:r>
          </w:p>
        </w:tc>
      </w:tr>
      <w:tr w:rsidR="00D8445F" w:rsidRPr="00783A21" w14:paraId="499C7C92" w14:textId="77777777" w:rsidTr="00783A21">
        <w:trPr>
          <w:jc w:val="center"/>
        </w:trPr>
        <w:tc>
          <w:tcPr>
            <w:tcW w:w="1838" w:type="dxa"/>
            <w:shd w:val="clear" w:color="auto" w:fill="BDD6EE" w:themeFill="accent1" w:themeFillTint="66"/>
            <w:vAlign w:val="center"/>
          </w:tcPr>
          <w:p w14:paraId="26BF69C8"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Pomorskie</w:t>
            </w:r>
          </w:p>
        </w:tc>
        <w:tc>
          <w:tcPr>
            <w:tcW w:w="1134" w:type="dxa"/>
            <w:vAlign w:val="center"/>
          </w:tcPr>
          <w:p w14:paraId="1849E48B"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9 654</w:t>
            </w:r>
          </w:p>
        </w:tc>
        <w:tc>
          <w:tcPr>
            <w:tcW w:w="1276" w:type="dxa"/>
            <w:vAlign w:val="center"/>
          </w:tcPr>
          <w:p w14:paraId="65D15587" w14:textId="77777777" w:rsidR="00D8445F" w:rsidRPr="00783A21" w:rsidRDefault="00D8445F" w:rsidP="00783A21">
            <w:pPr>
              <w:spacing w:after="0" w:line="240" w:lineRule="auto"/>
              <w:rPr>
                <w:rFonts w:ascii="Times New Roman" w:eastAsia="Times New Roman" w:hAnsi="Times New Roman" w:cs="Times New Roman"/>
                <w:color w:val="000000"/>
                <w:sz w:val="20"/>
                <w:szCs w:val="20"/>
                <w:lang w:eastAsia="pl-PL"/>
              </w:rPr>
            </w:pPr>
            <w:r w:rsidRPr="00783A21">
              <w:rPr>
                <w:rFonts w:ascii="Times New Roman" w:eastAsia="Times New Roman" w:hAnsi="Times New Roman" w:cs="Times New Roman"/>
                <w:color w:val="000000"/>
                <w:sz w:val="20"/>
                <w:szCs w:val="20"/>
                <w:lang w:eastAsia="pl-PL"/>
              </w:rPr>
              <w:t>8 871</w:t>
            </w:r>
          </w:p>
        </w:tc>
        <w:tc>
          <w:tcPr>
            <w:tcW w:w="1701" w:type="dxa"/>
            <w:vAlign w:val="center"/>
          </w:tcPr>
          <w:p w14:paraId="2ACAFC41"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91,9</w:t>
            </w:r>
          </w:p>
        </w:tc>
        <w:tc>
          <w:tcPr>
            <w:tcW w:w="1134" w:type="dxa"/>
            <w:vMerge/>
            <w:vAlign w:val="center"/>
          </w:tcPr>
          <w:p w14:paraId="483C05C8"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41B69E07"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72,2</w:t>
            </w:r>
          </w:p>
        </w:tc>
        <w:tc>
          <w:tcPr>
            <w:tcW w:w="1157" w:type="dxa"/>
            <w:vAlign w:val="center"/>
          </w:tcPr>
          <w:p w14:paraId="15D93A41"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19,7</w:t>
            </w:r>
          </w:p>
        </w:tc>
      </w:tr>
      <w:tr w:rsidR="00D8445F" w:rsidRPr="00783A21" w14:paraId="63225CD8" w14:textId="77777777" w:rsidTr="00783A21">
        <w:trPr>
          <w:jc w:val="center"/>
        </w:trPr>
        <w:tc>
          <w:tcPr>
            <w:tcW w:w="1838" w:type="dxa"/>
            <w:shd w:val="clear" w:color="auto" w:fill="BDD6EE" w:themeFill="accent1" w:themeFillTint="66"/>
            <w:vAlign w:val="center"/>
          </w:tcPr>
          <w:p w14:paraId="1363C648"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Śląskie</w:t>
            </w:r>
          </w:p>
        </w:tc>
        <w:tc>
          <w:tcPr>
            <w:tcW w:w="1134" w:type="dxa"/>
            <w:vAlign w:val="center"/>
          </w:tcPr>
          <w:p w14:paraId="75BA7871"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17 566</w:t>
            </w:r>
          </w:p>
        </w:tc>
        <w:tc>
          <w:tcPr>
            <w:tcW w:w="1276" w:type="dxa"/>
            <w:vAlign w:val="center"/>
          </w:tcPr>
          <w:p w14:paraId="0DAB8169"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14 669</w:t>
            </w:r>
          </w:p>
        </w:tc>
        <w:tc>
          <w:tcPr>
            <w:tcW w:w="1701" w:type="dxa"/>
            <w:vAlign w:val="center"/>
          </w:tcPr>
          <w:p w14:paraId="07906474"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83,5</w:t>
            </w:r>
          </w:p>
        </w:tc>
        <w:tc>
          <w:tcPr>
            <w:tcW w:w="1134" w:type="dxa"/>
            <w:vMerge/>
            <w:vAlign w:val="center"/>
          </w:tcPr>
          <w:p w14:paraId="496A584F"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0FCAA1F3"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71,4</w:t>
            </w:r>
          </w:p>
        </w:tc>
        <w:tc>
          <w:tcPr>
            <w:tcW w:w="1157" w:type="dxa"/>
            <w:vAlign w:val="center"/>
          </w:tcPr>
          <w:p w14:paraId="6BB3932F"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12,1</w:t>
            </w:r>
          </w:p>
        </w:tc>
      </w:tr>
      <w:tr w:rsidR="00D8445F" w:rsidRPr="00783A21" w14:paraId="44AF1E3A" w14:textId="77777777" w:rsidTr="00783A21">
        <w:trPr>
          <w:jc w:val="center"/>
        </w:trPr>
        <w:tc>
          <w:tcPr>
            <w:tcW w:w="1838" w:type="dxa"/>
            <w:shd w:val="clear" w:color="auto" w:fill="BDD6EE" w:themeFill="accent1" w:themeFillTint="66"/>
            <w:vAlign w:val="center"/>
          </w:tcPr>
          <w:p w14:paraId="3850C487"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Świętokrzyskie</w:t>
            </w:r>
          </w:p>
        </w:tc>
        <w:tc>
          <w:tcPr>
            <w:tcW w:w="1134" w:type="dxa"/>
            <w:vAlign w:val="center"/>
          </w:tcPr>
          <w:p w14:paraId="0D9044C4"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2 761</w:t>
            </w:r>
          </w:p>
        </w:tc>
        <w:tc>
          <w:tcPr>
            <w:tcW w:w="1276" w:type="dxa"/>
            <w:vAlign w:val="center"/>
          </w:tcPr>
          <w:p w14:paraId="72AABEE2"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1 949</w:t>
            </w:r>
          </w:p>
        </w:tc>
        <w:tc>
          <w:tcPr>
            <w:tcW w:w="1701" w:type="dxa"/>
            <w:vAlign w:val="center"/>
          </w:tcPr>
          <w:p w14:paraId="1B69E056"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70,6</w:t>
            </w:r>
          </w:p>
        </w:tc>
        <w:tc>
          <w:tcPr>
            <w:tcW w:w="1134" w:type="dxa"/>
            <w:vMerge/>
            <w:vAlign w:val="center"/>
          </w:tcPr>
          <w:p w14:paraId="47CFFD03"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112A37A8"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58,1</w:t>
            </w:r>
          </w:p>
        </w:tc>
        <w:tc>
          <w:tcPr>
            <w:tcW w:w="1157" w:type="dxa"/>
            <w:vAlign w:val="center"/>
          </w:tcPr>
          <w:p w14:paraId="1BA5DA29"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12,5</w:t>
            </w:r>
          </w:p>
        </w:tc>
      </w:tr>
      <w:tr w:rsidR="00D8445F" w:rsidRPr="00783A21" w14:paraId="25115299" w14:textId="77777777" w:rsidTr="00783A21">
        <w:trPr>
          <w:jc w:val="center"/>
        </w:trPr>
        <w:tc>
          <w:tcPr>
            <w:tcW w:w="1838" w:type="dxa"/>
            <w:shd w:val="clear" w:color="auto" w:fill="BDD6EE" w:themeFill="accent1" w:themeFillTint="66"/>
            <w:vAlign w:val="center"/>
          </w:tcPr>
          <w:p w14:paraId="0D276DEA"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Warmińsko – Mazurskie</w:t>
            </w:r>
          </w:p>
        </w:tc>
        <w:tc>
          <w:tcPr>
            <w:tcW w:w="1134" w:type="dxa"/>
            <w:vAlign w:val="center"/>
          </w:tcPr>
          <w:p w14:paraId="3CB0717D"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6 159</w:t>
            </w:r>
          </w:p>
        </w:tc>
        <w:tc>
          <w:tcPr>
            <w:tcW w:w="1276" w:type="dxa"/>
            <w:vAlign w:val="center"/>
          </w:tcPr>
          <w:p w14:paraId="57FEAD30"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5 459</w:t>
            </w:r>
          </w:p>
        </w:tc>
        <w:tc>
          <w:tcPr>
            <w:tcW w:w="1701" w:type="dxa"/>
            <w:vAlign w:val="center"/>
          </w:tcPr>
          <w:p w14:paraId="6046F00A"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88,6</w:t>
            </w:r>
          </w:p>
        </w:tc>
        <w:tc>
          <w:tcPr>
            <w:tcW w:w="1134" w:type="dxa"/>
            <w:vMerge/>
            <w:vAlign w:val="center"/>
          </w:tcPr>
          <w:p w14:paraId="1C73952A"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192E2475"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63,2</w:t>
            </w:r>
          </w:p>
        </w:tc>
        <w:tc>
          <w:tcPr>
            <w:tcW w:w="1157" w:type="dxa"/>
            <w:vAlign w:val="center"/>
          </w:tcPr>
          <w:p w14:paraId="1A3958D3"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25,5</w:t>
            </w:r>
          </w:p>
        </w:tc>
      </w:tr>
      <w:tr w:rsidR="00D8445F" w:rsidRPr="00783A21" w14:paraId="59F0AA68" w14:textId="77777777" w:rsidTr="00783A21">
        <w:trPr>
          <w:jc w:val="center"/>
        </w:trPr>
        <w:tc>
          <w:tcPr>
            <w:tcW w:w="1838" w:type="dxa"/>
            <w:shd w:val="clear" w:color="auto" w:fill="BDD6EE" w:themeFill="accent1" w:themeFillTint="66"/>
            <w:vAlign w:val="center"/>
          </w:tcPr>
          <w:p w14:paraId="249A770C"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Wielkopolskie</w:t>
            </w:r>
          </w:p>
        </w:tc>
        <w:tc>
          <w:tcPr>
            <w:tcW w:w="1134" w:type="dxa"/>
            <w:vAlign w:val="center"/>
          </w:tcPr>
          <w:p w14:paraId="54D5DB6E"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11 410</w:t>
            </w:r>
          </w:p>
        </w:tc>
        <w:tc>
          <w:tcPr>
            <w:tcW w:w="1276" w:type="dxa"/>
            <w:vAlign w:val="center"/>
          </w:tcPr>
          <w:p w14:paraId="2B4FDD29"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9 063</w:t>
            </w:r>
          </w:p>
        </w:tc>
        <w:tc>
          <w:tcPr>
            <w:tcW w:w="1701" w:type="dxa"/>
            <w:vAlign w:val="center"/>
          </w:tcPr>
          <w:p w14:paraId="31E42B56" w14:textId="77777777" w:rsidR="00D8445F" w:rsidRPr="00783A21" w:rsidRDefault="00D8445F" w:rsidP="00783A21">
            <w:pPr>
              <w:spacing w:after="0" w:line="240" w:lineRule="auto"/>
              <w:rPr>
                <w:rFonts w:ascii="Times New Roman" w:eastAsia="Times New Roman" w:hAnsi="Times New Roman" w:cs="Times New Roman"/>
                <w:sz w:val="20"/>
                <w:szCs w:val="20"/>
                <w:lang w:eastAsia="pl-PL"/>
              </w:rPr>
            </w:pPr>
            <w:r w:rsidRPr="00783A21">
              <w:rPr>
                <w:rFonts w:ascii="Times New Roman" w:eastAsia="Times New Roman" w:hAnsi="Times New Roman" w:cs="Times New Roman"/>
                <w:sz w:val="20"/>
                <w:szCs w:val="20"/>
                <w:lang w:eastAsia="pl-PL"/>
              </w:rPr>
              <w:t>79,4</w:t>
            </w:r>
          </w:p>
        </w:tc>
        <w:tc>
          <w:tcPr>
            <w:tcW w:w="1134" w:type="dxa"/>
            <w:vMerge/>
            <w:vAlign w:val="center"/>
          </w:tcPr>
          <w:p w14:paraId="195F59FC"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7A0BE6EB" w14:textId="77777777" w:rsidR="00D8445F" w:rsidRPr="00783A21" w:rsidRDefault="00D8445F" w:rsidP="00783A21">
            <w:pPr>
              <w:spacing w:after="0" w:line="240" w:lineRule="auto"/>
              <w:rPr>
                <w:rFonts w:ascii="Times New Roman" w:eastAsia="Times New Roman" w:hAnsi="Times New Roman" w:cs="Times New Roman"/>
                <w:color w:val="000000"/>
                <w:sz w:val="20"/>
                <w:szCs w:val="20"/>
                <w:lang w:eastAsia="pl-PL"/>
              </w:rPr>
            </w:pPr>
            <w:r w:rsidRPr="00783A21">
              <w:rPr>
                <w:rFonts w:ascii="Times New Roman" w:eastAsia="Times New Roman" w:hAnsi="Times New Roman" w:cs="Times New Roman"/>
                <w:color w:val="000000"/>
                <w:sz w:val="20"/>
                <w:szCs w:val="20"/>
                <w:lang w:eastAsia="pl-PL"/>
              </w:rPr>
              <w:t>66,0</w:t>
            </w:r>
          </w:p>
        </w:tc>
        <w:tc>
          <w:tcPr>
            <w:tcW w:w="1157" w:type="dxa"/>
            <w:vAlign w:val="center"/>
          </w:tcPr>
          <w:p w14:paraId="35A6C56D"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13,4</w:t>
            </w:r>
          </w:p>
        </w:tc>
      </w:tr>
      <w:tr w:rsidR="00D8445F" w:rsidRPr="00783A21" w14:paraId="133319C2" w14:textId="77777777" w:rsidTr="00783A21">
        <w:trPr>
          <w:jc w:val="center"/>
        </w:trPr>
        <w:tc>
          <w:tcPr>
            <w:tcW w:w="1838" w:type="dxa"/>
            <w:shd w:val="clear" w:color="auto" w:fill="BDD6EE" w:themeFill="accent1" w:themeFillTint="66"/>
            <w:vAlign w:val="center"/>
          </w:tcPr>
          <w:p w14:paraId="00C64063" w14:textId="77777777" w:rsidR="00D8445F" w:rsidRPr="00783A21" w:rsidRDefault="00D8445F" w:rsidP="00783A21">
            <w:pPr>
              <w:spacing w:after="0" w:line="240" w:lineRule="auto"/>
              <w:rPr>
                <w:rFonts w:ascii="Times New Roman" w:eastAsia="Times New Roman" w:hAnsi="Times New Roman" w:cs="Times New Roman"/>
                <w:b/>
                <w:bCs/>
                <w:color w:val="000000"/>
                <w:sz w:val="20"/>
                <w:szCs w:val="20"/>
                <w:lang w:eastAsia="pl-PL"/>
              </w:rPr>
            </w:pPr>
            <w:r w:rsidRPr="00783A21">
              <w:rPr>
                <w:rFonts w:ascii="Times New Roman" w:eastAsia="Times New Roman" w:hAnsi="Times New Roman" w:cs="Times New Roman"/>
                <w:b/>
                <w:bCs/>
                <w:color w:val="000000"/>
                <w:sz w:val="20"/>
                <w:szCs w:val="20"/>
                <w:lang w:eastAsia="pl-PL"/>
              </w:rPr>
              <w:t>Zachodniopomorskie</w:t>
            </w:r>
          </w:p>
        </w:tc>
        <w:tc>
          <w:tcPr>
            <w:tcW w:w="1134" w:type="dxa"/>
            <w:vAlign w:val="center"/>
          </w:tcPr>
          <w:p w14:paraId="50A0B8F5"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6 434</w:t>
            </w:r>
          </w:p>
        </w:tc>
        <w:tc>
          <w:tcPr>
            <w:tcW w:w="1276" w:type="dxa"/>
            <w:vAlign w:val="center"/>
          </w:tcPr>
          <w:p w14:paraId="40E4622D"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5 825</w:t>
            </w:r>
          </w:p>
        </w:tc>
        <w:tc>
          <w:tcPr>
            <w:tcW w:w="1701" w:type="dxa"/>
            <w:vAlign w:val="center"/>
          </w:tcPr>
          <w:p w14:paraId="14972F1E"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sz w:val="20"/>
                <w:szCs w:val="20"/>
                <w:lang w:eastAsia="pl-PL"/>
              </w:rPr>
              <w:t>90,5</w:t>
            </w:r>
          </w:p>
        </w:tc>
        <w:tc>
          <w:tcPr>
            <w:tcW w:w="1134" w:type="dxa"/>
            <w:vMerge/>
            <w:vAlign w:val="center"/>
          </w:tcPr>
          <w:p w14:paraId="06F7526A"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p>
        </w:tc>
        <w:tc>
          <w:tcPr>
            <w:tcW w:w="969" w:type="dxa"/>
            <w:vAlign w:val="center"/>
          </w:tcPr>
          <w:p w14:paraId="59216F0B"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73,3</w:t>
            </w:r>
          </w:p>
        </w:tc>
        <w:tc>
          <w:tcPr>
            <w:tcW w:w="1157" w:type="dxa"/>
            <w:vAlign w:val="center"/>
          </w:tcPr>
          <w:p w14:paraId="72ADDE39" w14:textId="77777777" w:rsidR="00D8445F" w:rsidRPr="00783A21" w:rsidRDefault="00D8445F" w:rsidP="00783A21">
            <w:pPr>
              <w:spacing w:after="0" w:line="240" w:lineRule="auto"/>
              <w:rPr>
                <w:rFonts w:ascii="Times New Roman" w:eastAsia="Times New Roman" w:hAnsi="Times New Roman" w:cs="Times New Roman"/>
                <w:bCs/>
                <w:color w:val="000000"/>
                <w:sz w:val="20"/>
                <w:szCs w:val="20"/>
                <w:lang w:eastAsia="pl-PL"/>
              </w:rPr>
            </w:pPr>
            <w:r w:rsidRPr="00783A21">
              <w:rPr>
                <w:rFonts w:ascii="Times New Roman" w:eastAsia="Times New Roman" w:hAnsi="Times New Roman" w:cs="Times New Roman"/>
                <w:color w:val="000000"/>
                <w:sz w:val="20"/>
                <w:szCs w:val="20"/>
                <w:lang w:eastAsia="pl-PL"/>
              </w:rPr>
              <w:t>17,3</w:t>
            </w:r>
          </w:p>
        </w:tc>
      </w:tr>
    </w:tbl>
    <w:p w14:paraId="2A6FF46E" w14:textId="77777777" w:rsidR="00E26F40" w:rsidRPr="00D42912" w:rsidRDefault="00D8445F" w:rsidP="003C1988">
      <w:pPr>
        <w:spacing w:after="120" w:line="259" w:lineRule="auto"/>
        <w:rPr>
          <w:rFonts w:ascii="Times New Roman" w:hAnsi="Times New Roman" w:cs="Times New Roman"/>
          <w:b/>
          <w:szCs w:val="24"/>
        </w:rPr>
      </w:pPr>
      <w:r w:rsidRPr="00D42912">
        <w:rPr>
          <w:rFonts w:ascii="Times New Roman" w:hAnsi="Times New Roman" w:cs="Times New Roman"/>
          <w:b/>
          <w:szCs w:val="24"/>
        </w:rPr>
        <w:t>Źródło: Sprawozdanie z działalności Uniwersytetów Trzeciego Wieku UTW-1.</w:t>
      </w:r>
    </w:p>
    <w:p w14:paraId="2400E858" w14:textId="77777777" w:rsidR="00E26F40" w:rsidRDefault="00E26F40" w:rsidP="003C1988">
      <w:pPr>
        <w:spacing w:after="120" w:line="259" w:lineRule="auto"/>
        <w:rPr>
          <w:rFonts w:ascii="Times New Roman" w:hAnsi="Times New Roman" w:cs="Times New Roman"/>
          <w:szCs w:val="24"/>
        </w:rPr>
      </w:pPr>
    </w:p>
    <w:p w14:paraId="51DE3D47" w14:textId="77777777" w:rsidR="00E26F40" w:rsidRPr="002A7263" w:rsidRDefault="00E26F40" w:rsidP="003C1988">
      <w:pPr>
        <w:spacing w:after="0" w:line="259" w:lineRule="auto"/>
        <w:rPr>
          <w:rFonts w:ascii="Times New Roman" w:hAnsi="Times New Roman" w:cs="Times New Roman"/>
          <w:b/>
          <w:color w:val="5B9BD5" w:themeColor="accent1"/>
          <w:sz w:val="24"/>
          <w:szCs w:val="24"/>
        </w:rPr>
      </w:pPr>
      <w:r w:rsidRPr="002A7263">
        <w:rPr>
          <w:rFonts w:ascii="Times New Roman" w:hAnsi="Times New Roman" w:cs="Times New Roman"/>
          <w:b/>
          <w:color w:val="5B9BD5" w:themeColor="accent1"/>
          <w:sz w:val="24"/>
          <w:szCs w:val="24"/>
        </w:rPr>
        <w:t>Gminne Rady Seniorów</w:t>
      </w:r>
    </w:p>
    <w:p w14:paraId="55E1A74E" w14:textId="77777777" w:rsidR="00E26F40" w:rsidRPr="00535900" w:rsidRDefault="00E26F40" w:rsidP="00602F15">
      <w:pPr>
        <w:spacing w:after="0"/>
        <w:jc w:val="both"/>
        <w:rPr>
          <w:rFonts w:ascii="Times New Roman" w:hAnsi="Times New Roman"/>
          <w:sz w:val="24"/>
          <w:szCs w:val="24"/>
        </w:rPr>
      </w:pPr>
      <w:r w:rsidRPr="00535900">
        <w:rPr>
          <w:rFonts w:ascii="Times New Roman" w:hAnsi="Times New Roman"/>
          <w:sz w:val="24"/>
          <w:szCs w:val="24"/>
        </w:rPr>
        <w:t>Gminne rady seniorów są podmiotami o charakterze konsultacyjnym, doradczym i inicjatywnym. Głównym celem ich działania jest integracja, wspieranie i reprezentowanie środowisk seniorów poprzez współpracę z władzami gminy, przedstawianie propozycji zadań i działań na rzecz seniorów, wydawanie opinii i formułowanie wniosków służących rozwojowi działalności samorządu terytorialnego na rzecz seniorów, zgłaszanie uwag do aktów prawa miejscowego, wspieranie wszelkich form aktywności seniorów, działania na rzecz umacniania międzypokoleniowych więzi społecznych oraz upowszechnianie wiedzy o potrzebach, prawach i możliwościach osób starszych. Członkowie gminnych rad seniorów pełnią swoje funkcje społecznie.</w:t>
      </w:r>
    </w:p>
    <w:p w14:paraId="4CDC455C" w14:textId="77777777" w:rsidR="006621E0" w:rsidRDefault="006621E0" w:rsidP="006621E0">
      <w:pPr>
        <w:spacing w:after="0"/>
        <w:ind w:right="22"/>
        <w:jc w:val="both"/>
        <w:rPr>
          <w:rFonts w:ascii="Times New Roman" w:hAnsi="Times New Roman" w:cs="Times New Roman"/>
          <w:sz w:val="24"/>
          <w:szCs w:val="24"/>
        </w:rPr>
      </w:pPr>
    </w:p>
    <w:p w14:paraId="395DB516" w14:textId="77777777" w:rsidR="00E26F40" w:rsidRDefault="006621E0" w:rsidP="008B6F02">
      <w:pPr>
        <w:spacing w:after="0"/>
        <w:ind w:right="22"/>
        <w:jc w:val="both"/>
        <w:rPr>
          <w:rFonts w:ascii="Times New Roman" w:hAnsi="Times New Roman" w:cs="Times New Roman"/>
          <w:sz w:val="24"/>
          <w:szCs w:val="24"/>
        </w:rPr>
      </w:pPr>
      <w:r w:rsidRPr="00A36392">
        <w:rPr>
          <w:rFonts w:ascii="Times New Roman" w:hAnsi="Times New Roman" w:cs="Times New Roman"/>
          <w:sz w:val="24"/>
          <w:szCs w:val="24"/>
        </w:rPr>
        <w:t>Na podstawie danych zebranych od 16 wojewodów wynika (dane na dzień 31 grudnia 2019 r.), że w kraju funkcjonuje 380 gminnych rad seniorów, powołanych zgodnie z art. 5c ustawy o samorządzie gminnym. Mając na uwadze ogólną liczbę gmin w Polsce (2477 gm</w:t>
      </w:r>
      <w:r w:rsidR="008B6F02">
        <w:rPr>
          <w:rFonts w:ascii="Times New Roman" w:hAnsi="Times New Roman" w:cs="Times New Roman"/>
          <w:sz w:val="24"/>
          <w:szCs w:val="24"/>
        </w:rPr>
        <w:t>in), liczba 380 stanowi 15,34%.</w:t>
      </w:r>
    </w:p>
    <w:p w14:paraId="5AF8DE96" w14:textId="77777777" w:rsidR="008B6F02" w:rsidRDefault="008B6F02" w:rsidP="008B6F02">
      <w:pPr>
        <w:spacing w:after="0"/>
        <w:ind w:right="22"/>
        <w:jc w:val="both"/>
        <w:rPr>
          <w:rFonts w:ascii="Times New Roman" w:hAnsi="Times New Roman" w:cs="Times New Roman"/>
          <w:sz w:val="24"/>
          <w:szCs w:val="24"/>
        </w:rPr>
      </w:pPr>
    </w:p>
    <w:p w14:paraId="18801948" w14:textId="77777777" w:rsidR="008B6F02" w:rsidRPr="00A36392" w:rsidRDefault="008B6F02" w:rsidP="008B6F02">
      <w:pPr>
        <w:spacing w:after="0"/>
        <w:ind w:right="22"/>
        <w:jc w:val="both"/>
        <w:rPr>
          <w:rFonts w:ascii="Times New Roman" w:hAnsi="Times New Roman" w:cs="Times New Roman"/>
          <w:sz w:val="24"/>
          <w:szCs w:val="24"/>
        </w:rPr>
      </w:pPr>
      <w:r>
        <w:rPr>
          <w:rFonts w:ascii="Times New Roman" w:hAnsi="Times New Roman" w:cs="Times New Roman"/>
          <w:sz w:val="24"/>
          <w:szCs w:val="24"/>
        </w:rPr>
        <w:t xml:space="preserve">Od 2016 r. </w:t>
      </w:r>
      <w:r w:rsidRPr="00A36392">
        <w:rPr>
          <w:rFonts w:ascii="Times New Roman" w:hAnsi="Times New Roman" w:cs="Times New Roman"/>
          <w:sz w:val="24"/>
          <w:szCs w:val="24"/>
        </w:rPr>
        <w:t xml:space="preserve">widoczny jest wzrost liczby rad seniorów. Na dzień 22 lutego 2016 r. funkcjonowało 197 gminnych rad seniorów, co stanowiło 7,95 %. Oznacza to, że w prawie 8% gmin w kraju </w:t>
      </w:r>
      <w:r w:rsidRPr="00A36392">
        <w:rPr>
          <w:rFonts w:ascii="Times New Roman" w:hAnsi="Times New Roman" w:cs="Times New Roman"/>
          <w:sz w:val="24"/>
          <w:szCs w:val="24"/>
        </w:rPr>
        <w:lastRenderedPageBreak/>
        <w:t>utworzono gminne rady seniorów. Na dzień 30 czerwca 2017 r. funkcjonowało 290 gminnych rad seniorów, co stanowiło 11,71%. Oznacza to, że w prawie 12% gmin w kraju utworzono gminne rady seniorów, natomiast na dzień 31 grudnia 2018 r. funkcjonowało 338  gminnych rad seniorów, co stanowiło 13,64%. Oznacza to, że w prawie 14% gmin w kraju utworzono gminne rady seniorów.</w:t>
      </w:r>
    </w:p>
    <w:p w14:paraId="6424AF74" w14:textId="3E4C7042" w:rsidR="00E26F40" w:rsidRDefault="00E26F40" w:rsidP="003C1988">
      <w:pPr>
        <w:spacing w:after="0"/>
        <w:rPr>
          <w:rFonts w:ascii="Times New Roman" w:hAnsi="Times New Roman" w:cs="Times New Roman"/>
          <w:b/>
          <w:sz w:val="24"/>
          <w:szCs w:val="24"/>
        </w:rPr>
      </w:pPr>
    </w:p>
    <w:p w14:paraId="6E6BEB00" w14:textId="14E54B34" w:rsidR="00D42912" w:rsidRPr="00D42912" w:rsidRDefault="00D42912" w:rsidP="00D42912">
      <w:pPr>
        <w:pStyle w:val="Legenda"/>
        <w:keepNext/>
        <w:jc w:val="both"/>
        <w:rPr>
          <w:rFonts w:ascii="Times New Roman" w:hAnsi="Times New Roman" w:cs="Times New Roman"/>
          <w:b/>
          <w:i w:val="0"/>
          <w:sz w:val="24"/>
        </w:rPr>
      </w:pPr>
      <w:bookmarkStart w:id="58" w:name="_Toc49171418"/>
      <w:r w:rsidRPr="00D42912">
        <w:rPr>
          <w:rFonts w:ascii="Times New Roman" w:hAnsi="Times New Roman" w:cs="Times New Roman"/>
          <w:b/>
          <w:i w:val="0"/>
          <w:sz w:val="24"/>
        </w:rPr>
        <w:t xml:space="preserve">Tabela </w:t>
      </w:r>
      <w:r w:rsidRPr="00D42912">
        <w:rPr>
          <w:rFonts w:ascii="Times New Roman" w:hAnsi="Times New Roman" w:cs="Times New Roman"/>
          <w:b/>
          <w:i w:val="0"/>
          <w:sz w:val="24"/>
        </w:rPr>
        <w:fldChar w:fldCharType="begin"/>
      </w:r>
      <w:r w:rsidRPr="00D42912">
        <w:rPr>
          <w:rFonts w:ascii="Times New Roman" w:hAnsi="Times New Roman" w:cs="Times New Roman"/>
          <w:b/>
          <w:i w:val="0"/>
          <w:sz w:val="24"/>
        </w:rPr>
        <w:instrText xml:space="preserve"> SEQ Tabela \* ARABIC </w:instrText>
      </w:r>
      <w:r w:rsidRPr="00D42912">
        <w:rPr>
          <w:rFonts w:ascii="Times New Roman" w:hAnsi="Times New Roman" w:cs="Times New Roman"/>
          <w:b/>
          <w:i w:val="0"/>
          <w:sz w:val="24"/>
        </w:rPr>
        <w:fldChar w:fldCharType="separate"/>
      </w:r>
      <w:r w:rsidR="00C154C9">
        <w:rPr>
          <w:rFonts w:ascii="Times New Roman" w:hAnsi="Times New Roman" w:cs="Times New Roman"/>
          <w:b/>
          <w:i w:val="0"/>
          <w:noProof/>
          <w:sz w:val="24"/>
        </w:rPr>
        <w:t>43</w:t>
      </w:r>
      <w:r w:rsidRPr="00D42912">
        <w:rPr>
          <w:rFonts w:ascii="Times New Roman" w:hAnsi="Times New Roman" w:cs="Times New Roman"/>
          <w:b/>
          <w:i w:val="0"/>
          <w:sz w:val="24"/>
        </w:rPr>
        <w:fldChar w:fldCharType="end"/>
      </w:r>
      <w:r w:rsidRPr="00D42912">
        <w:rPr>
          <w:rFonts w:ascii="Times New Roman" w:hAnsi="Times New Roman" w:cs="Times New Roman"/>
          <w:b/>
          <w:i w:val="0"/>
          <w:sz w:val="24"/>
        </w:rPr>
        <w:t xml:space="preserve"> Liczba gmin w poszczególnych województwach, w których funkcjonują gminne rady seniorów zgodnie z art. 5c ustawy i samorządzie gminnym</w:t>
      </w:r>
      <w:bookmarkEnd w:id="58"/>
    </w:p>
    <w:tbl>
      <w:tblPr>
        <w:tblStyle w:val="Tabela-Siatka"/>
        <w:tblW w:w="9660"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1580"/>
        <w:gridCol w:w="1417"/>
        <w:gridCol w:w="1560"/>
        <w:gridCol w:w="1559"/>
        <w:gridCol w:w="1843"/>
        <w:gridCol w:w="1701"/>
      </w:tblGrid>
      <w:tr w:rsidR="00DC6062" w:rsidRPr="00783A21" w14:paraId="50F5A10B" w14:textId="77777777" w:rsidTr="00DC6062">
        <w:trPr>
          <w:jc w:val="center"/>
        </w:trPr>
        <w:tc>
          <w:tcPr>
            <w:tcW w:w="1580" w:type="dxa"/>
            <w:shd w:val="clear" w:color="auto" w:fill="9CC2E5" w:themeFill="accent1" w:themeFillTint="99"/>
          </w:tcPr>
          <w:p w14:paraId="3D23547D" w14:textId="77777777" w:rsidR="00DC6062" w:rsidRPr="00783A21" w:rsidRDefault="00DC6062" w:rsidP="00783A21">
            <w:pPr>
              <w:spacing w:after="0" w:line="240" w:lineRule="auto"/>
              <w:rPr>
                <w:rFonts w:ascii="Times New Roman" w:hAnsi="Times New Roman" w:cs="Times New Roman"/>
                <w:b/>
                <w:sz w:val="20"/>
                <w:szCs w:val="20"/>
              </w:rPr>
            </w:pPr>
          </w:p>
          <w:p w14:paraId="0F6D120F" w14:textId="77777777" w:rsidR="00DC6062" w:rsidRPr="00783A21" w:rsidRDefault="00DC6062" w:rsidP="00783A21">
            <w:pPr>
              <w:spacing w:after="0" w:line="240" w:lineRule="auto"/>
              <w:rPr>
                <w:rFonts w:ascii="Times New Roman" w:hAnsi="Times New Roman" w:cs="Times New Roman"/>
                <w:b/>
                <w:sz w:val="20"/>
                <w:szCs w:val="20"/>
              </w:rPr>
            </w:pPr>
          </w:p>
          <w:p w14:paraId="665A8A56" w14:textId="77777777" w:rsidR="00DC6062" w:rsidRPr="00783A21" w:rsidRDefault="00DC6062" w:rsidP="00783A21">
            <w:pPr>
              <w:spacing w:after="0" w:line="240" w:lineRule="auto"/>
              <w:rPr>
                <w:rFonts w:ascii="Times New Roman" w:hAnsi="Times New Roman" w:cs="Times New Roman"/>
                <w:b/>
                <w:sz w:val="20"/>
                <w:szCs w:val="20"/>
              </w:rPr>
            </w:pPr>
          </w:p>
          <w:p w14:paraId="3A79EA9F"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Województwo</w:t>
            </w:r>
          </w:p>
          <w:p w14:paraId="722AA662" w14:textId="77777777" w:rsidR="00DC6062" w:rsidRPr="00783A21" w:rsidRDefault="00DC6062" w:rsidP="00783A21">
            <w:pPr>
              <w:spacing w:after="0" w:line="240" w:lineRule="auto"/>
              <w:rPr>
                <w:rFonts w:ascii="Times New Roman" w:hAnsi="Times New Roman" w:cs="Times New Roman"/>
                <w:b/>
                <w:sz w:val="20"/>
                <w:szCs w:val="20"/>
              </w:rPr>
            </w:pPr>
          </w:p>
        </w:tc>
        <w:tc>
          <w:tcPr>
            <w:tcW w:w="1417" w:type="dxa"/>
            <w:shd w:val="clear" w:color="auto" w:fill="9CC2E5" w:themeFill="accent1" w:themeFillTint="99"/>
          </w:tcPr>
          <w:p w14:paraId="693DE886" w14:textId="77777777" w:rsidR="00DC6062" w:rsidRPr="00783A21" w:rsidRDefault="00DC6062" w:rsidP="00783A21">
            <w:pPr>
              <w:spacing w:after="0" w:line="240" w:lineRule="auto"/>
              <w:ind w:right="-250"/>
              <w:rPr>
                <w:rFonts w:ascii="Times New Roman" w:hAnsi="Times New Roman" w:cs="Times New Roman"/>
                <w:b/>
                <w:sz w:val="20"/>
                <w:szCs w:val="20"/>
              </w:rPr>
            </w:pPr>
            <w:r w:rsidRPr="00783A21">
              <w:rPr>
                <w:rFonts w:ascii="Times New Roman" w:hAnsi="Times New Roman" w:cs="Times New Roman"/>
                <w:b/>
                <w:sz w:val="20"/>
                <w:szCs w:val="20"/>
              </w:rPr>
              <w:t>Liczba gmin w województwie</w:t>
            </w:r>
          </w:p>
          <w:p w14:paraId="070E3E51" w14:textId="77777777" w:rsidR="00DC6062" w:rsidRPr="00783A21" w:rsidRDefault="00DC6062" w:rsidP="00783A21">
            <w:pPr>
              <w:spacing w:after="0" w:line="240" w:lineRule="auto"/>
              <w:ind w:right="-250"/>
              <w:rPr>
                <w:rFonts w:ascii="Times New Roman" w:hAnsi="Times New Roman" w:cs="Times New Roman"/>
                <w:b/>
                <w:sz w:val="20"/>
                <w:szCs w:val="20"/>
              </w:rPr>
            </w:pPr>
            <w:r w:rsidRPr="00783A21">
              <w:rPr>
                <w:rFonts w:ascii="Times New Roman" w:hAnsi="Times New Roman" w:cs="Times New Roman"/>
                <w:b/>
                <w:sz w:val="20"/>
                <w:szCs w:val="20"/>
              </w:rPr>
              <w:t>- ogółem</w:t>
            </w:r>
          </w:p>
          <w:p w14:paraId="4879508A" w14:textId="77777777" w:rsidR="00DC6062" w:rsidRPr="00783A21" w:rsidRDefault="00DC6062" w:rsidP="00783A21">
            <w:pPr>
              <w:spacing w:after="0" w:line="240" w:lineRule="auto"/>
              <w:ind w:right="-250"/>
              <w:rPr>
                <w:rFonts w:ascii="Times New Roman" w:hAnsi="Times New Roman" w:cs="Times New Roman"/>
                <w:b/>
                <w:sz w:val="20"/>
                <w:szCs w:val="20"/>
              </w:rPr>
            </w:pPr>
            <w:r w:rsidRPr="00783A21">
              <w:rPr>
                <w:rFonts w:ascii="Times New Roman" w:hAnsi="Times New Roman" w:cs="Times New Roman"/>
                <w:b/>
                <w:sz w:val="20"/>
                <w:szCs w:val="20"/>
              </w:rPr>
              <w:t>(stan na 31.12.2019 r.)</w:t>
            </w:r>
          </w:p>
        </w:tc>
        <w:tc>
          <w:tcPr>
            <w:tcW w:w="1560" w:type="dxa"/>
            <w:shd w:val="clear" w:color="auto" w:fill="9CC2E5" w:themeFill="accent1" w:themeFillTint="99"/>
          </w:tcPr>
          <w:p w14:paraId="711390ED"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Liczba gmin w   których</w:t>
            </w:r>
          </w:p>
          <w:p w14:paraId="16ABC94A" w14:textId="77777777" w:rsidR="00DC6062" w:rsidRPr="00783A21" w:rsidRDefault="00DC6062" w:rsidP="00783A21">
            <w:pPr>
              <w:spacing w:after="0" w:line="240" w:lineRule="auto"/>
              <w:ind w:left="-108"/>
              <w:rPr>
                <w:rFonts w:ascii="Times New Roman" w:hAnsi="Times New Roman" w:cs="Times New Roman"/>
                <w:b/>
                <w:sz w:val="20"/>
                <w:szCs w:val="20"/>
              </w:rPr>
            </w:pPr>
            <w:r w:rsidRPr="00783A21">
              <w:rPr>
                <w:rFonts w:ascii="Times New Roman" w:hAnsi="Times New Roman" w:cs="Times New Roman"/>
                <w:b/>
                <w:sz w:val="20"/>
                <w:szCs w:val="20"/>
              </w:rPr>
              <w:t>funkcjonowały  gminne</w:t>
            </w:r>
          </w:p>
          <w:p w14:paraId="5755D2A8" w14:textId="77777777" w:rsidR="00DC6062" w:rsidRPr="00783A21" w:rsidRDefault="00DC6062" w:rsidP="00783A21">
            <w:pPr>
              <w:spacing w:after="0" w:line="240" w:lineRule="auto"/>
              <w:ind w:left="-108"/>
              <w:rPr>
                <w:rFonts w:ascii="Times New Roman" w:hAnsi="Times New Roman" w:cs="Times New Roman"/>
                <w:b/>
                <w:sz w:val="20"/>
                <w:szCs w:val="20"/>
              </w:rPr>
            </w:pPr>
            <w:r w:rsidRPr="00783A21">
              <w:rPr>
                <w:rFonts w:ascii="Times New Roman" w:hAnsi="Times New Roman" w:cs="Times New Roman"/>
                <w:b/>
                <w:sz w:val="20"/>
                <w:szCs w:val="20"/>
              </w:rPr>
              <w:t>rady seniorów - stan na dzień 22 lutego 2016 r.</w:t>
            </w:r>
          </w:p>
        </w:tc>
        <w:tc>
          <w:tcPr>
            <w:tcW w:w="1559" w:type="dxa"/>
            <w:shd w:val="clear" w:color="auto" w:fill="9CC2E5" w:themeFill="accent1" w:themeFillTint="99"/>
          </w:tcPr>
          <w:p w14:paraId="127F4868"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Liczba gmin w których funkcjonowały gminne rady seniorów – stan na dzień 30 czerwca 2017 r.</w:t>
            </w:r>
          </w:p>
        </w:tc>
        <w:tc>
          <w:tcPr>
            <w:tcW w:w="1843" w:type="dxa"/>
            <w:shd w:val="clear" w:color="auto" w:fill="9CC2E5" w:themeFill="accent1" w:themeFillTint="99"/>
          </w:tcPr>
          <w:p w14:paraId="38097B4C" w14:textId="77777777" w:rsidR="00DC6062" w:rsidRPr="00783A21" w:rsidRDefault="00DC6062" w:rsidP="00783A21">
            <w:pPr>
              <w:tabs>
                <w:tab w:val="left" w:pos="0"/>
              </w:tabs>
              <w:spacing w:after="0" w:line="240" w:lineRule="auto"/>
              <w:ind w:right="317"/>
              <w:rPr>
                <w:rFonts w:ascii="Times New Roman" w:hAnsi="Times New Roman" w:cs="Times New Roman"/>
                <w:b/>
                <w:sz w:val="20"/>
                <w:szCs w:val="20"/>
              </w:rPr>
            </w:pPr>
            <w:r w:rsidRPr="00783A21">
              <w:rPr>
                <w:rFonts w:ascii="Times New Roman" w:hAnsi="Times New Roman" w:cs="Times New Roman"/>
                <w:b/>
                <w:sz w:val="20"/>
                <w:szCs w:val="20"/>
              </w:rPr>
              <w:t>Liczba gmin w których funkcjonowały gminne rady seniorów – stan na dzień 31 grudnia 2018 r.</w:t>
            </w:r>
          </w:p>
        </w:tc>
        <w:tc>
          <w:tcPr>
            <w:tcW w:w="1701" w:type="dxa"/>
            <w:shd w:val="clear" w:color="auto" w:fill="9CC2E5" w:themeFill="accent1" w:themeFillTint="99"/>
          </w:tcPr>
          <w:p w14:paraId="5ECBF151" w14:textId="77777777" w:rsidR="00DC6062" w:rsidRPr="00783A21" w:rsidRDefault="00DC6062" w:rsidP="00783A21">
            <w:pPr>
              <w:tabs>
                <w:tab w:val="left" w:pos="0"/>
              </w:tabs>
              <w:spacing w:after="0" w:line="240" w:lineRule="auto"/>
              <w:ind w:right="317"/>
              <w:rPr>
                <w:rFonts w:ascii="Times New Roman" w:hAnsi="Times New Roman" w:cs="Times New Roman"/>
                <w:b/>
                <w:sz w:val="20"/>
                <w:szCs w:val="20"/>
              </w:rPr>
            </w:pPr>
            <w:r w:rsidRPr="00783A21">
              <w:rPr>
                <w:rFonts w:ascii="Times New Roman" w:hAnsi="Times New Roman" w:cs="Times New Roman"/>
                <w:b/>
                <w:sz w:val="20"/>
                <w:szCs w:val="20"/>
              </w:rPr>
              <w:t>Liczba gmin w których funkcjonowały gminne rady seniorów – stan na dzień 31 grudnia 2019 r.</w:t>
            </w:r>
          </w:p>
        </w:tc>
      </w:tr>
      <w:tr w:rsidR="00DC6062" w:rsidRPr="00783A21" w14:paraId="6107DEFC" w14:textId="77777777" w:rsidTr="00DC6062">
        <w:trPr>
          <w:trHeight w:val="644"/>
          <w:jc w:val="center"/>
        </w:trPr>
        <w:tc>
          <w:tcPr>
            <w:tcW w:w="1580" w:type="dxa"/>
          </w:tcPr>
          <w:p w14:paraId="7A2FFD0F" w14:textId="77777777" w:rsidR="00DC6062" w:rsidRPr="00783A21" w:rsidRDefault="00DC6062" w:rsidP="00783A21">
            <w:pPr>
              <w:spacing w:after="0" w:line="240" w:lineRule="auto"/>
              <w:rPr>
                <w:rFonts w:ascii="Times New Roman" w:hAnsi="Times New Roman" w:cs="Times New Roman"/>
                <w:b/>
                <w:sz w:val="20"/>
                <w:szCs w:val="20"/>
              </w:rPr>
            </w:pPr>
          </w:p>
          <w:p w14:paraId="1E0C0F07"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dolnośląskie</w:t>
            </w:r>
          </w:p>
        </w:tc>
        <w:tc>
          <w:tcPr>
            <w:tcW w:w="1417" w:type="dxa"/>
          </w:tcPr>
          <w:p w14:paraId="4FA94CA5" w14:textId="77777777" w:rsidR="00DC6062" w:rsidRPr="00783A21" w:rsidRDefault="00DC6062" w:rsidP="00783A21">
            <w:pPr>
              <w:spacing w:after="0" w:line="240" w:lineRule="auto"/>
              <w:jc w:val="center"/>
              <w:rPr>
                <w:rFonts w:ascii="Times New Roman" w:hAnsi="Times New Roman" w:cs="Times New Roman"/>
                <w:sz w:val="20"/>
                <w:szCs w:val="20"/>
              </w:rPr>
            </w:pPr>
          </w:p>
          <w:p w14:paraId="2CEE2C43"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169</w:t>
            </w:r>
          </w:p>
        </w:tc>
        <w:tc>
          <w:tcPr>
            <w:tcW w:w="1560" w:type="dxa"/>
          </w:tcPr>
          <w:p w14:paraId="4824C368" w14:textId="77777777" w:rsidR="00DC6062" w:rsidRPr="00783A21" w:rsidRDefault="00DC6062" w:rsidP="00783A21">
            <w:pPr>
              <w:spacing w:after="0" w:line="240" w:lineRule="auto"/>
              <w:jc w:val="center"/>
              <w:rPr>
                <w:rFonts w:ascii="Times New Roman" w:hAnsi="Times New Roman" w:cs="Times New Roman"/>
                <w:sz w:val="20"/>
                <w:szCs w:val="20"/>
              </w:rPr>
            </w:pPr>
          </w:p>
          <w:p w14:paraId="4569480B"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16</w:t>
            </w:r>
          </w:p>
        </w:tc>
        <w:tc>
          <w:tcPr>
            <w:tcW w:w="1559" w:type="dxa"/>
          </w:tcPr>
          <w:p w14:paraId="72FDB0F9" w14:textId="77777777" w:rsidR="00DC6062" w:rsidRPr="00783A21" w:rsidRDefault="00DC6062" w:rsidP="00783A21">
            <w:pPr>
              <w:spacing w:after="0" w:line="240" w:lineRule="auto"/>
              <w:jc w:val="center"/>
              <w:rPr>
                <w:rFonts w:ascii="Times New Roman" w:hAnsi="Times New Roman" w:cs="Times New Roman"/>
                <w:sz w:val="20"/>
                <w:szCs w:val="20"/>
              </w:rPr>
            </w:pPr>
          </w:p>
          <w:p w14:paraId="097B3EA4"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25</w:t>
            </w:r>
          </w:p>
        </w:tc>
        <w:tc>
          <w:tcPr>
            <w:tcW w:w="1843" w:type="dxa"/>
          </w:tcPr>
          <w:p w14:paraId="581EC88F" w14:textId="77777777" w:rsidR="00DC6062" w:rsidRPr="00783A21" w:rsidRDefault="00DC6062" w:rsidP="00783A21">
            <w:pPr>
              <w:spacing w:after="0" w:line="240" w:lineRule="auto"/>
              <w:jc w:val="center"/>
              <w:rPr>
                <w:rFonts w:ascii="Times New Roman" w:hAnsi="Times New Roman" w:cs="Times New Roman"/>
                <w:sz w:val="20"/>
                <w:szCs w:val="20"/>
              </w:rPr>
            </w:pPr>
          </w:p>
          <w:p w14:paraId="3000EB85"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27</w:t>
            </w:r>
          </w:p>
        </w:tc>
        <w:tc>
          <w:tcPr>
            <w:tcW w:w="1701" w:type="dxa"/>
          </w:tcPr>
          <w:p w14:paraId="2E58116D" w14:textId="77777777" w:rsidR="00DC6062" w:rsidRPr="00783A21" w:rsidRDefault="00DC6062" w:rsidP="00783A21">
            <w:pPr>
              <w:spacing w:after="0" w:line="240" w:lineRule="auto"/>
              <w:jc w:val="center"/>
              <w:rPr>
                <w:rFonts w:ascii="Times New Roman" w:hAnsi="Times New Roman" w:cs="Times New Roman"/>
                <w:sz w:val="20"/>
                <w:szCs w:val="20"/>
              </w:rPr>
            </w:pPr>
          </w:p>
          <w:p w14:paraId="03A160B6"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33</w:t>
            </w:r>
          </w:p>
        </w:tc>
      </w:tr>
      <w:tr w:rsidR="00DC6062" w:rsidRPr="00783A21" w14:paraId="05349451" w14:textId="77777777" w:rsidTr="00DC6062">
        <w:trPr>
          <w:jc w:val="center"/>
        </w:trPr>
        <w:tc>
          <w:tcPr>
            <w:tcW w:w="1580" w:type="dxa"/>
          </w:tcPr>
          <w:p w14:paraId="06026495" w14:textId="77777777" w:rsidR="00DC6062" w:rsidRPr="00783A21" w:rsidRDefault="00DC6062" w:rsidP="00783A21">
            <w:pPr>
              <w:spacing w:after="0" w:line="240" w:lineRule="auto"/>
              <w:rPr>
                <w:rFonts w:ascii="Times New Roman" w:hAnsi="Times New Roman" w:cs="Times New Roman"/>
                <w:b/>
                <w:sz w:val="20"/>
                <w:szCs w:val="20"/>
              </w:rPr>
            </w:pPr>
          </w:p>
          <w:p w14:paraId="24D96559"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pomorskie</w:t>
            </w:r>
          </w:p>
        </w:tc>
        <w:tc>
          <w:tcPr>
            <w:tcW w:w="1417" w:type="dxa"/>
          </w:tcPr>
          <w:p w14:paraId="4311CA2B" w14:textId="77777777" w:rsidR="00DC6062" w:rsidRPr="00783A21" w:rsidRDefault="00DC6062" w:rsidP="00783A21">
            <w:pPr>
              <w:spacing w:after="0" w:line="240" w:lineRule="auto"/>
              <w:jc w:val="center"/>
              <w:rPr>
                <w:rFonts w:ascii="Times New Roman" w:hAnsi="Times New Roman" w:cs="Times New Roman"/>
                <w:sz w:val="20"/>
                <w:szCs w:val="20"/>
              </w:rPr>
            </w:pPr>
          </w:p>
          <w:p w14:paraId="1C85AE5D"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123</w:t>
            </w:r>
          </w:p>
        </w:tc>
        <w:tc>
          <w:tcPr>
            <w:tcW w:w="1560" w:type="dxa"/>
          </w:tcPr>
          <w:p w14:paraId="4F7ED7FD" w14:textId="77777777" w:rsidR="00DC6062" w:rsidRPr="00783A21" w:rsidRDefault="00DC6062" w:rsidP="00783A21">
            <w:pPr>
              <w:spacing w:after="0" w:line="240" w:lineRule="auto"/>
              <w:jc w:val="center"/>
              <w:rPr>
                <w:rFonts w:ascii="Times New Roman" w:hAnsi="Times New Roman" w:cs="Times New Roman"/>
                <w:sz w:val="20"/>
                <w:szCs w:val="20"/>
              </w:rPr>
            </w:pPr>
          </w:p>
          <w:p w14:paraId="5030D336"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13</w:t>
            </w:r>
          </w:p>
        </w:tc>
        <w:tc>
          <w:tcPr>
            <w:tcW w:w="1559" w:type="dxa"/>
          </w:tcPr>
          <w:p w14:paraId="7C239156" w14:textId="77777777" w:rsidR="00DC6062" w:rsidRPr="00783A21" w:rsidRDefault="00DC6062" w:rsidP="00783A21">
            <w:pPr>
              <w:spacing w:after="0" w:line="240" w:lineRule="auto"/>
              <w:jc w:val="center"/>
              <w:rPr>
                <w:rFonts w:ascii="Times New Roman" w:hAnsi="Times New Roman" w:cs="Times New Roman"/>
                <w:sz w:val="20"/>
                <w:szCs w:val="20"/>
              </w:rPr>
            </w:pPr>
          </w:p>
          <w:p w14:paraId="7B8B7E75"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14</w:t>
            </w:r>
          </w:p>
        </w:tc>
        <w:tc>
          <w:tcPr>
            <w:tcW w:w="1843" w:type="dxa"/>
          </w:tcPr>
          <w:p w14:paraId="317F5633" w14:textId="77777777" w:rsidR="00DC6062" w:rsidRPr="00783A21" w:rsidRDefault="00DC6062" w:rsidP="00783A21">
            <w:pPr>
              <w:spacing w:after="0" w:line="240" w:lineRule="auto"/>
              <w:jc w:val="center"/>
              <w:rPr>
                <w:rFonts w:ascii="Times New Roman" w:hAnsi="Times New Roman" w:cs="Times New Roman"/>
                <w:sz w:val="20"/>
                <w:szCs w:val="20"/>
              </w:rPr>
            </w:pPr>
          </w:p>
          <w:p w14:paraId="7D1ABA91"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25</w:t>
            </w:r>
          </w:p>
        </w:tc>
        <w:tc>
          <w:tcPr>
            <w:tcW w:w="1701" w:type="dxa"/>
          </w:tcPr>
          <w:p w14:paraId="057436EE" w14:textId="77777777" w:rsidR="00DC6062" w:rsidRPr="00783A21" w:rsidRDefault="00DC6062" w:rsidP="00783A21">
            <w:pPr>
              <w:spacing w:after="0" w:line="240" w:lineRule="auto"/>
              <w:jc w:val="center"/>
              <w:rPr>
                <w:rFonts w:ascii="Times New Roman" w:hAnsi="Times New Roman" w:cs="Times New Roman"/>
                <w:sz w:val="20"/>
                <w:szCs w:val="20"/>
              </w:rPr>
            </w:pPr>
          </w:p>
          <w:p w14:paraId="566BEB74"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35</w:t>
            </w:r>
          </w:p>
        </w:tc>
      </w:tr>
      <w:tr w:rsidR="00DC6062" w:rsidRPr="00783A21" w14:paraId="59FF9282" w14:textId="77777777" w:rsidTr="00DC6062">
        <w:trPr>
          <w:jc w:val="center"/>
        </w:trPr>
        <w:tc>
          <w:tcPr>
            <w:tcW w:w="1580" w:type="dxa"/>
          </w:tcPr>
          <w:p w14:paraId="4D2A8C5D" w14:textId="77777777" w:rsidR="00DC6062" w:rsidRPr="00783A21" w:rsidRDefault="00DC6062" w:rsidP="00783A21">
            <w:pPr>
              <w:spacing w:after="0" w:line="240" w:lineRule="auto"/>
              <w:rPr>
                <w:rFonts w:ascii="Times New Roman" w:hAnsi="Times New Roman" w:cs="Times New Roman"/>
                <w:b/>
                <w:sz w:val="20"/>
                <w:szCs w:val="20"/>
              </w:rPr>
            </w:pPr>
          </w:p>
          <w:p w14:paraId="7457BAAD"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zachodniopomorskie</w:t>
            </w:r>
          </w:p>
        </w:tc>
        <w:tc>
          <w:tcPr>
            <w:tcW w:w="1417" w:type="dxa"/>
          </w:tcPr>
          <w:p w14:paraId="64A17874" w14:textId="77777777" w:rsidR="00DC6062" w:rsidRPr="00783A21" w:rsidRDefault="00DC6062" w:rsidP="00783A21">
            <w:pPr>
              <w:spacing w:after="0" w:line="240" w:lineRule="auto"/>
              <w:jc w:val="center"/>
              <w:rPr>
                <w:rFonts w:ascii="Times New Roman" w:hAnsi="Times New Roman" w:cs="Times New Roman"/>
                <w:sz w:val="20"/>
                <w:szCs w:val="20"/>
              </w:rPr>
            </w:pPr>
          </w:p>
          <w:p w14:paraId="2196F2DA"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114</w:t>
            </w:r>
          </w:p>
        </w:tc>
        <w:tc>
          <w:tcPr>
            <w:tcW w:w="1560" w:type="dxa"/>
          </w:tcPr>
          <w:p w14:paraId="36EF6093" w14:textId="77777777" w:rsidR="00DC6062" w:rsidRPr="00783A21" w:rsidRDefault="00DC6062" w:rsidP="00783A21">
            <w:pPr>
              <w:spacing w:after="0" w:line="240" w:lineRule="auto"/>
              <w:jc w:val="center"/>
              <w:rPr>
                <w:rFonts w:ascii="Times New Roman" w:hAnsi="Times New Roman" w:cs="Times New Roman"/>
                <w:sz w:val="20"/>
                <w:szCs w:val="20"/>
              </w:rPr>
            </w:pPr>
          </w:p>
          <w:p w14:paraId="1858B6E7"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8</w:t>
            </w:r>
          </w:p>
        </w:tc>
        <w:tc>
          <w:tcPr>
            <w:tcW w:w="1559" w:type="dxa"/>
          </w:tcPr>
          <w:p w14:paraId="1E6D8B0B" w14:textId="77777777" w:rsidR="00DC6062" w:rsidRPr="00783A21" w:rsidRDefault="00DC6062" w:rsidP="00783A21">
            <w:pPr>
              <w:spacing w:after="0" w:line="240" w:lineRule="auto"/>
              <w:jc w:val="center"/>
              <w:rPr>
                <w:rFonts w:ascii="Times New Roman" w:hAnsi="Times New Roman" w:cs="Times New Roman"/>
                <w:sz w:val="20"/>
                <w:szCs w:val="20"/>
              </w:rPr>
            </w:pPr>
          </w:p>
          <w:p w14:paraId="6B7BF7A4"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12</w:t>
            </w:r>
          </w:p>
        </w:tc>
        <w:tc>
          <w:tcPr>
            <w:tcW w:w="1843" w:type="dxa"/>
          </w:tcPr>
          <w:p w14:paraId="0DD835D5" w14:textId="77777777" w:rsidR="00DC6062" w:rsidRPr="00783A21" w:rsidRDefault="00DC6062" w:rsidP="00783A21">
            <w:pPr>
              <w:spacing w:after="0" w:line="240" w:lineRule="auto"/>
              <w:jc w:val="center"/>
              <w:rPr>
                <w:rFonts w:ascii="Times New Roman" w:hAnsi="Times New Roman" w:cs="Times New Roman"/>
                <w:sz w:val="20"/>
                <w:szCs w:val="20"/>
              </w:rPr>
            </w:pPr>
          </w:p>
          <w:p w14:paraId="3A95EB8B"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13</w:t>
            </w:r>
          </w:p>
        </w:tc>
        <w:tc>
          <w:tcPr>
            <w:tcW w:w="1701" w:type="dxa"/>
          </w:tcPr>
          <w:p w14:paraId="247A120F" w14:textId="77777777" w:rsidR="00DC6062" w:rsidRPr="00783A21" w:rsidRDefault="00DC6062" w:rsidP="00783A21">
            <w:pPr>
              <w:spacing w:after="0" w:line="240" w:lineRule="auto"/>
              <w:jc w:val="center"/>
              <w:rPr>
                <w:rFonts w:ascii="Times New Roman" w:hAnsi="Times New Roman" w:cs="Times New Roman"/>
                <w:sz w:val="20"/>
                <w:szCs w:val="20"/>
              </w:rPr>
            </w:pPr>
          </w:p>
          <w:p w14:paraId="7A1385C3"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19</w:t>
            </w:r>
          </w:p>
        </w:tc>
      </w:tr>
      <w:tr w:rsidR="00DC6062" w:rsidRPr="00783A21" w14:paraId="5CE23491" w14:textId="77777777" w:rsidTr="00DC6062">
        <w:trPr>
          <w:jc w:val="center"/>
        </w:trPr>
        <w:tc>
          <w:tcPr>
            <w:tcW w:w="1580" w:type="dxa"/>
          </w:tcPr>
          <w:p w14:paraId="3CA46B0E" w14:textId="77777777" w:rsidR="00DC6062" w:rsidRPr="00783A21" w:rsidRDefault="00DC6062" w:rsidP="00783A21">
            <w:pPr>
              <w:spacing w:after="0" w:line="240" w:lineRule="auto"/>
              <w:rPr>
                <w:rFonts w:ascii="Times New Roman" w:hAnsi="Times New Roman" w:cs="Times New Roman"/>
                <w:b/>
                <w:sz w:val="20"/>
                <w:szCs w:val="20"/>
              </w:rPr>
            </w:pPr>
          </w:p>
          <w:p w14:paraId="0AABCC29"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śląskie</w:t>
            </w:r>
          </w:p>
        </w:tc>
        <w:tc>
          <w:tcPr>
            <w:tcW w:w="1417" w:type="dxa"/>
          </w:tcPr>
          <w:p w14:paraId="7BC3ECB9" w14:textId="77777777" w:rsidR="00DC6062" w:rsidRPr="00783A21" w:rsidRDefault="00DC6062" w:rsidP="00783A21">
            <w:pPr>
              <w:spacing w:after="0" w:line="240" w:lineRule="auto"/>
              <w:jc w:val="center"/>
              <w:rPr>
                <w:rFonts w:ascii="Times New Roman" w:hAnsi="Times New Roman" w:cs="Times New Roman"/>
                <w:sz w:val="20"/>
                <w:szCs w:val="20"/>
              </w:rPr>
            </w:pPr>
          </w:p>
          <w:p w14:paraId="265D7F60"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167</w:t>
            </w:r>
          </w:p>
        </w:tc>
        <w:tc>
          <w:tcPr>
            <w:tcW w:w="1560" w:type="dxa"/>
          </w:tcPr>
          <w:p w14:paraId="6BEC5D9D" w14:textId="77777777" w:rsidR="00DC6062" w:rsidRPr="00783A21" w:rsidRDefault="00DC6062" w:rsidP="00783A21">
            <w:pPr>
              <w:spacing w:after="0" w:line="240" w:lineRule="auto"/>
              <w:jc w:val="center"/>
              <w:rPr>
                <w:rFonts w:ascii="Times New Roman" w:hAnsi="Times New Roman" w:cs="Times New Roman"/>
                <w:sz w:val="20"/>
                <w:szCs w:val="20"/>
              </w:rPr>
            </w:pPr>
          </w:p>
          <w:p w14:paraId="65D044C5"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25</w:t>
            </w:r>
          </w:p>
        </w:tc>
        <w:tc>
          <w:tcPr>
            <w:tcW w:w="1559" w:type="dxa"/>
          </w:tcPr>
          <w:p w14:paraId="01EB39C6" w14:textId="77777777" w:rsidR="00DC6062" w:rsidRPr="00783A21" w:rsidRDefault="00DC6062" w:rsidP="00783A21">
            <w:pPr>
              <w:spacing w:after="0" w:line="240" w:lineRule="auto"/>
              <w:jc w:val="center"/>
              <w:rPr>
                <w:rFonts w:ascii="Times New Roman" w:hAnsi="Times New Roman" w:cs="Times New Roman"/>
                <w:sz w:val="20"/>
                <w:szCs w:val="20"/>
              </w:rPr>
            </w:pPr>
          </w:p>
          <w:p w14:paraId="38140C3D"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32</w:t>
            </w:r>
          </w:p>
        </w:tc>
        <w:tc>
          <w:tcPr>
            <w:tcW w:w="1843" w:type="dxa"/>
          </w:tcPr>
          <w:p w14:paraId="7426598D" w14:textId="77777777" w:rsidR="00DC6062" w:rsidRPr="00783A21" w:rsidRDefault="00DC6062" w:rsidP="00783A21">
            <w:pPr>
              <w:spacing w:after="0" w:line="240" w:lineRule="auto"/>
              <w:jc w:val="center"/>
              <w:rPr>
                <w:rFonts w:ascii="Times New Roman" w:hAnsi="Times New Roman" w:cs="Times New Roman"/>
                <w:sz w:val="20"/>
                <w:szCs w:val="20"/>
              </w:rPr>
            </w:pPr>
          </w:p>
          <w:p w14:paraId="7E465B73"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31</w:t>
            </w:r>
          </w:p>
        </w:tc>
        <w:tc>
          <w:tcPr>
            <w:tcW w:w="1701" w:type="dxa"/>
          </w:tcPr>
          <w:p w14:paraId="6C2F33E6" w14:textId="77777777" w:rsidR="00DC6062" w:rsidRPr="00783A21" w:rsidRDefault="00DC6062" w:rsidP="00783A21">
            <w:pPr>
              <w:spacing w:after="0" w:line="240" w:lineRule="auto"/>
              <w:jc w:val="center"/>
              <w:rPr>
                <w:rFonts w:ascii="Times New Roman" w:hAnsi="Times New Roman" w:cs="Times New Roman"/>
                <w:sz w:val="20"/>
                <w:szCs w:val="20"/>
              </w:rPr>
            </w:pPr>
          </w:p>
          <w:p w14:paraId="69E6F8C3"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35</w:t>
            </w:r>
          </w:p>
        </w:tc>
      </w:tr>
      <w:tr w:rsidR="00DC6062" w:rsidRPr="00783A21" w14:paraId="10D69D5B" w14:textId="77777777" w:rsidTr="00DC6062">
        <w:trPr>
          <w:jc w:val="center"/>
        </w:trPr>
        <w:tc>
          <w:tcPr>
            <w:tcW w:w="1580" w:type="dxa"/>
          </w:tcPr>
          <w:p w14:paraId="6D0795CF" w14:textId="77777777" w:rsidR="00DC6062" w:rsidRPr="00783A21" w:rsidRDefault="00DC6062" w:rsidP="00783A21">
            <w:pPr>
              <w:spacing w:after="0" w:line="240" w:lineRule="auto"/>
              <w:rPr>
                <w:rFonts w:ascii="Times New Roman" w:hAnsi="Times New Roman" w:cs="Times New Roman"/>
                <w:b/>
                <w:sz w:val="20"/>
                <w:szCs w:val="20"/>
              </w:rPr>
            </w:pPr>
          </w:p>
          <w:p w14:paraId="570B1F0F"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podkarpackie</w:t>
            </w:r>
          </w:p>
        </w:tc>
        <w:tc>
          <w:tcPr>
            <w:tcW w:w="1417" w:type="dxa"/>
          </w:tcPr>
          <w:p w14:paraId="60B35BD6" w14:textId="77777777" w:rsidR="00DC6062" w:rsidRPr="00783A21" w:rsidRDefault="00DC6062" w:rsidP="00783A21">
            <w:pPr>
              <w:spacing w:after="0" w:line="240" w:lineRule="auto"/>
              <w:jc w:val="center"/>
              <w:rPr>
                <w:rFonts w:ascii="Times New Roman" w:hAnsi="Times New Roman" w:cs="Times New Roman"/>
                <w:sz w:val="20"/>
                <w:szCs w:val="20"/>
              </w:rPr>
            </w:pPr>
          </w:p>
          <w:p w14:paraId="5BD71554"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160</w:t>
            </w:r>
          </w:p>
        </w:tc>
        <w:tc>
          <w:tcPr>
            <w:tcW w:w="1560" w:type="dxa"/>
          </w:tcPr>
          <w:p w14:paraId="655A29A1" w14:textId="77777777" w:rsidR="00DC6062" w:rsidRPr="00783A21" w:rsidRDefault="00DC6062" w:rsidP="00783A21">
            <w:pPr>
              <w:spacing w:after="0" w:line="240" w:lineRule="auto"/>
              <w:jc w:val="center"/>
              <w:rPr>
                <w:rFonts w:ascii="Times New Roman" w:hAnsi="Times New Roman" w:cs="Times New Roman"/>
                <w:sz w:val="20"/>
                <w:szCs w:val="20"/>
              </w:rPr>
            </w:pPr>
          </w:p>
          <w:p w14:paraId="4EFBF7D4"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11</w:t>
            </w:r>
          </w:p>
        </w:tc>
        <w:tc>
          <w:tcPr>
            <w:tcW w:w="1559" w:type="dxa"/>
          </w:tcPr>
          <w:p w14:paraId="335F60E6" w14:textId="77777777" w:rsidR="00DC6062" w:rsidRPr="00783A21" w:rsidRDefault="00DC6062" w:rsidP="00783A21">
            <w:pPr>
              <w:spacing w:after="0" w:line="240" w:lineRule="auto"/>
              <w:jc w:val="center"/>
              <w:rPr>
                <w:rFonts w:ascii="Times New Roman" w:hAnsi="Times New Roman" w:cs="Times New Roman"/>
                <w:sz w:val="20"/>
                <w:szCs w:val="20"/>
              </w:rPr>
            </w:pPr>
          </w:p>
          <w:p w14:paraId="6D152C12"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13</w:t>
            </w:r>
          </w:p>
        </w:tc>
        <w:tc>
          <w:tcPr>
            <w:tcW w:w="1843" w:type="dxa"/>
          </w:tcPr>
          <w:p w14:paraId="6048AA8B" w14:textId="77777777" w:rsidR="00DC6062" w:rsidRPr="00783A21" w:rsidRDefault="00DC6062" w:rsidP="00783A21">
            <w:pPr>
              <w:spacing w:after="0" w:line="240" w:lineRule="auto"/>
              <w:jc w:val="center"/>
              <w:rPr>
                <w:rFonts w:ascii="Times New Roman" w:hAnsi="Times New Roman" w:cs="Times New Roman"/>
                <w:sz w:val="20"/>
                <w:szCs w:val="20"/>
              </w:rPr>
            </w:pPr>
          </w:p>
          <w:p w14:paraId="5EC38803"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22</w:t>
            </w:r>
          </w:p>
        </w:tc>
        <w:tc>
          <w:tcPr>
            <w:tcW w:w="1701" w:type="dxa"/>
          </w:tcPr>
          <w:p w14:paraId="0E45BC0D" w14:textId="77777777" w:rsidR="00DC6062" w:rsidRPr="00783A21" w:rsidRDefault="00DC6062" w:rsidP="00783A21">
            <w:pPr>
              <w:spacing w:after="0" w:line="240" w:lineRule="auto"/>
              <w:jc w:val="center"/>
              <w:rPr>
                <w:rFonts w:ascii="Times New Roman" w:hAnsi="Times New Roman" w:cs="Times New Roman"/>
                <w:sz w:val="20"/>
                <w:szCs w:val="20"/>
              </w:rPr>
            </w:pPr>
          </w:p>
          <w:p w14:paraId="244BF3D9"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23</w:t>
            </w:r>
          </w:p>
        </w:tc>
      </w:tr>
      <w:tr w:rsidR="00DC6062" w:rsidRPr="00783A21" w14:paraId="1AC253AC" w14:textId="77777777" w:rsidTr="00DC6062">
        <w:trPr>
          <w:jc w:val="center"/>
        </w:trPr>
        <w:tc>
          <w:tcPr>
            <w:tcW w:w="1580" w:type="dxa"/>
          </w:tcPr>
          <w:p w14:paraId="145F7784" w14:textId="77777777" w:rsidR="00DC6062" w:rsidRPr="00783A21" w:rsidRDefault="00DC6062" w:rsidP="00783A21">
            <w:pPr>
              <w:spacing w:after="0" w:line="240" w:lineRule="auto"/>
              <w:rPr>
                <w:rFonts w:ascii="Times New Roman" w:hAnsi="Times New Roman" w:cs="Times New Roman"/>
                <w:b/>
                <w:sz w:val="20"/>
                <w:szCs w:val="20"/>
              </w:rPr>
            </w:pPr>
          </w:p>
          <w:p w14:paraId="2D78B30F"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małopolskie</w:t>
            </w:r>
          </w:p>
        </w:tc>
        <w:tc>
          <w:tcPr>
            <w:tcW w:w="1417" w:type="dxa"/>
          </w:tcPr>
          <w:p w14:paraId="0A7A1175" w14:textId="77777777" w:rsidR="00DC6062" w:rsidRPr="00783A21" w:rsidRDefault="00DC6062" w:rsidP="00783A21">
            <w:pPr>
              <w:spacing w:after="0" w:line="240" w:lineRule="auto"/>
              <w:jc w:val="center"/>
              <w:rPr>
                <w:rFonts w:ascii="Times New Roman" w:hAnsi="Times New Roman" w:cs="Times New Roman"/>
                <w:sz w:val="20"/>
                <w:szCs w:val="20"/>
              </w:rPr>
            </w:pPr>
          </w:p>
          <w:p w14:paraId="07FC622A"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182</w:t>
            </w:r>
          </w:p>
        </w:tc>
        <w:tc>
          <w:tcPr>
            <w:tcW w:w="1560" w:type="dxa"/>
          </w:tcPr>
          <w:p w14:paraId="784EA29F" w14:textId="77777777" w:rsidR="00DC6062" w:rsidRPr="00783A21" w:rsidRDefault="00DC6062" w:rsidP="00783A21">
            <w:pPr>
              <w:spacing w:after="0" w:line="240" w:lineRule="auto"/>
              <w:jc w:val="center"/>
              <w:rPr>
                <w:rFonts w:ascii="Times New Roman" w:hAnsi="Times New Roman" w:cs="Times New Roman"/>
                <w:sz w:val="20"/>
                <w:szCs w:val="20"/>
              </w:rPr>
            </w:pPr>
          </w:p>
          <w:p w14:paraId="7BC1A4E5"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17</w:t>
            </w:r>
          </w:p>
        </w:tc>
        <w:tc>
          <w:tcPr>
            <w:tcW w:w="1559" w:type="dxa"/>
          </w:tcPr>
          <w:p w14:paraId="4EDFDE33" w14:textId="77777777" w:rsidR="00DC6062" w:rsidRPr="00783A21" w:rsidRDefault="00DC6062" w:rsidP="00783A21">
            <w:pPr>
              <w:spacing w:after="0" w:line="240" w:lineRule="auto"/>
              <w:jc w:val="center"/>
              <w:rPr>
                <w:rFonts w:ascii="Times New Roman" w:hAnsi="Times New Roman" w:cs="Times New Roman"/>
                <w:sz w:val="20"/>
                <w:szCs w:val="20"/>
              </w:rPr>
            </w:pPr>
          </w:p>
          <w:p w14:paraId="7D5C31DA"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26</w:t>
            </w:r>
          </w:p>
        </w:tc>
        <w:tc>
          <w:tcPr>
            <w:tcW w:w="1843" w:type="dxa"/>
          </w:tcPr>
          <w:p w14:paraId="54F1648A" w14:textId="77777777" w:rsidR="00DC6062" w:rsidRPr="00783A21" w:rsidRDefault="00DC6062" w:rsidP="00783A21">
            <w:pPr>
              <w:spacing w:after="0" w:line="240" w:lineRule="auto"/>
              <w:jc w:val="center"/>
              <w:rPr>
                <w:rFonts w:ascii="Times New Roman" w:hAnsi="Times New Roman" w:cs="Times New Roman"/>
                <w:sz w:val="20"/>
                <w:szCs w:val="20"/>
              </w:rPr>
            </w:pPr>
          </w:p>
          <w:p w14:paraId="4BAAF526"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35</w:t>
            </w:r>
          </w:p>
        </w:tc>
        <w:tc>
          <w:tcPr>
            <w:tcW w:w="1701" w:type="dxa"/>
          </w:tcPr>
          <w:p w14:paraId="788B85AC" w14:textId="77777777" w:rsidR="00DC6062" w:rsidRPr="00783A21" w:rsidRDefault="00DC6062" w:rsidP="00783A21">
            <w:pPr>
              <w:spacing w:after="0" w:line="240" w:lineRule="auto"/>
              <w:jc w:val="center"/>
              <w:rPr>
                <w:rFonts w:ascii="Times New Roman" w:hAnsi="Times New Roman" w:cs="Times New Roman"/>
                <w:sz w:val="20"/>
                <w:szCs w:val="20"/>
              </w:rPr>
            </w:pPr>
          </w:p>
          <w:p w14:paraId="1B9413A5"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34</w:t>
            </w:r>
          </w:p>
        </w:tc>
      </w:tr>
      <w:tr w:rsidR="00DC6062" w:rsidRPr="00783A21" w14:paraId="44F62900" w14:textId="77777777" w:rsidTr="00DC6062">
        <w:trPr>
          <w:jc w:val="center"/>
        </w:trPr>
        <w:tc>
          <w:tcPr>
            <w:tcW w:w="1580" w:type="dxa"/>
          </w:tcPr>
          <w:p w14:paraId="2C109FD6" w14:textId="77777777" w:rsidR="00DC6062" w:rsidRPr="00783A21" w:rsidRDefault="00DC6062" w:rsidP="00783A21">
            <w:pPr>
              <w:spacing w:after="0" w:line="240" w:lineRule="auto"/>
              <w:rPr>
                <w:rFonts w:ascii="Times New Roman" w:hAnsi="Times New Roman" w:cs="Times New Roman"/>
                <w:b/>
                <w:sz w:val="20"/>
                <w:szCs w:val="20"/>
              </w:rPr>
            </w:pPr>
          </w:p>
          <w:p w14:paraId="14D0B0FB"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lubelskie</w:t>
            </w:r>
          </w:p>
        </w:tc>
        <w:tc>
          <w:tcPr>
            <w:tcW w:w="1417" w:type="dxa"/>
          </w:tcPr>
          <w:p w14:paraId="252257AA" w14:textId="77777777" w:rsidR="00DC6062" w:rsidRPr="00783A21" w:rsidRDefault="00DC6062" w:rsidP="00783A21">
            <w:pPr>
              <w:spacing w:after="0" w:line="240" w:lineRule="auto"/>
              <w:jc w:val="center"/>
              <w:rPr>
                <w:rFonts w:ascii="Times New Roman" w:hAnsi="Times New Roman" w:cs="Times New Roman"/>
                <w:sz w:val="20"/>
                <w:szCs w:val="20"/>
              </w:rPr>
            </w:pPr>
          </w:p>
          <w:p w14:paraId="3189DD5D"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213</w:t>
            </w:r>
          </w:p>
        </w:tc>
        <w:tc>
          <w:tcPr>
            <w:tcW w:w="1560" w:type="dxa"/>
          </w:tcPr>
          <w:p w14:paraId="10FE1301" w14:textId="77777777" w:rsidR="00DC6062" w:rsidRPr="00783A21" w:rsidRDefault="00DC6062" w:rsidP="00783A21">
            <w:pPr>
              <w:spacing w:after="0" w:line="240" w:lineRule="auto"/>
              <w:jc w:val="center"/>
              <w:rPr>
                <w:rFonts w:ascii="Times New Roman" w:hAnsi="Times New Roman" w:cs="Times New Roman"/>
                <w:sz w:val="20"/>
                <w:szCs w:val="20"/>
              </w:rPr>
            </w:pPr>
          </w:p>
          <w:p w14:paraId="7E2BB526"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10</w:t>
            </w:r>
          </w:p>
        </w:tc>
        <w:tc>
          <w:tcPr>
            <w:tcW w:w="1559" w:type="dxa"/>
          </w:tcPr>
          <w:p w14:paraId="6DD15DF3" w14:textId="77777777" w:rsidR="00DC6062" w:rsidRPr="00783A21" w:rsidRDefault="00DC6062" w:rsidP="00783A21">
            <w:pPr>
              <w:spacing w:after="0" w:line="240" w:lineRule="auto"/>
              <w:jc w:val="center"/>
              <w:rPr>
                <w:rFonts w:ascii="Times New Roman" w:hAnsi="Times New Roman" w:cs="Times New Roman"/>
                <w:sz w:val="20"/>
                <w:szCs w:val="20"/>
              </w:rPr>
            </w:pPr>
          </w:p>
          <w:p w14:paraId="140E29E4"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18</w:t>
            </w:r>
          </w:p>
        </w:tc>
        <w:tc>
          <w:tcPr>
            <w:tcW w:w="1843" w:type="dxa"/>
          </w:tcPr>
          <w:p w14:paraId="7E69D7FB" w14:textId="77777777" w:rsidR="00DC6062" w:rsidRPr="00783A21" w:rsidRDefault="00DC6062" w:rsidP="00783A21">
            <w:pPr>
              <w:spacing w:after="0" w:line="240" w:lineRule="auto"/>
              <w:jc w:val="center"/>
              <w:rPr>
                <w:rFonts w:ascii="Times New Roman" w:hAnsi="Times New Roman" w:cs="Times New Roman"/>
                <w:sz w:val="20"/>
                <w:szCs w:val="20"/>
              </w:rPr>
            </w:pPr>
          </w:p>
          <w:p w14:paraId="3D8FB550"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20</w:t>
            </w:r>
          </w:p>
        </w:tc>
        <w:tc>
          <w:tcPr>
            <w:tcW w:w="1701" w:type="dxa"/>
          </w:tcPr>
          <w:p w14:paraId="4D2BA517" w14:textId="77777777" w:rsidR="00DC6062" w:rsidRPr="00783A21" w:rsidRDefault="00DC6062" w:rsidP="00783A21">
            <w:pPr>
              <w:spacing w:after="0" w:line="240" w:lineRule="auto"/>
              <w:jc w:val="center"/>
              <w:rPr>
                <w:rFonts w:ascii="Times New Roman" w:hAnsi="Times New Roman" w:cs="Times New Roman"/>
                <w:sz w:val="20"/>
                <w:szCs w:val="20"/>
              </w:rPr>
            </w:pPr>
          </w:p>
          <w:p w14:paraId="1E6933D5"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20</w:t>
            </w:r>
          </w:p>
        </w:tc>
      </w:tr>
      <w:tr w:rsidR="00DC6062" w:rsidRPr="00783A21" w14:paraId="2534747C" w14:textId="77777777" w:rsidTr="00DC6062">
        <w:trPr>
          <w:jc w:val="center"/>
        </w:trPr>
        <w:tc>
          <w:tcPr>
            <w:tcW w:w="1580" w:type="dxa"/>
          </w:tcPr>
          <w:p w14:paraId="328FCECD" w14:textId="77777777" w:rsidR="00DC6062" w:rsidRPr="00783A21" w:rsidRDefault="00DC6062" w:rsidP="00783A21">
            <w:pPr>
              <w:spacing w:after="0" w:line="240" w:lineRule="auto"/>
              <w:rPr>
                <w:rFonts w:ascii="Times New Roman" w:hAnsi="Times New Roman" w:cs="Times New Roman"/>
                <w:b/>
                <w:sz w:val="20"/>
                <w:szCs w:val="20"/>
              </w:rPr>
            </w:pPr>
          </w:p>
          <w:p w14:paraId="51FD543B"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mazowieckie</w:t>
            </w:r>
          </w:p>
        </w:tc>
        <w:tc>
          <w:tcPr>
            <w:tcW w:w="1417" w:type="dxa"/>
          </w:tcPr>
          <w:p w14:paraId="7E953964" w14:textId="77777777" w:rsidR="00DC6062" w:rsidRPr="00783A21" w:rsidRDefault="00DC6062" w:rsidP="00783A21">
            <w:pPr>
              <w:spacing w:after="0" w:line="240" w:lineRule="auto"/>
              <w:jc w:val="center"/>
              <w:rPr>
                <w:rFonts w:ascii="Times New Roman" w:hAnsi="Times New Roman" w:cs="Times New Roman"/>
                <w:sz w:val="20"/>
                <w:szCs w:val="20"/>
              </w:rPr>
            </w:pPr>
          </w:p>
          <w:p w14:paraId="3DC7A8FD"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314</w:t>
            </w:r>
          </w:p>
        </w:tc>
        <w:tc>
          <w:tcPr>
            <w:tcW w:w="1560" w:type="dxa"/>
          </w:tcPr>
          <w:p w14:paraId="2FAACEE6"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17 oraz 12 dzielnicowych rad seniorów m.st. Warszawy</w:t>
            </w:r>
          </w:p>
        </w:tc>
        <w:tc>
          <w:tcPr>
            <w:tcW w:w="1559" w:type="dxa"/>
          </w:tcPr>
          <w:p w14:paraId="46D010FD"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41 oraz 16 dzielnicowych rad seniorów m.st.  Warszawy</w:t>
            </w:r>
          </w:p>
        </w:tc>
        <w:tc>
          <w:tcPr>
            <w:tcW w:w="1843" w:type="dxa"/>
          </w:tcPr>
          <w:p w14:paraId="3728A608"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29 oraz 7 dzielnicach rad seniorów m.st.</w:t>
            </w:r>
          </w:p>
          <w:p w14:paraId="2D765EDE"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Warszawy</w:t>
            </w:r>
          </w:p>
        </w:tc>
        <w:tc>
          <w:tcPr>
            <w:tcW w:w="1701" w:type="dxa"/>
          </w:tcPr>
          <w:p w14:paraId="31223BF2"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36 oraz 16 dzielnicowych rad seniorów m.st.</w:t>
            </w:r>
          </w:p>
          <w:p w14:paraId="09628FD4"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Warszawy</w:t>
            </w:r>
          </w:p>
        </w:tc>
      </w:tr>
      <w:tr w:rsidR="00DC6062" w:rsidRPr="00783A21" w14:paraId="27CAFAFA" w14:textId="77777777" w:rsidTr="00DC6062">
        <w:trPr>
          <w:jc w:val="center"/>
        </w:trPr>
        <w:tc>
          <w:tcPr>
            <w:tcW w:w="1580" w:type="dxa"/>
          </w:tcPr>
          <w:p w14:paraId="686582ED" w14:textId="77777777" w:rsidR="00DC6062" w:rsidRPr="00783A21" w:rsidRDefault="00DC6062" w:rsidP="00783A21">
            <w:pPr>
              <w:spacing w:after="0" w:line="240" w:lineRule="auto"/>
              <w:rPr>
                <w:rFonts w:ascii="Times New Roman" w:hAnsi="Times New Roman" w:cs="Times New Roman"/>
                <w:b/>
                <w:sz w:val="20"/>
                <w:szCs w:val="20"/>
              </w:rPr>
            </w:pPr>
          </w:p>
          <w:p w14:paraId="195C9BB0"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opolskie</w:t>
            </w:r>
          </w:p>
        </w:tc>
        <w:tc>
          <w:tcPr>
            <w:tcW w:w="1417" w:type="dxa"/>
          </w:tcPr>
          <w:p w14:paraId="10CD5D65" w14:textId="77777777" w:rsidR="00DC6062" w:rsidRPr="00783A21" w:rsidRDefault="00DC6062" w:rsidP="00783A21">
            <w:pPr>
              <w:spacing w:after="0" w:line="240" w:lineRule="auto"/>
              <w:jc w:val="center"/>
              <w:rPr>
                <w:rFonts w:ascii="Times New Roman" w:hAnsi="Times New Roman" w:cs="Times New Roman"/>
                <w:sz w:val="20"/>
                <w:szCs w:val="20"/>
              </w:rPr>
            </w:pPr>
          </w:p>
          <w:p w14:paraId="3184B6D8"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71</w:t>
            </w:r>
          </w:p>
        </w:tc>
        <w:tc>
          <w:tcPr>
            <w:tcW w:w="1560" w:type="dxa"/>
          </w:tcPr>
          <w:p w14:paraId="4B675D6D" w14:textId="77777777" w:rsidR="00DC6062" w:rsidRPr="00783A21" w:rsidRDefault="00DC6062" w:rsidP="00783A21">
            <w:pPr>
              <w:spacing w:after="0" w:line="240" w:lineRule="auto"/>
              <w:jc w:val="center"/>
              <w:rPr>
                <w:rFonts w:ascii="Times New Roman" w:hAnsi="Times New Roman" w:cs="Times New Roman"/>
                <w:sz w:val="20"/>
                <w:szCs w:val="20"/>
              </w:rPr>
            </w:pPr>
          </w:p>
          <w:p w14:paraId="5777FA16"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15</w:t>
            </w:r>
          </w:p>
        </w:tc>
        <w:tc>
          <w:tcPr>
            <w:tcW w:w="1559" w:type="dxa"/>
          </w:tcPr>
          <w:p w14:paraId="30C1EF84" w14:textId="77777777" w:rsidR="00DC6062" w:rsidRPr="00783A21" w:rsidRDefault="00DC6062" w:rsidP="00783A21">
            <w:pPr>
              <w:spacing w:after="0" w:line="240" w:lineRule="auto"/>
              <w:jc w:val="center"/>
              <w:rPr>
                <w:rFonts w:ascii="Times New Roman" w:hAnsi="Times New Roman" w:cs="Times New Roman"/>
                <w:sz w:val="20"/>
                <w:szCs w:val="20"/>
              </w:rPr>
            </w:pPr>
          </w:p>
          <w:p w14:paraId="1B0E6669"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17</w:t>
            </w:r>
          </w:p>
        </w:tc>
        <w:tc>
          <w:tcPr>
            <w:tcW w:w="1843" w:type="dxa"/>
          </w:tcPr>
          <w:p w14:paraId="127B7A40" w14:textId="77777777" w:rsidR="00DC6062" w:rsidRPr="00783A21" w:rsidRDefault="00DC6062" w:rsidP="00783A21">
            <w:pPr>
              <w:spacing w:after="0" w:line="240" w:lineRule="auto"/>
              <w:jc w:val="center"/>
              <w:rPr>
                <w:rFonts w:ascii="Times New Roman" w:hAnsi="Times New Roman" w:cs="Times New Roman"/>
                <w:sz w:val="20"/>
                <w:szCs w:val="20"/>
              </w:rPr>
            </w:pPr>
          </w:p>
          <w:p w14:paraId="260DB441"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20</w:t>
            </w:r>
          </w:p>
        </w:tc>
        <w:tc>
          <w:tcPr>
            <w:tcW w:w="1701" w:type="dxa"/>
          </w:tcPr>
          <w:p w14:paraId="76C8F4A1" w14:textId="77777777" w:rsidR="00DC6062" w:rsidRPr="00783A21" w:rsidRDefault="00DC6062" w:rsidP="00783A21">
            <w:pPr>
              <w:spacing w:after="0" w:line="240" w:lineRule="auto"/>
              <w:jc w:val="center"/>
              <w:rPr>
                <w:rFonts w:ascii="Times New Roman" w:hAnsi="Times New Roman" w:cs="Times New Roman"/>
                <w:sz w:val="20"/>
                <w:szCs w:val="20"/>
              </w:rPr>
            </w:pPr>
          </w:p>
          <w:p w14:paraId="165DCE96"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23</w:t>
            </w:r>
          </w:p>
        </w:tc>
      </w:tr>
      <w:tr w:rsidR="00DC6062" w:rsidRPr="00783A21" w14:paraId="6BF2D6A2" w14:textId="77777777" w:rsidTr="00DC6062">
        <w:trPr>
          <w:jc w:val="center"/>
        </w:trPr>
        <w:tc>
          <w:tcPr>
            <w:tcW w:w="1580" w:type="dxa"/>
          </w:tcPr>
          <w:p w14:paraId="310B2249" w14:textId="77777777" w:rsidR="00DC6062" w:rsidRPr="00783A21" w:rsidRDefault="00DC6062" w:rsidP="00783A21">
            <w:pPr>
              <w:spacing w:after="0" w:line="240" w:lineRule="auto"/>
              <w:rPr>
                <w:rFonts w:ascii="Times New Roman" w:hAnsi="Times New Roman" w:cs="Times New Roman"/>
                <w:b/>
                <w:sz w:val="20"/>
                <w:szCs w:val="20"/>
              </w:rPr>
            </w:pPr>
          </w:p>
          <w:p w14:paraId="132F1FB7"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świętokrzyskie</w:t>
            </w:r>
          </w:p>
        </w:tc>
        <w:tc>
          <w:tcPr>
            <w:tcW w:w="1417" w:type="dxa"/>
          </w:tcPr>
          <w:p w14:paraId="11E0771D" w14:textId="77777777" w:rsidR="00DC6062" w:rsidRPr="00783A21" w:rsidRDefault="00DC6062" w:rsidP="00783A21">
            <w:pPr>
              <w:spacing w:after="0" w:line="240" w:lineRule="auto"/>
              <w:jc w:val="center"/>
              <w:rPr>
                <w:rFonts w:ascii="Times New Roman" w:hAnsi="Times New Roman" w:cs="Times New Roman"/>
                <w:sz w:val="20"/>
                <w:szCs w:val="20"/>
              </w:rPr>
            </w:pPr>
          </w:p>
          <w:p w14:paraId="6B465FE3"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102</w:t>
            </w:r>
          </w:p>
        </w:tc>
        <w:tc>
          <w:tcPr>
            <w:tcW w:w="1560" w:type="dxa"/>
          </w:tcPr>
          <w:p w14:paraId="05D964D4" w14:textId="77777777" w:rsidR="00DC6062" w:rsidRPr="00783A21" w:rsidRDefault="00DC6062" w:rsidP="00783A21">
            <w:pPr>
              <w:spacing w:after="0" w:line="240" w:lineRule="auto"/>
              <w:jc w:val="center"/>
              <w:rPr>
                <w:rFonts w:ascii="Times New Roman" w:hAnsi="Times New Roman" w:cs="Times New Roman"/>
                <w:sz w:val="20"/>
                <w:szCs w:val="20"/>
              </w:rPr>
            </w:pPr>
          </w:p>
          <w:p w14:paraId="7FFDD913"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5</w:t>
            </w:r>
          </w:p>
        </w:tc>
        <w:tc>
          <w:tcPr>
            <w:tcW w:w="1559" w:type="dxa"/>
          </w:tcPr>
          <w:p w14:paraId="487DB9B8" w14:textId="77777777" w:rsidR="00DC6062" w:rsidRPr="00783A21" w:rsidRDefault="00DC6062" w:rsidP="00783A21">
            <w:pPr>
              <w:spacing w:after="0" w:line="240" w:lineRule="auto"/>
              <w:jc w:val="center"/>
              <w:rPr>
                <w:rFonts w:ascii="Times New Roman" w:hAnsi="Times New Roman" w:cs="Times New Roman"/>
                <w:sz w:val="20"/>
                <w:szCs w:val="20"/>
              </w:rPr>
            </w:pPr>
          </w:p>
          <w:p w14:paraId="1A4A9F96"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11</w:t>
            </w:r>
          </w:p>
        </w:tc>
        <w:tc>
          <w:tcPr>
            <w:tcW w:w="1843" w:type="dxa"/>
          </w:tcPr>
          <w:p w14:paraId="3BD90BDE" w14:textId="77777777" w:rsidR="00DC6062" w:rsidRPr="00783A21" w:rsidRDefault="00DC6062" w:rsidP="00783A21">
            <w:pPr>
              <w:spacing w:after="0" w:line="240" w:lineRule="auto"/>
              <w:jc w:val="center"/>
              <w:rPr>
                <w:rFonts w:ascii="Times New Roman" w:hAnsi="Times New Roman" w:cs="Times New Roman"/>
                <w:sz w:val="20"/>
                <w:szCs w:val="20"/>
              </w:rPr>
            </w:pPr>
          </w:p>
          <w:p w14:paraId="10A91D57"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15</w:t>
            </w:r>
          </w:p>
        </w:tc>
        <w:tc>
          <w:tcPr>
            <w:tcW w:w="1701" w:type="dxa"/>
          </w:tcPr>
          <w:p w14:paraId="42D75657" w14:textId="77777777" w:rsidR="00DC6062" w:rsidRPr="00783A21" w:rsidRDefault="00DC6062" w:rsidP="00783A21">
            <w:pPr>
              <w:spacing w:after="0" w:line="240" w:lineRule="auto"/>
              <w:jc w:val="center"/>
              <w:rPr>
                <w:rFonts w:ascii="Times New Roman" w:hAnsi="Times New Roman" w:cs="Times New Roman"/>
                <w:sz w:val="20"/>
                <w:szCs w:val="20"/>
              </w:rPr>
            </w:pPr>
          </w:p>
          <w:p w14:paraId="5A18293C"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13</w:t>
            </w:r>
          </w:p>
        </w:tc>
      </w:tr>
      <w:tr w:rsidR="00DC6062" w:rsidRPr="00783A21" w14:paraId="1B5199D6" w14:textId="77777777" w:rsidTr="00DC6062">
        <w:trPr>
          <w:jc w:val="center"/>
        </w:trPr>
        <w:tc>
          <w:tcPr>
            <w:tcW w:w="1580" w:type="dxa"/>
          </w:tcPr>
          <w:p w14:paraId="5E20FE02" w14:textId="77777777" w:rsidR="00DC6062" w:rsidRPr="00783A21" w:rsidRDefault="00DC6062" w:rsidP="00783A21">
            <w:pPr>
              <w:spacing w:after="0" w:line="240" w:lineRule="auto"/>
              <w:rPr>
                <w:rFonts w:ascii="Times New Roman" w:hAnsi="Times New Roman" w:cs="Times New Roman"/>
                <w:b/>
                <w:sz w:val="20"/>
                <w:szCs w:val="20"/>
              </w:rPr>
            </w:pPr>
          </w:p>
          <w:p w14:paraId="32BD87FE"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wielkopolskie</w:t>
            </w:r>
          </w:p>
        </w:tc>
        <w:tc>
          <w:tcPr>
            <w:tcW w:w="1417" w:type="dxa"/>
          </w:tcPr>
          <w:p w14:paraId="2C16D904" w14:textId="77777777" w:rsidR="00DC6062" w:rsidRPr="00783A21" w:rsidRDefault="00DC6062" w:rsidP="00783A21">
            <w:pPr>
              <w:spacing w:after="0" w:line="240" w:lineRule="auto"/>
              <w:jc w:val="center"/>
              <w:rPr>
                <w:rFonts w:ascii="Times New Roman" w:hAnsi="Times New Roman" w:cs="Times New Roman"/>
                <w:sz w:val="20"/>
                <w:szCs w:val="20"/>
              </w:rPr>
            </w:pPr>
          </w:p>
          <w:p w14:paraId="03903BB5"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226</w:t>
            </w:r>
          </w:p>
        </w:tc>
        <w:tc>
          <w:tcPr>
            <w:tcW w:w="1560" w:type="dxa"/>
          </w:tcPr>
          <w:p w14:paraId="4F4F4CA5" w14:textId="77777777" w:rsidR="00DC6062" w:rsidRPr="00783A21" w:rsidRDefault="00DC6062" w:rsidP="00783A21">
            <w:pPr>
              <w:spacing w:after="0" w:line="240" w:lineRule="auto"/>
              <w:jc w:val="center"/>
              <w:rPr>
                <w:rFonts w:ascii="Times New Roman" w:hAnsi="Times New Roman" w:cs="Times New Roman"/>
                <w:sz w:val="20"/>
                <w:szCs w:val="20"/>
              </w:rPr>
            </w:pPr>
          </w:p>
          <w:p w14:paraId="303C3121"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16</w:t>
            </w:r>
          </w:p>
        </w:tc>
        <w:tc>
          <w:tcPr>
            <w:tcW w:w="1559" w:type="dxa"/>
          </w:tcPr>
          <w:p w14:paraId="10359B01" w14:textId="77777777" w:rsidR="00DC6062" w:rsidRPr="00783A21" w:rsidRDefault="00DC6062" w:rsidP="00783A21">
            <w:pPr>
              <w:spacing w:after="0" w:line="240" w:lineRule="auto"/>
              <w:jc w:val="center"/>
              <w:rPr>
                <w:rFonts w:ascii="Times New Roman" w:hAnsi="Times New Roman" w:cs="Times New Roman"/>
                <w:sz w:val="20"/>
                <w:szCs w:val="20"/>
              </w:rPr>
            </w:pPr>
          </w:p>
          <w:p w14:paraId="73882AEF"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20</w:t>
            </w:r>
          </w:p>
        </w:tc>
        <w:tc>
          <w:tcPr>
            <w:tcW w:w="1843" w:type="dxa"/>
          </w:tcPr>
          <w:p w14:paraId="49E40E28" w14:textId="77777777" w:rsidR="00DC6062" w:rsidRPr="00783A21" w:rsidRDefault="00DC6062" w:rsidP="00783A21">
            <w:pPr>
              <w:spacing w:after="0" w:line="240" w:lineRule="auto"/>
              <w:jc w:val="center"/>
              <w:rPr>
                <w:rFonts w:ascii="Times New Roman" w:hAnsi="Times New Roman" w:cs="Times New Roman"/>
                <w:sz w:val="20"/>
                <w:szCs w:val="20"/>
              </w:rPr>
            </w:pPr>
          </w:p>
          <w:p w14:paraId="4CFFEDC5"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29</w:t>
            </w:r>
          </w:p>
        </w:tc>
        <w:tc>
          <w:tcPr>
            <w:tcW w:w="1701" w:type="dxa"/>
          </w:tcPr>
          <w:p w14:paraId="11518539" w14:textId="77777777" w:rsidR="00DC6062" w:rsidRPr="00783A21" w:rsidRDefault="00DC6062" w:rsidP="00783A21">
            <w:pPr>
              <w:spacing w:after="0" w:line="240" w:lineRule="auto"/>
              <w:jc w:val="center"/>
              <w:rPr>
                <w:rFonts w:ascii="Times New Roman" w:hAnsi="Times New Roman" w:cs="Times New Roman"/>
                <w:sz w:val="20"/>
                <w:szCs w:val="20"/>
              </w:rPr>
            </w:pPr>
          </w:p>
          <w:p w14:paraId="7F708956"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32</w:t>
            </w:r>
          </w:p>
        </w:tc>
      </w:tr>
      <w:tr w:rsidR="00DC6062" w:rsidRPr="00783A21" w14:paraId="6E16B5C0" w14:textId="77777777" w:rsidTr="00DC6062">
        <w:trPr>
          <w:jc w:val="center"/>
        </w:trPr>
        <w:tc>
          <w:tcPr>
            <w:tcW w:w="1580" w:type="dxa"/>
          </w:tcPr>
          <w:p w14:paraId="2487684E" w14:textId="77777777" w:rsidR="00DC6062" w:rsidRPr="00783A21" w:rsidRDefault="00DC6062" w:rsidP="00783A21">
            <w:pPr>
              <w:spacing w:after="0" w:line="240" w:lineRule="auto"/>
              <w:rPr>
                <w:rFonts w:ascii="Times New Roman" w:hAnsi="Times New Roman" w:cs="Times New Roman"/>
                <w:b/>
                <w:sz w:val="20"/>
                <w:szCs w:val="20"/>
              </w:rPr>
            </w:pPr>
          </w:p>
          <w:p w14:paraId="79B94FB3"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warmińsko-mazurskie</w:t>
            </w:r>
          </w:p>
        </w:tc>
        <w:tc>
          <w:tcPr>
            <w:tcW w:w="1417" w:type="dxa"/>
          </w:tcPr>
          <w:p w14:paraId="55337E49" w14:textId="77777777" w:rsidR="00DC6062" w:rsidRPr="00783A21" w:rsidRDefault="00DC6062" w:rsidP="00783A21">
            <w:pPr>
              <w:spacing w:after="0" w:line="240" w:lineRule="auto"/>
              <w:jc w:val="center"/>
              <w:rPr>
                <w:rFonts w:ascii="Times New Roman" w:hAnsi="Times New Roman" w:cs="Times New Roman"/>
                <w:sz w:val="20"/>
                <w:szCs w:val="20"/>
              </w:rPr>
            </w:pPr>
          </w:p>
          <w:p w14:paraId="3380A4E4"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116</w:t>
            </w:r>
          </w:p>
        </w:tc>
        <w:tc>
          <w:tcPr>
            <w:tcW w:w="1560" w:type="dxa"/>
          </w:tcPr>
          <w:p w14:paraId="694287A8" w14:textId="77777777" w:rsidR="00DC6062" w:rsidRPr="00783A21" w:rsidRDefault="00DC6062" w:rsidP="00783A21">
            <w:pPr>
              <w:spacing w:after="0" w:line="240" w:lineRule="auto"/>
              <w:jc w:val="center"/>
              <w:rPr>
                <w:rFonts w:ascii="Times New Roman" w:hAnsi="Times New Roman" w:cs="Times New Roman"/>
                <w:sz w:val="20"/>
                <w:szCs w:val="20"/>
              </w:rPr>
            </w:pPr>
          </w:p>
          <w:p w14:paraId="385B2727"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9</w:t>
            </w:r>
          </w:p>
        </w:tc>
        <w:tc>
          <w:tcPr>
            <w:tcW w:w="1559" w:type="dxa"/>
          </w:tcPr>
          <w:p w14:paraId="1BF9C4F5" w14:textId="77777777" w:rsidR="00DC6062" w:rsidRPr="00783A21" w:rsidRDefault="00DC6062" w:rsidP="00783A21">
            <w:pPr>
              <w:spacing w:after="0" w:line="240" w:lineRule="auto"/>
              <w:jc w:val="center"/>
              <w:rPr>
                <w:rFonts w:ascii="Times New Roman" w:hAnsi="Times New Roman" w:cs="Times New Roman"/>
                <w:sz w:val="20"/>
                <w:szCs w:val="20"/>
              </w:rPr>
            </w:pPr>
          </w:p>
          <w:p w14:paraId="5805B0E9"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9</w:t>
            </w:r>
          </w:p>
        </w:tc>
        <w:tc>
          <w:tcPr>
            <w:tcW w:w="1843" w:type="dxa"/>
          </w:tcPr>
          <w:p w14:paraId="6D60C68A" w14:textId="77777777" w:rsidR="00DC6062" w:rsidRPr="00783A21" w:rsidRDefault="00DC6062" w:rsidP="00783A21">
            <w:pPr>
              <w:spacing w:after="0" w:line="240" w:lineRule="auto"/>
              <w:jc w:val="center"/>
              <w:rPr>
                <w:rFonts w:ascii="Times New Roman" w:hAnsi="Times New Roman" w:cs="Times New Roman"/>
                <w:sz w:val="20"/>
                <w:szCs w:val="20"/>
              </w:rPr>
            </w:pPr>
          </w:p>
          <w:p w14:paraId="34AD8B8D"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14</w:t>
            </w:r>
          </w:p>
        </w:tc>
        <w:tc>
          <w:tcPr>
            <w:tcW w:w="1701" w:type="dxa"/>
          </w:tcPr>
          <w:p w14:paraId="00CF7DF6" w14:textId="77777777" w:rsidR="00DC6062" w:rsidRPr="00783A21" w:rsidRDefault="00DC6062" w:rsidP="00783A21">
            <w:pPr>
              <w:spacing w:after="0" w:line="240" w:lineRule="auto"/>
              <w:jc w:val="center"/>
              <w:rPr>
                <w:rFonts w:ascii="Times New Roman" w:hAnsi="Times New Roman" w:cs="Times New Roman"/>
                <w:sz w:val="20"/>
                <w:szCs w:val="20"/>
              </w:rPr>
            </w:pPr>
          </w:p>
          <w:p w14:paraId="332002C3"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23</w:t>
            </w:r>
          </w:p>
        </w:tc>
      </w:tr>
      <w:tr w:rsidR="00DC6062" w:rsidRPr="00783A21" w14:paraId="458136FF" w14:textId="77777777" w:rsidTr="00DC6062">
        <w:trPr>
          <w:jc w:val="center"/>
        </w:trPr>
        <w:tc>
          <w:tcPr>
            <w:tcW w:w="1580" w:type="dxa"/>
          </w:tcPr>
          <w:p w14:paraId="784773F4" w14:textId="77777777" w:rsidR="00DC6062" w:rsidRPr="00783A21" w:rsidRDefault="00DC6062" w:rsidP="00783A21">
            <w:pPr>
              <w:spacing w:after="0" w:line="240" w:lineRule="auto"/>
              <w:rPr>
                <w:rFonts w:ascii="Times New Roman" w:hAnsi="Times New Roman" w:cs="Times New Roman"/>
                <w:b/>
                <w:sz w:val="20"/>
                <w:szCs w:val="20"/>
              </w:rPr>
            </w:pPr>
          </w:p>
          <w:p w14:paraId="68386122"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kujawsko-pomorskie</w:t>
            </w:r>
          </w:p>
        </w:tc>
        <w:tc>
          <w:tcPr>
            <w:tcW w:w="1417" w:type="dxa"/>
          </w:tcPr>
          <w:p w14:paraId="55F33B2E" w14:textId="77777777" w:rsidR="00DC6062" w:rsidRPr="00783A21" w:rsidRDefault="00DC6062" w:rsidP="00783A21">
            <w:pPr>
              <w:spacing w:after="0" w:line="240" w:lineRule="auto"/>
              <w:jc w:val="center"/>
              <w:rPr>
                <w:rFonts w:ascii="Times New Roman" w:hAnsi="Times New Roman" w:cs="Times New Roman"/>
                <w:sz w:val="20"/>
                <w:szCs w:val="20"/>
              </w:rPr>
            </w:pPr>
          </w:p>
          <w:p w14:paraId="6F3227C7"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144</w:t>
            </w:r>
          </w:p>
        </w:tc>
        <w:tc>
          <w:tcPr>
            <w:tcW w:w="1560" w:type="dxa"/>
          </w:tcPr>
          <w:p w14:paraId="722CF5DA" w14:textId="77777777" w:rsidR="00DC6062" w:rsidRPr="00783A21" w:rsidRDefault="00DC6062" w:rsidP="00783A21">
            <w:pPr>
              <w:spacing w:after="0" w:line="240" w:lineRule="auto"/>
              <w:jc w:val="center"/>
              <w:rPr>
                <w:rFonts w:ascii="Times New Roman" w:hAnsi="Times New Roman" w:cs="Times New Roman"/>
                <w:sz w:val="20"/>
                <w:szCs w:val="20"/>
              </w:rPr>
            </w:pPr>
          </w:p>
          <w:p w14:paraId="41E09013"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12</w:t>
            </w:r>
          </w:p>
        </w:tc>
        <w:tc>
          <w:tcPr>
            <w:tcW w:w="1559" w:type="dxa"/>
          </w:tcPr>
          <w:p w14:paraId="5F0407AF" w14:textId="77777777" w:rsidR="00DC6062" w:rsidRPr="00783A21" w:rsidRDefault="00DC6062" w:rsidP="00783A21">
            <w:pPr>
              <w:spacing w:after="0" w:line="240" w:lineRule="auto"/>
              <w:jc w:val="center"/>
              <w:rPr>
                <w:rFonts w:ascii="Times New Roman" w:hAnsi="Times New Roman" w:cs="Times New Roman"/>
                <w:sz w:val="20"/>
                <w:szCs w:val="20"/>
              </w:rPr>
            </w:pPr>
          </w:p>
          <w:p w14:paraId="38A7BC29"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17</w:t>
            </w:r>
          </w:p>
        </w:tc>
        <w:tc>
          <w:tcPr>
            <w:tcW w:w="1843" w:type="dxa"/>
          </w:tcPr>
          <w:p w14:paraId="15EA46D7" w14:textId="77777777" w:rsidR="00DC6062" w:rsidRPr="00783A21" w:rsidRDefault="00DC6062" w:rsidP="00783A21">
            <w:pPr>
              <w:spacing w:after="0" w:line="240" w:lineRule="auto"/>
              <w:jc w:val="center"/>
              <w:rPr>
                <w:rFonts w:ascii="Times New Roman" w:hAnsi="Times New Roman" w:cs="Times New Roman"/>
                <w:sz w:val="20"/>
                <w:szCs w:val="20"/>
              </w:rPr>
            </w:pPr>
          </w:p>
          <w:p w14:paraId="57AC66B1"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19</w:t>
            </w:r>
          </w:p>
        </w:tc>
        <w:tc>
          <w:tcPr>
            <w:tcW w:w="1701" w:type="dxa"/>
          </w:tcPr>
          <w:p w14:paraId="0BEC842C" w14:textId="77777777" w:rsidR="00DC6062" w:rsidRPr="00783A21" w:rsidRDefault="00DC6062" w:rsidP="00783A21">
            <w:pPr>
              <w:spacing w:after="0" w:line="240" w:lineRule="auto"/>
              <w:jc w:val="center"/>
              <w:rPr>
                <w:rFonts w:ascii="Times New Roman" w:hAnsi="Times New Roman" w:cs="Times New Roman"/>
                <w:sz w:val="20"/>
                <w:szCs w:val="20"/>
              </w:rPr>
            </w:pPr>
          </w:p>
          <w:p w14:paraId="0B9746BB"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11</w:t>
            </w:r>
          </w:p>
        </w:tc>
      </w:tr>
      <w:tr w:rsidR="00DC6062" w:rsidRPr="00783A21" w14:paraId="701EC6C7" w14:textId="77777777" w:rsidTr="00DC6062">
        <w:trPr>
          <w:jc w:val="center"/>
        </w:trPr>
        <w:tc>
          <w:tcPr>
            <w:tcW w:w="1580" w:type="dxa"/>
          </w:tcPr>
          <w:p w14:paraId="09279DEC" w14:textId="77777777" w:rsidR="00DC6062" w:rsidRPr="00783A21" w:rsidRDefault="00DC6062" w:rsidP="00783A21">
            <w:pPr>
              <w:spacing w:after="0" w:line="240" w:lineRule="auto"/>
              <w:rPr>
                <w:rFonts w:ascii="Times New Roman" w:hAnsi="Times New Roman" w:cs="Times New Roman"/>
                <w:b/>
                <w:sz w:val="20"/>
                <w:szCs w:val="20"/>
              </w:rPr>
            </w:pPr>
          </w:p>
          <w:p w14:paraId="4FE20C93"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lubuskie</w:t>
            </w:r>
          </w:p>
        </w:tc>
        <w:tc>
          <w:tcPr>
            <w:tcW w:w="1417" w:type="dxa"/>
          </w:tcPr>
          <w:p w14:paraId="2E0932D4" w14:textId="77777777" w:rsidR="00DC6062" w:rsidRPr="00783A21" w:rsidRDefault="00DC6062" w:rsidP="00783A21">
            <w:pPr>
              <w:spacing w:after="0" w:line="240" w:lineRule="auto"/>
              <w:jc w:val="center"/>
              <w:rPr>
                <w:rFonts w:ascii="Times New Roman" w:hAnsi="Times New Roman" w:cs="Times New Roman"/>
                <w:sz w:val="20"/>
                <w:szCs w:val="20"/>
              </w:rPr>
            </w:pPr>
          </w:p>
          <w:p w14:paraId="31EFB72C"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82</w:t>
            </w:r>
          </w:p>
        </w:tc>
        <w:tc>
          <w:tcPr>
            <w:tcW w:w="1560" w:type="dxa"/>
          </w:tcPr>
          <w:p w14:paraId="5452E9C0" w14:textId="77777777" w:rsidR="00DC6062" w:rsidRPr="00783A21" w:rsidRDefault="00DC6062" w:rsidP="00783A21">
            <w:pPr>
              <w:spacing w:after="0" w:line="240" w:lineRule="auto"/>
              <w:jc w:val="center"/>
              <w:rPr>
                <w:rFonts w:ascii="Times New Roman" w:hAnsi="Times New Roman" w:cs="Times New Roman"/>
                <w:sz w:val="20"/>
                <w:szCs w:val="20"/>
              </w:rPr>
            </w:pPr>
          </w:p>
          <w:p w14:paraId="0BDE51A1"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8</w:t>
            </w:r>
          </w:p>
        </w:tc>
        <w:tc>
          <w:tcPr>
            <w:tcW w:w="1559" w:type="dxa"/>
          </w:tcPr>
          <w:p w14:paraId="6AEE5006" w14:textId="77777777" w:rsidR="00DC6062" w:rsidRPr="00783A21" w:rsidRDefault="00DC6062" w:rsidP="00783A21">
            <w:pPr>
              <w:spacing w:after="0" w:line="240" w:lineRule="auto"/>
              <w:jc w:val="center"/>
              <w:rPr>
                <w:rFonts w:ascii="Times New Roman" w:hAnsi="Times New Roman" w:cs="Times New Roman"/>
                <w:sz w:val="20"/>
                <w:szCs w:val="20"/>
              </w:rPr>
            </w:pPr>
          </w:p>
          <w:p w14:paraId="5380DB68"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12</w:t>
            </w:r>
          </w:p>
        </w:tc>
        <w:tc>
          <w:tcPr>
            <w:tcW w:w="1843" w:type="dxa"/>
          </w:tcPr>
          <w:p w14:paraId="116E0DE9" w14:textId="77777777" w:rsidR="00DC6062" w:rsidRPr="00783A21" w:rsidRDefault="00DC6062" w:rsidP="00783A21">
            <w:pPr>
              <w:spacing w:after="0" w:line="240" w:lineRule="auto"/>
              <w:jc w:val="center"/>
              <w:rPr>
                <w:rFonts w:ascii="Times New Roman" w:hAnsi="Times New Roman" w:cs="Times New Roman"/>
                <w:sz w:val="20"/>
                <w:szCs w:val="20"/>
              </w:rPr>
            </w:pPr>
          </w:p>
          <w:p w14:paraId="4618510D"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16</w:t>
            </w:r>
          </w:p>
        </w:tc>
        <w:tc>
          <w:tcPr>
            <w:tcW w:w="1701" w:type="dxa"/>
          </w:tcPr>
          <w:p w14:paraId="2DEA3C69" w14:textId="77777777" w:rsidR="00DC6062" w:rsidRPr="00783A21" w:rsidRDefault="00DC6062" w:rsidP="00783A21">
            <w:pPr>
              <w:spacing w:after="0" w:line="240" w:lineRule="auto"/>
              <w:jc w:val="center"/>
              <w:rPr>
                <w:rFonts w:ascii="Times New Roman" w:hAnsi="Times New Roman" w:cs="Times New Roman"/>
                <w:sz w:val="20"/>
                <w:szCs w:val="20"/>
              </w:rPr>
            </w:pPr>
          </w:p>
          <w:p w14:paraId="0E1C5613"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20</w:t>
            </w:r>
          </w:p>
        </w:tc>
      </w:tr>
      <w:tr w:rsidR="00DC6062" w:rsidRPr="00783A21" w14:paraId="53F5D485" w14:textId="77777777" w:rsidTr="00DC6062">
        <w:trPr>
          <w:jc w:val="center"/>
        </w:trPr>
        <w:tc>
          <w:tcPr>
            <w:tcW w:w="1580" w:type="dxa"/>
          </w:tcPr>
          <w:p w14:paraId="67BCC31E" w14:textId="77777777" w:rsidR="00DC6062" w:rsidRPr="00783A21" w:rsidRDefault="00DC6062" w:rsidP="00783A21">
            <w:pPr>
              <w:spacing w:after="0" w:line="240" w:lineRule="auto"/>
              <w:rPr>
                <w:rFonts w:ascii="Times New Roman" w:hAnsi="Times New Roman" w:cs="Times New Roman"/>
                <w:b/>
                <w:sz w:val="20"/>
                <w:szCs w:val="20"/>
              </w:rPr>
            </w:pPr>
          </w:p>
          <w:p w14:paraId="4F96356E"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lastRenderedPageBreak/>
              <w:t>łódzkie</w:t>
            </w:r>
          </w:p>
        </w:tc>
        <w:tc>
          <w:tcPr>
            <w:tcW w:w="1417" w:type="dxa"/>
          </w:tcPr>
          <w:p w14:paraId="508CAD81" w14:textId="77777777" w:rsidR="00DC6062" w:rsidRPr="00783A21" w:rsidRDefault="00DC6062" w:rsidP="00783A21">
            <w:pPr>
              <w:spacing w:after="0" w:line="240" w:lineRule="auto"/>
              <w:jc w:val="center"/>
              <w:rPr>
                <w:rFonts w:ascii="Times New Roman" w:hAnsi="Times New Roman" w:cs="Times New Roman"/>
                <w:sz w:val="20"/>
                <w:szCs w:val="20"/>
              </w:rPr>
            </w:pPr>
          </w:p>
          <w:p w14:paraId="3FE900F6"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lastRenderedPageBreak/>
              <w:t>177</w:t>
            </w:r>
          </w:p>
        </w:tc>
        <w:tc>
          <w:tcPr>
            <w:tcW w:w="1560" w:type="dxa"/>
          </w:tcPr>
          <w:p w14:paraId="68D6A1B3" w14:textId="77777777" w:rsidR="00DC6062" w:rsidRPr="00783A21" w:rsidRDefault="00DC6062" w:rsidP="00783A21">
            <w:pPr>
              <w:spacing w:after="0" w:line="240" w:lineRule="auto"/>
              <w:jc w:val="center"/>
              <w:rPr>
                <w:rFonts w:ascii="Times New Roman" w:hAnsi="Times New Roman" w:cs="Times New Roman"/>
                <w:sz w:val="20"/>
                <w:szCs w:val="20"/>
              </w:rPr>
            </w:pPr>
          </w:p>
          <w:p w14:paraId="0D06430C"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lastRenderedPageBreak/>
              <w:t>7</w:t>
            </w:r>
          </w:p>
        </w:tc>
        <w:tc>
          <w:tcPr>
            <w:tcW w:w="1559" w:type="dxa"/>
          </w:tcPr>
          <w:p w14:paraId="4446CFDE" w14:textId="77777777" w:rsidR="00DC6062" w:rsidRPr="00783A21" w:rsidRDefault="00DC6062" w:rsidP="00783A21">
            <w:pPr>
              <w:spacing w:after="0" w:line="240" w:lineRule="auto"/>
              <w:jc w:val="center"/>
              <w:rPr>
                <w:rFonts w:ascii="Times New Roman" w:hAnsi="Times New Roman" w:cs="Times New Roman"/>
                <w:sz w:val="20"/>
                <w:szCs w:val="20"/>
              </w:rPr>
            </w:pPr>
          </w:p>
          <w:p w14:paraId="6BA14D70"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lastRenderedPageBreak/>
              <w:t>13</w:t>
            </w:r>
          </w:p>
        </w:tc>
        <w:tc>
          <w:tcPr>
            <w:tcW w:w="1843" w:type="dxa"/>
          </w:tcPr>
          <w:p w14:paraId="2624C111" w14:textId="77777777" w:rsidR="00DC6062" w:rsidRPr="00783A21" w:rsidRDefault="00DC6062" w:rsidP="00783A21">
            <w:pPr>
              <w:spacing w:after="0" w:line="240" w:lineRule="auto"/>
              <w:jc w:val="center"/>
              <w:rPr>
                <w:rFonts w:ascii="Times New Roman" w:hAnsi="Times New Roman" w:cs="Times New Roman"/>
                <w:sz w:val="20"/>
                <w:szCs w:val="20"/>
              </w:rPr>
            </w:pPr>
          </w:p>
          <w:p w14:paraId="6B0F7AEC"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lastRenderedPageBreak/>
              <w:t>12</w:t>
            </w:r>
          </w:p>
        </w:tc>
        <w:tc>
          <w:tcPr>
            <w:tcW w:w="1701" w:type="dxa"/>
          </w:tcPr>
          <w:p w14:paraId="4BEB9017" w14:textId="77777777" w:rsidR="00DC6062" w:rsidRPr="00783A21" w:rsidRDefault="00DC6062" w:rsidP="00783A21">
            <w:pPr>
              <w:spacing w:after="0" w:line="240" w:lineRule="auto"/>
              <w:jc w:val="center"/>
              <w:rPr>
                <w:rFonts w:ascii="Times New Roman" w:hAnsi="Times New Roman" w:cs="Times New Roman"/>
                <w:sz w:val="20"/>
                <w:szCs w:val="20"/>
              </w:rPr>
            </w:pPr>
          </w:p>
          <w:p w14:paraId="2703B2F9"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lastRenderedPageBreak/>
              <w:t>10</w:t>
            </w:r>
          </w:p>
        </w:tc>
      </w:tr>
      <w:tr w:rsidR="00DC6062" w:rsidRPr="00783A21" w14:paraId="0AED9094" w14:textId="77777777" w:rsidTr="00DC6062">
        <w:trPr>
          <w:jc w:val="center"/>
        </w:trPr>
        <w:tc>
          <w:tcPr>
            <w:tcW w:w="1580" w:type="dxa"/>
          </w:tcPr>
          <w:p w14:paraId="18E6D8E5" w14:textId="77777777" w:rsidR="00DC6062" w:rsidRPr="00783A21" w:rsidRDefault="00DC6062" w:rsidP="00783A21">
            <w:pPr>
              <w:spacing w:after="0" w:line="240" w:lineRule="auto"/>
              <w:rPr>
                <w:rFonts w:ascii="Times New Roman" w:hAnsi="Times New Roman" w:cs="Times New Roman"/>
                <w:b/>
                <w:sz w:val="20"/>
                <w:szCs w:val="20"/>
              </w:rPr>
            </w:pPr>
          </w:p>
          <w:p w14:paraId="6B1B9637" w14:textId="77777777" w:rsidR="00DC6062" w:rsidRPr="00783A21" w:rsidRDefault="00DC6062" w:rsidP="00783A21">
            <w:pPr>
              <w:spacing w:after="0" w:line="240" w:lineRule="auto"/>
              <w:rPr>
                <w:rFonts w:ascii="Times New Roman" w:hAnsi="Times New Roman" w:cs="Times New Roman"/>
                <w:b/>
                <w:sz w:val="20"/>
                <w:szCs w:val="20"/>
              </w:rPr>
            </w:pPr>
            <w:r w:rsidRPr="00783A21">
              <w:rPr>
                <w:rFonts w:ascii="Times New Roman" w:hAnsi="Times New Roman" w:cs="Times New Roman"/>
                <w:b/>
                <w:sz w:val="20"/>
                <w:szCs w:val="20"/>
              </w:rPr>
              <w:t>podlaskie</w:t>
            </w:r>
          </w:p>
        </w:tc>
        <w:tc>
          <w:tcPr>
            <w:tcW w:w="1417" w:type="dxa"/>
          </w:tcPr>
          <w:p w14:paraId="1C5EB1B2" w14:textId="77777777" w:rsidR="00DC6062" w:rsidRPr="00783A21" w:rsidRDefault="00DC6062" w:rsidP="00783A21">
            <w:pPr>
              <w:spacing w:after="0" w:line="240" w:lineRule="auto"/>
              <w:jc w:val="center"/>
              <w:rPr>
                <w:rFonts w:ascii="Times New Roman" w:hAnsi="Times New Roman" w:cs="Times New Roman"/>
                <w:sz w:val="20"/>
                <w:szCs w:val="20"/>
              </w:rPr>
            </w:pPr>
          </w:p>
          <w:p w14:paraId="77D3BAEC"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118</w:t>
            </w:r>
          </w:p>
        </w:tc>
        <w:tc>
          <w:tcPr>
            <w:tcW w:w="1560" w:type="dxa"/>
          </w:tcPr>
          <w:p w14:paraId="10B6F7F5" w14:textId="77777777" w:rsidR="00DC6062" w:rsidRPr="00783A21" w:rsidRDefault="00DC6062" w:rsidP="00783A21">
            <w:pPr>
              <w:spacing w:after="0" w:line="240" w:lineRule="auto"/>
              <w:jc w:val="center"/>
              <w:rPr>
                <w:rFonts w:ascii="Times New Roman" w:hAnsi="Times New Roman" w:cs="Times New Roman"/>
                <w:sz w:val="20"/>
                <w:szCs w:val="20"/>
              </w:rPr>
            </w:pPr>
          </w:p>
          <w:p w14:paraId="56532E2C"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8</w:t>
            </w:r>
          </w:p>
        </w:tc>
        <w:tc>
          <w:tcPr>
            <w:tcW w:w="1559" w:type="dxa"/>
          </w:tcPr>
          <w:p w14:paraId="501F225A" w14:textId="77777777" w:rsidR="00DC6062" w:rsidRPr="00783A21" w:rsidRDefault="00DC6062" w:rsidP="00783A21">
            <w:pPr>
              <w:spacing w:after="0" w:line="240" w:lineRule="auto"/>
              <w:jc w:val="center"/>
              <w:rPr>
                <w:rFonts w:ascii="Times New Roman" w:hAnsi="Times New Roman" w:cs="Times New Roman"/>
                <w:sz w:val="20"/>
                <w:szCs w:val="20"/>
              </w:rPr>
            </w:pPr>
          </w:p>
          <w:p w14:paraId="5575C4C4"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10</w:t>
            </w:r>
          </w:p>
        </w:tc>
        <w:tc>
          <w:tcPr>
            <w:tcW w:w="1843" w:type="dxa"/>
          </w:tcPr>
          <w:p w14:paraId="220A6687" w14:textId="77777777" w:rsidR="00DC6062" w:rsidRPr="00783A21" w:rsidRDefault="00DC6062" w:rsidP="00783A21">
            <w:pPr>
              <w:spacing w:after="0" w:line="240" w:lineRule="auto"/>
              <w:jc w:val="center"/>
              <w:rPr>
                <w:rFonts w:ascii="Times New Roman" w:hAnsi="Times New Roman" w:cs="Times New Roman"/>
                <w:sz w:val="20"/>
                <w:szCs w:val="20"/>
              </w:rPr>
            </w:pPr>
          </w:p>
          <w:p w14:paraId="040BFBEC"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11</w:t>
            </w:r>
          </w:p>
        </w:tc>
        <w:tc>
          <w:tcPr>
            <w:tcW w:w="1701" w:type="dxa"/>
          </w:tcPr>
          <w:p w14:paraId="5ACC4D06" w14:textId="77777777" w:rsidR="00DC6062" w:rsidRPr="00783A21" w:rsidRDefault="00DC6062" w:rsidP="00783A21">
            <w:pPr>
              <w:spacing w:after="0" w:line="240" w:lineRule="auto"/>
              <w:jc w:val="center"/>
              <w:rPr>
                <w:rFonts w:ascii="Times New Roman" w:hAnsi="Times New Roman" w:cs="Times New Roman"/>
                <w:sz w:val="20"/>
                <w:szCs w:val="20"/>
              </w:rPr>
            </w:pPr>
          </w:p>
          <w:p w14:paraId="6AB3B32C" w14:textId="77777777" w:rsidR="00DC6062" w:rsidRPr="00783A21" w:rsidRDefault="00DC6062" w:rsidP="00783A21">
            <w:pPr>
              <w:spacing w:after="0" w:line="240" w:lineRule="auto"/>
              <w:jc w:val="center"/>
              <w:rPr>
                <w:rFonts w:ascii="Times New Roman" w:hAnsi="Times New Roman" w:cs="Times New Roman"/>
                <w:sz w:val="20"/>
                <w:szCs w:val="20"/>
              </w:rPr>
            </w:pPr>
            <w:r w:rsidRPr="00783A21">
              <w:rPr>
                <w:rFonts w:ascii="Times New Roman" w:hAnsi="Times New Roman" w:cs="Times New Roman"/>
                <w:sz w:val="20"/>
                <w:szCs w:val="20"/>
              </w:rPr>
              <w:t>13</w:t>
            </w:r>
          </w:p>
        </w:tc>
      </w:tr>
      <w:tr w:rsidR="00DC6062" w:rsidRPr="00783A21" w14:paraId="52108046" w14:textId="77777777" w:rsidTr="00DC6062">
        <w:trPr>
          <w:jc w:val="center"/>
        </w:trPr>
        <w:tc>
          <w:tcPr>
            <w:tcW w:w="1580" w:type="dxa"/>
            <w:shd w:val="clear" w:color="auto" w:fill="9CC2E5" w:themeFill="accent1" w:themeFillTint="99"/>
          </w:tcPr>
          <w:p w14:paraId="56D03F54" w14:textId="77777777" w:rsidR="00DC6062" w:rsidRPr="00DC6062" w:rsidRDefault="00DC6062" w:rsidP="00DC6062">
            <w:pPr>
              <w:spacing w:after="0" w:line="240" w:lineRule="auto"/>
              <w:jc w:val="center"/>
              <w:rPr>
                <w:rFonts w:ascii="Times New Roman" w:hAnsi="Times New Roman" w:cs="Times New Roman"/>
                <w:sz w:val="20"/>
                <w:szCs w:val="20"/>
              </w:rPr>
            </w:pPr>
          </w:p>
          <w:p w14:paraId="0E1A50E3" w14:textId="77777777" w:rsidR="00DC6062" w:rsidRPr="00DC6062" w:rsidRDefault="00DC6062" w:rsidP="00DC6062">
            <w:pPr>
              <w:spacing w:after="0" w:line="240" w:lineRule="auto"/>
              <w:rPr>
                <w:rFonts w:ascii="Times New Roman" w:hAnsi="Times New Roman" w:cs="Times New Roman"/>
                <w:b/>
                <w:sz w:val="20"/>
                <w:szCs w:val="20"/>
              </w:rPr>
            </w:pPr>
            <w:r w:rsidRPr="00DC6062">
              <w:rPr>
                <w:rFonts w:ascii="Times New Roman" w:hAnsi="Times New Roman" w:cs="Times New Roman"/>
                <w:b/>
                <w:sz w:val="20"/>
                <w:szCs w:val="20"/>
              </w:rPr>
              <w:t>Ogółem:</w:t>
            </w:r>
          </w:p>
        </w:tc>
        <w:tc>
          <w:tcPr>
            <w:tcW w:w="1417" w:type="dxa"/>
            <w:shd w:val="clear" w:color="auto" w:fill="9CC2E5" w:themeFill="accent1" w:themeFillTint="99"/>
          </w:tcPr>
          <w:p w14:paraId="229DC000" w14:textId="77777777" w:rsidR="00DC6062" w:rsidRPr="00DC6062" w:rsidRDefault="00DC6062" w:rsidP="00DC6062">
            <w:pPr>
              <w:spacing w:after="0" w:line="240" w:lineRule="auto"/>
              <w:jc w:val="center"/>
              <w:rPr>
                <w:rFonts w:ascii="Times New Roman" w:hAnsi="Times New Roman" w:cs="Times New Roman"/>
                <w:sz w:val="20"/>
                <w:szCs w:val="20"/>
              </w:rPr>
            </w:pPr>
          </w:p>
          <w:p w14:paraId="18DB87EF" w14:textId="77777777" w:rsidR="00DC6062" w:rsidRPr="00DC6062" w:rsidRDefault="00DC6062" w:rsidP="00DC6062">
            <w:pPr>
              <w:spacing w:after="0" w:line="240" w:lineRule="auto"/>
              <w:jc w:val="center"/>
              <w:rPr>
                <w:rFonts w:ascii="Times New Roman" w:hAnsi="Times New Roman" w:cs="Times New Roman"/>
                <w:b/>
                <w:sz w:val="20"/>
                <w:szCs w:val="20"/>
              </w:rPr>
            </w:pPr>
            <w:r w:rsidRPr="00DC6062">
              <w:rPr>
                <w:rFonts w:ascii="Times New Roman" w:hAnsi="Times New Roman" w:cs="Times New Roman"/>
                <w:b/>
                <w:sz w:val="20"/>
                <w:szCs w:val="20"/>
              </w:rPr>
              <w:t>2477</w:t>
            </w:r>
          </w:p>
        </w:tc>
        <w:tc>
          <w:tcPr>
            <w:tcW w:w="1560" w:type="dxa"/>
            <w:shd w:val="clear" w:color="auto" w:fill="9CC2E5" w:themeFill="accent1" w:themeFillTint="99"/>
          </w:tcPr>
          <w:p w14:paraId="38FA9DB0" w14:textId="77777777" w:rsidR="00DC6062" w:rsidRPr="00DC6062" w:rsidRDefault="00DC6062" w:rsidP="00DC6062">
            <w:pPr>
              <w:spacing w:after="0" w:line="240" w:lineRule="auto"/>
              <w:jc w:val="center"/>
              <w:rPr>
                <w:rFonts w:ascii="Times New Roman" w:hAnsi="Times New Roman" w:cs="Times New Roman"/>
                <w:b/>
                <w:sz w:val="20"/>
                <w:szCs w:val="20"/>
              </w:rPr>
            </w:pPr>
          </w:p>
          <w:p w14:paraId="018035D1" w14:textId="77777777" w:rsidR="00DC6062" w:rsidRPr="00DC6062" w:rsidRDefault="00DC6062" w:rsidP="00DC6062">
            <w:pPr>
              <w:spacing w:after="0" w:line="240" w:lineRule="auto"/>
              <w:jc w:val="center"/>
              <w:rPr>
                <w:rFonts w:ascii="Times New Roman" w:hAnsi="Times New Roman" w:cs="Times New Roman"/>
                <w:b/>
                <w:sz w:val="20"/>
                <w:szCs w:val="20"/>
              </w:rPr>
            </w:pPr>
            <w:r w:rsidRPr="00DC6062">
              <w:rPr>
                <w:rFonts w:ascii="Times New Roman" w:hAnsi="Times New Roman" w:cs="Times New Roman"/>
                <w:b/>
                <w:sz w:val="20"/>
                <w:szCs w:val="20"/>
              </w:rPr>
              <w:t>197</w:t>
            </w:r>
          </w:p>
        </w:tc>
        <w:tc>
          <w:tcPr>
            <w:tcW w:w="1559" w:type="dxa"/>
            <w:shd w:val="clear" w:color="auto" w:fill="9CC2E5" w:themeFill="accent1" w:themeFillTint="99"/>
          </w:tcPr>
          <w:p w14:paraId="2E9D5457" w14:textId="77777777" w:rsidR="00DC6062" w:rsidRPr="00DC6062" w:rsidRDefault="00DC6062" w:rsidP="00DC6062">
            <w:pPr>
              <w:spacing w:after="0" w:line="240" w:lineRule="auto"/>
              <w:jc w:val="center"/>
              <w:rPr>
                <w:rFonts w:ascii="Times New Roman" w:hAnsi="Times New Roman" w:cs="Times New Roman"/>
                <w:sz w:val="20"/>
                <w:szCs w:val="20"/>
              </w:rPr>
            </w:pPr>
          </w:p>
          <w:p w14:paraId="64B95709" w14:textId="77777777" w:rsidR="00DC6062" w:rsidRPr="00DC6062" w:rsidRDefault="00DC6062" w:rsidP="00DC6062">
            <w:pPr>
              <w:spacing w:after="0" w:line="240" w:lineRule="auto"/>
              <w:jc w:val="center"/>
              <w:rPr>
                <w:rFonts w:ascii="Times New Roman" w:hAnsi="Times New Roman" w:cs="Times New Roman"/>
                <w:b/>
                <w:sz w:val="20"/>
                <w:szCs w:val="20"/>
              </w:rPr>
            </w:pPr>
            <w:r w:rsidRPr="00DC6062">
              <w:rPr>
                <w:rFonts w:ascii="Times New Roman" w:hAnsi="Times New Roman" w:cs="Times New Roman"/>
                <w:b/>
                <w:sz w:val="20"/>
                <w:szCs w:val="20"/>
              </w:rPr>
              <w:t>290</w:t>
            </w:r>
          </w:p>
        </w:tc>
        <w:tc>
          <w:tcPr>
            <w:tcW w:w="1843" w:type="dxa"/>
            <w:shd w:val="clear" w:color="auto" w:fill="9CC2E5" w:themeFill="accent1" w:themeFillTint="99"/>
          </w:tcPr>
          <w:p w14:paraId="354CD9E9" w14:textId="77777777" w:rsidR="00DC6062" w:rsidRPr="00DC6062" w:rsidRDefault="00DC6062" w:rsidP="00DC6062">
            <w:pPr>
              <w:spacing w:after="0" w:line="240" w:lineRule="auto"/>
              <w:jc w:val="center"/>
              <w:rPr>
                <w:rFonts w:ascii="Times New Roman" w:hAnsi="Times New Roman" w:cs="Times New Roman"/>
                <w:sz w:val="20"/>
                <w:szCs w:val="20"/>
              </w:rPr>
            </w:pPr>
          </w:p>
          <w:p w14:paraId="60509583" w14:textId="77777777" w:rsidR="00DC6062" w:rsidRPr="00DC6062" w:rsidRDefault="00DC6062" w:rsidP="00DC6062">
            <w:pPr>
              <w:spacing w:after="0" w:line="240" w:lineRule="auto"/>
              <w:jc w:val="center"/>
              <w:rPr>
                <w:rFonts w:ascii="Times New Roman" w:hAnsi="Times New Roman" w:cs="Times New Roman"/>
                <w:b/>
                <w:sz w:val="20"/>
                <w:szCs w:val="20"/>
              </w:rPr>
            </w:pPr>
            <w:r w:rsidRPr="00DC6062">
              <w:rPr>
                <w:rFonts w:ascii="Times New Roman" w:hAnsi="Times New Roman" w:cs="Times New Roman"/>
                <w:b/>
                <w:sz w:val="20"/>
                <w:szCs w:val="20"/>
              </w:rPr>
              <w:t>338</w:t>
            </w:r>
          </w:p>
        </w:tc>
        <w:tc>
          <w:tcPr>
            <w:tcW w:w="1701" w:type="dxa"/>
            <w:shd w:val="clear" w:color="auto" w:fill="9CC2E5" w:themeFill="accent1" w:themeFillTint="99"/>
          </w:tcPr>
          <w:p w14:paraId="0E84A294" w14:textId="77777777" w:rsidR="00DC6062" w:rsidRPr="00DC6062" w:rsidRDefault="00DC6062" w:rsidP="00DC6062">
            <w:pPr>
              <w:spacing w:after="0" w:line="240" w:lineRule="auto"/>
              <w:jc w:val="center"/>
              <w:rPr>
                <w:rFonts w:ascii="Times New Roman" w:hAnsi="Times New Roman" w:cs="Times New Roman"/>
                <w:sz w:val="20"/>
                <w:szCs w:val="20"/>
              </w:rPr>
            </w:pPr>
          </w:p>
          <w:p w14:paraId="115DAF08" w14:textId="77777777" w:rsidR="00DC6062" w:rsidRPr="00DC6062" w:rsidRDefault="00DC6062" w:rsidP="00DC6062">
            <w:pPr>
              <w:spacing w:after="0" w:line="240" w:lineRule="auto"/>
              <w:jc w:val="center"/>
              <w:rPr>
                <w:rFonts w:ascii="Times New Roman" w:hAnsi="Times New Roman" w:cs="Times New Roman"/>
                <w:sz w:val="20"/>
                <w:szCs w:val="20"/>
              </w:rPr>
            </w:pPr>
            <w:r w:rsidRPr="00DC6062">
              <w:rPr>
                <w:rFonts w:ascii="Times New Roman" w:hAnsi="Times New Roman" w:cs="Times New Roman"/>
                <w:sz w:val="20"/>
                <w:szCs w:val="20"/>
              </w:rPr>
              <w:t>380</w:t>
            </w:r>
          </w:p>
        </w:tc>
      </w:tr>
    </w:tbl>
    <w:p w14:paraId="5E15EA60" w14:textId="77777777" w:rsidR="008B6F02" w:rsidRDefault="008B6F02" w:rsidP="008B6F02">
      <w:pPr>
        <w:spacing w:after="0"/>
        <w:ind w:right="22"/>
        <w:jc w:val="both"/>
        <w:rPr>
          <w:rFonts w:ascii="Times New Roman" w:hAnsi="Times New Roman" w:cs="Times New Roman"/>
          <w:sz w:val="24"/>
          <w:szCs w:val="24"/>
        </w:rPr>
      </w:pPr>
    </w:p>
    <w:p w14:paraId="09CD42C4" w14:textId="77777777" w:rsidR="00D8445F" w:rsidRPr="00A321CA" w:rsidRDefault="00A9797A" w:rsidP="00A321CA">
      <w:pPr>
        <w:spacing w:after="0"/>
        <w:ind w:right="22"/>
        <w:jc w:val="both"/>
        <w:rPr>
          <w:rFonts w:ascii="Times New Roman" w:hAnsi="Times New Roman" w:cs="Times New Roman"/>
          <w:sz w:val="24"/>
          <w:szCs w:val="24"/>
        </w:rPr>
      </w:pPr>
      <w:r>
        <w:rPr>
          <w:rFonts w:ascii="Times New Roman" w:hAnsi="Times New Roman" w:cs="Times New Roman"/>
          <w:sz w:val="24"/>
          <w:szCs w:val="24"/>
        </w:rPr>
        <w:t xml:space="preserve">Z </w:t>
      </w:r>
      <w:r w:rsidR="008B6F02" w:rsidRPr="00A36392">
        <w:rPr>
          <w:rFonts w:ascii="Times New Roman" w:hAnsi="Times New Roman" w:cs="Times New Roman"/>
          <w:sz w:val="24"/>
          <w:szCs w:val="24"/>
        </w:rPr>
        <w:t>informacji przekazanych do MSWiA przez wojewodów wynika, że istniejące gminne rady seniorów wykazują się dużą aktywnością. Dzięki społecznej pracy w gminnych radach seniorów osoby starsze zyskują pewność siebie i poczucie własnej wartości, aktywnie odnajdują się w przestrzeni publicznej. Warto także podkreślić, że organy gminy otwierając się na potrzeby osób starszych zyskują wiedzę, którą mogą wykorzystać do efektywnej realizacji swoich zad</w:t>
      </w:r>
      <w:r w:rsidR="00A321CA">
        <w:rPr>
          <w:rFonts w:ascii="Times New Roman" w:hAnsi="Times New Roman" w:cs="Times New Roman"/>
          <w:sz w:val="24"/>
          <w:szCs w:val="24"/>
        </w:rPr>
        <w:t>ań, w tym polityki senioralnej.</w:t>
      </w:r>
    </w:p>
    <w:p w14:paraId="2286FD2C" w14:textId="77777777" w:rsidR="0091762B" w:rsidRPr="00A56113" w:rsidRDefault="0091762B" w:rsidP="00A56113">
      <w:pPr>
        <w:pStyle w:val="Nagwek2"/>
        <w:numPr>
          <w:ilvl w:val="1"/>
          <w:numId w:val="383"/>
        </w:numPr>
        <w:spacing w:before="240" w:after="240"/>
        <w:ind w:left="432"/>
        <w:rPr>
          <w:rFonts w:cs="Times New Roman"/>
          <w:sz w:val="40"/>
        </w:rPr>
      </w:pPr>
      <w:r w:rsidRPr="00A56113">
        <w:rPr>
          <w:rFonts w:cs="Times New Roman"/>
          <w:sz w:val="40"/>
        </w:rPr>
        <w:t xml:space="preserve"> </w:t>
      </w:r>
      <w:bookmarkStart w:id="59" w:name="_Toc49171333"/>
      <w:r w:rsidR="00891D5D" w:rsidRPr="00A56113">
        <w:rPr>
          <w:rFonts w:cs="Times New Roman"/>
          <w:sz w:val="40"/>
        </w:rPr>
        <w:t>Równe traktowanie i przeciwdziałanie dyskryminacji</w:t>
      </w:r>
      <w:bookmarkEnd w:id="59"/>
    </w:p>
    <w:p w14:paraId="2FAB3BA8" w14:textId="77777777" w:rsidR="00365AC6" w:rsidRPr="00451B9D" w:rsidRDefault="00365AC6" w:rsidP="00365AC6">
      <w:pPr>
        <w:pStyle w:val="Teksttreci0"/>
        <w:shd w:val="clear" w:color="auto" w:fill="auto"/>
        <w:spacing w:after="0" w:line="276" w:lineRule="auto"/>
        <w:ind w:left="20" w:right="20" w:firstLine="0"/>
        <w:jc w:val="both"/>
        <w:rPr>
          <w:sz w:val="24"/>
        </w:rPr>
      </w:pPr>
      <w:r w:rsidRPr="00451B9D">
        <w:rPr>
          <w:color w:val="000000"/>
          <w:sz w:val="24"/>
        </w:rPr>
        <w:t>W 2019 r. Pełnomocnik Rządu ds. Równego Traktowania podejmował następujące działania ws. sytuacji osób starszych w Polsce:</w:t>
      </w:r>
    </w:p>
    <w:p w14:paraId="571C581F" w14:textId="77777777" w:rsidR="00365AC6" w:rsidRDefault="00365AC6" w:rsidP="008C71A9">
      <w:pPr>
        <w:pStyle w:val="Teksttreci0"/>
        <w:numPr>
          <w:ilvl w:val="0"/>
          <w:numId w:val="305"/>
        </w:numPr>
        <w:shd w:val="clear" w:color="auto" w:fill="auto"/>
        <w:tabs>
          <w:tab w:val="left" w:pos="657"/>
        </w:tabs>
        <w:spacing w:after="0" w:line="276" w:lineRule="auto"/>
        <w:ind w:left="360" w:right="20"/>
        <w:jc w:val="both"/>
        <w:rPr>
          <w:sz w:val="24"/>
        </w:rPr>
      </w:pPr>
      <w:r w:rsidRPr="00451B9D">
        <w:rPr>
          <w:color w:val="000000"/>
          <w:sz w:val="24"/>
        </w:rPr>
        <w:t>Interwencję w sprawie nierównego traktowania osób starszych przez Totalizator Sportowy Sp. z o.o. Pełnomocnik, w piśmie skierowanym do Prezesa Zarządu spółki, podtrzymał argumenty wnioskodawcy oceniające wymóg elektronicznego logowania się przez osoby chcące uczestniczyć w „Loteriadzie” jako wykluczający wiele osób starszych z możliwości udziału w ww. loterii promocyjnej. Pełnomocnik zwrócił się również o przekazanie informacji na temat rozwiązań Totalizatora Sportowego w odniesieniu do udziału klientów z różnymi typami niepełnosprawności i osób starszych w grach i loteriach LOTTO.</w:t>
      </w:r>
      <w:r w:rsidRPr="00451B9D">
        <w:rPr>
          <w:sz w:val="24"/>
        </w:rPr>
        <w:t xml:space="preserve"> </w:t>
      </w:r>
      <w:r w:rsidRPr="00451B9D">
        <w:rPr>
          <w:color w:val="000000"/>
          <w:sz w:val="24"/>
        </w:rPr>
        <w:t>W odpowiedzi, Prezes Zarządu Totalizatora Sportowego przedstawił zasady działania „Loteriady” oraz zapewnił o staraniach spółki na rzecz równego dostępu do gier i loterii wszystkich klientów.</w:t>
      </w:r>
    </w:p>
    <w:p w14:paraId="756D9106" w14:textId="77777777" w:rsidR="00365AC6" w:rsidRDefault="00365AC6" w:rsidP="008C71A9">
      <w:pPr>
        <w:pStyle w:val="Teksttreci0"/>
        <w:numPr>
          <w:ilvl w:val="0"/>
          <w:numId w:val="305"/>
        </w:numPr>
        <w:shd w:val="clear" w:color="auto" w:fill="auto"/>
        <w:tabs>
          <w:tab w:val="left" w:pos="657"/>
        </w:tabs>
        <w:spacing w:after="0" w:line="276" w:lineRule="auto"/>
        <w:ind w:left="360" w:right="20"/>
        <w:jc w:val="both"/>
        <w:rPr>
          <w:sz w:val="24"/>
        </w:rPr>
      </w:pPr>
      <w:r w:rsidRPr="00365AC6">
        <w:rPr>
          <w:color w:val="000000"/>
          <w:sz w:val="24"/>
        </w:rPr>
        <w:t>Pełnomocnik udzielał szczegółowych odpowiedzi na prośby o pomoc w zapewnieniu osobom wykluczonym z życia społecznego m.in. ze względu na wiek czy niepełnosprawność dostępu do usług, dóbr, a także dostępności architektonicznej oraz informacyjno-komunikacyjnej. Pełnomocnik informował, że mając na uwadze szeroko pojęte wsparcie osób o szczególnych potrzebach, w tym starszych i niepełnosprawnych, Rząd przyjął program „Dostępność Plus”, który dąży do zapewnienia swobodnego dostępu do dóbr, usług oraz możliwości udziału w życiu społecznym i publicznym osób o szczególnych potrzebach, na równych prawach z innymi. Kluczowym elementem programu jest ustawa o zapewnieniu dostępności osobom ze szczególnymi potrzebami. Jej przepisy określają minimalne wymagania, które muszą spełnić instytucje publiczne, aby zapewnić wszystkim osobom dostępność na zasadzie równości.</w:t>
      </w:r>
    </w:p>
    <w:p w14:paraId="07618560" w14:textId="7697BE8F" w:rsidR="00365AC6" w:rsidRDefault="00365AC6" w:rsidP="008C71A9">
      <w:pPr>
        <w:pStyle w:val="Teksttreci0"/>
        <w:numPr>
          <w:ilvl w:val="0"/>
          <w:numId w:val="305"/>
        </w:numPr>
        <w:shd w:val="clear" w:color="auto" w:fill="auto"/>
        <w:tabs>
          <w:tab w:val="left" w:pos="657"/>
        </w:tabs>
        <w:spacing w:after="0" w:line="276" w:lineRule="auto"/>
        <w:ind w:left="360" w:right="20"/>
        <w:jc w:val="both"/>
        <w:rPr>
          <w:sz w:val="24"/>
        </w:rPr>
      </w:pPr>
      <w:r w:rsidRPr="00365AC6">
        <w:rPr>
          <w:color w:val="000000"/>
          <w:sz w:val="24"/>
        </w:rPr>
        <w:t xml:space="preserve">23 października 2019 r. w Kancelarii Prezesa Rady Ministrów Pełnomocnik Rządu do Spraw Równego Traktowania zorganizował konferencję „Fundusze równych szans sposobem na przeciwdziałanie dyskryminacji i wykluczeniu społecznemu, </w:t>
      </w:r>
      <w:r w:rsidRPr="00365AC6">
        <w:rPr>
          <w:color w:val="000000"/>
          <w:sz w:val="24"/>
        </w:rPr>
        <w:lastRenderedPageBreak/>
        <w:t xml:space="preserve">ekonomicznemu i technologicznemu”. Celem konferencji było w szczególności podkreślenie roli Funduszy Europejskich w przeciwdziałaniu wykluczeniu społecznemu, ekonomicznemu i technologicznemu. Konferencję otworzył Adam Lipiński, </w:t>
      </w:r>
      <w:r w:rsidR="0086295F">
        <w:rPr>
          <w:color w:val="000000"/>
          <w:sz w:val="24"/>
        </w:rPr>
        <w:t xml:space="preserve">ówczesny </w:t>
      </w:r>
      <w:r w:rsidRPr="00365AC6">
        <w:rPr>
          <w:color w:val="000000"/>
          <w:sz w:val="24"/>
        </w:rPr>
        <w:t>Pełnomocnik Rządu do Spraw Równego Traktowania oraz Anna Gembicka, Podsekretarz Stanu w Ministerstwie Inwestycji i Rozwoju. W konferencji wzięło udział ok. 100 uczestników z administracji rządowej, samorządowej oraz organizacji pozarządowych, a także podmiotów realizujących projekty finansowane z funduszy unijnych, w tym na rzecz osób bezrobotnych, z niepełnosprawnościami oraz starszych. Dodatkowo podczas drugiego panelu zaprezentowane zostały projekty na rzecz stworzenia bardziej dostępnej przestrzeni publicznej i poprawy jakości życia osób</w:t>
      </w:r>
      <w:r w:rsidRPr="00365AC6">
        <w:rPr>
          <w:sz w:val="24"/>
        </w:rPr>
        <w:t xml:space="preserve"> o </w:t>
      </w:r>
      <w:r w:rsidRPr="00365AC6">
        <w:rPr>
          <w:color w:val="000000"/>
          <w:sz w:val="24"/>
        </w:rPr>
        <w:t>specjalnych potrzebach, w tym dostosowujące administrację publiczną</w:t>
      </w:r>
      <w:r w:rsidRPr="00365AC6">
        <w:rPr>
          <w:sz w:val="24"/>
        </w:rPr>
        <w:t xml:space="preserve"> </w:t>
      </w:r>
      <w:r w:rsidRPr="00365AC6">
        <w:rPr>
          <w:color w:val="000000"/>
          <w:sz w:val="24"/>
        </w:rPr>
        <w:t>samorządową do potrzeb osób z ograniczoną sprawnością w obszarze m.in. dostępności architektonicznej budynków, usług publicznych, mających na celu usprawnienie obsługi klientów oraz komunikacji pracowników urzędów z klientami ze szczególnymi potrzebami, w tym osób starszych, a także projekty umożliwiające dostęp do zasobów instytucji kulturalnych.</w:t>
      </w:r>
      <w:r>
        <w:rPr>
          <w:sz w:val="24"/>
        </w:rPr>
        <w:t xml:space="preserve"> </w:t>
      </w:r>
      <w:r w:rsidRPr="00365AC6">
        <w:rPr>
          <w:color w:val="000000"/>
          <w:sz w:val="24"/>
        </w:rPr>
        <w:t>Ostatni panel konferencji koncentrował się na wsparciu lokalnych społeczności z wykorzystaniu Funduszy Europejskich, dzięki którym w wielu miastach i gminach powstają m.in. świetlice środowiskowe, kluby seniora czy placówki specjalistyczne. Szczególny nacisk kładziony jest na powstawanie i rozwój placówek wsparcia dziennego na terenach znajdujących się w trudnej sytuacji społeczno-ekonomicznej, obszarach wiejskich, a także tam gdzie nie ma tego typu placówek. Każda inwestycja i działanie realizowane w ramach tego typu projektów ma przede wszystkim przyczynić się do poprawy jakości życia społeczności lokalnej, zaspokoić potrzeby społeczne, kulturalne oraz sportowe.</w:t>
      </w:r>
    </w:p>
    <w:p w14:paraId="43466075" w14:textId="77777777" w:rsidR="00602F15" w:rsidRPr="002B5542" w:rsidRDefault="00365AC6" w:rsidP="00602F15">
      <w:pPr>
        <w:pStyle w:val="Teksttreci0"/>
        <w:numPr>
          <w:ilvl w:val="0"/>
          <w:numId w:val="305"/>
        </w:numPr>
        <w:shd w:val="clear" w:color="auto" w:fill="auto"/>
        <w:tabs>
          <w:tab w:val="left" w:pos="657"/>
        </w:tabs>
        <w:spacing w:after="0" w:line="276" w:lineRule="auto"/>
        <w:ind w:left="360" w:right="20"/>
        <w:jc w:val="both"/>
        <w:rPr>
          <w:sz w:val="24"/>
        </w:rPr>
      </w:pPr>
      <w:r w:rsidRPr="00365AC6">
        <w:rPr>
          <w:color w:val="000000"/>
          <w:sz w:val="24"/>
        </w:rPr>
        <w:t>W trosce m.in. o ludzi starszych Pełnomocnik Rządu do Spraw Równego Traktowania zwrócił się do Ministra Zdrowia z prośbą o rozważenie podjęcia inicjatywy legislacyjnej mającej na celu wprowadzenie badań cytologicznych, mammograficznych i gruczołu krokowego do pakietu obowiązkowych badań okresowych. Pełnomocnik podkreślił jednocześnie, że liczba zachorowań na nowotwory złośliwe w Polsce będzie systematycznie wzrastała, czego przyczyną jest zarówno proces starzenia się polskiej populacji, jak i wzrost narażenia na czynniki ryzyka związane ze stylem życia.</w:t>
      </w:r>
      <w:r w:rsidRPr="00451B9D">
        <w:rPr>
          <w:color w:val="000000"/>
          <w:sz w:val="24"/>
          <w:vertAlign w:val="superscript"/>
        </w:rPr>
        <w:footnoteReference w:id="25"/>
      </w:r>
    </w:p>
    <w:p w14:paraId="7DEF4543" w14:textId="77777777" w:rsidR="00BB55EB" w:rsidRPr="00A56113" w:rsidRDefault="0091762B" w:rsidP="00A56113">
      <w:pPr>
        <w:pStyle w:val="Nagwek2"/>
        <w:numPr>
          <w:ilvl w:val="1"/>
          <w:numId w:val="383"/>
        </w:numPr>
        <w:spacing w:before="240" w:after="240"/>
        <w:ind w:left="432"/>
        <w:rPr>
          <w:rFonts w:cs="Times New Roman"/>
          <w:sz w:val="40"/>
        </w:rPr>
      </w:pPr>
      <w:r w:rsidRPr="00A56113">
        <w:rPr>
          <w:rFonts w:cs="Times New Roman"/>
          <w:sz w:val="40"/>
        </w:rPr>
        <w:t xml:space="preserve"> </w:t>
      </w:r>
      <w:bookmarkStart w:id="60" w:name="_Toc49171334"/>
      <w:r w:rsidR="00891D5D" w:rsidRPr="00A56113">
        <w:rPr>
          <w:rFonts w:cs="Times New Roman"/>
          <w:sz w:val="40"/>
        </w:rPr>
        <w:t>Sytuacja niepełnosprawnych osób starszych</w:t>
      </w:r>
      <w:bookmarkEnd w:id="60"/>
    </w:p>
    <w:p w14:paraId="5F411698" w14:textId="77777777" w:rsidR="00BB55EB" w:rsidRPr="00C76566" w:rsidRDefault="00BB55EB" w:rsidP="004D7B9C">
      <w:pPr>
        <w:spacing w:after="0"/>
        <w:jc w:val="both"/>
        <w:rPr>
          <w:rFonts w:ascii="Times New Roman" w:eastAsia="Times New Roman" w:hAnsi="Times New Roman" w:cs="Times New Roman"/>
          <w:sz w:val="24"/>
          <w:szCs w:val="24"/>
          <w:lang w:eastAsia="pl-PL"/>
        </w:rPr>
      </w:pPr>
      <w:r w:rsidRPr="00BF096F">
        <w:rPr>
          <w:rFonts w:ascii="Times New Roman" w:eastAsia="Times New Roman" w:hAnsi="Times New Roman" w:cs="Times New Roman"/>
          <w:sz w:val="24"/>
          <w:szCs w:val="24"/>
          <w:lang w:eastAsia="pl-PL"/>
        </w:rPr>
        <w:t>Według wyników ostatniego spis</w:t>
      </w:r>
      <w:r>
        <w:rPr>
          <w:rFonts w:ascii="Times New Roman" w:eastAsia="Times New Roman" w:hAnsi="Times New Roman" w:cs="Times New Roman"/>
          <w:sz w:val="24"/>
          <w:szCs w:val="24"/>
          <w:lang w:eastAsia="pl-PL"/>
        </w:rPr>
        <w:t xml:space="preserve">u ludności mieszkań z 2011 r. </w:t>
      </w:r>
      <w:r w:rsidRPr="00BF096F">
        <w:rPr>
          <w:rFonts w:ascii="Times New Roman" w:eastAsia="Times New Roman" w:hAnsi="Times New Roman" w:cs="Times New Roman"/>
          <w:sz w:val="24"/>
          <w:szCs w:val="24"/>
          <w:lang w:eastAsia="pl-PL"/>
        </w:rPr>
        <w:t>wśród ogółu ludności Polski prawie 4,7 mln osób (tj. ponad 12% populacji) określiło swój stan zdrowia jako niezadawalający, tj. stwierdziło problemy zdrowotne (kalectwo lub chorobę przewlekłą) długotrwale ograniczające możliwość wykonywania codziennych czynności. Wśród tej zbiorowości osób ponad 2,5 mln osób to ludzie starsi – w wieku co najmniej 60 lat, co w 2011 r. stanowiło ponad połowę (54%) zbiorowości osób niepełnosprawnych.</w:t>
      </w:r>
    </w:p>
    <w:p w14:paraId="5F0CBDC7" w14:textId="77777777" w:rsidR="004D7B9C" w:rsidRDefault="004D7B9C" w:rsidP="004D7B9C">
      <w:pPr>
        <w:autoSpaceDE w:val="0"/>
        <w:autoSpaceDN w:val="0"/>
        <w:adjustRightInd w:val="0"/>
        <w:spacing w:after="0"/>
        <w:jc w:val="both"/>
        <w:rPr>
          <w:rFonts w:ascii="Times New Roman" w:eastAsia="Times New Roman" w:hAnsi="Times New Roman" w:cs="Times New Roman"/>
          <w:sz w:val="24"/>
          <w:szCs w:val="24"/>
          <w:lang w:eastAsia="pl-PL"/>
        </w:rPr>
      </w:pPr>
    </w:p>
    <w:p w14:paraId="06D95F1A" w14:textId="77777777" w:rsidR="00BB55EB" w:rsidRPr="00BF096F" w:rsidRDefault="00BB55EB" w:rsidP="004D7B9C">
      <w:pPr>
        <w:autoSpaceDE w:val="0"/>
        <w:autoSpaceDN w:val="0"/>
        <w:adjustRightInd w:val="0"/>
        <w:spacing w:after="0"/>
        <w:jc w:val="both"/>
        <w:rPr>
          <w:rFonts w:ascii="Times New Roman" w:eastAsia="Times New Roman" w:hAnsi="Times New Roman" w:cs="Times New Roman"/>
          <w:sz w:val="24"/>
          <w:szCs w:val="24"/>
          <w:lang w:eastAsia="pl-PL"/>
        </w:rPr>
      </w:pPr>
      <w:r w:rsidRPr="00BF096F">
        <w:rPr>
          <w:rFonts w:ascii="Times New Roman" w:eastAsia="Times New Roman" w:hAnsi="Times New Roman" w:cs="Times New Roman"/>
          <w:sz w:val="24"/>
          <w:szCs w:val="24"/>
          <w:lang w:eastAsia="pl-PL"/>
        </w:rPr>
        <w:t>Większość (1501 tys., tj. 60%) niepełnosprawnych osób starszych dysponowała prawnym potwierdzeniem swej niepełnosprawności. Wśród nich najbardziej</w:t>
      </w:r>
      <w:r>
        <w:rPr>
          <w:rFonts w:ascii="Times New Roman" w:eastAsia="Times New Roman" w:hAnsi="Times New Roman" w:cs="Times New Roman"/>
          <w:sz w:val="24"/>
          <w:szCs w:val="24"/>
          <w:lang w:eastAsia="pl-PL"/>
        </w:rPr>
        <w:t xml:space="preserve"> liczną grupę stanowiły osoby w </w:t>
      </w:r>
      <w:r w:rsidRPr="00BF096F">
        <w:rPr>
          <w:rFonts w:ascii="Times New Roman" w:eastAsia="Times New Roman" w:hAnsi="Times New Roman" w:cs="Times New Roman"/>
          <w:sz w:val="24"/>
          <w:szCs w:val="24"/>
          <w:lang w:eastAsia="pl-PL"/>
        </w:rPr>
        <w:t>wieku 60-64 lata oraz w wieku 80 lat i więcej. Należy jednak zaznaczyć, że wśród osób niepełnosprawnych powyżej 80 roku życia, liczebn</w:t>
      </w:r>
      <w:r w:rsidR="004D7B9C">
        <w:rPr>
          <w:rFonts w:ascii="Times New Roman" w:eastAsia="Times New Roman" w:hAnsi="Times New Roman" w:cs="Times New Roman"/>
          <w:sz w:val="24"/>
          <w:szCs w:val="24"/>
          <w:lang w:eastAsia="pl-PL"/>
        </w:rPr>
        <w:t xml:space="preserve">ości posiadających orzeczenie </w:t>
      </w:r>
      <w:r>
        <w:rPr>
          <w:rFonts w:ascii="Times New Roman" w:eastAsia="Times New Roman" w:hAnsi="Times New Roman" w:cs="Times New Roman"/>
          <w:sz w:val="24"/>
          <w:szCs w:val="24"/>
          <w:lang w:eastAsia="pl-PL"/>
        </w:rPr>
        <w:t>o </w:t>
      </w:r>
      <w:r w:rsidRPr="00BF096F">
        <w:rPr>
          <w:rFonts w:ascii="Times New Roman" w:eastAsia="Times New Roman" w:hAnsi="Times New Roman" w:cs="Times New Roman"/>
          <w:sz w:val="24"/>
          <w:szCs w:val="24"/>
          <w:lang w:eastAsia="pl-PL"/>
        </w:rPr>
        <w:t>niepełnosprawności, jak i deklarujących jedynie ograniczenie sprawności (niepełnosprawni tylko biologicznie), były niemal równe.</w:t>
      </w:r>
    </w:p>
    <w:p w14:paraId="5C2219D2" w14:textId="77777777" w:rsidR="00BB55EB" w:rsidRPr="008F282B" w:rsidRDefault="00BB55EB" w:rsidP="00A9797A">
      <w:pPr>
        <w:autoSpaceDE w:val="0"/>
        <w:autoSpaceDN w:val="0"/>
        <w:adjustRightInd w:val="0"/>
        <w:spacing w:after="0"/>
        <w:rPr>
          <w:rFonts w:ascii="Times New Roman" w:eastAsia="Times New Roman" w:hAnsi="Times New Roman" w:cs="Times New Roman"/>
          <w:sz w:val="24"/>
          <w:szCs w:val="24"/>
          <w:lang w:eastAsia="pl-PL"/>
        </w:rPr>
      </w:pPr>
    </w:p>
    <w:p w14:paraId="23458208" w14:textId="14AA8CB0" w:rsidR="00D42912" w:rsidRPr="00D42912" w:rsidRDefault="00D42912" w:rsidP="00D42912">
      <w:pPr>
        <w:pStyle w:val="Legenda"/>
        <w:keepNext/>
        <w:jc w:val="both"/>
        <w:rPr>
          <w:rFonts w:ascii="Times New Roman" w:hAnsi="Times New Roman" w:cs="Times New Roman"/>
          <w:b/>
          <w:i w:val="0"/>
          <w:sz w:val="24"/>
        </w:rPr>
      </w:pPr>
      <w:bookmarkStart w:id="61" w:name="_Toc49171419"/>
      <w:r w:rsidRPr="00D42912">
        <w:rPr>
          <w:rFonts w:ascii="Times New Roman" w:hAnsi="Times New Roman" w:cs="Times New Roman"/>
          <w:b/>
          <w:i w:val="0"/>
          <w:sz w:val="24"/>
        </w:rPr>
        <w:t xml:space="preserve">Tabela </w:t>
      </w:r>
      <w:r w:rsidRPr="00D42912">
        <w:rPr>
          <w:rFonts w:ascii="Times New Roman" w:hAnsi="Times New Roman" w:cs="Times New Roman"/>
          <w:b/>
          <w:i w:val="0"/>
          <w:sz w:val="24"/>
        </w:rPr>
        <w:fldChar w:fldCharType="begin"/>
      </w:r>
      <w:r w:rsidRPr="00D42912">
        <w:rPr>
          <w:rFonts w:ascii="Times New Roman" w:hAnsi="Times New Roman" w:cs="Times New Roman"/>
          <w:b/>
          <w:i w:val="0"/>
          <w:sz w:val="24"/>
        </w:rPr>
        <w:instrText xml:space="preserve"> SEQ Tabela \* ARABIC </w:instrText>
      </w:r>
      <w:r w:rsidRPr="00D42912">
        <w:rPr>
          <w:rFonts w:ascii="Times New Roman" w:hAnsi="Times New Roman" w:cs="Times New Roman"/>
          <w:b/>
          <w:i w:val="0"/>
          <w:sz w:val="24"/>
        </w:rPr>
        <w:fldChar w:fldCharType="separate"/>
      </w:r>
      <w:r w:rsidR="00C154C9">
        <w:rPr>
          <w:rFonts w:ascii="Times New Roman" w:hAnsi="Times New Roman" w:cs="Times New Roman"/>
          <w:b/>
          <w:i w:val="0"/>
          <w:noProof/>
          <w:sz w:val="24"/>
        </w:rPr>
        <w:t>44</w:t>
      </w:r>
      <w:r w:rsidRPr="00D42912">
        <w:rPr>
          <w:rFonts w:ascii="Times New Roman" w:hAnsi="Times New Roman" w:cs="Times New Roman"/>
          <w:b/>
          <w:i w:val="0"/>
          <w:sz w:val="24"/>
        </w:rPr>
        <w:fldChar w:fldCharType="end"/>
      </w:r>
      <w:r w:rsidRPr="00D42912">
        <w:rPr>
          <w:rFonts w:ascii="Times New Roman" w:hAnsi="Times New Roman" w:cs="Times New Roman"/>
          <w:b/>
          <w:i w:val="0"/>
          <w:sz w:val="24"/>
        </w:rPr>
        <w:t xml:space="preserve"> Osoby niepełnosprawne w wieku 60 lat i więcej według płci, grup wieku i miejsca zamieszkania</w:t>
      </w:r>
      <w:bookmarkEnd w:id="61"/>
    </w:p>
    <w:tbl>
      <w:tblPr>
        <w:tblW w:w="9067"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3828"/>
        <w:gridCol w:w="1815"/>
        <w:gridCol w:w="1301"/>
        <w:gridCol w:w="2123"/>
      </w:tblGrid>
      <w:tr w:rsidR="00BB55EB" w:rsidRPr="00DC6062" w14:paraId="30A9CD2F" w14:textId="77777777" w:rsidTr="00DC6062">
        <w:trPr>
          <w:trHeight w:val="20"/>
          <w:jc w:val="center"/>
        </w:trPr>
        <w:tc>
          <w:tcPr>
            <w:tcW w:w="3828" w:type="dxa"/>
            <w:vMerge w:val="restart"/>
            <w:shd w:val="clear" w:color="auto" w:fill="9CC2E5" w:themeFill="accent1" w:themeFillTint="99"/>
            <w:vAlign w:val="center"/>
            <w:hideMark/>
          </w:tcPr>
          <w:p w14:paraId="3C9A203C"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Wyszczególnienie</w:t>
            </w:r>
          </w:p>
        </w:tc>
        <w:tc>
          <w:tcPr>
            <w:tcW w:w="1815" w:type="dxa"/>
            <w:vMerge w:val="restart"/>
            <w:shd w:val="clear" w:color="auto" w:fill="9CC2E5" w:themeFill="accent1" w:themeFillTint="99"/>
            <w:vAlign w:val="center"/>
            <w:hideMark/>
          </w:tcPr>
          <w:p w14:paraId="7FD36187"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Ogółem</w:t>
            </w:r>
          </w:p>
        </w:tc>
        <w:tc>
          <w:tcPr>
            <w:tcW w:w="3424" w:type="dxa"/>
            <w:gridSpan w:val="2"/>
            <w:shd w:val="clear" w:color="auto" w:fill="9CC2E5" w:themeFill="accent1" w:themeFillTint="99"/>
            <w:vAlign w:val="center"/>
            <w:hideMark/>
          </w:tcPr>
          <w:p w14:paraId="6B518009"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Osoby niepełnosprawne</w:t>
            </w:r>
          </w:p>
        </w:tc>
      </w:tr>
      <w:tr w:rsidR="00BB55EB" w:rsidRPr="00DC6062" w14:paraId="3137F485" w14:textId="77777777" w:rsidTr="00DC6062">
        <w:trPr>
          <w:trHeight w:val="20"/>
          <w:jc w:val="center"/>
        </w:trPr>
        <w:tc>
          <w:tcPr>
            <w:tcW w:w="3828" w:type="dxa"/>
            <w:vMerge/>
            <w:shd w:val="clear" w:color="auto" w:fill="9CC2E5" w:themeFill="accent1" w:themeFillTint="99"/>
            <w:vAlign w:val="center"/>
            <w:hideMark/>
          </w:tcPr>
          <w:p w14:paraId="7D315DE9"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p>
        </w:tc>
        <w:tc>
          <w:tcPr>
            <w:tcW w:w="1815" w:type="dxa"/>
            <w:vMerge/>
            <w:shd w:val="clear" w:color="auto" w:fill="9CC2E5" w:themeFill="accent1" w:themeFillTint="99"/>
            <w:vAlign w:val="center"/>
            <w:hideMark/>
          </w:tcPr>
          <w:p w14:paraId="69ECABAD"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p>
        </w:tc>
        <w:tc>
          <w:tcPr>
            <w:tcW w:w="1301" w:type="dxa"/>
            <w:shd w:val="clear" w:color="auto" w:fill="9CC2E5" w:themeFill="accent1" w:themeFillTint="99"/>
            <w:vAlign w:val="center"/>
            <w:hideMark/>
          </w:tcPr>
          <w:p w14:paraId="37830BC0"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z orzeczeniem prawnym</w:t>
            </w:r>
          </w:p>
        </w:tc>
        <w:tc>
          <w:tcPr>
            <w:tcW w:w="2123" w:type="dxa"/>
            <w:shd w:val="clear" w:color="auto" w:fill="9CC2E5" w:themeFill="accent1" w:themeFillTint="99"/>
            <w:vAlign w:val="center"/>
            <w:hideMark/>
          </w:tcPr>
          <w:p w14:paraId="3966A0EA"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tylko biologicznie</w:t>
            </w:r>
          </w:p>
        </w:tc>
      </w:tr>
      <w:tr w:rsidR="00BB55EB" w:rsidRPr="00DC6062" w14:paraId="5AC49D6A" w14:textId="77777777" w:rsidTr="00DC6062">
        <w:trPr>
          <w:trHeight w:val="20"/>
          <w:jc w:val="center"/>
        </w:trPr>
        <w:tc>
          <w:tcPr>
            <w:tcW w:w="3828" w:type="dxa"/>
            <w:vMerge/>
            <w:shd w:val="clear" w:color="auto" w:fill="9CC2E5" w:themeFill="accent1" w:themeFillTint="99"/>
            <w:vAlign w:val="center"/>
            <w:hideMark/>
          </w:tcPr>
          <w:p w14:paraId="4AAC5F0B"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p>
        </w:tc>
        <w:tc>
          <w:tcPr>
            <w:tcW w:w="5239" w:type="dxa"/>
            <w:gridSpan w:val="3"/>
            <w:shd w:val="clear" w:color="auto" w:fill="9CC2E5" w:themeFill="accent1" w:themeFillTint="99"/>
            <w:vAlign w:val="center"/>
            <w:hideMark/>
          </w:tcPr>
          <w:p w14:paraId="51C702D6" w14:textId="77777777" w:rsidR="00BB55EB" w:rsidRPr="00DC6062" w:rsidRDefault="00BB55EB" w:rsidP="00DC6062">
            <w:pPr>
              <w:spacing w:after="0" w:line="240" w:lineRule="auto"/>
              <w:jc w:val="center"/>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w tysiącach</w:t>
            </w:r>
          </w:p>
        </w:tc>
      </w:tr>
      <w:tr w:rsidR="00BB55EB" w:rsidRPr="00DC6062" w14:paraId="5BBE2F25" w14:textId="77777777" w:rsidTr="00DC6062">
        <w:trPr>
          <w:trHeight w:val="20"/>
          <w:jc w:val="center"/>
        </w:trPr>
        <w:tc>
          <w:tcPr>
            <w:tcW w:w="3828" w:type="dxa"/>
            <w:shd w:val="clear" w:color="auto" w:fill="9CC2E5" w:themeFill="accent1" w:themeFillTint="99"/>
            <w:noWrap/>
            <w:vAlign w:val="center"/>
            <w:hideMark/>
          </w:tcPr>
          <w:p w14:paraId="43D7C4E6"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Ogółem</w:t>
            </w:r>
          </w:p>
        </w:tc>
        <w:tc>
          <w:tcPr>
            <w:tcW w:w="1815" w:type="dxa"/>
            <w:shd w:val="clear" w:color="auto" w:fill="auto"/>
            <w:noWrap/>
            <w:vAlign w:val="center"/>
            <w:hideMark/>
          </w:tcPr>
          <w:p w14:paraId="47A979C8" w14:textId="77777777" w:rsidR="00BB55EB" w:rsidRPr="00DC6062" w:rsidRDefault="00BB55EB" w:rsidP="00DC6062">
            <w:pPr>
              <w:spacing w:after="0" w:line="240" w:lineRule="auto"/>
              <w:jc w:val="center"/>
              <w:rPr>
                <w:rFonts w:ascii="Times New Roman" w:eastAsia="Times New Roman" w:hAnsi="Times New Roman" w:cs="Times New Roman"/>
                <w:b/>
                <w:bCs/>
                <w:sz w:val="20"/>
                <w:szCs w:val="20"/>
                <w:lang w:eastAsia="pl-PL"/>
              </w:rPr>
            </w:pPr>
            <w:r w:rsidRPr="00DC6062">
              <w:rPr>
                <w:rFonts w:ascii="Times New Roman" w:eastAsia="Times New Roman" w:hAnsi="Times New Roman" w:cs="Times New Roman"/>
                <w:b/>
                <w:bCs/>
                <w:sz w:val="20"/>
                <w:szCs w:val="20"/>
                <w:lang w:eastAsia="pl-PL"/>
              </w:rPr>
              <w:t>2 513</w:t>
            </w:r>
          </w:p>
        </w:tc>
        <w:tc>
          <w:tcPr>
            <w:tcW w:w="1301" w:type="dxa"/>
            <w:shd w:val="clear" w:color="auto" w:fill="auto"/>
            <w:noWrap/>
            <w:vAlign w:val="center"/>
            <w:hideMark/>
          </w:tcPr>
          <w:p w14:paraId="4BB1B969" w14:textId="77777777" w:rsidR="00BB55EB" w:rsidRPr="00DC6062" w:rsidRDefault="00BB55EB" w:rsidP="00DC6062">
            <w:pPr>
              <w:spacing w:after="0" w:line="240" w:lineRule="auto"/>
              <w:jc w:val="center"/>
              <w:rPr>
                <w:rFonts w:ascii="Times New Roman" w:eastAsia="Times New Roman" w:hAnsi="Times New Roman" w:cs="Times New Roman"/>
                <w:b/>
                <w:bCs/>
                <w:sz w:val="20"/>
                <w:szCs w:val="20"/>
                <w:lang w:eastAsia="pl-PL"/>
              </w:rPr>
            </w:pPr>
            <w:r w:rsidRPr="00DC6062">
              <w:rPr>
                <w:rFonts w:ascii="Times New Roman" w:eastAsia="Times New Roman" w:hAnsi="Times New Roman" w:cs="Times New Roman"/>
                <w:b/>
                <w:bCs/>
                <w:sz w:val="20"/>
                <w:szCs w:val="20"/>
                <w:lang w:eastAsia="pl-PL"/>
              </w:rPr>
              <w:t>1 501</w:t>
            </w:r>
          </w:p>
        </w:tc>
        <w:tc>
          <w:tcPr>
            <w:tcW w:w="2123" w:type="dxa"/>
            <w:shd w:val="clear" w:color="auto" w:fill="auto"/>
            <w:noWrap/>
            <w:vAlign w:val="center"/>
            <w:hideMark/>
          </w:tcPr>
          <w:p w14:paraId="7C22BD1E" w14:textId="77777777" w:rsidR="00BB55EB" w:rsidRPr="00DC6062" w:rsidRDefault="00BB55EB" w:rsidP="00DC6062">
            <w:pPr>
              <w:spacing w:after="0" w:line="240" w:lineRule="auto"/>
              <w:jc w:val="center"/>
              <w:rPr>
                <w:rFonts w:ascii="Times New Roman" w:eastAsia="Times New Roman" w:hAnsi="Times New Roman" w:cs="Times New Roman"/>
                <w:b/>
                <w:bCs/>
                <w:sz w:val="20"/>
                <w:szCs w:val="20"/>
                <w:lang w:eastAsia="pl-PL"/>
              </w:rPr>
            </w:pPr>
            <w:r w:rsidRPr="00DC6062">
              <w:rPr>
                <w:rFonts w:ascii="Times New Roman" w:eastAsia="Times New Roman" w:hAnsi="Times New Roman" w:cs="Times New Roman"/>
                <w:b/>
                <w:bCs/>
                <w:sz w:val="20"/>
                <w:szCs w:val="20"/>
                <w:lang w:eastAsia="pl-PL"/>
              </w:rPr>
              <w:t>1 012</w:t>
            </w:r>
          </w:p>
        </w:tc>
      </w:tr>
      <w:tr w:rsidR="00BB55EB" w:rsidRPr="00DC6062" w14:paraId="19F23110" w14:textId="77777777" w:rsidTr="00DC6062">
        <w:trPr>
          <w:trHeight w:val="20"/>
          <w:jc w:val="center"/>
        </w:trPr>
        <w:tc>
          <w:tcPr>
            <w:tcW w:w="3828" w:type="dxa"/>
            <w:shd w:val="clear" w:color="auto" w:fill="9CC2E5" w:themeFill="accent1" w:themeFillTint="99"/>
            <w:noWrap/>
            <w:vAlign w:val="center"/>
            <w:hideMark/>
          </w:tcPr>
          <w:p w14:paraId="2A237309" w14:textId="77777777" w:rsidR="00BB55EB" w:rsidRPr="00DC6062" w:rsidRDefault="00BB55EB" w:rsidP="00DC6062">
            <w:pPr>
              <w:spacing w:after="0" w:line="240" w:lineRule="auto"/>
              <w:rPr>
                <w:rFonts w:ascii="Times New Roman" w:eastAsia="Times New Roman" w:hAnsi="Times New Roman" w:cs="Times New Roman"/>
                <w:b/>
                <w:iCs/>
                <w:sz w:val="20"/>
                <w:szCs w:val="20"/>
                <w:lang w:eastAsia="pl-PL"/>
              </w:rPr>
            </w:pPr>
            <w:r w:rsidRPr="00DC6062">
              <w:rPr>
                <w:rFonts w:ascii="Times New Roman" w:eastAsia="Times New Roman" w:hAnsi="Times New Roman" w:cs="Times New Roman"/>
                <w:b/>
                <w:iCs/>
                <w:sz w:val="20"/>
                <w:szCs w:val="20"/>
                <w:lang w:eastAsia="pl-PL"/>
              </w:rPr>
              <w:t>w tym w wieku:</w:t>
            </w:r>
          </w:p>
        </w:tc>
        <w:tc>
          <w:tcPr>
            <w:tcW w:w="5239" w:type="dxa"/>
            <w:gridSpan w:val="3"/>
            <w:shd w:val="clear" w:color="auto" w:fill="auto"/>
            <w:noWrap/>
            <w:vAlign w:val="center"/>
            <w:hideMark/>
          </w:tcPr>
          <w:p w14:paraId="2D00FCE2"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p>
        </w:tc>
      </w:tr>
      <w:tr w:rsidR="00BB55EB" w:rsidRPr="00DC6062" w14:paraId="54F46496" w14:textId="77777777" w:rsidTr="00DC6062">
        <w:trPr>
          <w:trHeight w:val="20"/>
          <w:jc w:val="center"/>
        </w:trPr>
        <w:tc>
          <w:tcPr>
            <w:tcW w:w="3828" w:type="dxa"/>
            <w:shd w:val="clear" w:color="auto" w:fill="9CC2E5" w:themeFill="accent1" w:themeFillTint="99"/>
            <w:noWrap/>
            <w:vAlign w:val="center"/>
            <w:hideMark/>
          </w:tcPr>
          <w:p w14:paraId="7B50E6CF"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60-64 lata</w:t>
            </w:r>
          </w:p>
        </w:tc>
        <w:tc>
          <w:tcPr>
            <w:tcW w:w="1815" w:type="dxa"/>
            <w:shd w:val="clear" w:color="auto" w:fill="auto"/>
            <w:noWrap/>
            <w:vAlign w:val="center"/>
            <w:hideMark/>
          </w:tcPr>
          <w:p w14:paraId="69B395A6"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597</w:t>
            </w:r>
          </w:p>
        </w:tc>
        <w:tc>
          <w:tcPr>
            <w:tcW w:w="1301" w:type="dxa"/>
            <w:shd w:val="clear" w:color="auto" w:fill="auto"/>
            <w:noWrap/>
            <w:vAlign w:val="center"/>
            <w:hideMark/>
          </w:tcPr>
          <w:p w14:paraId="2980E449"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411</w:t>
            </w:r>
          </w:p>
        </w:tc>
        <w:tc>
          <w:tcPr>
            <w:tcW w:w="2123" w:type="dxa"/>
            <w:shd w:val="clear" w:color="auto" w:fill="auto"/>
            <w:noWrap/>
            <w:vAlign w:val="center"/>
            <w:hideMark/>
          </w:tcPr>
          <w:p w14:paraId="50C29C56"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186</w:t>
            </w:r>
          </w:p>
        </w:tc>
      </w:tr>
      <w:tr w:rsidR="00BB55EB" w:rsidRPr="00DC6062" w14:paraId="4A1AFB0F" w14:textId="77777777" w:rsidTr="00DC6062">
        <w:trPr>
          <w:trHeight w:val="20"/>
          <w:jc w:val="center"/>
        </w:trPr>
        <w:tc>
          <w:tcPr>
            <w:tcW w:w="3828" w:type="dxa"/>
            <w:shd w:val="clear" w:color="auto" w:fill="9CC2E5" w:themeFill="accent1" w:themeFillTint="99"/>
            <w:noWrap/>
            <w:vAlign w:val="center"/>
            <w:hideMark/>
          </w:tcPr>
          <w:p w14:paraId="3EC3A410"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65-69 lat</w:t>
            </w:r>
          </w:p>
        </w:tc>
        <w:tc>
          <w:tcPr>
            <w:tcW w:w="1815" w:type="dxa"/>
            <w:shd w:val="clear" w:color="auto" w:fill="auto"/>
            <w:noWrap/>
            <w:vAlign w:val="center"/>
            <w:hideMark/>
          </w:tcPr>
          <w:p w14:paraId="7279BDEB"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402</w:t>
            </w:r>
          </w:p>
        </w:tc>
        <w:tc>
          <w:tcPr>
            <w:tcW w:w="1301" w:type="dxa"/>
            <w:shd w:val="clear" w:color="auto" w:fill="auto"/>
            <w:noWrap/>
            <w:vAlign w:val="center"/>
            <w:hideMark/>
          </w:tcPr>
          <w:p w14:paraId="4377E4D8"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253</w:t>
            </w:r>
          </w:p>
        </w:tc>
        <w:tc>
          <w:tcPr>
            <w:tcW w:w="2123" w:type="dxa"/>
            <w:shd w:val="clear" w:color="auto" w:fill="auto"/>
            <w:noWrap/>
            <w:vAlign w:val="center"/>
            <w:hideMark/>
          </w:tcPr>
          <w:p w14:paraId="699311B3"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149</w:t>
            </w:r>
          </w:p>
        </w:tc>
      </w:tr>
      <w:tr w:rsidR="00BB55EB" w:rsidRPr="00DC6062" w14:paraId="6C10773B" w14:textId="77777777" w:rsidTr="00DC6062">
        <w:trPr>
          <w:trHeight w:val="20"/>
          <w:jc w:val="center"/>
        </w:trPr>
        <w:tc>
          <w:tcPr>
            <w:tcW w:w="3828" w:type="dxa"/>
            <w:shd w:val="clear" w:color="auto" w:fill="9CC2E5" w:themeFill="accent1" w:themeFillTint="99"/>
            <w:noWrap/>
            <w:vAlign w:val="center"/>
            <w:hideMark/>
          </w:tcPr>
          <w:p w14:paraId="081E5208"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70-74 lata</w:t>
            </w:r>
          </w:p>
        </w:tc>
        <w:tc>
          <w:tcPr>
            <w:tcW w:w="1815" w:type="dxa"/>
            <w:shd w:val="clear" w:color="auto" w:fill="auto"/>
            <w:noWrap/>
            <w:vAlign w:val="center"/>
            <w:hideMark/>
          </w:tcPr>
          <w:p w14:paraId="0E3DBFBF"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463</w:t>
            </w:r>
          </w:p>
        </w:tc>
        <w:tc>
          <w:tcPr>
            <w:tcW w:w="1301" w:type="dxa"/>
            <w:shd w:val="clear" w:color="auto" w:fill="auto"/>
            <w:noWrap/>
            <w:vAlign w:val="center"/>
            <w:hideMark/>
          </w:tcPr>
          <w:p w14:paraId="71F1B6C2"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281</w:t>
            </w:r>
          </w:p>
        </w:tc>
        <w:tc>
          <w:tcPr>
            <w:tcW w:w="2123" w:type="dxa"/>
            <w:shd w:val="clear" w:color="auto" w:fill="auto"/>
            <w:noWrap/>
            <w:vAlign w:val="center"/>
            <w:hideMark/>
          </w:tcPr>
          <w:p w14:paraId="60FD2F67"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182</w:t>
            </w:r>
          </w:p>
        </w:tc>
      </w:tr>
      <w:tr w:rsidR="00BB55EB" w:rsidRPr="00DC6062" w14:paraId="398A4C93" w14:textId="77777777" w:rsidTr="00DC6062">
        <w:trPr>
          <w:trHeight w:val="20"/>
          <w:jc w:val="center"/>
        </w:trPr>
        <w:tc>
          <w:tcPr>
            <w:tcW w:w="3828" w:type="dxa"/>
            <w:shd w:val="clear" w:color="auto" w:fill="9CC2E5" w:themeFill="accent1" w:themeFillTint="99"/>
            <w:noWrap/>
            <w:vAlign w:val="center"/>
            <w:hideMark/>
          </w:tcPr>
          <w:p w14:paraId="4EBAF317"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75-79 lat</w:t>
            </w:r>
          </w:p>
        </w:tc>
        <w:tc>
          <w:tcPr>
            <w:tcW w:w="1815" w:type="dxa"/>
            <w:shd w:val="clear" w:color="auto" w:fill="auto"/>
            <w:noWrap/>
            <w:vAlign w:val="center"/>
            <w:hideMark/>
          </w:tcPr>
          <w:p w14:paraId="750C9F7B"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456</w:t>
            </w:r>
          </w:p>
        </w:tc>
        <w:tc>
          <w:tcPr>
            <w:tcW w:w="1301" w:type="dxa"/>
            <w:shd w:val="clear" w:color="auto" w:fill="auto"/>
            <w:noWrap/>
            <w:vAlign w:val="center"/>
            <w:hideMark/>
          </w:tcPr>
          <w:p w14:paraId="004F21A1"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259</w:t>
            </w:r>
          </w:p>
        </w:tc>
        <w:tc>
          <w:tcPr>
            <w:tcW w:w="2123" w:type="dxa"/>
            <w:shd w:val="clear" w:color="auto" w:fill="auto"/>
            <w:noWrap/>
            <w:vAlign w:val="center"/>
            <w:hideMark/>
          </w:tcPr>
          <w:p w14:paraId="76C9DF59"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197</w:t>
            </w:r>
          </w:p>
        </w:tc>
      </w:tr>
      <w:tr w:rsidR="00BB55EB" w:rsidRPr="00DC6062" w14:paraId="6BD5C4DE" w14:textId="77777777" w:rsidTr="00DC6062">
        <w:trPr>
          <w:trHeight w:val="20"/>
          <w:jc w:val="center"/>
        </w:trPr>
        <w:tc>
          <w:tcPr>
            <w:tcW w:w="3828" w:type="dxa"/>
            <w:shd w:val="clear" w:color="auto" w:fill="9CC2E5" w:themeFill="accent1" w:themeFillTint="99"/>
            <w:noWrap/>
            <w:vAlign w:val="center"/>
            <w:hideMark/>
          </w:tcPr>
          <w:p w14:paraId="09A87334"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80 lat i więcej</w:t>
            </w:r>
          </w:p>
        </w:tc>
        <w:tc>
          <w:tcPr>
            <w:tcW w:w="1815" w:type="dxa"/>
            <w:shd w:val="clear" w:color="auto" w:fill="auto"/>
            <w:noWrap/>
            <w:vAlign w:val="center"/>
            <w:hideMark/>
          </w:tcPr>
          <w:p w14:paraId="1E585687"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594</w:t>
            </w:r>
          </w:p>
        </w:tc>
        <w:tc>
          <w:tcPr>
            <w:tcW w:w="1301" w:type="dxa"/>
            <w:shd w:val="clear" w:color="auto" w:fill="auto"/>
            <w:noWrap/>
            <w:vAlign w:val="center"/>
            <w:hideMark/>
          </w:tcPr>
          <w:p w14:paraId="3DFC3B35"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296</w:t>
            </w:r>
          </w:p>
        </w:tc>
        <w:tc>
          <w:tcPr>
            <w:tcW w:w="2123" w:type="dxa"/>
            <w:shd w:val="clear" w:color="auto" w:fill="auto"/>
            <w:noWrap/>
            <w:vAlign w:val="center"/>
            <w:hideMark/>
          </w:tcPr>
          <w:p w14:paraId="107822A5"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298</w:t>
            </w:r>
          </w:p>
        </w:tc>
      </w:tr>
      <w:tr w:rsidR="00BB55EB" w:rsidRPr="00DC6062" w14:paraId="0F630E9B" w14:textId="77777777" w:rsidTr="00DC6062">
        <w:trPr>
          <w:trHeight w:val="20"/>
          <w:jc w:val="center"/>
        </w:trPr>
        <w:tc>
          <w:tcPr>
            <w:tcW w:w="9067" w:type="dxa"/>
            <w:gridSpan w:val="4"/>
            <w:shd w:val="clear" w:color="auto" w:fill="9CC2E5" w:themeFill="accent1" w:themeFillTint="99"/>
            <w:noWrap/>
            <w:vAlign w:val="center"/>
            <w:hideMark/>
          </w:tcPr>
          <w:p w14:paraId="02EE69F2" w14:textId="77777777" w:rsidR="00BB55EB" w:rsidRPr="00DC6062" w:rsidRDefault="00BB55EB" w:rsidP="00DC6062">
            <w:pPr>
              <w:spacing w:after="0" w:line="240" w:lineRule="auto"/>
              <w:jc w:val="center"/>
              <w:rPr>
                <w:rFonts w:ascii="Times New Roman" w:eastAsia="Times New Roman" w:hAnsi="Times New Roman" w:cs="Times New Roman"/>
                <w:b/>
                <w:sz w:val="20"/>
                <w:szCs w:val="20"/>
                <w:lang w:eastAsia="pl-PL"/>
              </w:rPr>
            </w:pPr>
          </w:p>
        </w:tc>
      </w:tr>
      <w:tr w:rsidR="00BB55EB" w:rsidRPr="00DC6062" w14:paraId="7FF5A4EA" w14:textId="77777777" w:rsidTr="00DC6062">
        <w:trPr>
          <w:trHeight w:val="20"/>
          <w:jc w:val="center"/>
        </w:trPr>
        <w:tc>
          <w:tcPr>
            <w:tcW w:w="3828" w:type="dxa"/>
            <w:shd w:val="clear" w:color="auto" w:fill="9CC2E5" w:themeFill="accent1" w:themeFillTint="99"/>
            <w:noWrap/>
            <w:vAlign w:val="center"/>
            <w:hideMark/>
          </w:tcPr>
          <w:p w14:paraId="663411CC"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Miasta</w:t>
            </w:r>
          </w:p>
        </w:tc>
        <w:tc>
          <w:tcPr>
            <w:tcW w:w="1815" w:type="dxa"/>
            <w:shd w:val="clear" w:color="auto" w:fill="auto"/>
            <w:noWrap/>
            <w:vAlign w:val="center"/>
            <w:hideMark/>
          </w:tcPr>
          <w:p w14:paraId="769BA682"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1 654</w:t>
            </w:r>
          </w:p>
        </w:tc>
        <w:tc>
          <w:tcPr>
            <w:tcW w:w="1301" w:type="dxa"/>
            <w:shd w:val="clear" w:color="auto" w:fill="auto"/>
            <w:noWrap/>
            <w:vAlign w:val="center"/>
            <w:hideMark/>
          </w:tcPr>
          <w:p w14:paraId="4C4FBC8A"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1 041</w:t>
            </w:r>
          </w:p>
        </w:tc>
        <w:tc>
          <w:tcPr>
            <w:tcW w:w="2123" w:type="dxa"/>
            <w:shd w:val="clear" w:color="auto" w:fill="auto"/>
            <w:noWrap/>
            <w:vAlign w:val="center"/>
            <w:hideMark/>
          </w:tcPr>
          <w:p w14:paraId="2A00E8F4"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613</w:t>
            </w:r>
          </w:p>
        </w:tc>
      </w:tr>
      <w:tr w:rsidR="00BB55EB" w:rsidRPr="00DC6062" w14:paraId="207D8704" w14:textId="77777777" w:rsidTr="00DC6062">
        <w:trPr>
          <w:trHeight w:val="20"/>
          <w:jc w:val="center"/>
        </w:trPr>
        <w:tc>
          <w:tcPr>
            <w:tcW w:w="3828" w:type="dxa"/>
            <w:shd w:val="clear" w:color="auto" w:fill="9CC2E5" w:themeFill="accent1" w:themeFillTint="99"/>
            <w:noWrap/>
            <w:vAlign w:val="center"/>
            <w:hideMark/>
          </w:tcPr>
          <w:p w14:paraId="0DC4A1C4"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Wieś</w:t>
            </w:r>
          </w:p>
        </w:tc>
        <w:tc>
          <w:tcPr>
            <w:tcW w:w="1815" w:type="dxa"/>
            <w:shd w:val="clear" w:color="auto" w:fill="auto"/>
            <w:noWrap/>
            <w:vAlign w:val="center"/>
            <w:hideMark/>
          </w:tcPr>
          <w:p w14:paraId="4B7EA050"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859</w:t>
            </w:r>
          </w:p>
        </w:tc>
        <w:tc>
          <w:tcPr>
            <w:tcW w:w="1301" w:type="dxa"/>
            <w:shd w:val="clear" w:color="auto" w:fill="auto"/>
            <w:noWrap/>
            <w:vAlign w:val="center"/>
            <w:hideMark/>
          </w:tcPr>
          <w:p w14:paraId="53D8FB2C"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460</w:t>
            </w:r>
          </w:p>
        </w:tc>
        <w:tc>
          <w:tcPr>
            <w:tcW w:w="2123" w:type="dxa"/>
            <w:shd w:val="clear" w:color="auto" w:fill="auto"/>
            <w:noWrap/>
            <w:vAlign w:val="center"/>
            <w:hideMark/>
          </w:tcPr>
          <w:p w14:paraId="4628A638"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399</w:t>
            </w:r>
          </w:p>
        </w:tc>
      </w:tr>
      <w:tr w:rsidR="00BB55EB" w:rsidRPr="00DC6062" w14:paraId="51FCC652" w14:textId="77777777" w:rsidTr="00DC6062">
        <w:trPr>
          <w:trHeight w:val="20"/>
          <w:jc w:val="center"/>
        </w:trPr>
        <w:tc>
          <w:tcPr>
            <w:tcW w:w="9067" w:type="dxa"/>
            <w:gridSpan w:val="4"/>
            <w:shd w:val="clear" w:color="auto" w:fill="9CC2E5" w:themeFill="accent1" w:themeFillTint="99"/>
            <w:noWrap/>
            <w:vAlign w:val="center"/>
            <w:hideMark/>
          </w:tcPr>
          <w:p w14:paraId="0AB161AC" w14:textId="77777777" w:rsidR="00BB55EB" w:rsidRPr="00DC6062" w:rsidRDefault="00BB55EB" w:rsidP="00DC6062">
            <w:pPr>
              <w:spacing w:after="0" w:line="240" w:lineRule="auto"/>
              <w:jc w:val="center"/>
              <w:rPr>
                <w:rFonts w:ascii="Times New Roman" w:eastAsia="Times New Roman" w:hAnsi="Times New Roman" w:cs="Times New Roman"/>
                <w:b/>
                <w:sz w:val="20"/>
                <w:szCs w:val="20"/>
                <w:lang w:eastAsia="pl-PL"/>
              </w:rPr>
            </w:pPr>
          </w:p>
        </w:tc>
      </w:tr>
      <w:tr w:rsidR="00BB55EB" w:rsidRPr="00DC6062" w14:paraId="25C59292" w14:textId="77777777" w:rsidTr="00DC6062">
        <w:trPr>
          <w:trHeight w:val="20"/>
          <w:jc w:val="center"/>
        </w:trPr>
        <w:tc>
          <w:tcPr>
            <w:tcW w:w="3828" w:type="dxa"/>
            <w:shd w:val="clear" w:color="auto" w:fill="9CC2E5" w:themeFill="accent1" w:themeFillTint="99"/>
            <w:noWrap/>
            <w:vAlign w:val="center"/>
            <w:hideMark/>
          </w:tcPr>
          <w:p w14:paraId="69511286"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Mężczyźni</w:t>
            </w:r>
          </w:p>
        </w:tc>
        <w:tc>
          <w:tcPr>
            <w:tcW w:w="1815" w:type="dxa"/>
            <w:shd w:val="clear" w:color="auto" w:fill="auto"/>
            <w:noWrap/>
            <w:vAlign w:val="center"/>
            <w:hideMark/>
          </w:tcPr>
          <w:p w14:paraId="66409D9B"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1 011</w:t>
            </w:r>
          </w:p>
        </w:tc>
        <w:tc>
          <w:tcPr>
            <w:tcW w:w="1301" w:type="dxa"/>
            <w:shd w:val="clear" w:color="auto" w:fill="auto"/>
            <w:noWrap/>
            <w:vAlign w:val="center"/>
            <w:hideMark/>
          </w:tcPr>
          <w:p w14:paraId="57EB37F9"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669</w:t>
            </w:r>
          </w:p>
        </w:tc>
        <w:tc>
          <w:tcPr>
            <w:tcW w:w="2123" w:type="dxa"/>
            <w:shd w:val="clear" w:color="auto" w:fill="auto"/>
            <w:noWrap/>
            <w:vAlign w:val="center"/>
            <w:hideMark/>
          </w:tcPr>
          <w:p w14:paraId="75CF1E2D"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342</w:t>
            </w:r>
          </w:p>
        </w:tc>
      </w:tr>
      <w:tr w:rsidR="00BB55EB" w:rsidRPr="00DC6062" w14:paraId="45C4F55D" w14:textId="77777777" w:rsidTr="00DC6062">
        <w:trPr>
          <w:trHeight w:val="20"/>
          <w:jc w:val="center"/>
        </w:trPr>
        <w:tc>
          <w:tcPr>
            <w:tcW w:w="3828" w:type="dxa"/>
            <w:shd w:val="clear" w:color="auto" w:fill="9CC2E5" w:themeFill="accent1" w:themeFillTint="99"/>
            <w:noWrap/>
            <w:vAlign w:val="center"/>
            <w:hideMark/>
          </w:tcPr>
          <w:p w14:paraId="2794A602"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Kobiety</w:t>
            </w:r>
          </w:p>
        </w:tc>
        <w:tc>
          <w:tcPr>
            <w:tcW w:w="1815" w:type="dxa"/>
            <w:shd w:val="clear" w:color="auto" w:fill="auto"/>
            <w:noWrap/>
            <w:vAlign w:val="center"/>
            <w:hideMark/>
          </w:tcPr>
          <w:p w14:paraId="0CB172B2"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1 502</w:t>
            </w:r>
          </w:p>
        </w:tc>
        <w:tc>
          <w:tcPr>
            <w:tcW w:w="1301" w:type="dxa"/>
            <w:shd w:val="clear" w:color="auto" w:fill="auto"/>
            <w:noWrap/>
            <w:vAlign w:val="center"/>
            <w:hideMark/>
          </w:tcPr>
          <w:p w14:paraId="0E89D396"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831</w:t>
            </w:r>
          </w:p>
        </w:tc>
        <w:tc>
          <w:tcPr>
            <w:tcW w:w="2123" w:type="dxa"/>
            <w:shd w:val="clear" w:color="auto" w:fill="auto"/>
            <w:noWrap/>
            <w:vAlign w:val="center"/>
            <w:hideMark/>
          </w:tcPr>
          <w:p w14:paraId="5886C874"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670</w:t>
            </w:r>
          </w:p>
        </w:tc>
      </w:tr>
      <w:tr w:rsidR="00BB55EB" w:rsidRPr="00DC6062" w14:paraId="68D0D294" w14:textId="77777777" w:rsidTr="00DC6062">
        <w:trPr>
          <w:trHeight w:val="20"/>
          <w:jc w:val="center"/>
        </w:trPr>
        <w:tc>
          <w:tcPr>
            <w:tcW w:w="9067" w:type="dxa"/>
            <w:gridSpan w:val="4"/>
            <w:shd w:val="clear" w:color="auto" w:fill="9CC2E5" w:themeFill="accent1" w:themeFillTint="99"/>
            <w:noWrap/>
            <w:vAlign w:val="center"/>
            <w:hideMark/>
          </w:tcPr>
          <w:p w14:paraId="3005C7DA" w14:textId="77777777" w:rsidR="00BB55EB" w:rsidRPr="00DC6062" w:rsidRDefault="00BB55EB" w:rsidP="00DC6062">
            <w:pPr>
              <w:spacing w:after="0" w:line="240" w:lineRule="auto"/>
              <w:jc w:val="center"/>
              <w:rPr>
                <w:rFonts w:ascii="Times New Roman" w:eastAsia="Times New Roman" w:hAnsi="Times New Roman" w:cs="Times New Roman"/>
                <w:b/>
                <w:sz w:val="20"/>
                <w:szCs w:val="20"/>
                <w:lang w:eastAsia="pl-PL"/>
              </w:rPr>
            </w:pPr>
          </w:p>
        </w:tc>
      </w:tr>
      <w:tr w:rsidR="00BB55EB" w:rsidRPr="00DC6062" w14:paraId="0C260C29" w14:textId="77777777" w:rsidTr="00DC6062">
        <w:trPr>
          <w:trHeight w:val="20"/>
          <w:jc w:val="center"/>
        </w:trPr>
        <w:tc>
          <w:tcPr>
            <w:tcW w:w="3828" w:type="dxa"/>
            <w:shd w:val="clear" w:color="auto" w:fill="9CC2E5" w:themeFill="accent1" w:themeFillTint="99"/>
            <w:vAlign w:val="center"/>
            <w:hideMark/>
          </w:tcPr>
          <w:p w14:paraId="2E2B768C" w14:textId="77777777" w:rsidR="00BB55EB" w:rsidRPr="00DC6062" w:rsidRDefault="00BB55EB" w:rsidP="00DC6062">
            <w:pPr>
              <w:spacing w:after="0" w:line="240" w:lineRule="auto"/>
              <w:rPr>
                <w:rFonts w:ascii="Times New Roman" w:eastAsia="Times New Roman" w:hAnsi="Times New Roman" w:cs="Times New Roman"/>
                <w:b/>
                <w:sz w:val="20"/>
                <w:szCs w:val="20"/>
                <w:lang w:eastAsia="pl-PL"/>
              </w:rPr>
            </w:pPr>
            <w:r w:rsidRPr="00DC6062">
              <w:rPr>
                <w:rFonts w:ascii="Times New Roman" w:eastAsia="Times New Roman" w:hAnsi="Times New Roman" w:cs="Times New Roman"/>
                <w:b/>
                <w:sz w:val="20"/>
                <w:szCs w:val="20"/>
                <w:lang w:eastAsia="pl-PL"/>
              </w:rPr>
              <w:t>Z liczby ogółem</w:t>
            </w:r>
            <w:r w:rsidRPr="00DC6062">
              <w:rPr>
                <w:rFonts w:ascii="Times New Roman" w:eastAsia="Times New Roman" w:hAnsi="Times New Roman" w:cs="Times New Roman"/>
                <w:b/>
                <w:sz w:val="20"/>
                <w:szCs w:val="20"/>
                <w:lang w:eastAsia="pl-PL"/>
              </w:rPr>
              <w:br/>
              <w:t>osoby mieszkające w 1-osobowych gospodarstwach domowych</w:t>
            </w:r>
          </w:p>
        </w:tc>
        <w:tc>
          <w:tcPr>
            <w:tcW w:w="1815" w:type="dxa"/>
            <w:shd w:val="clear" w:color="auto" w:fill="auto"/>
            <w:noWrap/>
            <w:vAlign w:val="center"/>
            <w:hideMark/>
          </w:tcPr>
          <w:p w14:paraId="546F9939"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613</w:t>
            </w:r>
          </w:p>
        </w:tc>
        <w:tc>
          <w:tcPr>
            <w:tcW w:w="1301" w:type="dxa"/>
            <w:shd w:val="clear" w:color="auto" w:fill="auto"/>
            <w:noWrap/>
            <w:vAlign w:val="center"/>
            <w:hideMark/>
          </w:tcPr>
          <w:p w14:paraId="5855FAAB"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341</w:t>
            </w:r>
          </w:p>
        </w:tc>
        <w:tc>
          <w:tcPr>
            <w:tcW w:w="2123" w:type="dxa"/>
            <w:shd w:val="clear" w:color="auto" w:fill="auto"/>
            <w:noWrap/>
            <w:vAlign w:val="center"/>
            <w:hideMark/>
          </w:tcPr>
          <w:p w14:paraId="757E5F97" w14:textId="77777777" w:rsidR="00BB55EB" w:rsidRPr="00DC6062" w:rsidRDefault="00BB55EB" w:rsidP="00DC6062">
            <w:pPr>
              <w:spacing w:after="0" w:line="240" w:lineRule="auto"/>
              <w:jc w:val="center"/>
              <w:rPr>
                <w:rFonts w:ascii="Times New Roman" w:eastAsia="Times New Roman" w:hAnsi="Times New Roman" w:cs="Times New Roman"/>
                <w:sz w:val="20"/>
                <w:szCs w:val="20"/>
                <w:lang w:eastAsia="pl-PL"/>
              </w:rPr>
            </w:pPr>
            <w:r w:rsidRPr="00DC6062">
              <w:rPr>
                <w:rFonts w:ascii="Times New Roman" w:eastAsia="Times New Roman" w:hAnsi="Times New Roman" w:cs="Times New Roman"/>
                <w:sz w:val="20"/>
                <w:szCs w:val="20"/>
                <w:lang w:eastAsia="pl-PL"/>
              </w:rPr>
              <w:t>271</w:t>
            </w:r>
          </w:p>
        </w:tc>
      </w:tr>
    </w:tbl>
    <w:p w14:paraId="2AAD2E61" w14:textId="77777777" w:rsidR="00BB55EB" w:rsidRPr="00612D46" w:rsidRDefault="00BB55EB" w:rsidP="003C1988">
      <w:pPr>
        <w:autoSpaceDE w:val="0"/>
        <w:autoSpaceDN w:val="0"/>
        <w:adjustRightInd w:val="0"/>
        <w:spacing w:after="120"/>
        <w:rPr>
          <w:rFonts w:ascii="Times New Roman" w:hAnsi="Times New Roman" w:cs="Times New Roman"/>
          <w:b/>
        </w:rPr>
      </w:pPr>
      <w:r w:rsidRPr="00C773B0">
        <w:rPr>
          <w:rFonts w:ascii="Times New Roman" w:hAnsi="Times New Roman" w:cs="Times New Roman"/>
          <w:b/>
        </w:rPr>
        <w:t xml:space="preserve">Źródło: </w:t>
      </w:r>
      <w:r w:rsidRPr="00C773B0">
        <w:rPr>
          <w:rFonts w:ascii="Times New Roman" w:hAnsi="Times New Roman" w:cs="Times New Roman"/>
        </w:rPr>
        <w:t>Narodowy Spis Powszechny 2011</w:t>
      </w:r>
    </w:p>
    <w:p w14:paraId="50D8FC87" w14:textId="77777777" w:rsidR="00A9797A" w:rsidRDefault="00A9797A" w:rsidP="00A9797A">
      <w:pPr>
        <w:autoSpaceDE w:val="0"/>
        <w:autoSpaceDN w:val="0"/>
        <w:adjustRightInd w:val="0"/>
        <w:spacing w:after="0"/>
        <w:jc w:val="both"/>
        <w:rPr>
          <w:rFonts w:ascii="Times New Roman" w:eastAsia="Times New Roman" w:hAnsi="Times New Roman" w:cs="Times New Roman"/>
          <w:sz w:val="24"/>
          <w:szCs w:val="24"/>
          <w:lang w:eastAsia="pl-PL"/>
        </w:rPr>
      </w:pPr>
      <w:r w:rsidRPr="00BF096F">
        <w:rPr>
          <w:rFonts w:ascii="Times New Roman" w:eastAsia="Times New Roman" w:hAnsi="Times New Roman" w:cs="Times New Roman"/>
          <w:sz w:val="24"/>
          <w:szCs w:val="24"/>
          <w:lang w:eastAsia="pl-PL"/>
        </w:rPr>
        <w:t>Starsze osoby niepełnosprawne zdecydowanie częściej (prawie 66%) mieszkały w miastach niż na wsi, jak również częściej posiadały orzeczenie pot</w:t>
      </w:r>
      <w:r>
        <w:rPr>
          <w:rFonts w:ascii="Times New Roman" w:eastAsia="Times New Roman" w:hAnsi="Times New Roman" w:cs="Times New Roman"/>
          <w:sz w:val="24"/>
          <w:szCs w:val="24"/>
          <w:lang w:eastAsia="pl-PL"/>
        </w:rPr>
        <w:t xml:space="preserve">wierdzające niepełnosprawność. </w:t>
      </w:r>
      <w:r w:rsidRPr="00BF096F">
        <w:rPr>
          <w:rFonts w:ascii="Times New Roman" w:eastAsia="Times New Roman" w:hAnsi="Times New Roman" w:cs="Times New Roman"/>
          <w:sz w:val="24"/>
          <w:szCs w:val="24"/>
          <w:lang w:eastAsia="pl-PL"/>
        </w:rPr>
        <w:t>Ze względu na przewagę liczebną kobiet w całej populacji osób w wieku 60 lat i więcej, także wśród niepełnosprawnych osób starszych było więcej kobiet i stanowiły one 60%. Kobiety również dominowały w zbiorowości osób niepełnosprawnych tylko biologicznie.</w:t>
      </w:r>
    </w:p>
    <w:p w14:paraId="2F5CB736" w14:textId="77777777" w:rsidR="00BB55EB" w:rsidRPr="00BB55EB" w:rsidRDefault="00BB55EB" w:rsidP="003C1988">
      <w:pPr>
        <w:spacing w:after="0"/>
        <w:ind w:firstLine="708"/>
        <w:rPr>
          <w:rFonts w:ascii="Times New Roman" w:hAnsi="Times New Roman" w:cs="Times New Roman"/>
          <w:color w:val="000000"/>
          <w:sz w:val="24"/>
        </w:rPr>
      </w:pPr>
    </w:p>
    <w:p w14:paraId="12ED693D" w14:textId="77777777" w:rsidR="00697B76" w:rsidRDefault="00697B76" w:rsidP="006425EF">
      <w:pPr>
        <w:pStyle w:val="Nagwek1"/>
        <w:numPr>
          <w:ilvl w:val="0"/>
          <w:numId w:val="383"/>
        </w:numPr>
        <w:spacing w:after="240"/>
        <w:ind w:left="284" w:hanging="284"/>
        <w:rPr>
          <w:rFonts w:cs="Times New Roman"/>
          <w:color w:val="2F5496" w:themeColor="accent5" w:themeShade="BF"/>
          <w:sz w:val="40"/>
        </w:rPr>
        <w:sectPr w:rsidR="00697B76" w:rsidSect="00232245">
          <w:pgSz w:w="11906" w:h="16840"/>
          <w:pgMar w:top="1418" w:right="1418" w:bottom="2127" w:left="1418" w:header="708" w:footer="708" w:gutter="0"/>
          <w:cols w:space="708"/>
          <w:docGrid w:linePitch="360"/>
        </w:sectPr>
      </w:pPr>
    </w:p>
    <w:p w14:paraId="38EAFBBD" w14:textId="77777777" w:rsidR="0091762B" w:rsidRPr="000E1E08" w:rsidRDefault="00891D5D" w:rsidP="00835584">
      <w:pPr>
        <w:pStyle w:val="Nagwek1"/>
        <w:numPr>
          <w:ilvl w:val="0"/>
          <w:numId w:val="383"/>
        </w:numPr>
        <w:spacing w:after="240"/>
        <w:ind w:left="0" w:hanging="426"/>
        <w:rPr>
          <w:rFonts w:cs="Times New Roman"/>
          <w:color w:val="2F5496" w:themeColor="accent5" w:themeShade="BF"/>
          <w:sz w:val="36"/>
        </w:rPr>
      </w:pPr>
      <w:bookmarkStart w:id="62" w:name="_Toc49171335"/>
      <w:r w:rsidRPr="000E1E08">
        <w:rPr>
          <w:rFonts w:cs="Times New Roman"/>
          <w:color w:val="2F5496" w:themeColor="accent5" w:themeShade="BF"/>
          <w:sz w:val="36"/>
        </w:rPr>
        <w:lastRenderedPageBreak/>
        <w:t>Polityka społeczna wobec osób starszych na szczeblu centralnym</w:t>
      </w:r>
      <w:bookmarkEnd w:id="62"/>
      <w:r w:rsidRPr="000E1E08">
        <w:rPr>
          <w:rFonts w:cs="Times New Roman"/>
          <w:color w:val="2F5496" w:themeColor="accent5" w:themeShade="BF"/>
          <w:sz w:val="36"/>
        </w:rPr>
        <w:t xml:space="preserve"> </w:t>
      </w:r>
    </w:p>
    <w:p w14:paraId="29C84C71" w14:textId="77777777" w:rsidR="00FA240C" w:rsidRPr="000E1E08" w:rsidRDefault="0087360D" w:rsidP="00697B76">
      <w:pPr>
        <w:pStyle w:val="Nagwek2"/>
        <w:numPr>
          <w:ilvl w:val="1"/>
          <w:numId w:val="383"/>
        </w:numPr>
        <w:spacing w:before="240" w:after="240"/>
        <w:ind w:left="432"/>
        <w:rPr>
          <w:rFonts w:cs="Times New Roman"/>
          <w:sz w:val="36"/>
        </w:rPr>
      </w:pPr>
      <w:bookmarkStart w:id="63" w:name="_Toc49171336"/>
      <w:r w:rsidRPr="000E1E08">
        <w:rPr>
          <w:rFonts w:cs="Times New Roman"/>
          <w:sz w:val="36"/>
        </w:rPr>
        <w:t xml:space="preserve">Ministerstwo Rodziny, Pracy i Polityki </w:t>
      </w:r>
      <w:r w:rsidR="00475EFA" w:rsidRPr="000E1E08">
        <w:rPr>
          <w:rFonts w:cs="Times New Roman"/>
          <w:sz w:val="36"/>
        </w:rPr>
        <w:t>Społecznej</w:t>
      </w:r>
      <w:bookmarkEnd w:id="63"/>
    </w:p>
    <w:p w14:paraId="0429492C" w14:textId="77777777" w:rsidR="00D17379" w:rsidRPr="002B5542" w:rsidRDefault="00A91CC3" w:rsidP="004D7B9C">
      <w:pPr>
        <w:spacing w:after="0"/>
        <w:jc w:val="both"/>
        <w:rPr>
          <w:rFonts w:ascii="Times New Roman" w:hAnsi="Times New Roman" w:cs="Times New Roman"/>
          <w:b/>
          <w:color w:val="00B0F0"/>
          <w:sz w:val="24"/>
          <w:szCs w:val="24"/>
        </w:rPr>
      </w:pPr>
      <w:r w:rsidRPr="002B5542">
        <w:rPr>
          <w:rFonts w:ascii="Times New Roman" w:hAnsi="Times New Roman" w:cs="Times New Roman"/>
          <w:b/>
          <w:color w:val="00B0F0"/>
          <w:sz w:val="24"/>
          <w:szCs w:val="24"/>
        </w:rPr>
        <w:t>Program Senior+</w:t>
      </w:r>
    </w:p>
    <w:p w14:paraId="3EE8C05A" w14:textId="77777777" w:rsidR="00FA240C" w:rsidRPr="00FA240C" w:rsidRDefault="00FA240C" w:rsidP="004D7B9C">
      <w:pPr>
        <w:spacing w:after="0"/>
        <w:jc w:val="both"/>
        <w:rPr>
          <w:rFonts w:ascii="Times New Roman" w:hAnsi="Times New Roman" w:cs="Times New Roman"/>
          <w:sz w:val="24"/>
          <w:szCs w:val="24"/>
        </w:rPr>
      </w:pPr>
      <w:r w:rsidRPr="00FA240C">
        <w:rPr>
          <w:rFonts w:ascii="Times New Roman" w:hAnsi="Times New Roman" w:cs="Times New Roman"/>
          <w:sz w:val="24"/>
          <w:szCs w:val="24"/>
        </w:rPr>
        <w:t>Ministerstwo Rodziny, Pracy i Polityki Społecznej realizuje</w:t>
      </w:r>
      <w:r w:rsidRPr="00FA240C">
        <w:rPr>
          <w:rFonts w:ascii="Times New Roman" w:hAnsi="Times New Roman" w:cs="Times New Roman"/>
          <w:b/>
          <w:sz w:val="24"/>
          <w:szCs w:val="24"/>
        </w:rPr>
        <w:t xml:space="preserve"> program wieloletni „Senior+” </w:t>
      </w:r>
      <w:r w:rsidR="00493925">
        <w:rPr>
          <w:rFonts w:ascii="Times New Roman" w:hAnsi="Times New Roman" w:cs="Times New Roman"/>
          <w:b/>
          <w:sz w:val="24"/>
          <w:szCs w:val="24"/>
        </w:rPr>
        <w:br/>
      </w:r>
      <w:r w:rsidRPr="00FA240C">
        <w:rPr>
          <w:rFonts w:ascii="Times New Roman" w:hAnsi="Times New Roman" w:cs="Times New Roman"/>
          <w:b/>
          <w:sz w:val="24"/>
          <w:szCs w:val="24"/>
        </w:rPr>
        <w:t xml:space="preserve">na lata 2015-2020, </w:t>
      </w:r>
      <w:r w:rsidRPr="00FA240C">
        <w:rPr>
          <w:rFonts w:ascii="Times New Roman" w:hAnsi="Times New Roman" w:cs="Times New Roman"/>
          <w:sz w:val="24"/>
          <w:szCs w:val="24"/>
        </w:rPr>
        <w:t xml:space="preserve">którego celem jest zwiększenie aktywnego uczestnictwa w życiu społecznym osób starszych poprzez rozbudowę sieci placówek dziennego pobytu „Senior+” – Dziennych Domów i Klubów „Senior+”. </w:t>
      </w:r>
    </w:p>
    <w:p w14:paraId="02280C59" w14:textId="77777777" w:rsidR="00FA240C" w:rsidRDefault="00FA240C" w:rsidP="004D7B9C">
      <w:pPr>
        <w:spacing w:after="0"/>
        <w:jc w:val="both"/>
        <w:rPr>
          <w:rFonts w:ascii="Times New Roman" w:hAnsi="Times New Roman" w:cs="Times New Roman"/>
          <w:sz w:val="24"/>
          <w:szCs w:val="24"/>
        </w:rPr>
      </w:pPr>
    </w:p>
    <w:p w14:paraId="556E6907" w14:textId="77777777" w:rsidR="00FA240C" w:rsidRPr="00FA240C" w:rsidRDefault="00FA240C" w:rsidP="004D7B9C">
      <w:pPr>
        <w:spacing w:after="0"/>
        <w:jc w:val="both"/>
        <w:rPr>
          <w:rFonts w:ascii="Times New Roman" w:hAnsi="Times New Roman" w:cs="Times New Roman"/>
          <w:sz w:val="24"/>
          <w:szCs w:val="24"/>
        </w:rPr>
      </w:pPr>
      <w:r w:rsidRPr="00FA240C">
        <w:rPr>
          <w:rFonts w:ascii="Times New Roman" w:hAnsi="Times New Roman" w:cs="Times New Roman"/>
          <w:sz w:val="24"/>
          <w:szCs w:val="24"/>
        </w:rPr>
        <w:t>W ramach programu jednostki samorządu terytorialnego, w trybie otwartego konkursu ofert, mogą ubiegać się o uzyskanie środków finansowych przeznaczonych na:</w:t>
      </w:r>
    </w:p>
    <w:p w14:paraId="07C02251" w14:textId="77777777" w:rsidR="00FA240C" w:rsidRPr="00FA240C" w:rsidRDefault="00FA240C" w:rsidP="008C71A9">
      <w:pPr>
        <w:pStyle w:val="Akapitzlist"/>
        <w:numPr>
          <w:ilvl w:val="0"/>
          <w:numId w:val="299"/>
        </w:numPr>
        <w:spacing w:after="0"/>
        <w:ind w:left="360"/>
        <w:jc w:val="both"/>
        <w:rPr>
          <w:rFonts w:ascii="Times New Roman" w:hAnsi="Times New Roman" w:cs="Times New Roman"/>
          <w:sz w:val="24"/>
          <w:szCs w:val="24"/>
        </w:rPr>
      </w:pPr>
      <w:r w:rsidRPr="00FA240C">
        <w:rPr>
          <w:rFonts w:ascii="Times New Roman" w:hAnsi="Times New Roman" w:cs="Times New Roman"/>
          <w:sz w:val="24"/>
          <w:szCs w:val="24"/>
        </w:rPr>
        <w:t>utworzenie lub wyposażenie placówki w wysokości 300 tys. zł w przypadku Dziennego Domu „Senior +” oraz 150 tys. zł w przypadku Klubu „Senior+”;</w:t>
      </w:r>
    </w:p>
    <w:p w14:paraId="70F12FB3" w14:textId="77777777" w:rsidR="00FA240C" w:rsidRDefault="00FA240C" w:rsidP="008C71A9">
      <w:pPr>
        <w:pStyle w:val="Akapitzlist"/>
        <w:numPr>
          <w:ilvl w:val="0"/>
          <w:numId w:val="299"/>
        </w:numPr>
        <w:spacing w:after="0"/>
        <w:ind w:left="360"/>
        <w:jc w:val="both"/>
        <w:rPr>
          <w:rFonts w:ascii="Times New Roman" w:hAnsi="Times New Roman" w:cs="Times New Roman"/>
          <w:sz w:val="24"/>
          <w:szCs w:val="24"/>
        </w:rPr>
      </w:pPr>
      <w:r w:rsidRPr="00FA240C">
        <w:rPr>
          <w:rFonts w:ascii="Times New Roman" w:hAnsi="Times New Roman" w:cs="Times New Roman"/>
          <w:sz w:val="24"/>
          <w:szCs w:val="24"/>
        </w:rPr>
        <w:t>zapewnienie funkcjonowania już istniejących placówek. Do 300 zł miesięcznie na utrzymanie jednego miejsca w Dziennym Domu „Senior+” oraz do 200 zł w Klubie „Senior+”.</w:t>
      </w:r>
    </w:p>
    <w:p w14:paraId="6FBFE1A8" w14:textId="77777777" w:rsidR="00FA240C" w:rsidRDefault="00FA240C" w:rsidP="004D7B9C">
      <w:pPr>
        <w:spacing w:after="0"/>
        <w:jc w:val="both"/>
        <w:rPr>
          <w:rFonts w:ascii="Times New Roman" w:hAnsi="Times New Roman" w:cs="Times New Roman"/>
          <w:sz w:val="24"/>
          <w:szCs w:val="24"/>
        </w:rPr>
      </w:pPr>
    </w:p>
    <w:p w14:paraId="2F40DF25" w14:textId="77777777" w:rsidR="00FA240C" w:rsidRPr="00FA240C" w:rsidRDefault="00F95E75" w:rsidP="004D7B9C">
      <w:pPr>
        <w:spacing w:after="0"/>
        <w:jc w:val="both"/>
        <w:rPr>
          <w:rFonts w:ascii="Times New Roman" w:hAnsi="Times New Roman" w:cs="Times New Roman"/>
          <w:sz w:val="24"/>
          <w:szCs w:val="24"/>
        </w:rPr>
      </w:pPr>
      <w:r>
        <w:rPr>
          <w:rFonts w:ascii="Times New Roman" w:hAnsi="Times New Roman" w:cs="Times New Roman"/>
          <w:sz w:val="24"/>
          <w:szCs w:val="24"/>
        </w:rPr>
        <w:t>W</w:t>
      </w:r>
      <w:r w:rsidR="00FA240C" w:rsidRPr="00FA240C">
        <w:rPr>
          <w:rFonts w:ascii="Times New Roman" w:hAnsi="Times New Roman" w:cs="Times New Roman"/>
          <w:sz w:val="24"/>
          <w:szCs w:val="24"/>
        </w:rPr>
        <w:t xml:space="preserve"> 2016</w:t>
      </w:r>
      <w:r>
        <w:rPr>
          <w:rFonts w:ascii="Times New Roman" w:hAnsi="Times New Roman" w:cs="Times New Roman"/>
          <w:sz w:val="24"/>
          <w:szCs w:val="24"/>
        </w:rPr>
        <w:t xml:space="preserve"> r.</w:t>
      </w:r>
      <w:r w:rsidR="00FA240C" w:rsidRPr="00FA240C">
        <w:rPr>
          <w:rFonts w:ascii="Times New Roman" w:hAnsi="Times New Roman" w:cs="Times New Roman"/>
          <w:sz w:val="24"/>
          <w:szCs w:val="24"/>
        </w:rPr>
        <w:t xml:space="preserve"> w programie zostały wprowadzone zmiany w celu zachęcenia gmin do tworzenia placówek dziennego pobytu dla osób starszych, spośród których należy wymienić:</w:t>
      </w:r>
    </w:p>
    <w:p w14:paraId="66BD64AF" w14:textId="77777777" w:rsidR="00FA240C" w:rsidRPr="00FA240C" w:rsidRDefault="00FA240C" w:rsidP="008C71A9">
      <w:pPr>
        <w:numPr>
          <w:ilvl w:val="0"/>
          <w:numId w:val="227"/>
        </w:numPr>
        <w:spacing w:after="0"/>
        <w:ind w:left="360"/>
        <w:jc w:val="both"/>
        <w:rPr>
          <w:rFonts w:ascii="Times New Roman" w:hAnsi="Times New Roman" w:cs="Times New Roman"/>
          <w:sz w:val="24"/>
          <w:szCs w:val="24"/>
        </w:rPr>
      </w:pPr>
      <w:r w:rsidRPr="00FA240C">
        <w:rPr>
          <w:rFonts w:ascii="Times New Roman" w:hAnsi="Times New Roman" w:cs="Times New Roman"/>
          <w:sz w:val="24"/>
          <w:szCs w:val="24"/>
        </w:rPr>
        <w:t>wprowadzenie możliwości tworzenia Klubów „Senior+”;</w:t>
      </w:r>
    </w:p>
    <w:p w14:paraId="0ACC6A0A" w14:textId="77777777" w:rsidR="00FA240C" w:rsidRPr="00FA240C" w:rsidRDefault="00FA240C" w:rsidP="008C71A9">
      <w:pPr>
        <w:numPr>
          <w:ilvl w:val="0"/>
          <w:numId w:val="227"/>
        </w:numPr>
        <w:spacing w:after="0"/>
        <w:ind w:left="360"/>
        <w:jc w:val="both"/>
        <w:rPr>
          <w:rFonts w:ascii="Times New Roman" w:hAnsi="Times New Roman" w:cs="Times New Roman"/>
          <w:sz w:val="24"/>
          <w:szCs w:val="24"/>
        </w:rPr>
      </w:pPr>
      <w:r w:rsidRPr="00FA240C">
        <w:rPr>
          <w:rFonts w:ascii="Times New Roman" w:hAnsi="Times New Roman" w:cs="Times New Roman"/>
          <w:sz w:val="24"/>
          <w:szCs w:val="24"/>
        </w:rPr>
        <w:t>zwiększenie możliwej do otrzymania dotacji na utworzenie oraz adaptację Dziennego Domu „Senior+”;</w:t>
      </w:r>
    </w:p>
    <w:p w14:paraId="5F0CBAA7" w14:textId="77777777" w:rsidR="00FA240C" w:rsidRPr="00FA240C" w:rsidRDefault="00FA240C" w:rsidP="008C71A9">
      <w:pPr>
        <w:numPr>
          <w:ilvl w:val="0"/>
          <w:numId w:val="227"/>
        </w:numPr>
        <w:spacing w:after="0"/>
        <w:ind w:left="360"/>
        <w:jc w:val="both"/>
        <w:rPr>
          <w:rFonts w:ascii="Times New Roman" w:hAnsi="Times New Roman" w:cs="Times New Roman"/>
          <w:sz w:val="24"/>
          <w:szCs w:val="24"/>
        </w:rPr>
      </w:pPr>
      <w:r w:rsidRPr="00FA240C">
        <w:rPr>
          <w:rFonts w:ascii="Times New Roman" w:hAnsi="Times New Roman" w:cs="Times New Roman"/>
          <w:sz w:val="24"/>
          <w:szCs w:val="24"/>
        </w:rPr>
        <w:t>wprowadzenie możliwości ponoszenia z dotacji wydatków inwestycyjnych podczas adaptacji pomieszczeń budynku;</w:t>
      </w:r>
    </w:p>
    <w:p w14:paraId="06617B47" w14:textId="77777777" w:rsidR="00FA240C" w:rsidRPr="00FA240C" w:rsidRDefault="00FA240C" w:rsidP="008C71A9">
      <w:pPr>
        <w:numPr>
          <w:ilvl w:val="0"/>
          <w:numId w:val="227"/>
        </w:numPr>
        <w:spacing w:after="0"/>
        <w:ind w:left="360"/>
        <w:jc w:val="both"/>
        <w:rPr>
          <w:rFonts w:ascii="Times New Roman" w:hAnsi="Times New Roman" w:cs="Times New Roman"/>
          <w:sz w:val="24"/>
          <w:szCs w:val="24"/>
        </w:rPr>
      </w:pPr>
      <w:r w:rsidRPr="00FA240C">
        <w:rPr>
          <w:rFonts w:ascii="Times New Roman" w:hAnsi="Times New Roman" w:cs="Times New Roman"/>
          <w:sz w:val="24"/>
          <w:szCs w:val="24"/>
        </w:rPr>
        <w:t>zwiększenie kwoty dofinansowania jednego miejsca miesięcznie w Dziennym Domu „Senior+” z 200 zł do 300 zł.</w:t>
      </w:r>
    </w:p>
    <w:p w14:paraId="64C307C4" w14:textId="77777777" w:rsidR="00FA240C" w:rsidRDefault="00FA240C" w:rsidP="008C71A9">
      <w:pPr>
        <w:numPr>
          <w:ilvl w:val="0"/>
          <w:numId w:val="227"/>
        </w:numPr>
        <w:spacing w:after="0"/>
        <w:ind w:left="360"/>
        <w:jc w:val="both"/>
        <w:rPr>
          <w:rFonts w:ascii="Times New Roman" w:hAnsi="Times New Roman" w:cs="Times New Roman"/>
          <w:sz w:val="24"/>
          <w:szCs w:val="24"/>
        </w:rPr>
      </w:pPr>
      <w:r w:rsidRPr="00FA240C">
        <w:rPr>
          <w:rFonts w:ascii="Times New Roman" w:hAnsi="Times New Roman" w:cs="Times New Roman"/>
          <w:sz w:val="24"/>
          <w:szCs w:val="24"/>
        </w:rPr>
        <w:t>przekazanie obowiązku zawierania umów z jednostkami samorządu terytorialnego na rzecz właściwych miejscowo urzędów wojewódzkich.</w:t>
      </w:r>
    </w:p>
    <w:p w14:paraId="290DD427" w14:textId="77777777" w:rsidR="00727465" w:rsidRPr="00FA240C" w:rsidRDefault="00727465" w:rsidP="00727465">
      <w:pPr>
        <w:spacing w:after="0"/>
        <w:ind w:left="360"/>
        <w:jc w:val="both"/>
        <w:rPr>
          <w:rFonts w:ascii="Times New Roman" w:hAnsi="Times New Roman" w:cs="Times New Roman"/>
          <w:sz w:val="24"/>
          <w:szCs w:val="24"/>
        </w:rPr>
      </w:pPr>
    </w:p>
    <w:p w14:paraId="1290AFDE" w14:textId="50A25815" w:rsidR="00FA240C" w:rsidRPr="00727465" w:rsidRDefault="00FA240C" w:rsidP="004D7B9C">
      <w:pPr>
        <w:spacing w:after="0"/>
        <w:jc w:val="both"/>
        <w:rPr>
          <w:rFonts w:ascii="Times New Roman" w:hAnsi="Times New Roman" w:cs="Times New Roman"/>
          <w:sz w:val="24"/>
          <w:szCs w:val="24"/>
        </w:rPr>
      </w:pPr>
      <w:r w:rsidRPr="00FA240C">
        <w:rPr>
          <w:rFonts w:ascii="Times New Roman" w:hAnsi="Times New Roman" w:cs="Times New Roman"/>
          <w:sz w:val="24"/>
          <w:szCs w:val="24"/>
        </w:rPr>
        <w:t xml:space="preserve">Należy zauważyć, iż w związku z wprowadzonymi zmianami zwiększyła się </w:t>
      </w:r>
      <w:r w:rsidR="00727465">
        <w:rPr>
          <w:rFonts w:ascii="Times New Roman" w:hAnsi="Times New Roman" w:cs="Times New Roman"/>
          <w:sz w:val="24"/>
          <w:szCs w:val="24"/>
        </w:rPr>
        <w:t>liczba gmin biorących udział w P</w:t>
      </w:r>
      <w:r w:rsidRPr="00FA240C">
        <w:rPr>
          <w:rFonts w:ascii="Times New Roman" w:hAnsi="Times New Roman" w:cs="Times New Roman"/>
          <w:sz w:val="24"/>
          <w:szCs w:val="24"/>
        </w:rPr>
        <w:t xml:space="preserve">rogramie ,,Senior+”. </w:t>
      </w:r>
      <w:r w:rsidR="00727465">
        <w:rPr>
          <w:rFonts w:ascii="Times New Roman" w:hAnsi="Times New Roman" w:cs="Times New Roman"/>
          <w:sz w:val="24"/>
          <w:szCs w:val="24"/>
        </w:rPr>
        <w:t>Na</w:t>
      </w:r>
      <w:r w:rsidR="002B19FE" w:rsidRPr="00727465">
        <w:rPr>
          <w:rFonts w:ascii="Times New Roman" w:hAnsi="Times New Roman" w:cs="Times New Roman"/>
          <w:sz w:val="24"/>
          <w:szCs w:val="24"/>
        </w:rPr>
        <w:t xml:space="preserve"> utworzenie i utrzymanie placówek na terenie całej Polski przeznaczono prawie 235 mln zł. </w:t>
      </w:r>
      <w:r w:rsidR="00CB5451">
        <w:rPr>
          <w:rFonts w:ascii="Times New Roman" w:hAnsi="Times New Roman" w:cs="Times New Roman"/>
          <w:sz w:val="24"/>
          <w:szCs w:val="24"/>
        </w:rPr>
        <w:t>W latach 2015-2019 powstało 777</w:t>
      </w:r>
      <w:r w:rsidR="002B19FE" w:rsidRPr="00727465">
        <w:rPr>
          <w:rFonts w:ascii="Times New Roman" w:hAnsi="Times New Roman" w:cs="Times New Roman"/>
          <w:sz w:val="24"/>
          <w:szCs w:val="24"/>
        </w:rPr>
        <w:t xml:space="preserve"> </w:t>
      </w:r>
      <w:r w:rsidR="00CB5451">
        <w:rPr>
          <w:rFonts w:ascii="Times New Roman" w:hAnsi="Times New Roman" w:cs="Times New Roman"/>
          <w:sz w:val="24"/>
          <w:szCs w:val="24"/>
        </w:rPr>
        <w:t xml:space="preserve">placówek </w:t>
      </w:r>
      <w:r w:rsidR="002B19FE" w:rsidRPr="00727465">
        <w:rPr>
          <w:rFonts w:ascii="Times New Roman" w:hAnsi="Times New Roman" w:cs="Times New Roman"/>
          <w:sz w:val="24"/>
          <w:szCs w:val="24"/>
        </w:rPr>
        <w:t>„Senior+”, które oferują ponad 19 tysięcy miejsc dla seniorów.</w:t>
      </w:r>
    </w:p>
    <w:p w14:paraId="53B78701" w14:textId="77777777" w:rsidR="00F95E75" w:rsidRPr="002B19FE" w:rsidRDefault="00F95E75" w:rsidP="004D7B9C">
      <w:pPr>
        <w:spacing w:after="0"/>
        <w:jc w:val="both"/>
        <w:rPr>
          <w:sz w:val="24"/>
          <w:szCs w:val="24"/>
        </w:rPr>
      </w:pPr>
    </w:p>
    <w:p w14:paraId="42C30369" w14:textId="77777777" w:rsidR="00A91CC3" w:rsidRPr="002B5542" w:rsidRDefault="00A91CC3" w:rsidP="004D7B9C">
      <w:pPr>
        <w:spacing w:after="0"/>
        <w:jc w:val="both"/>
        <w:rPr>
          <w:rFonts w:ascii="Times New Roman" w:hAnsi="Times New Roman" w:cs="Times New Roman"/>
          <w:b/>
          <w:color w:val="00B0F0"/>
          <w:sz w:val="24"/>
          <w:szCs w:val="24"/>
        </w:rPr>
      </w:pPr>
      <w:r w:rsidRPr="002B5542">
        <w:rPr>
          <w:rFonts w:ascii="Times New Roman" w:hAnsi="Times New Roman" w:cs="Times New Roman"/>
          <w:b/>
          <w:color w:val="00B0F0"/>
          <w:sz w:val="24"/>
          <w:szCs w:val="24"/>
        </w:rPr>
        <w:t>Program ASOS</w:t>
      </w:r>
    </w:p>
    <w:p w14:paraId="4E66A903" w14:textId="77777777" w:rsidR="00A91CC3" w:rsidRPr="00A91CC3" w:rsidRDefault="00A91CC3" w:rsidP="004D7B9C">
      <w:pPr>
        <w:autoSpaceDE w:val="0"/>
        <w:autoSpaceDN w:val="0"/>
        <w:adjustRightInd w:val="0"/>
        <w:spacing w:after="0"/>
        <w:jc w:val="both"/>
        <w:rPr>
          <w:rFonts w:ascii="Times New Roman" w:hAnsi="Times New Roman" w:cs="Times New Roman"/>
          <w:sz w:val="24"/>
        </w:rPr>
      </w:pPr>
      <w:r w:rsidRPr="00A91CC3">
        <w:rPr>
          <w:rFonts w:ascii="Times New Roman" w:hAnsi="Times New Roman" w:cs="Times New Roman"/>
          <w:bCs/>
          <w:sz w:val="24"/>
        </w:rPr>
        <w:t xml:space="preserve">Rządowy Program na rzecz Aktywności Społecznej Osób Starszych na lata 2014-2020 </w:t>
      </w:r>
      <w:r w:rsidRPr="00A91CC3">
        <w:rPr>
          <w:rFonts w:ascii="Times New Roman" w:hAnsi="Times New Roman" w:cs="Times New Roman"/>
          <w:sz w:val="24"/>
        </w:rPr>
        <w:t xml:space="preserve">powstał po to, by wspierać szeroko pojętą aktywność społeczną seniorów. Regularny udział w zajęciach umożliwia poszerzenie wiedzy, nabywanie nowych umiejętności czy też daje możliwość </w:t>
      </w:r>
      <w:r w:rsidRPr="00A91CC3">
        <w:rPr>
          <w:rFonts w:ascii="Times New Roman" w:hAnsi="Times New Roman" w:cs="Times New Roman"/>
          <w:sz w:val="24"/>
        </w:rPr>
        <w:lastRenderedPageBreak/>
        <w:t xml:space="preserve">podejmowania aktywności na rzecz społeczności lokalnych, również w formie wolontariatu. W ramach Programu ASOS realizowane są także działania zwiększające dostęp do usług społecznych oraz wspierające ideę samopomocy i samoorganizacji. </w:t>
      </w:r>
    </w:p>
    <w:p w14:paraId="536EB812" w14:textId="7701C201" w:rsidR="006E0E56" w:rsidRPr="006E0E56" w:rsidRDefault="00C36B46" w:rsidP="006E0E56">
      <w:pPr>
        <w:spacing w:after="0"/>
        <w:jc w:val="both"/>
        <w:rPr>
          <w:rFonts w:ascii="Times New Roman" w:hAnsi="Times New Roman" w:cs="Times New Roman"/>
          <w:sz w:val="24"/>
        </w:rPr>
      </w:pPr>
      <w:r>
        <w:rPr>
          <w:rFonts w:ascii="Times New Roman" w:hAnsi="Times New Roman" w:cs="Times New Roman"/>
          <w:sz w:val="24"/>
        </w:rPr>
        <w:t xml:space="preserve"> </w:t>
      </w:r>
    </w:p>
    <w:p w14:paraId="59987E87" w14:textId="58382774" w:rsidR="006E0E56" w:rsidRPr="006E0E56" w:rsidRDefault="006E0E56" w:rsidP="006E0E56">
      <w:pPr>
        <w:pStyle w:val="Legenda"/>
        <w:keepNext/>
        <w:rPr>
          <w:rFonts w:ascii="Times New Roman" w:hAnsi="Times New Roman" w:cs="Times New Roman"/>
          <w:b/>
          <w:i w:val="0"/>
          <w:sz w:val="24"/>
        </w:rPr>
      </w:pPr>
      <w:bookmarkStart w:id="64" w:name="_Toc49171420"/>
      <w:r w:rsidRPr="006E0E56">
        <w:rPr>
          <w:rFonts w:ascii="Times New Roman" w:hAnsi="Times New Roman" w:cs="Times New Roman"/>
          <w:b/>
          <w:i w:val="0"/>
          <w:sz w:val="24"/>
        </w:rPr>
        <w:t xml:space="preserve">Tabela </w:t>
      </w:r>
      <w:r w:rsidRPr="006E0E56">
        <w:rPr>
          <w:rFonts w:ascii="Times New Roman" w:hAnsi="Times New Roman" w:cs="Times New Roman"/>
          <w:b/>
          <w:i w:val="0"/>
          <w:sz w:val="24"/>
        </w:rPr>
        <w:fldChar w:fldCharType="begin"/>
      </w:r>
      <w:r w:rsidRPr="006E0E56">
        <w:rPr>
          <w:rFonts w:ascii="Times New Roman" w:hAnsi="Times New Roman" w:cs="Times New Roman"/>
          <w:b/>
          <w:i w:val="0"/>
          <w:sz w:val="24"/>
        </w:rPr>
        <w:instrText xml:space="preserve"> SEQ Tabela \* ARABIC </w:instrText>
      </w:r>
      <w:r w:rsidRPr="006E0E56">
        <w:rPr>
          <w:rFonts w:ascii="Times New Roman" w:hAnsi="Times New Roman" w:cs="Times New Roman"/>
          <w:b/>
          <w:i w:val="0"/>
          <w:sz w:val="24"/>
        </w:rPr>
        <w:fldChar w:fldCharType="separate"/>
      </w:r>
      <w:r w:rsidR="00C154C9">
        <w:rPr>
          <w:rFonts w:ascii="Times New Roman" w:hAnsi="Times New Roman" w:cs="Times New Roman"/>
          <w:b/>
          <w:i w:val="0"/>
          <w:noProof/>
          <w:sz w:val="24"/>
        </w:rPr>
        <w:t>45</w:t>
      </w:r>
      <w:r w:rsidRPr="006E0E56">
        <w:rPr>
          <w:rFonts w:ascii="Times New Roman" w:hAnsi="Times New Roman" w:cs="Times New Roman"/>
          <w:b/>
          <w:i w:val="0"/>
          <w:sz w:val="24"/>
        </w:rPr>
        <w:fldChar w:fldCharType="end"/>
      </w:r>
      <w:r w:rsidRPr="006E0E56">
        <w:rPr>
          <w:rFonts w:ascii="Times New Roman" w:hAnsi="Times New Roman" w:cs="Times New Roman"/>
          <w:b/>
          <w:i w:val="0"/>
          <w:sz w:val="24"/>
        </w:rPr>
        <w:t xml:space="preserve"> Program ASOS - dane za lata 2014-2020</w:t>
      </w:r>
      <w:bookmarkEnd w:id="64"/>
    </w:p>
    <w:tbl>
      <w:tblPr>
        <w:tblStyle w:val="Tabela-Siatka"/>
        <w:tblW w:w="0" w:type="auto"/>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ook w:val="04A0" w:firstRow="1" w:lastRow="0" w:firstColumn="1" w:lastColumn="0" w:noHBand="0" w:noVBand="1"/>
      </w:tblPr>
      <w:tblGrid>
        <w:gridCol w:w="1126"/>
        <w:gridCol w:w="2002"/>
        <w:gridCol w:w="1974"/>
        <w:gridCol w:w="1746"/>
        <w:gridCol w:w="2202"/>
      </w:tblGrid>
      <w:tr w:rsidR="00A91CC3" w:rsidRPr="00DC6062" w14:paraId="7AF29BB2" w14:textId="77777777" w:rsidTr="00C154C9">
        <w:trPr>
          <w:jc w:val="center"/>
        </w:trPr>
        <w:tc>
          <w:tcPr>
            <w:tcW w:w="1126" w:type="dxa"/>
            <w:shd w:val="clear" w:color="auto" w:fill="9CC2E5" w:themeFill="accent1" w:themeFillTint="99"/>
            <w:hideMark/>
          </w:tcPr>
          <w:p w14:paraId="4A3AE1C6" w14:textId="77777777" w:rsidR="00A91CC3" w:rsidRPr="00DC6062" w:rsidRDefault="00A91CC3" w:rsidP="00961350">
            <w:pPr>
              <w:spacing w:line="240" w:lineRule="auto"/>
              <w:rPr>
                <w:rFonts w:ascii="Times New Roman" w:hAnsi="Times New Roman" w:cs="Times New Roman"/>
                <w:b/>
                <w:sz w:val="20"/>
                <w:szCs w:val="20"/>
              </w:rPr>
            </w:pPr>
            <w:r w:rsidRPr="00DC6062">
              <w:rPr>
                <w:rFonts w:ascii="Times New Roman" w:hAnsi="Times New Roman" w:cs="Times New Roman"/>
                <w:b/>
                <w:sz w:val="20"/>
                <w:szCs w:val="20"/>
              </w:rPr>
              <w:t>Rok</w:t>
            </w:r>
          </w:p>
        </w:tc>
        <w:tc>
          <w:tcPr>
            <w:tcW w:w="2002" w:type="dxa"/>
            <w:shd w:val="clear" w:color="auto" w:fill="9CC2E5" w:themeFill="accent1" w:themeFillTint="99"/>
            <w:hideMark/>
          </w:tcPr>
          <w:p w14:paraId="4FF455E0" w14:textId="77777777" w:rsidR="00A91CC3" w:rsidRPr="00DC6062" w:rsidRDefault="00A91CC3" w:rsidP="00961350">
            <w:pPr>
              <w:spacing w:line="240" w:lineRule="auto"/>
              <w:rPr>
                <w:rFonts w:ascii="Times New Roman" w:hAnsi="Times New Roman" w:cs="Times New Roman"/>
                <w:b/>
                <w:sz w:val="20"/>
                <w:szCs w:val="20"/>
              </w:rPr>
            </w:pPr>
            <w:r w:rsidRPr="00DC6062">
              <w:rPr>
                <w:rFonts w:ascii="Times New Roman" w:hAnsi="Times New Roman" w:cs="Times New Roman"/>
                <w:b/>
                <w:sz w:val="20"/>
                <w:szCs w:val="20"/>
              </w:rPr>
              <w:t>Liczba dofinansowanych projektów</w:t>
            </w:r>
          </w:p>
        </w:tc>
        <w:tc>
          <w:tcPr>
            <w:tcW w:w="1974" w:type="dxa"/>
            <w:shd w:val="clear" w:color="auto" w:fill="9CC2E5" w:themeFill="accent1" w:themeFillTint="99"/>
            <w:hideMark/>
          </w:tcPr>
          <w:p w14:paraId="6B8F5042" w14:textId="77777777" w:rsidR="00A91CC3" w:rsidRPr="00DC6062" w:rsidRDefault="00A91CC3" w:rsidP="00961350">
            <w:pPr>
              <w:spacing w:line="240" w:lineRule="auto"/>
              <w:rPr>
                <w:rFonts w:ascii="Times New Roman" w:hAnsi="Times New Roman" w:cs="Times New Roman"/>
                <w:b/>
                <w:sz w:val="20"/>
                <w:szCs w:val="20"/>
              </w:rPr>
            </w:pPr>
            <w:r w:rsidRPr="00DC6062">
              <w:rPr>
                <w:rFonts w:ascii="Times New Roman" w:hAnsi="Times New Roman" w:cs="Times New Roman"/>
                <w:b/>
                <w:sz w:val="20"/>
                <w:szCs w:val="20"/>
              </w:rPr>
              <w:t xml:space="preserve">Wartość </w:t>
            </w:r>
            <w:r w:rsidRPr="00DC6062">
              <w:rPr>
                <w:rFonts w:ascii="Times New Roman" w:hAnsi="Times New Roman" w:cs="Times New Roman"/>
                <w:b/>
                <w:sz w:val="20"/>
                <w:szCs w:val="20"/>
              </w:rPr>
              <w:br/>
              <w:t xml:space="preserve">wsparcia dla osób w wieku </w:t>
            </w:r>
            <w:r w:rsidRPr="00DC6062">
              <w:rPr>
                <w:rFonts w:ascii="Times New Roman" w:hAnsi="Times New Roman" w:cs="Times New Roman"/>
                <w:b/>
                <w:sz w:val="20"/>
                <w:szCs w:val="20"/>
              </w:rPr>
              <w:br/>
              <w:t>60 lat i więcej</w:t>
            </w:r>
          </w:p>
        </w:tc>
        <w:tc>
          <w:tcPr>
            <w:tcW w:w="1746" w:type="dxa"/>
            <w:shd w:val="clear" w:color="auto" w:fill="9CC2E5" w:themeFill="accent1" w:themeFillTint="99"/>
            <w:hideMark/>
          </w:tcPr>
          <w:p w14:paraId="7406E4AA" w14:textId="77777777" w:rsidR="00A91CC3" w:rsidRPr="00DC6062" w:rsidRDefault="00A91CC3" w:rsidP="00961350">
            <w:pPr>
              <w:spacing w:line="240" w:lineRule="auto"/>
              <w:rPr>
                <w:rFonts w:ascii="Times New Roman" w:hAnsi="Times New Roman" w:cs="Times New Roman"/>
                <w:b/>
                <w:sz w:val="20"/>
                <w:szCs w:val="20"/>
              </w:rPr>
            </w:pPr>
            <w:r w:rsidRPr="00DC6062">
              <w:rPr>
                <w:rFonts w:ascii="Times New Roman" w:hAnsi="Times New Roman" w:cs="Times New Roman"/>
                <w:b/>
                <w:sz w:val="20"/>
                <w:szCs w:val="20"/>
              </w:rPr>
              <w:t xml:space="preserve">Liczba beneficjentów w wieku 60 lat </w:t>
            </w:r>
            <w:r w:rsidRPr="00DC6062">
              <w:rPr>
                <w:rFonts w:ascii="Times New Roman" w:hAnsi="Times New Roman" w:cs="Times New Roman"/>
                <w:b/>
                <w:sz w:val="20"/>
                <w:szCs w:val="20"/>
              </w:rPr>
              <w:br/>
              <w:t>i więcej</w:t>
            </w:r>
          </w:p>
        </w:tc>
        <w:tc>
          <w:tcPr>
            <w:tcW w:w="2202" w:type="dxa"/>
            <w:shd w:val="clear" w:color="auto" w:fill="9CC2E5" w:themeFill="accent1" w:themeFillTint="99"/>
            <w:hideMark/>
          </w:tcPr>
          <w:p w14:paraId="477F5527" w14:textId="77777777" w:rsidR="00A91CC3" w:rsidRPr="00DC6062" w:rsidRDefault="00A91CC3" w:rsidP="00961350">
            <w:pPr>
              <w:spacing w:line="240" w:lineRule="auto"/>
              <w:rPr>
                <w:rFonts w:ascii="Times New Roman" w:hAnsi="Times New Roman" w:cs="Times New Roman"/>
                <w:b/>
                <w:sz w:val="20"/>
                <w:szCs w:val="20"/>
              </w:rPr>
            </w:pPr>
            <w:r w:rsidRPr="00DC6062">
              <w:rPr>
                <w:rFonts w:ascii="Times New Roman" w:hAnsi="Times New Roman" w:cs="Times New Roman"/>
                <w:b/>
                <w:sz w:val="20"/>
                <w:szCs w:val="20"/>
              </w:rPr>
              <w:t>w tym osób niepełnosprawnych w wieku 60 lat i więcej</w:t>
            </w:r>
          </w:p>
        </w:tc>
      </w:tr>
      <w:tr w:rsidR="00A91CC3" w:rsidRPr="00DC6062" w14:paraId="0FA7CF9A" w14:textId="77777777" w:rsidTr="00C154C9">
        <w:trPr>
          <w:jc w:val="center"/>
        </w:trPr>
        <w:tc>
          <w:tcPr>
            <w:tcW w:w="1126" w:type="dxa"/>
            <w:shd w:val="clear" w:color="auto" w:fill="9CC2E5" w:themeFill="accent1" w:themeFillTint="99"/>
            <w:hideMark/>
          </w:tcPr>
          <w:p w14:paraId="484BF665" w14:textId="77777777" w:rsidR="00A91CC3" w:rsidRPr="00DC6062" w:rsidRDefault="00A91CC3" w:rsidP="00961350">
            <w:pPr>
              <w:spacing w:line="240" w:lineRule="auto"/>
              <w:rPr>
                <w:rFonts w:ascii="Times New Roman" w:hAnsi="Times New Roman" w:cs="Times New Roman"/>
                <w:b/>
                <w:sz w:val="20"/>
                <w:szCs w:val="20"/>
              </w:rPr>
            </w:pPr>
            <w:r w:rsidRPr="00DC6062">
              <w:rPr>
                <w:rFonts w:ascii="Times New Roman" w:hAnsi="Times New Roman" w:cs="Times New Roman"/>
                <w:b/>
                <w:sz w:val="20"/>
                <w:szCs w:val="20"/>
              </w:rPr>
              <w:t>2014</w:t>
            </w:r>
          </w:p>
        </w:tc>
        <w:tc>
          <w:tcPr>
            <w:tcW w:w="2002" w:type="dxa"/>
            <w:hideMark/>
          </w:tcPr>
          <w:p w14:paraId="25386EEA"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490</w:t>
            </w:r>
          </w:p>
        </w:tc>
        <w:tc>
          <w:tcPr>
            <w:tcW w:w="1974" w:type="dxa"/>
            <w:hideMark/>
          </w:tcPr>
          <w:p w14:paraId="0103C1E8"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38 200 107,30 zł</w:t>
            </w:r>
          </w:p>
        </w:tc>
        <w:tc>
          <w:tcPr>
            <w:tcW w:w="1746" w:type="dxa"/>
            <w:hideMark/>
          </w:tcPr>
          <w:p w14:paraId="08328BEB"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333 849</w:t>
            </w:r>
          </w:p>
        </w:tc>
        <w:tc>
          <w:tcPr>
            <w:tcW w:w="2202" w:type="dxa"/>
            <w:hideMark/>
          </w:tcPr>
          <w:p w14:paraId="162E776A"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brak danych</w:t>
            </w:r>
          </w:p>
        </w:tc>
      </w:tr>
      <w:tr w:rsidR="00A91CC3" w:rsidRPr="00DC6062" w14:paraId="53CC190D" w14:textId="77777777" w:rsidTr="00C154C9">
        <w:trPr>
          <w:jc w:val="center"/>
        </w:trPr>
        <w:tc>
          <w:tcPr>
            <w:tcW w:w="1126" w:type="dxa"/>
            <w:shd w:val="clear" w:color="auto" w:fill="9CC2E5" w:themeFill="accent1" w:themeFillTint="99"/>
            <w:hideMark/>
          </w:tcPr>
          <w:p w14:paraId="33D3F79D" w14:textId="77777777" w:rsidR="00A91CC3" w:rsidRPr="00DC6062" w:rsidRDefault="00A91CC3" w:rsidP="00961350">
            <w:pPr>
              <w:spacing w:line="240" w:lineRule="auto"/>
              <w:rPr>
                <w:rFonts w:ascii="Times New Roman" w:hAnsi="Times New Roman" w:cs="Times New Roman"/>
                <w:b/>
                <w:sz w:val="20"/>
                <w:szCs w:val="20"/>
              </w:rPr>
            </w:pPr>
            <w:r w:rsidRPr="00DC6062">
              <w:rPr>
                <w:rFonts w:ascii="Times New Roman" w:hAnsi="Times New Roman" w:cs="Times New Roman"/>
                <w:b/>
                <w:sz w:val="20"/>
                <w:szCs w:val="20"/>
              </w:rPr>
              <w:t>2015</w:t>
            </w:r>
          </w:p>
        </w:tc>
        <w:tc>
          <w:tcPr>
            <w:tcW w:w="2002" w:type="dxa"/>
            <w:hideMark/>
          </w:tcPr>
          <w:p w14:paraId="65CF07C1" w14:textId="67352952" w:rsidR="00A91CC3" w:rsidRPr="00DC6062" w:rsidRDefault="00C154C9" w:rsidP="00961350">
            <w:pPr>
              <w:spacing w:line="240" w:lineRule="auto"/>
              <w:jc w:val="center"/>
              <w:rPr>
                <w:rFonts w:ascii="Times New Roman" w:hAnsi="Times New Roman" w:cs="Times New Roman"/>
                <w:bCs/>
                <w:sz w:val="20"/>
                <w:szCs w:val="20"/>
              </w:rPr>
            </w:pPr>
            <w:r>
              <w:rPr>
                <w:rFonts w:ascii="Times New Roman" w:hAnsi="Times New Roman" w:cs="Times New Roman"/>
                <w:bCs/>
                <w:sz w:val="20"/>
                <w:szCs w:val="20"/>
              </w:rPr>
              <w:t>460</w:t>
            </w:r>
          </w:p>
        </w:tc>
        <w:tc>
          <w:tcPr>
            <w:tcW w:w="1974" w:type="dxa"/>
            <w:hideMark/>
          </w:tcPr>
          <w:p w14:paraId="526964C5" w14:textId="3A26355C" w:rsidR="00A91CC3" w:rsidRPr="00DC6062" w:rsidRDefault="00C154C9" w:rsidP="00961350">
            <w:pPr>
              <w:spacing w:line="240" w:lineRule="auto"/>
              <w:jc w:val="center"/>
              <w:rPr>
                <w:rFonts w:ascii="Times New Roman" w:hAnsi="Times New Roman" w:cs="Times New Roman"/>
                <w:bCs/>
                <w:sz w:val="20"/>
                <w:szCs w:val="20"/>
              </w:rPr>
            </w:pPr>
            <w:r>
              <w:rPr>
                <w:rFonts w:ascii="Times New Roman" w:hAnsi="Times New Roman" w:cs="Times New Roman"/>
                <w:bCs/>
                <w:sz w:val="20"/>
                <w:szCs w:val="20"/>
              </w:rPr>
              <w:t>37 989 996,04</w:t>
            </w:r>
            <w:r w:rsidR="00A91CC3" w:rsidRPr="00DC6062">
              <w:rPr>
                <w:rFonts w:ascii="Times New Roman" w:hAnsi="Times New Roman" w:cs="Times New Roman"/>
                <w:bCs/>
                <w:sz w:val="20"/>
                <w:szCs w:val="20"/>
              </w:rPr>
              <w:t xml:space="preserve"> zł</w:t>
            </w:r>
          </w:p>
        </w:tc>
        <w:tc>
          <w:tcPr>
            <w:tcW w:w="1746" w:type="dxa"/>
            <w:hideMark/>
          </w:tcPr>
          <w:p w14:paraId="304BC012"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265 941</w:t>
            </w:r>
          </w:p>
        </w:tc>
        <w:tc>
          <w:tcPr>
            <w:tcW w:w="2202" w:type="dxa"/>
            <w:hideMark/>
          </w:tcPr>
          <w:p w14:paraId="65143898"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brak danych</w:t>
            </w:r>
          </w:p>
        </w:tc>
      </w:tr>
      <w:tr w:rsidR="00A91CC3" w:rsidRPr="00DC6062" w14:paraId="39820CAA" w14:textId="77777777" w:rsidTr="00C154C9">
        <w:trPr>
          <w:jc w:val="center"/>
        </w:trPr>
        <w:tc>
          <w:tcPr>
            <w:tcW w:w="1126" w:type="dxa"/>
            <w:shd w:val="clear" w:color="auto" w:fill="9CC2E5" w:themeFill="accent1" w:themeFillTint="99"/>
            <w:hideMark/>
          </w:tcPr>
          <w:p w14:paraId="57E9EEE6" w14:textId="77777777" w:rsidR="00A91CC3" w:rsidRPr="00DC6062" w:rsidRDefault="00A91CC3" w:rsidP="00961350">
            <w:pPr>
              <w:spacing w:line="240" w:lineRule="auto"/>
              <w:rPr>
                <w:rFonts w:ascii="Times New Roman" w:hAnsi="Times New Roman" w:cs="Times New Roman"/>
                <w:b/>
                <w:sz w:val="20"/>
                <w:szCs w:val="20"/>
              </w:rPr>
            </w:pPr>
            <w:r w:rsidRPr="00DC6062">
              <w:rPr>
                <w:rFonts w:ascii="Times New Roman" w:hAnsi="Times New Roman" w:cs="Times New Roman"/>
                <w:b/>
                <w:sz w:val="20"/>
                <w:szCs w:val="20"/>
              </w:rPr>
              <w:t>2016</w:t>
            </w:r>
          </w:p>
        </w:tc>
        <w:tc>
          <w:tcPr>
            <w:tcW w:w="2002" w:type="dxa"/>
            <w:hideMark/>
          </w:tcPr>
          <w:p w14:paraId="447ECBF7"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432</w:t>
            </w:r>
          </w:p>
        </w:tc>
        <w:tc>
          <w:tcPr>
            <w:tcW w:w="1974" w:type="dxa"/>
            <w:hideMark/>
          </w:tcPr>
          <w:p w14:paraId="4F639779" w14:textId="6254265E" w:rsidR="00A91CC3" w:rsidRPr="00DC6062" w:rsidRDefault="00C154C9" w:rsidP="00961350">
            <w:pPr>
              <w:spacing w:line="240" w:lineRule="auto"/>
              <w:jc w:val="center"/>
              <w:rPr>
                <w:rFonts w:ascii="Times New Roman" w:hAnsi="Times New Roman" w:cs="Times New Roman"/>
                <w:bCs/>
                <w:sz w:val="20"/>
                <w:szCs w:val="20"/>
              </w:rPr>
            </w:pPr>
            <w:r>
              <w:rPr>
                <w:rFonts w:ascii="Times New Roman" w:hAnsi="Times New Roman" w:cs="Times New Roman"/>
                <w:bCs/>
                <w:sz w:val="20"/>
                <w:szCs w:val="20"/>
              </w:rPr>
              <w:t>37 947 108,9</w:t>
            </w:r>
            <w:r w:rsidR="00A91CC3" w:rsidRPr="00DC6062">
              <w:rPr>
                <w:rFonts w:ascii="Times New Roman" w:hAnsi="Times New Roman" w:cs="Times New Roman"/>
                <w:bCs/>
                <w:sz w:val="20"/>
                <w:szCs w:val="20"/>
              </w:rPr>
              <w:t>3 zł</w:t>
            </w:r>
          </w:p>
        </w:tc>
        <w:tc>
          <w:tcPr>
            <w:tcW w:w="1746" w:type="dxa"/>
            <w:hideMark/>
          </w:tcPr>
          <w:p w14:paraId="3AB6E781"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128 560</w:t>
            </w:r>
          </w:p>
        </w:tc>
        <w:tc>
          <w:tcPr>
            <w:tcW w:w="2202" w:type="dxa"/>
            <w:hideMark/>
          </w:tcPr>
          <w:p w14:paraId="15DC24F2"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10 963</w:t>
            </w:r>
          </w:p>
        </w:tc>
      </w:tr>
      <w:tr w:rsidR="00A91CC3" w:rsidRPr="00DC6062" w14:paraId="3A1C27A3" w14:textId="77777777" w:rsidTr="00C154C9">
        <w:trPr>
          <w:jc w:val="center"/>
        </w:trPr>
        <w:tc>
          <w:tcPr>
            <w:tcW w:w="1126" w:type="dxa"/>
            <w:shd w:val="clear" w:color="auto" w:fill="9CC2E5" w:themeFill="accent1" w:themeFillTint="99"/>
            <w:hideMark/>
          </w:tcPr>
          <w:p w14:paraId="4D2CAACD" w14:textId="77777777" w:rsidR="00A91CC3" w:rsidRPr="00DC6062" w:rsidRDefault="00A91CC3" w:rsidP="00961350">
            <w:pPr>
              <w:spacing w:line="240" w:lineRule="auto"/>
              <w:rPr>
                <w:rFonts w:ascii="Times New Roman" w:hAnsi="Times New Roman" w:cs="Times New Roman"/>
                <w:b/>
                <w:sz w:val="20"/>
                <w:szCs w:val="20"/>
              </w:rPr>
            </w:pPr>
            <w:r w:rsidRPr="00DC6062">
              <w:rPr>
                <w:rFonts w:ascii="Times New Roman" w:hAnsi="Times New Roman" w:cs="Times New Roman"/>
                <w:b/>
                <w:sz w:val="20"/>
                <w:szCs w:val="20"/>
              </w:rPr>
              <w:t>2017</w:t>
            </w:r>
          </w:p>
        </w:tc>
        <w:tc>
          <w:tcPr>
            <w:tcW w:w="2002" w:type="dxa"/>
            <w:hideMark/>
          </w:tcPr>
          <w:p w14:paraId="45A15A88"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370</w:t>
            </w:r>
          </w:p>
        </w:tc>
        <w:tc>
          <w:tcPr>
            <w:tcW w:w="1974" w:type="dxa"/>
            <w:hideMark/>
          </w:tcPr>
          <w:p w14:paraId="5A1AE800"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37 998 198,78 zł</w:t>
            </w:r>
          </w:p>
        </w:tc>
        <w:tc>
          <w:tcPr>
            <w:tcW w:w="1746" w:type="dxa"/>
            <w:hideMark/>
          </w:tcPr>
          <w:p w14:paraId="5543249C"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179 338</w:t>
            </w:r>
          </w:p>
        </w:tc>
        <w:tc>
          <w:tcPr>
            <w:tcW w:w="2202" w:type="dxa"/>
            <w:hideMark/>
          </w:tcPr>
          <w:p w14:paraId="0BE061FF"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10 577</w:t>
            </w:r>
          </w:p>
        </w:tc>
      </w:tr>
      <w:tr w:rsidR="00A91CC3" w:rsidRPr="00DC6062" w14:paraId="076F2376" w14:textId="77777777" w:rsidTr="00C154C9">
        <w:trPr>
          <w:jc w:val="center"/>
        </w:trPr>
        <w:tc>
          <w:tcPr>
            <w:tcW w:w="1126" w:type="dxa"/>
            <w:shd w:val="clear" w:color="auto" w:fill="9CC2E5" w:themeFill="accent1" w:themeFillTint="99"/>
            <w:hideMark/>
          </w:tcPr>
          <w:p w14:paraId="6529744D" w14:textId="77777777" w:rsidR="00A91CC3" w:rsidRPr="00DC6062" w:rsidRDefault="00A91CC3" w:rsidP="00961350">
            <w:pPr>
              <w:spacing w:line="240" w:lineRule="auto"/>
              <w:rPr>
                <w:rFonts w:ascii="Times New Roman" w:hAnsi="Times New Roman" w:cs="Times New Roman"/>
                <w:b/>
                <w:sz w:val="20"/>
                <w:szCs w:val="20"/>
              </w:rPr>
            </w:pPr>
            <w:r w:rsidRPr="00DC6062">
              <w:rPr>
                <w:rFonts w:ascii="Times New Roman" w:hAnsi="Times New Roman" w:cs="Times New Roman"/>
                <w:b/>
                <w:sz w:val="20"/>
                <w:szCs w:val="20"/>
              </w:rPr>
              <w:t>2018</w:t>
            </w:r>
          </w:p>
        </w:tc>
        <w:tc>
          <w:tcPr>
            <w:tcW w:w="2002" w:type="dxa"/>
            <w:hideMark/>
          </w:tcPr>
          <w:p w14:paraId="025F90E2" w14:textId="64B08A6A" w:rsidR="00A91CC3" w:rsidRPr="00DC6062" w:rsidRDefault="008F5B60" w:rsidP="00961350">
            <w:pPr>
              <w:spacing w:line="240" w:lineRule="auto"/>
              <w:jc w:val="center"/>
              <w:rPr>
                <w:rFonts w:ascii="Times New Roman" w:hAnsi="Times New Roman" w:cs="Times New Roman"/>
                <w:bCs/>
                <w:sz w:val="20"/>
                <w:szCs w:val="20"/>
              </w:rPr>
            </w:pPr>
            <w:r>
              <w:rPr>
                <w:rFonts w:ascii="Times New Roman" w:hAnsi="Times New Roman" w:cs="Times New Roman"/>
                <w:bCs/>
                <w:sz w:val="20"/>
                <w:szCs w:val="20"/>
              </w:rPr>
              <w:t>324</w:t>
            </w:r>
          </w:p>
        </w:tc>
        <w:tc>
          <w:tcPr>
            <w:tcW w:w="1974" w:type="dxa"/>
            <w:hideMark/>
          </w:tcPr>
          <w:p w14:paraId="2745D896"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37 996 494,49 zł</w:t>
            </w:r>
          </w:p>
        </w:tc>
        <w:tc>
          <w:tcPr>
            <w:tcW w:w="1746" w:type="dxa"/>
            <w:hideMark/>
          </w:tcPr>
          <w:p w14:paraId="3D92CBF6"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106 088</w:t>
            </w:r>
          </w:p>
        </w:tc>
        <w:tc>
          <w:tcPr>
            <w:tcW w:w="2202" w:type="dxa"/>
            <w:hideMark/>
          </w:tcPr>
          <w:p w14:paraId="43A76233"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8 224</w:t>
            </w:r>
          </w:p>
        </w:tc>
      </w:tr>
      <w:tr w:rsidR="00A91CC3" w:rsidRPr="00DC6062" w14:paraId="624DE048" w14:textId="77777777" w:rsidTr="00C154C9">
        <w:trPr>
          <w:jc w:val="center"/>
        </w:trPr>
        <w:tc>
          <w:tcPr>
            <w:tcW w:w="1126" w:type="dxa"/>
            <w:shd w:val="clear" w:color="auto" w:fill="9CC2E5" w:themeFill="accent1" w:themeFillTint="99"/>
            <w:hideMark/>
          </w:tcPr>
          <w:p w14:paraId="4DB00CAE" w14:textId="77777777" w:rsidR="00A91CC3" w:rsidRPr="00DC6062" w:rsidRDefault="00A91CC3" w:rsidP="00961350">
            <w:pPr>
              <w:spacing w:line="240" w:lineRule="auto"/>
              <w:rPr>
                <w:rFonts w:ascii="Times New Roman" w:hAnsi="Times New Roman" w:cs="Times New Roman"/>
                <w:b/>
                <w:sz w:val="20"/>
                <w:szCs w:val="20"/>
              </w:rPr>
            </w:pPr>
            <w:r w:rsidRPr="00DC6062">
              <w:rPr>
                <w:rFonts w:ascii="Times New Roman" w:hAnsi="Times New Roman" w:cs="Times New Roman"/>
                <w:b/>
                <w:sz w:val="20"/>
                <w:szCs w:val="20"/>
              </w:rPr>
              <w:t>2019</w:t>
            </w:r>
          </w:p>
        </w:tc>
        <w:tc>
          <w:tcPr>
            <w:tcW w:w="2002" w:type="dxa"/>
            <w:hideMark/>
          </w:tcPr>
          <w:p w14:paraId="75E34C7E" w14:textId="275B9C95" w:rsidR="00A91CC3" w:rsidRPr="00DC6062" w:rsidRDefault="008F5B60" w:rsidP="00961350">
            <w:pPr>
              <w:spacing w:line="240" w:lineRule="auto"/>
              <w:jc w:val="center"/>
              <w:rPr>
                <w:rFonts w:ascii="Times New Roman" w:hAnsi="Times New Roman" w:cs="Times New Roman"/>
                <w:bCs/>
                <w:sz w:val="20"/>
                <w:szCs w:val="20"/>
              </w:rPr>
            </w:pPr>
            <w:r>
              <w:rPr>
                <w:rFonts w:ascii="Times New Roman" w:hAnsi="Times New Roman" w:cs="Times New Roman"/>
                <w:bCs/>
                <w:sz w:val="20"/>
                <w:szCs w:val="20"/>
              </w:rPr>
              <w:t>310</w:t>
            </w:r>
          </w:p>
        </w:tc>
        <w:tc>
          <w:tcPr>
            <w:tcW w:w="1974" w:type="dxa"/>
            <w:hideMark/>
          </w:tcPr>
          <w:p w14:paraId="2BFA8372" w14:textId="77777777" w:rsidR="00A91CC3" w:rsidRPr="00DC6062" w:rsidRDefault="00A91CC3" w:rsidP="00961350">
            <w:pPr>
              <w:spacing w:line="240" w:lineRule="auto"/>
              <w:jc w:val="center"/>
              <w:rPr>
                <w:rFonts w:ascii="Times New Roman" w:hAnsi="Times New Roman" w:cs="Times New Roman"/>
                <w:bCs/>
                <w:sz w:val="20"/>
                <w:szCs w:val="20"/>
              </w:rPr>
            </w:pPr>
            <w:r w:rsidRPr="00DC6062">
              <w:rPr>
                <w:rFonts w:ascii="Times New Roman" w:hAnsi="Times New Roman" w:cs="Times New Roman"/>
                <w:bCs/>
                <w:sz w:val="20"/>
                <w:szCs w:val="20"/>
              </w:rPr>
              <w:t>37 914 217,57 zł</w:t>
            </w:r>
          </w:p>
        </w:tc>
        <w:tc>
          <w:tcPr>
            <w:tcW w:w="1746" w:type="dxa"/>
            <w:hideMark/>
          </w:tcPr>
          <w:p w14:paraId="4491880D" w14:textId="77777777" w:rsidR="00A91CC3" w:rsidRPr="00DC6062" w:rsidRDefault="00DC6062" w:rsidP="00961350">
            <w:pPr>
              <w:spacing w:after="0" w:line="240" w:lineRule="auto"/>
              <w:jc w:val="center"/>
              <w:rPr>
                <w:rFonts w:ascii="Times New Roman" w:hAnsi="Times New Roman" w:cs="Times New Roman"/>
                <w:bCs/>
                <w:sz w:val="20"/>
                <w:szCs w:val="20"/>
                <w:lang w:eastAsia="pl-PL"/>
              </w:rPr>
            </w:pPr>
            <w:r>
              <w:rPr>
                <w:rFonts w:ascii="Times New Roman" w:hAnsi="Times New Roman" w:cs="Times New Roman"/>
                <w:bCs/>
                <w:sz w:val="20"/>
                <w:szCs w:val="20"/>
                <w:lang w:eastAsia="pl-PL"/>
              </w:rPr>
              <w:t>156 152</w:t>
            </w:r>
          </w:p>
        </w:tc>
        <w:tc>
          <w:tcPr>
            <w:tcW w:w="2202" w:type="dxa"/>
            <w:hideMark/>
          </w:tcPr>
          <w:p w14:paraId="1E1D3A2F" w14:textId="77777777" w:rsidR="00A91CC3" w:rsidRPr="00DC6062" w:rsidRDefault="00DC6062" w:rsidP="00961350">
            <w:pPr>
              <w:spacing w:line="240" w:lineRule="auto"/>
              <w:jc w:val="center"/>
              <w:rPr>
                <w:rFonts w:ascii="Times New Roman" w:hAnsi="Times New Roman" w:cs="Times New Roman"/>
                <w:bCs/>
                <w:sz w:val="20"/>
                <w:szCs w:val="20"/>
                <w:lang w:eastAsia="pl-PL"/>
              </w:rPr>
            </w:pPr>
            <w:r>
              <w:rPr>
                <w:rFonts w:ascii="Times New Roman" w:hAnsi="Times New Roman" w:cs="Times New Roman"/>
                <w:bCs/>
                <w:sz w:val="20"/>
                <w:szCs w:val="20"/>
                <w:lang w:eastAsia="pl-PL"/>
              </w:rPr>
              <w:t>8 685</w:t>
            </w:r>
          </w:p>
        </w:tc>
      </w:tr>
    </w:tbl>
    <w:p w14:paraId="25D89D19" w14:textId="77777777" w:rsidR="00C154C9" w:rsidRDefault="00C154C9" w:rsidP="00727465">
      <w:pPr>
        <w:spacing w:after="0"/>
        <w:jc w:val="both"/>
        <w:rPr>
          <w:rFonts w:ascii="Times New Roman" w:hAnsi="Times New Roman" w:cs="Times New Roman"/>
          <w:b/>
          <w:color w:val="000000"/>
        </w:rPr>
      </w:pPr>
    </w:p>
    <w:p w14:paraId="7F54073F" w14:textId="41FA1DD1" w:rsidR="00727465" w:rsidRDefault="00727465" w:rsidP="00C154C9">
      <w:pPr>
        <w:spacing w:after="0"/>
        <w:jc w:val="both"/>
        <w:rPr>
          <w:rFonts w:ascii="Times New Roman" w:hAnsi="Times New Roman" w:cs="Times New Roman"/>
          <w:sz w:val="24"/>
        </w:rPr>
      </w:pPr>
      <w:r w:rsidRPr="00A91CC3">
        <w:rPr>
          <w:rFonts w:ascii="Times New Roman" w:hAnsi="Times New Roman" w:cs="Times New Roman"/>
          <w:sz w:val="24"/>
        </w:rPr>
        <w:t>Program ASOS jest przedsięwzięciem kompleksowym, uwzględniającym obszary i kierunki wsparcia umożliwiające poprawę jakości i poziomu życia osób starszych dla godnego starzenia się poprzez aktywność społeczną. Program zakłada praktyczne włączenie sektora organizacji pozarządowych do działań służących zaangażowaniu seniorów.</w:t>
      </w:r>
    </w:p>
    <w:p w14:paraId="3356BBCF" w14:textId="77777777" w:rsidR="00C154C9" w:rsidRPr="00C154C9" w:rsidRDefault="00C154C9" w:rsidP="00C154C9">
      <w:pPr>
        <w:spacing w:after="0"/>
        <w:jc w:val="both"/>
        <w:rPr>
          <w:rFonts w:ascii="Times New Roman" w:hAnsi="Times New Roman" w:cs="Times New Roman"/>
          <w:sz w:val="24"/>
        </w:rPr>
      </w:pPr>
    </w:p>
    <w:p w14:paraId="55A6FF3C" w14:textId="77777777" w:rsidR="005411EC" w:rsidRPr="002B5542" w:rsidRDefault="005411EC" w:rsidP="003C1988">
      <w:pPr>
        <w:pStyle w:val="Akapitzlist"/>
        <w:spacing w:after="0"/>
        <w:ind w:left="0"/>
        <w:rPr>
          <w:rFonts w:ascii="Times New Roman" w:hAnsi="Times New Roman" w:cs="Times New Roman"/>
          <w:color w:val="00B0F0"/>
          <w:sz w:val="24"/>
          <w:szCs w:val="24"/>
        </w:rPr>
      </w:pPr>
      <w:r w:rsidRPr="002B5542">
        <w:rPr>
          <w:rFonts w:ascii="Times New Roman" w:eastAsia="Calibri" w:hAnsi="Times New Roman" w:cs="Times New Roman"/>
          <w:b/>
          <w:color w:val="00B0F0"/>
          <w:sz w:val="24"/>
          <w:szCs w:val="24"/>
        </w:rPr>
        <w:t>Program „Opieka 75+”</w:t>
      </w:r>
    </w:p>
    <w:p w14:paraId="029A8AAD" w14:textId="77777777" w:rsidR="00F95E75" w:rsidRDefault="005411EC" w:rsidP="00F95E75">
      <w:pPr>
        <w:spacing w:after="0"/>
        <w:jc w:val="both"/>
        <w:rPr>
          <w:rFonts w:ascii="Times New Roman" w:eastAsia="Calibri" w:hAnsi="Times New Roman" w:cs="Times New Roman"/>
          <w:sz w:val="24"/>
          <w:szCs w:val="24"/>
        </w:rPr>
      </w:pPr>
      <w:r w:rsidRPr="005411EC">
        <w:rPr>
          <w:rFonts w:ascii="Times New Roman" w:hAnsi="Times New Roman" w:cs="Times New Roman"/>
          <w:sz w:val="24"/>
          <w:szCs w:val="24"/>
        </w:rPr>
        <w:t xml:space="preserve">Program „Opieka 75+” jest odpowiedzią na wyzwania jakie stawiają przed Polską zachodzące procesy demograficzne, dlatego skierowany jest do osób starszych w wieku 75 lat i więcej, które mieszkają na terenie małych gmin. </w:t>
      </w:r>
      <w:r w:rsidRPr="005411EC">
        <w:rPr>
          <w:rFonts w:ascii="Times New Roman" w:eastAsia="Calibri" w:hAnsi="Times New Roman" w:cs="Times New Roman"/>
          <w:sz w:val="24"/>
          <w:szCs w:val="24"/>
        </w:rPr>
        <w:t>Corocznie obserwuje się wzrost liczby osób korzystających z usług opiekuńczych. Z analizy rocznych sprawozdań resortowych MRPiPS - 03 wynika, że w gminach wiejskich, miejskich oraz miejsko – wiejskich następuje wzrost liczby osób, którym w drodze decyzji administracyjnych pr</w:t>
      </w:r>
      <w:r w:rsidR="00F95E75">
        <w:rPr>
          <w:rFonts w:ascii="Times New Roman" w:eastAsia="Calibri" w:hAnsi="Times New Roman" w:cs="Times New Roman"/>
          <w:sz w:val="24"/>
          <w:szCs w:val="24"/>
        </w:rPr>
        <w:t xml:space="preserve">zyznaje się usługi opiekuńcze. </w:t>
      </w:r>
    </w:p>
    <w:p w14:paraId="7DC6B535" w14:textId="77777777" w:rsidR="00F95E75" w:rsidRDefault="00F95E75" w:rsidP="00F95E75">
      <w:pPr>
        <w:spacing w:after="0"/>
        <w:jc w:val="both"/>
        <w:rPr>
          <w:rFonts w:ascii="Times New Roman" w:eastAsia="Calibri" w:hAnsi="Times New Roman" w:cs="Times New Roman"/>
          <w:sz w:val="24"/>
          <w:szCs w:val="24"/>
        </w:rPr>
      </w:pPr>
    </w:p>
    <w:p w14:paraId="4B22B275" w14:textId="77777777" w:rsidR="005411EC" w:rsidRPr="00F95E75" w:rsidRDefault="005411EC" w:rsidP="00F95E75">
      <w:pPr>
        <w:spacing w:after="0"/>
        <w:jc w:val="both"/>
        <w:rPr>
          <w:rFonts w:ascii="Times New Roman" w:eastAsia="Calibri" w:hAnsi="Times New Roman" w:cs="Times New Roman"/>
          <w:sz w:val="24"/>
          <w:szCs w:val="24"/>
        </w:rPr>
      </w:pPr>
      <w:r w:rsidRPr="005411EC">
        <w:rPr>
          <w:rFonts w:ascii="Times New Roman" w:hAnsi="Times New Roman" w:cs="Times New Roman"/>
          <w:sz w:val="24"/>
          <w:szCs w:val="24"/>
        </w:rPr>
        <w:t>Program „Opieka 75+” realizowany jest od stycznia 2018 r. i jest adresowany do gmin miejskich, wiejskich, miejsko – wiejskich do 60 tys. mieszkańców.</w:t>
      </w:r>
      <w:r w:rsidR="00F95E75">
        <w:rPr>
          <w:rFonts w:ascii="Times New Roman" w:eastAsia="Calibri" w:hAnsi="Times New Roman" w:cs="Times New Roman"/>
          <w:sz w:val="24"/>
          <w:szCs w:val="24"/>
        </w:rPr>
        <w:t xml:space="preserve"> </w:t>
      </w:r>
      <w:r w:rsidRPr="005411EC">
        <w:rPr>
          <w:rFonts w:ascii="Times New Roman" w:hAnsi="Times New Roman" w:cs="Times New Roman"/>
          <w:sz w:val="24"/>
          <w:szCs w:val="24"/>
        </w:rPr>
        <w:t xml:space="preserve">Gminy, które przystąpią do realizacji programu uzyskają finansowe wsparcie do 50% przewidywanych kosztów realizacji zadania w zakresie realizacji  usług opiekuńczych, w tym specjalistycznych usług opiekuńczych, dla osób spełniających kryteria określone w programie. </w:t>
      </w:r>
    </w:p>
    <w:p w14:paraId="0D251B2F" w14:textId="77777777" w:rsidR="005411EC" w:rsidRDefault="005411EC" w:rsidP="00F95E75">
      <w:pPr>
        <w:spacing w:after="0"/>
        <w:jc w:val="both"/>
        <w:rPr>
          <w:rFonts w:ascii="Times New Roman" w:hAnsi="Times New Roman" w:cs="Times New Roman"/>
          <w:sz w:val="24"/>
          <w:szCs w:val="24"/>
        </w:rPr>
      </w:pPr>
    </w:p>
    <w:p w14:paraId="63908408" w14:textId="77777777" w:rsidR="005411EC" w:rsidRPr="005411EC" w:rsidRDefault="005411EC" w:rsidP="00F95E75">
      <w:pPr>
        <w:spacing w:after="0"/>
        <w:jc w:val="both"/>
        <w:rPr>
          <w:rFonts w:ascii="Times New Roman" w:hAnsi="Times New Roman" w:cs="Times New Roman"/>
          <w:sz w:val="24"/>
          <w:szCs w:val="24"/>
        </w:rPr>
      </w:pPr>
      <w:r w:rsidRPr="005411EC">
        <w:rPr>
          <w:rFonts w:ascii="Times New Roman" w:hAnsi="Times New Roman" w:cs="Times New Roman"/>
          <w:sz w:val="24"/>
          <w:szCs w:val="24"/>
        </w:rPr>
        <w:t>W ramach programu gmina może skorzystać z dofinansowania ze środków budżetu państwa na świadczenie usług opiekuńczych, w tym specjalistycznych usług opiekuńczych, jeżeli:</w:t>
      </w:r>
    </w:p>
    <w:p w14:paraId="3A261C52" w14:textId="77777777" w:rsidR="005411EC" w:rsidRPr="005411EC" w:rsidRDefault="005411EC" w:rsidP="008C71A9">
      <w:pPr>
        <w:pStyle w:val="Akapitzlist"/>
        <w:numPr>
          <w:ilvl w:val="0"/>
          <w:numId w:val="300"/>
        </w:numPr>
        <w:spacing w:after="0"/>
        <w:ind w:left="360"/>
        <w:jc w:val="both"/>
        <w:rPr>
          <w:rFonts w:ascii="Times New Roman" w:hAnsi="Times New Roman" w:cs="Times New Roman"/>
          <w:sz w:val="24"/>
          <w:szCs w:val="24"/>
        </w:rPr>
      </w:pPr>
      <w:r w:rsidRPr="005411EC">
        <w:rPr>
          <w:rFonts w:ascii="Times New Roman" w:hAnsi="Times New Roman" w:cs="Times New Roman"/>
          <w:sz w:val="24"/>
          <w:szCs w:val="24"/>
        </w:rPr>
        <w:lastRenderedPageBreak/>
        <w:t xml:space="preserve">dane świadczenie realizuje samodzielnie, tj. przez pracowników ośrodka pomocy społecznej, urzędu gminy lub innych gminnych jednostek organizacyjnych </w:t>
      </w:r>
      <w:r w:rsidR="00961350">
        <w:rPr>
          <w:rFonts w:ascii="Times New Roman" w:hAnsi="Times New Roman" w:cs="Times New Roman"/>
          <w:sz w:val="24"/>
          <w:szCs w:val="24"/>
        </w:rPr>
        <w:t xml:space="preserve">(zatrudnionych na umowę </w:t>
      </w:r>
      <w:r w:rsidRPr="005411EC">
        <w:rPr>
          <w:rFonts w:ascii="Times New Roman" w:hAnsi="Times New Roman" w:cs="Times New Roman"/>
          <w:sz w:val="24"/>
          <w:szCs w:val="24"/>
        </w:rPr>
        <w:t>o pracę) lub</w:t>
      </w:r>
    </w:p>
    <w:p w14:paraId="63194177" w14:textId="77777777" w:rsidR="005411EC" w:rsidRPr="005411EC" w:rsidRDefault="005411EC" w:rsidP="008C71A9">
      <w:pPr>
        <w:pStyle w:val="Akapitzlist"/>
        <w:numPr>
          <w:ilvl w:val="0"/>
          <w:numId w:val="300"/>
        </w:numPr>
        <w:spacing w:after="0"/>
        <w:ind w:left="360"/>
        <w:jc w:val="both"/>
        <w:rPr>
          <w:rFonts w:ascii="Times New Roman" w:hAnsi="Times New Roman" w:cs="Times New Roman"/>
          <w:sz w:val="24"/>
          <w:szCs w:val="24"/>
        </w:rPr>
      </w:pPr>
      <w:r w:rsidRPr="005411EC">
        <w:rPr>
          <w:rFonts w:ascii="Times New Roman" w:hAnsi="Times New Roman" w:cs="Times New Roman"/>
          <w:sz w:val="24"/>
          <w:szCs w:val="24"/>
        </w:rPr>
        <w:t>zleca realizację przedmiotowego zadania organizacjom pozarządowym lub</w:t>
      </w:r>
    </w:p>
    <w:p w14:paraId="5AF15D9A" w14:textId="77777777" w:rsidR="005411EC" w:rsidRPr="00F95E75" w:rsidRDefault="005411EC" w:rsidP="008C71A9">
      <w:pPr>
        <w:pStyle w:val="Akapitzlist"/>
        <w:numPr>
          <w:ilvl w:val="0"/>
          <w:numId w:val="300"/>
        </w:numPr>
        <w:spacing w:after="0"/>
        <w:ind w:left="360"/>
        <w:jc w:val="both"/>
        <w:rPr>
          <w:rFonts w:ascii="Times New Roman" w:hAnsi="Times New Roman" w:cs="Times New Roman"/>
          <w:sz w:val="24"/>
          <w:szCs w:val="24"/>
        </w:rPr>
      </w:pPr>
      <w:r w:rsidRPr="00F95E75">
        <w:rPr>
          <w:rFonts w:ascii="Times New Roman" w:hAnsi="Times New Roman" w:cs="Times New Roman"/>
          <w:sz w:val="24"/>
          <w:szCs w:val="24"/>
        </w:rPr>
        <w:t>kupuje usługi opiekuńcze od podmiotów sektora prywatnego.</w:t>
      </w:r>
    </w:p>
    <w:p w14:paraId="78A0C1F2" w14:textId="77777777" w:rsidR="005411EC" w:rsidRDefault="005411EC" w:rsidP="00F95E75">
      <w:pPr>
        <w:autoSpaceDE w:val="0"/>
        <w:autoSpaceDN w:val="0"/>
        <w:adjustRightInd w:val="0"/>
        <w:spacing w:after="0"/>
        <w:ind w:left="360" w:hanging="360"/>
        <w:jc w:val="both"/>
        <w:rPr>
          <w:rFonts w:ascii="Times New Roman" w:eastAsia="Calibri" w:hAnsi="Times New Roman" w:cs="Times New Roman"/>
          <w:sz w:val="24"/>
          <w:szCs w:val="24"/>
        </w:rPr>
      </w:pPr>
    </w:p>
    <w:p w14:paraId="4A3D5B6C" w14:textId="77777777" w:rsidR="005411EC" w:rsidRPr="005411EC" w:rsidRDefault="005411EC" w:rsidP="00F95E75">
      <w:pPr>
        <w:autoSpaceDE w:val="0"/>
        <w:autoSpaceDN w:val="0"/>
        <w:adjustRightInd w:val="0"/>
        <w:spacing w:after="0"/>
        <w:ind w:hanging="360"/>
        <w:jc w:val="both"/>
        <w:rPr>
          <w:rFonts w:ascii="Times New Roman" w:eastAsia="Calibri" w:hAnsi="Times New Roman" w:cs="Times New Roman"/>
          <w:sz w:val="24"/>
          <w:szCs w:val="24"/>
        </w:rPr>
      </w:pPr>
      <w:r w:rsidRPr="005411EC">
        <w:rPr>
          <w:rFonts w:ascii="Times New Roman" w:eastAsia="Calibri" w:hAnsi="Times New Roman" w:cs="Times New Roman"/>
          <w:sz w:val="24"/>
          <w:szCs w:val="24"/>
        </w:rPr>
        <w:t>Środki finansowe z programu mogą być przeznaczone na:</w:t>
      </w:r>
    </w:p>
    <w:p w14:paraId="2EE9177A" w14:textId="77777777" w:rsidR="005411EC" w:rsidRPr="005411EC" w:rsidRDefault="005411EC" w:rsidP="008C71A9">
      <w:pPr>
        <w:pStyle w:val="Akapitzlist"/>
        <w:numPr>
          <w:ilvl w:val="0"/>
          <w:numId w:val="220"/>
        </w:numPr>
        <w:spacing w:after="0"/>
        <w:ind w:left="284" w:hanging="284"/>
        <w:jc w:val="both"/>
        <w:rPr>
          <w:rFonts w:ascii="Times New Roman" w:hAnsi="Times New Roman" w:cs="Times New Roman"/>
          <w:sz w:val="24"/>
          <w:szCs w:val="24"/>
        </w:rPr>
      </w:pPr>
      <w:r w:rsidRPr="005411EC">
        <w:rPr>
          <w:rFonts w:ascii="Times New Roman" w:hAnsi="Times New Roman" w:cs="Times New Roman"/>
          <w:sz w:val="24"/>
          <w:szCs w:val="24"/>
        </w:rPr>
        <w:t>dofinansowanie usług opiekuńczych, w tym specjalistycznych usług opiekuńczych dla osób, którym przedmiotowe usługi były świadczone w ramach progra</w:t>
      </w:r>
      <w:r w:rsidR="00041053">
        <w:rPr>
          <w:rFonts w:ascii="Times New Roman" w:hAnsi="Times New Roman" w:cs="Times New Roman"/>
          <w:sz w:val="24"/>
          <w:szCs w:val="24"/>
        </w:rPr>
        <w:t xml:space="preserve">mu i są one kontynuowane </w:t>
      </w:r>
      <w:r w:rsidR="00041053">
        <w:rPr>
          <w:rFonts w:ascii="Times New Roman" w:hAnsi="Times New Roman" w:cs="Times New Roman"/>
          <w:sz w:val="24"/>
          <w:szCs w:val="24"/>
        </w:rPr>
        <w:br/>
        <w:t>w</w:t>
      </w:r>
      <w:r w:rsidRPr="005411EC">
        <w:rPr>
          <w:rFonts w:ascii="Times New Roman" w:hAnsi="Times New Roman" w:cs="Times New Roman"/>
          <w:sz w:val="24"/>
          <w:szCs w:val="24"/>
        </w:rPr>
        <w:t xml:space="preserve"> 2020</w:t>
      </w:r>
      <w:r w:rsidR="00041053">
        <w:rPr>
          <w:rFonts w:ascii="Times New Roman" w:hAnsi="Times New Roman" w:cs="Times New Roman"/>
          <w:sz w:val="24"/>
          <w:szCs w:val="24"/>
        </w:rPr>
        <w:t xml:space="preserve"> r.</w:t>
      </w:r>
      <w:r w:rsidRPr="005411EC">
        <w:rPr>
          <w:rFonts w:ascii="Times New Roman" w:hAnsi="Times New Roman" w:cs="Times New Roman"/>
          <w:sz w:val="24"/>
          <w:szCs w:val="24"/>
        </w:rPr>
        <w:t>,</w:t>
      </w:r>
    </w:p>
    <w:p w14:paraId="3F36639C" w14:textId="77777777" w:rsidR="005411EC" w:rsidRPr="005411EC" w:rsidRDefault="005411EC" w:rsidP="008C71A9">
      <w:pPr>
        <w:pStyle w:val="Akapitzlist"/>
        <w:numPr>
          <w:ilvl w:val="0"/>
          <w:numId w:val="219"/>
        </w:numPr>
        <w:spacing w:after="0"/>
        <w:ind w:left="284" w:hanging="284"/>
        <w:jc w:val="both"/>
        <w:rPr>
          <w:rFonts w:ascii="Times New Roman" w:hAnsi="Times New Roman" w:cs="Times New Roman"/>
          <w:sz w:val="24"/>
          <w:szCs w:val="24"/>
        </w:rPr>
      </w:pPr>
      <w:r w:rsidRPr="005411EC">
        <w:rPr>
          <w:rFonts w:ascii="Times New Roman" w:hAnsi="Times New Roman" w:cs="Times New Roman"/>
          <w:sz w:val="24"/>
          <w:szCs w:val="24"/>
        </w:rPr>
        <w:t>dofinansowanie usług opiekuńczych lub specjalistycznych usług</w:t>
      </w:r>
      <w:r w:rsidR="00041053">
        <w:rPr>
          <w:rFonts w:ascii="Times New Roman" w:hAnsi="Times New Roman" w:cs="Times New Roman"/>
          <w:sz w:val="24"/>
          <w:szCs w:val="24"/>
        </w:rPr>
        <w:t xml:space="preserve"> opiekuńczych osobom, którym w</w:t>
      </w:r>
      <w:r w:rsidRPr="005411EC">
        <w:rPr>
          <w:rFonts w:ascii="Times New Roman" w:hAnsi="Times New Roman" w:cs="Times New Roman"/>
          <w:sz w:val="24"/>
          <w:szCs w:val="24"/>
        </w:rPr>
        <w:t xml:space="preserve"> 2019</w:t>
      </w:r>
      <w:r w:rsidR="00041053">
        <w:rPr>
          <w:rFonts w:ascii="Times New Roman" w:hAnsi="Times New Roman" w:cs="Times New Roman"/>
          <w:sz w:val="24"/>
          <w:szCs w:val="24"/>
        </w:rPr>
        <w:t xml:space="preserve"> r.</w:t>
      </w:r>
      <w:r w:rsidRPr="005411EC">
        <w:rPr>
          <w:rFonts w:ascii="Times New Roman" w:hAnsi="Times New Roman" w:cs="Times New Roman"/>
          <w:sz w:val="24"/>
          <w:szCs w:val="24"/>
        </w:rPr>
        <w:t xml:space="preserve"> nie były one świadczone, </w:t>
      </w:r>
    </w:p>
    <w:p w14:paraId="24982BAB" w14:textId="77777777" w:rsidR="005411EC" w:rsidRPr="005411EC" w:rsidRDefault="005411EC" w:rsidP="008C71A9">
      <w:pPr>
        <w:pStyle w:val="Akapitzlist"/>
        <w:numPr>
          <w:ilvl w:val="0"/>
          <w:numId w:val="219"/>
        </w:numPr>
        <w:spacing w:after="0"/>
        <w:ind w:left="284" w:hanging="284"/>
        <w:jc w:val="both"/>
        <w:rPr>
          <w:rFonts w:ascii="Times New Roman" w:hAnsi="Times New Roman" w:cs="Times New Roman"/>
          <w:sz w:val="24"/>
          <w:szCs w:val="24"/>
        </w:rPr>
      </w:pPr>
      <w:r w:rsidRPr="005411EC">
        <w:rPr>
          <w:rFonts w:ascii="Times New Roman" w:hAnsi="Times New Roman" w:cs="Times New Roman"/>
          <w:sz w:val="24"/>
          <w:szCs w:val="24"/>
        </w:rPr>
        <w:t>dofinansowanie do zwiększenia liczby godzin usług opiekuńczych, w tym specjalistycznych usług opiekuńczych dla osób w wieku 75 lat i więcej.</w:t>
      </w:r>
    </w:p>
    <w:p w14:paraId="7CD00A59" w14:textId="77777777" w:rsidR="005411EC" w:rsidRDefault="005411EC" w:rsidP="00F95E75">
      <w:pPr>
        <w:spacing w:after="0"/>
        <w:jc w:val="both"/>
        <w:rPr>
          <w:rFonts w:ascii="Times New Roman" w:eastAsiaTheme="minorEastAsia" w:hAnsi="Times New Roman" w:cs="Times New Roman"/>
          <w:sz w:val="24"/>
          <w:szCs w:val="24"/>
        </w:rPr>
      </w:pPr>
    </w:p>
    <w:p w14:paraId="5429E042" w14:textId="77777777" w:rsidR="005411EC" w:rsidRPr="005411EC" w:rsidRDefault="005411EC" w:rsidP="00F95E75">
      <w:pPr>
        <w:spacing w:after="0"/>
        <w:jc w:val="both"/>
        <w:rPr>
          <w:rFonts w:ascii="Times New Roman" w:hAnsi="Times New Roman" w:cs="Times New Roman"/>
          <w:color w:val="FF0000"/>
          <w:sz w:val="24"/>
          <w:szCs w:val="24"/>
        </w:rPr>
      </w:pPr>
      <w:r w:rsidRPr="005411EC">
        <w:rPr>
          <w:rFonts w:ascii="Times New Roman" w:eastAsiaTheme="minorEastAsia" w:hAnsi="Times New Roman" w:cs="Times New Roman"/>
          <w:sz w:val="24"/>
          <w:szCs w:val="24"/>
        </w:rPr>
        <w:t>Z analizy sprawozdań rocznych z realizacji przedmiotowego programu przesłanych przez wojewodów wynika, że w 2019</w:t>
      </w:r>
      <w:r w:rsidR="00041053">
        <w:rPr>
          <w:rFonts w:ascii="Times New Roman" w:eastAsiaTheme="minorEastAsia" w:hAnsi="Times New Roman" w:cs="Times New Roman"/>
          <w:sz w:val="24"/>
          <w:szCs w:val="24"/>
        </w:rPr>
        <w:t xml:space="preserve"> r.</w:t>
      </w:r>
      <w:r w:rsidRPr="005411EC">
        <w:rPr>
          <w:rFonts w:ascii="Times New Roman" w:eastAsiaTheme="minorEastAsia" w:hAnsi="Times New Roman" w:cs="Times New Roman"/>
          <w:sz w:val="24"/>
          <w:szCs w:val="24"/>
        </w:rPr>
        <w:t>, program realizowało 435 gmin z usługami dla 5 143 osób na kwotę 9 671 561 zł.</w:t>
      </w:r>
    </w:p>
    <w:p w14:paraId="658D1B6A" w14:textId="77777777" w:rsidR="005411EC" w:rsidRDefault="005411EC" w:rsidP="00F95E75">
      <w:pPr>
        <w:pStyle w:val="Tekstpodstawowy"/>
        <w:spacing w:after="0" w:line="276" w:lineRule="auto"/>
        <w:jc w:val="both"/>
        <w:rPr>
          <w:rFonts w:ascii="Times New Roman" w:hAnsi="Times New Roman" w:cs="Times New Roman"/>
        </w:rPr>
      </w:pPr>
    </w:p>
    <w:p w14:paraId="7161B0BC" w14:textId="77777777" w:rsidR="005411EC" w:rsidRPr="005411EC" w:rsidRDefault="005411EC" w:rsidP="00F95E75">
      <w:pPr>
        <w:pStyle w:val="Tekstpodstawowy"/>
        <w:spacing w:after="0" w:line="276" w:lineRule="auto"/>
        <w:jc w:val="both"/>
        <w:rPr>
          <w:rFonts w:ascii="Times New Roman" w:hAnsi="Times New Roman" w:cs="Times New Roman"/>
        </w:rPr>
      </w:pPr>
      <w:r w:rsidRPr="005411EC">
        <w:rPr>
          <w:rFonts w:ascii="Times New Roman" w:hAnsi="Times New Roman" w:cs="Times New Roman"/>
        </w:rPr>
        <w:t>Zgodnie ze statystycznymi  danymi resortowymi, pomoc w formie usług opiekuńczych ogółem, realizowana w ramach zadań własnych gminy o charakterze obowiązkowym, w 2019 r.</w:t>
      </w:r>
      <w:r w:rsidRPr="005411EC">
        <w:rPr>
          <w:rStyle w:val="Odwoanieprzypisudolnego"/>
          <w:rFonts w:ascii="Times New Roman" w:hAnsi="Times New Roman" w:cs="Times New Roman"/>
        </w:rPr>
        <w:footnoteReference w:id="26"/>
      </w:r>
      <w:r w:rsidRPr="005411EC">
        <w:rPr>
          <w:rFonts w:ascii="Times New Roman" w:hAnsi="Times New Roman" w:cs="Times New Roman"/>
        </w:rPr>
        <w:t xml:space="preserve"> została przyznana w drodze decyzji administracyjnych łącznie dla 119 tys. osób, w tym dla 6,7 tys. osób w formie specjalistycznych usług zamieszkania (z wyłączeniem specjalistycznych usług opiekuńczych w miejscu zamieszkania dla osób z zaburzeniami psychicznymi). W porównaniu do danych za 2018 r. liczba beneficjentów usług opiekuńczych ogółem w 2019 r. wzrosła o 5,7% (z ok. 113 tys. osób w 2018 r. do 119 tys. osób w 2019 r.), w tym beneficjentów specjalistycznych usług opiekuńczych w miejscu zamieszkania o 11,9% (z 5,9 tys. osób w 2018 r. do 6,7 tys. osób w 2019 r.). Na usługi opiekuńcze ogółem w 2019 r.  zabezpieczono na poziomie gmin (jak wynika z wydanych decyzji administracyjnych)  683 mln zł, to o 11,1% więcej niż w 2018</w:t>
      </w:r>
      <w:r w:rsidR="00041053">
        <w:rPr>
          <w:rFonts w:ascii="Times New Roman" w:hAnsi="Times New Roman" w:cs="Times New Roman"/>
        </w:rPr>
        <w:t xml:space="preserve"> r.</w:t>
      </w:r>
      <w:r w:rsidRPr="005411EC">
        <w:rPr>
          <w:rFonts w:ascii="Times New Roman" w:hAnsi="Times New Roman" w:cs="Times New Roman"/>
        </w:rPr>
        <w:t xml:space="preserve"> (615 mln zł), w tym na specjalistyczne usługi opiekuńcze – 31 mln zł, co stanowi wzrost o 16,5% w stosunku do 2018 r. (ok. 27 mln zł). </w:t>
      </w:r>
    </w:p>
    <w:p w14:paraId="4BC60678" w14:textId="77777777" w:rsidR="005411EC" w:rsidRDefault="005411EC" w:rsidP="00F95E75">
      <w:pPr>
        <w:pStyle w:val="Tekstpodstawowy"/>
        <w:spacing w:after="0" w:line="276" w:lineRule="auto"/>
        <w:jc w:val="both"/>
        <w:rPr>
          <w:rFonts w:ascii="Times New Roman" w:hAnsi="Times New Roman" w:cs="Times New Roman"/>
        </w:rPr>
      </w:pPr>
    </w:p>
    <w:p w14:paraId="06F31246" w14:textId="77777777" w:rsidR="005411EC" w:rsidRPr="005411EC" w:rsidRDefault="005411EC" w:rsidP="00F95E75">
      <w:pPr>
        <w:pStyle w:val="Tekstpodstawowy"/>
        <w:spacing w:after="0" w:line="276" w:lineRule="auto"/>
        <w:jc w:val="both"/>
        <w:rPr>
          <w:rFonts w:ascii="Times New Roman" w:hAnsi="Times New Roman" w:cs="Times New Roman"/>
          <w:strike/>
        </w:rPr>
      </w:pPr>
      <w:r w:rsidRPr="005411EC">
        <w:rPr>
          <w:rFonts w:ascii="Times New Roman" w:hAnsi="Times New Roman" w:cs="Times New Roman"/>
        </w:rPr>
        <w:t>Pomoc w formie specjalistycznych usług opiekuńczych w miejscu zamieszkania dla osób z zaburzeniami psychicznymi, realizowaną przez gminy w ramach zadań z zakres</w:t>
      </w:r>
      <w:r w:rsidR="00261282">
        <w:rPr>
          <w:rFonts w:ascii="Times New Roman" w:hAnsi="Times New Roman" w:cs="Times New Roman"/>
        </w:rPr>
        <w:t>u administracji rządowej, w</w:t>
      </w:r>
      <w:r w:rsidRPr="005411EC">
        <w:rPr>
          <w:rFonts w:ascii="Times New Roman" w:hAnsi="Times New Roman" w:cs="Times New Roman"/>
        </w:rPr>
        <w:t xml:space="preserve"> 2019 </w:t>
      </w:r>
      <w:r w:rsidR="00261282">
        <w:rPr>
          <w:rFonts w:ascii="Times New Roman" w:hAnsi="Times New Roman" w:cs="Times New Roman"/>
        </w:rPr>
        <w:t xml:space="preserve">r. </w:t>
      </w:r>
      <w:r w:rsidRPr="005411EC">
        <w:rPr>
          <w:rFonts w:ascii="Times New Roman" w:hAnsi="Times New Roman" w:cs="Times New Roman"/>
        </w:rPr>
        <w:t>przyznano 15,5 tys. osobom, co w porównaniu do liczby os</w:t>
      </w:r>
      <w:r w:rsidR="00261282">
        <w:rPr>
          <w:rFonts w:ascii="Times New Roman" w:hAnsi="Times New Roman" w:cs="Times New Roman"/>
        </w:rPr>
        <w:t xml:space="preserve">ób objętych tymi usługami w </w:t>
      </w:r>
      <w:r w:rsidRPr="005411EC">
        <w:rPr>
          <w:rFonts w:ascii="Times New Roman" w:hAnsi="Times New Roman" w:cs="Times New Roman"/>
        </w:rPr>
        <w:t xml:space="preserve"> 2018 </w:t>
      </w:r>
      <w:r w:rsidR="00261282">
        <w:rPr>
          <w:rFonts w:ascii="Times New Roman" w:hAnsi="Times New Roman" w:cs="Times New Roman"/>
        </w:rPr>
        <w:t xml:space="preserve">r. </w:t>
      </w:r>
      <w:r w:rsidRPr="005411EC">
        <w:rPr>
          <w:rFonts w:ascii="Times New Roman" w:hAnsi="Times New Roman" w:cs="Times New Roman"/>
        </w:rPr>
        <w:t>(14,9 tys. osób) daje wzrost w wysokości 3,8%. Na realizację przedmiotowych usług w 2019 r. przeznaczono</w:t>
      </w:r>
      <w:r w:rsidR="00261282">
        <w:rPr>
          <w:rFonts w:ascii="Times New Roman" w:hAnsi="Times New Roman" w:cs="Times New Roman"/>
        </w:rPr>
        <w:t xml:space="preserve"> 137 mln zł, co stanowi wzrost </w:t>
      </w:r>
      <w:r w:rsidRPr="005411EC">
        <w:rPr>
          <w:rFonts w:ascii="Times New Roman" w:hAnsi="Times New Roman" w:cs="Times New Roman"/>
        </w:rPr>
        <w:t>o 15,2% w porównaniu do danych za 2018 r. (ok. 119 mln zł).</w:t>
      </w:r>
      <w:r w:rsidRPr="005411EC">
        <w:rPr>
          <w:rFonts w:ascii="Times New Roman" w:hAnsi="Times New Roman" w:cs="Times New Roman"/>
          <w:strike/>
        </w:rPr>
        <w:t xml:space="preserve"> </w:t>
      </w:r>
    </w:p>
    <w:p w14:paraId="3610B164" w14:textId="77777777" w:rsidR="005411EC" w:rsidRDefault="005411EC" w:rsidP="00F95E75">
      <w:pPr>
        <w:pStyle w:val="Tekstpodstawowy"/>
        <w:spacing w:after="0" w:line="276" w:lineRule="auto"/>
        <w:jc w:val="both"/>
        <w:rPr>
          <w:rFonts w:ascii="Times New Roman" w:hAnsi="Times New Roman" w:cs="Times New Roman"/>
          <w:u w:val="single"/>
        </w:rPr>
      </w:pPr>
    </w:p>
    <w:p w14:paraId="39721861" w14:textId="77777777" w:rsidR="005411EC" w:rsidRPr="00395AE6" w:rsidRDefault="005411EC" w:rsidP="00F95E75">
      <w:pPr>
        <w:pStyle w:val="Tekstpodstawowy"/>
        <w:spacing w:after="0" w:line="276" w:lineRule="auto"/>
        <w:jc w:val="both"/>
        <w:rPr>
          <w:rFonts w:ascii="Times New Roman" w:hAnsi="Times New Roman" w:cs="Times New Roman"/>
        </w:rPr>
      </w:pPr>
      <w:r w:rsidRPr="00395AE6">
        <w:rPr>
          <w:rFonts w:ascii="Times New Roman" w:hAnsi="Times New Roman" w:cs="Times New Roman"/>
        </w:rPr>
        <w:lastRenderedPageBreak/>
        <w:t>Niestety grupa osób starszych nie jest wyodrębnioną grupą z sprawozdawczości, stąd brak jest danych dotyczących liczby seniorów, którzy skorzystali z pomocy w formie ww. usług. Dlatego też wszystkie dane w przedmiotowej informacji dotyczą liczby osób ogółem.</w:t>
      </w:r>
    </w:p>
    <w:p w14:paraId="691E0CEA" w14:textId="77777777" w:rsidR="005411EC" w:rsidRDefault="005411EC" w:rsidP="00F95E75">
      <w:pPr>
        <w:pStyle w:val="Tekstpodstawowy"/>
        <w:spacing w:after="0" w:line="276" w:lineRule="auto"/>
        <w:jc w:val="both"/>
        <w:rPr>
          <w:rFonts w:ascii="Times New Roman" w:hAnsi="Times New Roman" w:cs="Times New Roman"/>
        </w:rPr>
      </w:pPr>
    </w:p>
    <w:p w14:paraId="40E25861" w14:textId="77777777" w:rsidR="005411EC" w:rsidRPr="005411EC" w:rsidRDefault="005411EC" w:rsidP="00F95E75">
      <w:pPr>
        <w:pStyle w:val="Tekstpodstawowy"/>
        <w:spacing w:after="0" w:line="276" w:lineRule="auto"/>
        <w:jc w:val="both"/>
        <w:rPr>
          <w:rFonts w:ascii="Times New Roman" w:hAnsi="Times New Roman" w:cs="Times New Roman"/>
        </w:rPr>
      </w:pPr>
      <w:r w:rsidRPr="005411EC">
        <w:rPr>
          <w:rFonts w:ascii="Times New Roman" w:hAnsi="Times New Roman" w:cs="Times New Roman"/>
        </w:rPr>
        <w:t xml:space="preserve">W związku z wprowadzeniem programu „Opieka 75+” wzrosła o ok. 3% liczba gmin, które świadczą usługi opiekuńcze (z 2 083 </w:t>
      </w:r>
      <w:r w:rsidR="00395AE6">
        <w:rPr>
          <w:rFonts w:ascii="Times New Roman" w:hAnsi="Times New Roman" w:cs="Times New Roman"/>
        </w:rPr>
        <w:t>gmin w 2017 r. do 2 142 gmin w</w:t>
      </w:r>
      <w:r w:rsidRPr="005411EC">
        <w:rPr>
          <w:rFonts w:ascii="Times New Roman" w:hAnsi="Times New Roman" w:cs="Times New Roman"/>
        </w:rPr>
        <w:t xml:space="preserve"> 2018</w:t>
      </w:r>
      <w:r w:rsidR="00395AE6">
        <w:rPr>
          <w:rFonts w:ascii="Times New Roman" w:hAnsi="Times New Roman" w:cs="Times New Roman"/>
        </w:rPr>
        <w:t xml:space="preserve"> r.</w:t>
      </w:r>
      <w:r w:rsidRPr="005411EC">
        <w:rPr>
          <w:rFonts w:ascii="Times New Roman" w:hAnsi="Times New Roman" w:cs="Times New Roman"/>
        </w:rPr>
        <w:t xml:space="preserve">), tj. </w:t>
      </w:r>
      <w:r w:rsidRPr="005411EC">
        <w:rPr>
          <w:rFonts w:ascii="Times New Roman" w:hAnsi="Times New Roman" w:cs="Times New Roman"/>
        </w:rPr>
        <w:br/>
        <w:t xml:space="preserve">o 59 gmin, przy ogólnej liczbie gmin 2 478 funkcjonujących w Polsce w latach 2017 – 2018. </w:t>
      </w:r>
    </w:p>
    <w:p w14:paraId="4665663E" w14:textId="77777777" w:rsidR="00661C05" w:rsidRPr="00661C05" w:rsidRDefault="00661C05" w:rsidP="00F95E75">
      <w:pPr>
        <w:spacing w:after="0"/>
        <w:jc w:val="both"/>
        <w:rPr>
          <w:rFonts w:ascii="Times New Roman" w:hAnsi="Times New Roman" w:cs="Times New Roman"/>
          <w:sz w:val="24"/>
          <w:szCs w:val="24"/>
        </w:rPr>
      </w:pPr>
    </w:p>
    <w:p w14:paraId="3B102CAB" w14:textId="77777777" w:rsidR="00661C05" w:rsidRPr="002B5542" w:rsidRDefault="00661C05" w:rsidP="00F95E75">
      <w:pPr>
        <w:spacing w:after="0"/>
        <w:jc w:val="both"/>
        <w:rPr>
          <w:rFonts w:ascii="Times New Roman" w:hAnsi="Times New Roman" w:cs="Times New Roman"/>
          <w:b/>
          <w:color w:val="00B0F0"/>
          <w:sz w:val="24"/>
          <w:szCs w:val="24"/>
        </w:rPr>
      </w:pPr>
      <w:r w:rsidRPr="002B5542">
        <w:rPr>
          <w:rFonts w:ascii="Times New Roman" w:hAnsi="Times New Roman" w:cs="Times New Roman"/>
          <w:b/>
          <w:color w:val="00B0F0"/>
          <w:sz w:val="24"/>
          <w:szCs w:val="24"/>
        </w:rPr>
        <w:t>Program Operacyjny Pomoc Żywnościowa 2014-2020</w:t>
      </w:r>
    </w:p>
    <w:p w14:paraId="768E7548" w14:textId="77777777" w:rsidR="00661C05" w:rsidRPr="00661C05" w:rsidRDefault="00661C05" w:rsidP="00F95E75">
      <w:pPr>
        <w:tabs>
          <w:tab w:val="left" w:pos="709"/>
        </w:tabs>
        <w:spacing w:after="0"/>
        <w:jc w:val="both"/>
        <w:rPr>
          <w:rFonts w:ascii="Times New Roman" w:hAnsi="Times New Roman" w:cs="Times New Roman"/>
          <w:sz w:val="24"/>
          <w:szCs w:val="24"/>
        </w:rPr>
      </w:pPr>
      <w:r w:rsidRPr="00661C05">
        <w:rPr>
          <w:rFonts w:ascii="Times New Roman" w:hAnsi="Times New Roman" w:cs="Times New Roman"/>
          <w:sz w:val="24"/>
          <w:szCs w:val="24"/>
        </w:rPr>
        <w:t>Dzięki Programowi Operacyjnemu Pomoc</w:t>
      </w:r>
      <w:r>
        <w:rPr>
          <w:rFonts w:ascii="Times New Roman" w:hAnsi="Times New Roman" w:cs="Times New Roman"/>
          <w:sz w:val="24"/>
          <w:szCs w:val="24"/>
        </w:rPr>
        <w:t xml:space="preserve"> Żywnościowa 2014-2020 (PO PŻ), </w:t>
      </w:r>
      <w:r w:rsidRPr="00661C05">
        <w:rPr>
          <w:rFonts w:ascii="Times New Roman" w:hAnsi="Times New Roman" w:cs="Times New Roman"/>
          <w:sz w:val="24"/>
          <w:szCs w:val="24"/>
        </w:rPr>
        <w:t>współfinansowanemu ze środków Europejskiego Funduszu Pomocy Najbardziej Potrzebującym (FEAD), rodziny znajdujące się w trudnej sytuacji życiowej np. dotknięte ubóstwem, niepełnosprawnością, bezdomnością, długotrwałą lub ciężką chorobą otrzymują wsparcie w formie paczek z artyku</w:t>
      </w:r>
      <w:r w:rsidR="00395AE6">
        <w:rPr>
          <w:rFonts w:ascii="Times New Roman" w:hAnsi="Times New Roman" w:cs="Times New Roman"/>
          <w:sz w:val="24"/>
          <w:szCs w:val="24"/>
        </w:rPr>
        <w:t xml:space="preserve">łami spożywczymi lub posiłków. </w:t>
      </w:r>
      <w:r w:rsidRPr="00661C05">
        <w:rPr>
          <w:rFonts w:ascii="Times New Roman" w:hAnsi="Times New Roman" w:cs="Times New Roman"/>
          <w:sz w:val="24"/>
          <w:szCs w:val="24"/>
        </w:rPr>
        <w:t>Dodatkowo osoby objęte programem mogą skorzystać z bezpłatnych szkoleń lub warsztatów organizowanych w celu zwiększenia samodzielności i włączenia społecznego a dotyczących m.in. przygotowywania posiłków, dietetyki oraz zdrowego odżywiania, sprawnego zarządzania budżetem domowym, zapobiegania marnowaniu żywności.</w:t>
      </w:r>
    </w:p>
    <w:p w14:paraId="52365134" w14:textId="77777777" w:rsidR="00661C05" w:rsidRDefault="00661C05" w:rsidP="00F95E75">
      <w:pPr>
        <w:tabs>
          <w:tab w:val="left" w:pos="709"/>
        </w:tabs>
        <w:spacing w:after="0"/>
        <w:jc w:val="both"/>
        <w:rPr>
          <w:rFonts w:ascii="Times New Roman" w:hAnsi="Times New Roman" w:cs="Times New Roman"/>
          <w:sz w:val="24"/>
          <w:szCs w:val="24"/>
        </w:rPr>
      </w:pPr>
    </w:p>
    <w:p w14:paraId="08D61016" w14:textId="77777777" w:rsidR="00661C05" w:rsidRPr="00661C05" w:rsidRDefault="00661C05" w:rsidP="00F95E75">
      <w:pPr>
        <w:tabs>
          <w:tab w:val="left" w:pos="709"/>
        </w:tabs>
        <w:spacing w:after="0"/>
        <w:jc w:val="both"/>
        <w:rPr>
          <w:rFonts w:ascii="Times New Roman" w:hAnsi="Times New Roman" w:cs="Times New Roman"/>
          <w:sz w:val="24"/>
          <w:szCs w:val="24"/>
        </w:rPr>
      </w:pPr>
      <w:r w:rsidRPr="00661C05">
        <w:rPr>
          <w:rFonts w:ascii="Times New Roman" w:hAnsi="Times New Roman" w:cs="Times New Roman"/>
          <w:sz w:val="24"/>
          <w:szCs w:val="24"/>
        </w:rPr>
        <w:t xml:space="preserve">Z Programu mogą korzystać osoby, które spełniają kryterium dochodowe: w przypadku osoby samotnie gospodarującej 1 402 zł, natomiast w przypadku osoby w rodzinie  - 1 056 zł oraz przynajmniej jedną z przesłanek wymienionych w art. 7 </w:t>
      </w:r>
      <w:r w:rsidRPr="00395AE6">
        <w:rPr>
          <w:rFonts w:ascii="Times New Roman" w:hAnsi="Times New Roman" w:cs="Times New Roman"/>
          <w:i/>
          <w:sz w:val="24"/>
          <w:szCs w:val="24"/>
        </w:rPr>
        <w:t>ustawy o pomocy społecznej</w:t>
      </w:r>
      <w:r w:rsidRPr="00661C05">
        <w:rPr>
          <w:rFonts w:ascii="Times New Roman" w:hAnsi="Times New Roman" w:cs="Times New Roman"/>
          <w:sz w:val="24"/>
          <w:szCs w:val="24"/>
        </w:rPr>
        <w:t xml:space="preserve">. </w:t>
      </w:r>
    </w:p>
    <w:p w14:paraId="1733C774" w14:textId="77777777" w:rsidR="00661C05" w:rsidRDefault="00661C05" w:rsidP="00F95E75">
      <w:pPr>
        <w:tabs>
          <w:tab w:val="left" w:pos="709"/>
        </w:tabs>
        <w:spacing w:after="0"/>
        <w:jc w:val="both"/>
        <w:rPr>
          <w:rFonts w:ascii="Times New Roman" w:hAnsi="Times New Roman" w:cs="Times New Roman"/>
          <w:sz w:val="24"/>
          <w:szCs w:val="24"/>
        </w:rPr>
      </w:pPr>
    </w:p>
    <w:p w14:paraId="38776E1B" w14:textId="77777777" w:rsidR="00661C05" w:rsidRPr="00661C05" w:rsidRDefault="00661C05" w:rsidP="00F95E75">
      <w:pPr>
        <w:tabs>
          <w:tab w:val="left" w:pos="709"/>
        </w:tabs>
        <w:spacing w:after="0"/>
        <w:jc w:val="both"/>
        <w:rPr>
          <w:rFonts w:ascii="Times New Roman" w:hAnsi="Times New Roman" w:cs="Times New Roman"/>
          <w:sz w:val="24"/>
          <w:szCs w:val="24"/>
        </w:rPr>
      </w:pPr>
      <w:r w:rsidRPr="00661C05">
        <w:rPr>
          <w:rFonts w:ascii="Times New Roman" w:hAnsi="Times New Roman" w:cs="Times New Roman"/>
          <w:sz w:val="24"/>
          <w:szCs w:val="24"/>
        </w:rPr>
        <w:t xml:space="preserve">W 2019 r. pomoc żywnościową otrzymało łącznie ok. 1,3 mln osób najbardziej potrzebujących, w tym ponad 142 tys. osób powyżej 65. roku życia, które stanowiły ok. 10,5% wszystkich odbiorców. </w:t>
      </w:r>
    </w:p>
    <w:p w14:paraId="58C7C7CA" w14:textId="77777777" w:rsidR="00661C05" w:rsidRPr="00661C05" w:rsidRDefault="00661C05" w:rsidP="00F95E75">
      <w:pPr>
        <w:tabs>
          <w:tab w:val="left" w:pos="709"/>
        </w:tabs>
        <w:spacing w:after="0"/>
        <w:jc w:val="both"/>
        <w:rPr>
          <w:rFonts w:ascii="Times New Roman" w:hAnsi="Times New Roman" w:cs="Times New Roman"/>
          <w:sz w:val="24"/>
          <w:szCs w:val="24"/>
        </w:rPr>
      </w:pPr>
      <w:r w:rsidRPr="00661C05">
        <w:rPr>
          <w:rFonts w:ascii="Times New Roman" w:hAnsi="Times New Roman" w:cs="Times New Roman"/>
          <w:sz w:val="24"/>
          <w:szCs w:val="24"/>
        </w:rPr>
        <w:t xml:space="preserve">Dla porównania w Podprogramie 2018 pomoc trafiła do ok. 1,4 mln osób, w tym do ok. 145 tys. osób powyżej 65. roku życia (10% odbiorców). </w:t>
      </w:r>
    </w:p>
    <w:p w14:paraId="03488340" w14:textId="77777777" w:rsidR="00661C05" w:rsidRDefault="00661C05" w:rsidP="00F95E75">
      <w:pPr>
        <w:autoSpaceDE w:val="0"/>
        <w:autoSpaceDN w:val="0"/>
        <w:adjustRightInd w:val="0"/>
        <w:spacing w:after="0"/>
        <w:jc w:val="both"/>
        <w:rPr>
          <w:rFonts w:ascii="Times New Roman" w:hAnsi="Times New Roman" w:cs="Times New Roman"/>
          <w:sz w:val="24"/>
          <w:szCs w:val="24"/>
        </w:rPr>
      </w:pPr>
    </w:p>
    <w:p w14:paraId="0FDFF330" w14:textId="77777777" w:rsidR="00E9285C" w:rsidRPr="002B5542" w:rsidRDefault="00E9285C" w:rsidP="00F95E75">
      <w:pPr>
        <w:autoSpaceDE w:val="0"/>
        <w:autoSpaceDN w:val="0"/>
        <w:adjustRightInd w:val="0"/>
        <w:spacing w:after="0"/>
        <w:jc w:val="both"/>
        <w:rPr>
          <w:rFonts w:ascii="Times New Roman" w:hAnsi="Times New Roman" w:cs="Times New Roman"/>
          <w:color w:val="00B0F0"/>
          <w:sz w:val="24"/>
          <w:szCs w:val="24"/>
        </w:rPr>
      </w:pPr>
      <w:r w:rsidRPr="002B5542">
        <w:rPr>
          <w:rFonts w:ascii="Times New Roman" w:hAnsi="Times New Roman" w:cs="Times New Roman"/>
          <w:iCs/>
          <w:color w:val="00B0F0"/>
          <w:sz w:val="24"/>
          <w:szCs w:val="24"/>
        </w:rPr>
        <w:t>„</w:t>
      </w:r>
      <w:r w:rsidRPr="002B5542">
        <w:rPr>
          <w:rFonts w:ascii="Times New Roman" w:hAnsi="Times New Roman" w:cs="Times New Roman"/>
          <w:b/>
          <w:iCs/>
          <w:color w:val="00B0F0"/>
          <w:sz w:val="24"/>
          <w:szCs w:val="24"/>
        </w:rPr>
        <w:t>Posiłek w szkole i w domu” na lata 2019-2023</w:t>
      </w:r>
    </w:p>
    <w:p w14:paraId="1D81301D" w14:textId="06762478" w:rsidR="00661C05" w:rsidRPr="0018689A" w:rsidRDefault="000514D5" w:rsidP="00F95E75">
      <w:pPr>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color w:val="000000"/>
          <w:sz w:val="24"/>
          <w:szCs w:val="24"/>
        </w:rPr>
        <w:t xml:space="preserve">Program „Posiłek w szkole i w domu” na lata 2019-2023 ma na celu m.in. zapewnienie pomocy w formie posiłku osobom starszym, niepełnosprawnym. </w:t>
      </w:r>
      <w:r w:rsidR="00661C05" w:rsidRPr="00661C05">
        <w:rPr>
          <w:rFonts w:ascii="Times New Roman" w:hAnsi="Times New Roman" w:cs="Times New Roman"/>
          <w:sz w:val="24"/>
          <w:szCs w:val="24"/>
        </w:rPr>
        <w:t xml:space="preserve">„Posiłek w szkole i w domu” jest Programem wspierania finansowego gmin w zakresie realizacji zadań własnych o charakterze obowiązkowym określonych w art. 17 ust. 1 pkt 3 i </w:t>
      </w:r>
      <w:r w:rsidR="00661C05" w:rsidRPr="0018689A">
        <w:rPr>
          <w:rFonts w:ascii="Times New Roman" w:hAnsi="Times New Roman" w:cs="Times New Roman"/>
          <w:i/>
          <w:sz w:val="24"/>
          <w:szCs w:val="24"/>
        </w:rPr>
        <w:t xml:space="preserve">14 ustawy z dnia 12 marca 2004 r. o pomocy społecznej </w:t>
      </w:r>
      <w:r w:rsidR="00661C05" w:rsidRPr="00661C05">
        <w:rPr>
          <w:rFonts w:ascii="Times New Roman" w:hAnsi="Times New Roman" w:cs="Times New Roman"/>
          <w:sz w:val="24"/>
          <w:szCs w:val="24"/>
        </w:rPr>
        <w:t xml:space="preserve">oraz organów prowadzących publiczne szkoły podstawowe w zakresie realizacji zadań, o których mowa w art. 10 ust. 1 pkt 1 </w:t>
      </w:r>
      <w:r w:rsidR="00661C05" w:rsidRPr="0018689A">
        <w:rPr>
          <w:rFonts w:ascii="Times New Roman" w:hAnsi="Times New Roman" w:cs="Times New Roman"/>
          <w:i/>
          <w:sz w:val="24"/>
          <w:szCs w:val="24"/>
        </w:rPr>
        <w:t xml:space="preserve">ustawy z dnia 14 grudnia 2016 r. – Prawo oświatowe. </w:t>
      </w:r>
    </w:p>
    <w:p w14:paraId="001F9172" w14:textId="77777777" w:rsidR="00E9285C" w:rsidRDefault="00E9285C" w:rsidP="00F95E75">
      <w:pPr>
        <w:autoSpaceDE w:val="0"/>
        <w:autoSpaceDN w:val="0"/>
        <w:adjustRightInd w:val="0"/>
        <w:spacing w:after="0"/>
        <w:jc w:val="both"/>
        <w:rPr>
          <w:rFonts w:ascii="Times New Roman" w:hAnsi="Times New Roman" w:cs="Times New Roman"/>
          <w:sz w:val="24"/>
          <w:szCs w:val="24"/>
        </w:rPr>
      </w:pPr>
    </w:p>
    <w:p w14:paraId="561B6BC6" w14:textId="77777777" w:rsidR="00661C05" w:rsidRPr="00661C05" w:rsidRDefault="00661C05" w:rsidP="00F95E75">
      <w:pPr>
        <w:autoSpaceDE w:val="0"/>
        <w:autoSpaceDN w:val="0"/>
        <w:adjustRightInd w:val="0"/>
        <w:spacing w:after="0"/>
        <w:jc w:val="both"/>
        <w:rPr>
          <w:rFonts w:ascii="Times New Roman" w:hAnsi="Times New Roman" w:cs="Times New Roman"/>
          <w:sz w:val="24"/>
          <w:szCs w:val="24"/>
        </w:rPr>
      </w:pPr>
      <w:r w:rsidRPr="00661C05">
        <w:rPr>
          <w:rFonts w:ascii="Times New Roman" w:hAnsi="Times New Roman" w:cs="Times New Roman"/>
          <w:sz w:val="24"/>
          <w:szCs w:val="24"/>
        </w:rPr>
        <w:t xml:space="preserve">Ze środków przekazywanych w ramach Programu gminy udzielają wsparcia osobom spełniającym warunki otrzymania pomocy wskazane w </w:t>
      </w:r>
      <w:r w:rsidRPr="0018689A">
        <w:rPr>
          <w:rFonts w:ascii="Times New Roman" w:hAnsi="Times New Roman" w:cs="Times New Roman"/>
          <w:i/>
          <w:sz w:val="24"/>
          <w:szCs w:val="24"/>
        </w:rPr>
        <w:t>ustawie z dnia 12 marca 2004 r. o pomocy społecznej</w:t>
      </w:r>
      <w:r w:rsidRPr="00661C05">
        <w:rPr>
          <w:rFonts w:ascii="Times New Roman" w:hAnsi="Times New Roman" w:cs="Times New Roman"/>
          <w:sz w:val="24"/>
          <w:szCs w:val="24"/>
        </w:rPr>
        <w:t xml:space="preserve"> oraz spełniającym kryterium dochodowe w wysokości 150% kryterium, o którym mowa w art. 8 ww. ustawy, m.in. osobom i rodzinom znajdującym się w sytuacjach </w:t>
      </w:r>
      <w:r w:rsidRPr="00661C05">
        <w:rPr>
          <w:rFonts w:ascii="Times New Roman" w:hAnsi="Times New Roman" w:cs="Times New Roman"/>
          <w:sz w:val="24"/>
          <w:szCs w:val="24"/>
        </w:rPr>
        <w:lastRenderedPageBreak/>
        <w:t xml:space="preserve">wymienionych w art. 7 </w:t>
      </w:r>
      <w:r w:rsidRPr="0018689A">
        <w:rPr>
          <w:rFonts w:ascii="Times New Roman" w:hAnsi="Times New Roman" w:cs="Times New Roman"/>
          <w:i/>
          <w:sz w:val="24"/>
          <w:szCs w:val="24"/>
        </w:rPr>
        <w:t>ustawy z dnia 12 marca 2004 r. o pomocy społecznej</w:t>
      </w:r>
      <w:r w:rsidRPr="00661C05">
        <w:rPr>
          <w:rFonts w:ascii="Times New Roman" w:hAnsi="Times New Roman" w:cs="Times New Roman"/>
          <w:sz w:val="24"/>
          <w:szCs w:val="24"/>
        </w:rPr>
        <w:t>, w szczególności osobom starszym, chorym i niepełnosprawnym. Osoby te otrzymują wsparcie w formie posiłku, świadczenia pieniężnego na zakup posiłku lub żywności albo świadczenia rzeczowego w postaci produktów żywnościowych.</w:t>
      </w:r>
    </w:p>
    <w:p w14:paraId="75026EF5" w14:textId="77777777" w:rsidR="00E9285C" w:rsidRDefault="00E9285C" w:rsidP="00F95E75">
      <w:pPr>
        <w:spacing w:after="0"/>
        <w:jc w:val="both"/>
        <w:rPr>
          <w:rFonts w:ascii="Times New Roman" w:hAnsi="Times New Roman" w:cs="Times New Roman"/>
          <w:sz w:val="24"/>
          <w:szCs w:val="24"/>
        </w:rPr>
      </w:pPr>
    </w:p>
    <w:p w14:paraId="7967A808" w14:textId="77777777" w:rsidR="00661C05" w:rsidRPr="00661C05" w:rsidRDefault="00661C05" w:rsidP="00F95E75">
      <w:pPr>
        <w:spacing w:after="0"/>
        <w:jc w:val="both"/>
        <w:rPr>
          <w:rFonts w:ascii="Times New Roman" w:hAnsi="Times New Roman" w:cs="Times New Roman"/>
          <w:sz w:val="24"/>
          <w:szCs w:val="24"/>
        </w:rPr>
      </w:pPr>
      <w:r w:rsidRPr="00661C05">
        <w:rPr>
          <w:rFonts w:ascii="Times New Roman" w:hAnsi="Times New Roman" w:cs="Times New Roman"/>
          <w:sz w:val="24"/>
          <w:szCs w:val="24"/>
        </w:rPr>
        <w:t>Wysokość kryterium dochodowego uprawniającego do skorzystania z  Programu wynosi:</w:t>
      </w:r>
    </w:p>
    <w:p w14:paraId="18A64500" w14:textId="77777777" w:rsidR="00661C05" w:rsidRPr="0018689A" w:rsidRDefault="00661C05" w:rsidP="008C71A9">
      <w:pPr>
        <w:pStyle w:val="Akapitzlist"/>
        <w:numPr>
          <w:ilvl w:val="0"/>
          <w:numId w:val="301"/>
        </w:numPr>
        <w:spacing w:after="0"/>
        <w:ind w:left="360"/>
        <w:jc w:val="both"/>
        <w:rPr>
          <w:rFonts w:ascii="Times New Roman" w:hAnsi="Times New Roman" w:cs="Times New Roman"/>
          <w:sz w:val="24"/>
          <w:szCs w:val="24"/>
        </w:rPr>
      </w:pPr>
      <w:r w:rsidRPr="0018689A">
        <w:rPr>
          <w:rFonts w:ascii="Times New Roman" w:hAnsi="Times New Roman" w:cs="Times New Roman"/>
          <w:sz w:val="24"/>
          <w:szCs w:val="24"/>
        </w:rPr>
        <w:t>dla osoby samotnie gospodarującej – 1</w:t>
      </w:r>
      <w:r w:rsidR="0018689A" w:rsidRPr="0018689A">
        <w:rPr>
          <w:rFonts w:ascii="Times New Roman" w:hAnsi="Times New Roman" w:cs="Times New Roman"/>
          <w:sz w:val="24"/>
          <w:szCs w:val="24"/>
        </w:rPr>
        <w:t xml:space="preserve"> </w:t>
      </w:r>
      <w:r w:rsidRPr="0018689A">
        <w:rPr>
          <w:rFonts w:ascii="Times New Roman" w:hAnsi="Times New Roman" w:cs="Times New Roman"/>
          <w:sz w:val="24"/>
          <w:szCs w:val="24"/>
        </w:rPr>
        <w:t>051,50 zł,</w:t>
      </w:r>
    </w:p>
    <w:p w14:paraId="3DB1E1D9" w14:textId="77777777" w:rsidR="00661C05" w:rsidRPr="0018689A" w:rsidRDefault="00661C05" w:rsidP="008C71A9">
      <w:pPr>
        <w:pStyle w:val="Akapitzlist"/>
        <w:numPr>
          <w:ilvl w:val="0"/>
          <w:numId w:val="301"/>
        </w:numPr>
        <w:spacing w:after="0"/>
        <w:ind w:left="360"/>
        <w:jc w:val="both"/>
        <w:rPr>
          <w:rFonts w:ascii="Times New Roman" w:hAnsi="Times New Roman" w:cs="Times New Roman"/>
          <w:sz w:val="24"/>
          <w:szCs w:val="24"/>
        </w:rPr>
      </w:pPr>
      <w:r w:rsidRPr="0018689A">
        <w:rPr>
          <w:rFonts w:ascii="Times New Roman" w:hAnsi="Times New Roman" w:cs="Times New Roman"/>
          <w:sz w:val="24"/>
          <w:szCs w:val="24"/>
        </w:rPr>
        <w:t>na osobę w rodzinie – 792 zł.</w:t>
      </w:r>
    </w:p>
    <w:p w14:paraId="6C321B4B" w14:textId="77777777" w:rsidR="00E9285C" w:rsidRDefault="00E9285C" w:rsidP="00F95E75">
      <w:pPr>
        <w:pStyle w:val="NormalnyWeb"/>
        <w:spacing w:after="0"/>
        <w:jc w:val="both"/>
      </w:pPr>
    </w:p>
    <w:p w14:paraId="594E07CD" w14:textId="77777777" w:rsidR="00661C05" w:rsidRPr="00661C05" w:rsidRDefault="00661C05" w:rsidP="00F95E75">
      <w:pPr>
        <w:pStyle w:val="NormalnyWeb"/>
        <w:spacing w:after="0"/>
        <w:jc w:val="both"/>
        <w:rPr>
          <w:rFonts w:eastAsia="+mn-ea"/>
          <w:kern w:val="24"/>
        </w:rPr>
      </w:pPr>
      <w:r w:rsidRPr="00661C05">
        <w:t xml:space="preserve">Program dofinansuje posiłki dowożone osobom dorosłym (np. niewychodzącym z domu ze względu na podeszły wiek czy niepełnosprawność), które same nie są w stanie ich przygotować. </w:t>
      </w:r>
      <w:r w:rsidRPr="00661C05">
        <w:rPr>
          <w:rFonts w:eastAsiaTheme="minorEastAsia"/>
          <w:color w:val="000000" w:themeColor="text1"/>
          <w:kern w:val="24"/>
        </w:rPr>
        <w:t xml:space="preserve">Program zapewnia ponadto pozyskanie dodatkowych środków na dowóz posiłków  - w ramach modułu </w:t>
      </w:r>
      <w:r w:rsidRPr="00661C05">
        <w:rPr>
          <w:rFonts w:eastAsia="+mn-ea"/>
          <w:kern w:val="24"/>
        </w:rPr>
        <w:t>2 wójt (burmistrz, prezydent miasta) może pozyskać zwiększenie dotacji do 5% środków finansowych z przeznaczeniem na dowóz posiłków w gminie, w szczególności dla osób starszych, niepełnosprawnych,</w:t>
      </w:r>
    </w:p>
    <w:p w14:paraId="218E318B" w14:textId="77777777" w:rsidR="00E9285C" w:rsidRDefault="00E9285C" w:rsidP="00F95E75">
      <w:pPr>
        <w:pStyle w:val="NormalnyWeb"/>
        <w:spacing w:after="0"/>
        <w:jc w:val="both"/>
      </w:pPr>
    </w:p>
    <w:p w14:paraId="670F74D0" w14:textId="77777777" w:rsidR="00661C05" w:rsidRPr="00661C05" w:rsidRDefault="00661C05" w:rsidP="00F95E75">
      <w:pPr>
        <w:pStyle w:val="NormalnyWeb"/>
        <w:spacing w:after="0"/>
        <w:jc w:val="both"/>
        <w:rPr>
          <w:rFonts w:eastAsiaTheme="minorEastAsia"/>
          <w:color w:val="000000" w:themeColor="text1"/>
          <w:kern w:val="24"/>
        </w:rPr>
      </w:pPr>
      <w:r w:rsidRPr="00661C05">
        <w:t xml:space="preserve">Program finansowany  jest  ze  środków  budżetu  państwa oraz  środków  własnych jednostek samorządu terytorialnego. Ogólna kwota środków z budżetu państwa przewidziana w całym okresie realizacji Programu to  2 750 000 tys. zł, rocznie 550 mln zł, w tym </w:t>
      </w:r>
      <w:r w:rsidRPr="00661C05">
        <w:rPr>
          <w:color w:val="000000"/>
        </w:rPr>
        <w:t>na realizację modułów 1 i 2 Programu</w:t>
      </w:r>
      <w:r w:rsidRPr="00661C05">
        <w:t xml:space="preserve"> (moduł dla dzieci i młodzieży oraz moduł dla osób dorosłych),</w:t>
      </w:r>
      <w:r w:rsidRPr="00661C05">
        <w:rPr>
          <w:color w:val="000000"/>
        </w:rPr>
        <w:t xml:space="preserve"> w latach 2019-2023</w:t>
      </w:r>
      <w:r w:rsidRPr="00661C05">
        <w:t>,</w:t>
      </w:r>
      <w:r w:rsidRPr="00661C05">
        <w:rPr>
          <w:color w:val="000000"/>
        </w:rPr>
        <w:t xml:space="preserve"> przewidziano</w:t>
      </w:r>
      <w:r w:rsidRPr="00661C05">
        <w:t xml:space="preserve"> </w:t>
      </w:r>
      <w:r w:rsidRPr="00661C05">
        <w:rPr>
          <w:color w:val="000000"/>
        </w:rPr>
        <w:t>2 55</w:t>
      </w:r>
      <w:r w:rsidRPr="00661C05">
        <w:t>0 000 tys. zł z budżetu państwa.</w:t>
      </w:r>
    </w:p>
    <w:p w14:paraId="57014F2A" w14:textId="77777777" w:rsidR="00661C05" w:rsidRDefault="00661C05" w:rsidP="00F95E75">
      <w:pPr>
        <w:spacing w:after="0"/>
        <w:jc w:val="both"/>
      </w:pPr>
    </w:p>
    <w:p w14:paraId="6846E4E8" w14:textId="77777777" w:rsidR="00EF0A98" w:rsidRPr="002B5542" w:rsidRDefault="00EF0A98" w:rsidP="00F95E75">
      <w:pPr>
        <w:spacing w:after="0"/>
        <w:jc w:val="both"/>
        <w:rPr>
          <w:rFonts w:ascii="Times New Roman" w:hAnsi="Times New Roman" w:cs="Times New Roman"/>
          <w:b/>
          <w:color w:val="00B0F0"/>
          <w:sz w:val="24"/>
          <w:szCs w:val="24"/>
        </w:rPr>
      </w:pPr>
      <w:r w:rsidRPr="002B5542">
        <w:rPr>
          <w:rFonts w:ascii="Times New Roman" w:hAnsi="Times New Roman" w:cs="Times New Roman"/>
          <w:b/>
          <w:color w:val="00B0F0"/>
          <w:sz w:val="24"/>
          <w:szCs w:val="24"/>
        </w:rPr>
        <w:t>Krajowy Program Przeciwdziałania Przemocy w Rodzinie na lata 2014-2020.</w:t>
      </w:r>
    </w:p>
    <w:p w14:paraId="02C892A5" w14:textId="77777777" w:rsidR="00EF0A98" w:rsidRPr="00EF0A98" w:rsidRDefault="00EF0A98" w:rsidP="00F95E75">
      <w:pPr>
        <w:spacing w:after="0"/>
        <w:jc w:val="both"/>
        <w:rPr>
          <w:rFonts w:ascii="Times New Roman" w:eastAsia="Calibri" w:hAnsi="Times New Roman" w:cs="Times New Roman"/>
          <w:sz w:val="24"/>
          <w:szCs w:val="24"/>
        </w:rPr>
      </w:pPr>
      <w:r w:rsidRPr="00EF0A98">
        <w:rPr>
          <w:rFonts w:ascii="Times New Roman" w:eastAsia="Calibri" w:hAnsi="Times New Roman" w:cs="Times New Roman"/>
          <w:sz w:val="24"/>
          <w:szCs w:val="24"/>
        </w:rPr>
        <w:t>W Krajowym Programie Przeciwdziałania Przemocy w Rodzinie na lata 2014-2020. określono cztery podstawowe obszary zawierające kierunki działań oraz sprecyzowano oddziaływania wobec różnych grup odbiorców</w:t>
      </w:r>
      <w:r w:rsidRPr="00EF0A98">
        <w:rPr>
          <w:rFonts w:ascii="Times New Roman" w:hAnsi="Times New Roman" w:cs="Times New Roman"/>
          <w:sz w:val="24"/>
          <w:szCs w:val="24"/>
        </w:rPr>
        <w:t>, które w sposób pośredni bądź bezpośredni wpływają na realizację zadań na rzecz osób starszych.</w:t>
      </w:r>
    </w:p>
    <w:p w14:paraId="63AE68CE" w14:textId="77777777" w:rsidR="00EF0A98" w:rsidRPr="00EF0A98" w:rsidRDefault="00EF0A98" w:rsidP="008C71A9">
      <w:pPr>
        <w:numPr>
          <w:ilvl w:val="0"/>
          <w:numId w:val="217"/>
        </w:numPr>
        <w:spacing w:after="0"/>
        <w:ind w:left="360" w:hanging="360"/>
        <w:jc w:val="both"/>
        <w:rPr>
          <w:rFonts w:ascii="Times New Roman" w:eastAsia="Calibri" w:hAnsi="Times New Roman" w:cs="Times New Roman"/>
          <w:sz w:val="24"/>
          <w:szCs w:val="24"/>
        </w:rPr>
      </w:pPr>
      <w:r w:rsidRPr="00EF0A98">
        <w:rPr>
          <w:rFonts w:ascii="Times New Roman" w:eastAsia="Calibri" w:hAnsi="Times New Roman" w:cs="Times New Roman"/>
          <w:sz w:val="24"/>
          <w:szCs w:val="24"/>
        </w:rPr>
        <w:t>Profilaktyka i edukacja społeczna.</w:t>
      </w:r>
    </w:p>
    <w:p w14:paraId="34F78EC4" w14:textId="77777777" w:rsidR="00EF0A98" w:rsidRPr="00EF0A98" w:rsidRDefault="00EF0A98" w:rsidP="008C71A9">
      <w:pPr>
        <w:numPr>
          <w:ilvl w:val="0"/>
          <w:numId w:val="217"/>
        </w:numPr>
        <w:spacing w:after="0"/>
        <w:ind w:left="360" w:hanging="360"/>
        <w:jc w:val="both"/>
        <w:rPr>
          <w:rFonts w:ascii="Times New Roman" w:eastAsia="Calibri" w:hAnsi="Times New Roman" w:cs="Times New Roman"/>
          <w:sz w:val="24"/>
          <w:szCs w:val="24"/>
        </w:rPr>
      </w:pPr>
      <w:r w:rsidRPr="00EF0A98">
        <w:rPr>
          <w:rFonts w:ascii="Times New Roman" w:eastAsia="Calibri" w:hAnsi="Times New Roman" w:cs="Times New Roman"/>
          <w:sz w:val="24"/>
          <w:szCs w:val="24"/>
        </w:rPr>
        <w:t>Ochrona i pomoc osobom dotkniętym przemocą w rodzinie.</w:t>
      </w:r>
    </w:p>
    <w:p w14:paraId="182CBD36" w14:textId="77777777" w:rsidR="00EF0A98" w:rsidRPr="00EF0A98" w:rsidRDefault="00EF0A98" w:rsidP="008C71A9">
      <w:pPr>
        <w:numPr>
          <w:ilvl w:val="0"/>
          <w:numId w:val="217"/>
        </w:numPr>
        <w:spacing w:after="0"/>
        <w:ind w:left="360" w:hanging="360"/>
        <w:jc w:val="both"/>
        <w:rPr>
          <w:rFonts w:ascii="Times New Roman" w:eastAsia="Calibri" w:hAnsi="Times New Roman" w:cs="Times New Roman"/>
          <w:sz w:val="24"/>
          <w:szCs w:val="24"/>
        </w:rPr>
      </w:pPr>
      <w:r w:rsidRPr="00EF0A98">
        <w:rPr>
          <w:rFonts w:ascii="Times New Roman" w:eastAsia="Calibri" w:hAnsi="Times New Roman" w:cs="Times New Roman"/>
          <w:sz w:val="24"/>
          <w:szCs w:val="24"/>
        </w:rPr>
        <w:t>Oddziaływanie na osoby stosujące przemoc w rodzinie.</w:t>
      </w:r>
    </w:p>
    <w:p w14:paraId="07638974" w14:textId="77777777" w:rsidR="00EF0A98" w:rsidRPr="00EF0A98" w:rsidRDefault="00EF0A98" w:rsidP="008C71A9">
      <w:pPr>
        <w:numPr>
          <w:ilvl w:val="0"/>
          <w:numId w:val="217"/>
        </w:numPr>
        <w:spacing w:after="0"/>
        <w:ind w:left="360" w:hanging="360"/>
        <w:jc w:val="both"/>
        <w:rPr>
          <w:rFonts w:ascii="Times New Roman" w:eastAsia="Calibri" w:hAnsi="Times New Roman" w:cs="Times New Roman"/>
          <w:sz w:val="24"/>
          <w:szCs w:val="24"/>
        </w:rPr>
      </w:pPr>
      <w:r w:rsidRPr="00EF0A98">
        <w:rPr>
          <w:rFonts w:ascii="Times New Roman" w:eastAsia="Calibri" w:hAnsi="Times New Roman" w:cs="Times New Roman"/>
          <w:sz w:val="24"/>
          <w:szCs w:val="24"/>
        </w:rPr>
        <w:t>Podniesienie kompetencji służb przedstawicieli podmiotów realizujących działania z zakresu przeciwdziałania przemocy w rodzinie.</w:t>
      </w:r>
    </w:p>
    <w:p w14:paraId="109CC989" w14:textId="77777777" w:rsidR="00EF0A98" w:rsidRPr="00EF0A98" w:rsidRDefault="00EF0A98" w:rsidP="00F95E75">
      <w:pPr>
        <w:spacing w:after="0"/>
        <w:jc w:val="both"/>
        <w:rPr>
          <w:rFonts w:ascii="Times New Roman" w:eastAsia="Calibri" w:hAnsi="Times New Roman" w:cs="Times New Roman"/>
          <w:sz w:val="24"/>
          <w:szCs w:val="24"/>
        </w:rPr>
      </w:pPr>
    </w:p>
    <w:p w14:paraId="69EC4E8E" w14:textId="77777777" w:rsidR="00EF0A98" w:rsidRPr="00EF0A98" w:rsidRDefault="00EF0A98" w:rsidP="00F95E75">
      <w:pPr>
        <w:spacing w:after="0"/>
        <w:jc w:val="both"/>
        <w:rPr>
          <w:rFonts w:ascii="Times New Roman" w:eastAsia="Calibri" w:hAnsi="Times New Roman" w:cs="Times New Roman"/>
          <w:sz w:val="24"/>
          <w:szCs w:val="24"/>
        </w:rPr>
      </w:pPr>
      <w:r w:rsidRPr="00EF0A98">
        <w:rPr>
          <w:rFonts w:ascii="Times New Roman" w:eastAsia="Calibri" w:hAnsi="Times New Roman" w:cs="Times New Roman"/>
          <w:sz w:val="24"/>
          <w:szCs w:val="24"/>
        </w:rPr>
        <w:t xml:space="preserve">Kwota ogółem na realizację Programu w latach 2014-2020 wynosi 135 503 000 zł (średnio ok. 19, 5 mln zł rocznie). W Programie zostało zaplanowanych wiele działań, które w sposób pośredni bądź bezpośredni wpłyną na realizację zadań na rzecz osób starszych. </w:t>
      </w:r>
    </w:p>
    <w:p w14:paraId="298E89DC" w14:textId="77777777" w:rsidR="00EF0A98" w:rsidRPr="00EF0A98" w:rsidRDefault="00EF0A98" w:rsidP="00F95E75">
      <w:pPr>
        <w:spacing w:after="0"/>
        <w:jc w:val="both"/>
        <w:rPr>
          <w:rFonts w:ascii="Times New Roman" w:eastAsia="TimesNewRomanPSMT" w:hAnsi="Times New Roman" w:cs="Times New Roman"/>
          <w:sz w:val="24"/>
          <w:szCs w:val="24"/>
        </w:rPr>
      </w:pPr>
    </w:p>
    <w:p w14:paraId="5C4B8274" w14:textId="77777777" w:rsidR="00EF0A98" w:rsidRPr="00EF0A98" w:rsidRDefault="00EF0A98" w:rsidP="00F95E75">
      <w:pPr>
        <w:spacing w:after="0"/>
        <w:jc w:val="both"/>
        <w:rPr>
          <w:rFonts w:ascii="Times New Roman" w:eastAsia="Calibri" w:hAnsi="Times New Roman" w:cs="Times New Roman"/>
          <w:sz w:val="24"/>
          <w:szCs w:val="24"/>
        </w:rPr>
      </w:pPr>
      <w:r w:rsidRPr="00EF0A98">
        <w:rPr>
          <w:rFonts w:ascii="Times New Roman" w:eastAsia="TimesNewRomanPSMT" w:hAnsi="Times New Roman" w:cs="Times New Roman"/>
          <w:sz w:val="24"/>
          <w:szCs w:val="24"/>
        </w:rPr>
        <w:t xml:space="preserve">Zgodnie z </w:t>
      </w:r>
      <w:r w:rsidRPr="00546251">
        <w:rPr>
          <w:rFonts w:ascii="Times New Roman" w:eastAsia="TimesNewRomanPSMT" w:hAnsi="Times New Roman" w:cs="Times New Roman"/>
          <w:i/>
          <w:sz w:val="24"/>
          <w:szCs w:val="24"/>
        </w:rPr>
        <w:t>ustawą osobie dotkniętej przemocą w rodzinie</w:t>
      </w:r>
      <w:r w:rsidRPr="00EF0A98">
        <w:rPr>
          <w:rFonts w:ascii="Times New Roman" w:eastAsia="TimesNewRomanPSMT" w:hAnsi="Times New Roman" w:cs="Times New Roman"/>
          <w:sz w:val="24"/>
          <w:szCs w:val="24"/>
        </w:rPr>
        <w:t xml:space="preserve">, w tym osobie starszej krzywdzonej przez bliskich, udziela się bezpłatnej pomocy w szczególności w formie poradnictwa medycznego, psychologicznego, prawnego, socjalnego, zawodowego i rodzinnego, interwencji kryzysowej i wsparcia, ochrony przed dalszym krzywdzeniem, przez uniemożliwienie osobom </w:t>
      </w:r>
      <w:r w:rsidRPr="00EF0A98">
        <w:rPr>
          <w:rFonts w:ascii="Times New Roman" w:eastAsia="TimesNewRomanPSMT" w:hAnsi="Times New Roman" w:cs="Times New Roman"/>
          <w:sz w:val="24"/>
          <w:szCs w:val="24"/>
        </w:rPr>
        <w:lastRenderedPageBreak/>
        <w:t>stosującym przemoc korzystania ze wspólnie zajmowanego z innymi członkami rodziny mieszkania oraz zakazanie kontaktowania się i zbliżania się do osoby pokrzywdzonej, zapewnienia osobie dotkniętej przemocą w rodzinie bezpiecznego schronienia w specjalistycznym ośrodku wsparcia dla ofiar przemocy w rodzinie, badania lekarskiego w celu ustalenia przyczyn i rodzaju uszkodzeń ciała związanych z użyciem przemocy w rodzinie oraz wydania zaświadczenia lekarskiego w tym przedmiocie, zapewnienia osobie dotkniętej przemocą w rodzinie, która nie ma tytułu prawnego do zajmowanego wspólnie ze sprawcą przemocy lokalu, pomocy w uzyskaniu mieszkania.</w:t>
      </w:r>
      <w:r w:rsidRPr="00EF0A98">
        <w:rPr>
          <w:rFonts w:ascii="Times New Roman" w:eastAsia="Calibri" w:hAnsi="Times New Roman" w:cs="Times New Roman"/>
          <w:sz w:val="24"/>
          <w:szCs w:val="24"/>
        </w:rPr>
        <w:t xml:space="preserve"> </w:t>
      </w:r>
    </w:p>
    <w:p w14:paraId="57D88B8F" w14:textId="77777777" w:rsidR="00EF0A98" w:rsidRPr="00EF0A98" w:rsidRDefault="00EF0A98" w:rsidP="00F95E75">
      <w:pPr>
        <w:spacing w:after="0"/>
        <w:jc w:val="both"/>
        <w:rPr>
          <w:rFonts w:ascii="Times New Roman" w:eastAsia="Calibri" w:hAnsi="Times New Roman" w:cs="Times New Roman"/>
          <w:sz w:val="24"/>
          <w:szCs w:val="24"/>
        </w:rPr>
      </w:pPr>
    </w:p>
    <w:p w14:paraId="296ECA9C" w14:textId="77777777" w:rsidR="00EF0A98" w:rsidRPr="00EF0A98" w:rsidRDefault="00EF0A98" w:rsidP="00F95E75">
      <w:pPr>
        <w:spacing w:after="0"/>
        <w:jc w:val="both"/>
        <w:rPr>
          <w:rFonts w:ascii="Times New Roman" w:eastAsia="Calibri" w:hAnsi="Times New Roman" w:cs="Times New Roman"/>
          <w:sz w:val="24"/>
          <w:szCs w:val="24"/>
        </w:rPr>
      </w:pPr>
      <w:r w:rsidRPr="00EF0A98">
        <w:rPr>
          <w:rFonts w:ascii="Times New Roman" w:eastAsia="Calibri" w:hAnsi="Times New Roman" w:cs="Times New Roman"/>
          <w:sz w:val="24"/>
          <w:szCs w:val="24"/>
        </w:rPr>
        <w:t xml:space="preserve">Ministerstwo Rodziny, Pracy i Polityki Społecznej od wielu lat zaangażowane jest w działania na rzecz osób starszych doznających przemocy w rodzinie. Prowadzone są m.in. kampanie społeczne (zgodnie z harmonogramem Krajowego Programu Przeciwdziałania Przemocy w Rodzinie </w:t>
      </w:r>
      <w:r w:rsidR="001579A5">
        <w:rPr>
          <w:rFonts w:ascii="Times New Roman" w:eastAsia="Calibri" w:hAnsi="Times New Roman" w:cs="Times New Roman"/>
          <w:sz w:val="24"/>
          <w:szCs w:val="24"/>
        </w:rPr>
        <w:t xml:space="preserve">na </w:t>
      </w:r>
      <w:r w:rsidRPr="00EF0A98">
        <w:rPr>
          <w:rFonts w:ascii="Times New Roman" w:eastAsia="Calibri" w:hAnsi="Times New Roman" w:cs="Times New Roman"/>
          <w:sz w:val="24"/>
          <w:szCs w:val="24"/>
        </w:rPr>
        <w:t xml:space="preserve">2019 r. nie było przewidziane prowadzenie kampanii społecznej), czy organizowane konferencje z zakresu przeciwdziałania przemocy w rodzinie. W 2019 r. odbyła się Ogólnopolska Konferencja </w:t>
      </w:r>
      <w:r w:rsidRPr="00EF0A98">
        <w:rPr>
          <w:rFonts w:ascii="Times New Roman" w:hAnsi="Times New Roman" w:cs="Times New Roman"/>
          <w:sz w:val="24"/>
          <w:szCs w:val="24"/>
        </w:rPr>
        <w:t xml:space="preserve">pn. „Jak skutecznie pomagać?” </w:t>
      </w:r>
      <w:r w:rsidRPr="00EF0A98">
        <w:rPr>
          <w:rFonts w:ascii="Times New Roman" w:eastAsia="Calibri" w:hAnsi="Times New Roman" w:cs="Times New Roman"/>
          <w:sz w:val="24"/>
          <w:szCs w:val="24"/>
        </w:rPr>
        <w:t xml:space="preserve">poświęcona </w:t>
      </w:r>
      <w:r w:rsidRPr="00EF0A98">
        <w:rPr>
          <w:rFonts w:ascii="Times New Roman" w:hAnsi="Times New Roman" w:cs="Times New Roman"/>
          <w:sz w:val="24"/>
          <w:szCs w:val="24"/>
        </w:rPr>
        <w:t xml:space="preserve">efektywności systemu przeciwdziałania przemocy w rodzinie. </w:t>
      </w:r>
    </w:p>
    <w:p w14:paraId="1A5F9E76" w14:textId="77777777" w:rsidR="00EF0A98" w:rsidRPr="00EF0A98" w:rsidRDefault="00EF0A98" w:rsidP="00F95E75">
      <w:pPr>
        <w:spacing w:after="0"/>
        <w:jc w:val="both"/>
        <w:rPr>
          <w:rFonts w:ascii="Times New Roman" w:hAnsi="Times New Roman" w:cs="Times New Roman"/>
          <w:sz w:val="24"/>
          <w:szCs w:val="24"/>
        </w:rPr>
      </w:pPr>
    </w:p>
    <w:p w14:paraId="614EDBE6" w14:textId="77777777" w:rsidR="00EF0A98" w:rsidRPr="00EF0A98" w:rsidRDefault="00EF0A98" w:rsidP="00F95E75">
      <w:pPr>
        <w:spacing w:after="0"/>
        <w:jc w:val="both"/>
        <w:rPr>
          <w:rFonts w:ascii="Times New Roman" w:eastAsia="Calibri" w:hAnsi="Times New Roman" w:cs="Times New Roman"/>
          <w:sz w:val="24"/>
          <w:szCs w:val="24"/>
        </w:rPr>
      </w:pPr>
      <w:r w:rsidRPr="00EF0A98">
        <w:rPr>
          <w:rFonts w:ascii="Times New Roman" w:hAnsi="Times New Roman" w:cs="Times New Roman"/>
          <w:sz w:val="24"/>
          <w:szCs w:val="24"/>
        </w:rPr>
        <w:t>Uniwersalny charakter regulacji z zakresu przeciwdziałania przemocy w rodzinie sprawia, że osoby starsze doznające przemocy mają możliwość uzyskania pomocy i wsparcia w ramach zadań realizowanych przez poszczegó</w:t>
      </w:r>
      <w:r w:rsidR="001579A5">
        <w:rPr>
          <w:rFonts w:ascii="Times New Roman" w:hAnsi="Times New Roman" w:cs="Times New Roman"/>
          <w:sz w:val="24"/>
          <w:szCs w:val="24"/>
        </w:rPr>
        <w:t xml:space="preserve">lne szczeble administracji, np. </w:t>
      </w:r>
      <w:r w:rsidRPr="00EF0A98">
        <w:rPr>
          <w:rFonts w:ascii="Times New Roman" w:hAnsi="Times New Roman" w:cs="Times New Roman"/>
          <w:sz w:val="24"/>
          <w:szCs w:val="24"/>
        </w:rPr>
        <w:t>w sytuacji zagrożenia życia lub zdrowia mogą uzyskać schronienie w specjalistycznym ośrodku wsparcia dla ofiar przemocy w rodzinie, czy skorzystać z oferty poradnictwa specjalistycznego.</w:t>
      </w:r>
    </w:p>
    <w:p w14:paraId="2956E7E3" w14:textId="77777777" w:rsidR="00EF0A98" w:rsidRPr="00EF0A98" w:rsidRDefault="00EF0A98" w:rsidP="00F95E75">
      <w:pPr>
        <w:spacing w:after="0"/>
        <w:jc w:val="both"/>
        <w:rPr>
          <w:rFonts w:ascii="Times New Roman" w:eastAsia="Calibri" w:hAnsi="Times New Roman" w:cs="Times New Roman"/>
          <w:sz w:val="24"/>
          <w:szCs w:val="24"/>
        </w:rPr>
      </w:pPr>
    </w:p>
    <w:p w14:paraId="060AC76F" w14:textId="77777777" w:rsidR="00EF0A98" w:rsidRPr="00EF0A98" w:rsidRDefault="00EF0A98" w:rsidP="00F95E75">
      <w:pPr>
        <w:spacing w:after="0"/>
        <w:jc w:val="both"/>
        <w:rPr>
          <w:rFonts w:ascii="Times New Roman" w:eastAsia="Calibri" w:hAnsi="Times New Roman" w:cs="Times New Roman"/>
          <w:sz w:val="24"/>
          <w:szCs w:val="24"/>
        </w:rPr>
      </w:pPr>
      <w:r w:rsidRPr="00EF0A98">
        <w:rPr>
          <w:rFonts w:ascii="Times New Roman" w:eastAsia="Calibri" w:hAnsi="Times New Roman" w:cs="Times New Roman"/>
          <w:sz w:val="24"/>
          <w:szCs w:val="24"/>
        </w:rPr>
        <w:t xml:space="preserve">Ważnym elementem systemu jest profesjonalizacja służb. W tym celu w ramach Programu prowadzone są szkolenia dla osób pracujących w obszarze przeciwdziałania przemocy </w:t>
      </w:r>
      <w:r w:rsidRPr="00EF0A98">
        <w:rPr>
          <w:rFonts w:ascii="Times New Roman" w:eastAsia="Calibri" w:hAnsi="Times New Roman" w:cs="Times New Roman"/>
          <w:sz w:val="24"/>
          <w:szCs w:val="24"/>
        </w:rPr>
        <w:br/>
        <w:t xml:space="preserve">w rodzinie np. pracowników socjalnych, funkcjonariuszy policji, kuratorów, przedstawicieli oświaty czy służby zdrowia. Nie bez znaczenia jest fakt, że zgodnie z przepisami </w:t>
      </w:r>
      <w:r w:rsidRPr="001579A5">
        <w:rPr>
          <w:rFonts w:ascii="Times New Roman" w:eastAsia="Calibri" w:hAnsi="Times New Roman" w:cs="Times New Roman"/>
          <w:i/>
          <w:sz w:val="24"/>
          <w:szCs w:val="24"/>
        </w:rPr>
        <w:t>ustawy o przeciwdziałaniu przemocy w rodzinie</w:t>
      </w:r>
      <w:r w:rsidRPr="00EF0A98">
        <w:rPr>
          <w:rFonts w:ascii="Times New Roman" w:eastAsia="Calibri" w:hAnsi="Times New Roman" w:cs="Times New Roman"/>
          <w:sz w:val="24"/>
          <w:szCs w:val="24"/>
        </w:rPr>
        <w:t>, minister ds. zabezpieczenia społecznego raz na dwa lata ma obowiązek opracowania i wydawania wytycznych do prowadzenia szkoleń w zakresie przeciwdziałania przemocy w rodzinie. Dokument taki został wydany pod koniec kwietnia 2020 r. i w części dotyczącej opisu merytorycznego szkoleń zawarty został blok tematyczny pod nazwą „Przemoc wobec osób starszych i niepełnosprawnych”.</w:t>
      </w:r>
    </w:p>
    <w:p w14:paraId="6691AA3D" w14:textId="77777777" w:rsidR="00EF0A98" w:rsidRPr="00EF0A98" w:rsidRDefault="00EF0A98" w:rsidP="00F95E75">
      <w:pPr>
        <w:spacing w:after="0"/>
        <w:jc w:val="both"/>
        <w:rPr>
          <w:rFonts w:ascii="Times New Roman" w:eastAsia="Calibri" w:hAnsi="Times New Roman" w:cs="Times New Roman"/>
          <w:sz w:val="24"/>
          <w:szCs w:val="24"/>
        </w:rPr>
      </w:pPr>
    </w:p>
    <w:p w14:paraId="7D3CD9D9" w14:textId="77777777" w:rsidR="00EF0A98" w:rsidRPr="00EF0A98" w:rsidRDefault="00EF0A98" w:rsidP="00F95E75">
      <w:pPr>
        <w:spacing w:after="0"/>
        <w:jc w:val="both"/>
        <w:rPr>
          <w:rFonts w:ascii="Times New Roman" w:eastAsia="Calibri" w:hAnsi="Times New Roman" w:cs="Times New Roman"/>
          <w:sz w:val="24"/>
          <w:szCs w:val="24"/>
        </w:rPr>
      </w:pPr>
      <w:r w:rsidRPr="00EF0A98">
        <w:rPr>
          <w:rFonts w:ascii="Times New Roman" w:eastAsia="Calibri" w:hAnsi="Times New Roman" w:cs="Times New Roman"/>
          <w:sz w:val="24"/>
          <w:szCs w:val="24"/>
        </w:rPr>
        <w:t xml:space="preserve">Monitorowanie oraz sprawozdawczość zjawiska przemocy w rodzinie odbywa się rokrocznie w ramach realizacji Krajowego Programu Przeciwdziałania Przemocy w Rodzinie. Sprawozdania z realizacji Krajowego Programu Przeciwdziałania Przemocy w Rodzinie są przyjmowane przez Sejm i Senat Rzeczypospolitej Polskiej i są dostępne na stronie internetowej w zakładce </w:t>
      </w:r>
      <w:r w:rsidRPr="00EF0A98">
        <w:rPr>
          <w:rFonts w:ascii="Times New Roman" w:eastAsia="Calibri" w:hAnsi="Times New Roman" w:cs="Times New Roman"/>
          <w:i/>
          <w:sz w:val="24"/>
          <w:szCs w:val="24"/>
        </w:rPr>
        <w:t xml:space="preserve">Przeciwdziałanie przemocy w rodzinie. </w:t>
      </w:r>
      <w:r w:rsidRPr="00EF0A98">
        <w:rPr>
          <w:rFonts w:ascii="Times New Roman" w:eastAsia="Calibri" w:hAnsi="Times New Roman" w:cs="Times New Roman"/>
          <w:sz w:val="24"/>
          <w:szCs w:val="24"/>
        </w:rPr>
        <w:t xml:space="preserve">Należy zauważyć, że dane statystyczne zbierane są z wyodrębnieniem kategorii osób starszych. </w:t>
      </w:r>
    </w:p>
    <w:p w14:paraId="227E450E" w14:textId="77777777" w:rsidR="00EF0A98" w:rsidRPr="00EF0A98" w:rsidRDefault="00EF0A98" w:rsidP="003C1988">
      <w:pPr>
        <w:spacing w:after="0"/>
        <w:rPr>
          <w:rFonts w:ascii="Times New Roman" w:hAnsi="Times New Roman" w:cs="Times New Roman"/>
          <w:sz w:val="24"/>
          <w:szCs w:val="24"/>
        </w:rPr>
      </w:pPr>
    </w:p>
    <w:p w14:paraId="612C013A" w14:textId="77777777" w:rsidR="00EF0A98" w:rsidRPr="002B5542" w:rsidRDefault="00EF0A98" w:rsidP="003C1988">
      <w:pPr>
        <w:spacing w:after="0"/>
        <w:rPr>
          <w:rFonts w:ascii="Times New Roman" w:hAnsi="Times New Roman" w:cs="Times New Roman"/>
          <w:b/>
          <w:color w:val="00B0F0"/>
          <w:sz w:val="24"/>
          <w:szCs w:val="24"/>
        </w:rPr>
      </w:pPr>
      <w:r w:rsidRPr="002B5542">
        <w:rPr>
          <w:rFonts w:ascii="Times New Roman" w:hAnsi="Times New Roman" w:cs="Times New Roman"/>
          <w:b/>
          <w:color w:val="00B0F0"/>
          <w:sz w:val="24"/>
          <w:szCs w:val="24"/>
        </w:rPr>
        <w:t>Karta dużej Rodziny</w:t>
      </w:r>
    </w:p>
    <w:p w14:paraId="7037F16C" w14:textId="1B2FA395" w:rsidR="00E210DD" w:rsidRPr="00EF0A98" w:rsidRDefault="00E210DD" w:rsidP="001579A5">
      <w:pPr>
        <w:spacing w:after="0"/>
        <w:jc w:val="both"/>
        <w:rPr>
          <w:rFonts w:ascii="Times New Roman" w:hAnsi="Times New Roman" w:cs="Times New Roman"/>
          <w:spacing w:val="-5"/>
          <w:sz w:val="24"/>
          <w:szCs w:val="24"/>
        </w:rPr>
      </w:pPr>
      <w:r w:rsidRPr="00EF0A98">
        <w:rPr>
          <w:rFonts w:ascii="Times New Roman" w:hAnsi="Times New Roman" w:cs="Times New Roman"/>
          <w:sz w:val="24"/>
          <w:szCs w:val="24"/>
        </w:rPr>
        <w:lastRenderedPageBreak/>
        <w:t xml:space="preserve">Zgodnie z nowelizacją </w:t>
      </w:r>
      <w:r w:rsidRPr="001579A5">
        <w:rPr>
          <w:rFonts w:ascii="Times New Roman" w:hAnsi="Times New Roman" w:cs="Times New Roman"/>
          <w:i/>
          <w:sz w:val="24"/>
          <w:szCs w:val="24"/>
        </w:rPr>
        <w:t xml:space="preserve">ustawy </w:t>
      </w:r>
      <w:r w:rsidRPr="001579A5">
        <w:rPr>
          <w:rFonts w:ascii="Times New Roman" w:hAnsi="Times New Roman" w:cs="Times New Roman"/>
          <w:i/>
          <w:spacing w:val="-5"/>
          <w:sz w:val="24"/>
          <w:szCs w:val="24"/>
        </w:rPr>
        <w:t>z dnia 5 grudnia 2014 r. o Karcie Dużej Rodziny</w:t>
      </w:r>
      <w:r w:rsidRPr="00EF0A98">
        <w:rPr>
          <w:rFonts w:ascii="Times New Roman" w:hAnsi="Times New Roman" w:cs="Times New Roman"/>
          <w:spacing w:val="-5"/>
          <w:sz w:val="24"/>
          <w:szCs w:val="24"/>
        </w:rPr>
        <w:t xml:space="preserve"> </w:t>
      </w:r>
      <w:r w:rsidRPr="00EF0A98">
        <w:rPr>
          <w:rFonts w:ascii="Times New Roman" w:hAnsi="Times New Roman" w:cs="Times New Roman"/>
          <w:sz w:val="24"/>
          <w:szCs w:val="24"/>
        </w:rPr>
        <w:t xml:space="preserve">od 1 stycznia 2019 r. </w:t>
      </w:r>
      <w:r w:rsidRPr="00EF0A98">
        <w:rPr>
          <w:rFonts w:ascii="Times New Roman" w:hAnsi="Times New Roman" w:cs="Times New Roman"/>
          <w:spacing w:val="-5"/>
          <w:sz w:val="24"/>
          <w:szCs w:val="24"/>
        </w:rPr>
        <w:t xml:space="preserve">prawo do posiadania Karty Dużej Rodziny przysługuje wszystkim rodzicom oraz małżonkom rodziców, którzy mają lub kiedykolwiek mieli na utrzymaniu łącznie co najmniej troje dzieci. Wprowadzenie powyższej zmiany, umożliwia posiadanie Karty Dużej Rodziny rodzicom, którzy posiadają lub posiadali na utrzymaniu dzieci. Takie rozwiązanie zapewnia zniżki na podstawie Karty Dużej Rodziny także osobom starszym, które miały na utrzymaniu </w:t>
      </w:r>
      <w:r w:rsidR="00676358">
        <w:rPr>
          <w:rFonts w:ascii="Times New Roman" w:hAnsi="Times New Roman" w:cs="Times New Roman"/>
          <w:spacing w:val="-5"/>
          <w:sz w:val="24"/>
          <w:szCs w:val="24"/>
        </w:rPr>
        <w:t xml:space="preserve">co najmniej </w:t>
      </w:r>
      <w:r w:rsidRPr="00EF0A98">
        <w:rPr>
          <w:rFonts w:ascii="Times New Roman" w:hAnsi="Times New Roman" w:cs="Times New Roman"/>
          <w:spacing w:val="-5"/>
          <w:sz w:val="24"/>
          <w:szCs w:val="24"/>
        </w:rPr>
        <w:t xml:space="preserve">trójkę dzieci. </w:t>
      </w:r>
    </w:p>
    <w:p w14:paraId="2D35B6E5" w14:textId="77777777" w:rsidR="00E210DD" w:rsidRPr="00EF0A98" w:rsidRDefault="00E210DD" w:rsidP="001579A5">
      <w:pPr>
        <w:spacing w:after="0"/>
        <w:jc w:val="both"/>
        <w:rPr>
          <w:rFonts w:ascii="Times New Roman" w:hAnsi="Times New Roman" w:cs="Times New Roman"/>
          <w:spacing w:val="-5"/>
          <w:sz w:val="24"/>
          <w:szCs w:val="24"/>
        </w:rPr>
      </w:pPr>
    </w:p>
    <w:p w14:paraId="00B63002" w14:textId="77777777" w:rsidR="00E210DD" w:rsidRDefault="00E210DD" w:rsidP="001579A5">
      <w:pPr>
        <w:spacing w:after="0"/>
        <w:jc w:val="both"/>
        <w:rPr>
          <w:rFonts w:ascii="Times New Roman" w:hAnsi="Times New Roman" w:cs="Times New Roman"/>
          <w:spacing w:val="-5"/>
          <w:sz w:val="24"/>
          <w:szCs w:val="24"/>
        </w:rPr>
      </w:pPr>
      <w:r w:rsidRPr="00EF0A98">
        <w:rPr>
          <w:rFonts w:ascii="Times New Roman" w:hAnsi="Times New Roman" w:cs="Times New Roman"/>
          <w:spacing w:val="-5"/>
          <w:sz w:val="24"/>
          <w:szCs w:val="24"/>
        </w:rPr>
        <w:t xml:space="preserve">Według stanu na dzień 31 grudnia 2019 r., z nowych uprawnień skorzystało 575 928 rodziców i małżonków rodziców, a obecnie - 667 750. Posiadacze Karty Dużej Rodziny mogą korzystać z szerokiego zakresu zniżek i usług skierowanych do rodzin wielodzietnych. W całym kraju zniżki świadczone są w ponad 26 tys. miejsc. </w:t>
      </w:r>
    </w:p>
    <w:p w14:paraId="685C74C5" w14:textId="77777777" w:rsidR="00C1609E" w:rsidRDefault="00C1609E" w:rsidP="001579A5">
      <w:pPr>
        <w:spacing w:after="0"/>
        <w:jc w:val="both"/>
        <w:rPr>
          <w:rFonts w:ascii="Times New Roman" w:hAnsi="Times New Roman" w:cs="Times New Roman"/>
          <w:spacing w:val="-5"/>
          <w:sz w:val="24"/>
          <w:szCs w:val="24"/>
        </w:rPr>
      </w:pPr>
    </w:p>
    <w:p w14:paraId="3DF8A4AD" w14:textId="77777777" w:rsidR="00C1609E" w:rsidRPr="002B5542" w:rsidRDefault="00C1609E" w:rsidP="001579A5">
      <w:pPr>
        <w:spacing w:after="0"/>
        <w:jc w:val="both"/>
        <w:rPr>
          <w:rFonts w:ascii="Times New Roman" w:hAnsi="Times New Roman" w:cs="Times New Roman"/>
          <w:b/>
          <w:color w:val="00B0F0"/>
          <w:spacing w:val="-5"/>
          <w:sz w:val="24"/>
          <w:szCs w:val="24"/>
        </w:rPr>
      </w:pPr>
      <w:r w:rsidRPr="002B5542">
        <w:rPr>
          <w:rFonts w:ascii="Times New Roman" w:hAnsi="Times New Roman" w:cs="Times New Roman"/>
          <w:b/>
          <w:color w:val="00B0F0"/>
          <w:spacing w:val="-5"/>
          <w:sz w:val="24"/>
          <w:szCs w:val="24"/>
        </w:rPr>
        <w:t>PFRON</w:t>
      </w:r>
    </w:p>
    <w:p w14:paraId="06D25080" w14:textId="77777777" w:rsidR="00C1609E" w:rsidRPr="00C1609E" w:rsidRDefault="00C1609E" w:rsidP="001579A5">
      <w:pPr>
        <w:spacing w:after="0"/>
        <w:jc w:val="both"/>
        <w:rPr>
          <w:rFonts w:ascii="Times New Roman" w:hAnsi="Times New Roman" w:cs="Times New Roman"/>
          <w:sz w:val="24"/>
          <w:szCs w:val="24"/>
        </w:rPr>
      </w:pPr>
      <w:r w:rsidRPr="00C1609E">
        <w:rPr>
          <w:rFonts w:ascii="Times New Roman" w:hAnsi="Times New Roman" w:cs="Times New Roman"/>
          <w:sz w:val="24"/>
          <w:szCs w:val="24"/>
        </w:rPr>
        <w:t xml:space="preserve">W ramach zadań zlecanych (art. 36 </w:t>
      </w:r>
      <w:r w:rsidRPr="001579A5">
        <w:rPr>
          <w:rFonts w:ascii="Times New Roman" w:hAnsi="Times New Roman" w:cs="Times New Roman"/>
          <w:i/>
          <w:sz w:val="24"/>
          <w:szCs w:val="24"/>
        </w:rPr>
        <w:t>ustawy o</w:t>
      </w:r>
      <w:r w:rsidRPr="001579A5">
        <w:rPr>
          <w:rFonts w:ascii="Times New Roman" w:hAnsi="Times New Roman" w:cs="Times New Roman"/>
          <w:i/>
          <w:iCs/>
          <w:sz w:val="24"/>
          <w:szCs w:val="24"/>
        </w:rPr>
        <w:t xml:space="preserve"> rehabilitacji zawodowej i społecznej oraz zatrudnianiu osób niepełnosprawnych</w:t>
      </w:r>
      <w:r w:rsidRPr="00C1609E">
        <w:rPr>
          <w:rFonts w:ascii="Times New Roman" w:hAnsi="Times New Roman" w:cs="Times New Roman"/>
          <w:sz w:val="24"/>
          <w:szCs w:val="24"/>
        </w:rPr>
        <w:t>) organ</w:t>
      </w:r>
      <w:r w:rsidR="001579A5">
        <w:rPr>
          <w:rFonts w:ascii="Times New Roman" w:hAnsi="Times New Roman" w:cs="Times New Roman"/>
          <w:sz w:val="24"/>
          <w:szCs w:val="24"/>
        </w:rPr>
        <w:t xml:space="preserve">izacjom pozarządowym w 2019 r. objęto wsparciem 7 </w:t>
      </w:r>
      <w:r w:rsidRPr="00C1609E">
        <w:rPr>
          <w:rFonts w:ascii="Times New Roman" w:hAnsi="Times New Roman" w:cs="Times New Roman"/>
          <w:sz w:val="24"/>
          <w:szCs w:val="24"/>
        </w:rPr>
        <w:t>163 osoby w wieku emerytalnym. Pomoc dla takich osób udzielana była w 334 projektach.</w:t>
      </w:r>
    </w:p>
    <w:p w14:paraId="4D66F532" w14:textId="77777777" w:rsidR="00C1609E" w:rsidRDefault="00C1609E" w:rsidP="001579A5">
      <w:pPr>
        <w:spacing w:after="0"/>
        <w:jc w:val="both"/>
        <w:rPr>
          <w:rFonts w:ascii="Times New Roman" w:hAnsi="Times New Roman" w:cs="Times New Roman"/>
          <w:sz w:val="24"/>
          <w:szCs w:val="24"/>
        </w:rPr>
      </w:pPr>
    </w:p>
    <w:p w14:paraId="01D96FEF" w14:textId="77777777" w:rsidR="00C1609E" w:rsidRPr="00C1609E" w:rsidRDefault="00C1609E" w:rsidP="001579A5">
      <w:pPr>
        <w:spacing w:after="0"/>
        <w:jc w:val="both"/>
        <w:rPr>
          <w:rFonts w:ascii="Times New Roman" w:hAnsi="Times New Roman" w:cs="Times New Roman"/>
          <w:sz w:val="24"/>
          <w:szCs w:val="24"/>
        </w:rPr>
      </w:pPr>
      <w:r w:rsidRPr="00C1609E">
        <w:rPr>
          <w:rFonts w:ascii="Times New Roman" w:hAnsi="Times New Roman" w:cs="Times New Roman"/>
          <w:sz w:val="24"/>
          <w:szCs w:val="24"/>
        </w:rPr>
        <w:t>Państwowy Fundusz Rehabilitacji Osób Niepełnosprawnych w ramach działań uzupełniających (programy zatwierdzane przez Radę Nadzorczą PFRON) wspiera finansowo osoby niepełnosprawne spełniające warunki uczestnictwa w tych programach. W  przypadku pilotażowego programu „Aktywny samorząd” seniorzy w wieku emerytalnym mogą korzystać bez ograniczeń z poniższych zadań:</w:t>
      </w:r>
    </w:p>
    <w:p w14:paraId="0DA7E577" w14:textId="77777777" w:rsidR="00C1609E" w:rsidRPr="00C1609E" w:rsidRDefault="00C1609E" w:rsidP="008C71A9">
      <w:pPr>
        <w:numPr>
          <w:ilvl w:val="0"/>
          <w:numId w:val="302"/>
        </w:numPr>
        <w:spacing w:after="0"/>
        <w:ind w:left="360"/>
        <w:jc w:val="both"/>
        <w:rPr>
          <w:rFonts w:ascii="Times New Roman" w:hAnsi="Times New Roman" w:cs="Times New Roman"/>
          <w:i/>
          <w:iCs/>
          <w:sz w:val="24"/>
          <w:szCs w:val="24"/>
        </w:rPr>
      </w:pPr>
      <w:r w:rsidRPr="00C1609E">
        <w:rPr>
          <w:rFonts w:ascii="Times New Roman" w:hAnsi="Times New Roman" w:cs="Times New Roman"/>
          <w:sz w:val="24"/>
          <w:szCs w:val="24"/>
        </w:rPr>
        <w:t>Moduł I – likwidacja barier utrudniających aktywizację społeczną i zawodową – Obszar C Zadanie 2 (pomoc w utrzymaniu sprawności technicznej posiadanego skutera lub wózka inwalidzkiego o napędzie elektrycznym),</w:t>
      </w:r>
    </w:p>
    <w:p w14:paraId="7D1ABE33" w14:textId="77777777" w:rsidR="00C1609E" w:rsidRPr="00C1609E" w:rsidRDefault="00C1609E" w:rsidP="008C71A9">
      <w:pPr>
        <w:numPr>
          <w:ilvl w:val="0"/>
          <w:numId w:val="302"/>
        </w:numPr>
        <w:spacing w:after="0"/>
        <w:ind w:left="360"/>
        <w:jc w:val="both"/>
        <w:rPr>
          <w:rFonts w:ascii="Times New Roman" w:hAnsi="Times New Roman" w:cs="Times New Roman"/>
          <w:sz w:val="24"/>
          <w:szCs w:val="24"/>
        </w:rPr>
      </w:pPr>
      <w:r w:rsidRPr="00C1609E">
        <w:rPr>
          <w:rFonts w:ascii="Times New Roman" w:hAnsi="Times New Roman" w:cs="Times New Roman"/>
          <w:sz w:val="24"/>
          <w:szCs w:val="24"/>
        </w:rPr>
        <w:t>Moduł II – pomoc w uzyskaniu wykształcenia na poziomie wyższym,</w:t>
      </w:r>
    </w:p>
    <w:p w14:paraId="05FFB5AC" w14:textId="77777777" w:rsidR="00C1609E" w:rsidRPr="001579A5" w:rsidRDefault="00C1609E" w:rsidP="008C71A9">
      <w:pPr>
        <w:pStyle w:val="Akapitzlist"/>
        <w:numPr>
          <w:ilvl w:val="0"/>
          <w:numId w:val="302"/>
        </w:numPr>
        <w:spacing w:after="0"/>
        <w:ind w:left="360"/>
        <w:jc w:val="both"/>
        <w:rPr>
          <w:rFonts w:ascii="Times New Roman" w:hAnsi="Times New Roman" w:cs="Times New Roman"/>
          <w:sz w:val="24"/>
          <w:szCs w:val="24"/>
        </w:rPr>
      </w:pPr>
      <w:r w:rsidRPr="001579A5">
        <w:rPr>
          <w:rFonts w:ascii="Times New Roman" w:hAnsi="Times New Roman" w:cs="Times New Roman"/>
          <w:sz w:val="24"/>
          <w:szCs w:val="24"/>
        </w:rPr>
        <w:t>oraz w ograniczonym zakresie (jeśli są zatrudnieni) z pozostałych zadań ww. programu:</w:t>
      </w:r>
    </w:p>
    <w:p w14:paraId="3DE946CD" w14:textId="77777777" w:rsidR="001579A5" w:rsidRDefault="001579A5" w:rsidP="001579A5">
      <w:pPr>
        <w:spacing w:after="0"/>
        <w:jc w:val="both"/>
        <w:rPr>
          <w:rFonts w:ascii="Times New Roman" w:hAnsi="Times New Roman" w:cs="Times New Roman"/>
          <w:sz w:val="24"/>
          <w:szCs w:val="24"/>
        </w:rPr>
      </w:pPr>
    </w:p>
    <w:p w14:paraId="394DEC9B" w14:textId="77777777" w:rsidR="00C1609E" w:rsidRPr="00C1609E" w:rsidRDefault="00C1609E" w:rsidP="001579A5">
      <w:pPr>
        <w:spacing w:after="0"/>
        <w:jc w:val="both"/>
        <w:rPr>
          <w:rFonts w:ascii="Times New Roman" w:hAnsi="Times New Roman" w:cs="Times New Roman"/>
          <w:i/>
          <w:iCs/>
          <w:sz w:val="24"/>
          <w:szCs w:val="24"/>
        </w:rPr>
      </w:pPr>
      <w:r w:rsidRPr="00C1609E">
        <w:rPr>
          <w:rFonts w:ascii="Times New Roman" w:hAnsi="Times New Roman" w:cs="Times New Roman"/>
          <w:sz w:val="24"/>
          <w:szCs w:val="24"/>
        </w:rPr>
        <w:t xml:space="preserve">Moduł I – likwidacja barier utrudniających aktywizację społeczną i zawodową: </w:t>
      </w:r>
    </w:p>
    <w:p w14:paraId="7D7AD0BE" w14:textId="77777777" w:rsidR="00C1609E" w:rsidRPr="001579A5" w:rsidRDefault="00C1609E" w:rsidP="001579A5">
      <w:pPr>
        <w:spacing w:after="0"/>
        <w:jc w:val="both"/>
        <w:rPr>
          <w:rFonts w:ascii="Times New Roman" w:hAnsi="Times New Roman" w:cs="Times New Roman"/>
          <w:sz w:val="24"/>
          <w:szCs w:val="24"/>
        </w:rPr>
      </w:pPr>
      <w:r w:rsidRPr="001579A5">
        <w:rPr>
          <w:rFonts w:ascii="Times New Roman" w:hAnsi="Times New Roman" w:cs="Times New Roman"/>
          <w:sz w:val="24"/>
          <w:szCs w:val="24"/>
        </w:rPr>
        <w:t>Obszar A – likwidacja bariery transportowej:</w:t>
      </w:r>
    </w:p>
    <w:p w14:paraId="6BA71271" w14:textId="77777777" w:rsidR="00C1609E" w:rsidRPr="00C1609E" w:rsidRDefault="00C1609E" w:rsidP="001579A5">
      <w:pPr>
        <w:spacing w:after="0"/>
        <w:jc w:val="both"/>
        <w:rPr>
          <w:rFonts w:ascii="Times New Roman" w:hAnsi="Times New Roman" w:cs="Times New Roman"/>
          <w:sz w:val="24"/>
          <w:szCs w:val="24"/>
        </w:rPr>
      </w:pPr>
      <w:r w:rsidRPr="00C1609E">
        <w:rPr>
          <w:rFonts w:ascii="Times New Roman" w:hAnsi="Times New Roman" w:cs="Times New Roman"/>
          <w:sz w:val="24"/>
          <w:szCs w:val="24"/>
        </w:rPr>
        <w:t>Zadania: 1 i 4 – pomoc w zakupie i montażu oprzyrządowania do posiadanego samochodu,</w:t>
      </w:r>
    </w:p>
    <w:p w14:paraId="037B57FD" w14:textId="77777777" w:rsidR="00C1609E" w:rsidRPr="001579A5" w:rsidRDefault="00C1609E" w:rsidP="008C71A9">
      <w:pPr>
        <w:pStyle w:val="Akapitzlist"/>
        <w:numPr>
          <w:ilvl w:val="0"/>
          <w:numId w:val="303"/>
        </w:numPr>
        <w:spacing w:after="0"/>
        <w:ind w:left="360"/>
        <w:jc w:val="both"/>
        <w:rPr>
          <w:rFonts w:ascii="Times New Roman" w:hAnsi="Times New Roman" w:cs="Times New Roman"/>
          <w:sz w:val="24"/>
          <w:szCs w:val="24"/>
        </w:rPr>
      </w:pPr>
      <w:r w:rsidRPr="001579A5">
        <w:rPr>
          <w:rFonts w:ascii="Times New Roman" w:hAnsi="Times New Roman" w:cs="Times New Roman"/>
          <w:sz w:val="24"/>
          <w:szCs w:val="24"/>
        </w:rPr>
        <w:t>Obszar B – likwidacja barier w dostępie do uczestniczenia w społeczeństwie informacyjnym:</w:t>
      </w:r>
    </w:p>
    <w:p w14:paraId="2DEB3DC8" w14:textId="77777777" w:rsidR="00C1609E" w:rsidRPr="00C1609E" w:rsidRDefault="00C1609E" w:rsidP="008C71A9">
      <w:pPr>
        <w:numPr>
          <w:ilvl w:val="0"/>
          <w:numId w:val="304"/>
        </w:numPr>
        <w:spacing w:after="0"/>
        <w:ind w:left="643"/>
        <w:jc w:val="both"/>
        <w:rPr>
          <w:rFonts w:ascii="Times New Roman" w:hAnsi="Times New Roman" w:cs="Times New Roman"/>
          <w:sz w:val="24"/>
          <w:szCs w:val="24"/>
        </w:rPr>
      </w:pPr>
      <w:r w:rsidRPr="00C1609E">
        <w:rPr>
          <w:rFonts w:ascii="Times New Roman" w:hAnsi="Times New Roman" w:cs="Times New Roman"/>
          <w:sz w:val="24"/>
          <w:szCs w:val="24"/>
        </w:rPr>
        <w:t>Zadania: 1, 3 i 4 – pomoc w zakupie sprzętu elektronicznego lub jego elementów oraz oprogramowania,</w:t>
      </w:r>
    </w:p>
    <w:p w14:paraId="34ADF654" w14:textId="77777777" w:rsidR="00C1609E" w:rsidRPr="00C1609E" w:rsidRDefault="00C1609E" w:rsidP="008C71A9">
      <w:pPr>
        <w:numPr>
          <w:ilvl w:val="0"/>
          <w:numId w:val="304"/>
        </w:numPr>
        <w:spacing w:after="0"/>
        <w:ind w:left="643"/>
        <w:jc w:val="both"/>
        <w:rPr>
          <w:rFonts w:ascii="Times New Roman" w:hAnsi="Times New Roman" w:cs="Times New Roman"/>
          <w:sz w:val="24"/>
          <w:szCs w:val="24"/>
        </w:rPr>
      </w:pPr>
      <w:r w:rsidRPr="00C1609E">
        <w:rPr>
          <w:rFonts w:ascii="Times New Roman" w:hAnsi="Times New Roman" w:cs="Times New Roman"/>
          <w:sz w:val="24"/>
          <w:szCs w:val="24"/>
        </w:rPr>
        <w:t>Zadanie 2 – dofinansowanie szkoleń w zakresie obsługi nabytego w ramach programu sprzętu elektronicznego i oprogramowania,</w:t>
      </w:r>
    </w:p>
    <w:p w14:paraId="10CFB1BC" w14:textId="77777777" w:rsidR="00C1609E" w:rsidRPr="00C1609E" w:rsidRDefault="00C1609E" w:rsidP="008C71A9">
      <w:pPr>
        <w:numPr>
          <w:ilvl w:val="0"/>
          <w:numId w:val="304"/>
        </w:numPr>
        <w:spacing w:after="0"/>
        <w:ind w:left="643"/>
        <w:jc w:val="both"/>
        <w:rPr>
          <w:rFonts w:ascii="Times New Roman" w:hAnsi="Times New Roman" w:cs="Times New Roman"/>
          <w:sz w:val="24"/>
          <w:szCs w:val="24"/>
        </w:rPr>
      </w:pPr>
      <w:r w:rsidRPr="00C1609E">
        <w:rPr>
          <w:rFonts w:ascii="Times New Roman" w:hAnsi="Times New Roman" w:cs="Times New Roman"/>
          <w:sz w:val="24"/>
          <w:szCs w:val="24"/>
        </w:rPr>
        <w:t>Zadanie 5 – pomoc w utrzymaniu sprawności technicznej posiadanego sprzętu elektronicznego;</w:t>
      </w:r>
    </w:p>
    <w:p w14:paraId="0AE23C23" w14:textId="77777777" w:rsidR="00C1609E" w:rsidRPr="00C1609E" w:rsidRDefault="00C1609E" w:rsidP="001579A5">
      <w:pPr>
        <w:spacing w:after="0"/>
        <w:jc w:val="both"/>
        <w:rPr>
          <w:rFonts w:ascii="Times New Roman" w:hAnsi="Times New Roman" w:cs="Times New Roman"/>
          <w:sz w:val="24"/>
          <w:szCs w:val="24"/>
        </w:rPr>
      </w:pPr>
      <w:r w:rsidRPr="00C1609E">
        <w:rPr>
          <w:rFonts w:ascii="Times New Roman" w:hAnsi="Times New Roman" w:cs="Times New Roman"/>
          <w:sz w:val="24"/>
          <w:szCs w:val="24"/>
        </w:rPr>
        <w:lastRenderedPageBreak/>
        <w:t>Obszar C – likwidacja barier w poruszaniu się:</w:t>
      </w:r>
    </w:p>
    <w:p w14:paraId="2429BF17" w14:textId="77777777" w:rsidR="00C1609E" w:rsidRPr="00C1609E" w:rsidRDefault="00C1609E" w:rsidP="001579A5">
      <w:pPr>
        <w:spacing w:after="0"/>
        <w:jc w:val="both"/>
        <w:rPr>
          <w:rFonts w:ascii="Times New Roman" w:hAnsi="Times New Roman" w:cs="Times New Roman"/>
          <w:sz w:val="24"/>
          <w:szCs w:val="24"/>
        </w:rPr>
      </w:pPr>
      <w:r w:rsidRPr="00C1609E">
        <w:rPr>
          <w:rFonts w:ascii="Times New Roman" w:hAnsi="Times New Roman" w:cs="Times New Roman"/>
          <w:sz w:val="24"/>
          <w:szCs w:val="24"/>
        </w:rPr>
        <w:t>Zadanie 1 – pomoc w zakupie wózka inwalidzkiego o napędzie elektrycznym,</w:t>
      </w:r>
    </w:p>
    <w:p w14:paraId="7094ADEB" w14:textId="77777777" w:rsidR="00C1609E" w:rsidRPr="00C1609E" w:rsidRDefault="00C1609E" w:rsidP="001579A5">
      <w:pPr>
        <w:spacing w:after="0"/>
        <w:jc w:val="both"/>
        <w:rPr>
          <w:rFonts w:ascii="Times New Roman" w:hAnsi="Times New Roman" w:cs="Times New Roman"/>
          <w:sz w:val="24"/>
          <w:szCs w:val="24"/>
        </w:rPr>
      </w:pPr>
      <w:r w:rsidRPr="00C1609E">
        <w:rPr>
          <w:rFonts w:ascii="Times New Roman" w:hAnsi="Times New Roman" w:cs="Times New Roman"/>
          <w:sz w:val="24"/>
          <w:szCs w:val="24"/>
        </w:rPr>
        <w:t>Zadanie 3 – pomoc w zakupie protezy kończyny, w której zastosowano nowoczesne rozwiązania techniczne,</w:t>
      </w:r>
    </w:p>
    <w:p w14:paraId="12E1050A" w14:textId="77777777" w:rsidR="00C1609E" w:rsidRPr="00C1609E" w:rsidRDefault="00C1609E" w:rsidP="001579A5">
      <w:pPr>
        <w:spacing w:after="0"/>
        <w:jc w:val="both"/>
        <w:rPr>
          <w:rFonts w:ascii="Times New Roman" w:hAnsi="Times New Roman" w:cs="Times New Roman"/>
          <w:sz w:val="24"/>
          <w:szCs w:val="24"/>
        </w:rPr>
      </w:pPr>
      <w:r w:rsidRPr="00C1609E">
        <w:rPr>
          <w:rFonts w:ascii="Times New Roman" w:hAnsi="Times New Roman" w:cs="Times New Roman"/>
          <w:sz w:val="24"/>
          <w:szCs w:val="24"/>
        </w:rPr>
        <w:t>Zadanie 4 – pomoc w utrzymaniu sprawności technicznej posiadanej protezy kończyny, w której zastosowano nowoczesne rozwiązania techniczne,</w:t>
      </w:r>
    </w:p>
    <w:p w14:paraId="5D8AFD10" w14:textId="77777777" w:rsidR="00C1609E" w:rsidRPr="00C1609E" w:rsidRDefault="00C1609E" w:rsidP="001579A5">
      <w:pPr>
        <w:spacing w:after="0"/>
        <w:jc w:val="both"/>
        <w:rPr>
          <w:rFonts w:ascii="Times New Roman" w:hAnsi="Times New Roman" w:cs="Times New Roman"/>
          <w:sz w:val="24"/>
          <w:szCs w:val="24"/>
        </w:rPr>
      </w:pPr>
      <w:r w:rsidRPr="00C1609E">
        <w:rPr>
          <w:rFonts w:ascii="Times New Roman" w:hAnsi="Times New Roman" w:cs="Times New Roman"/>
          <w:sz w:val="24"/>
          <w:szCs w:val="24"/>
        </w:rPr>
        <w:t>Zadanie 5 – pomoc w zakupie skutera inwalidzkiego o napędzie elektrycznym lub oprzyrządowania elektrycznego do wózka ręcznego.</w:t>
      </w:r>
    </w:p>
    <w:p w14:paraId="381B4400" w14:textId="77777777" w:rsidR="00C1609E" w:rsidRDefault="00C1609E" w:rsidP="001579A5">
      <w:pPr>
        <w:spacing w:after="0"/>
        <w:jc w:val="both"/>
        <w:rPr>
          <w:rFonts w:ascii="Times New Roman" w:hAnsi="Times New Roman" w:cs="Times New Roman"/>
          <w:sz w:val="24"/>
          <w:szCs w:val="24"/>
        </w:rPr>
      </w:pPr>
    </w:p>
    <w:p w14:paraId="2FEAD8DF" w14:textId="635DAA9E" w:rsidR="00C1609E" w:rsidRPr="00C1609E" w:rsidRDefault="00C1609E" w:rsidP="001579A5">
      <w:pPr>
        <w:spacing w:after="0"/>
        <w:jc w:val="both"/>
        <w:rPr>
          <w:rFonts w:ascii="Times New Roman" w:hAnsi="Times New Roman" w:cs="Times New Roman"/>
          <w:sz w:val="24"/>
          <w:szCs w:val="24"/>
        </w:rPr>
      </w:pPr>
      <w:r w:rsidRPr="00C1609E">
        <w:rPr>
          <w:rFonts w:ascii="Times New Roman" w:hAnsi="Times New Roman" w:cs="Times New Roman"/>
          <w:sz w:val="24"/>
          <w:szCs w:val="24"/>
        </w:rPr>
        <w:t>Państwowy Fundusz Rehabilitacji Osób Niepełnosprawnyc</w:t>
      </w:r>
      <w:r w:rsidR="00365AC6">
        <w:rPr>
          <w:rFonts w:ascii="Times New Roman" w:hAnsi="Times New Roman" w:cs="Times New Roman"/>
          <w:sz w:val="24"/>
          <w:szCs w:val="24"/>
        </w:rPr>
        <w:t>h do 2020 r.</w:t>
      </w:r>
      <w:r w:rsidRPr="00C1609E">
        <w:rPr>
          <w:rFonts w:ascii="Times New Roman" w:hAnsi="Times New Roman" w:cs="Times New Roman"/>
          <w:sz w:val="24"/>
          <w:szCs w:val="24"/>
        </w:rPr>
        <w:t xml:space="preserve"> nie prowadził odrębnego rejestru wniosków złożonych przez osoby w wieku emerytalnym, ale aktualnie wnioski są rejestrowane w Systemie Obsługi Wsparcia finansowanego ze środków PFRON, który umożliwi generowanie takich danych (począwszy od 202</w:t>
      </w:r>
      <w:r w:rsidR="00365AC6">
        <w:rPr>
          <w:rFonts w:ascii="Times New Roman" w:hAnsi="Times New Roman" w:cs="Times New Roman"/>
          <w:sz w:val="24"/>
          <w:szCs w:val="24"/>
        </w:rPr>
        <w:t>0 r.</w:t>
      </w:r>
      <w:r w:rsidRPr="00C1609E">
        <w:rPr>
          <w:rFonts w:ascii="Times New Roman" w:hAnsi="Times New Roman" w:cs="Times New Roman"/>
          <w:sz w:val="24"/>
          <w:szCs w:val="24"/>
        </w:rPr>
        <w:t>).</w:t>
      </w:r>
      <w:r w:rsidR="00204D7D">
        <w:rPr>
          <w:rFonts w:ascii="Times New Roman" w:hAnsi="Times New Roman" w:cs="Times New Roman"/>
          <w:sz w:val="24"/>
          <w:szCs w:val="24"/>
        </w:rPr>
        <w:t xml:space="preserve"> </w:t>
      </w:r>
      <w:r w:rsidRPr="00C1609E">
        <w:rPr>
          <w:rFonts w:ascii="Times New Roman" w:hAnsi="Times New Roman" w:cs="Times New Roman"/>
          <w:sz w:val="24"/>
          <w:szCs w:val="24"/>
        </w:rPr>
        <w:t>Zadanie czynności doradczych w obszarze uzyskania sprzętu wspomagającego funkcjonowanie i zwiększającego samodzielność niesamodzielnych osób niepełnosprawnych i korzystania z niego, jest aktualnie realizowany przez PFRON w Obszarze C pilotażowego programu „Aktywny samorząd” (likwidacja barier w poruszaniu się):</w:t>
      </w:r>
    </w:p>
    <w:p w14:paraId="5F8EC1B8" w14:textId="77777777" w:rsidR="00C1609E" w:rsidRPr="00C1609E" w:rsidRDefault="00C1609E" w:rsidP="00365AC6">
      <w:pPr>
        <w:spacing w:after="0"/>
        <w:jc w:val="both"/>
        <w:rPr>
          <w:rFonts w:ascii="Times New Roman" w:hAnsi="Times New Roman" w:cs="Times New Roman"/>
          <w:sz w:val="24"/>
          <w:szCs w:val="24"/>
        </w:rPr>
      </w:pPr>
      <w:r w:rsidRPr="00C1609E">
        <w:rPr>
          <w:rFonts w:ascii="Times New Roman" w:hAnsi="Times New Roman" w:cs="Times New Roman"/>
          <w:sz w:val="24"/>
          <w:szCs w:val="24"/>
        </w:rPr>
        <w:t>Zadanie 1 – pomoc w zakupie wózka inwalidzkiego o napędzie elektrycznym;</w:t>
      </w:r>
    </w:p>
    <w:p w14:paraId="02AAA077" w14:textId="77777777" w:rsidR="00C1609E" w:rsidRPr="00C1609E" w:rsidRDefault="00C1609E" w:rsidP="00365AC6">
      <w:pPr>
        <w:spacing w:after="0"/>
        <w:jc w:val="both"/>
        <w:rPr>
          <w:rFonts w:ascii="Times New Roman" w:hAnsi="Times New Roman" w:cs="Times New Roman"/>
          <w:sz w:val="24"/>
          <w:szCs w:val="24"/>
        </w:rPr>
      </w:pPr>
      <w:r w:rsidRPr="00C1609E">
        <w:rPr>
          <w:rFonts w:ascii="Times New Roman" w:hAnsi="Times New Roman" w:cs="Times New Roman"/>
          <w:sz w:val="24"/>
          <w:szCs w:val="24"/>
        </w:rPr>
        <w:t>Zadanie 3 – pomoc w zakupie protezy kończyny, w której zastosowano nowoczesne rozwiązania techniczne;</w:t>
      </w:r>
    </w:p>
    <w:p w14:paraId="66DAA8EE" w14:textId="77777777" w:rsidR="00C1609E" w:rsidRPr="00C1609E" w:rsidRDefault="00C1609E" w:rsidP="00365AC6">
      <w:pPr>
        <w:spacing w:after="0"/>
        <w:jc w:val="both"/>
        <w:rPr>
          <w:rFonts w:ascii="Times New Roman" w:hAnsi="Times New Roman" w:cs="Times New Roman"/>
          <w:sz w:val="24"/>
          <w:szCs w:val="24"/>
        </w:rPr>
      </w:pPr>
      <w:r w:rsidRPr="00C1609E">
        <w:rPr>
          <w:rFonts w:ascii="Times New Roman" w:hAnsi="Times New Roman" w:cs="Times New Roman"/>
          <w:sz w:val="24"/>
          <w:szCs w:val="24"/>
        </w:rPr>
        <w:t>Zadanie 4 – pomoc w utrzymaniu sprawności technicznej posiadanej protezy kończyny, w której zastosowano nowoczesne rozwiązania techniczne;</w:t>
      </w:r>
    </w:p>
    <w:p w14:paraId="38EEF8AA" w14:textId="7769DF5D" w:rsidR="00C1609E" w:rsidRDefault="00C1609E" w:rsidP="001579A5">
      <w:pPr>
        <w:spacing w:after="0"/>
        <w:jc w:val="both"/>
        <w:rPr>
          <w:rFonts w:ascii="Times New Roman" w:hAnsi="Times New Roman" w:cs="Times New Roman"/>
          <w:sz w:val="24"/>
          <w:szCs w:val="24"/>
        </w:rPr>
      </w:pPr>
      <w:r w:rsidRPr="00C1609E">
        <w:rPr>
          <w:rFonts w:ascii="Times New Roman" w:hAnsi="Times New Roman" w:cs="Times New Roman"/>
          <w:sz w:val="24"/>
          <w:szCs w:val="24"/>
        </w:rPr>
        <w:t>Zadanie 5 – pomoc w zakupie skutera inwalidzkiego o napędzie elektrycznym lub oprzyrządowania elektrycznego do wózka ręcznego.</w:t>
      </w:r>
    </w:p>
    <w:p w14:paraId="33AAFA68" w14:textId="77777777" w:rsidR="00204D7D" w:rsidRDefault="00204D7D" w:rsidP="001579A5">
      <w:pPr>
        <w:spacing w:after="0"/>
        <w:jc w:val="both"/>
        <w:rPr>
          <w:rFonts w:ascii="Times New Roman" w:hAnsi="Times New Roman" w:cs="Times New Roman"/>
          <w:sz w:val="24"/>
          <w:szCs w:val="24"/>
        </w:rPr>
      </w:pPr>
    </w:p>
    <w:p w14:paraId="42C6581E" w14:textId="77777777" w:rsidR="00C1609E" w:rsidRPr="00C1609E" w:rsidRDefault="00C1609E" w:rsidP="001579A5">
      <w:pPr>
        <w:spacing w:after="0"/>
        <w:jc w:val="both"/>
        <w:rPr>
          <w:rFonts w:ascii="Times New Roman" w:hAnsi="Times New Roman" w:cs="Times New Roman"/>
          <w:sz w:val="24"/>
          <w:szCs w:val="24"/>
        </w:rPr>
      </w:pPr>
      <w:r w:rsidRPr="00C1609E">
        <w:rPr>
          <w:rFonts w:ascii="Times New Roman" w:hAnsi="Times New Roman" w:cs="Times New Roman"/>
          <w:sz w:val="24"/>
          <w:szCs w:val="24"/>
        </w:rPr>
        <w:t xml:space="preserve">System ekspercki, z uwagi na racjonalność i efektywność wsparcia, będzie sukcesywnie rozwijany także w innych zadaniach finansowanych ze środków PFRON. Obejmie on także osoby w wieku emerytalnym, jeśli będą spełniały warunki uczestnictwa w programie. </w:t>
      </w:r>
    </w:p>
    <w:p w14:paraId="4E2F3FE1" w14:textId="78D89FD8" w:rsidR="000C2731" w:rsidRDefault="000C2731" w:rsidP="001579A5">
      <w:pPr>
        <w:spacing w:after="0"/>
        <w:jc w:val="both"/>
        <w:rPr>
          <w:rFonts w:ascii="Times New Roman" w:hAnsi="Times New Roman" w:cs="Times New Roman"/>
          <w:sz w:val="24"/>
          <w:szCs w:val="24"/>
        </w:rPr>
      </w:pPr>
    </w:p>
    <w:p w14:paraId="297911CA" w14:textId="5526D3CA" w:rsidR="00204D7D" w:rsidRPr="00204D7D" w:rsidRDefault="00204D7D" w:rsidP="001579A5">
      <w:pPr>
        <w:spacing w:after="0"/>
        <w:jc w:val="both"/>
        <w:rPr>
          <w:rFonts w:ascii="Times New Roman" w:hAnsi="Times New Roman" w:cs="Times New Roman"/>
          <w:b/>
          <w:color w:val="00B0F0"/>
          <w:sz w:val="24"/>
          <w:szCs w:val="24"/>
        </w:rPr>
      </w:pPr>
      <w:r w:rsidRPr="00204D7D">
        <w:rPr>
          <w:rFonts w:ascii="Times New Roman" w:hAnsi="Times New Roman" w:cs="Times New Roman"/>
          <w:b/>
          <w:color w:val="00B0F0"/>
          <w:sz w:val="24"/>
          <w:szCs w:val="24"/>
        </w:rPr>
        <w:t>Strategia na rzecz Osób z  Niepełnosprawnościami 2020-2030</w:t>
      </w:r>
    </w:p>
    <w:p w14:paraId="6E57D926" w14:textId="5DDA657E" w:rsidR="00204D7D" w:rsidRPr="00204D7D" w:rsidRDefault="00204D7D" w:rsidP="001579A5">
      <w:pPr>
        <w:spacing w:after="0"/>
        <w:jc w:val="both"/>
        <w:rPr>
          <w:rFonts w:ascii="Times New Roman" w:hAnsi="Times New Roman" w:cs="Times New Roman"/>
          <w:sz w:val="24"/>
          <w:szCs w:val="24"/>
        </w:rPr>
      </w:pPr>
      <w:r w:rsidRPr="00204D7D">
        <w:rPr>
          <w:rFonts w:ascii="Times New Roman" w:hAnsi="Times New Roman" w:cs="Times New Roman"/>
          <w:color w:val="000000"/>
          <w:sz w:val="24"/>
          <w:szCs w:val="24"/>
        </w:rPr>
        <w:t xml:space="preserve">Aktualnie w Ministerstwie Rodziny, Pracy i Polityki Społecznej trwają końcowe prace nad </w:t>
      </w:r>
      <w:r w:rsidRPr="00204D7D">
        <w:rPr>
          <w:rFonts w:ascii="Times New Roman" w:hAnsi="Times New Roman" w:cs="Times New Roman"/>
          <w:i/>
          <w:color w:val="000000"/>
          <w:sz w:val="24"/>
          <w:szCs w:val="24"/>
        </w:rPr>
        <w:t>Strategią na rzecz Osób z  Niepełnosprawnościami 2020-2030</w:t>
      </w:r>
      <w:r w:rsidRPr="00204D7D">
        <w:rPr>
          <w:rFonts w:ascii="Times New Roman" w:hAnsi="Times New Roman" w:cs="Times New Roman"/>
          <w:color w:val="000000"/>
          <w:sz w:val="24"/>
          <w:szCs w:val="24"/>
        </w:rPr>
        <w:t xml:space="preserve">. Działania zaplanowane w ramach realizacji założeń, a następnie wdrażania Strategii, posłużą jako podstawa dla nowego systemu wsparcia osób niepełnosprawnych, w tym osób starszych, który będzie oddziaływał na istotne obszary dla życia osób niepełnosprawnych, takie jak: niezależne życie, zdrowie, czy zabezpieczenie społeczne. Realizacja działań zawartych w </w:t>
      </w:r>
      <w:r w:rsidRPr="00204D7D">
        <w:rPr>
          <w:rFonts w:ascii="Times New Roman" w:hAnsi="Times New Roman" w:cs="Times New Roman"/>
          <w:i/>
          <w:color w:val="000000"/>
          <w:sz w:val="24"/>
          <w:szCs w:val="24"/>
        </w:rPr>
        <w:t xml:space="preserve">Strategii na rzecz Osób z Niepełnosprawnościami </w:t>
      </w:r>
      <w:r w:rsidRPr="00204D7D">
        <w:rPr>
          <w:rFonts w:ascii="Times New Roman" w:hAnsi="Times New Roman" w:cs="Times New Roman"/>
          <w:color w:val="000000"/>
          <w:sz w:val="24"/>
          <w:szCs w:val="24"/>
        </w:rPr>
        <w:t>umożliwi osobom z niepełnosprawnościami niezależne życie i pełny udział we wszystkich jego sferach, w taki sposób, aby mogły funkcjonować w społeczeństwie na zasadzie równości z innymi osobami.</w:t>
      </w:r>
    </w:p>
    <w:p w14:paraId="05B2716F" w14:textId="77777777" w:rsidR="00EF0A98" w:rsidRPr="002B5542" w:rsidRDefault="00EF0A98" w:rsidP="001579A5">
      <w:pPr>
        <w:spacing w:after="0"/>
        <w:jc w:val="both"/>
        <w:rPr>
          <w:rFonts w:ascii="Times New Roman" w:hAnsi="Times New Roman" w:cs="Times New Roman"/>
          <w:b/>
          <w:color w:val="00B0F0"/>
          <w:sz w:val="24"/>
          <w:szCs w:val="24"/>
        </w:rPr>
      </w:pPr>
      <w:r w:rsidRPr="002B5542">
        <w:rPr>
          <w:rFonts w:ascii="Times New Roman" w:hAnsi="Times New Roman" w:cs="Times New Roman"/>
          <w:b/>
          <w:color w:val="00B0F0"/>
          <w:sz w:val="24"/>
          <w:szCs w:val="24"/>
        </w:rPr>
        <w:t>Projekt pt. „Wsparcie realizacji badań panelowych osób w wieku 50 lat i więcej w międzynarodowym projekcie Survey of Health, Ageing and Retirement in Europe (SHARE)”</w:t>
      </w:r>
    </w:p>
    <w:p w14:paraId="29B668DF" w14:textId="77777777" w:rsidR="00EF0A98" w:rsidRPr="00EF0A98" w:rsidRDefault="00EF0A98" w:rsidP="001579A5">
      <w:pPr>
        <w:spacing w:after="0"/>
        <w:jc w:val="both"/>
        <w:rPr>
          <w:rFonts w:ascii="Times New Roman" w:hAnsi="Times New Roman" w:cs="Times New Roman"/>
          <w:b/>
          <w:sz w:val="24"/>
          <w:szCs w:val="24"/>
        </w:rPr>
      </w:pPr>
    </w:p>
    <w:p w14:paraId="55E1F9AB" w14:textId="77777777" w:rsidR="00451B9D" w:rsidRDefault="00261FCE" w:rsidP="001579A5">
      <w:pPr>
        <w:pStyle w:val="Stopka"/>
        <w:tabs>
          <w:tab w:val="clear" w:pos="4536"/>
          <w:tab w:val="clear" w:pos="9072"/>
        </w:tabs>
        <w:spacing w:line="276" w:lineRule="auto"/>
        <w:jc w:val="both"/>
      </w:pPr>
      <w:r>
        <w:rPr>
          <w:spacing w:val="-4"/>
        </w:rPr>
        <w:t>W MRPiPS od 2016 r.</w:t>
      </w:r>
      <w:r w:rsidR="00451B9D" w:rsidRPr="00451B9D">
        <w:rPr>
          <w:spacing w:val="-4"/>
        </w:rPr>
        <w:t xml:space="preserve"> realizowany jest </w:t>
      </w:r>
      <w:r w:rsidR="00451B9D" w:rsidRPr="00451B9D">
        <w:t>projekt pt. „Wsparcie realizacji badań panelowych osób w wieku 50 lat i więcej w międzynarodowym projekcie Survey of Health, Ageing and Retirement in Europe (SHARE)”, finansowany ze środków Europejskiego Funduszu Społecznego w ramach Programu Operacyjnego Wiedza Edukacja Rozwój.  Celem projektu jest wyposażenie instytucji rynku pracy w zasoby informacyjne pozwalające zwiększyć efektywność wsparcia na rynku pracy osób w wieku 50+ z uwzględnieniem informacji m.in. o zdrowiu, aktywności zawodowej, kapitale ludzkim, sytuacji materialnej i sytuacji rodzinnej tej grupy osób.</w:t>
      </w:r>
    </w:p>
    <w:p w14:paraId="5933F9F9" w14:textId="77777777" w:rsidR="00451B9D" w:rsidRPr="00451B9D" w:rsidRDefault="00451B9D" w:rsidP="001579A5">
      <w:pPr>
        <w:pStyle w:val="Stopka"/>
        <w:tabs>
          <w:tab w:val="clear" w:pos="4536"/>
          <w:tab w:val="clear" w:pos="9072"/>
        </w:tabs>
        <w:spacing w:line="276" w:lineRule="auto"/>
        <w:jc w:val="both"/>
      </w:pPr>
    </w:p>
    <w:p w14:paraId="3A09B207" w14:textId="77777777" w:rsidR="00451B9D" w:rsidRDefault="00451B9D" w:rsidP="001579A5">
      <w:pPr>
        <w:autoSpaceDE w:val="0"/>
        <w:autoSpaceDN w:val="0"/>
        <w:adjustRightInd w:val="0"/>
        <w:spacing w:after="0"/>
        <w:jc w:val="both"/>
        <w:rPr>
          <w:rFonts w:ascii="Times New Roman" w:hAnsi="Times New Roman" w:cs="Times New Roman"/>
          <w:sz w:val="24"/>
          <w:szCs w:val="24"/>
        </w:rPr>
      </w:pPr>
      <w:r w:rsidRPr="00451B9D">
        <w:rPr>
          <w:rFonts w:ascii="Times New Roman" w:hAnsi="Times New Roman" w:cs="Times New Roman"/>
          <w:sz w:val="24"/>
          <w:szCs w:val="24"/>
        </w:rPr>
        <w:t xml:space="preserve">SHARE stanowi międzynarodową panelową bazę danych dotyczących zdrowia, statusu socjoekonomicznego oraz stosunków rodzinnych i społecznych. Panelowy charakter badania pozwala na ocenę dynamiki procesów starzenia się populacji, zaś jego międzynarodowy charakter umożliwia ujęcie uzyskanych wyników w szerszym kontekście. Dane z badania pozwalają na jednoczesną ocenę m.in. sytuacji zdrowotnej, sytuacji na rynku pracy, umiejętności poznawczych oraz procesów podejmowania decyzji o przejściu na emeryturę. Baza danych SHARE jest zharmonizowana z amerykańską bazą Health and Retirement Study (HRS) i angielską bazą English Longitudinal Study of Ageing (ELSA). </w:t>
      </w:r>
    </w:p>
    <w:p w14:paraId="20FF97F4" w14:textId="77777777" w:rsidR="00451B9D" w:rsidRPr="00451B9D" w:rsidRDefault="00451B9D" w:rsidP="001579A5">
      <w:pPr>
        <w:autoSpaceDE w:val="0"/>
        <w:autoSpaceDN w:val="0"/>
        <w:adjustRightInd w:val="0"/>
        <w:spacing w:after="0"/>
        <w:jc w:val="both"/>
        <w:rPr>
          <w:rFonts w:ascii="Times New Roman" w:hAnsi="Times New Roman" w:cs="Times New Roman"/>
          <w:sz w:val="24"/>
          <w:szCs w:val="24"/>
          <w:highlight w:val="yellow"/>
        </w:rPr>
      </w:pPr>
    </w:p>
    <w:p w14:paraId="08752437" w14:textId="77777777" w:rsidR="00451B9D" w:rsidRDefault="00451B9D" w:rsidP="001579A5">
      <w:pPr>
        <w:spacing w:after="0"/>
        <w:jc w:val="both"/>
        <w:rPr>
          <w:rFonts w:ascii="Times New Roman" w:hAnsi="Times New Roman" w:cs="Times New Roman"/>
          <w:sz w:val="24"/>
          <w:szCs w:val="24"/>
        </w:rPr>
      </w:pPr>
      <w:r w:rsidRPr="00451B9D">
        <w:rPr>
          <w:rFonts w:ascii="Times New Roman" w:hAnsi="Times New Roman" w:cs="Times New Roman"/>
          <w:sz w:val="24"/>
          <w:szCs w:val="24"/>
        </w:rPr>
        <w:t xml:space="preserve">W 2019 r. w wyniku spotkania i dyskusji, w której udział wzięli przedstawiciele Ministerstwa Zdrowia, Centralnego Instytutu Ochrony Pracy oraz Departamentu Funduszy i Departamentu Prawa Pracy w MRPiPS, przedyskutowane zostały rekomendacje dla polityki na rzecz aktywizacji zawodowej osób w wieku 50+ w obszarze „Uwarunkowania zatrudnienia w okresie przedemerytalnym”. Powstały one na podstawie analiz wyników badania 6 i 7 rundy projektu. Na ich podstawie wypracowano wskazania dla polityki publicznej, adresowane do wybranych grup: pracowników w wieku 50+, a także szerszej populacji w tym wieku, jak również pracodawców i władz samorządowych. Zakres rekomendacji dotyczy przeciwdziałań problemom zdrowotnym powodującym wczesne odchodzenie z rynku pracy. </w:t>
      </w:r>
    </w:p>
    <w:p w14:paraId="10FB0AC8" w14:textId="77777777" w:rsidR="00451B9D" w:rsidRPr="00451B9D" w:rsidRDefault="00451B9D" w:rsidP="001579A5">
      <w:pPr>
        <w:spacing w:after="0"/>
        <w:jc w:val="both"/>
        <w:rPr>
          <w:rFonts w:ascii="Times New Roman" w:hAnsi="Times New Roman" w:cs="Times New Roman"/>
          <w:sz w:val="24"/>
          <w:szCs w:val="24"/>
        </w:rPr>
      </w:pPr>
    </w:p>
    <w:p w14:paraId="09D941FF" w14:textId="77777777" w:rsidR="00451B9D" w:rsidRPr="00451B9D" w:rsidRDefault="00451B9D" w:rsidP="001579A5">
      <w:pPr>
        <w:spacing w:after="0"/>
        <w:jc w:val="both"/>
        <w:rPr>
          <w:rFonts w:ascii="Times New Roman" w:hAnsi="Times New Roman" w:cs="Times New Roman"/>
          <w:sz w:val="24"/>
          <w:szCs w:val="24"/>
        </w:rPr>
      </w:pPr>
      <w:r w:rsidRPr="00451B9D">
        <w:rPr>
          <w:rFonts w:ascii="Times New Roman" w:hAnsi="Times New Roman" w:cs="Times New Roman"/>
          <w:sz w:val="24"/>
          <w:szCs w:val="24"/>
        </w:rPr>
        <w:t>Poza tym rozpoczęto realizację kolejnej rundy badania głównego z formularzem dodatkowej krajowej ankiety w badaniu SHARE, której celem jest uzupełnienie informacji zebranych w badaniu głównym, dotyczących umiejętności kognitywnych i aktywności osób w wieku 50 i więcej lat. Celem tych badań jest znalezienie zależności pomiędzy umiejętnościami poznawczymi a aktywnością na rynku pracy osób powyżej 50 roku życia.</w:t>
      </w:r>
    </w:p>
    <w:p w14:paraId="6EC594F9" w14:textId="77777777" w:rsidR="00451B9D" w:rsidRPr="00451B9D" w:rsidRDefault="00451B9D" w:rsidP="001579A5">
      <w:pPr>
        <w:spacing w:after="0"/>
        <w:jc w:val="both"/>
        <w:rPr>
          <w:rFonts w:ascii="Times New Roman" w:hAnsi="Times New Roman" w:cs="Times New Roman"/>
          <w:sz w:val="24"/>
          <w:szCs w:val="24"/>
        </w:rPr>
      </w:pPr>
    </w:p>
    <w:p w14:paraId="2CF0FD49" w14:textId="77777777" w:rsidR="00451B9D" w:rsidRDefault="00451B9D" w:rsidP="00261FCE">
      <w:pPr>
        <w:spacing w:after="0"/>
        <w:jc w:val="both"/>
        <w:rPr>
          <w:rFonts w:ascii="Times New Roman" w:hAnsi="Times New Roman" w:cs="Times New Roman"/>
          <w:sz w:val="24"/>
          <w:szCs w:val="24"/>
        </w:rPr>
      </w:pPr>
      <w:r w:rsidRPr="00451B9D">
        <w:rPr>
          <w:rFonts w:ascii="Times New Roman" w:hAnsi="Times New Roman" w:cs="Times New Roman"/>
          <w:sz w:val="24"/>
          <w:szCs w:val="24"/>
        </w:rPr>
        <w:t>Dodatkowo rozpoczęto pilotażowy moduł badania aktywności fizycznej za pomocą akcelerometrów, pozwalającym na przeprowadzenie badania aktywności ruchowej respondentów. Poza tym kontynuowano prace dotyczące koncepcji systemu zbierającego dostępne dane statystyczne na temat sytuacji społeczno-ekonomicznej osób w wieku 50+ w Polsce ze szczególnym uwzględnieniem sytuacji na rynku pracy, czynników wpływających na aktywność zawodową tej grupy osób oraz przyczyn i konsekwencji wczesnego</w:t>
      </w:r>
      <w:r w:rsidR="00261FCE">
        <w:rPr>
          <w:rFonts w:ascii="Times New Roman" w:hAnsi="Times New Roman" w:cs="Times New Roman"/>
          <w:sz w:val="24"/>
          <w:szCs w:val="24"/>
        </w:rPr>
        <w:t xml:space="preserve"> wycofywania się z rynku pracy.</w:t>
      </w:r>
    </w:p>
    <w:p w14:paraId="3431917E" w14:textId="77777777" w:rsidR="00261FCE" w:rsidRPr="00261FCE" w:rsidRDefault="00261FCE" w:rsidP="00261FCE">
      <w:pPr>
        <w:spacing w:after="0"/>
        <w:jc w:val="both"/>
        <w:rPr>
          <w:rFonts w:ascii="Times New Roman" w:hAnsi="Times New Roman" w:cs="Times New Roman"/>
          <w:sz w:val="24"/>
          <w:szCs w:val="24"/>
        </w:rPr>
      </w:pPr>
    </w:p>
    <w:p w14:paraId="6CA75C8C" w14:textId="77777777" w:rsidR="000C4CE3" w:rsidRPr="002B5542" w:rsidRDefault="000C4CE3" w:rsidP="00261FCE">
      <w:pPr>
        <w:pStyle w:val="Akapitzlist"/>
        <w:spacing w:after="0"/>
        <w:ind w:left="0"/>
        <w:rPr>
          <w:rFonts w:ascii="Times New Roman" w:hAnsi="Times New Roman"/>
          <w:b/>
          <w:color w:val="00B0F0"/>
          <w:sz w:val="24"/>
        </w:rPr>
      </w:pPr>
      <w:r w:rsidRPr="002B5542">
        <w:rPr>
          <w:rFonts w:ascii="Times New Roman" w:hAnsi="Times New Roman"/>
          <w:b/>
          <w:color w:val="00B0F0"/>
          <w:sz w:val="24"/>
        </w:rPr>
        <w:t>Projekt pt. „Rodzina i praca – to się opłaca!”</w:t>
      </w:r>
    </w:p>
    <w:p w14:paraId="6B965587" w14:textId="77777777" w:rsidR="000C4CE3" w:rsidRDefault="000C2731" w:rsidP="00261FCE">
      <w:pPr>
        <w:pStyle w:val="Akapitzlist"/>
        <w:spacing w:after="0"/>
        <w:ind w:left="0"/>
        <w:jc w:val="both"/>
        <w:rPr>
          <w:rFonts w:ascii="Times New Roman" w:hAnsi="Times New Roman"/>
          <w:sz w:val="24"/>
        </w:rPr>
      </w:pPr>
      <w:r w:rsidRPr="00F127F3">
        <w:rPr>
          <w:rFonts w:ascii="Times New Roman" w:hAnsi="Times New Roman"/>
          <w:sz w:val="24"/>
        </w:rPr>
        <w:t xml:space="preserve">Osoby w wieku 50+ nie podejmują zatrudnienia również w związku z trudnościami w godzeniu obowiązków rodzinnych z zawodowymi. MRPiPS dostrzegając ten problem, podjęło realizację projektu „Rodzina i praca – to się opłaca!”, który miał na celu promocję mechanizmów godzenia ról zawodowych i prywatnych, w tym pełnienie funkcji opiekuńczych, przybliżenie pracodawcom i pracownikom wiedzy na temat mechanizmów i instrumentów ułatwiających godzenie życia zawodowego z prywatnym. </w:t>
      </w:r>
    </w:p>
    <w:p w14:paraId="015C00D3" w14:textId="77777777" w:rsidR="000C4CE3" w:rsidRDefault="000C4CE3" w:rsidP="00261FCE">
      <w:pPr>
        <w:pStyle w:val="Akapitzlist"/>
        <w:spacing w:after="0"/>
        <w:ind w:left="0"/>
        <w:jc w:val="both"/>
        <w:rPr>
          <w:rFonts w:ascii="Times New Roman" w:hAnsi="Times New Roman"/>
          <w:sz w:val="24"/>
        </w:rPr>
      </w:pPr>
    </w:p>
    <w:p w14:paraId="41985DF8" w14:textId="77777777" w:rsidR="00451B9D" w:rsidRDefault="000C2731" w:rsidP="00261FCE">
      <w:pPr>
        <w:pStyle w:val="Akapitzlist"/>
        <w:spacing w:after="0"/>
        <w:ind w:left="0"/>
        <w:jc w:val="both"/>
        <w:rPr>
          <w:rFonts w:ascii="Times New Roman" w:hAnsi="Times New Roman"/>
          <w:sz w:val="24"/>
        </w:rPr>
      </w:pPr>
      <w:r w:rsidRPr="00F127F3">
        <w:rPr>
          <w:rFonts w:ascii="Times New Roman" w:hAnsi="Times New Roman"/>
          <w:sz w:val="24"/>
        </w:rPr>
        <w:t>Głównym produktem projektu jest portal www.rodzinaipraca.gov.pl, który w przystępny sposób prezentuje i promuje narzędzia i mechanizmy wspieraj</w:t>
      </w:r>
      <w:r>
        <w:rPr>
          <w:rFonts w:ascii="Times New Roman" w:hAnsi="Times New Roman"/>
          <w:sz w:val="24"/>
        </w:rPr>
        <w:t>ące godzenie życia zawodowego i </w:t>
      </w:r>
      <w:r w:rsidRPr="00F127F3">
        <w:rPr>
          <w:rFonts w:ascii="Times New Roman" w:hAnsi="Times New Roman"/>
          <w:sz w:val="24"/>
        </w:rPr>
        <w:t>prywatnego. Platforma dostarcza informacji na temat konkretnych rozwiązań, także tych wynikających z Kodeksu pracy, odpowiadających na potrzeby różnych grup pracowników, w tym pracowników w starszym wieku,</w:t>
      </w:r>
      <w:r>
        <w:rPr>
          <w:rFonts w:ascii="Times New Roman" w:hAnsi="Times New Roman"/>
          <w:sz w:val="24"/>
        </w:rPr>
        <w:t xml:space="preserve"> przybliża zagadnienia związane </w:t>
      </w:r>
      <w:r w:rsidRPr="00F127F3">
        <w:rPr>
          <w:rFonts w:ascii="Times New Roman" w:hAnsi="Times New Roman"/>
          <w:sz w:val="24"/>
        </w:rPr>
        <w:t>z godzeniem życia zawodowego i prywatnego oraz prezentuje narzędzia m</w:t>
      </w:r>
      <w:r>
        <w:rPr>
          <w:rFonts w:ascii="Times New Roman" w:hAnsi="Times New Roman"/>
          <w:sz w:val="24"/>
        </w:rPr>
        <w:t>ożliwe do wdrożenia w firmach o </w:t>
      </w:r>
      <w:r w:rsidRPr="00F127F3">
        <w:rPr>
          <w:rFonts w:ascii="Times New Roman" w:hAnsi="Times New Roman"/>
          <w:sz w:val="24"/>
        </w:rPr>
        <w:t>różnej specyfice i możliwościach finansowych. W 201</w:t>
      </w:r>
      <w:r>
        <w:rPr>
          <w:rFonts w:ascii="Times New Roman" w:hAnsi="Times New Roman"/>
          <w:sz w:val="24"/>
        </w:rPr>
        <w:t>9</w:t>
      </w:r>
      <w:r w:rsidR="00261FCE">
        <w:rPr>
          <w:rFonts w:ascii="Times New Roman" w:hAnsi="Times New Roman"/>
          <w:sz w:val="24"/>
        </w:rPr>
        <w:t xml:space="preserve"> r.</w:t>
      </w:r>
      <w:r w:rsidRPr="00F127F3">
        <w:rPr>
          <w:rFonts w:ascii="Times New Roman" w:hAnsi="Times New Roman"/>
          <w:sz w:val="24"/>
        </w:rPr>
        <w:t xml:space="preserve"> portal ten był przedmiotem upowszechniania podczas różnych wydarzeń, w których brali udział zarówno pracodawcy jak i pracownicy. Jest to wyjście naprzeciw przedstawicielom zarówno najmłodszego pokolenia na rynku pracy, którzy reprezentują inne pojmowanie miejsca pracy, ale także przedstawicielom pokoleń najstarszych na rynku pracy, których może dotyczyć pełnienie funkcji opiekuńczych n</w:t>
      </w:r>
      <w:r w:rsidR="000C4CE3">
        <w:rPr>
          <w:rFonts w:ascii="Times New Roman" w:hAnsi="Times New Roman"/>
          <w:sz w:val="24"/>
        </w:rPr>
        <w:t xml:space="preserve">ad zależnymi członkami rodzin. </w:t>
      </w:r>
    </w:p>
    <w:p w14:paraId="0D59B93B" w14:textId="77777777" w:rsidR="00261FCE" w:rsidRPr="000C4CE3" w:rsidRDefault="00261FCE" w:rsidP="00261FCE">
      <w:pPr>
        <w:pStyle w:val="Akapitzlist"/>
        <w:spacing w:after="0"/>
        <w:ind w:left="0"/>
        <w:jc w:val="both"/>
        <w:rPr>
          <w:rFonts w:ascii="Times New Roman" w:hAnsi="Times New Roman"/>
          <w:sz w:val="24"/>
        </w:rPr>
      </w:pPr>
    </w:p>
    <w:p w14:paraId="4623CBF9" w14:textId="77777777" w:rsidR="00451B9D" w:rsidRPr="002B5542" w:rsidRDefault="000C4CE3" w:rsidP="00261FCE">
      <w:pPr>
        <w:spacing w:after="0"/>
        <w:jc w:val="both"/>
        <w:rPr>
          <w:b/>
          <w:color w:val="00B0F0"/>
        </w:rPr>
      </w:pPr>
      <w:r w:rsidRPr="002B5542">
        <w:rPr>
          <w:rFonts w:ascii="Times New Roman" w:hAnsi="Times New Roman" w:cs="Times New Roman"/>
          <w:b/>
          <w:color w:val="00B0F0"/>
          <w:sz w:val="24"/>
          <w:szCs w:val="24"/>
          <w:lang w:eastAsia="x-none"/>
        </w:rPr>
        <w:t>Krajowy Program Rozwoju Ekonomii Społecznej do 2023 r. Ekonomia Solidarności Społecznej (KPRES)</w:t>
      </w:r>
    </w:p>
    <w:p w14:paraId="6654EA7E" w14:textId="77777777" w:rsidR="00B42B8C" w:rsidRPr="00B42B8C" w:rsidRDefault="00B42B8C" w:rsidP="00261FCE">
      <w:pPr>
        <w:tabs>
          <w:tab w:val="left" w:pos="567"/>
        </w:tabs>
        <w:suppressAutoHyphens/>
        <w:spacing w:after="0"/>
        <w:jc w:val="both"/>
        <w:rPr>
          <w:rFonts w:ascii="Times New Roman" w:hAnsi="Times New Roman" w:cs="Times New Roman"/>
          <w:sz w:val="24"/>
          <w:szCs w:val="24"/>
          <w:lang w:eastAsia="x-none"/>
        </w:rPr>
      </w:pPr>
      <w:r w:rsidRPr="00B42B8C">
        <w:rPr>
          <w:rFonts w:ascii="Times New Roman" w:hAnsi="Times New Roman" w:cs="Times New Roman"/>
          <w:sz w:val="24"/>
          <w:szCs w:val="24"/>
          <w:lang w:eastAsia="x-none"/>
        </w:rPr>
        <w:t>Od 2019 r. w zaktualizowanym kształcie</w:t>
      </w:r>
      <w:r w:rsidRPr="00B42B8C">
        <w:rPr>
          <w:rFonts w:ascii="Times New Roman" w:hAnsi="Times New Roman" w:cs="Times New Roman"/>
          <w:sz w:val="24"/>
          <w:szCs w:val="24"/>
        </w:rPr>
        <w:t xml:space="preserve"> </w:t>
      </w:r>
      <w:r w:rsidRPr="00B42B8C">
        <w:rPr>
          <w:rFonts w:ascii="Times New Roman" w:hAnsi="Times New Roman" w:cs="Times New Roman"/>
          <w:sz w:val="24"/>
          <w:szCs w:val="24"/>
          <w:lang w:eastAsia="x-none"/>
        </w:rPr>
        <w:t xml:space="preserve">obowiązuje kluczowy dokument określający kierunki polityk publicznych w zakresie ekonomii społecznej i solidarnej pn. </w:t>
      </w:r>
      <w:r w:rsidRPr="00B42B8C">
        <w:rPr>
          <w:rFonts w:ascii="Times New Roman" w:hAnsi="Times New Roman" w:cs="Times New Roman"/>
          <w:i/>
          <w:sz w:val="24"/>
          <w:szCs w:val="24"/>
          <w:lang w:eastAsia="x-none"/>
        </w:rPr>
        <w:t xml:space="preserve">Krajowy Program Rozwoju Ekonomii Społecznej do 2023 r. Ekonomia Solidarności Społecznej </w:t>
      </w:r>
      <w:r w:rsidRPr="00B42B8C">
        <w:rPr>
          <w:rFonts w:ascii="Times New Roman" w:hAnsi="Times New Roman" w:cs="Times New Roman"/>
          <w:sz w:val="24"/>
          <w:szCs w:val="24"/>
          <w:lang w:eastAsia="x-none"/>
        </w:rPr>
        <w:t>(KPRES), w którym problematyka rozwoju ekonomii społecznej z uwzględnieniem sytuacji i potrzeb osób starszych znalazła odzwierciedlenie w wielu punktach.</w:t>
      </w:r>
    </w:p>
    <w:p w14:paraId="62B4D836" w14:textId="77777777" w:rsidR="00B42B8C" w:rsidRPr="00B42B8C" w:rsidRDefault="00B42B8C" w:rsidP="00261FCE">
      <w:pPr>
        <w:tabs>
          <w:tab w:val="left" w:pos="567"/>
        </w:tabs>
        <w:suppressAutoHyphens/>
        <w:spacing w:after="0"/>
        <w:jc w:val="both"/>
        <w:rPr>
          <w:rFonts w:ascii="Times New Roman" w:hAnsi="Times New Roman" w:cs="Times New Roman"/>
          <w:sz w:val="24"/>
          <w:szCs w:val="24"/>
          <w:lang w:eastAsia="x-none"/>
        </w:rPr>
      </w:pPr>
    </w:p>
    <w:p w14:paraId="4ED773CC" w14:textId="77777777" w:rsidR="00B42B8C" w:rsidRPr="00B42B8C" w:rsidRDefault="00B42B8C" w:rsidP="00261FCE">
      <w:pPr>
        <w:tabs>
          <w:tab w:val="left" w:pos="567"/>
        </w:tabs>
        <w:suppressAutoHyphens/>
        <w:spacing w:after="0"/>
        <w:jc w:val="both"/>
        <w:rPr>
          <w:rFonts w:ascii="Times New Roman" w:hAnsi="Times New Roman" w:cs="Times New Roman"/>
          <w:sz w:val="24"/>
          <w:szCs w:val="24"/>
          <w:lang w:eastAsia="x-none"/>
        </w:rPr>
      </w:pPr>
      <w:r w:rsidRPr="00B42B8C">
        <w:rPr>
          <w:rFonts w:ascii="Times New Roman" w:hAnsi="Times New Roman" w:cs="Times New Roman"/>
          <w:sz w:val="24"/>
          <w:szCs w:val="24"/>
          <w:lang w:eastAsia="x-none"/>
        </w:rPr>
        <w:t xml:space="preserve">Pierwszy cel szczegółowy KPRES: </w:t>
      </w:r>
      <w:r w:rsidRPr="00B42B8C">
        <w:rPr>
          <w:rFonts w:ascii="Times New Roman" w:hAnsi="Times New Roman" w:cs="Times New Roman"/>
          <w:i/>
          <w:sz w:val="24"/>
          <w:szCs w:val="24"/>
          <w:lang w:eastAsia="x-none"/>
        </w:rPr>
        <w:t>Wspieranie trwałego partnerstwa podmiotów ekonomii społecznej i solidarnej z samorządem terytorialnym w realizacji usług społecznych użyteczności publicznej oraz zadań publicznych w zakresie rozwoju lokalnego</w:t>
      </w:r>
      <w:r w:rsidRPr="00B42B8C">
        <w:rPr>
          <w:rFonts w:ascii="Times New Roman" w:hAnsi="Times New Roman" w:cs="Times New Roman"/>
          <w:sz w:val="24"/>
          <w:szCs w:val="24"/>
          <w:lang w:eastAsia="x-none"/>
        </w:rPr>
        <w:t xml:space="preserve"> jest realizowany w ramach działań skupionych w obszarze </w:t>
      </w:r>
      <w:r w:rsidRPr="00B42B8C">
        <w:rPr>
          <w:rFonts w:ascii="Times New Roman" w:hAnsi="Times New Roman" w:cs="Times New Roman"/>
          <w:i/>
          <w:sz w:val="24"/>
          <w:szCs w:val="24"/>
          <w:lang w:eastAsia="x-none"/>
        </w:rPr>
        <w:t>Solidarny rynek pracy</w:t>
      </w:r>
      <w:r>
        <w:rPr>
          <w:rFonts w:ascii="Times New Roman" w:hAnsi="Times New Roman" w:cs="Times New Roman"/>
          <w:sz w:val="24"/>
          <w:szCs w:val="24"/>
          <w:lang w:eastAsia="x-none"/>
        </w:rPr>
        <w:t xml:space="preserve">. Jeden </w:t>
      </w:r>
      <w:r w:rsidRPr="00B42B8C">
        <w:rPr>
          <w:rFonts w:ascii="Times New Roman" w:hAnsi="Times New Roman" w:cs="Times New Roman"/>
          <w:sz w:val="24"/>
          <w:szCs w:val="24"/>
          <w:lang w:eastAsia="x-none"/>
        </w:rPr>
        <w:t xml:space="preserve">z priorytetów ww. obszaru – </w:t>
      </w:r>
      <w:r w:rsidRPr="00B42B8C">
        <w:rPr>
          <w:rFonts w:ascii="Times New Roman" w:hAnsi="Times New Roman" w:cs="Times New Roman"/>
          <w:i/>
          <w:sz w:val="24"/>
          <w:szCs w:val="24"/>
          <w:lang w:eastAsia="x-none"/>
        </w:rPr>
        <w:t>Wspieranie reintegracji społecznej i zawodowej osób zagrożonych wykluczeniem społecznym w jednostkach reintegracyjnych</w:t>
      </w:r>
      <w:r w:rsidRPr="00B42B8C">
        <w:rPr>
          <w:rFonts w:ascii="Times New Roman" w:hAnsi="Times New Roman" w:cs="Times New Roman"/>
          <w:sz w:val="24"/>
          <w:szCs w:val="24"/>
          <w:lang w:eastAsia="x-none"/>
        </w:rPr>
        <w:t xml:space="preserve"> obejmuje Działanie I.1.3. </w:t>
      </w:r>
      <w:r w:rsidRPr="00B42B8C">
        <w:rPr>
          <w:rFonts w:ascii="Times New Roman" w:hAnsi="Times New Roman" w:cs="Times New Roman"/>
          <w:i/>
          <w:sz w:val="24"/>
          <w:szCs w:val="24"/>
          <w:lang w:eastAsia="x-none"/>
        </w:rPr>
        <w:t>Rozwój usług społecznych użyteczności publicznej na rzecz rodzin, osób niepełnosprawnych, niesamodzielnych oraz osób starszych</w:t>
      </w:r>
      <w:r w:rsidRPr="00B42B8C">
        <w:rPr>
          <w:rFonts w:ascii="Times New Roman" w:hAnsi="Times New Roman" w:cs="Times New Roman"/>
          <w:sz w:val="24"/>
          <w:szCs w:val="24"/>
          <w:lang w:eastAsia="x-none"/>
        </w:rPr>
        <w:t>.</w:t>
      </w:r>
    </w:p>
    <w:p w14:paraId="3A822D54" w14:textId="77777777" w:rsidR="00B42B8C" w:rsidRDefault="00B42B8C" w:rsidP="00261FCE">
      <w:pPr>
        <w:tabs>
          <w:tab w:val="left" w:pos="567"/>
        </w:tabs>
        <w:suppressAutoHyphens/>
        <w:spacing w:after="0"/>
        <w:jc w:val="both"/>
        <w:rPr>
          <w:rFonts w:ascii="Times New Roman" w:hAnsi="Times New Roman" w:cs="Times New Roman"/>
          <w:sz w:val="24"/>
          <w:szCs w:val="24"/>
          <w:lang w:eastAsia="x-none"/>
        </w:rPr>
      </w:pPr>
    </w:p>
    <w:p w14:paraId="2F11CFA6" w14:textId="77777777" w:rsidR="00B42B8C" w:rsidRPr="00B42B8C" w:rsidRDefault="00B42B8C" w:rsidP="00261FCE">
      <w:pPr>
        <w:tabs>
          <w:tab w:val="left" w:pos="567"/>
        </w:tabs>
        <w:suppressAutoHyphens/>
        <w:spacing w:after="0"/>
        <w:jc w:val="both"/>
        <w:rPr>
          <w:rFonts w:ascii="Times New Roman" w:hAnsi="Times New Roman" w:cs="Times New Roman"/>
          <w:sz w:val="24"/>
          <w:szCs w:val="24"/>
          <w:lang w:eastAsia="x-none"/>
        </w:rPr>
      </w:pPr>
      <w:r w:rsidRPr="00B42B8C">
        <w:rPr>
          <w:rFonts w:ascii="Times New Roman" w:hAnsi="Times New Roman" w:cs="Times New Roman"/>
          <w:sz w:val="24"/>
          <w:szCs w:val="24"/>
          <w:lang w:eastAsia="x-none"/>
        </w:rPr>
        <w:t xml:space="preserve">U podstaw wymienionych tu interwencji leży diagnoza, wskazująca na podmioty ekonomii społecznej i solidarnej jako kluczowych aktorów w świadczeniu usług na rzecz rodzin, osób niepełnosprawnych, niesamodzielnych oraz osób starszych na poziomie lokalnym. Szczególnie </w:t>
      </w:r>
      <w:r w:rsidRPr="00B42B8C">
        <w:rPr>
          <w:rFonts w:ascii="Times New Roman" w:hAnsi="Times New Roman" w:cs="Times New Roman"/>
          <w:sz w:val="24"/>
          <w:szCs w:val="24"/>
          <w:lang w:eastAsia="x-none"/>
        </w:rPr>
        <w:lastRenderedPageBreak/>
        <w:t>istotna w tym przypadku jest zdolność PES, we współpracy z JST,</w:t>
      </w:r>
      <w:r>
        <w:rPr>
          <w:rFonts w:ascii="Times New Roman" w:hAnsi="Times New Roman" w:cs="Times New Roman"/>
          <w:sz w:val="24"/>
          <w:szCs w:val="24"/>
          <w:lang w:eastAsia="x-none"/>
        </w:rPr>
        <w:t xml:space="preserve"> </w:t>
      </w:r>
      <w:r w:rsidRPr="00B42B8C">
        <w:rPr>
          <w:rFonts w:ascii="Times New Roman" w:hAnsi="Times New Roman" w:cs="Times New Roman"/>
          <w:sz w:val="24"/>
          <w:szCs w:val="24"/>
          <w:lang w:eastAsia="x-none"/>
        </w:rPr>
        <w:t xml:space="preserve">do identyfikacji konkretnych i indywidualnych potrzeb występujących w społecznościach lokalnych, a także do opierania działań na potencjale tych społeczności. Należy podkreślić, że ww. rola PES została uwypuklona także w zapisach </w:t>
      </w:r>
      <w:r w:rsidRPr="00B42B8C">
        <w:rPr>
          <w:rFonts w:ascii="Times New Roman" w:hAnsi="Times New Roman" w:cs="Times New Roman"/>
          <w:i/>
          <w:sz w:val="24"/>
          <w:szCs w:val="24"/>
          <w:lang w:eastAsia="x-none"/>
        </w:rPr>
        <w:t>Polityki społecznej wobec osób starszych 2030. Bezpieczeństwo – Uczestnictwo – Solidarność</w:t>
      </w:r>
      <w:r w:rsidRPr="00B42B8C">
        <w:rPr>
          <w:rFonts w:ascii="Times New Roman" w:hAnsi="Times New Roman" w:cs="Times New Roman"/>
          <w:sz w:val="24"/>
          <w:szCs w:val="24"/>
          <w:lang w:eastAsia="x-none"/>
        </w:rPr>
        <w:t>.</w:t>
      </w:r>
    </w:p>
    <w:p w14:paraId="5957EEDE" w14:textId="77777777" w:rsidR="00B42B8C" w:rsidRPr="00B42B8C" w:rsidRDefault="00B42B8C" w:rsidP="00261FCE">
      <w:pPr>
        <w:tabs>
          <w:tab w:val="left" w:pos="567"/>
        </w:tabs>
        <w:suppressAutoHyphens/>
        <w:spacing w:after="0"/>
        <w:jc w:val="both"/>
        <w:rPr>
          <w:rFonts w:ascii="Times New Roman" w:hAnsi="Times New Roman" w:cs="Times New Roman"/>
          <w:sz w:val="24"/>
          <w:szCs w:val="24"/>
          <w:lang w:eastAsia="x-none"/>
        </w:rPr>
      </w:pPr>
    </w:p>
    <w:p w14:paraId="1D739324" w14:textId="77777777" w:rsidR="00261FCE" w:rsidRDefault="00B42B8C" w:rsidP="00261FCE">
      <w:pPr>
        <w:tabs>
          <w:tab w:val="left" w:pos="567"/>
        </w:tabs>
        <w:suppressAutoHyphens/>
        <w:spacing w:after="0"/>
        <w:jc w:val="both"/>
        <w:rPr>
          <w:rFonts w:ascii="Times New Roman" w:hAnsi="Times New Roman" w:cs="Times New Roman"/>
          <w:sz w:val="24"/>
          <w:szCs w:val="24"/>
          <w:lang w:eastAsia="x-none"/>
        </w:rPr>
      </w:pPr>
      <w:r w:rsidRPr="00B42B8C">
        <w:rPr>
          <w:rFonts w:ascii="Times New Roman" w:hAnsi="Times New Roman" w:cs="Times New Roman"/>
          <w:sz w:val="24"/>
          <w:szCs w:val="24"/>
          <w:lang w:eastAsia="x-none"/>
        </w:rPr>
        <w:t xml:space="preserve">Inny cel szczegółowy KPRES - </w:t>
      </w:r>
      <w:r w:rsidRPr="00B42B8C">
        <w:rPr>
          <w:rFonts w:ascii="Times New Roman" w:hAnsi="Times New Roman" w:cs="Times New Roman"/>
          <w:i/>
          <w:sz w:val="24"/>
          <w:szCs w:val="24"/>
          <w:lang w:eastAsia="x-none"/>
        </w:rPr>
        <w:t>Zwiększenie liczby wysokiej jakości miejsc pracy w przedsiębiorstwach społecznych, dla osób zagrożonych wykluczeniem społecznym</w:t>
      </w:r>
      <w:r w:rsidRPr="00B42B8C">
        <w:rPr>
          <w:rFonts w:ascii="Times New Roman" w:hAnsi="Times New Roman" w:cs="Times New Roman"/>
          <w:sz w:val="24"/>
          <w:szCs w:val="24"/>
          <w:lang w:eastAsia="x-none"/>
        </w:rPr>
        <w:t xml:space="preserve"> – uwzględnia w swym zakresie osoby starsze jako wchodzące w skład grup osób zagrożonych wykluczeniem społecznym. Operacjonalizacją ww. celu szczegółowego jest obszar </w:t>
      </w:r>
      <w:r w:rsidRPr="00B42B8C">
        <w:rPr>
          <w:rFonts w:ascii="Times New Roman" w:hAnsi="Times New Roman" w:cs="Times New Roman"/>
          <w:i/>
          <w:sz w:val="24"/>
          <w:szCs w:val="24"/>
          <w:lang w:eastAsia="x-none"/>
        </w:rPr>
        <w:t>Solidarny rynek pracy</w:t>
      </w:r>
      <w:r w:rsidRPr="00B42B8C">
        <w:rPr>
          <w:rFonts w:ascii="Times New Roman" w:hAnsi="Times New Roman" w:cs="Times New Roman"/>
          <w:sz w:val="24"/>
          <w:szCs w:val="24"/>
          <w:lang w:eastAsia="x-none"/>
        </w:rPr>
        <w:t xml:space="preserve">, w ramach którego wyodrębniony został priorytet 2. </w:t>
      </w:r>
      <w:r w:rsidRPr="00B42B8C">
        <w:rPr>
          <w:rFonts w:ascii="Times New Roman" w:hAnsi="Times New Roman" w:cs="Times New Roman"/>
          <w:i/>
          <w:sz w:val="24"/>
          <w:szCs w:val="24"/>
          <w:lang w:eastAsia="x-none"/>
        </w:rPr>
        <w:t>Aktywizacja zawodowa osób niepełnosprawnych oraz osób starszych w podmiotach ekonomii społecznej i solidarnej</w:t>
      </w:r>
      <w:r w:rsidR="00261FCE">
        <w:rPr>
          <w:rFonts w:ascii="Times New Roman" w:hAnsi="Times New Roman" w:cs="Times New Roman"/>
          <w:sz w:val="24"/>
          <w:szCs w:val="24"/>
          <w:lang w:eastAsia="x-none"/>
        </w:rPr>
        <w:t xml:space="preserve">. </w:t>
      </w:r>
      <w:r w:rsidRPr="00B42B8C">
        <w:rPr>
          <w:rFonts w:ascii="Times New Roman" w:hAnsi="Times New Roman" w:cs="Times New Roman"/>
          <w:sz w:val="24"/>
          <w:szCs w:val="24"/>
          <w:lang w:eastAsia="x-none"/>
        </w:rPr>
        <w:t xml:space="preserve">W ramach uwzględnionego w ww. priorytecie działania II.2.3. </w:t>
      </w:r>
      <w:r w:rsidR="00715402">
        <w:rPr>
          <w:rFonts w:ascii="Times New Roman" w:hAnsi="Times New Roman" w:cs="Times New Roman"/>
          <w:i/>
          <w:sz w:val="24"/>
          <w:szCs w:val="24"/>
          <w:lang w:eastAsia="x-none"/>
        </w:rPr>
        <w:t xml:space="preserve">Tworzenie warunków </w:t>
      </w:r>
      <w:r w:rsidRPr="00B42B8C">
        <w:rPr>
          <w:rFonts w:ascii="Times New Roman" w:hAnsi="Times New Roman" w:cs="Times New Roman"/>
          <w:i/>
          <w:sz w:val="24"/>
          <w:szCs w:val="24"/>
          <w:lang w:eastAsia="x-none"/>
        </w:rPr>
        <w:t xml:space="preserve">do kontynuowania aktywności zawodowej osób starszych w </w:t>
      </w:r>
      <w:r w:rsidR="00715402">
        <w:rPr>
          <w:rFonts w:ascii="Times New Roman" w:hAnsi="Times New Roman" w:cs="Times New Roman"/>
          <w:i/>
          <w:sz w:val="24"/>
          <w:szCs w:val="24"/>
          <w:lang w:eastAsia="x-none"/>
        </w:rPr>
        <w:t xml:space="preserve">podmiotach ekonomii społecznej </w:t>
      </w:r>
      <w:r w:rsidRPr="00B42B8C">
        <w:rPr>
          <w:rFonts w:ascii="Times New Roman" w:hAnsi="Times New Roman" w:cs="Times New Roman"/>
          <w:i/>
          <w:sz w:val="24"/>
          <w:szCs w:val="24"/>
          <w:lang w:eastAsia="x-none"/>
        </w:rPr>
        <w:t>i solidarnej</w:t>
      </w:r>
      <w:r w:rsidRPr="00B42B8C">
        <w:rPr>
          <w:rFonts w:ascii="Times New Roman" w:hAnsi="Times New Roman" w:cs="Times New Roman"/>
          <w:sz w:val="24"/>
          <w:szCs w:val="24"/>
          <w:lang w:eastAsia="x-none"/>
        </w:rPr>
        <w:t xml:space="preserve">  wskazuje się na następujące działania:</w:t>
      </w:r>
    </w:p>
    <w:p w14:paraId="75E09368" w14:textId="77777777" w:rsidR="00261FCE" w:rsidRDefault="00B42B8C" w:rsidP="008C71A9">
      <w:pPr>
        <w:pStyle w:val="Akapitzlist"/>
        <w:numPr>
          <w:ilvl w:val="0"/>
          <w:numId w:val="303"/>
        </w:numPr>
        <w:tabs>
          <w:tab w:val="left" w:pos="567"/>
        </w:tabs>
        <w:suppressAutoHyphens/>
        <w:spacing w:after="0"/>
        <w:ind w:left="360"/>
        <w:jc w:val="both"/>
        <w:rPr>
          <w:rFonts w:ascii="Times New Roman" w:hAnsi="Times New Roman" w:cs="Times New Roman"/>
          <w:sz w:val="24"/>
          <w:szCs w:val="24"/>
          <w:lang w:eastAsia="x-none"/>
        </w:rPr>
      </w:pPr>
      <w:r w:rsidRPr="00261FCE">
        <w:rPr>
          <w:rFonts w:ascii="Times New Roman" w:hAnsi="Times New Roman" w:cs="Times New Roman"/>
          <w:sz w:val="24"/>
          <w:szCs w:val="24"/>
          <w:lang w:eastAsia="x-none"/>
        </w:rPr>
        <w:t>promowanie wśród podmiotów ekonomii społecznej elastycznych form zatrudnienia odpowiadających na potrzeby osób starszych.</w:t>
      </w:r>
    </w:p>
    <w:p w14:paraId="4383F9FD" w14:textId="77777777" w:rsidR="00261FCE" w:rsidRDefault="00B42B8C" w:rsidP="008C71A9">
      <w:pPr>
        <w:pStyle w:val="Akapitzlist"/>
        <w:numPr>
          <w:ilvl w:val="0"/>
          <w:numId w:val="303"/>
        </w:numPr>
        <w:tabs>
          <w:tab w:val="left" w:pos="567"/>
        </w:tabs>
        <w:suppressAutoHyphens/>
        <w:spacing w:after="0"/>
        <w:ind w:left="360"/>
        <w:jc w:val="both"/>
        <w:rPr>
          <w:rFonts w:ascii="Times New Roman" w:hAnsi="Times New Roman" w:cs="Times New Roman"/>
          <w:sz w:val="24"/>
          <w:szCs w:val="24"/>
          <w:lang w:eastAsia="x-none"/>
        </w:rPr>
      </w:pPr>
      <w:r w:rsidRPr="00261FCE">
        <w:rPr>
          <w:rFonts w:ascii="Times New Roman" w:hAnsi="Times New Roman" w:cs="Times New Roman"/>
          <w:sz w:val="24"/>
          <w:szCs w:val="24"/>
          <w:lang w:eastAsia="x-none"/>
        </w:rPr>
        <w:t xml:space="preserve">wspieranie zakładania i prowadzenia przedsiębiorstw społecznych przez pracowników </w:t>
      </w:r>
      <w:r w:rsidRPr="00261FCE">
        <w:rPr>
          <w:rFonts w:ascii="Times New Roman" w:hAnsi="Times New Roman" w:cs="Times New Roman"/>
          <w:sz w:val="24"/>
          <w:szCs w:val="24"/>
          <w:lang w:eastAsia="x-none"/>
        </w:rPr>
        <w:br/>
        <w:t>w wieku przedemerytalnym oraz wspieranie zatrudnieni</w:t>
      </w:r>
      <w:r w:rsidR="00715402" w:rsidRPr="00261FCE">
        <w:rPr>
          <w:rFonts w:ascii="Times New Roman" w:hAnsi="Times New Roman" w:cs="Times New Roman"/>
          <w:sz w:val="24"/>
          <w:szCs w:val="24"/>
          <w:lang w:eastAsia="x-none"/>
        </w:rPr>
        <w:t>a pracowników po 50. roku życia</w:t>
      </w:r>
    </w:p>
    <w:p w14:paraId="391A2678" w14:textId="77777777" w:rsidR="00261FCE" w:rsidRDefault="00B42B8C" w:rsidP="008C71A9">
      <w:pPr>
        <w:pStyle w:val="Akapitzlist"/>
        <w:numPr>
          <w:ilvl w:val="0"/>
          <w:numId w:val="303"/>
        </w:numPr>
        <w:tabs>
          <w:tab w:val="left" w:pos="567"/>
        </w:tabs>
        <w:suppressAutoHyphens/>
        <w:spacing w:after="0"/>
        <w:ind w:left="360"/>
        <w:jc w:val="both"/>
        <w:rPr>
          <w:rFonts w:ascii="Times New Roman" w:hAnsi="Times New Roman" w:cs="Times New Roman"/>
          <w:sz w:val="24"/>
          <w:szCs w:val="24"/>
          <w:lang w:eastAsia="x-none"/>
        </w:rPr>
      </w:pPr>
      <w:r w:rsidRPr="00261FCE">
        <w:rPr>
          <w:rFonts w:ascii="Times New Roman" w:hAnsi="Times New Roman" w:cs="Times New Roman"/>
          <w:sz w:val="24"/>
          <w:szCs w:val="24"/>
          <w:lang w:eastAsia="x-none"/>
        </w:rPr>
        <w:t xml:space="preserve">wspieranie wykorzystania przedsiębiorczości społecznej w procesach „outplacementu” </w:t>
      </w:r>
      <w:r w:rsidRPr="00261FCE">
        <w:rPr>
          <w:rFonts w:ascii="Times New Roman" w:hAnsi="Times New Roman" w:cs="Times New Roman"/>
          <w:sz w:val="24"/>
          <w:szCs w:val="24"/>
          <w:lang w:eastAsia="x-none"/>
        </w:rPr>
        <w:br/>
        <w:t>i adaptacji zawodowej oraz tworzenia przedsiębiorstw społecznych w związku z procesami restrukturyzacyjnymi, w szczególności dla pracowników po 50. roku życia</w:t>
      </w:r>
    </w:p>
    <w:p w14:paraId="3B428EFA" w14:textId="77777777" w:rsidR="00261FCE" w:rsidRDefault="00B42B8C" w:rsidP="008C71A9">
      <w:pPr>
        <w:pStyle w:val="Akapitzlist"/>
        <w:numPr>
          <w:ilvl w:val="0"/>
          <w:numId w:val="303"/>
        </w:numPr>
        <w:tabs>
          <w:tab w:val="left" w:pos="567"/>
        </w:tabs>
        <w:suppressAutoHyphens/>
        <w:spacing w:after="0"/>
        <w:ind w:left="360"/>
        <w:jc w:val="both"/>
        <w:rPr>
          <w:rFonts w:ascii="Times New Roman" w:hAnsi="Times New Roman" w:cs="Times New Roman"/>
          <w:sz w:val="24"/>
          <w:szCs w:val="24"/>
          <w:lang w:eastAsia="x-none"/>
        </w:rPr>
      </w:pPr>
      <w:r w:rsidRPr="00261FCE">
        <w:rPr>
          <w:rFonts w:ascii="Times New Roman" w:hAnsi="Times New Roman" w:cs="Times New Roman"/>
          <w:sz w:val="24"/>
          <w:szCs w:val="24"/>
          <w:lang w:eastAsia="x-none"/>
        </w:rPr>
        <w:t>prowadzenie działań na rzecz promocji i rozwoju działalności gospodarczej w sektorze „srebrnej gospodarki”, w szczególności przez rozwój działalności podmiotów ekonomii społecznej  solidarnej w zakresie dostarczania usług społecznych użyteczności publicznej adresowanych do osób starszych</w:t>
      </w:r>
    </w:p>
    <w:p w14:paraId="0373EE4E" w14:textId="77777777" w:rsidR="00B42B8C" w:rsidRPr="00261FCE" w:rsidRDefault="00B42B8C" w:rsidP="008C71A9">
      <w:pPr>
        <w:pStyle w:val="Akapitzlist"/>
        <w:numPr>
          <w:ilvl w:val="0"/>
          <w:numId w:val="303"/>
        </w:numPr>
        <w:tabs>
          <w:tab w:val="left" w:pos="567"/>
        </w:tabs>
        <w:suppressAutoHyphens/>
        <w:spacing w:after="0"/>
        <w:ind w:left="360"/>
        <w:jc w:val="both"/>
        <w:rPr>
          <w:rFonts w:ascii="Times New Roman" w:hAnsi="Times New Roman" w:cs="Times New Roman"/>
          <w:sz w:val="24"/>
          <w:szCs w:val="24"/>
          <w:lang w:eastAsia="x-none"/>
        </w:rPr>
      </w:pPr>
      <w:r w:rsidRPr="00261FCE">
        <w:rPr>
          <w:rFonts w:ascii="Times New Roman" w:hAnsi="Times New Roman" w:cs="Times New Roman"/>
          <w:sz w:val="24"/>
          <w:szCs w:val="24"/>
          <w:lang w:eastAsia="x-none"/>
        </w:rPr>
        <w:t>organy administracji publicznej, zwłaszcza na szczeblu regionalnym i lokalnym, dzięki odpowiedniemu formułowaniu kryteriów strategicznych czy kryteriów dostępu będą wspierać aktywność zawodową osób starszych w PES.</w:t>
      </w:r>
    </w:p>
    <w:p w14:paraId="1189E5E1" w14:textId="77777777" w:rsidR="00B42B8C" w:rsidRPr="00B42B8C" w:rsidRDefault="00B42B8C" w:rsidP="00261FCE">
      <w:pPr>
        <w:tabs>
          <w:tab w:val="left" w:pos="567"/>
        </w:tabs>
        <w:suppressAutoHyphens/>
        <w:spacing w:after="0"/>
        <w:jc w:val="both"/>
        <w:rPr>
          <w:rFonts w:ascii="Times New Roman" w:hAnsi="Times New Roman" w:cs="Times New Roman"/>
          <w:sz w:val="24"/>
          <w:szCs w:val="24"/>
          <w:lang w:eastAsia="x-none"/>
        </w:rPr>
      </w:pPr>
    </w:p>
    <w:p w14:paraId="72449D69" w14:textId="77777777" w:rsidR="00B42B8C" w:rsidRPr="00B42B8C" w:rsidRDefault="00B42B8C" w:rsidP="00261FCE">
      <w:pPr>
        <w:tabs>
          <w:tab w:val="left" w:pos="567"/>
        </w:tabs>
        <w:suppressAutoHyphens/>
        <w:spacing w:after="0"/>
        <w:jc w:val="both"/>
        <w:rPr>
          <w:rFonts w:ascii="Times New Roman" w:hAnsi="Times New Roman" w:cs="Times New Roman"/>
          <w:sz w:val="24"/>
          <w:szCs w:val="24"/>
          <w:lang w:eastAsia="x-none"/>
        </w:rPr>
      </w:pPr>
      <w:r w:rsidRPr="00B42B8C">
        <w:rPr>
          <w:rFonts w:ascii="Times New Roman" w:hAnsi="Times New Roman" w:cs="Times New Roman"/>
          <w:sz w:val="24"/>
          <w:szCs w:val="24"/>
          <w:lang w:eastAsia="x-none"/>
        </w:rPr>
        <w:t>Zgodni</w:t>
      </w:r>
      <w:r w:rsidR="00261FCE">
        <w:rPr>
          <w:rFonts w:ascii="Times New Roman" w:hAnsi="Times New Roman" w:cs="Times New Roman"/>
          <w:sz w:val="24"/>
          <w:szCs w:val="24"/>
          <w:lang w:eastAsia="x-none"/>
        </w:rPr>
        <w:t>e z zapisami KPRES, od 2014 r.</w:t>
      </w:r>
      <w:r w:rsidRPr="00B42B8C">
        <w:rPr>
          <w:rFonts w:ascii="Times New Roman" w:hAnsi="Times New Roman" w:cs="Times New Roman"/>
          <w:sz w:val="24"/>
          <w:szCs w:val="24"/>
          <w:lang w:eastAsia="x-none"/>
        </w:rPr>
        <w:t xml:space="preserve"> usług</w:t>
      </w:r>
      <w:r w:rsidR="00715402">
        <w:rPr>
          <w:rFonts w:ascii="Times New Roman" w:hAnsi="Times New Roman" w:cs="Times New Roman"/>
          <w:sz w:val="24"/>
          <w:szCs w:val="24"/>
          <w:lang w:eastAsia="x-none"/>
        </w:rPr>
        <w:t xml:space="preserve">i wsparcia ekonomii społecznej </w:t>
      </w:r>
      <w:r w:rsidRPr="00B42B8C">
        <w:rPr>
          <w:rFonts w:ascii="Times New Roman" w:hAnsi="Times New Roman" w:cs="Times New Roman"/>
          <w:sz w:val="24"/>
          <w:szCs w:val="24"/>
          <w:lang w:eastAsia="x-none"/>
        </w:rPr>
        <w:t>i przedsiębiorstw społecznych prowadzą Ośrodki Wsparcia Ekonomii Społecznej (OWES), akredytowane przez Ministra Rodziny, Pracy i Polityki Społecznej. Proces akredytacji odbywa się na podstawie Zarządzenia oraz Zakresu standardów usług i działania OWES przyjętych przez Komitet Akredytacyjny do spraw akredytacji oraz standardów usług i działania ośrodków wsparcia ekonomii społecznej.</w:t>
      </w:r>
    </w:p>
    <w:p w14:paraId="4D57B995" w14:textId="77777777" w:rsidR="00B42B8C" w:rsidRPr="00B42B8C" w:rsidRDefault="00B42B8C" w:rsidP="00261FCE">
      <w:pPr>
        <w:tabs>
          <w:tab w:val="left" w:pos="567"/>
        </w:tabs>
        <w:suppressAutoHyphens/>
        <w:spacing w:after="0"/>
        <w:jc w:val="both"/>
        <w:rPr>
          <w:rFonts w:ascii="Times New Roman" w:hAnsi="Times New Roman" w:cs="Times New Roman"/>
          <w:sz w:val="24"/>
          <w:szCs w:val="24"/>
          <w:lang w:eastAsia="x-none"/>
        </w:rPr>
      </w:pPr>
    </w:p>
    <w:p w14:paraId="39776D75" w14:textId="77777777" w:rsidR="00B42B8C" w:rsidRPr="00B42B8C" w:rsidRDefault="00B42B8C" w:rsidP="00261FCE">
      <w:pPr>
        <w:tabs>
          <w:tab w:val="left" w:pos="567"/>
        </w:tabs>
        <w:suppressAutoHyphens/>
        <w:spacing w:after="0"/>
        <w:jc w:val="both"/>
        <w:rPr>
          <w:rFonts w:ascii="Times New Roman" w:hAnsi="Times New Roman" w:cs="Times New Roman"/>
          <w:sz w:val="24"/>
          <w:szCs w:val="24"/>
          <w:lang w:eastAsia="x-none"/>
        </w:rPr>
      </w:pPr>
      <w:r w:rsidRPr="00B42B8C">
        <w:rPr>
          <w:rFonts w:ascii="Times New Roman" w:hAnsi="Times New Roman" w:cs="Times New Roman"/>
          <w:sz w:val="24"/>
          <w:szCs w:val="24"/>
          <w:lang w:eastAsia="x-none"/>
        </w:rPr>
        <w:t xml:space="preserve">Wśród PES szczególną rolę odgrywają przedsiębiorstwa społeczne (dalej: PS), które zatrudniają osoby z grup zagrożonych wykluczeniem społecznym. Jedną z grup zaliczanych do tego katalogu są osoby do 30. roku życia oraz po ukończeniu 50. roku życia, posiadające status osoby poszukującej pracy, bez zatrudnienia w rozumieniu przepisów </w:t>
      </w:r>
      <w:r w:rsidRPr="00261FCE">
        <w:rPr>
          <w:rFonts w:ascii="Times New Roman" w:hAnsi="Times New Roman" w:cs="Times New Roman"/>
          <w:i/>
          <w:sz w:val="24"/>
          <w:szCs w:val="24"/>
          <w:lang w:eastAsia="x-none"/>
        </w:rPr>
        <w:t xml:space="preserve">ustawy z dnia 20 kwietnia </w:t>
      </w:r>
      <w:r w:rsidRPr="00261FCE">
        <w:rPr>
          <w:rFonts w:ascii="Times New Roman" w:hAnsi="Times New Roman" w:cs="Times New Roman"/>
          <w:i/>
          <w:sz w:val="24"/>
          <w:szCs w:val="24"/>
          <w:lang w:eastAsia="x-none"/>
        </w:rPr>
        <w:lastRenderedPageBreak/>
        <w:t>2004 r. o promocji zatrudnienia i instytucjach rynku pracy</w:t>
      </w:r>
      <w:r w:rsidRPr="00B42B8C">
        <w:rPr>
          <w:rFonts w:ascii="Times New Roman" w:hAnsi="Times New Roman" w:cs="Times New Roman"/>
          <w:sz w:val="24"/>
          <w:szCs w:val="24"/>
          <w:lang w:eastAsia="x-none"/>
        </w:rPr>
        <w:t>. MRPiPS prowadzi Bazę PS, w ramach której gromadzone są informacje o podmiotach, którym przyznano status przedsiębiorstwa społecznego (PS), czyli podmiotu, który nie dzieli zysku, ale przeznacza go na cele społeczne (np. na rzecz społeczności lokalnej lub na rzecz osób zagrożonych wykluczeniem społecznym, które pracują w tym przedsiębiorstwie).Według stanu na 9 stycznia 2020 r. status PS posiadały 1153 podmioty. Są to przede wszystkim spółdzielnie socjalne, ale także niektóre fundacje, stowarzyszenia i spółki non-profit. Najwięcej jest ich zlokalizowanych w woj. podkarpackim (170), śląskim (135) i wielkopolskim (122). Dominującą branżą jest gastronomia, w której aktywnych jest 208 podmiotów</w:t>
      </w:r>
      <w:r w:rsidR="00AC5D32">
        <w:rPr>
          <w:rStyle w:val="Odwoanieprzypisudolnego"/>
          <w:rFonts w:ascii="Times New Roman" w:hAnsi="Times New Roman" w:cs="Times New Roman"/>
          <w:sz w:val="24"/>
          <w:szCs w:val="24"/>
          <w:lang w:eastAsia="x-none"/>
        </w:rPr>
        <w:footnoteReference w:id="27"/>
      </w:r>
      <w:r w:rsidRPr="00B42B8C">
        <w:rPr>
          <w:rFonts w:ascii="Times New Roman" w:hAnsi="Times New Roman" w:cs="Times New Roman"/>
          <w:sz w:val="24"/>
          <w:szCs w:val="24"/>
          <w:lang w:eastAsia="x-none"/>
        </w:rPr>
        <w:t xml:space="preserve">. </w:t>
      </w:r>
    </w:p>
    <w:p w14:paraId="35AF03A9" w14:textId="77777777" w:rsidR="00B42B8C" w:rsidRPr="00B42B8C" w:rsidRDefault="00B42B8C" w:rsidP="00261FCE">
      <w:pPr>
        <w:tabs>
          <w:tab w:val="left" w:pos="567"/>
        </w:tabs>
        <w:suppressAutoHyphens/>
        <w:spacing w:after="0"/>
        <w:jc w:val="both"/>
        <w:rPr>
          <w:rFonts w:ascii="Times New Roman" w:hAnsi="Times New Roman" w:cs="Times New Roman"/>
          <w:color w:val="000000"/>
          <w:sz w:val="24"/>
          <w:szCs w:val="24"/>
        </w:rPr>
      </w:pPr>
    </w:p>
    <w:p w14:paraId="162C424A" w14:textId="77777777" w:rsidR="00B42B8C" w:rsidRPr="00B42B8C" w:rsidRDefault="00B42B8C" w:rsidP="00261FCE">
      <w:pPr>
        <w:tabs>
          <w:tab w:val="left" w:pos="567"/>
        </w:tabs>
        <w:suppressAutoHyphens/>
        <w:spacing w:after="0"/>
        <w:jc w:val="both"/>
        <w:rPr>
          <w:rFonts w:ascii="Times New Roman" w:hAnsi="Times New Roman" w:cs="Times New Roman"/>
          <w:sz w:val="24"/>
          <w:szCs w:val="24"/>
          <w:lang w:eastAsia="x-none"/>
        </w:rPr>
      </w:pPr>
      <w:r w:rsidRPr="00B42B8C">
        <w:rPr>
          <w:rFonts w:ascii="Times New Roman" w:hAnsi="Times New Roman" w:cs="Times New Roman"/>
          <w:sz w:val="24"/>
          <w:szCs w:val="24"/>
          <w:lang w:eastAsia="x-none"/>
        </w:rPr>
        <w:t>Z uwagi na dwuletni cykl sprawozdawczy realizacji KPRES, szczegółowe informacje o realizacji poszczególnych działań i wskaźników Programu za 2019 r. będą dostępne w 2021 r.</w:t>
      </w:r>
    </w:p>
    <w:p w14:paraId="3AF7C6D5" w14:textId="77777777" w:rsidR="001C5560" w:rsidRDefault="001C5560" w:rsidP="00261FCE">
      <w:pPr>
        <w:spacing w:after="0"/>
        <w:jc w:val="both"/>
        <w:rPr>
          <w:rFonts w:ascii="Helv" w:hAnsi="Helv" w:cs="Helv"/>
          <w:color w:val="000000"/>
          <w:sz w:val="20"/>
          <w:szCs w:val="20"/>
        </w:rPr>
      </w:pPr>
    </w:p>
    <w:p w14:paraId="4E93AAD3" w14:textId="77777777" w:rsidR="000C4CE3" w:rsidRPr="002B5542" w:rsidRDefault="000C4CE3" w:rsidP="00261FCE">
      <w:pPr>
        <w:spacing w:after="0"/>
        <w:jc w:val="both"/>
        <w:rPr>
          <w:rFonts w:ascii="Times New Roman" w:hAnsi="Times New Roman" w:cs="Times New Roman"/>
          <w:b/>
          <w:color w:val="00B0F0"/>
          <w:sz w:val="24"/>
          <w:szCs w:val="24"/>
        </w:rPr>
      </w:pPr>
      <w:r w:rsidRPr="002B5542">
        <w:rPr>
          <w:rFonts w:ascii="Times New Roman" w:hAnsi="Times New Roman" w:cs="Times New Roman"/>
          <w:b/>
          <w:color w:val="00B0F0"/>
          <w:sz w:val="24"/>
          <w:szCs w:val="24"/>
        </w:rPr>
        <w:t>Emerytura +</w:t>
      </w:r>
    </w:p>
    <w:p w14:paraId="120D4B81" w14:textId="136C31FF" w:rsidR="001C5560" w:rsidRDefault="00261FCE" w:rsidP="00261FCE">
      <w:pPr>
        <w:spacing w:after="0"/>
        <w:jc w:val="both"/>
        <w:rPr>
          <w:rFonts w:ascii="Times New Roman" w:hAnsi="Times New Roman" w:cs="Times New Roman"/>
          <w:bCs/>
          <w:spacing w:val="-10"/>
          <w:kern w:val="20"/>
          <w:sz w:val="24"/>
          <w:szCs w:val="24"/>
        </w:rPr>
      </w:pPr>
      <w:r>
        <w:rPr>
          <w:rFonts w:ascii="Times New Roman" w:hAnsi="Times New Roman" w:cs="Times New Roman"/>
          <w:bCs/>
          <w:spacing w:val="-10"/>
          <w:kern w:val="20"/>
          <w:sz w:val="24"/>
          <w:szCs w:val="24"/>
        </w:rPr>
        <w:t>W</w:t>
      </w:r>
      <w:r w:rsidR="001C5560" w:rsidRPr="001C5560">
        <w:rPr>
          <w:rFonts w:ascii="Times New Roman" w:hAnsi="Times New Roman" w:cs="Times New Roman"/>
          <w:bCs/>
          <w:spacing w:val="-10"/>
          <w:kern w:val="20"/>
          <w:sz w:val="24"/>
          <w:szCs w:val="24"/>
        </w:rPr>
        <w:t xml:space="preserve"> maju 2019 r. świadczeniobiorcy otrzymali jednorazowe świadczenie pieniężne w kwocie 1100 zł brutto. Wypłacono je każdemu emerytowi i renciście, ponieważ nie miało ono charakteru świadczeń socjalnych z pomocy społecznej, które są uzależnione od wysokości kwoty przychodu przypadającej na osobę w rodzinie. Świadczenie to, nazywane potocznie „trzynastą emeryturą” lub „emeryturą plus”, stanowiło wsparcie finansowe szczególnie znaczące dla osób pobierających niskie świadczenia emerytalno-rentowe. </w:t>
      </w:r>
    </w:p>
    <w:p w14:paraId="38C6AE59" w14:textId="17484317" w:rsidR="00030A6C" w:rsidRDefault="00030A6C" w:rsidP="00261FCE">
      <w:pPr>
        <w:spacing w:after="0"/>
        <w:jc w:val="both"/>
        <w:rPr>
          <w:rFonts w:ascii="Times New Roman" w:hAnsi="Times New Roman" w:cs="Times New Roman"/>
          <w:bCs/>
          <w:spacing w:val="-10"/>
          <w:kern w:val="20"/>
          <w:sz w:val="24"/>
          <w:szCs w:val="24"/>
        </w:rPr>
      </w:pPr>
    </w:p>
    <w:p w14:paraId="4A4275B6" w14:textId="6293EBF4" w:rsidR="00030A6C" w:rsidRPr="00030A6C" w:rsidRDefault="00030A6C" w:rsidP="00261FCE">
      <w:pPr>
        <w:spacing w:after="0"/>
        <w:jc w:val="both"/>
        <w:rPr>
          <w:rFonts w:ascii="Times New Roman" w:hAnsi="Times New Roman" w:cs="Times New Roman"/>
          <w:b/>
          <w:bCs/>
          <w:color w:val="00B0F0"/>
          <w:spacing w:val="-10"/>
          <w:kern w:val="20"/>
          <w:sz w:val="24"/>
          <w:szCs w:val="24"/>
        </w:rPr>
      </w:pPr>
      <w:r w:rsidRPr="00030A6C">
        <w:rPr>
          <w:rFonts w:ascii="Times New Roman" w:hAnsi="Times New Roman" w:cs="Times New Roman"/>
          <w:b/>
          <w:bCs/>
          <w:color w:val="00B0F0"/>
          <w:spacing w:val="-10"/>
          <w:kern w:val="20"/>
          <w:sz w:val="24"/>
          <w:szCs w:val="24"/>
        </w:rPr>
        <w:t xml:space="preserve">Waloryzacja emerytur i rent </w:t>
      </w:r>
    </w:p>
    <w:p w14:paraId="3E713D34" w14:textId="5C331183" w:rsidR="00030A6C" w:rsidRDefault="00030A6C" w:rsidP="00261FCE">
      <w:pPr>
        <w:spacing w:after="0"/>
        <w:jc w:val="both"/>
        <w:rPr>
          <w:rFonts w:ascii="Times New Roman" w:hAnsi="Times New Roman" w:cs="Times New Roman"/>
          <w:bCs/>
          <w:spacing w:val="-10"/>
          <w:kern w:val="20"/>
          <w:sz w:val="24"/>
          <w:szCs w:val="24"/>
        </w:rPr>
      </w:pPr>
      <w:r w:rsidRPr="00030A6C">
        <w:rPr>
          <w:rFonts w:ascii="Times New Roman" w:hAnsi="Times New Roman" w:cs="Times New Roman"/>
          <w:bCs/>
          <w:spacing w:val="-10"/>
          <w:kern w:val="20"/>
          <w:sz w:val="24"/>
          <w:szCs w:val="24"/>
        </w:rPr>
        <w:t>Świadczenia emerytalno-rentowe podlegają corocznej waloryzacji. Od 1 marca 2019 r. emerytury i renty wzrosły o 2,86%, jednak nie mniej niż o 70 zł. Zastosowanie zasad waloryzacji procentowo-kwotowej zapewniło nie tylko ochronę realnej wartości wszystkich wypłacanych świadczeń emerytalno-rentowych, lecz wyszło naprzeciw oczekiwaniom wyższych podwyżek przez większość emerytów i rencistów.</w:t>
      </w:r>
    </w:p>
    <w:p w14:paraId="23164817" w14:textId="48E3BBAA" w:rsidR="00A93770" w:rsidRDefault="00A93770" w:rsidP="00261FCE">
      <w:pPr>
        <w:spacing w:after="0"/>
        <w:jc w:val="both"/>
        <w:rPr>
          <w:rFonts w:ascii="Times New Roman" w:hAnsi="Times New Roman" w:cs="Times New Roman"/>
          <w:bCs/>
          <w:spacing w:val="-10"/>
          <w:kern w:val="20"/>
          <w:sz w:val="24"/>
          <w:szCs w:val="24"/>
        </w:rPr>
      </w:pPr>
    </w:p>
    <w:p w14:paraId="303E937A" w14:textId="0706C3E5" w:rsidR="00D77CEB" w:rsidRPr="00D77CEB" w:rsidRDefault="00D77CEB" w:rsidP="00D77CEB">
      <w:pPr>
        <w:autoSpaceDE w:val="0"/>
        <w:autoSpaceDN w:val="0"/>
        <w:adjustRightInd w:val="0"/>
        <w:spacing w:after="0"/>
        <w:jc w:val="both"/>
        <w:rPr>
          <w:rFonts w:ascii="Times New Roman" w:hAnsi="Times New Roman" w:cs="Times New Roman"/>
          <w:b/>
          <w:bCs/>
          <w:color w:val="00B0F0"/>
          <w:sz w:val="24"/>
          <w:szCs w:val="24"/>
        </w:rPr>
      </w:pPr>
      <w:r w:rsidRPr="00D77CEB">
        <w:rPr>
          <w:rFonts w:ascii="Times New Roman" w:hAnsi="Times New Roman" w:cs="Times New Roman"/>
          <w:b/>
          <w:bCs/>
          <w:color w:val="00B0F0"/>
          <w:sz w:val="24"/>
          <w:szCs w:val="24"/>
        </w:rPr>
        <w:t>Rodzicielskie Świadczenie Uzupełniające (RSU)</w:t>
      </w:r>
      <w:r w:rsidRPr="00D77CEB">
        <w:rPr>
          <w:rStyle w:val="Odwoanieprzypisudolnego"/>
          <w:rFonts w:ascii="Times New Roman" w:hAnsi="Times New Roman" w:cs="Times New Roman"/>
          <w:b/>
          <w:bCs/>
          <w:color w:val="00B0F0"/>
          <w:sz w:val="24"/>
          <w:szCs w:val="24"/>
        </w:rPr>
        <w:footnoteReference w:id="28"/>
      </w:r>
      <w:r w:rsidRPr="00D77CEB">
        <w:rPr>
          <w:rFonts w:ascii="Times New Roman" w:hAnsi="Times New Roman" w:cs="Times New Roman"/>
          <w:b/>
          <w:bCs/>
          <w:color w:val="00B0F0"/>
          <w:sz w:val="24"/>
          <w:szCs w:val="24"/>
        </w:rPr>
        <w:t xml:space="preserve">  - Program Mama 4 Plus</w:t>
      </w:r>
    </w:p>
    <w:p w14:paraId="52481BE6" w14:textId="764BC33F" w:rsidR="00D77CEB" w:rsidRPr="00D77CEB" w:rsidRDefault="00D77CEB" w:rsidP="00D77CEB">
      <w:pPr>
        <w:autoSpaceDE w:val="0"/>
        <w:autoSpaceDN w:val="0"/>
        <w:adjustRightInd w:val="0"/>
        <w:spacing w:after="0"/>
        <w:jc w:val="both"/>
        <w:rPr>
          <w:rFonts w:ascii="Times New Roman" w:hAnsi="Times New Roman" w:cs="Times New Roman"/>
          <w:color w:val="000000"/>
          <w:sz w:val="24"/>
          <w:szCs w:val="24"/>
        </w:rPr>
      </w:pPr>
      <w:r w:rsidRPr="00D77CEB">
        <w:rPr>
          <w:rFonts w:ascii="Times New Roman" w:hAnsi="Times New Roman" w:cs="Times New Roman"/>
          <w:bCs/>
          <w:sz w:val="24"/>
          <w:szCs w:val="24"/>
        </w:rPr>
        <w:t>O</w:t>
      </w:r>
      <w:r w:rsidRPr="00D77CEB">
        <w:rPr>
          <w:rFonts w:ascii="Times New Roman" w:hAnsi="Times New Roman" w:cs="Times New Roman"/>
          <w:color w:val="000000"/>
          <w:sz w:val="24"/>
          <w:szCs w:val="24"/>
        </w:rPr>
        <w:t>d marca 2019 r. przyznawane jest Rodzicielskie Świadczenie Uzupełniające. Świadczenie to ma na celu</w:t>
      </w:r>
      <w:r w:rsidRPr="00D77CEB">
        <w:rPr>
          <w:rFonts w:ascii="Times New Roman" w:hAnsi="Times New Roman" w:cs="Times New Roman"/>
          <w:sz w:val="24"/>
          <w:szCs w:val="24"/>
        </w:rPr>
        <w:t xml:space="preserve"> </w:t>
      </w:r>
      <w:r w:rsidRPr="00D77CEB">
        <w:rPr>
          <w:rFonts w:ascii="Times New Roman" w:hAnsi="Times New Roman" w:cs="Times New Roman"/>
          <w:color w:val="000000"/>
          <w:sz w:val="24"/>
          <w:szCs w:val="24"/>
        </w:rPr>
        <w:t>uhonorowanie i docenienie okresu wychowywania dzieci, poprzez zapewnienie minimalnego dochodu osobom, które by wychowywać dzieci w rodzinach wielodzietnych nie podjęły zatrudnienia, bardzo często z przyczyn niezależnych od siebie, lub z niego zrezygnowały, i z tego powodu nie nabyły prawa do emerytury lub ich emerytura jest n</w:t>
      </w:r>
      <w:r>
        <w:rPr>
          <w:rFonts w:ascii="Times New Roman" w:hAnsi="Times New Roman" w:cs="Times New Roman"/>
          <w:color w:val="000000"/>
          <w:sz w:val="24"/>
          <w:szCs w:val="24"/>
        </w:rPr>
        <w:t xml:space="preserve">iższa od najniższej emerytury. </w:t>
      </w:r>
      <w:r w:rsidRPr="00D77CEB">
        <w:rPr>
          <w:rFonts w:ascii="Times New Roman" w:hAnsi="Times New Roman" w:cs="Times New Roman"/>
          <w:color w:val="000000"/>
          <w:sz w:val="24"/>
          <w:szCs w:val="24"/>
        </w:rPr>
        <w:t>Jest to specjalne świadczenie nieskładkowe, finansowane z budżetu państwa.</w:t>
      </w:r>
      <w:r w:rsidRPr="00D77CEB">
        <w:rPr>
          <w:rFonts w:ascii="Times New Roman" w:hAnsi="Times New Roman" w:cs="Times New Roman"/>
          <w:color w:val="000000"/>
          <w:sz w:val="24"/>
          <w:szCs w:val="24"/>
        </w:rPr>
        <w:tab/>
      </w:r>
    </w:p>
    <w:p w14:paraId="54DC0FCB" w14:textId="77777777" w:rsidR="00D77CEB" w:rsidRDefault="00D77CEB" w:rsidP="00D77CEB">
      <w:pPr>
        <w:autoSpaceDE w:val="0"/>
        <w:autoSpaceDN w:val="0"/>
        <w:adjustRightInd w:val="0"/>
        <w:spacing w:after="0"/>
        <w:jc w:val="both"/>
        <w:rPr>
          <w:rFonts w:ascii="Times New Roman" w:hAnsi="Times New Roman" w:cs="Times New Roman"/>
          <w:color w:val="000000"/>
          <w:sz w:val="24"/>
          <w:szCs w:val="24"/>
        </w:rPr>
      </w:pPr>
    </w:p>
    <w:p w14:paraId="7BF89EB5" w14:textId="7860EE52" w:rsidR="00D77CEB" w:rsidRPr="00D77CEB" w:rsidRDefault="00D77CEB" w:rsidP="00D77CEB">
      <w:pPr>
        <w:autoSpaceDE w:val="0"/>
        <w:autoSpaceDN w:val="0"/>
        <w:adjustRightInd w:val="0"/>
        <w:spacing w:after="0"/>
        <w:jc w:val="both"/>
        <w:rPr>
          <w:rFonts w:ascii="Times New Roman" w:hAnsi="Times New Roman" w:cs="Times New Roman"/>
          <w:color w:val="000000"/>
          <w:sz w:val="24"/>
          <w:szCs w:val="24"/>
        </w:rPr>
      </w:pPr>
      <w:r w:rsidRPr="00D77CEB">
        <w:rPr>
          <w:rFonts w:ascii="Times New Roman" w:hAnsi="Times New Roman" w:cs="Times New Roman"/>
          <w:color w:val="000000"/>
          <w:sz w:val="24"/>
          <w:szCs w:val="24"/>
        </w:rPr>
        <w:t>RSU nie jest emeryturą lecz ma charakter pomocy społecznej, i przysługuje po spełnieniu określonych warunków. J</w:t>
      </w:r>
      <w:r w:rsidRPr="00D77CEB">
        <w:rPr>
          <w:rFonts w:ascii="Times New Roman" w:hAnsi="Times New Roman" w:cs="Times New Roman"/>
          <w:spacing w:val="-5"/>
          <w:sz w:val="24"/>
          <w:szCs w:val="24"/>
        </w:rPr>
        <w:t xml:space="preserve">est skierowane do osób, które urodziły lub wychowały co najmniej </w:t>
      </w:r>
      <w:r w:rsidRPr="00D77CEB">
        <w:rPr>
          <w:rFonts w:ascii="Times New Roman" w:hAnsi="Times New Roman" w:cs="Times New Roman"/>
          <w:spacing w:val="-5"/>
          <w:sz w:val="24"/>
          <w:szCs w:val="24"/>
        </w:rPr>
        <w:br/>
        <w:t xml:space="preserve">4 dzieci, osiągnęły wiek 60 lat (kobiety) i 65 lat (mężczyźni) i nie posiadają niezbędnych środków </w:t>
      </w:r>
      <w:r w:rsidRPr="00D77CEB">
        <w:rPr>
          <w:rFonts w:ascii="Times New Roman" w:hAnsi="Times New Roman" w:cs="Times New Roman"/>
          <w:spacing w:val="-5"/>
          <w:sz w:val="24"/>
          <w:szCs w:val="24"/>
        </w:rPr>
        <w:lastRenderedPageBreak/>
        <w:t>utrzymania.</w:t>
      </w:r>
      <w:r>
        <w:rPr>
          <w:rFonts w:ascii="Times New Roman" w:hAnsi="Times New Roman" w:cs="Times New Roman"/>
          <w:color w:val="000000"/>
          <w:sz w:val="24"/>
          <w:szCs w:val="24"/>
        </w:rPr>
        <w:t xml:space="preserve"> </w:t>
      </w:r>
      <w:r w:rsidRPr="00D77CEB">
        <w:rPr>
          <w:rFonts w:ascii="Times New Roman" w:hAnsi="Times New Roman" w:cs="Times New Roman"/>
          <w:color w:val="000000"/>
          <w:sz w:val="24"/>
          <w:szCs w:val="24"/>
        </w:rPr>
        <w:t xml:space="preserve">RSU przyznawane jest w wysokości najniższej emerytury (w 2019 r. – 1100 zł). </w:t>
      </w:r>
      <w:r w:rsidRPr="00D77CEB">
        <w:rPr>
          <w:rFonts w:ascii="Times New Roman" w:hAnsi="Times New Roman" w:cs="Times New Roman"/>
          <w:color w:val="000000"/>
          <w:sz w:val="24"/>
          <w:szCs w:val="24"/>
        </w:rPr>
        <w:br/>
      </w:r>
      <w:r w:rsidRPr="00D77CEB">
        <w:rPr>
          <w:rFonts w:ascii="Times New Roman" w:hAnsi="Times New Roman" w:cs="Times New Roman"/>
          <w:spacing w:val="-5"/>
          <w:sz w:val="24"/>
          <w:szCs w:val="24"/>
        </w:rPr>
        <w:t>W przypadku, gdyby emerytura osoby, która pracowała i wychowywała czworo lub więcej dzieci okazała się niższa od najniższej emerytury, pobierane świadczenie jest uzupełniane do kwoty najniższej emerytury.</w:t>
      </w:r>
    </w:p>
    <w:p w14:paraId="63A35567" w14:textId="77777777" w:rsidR="00D77CEB" w:rsidRDefault="00D77CEB" w:rsidP="00261FCE">
      <w:pPr>
        <w:spacing w:after="0"/>
        <w:jc w:val="both"/>
        <w:rPr>
          <w:rFonts w:ascii="Times New Roman" w:hAnsi="Times New Roman" w:cs="Times New Roman"/>
          <w:bCs/>
          <w:spacing w:val="-10"/>
          <w:kern w:val="20"/>
          <w:sz w:val="24"/>
          <w:szCs w:val="24"/>
        </w:rPr>
      </w:pPr>
    </w:p>
    <w:p w14:paraId="28D864FC" w14:textId="77777777" w:rsidR="00A93770" w:rsidRPr="002B5542" w:rsidRDefault="000C4CE3" w:rsidP="002B5542">
      <w:pPr>
        <w:spacing w:after="120" w:line="360" w:lineRule="atLeast"/>
        <w:jc w:val="both"/>
        <w:rPr>
          <w:rFonts w:ascii="Times New Roman" w:hAnsi="Times New Roman" w:cs="Times New Roman"/>
          <w:b/>
          <w:bCs/>
          <w:color w:val="00B0F0"/>
          <w:spacing w:val="-10"/>
          <w:kern w:val="20"/>
          <w:sz w:val="24"/>
          <w:szCs w:val="24"/>
        </w:rPr>
      </w:pPr>
      <w:r w:rsidRPr="002B5542">
        <w:rPr>
          <w:rFonts w:ascii="Times New Roman" w:hAnsi="Times New Roman" w:cs="Times New Roman"/>
          <w:b/>
          <w:bCs/>
          <w:color w:val="00B0F0"/>
          <w:spacing w:val="-10"/>
          <w:kern w:val="20"/>
          <w:sz w:val="24"/>
          <w:szCs w:val="24"/>
        </w:rPr>
        <w:t xml:space="preserve">Działania w ramach </w:t>
      </w:r>
      <w:r w:rsidRPr="002B5542">
        <w:rPr>
          <w:rFonts w:ascii="Times New Roman" w:hAnsi="Times New Roman" w:cs="Times New Roman"/>
          <w:b/>
          <w:color w:val="00B0F0"/>
          <w:sz w:val="24"/>
          <w:szCs w:val="24"/>
        </w:rPr>
        <w:t xml:space="preserve">Programu Operacyjnego Wiedza Edukacja Rozwój 2014-2020 </w:t>
      </w:r>
      <w:r w:rsidR="002B5542">
        <w:rPr>
          <w:rFonts w:ascii="Times New Roman" w:hAnsi="Times New Roman" w:cs="Times New Roman"/>
          <w:b/>
          <w:color w:val="00B0F0"/>
          <w:sz w:val="24"/>
          <w:szCs w:val="24"/>
        </w:rPr>
        <w:br/>
      </w:r>
      <w:r w:rsidRPr="002B5542">
        <w:rPr>
          <w:rFonts w:ascii="Times New Roman" w:hAnsi="Times New Roman" w:cs="Times New Roman"/>
          <w:b/>
          <w:color w:val="00B0F0"/>
          <w:sz w:val="24"/>
          <w:szCs w:val="24"/>
        </w:rPr>
        <w:t>(PO WER)</w:t>
      </w:r>
    </w:p>
    <w:p w14:paraId="10A6EE18" w14:textId="77777777" w:rsidR="00A93770" w:rsidRPr="00A93770" w:rsidRDefault="00261FCE" w:rsidP="00C37712">
      <w:pPr>
        <w:spacing w:after="0"/>
        <w:jc w:val="both"/>
        <w:rPr>
          <w:rFonts w:ascii="Times New Roman" w:hAnsi="Times New Roman" w:cs="Times New Roman"/>
          <w:sz w:val="24"/>
          <w:szCs w:val="24"/>
        </w:rPr>
      </w:pPr>
      <w:r>
        <w:rPr>
          <w:rFonts w:ascii="Times New Roman" w:hAnsi="Times New Roman" w:cs="Times New Roman"/>
          <w:sz w:val="24"/>
          <w:szCs w:val="24"/>
        </w:rPr>
        <w:t>W 2019 r.</w:t>
      </w:r>
      <w:r w:rsidR="00A93770" w:rsidRPr="00A93770">
        <w:rPr>
          <w:rFonts w:ascii="Times New Roman" w:hAnsi="Times New Roman" w:cs="Times New Roman"/>
          <w:sz w:val="24"/>
          <w:szCs w:val="24"/>
        </w:rPr>
        <w:t xml:space="preserve"> w ramach Programu Operacyjnego Wiedza Edukacja Rozwój 2014-2020 (PO WER) </w:t>
      </w:r>
      <w:r w:rsidR="00A93770" w:rsidRPr="00A93770">
        <w:rPr>
          <w:rFonts w:ascii="Times New Roman" w:hAnsi="Times New Roman" w:cs="Times New Roman"/>
          <w:sz w:val="24"/>
          <w:szCs w:val="24"/>
        </w:rPr>
        <w:br/>
        <w:t xml:space="preserve">w Działaniu 2.8 </w:t>
      </w:r>
      <w:r w:rsidR="00A93770" w:rsidRPr="00A93770">
        <w:rPr>
          <w:rFonts w:ascii="Times New Roman" w:hAnsi="Times New Roman" w:cs="Times New Roman"/>
          <w:i/>
          <w:sz w:val="24"/>
          <w:szCs w:val="24"/>
        </w:rPr>
        <w:t xml:space="preserve">„Rozwój usług społecznych świadczonych w środowisku lokalnym” </w:t>
      </w:r>
      <w:r w:rsidR="00A93770" w:rsidRPr="00A93770">
        <w:rPr>
          <w:rFonts w:ascii="Times New Roman" w:hAnsi="Times New Roman" w:cs="Times New Roman"/>
          <w:sz w:val="24"/>
          <w:szCs w:val="24"/>
        </w:rPr>
        <w:t>prowadzono następujące działania:</w:t>
      </w:r>
    </w:p>
    <w:p w14:paraId="6F08BA53" w14:textId="77777777" w:rsidR="00C37712" w:rsidRDefault="00C37712" w:rsidP="00C37712">
      <w:pPr>
        <w:pStyle w:val="Akapitzlist"/>
        <w:spacing w:after="0"/>
        <w:ind w:left="0"/>
        <w:contextualSpacing w:val="0"/>
        <w:jc w:val="both"/>
        <w:rPr>
          <w:rFonts w:ascii="Times New Roman" w:eastAsia="Times New Roman" w:hAnsi="Times New Roman" w:cs="Times New Roman"/>
          <w:b/>
          <w:sz w:val="24"/>
          <w:szCs w:val="24"/>
          <w:lang w:eastAsia="pl-PL"/>
        </w:rPr>
      </w:pPr>
    </w:p>
    <w:p w14:paraId="3CE0F76A" w14:textId="77777777" w:rsidR="00A93770" w:rsidRPr="00C37712" w:rsidRDefault="00A93770" w:rsidP="00C37712">
      <w:pPr>
        <w:pStyle w:val="Akapitzlist"/>
        <w:spacing w:after="0"/>
        <w:ind w:left="0"/>
        <w:contextualSpacing w:val="0"/>
        <w:jc w:val="both"/>
        <w:rPr>
          <w:rFonts w:ascii="Times New Roman" w:eastAsia="Times New Roman" w:hAnsi="Times New Roman" w:cs="Times New Roman"/>
          <w:sz w:val="24"/>
          <w:szCs w:val="24"/>
          <w:lang w:eastAsia="pl-PL"/>
        </w:rPr>
      </w:pPr>
      <w:r w:rsidRPr="00C37712">
        <w:rPr>
          <w:rFonts w:ascii="Times New Roman" w:eastAsia="Times New Roman" w:hAnsi="Times New Roman" w:cs="Times New Roman"/>
          <w:sz w:val="24"/>
          <w:szCs w:val="24"/>
          <w:lang w:eastAsia="pl-PL"/>
        </w:rPr>
        <w:t>Trwała realizacja projektu pt.</w:t>
      </w:r>
      <w:r w:rsidRPr="00C37712">
        <w:rPr>
          <w:rFonts w:ascii="Times New Roman" w:eastAsia="Times New Roman" w:hAnsi="Times New Roman" w:cs="Times New Roman"/>
          <w:i/>
          <w:sz w:val="24"/>
          <w:szCs w:val="24"/>
          <w:lang w:eastAsia="pl-PL"/>
        </w:rPr>
        <w:t xml:space="preserve"> Profesjonalizacja usług asystenckich i opiekuńczych dla osób niesamodzielnych - nowe standardy kształcenia i opieki</w:t>
      </w:r>
      <w:r w:rsidRPr="00C37712">
        <w:rPr>
          <w:rFonts w:ascii="Times New Roman" w:eastAsia="Times New Roman" w:hAnsi="Times New Roman" w:cs="Times New Roman"/>
          <w:sz w:val="24"/>
          <w:szCs w:val="24"/>
          <w:lang w:eastAsia="pl-PL"/>
        </w:rPr>
        <w:t>, w ramach następujących 2 typów operacji:</w:t>
      </w:r>
    </w:p>
    <w:p w14:paraId="1D8081B0" w14:textId="77777777" w:rsidR="00A93770" w:rsidRPr="00C37712" w:rsidRDefault="00A93770" w:rsidP="008C71A9">
      <w:pPr>
        <w:pStyle w:val="Akapitzlist"/>
        <w:numPr>
          <w:ilvl w:val="0"/>
          <w:numId w:val="306"/>
        </w:numPr>
        <w:shd w:val="clear" w:color="auto" w:fill="FFFFFF"/>
        <w:spacing w:after="0"/>
        <w:ind w:left="360"/>
        <w:jc w:val="both"/>
        <w:rPr>
          <w:rFonts w:ascii="Times New Roman" w:hAnsi="Times New Roman" w:cs="Times New Roman"/>
          <w:sz w:val="24"/>
          <w:szCs w:val="24"/>
        </w:rPr>
      </w:pPr>
      <w:r w:rsidRPr="00C37712">
        <w:rPr>
          <w:rFonts w:ascii="Times New Roman" w:hAnsi="Times New Roman" w:cs="Times New Roman"/>
          <w:i/>
          <w:sz w:val="24"/>
          <w:szCs w:val="24"/>
        </w:rPr>
        <w:t xml:space="preserve">Wypracowanie, przetestowanie i wdrożenie wypracowanych (w tym upowszechnienie)  standardów usług łącznie z weryfikacją standardów kształcenia kadr usług asystenckich </w:t>
      </w:r>
      <w:r w:rsidRPr="00C37712">
        <w:rPr>
          <w:rFonts w:ascii="Times New Roman" w:hAnsi="Times New Roman" w:cs="Times New Roman"/>
          <w:i/>
          <w:sz w:val="24"/>
          <w:szCs w:val="24"/>
        </w:rPr>
        <w:br/>
        <w:t>i opiekuńczych na rzecz osób starszych o różnym stopniu niesamodzielności w miejscu zamieszkania z uwzględnieniem świadczenia tych usług przez osoby 50+</w:t>
      </w:r>
      <w:r w:rsidRPr="00C37712">
        <w:rPr>
          <w:rFonts w:ascii="Times New Roman" w:hAnsi="Times New Roman" w:cs="Times New Roman"/>
          <w:sz w:val="24"/>
          <w:szCs w:val="24"/>
        </w:rPr>
        <w:t>,</w:t>
      </w:r>
    </w:p>
    <w:p w14:paraId="65FC1128" w14:textId="77777777" w:rsidR="00A93770" w:rsidRPr="00C37712" w:rsidRDefault="00A93770" w:rsidP="008C71A9">
      <w:pPr>
        <w:pStyle w:val="Akapitzlist"/>
        <w:numPr>
          <w:ilvl w:val="0"/>
          <w:numId w:val="306"/>
        </w:numPr>
        <w:shd w:val="clear" w:color="auto" w:fill="FFFFFF"/>
        <w:spacing w:after="0"/>
        <w:ind w:left="360"/>
        <w:jc w:val="both"/>
        <w:rPr>
          <w:rFonts w:ascii="Times New Roman" w:hAnsi="Times New Roman" w:cs="Times New Roman"/>
          <w:sz w:val="24"/>
          <w:szCs w:val="24"/>
        </w:rPr>
      </w:pPr>
      <w:r w:rsidRPr="00C37712">
        <w:rPr>
          <w:rFonts w:ascii="Times New Roman" w:hAnsi="Times New Roman" w:cs="Times New Roman"/>
          <w:i/>
          <w:sz w:val="24"/>
          <w:szCs w:val="24"/>
        </w:rPr>
        <w:t xml:space="preserve">Opracowanie standardów kształcenia w usługach asystenckich i opiekuńczych świadczonych </w:t>
      </w:r>
      <w:r w:rsidRPr="00C37712">
        <w:rPr>
          <w:rFonts w:ascii="Times New Roman" w:hAnsi="Times New Roman" w:cs="Times New Roman"/>
          <w:i/>
          <w:sz w:val="24"/>
          <w:szCs w:val="24"/>
        </w:rPr>
        <w:br/>
        <w:t xml:space="preserve">na rzecz osób starszych o różnym stopniu niesamodzielności w ich miejscu zamieszkania </w:t>
      </w:r>
      <w:r w:rsidRPr="00C37712">
        <w:rPr>
          <w:rFonts w:ascii="Times New Roman" w:hAnsi="Times New Roman" w:cs="Times New Roman"/>
          <w:i/>
          <w:sz w:val="24"/>
          <w:szCs w:val="24"/>
        </w:rPr>
        <w:br/>
        <w:t>(w powiązaniu z wypracowanymi standardami).</w:t>
      </w:r>
    </w:p>
    <w:p w14:paraId="122B0BAB" w14:textId="77777777" w:rsidR="002815D0" w:rsidRPr="002815D0" w:rsidRDefault="002815D0" w:rsidP="00C37712">
      <w:pPr>
        <w:shd w:val="clear" w:color="auto" w:fill="FFFFFF"/>
        <w:spacing w:after="0"/>
        <w:ind w:left="360"/>
        <w:jc w:val="both"/>
        <w:rPr>
          <w:rFonts w:ascii="Times New Roman" w:hAnsi="Times New Roman" w:cs="Times New Roman"/>
          <w:sz w:val="24"/>
          <w:szCs w:val="24"/>
        </w:rPr>
      </w:pPr>
    </w:p>
    <w:p w14:paraId="186B5453" w14:textId="77777777" w:rsidR="00A93770" w:rsidRPr="00A93770" w:rsidRDefault="00A93770" w:rsidP="00C37712">
      <w:pPr>
        <w:spacing w:after="0"/>
        <w:jc w:val="both"/>
        <w:rPr>
          <w:rFonts w:ascii="Times New Roman" w:hAnsi="Times New Roman" w:cs="Times New Roman"/>
          <w:sz w:val="24"/>
          <w:szCs w:val="24"/>
        </w:rPr>
      </w:pPr>
      <w:r w:rsidRPr="00A93770">
        <w:rPr>
          <w:rFonts w:ascii="Times New Roman" w:hAnsi="Times New Roman" w:cs="Times New Roman"/>
          <w:sz w:val="24"/>
          <w:szCs w:val="24"/>
        </w:rPr>
        <w:t>W 2019 r. w ramach ww. projektu zrealizowano m.in. następujące działania:</w:t>
      </w:r>
    </w:p>
    <w:p w14:paraId="688EA647" w14:textId="77777777" w:rsidR="00A93770" w:rsidRPr="00A93770" w:rsidRDefault="00A93770" w:rsidP="008C71A9">
      <w:pPr>
        <w:pStyle w:val="Akapitzlist"/>
        <w:numPr>
          <w:ilvl w:val="0"/>
          <w:numId w:val="213"/>
        </w:numPr>
        <w:spacing w:after="0"/>
        <w:jc w:val="both"/>
        <w:rPr>
          <w:rFonts w:ascii="Times New Roman" w:eastAsia="Times New Roman" w:hAnsi="Times New Roman" w:cs="Times New Roman"/>
          <w:sz w:val="24"/>
          <w:szCs w:val="24"/>
          <w:lang w:eastAsia="pl-PL"/>
        </w:rPr>
      </w:pPr>
      <w:r w:rsidRPr="00A93770">
        <w:rPr>
          <w:rFonts w:ascii="Times New Roman" w:eastAsia="Times New Roman" w:hAnsi="Times New Roman" w:cs="Times New Roman"/>
          <w:sz w:val="24"/>
          <w:szCs w:val="24"/>
          <w:lang w:eastAsia="pl-PL"/>
        </w:rPr>
        <w:t xml:space="preserve">po wdrożeniu standardów kształcenia usług asystenckich i opiekuńczych kontynuowano świadczenie usług asystencko-opiekuńczych i teleopieki u osób niesamodzielnych. </w:t>
      </w:r>
      <w:r w:rsidRPr="00A93770">
        <w:rPr>
          <w:rFonts w:ascii="Times New Roman" w:eastAsia="Times New Roman" w:hAnsi="Times New Roman" w:cs="Times New Roman"/>
          <w:sz w:val="24"/>
          <w:szCs w:val="24"/>
          <w:lang w:eastAsia="pl-PL"/>
        </w:rPr>
        <w:br/>
        <w:t xml:space="preserve">Usługi asystencko-opiekuńcze świadczyło średnio 116 osób w wymiarze miesięcznym. </w:t>
      </w:r>
    </w:p>
    <w:p w14:paraId="438DDF7D" w14:textId="77777777" w:rsidR="00A93770" w:rsidRPr="00241BD0" w:rsidRDefault="00A93770" w:rsidP="008C71A9">
      <w:pPr>
        <w:pStyle w:val="Akapitzlist"/>
        <w:numPr>
          <w:ilvl w:val="0"/>
          <w:numId w:val="213"/>
        </w:numPr>
        <w:spacing w:after="0"/>
        <w:ind w:left="714" w:hanging="357"/>
        <w:contextualSpacing w:val="0"/>
        <w:jc w:val="both"/>
        <w:rPr>
          <w:rFonts w:ascii="Times New Roman" w:hAnsi="Times New Roman" w:cs="Times New Roman"/>
          <w:sz w:val="24"/>
          <w:szCs w:val="24"/>
        </w:rPr>
      </w:pPr>
      <w:r w:rsidRPr="00A93770">
        <w:rPr>
          <w:rFonts w:ascii="Times New Roman" w:eastAsia="Times New Roman" w:hAnsi="Times New Roman" w:cs="Times New Roman"/>
          <w:sz w:val="24"/>
          <w:szCs w:val="24"/>
          <w:lang w:eastAsia="pl-PL"/>
        </w:rPr>
        <w:t xml:space="preserve">w związku z testowym wdrożeniem wypracowanych standardów usług asystenckich </w:t>
      </w:r>
      <w:r w:rsidRPr="00A93770">
        <w:rPr>
          <w:rFonts w:ascii="Times New Roman" w:eastAsia="Times New Roman" w:hAnsi="Times New Roman" w:cs="Times New Roman"/>
          <w:sz w:val="24"/>
          <w:szCs w:val="24"/>
          <w:lang w:eastAsia="pl-PL"/>
        </w:rPr>
        <w:br/>
        <w:t xml:space="preserve">i opiekuńczych na terenie 32 gmin, przeprowadzono terenowe badania jakościowe i ilościowe mające na celu wielowymiarową ocenę działań superwizyjnych dla opiekunów wspierających osoby niesamodzielne. </w:t>
      </w:r>
    </w:p>
    <w:p w14:paraId="34C39541" w14:textId="77777777" w:rsidR="00241BD0" w:rsidRPr="00C37712" w:rsidRDefault="00241BD0" w:rsidP="00C37712">
      <w:pPr>
        <w:spacing w:after="0"/>
        <w:jc w:val="both"/>
        <w:rPr>
          <w:rFonts w:ascii="Times New Roman" w:hAnsi="Times New Roman" w:cs="Times New Roman"/>
          <w:sz w:val="24"/>
          <w:szCs w:val="24"/>
        </w:rPr>
      </w:pPr>
    </w:p>
    <w:p w14:paraId="4E41A618" w14:textId="77777777" w:rsidR="00A93770" w:rsidRPr="00A93770" w:rsidRDefault="00A93770" w:rsidP="00C37712">
      <w:pPr>
        <w:pStyle w:val="Akapitzlist"/>
        <w:spacing w:after="0"/>
        <w:ind w:left="0"/>
        <w:contextualSpacing w:val="0"/>
        <w:jc w:val="both"/>
        <w:rPr>
          <w:rFonts w:ascii="Times New Roman" w:hAnsi="Times New Roman" w:cs="Times New Roman"/>
          <w:sz w:val="24"/>
          <w:szCs w:val="24"/>
        </w:rPr>
      </w:pPr>
      <w:r w:rsidRPr="00A93770">
        <w:rPr>
          <w:rFonts w:ascii="Times New Roman" w:hAnsi="Times New Roman" w:cs="Times New Roman"/>
          <w:sz w:val="24"/>
          <w:szCs w:val="24"/>
        </w:rPr>
        <w:t>W wyniku przeprowadzonych działań osiągnięto następujące rezultaty:</w:t>
      </w:r>
    </w:p>
    <w:p w14:paraId="478DCB7F" w14:textId="77777777" w:rsidR="00A93770" w:rsidRPr="00A93770" w:rsidRDefault="00A93770" w:rsidP="008C71A9">
      <w:pPr>
        <w:pStyle w:val="Akapitzlist"/>
        <w:numPr>
          <w:ilvl w:val="0"/>
          <w:numId w:val="213"/>
        </w:numPr>
        <w:spacing w:after="0"/>
        <w:contextualSpacing w:val="0"/>
        <w:jc w:val="both"/>
        <w:rPr>
          <w:rFonts w:ascii="Times New Roman" w:eastAsia="Times New Roman" w:hAnsi="Times New Roman" w:cs="Times New Roman"/>
          <w:sz w:val="24"/>
          <w:szCs w:val="24"/>
          <w:lang w:eastAsia="pl-PL"/>
        </w:rPr>
      </w:pPr>
      <w:r w:rsidRPr="00A93770">
        <w:rPr>
          <w:rFonts w:ascii="Times New Roman" w:eastAsia="Times New Roman" w:hAnsi="Times New Roman" w:cs="Times New Roman"/>
          <w:sz w:val="24"/>
          <w:szCs w:val="24"/>
          <w:lang w:eastAsia="pl-PL"/>
        </w:rPr>
        <w:t>422 osoby niesamodzielne objęto opieką wg wypracowanych standardów usług asystenckich i opiekuńczych,</w:t>
      </w:r>
    </w:p>
    <w:p w14:paraId="25C4ACBE" w14:textId="77777777" w:rsidR="00A93770" w:rsidRPr="00A93770" w:rsidRDefault="00A93770" w:rsidP="008C71A9">
      <w:pPr>
        <w:pStyle w:val="Akapitzlist"/>
        <w:numPr>
          <w:ilvl w:val="0"/>
          <w:numId w:val="213"/>
        </w:numPr>
        <w:spacing w:after="0"/>
        <w:ind w:left="714" w:hanging="357"/>
        <w:contextualSpacing w:val="0"/>
        <w:jc w:val="both"/>
        <w:rPr>
          <w:rFonts w:ascii="Times New Roman" w:eastAsia="Times New Roman" w:hAnsi="Times New Roman" w:cs="Times New Roman"/>
          <w:sz w:val="24"/>
          <w:szCs w:val="24"/>
          <w:lang w:eastAsia="pl-PL"/>
        </w:rPr>
      </w:pPr>
      <w:r w:rsidRPr="00A93770">
        <w:rPr>
          <w:rFonts w:ascii="Times New Roman" w:eastAsia="Times New Roman" w:hAnsi="Times New Roman" w:cs="Times New Roman"/>
          <w:sz w:val="24"/>
          <w:szCs w:val="24"/>
          <w:lang w:eastAsia="pl-PL"/>
        </w:rPr>
        <w:t>303 osoby niesamodzielne objęto pilotażem w zakresie teleopieki.</w:t>
      </w:r>
    </w:p>
    <w:p w14:paraId="0523B431" w14:textId="77777777" w:rsidR="00A93770" w:rsidRPr="00A93770" w:rsidRDefault="00A93770" w:rsidP="00C37712">
      <w:pPr>
        <w:spacing w:after="0"/>
        <w:jc w:val="both"/>
        <w:rPr>
          <w:rFonts w:ascii="Times New Roman" w:hAnsi="Times New Roman" w:cs="Times New Roman"/>
          <w:sz w:val="24"/>
          <w:szCs w:val="24"/>
        </w:rPr>
      </w:pPr>
      <w:r w:rsidRPr="00A93770">
        <w:rPr>
          <w:rFonts w:ascii="Times New Roman" w:hAnsi="Times New Roman" w:cs="Times New Roman"/>
          <w:sz w:val="24"/>
          <w:szCs w:val="24"/>
        </w:rPr>
        <w:t xml:space="preserve">Projekt zakończył się 30.06.2019 r. Osiągnięte w wyniku jego realizacji rezultaty przyczynią się  do skuteczniejszej interwencji w zakresie wsparcia osób niesamodzielnych, umożliwią dostosowanie usług asystenckich i opiekuńczych do zróżnicowanych potrzeb tych osób, </w:t>
      </w:r>
      <w:r w:rsidRPr="00A93770">
        <w:rPr>
          <w:rFonts w:ascii="Times New Roman" w:hAnsi="Times New Roman" w:cs="Times New Roman"/>
          <w:sz w:val="24"/>
          <w:szCs w:val="24"/>
        </w:rPr>
        <w:lastRenderedPageBreak/>
        <w:t>zapewnią jednolitość zakresu i jakości świadczonych usług, a tym samym wpłyną na podniesienie jakości życia starszych osób niesamodzielnych.</w:t>
      </w:r>
    </w:p>
    <w:p w14:paraId="45C473FF" w14:textId="77777777" w:rsidR="00C37712" w:rsidRDefault="00C37712" w:rsidP="00C37712">
      <w:pPr>
        <w:pStyle w:val="Akapitzlist"/>
        <w:spacing w:after="0"/>
        <w:ind w:left="0"/>
        <w:contextualSpacing w:val="0"/>
        <w:jc w:val="both"/>
        <w:rPr>
          <w:rFonts w:ascii="Times New Roman" w:eastAsia="Times New Roman" w:hAnsi="Times New Roman" w:cs="Times New Roman"/>
          <w:b/>
          <w:sz w:val="24"/>
          <w:szCs w:val="24"/>
          <w:lang w:eastAsia="pl-PL"/>
        </w:rPr>
      </w:pPr>
    </w:p>
    <w:p w14:paraId="1CA2E052" w14:textId="77777777" w:rsidR="00A93770" w:rsidRPr="00C37712" w:rsidRDefault="00A93770" w:rsidP="00C37712">
      <w:pPr>
        <w:pStyle w:val="Akapitzlist"/>
        <w:spacing w:after="0"/>
        <w:ind w:left="0"/>
        <w:contextualSpacing w:val="0"/>
        <w:jc w:val="both"/>
        <w:rPr>
          <w:rFonts w:ascii="Times New Roman" w:eastAsia="Times New Roman" w:hAnsi="Times New Roman" w:cs="Times New Roman"/>
          <w:i/>
          <w:sz w:val="24"/>
          <w:szCs w:val="24"/>
          <w:lang w:eastAsia="pl-PL"/>
        </w:rPr>
      </w:pPr>
      <w:r w:rsidRPr="00A93770">
        <w:rPr>
          <w:rFonts w:ascii="Times New Roman" w:eastAsia="Times New Roman" w:hAnsi="Times New Roman" w:cs="Times New Roman"/>
          <w:sz w:val="24"/>
          <w:szCs w:val="24"/>
          <w:lang w:eastAsia="pl-PL"/>
        </w:rPr>
        <w:t xml:space="preserve">Trwała realizacja 6 projektów w ramach typu projektu: </w:t>
      </w:r>
      <w:r w:rsidRPr="00A93770">
        <w:rPr>
          <w:rFonts w:ascii="Times New Roman" w:eastAsia="Times New Roman" w:hAnsi="Times New Roman" w:cs="Times New Roman"/>
          <w:i/>
          <w:sz w:val="24"/>
          <w:szCs w:val="24"/>
          <w:lang w:eastAsia="pl-PL"/>
        </w:rPr>
        <w:t>Wypracowanie standardów i przeprowadzenie pilotaży w zakresie usług mieszkalnictwa wspomaganego dla os</w:t>
      </w:r>
      <w:r w:rsidR="00F9195B">
        <w:rPr>
          <w:rFonts w:ascii="Times New Roman" w:eastAsia="Times New Roman" w:hAnsi="Times New Roman" w:cs="Times New Roman"/>
          <w:i/>
          <w:sz w:val="24"/>
          <w:szCs w:val="24"/>
          <w:lang w:eastAsia="pl-PL"/>
        </w:rPr>
        <w:t xml:space="preserve">ób o specyficznych potrzebach, </w:t>
      </w:r>
      <w:r w:rsidRPr="00A93770">
        <w:rPr>
          <w:rFonts w:ascii="Times New Roman" w:eastAsia="Times New Roman" w:hAnsi="Times New Roman" w:cs="Times New Roman"/>
          <w:i/>
          <w:sz w:val="24"/>
          <w:szCs w:val="24"/>
          <w:lang w:eastAsia="pl-PL"/>
        </w:rPr>
        <w:t>z uwzględnieniem możliwości finansowania tych rozwiązań - dotyczącego wsparcia procesu deinstytucjonalizacji usług społecznych w Polsce (rozumianego jako przejście od opieki instytucjona</w:t>
      </w:r>
      <w:r w:rsidR="00C37712">
        <w:rPr>
          <w:rFonts w:ascii="Times New Roman" w:eastAsia="Times New Roman" w:hAnsi="Times New Roman" w:cs="Times New Roman"/>
          <w:i/>
          <w:sz w:val="24"/>
          <w:szCs w:val="24"/>
          <w:lang w:eastAsia="pl-PL"/>
        </w:rPr>
        <w:t xml:space="preserve">lnej do opieki środowiskowej). </w:t>
      </w:r>
      <w:r w:rsidRPr="00A93770">
        <w:rPr>
          <w:rFonts w:ascii="Times New Roman" w:hAnsi="Times New Roman" w:cs="Times New Roman"/>
          <w:sz w:val="24"/>
          <w:szCs w:val="24"/>
        </w:rPr>
        <w:t>Projekty realizowane są przez 6 Regionalnych Ośrodków Polityki Społe</w:t>
      </w:r>
      <w:r w:rsidR="00C37712">
        <w:rPr>
          <w:rFonts w:ascii="Times New Roman" w:hAnsi="Times New Roman" w:cs="Times New Roman"/>
          <w:sz w:val="24"/>
          <w:szCs w:val="24"/>
        </w:rPr>
        <w:t xml:space="preserve">cznej i zakończą się w 2022 r. </w:t>
      </w:r>
      <w:r w:rsidRPr="00A93770">
        <w:rPr>
          <w:rFonts w:ascii="Times New Roman" w:hAnsi="Times New Roman" w:cs="Times New Roman"/>
          <w:sz w:val="24"/>
          <w:szCs w:val="24"/>
        </w:rPr>
        <w:t>W 2019 r. w ramach ww. projektów zrealizowano następujące działania:</w:t>
      </w:r>
    </w:p>
    <w:p w14:paraId="2F8465BC" w14:textId="77777777" w:rsidR="00A93770" w:rsidRPr="00A93770" w:rsidRDefault="00A93770" w:rsidP="008C71A9">
      <w:pPr>
        <w:pStyle w:val="Akapitzlist"/>
        <w:numPr>
          <w:ilvl w:val="0"/>
          <w:numId w:val="213"/>
        </w:numPr>
        <w:spacing w:after="0"/>
        <w:ind w:left="360"/>
        <w:contextualSpacing w:val="0"/>
        <w:jc w:val="both"/>
        <w:rPr>
          <w:rFonts w:ascii="Times New Roman" w:hAnsi="Times New Roman" w:cs="Times New Roman"/>
          <w:sz w:val="24"/>
          <w:szCs w:val="24"/>
        </w:rPr>
      </w:pPr>
      <w:r w:rsidRPr="00A93770">
        <w:rPr>
          <w:rFonts w:ascii="Times New Roman" w:hAnsi="Times New Roman" w:cs="Times New Roman"/>
          <w:sz w:val="24"/>
          <w:szCs w:val="24"/>
        </w:rPr>
        <w:t xml:space="preserve">opracowano ostatni - szósty standard w zakresie mieszkalnictwa wspomaganego dla osób </w:t>
      </w:r>
      <w:r w:rsidRPr="00A93770">
        <w:rPr>
          <w:rFonts w:ascii="Times New Roman" w:hAnsi="Times New Roman" w:cs="Times New Roman"/>
          <w:sz w:val="24"/>
          <w:szCs w:val="24"/>
        </w:rPr>
        <w:br/>
        <w:t xml:space="preserve">o specyficznych potrzebach, tj. </w:t>
      </w:r>
      <w:r w:rsidRPr="00A93770">
        <w:rPr>
          <w:rFonts w:ascii="Times New Roman" w:hAnsi="Times New Roman" w:cs="Times New Roman"/>
          <w:i/>
          <w:sz w:val="24"/>
          <w:szCs w:val="24"/>
        </w:rPr>
        <w:t>dla osób z niepełnosprawnością intelektualną, w tym z zespołem Downa</w:t>
      </w:r>
      <w:r w:rsidRPr="00A93770">
        <w:rPr>
          <w:rFonts w:ascii="Times New Roman" w:hAnsi="Times New Roman" w:cs="Times New Roman"/>
          <w:sz w:val="24"/>
          <w:szCs w:val="24"/>
        </w:rPr>
        <w:t>. Pozostałe 5 standardów opracowano w 2018 r.,</w:t>
      </w:r>
    </w:p>
    <w:p w14:paraId="053F9CC4" w14:textId="77777777" w:rsidR="00A93770" w:rsidRPr="003B3FC3" w:rsidRDefault="00A93770" w:rsidP="00C37712">
      <w:pPr>
        <w:pStyle w:val="Akapitzlist"/>
        <w:numPr>
          <w:ilvl w:val="0"/>
          <w:numId w:val="213"/>
        </w:numPr>
        <w:spacing w:after="0"/>
        <w:ind w:left="360"/>
        <w:contextualSpacing w:val="0"/>
        <w:jc w:val="both"/>
        <w:rPr>
          <w:rFonts w:ascii="Times New Roman" w:hAnsi="Times New Roman" w:cs="Times New Roman"/>
          <w:sz w:val="24"/>
          <w:szCs w:val="24"/>
        </w:rPr>
      </w:pPr>
      <w:r w:rsidRPr="00A93770">
        <w:rPr>
          <w:rFonts w:ascii="Times New Roman" w:hAnsi="Times New Roman" w:cs="Times New Roman"/>
          <w:sz w:val="24"/>
          <w:szCs w:val="24"/>
        </w:rPr>
        <w:t>rozpoczęto wdrażanie opracowanego modelu/standardu na rzecz deinstytucjonalizacji usług na terenie gminnych jednostek samorządu terytorialnego m.in. poprzez przeprowadzenie prac remontowych i adaptacyjnych w mieszkaniach wspomaganych, zgodnie z wypracowanym standardem. W wyniku przeprowadzonych prac uruchomiono 22 mieszkania wspomagane.</w:t>
      </w:r>
    </w:p>
    <w:p w14:paraId="746DB8E8" w14:textId="77777777" w:rsidR="00711F72" w:rsidRDefault="0087360D" w:rsidP="006425EF">
      <w:pPr>
        <w:pStyle w:val="Nagwek2"/>
        <w:numPr>
          <w:ilvl w:val="1"/>
          <w:numId w:val="383"/>
        </w:numPr>
        <w:spacing w:before="240" w:after="240"/>
        <w:ind w:left="432"/>
        <w:rPr>
          <w:rFonts w:cs="Times New Roman"/>
          <w:sz w:val="40"/>
          <w:lang w:eastAsia="ar-SA"/>
        </w:rPr>
      </w:pPr>
      <w:bookmarkStart w:id="65" w:name="_Toc49171337"/>
      <w:r w:rsidRPr="006425EF">
        <w:rPr>
          <w:rFonts w:cs="Times New Roman"/>
          <w:sz w:val="40"/>
          <w:szCs w:val="24"/>
        </w:rPr>
        <w:t xml:space="preserve">Ministerstwo </w:t>
      </w:r>
      <w:r w:rsidRPr="006425EF">
        <w:rPr>
          <w:rFonts w:cs="Times New Roman"/>
          <w:sz w:val="40"/>
          <w:lang w:eastAsia="ar-SA"/>
        </w:rPr>
        <w:t>Kultury i Dziedzictwa Narodowego</w:t>
      </w:r>
      <w:bookmarkEnd w:id="65"/>
    </w:p>
    <w:p w14:paraId="305B94D8" w14:textId="77777777" w:rsidR="004E037B" w:rsidRPr="004E037B" w:rsidRDefault="004E037B" w:rsidP="004E037B">
      <w:pPr>
        <w:tabs>
          <w:tab w:val="left" w:pos="567"/>
        </w:tabs>
        <w:spacing w:after="0"/>
        <w:jc w:val="both"/>
        <w:rPr>
          <w:rFonts w:ascii="Times New Roman" w:hAnsi="Times New Roman" w:cs="Times New Roman"/>
          <w:b/>
          <w:color w:val="00B0F0"/>
          <w:sz w:val="24"/>
        </w:rPr>
      </w:pPr>
      <w:r w:rsidRPr="004E037B">
        <w:rPr>
          <w:rFonts w:ascii="Times New Roman" w:hAnsi="Times New Roman" w:cs="Times New Roman"/>
          <w:b/>
          <w:color w:val="00B0F0"/>
          <w:sz w:val="24"/>
        </w:rPr>
        <w:t>Program Ministra KiDN</w:t>
      </w:r>
      <w:r w:rsidRPr="004E037B">
        <w:rPr>
          <w:rFonts w:ascii="Times New Roman" w:hAnsi="Times New Roman" w:cs="Times New Roman"/>
          <w:b/>
          <w:i/>
          <w:color w:val="00B0F0"/>
          <w:sz w:val="24"/>
        </w:rPr>
        <w:t xml:space="preserve"> Kultura dostępna</w:t>
      </w:r>
      <w:r w:rsidRPr="004E037B">
        <w:rPr>
          <w:rFonts w:ascii="Times New Roman" w:hAnsi="Times New Roman" w:cs="Times New Roman"/>
          <w:b/>
          <w:color w:val="00B0F0"/>
          <w:sz w:val="24"/>
        </w:rPr>
        <w:t xml:space="preserve"> </w:t>
      </w:r>
    </w:p>
    <w:p w14:paraId="4469DFFC" w14:textId="77777777" w:rsidR="004E037B" w:rsidRPr="004E037B" w:rsidRDefault="004E037B" w:rsidP="004E037B">
      <w:pPr>
        <w:tabs>
          <w:tab w:val="left" w:pos="567"/>
        </w:tabs>
        <w:spacing w:after="0"/>
        <w:jc w:val="both"/>
        <w:rPr>
          <w:rFonts w:ascii="Times New Roman" w:hAnsi="Times New Roman" w:cs="Times New Roman"/>
          <w:sz w:val="24"/>
        </w:rPr>
      </w:pPr>
      <w:r w:rsidRPr="004E037B">
        <w:rPr>
          <w:rFonts w:ascii="Times New Roman" w:hAnsi="Times New Roman" w:cs="Times New Roman"/>
          <w:sz w:val="24"/>
        </w:rPr>
        <w:t>Strategicznym celem programu jest wspieranie zadań służących usuwaniu barier przestrzennych, ekonomicznych i społecznych w dostępie do kultury. Priorytetowo traktowane są w nim projekty uwzględniające potrzeby osób mających utrudniony dostęp do kultury i niezaangażowanych w życie kulturalne, w tym osób starszych. Obok integracji istotną wartością programu jest popularyzacja dziedzictwa o znaczeniu narodowym oraz zwiększenie dostępności do najwartościowszej pod względem edukacyjnym i artystycznym oferty kulturalnej.</w:t>
      </w:r>
      <w:r>
        <w:rPr>
          <w:rFonts w:ascii="Times New Roman" w:hAnsi="Times New Roman" w:cs="Times New Roman"/>
          <w:sz w:val="24"/>
        </w:rPr>
        <w:t xml:space="preserve"> </w:t>
      </w:r>
      <w:r w:rsidRPr="004E037B">
        <w:rPr>
          <w:rFonts w:ascii="Times New Roman" w:hAnsi="Times New Roman" w:cs="Times New Roman"/>
          <w:sz w:val="24"/>
        </w:rPr>
        <w:t>Przykładowe projekty objęte dofinansowaniem w roku sprawozdawczym:</w:t>
      </w:r>
      <w:r w:rsidRPr="004E037B">
        <w:rPr>
          <w:rFonts w:ascii="Times New Roman" w:hAnsi="Times New Roman" w:cs="Times New Roman"/>
          <w:b/>
          <w:sz w:val="24"/>
        </w:rPr>
        <w:t xml:space="preserve"> </w:t>
      </w:r>
    </w:p>
    <w:p w14:paraId="2CC2A542" w14:textId="77777777" w:rsidR="004E037B" w:rsidRPr="004E037B" w:rsidRDefault="004E037B" w:rsidP="004E037B">
      <w:pPr>
        <w:pStyle w:val="Akapitzlist"/>
        <w:numPr>
          <w:ilvl w:val="0"/>
          <w:numId w:val="400"/>
        </w:numPr>
        <w:tabs>
          <w:tab w:val="left" w:pos="567"/>
        </w:tabs>
        <w:spacing w:after="0"/>
        <w:ind w:left="360"/>
        <w:contextualSpacing w:val="0"/>
        <w:jc w:val="both"/>
        <w:rPr>
          <w:rFonts w:ascii="Times New Roman" w:hAnsi="Times New Roman" w:cs="Times New Roman"/>
          <w:i/>
          <w:sz w:val="24"/>
        </w:rPr>
      </w:pPr>
      <w:r w:rsidRPr="004E037B">
        <w:rPr>
          <w:rFonts w:ascii="Times New Roman" w:hAnsi="Times New Roman" w:cs="Times New Roman"/>
          <w:sz w:val="24"/>
        </w:rPr>
        <w:t xml:space="preserve">Stowarzyszenie "Forum dla ojczyzny" – </w:t>
      </w:r>
      <w:r w:rsidRPr="004E037B">
        <w:rPr>
          <w:rFonts w:ascii="Times New Roman" w:hAnsi="Times New Roman" w:cs="Times New Roman"/>
          <w:i/>
          <w:sz w:val="24"/>
        </w:rPr>
        <w:t>Spektakl muzyczny "Powróćmy jak za dawnych lat" przeznaczony dla seniorów 60+,</w:t>
      </w:r>
    </w:p>
    <w:p w14:paraId="424A9F3B" w14:textId="77777777" w:rsidR="004E037B" w:rsidRPr="004E037B" w:rsidRDefault="004E037B" w:rsidP="004E037B">
      <w:pPr>
        <w:pStyle w:val="Akapitzlist"/>
        <w:numPr>
          <w:ilvl w:val="0"/>
          <w:numId w:val="400"/>
        </w:numPr>
        <w:tabs>
          <w:tab w:val="left" w:pos="567"/>
        </w:tabs>
        <w:spacing w:after="0"/>
        <w:ind w:left="360"/>
        <w:contextualSpacing w:val="0"/>
        <w:jc w:val="both"/>
        <w:rPr>
          <w:rFonts w:ascii="Times New Roman" w:hAnsi="Times New Roman" w:cs="Times New Roman"/>
          <w:i/>
          <w:sz w:val="24"/>
        </w:rPr>
      </w:pPr>
      <w:r w:rsidRPr="004E037B">
        <w:rPr>
          <w:rFonts w:ascii="Times New Roman" w:hAnsi="Times New Roman" w:cs="Times New Roman"/>
          <w:sz w:val="24"/>
        </w:rPr>
        <w:t xml:space="preserve">Stowarzyszenie "Via Musica" – </w:t>
      </w:r>
      <w:r w:rsidRPr="004E037B">
        <w:rPr>
          <w:rFonts w:ascii="Times New Roman" w:hAnsi="Times New Roman" w:cs="Times New Roman"/>
          <w:i/>
          <w:sz w:val="24"/>
        </w:rPr>
        <w:t>III Muzyczna Akademia Seniora SART,</w:t>
      </w:r>
    </w:p>
    <w:p w14:paraId="43CB747F" w14:textId="77777777" w:rsidR="004E037B" w:rsidRPr="004E037B" w:rsidRDefault="004E037B" w:rsidP="004E037B">
      <w:pPr>
        <w:pStyle w:val="Akapitzlist"/>
        <w:numPr>
          <w:ilvl w:val="0"/>
          <w:numId w:val="400"/>
        </w:numPr>
        <w:tabs>
          <w:tab w:val="left" w:pos="567"/>
        </w:tabs>
        <w:spacing w:after="0"/>
        <w:ind w:left="360"/>
        <w:contextualSpacing w:val="0"/>
        <w:jc w:val="both"/>
        <w:rPr>
          <w:rFonts w:ascii="Times New Roman" w:hAnsi="Times New Roman" w:cs="Times New Roman"/>
          <w:i/>
          <w:sz w:val="24"/>
        </w:rPr>
      </w:pPr>
      <w:r w:rsidRPr="004E037B">
        <w:rPr>
          <w:rFonts w:ascii="Times New Roman" w:hAnsi="Times New Roman" w:cs="Times New Roman"/>
          <w:sz w:val="24"/>
        </w:rPr>
        <w:t>Biblioteka Publiczna Miasta i Gminy Krzywiń –</w:t>
      </w:r>
      <w:r w:rsidRPr="004E037B">
        <w:rPr>
          <w:rFonts w:ascii="Times New Roman" w:hAnsi="Times New Roman" w:cs="Times New Roman"/>
          <w:i/>
          <w:sz w:val="24"/>
        </w:rPr>
        <w:t xml:space="preserve"> Seniorzy cool/turalni,</w:t>
      </w:r>
    </w:p>
    <w:p w14:paraId="6F4112B6" w14:textId="77777777" w:rsidR="004E037B" w:rsidRPr="004E037B" w:rsidRDefault="004E037B" w:rsidP="004E037B">
      <w:pPr>
        <w:pStyle w:val="Akapitzlist"/>
        <w:numPr>
          <w:ilvl w:val="0"/>
          <w:numId w:val="400"/>
        </w:numPr>
        <w:tabs>
          <w:tab w:val="left" w:pos="567"/>
        </w:tabs>
        <w:spacing w:after="0"/>
        <w:ind w:left="360"/>
        <w:contextualSpacing w:val="0"/>
        <w:jc w:val="both"/>
        <w:rPr>
          <w:rFonts w:ascii="Times New Roman" w:hAnsi="Times New Roman" w:cs="Times New Roman"/>
          <w:i/>
          <w:sz w:val="24"/>
        </w:rPr>
      </w:pPr>
      <w:r w:rsidRPr="004E037B">
        <w:rPr>
          <w:rFonts w:ascii="Times New Roman" w:hAnsi="Times New Roman" w:cs="Times New Roman"/>
          <w:sz w:val="24"/>
        </w:rPr>
        <w:t>Fundacja Rozwoju Edukacji Głuchych –</w:t>
      </w:r>
      <w:r w:rsidRPr="004E037B">
        <w:rPr>
          <w:rFonts w:ascii="Times New Roman" w:hAnsi="Times New Roman" w:cs="Times New Roman"/>
          <w:i/>
          <w:sz w:val="24"/>
        </w:rPr>
        <w:t xml:space="preserve"> Kultura dostępna w PJM - wyjazdy tematyczne dla głuchych seniorów.</w:t>
      </w:r>
    </w:p>
    <w:p w14:paraId="2E77C382" w14:textId="77777777" w:rsidR="004E037B" w:rsidRPr="004E037B" w:rsidRDefault="004E037B" w:rsidP="004E037B">
      <w:pPr>
        <w:pStyle w:val="Akapitzlist"/>
        <w:tabs>
          <w:tab w:val="left" w:pos="567"/>
        </w:tabs>
        <w:spacing w:after="0"/>
        <w:ind w:left="0"/>
        <w:contextualSpacing w:val="0"/>
        <w:jc w:val="both"/>
        <w:rPr>
          <w:rFonts w:ascii="Times New Roman" w:hAnsi="Times New Roman" w:cs="Times New Roman"/>
          <w:iCs/>
          <w:sz w:val="24"/>
        </w:rPr>
      </w:pPr>
    </w:p>
    <w:p w14:paraId="43942193" w14:textId="77777777" w:rsidR="004E037B" w:rsidRPr="004E037B" w:rsidRDefault="004E037B" w:rsidP="004E037B">
      <w:pPr>
        <w:pStyle w:val="Akapitzlist"/>
        <w:tabs>
          <w:tab w:val="left" w:pos="567"/>
        </w:tabs>
        <w:spacing w:after="0"/>
        <w:ind w:left="0"/>
        <w:contextualSpacing w:val="0"/>
        <w:jc w:val="both"/>
        <w:rPr>
          <w:rFonts w:ascii="Times New Roman" w:hAnsi="Times New Roman" w:cs="Times New Roman"/>
          <w:color w:val="00B0F0"/>
          <w:sz w:val="24"/>
        </w:rPr>
      </w:pPr>
      <w:r w:rsidRPr="004E037B">
        <w:rPr>
          <w:rFonts w:ascii="Times New Roman" w:hAnsi="Times New Roman" w:cs="Times New Roman"/>
          <w:b/>
          <w:color w:val="00B0F0"/>
          <w:sz w:val="24"/>
        </w:rPr>
        <w:t xml:space="preserve">Program Ministra KiDN </w:t>
      </w:r>
      <w:r w:rsidRPr="004E037B">
        <w:rPr>
          <w:rFonts w:ascii="Times New Roman" w:hAnsi="Times New Roman" w:cs="Times New Roman"/>
          <w:b/>
          <w:i/>
          <w:color w:val="00B0F0"/>
          <w:sz w:val="24"/>
        </w:rPr>
        <w:t>Edukacja kulturalna</w:t>
      </w:r>
    </w:p>
    <w:p w14:paraId="24D8EBF5" w14:textId="77777777" w:rsidR="004E037B" w:rsidRPr="004E037B" w:rsidRDefault="004E037B" w:rsidP="004E037B">
      <w:pPr>
        <w:tabs>
          <w:tab w:val="left" w:pos="567"/>
        </w:tabs>
        <w:spacing w:after="0"/>
        <w:jc w:val="both"/>
        <w:rPr>
          <w:rFonts w:ascii="Times New Roman" w:hAnsi="Times New Roman" w:cs="Times New Roman"/>
          <w:sz w:val="24"/>
        </w:rPr>
      </w:pPr>
      <w:r w:rsidRPr="004E037B">
        <w:rPr>
          <w:rFonts w:ascii="Times New Roman" w:hAnsi="Times New Roman" w:cs="Times New Roman"/>
          <w:sz w:val="24"/>
        </w:rPr>
        <w:t xml:space="preserve">Strategicznym celem programu jest wspieranie zadań z zakresu edukacji kulturalnej, ważnych dla rozwoju kapitału społecznego. Co roku dofinansowane są zarówno zadania, które skierowane są bezpośrednio i wyłącznie do seniorów, jak i projekty o charakterze integracyjnym, międzypokoleniowym, łączące różne grupy społeczne i wiekowe. Działania </w:t>
      </w:r>
      <w:r w:rsidRPr="004E037B">
        <w:rPr>
          <w:rFonts w:ascii="Times New Roman" w:hAnsi="Times New Roman" w:cs="Times New Roman"/>
          <w:sz w:val="24"/>
        </w:rPr>
        <w:lastRenderedPageBreak/>
        <w:t>projektowe dotykają z jednej strony problemów bliskich osobom w podeszłym wieku,</w:t>
      </w:r>
      <w:r w:rsidRPr="004E037B">
        <w:rPr>
          <w:rFonts w:ascii="Times New Roman" w:hAnsi="Times New Roman" w:cs="Times New Roman"/>
          <w:sz w:val="24"/>
        </w:rPr>
        <w:br/>
        <w:t>z drugiej zaś zachęcają do aktywności twórczej, poszerzenia swoich umiejętności, a tym samym polepszenia jakości życia. Projekty realizowane są przez instytucje kultury</w:t>
      </w:r>
      <w:r>
        <w:rPr>
          <w:rFonts w:ascii="Times New Roman" w:hAnsi="Times New Roman" w:cs="Times New Roman"/>
          <w:sz w:val="24"/>
        </w:rPr>
        <w:t xml:space="preserve"> </w:t>
      </w:r>
      <w:r w:rsidRPr="004E037B">
        <w:rPr>
          <w:rFonts w:ascii="Times New Roman" w:hAnsi="Times New Roman" w:cs="Times New Roman"/>
          <w:sz w:val="24"/>
        </w:rPr>
        <w:t>i organizacje pozarządowe. Przykładowe projekty objęte dofinansowaniem w roku sprawozdawczym:</w:t>
      </w:r>
      <w:r w:rsidRPr="004E037B">
        <w:rPr>
          <w:rFonts w:ascii="Times New Roman" w:hAnsi="Times New Roman" w:cs="Times New Roman"/>
          <w:b/>
          <w:sz w:val="24"/>
        </w:rPr>
        <w:t xml:space="preserve"> </w:t>
      </w:r>
    </w:p>
    <w:p w14:paraId="30E0CA88" w14:textId="77777777" w:rsidR="004E037B" w:rsidRPr="004E037B" w:rsidRDefault="004E037B" w:rsidP="004E037B">
      <w:pPr>
        <w:pStyle w:val="Akapitzlist"/>
        <w:numPr>
          <w:ilvl w:val="0"/>
          <w:numId w:val="401"/>
        </w:numPr>
        <w:tabs>
          <w:tab w:val="left" w:pos="567"/>
        </w:tabs>
        <w:spacing w:after="0"/>
        <w:ind w:left="360"/>
        <w:contextualSpacing w:val="0"/>
        <w:jc w:val="both"/>
        <w:rPr>
          <w:rFonts w:ascii="Times New Roman" w:hAnsi="Times New Roman" w:cs="Times New Roman"/>
          <w:sz w:val="24"/>
        </w:rPr>
      </w:pPr>
      <w:r w:rsidRPr="004E037B">
        <w:rPr>
          <w:rFonts w:ascii="Times New Roman" w:hAnsi="Times New Roman" w:cs="Times New Roman"/>
          <w:sz w:val="24"/>
        </w:rPr>
        <w:t xml:space="preserve">Regionalny Ośrodek Kultury w Częstochowie – </w:t>
      </w:r>
      <w:r w:rsidRPr="004E037B">
        <w:rPr>
          <w:rFonts w:ascii="Times New Roman" w:hAnsi="Times New Roman" w:cs="Times New Roman"/>
          <w:i/>
          <w:iCs/>
          <w:sz w:val="24"/>
        </w:rPr>
        <w:t>„Twórcze Pokolenia" - regionalne międzypokoleniowe warsztaty plastyczno-komputerowe dla seniorów i juniorów,</w:t>
      </w:r>
    </w:p>
    <w:p w14:paraId="3AC6838C" w14:textId="77777777" w:rsidR="004E037B" w:rsidRPr="004E037B" w:rsidRDefault="004E037B" w:rsidP="004E037B">
      <w:pPr>
        <w:pStyle w:val="Akapitzlist"/>
        <w:numPr>
          <w:ilvl w:val="0"/>
          <w:numId w:val="401"/>
        </w:numPr>
        <w:tabs>
          <w:tab w:val="left" w:pos="567"/>
        </w:tabs>
        <w:spacing w:after="0"/>
        <w:ind w:left="360"/>
        <w:contextualSpacing w:val="0"/>
        <w:jc w:val="both"/>
        <w:rPr>
          <w:rFonts w:ascii="Times New Roman" w:hAnsi="Times New Roman" w:cs="Times New Roman"/>
          <w:i/>
          <w:sz w:val="24"/>
        </w:rPr>
      </w:pPr>
      <w:r w:rsidRPr="004E037B">
        <w:rPr>
          <w:rFonts w:ascii="Times New Roman" w:hAnsi="Times New Roman" w:cs="Times New Roman"/>
          <w:sz w:val="24"/>
        </w:rPr>
        <w:t xml:space="preserve">Teatr im. Wojciecha Bogusławskiego w Kaliszu – </w:t>
      </w:r>
      <w:r w:rsidRPr="004E037B">
        <w:rPr>
          <w:rFonts w:ascii="Times New Roman" w:hAnsi="Times New Roman" w:cs="Times New Roman"/>
          <w:i/>
          <w:sz w:val="24"/>
        </w:rPr>
        <w:t>Wielka sztuka w małym mieście. Jak Kaliskie Spotkania Teatralne zmieniały Kalisz? Warsztaty dla młodzieży i seniorów.</w:t>
      </w:r>
    </w:p>
    <w:p w14:paraId="6CB157EA" w14:textId="77777777" w:rsidR="004E037B" w:rsidRPr="004E037B" w:rsidRDefault="004E037B" w:rsidP="004E037B">
      <w:pPr>
        <w:pStyle w:val="Akapitzlist"/>
        <w:tabs>
          <w:tab w:val="left" w:pos="567"/>
        </w:tabs>
        <w:spacing w:after="0"/>
        <w:ind w:left="0"/>
        <w:contextualSpacing w:val="0"/>
        <w:jc w:val="both"/>
        <w:rPr>
          <w:rFonts w:ascii="Times New Roman" w:hAnsi="Times New Roman" w:cs="Times New Roman"/>
          <w:sz w:val="24"/>
        </w:rPr>
      </w:pPr>
    </w:p>
    <w:p w14:paraId="6A86A5D7" w14:textId="77777777" w:rsidR="004E037B" w:rsidRPr="004E037B" w:rsidRDefault="004E037B" w:rsidP="004E037B">
      <w:pPr>
        <w:pStyle w:val="Akapitzlist"/>
        <w:tabs>
          <w:tab w:val="left" w:pos="567"/>
        </w:tabs>
        <w:spacing w:after="0"/>
        <w:ind w:left="0"/>
        <w:contextualSpacing w:val="0"/>
        <w:jc w:val="both"/>
        <w:rPr>
          <w:rFonts w:ascii="Times New Roman" w:hAnsi="Times New Roman" w:cs="Times New Roman"/>
          <w:color w:val="00B0F0"/>
          <w:sz w:val="24"/>
        </w:rPr>
      </w:pPr>
      <w:r w:rsidRPr="004E037B">
        <w:rPr>
          <w:rFonts w:ascii="Times New Roman" w:hAnsi="Times New Roman" w:cs="Times New Roman"/>
          <w:b/>
          <w:color w:val="00B0F0"/>
          <w:sz w:val="24"/>
        </w:rPr>
        <w:t xml:space="preserve">Program Ministra KiDN </w:t>
      </w:r>
      <w:r w:rsidRPr="004E037B">
        <w:rPr>
          <w:rFonts w:ascii="Times New Roman" w:hAnsi="Times New Roman" w:cs="Times New Roman"/>
          <w:b/>
          <w:i/>
          <w:color w:val="00B0F0"/>
          <w:sz w:val="24"/>
        </w:rPr>
        <w:t>Rozwój Infrastruktury Kultury</w:t>
      </w:r>
    </w:p>
    <w:p w14:paraId="4A95106E" w14:textId="77777777" w:rsidR="004E037B" w:rsidRPr="004E037B" w:rsidRDefault="004E037B" w:rsidP="004E037B">
      <w:pPr>
        <w:pStyle w:val="Akapitzlist"/>
        <w:tabs>
          <w:tab w:val="left" w:pos="567"/>
        </w:tabs>
        <w:spacing w:after="0"/>
        <w:ind w:left="0"/>
        <w:contextualSpacing w:val="0"/>
        <w:jc w:val="both"/>
        <w:rPr>
          <w:rFonts w:ascii="Times New Roman" w:hAnsi="Times New Roman" w:cs="Times New Roman"/>
          <w:sz w:val="24"/>
        </w:rPr>
      </w:pPr>
      <w:r w:rsidRPr="004E037B">
        <w:rPr>
          <w:rFonts w:ascii="Times New Roman" w:hAnsi="Times New Roman" w:cs="Times New Roman"/>
          <w:sz w:val="24"/>
        </w:rPr>
        <w:t xml:space="preserve">W ramach Programu Ministra KiDN </w:t>
      </w:r>
      <w:r w:rsidRPr="004E037B">
        <w:rPr>
          <w:rFonts w:ascii="Times New Roman" w:hAnsi="Times New Roman" w:cs="Times New Roman"/>
          <w:i/>
          <w:sz w:val="24"/>
        </w:rPr>
        <w:t>Rozwój Infrastruktury Kultury</w:t>
      </w:r>
      <w:r w:rsidRPr="004E037B">
        <w:rPr>
          <w:rFonts w:ascii="Times New Roman" w:hAnsi="Times New Roman" w:cs="Times New Roman"/>
          <w:sz w:val="24"/>
        </w:rPr>
        <w:t xml:space="preserve"> w roku 2019 zrealizowano m.in. przedsięwzięcia infrastrukturalne mające na celu przystosowanie obiektów kulturalnych. W roku 2019 dofinansowane były zadania kierowane jednocześnie do wielu grup wiekowych, w tym także do osób starszych. Przykładowe zadania dofinansowane w 2019 roku:</w:t>
      </w:r>
    </w:p>
    <w:p w14:paraId="53A4384E" w14:textId="77777777" w:rsidR="004E037B" w:rsidRPr="004E037B" w:rsidRDefault="004E037B" w:rsidP="004E037B">
      <w:pPr>
        <w:pStyle w:val="Akapitzlist"/>
        <w:numPr>
          <w:ilvl w:val="0"/>
          <w:numId w:val="402"/>
        </w:numPr>
        <w:tabs>
          <w:tab w:val="left" w:pos="567"/>
        </w:tabs>
        <w:spacing w:after="0"/>
        <w:ind w:left="360"/>
        <w:contextualSpacing w:val="0"/>
        <w:jc w:val="both"/>
        <w:rPr>
          <w:rFonts w:ascii="Times New Roman" w:hAnsi="Times New Roman" w:cs="Times New Roman"/>
          <w:i/>
          <w:sz w:val="24"/>
        </w:rPr>
      </w:pPr>
      <w:r w:rsidRPr="004E037B">
        <w:rPr>
          <w:rFonts w:ascii="Times New Roman" w:hAnsi="Times New Roman" w:cs="Times New Roman"/>
          <w:sz w:val="24"/>
        </w:rPr>
        <w:t xml:space="preserve">Muzeum Łazienki Królewskie w Warszawie </w:t>
      </w:r>
      <w:r w:rsidRPr="004E037B">
        <w:rPr>
          <w:rFonts w:ascii="Times New Roman" w:hAnsi="Times New Roman" w:cs="Times New Roman"/>
          <w:i/>
          <w:sz w:val="24"/>
        </w:rPr>
        <w:t>Rozwój infrastruktury obsługi działalności kulturalnej na terenie Łazienek Królewskich - toaleta przy Pomniku Chopina;</w:t>
      </w:r>
    </w:p>
    <w:p w14:paraId="5E10FB33" w14:textId="77777777" w:rsidR="004E037B" w:rsidRPr="004E037B" w:rsidRDefault="004E037B" w:rsidP="004E037B">
      <w:pPr>
        <w:pStyle w:val="Akapitzlist"/>
        <w:numPr>
          <w:ilvl w:val="0"/>
          <w:numId w:val="402"/>
        </w:numPr>
        <w:tabs>
          <w:tab w:val="left" w:pos="567"/>
        </w:tabs>
        <w:spacing w:after="0"/>
        <w:ind w:left="360"/>
        <w:contextualSpacing w:val="0"/>
        <w:jc w:val="both"/>
        <w:rPr>
          <w:rFonts w:ascii="Times New Roman" w:hAnsi="Times New Roman" w:cs="Times New Roman"/>
          <w:i/>
          <w:sz w:val="24"/>
        </w:rPr>
      </w:pPr>
      <w:r w:rsidRPr="004E037B">
        <w:rPr>
          <w:rFonts w:ascii="Times New Roman" w:hAnsi="Times New Roman" w:cs="Times New Roman"/>
          <w:sz w:val="24"/>
        </w:rPr>
        <w:t>Światowy Związek Żołnierzy Armii Krajowej Okręg Zamość</w:t>
      </w:r>
      <w:r w:rsidRPr="004E037B">
        <w:rPr>
          <w:rFonts w:ascii="Times New Roman" w:hAnsi="Times New Roman" w:cs="Times New Roman"/>
          <w:i/>
          <w:sz w:val="24"/>
        </w:rPr>
        <w:t xml:space="preserve"> Budowa sali ekspozycyjnej przy Muzeum Historycznym AK w Bondyrzu.</w:t>
      </w:r>
    </w:p>
    <w:p w14:paraId="4C81BED3" w14:textId="77777777" w:rsidR="004E037B" w:rsidRPr="004E037B" w:rsidRDefault="004E037B" w:rsidP="004E037B">
      <w:pPr>
        <w:pStyle w:val="Akapitzlist"/>
        <w:tabs>
          <w:tab w:val="left" w:pos="567"/>
        </w:tabs>
        <w:spacing w:after="0"/>
        <w:ind w:left="0"/>
        <w:contextualSpacing w:val="0"/>
        <w:jc w:val="both"/>
        <w:rPr>
          <w:rFonts w:ascii="Times New Roman" w:hAnsi="Times New Roman" w:cs="Times New Roman"/>
          <w:sz w:val="24"/>
        </w:rPr>
      </w:pPr>
    </w:p>
    <w:p w14:paraId="288282B0" w14:textId="77777777" w:rsidR="004E037B" w:rsidRPr="004E037B" w:rsidRDefault="004E037B" w:rsidP="004E037B">
      <w:pPr>
        <w:pStyle w:val="Akapitzlist"/>
        <w:tabs>
          <w:tab w:val="left" w:pos="567"/>
        </w:tabs>
        <w:spacing w:after="0"/>
        <w:ind w:left="0"/>
        <w:contextualSpacing w:val="0"/>
        <w:jc w:val="both"/>
        <w:rPr>
          <w:rFonts w:ascii="Times New Roman" w:hAnsi="Times New Roman" w:cs="Times New Roman"/>
          <w:color w:val="00B0F0"/>
          <w:sz w:val="24"/>
        </w:rPr>
      </w:pPr>
      <w:r w:rsidRPr="004E037B">
        <w:rPr>
          <w:rFonts w:ascii="Times New Roman" w:hAnsi="Times New Roman" w:cs="Times New Roman"/>
          <w:b/>
          <w:color w:val="00B0F0"/>
          <w:sz w:val="24"/>
        </w:rPr>
        <w:t>VIII oś priorytetowa Programu Operacyjnego Infrastruktura i Środowisko 2014-2020 (Ochrona dziedzictwa kulturowego i rozwój zasobów kultury)</w:t>
      </w:r>
    </w:p>
    <w:p w14:paraId="31DC7234" w14:textId="77777777" w:rsidR="004E037B" w:rsidRPr="004E037B" w:rsidRDefault="004E037B" w:rsidP="004E037B">
      <w:pPr>
        <w:pStyle w:val="Akapitzlist"/>
        <w:tabs>
          <w:tab w:val="left" w:pos="567"/>
        </w:tabs>
        <w:spacing w:after="0"/>
        <w:ind w:left="0"/>
        <w:contextualSpacing w:val="0"/>
        <w:jc w:val="both"/>
        <w:rPr>
          <w:rFonts w:ascii="Times New Roman" w:hAnsi="Times New Roman" w:cs="Times New Roman"/>
          <w:sz w:val="24"/>
        </w:rPr>
      </w:pPr>
      <w:r w:rsidRPr="004E037B">
        <w:rPr>
          <w:rFonts w:ascii="Times New Roman" w:hAnsi="Times New Roman" w:cs="Times New Roman"/>
          <w:sz w:val="24"/>
        </w:rPr>
        <w:t>Większość z realizowanych projektów wpisuje się w sposób pozytywny w prowadzoną politykę społeczną wobec osób starszych, m.in. poprzez likwidację barier architektonicznych, zapewniając osobom starszym możliwość pełnego udziału w ofercie kulturalno-edukacyjnej (jest to systemowy warunek niezbędny realizacji wszystkich projektów). W ramach projektów organizuje się również działania społeczne i aktywizujące dla seniorów. W ramach Programu realizowanych jest 144 projekty o łącznej wartości kosztów całkowitych ok. 2,970 mld zł. Na koniec 2019 r. inwestycje znajdowały się w znaczącej części w fazie realizacji, jednocześnie do końca 2019 r. zakończono i rozliczono pod względem finansowym 19 projektów.</w:t>
      </w:r>
    </w:p>
    <w:p w14:paraId="71160DAE" w14:textId="77777777" w:rsidR="0087360D" w:rsidRDefault="0087360D" w:rsidP="006425EF">
      <w:pPr>
        <w:pStyle w:val="Nagwek2"/>
        <w:numPr>
          <w:ilvl w:val="1"/>
          <w:numId w:val="383"/>
        </w:numPr>
        <w:spacing w:before="240" w:after="240"/>
        <w:ind w:left="432"/>
        <w:rPr>
          <w:rFonts w:cs="Times New Roman"/>
          <w:sz w:val="40"/>
          <w:szCs w:val="28"/>
          <w:lang w:eastAsia="ar-SA"/>
        </w:rPr>
      </w:pPr>
      <w:bookmarkStart w:id="66" w:name="_Toc49171338"/>
      <w:r w:rsidRPr="006425EF">
        <w:rPr>
          <w:rFonts w:cs="Times New Roman"/>
          <w:sz w:val="40"/>
          <w:szCs w:val="28"/>
          <w:lang w:eastAsia="ar-SA"/>
        </w:rPr>
        <w:t>Ministerstwo</w:t>
      </w:r>
      <w:r w:rsidR="00475EFA" w:rsidRPr="006425EF">
        <w:rPr>
          <w:rFonts w:cs="Times New Roman"/>
          <w:sz w:val="40"/>
          <w:szCs w:val="28"/>
          <w:lang w:eastAsia="ar-SA"/>
        </w:rPr>
        <w:t xml:space="preserve"> Rozwoju</w:t>
      </w:r>
      <w:bookmarkEnd w:id="66"/>
    </w:p>
    <w:p w14:paraId="7617AF6A" w14:textId="77777777" w:rsidR="00F91BB1" w:rsidRPr="00F43ADA" w:rsidRDefault="007B71A6" w:rsidP="00F43ADA">
      <w:pPr>
        <w:spacing w:after="0"/>
        <w:jc w:val="both"/>
        <w:rPr>
          <w:rFonts w:ascii="Times New Roman" w:hAnsi="Times New Roman" w:cs="Times New Roman"/>
          <w:sz w:val="24"/>
          <w:szCs w:val="24"/>
          <w:lang w:eastAsia="ar-SA"/>
        </w:rPr>
      </w:pPr>
      <w:r w:rsidRPr="007B71A6">
        <w:rPr>
          <w:rFonts w:ascii="Times New Roman" w:hAnsi="Times New Roman" w:cs="Times New Roman"/>
          <w:sz w:val="24"/>
          <w:szCs w:val="24"/>
          <w:lang w:eastAsia="ar-SA"/>
        </w:rPr>
        <w:t xml:space="preserve">Szczegółowy opis działań zrealizowanych przez Ministerstwo </w:t>
      </w:r>
      <w:r>
        <w:rPr>
          <w:rFonts w:ascii="Times New Roman" w:hAnsi="Times New Roman" w:cs="Times New Roman"/>
          <w:sz w:val="24"/>
          <w:szCs w:val="24"/>
          <w:lang w:eastAsia="ar-SA"/>
        </w:rPr>
        <w:t xml:space="preserve">Rozwoju </w:t>
      </w:r>
      <w:r w:rsidRPr="007B71A6">
        <w:rPr>
          <w:rFonts w:ascii="Times New Roman" w:hAnsi="Times New Roman" w:cs="Times New Roman"/>
          <w:sz w:val="24"/>
          <w:szCs w:val="24"/>
          <w:lang w:eastAsia="ar-SA"/>
        </w:rPr>
        <w:t xml:space="preserve">zawarty jest </w:t>
      </w:r>
      <w:r>
        <w:rPr>
          <w:rFonts w:ascii="Times New Roman" w:hAnsi="Times New Roman" w:cs="Times New Roman"/>
          <w:sz w:val="24"/>
          <w:szCs w:val="24"/>
          <w:lang w:eastAsia="ar-SA"/>
        </w:rPr>
        <w:br/>
      </w:r>
      <w:r w:rsidRPr="007B71A6">
        <w:rPr>
          <w:rFonts w:ascii="Times New Roman" w:hAnsi="Times New Roman" w:cs="Times New Roman"/>
          <w:sz w:val="24"/>
          <w:szCs w:val="24"/>
          <w:lang w:eastAsia="ar-SA"/>
        </w:rPr>
        <w:t xml:space="preserve">w rozdziale 4.  </w:t>
      </w:r>
      <w:r w:rsidRPr="007B71A6">
        <w:rPr>
          <w:rFonts w:ascii="Times New Roman" w:hAnsi="Times New Roman" w:cs="Times New Roman"/>
          <w:i/>
          <w:sz w:val="24"/>
          <w:szCs w:val="24"/>
          <w:lang w:eastAsia="ar-SA"/>
        </w:rPr>
        <w:t>Sprawozdanie z realizacji działań zaplanowanych w dokumencie Polityka społeczna wobec osób starszych 2030. Bezpieczeństwo – Uczestnictwo – Solidarność.</w:t>
      </w:r>
    </w:p>
    <w:p w14:paraId="05B1623C" w14:textId="77777777" w:rsidR="00837951" w:rsidRPr="006425EF" w:rsidRDefault="0087360D" w:rsidP="006425EF">
      <w:pPr>
        <w:pStyle w:val="Nagwek2"/>
        <w:numPr>
          <w:ilvl w:val="1"/>
          <w:numId w:val="383"/>
        </w:numPr>
        <w:spacing w:before="240" w:after="240"/>
        <w:ind w:left="432"/>
        <w:rPr>
          <w:rFonts w:eastAsia="Times New Roman" w:cs="Times New Roman"/>
          <w:sz w:val="40"/>
          <w:szCs w:val="28"/>
          <w:lang w:eastAsia="ar-SA"/>
        </w:rPr>
      </w:pPr>
      <w:bookmarkStart w:id="67" w:name="_Toc49171339"/>
      <w:r w:rsidRPr="006425EF">
        <w:rPr>
          <w:rFonts w:eastAsia="Times New Roman" w:cs="Times New Roman"/>
          <w:sz w:val="40"/>
          <w:szCs w:val="28"/>
          <w:lang w:eastAsia="ar-SA"/>
        </w:rPr>
        <w:t>Ministerstwo</w:t>
      </w:r>
      <w:r w:rsidR="00475EFA" w:rsidRPr="006425EF">
        <w:rPr>
          <w:rFonts w:eastAsia="Times New Roman" w:cs="Times New Roman"/>
          <w:sz w:val="40"/>
          <w:szCs w:val="28"/>
          <w:lang w:eastAsia="ar-SA"/>
        </w:rPr>
        <w:t xml:space="preserve"> Infrastruktury</w:t>
      </w:r>
      <w:bookmarkEnd w:id="67"/>
    </w:p>
    <w:p w14:paraId="01123A7E" w14:textId="77777777" w:rsidR="00837951" w:rsidRPr="00837951" w:rsidRDefault="00837951" w:rsidP="000E1E08">
      <w:pPr>
        <w:tabs>
          <w:tab w:val="left" w:pos="284"/>
        </w:tabs>
        <w:spacing w:after="0"/>
        <w:jc w:val="both"/>
        <w:rPr>
          <w:rFonts w:ascii="Times New Roman" w:hAnsi="Times New Roman" w:cs="Times New Roman"/>
          <w:sz w:val="24"/>
          <w:szCs w:val="24"/>
        </w:rPr>
      </w:pPr>
      <w:r w:rsidRPr="00837951">
        <w:rPr>
          <w:rFonts w:ascii="Times New Roman" w:hAnsi="Times New Roman" w:cs="Times New Roman"/>
          <w:sz w:val="24"/>
          <w:szCs w:val="24"/>
        </w:rPr>
        <w:t xml:space="preserve">W celu minimalizowania istniejących barier architektonicznych uniemożliwiających aktywność osobom starszym, Generalna Dyrekcja Dróg Krajowych i Autostrad w ramach </w:t>
      </w:r>
      <w:r w:rsidRPr="00837951">
        <w:rPr>
          <w:rFonts w:ascii="Times New Roman" w:hAnsi="Times New Roman" w:cs="Times New Roman"/>
          <w:sz w:val="24"/>
          <w:szCs w:val="24"/>
        </w:rPr>
        <w:lastRenderedPageBreak/>
        <w:t>wykonywanych zadań zarządcy dróg krajowych o charakterze remontowym i inwestycyjnym wykonała w 2019 r.:</w:t>
      </w:r>
    </w:p>
    <w:p w14:paraId="335AAB12" w14:textId="77777777" w:rsidR="00837951" w:rsidRPr="00837951" w:rsidRDefault="00837951" w:rsidP="008C71A9">
      <w:pPr>
        <w:numPr>
          <w:ilvl w:val="0"/>
          <w:numId w:val="307"/>
        </w:numPr>
        <w:spacing w:after="0"/>
        <w:ind w:left="825"/>
        <w:contextualSpacing/>
        <w:rPr>
          <w:rFonts w:ascii="Times New Roman" w:hAnsi="Times New Roman" w:cs="Times New Roman"/>
          <w:sz w:val="24"/>
          <w:szCs w:val="24"/>
        </w:rPr>
      </w:pPr>
      <w:r w:rsidRPr="00837951">
        <w:rPr>
          <w:rFonts w:ascii="Times New Roman" w:hAnsi="Times New Roman" w:cs="Times New Roman"/>
          <w:sz w:val="24"/>
          <w:szCs w:val="24"/>
        </w:rPr>
        <w:t>montaż sygnalizatorów akustycznych na przejściach dla pieszych 109 szt.,</w:t>
      </w:r>
    </w:p>
    <w:p w14:paraId="3861AD54" w14:textId="77777777" w:rsidR="00837951" w:rsidRPr="00837951" w:rsidRDefault="00837951" w:rsidP="008C71A9">
      <w:pPr>
        <w:numPr>
          <w:ilvl w:val="0"/>
          <w:numId w:val="307"/>
        </w:numPr>
        <w:spacing w:after="0"/>
        <w:ind w:left="825"/>
        <w:contextualSpacing/>
        <w:rPr>
          <w:rFonts w:ascii="Times New Roman" w:hAnsi="Times New Roman" w:cs="Times New Roman"/>
          <w:sz w:val="24"/>
          <w:szCs w:val="24"/>
        </w:rPr>
      </w:pPr>
      <w:r w:rsidRPr="00837951">
        <w:rPr>
          <w:rFonts w:ascii="Times New Roman" w:hAnsi="Times New Roman" w:cs="Times New Roman"/>
          <w:sz w:val="24"/>
          <w:szCs w:val="24"/>
        </w:rPr>
        <w:t>obniżenie dojść przed istniejącym przejściem dla pieszych 48 szt.,</w:t>
      </w:r>
    </w:p>
    <w:p w14:paraId="1643420D" w14:textId="77777777" w:rsidR="00837951" w:rsidRPr="00837951" w:rsidRDefault="00837951" w:rsidP="008C71A9">
      <w:pPr>
        <w:numPr>
          <w:ilvl w:val="0"/>
          <w:numId w:val="307"/>
        </w:numPr>
        <w:spacing w:after="0"/>
        <w:ind w:left="825"/>
        <w:contextualSpacing/>
        <w:rPr>
          <w:rFonts w:ascii="Times New Roman" w:hAnsi="Times New Roman" w:cs="Times New Roman"/>
          <w:sz w:val="24"/>
          <w:szCs w:val="24"/>
        </w:rPr>
      </w:pPr>
      <w:r w:rsidRPr="00837951">
        <w:rPr>
          <w:rFonts w:ascii="Times New Roman" w:hAnsi="Times New Roman" w:cs="Times New Roman"/>
          <w:sz w:val="24"/>
          <w:szCs w:val="24"/>
        </w:rPr>
        <w:t>azyle na przejściach dla pieszych 77 szt.,</w:t>
      </w:r>
    </w:p>
    <w:p w14:paraId="2D49B64E" w14:textId="77777777" w:rsidR="00837951" w:rsidRPr="00837951" w:rsidRDefault="00837951" w:rsidP="008C71A9">
      <w:pPr>
        <w:numPr>
          <w:ilvl w:val="0"/>
          <w:numId w:val="307"/>
        </w:numPr>
        <w:spacing w:after="0"/>
        <w:ind w:left="825"/>
        <w:contextualSpacing/>
        <w:rPr>
          <w:rFonts w:ascii="Times New Roman" w:hAnsi="Times New Roman" w:cs="Times New Roman"/>
          <w:sz w:val="24"/>
          <w:szCs w:val="24"/>
        </w:rPr>
      </w:pPr>
      <w:r w:rsidRPr="00837951">
        <w:rPr>
          <w:rFonts w:ascii="Times New Roman" w:hAnsi="Times New Roman" w:cs="Times New Roman"/>
          <w:sz w:val="24"/>
          <w:szCs w:val="24"/>
        </w:rPr>
        <w:t>zatoki autobusowe 86 szt.,</w:t>
      </w:r>
    </w:p>
    <w:p w14:paraId="7FE3900B" w14:textId="77777777" w:rsidR="00837951" w:rsidRPr="00837951" w:rsidRDefault="00837951" w:rsidP="008C71A9">
      <w:pPr>
        <w:numPr>
          <w:ilvl w:val="0"/>
          <w:numId w:val="307"/>
        </w:numPr>
        <w:spacing w:after="0"/>
        <w:ind w:left="825"/>
        <w:contextualSpacing/>
        <w:rPr>
          <w:rFonts w:ascii="Times New Roman" w:hAnsi="Times New Roman" w:cs="Times New Roman"/>
          <w:sz w:val="24"/>
          <w:szCs w:val="24"/>
        </w:rPr>
      </w:pPr>
      <w:r w:rsidRPr="00837951">
        <w:rPr>
          <w:rFonts w:ascii="Times New Roman" w:hAnsi="Times New Roman" w:cs="Times New Roman"/>
          <w:sz w:val="24"/>
          <w:szCs w:val="24"/>
        </w:rPr>
        <w:t>sygnalizacje świetlne na przejściu dla pieszych 8 szt.,</w:t>
      </w:r>
    </w:p>
    <w:p w14:paraId="581A01A9" w14:textId="77777777" w:rsidR="005615A4" w:rsidRDefault="00837951" w:rsidP="008C71A9">
      <w:pPr>
        <w:numPr>
          <w:ilvl w:val="0"/>
          <w:numId w:val="307"/>
        </w:numPr>
        <w:spacing w:after="0"/>
        <w:ind w:left="825"/>
        <w:rPr>
          <w:rFonts w:ascii="Times New Roman" w:hAnsi="Times New Roman" w:cs="Times New Roman"/>
          <w:sz w:val="24"/>
          <w:szCs w:val="24"/>
        </w:rPr>
      </w:pPr>
      <w:r w:rsidRPr="00837951">
        <w:rPr>
          <w:rFonts w:ascii="Times New Roman" w:hAnsi="Times New Roman" w:cs="Times New Roman"/>
          <w:sz w:val="24"/>
          <w:szCs w:val="24"/>
        </w:rPr>
        <w:t>oświetlenie przejść dla pieszych 82 szt</w:t>
      </w:r>
      <w:r w:rsidR="005615A4">
        <w:rPr>
          <w:rFonts w:ascii="Times New Roman" w:hAnsi="Times New Roman" w:cs="Times New Roman"/>
          <w:sz w:val="24"/>
          <w:szCs w:val="24"/>
        </w:rPr>
        <w:t>.</w:t>
      </w:r>
    </w:p>
    <w:p w14:paraId="78BEA069" w14:textId="77777777" w:rsidR="005615A4" w:rsidRDefault="005615A4" w:rsidP="005615A4">
      <w:pPr>
        <w:spacing w:after="0"/>
        <w:rPr>
          <w:rFonts w:ascii="Times New Roman" w:hAnsi="Times New Roman" w:cs="Times New Roman"/>
          <w:sz w:val="24"/>
          <w:szCs w:val="24"/>
        </w:rPr>
      </w:pPr>
    </w:p>
    <w:p w14:paraId="441CCB30" w14:textId="77777777" w:rsidR="00837951" w:rsidRPr="005615A4" w:rsidRDefault="005615A4" w:rsidP="005615A4">
      <w:pPr>
        <w:spacing w:after="0"/>
        <w:jc w:val="both"/>
        <w:rPr>
          <w:rFonts w:ascii="Times New Roman" w:hAnsi="Times New Roman" w:cs="Times New Roman"/>
          <w:sz w:val="24"/>
          <w:szCs w:val="24"/>
        </w:rPr>
      </w:pPr>
      <w:r>
        <w:rPr>
          <w:rFonts w:ascii="Times New Roman" w:hAnsi="Times New Roman" w:cs="Times New Roman"/>
          <w:sz w:val="24"/>
          <w:szCs w:val="24"/>
        </w:rPr>
        <w:t>W</w:t>
      </w:r>
      <w:r w:rsidR="00837951" w:rsidRPr="005615A4">
        <w:rPr>
          <w:rFonts w:ascii="Times New Roman" w:hAnsi="Times New Roman" w:cs="Times New Roman"/>
          <w:sz w:val="24"/>
          <w:szCs w:val="24"/>
        </w:rPr>
        <w:t xml:space="preserve">arunki techniczne dla dróg publicznych jak i obiektów inżynierskich zapewniają w szczególności niezbędne warunki do korzystania z drogi publicznej przez osoby z ograniczoną sprawnością i niepełnosprawne, w tym poruszające się na wózkach inwalidzkich (§ 1 rozporządzenia Ministra Transportu i Gospodarki Morskiej z dnia 2 marca 1999 r. w sprawie warunków technicznych, jakim powinny odpowiadać drogi publiczne i ich usytuowanie (Dz. U. z 2016 r. poz. 124) i § 1 rozporządzenia Ministra Transportu i Gospodarki Morskiej z dnia 30 maja 2000 r. w sprawie warunków technicznych, jakim powinny odpowiadać drogowe obiekty inżynierskie i ich usytuowanie (Dz. U. poz. 735,z późn. zm.)). </w:t>
      </w:r>
    </w:p>
    <w:p w14:paraId="1FABD1C6" w14:textId="77777777" w:rsidR="00837951" w:rsidRPr="003901C7" w:rsidRDefault="00837951" w:rsidP="005615A4">
      <w:pPr>
        <w:spacing w:after="0"/>
        <w:jc w:val="both"/>
        <w:rPr>
          <w:rFonts w:ascii="Times New Roman" w:hAnsi="Times New Roman" w:cs="Times New Roman"/>
          <w:sz w:val="28"/>
          <w:lang w:eastAsia="ar-SA"/>
        </w:rPr>
      </w:pPr>
    </w:p>
    <w:p w14:paraId="1D9B4A89" w14:textId="77777777" w:rsidR="003901C7" w:rsidRDefault="005615A4" w:rsidP="005615A4">
      <w:pPr>
        <w:tabs>
          <w:tab w:val="left" w:pos="284"/>
        </w:tabs>
        <w:spacing w:after="0"/>
        <w:jc w:val="both"/>
        <w:rPr>
          <w:rFonts w:ascii="Times New Roman" w:hAnsi="Times New Roman" w:cs="Times New Roman"/>
          <w:sz w:val="24"/>
        </w:rPr>
      </w:pPr>
      <w:r>
        <w:rPr>
          <w:rFonts w:ascii="Times New Roman" w:hAnsi="Times New Roman" w:cs="Times New Roman"/>
          <w:sz w:val="24"/>
        </w:rPr>
        <w:t>W 2019 r.</w:t>
      </w:r>
      <w:r w:rsidR="003901C7" w:rsidRPr="003901C7">
        <w:rPr>
          <w:rFonts w:ascii="Times New Roman" w:hAnsi="Times New Roman" w:cs="Times New Roman"/>
          <w:sz w:val="24"/>
        </w:rPr>
        <w:t xml:space="preserve"> Krajowa Rada Bezpieczeństwa Ruchu Drogowego, Ministerstwo Infrastruktury oraz Policja – partner akcji zrealizowało po raz czwarty, na terenie całej Polski, akcję informacyjno – edukacyjną skierowaną do osób powyżej 60 roku życia, tj. seniorów – rowerzystów, seniorów - kierowców i seniorów – pieszych pod hasłem </w:t>
      </w:r>
      <w:r w:rsidR="003901C7" w:rsidRPr="003901C7">
        <w:rPr>
          <w:rFonts w:ascii="Times New Roman" w:hAnsi="Times New Roman" w:cs="Times New Roman"/>
          <w:i/>
          <w:sz w:val="24"/>
        </w:rPr>
        <w:t>Senior na drodze - pamiętaj o bezpieczeństwie</w:t>
      </w:r>
      <w:r>
        <w:rPr>
          <w:rFonts w:ascii="Times New Roman" w:hAnsi="Times New Roman" w:cs="Times New Roman"/>
          <w:sz w:val="24"/>
        </w:rPr>
        <w:t xml:space="preserve">. </w:t>
      </w:r>
      <w:r w:rsidR="003901C7" w:rsidRPr="003901C7">
        <w:rPr>
          <w:rFonts w:ascii="Times New Roman" w:hAnsi="Times New Roman" w:cs="Times New Roman"/>
          <w:sz w:val="24"/>
        </w:rPr>
        <w:t xml:space="preserve">Celem akcji </w:t>
      </w:r>
      <w:r w:rsidR="003901C7" w:rsidRPr="003901C7">
        <w:rPr>
          <w:rFonts w:ascii="Times New Roman" w:hAnsi="Times New Roman" w:cs="Times New Roman"/>
          <w:i/>
          <w:sz w:val="24"/>
        </w:rPr>
        <w:t>Senior na drodze - pamiętaj o bezpieczeństwie</w:t>
      </w:r>
      <w:r w:rsidR="003901C7" w:rsidRPr="003901C7">
        <w:rPr>
          <w:rFonts w:ascii="Times New Roman" w:hAnsi="Times New Roman" w:cs="Times New Roman"/>
          <w:sz w:val="24"/>
        </w:rPr>
        <w:t xml:space="preserve"> było ksz</w:t>
      </w:r>
      <w:r w:rsidR="003901C7">
        <w:rPr>
          <w:rFonts w:ascii="Times New Roman" w:hAnsi="Times New Roman" w:cs="Times New Roman"/>
          <w:sz w:val="24"/>
        </w:rPr>
        <w:t xml:space="preserve">tałtowanie prawidłowych postaw </w:t>
      </w:r>
      <w:r w:rsidR="003901C7" w:rsidRPr="003901C7">
        <w:rPr>
          <w:rFonts w:ascii="Times New Roman" w:hAnsi="Times New Roman" w:cs="Times New Roman"/>
          <w:sz w:val="24"/>
        </w:rPr>
        <w:t>i zachowań, uświadomienie w szczególności kierowców, rowerzystów i pieszych powyżej 60 roku życia jako uczestników ruchu drogowego, jak m.in. zgodnie z obowiązującymi  przepisami prawa prawidłowo poruszać się po drodze; jak i kiedy stosować elementy odblaskowe po zmroku; jak sprawność psychofizyczna, kt</w:t>
      </w:r>
      <w:r w:rsidR="003901C7">
        <w:rPr>
          <w:rFonts w:ascii="Times New Roman" w:hAnsi="Times New Roman" w:cs="Times New Roman"/>
          <w:sz w:val="24"/>
        </w:rPr>
        <w:t xml:space="preserve">óra </w:t>
      </w:r>
      <w:r w:rsidR="003901C7" w:rsidRPr="003901C7">
        <w:rPr>
          <w:rFonts w:ascii="Times New Roman" w:hAnsi="Times New Roman" w:cs="Times New Roman"/>
          <w:sz w:val="24"/>
        </w:rPr>
        <w:t>z wiekiem jest coraz słabsza ma wpływ na percepcję i możliwość kierowania pojazdem, jak bezpiecznie uczestniczyć w ruchu drogowym jako kierowca – senior, rowerzysta – senior, pieszy – senior uwzględniając zmiany biologiczne i mentalne postępujące wraz z wiekiem, mające znaczący wpływ na bezpieczeństwo ruchu drogowego. Przeprowadzenie akcji miało również na celu budowani</w:t>
      </w:r>
      <w:r w:rsidR="003901C7">
        <w:rPr>
          <w:rFonts w:ascii="Times New Roman" w:hAnsi="Times New Roman" w:cs="Times New Roman"/>
          <w:sz w:val="24"/>
        </w:rPr>
        <w:t xml:space="preserve">e poczucia współuczestniczenia </w:t>
      </w:r>
      <w:r w:rsidR="003901C7" w:rsidRPr="003901C7">
        <w:rPr>
          <w:rFonts w:ascii="Times New Roman" w:hAnsi="Times New Roman" w:cs="Times New Roman"/>
          <w:sz w:val="24"/>
        </w:rPr>
        <w:t>w ruchu drogowym, współodpowiedzialności za bezpieczeństwo swoje i innych na drodze, w wymiarze lokalnym i ogólnospołecznym, a także uczenie właściwych postaw i zachowań zmierzających do wyeliminowania lub ograniczenia zagrożeń dotyczących kierowców, rowerzystów i pieszych powyżej 60 roku życia (bazując na przyczynach wypadków drogowych z ich udziałem), co w konsekwencji prowadzić miało do zmian postaw i zachowań oraz spowodować zmniejszenie liczby ofiar śmiertelnych i rannych tych zdarzeń.</w:t>
      </w:r>
    </w:p>
    <w:p w14:paraId="698726AF" w14:textId="77777777" w:rsidR="003B3FC3" w:rsidRPr="003901C7" w:rsidRDefault="003B3FC3" w:rsidP="005615A4">
      <w:pPr>
        <w:tabs>
          <w:tab w:val="left" w:pos="284"/>
        </w:tabs>
        <w:spacing w:after="0"/>
        <w:jc w:val="both"/>
        <w:rPr>
          <w:rFonts w:ascii="Times New Roman" w:hAnsi="Times New Roman" w:cs="Times New Roman"/>
          <w:sz w:val="24"/>
        </w:rPr>
      </w:pPr>
    </w:p>
    <w:p w14:paraId="00E3FB45" w14:textId="77777777" w:rsidR="003901C7" w:rsidRPr="003901C7" w:rsidRDefault="003901C7" w:rsidP="005615A4">
      <w:pPr>
        <w:tabs>
          <w:tab w:val="left" w:pos="284"/>
        </w:tabs>
        <w:spacing w:after="0"/>
        <w:jc w:val="both"/>
        <w:rPr>
          <w:rFonts w:ascii="Times New Roman" w:hAnsi="Times New Roman" w:cs="Times New Roman"/>
          <w:sz w:val="24"/>
        </w:rPr>
      </w:pPr>
      <w:r w:rsidRPr="003901C7">
        <w:rPr>
          <w:rFonts w:ascii="Times New Roman" w:hAnsi="Times New Roman" w:cs="Times New Roman"/>
          <w:sz w:val="24"/>
        </w:rPr>
        <w:t>Akcja składała się z dwóch elementów tj.:</w:t>
      </w:r>
    </w:p>
    <w:p w14:paraId="452B2490" w14:textId="77777777" w:rsidR="005615A4" w:rsidRDefault="003901C7" w:rsidP="008C71A9">
      <w:pPr>
        <w:pStyle w:val="Akapitzlist"/>
        <w:numPr>
          <w:ilvl w:val="0"/>
          <w:numId w:val="308"/>
        </w:numPr>
        <w:tabs>
          <w:tab w:val="left" w:pos="284"/>
        </w:tabs>
        <w:spacing w:after="0"/>
        <w:ind w:left="360"/>
        <w:jc w:val="both"/>
        <w:rPr>
          <w:rFonts w:ascii="Times New Roman" w:hAnsi="Times New Roman" w:cs="Times New Roman"/>
          <w:sz w:val="24"/>
        </w:rPr>
      </w:pPr>
      <w:r w:rsidRPr="005615A4">
        <w:rPr>
          <w:rFonts w:ascii="Times New Roman" w:hAnsi="Times New Roman" w:cs="Times New Roman"/>
          <w:sz w:val="24"/>
        </w:rPr>
        <w:lastRenderedPageBreak/>
        <w:t>Warsztatów Bezpieczeństwa Ruchu Drogowego, które pozwoliły m.in. na: zapoznanie się lub przypomnienie obowiązujących zasad poruszania się w ruchu drogowym, zaprezentowanie przykładów właściwego stosowania elementów odblaskowych oraz obowiązkowego wyposażenia rowerów i zwrócenie uwagi na zachodzące z wiekiem zmiany fizjologiczne oraz psychomotoryczne wpływające na percepcję i możliwość poruszania się po drodze, a także uświadomienie o prawach i obowiązkach oraz odpowiedzialności spoczywającej na osobach po 60 roku życia jako pełnoprawnych uczestnikach ruchu drogowego. Założono, że w ramach akcji zostanie przeszkolonych 3</w:t>
      </w:r>
      <w:r w:rsidR="005615A4">
        <w:rPr>
          <w:rFonts w:ascii="Times New Roman" w:hAnsi="Times New Roman" w:cs="Times New Roman"/>
          <w:sz w:val="24"/>
        </w:rPr>
        <w:t xml:space="preserve"> </w:t>
      </w:r>
      <w:r w:rsidRPr="005615A4">
        <w:rPr>
          <w:rFonts w:ascii="Times New Roman" w:hAnsi="Times New Roman" w:cs="Times New Roman"/>
          <w:sz w:val="24"/>
        </w:rPr>
        <w:t>000 osób jednak zainteresowanie akcją spowodowało, że przeszkolono 3</w:t>
      </w:r>
      <w:r w:rsidR="005615A4">
        <w:rPr>
          <w:rFonts w:ascii="Times New Roman" w:hAnsi="Times New Roman" w:cs="Times New Roman"/>
          <w:sz w:val="24"/>
        </w:rPr>
        <w:t xml:space="preserve"> </w:t>
      </w:r>
      <w:r w:rsidRPr="005615A4">
        <w:rPr>
          <w:rFonts w:ascii="Times New Roman" w:hAnsi="Times New Roman" w:cs="Times New Roman"/>
          <w:sz w:val="24"/>
        </w:rPr>
        <w:t>684 osób.</w:t>
      </w:r>
    </w:p>
    <w:p w14:paraId="23267F62" w14:textId="77777777" w:rsidR="003901C7" w:rsidRPr="005615A4" w:rsidRDefault="003901C7" w:rsidP="008C71A9">
      <w:pPr>
        <w:pStyle w:val="Akapitzlist"/>
        <w:numPr>
          <w:ilvl w:val="0"/>
          <w:numId w:val="308"/>
        </w:numPr>
        <w:tabs>
          <w:tab w:val="left" w:pos="284"/>
        </w:tabs>
        <w:spacing w:after="0"/>
        <w:ind w:left="360"/>
        <w:jc w:val="both"/>
        <w:rPr>
          <w:rFonts w:ascii="Times New Roman" w:hAnsi="Times New Roman" w:cs="Times New Roman"/>
          <w:sz w:val="24"/>
        </w:rPr>
      </w:pPr>
      <w:r w:rsidRPr="005615A4">
        <w:rPr>
          <w:rFonts w:ascii="Times New Roman" w:hAnsi="Times New Roman" w:cs="Times New Roman"/>
          <w:sz w:val="24"/>
        </w:rPr>
        <w:t xml:space="preserve">Warsztatu rowerowego, w ramach którego uczestnicy mogli wykonać bezpłatny przegląd techniczny roweru przed i po warsztatach i uzupełnić ewentualne braki w oświetleniu rowerowym, zgodnie z obowiązującymi przepisami. Serwisowi zostało poddanych 1172 rowerów. </w:t>
      </w:r>
    </w:p>
    <w:p w14:paraId="16F19417" w14:textId="77777777" w:rsidR="003901C7" w:rsidRPr="003901C7" w:rsidRDefault="003901C7" w:rsidP="005615A4">
      <w:pPr>
        <w:tabs>
          <w:tab w:val="left" w:pos="284"/>
        </w:tabs>
        <w:spacing w:after="0"/>
        <w:jc w:val="both"/>
        <w:rPr>
          <w:rFonts w:ascii="Times New Roman" w:hAnsi="Times New Roman" w:cs="Times New Roman"/>
          <w:sz w:val="24"/>
        </w:rPr>
      </w:pPr>
      <w:r w:rsidRPr="003901C7">
        <w:rPr>
          <w:rFonts w:ascii="Times New Roman" w:hAnsi="Times New Roman" w:cs="Times New Roman"/>
          <w:sz w:val="24"/>
        </w:rPr>
        <w:t>W ramach akcji przeprowadzono 94 warsztaty z zakresu bezpieczeństwa w ruchu drogowym na terenie całej Polski, w 94 powiatach na terenie 16 województw. Lokalizacje reali</w:t>
      </w:r>
      <w:r>
        <w:rPr>
          <w:rFonts w:ascii="Times New Roman" w:hAnsi="Times New Roman" w:cs="Times New Roman"/>
          <w:sz w:val="24"/>
        </w:rPr>
        <w:t xml:space="preserve">zacji akcji zostały wytypowane </w:t>
      </w:r>
      <w:r w:rsidRPr="003901C7">
        <w:rPr>
          <w:rFonts w:ascii="Times New Roman" w:hAnsi="Times New Roman" w:cs="Times New Roman"/>
          <w:sz w:val="24"/>
        </w:rPr>
        <w:t xml:space="preserve">i wskazane jako obszar o najwyższym wskaźniku zagrożenia utraty życia i zdrowia grupy docelowej i zostały poparte analizą danych o wypadkach z </w:t>
      </w:r>
      <w:r w:rsidR="005615A4">
        <w:rPr>
          <w:rFonts w:ascii="Times New Roman" w:hAnsi="Times New Roman" w:cs="Times New Roman"/>
          <w:sz w:val="24"/>
        </w:rPr>
        <w:t xml:space="preserve">udziałem osób 60 +  w 2018 r. </w:t>
      </w:r>
      <w:r w:rsidRPr="003901C7">
        <w:rPr>
          <w:rFonts w:ascii="Times New Roman" w:hAnsi="Times New Roman" w:cs="Times New Roman"/>
          <w:sz w:val="24"/>
        </w:rPr>
        <w:t xml:space="preserve">i w latach poprzednich.  </w:t>
      </w:r>
    </w:p>
    <w:p w14:paraId="4CCB06C1" w14:textId="77777777" w:rsidR="005615A4" w:rsidRDefault="005615A4" w:rsidP="005615A4">
      <w:pPr>
        <w:tabs>
          <w:tab w:val="left" w:pos="284"/>
        </w:tabs>
        <w:spacing w:after="0"/>
        <w:jc w:val="both"/>
        <w:rPr>
          <w:rFonts w:ascii="Times New Roman" w:hAnsi="Times New Roman" w:cs="Times New Roman"/>
          <w:sz w:val="24"/>
        </w:rPr>
      </w:pPr>
    </w:p>
    <w:p w14:paraId="23CEF022" w14:textId="77777777" w:rsidR="003901C7" w:rsidRPr="00835584" w:rsidRDefault="003901C7" w:rsidP="00835584">
      <w:pPr>
        <w:tabs>
          <w:tab w:val="left" w:pos="284"/>
        </w:tabs>
        <w:spacing w:after="0"/>
        <w:jc w:val="both"/>
        <w:rPr>
          <w:rFonts w:ascii="Times New Roman" w:hAnsi="Times New Roman" w:cs="Times New Roman"/>
          <w:sz w:val="24"/>
        </w:rPr>
      </w:pPr>
      <w:r w:rsidRPr="003901C7">
        <w:rPr>
          <w:rFonts w:ascii="Times New Roman" w:hAnsi="Times New Roman" w:cs="Times New Roman"/>
          <w:sz w:val="24"/>
        </w:rPr>
        <w:t xml:space="preserve">Na potrzeby akcji uruchomiony został portal „Senior Bezpieczny Na Drodze” pod adresem </w:t>
      </w:r>
      <w:hyperlink r:id="rId15" w:history="1">
        <w:r w:rsidRPr="003901C7">
          <w:rPr>
            <w:rStyle w:val="Hipercze"/>
            <w:rFonts w:ascii="Times New Roman" w:hAnsi="Times New Roman" w:cs="Times New Roman"/>
            <w:sz w:val="24"/>
          </w:rPr>
          <w:t>www.SeniorNaDrodze.pl</w:t>
        </w:r>
      </w:hyperlink>
      <w:r w:rsidRPr="003901C7">
        <w:rPr>
          <w:rFonts w:ascii="Times New Roman" w:hAnsi="Times New Roman" w:cs="Times New Roman"/>
          <w:sz w:val="24"/>
        </w:rPr>
        <w:t>, w którym znajdują się bieżące informacje o akcji oraz bezpłatne materiały dotyczące bezpieczeństwa w ruchu drogowym. Dodatkowo uatrakcyjniając akcję podczas niektórych warsztatów zastosowano symulator dachowania, symulator zderzeń, czy symulator wybuchu poduszki powietrznej, a seniorzy oprócz teorii mogli praktycznie przekonać się o potrzebie prawidłowego zapinania pasów oraz pod okiem trenerów nauczyć się właściwego ich używania.  W ramach warsztatów uczestnicy mieli możliwość kontroli ostrości wzroku czy umiejętności dostrzegania barw czerwonej i zielonej za pomocą specjalistycznych tablic okulistycznych, co umożliwiło grupie seniorów uświadomienie sobie niedoskonałości narządu wzroku, a tym samym stało się wskazówką do skorzystania z pomocy specjalisty. Uczestnicy mogli również skorzystać z mierników czasu reakcji, który odzwierciedlał poziom refleksu badanych seniorów-rowerzystów i kierujących pojazdami.  Informacje zebrane od uczestników warsztatów (na podstawie obserwacji i przeprowadzonych ankiet) oraz dokonana analiza m.in. stanu wiedzy dot. przepisów, poglądów i przekonań dot. ruchu drogowego i istniejących zagrożeń oraz ewaluacja projektu została zawarta w raporcie po</w:t>
      </w:r>
      <w:r w:rsidR="00416C51">
        <w:rPr>
          <w:rFonts w:ascii="Times New Roman" w:hAnsi="Times New Roman" w:cs="Times New Roman"/>
          <w:sz w:val="24"/>
        </w:rPr>
        <w:t>dsumowującym projekt w 2019 r.</w:t>
      </w:r>
      <w:r w:rsidR="002149D1">
        <w:rPr>
          <w:rStyle w:val="Odwoanieprzypisudolnego"/>
          <w:rFonts w:ascii="Times New Roman" w:hAnsi="Times New Roman" w:cs="Times New Roman"/>
          <w:sz w:val="24"/>
        </w:rPr>
        <w:footnoteReference w:id="29"/>
      </w:r>
      <w:r w:rsidR="002149D1">
        <w:rPr>
          <w:rFonts w:ascii="Times New Roman" w:hAnsi="Times New Roman" w:cs="Times New Roman"/>
          <w:sz w:val="24"/>
        </w:rPr>
        <w:t>.</w:t>
      </w:r>
    </w:p>
    <w:p w14:paraId="54DF0FE8" w14:textId="77777777" w:rsidR="0057376E" w:rsidRPr="006425EF" w:rsidRDefault="0087360D" w:rsidP="006425EF">
      <w:pPr>
        <w:pStyle w:val="Nagwek2"/>
        <w:numPr>
          <w:ilvl w:val="1"/>
          <w:numId w:val="383"/>
        </w:numPr>
        <w:spacing w:before="240" w:after="240"/>
        <w:ind w:left="432"/>
        <w:rPr>
          <w:rFonts w:cs="Times New Roman"/>
          <w:sz w:val="40"/>
          <w:szCs w:val="32"/>
          <w:lang w:eastAsia="ar-SA"/>
        </w:rPr>
      </w:pPr>
      <w:bookmarkStart w:id="68" w:name="_Toc49171340"/>
      <w:r w:rsidRPr="006425EF">
        <w:rPr>
          <w:rFonts w:cs="Times New Roman"/>
          <w:sz w:val="40"/>
          <w:szCs w:val="32"/>
          <w:lang w:eastAsia="ar-SA"/>
        </w:rPr>
        <w:lastRenderedPageBreak/>
        <w:t xml:space="preserve">Ministerstwo </w:t>
      </w:r>
      <w:r w:rsidR="00475EFA" w:rsidRPr="006425EF">
        <w:rPr>
          <w:rFonts w:cs="Times New Roman"/>
          <w:sz w:val="40"/>
          <w:szCs w:val="32"/>
          <w:lang w:eastAsia="ar-SA"/>
        </w:rPr>
        <w:t>Rolnictwa i Rozwoju Wsi</w:t>
      </w:r>
      <w:bookmarkEnd w:id="68"/>
    </w:p>
    <w:p w14:paraId="0C722308" w14:textId="77777777" w:rsidR="00423164" w:rsidRPr="0057376E" w:rsidRDefault="00423164" w:rsidP="0057376E">
      <w:pPr>
        <w:spacing w:after="0"/>
        <w:jc w:val="both"/>
        <w:rPr>
          <w:rFonts w:ascii="Times New Roman" w:hAnsi="Times New Roman" w:cs="Times New Roman"/>
          <w:sz w:val="24"/>
          <w:szCs w:val="24"/>
        </w:rPr>
      </w:pPr>
      <w:r w:rsidRPr="0057376E">
        <w:rPr>
          <w:rFonts w:ascii="Times New Roman" w:hAnsi="Times New Roman" w:cs="Times New Roman"/>
          <w:sz w:val="24"/>
          <w:szCs w:val="24"/>
        </w:rPr>
        <w:t>Na obszarach wiejskich w Polsce zamieszkuje obecnie ponad 2,1 mln osób po 65 roku życia. Prognozuje się, że do 2035 r. liczba ta wzrośnie o niemal 60%, do ponad 3,4 mln, a ich odsetek wobec ogółu populacji z obecnych 14% do 22%. Starzenie się społeczeństwa na wsi będzie się przejawiać zarówno ogólnym wzrostem liczby osób starszych zamieszkujących obszary wiejskie, jak i zwiększeniu się proporcji seniorów wobec ogółu mieszkańców. Dlatego też niezbędne jest podejmowanie wszelakich działań mających na celu szeroko rozumianą aktywizację społeczną i zawodową osób starszych, których potencjał zwłaszcza w środowisku wiejskim nie jest wykorzystywany w ogóle lub jest wykorzystywany w sposób znikomy. Ważnym problemem jest również zapewnienie osobom starszym, niesamodzielnym odpowiedniej opieki i poziomu życia. Problematyka zmian demograficznych jest na tyle istotna, że stanowi jeden z głównych nurtów politycznych i wyzwań w ramach nowej perspektywy finansowej.</w:t>
      </w:r>
    </w:p>
    <w:p w14:paraId="11B6A507" w14:textId="77777777" w:rsidR="0057376E" w:rsidRDefault="0057376E" w:rsidP="0057376E">
      <w:pPr>
        <w:pStyle w:val="Standard"/>
        <w:spacing w:line="276" w:lineRule="auto"/>
        <w:jc w:val="both"/>
        <w:rPr>
          <w:rFonts w:ascii="Times New Roman" w:hAnsi="Times New Roman" w:cs="Times New Roman"/>
        </w:rPr>
      </w:pPr>
    </w:p>
    <w:p w14:paraId="26E5BD16" w14:textId="77777777" w:rsidR="00423164" w:rsidRPr="0057376E" w:rsidRDefault="00423164" w:rsidP="0057376E">
      <w:pPr>
        <w:pStyle w:val="Standard"/>
        <w:spacing w:line="276" w:lineRule="auto"/>
        <w:jc w:val="both"/>
        <w:rPr>
          <w:rFonts w:ascii="Times New Roman" w:hAnsi="Times New Roman" w:cs="Times New Roman"/>
        </w:rPr>
      </w:pPr>
      <w:r w:rsidRPr="0057376E">
        <w:rPr>
          <w:rFonts w:ascii="Times New Roman" w:hAnsi="Times New Roman" w:cs="Times New Roman"/>
        </w:rPr>
        <w:t xml:space="preserve">W zakresie właściwości kompetencyjnej Ministerstwa Rolnictwa i Rozwoju Wsi znajdują się m.in. działania związane z monitorowaniem dostępności rolników i mieszkańców obszarów wiejskich do instrumentów z zakresu zabezpieczenia społecznego, w tym m.in. polityki prorodzinnej, włączenia społecznego, polityki senioralnej, a także podejmowaniem działań na rzecz poprawy jakości życia na obszarach wiejskich, w tym w szczególności grup defaworyzowanych, zagrożonych wykluczeniem społecznym (osoby niepełnosprawne, osoby starsze). MRiRW współpracuje również przy przygotowywaniu przez inne resorty dokumentów strategicznych, w celu uwzględnienia w nich seniorów z obszarów wiejskich. </w:t>
      </w:r>
    </w:p>
    <w:p w14:paraId="5693A9AA" w14:textId="77777777" w:rsidR="00AF22D5" w:rsidRDefault="00AF22D5" w:rsidP="0057376E">
      <w:pPr>
        <w:pStyle w:val="Standard"/>
        <w:spacing w:line="276" w:lineRule="auto"/>
        <w:jc w:val="both"/>
        <w:rPr>
          <w:rFonts w:ascii="Times New Roman" w:hAnsi="Times New Roman" w:cs="Times New Roman"/>
          <w:b/>
          <w:bCs/>
        </w:rPr>
      </w:pPr>
    </w:p>
    <w:p w14:paraId="79E0D331" w14:textId="77777777" w:rsidR="00423164" w:rsidRPr="00F70044" w:rsidRDefault="00423164" w:rsidP="0057376E">
      <w:pPr>
        <w:pStyle w:val="Standard"/>
        <w:spacing w:line="276" w:lineRule="auto"/>
        <w:jc w:val="both"/>
        <w:rPr>
          <w:rFonts w:ascii="Times New Roman" w:hAnsi="Times New Roman" w:cs="Times New Roman"/>
          <w:b/>
          <w:bCs/>
          <w:color w:val="00B0F0"/>
        </w:rPr>
      </w:pPr>
      <w:r w:rsidRPr="00F70044">
        <w:rPr>
          <w:rFonts w:ascii="Times New Roman" w:hAnsi="Times New Roman" w:cs="Times New Roman"/>
          <w:b/>
          <w:bCs/>
          <w:color w:val="00B0F0"/>
        </w:rPr>
        <w:t>Realizacja działań związanych z Programem Rozwoju Obszarów Wiejskich na lata 2014-2020</w:t>
      </w:r>
    </w:p>
    <w:p w14:paraId="41130958" w14:textId="77777777" w:rsidR="00423164" w:rsidRPr="0057376E" w:rsidRDefault="00423164" w:rsidP="00321181">
      <w:pPr>
        <w:pStyle w:val="Standard"/>
        <w:spacing w:line="276" w:lineRule="auto"/>
        <w:jc w:val="both"/>
        <w:rPr>
          <w:rFonts w:ascii="Times New Roman" w:hAnsi="Times New Roman" w:cs="Times New Roman"/>
        </w:rPr>
      </w:pPr>
      <w:r w:rsidRPr="0057376E">
        <w:rPr>
          <w:rFonts w:ascii="Times New Roman" w:hAnsi="Times New Roman" w:cs="Times New Roman"/>
        </w:rPr>
        <w:t>W 2019 r. realizowane były również działania, w tym dla osób starszych, w ramach Programu Rozwoju Obszarów Wiejskich (PROW) na lata 2014 – 2020 oraz z I filaru Wspólnej Polityki Rolnej - płatności bezpośrednich, które są ważnym instrumentem odp</w:t>
      </w:r>
      <w:r w:rsidR="00321181">
        <w:rPr>
          <w:rFonts w:ascii="Times New Roman" w:hAnsi="Times New Roman" w:cs="Times New Roman"/>
        </w:rPr>
        <w:t xml:space="preserve">owiedzialnym m.in. za wsparcie </w:t>
      </w:r>
      <w:r w:rsidRPr="0057376E">
        <w:rPr>
          <w:rFonts w:ascii="Times New Roman" w:hAnsi="Times New Roman" w:cs="Times New Roman"/>
        </w:rPr>
        <w:t>i stabilizację dochodów rolniczych, a więc mają bezpośredni wpływ na sytuację materialną osób starszych w rolnictwie. W 2019 r. liczba producentów rolnych p</w:t>
      </w:r>
      <w:r w:rsidR="00321181">
        <w:rPr>
          <w:rFonts w:ascii="Times New Roman" w:hAnsi="Times New Roman" w:cs="Times New Roman"/>
        </w:rPr>
        <w:t xml:space="preserve">o 60 roku życia, wnioskujących </w:t>
      </w:r>
      <w:r w:rsidRPr="0057376E">
        <w:rPr>
          <w:rFonts w:ascii="Times New Roman" w:hAnsi="Times New Roman" w:cs="Times New Roman"/>
        </w:rPr>
        <w:t>o przyznanie płatności bezpośrednich wynosiła 322 587. Łączna</w:t>
      </w:r>
      <w:r w:rsidR="00321181">
        <w:rPr>
          <w:rFonts w:ascii="Times New Roman" w:hAnsi="Times New Roman" w:cs="Times New Roman"/>
        </w:rPr>
        <w:t xml:space="preserve"> kwota zrealizowanych dla nich </w:t>
      </w:r>
      <w:r w:rsidRPr="0057376E">
        <w:rPr>
          <w:rFonts w:ascii="Times New Roman" w:hAnsi="Times New Roman" w:cs="Times New Roman"/>
        </w:rPr>
        <w:t>w 2019 r. jednolitych płatności obszarowych wyniosła ok. 2 319 mln zł. Producenci rolni w wieku 60+ korzystali także z innych działań uruchomionych w ramach PROW 2014-2020 w tym m.in.:</w:t>
      </w:r>
    </w:p>
    <w:p w14:paraId="125A4944" w14:textId="77777777" w:rsidR="00321181" w:rsidRDefault="00423164" w:rsidP="008C71A9">
      <w:pPr>
        <w:pStyle w:val="Standard"/>
        <w:numPr>
          <w:ilvl w:val="0"/>
          <w:numId w:val="311"/>
        </w:numPr>
        <w:spacing w:line="276" w:lineRule="auto"/>
        <w:ind w:left="360"/>
        <w:jc w:val="both"/>
        <w:rPr>
          <w:rFonts w:hint="eastAsia"/>
        </w:rPr>
      </w:pPr>
      <w:r w:rsidRPr="0057376E">
        <w:rPr>
          <w:rFonts w:ascii="Times New Roman" w:hAnsi="Times New Roman" w:cs="Times New Roman"/>
        </w:rPr>
        <w:t xml:space="preserve">z działania </w:t>
      </w:r>
      <w:r w:rsidRPr="0057376E">
        <w:rPr>
          <w:rFonts w:ascii="Times New Roman" w:hAnsi="Times New Roman" w:cs="Times New Roman"/>
          <w:i/>
          <w:iCs/>
        </w:rPr>
        <w:t>Modernizacja gospodarstw rolnych</w:t>
      </w:r>
      <w:r w:rsidRPr="0057376E">
        <w:rPr>
          <w:rFonts w:ascii="Times New Roman" w:hAnsi="Times New Roman" w:cs="Times New Roman"/>
        </w:rPr>
        <w:t xml:space="preserve"> skorzystało 214 osób starszych,</w:t>
      </w:r>
    </w:p>
    <w:p w14:paraId="2CB97671" w14:textId="77777777" w:rsidR="00321181" w:rsidRDefault="00423164" w:rsidP="008C71A9">
      <w:pPr>
        <w:pStyle w:val="Standard"/>
        <w:numPr>
          <w:ilvl w:val="0"/>
          <w:numId w:val="311"/>
        </w:numPr>
        <w:spacing w:line="276" w:lineRule="auto"/>
        <w:ind w:left="360"/>
        <w:jc w:val="both"/>
        <w:rPr>
          <w:rFonts w:hint="eastAsia"/>
        </w:rPr>
      </w:pPr>
      <w:r w:rsidRPr="00321181">
        <w:rPr>
          <w:rFonts w:ascii="Times New Roman" w:hAnsi="Times New Roman" w:cs="Times New Roman"/>
        </w:rPr>
        <w:t xml:space="preserve">z działania </w:t>
      </w:r>
      <w:r w:rsidRPr="00321181">
        <w:rPr>
          <w:rFonts w:ascii="Times New Roman" w:hAnsi="Times New Roman" w:cs="Times New Roman"/>
          <w:i/>
          <w:iCs/>
        </w:rPr>
        <w:t>Restrukturyzacja małych gospodarstw</w:t>
      </w:r>
      <w:r w:rsidRPr="00321181">
        <w:rPr>
          <w:rFonts w:ascii="Times New Roman" w:hAnsi="Times New Roman" w:cs="Times New Roman"/>
        </w:rPr>
        <w:t xml:space="preserve"> – 168 osób starszych.</w:t>
      </w:r>
    </w:p>
    <w:p w14:paraId="6201A47E" w14:textId="77777777" w:rsidR="00321181" w:rsidRDefault="00423164" w:rsidP="008C71A9">
      <w:pPr>
        <w:pStyle w:val="Standard"/>
        <w:numPr>
          <w:ilvl w:val="0"/>
          <w:numId w:val="311"/>
        </w:numPr>
        <w:spacing w:line="276" w:lineRule="auto"/>
        <w:ind w:left="360"/>
        <w:jc w:val="both"/>
        <w:rPr>
          <w:rFonts w:hint="eastAsia"/>
        </w:rPr>
      </w:pPr>
      <w:r w:rsidRPr="00321181">
        <w:rPr>
          <w:rFonts w:ascii="Times New Roman" w:hAnsi="Times New Roman" w:cs="Times New Roman"/>
        </w:rPr>
        <w:t xml:space="preserve">z działania </w:t>
      </w:r>
      <w:r w:rsidRPr="00321181">
        <w:rPr>
          <w:rFonts w:ascii="Times New Roman" w:hAnsi="Times New Roman" w:cs="Times New Roman"/>
          <w:i/>
          <w:iCs/>
        </w:rPr>
        <w:t>Rolnictwo ekologiczne</w:t>
      </w:r>
      <w:r w:rsidRPr="00321181">
        <w:rPr>
          <w:rFonts w:ascii="Times New Roman" w:hAnsi="Times New Roman" w:cs="Times New Roman"/>
        </w:rPr>
        <w:t xml:space="preserve"> – 2 561 osób starszych,</w:t>
      </w:r>
    </w:p>
    <w:p w14:paraId="74104EA3" w14:textId="77777777" w:rsidR="00321181" w:rsidRDefault="00423164" w:rsidP="008C71A9">
      <w:pPr>
        <w:pStyle w:val="Standard"/>
        <w:numPr>
          <w:ilvl w:val="0"/>
          <w:numId w:val="311"/>
        </w:numPr>
        <w:spacing w:line="276" w:lineRule="auto"/>
        <w:ind w:left="360"/>
        <w:jc w:val="both"/>
        <w:rPr>
          <w:rFonts w:hint="eastAsia"/>
        </w:rPr>
      </w:pPr>
      <w:r w:rsidRPr="00321181">
        <w:rPr>
          <w:rFonts w:ascii="Times New Roman" w:hAnsi="Times New Roman" w:cs="Times New Roman"/>
        </w:rPr>
        <w:t xml:space="preserve">z działania </w:t>
      </w:r>
      <w:r w:rsidRPr="00321181">
        <w:rPr>
          <w:rFonts w:ascii="Times New Roman" w:hAnsi="Times New Roman" w:cs="Times New Roman"/>
          <w:i/>
          <w:iCs/>
        </w:rPr>
        <w:t>Innowacje w rozwój obszarów leśnych i poprawę żywotności lasów</w:t>
      </w:r>
      <w:r w:rsidRPr="00321181">
        <w:rPr>
          <w:rFonts w:ascii="Times New Roman" w:hAnsi="Times New Roman" w:cs="Times New Roman"/>
        </w:rPr>
        <w:t xml:space="preserve"> – 356 osób starszych,</w:t>
      </w:r>
    </w:p>
    <w:p w14:paraId="30A5AD64" w14:textId="77777777" w:rsidR="00423164" w:rsidRPr="0057376E" w:rsidRDefault="00423164" w:rsidP="008C71A9">
      <w:pPr>
        <w:pStyle w:val="Standard"/>
        <w:numPr>
          <w:ilvl w:val="0"/>
          <w:numId w:val="311"/>
        </w:numPr>
        <w:spacing w:line="276" w:lineRule="auto"/>
        <w:ind w:left="360"/>
        <w:jc w:val="both"/>
        <w:rPr>
          <w:rFonts w:hint="eastAsia"/>
        </w:rPr>
      </w:pPr>
      <w:r w:rsidRPr="00321181">
        <w:rPr>
          <w:rFonts w:ascii="Times New Roman" w:hAnsi="Times New Roman" w:cs="Times New Roman"/>
        </w:rPr>
        <w:t xml:space="preserve">z działania </w:t>
      </w:r>
      <w:r w:rsidRPr="00321181">
        <w:rPr>
          <w:rFonts w:ascii="Times New Roman" w:hAnsi="Times New Roman" w:cs="Times New Roman"/>
          <w:i/>
          <w:iCs/>
        </w:rPr>
        <w:t>Rozwój przedsiębiorczości - rozwój usług rolniczych</w:t>
      </w:r>
      <w:r w:rsidRPr="00321181">
        <w:rPr>
          <w:rFonts w:ascii="Times New Roman" w:hAnsi="Times New Roman" w:cs="Times New Roman"/>
        </w:rPr>
        <w:t xml:space="preserve"> – 85 osób starszych.</w:t>
      </w:r>
    </w:p>
    <w:p w14:paraId="5EF997A3" w14:textId="77777777" w:rsidR="00321181" w:rsidRDefault="00321181" w:rsidP="00321181">
      <w:pPr>
        <w:pStyle w:val="Standard"/>
        <w:spacing w:line="276" w:lineRule="auto"/>
        <w:jc w:val="both"/>
        <w:rPr>
          <w:rFonts w:ascii="Times New Roman" w:hAnsi="Times New Roman" w:cs="Times New Roman"/>
        </w:rPr>
      </w:pPr>
    </w:p>
    <w:p w14:paraId="283B3EE7" w14:textId="77777777" w:rsidR="003B3FC3" w:rsidRPr="00D978A5" w:rsidRDefault="00423164" w:rsidP="0057376E">
      <w:pPr>
        <w:pStyle w:val="Standard"/>
        <w:spacing w:line="276" w:lineRule="auto"/>
        <w:jc w:val="both"/>
        <w:rPr>
          <w:rFonts w:ascii="Times New Roman" w:hAnsi="Times New Roman" w:cs="Times New Roman"/>
          <w:b/>
          <w:color w:val="FF0000"/>
        </w:rPr>
      </w:pPr>
      <w:r w:rsidRPr="0057376E">
        <w:rPr>
          <w:rFonts w:ascii="Times New Roman" w:hAnsi="Times New Roman" w:cs="Times New Roman"/>
        </w:rPr>
        <w:t xml:space="preserve">Ponadto w 2019 r. z dopłat do kredytów (finansowanych ze środków krajowych) skorzystało 892 kredytobiorców w wieku 60 lat i więcej. Łączna kwota pomocy (liczona jako EDB – ekwiwalent dotacji brutto) wyniosła ponad 9 mln zł. </w:t>
      </w:r>
    </w:p>
    <w:p w14:paraId="03E8F2F9" w14:textId="77777777" w:rsidR="003B3FC3" w:rsidRDefault="003B3FC3" w:rsidP="0057376E">
      <w:pPr>
        <w:pStyle w:val="Standard"/>
        <w:spacing w:line="276" w:lineRule="auto"/>
        <w:jc w:val="both"/>
        <w:rPr>
          <w:rFonts w:ascii="Times New Roman" w:hAnsi="Times New Roman" w:cs="Times New Roman"/>
        </w:rPr>
      </w:pPr>
    </w:p>
    <w:p w14:paraId="1ABDDFC6" w14:textId="77777777" w:rsidR="00423164" w:rsidRPr="00321181" w:rsidRDefault="00423164" w:rsidP="0057376E">
      <w:pPr>
        <w:pStyle w:val="Standard"/>
        <w:spacing w:line="276" w:lineRule="auto"/>
        <w:jc w:val="both"/>
        <w:rPr>
          <w:rFonts w:ascii="Times New Roman" w:hAnsi="Times New Roman" w:cs="Times New Roman"/>
          <w:b/>
          <w:bCs/>
          <w:color w:val="00B0F0"/>
        </w:rPr>
      </w:pPr>
      <w:r w:rsidRPr="00321181">
        <w:rPr>
          <w:rFonts w:ascii="Times New Roman" w:hAnsi="Times New Roman" w:cs="Times New Roman"/>
          <w:b/>
          <w:bCs/>
          <w:color w:val="00B0F0"/>
        </w:rPr>
        <w:t>Realizacja działań związanych z przeciwdziałaniem niekorzystnym trendom demograficznym</w:t>
      </w:r>
    </w:p>
    <w:p w14:paraId="013E73F1" w14:textId="77777777" w:rsidR="00423164" w:rsidRPr="0057376E" w:rsidRDefault="00423164" w:rsidP="00321181">
      <w:pPr>
        <w:pStyle w:val="Standard"/>
        <w:spacing w:line="276" w:lineRule="auto"/>
        <w:jc w:val="both"/>
        <w:rPr>
          <w:rFonts w:hint="eastAsia"/>
        </w:rPr>
      </w:pPr>
      <w:r w:rsidRPr="0057376E">
        <w:rPr>
          <w:rFonts w:ascii="Times New Roman" w:hAnsi="Times New Roman" w:cs="Times New Roman"/>
        </w:rPr>
        <w:t xml:space="preserve">Osoby starsze, także na terenach wiejskich, to grupa bardzo zróżnicowana. Obok grupy osób cieszących się dobrym zdrowiem, aktywnych zawodowo i społecznie, szukających okazji do rozwoju, są seniorzy o zupełnie odmiennej charakterystyce – osoby przewlekle chore, niesamodzielne, niemające możliwości prowadzenia aktywności zawodowej, pozostające na marginesie życia społecznego czy niechętne zmianom. Rozwarstwienie społeczne, w tym na obszarach wiejskich, przejawia się w nierównym dostępie do wielu usług społecznych, w tym m.in. opieki nad osobami niesamodzielnymi (seniorami, osobami z niepełnosprawnościami oraz dziećmi) czy usług zdrowotnych. System usług o charakterze społecznym jest wciąż niedojrzały i słabo rozwinięty (brak adekwatnej ich podaży w stosunku do potrzeb rosnącej populacji osób starszych, wysokie koszty tych usług, brak systemu zapewnienia jakości, stabilności i wiarygodności usług), co skutkuje wymuszoną dezaktywizacją zawodową części opiekunów tych osób. Lukę powstałą w wyniku wspomnianego braku dostępu do opieki finansowanej lub współfinansowanej ze środków publicznych lub zbyt wysokich kosztów takiej opieki na rynku usług komercyjnych często wypełniają krewni – zazwyczaj kobiety sprawujące opiekę nad członkami rodziny. Formalne usługi zdrowotne w domu pacjenta są nadal słabo rozwinięte. W rezultacie dla wielu rodzin nierzadko jedynym wyborem pozostaje opieka nieformalno - rodzinna, związana albo z dużym obciążeniem finansowym (konieczność zatrudniania opiekunów) albo ryzykiem wykluczenia społecznego i zawodowego opiekunów – członków rodzin, z uwagi na konieczność całodobowej opieki. Wynika z tego, iż osoby starsze mogą z jednej strony stanowić niewykorzystany kapitał ludzki na obszarach wiejskich, wymagający aktywizacji i ciekawych propozycji </w:t>
      </w:r>
      <w:r w:rsidR="00321181">
        <w:rPr>
          <w:rFonts w:ascii="Times New Roman" w:hAnsi="Times New Roman" w:cs="Times New Roman"/>
        </w:rPr>
        <w:t xml:space="preserve">samorealizacji, tak by uczynić </w:t>
      </w:r>
      <w:r w:rsidRPr="0057376E">
        <w:rPr>
          <w:rFonts w:ascii="Times New Roman" w:hAnsi="Times New Roman" w:cs="Times New Roman"/>
        </w:rPr>
        <w:t>z nich (oraz z usług z myślą o nich zaprojektowanych) mot</w:t>
      </w:r>
      <w:r w:rsidR="00321181">
        <w:rPr>
          <w:rFonts w:ascii="Times New Roman" w:hAnsi="Times New Roman" w:cs="Times New Roman"/>
        </w:rPr>
        <w:t xml:space="preserve">or rozwoju obszarów wiejskich. </w:t>
      </w:r>
      <w:r w:rsidRPr="0057376E">
        <w:rPr>
          <w:rFonts w:ascii="Times New Roman" w:hAnsi="Times New Roman" w:cs="Times New Roman"/>
        </w:rPr>
        <w:t xml:space="preserve">Z drugiej strony, seniorzy na obszarach wiejskich mogą być również pasywnymi odbiorcami opieki zdrowotnej i socjalnej, wymagającymi wieloaspektowego wsparcia, w tym w zakresie zaspokojenia podstawowych potrzeb życiowych. Dla tej grupy osób starszych potrzebne jest zaprojektowanie specyficznych dla terenów wiejskich modeli zabezpieczenia socjalnego, zwłaszcza opieki długoterminowej, które gwarantują jej wysoką jakość i efektywną realizację na często rozległych i mniej dostępnych terenach. Poprawa dostępności usług świadczonych w odpowiedzi na wyzwania demograficzne uznana została za jeden z celów </w:t>
      </w:r>
      <w:r w:rsidRPr="0057376E">
        <w:rPr>
          <w:rFonts w:ascii="Times New Roman" w:hAnsi="Times New Roman" w:cs="Times New Roman"/>
          <w:i/>
        </w:rPr>
        <w:t>Strategii na Rzecz Odpowiedzialnego Rozwoju do roku 2020 (z perspektywą do 2030)</w:t>
      </w:r>
      <w:r w:rsidRPr="0057376E">
        <w:rPr>
          <w:rFonts w:ascii="Times New Roman" w:hAnsi="Times New Roman" w:cs="Times New Roman"/>
        </w:rPr>
        <w:t xml:space="preserve">(SOR). Jego realizacja ma się odbywać między innymi poprzez wsparcie dla rozwoju rolnictwa społecznego, jako innowacyjnego podejścia, łączącego rolnictwo wielofunkcyjne i usługi społeczne/opiekę zdrowotną na poziomie lokalnym (możliwość dywersyfikacji dochodów rolników połączona z ofertą usług socjalnych dla mieszkańców obszarów wiejskich z wykorzystaniem szeroko rozumianych zasobów rolnych i wiejskich). W związku w powyższym, MRiRW odpowiada za </w:t>
      </w:r>
      <w:r w:rsidRPr="0057376E">
        <w:rPr>
          <w:rFonts w:ascii="Times New Roman" w:hAnsi="Times New Roman" w:cs="Times New Roman"/>
        </w:rPr>
        <w:lastRenderedPageBreak/>
        <w:t xml:space="preserve">realizację projektu ujętego w SOR pn. </w:t>
      </w:r>
      <w:r w:rsidRPr="0057376E">
        <w:rPr>
          <w:rFonts w:ascii="Times New Roman" w:hAnsi="Times New Roman" w:cs="Times New Roman"/>
          <w:i/>
        </w:rPr>
        <w:t>Gospodarstwo otwarte na ludzi</w:t>
      </w:r>
      <w:r w:rsidRPr="0057376E">
        <w:rPr>
          <w:rFonts w:ascii="Times New Roman" w:hAnsi="Times New Roman" w:cs="Times New Roman"/>
        </w:rPr>
        <w:t xml:space="preserve">, który jest komponentem </w:t>
      </w:r>
      <w:r w:rsidRPr="0057376E">
        <w:rPr>
          <w:rFonts w:ascii="Times New Roman" w:hAnsi="Times New Roman" w:cs="Times New Roman"/>
        </w:rPr>
        <w:br/>
        <w:t xml:space="preserve">w projekcie strategicznym pn. </w:t>
      </w:r>
      <w:r w:rsidRPr="0057376E">
        <w:rPr>
          <w:rFonts w:ascii="Times New Roman" w:hAnsi="Times New Roman" w:cs="Times New Roman"/>
          <w:i/>
        </w:rPr>
        <w:t>„(NIE)samodzielni</w:t>
      </w:r>
      <w:r w:rsidRPr="0057376E">
        <w:rPr>
          <w:rFonts w:ascii="Times New Roman" w:hAnsi="Times New Roman" w:cs="Times New Roman"/>
        </w:rPr>
        <w:t>”, za który odpowia</w:t>
      </w:r>
      <w:r w:rsidR="00321181">
        <w:rPr>
          <w:rFonts w:ascii="Times New Roman" w:hAnsi="Times New Roman" w:cs="Times New Roman"/>
        </w:rPr>
        <w:t xml:space="preserve">da Ministerstwo Rodziny, Pracy </w:t>
      </w:r>
      <w:r w:rsidRPr="0057376E">
        <w:rPr>
          <w:rFonts w:ascii="Times New Roman" w:hAnsi="Times New Roman" w:cs="Times New Roman"/>
        </w:rPr>
        <w:t xml:space="preserve">i Polityki Społecznej. Celem projektu </w:t>
      </w:r>
      <w:r w:rsidRPr="0057376E">
        <w:rPr>
          <w:rFonts w:ascii="Times New Roman" w:hAnsi="Times New Roman" w:cs="Times New Roman"/>
          <w:i/>
        </w:rPr>
        <w:t>Gospodarstwo otwarte na ludzi</w:t>
      </w:r>
      <w:r w:rsidRPr="0057376E">
        <w:rPr>
          <w:rFonts w:ascii="Times New Roman" w:hAnsi="Times New Roman" w:cs="Times New Roman"/>
        </w:rPr>
        <w:t xml:space="preserve"> jest ułatwienie dostępu do przystępnych cenowo oraz wysokiej jakości usług społecznych, poprzez zbudowanie i wdrożenie usługi opiekuńczej dla osób niesamodzielnych, realizowanej w wiejskim gospodarstwie domowym (gospodarstwie opiekuńczym). Inicjatywa wpisuje się w proces deinstytucjonalizacji pomocy społecznej, polegający na przejściu od opieki instytucjonalnej do usług świadczonych w lokalnej społeczności, a także w proces dywersyfikacji dochodów rolniczych poprzez wykorzystanie potencjału gospodarstw rolnych i kapitału ludzkiego wiejskiego gospodarstwa domowego do realizacji funkcji społecznych, w tym wypadku opiekuńczych. Powstawanie gospodarstw opiekuńczych będzie sprzyjać podnoszeniu jakości życia na obszarach wiejskich. Będzie to miało znaczenie nie tylko dla osób wymagających bezpośredniego wsparcia, ale także dla opiekunów osób niesamodzielnych, którzy nierzadko muszą rezygnować z tego powodu z kariery zawodowej. Urzeczywistnienie w praktyce idei rolnictwa społecznego będzie sprzyjać ponadto zwiększaniu roli, jaką odgrywają rolnicy w swoich społecznościach lokalnych oraz kształtowaniu pozytywnego wizer</w:t>
      </w:r>
      <w:r w:rsidR="00321181">
        <w:rPr>
          <w:rFonts w:ascii="Times New Roman" w:hAnsi="Times New Roman" w:cs="Times New Roman"/>
        </w:rPr>
        <w:t xml:space="preserve">unku całego sektora rolniczego </w:t>
      </w:r>
      <w:r w:rsidRPr="0057376E">
        <w:rPr>
          <w:rFonts w:ascii="Times New Roman" w:hAnsi="Times New Roman" w:cs="Times New Roman"/>
        </w:rPr>
        <w:t>w Polsce.</w:t>
      </w:r>
    </w:p>
    <w:p w14:paraId="53F2A331" w14:textId="77777777" w:rsidR="00321181" w:rsidRDefault="00321181" w:rsidP="00321181">
      <w:pPr>
        <w:pStyle w:val="Standard"/>
        <w:spacing w:line="276" w:lineRule="auto"/>
        <w:jc w:val="both"/>
        <w:rPr>
          <w:rFonts w:ascii="Times New Roman" w:hAnsi="Times New Roman" w:cs="Times New Roman"/>
        </w:rPr>
      </w:pPr>
    </w:p>
    <w:p w14:paraId="1E6B62F3" w14:textId="77777777" w:rsidR="00423164" w:rsidRPr="0057376E" w:rsidRDefault="00423164" w:rsidP="00321181">
      <w:pPr>
        <w:pStyle w:val="Standard"/>
        <w:spacing w:line="276" w:lineRule="auto"/>
        <w:jc w:val="both"/>
        <w:rPr>
          <w:rFonts w:ascii="Times New Roman" w:hAnsi="Times New Roman" w:cs="Times New Roman"/>
        </w:rPr>
      </w:pPr>
      <w:r w:rsidRPr="0057376E">
        <w:rPr>
          <w:rFonts w:ascii="Times New Roman" w:hAnsi="Times New Roman" w:cs="Times New Roman"/>
        </w:rPr>
        <w:t>Projekt MRiRW, zawarty w SOR, zakłada m.in.:</w:t>
      </w:r>
    </w:p>
    <w:p w14:paraId="18BFC28C" w14:textId="77777777" w:rsidR="00321181" w:rsidRDefault="00423164" w:rsidP="008C71A9">
      <w:pPr>
        <w:pStyle w:val="Standard"/>
        <w:numPr>
          <w:ilvl w:val="0"/>
          <w:numId w:val="312"/>
        </w:numPr>
        <w:spacing w:line="276" w:lineRule="auto"/>
        <w:ind w:left="360"/>
        <w:jc w:val="both"/>
        <w:rPr>
          <w:rFonts w:ascii="Times New Roman" w:hAnsi="Times New Roman" w:cs="Times New Roman"/>
        </w:rPr>
      </w:pPr>
      <w:r w:rsidRPr="0057376E">
        <w:rPr>
          <w:rFonts w:ascii="Times New Roman" w:hAnsi="Times New Roman" w:cs="Times New Roman"/>
        </w:rPr>
        <w:t>utworzenie w każdym województwie kilku – kilkunastu, a jeśli będzie zainteresowanie, nawet kilkudziesięciu gospodarstw opiekuńczych, w formule podmiotów działalności gospodarczej lub innej formie dozwolonej przepisami prawnymi,</w:t>
      </w:r>
    </w:p>
    <w:p w14:paraId="0F97262A" w14:textId="77777777" w:rsidR="00321181" w:rsidRDefault="00423164" w:rsidP="008C71A9">
      <w:pPr>
        <w:pStyle w:val="Standard"/>
        <w:numPr>
          <w:ilvl w:val="0"/>
          <w:numId w:val="312"/>
        </w:numPr>
        <w:spacing w:line="276" w:lineRule="auto"/>
        <w:ind w:left="360"/>
        <w:jc w:val="both"/>
        <w:rPr>
          <w:rFonts w:ascii="Times New Roman" w:hAnsi="Times New Roman" w:cs="Times New Roman"/>
        </w:rPr>
      </w:pPr>
      <w:r w:rsidRPr="00321181">
        <w:rPr>
          <w:rFonts w:ascii="Times New Roman" w:hAnsi="Times New Roman" w:cs="Times New Roman"/>
        </w:rPr>
        <w:t>budowę systemu wsparcia instytucjonalnego dla gospodarstw opiekuńczych, w tym ustanowienie koordynatorów regionalnych oraz zbudowanie kapitału ludzkiego dla potrzeb realizacji projektu,</w:t>
      </w:r>
    </w:p>
    <w:p w14:paraId="349FE0AA" w14:textId="77777777" w:rsidR="00321181" w:rsidRDefault="00423164" w:rsidP="008C71A9">
      <w:pPr>
        <w:pStyle w:val="Standard"/>
        <w:numPr>
          <w:ilvl w:val="0"/>
          <w:numId w:val="312"/>
        </w:numPr>
        <w:spacing w:line="276" w:lineRule="auto"/>
        <w:ind w:left="360"/>
        <w:jc w:val="both"/>
        <w:rPr>
          <w:rFonts w:ascii="Times New Roman" w:hAnsi="Times New Roman" w:cs="Times New Roman"/>
        </w:rPr>
      </w:pPr>
      <w:r w:rsidRPr="00321181">
        <w:rPr>
          <w:rFonts w:ascii="Times New Roman" w:hAnsi="Times New Roman" w:cs="Times New Roman"/>
        </w:rPr>
        <w:t>budowę sieci gospodarstw wpisujących się w ideę rolnictwa społecznego,</w:t>
      </w:r>
    </w:p>
    <w:p w14:paraId="747AB791" w14:textId="77777777" w:rsidR="00321181" w:rsidRDefault="00423164" w:rsidP="008C71A9">
      <w:pPr>
        <w:pStyle w:val="Standard"/>
        <w:numPr>
          <w:ilvl w:val="0"/>
          <w:numId w:val="312"/>
        </w:numPr>
        <w:spacing w:line="276" w:lineRule="auto"/>
        <w:ind w:left="360"/>
        <w:jc w:val="both"/>
        <w:rPr>
          <w:rFonts w:ascii="Times New Roman" w:hAnsi="Times New Roman" w:cs="Times New Roman"/>
        </w:rPr>
      </w:pPr>
      <w:r w:rsidRPr="00321181">
        <w:rPr>
          <w:rFonts w:ascii="Times New Roman" w:hAnsi="Times New Roman" w:cs="Times New Roman"/>
        </w:rPr>
        <w:t>wypracowanie modelowych rozwiązań dla potrzeb rozwoju gospodarstw opiekuńczych,</w:t>
      </w:r>
    </w:p>
    <w:p w14:paraId="22E11F67" w14:textId="77777777" w:rsidR="00321181" w:rsidRDefault="00423164" w:rsidP="008C71A9">
      <w:pPr>
        <w:pStyle w:val="Standard"/>
        <w:numPr>
          <w:ilvl w:val="0"/>
          <w:numId w:val="312"/>
        </w:numPr>
        <w:spacing w:line="276" w:lineRule="auto"/>
        <w:ind w:left="360"/>
        <w:jc w:val="both"/>
        <w:rPr>
          <w:rFonts w:ascii="Times New Roman" w:hAnsi="Times New Roman" w:cs="Times New Roman"/>
        </w:rPr>
      </w:pPr>
      <w:r w:rsidRPr="00321181">
        <w:rPr>
          <w:rFonts w:ascii="Times New Roman" w:hAnsi="Times New Roman" w:cs="Times New Roman"/>
        </w:rPr>
        <w:t>prowadzenie działań promocyjnych, w tym konferencje regionalne i ogólnopolskie, spotkania (warsztaty) dla osób zainteresowanych ta formą działalności,</w:t>
      </w:r>
    </w:p>
    <w:p w14:paraId="317E7149" w14:textId="77777777" w:rsidR="00321181" w:rsidRDefault="00423164" w:rsidP="008C71A9">
      <w:pPr>
        <w:pStyle w:val="Standard"/>
        <w:numPr>
          <w:ilvl w:val="0"/>
          <w:numId w:val="312"/>
        </w:numPr>
        <w:spacing w:line="276" w:lineRule="auto"/>
        <w:ind w:left="360"/>
        <w:jc w:val="both"/>
        <w:rPr>
          <w:rFonts w:ascii="Times New Roman" w:hAnsi="Times New Roman" w:cs="Times New Roman"/>
        </w:rPr>
      </w:pPr>
      <w:r w:rsidRPr="00321181">
        <w:rPr>
          <w:rFonts w:ascii="Times New Roman" w:hAnsi="Times New Roman" w:cs="Times New Roman"/>
        </w:rPr>
        <w:t>budowę mechanizmów kontroli jakości i rzetelności świadczenia usług,</w:t>
      </w:r>
    </w:p>
    <w:p w14:paraId="5ACCC034" w14:textId="77777777" w:rsidR="00423164" w:rsidRPr="00321181" w:rsidRDefault="00423164" w:rsidP="008C71A9">
      <w:pPr>
        <w:pStyle w:val="Standard"/>
        <w:numPr>
          <w:ilvl w:val="0"/>
          <w:numId w:val="312"/>
        </w:numPr>
        <w:spacing w:line="276" w:lineRule="auto"/>
        <w:ind w:left="360"/>
        <w:jc w:val="both"/>
        <w:rPr>
          <w:rFonts w:ascii="Times New Roman" w:hAnsi="Times New Roman" w:cs="Times New Roman"/>
        </w:rPr>
      </w:pPr>
      <w:r w:rsidRPr="00321181">
        <w:rPr>
          <w:rFonts w:ascii="Times New Roman" w:hAnsi="Times New Roman" w:cs="Times New Roman"/>
        </w:rPr>
        <w:t>badania interdyscyplinarne towarzyszące projektowi.</w:t>
      </w:r>
    </w:p>
    <w:p w14:paraId="7BF67E0D" w14:textId="77777777" w:rsidR="00321181" w:rsidRDefault="00321181" w:rsidP="00321181">
      <w:pPr>
        <w:pStyle w:val="Standard"/>
        <w:spacing w:line="276" w:lineRule="auto"/>
        <w:jc w:val="both"/>
        <w:rPr>
          <w:rFonts w:ascii="Times New Roman" w:hAnsi="Times New Roman" w:cs="Times New Roman"/>
        </w:rPr>
      </w:pPr>
    </w:p>
    <w:p w14:paraId="3A4EBFE5" w14:textId="7C649484" w:rsidR="00423164" w:rsidRPr="0057376E" w:rsidRDefault="00423164" w:rsidP="00321181">
      <w:pPr>
        <w:pStyle w:val="Standard"/>
        <w:spacing w:line="276" w:lineRule="auto"/>
        <w:jc w:val="both"/>
        <w:rPr>
          <w:rFonts w:ascii="Times New Roman" w:hAnsi="Times New Roman" w:cs="Times New Roman"/>
        </w:rPr>
      </w:pPr>
      <w:r w:rsidRPr="0057376E">
        <w:rPr>
          <w:rFonts w:ascii="Times New Roman" w:hAnsi="Times New Roman" w:cs="Times New Roman"/>
        </w:rPr>
        <w:t>Bezpośrednim realizatorem projektu jest Centrum Doradztwa Rolniczego w Brwinowie Oddział w Krakowie, a w projekt włączone są Wojewódzkie Ośrodki Doradztwa Rolniczego.</w:t>
      </w:r>
    </w:p>
    <w:p w14:paraId="7A2481BD" w14:textId="77777777" w:rsidR="00C77283" w:rsidRDefault="00C77283" w:rsidP="00C77283">
      <w:pPr>
        <w:pStyle w:val="Standard"/>
        <w:spacing w:line="276" w:lineRule="auto"/>
        <w:jc w:val="both"/>
        <w:rPr>
          <w:rFonts w:ascii="Times New Roman" w:hAnsi="Times New Roman" w:cs="Times New Roman"/>
        </w:rPr>
      </w:pPr>
    </w:p>
    <w:p w14:paraId="65922FC9" w14:textId="3BB3279F" w:rsidR="00423164" w:rsidRPr="0057376E" w:rsidRDefault="00423164" w:rsidP="00C77283">
      <w:pPr>
        <w:pStyle w:val="Standard"/>
        <w:spacing w:line="276" w:lineRule="auto"/>
        <w:jc w:val="both"/>
        <w:rPr>
          <w:rFonts w:ascii="Times New Roman" w:hAnsi="Times New Roman" w:cs="Times New Roman"/>
        </w:rPr>
      </w:pPr>
      <w:r w:rsidRPr="0057376E">
        <w:rPr>
          <w:rFonts w:ascii="Times New Roman" w:hAnsi="Times New Roman" w:cs="Times New Roman"/>
        </w:rPr>
        <w:t>W celu realizacji projektu z SOR i wdrożenia w życie przepisów prawnych formalnie regulujących funkcjonowanie gospodarstw opiekuńczych, ko</w:t>
      </w:r>
      <w:r w:rsidR="00676358">
        <w:rPr>
          <w:rFonts w:ascii="Times New Roman" w:hAnsi="Times New Roman" w:cs="Times New Roman"/>
        </w:rPr>
        <w:t xml:space="preserve">nsorcjum w składzie MRiRW, CDR </w:t>
      </w:r>
      <w:r w:rsidRPr="0057376E">
        <w:rPr>
          <w:rFonts w:ascii="Times New Roman" w:hAnsi="Times New Roman" w:cs="Times New Roman"/>
        </w:rPr>
        <w:t>w Brwinowie o/Kraków, Uniwersytet Jagielloński i Uniwersytet Rol</w:t>
      </w:r>
      <w:r w:rsidR="00676358">
        <w:rPr>
          <w:rFonts w:ascii="Times New Roman" w:hAnsi="Times New Roman" w:cs="Times New Roman"/>
        </w:rPr>
        <w:t xml:space="preserve">niczy w Krakowie, złożyło </w:t>
      </w:r>
      <w:r w:rsidRPr="0057376E">
        <w:rPr>
          <w:rFonts w:ascii="Times New Roman" w:hAnsi="Times New Roman" w:cs="Times New Roman"/>
        </w:rPr>
        <w:t xml:space="preserve">w ramach I konkursu na projekty otwarte w ramach strategicznego programu badań naukowych i prac rozwojowych „Społeczny i gospodarczy rozwój Polski w warunkach globalizujących się rynków” GOSPOSTRATEG, projekt pn. Gospodarstwa opiekuńcze w </w:t>
      </w:r>
      <w:r w:rsidRPr="0057376E">
        <w:rPr>
          <w:rFonts w:ascii="Times New Roman" w:hAnsi="Times New Roman" w:cs="Times New Roman"/>
        </w:rPr>
        <w:lastRenderedPageBreak/>
        <w:t>rozwoju obszarów wiejskich wobec wyzwań demograficznych. Projekt otrzymał dofinansowanie w wysokości 4 095 742 zł, podpisana została również umowa z NCBiR. Realizacja projektu rozpoczęła się 1 stycznia 2019 r., a zakończenie pla</w:t>
      </w:r>
      <w:r w:rsidR="00C77283">
        <w:rPr>
          <w:rFonts w:ascii="Times New Roman" w:hAnsi="Times New Roman" w:cs="Times New Roman"/>
        </w:rPr>
        <w:t>nowane jest 31 grudnia 2021 r</w:t>
      </w:r>
      <w:r w:rsidRPr="0057376E">
        <w:rPr>
          <w:rFonts w:ascii="Times New Roman" w:hAnsi="Times New Roman" w:cs="Times New Roman"/>
        </w:rPr>
        <w:t>. Liderem projektu jest MRiRW. Głównym celem projektu jest opracowanie modelu (wzorca) gospodarstwa opiekuńczego oraz przygotowanie systemu jego wdrażania w postaci strategii rozwoju gospodarstw opiekuńczych. Jest to odpowiedź na syndrom problemów składających się na zjawisko pułapki demograficznej zdiagnozowanej w SOR. Projekt przyczyni się także do likwidacji innych istotnych dla Polski barier rozwojowych, m.in. nierówności pomiędzy miastami a obszarami wiejskimi w dostępie do usług społecznych, niewystarczającej koordynacji usług publicznych na poziomie lokalnym, niskiej jakości kapitału społecznego. W pierwszym etapie projektu zrealizowane zostały zadania badawcze, których wyniki staną się podstawą modelu gospodarstwa opiekuńczego. Na drugi etap składają się prace związane z przygotowaniem do wdrożenia wspomnianego modelu: opracowanie niezbędnych regulacji prawnych oraz budowa poparcia politycznego i społecznego na rzecz ich wprowadzenia. Rola MRiRW polega na stworzeniu systemu prawnego wdrażania modelu gospodarstwa opiekuńczego (powołanie międzyresortowego zespołu zadaniowego zarządzeniem Prezesa RM, przygotowanie odpowiednich przepisów prawnych), zapewnieniu poparcia politycznego oraz otoczenia prawnego niezbędnego do realizacji strategii rozwoju gospodarstw opiekuńczych.</w:t>
      </w:r>
    </w:p>
    <w:p w14:paraId="3440233D" w14:textId="77777777" w:rsidR="00C77283" w:rsidRDefault="00C77283" w:rsidP="00C77283">
      <w:pPr>
        <w:spacing w:after="0"/>
        <w:jc w:val="both"/>
        <w:rPr>
          <w:rFonts w:ascii="Times New Roman" w:hAnsi="Times New Roman" w:cs="Times New Roman"/>
          <w:sz w:val="24"/>
          <w:szCs w:val="24"/>
        </w:rPr>
      </w:pPr>
    </w:p>
    <w:p w14:paraId="1B94A03F" w14:textId="7F44AD1B" w:rsidR="00423164" w:rsidRPr="0057376E" w:rsidRDefault="00423164" w:rsidP="00C77283">
      <w:pPr>
        <w:spacing w:after="0"/>
        <w:jc w:val="both"/>
        <w:rPr>
          <w:sz w:val="24"/>
          <w:szCs w:val="24"/>
        </w:rPr>
      </w:pPr>
      <w:r w:rsidRPr="0057376E">
        <w:rPr>
          <w:rFonts w:ascii="Times New Roman" w:hAnsi="Times New Roman" w:cs="Times New Roman"/>
          <w:sz w:val="24"/>
          <w:szCs w:val="24"/>
        </w:rPr>
        <w:t xml:space="preserve">W celu zintensyfikowania działań w zakresie polityki senioralnej na obszarach wiejskich </w:t>
      </w:r>
      <w:r w:rsidRPr="0057376E">
        <w:rPr>
          <w:rFonts w:ascii="Times New Roman" w:hAnsi="Times New Roman" w:cs="Times New Roman"/>
          <w:sz w:val="24"/>
          <w:szCs w:val="24"/>
        </w:rPr>
        <w:br/>
        <w:t xml:space="preserve">w listopadzie 2019 r. Ministerstwo Rolnictwa i Rozwoju Wsi zorganizowało dwudniową konferencję pn. </w:t>
      </w:r>
      <w:r w:rsidRPr="0057376E">
        <w:rPr>
          <w:rFonts w:ascii="Times New Roman" w:hAnsi="Times New Roman" w:cs="Times New Roman"/>
          <w:i/>
          <w:iCs/>
          <w:sz w:val="24"/>
          <w:szCs w:val="24"/>
        </w:rPr>
        <w:t>„Aktywna starość na obszarach wiejskich. Między diagnozą a działaniem”.</w:t>
      </w:r>
      <w:r w:rsidRPr="0057376E">
        <w:rPr>
          <w:rFonts w:ascii="Times New Roman" w:hAnsi="Times New Roman" w:cs="Times New Roman"/>
          <w:sz w:val="24"/>
          <w:szCs w:val="24"/>
        </w:rPr>
        <w:t xml:space="preserve"> Konfere</w:t>
      </w:r>
      <w:r w:rsidR="00676358">
        <w:rPr>
          <w:rFonts w:ascii="Times New Roman" w:hAnsi="Times New Roman" w:cs="Times New Roman"/>
          <w:sz w:val="24"/>
          <w:szCs w:val="24"/>
        </w:rPr>
        <w:t>ncja stanowiła swoistą odpowiedź</w:t>
      </w:r>
      <w:r w:rsidRPr="0057376E">
        <w:rPr>
          <w:rFonts w:ascii="Times New Roman" w:hAnsi="Times New Roman" w:cs="Times New Roman"/>
          <w:sz w:val="24"/>
          <w:szCs w:val="24"/>
        </w:rPr>
        <w:t xml:space="preserve"> na pogarszającą się sytuację demograficzną w naszym kraju i zapoczątkowała pogłębione działania MRiRW w tym obszarze. Konferencja adresowana była do szerokiego grona odbiorców, którzy swoimi działaniami mają bezpośredni lub pośredni wpływ na kształtowanie szeroko rozumianej polityki senioralnej zarówno na poziomie lokalnym, jak i krajowym. Wśród uczestników konferencji znaleźli się m.in. przedstawiciele administracji rządo</w:t>
      </w:r>
      <w:r w:rsidR="00C77283">
        <w:rPr>
          <w:rFonts w:ascii="Times New Roman" w:hAnsi="Times New Roman" w:cs="Times New Roman"/>
          <w:sz w:val="24"/>
          <w:szCs w:val="24"/>
        </w:rPr>
        <w:t xml:space="preserve">wej (MRiRW, MRPiPS, MZ, MIiR), </w:t>
      </w:r>
      <w:r w:rsidRPr="0057376E">
        <w:rPr>
          <w:rFonts w:ascii="Times New Roman" w:hAnsi="Times New Roman" w:cs="Times New Roman"/>
          <w:sz w:val="24"/>
          <w:szCs w:val="24"/>
        </w:rPr>
        <w:t>a także przedstawiciele PFRON, GUS, KRUS, Rządowej Rady Ludnościowej, samorządów lokalnych i Urzędów Marszałkowskich, podmiotów ekonomii społecznej, ośrodków doradztwa rolniczego, izb rolniczych, Rady Ubezpieczenia Społecznego Rolników, Lokalnych Grup Działania, a także liderzy rolniczych związków branżowych i zawodowych, badacze, eksperci i analitycy, oraz inne osoby zainteresowane problematyką ekonomii społecznej. Konferencja, w której wzięło udział 140 osób podzielona została na cztery panele tematyczne:</w:t>
      </w:r>
    </w:p>
    <w:p w14:paraId="2FD4567F" w14:textId="77777777" w:rsidR="00423164" w:rsidRPr="00C77283" w:rsidRDefault="00423164" w:rsidP="008C71A9">
      <w:pPr>
        <w:pStyle w:val="Akapitzlist"/>
        <w:numPr>
          <w:ilvl w:val="0"/>
          <w:numId w:val="313"/>
        </w:numPr>
        <w:spacing w:after="0"/>
        <w:ind w:left="360"/>
        <w:jc w:val="both"/>
        <w:rPr>
          <w:rFonts w:ascii="Times New Roman" w:hAnsi="Times New Roman" w:cs="Times New Roman"/>
          <w:sz w:val="24"/>
          <w:szCs w:val="24"/>
        </w:rPr>
      </w:pPr>
      <w:r w:rsidRPr="00C77283">
        <w:rPr>
          <w:rFonts w:ascii="Times New Roman" w:hAnsi="Times New Roman" w:cs="Times New Roman"/>
          <w:sz w:val="24"/>
          <w:szCs w:val="24"/>
        </w:rPr>
        <w:t>Panel I: Wyzwania demograficzne w rządowych dokumentach strategicznych i UE, w tym:</w:t>
      </w:r>
    </w:p>
    <w:p w14:paraId="0007162A" w14:textId="77777777" w:rsidR="00C77283" w:rsidRDefault="00423164" w:rsidP="008C71A9">
      <w:pPr>
        <w:pStyle w:val="Akapitzlist"/>
        <w:numPr>
          <w:ilvl w:val="0"/>
          <w:numId w:val="314"/>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Zróżnicowanie sytuacji demograficznej. Specyfika sytuacji demograficznej na obszarach wiejskich wraz z charakterystyką populacji osób starszych,</w:t>
      </w:r>
    </w:p>
    <w:p w14:paraId="2AE9FC6F" w14:textId="77777777" w:rsidR="00C77283" w:rsidRDefault="00423164" w:rsidP="008C71A9">
      <w:pPr>
        <w:pStyle w:val="Akapitzlist"/>
        <w:numPr>
          <w:ilvl w:val="0"/>
          <w:numId w:val="314"/>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Zmiany demograficzne na obszarach wiejskich w dokumentach strategicznych do 2030 r.,</w:t>
      </w:r>
    </w:p>
    <w:p w14:paraId="6D860A7C" w14:textId="77777777" w:rsidR="00C77283" w:rsidRDefault="00423164" w:rsidP="008C71A9">
      <w:pPr>
        <w:pStyle w:val="Akapitzlist"/>
        <w:numPr>
          <w:ilvl w:val="0"/>
          <w:numId w:val="314"/>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lastRenderedPageBreak/>
        <w:t>Przedstawienie projektu pn. „Gospodarstwa opiekuńcze w rozwoju obszarów wiejskich wobec wyzwań demograficznych GROWID, realizowanego w ramach strategicznego programu badań naukowych i prac rozwojowych „Społeczny i gospodarczy rozwój Polski w warunkach globalizujących się rynków” GOSPOSTRATEG Narodowego Centrum Badań i Rozwoju,</w:t>
      </w:r>
    </w:p>
    <w:p w14:paraId="4A4D2E8F" w14:textId="77777777" w:rsidR="00C77283" w:rsidRDefault="00423164" w:rsidP="008C71A9">
      <w:pPr>
        <w:pStyle w:val="Akapitzlist"/>
        <w:numPr>
          <w:ilvl w:val="0"/>
          <w:numId w:val="314"/>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Wpływ działań PROW na życie i sytuację mieszkańców obszarów wiejskich (w tym osób starszych),</w:t>
      </w:r>
    </w:p>
    <w:p w14:paraId="0DFFF300" w14:textId="77777777" w:rsidR="00C77283" w:rsidRDefault="00423164" w:rsidP="008C71A9">
      <w:pPr>
        <w:pStyle w:val="Akapitzlist"/>
        <w:numPr>
          <w:ilvl w:val="0"/>
          <w:numId w:val="314"/>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Zadania PFRON na rzecz osób niepełnosprawnych – zakres i formy udzielanego wsparcia,</w:t>
      </w:r>
    </w:p>
    <w:p w14:paraId="2F1A12AE" w14:textId="77777777" w:rsidR="00423164" w:rsidRPr="00C77283" w:rsidRDefault="00423164" w:rsidP="008C71A9">
      <w:pPr>
        <w:pStyle w:val="Akapitzlist"/>
        <w:numPr>
          <w:ilvl w:val="0"/>
          <w:numId w:val="314"/>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Aktywność zawodowa rolników a demografia – działania i statystyka KRUS.</w:t>
      </w:r>
    </w:p>
    <w:p w14:paraId="164B6239" w14:textId="77777777" w:rsidR="00423164" w:rsidRPr="00C77283" w:rsidRDefault="00423164" w:rsidP="008C71A9">
      <w:pPr>
        <w:pStyle w:val="Akapitzlist"/>
        <w:numPr>
          <w:ilvl w:val="0"/>
          <w:numId w:val="313"/>
        </w:numPr>
        <w:spacing w:after="0"/>
        <w:ind w:left="360"/>
        <w:jc w:val="both"/>
        <w:rPr>
          <w:rFonts w:ascii="Times New Roman" w:hAnsi="Times New Roman" w:cs="Times New Roman"/>
          <w:sz w:val="24"/>
          <w:szCs w:val="24"/>
        </w:rPr>
      </w:pPr>
      <w:r w:rsidRPr="00C77283">
        <w:rPr>
          <w:rFonts w:ascii="Times New Roman" w:hAnsi="Times New Roman" w:cs="Times New Roman"/>
          <w:sz w:val="24"/>
          <w:szCs w:val="24"/>
        </w:rPr>
        <w:t>Panel II: Działania i  dobre praktyki na rzecz osób starszych na obszarach wiejskich, w tym:</w:t>
      </w:r>
    </w:p>
    <w:p w14:paraId="6503E358" w14:textId="77777777" w:rsidR="00C77283" w:rsidRDefault="00423164" w:rsidP="008C71A9">
      <w:pPr>
        <w:pStyle w:val="Akapitzlist"/>
        <w:numPr>
          <w:ilvl w:val="0"/>
          <w:numId w:val="315"/>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Podnoszenie jakości życia i aktywizacja osób starszych na obszarach wiejskich – przykłady dobrych praktyk,</w:t>
      </w:r>
    </w:p>
    <w:p w14:paraId="6135A17A" w14:textId="77777777" w:rsidR="00C77283" w:rsidRDefault="00423164" w:rsidP="008C71A9">
      <w:pPr>
        <w:pStyle w:val="Akapitzlist"/>
        <w:numPr>
          <w:ilvl w:val="0"/>
          <w:numId w:val="315"/>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Partycypacja społeczna i kulturalna seniorów na wsi – dobre praktyki: K</w:t>
      </w:r>
      <w:r w:rsidR="00C77283" w:rsidRPr="00C77283">
        <w:rPr>
          <w:rFonts w:ascii="Times New Roman" w:hAnsi="Times New Roman" w:cs="Times New Roman"/>
          <w:sz w:val="24"/>
          <w:szCs w:val="24"/>
        </w:rPr>
        <w:t>oła Gospodyń Wiejskich, Kl</w:t>
      </w:r>
      <w:r w:rsidRPr="00C77283">
        <w:rPr>
          <w:rFonts w:ascii="Times New Roman" w:hAnsi="Times New Roman" w:cs="Times New Roman"/>
          <w:sz w:val="24"/>
          <w:szCs w:val="24"/>
        </w:rPr>
        <w:t>uby Seniora, Gminne Rady Seniorów, Edukacja Cyfrowa,</w:t>
      </w:r>
    </w:p>
    <w:p w14:paraId="61809E7C" w14:textId="3C384A5A" w:rsidR="00C77283" w:rsidRDefault="00423164" w:rsidP="008C71A9">
      <w:pPr>
        <w:pStyle w:val="Akapitzlist"/>
        <w:numPr>
          <w:ilvl w:val="0"/>
          <w:numId w:val="315"/>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Ger</w:t>
      </w:r>
      <w:r w:rsidR="00676358">
        <w:rPr>
          <w:rFonts w:ascii="Times New Roman" w:hAnsi="Times New Roman" w:cs="Times New Roman"/>
          <w:sz w:val="24"/>
          <w:szCs w:val="24"/>
        </w:rPr>
        <w:t>on</w:t>
      </w:r>
      <w:r w:rsidRPr="00C77283">
        <w:rPr>
          <w:rFonts w:ascii="Times New Roman" w:hAnsi="Times New Roman" w:cs="Times New Roman"/>
          <w:sz w:val="24"/>
          <w:szCs w:val="24"/>
        </w:rPr>
        <w:t>toprofilaktyka na wsi,</w:t>
      </w:r>
    </w:p>
    <w:p w14:paraId="1E4CDABC" w14:textId="77777777" w:rsidR="00423164" w:rsidRPr="00C77283" w:rsidRDefault="00423164" w:rsidP="008C71A9">
      <w:pPr>
        <w:pStyle w:val="Akapitzlist"/>
        <w:numPr>
          <w:ilvl w:val="0"/>
          <w:numId w:val="315"/>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 xml:space="preserve">Pewnym krokiem przez życie (prezentacja niemieckiego programu profilaktyki zdrowotnej </w:t>
      </w:r>
      <w:r w:rsidRPr="00C77283">
        <w:rPr>
          <w:rFonts w:ascii="Times New Roman" w:hAnsi="Times New Roman" w:cs="Times New Roman"/>
          <w:sz w:val="24"/>
          <w:szCs w:val="24"/>
        </w:rPr>
        <w:br/>
        <w:t>i bezpieczeństwa na obszarach wiejskich).</w:t>
      </w:r>
    </w:p>
    <w:p w14:paraId="0570100E" w14:textId="77777777" w:rsidR="00423164" w:rsidRPr="00C77283" w:rsidRDefault="00423164" w:rsidP="008C71A9">
      <w:pPr>
        <w:pStyle w:val="Akapitzlist"/>
        <w:numPr>
          <w:ilvl w:val="0"/>
          <w:numId w:val="313"/>
        </w:numPr>
        <w:spacing w:after="0"/>
        <w:ind w:left="360"/>
        <w:jc w:val="both"/>
        <w:rPr>
          <w:rFonts w:ascii="Times New Roman" w:hAnsi="Times New Roman" w:cs="Times New Roman"/>
          <w:sz w:val="24"/>
          <w:szCs w:val="24"/>
        </w:rPr>
      </w:pPr>
      <w:r w:rsidRPr="00C77283">
        <w:rPr>
          <w:rFonts w:ascii="Times New Roman" w:hAnsi="Times New Roman" w:cs="Times New Roman"/>
          <w:sz w:val="24"/>
          <w:szCs w:val="24"/>
        </w:rPr>
        <w:t>Panel III: Aktywność zawodowa osób starszych na obszarach wiejskich, w tym:</w:t>
      </w:r>
    </w:p>
    <w:p w14:paraId="37248D94" w14:textId="77777777" w:rsidR="00C77283" w:rsidRDefault="00423164" w:rsidP="008C71A9">
      <w:pPr>
        <w:pStyle w:val="Akapitzlist"/>
        <w:numPr>
          <w:ilvl w:val="0"/>
          <w:numId w:val="316"/>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Krajowy Program Rozwoju Ekonomii Społecznej do 2023 r.,</w:t>
      </w:r>
    </w:p>
    <w:p w14:paraId="10582BDA" w14:textId="77777777" w:rsidR="00C77283" w:rsidRDefault="00423164" w:rsidP="008C71A9">
      <w:pPr>
        <w:pStyle w:val="Akapitzlist"/>
        <w:numPr>
          <w:ilvl w:val="0"/>
          <w:numId w:val="316"/>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Aktywność zawodowa osób starszych na obszarach wiejskich ( w tym omówienie m.in. programów, źródeł finansowania, alokacji finansowej dla działań z zakres</w:t>
      </w:r>
      <w:r w:rsidR="00C77283">
        <w:rPr>
          <w:rFonts w:ascii="Times New Roman" w:hAnsi="Times New Roman" w:cs="Times New Roman"/>
          <w:sz w:val="24"/>
          <w:szCs w:val="24"/>
        </w:rPr>
        <w:t xml:space="preserve">u realizacji usług społecznych </w:t>
      </w:r>
      <w:r w:rsidRPr="00C77283">
        <w:rPr>
          <w:rFonts w:ascii="Times New Roman" w:hAnsi="Times New Roman" w:cs="Times New Roman"/>
          <w:sz w:val="24"/>
          <w:szCs w:val="24"/>
        </w:rPr>
        <w:t>i zdrowotnych w formule ekonomii społecznej oraz przykłady innowacji społecznych i modeli pilotażowych),</w:t>
      </w:r>
    </w:p>
    <w:p w14:paraId="21970FCE" w14:textId="77777777" w:rsidR="00C77283" w:rsidRDefault="00423164" w:rsidP="008C71A9">
      <w:pPr>
        <w:pStyle w:val="Akapitzlist"/>
        <w:numPr>
          <w:ilvl w:val="0"/>
          <w:numId w:val="316"/>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Prewencja wypadkowa i rehabilitacja lecznicza KRUS, jako działalność na rzecz efektywności zawodowej rolników,</w:t>
      </w:r>
    </w:p>
    <w:p w14:paraId="3B4621DC" w14:textId="77777777" w:rsidR="00423164" w:rsidRPr="00C77283" w:rsidRDefault="00423164" w:rsidP="008C71A9">
      <w:pPr>
        <w:pStyle w:val="Akapitzlist"/>
        <w:numPr>
          <w:ilvl w:val="0"/>
          <w:numId w:val="316"/>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Ekonomia społeczna na wsi. Usługi społeczne i opiekuńcze dla osób starszych i osób zagrożonych niesamodzielnością.</w:t>
      </w:r>
    </w:p>
    <w:p w14:paraId="0C8DCE77" w14:textId="77777777" w:rsidR="00423164" w:rsidRPr="00C77283" w:rsidRDefault="00423164" w:rsidP="008C71A9">
      <w:pPr>
        <w:pStyle w:val="Akapitzlist"/>
        <w:numPr>
          <w:ilvl w:val="0"/>
          <w:numId w:val="313"/>
        </w:numPr>
        <w:spacing w:after="0"/>
        <w:ind w:left="360"/>
        <w:jc w:val="both"/>
        <w:rPr>
          <w:rFonts w:ascii="Times New Roman" w:hAnsi="Times New Roman" w:cs="Times New Roman"/>
          <w:sz w:val="24"/>
          <w:szCs w:val="24"/>
        </w:rPr>
      </w:pPr>
      <w:r w:rsidRPr="00C77283">
        <w:rPr>
          <w:rFonts w:ascii="Times New Roman" w:hAnsi="Times New Roman" w:cs="Times New Roman"/>
          <w:sz w:val="24"/>
          <w:szCs w:val="24"/>
        </w:rPr>
        <w:t>Panel IV: Mieszkańcy polskiej wsi wobec ryzyka niesamodzielności, w tym:</w:t>
      </w:r>
    </w:p>
    <w:p w14:paraId="37366108" w14:textId="77777777" w:rsidR="00C77283" w:rsidRDefault="00423164" w:rsidP="008C71A9">
      <w:pPr>
        <w:pStyle w:val="Akapitzlist"/>
        <w:numPr>
          <w:ilvl w:val="0"/>
          <w:numId w:val="317"/>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Gospodarstwa opiekuńcze, jako innowacyjna forma usług dla osó</w:t>
      </w:r>
      <w:r w:rsidR="00C77283">
        <w:rPr>
          <w:rFonts w:ascii="Times New Roman" w:hAnsi="Times New Roman" w:cs="Times New Roman"/>
          <w:sz w:val="24"/>
          <w:szCs w:val="24"/>
        </w:rPr>
        <w:t xml:space="preserve">b niesamodzielnych realizowana </w:t>
      </w:r>
      <w:r w:rsidRPr="00C77283">
        <w:rPr>
          <w:rFonts w:ascii="Times New Roman" w:hAnsi="Times New Roman" w:cs="Times New Roman"/>
          <w:sz w:val="24"/>
          <w:szCs w:val="24"/>
        </w:rPr>
        <w:t>w gospodarstwach rolnych na przykładzie województwa kujawsko-pomorskiego,</w:t>
      </w:r>
    </w:p>
    <w:p w14:paraId="3C35336B" w14:textId="77777777" w:rsidR="00C77283" w:rsidRDefault="00423164" w:rsidP="008C71A9">
      <w:pPr>
        <w:pStyle w:val="Akapitzlist"/>
        <w:numPr>
          <w:ilvl w:val="0"/>
          <w:numId w:val="317"/>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Rola nowoczesnej edukacji gerontologicznej oraz wzmacniania kompetencji liderów w kontekście ryzyka niesamodzielności mieszkańców wsi,</w:t>
      </w:r>
    </w:p>
    <w:p w14:paraId="60025C99" w14:textId="77777777" w:rsidR="00C77283" w:rsidRDefault="00423164" w:rsidP="008C71A9">
      <w:pPr>
        <w:pStyle w:val="Akapitzlist"/>
        <w:numPr>
          <w:ilvl w:val="0"/>
          <w:numId w:val="317"/>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Doświadczenia ekonomii społecznej na obszarach wiejskich,</w:t>
      </w:r>
    </w:p>
    <w:p w14:paraId="55A7336C" w14:textId="77777777" w:rsidR="00423164" w:rsidRPr="00C77283" w:rsidRDefault="00423164" w:rsidP="008C71A9">
      <w:pPr>
        <w:pStyle w:val="Akapitzlist"/>
        <w:numPr>
          <w:ilvl w:val="0"/>
          <w:numId w:val="317"/>
        </w:numPr>
        <w:spacing w:after="0"/>
        <w:ind w:left="643"/>
        <w:jc w:val="both"/>
        <w:rPr>
          <w:rFonts w:ascii="Times New Roman" w:hAnsi="Times New Roman" w:cs="Times New Roman"/>
          <w:sz w:val="24"/>
          <w:szCs w:val="24"/>
        </w:rPr>
      </w:pPr>
      <w:r w:rsidRPr="00C77283">
        <w:rPr>
          <w:rFonts w:ascii="Times New Roman" w:hAnsi="Times New Roman" w:cs="Times New Roman"/>
          <w:sz w:val="24"/>
          <w:szCs w:val="24"/>
        </w:rPr>
        <w:t>Wizja Zero – inwestycja w bezpieczeństwo, zdrowie i dobrostan rolników.</w:t>
      </w:r>
    </w:p>
    <w:p w14:paraId="0A6C87E9" w14:textId="77777777" w:rsidR="00C77283" w:rsidRDefault="00C77283" w:rsidP="00C77283">
      <w:pPr>
        <w:spacing w:after="0"/>
        <w:jc w:val="both"/>
        <w:rPr>
          <w:rFonts w:ascii="Times New Roman" w:hAnsi="Times New Roman" w:cs="Times New Roman"/>
          <w:sz w:val="24"/>
          <w:szCs w:val="24"/>
        </w:rPr>
      </w:pPr>
    </w:p>
    <w:p w14:paraId="00A6A8AD" w14:textId="77777777" w:rsidR="00423164" w:rsidRDefault="00423164" w:rsidP="00C77283">
      <w:pPr>
        <w:spacing w:after="0"/>
        <w:jc w:val="both"/>
        <w:rPr>
          <w:rFonts w:ascii="Times New Roman" w:hAnsi="Times New Roman" w:cs="Times New Roman"/>
          <w:sz w:val="24"/>
          <w:szCs w:val="24"/>
        </w:rPr>
      </w:pPr>
      <w:r w:rsidRPr="0057376E">
        <w:rPr>
          <w:rFonts w:ascii="Times New Roman" w:hAnsi="Times New Roman" w:cs="Times New Roman"/>
          <w:sz w:val="24"/>
          <w:szCs w:val="24"/>
        </w:rPr>
        <w:t xml:space="preserve">Uczestnikom konferencji przedstawiona została m.in. aktualna i prognozowana sytuacja demograficzna na obszarach wiejskich w Polsce, a także działania, które obecnie podejmowane </w:t>
      </w:r>
      <w:r w:rsidRPr="0057376E">
        <w:rPr>
          <w:rFonts w:ascii="Times New Roman" w:hAnsi="Times New Roman" w:cs="Times New Roman"/>
          <w:sz w:val="24"/>
          <w:szCs w:val="24"/>
        </w:rPr>
        <w:lastRenderedPageBreak/>
        <w:t>są na rzecz poprawy sytuacji osób starszych (z uwzględnieniem rządowych i unijnych dokumentów strategicznych, systemowych). Podjęto próbę zidentyfikowania potrzeb i wyzwań, które należy przedsięwziąć w najbliższej perspektywie/przyszłości, aby łagodzić społeczne i gospodarcze konsekwencje zmian demograficznych (z uwzględ</w:t>
      </w:r>
      <w:r w:rsidR="002149D1">
        <w:rPr>
          <w:rFonts w:ascii="Times New Roman" w:hAnsi="Times New Roman" w:cs="Times New Roman"/>
          <w:sz w:val="24"/>
          <w:szCs w:val="24"/>
        </w:rPr>
        <w:t xml:space="preserve">nieniem potrzeb osób starszych </w:t>
      </w:r>
      <w:r w:rsidRPr="0057376E">
        <w:rPr>
          <w:rFonts w:ascii="Times New Roman" w:hAnsi="Times New Roman" w:cs="Times New Roman"/>
          <w:sz w:val="24"/>
          <w:szCs w:val="24"/>
        </w:rPr>
        <w:t xml:space="preserve">z niepełnosprawnościami), w tym przeciwdziałać niekorzystnym trendom demograficznym. Zobrazowano przykłady dobrych praktyk w zakresie aktywizacji niewykorzystywanego dotąd potencjału społecznego, zawodowego, coraz większej grupy społecznej, jaką stanowią osoby starsze na obszarach wiejskich. Konferencja stanowiła płaszczyznę do wymiany dobrych praktyk w zakresie działań na rzecz osób starszych oraz stanowiła przyczynek do intensyfikacji działań dedykowanych dla tej grupy odbiorców, zarówno na szczeblu krajowym jak i lokalnym. Naświetlenie podczas konferencji zagadnień i wyzwań związanych z sytuacją demograficzną kraju, w tym w szczególności na obszarach wiejskich, wskazanie działań, projektów, strategii, które już funkcjonują w przedmiotowym zakresie na rzecz osób starszych, przy uwzględnieniu faktu toczących się prac nad nową perspektywą finansową na lata 2021-2027, pozytywnie wpłynie na intensyfikację działań planowanych na rzecz osób starszych na obszarach wiejskich. Udało się również poznać wstępne oczekiwania podmiotów ekonomii społecznej względem kształtowania szerokorozumianej polityki senioralnej oraz względem projektowanych działań zmierzających do przeciwdziałania niekorzystnym trendom demograficznym. Rola podmiotów ekonomii społecznej jest niezmiernie istotna. Podmioty te już obecnie wykazują duże zaangażowanie na rzecz społeczności lokalnych, w tym na rzecz osób starszych na obszarach wiejskich. Potencjał tych podmiotów w najbliższych latach będzie zyskiwała na coraz większym znaczeniu (w kontekście chociażby deinstytucjonalizacji usług społecznych), dlatego też tak ważne jest podjęcie szerokorozumianej współpracy i dialogu z tymi podmiotami. Konferencja zapoczątkowała współpracę i dialog z tą grupą odbiorców. Dostrzeżona została duża potrzeba kolejnych spotkań w tematyce aktywizacji grup wykluczonych na obszarach wiejskich, w tym aktywizacji zawodowej i społecznej osób starszych oraz z niepełnosprawnościami. Uczestnicy konferencji wielokrotnie podkreślali potrzebę deinstucjonalizacji usług społecznych z uwagi na pogarszającą się sytuację demograficzną i coraz większą ilość beneficjentów tych usług, jak również konieczność zapewnienia wysokiej jakości usług społecznych na obszarach wiejskich. Oprócz stricte merytorycznych zagadnień dla uczestników konferencji przygotowane zostały w ramach konferencji wydarzenia towarzyszące. Wśród nich na uwagę zasługuje m.in. wernisaż prac rękodzielniczych, których autorami były osoby starsze, występ artystyczno-satyryczny, w której skład wchodziły również osoby starsze, a także stoisko promujące polską żywność. O sukcesie konferencji świadczy m.in. duża frekwencja i zainteresowanie tematyką konferencji, deklaracja podjęcia kolejnych działań na rzecz osób starszych na poziomie lokalnym, oraz chęć współpracy z MRiRW w tym obszarze. </w:t>
      </w:r>
    </w:p>
    <w:p w14:paraId="14A19CB6" w14:textId="77777777" w:rsidR="00106C7A" w:rsidRPr="0057376E" w:rsidRDefault="00106C7A" w:rsidP="00C77283">
      <w:pPr>
        <w:spacing w:after="0"/>
        <w:jc w:val="both"/>
        <w:rPr>
          <w:sz w:val="24"/>
          <w:szCs w:val="24"/>
        </w:rPr>
      </w:pPr>
    </w:p>
    <w:p w14:paraId="1705BDE0" w14:textId="77777777" w:rsidR="00423164" w:rsidRPr="00106C7A" w:rsidRDefault="00423164" w:rsidP="0057376E">
      <w:pPr>
        <w:spacing w:after="0"/>
        <w:jc w:val="both"/>
        <w:rPr>
          <w:color w:val="00B0F0"/>
          <w:sz w:val="24"/>
          <w:szCs w:val="24"/>
        </w:rPr>
      </w:pPr>
      <w:r w:rsidRPr="00106C7A">
        <w:rPr>
          <w:rFonts w:ascii="Times New Roman" w:hAnsi="Times New Roman" w:cs="Times New Roman"/>
          <w:b/>
          <w:bCs/>
          <w:color w:val="00B0F0"/>
          <w:sz w:val="24"/>
          <w:szCs w:val="24"/>
        </w:rPr>
        <w:t>Działania zrealizowane przez jednostki doradztwa rolniczego</w:t>
      </w:r>
    </w:p>
    <w:p w14:paraId="5251EB7D" w14:textId="77777777" w:rsidR="00423164" w:rsidRPr="0057376E" w:rsidRDefault="00423164" w:rsidP="00106C7A">
      <w:pPr>
        <w:spacing w:after="0"/>
        <w:jc w:val="both"/>
        <w:rPr>
          <w:sz w:val="24"/>
          <w:szCs w:val="24"/>
        </w:rPr>
      </w:pPr>
      <w:r w:rsidRPr="0057376E">
        <w:rPr>
          <w:rFonts w:ascii="Times New Roman" w:hAnsi="Times New Roman" w:cs="Times New Roman"/>
          <w:sz w:val="24"/>
          <w:szCs w:val="24"/>
        </w:rPr>
        <w:t>Jednostki doradztwa rolniczego podejmowały w 2019 r. szereg działań, które dedykowane były mieszkańcom obszarów wiejskich (w tym osobom starszym), w tym m.in.:</w:t>
      </w:r>
    </w:p>
    <w:p w14:paraId="2BC409F1" w14:textId="77777777" w:rsidR="00106C7A" w:rsidRPr="00106C7A" w:rsidRDefault="00423164" w:rsidP="008C71A9">
      <w:pPr>
        <w:pStyle w:val="Akapitzlist"/>
        <w:numPr>
          <w:ilvl w:val="0"/>
          <w:numId w:val="313"/>
        </w:numPr>
        <w:spacing w:after="0"/>
        <w:ind w:left="360"/>
        <w:jc w:val="both"/>
        <w:rPr>
          <w:sz w:val="24"/>
          <w:szCs w:val="24"/>
        </w:rPr>
      </w:pPr>
      <w:r w:rsidRPr="00106C7A">
        <w:rPr>
          <w:rFonts w:ascii="Times New Roman" w:hAnsi="Times New Roman" w:cs="Times New Roman"/>
          <w:sz w:val="24"/>
          <w:szCs w:val="24"/>
        </w:rPr>
        <w:lastRenderedPageBreak/>
        <w:t xml:space="preserve">szkolenia e-lernigowe: </w:t>
      </w:r>
      <w:r w:rsidRPr="00106C7A">
        <w:rPr>
          <w:rFonts w:ascii="Times New Roman" w:hAnsi="Times New Roman" w:cs="Times New Roman"/>
          <w:i/>
          <w:iCs/>
          <w:sz w:val="24"/>
          <w:szCs w:val="24"/>
        </w:rPr>
        <w:t>Gospodarstwa opiekuńcze</w:t>
      </w:r>
      <w:r w:rsidRPr="00106C7A">
        <w:rPr>
          <w:rFonts w:ascii="Times New Roman" w:hAnsi="Times New Roman" w:cs="Times New Roman"/>
          <w:sz w:val="24"/>
          <w:szCs w:val="24"/>
        </w:rPr>
        <w:t xml:space="preserve">; </w:t>
      </w:r>
      <w:r w:rsidRPr="00106C7A">
        <w:rPr>
          <w:rFonts w:ascii="Times New Roman" w:hAnsi="Times New Roman" w:cs="Times New Roman"/>
          <w:i/>
          <w:iCs/>
          <w:sz w:val="24"/>
          <w:szCs w:val="24"/>
        </w:rPr>
        <w:t>Działania opiekuńcze i terapie rolnicze - rozwiązania funkcjonalne;</w:t>
      </w:r>
      <w:r w:rsidRPr="00106C7A">
        <w:rPr>
          <w:rFonts w:ascii="Times New Roman" w:hAnsi="Times New Roman" w:cs="Times New Roman"/>
          <w:sz w:val="24"/>
          <w:szCs w:val="24"/>
        </w:rPr>
        <w:t xml:space="preserve"> </w:t>
      </w:r>
    </w:p>
    <w:p w14:paraId="1ABE3786" w14:textId="77777777" w:rsidR="00106C7A" w:rsidRPr="00106C7A" w:rsidRDefault="00423164" w:rsidP="008C71A9">
      <w:pPr>
        <w:pStyle w:val="Akapitzlist"/>
        <w:numPr>
          <w:ilvl w:val="0"/>
          <w:numId w:val="313"/>
        </w:numPr>
        <w:spacing w:after="0"/>
        <w:ind w:left="360"/>
        <w:jc w:val="both"/>
        <w:rPr>
          <w:sz w:val="24"/>
          <w:szCs w:val="24"/>
        </w:rPr>
      </w:pPr>
      <w:r w:rsidRPr="00106C7A">
        <w:rPr>
          <w:rFonts w:ascii="Times New Roman" w:hAnsi="Times New Roman" w:cs="Times New Roman"/>
          <w:sz w:val="24"/>
          <w:szCs w:val="24"/>
        </w:rPr>
        <w:t xml:space="preserve">szkolenia stacjonarne: </w:t>
      </w:r>
      <w:r w:rsidRPr="00106C7A">
        <w:rPr>
          <w:rFonts w:ascii="Times New Roman" w:hAnsi="Times New Roman" w:cs="Times New Roman"/>
          <w:i/>
          <w:iCs/>
          <w:sz w:val="24"/>
          <w:szCs w:val="24"/>
        </w:rPr>
        <w:t xml:space="preserve">Zielona opieka - nowe perspektywy dla gospodarstw agroturystycznych; Zasady zdrowego odżywiania w starszym wieku; Profilaktyka prozdrowotna i racjonalne żywienie; Terapie ogrodnicze w gospodarstwie rolnym; </w:t>
      </w:r>
    </w:p>
    <w:p w14:paraId="0E64C269" w14:textId="77777777" w:rsidR="00106C7A" w:rsidRPr="00106C7A" w:rsidRDefault="00423164" w:rsidP="008C71A9">
      <w:pPr>
        <w:pStyle w:val="Akapitzlist"/>
        <w:numPr>
          <w:ilvl w:val="0"/>
          <w:numId w:val="313"/>
        </w:numPr>
        <w:spacing w:after="0"/>
        <w:ind w:left="360"/>
        <w:jc w:val="both"/>
        <w:rPr>
          <w:sz w:val="24"/>
          <w:szCs w:val="24"/>
        </w:rPr>
      </w:pPr>
      <w:r w:rsidRPr="00106C7A">
        <w:rPr>
          <w:rFonts w:ascii="Times New Roman" w:hAnsi="Times New Roman" w:cs="Times New Roman"/>
          <w:sz w:val="24"/>
          <w:szCs w:val="24"/>
        </w:rPr>
        <w:t xml:space="preserve">konferencje i seminaria: </w:t>
      </w:r>
      <w:r w:rsidRPr="00106C7A">
        <w:rPr>
          <w:rFonts w:ascii="Times New Roman" w:hAnsi="Times New Roman" w:cs="Times New Roman"/>
          <w:i/>
          <w:iCs/>
          <w:sz w:val="24"/>
          <w:szCs w:val="24"/>
        </w:rPr>
        <w:t xml:space="preserve">Wiejskie usługi opiekuńcze – innowacyjna forma przedsiębiorczości </w:t>
      </w:r>
      <w:r w:rsidRPr="00106C7A">
        <w:rPr>
          <w:rFonts w:ascii="Times New Roman" w:hAnsi="Times New Roman" w:cs="Times New Roman"/>
          <w:sz w:val="24"/>
          <w:szCs w:val="24"/>
        </w:rPr>
        <w:t xml:space="preserve">(konferencja miała na celu propagowanie idei rozwijania wiejskich usług opiekuńczych, w tym gospodarstw opiekuńczych, jako jednego z elementów rolnictwa społecznego, rolnictwa w którym istotą jest jego wielofunkcyjność rozumiana jako możliwość zaspokojenia w gospodarstwie rolnym nie tylko potrzeb produkcyjno-rynkowych, ale także pozarolniczych. Przedstawiono wiedzę z zakresu rolnictwa społecznego w kontekście tworzenia gospodarstw opiekuńczych, wskazano możliwości wykorzystania gospodarstwa rolnego do pełnienia funkcji opieki nad osobami niesamodzielnymi. Uczestnicy konferencji poznali zasady tworzenia gospodarstw opiekuńczych oraz uzyskali odpowiedzi na wiele nurtujących pytań. Wskazano istotne argumenty przemawiające za koncepcją tworzenia gospodarstw opiekuńczych będących odpowiedzią na trendy demograficzne); </w:t>
      </w:r>
      <w:r w:rsidRPr="00106C7A">
        <w:rPr>
          <w:rFonts w:ascii="Times New Roman" w:hAnsi="Times New Roman" w:cs="Times New Roman"/>
          <w:i/>
          <w:iCs/>
          <w:sz w:val="24"/>
          <w:szCs w:val="24"/>
        </w:rPr>
        <w:t>Akt</w:t>
      </w:r>
      <w:r w:rsidR="00106C7A">
        <w:rPr>
          <w:rFonts w:ascii="Times New Roman" w:hAnsi="Times New Roman" w:cs="Times New Roman"/>
          <w:i/>
          <w:iCs/>
          <w:sz w:val="24"/>
          <w:szCs w:val="24"/>
        </w:rPr>
        <w:t xml:space="preserve">ywni na wsi - rola mieszkańców </w:t>
      </w:r>
      <w:r w:rsidRPr="00106C7A">
        <w:rPr>
          <w:rFonts w:ascii="Times New Roman" w:hAnsi="Times New Roman" w:cs="Times New Roman"/>
          <w:i/>
          <w:iCs/>
          <w:sz w:val="24"/>
          <w:szCs w:val="24"/>
        </w:rPr>
        <w:t xml:space="preserve">w rozwoju wsi </w:t>
      </w:r>
      <w:r w:rsidRPr="00106C7A">
        <w:rPr>
          <w:rFonts w:ascii="Times New Roman" w:hAnsi="Times New Roman" w:cs="Times New Roman"/>
          <w:sz w:val="24"/>
          <w:szCs w:val="24"/>
        </w:rPr>
        <w:t xml:space="preserve">(spotkanie podsumowujące cykl artykułów promujących inicjatywy mieszkańców województwa śląskiego podejmowane w środowisku wiejskim); </w:t>
      </w:r>
      <w:r w:rsidRPr="00106C7A">
        <w:rPr>
          <w:rFonts w:ascii="Times New Roman" w:hAnsi="Times New Roman" w:cs="Times New Roman"/>
          <w:i/>
          <w:iCs/>
          <w:sz w:val="24"/>
          <w:szCs w:val="24"/>
        </w:rPr>
        <w:t>Usługi społeczne – nowe perspektywy rozwoju dla gospodarstw rolnych</w:t>
      </w:r>
      <w:r w:rsidRPr="00106C7A">
        <w:rPr>
          <w:rFonts w:ascii="Times New Roman" w:hAnsi="Times New Roman" w:cs="Times New Roman"/>
          <w:sz w:val="24"/>
          <w:szCs w:val="24"/>
        </w:rPr>
        <w:t xml:space="preserve"> (tematyka konferencji dotyczyła zarówno przepisów ogólnych na temat prowadzenia tej formy przedsiębiorczości, ale przede wszystkim skupiała się praktycznych przykładach ofert dla seniorów); </w:t>
      </w:r>
      <w:r w:rsidRPr="00106C7A">
        <w:rPr>
          <w:rFonts w:ascii="Times New Roman" w:hAnsi="Times New Roman" w:cs="Times New Roman"/>
          <w:i/>
          <w:iCs/>
          <w:sz w:val="24"/>
          <w:szCs w:val="24"/>
        </w:rPr>
        <w:t xml:space="preserve">Seminarium pn. Aktywizacja mieszkańców obszarów wiejskich poprzez rozwój podmiotów ekonomii społecznej </w:t>
      </w:r>
      <w:r w:rsidRPr="00106C7A">
        <w:rPr>
          <w:rFonts w:ascii="Times New Roman" w:hAnsi="Times New Roman" w:cs="Times New Roman"/>
          <w:sz w:val="24"/>
          <w:szCs w:val="24"/>
        </w:rPr>
        <w:t xml:space="preserve">(celem seminarium było przekazanie i upowszechnianie  wiedzy na temat funkcjonowania podmiotów ekonomii społecznej, służącej integracji grup defaworyzowanych społecznie. Działalność podmiotów ekonomii społecznej przyczynia się do aktywizacji mieszkańców obszarów wiejskich, poprawy warunków ich życia i ograniczenia ubóstwa, a także rozwoju gospodarczego obszarów wiejskich  i tworzenia nowych miejsc pracy); </w:t>
      </w:r>
      <w:r w:rsidR="00106C7A">
        <w:rPr>
          <w:rFonts w:ascii="Times New Roman" w:hAnsi="Times New Roman" w:cs="Times New Roman"/>
          <w:i/>
          <w:iCs/>
          <w:sz w:val="24"/>
          <w:szCs w:val="24"/>
        </w:rPr>
        <w:t xml:space="preserve">Rola społeczności wiejskiej </w:t>
      </w:r>
      <w:r w:rsidRPr="00106C7A">
        <w:rPr>
          <w:rFonts w:ascii="Times New Roman" w:hAnsi="Times New Roman" w:cs="Times New Roman"/>
          <w:i/>
          <w:iCs/>
          <w:sz w:val="24"/>
          <w:szCs w:val="24"/>
        </w:rPr>
        <w:t>w kształtowaniu rozwoju lokalnego</w:t>
      </w:r>
      <w:r w:rsidRPr="00106C7A">
        <w:rPr>
          <w:rFonts w:ascii="Times New Roman" w:hAnsi="Times New Roman" w:cs="Times New Roman"/>
          <w:sz w:val="24"/>
          <w:szCs w:val="24"/>
        </w:rPr>
        <w:t xml:space="preserve"> (podczas konferencji omawiano możliwości zajęcia się  działaniami na rzecz osób starszych);</w:t>
      </w:r>
    </w:p>
    <w:p w14:paraId="4A82E87F" w14:textId="77777777" w:rsidR="00106C7A" w:rsidRPr="00106C7A" w:rsidRDefault="00423164" w:rsidP="008C71A9">
      <w:pPr>
        <w:pStyle w:val="Akapitzlist"/>
        <w:numPr>
          <w:ilvl w:val="0"/>
          <w:numId w:val="313"/>
        </w:numPr>
        <w:spacing w:after="0"/>
        <w:ind w:left="360"/>
        <w:jc w:val="both"/>
        <w:rPr>
          <w:sz w:val="24"/>
          <w:szCs w:val="24"/>
        </w:rPr>
      </w:pPr>
      <w:r w:rsidRPr="00106C7A">
        <w:rPr>
          <w:rFonts w:ascii="Times New Roman" w:hAnsi="Times New Roman" w:cs="Times New Roman"/>
          <w:sz w:val="24"/>
          <w:szCs w:val="24"/>
        </w:rPr>
        <w:t xml:space="preserve">projekty: </w:t>
      </w:r>
      <w:r w:rsidRPr="00106C7A">
        <w:rPr>
          <w:rFonts w:ascii="Times New Roman" w:hAnsi="Times New Roman" w:cs="Times New Roman"/>
          <w:i/>
          <w:iCs/>
          <w:sz w:val="24"/>
          <w:szCs w:val="24"/>
        </w:rPr>
        <w:t>Care Activities Raising Employment and Training on Farm Adaptation to Responsible and Mental Health Services (CARE-T-FARMS)</w:t>
      </w:r>
      <w:r w:rsidRPr="00106C7A">
        <w:rPr>
          <w:rFonts w:ascii="Times New Roman" w:hAnsi="Times New Roman" w:cs="Times New Roman"/>
          <w:sz w:val="24"/>
          <w:szCs w:val="24"/>
        </w:rPr>
        <w:t xml:space="preserve">(projekt międzynarodowy finansowany w ramach programu Erasmus+. Celem projektu było stworzenie innowacyjnego kursu szkoleniowego przy użyciu platformy interaktywnej e-learning z otwartym dostępem do zasobów edukacyjnych. Kurs dotyczył optymalnych sposobów prowadzenia gospodarstwa społecznego. Kurs kierowany do rolników, pracowników socjalnych, psychologów, psychiatrów, osób kierujących gospodarstwami społecznymi oraz animującymi proces ich tworzenia); </w:t>
      </w:r>
      <w:r w:rsidRPr="00106C7A">
        <w:rPr>
          <w:rFonts w:ascii="Times New Roman" w:hAnsi="Times New Roman" w:cs="Times New Roman"/>
          <w:i/>
          <w:iCs/>
          <w:sz w:val="24"/>
          <w:szCs w:val="24"/>
        </w:rPr>
        <w:t xml:space="preserve">Opieka w zagrodzie - gospodarstwa opiekuńcze w woj. kujawsko-pomorskim - proj. w ramach Regionalnego Programu Operacyjnego Województwa Kujawsko-Pomorskiego na lata 2014-2020 </w:t>
      </w:r>
      <w:r w:rsidRPr="00106C7A">
        <w:rPr>
          <w:rFonts w:ascii="Times New Roman" w:hAnsi="Times New Roman" w:cs="Times New Roman"/>
          <w:sz w:val="24"/>
          <w:szCs w:val="24"/>
        </w:rPr>
        <w:t xml:space="preserve">(Utworzenie i funkcjonowanie </w:t>
      </w:r>
      <w:r w:rsidRPr="00106C7A">
        <w:rPr>
          <w:rFonts w:ascii="Times New Roman" w:hAnsi="Times New Roman" w:cs="Times New Roman"/>
          <w:sz w:val="24"/>
          <w:szCs w:val="24"/>
        </w:rPr>
        <w:lastRenderedPageBreak/>
        <w:t xml:space="preserve">kilkunastu gospodarstw opiekuńczych w woj. kujawsko-pomorskim, zapewniających miejsca opieki dziennej (8 godz., 5 dni w tygodniu) dla 75 osób. Podopieczni mają zapewnioną opiekę, zagospodarowany czas, uczestniczą w zajęciach (rękodzielnicze, uprawa warzyw i kwiatów, kulinarne, artystyczne, trening intelektualny, ćwiczenia fizyczne itp.), chodzą na spacery, spożywają posiłki, uczestniczą w wyjazdach. Raz w miesiącu każde gosp. jest odwiedzane przez psychologa, a kilka razy przez doradcę. Opiekunowie i większość wolontariuszy ukończyła kurs opiekuna osób starszych, w tym niepełnosprawnych. Wyboru gospodarstw dokonano pod kątem potencjału do sprawowania opieki oraz predyspozycji i motywacji personelu); </w:t>
      </w:r>
      <w:r w:rsidRPr="00106C7A">
        <w:rPr>
          <w:rFonts w:ascii="Times New Roman" w:hAnsi="Times New Roman" w:cs="Times New Roman"/>
          <w:i/>
          <w:iCs/>
          <w:sz w:val="24"/>
          <w:szCs w:val="24"/>
        </w:rPr>
        <w:t xml:space="preserve">Dąbrowski senior bliżej kultury - konkurs na realizację zadań publicznych województwa małopolskiego w zakresie wspierania funkcjonowania społecznego oraz przeciwdziałania wykluczeniu osób starszych </w:t>
      </w:r>
      <w:r w:rsidRPr="00106C7A">
        <w:rPr>
          <w:rFonts w:ascii="Times New Roman" w:hAnsi="Times New Roman" w:cs="Times New Roman"/>
          <w:sz w:val="24"/>
          <w:szCs w:val="24"/>
        </w:rPr>
        <w:t xml:space="preserve">(pomoc seniorom w przygotowaniu wniosków); </w:t>
      </w:r>
      <w:r w:rsidR="00E54BAB">
        <w:rPr>
          <w:rFonts w:ascii="Times New Roman" w:hAnsi="Times New Roman" w:cs="Times New Roman"/>
          <w:i/>
          <w:iCs/>
          <w:sz w:val="24"/>
          <w:szCs w:val="24"/>
        </w:rPr>
        <w:t xml:space="preserve">Dąbrowski senior aktywny </w:t>
      </w:r>
      <w:r w:rsidRPr="00106C7A">
        <w:rPr>
          <w:rFonts w:ascii="Times New Roman" w:hAnsi="Times New Roman" w:cs="Times New Roman"/>
          <w:i/>
          <w:iCs/>
          <w:sz w:val="24"/>
          <w:szCs w:val="24"/>
        </w:rPr>
        <w:t xml:space="preserve">w Małopolsce - konkurs na realizację zadań publicznych województwa małopolskiego w zakresie wspierania funkcjonowania społecznego oraz przeciwdziałania wykluczeniu osób starszych </w:t>
      </w:r>
      <w:r w:rsidRPr="00106C7A">
        <w:rPr>
          <w:rFonts w:ascii="Times New Roman" w:hAnsi="Times New Roman" w:cs="Times New Roman"/>
          <w:sz w:val="24"/>
          <w:szCs w:val="24"/>
        </w:rPr>
        <w:t>(pomoc seniorom w przygotowaniu wniosków);</w:t>
      </w:r>
    </w:p>
    <w:p w14:paraId="1B1E2C60" w14:textId="77777777" w:rsidR="003B3066" w:rsidRPr="00F8792E" w:rsidRDefault="00423164" w:rsidP="00F8792E">
      <w:pPr>
        <w:pStyle w:val="Akapitzlist"/>
        <w:numPr>
          <w:ilvl w:val="0"/>
          <w:numId w:val="313"/>
        </w:numPr>
        <w:spacing w:after="0"/>
        <w:ind w:left="360"/>
        <w:jc w:val="both"/>
        <w:rPr>
          <w:sz w:val="24"/>
          <w:szCs w:val="24"/>
        </w:rPr>
        <w:sectPr w:rsidR="003B3066" w:rsidRPr="00F8792E" w:rsidSect="00232245">
          <w:pgSz w:w="11906" w:h="16840"/>
          <w:pgMar w:top="1418" w:right="1418" w:bottom="2127" w:left="1418" w:header="708" w:footer="708" w:gutter="0"/>
          <w:cols w:space="708"/>
          <w:docGrid w:linePitch="360"/>
        </w:sectPr>
      </w:pPr>
      <w:r w:rsidRPr="00106C7A">
        <w:rPr>
          <w:rFonts w:ascii="Times New Roman" w:hAnsi="Times New Roman" w:cs="Times New Roman"/>
          <w:sz w:val="24"/>
          <w:szCs w:val="24"/>
        </w:rPr>
        <w:t xml:space="preserve">publikacje: </w:t>
      </w:r>
      <w:r w:rsidRPr="00106C7A">
        <w:rPr>
          <w:rFonts w:ascii="Times New Roman" w:hAnsi="Times New Roman" w:cs="Times New Roman"/>
          <w:i/>
          <w:iCs/>
          <w:sz w:val="24"/>
          <w:szCs w:val="24"/>
        </w:rPr>
        <w:t xml:space="preserve">Gospodarstwa opiekuńcze - nowa idea </w:t>
      </w:r>
      <w:r w:rsidRPr="00106C7A">
        <w:rPr>
          <w:rFonts w:ascii="Times New Roman" w:hAnsi="Times New Roman" w:cs="Times New Roman"/>
          <w:sz w:val="24"/>
          <w:szCs w:val="24"/>
        </w:rPr>
        <w:t xml:space="preserve">(broszura i ulotka wydane w 2019 r. przez Dolnośląski Ośrodek Doradztwa Rolniczego z siedzibą we Wrocławiu, w nakładzie po 1000 egzemplarzy przedstawiały koncepcję tworzonej przez Centrum Doradztwa Rolniczego w Brwinowie Odział Kraków Sieci Gospodarstw Opiekuńczych. Zostały w nich opisane podstawowe informacje na temat rolnictwa społecznego oraz kwestie organizacyjne, </w:t>
      </w:r>
      <w:r w:rsidR="00106C7A">
        <w:rPr>
          <w:rFonts w:ascii="Times New Roman" w:hAnsi="Times New Roman" w:cs="Times New Roman"/>
          <w:sz w:val="24"/>
          <w:szCs w:val="24"/>
        </w:rPr>
        <w:t xml:space="preserve">jak i formalno-prawne związane </w:t>
      </w:r>
      <w:r w:rsidRPr="00106C7A">
        <w:rPr>
          <w:rFonts w:ascii="Times New Roman" w:hAnsi="Times New Roman" w:cs="Times New Roman"/>
          <w:sz w:val="24"/>
          <w:szCs w:val="24"/>
        </w:rPr>
        <w:t>z prowadzen</w:t>
      </w:r>
      <w:r w:rsidR="00E54BAB">
        <w:rPr>
          <w:rFonts w:ascii="Times New Roman" w:hAnsi="Times New Roman" w:cs="Times New Roman"/>
          <w:sz w:val="24"/>
          <w:szCs w:val="24"/>
        </w:rPr>
        <w:t>iem tego rodzaju działalności).</w:t>
      </w:r>
    </w:p>
    <w:p w14:paraId="6F99295A" w14:textId="7A85C312" w:rsidR="001254CD" w:rsidRDefault="001254CD" w:rsidP="001254CD">
      <w:pPr>
        <w:pStyle w:val="Legenda"/>
        <w:keepNext/>
        <w:rPr>
          <w:rFonts w:ascii="Times New Roman" w:hAnsi="Times New Roman" w:cs="Times New Roman"/>
          <w:b/>
          <w:i w:val="0"/>
          <w:sz w:val="24"/>
        </w:rPr>
      </w:pPr>
      <w:bookmarkStart w:id="69" w:name="_Toc49171421"/>
      <w:r w:rsidRPr="001254CD">
        <w:rPr>
          <w:rFonts w:ascii="Times New Roman" w:hAnsi="Times New Roman" w:cs="Times New Roman"/>
          <w:b/>
          <w:i w:val="0"/>
          <w:sz w:val="24"/>
        </w:rPr>
        <w:lastRenderedPageBreak/>
        <w:t xml:space="preserve">Tabela </w:t>
      </w:r>
      <w:r w:rsidRPr="001254CD">
        <w:rPr>
          <w:rFonts w:ascii="Times New Roman" w:hAnsi="Times New Roman" w:cs="Times New Roman"/>
          <w:b/>
          <w:i w:val="0"/>
          <w:sz w:val="24"/>
        </w:rPr>
        <w:fldChar w:fldCharType="begin"/>
      </w:r>
      <w:r w:rsidRPr="001254CD">
        <w:rPr>
          <w:rFonts w:ascii="Times New Roman" w:hAnsi="Times New Roman" w:cs="Times New Roman"/>
          <w:b/>
          <w:i w:val="0"/>
          <w:sz w:val="24"/>
        </w:rPr>
        <w:instrText xml:space="preserve"> SEQ Tabela \* ARABIC </w:instrText>
      </w:r>
      <w:r w:rsidRPr="001254CD">
        <w:rPr>
          <w:rFonts w:ascii="Times New Roman" w:hAnsi="Times New Roman" w:cs="Times New Roman"/>
          <w:b/>
          <w:i w:val="0"/>
          <w:sz w:val="24"/>
        </w:rPr>
        <w:fldChar w:fldCharType="separate"/>
      </w:r>
      <w:r w:rsidR="00C154C9">
        <w:rPr>
          <w:rFonts w:ascii="Times New Roman" w:hAnsi="Times New Roman" w:cs="Times New Roman"/>
          <w:b/>
          <w:i w:val="0"/>
          <w:noProof/>
          <w:sz w:val="24"/>
        </w:rPr>
        <w:t>46</w:t>
      </w:r>
      <w:r w:rsidRPr="001254CD">
        <w:rPr>
          <w:rFonts w:ascii="Times New Roman" w:hAnsi="Times New Roman" w:cs="Times New Roman"/>
          <w:b/>
          <w:i w:val="0"/>
          <w:sz w:val="24"/>
        </w:rPr>
        <w:fldChar w:fldCharType="end"/>
      </w:r>
      <w:r w:rsidRPr="001254CD">
        <w:rPr>
          <w:rFonts w:ascii="Times New Roman" w:hAnsi="Times New Roman" w:cs="Times New Roman"/>
          <w:b/>
          <w:i w:val="0"/>
          <w:sz w:val="24"/>
        </w:rPr>
        <w:t xml:space="preserve"> Działania i programy podjęte na rzecz osób starszych w 2019 r.</w:t>
      </w:r>
      <w:bookmarkEnd w:id="69"/>
    </w:p>
    <w:tbl>
      <w:tblPr>
        <w:tblStyle w:val="Tabela-Siatka"/>
        <w:tblW w:w="14591"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1266"/>
        <w:gridCol w:w="2126"/>
        <w:gridCol w:w="4678"/>
        <w:gridCol w:w="2977"/>
        <w:gridCol w:w="1843"/>
        <w:gridCol w:w="1701"/>
      </w:tblGrid>
      <w:tr w:rsidR="002C093F" w:rsidRPr="003B3066" w14:paraId="215B1717" w14:textId="77777777" w:rsidTr="00F8792E">
        <w:trPr>
          <w:jc w:val="center"/>
        </w:trPr>
        <w:tc>
          <w:tcPr>
            <w:tcW w:w="1266" w:type="dxa"/>
            <w:shd w:val="clear" w:color="auto" w:fill="BDD6EE" w:themeFill="accent1" w:themeFillTint="66"/>
          </w:tcPr>
          <w:p w14:paraId="61D450AA" w14:textId="77777777" w:rsidR="00B4578C" w:rsidRPr="003B3066" w:rsidRDefault="00B4578C" w:rsidP="00E704D2">
            <w:pPr>
              <w:spacing w:after="0" w:line="240" w:lineRule="auto"/>
              <w:jc w:val="center"/>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Jednostka realizująca</w:t>
            </w:r>
          </w:p>
        </w:tc>
        <w:tc>
          <w:tcPr>
            <w:tcW w:w="2126" w:type="dxa"/>
            <w:shd w:val="clear" w:color="auto" w:fill="BDD6EE" w:themeFill="accent1" w:themeFillTint="66"/>
          </w:tcPr>
          <w:p w14:paraId="2927640C" w14:textId="77777777" w:rsidR="00B4578C" w:rsidRPr="003B3066" w:rsidRDefault="00B4578C" w:rsidP="00E704D2">
            <w:pPr>
              <w:spacing w:after="0" w:line="240" w:lineRule="auto"/>
              <w:jc w:val="center"/>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Nazwa działania, programu, publikacji itp.</w:t>
            </w:r>
          </w:p>
        </w:tc>
        <w:tc>
          <w:tcPr>
            <w:tcW w:w="4678" w:type="dxa"/>
            <w:shd w:val="clear" w:color="auto" w:fill="BDD6EE" w:themeFill="accent1" w:themeFillTint="66"/>
          </w:tcPr>
          <w:p w14:paraId="6735F57A" w14:textId="77777777" w:rsidR="00B4578C" w:rsidRPr="003B3066" w:rsidRDefault="00B4578C" w:rsidP="00E704D2">
            <w:pPr>
              <w:spacing w:after="0" w:line="240" w:lineRule="auto"/>
              <w:jc w:val="center"/>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Syntetyczny opis</w:t>
            </w:r>
          </w:p>
        </w:tc>
        <w:tc>
          <w:tcPr>
            <w:tcW w:w="2977" w:type="dxa"/>
            <w:shd w:val="clear" w:color="auto" w:fill="BDD6EE" w:themeFill="accent1" w:themeFillTint="66"/>
          </w:tcPr>
          <w:p w14:paraId="1C173059" w14:textId="77777777" w:rsidR="00B4578C" w:rsidRPr="003B3066" w:rsidRDefault="00B4578C" w:rsidP="00E704D2">
            <w:pPr>
              <w:spacing w:after="0" w:line="240" w:lineRule="auto"/>
              <w:jc w:val="center"/>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 xml:space="preserve">Wielkość grupy docelowej objętej działaniem, programem; w przypadku publikacji: ilość publikacji, nakład                                             </w:t>
            </w:r>
            <w:r w:rsidRPr="003B3066">
              <w:rPr>
                <w:rFonts w:ascii="Times New Roman" w:eastAsia="Times New Roman" w:hAnsi="Times New Roman" w:cs="Times New Roman"/>
                <w:color w:val="000000"/>
                <w:sz w:val="20"/>
                <w:szCs w:val="20"/>
                <w:lang w:eastAsia="pl-PL"/>
              </w:rPr>
              <w:t xml:space="preserve"> </w:t>
            </w:r>
          </w:p>
        </w:tc>
        <w:tc>
          <w:tcPr>
            <w:tcW w:w="1843" w:type="dxa"/>
            <w:shd w:val="clear" w:color="auto" w:fill="BDD6EE" w:themeFill="accent1" w:themeFillTint="66"/>
          </w:tcPr>
          <w:p w14:paraId="40A696CE" w14:textId="77777777" w:rsidR="00B4578C" w:rsidRPr="003B3066" w:rsidRDefault="00B4578C" w:rsidP="00E704D2">
            <w:pPr>
              <w:spacing w:after="0" w:line="240" w:lineRule="auto"/>
              <w:jc w:val="center"/>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 xml:space="preserve">Zasięg terytorialny </w:t>
            </w:r>
          </w:p>
        </w:tc>
        <w:tc>
          <w:tcPr>
            <w:tcW w:w="1701" w:type="dxa"/>
            <w:shd w:val="clear" w:color="auto" w:fill="BDD6EE" w:themeFill="accent1" w:themeFillTint="66"/>
          </w:tcPr>
          <w:p w14:paraId="51F439D2" w14:textId="77777777" w:rsidR="00B4578C" w:rsidRPr="003B3066" w:rsidRDefault="00B4578C" w:rsidP="00E704D2">
            <w:pPr>
              <w:spacing w:after="0" w:line="240" w:lineRule="auto"/>
              <w:jc w:val="center"/>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 xml:space="preserve">Uwagi/inne      </w:t>
            </w:r>
          </w:p>
        </w:tc>
      </w:tr>
      <w:tr w:rsidR="002C093F" w:rsidRPr="003B3066" w14:paraId="7E7222EF" w14:textId="77777777" w:rsidTr="00F8792E">
        <w:trPr>
          <w:jc w:val="center"/>
        </w:trPr>
        <w:tc>
          <w:tcPr>
            <w:tcW w:w="1266" w:type="dxa"/>
          </w:tcPr>
          <w:p w14:paraId="3E91931D"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CDR</w:t>
            </w:r>
          </w:p>
        </w:tc>
        <w:tc>
          <w:tcPr>
            <w:tcW w:w="2126" w:type="dxa"/>
          </w:tcPr>
          <w:p w14:paraId="71C59D7E"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Projekt GROWID - Gospodarstwa w rozwoju obszarów wiejskich wobec wyzwań demograficznych</w:t>
            </w:r>
          </w:p>
        </w:tc>
        <w:tc>
          <w:tcPr>
            <w:tcW w:w="4678" w:type="dxa"/>
          </w:tcPr>
          <w:p w14:paraId="4537E26F"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Celem projektu jest opracowanie i wdrożenie w Polsce modelu gospodarstwa opiekuńczego - formy wsparcia osób niesamodzielnych (w tym osób starszych), która realizowana będzie w gospodarstwach rolnych. Projekt GROWID realizowany jest przez konsorcjum, w którego skład oprócz Centrum Doradztwa Rolniczego Oddział w Krakowie wchodzą Ministerstwo Rolnictwa i Rozwoju Wsi, Uniwersytet Jagielloński w Krakowie oraz Uniwersytet Rolniczy im. H.Kołłątaja w Krakowie. Projekt realizowany jest w latach 2019-2021. Od stycznia 2019 roku do czerwca 2020 realizowany jest etap badawczy, którego efektem będzie model gospodarstwa opiekuńczego i strategia jego wdrażania. Od lipca 2020 do końca 2021 roku realizowany będzie etap wdrożeniowy. </w:t>
            </w:r>
          </w:p>
        </w:tc>
        <w:tc>
          <w:tcPr>
            <w:tcW w:w="2977" w:type="dxa"/>
          </w:tcPr>
          <w:p w14:paraId="0BF69950"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Projekt kierowany do rolników, </w:t>
            </w:r>
            <w:r w:rsidR="003B3066" w:rsidRPr="003B3066">
              <w:rPr>
                <w:rFonts w:ascii="Times New Roman" w:eastAsia="Times New Roman" w:hAnsi="Times New Roman" w:cs="Times New Roman"/>
                <w:color w:val="000000"/>
                <w:sz w:val="20"/>
                <w:szCs w:val="20"/>
                <w:lang w:eastAsia="pl-PL"/>
              </w:rPr>
              <w:t>doradców</w:t>
            </w:r>
            <w:r w:rsidRPr="003B3066">
              <w:rPr>
                <w:rFonts w:ascii="Times New Roman" w:eastAsia="Times New Roman" w:hAnsi="Times New Roman" w:cs="Times New Roman"/>
                <w:color w:val="000000"/>
                <w:sz w:val="20"/>
                <w:szCs w:val="20"/>
                <w:lang w:eastAsia="pl-PL"/>
              </w:rPr>
              <w:t xml:space="preserve"> i wszystkich zainteresowanych mieszkańców obszarów wiejskich.</w:t>
            </w:r>
          </w:p>
        </w:tc>
        <w:tc>
          <w:tcPr>
            <w:tcW w:w="1843" w:type="dxa"/>
          </w:tcPr>
          <w:p w14:paraId="0E645580"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projekt ogólnopolski</w:t>
            </w:r>
          </w:p>
        </w:tc>
        <w:tc>
          <w:tcPr>
            <w:tcW w:w="1701" w:type="dxa"/>
          </w:tcPr>
          <w:p w14:paraId="3A30D542"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w:t>
            </w:r>
          </w:p>
        </w:tc>
      </w:tr>
      <w:tr w:rsidR="002C093F" w:rsidRPr="003B3066" w14:paraId="41B75478" w14:textId="77777777" w:rsidTr="00F8792E">
        <w:trPr>
          <w:jc w:val="center"/>
        </w:trPr>
        <w:tc>
          <w:tcPr>
            <w:tcW w:w="1266" w:type="dxa"/>
          </w:tcPr>
          <w:p w14:paraId="7BB3227B"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CDR</w:t>
            </w:r>
          </w:p>
        </w:tc>
        <w:tc>
          <w:tcPr>
            <w:tcW w:w="2126" w:type="dxa"/>
          </w:tcPr>
          <w:p w14:paraId="223ECC09"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Gospodarstwa opiekuńcze</w:t>
            </w:r>
          </w:p>
        </w:tc>
        <w:tc>
          <w:tcPr>
            <w:tcW w:w="4678" w:type="dxa"/>
          </w:tcPr>
          <w:p w14:paraId="5E2638C7"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Szkolenie e-learningowe organizowane w kilku turach dla różnych grup odbiorców - doradców rolniczych oraz mieszkańców obszarów wiejskich. Celem szkolenia było zapoznanie uczestników z ideą gospodarstw opiekuńczych oraz </w:t>
            </w:r>
            <w:r w:rsidR="003B3066" w:rsidRPr="003B3066">
              <w:rPr>
                <w:rFonts w:ascii="Times New Roman" w:eastAsia="Times New Roman" w:hAnsi="Times New Roman" w:cs="Times New Roman"/>
                <w:color w:val="000000"/>
                <w:sz w:val="20"/>
                <w:szCs w:val="20"/>
                <w:lang w:eastAsia="pl-PL"/>
              </w:rPr>
              <w:t>dostępnymi</w:t>
            </w:r>
            <w:r w:rsidRPr="003B3066">
              <w:rPr>
                <w:rFonts w:ascii="Times New Roman" w:eastAsia="Times New Roman" w:hAnsi="Times New Roman" w:cs="Times New Roman"/>
                <w:color w:val="000000"/>
                <w:sz w:val="20"/>
                <w:szCs w:val="20"/>
                <w:lang w:eastAsia="pl-PL"/>
              </w:rPr>
              <w:t xml:space="preserve"> obecnie możliwościami ich tworzenia.</w:t>
            </w:r>
          </w:p>
        </w:tc>
        <w:tc>
          <w:tcPr>
            <w:tcW w:w="2977" w:type="dxa"/>
          </w:tcPr>
          <w:p w14:paraId="7B5D1D61"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szkolenie kierowane do wszystkich potencjalnie </w:t>
            </w:r>
            <w:r w:rsidR="003B3066" w:rsidRPr="003B3066">
              <w:rPr>
                <w:rFonts w:ascii="Times New Roman" w:eastAsia="Times New Roman" w:hAnsi="Times New Roman" w:cs="Times New Roman"/>
                <w:color w:val="000000"/>
                <w:sz w:val="20"/>
                <w:szCs w:val="20"/>
                <w:lang w:eastAsia="pl-PL"/>
              </w:rPr>
              <w:t>zainteresowanych</w:t>
            </w:r>
            <w:r w:rsidRPr="003B3066">
              <w:rPr>
                <w:rFonts w:ascii="Times New Roman" w:eastAsia="Times New Roman" w:hAnsi="Times New Roman" w:cs="Times New Roman"/>
                <w:color w:val="000000"/>
                <w:sz w:val="20"/>
                <w:szCs w:val="20"/>
                <w:lang w:eastAsia="pl-PL"/>
              </w:rPr>
              <w:t xml:space="preserve"> doradców rolniczych i mieszkańców obszarów wiejskich. Łącznie w szkoleniu wzięło udział </w:t>
            </w:r>
            <w:r w:rsidRPr="003B3066">
              <w:rPr>
                <w:rFonts w:ascii="Times New Roman" w:eastAsia="Times New Roman" w:hAnsi="Times New Roman" w:cs="Times New Roman"/>
                <w:b/>
                <w:bCs/>
                <w:color w:val="000000"/>
                <w:sz w:val="20"/>
                <w:szCs w:val="20"/>
                <w:lang w:eastAsia="pl-PL"/>
              </w:rPr>
              <w:t>112 osób</w:t>
            </w:r>
            <w:r w:rsidRPr="003B3066">
              <w:rPr>
                <w:rFonts w:ascii="Times New Roman" w:eastAsia="Times New Roman" w:hAnsi="Times New Roman" w:cs="Times New Roman"/>
                <w:color w:val="000000"/>
                <w:sz w:val="20"/>
                <w:szCs w:val="20"/>
                <w:lang w:eastAsia="pl-PL"/>
              </w:rPr>
              <w:t>.</w:t>
            </w:r>
          </w:p>
        </w:tc>
        <w:tc>
          <w:tcPr>
            <w:tcW w:w="1843" w:type="dxa"/>
          </w:tcPr>
          <w:p w14:paraId="3E3D1271"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ogólnopolski</w:t>
            </w:r>
          </w:p>
        </w:tc>
        <w:tc>
          <w:tcPr>
            <w:tcW w:w="1701" w:type="dxa"/>
          </w:tcPr>
          <w:p w14:paraId="47F94ACC"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35DB53A6" w14:textId="77777777" w:rsidTr="00F8792E">
        <w:trPr>
          <w:jc w:val="center"/>
        </w:trPr>
        <w:tc>
          <w:tcPr>
            <w:tcW w:w="1266" w:type="dxa"/>
          </w:tcPr>
          <w:p w14:paraId="313049B3"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CDR</w:t>
            </w:r>
          </w:p>
        </w:tc>
        <w:tc>
          <w:tcPr>
            <w:tcW w:w="2126" w:type="dxa"/>
          </w:tcPr>
          <w:p w14:paraId="24882428"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Terapie ogrodnicze w gospodarstwie rolnym</w:t>
            </w:r>
          </w:p>
        </w:tc>
        <w:tc>
          <w:tcPr>
            <w:tcW w:w="4678" w:type="dxa"/>
          </w:tcPr>
          <w:p w14:paraId="15DFDAFD"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Szkolenie stacjonarne, którego celem było </w:t>
            </w:r>
            <w:r w:rsidR="003B3066" w:rsidRPr="003B3066">
              <w:rPr>
                <w:rFonts w:ascii="Times New Roman" w:eastAsia="Times New Roman" w:hAnsi="Times New Roman" w:cs="Times New Roman"/>
                <w:color w:val="000000"/>
                <w:sz w:val="20"/>
                <w:szCs w:val="20"/>
                <w:lang w:eastAsia="pl-PL"/>
              </w:rPr>
              <w:t>zaznajomienie</w:t>
            </w:r>
            <w:r w:rsidRPr="003B3066">
              <w:rPr>
                <w:rFonts w:ascii="Times New Roman" w:eastAsia="Times New Roman" w:hAnsi="Times New Roman" w:cs="Times New Roman"/>
                <w:color w:val="000000"/>
                <w:sz w:val="20"/>
                <w:szCs w:val="20"/>
                <w:lang w:eastAsia="pl-PL"/>
              </w:rPr>
              <w:t xml:space="preserve"> uczestników z podstawami hortiterapii. Szkolenie obejmowało zajęcia teoretyczne oraz terenowe.</w:t>
            </w:r>
          </w:p>
        </w:tc>
        <w:tc>
          <w:tcPr>
            <w:tcW w:w="2977" w:type="dxa"/>
          </w:tcPr>
          <w:p w14:paraId="47E0E830"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szkolenie kierowane do wszystkich zainteresowanych pracowników jednostek doradztwa rolniczego, udział wzięło w nim </w:t>
            </w:r>
            <w:r w:rsidRPr="003B3066">
              <w:rPr>
                <w:rFonts w:ascii="Times New Roman" w:eastAsia="Times New Roman" w:hAnsi="Times New Roman" w:cs="Times New Roman"/>
                <w:b/>
                <w:bCs/>
                <w:color w:val="000000"/>
                <w:sz w:val="20"/>
                <w:szCs w:val="20"/>
                <w:lang w:eastAsia="pl-PL"/>
              </w:rPr>
              <w:t>30 osób</w:t>
            </w:r>
          </w:p>
        </w:tc>
        <w:tc>
          <w:tcPr>
            <w:tcW w:w="1843" w:type="dxa"/>
          </w:tcPr>
          <w:p w14:paraId="1A384FD5"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ogólnopolski</w:t>
            </w:r>
          </w:p>
        </w:tc>
        <w:tc>
          <w:tcPr>
            <w:tcW w:w="1701" w:type="dxa"/>
          </w:tcPr>
          <w:p w14:paraId="7D5B6269"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4EF428C7" w14:textId="77777777" w:rsidTr="00F8792E">
        <w:trPr>
          <w:jc w:val="center"/>
        </w:trPr>
        <w:tc>
          <w:tcPr>
            <w:tcW w:w="1266" w:type="dxa"/>
          </w:tcPr>
          <w:p w14:paraId="3A24EABC"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CDR</w:t>
            </w:r>
          </w:p>
        </w:tc>
        <w:tc>
          <w:tcPr>
            <w:tcW w:w="2126" w:type="dxa"/>
          </w:tcPr>
          <w:p w14:paraId="354E098F" w14:textId="691B93B9" w:rsidR="00B4578C" w:rsidRPr="003B3066" w:rsidRDefault="00BC3079" w:rsidP="00E704D2">
            <w:pPr>
              <w:spacing w:after="0" w:line="240" w:lineRule="auto"/>
              <w:rPr>
                <w:rFonts w:ascii="Times New Roman" w:eastAsia="Times New Roman" w:hAnsi="Times New Roman" w:cs="Times New Roman"/>
                <w:color w:val="000000"/>
                <w:sz w:val="20"/>
                <w:szCs w:val="20"/>
                <w:lang w:eastAsia="pl-PL"/>
              </w:rPr>
            </w:pPr>
            <w:r>
              <w:rPr>
                <w:rFonts w:ascii="Times New Roman" w:eastAsia="Times New Roman" w:hAnsi="Times New Roman" w:cs="Times New Roman"/>
                <w:color w:val="000000"/>
                <w:sz w:val="20"/>
                <w:szCs w:val="20"/>
                <w:lang w:eastAsia="pl-PL"/>
              </w:rPr>
              <w:t>Działania opiekuńcze i terapie</w:t>
            </w:r>
            <w:r w:rsidR="00B4578C" w:rsidRPr="003B3066">
              <w:rPr>
                <w:rFonts w:ascii="Times New Roman" w:eastAsia="Times New Roman" w:hAnsi="Times New Roman" w:cs="Times New Roman"/>
                <w:color w:val="000000"/>
                <w:sz w:val="20"/>
                <w:szCs w:val="20"/>
                <w:lang w:eastAsia="pl-PL"/>
              </w:rPr>
              <w:t xml:space="preserve"> rolnicze - rozwiązania funkcjonalne (szkolenie stacjonarne)</w:t>
            </w:r>
          </w:p>
        </w:tc>
        <w:tc>
          <w:tcPr>
            <w:tcW w:w="4678" w:type="dxa"/>
          </w:tcPr>
          <w:p w14:paraId="0DD195EF"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Szkolenie stacjonarne, którego celem było zapoznanie uczestników z metodologią tworzenia gospodarstw społecznych opracowaną w ramach projektu CARE-T-Farms.</w:t>
            </w:r>
          </w:p>
        </w:tc>
        <w:tc>
          <w:tcPr>
            <w:tcW w:w="2977" w:type="dxa"/>
          </w:tcPr>
          <w:p w14:paraId="3C71A347"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szkolenie kierowane do wszystkich zainteresowanych mieszkańców obszarów wiejskich. Udział wzięło w nim </w:t>
            </w:r>
            <w:r w:rsidRPr="003B3066">
              <w:rPr>
                <w:rFonts w:ascii="Times New Roman" w:eastAsia="Times New Roman" w:hAnsi="Times New Roman" w:cs="Times New Roman"/>
                <w:b/>
                <w:bCs/>
                <w:color w:val="000000"/>
                <w:sz w:val="20"/>
                <w:szCs w:val="20"/>
                <w:lang w:eastAsia="pl-PL"/>
              </w:rPr>
              <w:t>25 osób</w:t>
            </w:r>
          </w:p>
        </w:tc>
        <w:tc>
          <w:tcPr>
            <w:tcW w:w="1843" w:type="dxa"/>
          </w:tcPr>
          <w:p w14:paraId="6E91B022"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ogólnopolski</w:t>
            </w:r>
          </w:p>
        </w:tc>
        <w:tc>
          <w:tcPr>
            <w:tcW w:w="1701" w:type="dxa"/>
          </w:tcPr>
          <w:p w14:paraId="661F0448"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2B9AE4D8" w14:textId="77777777" w:rsidTr="00F8792E">
        <w:trPr>
          <w:jc w:val="center"/>
        </w:trPr>
        <w:tc>
          <w:tcPr>
            <w:tcW w:w="1266" w:type="dxa"/>
          </w:tcPr>
          <w:p w14:paraId="07CD4658"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lastRenderedPageBreak/>
              <w:t>CDR</w:t>
            </w:r>
          </w:p>
        </w:tc>
        <w:tc>
          <w:tcPr>
            <w:tcW w:w="2126" w:type="dxa"/>
          </w:tcPr>
          <w:p w14:paraId="69104E98"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Działania opiekuńcze i terapier rolnicze - rozwiązania funkcjonalne (szkolenie e-learningowe)</w:t>
            </w:r>
          </w:p>
        </w:tc>
        <w:tc>
          <w:tcPr>
            <w:tcW w:w="4678" w:type="dxa"/>
          </w:tcPr>
          <w:p w14:paraId="31A41900"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Szkolenie e-learningowe, którego celem było zapoznanie uczestników z metodologią tworzenia gospodarstw społecznych opracowaną w ramach projektu CARE-T-Farms.</w:t>
            </w:r>
          </w:p>
        </w:tc>
        <w:tc>
          <w:tcPr>
            <w:tcW w:w="2977" w:type="dxa"/>
          </w:tcPr>
          <w:p w14:paraId="7F5FF188"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szkolenie kierowane do wszystkich zainteresowanych mieszkańców obszarów wiejskich. Udział wzięły w nim </w:t>
            </w:r>
            <w:r w:rsidRPr="003B3066">
              <w:rPr>
                <w:rFonts w:ascii="Times New Roman" w:eastAsia="Times New Roman" w:hAnsi="Times New Roman" w:cs="Times New Roman"/>
                <w:b/>
                <w:bCs/>
                <w:color w:val="000000"/>
                <w:sz w:val="20"/>
                <w:szCs w:val="20"/>
                <w:lang w:eastAsia="pl-PL"/>
              </w:rPr>
              <w:t>42 osoby</w:t>
            </w:r>
            <w:r w:rsidRPr="003B3066">
              <w:rPr>
                <w:rFonts w:ascii="Times New Roman" w:eastAsia="Times New Roman" w:hAnsi="Times New Roman" w:cs="Times New Roman"/>
                <w:color w:val="000000"/>
                <w:sz w:val="20"/>
                <w:szCs w:val="20"/>
                <w:lang w:eastAsia="pl-PL"/>
              </w:rPr>
              <w:t>.</w:t>
            </w:r>
          </w:p>
        </w:tc>
        <w:tc>
          <w:tcPr>
            <w:tcW w:w="1843" w:type="dxa"/>
          </w:tcPr>
          <w:p w14:paraId="1EC1FB20"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ogólnopolski</w:t>
            </w:r>
          </w:p>
        </w:tc>
        <w:tc>
          <w:tcPr>
            <w:tcW w:w="1701" w:type="dxa"/>
          </w:tcPr>
          <w:p w14:paraId="12CBB2E6"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5F4CA5D6" w14:textId="77777777" w:rsidTr="00F8792E">
        <w:trPr>
          <w:jc w:val="center"/>
        </w:trPr>
        <w:tc>
          <w:tcPr>
            <w:tcW w:w="1266" w:type="dxa"/>
          </w:tcPr>
          <w:p w14:paraId="7049EA4A"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CDR</w:t>
            </w:r>
          </w:p>
        </w:tc>
        <w:tc>
          <w:tcPr>
            <w:tcW w:w="2126" w:type="dxa"/>
          </w:tcPr>
          <w:p w14:paraId="5EADFF15"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projekt Care Activities Raising Employment and Training on Farm Adaptation to Responsible and Mental Health Services (CARE-T-FARMS)</w:t>
            </w:r>
          </w:p>
        </w:tc>
        <w:tc>
          <w:tcPr>
            <w:tcW w:w="4678" w:type="dxa"/>
          </w:tcPr>
          <w:p w14:paraId="541FBF8A"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Projekt międzynarodowy finansowany w ramach programu Erasmus+. Celem projektu było stworzenie innowacyjnego kursu szkoleniowego przy użyciu platformy interaktywnej e-learning z otwartym dostępem do zasobów edukacyjnych. Kurs dotyczył optymalnych sposobów prowadzenia gospodarstwa społecznego.</w:t>
            </w:r>
          </w:p>
        </w:tc>
        <w:tc>
          <w:tcPr>
            <w:tcW w:w="2977" w:type="dxa"/>
          </w:tcPr>
          <w:p w14:paraId="6103F516"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kurs kierowany do rolników, pracowników socjalnych, psychologów, psychiatrów, osób kierujących gospodarstwami społecznymi oraz animującymi proces ich tworzenia.</w:t>
            </w:r>
          </w:p>
        </w:tc>
        <w:tc>
          <w:tcPr>
            <w:tcW w:w="1843" w:type="dxa"/>
          </w:tcPr>
          <w:p w14:paraId="6FDE32AB"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międzynarodowy</w:t>
            </w:r>
          </w:p>
        </w:tc>
        <w:tc>
          <w:tcPr>
            <w:tcW w:w="1701" w:type="dxa"/>
          </w:tcPr>
          <w:p w14:paraId="3A4AB69E"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0E3AB59D" w14:textId="77777777" w:rsidTr="00F8792E">
        <w:trPr>
          <w:jc w:val="center"/>
        </w:trPr>
        <w:tc>
          <w:tcPr>
            <w:tcW w:w="1266" w:type="dxa"/>
          </w:tcPr>
          <w:p w14:paraId="1A82E5CD"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Kujawsko-Pomorski ODR</w:t>
            </w:r>
          </w:p>
        </w:tc>
        <w:tc>
          <w:tcPr>
            <w:tcW w:w="2126" w:type="dxa"/>
          </w:tcPr>
          <w:p w14:paraId="2AB6A1E5"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"Opieka w zagrodzie - gospodarstwa opiekuńcze w woj. kujawsko-pomorskim" proj. w ramach Regionalnego Programu Operacyjnego Województwa Kujawsko-Pomorskiego na lata 2014-2020</w:t>
            </w:r>
          </w:p>
        </w:tc>
        <w:tc>
          <w:tcPr>
            <w:tcW w:w="4678" w:type="dxa"/>
          </w:tcPr>
          <w:p w14:paraId="3B6D9F6A"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Utworzenie i funkcjonowanie kilkunastu gospodarstw opiekuńczych w woj. kujawsko-pomorskim, zapewniających miejsca opieki dziennej (8 godz., 5 dni w tygodniu) dla 75 osób. Podopieczni mają zapewnioną opiekę, zagospodarowany czas, uczestniczą w zajęciach (rękodzielnicze, uprawa warzyw i kwiatów, kulinarne, artystyczne, trening intelektualny, ćwiczenia fizyczne itp.), chodzą na spacery, spożywają posiłki, uczestniczą w wyjazdach. Raz w miesiącu każde gosp. jest odwiedzane przez psychologa, a kilka razy przez doradcę. Opiekunowie i większość wolontariuszy ukończyła kurs opiekuna osób starszych, w tym niepełnosprawnych. Wyboru gosp. dokonano pod kątem potencjału do sprawowania opieki oraz predyspozycji i motywacji personelu.</w:t>
            </w:r>
          </w:p>
        </w:tc>
        <w:tc>
          <w:tcPr>
            <w:tcW w:w="2977" w:type="dxa"/>
          </w:tcPr>
          <w:p w14:paraId="77897B73"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225 osób (w 2019 - 157 os.)</w:t>
            </w:r>
          </w:p>
        </w:tc>
        <w:tc>
          <w:tcPr>
            <w:tcW w:w="1843" w:type="dxa"/>
          </w:tcPr>
          <w:p w14:paraId="7051D1BA"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województwo kujawsko-pomorskie</w:t>
            </w:r>
          </w:p>
        </w:tc>
        <w:tc>
          <w:tcPr>
            <w:tcW w:w="1701" w:type="dxa"/>
          </w:tcPr>
          <w:p w14:paraId="0DE7BC97"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Projekt jest skierowany do osób niesamodzielnych, uczestnikami są w </w:t>
            </w:r>
            <w:r w:rsidR="003B3066" w:rsidRPr="003B3066">
              <w:rPr>
                <w:rFonts w:ascii="Times New Roman" w:eastAsia="Times New Roman" w:hAnsi="Times New Roman" w:cs="Times New Roman"/>
                <w:color w:val="000000"/>
                <w:sz w:val="20"/>
                <w:szCs w:val="20"/>
                <w:lang w:eastAsia="pl-PL"/>
              </w:rPr>
              <w:t>przeważającej</w:t>
            </w:r>
            <w:r w:rsidRPr="003B3066">
              <w:rPr>
                <w:rFonts w:ascii="Times New Roman" w:eastAsia="Times New Roman" w:hAnsi="Times New Roman" w:cs="Times New Roman"/>
                <w:color w:val="000000"/>
                <w:sz w:val="20"/>
                <w:szCs w:val="20"/>
                <w:lang w:eastAsia="pl-PL"/>
              </w:rPr>
              <w:t xml:space="preserve"> części osoby starsze (w 2019 r. 113 os. pow. 65 roku </w:t>
            </w:r>
            <w:r w:rsidR="003B3066" w:rsidRPr="003B3066">
              <w:rPr>
                <w:rFonts w:ascii="Times New Roman" w:eastAsia="Times New Roman" w:hAnsi="Times New Roman" w:cs="Times New Roman"/>
                <w:color w:val="000000"/>
                <w:sz w:val="20"/>
                <w:szCs w:val="20"/>
                <w:lang w:eastAsia="pl-PL"/>
              </w:rPr>
              <w:t>zżycia</w:t>
            </w:r>
            <w:r w:rsidRPr="003B3066">
              <w:rPr>
                <w:rFonts w:ascii="Times New Roman" w:eastAsia="Times New Roman" w:hAnsi="Times New Roman" w:cs="Times New Roman"/>
                <w:color w:val="000000"/>
                <w:sz w:val="20"/>
                <w:szCs w:val="20"/>
                <w:lang w:eastAsia="pl-PL"/>
              </w:rPr>
              <w:t>).</w:t>
            </w:r>
          </w:p>
        </w:tc>
      </w:tr>
      <w:tr w:rsidR="002C093F" w:rsidRPr="003B3066" w14:paraId="2FBE3CE9" w14:textId="77777777" w:rsidTr="00F8792E">
        <w:trPr>
          <w:jc w:val="center"/>
        </w:trPr>
        <w:tc>
          <w:tcPr>
            <w:tcW w:w="1266" w:type="dxa"/>
          </w:tcPr>
          <w:p w14:paraId="7D5609D2"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Dolnośląski ODR</w:t>
            </w:r>
          </w:p>
        </w:tc>
        <w:tc>
          <w:tcPr>
            <w:tcW w:w="2126" w:type="dxa"/>
          </w:tcPr>
          <w:p w14:paraId="68C3A98F"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Gospodarstwa opiekuńcze - nowa idea</w:t>
            </w:r>
          </w:p>
        </w:tc>
        <w:tc>
          <w:tcPr>
            <w:tcW w:w="4678" w:type="dxa"/>
          </w:tcPr>
          <w:p w14:paraId="354CBEEC"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Broszura i ulotka wydane w 2019 r. przez Dolnośląski Ośrodek Doradztwa Rolniczego z siedzibą we Wrocławiu, w nakładzie po 1000 egzemplarzy przedstawiały koncepcję tworzonej przez Centrum Doradztwa Rolniczego w </w:t>
            </w:r>
            <w:r w:rsidR="003B3066" w:rsidRPr="003B3066">
              <w:rPr>
                <w:rFonts w:ascii="Times New Roman" w:eastAsia="Times New Roman" w:hAnsi="Times New Roman" w:cs="Times New Roman"/>
                <w:color w:val="000000"/>
                <w:sz w:val="20"/>
                <w:szCs w:val="20"/>
                <w:lang w:eastAsia="pl-PL"/>
              </w:rPr>
              <w:t>Brwinowie</w:t>
            </w:r>
            <w:r w:rsidRPr="003B3066">
              <w:rPr>
                <w:rFonts w:ascii="Times New Roman" w:eastAsia="Times New Roman" w:hAnsi="Times New Roman" w:cs="Times New Roman"/>
                <w:color w:val="000000"/>
                <w:sz w:val="20"/>
                <w:szCs w:val="20"/>
                <w:lang w:eastAsia="pl-PL"/>
              </w:rPr>
              <w:t xml:space="preserve"> Odział Kraków Sieci Gospodarstw Opiekuńczych. Zostały w nich opisane podstawowe informacje na temat rolnictwa społecznego oraz kwestie organizacyjne, jak i formalno-prawne związane z prowadzeniem tego rodzaju </w:t>
            </w:r>
            <w:r w:rsidR="003B3066" w:rsidRPr="003B3066">
              <w:rPr>
                <w:rFonts w:ascii="Times New Roman" w:eastAsia="Times New Roman" w:hAnsi="Times New Roman" w:cs="Times New Roman"/>
                <w:color w:val="000000"/>
                <w:sz w:val="20"/>
                <w:szCs w:val="20"/>
                <w:lang w:eastAsia="pl-PL"/>
              </w:rPr>
              <w:t>działalności</w:t>
            </w:r>
            <w:r w:rsidRPr="003B3066">
              <w:rPr>
                <w:rFonts w:ascii="Times New Roman" w:eastAsia="Times New Roman" w:hAnsi="Times New Roman" w:cs="Times New Roman"/>
                <w:color w:val="000000"/>
                <w:sz w:val="20"/>
                <w:szCs w:val="20"/>
                <w:lang w:eastAsia="pl-PL"/>
              </w:rPr>
              <w:t>.</w:t>
            </w:r>
          </w:p>
        </w:tc>
        <w:tc>
          <w:tcPr>
            <w:tcW w:w="2977" w:type="dxa"/>
          </w:tcPr>
          <w:p w14:paraId="5C4533C2"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1000 egzemplarzy broszura 1000 </w:t>
            </w:r>
            <w:r w:rsidR="003B3066" w:rsidRPr="003B3066">
              <w:rPr>
                <w:rFonts w:ascii="Times New Roman" w:eastAsia="Times New Roman" w:hAnsi="Times New Roman" w:cs="Times New Roman"/>
                <w:color w:val="000000"/>
                <w:sz w:val="20"/>
                <w:szCs w:val="20"/>
                <w:lang w:eastAsia="pl-PL"/>
              </w:rPr>
              <w:t>egzemplarzy</w:t>
            </w:r>
            <w:r w:rsidRPr="003B3066">
              <w:rPr>
                <w:rFonts w:ascii="Times New Roman" w:eastAsia="Times New Roman" w:hAnsi="Times New Roman" w:cs="Times New Roman"/>
                <w:color w:val="000000"/>
                <w:sz w:val="20"/>
                <w:szCs w:val="20"/>
                <w:lang w:eastAsia="pl-PL"/>
              </w:rPr>
              <w:t xml:space="preserve"> ulotka</w:t>
            </w:r>
          </w:p>
        </w:tc>
        <w:tc>
          <w:tcPr>
            <w:tcW w:w="1843" w:type="dxa"/>
          </w:tcPr>
          <w:p w14:paraId="65DF7304"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Dolny Śląsk </w:t>
            </w:r>
          </w:p>
        </w:tc>
        <w:tc>
          <w:tcPr>
            <w:tcW w:w="1701" w:type="dxa"/>
          </w:tcPr>
          <w:p w14:paraId="484C3C9D"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Broszura i ulotka skierowane były do wszystkich osób zainteresowanych uruchomieniem usług opiekuńczych w gospodarstwie rolnym lub na obszarach </w:t>
            </w:r>
            <w:r w:rsidRPr="003B3066">
              <w:rPr>
                <w:rFonts w:ascii="Times New Roman" w:eastAsia="Times New Roman" w:hAnsi="Times New Roman" w:cs="Times New Roman"/>
                <w:color w:val="000000"/>
                <w:sz w:val="20"/>
                <w:szCs w:val="20"/>
                <w:lang w:eastAsia="pl-PL"/>
              </w:rPr>
              <w:lastRenderedPageBreak/>
              <w:t>wiejskich Dolnego Śląska.</w:t>
            </w:r>
          </w:p>
        </w:tc>
      </w:tr>
      <w:tr w:rsidR="002C093F" w:rsidRPr="003B3066" w14:paraId="037D8954" w14:textId="77777777" w:rsidTr="00F8792E">
        <w:trPr>
          <w:jc w:val="center"/>
        </w:trPr>
        <w:tc>
          <w:tcPr>
            <w:tcW w:w="1266" w:type="dxa"/>
          </w:tcPr>
          <w:p w14:paraId="3033835F"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lastRenderedPageBreak/>
              <w:t>Lubelski ODR</w:t>
            </w:r>
          </w:p>
        </w:tc>
        <w:tc>
          <w:tcPr>
            <w:tcW w:w="2126" w:type="dxa"/>
          </w:tcPr>
          <w:p w14:paraId="4343AD5A"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 Konferencja, informacja na stronę                      „Wiejskie usługi opiekuńcze – innowacyjna forma przedsiębiorczości”-</w:t>
            </w:r>
          </w:p>
        </w:tc>
        <w:tc>
          <w:tcPr>
            <w:tcW w:w="4678" w:type="dxa"/>
          </w:tcPr>
          <w:p w14:paraId="165E275F"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Konferencja pt. „Wiejskie usługi opiekuńcze – innowacyjna forma przedsiębiorczości” Plan Operacyjny Krajowej Sieci Obszarów Wiejskich na lata 2018-2019 w zakresie Sieci na rzecz innowacji w rolnictwie i na obszarach wiejskich (SIR).W konferencji wzięli udział rolnicy, doradcy rolniczy, przedstawiciele instytucji naukowych oraz organizacji wiejskich - osoby zainteresowane tematyką wiejskich usług opiekuńczych świadczonych</w:t>
            </w:r>
            <w:r w:rsidRPr="003B3066">
              <w:rPr>
                <w:rFonts w:ascii="Times New Roman" w:eastAsia="Times New Roman" w:hAnsi="Times New Roman" w:cs="Times New Roman"/>
                <w:color w:val="000000"/>
                <w:sz w:val="20"/>
                <w:szCs w:val="20"/>
                <w:lang w:eastAsia="pl-PL"/>
              </w:rPr>
              <w:br/>
              <w:t xml:space="preserve">w gospodarstwach opiekuńczych. Konferencja miała na celu propagowanie idei rozwijania wiejskich usług opiekuńczych, w tym gospodarstw opiekuńczych, jako jednego z elementów rolnictwa społecznego, rolnictwa w którym istotą jest jego wielofunkcyjność rozumiana jako możliwość zaspokojenia w gospodarstwie rolnym nie tylko potrzeb produkcyjno-rynkowych, ale także pozarolniczych. Przedstawiono wiedzę z zakresu rolnictwa społecznego w kontekście tworzenia gospodarstw opiekuńczych, wskazano możliwości wykorzystania gospodarstwa rolnego do pełnienia funkcji opieki nad osobami niesamodzielnymi. Uczestnicy konferencji poznali zasady tworzenia gospodarstw opiekuńczych oraz uzyskali odpowiedzi na wiele nurtujących pytań. Wskazano istotne argumenty przemawiające za koncepcją tworzenia gospodarstw opiekuńczych będących odpowiedzią na trendy demograficzne obserwowane w naszym kraju tj. wydłużanie się życia i związane z tym starzenie się społeczeństwa. Zwrócono uwagę na zasadność prowadzenia działań w kierunku wiązania działalności rolniczej z usługami opiekuńczymi, na to że umożliwienie kontaktu z naturą oraz uczestniczenie w jego codziennym życiu będzie miało dobroczynny wpływ na zdrowie i kondycję osób korzystających z usług. Podkreślono fakt, że powstawanie gospodarstw opiekuńczych będzie również sprzyjać podnoszeniu jakości życia na obszarach wiejskich, co umożliwi </w:t>
            </w:r>
            <w:r w:rsidRPr="003B3066">
              <w:rPr>
                <w:rFonts w:ascii="Times New Roman" w:eastAsia="Times New Roman" w:hAnsi="Times New Roman" w:cs="Times New Roman"/>
                <w:color w:val="000000"/>
                <w:sz w:val="20"/>
                <w:szCs w:val="20"/>
                <w:lang w:eastAsia="pl-PL"/>
              </w:rPr>
              <w:lastRenderedPageBreak/>
              <w:t>mieszkańcom mniejszych miejscowości większy dostęp do usług społecznych.</w:t>
            </w:r>
          </w:p>
        </w:tc>
        <w:tc>
          <w:tcPr>
            <w:tcW w:w="2977" w:type="dxa"/>
          </w:tcPr>
          <w:p w14:paraId="35191A8A"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lastRenderedPageBreak/>
              <w:t xml:space="preserve">40 osób </w:t>
            </w:r>
          </w:p>
        </w:tc>
        <w:tc>
          <w:tcPr>
            <w:tcW w:w="1843" w:type="dxa"/>
          </w:tcPr>
          <w:p w14:paraId="1F1BEE5C"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województwo lubelskie </w:t>
            </w:r>
          </w:p>
        </w:tc>
        <w:tc>
          <w:tcPr>
            <w:tcW w:w="1701" w:type="dxa"/>
          </w:tcPr>
          <w:p w14:paraId="0D940B2E"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653D8310" w14:textId="77777777" w:rsidTr="00F8792E">
        <w:trPr>
          <w:jc w:val="center"/>
        </w:trPr>
        <w:tc>
          <w:tcPr>
            <w:tcW w:w="1266" w:type="dxa"/>
          </w:tcPr>
          <w:p w14:paraId="020A160A"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Lubelski ODR</w:t>
            </w:r>
          </w:p>
        </w:tc>
        <w:tc>
          <w:tcPr>
            <w:tcW w:w="2126" w:type="dxa"/>
          </w:tcPr>
          <w:p w14:paraId="57FC2BCA"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Wyjazd studyjny „Rolnictwo zaangażowane  społecznie -  jako innowacyjny  kierunek działalności pozarolniczej”. </w:t>
            </w:r>
          </w:p>
        </w:tc>
        <w:tc>
          <w:tcPr>
            <w:tcW w:w="4678" w:type="dxa"/>
          </w:tcPr>
          <w:p w14:paraId="0028BA08"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Wyjazd zorganizowany był w ramach realizacji Planu Operacyjnego KSOW na lata 2018-2019 w zakresie SIR, w ramach Schematu II Pomocy Technicznej „Krajowa Sieć Obszarów Wiejskich” Programu Rozwoju Obszarów Wiejskich na lata 2014–2020.W czasie wyjazdu uczestnicy odwiedzili trzy gospodarstwa opiekuńcze: w Glewie - „Pod zachrypniętym kogutem”, w Bochlinie - „Toskanię Kociewską” i  „Matyldową zagrodę” w Lubiewicach  oraz dwie wioski tematyczne: Wioskę Górniczą Piła Młyn i Wioskę Chlebową Jania Góra.  W ostatnim dniu, gościli także w Kujawsko – Pomorskim Ośrodku Doradztwa Rolniczego w Mnikowie, gdzie pracownicy ośrodka podzielili się swoimi doświadczeniami w zakresie zagadnień obejmujących tematykę gospodarstw opiekuńczych i świadczenia usług opiekuńczych. Oprowadzi także grupę uczestników wyjazdu po inkubatorze kuchennym, który powstał na terenie ośrodka w ramach pozyskanych środków unijnych, udostępniany osobom, które chcą zająć się przerobem mięsa, owoców czy warzyw, a w gospodarstwie nie mają do tego odpowiednich warunków (także sanitarnych). Inkubator kuchenny w Minikowie to także miejsce, gdzie organizowane są zajęcia edukacyjne dla dzieci i młodzieży - np. warsztaty kulinarne.</w:t>
            </w:r>
            <w:r w:rsidRPr="003B3066">
              <w:rPr>
                <w:rFonts w:ascii="Times New Roman" w:eastAsia="Times New Roman" w:hAnsi="Times New Roman" w:cs="Times New Roman"/>
                <w:color w:val="000000"/>
                <w:sz w:val="20"/>
                <w:szCs w:val="20"/>
                <w:lang w:eastAsia="pl-PL"/>
              </w:rPr>
              <w:br/>
              <w:t xml:space="preserve">Realizacja operacji pokazała uczestnikom wyjazdu jak funkcjonują gospodarstwa opiekuńcze i wioski tematyczne, stanowiące element rolnictwa społecznego. Rolnictwa, w którym istotą jest jego wielofunkcyjność rozumiana jako możliwość zaspokojenia w gospodarstwie rolnym także potrzeb pozarolniczych. Zarówno prowadzenie gospodarstwa opiekuńczego oraz wioski tematycznej to innowacyjny sposób na ożywienie gospodarki wiejskiej, który daje możliwość zapewnienia mieszkańcom wsi alternatywnych dochodów. Oferta usług opiekuńczych </w:t>
            </w:r>
            <w:r w:rsidRPr="003B3066">
              <w:rPr>
                <w:rFonts w:ascii="Times New Roman" w:eastAsia="Times New Roman" w:hAnsi="Times New Roman" w:cs="Times New Roman"/>
                <w:color w:val="000000"/>
                <w:sz w:val="20"/>
                <w:szCs w:val="20"/>
                <w:lang w:eastAsia="pl-PL"/>
              </w:rPr>
              <w:lastRenderedPageBreak/>
              <w:t>bazuje na zasobach gospodarstwa rolnego, umożliwia kontakt z naturą oraz uczestniczenie w jego codziennym życiu. Zaś oferta wsi tematycznych budowana na bazie zasobów przyrodniczych, kulturowych i historycznych danej miejscowości, pozwala przyciągnąć na tereny wiejskie turystów oraz zintegrować mieszkańców wsi.</w:t>
            </w:r>
            <w:r w:rsidRPr="003B3066">
              <w:rPr>
                <w:rFonts w:ascii="Times New Roman" w:eastAsia="Times New Roman" w:hAnsi="Times New Roman" w:cs="Times New Roman"/>
                <w:color w:val="000000"/>
                <w:sz w:val="20"/>
                <w:szCs w:val="20"/>
                <w:lang w:eastAsia="pl-PL"/>
              </w:rPr>
              <w:br/>
              <w:t>Wyjazd studyjny do województwa kujawsko - pomorskiego spełnił założony cel - upowszechnienie wiedzy na temat prowadzenia gospodarstw opiekuńczych i wiosek tematycznych jako innowacyjnego kierunku działalności pozarolniczej, aktywizację mieszkańców obszarów wiejskich województwa lubelskiego w tym zakresie. Cała grupa bardzo aktywnie uczestniczyła w każdym z wizytowanych miejsc.</w:t>
            </w:r>
          </w:p>
        </w:tc>
        <w:tc>
          <w:tcPr>
            <w:tcW w:w="2977" w:type="dxa"/>
          </w:tcPr>
          <w:p w14:paraId="357580A0"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lastRenderedPageBreak/>
              <w:t>25 osób</w:t>
            </w:r>
          </w:p>
        </w:tc>
        <w:tc>
          <w:tcPr>
            <w:tcW w:w="1843" w:type="dxa"/>
          </w:tcPr>
          <w:p w14:paraId="77D44B0C"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z terenu województwa lubelskiego </w:t>
            </w:r>
          </w:p>
        </w:tc>
        <w:tc>
          <w:tcPr>
            <w:tcW w:w="1701" w:type="dxa"/>
          </w:tcPr>
          <w:p w14:paraId="264FFA2E"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3C18B5A1" w14:textId="77777777" w:rsidTr="00F8792E">
        <w:trPr>
          <w:jc w:val="center"/>
        </w:trPr>
        <w:tc>
          <w:tcPr>
            <w:tcW w:w="1266" w:type="dxa"/>
          </w:tcPr>
          <w:p w14:paraId="03D9DA2D"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Lubuski ODR</w:t>
            </w:r>
          </w:p>
        </w:tc>
        <w:tc>
          <w:tcPr>
            <w:tcW w:w="2126" w:type="dxa"/>
          </w:tcPr>
          <w:p w14:paraId="5793B043"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Innowacyjne rozwijanie usług opiekuńczych na obszarach wiejskich. Poszukiwanie i przygotowanie potencjalnych osób do założenia i prowadzenia gospodarstwa opiekuńczego w województwie lubuskim - na przykładzie dobrych praktyk z województwa kujawsko-pomorskiego.</w:t>
            </w:r>
          </w:p>
        </w:tc>
        <w:tc>
          <w:tcPr>
            <w:tcW w:w="4678" w:type="dxa"/>
          </w:tcPr>
          <w:p w14:paraId="57DDD1DB"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Wyjazd studyjny miał na celu podniesienie wiedzy w zakresie  innowacji związanej z zakładaniem, prowadzeniem i funkcjonowaniem gospodarstwa opiekuńczego dla grupy 30 osób mieszkańców obszarów wiejskich, właścicieli gospodarstw agroturystycznych, zagród edukacyjnych, przedstawicieli jednostek naukowych i specjalistów LODR na przykładzie funkcjonujących już tego typu gospodarstw w województwie kujawsko-pomorskim. Uczestnicy wyjazdu wzbogacą swoją wiedzę o doświadczenie rolników, u których funkcjonują już tego typu placówkami. Uczestnicy mogą stać się potencjalnymi partnerami w ramach sieci na rzecz innowacji i rozwoju obszarów wiejskich.</w:t>
            </w:r>
          </w:p>
        </w:tc>
        <w:tc>
          <w:tcPr>
            <w:tcW w:w="2977" w:type="dxa"/>
          </w:tcPr>
          <w:p w14:paraId="73C89E64"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20 uczestników</w:t>
            </w:r>
          </w:p>
        </w:tc>
        <w:tc>
          <w:tcPr>
            <w:tcW w:w="1843" w:type="dxa"/>
          </w:tcPr>
          <w:p w14:paraId="72714861"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c>
          <w:tcPr>
            <w:tcW w:w="1701" w:type="dxa"/>
          </w:tcPr>
          <w:p w14:paraId="7EF29A5C"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6358F80A" w14:textId="77777777" w:rsidTr="00F8792E">
        <w:trPr>
          <w:jc w:val="center"/>
        </w:trPr>
        <w:tc>
          <w:tcPr>
            <w:tcW w:w="1266" w:type="dxa"/>
          </w:tcPr>
          <w:p w14:paraId="1AFCC538"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Małopolski ODR</w:t>
            </w:r>
          </w:p>
        </w:tc>
        <w:tc>
          <w:tcPr>
            <w:tcW w:w="2126" w:type="dxa"/>
          </w:tcPr>
          <w:p w14:paraId="6E26C61D"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Projekt naukowo-badawczy pt. „Gospodarstwa opiekuńcze w rozwoju obszarów wiejskich </w:t>
            </w:r>
            <w:r w:rsidRPr="003B3066">
              <w:rPr>
                <w:rFonts w:ascii="Times New Roman" w:eastAsia="Times New Roman" w:hAnsi="Times New Roman" w:cs="Times New Roman"/>
                <w:color w:val="000000"/>
                <w:sz w:val="20"/>
                <w:szCs w:val="20"/>
                <w:lang w:eastAsia="pl-PL"/>
              </w:rPr>
              <w:lastRenderedPageBreak/>
              <w:t>wobec wyzwań demograficznych" (GROWiD). Realizowany przez Ministerstwo Rolnictwa i Rozwoju Wsi w Konsorcjum z Uniwersytetem Jagiellońskim, Uniwersytetem Rolniczym oraz Centrum Doradztwa Rolniczego.</w:t>
            </w:r>
          </w:p>
        </w:tc>
        <w:tc>
          <w:tcPr>
            <w:tcW w:w="4678" w:type="dxa"/>
          </w:tcPr>
          <w:p w14:paraId="608B3F65"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lastRenderedPageBreak/>
              <w:t xml:space="preserve">Małopolski Ośrodek Doradztwa Rolniczego w ramach </w:t>
            </w:r>
            <w:r w:rsidR="003B3066" w:rsidRPr="003B3066">
              <w:rPr>
                <w:rFonts w:ascii="Times New Roman" w:eastAsia="Times New Roman" w:hAnsi="Times New Roman" w:cs="Times New Roman"/>
                <w:color w:val="000000"/>
                <w:sz w:val="20"/>
                <w:szCs w:val="20"/>
                <w:lang w:eastAsia="pl-PL"/>
              </w:rPr>
              <w:t>współpracy</w:t>
            </w:r>
            <w:r w:rsidRPr="003B3066">
              <w:rPr>
                <w:rFonts w:ascii="Times New Roman" w:eastAsia="Times New Roman" w:hAnsi="Times New Roman" w:cs="Times New Roman"/>
                <w:color w:val="000000"/>
                <w:sz w:val="20"/>
                <w:szCs w:val="20"/>
                <w:lang w:eastAsia="pl-PL"/>
              </w:rPr>
              <w:t xml:space="preserve"> wyłonił grupę fokusową oraz zorganizował spotkanie robocze, którego celem było  uzyskanie od właścicieli gospodarstw rolnych informacji na temat m.in. zagrożeń, barier dotyczących wprowadzania </w:t>
            </w:r>
            <w:r w:rsidRPr="003B3066">
              <w:rPr>
                <w:rFonts w:ascii="Times New Roman" w:eastAsia="Times New Roman" w:hAnsi="Times New Roman" w:cs="Times New Roman"/>
                <w:color w:val="000000"/>
                <w:sz w:val="20"/>
                <w:szCs w:val="20"/>
                <w:lang w:eastAsia="pl-PL"/>
              </w:rPr>
              <w:lastRenderedPageBreak/>
              <w:t xml:space="preserve">usług społecznych i opiekuńczych na obszarach wiejskich. Kolejnym etapem </w:t>
            </w:r>
            <w:r w:rsidR="003B3066" w:rsidRPr="003B3066">
              <w:rPr>
                <w:rFonts w:ascii="Times New Roman" w:eastAsia="Times New Roman" w:hAnsi="Times New Roman" w:cs="Times New Roman"/>
                <w:color w:val="000000"/>
                <w:sz w:val="20"/>
                <w:szCs w:val="20"/>
                <w:lang w:eastAsia="pl-PL"/>
              </w:rPr>
              <w:t>miało</w:t>
            </w:r>
            <w:r w:rsidRPr="003B3066">
              <w:rPr>
                <w:rFonts w:ascii="Times New Roman" w:eastAsia="Times New Roman" w:hAnsi="Times New Roman" w:cs="Times New Roman"/>
                <w:color w:val="000000"/>
                <w:sz w:val="20"/>
                <w:szCs w:val="20"/>
                <w:lang w:eastAsia="pl-PL"/>
              </w:rPr>
              <w:t xml:space="preserve"> być opracowanie modelu (wzorca) gospodarstwa opiekuńczego oraz przygotowanie systemu jego wdrażania. </w:t>
            </w:r>
          </w:p>
        </w:tc>
        <w:tc>
          <w:tcPr>
            <w:tcW w:w="2977" w:type="dxa"/>
          </w:tcPr>
          <w:p w14:paraId="590BDF14"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lastRenderedPageBreak/>
              <w:t xml:space="preserve">w spotkaniu wzięło udział 15 zaproszonych rolników </w:t>
            </w:r>
          </w:p>
        </w:tc>
        <w:tc>
          <w:tcPr>
            <w:tcW w:w="1843" w:type="dxa"/>
          </w:tcPr>
          <w:p w14:paraId="3779F6DB"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województwo małopolskie</w:t>
            </w:r>
          </w:p>
        </w:tc>
        <w:tc>
          <w:tcPr>
            <w:tcW w:w="1701" w:type="dxa"/>
          </w:tcPr>
          <w:p w14:paraId="5CFFFB4F"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2D3BFB95" w14:textId="77777777" w:rsidTr="00F8792E">
        <w:trPr>
          <w:jc w:val="center"/>
        </w:trPr>
        <w:tc>
          <w:tcPr>
            <w:tcW w:w="1266" w:type="dxa"/>
          </w:tcPr>
          <w:p w14:paraId="67307883"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Małopolski ODR</w:t>
            </w:r>
          </w:p>
        </w:tc>
        <w:tc>
          <w:tcPr>
            <w:tcW w:w="2126" w:type="dxa"/>
          </w:tcPr>
          <w:p w14:paraId="498C3479" w14:textId="398DC05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 "</w:t>
            </w:r>
            <w:r w:rsidR="00BB2C24" w:rsidRPr="003B3066">
              <w:rPr>
                <w:rFonts w:ascii="Times New Roman" w:eastAsia="Times New Roman" w:hAnsi="Times New Roman" w:cs="Times New Roman"/>
                <w:color w:val="000000"/>
                <w:sz w:val="20"/>
                <w:szCs w:val="20"/>
                <w:lang w:eastAsia="pl-PL"/>
              </w:rPr>
              <w:t>Dąbrowski</w:t>
            </w:r>
            <w:r w:rsidRPr="003B3066">
              <w:rPr>
                <w:rFonts w:ascii="Times New Roman" w:eastAsia="Times New Roman" w:hAnsi="Times New Roman" w:cs="Times New Roman"/>
                <w:color w:val="000000"/>
                <w:sz w:val="20"/>
                <w:szCs w:val="20"/>
                <w:lang w:eastAsia="pl-PL"/>
              </w:rPr>
              <w:t xml:space="preserve"> senior bliżej kultury" - konkurs na realizację zadań publicznych województwa małopolskiego w zakresie wspierania funkcjonowania społecznego oraz przeciwdziałania wykluczeniu osób starszych</w:t>
            </w:r>
          </w:p>
        </w:tc>
        <w:tc>
          <w:tcPr>
            <w:tcW w:w="4678" w:type="dxa"/>
          </w:tcPr>
          <w:p w14:paraId="22C5DB9A"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Pracownicy </w:t>
            </w:r>
            <w:r w:rsidR="003B3066" w:rsidRPr="003B3066">
              <w:rPr>
                <w:rFonts w:ascii="Times New Roman" w:eastAsia="Times New Roman" w:hAnsi="Times New Roman" w:cs="Times New Roman"/>
                <w:color w:val="000000"/>
                <w:sz w:val="20"/>
                <w:szCs w:val="20"/>
                <w:lang w:eastAsia="pl-PL"/>
              </w:rPr>
              <w:t>Ośrodka</w:t>
            </w:r>
            <w:r w:rsidRPr="003B3066">
              <w:rPr>
                <w:rFonts w:ascii="Times New Roman" w:eastAsia="Times New Roman" w:hAnsi="Times New Roman" w:cs="Times New Roman"/>
                <w:color w:val="000000"/>
                <w:sz w:val="20"/>
                <w:szCs w:val="20"/>
                <w:lang w:eastAsia="pl-PL"/>
              </w:rPr>
              <w:t xml:space="preserve"> udzielili pomocy w przygotowaniu wniosku</w:t>
            </w:r>
          </w:p>
        </w:tc>
        <w:tc>
          <w:tcPr>
            <w:tcW w:w="2977" w:type="dxa"/>
          </w:tcPr>
          <w:p w14:paraId="1B866E07"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135 seniorów zrzeszonych w UTW przy Dąbrowskim Domu Kultury</w:t>
            </w:r>
          </w:p>
        </w:tc>
        <w:tc>
          <w:tcPr>
            <w:tcW w:w="1843" w:type="dxa"/>
          </w:tcPr>
          <w:p w14:paraId="0F37B62C"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powiat dąbrowski</w:t>
            </w:r>
          </w:p>
        </w:tc>
        <w:tc>
          <w:tcPr>
            <w:tcW w:w="1701" w:type="dxa"/>
          </w:tcPr>
          <w:p w14:paraId="67546F3A"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71B77D4E" w14:textId="77777777" w:rsidTr="00F8792E">
        <w:trPr>
          <w:jc w:val="center"/>
        </w:trPr>
        <w:tc>
          <w:tcPr>
            <w:tcW w:w="1266" w:type="dxa"/>
          </w:tcPr>
          <w:p w14:paraId="712F521A"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Małopolski ODR</w:t>
            </w:r>
          </w:p>
        </w:tc>
        <w:tc>
          <w:tcPr>
            <w:tcW w:w="2126" w:type="dxa"/>
          </w:tcPr>
          <w:p w14:paraId="3F6D9A85"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"Dąbrowski senior aktywny w Małopolsce"  - konkurs na realizację zadań publicznych województwa małopolskiego w zakresie wspierania funkcjonowania społecznego oraz przeciwdziałania wykluczeniu osób starszych</w:t>
            </w:r>
            <w:r w:rsidR="003B3066">
              <w:rPr>
                <w:rFonts w:ascii="Times New Roman" w:eastAsia="Times New Roman" w:hAnsi="Times New Roman" w:cs="Times New Roman"/>
                <w:color w:val="000000"/>
                <w:sz w:val="20"/>
                <w:szCs w:val="20"/>
                <w:lang w:eastAsia="pl-PL"/>
              </w:rPr>
              <w:t xml:space="preserve"> </w:t>
            </w:r>
            <w:r w:rsidRPr="003B3066">
              <w:rPr>
                <w:rFonts w:ascii="Times New Roman" w:eastAsia="Times New Roman" w:hAnsi="Times New Roman" w:cs="Times New Roman"/>
                <w:color w:val="000000"/>
                <w:sz w:val="20"/>
                <w:szCs w:val="20"/>
                <w:lang w:eastAsia="pl-PL"/>
              </w:rPr>
              <w:t xml:space="preserve">Czas </w:t>
            </w:r>
            <w:r w:rsidRPr="003B3066">
              <w:rPr>
                <w:rFonts w:ascii="Times New Roman" w:eastAsia="Times New Roman" w:hAnsi="Times New Roman" w:cs="Times New Roman"/>
                <w:color w:val="000000"/>
                <w:sz w:val="20"/>
                <w:szCs w:val="20"/>
                <w:lang w:eastAsia="pl-PL"/>
              </w:rPr>
              <w:lastRenderedPageBreak/>
              <w:t>realizacji 01.06.2019 - 30.11.2020</w:t>
            </w:r>
          </w:p>
        </w:tc>
        <w:tc>
          <w:tcPr>
            <w:tcW w:w="4678" w:type="dxa"/>
          </w:tcPr>
          <w:p w14:paraId="6ACDA985"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lastRenderedPageBreak/>
              <w:t xml:space="preserve">Pracownicy </w:t>
            </w:r>
            <w:r w:rsidR="003B3066" w:rsidRPr="003B3066">
              <w:rPr>
                <w:rFonts w:ascii="Times New Roman" w:eastAsia="Times New Roman" w:hAnsi="Times New Roman" w:cs="Times New Roman"/>
                <w:color w:val="000000"/>
                <w:sz w:val="20"/>
                <w:szCs w:val="20"/>
                <w:lang w:eastAsia="pl-PL"/>
              </w:rPr>
              <w:t>Ośrodka</w:t>
            </w:r>
            <w:r w:rsidRPr="003B3066">
              <w:rPr>
                <w:rFonts w:ascii="Times New Roman" w:eastAsia="Times New Roman" w:hAnsi="Times New Roman" w:cs="Times New Roman"/>
                <w:color w:val="000000"/>
                <w:sz w:val="20"/>
                <w:szCs w:val="20"/>
                <w:lang w:eastAsia="pl-PL"/>
              </w:rPr>
              <w:t xml:space="preserve"> udzielili pomocy w przygotowaniu wniosku</w:t>
            </w:r>
          </w:p>
        </w:tc>
        <w:tc>
          <w:tcPr>
            <w:tcW w:w="2977" w:type="dxa"/>
          </w:tcPr>
          <w:p w14:paraId="6EED3EE9"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135 seniorów zrzeszonych w UTW przy Dąbrowskim Domu Kultury</w:t>
            </w:r>
          </w:p>
        </w:tc>
        <w:tc>
          <w:tcPr>
            <w:tcW w:w="1843" w:type="dxa"/>
          </w:tcPr>
          <w:p w14:paraId="1E936A8E"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powiat dąbrowski</w:t>
            </w:r>
          </w:p>
        </w:tc>
        <w:tc>
          <w:tcPr>
            <w:tcW w:w="1701" w:type="dxa"/>
          </w:tcPr>
          <w:p w14:paraId="186B9172"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10D45768" w14:textId="77777777" w:rsidTr="00F8792E">
        <w:trPr>
          <w:jc w:val="center"/>
        </w:trPr>
        <w:tc>
          <w:tcPr>
            <w:tcW w:w="1266" w:type="dxa"/>
          </w:tcPr>
          <w:p w14:paraId="274F10B3"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Mazowiecki ODR</w:t>
            </w:r>
          </w:p>
        </w:tc>
        <w:tc>
          <w:tcPr>
            <w:tcW w:w="2126" w:type="dxa"/>
          </w:tcPr>
          <w:p w14:paraId="1F406424"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szkolenie "Zasady zdrowego odżywiania w starszym wieku" </w:t>
            </w:r>
          </w:p>
        </w:tc>
        <w:tc>
          <w:tcPr>
            <w:tcW w:w="4678" w:type="dxa"/>
          </w:tcPr>
          <w:p w14:paraId="044E8D00"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przeprowadzono 2 szkolenia dot. żywienia osób w wieku starszym, przedstawiono Piramidę Żywienia i Aktywności Fizycznej dla osób w wieku starszym i zalecenia żywieniowe i  dot. stylu życia</w:t>
            </w:r>
          </w:p>
        </w:tc>
        <w:tc>
          <w:tcPr>
            <w:tcW w:w="2977" w:type="dxa"/>
          </w:tcPr>
          <w:p w14:paraId="5483FD42"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55</w:t>
            </w:r>
          </w:p>
        </w:tc>
        <w:tc>
          <w:tcPr>
            <w:tcW w:w="1843" w:type="dxa"/>
          </w:tcPr>
          <w:p w14:paraId="6697B905"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gmina Jabłonna Lacka, Kotuń</w:t>
            </w:r>
          </w:p>
        </w:tc>
        <w:tc>
          <w:tcPr>
            <w:tcW w:w="1701" w:type="dxa"/>
          </w:tcPr>
          <w:p w14:paraId="65A1F22B"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2B97D820" w14:textId="77777777" w:rsidTr="00F8792E">
        <w:trPr>
          <w:jc w:val="center"/>
        </w:trPr>
        <w:tc>
          <w:tcPr>
            <w:tcW w:w="1266" w:type="dxa"/>
          </w:tcPr>
          <w:p w14:paraId="3D29E6F4"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Mazowiecki ODR</w:t>
            </w:r>
          </w:p>
        </w:tc>
        <w:tc>
          <w:tcPr>
            <w:tcW w:w="2126" w:type="dxa"/>
          </w:tcPr>
          <w:p w14:paraId="0B8E04FF"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Profilaktyka prozdrowotna i racjonalne żywienie </w:t>
            </w:r>
          </w:p>
        </w:tc>
        <w:tc>
          <w:tcPr>
            <w:tcW w:w="4678" w:type="dxa"/>
          </w:tcPr>
          <w:p w14:paraId="626262C2"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Zorganizowano szkolenia oraz świadczono porady indywidualne m.in.  na temat  wykorzystania warzyw i owoców w żywieniu i dekoracji potraw, wpływu </w:t>
            </w:r>
            <w:r w:rsidR="003B3066" w:rsidRPr="003B3066">
              <w:rPr>
                <w:rFonts w:ascii="Times New Roman" w:eastAsia="Times New Roman" w:hAnsi="Times New Roman" w:cs="Times New Roman"/>
                <w:color w:val="000000"/>
                <w:sz w:val="20"/>
                <w:szCs w:val="20"/>
                <w:lang w:eastAsia="pl-PL"/>
              </w:rPr>
              <w:t>produktów</w:t>
            </w:r>
            <w:r w:rsidRPr="003B3066">
              <w:rPr>
                <w:rFonts w:ascii="Times New Roman" w:eastAsia="Times New Roman" w:hAnsi="Times New Roman" w:cs="Times New Roman"/>
                <w:color w:val="000000"/>
                <w:sz w:val="20"/>
                <w:szCs w:val="20"/>
                <w:lang w:eastAsia="pl-PL"/>
              </w:rPr>
              <w:t xml:space="preserve"> pszczelich na nasze zdrowie czy profilaktyce raka. </w:t>
            </w:r>
          </w:p>
        </w:tc>
        <w:tc>
          <w:tcPr>
            <w:tcW w:w="2977" w:type="dxa"/>
          </w:tcPr>
          <w:p w14:paraId="73738830"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szkolenia -   114 osób              informacji - 69 osób            porady - 147 osób               pokaz - 21 osób                                           </w:t>
            </w:r>
          </w:p>
        </w:tc>
        <w:tc>
          <w:tcPr>
            <w:tcW w:w="1843" w:type="dxa"/>
          </w:tcPr>
          <w:p w14:paraId="323C7FDE"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powiat ostrołęcki, makowski, przasnyski, wyszkowski, ostrowski</w:t>
            </w:r>
          </w:p>
        </w:tc>
        <w:tc>
          <w:tcPr>
            <w:tcW w:w="1701" w:type="dxa"/>
          </w:tcPr>
          <w:p w14:paraId="560226D0"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Odbiorcy to mieszkańcy terenów wiejskich, rolnicy. Duża część uczestników w grupie objętej działaniem to osoby starsze, w wieku przedemerytalnym lub emerytalnym.  </w:t>
            </w:r>
          </w:p>
        </w:tc>
      </w:tr>
      <w:tr w:rsidR="002C093F" w:rsidRPr="003B3066" w14:paraId="72FCDC02" w14:textId="77777777" w:rsidTr="00F8792E">
        <w:trPr>
          <w:jc w:val="center"/>
        </w:trPr>
        <w:tc>
          <w:tcPr>
            <w:tcW w:w="1266" w:type="dxa"/>
          </w:tcPr>
          <w:p w14:paraId="7B4AFFF0"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Pomorski ODR</w:t>
            </w:r>
          </w:p>
        </w:tc>
        <w:tc>
          <w:tcPr>
            <w:tcW w:w="2126" w:type="dxa"/>
          </w:tcPr>
          <w:p w14:paraId="0749A2DC"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Projekt operacji własnej do realizacji w ramach Planu Działania Krajowej Sieci Obszarów Wiejskich na lata 2014–2020 w zakresie SIR Plan Operacyjny na lata 2018–2019 </w:t>
            </w:r>
          </w:p>
        </w:tc>
        <w:tc>
          <w:tcPr>
            <w:tcW w:w="4678" w:type="dxa"/>
          </w:tcPr>
          <w:p w14:paraId="2EF99163" w14:textId="364691FF"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W ramach projektu pn. "Dobre praktyki w zakresie wdrażania innowacji w rolnictwie i na obszarach wiejskich na przykładzie inicjatyw podejmowanych przez rolników czeskich, austriackich i niemieckich" zorganizowano wyjazd studyjny do Czech, Austrii i Niemiec.   Celem wyjazdu było upowszechnienia szeroko pojętej przedsiębiorczości na obszarach wiejskich przy wykorzystaniu potencjału gospodarstwa i zasobów kulturowych wsi. Uczestnicy poznali  mocne i słabe strony przetwórstwa i sprzedaży żywności w ramach krótkich łańcuchów dostaw, potrzeby  turystów z punktu widzenia właścicieli oraz funkcjonowanie rolnictwa społecznego,  stanowiącego dodatkowe źródło dochodów dla rolników, tj. zagrody edukacyjnej i gospodarstwa opiekuńczego. Bezpośrednia konfrontacja uczestników z rolnikami zza miedzy pozwoliła na obiektywną ocenę własnych działań prowadzonych z dziećmi i młodzieżą w ramach zagrody edukacyjnej, a przede wszystkim przybliżyła działanie  gospodarstwa opiekuńczego, które jest w </w:t>
            </w:r>
            <w:r w:rsidRPr="003B3066">
              <w:rPr>
                <w:rFonts w:ascii="Times New Roman" w:eastAsia="Times New Roman" w:hAnsi="Times New Roman" w:cs="Times New Roman"/>
                <w:color w:val="000000"/>
                <w:sz w:val="20"/>
                <w:szCs w:val="20"/>
                <w:lang w:eastAsia="pl-PL"/>
              </w:rPr>
              <w:lastRenderedPageBreak/>
              <w:t xml:space="preserve">tych krajach kolejną formą różnicowania działalności gospodarczej, polegającej na łączeniu opieki nad osobami potrzebującymi w ramach gospodarstwa rolnego. Zgromadzone dobre przykłady mogą być inspiracją do tworzenia gospodarstw </w:t>
            </w:r>
            <w:r w:rsidR="00BB2C24" w:rsidRPr="003B3066">
              <w:rPr>
                <w:rFonts w:ascii="Times New Roman" w:eastAsia="Times New Roman" w:hAnsi="Times New Roman" w:cs="Times New Roman"/>
                <w:color w:val="000000"/>
                <w:sz w:val="20"/>
                <w:szCs w:val="20"/>
                <w:lang w:eastAsia="pl-PL"/>
              </w:rPr>
              <w:t>opiekuńczych</w:t>
            </w:r>
            <w:r w:rsidRPr="003B3066">
              <w:rPr>
                <w:rFonts w:ascii="Times New Roman" w:eastAsia="Times New Roman" w:hAnsi="Times New Roman" w:cs="Times New Roman"/>
                <w:color w:val="000000"/>
                <w:sz w:val="20"/>
                <w:szCs w:val="20"/>
                <w:lang w:eastAsia="pl-PL"/>
              </w:rPr>
              <w:t>, które będą wykorzystywać zasoby swoich gospodarstw do działalności o charakterze społecznym.</w:t>
            </w:r>
          </w:p>
        </w:tc>
        <w:tc>
          <w:tcPr>
            <w:tcW w:w="2977" w:type="dxa"/>
          </w:tcPr>
          <w:p w14:paraId="374B5709"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lastRenderedPageBreak/>
              <w:t xml:space="preserve">45 osób, w tym:                             • 25 rolników  </w:t>
            </w:r>
            <w:r w:rsidRPr="003B3066">
              <w:rPr>
                <w:rFonts w:ascii="Times New Roman" w:eastAsia="Times New Roman" w:hAnsi="Times New Roman" w:cs="Times New Roman"/>
                <w:color w:val="000000"/>
                <w:sz w:val="20"/>
                <w:szCs w:val="20"/>
                <w:lang w:eastAsia="pl-PL"/>
              </w:rPr>
              <w:br/>
              <w:t xml:space="preserve">• 3 przedsiębiorców </w:t>
            </w:r>
            <w:r w:rsidRPr="003B3066">
              <w:rPr>
                <w:rFonts w:ascii="Times New Roman" w:eastAsia="Times New Roman" w:hAnsi="Times New Roman" w:cs="Times New Roman"/>
                <w:color w:val="000000"/>
                <w:sz w:val="20"/>
                <w:szCs w:val="20"/>
                <w:lang w:eastAsia="pl-PL"/>
              </w:rPr>
              <w:br/>
              <w:t>• 12 doradców PODR</w:t>
            </w:r>
            <w:r w:rsidRPr="003B3066">
              <w:rPr>
                <w:rFonts w:ascii="Times New Roman" w:eastAsia="Times New Roman" w:hAnsi="Times New Roman" w:cs="Times New Roman"/>
                <w:color w:val="000000"/>
                <w:sz w:val="20"/>
                <w:szCs w:val="20"/>
                <w:lang w:eastAsia="pl-PL"/>
              </w:rPr>
              <w:br/>
              <w:t>• 2 przedstawicieli firm wspierających rozwój obszarów wiejskich</w:t>
            </w:r>
            <w:r w:rsidRPr="003B3066">
              <w:rPr>
                <w:rFonts w:ascii="Times New Roman" w:eastAsia="Times New Roman" w:hAnsi="Times New Roman" w:cs="Times New Roman"/>
                <w:color w:val="000000"/>
                <w:sz w:val="20"/>
                <w:szCs w:val="20"/>
                <w:lang w:eastAsia="pl-PL"/>
              </w:rPr>
              <w:br/>
              <w:t>• 2 przedstawicieli pomorskich uczelni wyższych</w:t>
            </w:r>
            <w:r w:rsidRPr="003B3066">
              <w:rPr>
                <w:rFonts w:ascii="Times New Roman" w:eastAsia="Times New Roman" w:hAnsi="Times New Roman" w:cs="Times New Roman"/>
                <w:color w:val="000000"/>
                <w:sz w:val="20"/>
                <w:szCs w:val="20"/>
                <w:lang w:eastAsia="pl-PL"/>
              </w:rPr>
              <w:br/>
              <w:t xml:space="preserve">• 1 przedstawiciel SIR </w:t>
            </w:r>
          </w:p>
        </w:tc>
        <w:tc>
          <w:tcPr>
            <w:tcW w:w="1843" w:type="dxa"/>
          </w:tcPr>
          <w:p w14:paraId="6056C677"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wojewódzki </w:t>
            </w:r>
          </w:p>
        </w:tc>
        <w:tc>
          <w:tcPr>
            <w:tcW w:w="1701" w:type="dxa"/>
          </w:tcPr>
          <w:p w14:paraId="7C08A708"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08343134" w14:textId="77777777" w:rsidTr="00F8792E">
        <w:trPr>
          <w:jc w:val="center"/>
        </w:trPr>
        <w:tc>
          <w:tcPr>
            <w:tcW w:w="1266" w:type="dxa"/>
          </w:tcPr>
          <w:p w14:paraId="69912D8A"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Śląski ODR</w:t>
            </w:r>
          </w:p>
        </w:tc>
        <w:tc>
          <w:tcPr>
            <w:tcW w:w="2126" w:type="dxa"/>
          </w:tcPr>
          <w:p w14:paraId="018CE7DF"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Forum Aktywności Senioralnej Polskiej Wsi zorganizowane w ramach Kampanii Społecznej Polska Przyjazna Osobom Starszym </w:t>
            </w:r>
          </w:p>
        </w:tc>
        <w:tc>
          <w:tcPr>
            <w:tcW w:w="4678" w:type="dxa"/>
          </w:tcPr>
          <w:p w14:paraId="15A7F63C"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Stoisko informacyjno - promocyjne</w:t>
            </w:r>
          </w:p>
        </w:tc>
        <w:tc>
          <w:tcPr>
            <w:tcW w:w="2977" w:type="dxa"/>
          </w:tcPr>
          <w:p w14:paraId="679E1351"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200 osób</w:t>
            </w:r>
          </w:p>
        </w:tc>
        <w:tc>
          <w:tcPr>
            <w:tcW w:w="1843" w:type="dxa"/>
          </w:tcPr>
          <w:p w14:paraId="3658069F"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c>
          <w:tcPr>
            <w:tcW w:w="1701" w:type="dxa"/>
          </w:tcPr>
          <w:p w14:paraId="6A02CB0A" w14:textId="2D84B68D"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KGW, seniorzy </w:t>
            </w:r>
            <w:r w:rsidR="00BB2C24" w:rsidRPr="003B3066">
              <w:rPr>
                <w:rFonts w:ascii="Times New Roman" w:eastAsia="Times New Roman" w:hAnsi="Times New Roman" w:cs="Times New Roman"/>
                <w:color w:val="000000"/>
                <w:sz w:val="20"/>
                <w:szCs w:val="20"/>
                <w:lang w:eastAsia="pl-PL"/>
              </w:rPr>
              <w:t>województwa</w:t>
            </w:r>
            <w:r w:rsidRPr="003B3066">
              <w:rPr>
                <w:rFonts w:ascii="Times New Roman" w:eastAsia="Times New Roman" w:hAnsi="Times New Roman" w:cs="Times New Roman"/>
                <w:color w:val="000000"/>
                <w:sz w:val="20"/>
                <w:szCs w:val="20"/>
                <w:lang w:eastAsia="pl-PL"/>
              </w:rPr>
              <w:t xml:space="preserve"> śląskiego , politycy</w:t>
            </w:r>
          </w:p>
        </w:tc>
      </w:tr>
      <w:tr w:rsidR="002C093F" w:rsidRPr="003B3066" w14:paraId="37EC4B43" w14:textId="77777777" w:rsidTr="00F8792E">
        <w:trPr>
          <w:jc w:val="center"/>
        </w:trPr>
        <w:tc>
          <w:tcPr>
            <w:tcW w:w="1266" w:type="dxa"/>
          </w:tcPr>
          <w:p w14:paraId="555040F3" w14:textId="47559FDB" w:rsidR="00B4578C" w:rsidRPr="003B3066" w:rsidRDefault="00BB2C24"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Śląski</w:t>
            </w:r>
            <w:r w:rsidR="00B4578C" w:rsidRPr="003B3066">
              <w:rPr>
                <w:rFonts w:ascii="Times New Roman" w:eastAsia="Times New Roman" w:hAnsi="Times New Roman" w:cs="Times New Roman"/>
                <w:b/>
                <w:bCs/>
                <w:color w:val="000000"/>
                <w:sz w:val="20"/>
                <w:szCs w:val="20"/>
                <w:lang w:eastAsia="pl-PL"/>
              </w:rPr>
              <w:t xml:space="preserve"> ODR</w:t>
            </w:r>
          </w:p>
        </w:tc>
        <w:tc>
          <w:tcPr>
            <w:tcW w:w="2126" w:type="dxa"/>
          </w:tcPr>
          <w:p w14:paraId="02D898CD" w14:textId="1D1F8FB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Aktywni na wsi - rola mieszkańców w rozwoju wsi (spotkanie podsumowujące cykl artykułów promujących inicjatywy mieszkańców województwa śląskiego</w:t>
            </w:r>
            <w:r w:rsidR="00BB2C24">
              <w:rPr>
                <w:rFonts w:ascii="Times New Roman" w:eastAsia="Times New Roman" w:hAnsi="Times New Roman" w:cs="Times New Roman"/>
                <w:color w:val="000000"/>
                <w:sz w:val="20"/>
                <w:szCs w:val="20"/>
                <w:lang w:eastAsia="pl-PL"/>
              </w:rPr>
              <w:t xml:space="preserve"> </w:t>
            </w:r>
            <w:r w:rsidRPr="003B3066">
              <w:rPr>
                <w:rFonts w:ascii="Times New Roman" w:eastAsia="Times New Roman" w:hAnsi="Times New Roman" w:cs="Times New Roman"/>
                <w:color w:val="000000"/>
                <w:sz w:val="20"/>
                <w:szCs w:val="20"/>
                <w:lang w:eastAsia="pl-PL"/>
              </w:rPr>
              <w:t>podejmowane w środowisku wiejskim)</w:t>
            </w:r>
          </w:p>
        </w:tc>
        <w:tc>
          <w:tcPr>
            <w:tcW w:w="4678" w:type="dxa"/>
          </w:tcPr>
          <w:p w14:paraId="4A6AA0E0"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Konferencja</w:t>
            </w:r>
          </w:p>
        </w:tc>
        <w:tc>
          <w:tcPr>
            <w:tcW w:w="2977" w:type="dxa"/>
          </w:tcPr>
          <w:p w14:paraId="77AA9840" w14:textId="77777777" w:rsidR="00B4578C" w:rsidRPr="003B3066" w:rsidRDefault="00B4578C" w:rsidP="00E704D2">
            <w:pPr>
              <w:spacing w:after="0" w:line="240" w:lineRule="auto"/>
              <w:rPr>
                <w:rFonts w:ascii="Times New Roman" w:eastAsia="Times New Roman" w:hAnsi="Times New Roman" w:cs="Times New Roman"/>
                <w:sz w:val="20"/>
                <w:szCs w:val="20"/>
                <w:lang w:eastAsia="pl-PL"/>
              </w:rPr>
            </w:pPr>
            <w:r w:rsidRPr="003B3066">
              <w:rPr>
                <w:rFonts w:ascii="Times New Roman" w:eastAsia="Times New Roman" w:hAnsi="Times New Roman" w:cs="Times New Roman"/>
                <w:sz w:val="20"/>
                <w:szCs w:val="20"/>
                <w:lang w:eastAsia="pl-PL"/>
              </w:rPr>
              <w:t xml:space="preserve">70 osób  </w:t>
            </w:r>
          </w:p>
        </w:tc>
        <w:tc>
          <w:tcPr>
            <w:tcW w:w="1843" w:type="dxa"/>
          </w:tcPr>
          <w:p w14:paraId="669FCF27"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woj. śląskie</w:t>
            </w:r>
          </w:p>
        </w:tc>
        <w:tc>
          <w:tcPr>
            <w:tcW w:w="1701" w:type="dxa"/>
          </w:tcPr>
          <w:p w14:paraId="1BDAE768"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Politycy, przedstawiciele gmin, doradcy rolniczy, osoby zamieszkujące obszary wiejskie w tym osoby starsze</w:t>
            </w:r>
          </w:p>
        </w:tc>
      </w:tr>
      <w:tr w:rsidR="002C093F" w:rsidRPr="003B3066" w14:paraId="0B3D3437" w14:textId="77777777" w:rsidTr="00F8792E">
        <w:trPr>
          <w:jc w:val="center"/>
        </w:trPr>
        <w:tc>
          <w:tcPr>
            <w:tcW w:w="1266" w:type="dxa"/>
          </w:tcPr>
          <w:p w14:paraId="7F1011F1" w14:textId="149DC2F8" w:rsidR="00B4578C" w:rsidRPr="003B3066" w:rsidRDefault="00BB2C24"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Świętokrzyski</w:t>
            </w:r>
            <w:r w:rsidR="00B4578C" w:rsidRPr="003B3066">
              <w:rPr>
                <w:rFonts w:ascii="Times New Roman" w:eastAsia="Times New Roman" w:hAnsi="Times New Roman" w:cs="Times New Roman"/>
                <w:b/>
                <w:bCs/>
                <w:color w:val="000000"/>
                <w:sz w:val="20"/>
                <w:szCs w:val="20"/>
                <w:lang w:eastAsia="pl-PL"/>
              </w:rPr>
              <w:t xml:space="preserve"> ODR</w:t>
            </w:r>
          </w:p>
        </w:tc>
        <w:tc>
          <w:tcPr>
            <w:tcW w:w="2126" w:type="dxa"/>
          </w:tcPr>
          <w:p w14:paraId="268D4B21"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Konferencja "Usługi społeczne – nowe perspektywy rozwoju dla gospodarstw rolnych"</w:t>
            </w:r>
          </w:p>
        </w:tc>
        <w:tc>
          <w:tcPr>
            <w:tcW w:w="4678" w:type="dxa"/>
          </w:tcPr>
          <w:p w14:paraId="1587FF24"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Tematyka konferencji dotyczyła zarówno przepisów ogólnych na temat prowadzenia tej formy przedsiębiorczości, ale przede wszystkim skupiała się praktycznych przykładach ofert dla seniorów.</w:t>
            </w:r>
          </w:p>
        </w:tc>
        <w:tc>
          <w:tcPr>
            <w:tcW w:w="2977" w:type="dxa"/>
          </w:tcPr>
          <w:p w14:paraId="1D53CCDD"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49 osób</w:t>
            </w:r>
          </w:p>
        </w:tc>
        <w:tc>
          <w:tcPr>
            <w:tcW w:w="1843" w:type="dxa"/>
          </w:tcPr>
          <w:p w14:paraId="32E70A62"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województwo świętokrzyskie</w:t>
            </w:r>
          </w:p>
        </w:tc>
        <w:tc>
          <w:tcPr>
            <w:tcW w:w="1701" w:type="dxa"/>
          </w:tcPr>
          <w:p w14:paraId="6486321B"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1CA85280" w14:textId="77777777" w:rsidTr="00F8792E">
        <w:trPr>
          <w:jc w:val="center"/>
        </w:trPr>
        <w:tc>
          <w:tcPr>
            <w:tcW w:w="1266" w:type="dxa"/>
          </w:tcPr>
          <w:p w14:paraId="4608E5DE"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Warmińsko-mazurski ODR</w:t>
            </w:r>
          </w:p>
        </w:tc>
        <w:tc>
          <w:tcPr>
            <w:tcW w:w="2126" w:type="dxa"/>
          </w:tcPr>
          <w:p w14:paraId="5E673EDA"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Seminarium pn. "Aktywizacja mieszkańców obszarów wiejskich poprzez rozwój podmiotów ekonomii społecznej" </w:t>
            </w:r>
          </w:p>
        </w:tc>
        <w:tc>
          <w:tcPr>
            <w:tcW w:w="4678" w:type="dxa"/>
          </w:tcPr>
          <w:p w14:paraId="39E31CCB"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Celem seminarium było przekazanie i upowszechnianie  wiedzy na temat funkcjonowania podmiotów ekonomii społecznej, służącej integracji grup defaworyzowanych społecznie. Działalność podmiotów ekonomii społecznej przyczynia się do aktywizacji mieszkańców obszarów wiejskich, poprawy warunków ich życia i ograniczenia ubóstwa, a także rozwoju gospodarczego obszarów wiejskich  i tworzenia nowych miejsc pracy. </w:t>
            </w:r>
          </w:p>
        </w:tc>
        <w:tc>
          <w:tcPr>
            <w:tcW w:w="2977" w:type="dxa"/>
          </w:tcPr>
          <w:p w14:paraId="58D46B4A"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43 osoby</w:t>
            </w:r>
          </w:p>
        </w:tc>
        <w:tc>
          <w:tcPr>
            <w:tcW w:w="1843" w:type="dxa"/>
          </w:tcPr>
          <w:p w14:paraId="6824E406"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subregion ełcki</w:t>
            </w:r>
          </w:p>
        </w:tc>
        <w:tc>
          <w:tcPr>
            <w:tcW w:w="1701" w:type="dxa"/>
          </w:tcPr>
          <w:p w14:paraId="6A4CBAD4"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Uczestnicy: mieszkańcy obszarów wiejskich, osoby wykluczone społecznie, doradcy, organizacje pozarządowe.  </w:t>
            </w:r>
          </w:p>
        </w:tc>
      </w:tr>
      <w:tr w:rsidR="002C093F" w:rsidRPr="003B3066" w14:paraId="7C1195E7" w14:textId="77777777" w:rsidTr="00F8792E">
        <w:trPr>
          <w:jc w:val="center"/>
        </w:trPr>
        <w:tc>
          <w:tcPr>
            <w:tcW w:w="1266" w:type="dxa"/>
          </w:tcPr>
          <w:p w14:paraId="0071B92B"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lastRenderedPageBreak/>
              <w:t>Wielkopolski ODR</w:t>
            </w:r>
          </w:p>
        </w:tc>
        <w:tc>
          <w:tcPr>
            <w:tcW w:w="2126" w:type="dxa"/>
          </w:tcPr>
          <w:p w14:paraId="25D950BC"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Konferencja pt. "Rola społeczności wiejskiej w kształtowaniu rozwoju lokalnego" </w:t>
            </w:r>
          </w:p>
        </w:tc>
        <w:tc>
          <w:tcPr>
            <w:tcW w:w="4678" w:type="dxa"/>
          </w:tcPr>
          <w:p w14:paraId="1CFAF2EC" w14:textId="73A6A408"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Podczas konferencji omawiano możliwości zajęcia się  </w:t>
            </w:r>
            <w:r w:rsidR="00BB2C24" w:rsidRPr="003B3066">
              <w:rPr>
                <w:rFonts w:ascii="Times New Roman" w:eastAsia="Times New Roman" w:hAnsi="Times New Roman" w:cs="Times New Roman"/>
                <w:color w:val="000000"/>
                <w:sz w:val="20"/>
                <w:szCs w:val="20"/>
                <w:lang w:eastAsia="pl-PL"/>
              </w:rPr>
              <w:t>działaniami</w:t>
            </w:r>
            <w:r w:rsidRPr="003B3066">
              <w:rPr>
                <w:rFonts w:ascii="Times New Roman" w:eastAsia="Times New Roman" w:hAnsi="Times New Roman" w:cs="Times New Roman"/>
                <w:color w:val="000000"/>
                <w:sz w:val="20"/>
                <w:szCs w:val="20"/>
                <w:lang w:eastAsia="pl-PL"/>
              </w:rPr>
              <w:t xml:space="preserve"> na rzecz osób starszych. </w:t>
            </w:r>
          </w:p>
        </w:tc>
        <w:tc>
          <w:tcPr>
            <w:tcW w:w="2977" w:type="dxa"/>
          </w:tcPr>
          <w:p w14:paraId="624616AB"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38 osób biorących udział w konferencji</w:t>
            </w:r>
          </w:p>
        </w:tc>
        <w:tc>
          <w:tcPr>
            <w:tcW w:w="1843" w:type="dxa"/>
          </w:tcPr>
          <w:p w14:paraId="35E098E4"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powiat pleszewski</w:t>
            </w:r>
          </w:p>
        </w:tc>
        <w:tc>
          <w:tcPr>
            <w:tcW w:w="1701" w:type="dxa"/>
          </w:tcPr>
          <w:p w14:paraId="0456413E"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16D97B73" w14:textId="77777777" w:rsidTr="00F8792E">
        <w:trPr>
          <w:jc w:val="center"/>
        </w:trPr>
        <w:tc>
          <w:tcPr>
            <w:tcW w:w="1266" w:type="dxa"/>
          </w:tcPr>
          <w:p w14:paraId="49B0A977"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Łódzki ODR</w:t>
            </w:r>
          </w:p>
        </w:tc>
        <w:tc>
          <w:tcPr>
            <w:tcW w:w="2126" w:type="dxa"/>
          </w:tcPr>
          <w:p w14:paraId="19621F76"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Udział w konferencji "Aktywna starość na obszarach wiejskich. Między diagnozą a działaniem" 13-14.11.2019 -  Ołtarzew.</w:t>
            </w:r>
          </w:p>
        </w:tc>
        <w:tc>
          <w:tcPr>
            <w:tcW w:w="4678" w:type="dxa"/>
          </w:tcPr>
          <w:p w14:paraId="645DB48D" w14:textId="7CA40BAD"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W konferencji wziął udział specjalista Łódzkiego Ośrodka Doradztwa Rolniczego z siedzibą w Bratoszewicach, zajmujący się tematyką związaną z gospodarstwami opiekuńczymi. Konferencja dotyczyła szeroko rozumianej aktywizacji osób starszych zwłaszcza w środowisku wiejskim, oraz wymiany </w:t>
            </w:r>
            <w:r w:rsidR="00BB2C24" w:rsidRPr="003B3066">
              <w:rPr>
                <w:rFonts w:ascii="Times New Roman" w:eastAsia="Times New Roman" w:hAnsi="Times New Roman" w:cs="Times New Roman"/>
                <w:color w:val="000000"/>
                <w:sz w:val="20"/>
                <w:szCs w:val="20"/>
                <w:lang w:eastAsia="pl-PL"/>
              </w:rPr>
              <w:t>przykładów</w:t>
            </w:r>
            <w:r w:rsidRPr="003B3066">
              <w:rPr>
                <w:rFonts w:ascii="Times New Roman" w:eastAsia="Times New Roman" w:hAnsi="Times New Roman" w:cs="Times New Roman"/>
                <w:color w:val="000000"/>
                <w:sz w:val="20"/>
                <w:szCs w:val="20"/>
                <w:lang w:eastAsia="pl-PL"/>
              </w:rPr>
              <w:t xml:space="preserve"> dobrych praktyk w zakresie działań na rzecz osób starszych na szczebli krajowym i lokalnym.</w:t>
            </w:r>
          </w:p>
        </w:tc>
        <w:tc>
          <w:tcPr>
            <w:tcW w:w="2977" w:type="dxa"/>
          </w:tcPr>
          <w:p w14:paraId="79E47862"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Informacje oraz materiały poszkoleniowe zostały przekazane specjalistom Łódzkiego Ośrodka Doradztwa Rolniczego z siedzibą w Bratoszewicach - do Działów oraz do  każdego z 18nastu PZDR. Łącznie informacją objęte zostały  193 osoby.</w:t>
            </w:r>
          </w:p>
        </w:tc>
        <w:tc>
          <w:tcPr>
            <w:tcW w:w="1843" w:type="dxa"/>
          </w:tcPr>
          <w:p w14:paraId="4CEB4EC6"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województwo łódzkie </w:t>
            </w:r>
          </w:p>
        </w:tc>
        <w:tc>
          <w:tcPr>
            <w:tcW w:w="1701" w:type="dxa"/>
          </w:tcPr>
          <w:p w14:paraId="7A39CF7A"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r w:rsidR="002C093F" w:rsidRPr="003B3066" w14:paraId="3AFF7CEF" w14:textId="77777777" w:rsidTr="00F8792E">
        <w:trPr>
          <w:jc w:val="center"/>
        </w:trPr>
        <w:tc>
          <w:tcPr>
            <w:tcW w:w="1266" w:type="dxa"/>
          </w:tcPr>
          <w:p w14:paraId="3061B5A2" w14:textId="77777777" w:rsidR="00B4578C" w:rsidRPr="003B3066" w:rsidRDefault="00B4578C" w:rsidP="00E704D2">
            <w:pPr>
              <w:spacing w:after="0" w:line="240" w:lineRule="auto"/>
              <w:rPr>
                <w:rFonts w:ascii="Times New Roman" w:eastAsia="Times New Roman" w:hAnsi="Times New Roman" w:cs="Times New Roman"/>
                <w:b/>
                <w:bCs/>
                <w:color w:val="000000"/>
                <w:sz w:val="20"/>
                <w:szCs w:val="20"/>
                <w:lang w:eastAsia="pl-PL"/>
              </w:rPr>
            </w:pPr>
            <w:r w:rsidRPr="003B3066">
              <w:rPr>
                <w:rFonts w:ascii="Times New Roman" w:eastAsia="Times New Roman" w:hAnsi="Times New Roman" w:cs="Times New Roman"/>
                <w:b/>
                <w:bCs/>
                <w:color w:val="000000"/>
                <w:sz w:val="20"/>
                <w:szCs w:val="20"/>
                <w:lang w:eastAsia="pl-PL"/>
              </w:rPr>
              <w:t> </w:t>
            </w:r>
          </w:p>
        </w:tc>
        <w:tc>
          <w:tcPr>
            <w:tcW w:w="2126" w:type="dxa"/>
          </w:tcPr>
          <w:p w14:paraId="2F81CCF0"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Konferencja "„Gospodarstwa opiekuńcze sposobem na aktywną starość na obszarach wiejskich”. </w:t>
            </w:r>
          </w:p>
        </w:tc>
        <w:tc>
          <w:tcPr>
            <w:tcW w:w="4678" w:type="dxa"/>
          </w:tcPr>
          <w:p w14:paraId="219FD8CC"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Konferencja zaplanowana do realizacji przez ŁODR z siedzibą w Bratoszewicach jesienią roku 2020 - tematyka konferencji związana będzie z szeroko pojętymi działania społeczne i opiekuńczymi na rzecz osób starszych, zagrożonych niesamodzielnością, jakie mogą być podejmowane na obszarach wiejskich. </w:t>
            </w:r>
          </w:p>
        </w:tc>
        <w:tc>
          <w:tcPr>
            <w:tcW w:w="2977" w:type="dxa"/>
          </w:tcPr>
          <w:p w14:paraId="0C4CDA23"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50 osób </w:t>
            </w:r>
          </w:p>
        </w:tc>
        <w:tc>
          <w:tcPr>
            <w:tcW w:w="1843" w:type="dxa"/>
          </w:tcPr>
          <w:p w14:paraId="7B5923E3"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xml:space="preserve">województwo łódzkie </w:t>
            </w:r>
          </w:p>
        </w:tc>
        <w:tc>
          <w:tcPr>
            <w:tcW w:w="1701" w:type="dxa"/>
          </w:tcPr>
          <w:p w14:paraId="25C2BDFE" w14:textId="77777777" w:rsidR="00B4578C" w:rsidRPr="003B3066" w:rsidRDefault="00B4578C" w:rsidP="00E704D2">
            <w:pPr>
              <w:spacing w:after="0" w:line="240" w:lineRule="auto"/>
              <w:rPr>
                <w:rFonts w:ascii="Times New Roman" w:eastAsia="Times New Roman" w:hAnsi="Times New Roman" w:cs="Times New Roman"/>
                <w:color w:val="000000"/>
                <w:sz w:val="20"/>
                <w:szCs w:val="20"/>
                <w:lang w:eastAsia="pl-PL"/>
              </w:rPr>
            </w:pPr>
            <w:r w:rsidRPr="003B3066">
              <w:rPr>
                <w:rFonts w:ascii="Times New Roman" w:eastAsia="Times New Roman" w:hAnsi="Times New Roman" w:cs="Times New Roman"/>
                <w:color w:val="000000"/>
                <w:sz w:val="20"/>
                <w:szCs w:val="20"/>
                <w:lang w:eastAsia="pl-PL"/>
              </w:rPr>
              <w:t> </w:t>
            </w:r>
          </w:p>
        </w:tc>
      </w:tr>
    </w:tbl>
    <w:p w14:paraId="7668B77C" w14:textId="77777777" w:rsidR="00E54BAB" w:rsidRPr="00F8792E" w:rsidRDefault="00232245" w:rsidP="00F8792E">
      <w:pPr>
        <w:spacing w:after="0"/>
        <w:jc w:val="both"/>
        <w:rPr>
          <w:rFonts w:ascii="Times New Roman" w:hAnsi="Times New Roman" w:cs="Times New Roman"/>
          <w:b/>
          <w:sz w:val="20"/>
          <w:szCs w:val="24"/>
        </w:rPr>
      </w:pPr>
      <w:r w:rsidRPr="00F8792E">
        <w:rPr>
          <w:rFonts w:ascii="Times New Roman" w:hAnsi="Times New Roman" w:cs="Times New Roman"/>
          <w:b/>
          <w:sz w:val="20"/>
          <w:szCs w:val="24"/>
        </w:rPr>
        <w:t>Źródło: dane z Ministerstwa Rolnictwa i Rozwoju Wsi</w:t>
      </w:r>
    </w:p>
    <w:p w14:paraId="2A540802" w14:textId="77777777" w:rsidR="00E54BAB" w:rsidRPr="00106C7A" w:rsidRDefault="00E54BAB" w:rsidP="00E54BAB">
      <w:pPr>
        <w:pStyle w:val="Akapitzlist"/>
        <w:spacing w:after="0"/>
        <w:ind w:left="360"/>
        <w:jc w:val="both"/>
        <w:rPr>
          <w:sz w:val="24"/>
          <w:szCs w:val="24"/>
        </w:rPr>
      </w:pPr>
    </w:p>
    <w:p w14:paraId="74C40738" w14:textId="77777777" w:rsidR="00106C7A" w:rsidRPr="0057376E" w:rsidRDefault="00106C7A" w:rsidP="00106C7A">
      <w:pPr>
        <w:spacing w:after="0"/>
        <w:jc w:val="both"/>
        <w:rPr>
          <w:sz w:val="24"/>
          <w:szCs w:val="24"/>
        </w:rPr>
      </w:pPr>
    </w:p>
    <w:p w14:paraId="1F55EF06" w14:textId="77777777" w:rsidR="002C093F" w:rsidRDefault="002C093F" w:rsidP="0057376E">
      <w:pPr>
        <w:spacing w:after="0"/>
        <w:jc w:val="both"/>
        <w:rPr>
          <w:rFonts w:ascii="Times New Roman" w:hAnsi="Times New Roman" w:cs="Times New Roman"/>
          <w:b/>
          <w:bCs/>
          <w:color w:val="00B0F0"/>
          <w:sz w:val="24"/>
          <w:szCs w:val="24"/>
        </w:rPr>
        <w:sectPr w:rsidR="002C093F" w:rsidSect="002C093F">
          <w:pgSz w:w="16840" w:h="11906" w:orient="landscape"/>
          <w:pgMar w:top="1418" w:right="1418" w:bottom="1418" w:left="2127" w:header="708" w:footer="708" w:gutter="0"/>
          <w:cols w:space="708"/>
          <w:docGrid w:linePitch="360"/>
        </w:sectPr>
      </w:pPr>
    </w:p>
    <w:p w14:paraId="3EBF8070" w14:textId="77777777" w:rsidR="00423164" w:rsidRPr="00106C7A" w:rsidRDefault="00423164" w:rsidP="0057376E">
      <w:pPr>
        <w:spacing w:after="0"/>
        <w:jc w:val="both"/>
        <w:rPr>
          <w:color w:val="00B0F0"/>
          <w:sz w:val="24"/>
          <w:szCs w:val="24"/>
        </w:rPr>
      </w:pPr>
      <w:r w:rsidRPr="00106C7A">
        <w:rPr>
          <w:rFonts w:ascii="Times New Roman" w:hAnsi="Times New Roman" w:cs="Times New Roman"/>
          <w:b/>
          <w:bCs/>
          <w:color w:val="00B0F0"/>
          <w:sz w:val="24"/>
          <w:szCs w:val="24"/>
        </w:rPr>
        <w:lastRenderedPageBreak/>
        <w:t>Działania zrealizowane przez Narodowy Instytut Kultury i Dziedzictwa Wsi</w:t>
      </w:r>
    </w:p>
    <w:p w14:paraId="53AF188F" w14:textId="77777777" w:rsidR="00106C7A" w:rsidRDefault="00106C7A" w:rsidP="00106C7A">
      <w:pPr>
        <w:spacing w:after="0"/>
        <w:jc w:val="both"/>
        <w:rPr>
          <w:rFonts w:ascii="Times New Roman" w:hAnsi="Times New Roman" w:cs="Times New Roman"/>
          <w:sz w:val="24"/>
          <w:szCs w:val="24"/>
        </w:rPr>
      </w:pPr>
    </w:p>
    <w:p w14:paraId="7F4E17E9" w14:textId="77777777" w:rsidR="00423164" w:rsidRPr="0057376E" w:rsidRDefault="00423164" w:rsidP="00106C7A">
      <w:pPr>
        <w:spacing w:after="0"/>
        <w:jc w:val="both"/>
        <w:rPr>
          <w:sz w:val="24"/>
          <w:szCs w:val="24"/>
        </w:rPr>
      </w:pPr>
      <w:r w:rsidRPr="0057376E">
        <w:rPr>
          <w:rFonts w:ascii="Times New Roman" w:hAnsi="Times New Roman" w:cs="Times New Roman"/>
          <w:sz w:val="24"/>
          <w:szCs w:val="24"/>
        </w:rPr>
        <w:t xml:space="preserve">Na uwagę zasługują także liczne seminaria, warsztaty oraz zajęcia ruchowe realizowane przez </w:t>
      </w:r>
      <w:bookmarkStart w:id="70" w:name="_Hlk36632889"/>
      <w:r w:rsidRPr="0057376E">
        <w:rPr>
          <w:rFonts w:ascii="Times New Roman" w:hAnsi="Times New Roman" w:cs="Times New Roman"/>
          <w:sz w:val="24"/>
          <w:szCs w:val="24"/>
        </w:rPr>
        <w:t xml:space="preserve">Narodowy Instytut Kultury i Dziedzictwa Wsi </w:t>
      </w:r>
      <w:bookmarkEnd w:id="70"/>
      <w:r w:rsidRPr="0057376E">
        <w:rPr>
          <w:rFonts w:ascii="Times New Roman" w:hAnsi="Times New Roman" w:cs="Times New Roman"/>
          <w:sz w:val="24"/>
          <w:szCs w:val="24"/>
        </w:rPr>
        <w:t xml:space="preserve">w ramach Staromiejskiego Uniwersytetu Trzeciego Wieku. Tematyka zajęć była bardzo różnorodna i dostosowana do potrzeb seniorów. Zrealizowano m.in. następujące działania: </w:t>
      </w:r>
    </w:p>
    <w:p w14:paraId="71F85069" w14:textId="77777777" w:rsidR="00106C7A" w:rsidRPr="00106C7A" w:rsidRDefault="00423164" w:rsidP="008C71A9">
      <w:pPr>
        <w:pStyle w:val="Akapitzlist"/>
        <w:numPr>
          <w:ilvl w:val="0"/>
          <w:numId w:val="318"/>
        </w:numPr>
        <w:spacing w:after="0"/>
        <w:ind w:left="360"/>
        <w:jc w:val="both"/>
        <w:rPr>
          <w:sz w:val="24"/>
          <w:szCs w:val="24"/>
        </w:rPr>
      </w:pPr>
      <w:r w:rsidRPr="00106C7A">
        <w:rPr>
          <w:rFonts w:ascii="Times New Roman" w:hAnsi="Times New Roman" w:cs="Times New Roman"/>
          <w:sz w:val="24"/>
          <w:szCs w:val="24"/>
        </w:rPr>
        <w:t xml:space="preserve">cotygodniowe seminarium </w:t>
      </w:r>
      <w:r w:rsidRPr="00106C7A">
        <w:rPr>
          <w:rFonts w:ascii="Times New Roman" w:hAnsi="Times New Roman" w:cs="Times New Roman"/>
          <w:i/>
          <w:iCs/>
          <w:sz w:val="24"/>
          <w:szCs w:val="24"/>
        </w:rPr>
        <w:t>„Godzina dla Zdrowia”</w:t>
      </w:r>
      <w:r w:rsidRPr="00106C7A">
        <w:rPr>
          <w:rFonts w:ascii="Times New Roman" w:hAnsi="Times New Roman" w:cs="Times New Roman"/>
          <w:sz w:val="24"/>
          <w:szCs w:val="24"/>
        </w:rPr>
        <w:t xml:space="preserve"> (seminarium</w:t>
      </w:r>
      <w:r w:rsidR="00106C7A">
        <w:rPr>
          <w:rFonts w:ascii="Times New Roman" w:hAnsi="Times New Roman" w:cs="Times New Roman"/>
          <w:sz w:val="24"/>
          <w:szCs w:val="24"/>
        </w:rPr>
        <w:t xml:space="preserve"> prowadzone przez specjalistkę </w:t>
      </w:r>
      <w:r w:rsidRPr="00106C7A">
        <w:rPr>
          <w:rFonts w:ascii="Times New Roman" w:hAnsi="Times New Roman" w:cs="Times New Roman"/>
          <w:sz w:val="24"/>
          <w:szCs w:val="24"/>
        </w:rPr>
        <w:t>w dziedzinie dietetyki dla osób starszych, dla których  sposób odżywiania jest bardzo istotny);</w:t>
      </w:r>
    </w:p>
    <w:p w14:paraId="5E31B544" w14:textId="77777777" w:rsidR="00106C7A" w:rsidRPr="00106C7A" w:rsidRDefault="00423164" w:rsidP="008C71A9">
      <w:pPr>
        <w:pStyle w:val="Akapitzlist"/>
        <w:numPr>
          <w:ilvl w:val="0"/>
          <w:numId w:val="318"/>
        </w:numPr>
        <w:spacing w:after="0"/>
        <w:ind w:left="360"/>
        <w:jc w:val="both"/>
        <w:rPr>
          <w:sz w:val="24"/>
          <w:szCs w:val="24"/>
        </w:rPr>
      </w:pPr>
      <w:r w:rsidRPr="00106C7A">
        <w:rPr>
          <w:rFonts w:ascii="Times New Roman" w:hAnsi="Times New Roman" w:cs="Times New Roman"/>
          <w:sz w:val="24"/>
          <w:szCs w:val="24"/>
        </w:rPr>
        <w:t>konsultacje informatyczne (podczas konsultacji osoby starsze mogły zasięgać porad dotyczących obsługi komputera, laptopa i telefonu komórkowego, co przeciwdz</w:t>
      </w:r>
      <w:r w:rsidR="00106C7A">
        <w:rPr>
          <w:rFonts w:ascii="Times New Roman" w:hAnsi="Times New Roman" w:cs="Times New Roman"/>
          <w:sz w:val="24"/>
          <w:szCs w:val="24"/>
        </w:rPr>
        <w:t xml:space="preserve">iała ich wykluczeniu cyfrowemu </w:t>
      </w:r>
      <w:r w:rsidRPr="00106C7A">
        <w:rPr>
          <w:rFonts w:ascii="Times New Roman" w:hAnsi="Times New Roman" w:cs="Times New Roman"/>
          <w:sz w:val="24"/>
          <w:szCs w:val="24"/>
        </w:rPr>
        <w:t>w społeczeństwie).</w:t>
      </w:r>
    </w:p>
    <w:p w14:paraId="3403EBEA" w14:textId="77777777" w:rsidR="00106C7A" w:rsidRPr="00106C7A" w:rsidRDefault="00423164" w:rsidP="008C71A9">
      <w:pPr>
        <w:pStyle w:val="Akapitzlist"/>
        <w:numPr>
          <w:ilvl w:val="0"/>
          <w:numId w:val="318"/>
        </w:numPr>
        <w:spacing w:after="0"/>
        <w:ind w:left="360"/>
        <w:jc w:val="both"/>
        <w:rPr>
          <w:sz w:val="24"/>
          <w:szCs w:val="24"/>
        </w:rPr>
      </w:pPr>
      <w:r w:rsidRPr="00106C7A">
        <w:rPr>
          <w:rFonts w:ascii="Times New Roman" w:hAnsi="Times New Roman" w:cs="Times New Roman"/>
          <w:sz w:val="24"/>
          <w:szCs w:val="24"/>
        </w:rPr>
        <w:t xml:space="preserve">seminarium z historii sztuki (seminarium prowadzone przez historyka sztuki, przedstawiające wybitnych polskich  artystów zakończone dyskusją); </w:t>
      </w:r>
    </w:p>
    <w:p w14:paraId="157E2D4D" w14:textId="77777777" w:rsidR="00106C7A" w:rsidRPr="00106C7A" w:rsidRDefault="00423164" w:rsidP="008C71A9">
      <w:pPr>
        <w:pStyle w:val="Akapitzlist"/>
        <w:numPr>
          <w:ilvl w:val="0"/>
          <w:numId w:val="318"/>
        </w:numPr>
        <w:spacing w:after="0"/>
        <w:ind w:left="360"/>
        <w:jc w:val="both"/>
        <w:rPr>
          <w:sz w:val="24"/>
          <w:szCs w:val="24"/>
        </w:rPr>
      </w:pPr>
      <w:r w:rsidRPr="00106C7A">
        <w:rPr>
          <w:rFonts w:ascii="Times New Roman" w:hAnsi="Times New Roman" w:cs="Times New Roman"/>
          <w:sz w:val="24"/>
          <w:szCs w:val="24"/>
        </w:rPr>
        <w:t xml:space="preserve">seminarium </w:t>
      </w:r>
      <w:r w:rsidRPr="00106C7A">
        <w:rPr>
          <w:rFonts w:ascii="Times New Roman" w:hAnsi="Times New Roman" w:cs="Times New Roman"/>
          <w:i/>
          <w:iCs/>
          <w:sz w:val="24"/>
          <w:szCs w:val="24"/>
        </w:rPr>
        <w:t xml:space="preserve">„Sztuka godnego życia” </w:t>
      </w:r>
      <w:r w:rsidRPr="00106C7A">
        <w:rPr>
          <w:rFonts w:ascii="Times New Roman" w:hAnsi="Times New Roman" w:cs="Times New Roman"/>
          <w:sz w:val="24"/>
          <w:szCs w:val="24"/>
        </w:rPr>
        <w:t>(seminarium prowadzone przez psychologa, na którym poruszane były problemy związane z odnajdywaniem się seniorów we współczesnym świecie);</w:t>
      </w:r>
    </w:p>
    <w:p w14:paraId="249CACC7" w14:textId="77777777" w:rsidR="00106C7A" w:rsidRPr="00106C7A" w:rsidRDefault="00423164" w:rsidP="008C71A9">
      <w:pPr>
        <w:pStyle w:val="Akapitzlist"/>
        <w:numPr>
          <w:ilvl w:val="0"/>
          <w:numId w:val="318"/>
        </w:numPr>
        <w:spacing w:after="0"/>
        <w:ind w:left="360"/>
        <w:jc w:val="both"/>
        <w:rPr>
          <w:sz w:val="24"/>
          <w:szCs w:val="24"/>
        </w:rPr>
      </w:pPr>
      <w:r w:rsidRPr="00106C7A">
        <w:rPr>
          <w:rFonts w:ascii="Times New Roman" w:hAnsi="Times New Roman" w:cs="Times New Roman"/>
          <w:sz w:val="24"/>
          <w:szCs w:val="24"/>
        </w:rPr>
        <w:t xml:space="preserve">seminarium </w:t>
      </w:r>
      <w:r w:rsidRPr="00106C7A">
        <w:rPr>
          <w:rFonts w:ascii="Times New Roman" w:hAnsi="Times New Roman" w:cs="Times New Roman"/>
          <w:i/>
          <w:iCs/>
          <w:sz w:val="24"/>
          <w:szCs w:val="24"/>
        </w:rPr>
        <w:t xml:space="preserve">„Przystanek w podróży” </w:t>
      </w:r>
      <w:r w:rsidRPr="00106C7A">
        <w:rPr>
          <w:rFonts w:ascii="Times New Roman" w:hAnsi="Times New Roman" w:cs="Times New Roman"/>
          <w:sz w:val="24"/>
          <w:szCs w:val="24"/>
        </w:rPr>
        <w:t xml:space="preserve">(seminarium prowadzone </w:t>
      </w:r>
      <w:r w:rsidR="00106C7A">
        <w:rPr>
          <w:rFonts w:ascii="Times New Roman" w:hAnsi="Times New Roman" w:cs="Times New Roman"/>
          <w:sz w:val="24"/>
          <w:szCs w:val="24"/>
        </w:rPr>
        <w:t xml:space="preserve">przez podróżnika, dziennikarza </w:t>
      </w:r>
      <w:r w:rsidRPr="00106C7A">
        <w:rPr>
          <w:rFonts w:ascii="Times New Roman" w:hAnsi="Times New Roman" w:cs="Times New Roman"/>
          <w:sz w:val="24"/>
          <w:szCs w:val="24"/>
        </w:rPr>
        <w:t>i autora wielu publikacji,  podczas którego wykładowca opowiedział o ciekawych miejscach na świecie związanych z Polakami);</w:t>
      </w:r>
    </w:p>
    <w:p w14:paraId="299D24E9" w14:textId="77777777" w:rsidR="00106C7A" w:rsidRPr="00106C7A" w:rsidRDefault="00423164" w:rsidP="008C71A9">
      <w:pPr>
        <w:pStyle w:val="Akapitzlist"/>
        <w:numPr>
          <w:ilvl w:val="0"/>
          <w:numId w:val="318"/>
        </w:numPr>
        <w:spacing w:after="0"/>
        <w:ind w:left="360"/>
        <w:jc w:val="both"/>
        <w:rPr>
          <w:sz w:val="24"/>
          <w:szCs w:val="24"/>
        </w:rPr>
      </w:pPr>
      <w:r w:rsidRPr="00106C7A">
        <w:rPr>
          <w:rFonts w:ascii="Times New Roman" w:hAnsi="Times New Roman" w:cs="Times New Roman"/>
          <w:sz w:val="24"/>
          <w:szCs w:val="24"/>
        </w:rPr>
        <w:t xml:space="preserve">seminarium </w:t>
      </w:r>
      <w:r w:rsidRPr="00106C7A">
        <w:rPr>
          <w:rFonts w:ascii="Times New Roman" w:hAnsi="Times New Roman" w:cs="Times New Roman"/>
          <w:i/>
          <w:iCs/>
          <w:sz w:val="24"/>
          <w:szCs w:val="24"/>
        </w:rPr>
        <w:t xml:space="preserve">„Francja na przestrzeni wieków” </w:t>
      </w:r>
      <w:r w:rsidRPr="00106C7A">
        <w:rPr>
          <w:rFonts w:ascii="Times New Roman" w:hAnsi="Times New Roman" w:cs="Times New Roman"/>
          <w:sz w:val="24"/>
          <w:szCs w:val="24"/>
        </w:rPr>
        <w:t>(seminarium prowadzone przez doktora nauk humanistycznych, podczas którego poruszane były zagadnienia z historii Francji);</w:t>
      </w:r>
    </w:p>
    <w:p w14:paraId="0C9DD796" w14:textId="77777777" w:rsidR="00106C7A" w:rsidRPr="00106C7A" w:rsidRDefault="00423164" w:rsidP="008C71A9">
      <w:pPr>
        <w:pStyle w:val="Akapitzlist"/>
        <w:numPr>
          <w:ilvl w:val="0"/>
          <w:numId w:val="318"/>
        </w:numPr>
        <w:spacing w:after="0"/>
        <w:ind w:left="360"/>
        <w:jc w:val="both"/>
        <w:rPr>
          <w:sz w:val="24"/>
          <w:szCs w:val="24"/>
        </w:rPr>
      </w:pPr>
      <w:r w:rsidRPr="00106C7A">
        <w:rPr>
          <w:rFonts w:ascii="Times New Roman" w:hAnsi="Times New Roman" w:cs="Times New Roman"/>
          <w:sz w:val="24"/>
          <w:szCs w:val="24"/>
        </w:rPr>
        <w:t xml:space="preserve">warsztaty </w:t>
      </w:r>
      <w:r w:rsidRPr="00106C7A">
        <w:rPr>
          <w:rFonts w:ascii="Times New Roman" w:hAnsi="Times New Roman" w:cs="Times New Roman"/>
          <w:i/>
          <w:iCs/>
          <w:sz w:val="24"/>
          <w:szCs w:val="24"/>
        </w:rPr>
        <w:t xml:space="preserve">„Rysunek i malarstwo” </w:t>
      </w:r>
      <w:r w:rsidRPr="00106C7A">
        <w:rPr>
          <w:rFonts w:ascii="Times New Roman" w:hAnsi="Times New Roman" w:cs="Times New Roman"/>
          <w:sz w:val="24"/>
          <w:szCs w:val="24"/>
        </w:rPr>
        <w:t>(warsztaty prowadzone są przez artystkę -malarkę, podczas których  uczestnicy poznali techniki malarskie i samodzielnie wykonali rysunki  pastelami i akwarelami)</w:t>
      </w:r>
      <w:r w:rsidRPr="00106C7A">
        <w:rPr>
          <w:rFonts w:ascii="Times New Roman" w:hAnsi="Times New Roman" w:cs="Times New Roman"/>
          <w:i/>
          <w:iCs/>
          <w:sz w:val="24"/>
          <w:szCs w:val="24"/>
        </w:rPr>
        <w:t>;</w:t>
      </w:r>
    </w:p>
    <w:p w14:paraId="1E646046" w14:textId="77777777" w:rsidR="00106C7A" w:rsidRPr="00106C7A" w:rsidRDefault="00423164" w:rsidP="008C71A9">
      <w:pPr>
        <w:pStyle w:val="Akapitzlist"/>
        <w:numPr>
          <w:ilvl w:val="0"/>
          <w:numId w:val="318"/>
        </w:numPr>
        <w:spacing w:after="0"/>
        <w:ind w:left="360"/>
        <w:jc w:val="both"/>
        <w:rPr>
          <w:sz w:val="24"/>
          <w:szCs w:val="24"/>
        </w:rPr>
      </w:pPr>
      <w:r w:rsidRPr="00106C7A">
        <w:rPr>
          <w:rFonts w:ascii="Times New Roman" w:hAnsi="Times New Roman" w:cs="Times New Roman"/>
          <w:sz w:val="24"/>
          <w:szCs w:val="24"/>
        </w:rPr>
        <w:t>gimnastyka dla seniorów odbywająca się dwa razy w tygodniu (zajęcia z gimnastyki z elementami jogi  dla osób starszych prowadzone przez specjalistkę - doktor nauk o kulturze fizycznej  mające na celu zachowanie ogólnej sprawności);</w:t>
      </w:r>
    </w:p>
    <w:p w14:paraId="0BCE1B8C" w14:textId="77777777" w:rsidR="00423164" w:rsidRPr="00106C7A" w:rsidRDefault="00423164" w:rsidP="008C71A9">
      <w:pPr>
        <w:pStyle w:val="Akapitzlist"/>
        <w:numPr>
          <w:ilvl w:val="0"/>
          <w:numId w:val="318"/>
        </w:numPr>
        <w:spacing w:after="0"/>
        <w:ind w:left="360"/>
        <w:jc w:val="both"/>
        <w:rPr>
          <w:sz w:val="24"/>
          <w:szCs w:val="24"/>
        </w:rPr>
      </w:pPr>
      <w:r w:rsidRPr="00106C7A">
        <w:rPr>
          <w:rFonts w:ascii="Times New Roman" w:hAnsi="Times New Roman" w:cs="Times New Roman"/>
          <w:sz w:val="24"/>
          <w:szCs w:val="24"/>
        </w:rPr>
        <w:t>terapia ruchu przy muzyce (integracja poprzez naukę tańca w kręgu w którym każdy współuczestniczący w tańcu jest ważny i niezbędny w tworzeniu całości).</w:t>
      </w:r>
    </w:p>
    <w:p w14:paraId="7D039396" w14:textId="77777777" w:rsidR="00106C7A" w:rsidRDefault="00106C7A" w:rsidP="0057376E">
      <w:pPr>
        <w:spacing w:after="0"/>
        <w:jc w:val="both"/>
        <w:rPr>
          <w:rFonts w:ascii="Times New Roman" w:hAnsi="Times New Roman" w:cs="Times New Roman"/>
          <w:sz w:val="24"/>
          <w:szCs w:val="24"/>
        </w:rPr>
      </w:pPr>
    </w:p>
    <w:p w14:paraId="0D41D782" w14:textId="77777777" w:rsidR="00106C7A" w:rsidRPr="00106C7A" w:rsidRDefault="00423164" w:rsidP="00106C7A">
      <w:pPr>
        <w:spacing w:after="0"/>
        <w:jc w:val="both"/>
        <w:rPr>
          <w:sz w:val="24"/>
          <w:szCs w:val="24"/>
        </w:rPr>
      </w:pPr>
      <w:r w:rsidRPr="0057376E">
        <w:rPr>
          <w:rFonts w:ascii="Times New Roman" w:hAnsi="Times New Roman" w:cs="Times New Roman"/>
          <w:sz w:val="24"/>
          <w:szCs w:val="24"/>
        </w:rPr>
        <w:t xml:space="preserve">Ponadto organizowano wycieczki i wyjazdy studyjne, zarówno krajowe jak i zagraniczne, dla słuchaczy Uniwersytetu. </w:t>
      </w:r>
    </w:p>
    <w:p w14:paraId="31F54D00" w14:textId="77777777" w:rsidR="00A9797A" w:rsidRPr="006425EF" w:rsidRDefault="0087360D" w:rsidP="006425EF">
      <w:pPr>
        <w:pStyle w:val="Nagwek2"/>
        <w:numPr>
          <w:ilvl w:val="1"/>
          <w:numId w:val="383"/>
        </w:numPr>
        <w:spacing w:before="240" w:after="240"/>
        <w:ind w:left="432"/>
        <w:rPr>
          <w:rFonts w:eastAsia="Times New Roman" w:cs="Times New Roman"/>
          <w:sz w:val="40"/>
          <w:szCs w:val="28"/>
          <w:lang w:eastAsia="ar-SA"/>
        </w:rPr>
      </w:pPr>
      <w:bookmarkStart w:id="71" w:name="_Toc49171341"/>
      <w:r w:rsidRPr="006425EF">
        <w:rPr>
          <w:rFonts w:eastAsia="Times New Roman" w:cs="Times New Roman"/>
          <w:sz w:val="40"/>
          <w:szCs w:val="28"/>
          <w:lang w:eastAsia="ar-SA"/>
        </w:rPr>
        <w:t>Ministerstwo</w:t>
      </w:r>
      <w:r w:rsidR="00475EFA" w:rsidRPr="006425EF">
        <w:rPr>
          <w:rFonts w:eastAsia="Times New Roman" w:cs="Times New Roman"/>
          <w:sz w:val="40"/>
          <w:szCs w:val="28"/>
          <w:lang w:eastAsia="ar-SA"/>
        </w:rPr>
        <w:t xml:space="preserve"> Sportu</w:t>
      </w:r>
      <w:bookmarkEnd w:id="71"/>
    </w:p>
    <w:p w14:paraId="2A97CA60" w14:textId="77777777" w:rsidR="00641273" w:rsidRPr="0016476C" w:rsidRDefault="00641273" w:rsidP="00106C7A">
      <w:pPr>
        <w:tabs>
          <w:tab w:val="left" w:pos="709"/>
          <w:tab w:val="left" w:pos="5529"/>
        </w:tabs>
        <w:spacing w:after="0"/>
        <w:jc w:val="both"/>
        <w:rPr>
          <w:rFonts w:ascii="Times New Roman" w:eastAsia="Times New Roman" w:hAnsi="Times New Roman" w:cs="Times New Roman"/>
          <w:sz w:val="24"/>
          <w:szCs w:val="24"/>
          <w:lang w:eastAsia="pl-PL"/>
        </w:rPr>
      </w:pPr>
      <w:r w:rsidRPr="0016476C">
        <w:rPr>
          <w:rFonts w:ascii="Times New Roman" w:eastAsia="Times New Roman" w:hAnsi="Times New Roman" w:cs="Times New Roman"/>
          <w:sz w:val="24"/>
          <w:szCs w:val="24"/>
          <w:lang w:eastAsia="pl-PL"/>
        </w:rPr>
        <w:t xml:space="preserve">Zapewnienie warunków i oferty dla powszechnego podejmowania aktywności fizycznej na każdym etapie życia to jeden z głównych celów określonych w rządowym </w:t>
      </w:r>
      <w:r w:rsidRPr="00E922C4">
        <w:rPr>
          <w:rFonts w:ascii="Times New Roman" w:eastAsia="Times New Roman" w:hAnsi="Times New Roman" w:cs="Times New Roman"/>
          <w:b/>
          <w:sz w:val="24"/>
          <w:szCs w:val="24"/>
          <w:lang w:eastAsia="pl-PL"/>
        </w:rPr>
        <w:t>dokumencie „Program Rozwoju Sportu do roku 2020”</w:t>
      </w:r>
      <w:r w:rsidRPr="0016476C">
        <w:rPr>
          <w:rFonts w:ascii="Times New Roman" w:eastAsia="Times New Roman" w:hAnsi="Times New Roman" w:cs="Times New Roman"/>
          <w:sz w:val="24"/>
          <w:szCs w:val="24"/>
          <w:lang w:eastAsia="pl-PL"/>
        </w:rPr>
        <w:t>, przyjętym pr</w:t>
      </w:r>
      <w:r w:rsidR="00E922C4">
        <w:rPr>
          <w:rFonts w:ascii="Times New Roman" w:eastAsia="Times New Roman" w:hAnsi="Times New Roman" w:cs="Times New Roman"/>
          <w:sz w:val="24"/>
          <w:szCs w:val="24"/>
          <w:lang w:eastAsia="pl-PL"/>
        </w:rPr>
        <w:t xml:space="preserve">zez Radę Ministrów 31 sierpnia </w:t>
      </w:r>
      <w:r w:rsidRPr="0016476C">
        <w:rPr>
          <w:rFonts w:ascii="Times New Roman" w:eastAsia="Times New Roman" w:hAnsi="Times New Roman" w:cs="Times New Roman"/>
          <w:sz w:val="24"/>
          <w:szCs w:val="24"/>
          <w:lang w:eastAsia="pl-PL"/>
        </w:rPr>
        <w:t>2015 r. Jednym ze zdefiniowanych w tym dokumencie priorytetów jest „</w:t>
      </w:r>
      <w:r w:rsidRPr="0016476C">
        <w:rPr>
          <w:rFonts w:ascii="Times New Roman" w:eastAsia="Times New Roman" w:hAnsi="Times New Roman" w:cs="Times New Roman"/>
          <w:i/>
          <w:sz w:val="24"/>
          <w:szCs w:val="24"/>
          <w:lang w:eastAsia="pl-PL"/>
        </w:rPr>
        <w:t>Wspieranie działań na rzecz integracji społecznej osób starszych poprzez aktywność fizyczną</w:t>
      </w:r>
      <w:r w:rsidRPr="0016476C">
        <w:rPr>
          <w:rFonts w:ascii="Times New Roman" w:eastAsia="Times New Roman" w:hAnsi="Times New Roman" w:cs="Times New Roman"/>
          <w:sz w:val="24"/>
          <w:szCs w:val="24"/>
          <w:lang w:eastAsia="pl-PL"/>
        </w:rPr>
        <w:t>”.</w:t>
      </w:r>
    </w:p>
    <w:p w14:paraId="1C3B8265" w14:textId="77777777" w:rsidR="00641273" w:rsidRPr="0016476C" w:rsidRDefault="00641273" w:rsidP="00106C7A">
      <w:pPr>
        <w:tabs>
          <w:tab w:val="left" w:pos="709"/>
          <w:tab w:val="left" w:pos="5529"/>
        </w:tabs>
        <w:spacing w:after="0"/>
        <w:jc w:val="both"/>
        <w:rPr>
          <w:rFonts w:ascii="Times New Roman" w:eastAsia="Times New Roman" w:hAnsi="Times New Roman" w:cs="Times New Roman"/>
          <w:sz w:val="24"/>
          <w:szCs w:val="24"/>
          <w:lang w:eastAsia="pl-PL"/>
        </w:rPr>
      </w:pPr>
    </w:p>
    <w:p w14:paraId="3206150A" w14:textId="77777777" w:rsidR="00641273" w:rsidRPr="0016476C" w:rsidRDefault="00641273" w:rsidP="00E922C4">
      <w:pPr>
        <w:tabs>
          <w:tab w:val="left" w:pos="709"/>
          <w:tab w:val="left" w:pos="5529"/>
        </w:tabs>
        <w:spacing w:after="0"/>
        <w:jc w:val="both"/>
        <w:rPr>
          <w:rFonts w:ascii="Times New Roman" w:eastAsia="Times New Roman" w:hAnsi="Times New Roman" w:cs="Times New Roman"/>
          <w:sz w:val="24"/>
          <w:szCs w:val="24"/>
          <w:lang w:eastAsia="pl-PL"/>
        </w:rPr>
      </w:pPr>
      <w:r w:rsidRPr="0016476C">
        <w:rPr>
          <w:rFonts w:ascii="Times New Roman" w:eastAsia="Times New Roman" w:hAnsi="Times New Roman" w:cs="Times New Roman"/>
          <w:sz w:val="24"/>
          <w:szCs w:val="24"/>
          <w:lang w:eastAsia="pl-PL"/>
        </w:rPr>
        <w:t xml:space="preserve">Ministerstwo Sportu wychodząc naprzeciw </w:t>
      </w:r>
      <w:r w:rsidRPr="0016476C">
        <w:rPr>
          <w:rFonts w:ascii="Times New Roman" w:hAnsi="Times New Roman" w:cs="Times New Roman"/>
          <w:sz w:val="24"/>
          <w:szCs w:val="24"/>
          <w:lang w:eastAsia="pl-PL"/>
        </w:rPr>
        <w:t xml:space="preserve">aktualnym wyzwaniom demograficznym związanych ze starzeniem się populacji naszego kraju, </w:t>
      </w:r>
      <w:r w:rsidRPr="0016476C">
        <w:rPr>
          <w:rFonts w:ascii="Times New Roman" w:hAnsi="Times New Roman" w:cs="Times New Roman"/>
          <w:sz w:val="24"/>
          <w:szCs w:val="24"/>
        </w:rPr>
        <w:t xml:space="preserve">dostrzega potrzebę działań </w:t>
      </w:r>
      <w:r w:rsidRPr="0016476C">
        <w:rPr>
          <w:rFonts w:ascii="Times New Roman" w:hAnsi="Times New Roman" w:cs="Times New Roman"/>
          <w:sz w:val="24"/>
          <w:szCs w:val="24"/>
          <w:lang w:eastAsia="pl-PL"/>
        </w:rPr>
        <w:t>w zakresie promocji wszelkich form aktywności seniorów,</w:t>
      </w:r>
      <w:r w:rsidRPr="0016476C">
        <w:rPr>
          <w:rFonts w:ascii="Times New Roman" w:eastAsia="Times New Roman" w:hAnsi="Times New Roman" w:cs="Times New Roman"/>
          <w:sz w:val="24"/>
          <w:szCs w:val="24"/>
          <w:lang w:eastAsia="pl-PL"/>
        </w:rPr>
        <w:t xml:space="preserve"> od lat wzmacniając wsparcie zadań z zakresu upowszechniania aktywności fizycznej i promowania sportu, </w:t>
      </w:r>
      <w:r w:rsidR="00E922C4">
        <w:rPr>
          <w:rFonts w:ascii="Times New Roman" w:eastAsia="Times New Roman" w:hAnsi="Times New Roman" w:cs="Times New Roman"/>
          <w:sz w:val="24"/>
          <w:szCs w:val="24"/>
          <w:lang w:eastAsia="pl-PL"/>
        </w:rPr>
        <w:t xml:space="preserve">kierowanych do osób starszych.  </w:t>
      </w:r>
      <w:r w:rsidRPr="0016476C">
        <w:rPr>
          <w:rFonts w:ascii="Times New Roman" w:eastAsia="Times New Roman" w:hAnsi="Times New Roman" w:cs="Times New Roman"/>
          <w:sz w:val="24"/>
          <w:szCs w:val="24"/>
          <w:lang w:eastAsia="pl-PL"/>
        </w:rPr>
        <w:t>Inicjatywa wdrażania szerokich działań upowszechniania aktywności fizycznej osób starszych, pojawiła się w wyniku analizy i oceny aktualnej sytuacji stanu potrzeb i oczekiwań w sferze utrzymania odpowiedniego poziomu potencjału biologicznego człowieka, wobec wydłużającego się</w:t>
      </w:r>
      <w:r w:rsidR="00E922C4">
        <w:rPr>
          <w:rFonts w:ascii="Times New Roman" w:eastAsia="Times New Roman" w:hAnsi="Times New Roman" w:cs="Times New Roman"/>
          <w:sz w:val="24"/>
          <w:szCs w:val="24"/>
          <w:lang w:eastAsia="pl-PL"/>
        </w:rPr>
        <w:t xml:space="preserve"> czasu trwania życia ludzkiego.</w:t>
      </w:r>
      <w:r w:rsidRPr="0016476C">
        <w:rPr>
          <w:rFonts w:ascii="Times New Roman" w:eastAsia="Times New Roman" w:hAnsi="Times New Roman" w:cs="Times New Roman"/>
          <w:sz w:val="24"/>
          <w:szCs w:val="24"/>
          <w:lang w:eastAsia="pl-PL"/>
        </w:rPr>
        <w:t>Wspieranie tego typu przedsięwzięć to propozycja systemowego rozwiązania w zakresie przeciwdziałania negatywnym efektom procesów starzenia oraz podtrzymywania aktywności społecznej, poprzez upowszechnianie aktywności fizycznej i promowanie sportu wśród osób starszych. Ludzie starsi wymagają różnorodnych form wsparcia, w celu usunięcia przyczyn marginalizacji z życia społecznego. Podstawowym problemem w tym zakresie, jest obniżająca się sprawność fizyczna i związane z nią, często mocno ograni</w:t>
      </w:r>
      <w:r w:rsidR="00E922C4">
        <w:rPr>
          <w:rFonts w:ascii="Times New Roman" w:eastAsia="Times New Roman" w:hAnsi="Times New Roman" w:cs="Times New Roman"/>
          <w:sz w:val="24"/>
          <w:szCs w:val="24"/>
          <w:lang w:eastAsia="pl-PL"/>
        </w:rPr>
        <w:t xml:space="preserve">czone, możliwości lokomocyjne. </w:t>
      </w:r>
      <w:r w:rsidRPr="0016476C">
        <w:rPr>
          <w:rFonts w:ascii="Times New Roman" w:eastAsia="Times New Roman" w:hAnsi="Times New Roman" w:cs="Times New Roman"/>
          <w:sz w:val="24"/>
          <w:szCs w:val="24"/>
          <w:lang w:eastAsia="pl-PL"/>
        </w:rPr>
        <w:t>Promocja zdrowego stylu życia oraz oferta systematycznej aktywności fizycznej, mają wspierać seniorów w dążeniu do wydłużenia okresu utrzymywania dobrego stanu zdrowia, ogólnej sprawności i samodzielności w wykonywaniu podstawowych czynności ruchowych. Dzięki temu będą mogli kontynuować aktywność</w:t>
      </w:r>
      <w:r w:rsidR="00E922C4">
        <w:rPr>
          <w:rFonts w:ascii="Times New Roman" w:eastAsia="Times New Roman" w:hAnsi="Times New Roman" w:cs="Times New Roman"/>
          <w:sz w:val="24"/>
          <w:szCs w:val="24"/>
          <w:lang w:eastAsia="pl-PL"/>
        </w:rPr>
        <w:t xml:space="preserve"> zawodową, jak </w:t>
      </w:r>
      <w:r w:rsidRPr="0016476C">
        <w:rPr>
          <w:rFonts w:ascii="Times New Roman" w:eastAsia="Times New Roman" w:hAnsi="Times New Roman" w:cs="Times New Roman"/>
          <w:sz w:val="24"/>
          <w:szCs w:val="24"/>
          <w:lang w:eastAsia="pl-PL"/>
        </w:rPr>
        <w:t>i aktywnie uczestniczyć w wybranych formach życia społecznego. </w:t>
      </w:r>
    </w:p>
    <w:p w14:paraId="2E61EAE3" w14:textId="77777777" w:rsidR="00641273" w:rsidRPr="0016476C" w:rsidRDefault="00641273" w:rsidP="00106C7A">
      <w:pPr>
        <w:tabs>
          <w:tab w:val="left" w:pos="709"/>
          <w:tab w:val="left" w:pos="5529"/>
        </w:tabs>
        <w:spacing w:after="0"/>
        <w:jc w:val="both"/>
        <w:rPr>
          <w:rFonts w:ascii="Times New Roman" w:eastAsia="Times New Roman" w:hAnsi="Times New Roman" w:cs="Times New Roman"/>
          <w:sz w:val="24"/>
          <w:szCs w:val="24"/>
          <w:lang w:eastAsia="pl-PL"/>
        </w:rPr>
      </w:pPr>
    </w:p>
    <w:p w14:paraId="7D7CE086" w14:textId="77777777" w:rsidR="00641273" w:rsidRPr="0016476C" w:rsidRDefault="00641273" w:rsidP="00106C7A">
      <w:pPr>
        <w:tabs>
          <w:tab w:val="left" w:pos="709"/>
          <w:tab w:val="left" w:pos="5529"/>
        </w:tabs>
        <w:spacing w:after="0"/>
        <w:jc w:val="both"/>
        <w:rPr>
          <w:rFonts w:ascii="Times New Roman" w:eastAsia="Times New Roman" w:hAnsi="Times New Roman" w:cs="Times New Roman"/>
          <w:bCs/>
          <w:sz w:val="24"/>
          <w:szCs w:val="24"/>
          <w:lang w:eastAsia="pl-PL"/>
        </w:rPr>
      </w:pPr>
      <w:r w:rsidRPr="0016476C">
        <w:rPr>
          <w:rFonts w:ascii="Times New Roman" w:eastAsia="Times New Roman" w:hAnsi="Times New Roman" w:cs="Times New Roman"/>
          <w:sz w:val="24"/>
          <w:szCs w:val="24"/>
          <w:lang w:eastAsia="pl-PL"/>
        </w:rPr>
        <w:t xml:space="preserve">Działania w tym zakresie </w:t>
      </w:r>
      <w:r w:rsidRPr="0016476C">
        <w:rPr>
          <w:rFonts w:ascii="Times New Roman" w:eastAsia="Times New Roman" w:hAnsi="Times New Roman" w:cs="Times New Roman"/>
          <w:bCs/>
          <w:sz w:val="24"/>
          <w:szCs w:val="24"/>
          <w:lang w:eastAsia="pl-PL"/>
        </w:rPr>
        <w:t xml:space="preserve">zakładają organizację przedsięwzięć aktywizujących ludzi </w:t>
      </w:r>
      <w:r w:rsidRPr="0016476C">
        <w:rPr>
          <w:rFonts w:ascii="Times New Roman" w:eastAsia="Times New Roman" w:hAnsi="Times New Roman" w:cs="Times New Roman"/>
          <w:bCs/>
          <w:sz w:val="24"/>
          <w:szCs w:val="24"/>
          <w:lang w:eastAsia="pl-PL"/>
        </w:rPr>
        <w:br/>
        <w:t>w starszym wieku w następujących formach:</w:t>
      </w:r>
    </w:p>
    <w:p w14:paraId="3ABE819F" w14:textId="77777777" w:rsidR="00641273" w:rsidRPr="0016476C" w:rsidRDefault="00641273" w:rsidP="008C71A9">
      <w:pPr>
        <w:numPr>
          <w:ilvl w:val="0"/>
          <w:numId w:val="319"/>
        </w:numPr>
        <w:tabs>
          <w:tab w:val="left" w:pos="709"/>
          <w:tab w:val="left" w:pos="5529"/>
        </w:tabs>
        <w:spacing w:after="0" w:line="240" w:lineRule="auto"/>
        <w:ind w:left="360"/>
        <w:jc w:val="both"/>
        <w:rPr>
          <w:rFonts w:ascii="Times New Roman" w:eastAsia="Times New Roman" w:hAnsi="Times New Roman" w:cs="Times New Roman"/>
          <w:bCs/>
          <w:sz w:val="24"/>
          <w:szCs w:val="24"/>
          <w:lang w:eastAsia="pl-PL"/>
        </w:rPr>
      </w:pPr>
      <w:r w:rsidRPr="0016476C">
        <w:rPr>
          <w:rFonts w:ascii="Times New Roman" w:eastAsia="Times New Roman" w:hAnsi="Times New Roman" w:cs="Times New Roman"/>
          <w:bCs/>
          <w:sz w:val="24"/>
          <w:szCs w:val="24"/>
          <w:lang w:eastAsia="pl-PL"/>
        </w:rPr>
        <w:t>aktywność rekreacyjna – różne formy indywidualnego lub grupowego czynnego wypoczynku opartego na aktywności fizycznej;</w:t>
      </w:r>
    </w:p>
    <w:p w14:paraId="397F7DDD" w14:textId="77777777" w:rsidR="00641273" w:rsidRPr="0016476C" w:rsidRDefault="00641273" w:rsidP="008C71A9">
      <w:pPr>
        <w:numPr>
          <w:ilvl w:val="0"/>
          <w:numId w:val="319"/>
        </w:numPr>
        <w:tabs>
          <w:tab w:val="left" w:pos="709"/>
          <w:tab w:val="left" w:pos="5529"/>
        </w:tabs>
        <w:spacing w:after="0" w:line="240" w:lineRule="auto"/>
        <w:ind w:left="360"/>
        <w:jc w:val="both"/>
        <w:rPr>
          <w:rFonts w:ascii="Times New Roman" w:eastAsia="Times New Roman" w:hAnsi="Times New Roman" w:cs="Times New Roman"/>
          <w:bCs/>
          <w:sz w:val="24"/>
          <w:szCs w:val="24"/>
          <w:lang w:eastAsia="pl-PL"/>
        </w:rPr>
      </w:pPr>
      <w:r w:rsidRPr="0016476C">
        <w:rPr>
          <w:rFonts w:ascii="Times New Roman" w:eastAsia="Times New Roman" w:hAnsi="Times New Roman" w:cs="Times New Roman"/>
          <w:bCs/>
          <w:sz w:val="24"/>
          <w:szCs w:val="24"/>
          <w:lang w:eastAsia="pl-PL"/>
        </w:rPr>
        <w:t>aktywność prewencyjna – mająca zapobiegać przedwczesnemu i patologicznemu starzeniu się, powiązana z prozdrowotnym stylem</w:t>
      </w:r>
      <w:r w:rsidR="00E922C4">
        <w:rPr>
          <w:rFonts w:ascii="Times New Roman" w:eastAsia="Times New Roman" w:hAnsi="Times New Roman" w:cs="Times New Roman"/>
          <w:bCs/>
          <w:sz w:val="24"/>
          <w:szCs w:val="24"/>
          <w:lang w:eastAsia="pl-PL"/>
        </w:rPr>
        <w:t xml:space="preserve"> życia - właściwym odżywianiem </w:t>
      </w:r>
      <w:r w:rsidRPr="0016476C">
        <w:rPr>
          <w:rFonts w:ascii="Times New Roman" w:eastAsia="Times New Roman" w:hAnsi="Times New Roman" w:cs="Times New Roman"/>
          <w:bCs/>
          <w:sz w:val="24"/>
          <w:szCs w:val="24"/>
          <w:lang w:eastAsia="pl-PL"/>
        </w:rPr>
        <w:t>i aktywnością społeczną;</w:t>
      </w:r>
    </w:p>
    <w:p w14:paraId="6B0C5D9A" w14:textId="77777777" w:rsidR="00641273" w:rsidRPr="0016476C" w:rsidRDefault="00641273" w:rsidP="00E922C4">
      <w:pPr>
        <w:tabs>
          <w:tab w:val="left" w:pos="709"/>
          <w:tab w:val="left" w:pos="5529"/>
        </w:tabs>
        <w:spacing w:after="0"/>
        <w:jc w:val="both"/>
        <w:rPr>
          <w:rFonts w:ascii="Times New Roman" w:eastAsia="Times New Roman" w:hAnsi="Times New Roman" w:cs="Times New Roman"/>
          <w:bCs/>
          <w:sz w:val="24"/>
          <w:szCs w:val="24"/>
          <w:lang w:eastAsia="pl-PL"/>
        </w:rPr>
      </w:pPr>
    </w:p>
    <w:p w14:paraId="546FC060" w14:textId="77777777" w:rsidR="00641273" w:rsidRPr="0016476C" w:rsidRDefault="00641273" w:rsidP="00106C7A">
      <w:pPr>
        <w:tabs>
          <w:tab w:val="left" w:pos="709"/>
          <w:tab w:val="left" w:pos="5529"/>
        </w:tabs>
        <w:spacing w:after="0"/>
        <w:jc w:val="both"/>
        <w:rPr>
          <w:rFonts w:ascii="Times New Roman" w:eastAsia="Times New Roman" w:hAnsi="Times New Roman" w:cs="Times New Roman"/>
          <w:bCs/>
          <w:sz w:val="24"/>
          <w:szCs w:val="24"/>
          <w:lang w:eastAsia="pl-PL"/>
        </w:rPr>
      </w:pPr>
      <w:r w:rsidRPr="0016476C">
        <w:rPr>
          <w:rFonts w:ascii="Times New Roman" w:eastAsia="Times New Roman" w:hAnsi="Times New Roman" w:cs="Times New Roman"/>
          <w:bCs/>
          <w:sz w:val="24"/>
          <w:szCs w:val="24"/>
          <w:lang w:eastAsia="pl-PL"/>
        </w:rPr>
        <w:t>Głównymi celami, które można osiągnąć poprzez systematyczną aktywność ruchową osób starszych jest:</w:t>
      </w:r>
    </w:p>
    <w:p w14:paraId="5E33FE36" w14:textId="77777777" w:rsidR="00641273" w:rsidRPr="00E922C4" w:rsidRDefault="00641273" w:rsidP="008C71A9">
      <w:pPr>
        <w:pStyle w:val="Akapitzlist"/>
        <w:numPr>
          <w:ilvl w:val="0"/>
          <w:numId w:val="320"/>
        </w:numPr>
        <w:tabs>
          <w:tab w:val="left" w:pos="709"/>
          <w:tab w:val="left" w:pos="5529"/>
        </w:tabs>
        <w:spacing w:after="0" w:line="240" w:lineRule="auto"/>
        <w:ind w:left="360"/>
        <w:jc w:val="both"/>
        <w:rPr>
          <w:rFonts w:ascii="Times New Roman" w:eastAsia="Times New Roman" w:hAnsi="Times New Roman" w:cs="Times New Roman"/>
          <w:bCs/>
          <w:sz w:val="24"/>
          <w:szCs w:val="24"/>
          <w:lang w:eastAsia="pl-PL"/>
        </w:rPr>
      </w:pPr>
      <w:r w:rsidRPr="00E922C4">
        <w:rPr>
          <w:rFonts w:ascii="Times New Roman" w:eastAsia="Times New Roman" w:hAnsi="Times New Roman" w:cs="Times New Roman"/>
          <w:bCs/>
          <w:sz w:val="24"/>
          <w:szCs w:val="24"/>
          <w:lang w:eastAsia="pl-PL"/>
        </w:rPr>
        <w:t>utrzymanie sprawności,</w:t>
      </w:r>
    </w:p>
    <w:p w14:paraId="0BAC4792" w14:textId="77777777" w:rsidR="00641273" w:rsidRPr="00E922C4" w:rsidRDefault="00641273" w:rsidP="008C71A9">
      <w:pPr>
        <w:pStyle w:val="Akapitzlist"/>
        <w:numPr>
          <w:ilvl w:val="0"/>
          <w:numId w:val="320"/>
        </w:numPr>
        <w:tabs>
          <w:tab w:val="left" w:pos="709"/>
          <w:tab w:val="left" w:pos="5529"/>
        </w:tabs>
        <w:spacing w:after="0" w:line="240" w:lineRule="auto"/>
        <w:ind w:left="360"/>
        <w:jc w:val="both"/>
        <w:rPr>
          <w:rFonts w:ascii="Times New Roman" w:eastAsia="Times New Roman" w:hAnsi="Times New Roman" w:cs="Times New Roman"/>
          <w:bCs/>
          <w:sz w:val="24"/>
          <w:szCs w:val="24"/>
          <w:lang w:eastAsia="pl-PL"/>
        </w:rPr>
      </w:pPr>
      <w:r w:rsidRPr="00E922C4">
        <w:rPr>
          <w:rFonts w:ascii="Times New Roman" w:eastAsia="Times New Roman" w:hAnsi="Times New Roman" w:cs="Times New Roman"/>
          <w:bCs/>
          <w:sz w:val="24"/>
          <w:szCs w:val="24"/>
          <w:lang w:eastAsia="pl-PL"/>
        </w:rPr>
        <w:t xml:space="preserve">utrzymanie samodzielności, </w:t>
      </w:r>
    </w:p>
    <w:p w14:paraId="6B42595E" w14:textId="77777777" w:rsidR="00641273" w:rsidRPr="00E922C4" w:rsidRDefault="00641273" w:rsidP="008C71A9">
      <w:pPr>
        <w:pStyle w:val="Akapitzlist"/>
        <w:numPr>
          <w:ilvl w:val="0"/>
          <w:numId w:val="320"/>
        </w:numPr>
        <w:tabs>
          <w:tab w:val="left" w:pos="709"/>
          <w:tab w:val="left" w:pos="5529"/>
        </w:tabs>
        <w:spacing w:after="0" w:line="240" w:lineRule="auto"/>
        <w:ind w:left="360"/>
        <w:jc w:val="both"/>
        <w:rPr>
          <w:rFonts w:ascii="Times New Roman" w:eastAsia="Times New Roman" w:hAnsi="Times New Roman" w:cs="Times New Roman"/>
          <w:bCs/>
          <w:sz w:val="24"/>
          <w:szCs w:val="24"/>
          <w:lang w:eastAsia="pl-PL"/>
        </w:rPr>
      </w:pPr>
      <w:r w:rsidRPr="00E922C4">
        <w:rPr>
          <w:rFonts w:ascii="Times New Roman" w:eastAsia="Times New Roman" w:hAnsi="Times New Roman" w:cs="Times New Roman"/>
          <w:bCs/>
          <w:sz w:val="24"/>
          <w:szCs w:val="24"/>
          <w:lang w:eastAsia="pl-PL"/>
        </w:rPr>
        <w:t xml:space="preserve">utrzymanie niezależności. </w:t>
      </w:r>
    </w:p>
    <w:p w14:paraId="6B6B673A" w14:textId="77777777" w:rsidR="00641273" w:rsidRPr="0016476C" w:rsidRDefault="00641273" w:rsidP="00106C7A">
      <w:pPr>
        <w:tabs>
          <w:tab w:val="left" w:pos="709"/>
          <w:tab w:val="left" w:pos="5529"/>
        </w:tabs>
        <w:spacing w:after="0"/>
        <w:jc w:val="both"/>
        <w:rPr>
          <w:rFonts w:ascii="Times New Roman" w:eastAsia="Times New Roman" w:hAnsi="Times New Roman" w:cs="Times New Roman"/>
          <w:sz w:val="24"/>
          <w:szCs w:val="24"/>
          <w:lang w:eastAsia="pl-PL"/>
        </w:rPr>
      </w:pPr>
      <w:r w:rsidRPr="0016476C">
        <w:rPr>
          <w:rFonts w:ascii="Times New Roman" w:eastAsia="Times New Roman" w:hAnsi="Times New Roman" w:cs="Times New Roman"/>
          <w:bCs/>
          <w:sz w:val="24"/>
          <w:szCs w:val="24"/>
          <w:lang w:eastAsia="pl-PL"/>
        </w:rPr>
        <w:t>Osiąganie tych celów związane jest z możliwościami osoby starszej, jej wiekiem biologicznym, wiekiem czynnościowym i wiekiem psychologicznym.</w:t>
      </w:r>
      <w:r w:rsidRPr="0016476C">
        <w:rPr>
          <w:rFonts w:ascii="Times New Roman" w:eastAsia="Times New Roman" w:hAnsi="Times New Roman" w:cs="Times New Roman"/>
          <w:sz w:val="24"/>
          <w:szCs w:val="24"/>
          <w:lang w:eastAsia="pl-PL"/>
        </w:rPr>
        <w:t xml:space="preserve"> </w:t>
      </w:r>
    </w:p>
    <w:p w14:paraId="1264147C" w14:textId="77777777" w:rsidR="00641273" w:rsidRPr="0016476C" w:rsidRDefault="00641273" w:rsidP="00106C7A">
      <w:pPr>
        <w:tabs>
          <w:tab w:val="left" w:pos="709"/>
          <w:tab w:val="left" w:pos="5529"/>
        </w:tabs>
        <w:spacing w:after="0"/>
        <w:jc w:val="both"/>
        <w:rPr>
          <w:rFonts w:ascii="Times New Roman" w:eastAsia="Times New Roman" w:hAnsi="Times New Roman" w:cs="Times New Roman"/>
          <w:bCs/>
          <w:sz w:val="24"/>
          <w:szCs w:val="24"/>
          <w:lang w:eastAsia="pl-PL"/>
        </w:rPr>
      </w:pPr>
    </w:p>
    <w:p w14:paraId="247288A1" w14:textId="77777777" w:rsidR="00641273" w:rsidRPr="00E922C4" w:rsidRDefault="00641273" w:rsidP="00106C7A">
      <w:pPr>
        <w:tabs>
          <w:tab w:val="left" w:pos="709"/>
          <w:tab w:val="left" w:pos="5529"/>
        </w:tabs>
        <w:spacing w:after="0"/>
        <w:jc w:val="both"/>
        <w:rPr>
          <w:rFonts w:ascii="Times New Roman" w:eastAsia="Times New Roman" w:hAnsi="Times New Roman" w:cs="Times New Roman"/>
          <w:sz w:val="24"/>
          <w:szCs w:val="24"/>
          <w:lang w:eastAsia="pl-PL"/>
        </w:rPr>
      </w:pPr>
      <w:r w:rsidRPr="0016476C">
        <w:rPr>
          <w:rFonts w:ascii="Times New Roman" w:eastAsia="Times New Roman" w:hAnsi="Times New Roman" w:cs="Times New Roman"/>
          <w:sz w:val="24"/>
          <w:szCs w:val="24"/>
          <w:lang w:eastAsia="pl-PL"/>
        </w:rPr>
        <w:t xml:space="preserve">Przyjmuje się, że skuteczną realizację zadania wspomagać powinny projekty polegające na promowaniu aktywności fizycznej osób starszych, wskazujące korzyści dla dobrego zdrowia, lepszego samopoczucia, pełnego udziału i akceptacji swej roli w życiu społeczeństwa. Wiele badań dowodzi, że nie ma granicy wieku, przy której aktywność fizyczna byłaby niemożliwa i nie przynosiła korzyści. W zakresie promocyjnym, zadanie ma na celu przywrócenie starszym osobom „chęci” do uprawiania ćwiczeń fizycznych, adekwatnych do </w:t>
      </w:r>
      <w:r w:rsidRPr="0016476C">
        <w:rPr>
          <w:rFonts w:ascii="Times New Roman" w:eastAsia="Times New Roman" w:hAnsi="Times New Roman" w:cs="Times New Roman"/>
          <w:sz w:val="24"/>
          <w:szCs w:val="24"/>
          <w:lang w:eastAsia="pl-PL"/>
        </w:rPr>
        <w:lastRenderedPageBreak/>
        <w:t>wieku i swoich aktualnych możliwości, ponieważ nie ma żadnych biologicznych barier, które by taką aktywność</w:t>
      </w:r>
      <w:r w:rsidR="00E922C4">
        <w:rPr>
          <w:rFonts w:ascii="Times New Roman" w:eastAsia="Times New Roman" w:hAnsi="Times New Roman" w:cs="Times New Roman"/>
          <w:sz w:val="24"/>
          <w:szCs w:val="24"/>
          <w:lang w:eastAsia="pl-PL"/>
        </w:rPr>
        <w:t xml:space="preserve"> mogły jednoznacznie wykluczać. </w:t>
      </w:r>
      <w:r w:rsidRPr="0016476C">
        <w:rPr>
          <w:rFonts w:ascii="Times New Roman" w:eastAsia="Times New Roman" w:hAnsi="Times New Roman" w:cs="Times New Roman"/>
          <w:sz w:val="24"/>
          <w:szCs w:val="24"/>
          <w:lang w:eastAsia="pl-PL"/>
        </w:rPr>
        <w:t>Działania są adresowane do osób, które ukończyły 50 rok życia. Zakładają wsparcie przedsięwzięć o charakterze ogólnopolskim lub ponadregionalnym i szerokim zasięgu,</w:t>
      </w:r>
      <w:r w:rsidRPr="0016476C">
        <w:rPr>
          <w:rFonts w:ascii="Times New Roman" w:eastAsia="Times New Roman" w:hAnsi="Times New Roman" w:cs="Times New Roman"/>
          <w:bCs/>
          <w:sz w:val="24"/>
          <w:szCs w:val="24"/>
          <w:lang w:eastAsia="pl-PL"/>
        </w:rPr>
        <w:t xml:space="preserve"> realizowanych </w:t>
      </w:r>
      <w:r w:rsidRPr="0016476C">
        <w:rPr>
          <w:rFonts w:ascii="Times New Roman" w:eastAsia="Times New Roman" w:hAnsi="Times New Roman" w:cs="Times New Roman"/>
          <w:sz w:val="24"/>
          <w:szCs w:val="24"/>
          <w:lang w:eastAsia="pl-PL"/>
        </w:rPr>
        <w:t xml:space="preserve">w formie programów aktywizacji ruchowej, kampanii profilaktycznych, akcji inicjujących aktywność fizyczną, imprez popularyzatorskich, profilaktycznych oraz działań promujących aktywność fizyczną osób starszych. </w:t>
      </w:r>
      <w:r w:rsidRPr="0016476C">
        <w:rPr>
          <w:rFonts w:ascii="Times New Roman" w:eastAsia="Times New Roman" w:hAnsi="Times New Roman" w:cs="Times New Roman"/>
          <w:bCs/>
          <w:sz w:val="24"/>
          <w:szCs w:val="24"/>
          <w:lang w:eastAsia="pl-PL"/>
        </w:rPr>
        <w:t>Podstawową formą objętą działaniami promocyjnymi są zajęcia aktywności rekreacyjnej i aktywności prewencyjnej, dostarczające seniorom niezbędnej dawki ćwiczeń ruchowych.</w:t>
      </w:r>
    </w:p>
    <w:p w14:paraId="58F04913" w14:textId="77777777" w:rsidR="00E922C4" w:rsidRDefault="00E922C4" w:rsidP="00106C7A">
      <w:pPr>
        <w:tabs>
          <w:tab w:val="left" w:pos="709"/>
          <w:tab w:val="left" w:pos="5529"/>
        </w:tabs>
        <w:spacing w:after="0"/>
        <w:jc w:val="both"/>
        <w:rPr>
          <w:rFonts w:ascii="Times New Roman" w:eastAsia="Times New Roman" w:hAnsi="Times New Roman" w:cs="Times New Roman"/>
          <w:bCs/>
          <w:sz w:val="24"/>
          <w:szCs w:val="24"/>
          <w:lang w:eastAsia="pl-PL"/>
        </w:rPr>
      </w:pPr>
    </w:p>
    <w:p w14:paraId="15304DC6" w14:textId="77777777" w:rsidR="00641273" w:rsidRPr="0016476C" w:rsidRDefault="00641273" w:rsidP="00106C7A">
      <w:pPr>
        <w:tabs>
          <w:tab w:val="left" w:pos="709"/>
          <w:tab w:val="left" w:pos="5529"/>
        </w:tabs>
        <w:spacing w:after="0"/>
        <w:jc w:val="both"/>
        <w:rPr>
          <w:rFonts w:ascii="Times New Roman" w:eastAsia="Times New Roman" w:hAnsi="Times New Roman" w:cs="Times New Roman"/>
          <w:sz w:val="24"/>
          <w:szCs w:val="24"/>
          <w:lang w:eastAsia="pl-PL"/>
        </w:rPr>
      </w:pPr>
      <w:r w:rsidRPr="0016476C">
        <w:rPr>
          <w:rFonts w:ascii="Times New Roman" w:eastAsia="Times New Roman" w:hAnsi="Times New Roman" w:cs="Times New Roman"/>
          <w:sz w:val="24"/>
          <w:szCs w:val="24"/>
          <w:lang w:eastAsia="pl-PL"/>
        </w:rPr>
        <w:t xml:space="preserve">Ministerstwo Sportu poprzez realizację ww. działań zamierza dotrzeć do jak największej liczby adresatów, między innymi do ponad 65 tys. seniorów skupionych wokół środowisk ponad 400 Uniwersytetów Trzeciego Wieku, rozwijających swą działalność w całej Polsce, </w:t>
      </w:r>
      <w:r w:rsidRPr="0016476C">
        <w:rPr>
          <w:rFonts w:ascii="Times New Roman" w:eastAsia="Times New Roman" w:hAnsi="Times New Roman" w:cs="Times New Roman"/>
          <w:sz w:val="24"/>
          <w:szCs w:val="24"/>
          <w:lang w:eastAsia="pl-PL"/>
        </w:rPr>
        <w:br/>
        <w:t xml:space="preserve">z przekazem wiedzy dotyczącej zdrowego starzenia się oraz możliwości zwiększenia poziomu aktywności fizycznej. Ważnym instrumentem w dotarciu do odbiorców programu jest uruchomienie wszelkich kanałów komunikacji, w tym portali internetowych i wydawnictw, poświęconych </w:t>
      </w:r>
      <w:r w:rsidRPr="0016476C">
        <w:rPr>
          <w:rFonts w:ascii="Times New Roman" w:eastAsia="Times New Roman" w:hAnsi="Times New Roman" w:cs="Times New Roman"/>
          <w:bCs/>
          <w:sz w:val="24"/>
          <w:szCs w:val="24"/>
          <w:lang w:eastAsia="pl-PL"/>
        </w:rPr>
        <w:t>promocji</w:t>
      </w:r>
      <w:r w:rsidRPr="0016476C">
        <w:rPr>
          <w:rFonts w:ascii="Times New Roman" w:eastAsia="Times New Roman" w:hAnsi="Times New Roman" w:cs="Times New Roman"/>
          <w:sz w:val="24"/>
          <w:szCs w:val="24"/>
          <w:lang w:eastAsia="pl-PL"/>
        </w:rPr>
        <w:t xml:space="preserve"> aktywności fizycznej wśród osób starszych. </w:t>
      </w:r>
    </w:p>
    <w:p w14:paraId="79245FAC" w14:textId="77777777" w:rsidR="00641273" w:rsidRPr="0016476C" w:rsidRDefault="00641273" w:rsidP="00106C7A">
      <w:pPr>
        <w:tabs>
          <w:tab w:val="left" w:pos="709"/>
          <w:tab w:val="left" w:pos="5529"/>
        </w:tabs>
        <w:spacing w:after="0"/>
        <w:jc w:val="both"/>
        <w:rPr>
          <w:rFonts w:ascii="Times New Roman" w:eastAsia="Times New Roman" w:hAnsi="Times New Roman" w:cs="Times New Roman"/>
          <w:sz w:val="24"/>
          <w:szCs w:val="24"/>
          <w:lang w:eastAsia="pl-PL"/>
        </w:rPr>
      </w:pPr>
    </w:p>
    <w:p w14:paraId="037732EA" w14:textId="77777777" w:rsidR="00641273" w:rsidRPr="00E922C4" w:rsidRDefault="00641273" w:rsidP="00106C7A">
      <w:pPr>
        <w:tabs>
          <w:tab w:val="left" w:pos="0"/>
          <w:tab w:val="left" w:pos="5529"/>
        </w:tabs>
        <w:spacing w:after="0"/>
        <w:jc w:val="both"/>
        <w:rPr>
          <w:rFonts w:ascii="Times New Roman" w:eastAsia="Times New Roman" w:hAnsi="Times New Roman" w:cs="Times New Roman"/>
          <w:sz w:val="24"/>
          <w:szCs w:val="24"/>
          <w:lang w:eastAsia="pl-PL"/>
        </w:rPr>
      </w:pPr>
      <w:r w:rsidRPr="00E922C4">
        <w:rPr>
          <w:rFonts w:ascii="Times New Roman" w:eastAsia="Times New Roman" w:hAnsi="Times New Roman" w:cs="Times New Roman"/>
          <w:sz w:val="24"/>
          <w:szCs w:val="24"/>
          <w:lang w:eastAsia="pl-PL"/>
        </w:rPr>
        <w:t>Koszty realizacji projektu ze strony Ministerstwa Sportu zostały zapewnione ze środków pochodzących z budżetu państwa. Na dofinansowanie dz</w:t>
      </w:r>
      <w:r w:rsidR="00E922C4">
        <w:rPr>
          <w:rFonts w:ascii="Times New Roman" w:eastAsia="Times New Roman" w:hAnsi="Times New Roman" w:cs="Times New Roman"/>
          <w:sz w:val="24"/>
          <w:szCs w:val="24"/>
          <w:lang w:eastAsia="pl-PL"/>
        </w:rPr>
        <w:t xml:space="preserve">iałań skierowanych do seniorów </w:t>
      </w:r>
      <w:r w:rsidRPr="00E922C4">
        <w:rPr>
          <w:rFonts w:ascii="Times New Roman" w:eastAsia="Times New Roman" w:hAnsi="Times New Roman" w:cs="Times New Roman"/>
          <w:sz w:val="24"/>
          <w:szCs w:val="24"/>
          <w:lang w:eastAsia="pl-PL"/>
        </w:rPr>
        <w:t>w ramach Programu „Sport dla Wszystkich” - realizowanych w ramach zadania pn. „Upowszechnianie sportu w rodzinie oraz różnych grupach sp</w:t>
      </w:r>
      <w:r w:rsidR="00E922C4" w:rsidRPr="00E922C4">
        <w:rPr>
          <w:rFonts w:ascii="Times New Roman" w:eastAsia="Times New Roman" w:hAnsi="Times New Roman" w:cs="Times New Roman"/>
          <w:sz w:val="24"/>
          <w:szCs w:val="24"/>
          <w:lang w:eastAsia="pl-PL"/>
        </w:rPr>
        <w:t xml:space="preserve">ołecznych”, łącznie w 2019 r. </w:t>
      </w:r>
      <w:r w:rsidRPr="00E922C4">
        <w:rPr>
          <w:rFonts w:ascii="Times New Roman" w:eastAsia="Times New Roman" w:hAnsi="Times New Roman" w:cs="Times New Roman"/>
          <w:sz w:val="24"/>
          <w:szCs w:val="24"/>
          <w:lang w:eastAsia="pl-PL"/>
        </w:rPr>
        <w:t xml:space="preserve">przyznano dofinansowanie w wysokości 2 184 400,00 zł. Pozwoliło to na udział w różnorodnych projektach niemal 264 000 uczestników. Poniższe zestawienie przedstawia zadania dofinansowane w 2019 r. </w:t>
      </w:r>
    </w:p>
    <w:p w14:paraId="0EE8DE01" w14:textId="77777777" w:rsidR="00641273" w:rsidRPr="0016476C" w:rsidRDefault="00641273" w:rsidP="003C1988">
      <w:pPr>
        <w:tabs>
          <w:tab w:val="left" w:pos="0"/>
          <w:tab w:val="left" w:pos="5529"/>
        </w:tabs>
        <w:spacing w:after="0"/>
        <w:rPr>
          <w:rFonts w:ascii="Times New Roman" w:eastAsia="Times New Roman" w:hAnsi="Times New Roman" w:cs="Times New Roman"/>
          <w:sz w:val="24"/>
          <w:szCs w:val="24"/>
          <w:lang w:eastAsia="pl-PL"/>
        </w:rPr>
      </w:pPr>
    </w:p>
    <w:p w14:paraId="1699792C" w14:textId="1FBB3FFE" w:rsidR="002A1454" w:rsidRPr="002A1454" w:rsidRDefault="002A1454" w:rsidP="002A1454">
      <w:pPr>
        <w:pStyle w:val="Legenda"/>
        <w:keepNext/>
        <w:rPr>
          <w:rFonts w:ascii="Times New Roman" w:hAnsi="Times New Roman" w:cs="Times New Roman"/>
          <w:b/>
          <w:i w:val="0"/>
          <w:sz w:val="24"/>
        </w:rPr>
      </w:pPr>
      <w:bookmarkStart w:id="72" w:name="_Toc49171422"/>
      <w:r w:rsidRPr="002A1454">
        <w:rPr>
          <w:rFonts w:ascii="Times New Roman" w:hAnsi="Times New Roman" w:cs="Times New Roman"/>
          <w:b/>
          <w:i w:val="0"/>
          <w:sz w:val="24"/>
        </w:rPr>
        <w:t xml:space="preserve">Tabela </w:t>
      </w:r>
      <w:r w:rsidRPr="002A1454">
        <w:rPr>
          <w:rFonts w:ascii="Times New Roman" w:hAnsi="Times New Roman" w:cs="Times New Roman"/>
          <w:b/>
          <w:i w:val="0"/>
          <w:sz w:val="24"/>
        </w:rPr>
        <w:fldChar w:fldCharType="begin"/>
      </w:r>
      <w:r w:rsidRPr="002A1454">
        <w:rPr>
          <w:rFonts w:ascii="Times New Roman" w:hAnsi="Times New Roman" w:cs="Times New Roman"/>
          <w:b/>
          <w:i w:val="0"/>
          <w:sz w:val="24"/>
        </w:rPr>
        <w:instrText xml:space="preserve"> SEQ Tabela \* ARABIC </w:instrText>
      </w:r>
      <w:r w:rsidRPr="002A1454">
        <w:rPr>
          <w:rFonts w:ascii="Times New Roman" w:hAnsi="Times New Roman" w:cs="Times New Roman"/>
          <w:b/>
          <w:i w:val="0"/>
          <w:sz w:val="24"/>
        </w:rPr>
        <w:fldChar w:fldCharType="separate"/>
      </w:r>
      <w:r w:rsidR="00C154C9">
        <w:rPr>
          <w:rFonts w:ascii="Times New Roman" w:hAnsi="Times New Roman" w:cs="Times New Roman"/>
          <w:b/>
          <w:i w:val="0"/>
          <w:noProof/>
          <w:sz w:val="24"/>
        </w:rPr>
        <w:t>47</w:t>
      </w:r>
      <w:r w:rsidRPr="002A1454">
        <w:rPr>
          <w:rFonts w:ascii="Times New Roman" w:hAnsi="Times New Roman" w:cs="Times New Roman"/>
          <w:b/>
          <w:i w:val="0"/>
          <w:sz w:val="24"/>
        </w:rPr>
        <w:fldChar w:fldCharType="end"/>
      </w:r>
      <w:r w:rsidRPr="002A1454">
        <w:rPr>
          <w:rFonts w:ascii="Times New Roman" w:hAnsi="Times New Roman" w:cs="Times New Roman"/>
          <w:b/>
          <w:i w:val="0"/>
          <w:sz w:val="24"/>
        </w:rPr>
        <w:t xml:space="preserve"> Zadania dofinansowane przez Ministerstwo Sportu w 2019 r.</w:t>
      </w:r>
      <w:bookmarkEnd w:id="72"/>
    </w:p>
    <w:tbl>
      <w:tblPr>
        <w:tblW w:w="10172"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943"/>
        <w:gridCol w:w="4961"/>
        <w:gridCol w:w="2268"/>
      </w:tblGrid>
      <w:tr w:rsidR="00641273" w:rsidRPr="00961350" w14:paraId="168A4E63" w14:textId="77777777" w:rsidTr="00961350">
        <w:trPr>
          <w:trHeight w:val="465"/>
          <w:jc w:val="center"/>
        </w:trPr>
        <w:tc>
          <w:tcPr>
            <w:tcW w:w="2943" w:type="dxa"/>
            <w:shd w:val="clear" w:color="auto" w:fill="9CC2E5" w:themeFill="accent1" w:themeFillTint="99"/>
            <w:vAlign w:val="bottom"/>
          </w:tcPr>
          <w:p w14:paraId="18CA584A" w14:textId="77777777" w:rsidR="00641273" w:rsidRPr="00961350" w:rsidRDefault="00641273" w:rsidP="00961350">
            <w:pPr>
              <w:spacing w:after="0" w:line="240" w:lineRule="auto"/>
              <w:jc w:val="center"/>
              <w:rPr>
                <w:rFonts w:ascii="Times New Roman" w:eastAsia="Times New Roman" w:hAnsi="Times New Roman" w:cs="Times New Roman"/>
                <w:b/>
                <w:sz w:val="20"/>
                <w:szCs w:val="20"/>
                <w:lang w:eastAsia="pl-PL"/>
              </w:rPr>
            </w:pPr>
            <w:r w:rsidRPr="00961350">
              <w:rPr>
                <w:rFonts w:ascii="Times New Roman" w:eastAsia="Times New Roman" w:hAnsi="Times New Roman" w:cs="Times New Roman"/>
                <w:b/>
                <w:sz w:val="20"/>
                <w:szCs w:val="20"/>
                <w:lang w:eastAsia="pl-PL"/>
              </w:rPr>
              <w:t>Nazwa organizacji</w:t>
            </w:r>
          </w:p>
        </w:tc>
        <w:tc>
          <w:tcPr>
            <w:tcW w:w="4961" w:type="dxa"/>
            <w:shd w:val="clear" w:color="auto" w:fill="9CC2E5" w:themeFill="accent1" w:themeFillTint="99"/>
            <w:vAlign w:val="bottom"/>
          </w:tcPr>
          <w:p w14:paraId="25A9D76A" w14:textId="77777777" w:rsidR="00641273" w:rsidRPr="00961350" w:rsidRDefault="00641273" w:rsidP="00961350">
            <w:pPr>
              <w:spacing w:after="0" w:line="240" w:lineRule="auto"/>
              <w:jc w:val="center"/>
              <w:rPr>
                <w:rFonts w:ascii="Times New Roman" w:eastAsia="Times New Roman" w:hAnsi="Times New Roman" w:cs="Times New Roman"/>
                <w:b/>
                <w:sz w:val="20"/>
                <w:szCs w:val="20"/>
                <w:lang w:eastAsia="pl-PL"/>
              </w:rPr>
            </w:pPr>
            <w:r w:rsidRPr="00961350">
              <w:rPr>
                <w:rFonts w:ascii="Times New Roman" w:eastAsia="Times New Roman" w:hAnsi="Times New Roman" w:cs="Times New Roman"/>
                <w:b/>
                <w:sz w:val="20"/>
                <w:szCs w:val="20"/>
                <w:lang w:eastAsia="pl-PL"/>
              </w:rPr>
              <w:t>Nazwa zadania</w:t>
            </w:r>
          </w:p>
        </w:tc>
        <w:tc>
          <w:tcPr>
            <w:tcW w:w="2268" w:type="dxa"/>
            <w:shd w:val="clear" w:color="auto" w:fill="9CC2E5" w:themeFill="accent1" w:themeFillTint="99"/>
            <w:noWrap/>
            <w:vAlign w:val="bottom"/>
          </w:tcPr>
          <w:p w14:paraId="7FB9D0C0" w14:textId="77777777" w:rsidR="00641273" w:rsidRPr="00961350" w:rsidRDefault="00641273" w:rsidP="00961350">
            <w:pPr>
              <w:spacing w:after="0" w:line="240" w:lineRule="auto"/>
              <w:jc w:val="center"/>
              <w:rPr>
                <w:rFonts w:ascii="Times New Roman" w:eastAsia="Times New Roman" w:hAnsi="Times New Roman" w:cs="Times New Roman"/>
                <w:b/>
                <w:sz w:val="20"/>
                <w:szCs w:val="20"/>
                <w:lang w:eastAsia="pl-PL"/>
              </w:rPr>
            </w:pPr>
            <w:r w:rsidRPr="00961350">
              <w:rPr>
                <w:rFonts w:ascii="Times New Roman" w:eastAsia="Times New Roman" w:hAnsi="Times New Roman" w:cs="Times New Roman"/>
                <w:b/>
                <w:sz w:val="20"/>
                <w:szCs w:val="20"/>
                <w:lang w:eastAsia="pl-PL"/>
              </w:rPr>
              <w:t>Kwota dotacji w zł</w:t>
            </w:r>
          </w:p>
        </w:tc>
      </w:tr>
      <w:tr w:rsidR="00641273" w:rsidRPr="00961350" w14:paraId="317D4F0A" w14:textId="77777777" w:rsidTr="00961350">
        <w:trPr>
          <w:trHeight w:val="465"/>
          <w:jc w:val="center"/>
        </w:trPr>
        <w:tc>
          <w:tcPr>
            <w:tcW w:w="2943" w:type="dxa"/>
            <w:shd w:val="clear" w:color="auto" w:fill="9CC2E5" w:themeFill="accent1" w:themeFillTint="99"/>
          </w:tcPr>
          <w:p w14:paraId="52EDF086"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Akademicki Związek Sportowy Warszawa</w:t>
            </w:r>
          </w:p>
        </w:tc>
        <w:tc>
          <w:tcPr>
            <w:tcW w:w="4961" w:type="dxa"/>
            <w:shd w:val="clear" w:color="auto" w:fill="auto"/>
          </w:tcPr>
          <w:p w14:paraId="0D31263D"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Sportowa Akademia Dojrzałego Wieku - Seniorzy Zawsze Aktywni</w:t>
            </w:r>
          </w:p>
        </w:tc>
        <w:tc>
          <w:tcPr>
            <w:tcW w:w="2268" w:type="dxa"/>
            <w:shd w:val="clear" w:color="auto" w:fill="auto"/>
            <w:noWrap/>
          </w:tcPr>
          <w:p w14:paraId="3194B8AB" w14:textId="77777777" w:rsidR="00641273" w:rsidRPr="00961350" w:rsidRDefault="00641273" w:rsidP="00961350">
            <w:pPr>
              <w:tabs>
                <w:tab w:val="left" w:pos="709"/>
                <w:tab w:val="left" w:pos="5529"/>
              </w:tabs>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40 000,00</w:t>
            </w:r>
          </w:p>
        </w:tc>
      </w:tr>
      <w:tr w:rsidR="00641273" w:rsidRPr="00961350" w14:paraId="3ADD6325" w14:textId="77777777" w:rsidTr="00961350">
        <w:trPr>
          <w:trHeight w:val="240"/>
          <w:jc w:val="center"/>
        </w:trPr>
        <w:tc>
          <w:tcPr>
            <w:tcW w:w="2943" w:type="dxa"/>
            <w:shd w:val="clear" w:color="auto" w:fill="9CC2E5" w:themeFill="accent1" w:themeFillTint="99"/>
          </w:tcPr>
          <w:p w14:paraId="2F4E0116"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Wojewódzkie Zrzeszenie  Ludowe Zespoły Sportowe</w:t>
            </w:r>
          </w:p>
        </w:tc>
        <w:tc>
          <w:tcPr>
            <w:tcW w:w="4961" w:type="dxa"/>
            <w:shd w:val="clear" w:color="auto" w:fill="auto"/>
          </w:tcPr>
          <w:p w14:paraId="5E8C6349"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Letnie Igrzyska Seniorów Halowe Igrzyska seniorów</w:t>
            </w:r>
          </w:p>
        </w:tc>
        <w:tc>
          <w:tcPr>
            <w:tcW w:w="2268" w:type="dxa"/>
            <w:shd w:val="clear" w:color="auto" w:fill="auto"/>
            <w:noWrap/>
          </w:tcPr>
          <w:p w14:paraId="4AC9CD7F"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70 000,00</w:t>
            </w:r>
          </w:p>
        </w:tc>
      </w:tr>
      <w:tr w:rsidR="00641273" w:rsidRPr="00961350" w14:paraId="5D61DE05" w14:textId="77777777" w:rsidTr="00961350">
        <w:trPr>
          <w:trHeight w:val="503"/>
          <w:jc w:val="center"/>
        </w:trPr>
        <w:tc>
          <w:tcPr>
            <w:tcW w:w="2943" w:type="dxa"/>
            <w:shd w:val="clear" w:color="auto" w:fill="9CC2E5" w:themeFill="accent1" w:themeFillTint="99"/>
          </w:tcPr>
          <w:p w14:paraId="5A314C65"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Polski Związek Lekkiej Atletyki Masters</w:t>
            </w:r>
          </w:p>
        </w:tc>
        <w:tc>
          <w:tcPr>
            <w:tcW w:w="4961" w:type="dxa"/>
            <w:shd w:val="clear" w:color="auto" w:fill="auto"/>
          </w:tcPr>
          <w:p w14:paraId="304CA33F"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Organizacja  Mistrzostw Polski w Lekkiej Atletyce Masters: 1 . 28. Halowe Mistrzostwa Polski w Lekkiej Atletyce Masters, 2. Halowe Mistrzostwa Polski Lekarzy 2.  27. Mistrzostwa Polski Masters  w  Pięcioboju Klasycznym i Pięciobojach Rzutowych , 4. Mistrzostwa Polski Lekarzy w Pięcioboju Klasycznym i Pięciobojach Rzutowych oraz  4. Mistrzostwa Polski Masters w Trójboju  Sprinterskim.  3. 29. Mistrzostwa Polski w Lekkiej Atletyce Masters,  8. Mistrzostwa Polski Lekarzy w Lekkiej Atletyce.</w:t>
            </w:r>
          </w:p>
        </w:tc>
        <w:tc>
          <w:tcPr>
            <w:tcW w:w="2268" w:type="dxa"/>
            <w:shd w:val="clear" w:color="auto" w:fill="auto"/>
            <w:noWrap/>
          </w:tcPr>
          <w:p w14:paraId="071F7897"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60 000,00</w:t>
            </w:r>
          </w:p>
        </w:tc>
      </w:tr>
      <w:tr w:rsidR="00641273" w:rsidRPr="00961350" w14:paraId="7E7BC39C" w14:textId="77777777" w:rsidTr="00961350">
        <w:trPr>
          <w:trHeight w:val="503"/>
          <w:jc w:val="center"/>
        </w:trPr>
        <w:tc>
          <w:tcPr>
            <w:tcW w:w="2943" w:type="dxa"/>
            <w:shd w:val="clear" w:color="auto" w:fill="9CC2E5" w:themeFill="accent1" w:themeFillTint="99"/>
          </w:tcPr>
          <w:p w14:paraId="0E8F4341"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Polski Związek Lekkiej Atletyki Masters</w:t>
            </w:r>
          </w:p>
        </w:tc>
        <w:tc>
          <w:tcPr>
            <w:tcW w:w="4961" w:type="dxa"/>
            <w:shd w:val="clear" w:color="auto" w:fill="auto"/>
          </w:tcPr>
          <w:p w14:paraId="2913DB7F" w14:textId="77777777" w:rsidR="00641273" w:rsidRPr="00961350" w:rsidRDefault="00641273" w:rsidP="00961350">
            <w:pPr>
              <w:spacing w:after="0" w:line="240" w:lineRule="auto"/>
              <w:rPr>
                <w:rFonts w:ascii="Times New Roman" w:eastAsia="Times New Roman" w:hAnsi="Times New Roman" w:cs="Times New Roman"/>
                <w:color w:val="000000"/>
                <w:sz w:val="20"/>
                <w:szCs w:val="20"/>
                <w:lang w:eastAsia="pl-PL"/>
              </w:rPr>
            </w:pPr>
            <w:r w:rsidRPr="00961350">
              <w:rPr>
                <w:rFonts w:ascii="Times New Roman" w:eastAsia="Times New Roman" w:hAnsi="Times New Roman" w:cs="Times New Roman"/>
                <w:color w:val="000000"/>
                <w:sz w:val="20"/>
                <w:szCs w:val="20"/>
                <w:lang w:eastAsia="pl-PL"/>
              </w:rPr>
              <w:t>8. Halowe Mistrzostwa Świata w Lekkiej Atletyce Masters</w:t>
            </w:r>
          </w:p>
        </w:tc>
        <w:tc>
          <w:tcPr>
            <w:tcW w:w="2268" w:type="dxa"/>
            <w:shd w:val="clear" w:color="auto" w:fill="auto"/>
            <w:noWrap/>
          </w:tcPr>
          <w:p w14:paraId="79D86A87"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130 000,00</w:t>
            </w:r>
          </w:p>
        </w:tc>
      </w:tr>
      <w:tr w:rsidR="00641273" w:rsidRPr="00961350" w14:paraId="7D8EF441" w14:textId="77777777" w:rsidTr="00961350">
        <w:trPr>
          <w:trHeight w:val="542"/>
          <w:jc w:val="center"/>
        </w:trPr>
        <w:tc>
          <w:tcPr>
            <w:tcW w:w="2943" w:type="dxa"/>
            <w:shd w:val="clear" w:color="auto" w:fill="9CC2E5" w:themeFill="accent1" w:themeFillTint="99"/>
          </w:tcPr>
          <w:p w14:paraId="6D0C4090" w14:textId="77777777" w:rsidR="00641273" w:rsidRPr="00961350" w:rsidRDefault="00641273" w:rsidP="00961350">
            <w:pPr>
              <w:spacing w:after="0" w:line="240" w:lineRule="auto"/>
              <w:rPr>
                <w:rFonts w:ascii="Times New Roman" w:eastAsia="Times New Roman" w:hAnsi="Times New Roman" w:cs="Times New Roman"/>
                <w:color w:val="000000"/>
                <w:sz w:val="20"/>
                <w:szCs w:val="20"/>
                <w:lang w:eastAsia="pl-PL"/>
              </w:rPr>
            </w:pPr>
            <w:r w:rsidRPr="00961350">
              <w:rPr>
                <w:rFonts w:ascii="Times New Roman" w:eastAsia="Times New Roman" w:hAnsi="Times New Roman" w:cs="Times New Roman"/>
                <w:color w:val="000000"/>
                <w:sz w:val="20"/>
                <w:szCs w:val="20"/>
                <w:lang w:eastAsia="pl-PL"/>
              </w:rPr>
              <w:lastRenderedPageBreak/>
              <w:t>Fundacja Narodowy Badminton</w:t>
            </w:r>
          </w:p>
        </w:tc>
        <w:tc>
          <w:tcPr>
            <w:tcW w:w="4961" w:type="dxa"/>
            <w:shd w:val="clear" w:color="auto" w:fill="auto"/>
          </w:tcPr>
          <w:p w14:paraId="0A15CF20"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Turnieje Seniorów Badmintona</w:t>
            </w:r>
          </w:p>
        </w:tc>
        <w:tc>
          <w:tcPr>
            <w:tcW w:w="2268" w:type="dxa"/>
            <w:shd w:val="clear" w:color="auto" w:fill="auto"/>
            <w:noWrap/>
          </w:tcPr>
          <w:p w14:paraId="01B7A704"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70 000,00</w:t>
            </w:r>
          </w:p>
        </w:tc>
      </w:tr>
      <w:tr w:rsidR="00641273" w:rsidRPr="00961350" w14:paraId="66381D4D" w14:textId="77777777" w:rsidTr="00961350">
        <w:trPr>
          <w:trHeight w:val="300"/>
          <w:jc w:val="center"/>
        </w:trPr>
        <w:tc>
          <w:tcPr>
            <w:tcW w:w="2943" w:type="dxa"/>
            <w:shd w:val="clear" w:color="auto" w:fill="9CC2E5" w:themeFill="accent1" w:themeFillTint="99"/>
          </w:tcPr>
          <w:p w14:paraId="703D5D78"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Fundacja Instytut Łukasiewicza</w:t>
            </w:r>
          </w:p>
        </w:tc>
        <w:tc>
          <w:tcPr>
            <w:tcW w:w="4961" w:type="dxa"/>
            <w:shd w:val="clear" w:color="auto" w:fill="auto"/>
          </w:tcPr>
          <w:p w14:paraId="7D37BF19"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Kampania informacyjno-edukacyjna dla słuchaczy uniwersytetów trzeciego wieku „UTW BEZ GRANIC: seniorzy na start!” 2019. Kontynuacja działań o zasięgu ogólnopolskim</w:t>
            </w:r>
          </w:p>
        </w:tc>
        <w:tc>
          <w:tcPr>
            <w:tcW w:w="2268" w:type="dxa"/>
            <w:shd w:val="clear" w:color="auto" w:fill="auto"/>
            <w:noWrap/>
          </w:tcPr>
          <w:p w14:paraId="5EAB21AF"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110 000,00</w:t>
            </w:r>
          </w:p>
        </w:tc>
      </w:tr>
      <w:tr w:rsidR="00641273" w:rsidRPr="00961350" w14:paraId="49050EB4" w14:textId="77777777" w:rsidTr="00961350">
        <w:trPr>
          <w:trHeight w:val="300"/>
          <w:jc w:val="center"/>
        </w:trPr>
        <w:tc>
          <w:tcPr>
            <w:tcW w:w="2943" w:type="dxa"/>
            <w:shd w:val="clear" w:color="auto" w:fill="9CC2E5" w:themeFill="accent1" w:themeFillTint="99"/>
          </w:tcPr>
          <w:p w14:paraId="11C8EDF0"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Fundacja Instytut Łukasiewicza</w:t>
            </w:r>
          </w:p>
        </w:tc>
        <w:tc>
          <w:tcPr>
            <w:tcW w:w="4961" w:type="dxa"/>
            <w:shd w:val="clear" w:color="auto" w:fill="auto"/>
          </w:tcPr>
          <w:p w14:paraId="645CD74B"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„Seniorze, trzymaj formę! 5”. Wywiady ze znanymi sportowcami z grupy 50+ oraz ekspertami - przygotowanie, wydanie i bezpłatny kolportaż piątej części publikacji promującej aktywność fizyczną osób starszych</w:t>
            </w:r>
          </w:p>
        </w:tc>
        <w:tc>
          <w:tcPr>
            <w:tcW w:w="2268" w:type="dxa"/>
            <w:shd w:val="clear" w:color="auto" w:fill="auto"/>
            <w:noWrap/>
          </w:tcPr>
          <w:p w14:paraId="58BC408C"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90 000,00</w:t>
            </w:r>
          </w:p>
        </w:tc>
      </w:tr>
      <w:tr w:rsidR="00641273" w:rsidRPr="00961350" w14:paraId="6E6AEC50" w14:textId="77777777" w:rsidTr="00961350">
        <w:trPr>
          <w:trHeight w:val="300"/>
          <w:jc w:val="center"/>
        </w:trPr>
        <w:tc>
          <w:tcPr>
            <w:tcW w:w="2943" w:type="dxa"/>
            <w:shd w:val="clear" w:color="auto" w:fill="9CC2E5" w:themeFill="accent1" w:themeFillTint="99"/>
          </w:tcPr>
          <w:p w14:paraId="6211F30B"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Europejskie Stowarzyszenie Promocji Aktywności Ruchowej 50+</w:t>
            </w:r>
          </w:p>
        </w:tc>
        <w:tc>
          <w:tcPr>
            <w:tcW w:w="4961" w:type="dxa"/>
            <w:shd w:val="clear" w:color="auto" w:fill="auto"/>
          </w:tcPr>
          <w:p w14:paraId="65A5DD29"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Seniorada - ogólnopolski międzypokoleniowy piknik rekreacyjny dla osób starszych i rodzin</w:t>
            </w:r>
          </w:p>
        </w:tc>
        <w:tc>
          <w:tcPr>
            <w:tcW w:w="2268" w:type="dxa"/>
            <w:shd w:val="clear" w:color="auto" w:fill="auto"/>
            <w:noWrap/>
          </w:tcPr>
          <w:p w14:paraId="27226AE0"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41 400,00</w:t>
            </w:r>
          </w:p>
        </w:tc>
      </w:tr>
      <w:tr w:rsidR="00641273" w:rsidRPr="00961350" w14:paraId="4273D4F4" w14:textId="77777777" w:rsidTr="00961350">
        <w:trPr>
          <w:trHeight w:val="300"/>
          <w:jc w:val="center"/>
        </w:trPr>
        <w:tc>
          <w:tcPr>
            <w:tcW w:w="2943" w:type="dxa"/>
            <w:shd w:val="clear" w:color="auto" w:fill="9CC2E5" w:themeFill="accent1" w:themeFillTint="99"/>
          </w:tcPr>
          <w:p w14:paraId="16F8AA35"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Europejskie Stowarzyszenie Promocji Aktywności Ruchowej 50+</w:t>
            </w:r>
          </w:p>
        </w:tc>
        <w:tc>
          <w:tcPr>
            <w:tcW w:w="4961" w:type="dxa"/>
            <w:shd w:val="clear" w:color="auto" w:fill="auto"/>
          </w:tcPr>
          <w:p w14:paraId="5CA67185"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Ogólnopolski Program Rekreacji Ruchowej Osób 50+ (w skrócie: PRRO 50+): PRO Kobieta 50+, PRO Mężczyzna 50+, PRO Senior.</w:t>
            </w:r>
          </w:p>
        </w:tc>
        <w:tc>
          <w:tcPr>
            <w:tcW w:w="2268" w:type="dxa"/>
            <w:shd w:val="clear" w:color="auto" w:fill="auto"/>
            <w:noWrap/>
          </w:tcPr>
          <w:p w14:paraId="785DD2FB"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25 000,00</w:t>
            </w:r>
          </w:p>
        </w:tc>
      </w:tr>
      <w:tr w:rsidR="00641273" w:rsidRPr="00961350" w14:paraId="0DAA66F5" w14:textId="77777777" w:rsidTr="00961350">
        <w:trPr>
          <w:trHeight w:val="300"/>
          <w:jc w:val="center"/>
        </w:trPr>
        <w:tc>
          <w:tcPr>
            <w:tcW w:w="2943" w:type="dxa"/>
            <w:shd w:val="clear" w:color="auto" w:fill="9CC2E5" w:themeFill="accent1" w:themeFillTint="99"/>
          </w:tcPr>
          <w:p w14:paraId="70BD7286"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Europejskie Stowarzyszenie Promocji Aktywności Ruchowej 50+</w:t>
            </w:r>
          </w:p>
        </w:tc>
        <w:tc>
          <w:tcPr>
            <w:tcW w:w="4961" w:type="dxa"/>
            <w:shd w:val="clear" w:color="auto" w:fill="auto"/>
          </w:tcPr>
          <w:p w14:paraId="2EDF6F60"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"Przyjazne siłownie plenerowe" -  ogólnopolski program rekreacji ruchowej osób 50+ na terenie siłowni plenerowych</w:t>
            </w:r>
          </w:p>
        </w:tc>
        <w:tc>
          <w:tcPr>
            <w:tcW w:w="2268" w:type="dxa"/>
            <w:shd w:val="clear" w:color="auto" w:fill="auto"/>
            <w:noWrap/>
          </w:tcPr>
          <w:p w14:paraId="4CC0708B"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50 000,00</w:t>
            </w:r>
          </w:p>
        </w:tc>
      </w:tr>
      <w:tr w:rsidR="00641273" w:rsidRPr="00961350" w14:paraId="5460AC6B" w14:textId="77777777" w:rsidTr="00961350">
        <w:trPr>
          <w:trHeight w:val="465"/>
          <w:jc w:val="center"/>
        </w:trPr>
        <w:tc>
          <w:tcPr>
            <w:tcW w:w="2943" w:type="dxa"/>
            <w:shd w:val="clear" w:color="auto" w:fill="9CC2E5" w:themeFill="accent1" w:themeFillTint="99"/>
          </w:tcPr>
          <w:p w14:paraId="5D3C6C0A"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Europejskie Stowarzyszenie Promocji Aktywności Ruchowej 50+</w:t>
            </w:r>
          </w:p>
        </w:tc>
        <w:tc>
          <w:tcPr>
            <w:tcW w:w="4961" w:type="dxa"/>
            <w:shd w:val="clear" w:color="auto" w:fill="auto"/>
          </w:tcPr>
          <w:p w14:paraId="7209ADD2"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Program Aktywności Rekreacyjnej na Wsi dla Seniorów "PAW dla Seniorów".</w:t>
            </w:r>
          </w:p>
        </w:tc>
        <w:tc>
          <w:tcPr>
            <w:tcW w:w="2268" w:type="dxa"/>
            <w:shd w:val="clear" w:color="auto" w:fill="auto"/>
            <w:noWrap/>
          </w:tcPr>
          <w:p w14:paraId="785E4A98"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30 000,00</w:t>
            </w:r>
          </w:p>
        </w:tc>
      </w:tr>
      <w:tr w:rsidR="00641273" w:rsidRPr="00961350" w14:paraId="77570AD4" w14:textId="77777777" w:rsidTr="00961350">
        <w:trPr>
          <w:trHeight w:val="465"/>
          <w:jc w:val="center"/>
        </w:trPr>
        <w:tc>
          <w:tcPr>
            <w:tcW w:w="2943" w:type="dxa"/>
            <w:shd w:val="clear" w:color="auto" w:fill="9CC2E5" w:themeFill="accent1" w:themeFillTint="99"/>
          </w:tcPr>
          <w:p w14:paraId="1BC360D0"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Integracyjny Klub Sportowy "TARPAN"</w:t>
            </w:r>
          </w:p>
        </w:tc>
        <w:tc>
          <w:tcPr>
            <w:tcW w:w="4961" w:type="dxa"/>
            <w:shd w:val="clear" w:color="auto" w:fill="auto"/>
          </w:tcPr>
          <w:p w14:paraId="3165BA2B"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Aktywny senior, zdrowy senior</w:t>
            </w:r>
          </w:p>
        </w:tc>
        <w:tc>
          <w:tcPr>
            <w:tcW w:w="2268" w:type="dxa"/>
            <w:shd w:val="clear" w:color="auto" w:fill="auto"/>
            <w:noWrap/>
          </w:tcPr>
          <w:p w14:paraId="26A3DCB6"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25 000,00</w:t>
            </w:r>
          </w:p>
        </w:tc>
      </w:tr>
      <w:tr w:rsidR="00641273" w:rsidRPr="00961350" w14:paraId="102E7014" w14:textId="77777777" w:rsidTr="00961350">
        <w:trPr>
          <w:trHeight w:val="465"/>
          <w:jc w:val="center"/>
        </w:trPr>
        <w:tc>
          <w:tcPr>
            <w:tcW w:w="2943" w:type="dxa"/>
            <w:shd w:val="clear" w:color="auto" w:fill="9CC2E5" w:themeFill="accent1" w:themeFillTint="99"/>
          </w:tcPr>
          <w:p w14:paraId="6147699D"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Klub Biegacza SPORTING</w:t>
            </w:r>
          </w:p>
        </w:tc>
        <w:tc>
          <w:tcPr>
            <w:tcW w:w="4961" w:type="dxa"/>
            <w:shd w:val="clear" w:color="auto" w:fill="auto"/>
          </w:tcPr>
          <w:p w14:paraId="0BAB9CF5"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Ogólnopolski program aktywizacji osób starszych zmagających się z otyłością 2019</w:t>
            </w:r>
          </w:p>
        </w:tc>
        <w:tc>
          <w:tcPr>
            <w:tcW w:w="2268" w:type="dxa"/>
            <w:shd w:val="clear" w:color="auto" w:fill="auto"/>
            <w:noWrap/>
            <w:vAlign w:val="bottom"/>
          </w:tcPr>
          <w:p w14:paraId="51B10C37"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70 000,00</w:t>
            </w:r>
          </w:p>
        </w:tc>
      </w:tr>
      <w:tr w:rsidR="00641273" w:rsidRPr="00961350" w14:paraId="4EB04AB1" w14:textId="77777777" w:rsidTr="00961350">
        <w:trPr>
          <w:trHeight w:val="465"/>
          <w:jc w:val="center"/>
        </w:trPr>
        <w:tc>
          <w:tcPr>
            <w:tcW w:w="2943" w:type="dxa"/>
            <w:shd w:val="clear" w:color="auto" w:fill="9CC2E5" w:themeFill="accent1" w:themeFillTint="99"/>
          </w:tcPr>
          <w:p w14:paraId="608E576D"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Mazowieckie Towarzystwo Krzewienia Kultury Fizycznej</w:t>
            </w:r>
          </w:p>
        </w:tc>
        <w:tc>
          <w:tcPr>
            <w:tcW w:w="4961" w:type="dxa"/>
            <w:shd w:val="clear" w:color="auto" w:fill="auto"/>
          </w:tcPr>
          <w:p w14:paraId="4FBCD839"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Nordic Walking, pływanie i taniec formą terapii i aktywności fizycznej dla seniorów</w:t>
            </w:r>
          </w:p>
        </w:tc>
        <w:tc>
          <w:tcPr>
            <w:tcW w:w="2268" w:type="dxa"/>
            <w:shd w:val="clear" w:color="auto" w:fill="auto"/>
            <w:noWrap/>
          </w:tcPr>
          <w:p w14:paraId="1ABFE491"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40 000,00</w:t>
            </w:r>
          </w:p>
        </w:tc>
      </w:tr>
      <w:tr w:rsidR="00641273" w:rsidRPr="00961350" w14:paraId="3CD7E9C1" w14:textId="77777777" w:rsidTr="00961350">
        <w:trPr>
          <w:trHeight w:val="916"/>
          <w:jc w:val="center"/>
        </w:trPr>
        <w:tc>
          <w:tcPr>
            <w:tcW w:w="2943" w:type="dxa"/>
            <w:shd w:val="clear" w:color="auto" w:fill="9CC2E5" w:themeFill="accent1" w:themeFillTint="99"/>
          </w:tcPr>
          <w:p w14:paraId="5C2E5518"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Mazowieckie Towarzystwo Krzewienia Kultury Fizycznej</w:t>
            </w:r>
          </w:p>
        </w:tc>
        <w:tc>
          <w:tcPr>
            <w:tcW w:w="4961" w:type="dxa"/>
            <w:shd w:val="clear" w:color="auto" w:fill="auto"/>
          </w:tcPr>
          <w:p w14:paraId="78837007"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 xml:space="preserve">Program aktywizacji i terapii ruchowej dla osób III Wieku.  </w:t>
            </w:r>
          </w:p>
        </w:tc>
        <w:tc>
          <w:tcPr>
            <w:tcW w:w="2268" w:type="dxa"/>
            <w:shd w:val="clear" w:color="auto" w:fill="auto"/>
            <w:noWrap/>
          </w:tcPr>
          <w:p w14:paraId="656DB57A"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80 000,00</w:t>
            </w:r>
          </w:p>
        </w:tc>
      </w:tr>
      <w:tr w:rsidR="00641273" w:rsidRPr="00961350" w14:paraId="41E44AA4" w14:textId="77777777" w:rsidTr="00961350">
        <w:trPr>
          <w:trHeight w:val="1092"/>
          <w:jc w:val="center"/>
        </w:trPr>
        <w:tc>
          <w:tcPr>
            <w:tcW w:w="2943" w:type="dxa"/>
            <w:shd w:val="clear" w:color="auto" w:fill="9CC2E5" w:themeFill="accent1" w:themeFillTint="99"/>
            <w:vAlign w:val="bottom"/>
          </w:tcPr>
          <w:p w14:paraId="422F6230"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Mazowieckie Towarzystwo Krzewienia Kultury Fizycznej</w:t>
            </w:r>
          </w:p>
        </w:tc>
        <w:tc>
          <w:tcPr>
            <w:tcW w:w="4961" w:type="dxa"/>
            <w:shd w:val="clear" w:color="auto" w:fill="auto"/>
            <w:vAlign w:val="bottom"/>
          </w:tcPr>
          <w:p w14:paraId="2ED69372"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hAnsi="Times New Roman" w:cs="Times New Roman"/>
                <w:color w:val="0D0D0D"/>
                <w:sz w:val="20"/>
                <w:szCs w:val="20"/>
              </w:rPr>
              <w:t>Mazowiecka Sportowa SENIORIADA 2019  Aktywnie - Zdrowo - Sportowo  Piknik sportowy dla mazowieckich seniorów</w:t>
            </w:r>
          </w:p>
        </w:tc>
        <w:tc>
          <w:tcPr>
            <w:tcW w:w="2268" w:type="dxa"/>
            <w:shd w:val="clear" w:color="auto" w:fill="auto"/>
            <w:noWrap/>
          </w:tcPr>
          <w:p w14:paraId="78E3453E"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50 000,00</w:t>
            </w:r>
          </w:p>
        </w:tc>
      </w:tr>
      <w:tr w:rsidR="00641273" w:rsidRPr="00961350" w14:paraId="2CFD475D" w14:textId="77777777" w:rsidTr="00961350">
        <w:trPr>
          <w:trHeight w:val="700"/>
          <w:jc w:val="center"/>
        </w:trPr>
        <w:tc>
          <w:tcPr>
            <w:tcW w:w="2943" w:type="dxa"/>
            <w:shd w:val="clear" w:color="auto" w:fill="9CC2E5" w:themeFill="accent1" w:themeFillTint="99"/>
            <w:vAlign w:val="bottom"/>
          </w:tcPr>
          <w:p w14:paraId="6E105DCD"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Mazowieckie Towarzystwo Krzewienia Kultury Fizycznej</w:t>
            </w:r>
          </w:p>
        </w:tc>
        <w:tc>
          <w:tcPr>
            <w:tcW w:w="4961" w:type="dxa"/>
            <w:shd w:val="clear" w:color="auto" w:fill="auto"/>
            <w:vAlign w:val="bottom"/>
          </w:tcPr>
          <w:p w14:paraId="04EB74B7"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hAnsi="Times New Roman" w:cs="Times New Roman"/>
                <w:color w:val="0D0D0D"/>
                <w:sz w:val="20"/>
                <w:szCs w:val="20"/>
              </w:rPr>
              <w:t>Ogólnopolska Kampania Prozdrowotna Miesiąc dla Zdrowia.</w:t>
            </w:r>
          </w:p>
        </w:tc>
        <w:tc>
          <w:tcPr>
            <w:tcW w:w="2268" w:type="dxa"/>
            <w:shd w:val="clear" w:color="auto" w:fill="auto"/>
            <w:noWrap/>
          </w:tcPr>
          <w:p w14:paraId="57E9520B"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40 000,00</w:t>
            </w:r>
          </w:p>
        </w:tc>
      </w:tr>
      <w:tr w:rsidR="00641273" w:rsidRPr="00961350" w14:paraId="1ED6ED3C" w14:textId="77777777" w:rsidTr="00961350">
        <w:trPr>
          <w:trHeight w:val="842"/>
          <w:jc w:val="center"/>
        </w:trPr>
        <w:tc>
          <w:tcPr>
            <w:tcW w:w="2943" w:type="dxa"/>
            <w:shd w:val="clear" w:color="auto" w:fill="9CC2E5" w:themeFill="accent1" w:themeFillTint="99"/>
          </w:tcPr>
          <w:p w14:paraId="0BA78CAF"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Fundacja Rozwoju Wioślarstwa Polskiego</w:t>
            </w:r>
          </w:p>
        </w:tc>
        <w:tc>
          <w:tcPr>
            <w:tcW w:w="4961" w:type="dxa"/>
            <w:shd w:val="clear" w:color="auto" w:fill="auto"/>
          </w:tcPr>
          <w:p w14:paraId="35CCDD82"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Upowszechnianie sportu oraz olimpizmu poprzez organizację imprez i spotkań osób starszych w tym słuchaczy Uniwersytetów trzeciego wieku w Polsce</w:t>
            </w:r>
          </w:p>
        </w:tc>
        <w:tc>
          <w:tcPr>
            <w:tcW w:w="2268" w:type="dxa"/>
            <w:shd w:val="clear" w:color="auto" w:fill="auto"/>
            <w:noWrap/>
          </w:tcPr>
          <w:p w14:paraId="0F5A8618"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20 000,00</w:t>
            </w:r>
          </w:p>
        </w:tc>
      </w:tr>
      <w:tr w:rsidR="00641273" w:rsidRPr="00961350" w14:paraId="610F24AE" w14:textId="77777777" w:rsidTr="00961350">
        <w:trPr>
          <w:trHeight w:val="1037"/>
          <w:jc w:val="center"/>
        </w:trPr>
        <w:tc>
          <w:tcPr>
            <w:tcW w:w="2943" w:type="dxa"/>
            <w:shd w:val="clear" w:color="auto" w:fill="9CC2E5" w:themeFill="accent1" w:themeFillTint="99"/>
          </w:tcPr>
          <w:p w14:paraId="3657D836"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Stowarzyszenie Uniwersytet Trzeciego Wieku w Lesznie</w:t>
            </w:r>
          </w:p>
        </w:tc>
        <w:tc>
          <w:tcPr>
            <w:tcW w:w="4961" w:type="dxa"/>
            <w:shd w:val="clear" w:color="auto" w:fill="auto"/>
          </w:tcPr>
          <w:p w14:paraId="630E590C"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"Usportowieni po 60-tce"</w:t>
            </w:r>
          </w:p>
        </w:tc>
        <w:tc>
          <w:tcPr>
            <w:tcW w:w="2268" w:type="dxa"/>
            <w:shd w:val="clear" w:color="auto" w:fill="auto"/>
            <w:noWrap/>
          </w:tcPr>
          <w:p w14:paraId="387AFB80"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17 000,00</w:t>
            </w:r>
          </w:p>
        </w:tc>
      </w:tr>
      <w:tr w:rsidR="00641273" w:rsidRPr="00961350" w14:paraId="48F302D9" w14:textId="77777777" w:rsidTr="00961350">
        <w:trPr>
          <w:trHeight w:val="300"/>
          <w:jc w:val="center"/>
        </w:trPr>
        <w:tc>
          <w:tcPr>
            <w:tcW w:w="2943" w:type="dxa"/>
            <w:shd w:val="clear" w:color="auto" w:fill="9CC2E5" w:themeFill="accent1" w:themeFillTint="99"/>
          </w:tcPr>
          <w:p w14:paraId="1CFF167B"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Fundacja Polskie Skoki</w:t>
            </w:r>
          </w:p>
        </w:tc>
        <w:tc>
          <w:tcPr>
            <w:tcW w:w="4961" w:type="dxa"/>
            <w:shd w:val="clear" w:color="auto" w:fill="auto"/>
          </w:tcPr>
          <w:p w14:paraId="010E3C69"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"SKOK PO ZDROWIE". Ogólnopolski Program Aktywności Fizycznej Seniorów pod patronatem Mistrza Olimpijskiego Jacka Wszoły.</w:t>
            </w:r>
          </w:p>
        </w:tc>
        <w:tc>
          <w:tcPr>
            <w:tcW w:w="2268" w:type="dxa"/>
            <w:shd w:val="clear" w:color="auto" w:fill="auto"/>
            <w:noWrap/>
          </w:tcPr>
          <w:p w14:paraId="1A3045D0"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20 000,00</w:t>
            </w:r>
          </w:p>
        </w:tc>
      </w:tr>
      <w:tr w:rsidR="00641273" w:rsidRPr="00961350" w14:paraId="75C089D0" w14:textId="77777777" w:rsidTr="00961350">
        <w:trPr>
          <w:trHeight w:val="535"/>
          <w:jc w:val="center"/>
        </w:trPr>
        <w:tc>
          <w:tcPr>
            <w:tcW w:w="2943" w:type="dxa"/>
            <w:shd w:val="clear" w:color="auto" w:fill="9CC2E5" w:themeFill="accent1" w:themeFillTint="99"/>
          </w:tcPr>
          <w:p w14:paraId="2DC10C59" w14:textId="77777777" w:rsidR="00641273" w:rsidRPr="00961350" w:rsidRDefault="00641273" w:rsidP="00961350">
            <w:pPr>
              <w:spacing w:after="0" w:line="240" w:lineRule="auto"/>
              <w:rPr>
                <w:rFonts w:ascii="Times New Roman" w:eastAsia="Times New Roman" w:hAnsi="Times New Roman" w:cs="Times New Roman"/>
                <w:color w:val="000000"/>
                <w:sz w:val="20"/>
                <w:szCs w:val="20"/>
                <w:lang w:eastAsia="pl-PL"/>
              </w:rPr>
            </w:pPr>
            <w:r w:rsidRPr="00961350">
              <w:rPr>
                <w:rFonts w:ascii="Times New Roman" w:eastAsia="Times New Roman" w:hAnsi="Times New Roman" w:cs="Times New Roman"/>
                <w:color w:val="000000"/>
                <w:sz w:val="20"/>
                <w:szCs w:val="20"/>
                <w:lang w:eastAsia="pl-PL"/>
              </w:rPr>
              <w:t>Oddział Rejonowy Polskiego Związku Emerytów, Rencistów i Inwalidów w Bartoszycach</w:t>
            </w:r>
          </w:p>
        </w:tc>
        <w:tc>
          <w:tcPr>
            <w:tcW w:w="4961" w:type="dxa"/>
            <w:shd w:val="clear" w:color="auto" w:fill="auto"/>
          </w:tcPr>
          <w:p w14:paraId="62037577" w14:textId="77777777" w:rsidR="00641273" w:rsidRPr="00961350" w:rsidRDefault="00641273" w:rsidP="00961350">
            <w:pPr>
              <w:spacing w:after="0" w:line="240" w:lineRule="auto"/>
              <w:rPr>
                <w:rFonts w:ascii="Times New Roman" w:eastAsia="Times New Roman" w:hAnsi="Times New Roman" w:cs="Times New Roman"/>
                <w:color w:val="000000"/>
                <w:sz w:val="20"/>
                <w:szCs w:val="20"/>
                <w:lang w:eastAsia="pl-PL"/>
              </w:rPr>
            </w:pPr>
            <w:r w:rsidRPr="00961350">
              <w:rPr>
                <w:rFonts w:ascii="Times New Roman" w:eastAsia="Times New Roman" w:hAnsi="Times New Roman" w:cs="Times New Roman"/>
                <w:color w:val="000000"/>
                <w:sz w:val="20"/>
                <w:szCs w:val="20"/>
                <w:lang w:eastAsia="pl-PL"/>
              </w:rPr>
              <w:t>Zwiększenie aktywności fizycznej Seniorów w Bartoszycach</w:t>
            </w:r>
          </w:p>
          <w:p w14:paraId="39BE4CD8"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p>
        </w:tc>
        <w:tc>
          <w:tcPr>
            <w:tcW w:w="2268" w:type="dxa"/>
            <w:shd w:val="clear" w:color="auto" w:fill="auto"/>
            <w:noWrap/>
          </w:tcPr>
          <w:p w14:paraId="5496C28D" w14:textId="77777777" w:rsidR="00641273" w:rsidRPr="00961350" w:rsidRDefault="00641273" w:rsidP="00961350">
            <w:pPr>
              <w:spacing w:after="0" w:line="240" w:lineRule="auto"/>
              <w:jc w:val="center"/>
              <w:rPr>
                <w:rFonts w:ascii="Times New Roman" w:eastAsia="Times New Roman" w:hAnsi="Times New Roman" w:cs="Times New Roman"/>
                <w:color w:val="000000"/>
                <w:sz w:val="20"/>
                <w:szCs w:val="20"/>
                <w:lang w:eastAsia="pl-PL"/>
              </w:rPr>
            </w:pPr>
            <w:r w:rsidRPr="00961350">
              <w:rPr>
                <w:rFonts w:ascii="Times New Roman" w:eastAsia="Times New Roman" w:hAnsi="Times New Roman" w:cs="Times New Roman"/>
                <w:color w:val="000000"/>
                <w:sz w:val="20"/>
                <w:szCs w:val="20"/>
                <w:lang w:eastAsia="pl-PL"/>
              </w:rPr>
              <w:t>10 000,00</w:t>
            </w:r>
          </w:p>
          <w:p w14:paraId="36B26B06"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p>
        </w:tc>
      </w:tr>
      <w:tr w:rsidR="00641273" w:rsidRPr="00961350" w14:paraId="406C5B98" w14:textId="77777777" w:rsidTr="00961350">
        <w:trPr>
          <w:trHeight w:val="300"/>
          <w:jc w:val="center"/>
        </w:trPr>
        <w:tc>
          <w:tcPr>
            <w:tcW w:w="2943" w:type="dxa"/>
            <w:shd w:val="clear" w:color="auto" w:fill="9CC2E5" w:themeFill="accent1" w:themeFillTint="99"/>
          </w:tcPr>
          <w:p w14:paraId="7673D916" w14:textId="77777777" w:rsidR="00641273" w:rsidRPr="00961350" w:rsidRDefault="00641273" w:rsidP="00961350">
            <w:pPr>
              <w:spacing w:after="0" w:line="240" w:lineRule="auto"/>
              <w:rPr>
                <w:rFonts w:ascii="Times New Roman" w:eastAsia="Times New Roman" w:hAnsi="Times New Roman" w:cs="Times New Roman"/>
                <w:color w:val="000000"/>
                <w:sz w:val="20"/>
                <w:szCs w:val="20"/>
                <w:lang w:eastAsia="pl-PL"/>
              </w:rPr>
            </w:pPr>
            <w:r w:rsidRPr="00961350">
              <w:rPr>
                <w:rFonts w:ascii="Times New Roman" w:eastAsia="Times New Roman" w:hAnsi="Times New Roman" w:cs="Times New Roman"/>
                <w:color w:val="000000"/>
                <w:sz w:val="20"/>
                <w:szCs w:val="20"/>
                <w:lang w:eastAsia="pl-PL"/>
              </w:rPr>
              <w:t>Stowarzyszenie Sanus Vivere</w:t>
            </w:r>
          </w:p>
        </w:tc>
        <w:tc>
          <w:tcPr>
            <w:tcW w:w="4961" w:type="dxa"/>
            <w:shd w:val="clear" w:color="auto" w:fill="auto"/>
          </w:tcPr>
          <w:p w14:paraId="555C09D1" w14:textId="77777777" w:rsidR="00641273" w:rsidRPr="00961350" w:rsidRDefault="00641273" w:rsidP="00961350">
            <w:pPr>
              <w:spacing w:after="0" w:line="240" w:lineRule="auto"/>
              <w:rPr>
                <w:rFonts w:ascii="Times New Roman" w:eastAsia="Times New Roman" w:hAnsi="Times New Roman" w:cs="Times New Roman"/>
                <w:color w:val="000000"/>
                <w:sz w:val="20"/>
                <w:szCs w:val="20"/>
                <w:lang w:eastAsia="pl-PL"/>
              </w:rPr>
            </w:pPr>
            <w:r w:rsidRPr="00961350">
              <w:rPr>
                <w:rFonts w:ascii="Times New Roman" w:eastAsia="Times New Roman" w:hAnsi="Times New Roman" w:cs="Times New Roman"/>
                <w:color w:val="000000"/>
                <w:sz w:val="20"/>
                <w:szCs w:val="20"/>
                <w:lang w:eastAsia="pl-PL"/>
              </w:rPr>
              <w:t>Aktywny Senior</w:t>
            </w:r>
          </w:p>
          <w:p w14:paraId="46F17543"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p>
        </w:tc>
        <w:tc>
          <w:tcPr>
            <w:tcW w:w="2268" w:type="dxa"/>
            <w:shd w:val="clear" w:color="auto" w:fill="auto"/>
            <w:noWrap/>
          </w:tcPr>
          <w:p w14:paraId="382C591E" w14:textId="77777777" w:rsidR="00641273" w:rsidRPr="00961350" w:rsidRDefault="00641273" w:rsidP="00961350">
            <w:pPr>
              <w:spacing w:after="0" w:line="240" w:lineRule="auto"/>
              <w:jc w:val="center"/>
              <w:rPr>
                <w:rFonts w:ascii="Times New Roman" w:eastAsia="Times New Roman" w:hAnsi="Times New Roman" w:cs="Times New Roman"/>
                <w:color w:val="000000"/>
                <w:sz w:val="20"/>
                <w:szCs w:val="20"/>
                <w:lang w:eastAsia="pl-PL"/>
              </w:rPr>
            </w:pPr>
            <w:r w:rsidRPr="00961350">
              <w:rPr>
                <w:rFonts w:ascii="Times New Roman" w:eastAsia="Times New Roman" w:hAnsi="Times New Roman" w:cs="Times New Roman"/>
                <w:color w:val="000000"/>
                <w:sz w:val="20"/>
                <w:szCs w:val="20"/>
                <w:lang w:eastAsia="pl-PL"/>
              </w:rPr>
              <w:lastRenderedPageBreak/>
              <w:t>28 000,00</w:t>
            </w:r>
          </w:p>
          <w:p w14:paraId="18639C35"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p>
        </w:tc>
      </w:tr>
      <w:tr w:rsidR="00641273" w:rsidRPr="00961350" w14:paraId="23E6B0E8" w14:textId="77777777" w:rsidTr="00961350">
        <w:trPr>
          <w:trHeight w:val="1268"/>
          <w:jc w:val="center"/>
        </w:trPr>
        <w:tc>
          <w:tcPr>
            <w:tcW w:w="2943" w:type="dxa"/>
            <w:shd w:val="clear" w:color="auto" w:fill="9CC2E5" w:themeFill="accent1" w:themeFillTint="99"/>
          </w:tcPr>
          <w:p w14:paraId="1802B4DB" w14:textId="77777777" w:rsidR="00641273" w:rsidRPr="00961350" w:rsidRDefault="00641273" w:rsidP="00961350">
            <w:pPr>
              <w:spacing w:after="0" w:line="240" w:lineRule="auto"/>
              <w:rPr>
                <w:rFonts w:ascii="Times New Roman" w:eastAsia="Times New Roman" w:hAnsi="Times New Roman" w:cs="Times New Roman"/>
                <w:color w:val="000000"/>
                <w:sz w:val="20"/>
                <w:szCs w:val="20"/>
                <w:lang w:eastAsia="pl-PL"/>
              </w:rPr>
            </w:pPr>
            <w:r w:rsidRPr="00961350">
              <w:rPr>
                <w:rFonts w:ascii="Times New Roman" w:eastAsia="Times New Roman" w:hAnsi="Times New Roman" w:cs="Times New Roman"/>
                <w:color w:val="000000"/>
                <w:sz w:val="20"/>
                <w:szCs w:val="20"/>
                <w:lang w:eastAsia="pl-PL"/>
              </w:rPr>
              <w:lastRenderedPageBreak/>
              <w:t>Stowarzyszenie Kolbuszowski Klub Sportowy "Kolbuszowianka"</w:t>
            </w:r>
          </w:p>
        </w:tc>
        <w:tc>
          <w:tcPr>
            <w:tcW w:w="4961" w:type="dxa"/>
            <w:shd w:val="clear" w:color="auto" w:fill="auto"/>
          </w:tcPr>
          <w:p w14:paraId="3AE0F8D8" w14:textId="77777777" w:rsidR="00641273" w:rsidRPr="00961350" w:rsidRDefault="00641273" w:rsidP="00961350">
            <w:pPr>
              <w:spacing w:after="0" w:line="240" w:lineRule="auto"/>
              <w:rPr>
                <w:rFonts w:ascii="Times New Roman" w:eastAsia="Times New Roman" w:hAnsi="Times New Roman" w:cs="Times New Roman"/>
                <w:color w:val="000000"/>
                <w:sz w:val="20"/>
                <w:szCs w:val="20"/>
                <w:lang w:eastAsia="pl-PL"/>
              </w:rPr>
            </w:pPr>
            <w:r w:rsidRPr="00961350">
              <w:rPr>
                <w:rFonts w:ascii="Times New Roman" w:eastAsia="Times New Roman" w:hAnsi="Times New Roman" w:cs="Times New Roman"/>
                <w:color w:val="000000"/>
                <w:sz w:val="20"/>
                <w:szCs w:val="20"/>
                <w:lang w:eastAsia="pl-PL"/>
              </w:rPr>
              <w:t>"Sportowa Rodzina - zajęcia rekreacyjno-sportowe dla dzieci, młodzieży, dorosłych i seniorów".</w:t>
            </w:r>
          </w:p>
          <w:p w14:paraId="63B754A7"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p>
        </w:tc>
        <w:tc>
          <w:tcPr>
            <w:tcW w:w="2268" w:type="dxa"/>
            <w:shd w:val="clear" w:color="auto" w:fill="auto"/>
            <w:noWrap/>
          </w:tcPr>
          <w:p w14:paraId="0B3770E0" w14:textId="77777777" w:rsidR="00641273" w:rsidRPr="00961350" w:rsidRDefault="00641273" w:rsidP="00961350">
            <w:pPr>
              <w:spacing w:after="0" w:line="240" w:lineRule="auto"/>
              <w:jc w:val="center"/>
              <w:rPr>
                <w:rFonts w:ascii="Times New Roman" w:eastAsia="Times New Roman" w:hAnsi="Times New Roman" w:cs="Times New Roman"/>
                <w:color w:val="000000"/>
                <w:sz w:val="20"/>
                <w:szCs w:val="20"/>
                <w:lang w:eastAsia="pl-PL"/>
              </w:rPr>
            </w:pPr>
            <w:r w:rsidRPr="00961350">
              <w:rPr>
                <w:rFonts w:ascii="Times New Roman" w:eastAsia="Times New Roman" w:hAnsi="Times New Roman" w:cs="Times New Roman"/>
                <w:color w:val="000000"/>
                <w:sz w:val="20"/>
                <w:szCs w:val="20"/>
                <w:lang w:eastAsia="pl-PL"/>
              </w:rPr>
              <w:t>8 000,00</w:t>
            </w:r>
          </w:p>
          <w:p w14:paraId="68F1EB8F"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p>
        </w:tc>
      </w:tr>
      <w:tr w:rsidR="00641273" w:rsidRPr="00961350" w14:paraId="69CF526D" w14:textId="77777777" w:rsidTr="00961350">
        <w:trPr>
          <w:trHeight w:val="637"/>
          <w:jc w:val="center"/>
        </w:trPr>
        <w:tc>
          <w:tcPr>
            <w:tcW w:w="2943" w:type="dxa"/>
            <w:shd w:val="clear" w:color="auto" w:fill="9CC2E5" w:themeFill="accent1" w:themeFillTint="99"/>
          </w:tcPr>
          <w:p w14:paraId="641D7398"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Integracyjne Stowarzyszenie Kultury Fizycznej Daj szansę</w:t>
            </w:r>
          </w:p>
        </w:tc>
        <w:tc>
          <w:tcPr>
            <w:tcW w:w="4961" w:type="dxa"/>
            <w:shd w:val="clear" w:color="auto" w:fill="auto"/>
          </w:tcPr>
          <w:p w14:paraId="58E87AB7"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V Turniej Piłkarski dla Seniorów +50, reprezentujących różne grupy społeczne i zawodowe z miesięcznym okresem przygotowań.</w:t>
            </w:r>
          </w:p>
        </w:tc>
        <w:tc>
          <w:tcPr>
            <w:tcW w:w="2268" w:type="dxa"/>
            <w:shd w:val="clear" w:color="auto" w:fill="auto"/>
            <w:noWrap/>
            <w:vAlign w:val="bottom"/>
          </w:tcPr>
          <w:p w14:paraId="69B898EB"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15 000,00</w:t>
            </w:r>
          </w:p>
        </w:tc>
      </w:tr>
      <w:tr w:rsidR="00641273" w:rsidRPr="00961350" w14:paraId="6A0B482B" w14:textId="77777777" w:rsidTr="00961350">
        <w:trPr>
          <w:trHeight w:val="559"/>
          <w:jc w:val="center"/>
        </w:trPr>
        <w:tc>
          <w:tcPr>
            <w:tcW w:w="2943" w:type="dxa"/>
            <w:shd w:val="clear" w:color="auto" w:fill="9CC2E5" w:themeFill="accent1" w:themeFillTint="99"/>
          </w:tcPr>
          <w:p w14:paraId="5199FE62"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Integracyjne Stowarzyszenie Kultury Fizycznej Daj szansę</w:t>
            </w:r>
          </w:p>
        </w:tc>
        <w:tc>
          <w:tcPr>
            <w:tcW w:w="4961" w:type="dxa"/>
            <w:shd w:val="clear" w:color="auto" w:fill="auto"/>
          </w:tcPr>
          <w:p w14:paraId="1BC0C6D4"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VI Turniej Piłkarski dla Seniorów +50, reprezentujących różne grupy społeczne i zawodowe z miesięcznym okresem przygotowań.</w:t>
            </w:r>
          </w:p>
        </w:tc>
        <w:tc>
          <w:tcPr>
            <w:tcW w:w="2268" w:type="dxa"/>
            <w:shd w:val="clear" w:color="auto" w:fill="auto"/>
            <w:noWrap/>
          </w:tcPr>
          <w:p w14:paraId="4D986298"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15 000,00</w:t>
            </w:r>
          </w:p>
        </w:tc>
      </w:tr>
      <w:tr w:rsidR="00641273" w:rsidRPr="00961350" w14:paraId="1195C885" w14:textId="77777777" w:rsidTr="00961350">
        <w:trPr>
          <w:trHeight w:val="560"/>
          <w:jc w:val="center"/>
        </w:trPr>
        <w:tc>
          <w:tcPr>
            <w:tcW w:w="2943" w:type="dxa"/>
            <w:shd w:val="clear" w:color="auto" w:fill="9CC2E5" w:themeFill="accent1" w:themeFillTint="99"/>
          </w:tcPr>
          <w:p w14:paraId="4DDC897D"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Sądecki Uniwersytet Trzeciego Wieku</w:t>
            </w:r>
            <w:r w:rsidRPr="00961350">
              <w:rPr>
                <w:rFonts w:ascii="Times New Roman" w:eastAsia="Times New Roman" w:hAnsi="Times New Roman" w:cs="Times New Roman"/>
                <w:color w:val="0D0D0D"/>
                <w:sz w:val="20"/>
                <w:szCs w:val="20"/>
                <w:lang w:eastAsia="pl-PL"/>
              </w:rPr>
              <w:t xml:space="preserve"> </w:t>
            </w:r>
          </w:p>
        </w:tc>
        <w:tc>
          <w:tcPr>
            <w:tcW w:w="4961" w:type="dxa"/>
            <w:shd w:val="clear" w:color="auto" w:fill="auto"/>
          </w:tcPr>
          <w:p w14:paraId="20936185"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 xml:space="preserve">Studio Aktywnego Seniora </w:t>
            </w:r>
          </w:p>
        </w:tc>
        <w:tc>
          <w:tcPr>
            <w:tcW w:w="2268" w:type="dxa"/>
            <w:shd w:val="clear" w:color="auto" w:fill="auto"/>
            <w:noWrap/>
          </w:tcPr>
          <w:p w14:paraId="5110EE60"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20 000,00</w:t>
            </w:r>
          </w:p>
        </w:tc>
      </w:tr>
      <w:tr w:rsidR="00641273" w:rsidRPr="00961350" w14:paraId="19A7A78E" w14:textId="77777777" w:rsidTr="00961350">
        <w:trPr>
          <w:trHeight w:val="560"/>
          <w:jc w:val="center"/>
        </w:trPr>
        <w:tc>
          <w:tcPr>
            <w:tcW w:w="2943" w:type="dxa"/>
            <w:shd w:val="clear" w:color="auto" w:fill="9CC2E5" w:themeFill="accent1" w:themeFillTint="99"/>
          </w:tcPr>
          <w:p w14:paraId="3A3A6285"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Polski Związek Wu Shu</w:t>
            </w:r>
            <w:r w:rsidRPr="00961350">
              <w:rPr>
                <w:rFonts w:ascii="Times New Roman" w:eastAsia="Times New Roman" w:hAnsi="Times New Roman" w:cs="Times New Roman"/>
                <w:color w:val="0D0D0D"/>
                <w:sz w:val="20"/>
                <w:szCs w:val="20"/>
                <w:lang w:eastAsia="pl-PL"/>
              </w:rPr>
              <w:t xml:space="preserve"> </w:t>
            </w:r>
          </w:p>
        </w:tc>
        <w:tc>
          <w:tcPr>
            <w:tcW w:w="4961" w:type="dxa"/>
            <w:shd w:val="clear" w:color="auto" w:fill="auto"/>
          </w:tcPr>
          <w:p w14:paraId="6CE257BD"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Projekt "Tai Chi Chuan dla seniora"</w:t>
            </w:r>
            <w:r w:rsidRPr="00961350">
              <w:rPr>
                <w:rFonts w:ascii="Times New Roman" w:eastAsia="Times New Roman" w:hAnsi="Times New Roman" w:cs="Times New Roman"/>
                <w:color w:val="0D0D0D"/>
                <w:sz w:val="20"/>
                <w:szCs w:val="20"/>
                <w:lang w:eastAsia="pl-PL"/>
              </w:rPr>
              <w:t xml:space="preserve"> </w:t>
            </w:r>
          </w:p>
        </w:tc>
        <w:tc>
          <w:tcPr>
            <w:tcW w:w="2268" w:type="dxa"/>
            <w:shd w:val="clear" w:color="auto" w:fill="auto"/>
            <w:noWrap/>
          </w:tcPr>
          <w:p w14:paraId="424CDC2E"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10 000,00</w:t>
            </w:r>
          </w:p>
        </w:tc>
      </w:tr>
      <w:tr w:rsidR="00641273" w:rsidRPr="00961350" w14:paraId="4ED3A00D" w14:textId="77777777" w:rsidTr="00961350">
        <w:trPr>
          <w:trHeight w:val="567"/>
          <w:jc w:val="center"/>
        </w:trPr>
        <w:tc>
          <w:tcPr>
            <w:tcW w:w="2943" w:type="dxa"/>
            <w:shd w:val="clear" w:color="auto" w:fill="9CC2E5" w:themeFill="accent1" w:themeFillTint="99"/>
            <w:vAlign w:val="bottom"/>
          </w:tcPr>
          <w:p w14:paraId="4FD3BA11" w14:textId="77777777" w:rsidR="00641273" w:rsidRPr="00961350" w:rsidRDefault="00641273" w:rsidP="00961350">
            <w:pPr>
              <w:spacing w:after="0" w:line="240" w:lineRule="auto"/>
              <w:rPr>
                <w:rFonts w:ascii="Times New Roman" w:hAnsi="Times New Roman" w:cs="Times New Roman"/>
                <w:color w:val="0D0D0D"/>
                <w:sz w:val="20"/>
                <w:szCs w:val="20"/>
              </w:rPr>
            </w:pPr>
            <w:r w:rsidRPr="00961350">
              <w:rPr>
                <w:rFonts w:ascii="Times New Roman" w:eastAsia="Times New Roman" w:hAnsi="Times New Roman" w:cs="Times New Roman"/>
                <w:sz w:val="20"/>
                <w:szCs w:val="20"/>
                <w:lang w:eastAsia="pl-PL"/>
              </w:rPr>
              <w:t>Podbeskidzkie Towarzystwo Sportowe "Janosik"</w:t>
            </w:r>
            <w:r w:rsidRPr="00961350">
              <w:rPr>
                <w:rFonts w:ascii="Times New Roman" w:hAnsi="Times New Roman" w:cs="Times New Roman"/>
                <w:color w:val="0D0D0D"/>
                <w:sz w:val="20"/>
                <w:szCs w:val="20"/>
              </w:rPr>
              <w:t xml:space="preserve"> </w:t>
            </w:r>
          </w:p>
        </w:tc>
        <w:tc>
          <w:tcPr>
            <w:tcW w:w="4961" w:type="dxa"/>
            <w:shd w:val="clear" w:color="auto" w:fill="auto"/>
            <w:vAlign w:val="bottom"/>
          </w:tcPr>
          <w:p w14:paraId="089602F5" w14:textId="77777777" w:rsidR="00641273" w:rsidRPr="00961350" w:rsidRDefault="00641273" w:rsidP="00961350">
            <w:pPr>
              <w:spacing w:after="0" w:line="240" w:lineRule="auto"/>
              <w:rPr>
                <w:rFonts w:ascii="Times New Roman" w:hAnsi="Times New Roman" w:cs="Times New Roman"/>
                <w:color w:val="0D0D0D"/>
                <w:sz w:val="20"/>
                <w:szCs w:val="20"/>
              </w:rPr>
            </w:pPr>
            <w:r w:rsidRPr="00961350">
              <w:rPr>
                <w:rFonts w:ascii="Times New Roman" w:eastAsia="Times New Roman" w:hAnsi="Times New Roman" w:cs="Times New Roman"/>
                <w:sz w:val="20"/>
                <w:szCs w:val="20"/>
                <w:lang w:eastAsia="pl-PL"/>
              </w:rPr>
              <w:t>Aktywny senior</w:t>
            </w:r>
            <w:r w:rsidRPr="00961350">
              <w:rPr>
                <w:rFonts w:ascii="Times New Roman" w:hAnsi="Times New Roman" w:cs="Times New Roman"/>
                <w:color w:val="0D0D0D"/>
                <w:sz w:val="20"/>
                <w:szCs w:val="20"/>
              </w:rPr>
              <w:t xml:space="preserve"> </w:t>
            </w:r>
          </w:p>
        </w:tc>
        <w:tc>
          <w:tcPr>
            <w:tcW w:w="2268" w:type="dxa"/>
            <w:shd w:val="clear" w:color="auto" w:fill="auto"/>
            <w:noWrap/>
          </w:tcPr>
          <w:p w14:paraId="7DFC303D"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35 000,00</w:t>
            </w:r>
          </w:p>
        </w:tc>
      </w:tr>
      <w:tr w:rsidR="00641273" w:rsidRPr="00961350" w14:paraId="1B316764" w14:textId="77777777" w:rsidTr="00961350">
        <w:trPr>
          <w:trHeight w:val="604"/>
          <w:jc w:val="center"/>
        </w:trPr>
        <w:tc>
          <w:tcPr>
            <w:tcW w:w="2943" w:type="dxa"/>
            <w:shd w:val="clear" w:color="auto" w:fill="9CC2E5" w:themeFill="accent1" w:themeFillTint="99"/>
          </w:tcPr>
          <w:p w14:paraId="27AFF15C"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Polskie Stowarzyszenie Nordic Walking</w:t>
            </w:r>
            <w:r w:rsidRPr="00961350">
              <w:rPr>
                <w:rFonts w:ascii="Times New Roman" w:eastAsia="Times New Roman" w:hAnsi="Times New Roman" w:cs="Times New Roman"/>
                <w:color w:val="0D0D0D"/>
                <w:sz w:val="20"/>
                <w:szCs w:val="20"/>
                <w:lang w:eastAsia="pl-PL"/>
              </w:rPr>
              <w:t xml:space="preserve"> </w:t>
            </w:r>
          </w:p>
        </w:tc>
        <w:tc>
          <w:tcPr>
            <w:tcW w:w="4961" w:type="dxa"/>
            <w:shd w:val="clear" w:color="auto" w:fill="auto"/>
          </w:tcPr>
          <w:p w14:paraId="23CB19B6"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 xml:space="preserve">"ABC Nordic Walking" - Ogólnopolski Program Upowszechniania Prawidłowej Techniki Nordic Walking dla słuchaczy UTW </w:t>
            </w:r>
          </w:p>
        </w:tc>
        <w:tc>
          <w:tcPr>
            <w:tcW w:w="2268" w:type="dxa"/>
            <w:shd w:val="clear" w:color="auto" w:fill="auto"/>
            <w:noWrap/>
          </w:tcPr>
          <w:p w14:paraId="41A612F0"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700 000,00</w:t>
            </w:r>
          </w:p>
        </w:tc>
      </w:tr>
      <w:tr w:rsidR="00641273" w:rsidRPr="00961350" w14:paraId="014A404D" w14:textId="77777777" w:rsidTr="00961350">
        <w:trPr>
          <w:trHeight w:val="604"/>
          <w:jc w:val="center"/>
        </w:trPr>
        <w:tc>
          <w:tcPr>
            <w:tcW w:w="2943" w:type="dxa"/>
            <w:shd w:val="clear" w:color="auto" w:fill="9CC2E5" w:themeFill="accent1" w:themeFillTint="99"/>
          </w:tcPr>
          <w:p w14:paraId="515837E0"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Stowarzyszenie MANKO</w:t>
            </w:r>
            <w:r w:rsidRPr="00961350">
              <w:rPr>
                <w:rFonts w:ascii="Times New Roman" w:eastAsia="Times New Roman" w:hAnsi="Times New Roman" w:cs="Times New Roman"/>
                <w:color w:val="0D0D0D"/>
                <w:sz w:val="20"/>
                <w:szCs w:val="20"/>
                <w:lang w:eastAsia="pl-PL"/>
              </w:rPr>
              <w:t xml:space="preserve"> </w:t>
            </w:r>
          </w:p>
        </w:tc>
        <w:tc>
          <w:tcPr>
            <w:tcW w:w="4961" w:type="dxa"/>
            <w:shd w:val="clear" w:color="auto" w:fill="auto"/>
          </w:tcPr>
          <w:p w14:paraId="40647054"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Głos Seniora - Senior w ruchu</w:t>
            </w:r>
            <w:r w:rsidRPr="00961350">
              <w:rPr>
                <w:rFonts w:ascii="Times New Roman" w:eastAsia="Times New Roman" w:hAnsi="Times New Roman" w:cs="Times New Roman"/>
                <w:color w:val="0D0D0D"/>
                <w:sz w:val="20"/>
                <w:szCs w:val="20"/>
                <w:lang w:eastAsia="pl-PL"/>
              </w:rPr>
              <w:t xml:space="preserve"> </w:t>
            </w:r>
          </w:p>
        </w:tc>
        <w:tc>
          <w:tcPr>
            <w:tcW w:w="2268" w:type="dxa"/>
            <w:shd w:val="clear" w:color="auto" w:fill="auto"/>
            <w:noWrap/>
          </w:tcPr>
          <w:p w14:paraId="68362C31"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30 000,00</w:t>
            </w:r>
          </w:p>
        </w:tc>
      </w:tr>
      <w:tr w:rsidR="00641273" w:rsidRPr="00961350" w14:paraId="60EB449D" w14:textId="77777777" w:rsidTr="00961350">
        <w:trPr>
          <w:trHeight w:val="604"/>
          <w:jc w:val="center"/>
        </w:trPr>
        <w:tc>
          <w:tcPr>
            <w:tcW w:w="2943" w:type="dxa"/>
            <w:shd w:val="clear" w:color="auto" w:fill="9CC2E5" w:themeFill="accent1" w:themeFillTint="99"/>
          </w:tcPr>
          <w:p w14:paraId="18917E0D" w14:textId="77777777" w:rsidR="00641273" w:rsidRPr="00961350" w:rsidRDefault="00641273" w:rsidP="00961350">
            <w:pPr>
              <w:spacing w:after="0" w:line="240" w:lineRule="auto"/>
              <w:rPr>
                <w:rFonts w:ascii="Times New Roman" w:eastAsia="Times New Roman" w:hAnsi="Times New Roman" w:cs="Times New Roman"/>
                <w:sz w:val="20"/>
                <w:szCs w:val="20"/>
                <w:lang w:eastAsia="pl-PL"/>
              </w:rPr>
            </w:pPr>
            <w:r w:rsidRPr="00961350">
              <w:rPr>
                <w:rFonts w:ascii="Times New Roman" w:eastAsia="Times New Roman" w:hAnsi="Times New Roman" w:cs="Times New Roman"/>
                <w:sz w:val="20"/>
                <w:szCs w:val="20"/>
                <w:lang w:eastAsia="pl-PL"/>
              </w:rPr>
              <w:t>Polski Związek Karate Tradycyjnego</w:t>
            </w:r>
          </w:p>
        </w:tc>
        <w:tc>
          <w:tcPr>
            <w:tcW w:w="4961" w:type="dxa"/>
            <w:shd w:val="clear" w:color="auto" w:fill="auto"/>
          </w:tcPr>
          <w:p w14:paraId="209D756B"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AKTYWNY SENIOR- KARATE 50+</w:t>
            </w:r>
          </w:p>
        </w:tc>
        <w:tc>
          <w:tcPr>
            <w:tcW w:w="2268" w:type="dxa"/>
            <w:shd w:val="clear" w:color="auto" w:fill="auto"/>
            <w:noWrap/>
          </w:tcPr>
          <w:p w14:paraId="53AE4DCB"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50 000,00</w:t>
            </w:r>
          </w:p>
        </w:tc>
      </w:tr>
      <w:tr w:rsidR="00641273" w:rsidRPr="00961350" w14:paraId="683E5242" w14:textId="77777777" w:rsidTr="00961350">
        <w:trPr>
          <w:trHeight w:val="604"/>
          <w:jc w:val="center"/>
        </w:trPr>
        <w:tc>
          <w:tcPr>
            <w:tcW w:w="2943" w:type="dxa"/>
            <w:shd w:val="clear" w:color="auto" w:fill="9CC2E5" w:themeFill="accent1" w:themeFillTint="99"/>
          </w:tcPr>
          <w:p w14:paraId="3CB437B7" w14:textId="77777777" w:rsidR="00641273" w:rsidRPr="00961350" w:rsidRDefault="00641273" w:rsidP="00961350">
            <w:pPr>
              <w:spacing w:after="0" w:line="240" w:lineRule="auto"/>
              <w:rPr>
                <w:rFonts w:ascii="Times New Roman" w:eastAsia="Times New Roman" w:hAnsi="Times New Roman" w:cs="Times New Roman"/>
                <w:sz w:val="20"/>
                <w:szCs w:val="20"/>
                <w:lang w:eastAsia="pl-PL"/>
              </w:rPr>
            </w:pPr>
            <w:r w:rsidRPr="00961350">
              <w:rPr>
                <w:rFonts w:ascii="Times New Roman" w:eastAsia="Times New Roman" w:hAnsi="Times New Roman" w:cs="Times New Roman"/>
                <w:sz w:val="20"/>
                <w:szCs w:val="20"/>
                <w:lang w:eastAsia="pl-PL"/>
              </w:rPr>
              <w:t>Fundacja Orły Sportu</w:t>
            </w:r>
          </w:p>
        </w:tc>
        <w:tc>
          <w:tcPr>
            <w:tcW w:w="4961" w:type="dxa"/>
            <w:shd w:val="clear" w:color="auto" w:fill="auto"/>
          </w:tcPr>
          <w:p w14:paraId="68CA4AE8"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Seniorzy na Orliki</w:t>
            </w:r>
          </w:p>
        </w:tc>
        <w:tc>
          <w:tcPr>
            <w:tcW w:w="2268" w:type="dxa"/>
            <w:shd w:val="clear" w:color="auto" w:fill="auto"/>
            <w:noWrap/>
          </w:tcPr>
          <w:p w14:paraId="33A8A7E9"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150 000,00</w:t>
            </w:r>
          </w:p>
        </w:tc>
      </w:tr>
      <w:tr w:rsidR="00641273" w:rsidRPr="00961350" w14:paraId="0EA01D07" w14:textId="77777777" w:rsidTr="00961350">
        <w:trPr>
          <w:trHeight w:val="604"/>
          <w:jc w:val="center"/>
        </w:trPr>
        <w:tc>
          <w:tcPr>
            <w:tcW w:w="2943" w:type="dxa"/>
            <w:shd w:val="clear" w:color="auto" w:fill="9CC2E5" w:themeFill="accent1" w:themeFillTint="99"/>
          </w:tcPr>
          <w:p w14:paraId="39E6AC28" w14:textId="77777777" w:rsidR="00641273" w:rsidRPr="00961350" w:rsidRDefault="00641273" w:rsidP="00961350">
            <w:pPr>
              <w:spacing w:after="0" w:line="240" w:lineRule="auto"/>
              <w:rPr>
                <w:rFonts w:ascii="Times New Roman" w:eastAsia="Times New Roman" w:hAnsi="Times New Roman" w:cs="Times New Roman"/>
                <w:sz w:val="20"/>
                <w:szCs w:val="20"/>
                <w:lang w:eastAsia="pl-PL"/>
              </w:rPr>
            </w:pPr>
            <w:r w:rsidRPr="00961350">
              <w:rPr>
                <w:rFonts w:ascii="Times New Roman" w:eastAsia="Times New Roman" w:hAnsi="Times New Roman" w:cs="Times New Roman"/>
                <w:sz w:val="20"/>
                <w:szCs w:val="20"/>
                <w:lang w:eastAsia="pl-PL"/>
              </w:rPr>
              <w:t>Polski Związek Tenisowy</w:t>
            </w:r>
          </w:p>
        </w:tc>
        <w:tc>
          <w:tcPr>
            <w:tcW w:w="4961" w:type="dxa"/>
            <w:shd w:val="clear" w:color="auto" w:fill="auto"/>
          </w:tcPr>
          <w:p w14:paraId="61674FDF" w14:textId="77777777" w:rsidR="00641273" w:rsidRPr="00961350" w:rsidRDefault="00641273" w:rsidP="00961350">
            <w:pPr>
              <w:spacing w:after="0" w:line="240" w:lineRule="auto"/>
              <w:rPr>
                <w:rFonts w:ascii="Times New Roman" w:eastAsia="Times New Roman" w:hAnsi="Times New Roman" w:cs="Times New Roman"/>
                <w:b/>
                <w:color w:val="0D0D0D"/>
                <w:sz w:val="20"/>
                <w:szCs w:val="20"/>
                <w:lang w:eastAsia="pl-PL"/>
              </w:rPr>
            </w:pPr>
            <w:r w:rsidRPr="00961350">
              <w:rPr>
                <w:rFonts w:ascii="Times New Roman" w:eastAsia="Times New Roman" w:hAnsi="Times New Roman" w:cs="Times New Roman"/>
                <w:sz w:val="20"/>
                <w:szCs w:val="20"/>
                <w:lang w:eastAsia="pl-PL"/>
              </w:rPr>
              <w:t>59. Międzynarodowe Mistrzostwa Polski Seniorów w Tenisie</w:t>
            </w:r>
          </w:p>
        </w:tc>
        <w:tc>
          <w:tcPr>
            <w:tcW w:w="2268" w:type="dxa"/>
            <w:shd w:val="clear" w:color="auto" w:fill="auto"/>
            <w:noWrap/>
          </w:tcPr>
          <w:p w14:paraId="537019F1"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20 000,00</w:t>
            </w:r>
          </w:p>
        </w:tc>
      </w:tr>
      <w:tr w:rsidR="00641273" w:rsidRPr="00961350" w14:paraId="53F56C41" w14:textId="77777777" w:rsidTr="00961350">
        <w:trPr>
          <w:trHeight w:val="604"/>
          <w:jc w:val="center"/>
        </w:trPr>
        <w:tc>
          <w:tcPr>
            <w:tcW w:w="2943" w:type="dxa"/>
            <w:shd w:val="clear" w:color="auto" w:fill="9CC2E5" w:themeFill="accent1" w:themeFillTint="99"/>
          </w:tcPr>
          <w:p w14:paraId="2F864D4A" w14:textId="77777777" w:rsidR="00641273" w:rsidRPr="00961350" w:rsidRDefault="00641273" w:rsidP="00961350">
            <w:pPr>
              <w:spacing w:after="0" w:line="240" w:lineRule="auto"/>
              <w:rPr>
                <w:rFonts w:ascii="Times New Roman" w:eastAsia="Times New Roman" w:hAnsi="Times New Roman" w:cs="Times New Roman"/>
                <w:sz w:val="20"/>
                <w:szCs w:val="20"/>
                <w:lang w:eastAsia="pl-PL"/>
              </w:rPr>
            </w:pPr>
            <w:r w:rsidRPr="00961350">
              <w:rPr>
                <w:rFonts w:ascii="Times New Roman" w:eastAsia="Times New Roman" w:hAnsi="Times New Roman" w:cs="Times New Roman"/>
                <w:sz w:val="20"/>
                <w:szCs w:val="20"/>
                <w:lang w:eastAsia="pl-PL"/>
              </w:rPr>
              <w:t>Polski Związek Tenisowy</w:t>
            </w:r>
          </w:p>
        </w:tc>
        <w:tc>
          <w:tcPr>
            <w:tcW w:w="4961" w:type="dxa"/>
            <w:shd w:val="clear" w:color="auto" w:fill="auto"/>
          </w:tcPr>
          <w:p w14:paraId="4E4FEF1E" w14:textId="77777777" w:rsidR="00641273" w:rsidRPr="00961350" w:rsidRDefault="00641273" w:rsidP="00961350">
            <w:pPr>
              <w:spacing w:after="0" w:line="240" w:lineRule="auto"/>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sz w:val="20"/>
                <w:szCs w:val="20"/>
                <w:lang w:eastAsia="pl-PL"/>
              </w:rPr>
              <w:t>Otwarte Halowe Mistrzostwa Polski Seniorów i Amatorów w Tenisie</w:t>
            </w:r>
          </w:p>
        </w:tc>
        <w:tc>
          <w:tcPr>
            <w:tcW w:w="2268" w:type="dxa"/>
            <w:shd w:val="clear" w:color="auto" w:fill="auto"/>
            <w:noWrap/>
          </w:tcPr>
          <w:p w14:paraId="6B952691" w14:textId="77777777" w:rsidR="00641273" w:rsidRPr="00961350" w:rsidRDefault="00641273" w:rsidP="00961350">
            <w:pPr>
              <w:spacing w:after="0" w:line="240" w:lineRule="auto"/>
              <w:jc w:val="center"/>
              <w:rPr>
                <w:rFonts w:ascii="Times New Roman" w:eastAsia="Times New Roman" w:hAnsi="Times New Roman" w:cs="Times New Roman"/>
                <w:color w:val="0D0D0D"/>
                <w:sz w:val="20"/>
                <w:szCs w:val="20"/>
                <w:lang w:eastAsia="pl-PL"/>
              </w:rPr>
            </w:pPr>
            <w:r w:rsidRPr="00961350">
              <w:rPr>
                <w:rFonts w:ascii="Times New Roman" w:eastAsia="Times New Roman" w:hAnsi="Times New Roman" w:cs="Times New Roman"/>
                <w:color w:val="0D0D0D"/>
                <w:sz w:val="20"/>
                <w:szCs w:val="20"/>
                <w:lang w:eastAsia="pl-PL"/>
              </w:rPr>
              <w:t>15 000,00</w:t>
            </w:r>
          </w:p>
        </w:tc>
      </w:tr>
      <w:tr w:rsidR="00641273" w:rsidRPr="00961350" w14:paraId="2CC26C6E" w14:textId="77777777" w:rsidTr="00961350">
        <w:trPr>
          <w:trHeight w:val="495"/>
          <w:jc w:val="center"/>
        </w:trPr>
        <w:tc>
          <w:tcPr>
            <w:tcW w:w="7904" w:type="dxa"/>
            <w:gridSpan w:val="2"/>
            <w:shd w:val="clear" w:color="auto" w:fill="9CC2E5" w:themeFill="accent1" w:themeFillTint="99"/>
          </w:tcPr>
          <w:p w14:paraId="0946E2E4" w14:textId="77777777" w:rsidR="00641273" w:rsidRPr="00961350" w:rsidRDefault="00641273" w:rsidP="00961350">
            <w:pPr>
              <w:spacing w:after="0" w:line="240" w:lineRule="auto"/>
              <w:rPr>
                <w:rFonts w:ascii="Times New Roman" w:eastAsia="Times New Roman" w:hAnsi="Times New Roman" w:cs="Times New Roman"/>
                <w:b/>
                <w:color w:val="0D0D0D"/>
                <w:sz w:val="20"/>
                <w:szCs w:val="20"/>
                <w:lang w:eastAsia="pl-PL"/>
              </w:rPr>
            </w:pPr>
            <w:r w:rsidRPr="00961350">
              <w:rPr>
                <w:rFonts w:ascii="Times New Roman" w:eastAsia="Times New Roman" w:hAnsi="Times New Roman" w:cs="Times New Roman"/>
                <w:b/>
                <w:color w:val="0D0D0D"/>
                <w:sz w:val="20"/>
                <w:szCs w:val="20"/>
                <w:lang w:eastAsia="pl-PL"/>
              </w:rPr>
              <w:t>Razem</w:t>
            </w:r>
          </w:p>
        </w:tc>
        <w:tc>
          <w:tcPr>
            <w:tcW w:w="2268" w:type="dxa"/>
            <w:shd w:val="clear" w:color="auto" w:fill="9CC2E5" w:themeFill="accent1" w:themeFillTint="99"/>
            <w:noWrap/>
          </w:tcPr>
          <w:p w14:paraId="7F7B002B" w14:textId="77777777" w:rsidR="00641273" w:rsidRPr="00961350" w:rsidRDefault="00641273" w:rsidP="00961350">
            <w:pPr>
              <w:spacing w:after="0" w:line="240" w:lineRule="auto"/>
              <w:jc w:val="center"/>
              <w:rPr>
                <w:rFonts w:ascii="Times New Roman" w:eastAsia="Times New Roman" w:hAnsi="Times New Roman" w:cs="Times New Roman"/>
                <w:b/>
                <w:color w:val="0D0D0D"/>
                <w:sz w:val="20"/>
                <w:szCs w:val="20"/>
                <w:lang w:eastAsia="pl-PL"/>
              </w:rPr>
            </w:pPr>
            <w:r w:rsidRPr="00961350">
              <w:rPr>
                <w:rFonts w:ascii="Times New Roman" w:eastAsia="Times New Roman" w:hAnsi="Times New Roman" w:cs="Times New Roman"/>
                <w:b/>
                <w:color w:val="0D0D0D"/>
                <w:sz w:val="20"/>
                <w:szCs w:val="20"/>
                <w:lang w:eastAsia="pl-PL"/>
              </w:rPr>
              <w:t>2 184 400,00</w:t>
            </w:r>
          </w:p>
        </w:tc>
      </w:tr>
    </w:tbl>
    <w:p w14:paraId="39C686B6" w14:textId="77777777" w:rsidR="00641273" w:rsidRPr="0016476C" w:rsidRDefault="00641273" w:rsidP="003C1988">
      <w:pPr>
        <w:tabs>
          <w:tab w:val="left" w:pos="709"/>
          <w:tab w:val="left" w:pos="5529"/>
        </w:tabs>
        <w:spacing w:after="120"/>
        <w:rPr>
          <w:rFonts w:ascii="Times New Roman" w:eastAsia="Times New Roman" w:hAnsi="Times New Roman" w:cs="Times New Roman"/>
          <w:color w:val="0D0D0D"/>
          <w:sz w:val="24"/>
          <w:szCs w:val="24"/>
          <w:lang w:eastAsia="pl-PL"/>
        </w:rPr>
      </w:pPr>
    </w:p>
    <w:p w14:paraId="102ACA4A" w14:textId="77777777" w:rsidR="00641273" w:rsidRPr="0016476C" w:rsidRDefault="00641273" w:rsidP="00E64A42">
      <w:pPr>
        <w:spacing w:after="0"/>
        <w:jc w:val="both"/>
        <w:rPr>
          <w:rFonts w:ascii="Times New Roman" w:eastAsia="Times New Roman" w:hAnsi="Times New Roman" w:cs="Times New Roman"/>
          <w:bCs/>
          <w:sz w:val="24"/>
          <w:szCs w:val="24"/>
          <w:lang w:eastAsia="pl-PL"/>
        </w:rPr>
      </w:pPr>
      <w:r w:rsidRPr="0016476C">
        <w:rPr>
          <w:rFonts w:ascii="Times New Roman" w:eastAsia="Times New Roman" w:hAnsi="Times New Roman" w:cs="Times New Roman"/>
          <w:sz w:val="24"/>
          <w:szCs w:val="24"/>
          <w:lang w:eastAsia="pl-PL"/>
        </w:rPr>
        <w:t>Istotnym działaniem Ministerstwa Sportu w omawianym zakresie jest również rekreacja ruchowa osób z niepełnosprawnościami w starszym wieku.</w:t>
      </w:r>
      <w:r w:rsidRPr="0016476C">
        <w:rPr>
          <w:rFonts w:ascii="Times New Roman" w:eastAsia="Times New Roman" w:hAnsi="Times New Roman" w:cs="Times New Roman"/>
          <w:b/>
          <w:sz w:val="24"/>
          <w:szCs w:val="24"/>
          <w:lang w:eastAsia="pl-PL"/>
        </w:rPr>
        <w:t xml:space="preserve"> </w:t>
      </w:r>
      <w:r w:rsidRPr="0016476C">
        <w:rPr>
          <w:rFonts w:ascii="Times New Roman" w:eastAsia="Times New Roman" w:hAnsi="Times New Roman" w:cs="Times New Roman"/>
          <w:bCs/>
          <w:sz w:val="24"/>
          <w:szCs w:val="24"/>
          <w:lang w:eastAsia="pl-PL"/>
        </w:rPr>
        <w:t>Wychodząc naprzeciw zmianom demograficznym oraz zmieniającym się potrzebom osób starszych, jednym z priorytetów Programu Upowszechniania Sportu Osób Niepełnosprawnych w 2019 r. było włączanie społeczne starszyc</w:t>
      </w:r>
      <w:r w:rsidR="00E64A42">
        <w:rPr>
          <w:rFonts w:ascii="Times New Roman" w:eastAsia="Times New Roman" w:hAnsi="Times New Roman" w:cs="Times New Roman"/>
          <w:bCs/>
          <w:sz w:val="24"/>
          <w:szCs w:val="24"/>
          <w:lang w:eastAsia="pl-PL"/>
        </w:rPr>
        <w:t xml:space="preserve">h osób niepełnosprawnych (50+). </w:t>
      </w:r>
      <w:r w:rsidRPr="0016476C">
        <w:rPr>
          <w:rFonts w:ascii="Times New Roman" w:eastAsia="Times New Roman" w:hAnsi="Times New Roman" w:cs="Times New Roman"/>
          <w:bCs/>
          <w:sz w:val="24"/>
          <w:szCs w:val="24"/>
          <w:lang w:eastAsia="pl-PL"/>
        </w:rPr>
        <w:t>Program umożliwiał starszym osobom niepełnosprawnym udział w zajęciach i imprezach sportowych z wykorzystaniem nowoczesnej infrastruktury sportowej. Ponadto organizowane były obozy sportowe dla starszych osób niepełnosprawnych, których programy przewidywały szeroki wachlarz aktywności ruchowych uwzględniających</w:t>
      </w:r>
      <w:r w:rsidR="00E64A42">
        <w:rPr>
          <w:rFonts w:ascii="Times New Roman" w:eastAsia="Times New Roman" w:hAnsi="Times New Roman" w:cs="Times New Roman"/>
          <w:bCs/>
          <w:sz w:val="24"/>
          <w:szCs w:val="24"/>
          <w:lang w:eastAsia="pl-PL"/>
        </w:rPr>
        <w:t xml:space="preserve"> wiek i możliwości uczestników. </w:t>
      </w:r>
      <w:r w:rsidRPr="0016476C">
        <w:rPr>
          <w:rFonts w:ascii="Times New Roman" w:eastAsia="Times New Roman" w:hAnsi="Times New Roman" w:cs="Times New Roman"/>
          <w:bCs/>
          <w:sz w:val="24"/>
          <w:szCs w:val="24"/>
          <w:lang w:eastAsia="pl-PL"/>
        </w:rPr>
        <w:t xml:space="preserve">W 2019 r. Ministerstwo Sportu ze środków Funduszu Rozwoju Kultury Fizycznej (FRKF) wsparło udział osób niepełnosprawnych w </w:t>
      </w:r>
      <w:r w:rsidRPr="0016476C">
        <w:rPr>
          <w:rFonts w:ascii="Times New Roman" w:eastAsia="Times New Roman" w:hAnsi="Times New Roman" w:cs="Times New Roman"/>
          <w:bCs/>
          <w:sz w:val="24"/>
          <w:szCs w:val="24"/>
          <w:lang w:eastAsia="pl-PL"/>
        </w:rPr>
        <w:lastRenderedPageBreak/>
        <w:t>starszym wieku (50+) w przedsięwzięciach Programu Upowszechniania Sportu Osób Niepełnosprawnych:</w:t>
      </w:r>
    </w:p>
    <w:p w14:paraId="549F2803" w14:textId="77777777" w:rsidR="00641273" w:rsidRPr="0016476C" w:rsidRDefault="00641273" w:rsidP="008C71A9">
      <w:pPr>
        <w:numPr>
          <w:ilvl w:val="0"/>
          <w:numId w:val="207"/>
        </w:numPr>
        <w:spacing w:after="0" w:line="240" w:lineRule="auto"/>
        <w:ind w:left="360"/>
        <w:contextualSpacing/>
        <w:jc w:val="both"/>
        <w:rPr>
          <w:rFonts w:ascii="Times New Roman" w:hAnsi="Times New Roman" w:cs="Times New Roman"/>
          <w:bCs/>
          <w:sz w:val="24"/>
          <w:szCs w:val="24"/>
          <w:lang w:eastAsia="pl-PL"/>
        </w:rPr>
      </w:pPr>
      <w:r w:rsidRPr="0016476C">
        <w:rPr>
          <w:rFonts w:ascii="Times New Roman" w:hAnsi="Times New Roman" w:cs="Times New Roman"/>
          <w:bCs/>
          <w:sz w:val="24"/>
          <w:szCs w:val="24"/>
          <w:lang w:eastAsia="pl-PL"/>
        </w:rPr>
        <w:t xml:space="preserve">w zajęciach sekcji sportowych dla osób niepełnosprawnych – udział </w:t>
      </w:r>
      <w:r w:rsidRPr="0016476C">
        <w:rPr>
          <w:rFonts w:ascii="Times New Roman" w:hAnsi="Times New Roman" w:cs="Times New Roman"/>
          <w:b/>
          <w:bCs/>
          <w:sz w:val="24"/>
          <w:szCs w:val="24"/>
          <w:lang w:eastAsia="pl-PL"/>
        </w:rPr>
        <w:t>2 119</w:t>
      </w:r>
      <w:r w:rsidRPr="0016476C">
        <w:rPr>
          <w:rFonts w:ascii="Times New Roman" w:hAnsi="Times New Roman" w:cs="Times New Roman"/>
          <w:bCs/>
          <w:sz w:val="24"/>
          <w:szCs w:val="24"/>
          <w:lang w:eastAsia="pl-PL"/>
        </w:rPr>
        <w:t xml:space="preserve"> zawodników w starszym wieku 50+;</w:t>
      </w:r>
    </w:p>
    <w:p w14:paraId="78CEDE97" w14:textId="77777777" w:rsidR="00641273" w:rsidRPr="0016476C" w:rsidRDefault="00641273" w:rsidP="008C71A9">
      <w:pPr>
        <w:numPr>
          <w:ilvl w:val="0"/>
          <w:numId w:val="207"/>
        </w:numPr>
        <w:spacing w:after="0" w:line="240" w:lineRule="auto"/>
        <w:ind w:left="360"/>
        <w:contextualSpacing/>
        <w:jc w:val="both"/>
        <w:rPr>
          <w:rFonts w:ascii="Times New Roman" w:hAnsi="Times New Roman" w:cs="Times New Roman"/>
          <w:bCs/>
          <w:sz w:val="24"/>
          <w:szCs w:val="24"/>
          <w:lang w:eastAsia="pl-PL"/>
        </w:rPr>
      </w:pPr>
      <w:r w:rsidRPr="0016476C">
        <w:rPr>
          <w:rFonts w:ascii="Times New Roman" w:hAnsi="Times New Roman" w:cs="Times New Roman"/>
          <w:bCs/>
          <w:sz w:val="24"/>
          <w:szCs w:val="24"/>
          <w:lang w:eastAsia="pl-PL"/>
        </w:rPr>
        <w:t xml:space="preserve">w imprezach sportowych dla osób niepełnosprawnych – udział </w:t>
      </w:r>
      <w:r w:rsidRPr="0016476C">
        <w:rPr>
          <w:rFonts w:ascii="Times New Roman" w:hAnsi="Times New Roman" w:cs="Times New Roman"/>
          <w:b/>
          <w:bCs/>
          <w:sz w:val="24"/>
          <w:szCs w:val="24"/>
          <w:lang w:eastAsia="pl-PL"/>
        </w:rPr>
        <w:t>2 518</w:t>
      </w:r>
      <w:r w:rsidRPr="0016476C">
        <w:rPr>
          <w:rFonts w:ascii="Times New Roman" w:hAnsi="Times New Roman" w:cs="Times New Roman"/>
          <w:bCs/>
          <w:sz w:val="24"/>
          <w:szCs w:val="24"/>
          <w:lang w:eastAsia="pl-PL"/>
        </w:rPr>
        <w:t xml:space="preserve"> zawodników w  starszym wieku 50+;</w:t>
      </w:r>
    </w:p>
    <w:p w14:paraId="333E4F73" w14:textId="77777777" w:rsidR="00641273" w:rsidRPr="0016476C" w:rsidRDefault="00641273" w:rsidP="008C71A9">
      <w:pPr>
        <w:numPr>
          <w:ilvl w:val="0"/>
          <w:numId w:val="207"/>
        </w:numPr>
        <w:spacing w:after="0" w:line="240" w:lineRule="auto"/>
        <w:ind w:left="360"/>
        <w:contextualSpacing/>
        <w:jc w:val="both"/>
        <w:rPr>
          <w:rFonts w:ascii="Times New Roman" w:hAnsi="Times New Roman" w:cs="Times New Roman"/>
          <w:bCs/>
          <w:sz w:val="24"/>
          <w:szCs w:val="24"/>
          <w:lang w:eastAsia="pl-PL"/>
        </w:rPr>
      </w:pPr>
      <w:r w:rsidRPr="0016476C">
        <w:rPr>
          <w:rFonts w:ascii="Times New Roman" w:hAnsi="Times New Roman" w:cs="Times New Roman"/>
          <w:bCs/>
          <w:sz w:val="24"/>
          <w:szCs w:val="24"/>
          <w:lang w:eastAsia="pl-PL"/>
        </w:rPr>
        <w:t xml:space="preserve">w Mistrzostwach Polski i Pucharach Polski osób niepełnosprawnych – udział </w:t>
      </w:r>
      <w:r w:rsidRPr="0016476C">
        <w:rPr>
          <w:rFonts w:ascii="Times New Roman" w:hAnsi="Times New Roman" w:cs="Times New Roman"/>
          <w:b/>
          <w:bCs/>
          <w:sz w:val="24"/>
          <w:szCs w:val="24"/>
          <w:lang w:eastAsia="pl-PL"/>
        </w:rPr>
        <w:t>517</w:t>
      </w:r>
      <w:r w:rsidRPr="0016476C">
        <w:rPr>
          <w:rFonts w:ascii="Times New Roman" w:hAnsi="Times New Roman" w:cs="Times New Roman"/>
          <w:bCs/>
          <w:sz w:val="24"/>
          <w:szCs w:val="24"/>
          <w:lang w:eastAsia="pl-PL"/>
        </w:rPr>
        <w:t xml:space="preserve"> zawodników w starszym wieku 50+;</w:t>
      </w:r>
    </w:p>
    <w:p w14:paraId="787ACDB5" w14:textId="77777777" w:rsidR="00641273" w:rsidRPr="0016476C" w:rsidRDefault="00641273" w:rsidP="008C71A9">
      <w:pPr>
        <w:numPr>
          <w:ilvl w:val="0"/>
          <w:numId w:val="207"/>
        </w:numPr>
        <w:spacing w:after="0" w:line="240" w:lineRule="auto"/>
        <w:ind w:left="360"/>
        <w:contextualSpacing/>
        <w:jc w:val="both"/>
        <w:rPr>
          <w:rFonts w:ascii="Times New Roman" w:hAnsi="Times New Roman" w:cs="Times New Roman"/>
          <w:bCs/>
          <w:sz w:val="24"/>
          <w:szCs w:val="24"/>
          <w:lang w:eastAsia="pl-PL"/>
        </w:rPr>
      </w:pPr>
      <w:r w:rsidRPr="0016476C">
        <w:rPr>
          <w:rFonts w:ascii="Times New Roman" w:hAnsi="Times New Roman" w:cs="Times New Roman"/>
          <w:bCs/>
          <w:sz w:val="24"/>
          <w:szCs w:val="24"/>
          <w:lang w:eastAsia="pl-PL"/>
        </w:rPr>
        <w:t xml:space="preserve">w obozach sportowych dla osób niepełnosprawnych – udział </w:t>
      </w:r>
      <w:r w:rsidRPr="0016476C">
        <w:rPr>
          <w:rFonts w:ascii="Times New Roman" w:hAnsi="Times New Roman" w:cs="Times New Roman"/>
          <w:b/>
          <w:bCs/>
          <w:sz w:val="24"/>
          <w:szCs w:val="24"/>
          <w:lang w:eastAsia="pl-PL"/>
        </w:rPr>
        <w:t>597</w:t>
      </w:r>
      <w:r w:rsidRPr="0016476C">
        <w:rPr>
          <w:rFonts w:ascii="Times New Roman" w:hAnsi="Times New Roman" w:cs="Times New Roman"/>
          <w:bCs/>
          <w:sz w:val="24"/>
          <w:szCs w:val="24"/>
          <w:lang w:eastAsia="pl-PL"/>
        </w:rPr>
        <w:t xml:space="preserve"> zawodników w starszym wieku 50+.</w:t>
      </w:r>
    </w:p>
    <w:p w14:paraId="1A329E47" w14:textId="77777777" w:rsidR="00397768" w:rsidRDefault="00641273" w:rsidP="00397768">
      <w:pPr>
        <w:spacing w:after="0"/>
        <w:jc w:val="both"/>
        <w:rPr>
          <w:rFonts w:ascii="Times New Roman" w:eastAsia="Times New Roman" w:hAnsi="Times New Roman" w:cs="Times New Roman"/>
          <w:bCs/>
          <w:sz w:val="24"/>
          <w:szCs w:val="24"/>
          <w:lang w:eastAsia="pl-PL"/>
        </w:rPr>
      </w:pPr>
      <w:r w:rsidRPr="0016476C">
        <w:rPr>
          <w:rFonts w:ascii="Times New Roman" w:eastAsia="Times New Roman" w:hAnsi="Times New Roman" w:cs="Times New Roman"/>
          <w:bCs/>
          <w:sz w:val="24"/>
          <w:szCs w:val="24"/>
          <w:lang w:eastAsia="pl-PL"/>
        </w:rPr>
        <w:t xml:space="preserve">Łącznie, w projektach realizowanych w ramach Programu Upowszechniania Sportu Osób Niepełnosprawnych, ze środków FRKF, wzięło udział </w:t>
      </w:r>
      <w:r w:rsidRPr="0016476C">
        <w:rPr>
          <w:rFonts w:ascii="Times New Roman" w:eastAsia="Times New Roman" w:hAnsi="Times New Roman" w:cs="Times New Roman"/>
          <w:b/>
          <w:bCs/>
          <w:sz w:val="24"/>
          <w:szCs w:val="24"/>
          <w:lang w:eastAsia="pl-PL"/>
        </w:rPr>
        <w:t xml:space="preserve"> 5 751 starszych osób niepełnosprawnych 50+</w:t>
      </w:r>
      <w:r w:rsidRPr="0016476C">
        <w:rPr>
          <w:rFonts w:ascii="Times New Roman" w:eastAsia="Times New Roman" w:hAnsi="Times New Roman" w:cs="Times New Roman"/>
          <w:bCs/>
          <w:sz w:val="24"/>
          <w:szCs w:val="24"/>
          <w:lang w:eastAsia="pl-PL"/>
        </w:rPr>
        <w:t>, co stanowi</w:t>
      </w:r>
      <w:r w:rsidRPr="0016476C">
        <w:rPr>
          <w:rFonts w:ascii="Times New Roman" w:eastAsia="Times New Roman" w:hAnsi="Times New Roman" w:cs="Times New Roman"/>
          <w:b/>
          <w:bCs/>
          <w:sz w:val="24"/>
          <w:szCs w:val="24"/>
          <w:lang w:eastAsia="pl-PL"/>
        </w:rPr>
        <w:t xml:space="preserve"> </w:t>
      </w:r>
      <w:r w:rsidRPr="0016476C">
        <w:rPr>
          <w:rFonts w:ascii="Times New Roman" w:eastAsia="Times New Roman" w:hAnsi="Times New Roman" w:cs="Times New Roman"/>
          <w:bCs/>
          <w:sz w:val="24"/>
          <w:szCs w:val="24"/>
          <w:lang w:eastAsia="pl-PL"/>
        </w:rPr>
        <w:t xml:space="preserve">12,12 % ogółu uczestników zajęć, imprez, </w:t>
      </w:r>
      <w:r w:rsidRPr="0016476C">
        <w:rPr>
          <w:rFonts w:ascii="Times New Roman" w:eastAsia="Times New Roman" w:hAnsi="Times New Roman" w:cs="Times New Roman"/>
          <w:sz w:val="24"/>
          <w:szCs w:val="24"/>
          <w:lang w:eastAsia="pl-PL"/>
        </w:rPr>
        <w:t>Mistrzostw Polski, Pucharów Polski</w:t>
      </w:r>
      <w:r w:rsidRPr="0016476C">
        <w:rPr>
          <w:rFonts w:ascii="Times New Roman" w:eastAsia="Times New Roman" w:hAnsi="Times New Roman" w:cs="Times New Roman"/>
          <w:bCs/>
          <w:sz w:val="24"/>
          <w:szCs w:val="24"/>
          <w:lang w:eastAsia="pl-PL"/>
        </w:rPr>
        <w:t xml:space="preserve"> i obozów.</w:t>
      </w:r>
    </w:p>
    <w:p w14:paraId="22EED7A5" w14:textId="77777777" w:rsidR="008F6EDB" w:rsidRPr="00E05136" w:rsidRDefault="00397768" w:rsidP="00397768">
      <w:pPr>
        <w:spacing w:after="0"/>
        <w:jc w:val="both"/>
        <w:rPr>
          <w:rFonts w:ascii="Times New Roman" w:eastAsia="Times New Roman" w:hAnsi="Times New Roman" w:cs="Times New Roman"/>
          <w:b/>
          <w:bCs/>
          <w:szCs w:val="24"/>
          <w:lang w:eastAsia="pl-PL"/>
        </w:rPr>
      </w:pPr>
      <w:r>
        <w:rPr>
          <w:noProof/>
          <w:lang w:eastAsia="pl-PL"/>
        </w:rPr>
        <mc:AlternateContent>
          <mc:Choice Requires="wps">
            <w:drawing>
              <wp:anchor distT="0" distB="0" distL="114300" distR="114300" simplePos="0" relativeHeight="251694080" behindDoc="0" locked="0" layoutInCell="1" allowOverlap="1" wp14:anchorId="4E7B213F" wp14:editId="64B750DD">
                <wp:simplePos x="0" y="0"/>
                <wp:positionH relativeFrom="column">
                  <wp:posOffset>180340</wp:posOffset>
                </wp:positionH>
                <wp:positionV relativeFrom="paragraph">
                  <wp:posOffset>132715</wp:posOffset>
                </wp:positionV>
                <wp:extent cx="5767070" cy="457200"/>
                <wp:effectExtent l="0" t="0" r="5080" b="0"/>
                <wp:wrapSquare wrapText="bothSides"/>
                <wp:docPr id="14" name="Pole tekstowe 14"/>
                <wp:cNvGraphicFramePr/>
                <a:graphic xmlns:a="http://schemas.openxmlformats.org/drawingml/2006/main">
                  <a:graphicData uri="http://schemas.microsoft.com/office/word/2010/wordprocessingShape">
                    <wps:wsp>
                      <wps:cNvSpPr txBox="1"/>
                      <wps:spPr>
                        <a:xfrm>
                          <a:off x="0" y="0"/>
                          <a:ext cx="5767070" cy="457200"/>
                        </a:xfrm>
                        <a:prstGeom prst="rect">
                          <a:avLst/>
                        </a:prstGeom>
                        <a:solidFill>
                          <a:prstClr val="white"/>
                        </a:solidFill>
                        <a:ln>
                          <a:noFill/>
                        </a:ln>
                      </wps:spPr>
                      <wps:txbx>
                        <w:txbxContent>
                          <w:p w14:paraId="5D3C81FC" w14:textId="31321182" w:rsidR="00E5701D" w:rsidRPr="00397768" w:rsidRDefault="00E5701D" w:rsidP="00E05136">
                            <w:pPr>
                              <w:pStyle w:val="Legenda"/>
                              <w:jc w:val="both"/>
                              <w:rPr>
                                <w:rFonts w:ascii="Times New Roman" w:eastAsia="Times New Roman" w:hAnsi="Times New Roman" w:cs="Times New Roman"/>
                                <w:b/>
                                <w:i w:val="0"/>
                                <w:noProof/>
                                <w:sz w:val="36"/>
                                <w:szCs w:val="24"/>
                              </w:rPr>
                            </w:pPr>
                            <w:bookmarkStart w:id="73" w:name="_Toc49171449"/>
                            <w:r w:rsidRPr="00397768">
                              <w:rPr>
                                <w:rFonts w:ascii="Times New Roman" w:hAnsi="Times New Roman" w:cs="Times New Roman"/>
                                <w:b/>
                                <w:i w:val="0"/>
                                <w:sz w:val="24"/>
                              </w:rPr>
                              <w:t xml:space="preserve">Rysunek </w:t>
                            </w:r>
                            <w:r w:rsidRPr="00397768">
                              <w:rPr>
                                <w:rFonts w:ascii="Times New Roman" w:hAnsi="Times New Roman" w:cs="Times New Roman"/>
                                <w:b/>
                                <w:i w:val="0"/>
                                <w:sz w:val="24"/>
                              </w:rPr>
                              <w:fldChar w:fldCharType="begin"/>
                            </w:r>
                            <w:r w:rsidRPr="00397768">
                              <w:rPr>
                                <w:rFonts w:ascii="Times New Roman" w:hAnsi="Times New Roman" w:cs="Times New Roman"/>
                                <w:b/>
                                <w:i w:val="0"/>
                                <w:sz w:val="24"/>
                              </w:rPr>
                              <w:instrText xml:space="preserve"> SEQ Rysunek \* ARABIC </w:instrText>
                            </w:r>
                            <w:r w:rsidRPr="00397768">
                              <w:rPr>
                                <w:rFonts w:ascii="Times New Roman" w:hAnsi="Times New Roman" w:cs="Times New Roman"/>
                                <w:b/>
                                <w:i w:val="0"/>
                                <w:sz w:val="24"/>
                              </w:rPr>
                              <w:fldChar w:fldCharType="separate"/>
                            </w:r>
                            <w:r>
                              <w:rPr>
                                <w:rFonts w:ascii="Times New Roman" w:hAnsi="Times New Roman" w:cs="Times New Roman"/>
                                <w:b/>
                                <w:i w:val="0"/>
                                <w:noProof/>
                                <w:sz w:val="24"/>
                              </w:rPr>
                              <w:t>3</w:t>
                            </w:r>
                            <w:r w:rsidRPr="00397768">
                              <w:rPr>
                                <w:rFonts w:ascii="Times New Roman" w:hAnsi="Times New Roman" w:cs="Times New Roman"/>
                                <w:b/>
                                <w:i w:val="0"/>
                                <w:sz w:val="24"/>
                              </w:rPr>
                              <w:fldChar w:fldCharType="end"/>
                            </w:r>
                            <w:r w:rsidRPr="00397768">
                              <w:rPr>
                                <w:rFonts w:ascii="Times New Roman" w:hAnsi="Times New Roman" w:cs="Times New Roman"/>
                                <w:b/>
                                <w:i w:val="0"/>
                                <w:sz w:val="24"/>
                              </w:rPr>
                              <w:t xml:space="preserve"> Udział starszych osób niepełnosprawnych 50+ w zajęciach sekcji, imprezach, Mistrzostwach Polski, Pucharach Polski i obozach sportowych</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E7B213F" id="Pole tekstowe 14" o:spid="_x0000_s1028" type="#_x0000_t202" style="position:absolute;left:0;text-align:left;margin-left:14.2pt;margin-top:10.45pt;width:454.1pt;height:36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J6oNAIAAG4EAAAOAAAAZHJzL2Uyb0RvYy54bWysVMFu2zAMvQ/YPwi6L06CthmMOEWWIsOA&#10;oA2QDj0rshwLk0VNYmJnXz9KjtOt22nYRaZIitJ7j/T8vmsMOykfNNiCT0ZjzpSVUGp7KPjX5/WH&#10;j5wFFLYUBqwq+FkFfr94/27eulxNoQZTKs+oiA156wpeI7o8y4KsVSPCCJyyFKzANwJp6w9Z6UVL&#10;1RuTTcfju6wFXzoPUoVA3oc+yBepflUpiU9VFRQyU3B6G6bVp3Uf12wxF/nBC1dreXmG+IdXNEJb&#10;uvRa6kGgYEev/yjVaOkhQIUjCU0GVaWlShgIzWT8Bs2uFk4lLEROcFeawv8rKx9PW890SdrdcGZF&#10;QxptwSiG6ltAaBUjP5HUupBT7s5RNnafoKMDgz+QM2LvKt/EL6FiFCe6z1eKVYdMkvN2djcbzygk&#10;KXZzOyMNY5ns9bTzAT8raFg0Cu5JwsSsOG0C9qlDSrwsgNHlWhsTNzGwMp6dBMnd1hrVpfhvWcbG&#10;XAvxVF8werIIsYcSLez2XeJlOsDcQ3km9B76JgpOrjXdtxEBt8JT1xAqmgR8oqUy0BYcLhZnNfgf&#10;f/PHfBKTopy11IUFD9+PwivOzBdLMseWHQw/GPvBsMdmBYR0QjPmZDLpgEczmJWH5oUGZBlvoZCw&#10;ku4qOA7mCvtZoAGTarlMSdSYTuDG7pyMpQden7sX4d1FFSQ9H2HoT5G/EafP7VleHhEqnZSLvPYs&#10;Xuimpk7aXwYwTs2v+5T1+ptY/AQAAP//AwBQSwMEFAAGAAgAAAAhAB9p2UbeAAAACAEAAA8AAABk&#10;cnMvZG93bnJldi54bWxMj0FPwzAMhe9I/IfISFwQSymoWkvTCTa4wWFj2jlrTFvROFWSrt2/x5zY&#10;ybbe0/P3ytVse3FCHzpHCh4WCQik2pmOGgX7r/f7JYgQNRndO0IFZwywqq6vSl0YN9EWT7vYCA6h&#10;UGgFbYxDIWWoW7Q6LNyAxNq381ZHPn0jjdcTh9tepkmSSas74g+tHnDdYv2zG62CbOPHaUvru83+&#10;7UN/Dk16eD0flLq9mV+eQUSc478Z/vAZHSpmOrqRTBC9gnT5xE6eSQ6C9fwxy0AceUlzkFUpLwtU&#10;vwAAAP//AwBQSwECLQAUAAYACAAAACEAtoM4kv4AAADhAQAAEwAAAAAAAAAAAAAAAAAAAAAAW0Nv&#10;bnRlbnRfVHlwZXNdLnhtbFBLAQItABQABgAIAAAAIQA4/SH/1gAAAJQBAAALAAAAAAAAAAAAAAAA&#10;AC8BAABfcmVscy8ucmVsc1BLAQItABQABgAIAAAAIQDWSJ6oNAIAAG4EAAAOAAAAAAAAAAAAAAAA&#10;AC4CAABkcnMvZTJvRG9jLnhtbFBLAQItABQABgAIAAAAIQAfadlG3gAAAAgBAAAPAAAAAAAAAAAA&#10;AAAAAI4EAABkcnMvZG93bnJldi54bWxQSwUGAAAAAAQABADzAAAAmQUAAAAA&#10;" stroked="f">
                <v:textbox inset="0,0,0,0">
                  <w:txbxContent>
                    <w:p w14:paraId="5D3C81FC" w14:textId="31321182" w:rsidR="00E5701D" w:rsidRPr="00397768" w:rsidRDefault="00E5701D" w:rsidP="00E05136">
                      <w:pPr>
                        <w:pStyle w:val="Legenda"/>
                        <w:jc w:val="both"/>
                        <w:rPr>
                          <w:rFonts w:ascii="Times New Roman" w:eastAsia="Times New Roman" w:hAnsi="Times New Roman" w:cs="Times New Roman"/>
                          <w:b/>
                          <w:i w:val="0"/>
                          <w:noProof/>
                          <w:sz w:val="36"/>
                          <w:szCs w:val="24"/>
                        </w:rPr>
                      </w:pPr>
                      <w:bookmarkStart w:id="76" w:name="_Toc49171449"/>
                      <w:r w:rsidRPr="00397768">
                        <w:rPr>
                          <w:rFonts w:ascii="Times New Roman" w:hAnsi="Times New Roman" w:cs="Times New Roman"/>
                          <w:b/>
                          <w:i w:val="0"/>
                          <w:sz w:val="24"/>
                        </w:rPr>
                        <w:t xml:space="preserve">Rysunek </w:t>
                      </w:r>
                      <w:r w:rsidRPr="00397768">
                        <w:rPr>
                          <w:rFonts w:ascii="Times New Roman" w:hAnsi="Times New Roman" w:cs="Times New Roman"/>
                          <w:b/>
                          <w:i w:val="0"/>
                          <w:sz w:val="24"/>
                        </w:rPr>
                        <w:fldChar w:fldCharType="begin"/>
                      </w:r>
                      <w:r w:rsidRPr="00397768">
                        <w:rPr>
                          <w:rFonts w:ascii="Times New Roman" w:hAnsi="Times New Roman" w:cs="Times New Roman"/>
                          <w:b/>
                          <w:i w:val="0"/>
                          <w:sz w:val="24"/>
                        </w:rPr>
                        <w:instrText xml:space="preserve"> SEQ Rysunek \* ARABIC </w:instrText>
                      </w:r>
                      <w:r w:rsidRPr="00397768">
                        <w:rPr>
                          <w:rFonts w:ascii="Times New Roman" w:hAnsi="Times New Roman" w:cs="Times New Roman"/>
                          <w:b/>
                          <w:i w:val="0"/>
                          <w:sz w:val="24"/>
                        </w:rPr>
                        <w:fldChar w:fldCharType="separate"/>
                      </w:r>
                      <w:r>
                        <w:rPr>
                          <w:rFonts w:ascii="Times New Roman" w:hAnsi="Times New Roman" w:cs="Times New Roman"/>
                          <w:b/>
                          <w:i w:val="0"/>
                          <w:noProof/>
                          <w:sz w:val="24"/>
                        </w:rPr>
                        <w:t>3</w:t>
                      </w:r>
                      <w:r w:rsidRPr="00397768">
                        <w:rPr>
                          <w:rFonts w:ascii="Times New Roman" w:hAnsi="Times New Roman" w:cs="Times New Roman"/>
                          <w:b/>
                          <w:i w:val="0"/>
                          <w:sz w:val="24"/>
                        </w:rPr>
                        <w:fldChar w:fldCharType="end"/>
                      </w:r>
                      <w:r w:rsidRPr="00397768">
                        <w:rPr>
                          <w:rFonts w:ascii="Times New Roman" w:hAnsi="Times New Roman" w:cs="Times New Roman"/>
                          <w:b/>
                          <w:i w:val="0"/>
                          <w:sz w:val="24"/>
                        </w:rPr>
                        <w:t xml:space="preserve"> Udział starszych osób niepełnosprawnych 50+ w zajęciach sekcji, imprezach, Mistrzostwach Polski, Pucharach Polski i obozach sportowych</w:t>
                      </w:r>
                      <w:bookmarkEnd w:id="76"/>
                    </w:p>
                  </w:txbxContent>
                </v:textbox>
                <w10:wrap type="square"/>
              </v:shape>
            </w:pict>
          </mc:Fallback>
        </mc:AlternateContent>
      </w:r>
      <w:r w:rsidR="008F6EDB" w:rsidRPr="0016476C">
        <w:rPr>
          <w:rFonts w:ascii="Times New Roman" w:eastAsia="Times New Roman" w:hAnsi="Times New Roman" w:cs="Times New Roman"/>
          <w:noProof/>
          <w:sz w:val="24"/>
          <w:szCs w:val="24"/>
          <w:lang w:eastAsia="pl-PL"/>
        </w:rPr>
        <w:drawing>
          <wp:anchor distT="0" distB="0" distL="114300" distR="114300" simplePos="0" relativeHeight="251687936" behindDoc="0" locked="0" layoutInCell="1" allowOverlap="1" wp14:anchorId="67A62C76" wp14:editId="6D04A692">
            <wp:simplePos x="0" y="0"/>
            <wp:positionH relativeFrom="margin">
              <wp:align>right</wp:align>
            </wp:positionH>
            <wp:positionV relativeFrom="paragraph">
              <wp:posOffset>589915</wp:posOffset>
            </wp:positionV>
            <wp:extent cx="5767070" cy="1981200"/>
            <wp:effectExtent l="0" t="0" r="5080" b="0"/>
            <wp:wrapSquare wrapText="bothSides"/>
            <wp:docPr id="3" name="Wykres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E05136">
        <w:rPr>
          <w:rFonts w:ascii="Times New Roman" w:eastAsia="Times New Roman" w:hAnsi="Times New Roman" w:cs="Times New Roman"/>
          <w:bCs/>
          <w:sz w:val="24"/>
          <w:szCs w:val="24"/>
          <w:lang w:eastAsia="pl-PL"/>
        </w:rPr>
        <w:t>Ź</w:t>
      </w:r>
      <w:r w:rsidR="00E05136" w:rsidRPr="00E05136">
        <w:rPr>
          <w:rFonts w:ascii="Times New Roman" w:eastAsia="Times New Roman" w:hAnsi="Times New Roman" w:cs="Times New Roman"/>
          <w:b/>
          <w:bCs/>
          <w:szCs w:val="24"/>
          <w:lang w:eastAsia="pl-PL"/>
        </w:rPr>
        <w:t>ródło: dane z Ministerstwa Sportu</w:t>
      </w:r>
    </w:p>
    <w:p w14:paraId="3FD3A437" w14:textId="77777777" w:rsidR="008F6EDB" w:rsidRDefault="008F6EDB" w:rsidP="00E64A42">
      <w:pPr>
        <w:spacing w:after="0"/>
        <w:jc w:val="both"/>
        <w:rPr>
          <w:rFonts w:ascii="Times New Roman" w:eastAsia="Times New Roman" w:hAnsi="Times New Roman" w:cs="Times New Roman"/>
          <w:bCs/>
          <w:sz w:val="24"/>
          <w:szCs w:val="24"/>
          <w:lang w:eastAsia="pl-PL"/>
        </w:rPr>
      </w:pPr>
    </w:p>
    <w:p w14:paraId="354FB290" w14:textId="77777777" w:rsidR="00E64A42" w:rsidRPr="00E64A42" w:rsidRDefault="00E64A42" w:rsidP="00E64A42">
      <w:pPr>
        <w:spacing w:after="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w:t>
      </w:r>
      <w:r w:rsidRPr="00E64A42">
        <w:rPr>
          <w:rFonts w:ascii="Times New Roman" w:eastAsia="Times New Roman" w:hAnsi="Times New Roman" w:cs="Times New Roman"/>
          <w:sz w:val="24"/>
          <w:szCs w:val="24"/>
          <w:lang w:eastAsia="pl-PL"/>
        </w:rPr>
        <w:t>Podsumowując, aktywność fizyczna jest najbardziej skutecznym - spośród znanych dotychczas - sposobem opóźniania procesów starzenia się i czynnikiem zachowania zdrowia oraz - co w przypadku osób w podeszłym wieku wydaje się najważniejsze - mobilności  wydłużenia okresu aktywności funkcjonalnej w życiu codziennym .</w:t>
      </w:r>
    </w:p>
    <w:p w14:paraId="4D821D52" w14:textId="77777777" w:rsidR="002924A5" w:rsidRPr="00835584" w:rsidRDefault="0087360D" w:rsidP="006425EF">
      <w:pPr>
        <w:pStyle w:val="Nagwek2"/>
        <w:numPr>
          <w:ilvl w:val="1"/>
          <w:numId w:val="383"/>
        </w:numPr>
        <w:spacing w:before="240" w:after="240"/>
        <w:ind w:left="432"/>
        <w:rPr>
          <w:rFonts w:cs="Times New Roman"/>
          <w:sz w:val="36"/>
          <w:lang w:eastAsia="ar-SA"/>
        </w:rPr>
      </w:pPr>
      <w:bookmarkStart w:id="74" w:name="_Toc49171342"/>
      <w:r w:rsidRPr="00835584">
        <w:rPr>
          <w:rFonts w:cs="Times New Roman"/>
          <w:sz w:val="36"/>
          <w:lang w:eastAsia="ar-SA"/>
        </w:rPr>
        <w:t>Ministerstwo Spr</w:t>
      </w:r>
      <w:r w:rsidR="00475EFA" w:rsidRPr="00835584">
        <w:rPr>
          <w:rFonts w:cs="Times New Roman"/>
          <w:sz w:val="36"/>
          <w:lang w:eastAsia="ar-SA"/>
        </w:rPr>
        <w:t>aw Wewnętrznych i Administracji</w:t>
      </w:r>
      <w:bookmarkEnd w:id="74"/>
    </w:p>
    <w:p w14:paraId="13ABB8EB" w14:textId="77777777" w:rsidR="00A36392" w:rsidRPr="00A36392" w:rsidRDefault="00A36392" w:rsidP="002924A5">
      <w:pPr>
        <w:spacing w:after="0"/>
        <w:jc w:val="both"/>
        <w:rPr>
          <w:rFonts w:ascii="Times New Roman" w:hAnsi="Times New Roman" w:cs="Times New Roman"/>
          <w:color w:val="000000"/>
          <w:sz w:val="24"/>
          <w:szCs w:val="24"/>
        </w:rPr>
      </w:pPr>
      <w:r w:rsidRPr="00A36392">
        <w:rPr>
          <w:rFonts w:ascii="Times New Roman" w:hAnsi="Times New Roman" w:cs="Times New Roman"/>
          <w:color w:val="000000"/>
          <w:sz w:val="24"/>
          <w:szCs w:val="24"/>
        </w:rPr>
        <w:t xml:space="preserve">Ministerstwo Spraw Wewnętrznych i Administracji (dalej: MSWiA) koordynuje realizację </w:t>
      </w:r>
      <w:r w:rsidRPr="00A36392">
        <w:rPr>
          <w:rFonts w:ascii="Times New Roman" w:hAnsi="Times New Roman" w:cs="Times New Roman"/>
          <w:i/>
          <w:color w:val="000000"/>
          <w:sz w:val="24"/>
          <w:szCs w:val="24"/>
        </w:rPr>
        <w:t>Programu ograniczania przestępczości i aspołecznych zachowań Razem bezpieczniej im. Władysława Stasiaka na lata 2018-2020</w:t>
      </w:r>
      <w:r w:rsidRPr="00A36392">
        <w:rPr>
          <w:rFonts w:ascii="Times New Roman" w:hAnsi="Times New Roman" w:cs="Times New Roman"/>
          <w:color w:val="000000"/>
          <w:sz w:val="24"/>
          <w:szCs w:val="24"/>
        </w:rPr>
        <w:t xml:space="preserve"> (dalej: „Program”). C</w:t>
      </w:r>
      <w:r w:rsidRPr="00A36392">
        <w:rPr>
          <w:rFonts w:ascii="Times New Roman" w:hAnsi="Times New Roman" w:cs="Times New Roman"/>
          <w:color w:val="000000"/>
          <w:spacing w:val="-2"/>
          <w:sz w:val="24"/>
          <w:szCs w:val="24"/>
        </w:rPr>
        <w:t xml:space="preserve">elem Programu jest przede wszystkim wspieranie kompleksowych przedsięwzięć </w:t>
      </w:r>
      <w:r w:rsidRPr="00A36392">
        <w:rPr>
          <w:rFonts w:ascii="Times New Roman" w:hAnsi="Times New Roman" w:cs="Times New Roman"/>
          <w:color w:val="000000"/>
          <w:sz w:val="24"/>
          <w:szCs w:val="24"/>
        </w:rPr>
        <w:t>na rzecz bezpieczeństwa w przestrzeni publicznej, w tym bezpieczeństwa seniorów, jak również aktywność na rzecz przeciwdziałania patologiom społecznym i przestępczości pospolitej, działania edukacyjno-profilaktyczne oraz edukacja dla bezpieczeństwa.</w:t>
      </w:r>
      <w:r w:rsidRPr="00A36392">
        <w:rPr>
          <w:rFonts w:ascii="Times New Roman" w:hAnsi="Times New Roman" w:cs="Times New Roman"/>
          <w:color w:val="000000"/>
          <w:spacing w:val="-2"/>
          <w:sz w:val="24"/>
          <w:szCs w:val="24"/>
        </w:rPr>
        <w:t xml:space="preserve"> Działania z tego zakresu prowadzone są w gminach i powiatach </w:t>
      </w:r>
      <w:r w:rsidRPr="00A36392">
        <w:rPr>
          <w:rFonts w:ascii="Times New Roman" w:hAnsi="Times New Roman" w:cs="Times New Roman"/>
          <w:color w:val="000000"/>
          <w:spacing w:val="-2"/>
          <w:sz w:val="24"/>
          <w:szCs w:val="24"/>
        </w:rPr>
        <w:lastRenderedPageBreak/>
        <w:t xml:space="preserve">na terenie całego kraju. Ze środków finansowych przeznaczonych na realizację </w:t>
      </w:r>
      <w:r w:rsidRPr="00A36392">
        <w:rPr>
          <w:rFonts w:ascii="Times New Roman" w:hAnsi="Times New Roman" w:cs="Times New Roman"/>
          <w:sz w:val="24"/>
          <w:szCs w:val="24"/>
        </w:rPr>
        <w:t xml:space="preserve">celu szczegółowego </w:t>
      </w:r>
      <w:r w:rsidRPr="00A36392">
        <w:rPr>
          <w:rFonts w:ascii="Times New Roman" w:hAnsi="Times New Roman" w:cs="Times New Roman"/>
          <w:i/>
          <w:sz w:val="24"/>
          <w:szCs w:val="24"/>
        </w:rPr>
        <w:t>Edukacja dla bezpieczeństwa</w:t>
      </w:r>
      <w:r w:rsidRPr="00A36392">
        <w:rPr>
          <w:rFonts w:ascii="Times New Roman" w:hAnsi="Times New Roman" w:cs="Times New Roman"/>
          <w:sz w:val="24"/>
          <w:szCs w:val="24"/>
        </w:rPr>
        <w:t xml:space="preserve"> w 2019 r. seniorzy byli m.in. szkoleni z zakresu pierwszej pomocy i podstaw samoobrony, bezpieczeństwa pieszych w ruchu drogowym oraz podstawowych technik ratownictwa. Seniorom przybliżone zostały zasady bezpieczeństwa w ruchu drogowym, zasady prawidłowego zachowania się na przejściach dla pieszych i w ich okolicach oraz wiadomości i umiejętności dotyczące wzywania specjalistycznych służb ratowniczych, a także metod zabezpieczania mienia – w jaki sposób chronić swoje mienie i co chronić, żeby uniknąć ewentualnej kradzieży czy innych przestępstw i wykroczeń popełnianych m. in. wobec osób starszych, w szczególności oszustw. W MSWiA zostały przygotowane tzw. „magnesy bezpieczeństwa” zawierające hasła dotyczące bezpieczeństwa osób starszych, zwracające uwagę na niebezpieczeństwa związane z oszustwami, które są dystrybuowane podczas akcji i kampanii skierowanych do seniorów.</w:t>
      </w:r>
      <w:r w:rsidRPr="00A36392">
        <w:rPr>
          <w:rFonts w:ascii="Times New Roman" w:hAnsi="Times New Roman" w:cs="Times New Roman"/>
          <w:color w:val="000000"/>
          <w:sz w:val="24"/>
          <w:szCs w:val="24"/>
        </w:rPr>
        <w:t xml:space="preserve"> </w:t>
      </w:r>
      <w:r w:rsidRPr="00A36392">
        <w:rPr>
          <w:rFonts w:ascii="Times New Roman" w:hAnsi="Times New Roman" w:cs="Times New Roman"/>
          <w:sz w:val="24"/>
          <w:szCs w:val="24"/>
        </w:rPr>
        <w:t>Od 4 lat, w ramach Programu, środki finansowe są przeznaczane na działania poprawiające bezpieczeństwo pieszych, w tym modernizację przejść dla pieszych.</w:t>
      </w:r>
      <w:r w:rsidRPr="00A36392">
        <w:rPr>
          <w:rFonts w:ascii="Times New Roman" w:hAnsi="Times New Roman" w:cs="Times New Roman"/>
          <w:color w:val="010101"/>
          <w:sz w:val="24"/>
          <w:szCs w:val="24"/>
        </w:rPr>
        <w:t xml:space="preserve"> W latach 2018 i 2019 – dofinansowano po</w:t>
      </w:r>
      <w:r w:rsidR="00A56830">
        <w:rPr>
          <w:rFonts w:ascii="Times New Roman" w:hAnsi="Times New Roman" w:cs="Times New Roman"/>
          <w:color w:val="010101"/>
          <w:sz w:val="24"/>
          <w:szCs w:val="24"/>
        </w:rPr>
        <w:t xml:space="preserve"> 47 projektów na łączną kwotę 6 000 </w:t>
      </w:r>
      <w:r w:rsidRPr="00A36392">
        <w:rPr>
          <w:rFonts w:ascii="Times New Roman" w:hAnsi="Times New Roman" w:cs="Times New Roman"/>
          <w:color w:val="010101"/>
          <w:sz w:val="24"/>
          <w:szCs w:val="24"/>
        </w:rPr>
        <w:t>000 zł</w:t>
      </w:r>
      <w:r w:rsidR="00A56830">
        <w:rPr>
          <w:rFonts w:ascii="Times New Roman" w:hAnsi="Times New Roman" w:cs="Times New Roman"/>
          <w:sz w:val="24"/>
          <w:szCs w:val="24"/>
        </w:rPr>
        <w:t xml:space="preserve"> – po 3 000 </w:t>
      </w:r>
      <w:r w:rsidRPr="00A36392">
        <w:rPr>
          <w:rFonts w:ascii="Times New Roman" w:hAnsi="Times New Roman" w:cs="Times New Roman"/>
          <w:sz w:val="24"/>
          <w:szCs w:val="24"/>
        </w:rPr>
        <w:t>000 zł w ka</w:t>
      </w:r>
      <w:r w:rsidR="00A56830">
        <w:rPr>
          <w:rFonts w:ascii="Times New Roman" w:hAnsi="Times New Roman" w:cs="Times New Roman"/>
          <w:sz w:val="24"/>
          <w:szCs w:val="24"/>
        </w:rPr>
        <w:t>żdym roku. Natomiast w 2020 r.</w:t>
      </w:r>
      <w:r w:rsidRPr="00A36392">
        <w:rPr>
          <w:rFonts w:ascii="Times New Roman" w:hAnsi="Times New Roman" w:cs="Times New Roman"/>
          <w:sz w:val="24"/>
          <w:szCs w:val="24"/>
        </w:rPr>
        <w:t xml:space="preserve"> zaplanowano w tym zakresie dofinansowa</w:t>
      </w:r>
      <w:r w:rsidR="00A56830">
        <w:rPr>
          <w:rFonts w:ascii="Times New Roman" w:hAnsi="Times New Roman" w:cs="Times New Roman"/>
          <w:sz w:val="24"/>
          <w:szCs w:val="24"/>
        </w:rPr>
        <w:t xml:space="preserve">nie projektów w wysokości 6 000 </w:t>
      </w:r>
      <w:r w:rsidRPr="00A36392">
        <w:rPr>
          <w:rFonts w:ascii="Times New Roman" w:hAnsi="Times New Roman" w:cs="Times New Roman"/>
          <w:sz w:val="24"/>
          <w:szCs w:val="24"/>
        </w:rPr>
        <w:t>000 złotych. Działania te przyczyniają się również do poprawy bezpieczeństwa osób starszych. Poniżej wskazano przykładowe inicjatywy lokalne dofinans</w:t>
      </w:r>
      <w:r w:rsidR="00A56830">
        <w:rPr>
          <w:rFonts w:ascii="Times New Roman" w:hAnsi="Times New Roman" w:cs="Times New Roman"/>
          <w:sz w:val="24"/>
          <w:szCs w:val="24"/>
        </w:rPr>
        <w:t>owane i zrealizowane w 2019 r.</w:t>
      </w:r>
      <w:r w:rsidRPr="00A36392">
        <w:rPr>
          <w:rFonts w:ascii="Times New Roman" w:hAnsi="Times New Roman" w:cs="Times New Roman"/>
          <w:sz w:val="24"/>
          <w:szCs w:val="24"/>
        </w:rPr>
        <w:t xml:space="preserve"> w ramach Programu: </w:t>
      </w:r>
    </w:p>
    <w:p w14:paraId="3DE1D8F3" w14:textId="77777777" w:rsidR="00A56830" w:rsidRDefault="00A36392" w:rsidP="008C71A9">
      <w:pPr>
        <w:pStyle w:val="Akapitzlist"/>
        <w:numPr>
          <w:ilvl w:val="0"/>
          <w:numId w:val="321"/>
        </w:numPr>
        <w:spacing w:after="0"/>
        <w:ind w:left="360"/>
        <w:jc w:val="both"/>
        <w:rPr>
          <w:rFonts w:ascii="Times New Roman" w:hAnsi="Times New Roman" w:cs="Times New Roman"/>
          <w:sz w:val="24"/>
          <w:szCs w:val="24"/>
        </w:rPr>
      </w:pPr>
      <w:r w:rsidRPr="00A56830">
        <w:rPr>
          <w:rFonts w:ascii="Times New Roman" w:hAnsi="Times New Roman" w:cs="Times New Roman"/>
          <w:sz w:val="24"/>
          <w:szCs w:val="24"/>
        </w:rPr>
        <w:t>Gmina Telatyn,</w:t>
      </w:r>
      <w:r w:rsidRPr="00A56830">
        <w:rPr>
          <w:rFonts w:ascii="Times New Roman" w:hAnsi="Times New Roman" w:cs="Times New Roman"/>
          <w:b/>
          <w:sz w:val="24"/>
          <w:szCs w:val="24"/>
        </w:rPr>
        <w:t xml:space="preserve"> </w:t>
      </w:r>
      <w:r w:rsidRPr="00A56830">
        <w:rPr>
          <w:rFonts w:ascii="Times New Roman" w:hAnsi="Times New Roman" w:cs="Times New Roman"/>
          <w:sz w:val="24"/>
          <w:szCs w:val="24"/>
        </w:rPr>
        <w:t>woj. lubelskie</w:t>
      </w:r>
      <w:r w:rsidRPr="00A56830">
        <w:rPr>
          <w:rFonts w:ascii="Times New Roman" w:hAnsi="Times New Roman" w:cs="Times New Roman"/>
          <w:b/>
          <w:sz w:val="24"/>
          <w:szCs w:val="24"/>
        </w:rPr>
        <w:t xml:space="preserve"> - </w:t>
      </w:r>
      <w:r w:rsidRPr="00A56830">
        <w:rPr>
          <w:rFonts w:ascii="Times New Roman" w:hAnsi="Times New Roman" w:cs="Times New Roman"/>
          <w:sz w:val="24"/>
          <w:szCs w:val="24"/>
        </w:rPr>
        <w:t>,,Zachowanie Seniora wzorem dla J</w:t>
      </w:r>
      <w:r w:rsidR="00A56830">
        <w:rPr>
          <w:rFonts w:ascii="Times New Roman" w:hAnsi="Times New Roman" w:cs="Times New Roman"/>
          <w:sz w:val="24"/>
          <w:szCs w:val="24"/>
        </w:rPr>
        <w:t xml:space="preserve">uniora czyli bezpieczny Senior </w:t>
      </w:r>
      <w:r w:rsidRPr="00A56830">
        <w:rPr>
          <w:rFonts w:ascii="Times New Roman" w:hAnsi="Times New Roman" w:cs="Times New Roman"/>
          <w:sz w:val="24"/>
          <w:szCs w:val="24"/>
        </w:rPr>
        <w:t>w Gminie Telatyn" (19 530 zł),</w:t>
      </w:r>
    </w:p>
    <w:p w14:paraId="1C4CCA5B" w14:textId="77777777" w:rsidR="00A56830" w:rsidRPr="00A56830" w:rsidRDefault="00A36392" w:rsidP="008C71A9">
      <w:pPr>
        <w:pStyle w:val="Akapitzlist"/>
        <w:numPr>
          <w:ilvl w:val="0"/>
          <w:numId w:val="321"/>
        </w:numPr>
        <w:spacing w:after="0"/>
        <w:ind w:left="360"/>
        <w:jc w:val="both"/>
        <w:rPr>
          <w:rFonts w:ascii="Times New Roman" w:hAnsi="Times New Roman" w:cs="Times New Roman"/>
          <w:sz w:val="24"/>
          <w:szCs w:val="24"/>
        </w:rPr>
      </w:pPr>
      <w:r w:rsidRPr="00A56830">
        <w:rPr>
          <w:rFonts w:ascii="Times New Roman" w:hAnsi="Times New Roman" w:cs="Times New Roman"/>
          <w:sz w:val="24"/>
          <w:szCs w:val="24"/>
        </w:rPr>
        <w:t>Gmina Ryki</w:t>
      </w:r>
      <w:r w:rsidRPr="00A56830">
        <w:rPr>
          <w:rFonts w:ascii="Times New Roman" w:hAnsi="Times New Roman" w:cs="Times New Roman"/>
          <w:b/>
          <w:sz w:val="24"/>
          <w:szCs w:val="24"/>
        </w:rPr>
        <w:t xml:space="preserve">, </w:t>
      </w:r>
      <w:r w:rsidRPr="00A56830">
        <w:rPr>
          <w:rFonts w:ascii="Times New Roman" w:hAnsi="Times New Roman" w:cs="Times New Roman"/>
          <w:sz w:val="24"/>
          <w:szCs w:val="24"/>
        </w:rPr>
        <w:t>woj. lubelskie, woj. lubelskie</w:t>
      </w:r>
      <w:r w:rsidRPr="00A56830">
        <w:rPr>
          <w:rFonts w:ascii="Times New Roman" w:hAnsi="Times New Roman" w:cs="Times New Roman"/>
          <w:b/>
          <w:sz w:val="24"/>
          <w:szCs w:val="24"/>
        </w:rPr>
        <w:t xml:space="preserve"> -  </w:t>
      </w:r>
      <w:r w:rsidRPr="00A56830">
        <w:rPr>
          <w:rFonts w:ascii="Times New Roman" w:hAnsi="Times New Roman" w:cs="Times New Roman"/>
          <w:bCs/>
          <w:sz w:val="24"/>
          <w:szCs w:val="24"/>
        </w:rPr>
        <w:t>„Bezpieczni piesi w Rykach”</w:t>
      </w:r>
      <w:r w:rsidRPr="00A56830">
        <w:rPr>
          <w:rFonts w:ascii="Times New Roman" w:hAnsi="Times New Roman" w:cs="Times New Roman"/>
          <w:sz w:val="24"/>
          <w:szCs w:val="24"/>
        </w:rPr>
        <w:t xml:space="preserve"> (</w:t>
      </w:r>
      <w:r w:rsidRPr="00A56830">
        <w:rPr>
          <w:rFonts w:ascii="Times New Roman" w:hAnsi="Times New Roman" w:cs="Times New Roman"/>
          <w:bCs/>
          <w:sz w:val="24"/>
          <w:szCs w:val="24"/>
        </w:rPr>
        <w:t>71 306 zł),</w:t>
      </w:r>
    </w:p>
    <w:p w14:paraId="48FBC400" w14:textId="77777777" w:rsidR="00A56830" w:rsidRDefault="00A36392" w:rsidP="008C71A9">
      <w:pPr>
        <w:pStyle w:val="Akapitzlist"/>
        <w:numPr>
          <w:ilvl w:val="0"/>
          <w:numId w:val="321"/>
        </w:numPr>
        <w:spacing w:after="0"/>
        <w:ind w:left="360"/>
        <w:jc w:val="both"/>
        <w:rPr>
          <w:rFonts w:ascii="Times New Roman" w:hAnsi="Times New Roman" w:cs="Times New Roman"/>
          <w:sz w:val="24"/>
          <w:szCs w:val="24"/>
        </w:rPr>
      </w:pPr>
      <w:r w:rsidRPr="00A56830">
        <w:rPr>
          <w:rFonts w:ascii="Times New Roman" w:hAnsi="Times New Roman" w:cs="Times New Roman"/>
          <w:sz w:val="24"/>
          <w:szCs w:val="24"/>
        </w:rPr>
        <w:t>Gmina Brwinów, woj. mazowieckie – „„Bezpieczny pieszy w centrum Brwinowa – modernizacja przejść dla pieszych” (25 000zł),</w:t>
      </w:r>
    </w:p>
    <w:p w14:paraId="7D9AFDA7" w14:textId="77777777" w:rsidR="00A56830" w:rsidRDefault="00A36392" w:rsidP="008C71A9">
      <w:pPr>
        <w:pStyle w:val="Akapitzlist"/>
        <w:numPr>
          <w:ilvl w:val="0"/>
          <w:numId w:val="321"/>
        </w:numPr>
        <w:spacing w:after="0"/>
        <w:ind w:left="360"/>
        <w:jc w:val="both"/>
        <w:rPr>
          <w:rFonts w:ascii="Times New Roman" w:hAnsi="Times New Roman" w:cs="Times New Roman"/>
          <w:sz w:val="24"/>
          <w:szCs w:val="24"/>
        </w:rPr>
      </w:pPr>
      <w:r w:rsidRPr="00A56830">
        <w:rPr>
          <w:rFonts w:ascii="Times New Roman" w:hAnsi="Times New Roman" w:cs="Times New Roman"/>
          <w:sz w:val="24"/>
          <w:szCs w:val="24"/>
        </w:rPr>
        <w:t>Powiat Prudnicki, woj. opolskie – „RAZEM DLA BEZPIECZEŃSTWA – kompleksowe działania na rzecz społeczności lokalnych Powiatu Prudnickiego – ETAP IV” (100 000 zł),</w:t>
      </w:r>
    </w:p>
    <w:p w14:paraId="3E01DEB6" w14:textId="77777777" w:rsidR="00A56830" w:rsidRDefault="00A36392" w:rsidP="008C71A9">
      <w:pPr>
        <w:pStyle w:val="Akapitzlist"/>
        <w:numPr>
          <w:ilvl w:val="0"/>
          <w:numId w:val="321"/>
        </w:numPr>
        <w:spacing w:after="0"/>
        <w:ind w:left="360"/>
        <w:jc w:val="both"/>
        <w:rPr>
          <w:rFonts w:ascii="Times New Roman" w:hAnsi="Times New Roman" w:cs="Times New Roman"/>
          <w:sz w:val="24"/>
          <w:szCs w:val="24"/>
        </w:rPr>
      </w:pPr>
      <w:r w:rsidRPr="00A56830">
        <w:rPr>
          <w:rFonts w:ascii="Times New Roman" w:hAnsi="Times New Roman" w:cs="Times New Roman"/>
          <w:sz w:val="24"/>
          <w:szCs w:val="24"/>
        </w:rPr>
        <w:t>Stowarzyszenie Pomocy Rodzinom „Nadzieja”, woj. podlaskie - „Senior Alert+AED.</w:t>
      </w:r>
      <w:r w:rsidR="00A56830">
        <w:rPr>
          <w:rFonts w:ascii="Times New Roman" w:hAnsi="Times New Roman" w:cs="Times New Roman"/>
          <w:sz w:val="24"/>
          <w:szCs w:val="24"/>
        </w:rPr>
        <w:t xml:space="preserve"> Kontynuacja </w:t>
      </w:r>
      <w:r w:rsidRPr="00A56830">
        <w:rPr>
          <w:rFonts w:ascii="Times New Roman" w:hAnsi="Times New Roman" w:cs="Times New Roman"/>
          <w:sz w:val="24"/>
          <w:szCs w:val="24"/>
        </w:rPr>
        <w:t>i rozwój podlaskiego systemu reagowania na zaginięcie osoby starszej” (100 000 zł),</w:t>
      </w:r>
    </w:p>
    <w:p w14:paraId="68C9CD72" w14:textId="77777777" w:rsidR="00A56830" w:rsidRDefault="00A36392" w:rsidP="008C71A9">
      <w:pPr>
        <w:pStyle w:val="Akapitzlist"/>
        <w:numPr>
          <w:ilvl w:val="0"/>
          <w:numId w:val="321"/>
        </w:numPr>
        <w:spacing w:after="0"/>
        <w:ind w:left="360"/>
        <w:jc w:val="both"/>
        <w:rPr>
          <w:rFonts w:ascii="Times New Roman" w:hAnsi="Times New Roman" w:cs="Times New Roman"/>
          <w:sz w:val="24"/>
          <w:szCs w:val="24"/>
        </w:rPr>
      </w:pPr>
      <w:r w:rsidRPr="00A56830">
        <w:rPr>
          <w:rFonts w:ascii="Times New Roman" w:hAnsi="Times New Roman" w:cs="Times New Roman"/>
          <w:sz w:val="24"/>
          <w:szCs w:val="24"/>
        </w:rPr>
        <w:t>Gmina Krzanowice, woj. śląskie - „Nasz wspólny cel - bezpieczeństwo ponad wszystko - edukacja dla bezpiecz</w:t>
      </w:r>
      <w:r w:rsidR="00A56830">
        <w:rPr>
          <w:rFonts w:ascii="Times New Roman" w:hAnsi="Times New Roman" w:cs="Times New Roman"/>
          <w:sz w:val="24"/>
          <w:szCs w:val="24"/>
        </w:rPr>
        <w:t xml:space="preserve">eństwa w Gminie Krzanowice” (25 </w:t>
      </w:r>
      <w:r w:rsidRPr="00A56830">
        <w:rPr>
          <w:rFonts w:ascii="Times New Roman" w:hAnsi="Times New Roman" w:cs="Times New Roman"/>
          <w:sz w:val="24"/>
          <w:szCs w:val="24"/>
        </w:rPr>
        <w:t>000 zł),</w:t>
      </w:r>
    </w:p>
    <w:p w14:paraId="20DB8CBF" w14:textId="77777777" w:rsidR="00A56830" w:rsidRDefault="00A36392" w:rsidP="008C71A9">
      <w:pPr>
        <w:pStyle w:val="Akapitzlist"/>
        <w:numPr>
          <w:ilvl w:val="0"/>
          <w:numId w:val="321"/>
        </w:numPr>
        <w:spacing w:after="0"/>
        <w:ind w:left="360"/>
        <w:jc w:val="both"/>
        <w:rPr>
          <w:rFonts w:ascii="Times New Roman" w:hAnsi="Times New Roman" w:cs="Times New Roman"/>
          <w:sz w:val="24"/>
          <w:szCs w:val="24"/>
        </w:rPr>
      </w:pPr>
      <w:r w:rsidRPr="00A56830">
        <w:rPr>
          <w:rFonts w:ascii="Times New Roman" w:hAnsi="Times New Roman" w:cs="Times New Roman"/>
          <w:sz w:val="24"/>
          <w:szCs w:val="24"/>
        </w:rPr>
        <w:t>Gmina Mirzec, woj. świętokrzyskie - „Bezpieczeństwo pieszych w bezpiecznej gminie” (50 000zł),</w:t>
      </w:r>
    </w:p>
    <w:p w14:paraId="21B3384E" w14:textId="77777777" w:rsidR="00A56830" w:rsidRDefault="00A36392" w:rsidP="008C71A9">
      <w:pPr>
        <w:pStyle w:val="Akapitzlist"/>
        <w:numPr>
          <w:ilvl w:val="0"/>
          <w:numId w:val="321"/>
        </w:numPr>
        <w:spacing w:after="0"/>
        <w:ind w:left="360"/>
        <w:jc w:val="both"/>
        <w:rPr>
          <w:rFonts w:ascii="Times New Roman" w:hAnsi="Times New Roman" w:cs="Times New Roman"/>
          <w:sz w:val="24"/>
          <w:szCs w:val="24"/>
        </w:rPr>
      </w:pPr>
      <w:r w:rsidRPr="00A56830">
        <w:rPr>
          <w:rFonts w:ascii="Times New Roman" w:hAnsi="Times New Roman" w:cs="Times New Roman"/>
          <w:sz w:val="24"/>
          <w:szCs w:val="24"/>
        </w:rPr>
        <w:t>Stowarzyszenie Bezpieczny Powiat Starachowicki, woj. świętokrzyskie - „ŚWIĘTOKRZYSKA KOALICJA SENIORÓW” (24 585 zł),</w:t>
      </w:r>
    </w:p>
    <w:p w14:paraId="7383D5A9" w14:textId="77777777" w:rsidR="00A56830" w:rsidRDefault="00A36392" w:rsidP="008C71A9">
      <w:pPr>
        <w:pStyle w:val="Akapitzlist"/>
        <w:numPr>
          <w:ilvl w:val="0"/>
          <w:numId w:val="321"/>
        </w:numPr>
        <w:spacing w:after="0"/>
        <w:ind w:left="360"/>
        <w:jc w:val="both"/>
        <w:rPr>
          <w:rFonts w:ascii="Times New Roman" w:hAnsi="Times New Roman" w:cs="Times New Roman"/>
          <w:sz w:val="24"/>
          <w:szCs w:val="24"/>
        </w:rPr>
      </w:pPr>
      <w:r w:rsidRPr="00A56830">
        <w:rPr>
          <w:rFonts w:ascii="Times New Roman" w:hAnsi="Times New Roman" w:cs="Times New Roman"/>
          <w:sz w:val="24"/>
          <w:szCs w:val="24"/>
        </w:rPr>
        <w:t>Powiat gołdapski, woj. warmińsko – mazurskie - „Ochrona pieszych dzięki aktywnym znakom na drodze powiatowej nr 4812N – ul. Kościuszki w Gołdapi” (79 050 zł),</w:t>
      </w:r>
    </w:p>
    <w:p w14:paraId="23A89F9E" w14:textId="77777777" w:rsidR="00A56830" w:rsidRDefault="00A36392" w:rsidP="008C71A9">
      <w:pPr>
        <w:pStyle w:val="Akapitzlist"/>
        <w:numPr>
          <w:ilvl w:val="0"/>
          <w:numId w:val="321"/>
        </w:numPr>
        <w:spacing w:after="0"/>
        <w:ind w:left="360"/>
        <w:jc w:val="both"/>
        <w:rPr>
          <w:rFonts w:ascii="Times New Roman" w:hAnsi="Times New Roman" w:cs="Times New Roman"/>
          <w:sz w:val="24"/>
          <w:szCs w:val="24"/>
        </w:rPr>
      </w:pPr>
      <w:r w:rsidRPr="00A56830">
        <w:rPr>
          <w:rFonts w:ascii="Times New Roman" w:hAnsi="Times New Roman" w:cs="Times New Roman"/>
          <w:sz w:val="24"/>
          <w:szCs w:val="24"/>
        </w:rPr>
        <w:t>Miasto Kalisz, woj. wielkopolskie - „Bezpieczne życie w Kaliszu – od juniora do seniora” (56 000 zł),</w:t>
      </w:r>
    </w:p>
    <w:p w14:paraId="1700478B" w14:textId="77777777" w:rsidR="00A36392" w:rsidRDefault="00A36392" w:rsidP="008C71A9">
      <w:pPr>
        <w:pStyle w:val="Akapitzlist"/>
        <w:numPr>
          <w:ilvl w:val="0"/>
          <w:numId w:val="321"/>
        </w:numPr>
        <w:spacing w:after="0"/>
        <w:ind w:left="360"/>
        <w:jc w:val="both"/>
        <w:rPr>
          <w:rFonts w:ascii="Times New Roman" w:hAnsi="Times New Roman" w:cs="Times New Roman"/>
          <w:sz w:val="24"/>
          <w:szCs w:val="24"/>
        </w:rPr>
      </w:pPr>
      <w:r w:rsidRPr="00A56830">
        <w:rPr>
          <w:rFonts w:ascii="Times New Roman" w:hAnsi="Times New Roman" w:cs="Times New Roman"/>
          <w:sz w:val="24"/>
          <w:szCs w:val="24"/>
        </w:rPr>
        <w:t>Powiat Pilski, woj. wielkopolskie – „BEZPIECZNI w powiecie pi</w:t>
      </w:r>
      <w:r w:rsidR="00A56830">
        <w:rPr>
          <w:rFonts w:ascii="Times New Roman" w:hAnsi="Times New Roman" w:cs="Times New Roman"/>
          <w:sz w:val="24"/>
          <w:szCs w:val="24"/>
        </w:rPr>
        <w:t xml:space="preserve">lskim – od juniora do seniora” </w:t>
      </w:r>
      <w:r w:rsidRPr="00A56830">
        <w:rPr>
          <w:rFonts w:ascii="Times New Roman" w:hAnsi="Times New Roman" w:cs="Times New Roman"/>
          <w:sz w:val="24"/>
          <w:szCs w:val="24"/>
        </w:rPr>
        <w:t>(99 600 zł).</w:t>
      </w:r>
    </w:p>
    <w:p w14:paraId="00C55C7E" w14:textId="77777777" w:rsidR="00A56830" w:rsidRPr="00A56830" w:rsidRDefault="00A56830" w:rsidP="00A56830">
      <w:pPr>
        <w:pStyle w:val="Akapitzlist"/>
        <w:spacing w:after="0"/>
        <w:ind w:left="360"/>
        <w:jc w:val="both"/>
        <w:rPr>
          <w:rFonts w:ascii="Times New Roman" w:hAnsi="Times New Roman" w:cs="Times New Roman"/>
          <w:sz w:val="24"/>
          <w:szCs w:val="24"/>
        </w:rPr>
      </w:pPr>
    </w:p>
    <w:p w14:paraId="2E79FBB5" w14:textId="77777777" w:rsidR="00A36392" w:rsidRPr="00A36392" w:rsidRDefault="00A36392" w:rsidP="00A56830">
      <w:pPr>
        <w:spacing w:after="0"/>
        <w:ind w:left="284"/>
        <w:jc w:val="both"/>
        <w:rPr>
          <w:rFonts w:ascii="Times New Roman" w:eastAsia="Times New Roman" w:hAnsi="Times New Roman" w:cs="Times New Roman"/>
          <w:color w:val="000000"/>
          <w:sz w:val="24"/>
          <w:szCs w:val="24"/>
          <w:lang w:eastAsia="pl-PL"/>
        </w:rPr>
      </w:pPr>
      <w:r w:rsidRPr="00A36392">
        <w:rPr>
          <w:rFonts w:ascii="Times New Roman" w:eastAsia="Times New Roman" w:hAnsi="Times New Roman" w:cs="Times New Roman"/>
          <w:color w:val="000000"/>
          <w:sz w:val="24"/>
          <w:szCs w:val="24"/>
          <w:lang w:eastAsia="pl-PL"/>
        </w:rPr>
        <w:lastRenderedPageBreak/>
        <w:t>Szczegółowe informacje na temat zrealizowanych projektów w 2019 r. będą dostępne na stronie internetowej pośw</w:t>
      </w:r>
      <w:r w:rsidR="00A56830">
        <w:rPr>
          <w:rFonts w:ascii="Times New Roman" w:eastAsia="Times New Roman" w:hAnsi="Times New Roman" w:cs="Times New Roman"/>
          <w:color w:val="000000"/>
          <w:sz w:val="24"/>
          <w:szCs w:val="24"/>
          <w:lang w:eastAsia="pl-PL"/>
        </w:rPr>
        <w:t>ięconej Programowi</w:t>
      </w:r>
      <w:r w:rsidR="00F70044">
        <w:rPr>
          <w:rStyle w:val="Odwoanieprzypisudolnego"/>
          <w:rFonts w:ascii="Times New Roman" w:eastAsia="Times New Roman" w:hAnsi="Times New Roman" w:cs="Times New Roman"/>
          <w:color w:val="000000"/>
          <w:sz w:val="24"/>
          <w:szCs w:val="24"/>
          <w:lang w:eastAsia="pl-PL"/>
        </w:rPr>
        <w:footnoteReference w:id="30"/>
      </w:r>
      <w:r w:rsidR="00F70044">
        <w:rPr>
          <w:rFonts w:ascii="Times New Roman" w:eastAsia="Times New Roman" w:hAnsi="Times New Roman" w:cs="Times New Roman"/>
          <w:color w:val="000000"/>
          <w:sz w:val="24"/>
          <w:szCs w:val="24"/>
          <w:lang w:eastAsia="pl-PL"/>
        </w:rPr>
        <w:t>.</w:t>
      </w:r>
      <w:r w:rsidR="00A56830">
        <w:rPr>
          <w:rFonts w:ascii="Times New Roman" w:eastAsia="Times New Roman" w:hAnsi="Times New Roman" w:cs="Times New Roman"/>
          <w:color w:val="000000"/>
          <w:sz w:val="24"/>
          <w:szCs w:val="24"/>
          <w:lang w:eastAsia="pl-PL"/>
        </w:rPr>
        <w:t xml:space="preserve"> </w:t>
      </w:r>
    </w:p>
    <w:p w14:paraId="18BA0F7F" w14:textId="77777777" w:rsidR="00A36392" w:rsidRPr="00A36392" w:rsidRDefault="00A36392" w:rsidP="002924A5">
      <w:pPr>
        <w:spacing w:after="0"/>
        <w:jc w:val="both"/>
        <w:rPr>
          <w:rFonts w:ascii="Times New Roman" w:eastAsia="Times New Roman" w:hAnsi="Times New Roman" w:cs="Times New Roman"/>
          <w:color w:val="000000"/>
          <w:sz w:val="24"/>
          <w:szCs w:val="24"/>
          <w:lang w:eastAsia="pl-PL"/>
        </w:rPr>
      </w:pPr>
    </w:p>
    <w:p w14:paraId="34F137B8" w14:textId="77777777" w:rsidR="00A36392" w:rsidRPr="00A36392" w:rsidRDefault="00F06B59" w:rsidP="00F06B59">
      <w:pPr>
        <w:spacing w:after="0"/>
        <w:ind w:left="284"/>
        <w:jc w:val="both"/>
        <w:rPr>
          <w:rFonts w:ascii="Times New Roman" w:eastAsia="Times New Roman" w:hAnsi="Times New Roman" w:cs="Times New Roman"/>
          <w:color w:val="020202"/>
          <w:sz w:val="24"/>
          <w:szCs w:val="24"/>
          <w:lang w:eastAsia="pl-PL"/>
        </w:rPr>
      </w:pPr>
      <w:r>
        <w:rPr>
          <w:rFonts w:ascii="Times New Roman" w:eastAsia="Times New Roman" w:hAnsi="Times New Roman" w:cs="Times New Roman"/>
          <w:color w:val="000000"/>
          <w:sz w:val="24"/>
          <w:szCs w:val="24"/>
          <w:lang w:eastAsia="pl-PL"/>
        </w:rPr>
        <w:t>MSWiA od 2016 r.</w:t>
      </w:r>
      <w:r w:rsidR="00A36392" w:rsidRPr="00A36392">
        <w:rPr>
          <w:rFonts w:ascii="Times New Roman" w:eastAsia="Times New Roman" w:hAnsi="Times New Roman" w:cs="Times New Roman"/>
          <w:color w:val="000000"/>
          <w:sz w:val="24"/>
          <w:szCs w:val="24"/>
          <w:lang w:eastAsia="pl-PL"/>
        </w:rPr>
        <w:t xml:space="preserve"> realizuje kampanię społeczną promującą program „</w:t>
      </w:r>
      <w:r w:rsidR="00A36392" w:rsidRPr="00A36392">
        <w:rPr>
          <w:rFonts w:ascii="Times New Roman" w:eastAsia="Times New Roman" w:hAnsi="Times New Roman" w:cs="Times New Roman"/>
          <w:i/>
          <w:color w:val="000000"/>
          <w:sz w:val="24"/>
          <w:szCs w:val="24"/>
          <w:lang w:eastAsia="pl-PL"/>
        </w:rPr>
        <w:t>Dzielnicowy bliżej nas</w:t>
      </w:r>
      <w:r w:rsidR="00A36392" w:rsidRPr="00A36392">
        <w:rPr>
          <w:rFonts w:ascii="Times New Roman" w:eastAsia="Times New Roman" w:hAnsi="Times New Roman" w:cs="Times New Roman"/>
          <w:color w:val="000000"/>
          <w:sz w:val="24"/>
          <w:szCs w:val="24"/>
          <w:lang w:eastAsia="pl-PL"/>
        </w:rPr>
        <w:t xml:space="preserve">”. </w:t>
      </w:r>
      <w:r w:rsidR="00A36392" w:rsidRPr="00A36392">
        <w:rPr>
          <w:rFonts w:ascii="Times New Roman" w:eastAsia="Times New Roman" w:hAnsi="Times New Roman" w:cs="Times New Roman"/>
          <w:color w:val="212529"/>
          <w:sz w:val="24"/>
          <w:szCs w:val="24"/>
          <w:lang w:eastAsia="pl-PL"/>
        </w:rPr>
        <w:t>Celem kampanii jest</w:t>
      </w:r>
      <w:r w:rsidR="00A36392" w:rsidRPr="00A36392">
        <w:rPr>
          <w:rFonts w:ascii="Times New Roman" w:eastAsia="Times New Roman" w:hAnsi="Times New Roman" w:cs="Times New Roman"/>
          <w:color w:val="020202"/>
          <w:sz w:val="24"/>
          <w:szCs w:val="24"/>
          <w:lang w:eastAsia="pl-PL"/>
        </w:rPr>
        <w:t xml:space="preserve"> szerokie otwarcie na problemy społeczności lokalnej, uspołecznienie działań Policji oraz zbudowanie zaufania pomiędzy Policją a obywatelami. W ramach kampanii w 2019 </w:t>
      </w:r>
      <w:r>
        <w:rPr>
          <w:rFonts w:ascii="Times New Roman" w:eastAsia="Times New Roman" w:hAnsi="Times New Roman" w:cs="Times New Roman"/>
          <w:color w:val="020202"/>
          <w:sz w:val="24"/>
          <w:szCs w:val="24"/>
          <w:lang w:eastAsia="pl-PL"/>
        </w:rPr>
        <w:t xml:space="preserve">r. </w:t>
      </w:r>
      <w:r w:rsidR="00A36392" w:rsidRPr="00A36392">
        <w:rPr>
          <w:rFonts w:ascii="Times New Roman" w:eastAsia="Times New Roman" w:hAnsi="Times New Roman" w:cs="Times New Roman"/>
          <w:color w:val="020202"/>
          <w:sz w:val="24"/>
          <w:szCs w:val="24"/>
          <w:lang w:eastAsia="pl-PL"/>
        </w:rPr>
        <w:t xml:space="preserve">rozdystrybuowano 150 tys. ulotek i 25 tys. plakatów promujących funkcję i zadania policjanta dzielnicowego. Upowszechniono również aplikację „Moja Komenda” </w:t>
      </w:r>
      <w:r w:rsidR="00A36392">
        <w:rPr>
          <w:rFonts w:ascii="Times New Roman" w:eastAsia="Times New Roman" w:hAnsi="Times New Roman" w:cs="Times New Roman"/>
          <w:color w:val="000000"/>
          <w:sz w:val="24"/>
          <w:szCs w:val="24"/>
          <w:lang w:eastAsia="pl-PL"/>
        </w:rPr>
        <w:t xml:space="preserve">zawierającą informacje </w:t>
      </w:r>
      <w:r w:rsidR="00A36392" w:rsidRPr="00A36392">
        <w:rPr>
          <w:rFonts w:ascii="Times New Roman" w:eastAsia="Times New Roman" w:hAnsi="Times New Roman" w:cs="Times New Roman"/>
          <w:color w:val="000000"/>
          <w:sz w:val="24"/>
          <w:szCs w:val="24"/>
          <w:lang w:eastAsia="pl-PL"/>
        </w:rPr>
        <w:t xml:space="preserve">o wszystkich obiektach policyjnych dostępnych dla interesantów, a także dane kontaktowe ponad 8 tys. dzielnicowych </w:t>
      </w:r>
      <w:r w:rsidR="00A36392" w:rsidRPr="00A36392">
        <w:rPr>
          <w:rFonts w:ascii="Times New Roman" w:eastAsia="Times New Roman" w:hAnsi="Times New Roman" w:cs="Times New Roman"/>
          <w:color w:val="020202"/>
          <w:sz w:val="24"/>
          <w:szCs w:val="24"/>
          <w:lang w:eastAsia="pl-PL"/>
        </w:rPr>
        <w:t xml:space="preserve">z terenu kraju oraz Krajową Mapę Zagrożeń Bezpieczeństwa, </w:t>
      </w:r>
      <w:r w:rsidR="00A36392" w:rsidRPr="00A36392">
        <w:rPr>
          <w:rFonts w:ascii="Times New Roman" w:eastAsia="Times New Roman" w:hAnsi="Times New Roman" w:cs="Times New Roman"/>
          <w:sz w:val="24"/>
          <w:szCs w:val="24"/>
          <w:lang w:eastAsia="ar-SA"/>
        </w:rPr>
        <w:t xml:space="preserve">umożliwiającą społeczeństwu anonimowe wskazywanie zagrożeń występujących w miejscu nauki, pracy, wypoczynku czy zamieszkania. </w:t>
      </w:r>
      <w:r w:rsidR="00A36392" w:rsidRPr="00A36392">
        <w:rPr>
          <w:rFonts w:ascii="Times New Roman" w:eastAsia="Times New Roman" w:hAnsi="Times New Roman" w:cs="Times New Roman"/>
          <w:color w:val="020202"/>
          <w:sz w:val="24"/>
          <w:szCs w:val="24"/>
          <w:lang w:eastAsia="pl-PL"/>
        </w:rPr>
        <w:t>Materiały wraz z wpisanymi danymi dzielnicowych z danego terenu, docierają do mieszkańców społeczności lokalnej, w szczególności do seniorów.</w:t>
      </w:r>
    </w:p>
    <w:p w14:paraId="24F34EFF" w14:textId="77777777" w:rsidR="00A36392" w:rsidRPr="00A36392" w:rsidRDefault="00A36392" w:rsidP="002924A5">
      <w:pPr>
        <w:spacing w:after="0"/>
        <w:ind w:left="284" w:firstLine="36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Seniorzy stanowią szczególną grupę osób, do których Policja kieruje programy, akcje i inne działania profilaktyczne zmierzające do zapobiegania sytuacjom, w których stają się oni ofiarami przestępstwa. Działania te w szczególności polegają na uświadomieniu zagrożeń występujących w najbliższym otoczeniu, zapoznaniu ze sposobami działania sprawców przestępstw, jak również aktywizacji w życiu codziennym. Komenda Główna Policji w ramach działań na rzecz osób starszych:</w:t>
      </w:r>
    </w:p>
    <w:p w14:paraId="252A50DC" w14:textId="77777777" w:rsidR="00A36392" w:rsidRPr="00A36392" w:rsidRDefault="00A36392" w:rsidP="008C71A9">
      <w:pPr>
        <w:numPr>
          <w:ilvl w:val="0"/>
          <w:numId w:val="322"/>
        </w:numPr>
        <w:spacing w:after="0"/>
        <w:ind w:left="36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 xml:space="preserve">prowadzi działania profilaktyczne, </w:t>
      </w:r>
    </w:p>
    <w:p w14:paraId="636CDD4D" w14:textId="77777777" w:rsidR="00A36392" w:rsidRPr="00A36392" w:rsidRDefault="00A36392" w:rsidP="008C71A9">
      <w:pPr>
        <w:numPr>
          <w:ilvl w:val="0"/>
          <w:numId w:val="322"/>
        </w:numPr>
        <w:spacing w:after="0"/>
        <w:ind w:left="36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monitoruje obszar związany z działalnością domów pomocy społecznej oraz placówek zapewniających całodobową opiekę osobom niepełnosprawnym, przewlekle chorym lub osobom w podeszłym wieku,</w:t>
      </w:r>
    </w:p>
    <w:p w14:paraId="6272BF34" w14:textId="77777777" w:rsidR="00A36392" w:rsidRPr="00A36392" w:rsidRDefault="00A36392" w:rsidP="008C71A9">
      <w:pPr>
        <w:numPr>
          <w:ilvl w:val="0"/>
          <w:numId w:val="322"/>
        </w:numPr>
        <w:spacing w:after="0"/>
        <w:ind w:left="36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przeciwdziała przemocy w rodzinie.</w:t>
      </w:r>
    </w:p>
    <w:p w14:paraId="671E2985" w14:textId="77777777" w:rsidR="00F06B59" w:rsidRDefault="00F06B59" w:rsidP="00F06B59">
      <w:pPr>
        <w:spacing w:after="0"/>
        <w:jc w:val="both"/>
        <w:rPr>
          <w:rFonts w:ascii="Times New Roman" w:eastAsia="Times New Roman" w:hAnsi="Times New Roman" w:cs="Times New Roman"/>
          <w:color w:val="020202"/>
          <w:sz w:val="24"/>
          <w:szCs w:val="24"/>
          <w:lang w:eastAsia="pl-PL"/>
        </w:rPr>
      </w:pPr>
    </w:p>
    <w:p w14:paraId="0B2BC848" w14:textId="77777777" w:rsidR="00A36392" w:rsidRPr="00F70044" w:rsidRDefault="00A36392" w:rsidP="00F06B59">
      <w:pPr>
        <w:spacing w:after="0"/>
        <w:jc w:val="both"/>
        <w:rPr>
          <w:rFonts w:ascii="Times New Roman" w:eastAsia="Times New Roman" w:hAnsi="Times New Roman" w:cs="Times New Roman"/>
          <w:b/>
          <w:color w:val="00B0F0"/>
          <w:sz w:val="24"/>
          <w:szCs w:val="24"/>
          <w:lang w:eastAsia="pl-PL"/>
        </w:rPr>
      </w:pPr>
      <w:r w:rsidRPr="00F70044">
        <w:rPr>
          <w:rFonts w:ascii="Times New Roman" w:eastAsia="Times New Roman" w:hAnsi="Times New Roman" w:cs="Times New Roman"/>
          <w:b/>
          <w:color w:val="00B0F0"/>
          <w:sz w:val="24"/>
          <w:szCs w:val="24"/>
          <w:lang w:eastAsia="pl-PL"/>
        </w:rPr>
        <w:t>Działania profilaktyczne</w:t>
      </w:r>
    </w:p>
    <w:p w14:paraId="29AF3A64" w14:textId="77777777" w:rsidR="00A36392" w:rsidRPr="00A36392" w:rsidRDefault="00A36392" w:rsidP="00F06B59">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Jednym z priorytetów ustalonych przez Komendanta Głównego Policji jest „Zwiększenie efektywności działań Policji na rzecz wzmocnienia współpracy ze społeczeństwem”. Aktywność Policji w zakresie zapobiegania przestępczości oraz innym zagrożeniom społecznym wyraża się m.in. w inicjatywach profilaktycznych projektowanych i wdrażanych przez jednostki organizacyjne Policji, w postaci kompleksowych długofalowych programów, okresowych akcji profilaktycznych oraz działań doraźnych, podejmowanych w ośmiu głównych obszarach zagadnieniowych dotyczących bezpieczeństwa. Jednym z obszarów uznanych za priorytetowy w zakresie profilaktyki społecznej jest bezpieczeństwo seniorów, którzy są grupą społeczną szczególnie narażoną na stanie się ofiarą przestępstwa.</w:t>
      </w:r>
    </w:p>
    <w:p w14:paraId="425FC5B3" w14:textId="77777777" w:rsidR="00A36392" w:rsidRPr="00A36392" w:rsidRDefault="00A36392" w:rsidP="00F06B59">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 xml:space="preserve">Mając na uwadze skalę przestępstw popełnianych na szkodę osób starszych Policja, obok wielu programów ukierunkowanych na bezpieczeństwo ogólne społeczeństwa, od wielu lat realizuje działania informacyjno-edukacyjne, w których uwzględnia kwestię bezpieczeństwa seniorów. Podstawowym celem takich działań jest podniesienie świadomości adresatów w zakresie </w:t>
      </w:r>
      <w:r w:rsidRPr="00A36392">
        <w:rPr>
          <w:rFonts w:ascii="Times New Roman" w:eastAsia="Times New Roman" w:hAnsi="Times New Roman" w:cs="Times New Roman"/>
          <w:color w:val="020202"/>
          <w:sz w:val="24"/>
          <w:szCs w:val="24"/>
          <w:lang w:eastAsia="pl-PL"/>
        </w:rPr>
        <w:lastRenderedPageBreak/>
        <w:t xml:space="preserve">występujących zagrożeń i sposobów działania sprawców przestępstw. Programy te adresowane są do osób starszych, dzieci i młodzieży. Realizowane są one przez policjantów dedykowanych do zadań z zakresu profilaktyki społecznej i dzielnicowych, którzy także zobowiązani są do wykonywania zadań w ww. obszarze. </w:t>
      </w:r>
    </w:p>
    <w:p w14:paraId="6F3046C8" w14:textId="77777777" w:rsidR="00F06B59" w:rsidRDefault="00F06B59" w:rsidP="00F06B59">
      <w:pPr>
        <w:spacing w:after="0"/>
        <w:jc w:val="both"/>
        <w:rPr>
          <w:rFonts w:ascii="Times New Roman" w:eastAsia="Times New Roman" w:hAnsi="Times New Roman" w:cs="Times New Roman"/>
          <w:color w:val="020202"/>
          <w:sz w:val="24"/>
          <w:szCs w:val="24"/>
          <w:lang w:eastAsia="pl-PL"/>
        </w:rPr>
      </w:pPr>
    </w:p>
    <w:p w14:paraId="2A184FEF" w14:textId="77777777" w:rsidR="00A36392" w:rsidRPr="00A36392" w:rsidRDefault="00A36392" w:rsidP="00F06B59">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Podstawę realizacji wspomnianych programów stanowi współpraca m.in. z: władzami samorządowymi, organizacjami kościelnymi, urzędami pocztowymi, instytucjami finansowymi, placówkami służby zdrowia, uniwersytetami czy stowarzyszeniami.</w:t>
      </w:r>
    </w:p>
    <w:p w14:paraId="01BF3F3F" w14:textId="77777777" w:rsidR="00F06B59" w:rsidRDefault="00F06B59" w:rsidP="00F06B59">
      <w:pPr>
        <w:spacing w:after="0"/>
        <w:jc w:val="both"/>
        <w:rPr>
          <w:rFonts w:ascii="Times New Roman" w:eastAsia="Times New Roman" w:hAnsi="Times New Roman" w:cs="Times New Roman"/>
          <w:color w:val="020202"/>
          <w:sz w:val="24"/>
          <w:szCs w:val="24"/>
          <w:lang w:eastAsia="pl-PL"/>
        </w:rPr>
      </w:pPr>
    </w:p>
    <w:p w14:paraId="20EA08F0" w14:textId="77777777" w:rsidR="00A36392" w:rsidRPr="00A36392" w:rsidRDefault="00A36392" w:rsidP="00F06B59">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 xml:space="preserve">Jednym z narzędzi wykorzystywanych do rozpoznawania problemów społecznych, w tym także osób starszych, są organizowane debaty społeczne. W 2019 roku Policja zorganizowała 975 debat społecznych. Część tych spotkań dedykowanych było bezpośrednio problematyce dotyczącej bezpieczeństwa seniorów, podczas których uczestnicy formułowali następujące problemy społeczne: </w:t>
      </w:r>
    </w:p>
    <w:p w14:paraId="4D65A9BE" w14:textId="77777777" w:rsidR="00F06B59" w:rsidRDefault="00A36392" w:rsidP="008C71A9">
      <w:pPr>
        <w:pStyle w:val="Akapitzlist"/>
        <w:numPr>
          <w:ilvl w:val="0"/>
          <w:numId w:val="323"/>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niezrozumienia/niskiej znajomości procedur prawnych przez seniorów;</w:t>
      </w:r>
    </w:p>
    <w:p w14:paraId="502DC499" w14:textId="77777777" w:rsidR="00F06B59" w:rsidRDefault="00A36392" w:rsidP="008C71A9">
      <w:pPr>
        <w:pStyle w:val="Akapitzlist"/>
        <w:numPr>
          <w:ilvl w:val="0"/>
          <w:numId w:val="323"/>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osamotnienie seniorów, brak opieki ze strony rodziny;</w:t>
      </w:r>
    </w:p>
    <w:p w14:paraId="06DC14FA" w14:textId="77777777" w:rsidR="00F06B59" w:rsidRDefault="00A36392" w:rsidP="008C71A9">
      <w:pPr>
        <w:pStyle w:val="Akapitzlist"/>
        <w:numPr>
          <w:ilvl w:val="0"/>
          <w:numId w:val="323"/>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„naciąganie seniorów” na podpisywanie niekorzystnych umów dotyczących np. dostaw prądu lub gazu, usług telefonicznych;</w:t>
      </w:r>
    </w:p>
    <w:p w14:paraId="441D63CE" w14:textId="77777777" w:rsidR="00A36392" w:rsidRPr="00F06B59" w:rsidRDefault="00A36392" w:rsidP="008C71A9">
      <w:pPr>
        <w:pStyle w:val="Akapitzlist"/>
        <w:numPr>
          <w:ilvl w:val="0"/>
          <w:numId w:val="323"/>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oszustwa metodą „na wnuczka, na policjanta, na pracownika spółdzielni mieszkaniowej”, itp.</w:t>
      </w:r>
    </w:p>
    <w:p w14:paraId="368ABD63" w14:textId="77777777" w:rsidR="00F06B59" w:rsidRDefault="00F06B59" w:rsidP="00F06B59">
      <w:pPr>
        <w:spacing w:after="0"/>
        <w:jc w:val="both"/>
        <w:rPr>
          <w:rFonts w:ascii="Times New Roman" w:eastAsia="Times New Roman" w:hAnsi="Times New Roman" w:cs="Times New Roman"/>
          <w:color w:val="020202"/>
          <w:sz w:val="24"/>
          <w:szCs w:val="24"/>
          <w:lang w:eastAsia="pl-PL"/>
        </w:rPr>
      </w:pPr>
    </w:p>
    <w:p w14:paraId="039059DB" w14:textId="77777777" w:rsidR="00A36392" w:rsidRPr="00A36392" w:rsidRDefault="00A36392" w:rsidP="00F06B59">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W ramach debat społecznych uczestnicy mieli możliwość, oprócz sygnalizowania problemów, zgłaszania propozycji działań do realizacji przez podmioty odpowiedzialne za bezpieczeństwo. Najczęściej rekomendowano dla Policji:</w:t>
      </w:r>
    </w:p>
    <w:p w14:paraId="53D3E6B2" w14:textId="77777777" w:rsidR="00F06B59" w:rsidRDefault="00A36392" w:rsidP="008C71A9">
      <w:pPr>
        <w:pStyle w:val="Akapitzlist"/>
        <w:numPr>
          <w:ilvl w:val="0"/>
          <w:numId w:val="324"/>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przekazywanie przez dzielnicowych informacji (ulotek) dotyczących oszustw metodą „na wnuczka”,</w:t>
      </w:r>
    </w:p>
    <w:p w14:paraId="03462717" w14:textId="77777777" w:rsidR="00F06B59" w:rsidRDefault="00A36392" w:rsidP="008C71A9">
      <w:pPr>
        <w:pStyle w:val="Akapitzlist"/>
        <w:numPr>
          <w:ilvl w:val="0"/>
          <w:numId w:val="324"/>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prowadzenie cyklicznych spotkań z mieszkańcami, w tym seniorami, celem przybliżenia specyfiki przestępstw w sieci, z nienawiści oraz metod postępowania w przypadku stania się ich ofiarą,</w:t>
      </w:r>
    </w:p>
    <w:p w14:paraId="35564A77" w14:textId="77777777" w:rsidR="00F06B59" w:rsidRDefault="00A36392" w:rsidP="008C71A9">
      <w:pPr>
        <w:pStyle w:val="Akapitzlist"/>
        <w:numPr>
          <w:ilvl w:val="0"/>
          <w:numId w:val="324"/>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utrzymywanie stałej współpracy z klubami seniorów,</w:t>
      </w:r>
    </w:p>
    <w:p w14:paraId="4A73780C" w14:textId="77777777" w:rsidR="00F06B59" w:rsidRDefault="00A36392" w:rsidP="008C71A9">
      <w:pPr>
        <w:pStyle w:val="Akapitzlist"/>
        <w:numPr>
          <w:ilvl w:val="0"/>
          <w:numId w:val="324"/>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spotkania edukacyjne dotyczące nieuczciwych praktyk konsumenckich,</w:t>
      </w:r>
    </w:p>
    <w:p w14:paraId="4AD13369" w14:textId="77777777" w:rsidR="00F06B59" w:rsidRDefault="00A36392" w:rsidP="008C71A9">
      <w:pPr>
        <w:pStyle w:val="Akapitzlist"/>
        <w:numPr>
          <w:ilvl w:val="0"/>
          <w:numId w:val="324"/>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poszerzenie współpracy ze szpitalami w zakresie bezpieczeństwa osób,</w:t>
      </w:r>
    </w:p>
    <w:p w14:paraId="56AE0ED2" w14:textId="77777777" w:rsidR="00F06B59" w:rsidRDefault="00A36392" w:rsidP="008C71A9">
      <w:pPr>
        <w:pStyle w:val="Akapitzlist"/>
        <w:numPr>
          <w:ilvl w:val="0"/>
          <w:numId w:val="324"/>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organizowanie przedsięwzięć aktywizujących seniorów,</w:t>
      </w:r>
    </w:p>
    <w:p w14:paraId="6E7B79A9" w14:textId="77777777" w:rsidR="00F06B59" w:rsidRDefault="00A36392" w:rsidP="008C71A9">
      <w:pPr>
        <w:pStyle w:val="Akapitzlist"/>
        <w:numPr>
          <w:ilvl w:val="0"/>
          <w:numId w:val="324"/>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wyposażenie seniorów w elementy odblaskowe,</w:t>
      </w:r>
    </w:p>
    <w:p w14:paraId="11F72D67" w14:textId="77777777" w:rsidR="00F06B59" w:rsidRDefault="00A36392" w:rsidP="008C71A9">
      <w:pPr>
        <w:pStyle w:val="Akapitzlist"/>
        <w:numPr>
          <w:ilvl w:val="0"/>
          <w:numId w:val="324"/>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przekazywanie informacji istotnych dla bezpieczeństwa seniorów np. w GOPS,</w:t>
      </w:r>
    </w:p>
    <w:p w14:paraId="52957633" w14:textId="77777777" w:rsidR="00A36392" w:rsidRPr="00F06B59" w:rsidRDefault="00A36392" w:rsidP="008C71A9">
      <w:pPr>
        <w:pStyle w:val="Akapitzlist"/>
        <w:numPr>
          <w:ilvl w:val="0"/>
          <w:numId w:val="324"/>
        </w:numPr>
        <w:spacing w:after="0"/>
        <w:ind w:left="360"/>
        <w:jc w:val="both"/>
        <w:rPr>
          <w:rFonts w:ascii="Times New Roman" w:eastAsia="Times New Roman" w:hAnsi="Times New Roman" w:cs="Times New Roman"/>
          <w:color w:val="020202"/>
          <w:sz w:val="24"/>
          <w:szCs w:val="24"/>
          <w:lang w:eastAsia="pl-PL"/>
        </w:rPr>
      </w:pPr>
      <w:r w:rsidRPr="00F06B59">
        <w:rPr>
          <w:rFonts w:ascii="Times New Roman" w:eastAsia="Times New Roman" w:hAnsi="Times New Roman" w:cs="Times New Roman"/>
          <w:color w:val="020202"/>
          <w:sz w:val="24"/>
          <w:szCs w:val="24"/>
          <w:lang w:eastAsia="pl-PL"/>
        </w:rPr>
        <w:t>zintensyfikowanie działań skierowanych do samotnie mieszkających seniorów, którzy są narażeni na oszustwa i inne przestępstwa na ich szkodę.</w:t>
      </w:r>
    </w:p>
    <w:p w14:paraId="4AE45BB1" w14:textId="77777777" w:rsidR="00F06B59" w:rsidRDefault="00F06B59" w:rsidP="00F06B59">
      <w:pPr>
        <w:spacing w:after="0"/>
        <w:jc w:val="both"/>
        <w:rPr>
          <w:rFonts w:ascii="Times New Roman" w:eastAsia="Times New Roman" w:hAnsi="Times New Roman" w:cs="Times New Roman"/>
          <w:color w:val="020202"/>
          <w:sz w:val="24"/>
          <w:szCs w:val="24"/>
          <w:lang w:eastAsia="pl-PL"/>
        </w:rPr>
      </w:pPr>
    </w:p>
    <w:p w14:paraId="359E74FC" w14:textId="77777777" w:rsidR="00A36392" w:rsidRPr="00A36392" w:rsidRDefault="00A36392" w:rsidP="00C96C0A">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W</w:t>
      </w:r>
      <w:r w:rsidR="00F06B59">
        <w:rPr>
          <w:rFonts w:ascii="Times New Roman" w:eastAsia="Times New Roman" w:hAnsi="Times New Roman" w:cs="Times New Roman"/>
          <w:color w:val="020202"/>
          <w:sz w:val="24"/>
          <w:szCs w:val="24"/>
          <w:lang w:eastAsia="pl-PL"/>
        </w:rPr>
        <w:t xml:space="preserve"> 2019 r.</w:t>
      </w:r>
      <w:r w:rsidRPr="00A36392">
        <w:rPr>
          <w:rFonts w:ascii="Times New Roman" w:eastAsia="Times New Roman" w:hAnsi="Times New Roman" w:cs="Times New Roman"/>
          <w:color w:val="020202"/>
          <w:sz w:val="24"/>
          <w:szCs w:val="24"/>
          <w:lang w:eastAsia="pl-PL"/>
        </w:rPr>
        <w:t xml:space="preserve"> Policja przeprowadziła ogółem 4</w:t>
      </w:r>
      <w:r w:rsidR="00F06B59">
        <w:rPr>
          <w:rFonts w:ascii="Times New Roman" w:eastAsia="Times New Roman" w:hAnsi="Times New Roman" w:cs="Times New Roman"/>
          <w:color w:val="020202"/>
          <w:sz w:val="24"/>
          <w:szCs w:val="24"/>
          <w:lang w:eastAsia="pl-PL"/>
        </w:rPr>
        <w:t xml:space="preserve"> </w:t>
      </w:r>
      <w:r w:rsidRPr="00A36392">
        <w:rPr>
          <w:rFonts w:ascii="Times New Roman" w:eastAsia="Times New Roman" w:hAnsi="Times New Roman" w:cs="Times New Roman"/>
          <w:color w:val="020202"/>
          <w:sz w:val="24"/>
          <w:szCs w:val="24"/>
          <w:lang w:eastAsia="pl-PL"/>
        </w:rPr>
        <w:t xml:space="preserve">331 inicjatyw profilaktycznych, z czego 400 było adresowanych do osób starszych. W tym kompleksowych długofalowych programów profilaktycznych realizowano ogółem 75, z czego 7 było adresowanych tylko do seniorów. </w:t>
      </w:r>
      <w:r w:rsidRPr="00A36392">
        <w:rPr>
          <w:rFonts w:ascii="Times New Roman" w:eastAsia="Times New Roman" w:hAnsi="Times New Roman" w:cs="Times New Roman"/>
          <w:color w:val="020202"/>
          <w:sz w:val="24"/>
          <w:szCs w:val="24"/>
          <w:lang w:eastAsia="pl-PL"/>
        </w:rPr>
        <w:lastRenderedPageBreak/>
        <w:t>Podkreślić należy, że problem oszustw dokonywanych na osobach starszych jest jednym z wiodących w działaniach profilaktycznych, ukierunkowanych na podnoszenie ś</w:t>
      </w:r>
      <w:r w:rsidR="00C96C0A">
        <w:rPr>
          <w:rFonts w:ascii="Times New Roman" w:eastAsia="Times New Roman" w:hAnsi="Times New Roman" w:cs="Times New Roman"/>
          <w:color w:val="020202"/>
          <w:sz w:val="24"/>
          <w:szCs w:val="24"/>
          <w:lang w:eastAsia="pl-PL"/>
        </w:rPr>
        <w:t xml:space="preserve">wiadomości tej grupy odbiorców. </w:t>
      </w:r>
      <w:r w:rsidRPr="00A36392">
        <w:rPr>
          <w:rFonts w:ascii="Times New Roman" w:eastAsia="Times New Roman" w:hAnsi="Times New Roman" w:cs="Times New Roman"/>
          <w:color w:val="020202"/>
          <w:sz w:val="24"/>
          <w:szCs w:val="24"/>
          <w:lang w:eastAsia="pl-PL"/>
        </w:rPr>
        <w:t>W ramach wspólnych działań informacyjno-edukacyjnych z Zakładem Ubezpieczeń Społecznych funkcjonariusze Policji włączyli się w działania pn. „Dzień Seniora”, które były organizowane przez Oddziały ZUS usytuowane na terenie całego kraju. Podczas spotkań policjanci informowali seniorów o zagrożeniach oraz doradzali w indywidualnych przypadkach.</w:t>
      </w:r>
    </w:p>
    <w:p w14:paraId="1AFABFAA" w14:textId="77777777" w:rsidR="00C96C0A" w:rsidRDefault="00C96C0A" w:rsidP="00C96C0A">
      <w:pPr>
        <w:spacing w:after="0"/>
        <w:jc w:val="both"/>
        <w:rPr>
          <w:rFonts w:ascii="Times New Roman" w:eastAsia="Times New Roman" w:hAnsi="Times New Roman" w:cs="Times New Roman"/>
          <w:color w:val="020202"/>
          <w:sz w:val="24"/>
          <w:szCs w:val="24"/>
          <w:lang w:eastAsia="pl-PL"/>
        </w:rPr>
      </w:pPr>
    </w:p>
    <w:p w14:paraId="2097A79D" w14:textId="77777777" w:rsidR="00C96C0A" w:rsidRPr="00F70044" w:rsidRDefault="00C96C0A" w:rsidP="00C96C0A">
      <w:pPr>
        <w:spacing w:after="0"/>
        <w:jc w:val="both"/>
        <w:rPr>
          <w:rFonts w:ascii="Times New Roman" w:eastAsia="Times New Roman" w:hAnsi="Times New Roman" w:cs="Times New Roman"/>
          <w:b/>
          <w:color w:val="00B0F0"/>
          <w:sz w:val="24"/>
          <w:szCs w:val="24"/>
          <w:lang w:eastAsia="pl-PL"/>
        </w:rPr>
      </w:pPr>
      <w:r w:rsidRPr="00F70044">
        <w:rPr>
          <w:rFonts w:ascii="Times New Roman" w:eastAsia="Times New Roman" w:hAnsi="Times New Roman" w:cs="Times New Roman"/>
          <w:b/>
          <w:color w:val="00B0F0"/>
          <w:sz w:val="24"/>
          <w:szCs w:val="24"/>
          <w:lang w:eastAsia="pl-PL"/>
        </w:rPr>
        <w:t>Monitoring</w:t>
      </w:r>
    </w:p>
    <w:p w14:paraId="7505F71E" w14:textId="77777777" w:rsidR="00C96C0A" w:rsidRDefault="00A36392" w:rsidP="00C96C0A">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Monito</w:t>
      </w:r>
      <w:r w:rsidR="00C96C0A">
        <w:rPr>
          <w:rFonts w:ascii="Times New Roman" w:eastAsia="Times New Roman" w:hAnsi="Times New Roman" w:cs="Times New Roman"/>
          <w:color w:val="020202"/>
          <w:sz w:val="24"/>
          <w:szCs w:val="24"/>
          <w:lang w:eastAsia="pl-PL"/>
        </w:rPr>
        <w:t>rowanie (od 1 stycznia 2016 r.</w:t>
      </w:r>
      <w:r w:rsidRPr="00A36392">
        <w:rPr>
          <w:rFonts w:ascii="Times New Roman" w:eastAsia="Times New Roman" w:hAnsi="Times New Roman" w:cs="Times New Roman"/>
          <w:color w:val="020202"/>
          <w:sz w:val="24"/>
          <w:szCs w:val="24"/>
          <w:lang w:eastAsia="pl-PL"/>
        </w:rPr>
        <w:t>) obszaru związanego z działalnością domów pomocy społecznej oraz placówek zapewniających całodobową opiekę osobom niepełnosprawnym, przewlekle chorym lub osobom w podeszłym wieku, działających w oparciu o zezwolenie wojewod</w:t>
      </w:r>
      <w:r w:rsidR="00C96C0A">
        <w:rPr>
          <w:rFonts w:ascii="Times New Roman" w:eastAsia="Times New Roman" w:hAnsi="Times New Roman" w:cs="Times New Roman"/>
          <w:color w:val="020202"/>
          <w:sz w:val="24"/>
          <w:szCs w:val="24"/>
          <w:lang w:eastAsia="pl-PL"/>
        </w:rPr>
        <w:t>y, jak i bez takiego zezwolenia</w:t>
      </w:r>
    </w:p>
    <w:p w14:paraId="00E625E0" w14:textId="77777777" w:rsidR="00C96C0A" w:rsidRDefault="00C96C0A" w:rsidP="00C96C0A">
      <w:pPr>
        <w:spacing w:after="0"/>
        <w:jc w:val="both"/>
        <w:rPr>
          <w:rFonts w:ascii="Times New Roman" w:eastAsia="Times New Roman" w:hAnsi="Times New Roman" w:cs="Times New Roman"/>
          <w:color w:val="020202"/>
          <w:sz w:val="24"/>
          <w:szCs w:val="24"/>
          <w:lang w:eastAsia="pl-PL"/>
        </w:rPr>
      </w:pPr>
    </w:p>
    <w:p w14:paraId="1847AC1D" w14:textId="59516743" w:rsidR="00A36392" w:rsidRPr="00A36392" w:rsidRDefault="00A36392" w:rsidP="00C96C0A">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Do kontroli ww. podmiotów uprawnieni są wojewodowie, niemniej jednak w czynnościach kontrolnych mogą brać udział również funkcjonariusze Policji, o ile</w:t>
      </w:r>
      <w:r w:rsidRPr="00A36392">
        <w:rPr>
          <w:rFonts w:ascii="Times New Roman" w:hAnsi="Times New Roman" w:cs="Times New Roman"/>
          <w:sz w:val="24"/>
          <w:szCs w:val="24"/>
        </w:rPr>
        <w:t xml:space="preserve"> </w:t>
      </w:r>
      <w:r w:rsidRPr="00A36392">
        <w:rPr>
          <w:rFonts w:ascii="Times New Roman" w:eastAsia="Times New Roman" w:hAnsi="Times New Roman" w:cs="Times New Roman"/>
          <w:color w:val="020202"/>
          <w:sz w:val="24"/>
          <w:szCs w:val="24"/>
          <w:lang w:eastAsia="pl-PL"/>
        </w:rPr>
        <w:t xml:space="preserve">wojewoda wystąpi z wnioskiem do właściwego miejscowo komendanta Policji o pomoc (art. 127a </w:t>
      </w:r>
      <w:r w:rsidRPr="00C96C0A">
        <w:rPr>
          <w:rFonts w:ascii="Times New Roman" w:eastAsia="Times New Roman" w:hAnsi="Times New Roman" w:cs="Times New Roman"/>
          <w:i/>
          <w:color w:val="020202"/>
          <w:sz w:val="24"/>
          <w:szCs w:val="24"/>
          <w:lang w:eastAsia="pl-PL"/>
        </w:rPr>
        <w:t>ustawy z dnia 12 marca 2004 r. o pomocy społecznej</w:t>
      </w:r>
      <w:r w:rsidR="00BC3079">
        <w:rPr>
          <w:rFonts w:ascii="Times New Roman" w:eastAsia="Times New Roman" w:hAnsi="Times New Roman" w:cs="Times New Roman"/>
          <w:color w:val="020202"/>
          <w:sz w:val="24"/>
          <w:szCs w:val="24"/>
          <w:lang w:eastAsia="pl-PL"/>
        </w:rPr>
        <w:t>.</w:t>
      </w:r>
    </w:p>
    <w:p w14:paraId="10A28EAF" w14:textId="77777777" w:rsidR="00C96C0A" w:rsidRDefault="00C96C0A" w:rsidP="00C96C0A">
      <w:pPr>
        <w:spacing w:after="0"/>
        <w:jc w:val="both"/>
        <w:rPr>
          <w:rFonts w:ascii="Times New Roman" w:eastAsia="Times New Roman" w:hAnsi="Times New Roman" w:cs="Times New Roman"/>
          <w:color w:val="020202"/>
          <w:sz w:val="24"/>
          <w:szCs w:val="24"/>
          <w:lang w:eastAsia="pl-PL"/>
        </w:rPr>
      </w:pPr>
    </w:p>
    <w:p w14:paraId="47488CC1" w14:textId="77777777" w:rsidR="00A36392" w:rsidRPr="00A36392" w:rsidRDefault="00A36392" w:rsidP="00C96C0A">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Działania podejmowane przez jednostki organizacyjne Policji mają charakter wspierający urzędy wojewódzkie i polegają, m.in. na określeniu lokalizacji ich funkcjonowania, w oparciu o posiadaną wiedzę dzielnicowych, wynikającą z rozpoznania terenowo-osobowego, pogłębionego np. o rozmowy z mieszkańcami sąsiadujących posesji lub pracownikami domów/placówek. Pozyskane w ten sposób informacje porównywane są z zawartymi w rejestrach prowadzonych przez wojewodów. Podejmowane przez funkcjonariuszy Policji czynności służbowe, polegają na weryfikowaniu postępowań przygotowawczych, w szczególności wyczerpujących znamiona przestępstw przeciwko życiu i zdrowiu, rodzinie i opiece oraz wolności, a pozostających w ścisłym związku z działalnością ww. domów/placówek. Działania te zmierzają do identyfikowania ewentualnych zagrożeń życia lub zdrowia, a także wolności osób przebywających w tych podmiotach, zarówno działających w oparciu o stosowne zezwolenie, jak też działających bez takiego zezwolenia, a następnie informowania o powyższym wydziałów polityki społecznej urzędów wojewódzkich, w celu zainicjowania kontroli doraźnych z udz</w:t>
      </w:r>
      <w:r w:rsidR="00C96C0A">
        <w:rPr>
          <w:rFonts w:ascii="Times New Roman" w:eastAsia="Times New Roman" w:hAnsi="Times New Roman" w:cs="Times New Roman"/>
          <w:color w:val="020202"/>
          <w:sz w:val="24"/>
          <w:szCs w:val="24"/>
          <w:lang w:eastAsia="pl-PL"/>
        </w:rPr>
        <w:t xml:space="preserve">iałem lub bez udziału Policji. </w:t>
      </w:r>
      <w:r w:rsidRPr="00A36392">
        <w:rPr>
          <w:rFonts w:ascii="Times New Roman" w:eastAsia="Times New Roman" w:hAnsi="Times New Roman" w:cs="Times New Roman"/>
          <w:color w:val="020202"/>
          <w:sz w:val="24"/>
          <w:szCs w:val="24"/>
          <w:lang w:eastAsia="pl-PL"/>
        </w:rPr>
        <w:t>W 2</w:t>
      </w:r>
      <w:r w:rsidR="00C96C0A">
        <w:rPr>
          <w:rFonts w:ascii="Times New Roman" w:eastAsia="Times New Roman" w:hAnsi="Times New Roman" w:cs="Times New Roman"/>
          <w:color w:val="020202"/>
          <w:sz w:val="24"/>
          <w:szCs w:val="24"/>
          <w:lang w:eastAsia="pl-PL"/>
        </w:rPr>
        <w:t>019 r.</w:t>
      </w:r>
      <w:r w:rsidRPr="00A36392">
        <w:rPr>
          <w:rFonts w:ascii="Times New Roman" w:eastAsia="Times New Roman" w:hAnsi="Times New Roman" w:cs="Times New Roman"/>
          <w:color w:val="020202"/>
          <w:sz w:val="24"/>
          <w:szCs w:val="24"/>
          <w:lang w:eastAsia="pl-PL"/>
        </w:rPr>
        <w:t>:</w:t>
      </w:r>
    </w:p>
    <w:p w14:paraId="454C9AA6" w14:textId="77777777" w:rsidR="00A36392" w:rsidRPr="00C96C0A" w:rsidRDefault="00A36392" w:rsidP="008C71A9">
      <w:pPr>
        <w:pStyle w:val="Akapitzlist"/>
        <w:numPr>
          <w:ilvl w:val="2"/>
          <w:numId w:val="325"/>
        </w:numPr>
        <w:spacing w:after="0"/>
        <w:ind w:left="360"/>
        <w:jc w:val="both"/>
        <w:rPr>
          <w:rFonts w:ascii="Times New Roman" w:eastAsia="Times New Roman" w:hAnsi="Times New Roman" w:cs="Times New Roman"/>
          <w:color w:val="020202"/>
          <w:sz w:val="24"/>
          <w:szCs w:val="24"/>
          <w:lang w:eastAsia="pl-PL"/>
        </w:rPr>
      </w:pPr>
      <w:r w:rsidRPr="00C96C0A">
        <w:rPr>
          <w:rFonts w:ascii="Times New Roman" w:eastAsia="Times New Roman" w:hAnsi="Times New Roman" w:cs="Times New Roman"/>
          <w:color w:val="020202"/>
          <w:sz w:val="24"/>
          <w:szCs w:val="24"/>
          <w:lang w:eastAsia="pl-PL"/>
        </w:rPr>
        <w:t>1606 domów/placówek działała w oparciu o zezwolenie wojewody,</w:t>
      </w:r>
    </w:p>
    <w:p w14:paraId="26D59BE3" w14:textId="77777777" w:rsidR="00A36392" w:rsidRPr="00C96C0A" w:rsidRDefault="00A36392" w:rsidP="008C71A9">
      <w:pPr>
        <w:pStyle w:val="Akapitzlist"/>
        <w:numPr>
          <w:ilvl w:val="2"/>
          <w:numId w:val="325"/>
        </w:numPr>
        <w:spacing w:after="0"/>
        <w:ind w:left="360"/>
        <w:jc w:val="both"/>
        <w:rPr>
          <w:rFonts w:ascii="Times New Roman" w:eastAsia="Times New Roman" w:hAnsi="Times New Roman" w:cs="Times New Roman"/>
          <w:color w:val="020202"/>
          <w:sz w:val="24"/>
          <w:szCs w:val="24"/>
          <w:lang w:eastAsia="pl-PL"/>
        </w:rPr>
      </w:pPr>
      <w:r w:rsidRPr="00C96C0A">
        <w:rPr>
          <w:rFonts w:ascii="Times New Roman" w:eastAsia="Times New Roman" w:hAnsi="Times New Roman" w:cs="Times New Roman"/>
          <w:color w:val="020202"/>
          <w:sz w:val="24"/>
          <w:szCs w:val="24"/>
          <w:lang w:eastAsia="pl-PL"/>
        </w:rPr>
        <w:t>123 domy/placówki zidentyfikowano, jako działające bez zezwolenia wojewody,</w:t>
      </w:r>
    </w:p>
    <w:p w14:paraId="6BCA152D" w14:textId="77777777" w:rsidR="00C96C0A" w:rsidRDefault="00A36392" w:rsidP="008C71A9">
      <w:pPr>
        <w:pStyle w:val="Akapitzlist"/>
        <w:numPr>
          <w:ilvl w:val="2"/>
          <w:numId w:val="325"/>
        </w:numPr>
        <w:spacing w:after="0"/>
        <w:ind w:left="360"/>
        <w:jc w:val="both"/>
        <w:rPr>
          <w:rFonts w:ascii="Times New Roman" w:eastAsia="Times New Roman" w:hAnsi="Times New Roman" w:cs="Times New Roman"/>
          <w:color w:val="020202"/>
          <w:sz w:val="24"/>
          <w:szCs w:val="24"/>
          <w:lang w:eastAsia="pl-PL"/>
        </w:rPr>
      </w:pPr>
      <w:r w:rsidRPr="00C96C0A">
        <w:rPr>
          <w:rFonts w:ascii="Times New Roman" w:eastAsia="Times New Roman" w:hAnsi="Times New Roman" w:cs="Times New Roman"/>
          <w:color w:val="020202"/>
          <w:sz w:val="24"/>
          <w:szCs w:val="24"/>
          <w:lang w:eastAsia="pl-PL"/>
        </w:rPr>
        <w:t>łącznie skontrolowano 542 domy/placówki, z czego 115 z udziałem Policji, 427 bez udziału Policji,</w:t>
      </w:r>
    </w:p>
    <w:p w14:paraId="429B44A7" w14:textId="77777777" w:rsidR="00C96C0A" w:rsidRDefault="00A36392" w:rsidP="008C71A9">
      <w:pPr>
        <w:pStyle w:val="Akapitzlist"/>
        <w:numPr>
          <w:ilvl w:val="2"/>
          <w:numId w:val="325"/>
        </w:numPr>
        <w:spacing w:after="0"/>
        <w:ind w:left="360"/>
        <w:jc w:val="both"/>
        <w:rPr>
          <w:rFonts w:ascii="Times New Roman" w:eastAsia="Times New Roman" w:hAnsi="Times New Roman" w:cs="Times New Roman"/>
          <w:color w:val="020202"/>
          <w:sz w:val="24"/>
          <w:szCs w:val="24"/>
          <w:lang w:eastAsia="pl-PL"/>
        </w:rPr>
      </w:pPr>
      <w:r w:rsidRPr="00C96C0A">
        <w:rPr>
          <w:rFonts w:ascii="Times New Roman" w:eastAsia="Times New Roman" w:hAnsi="Times New Roman" w:cs="Times New Roman"/>
          <w:color w:val="020202"/>
          <w:sz w:val="24"/>
          <w:szCs w:val="24"/>
          <w:lang w:eastAsia="pl-PL"/>
        </w:rPr>
        <w:t>łącznie prowadzono 195 postępowań przygotowawczych, z czego w 36 przypadkach skierowano akt oskarżenia do sądu (ujawnieni sprawcy: podopieczni – 34, personel – 2; pokrzywdzeni: podopieczni – 16, personel – 14, instytucja – 2), 95 postępowań umorzono, a kolejne 64 postępowania znajdują się w toku,</w:t>
      </w:r>
    </w:p>
    <w:p w14:paraId="59A58452" w14:textId="77777777" w:rsidR="00A36392" w:rsidRPr="00C96C0A" w:rsidRDefault="00A36392" w:rsidP="008C71A9">
      <w:pPr>
        <w:pStyle w:val="Akapitzlist"/>
        <w:numPr>
          <w:ilvl w:val="2"/>
          <w:numId w:val="325"/>
        </w:numPr>
        <w:spacing w:after="0"/>
        <w:ind w:left="360"/>
        <w:jc w:val="both"/>
        <w:rPr>
          <w:rFonts w:ascii="Times New Roman" w:eastAsia="Times New Roman" w:hAnsi="Times New Roman" w:cs="Times New Roman"/>
          <w:color w:val="020202"/>
          <w:sz w:val="24"/>
          <w:szCs w:val="24"/>
          <w:lang w:eastAsia="pl-PL"/>
        </w:rPr>
      </w:pPr>
      <w:r w:rsidRPr="00C96C0A">
        <w:rPr>
          <w:rFonts w:ascii="Times New Roman" w:eastAsia="Times New Roman" w:hAnsi="Times New Roman" w:cs="Times New Roman"/>
          <w:color w:val="020202"/>
          <w:sz w:val="24"/>
          <w:szCs w:val="24"/>
          <w:lang w:eastAsia="pl-PL"/>
        </w:rPr>
        <w:lastRenderedPageBreak/>
        <w:t xml:space="preserve">do najczęściej występujących czynów zabronionych w domach/placówkach należy zaliczyć przestępstwa przeciwko: życiu i zdrowiu, wolności, rodzinie i opiece, mieniu, nietykalności cielesnej oraz wolności seksualnej i obyczajowości. </w:t>
      </w:r>
    </w:p>
    <w:p w14:paraId="3DD22CD5" w14:textId="77777777" w:rsidR="00A36392" w:rsidRPr="00A36392" w:rsidRDefault="00A36392" w:rsidP="002924A5">
      <w:pPr>
        <w:spacing w:after="0"/>
        <w:ind w:left="284"/>
        <w:jc w:val="both"/>
        <w:rPr>
          <w:rFonts w:ascii="Times New Roman" w:eastAsia="Times New Roman" w:hAnsi="Times New Roman" w:cs="Times New Roman"/>
          <w:color w:val="020202"/>
          <w:sz w:val="24"/>
          <w:szCs w:val="24"/>
          <w:lang w:eastAsia="pl-PL"/>
        </w:rPr>
      </w:pPr>
    </w:p>
    <w:p w14:paraId="430EC890" w14:textId="77777777" w:rsidR="00A36392" w:rsidRPr="00F70044" w:rsidRDefault="00A36392" w:rsidP="00C96C0A">
      <w:pPr>
        <w:spacing w:after="0"/>
        <w:jc w:val="both"/>
        <w:rPr>
          <w:rFonts w:ascii="Times New Roman" w:eastAsia="Times New Roman" w:hAnsi="Times New Roman" w:cs="Times New Roman"/>
          <w:b/>
          <w:color w:val="00B0F0"/>
          <w:sz w:val="24"/>
          <w:szCs w:val="24"/>
          <w:lang w:eastAsia="pl-PL"/>
        </w:rPr>
      </w:pPr>
      <w:r w:rsidRPr="00F70044">
        <w:rPr>
          <w:rFonts w:ascii="Times New Roman" w:eastAsia="Times New Roman" w:hAnsi="Times New Roman" w:cs="Times New Roman"/>
          <w:b/>
          <w:color w:val="00B0F0"/>
          <w:sz w:val="24"/>
          <w:szCs w:val="24"/>
          <w:lang w:eastAsia="pl-PL"/>
        </w:rPr>
        <w:t>Przeciwdziałanie przemocy w rodzinie</w:t>
      </w:r>
    </w:p>
    <w:p w14:paraId="29310658" w14:textId="597B4120" w:rsidR="00093CB5" w:rsidRDefault="00A36392" w:rsidP="00093CB5">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 xml:space="preserve">Na podstawie art. 9d </w:t>
      </w:r>
      <w:r w:rsidRPr="00C96C0A">
        <w:rPr>
          <w:rFonts w:ascii="Times New Roman" w:eastAsia="Times New Roman" w:hAnsi="Times New Roman" w:cs="Times New Roman"/>
          <w:i/>
          <w:color w:val="020202"/>
          <w:sz w:val="24"/>
          <w:szCs w:val="24"/>
          <w:lang w:eastAsia="pl-PL"/>
        </w:rPr>
        <w:t>ustawy z dnia 29 lipca 2005 r. o przeciwdziałaniu przemocy w rodzinie</w:t>
      </w:r>
      <w:r w:rsidR="0063253C">
        <w:rPr>
          <w:rFonts w:ascii="Times New Roman" w:eastAsia="Times New Roman" w:hAnsi="Times New Roman" w:cs="Times New Roman"/>
          <w:color w:val="020202"/>
          <w:sz w:val="24"/>
          <w:szCs w:val="24"/>
          <w:lang w:eastAsia="pl-PL"/>
        </w:rPr>
        <w:t xml:space="preserve"> </w:t>
      </w:r>
      <w:r w:rsidRPr="00A36392">
        <w:rPr>
          <w:rFonts w:ascii="Times New Roman" w:eastAsia="Times New Roman" w:hAnsi="Times New Roman" w:cs="Times New Roman"/>
          <w:color w:val="020202"/>
          <w:sz w:val="24"/>
          <w:szCs w:val="24"/>
          <w:lang w:eastAsia="pl-PL"/>
        </w:rPr>
        <w:t xml:space="preserve">Policja, obok przedstawicieli jednostek organizacyjnych pomocy społecznej, gminnych komisji rozwiązywania problemów alkoholowych, oświaty i ochrony zdrowia, została zobowiązana do podejmowania działań na rzecz przeciwdziałania przemocy w rodzinie. Przy czym podkreślenia wymaga, że Policja, zgodnie z podstawowymi zadaniami wyrażonymi w </w:t>
      </w:r>
      <w:r w:rsidRPr="00093CB5">
        <w:rPr>
          <w:rFonts w:ascii="Times New Roman" w:eastAsia="Times New Roman" w:hAnsi="Times New Roman" w:cs="Times New Roman"/>
          <w:i/>
          <w:color w:val="020202"/>
          <w:sz w:val="24"/>
          <w:szCs w:val="24"/>
          <w:lang w:eastAsia="pl-PL"/>
        </w:rPr>
        <w:t>ustawie z dnia 6 kwietnia 1990 r. o Policji</w:t>
      </w:r>
      <w:r w:rsidRPr="00A36392">
        <w:rPr>
          <w:rFonts w:ascii="Times New Roman" w:eastAsia="Times New Roman" w:hAnsi="Times New Roman" w:cs="Times New Roman"/>
          <w:color w:val="020202"/>
          <w:sz w:val="24"/>
          <w:szCs w:val="24"/>
          <w:lang w:eastAsia="pl-PL"/>
        </w:rPr>
        <w:t xml:space="preserve"> (Dz. U. z 2020 r. poz. 360, z poźn. zm.), reaguje na każdy sygnał dotyczący możliwości wystąpienia zjawiska przemocy w rodzinie. W 2019 r. największą grupę osób, co do których istnieje podejrzenie, że były dotknięte przemocą w rodzinie stanowiły kobiety – 65195 osób, co stanowiło 74,06 % ogółu osób doznających przemocy w rodzinie. W dalszej kolejności pozostawały osoby małoletnie – 12161 osób (13,81 % ogółu) oraz mężczyźni – 10676 osób (12,13</w:t>
      </w:r>
      <w:r w:rsidR="00093CB5">
        <w:rPr>
          <w:rFonts w:ascii="Times New Roman" w:eastAsia="Times New Roman" w:hAnsi="Times New Roman" w:cs="Times New Roman"/>
          <w:color w:val="020202"/>
          <w:sz w:val="24"/>
          <w:szCs w:val="24"/>
          <w:lang w:eastAsia="pl-PL"/>
        </w:rPr>
        <w:t xml:space="preserve"> % ogółu). </w:t>
      </w:r>
    </w:p>
    <w:p w14:paraId="58CD2320" w14:textId="77777777" w:rsidR="00093CB5" w:rsidRDefault="00093CB5" w:rsidP="00093CB5">
      <w:pPr>
        <w:spacing w:after="0"/>
        <w:jc w:val="both"/>
        <w:rPr>
          <w:rFonts w:ascii="Times New Roman" w:eastAsia="Times New Roman" w:hAnsi="Times New Roman" w:cs="Times New Roman"/>
          <w:color w:val="020202"/>
          <w:sz w:val="24"/>
          <w:szCs w:val="24"/>
          <w:lang w:eastAsia="pl-PL"/>
        </w:rPr>
      </w:pPr>
    </w:p>
    <w:p w14:paraId="50C97590" w14:textId="77777777" w:rsidR="00093CB5" w:rsidRDefault="00A36392" w:rsidP="00093CB5">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Wśród kobiet, co do których istniało podejrzenie, że były dotknięte przemocą w rodzinie 10,37% stanowiły kobiety w wieku od 66 roku życia (6762 kobiety). Mężczyzn, co do których istniało podejrzenie, że byli dotknięci przemocą w rodzinie w wieku powyżej 66 lat było 1625 (15</w:t>
      </w:r>
      <w:r w:rsidR="00093CB5">
        <w:rPr>
          <w:rFonts w:ascii="Times New Roman" w:eastAsia="Times New Roman" w:hAnsi="Times New Roman" w:cs="Times New Roman"/>
          <w:color w:val="020202"/>
          <w:sz w:val="24"/>
          <w:szCs w:val="24"/>
          <w:lang w:eastAsia="pl-PL"/>
        </w:rPr>
        <w:t>,22 % ogólnej liczby mężczyzn).</w:t>
      </w:r>
    </w:p>
    <w:p w14:paraId="5BB00794" w14:textId="77777777" w:rsidR="00093CB5" w:rsidRDefault="00093CB5" w:rsidP="00093CB5">
      <w:pPr>
        <w:spacing w:after="0"/>
        <w:jc w:val="both"/>
        <w:rPr>
          <w:rFonts w:ascii="Times New Roman" w:eastAsia="Times New Roman" w:hAnsi="Times New Roman" w:cs="Times New Roman"/>
          <w:color w:val="020202"/>
          <w:sz w:val="24"/>
          <w:szCs w:val="24"/>
          <w:lang w:eastAsia="pl-PL"/>
        </w:rPr>
      </w:pPr>
    </w:p>
    <w:p w14:paraId="0B1F92AF" w14:textId="77777777" w:rsidR="00A36392" w:rsidRPr="00A36392" w:rsidRDefault="00A36392" w:rsidP="00093CB5">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Niezwykle istotna jest rola Policji w zakresie odpowiednio wczesnej reakcji na sygnały o przemocy i niezwłocznego podejmowania środków zaradczych wobec negatywnych zachowań związanych ze stosowaniem przemocy, także wobec seniorów. Policja monitoruje sytuacje, w których omawiana przemoc wystąpiła, analizuje poprawności dotychczas podejmowanych działań, prowadzi szkolenia policjantów z problematyki przeciwdziałania przemocy w rodzinie, w tym również w zakresie wykorzystywania algorytmów oraz kwestionariuszy szacowania ryzyka zagrożenia życia i zdrowia w związku z przemocą w rodzinie.</w:t>
      </w:r>
    </w:p>
    <w:p w14:paraId="554AF5DA" w14:textId="77777777" w:rsidR="00093CB5" w:rsidRDefault="00093CB5" w:rsidP="00093CB5">
      <w:pPr>
        <w:spacing w:after="0"/>
        <w:jc w:val="both"/>
        <w:rPr>
          <w:rFonts w:ascii="Times New Roman" w:eastAsia="Times New Roman" w:hAnsi="Times New Roman" w:cs="Times New Roman"/>
          <w:color w:val="020202"/>
          <w:sz w:val="24"/>
          <w:szCs w:val="24"/>
          <w:lang w:eastAsia="pl-PL"/>
        </w:rPr>
      </w:pPr>
    </w:p>
    <w:p w14:paraId="37C68177" w14:textId="77777777" w:rsidR="00A36392" w:rsidRPr="00A36392" w:rsidRDefault="00A36392" w:rsidP="00093CB5">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Dopełnieniem działań podejmowanych przez MSWiA, Policję oraz Państwową Straż Pożarną jest organizacja corocznych otwartych konkursów dla organizacji pozarządowych na realizację zadań publicznych w obszarze bezpieczeństwa i porządku publicznego. W 2019 roku Minister Spraw Wewnętrznych i Administracji ogłosił otwarty konkurs ofert na realizację dwóch zadań publicznych, które również dotyczą bezpieczeństwa osób starszych, tj.:</w:t>
      </w:r>
    </w:p>
    <w:p w14:paraId="556180D4" w14:textId="77777777" w:rsidR="00093CB5" w:rsidRDefault="00A36392" w:rsidP="008C71A9">
      <w:pPr>
        <w:pStyle w:val="Akapitzlist"/>
        <w:numPr>
          <w:ilvl w:val="0"/>
          <w:numId w:val="326"/>
        </w:numPr>
        <w:spacing w:after="0"/>
        <w:ind w:left="360"/>
        <w:jc w:val="both"/>
        <w:rPr>
          <w:rFonts w:ascii="Times New Roman" w:eastAsia="Times New Roman" w:hAnsi="Times New Roman" w:cs="Times New Roman"/>
          <w:color w:val="020202"/>
          <w:sz w:val="24"/>
          <w:szCs w:val="24"/>
          <w:lang w:eastAsia="pl-PL"/>
        </w:rPr>
      </w:pPr>
      <w:r w:rsidRPr="00093CB5">
        <w:rPr>
          <w:rFonts w:ascii="Times New Roman" w:eastAsia="Times New Roman" w:hAnsi="Times New Roman" w:cs="Times New Roman"/>
          <w:color w:val="020202"/>
          <w:sz w:val="24"/>
          <w:szCs w:val="24"/>
          <w:lang w:eastAsia="pl-PL"/>
        </w:rPr>
        <w:t>„Realizacja kampanii edukacyjno-informacyjnej dotyczącej bezpieczeństwa seniorów” – działania mające na celu poprawę wiedzy i świadomości seniorów na temat właściwych zachowań w obliczu niebezpieczeństw, na jakie są narażeni w życiu codziennym, a także zwrócenie uwagi społeczeństwa na aspekt bezpieczeństwa seniorów;</w:t>
      </w:r>
    </w:p>
    <w:p w14:paraId="1898339D" w14:textId="77777777" w:rsidR="00A36392" w:rsidRPr="00093CB5" w:rsidRDefault="00A36392" w:rsidP="008C71A9">
      <w:pPr>
        <w:pStyle w:val="Akapitzlist"/>
        <w:numPr>
          <w:ilvl w:val="0"/>
          <w:numId w:val="326"/>
        </w:numPr>
        <w:spacing w:after="0"/>
        <w:ind w:left="360"/>
        <w:jc w:val="both"/>
        <w:rPr>
          <w:rFonts w:ascii="Times New Roman" w:eastAsia="Times New Roman" w:hAnsi="Times New Roman" w:cs="Times New Roman"/>
          <w:color w:val="020202"/>
          <w:sz w:val="24"/>
          <w:szCs w:val="24"/>
          <w:lang w:eastAsia="pl-PL"/>
        </w:rPr>
      </w:pPr>
      <w:r w:rsidRPr="00093CB5">
        <w:rPr>
          <w:rFonts w:ascii="Times New Roman" w:eastAsia="Times New Roman" w:hAnsi="Times New Roman" w:cs="Times New Roman"/>
          <w:color w:val="020202"/>
          <w:sz w:val="24"/>
          <w:szCs w:val="24"/>
          <w:lang w:eastAsia="pl-PL"/>
        </w:rPr>
        <w:t xml:space="preserve">„Prowadzenie działań związanych z poszukiwaniem osób zaginionych oraz zapewnieniem wsparcia ich rodzinom” – zadanie dotyczące wsparcia Policji w zakresie poszukiwań osób </w:t>
      </w:r>
      <w:r w:rsidRPr="00093CB5">
        <w:rPr>
          <w:rFonts w:ascii="Times New Roman" w:eastAsia="Times New Roman" w:hAnsi="Times New Roman" w:cs="Times New Roman"/>
          <w:color w:val="020202"/>
          <w:sz w:val="24"/>
          <w:szCs w:val="24"/>
          <w:lang w:eastAsia="pl-PL"/>
        </w:rPr>
        <w:lastRenderedPageBreak/>
        <w:t>zaginionych, zbieranie i analizowanie informacji na temat zaginionych, przekazywanie tych informacji Policji oraz rodzinie zaginionego, a także włączanie mediów w działania poszukiwawcze.</w:t>
      </w:r>
    </w:p>
    <w:p w14:paraId="2200C569" w14:textId="77777777" w:rsidR="00093CB5" w:rsidRDefault="00093CB5" w:rsidP="002924A5">
      <w:pPr>
        <w:spacing w:after="0"/>
        <w:ind w:left="284"/>
        <w:jc w:val="both"/>
        <w:rPr>
          <w:rFonts w:ascii="Times New Roman" w:eastAsia="Times New Roman" w:hAnsi="Times New Roman" w:cs="Times New Roman"/>
          <w:color w:val="020202"/>
          <w:sz w:val="24"/>
          <w:szCs w:val="24"/>
          <w:lang w:eastAsia="pl-PL"/>
        </w:rPr>
      </w:pPr>
    </w:p>
    <w:p w14:paraId="12A2098A" w14:textId="77777777" w:rsidR="00A36392" w:rsidRPr="00A36392" w:rsidRDefault="00A36392" w:rsidP="00093CB5">
      <w:pPr>
        <w:spacing w:after="0"/>
        <w:jc w:val="both"/>
        <w:rPr>
          <w:rFonts w:ascii="Times New Roman" w:eastAsia="Times New Roman" w:hAnsi="Times New Roman" w:cs="Times New Roman"/>
          <w:color w:val="020202"/>
          <w:sz w:val="24"/>
          <w:szCs w:val="24"/>
          <w:lang w:eastAsia="pl-PL"/>
        </w:rPr>
      </w:pPr>
      <w:r w:rsidRPr="00A36392">
        <w:rPr>
          <w:rFonts w:ascii="Times New Roman" w:eastAsia="Times New Roman" w:hAnsi="Times New Roman" w:cs="Times New Roman"/>
          <w:color w:val="020202"/>
          <w:sz w:val="24"/>
          <w:szCs w:val="24"/>
          <w:lang w:eastAsia="pl-PL"/>
        </w:rPr>
        <w:t>Na realizację ww. zadań przeznaczone zostały środki finansowe w wysokości 260 tys. zł.</w:t>
      </w:r>
    </w:p>
    <w:p w14:paraId="6D54B60B" w14:textId="77777777" w:rsidR="00093CB5" w:rsidRDefault="00093CB5" w:rsidP="00093CB5">
      <w:pPr>
        <w:spacing w:after="0"/>
        <w:ind w:right="22"/>
        <w:jc w:val="both"/>
        <w:rPr>
          <w:rFonts w:ascii="Times New Roman" w:hAnsi="Times New Roman" w:cs="Times New Roman"/>
          <w:sz w:val="24"/>
          <w:szCs w:val="24"/>
        </w:rPr>
      </w:pPr>
    </w:p>
    <w:p w14:paraId="65D8A5B3" w14:textId="77777777" w:rsidR="00A36392" w:rsidRPr="00A36392" w:rsidRDefault="00093CB5" w:rsidP="00093CB5">
      <w:pPr>
        <w:spacing w:after="0"/>
        <w:ind w:right="22"/>
        <w:jc w:val="both"/>
        <w:rPr>
          <w:rFonts w:ascii="Times New Roman" w:hAnsi="Times New Roman" w:cs="Times New Roman"/>
          <w:sz w:val="24"/>
          <w:szCs w:val="24"/>
        </w:rPr>
      </w:pPr>
      <w:r>
        <w:rPr>
          <w:rFonts w:ascii="Times New Roman" w:hAnsi="Times New Roman" w:cs="Times New Roman"/>
          <w:sz w:val="24"/>
          <w:szCs w:val="24"/>
        </w:rPr>
        <w:t>MSWiA od 2016 r.</w:t>
      </w:r>
      <w:r w:rsidR="00A36392" w:rsidRPr="00A36392">
        <w:rPr>
          <w:rFonts w:ascii="Times New Roman" w:hAnsi="Times New Roman" w:cs="Times New Roman"/>
          <w:sz w:val="24"/>
          <w:szCs w:val="24"/>
        </w:rPr>
        <w:t xml:space="preserve"> realizuje, we współpracy z Państwową Strażą Pożarną (PSP), kampanię „</w:t>
      </w:r>
      <w:r w:rsidR="00A36392" w:rsidRPr="00A36392">
        <w:rPr>
          <w:rFonts w:ascii="Times New Roman" w:hAnsi="Times New Roman" w:cs="Times New Roman"/>
          <w:i/>
          <w:sz w:val="24"/>
          <w:szCs w:val="24"/>
        </w:rPr>
        <w:t>Czad i ogień. Obudź czujność</w:t>
      </w:r>
      <w:r w:rsidR="00A36392" w:rsidRPr="00A36392">
        <w:rPr>
          <w:rFonts w:ascii="Times New Roman" w:hAnsi="Times New Roman" w:cs="Times New Roman"/>
          <w:sz w:val="24"/>
          <w:szCs w:val="24"/>
        </w:rPr>
        <w:t>”, która jest</w:t>
      </w:r>
      <w:r w:rsidR="00A36392" w:rsidRPr="00A36392">
        <w:rPr>
          <w:rFonts w:ascii="Times New Roman" w:hAnsi="Times New Roman" w:cs="Times New Roman"/>
          <w:b/>
          <w:sz w:val="24"/>
          <w:szCs w:val="24"/>
        </w:rPr>
        <w:t xml:space="preserve"> </w:t>
      </w:r>
      <w:r w:rsidR="00A36392" w:rsidRPr="00A36392">
        <w:rPr>
          <w:rFonts w:ascii="Times New Roman" w:hAnsi="Times New Roman" w:cs="Times New Roman"/>
          <w:sz w:val="24"/>
          <w:szCs w:val="24"/>
        </w:rPr>
        <w:t>skierowana przede wszystkim do osób starszych i ma na celu wzmocnienie świadomości społecznej o przyczynach i skutkach powstawania pożarów oraz zatruć tlenkiem węgla – szczególnie podczas sezonu grzewczego. W ramach kampanii organizowane są konkursy, podczas których są rozdawane czujki dymu i czadu, emitowane spoty radiowe, a także przeprowadzane audyc</w:t>
      </w:r>
      <w:r>
        <w:rPr>
          <w:rFonts w:ascii="Times New Roman" w:hAnsi="Times New Roman" w:cs="Times New Roman"/>
          <w:sz w:val="24"/>
          <w:szCs w:val="24"/>
        </w:rPr>
        <w:t>je z ekspertami PSP. W 2018 r.</w:t>
      </w:r>
      <w:r w:rsidR="00A36392" w:rsidRPr="00A36392">
        <w:rPr>
          <w:rFonts w:ascii="Times New Roman" w:hAnsi="Times New Roman" w:cs="Times New Roman"/>
          <w:sz w:val="24"/>
          <w:szCs w:val="24"/>
        </w:rPr>
        <w:t xml:space="preserve"> zakupiono 420 czujek, które są dystrybuowane wśród seniorów biorących udział w projektach realizowanych w ramach programu</w:t>
      </w:r>
      <w:r w:rsidR="00A36392" w:rsidRPr="00A36392">
        <w:rPr>
          <w:rFonts w:ascii="Times New Roman" w:hAnsi="Times New Roman" w:cs="Times New Roman"/>
          <w:i/>
          <w:sz w:val="24"/>
          <w:szCs w:val="24"/>
        </w:rPr>
        <w:t xml:space="preserve"> „Razem bezpieczniej”</w:t>
      </w:r>
      <w:r w:rsidR="00A36392" w:rsidRPr="00A36392">
        <w:rPr>
          <w:rFonts w:ascii="Times New Roman" w:hAnsi="Times New Roman" w:cs="Times New Roman"/>
          <w:sz w:val="24"/>
          <w:szCs w:val="24"/>
        </w:rPr>
        <w:t>. Jednocześnie nawiązano współpracę z Programem Pierwszym Polskiego Radia, aby przekazać 230 czujek do rozpowszechnienia</w:t>
      </w:r>
      <w:r w:rsidR="00A36392" w:rsidRPr="00A36392">
        <w:rPr>
          <w:rFonts w:ascii="Times New Roman" w:hAnsi="Times New Roman" w:cs="Times New Roman"/>
          <w:color w:val="000000"/>
          <w:sz w:val="24"/>
          <w:szCs w:val="24"/>
        </w:rPr>
        <w:t xml:space="preserve"> wśród osób biorących udział w konkursach na antenie radia.</w:t>
      </w:r>
      <w:r w:rsidR="00A36392" w:rsidRPr="00A36392">
        <w:rPr>
          <w:rFonts w:ascii="Times New Roman" w:hAnsi="Times New Roman" w:cs="Times New Roman"/>
          <w:sz w:val="24"/>
          <w:szCs w:val="24"/>
        </w:rPr>
        <w:t xml:space="preserve"> Na potrzeby edycji kampanii „Czad i Ogień. Obudź Czujność” w 2019 r., ze środków „Progra</w:t>
      </w:r>
      <w:r>
        <w:rPr>
          <w:rFonts w:ascii="Times New Roman" w:hAnsi="Times New Roman" w:cs="Times New Roman"/>
          <w:sz w:val="24"/>
          <w:szCs w:val="24"/>
        </w:rPr>
        <w:t xml:space="preserve">mu ograniczania przestępczości </w:t>
      </w:r>
      <w:r w:rsidR="00A36392" w:rsidRPr="00A36392">
        <w:rPr>
          <w:rFonts w:ascii="Times New Roman" w:hAnsi="Times New Roman" w:cs="Times New Roman"/>
          <w:sz w:val="24"/>
          <w:szCs w:val="24"/>
        </w:rPr>
        <w:t xml:space="preserve">i aspołecznych zachowań Razem bezpieczniej im. Władysława Stasiaka na lata 2018 - 2020” zakupiono łącznie 520 czujek dualnych czadu i dymu. Rola resortu spraw wewnętrznych i administracji w kampanii polegała ponadto na zapewnieniu udziału w audycjach ekspertów z zakresu pożarnictwa – funkcjonariuszy Państwowej Straży Pożarnej oraz umożliwieniu emisji spotu przygotowanego na zlecenie MSWiA i wykorzystanego w poprzednich edycjach kampanii. MSWiA nawiązało współpracę z Polskim Radiem S.A., w oparciu o umowę partnerską, w celu realizacji kampanii oraz przekazania ww. czujek do rozpowszechnienia wśród osób biorących udział w konkursach na antenie radia. </w:t>
      </w:r>
      <w:r>
        <w:rPr>
          <w:rFonts w:ascii="Times New Roman" w:hAnsi="Times New Roman" w:cs="Times New Roman"/>
          <w:sz w:val="24"/>
          <w:szCs w:val="24"/>
        </w:rPr>
        <w:t xml:space="preserve"> </w:t>
      </w:r>
      <w:r w:rsidR="00A36392" w:rsidRPr="00A36392">
        <w:rPr>
          <w:rFonts w:ascii="Times New Roman" w:hAnsi="Times New Roman" w:cs="Times New Roman"/>
          <w:sz w:val="24"/>
          <w:szCs w:val="24"/>
        </w:rPr>
        <w:t>Ponadto PSP, w ramach swoich ustawowych zadań w zakresie nadzoru nad przestrzeganiem przepisów przeciwpożarowych, prowadzi czynności kontrolno-rozpoznawcze w obiektach, w których mogą przebywać osoby starsze. W ramach ww. czynności w 2019 r. skontrolowano m.in. 876 domów opieki społecznej.</w:t>
      </w:r>
    </w:p>
    <w:p w14:paraId="4359BED6" w14:textId="77777777" w:rsidR="00A36392" w:rsidRPr="00A36392" w:rsidRDefault="00A36392" w:rsidP="002924A5">
      <w:pPr>
        <w:spacing w:after="0"/>
        <w:ind w:left="284" w:right="22"/>
        <w:jc w:val="both"/>
        <w:rPr>
          <w:rFonts w:ascii="Times New Roman" w:hAnsi="Times New Roman" w:cs="Times New Roman"/>
          <w:sz w:val="24"/>
          <w:szCs w:val="24"/>
        </w:rPr>
      </w:pPr>
    </w:p>
    <w:p w14:paraId="64FAE66A" w14:textId="77777777" w:rsidR="00A36392" w:rsidRPr="00A36392" w:rsidRDefault="00A36392" w:rsidP="00093CB5">
      <w:pPr>
        <w:spacing w:after="0"/>
        <w:ind w:right="23"/>
        <w:jc w:val="both"/>
        <w:rPr>
          <w:rFonts w:ascii="Times New Roman" w:hAnsi="Times New Roman" w:cs="Times New Roman"/>
          <w:sz w:val="24"/>
          <w:szCs w:val="24"/>
        </w:rPr>
      </w:pPr>
      <w:r w:rsidRPr="00A36392">
        <w:rPr>
          <w:rFonts w:ascii="Times New Roman" w:hAnsi="Times New Roman" w:cs="Times New Roman"/>
          <w:sz w:val="24"/>
          <w:szCs w:val="24"/>
        </w:rPr>
        <w:t xml:space="preserve">Świadczenia zdrowotne skierowane do osób starszych przez Samodzielne Publiczne Zakłady Opieki Zdrowotnej MSWiA (dalej: „SP ZOZ </w:t>
      </w:r>
      <w:r w:rsidR="00093CB5">
        <w:rPr>
          <w:rFonts w:ascii="Times New Roman" w:hAnsi="Times New Roman" w:cs="Times New Roman"/>
          <w:sz w:val="24"/>
          <w:szCs w:val="24"/>
        </w:rPr>
        <w:t>MSWiA”) zrealizowane w 2019 r.</w:t>
      </w:r>
      <w:r w:rsidRPr="00A36392">
        <w:rPr>
          <w:rFonts w:ascii="Times New Roman" w:hAnsi="Times New Roman" w:cs="Times New Roman"/>
          <w:sz w:val="24"/>
          <w:szCs w:val="24"/>
        </w:rPr>
        <w:t>:</w:t>
      </w:r>
    </w:p>
    <w:p w14:paraId="08666613" w14:textId="77777777" w:rsidR="00093CB5" w:rsidRDefault="00A36392" w:rsidP="008C71A9">
      <w:pPr>
        <w:pStyle w:val="Akapitzlist"/>
        <w:numPr>
          <w:ilvl w:val="0"/>
          <w:numId w:val="327"/>
        </w:numPr>
        <w:spacing w:after="0"/>
        <w:ind w:left="360" w:right="23"/>
        <w:jc w:val="both"/>
        <w:rPr>
          <w:rFonts w:ascii="Times New Roman" w:hAnsi="Times New Roman" w:cs="Times New Roman"/>
          <w:sz w:val="24"/>
          <w:szCs w:val="24"/>
        </w:rPr>
      </w:pPr>
      <w:r w:rsidRPr="00093CB5">
        <w:rPr>
          <w:rFonts w:ascii="Times New Roman" w:hAnsi="Times New Roman" w:cs="Times New Roman"/>
          <w:sz w:val="24"/>
          <w:szCs w:val="24"/>
        </w:rPr>
        <w:t>W trzech SP ZOZ MSWiA z siedzibą w Białymstoku, Bydgoszczy i Krakowie funkcjonowały oddziały o profilu geriatrycznym, które  dysponowały  łącznie 52 łóżkami. W 2019 r. we wspomnianych oddziałach leczono 1</w:t>
      </w:r>
      <w:r w:rsidR="00093CB5">
        <w:rPr>
          <w:rFonts w:ascii="Times New Roman" w:hAnsi="Times New Roman" w:cs="Times New Roman"/>
          <w:sz w:val="24"/>
          <w:szCs w:val="24"/>
        </w:rPr>
        <w:t xml:space="preserve"> </w:t>
      </w:r>
      <w:r w:rsidRPr="00093CB5">
        <w:rPr>
          <w:rFonts w:ascii="Times New Roman" w:hAnsi="Times New Roman" w:cs="Times New Roman"/>
          <w:sz w:val="24"/>
          <w:szCs w:val="24"/>
        </w:rPr>
        <w:t>730 osób.</w:t>
      </w:r>
    </w:p>
    <w:p w14:paraId="5B669A27" w14:textId="77777777" w:rsidR="00093CB5" w:rsidRDefault="00A36392" w:rsidP="008C71A9">
      <w:pPr>
        <w:pStyle w:val="Akapitzlist"/>
        <w:numPr>
          <w:ilvl w:val="0"/>
          <w:numId w:val="327"/>
        </w:numPr>
        <w:spacing w:after="0"/>
        <w:ind w:left="360" w:right="23"/>
        <w:jc w:val="both"/>
        <w:rPr>
          <w:rFonts w:ascii="Times New Roman" w:hAnsi="Times New Roman" w:cs="Times New Roman"/>
          <w:sz w:val="24"/>
          <w:szCs w:val="24"/>
        </w:rPr>
      </w:pPr>
      <w:r w:rsidRPr="00093CB5">
        <w:rPr>
          <w:rFonts w:ascii="Times New Roman" w:hAnsi="Times New Roman" w:cs="Times New Roman"/>
          <w:sz w:val="24"/>
          <w:szCs w:val="24"/>
        </w:rPr>
        <w:t>W trzech SP ZOZ MSWiA z siedzibą w Bydgoszczy, Górznie i Łodzi funkcjonowały Zakłady Opiekuńczo – Lecznicze, które w 2019 r., zwiększyły liczbę łóżek z 90 do 96. W 2019 r. w zakładach tych przebywało 272 pacjentów, głównie osób starszych.</w:t>
      </w:r>
    </w:p>
    <w:p w14:paraId="0A34AD4D" w14:textId="77777777" w:rsidR="00093CB5" w:rsidRDefault="00A36392" w:rsidP="008C71A9">
      <w:pPr>
        <w:pStyle w:val="Akapitzlist"/>
        <w:numPr>
          <w:ilvl w:val="0"/>
          <w:numId w:val="327"/>
        </w:numPr>
        <w:spacing w:after="0"/>
        <w:ind w:left="360" w:right="23"/>
        <w:jc w:val="both"/>
        <w:rPr>
          <w:rFonts w:ascii="Times New Roman" w:hAnsi="Times New Roman" w:cs="Times New Roman"/>
          <w:sz w:val="24"/>
          <w:szCs w:val="24"/>
        </w:rPr>
      </w:pPr>
      <w:r w:rsidRPr="00093CB5">
        <w:rPr>
          <w:rFonts w:ascii="Times New Roman" w:hAnsi="Times New Roman" w:cs="Times New Roman"/>
          <w:sz w:val="24"/>
          <w:szCs w:val="24"/>
        </w:rPr>
        <w:t>W dwóch SP ZOZ MSWiA z siedzibą w Koszalinie i Łodzi funkcjonowały Zakłady Pielęgnacyjno – Opiekuńcze, które dysponowały łącznie 159 miejscami. W 2019 r. w Zakładach tych przebywało 380 pacjentów.</w:t>
      </w:r>
    </w:p>
    <w:p w14:paraId="21E9225D" w14:textId="77777777" w:rsidR="00093CB5" w:rsidRDefault="00A36392" w:rsidP="008C71A9">
      <w:pPr>
        <w:pStyle w:val="Akapitzlist"/>
        <w:numPr>
          <w:ilvl w:val="0"/>
          <w:numId w:val="327"/>
        </w:numPr>
        <w:spacing w:after="0"/>
        <w:ind w:left="360" w:right="23"/>
        <w:jc w:val="both"/>
        <w:rPr>
          <w:rFonts w:ascii="Times New Roman" w:hAnsi="Times New Roman" w:cs="Times New Roman"/>
          <w:sz w:val="24"/>
          <w:szCs w:val="24"/>
        </w:rPr>
      </w:pPr>
      <w:r w:rsidRPr="00093CB5">
        <w:rPr>
          <w:rFonts w:ascii="Times New Roman" w:hAnsi="Times New Roman" w:cs="Times New Roman"/>
          <w:sz w:val="24"/>
          <w:szCs w:val="24"/>
        </w:rPr>
        <w:lastRenderedPageBreak/>
        <w:t>W trzech SP ZOZ MSWiA z siedzibą w Białymstoku, Bydgoszczy i Krakowie funkcjonowały poradnie geriatryczne, które w 2019 r. udzieliły 4</w:t>
      </w:r>
      <w:r w:rsidR="00093CB5">
        <w:rPr>
          <w:rFonts w:ascii="Times New Roman" w:hAnsi="Times New Roman" w:cs="Times New Roman"/>
          <w:sz w:val="24"/>
          <w:szCs w:val="24"/>
        </w:rPr>
        <w:t xml:space="preserve"> </w:t>
      </w:r>
      <w:r w:rsidRPr="00093CB5">
        <w:rPr>
          <w:rFonts w:ascii="Times New Roman" w:hAnsi="Times New Roman" w:cs="Times New Roman"/>
          <w:sz w:val="24"/>
          <w:szCs w:val="24"/>
        </w:rPr>
        <w:t>267 porad.</w:t>
      </w:r>
    </w:p>
    <w:p w14:paraId="07D816E4" w14:textId="77777777" w:rsidR="00093CB5" w:rsidRDefault="00A36392" w:rsidP="008C71A9">
      <w:pPr>
        <w:pStyle w:val="Akapitzlist"/>
        <w:numPr>
          <w:ilvl w:val="0"/>
          <w:numId w:val="327"/>
        </w:numPr>
        <w:spacing w:after="0"/>
        <w:ind w:left="360" w:right="23"/>
        <w:jc w:val="both"/>
        <w:rPr>
          <w:rFonts w:ascii="Times New Roman" w:hAnsi="Times New Roman" w:cs="Times New Roman"/>
          <w:sz w:val="24"/>
          <w:szCs w:val="24"/>
        </w:rPr>
      </w:pPr>
      <w:r w:rsidRPr="00093CB5">
        <w:rPr>
          <w:rFonts w:ascii="Times New Roman" w:hAnsi="Times New Roman" w:cs="Times New Roman"/>
          <w:sz w:val="24"/>
          <w:szCs w:val="24"/>
        </w:rPr>
        <w:t xml:space="preserve">W trzech SP ZOZ MSWiA z siedzibą w Krakowie, Bydgoszczy i Białymstoku realizowane są szkolenia specjalizacyjne lekarzy z dziedziny geriatrii. Zakłady te, w 2019 r., zwiększyły liczbę miejsc szkoleniowych z 28 do 40. W 2019 r. szkolenie specjalizacyjne z dziedziny geriatrii realizowało 17 lekarzy (w 2018 r. szkolenie realizowało 10 lekarzy), którzy po uzyskaniu tytułu specjalisty z dziedziny geriatrii wzmocnią zasoby kadrowe szpitali MSWiA, realizujące świadczenia zdrowotne na rzecz osób starszych. </w:t>
      </w:r>
    </w:p>
    <w:p w14:paraId="07F2D8C9" w14:textId="77777777" w:rsidR="00A36392" w:rsidRPr="00093CB5" w:rsidRDefault="00A36392" w:rsidP="008C71A9">
      <w:pPr>
        <w:pStyle w:val="Akapitzlist"/>
        <w:numPr>
          <w:ilvl w:val="0"/>
          <w:numId w:val="327"/>
        </w:numPr>
        <w:spacing w:after="0"/>
        <w:ind w:left="360" w:right="23"/>
        <w:jc w:val="both"/>
        <w:rPr>
          <w:rFonts w:ascii="Times New Roman" w:hAnsi="Times New Roman" w:cs="Times New Roman"/>
          <w:sz w:val="24"/>
          <w:szCs w:val="24"/>
        </w:rPr>
      </w:pPr>
      <w:r w:rsidRPr="00093CB5">
        <w:rPr>
          <w:rFonts w:ascii="Times New Roman" w:hAnsi="Times New Roman" w:cs="Times New Roman"/>
          <w:sz w:val="24"/>
          <w:szCs w:val="24"/>
        </w:rPr>
        <w:t xml:space="preserve">W SP ZOZ MSWiA w Białymstoku trwają prace mające na celu utworzenie Centrum Senioralnego 60+. Przygotowano dokumentację projektową Centrum, która została sfinansowana przez MSWiA. </w:t>
      </w:r>
    </w:p>
    <w:p w14:paraId="0A735417" w14:textId="77777777" w:rsidR="00093CB5" w:rsidRDefault="00093CB5" w:rsidP="00093CB5">
      <w:pPr>
        <w:spacing w:after="0"/>
        <w:ind w:right="23"/>
        <w:jc w:val="both"/>
        <w:rPr>
          <w:rFonts w:ascii="Times New Roman" w:hAnsi="Times New Roman" w:cs="Times New Roman"/>
          <w:sz w:val="24"/>
          <w:szCs w:val="24"/>
        </w:rPr>
      </w:pPr>
    </w:p>
    <w:p w14:paraId="056DAB42" w14:textId="77777777" w:rsidR="00A36392" w:rsidRPr="00A36392" w:rsidRDefault="00A36392" w:rsidP="00093CB5">
      <w:pPr>
        <w:spacing w:after="0"/>
        <w:ind w:right="23"/>
        <w:jc w:val="both"/>
        <w:rPr>
          <w:rFonts w:ascii="Times New Roman" w:hAnsi="Times New Roman" w:cs="Times New Roman"/>
          <w:sz w:val="24"/>
          <w:szCs w:val="24"/>
        </w:rPr>
      </w:pPr>
      <w:r w:rsidRPr="00A36392">
        <w:rPr>
          <w:rFonts w:ascii="Times New Roman" w:hAnsi="Times New Roman" w:cs="Times New Roman"/>
          <w:sz w:val="24"/>
          <w:szCs w:val="24"/>
        </w:rPr>
        <w:t xml:space="preserve">W utworzonym Centrum realizowana będzie kompleksowa i wielospecjalistyczna opieka medyczna dla osób starszych, zamieszkujących obszar województwa podlaskiego. </w:t>
      </w:r>
    </w:p>
    <w:p w14:paraId="5B4FBF98" w14:textId="77777777" w:rsidR="00A36392" w:rsidRPr="00A36392" w:rsidRDefault="00A36392" w:rsidP="006621E0">
      <w:pPr>
        <w:spacing w:after="0"/>
        <w:ind w:right="22"/>
        <w:jc w:val="both"/>
        <w:rPr>
          <w:rFonts w:ascii="Times New Roman" w:hAnsi="Times New Roman" w:cs="Times New Roman"/>
          <w:sz w:val="24"/>
          <w:szCs w:val="24"/>
        </w:rPr>
      </w:pPr>
    </w:p>
    <w:p w14:paraId="1D76020A" w14:textId="77777777" w:rsidR="00A36392" w:rsidRPr="00A36392" w:rsidRDefault="00A36392" w:rsidP="006621E0">
      <w:pPr>
        <w:tabs>
          <w:tab w:val="left" w:pos="720"/>
        </w:tabs>
        <w:spacing w:after="0"/>
        <w:jc w:val="both"/>
        <w:rPr>
          <w:rFonts w:ascii="Times New Roman" w:hAnsi="Times New Roman" w:cs="Times New Roman"/>
          <w:color w:val="000000"/>
          <w:sz w:val="24"/>
          <w:szCs w:val="24"/>
        </w:rPr>
      </w:pPr>
      <w:r w:rsidRPr="00A36392">
        <w:rPr>
          <w:rFonts w:ascii="Times New Roman" w:hAnsi="Times New Roman" w:cs="Times New Roman"/>
          <w:color w:val="000000"/>
          <w:sz w:val="24"/>
          <w:szCs w:val="24"/>
        </w:rPr>
        <w:t xml:space="preserve">Ponadto działania na rzecz osób starszych podejmuje Szef Urzędu do Spraw Cudzoziemców, który realizuje zadania związane z przyznawaniem cudzoziemcom ubiegającym się o ochronę międzynarodową w Polsce świadczeń socjalnych, w zakresie określonym przez </w:t>
      </w:r>
      <w:r w:rsidRPr="006621E0">
        <w:rPr>
          <w:rFonts w:ascii="Times New Roman" w:hAnsi="Times New Roman" w:cs="Times New Roman"/>
          <w:i/>
          <w:color w:val="000000"/>
          <w:sz w:val="24"/>
          <w:szCs w:val="24"/>
        </w:rPr>
        <w:t>ustawę z dnia 13 czerwca 2003 r. o udzielaniu cudzoziemcom ochrony na terytorium Rzeczypospolitej Polskiej</w:t>
      </w:r>
      <w:r w:rsidRPr="00A36392">
        <w:rPr>
          <w:rFonts w:ascii="Times New Roman" w:hAnsi="Times New Roman" w:cs="Times New Roman"/>
          <w:color w:val="000000"/>
          <w:sz w:val="24"/>
          <w:szCs w:val="24"/>
        </w:rPr>
        <w:t xml:space="preserve"> (Dz. U. z 2019 r. poz. 1666, z późn. zm.), a także prowadzi postępowania o udzielenie ochrony międzynarodowej. Zadania te realizowane są w oparciu m. in. o przepis art. 68 ww. ustawy, który określa, co należy rozumieć przez „osoby wymagające szczególnego traktowania”, wśród których są osoby w podeszłym wieku, oraz z uwzględnieniem art. 69, który reguluje sposób wykonywania czynności w ww. postępowaniu w przypadku osób wymagających szczególnego traktowania.</w:t>
      </w:r>
    </w:p>
    <w:p w14:paraId="5338E89D" w14:textId="77777777" w:rsidR="006621E0" w:rsidRDefault="006621E0" w:rsidP="006621E0">
      <w:pPr>
        <w:tabs>
          <w:tab w:val="left" w:pos="720"/>
        </w:tabs>
        <w:spacing w:after="0"/>
        <w:jc w:val="both"/>
        <w:rPr>
          <w:rFonts w:ascii="Times New Roman" w:hAnsi="Times New Roman" w:cs="Times New Roman"/>
          <w:color w:val="000000"/>
          <w:sz w:val="24"/>
          <w:szCs w:val="24"/>
        </w:rPr>
      </w:pPr>
    </w:p>
    <w:p w14:paraId="4940A49A" w14:textId="77777777" w:rsidR="00A36392" w:rsidRPr="00A36392" w:rsidRDefault="00A36392" w:rsidP="006621E0">
      <w:pPr>
        <w:tabs>
          <w:tab w:val="left" w:pos="720"/>
        </w:tabs>
        <w:spacing w:after="0"/>
        <w:jc w:val="both"/>
        <w:rPr>
          <w:rFonts w:ascii="Times New Roman" w:hAnsi="Times New Roman" w:cs="Times New Roman"/>
          <w:color w:val="000000"/>
          <w:sz w:val="24"/>
          <w:szCs w:val="24"/>
        </w:rPr>
      </w:pPr>
      <w:r w:rsidRPr="00A36392">
        <w:rPr>
          <w:rFonts w:ascii="Times New Roman" w:hAnsi="Times New Roman" w:cs="Times New Roman"/>
          <w:color w:val="000000"/>
          <w:sz w:val="24"/>
          <w:szCs w:val="24"/>
        </w:rPr>
        <w:t>Cudzoziemcy w wieku 60 lat i powyżej stanowili w 2019 r. grupę 61 osób, co stanowi 2%. wszystkich cudzoziemców uprawnionych do pomocy socjalnej</w:t>
      </w:r>
      <w:r w:rsidR="006621E0">
        <w:rPr>
          <w:rFonts w:ascii="Times New Roman" w:hAnsi="Times New Roman" w:cs="Times New Roman"/>
          <w:color w:val="000000"/>
          <w:sz w:val="24"/>
          <w:szCs w:val="24"/>
        </w:rPr>
        <w:t xml:space="preserve"> (dane na dzień 31.12.2019 r.). </w:t>
      </w:r>
      <w:r w:rsidRPr="00A36392">
        <w:rPr>
          <w:rFonts w:ascii="Times New Roman" w:hAnsi="Times New Roman" w:cs="Times New Roman"/>
          <w:color w:val="000000"/>
          <w:sz w:val="24"/>
          <w:szCs w:val="24"/>
        </w:rPr>
        <w:t>Wśród tej grupy 11 osób mieszkało w ośrodkach dla cudzoziemców, 49 osób wybrało możliwość zamieszkania poza ośrodkiem, a jedna osoba została umieszczona w Zakładzie Opiekuńczo-Leczniczym. We wskazanej grupie 61 cudzoziemców w wieku 60+, uprawnionych do pomocy socjalnej zapewnianej przez Szefa Urzędu, znajdowało się 36 kobiet i 25 mężczyzn.</w:t>
      </w:r>
    </w:p>
    <w:p w14:paraId="4FF7926B" w14:textId="77777777" w:rsidR="006621E0" w:rsidRDefault="006621E0" w:rsidP="006621E0">
      <w:pPr>
        <w:tabs>
          <w:tab w:val="left" w:pos="720"/>
        </w:tabs>
        <w:spacing w:after="0"/>
        <w:jc w:val="both"/>
        <w:rPr>
          <w:rFonts w:ascii="Times New Roman" w:hAnsi="Times New Roman" w:cs="Times New Roman"/>
          <w:color w:val="000000"/>
          <w:sz w:val="24"/>
          <w:szCs w:val="24"/>
        </w:rPr>
      </w:pPr>
    </w:p>
    <w:p w14:paraId="67B8F0FB" w14:textId="77777777" w:rsidR="00A36392" w:rsidRPr="00A36392" w:rsidRDefault="00A36392" w:rsidP="006621E0">
      <w:pPr>
        <w:tabs>
          <w:tab w:val="left" w:pos="720"/>
        </w:tabs>
        <w:spacing w:after="0"/>
        <w:jc w:val="both"/>
        <w:rPr>
          <w:rFonts w:ascii="Times New Roman" w:hAnsi="Times New Roman" w:cs="Times New Roman"/>
          <w:color w:val="000000"/>
          <w:sz w:val="24"/>
          <w:szCs w:val="24"/>
        </w:rPr>
      </w:pPr>
      <w:r w:rsidRPr="00A36392">
        <w:rPr>
          <w:rFonts w:ascii="Times New Roman" w:hAnsi="Times New Roman" w:cs="Times New Roman"/>
          <w:color w:val="000000"/>
          <w:sz w:val="24"/>
          <w:szCs w:val="24"/>
        </w:rPr>
        <w:t xml:space="preserve">Jak wskazano wyżej, osoby w wieku podeszłym, zgodnie z </w:t>
      </w:r>
      <w:r w:rsidRPr="006621E0">
        <w:rPr>
          <w:rFonts w:ascii="Times New Roman" w:hAnsi="Times New Roman" w:cs="Times New Roman"/>
          <w:i/>
          <w:color w:val="000000"/>
          <w:sz w:val="24"/>
          <w:szCs w:val="24"/>
        </w:rPr>
        <w:t>ustawą o udzielaniu cudzoziemcom ochrony</w:t>
      </w:r>
      <w:r w:rsidRPr="00A36392">
        <w:rPr>
          <w:rFonts w:ascii="Times New Roman" w:hAnsi="Times New Roman" w:cs="Times New Roman"/>
          <w:color w:val="000000"/>
          <w:sz w:val="24"/>
          <w:szCs w:val="24"/>
        </w:rPr>
        <w:t xml:space="preserve"> (…), są uznane za osoby mogące wymagać szczególnego traktowania w postępowaniu w sprawie udzielenia ochrony międzynarodowej lub w zakresie pomocy socjalnej. Zgodnie z art. 68 ust. 2 ww. ustawy osobę w podeszłym wieku uznaje się za wymagającą szczególnego traktowania w zakresie pomocy socjalnej, w przypadku gdy może zachodzić potrzeba:</w:t>
      </w:r>
    </w:p>
    <w:p w14:paraId="3D01AC6B" w14:textId="77777777" w:rsidR="006621E0" w:rsidRDefault="00A36392" w:rsidP="008C71A9">
      <w:pPr>
        <w:pStyle w:val="Akapitzlist"/>
        <w:numPr>
          <w:ilvl w:val="0"/>
          <w:numId w:val="328"/>
        </w:numPr>
        <w:tabs>
          <w:tab w:val="left" w:pos="720"/>
        </w:tabs>
        <w:spacing w:after="0"/>
        <w:ind w:left="360"/>
        <w:jc w:val="both"/>
        <w:rPr>
          <w:rFonts w:ascii="Times New Roman" w:hAnsi="Times New Roman" w:cs="Times New Roman"/>
          <w:color w:val="000000"/>
          <w:sz w:val="24"/>
          <w:szCs w:val="24"/>
        </w:rPr>
      </w:pPr>
      <w:r w:rsidRPr="006621E0">
        <w:rPr>
          <w:rFonts w:ascii="Times New Roman" w:hAnsi="Times New Roman" w:cs="Times New Roman"/>
          <w:color w:val="000000"/>
          <w:sz w:val="24"/>
          <w:szCs w:val="24"/>
        </w:rPr>
        <w:t>zakwaterowania w ośrodku dla cudzoziemców:</w:t>
      </w:r>
    </w:p>
    <w:p w14:paraId="0440598B" w14:textId="77777777" w:rsidR="006621E0" w:rsidRDefault="006621E0" w:rsidP="008C71A9">
      <w:pPr>
        <w:pStyle w:val="Akapitzlist"/>
        <w:numPr>
          <w:ilvl w:val="0"/>
          <w:numId w:val="329"/>
        </w:numPr>
        <w:tabs>
          <w:tab w:val="left" w:pos="720"/>
        </w:tabs>
        <w:spacing w:after="0"/>
        <w:ind w:left="643"/>
        <w:jc w:val="both"/>
        <w:rPr>
          <w:rFonts w:ascii="Times New Roman" w:hAnsi="Times New Roman" w:cs="Times New Roman"/>
          <w:color w:val="000000"/>
          <w:sz w:val="24"/>
          <w:szCs w:val="24"/>
        </w:rPr>
      </w:pPr>
      <w:r w:rsidRPr="006621E0">
        <w:rPr>
          <w:rFonts w:ascii="Times New Roman" w:hAnsi="Times New Roman" w:cs="Times New Roman"/>
          <w:color w:val="000000"/>
          <w:sz w:val="24"/>
          <w:szCs w:val="24"/>
        </w:rPr>
        <w:t>p</w:t>
      </w:r>
      <w:r w:rsidR="00A36392" w:rsidRPr="006621E0">
        <w:rPr>
          <w:rFonts w:ascii="Times New Roman" w:hAnsi="Times New Roman" w:cs="Times New Roman"/>
          <w:color w:val="000000"/>
          <w:sz w:val="24"/>
          <w:szCs w:val="24"/>
        </w:rPr>
        <w:t>rzystosowanym do potrzeb osób niepełnosprawnych,</w:t>
      </w:r>
    </w:p>
    <w:p w14:paraId="33B7E6B7" w14:textId="77777777" w:rsidR="006621E0" w:rsidRDefault="00A36392" w:rsidP="008C71A9">
      <w:pPr>
        <w:pStyle w:val="Akapitzlist"/>
        <w:numPr>
          <w:ilvl w:val="0"/>
          <w:numId w:val="329"/>
        </w:numPr>
        <w:tabs>
          <w:tab w:val="left" w:pos="720"/>
        </w:tabs>
        <w:spacing w:after="0"/>
        <w:ind w:left="643"/>
        <w:jc w:val="both"/>
        <w:rPr>
          <w:rFonts w:ascii="Times New Roman" w:hAnsi="Times New Roman" w:cs="Times New Roman"/>
          <w:color w:val="000000"/>
          <w:sz w:val="24"/>
          <w:szCs w:val="24"/>
        </w:rPr>
      </w:pPr>
      <w:r w:rsidRPr="006621E0">
        <w:rPr>
          <w:rFonts w:ascii="Times New Roman" w:hAnsi="Times New Roman" w:cs="Times New Roman"/>
          <w:color w:val="000000"/>
          <w:sz w:val="24"/>
          <w:szCs w:val="24"/>
        </w:rPr>
        <w:lastRenderedPageBreak/>
        <w:t>zapewniającym pokój jednoosobowy,</w:t>
      </w:r>
    </w:p>
    <w:p w14:paraId="311ABD51" w14:textId="77777777" w:rsidR="00A36392" w:rsidRPr="006621E0" w:rsidRDefault="00A36392" w:rsidP="008C71A9">
      <w:pPr>
        <w:pStyle w:val="Akapitzlist"/>
        <w:numPr>
          <w:ilvl w:val="0"/>
          <w:numId w:val="329"/>
        </w:numPr>
        <w:tabs>
          <w:tab w:val="left" w:pos="720"/>
        </w:tabs>
        <w:spacing w:after="0"/>
        <w:ind w:left="643"/>
        <w:jc w:val="both"/>
        <w:rPr>
          <w:rFonts w:ascii="Times New Roman" w:hAnsi="Times New Roman" w:cs="Times New Roman"/>
          <w:color w:val="000000"/>
          <w:sz w:val="24"/>
          <w:szCs w:val="24"/>
        </w:rPr>
      </w:pPr>
      <w:r w:rsidRPr="006621E0">
        <w:rPr>
          <w:rFonts w:ascii="Times New Roman" w:hAnsi="Times New Roman" w:cs="Times New Roman"/>
          <w:color w:val="000000"/>
          <w:sz w:val="24"/>
          <w:szCs w:val="24"/>
        </w:rPr>
        <w:t>przeznaczonym wyłącznie dla kobiet lub kobiet z dziećmi;</w:t>
      </w:r>
    </w:p>
    <w:p w14:paraId="69DDA729" w14:textId="77777777" w:rsidR="006621E0" w:rsidRDefault="00A36392" w:rsidP="008C71A9">
      <w:pPr>
        <w:pStyle w:val="Akapitzlist"/>
        <w:numPr>
          <w:ilvl w:val="0"/>
          <w:numId w:val="328"/>
        </w:numPr>
        <w:tabs>
          <w:tab w:val="left" w:pos="720"/>
        </w:tabs>
        <w:spacing w:after="0"/>
        <w:ind w:left="360"/>
        <w:jc w:val="both"/>
        <w:rPr>
          <w:rFonts w:ascii="Times New Roman" w:hAnsi="Times New Roman" w:cs="Times New Roman"/>
          <w:color w:val="000000"/>
          <w:sz w:val="24"/>
          <w:szCs w:val="24"/>
        </w:rPr>
      </w:pPr>
      <w:r w:rsidRPr="006621E0">
        <w:rPr>
          <w:rFonts w:ascii="Times New Roman" w:hAnsi="Times New Roman" w:cs="Times New Roman"/>
          <w:color w:val="000000"/>
          <w:sz w:val="24"/>
          <w:szCs w:val="24"/>
        </w:rPr>
        <w:t>umieszczenia w zakładzie opiekuńczo-leczniczym, zakładzie pielęgnacyjno-opiekuńczym lub hospicjum;</w:t>
      </w:r>
    </w:p>
    <w:p w14:paraId="7762CED2" w14:textId="77777777" w:rsidR="00A36392" w:rsidRPr="006621E0" w:rsidRDefault="00A36392" w:rsidP="008C71A9">
      <w:pPr>
        <w:pStyle w:val="Akapitzlist"/>
        <w:numPr>
          <w:ilvl w:val="0"/>
          <w:numId w:val="328"/>
        </w:numPr>
        <w:tabs>
          <w:tab w:val="left" w:pos="720"/>
        </w:tabs>
        <w:spacing w:after="0"/>
        <w:ind w:left="360"/>
        <w:jc w:val="both"/>
        <w:rPr>
          <w:rFonts w:ascii="Times New Roman" w:hAnsi="Times New Roman" w:cs="Times New Roman"/>
          <w:color w:val="000000"/>
          <w:sz w:val="24"/>
          <w:szCs w:val="24"/>
        </w:rPr>
      </w:pPr>
      <w:r w:rsidRPr="006621E0">
        <w:rPr>
          <w:rFonts w:ascii="Times New Roman" w:hAnsi="Times New Roman" w:cs="Times New Roman"/>
          <w:color w:val="000000"/>
          <w:sz w:val="24"/>
          <w:szCs w:val="24"/>
        </w:rPr>
        <w:t>dostosowania diety do stanu zdrowia.</w:t>
      </w:r>
    </w:p>
    <w:p w14:paraId="24A542F4" w14:textId="77777777" w:rsidR="006621E0" w:rsidRDefault="006621E0" w:rsidP="006621E0">
      <w:pPr>
        <w:tabs>
          <w:tab w:val="left" w:pos="720"/>
        </w:tabs>
        <w:spacing w:after="0"/>
        <w:jc w:val="both"/>
        <w:rPr>
          <w:rFonts w:ascii="Times New Roman" w:hAnsi="Times New Roman" w:cs="Times New Roman"/>
          <w:color w:val="000000"/>
          <w:sz w:val="24"/>
          <w:szCs w:val="24"/>
        </w:rPr>
      </w:pPr>
    </w:p>
    <w:p w14:paraId="73065D6F" w14:textId="77777777" w:rsidR="00A36392" w:rsidRPr="00A36392" w:rsidRDefault="00A36392" w:rsidP="006621E0">
      <w:pPr>
        <w:tabs>
          <w:tab w:val="left" w:pos="720"/>
        </w:tabs>
        <w:spacing w:after="0"/>
        <w:jc w:val="both"/>
        <w:rPr>
          <w:rFonts w:ascii="Times New Roman" w:hAnsi="Times New Roman" w:cs="Times New Roman"/>
          <w:color w:val="000000"/>
          <w:sz w:val="24"/>
          <w:szCs w:val="24"/>
        </w:rPr>
      </w:pPr>
      <w:r w:rsidRPr="00A36392">
        <w:rPr>
          <w:rFonts w:ascii="Times New Roman" w:hAnsi="Times New Roman" w:cs="Times New Roman"/>
          <w:color w:val="000000"/>
          <w:sz w:val="24"/>
          <w:szCs w:val="24"/>
        </w:rPr>
        <w:t>W związku z powyższym, w celu właściwej realizacji przepisów ww. ustawy została opracowana Procedura Nr 1/2015 postępowania z cudzoziemcami wymagającymi szczególnego traktowania w zakresie pomocy socjalnej, w której opisano szczegółowo wszystkie etapy udzielania pomocy socjalnej osobom z grupy wrażliwej z podziałem na kategorie. Procedura ta ma na celu utrzymanie jakości udzielanej pomocy socjalnej na wysokim poziomie, dostosowanym do szczególnych potrzeb cudzoziemców. W sytuacji, gdy osoba starsza zgłasza takie potrzeby, przykładowo wynikające z ograniczonej mobilności, konieczności dostarczania posiłków do pokoju czy wzmożonego nadzoru medycznego, każdy przypadek jest analizowany, a podejmowane działania są dostosowane do indywidualnych potrzeb danej osoby.</w:t>
      </w:r>
    </w:p>
    <w:p w14:paraId="563B6083" w14:textId="77777777" w:rsidR="00ED1639" w:rsidRDefault="00ED1639" w:rsidP="00ED1639">
      <w:pPr>
        <w:tabs>
          <w:tab w:val="left" w:pos="720"/>
        </w:tabs>
        <w:spacing w:after="0"/>
        <w:jc w:val="both"/>
        <w:rPr>
          <w:rFonts w:ascii="Times New Roman" w:hAnsi="Times New Roman" w:cs="Times New Roman"/>
          <w:color w:val="000000"/>
          <w:sz w:val="24"/>
          <w:szCs w:val="24"/>
        </w:rPr>
      </w:pPr>
    </w:p>
    <w:p w14:paraId="3EF25EBA" w14:textId="77777777" w:rsidR="007D6ACF" w:rsidRPr="00835584" w:rsidRDefault="00A36392" w:rsidP="00835584">
      <w:pPr>
        <w:tabs>
          <w:tab w:val="left" w:pos="720"/>
        </w:tabs>
        <w:spacing w:after="0"/>
        <w:jc w:val="both"/>
        <w:rPr>
          <w:rFonts w:ascii="Times New Roman" w:hAnsi="Times New Roman" w:cs="Times New Roman"/>
          <w:color w:val="000000"/>
          <w:sz w:val="24"/>
          <w:szCs w:val="24"/>
        </w:rPr>
      </w:pPr>
      <w:r w:rsidRPr="00A36392">
        <w:rPr>
          <w:rFonts w:ascii="Times New Roman" w:hAnsi="Times New Roman" w:cs="Times New Roman"/>
          <w:color w:val="000000"/>
          <w:sz w:val="24"/>
          <w:szCs w:val="24"/>
        </w:rPr>
        <w:t xml:space="preserve">Odnośnie aktywności zawodowej osób starszych, należy wskazać, że w okresie od 1 stycznia 2019 r. do 31 grudnia 2019 r. w Urzędzie zatrudnione były 22 osoby spełniające kryteria, o których mowa w art. 4 pkt 1 </w:t>
      </w:r>
      <w:r w:rsidRPr="00ED1639">
        <w:rPr>
          <w:rFonts w:ascii="Times New Roman" w:hAnsi="Times New Roman" w:cs="Times New Roman"/>
          <w:i/>
          <w:color w:val="000000"/>
          <w:sz w:val="24"/>
          <w:szCs w:val="24"/>
        </w:rPr>
        <w:t>ustawy z dnia 11 września 2015 r. o osobach starszych</w:t>
      </w:r>
      <w:r w:rsidRPr="00A36392">
        <w:rPr>
          <w:rFonts w:ascii="Times New Roman" w:hAnsi="Times New Roman" w:cs="Times New Roman"/>
          <w:color w:val="000000"/>
          <w:sz w:val="24"/>
          <w:szCs w:val="24"/>
        </w:rPr>
        <w:t xml:space="preserve"> (Dz.U. z 2015 r. poz. 1705), czyli takie,</w:t>
      </w:r>
      <w:r w:rsidR="00835584">
        <w:rPr>
          <w:rFonts w:ascii="Times New Roman" w:hAnsi="Times New Roman" w:cs="Times New Roman"/>
          <w:color w:val="000000"/>
          <w:sz w:val="24"/>
          <w:szCs w:val="24"/>
        </w:rPr>
        <w:t xml:space="preserve"> które ukończyły 60. rok życia.</w:t>
      </w:r>
    </w:p>
    <w:p w14:paraId="7328D6F1" w14:textId="77777777" w:rsidR="0087360D" w:rsidRDefault="0087360D" w:rsidP="006425EF">
      <w:pPr>
        <w:pStyle w:val="Nagwek2"/>
        <w:numPr>
          <w:ilvl w:val="1"/>
          <w:numId w:val="383"/>
        </w:numPr>
        <w:spacing w:before="240" w:after="240"/>
        <w:ind w:left="432"/>
        <w:rPr>
          <w:rFonts w:cs="Times New Roman"/>
          <w:sz w:val="40"/>
          <w:szCs w:val="28"/>
          <w:lang w:eastAsia="ar-SA"/>
        </w:rPr>
      </w:pPr>
      <w:bookmarkStart w:id="75" w:name="_Toc49171343"/>
      <w:r w:rsidRPr="006425EF">
        <w:rPr>
          <w:rFonts w:cs="Times New Roman"/>
          <w:sz w:val="40"/>
          <w:szCs w:val="28"/>
          <w:lang w:eastAsia="ar-SA"/>
        </w:rPr>
        <w:t>Ministerstwo</w:t>
      </w:r>
      <w:r w:rsidR="00475EFA" w:rsidRPr="006425EF">
        <w:rPr>
          <w:rFonts w:cs="Times New Roman"/>
          <w:sz w:val="40"/>
          <w:szCs w:val="28"/>
          <w:lang w:eastAsia="ar-SA"/>
        </w:rPr>
        <w:t xml:space="preserve"> Nauki i Szkolnictwa Wyższego</w:t>
      </w:r>
      <w:bookmarkEnd w:id="75"/>
    </w:p>
    <w:p w14:paraId="00CABF6F" w14:textId="77777777" w:rsidR="00F70044" w:rsidRPr="00F70044" w:rsidRDefault="00F70044" w:rsidP="00F70044">
      <w:pPr>
        <w:spacing w:after="0"/>
        <w:jc w:val="both"/>
        <w:rPr>
          <w:rFonts w:ascii="Times New Roman" w:hAnsi="Times New Roman" w:cs="Times New Roman"/>
          <w:sz w:val="24"/>
          <w:szCs w:val="24"/>
          <w:lang w:eastAsia="ar-SA"/>
        </w:rPr>
      </w:pPr>
      <w:r w:rsidRPr="007B71A6">
        <w:rPr>
          <w:rFonts w:ascii="Times New Roman" w:hAnsi="Times New Roman" w:cs="Times New Roman"/>
          <w:sz w:val="24"/>
          <w:szCs w:val="24"/>
          <w:lang w:eastAsia="ar-SA"/>
        </w:rPr>
        <w:t xml:space="preserve">Szczegółowy opis działań zrealizowanych przez Ministerstwo </w:t>
      </w:r>
      <w:r>
        <w:rPr>
          <w:rFonts w:ascii="Times New Roman" w:hAnsi="Times New Roman" w:cs="Times New Roman"/>
          <w:sz w:val="24"/>
          <w:szCs w:val="24"/>
          <w:lang w:eastAsia="ar-SA"/>
        </w:rPr>
        <w:t xml:space="preserve">Nauki i Szkolnictwa Wyższego </w:t>
      </w:r>
      <w:r w:rsidRPr="007B71A6">
        <w:rPr>
          <w:rFonts w:ascii="Times New Roman" w:hAnsi="Times New Roman" w:cs="Times New Roman"/>
          <w:sz w:val="24"/>
          <w:szCs w:val="24"/>
          <w:lang w:eastAsia="ar-SA"/>
        </w:rPr>
        <w:t xml:space="preserve">zawarty jest w rozdziale 4.  </w:t>
      </w:r>
      <w:r w:rsidRPr="007B71A6">
        <w:rPr>
          <w:rFonts w:ascii="Times New Roman" w:hAnsi="Times New Roman" w:cs="Times New Roman"/>
          <w:i/>
          <w:sz w:val="24"/>
          <w:szCs w:val="24"/>
          <w:lang w:eastAsia="ar-SA"/>
        </w:rPr>
        <w:t>Sprawozdanie z realizacji działań zaplanowanych w dokumencie Polityka społeczna wobec osób starszych 2030. Bezpieczeństwo – Uczestnictwo – Solidarność.</w:t>
      </w:r>
    </w:p>
    <w:p w14:paraId="7D1EBDBE" w14:textId="77777777" w:rsidR="00ED1639" w:rsidRPr="006425EF" w:rsidRDefault="0091762B" w:rsidP="006425EF">
      <w:pPr>
        <w:pStyle w:val="Nagwek2"/>
        <w:numPr>
          <w:ilvl w:val="1"/>
          <w:numId w:val="383"/>
        </w:numPr>
        <w:spacing w:before="240" w:after="240"/>
        <w:ind w:left="432"/>
        <w:rPr>
          <w:rFonts w:cs="Times New Roman"/>
          <w:sz w:val="40"/>
          <w:lang w:eastAsia="ar-SA"/>
        </w:rPr>
      </w:pPr>
      <w:r w:rsidRPr="006425EF">
        <w:rPr>
          <w:rFonts w:cs="Times New Roman"/>
          <w:sz w:val="40"/>
          <w:lang w:eastAsia="ar-SA"/>
        </w:rPr>
        <w:t xml:space="preserve"> </w:t>
      </w:r>
      <w:bookmarkStart w:id="76" w:name="_Toc49171344"/>
      <w:r w:rsidR="0087360D" w:rsidRPr="006425EF">
        <w:rPr>
          <w:rFonts w:cs="Times New Roman"/>
          <w:sz w:val="40"/>
          <w:lang w:eastAsia="ar-SA"/>
        </w:rPr>
        <w:t>Ministerstwo</w:t>
      </w:r>
      <w:r w:rsidR="00475EFA" w:rsidRPr="006425EF">
        <w:rPr>
          <w:rFonts w:cs="Times New Roman"/>
          <w:sz w:val="40"/>
          <w:lang w:eastAsia="ar-SA"/>
        </w:rPr>
        <w:t xml:space="preserve"> Klimatu</w:t>
      </w:r>
      <w:bookmarkEnd w:id="76"/>
    </w:p>
    <w:p w14:paraId="1F62199D" w14:textId="77777777" w:rsidR="00E229E0" w:rsidRPr="00E229E0" w:rsidRDefault="00E229E0" w:rsidP="00ED1639">
      <w:pPr>
        <w:spacing w:after="0"/>
        <w:jc w:val="both"/>
        <w:rPr>
          <w:rFonts w:ascii="Times New Roman" w:hAnsi="Times New Roman" w:cs="Times New Roman"/>
          <w:sz w:val="24"/>
          <w:lang w:eastAsia="ar-SA"/>
        </w:rPr>
      </w:pPr>
      <w:r w:rsidRPr="00E229E0">
        <w:rPr>
          <w:rFonts w:ascii="Times New Roman" w:hAnsi="Times New Roman" w:cs="Times New Roman"/>
          <w:sz w:val="24"/>
          <w:lang w:eastAsia="ar-SA"/>
        </w:rPr>
        <w:t>Ze „Strategicznego planu adaptacji dla sektorów i obszarów wrażliwych na zmiany klimatu do roku 2020 z perspektywą do roku 2030” (zwanego dalej: „SPA2020”) wynika, że zmiany klimatu mogą pośrednio wpływać na zdrowie poprzez tworzenie warunków dla wzrostu zanieczyszczeń powietrza i wody, rozwoju bakterii powodujących zakażenia pokarmowe, a także chorób zakaźnych przenoszonych przez owady. Zmiany klimatyczne oddziałują na całe społeczeństwo, jednakże szczególnie wrażliwe na choroby klimatozależne są grupy zwiększonego ryzyka, do których należą osoby starsze, chorzy, osoby niepełnosprawne, osoby bezdomne i ubogie oraz dzieci. W obszarze ochrony zdrowia zmiany klimatu mogą najsilniej objawić się w postaci zwiększonej zachorowalności na raka skóry i zgonów na czerniaka oraz zgonów związanych z chorobami układu krążenia i oddechowego.</w:t>
      </w:r>
    </w:p>
    <w:p w14:paraId="117D5728" w14:textId="77777777" w:rsidR="00ED1639" w:rsidRDefault="00ED1639" w:rsidP="00ED1639">
      <w:pPr>
        <w:spacing w:after="0"/>
        <w:jc w:val="both"/>
        <w:rPr>
          <w:rFonts w:ascii="Times New Roman" w:hAnsi="Times New Roman" w:cs="Times New Roman"/>
          <w:sz w:val="24"/>
          <w:lang w:eastAsia="ar-SA"/>
        </w:rPr>
      </w:pPr>
    </w:p>
    <w:p w14:paraId="10855913" w14:textId="77777777" w:rsidR="00E229E0" w:rsidRDefault="00E229E0" w:rsidP="00ED1639">
      <w:pPr>
        <w:spacing w:after="0"/>
        <w:jc w:val="both"/>
        <w:rPr>
          <w:rFonts w:ascii="Times New Roman" w:hAnsi="Times New Roman" w:cs="Times New Roman"/>
          <w:sz w:val="24"/>
          <w:lang w:eastAsia="ar-SA"/>
        </w:rPr>
      </w:pPr>
      <w:r w:rsidRPr="00E229E0">
        <w:rPr>
          <w:rFonts w:ascii="Times New Roman" w:hAnsi="Times New Roman" w:cs="Times New Roman"/>
          <w:sz w:val="24"/>
          <w:lang w:eastAsia="ar-SA"/>
        </w:rPr>
        <w:lastRenderedPageBreak/>
        <w:t>W SPA2020 uwzględniono i przeanalizowano obecne i oczekiwane zmiany klimatu, w tym scenariusze zmian klimatu dla Polski do 2030</w:t>
      </w:r>
      <w:r w:rsidR="00ED1639">
        <w:rPr>
          <w:rFonts w:ascii="Times New Roman" w:hAnsi="Times New Roman" w:cs="Times New Roman"/>
          <w:sz w:val="24"/>
          <w:lang w:eastAsia="ar-SA"/>
        </w:rPr>
        <w:t xml:space="preserve"> r.</w:t>
      </w:r>
      <w:r w:rsidRPr="00E229E0">
        <w:rPr>
          <w:rFonts w:ascii="Times New Roman" w:hAnsi="Times New Roman" w:cs="Times New Roman"/>
          <w:sz w:val="24"/>
          <w:lang w:eastAsia="ar-SA"/>
        </w:rPr>
        <w:t xml:space="preserve">, które wykazały, że w tym okresie największe zagrożenie dla gospodarki i społeczeństwa będą stanowiły ekstremalne zjawiska pogodowe oraz ich skutki, będące pochodnymi zmian klimatycznych, w tym fale upałów. Fale upałów są szczególnie niebezpieczne dla osób starszych, ponieważ to właśnie w tej </w:t>
      </w:r>
      <w:r w:rsidR="00ED1639">
        <w:rPr>
          <w:rFonts w:ascii="Times New Roman" w:hAnsi="Times New Roman" w:cs="Times New Roman"/>
          <w:sz w:val="24"/>
          <w:lang w:eastAsia="ar-SA"/>
        </w:rPr>
        <w:t xml:space="preserve">grupie wiekowej odnotowuje się </w:t>
      </w:r>
      <w:r w:rsidRPr="00E229E0">
        <w:rPr>
          <w:rFonts w:ascii="Times New Roman" w:hAnsi="Times New Roman" w:cs="Times New Roman"/>
          <w:sz w:val="24"/>
          <w:lang w:eastAsia="ar-SA"/>
        </w:rPr>
        <w:t>największą śmiertelność wynikającą z tego zjawiska. Fale upałów największe zagrożenie stanowią w miastach i na terenach zurbanizowanych, gdzie ulegają dodatkowemu nasileniu w wyniku istnienia zjawiska miejskiej wyspy ciepła. W miastach koncentrując się także inne zjawiska wyjątkowo niebezpieczne dla ludzi starszych, które są wzmagane przez zmiany klimatu, takie jak zanieczyszczenie powietrza czy niedostatek terenów zieleni oraz zielono-niebieskiej infrastruktury, stanowiących miejsce odpoczynku i rekreacji.</w:t>
      </w:r>
    </w:p>
    <w:p w14:paraId="66B6E293" w14:textId="77777777" w:rsidR="00ED1639" w:rsidRPr="00E229E0" w:rsidRDefault="00ED1639" w:rsidP="00ED1639">
      <w:pPr>
        <w:spacing w:after="0"/>
        <w:jc w:val="both"/>
        <w:rPr>
          <w:rFonts w:ascii="Times New Roman" w:hAnsi="Times New Roman" w:cs="Times New Roman"/>
          <w:sz w:val="24"/>
          <w:lang w:eastAsia="ar-SA"/>
        </w:rPr>
      </w:pPr>
    </w:p>
    <w:p w14:paraId="111F15D8" w14:textId="77777777" w:rsidR="00E229E0" w:rsidRDefault="00E229E0" w:rsidP="00ED1639">
      <w:pPr>
        <w:spacing w:after="0"/>
        <w:jc w:val="both"/>
        <w:rPr>
          <w:rFonts w:ascii="Times New Roman" w:hAnsi="Times New Roman" w:cs="Times New Roman"/>
          <w:sz w:val="24"/>
          <w:lang w:eastAsia="ar-SA"/>
        </w:rPr>
      </w:pPr>
      <w:r w:rsidRPr="00E229E0">
        <w:rPr>
          <w:rFonts w:ascii="Times New Roman" w:hAnsi="Times New Roman" w:cs="Times New Roman"/>
          <w:sz w:val="24"/>
          <w:lang w:eastAsia="ar-SA"/>
        </w:rPr>
        <w:t>Jednym z kluczowych priorytetów SPA 2020 jest adaptacja miast, ponieważ, tak jak już wskazano, są one szczególnie podatne na zagrożenia wynikające ze zmian klimatu i w nich koncentrują się najpilniejsze wyzwania zwłaszcza dotyczące osób starszych. Ponadto w polskich miastach mieszka około 60% populacji kraju, zatem skala problemu jest olbrzymia.</w:t>
      </w:r>
    </w:p>
    <w:p w14:paraId="7095BD48" w14:textId="77777777" w:rsidR="00ED1639" w:rsidRPr="00E229E0" w:rsidRDefault="00ED1639" w:rsidP="00ED1639">
      <w:pPr>
        <w:spacing w:after="0"/>
        <w:jc w:val="both"/>
        <w:rPr>
          <w:rFonts w:ascii="Times New Roman" w:hAnsi="Times New Roman" w:cs="Times New Roman"/>
          <w:sz w:val="24"/>
          <w:lang w:eastAsia="ar-SA"/>
        </w:rPr>
      </w:pPr>
    </w:p>
    <w:p w14:paraId="3B8B6DBD" w14:textId="746B3E88" w:rsidR="00E229E0" w:rsidRDefault="00E229E0" w:rsidP="00ED1639">
      <w:pPr>
        <w:spacing w:after="0"/>
        <w:jc w:val="both"/>
        <w:rPr>
          <w:rFonts w:ascii="Times New Roman" w:hAnsi="Times New Roman" w:cs="Times New Roman"/>
          <w:sz w:val="24"/>
          <w:lang w:eastAsia="ar-SA"/>
        </w:rPr>
      </w:pPr>
      <w:r w:rsidRPr="00E229E0">
        <w:rPr>
          <w:rFonts w:ascii="Times New Roman" w:hAnsi="Times New Roman" w:cs="Times New Roman"/>
          <w:sz w:val="24"/>
          <w:lang w:eastAsia="ar-SA"/>
        </w:rPr>
        <w:t xml:space="preserve">Powyższa diagnoza wskazuje na potrzebę podjęcia specjalnych działań adaptacyjnych, których celem jest ochrona i poprawa komfortu życia ogółu społeczeństwa, ale najsilniej te działania odczują grupy wrażliwe, w tym osoby starsze. W celu zwiększenia odporności miast na zmiany klimatu Ministerstwo Klimatu zrealizowało w latach 2017 - 2019 wspólnie z największymi miastami w Polsce projekt pn. „Opracowanie planów adaptacji do zmian klimatu w miastach powyżej 100 tys. mieszkańców” (zwany dalej: „MPA”) współfinansowany ze środków Unii Europejskiej w ramach Programu Operacyjnego </w:t>
      </w:r>
      <w:r w:rsidR="004B5289">
        <w:rPr>
          <w:rFonts w:ascii="Times New Roman" w:hAnsi="Times New Roman" w:cs="Times New Roman"/>
          <w:sz w:val="24"/>
          <w:lang w:eastAsia="ar-SA"/>
        </w:rPr>
        <w:t>Infrastruktura i Środowisko (PO</w:t>
      </w:r>
      <w:r w:rsidRPr="00E229E0">
        <w:rPr>
          <w:rFonts w:ascii="Times New Roman" w:hAnsi="Times New Roman" w:cs="Times New Roman"/>
          <w:sz w:val="24"/>
          <w:lang w:eastAsia="ar-SA"/>
        </w:rPr>
        <w:t>I</w:t>
      </w:r>
      <w:r w:rsidR="004B5289">
        <w:rPr>
          <w:rFonts w:ascii="Times New Roman" w:hAnsi="Times New Roman" w:cs="Times New Roman"/>
          <w:sz w:val="24"/>
          <w:lang w:eastAsia="ar-SA"/>
        </w:rPr>
        <w:t>i</w:t>
      </w:r>
      <w:r w:rsidRPr="00E229E0">
        <w:rPr>
          <w:rFonts w:ascii="Times New Roman" w:hAnsi="Times New Roman" w:cs="Times New Roman"/>
          <w:sz w:val="24"/>
          <w:lang w:eastAsia="ar-SA"/>
        </w:rPr>
        <w:t>Ś) 2014-2020. W każdym z 44 miast partnerskich, dokonano analizy wrażliwych sektorów i obszarów funkcjonalnych miast niezbędnych do przeanalizowania w zakresie wpływu zjawisk. Jednym z obszarów branych pod uwagę w ww. analizie były tzw. grupy wrażliwe, które mogą być bardziej narażone przez takie zjawiska jak: fale upałów (miejska wyspa ciepła), fale zimna, susze, intensywne opady oraz smog. W odpowiedzi na ww. analizę wrażliwości miast, w MPA zaplanowano priorytetowe działania adaptacyjne, adekwatne do zidentyfikowanych zagrożeń indywidualnie dla każdego z miast. Jednym z najważniejszych działań jakie wynikają z MPA w kontekście ochrony osób starszych jest tworzenie i rozwój zielono- niebieskiej infrastruktury, która stanowi jeden z najskuteczniejszych sposobów przeciwdziałania zjawisku miejskiej wyspy ciepła, także pełni szereg innych funkcji przyczyniających się do poprawy stanu zdrowia i samopoczucia tej grupy wiekowej.</w:t>
      </w:r>
    </w:p>
    <w:p w14:paraId="6EFDCBCA" w14:textId="77777777" w:rsidR="00ED1639" w:rsidRPr="00E229E0" w:rsidRDefault="00ED1639" w:rsidP="00ED1639">
      <w:pPr>
        <w:spacing w:after="0"/>
        <w:jc w:val="both"/>
        <w:rPr>
          <w:rFonts w:ascii="Times New Roman" w:hAnsi="Times New Roman" w:cs="Times New Roman"/>
          <w:sz w:val="24"/>
          <w:lang w:eastAsia="ar-SA"/>
        </w:rPr>
      </w:pPr>
    </w:p>
    <w:p w14:paraId="19800650" w14:textId="77777777" w:rsidR="00E229E0" w:rsidRPr="00E229E0" w:rsidRDefault="00E229E0" w:rsidP="00AF051D">
      <w:pPr>
        <w:spacing w:after="0"/>
        <w:jc w:val="both"/>
        <w:rPr>
          <w:rFonts w:ascii="Times New Roman" w:hAnsi="Times New Roman" w:cs="Times New Roman"/>
          <w:sz w:val="24"/>
          <w:lang w:eastAsia="ar-SA"/>
        </w:rPr>
      </w:pPr>
      <w:r w:rsidRPr="00E229E0">
        <w:rPr>
          <w:rFonts w:ascii="Times New Roman" w:hAnsi="Times New Roman" w:cs="Times New Roman"/>
          <w:sz w:val="24"/>
          <w:lang w:eastAsia="ar-SA"/>
        </w:rPr>
        <w:t xml:space="preserve">W celu ochrony terenów zurbanizowanych przed suszą, a także zjawiskiem miejskiej wyspy ciepła, jak również w celu przeciwdziałania i zapobiegania podtopieniom i powodziom miejskim, Ministerstwo Klimatu zapewniło możliwość uzyskania dofinansowania przez jednostki samorządu terytorialnego na działania związane ze zrównoważonym gospodarowaniem wodami opadowymi na terenach miejskich w ramach Programu Operacyjnego Infrastruktura i Środowisko 2014-2020 - działanie 2.1. typ 5 pn. „Systemy </w:t>
      </w:r>
      <w:r w:rsidRPr="00E229E0">
        <w:rPr>
          <w:rFonts w:ascii="Times New Roman" w:hAnsi="Times New Roman" w:cs="Times New Roman"/>
          <w:sz w:val="24"/>
          <w:lang w:eastAsia="ar-SA"/>
        </w:rPr>
        <w:lastRenderedPageBreak/>
        <w:t>gospodarowania wodami opadowymi na terenach miejskich". Jedną z ważniejszych funkcji takich systemów zrównoważonych jest zatrzymanie, retencjonowanie oraz wykorzystanie wód opadowych w miejscu ich powstania, w szczególności za pomocą metod naturalnych. Dotychczas w ramach tego typu projektów zostały zakończone 4 nabory wniosków, w wyniku których podpisano 44 umowy o dofinansowanie z beneficjentami (jednostki samorządu terytorialnego, ich związki oraz gminne jednostki organizacyjne) na kwotę dofinansowania z unijnego Funduszu Spójności sięgającą ok. 1 miliarda złotych.</w:t>
      </w:r>
    </w:p>
    <w:p w14:paraId="5F7EDD56" w14:textId="77777777" w:rsidR="008650DC" w:rsidRPr="00AF051D" w:rsidRDefault="0087360D" w:rsidP="00835584">
      <w:pPr>
        <w:pStyle w:val="Nagwek2"/>
        <w:numPr>
          <w:ilvl w:val="1"/>
          <w:numId w:val="383"/>
        </w:numPr>
        <w:spacing w:before="240" w:after="240"/>
        <w:ind w:left="-426" w:firstLine="284"/>
        <w:jc w:val="both"/>
        <w:rPr>
          <w:rFonts w:cs="Times New Roman"/>
          <w:sz w:val="40"/>
          <w:szCs w:val="28"/>
          <w:lang w:eastAsia="ar-SA"/>
        </w:rPr>
      </w:pPr>
      <w:bookmarkStart w:id="77" w:name="_Toc49171345"/>
      <w:r w:rsidRPr="00AF051D">
        <w:rPr>
          <w:rFonts w:cs="Times New Roman"/>
          <w:sz w:val="40"/>
          <w:szCs w:val="28"/>
          <w:lang w:eastAsia="ar-SA"/>
        </w:rPr>
        <w:t>Ministerstwo</w:t>
      </w:r>
      <w:r w:rsidR="00475EFA" w:rsidRPr="00AF051D">
        <w:rPr>
          <w:rFonts w:cs="Times New Roman"/>
          <w:sz w:val="40"/>
          <w:szCs w:val="28"/>
          <w:lang w:eastAsia="ar-SA"/>
        </w:rPr>
        <w:t xml:space="preserve"> Finansów</w:t>
      </w:r>
      <w:bookmarkEnd w:id="77"/>
    </w:p>
    <w:p w14:paraId="20FE27E0" w14:textId="77777777" w:rsidR="00454AE8" w:rsidRPr="00C363D3" w:rsidRDefault="00454AE8" w:rsidP="004B5289">
      <w:pPr>
        <w:pStyle w:val="Teksttreci0"/>
        <w:shd w:val="clear" w:color="auto" w:fill="auto"/>
        <w:tabs>
          <w:tab w:val="left" w:pos="1290"/>
        </w:tabs>
        <w:spacing w:after="0" w:line="276" w:lineRule="auto"/>
        <w:ind w:firstLine="0"/>
        <w:jc w:val="both"/>
        <w:rPr>
          <w:sz w:val="24"/>
        </w:rPr>
      </w:pPr>
      <w:r w:rsidRPr="00C363D3">
        <w:rPr>
          <w:color w:val="000000"/>
          <w:sz w:val="24"/>
        </w:rPr>
        <w:t>Misją Ministerstwa Finansów i Krajowej Administracji Skarbowej jest wsparcie podatników w wypełnianiu przez nich obowiązków podatkowych. W tym zakresie resort finansów wprowadza rozwiązania, które dedykowane są bezpośrednio osobom starszym. Jednym z nich jest PIT-OP, czyli oświadczenie umożliwiające rencistom i emerytom „automatyczne” rozliczenie przez organ rentowy i przekazanie 1% podatku dla wybranej Organizacji Pożytku Publicznego. Rozwiązania resortu finansów, w tym możliwość skorzystania z PIT-OP, wsparte są działaniami informacyjno-edukacyjnymi. Komunikacja z osobami starszymi wykorzystuje tradycyjne kanały komunikacji dostosowane do tej grupy odbiorców, mając na uwadze m.in. wykluczenie cyfrowe dużej części osó</w:t>
      </w:r>
      <w:r w:rsidR="00ED1639" w:rsidRPr="00C363D3">
        <w:rPr>
          <w:color w:val="000000"/>
          <w:sz w:val="24"/>
        </w:rPr>
        <w:t>b spośród tej grupy. W 2019 r.</w:t>
      </w:r>
      <w:r w:rsidRPr="00C363D3">
        <w:rPr>
          <w:color w:val="000000"/>
          <w:sz w:val="24"/>
        </w:rPr>
        <w:t xml:space="preserve"> były to m.in. następujące działania:</w:t>
      </w:r>
    </w:p>
    <w:p w14:paraId="514C8AF9" w14:textId="77777777" w:rsidR="00ED1639" w:rsidRPr="00C363D3" w:rsidRDefault="00454AE8" w:rsidP="004B5289">
      <w:pPr>
        <w:pStyle w:val="Teksttreci0"/>
        <w:numPr>
          <w:ilvl w:val="0"/>
          <w:numId w:val="330"/>
        </w:numPr>
        <w:shd w:val="clear" w:color="auto" w:fill="auto"/>
        <w:tabs>
          <w:tab w:val="left" w:pos="1646"/>
        </w:tabs>
        <w:spacing w:after="0" w:line="276" w:lineRule="auto"/>
        <w:ind w:left="360"/>
        <w:jc w:val="both"/>
        <w:rPr>
          <w:sz w:val="24"/>
        </w:rPr>
      </w:pPr>
      <w:r w:rsidRPr="00C363D3">
        <w:rPr>
          <w:color w:val="000000"/>
          <w:sz w:val="24"/>
        </w:rPr>
        <w:t>ulotki i plakaty z zakresu zagadnień podatkowych udostępnione bezpłatnie we wszystkich urzędach skarbowych na terenie kraju i w innych urzędach/instytucjach współpracujących z resortem (wśród tych materiałów znalazła się m.in. broszura poświęcona uldze rehabilitacyjnej w nakładzie ponad 160 tys.);</w:t>
      </w:r>
    </w:p>
    <w:p w14:paraId="007C610E" w14:textId="77777777" w:rsidR="00ED1639" w:rsidRPr="00C363D3" w:rsidRDefault="00454AE8" w:rsidP="004B5289">
      <w:pPr>
        <w:pStyle w:val="Teksttreci0"/>
        <w:numPr>
          <w:ilvl w:val="0"/>
          <w:numId w:val="330"/>
        </w:numPr>
        <w:shd w:val="clear" w:color="auto" w:fill="auto"/>
        <w:tabs>
          <w:tab w:val="left" w:pos="1641"/>
        </w:tabs>
        <w:spacing w:after="0" w:line="276" w:lineRule="auto"/>
        <w:ind w:left="360"/>
        <w:jc w:val="both"/>
        <w:rPr>
          <w:sz w:val="24"/>
        </w:rPr>
      </w:pPr>
      <w:r w:rsidRPr="00C363D3">
        <w:rPr>
          <w:color w:val="000000"/>
          <w:sz w:val="24"/>
        </w:rPr>
        <w:t>dodatkowe linie telefonicznie, uruchamiane w okresie rozliczeń, które pozwalały na konsultację swoich spraw podatkowych i pozyskanie niezbędnych informacji;</w:t>
      </w:r>
    </w:p>
    <w:p w14:paraId="3EA40D75" w14:textId="6740C0DA" w:rsidR="00ED1639" w:rsidRPr="00C363D3" w:rsidRDefault="00454AE8" w:rsidP="004B5289">
      <w:pPr>
        <w:pStyle w:val="Teksttreci0"/>
        <w:numPr>
          <w:ilvl w:val="0"/>
          <w:numId w:val="330"/>
        </w:numPr>
        <w:shd w:val="clear" w:color="auto" w:fill="auto"/>
        <w:tabs>
          <w:tab w:val="left" w:pos="1641"/>
        </w:tabs>
        <w:spacing w:after="0" w:line="276" w:lineRule="auto"/>
        <w:ind w:left="360"/>
        <w:jc w:val="both"/>
        <w:rPr>
          <w:sz w:val="24"/>
        </w:rPr>
      </w:pPr>
      <w:r w:rsidRPr="00C363D3">
        <w:rPr>
          <w:color w:val="000000"/>
          <w:sz w:val="24"/>
        </w:rPr>
        <w:t>plasowanie w słuchowisku radiowym Polskiego Radia „</w:t>
      </w:r>
      <w:r w:rsidR="004B5289">
        <w:rPr>
          <w:color w:val="000000"/>
          <w:sz w:val="24"/>
        </w:rPr>
        <w:t>W Jezioranach</w:t>
      </w:r>
      <w:r w:rsidRPr="00C363D3">
        <w:rPr>
          <w:color w:val="000000"/>
          <w:sz w:val="24"/>
        </w:rPr>
        <w:t>”, którego największą grupą odbiorców są właśnie osoby starsze, dedykowanych im informacji m.in. o nowych usługach i o tym w jaki sposób przekazać 1% podatku nie rezygnując z możliwości rozliczenia przez organ rentowy;</w:t>
      </w:r>
    </w:p>
    <w:p w14:paraId="36A52443" w14:textId="77777777" w:rsidR="00454AE8" w:rsidRPr="00C363D3" w:rsidRDefault="00454AE8" w:rsidP="004B5289">
      <w:pPr>
        <w:pStyle w:val="Teksttreci0"/>
        <w:numPr>
          <w:ilvl w:val="0"/>
          <w:numId w:val="330"/>
        </w:numPr>
        <w:shd w:val="clear" w:color="auto" w:fill="auto"/>
        <w:tabs>
          <w:tab w:val="left" w:pos="1641"/>
        </w:tabs>
        <w:spacing w:after="0" w:line="276" w:lineRule="auto"/>
        <w:ind w:left="360"/>
        <w:jc w:val="both"/>
        <w:rPr>
          <w:sz w:val="24"/>
        </w:rPr>
      </w:pPr>
      <w:r w:rsidRPr="00C363D3">
        <w:rPr>
          <w:color w:val="000000"/>
          <w:sz w:val="24"/>
        </w:rPr>
        <w:t>poradniki w prasie wysokonakładowej napisane prostym językiem z przykładami i z informacjami dedykowanymi osobom starszym.</w:t>
      </w:r>
    </w:p>
    <w:p w14:paraId="786CECB6" w14:textId="77777777" w:rsidR="00ED1639" w:rsidRPr="00C363D3" w:rsidRDefault="00ED1639" w:rsidP="00ED1639">
      <w:pPr>
        <w:pStyle w:val="Teksttreci0"/>
        <w:shd w:val="clear" w:color="auto" w:fill="auto"/>
        <w:spacing w:after="0" w:line="276" w:lineRule="auto"/>
        <w:ind w:right="20" w:firstLine="0"/>
        <w:jc w:val="both"/>
        <w:rPr>
          <w:color w:val="000000"/>
          <w:sz w:val="24"/>
        </w:rPr>
      </w:pPr>
    </w:p>
    <w:p w14:paraId="05C2022C" w14:textId="77777777" w:rsidR="00454AE8" w:rsidRPr="00C363D3" w:rsidRDefault="00454AE8" w:rsidP="00ED1639">
      <w:pPr>
        <w:pStyle w:val="Teksttreci0"/>
        <w:shd w:val="clear" w:color="auto" w:fill="auto"/>
        <w:spacing w:after="0" w:line="276" w:lineRule="auto"/>
        <w:ind w:right="20" w:firstLine="0"/>
        <w:jc w:val="both"/>
        <w:rPr>
          <w:sz w:val="24"/>
        </w:rPr>
      </w:pPr>
      <w:r w:rsidRPr="00C363D3">
        <w:rPr>
          <w:color w:val="000000"/>
          <w:sz w:val="24"/>
        </w:rPr>
        <w:t xml:space="preserve">Ministerstwo Finansów (MF) jest reprezentowane w Międzynarodowej Sieci Edukacji Finansowej OECD (OECD/INFE) poprzez zaangażowanie w prace grup roboczych, wśród których jest grupa ds. </w:t>
      </w:r>
      <w:r w:rsidRPr="00C363D3">
        <w:rPr>
          <w:rStyle w:val="TeksttreciKursywa"/>
          <w:sz w:val="24"/>
        </w:rPr>
        <w:t>edukacji finansowej w kontekście starzejącego się społeczeństwa.</w:t>
      </w:r>
      <w:r w:rsidRPr="00C363D3">
        <w:rPr>
          <w:color w:val="000000"/>
          <w:sz w:val="24"/>
        </w:rPr>
        <w:t xml:space="preserve"> Przedstawiciele MF włączeni są w prace nad dokumentem dotyczącym tematu dobrobytu finansowego osób starszych. Jednym z zadań, w ramach pracy w grupie w 2019</w:t>
      </w:r>
      <w:r w:rsidR="00ED1639" w:rsidRPr="00C363D3">
        <w:rPr>
          <w:color w:val="000000"/>
          <w:sz w:val="24"/>
        </w:rPr>
        <w:t xml:space="preserve"> r.</w:t>
      </w:r>
      <w:r w:rsidRPr="00C363D3">
        <w:rPr>
          <w:color w:val="000000"/>
          <w:sz w:val="24"/>
        </w:rPr>
        <w:t xml:space="preserve">, było zebranie i analiza informacji na temat edukacji finansowej osób starszych w Polsce oferowanej przez instytucje publiczne. Efektem prac grupy roboczej będzie dokument zawierający wytyczne do realizacji polityk publicznych w zakresie edukacji finansowej tej grupy osób i </w:t>
      </w:r>
      <w:r w:rsidRPr="00C363D3">
        <w:rPr>
          <w:color w:val="000000"/>
          <w:sz w:val="24"/>
        </w:rPr>
        <w:lastRenderedPageBreak/>
        <w:t>dobre praktyki. Doświadczenia członków grupy pokazują, że wyzwaniem jest dotarcie do osób starszych z informacjami, szczególnie w bieżącej sytuacji.</w:t>
      </w:r>
    </w:p>
    <w:p w14:paraId="7EDA15CA" w14:textId="77777777" w:rsidR="00ED1639" w:rsidRPr="00C363D3" w:rsidRDefault="00ED1639" w:rsidP="00ED1639">
      <w:pPr>
        <w:pStyle w:val="Teksttreci0"/>
        <w:shd w:val="clear" w:color="auto" w:fill="auto"/>
        <w:tabs>
          <w:tab w:val="left" w:pos="346"/>
        </w:tabs>
        <w:spacing w:after="0" w:line="276" w:lineRule="auto"/>
        <w:ind w:right="20" w:firstLine="0"/>
        <w:jc w:val="both"/>
        <w:rPr>
          <w:color w:val="000000"/>
          <w:sz w:val="24"/>
        </w:rPr>
      </w:pPr>
    </w:p>
    <w:p w14:paraId="0F82F559" w14:textId="77777777" w:rsidR="00454AE8" w:rsidRPr="00C363D3" w:rsidRDefault="00454AE8" w:rsidP="00ED1639">
      <w:pPr>
        <w:pStyle w:val="Teksttreci0"/>
        <w:shd w:val="clear" w:color="auto" w:fill="auto"/>
        <w:tabs>
          <w:tab w:val="left" w:pos="346"/>
        </w:tabs>
        <w:spacing w:after="0" w:line="276" w:lineRule="auto"/>
        <w:ind w:right="20" w:firstLine="0"/>
        <w:jc w:val="both"/>
        <w:rPr>
          <w:sz w:val="24"/>
        </w:rPr>
      </w:pPr>
      <w:r w:rsidRPr="00C363D3">
        <w:rPr>
          <w:color w:val="000000"/>
          <w:sz w:val="24"/>
        </w:rPr>
        <w:t xml:space="preserve">Przedstawiciele Ministerstwa Finansów są </w:t>
      </w:r>
      <w:r w:rsidR="00ED1639" w:rsidRPr="00C363D3">
        <w:rPr>
          <w:color w:val="000000"/>
          <w:sz w:val="24"/>
        </w:rPr>
        <w:t xml:space="preserve">także </w:t>
      </w:r>
      <w:r w:rsidRPr="00C363D3">
        <w:rPr>
          <w:color w:val="000000"/>
          <w:sz w:val="24"/>
        </w:rPr>
        <w:t>członkami Rady Edukacji Finansowej. Jednym z zadań Rady jest wyznaczanie kierunków i sposobów realizacji zadań Funduszu Edukacji Finansowej. Osoby starsze są jedną z grup odbiorców, do których będą adresowane działania edukacyjne.</w:t>
      </w:r>
    </w:p>
    <w:p w14:paraId="2E0B20B0" w14:textId="77777777" w:rsidR="00C363D3" w:rsidRPr="00C363D3" w:rsidRDefault="00C363D3" w:rsidP="00ED1639">
      <w:pPr>
        <w:pStyle w:val="Teksttreci0"/>
        <w:shd w:val="clear" w:color="auto" w:fill="auto"/>
        <w:tabs>
          <w:tab w:val="left" w:pos="355"/>
        </w:tabs>
        <w:spacing w:after="0" w:line="276" w:lineRule="auto"/>
        <w:ind w:right="20" w:firstLine="0"/>
        <w:jc w:val="both"/>
        <w:rPr>
          <w:color w:val="000000"/>
          <w:sz w:val="24"/>
        </w:rPr>
      </w:pPr>
    </w:p>
    <w:p w14:paraId="7BF1D31B" w14:textId="77777777" w:rsidR="00454AE8" w:rsidRPr="00C363D3" w:rsidRDefault="00454AE8" w:rsidP="00ED1639">
      <w:pPr>
        <w:pStyle w:val="Teksttreci0"/>
        <w:shd w:val="clear" w:color="auto" w:fill="auto"/>
        <w:tabs>
          <w:tab w:val="left" w:pos="355"/>
        </w:tabs>
        <w:spacing w:after="0" w:line="276" w:lineRule="auto"/>
        <w:ind w:right="20" w:firstLine="0"/>
        <w:jc w:val="both"/>
        <w:rPr>
          <w:sz w:val="24"/>
        </w:rPr>
      </w:pPr>
      <w:r w:rsidRPr="00C363D3">
        <w:rPr>
          <w:color w:val="000000"/>
          <w:sz w:val="24"/>
        </w:rPr>
        <w:t>Osoby starsze to liczna grupa społeczna, która wymaga ułatwień w korzystaniu z Internetu (serwisy internetowe i usługowe). Jest to szczególnie ważne w przypadku administracji publicznej, do serwisów których każdy obywatel powinien mieć swobodny dostęp. Ministerstwo Finansów zrealizowało następujące działania, z zakresu dostępności cyfrowej:</w:t>
      </w:r>
    </w:p>
    <w:p w14:paraId="073CA47B" w14:textId="77777777" w:rsidR="00C363D3" w:rsidRPr="00C363D3" w:rsidRDefault="00454AE8" w:rsidP="008C71A9">
      <w:pPr>
        <w:pStyle w:val="Teksttreci0"/>
        <w:numPr>
          <w:ilvl w:val="0"/>
          <w:numId w:val="331"/>
        </w:numPr>
        <w:shd w:val="clear" w:color="auto" w:fill="auto"/>
        <w:tabs>
          <w:tab w:val="left" w:pos="701"/>
        </w:tabs>
        <w:spacing w:after="0" w:line="276" w:lineRule="auto"/>
        <w:ind w:left="360" w:right="20"/>
        <w:jc w:val="both"/>
        <w:rPr>
          <w:sz w:val="24"/>
        </w:rPr>
      </w:pPr>
      <w:r w:rsidRPr="00C363D3">
        <w:rPr>
          <w:color w:val="000000"/>
          <w:sz w:val="24"/>
        </w:rPr>
        <w:t xml:space="preserve">zgłosiło stronę </w:t>
      </w:r>
      <w:hyperlink r:id="rId17" w:history="1">
        <w:r w:rsidRPr="00C363D3">
          <w:rPr>
            <w:rStyle w:val="Hipercze"/>
            <w:sz w:val="24"/>
            <w:lang w:val="en-US"/>
          </w:rPr>
          <w:t>www.podatki.gov.pl</w:t>
        </w:r>
      </w:hyperlink>
      <w:r w:rsidRPr="00C363D3">
        <w:rPr>
          <w:color w:val="000000"/>
          <w:sz w:val="24"/>
          <w:lang w:val="en-US"/>
        </w:rPr>
        <w:t xml:space="preserve"> </w:t>
      </w:r>
      <w:r w:rsidRPr="00C363D3">
        <w:rPr>
          <w:color w:val="000000"/>
          <w:sz w:val="24"/>
        </w:rPr>
        <w:t>do konkursu „Strona internetowa Bez Barier” organizowanego przez Fundację Widzialni i Szerokie Porozumienie na Rzecz Umiejętności Cyfrowych. Zgłoszenie strony zostało poprzedzone wewnętrznym przeglądem pod kątem jej dostępności dla osób starszych i niepełnosprawnych. Serwis otrzymał w 2019 r. wyróżnienie w konkursie. Celem konkursu jest wyróżnianie organizacji, firm i instytucji, które posiadają serwisy internetowe najlepiej dostosowane m.in. do potrzeb osób starszych i pozostałych narażonych na wykluczenie cyfrowe.</w:t>
      </w:r>
    </w:p>
    <w:p w14:paraId="3C7EA4ED" w14:textId="77777777" w:rsidR="00454AE8" w:rsidRPr="00C363D3" w:rsidRDefault="00454AE8" w:rsidP="008C71A9">
      <w:pPr>
        <w:pStyle w:val="Teksttreci0"/>
        <w:numPr>
          <w:ilvl w:val="0"/>
          <w:numId w:val="331"/>
        </w:numPr>
        <w:shd w:val="clear" w:color="auto" w:fill="auto"/>
        <w:tabs>
          <w:tab w:val="left" w:pos="701"/>
        </w:tabs>
        <w:spacing w:after="0" w:line="276" w:lineRule="auto"/>
        <w:ind w:left="360" w:right="20"/>
        <w:jc w:val="both"/>
        <w:rPr>
          <w:sz w:val="24"/>
        </w:rPr>
      </w:pPr>
      <w:r w:rsidRPr="00C363D3">
        <w:rPr>
          <w:color w:val="000000"/>
          <w:sz w:val="24"/>
        </w:rPr>
        <w:t>przy publikacji informacji na swoich serwisach internetowych czy mediach społecznościowych zwraca szczególną uwagę na to, aby zamieszczane tam treści były napisane zgodnie z zasadami prostego języka, zgodnie z zasadami redakcyjnymi (np. posiadały odpowiednią strukturę nagłówkową w treści, teksty alternatywne do materiałów graficznych, materiały video były z audiodeskrypcją lub deskrypcją tekstową) i były dostępne dla jak najszerszego grona odbiorców, w tym osób starszych.</w:t>
      </w:r>
    </w:p>
    <w:p w14:paraId="6189F24F" w14:textId="77777777" w:rsidR="00B90E75" w:rsidRPr="00AF051D" w:rsidRDefault="0087360D" w:rsidP="00835584">
      <w:pPr>
        <w:pStyle w:val="Nagwek2"/>
        <w:numPr>
          <w:ilvl w:val="1"/>
          <w:numId w:val="383"/>
        </w:numPr>
        <w:spacing w:before="240" w:after="240"/>
        <w:ind w:left="0" w:hanging="142"/>
        <w:rPr>
          <w:rFonts w:cs="Times New Roman"/>
          <w:sz w:val="40"/>
          <w:lang w:eastAsia="ar-SA"/>
        </w:rPr>
      </w:pPr>
      <w:bookmarkStart w:id="78" w:name="_Toc49171346"/>
      <w:r w:rsidRPr="00AF051D">
        <w:rPr>
          <w:rFonts w:cs="Times New Roman"/>
          <w:sz w:val="40"/>
          <w:lang w:eastAsia="ar-SA"/>
        </w:rPr>
        <w:t>Ministerstwo</w:t>
      </w:r>
      <w:r w:rsidR="00475EFA" w:rsidRPr="00AF051D">
        <w:rPr>
          <w:rFonts w:cs="Times New Roman"/>
          <w:sz w:val="40"/>
          <w:lang w:eastAsia="ar-SA"/>
        </w:rPr>
        <w:t xml:space="preserve"> Zdrowia</w:t>
      </w:r>
      <w:bookmarkEnd w:id="78"/>
    </w:p>
    <w:p w14:paraId="0421B537" w14:textId="77777777" w:rsidR="00B90E75" w:rsidRPr="00B90E75" w:rsidRDefault="00B90E75" w:rsidP="00C363D3">
      <w:pPr>
        <w:spacing w:after="0"/>
        <w:jc w:val="both"/>
        <w:rPr>
          <w:rFonts w:ascii="Times New Roman" w:eastAsia="Calibri" w:hAnsi="Times New Roman" w:cs="Times New Roman"/>
          <w:sz w:val="24"/>
          <w:szCs w:val="24"/>
        </w:rPr>
      </w:pPr>
      <w:r w:rsidRPr="00B90E75">
        <w:rPr>
          <w:rFonts w:ascii="Times New Roman" w:hAnsi="Times New Roman" w:cs="Times New Roman"/>
          <w:sz w:val="24"/>
          <w:szCs w:val="24"/>
        </w:rPr>
        <w:t>Świadomość zachodzących zmian demograficznych i rosnącego udziału populacji osób 60+ w polskim społeczeństwie, a w związku z tym także ryzyka rosnącego obciążenia dla systemów opieki zdrowotnej i pomocy społecznej w kolejnych latach, sprawia, że szczególny nacisk kładziony jest na działania z zakresu profilaktyki oraz promocji zdrowia wdrażane na wcześniejszych etapach życia. Zatem mówiąc o działaniach mających na celu poprawę stanu zdrowia osób starszych należy zwrócić uwagę, iż zachodzące procesy demograficzne stanowią wyzwania dla systemu opieki zdrowotnej i powodują konieczność zarówno:</w:t>
      </w:r>
      <w:r w:rsidRPr="00B90E75">
        <w:rPr>
          <w:rFonts w:ascii="Times New Roman" w:eastAsia="Calibri" w:hAnsi="Times New Roman" w:cs="Times New Roman"/>
          <w:sz w:val="24"/>
          <w:szCs w:val="24"/>
        </w:rPr>
        <w:t xml:space="preserve"> </w:t>
      </w:r>
    </w:p>
    <w:p w14:paraId="1C31C3C4" w14:textId="77777777" w:rsidR="00B90E75" w:rsidRPr="00B90E75" w:rsidRDefault="00B90E75" w:rsidP="008C71A9">
      <w:pPr>
        <w:numPr>
          <w:ilvl w:val="0"/>
          <w:numId w:val="274"/>
        </w:numPr>
        <w:spacing w:after="0"/>
        <w:contextualSpacing/>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 xml:space="preserve">odpowiedniego projektowania rozwiązań ukierunkowanych na potrzeby osób starszych, </w:t>
      </w:r>
    </w:p>
    <w:p w14:paraId="3C30064D" w14:textId="77777777" w:rsidR="00B90E75" w:rsidRPr="00B90E75" w:rsidRDefault="00B90E75" w:rsidP="008C71A9">
      <w:pPr>
        <w:numPr>
          <w:ilvl w:val="0"/>
          <w:numId w:val="274"/>
        </w:numPr>
        <w:spacing w:after="0"/>
        <w:contextualSpacing/>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 xml:space="preserve">wdrożenia odpowiednich działań profilaktycznych i działań z zakresu promocji zdrowia, </w:t>
      </w:r>
    </w:p>
    <w:p w14:paraId="196E987C" w14:textId="77777777" w:rsidR="00276E89" w:rsidRDefault="00B90E75" w:rsidP="00276E89">
      <w:pPr>
        <w:spacing w:after="0"/>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aby kolejne roczniki wchodziły w wiek senioralny coraz zdrowsze oraz coraz bardziej świadome czynników determinujących ich stan zdrowia w przyszłości.</w:t>
      </w:r>
    </w:p>
    <w:p w14:paraId="42DC7EB9" w14:textId="77777777" w:rsidR="00B35C71" w:rsidRDefault="00B35C71" w:rsidP="003C1988">
      <w:pPr>
        <w:spacing w:after="0"/>
        <w:rPr>
          <w:rFonts w:ascii="Times New Roman" w:hAnsi="Times New Roman" w:cs="Times New Roman"/>
          <w:b/>
          <w:color w:val="00B0F0"/>
          <w:sz w:val="24"/>
          <w:szCs w:val="24"/>
          <w:lang w:eastAsia="pl-PL"/>
        </w:rPr>
      </w:pPr>
    </w:p>
    <w:p w14:paraId="1FF66975" w14:textId="77777777" w:rsidR="00B35C71" w:rsidRPr="00F70044" w:rsidRDefault="00B90E75" w:rsidP="00F70044">
      <w:pPr>
        <w:spacing w:after="0"/>
        <w:rPr>
          <w:rStyle w:val="Odwoaniedelikatne"/>
          <w:rFonts w:ascii="Times New Roman" w:hAnsi="Times New Roman" w:cs="Times New Roman"/>
          <w:bCs w:val="0"/>
          <w:color w:val="00B0F0"/>
          <w:sz w:val="24"/>
          <w:szCs w:val="24"/>
          <w:lang w:eastAsia="pl-PL"/>
        </w:rPr>
      </w:pPr>
      <w:r w:rsidRPr="003C1988">
        <w:rPr>
          <w:rFonts w:ascii="Times New Roman" w:hAnsi="Times New Roman" w:cs="Times New Roman"/>
          <w:b/>
          <w:color w:val="00B0F0"/>
          <w:sz w:val="24"/>
          <w:szCs w:val="24"/>
          <w:lang w:eastAsia="pl-PL"/>
        </w:rPr>
        <w:lastRenderedPageBreak/>
        <w:t>Działania</w:t>
      </w:r>
      <w:r w:rsidR="00B35C71">
        <w:rPr>
          <w:rFonts w:ascii="Times New Roman" w:hAnsi="Times New Roman" w:cs="Times New Roman"/>
          <w:b/>
          <w:color w:val="00B0F0"/>
          <w:sz w:val="24"/>
          <w:szCs w:val="24"/>
          <w:lang w:eastAsia="pl-PL"/>
        </w:rPr>
        <w:t xml:space="preserve"> z zakresu profilaktyki zdrowia</w:t>
      </w:r>
    </w:p>
    <w:p w14:paraId="4B3876B5" w14:textId="77777777" w:rsidR="00B90E75" w:rsidRPr="00B35C71" w:rsidRDefault="00B90E75" w:rsidP="00B35C71">
      <w:pPr>
        <w:tabs>
          <w:tab w:val="left" w:pos="5400"/>
        </w:tabs>
        <w:spacing w:after="0"/>
        <w:jc w:val="both"/>
        <w:rPr>
          <w:rStyle w:val="Odwoaniedelikatne"/>
          <w:rFonts w:ascii="Times New Roman" w:hAnsi="Times New Roman" w:cs="Times New Roman"/>
          <w:color w:val="auto"/>
          <w:sz w:val="24"/>
          <w:szCs w:val="24"/>
        </w:rPr>
      </w:pPr>
      <w:r w:rsidRPr="00B35C71">
        <w:rPr>
          <w:rStyle w:val="Odwoaniedelikatne"/>
          <w:rFonts w:ascii="Times New Roman" w:hAnsi="Times New Roman" w:cs="Times New Roman"/>
          <w:color w:val="auto"/>
          <w:sz w:val="24"/>
          <w:szCs w:val="24"/>
        </w:rPr>
        <w:t>Realizacja Narodowego Programu Zdrowia na lata 2016-2020</w:t>
      </w:r>
    </w:p>
    <w:p w14:paraId="502EE95A" w14:textId="77777777" w:rsidR="00B90E75" w:rsidRPr="00B90E75" w:rsidRDefault="00B90E75" w:rsidP="00C363D3">
      <w:pPr>
        <w:widowControl w:val="0"/>
        <w:spacing w:after="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Ministerstwo Zdrowia, dostrzegając wzrastające potrzeby zdrowotne osób w starszym wieku, koncentruje się nie tylko na zapewnieniu właściwej dostępności i jakości udzielanych świadczeń medycznych, ale również podejmuje zadania ukierunkowane na profilaktykę i promocję zdrowia w społeczeństwie. Jednym z priorytetów Ministerstwa jest poprawa zdrowia Polaków i zapobieganie chorobom m.in. poprzez edukację zdrowotną i promowanie zdrowego stylu życia. </w:t>
      </w:r>
    </w:p>
    <w:p w14:paraId="32BAF53E" w14:textId="77777777" w:rsidR="00B90E75" w:rsidRPr="00B90E75" w:rsidRDefault="00B90E75" w:rsidP="00C363D3">
      <w:pPr>
        <w:widowControl w:val="0"/>
        <w:spacing w:after="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Zadania na rzecz promocji zdrowia oraz profilaktyki zdrowotnej osób starszych realizowane są na mocy </w:t>
      </w:r>
      <w:r w:rsidRPr="00B90E75">
        <w:rPr>
          <w:rFonts w:ascii="Times New Roman" w:eastAsia="Times New Roman" w:hAnsi="Times New Roman" w:cs="Times New Roman"/>
          <w:i/>
          <w:iCs/>
          <w:color w:val="000000"/>
          <w:sz w:val="24"/>
          <w:szCs w:val="24"/>
          <w:lang w:eastAsia="pl-PL" w:bidi="pl-PL"/>
        </w:rPr>
        <w:t>ustawy z dnia 11 września 2015 r. o zdrowiu publicznym</w:t>
      </w:r>
      <w:r w:rsidRPr="00B90E75">
        <w:rPr>
          <w:rFonts w:ascii="Times New Roman" w:eastAsia="Times New Roman" w:hAnsi="Times New Roman" w:cs="Times New Roman"/>
          <w:color w:val="000000"/>
          <w:sz w:val="24"/>
          <w:szCs w:val="24"/>
          <w:lang w:eastAsia="pl-PL" w:bidi="pl-PL"/>
        </w:rPr>
        <w:t xml:space="preserve"> (Dz. U. z 2018 r. poz. 1492 oraz z 2019 r. poz. 447) oraz </w:t>
      </w:r>
      <w:r w:rsidRPr="00B90E75">
        <w:rPr>
          <w:rFonts w:ascii="Times New Roman" w:eastAsia="Times New Roman" w:hAnsi="Times New Roman" w:cs="Times New Roman"/>
          <w:i/>
          <w:iCs/>
          <w:color w:val="000000"/>
          <w:sz w:val="24"/>
          <w:szCs w:val="24"/>
          <w:lang w:eastAsia="pl-PL" w:bidi="pl-PL"/>
        </w:rPr>
        <w:t xml:space="preserve">rozporządzenia Rady Ministrów z dnia 4 sierpnia 2016 r. w sprawie </w:t>
      </w:r>
      <w:r w:rsidRPr="00B90E75">
        <w:rPr>
          <w:rFonts w:ascii="Times New Roman" w:eastAsia="Times New Roman" w:hAnsi="Times New Roman" w:cs="Times New Roman"/>
          <w:b/>
          <w:bCs/>
          <w:i/>
          <w:iCs/>
          <w:color w:val="000000"/>
          <w:sz w:val="24"/>
          <w:szCs w:val="24"/>
          <w:lang w:eastAsia="pl-PL" w:bidi="pl-PL"/>
        </w:rPr>
        <w:t>Narodowego Programu Zdrowia na lata 2016-2020</w:t>
      </w:r>
      <w:r w:rsidRPr="00B90E75">
        <w:rPr>
          <w:rStyle w:val="Odwoanieprzypisudolnego"/>
          <w:rFonts w:ascii="Times New Roman" w:eastAsia="Times New Roman" w:hAnsi="Times New Roman" w:cs="Times New Roman"/>
          <w:b/>
          <w:bCs/>
          <w:i/>
          <w:iCs/>
          <w:color w:val="000000"/>
          <w:sz w:val="24"/>
          <w:szCs w:val="24"/>
          <w:lang w:eastAsia="pl-PL" w:bidi="pl-PL"/>
        </w:rPr>
        <w:footnoteReference w:id="31"/>
      </w:r>
      <w:r w:rsidRPr="00B90E75">
        <w:rPr>
          <w:rFonts w:ascii="Times New Roman" w:eastAsia="Times New Roman" w:hAnsi="Times New Roman" w:cs="Times New Roman"/>
          <w:color w:val="000000"/>
          <w:sz w:val="24"/>
          <w:szCs w:val="24"/>
          <w:lang w:eastAsia="pl-PL" w:bidi="pl-PL"/>
        </w:rPr>
        <w:t>. W </w:t>
      </w:r>
      <w:r w:rsidRPr="00B90E75">
        <w:rPr>
          <w:rFonts w:ascii="Times New Roman" w:eastAsia="Times New Roman" w:hAnsi="Times New Roman" w:cs="Times New Roman"/>
          <w:b/>
          <w:bCs/>
          <w:i/>
          <w:iCs/>
          <w:color w:val="000000"/>
          <w:sz w:val="24"/>
          <w:szCs w:val="24"/>
          <w:lang w:eastAsia="pl-PL" w:bidi="pl-PL"/>
        </w:rPr>
        <w:t>Narodowym Programie Zdrowia na lata 2016–2020 (NPZ)</w:t>
      </w:r>
      <w:r w:rsidRPr="00B90E75">
        <w:rPr>
          <w:rFonts w:ascii="Times New Roman" w:eastAsia="Times New Roman" w:hAnsi="Times New Roman" w:cs="Times New Roman"/>
          <w:i/>
          <w:iCs/>
          <w:color w:val="000000"/>
          <w:sz w:val="24"/>
          <w:szCs w:val="24"/>
          <w:lang w:eastAsia="pl-PL" w:bidi="pl-PL"/>
        </w:rPr>
        <w:t>, </w:t>
      </w:r>
      <w:r w:rsidRPr="00B90E75">
        <w:rPr>
          <w:rFonts w:ascii="Times New Roman" w:eastAsia="Times New Roman" w:hAnsi="Times New Roman" w:cs="Times New Roman"/>
          <w:color w:val="000000"/>
          <w:sz w:val="24"/>
          <w:szCs w:val="24"/>
          <w:lang w:eastAsia="pl-PL" w:bidi="pl-PL"/>
        </w:rPr>
        <w:t xml:space="preserve"> wydzielony został cel operacyjny dedykowany obecnym i przyszłym osobom starszym – </w:t>
      </w:r>
      <w:r w:rsidRPr="00B90E75">
        <w:rPr>
          <w:rFonts w:ascii="Times New Roman" w:eastAsia="Times New Roman" w:hAnsi="Times New Roman" w:cs="Times New Roman"/>
          <w:b/>
          <w:bCs/>
          <w:color w:val="000000"/>
          <w:sz w:val="24"/>
          <w:szCs w:val="24"/>
          <w:lang w:eastAsia="pl-PL" w:bidi="pl-PL"/>
        </w:rPr>
        <w:t>Promocja zdrowego i aktywnego starzenia się</w:t>
      </w:r>
      <w:r w:rsidRPr="00B90E75">
        <w:rPr>
          <w:rFonts w:ascii="Times New Roman" w:eastAsia="Times New Roman" w:hAnsi="Times New Roman" w:cs="Times New Roman"/>
          <w:color w:val="000000"/>
          <w:sz w:val="24"/>
          <w:szCs w:val="24"/>
          <w:lang w:eastAsia="pl-PL" w:bidi="pl-PL"/>
        </w:rPr>
        <w:t xml:space="preserve">. </w:t>
      </w:r>
    </w:p>
    <w:p w14:paraId="495F134E" w14:textId="77777777" w:rsidR="00B90E75" w:rsidRPr="00B90E75" w:rsidRDefault="00B90E75" w:rsidP="00C363D3">
      <w:pPr>
        <w:widowControl w:val="0"/>
        <w:spacing w:after="0"/>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W 2019 r. w ramach NPZ prowadzone były m.in. następujące działania z</w:t>
      </w:r>
      <w:r w:rsidRPr="00B90E75">
        <w:rPr>
          <w:rFonts w:ascii="Times New Roman" w:eastAsia="Calibri" w:hAnsi="Times New Roman" w:cs="Times New Roman"/>
          <w:sz w:val="24"/>
          <w:szCs w:val="24"/>
        </w:rPr>
        <w:t xml:space="preserve"> </w:t>
      </w:r>
      <w:r w:rsidRPr="00B90E75">
        <w:rPr>
          <w:rFonts w:ascii="Times New Roman" w:eastAsia="Times New Roman" w:hAnsi="Times New Roman" w:cs="Times New Roman"/>
          <w:color w:val="000000"/>
          <w:sz w:val="24"/>
          <w:szCs w:val="24"/>
          <w:lang w:eastAsia="pl-PL" w:bidi="pl-PL"/>
        </w:rPr>
        <w:t>zakresu profilaktyki i promocji zdrowia skierowane bezpośrednio lub pośrednio do osób starszych:</w:t>
      </w:r>
    </w:p>
    <w:p w14:paraId="5F74719F" w14:textId="77777777" w:rsidR="00B90E75" w:rsidRPr="00B35C71" w:rsidRDefault="00B90E75" w:rsidP="008C71A9">
      <w:pPr>
        <w:pStyle w:val="Akapitzlist"/>
        <w:widowControl w:val="0"/>
        <w:numPr>
          <w:ilvl w:val="0"/>
          <w:numId w:val="247"/>
        </w:numPr>
        <w:spacing w:after="0"/>
        <w:jc w:val="both"/>
        <w:rPr>
          <w:rFonts w:ascii="Times New Roman" w:eastAsia="Times New Roman" w:hAnsi="Times New Roman" w:cs="Times New Roman"/>
          <w:sz w:val="24"/>
          <w:szCs w:val="24"/>
        </w:rPr>
      </w:pPr>
      <w:r w:rsidRPr="00B35C71">
        <w:rPr>
          <w:rFonts w:ascii="Times New Roman" w:eastAsia="Times New Roman" w:hAnsi="Times New Roman" w:cs="Times New Roman"/>
          <w:color w:val="000000"/>
          <w:sz w:val="24"/>
          <w:szCs w:val="24"/>
          <w:lang w:eastAsia="pl-PL" w:bidi="pl-PL"/>
        </w:rPr>
        <w:t>Edukacja zdrowotna w profilaktyce urazów i w promocji bezpieczeństwa</w:t>
      </w:r>
    </w:p>
    <w:p w14:paraId="1137DC3F" w14:textId="77777777" w:rsidR="00B90E75" w:rsidRPr="00B90E75" w:rsidRDefault="00B90E75" w:rsidP="008C71A9">
      <w:pPr>
        <w:widowControl w:val="0"/>
        <w:numPr>
          <w:ilvl w:val="0"/>
          <w:numId w:val="248"/>
        </w:numPr>
        <w:spacing w:after="0"/>
        <w:ind w:left="643"/>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realizator: Narodowy Instytut Zdrowia Publicznego – Państwowy Zakład Higieny</w:t>
      </w:r>
    </w:p>
    <w:p w14:paraId="27091D8D" w14:textId="77777777" w:rsidR="00B90E75" w:rsidRPr="00B90E75" w:rsidRDefault="00B90E75" w:rsidP="008C71A9">
      <w:pPr>
        <w:widowControl w:val="0"/>
        <w:numPr>
          <w:ilvl w:val="0"/>
          <w:numId w:val="248"/>
        </w:numPr>
        <w:spacing w:after="0"/>
        <w:ind w:left="643"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Realizacja zadania ma na celu pozyskanie danych na temat występowania urazów wśród osób starszych, podniesienie wiedzy opiekunów osób starszych na temat profilaktyki urazów wśród osób 60+, a także wypracowanie standardów projektowania obiektów dostosowanych do potrzeb tej grupy.</w:t>
      </w:r>
    </w:p>
    <w:p w14:paraId="23BF7AB3" w14:textId="77777777" w:rsidR="00B90E75" w:rsidRPr="00B90E75" w:rsidRDefault="00B90E75" w:rsidP="008C71A9">
      <w:pPr>
        <w:widowControl w:val="0"/>
        <w:numPr>
          <w:ilvl w:val="0"/>
          <w:numId w:val="248"/>
        </w:numPr>
        <w:spacing w:after="0"/>
        <w:ind w:left="643"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W 2019 r. w ramach zadania Realizator opracował materiały dotyczące m.in. epidemiologii i demografii urazów osób w wieku 60+, profilaktyki urazów wśród tej grupy docelowej, czynności usprawniających i rehabilitacji ruchowej dla seniorów, a także wytyczne do opracowania standardów do projektowania i wyposażenia obiektów dla seniorów. Ponadto, przeprowadzono kampanię mającą na celu zachęcenie osób starszych i ich opiekunów do zachowań profilaktycznych, które zminimalizują ryzyko urazów w miejscu zamieszkania oraz zorganizowano warsztaty edukacyjne dla opiekunów osób starszych, pielęgniarek i pracowników pomocy społecznej. Tematyka warsztatów dotyczyła przede wszystkim profilaktyki upadków. W 2019 roku z</w:t>
      </w:r>
      <w:r w:rsidRPr="00B90E75">
        <w:rPr>
          <w:rFonts w:ascii="Times New Roman" w:eastAsia="Calibri" w:hAnsi="Times New Roman" w:cs="Times New Roman"/>
          <w:sz w:val="24"/>
          <w:szCs w:val="24"/>
        </w:rPr>
        <w:t>organizowano 7 warsztatów edukacyjnych. Łącznie przeszkolono 442 osoby.</w:t>
      </w:r>
    </w:p>
    <w:p w14:paraId="03D2DBA7" w14:textId="77777777" w:rsidR="00B90E75" w:rsidRPr="00B35C71" w:rsidRDefault="00B90E75" w:rsidP="008C71A9">
      <w:pPr>
        <w:pStyle w:val="Akapitzlist"/>
        <w:widowControl w:val="0"/>
        <w:numPr>
          <w:ilvl w:val="0"/>
          <w:numId w:val="247"/>
        </w:numPr>
        <w:spacing w:after="0"/>
        <w:ind w:right="23"/>
        <w:jc w:val="both"/>
        <w:rPr>
          <w:rFonts w:ascii="Times New Roman" w:eastAsia="Times New Roman" w:hAnsi="Times New Roman" w:cs="Times New Roman"/>
          <w:sz w:val="24"/>
          <w:szCs w:val="24"/>
        </w:rPr>
      </w:pPr>
      <w:r w:rsidRPr="00B35C71">
        <w:rPr>
          <w:rFonts w:ascii="Times New Roman" w:eastAsia="Times New Roman" w:hAnsi="Times New Roman" w:cs="Times New Roman"/>
          <w:color w:val="000000"/>
          <w:sz w:val="24"/>
          <w:szCs w:val="24"/>
          <w:lang w:eastAsia="pl-PL" w:bidi="pl-PL"/>
        </w:rPr>
        <w:t>Edukacja pracodawców, menedżerów, specjalistów zarządzania zasobami ludzkimi i ochrony zdrowia pracujących w zakresie tworzenia i realizacji w zakładach pracy programów zarządzania zdrowiem starzejących się pracowników</w:t>
      </w:r>
    </w:p>
    <w:p w14:paraId="4B41591A" w14:textId="77777777" w:rsidR="00B90E75" w:rsidRPr="00B90E75" w:rsidRDefault="00B90E75" w:rsidP="008C71A9">
      <w:pPr>
        <w:widowControl w:val="0"/>
        <w:numPr>
          <w:ilvl w:val="0"/>
          <w:numId w:val="246"/>
        </w:numPr>
        <w:spacing w:after="0"/>
        <w:ind w:left="643"/>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realizator: Instytut Medycyny Pracy im. prof. dra med. Jerzego Nofera w Łodzi</w:t>
      </w:r>
    </w:p>
    <w:p w14:paraId="25042692" w14:textId="77777777" w:rsidR="00B90E75" w:rsidRPr="00B90E75" w:rsidRDefault="00B90E75" w:rsidP="008C71A9">
      <w:pPr>
        <w:widowControl w:val="0"/>
        <w:numPr>
          <w:ilvl w:val="0"/>
          <w:numId w:val="246"/>
        </w:numPr>
        <w:spacing w:after="0"/>
        <w:ind w:left="643"/>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 xml:space="preserve">Celem głównym realizacji projektu jest zwiększenie motywacji i kompetencji pracodawców, menedżerów i specjalistów zarządzania zasobami ludzkimi do realizacji programów zarządzania zdrowiem starzejących się pracowników w średnich i dużych </w:t>
      </w:r>
      <w:r w:rsidRPr="00B90E75">
        <w:rPr>
          <w:rFonts w:ascii="Times New Roman" w:eastAsia="Times New Roman" w:hAnsi="Times New Roman" w:cs="Times New Roman"/>
          <w:color w:val="000000"/>
          <w:sz w:val="24"/>
          <w:szCs w:val="24"/>
          <w:lang w:eastAsia="pl-PL" w:bidi="pl-PL"/>
        </w:rPr>
        <w:lastRenderedPageBreak/>
        <w:t>zakładach pracy.</w:t>
      </w:r>
    </w:p>
    <w:p w14:paraId="2B4866A3" w14:textId="77777777" w:rsidR="00B90E75" w:rsidRPr="00B90E75" w:rsidRDefault="00B90E75" w:rsidP="008C71A9">
      <w:pPr>
        <w:widowControl w:val="0"/>
        <w:numPr>
          <w:ilvl w:val="0"/>
          <w:numId w:val="246"/>
        </w:numPr>
        <w:spacing w:after="0"/>
        <w:ind w:left="643"/>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Realizator projektu prowadzi działania zwiększające świadomość pracodawców w ww. zakresie, udziela indywidualnych konsultacji dot. kształtowania programów zarządzania starzejącym się personelem, prowadzi działania edukacyjne promując dobre praktyki. W ramach zadania stworzono Sieć menadżerów promocji zdrowia w pracy, która stanowi platformę wsparcia dla pracodawców szczególnie zaangażowanych w profilowanie programów rozwoju kadr z uwzględnieniem potrzeb starszych pracowników.</w:t>
      </w:r>
    </w:p>
    <w:p w14:paraId="13964C84" w14:textId="77777777" w:rsidR="00B90E75" w:rsidRPr="00B90E75" w:rsidRDefault="00B90E75" w:rsidP="008C71A9">
      <w:pPr>
        <w:widowControl w:val="0"/>
        <w:numPr>
          <w:ilvl w:val="0"/>
          <w:numId w:val="246"/>
        </w:numPr>
        <w:spacing w:after="0"/>
        <w:ind w:left="643"/>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 xml:space="preserve">W ramach projektu przygotowano portal internetowy dla pracodawców, menadżerów, specjalistów HR, PR, EB, CSR, BHP i medycyny pracy na temat zarządzania zdrowiem różnych grup wiekowych personelu </w:t>
      </w:r>
      <w:hyperlink r:id="rId18" w:history="1">
        <w:r w:rsidRPr="00B90E75">
          <w:rPr>
            <w:rFonts w:ascii="Times New Roman" w:eastAsia="Times New Roman" w:hAnsi="Times New Roman" w:cs="Times New Roman"/>
            <w:color w:val="0066CC"/>
            <w:sz w:val="24"/>
            <w:szCs w:val="24"/>
            <w:u w:val="single"/>
            <w:lang w:eastAsia="pl-PL" w:bidi="pl-PL"/>
          </w:rPr>
          <w:t>https://pracanazdrowie.pl/</w:t>
        </w:r>
      </w:hyperlink>
      <w:r w:rsidRPr="00B90E75">
        <w:rPr>
          <w:rFonts w:ascii="Times New Roman" w:eastAsia="Times New Roman" w:hAnsi="Times New Roman" w:cs="Times New Roman"/>
          <w:color w:val="000000"/>
          <w:sz w:val="24"/>
          <w:szCs w:val="24"/>
          <w:lang w:eastAsia="pl-PL" w:bidi="pl-PL"/>
        </w:rPr>
        <w:t xml:space="preserve">, w którym opublikowane są treści przydatne dla kadry zarządczej w zakresie promocji zdrowia starszych pracowników. </w:t>
      </w:r>
    </w:p>
    <w:p w14:paraId="08021A81" w14:textId="77777777" w:rsidR="00B90E75" w:rsidRPr="00B90E75" w:rsidRDefault="00B90E75" w:rsidP="008C71A9">
      <w:pPr>
        <w:widowControl w:val="0"/>
        <w:numPr>
          <w:ilvl w:val="0"/>
          <w:numId w:val="246"/>
        </w:numPr>
        <w:spacing w:after="0"/>
        <w:ind w:left="643"/>
        <w:jc w:val="both"/>
        <w:rPr>
          <w:rFonts w:ascii="Times New Roman" w:eastAsia="Times New Roman" w:hAnsi="Times New Roman" w:cs="Times New Roman"/>
          <w:sz w:val="24"/>
          <w:szCs w:val="24"/>
        </w:rPr>
      </w:pPr>
      <w:r w:rsidRPr="00B90E75">
        <w:rPr>
          <w:rFonts w:ascii="Times New Roman" w:eastAsia="Times New Roman" w:hAnsi="Times New Roman" w:cs="Times New Roman"/>
          <w:sz w:val="24"/>
          <w:szCs w:val="24"/>
        </w:rPr>
        <w:t>W 2019 r. przygotowano koncepcję ogólnokrajowego badania pracowników. Wyłoniono firmę badawczą do realizacji sondażu w terenie. Przeprowadzono i monitorowano realizację badania na próbie 1000 pracowników średnich i dużych firm z terenu całego kraju. Przygotowana baza danych posłuży do analiz statystycznych na potrzeby raportu zaplanowanego do opracowania na 2020 r.</w:t>
      </w:r>
    </w:p>
    <w:p w14:paraId="53BF8354" w14:textId="77777777" w:rsidR="00B90E75" w:rsidRPr="00B35C71" w:rsidRDefault="00B90E75" w:rsidP="008C71A9">
      <w:pPr>
        <w:pStyle w:val="Akapitzlist"/>
        <w:widowControl w:val="0"/>
        <w:numPr>
          <w:ilvl w:val="0"/>
          <w:numId w:val="247"/>
        </w:numPr>
        <w:spacing w:after="0"/>
        <w:jc w:val="both"/>
        <w:rPr>
          <w:rFonts w:ascii="Times New Roman" w:eastAsia="Times New Roman" w:hAnsi="Times New Roman" w:cs="Times New Roman"/>
          <w:sz w:val="24"/>
          <w:szCs w:val="24"/>
        </w:rPr>
      </w:pPr>
      <w:r w:rsidRPr="00B35C71">
        <w:rPr>
          <w:rFonts w:ascii="Times New Roman" w:eastAsia="Times New Roman" w:hAnsi="Times New Roman" w:cs="Times New Roman"/>
          <w:color w:val="000000"/>
          <w:sz w:val="24"/>
          <w:szCs w:val="24"/>
          <w:lang w:eastAsia="pl-PL" w:bidi="pl-PL"/>
        </w:rPr>
        <w:t xml:space="preserve">Realizacja badania poszczególnych obszarów stanu zdrowia osób starszych, w tym jakości życia związanej ze zdrowiem </w:t>
      </w:r>
    </w:p>
    <w:p w14:paraId="751E1DC1" w14:textId="77777777" w:rsidR="00B90E75" w:rsidRPr="00B90E75" w:rsidRDefault="00B90E75" w:rsidP="008C71A9">
      <w:pPr>
        <w:pStyle w:val="Akapitzlist"/>
        <w:widowControl w:val="0"/>
        <w:numPr>
          <w:ilvl w:val="0"/>
          <w:numId w:val="250"/>
        </w:numPr>
        <w:spacing w:after="0"/>
        <w:ind w:left="643"/>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realizator: Gdański Uniwersytet Medyczny</w:t>
      </w:r>
    </w:p>
    <w:p w14:paraId="1F687910" w14:textId="77777777" w:rsidR="00B90E75" w:rsidRPr="00B90E75" w:rsidRDefault="00B90E75" w:rsidP="008C71A9">
      <w:pPr>
        <w:pStyle w:val="Akapitzlist"/>
        <w:widowControl w:val="0"/>
        <w:numPr>
          <w:ilvl w:val="0"/>
          <w:numId w:val="250"/>
        </w:numPr>
        <w:spacing w:after="0"/>
        <w:ind w:left="643"/>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Celem realizacji zadania jest zbadanie sytuacji epidemiologicznej osób starszych w Polsce, m.in. w zakresie chorób neurologicznych wieku podeszłego, zaburzeń i chorób psychicznych specyficznych dla wieku 60+, zaburzeń funkcji poznawczych i chorób otępiennych, zachowań żywieniowych i stanu odżywienia, stanu narządów, występowania upadków i urazów oraz ich następstw.</w:t>
      </w:r>
      <w:r w:rsidRPr="00B90E75">
        <w:rPr>
          <w:rFonts w:ascii="Times New Roman" w:eastAsia="Times New Roman" w:hAnsi="Times New Roman" w:cs="Times New Roman"/>
          <w:sz w:val="24"/>
          <w:szCs w:val="24"/>
        </w:rPr>
        <w:t xml:space="preserve"> </w:t>
      </w:r>
      <w:r w:rsidRPr="00B90E75">
        <w:rPr>
          <w:rFonts w:ascii="Times New Roman" w:eastAsia="Times New Roman" w:hAnsi="Times New Roman" w:cs="Times New Roman"/>
          <w:color w:val="000000"/>
          <w:sz w:val="24"/>
          <w:szCs w:val="24"/>
          <w:lang w:eastAsia="pl-PL" w:bidi="pl-PL"/>
        </w:rPr>
        <w:t xml:space="preserve">Badanie obejmie także sytuację społeczno-ekonomiczną osób starszych w Polsce, m.in. w zakresie sytuacji materialnej osób starszych oraz ich warunków zamieszkania, oceny jakości życia, aktywności zawodowej oraz sytuacji rodzinnej. </w:t>
      </w:r>
    </w:p>
    <w:p w14:paraId="05F92FB6" w14:textId="77777777" w:rsidR="00B35C71" w:rsidRDefault="00B35C71" w:rsidP="00C363D3">
      <w:pPr>
        <w:widowControl w:val="0"/>
        <w:spacing w:after="0"/>
        <w:ind w:left="283" w:right="20"/>
        <w:jc w:val="both"/>
        <w:rPr>
          <w:rFonts w:ascii="Times New Roman" w:eastAsia="Times New Roman" w:hAnsi="Times New Roman" w:cs="Times New Roman"/>
          <w:color w:val="000000"/>
          <w:sz w:val="24"/>
          <w:szCs w:val="24"/>
          <w:lang w:eastAsia="pl-PL" w:bidi="pl-PL"/>
        </w:rPr>
      </w:pPr>
    </w:p>
    <w:p w14:paraId="43A804E0" w14:textId="77777777" w:rsidR="00B90E75" w:rsidRPr="00B90E75" w:rsidRDefault="00B90E75" w:rsidP="00C363D3">
      <w:pPr>
        <w:widowControl w:val="0"/>
        <w:spacing w:after="0"/>
        <w:ind w:left="283"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 xml:space="preserve">Badanie jest realizowane od 2017 r. W pierwszym roku realizacji przygotowano narzędzia badawcze i przeprowadzono pilotaż na 30 ochotnikach w wieku &gt; 60 lat celem oceny wykonalności badania. W 2018 r. rozpoczęto realizację badań respondentów i do końca roku do badania włączono 2548 respondentów. W 2019 r. w badaniu terenowym udział wzięło 3435 respondentów.  </w:t>
      </w:r>
    </w:p>
    <w:p w14:paraId="1FCFE237" w14:textId="77777777" w:rsidR="00B90E75" w:rsidRPr="00B35C71" w:rsidRDefault="00B90E75" w:rsidP="008C71A9">
      <w:pPr>
        <w:pStyle w:val="Akapitzlist"/>
        <w:widowControl w:val="0"/>
        <w:numPr>
          <w:ilvl w:val="0"/>
          <w:numId w:val="247"/>
        </w:numPr>
        <w:spacing w:after="0"/>
        <w:jc w:val="both"/>
        <w:rPr>
          <w:rFonts w:ascii="Times New Roman" w:eastAsia="Times New Roman" w:hAnsi="Times New Roman" w:cs="Times New Roman"/>
          <w:sz w:val="24"/>
          <w:szCs w:val="24"/>
        </w:rPr>
      </w:pPr>
      <w:r w:rsidRPr="00B35C71">
        <w:rPr>
          <w:rFonts w:ascii="Times New Roman" w:eastAsia="Times New Roman" w:hAnsi="Times New Roman" w:cs="Times New Roman"/>
          <w:color w:val="000000"/>
          <w:sz w:val="24"/>
          <w:szCs w:val="24"/>
          <w:lang w:eastAsia="pl-PL" w:bidi="pl-PL"/>
        </w:rPr>
        <w:t>Analiza świadczeń udzielanych osobom w starszym wieku</w:t>
      </w:r>
    </w:p>
    <w:p w14:paraId="05260D7C" w14:textId="77777777" w:rsidR="00B90E75" w:rsidRPr="00B90E75" w:rsidRDefault="00B90E75" w:rsidP="008C71A9">
      <w:pPr>
        <w:widowControl w:val="0"/>
        <w:numPr>
          <w:ilvl w:val="0"/>
          <w:numId w:val="249"/>
        </w:numPr>
        <w:spacing w:after="0"/>
        <w:ind w:left="643"/>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realizator: Narodowy Instytut Zdrowia Publicznego - Państwowy Zakład Higieny</w:t>
      </w:r>
    </w:p>
    <w:p w14:paraId="1FDFF5B0" w14:textId="77777777" w:rsidR="00B90E75" w:rsidRPr="00B90E75" w:rsidRDefault="00B90E75" w:rsidP="008C71A9">
      <w:pPr>
        <w:widowControl w:val="0"/>
        <w:numPr>
          <w:ilvl w:val="0"/>
          <w:numId w:val="249"/>
        </w:numPr>
        <w:spacing w:after="0"/>
        <w:ind w:left="643"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sz w:val="24"/>
          <w:szCs w:val="24"/>
        </w:rPr>
        <w:t>Celem badań była ocena adekwatności świadczeń opieki zdrowotnej oraz zaspokojenia potrzeb osób starszych.</w:t>
      </w:r>
    </w:p>
    <w:p w14:paraId="6DE117C8" w14:textId="77777777" w:rsidR="00B90E75" w:rsidRPr="00B90E75" w:rsidRDefault="00B90E75" w:rsidP="008C71A9">
      <w:pPr>
        <w:widowControl w:val="0"/>
        <w:numPr>
          <w:ilvl w:val="0"/>
          <w:numId w:val="249"/>
        </w:numPr>
        <w:spacing w:after="0"/>
        <w:ind w:left="643"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 xml:space="preserve">W ramach zadania przeprowadzono m.in. analizę świadczeń opieki zdrowotnej udzielanych osobom w wieku 60+ w latach 2012-2016. Z ww. analizy wynika, że ze świadczeń najczęściej korzystały osoby starsze z następującymi rozpoznaniami (wg </w:t>
      </w:r>
      <w:r w:rsidRPr="00B90E75">
        <w:rPr>
          <w:rFonts w:ascii="Times New Roman" w:eastAsia="Times New Roman" w:hAnsi="Times New Roman" w:cs="Times New Roman"/>
          <w:color w:val="000000"/>
          <w:sz w:val="24"/>
          <w:szCs w:val="24"/>
          <w:lang w:eastAsia="pl-PL" w:bidi="pl-PL"/>
        </w:rPr>
        <w:lastRenderedPageBreak/>
        <w:t>klasyfikacji ICD10):</w:t>
      </w:r>
    </w:p>
    <w:p w14:paraId="6F5A525C" w14:textId="77777777" w:rsidR="00B90E75" w:rsidRPr="00B90E75" w:rsidRDefault="00B90E75" w:rsidP="008C71A9">
      <w:pPr>
        <w:widowControl w:val="0"/>
        <w:numPr>
          <w:ilvl w:val="1"/>
          <w:numId w:val="249"/>
        </w:numPr>
        <w:spacing w:after="0"/>
        <w:ind w:left="927"/>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Samoistne nadciśnienie (110);</w:t>
      </w:r>
    </w:p>
    <w:p w14:paraId="77167341" w14:textId="77777777" w:rsidR="00B90E75" w:rsidRPr="00B90E75" w:rsidRDefault="00B90E75" w:rsidP="008C71A9">
      <w:pPr>
        <w:widowControl w:val="0"/>
        <w:numPr>
          <w:ilvl w:val="1"/>
          <w:numId w:val="249"/>
        </w:numPr>
        <w:spacing w:after="0"/>
        <w:ind w:left="927"/>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Osoby stykające się ze służbą zdrowia w innych okolicznościach (Z76);</w:t>
      </w:r>
    </w:p>
    <w:p w14:paraId="33506ABE" w14:textId="77777777" w:rsidR="00B90E75" w:rsidRPr="00B90E75" w:rsidRDefault="00B90E75" w:rsidP="008C71A9">
      <w:pPr>
        <w:widowControl w:val="0"/>
        <w:numPr>
          <w:ilvl w:val="1"/>
          <w:numId w:val="249"/>
        </w:numPr>
        <w:spacing w:after="0"/>
        <w:ind w:left="927"/>
        <w:jc w:val="both"/>
        <w:rPr>
          <w:rFonts w:ascii="Times New Roman" w:eastAsia="Times New Roman" w:hAnsi="Times New Roman" w:cs="Times New Roman"/>
          <w:color w:val="000000"/>
          <w:sz w:val="24"/>
          <w:szCs w:val="24"/>
          <w:shd w:val="clear" w:color="auto" w:fill="FFFFFF"/>
          <w:lang w:eastAsia="pl-PL" w:bidi="pl-PL"/>
        </w:rPr>
      </w:pPr>
      <w:r w:rsidRPr="00B90E75">
        <w:rPr>
          <w:rFonts w:ascii="Times New Roman" w:eastAsia="Times New Roman" w:hAnsi="Times New Roman" w:cs="Times New Roman"/>
          <w:color w:val="000000"/>
          <w:sz w:val="24"/>
          <w:szCs w:val="24"/>
          <w:lang w:eastAsia="pl-PL" w:bidi="pl-PL"/>
        </w:rPr>
        <w:t>Cukrzyca insulinoniezależna (E11);</w:t>
      </w:r>
    </w:p>
    <w:p w14:paraId="2F1BC4AE" w14:textId="77777777" w:rsidR="00B90E75" w:rsidRPr="00B90E75" w:rsidRDefault="00B90E75" w:rsidP="008C71A9">
      <w:pPr>
        <w:widowControl w:val="0"/>
        <w:numPr>
          <w:ilvl w:val="1"/>
          <w:numId w:val="249"/>
        </w:numPr>
        <w:spacing w:after="0"/>
        <w:ind w:left="927"/>
        <w:jc w:val="both"/>
        <w:rPr>
          <w:rFonts w:ascii="Times New Roman" w:eastAsia="Times New Roman" w:hAnsi="Times New Roman" w:cs="Times New Roman"/>
          <w:color w:val="000000"/>
          <w:sz w:val="24"/>
          <w:szCs w:val="24"/>
          <w:shd w:val="clear" w:color="auto" w:fill="FFFFFF"/>
          <w:lang w:eastAsia="pl-PL" w:bidi="pl-PL"/>
        </w:rPr>
      </w:pPr>
      <w:r w:rsidRPr="00B90E75">
        <w:rPr>
          <w:rFonts w:ascii="Times New Roman" w:eastAsia="Times New Roman" w:hAnsi="Times New Roman" w:cs="Times New Roman"/>
          <w:color w:val="000000"/>
          <w:sz w:val="24"/>
          <w:szCs w:val="24"/>
          <w:lang w:eastAsia="pl-PL" w:bidi="pl-PL"/>
        </w:rPr>
        <w:t>Przewlekła choroba niedokrwienna serca (I25);</w:t>
      </w:r>
    </w:p>
    <w:p w14:paraId="57550FE4" w14:textId="77777777" w:rsidR="00B90E75" w:rsidRPr="00B90E75" w:rsidRDefault="00B90E75" w:rsidP="008C71A9">
      <w:pPr>
        <w:widowControl w:val="0"/>
        <w:numPr>
          <w:ilvl w:val="1"/>
          <w:numId w:val="249"/>
        </w:numPr>
        <w:spacing w:after="0"/>
        <w:ind w:left="927"/>
        <w:jc w:val="both"/>
        <w:rPr>
          <w:rFonts w:ascii="Times New Roman" w:eastAsia="Times New Roman" w:hAnsi="Times New Roman" w:cs="Times New Roman"/>
          <w:sz w:val="24"/>
          <w:szCs w:val="24"/>
        </w:rPr>
      </w:pPr>
      <w:r w:rsidRPr="00B90E75">
        <w:rPr>
          <w:rFonts w:ascii="Times New Roman" w:eastAsia="Times New Roman" w:hAnsi="Times New Roman" w:cs="Times New Roman"/>
          <w:color w:val="000000"/>
          <w:sz w:val="24"/>
          <w:szCs w:val="24"/>
          <w:lang w:eastAsia="pl-PL" w:bidi="pl-PL"/>
        </w:rPr>
        <w:t>Choroba nadciśnieniowa z zajęciem serca (I11).</w:t>
      </w:r>
    </w:p>
    <w:p w14:paraId="754F7F02" w14:textId="77777777" w:rsidR="00B90E75" w:rsidRDefault="00B90E75" w:rsidP="008C71A9">
      <w:pPr>
        <w:widowControl w:val="0"/>
        <w:numPr>
          <w:ilvl w:val="0"/>
          <w:numId w:val="249"/>
        </w:numPr>
        <w:spacing w:after="0"/>
        <w:ind w:left="643"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sz w:val="24"/>
          <w:szCs w:val="24"/>
        </w:rPr>
        <w:t xml:space="preserve">W latach 2018-2019 zrealizowano trzy badania – jakościowe (FGI) i ilościowe (CATI, CAWI) o charakterze ogólnopolskim. W badaniach wzięli udział lekarze, pielęgniarki, pracownicy socjalni i osoby starsze. Dodatkowo przeprowadzono analizy dotyczące zjawiska wielochorobowości u osób po 60. roku życia oraz panel ekspertów dotyczący świadczeń usług medycznych wobec tychże pacjentów. </w:t>
      </w:r>
    </w:p>
    <w:p w14:paraId="05C8601F" w14:textId="77777777" w:rsidR="009B7437" w:rsidRPr="00B90E75" w:rsidRDefault="009B7437" w:rsidP="00C363D3">
      <w:pPr>
        <w:widowControl w:val="0"/>
        <w:spacing w:after="0"/>
        <w:ind w:left="643" w:right="20"/>
        <w:jc w:val="both"/>
        <w:rPr>
          <w:rFonts w:ascii="Times New Roman" w:eastAsia="Times New Roman" w:hAnsi="Times New Roman" w:cs="Times New Roman"/>
          <w:sz w:val="24"/>
          <w:szCs w:val="24"/>
        </w:rPr>
      </w:pPr>
    </w:p>
    <w:p w14:paraId="731C4A6B" w14:textId="77777777" w:rsidR="00B35C71" w:rsidRPr="00F70044" w:rsidRDefault="00B90E75" w:rsidP="00B35C71">
      <w:pPr>
        <w:tabs>
          <w:tab w:val="left" w:pos="5400"/>
        </w:tabs>
        <w:spacing w:after="0"/>
        <w:jc w:val="both"/>
        <w:rPr>
          <w:rFonts w:ascii="Times New Roman" w:hAnsi="Times New Roman" w:cs="Times New Roman"/>
          <w:b/>
          <w:bCs/>
          <w:color w:val="00B0F0"/>
          <w:sz w:val="24"/>
          <w:szCs w:val="24"/>
        </w:rPr>
      </w:pPr>
      <w:r w:rsidRPr="00B35C71">
        <w:rPr>
          <w:rStyle w:val="Odwoaniedelikatne"/>
          <w:rFonts w:ascii="Times New Roman" w:hAnsi="Times New Roman" w:cs="Times New Roman"/>
          <w:color w:val="00B0F0"/>
          <w:sz w:val="24"/>
          <w:szCs w:val="24"/>
        </w:rPr>
        <w:t>Realizacja programów polityki zdrowotnej oraz programów strategicznych</w:t>
      </w:r>
    </w:p>
    <w:p w14:paraId="1F5FDDD0" w14:textId="77777777" w:rsidR="009B7437" w:rsidRPr="007E39EC" w:rsidRDefault="00B90E75" w:rsidP="008C71A9">
      <w:pPr>
        <w:pStyle w:val="Akapitzlist"/>
        <w:numPr>
          <w:ilvl w:val="0"/>
          <w:numId w:val="367"/>
        </w:numPr>
        <w:tabs>
          <w:tab w:val="left" w:pos="5400"/>
        </w:tabs>
        <w:spacing w:after="0"/>
        <w:ind w:left="360"/>
        <w:jc w:val="both"/>
        <w:rPr>
          <w:rFonts w:ascii="Times New Roman" w:hAnsi="Times New Roman" w:cs="Times New Roman"/>
          <w:b/>
          <w:bCs/>
          <w:sz w:val="24"/>
          <w:szCs w:val="24"/>
        </w:rPr>
      </w:pPr>
      <w:r w:rsidRPr="007E39EC">
        <w:rPr>
          <w:rFonts w:ascii="Times New Roman" w:hAnsi="Times New Roman" w:cs="Times New Roman"/>
          <w:b/>
          <w:bCs/>
          <w:sz w:val="24"/>
          <w:szCs w:val="24"/>
        </w:rPr>
        <w:t>Program Profilaktyki i Leczenia Chorób Układu Sercowo-Naczyniowego POLKARD na lata 2017-2020</w:t>
      </w:r>
      <w:r w:rsidRPr="007E39EC" w:rsidDel="00D94CEC">
        <w:rPr>
          <w:rFonts w:ascii="Times New Roman" w:hAnsi="Times New Roman" w:cs="Times New Roman"/>
          <w:b/>
          <w:bCs/>
          <w:sz w:val="24"/>
          <w:szCs w:val="24"/>
        </w:rPr>
        <w:t xml:space="preserve"> </w:t>
      </w:r>
    </w:p>
    <w:p w14:paraId="3BCD409E" w14:textId="77777777" w:rsidR="00B90E75" w:rsidRPr="00B90E75" w:rsidRDefault="00B90E75" w:rsidP="00C363D3">
      <w:pPr>
        <w:widowControl w:val="0"/>
        <w:spacing w:after="0"/>
        <w:ind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sz w:val="24"/>
          <w:szCs w:val="24"/>
          <w:lang w:bidi="pl-PL"/>
        </w:rPr>
        <w:t xml:space="preserve">W ramach </w:t>
      </w:r>
      <w:r w:rsidRPr="00B90E75">
        <w:rPr>
          <w:rFonts w:ascii="Times New Roman" w:eastAsia="Times New Roman" w:hAnsi="Times New Roman" w:cs="Times New Roman"/>
          <w:i/>
          <w:iCs/>
          <w:sz w:val="24"/>
          <w:szCs w:val="24"/>
          <w:lang w:bidi="pl-PL"/>
        </w:rPr>
        <w:t xml:space="preserve">Programu Profilaktyki i Leczenia Chorób Układu Sercowo-Naczyniowego POLKARD na lata 2017-2020, </w:t>
      </w:r>
      <w:r w:rsidRPr="00B90E75">
        <w:rPr>
          <w:rFonts w:ascii="Times New Roman" w:eastAsia="Times New Roman" w:hAnsi="Times New Roman" w:cs="Times New Roman"/>
          <w:sz w:val="24"/>
          <w:szCs w:val="24"/>
          <w:u w:val="single"/>
          <w:lang w:bidi="pl-PL"/>
        </w:rPr>
        <w:t>w 2019 r.</w:t>
      </w:r>
      <w:r w:rsidRPr="00B90E75">
        <w:rPr>
          <w:rFonts w:ascii="Times New Roman" w:eastAsia="Times New Roman" w:hAnsi="Times New Roman" w:cs="Times New Roman"/>
          <w:sz w:val="24"/>
          <w:szCs w:val="24"/>
          <w:lang w:bidi="pl-PL"/>
        </w:rPr>
        <w:t xml:space="preserve"> została zakupiona nowoczesna aparatura i sprzęt medyczny za łączną kwotę ponad 14 mln zł. Ze wskazanych środków wyposażono m.in.:</w:t>
      </w:r>
    </w:p>
    <w:p w14:paraId="4C34AEE3" w14:textId="77777777" w:rsidR="00B90E75" w:rsidRPr="007E39EC" w:rsidRDefault="00B90E75" w:rsidP="008C71A9">
      <w:pPr>
        <w:pStyle w:val="Akapitzlist"/>
        <w:widowControl w:val="0"/>
        <w:numPr>
          <w:ilvl w:val="0"/>
          <w:numId w:val="282"/>
        </w:numPr>
        <w:spacing w:after="0"/>
        <w:ind w:left="643" w:right="20"/>
        <w:jc w:val="both"/>
        <w:rPr>
          <w:rFonts w:ascii="Times New Roman" w:eastAsia="Times New Roman" w:hAnsi="Times New Roman" w:cs="Times New Roman"/>
          <w:sz w:val="24"/>
          <w:szCs w:val="24"/>
        </w:rPr>
      </w:pPr>
      <w:r w:rsidRPr="007E39EC">
        <w:rPr>
          <w:rFonts w:ascii="Times New Roman" w:eastAsia="Times New Roman" w:hAnsi="Times New Roman" w:cs="Times New Roman"/>
          <w:bCs/>
          <w:sz w:val="24"/>
          <w:szCs w:val="24"/>
          <w:lang w:bidi="pl-PL"/>
        </w:rPr>
        <w:t>oddziały chorób wewnętrznych</w:t>
      </w:r>
      <w:r w:rsidRPr="007E39EC">
        <w:rPr>
          <w:rFonts w:ascii="Times New Roman" w:eastAsia="Times New Roman" w:hAnsi="Times New Roman" w:cs="Times New Roman"/>
          <w:sz w:val="24"/>
          <w:szCs w:val="24"/>
          <w:lang w:bidi="pl-PL"/>
        </w:rPr>
        <w:t xml:space="preserve"> w nowe centrale monitorujące i monitory kardiologiczne;</w:t>
      </w:r>
    </w:p>
    <w:p w14:paraId="1C260ADE" w14:textId="77777777" w:rsidR="00B90E75" w:rsidRPr="00B90E75" w:rsidRDefault="00B90E75" w:rsidP="008C71A9">
      <w:pPr>
        <w:pStyle w:val="Akapitzlist"/>
        <w:widowControl w:val="0"/>
        <w:numPr>
          <w:ilvl w:val="0"/>
          <w:numId w:val="282"/>
        </w:numPr>
        <w:spacing w:after="0"/>
        <w:ind w:left="643" w:right="20"/>
        <w:jc w:val="both"/>
        <w:rPr>
          <w:rFonts w:ascii="Times New Roman" w:eastAsia="Times New Roman" w:hAnsi="Times New Roman" w:cs="Times New Roman"/>
          <w:sz w:val="24"/>
          <w:szCs w:val="24"/>
        </w:rPr>
      </w:pPr>
      <w:r w:rsidRPr="007E39EC">
        <w:rPr>
          <w:rFonts w:ascii="Times New Roman" w:eastAsia="Times New Roman" w:hAnsi="Times New Roman" w:cs="Times New Roman"/>
          <w:bCs/>
          <w:sz w:val="24"/>
          <w:szCs w:val="24"/>
          <w:lang w:bidi="pl-PL"/>
        </w:rPr>
        <w:t>oddziały udarowe i neurologiczne</w:t>
      </w:r>
      <w:r w:rsidRPr="00B90E75">
        <w:rPr>
          <w:rFonts w:ascii="Times New Roman" w:eastAsia="Times New Roman" w:hAnsi="Times New Roman" w:cs="Times New Roman"/>
          <w:sz w:val="24"/>
          <w:szCs w:val="24"/>
          <w:lang w:bidi="pl-PL"/>
        </w:rPr>
        <w:t xml:space="preserve"> w aparaty do diagnostyki ultrasonograficznej naczyń domózgowych typu Duplex;</w:t>
      </w:r>
    </w:p>
    <w:p w14:paraId="7A7B964D" w14:textId="77777777" w:rsidR="00B90E75" w:rsidRPr="00B90E75" w:rsidRDefault="00B90E75" w:rsidP="008C71A9">
      <w:pPr>
        <w:pStyle w:val="Akapitzlist"/>
        <w:widowControl w:val="0"/>
        <w:numPr>
          <w:ilvl w:val="0"/>
          <w:numId w:val="282"/>
        </w:numPr>
        <w:spacing w:after="0"/>
        <w:ind w:left="643" w:right="20"/>
        <w:jc w:val="both"/>
        <w:rPr>
          <w:rFonts w:ascii="Times New Roman" w:eastAsia="Times New Roman" w:hAnsi="Times New Roman" w:cs="Times New Roman"/>
          <w:sz w:val="24"/>
          <w:szCs w:val="24"/>
        </w:rPr>
      </w:pPr>
      <w:r w:rsidRPr="007E39EC">
        <w:rPr>
          <w:rFonts w:ascii="Times New Roman" w:eastAsia="Times New Roman" w:hAnsi="Times New Roman" w:cs="Times New Roman"/>
          <w:bCs/>
          <w:sz w:val="24"/>
          <w:szCs w:val="24"/>
          <w:lang w:bidi="pl-PL"/>
        </w:rPr>
        <w:t>oddziały rehabilitacji neurologicznej</w:t>
      </w:r>
      <w:r w:rsidRPr="00B90E75">
        <w:rPr>
          <w:rFonts w:ascii="Times New Roman" w:eastAsia="Times New Roman" w:hAnsi="Times New Roman" w:cs="Times New Roman"/>
          <w:sz w:val="24"/>
          <w:szCs w:val="24"/>
          <w:lang w:bidi="pl-PL"/>
        </w:rPr>
        <w:t xml:space="preserve"> w urządzenia do wczesnej rehabilitacji neurologicznej kończyn górnych i kończyn dolnych z biofeedback.</w:t>
      </w:r>
    </w:p>
    <w:p w14:paraId="7241F5E4" w14:textId="77777777" w:rsidR="009B7437" w:rsidRDefault="009B7437" w:rsidP="00C363D3">
      <w:pPr>
        <w:widowControl w:val="0"/>
        <w:spacing w:after="0"/>
        <w:ind w:right="20"/>
        <w:jc w:val="both"/>
        <w:rPr>
          <w:rFonts w:ascii="Times New Roman" w:eastAsia="Times New Roman" w:hAnsi="Times New Roman" w:cs="Times New Roman"/>
          <w:sz w:val="24"/>
          <w:szCs w:val="24"/>
          <w:lang w:bidi="pl-PL"/>
        </w:rPr>
      </w:pPr>
    </w:p>
    <w:p w14:paraId="678317A6" w14:textId="77777777" w:rsidR="00B90E75" w:rsidRPr="00B90E75" w:rsidRDefault="00B90E75" w:rsidP="00C363D3">
      <w:pPr>
        <w:widowControl w:val="0"/>
        <w:spacing w:after="0"/>
        <w:ind w:right="20"/>
        <w:jc w:val="both"/>
        <w:rPr>
          <w:rFonts w:ascii="Times New Roman" w:eastAsia="Times New Roman" w:hAnsi="Times New Roman" w:cs="Times New Roman"/>
          <w:sz w:val="24"/>
          <w:szCs w:val="24"/>
          <w:lang w:bidi="pl-PL"/>
        </w:rPr>
      </w:pPr>
      <w:r w:rsidRPr="00B90E75">
        <w:rPr>
          <w:rFonts w:ascii="Times New Roman" w:eastAsia="Times New Roman" w:hAnsi="Times New Roman" w:cs="Times New Roman"/>
          <w:sz w:val="24"/>
          <w:szCs w:val="24"/>
          <w:lang w:bidi="pl-PL"/>
        </w:rPr>
        <w:t xml:space="preserve">Należy również zauważyć, że od 2018 r. w ramach programu POLKARD prowadzony jest </w:t>
      </w:r>
      <w:r w:rsidRPr="00B90E75">
        <w:rPr>
          <w:rFonts w:ascii="Times New Roman" w:eastAsia="Times New Roman" w:hAnsi="Times New Roman" w:cs="Times New Roman"/>
          <w:i/>
          <w:iCs/>
          <w:sz w:val="24"/>
          <w:szCs w:val="24"/>
          <w:lang w:bidi="pl-PL"/>
        </w:rPr>
        <w:t>Ogólnopolski program badań przesiewowych w kierunku tętniaka aorty brzusznej w latach 2018–2020.</w:t>
      </w:r>
      <w:r w:rsidRPr="00B90E75">
        <w:rPr>
          <w:rFonts w:ascii="Times New Roman" w:eastAsia="Times New Roman" w:hAnsi="Times New Roman" w:cs="Times New Roman"/>
          <w:sz w:val="24"/>
          <w:szCs w:val="24"/>
          <w:lang w:bidi="pl-PL"/>
        </w:rPr>
        <w:t xml:space="preserve"> W programie pacjentom oferowane jest bezpłatne badanie ultrasonograficzne, którego celem jest stwierdzenie występowania tętniaka aorty brzusznej. Badania wykonywane są u osób w wieku 65 lat i powyżej, u których stwierdzono występowanie co najmniej trzech czynników ryzyka sercowo–naczyniowego spośród następujących: </w:t>
      </w:r>
    </w:p>
    <w:p w14:paraId="2B2F23D5" w14:textId="77777777" w:rsidR="00B62A72" w:rsidRDefault="00B90E75" w:rsidP="008C71A9">
      <w:pPr>
        <w:widowControl w:val="0"/>
        <w:numPr>
          <w:ilvl w:val="0"/>
          <w:numId w:val="368"/>
        </w:numPr>
        <w:spacing w:after="0"/>
        <w:ind w:left="643" w:right="20"/>
        <w:jc w:val="both"/>
        <w:rPr>
          <w:rFonts w:ascii="Times New Roman" w:eastAsia="Times New Roman" w:hAnsi="Times New Roman" w:cs="Times New Roman"/>
          <w:sz w:val="24"/>
          <w:szCs w:val="24"/>
          <w:lang w:bidi="pl-PL"/>
        </w:rPr>
      </w:pPr>
      <w:r w:rsidRPr="00B90E75">
        <w:rPr>
          <w:rFonts w:ascii="Times New Roman" w:eastAsia="Times New Roman" w:hAnsi="Times New Roman" w:cs="Times New Roman"/>
          <w:sz w:val="24"/>
          <w:szCs w:val="24"/>
          <w:lang w:bidi="pl-PL"/>
        </w:rPr>
        <w:t xml:space="preserve">choroba wieńcowa, </w:t>
      </w:r>
    </w:p>
    <w:p w14:paraId="4A7E64C4" w14:textId="77777777" w:rsidR="00B62A72" w:rsidRDefault="00B90E75" w:rsidP="008C71A9">
      <w:pPr>
        <w:widowControl w:val="0"/>
        <w:numPr>
          <w:ilvl w:val="0"/>
          <w:numId w:val="368"/>
        </w:numPr>
        <w:spacing w:after="0"/>
        <w:ind w:left="643" w:right="20"/>
        <w:jc w:val="both"/>
        <w:rPr>
          <w:rFonts w:ascii="Times New Roman" w:eastAsia="Times New Roman" w:hAnsi="Times New Roman" w:cs="Times New Roman"/>
          <w:sz w:val="24"/>
          <w:szCs w:val="24"/>
          <w:lang w:bidi="pl-PL"/>
        </w:rPr>
      </w:pPr>
      <w:r w:rsidRPr="00B62A72">
        <w:rPr>
          <w:rFonts w:ascii="Times New Roman" w:eastAsia="Times New Roman" w:hAnsi="Times New Roman" w:cs="Times New Roman"/>
          <w:sz w:val="24"/>
          <w:szCs w:val="24"/>
          <w:lang w:bidi="pl-PL"/>
        </w:rPr>
        <w:t xml:space="preserve">palenie tytoniu, </w:t>
      </w:r>
    </w:p>
    <w:p w14:paraId="6DEC8A7E" w14:textId="77777777" w:rsidR="00B62A72" w:rsidRDefault="00B90E75" w:rsidP="008C71A9">
      <w:pPr>
        <w:widowControl w:val="0"/>
        <w:numPr>
          <w:ilvl w:val="0"/>
          <w:numId w:val="368"/>
        </w:numPr>
        <w:spacing w:after="0"/>
        <w:ind w:left="643" w:right="20"/>
        <w:jc w:val="both"/>
        <w:rPr>
          <w:rFonts w:ascii="Times New Roman" w:eastAsia="Times New Roman" w:hAnsi="Times New Roman" w:cs="Times New Roman"/>
          <w:sz w:val="24"/>
          <w:szCs w:val="24"/>
          <w:lang w:bidi="pl-PL"/>
        </w:rPr>
      </w:pPr>
      <w:r w:rsidRPr="00B62A72">
        <w:rPr>
          <w:rFonts w:ascii="Times New Roman" w:eastAsia="Times New Roman" w:hAnsi="Times New Roman" w:cs="Times New Roman"/>
          <w:sz w:val="24"/>
          <w:szCs w:val="24"/>
          <w:lang w:bidi="pl-PL"/>
        </w:rPr>
        <w:t xml:space="preserve">nadciśnienie tętnicze, </w:t>
      </w:r>
    </w:p>
    <w:p w14:paraId="2689F511" w14:textId="77777777" w:rsidR="00B62A72" w:rsidRDefault="00B90E75" w:rsidP="008C71A9">
      <w:pPr>
        <w:widowControl w:val="0"/>
        <w:numPr>
          <w:ilvl w:val="0"/>
          <w:numId w:val="368"/>
        </w:numPr>
        <w:spacing w:after="0"/>
        <w:ind w:left="643" w:right="20"/>
        <w:jc w:val="both"/>
        <w:rPr>
          <w:rFonts w:ascii="Times New Roman" w:eastAsia="Times New Roman" w:hAnsi="Times New Roman" w:cs="Times New Roman"/>
          <w:sz w:val="24"/>
          <w:szCs w:val="24"/>
          <w:lang w:bidi="pl-PL"/>
        </w:rPr>
      </w:pPr>
      <w:r w:rsidRPr="00B62A72">
        <w:rPr>
          <w:rFonts w:ascii="Times New Roman" w:eastAsia="Times New Roman" w:hAnsi="Times New Roman" w:cs="Times New Roman"/>
          <w:sz w:val="24"/>
          <w:szCs w:val="24"/>
          <w:lang w:bidi="pl-PL"/>
        </w:rPr>
        <w:t xml:space="preserve">hiperlipidemia, </w:t>
      </w:r>
    </w:p>
    <w:p w14:paraId="158B593B" w14:textId="77777777" w:rsidR="00B90E75" w:rsidRPr="00B62A72" w:rsidRDefault="00B90E75" w:rsidP="008C71A9">
      <w:pPr>
        <w:widowControl w:val="0"/>
        <w:numPr>
          <w:ilvl w:val="0"/>
          <w:numId w:val="368"/>
        </w:numPr>
        <w:spacing w:after="0"/>
        <w:ind w:left="643" w:right="20"/>
        <w:jc w:val="both"/>
        <w:rPr>
          <w:rFonts w:ascii="Times New Roman" w:eastAsia="Times New Roman" w:hAnsi="Times New Roman" w:cs="Times New Roman"/>
          <w:sz w:val="24"/>
          <w:szCs w:val="24"/>
          <w:lang w:bidi="pl-PL"/>
        </w:rPr>
      </w:pPr>
      <w:r w:rsidRPr="00B62A72">
        <w:rPr>
          <w:rFonts w:ascii="Times New Roman" w:eastAsia="Times New Roman" w:hAnsi="Times New Roman" w:cs="Times New Roman"/>
          <w:sz w:val="24"/>
          <w:szCs w:val="24"/>
          <w:lang w:bidi="pl-PL"/>
        </w:rPr>
        <w:t>płeć męska.</w:t>
      </w:r>
    </w:p>
    <w:p w14:paraId="1DEAEDEC" w14:textId="77777777" w:rsidR="009B7437" w:rsidRDefault="009B7437" w:rsidP="007E39EC">
      <w:pPr>
        <w:widowControl w:val="0"/>
        <w:spacing w:after="0"/>
        <w:ind w:left="283" w:right="23"/>
        <w:jc w:val="both"/>
        <w:rPr>
          <w:rFonts w:ascii="Times New Roman" w:eastAsia="Times New Roman" w:hAnsi="Times New Roman" w:cs="Times New Roman"/>
          <w:sz w:val="24"/>
          <w:szCs w:val="24"/>
          <w:lang w:bidi="pl-PL"/>
        </w:rPr>
      </w:pPr>
    </w:p>
    <w:p w14:paraId="58B64722" w14:textId="52F086F4" w:rsidR="00B90E75" w:rsidRDefault="00B90E75" w:rsidP="00C363D3">
      <w:pPr>
        <w:widowControl w:val="0"/>
        <w:spacing w:after="0"/>
        <w:ind w:right="23"/>
        <w:jc w:val="both"/>
        <w:rPr>
          <w:rFonts w:ascii="Times New Roman" w:eastAsia="Times New Roman" w:hAnsi="Times New Roman" w:cs="Times New Roman"/>
          <w:sz w:val="24"/>
          <w:szCs w:val="24"/>
          <w:lang w:bidi="pl-PL"/>
        </w:rPr>
      </w:pPr>
      <w:r w:rsidRPr="00B90E75">
        <w:rPr>
          <w:rFonts w:ascii="Times New Roman" w:eastAsia="Times New Roman" w:hAnsi="Times New Roman" w:cs="Times New Roman"/>
          <w:sz w:val="24"/>
          <w:szCs w:val="24"/>
          <w:lang w:bidi="pl-PL"/>
        </w:rPr>
        <w:t>W 2019 r. sumaryczna liczba przebadanych osób starszych wyniosła 13 160</w:t>
      </w:r>
      <w:r w:rsidR="005D317B">
        <w:rPr>
          <w:rFonts w:ascii="Times New Roman" w:eastAsia="Times New Roman" w:hAnsi="Times New Roman" w:cs="Times New Roman"/>
          <w:sz w:val="24"/>
          <w:szCs w:val="24"/>
          <w:lang w:bidi="pl-PL"/>
        </w:rPr>
        <w:t xml:space="preserve">, z czego wykryto 632 tętniaki </w:t>
      </w:r>
      <w:r w:rsidRPr="00B90E75">
        <w:rPr>
          <w:rFonts w:ascii="Times New Roman" w:eastAsia="Times New Roman" w:hAnsi="Times New Roman" w:cs="Times New Roman"/>
          <w:sz w:val="24"/>
          <w:szCs w:val="24"/>
          <w:lang w:bidi="pl-PL"/>
        </w:rPr>
        <w:t>o średnicy większej niż 30 mm (pacjentów skierowano do dalszego leczenia lub obserwacji).</w:t>
      </w:r>
    </w:p>
    <w:p w14:paraId="63D3B95E" w14:textId="77777777" w:rsidR="009B7437" w:rsidRPr="00B90E75" w:rsidRDefault="009B7437" w:rsidP="00C363D3">
      <w:pPr>
        <w:widowControl w:val="0"/>
        <w:spacing w:after="0"/>
        <w:ind w:right="23"/>
        <w:jc w:val="both"/>
        <w:rPr>
          <w:rFonts w:ascii="Times New Roman" w:eastAsia="Times New Roman" w:hAnsi="Times New Roman" w:cs="Times New Roman"/>
          <w:sz w:val="24"/>
          <w:szCs w:val="24"/>
        </w:rPr>
      </w:pPr>
    </w:p>
    <w:p w14:paraId="4C7B3911" w14:textId="77777777" w:rsidR="00B90E75" w:rsidRPr="009B7437" w:rsidRDefault="00B90E75" w:rsidP="008C71A9">
      <w:pPr>
        <w:pStyle w:val="Akapitzlist"/>
        <w:numPr>
          <w:ilvl w:val="0"/>
          <w:numId w:val="247"/>
        </w:numPr>
        <w:tabs>
          <w:tab w:val="left" w:pos="5400"/>
        </w:tabs>
        <w:spacing w:after="0"/>
        <w:contextualSpacing w:val="0"/>
        <w:jc w:val="both"/>
        <w:rPr>
          <w:rFonts w:ascii="Times New Roman" w:hAnsi="Times New Roman" w:cs="Times New Roman"/>
          <w:b/>
          <w:bCs/>
          <w:sz w:val="24"/>
          <w:szCs w:val="24"/>
        </w:rPr>
      </w:pPr>
      <w:r w:rsidRPr="009B7437">
        <w:rPr>
          <w:rFonts w:ascii="Times New Roman" w:hAnsi="Times New Roman" w:cs="Times New Roman"/>
          <w:b/>
          <w:bCs/>
          <w:sz w:val="24"/>
          <w:szCs w:val="24"/>
        </w:rPr>
        <w:lastRenderedPageBreak/>
        <w:t>Program Zapobiegania Depresji w Polsce na lata 2016-2020</w:t>
      </w:r>
    </w:p>
    <w:p w14:paraId="2E492CED" w14:textId="77777777" w:rsidR="00B62A72" w:rsidRDefault="00B90E75" w:rsidP="00C363D3">
      <w:pPr>
        <w:widowControl w:val="0"/>
        <w:spacing w:after="0"/>
        <w:ind w:right="20"/>
        <w:jc w:val="both"/>
        <w:rPr>
          <w:rFonts w:ascii="Times New Roman" w:eastAsia="Times New Roman" w:hAnsi="Times New Roman" w:cs="Times New Roman"/>
          <w:sz w:val="24"/>
          <w:szCs w:val="24"/>
          <w:lang w:bidi="pl-PL"/>
        </w:rPr>
      </w:pPr>
      <w:r w:rsidRPr="00B90E75">
        <w:rPr>
          <w:rFonts w:ascii="Times New Roman" w:eastAsia="Times New Roman" w:hAnsi="Times New Roman" w:cs="Times New Roman"/>
          <w:sz w:val="24"/>
          <w:szCs w:val="24"/>
          <w:lang w:bidi="pl-PL"/>
        </w:rPr>
        <w:t xml:space="preserve">W ramach realizacji </w:t>
      </w:r>
      <w:r w:rsidRPr="00B90E75">
        <w:rPr>
          <w:rFonts w:ascii="Times New Roman" w:eastAsia="Times New Roman" w:hAnsi="Times New Roman" w:cs="Times New Roman"/>
          <w:i/>
          <w:iCs/>
          <w:sz w:val="24"/>
          <w:szCs w:val="24"/>
          <w:lang w:bidi="pl-PL"/>
        </w:rPr>
        <w:t xml:space="preserve">Programu Zapobiegania Depresji w Polsce na lata 2016-2020 </w:t>
      </w:r>
      <w:r w:rsidRPr="00B90E75">
        <w:rPr>
          <w:rFonts w:ascii="Times New Roman" w:eastAsia="Times New Roman" w:hAnsi="Times New Roman" w:cs="Times New Roman"/>
          <w:sz w:val="24"/>
          <w:szCs w:val="24"/>
          <w:lang w:bidi="pl-PL"/>
        </w:rPr>
        <w:t>prowadzona jest kampania informacyjno-edukacyjna dotycząca depresji "Depresja. Rozumiesz – Pomagasz", której celem jest zwiększenie świadomości społecznej w zakresie występowania depresji oraz przekazanie rzetelnej wiedzy dotyczącej jej objawów, profilaktyki, diagnozowania, leczenia i możliwych form wsparcia.</w:t>
      </w:r>
      <w:r w:rsidR="00B62A72">
        <w:rPr>
          <w:rFonts w:ascii="Times New Roman" w:eastAsia="Times New Roman" w:hAnsi="Times New Roman" w:cs="Times New Roman"/>
          <w:sz w:val="24"/>
          <w:szCs w:val="24"/>
          <w:lang w:bidi="pl-PL"/>
        </w:rPr>
        <w:t xml:space="preserve"> </w:t>
      </w:r>
    </w:p>
    <w:p w14:paraId="484D3B37" w14:textId="77777777" w:rsidR="00B62A72" w:rsidRDefault="00B62A72" w:rsidP="00C363D3">
      <w:pPr>
        <w:widowControl w:val="0"/>
        <w:spacing w:after="0"/>
        <w:ind w:right="20"/>
        <w:jc w:val="both"/>
        <w:rPr>
          <w:rFonts w:ascii="Times New Roman" w:eastAsia="Times New Roman" w:hAnsi="Times New Roman" w:cs="Times New Roman"/>
          <w:sz w:val="24"/>
          <w:szCs w:val="24"/>
          <w:lang w:bidi="pl-PL"/>
        </w:rPr>
      </w:pPr>
    </w:p>
    <w:p w14:paraId="55E592E2" w14:textId="77777777" w:rsidR="00B90E75" w:rsidRDefault="00B90E75" w:rsidP="00C363D3">
      <w:pPr>
        <w:widowControl w:val="0"/>
        <w:spacing w:after="0"/>
        <w:ind w:right="20"/>
        <w:jc w:val="both"/>
        <w:rPr>
          <w:rFonts w:ascii="Times New Roman" w:eastAsia="Times New Roman" w:hAnsi="Times New Roman" w:cs="Times New Roman"/>
          <w:sz w:val="24"/>
          <w:szCs w:val="24"/>
          <w:lang w:bidi="pl-PL"/>
        </w:rPr>
      </w:pPr>
      <w:r w:rsidRPr="00B90E75">
        <w:rPr>
          <w:rFonts w:ascii="Times New Roman" w:eastAsia="Times New Roman" w:hAnsi="Times New Roman" w:cs="Times New Roman"/>
          <w:sz w:val="24"/>
          <w:szCs w:val="24"/>
          <w:lang w:bidi="pl-PL"/>
        </w:rPr>
        <w:t>Jedną z grup szczególnie narażonych na wystąpienie depresji są osoby w starszym wieku. Działania podjęte w ramach kampanii zostały skierowane do osób w starszym wieku, ale również do osób z ich otoczenia, w tym personelu medycznego.</w:t>
      </w:r>
    </w:p>
    <w:p w14:paraId="6340C323" w14:textId="77777777" w:rsidR="00B62A72" w:rsidRDefault="00B62A72" w:rsidP="00C363D3">
      <w:pPr>
        <w:widowControl w:val="0"/>
        <w:spacing w:after="0"/>
        <w:ind w:right="20"/>
        <w:jc w:val="both"/>
        <w:rPr>
          <w:rFonts w:ascii="Times New Roman" w:eastAsia="Times New Roman" w:hAnsi="Times New Roman" w:cs="Times New Roman"/>
          <w:sz w:val="24"/>
          <w:szCs w:val="24"/>
        </w:rPr>
      </w:pPr>
    </w:p>
    <w:p w14:paraId="468B0A27" w14:textId="77777777" w:rsidR="00B90E75" w:rsidRDefault="00B90E75" w:rsidP="00C363D3">
      <w:pPr>
        <w:widowControl w:val="0"/>
        <w:spacing w:after="0"/>
        <w:ind w:right="20"/>
        <w:jc w:val="both"/>
        <w:rPr>
          <w:rFonts w:ascii="Times New Roman" w:eastAsia="Times New Roman" w:hAnsi="Times New Roman" w:cs="Times New Roman"/>
          <w:sz w:val="24"/>
          <w:szCs w:val="24"/>
          <w:lang w:bidi="pl-PL"/>
        </w:rPr>
      </w:pPr>
      <w:r w:rsidRPr="00B90E75">
        <w:rPr>
          <w:rFonts w:ascii="Times New Roman" w:eastAsia="Times New Roman" w:hAnsi="Times New Roman" w:cs="Times New Roman"/>
          <w:sz w:val="24"/>
          <w:szCs w:val="24"/>
          <w:lang w:bidi="pl-PL"/>
        </w:rPr>
        <w:t xml:space="preserve">Na stronie internetowej kampanii </w:t>
      </w:r>
      <w:hyperlink r:id="rId19" w:history="1">
        <w:r w:rsidRPr="00B90E75">
          <w:rPr>
            <w:rStyle w:val="Hipercze"/>
            <w:rFonts w:ascii="Times New Roman" w:eastAsia="Times New Roman" w:hAnsi="Times New Roman" w:cs="Times New Roman"/>
            <w:sz w:val="24"/>
            <w:szCs w:val="24"/>
          </w:rPr>
          <w:t>www.wyleczdepresje.pl</w:t>
        </w:r>
      </w:hyperlink>
      <w:r w:rsidRPr="00B90E75">
        <w:rPr>
          <w:rFonts w:ascii="Times New Roman" w:eastAsia="Times New Roman" w:hAnsi="Times New Roman" w:cs="Times New Roman"/>
          <w:sz w:val="24"/>
          <w:szCs w:val="24"/>
        </w:rPr>
        <w:t xml:space="preserve"> </w:t>
      </w:r>
      <w:r w:rsidRPr="00B90E75">
        <w:rPr>
          <w:rFonts w:ascii="Times New Roman" w:eastAsia="Times New Roman" w:hAnsi="Times New Roman" w:cs="Times New Roman"/>
          <w:sz w:val="24"/>
          <w:szCs w:val="24"/>
          <w:lang w:bidi="pl-PL"/>
        </w:rPr>
        <w:t>zostały udostępnione w formie elektronicznej wszystkie opracowane materiały, w tym broszury, filmy oraz rekomendacje postępowania w zakresie profilaktyki, diagnostyki i leczenia.</w:t>
      </w:r>
    </w:p>
    <w:p w14:paraId="5F115E58" w14:textId="77777777" w:rsidR="009B7437" w:rsidRPr="00B90E75" w:rsidRDefault="009B7437" w:rsidP="00C363D3">
      <w:pPr>
        <w:widowControl w:val="0"/>
        <w:spacing w:after="0"/>
        <w:ind w:right="20"/>
        <w:jc w:val="both"/>
        <w:rPr>
          <w:rFonts w:ascii="Times New Roman" w:eastAsia="Times New Roman" w:hAnsi="Times New Roman" w:cs="Times New Roman"/>
          <w:sz w:val="24"/>
          <w:szCs w:val="24"/>
          <w:lang w:bidi="pl-PL"/>
        </w:rPr>
      </w:pPr>
    </w:p>
    <w:p w14:paraId="385D508D" w14:textId="77777777" w:rsidR="00B90E75" w:rsidRPr="009B7437" w:rsidRDefault="00B90E75" w:rsidP="008C71A9">
      <w:pPr>
        <w:pStyle w:val="Akapitzlist"/>
        <w:widowControl w:val="0"/>
        <w:numPr>
          <w:ilvl w:val="0"/>
          <w:numId w:val="247"/>
        </w:numPr>
        <w:spacing w:after="0"/>
        <w:ind w:right="20"/>
        <w:jc w:val="both"/>
        <w:rPr>
          <w:rFonts w:ascii="Times New Roman" w:eastAsia="Times New Roman" w:hAnsi="Times New Roman" w:cs="Times New Roman"/>
          <w:b/>
          <w:bCs/>
          <w:sz w:val="24"/>
          <w:szCs w:val="24"/>
        </w:rPr>
      </w:pPr>
      <w:r w:rsidRPr="009B7437">
        <w:rPr>
          <w:rFonts w:ascii="Times New Roman" w:eastAsia="Times New Roman" w:hAnsi="Times New Roman" w:cs="Times New Roman"/>
          <w:b/>
          <w:bCs/>
          <w:sz w:val="24"/>
          <w:szCs w:val="24"/>
        </w:rPr>
        <w:t>Narodowy Program Zwalczania Chorób Nowotworowych</w:t>
      </w:r>
    </w:p>
    <w:p w14:paraId="6EE8115A" w14:textId="77777777" w:rsidR="00B90E75" w:rsidRPr="00B90E75" w:rsidRDefault="00B90E75" w:rsidP="00C363D3">
      <w:pPr>
        <w:widowControl w:val="0"/>
        <w:spacing w:after="0"/>
        <w:ind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sz w:val="24"/>
          <w:szCs w:val="24"/>
        </w:rPr>
        <w:t xml:space="preserve">W ramach Narodowego Programu Zwalczania Chorób Nowotworowych (którego zadania obecnie realizowane są w ramach Narodowej Strategii Onkologicznej) nie było programów dedykowanych w sposób szczególny osobom starszym. Osoby z tej grup mogły jednakże uczestniczyć w następujących zadaniach ww. programu, w szczególności ukierunkowanych na działania profilaktyczne: </w:t>
      </w:r>
    </w:p>
    <w:p w14:paraId="57EEAB9F" w14:textId="77777777" w:rsidR="00B90E75" w:rsidRPr="00B90E75" w:rsidRDefault="00B90E75" w:rsidP="008C71A9">
      <w:pPr>
        <w:widowControl w:val="0"/>
        <w:numPr>
          <w:ilvl w:val="0"/>
          <w:numId w:val="281"/>
        </w:numPr>
        <w:spacing w:after="0"/>
        <w:ind w:left="643"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sz w:val="24"/>
          <w:szCs w:val="24"/>
        </w:rPr>
        <w:t xml:space="preserve">Program badań przesiewowych raka jelita grubego, </w:t>
      </w:r>
    </w:p>
    <w:p w14:paraId="7A3ACB66" w14:textId="77777777" w:rsidR="00B90E75" w:rsidRDefault="00B90E75" w:rsidP="008C71A9">
      <w:pPr>
        <w:widowControl w:val="0"/>
        <w:numPr>
          <w:ilvl w:val="0"/>
          <w:numId w:val="281"/>
        </w:numPr>
        <w:spacing w:after="0"/>
        <w:ind w:left="643"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sz w:val="24"/>
          <w:szCs w:val="24"/>
        </w:rPr>
        <w:t>Program opieki nad rodzinami wysokiego, dziedzicznie uwarunkowanego ryzyka zachorowania na nowotwory złośliwe.</w:t>
      </w:r>
    </w:p>
    <w:p w14:paraId="3C9A03B0" w14:textId="77777777" w:rsidR="009B7437" w:rsidRDefault="009B7437" w:rsidP="00C363D3">
      <w:pPr>
        <w:widowControl w:val="0"/>
        <w:spacing w:after="0"/>
        <w:ind w:left="283" w:right="20"/>
        <w:jc w:val="both"/>
        <w:rPr>
          <w:rFonts w:ascii="Times New Roman" w:eastAsia="Times New Roman" w:hAnsi="Times New Roman" w:cs="Times New Roman"/>
          <w:sz w:val="24"/>
          <w:szCs w:val="24"/>
        </w:rPr>
      </w:pPr>
    </w:p>
    <w:p w14:paraId="7B8C45AF" w14:textId="77777777" w:rsidR="00B62A72" w:rsidRPr="00F70044" w:rsidRDefault="00F913F4" w:rsidP="00F70044">
      <w:pPr>
        <w:widowControl w:val="0"/>
        <w:spacing w:after="0"/>
        <w:ind w:right="20"/>
        <w:rPr>
          <w:rFonts w:ascii="Times New Roman" w:eastAsia="Times New Roman" w:hAnsi="Times New Roman" w:cs="Times New Roman"/>
          <w:b/>
          <w:color w:val="00B0F0"/>
          <w:sz w:val="24"/>
          <w:szCs w:val="24"/>
        </w:rPr>
      </w:pPr>
      <w:r w:rsidRPr="00F913F4">
        <w:rPr>
          <w:rFonts w:ascii="Times New Roman" w:eastAsia="Times New Roman" w:hAnsi="Times New Roman" w:cs="Times New Roman"/>
          <w:b/>
          <w:color w:val="00B0F0"/>
          <w:sz w:val="24"/>
          <w:szCs w:val="24"/>
        </w:rPr>
        <w:t>Działania z zakresu profilaktyki i promocji zdrowia</w:t>
      </w:r>
    </w:p>
    <w:p w14:paraId="4F5A471B" w14:textId="77777777" w:rsidR="00B90E75" w:rsidRPr="00B62A72" w:rsidRDefault="00B90E75" w:rsidP="00B62A72">
      <w:pPr>
        <w:spacing w:after="0"/>
        <w:jc w:val="both"/>
        <w:rPr>
          <w:rFonts w:ascii="Times New Roman" w:eastAsia="Times New Roman" w:hAnsi="Times New Roman" w:cs="Times New Roman"/>
          <w:sz w:val="24"/>
          <w:szCs w:val="24"/>
          <w:lang w:eastAsia="pl-PL" w:bidi="pl-PL"/>
        </w:rPr>
      </w:pPr>
      <w:r w:rsidRPr="00B62A72">
        <w:rPr>
          <w:rFonts w:ascii="Times New Roman" w:eastAsia="Times New Roman" w:hAnsi="Times New Roman" w:cs="Times New Roman"/>
          <w:b/>
          <w:bCs/>
          <w:sz w:val="24"/>
          <w:szCs w:val="24"/>
          <w:lang w:eastAsia="pl-PL" w:bidi="pl-PL"/>
        </w:rPr>
        <w:t>Kampania „Środa z Profilaktyką”</w:t>
      </w:r>
      <w:r w:rsidRPr="00B62A72">
        <w:rPr>
          <w:rFonts w:ascii="Times New Roman" w:eastAsia="Times New Roman" w:hAnsi="Times New Roman" w:cs="Times New Roman"/>
          <w:sz w:val="24"/>
          <w:szCs w:val="24"/>
          <w:lang w:eastAsia="pl-PL" w:bidi="pl-PL"/>
        </w:rPr>
        <w:t xml:space="preserve"> </w:t>
      </w:r>
    </w:p>
    <w:p w14:paraId="5566AC73" w14:textId="77777777" w:rsidR="00B90E75" w:rsidRPr="00B90E75" w:rsidRDefault="00B90E75" w:rsidP="00C363D3">
      <w:pPr>
        <w:pStyle w:val="Akapitzlist"/>
        <w:spacing w:after="0"/>
        <w:ind w:left="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Cykliczna akcja profilaktyczna mająca za zadanie zwiększenie wiedzy oraz świadomości Polaków na temat czynników ryzyka zachorowania na wybrane choroby cywilizacyjne oraz profilaktyki tychże chorób (np. cukrzycy, nadciśnienia tętniczego, osteoporoza) poprzez:</w:t>
      </w:r>
    </w:p>
    <w:p w14:paraId="5EF2A938" w14:textId="77777777" w:rsidR="00B90E75" w:rsidRPr="00B90E75" w:rsidRDefault="00B90E75" w:rsidP="008C71A9">
      <w:pPr>
        <w:pStyle w:val="Akapitzlist"/>
        <w:numPr>
          <w:ilvl w:val="0"/>
          <w:numId w:val="369"/>
        </w:numPr>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naukę właściwych postaw prozdrowotnych;</w:t>
      </w:r>
    </w:p>
    <w:p w14:paraId="1E52A356" w14:textId="77777777" w:rsidR="00B90E75" w:rsidRPr="00B90E75" w:rsidRDefault="00B90E75" w:rsidP="008C71A9">
      <w:pPr>
        <w:pStyle w:val="Akapitzlist"/>
        <w:numPr>
          <w:ilvl w:val="0"/>
          <w:numId w:val="369"/>
        </w:numPr>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współpracę z organizacjami pacjentów; </w:t>
      </w:r>
    </w:p>
    <w:p w14:paraId="6350D37C" w14:textId="77777777" w:rsidR="00B90E75" w:rsidRPr="00B90E75" w:rsidRDefault="00B90E75" w:rsidP="008C71A9">
      <w:pPr>
        <w:pStyle w:val="Akapitzlist"/>
        <w:numPr>
          <w:ilvl w:val="0"/>
          <w:numId w:val="369"/>
        </w:numPr>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naukę pierwszej pomocy przedmedycznej; </w:t>
      </w:r>
    </w:p>
    <w:p w14:paraId="2ECE338F" w14:textId="77777777" w:rsidR="00B90E75" w:rsidRPr="00B90E75" w:rsidRDefault="00B90E75" w:rsidP="008C71A9">
      <w:pPr>
        <w:pStyle w:val="Akapitzlist"/>
        <w:numPr>
          <w:ilvl w:val="0"/>
          <w:numId w:val="369"/>
        </w:numPr>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edukację w zakresie samobadania, np. piersi; </w:t>
      </w:r>
    </w:p>
    <w:p w14:paraId="379CC3ED" w14:textId="77777777" w:rsidR="00B90E75" w:rsidRPr="00B90E75" w:rsidRDefault="00B90E75" w:rsidP="008C71A9">
      <w:pPr>
        <w:pStyle w:val="Akapitzlist"/>
        <w:numPr>
          <w:ilvl w:val="0"/>
          <w:numId w:val="369"/>
        </w:numPr>
        <w:spacing w:after="0"/>
        <w:ind w:left="360"/>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dystrybucję bezpłatnych materiałów edukacyjnych dla osób odwiedzających Oddziały Wojewódzkie NFZ. </w:t>
      </w:r>
    </w:p>
    <w:p w14:paraId="14151FCF" w14:textId="77777777" w:rsidR="00B62A72" w:rsidRDefault="00B62A72" w:rsidP="00C363D3">
      <w:pPr>
        <w:pStyle w:val="Akapitzlist"/>
        <w:spacing w:after="0"/>
        <w:ind w:left="0"/>
        <w:jc w:val="both"/>
        <w:rPr>
          <w:rFonts w:ascii="Times New Roman" w:eastAsia="Times New Roman" w:hAnsi="Times New Roman" w:cs="Times New Roman"/>
          <w:color w:val="000000"/>
          <w:sz w:val="24"/>
          <w:szCs w:val="24"/>
          <w:lang w:eastAsia="pl-PL" w:bidi="pl-PL"/>
        </w:rPr>
      </w:pPr>
    </w:p>
    <w:p w14:paraId="09721155" w14:textId="77777777" w:rsidR="00B90E75" w:rsidRDefault="003C1988" w:rsidP="00C363D3">
      <w:pPr>
        <w:pStyle w:val="Akapitzlist"/>
        <w:spacing w:after="0"/>
        <w:ind w:left="0"/>
        <w:jc w:val="both"/>
        <w:rPr>
          <w:rFonts w:ascii="Times New Roman" w:eastAsia="Times New Roman" w:hAnsi="Times New Roman" w:cs="Times New Roman"/>
          <w:color w:val="000000"/>
          <w:sz w:val="24"/>
          <w:szCs w:val="24"/>
          <w:lang w:eastAsia="pl-PL" w:bidi="pl-PL"/>
        </w:rPr>
      </w:pPr>
      <w:r>
        <w:rPr>
          <w:rFonts w:ascii="Times New Roman" w:eastAsia="Times New Roman" w:hAnsi="Times New Roman" w:cs="Times New Roman"/>
          <w:color w:val="000000"/>
          <w:sz w:val="24"/>
          <w:szCs w:val="24"/>
          <w:lang w:eastAsia="pl-PL" w:bidi="pl-PL"/>
        </w:rPr>
        <w:t>W 2019 r.</w:t>
      </w:r>
      <w:r w:rsidR="00B90E75" w:rsidRPr="00B90E75">
        <w:rPr>
          <w:rFonts w:ascii="Times New Roman" w:eastAsia="Times New Roman" w:hAnsi="Times New Roman" w:cs="Times New Roman"/>
          <w:color w:val="000000"/>
          <w:sz w:val="24"/>
          <w:szCs w:val="24"/>
          <w:lang w:eastAsia="pl-PL" w:bidi="pl-PL"/>
        </w:rPr>
        <w:t xml:space="preserve"> od września zostały zrealizowane trzy duże </w:t>
      </w:r>
      <w:r w:rsidR="00B90E75" w:rsidRPr="00B90E75">
        <w:rPr>
          <w:rFonts w:ascii="Times New Roman" w:eastAsia="Times New Roman" w:hAnsi="Times New Roman" w:cs="Times New Roman"/>
          <w:b/>
          <w:bCs/>
          <w:color w:val="000000"/>
          <w:sz w:val="24"/>
          <w:szCs w:val="24"/>
          <w:lang w:eastAsia="pl-PL" w:bidi="pl-PL"/>
        </w:rPr>
        <w:t>Ogólnopolskie Środy z Profilaktyką</w:t>
      </w:r>
      <w:r w:rsidR="00B90E75" w:rsidRPr="00B90E75">
        <w:rPr>
          <w:rFonts w:ascii="Times New Roman" w:eastAsia="Times New Roman" w:hAnsi="Times New Roman" w:cs="Times New Roman"/>
          <w:color w:val="000000"/>
          <w:sz w:val="24"/>
          <w:szCs w:val="24"/>
          <w:lang w:eastAsia="pl-PL" w:bidi="pl-PL"/>
        </w:rPr>
        <w:t>, na temat:</w:t>
      </w:r>
      <w:r w:rsidR="00B62A72">
        <w:rPr>
          <w:rFonts w:ascii="Times New Roman" w:eastAsia="Times New Roman" w:hAnsi="Times New Roman" w:cs="Times New Roman"/>
          <w:color w:val="000000"/>
          <w:sz w:val="24"/>
          <w:szCs w:val="24"/>
          <w:lang w:eastAsia="pl-PL" w:bidi="pl-PL"/>
        </w:rPr>
        <w:t xml:space="preserve"> </w:t>
      </w:r>
      <w:r w:rsidR="00B90E75" w:rsidRPr="00B62A72">
        <w:rPr>
          <w:rFonts w:ascii="Times New Roman" w:eastAsia="Times New Roman" w:hAnsi="Times New Roman" w:cs="Times New Roman"/>
          <w:color w:val="000000"/>
          <w:sz w:val="24"/>
          <w:szCs w:val="24"/>
          <w:lang w:eastAsia="pl-PL" w:bidi="pl-PL"/>
        </w:rPr>
        <w:t xml:space="preserve">POChP,  </w:t>
      </w:r>
      <w:r w:rsidR="00B62A72">
        <w:rPr>
          <w:rFonts w:ascii="Times New Roman" w:eastAsia="Times New Roman" w:hAnsi="Times New Roman" w:cs="Times New Roman"/>
          <w:color w:val="000000"/>
          <w:sz w:val="24"/>
          <w:szCs w:val="24"/>
          <w:lang w:eastAsia="pl-PL" w:bidi="pl-PL"/>
        </w:rPr>
        <w:t xml:space="preserve">osteoporozy i </w:t>
      </w:r>
      <w:r w:rsidR="00B90E75" w:rsidRPr="00B62A72">
        <w:rPr>
          <w:rFonts w:ascii="Times New Roman" w:eastAsia="Times New Roman" w:hAnsi="Times New Roman" w:cs="Times New Roman"/>
          <w:color w:val="000000"/>
          <w:sz w:val="24"/>
          <w:szCs w:val="24"/>
          <w:lang w:eastAsia="pl-PL" w:bidi="pl-PL"/>
        </w:rPr>
        <w:t>cukrzycy.</w:t>
      </w:r>
      <w:r w:rsidR="00B62A72">
        <w:rPr>
          <w:rFonts w:ascii="Times New Roman" w:eastAsia="Times New Roman" w:hAnsi="Times New Roman" w:cs="Times New Roman"/>
          <w:color w:val="000000"/>
          <w:sz w:val="24"/>
          <w:szCs w:val="24"/>
          <w:lang w:eastAsia="pl-PL" w:bidi="pl-PL"/>
        </w:rPr>
        <w:t xml:space="preserve"> </w:t>
      </w:r>
      <w:r w:rsidR="00B90E75" w:rsidRPr="00B90E75">
        <w:rPr>
          <w:rFonts w:ascii="Times New Roman" w:eastAsia="Times New Roman" w:hAnsi="Times New Roman" w:cs="Times New Roman"/>
          <w:color w:val="000000"/>
          <w:sz w:val="24"/>
          <w:szCs w:val="24"/>
          <w:lang w:eastAsia="pl-PL" w:bidi="pl-PL"/>
        </w:rPr>
        <w:t>Dodatkowo, w 2019 r. przygotowano publikacje artykułów na temat profilaktyki zdrowotnej w wybranych tytułach prasowych.</w:t>
      </w:r>
    </w:p>
    <w:p w14:paraId="780FA824" w14:textId="77777777" w:rsidR="003C1988" w:rsidRPr="00B90E75" w:rsidRDefault="003C1988" w:rsidP="00C363D3">
      <w:pPr>
        <w:pStyle w:val="Akapitzlist"/>
        <w:spacing w:after="0"/>
        <w:ind w:left="0"/>
        <w:jc w:val="both"/>
        <w:rPr>
          <w:rFonts w:ascii="Times New Roman" w:eastAsia="Times New Roman" w:hAnsi="Times New Roman" w:cs="Times New Roman"/>
          <w:color w:val="000000"/>
          <w:sz w:val="24"/>
          <w:szCs w:val="24"/>
          <w:lang w:eastAsia="pl-PL" w:bidi="pl-PL"/>
        </w:rPr>
      </w:pPr>
    </w:p>
    <w:p w14:paraId="0BB26B1C" w14:textId="77777777" w:rsidR="00B90E75" w:rsidRPr="00B62A72" w:rsidRDefault="00B62A72" w:rsidP="00B62A72">
      <w:pPr>
        <w:spacing w:after="0"/>
        <w:jc w:val="both"/>
        <w:rPr>
          <w:rFonts w:ascii="Times New Roman" w:eastAsia="Times New Roman" w:hAnsi="Times New Roman" w:cs="Times New Roman"/>
          <w:b/>
          <w:bCs/>
          <w:color w:val="2E74B5" w:themeColor="accent1" w:themeShade="BF"/>
          <w:sz w:val="24"/>
          <w:szCs w:val="24"/>
          <w:lang w:eastAsia="pl-PL" w:bidi="pl-PL"/>
        </w:rPr>
      </w:pPr>
      <w:r>
        <w:rPr>
          <w:rFonts w:ascii="Times New Roman" w:eastAsia="Times New Roman" w:hAnsi="Times New Roman" w:cs="Times New Roman"/>
          <w:b/>
          <w:bCs/>
          <w:sz w:val="24"/>
          <w:szCs w:val="24"/>
          <w:lang w:eastAsia="pl-PL" w:bidi="pl-PL"/>
        </w:rPr>
        <w:lastRenderedPageBreak/>
        <w:t xml:space="preserve">Program </w:t>
      </w:r>
      <w:r w:rsidR="00B90E75" w:rsidRPr="00B62A72">
        <w:rPr>
          <w:rFonts w:ascii="Times New Roman" w:eastAsia="Times New Roman" w:hAnsi="Times New Roman" w:cs="Times New Roman"/>
          <w:b/>
          <w:bCs/>
          <w:sz w:val="24"/>
          <w:szCs w:val="24"/>
          <w:lang w:eastAsia="pl-PL" w:bidi="pl-PL"/>
        </w:rPr>
        <w:t xml:space="preserve">profilaktyki raka piersi </w:t>
      </w:r>
      <w:r w:rsidR="00B90E75" w:rsidRPr="00B62A72">
        <w:rPr>
          <w:rFonts w:ascii="Times New Roman" w:eastAsia="Times New Roman" w:hAnsi="Times New Roman" w:cs="Times New Roman"/>
          <w:color w:val="000000"/>
          <w:sz w:val="24"/>
          <w:szCs w:val="24"/>
          <w:lang w:eastAsia="pl-PL" w:bidi="pl-PL"/>
        </w:rPr>
        <w:t>(kobiety w wieku 50 – 69 lat)</w:t>
      </w:r>
    </w:p>
    <w:p w14:paraId="56C3D8BA" w14:textId="77777777" w:rsidR="00B90E75" w:rsidRDefault="00B90E75" w:rsidP="00C363D3">
      <w:pPr>
        <w:spacing w:after="0"/>
        <w:jc w:val="both"/>
        <w:rPr>
          <w:rFonts w:ascii="Times New Roman" w:eastAsia="Times New Roman" w:hAnsi="Times New Roman" w:cs="Times New Roman"/>
          <w:b/>
          <w:bCs/>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W ramach programu profilaktyki raka piersi, w 2019 r. </w:t>
      </w:r>
      <w:r w:rsidRPr="00F913F4">
        <w:rPr>
          <w:rFonts w:ascii="Times New Roman" w:eastAsia="Times New Roman" w:hAnsi="Times New Roman" w:cs="Times New Roman"/>
          <w:bCs/>
          <w:color w:val="000000"/>
          <w:sz w:val="24"/>
          <w:szCs w:val="24"/>
          <w:lang w:eastAsia="pl-PL" w:bidi="pl-PL"/>
        </w:rPr>
        <w:t>przebadano</w:t>
      </w:r>
      <w:r w:rsidRPr="00F913F4">
        <w:rPr>
          <w:rFonts w:ascii="Times New Roman" w:eastAsia="Times New Roman" w:hAnsi="Times New Roman" w:cs="Times New Roman"/>
          <w:color w:val="000000"/>
          <w:sz w:val="24"/>
          <w:szCs w:val="24"/>
          <w:lang w:eastAsia="pl-PL" w:bidi="pl-PL"/>
        </w:rPr>
        <w:t xml:space="preserve"> </w:t>
      </w:r>
      <w:r w:rsidRPr="00F913F4">
        <w:rPr>
          <w:rFonts w:ascii="Times New Roman" w:eastAsia="Times New Roman" w:hAnsi="Times New Roman" w:cs="Times New Roman"/>
          <w:bCs/>
          <w:color w:val="000000"/>
          <w:sz w:val="24"/>
          <w:szCs w:val="24"/>
          <w:lang w:eastAsia="pl-PL" w:bidi="pl-PL"/>
        </w:rPr>
        <w:t>ponad 600 tys. kobiet w wieku 60 – 69 lat.</w:t>
      </w:r>
    </w:p>
    <w:p w14:paraId="325E4351" w14:textId="77777777" w:rsidR="003C1988" w:rsidRPr="00B90E75" w:rsidRDefault="003C1988" w:rsidP="00C363D3">
      <w:pPr>
        <w:spacing w:after="0"/>
        <w:jc w:val="both"/>
        <w:rPr>
          <w:rFonts w:ascii="Times New Roman" w:eastAsia="Times New Roman" w:hAnsi="Times New Roman" w:cs="Times New Roman"/>
          <w:color w:val="000000"/>
          <w:sz w:val="24"/>
          <w:szCs w:val="24"/>
          <w:lang w:eastAsia="pl-PL" w:bidi="pl-PL"/>
        </w:rPr>
      </w:pPr>
    </w:p>
    <w:p w14:paraId="65495BE8" w14:textId="64B49B19" w:rsidR="002A1454" w:rsidRPr="002A1454" w:rsidRDefault="002A1454" w:rsidP="002A1454">
      <w:pPr>
        <w:pStyle w:val="Legenda"/>
        <w:keepNext/>
        <w:rPr>
          <w:rFonts w:ascii="Times New Roman" w:hAnsi="Times New Roman" w:cs="Times New Roman"/>
          <w:b/>
          <w:i w:val="0"/>
          <w:sz w:val="24"/>
        </w:rPr>
      </w:pPr>
      <w:bookmarkStart w:id="79" w:name="_Toc49171423"/>
      <w:r w:rsidRPr="002A1454">
        <w:rPr>
          <w:rFonts w:ascii="Times New Roman" w:hAnsi="Times New Roman" w:cs="Times New Roman"/>
          <w:b/>
          <w:i w:val="0"/>
          <w:sz w:val="24"/>
        </w:rPr>
        <w:t xml:space="preserve">Tabela </w:t>
      </w:r>
      <w:r w:rsidRPr="002A1454">
        <w:rPr>
          <w:rFonts w:ascii="Times New Roman" w:hAnsi="Times New Roman" w:cs="Times New Roman"/>
          <w:b/>
          <w:i w:val="0"/>
          <w:sz w:val="24"/>
        </w:rPr>
        <w:fldChar w:fldCharType="begin"/>
      </w:r>
      <w:r w:rsidRPr="002A1454">
        <w:rPr>
          <w:rFonts w:ascii="Times New Roman" w:hAnsi="Times New Roman" w:cs="Times New Roman"/>
          <w:b/>
          <w:i w:val="0"/>
          <w:sz w:val="24"/>
        </w:rPr>
        <w:instrText xml:space="preserve"> SEQ Tabela \* ARABIC </w:instrText>
      </w:r>
      <w:r w:rsidRPr="002A1454">
        <w:rPr>
          <w:rFonts w:ascii="Times New Roman" w:hAnsi="Times New Roman" w:cs="Times New Roman"/>
          <w:b/>
          <w:i w:val="0"/>
          <w:sz w:val="24"/>
        </w:rPr>
        <w:fldChar w:fldCharType="separate"/>
      </w:r>
      <w:r w:rsidR="00C154C9">
        <w:rPr>
          <w:rFonts w:ascii="Times New Roman" w:hAnsi="Times New Roman" w:cs="Times New Roman"/>
          <w:b/>
          <w:i w:val="0"/>
          <w:noProof/>
          <w:sz w:val="24"/>
        </w:rPr>
        <w:t>48</w:t>
      </w:r>
      <w:r w:rsidRPr="002A1454">
        <w:rPr>
          <w:rFonts w:ascii="Times New Roman" w:hAnsi="Times New Roman" w:cs="Times New Roman"/>
          <w:b/>
          <w:i w:val="0"/>
          <w:sz w:val="24"/>
        </w:rPr>
        <w:fldChar w:fldCharType="end"/>
      </w:r>
      <w:r w:rsidRPr="002A1454">
        <w:rPr>
          <w:rFonts w:ascii="Times New Roman" w:hAnsi="Times New Roman" w:cs="Times New Roman"/>
          <w:b/>
          <w:i w:val="0"/>
          <w:sz w:val="24"/>
        </w:rPr>
        <w:t xml:space="preserve"> Dane na temat liczby kobiet przebadanych w 2019 r.  ramach programu profilaktyki raka piersi</w:t>
      </w:r>
      <w:bookmarkEnd w:id="79"/>
    </w:p>
    <w:tbl>
      <w:tblPr>
        <w:tblW w:w="5377"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0" w:type="dxa"/>
          <w:right w:w="0" w:type="dxa"/>
        </w:tblCellMar>
        <w:tblLook w:val="04A0" w:firstRow="1" w:lastRow="0" w:firstColumn="1" w:lastColumn="0" w:noHBand="0" w:noVBand="1"/>
      </w:tblPr>
      <w:tblGrid>
        <w:gridCol w:w="1124"/>
        <w:gridCol w:w="4253"/>
      </w:tblGrid>
      <w:tr w:rsidR="00B90E75" w:rsidRPr="0024040E" w14:paraId="0EE4F59D" w14:textId="77777777" w:rsidTr="0024040E">
        <w:trPr>
          <w:trHeight w:val="507"/>
          <w:jc w:val="center"/>
        </w:trPr>
        <w:tc>
          <w:tcPr>
            <w:tcW w:w="1124" w:type="dxa"/>
            <w:shd w:val="clear" w:color="auto" w:fill="9CC2E5" w:themeFill="accent1" w:themeFillTint="99"/>
            <w:tcMar>
              <w:top w:w="15" w:type="dxa"/>
              <w:left w:w="86" w:type="dxa"/>
              <w:bottom w:w="0" w:type="dxa"/>
              <w:right w:w="86" w:type="dxa"/>
            </w:tcMar>
            <w:vAlign w:val="center"/>
            <w:hideMark/>
          </w:tcPr>
          <w:p w14:paraId="4A57B92F" w14:textId="77777777" w:rsidR="00B90E75" w:rsidRPr="0024040E" w:rsidRDefault="00B90E75" w:rsidP="00A55962">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Wiek</w:t>
            </w:r>
          </w:p>
        </w:tc>
        <w:tc>
          <w:tcPr>
            <w:tcW w:w="4253" w:type="dxa"/>
            <w:shd w:val="clear" w:color="auto" w:fill="9CC2E5" w:themeFill="accent1" w:themeFillTint="99"/>
            <w:tcMar>
              <w:top w:w="15" w:type="dxa"/>
              <w:left w:w="86" w:type="dxa"/>
              <w:bottom w:w="0" w:type="dxa"/>
              <w:right w:w="86" w:type="dxa"/>
            </w:tcMar>
            <w:vAlign w:val="center"/>
            <w:hideMark/>
          </w:tcPr>
          <w:p w14:paraId="22681B1D" w14:textId="77777777" w:rsidR="00B90E75" w:rsidRPr="0024040E" w:rsidRDefault="00B90E75" w:rsidP="00A55962">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Liczba kobiet przebadanych w 2019 r.</w:t>
            </w:r>
          </w:p>
        </w:tc>
      </w:tr>
      <w:tr w:rsidR="00B90E75" w:rsidRPr="0024040E" w14:paraId="260C12A5" w14:textId="77777777" w:rsidTr="0024040E">
        <w:trPr>
          <w:trHeight w:val="230"/>
          <w:jc w:val="center"/>
        </w:trPr>
        <w:tc>
          <w:tcPr>
            <w:tcW w:w="1124" w:type="dxa"/>
            <w:shd w:val="clear" w:color="auto" w:fill="9CC2E5" w:themeFill="accent1" w:themeFillTint="99"/>
            <w:tcMar>
              <w:top w:w="15" w:type="dxa"/>
              <w:left w:w="86" w:type="dxa"/>
              <w:bottom w:w="0" w:type="dxa"/>
              <w:right w:w="86" w:type="dxa"/>
            </w:tcMar>
            <w:vAlign w:val="bottom"/>
            <w:hideMark/>
          </w:tcPr>
          <w:p w14:paraId="00AF45DB"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60</w:t>
            </w:r>
          </w:p>
        </w:tc>
        <w:tc>
          <w:tcPr>
            <w:tcW w:w="4253" w:type="dxa"/>
            <w:shd w:val="clear" w:color="auto" w:fill="FFFFFF" w:themeFill="background1"/>
            <w:tcMar>
              <w:top w:w="15" w:type="dxa"/>
              <w:left w:w="86" w:type="dxa"/>
              <w:bottom w:w="0" w:type="dxa"/>
              <w:right w:w="86" w:type="dxa"/>
            </w:tcMar>
            <w:vAlign w:val="bottom"/>
            <w:hideMark/>
          </w:tcPr>
          <w:p w14:paraId="5F17906A"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57 491</w:t>
            </w:r>
          </w:p>
        </w:tc>
      </w:tr>
      <w:tr w:rsidR="00B90E75" w:rsidRPr="0024040E" w14:paraId="54899BA4" w14:textId="77777777" w:rsidTr="0024040E">
        <w:trPr>
          <w:trHeight w:val="177"/>
          <w:jc w:val="center"/>
        </w:trPr>
        <w:tc>
          <w:tcPr>
            <w:tcW w:w="1124" w:type="dxa"/>
            <w:shd w:val="clear" w:color="auto" w:fill="9CC2E5" w:themeFill="accent1" w:themeFillTint="99"/>
            <w:tcMar>
              <w:top w:w="15" w:type="dxa"/>
              <w:left w:w="86" w:type="dxa"/>
              <w:bottom w:w="0" w:type="dxa"/>
              <w:right w:w="86" w:type="dxa"/>
            </w:tcMar>
            <w:vAlign w:val="bottom"/>
            <w:hideMark/>
          </w:tcPr>
          <w:p w14:paraId="3834049B"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61</w:t>
            </w:r>
          </w:p>
        </w:tc>
        <w:tc>
          <w:tcPr>
            <w:tcW w:w="4253" w:type="dxa"/>
            <w:shd w:val="clear" w:color="auto" w:fill="FFFFFF" w:themeFill="background1"/>
            <w:tcMar>
              <w:top w:w="15" w:type="dxa"/>
              <w:left w:w="86" w:type="dxa"/>
              <w:bottom w:w="0" w:type="dxa"/>
              <w:right w:w="86" w:type="dxa"/>
            </w:tcMar>
            <w:vAlign w:val="bottom"/>
            <w:hideMark/>
          </w:tcPr>
          <w:p w14:paraId="3EA17EC8"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59 318</w:t>
            </w:r>
          </w:p>
        </w:tc>
      </w:tr>
      <w:tr w:rsidR="00B90E75" w:rsidRPr="0024040E" w14:paraId="2B329699" w14:textId="77777777" w:rsidTr="0024040E">
        <w:trPr>
          <w:trHeight w:val="253"/>
          <w:jc w:val="center"/>
        </w:trPr>
        <w:tc>
          <w:tcPr>
            <w:tcW w:w="1124" w:type="dxa"/>
            <w:shd w:val="clear" w:color="auto" w:fill="9CC2E5" w:themeFill="accent1" w:themeFillTint="99"/>
            <w:tcMar>
              <w:top w:w="15" w:type="dxa"/>
              <w:left w:w="86" w:type="dxa"/>
              <w:bottom w:w="0" w:type="dxa"/>
              <w:right w:w="86" w:type="dxa"/>
            </w:tcMar>
            <w:vAlign w:val="bottom"/>
            <w:hideMark/>
          </w:tcPr>
          <w:p w14:paraId="3E24CC61"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62</w:t>
            </w:r>
          </w:p>
        </w:tc>
        <w:tc>
          <w:tcPr>
            <w:tcW w:w="4253" w:type="dxa"/>
            <w:shd w:val="clear" w:color="auto" w:fill="FFFFFF" w:themeFill="background1"/>
            <w:tcMar>
              <w:top w:w="15" w:type="dxa"/>
              <w:left w:w="86" w:type="dxa"/>
              <w:bottom w:w="0" w:type="dxa"/>
              <w:right w:w="86" w:type="dxa"/>
            </w:tcMar>
            <w:vAlign w:val="bottom"/>
            <w:hideMark/>
          </w:tcPr>
          <w:p w14:paraId="24C16B00"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62 029</w:t>
            </w:r>
          </w:p>
        </w:tc>
      </w:tr>
      <w:tr w:rsidR="00B90E75" w:rsidRPr="0024040E" w14:paraId="588CA322" w14:textId="77777777" w:rsidTr="0024040E">
        <w:trPr>
          <w:trHeight w:val="201"/>
          <w:jc w:val="center"/>
        </w:trPr>
        <w:tc>
          <w:tcPr>
            <w:tcW w:w="1124" w:type="dxa"/>
            <w:shd w:val="clear" w:color="auto" w:fill="9CC2E5" w:themeFill="accent1" w:themeFillTint="99"/>
            <w:tcMar>
              <w:top w:w="15" w:type="dxa"/>
              <w:left w:w="86" w:type="dxa"/>
              <w:bottom w:w="0" w:type="dxa"/>
              <w:right w:w="86" w:type="dxa"/>
            </w:tcMar>
            <w:vAlign w:val="bottom"/>
            <w:hideMark/>
          </w:tcPr>
          <w:p w14:paraId="4EC83CE1"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63</w:t>
            </w:r>
          </w:p>
        </w:tc>
        <w:tc>
          <w:tcPr>
            <w:tcW w:w="4253" w:type="dxa"/>
            <w:shd w:val="clear" w:color="auto" w:fill="FFFFFF" w:themeFill="background1"/>
            <w:tcMar>
              <w:top w:w="15" w:type="dxa"/>
              <w:left w:w="86" w:type="dxa"/>
              <w:bottom w:w="0" w:type="dxa"/>
              <w:right w:w="86" w:type="dxa"/>
            </w:tcMar>
            <w:vAlign w:val="bottom"/>
            <w:hideMark/>
          </w:tcPr>
          <w:p w14:paraId="72D460A6"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61 826</w:t>
            </w:r>
          </w:p>
        </w:tc>
      </w:tr>
      <w:tr w:rsidR="00B90E75" w:rsidRPr="0024040E" w14:paraId="2BE4288C" w14:textId="77777777" w:rsidTr="0024040E">
        <w:trPr>
          <w:trHeight w:val="277"/>
          <w:jc w:val="center"/>
        </w:trPr>
        <w:tc>
          <w:tcPr>
            <w:tcW w:w="1124" w:type="dxa"/>
            <w:shd w:val="clear" w:color="auto" w:fill="9CC2E5" w:themeFill="accent1" w:themeFillTint="99"/>
            <w:tcMar>
              <w:top w:w="15" w:type="dxa"/>
              <w:left w:w="86" w:type="dxa"/>
              <w:bottom w:w="0" w:type="dxa"/>
              <w:right w:w="86" w:type="dxa"/>
            </w:tcMar>
            <w:vAlign w:val="bottom"/>
            <w:hideMark/>
          </w:tcPr>
          <w:p w14:paraId="265B3FAC"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64</w:t>
            </w:r>
          </w:p>
        </w:tc>
        <w:tc>
          <w:tcPr>
            <w:tcW w:w="4253" w:type="dxa"/>
            <w:shd w:val="clear" w:color="auto" w:fill="FFFFFF" w:themeFill="background1"/>
            <w:tcMar>
              <w:top w:w="15" w:type="dxa"/>
              <w:left w:w="86" w:type="dxa"/>
              <w:bottom w:w="0" w:type="dxa"/>
              <w:right w:w="86" w:type="dxa"/>
            </w:tcMar>
            <w:vAlign w:val="bottom"/>
            <w:hideMark/>
          </w:tcPr>
          <w:p w14:paraId="15A667AE"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62 803</w:t>
            </w:r>
          </w:p>
        </w:tc>
      </w:tr>
      <w:tr w:rsidR="00B90E75" w:rsidRPr="0024040E" w14:paraId="1A257B61" w14:textId="77777777" w:rsidTr="0024040E">
        <w:trPr>
          <w:trHeight w:val="225"/>
          <w:jc w:val="center"/>
        </w:trPr>
        <w:tc>
          <w:tcPr>
            <w:tcW w:w="1124" w:type="dxa"/>
            <w:shd w:val="clear" w:color="auto" w:fill="9CC2E5" w:themeFill="accent1" w:themeFillTint="99"/>
            <w:tcMar>
              <w:top w:w="15" w:type="dxa"/>
              <w:left w:w="86" w:type="dxa"/>
              <w:bottom w:w="0" w:type="dxa"/>
              <w:right w:w="86" w:type="dxa"/>
            </w:tcMar>
            <w:vAlign w:val="bottom"/>
            <w:hideMark/>
          </w:tcPr>
          <w:p w14:paraId="6AF44E63"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65</w:t>
            </w:r>
          </w:p>
        </w:tc>
        <w:tc>
          <w:tcPr>
            <w:tcW w:w="4253" w:type="dxa"/>
            <w:shd w:val="clear" w:color="auto" w:fill="FFFFFF" w:themeFill="background1"/>
            <w:tcMar>
              <w:top w:w="15" w:type="dxa"/>
              <w:left w:w="86" w:type="dxa"/>
              <w:bottom w:w="0" w:type="dxa"/>
              <w:right w:w="86" w:type="dxa"/>
            </w:tcMar>
            <w:vAlign w:val="bottom"/>
            <w:hideMark/>
          </w:tcPr>
          <w:p w14:paraId="39700967"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60 913</w:t>
            </w:r>
          </w:p>
        </w:tc>
      </w:tr>
      <w:tr w:rsidR="00B90E75" w:rsidRPr="0024040E" w14:paraId="49539FCB" w14:textId="77777777" w:rsidTr="0024040E">
        <w:trPr>
          <w:trHeight w:val="173"/>
          <w:jc w:val="center"/>
        </w:trPr>
        <w:tc>
          <w:tcPr>
            <w:tcW w:w="1124" w:type="dxa"/>
            <w:shd w:val="clear" w:color="auto" w:fill="9CC2E5" w:themeFill="accent1" w:themeFillTint="99"/>
            <w:tcMar>
              <w:top w:w="15" w:type="dxa"/>
              <w:left w:w="86" w:type="dxa"/>
              <w:bottom w:w="0" w:type="dxa"/>
              <w:right w:w="86" w:type="dxa"/>
            </w:tcMar>
            <w:vAlign w:val="bottom"/>
            <w:hideMark/>
          </w:tcPr>
          <w:p w14:paraId="2AFAEC3D"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66</w:t>
            </w:r>
          </w:p>
        </w:tc>
        <w:tc>
          <w:tcPr>
            <w:tcW w:w="4253" w:type="dxa"/>
            <w:shd w:val="clear" w:color="auto" w:fill="FFFFFF" w:themeFill="background1"/>
            <w:tcMar>
              <w:top w:w="15" w:type="dxa"/>
              <w:left w:w="86" w:type="dxa"/>
              <w:bottom w:w="0" w:type="dxa"/>
              <w:right w:w="86" w:type="dxa"/>
            </w:tcMar>
            <w:vAlign w:val="bottom"/>
            <w:hideMark/>
          </w:tcPr>
          <w:p w14:paraId="7745BC3E"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60 488</w:t>
            </w:r>
          </w:p>
        </w:tc>
      </w:tr>
      <w:tr w:rsidR="00B90E75" w:rsidRPr="0024040E" w14:paraId="14F065C5" w14:textId="77777777" w:rsidTr="0024040E">
        <w:trPr>
          <w:trHeight w:val="249"/>
          <w:jc w:val="center"/>
        </w:trPr>
        <w:tc>
          <w:tcPr>
            <w:tcW w:w="1124" w:type="dxa"/>
            <w:shd w:val="clear" w:color="auto" w:fill="9CC2E5" w:themeFill="accent1" w:themeFillTint="99"/>
            <w:tcMar>
              <w:top w:w="15" w:type="dxa"/>
              <w:left w:w="86" w:type="dxa"/>
              <w:bottom w:w="0" w:type="dxa"/>
              <w:right w:w="86" w:type="dxa"/>
            </w:tcMar>
            <w:vAlign w:val="bottom"/>
            <w:hideMark/>
          </w:tcPr>
          <w:p w14:paraId="2825FF98"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67</w:t>
            </w:r>
          </w:p>
        </w:tc>
        <w:tc>
          <w:tcPr>
            <w:tcW w:w="4253" w:type="dxa"/>
            <w:shd w:val="clear" w:color="auto" w:fill="FFFFFF" w:themeFill="background1"/>
            <w:tcMar>
              <w:top w:w="15" w:type="dxa"/>
              <w:left w:w="86" w:type="dxa"/>
              <w:bottom w:w="0" w:type="dxa"/>
              <w:right w:w="86" w:type="dxa"/>
            </w:tcMar>
            <w:vAlign w:val="bottom"/>
            <w:hideMark/>
          </w:tcPr>
          <w:p w14:paraId="54CB43AF"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59 973</w:t>
            </w:r>
          </w:p>
        </w:tc>
      </w:tr>
      <w:tr w:rsidR="00B90E75" w:rsidRPr="0024040E" w14:paraId="72E4B319" w14:textId="77777777" w:rsidTr="0024040E">
        <w:trPr>
          <w:trHeight w:val="197"/>
          <w:jc w:val="center"/>
        </w:trPr>
        <w:tc>
          <w:tcPr>
            <w:tcW w:w="1124" w:type="dxa"/>
            <w:shd w:val="clear" w:color="auto" w:fill="9CC2E5" w:themeFill="accent1" w:themeFillTint="99"/>
            <w:tcMar>
              <w:top w:w="15" w:type="dxa"/>
              <w:left w:w="86" w:type="dxa"/>
              <w:bottom w:w="0" w:type="dxa"/>
              <w:right w:w="86" w:type="dxa"/>
            </w:tcMar>
            <w:vAlign w:val="bottom"/>
            <w:hideMark/>
          </w:tcPr>
          <w:p w14:paraId="657CFE32"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68</w:t>
            </w:r>
          </w:p>
        </w:tc>
        <w:tc>
          <w:tcPr>
            <w:tcW w:w="4253" w:type="dxa"/>
            <w:shd w:val="clear" w:color="auto" w:fill="FFFFFF" w:themeFill="background1"/>
            <w:tcMar>
              <w:top w:w="15" w:type="dxa"/>
              <w:left w:w="86" w:type="dxa"/>
              <w:bottom w:w="0" w:type="dxa"/>
              <w:right w:w="86" w:type="dxa"/>
            </w:tcMar>
            <w:vAlign w:val="bottom"/>
            <w:hideMark/>
          </w:tcPr>
          <w:p w14:paraId="0730B6E2"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58 079</w:t>
            </w:r>
          </w:p>
        </w:tc>
      </w:tr>
      <w:tr w:rsidR="00B90E75" w:rsidRPr="0024040E" w14:paraId="7FD1E2E3" w14:textId="77777777" w:rsidTr="0024040E">
        <w:trPr>
          <w:trHeight w:val="145"/>
          <w:jc w:val="center"/>
        </w:trPr>
        <w:tc>
          <w:tcPr>
            <w:tcW w:w="1124" w:type="dxa"/>
            <w:shd w:val="clear" w:color="auto" w:fill="9CC2E5" w:themeFill="accent1" w:themeFillTint="99"/>
            <w:tcMar>
              <w:top w:w="15" w:type="dxa"/>
              <w:left w:w="86" w:type="dxa"/>
              <w:bottom w:w="0" w:type="dxa"/>
              <w:right w:w="86" w:type="dxa"/>
            </w:tcMar>
            <w:vAlign w:val="bottom"/>
            <w:hideMark/>
          </w:tcPr>
          <w:p w14:paraId="4AB7AC5C"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69</w:t>
            </w:r>
          </w:p>
        </w:tc>
        <w:tc>
          <w:tcPr>
            <w:tcW w:w="4253" w:type="dxa"/>
            <w:shd w:val="clear" w:color="auto" w:fill="FFFFFF" w:themeFill="background1"/>
            <w:tcMar>
              <w:top w:w="15" w:type="dxa"/>
              <w:left w:w="86" w:type="dxa"/>
              <w:bottom w:w="0" w:type="dxa"/>
              <w:right w:w="86" w:type="dxa"/>
            </w:tcMar>
            <w:vAlign w:val="bottom"/>
            <w:hideMark/>
          </w:tcPr>
          <w:p w14:paraId="035C1D04"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57 613</w:t>
            </w:r>
          </w:p>
        </w:tc>
      </w:tr>
      <w:tr w:rsidR="00B90E75" w:rsidRPr="0024040E" w14:paraId="7A276C32" w14:textId="77777777" w:rsidTr="0024040E">
        <w:trPr>
          <w:trHeight w:val="222"/>
          <w:jc w:val="center"/>
        </w:trPr>
        <w:tc>
          <w:tcPr>
            <w:tcW w:w="1124" w:type="dxa"/>
            <w:shd w:val="clear" w:color="auto" w:fill="9CC2E5" w:themeFill="accent1" w:themeFillTint="99"/>
            <w:tcMar>
              <w:top w:w="15" w:type="dxa"/>
              <w:left w:w="86" w:type="dxa"/>
              <w:bottom w:w="0" w:type="dxa"/>
              <w:right w:w="86" w:type="dxa"/>
            </w:tcMar>
            <w:vAlign w:val="bottom"/>
            <w:hideMark/>
          </w:tcPr>
          <w:p w14:paraId="31FA26C3" w14:textId="77777777" w:rsidR="00B90E75" w:rsidRPr="0024040E" w:rsidRDefault="00B90E75"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Razem</w:t>
            </w:r>
          </w:p>
        </w:tc>
        <w:tc>
          <w:tcPr>
            <w:tcW w:w="4253" w:type="dxa"/>
            <w:shd w:val="clear" w:color="auto" w:fill="FFFFFF" w:themeFill="background1"/>
            <w:tcMar>
              <w:top w:w="15" w:type="dxa"/>
              <w:left w:w="86" w:type="dxa"/>
              <w:bottom w:w="0" w:type="dxa"/>
              <w:right w:w="86" w:type="dxa"/>
            </w:tcMar>
            <w:vAlign w:val="bottom"/>
            <w:hideMark/>
          </w:tcPr>
          <w:p w14:paraId="64ADC9E6" w14:textId="77777777" w:rsidR="00B90E75" w:rsidRPr="0024040E" w:rsidRDefault="0024040E" w:rsidP="0024040E">
            <w:pPr>
              <w:tabs>
                <w:tab w:val="left" w:pos="5400"/>
              </w:tabs>
              <w:spacing w:after="0"/>
              <w:jc w:val="center"/>
              <w:rPr>
                <w:rFonts w:ascii="Times New Roman" w:eastAsia="Times New Roman" w:hAnsi="Times New Roman" w:cs="Times New Roman"/>
                <w:b/>
                <w:bCs/>
                <w:kern w:val="24"/>
                <w:sz w:val="20"/>
                <w:szCs w:val="20"/>
                <w:lang w:eastAsia="pl-PL"/>
              </w:rPr>
            </w:pPr>
            <w:r w:rsidRPr="0024040E">
              <w:rPr>
                <w:rFonts w:ascii="Times New Roman" w:eastAsia="Times New Roman" w:hAnsi="Times New Roman" w:cs="Times New Roman"/>
                <w:b/>
                <w:bCs/>
                <w:kern w:val="24"/>
                <w:sz w:val="20"/>
                <w:szCs w:val="20"/>
                <w:lang w:eastAsia="pl-PL"/>
              </w:rPr>
              <w:t>600 300</w:t>
            </w:r>
          </w:p>
        </w:tc>
      </w:tr>
    </w:tbl>
    <w:p w14:paraId="556EACBA" w14:textId="77777777" w:rsidR="003C1988" w:rsidRDefault="003C1988" w:rsidP="003C1988">
      <w:pPr>
        <w:pStyle w:val="Akapitzlist"/>
        <w:spacing w:after="0"/>
        <w:ind w:left="0"/>
        <w:contextualSpacing w:val="0"/>
        <w:rPr>
          <w:rFonts w:ascii="Times New Roman" w:eastAsia="Times New Roman" w:hAnsi="Times New Roman" w:cs="Times New Roman"/>
          <w:b/>
          <w:bCs/>
          <w:color w:val="2E74B5" w:themeColor="accent1" w:themeShade="BF"/>
          <w:sz w:val="24"/>
          <w:szCs w:val="24"/>
          <w:lang w:eastAsia="pl-PL" w:bidi="pl-PL"/>
        </w:rPr>
      </w:pPr>
    </w:p>
    <w:p w14:paraId="11E55170" w14:textId="77777777" w:rsidR="003C1988" w:rsidRPr="00F913F4" w:rsidRDefault="00B90E75" w:rsidP="00F913F4">
      <w:pPr>
        <w:spacing w:after="0"/>
        <w:jc w:val="both"/>
        <w:rPr>
          <w:rFonts w:ascii="Times New Roman" w:eastAsia="Times New Roman" w:hAnsi="Times New Roman" w:cs="Times New Roman"/>
          <w:b/>
          <w:bCs/>
          <w:sz w:val="24"/>
          <w:szCs w:val="24"/>
          <w:lang w:eastAsia="pl-PL" w:bidi="pl-PL"/>
        </w:rPr>
      </w:pPr>
      <w:r w:rsidRPr="00F913F4">
        <w:rPr>
          <w:rFonts w:ascii="Times New Roman" w:eastAsia="Times New Roman" w:hAnsi="Times New Roman" w:cs="Times New Roman"/>
          <w:b/>
          <w:bCs/>
          <w:sz w:val="24"/>
          <w:szCs w:val="24"/>
          <w:lang w:eastAsia="pl-PL" w:bidi="pl-PL"/>
        </w:rPr>
        <w:t xml:space="preserve">Program profilaktyki gruźlicy </w:t>
      </w:r>
      <w:r w:rsidRPr="00F913F4">
        <w:rPr>
          <w:rFonts w:ascii="Times New Roman" w:eastAsia="Times New Roman" w:hAnsi="Times New Roman" w:cs="Times New Roman"/>
          <w:sz w:val="24"/>
          <w:szCs w:val="24"/>
          <w:lang w:eastAsia="pl-PL" w:bidi="pl-PL"/>
        </w:rPr>
        <w:t>(bez górnej granicy wieku), realizowany w POZ.</w:t>
      </w:r>
    </w:p>
    <w:p w14:paraId="2571DE73" w14:textId="77777777" w:rsidR="00F913F4" w:rsidRDefault="00F913F4" w:rsidP="00F913F4">
      <w:pPr>
        <w:spacing w:after="0"/>
        <w:jc w:val="both"/>
        <w:rPr>
          <w:rFonts w:ascii="Times New Roman" w:hAnsi="Times New Roman" w:cs="Times New Roman"/>
          <w:b/>
          <w:bCs/>
          <w:sz w:val="24"/>
          <w:szCs w:val="24"/>
        </w:rPr>
      </w:pPr>
    </w:p>
    <w:p w14:paraId="1C6FB46D" w14:textId="77777777" w:rsidR="00B90E75" w:rsidRPr="00F913F4" w:rsidRDefault="00B90E75" w:rsidP="00F913F4">
      <w:pPr>
        <w:spacing w:after="0"/>
        <w:jc w:val="both"/>
        <w:rPr>
          <w:rFonts w:ascii="Times New Roman" w:eastAsia="Times New Roman" w:hAnsi="Times New Roman" w:cs="Times New Roman"/>
          <w:b/>
          <w:bCs/>
          <w:sz w:val="24"/>
          <w:szCs w:val="24"/>
          <w:lang w:eastAsia="pl-PL" w:bidi="pl-PL"/>
        </w:rPr>
      </w:pPr>
      <w:r w:rsidRPr="00F913F4">
        <w:rPr>
          <w:rFonts w:ascii="Times New Roman" w:hAnsi="Times New Roman" w:cs="Times New Roman"/>
          <w:b/>
          <w:bCs/>
          <w:sz w:val="24"/>
          <w:szCs w:val="24"/>
        </w:rPr>
        <w:t xml:space="preserve">Programy polityki zdrowotnej finansowane przez Oddziały Wojewódzkie NFZ </w:t>
      </w:r>
    </w:p>
    <w:p w14:paraId="04697A7D" w14:textId="77777777" w:rsidR="00B90E75" w:rsidRDefault="00B90E75" w:rsidP="00C363D3">
      <w:pPr>
        <w:spacing w:after="0"/>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 xml:space="preserve">W oparciu o art. 48 d </w:t>
      </w:r>
      <w:r w:rsidRPr="00F913F4">
        <w:rPr>
          <w:rFonts w:ascii="Times New Roman" w:eastAsia="Calibri" w:hAnsi="Times New Roman" w:cs="Times New Roman"/>
          <w:i/>
          <w:sz w:val="24"/>
          <w:szCs w:val="24"/>
        </w:rPr>
        <w:t>ustawy o świadczeniach opieki zdrowotnej finansowanych ze środków publicznych</w:t>
      </w:r>
      <w:r w:rsidRPr="00B90E75">
        <w:rPr>
          <w:rFonts w:ascii="Times New Roman" w:eastAsia="Calibri" w:hAnsi="Times New Roman" w:cs="Times New Roman"/>
          <w:sz w:val="24"/>
          <w:szCs w:val="24"/>
        </w:rPr>
        <w:t>, oddziały NFZ dofinansowały następujące programy skierowane do osób starszych:</w:t>
      </w:r>
    </w:p>
    <w:p w14:paraId="5D8CCC6C" w14:textId="22A365C1" w:rsidR="003C1988" w:rsidRDefault="003C1988" w:rsidP="003C1988">
      <w:pPr>
        <w:spacing w:after="0"/>
        <w:rPr>
          <w:rFonts w:ascii="Times New Roman" w:eastAsia="Calibri" w:hAnsi="Times New Roman" w:cs="Times New Roman"/>
          <w:sz w:val="24"/>
          <w:szCs w:val="24"/>
        </w:rPr>
      </w:pPr>
    </w:p>
    <w:p w14:paraId="7183699D" w14:textId="7629BF9F" w:rsidR="00B022DF" w:rsidRDefault="00B022DF" w:rsidP="003C1988">
      <w:pPr>
        <w:spacing w:after="0"/>
        <w:rPr>
          <w:rFonts w:ascii="Times New Roman" w:eastAsia="Calibri" w:hAnsi="Times New Roman" w:cs="Times New Roman"/>
          <w:sz w:val="24"/>
          <w:szCs w:val="24"/>
        </w:rPr>
      </w:pPr>
    </w:p>
    <w:p w14:paraId="3AA92A74" w14:textId="488D964C" w:rsidR="00B022DF" w:rsidRDefault="00B022DF" w:rsidP="003C1988">
      <w:pPr>
        <w:spacing w:after="0"/>
        <w:rPr>
          <w:rFonts w:ascii="Times New Roman" w:eastAsia="Calibri" w:hAnsi="Times New Roman" w:cs="Times New Roman"/>
          <w:sz w:val="24"/>
          <w:szCs w:val="24"/>
        </w:rPr>
      </w:pPr>
    </w:p>
    <w:p w14:paraId="7ACBBC92" w14:textId="745B9828" w:rsidR="00B022DF" w:rsidRDefault="00B022DF" w:rsidP="003C1988">
      <w:pPr>
        <w:spacing w:after="0"/>
        <w:rPr>
          <w:rFonts w:ascii="Times New Roman" w:eastAsia="Calibri" w:hAnsi="Times New Roman" w:cs="Times New Roman"/>
          <w:sz w:val="24"/>
          <w:szCs w:val="24"/>
        </w:rPr>
      </w:pPr>
    </w:p>
    <w:p w14:paraId="78E9305D" w14:textId="07D778F3" w:rsidR="00B022DF" w:rsidRDefault="00B022DF" w:rsidP="003C1988">
      <w:pPr>
        <w:spacing w:after="0"/>
        <w:rPr>
          <w:rFonts w:ascii="Times New Roman" w:eastAsia="Calibri" w:hAnsi="Times New Roman" w:cs="Times New Roman"/>
          <w:sz w:val="24"/>
          <w:szCs w:val="24"/>
        </w:rPr>
      </w:pPr>
    </w:p>
    <w:p w14:paraId="7047B0A8" w14:textId="3DDA752D" w:rsidR="00B022DF" w:rsidRDefault="00B022DF" w:rsidP="003C1988">
      <w:pPr>
        <w:spacing w:after="0"/>
        <w:rPr>
          <w:rFonts w:ascii="Times New Roman" w:eastAsia="Calibri" w:hAnsi="Times New Roman" w:cs="Times New Roman"/>
          <w:sz w:val="24"/>
          <w:szCs w:val="24"/>
        </w:rPr>
      </w:pPr>
    </w:p>
    <w:p w14:paraId="00CE04F6" w14:textId="2E1012C2" w:rsidR="00B022DF" w:rsidRDefault="00B022DF" w:rsidP="003C1988">
      <w:pPr>
        <w:spacing w:after="0"/>
        <w:rPr>
          <w:rFonts w:ascii="Times New Roman" w:eastAsia="Calibri" w:hAnsi="Times New Roman" w:cs="Times New Roman"/>
          <w:sz w:val="24"/>
          <w:szCs w:val="24"/>
        </w:rPr>
      </w:pPr>
    </w:p>
    <w:p w14:paraId="39AC63BC" w14:textId="77777777" w:rsidR="00B022DF" w:rsidRPr="00B90E75" w:rsidRDefault="00B022DF" w:rsidP="003C1988">
      <w:pPr>
        <w:spacing w:after="0"/>
        <w:rPr>
          <w:rFonts w:ascii="Times New Roman" w:eastAsia="Calibri" w:hAnsi="Times New Roman" w:cs="Times New Roman"/>
          <w:sz w:val="24"/>
          <w:szCs w:val="24"/>
        </w:rPr>
      </w:pPr>
    </w:p>
    <w:p w14:paraId="7D8B4238" w14:textId="2E4999AA" w:rsidR="002A1454" w:rsidRPr="002A1454" w:rsidRDefault="002A1454" w:rsidP="002A1454">
      <w:pPr>
        <w:pStyle w:val="Legenda"/>
        <w:keepNext/>
        <w:rPr>
          <w:rFonts w:ascii="Times New Roman" w:hAnsi="Times New Roman" w:cs="Times New Roman"/>
          <w:b/>
          <w:i w:val="0"/>
          <w:sz w:val="24"/>
        </w:rPr>
      </w:pPr>
      <w:bookmarkStart w:id="80" w:name="_Toc49171424"/>
      <w:r w:rsidRPr="002A1454">
        <w:rPr>
          <w:rFonts w:ascii="Times New Roman" w:hAnsi="Times New Roman" w:cs="Times New Roman"/>
          <w:b/>
          <w:i w:val="0"/>
          <w:sz w:val="24"/>
        </w:rPr>
        <w:t xml:space="preserve">Tabela </w:t>
      </w:r>
      <w:r w:rsidRPr="002A1454">
        <w:rPr>
          <w:rFonts w:ascii="Times New Roman" w:hAnsi="Times New Roman" w:cs="Times New Roman"/>
          <w:b/>
          <w:i w:val="0"/>
          <w:sz w:val="24"/>
        </w:rPr>
        <w:fldChar w:fldCharType="begin"/>
      </w:r>
      <w:r w:rsidRPr="002A1454">
        <w:rPr>
          <w:rFonts w:ascii="Times New Roman" w:hAnsi="Times New Roman" w:cs="Times New Roman"/>
          <w:b/>
          <w:i w:val="0"/>
          <w:sz w:val="24"/>
        </w:rPr>
        <w:instrText xml:space="preserve"> SEQ Tabela \* ARABIC </w:instrText>
      </w:r>
      <w:r w:rsidRPr="002A1454">
        <w:rPr>
          <w:rFonts w:ascii="Times New Roman" w:hAnsi="Times New Roman" w:cs="Times New Roman"/>
          <w:b/>
          <w:i w:val="0"/>
          <w:sz w:val="24"/>
        </w:rPr>
        <w:fldChar w:fldCharType="separate"/>
      </w:r>
      <w:r w:rsidR="00C154C9">
        <w:rPr>
          <w:rFonts w:ascii="Times New Roman" w:hAnsi="Times New Roman" w:cs="Times New Roman"/>
          <w:b/>
          <w:i w:val="0"/>
          <w:noProof/>
          <w:sz w:val="24"/>
        </w:rPr>
        <w:t>49</w:t>
      </w:r>
      <w:r w:rsidRPr="002A1454">
        <w:rPr>
          <w:rFonts w:ascii="Times New Roman" w:hAnsi="Times New Roman" w:cs="Times New Roman"/>
          <w:b/>
          <w:i w:val="0"/>
          <w:sz w:val="24"/>
        </w:rPr>
        <w:fldChar w:fldCharType="end"/>
      </w:r>
      <w:r w:rsidRPr="002A1454">
        <w:rPr>
          <w:rFonts w:ascii="Times New Roman" w:hAnsi="Times New Roman" w:cs="Times New Roman"/>
          <w:b/>
          <w:i w:val="0"/>
          <w:sz w:val="24"/>
        </w:rPr>
        <w:t xml:space="preserve"> Programy polityki zdrowotnej finansowane przez Oddziały Wojewódzkie NFZ</w:t>
      </w:r>
      <w:bookmarkEnd w:id="80"/>
    </w:p>
    <w:tbl>
      <w:tblPr>
        <w:tblStyle w:val="Tabelasiatki5ciemnaakcent1"/>
        <w:tblW w:w="9316"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ook w:val="04A0" w:firstRow="1" w:lastRow="0" w:firstColumn="1" w:lastColumn="0" w:noHBand="0" w:noVBand="1"/>
      </w:tblPr>
      <w:tblGrid>
        <w:gridCol w:w="958"/>
        <w:gridCol w:w="2673"/>
        <w:gridCol w:w="1823"/>
        <w:gridCol w:w="1823"/>
        <w:gridCol w:w="2039"/>
      </w:tblGrid>
      <w:tr w:rsidR="00B90E75" w:rsidRPr="00621AA9" w14:paraId="5301367A" w14:textId="77777777" w:rsidTr="00621AA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58" w:type="dxa"/>
            <w:vMerge w:val="restart"/>
            <w:tcBorders>
              <w:top w:val="none" w:sz="0" w:space="0" w:color="auto"/>
              <w:left w:val="none" w:sz="0" w:space="0" w:color="auto"/>
              <w:right w:val="none" w:sz="0" w:space="0" w:color="auto"/>
            </w:tcBorders>
            <w:shd w:val="clear" w:color="auto" w:fill="9CC2E5" w:themeFill="accent1" w:themeFillTint="99"/>
            <w:vAlign w:val="center"/>
            <w:hideMark/>
          </w:tcPr>
          <w:p w14:paraId="62784944" w14:textId="77777777" w:rsidR="00B90E75" w:rsidRPr="00621AA9" w:rsidRDefault="00B90E75" w:rsidP="00621AA9">
            <w:pPr>
              <w:spacing w:before="0" w:after="0" w:line="240" w:lineRule="auto"/>
              <w:contextualSpacing/>
              <w:jc w:val="center"/>
              <w:rPr>
                <w:rFonts w:ascii="Times New Roman" w:eastAsia="Calibri" w:hAnsi="Times New Roman" w:cs="Times New Roman"/>
                <w:color w:val="auto"/>
              </w:rPr>
            </w:pPr>
            <w:r w:rsidRPr="00621AA9">
              <w:rPr>
                <w:rFonts w:ascii="Times New Roman" w:eastAsia="Calibri" w:hAnsi="Times New Roman" w:cs="Times New Roman"/>
                <w:color w:val="auto"/>
              </w:rPr>
              <w:t>Nazwa OW</w:t>
            </w:r>
          </w:p>
        </w:tc>
        <w:tc>
          <w:tcPr>
            <w:tcW w:w="2673" w:type="dxa"/>
            <w:vMerge w:val="restart"/>
            <w:tcBorders>
              <w:top w:val="none" w:sz="0" w:space="0" w:color="auto"/>
              <w:left w:val="none" w:sz="0" w:space="0" w:color="auto"/>
              <w:right w:val="none" w:sz="0" w:space="0" w:color="auto"/>
            </w:tcBorders>
            <w:shd w:val="clear" w:color="auto" w:fill="9CC2E5" w:themeFill="accent1" w:themeFillTint="99"/>
            <w:vAlign w:val="center"/>
            <w:hideMark/>
          </w:tcPr>
          <w:p w14:paraId="3B9F9756" w14:textId="77777777" w:rsidR="00B90E75" w:rsidRPr="00621AA9" w:rsidRDefault="00B90E75" w:rsidP="00621AA9">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rPr>
            </w:pPr>
            <w:r w:rsidRPr="00621AA9">
              <w:rPr>
                <w:rFonts w:ascii="Times New Roman" w:eastAsia="Calibri" w:hAnsi="Times New Roman" w:cs="Times New Roman"/>
                <w:color w:val="auto"/>
              </w:rPr>
              <w:t>Nazwa programu polityki zdrowotnej</w:t>
            </w:r>
          </w:p>
        </w:tc>
        <w:tc>
          <w:tcPr>
            <w:tcW w:w="1823" w:type="dxa"/>
            <w:vMerge w:val="restart"/>
            <w:tcBorders>
              <w:top w:val="none" w:sz="0" w:space="0" w:color="auto"/>
              <w:left w:val="none" w:sz="0" w:space="0" w:color="auto"/>
              <w:right w:val="none" w:sz="0" w:space="0" w:color="auto"/>
            </w:tcBorders>
            <w:shd w:val="clear" w:color="auto" w:fill="9CC2E5" w:themeFill="accent1" w:themeFillTint="99"/>
            <w:vAlign w:val="center"/>
            <w:hideMark/>
          </w:tcPr>
          <w:p w14:paraId="747D8BB7" w14:textId="77777777" w:rsidR="00B90E75" w:rsidRPr="00621AA9" w:rsidRDefault="00B90E75" w:rsidP="00621AA9">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rPr>
            </w:pPr>
            <w:r w:rsidRPr="00621AA9">
              <w:rPr>
                <w:rFonts w:ascii="Times New Roman" w:eastAsia="Calibri" w:hAnsi="Times New Roman" w:cs="Times New Roman"/>
                <w:color w:val="auto"/>
              </w:rPr>
              <w:t>Populacja objęta programem</w:t>
            </w:r>
          </w:p>
        </w:tc>
        <w:tc>
          <w:tcPr>
            <w:tcW w:w="3862" w:type="dxa"/>
            <w:gridSpan w:val="2"/>
            <w:tcBorders>
              <w:top w:val="none" w:sz="0" w:space="0" w:color="auto"/>
              <w:left w:val="none" w:sz="0" w:space="0" w:color="auto"/>
              <w:right w:val="none" w:sz="0" w:space="0" w:color="auto"/>
            </w:tcBorders>
            <w:shd w:val="clear" w:color="auto" w:fill="9CC2E5" w:themeFill="accent1" w:themeFillTint="99"/>
            <w:vAlign w:val="center"/>
            <w:hideMark/>
          </w:tcPr>
          <w:p w14:paraId="0F65E4A5" w14:textId="77777777" w:rsidR="00B90E75" w:rsidRPr="00621AA9" w:rsidRDefault="00B90E75" w:rsidP="00621AA9">
            <w:pPr>
              <w:spacing w:before="0" w:after="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color w:val="auto"/>
              </w:rPr>
              <w:t>Zadania programu polityki zdrowotnej</w:t>
            </w:r>
          </w:p>
        </w:tc>
      </w:tr>
      <w:tr w:rsidR="00B90E75" w:rsidRPr="00621AA9" w14:paraId="4C705F1C" w14:textId="77777777" w:rsidTr="00621AA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0" w:type="auto"/>
            <w:vMerge/>
            <w:tcBorders>
              <w:left w:val="none" w:sz="0" w:space="0" w:color="auto"/>
            </w:tcBorders>
            <w:shd w:val="clear" w:color="auto" w:fill="9CC2E5" w:themeFill="accent1" w:themeFillTint="99"/>
            <w:vAlign w:val="center"/>
            <w:hideMark/>
          </w:tcPr>
          <w:p w14:paraId="7093CA6C" w14:textId="77777777" w:rsidR="00B90E75" w:rsidRPr="00621AA9" w:rsidRDefault="00B90E75" w:rsidP="00621AA9">
            <w:pPr>
              <w:spacing w:before="0" w:after="0" w:line="240" w:lineRule="auto"/>
              <w:contextualSpacing/>
              <w:rPr>
                <w:rFonts w:ascii="Times New Roman" w:eastAsia="Calibri" w:hAnsi="Times New Roman" w:cs="Times New Roman"/>
              </w:rPr>
            </w:pPr>
          </w:p>
        </w:tc>
        <w:tc>
          <w:tcPr>
            <w:tcW w:w="2673" w:type="dxa"/>
            <w:vMerge/>
            <w:shd w:val="clear" w:color="auto" w:fill="9CC2E5" w:themeFill="accent1" w:themeFillTint="99"/>
            <w:vAlign w:val="center"/>
            <w:hideMark/>
          </w:tcPr>
          <w:p w14:paraId="70C984D9"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p>
        </w:tc>
        <w:tc>
          <w:tcPr>
            <w:tcW w:w="1823" w:type="dxa"/>
            <w:vMerge/>
            <w:shd w:val="clear" w:color="auto" w:fill="9CC2E5" w:themeFill="accent1" w:themeFillTint="99"/>
            <w:vAlign w:val="center"/>
            <w:hideMark/>
          </w:tcPr>
          <w:p w14:paraId="7DFA5D28"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p>
        </w:tc>
        <w:tc>
          <w:tcPr>
            <w:tcW w:w="1823" w:type="dxa"/>
            <w:vAlign w:val="center"/>
            <w:hideMark/>
          </w:tcPr>
          <w:p w14:paraId="08D4D021"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Świadczenia opieki zdrowotnej</w:t>
            </w:r>
          </w:p>
        </w:tc>
        <w:tc>
          <w:tcPr>
            <w:tcW w:w="2039" w:type="dxa"/>
            <w:vAlign w:val="center"/>
            <w:hideMark/>
          </w:tcPr>
          <w:p w14:paraId="67413A8F"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Działania (edukacja, szkolenia , konferencje, itp..)</w:t>
            </w:r>
          </w:p>
        </w:tc>
      </w:tr>
      <w:tr w:rsidR="00B90E75" w:rsidRPr="00621AA9" w14:paraId="2C78F7AE" w14:textId="77777777" w:rsidTr="00A55962">
        <w:trPr>
          <w:trHeight w:val="1785"/>
        </w:trPr>
        <w:tc>
          <w:tcPr>
            <w:cnfStyle w:val="001000000000" w:firstRow="0" w:lastRow="0" w:firstColumn="1" w:lastColumn="0" w:oddVBand="0" w:evenVBand="0" w:oddHBand="0" w:evenHBand="0" w:firstRowFirstColumn="0" w:firstRowLastColumn="0" w:lastRowFirstColumn="0" w:lastRowLastColumn="0"/>
            <w:tcW w:w="958" w:type="dxa"/>
            <w:tcBorders>
              <w:left w:val="none" w:sz="0" w:space="0" w:color="auto"/>
            </w:tcBorders>
            <w:shd w:val="clear" w:color="auto" w:fill="9CC2E5" w:themeFill="accent1" w:themeFillTint="99"/>
            <w:noWrap/>
            <w:textDirection w:val="btLr"/>
            <w:hideMark/>
          </w:tcPr>
          <w:p w14:paraId="0DFD82E0" w14:textId="77777777" w:rsidR="00B90E75" w:rsidRPr="00621AA9" w:rsidRDefault="00B90E75" w:rsidP="00621AA9">
            <w:pPr>
              <w:spacing w:before="0" w:after="0" w:line="240" w:lineRule="auto"/>
              <w:contextualSpacing/>
              <w:rPr>
                <w:rFonts w:ascii="Times New Roman" w:eastAsia="Calibri" w:hAnsi="Times New Roman" w:cs="Times New Roman"/>
                <w:color w:val="auto"/>
              </w:rPr>
            </w:pPr>
            <w:r w:rsidRPr="00621AA9">
              <w:rPr>
                <w:rFonts w:ascii="Times New Roman" w:eastAsia="Calibri" w:hAnsi="Times New Roman" w:cs="Times New Roman"/>
                <w:color w:val="auto"/>
              </w:rPr>
              <w:lastRenderedPageBreak/>
              <w:t>Dolnośląski</w:t>
            </w:r>
          </w:p>
        </w:tc>
        <w:tc>
          <w:tcPr>
            <w:tcW w:w="2673" w:type="dxa"/>
            <w:shd w:val="clear" w:color="auto" w:fill="FFFFFF" w:themeFill="background1"/>
            <w:hideMark/>
          </w:tcPr>
          <w:p w14:paraId="51928CB6" w14:textId="77777777" w:rsidR="00B90E75" w:rsidRPr="00621AA9" w:rsidRDefault="00621AA9"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Senior – Poprawa Zdrowia I Komfortu Życia Osób Starszych I Niesamodzielnych-Mieszkańców Gminy Polkowice</w:t>
            </w:r>
          </w:p>
        </w:tc>
        <w:tc>
          <w:tcPr>
            <w:tcW w:w="1823" w:type="dxa"/>
            <w:shd w:val="clear" w:color="auto" w:fill="FFFFFF" w:themeFill="background1"/>
            <w:noWrap/>
            <w:hideMark/>
          </w:tcPr>
          <w:p w14:paraId="7E2D0AF0"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2276 osób</w:t>
            </w:r>
          </w:p>
        </w:tc>
        <w:tc>
          <w:tcPr>
            <w:tcW w:w="1823" w:type="dxa"/>
            <w:shd w:val="clear" w:color="auto" w:fill="FFFFFF" w:themeFill="background1"/>
            <w:hideMark/>
          </w:tcPr>
          <w:p w14:paraId="21099DD0"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konsultacje lekarskie, pielęgniarskie, psychologiczne, ćwiczenia rehabilitacyjne, rehabilitacja w domu pacjenta, terapia zajęciowa</w:t>
            </w:r>
          </w:p>
        </w:tc>
        <w:tc>
          <w:tcPr>
            <w:tcW w:w="2039" w:type="dxa"/>
            <w:shd w:val="clear" w:color="auto" w:fill="FFFFFF" w:themeFill="background1"/>
            <w:hideMark/>
          </w:tcPr>
          <w:p w14:paraId="08F7FB86"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edukacja zdrowotna, psychoedukacja</w:t>
            </w:r>
          </w:p>
        </w:tc>
      </w:tr>
      <w:tr w:rsidR="00B90E75" w:rsidRPr="00621AA9" w14:paraId="71CCEC3C" w14:textId="77777777" w:rsidTr="00A55962">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958" w:type="dxa"/>
            <w:tcBorders>
              <w:left w:val="none" w:sz="0" w:space="0" w:color="auto"/>
            </w:tcBorders>
            <w:shd w:val="clear" w:color="auto" w:fill="9CC2E5" w:themeFill="accent1" w:themeFillTint="99"/>
            <w:noWrap/>
            <w:textDirection w:val="btLr"/>
            <w:hideMark/>
          </w:tcPr>
          <w:p w14:paraId="37C2AA4C" w14:textId="77777777" w:rsidR="00B90E75" w:rsidRPr="00621AA9" w:rsidRDefault="00B90E75" w:rsidP="00621AA9">
            <w:pPr>
              <w:spacing w:before="0" w:after="0" w:line="240" w:lineRule="auto"/>
              <w:contextualSpacing/>
              <w:rPr>
                <w:rFonts w:ascii="Times New Roman" w:eastAsia="Calibri" w:hAnsi="Times New Roman" w:cs="Times New Roman"/>
                <w:color w:val="auto"/>
              </w:rPr>
            </w:pPr>
            <w:r w:rsidRPr="00621AA9">
              <w:rPr>
                <w:rFonts w:ascii="Times New Roman" w:eastAsia="Calibri" w:hAnsi="Times New Roman" w:cs="Times New Roman"/>
                <w:color w:val="auto"/>
              </w:rPr>
              <w:t>Lubuski</w:t>
            </w:r>
          </w:p>
        </w:tc>
        <w:tc>
          <w:tcPr>
            <w:tcW w:w="2673" w:type="dxa"/>
            <w:shd w:val="clear" w:color="auto" w:fill="FFFFFF" w:themeFill="background1"/>
            <w:hideMark/>
          </w:tcPr>
          <w:p w14:paraId="420C0884"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Program </w:t>
            </w:r>
            <w:r w:rsidR="00621AA9" w:rsidRPr="00621AA9">
              <w:rPr>
                <w:rFonts w:ascii="Times New Roman" w:eastAsia="Calibri" w:hAnsi="Times New Roman" w:cs="Times New Roman"/>
                <w:b/>
                <w:bCs/>
              </w:rPr>
              <w:t xml:space="preserve">Rehabilitacji Dla Mieszkańców </w:t>
            </w:r>
            <w:r w:rsidRPr="00621AA9">
              <w:rPr>
                <w:rFonts w:ascii="Times New Roman" w:eastAsia="Calibri" w:hAnsi="Times New Roman" w:cs="Times New Roman"/>
                <w:b/>
                <w:bCs/>
              </w:rPr>
              <w:t xml:space="preserve">Gminy Żary </w:t>
            </w:r>
            <w:r w:rsidR="00621AA9" w:rsidRPr="00621AA9">
              <w:rPr>
                <w:rFonts w:ascii="Times New Roman" w:eastAsia="Calibri" w:hAnsi="Times New Roman" w:cs="Times New Roman"/>
                <w:b/>
                <w:bCs/>
              </w:rPr>
              <w:t>O Statusie Miejskim Wieku Powyżej 65 R.Ż. I Poniżej 18 R.Ż.</w:t>
            </w:r>
          </w:p>
        </w:tc>
        <w:tc>
          <w:tcPr>
            <w:tcW w:w="1823" w:type="dxa"/>
            <w:shd w:val="clear" w:color="auto" w:fill="FFFFFF" w:themeFill="background1"/>
            <w:hideMark/>
          </w:tcPr>
          <w:p w14:paraId="62AF80CD"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586 osób w wieku powyżej 65 r.ż.</w:t>
            </w:r>
          </w:p>
        </w:tc>
        <w:tc>
          <w:tcPr>
            <w:tcW w:w="1823" w:type="dxa"/>
            <w:shd w:val="clear" w:color="auto" w:fill="FFFFFF" w:themeFill="background1"/>
            <w:hideMark/>
          </w:tcPr>
          <w:p w14:paraId="01ED11F1"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 xml:space="preserve">zabiegi rehabilitacyjne </w:t>
            </w:r>
          </w:p>
        </w:tc>
        <w:tc>
          <w:tcPr>
            <w:tcW w:w="2039" w:type="dxa"/>
            <w:shd w:val="clear" w:color="auto" w:fill="FFFFFF" w:themeFill="background1"/>
            <w:hideMark/>
          </w:tcPr>
          <w:p w14:paraId="7ED5F961"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 xml:space="preserve">kampania informacyjno-promocyjna </w:t>
            </w:r>
          </w:p>
        </w:tc>
      </w:tr>
      <w:tr w:rsidR="00B90E75" w:rsidRPr="00621AA9" w14:paraId="613FA24C" w14:textId="77777777" w:rsidTr="00A55962">
        <w:trPr>
          <w:trHeight w:val="2550"/>
        </w:trPr>
        <w:tc>
          <w:tcPr>
            <w:cnfStyle w:val="001000000000" w:firstRow="0" w:lastRow="0" w:firstColumn="1" w:lastColumn="0" w:oddVBand="0" w:evenVBand="0" w:oddHBand="0" w:evenHBand="0" w:firstRowFirstColumn="0" w:firstRowLastColumn="0" w:lastRowFirstColumn="0" w:lastRowLastColumn="0"/>
            <w:tcW w:w="958" w:type="dxa"/>
            <w:vMerge w:val="restart"/>
            <w:tcBorders>
              <w:left w:val="none" w:sz="0" w:space="0" w:color="auto"/>
            </w:tcBorders>
            <w:shd w:val="clear" w:color="auto" w:fill="9CC2E5" w:themeFill="accent1" w:themeFillTint="99"/>
            <w:noWrap/>
            <w:textDirection w:val="btLr"/>
            <w:hideMark/>
          </w:tcPr>
          <w:p w14:paraId="5D8F9D3A" w14:textId="77777777" w:rsidR="00B90E75" w:rsidRPr="00621AA9" w:rsidRDefault="00B90E75" w:rsidP="00621AA9">
            <w:pPr>
              <w:spacing w:before="0" w:after="0" w:line="240" w:lineRule="auto"/>
              <w:contextualSpacing/>
              <w:rPr>
                <w:rFonts w:ascii="Times New Roman" w:eastAsia="Calibri" w:hAnsi="Times New Roman" w:cs="Times New Roman"/>
                <w:color w:val="auto"/>
              </w:rPr>
            </w:pPr>
            <w:r w:rsidRPr="00621AA9">
              <w:rPr>
                <w:rFonts w:ascii="Times New Roman" w:eastAsia="Calibri" w:hAnsi="Times New Roman" w:cs="Times New Roman"/>
                <w:color w:val="auto"/>
              </w:rPr>
              <w:t>Pomorski</w:t>
            </w:r>
          </w:p>
        </w:tc>
        <w:tc>
          <w:tcPr>
            <w:tcW w:w="2673" w:type="dxa"/>
            <w:shd w:val="clear" w:color="auto" w:fill="FFFFFF" w:themeFill="background1"/>
            <w:hideMark/>
          </w:tcPr>
          <w:p w14:paraId="698F9568"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Program </w:t>
            </w:r>
            <w:r w:rsidR="00621AA9" w:rsidRPr="00621AA9">
              <w:rPr>
                <w:rFonts w:ascii="Times New Roman" w:eastAsia="Calibri" w:hAnsi="Times New Roman" w:cs="Times New Roman"/>
                <w:b/>
                <w:bCs/>
              </w:rPr>
              <w:t xml:space="preserve">Profilaktyki Zakażeń </w:t>
            </w:r>
            <w:r w:rsidRPr="00621AA9">
              <w:rPr>
                <w:rFonts w:ascii="Times New Roman" w:eastAsia="Calibri" w:hAnsi="Times New Roman" w:cs="Times New Roman"/>
                <w:b/>
                <w:bCs/>
              </w:rPr>
              <w:t xml:space="preserve">HCV </w:t>
            </w:r>
            <w:r w:rsidR="00621AA9" w:rsidRPr="00621AA9">
              <w:rPr>
                <w:rFonts w:ascii="Times New Roman" w:eastAsia="Calibri" w:hAnsi="Times New Roman" w:cs="Times New Roman"/>
                <w:b/>
                <w:bCs/>
              </w:rPr>
              <w:t>Dla Mieszkańców Powiatu Kartuskiego Na Lata 2017-2019</w:t>
            </w:r>
          </w:p>
        </w:tc>
        <w:tc>
          <w:tcPr>
            <w:tcW w:w="1823" w:type="dxa"/>
            <w:shd w:val="clear" w:color="auto" w:fill="FFFFFF" w:themeFill="background1"/>
            <w:hideMark/>
          </w:tcPr>
          <w:p w14:paraId="4463A0BB"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Diagnostyka: osoby w wieku 18-65 lat z grup ryzyka wystąpienia HCV, zameldowane na terenie powiatu kartuskiego (przebadano 1028 osób). Edukacja: wszyscy mieszkańcy powiatu kartuskiego.</w:t>
            </w:r>
          </w:p>
        </w:tc>
        <w:tc>
          <w:tcPr>
            <w:tcW w:w="1823" w:type="dxa"/>
            <w:shd w:val="clear" w:color="auto" w:fill="FFFFFF" w:themeFill="background1"/>
            <w:hideMark/>
          </w:tcPr>
          <w:p w14:paraId="3D19F9A1"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badanie na obecność przeciwciał anty-HCV we krwi</w:t>
            </w:r>
          </w:p>
        </w:tc>
        <w:tc>
          <w:tcPr>
            <w:tcW w:w="2039" w:type="dxa"/>
            <w:shd w:val="clear" w:color="auto" w:fill="FFFFFF" w:themeFill="background1"/>
            <w:hideMark/>
          </w:tcPr>
          <w:p w14:paraId="288A6B35"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szkolenia na temat zakażeń wirusem HCV dla pracowników salonów fryzjerskich, odnowy biologicznej i studia tatuaży oraz dla lekarzy, opublikowanie w lokalnych mediach 2 artykułów nt. zakażenia wirusem HCV, plakaty i ulotki zawierające informację nt. zakażenia wirusem HCV</w:t>
            </w:r>
          </w:p>
        </w:tc>
      </w:tr>
      <w:tr w:rsidR="00B90E75" w:rsidRPr="00621AA9" w14:paraId="634AF465" w14:textId="77777777" w:rsidTr="00B022DF">
        <w:trPr>
          <w:cnfStyle w:val="000000100000" w:firstRow="0" w:lastRow="0" w:firstColumn="0" w:lastColumn="0" w:oddVBand="0" w:evenVBand="0" w:oddHBand="1" w:evenHBand="0" w:firstRowFirstColumn="0" w:firstRowLastColumn="0" w:lastRowFirstColumn="0" w:lastRowLastColumn="0"/>
          <w:trHeight w:val="4184"/>
        </w:trPr>
        <w:tc>
          <w:tcPr>
            <w:cnfStyle w:val="001000000000" w:firstRow="0" w:lastRow="0" w:firstColumn="1" w:lastColumn="0" w:oddVBand="0" w:evenVBand="0" w:oddHBand="0" w:evenHBand="0" w:firstRowFirstColumn="0" w:firstRowLastColumn="0" w:lastRowFirstColumn="0" w:lastRowLastColumn="0"/>
            <w:tcW w:w="958" w:type="dxa"/>
            <w:vMerge/>
            <w:tcBorders>
              <w:left w:val="none" w:sz="0" w:space="0" w:color="auto"/>
            </w:tcBorders>
            <w:shd w:val="clear" w:color="auto" w:fill="9CC2E5" w:themeFill="accent1" w:themeFillTint="99"/>
            <w:noWrap/>
            <w:textDirection w:val="btLr"/>
            <w:hideMark/>
          </w:tcPr>
          <w:p w14:paraId="614239D7" w14:textId="77777777" w:rsidR="00B90E75" w:rsidRPr="00621AA9" w:rsidRDefault="00B90E75" w:rsidP="00621AA9">
            <w:pPr>
              <w:spacing w:before="0" w:after="0" w:line="240" w:lineRule="auto"/>
              <w:contextualSpacing/>
              <w:rPr>
                <w:rFonts w:ascii="Times New Roman" w:eastAsia="Calibri" w:hAnsi="Times New Roman" w:cs="Times New Roman"/>
                <w:color w:val="auto"/>
              </w:rPr>
            </w:pPr>
          </w:p>
        </w:tc>
        <w:tc>
          <w:tcPr>
            <w:tcW w:w="2673" w:type="dxa"/>
            <w:shd w:val="clear" w:color="auto" w:fill="FFFFFF" w:themeFill="background1"/>
            <w:hideMark/>
          </w:tcPr>
          <w:p w14:paraId="44B1CD17"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Program </w:t>
            </w:r>
            <w:r w:rsidR="00621AA9" w:rsidRPr="00621AA9">
              <w:rPr>
                <w:rFonts w:ascii="Times New Roman" w:eastAsia="Calibri" w:hAnsi="Times New Roman" w:cs="Times New Roman"/>
                <w:b/>
                <w:bCs/>
              </w:rPr>
              <w:t xml:space="preserve">Profilaktyki I Wczesnego Wykrywania Zakażeń </w:t>
            </w:r>
            <w:r w:rsidRPr="00621AA9">
              <w:rPr>
                <w:rFonts w:ascii="Times New Roman" w:eastAsia="Calibri" w:hAnsi="Times New Roman" w:cs="Times New Roman"/>
                <w:b/>
                <w:bCs/>
              </w:rPr>
              <w:t xml:space="preserve">HCV </w:t>
            </w:r>
            <w:r w:rsidR="00621AA9" w:rsidRPr="00621AA9">
              <w:rPr>
                <w:rFonts w:ascii="Times New Roman" w:eastAsia="Calibri" w:hAnsi="Times New Roman" w:cs="Times New Roman"/>
                <w:b/>
                <w:bCs/>
              </w:rPr>
              <w:t xml:space="preserve">W </w:t>
            </w:r>
            <w:r w:rsidRPr="00621AA9">
              <w:rPr>
                <w:rFonts w:ascii="Times New Roman" w:eastAsia="Calibri" w:hAnsi="Times New Roman" w:cs="Times New Roman"/>
                <w:b/>
                <w:bCs/>
              </w:rPr>
              <w:t xml:space="preserve">Gminie Kobylnica </w:t>
            </w:r>
            <w:r w:rsidR="00621AA9" w:rsidRPr="00621AA9">
              <w:rPr>
                <w:rFonts w:ascii="Times New Roman" w:eastAsia="Calibri" w:hAnsi="Times New Roman" w:cs="Times New Roman"/>
                <w:b/>
                <w:bCs/>
              </w:rPr>
              <w:t>Na Lata 2018-2020</w:t>
            </w:r>
          </w:p>
        </w:tc>
        <w:tc>
          <w:tcPr>
            <w:tcW w:w="1823" w:type="dxa"/>
            <w:shd w:val="clear" w:color="auto" w:fill="FFFFFF" w:themeFill="background1"/>
            <w:hideMark/>
          </w:tcPr>
          <w:p w14:paraId="7415B8FA"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Diagnostyka: osoby w wieku 18-65 lat z grup ryzyka wystąpienia HCV. Edukacja: wszyscy mieszkańcy gminy</w:t>
            </w:r>
          </w:p>
        </w:tc>
        <w:tc>
          <w:tcPr>
            <w:tcW w:w="1823" w:type="dxa"/>
            <w:shd w:val="clear" w:color="auto" w:fill="FFFFFF" w:themeFill="background1"/>
            <w:hideMark/>
          </w:tcPr>
          <w:p w14:paraId="006655EC"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badanie na obecność przeciwciał anty-HCV we krwi</w:t>
            </w:r>
          </w:p>
        </w:tc>
        <w:tc>
          <w:tcPr>
            <w:tcW w:w="2039" w:type="dxa"/>
            <w:shd w:val="clear" w:color="auto" w:fill="FFFFFF" w:themeFill="background1"/>
            <w:hideMark/>
          </w:tcPr>
          <w:p w14:paraId="70FADF07"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szkolenia personelu w zakresie zakażeń HCV -   plakaty i ulotki informacyjne</w:t>
            </w:r>
          </w:p>
        </w:tc>
      </w:tr>
      <w:tr w:rsidR="00B90E75" w:rsidRPr="00621AA9" w14:paraId="7B906172" w14:textId="77777777" w:rsidTr="00A55962">
        <w:trPr>
          <w:trHeight w:val="3060"/>
        </w:trPr>
        <w:tc>
          <w:tcPr>
            <w:cnfStyle w:val="001000000000" w:firstRow="0" w:lastRow="0" w:firstColumn="1" w:lastColumn="0" w:oddVBand="0" w:evenVBand="0" w:oddHBand="0" w:evenHBand="0" w:firstRowFirstColumn="0" w:firstRowLastColumn="0" w:lastRowFirstColumn="0" w:lastRowLastColumn="0"/>
            <w:tcW w:w="958" w:type="dxa"/>
            <w:vMerge/>
            <w:tcBorders>
              <w:left w:val="none" w:sz="0" w:space="0" w:color="auto"/>
            </w:tcBorders>
            <w:shd w:val="clear" w:color="auto" w:fill="9CC2E5" w:themeFill="accent1" w:themeFillTint="99"/>
            <w:noWrap/>
            <w:textDirection w:val="btLr"/>
            <w:hideMark/>
          </w:tcPr>
          <w:p w14:paraId="4D8EC1A6" w14:textId="77777777" w:rsidR="00B90E75" w:rsidRPr="00621AA9" w:rsidRDefault="00B90E75" w:rsidP="00621AA9">
            <w:pPr>
              <w:spacing w:before="0" w:after="0" w:line="240" w:lineRule="auto"/>
              <w:contextualSpacing/>
              <w:rPr>
                <w:rFonts w:ascii="Times New Roman" w:eastAsia="Calibri" w:hAnsi="Times New Roman" w:cs="Times New Roman"/>
                <w:color w:val="auto"/>
              </w:rPr>
            </w:pPr>
          </w:p>
        </w:tc>
        <w:tc>
          <w:tcPr>
            <w:tcW w:w="2673" w:type="dxa"/>
            <w:shd w:val="clear" w:color="auto" w:fill="FFFFFF" w:themeFill="background1"/>
            <w:hideMark/>
          </w:tcPr>
          <w:p w14:paraId="78A7D9EA"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Recepta </w:t>
            </w:r>
            <w:r w:rsidR="00621AA9" w:rsidRPr="00621AA9">
              <w:rPr>
                <w:rFonts w:ascii="Times New Roman" w:eastAsia="Calibri" w:hAnsi="Times New Roman" w:cs="Times New Roman"/>
                <w:b/>
                <w:bCs/>
              </w:rPr>
              <w:t xml:space="preserve">Na Raka-Program Wczesnego Wykrywania Raka Płuc Wśród Mieszkańców Powiatu </w:t>
            </w:r>
            <w:r w:rsidRPr="00621AA9">
              <w:rPr>
                <w:rFonts w:ascii="Times New Roman" w:eastAsia="Calibri" w:hAnsi="Times New Roman" w:cs="Times New Roman"/>
                <w:b/>
                <w:bCs/>
              </w:rPr>
              <w:t xml:space="preserve">Tczewskiego </w:t>
            </w:r>
            <w:r w:rsidR="00621AA9" w:rsidRPr="00621AA9">
              <w:rPr>
                <w:rFonts w:ascii="Times New Roman" w:eastAsia="Calibri" w:hAnsi="Times New Roman" w:cs="Times New Roman"/>
                <w:b/>
                <w:bCs/>
              </w:rPr>
              <w:t xml:space="preserve">(Okres Realizacji Programu 2016-2020 Z Możliwością Kontynuacji W Latach Następnych)  </w:t>
            </w:r>
          </w:p>
        </w:tc>
        <w:tc>
          <w:tcPr>
            <w:tcW w:w="1823" w:type="dxa"/>
            <w:shd w:val="clear" w:color="auto" w:fill="FFFFFF" w:themeFill="background1"/>
            <w:hideMark/>
          </w:tcPr>
          <w:p w14:paraId="5A5FD354"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Mieszkańcy powiatu tczewskiego w grupie wiekowej 55-80 lat, którzy należą do grupy wysokiego ryzyka raka płuc (tj. okres palenia co najmniej 30 paczko-lat lub palenie w przeszłości w okresie ostatnich 15 lat, ale bez wcześniejszych objawów choroby nowotworowej).</w:t>
            </w:r>
          </w:p>
        </w:tc>
        <w:tc>
          <w:tcPr>
            <w:tcW w:w="1823" w:type="dxa"/>
            <w:shd w:val="clear" w:color="auto" w:fill="FFFFFF" w:themeFill="background1"/>
            <w:hideMark/>
          </w:tcPr>
          <w:p w14:paraId="293B17F5"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konsultacje pulmonologiczne, badanie LDCT</w:t>
            </w:r>
          </w:p>
        </w:tc>
        <w:tc>
          <w:tcPr>
            <w:tcW w:w="2039" w:type="dxa"/>
            <w:shd w:val="clear" w:color="auto" w:fill="FFFFFF" w:themeFill="background1"/>
            <w:noWrap/>
            <w:hideMark/>
          </w:tcPr>
          <w:p w14:paraId="5B12CEB2"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ulotki, plakaty informacyjne</w:t>
            </w:r>
          </w:p>
        </w:tc>
      </w:tr>
      <w:tr w:rsidR="00B90E75" w:rsidRPr="00621AA9" w14:paraId="21BFBB3E" w14:textId="77777777" w:rsidTr="00A55962">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958" w:type="dxa"/>
            <w:vMerge w:val="restart"/>
            <w:tcBorders>
              <w:left w:val="none" w:sz="0" w:space="0" w:color="auto"/>
            </w:tcBorders>
            <w:shd w:val="clear" w:color="auto" w:fill="9CC2E5" w:themeFill="accent1" w:themeFillTint="99"/>
            <w:noWrap/>
            <w:textDirection w:val="btLr"/>
            <w:hideMark/>
          </w:tcPr>
          <w:p w14:paraId="6CF749FF" w14:textId="77777777" w:rsidR="00B90E75" w:rsidRPr="00621AA9" w:rsidRDefault="00B90E75" w:rsidP="00621AA9">
            <w:pPr>
              <w:spacing w:before="0" w:after="0" w:line="240" w:lineRule="auto"/>
              <w:contextualSpacing/>
              <w:rPr>
                <w:rFonts w:ascii="Times New Roman" w:eastAsia="Calibri" w:hAnsi="Times New Roman" w:cs="Times New Roman"/>
                <w:color w:val="auto"/>
              </w:rPr>
            </w:pPr>
            <w:r w:rsidRPr="00621AA9">
              <w:rPr>
                <w:rFonts w:ascii="Times New Roman" w:eastAsia="Calibri" w:hAnsi="Times New Roman" w:cs="Times New Roman"/>
                <w:color w:val="auto"/>
              </w:rPr>
              <w:t>Śląski</w:t>
            </w:r>
          </w:p>
        </w:tc>
        <w:tc>
          <w:tcPr>
            <w:tcW w:w="2673" w:type="dxa"/>
            <w:shd w:val="clear" w:color="auto" w:fill="FFFFFF" w:themeFill="background1"/>
            <w:hideMark/>
          </w:tcPr>
          <w:p w14:paraId="65DEB7F1"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Program </w:t>
            </w:r>
            <w:r w:rsidR="00621AA9" w:rsidRPr="00621AA9">
              <w:rPr>
                <w:rFonts w:ascii="Times New Roman" w:eastAsia="Calibri" w:hAnsi="Times New Roman" w:cs="Times New Roman"/>
                <w:b/>
                <w:bCs/>
              </w:rPr>
              <w:t xml:space="preserve">Profilaktyki Nowotworu Gruczołu Krokowego Dla Mężczyzn Zamieszkałych Na Terenie </w:t>
            </w:r>
            <w:r w:rsidRPr="00621AA9">
              <w:rPr>
                <w:rFonts w:ascii="Times New Roman" w:eastAsia="Calibri" w:hAnsi="Times New Roman" w:cs="Times New Roman"/>
                <w:b/>
                <w:bCs/>
              </w:rPr>
              <w:t xml:space="preserve">Gminy Toszek </w:t>
            </w:r>
            <w:r w:rsidR="00621AA9" w:rsidRPr="00621AA9">
              <w:rPr>
                <w:rFonts w:ascii="Times New Roman" w:eastAsia="Calibri" w:hAnsi="Times New Roman" w:cs="Times New Roman"/>
                <w:b/>
                <w:bCs/>
              </w:rPr>
              <w:t>W Wieku 50-69 Lat</w:t>
            </w:r>
          </w:p>
        </w:tc>
        <w:tc>
          <w:tcPr>
            <w:tcW w:w="1823" w:type="dxa"/>
            <w:shd w:val="clear" w:color="auto" w:fill="FFFFFF" w:themeFill="background1"/>
            <w:hideMark/>
          </w:tcPr>
          <w:p w14:paraId="2C437F94"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ok. 2500 osób - akcja promocyjno – edukacyjna;</w:t>
            </w:r>
            <w:r w:rsidRPr="00621AA9">
              <w:rPr>
                <w:rFonts w:ascii="Times New Roman" w:eastAsia="Calibri" w:hAnsi="Times New Roman" w:cs="Times New Roman"/>
              </w:rPr>
              <w:br/>
              <w:t>93 mężczyzn – objętych badaniami lekarskimi</w:t>
            </w:r>
          </w:p>
        </w:tc>
        <w:tc>
          <w:tcPr>
            <w:tcW w:w="1823" w:type="dxa"/>
            <w:shd w:val="clear" w:color="auto" w:fill="FFFFFF" w:themeFill="background1"/>
            <w:hideMark/>
          </w:tcPr>
          <w:p w14:paraId="3482213D"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badania przesiewowe- badanie stercza per rectum, badanie antygenu sterczowego, ewentualnie badanie USG prostaty</w:t>
            </w:r>
          </w:p>
        </w:tc>
        <w:tc>
          <w:tcPr>
            <w:tcW w:w="2039" w:type="dxa"/>
            <w:shd w:val="clear" w:color="auto" w:fill="FFFFFF" w:themeFill="background1"/>
            <w:hideMark/>
          </w:tcPr>
          <w:p w14:paraId="7F41FE25"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akcja promocyjno - edukacyjna, spotkanie promocyjno - edukacyjne</w:t>
            </w:r>
          </w:p>
        </w:tc>
      </w:tr>
      <w:tr w:rsidR="00B90E75" w:rsidRPr="00621AA9" w14:paraId="7761232C" w14:textId="77777777" w:rsidTr="00A55962">
        <w:trPr>
          <w:trHeight w:val="1785"/>
        </w:trPr>
        <w:tc>
          <w:tcPr>
            <w:cnfStyle w:val="001000000000" w:firstRow="0" w:lastRow="0" w:firstColumn="1" w:lastColumn="0" w:oddVBand="0" w:evenVBand="0" w:oddHBand="0" w:evenHBand="0" w:firstRowFirstColumn="0" w:firstRowLastColumn="0" w:lastRowFirstColumn="0" w:lastRowLastColumn="0"/>
            <w:tcW w:w="958" w:type="dxa"/>
            <w:vMerge/>
            <w:tcBorders>
              <w:left w:val="none" w:sz="0" w:space="0" w:color="auto"/>
            </w:tcBorders>
            <w:shd w:val="clear" w:color="auto" w:fill="9CC2E5" w:themeFill="accent1" w:themeFillTint="99"/>
            <w:noWrap/>
            <w:textDirection w:val="btLr"/>
            <w:hideMark/>
          </w:tcPr>
          <w:p w14:paraId="537EFF48" w14:textId="77777777" w:rsidR="00B90E75" w:rsidRPr="00621AA9" w:rsidRDefault="00B90E75" w:rsidP="00621AA9">
            <w:pPr>
              <w:spacing w:before="0" w:after="0" w:line="240" w:lineRule="auto"/>
              <w:contextualSpacing/>
              <w:rPr>
                <w:rFonts w:ascii="Times New Roman" w:eastAsia="Calibri" w:hAnsi="Times New Roman" w:cs="Times New Roman"/>
                <w:color w:val="auto"/>
              </w:rPr>
            </w:pPr>
          </w:p>
        </w:tc>
        <w:tc>
          <w:tcPr>
            <w:tcW w:w="2673" w:type="dxa"/>
            <w:shd w:val="clear" w:color="auto" w:fill="FFFFFF" w:themeFill="background1"/>
            <w:hideMark/>
          </w:tcPr>
          <w:p w14:paraId="4A144B1E"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Program </w:t>
            </w:r>
            <w:r w:rsidR="00621AA9" w:rsidRPr="00621AA9">
              <w:rPr>
                <w:rFonts w:ascii="Times New Roman" w:eastAsia="Calibri" w:hAnsi="Times New Roman" w:cs="Times New Roman"/>
                <w:b/>
                <w:bCs/>
              </w:rPr>
              <w:t xml:space="preserve">Profilaktyki Dla Osób „Trzeciego I Czwartego Wieku” - Etap Podstawowy, Dla Mieszkańców </w:t>
            </w:r>
            <w:r w:rsidRPr="00621AA9">
              <w:rPr>
                <w:rFonts w:ascii="Times New Roman" w:eastAsia="Calibri" w:hAnsi="Times New Roman" w:cs="Times New Roman"/>
                <w:b/>
                <w:bCs/>
              </w:rPr>
              <w:t>Katowic</w:t>
            </w:r>
          </w:p>
        </w:tc>
        <w:tc>
          <w:tcPr>
            <w:tcW w:w="1823" w:type="dxa"/>
            <w:shd w:val="clear" w:color="auto" w:fill="FFFFFF" w:themeFill="background1"/>
            <w:hideMark/>
          </w:tcPr>
          <w:p w14:paraId="07928F33"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101 osób w wieku 60-62 lata, 75-77 lat oraz powyżej 85 lat</w:t>
            </w:r>
          </w:p>
        </w:tc>
        <w:tc>
          <w:tcPr>
            <w:tcW w:w="1823" w:type="dxa"/>
            <w:shd w:val="clear" w:color="auto" w:fill="FFFFFF" w:themeFill="background1"/>
            <w:hideMark/>
          </w:tcPr>
          <w:p w14:paraId="1C8C4E14"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badania diagnostyczne w celu wykrycia chorób związanych z wiekiem, kierowanie do dalszej diagnostyki i leczenia w poradniach specjalistycznych</w:t>
            </w:r>
          </w:p>
        </w:tc>
        <w:tc>
          <w:tcPr>
            <w:tcW w:w="2039" w:type="dxa"/>
            <w:shd w:val="clear" w:color="auto" w:fill="FFFFFF" w:themeFill="background1"/>
            <w:hideMark/>
          </w:tcPr>
          <w:p w14:paraId="4D9C11BB"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akcja informacyjna</w:t>
            </w:r>
          </w:p>
        </w:tc>
      </w:tr>
      <w:tr w:rsidR="00B90E75" w:rsidRPr="00621AA9" w14:paraId="61696D22" w14:textId="77777777" w:rsidTr="00A55962">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958" w:type="dxa"/>
            <w:vMerge/>
            <w:tcBorders>
              <w:left w:val="none" w:sz="0" w:space="0" w:color="auto"/>
            </w:tcBorders>
            <w:shd w:val="clear" w:color="auto" w:fill="9CC2E5" w:themeFill="accent1" w:themeFillTint="99"/>
            <w:noWrap/>
            <w:textDirection w:val="btLr"/>
            <w:hideMark/>
          </w:tcPr>
          <w:p w14:paraId="648F52EE" w14:textId="77777777" w:rsidR="00B90E75" w:rsidRPr="00621AA9" w:rsidRDefault="00B90E75" w:rsidP="00621AA9">
            <w:pPr>
              <w:spacing w:before="0" w:after="0" w:line="240" w:lineRule="auto"/>
              <w:contextualSpacing/>
              <w:rPr>
                <w:rFonts w:ascii="Times New Roman" w:eastAsia="Calibri" w:hAnsi="Times New Roman" w:cs="Times New Roman"/>
                <w:color w:val="auto"/>
              </w:rPr>
            </w:pPr>
          </w:p>
        </w:tc>
        <w:tc>
          <w:tcPr>
            <w:tcW w:w="2673" w:type="dxa"/>
            <w:shd w:val="clear" w:color="auto" w:fill="FFFFFF" w:themeFill="background1"/>
            <w:hideMark/>
          </w:tcPr>
          <w:p w14:paraId="696D6FB7"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Rehabilitacja </w:t>
            </w:r>
            <w:r w:rsidR="00621AA9" w:rsidRPr="00621AA9">
              <w:rPr>
                <w:rFonts w:ascii="Times New Roman" w:eastAsia="Calibri" w:hAnsi="Times New Roman" w:cs="Times New Roman"/>
                <w:b/>
                <w:bCs/>
              </w:rPr>
              <w:t xml:space="preserve">I Wspieranie Aktywności Ruchowej Dla Seniorów, Mieszkańców </w:t>
            </w:r>
            <w:r w:rsidRPr="00621AA9">
              <w:rPr>
                <w:rFonts w:ascii="Times New Roman" w:eastAsia="Calibri" w:hAnsi="Times New Roman" w:cs="Times New Roman"/>
                <w:b/>
                <w:bCs/>
              </w:rPr>
              <w:t xml:space="preserve">Częstochowy </w:t>
            </w:r>
            <w:r w:rsidR="00621AA9" w:rsidRPr="00621AA9">
              <w:rPr>
                <w:rFonts w:ascii="Times New Roman" w:eastAsia="Calibri" w:hAnsi="Times New Roman" w:cs="Times New Roman"/>
                <w:b/>
                <w:bCs/>
              </w:rPr>
              <w:t>Na Lata 2013-2017 - Kontynuacja Programu Na Lata 2018-2022</w:t>
            </w:r>
          </w:p>
        </w:tc>
        <w:tc>
          <w:tcPr>
            <w:tcW w:w="1823" w:type="dxa"/>
            <w:shd w:val="clear" w:color="auto" w:fill="FFFFFF" w:themeFill="background1"/>
            <w:hideMark/>
          </w:tcPr>
          <w:p w14:paraId="2663B7F8"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677 osób w wieku powyżej 65 lat</w:t>
            </w:r>
          </w:p>
        </w:tc>
        <w:tc>
          <w:tcPr>
            <w:tcW w:w="1823" w:type="dxa"/>
            <w:shd w:val="clear" w:color="auto" w:fill="FFFFFF" w:themeFill="background1"/>
            <w:hideMark/>
          </w:tcPr>
          <w:p w14:paraId="5A955B91"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kwalifikacja do zabiegów przez lekarza specjalistę, zabiegi z zakresu fizykoterapii i kinezyterapii</w:t>
            </w:r>
          </w:p>
        </w:tc>
        <w:tc>
          <w:tcPr>
            <w:tcW w:w="2039" w:type="dxa"/>
            <w:shd w:val="clear" w:color="auto" w:fill="FFFFFF" w:themeFill="background1"/>
            <w:hideMark/>
          </w:tcPr>
          <w:p w14:paraId="2EE6A58A"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akcja promocyjna, ankiety</w:t>
            </w:r>
          </w:p>
        </w:tc>
      </w:tr>
      <w:tr w:rsidR="00B90E75" w:rsidRPr="00621AA9" w14:paraId="2FFB701B" w14:textId="77777777" w:rsidTr="00B022DF">
        <w:trPr>
          <w:trHeight w:val="3178"/>
        </w:trPr>
        <w:tc>
          <w:tcPr>
            <w:cnfStyle w:val="001000000000" w:firstRow="0" w:lastRow="0" w:firstColumn="1" w:lastColumn="0" w:oddVBand="0" w:evenVBand="0" w:oddHBand="0" w:evenHBand="0" w:firstRowFirstColumn="0" w:firstRowLastColumn="0" w:lastRowFirstColumn="0" w:lastRowLastColumn="0"/>
            <w:tcW w:w="958" w:type="dxa"/>
            <w:vMerge/>
            <w:tcBorders>
              <w:left w:val="none" w:sz="0" w:space="0" w:color="auto"/>
            </w:tcBorders>
            <w:shd w:val="clear" w:color="auto" w:fill="9CC2E5" w:themeFill="accent1" w:themeFillTint="99"/>
            <w:noWrap/>
            <w:textDirection w:val="btLr"/>
            <w:hideMark/>
          </w:tcPr>
          <w:p w14:paraId="248C8E90" w14:textId="77777777" w:rsidR="00B90E75" w:rsidRPr="00621AA9" w:rsidRDefault="00B90E75" w:rsidP="00621AA9">
            <w:pPr>
              <w:spacing w:before="0" w:after="0" w:line="240" w:lineRule="auto"/>
              <w:contextualSpacing/>
              <w:rPr>
                <w:rFonts w:ascii="Times New Roman" w:eastAsia="Calibri" w:hAnsi="Times New Roman" w:cs="Times New Roman"/>
                <w:color w:val="auto"/>
              </w:rPr>
            </w:pPr>
          </w:p>
        </w:tc>
        <w:tc>
          <w:tcPr>
            <w:tcW w:w="2673" w:type="dxa"/>
            <w:shd w:val="clear" w:color="auto" w:fill="FFFFFF" w:themeFill="background1"/>
            <w:hideMark/>
          </w:tcPr>
          <w:p w14:paraId="3F4602A7"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Program </w:t>
            </w:r>
            <w:r w:rsidR="00621AA9" w:rsidRPr="00621AA9">
              <w:rPr>
                <w:rFonts w:ascii="Times New Roman" w:eastAsia="Calibri" w:hAnsi="Times New Roman" w:cs="Times New Roman"/>
                <w:b/>
                <w:bCs/>
              </w:rPr>
              <w:t xml:space="preserve">Profilaktyki Dla Osób "Trzeciego I Czwartego Wieku" - Mieszkańców </w:t>
            </w:r>
            <w:r w:rsidRPr="00621AA9">
              <w:rPr>
                <w:rFonts w:ascii="Times New Roman" w:eastAsia="Calibri" w:hAnsi="Times New Roman" w:cs="Times New Roman"/>
                <w:b/>
                <w:bCs/>
              </w:rPr>
              <w:t xml:space="preserve">Częstochowy </w:t>
            </w:r>
            <w:r w:rsidR="00621AA9" w:rsidRPr="00621AA9">
              <w:rPr>
                <w:rFonts w:ascii="Times New Roman" w:eastAsia="Calibri" w:hAnsi="Times New Roman" w:cs="Times New Roman"/>
                <w:b/>
                <w:bCs/>
              </w:rPr>
              <w:t>Na Lata 2016-2020</w:t>
            </w:r>
          </w:p>
        </w:tc>
        <w:tc>
          <w:tcPr>
            <w:tcW w:w="1823" w:type="dxa"/>
            <w:shd w:val="clear" w:color="auto" w:fill="FFFFFF" w:themeFill="background1"/>
            <w:hideMark/>
          </w:tcPr>
          <w:p w14:paraId="7BE0A06C"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277 osób, w wieku 60-62 lata, 75-77 lat oraz powyżej 85 lat w tym:  194 os. skierowane do poradni specjalistycznych, 68 os. skierowanych do etapu rehabilitacyjnego</w:t>
            </w:r>
          </w:p>
        </w:tc>
        <w:tc>
          <w:tcPr>
            <w:tcW w:w="1823" w:type="dxa"/>
            <w:shd w:val="clear" w:color="auto" w:fill="FFFFFF" w:themeFill="background1"/>
            <w:hideMark/>
          </w:tcPr>
          <w:p w14:paraId="737754AE"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badania diagnostyczne w celu wykrycia chorób związanych z wiekiem, kierowanie do dalszej diagnostyki w poradniach specjalistycznych, zajęcia usprawniające</w:t>
            </w:r>
          </w:p>
        </w:tc>
        <w:tc>
          <w:tcPr>
            <w:tcW w:w="2039" w:type="dxa"/>
            <w:shd w:val="clear" w:color="auto" w:fill="FFFFFF" w:themeFill="background1"/>
            <w:hideMark/>
          </w:tcPr>
          <w:p w14:paraId="43F88462"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akcja informacyjno - edukacyjna</w:t>
            </w:r>
          </w:p>
        </w:tc>
      </w:tr>
      <w:tr w:rsidR="00B90E75" w:rsidRPr="00621AA9" w14:paraId="212C803B" w14:textId="77777777" w:rsidTr="00A55962">
        <w:trPr>
          <w:cnfStyle w:val="000000100000" w:firstRow="0" w:lastRow="0" w:firstColumn="0" w:lastColumn="0" w:oddVBand="0" w:evenVBand="0" w:oddHBand="1" w:evenHBand="0" w:firstRowFirstColumn="0" w:firstRowLastColumn="0" w:lastRowFirstColumn="0" w:lastRowLastColumn="0"/>
          <w:trHeight w:val="2805"/>
        </w:trPr>
        <w:tc>
          <w:tcPr>
            <w:cnfStyle w:val="001000000000" w:firstRow="0" w:lastRow="0" w:firstColumn="1" w:lastColumn="0" w:oddVBand="0" w:evenVBand="0" w:oddHBand="0" w:evenHBand="0" w:firstRowFirstColumn="0" w:firstRowLastColumn="0" w:lastRowFirstColumn="0" w:lastRowLastColumn="0"/>
            <w:tcW w:w="958" w:type="dxa"/>
            <w:vMerge w:val="restart"/>
            <w:tcBorders>
              <w:left w:val="none" w:sz="0" w:space="0" w:color="auto"/>
            </w:tcBorders>
            <w:shd w:val="clear" w:color="auto" w:fill="9CC2E5" w:themeFill="accent1" w:themeFillTint="99"/>
            <w:noWrap/>
            <w:textDirection w:val="btLr"/>
            <w:hideMark/>
          </w:tcPr>
          <w:p w14:paraId="5C0880BE" w14:textId="77777777" w:rsidR="00B90E75" w:rsidRPr="00621AA9" w:rsidRDefault="00B90E75" w:rsidP="00621AA9">
            <w:pPr>
              <w:spacing w:before="0" w:after="0" w:line="240" w:lineRule="auto"/>
              <w:contextualSpacing/>
              <w:rPr>
                <w:rFonts w:ascii="Times New Roman" w:eastAsia="Calibri" w:hAnsi="Times New Roman" w:cs="Times New Roman"/>
                <w:color w:val="auto"/>
              </w:rPr>
            </w:pPr>
            <w:r w:rsidRPr="00621AA9">
              <w:rPr>
                <w:rFonts w:ascii="Times New Roman" w:eastAsia="Calibri" w:hAnsi="Times New Roman" w:cs="Times New Roman"/>
                <w:color w:val="auto"/>
              </w:rPr>
              <w:lastRenderedPageBreak/>
              <w:t>Zachodniopomorski</w:t>
            </w:r>
          </w:p>
        </w:tc>
        <w:tc>
          <w:tcPr>
            <w:tcW w:w="2673" w:type="dxa"/>
            <w:shd w:val="clear" w:color="auto" w:fill="FFFFFF" w:themeFill="background1"/>
            <w:hideMark/>
          </w:tcPr>
          <w:p w14:paraId="4D3FD70F"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Program </w:t>
            </w:r>
            <w:r w:rsidR="00621AA9" w:rsidRPr="00621AA9">
              <w:rPr>
                <w:rFonts w:ascii="Times New Roman" w:eastAsia="Calibri" w:hAnsi="Times New Roman" w:cs="Times New Roman"/>
                <w:b/>
                <w:bCs/>
              </w:rPr>
              <w:t xml:space="preserve">Szczepień Ochronnych Przeciw Grypie Dla Mieszkańców </w:t>
            </w:r>
            <w:r w:rsidRPr="00621AA9">
              <w:rPr>
                <w:rFonts w:ascii="Times New Roman" w:eastAsia="Calibri" w:hAnsi="Times New Roman" w:cs="Times New Roman"/>
                <w:b/>
                <w:bCs/>
              </w:rPr>
              <w:t xml:space="preserve">Świnoujścia </w:t>
            </w:r>
            <w:r w:rsidR="00621AA9" w:rsidRPr="00621AA9">
              <w:rPr>
                <w:rFonts w:ascii="Times New Roman" w:eastAsia="Calibri" w:hAnsi="Times New Roman" w:cs="Times New Roman"/>
                <w:b/>
                <w:bCs/>
              </w:rPr>
              <w:t xml:space="preserve">W Wieku Od 60 Roku Życia </w:t>
            </w:r>
          </w:p>
        </w:tc>
        <w:tc>
          <w:tcPr>
            <w:tcW w:w="1823" w:type="dxa"/>
            <w:shd w:val="clear" w:color="auto" w:fill="FFFFFF" w:themeFill="background1"/>
            <w:hideMark/>
          </w:tcPr>
          <w:p w14:paraId="252A32B7"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Osoby w wieku powyżej 60 r.ż., mieszkańcy Świnoujścia. 2 200 osób planowanych.</w:t>
            </w:r>
          </w:p>
        </w:tc>
        <w:tc>
          <w:tcPr>
            <w:tcW w:w="1823" w:type="dxa"/>
            <w:shd w:val="clear" w:color="auto" w:fill="FFFFFF" w:themeFill="background1"/>
            <w:hideMark/>
          </w:tcPr>
          <w:p w14:paraId="5EE86F45"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Kwalifikacja do szczepień, podanie szczepionki,</w:t>
            </w:r>
            <w:r w:rsidRPr="00621AA9">
              <w:rPr>
                <w:rFonts w:ascii="Times New Roman" w:eastAsia="Calibri" w:hAnsi="Times New Roman" w:cs="Times New Roman"/>
              </w:rPr>
              <w:br/>
              <w:t>prowadzenie dokumentacji medycznej</w:t>
            </w:r>
          </w:p>
        </w:tc>
        <w:tc>
          <w:tcPr>
            <w:tcW w:w="2039" w:type="dxa"/>
            <w:shd w:val="clear" w:color="auto" w:fill="FFFFFF" w:themeFill="background1"/>
            <w:hideMark/>
          </w:tcPr>
          <w:p w14:paraId="16018D46"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Akcja informacyjna:</w:t>
            </w:r>
          </w:p>
          <w:p w14:paraId="54957CC9" w14:textId="77777777" w:rsidR="00B90E75" w:rsidRPr="00621AA9" w:rsidRDefault="00B90E75" w:rsidP="008C71A9">
            <w:pPr>
              <w:pStyle w:val="Akapitzlist"/>
              <w:numPr>
                <w:ilvl w:val="0"/>
                <w:numId w:val="276"/>
              </w:num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AA9">
              <w:rPr>
                <w:rFonts w:ascii="Times New Roman" w:hAnsi="Times New Roman" w:cs="Times New Roman"/>
              </w:rPr>
              <w:t>umieszczenie ogłoszeń o programie w podmiotach leczniczych,</w:t>
            </w:r>
          </w:p>
          <w:p w14:paraId="05E11A5E" w14:textId="77777777" w:rsidR="00B90E75" w:rsidRPr="00621AA9" w:rsidRDefault="00B90E75" w:rsidP="008C71A9">
            <w:pPr>
              <w:pStyle w:val="Akapitzlist"/>
              <w:numPr>
                <w:ilvl w:val="0"/>
                <w:numId w:val="276"/>
              </w:num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AA9">
              <w:rPr>
                <w:rFonts w:ascii="Times New Roman" w:hAnsi="Times New Roman" w:cs="Times New Roman"/>
              </w:rPr>
              <w:t>informacje na temat programu na stronie internetowej Miasta Świnoujście, dostępnych mediach i podmiotach leczniczych,</w:t>
            </w:r>
          </w:p>
          <w:p w14:paraId="27BD387B" w14:textId="77777777" w:rsidR="00B90E75" w:rsidRPr="00621AA9" w:rsidRDefault="00B90E75" w:rsidP="008C71A9">
            <w:pPr>
              <w:pStyle w:val="Akapitzlist"/>
              <w:numPr>
                <w:ilvl w:val="0"/>
                <w:numId w:val="276"/>
              </w:numPr>
              <w:spacing w:before="0"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621AA9">
              <w:rPr>
                <w:rFonts w:ascii="Times New Roman" w:hAnsi="Times New Roman" w:cs="Times New Roman"/>
              </w:rPr>
              <w:t>przekazywanie informacji za pośrednictwem parafii,</w:t>
            </w:r>
          </w:p>
        </w:tc>
      </w:tr>
      <w:tr w:rsidR="00B90E75" w:rsidRPr="00621AA9" w14:paraId="214A12C3" w14:textId="77777777" w:rsidTr="00A55962">
        <w:trPr>
          <w:trHeight w:val="2040"/>
        </w:trPr>
        <w:tc>
          <w:tcPr>
            <w:cnfStyle w:val="001000000000" w:firstRow="0" w:lastRow="0" w:firstColumn="1" w:lastColumn="0" w:oddVBand="0" w:evenVBand="0" w:oddHBand="0" w:evenHBand="0" w:firstRowFirstColumn="0" w:firstRowLastColumn="0" w:lastRowFirstColumn="0" w:lastRowLastColumn="0"/>
            <w:tcW w:w="958" w:type="dxa"/>
            <w:vMerge/>
            <w:tcBorders>
              <w:left w:val="none" w:sz="0" w:space="0" w:color="auto"/>
            </w:tcBorders>
            <w:shd w:val="clear" w:color="auto" w:fill="9CC2E5" w:themeFill="accent1" w:themeFillTint="99"/>
            <w:noWrap/>
            <w:textDirection w:val="btLr"/>
            <w:hideMark/>
          </w:tcPr>
          <w:p w14:paraId="43401E17" w14:textId="77777777" w:rsidR="00B90E75" w:rsidRPr="00621AA9" w:rsidRDefault="00B90E75" w:rsidP="00621AA9">
            <w:pPr>
              <w:spacing w:before="0" w:after="0" w:line="240" w:lineRule="auto"/>
              <w:contextualSpacing/>
              <w:rPr>
                <w:rFonts w:ascii="Times New Roman" w:eastAsia="Calibri" w:hAnsi="Times New Roman" w:cs="Times New Roman"/>
              </w:rPr>
            </w:pPr>
          </w:p>
        </w:tc>
        <w:tc>
          <w:tcPr>
            <w:tcW w:w="2673" w:type="dxa"/>
            <w:shd w:val="clear" w:color="auto" w:fill="FFFFFF" w:themeFill="background1"/>
            <w:hideMark/>
          </w:tcPr>
          <w:p w14:paraId="0DCF3D36"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Program Szczepień Profilaktycznych </w:t>
            </w:r>
            <w:r w:rsidR="00621AA9" w:rsidRPr="00621AA9">
              <w:rPr>
                <w:rFonts w:ascii="Times New Roman" w:eastAsia="Calibri" w:hAnsi="Times New Roman" w:cs="Times New Roman"/>
                <w:b/>
                <w:bCs/>
              </w:rPr>
              <w:t xml:space="preserve">Przeciwko Grypie Dla Osób 65+ Z Terenu </w:t>
            </w:r>
            <w:r w:rsidRPr="00621AA9">
              <w:rPr>
                <w:rFonts w:ascii="Times New Roman" w:eastAsia="Calibri" w:hAnsi="Times New Roman" w:cs="Times New Roman"/>
                <w:b/>
                <w:bCs/>
              </w:rPr>
              <w:t xml:space="preserve">Miasta </w:t>
            </w:r>
            <w:r w:rsidR="00621AA9" w:rsidRPr="00621AA9">
              <w:rPr>
                <w:rFonts w:ascii="Times New Roman" w:eastAsia="Calibri" w:hAnsi="Times New Roman" w:cs="Times New Roman"/>
                <w:b/>
                <w:bCs/>
              </w:rPr>
              <w:t xml:space="preserve">I </w:t>
            </w:r>
            <w:r w:rsidRPr="00621AA9">
              <w:rPr>
                <w:rFonts w:ascii="Times New Roman" w:eastAsia="Calibri" w:hAnsi="Times New Roman" w:cs="Times New Roman"/>
                <w:b/>
                <w:bCs/>
              </w:rPr>
              <w:t xml:space="preserve">Gminy Barlinek </w:t>
            </w:r>
          </w:p>
        </w:tc>
        <w:tc>
          <w:tcPr>
            <w:tcW w:w="1823" w:type="dxa"/>
            <w:shd w:val="clear" w:color="auto" w:fill="FFFFFF" w:themeFill="background1"/>
            <w:hideMark/>
          </w:tcPr>
          <w:p w14:paraId="626C06D3"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Osoby w wieku powyżej 65 r.ż., mieszkańcy miasta i gminy Barlinek. 667 osób planowanych.</w:t>
            </w:r>
          </w:p>
        </w:tc>
        <w:tc>
          <w:tcPr>
            <w:tcW w:w="1823" w:type="dxa"/>
            <w:shd w:val="clear" w:color="auto" w:fill="FFFFFF" w:themeFill="background1"/>
            <w:hideMark/>
          </w:tcPr>
          <w:p w14:paraId="654EAE0F"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Kwalifikacja do szczepień, podanie szczepionki, prowadzenie dokumentacji medycznej</w:t>
            </w:r>
          </w:p>
        </w:tc>
        <w:tc>
          <w:tcPr>
            <w:tcW w:w="2039" w:type="dxa"/>
            <w:shd w:val="clear" w:color="auto" w:fill="FFFFFF" w:themeFill="background1"/>
            <w:hideMark/>
          </w:tcPr>
          <w:p w14:paraId="16785463"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Kampania informacyjna:</w:t>
            </w:r>
            <w:r w:rsidRPr="00621AA9">
              <w:rPr>
                <w:rFonts w:ascii="Times New Roman" w:eastAsia="Calibri" w:hAnsi="Times New Roman" w:cs="Times New Roman"/>
              </w:rPr>
              <w:br/>
              <w:t>- ogłoszenia w lokalnej prasie,</w:t>
            </w:r>
            <w:r w:rsidRPr="00621AA9">
              <w:rPr>
                <w:rFonts w:ascii="Times New Roman" w:eastAsia="Calibri" w:hAnsi="Times New Roman" w:cs="Times New Roman"/>
              </w:rPr>
              <w:br/>
              <w:t>- ogłoszenia w lokalnych portalach informacyjnych, ośrodkach zdrowia i innych miejscach użyteczności publicznej,</w:t>
            </w:r>
            <w:r w:rsidRPr="00621AA9">
              <w:rPr>
                <w:rFonts w:ascii="Times New Roman" w:eastAsia="Calibri" w:hAnsi="Times New Roman" w:cs="Times New Roman"/>
              </w:rPr>
              <w:br/>
              <w:t xml:space="preserve">- plakaty </w:t>
            </w:r>
          </w:p>
        </w:tc>
      </w:tr>
      <w:tr w:rsidR="00B90E75" w:rsidRPr="00621AA9" w14:paraId="2FB6DD4A" w14:textId="77777777" w:rsidTr="00A55962">
        <w:trPr>
          <w:cnfStyle w:val="000000100000" w:firstRow="0" w:lastRow="0" w:firstColumn="0" w:lastColumn="0" w:oddVBand="0" w:evenVBand="0" w:oddHBand="1" w:evenHBand="0" w:firstRowFirstColumn="0" w:firstRowLastColumn="0" w:lastRowFirstColumn="0" w:lastRowLastColumn="0"/>
          <w:trHeight w:val="1785"/>
        </w:trPr>
        <w:tc>
          <w:tcPr>
            <w:cnfStyle w:val="001000000000" w:firstRow="0" w:lastRow="0" w:firstColumn="1" w:lastColumn="0" w:oddVBand="0" w:evenVBand="0" w:oddHBand="0" w:evenHBand="0" w:firstRowFirstColumn="0" w:firstRowLastColumn="0" w:lastRowFirstColumn="0" w:lastRowLastColumn="0"/>
            <w:tcW w:w="958" w:type="dxa"/>
            <w:vMerge/>
            <w:tcBorders>
              <w:left w:val="none" w:sz="0" w:space="0" w:color="auto"/>
            </w:tcBorders>
            <w:shd w:val="clear" w:color="auto" w:fill="9CC2E5" w:themeFill="accent1" w:themeFillTint="99"/>
            <w:noWrap/>
            <w:textDirection w:val="btLr"/>
            <w:hideMark/>
          </w:tcPr>
          <w:p w14:paraId="31BE908B" w14:textId="77777777" w:rsidR="00B90E75" w:rsidRPr="00621AA9" w:rsidRDefault="00B90E75" w:rsidP="00621AA9">
            <w:pPr>
              <w:spacing w:before="0" w:after="0" w:line="240" w:lineRule="auto"/>
              <w:contextualSpacing/>
              <w:rPr>
                <w:rFonts w:ascii="Times New Roman" w:eastAsia="Calibri" w:hAnsi="Times New Roman" w:cs="Times New Roman"/>
              </w:rPr>
            </w:pPr>
          </w:p>
        </w:tc>
        <w:tc>
          <w:tcPr>
            <w:tcW w:w="2673" w:type="dxa"/>
            <w:shd w:val="clear" w:color="auto" w:fill="FFFFFF" w:themeFill="background1"/>
            <w:hideMark/>
          </w:tcPr>
          <w:p w14:paraId="76BBE5D5"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Program </w:t>
            </w:r>
            <w:r w:rsidR="00621AA9" w:rsidRPr="00621AA9">
              <w:rPr>
                <w:rFonts w:ascii="Times New Roman" w:eastAsia="Calibri" w:hAnsi="Times New Roman" w:cs="Times New Roman"/>
                <w:b/>
                <w:bCs/>
              </w:rPr>
              <w:t xml:space="preserve">Profilaktyki Szczepień Ochronnych Przeciwko Grypie Dla Mieszkańców </w:t>
            </w:r>
            <w:r w:rsidRPr="00621AA9">
              <w:rPr>
                <w:rFonts w:ascii="Times New Roman" w:eastAsia="Calibri" w:hAnsi="Times New Roman" w:cs="Times New Roman"/>
                <w:b/>
                <w:bCs/>
              </w:rPr>
              <w:t xml:space="preserve">Gminy Darłowo </w:t>
            </w:r>
            <w:r w:rsidR="00621AA9" w:rsidRPr="00621AA9">
              <w:rPr>
                <w:rFonts w:ascii="Times New Roman" w:eastAsia="Calibri" w:hAnsi="Times New Roman" w:cs="Times New Roman"/>
                <w:b/>
                <w:bCs/>
              </w:rPr>
              <w:t>Po 65 Roku Życia Na Lata 2017-2020</w:t>
            </w:r>
          </w:p>
        </w:tc>
        <w:tc>
          <w:tcPr>
            <w:tcW w:w="1823" w:type="dxa"/>
            <w:shd w:val="clear" w:color="auto" w:fill="FFFFFF" w:themeFill="background1"/>
            <w:hideMark/>
          </w:tcPr>
          <w:p w14:paraId="216D0535"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Osoby w wieku powyżej 65 r.ż., mieszkańcy gminy Darłowo. 820 osób planowanych.</w:t>
            </w:r>
          </w:p>
        </w:tc>
        <w:tc>
          <w:tcPr>
            <w:tcW w:w="1823" w:type="dxa"/>
            <w:shd w:val="clear" w:color="auto" w:fill="FFFFFF" w:themeFill="background1"/>
            <w:hideMark/>
          </w:tcPr>
          <w:p w14:paraId="6E6D7A39"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Kwalifikacja do szczepień, podanie szczepionki,</w:t>
            </w:r>
            <w:r w:rsidRPr="00621AA9">
              <w:rPr>
                <w:rFonts w:ascii="Times New Roman" w:eastAsia="Calibri" w:hAnsi="Times New Roman" w:cs="Times New Roman"/>
              </w:rPr>
              <w:br/>
              <w:t>prowadzenie dokumentacji medycznej</w:t>
            </w:r>
          </w:p>
        </w:tc>
        <w:tc>
          <w:tcPr>
            <w:tcW w:w="2039" w:type="dxa"/>
            <w:shd w:val="clear" w:color="auto" w:fill="FFFFFF" w:themeFill="background1"/>
            <w:hideMark/>
          </w:tcPr>
          <w:p w14:paraId="78F6D0D8"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Coroczna kampania promocyjno- edukacyjna prowadzana na terenie 22 świetlic wiejskich:</w:t>
            </w:r>
            <w:r w:rsidRPr="00621AA9">
              <w:rPr>
                <w:rFonts w:ascii="Times New Roman" w:eastAsia="Calibri" w:hAnsi="Times New Roman" w:cs="Times New Roman"/>
              </w:rPr>
              <w:br/>
              <w:t>- przeprowadzenie ankiet,</w:t>
            </w:r>
            <w:r w:rsidRPr="00621AA9">
              <w:rPr>
                <w:rFonts w:ascii="Times New Roman" w:eastAsia="Calibri" w:hAnsi="Times New Roman" w:cs="Times New Roman"/>
              </w:rPr>
              <w:br/>
              <w:t xml:space="preserve">- zakup plakatów </w:t>
            </w:r>
          </w:p>
        </w:tc>
      </w:tr>
      <w:tr w:rsidR="00B90E75" w:rsidRPr="00621AA9" w14:paraId="6A3CADBE" w14:textId="77777777" w:rsidTr="00A55962">
        <w:trPr>
          <w:trHeight w:val="3825"/>
        </w:trPr>
        <w:tc>
          <w:tcPr>
            <w:cnfStyle w:val="001000000000" w:firstRow="0" w:lastRow="0" w:firstColumn="1" w:lastColumn="0" w:oddVBand="0" w:evenVBand="0" w:oddHBand="0" w:evenHBand="0" w:firstRowFirstColumn="0" w:firstRowLastColumn="0" w:lastRowFirstColumn="0" w:lastRowLastColumn="0"/>
            <w:tcW w:w="958" w:type="dxa"/>
            <w:vMerge/>
            <w:tcBorders>
              <w:left w:val="none" w:sz="0" w:space="0" w:color="auto"/>
            </w:tcBorders>
            <w:shd w:val="clear" w:color="auto" w:fill="9CC2E5" w:themeFill="accent1" w:themeFillTint="99"/>
            <w:noWrap/>
            <w:textDirection w:val="btLr"/>
            <w:hideMark/>
          </w:tcPr>
          <w:p w14:paraId="15542C3D" w14:textId="77777777" w:rsidR="00B90E75" w:rsidRPr="00621AA9" w:rsidRDefault="00B90E75" w:rsidP="00621AA9">
            <w:pPr>
              <w:spacing w:before="0" w:after="0" w:line="240" w:lineRule="auto"/>
              <w:contextualSpacing/>
              <w:rPr>
                <w:rFonts w:ascii="Times New Roman" w:eastAsia="Calibri" w:hAnsi="Times New Roman" w:cs="Times New Roman"/>
              </w:rPr>
            </w:pPr>
          </w:p>
        </w:tc>
        <w:tc>
          <w:tcPr>
            <w:tcW w:w="2673" w:type="dxa"/>
            <w:shd w:val="clear" w:color="auto" w:fill="FFFFFF" w:themeFill="background1"/>
            <w:hideMark/>
          </w:tcPr>
          <w:p w14:paraId="5931D728"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Rehabilitacja </w:t>
            </w:r>
            <w:r w:rsidR="00621AA9" w:rsidRPr="00621AA9">
              <w:rPr>
                <w:rFonts w:ascii="Times New Roman" w:eastAsia="Calibri" w:hAnsi="Times New Roman" w:cs="Times New Roman"/>
                <w:b/>
                <w:bCs/>
              </w:rPr>
              <w:t xml:space="preserve">Lecznicza Mieszkańców Gminy </w:t>
            </w:r>
            <w:r w:rsidRPr="00621AA9">
              <w:rPr>
                <w:rFonts w:ascii="Times New Roman" w:eastAsia="Calibri" w:hAnsi="Times New Roman" w:cs="Times New Roman"/>
                <w:b/>
                <w:bCs/>
              </w:rPr>
              <w:t xml:space="preserve">Darłowo </w:t>
            </w:r>
            <w:r w:rsidR="00621AA9" w:rsidRPr="00621AA9">
              <w:rPr>
                <w:rFonts w:ascii="Times New Roman" w:eastAsia="Calibri" w:hAnsi="Times New Roman" w:cs="Times New Roman"/>
                <w:b/>
                <w:bCs/>
              </w:rPr>
              <w:t>(60+)</w:t>
            </w:r>
          </w:p>
        </w:tc>
        <w:tc>
          <w:tcPr>
            <w:tcW w:w="1823" w:type="dxa"/>
            <w:shd w:val="clear" w:color="auto" w:fill="FFFFFF" w:themeFill="background1"/>
            <w:hideMark/>
          </w:tcPr>
          <w:p w14:paraId="6817FFCE"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Osoby w wieku 60 r.ż. i więcej , mieszkańcy gminy Darłowo. 1 457 osób planowanych.</w:t>
            </w:r>
          </w:p>
          <w:p w14:paraId="7BBD7FB6" w14:textId="77777777" w:rsidR="00B90E75" w:rsidRPr="00621AA9" w:rsidRDefault="00B90E75" w:rsidP="00621AA9">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p w14:paraId="2FD96F51" w14:textId="77777777" w:rsidR="00B90E75" w:rsidRPr="00621AA9" w:rsidRDefault="00B90E75" w:rsidP="00621AA9">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p w14:paraId="43903631" w14:textId="77777777" w:rsidR="00B90E75" w:rsidRPr="00621AA9" w:rsidRDefault="00B90E75" w:rsidP="00621AA9">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p w14:paraId="0E7BBF62" w14:textId="77777777" w:rsidR="00B90E75" w:rsidRPr="00621AA9" w:rsidRDefault="00B90E75" w:rsidP="00621AA9">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p w14:paraId="3C69D450" w14:textId="77777777" w:rsidR="00B90E75" w:rsidRPr="00621AA9" w:rsidRDefault="00B90E75" w:rsidP="00621AA9">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p w14:paraId="4302E65E" w14:textId="77777777" w:rsidR="00B90E75" w:rsidRPr="00621AA9" w:rsidRDefault="00B90E75" w:rsidP="00621AA9">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p w14:paraId="614C6DCD" w14:textId="77777777" w:rsidR="00B90E75" w:rsidRPr="00621AA9" w:rsidRDefault="00B90E75" w:rsidP="00621AA9">
            <w:pPr>
              <w:tabs>
                <w:tab w:val="left" w:pos="1305"/>
              </w:tabs>
              <w:spacing w:before="0"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ab/>
            </w:r>
          </w:p>
        </w:tc>
        <w:tc>
          <w:tcPr>
            <w:tcW w:w="1823" w:type="dxa"/>
            <w:shd w:val="clear" w:color="auto" w:fill="FFFFFF" w:themeFill="background1"/>
            <w:hideMark/>
          </w:tcPr>
          <w:p w14:paraId="4C1D4084"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Rejestracja pacjenta ze skierowaniem, przeprowadzenie wywiadu, ocena i opis stanu funkcjonalnego przez rozpoczęciem rehabilitacji, zaplanowanie postępowania rehabilitacyjnego, realizacja zabiegów rehabilitacyjnych, przekazanie pacjentowi dalszych zaleceń oraz informacji</w:t>
            </w:r>
          </w:p>
        </w:tc>
        <w:tc>
          <w:tcPr>
            <w:tcW w:w="2039" w:type="dxa"/>
            <w:shd w:val="clear" w:color="auto" w:fill="FFFFFF" w:themeFill="background1"/>
            <w:hideMark/>
          </w:tcPr>
          <w:p w14:paraId="1940E923"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Akcja informacyjna: spotkania szkoleniowe dla personelu, rozpowszechnienie informacji dla pacjentów</w:t>
            </w:r>
          </w:p>
        </w:tc>
      </w:tr>
      <w:tr w:rsidR="00B90E75" w:rsidRPr="00621AA9" w14:paraId="16708A86" w14:textId="77777777" w:rsidTr="00A55962">
        <w:trPr>
          <w:cnfStyle w:val="000000100000" w:firstRow="0" w:lastRow="0" w:firstColumn="0" w:lastColumn="0" w:oddVBand="0" w:evenVBand="0" w:oddHBand="1" w:evenHBand="0" w:firstRowFirstColumn="0" w:firstRowLastColumn="0" w:lastRowFirstColumn="0" w:lastRowLastColumn="0"/>
          <w:trHeight w:val="1530"/>
        </w:trPr>
        <w:tc>
          <w:tcPr>
            <w:cnfStyle w:val="001000000000" w:firstRow="0" w:lastRow="0" w:firstColumn="1" w:lastColumn="0" w:oddVBand="0" w:evenVBand="0" w:oddHBand="0" w:evenHBand="0" w:firstRowFirstColumn="0" w:firstRowLastColumn="0" w:lastRowFirstColumn="0" w:lastRowLastColumn="0"/>
            <w:tcW w:w="958" w:type="dxa"/>
            <w:vMerge/>
            <w:tcBorders>
              <w:left w:val="none" w:sz="0" w:space="0" w:color="auto"/>
            </w:tcBorders>
            <w:shd w:val="clear" w:color="auto" w:fill="9CC2E5" w:themeFill="accent1" w:themeFillTint="99"/>
            <w:noWrap/>
            <w:textDirection w:val="btLr"/>
            <w:hideMark/>
          </w:tcPr>
          <w:p w14:paraId="34E23D8C" w14:textId="77777777" w:rsidR="00B90E75" w:rsidRPr="00621AA9" w:rsidRDefault="00B90E75" w:rsidP="00621AA9">
            <w:pPr>
              <w:spacing w:before="0" w:after="0" w:line="240" w:lineRule="auto"/>
              <w:contextualSpacing/>
              <w:rPr>
                <w:rFonts w:ascii="Times New Roman" w:eastAsia="Calibri" w:hAnsi="Times New Roman" w:cs="Times New Roman"/>
              </w:rPr>
            </w:pPr>
          </w:p>
        </w:tc>
        <w:tc>
          <w:tcPr>
            <w:tcW w:w="2673" w:type="dxa"/>
            <w:shd w:val="clear" w:color="auto" w:fill="FFFFFF" w:themeFill="background1"/>
            <w:hideMark/>
          </w:tcPr>
          <w:p w14:paraId="665FF06F"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Szczepienia </w:t>
            </w:r>
            <w:r w:rsidR="00621AA9" w:rsidRPr="00621AA9">
              <w:rPr>
                <w:rFonts w:ascii="Times New Roman" w:eastAsia="Calibri" w:hAnsi="Times New Roman" w:cs="Times New Roman"/>
                <w:b/>
                <w:bCs/>
              </w:rPr>
              <w:t xml:space="preserve">Mieszkańców Gminy </w:t>
            </w:r>
            <w:r w:rsidRPr="00621AA9">
              <w:rPr>
                <w:rFonts w:ascii="Times New Roman" w:eastAsia="Calibri" w:hAnsi="Times New Roman" w:cs="Times New Roman"/>
                <w:b/>
                <w:bCs/>
              </w:rPr>
              <w:t xml:space="preserve">Mielno </w:t>
            </w:r>
            <w:r w:rsidR="00621AA9" w:rsidRPr="00621AA9">
              <w:rPr>
                <w:rFonts w:ascii="Times New Roman" w:eastAsia="Calibri" w:hAnsi="Times New Roman" w:cs="Times New Roman"/>
                <w:b/>
                <w:bCs/>
              </w:rPr>
              <w:t>Przeciwko Grypie</w:t>
            </w:r>
          </w:p>
        </w:tc>
        <w:tc>
          <w:tcPr>
            <w:tcW w:w="1823" w:type="dxa"/>
            <w:shd w:val="clear" w:color="auto" w:fill="FFFFFF" w:themeFill="background1"/>
            <w:hideMark/>
          </w:tcPr>
          <w:p w14:paraId="0997C498"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Osoby w wieku powyżej 65 r.ż., zameldowane na terenie gminy Mielno. 311 osób planowanych.</w:t>
            </w:r>
          </w:p>
        </w:tc>
        <w:tc>
          <w:tcPr>
            <w:tcW w:w="1823" w:type="dxa"/>
            <w:shd w:val="clear" w:color="auto" w:fill="FFFFFF" w:themeFill="background1"/>
            <w:hideMark/>
          </w:tcPr>
          <w:p w14:paraId="1E5DAEC6"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Kwalifikacja do szczepień,</w:t>
            </w:r>
            <w:r w:rsidRPr="00621AA9">
              <w:rPr>
                <w:rFonts w:ascii="Times New Roman" w:eastAsia="Calibri" w:hAnsi="Times New Roman" w:cs="Times New Roman"/>
              </w:rPr>
              <w:br/>
              <w:t>podanie szczepionki,</w:t>
            </w:r>
            <w:r w:rsidRPr="00621AA9">
              <w:rPr>
                <w:rFonts w:ascii="Times New Roman" w:eastAsia="Calibri" w:hAnsi="Times New Roman" w:cs="Times New Roman"/>
              </w:rPr>
              <w:br/>
              <w:t>prowadzenie dokumentacji medycznej</w:t>
            </w:r>
          </w:p>
        </w:tc>
        <w:tc>
          <w:tcPr>
            <w:tcW w:w="2039" w:type="dxa"/>
            <w:shd w:val="clear" w:color="auto" w:fill="FFFFFF" w:themeFill="background1"/>
            <w:hideMark/>
          </w:tcPr>
          <w:p w14:paraId="0B069436" w14:textId="77777777" w:rsidR="00B90E75" w:rsidRPr="00621AA9" w:rsidRDefault="00B90E75" w:rsidP="00621AA9">
            <w:pPr>
              <w:spacing w:before="0" w:after="0" w:line="240" w:lineRule="auto"/>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Kampania promocyjno- informacyjna:</w:t>
            </w:r>
            <w:r w:rsidRPr="00621AA9">
              <w:rPr>
                <w:rFonts w:ascii="Times New Roman" w:eastAsia="Calibri" w:hAnsi="Times New Roman" w:cs="Times New Roman"/>
              </w:rPr>
              <w:br/>
              <w:t>-rozpropagowanie i nagłośnienie idei szczepień (prasa lokalna, internet, ośrodki zdrowia, facebook, BIP)</w:t>
            </w:r>
          </w:p>
        </w:tc>
      </w:tr>
      <w:tr w:rsidR="00B90E75" w:rsidRPr="00621AA9" w14:paraId="78101055" w14:textId="77777777" w:rsidTr="00A55962">
        <w:trPr>
          <w:trHeight w:val="2040"/>
        </w:trPr>
        <w:tc>
          <w:tcPr>
            <w:cnfStyle w:val="001000000000" w:firstRow="0" w:lastRow="0" w:firstColumn="1" w:lastColumn="0" w:oddVBand="0" w:evenVBand="0" w:oddHBand="0" w:evenHBand="0" w:firstRowFirstColumn="0" w:firstRowLastColumn="0" w:lastRowFirstColumn="0" w:lastRowLastColumn="0"/>
            <w:tcW w:w="958" w:type="dxa"/>
            <w:vMerge/>
            <w:tcBorders>
              <w:left w:val="none" w:sz="0" w:space="0" w:color="auto"/>
              <w:bottom w:val="none" w:sz="0" w:space="0" w:color="auto"/>
            </w:tcBorders>
            <w:shd w:val="clear" w:color="auto" w:fill="9CC2E5" w:themeFill="accent1" w:themeFillTint="99"/>
            <w:noWrap/>
            <w:textDirection w:val="btLr"/>
            <w:hideMark/>
          </w:tcPr>
          <w:p w14:paraId="767F0547" w14:textId="77777777" w:rsidR="00B90E75" w:rsidRPr="00621AA9" w:rsidRDefault="00B90E75" w:rsidP="00621AA9">
            <w:pPr>
              <w:spacing w:before="0" w:after="0" w:line="240" w:lineRule="auto"/>
              <w:contextualSpacing/>
              <w:rPr>
                <w:rFonts w:ascii="Times New Roman" w:eastAsia="Calibri" w:hAnsi="Times New Roman" w:cs="Times New Roman"/>
              </w:rPr>
            </w:pPr>
          </w:p>
        </w:tc>
        <w:tc>
          <w:tcPr>
            <w:tcW w:w="2673" w:type="dxa"/>
            <w:shd w:val="clear" w:color="auto" w:fill="FFFFFF" w:themeFill="background1"/>
            <w:hideMark/>
          </w:tcPr>
          <w:p w14:paraId="01FA6364"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bCs/>
              </w:rPr>
            </w:pPr>
            <w:r w:rsidRPr="00621AA9">
              <w:rPr>
                <w:rFonts w:ascii="Times New Roman" w:eastAsia="Calibri" w:hAnsi="Times New Roman" w:cs="Times New Roman"/>
                <w:b/>
                <w:bCs/>
              </w:rPr>
              <w:t xml:space="preserve">Zapobieganie </w:t>
            </w:r>
            <w:r w:rsidR="00621AA9" w:rsidRPr="00621AA9">
              <w:rPr>
                <w:rFonts w:ascii="Times New Roman" w:eastAsia="Calibri" w:hAnsi="Times New Roman" w:cs="Times New Roman"/>
                <w:b/>
                <w:bCs/>
              </w:rPr>
              <w:t xml:space="preserve">Grypie I Jej Powikłaniom Dla Osób Po 65 Roku Życia Zameldowanych W </w:t>
            </w:r>
            <w:r w:rsidRPr="00621AA9">
              <w:rPr>
                <w:rFonts w:ascii="Times New Roman" w:eastAsia="Calibri" w:hAnsi="Times New Roman" w:cs="Times New Roman"/>
                <w:b/>
                <w:bCs/>
              </w:rPr>
              <w:t>Szczecinie</w:t>
            </w:r>
          </w:p>
        </w:tc>
        <w:tc>
          <w:tcPr>
            <w:tcW w:w="1823" w:type="dxa"/>
            <w:shd w:val="clear" w:color="auto" w:fill="FFFFFF" w:themeFill="background1"/>
            <w:hideMark/>
          </w:tcPr>
          <w:p w14:paraId="7DC3AAB2"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Osoby w wieku powyżej 65 r.ż., zameldowane w szczecinie. 12 820 osób planowanych.</w:t>
            </w:r>
          </w:p>
        </w:tc>
        <w:tc>
          <w:tcPr>
            <w:tcW w:w="1823" w:type="dxa"/>
            <w:shd w:val="clear" w:color="auto" w:fill="FFFFFF" w:themeFill="background1"/>
            <w:hideMark/>
          </w:tcPr>
          <w:p w14:paraId="567877C9"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Kwalifikacja do szczepień,</w:t>
            </w:r>
            <w:r w:rsidRPr="00621AA9">
              <w:rPr>
                <w:rFonts w:ascii="Times New Roman" w:eastAsia="Calibri" w:hAnsi="Times New Roman" w:cs="Times New Roman"/>
              </w:rPr>
              <w:br/>
              <w:t>podanie szczepionki,</w:t>
            </w:r>
            <w:r w:rsidRPr="00621AA9">
              <w:rPr>
                <w:rFonts w:ascii="Times New Roman" w:eastAsia="Calibri" w:hAnsi="Times New Roman" w:cs="Times New Roman"/>
              </w:rPr>
              <w:br/>
              <w:t>prowadzenie dokumentacji medycznej</w:t>
            </w:r>
          </w:p>
        </w:tc>
        <w:tc>
          <w:tcPr>
            <w:tcW w:w="2039" w:type="dxa"/>
            <w:shd w:val="clear" w:color="auto" w:fill="FFFFFF" w:themeFill="background1"/>
            <w:hideMark/>
          </w:tcPr>
          <w:p w14:paraId="66983402" w14:textId="77777777" w:rsidR="00B90E75" w:rsidRPr="00621AA9" w:rsidRDefault="00B90E75" w:rsidP="00621AA9">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21AA9">
              <w:rPr>
                <w:rFonts w:ascii="Times New Roman" w:eastAsia="Calibri" w:hAnsi="Times New Roman" w:cs="Times New Roman"/>
              </w:rPr>
              <w:t>Kampania promocyjno- informacyjna:</w:t>
            </w:r>
            <w:r w:rsidRPr="00621AA9">
              <w:rPr>
                <w:rFonts w:ascii="Times New Roman" w:eastAsia="Calibri" w:hAnsi="Times New Roman" w:cs="Times New Roman"/>
              </w:rPr>
              <w:br/>
              <w:t xml:space="preserve">- strona internetowa urzędu miasta realizatora programu, </w:t>
            </w:r>
            <w:r w:rsidRPr="00621AA9">
              <w:rPr>
                <w:rFonts w:ascii="Times New Roman" w:eastAsia="Calibri" w:hAnsi="Times New Roman" w:cs="Times New Roman"/>
              </w:rPr>
              <w:br/>
              <w:t>- przesłanie informacji do rad osiedli i innych podmiotów,</w:t>
            </w:r>
            <w:r w:rsidRPr="00621AA9">
              <w:rPr>
                <w:rFonts w:ascii="Times New Roman" w:eastAsia="Calibri" w:hAnsi="Times New Roman" w:cs="Times New Roman"/>
              </w:rPr>
              <w:br/>
              <w:t>- media lokalne,</w:t>
            </w:r>
            <w:r w:rsidRPr="00621AA9">
              <w:rPr>
                <w:rFonts w:ascii="Times New Roman" w:eastAsia="Calibri" w:hAnsi="Times New Roman" w:cs="Times New Roman"/>
              </w:rPr>
              <w:br/>
              <w:t>- plakaty</w:t>
            </w:r>
          </w:p>
        </w:tc>
      </w:tr>
    </w:tbl>
    <w:p w14:paraId="1B4F8464" w14:textId="77777777" w:rsidR="003C1988" w:rsidRDefault="003C1988" w:rsidP="003C1988">
      <w:pPr>
        <w:pStyle w:val="Default"/>
        <w:shd w:val="clear" w:color="auto" w:fill="FFFFFF" w:themeFill="background1"/>
        <w:spacing w:line="276" w:lineRule="auto"/>
        <w:rPr>
          <w:rFonts w:ascii="Times New Roman" w:hAnsi="Times New Roman" w:cs="Times New Roman"/>
          <w:b/>
          <w:color w:val="2E74B5" w:themeColor="accent1" w:themeShade="B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81" w:name="_Hlk45231762"/>
    </w:p>
    <w:p w14:paraId="5496BF60" w14:textId="77777777" w:rsidR="003C1988" w:rsidRPr="00287912" w:rsidRDefault="003C1988" w:rsidP="00287912">
      <w:pPr>
        <w:jc w:val="both"/>
        <w:rPr>
          <w:rFonts w:ascii="Times New Roman" w:hAnsi="Times New Roman" w:cs="Times New Roman"/>
          <w:b/>
          <w:color w:val="00B0F0"/>
          <w:sz w:val="24"/>
        </w:rPr>
      </w:pPr>
      <w:r w:rsidRPr="00287912">
        <w:rPr>
          <w:rFonts w:ascii="Times New Roman" w:hAnsi="Times New Roman" w:cs="Times New Roman"/>
          <w:b/>
          <w:color w:val="00B0F0"/>
          <w:sz w:val="24"/>
        </w:rPr>
        <w:t>Projekty profilaktyczne realizowane przez Narodowy Instytut Geriatri</w:t>
      </w:r>
      <w:r w:rsidR="00F70044" w:rsidRPr="00287912">
        <w:rPr>
          <w:rFonts w:ascii="Times New Roman" w:hAnsi="Times New Roman" w:cs="Times New Roman"/>
          <w:b/>
          <w:color w:val="00B0F0"/>
          <w:sz w:val="24"/>
        </w:rPr>
        <w:t>i, Reumatologii i Rehabilitacji</w:t>
      </w:r>
    </w:p>
    <w:p w14:paraId="3638B7EB" w14:textId="77777777" w:rsidR="00B90E75" w:rsidRPr="00F913F4" w:rsidRDefault="00B90E75" w:rsidP="00F913F4">
      <w:pPr>
        <w:jc w:val="both"/>
        <w:rPr>
          <w:rFonts w:ascii="Times New Roman" w:hAnsi="Times New Roman" w:cs="Times New Roman"/>
          <w:b/>
          <w:sz w:val="24"/>
        </w:rPr>
      </w:pPr>
      <w:r w:rsidRPr="004D2D78">
        <w:rPr>
          <w:rFonts w:ascii="Times New Roman" w:hAnsi="Times New Roman" w:cs="Times New Roman"/>
          <w:b/>
          <w:sz w:val="24"/>
          <w:lang w:val="en-US"/>
        </w:rPr>
        <w:t xml:space="preserve">Projekt Managing Frailty. A comprehensive approach to promote a disability-free advanced age in Europe: the ADVANTAGE initiative — JA ADVANTAGE (Wspólne działanie w zakresie postępowania w zespole kruchości. </w:t>
      </w:r>
      <w:r w:rsidRPr="00F913F4">
        <w:rPr>
          <w:rFonts w:ascii="Times New Roman" w:hAnsi="Times New Roman" w:cs="Times New Roman"/>
          <w:b/>
          <w:sz w:val="24"/>
        </w:rPr>
        <w:t>Kompleksowe podejście w promowaniu zaawansowanego wieku bez ograniczeń funkcji)</w:t>
      </w:r>
    </w:p>
    <w:bookmarkEnd w:id="81"/>
    <w:p w14:paraId="38F47761" w14:textId="77777777" w:rsidR="00B90E75" w:rsidRPr="00B90E75" w:rsidRDefault="00B90E75" w:rsidP="00F913F4">
      <w:pPr>
        <w:pStyle w:val="Default"/>
        <w:spacing w:line="276" w:lineRule="auto"/>
        <w:jc w:val="both"/>
        <w:rPr>
          <w:rFonts w:ascii="Times New Roman" w:hAnsi="Times New Roman" w:cs="Times New Roman"/>
        </w:rPr>
      </w:pPr>
      <w:r w:rsidRPr="00B90E75">
        <w:rPr>
          <w:rFonts w:ascii="Times New Roman" w:hAnsi="Times New Roman" w:cs="Times New Roman"/>
          <w:color w:val="auto"/>
        </w:rPr>
        <w:t xml:space="preserve">Projekt był realizowany w latach 2017-2019. Jego </w:t>
      </w:r>
      <w:r w:rsidRPr="00B90E75">
        <w:rPr>
          <w:rFonts w:ascii="Times New Roman" w:hAnsi="Times New Roman" w:cs="Times New Roman"/>
          <w:b/>
          <w:bCs/>
          <w:color w:val="auto"/>
        </w:rPr>
        <w:t>c</w:t>
      </w:r>
      <w:r w:rsidRPr="00B90E75">
        <w:rPr>
          <w:rFonts w:ascii="Times New Roman" w:hAnsi="Times New Roman" w:cs="Times New Roman"/>
          <w:b/>
          <w:bCs/>
        </w:rPr>
        <w:t xml:space="preserve">elem </w:t>
      </w:r>
      <w:r w:rsidRPr="00B90E75">
        <w:rPr>
          <w:rFonts w:ascii="Times New Roman" w:hAnsi="Times New Roman" w:cs="Times New Roman"/>
        </w:rPr>
        <w:t xml:space="preserve">było wspieranie inicjatywy zapobiegania zespołowi kruchości (frailty syndrome) wśród osób w podeszłym wieku oraz wypracowanie działań strategicznych w zakresie zapobiegania i przeciwdziałania „kruchości” osób starszych. Projekt stanowi wspólne działanie 22 państw członkowskich UE i 35 instytucji - adresowany jest do decydentów i interesariuszy, personelu medycznego i pracowników pomocy społecznej. </w:t>
      </w:r>
    </w:p>
    <w:p w14:paraId="1594A93F" w14:textId="77777777" w:rsidR="003C1988" w:rsidRDefault="003C1988" w:rsidP="00C363D3">
      <w:pPr>
        <w:autoSpaceDE w:val="0"/>
        <w:autoSpaceDN w:val="0"/>
        <w:adjustRightInd w:val="0"/>
        <w:spacing w:after="0"/>
        <w:jc w:val="both"/>
        <w:rPr>
          <w:rFonts w:ascii="Times New Roman" w:eastAsia="Calibri" w:hAnsi="Times New Roman" w:cs="Times New Roman"/>
          <w:sz w:val="24"/>
          <w:szCs w:val="24"/>
        </w:rPr>
      </w:pPr>
    </w:p>
    <w:p w14:paraId="032D83AC" w14:textId="77777777" w:rsidR="00B90E75" w:rsidRPr="00B90E75" w:rsidRDefault="00B90E75" w:rsidP="00C363D3">
      <w:pPr>
        <w:autoSpaceDE w:val="0"/>
        <w:autoSpaceDN w:val="0"/>
        <w:adjustRightInd w:val="0"/>
        <w:spacing w:after="0"/>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 xml:space="preserve">W ramach projektu rozpoczęto prace nad opracowaniem ogólnoeuropejskiej strategii przeciwdziałania zespołowi kruchości, uwzględniającej: </w:t>
      </w:r>
    </w:p>
    <w:p w14:paraId="0421104A" w14:textId="77777777" w:rsidR="00B90E75" w:rsidRPr="00B90E75" w:rsidRDefault="00B90E75" w:rsidP="008C71A9">
      <w:pPr>
        <w:pStyle w:val="Akapitzlist"/>
        <w:numPr>
          <w:ilvl w:val="0"/>
          <w:numId w:val="370"/>
        </w:numPr>
        <w:autoSpaceDE w:val="0"/>
        <w:autoSpaceDN w:val="0"/>
        <w:adjustRightInd w:val="0"/>
        <w:spacing w:after="0"/>
        <w:ind w:left="360"/>
        <w:jc w:val="both"/>
        <w:rPr>
          <w:rFonts w:ascii="Times New Roman" w:hAnsi="Times New Roman" w:cs="Times New Roman"/>
          <w:sz w:val="24"/>
          <w:szCs w:val="24"/>
        </w:rPr>
      </w:pPr>
      <w:r w:rsidRPr="00B90E75">
        <w:rPr>
          <w:rFonts w:ascii="Times New Roman" w:hAnsi="Times New Roman" w:cs="Times New Roman"/>
          <w:sz w:val="24"/>
          <w:szCs w:val="24"/>
        </w:rPr>
        <w:t xml:space="preserve">opracowanie dokumentu Frailty Prevention Approach </w:t>
      </w:r>
    </w:p>
    <w:p w14:paraId="037AA036" w14:textId="77777777" w:rsidR="00B90E75" w:rsidRPr="00B90E75" w:rsidRDefault="00B90E75" w:rsidP="008C71A9">
      <w:pPr>
        <w:pStyle w:val="Akapitzlist"/>
        <w:numPr>
          <w:ilvl w:val="0"/>
          <w:numId w:val="370"/>
        </w:numPr>
        <w:autoSpaceDE w:val="0"/>
        <w:autoSpaceDN w:val="0"/>
        <w:adjustRightInd w:val="0"/>
        <w:spacing w:after="0"/>
        <w:ind w:left="360"/>
        <w:jc w:val="both"/>
        <w:rPr>
          <w:rFonts w:ascii="Times New Roman" w:hAnsi="Times New Roman" w:cs="Times New Roman"/>
          <w:sz w:val="24"/>
          <w:szCs w:val="24"/>
        </w:rPr>
      </w:pPr>
      <w:r w:rsidRPr="00B90E75">
        <w:rPr>
          <w:rFonts w:ascii="Times New Roman" w:hAnsi="Times New Roman" w:cs="Times New Roman"/>
          <w:sz w:val="24"/>
          <w:szCs w:val="24"/>
        </w:rPr>
        <w:t xml:space="preserve">przyjęcie </w:t>
      </w:r>
      <w:r w:rsidRPr="00F913F4">
        <w:rPr>
          <w:rFonts w:ascii="Times New Roman" w:hAnsi="Times New Roman" w:cs="Times New Roman"/>
          <w:bCs/>
          <w:sz w:val="24"/>
          <w:szCs w:val="24"/>
        </w:rPr>
        <w:t>standardu postępowania</w:t>
      </w:r>
      <w:r w:rsidRPr="00B90E75">
        <w:rPr>
          <w:rFonts w:ascii="Times New Roman" w:hAnsi="Times New Roman" w:cs="Times New Roman"/>
          <w:sz w:val="24"/>
          <w:szCs w:val="24"/>
        </w:rPr>
        <w:t>, obejmującego m. in.:</w:t>
      </w:r>
    </w:p>
    <w:p w14:paraId="1260DA01" w14:textId="77777777" w:rsidR="00B90E75" w:rsidRPr="00B90E75" w:rsidRDefault="00B90E75" w:rsidP="008C71A9">
      <w:pPr>
        <w:pStyle w:val="Akapitzlist"/>
        <w:numPr>
          <w:ilvl w:val="0"/>
          <w:numId w:val="283"/>
        </w:numPr>
        <w:autoSpaceDE w:val="0"/>
        <w:autoSpaceDN w:val="0"/>
        <w:adjustRightInd w:val="0"/>
        <w:spacing w:after="0"/>
        <w:ind w:left="643"/>
        <w:jc w:val="both"/>
        <w:rPr>
          <w:rFonts w:ascii="Times New Roman" w:hAnsi="Times New Roman" w:cs="Times New Roman"/>
          <w:sz w:val="24"/>
          <w:szCs w:val="24"/>
        </w:rPr>
      </w:pPr>
      <w:r w:rsidRPr="00B90E75">
        <w:rPr>
          <w:rFonts w:ascii="Times New Roman" w:hAnsi="Times New Roman" w:cs="Times New Roman"/>
          <w:sz w:val="24"/>
          <w:szCs w:val="24"/>
        </w:rPr>
        <w:t xml:space="preserve">badania przesiewowe i wczesną interwencję, </w:t>
      </w:r>
    </w:p>
    <w:p w14:paraId="28980AE5" w14:textId="77777777" w:rsidR="00B90E75" w:rsidRPr="00B90E75" w:rsidRDefault="00B90E75" w:rsidP="008C71A9">
      <w:pPr>
        <w:pStyle w:val="Akapitzlist"/>
        <w:numPr>
          <w:ilvl w:val="0"/>
          <w:numId w:val="283"/>
        </w:numPr>
        <w:autoSpaceDE w:val="0"/>
        <w:autoSpaceDN w:val="0"/>
        <w:adjustRightInd w:val="0"/>
        <w:spacing w:after="0"/>
        <w:ind w:left="643"/>
        <w:jc w:val="both"/>
        <w:rPr>
          <w:rFonts w:ascii="Times New Roman" w:hAnsi="Times New Roman" w:cs="Times New Roman"/>
          <w:sz w:val="24"/>
          <w:szCs w:val="24"/>
        </w:rPr>
      </w:pPr>
      <w:r w:rsidRPr="00B90E75">
        <w:rPr>
          <w:rFonts w:ascii="Times New Roman" w:hAnsi="Times New Roman" w:cs="Times New Roman"/>
          <w:sz w:val="24"/>
          <w:szCs w:val="24"/>
        </w:rPr>
        <w:t xml:space="preserve">zindywidualizowaną ocenę pacjenta z wykorzystaniem narzędzi Całościowej Oceny Geriatrycznej oraz rekomendowanych testów diagnostycznych służących rozpoznaniu zespołu kruchości, </w:t>
      </w:r>
    </w:p>
    <w:p w14:paraId="6BE6BE6B" w14:textId="77777777" w:rsidR="00B90E75" w:rsidRPr="00B90E75" w:rsidRDefault="00B90E75" w:rsidP="008C71A9">
      <w:pPr>
        <w:pStyle w:val="Akapitzlist"/>
        <w:numPr>
          <w:ilvl w:val="0"/>
          <w:numId w:val="283"/>
        </w:numPr>
        <w:autoSpaceDE w:val="0"/>
        <w:autoSpaceDN w:val="0"/>
        <w:adjustRightInd w:val="0"/>
        <w:spacing w:after="0"/>
        <w:ind w:left="643"/>
        <w:jc w:val="both"/>
        <w:rPr>
          <w:rFonts w:ascii="Times New Roman" w:hAnsi="Times New Roman" w:cs="Times New Roman"/>
          <w:sz w:val="24"/>
          <w:szCs w:val="24"/>
        </w:rPr>
      </w:pPr>
      <w:r w:rsidRPr="00B90E75">
        <w:rPr>
          <w:rFonts w:ascii="Times New Roman" w:hAnsi="Times New Roman" w:cs="Times New Roman"/>
          <w:sz w:val="24"/>
          <w:szCs w:val="24"/>
        </w:rPr>
        <w:t xml:space="preserve">planowanie opieki indywidualnej w ujęciu wielowymiarowym i interdyscyplinarnym w oparciu o wybrane modele opieki zintegrowanej, jak również </w:t>
      </w:r>
    </w:p>
    <w:p w14:paraId="0E23F6CD" w14:textId="77777777" w:rsidR="00B90E75" w:rsidRPr="00B90E75" w:rsidRDefault="00B90E75" w:rsidP="008C71A9">
      <w:pPr>
        <w:pStyle w:val="Akapitzlist"/>
        <w:numPr>
          <w:ilvl w:val="0"/>
          <w:numId w:val="283"/>
        </w:numPr>
        <w:autoSpaceDE w:val="0"/>
        <w:autoSpaceDN w:val="0"/>
        <w:adjustRightInd w:val="0"/>
        <w:spacing w:after="0"/>
        <w:ind w:left="643"/>
        <w:jc w:val="both"/>
        <w:rPr>
          <w:rFonts w:ascii="Times New Roman" w:hAnsi="Times New Roman" w:cs="Times New Roman"/>
          <w:sz w:val="24"/>
          <w:szCs w:val="24"/>
        </w:rPr>
      </w:pPr>
      <w:r w:rsidRPr="00B90E75">
        <w:rPr>
          <w:rFonts w:ascii="Times New Roman" w:hAnsi="Times New Roman" w:cs="Times New Roman"/>
          <w:sz w:val="24"/>
          <w:szCs w:val="24"/>
        </w:rPr>
        <w:lastRenderedPageBreak/>
        <w:t xml:space="preserve">prewencję odnoszącą się do stylu życia (szczególnie ukierunkowaną na aktywność fizyczną, prawidłowe odżywianie, szczepienia ochronne, zapobieganie upadkom, zapobieganie wielolekowości). </w:t>
      </w:r>
    </w:p>
    <w:p w14:paraId="14BFC78E" w14:textId="77777777" w:rsidR="00B90E75" w:rsidRPr="009C2763" w:rsidRDefault="00B90E75" w:rsidP="008C71A9">
      <w:pPr>
        <w:pStyle w:val="Akapitzlist"/>
        <w:numPr>
          <w:ilvl w:val="0"/>
          <w:numId w:val="371"/>
        </w:numPr>
        <w:autoSpaceDE w:val="0"/>
        <w:autoSpaceDN w:val="0"/>
        <w:adjustRightInd w:val="0"/>
        <w:spacing w:after="0"/>
        <w:ind w:left="360"/>
        <w:jc w:val="both"/>
        <w:rPr>
          <w:rFonts w:ascii="Times New Roman" w:hAnsi="Times New Roman" w:cs="Times New Roman"/>
          <w:sz w:val="24"/>
          <w:szCs w:val="24"/>
        </w:rPr>
      </w:pPr>
      <w:r w:rsidRPr="009C2763">
        <w:rPr>
          <w:rFonts w:ascii="Times New Roman" w:hAnsi="Times New Roman" w:cs="Times New Roman"/>
          <w:sz w:val="24"/>
          <w:szCs w:val="24"/>
        </w:rPr>
        <w:t>przeprowadzenie w 2019 r.  kampanii informacyjno-edukacyjnej zatytułowanej „Zmierz się z kruchością”.</w:t>
      </w:r>
    </w:p>
    <w:p w14:paraId="1C574517" w14:textId="77777777" w:rsidR="003C1988" w:rsidRPr="00B90E75" w:rsidRDefault="003C1988" w:rsidP="00C363D3">
      <w:pPr>
        <w:pStyle w:val="Akapitzlist"/>
        <w:autoSpaceDE w:val="0"/>
        <w:autoSpaceDN w:val="0"/>
        <w:adjustRightInd w:val="0"/>
        <w:spacing w:after="0"/>
        <w:ind w:left="360"/>
        <w:jc w:val="both"/>
        <w:rPr>
          <w:rFonts w:ascii="Times New Roman" w:hAnsi="Times New Roman" w:cs="Times New Roman"/>
          <w:sz w:val="24"/>
          <w:szCs w:val="24"/>
        </w:rPr>
      </w:pPr>
    </w:p>
    <w:p w14:paraId="5B02472A" w14:textId="77777777" w:rsidR="00B90E75" w:rsidRPr="009C2763" w:rsidRDefault="00B90E75" w:rsidP="009C2763">
      <w:pPr>
        <w:jc w:val="both"/>
        <w:rPr>
          <w:rFonts w:ascii="Times New Roman" w:hAnsi="Times New Roman" w:cs="Times New Roman"/>
          <w:b/>
          <w:sz w:val="24"/>
        </w:rPr>
      </w:pPr>
      <w:bookmarkStart w:id="82" w:name="_Hlk45231789"/>
      <w:r w:rsidRPr="009C2763">
        <w:rPr>
          <w:rFonts w:ascii="Times New Roman" w:hAnsi="Times New Roman" w:cs="Times New Roman"/>
          <w:b/>
          <w:sz w:val="24"/>
        </w:rPr>
        <w:t>Projekt CHRODIS-PLUS: Implementing good practices for chronic diseases — (Wdrożenie dobrych praktyk wobec chorób przewlekłych)</w:t>
      </w:r>
    </w:p>
    <w:bookmarkEnd w:id="82"/>
    <w:p w14:paraId="0170FEDD" w14:textId="77777777" w:rsidR="00B90E75" w:rsidRPr="00B90E75" w:rsidRDefault="00B90E75" w:rsidP="00C363D3">
      <w:pPr>
        <w:autoSpaceDE w:val="0"/>
        <w:autoSpaceDN w:val="0"/>
        <w:adjustRightInd w:val="0"/>
        <w:spacing w:after="0"/>
        <w:jc w:val="both"/>
        <w:rPr>
          <w:rFonts w:ascii="Times New Roman" w:eastAsia="Calibri" w:hAnsi="Times New Roman" w:cs="Times New Roman"/>
          <w:sz w:val="24"/>
          <w:szCs w:val="24"/>
        </w:rPr>
      </w:pPr>
      <w:r w:rsidRPr="009C2763">
        <w:rPr>
          <w:rFonts w:ascii="Times New Roman" w:eastAsia="Calibri" w:hAnsi="Times New Roman" w:cs="Times New Roman"/>
          <w:bCs/>
          <w:sz w:val="24"/>
          <w:szCs w:val="24"/>
        </w:rPr>
        <w:t>Celem projektu</w:t>
      </w:r>
      <w:r w:rsidRPr="00B90E75">
        <w:rPr>
          <w:rFonts w:ascii="Times New Roman" w:eastAsia="Calibri" w:hAnsi="Times New Roman" w:cs="Times New Roman"/>
          <w:sz w:val="24"/>
          <w:szCs w:val="24"/>
        </w:rPr>
        <w:t xml:space="preserve"> jest</w:t>
      </w:r>
      <w:r w:rsidRPr="00B90E75">
        <w:rPr>
          <w:rFonts w:ascii="Times New Roman" w:eastAsia="Calibri" w:hAnsi="Times New Roman" w:cs="Times New Roman"/>
          <w:b/>
          <w:bCs/>
          <w:sz w:val="24"/>
          <w:szCs w:val="24"/>
        </w:rPr>
        <w:t xml:space="preserve"> </w:t>
      </w:r>
      <w:r w:rsidRPr="00B90E75">
        <w:rPr>
          <w:rFonts w:ascii="Times New Roman" w:eastAsia="Calibri" w:hAnsi="Times New Roman" w:cs="Times New Roman"/>
          <w:sz w:val="24"/>
          <w:szCs w:val="24"/>
        </w:rPr>
        <w:t>opracowanie zintegrowanego modelu opieki zdrowotnej w krajach członkowskich Unii Europejskiej, adresowanego między innymi do osób w starsz</w:t>
      </w:r>
      <w:r w:rsidR="009C2763">
        <w:rPr>
          <w:rFonts w:ascii="Times New Roman" w:eastAsia="Calibri" w:hAnsi="Times New Roman" w:cs="Times New Roman"/>
          <w:sz w:val="24"/>
          <w:szCs w:val="24"/>
        </w:rPr>
        <w:t xml:space="preserve">ym wieku z wielochorobowością. </w:t>
      </w:r>
      <w:r w:rsidRPr="00B90E75">
        <w:rPr>
          <w:rFonts w:ascii="Times New Roman" w:eastAsia="Calibri" w:hAnsi="Times New Roman" w:cs="Times New Roman"/>
          <w:sz w:val="24"/>
          <w:szCs w:val="24"/>
        </w:rPr>
        <w:t xml:space="preserve">W ramach zadania </w:t>
      </w:r>
      <w:r w:rsidRPr="00B90E75">
        <w:rPr>
          <w:rFonts w:ascii="Times New Roman" w:eastAsia="Calibri" w:hAnsi="Times New Roman" w:cs="Times New Roman"/>
          <w:i/>
          <w:iCs/>
          <w:sz w:val="24"/>
          <w:szCs w:val="24"/>
        </w:rPr>
        <w:t>Promocja Zdrowia i Zapobieganie Chorobom – współpraca wewnątrz- i międzysektoralna</w:t>
      </w:r>
      <w:r w:rsidRPr="00B90E75">
        <w:rPr>
          <w:rFonts w:ascii="Times New Roman" w:eastAsia="Calibri" w:hAnsi="Times New Roman" w:cs="Times New Roman"/>
          <w:sz w:val="24"/>
          <w:szCs w:val="24"/>
        </w:rPr>
        <w:t xml:space="preserve"> (Health Promotion and Disease Prevention; Inter-intra collaboration):</w:t>
      </w:r>
    </w:p>
    <w:p w14:paraId="66EE0746" w14:textId="77777777" w:rsidR="00B90E75" w:rsidRPr="00B90E75" w:rsidRDefault="00B90E75" w:rsidP="008C71A9">
      <w:pPr>
        <w:pStyle w:val="Akapitzlist"/>
        <w:numPr>
          <w:ilvl w:val="0"/>
          <w:numId w:val="372"/>
        </w:numPr>
        <w:autoSpaceDE w:val="0"/>
        <w:autoSpaceDN w:val="0"/>
        <w:adjustRightInd w:val="0"/>
        <w:spacing w:after="0"/>
        <w:jc w:val="both"/>
        <w:rPr>
          <w:rFonts w:ascii="Times New Roman" w:hAnsi="Times New Roman" w:cs="Times New Roman"/>
          <w:sz w:val="24"/>
          <w:szCs w:val="24"/>
        </w:rPr>
      </w:pPr>
      <w:r w:rsidRPr="00B90E75">
        <w:rPr>
          <w:rFonts w:ascii="Times New Roman" w:hAnsi="Times New Roman" w:cs="Times New Roman"/>
          <w:sz w:val="24"/>
          <w:szCs w:val="24"/>
        </w:rPr>
        <w:t xml:space="preserve">pracowano nad zidentyfikowaniem przykładowych obszarów współpracy wewnątrz- i międzysektoralnej, </w:t>
      </w:r>
    </w:p>
    <w:p w14:paraId="549A01F7" w14:textId="77777777" w:rsidR="00B90E75" w:rsidRPr="00B90E75" w:rsidRDefault="00B90E75" w:rsidP="008C71A9">
      <w:pPr>
        <w:pStyle w:val="Akapitzlist"/>
        <w:numPr>
          <w:ilvl w:val="0"/>
          <w:numId w:val="372"/>
        </w:numPr>
        <w:autoSpaceDE w:val="0"/>
        <w:autoSpaceDN w:val="0"/>
        <w:adjustRightInd w:val="0"/>
        <w:spacing w:after="0"/>
        <w:jc w:val="both"/>
        <w:rPr>
          <w:rFonts w:ascii="Times New Roman" w:hAnsi="Times New Roman" w:cs="Times New Roman"/>
          <w:sz w:val="24"/>
          <w:szCs w:val="24"/>
        </w:rPr>
      </w:pPr>
      <w:r w:rsidRPr="00B90E75">
        <w:rPr>
          <w:rFonts w:ascii="Times New Roman" w:hAnsi="Times New Roman" w:cs="Times New Roman"/>
          <w:sz w:val="24"/>
          <w:szCs w:val="24"/>
        </w:rPr>
        <w:t xml:space="preserve">analizowano czynniki wpływające na sukces tych przedsięwzięć, bariery oraz sposoby ich likwidacji a także </w:t>
      </w:r>
    </w:p>
    <w:p w14:paraId="334A3780" w14:textId="77777777" w:rsidR="003C1988" w:rsidRDefault="00B90E75" w:rsidP="008C71A9">
      <w:pPr>
        <w:pStyle w:val="Akapitzlist"/>
        <w:numPr>
          <w:ilvl w:val="0"/>
          <w:numId w:val="372"/>
        </w:numPr>
        <w:autoSpaceDE w:val="0"/>
        <w:autoSpaceDN w:val="0"/>
        <w:adjustRightInd w:val="0"/>
        <w:spacing w:after="0"/>
        <w:jc w:val="both"/>
        <w:rPr>
          <w:rFonts w:ascii="Times New Roman" w:hAnsi="Times New Roman" w:cs="Times New Roman"/>
          <w:sz w:val="24"/>
          <w:szCs w:val="24"/>
        </w:rPr>
      </w:pPr>
      <w:r w:rsidRPr="00B90E75">
        <w:rPr>
          <w:rFonts w:ascii="Times New Roman" w:hAnsi="Times New Roman" w:cs="Times New Roman"/>
          <w:sz w:val="24"/>
          <w:szCs w:val="24"/>
        </w:rPr>
        <w:t xml:space="preserve">porównywano informacje oraz opinie na temat uwarunkowań efektywnej współpracy wewnątrz- i międzysektoralnej, zebrane od partnerów projektu metodą badania ankietowego. </w:t>
      </w:r>
    </w:p>
    <w:p w14:paraId="413FEA03" w14:textId="77777777" w:rsidR="003C1988" w:rsidRDefault="003C1988" w:rsidP="00C363D3">
      <w:pPr>
        <w:autoSpaceDE w:val="0"/>
        <w:autoSpaceDN w:val="0"/>
        <w:adjustRightInd w:val="0"/>
        <w:spacing w:after="0"/>
        <w:jc w:val="both"/>
        <w:rPr>
          <w:rFonts w:ascii="Times New Roman" w:eastAsia="Times New Roman" w:hAnsi="Times New Roman" w:cs="Times New Roman"/>
          <w:b/>
          <w:sz w:val="24"/>
          <w:szCs w:val="24"/>
          <w:lang w:eastAsia="pl-PL"/>
        </w:rPr>
      </w:pPr>
    </w:p>
    <w:p w14:paraId="4C015DFD" w14:textId="77777777" w:rsidR="009C2763" w:rsidRPr="003C1988" w:rsidRDefault="003C1988" w:rsidP="00C363D3">
      <w:pPr>
        <w:autoSpaceDE w:val="0"/>
        <w:autoSpaceDN w:val="0"/>
        <w:adjustRightInd w:val="0"/>
        <w:spacing w:after="0"/>
        <w:jc w:val="both"/>
        <w:rPr>
          <w:rFonts w:ascii="Times New Roman" w:hAnsi="Times New Roman" w:cs="Times New Roman"/>
          <w:b/>
          <w:sz w:val="24"/>
          <w:szCs w:val="24"/>
        </w:rPr>
      </w:pPr>
      <w:r w:rsidRPr="003C1988">
        <w:rPr>
          <w:rFonts w:ascii="Times New Roman" w:eastAsia="Times New Roman" w:hAnsi="Times New Roman" w:cs="Times New Roman"/>
          <w:b/>
          <w:color w:val="00B0F0"/>
          <w:sz w:val="24"/>
          <w:szCs w:val="24"/>
          <w:lang w:eastAsia="pl-PL"/>
        </w:rPr>
        <w:t>Zmiany w zakresie świadczeń gwarantowanych</w:t>
      </w:r>
      <w:r w:rsidR="009C2763">
        <w:rPr>
          <w:rFonts w:ascii="Times New Roman" w:hAnsi="Times New Roman" w:cs="Times New Roman"/>
          <w:b/>
          <w:sz w:val="24"/>
          <w:szCs w:val="24"/>
        </w:rPr>
        <w:t xml:space="preserve"> </w:t>
      </w:r>
    </w:p>
    <w:p w14:paraId="6B7F9823" w14:textId="77777777" w:rsidR="003C1988" w:rsidRPr="009C2763" w:rsidRDefault="00B90E75" w:rsidP="008C71A9">
      <w:pPr>
        <w:pStyle w:val="Akapitzlist"/>
        <w:numPr>
          <w:ilvl w:val="0"/>
          <w:numId w:val="284"/>
        </w:numPr>
        <w:tabs>
          <w:tab w:val="left" w:pos="5400"/>
        </w:tabs>
        <w:spacing w:after="0"/>
        <w:ind w:left="360" w:right="118"/>
        <w:jc w:val="both"/>
        <w:rPr>
          <w:rFonts w:ascii="Times New Roman" w:hAnsi="Times New Roman" w:cs="Times New Roman"/>
          <w:sz w:val="24"/>
          <w:szCs w:val="24"/>
        </w:rPr>
      </w:pPr>
      <w:r w:rsidRPr="009C2763">
        <w:rPr>
          <w:rFonts w:ascii="Times New Roman" w:hAnsi="Times New Roman" w:cs="Times New Roman"/>
          <w:sz w:val="24"/>
          <w:szCs w:val="24"/>
        </w:rPr>
        <w:t xml:space="preserve">W zarządzeniu Nr 38/2019/DSOZ Prezesa Narodowego Funduszu Zdrowia z dnia 29 marca 2019 r. w sprawie określenia warunków zawierania i realizacji umów w rodzaju leczenie szpitalne oraz leczenie szpitalne – świadczenia wysokospecjalistyczne, które weszło w życie 1 kwietnia 2019 r., </w:t>
      </w:r>
      <w:r w:rsidRPr="009C2763">
        <w:rPr>
          <w:rFonts w:ascii="Times New Roman" w:hAnsi="Times New Roman" w:cs="Times New Roman"/>
          <w:bCs/>
          <w:sz w:val="24"/>
          <w:szCs w:val="24"/>
        </w:rPr>
        <w:t>zwiększone zostało finansowanie świadczeń dedykowanych pacjentom powyżej 65 r.ż.</w:t>
      </w:r>
      <w:r w:rsidRPr="009C2763">
        <w:rPr>
          <w:rFonts w:ascii="Times New Roman" w:hAnsi="Times New Roman" w:cs="Times New Roman"/>
          <w:sz w:val="24"/>
          <w:szCs w:val="24"/>
        </w:rPr>
        <w:t>. Dotyczy to większości produktów ujętych w katalogu grup (załącznik nr 1a do zarządzenia), które kwalifikują do rozliczenia określoną grupą JGP, wyodrębnioną specjalnie dla tego przedziału wiekowego</w:t>
      </w:r>
      <w:r w:rsidR="003C1988" w:rsidRPr="009C2763">
        <w:rPr>
          <w:rFonts w:ascii="Times New Roman" w:hAnsi="Times New Roman" w:cs="Times New Roman"/>
          <w:sz w:val="24"/>
          <w:szCs w:val="24"/>
        </w:rPr>
        <w:t>.</w:t>
      </w:r>
    </w:p>
    <w:p w14:paraId="18FC5FC4" w14:textId="77777777" w:rsidR="003C1988" w:rsidRPr="009C2763" w:rsidRDefault="003C1988" w:rsidP="00C363D3">
      <w:pPr>
        <w:pStyle w:val="Akapitzlist"/>
        <w:tabs>
          <w:tab w:val="left" w:pos="5400"/>
        </w:tabs>
        <w:spacing w:after="0"/>
        <w:ind w:left="360" w:right="118"/>
        <w:jc w:val="both"/>
        <w:rPr>
          <w:rFonts w:ascii="Times New Roman" w:hAnsi="Times New Roman" w:cs="Times New Roman"/>
          <w:sz w:val="24"/>
          <w:szCs w:val="24"/>
        </w:rPr>
      </w:pPr>
    </w:p>
    <w:p w14:paraId="24F2AF28" w14:textId="77777777" w:rsidR="00B90E75" w:rsidRPr="009C2763" w:rsidRDefault="00B90E75" w:rsidP="008C71A9">
      <w:pPr>
        <w:pStyle w:val="Akapitzlist"/>
        <w:numPr>
          <w:ilvl w:val="0"/>
          <w:numId w:val="247"/>
        </w:numPr>
        <w:tabs>
          <w:tab w:val="left" w:pos="5400"/>
        </w:tabs>
        <w:spacing w:after="0"/>
        <w:ind w:right="118"/>
        <w:jc w:val="both"/>
        <w:rPr>
          <w:rFonts w:ascii="Times New Roman" w:hAnsi="Times New Roman" w:cs="Times New Roman"/>
          <w:sz w:val="24"/>
          <w:szCs w:val="24"/>
        </w:rPr>
      </w:pPr>
      <w:r w:rsidRPr="009C2763">
        <w:rPr>
          <w:rFonts w:ascii="Times New Roman" w:hAnsi="Times New Roman" w:cs="Times New Roman"/>
          <w:sz w:val="24"/>
          <w:szCs w:val="24"/>
        </w:rPr>
        <w:t xml:space="preserve">Od dnia 17 października 2019 r. weszły w życie przepisy </w:t>
      </w:r>
      <w:r w:rsidRPr="009C2763">
        <w:rPr>
          <w:rFonts w:ascii="Times New Roman" w:hAnsi="Times New Roman" w:cs="Times New Roman"/>
          <w:i/>
          <w:sz w:val="24"/>
          <w:szCs w:val="24"/>
        </w:rPr>
        <w:t>rozporządzenia Ministra Zdrowia z dnia 23 września 2019 r. zmieniającego rozporządzenie w sprawie świadczeń gwarantowanych z zakresu ambulatoryjnej opieki specjalistycznej</w:t>
      </w:r>
      <w:r w:rsidRPr="009C2763">
        <w:rPr>
          <w:rFonts w:ascii="Times New Roman" w:hAnsi="Times New Roman" w:cs="Times New Roman"/>
          <w:sz w:val="24"/>
          <w:szCs w:val="24"/>
        </w:rPr>
        <w:t xml:space="preserve"> (Dz. U. z 2019 r. poz. 1864), które </w:t>
      </w:r>
      <w:r w:rsidRPr="009C2763">
        <w:rPr>
          <w:rFonts w:ascii="Times New Roman" w:hAnsi="Times New Roman" w:cs="Times New Roman"/>
          <w:b/>
          <w:bCs/>
          <w:sz w:val="24"/>
          <w:szCs w:val="24"/>
        </w:rPr>
        <w:t>wprowadziły porady pielęgniarskie</w:t>
      </w:r>
      <w:r w:rsidRPr="009C2763">
        <w:rPr>
          <w:rFonts w:ascii="Times New Roman" w:hAnsi="Times New Roman" w:cs="Times New Roman"/>
          <w:sz w:val="24"/>
          <w:szCs w:val="24"/>
        </w:rPr>
        <w:t xml:space="preserve">: </w:t>
      </w:r>
    </w:p>
    <w:p w14:paraId="0D3659EA" w14:textId="77777777" w:rsidR="003C1988" w:rsidRPr="009C2763" w:rsidRDefault="00B90E75" w:rsidP="008C71A9">
      <w:pPr>
        <w:pStyle w:val="Tekstpodstawowy"/>
        <w:widowControl/>
        <w:numPr>
          <w:ilvl w:val="0"/>
          <w:numId w:val="275"/>
        </w:numPr>
        <w:suppressAutoHyphens w:val="0"/>
        <w:spacing w:after="0" w:line="276" w:lineRule="auto"/>
        <w:ind w:left="643" w:right="118"/>
        <w:jc w:val="both"/>
        <w:rPr>
          <w:rFonts w:ascii="Times New Roman" w:hAnsi="Times New Roman" w:cs="Times New Roman"/>
        </w:rPr>
      </w:pPr>
      <w:r w:rsidRPr="009C2763">
        <w:rPr>
          <w:rFonts w:ascii="Times New Roman" w:hAnsi="Times New Roman" w:cs="Times New Roman"/>
        </w:rPr>
        <w:t xml:space="preserve">porada pielęgniarska – chirurgia  ogólna, </w:t>
      </w:r>
    </w:p>
    <w:p w14:paraId="79242B50" w14:textId="77777777" w:rsidR="003C1988" w:rsidRPr="009C2763" w:rsidRDefault="00B90E75" w:rsidP="008C71A9">
      <w:pPr>
        <w:pStyle w:val="Tekstpodstawowy"/>
        <w:widowControl/>
        <w:numPr>
          <w:ilvl w:val="0"/>
          <w:numId w:val="275"/>
        </w:numPr>
        <w:suppressAutoHyphens w:val="0"/>
        <w:spacing w:after="0" w:line="276" w:lineRule="auto"/>
        <w:ind w:left="643" w:right="118"/>
        <w:jc w:val="both"/>
        <w:rPr>
          <w:rFonts w:ascii="Times New Roman" w:hAnsi="Times New Roman" w:cs="Times New Roman"/>
        </w:rPr>
      </w:pPr>
      <w:r w:rsidRPr="009C2763">
        <w:rPr>
          <w:rFonts w:ascii="Times New Roman" w:hAnsi="Times New Roman" w:cs="Times New Roman"/>
        </w:rPr>
        <w:t xml:space="preserve">porada pielęgniarska – diabetologia, </w:t>
      </w:r>
    </w:p>
    <w:p w14:paraId="7B9E9CF0" w14:textId="77777777" w:rsidR="00B90E75" w:rsidRPr="009C2763" w:rsidRDefault="00B90E75" w:rsidP="008C71A9">
      <w:pPr>
        <w:pStyle w:val="Tekstpodstawowy"/>
        <w:widowControl/>
        <w:numPr>
          <w:ilvl w:val="0"/>
          <w:numId w:val="275"/>
        </w:numPr>
        <w:suppressAutoHyphens w:val="0"/>
        <w:spacing w:after="0" w:line="276" w:lineRule="auto"/>
        <w:ind w:left="643" w:right="118"/>
        <w:jc w:val="both"/>
        <w:rPr>
          <w:rFonts w:ascii="Times New Roman" w:hAnsi="Times New Roman" w:cs="Times New Roman"/>
        </w:rPr>
      </w:pPr>
      <w:r w:rsidRPr="009C2763">
        <w:rPr>
          <w:rFonts w:ascii="Times New Roman" w:hAnsi="Times New Roman" w:cs="Times New Roman"/>
        </w:rPr>
        <w:t>porada pielęgniarska – kardiologia.</w:t>
      </w:r>
    </w:p>
    <w:p w14:paraId="0EF78D37" w14:textId="77777777" w:rsidR="003C1988" w:rsidRDefault="003C1988" w:rsidP="00C363D3">
      <w:pPr>
        <w:pStyle w:val="Tekstpodstawowy"/>
        <w:spacing w:after="0" w:line="276" w:lineRule="auto"/>
        <w:ind w:right="118"/>
        <w:jc w:val="both"/>
        <w:rPr>
          <w:rFonts w:ascii="Times New Roman" w:hAnsi="Times New Roman" w:cs="Times New Roman"/>
        </w:rPr>
      </w:pPr>
    </w:p>
    <w:p w14:paraId="49F12B5B" w14:textId="77777777" w:rsidR="00B90E75" w:rsidRDefault="00B90E75" w:rsidP="00C363D3">
      <w:pPr>
        <w:pStyle w:val="Tekstpodstawowy"/>
        <w:spacing w:after="0" w:line="276" w:lineRule="auto"/>
        <w:ind w:right="118"/>
        <w:jc w:val="both"/>
        <w:rPr>
          <w:rFonts w:ascii="Times New Roman" w:hAnsi="Times New Roman" w:cs="Times New Roman"/>
        </w:rPr>
      </w:pPr>
      <w:r w:rsidRPr="00B90E75">
        <w:rPr>
          <w:rFonts w:ascii="Times New Roman" w:hAnsi="Times New Roman" w:cs="Times New Roman"/>
        </w:rPr>
        <w:t xml:space="preserve">Nowe przepisy mają na celu ułatwienie pacjentom, w tym w starszym wieku, dostępu do świadczeń opieki zdrowotnej, realizowanych w ramach porad specjalistycznych  z ww. </w:t>
      </w:r>
      <w:r w:rsidRPr="00B90E75">
        <w:rPr>
          <w:rFonts w:ascii="Times New Roman" w:hAnsi="Times New Roman" w:cs="Times New Roman"/>
        </w:rPr>
        <w:lastRenderedPageBreak/>
        <w:t xml:space="preserve">zakresów. </w:t>
      </w:r>
    </w:p>
    <w:p w14:paraId="44191AA0" w14:textId="77777777" w:rsidR="00775F4B" w:rsidRPr="00B90E75" w:rsidRDefault="00775F4B" w:rsidP="00C363D3">
      <w:pPr>
        <w:pStyle w:val="Tekstpodstawowy"/>
        <w:spacing w:after="0" w:line="276" w:lineRule="auto"/>
        <w:ind w:right="118"/>
        <w:jc w:val="both"/>
        <w:rPr>
          <w:rFonts w:ascii="Times New Roman" w:hAnsi="Times New Roman" w:cs="Times New Roman"/>
        </w:rPr>
      </w:pPr>
    </w:p>
    <w:p w14:paraId="121F3A6E" w14:textId="77777777" w:rsidR="00775F4B" w:rsidRDefault="00B90E75" w:rsidP="008C71A9">
      <w:pPr>
        <w:pStyle w:val="Tekstpodstawowy"/>
        <w:widowControl/>
        <w:numPr>
          <w:ilvl w:val="0"/>
          <w:numId w:val="279"/>
        </w:numPr>
        <w:suppressAutoHyphens w:val="0"/>
        <w:spacing w:after="0" w:line="276" w:lineRule="auto"/>
        <w:ind w:left="0" w:right="118" w:hanging="284"/>
        <w:jc w:val="both"/>
        <w:rPr>
          <w:rFonts w:ascii="Times New Roman" w:hAnsi="Times New Roman" w:cs="Times New Roman"/>
        </w:rPr>
      </w:pPr>
      <w:r w:rsidRPr="00B90E75">
        <w:rPr>
          <w:rFonts w:ascii="Times New Roman" w:hAnsi="Times New Roman" w:cs="Times New Roman"/>
        </w:rPr>
        <w:t xml:space="preserve">Narodowy Fundusz Zdrowia (NFZ) jako jeden z priorytetów ogólnopolskich na 2020 r. wskazał </w:t>
      </w:r>
      <w:r w:rsidRPr="00B90E75">
        <w:rPr>
          <w:rFonts w:ascii="Times New Roman" w:hAnsi="Times New Roman" w:cs="Times New Roman"/>
          <w:b/>
          <w:bCs/>
        </w:rPr>
        <w:t>wyrównanie poziomu dostępności do świadczeń opieki długoterminowej (ZPO, ZOL) dla pacjentów powyżej 75 r.ż.</w:t>
      </w:r>
      <w:r w:rsidRPr="00B90E75">
        <w:rPr>
          <w:rFonts w:ascii="Times New Roman" w:hAnsi="Times New Roman" w:cs="Times New Roman"/>
        </w:rPr>
        <w:t xml:space="preserve"> w szczególności poprzez zwiększenie finansowania świadczeń na obszarach, na których utrzymują się dysproporcje w dostępie do tychże świadczeń. Poza zwiększaniem środków finansowych, NFZ podejmuje działania mające na celu zwiększenie jakości udzielanych świadczeń. Opracowywano system walidacji i weryfikacji świadczeń, który pozwoli na wczesne wykrycie ewentualnych nieprawidłowości realizowanych świadczeń z zakresu opieki długoterminowej oraz opieki paliatywnej i hospicyjnej.</w:t>
      </w:r>
    </w:p>
    <w:p w14:paraId="53113A51" w14:textId="77777777" w:rsidR="00775F4B" w:rsidRDefault="00775F4B" w:rsidP="00C363D3">
      <w:pPr>
        <w:pStyle w:val="Tekstpodstawowy"/>
        <w:widowControl/>
        <w:suppressAutoHyphens w:val="0"/>
        <w:spacing w:after="0" w:line="276" w:lineRule="auto"/>
        <w:ind w:right="118"/>
        <w:jc w:val="both"/>
        <w:rPr>
          <w:rFonts w:ascii="Times New Roman" w:hAnsi="Times New Roman" w:cs="Times New Roman"/>
        </w:rPr>
      </w:pPr>
    </w:p>
    <w:p w14:paraId="56F723A5" w14:textId="77777777" w:rsidR="00775F4B" w:rsidRPr="00775F4B" w:rsidRDefault="00775F4B" w:rsidP="00C363D3">
      <w:pPr>
        <w:pStyle w:val="Tekstpodstawowy"/>
        <w:widowControl/>
        <w:suppressAutoHyphens w:val="0"/>
        <w:spacing w:after="0" w:line="276" w:lineRule="auto"/>
        <w:ind w:right="118"/>
        <w:jc w:val="both"/>
        <w:rPr>
          <w:rFonts w:ascii="Times New Roman" w:hAnsi="Times New Roman" w:cs="Times New Roman"/>
          <w:b/>
          <w:color w:val="00B0F0"/>
        </w:rPr>
      </w:pPr>
      <w:r w:rsidRPr="00775F4B">
        <w:rPr>
          <w:rFonts w:ascii="Times New Roman" w:hAnsi="Times New Roman" w:cs="Times New Roman"/>
          <w:b/>
          <w:color w:val="00B0F0"/>
        </w:rPr>
        <w:t>Krajowa sieć onkologiczna (KSO)</w:t>
      </w:r>
    </w:p>
    <w:p w14:paraId="621F5232" w14:textId="77777777" w:rsidR="00B90E75" w:rsidRDefault="00B90E75" w:rsidP="00C363D3">
      <w:pPr>
        <w:widowControl w:val="0"/>
        <w:spacing w:after="0"/>
        <w:ind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sz w:val="24"/>
          <w:szCs w:val="24"/>
        </w:rPr>
        <w:t xml:space="preserve">W 2019 r. w wybranych województwach rozpoczęła się realizacja programu pilotażowego </w:t>
      </w:r>
      <w:bookmarkStart w:id="83" w:name="_Hlk45233320"/>
      <w:r w:rsidRPr="00B90E75">
        <w:rPr>
          <w:rFonts w:ascii="Times New Roman" w:eastAsia="Times New Roman" w:hAnsi="Times New Roman" w:cs="Times New Roman"/>
          <w:sz w:val="24"/>
          <w:szCs w:val="24"/>
        </w:rPr>
        <w:t>krajowej sieci onkologicznej (KSO</w:t>
      </w:r>
      <w:bookmarkEnd w:id="83"/>
      <w:r w:rsidRPr="00B90E75">
        <w:rPr>
          <w:rFonts w:ascii="Times New Roman" w:eastAsia="Times New Roman" w:hAnsi="Times New Roman" w:cs="Times New Roman"/>
          <w:sz w:val="24"/>
          <w:szCs w:val="24"/>
        </w:rPr>
        <w:t xml:space="preserve">). W prowadzonym pilotażu analizowana i oceniana jest kompleksowość ścieżek postępowania medycznego w 5 najczęściej występujących w Polsce nowotworach: piersi, płuca, jajnika, jelita grubego i gruczołu krokowego. </w:t>
      </w:r>
    </w:p>
    <w:p w14:paraId="66A13F86" w14:textId="77777777" w:rsidR="00775F4B" w:rsidRDefault="00775F4B" w:rsidP="00C363D3">
      <w:pPr>
        <w:widowControl w:val="0"/>
        <w:spacing w:after="0"/>
        <w:ind w:right="20"/>
        <w:jc w:val="both"/>
        <w:rPr>
          <w:rFonts w:ascii="Times New Roman" w:eastAsia="Times New Roman" w:hAnsi="Times New Roman" w:cs="Times New Roman"/>
          <w:sz w:val="24"/>
          <w:szCs w:val="24"/>
        </w:rPr>
      </w:pPr>
    </w:p>
    <w:p w14:paraId="530EDF14" w14:textId="77777777" w:rsidR="00775F4B" w:rsidRPr="00775F4B" w:rsidRDefault="00775F4B" w:rsidP="00C363D3">
      <w:pPr>
        <w:widowControl w:val="0"/>
        <w:spacing w:after="0"/>
        <w:ind w:right="20"/>
        <w:jc w:val="both"/>
        <w:rPr>
          <w:rFonts w:ascii="Times New Roman" w:eastAsia="Times New Roman" w:hAnsi="Times New Roman" w:cs="Times New Roman"/>
          <w:b/>
          <w:color w:val="00B0F0"/>
          <w:sz w:val="24"/>
          <w:szCs w:val="24"/>
        </w:rPr>
      </w:pPr>
      <w:r w:rsidRPr="00775F4B">
        <w:rPr>
          <w:rFonts w:ascii="Times New Roman" w:eastAsia="Times New Roman" w:hAnsi="Times New Roman" w:cs="Times New Roman"/>
          <w:b/>
          <w:color w:val="00B0F0"/>
          <w:sz w:val="24"/>
          <w:szCs w:val="24"/>
        </w:rPr>
        <w:t>Dzienne domy opieki medycznej</w:t>
      </w:r>
    </w:p>
    <w:p w14:paraId="7C90F594" w14:textId="77777777" w:rsidR="00B90E75" w:rsidRDefault="00B90E75" w:rsidP="00C363D3">
      <w:pPr>
        <w:widowControl w:val="0"/>
        <w:spacing w:after="0"/>
        <w:ind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sz w:val="24"/>
          <w:szCs w:val="24"/>
        </w:rPr>
        <w:t>W Ministerstwie Zdrowia prowadzone są prace nad wdrożeniem nowego świadczenia opieki zdrowotnej – dzienna długoterminowa opieka medyczna, tworzonego na bazie doświadczeń projektów współfinansowanych ze środków Unii Europejskiej w ramach Programu Operacyjnego Wiedza Edukacja Rozwój (PO WER) i Regionalnych Programów Operacyjnych (RPO) 2014-2020. Projekty te przyczyniły się do opracowania, przetestowania i upowszechnienia standardu dzienneg</w:t>
      </w:r>
      <w:r w:rsidR="00775F4B">
        <w:rPr>
          <w:rFonts w:ascii="Times New Roman" w:eastAsia="Times New Roman" w:hAnsi="Times New Roman" w:cs="Times New Roman"/>
          <w:sz w:val="24"/>
          <w:szCs w:val="24"/>
        </w:rPr>
        <w:t>o domu opieki medycznej (DDOM).</w:t>
      </w:r>
    </w:p>
    <w:p w14:paraId="602A1D82" w14:textId="77777777" w:rsidR="00775F4B" w:rsidRDefault="00775F4B" w:rsidP="00C363D3">
      <w:pPr>
        <w:widowControl w:val="0"/>
        <w:spacing w:after="0"/>
        <w:ind w:right="20"/>
        <w:jc w:val="both"/>
        <w:rPr>
          <w:rFonts w:ascii="Times New Roman" w:eastAsia="Times New Roman" w:hAnsi="Times New Roman" w:cs="Times New Roman"/>
          <w:sz w:val="24"/>
          <w:szCs w:val="24"/>
        </w:rPr>
      </w:pPr>
    </w:p>
    <w:p w14:paraId="4ABAF00C" w14:textId="77777777" w:rsidR="00775F4B" w:rsidRPr="00775F4B" w:rsidRDefault="00775F4B" w:rsidP="00C363D3">
      <w:pPr>
        <w:widowControl w:val="0"/>
        <w:spacing w:after="0"/>
        <w:ind w:right="20"/>
        <w:jc w:val="both"/>
        <w:rPr>
          <w:rFonts w:ascii="Times New Roman" w:eastAsia="Times New Roman" w:hAnsi="Times New Roman" w:cs="Times New Roman"/>
          <w:b/>
          <w:color w:val="00B0F0"/>
          <w:sz w:val="24"/>
          <w:szCs w:val="24"/>
        </w:rPr>
      </w:pPr>
      <w:r w:rsidRPr="00775F4B">
        <w:rPr>
          <w:rFonts w:ascii="Times New Roman" w:eastAsia="Times New Roman" w:hAnsi="Times New Roman" w:cs="Times New Roman"/>
          <w:b/>
          <w:color w:val="00B0F0"/>
          <w:sz w:val="24"/>
          <w:szCs w:val="24"/>
        </w:rPr>
        <w:t xml:space="preserve">Wsparcie w ramach Regionalnych Programów Operacyjnych </w:t>
      </w:r>
    </w:p>
    <w:p w14:paraId="0097E4D0" w14:textId="77777777" w:rsidR="00B90E75" w:rsidRPr="00B90E75" w:rsidRDefault="00B90E75" w:rsidP="00C363D3">
      <w:pPr>
        <w:widowControl w:val="0"/>
        <w:spacing w:after="0"/>
        <w:ind w:right="20"/>
        <w:jc w:val="both"/>
        <w:rPr>
          <w:rFonts w:ascii="Times New Roman" w:eastAsia="Times New Roman" w:hAnsi="Times New Roman" w:cs="Times New Roman"/>
          <w:sz w:val="24"/>
          <w:szCs w:val="24"/>
        </w:rPr>
      </w:pPr>
      <w:r w:rsidRPr="00B90E75">
        <w:rPr>
          <w:rFonts w:ascii="Times New Roman" w:eastAsia="Times New Roman" w:hAnsi="Times New Roman" w:cs="Times New Roman"/>
          <w:sz w:val="24"/>
          <w:szCs w:val="24"/>
        </w:rPr>
        <w:t>W Regionalnych Programach Operacyjnych finansowanych ze środków unijnych także udzielane jest wsparcie z zakresu usług zdrowotnych dla osób starszych. Realizowane jest ono w największym stopniu w ramach Narzędzia 18 Krajowych Ram Strategicznych. Policy Paper dla Ochrony Zdrowia na lata 2014 – 2020: Wsparcie deinstytucjonalizacji opieki nad osobami zależnymi, w szczególności poprzez rozwój alternatywnych form opieki nad osobami niesamodzielnymi (w tym osobami starszymi). W 2019 r. Instytucje Zarządzające RPO zgłosiły do realizacji 16 konkursów na kwotę ok. 287 mln zł (w tym wkład UE ok. 235 mln zł). Konkursy dotyczyły przede wszystkim utworzenia Dziennych Domów Opieki Medycznej (DDOM) oraz działań w zakresie deinstytucjonalizacji opieki.</w:t>
      </w:r>
    </w:p>
    <w:p w14:paraId="5E31BAFB" w14:textId="77777777" w:rsidR="00775F4B" w:rsidRDefault="00775F4B" w:rsidP="00C363D3">
      <w:pPr>
        <w:spacing w:after="0"/>
        <w:jc w:val="both"/>
        <w:rPr>
          <w:rFonts w:ascii="Times New Roman" w:eastAsia="Times New Roman" w:hAnsi="Times New Roman" w:cs="Times New Roman"/>
          <w:b/>
          <w:sz w:val="24"/>
          <w:szCs w:val="24"/>
          <w:lang w:eastAsia="pl-PL"/>
        </w:rPr>
      </w:pPr>
    </w:p>
    <w:p w14:paraId="34DF0A99" w14:textId="77777777" w:rsidR="00775F4B" w:rsidRPr="00775F4B" w:rsidRDefault="00775F4B" w:rsidP="00C363D3">
      <w:pPr>
        <w:spacing w:after="0"/>
        <w:jc w:val="both"/>
        <w:rPr>
          <w:rFonts w:ascii="Times New Roman" w:eastAsia="Times New Roman" w:hAnsi="Times New Roman" w:cs="Times New Roman"/>
          <w:b/>
          <w:color w:val="00B0F0"/>
          <w:sz w:val="24"/>
          <w:szCs w:val="24"/>
          <w:lang w:eastAsia="pl-PL"/>
        </w:rPr>
      </w:pPr>
      <w:r w:rsidRPr="00775F4B">
        <w:rPr>
          <w:rFonts w:ascii="Times New Roman" w:eastAsia="Times New Roman" w:hAnsi="Times New Roman" w:cs="Times New Roman"/>
          <w:b/>
          <w:color w:val="00B0F0"/>
          <w:sz w:val="24"/>
          <w:szCs w:val="24"/>
          <w:lang w:eastAsia="pl-PL"/>
        </w:rPr>
        <w:t>Realizacja Programu Leki 75+</w:t>
      </w:r>
    </w:p>
    <w:p w14:paraId="6BA66599" w14:textId="77777777" w:rsidR="00B90E75" w:rsidRPr="00B90E75" w:rsidRDefault="00B90E75" w:rsidP="00C363D3">
      <w:pPr>
        <w:pStyle w:val="pismamz"/>
        <w:tabs>
          <w:tab w:val="left" w:pos="5400"/>
        </w:tabs>
        <w:spacing w:before="0" w:line="276" w:lineRule="auto"/>
        <w:contextualSpacing w:val="0"/>
        <w:rPr>
          <w:rFonts w:ascii="Times New Roman" w:hAnsi="Times New Roman"/>
          <w:sz w:val="24"/>
          <w:szCs w:val="24"/>
        </w:rPr>
      </w:pPr>
      <w:r w:rsidRPr="00B90E75">
        <w:rPr>
          <w:rFonts w:ascii="Times New Roman" w:hAnsi="Times New Roman"/>
          <w:sz w:val="24"/>
          <w:szCs w:val="24"/>
        </w:rPr>
        <w:t xml:space="preserve">Projekt Leki 75+ służy zapewnieniu osobom po ukończeniu 75. roku życia bezpłatnego dostępu do wybranych leków, środków spożywczych specjalnego przeznaczenia żywieniowego oraz wyrobów medycznych. W ramach programu Leki 75+, od 1 września 2016 r. bezpłatne leki z </w:t>
      </w:r>
      <w:r w:rsidRPr="00B90E75">
        <w:rPr>
          <w:rFonts w:ascii="Times New Roman" w:hAnsi="Times New Roman"/>
          <w:sz w:val="24"/>
          <w:szCs w:val="24"/>
        </w:rPr>
        <w:lastRenderedPageBreak/>
        <w:t>tzw. listy „S” przysługują wszystkim świadczeniobiorcom</w:t>
      </w:r>
      <w:r w:rsidR="009C2763">
        <w:rPr>
          <w:rFonts w:ascii="Times New Roman" w:hAnsi="Times New Roman"/>
          <w:sz w:val="24"/>
          <w:szCs w:val="24"/>
        </w:rPr>
        <w:t xml:space="preserve">, po ukończeniu 75. roku życia. </w:t>
      </w:r>
      <w:r w:rsidRPr="00B90E75">
        <w:rPr>
          <w:rFonts w:ascii="Times New Roman" w:hAnsi="Times New Roman"/>
          <w:sz w:val="24"/>
          <w:szCs w:val="24"/>
        </w:rPr>
        <w:t>W 2019 r.:</w:t>
      </w:r>
    </w:p>
    <w:p w14:paraId="69948C80" w14:textId="77777777" w:rsidR="00B90E75" w:rsidRPr="009C2763" w:rsidRDefault="00B90E75" w:rsidP="008C71A9">
      <w:pPr>
        <w:pStyle w:val="pismamz"/>
        <w:numPr>
          <w:ilvl w:val="0"/>
          <w:numId w:val="285"/>
        </w:numPr>
        <w:tabs>
          <w:tab w:val="left" w:pos="5400"/>
        </w:tabs>
        <w:spacing w:before="0" w:line="276" w:lineRule="auto"/>
        <w:ind w:left="360"/>
        <w:rPr>
          <w:rFonts w:ascii="Times New Roman" w:hAnsi="Times New Roman"/>
          <w:sz w:val="24"/>
          <w:szCs w:val="24"/>
        </w:rPr>
      </w:pPr>
      <w:r w:rsidRPr="009C2763">
        <w:rPr>
          <w:rFonts w:ascii="Times New Roman" w:hAnsi="Times New Roman"/>
          <w:sz w:val="24"/>
          <w:szCs w:val="24"/>
        </w:rPr>
        <w:t xml:space="preserve">w ustawie budżetowej na realizację programu </w:t>
      </w:r>
      <w:r w:rsidRPr="009C2763">
        <w:rPr>
          <w:rFonts w:ascii="Times New Roman" w:hAnsi="Times New Roman"/>
          <w:bCs/>
          <w:sz w:val="24"/>
          <w:szCs w:val="24"/>
        </w:rPr>
        <w:t>zaplanowano</w:t>
      </w:r>
      <w:r w:rsidRPr="009C2763">
        <w:rPr>
          <w:rFonts w:ascii="Times New Roman" w:hAnsi="Times New Roman"/>
          <w:sz w:val="24"/>
          <w:szCs w:val="24"/>
        </w:rPr>
        <w:t xml:space="preserve"> środki finansowe w łącznej wysokości </w:t>
      </w:r>
      <w:r w:rsidRPr="009C2763">
        <w:rPr>
          <w:rFonts w:ascii="Times New Roman" w:hAnsi="Times New Roman"/>
          <w:bCs/>
          <w:sz w:val="24"/>
          <w:szCs w:val="24"/>
        </w:rPr>
        <w:t>733,4 mln zł</w:t>
      </w:r>
      <w:r w:rsidRPr="009C2763">
        <w:rPr>
          <w:rFonts w:ascii="Times New Roman" w:hAnsi="Times New Roman"/>
          <w:sz w:val="24"/>
          <w:szCs w:val="24"/>
        </w:rPr>
        <w:t xml:space="preserve"> (kwota na finansowanie ww. projektu w 2019 r. wzrosła w porównaniu z 2018 r. (693,3 mln zł.));</w:t>
      </w:r>
    </w:p>
    <w:p w14:paraId="02DEF653" w14:textId="77777777" w:rsidR="00B90E75" w:rsidRPr="009C2763" w:rsidRDefault="00B90E75" w:rsidP="008C71A9">
      <w:pPr>
        <w:pStyle w:val="pismamz"/>
        <w:numPr>
          <w:ilvl w:val="0"/>
          <w:numId w:val="285"/>
        </w:numPr>
        <w:tabs>
          <w:tab w:val="left" w:pos="5400"/>
        </w:tabs>
        <w:spacing w:before="0" w:line="276" w:lineRule="auto"/>
        <w:ind w:left="360"/>
        <w:rPr>
          <w:rFonts w:ascii="Times New Roman" w:hAnsi="Times New Roman"/>
          <w:sz w:val="24"/>
          <w:szCs w:val="24"/>
        </w:rPr>
      </w:pPr>
      <w:r w:rsidRPr="009C2763">
        <w:rPr>
          <w:rFonts w:ascii="Times New Roman" w:hAnsi="Times New Roman"/>
          <w:sz w:val="24"/>
          <w:szCs w:val="24"/>
        </w:rPr>
        <w:t xml:space="preserve">na </w:t>
      </w:r>
      <w:r w:rsidRPr="009C2763">
        <w:rPr>
          <w:rFonts w:ascii="Times New Roman" w:hAnsi="Times New Roman"/>
          <w:i/>
          <w:iCs/>
          <w:sz w:val="24"/>
          <w:szCs w:val="24"/>
        </w:rPr>
        <w:t>Leki 75+</w:t>
      </w:r>
      <w:r w:rsidRPr="009C2763">
        <w:rPr>
          <w:rFonts w:ascii="Times New Roman" w:hAnsi="Times New Roman"/>
          <w:sz w:val="24"/>
          <w:szCs w:val="24"/>
        </w:rPr>
        <w:t xml:space="preserve"> </w:t>
      </w:r>
      <w:r w:rsidRPr="009C2763">
        <w:rPr>
          <w:rFonts w:ascii="Times New Roman" w:hAnsi="Times New Roman"/>
          <w:bCs/>
          <w:sz w:val="24"/>
          <w:szCs w:val="24"/>
        </w:rPr>
        <w:t>wydatkowano</w:t>
      </w:r>
      <w:r w:rsidRPr="009C2763">
        <w:rPr>
          <w:rFonts w:ascii="Times New Roman" w:hAnsi="Times New Roman"/>
          <w:sz w:val="24"/>
          <w:szCs w:val="24"/>
        </w:rPr>
        <w:t xml:space="preserve"> kwotę </w:t>
      </w:r>
      <w:r w:rsidRPr="009C2763">
        <w:rPr>
          <w:rFonts w:ascii="Times New Roman" w:hAnsi="Times New Roman"/>
          <w:bCs/>
          <w:sz w:val="24"/>
          <w:szCs w:val="24"/>
        </w:rPr>
        <w:t>715,2 mln zł</w:t>
      </w:r>
      <w:r w:rsidRPr="009C2763">
        <w:rPr>
          <w:rFonts w:ascii="Times New Roman" w:hAnsi="Times New Roman"/>
          <w:sz w:val="24"/>
          <w:szCs w:val="24"/>
        </w:rPr>
        <w:t>;</w:t>
      </w:r>
    </w:p>
    <w:p w14:paraId="3E9C903D" w14:textId="77777777" w:rsidR="00B90E75" w:rsidRPr="009C2763" w:rsidRDefault="00B90E75" w:rsidP="008C71A9">
      <w:pPr>
        <w:pStyle w:val="pismamz"/>
        <w:numPr>
          <w:ilvl w:val="0"/>
          <w:numId w:val="285"/>
        </w:numPr>
        <w:tabs>
          <w:tab w:val="left" w:pos="5400"/>
        </w:tabs>
        <w:spacing w:before="0" w:line="276" w:lineRule="auto"/>
        <w:ind w:left="360"/>
        <w:rPr>
          <w:rFonts w:ascii="Times New Roman" w:hAnsi="Times New Roman"/>
          <w:sz w:val="24"/>
          <w:szCs w:val="24"/>
        </w:rPr>
      </w:pPr>
      <w:r w:rsidRPr="009C2763">
        <w:rPr>
          <w:rFonts w:ascii="Times New Roman" w:hAnsi="Times New Roman"/>
          <w:sz w:val="24"/>
          <w:szCs w:val="24"/>
        </w:rPr>
        <w:t xml:space="preserve">z programu </w:t>
      </w:r>
      <w:r w:rsidRPr="009C2763">
        <w:rPr>
          <w:rFonts w:ascii="Times New Roman" w:hAnsi="Times New Roman"/>
          <w:i/>
          <w:iCs/>
          <w:sz w:val="24"/>
          <w:szCs w:val="24"/>
        </w:rPr>
        <w:t>Leki 75+</w:t>
      </w:r>
      <w:r w:rsidRPr="009C2763">
        <w:rPr>
          <w:rFonts w:ascii="Times New Roman" w:hAnsi="Times New Roman"/>
          <w:sz w:val="24"/>
          <w:szCs w:val="24"/>
        </w:rPr>
        <w:t xml:space="preserve"> </w:t>
      </w:r>
      <w:r w:rsidRPr="009C2763">
        <w:rPr>
          <w:rFonts w:ascii="Times New Roman" w:hAnsi="Times New Roman"/>
          <w:bCs/>
          <w:sz w:val="24"/>
          <w:szCs w:val="24"/>
        </w:rPr>
        <w:t>skorzystało ok. 2,4 mln</w:t>
      </w:r>
      <w:r w:rsidRPr="009C2763">
        <w:rPr>
          <w:rFonts w:ascii="Times New Roman" w:hAnsi="Times New Roman"/>
          <w:sz w:val="24"/>
          <w:szCs w:val="24"/>
        </w:rPr>
        <w:t xml:space="preserve"> osób po 75. roku życia;</w:t>
      </w:r>
    </w:p>
    <w:p w14:paraId="175655F2" w14:textId="77777777" w:rsidR="00B90E75" w:rsidRPr="009C2763" w:rsidRDefault="00B90E75" w:rsidP="008C71A9">
      <w:pPr>
        <w:pStyle w:val="pismamz"/>
        <w:numPr>
          <w:ilvl w:val="0"/>
          <w:numId w:val="285"/>
        </w:numPr>
        <w:tabs>
          <w:tab w:val="left" w:pos="5400"/>
        </w:tabs>
        <w:spacing w:before="0" w:line="276" w:lineRule="auto"/>
        <w:ind w:left="360"/>
        <w:rPr>
          <w:rFonts w:ascii="Times New Roman" w:hAnsi="Times New Roman"/>
          <w:sz w:val="24"/>
          <w:szCs w:val="24"/>
        </w:rPr>
      </w:pPr>
      <w:r w:rsidRPr="009C2763">
        <w:rPr>
          <w:rFonts w:ascii="Times New Roman" w:hAnsi="Times New Roman"/>
          <w:bCs/>
          <w:sz w:val="24"/>
          <w:szCs w:val="24"/>
        </w:rPr>
        <w:t>na liście 75+</w:t>
      </w:r>
      <w:r w:rsidRPr="009C2763">
        <w:rPr>
          <w:rStyle w:val="Odwoanieprzypisudolnego"/>
          <w:rFonts w:ascii="Times New Roman" w:hAnsi="Times New Roman"/>
          <w:bCs/>
          <w:sz w:val="24"/>
          <w:szCs w:val="24"/>
        </w:rPr>
        <w:footnoteReference w:id="32"/>
      </w:r>
      <w:r w:rsidRPr="009C2763">
        <w:rPr>
          <w:rFonts w:ascii="Times New Roman" w:hAnsi="Times New Roman"/>
          <w:sz w:val="24"/>
          <w:szCs w:val="24"/>
        </w:rPr>
        <w:t xml:space="preserve"> </w:t>
      </w:r>
      <w:r w:rsidRPr="009C2763">
        <w:rPr>
          <w:rFonts w:ascii="Times New Roman" w:hAnsi="Times New Roman"/>
          <w:bCs/>
          <w:sz w:val="24"/>
          <w:szCs w:val="24"/>
        </w:rPr>
        <w:t>znalazło się 2 008 produktów</w:t>
      </w:r>
      <w:r w:rsidRPr="009C2763">
        <w:rPr>
          <w:rFonts w:ascii="Times New Roman" w:hAnsi="Times New Roman"/>
          <w:sz w:val="24"/>
          <w:szCs w:val="24"/>
        </w:rPr>
        <w:t>;</w:t>
      </w:r>
    </w:p>
    <w:p w14:paraId="662BF0F7" w14:textId="77777777" w:rsidR="00B90E75" w:rsidRPr="009C2763" w:rsidRDefault="00B90E75" w:rsidP="008C71A9">
      <w:pPr>
        <w:pStyle w:val="pismamz"/>
        <w:numPr>
          <w:ilvl w:val="0"/>
          <w:numId w:val="285"/>
        </w:numPr>
        <w:tabs>
          <w:tab w:val="left" w:pos="5400"/>
        </w:tabs>
        <w:spacing w:before="0" w:line="276" w:lineRule="auto"/>
        <w:ind w:left="360"/>
        <w:rPr>
          <w:rFonts w:ascii="Times New Roman" w:hAnsi="Times New Roman"/>
          <w:sz w:val="24"/>
          <w:szCs w:val="24"/>
        </w:rPr>
      </w:pPr>
      <w:r w:rsidRPr="009C2763">
        <w:rPr>
          <w:rFonts w:ascii="Times New Roman" w:hAnsi="Times New Roman"/>
          <w:sz w:val="24"/>
          <w:szCs w:val="24"/>
        </w:rPr>
        <w:t xml:space="preserve">liczba </w:t>
      </w:r>
      <w:r w:rsidRPr="009C2763">
        <w:rPr>
          <w:rFonts w:ascii="Times New Roman" w:hAnsi="Times New Roman"/>
          <w:bCs/>
          <w:sz w:val="24"/>
          <w:szCs w:val="24"/>
        </w:rPr>
        <w:t xml:space="preserve">wydanych opakowań leków </w:t>
      </w:r>
      <w:r w:rsidRPr="009C2763">
        <w:rPr>
          <w:rFonts w:ascii="Times New Roman" w:hAnsi="Times New Roman"/>
          <w:sz w:val="24"/>
          <w:szCs w:val="24"/>
        </w:rPr>
        <w:t>wyniosła</w:t>
      </w:r>
      <w:r w:rsidRPr="009C2763">
        <w:rPr>
          <w:rFonts w:ascii="Times New Roman" w:hAnsi="Times New Roman"/>
          <w:bCs/>
          <w:sz w:val="24"/>
          <w:szCs w:val="24"/>
        </w:rPr>
        <w:t xml:space="preserve"> 67 872 764</w:t>
      </w:r>
      <w:r w:rsidRPr="009C2763">
        <w:rPr>
          <w:rFonts w:ascii="Times New Roman" w:hAnsi="Times New Roman"/>
          <w:sz w:val="24"/>
          <w:szCs w:val="24"/>
        </w:rPr>
        <w:t>;</w:t>
      </w:r>
    </w:p>
    <w:p w14:paraId="3EC81B95" w14:textId="77777777" w:rsidR="00B90E75" w:rsidRPr="009C2763" w:rsidRDefault="00B90E75" w:rsidP="008C71A9">
      <w:pPr>
        <w:pStyle w:val="pismamz"/>
        <w:numPr>
          <w:ilvl w:val="0"/>
          <w:numId w:val="285"/>
        </w:numPr>
        <w:tabs>
          <w:tab w:val="left" w:pos="5400"/>
        </w:tabs>
        <w:spacing w:before="0" w:line="276" w:lineRule="auto"/>
        <w:ind w:left="360"/>
        <w:rPr>
          <w:rFonts w:ascii="Times New Roman" w:hAnsi="Times New Roman"/>
          <w:sz w:val="24"/>
          <w:szCs w:val="24"/>
        </w:rPr>
      </w:pPr>
      <w:r w:rsidRPr="009C2763">
        <w:rPr>
          <w:rFonts w:ascii="Times New Roman" w:hAnsi="Times New Roman"/>
          <w:sz w:val="24"/>
          <w:szCs w:val="24"/>
        </w:rPr>
        <w:t xml:space="preserve">liczba </w:t>
      </w:r>
      <w:r w:rsidRPr="009C2763">
        <w:rPr>
          <w:rFonts w:ascii="Times New Roman" w:hAnsi="Times New Roman"/>
          <w:bCs/>
          <w:sz w:val="24"/>
          <w:szCs w:val="24"/>
        </w:rPr>
        <w:t xml:space="preserve">zrealizowanych recept </w:t>
      </w:r>
      <w:r w:rsidRPr="009C2763">
        <w:rPr>
          <w:rFonts w:ascii="Times New Roman" w:hAnsi="Times New Roman"/>
          <w:sz w:val="24"/>
          <w:szCs w:val="24"/>
        </w:rPr>
        <w:t>wyniosła</w:t>
      </w:r>
      <w:r w:rsidRPr="009C2763">
        <w:rPr>
          <w:rFonts w:ascii="Times New Roman" w:hAnsi="Times New Roman"/>
          <w:bCs/>
          <w:sz w:val="24"/>
          <w:szCs w:val="24"/>
        </w:rPr>
        <w:t xml:space="preserve"> 22 283</w:t>
      </w:r>
      <w:r w:rsidR="00775F4B" w:rsidRPr="009C2763">
        <w:rPr>
          <w:rFonts w:ascii="Times New Roman" w:hAnsi="Times New Roman"/>
          <w:bCs/>
          <w:sz w:val="24"/>
          <w:szCs w:val="24"/>
        </w:rPr>
        <w:t> </w:t>
      </w:r>
      <w:r w:rsidRPr="009C2763">
        <w:rPr>
          <w:rFonts w:ascii="Times New Roman" w:hAnsi="Times New Roman"/>
          <w:bCs/>
          <w:sz w:val="24"/>
          <w:szCs w:val="24"/>
        </w:rPr>
        <w:t>179</w:t>
      </w:r>
      <w:r w:rsidRPr="009C2763">
        <w:rPr>
          <w:rFonts w:ascii="Times New Roman" w:hAnsi="Times New Roman"/>
          <w:sz w:val="24"/>
          <w:szCs w:val="24"/>
        </w:rPr>
        <w:t>.</w:t>
      </w:r>
    </w:p>
    <w:p w14:paraId="1DD6F388" w14:textId="77777777" w:rsidR="00775F4B" w:rsidRPr="00B90E75" w:rsidRDefault="00775F4B" w:rsidP="00C363D3">
      <w:pPr>
        <w:pStyle w:val="pismamz"/>
        <w:tabs>
          <w:tab w:val="left" w:pos="5400"/>
        </w:tabs>
        <w:spacing w:before="0" w:line="276" w:lineRule="auto"/>
        <w:ind w:left="360"/>
        <w:rPr>
          <w:rFonts w:ascii="Times New Roman" w:hAnsi="Times New Roman"/>
          <w:b/>
          <w:sz w:val="24"/>
          <w:szCs w:val="24"/>
        </w:rPr>
      </w:pPr>
    </w:p>
    <w:p w14:paraId="5A49580F" w14:textId="77777777" w:rsidR="00B90E75" w:rsidRDefault="00B90E75" w:rsidP="00B022DF">
      <w:pPr>
        <w:pStyle w:val="Tekstpodstawowy"/>
        <w:spacing w:after="0" w:line="276" w:lineRule="auto"/>
        <w:ind w:right="119"/>
        <w:jc w:val="both"/>
        <w:rPr>
          <w:rFonts w:ascii="Times New Roman" w:eastAsia="Calibri" w:hAnsi="Times New Roman" w:cs="Times New Roman"/>
        </w:rPr>
      </w:pPr>
      <w:r w:rsidRPr="00B90E75">
        <w:rPr>
          <w:rFonts w:ascii="Times New Roman" w:eastAsia="Calibri" w:hAnsi="Times New Roman" w:cs="Times New Roman"/>
        </w:rPr>
        <w:t xml:space="preserve">Zgodnie z art. 43a </w:t>
      </w:r>
      <w:r w:rsidRPr="00B90E75">
        <w:rPr>
          <w:rFonts w:ascii="Times New Roman" w:eastAsia="Calibri" w:hAnsi="Times New Roman" w:cs="Times New Roman"/>
          <w:i/>
          <w:iCs/>
        </w:rPr>
        <w:t>ustawy z dnia 27 sierpnia 2004 r. o świadczeniach opieki zdrowotnej finansowanych ze środków publicznych</w:t>
      </w:r>
      <w:r w:rsidRPr="00B90E75">
        <w:rPr>
          <w:rFonts w:ascii="Times New Roman" w:eastAsia="Calibri" w:hAnsi="Times New Roman" w:cs="Times New Roman"/>
        </w:rPr>
        <w:t xml:space="preserve"> (Dz. U. z 2019 r. poz. 1373, z późn. zm.), recepty na bezpłatne leki świadczeniobiorcom po ukończeniu 75 roku życia mogą wystawiać również uprawnione pielęgniarki udzielające świadczeń opieki zdrowotnej z zakresu podstawowej opieki zdrowotnej. Liczba pielęgniarek uprawnionych do ordynacji leków i wypisywania recept </w:t>
      </w:r>
      <w:r w:rsidRPr="003C3947">
        <w:rPr>
          <w:rFonts w:ascii="Times New Roman" w:eastAsia="Calibri" w:hAnsi="Times New Roman" w:cs="Times New Roman"/>
        </w:rPr>
        <w:t xml:space="preserve">wynosi </w:t>
      </w:r>
      <w:r w:rsidRPr="003C3947">
        <w:rPr>
          <w:rFonts w:ascii="Times New Roman" w:eastAsia="Calibri" w:hAnsi="Times New Roman" w:cs="Times New Roman"/>
          <w:bCs/>
        </w:rPr>
        <w:t>27 529</w:t>
      </w:r>
      <w:r w:rsidRPr="00B90E75">
        <w:rPr>
          <w:rFonts w:ascii="Times New Roman" w:eastAsia="Calibri" w:hAnsi="Times New Roman" w:cs="Times New Roman"/>
        </w:rPr>
        <w:t>, z czego 17 714 pielęgniarek jest uprawnionych do samodzielnej ordynacji leków.</w:t>
      </w:r>
    </w:p>
    <w:p w14:paraId="4AC4255E" w14:textId="77777777" w:rsidR="00775F4B" w:rsidRDefault="00775F4B" w:rsidP="00C363D3">
      <w:pPr>
        <w:pStyle w:val="Tekstpodstawowy"/>
        <w:spacing w:after="0" w:line="276" w:lineRule="auto"/>
        <w:ind w:left="141" w:right="119"/>
        <w:jc w:val="both"/>
        <w:rPr>
          <w:rFonts w:ascii="Times New Roman" w:eastAsia="Calibri" w:hAnsi="Times New Roman" w:cs="Times New Roman"/>
        </w:rPr>
      </w:pPr>
    </w:p>
    <w:p w14:paraId="61DA72E5" w14:textId="77777777" w:rsidR="00775F4B" w:rsidRPr="00775F4B" w:rsidRDefault="00775F4B" w:rsidP="00B022DF">
      <w:pPr>
        <w:pStyle w:val="Tekstpodstawowy"/>
        <w:spacing w:after="0" w:line="276" w:lineRule="auto"/>
        <w:ind w:right="119"/>
        <w:jc w:val="both"/>
        <w:rPr>
          <w:rFonts w:ascii="Times New Roman" w:eastAsia="Calibri" w:hAnsi="Times New Roman" w:cs="Times New Roman"/>
          <w:b/>
          <w:color w:val="00B0F0"/>
        </w:rPr>
      </w:pPr>
      <w:r w:rsidRPr="00775F4B">
        <w:rPr>
          <w:rFonts w:ascii="Times New Roman" w:eastAsia="Calibri" w:hAnsi="Times New Roman" w:cs="Times New Roman"/>
          <w:b/>
          <w:color w:val="00B0F0"/>
        </w:rPr>
        <w:t xml:space="preserve">Szkolenia kadr medycznych, finansowane ze środków krajowych i zagranicznych </w:t>
      </w:r>
    </w:p>
    <w:p w14:paraId="10C475DF" w14:textId="678253A4" w:rsidR="00775F4B" w:rsidRDefault="00B90E75" w:rsidP="00B022DF">
      <w:pPr>
        <w:pStyle w:val="Tekstpodstawowy"/>
        <w:spacing w:after="0" w:line="276" w:lineRule="auto"/>
        <w:jc w:val="both"/>
        <w:rPr>
          <w:rFonts w:ascii="Times New Roman" w:eastAsia="Calibri" w:hAnsi="Times New Roman" w:cs="Times New Roman"/>
        </w:rPr>
      </w:pPr>
      <w:r w:rsidRPr="00B90E75">
        <w:rPr>
          <w:rFonts w:ascii="Times New Roman" w:eastAsia="Calibri" w:hAnsi="Times New Roman" w:cs="Times New Roman"/>
        </w:rPr>
        <w:t xml:space="preserve">Zgodnie z art. 70 </w:t>
      </w:r>
      <w:r w:rsidRPr="00B90E75">
        <w:rPr>
          <w:rFonts w:ascii="Times New Roman" w:eastAsia="Calibri" w:hAnsi="Times New Roman" w:cs="Times New Roman"/>
          <w:i/>
          <w:iCs/>
        </w:rPr>
        <w:t>ustawy z dnia 15 lipca 2011 r. o zawodach pielęgniarki i położnej</w:t>
      </w:r>
      <w:r w:rsidRPr="00B90E75">
        <w:rPr>
          <w:rFonts w:ascii="Times New Roman" w:eastAsia="Calibri" w:hAnsi="Times New Roman" w:cs="Times New Roman"/>
        </w:rPr>
        <w:t xml:space="preserve"> (Dz. U. z 2020 r. poz. 562 z późn. zm.), minister właściwy do spraw zdrowia w ramach posiadanych środków i ustalonej minimalnej liczby miejsc szkoleniowych dla </w:t>
      </w:r>
      <w:r w:rsidRPr="003C3947">
        <w:rPr>
          <w:rFonts w:ascii="Times New Roman" w:eastAsia="Calibri" w:hAnsi="Times New Roman" w:cs="Times New Roman"/>
          <w:bCs/>
        </w:rPr>
        <w:t>pielęgniarek</w:t>
      </w:r>
      <w:r w:rsidRPr="00B90E75">
        <w:rPr>
          <w:rFonts w:ascii="Times New Roman" w:eastAsia="Calibri" w:hAnsi="Times New Roman" w:cs="Times New Roman"/>
          <w:b/>
          <w:bCs/>
        </w:rPr>
        <w:t xml:space="preserve"> </w:t>
      </w:r>
      <w:r w:rsidRPr="00B90E75">
        <w:rPr>
          <w:rFonts w:ascii="Times New Roman" w:eastAsia="Calibri" w:hAnsi="Times New Roman" w:cs="Times New Roman"/>
        </w:rPr>
        <w:t>i położnych, dofinansowuje szkolenia specjalizacyjne dla tych grup zawodowych w dziedzinach priorytetowych, w tym m.in. szkolenia specjalizacyj</w:t>
      </w:r>
      <w:r w:rsidR="00B022DF">
        <w:rPr>
          <w:rFonts w:ascii="Times New Roman" w:eastAsia="Calibri" w:hAnsi="Times New Roman" w:cs="Times New Roman"/>
        </w:rPr>
        <w:t xml:space="preserve">ne w dziedzinie pielęgniarstwa: </w:t>
      </w:r>
      <w:r w:rsidRPr="00B90E75">
        <w:rPr>
          <w:rFonts w:ascii="Times New Roman" w:eastAsia="Calibri" w:hAnsi="Times New Roman" w:cs="Times New Roman"/>
        </w:rPr>
        <w:t>geriatrycznego</w:t>
      </w:r>
      <w:r w:rsidR="00B022DF">
        <w:rPr>
          <w:rFonts w:ascii="Times New Roman" w:eastAsia="Calibri" w:hAnsi="Times New Roman" w:cs="Times New Roman"/>
        </w:rPr>
        <w:t xml:space="preserve">, rodzinnego, internistycznego, a także </w:t>
      </w:r>
      <w:r w:rsidRPr="00B90E75">
        <w:rPr>
          <w:rFonts w:ascii="Times New Roman" w:eastAsia="Calibri" w:hAnsi="Times New Roman" w:cs="Times New Roman"/>
        </w:rPr>
        <w:t>opieki długoterm</w:t>
      </w:r>
      <w:r w:rsidR="00B022DF">
        <w:rPr>
          <w:rFonts w:ascii="Times New Roman" w:eastAsia="Calibri" w:hAnsi="Times New Roman" w:cs="Times New Roman"/>
        </w:rPr>
        <w:t>inowej oraz opieki paliatywnej.</w:t>
      </w:r>
    </w:p>
    <w:p w14:paraId="0DCFA08F" w14:textId="77777777" w:rsidR="00B022DF" w:rsidRPr="00B022DF" w:rsidRDefault="00B022DF" w:rsidP="00B022DF">
      <w:pPr>
        <w:pStyle w:val="Tekstpodstawowy"/>
        <w:spacing w:after="0" w:line="276" w:lineRule="auto"/>
        <w:jc w:val="both"/>
        <w:rPr>
          <w:rFonts w:ascii="Times New Roman" w:eastAsia="Calibri" w:hAnsi="Times New Roman" w:cs="Times New Roman"/>
        </w:rPr>
      </w:pPr>
    </w:p>
    <w:p w14:paraId="32662D19" w14:textId="7D91A05F" w:rsidR="00B022DF" w:rsidRPr="00DE298D" w:rsidRDefault="00B022DF" w:rsidP="00B022DF">
      <w:pPr>
        <w:pStyle w:val="Legenda"/>
        <w:keepNext/>
        <w:jc w:val="both"/>
        <w:rPr>
          <w:rFonts w:ascii="Times New Roman" w:hAnsi="Times New Roman" w:cs="Times New Roman"/>
          <w:b/>
          <w:i w:val="0"/>
          <w:sz w:val="24"/>
        </w:rPr>
      </w:pPr>
      <w:bookmarkStart w:id="84" w:name="_Toc49171425"/>
      <w:r w:rsidRPr="00DE298D">
        <w:rPr>
          <w:rFonts w:ascii="Times New Roman" w:hAnsi="Times New Roman" w:cs="Times New Roman"/>
          <w:b/>
          <w:i w:val="0"/>
          <w:sz w:val="24"/>
        </w:rPr>
        <w:t xml:space="preserve">Tabela </w:t>
      </w:r>
      <w:r w:rsidRPr="00DE298D">
        <w:rPr>
          <w:rFonts w:ascii="Times New Roman" w:hAnsi="Times New Roman" w:cs="Times New Roman"/>
          <w:b/>
          <w:i w:val="0"/>
          <w:sz w:val="24"/>
        </w:rPr>
        <w:fldChar w:fldCharType="begin"/>
      </w:r>
      <w:r w:rsidRPr="00DE298D">
        <w:rPr>
          <w:rFonts w:ascii="Times New Roman" w:hAnsi="Times New Roman" w:cs="Times New Roman"/>
          <w:b/>
          <w:i w:val="0"/>
          <w:sz w:val="24"/>
        </w:rPr>
        <w:instrText xml:space="preserve"> SEQ Tabela \* ARABIC </w:instrText>
      </w:r>
      <w:r w:rsidRPr="00DE298D">
        <w:rPr>
          <w:rFonts w:ascii="Times New Roman" w:hAnsi="Times New Roman" w:cs="Times New Roman"/>
          <w:b/>
          <w:i w:val="0"/>
          <w:sz w:val="24"/>
        </w:rPr>
        <w:fldChar w:fldCharType="separate"/>
      </w:r>
      <w:r w:rsidR="00C154C9">
        <w:rPr>
          <w:rFonts w:ascii="Times New Roman" w:hAnsi="Times New Roman" w:cs="Times New Roman"/>
          <w:b/>
          <w:i w:val="0"/>
          <w:noProof/>
          <w:sz w:val="24"/>
        </w:rPr>
        <w:t>50</w:t>
      </w:r>
      <w:r w:rsidRPr="00DE298D">
        <w:rPr>
          <w:rFonts w:ascii="Times New Roman" w:hAnsi="Times New Roman" w:cs="Times New Roman"/>
          <w:b/>
          <w:i w:val="0"/>
          <w:sz w:val="24"/>
        </w:rPr>
        <w:fldChar w:fldCharType="end"/>
      </w:r>
      <w:r w:rsidRPr="00DE298D">
        <w:rPr>
          <w:rFonts w:ascii="Times New Roman" w:hAnsi="Times New Roman" w:cs="Times New Roman"/>
          <w:b/>
          <w:i w:val="0"/>
          <w:sz w:val="24"/>
        </w:rPr>
        <w:t xml:space="preserve"> Liczba szkoleń specjalizacyjnych dofinansowanych przez Ministerstwo Zdrowia ze środków publicznych realizowanych w 2019 r. w dziedzinach szczególnie przydatnych w opiece nad osobami starszymi</w:t>
      </w:r>
      <w:bookmarkEnd w:id="84"/>
    </w:p>
    <w:tbl>
      <w:tblPr>
        <w:tblW w:w="0" w:type="auto"/>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0" w:type="dxa"/>
          <w:right w:w="0" w:type="dxa"/>
        </w:tblCellMar>
        <w:tblLook w:val="01E0" w:firstRow="1" w:lastRow="1" w:firstColumn="1" w:lastColumn="1" w:noHBand="0" w:noVBand="0"/>
      </w:tblPr>
      <w:tblGrid>
        <w:gridCol w:w="440"/>
        <w:gridCol w:w="3672"/>
        <w:gridCol w:w="1831"/>
      </w:tblGrid>
      <w:tr w:rsidR="00B022DF" w:rsidRPr="00621AA9" w14:paraId="05EE6A65" w14:textId="77777777" w:rsidTr="00B022DF">
        <w:trPr>
          <w:trHeight w:val="415"/>
          <w:jc w:val="center"/>
        </w:trPr>
        <w:tc>
          <w:tcPr>
            <w:tcW w:w="0" w:type="auto"/>
            <w:shd w:val="clear" w:color="auto" w:fill="9CC2E5" w:themeFill="accent1" w:themeFillTint="99"/>
            <w:tcMar>
              <w:top w:w="15" w:type="dxa"/>
              <w:left w:w="15" w:type="dxa"/>
              <w:bottom w:w="0" w:type="dxa"/>
              <w:right w:w="15" w:type="dxa"/>
            </w:tcMar>
            <w:hideMark/>
          </w:tcPr>
          <w:p w14:paraId="14DCE6C2" w14:textId="77777777" w:rsidR="00B022DF" w:rsidRPr="00621AA9" w:rsidRDefault="00B022DF" w:rsidP="00B022DF">
            <w:pPr>
              <w:tabs>
                <w:tab w:val="left" w:pos="840"/>
                <w:tab w:val="left" w:pos="5066"/>
              </w:tabs>
              <w:spacing w:after="0" w:line="240" w:lineRule="auto"/>
              <w:ind w:left="115"/>
              <w:jc w:val="center"/>
              <w:rPr>
                <w:rFonts w:ascii="Times New Roman" w:eastAsia="Times New Roman" w:hAnsi="Times New Roman" w:cs="Times New Roman"/>
                <w:sz w:val="20"/>
                <w:szCs w:val="20"/>
                <w:lang w:eastAsia="pl-PL"/>
              </w:rPr>
            </w:pPr>
            <w:r w:rsidRPr="00621AA9">
              <w:rPr>
                <w:rFonts w:ascii="Times New Roman" w:eastAsia="Times New Roman" w:hAnsi="Times New Roman" w:cs="Times New Roman"/>
                <w:b/>
                <w:bCs/>
                <w:kern w:val="24"/>
                <w:sz w:val="20"/>
                <w:szCs w:val="20"/>
                <w:lang w:val="en-US" w:eastAsia="pl-PL"/>
              </w:rPr>
              <w:t>Lp.</w:t>
            </w:r>
          </w:p>
        </w:tc>
        <w:tc>
          <w:tcPr>
            <w:tcW w:w="0" w:type="auto"/>
            <w:shd w:val="clear" w:color="auto" w:fill="9CC2E5" w:themeFill="accent1" w:themeFillTint="99"/>
          </w:tcPr>
          <w:p w14:paraId="798D6FAC" w14:textId="77777777" w:rsidR="00B022DF" w:rsidRPr="00621AA9" w:rsidRDefault="00B022DF" w:rsidP="00B022DF">
            <w:pPr>
              <w:tabs>
                <w:tab w:val="left" w:pos="840"/>
                <w:tab w:val="left" w:pos="5066"/>
              </w:tabs>
              <w:spacing w:after="0" w:line="240" w:lineRule="auto"/>
              <w:ind w:left="115"/>
              <w:jc w:val="center"/>
              <w:rPr>
                <w:rFonts w:ascii="Times New Roman" w:eastAsia="Times New Roman" w:hAnsi="Times New Roman" w:cs="Times New Roman"/>
                <w:sz w:val="20"/>
                <w:szCs w:val="20"/>
                <w:lang w:eastAsia="pl-PL"/>
              </w:rPr>
            </w:pPr>
            <w:r w:rsidRPr="00621AA9">
              <w:rPr>
                <w:rFonts w:ascii="Times New Roman" w:eastAsia="Times New Roman" w:hAnsi="Times New Roman" w:cs="Times New Roman"/>
                <w:b/>
                <w:bCs/>
                <w:kern w:val="24"/>
                <w:sz w:val="20"/>
                <w:szCs w:val="20"/>
                <w:lang w:val="en-US" w:eastAsia="pl-PL"/>
              </w:rPr>
              <w:t>Szkolenie</w:t>
            </w:r>
            <w:r w:rsidRPr="00621AA9">
              <w:rPr>
                <w:rFonts w:ascii="Times New Roman" w:eastAsia="Times New Roman" w:hAnsi="Times New Roman" w:cs="Times New Roman"/>
                <w:b/>
                <w:bCs/>
                <w:spacing w:val="-7"/>
                <w:kern w:val="24"/>
                <w:sz w:val="20"/>
                <w:szCs w:val="20"/>
                <w:lang w:val="en-US" w:eastAsia="pl-PL"/>
              </w:rPr>
              <w:t xml:space="preserve"> </w:t>
            </w:r>
            <w:r w:rsidRPr="00621AA9">
              <w:rPr>
                <w:rFonts w:ascii="Times New Roman" w:eastAsia="Times New Roman" w:hAnsi="Times New Roman" w:cs="Times New Roman"/>
                <w:b/>
                <w:bCs/>
                <w:kern w:val="24"/>
                <w:sz w:val="20"/>
                <w:szCs w:val="20"/>
                <w:lang w:val="en-US" w:eastAsia="pl-PL"/>
              </w:rPr>
              <w:t>specjalizacyjne</w:t>
            </w:r>
          </w:p>
        </w:tc>
        <w:tc>
          <w:tcPr>
            <w:tcW w:w="0" w:type="auto"/>
            <w:shd w:val="clear" w:color="auto" w:fill="9CC2E5" w:themeFill="accent1" w:themeFillTint="99"/>
          </w:tcPr>
          <w:p w14:paraId="42021976" w14:textId="77777777" w:rsidR="00B022DF" w:rsidRPr="00621AA9" w:rsidRDefault="00B022DF" w:rsidP="00B022DF">
            <w:pPr>
              <w:spacing w:after="0" w:line="240" w:lineRule="auto"/>
              <w:jc w:val="center"/>
              <w:rPr>
                <w:rFonts w:ascii="Times New Roman" w:eastAsia="Times New Roman" w:hAnsi="Times New Roman" w:cs="Times New Roman"/>
                <w:b/>
                <w:bCs/>
                <w:kern w:val="24"/>
                <w:sz w:val="20"/>
                <w:szCs w:val="20"/>
                <w:lang w:eastAsia="pl-PL"/>
              </w:rPr>
            </w:pPr>
            <w:r w:rsidRPr="00621AA9">
              <w:rPr>
                <w:rFonts w:ascii="Times New Roman" w:eastAsia="Times New Roman" w:hAnsi="Times New Roman" w:cs="Times New Roman"/>
                <w:b/>
                <w:bCs/>
                <w:kern w:val="24"/>
                <w:sz w:val="20"/>
                <w:szCs w:val="20"/>
                <w:lang w:eastAsia="pl-PL"/>
              </w:rPr>
              <w:t>Łącznie</w:t>
            </w:r>
          </w:p>
          <w:p w14:paraId="6597A6FF" w14:textId="77777777" w:rsidR="00B022DF" w:rsidRPr="00621AA9" w:rsidRDefault="00B022DF" w:rsidP="00B022DF">
            <w:pPr>
              <w:spacing w:after="0" w:line="240" w:lineRule="auto"/>
              <w:jc w:val="center"/>
              <w:rPr>
                <w:rFonts w:ascii="Times New Roman" w:eastAsia="Times New Roman" w:hAnsi="Times New Roman" w:cs="Times New Roman"/>
                <w:kern w:val="24"/>
                <w:sz w:val="20"/>
                <w:szCs w:val="20"/>
                <w:lang w:eastAsia="pl-PL"/>
              </w:rPr>
            </w:pPr>
            <w:r w:rsidRPr="00621AA9">
              <w:rPr>
                <w:rFonts w:ascii="Times New Roman" w:eastAsia="Times New Roman" w:hAnsi="Times New Roman" w:cs="Times New Roman"/>
                <w:kern w:val="24"/>
                <w:sz w:val="20"/>
                <w:szCs w:val="20"/>
                <w:lang w:eastAsia="pl-PL"/>
              </w:rPr>
              <w:t>(stan na 31.12.2019 r.)</w:t>
            </w:r>
          </w:p>
        </w:tc>
      </w:tr>
      <w:tr w:rsidR="00B022DF" w:rsidRPr="00621AA9" w14:paraId="7A1849F7" w14:textId="77777777" w:rsidTr="004E6514">
        <w:trPr>
          <w:trHeight w:val="237"/>
          <w:jc w:val="center"/>
        </w:trPr>
        <w:tc>
          <w:tcPr>
            <w:tcW w:w="0" w:type="auto"/>
            <w:shd w:val="clear" w:color="auto" w:fill="9CC2E5" w:themeFill="accent1" w:themeFillTint="99"/>
            <w:tcMar>
              <w:top w:w="15" w:type="dxa"/>
              <w:left w:w="15" w:type="dxa"/>
              <w:bottom w:w="0" w:type="dxa"/>
              <w:right w:w="15" w:type="dxa"/>
            </w:tcMar>
            <w:hideMark/>
          </w:tcPr>
          <w:p w14:paraId="26744B6E" w14:textId="77777777" w:rsidR="00B022DF" w:rsidRPr="00621AA9" w:rsidRDefault="00B022DF" w:rsidP="00B022DF">
            <w:pPr>
              <w:spacing w:after="0" w:line="240" w:lineRule="auto"/>
              <w:ind w:left="115"/>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b/>
                <w:bCs/>
                <w:kern w:val="24"/>
                <w:sz w:val="20"/>
                <w:szCs w:val="20"/>
                <w:lang w:val="en-US" w:eastAsia="pl-PL"/>
              </w:rPr>
              <w:t>1.</w:t>
            </w:r>
          </w:p>
        </w:tc>
        <w:tc>
          <w:tcPr>
            <w:tcW w:w="0" w:type="auto"/>
            <w:shd w:val="clear" w:color="auto" w:fill="FFFFFF" w:themeFill="background1"/>
            <w:tcMar>
              <w:top w:w="15" w:type="dxa"/>
              <w:left w:w="15" w:type="dxa"/>
              <w:bottom w:w="0" w:type="dxa"/>
              <w:right w:w="15" w:type="dxa"/>
            </w:tcMar>
            <w:hideMark/>
          </w:tcPr>
          <w:p w14:paraId="567E9147" w14:textId="77777777" w:rsidR="00B022DF" w:rsidRPr="00621AA9" w:rsidRDefault="00B022DF" w:rsidP="00B022DF">
            <w:pPr>
              <w:spacing w:after="0" w:line="240" w:lineRule="auto"/>
              <w:ind w:left="115"/>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color w:val="000000"/>
                <w:kern w:val="24"/>
                <w:sz w:val="20"/>
                <w:szCs w:val="20"/>
                <w:lang w:val="en-US" w:eastAsia="pl-PL"/>
              </w:rPr>
              <w:t>Pielęgniarstwo rodzinne dla pielęgniarek</w:t>
            </w:r>
          </w:p>
        </w:tc>
        <w:tc>
          <w:tcPr>
            <w:tcW w:w="0" w:type="auto"/>
            <w:shd w:val="clear" w:color="auto" w:fill="FFFFFF" w:themeFill="background1"/>
            <w:tcMar>
              <w:top w:w="15" w:type="dxa"/>
              <w:left w:w="15" w:type="dxa"/>
              <w:bottom w:w="0" w:type="dxa"/>
              <w:right w:w="15" w:type="dxa"/>
            </w:tcMar>
            <w:hideMark/>
          </w:tcPr>
          <w:p w14:paraId="50983439" w14:textId="77777777" w:rsidR="00B022DF" w:rsidRPr="00621AA9" w:rsidRDefault="00B022DF" w:rsidP="00B022DF">
            <w:pPr>
              <w:spacing w:after="0" w:line="240" w:lineRule="auto"/>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kern w:val="24"/>
                <w:sz w:val="20"/>
                <w:szCs w:val="20"/>
                <w:lang w:val="en-US" w:eastAsia="pl-PL"/>
              </w:rPr>
              <w:t>30</w:t>
            </w:r>
          </w:p>
        </w:tc>
      </w:tr>
      <w:tr w:rsidR="00B022DF" w:rsidRPr="00621AA9" w14:paraId="770E42E5" w14:textId="77777777" w:rsidTr="004E6514">
        <w:trPr>
          <w:trHeight w:val="240"/>
          <w:jc w:val="center"/>
        </w:trPr>
        <w:tc>
          <w:tcPr>
            <w:tcW w:w="0" w:type="auto"/>
            <w:shd w:val="clear" w:color="auto" w:fill="9CC2E5" w:themeFill="accent1" w:themeFillTint="99"/>
            <w:tcMar>
              <w:top w:w="15" w:type="dxa"/>
              <w:left w:w="15" w:type="dxa"/>
              <w:bottom w:w="0" w:type="dxa"/>
              <w:right w:w="15" w:type="dxa"/>
            </w:tcMar>
            <w:hideMark/>
          </w:tcPr>
          <w:p w14:paraId="10DA9214" w14:textId="77777777" w:rsidR="00B022DF" w:rsidRPr="00621AA9" w:rsidRDefault="00B022DF" w:rsidP="00B022DF">
            <w:pPr>
              <w:spacing w:after="0" w:line="240" w:lineRule="auto"/>
              <w:ind w:left="115"/>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b/>
                <w:bCs/>
                <w:kern w:val="24"/>
                <w:sz w:val="20"/>
                <w:szCs w:val="20"/>
                <w:lang w:val="en-US" w:eastAsia="pl-PL"/>
              </w:rPr>
              <w:t>2.</w:t>
            </w:r>
          </w:p>
        </w:tc>
        <w:tc>
          <w:tcPr>
            <w:tcW w:w="0" w:type="auto"/>
            <w:shd w:val="clear" w:color="auto" w:fill="FFFFFF" w:themeFill="background1"/>
            <w:tcMar>
              <w:top w:w="15" w:type="dxa"/>
              <w:left w:w="15" w:type="dxa"/>
              <w:bottom w:w="0" w:type="dxa"/>
              <w:right w:w="15" w:type="dxa"/>
            </w:tcMar>
            <w:hideMark/>
          </w:tcPr>
          <w:p w14:paraId="2C22BACB" w14:textId="688D5546" w:rsidR="00B022DF" w:rsidRPr="00621AA9" w:rsidRDefault="005D317B" w:rsidP="00B022DF">
            <w:pPr>
              <w:spacing w:after="0" w:line="240" w:lineRule="auto"/>
              <w:ind w:left="115"/>
              <w:jc w:val="both"/>
              <w:rPr>
                <w:rFonts w:ascii="Times New Roman" w:eastAsia="Times New Roman" w:hAnsi="Times New Roman" w:cs="Times New Roman"/>
                <w:sz w:val="20"/>
                <w:szCs w:val="20"/>
                <w:lang w:eastAsia="pl-PL"/>
              </w:rPr>
            </w:pPr>
            <w:r>
              <w:rPr>
                <w:rFonts w:ascii="Times New Roman" w:eastAsia="Times New Roman" w:hAnsi="Times New Roman" w:cs="Times New Roman"/>
                <w:color w:val="000000"/>
                <w:kern w:val="24"/>
                <w:sz w:val="20"/>
                <w:szCs w:val="20"/>
                <w:lang w:val="en-US" w:eastAsia="pl-PL"/>
              </w:rPr>
              <w:t>Pielęgniarstwo opieki</w:t>
            </w:r>
            <w:r w:rsidR="00B022DF" w:rsidRPr="00621AA9">
              <w:rPr>
                <w:rFonts w:ascii="Times New Roman" w:eastAsia="Times New Roman" w:hAnsi="Times New Roman" w:cs="Times New Roman"/>
                <w:color w:val="000000"/>
                <w:kern w:val="24"/>
                <w:sz w:val="20"/>
                <w:szCs w:val="20"/>
                <w:lang w:val="en-US" w:eastAsia="pl-PL"/>
              </w:rPr>
              <w:t xml:space="preserve"> długoterminowej</w:t>
            </w:r>
          </w:p>
        </w:tc>
        <w:tc>
          <w:tcPr>
            <w:tcW w:w="0" w:type="auto"/>
            <w:shd w:val="clear" w:color="auto" w:fill="FFFFFF" w:themeFill="background1"/>
            <w:tcMar>
              <w:top w:w="15" w:type="dxa"/>
              <w:left w:w="15" w:type="dxa"/>
              <w:bottom w:w="0" w:type="dxa"/>
              <w:right w:w="15" w:type="dxa"/>
            </w:tcMar>
            <w:hideMark/>
          </w:tcPr>
          <w:p w14:paraId="4B64DA0F" w14:textId="77777777" w:rsidR="00B022DF" w:rsidRPr="00621AA9" w:rsidRDefault="00B022DF" w:rsidP="00B022DF">
            <w:pPr>
              <w:spacing w:after="0" w:line="240" w:lineRule="auto"/>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kern w:val="24"/>
                <w:sz w:val="20"/>
                <w:szCs w:val="20"/>
                <w:lang w:val="en-US" w:eastAsia="pl-PL"/>
              </w:rPr>
              <w:t>17</w:t>
            </w:r>
          </w:p>
        </w:tc>
      </w:tr>
      <w:tr w:rsidR="00B022DF" w:rsidRPr="00621AA9" w14:paraId="07BC0671" w14:textId="77777777" w:rsidTr="004E6514">
        <w:trPr>
          <w:trHeight w:val="116"/>
          <w:jc w:val="center"/>
        </w:trPr>
        <w:tc>
          <w:tcPr>
            <w:tcW w:w="0" w:type="auto"/>
            <w:shd w:val="clear" w:color="auto" w:fill="9CC2E5" w:themeFill="accent1" w:themeFillTint="99"/>
            <w:tcMar>
              <w:top w:w="15" w:type="dxa"/>
              <w:left w:w="15" w:type="dxa"/>
              <w:bottom w:w="0" w:type="dxa"/>
              <w:right w:w="15" w:type="dxa"/>
            </w:tcMar>
            <w:hideMark/>
          </w:tcPr>
          <w:p w14:paraId="79293609" w14:textId="77777777" w:rsidR="00B022DF" w:rsidRPr="00621AA9" w:rsidRDefault="00B022DF" w:rsidP="00B022DF">
            <w:pPr>
              <w:spacing w:after="0" w:line="240" w:lineRule="auto"/>
              <w:ind w:left="115"/>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b/>
                <w:bCs/>
                <w:kern w:val="24"/>
                <w:sz w:val="20"/>
                <w:szCs w:val="20"/>
                <w:lang w:val="en-US" w:eastAsia="pl-PL"/>
              </w:rPr>
              <w:t>3.</w:t>
            </w:r>
          </w:p>
        </w:tc>
        <w:tc>
          <w:tcPr>
            <w:tcW w:w="0" w:type="auto"/>
            <w:shd w:val="clear" w:color="auto" w:fill="FFFFFF" w:themeFill="background1"/>
            <w:tcMar>
              <w:top w:w="15" w:type="dxa"/>
              <w:left w:w="15" w:type="dxa"/>
              <w:bottom w:w="0" w:type="dxa"/>
              <w:right w:w="15" w:type="dxa"/>
            </w:tcMar>
            <w:hideMark/>
          </w:tcPr>
          <w:p w14:paraId="3D0AF85F" w14:textId="77777777" w:rsidR="00B022DF" w:rsidRPr="00621AA9" w:rsidRDefault="00B022DF" w:rsidP="00B022DF">
            <w:pPr>
              <w:spacing w:after="0" w:line="240" w:lineRule="auto"/>
              <w:ind w:left="115"/>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color w:val="000000"/>
                <w:kern w:val="24"/>
                <w:sz w:val="20"/>
                <w:szCs w:val="20"/>
                <w:lang w:val="en-US" w:eastAsia="pl-PL"/>
              </w:rPr>
              <w:t>Pielęgniarstwo opieki paliatywnej</w:t>
            </w:r>
          </w:p>
        </w:tc>
        <w:tc>
          <w:tcPr>
            <w:tcW w:w="0" w:type="auto"/>
            <w:shd w:val="clear" w:color="auto" w:fill="FFFFFF" w:themeFill="background1"/>
            <w:tcMar>
              <w:top w:w="15" w:type="dxa"/>
              <w:left w:w="15" w:type="dxa"/>
              <w:bottom w:w="0" w:type="dxa"/>
              <w:right w:w="15" w:type="dxa"/>
            </w:tcMar>
            <w:hideMark/>
          </w:tcPr>
          <w:p w14:paraId="68E72D26" w14:textId="77777777" w:rsidR="00B022DF" w:rsidRPr="00621AA9" w:rsidRDefault="00B022DF" w:rsidP="00B022DF">
            <w:pPr>
              <w:spacing w:after="0" w:line="240" w:lineRule="auto"/>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kern w:val="24"/>
                <w:sz w:val="20"/>
                <w:szCs w:val="20"/>
                <w:lang w:val="en-US" w:eastAsia="pl-PL"/>
              </w:rPr>
              <w:t>15</w:t>
            </w:r>
          </w:p>
        </w:tc>
      </w:tr>
      <w:tr w:rsidR="00B022DF" w:rsidRPr="00621AA9" w14:paraId="1633C7D3" w14:textId="77777777" w:rsidTr="004E6514">
        <w:trPr>
          <w:trHeight w:val="134"/>
          <w:jc w:val="center"/>
        </w:trPr>
        <w:tc>
          <w:tcPr>
            <w:tcW w:w="0" w:type="auto"/>
            <w:shd w:val="clear" w:color="auto" w:fill="9CC2E5" w:themeFill="accent1" w:themeFillTint="99"/>
            <w:tcMar>
              <w:top w:w="15" w:type="dxa"/>
              <w:left w:w="15" w:type="dxa"/>
              <w:bottom w:w="0" w:type="dxa"/>
              <w:right w:w="15" w:type="dxa"/>
            </w:tcMar>
            <w:hideMark/>
          </w:tcPr>
          <w:p w14:paraId="534FC549" w14:textId="77777777" w:rsidR="00B022DF" w:rsidRPr="00621AA9" w:rsidRDefault="00B022DF" w:rsidP="00B022DF">
            <w:pPr>
              <w:spacing w:after="0" w:line="240" w:lineRule="auto"/>
              <w:ind w:left="115"/>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b/>
                <w:bCs/>
                <w:kern w:val="24"/>
                <w:sz w:val="20"/>
                <w:szCs w:val="20"/>
                <w:lang w:val="en-US" w:eastAsia="pl-PL"/>
              </w:rPr>
              <w:t>4.</w:t>
            </w:r>
          </w:p>
        </w:tc>
        <w:tc>
          <w:tcPr>
            <w:tcW w:w="0" w:type="auto"/>
            <w:shd w:val="clear" w:color="auto" w:fill="FFFFFF" w:themeFill="background1"/>
            <w:tcMar>
              <w:top w:w="15" w:type="dxa"/>
              <w:left w:w="15" w:type="dxa"/>
              <w:bottom w:w="0" w:type="dxa"/>
              <w:right w:w="15" w:type="dxa"/>
            </w:tcMar>
            <w:hideMark/>
          </w:tcPr>
          <w:p w14:paraId="3650701D" w14:textId="77777777" w:rsidR="00B022DF" w:rsidRPr="00621AA9" w:rsidRDefault="00B022DF" w:rsidP="00B022DF">
            <w:pPr>
              <w:spacing w:after="0" w:line="240" w:lineRule="auto"/>
              <w:ind w:left="115"/>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color w:val="000000"/>
                <w:kern w:val="24"/>
                <w:sz w:val="20"/>
                <w:szCs w:val="20"/>
                <w:lang w:val="en-US" w:eastAsia="pl-PL"/>
              </w:rPr>
              <w:t>Pielęgniarstwo zachowawcze/internistyczne</w:t>
            </w:r>
          </w:p>
        </w:tc>
        <w:tc>
          <w:tcPr>
            <w:tcW w:w="0" w:type="auto"/>
            <w:shd w:val="clear" w:color="auto" w:fill="FFFFFF" w:themeFill="background1"/>
            <w:tcMar>
              <w:top w:w="15" w:type="dxa"/>
              <w:left w:w="15" w:type="dxa"/>
              <w:bottom w:w="0" w:type="dxa"/>
              <w:right w:w="15" w:type="dxa"/>
            </w:tcMar>
            <w:hideMark/>
          </w:tcPr>
          <w:p w14:paraId="46E9E645" w14:textId="77777777" w:rsidR="00B022DF" w:rsidRPr="00621AA9" w:rsidRDefault="00B022DF" w:rsidP="00B022DF">
            <w:pPr>
              <w:spacing w:after="0" w:line="240" w:lineRule="auto"/>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kern w:val="24"/>
                <w:sz w:val="20"/>
                <w:szCs w:val="20"/>
                <w:lang w:val="en-US" w:eastAsia="pl-PL"/>
              </w:rPr>
              <w:t>42</w:t>
            </w:r>
          </w:p>
        </w:tc>
      </w:tr>
      <w:tr w:rsidR="00B022DF" w:rsidRPr="00621AA9" w14:paraId="38269F04" w14:textId="77777777" w:rsidTr="004E6514">
        <w:trPr>
          <w:trHeight w:val="138"/>
          <w:jc w:val="center"/>
        </w:trPr>
        <w:tc>
          <w:tcPr>
            <w:tcW w:w="0" w:type="auto"/>
            <w:shd w:val="clear" w:color="auto" w:fill="9CC2E5" w:themeFill="accent1" w:themeFillTint="99"/>
            <w:tcMar>
              <w:top w:w="15" w:type="dxa"/>
              <w:left w:w="15" w:type="dxa"/>
              <w:bottom w:w="0" w:type="dxa"/>
              <w:right w:w="15" w:type="dxa"/>
            </w:tcMar>
            <w:hideMark/>
          </w:tcPr>
          <w:p w14:paraId="5B85AC90" w14:textId="77777777" w:rsidR="00B022DF" w:rsidRPr="00621AA9" w:rsidRDefault="00B022DF" w:rsidP="00B022DF">
            <w:pPr>
              <w:spacing w:after="0" w:line="240" w:lineRule="auto"/>
              <w:ind w:left="115"/>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b/>
                <w:bCs/>
                <w:kern w:val="24"/>
                <w:sz w:val="20"/>
                <w:szCs w:val="20"/>
                <w:lang w:val="en-US" w:eastAsia="pl-PL"/>
              </w:rPr>
              <w:t>5.</w:t>
            </w:r>
          </w:p>
        </w:tc>
        <w:tc>
          <w:tcPr>
            <w:tcW w:w="0" w:type="auto"/>
            <w:shd w:val="clear" w:color="auto" w:fill="FFFFFF" w:themeFill="background1"/>
            <w:tcMar>
              <w:top w:w="15" w:type="dxa"/>
              <w:left w:w="15" w:type="dxa"/>
              <w:bottom w:w="0" w:type="dxa"/>
              <w:right w:w="15" w:type="dxa"/>
            </w:tcMar>
            <w:hideMark/>
          </w:tcPr>
          <w:p w14:paraId="3239F205" w14:textId="77777777" w:rsidR="00B022DF" w:rsidRPr="00621AA9" w:rsidRDefault="00B022DF" w:rsidP="00B022DF">
            <w:pPr>
              <w:spacing w:after="0" w:line="240" w:lineRule="auto"/>
              <w:ind w:left="115"/>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color w:val="000000"/>
                <w:kern w:val="24"/>
                <w:sz w:val="20"/>
                <w:szCs w:val="20"/>
                <w:lang w:val="en-US" w:eastAsia="pl-PL"/>
              </w:rPr>
              <w:t>Pielęgniarstwo geriatryczne</w:t>
            </w:r>
          </w:p>
        </w:tc>
        <w:tc>
          <w:tcPr>
            <w:tcW w:w="0" w:type="auto"/>
            <w:shd w:val="clear" w:color="auto" w:fill="FFFFFF" w:themeFill="background1"/>
            <w:tcMar>
              <w:top w:w="15" w:type="dxa"/>
              <w:left w:w="15" w:type="dxa"/>
              <w:bottom w:w="0" w:type="dxa"/>
              <w:right w:w="15" w:type="dxa"/>
            </w:tcMar>
            <w:hideMark/>
          </w:tcPr>
          <w:p w14:paraId="74067E42" w14:textId="77777777" w:rsidR="00B022DF" w:rsidRPr="00621AA9" w:rsidRDefault="00B022DF" w:rsidP="00B022DF">
            <w:pPr>
              <w:spacing w:after="0" w:line="240" w:lineRule="auto"/>
              <w:jc w:val="both"/>
              <w:rPr>
                <w:rFonts w:ascii="Times New Roman" w:eastAsia="Times New Roman" w:hAnsi="Times New Roman" w:cs="Times New Roman"/>
                <w:sz w:val="20"/>
                <w:szCs w:val="20"/>
                <w:lang w:eastAsia="pl-PL"/>
              </w:rPr>
            </w:pPr>
            <w:r w:rsidRPr="00621AA9">
              <w:rPr>
                <w:rFonts w:ascii="Times New Roman" w:eastAsia="Times New Roman" w:hAnsi="Times New Roman" w:cs="Times New Roman"/>
                <w:kern w:val="24"/>
                <w:sz w:val="20"/>
                <w:szCs w:val="20"/>
                <w:lang w:val="en-US" w:eastAsia="pl-PL"/>
              </w:rPr>
              <w:t>16</w:t>
            </w:r>
          </w:p>
        </w:tc>
      </w:tr>
      <w:tr w:rsidR="00B022DF" w:rsidRPr="00621AA9" w14:paraId="00EEA412" w14:textId="77777777" w:rsidTr="00B022DF">
        <w:trPr>
          <w:trHeight w:val="238"/>
          <w:jc w:val="center"/>
        </w:trPr>
        <w:tc>
          <w:tcPr>
            <w:tcW w:w="0" w:type="auto"/>
            <w:gridSpan w:val="2"/>
            <w:shd w:val="clear" w:color="auto" w:fill="9CC2E5" w:themeFill="accent1" w:themeFillTint="99"/>
            <w:tcMar>
              <w:top w:w="15" w:type="dxa"/>
              <w:left w:w="15" w:type="dxa"/>
              <w:bottom w:w="0" w:type="dxa"/>
              <w:right w:w="15" w:type="dxa"/>
            </w:tcMar>
            <w:hideMark/>
          </w:tcPr>
          <w:p w14:paraId="3CAF2BCD" w14:textId="77777777" w:rsidR="00B022DF" w:rsidRPr="00621AA9" w:rsidRDefault="00B022DF" w:rsidP="00B022DF">
            <w:pPr>
              <w:spacing w:after="0" w:line="240" w:lineRule="auto"/>
              <w:ind w:left="115"/>
              <w:jc w:val="center"/>
              <w:rPr>
                <w:rFonts w:ascii="Times New Roman" w:eastAsia="Times New Roman" w:hAnsi="Times New Roman" w:cs="Times New Roman"/>
                <w:sz w:val="20"/>
                <w:szCs w:val="20"/>
                <w:lang w:eastAsia="pl-PL"/>
              </w:rPr>
            </w:pPr>
            <w:r w:rsidRPr="00621AA9">
              <w:rPr>
                <w:rFonts w:ascii="Times New Roman" w:eastAsia="Times New Roman" w:hAnsi="Times New Roman" w:cs="Times New Roman"/>
                <w:b/>
                <w:bCs/>
                <w:kern w:val="24"/>
                <w:sz w:val="20"/>
                <w:szCs w:val="20"/>
                <w:lang w:val="en-US" w:eastAsia="pl-PL"/>
              </w:rPr>
              <w:t>Łącznie:</w:t>
            </w:r>
          </w:p>
        </w:tc>
        <w:tc>
          <w:tcPr>
            <w:tcW w:w="0" w:type="auto"/>
            <w:shd w:val="clear" w:color="auto" w:fill="9CC2E5" w:themeFill="accent1" w:themeFillTint="99"/>
            <w:tcMar>
              <w:top w:w="15" w:type="dxa"/>
              <w:left w:w="15" w:type="dxa"/>
              <w:bottom w:w="0" w:type="dxa"/>
              <w:right w:w="15" w:type="dxa"/>
            </w:tcMar>
            <w:hideMark/>
          </w:tcPr>
          <w:p w14:paraId="27303F07" w14:textId="77777777" w:rsidR="00B022DF" w:rsidRPr="00621AA9" w:rsidRDefault="00B022DF" w:rsidP="00B022DF">
            <w:pPr>
              <w:spacing w:after="0" w:line="240" w:lineRule="auto"/>
              <w:jc w:val="center"/>
              <w:rPr>
                <w:rFonts w:ascii="Times New Roman" w:eastAsia="Times New Roman" w:hAnsi="Times New Roman" w:cs="Times New Roman"/>
                <w:sz w:val="20"/>
                <w:szCs w:val="20"/>
                <w:lang w:eastAsia="pl-PL"/>
              </w:rPr>
            </w:pPr>
            <w:r w:rsidRPr="00621AA9">
              <w:rPr>
                <w:rFonts w:ascii="Times New Roman" w:eastAsia="Times New Roman" w:hAnsi="Times New Roman" w:cs="Times New Roman"/>
                <w:b/>
                <w:bCs/>
                <w:kern w:val="24"/>
                <w:sz w:val="20"/>
                <w:szCs w:val="20"/>
                <w:lang w:val="en-US" w:eastAsia="pl-PL"/>
              </w:rPr>
              <w:t>120</w:t>
            </w:r>
          </w:p>
        </w:tc>
      </w:tr>
    </w:tbl>
    <w:p w14:paraId="5E1906AD" w14:textId="77777777" w:rsidR="00B022DF" w:rsidRPr="00DE298D" w:rsidRDefault="00B022DF" w:rsidP="00B022DF">
      <w:pPr>
        <w:pStyle w:val="Tekstpodstawowy"/>
        <w:spacing w:after="0" w:line="276" w:lineRule="auto"/>
        <w:ind w:right="10"/>
        <w:jc w:val="both"/>
        <w:rPr>
          <w:rFonts w:ascii="Times New Roman" w:hAnsi="Times New Roman" w:cs="Times New Roman"/>
          <w:b/>
          <w:sz w:val="22"/>
        </w:rPr>
      </w:pPr>
      <w:r w:rsidRPr="00DE298D">
        <w:rPr>
          <w:rFonts w:ascii="Times New Roman" w:hAnsi="Times New Roman" w:cs="Times New Roman"/>
          <w:b/>
          <w:sz w:val="22"/>
        </w:rPr>
        <w:t>Opracowanie: Departament Pielęgniarek i Położnych Ministerstwa Zdrowia – na podstawie danych Centrum Kształcenia Podyplomowego Pielęgniarek i Położnych</w:t>
      </w:r>
    </w:p>
    <w:p w14:paraId="6015306D" w14:textId="77777777" w:rsidR="00B022DF" w:rsidRDefault="00B022DF" w:rsidP="00C363D3">
      <w:pPr>
        <w:pStyle w:val="Tekstpodstawowy"/>
        <w:spacing w:after="0" w:line="276" w:lineRule="auto"/>
        <w:ind w:left="141"/>
        <w:jc w:val="both"/>
        <w:rPr>
          <w:rFonts w:ascii="Times New Roman" w:eastAsia="Calibri" w:hAnsi="Times New Roman" w:cs="Times New Roman"/>
          <w:u w:val="single"/>
        </w:rPr>
      </w:pPr>
    </w:p>
    <w:p w14:paraId="5BEAA5C8" w14:textId="77777777" w:rsidR="00B90E75" w:rsidRPr="003C3947" w:rsidRDefault="00B90E75" w:rsidP="003C3947">
      <w:pPr>
        <w:pStyle w:val="Tekstpodstawowy"/>
        <w:spacing w:after="0" w:line="276" w:lineRule="auto"/>
        <w:jc w:val="both"/>
        <w:rPr>
          <w:rFonts w:ascii="Times New Roman" w:eastAsia="Calibri" w:hAnsi="Times New Roman" w:cs="Times New Roman"/>
        </w:rPr>
      </w:pPr>
      <w:r w:rsidRPr="003C3947">
        <w:rPr>
          <w:rFonts w:ascii="Times New Roman" w:eastAsia="Calibri" w:hAnsi="Times New Roman" w:cs="Times New Roman"/>
        </w:rPr>
        <w:t>W 2019 r. wysokość środków przeznaczonych na to zada</w:t>
      </w:r>
      <w:r w:rsidR="003C3947">
        <w:rPr>
          <w:rFonts w:ascii="Times New Roman" w:eastAsia="Calibri" w:hAnsi="Times New Roman" w:cs="Times New Roman"/>
        </w:rPr>
        <w:t xml:space="preserve">nie wynosiła 9 mln zł. </w:t>
      </w:r>
      <w:r w:rsidRPr="003C3947">
        <w:rPr>
          <w:rFonts w:ascii="Times New Roman" w:eastAsia="Calibri" w:hAnsi="Times New Roman" w:cs="Times New Roman"/>
        </w:rPr>
        <w:t xml:space="preserve">W 2019 r. realizowanych było </w:t>
      </w:r>
      <w:r w:rsidRPr="003C3947">
        <w:rPr>
          <w:rFonts w:ascii="Times New Roman" w:eastAsia="Calibri" w:hAnsi="Times New Roman" w:cs="Times New Roman"/>
          <w:bCs/>
        </w:rPr>
        <w:t>16 edycji szkoleń specjalizacyjnych</w:t>
      </w:r>
      <w:r w:rsidRPr="003C3947">
        <w:rPr>
          <w:rFonts w:ascii="Times New Roman" w:eastAsia="Calibri" w:hAnsi="Times New Roman" w:cs="Times New Roman"/>
        </w:rPr>
        <w:t xml:space="preserve"> </w:t>
      </w:r>
      <w:r w:rsidRPr="003C3947">
        <w:rPr>
          <w:rFonts w:ascii="Times New Roman" w:eastAsia="Calibri" w:hAnsi="Times New Roman" w:cs="Times New Roman"/>
          <w:bCs/>
        </w:rPr>
        <w:t>w dziedzinie pielęgniarstwa geriatrycznego</w:t>
      </w:r>
      <w:r w:rsidRPr="003C3947">
        <w:rPr>
          <w:rFonts w:ascii="Times New Roman" w:eastAsia="Calibri" w:hAnsi="Times New Roman" w:cs="Times New Roman"/>
        </w:rPr>
        <w:t xml:space="preserve"> dofinansowanych przez Ministra Zdrowia ze środków publicznych, w których </w:t>
      </w:r>
      <w:r w:rsidRPr="003C3947">
        <w:rPr>
          <w:rFonts w:ascii="Times New Roman" w:eastAsia="Calibri" w:hAnsi="Times New Roman" w:cs="Times New Roman"/>
          <w:bCs/>
        </w:rPr>
        <w:t>uczestniczyło</w:t>
      </w:r>
      <w:r w:rsidRPr="003C3947">
        <w:rPr>
          <w:rFonts w:ascii="Times New Roman" w:eastAsia="Calibri" w:hAnsi="Times New Roman" w:cs="Times New Roman"/>
        </w:rPr>
        <w:t xml:space="preserve"> łącznie </w:t>
      </w:r>
      <w:r w:rsidRPr="003C3947">
        <w:rPr>
          <w:rFonts w:ascii="Times New Roman" w:eastAsia="Calibri" w:hAnsi="Times New Roman" w:cs="Times New Roman"/>
          <w:bCs/>
        </w:rPr>
        <w:t>440 pielęgniarek</w:t>
      </w:r>
      <w:r w:rsidRPr="003C3947">
        <w:rPr>
          <w:rFonts w:ascii="Times New Roman" w:eastAsia="Calibri" w:hAnsi="Times New Roman" w:cs="Times New Roman"/>
        </w:rPr>
        <w:t>, w tym 11 edycji szkoleń, które rozpoczęły się w 2017 r. i 2018 r.</w:t>
      </w:r>
    </w:p>
    <w:p w14:paraId="59133179" w14:textId="2B7D9981" w:rsidR="007B47BA" w:rsidRPr="00B90E75" w:rsidRDefault="007B47BA" w:rsidP="00C363D3">
      <w:pPr>
        <w:tabs>
          <w:tab w:val="left" w:pos="5400"/>
        </w:tabs>
        <w:spacing w:after="0"/>
        <w:jc w:val="both"/>
        <w:rPr>
          <w:rFonts w:ascii="Times New Roman" w:eastAsia="Times New Roman" w:hAnsi="Times New Roman" w:cs="Times New Roman"/>
          <w:b/>
          <w:bCs/>
          <w:sz w:val="24"/>
          <w:szCs w:val="24"/>
          <w:lang w:eastAsia="pl-PL"/>
        </w:rPr>
      </w:pPr>
    </w:p>
    <w:p w14:paraId="505DD875" w14:textId="482FA758" w:rsidR="00DE298D" w:rsidRPr="00DE298D" w:rsidRDefault="00DE298D" w:rsidP="00DE298D">
      <w:pPr>
        <w:pStyle w:val="Legenda"/>
        <w:keepNext/>
        <w:jc w:val="both"/>
        <w:rPr>
          <w:rFonts w:ascii="Times New Roman" w:hAnsi="Times New Roman" w:cs="Times New Roman"/>
          <w:b/>
          <w:i w:val="0"/>
          <w:sz w:val="24"/>
        </w:rPr>
      </w:pPr>
      <w:bookmarkStart w:id="85" w:name="_Toc49171426"/>
      <w:r w:rsidRPr="00DE298D">
        <w:rPr>
          <w:rFonts w:ascii="Times New Roman" w:hAnsi="Times New Roman" w:cs="Times New Roman"/>
          <w:b/>
          <w:i w:val="0"/>
          <w:sz w:val="24"/>
        </w:rPr>
        <w:t xml:space="preserve">Tabela </w:t>
      </w:r>
      <w:r w:rsidRPr="00DE298D">
        <w:rPr>
          <w:rFonts w:ascii="Times New Roman" w:hAnsi="Times New Roman" w:cs="Times New Roman"/>
          <w:b/>
          <w:i w:val="0"/>
          <w:sz w:val="24"/>
        </w:rPr>
        <w:fldChar w:fldCharType="begin"/>
      </w:r>
      <w:r w:rsidRPr="00DE298D">
        <w:rPr>
          <w:rFonts w:ascii="Times New Roman" w:hAnsi="Times New Roman" w:cs="Times New Roman"/>
          <w:b/>
          <w:i w:val="0"/>
          <w:sz w:val="24"/>
        </w:rPr>
        <w:instrText xml:space="preserve"> SEQ Tabela \* ARABIC </w:instrText>
      </w:r>
      <w:r w:rsidRPr="00DE298D">
        <w:rPr>
          <w:rFonts w:ascii="Times New Roman" w:hAnsi="Times New Roman" w:cs="Times New Roman"/>
          <w:b/>
          <w:i w:val="0"/>
          <w:sz w:val="24"/>
        </w:rPr>
        <w:fldChar w:fldCharType="separate"/>
      </w:r>
      <w:r w:rsidR="00C154C9">
        <w:rPr>
          <w:rFonts w:ascii="Times New Roman" w:hAnsi="Times New Roman" w:cs="Times New Roman"/>
          <w:b/>
          <w:i w:val="0"/>
          <w:noProof/>
          <w:sz w:val="24"/>
        </w:rPr>
        <w:t>51</w:t>
      </w:r>
      <w:r w:rsidRPr="00DE298D">
        <w:rPr>
          <w:rFonts w:ascii="Times New Roman" w:hAnsi="Times New Roman" w:cs="Times New Roman"/>
          <w:b/>
          <w:i w:val="0"/>
          <w:sz w:val="24"/>
        </w:rPr>
        <w:fldChar w:fldCharType="end"/>
      </w:r>
      <w:r w:rsidRPr="00DE298D">
        <w:rPr>
          <w:rFonts w:ascii="Times New Roman" w:hAnsi="Times New Roman" w:cs="Times New Roman"/>
          <w:b/>
          <w:i w:val="0"/>
          <w:sz w:val="24"/>
        </w:rPr>
        <w:t xml:space="preserve"> Liczba pielęgniarek, które ukończyły kursy kwalifikacyjne w wybranych dziedzinach pielęgniarstwa</w:t>
      </w:r>
      <w:bookmarkEnd w:id="85"/>
    </w:p>
    <w:tbl>
      <w:tblPr>
        <w:tblW w:w="7220"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0" w:type="dxa"/>
          <w:right w:w="0" w:type="dxa"/>
        </w:tblCellMar>
        <w:tblLook w:val="01E0" w:firstRow="1" w:lastRow="1" w:firstColumn="1" w:lastColumn="1" w:noHBand="0" w:noVBand="0"/>
      </w:tblPr>
      <w:tblGrid>
        <w:gridCol w:w="570"/>
        <w:gridCol w:w="4415"/>
        <w:gridCol w:w="2235"/>
      </w:tblGrid>
      <w:tr w:rsidR="00B90E75" w:rsidRPr="002B7BA1" w14:paraId="05C957B3" w14:textId="77777777" w:rsidTr="002B7BA1">
        <w:trPr>
          <w:trHeight w:val="643"/>
          <w:jc w:val="center"/>
        </w:trPr>
        <w:tc>
          <w:tcPr>
            <w:tcW w:w="570" w:type="dxa"/>
            <w:shd w:val="clear" w:color="auto" w:fill="9CC2E5" w:themeFill="accent1" w:themeFillTint="99"/>
            <w:tcMar>
              <w:top w:w="15" w:type="dxa"/>
              <w:left w:w="108" w:type="dxa"/>
              <w:bottom w:w="0" w:type="dxa"/>
              <w:right w:w="108" w:type="dxa"/>
            </w:tcMar>
            <w:hideMark/>
          </w:tcPr>
          <w:p w14:paraId="3B45D0C1" w14:textId="77777777" w:rsidR="00B90E75" w:rsidRPr="002B7BA1" w:rsidRDefault="00B90E75" w:rsidP="002B7BA1">
            <w:pPr>
              <w:spacing w:after="0"/>
              <w:jc w:val="center"/>
              <w:rPr>
                <w:rFonts w:ascii="Times New Roman" w:eastAsia="Times New Roman" w:hAnsi="Times New Roman" w:cs="Times New Roman"/>
                <w:sz w:val="20"/>
                <w:szCs w:val="24"/>
                <w:lang w:eastAsia="pl-PL"/>
              </w:rPr>
            </w:pPr>
            <w:r w:rsidRPr="002B7BA1">
              <w:rPr>
                <w:rFonts w:ascii="Times New Roman" w:eastAsia="Times New Roman" w:hAnsi="Times New Roman" w:cs="Times New Roman"/>
                <w:b/>
                <w:bCs/>
                <w:kern w:val="24"/>
                <w:sz w:val="20"/>
                <w:szCs w:val="24"/>
                <w:lang w:eastAsia="pl-PL"/>
              </w:rPr>
              <w:t>Lp.</w:t>
            </w:r>
          </w:p>
        </w:tc>
        <w:tc>
          <w:tcPr>
            <w:tcW w:w="4415" w:type="dxa"/>
            <w:shd w:val="clear" w:color="auto" w:fill="9CC2E5" w:themeFill="accent1" w:themeFillTint="99"/>
            <w:tcMar>
              <w:top w:w="15" w:type="dxa"/>
              <w:left w:w="108" w:type="dxa"/>
              <w:bottom w:w="0" w:type="dxa"/>
              <w:right w:w="108" w:type="dxa"/>
            </w:tcMar>
            <w:hideMark/>
          </w:tcPr>
          <w:p w14:paraId="00664433" w14:textId="77777777" w:rsidR="00B90E75" w:rsidRPr="002B7BA1" w:rsidRDefault="00B90E75" w:rsidP="002B7BA1">
            <w:pPr>
              <w:spacing w:after="0"/>
              <w:jc w:val="center"/>
              <w:rPr>
                <w:rFonts w:ascii="Times New Roman" w:eastAsia="Times New Roman" w:hAnsi="Times New Roman" w:cs="Times New Roman"/>
                <w:sz w:val="20"/>
                <w:szCs w:val="24"/>
                <w:lang w:eastAsia="pl-PL"/>
              </w:rPr>
            </w:pPr>
            <w:r w:rsidRPr="002B7BA1">
              <w:rPr>
                <w:rFonts w:ascii="Times New Roman" w:eastAsia="Times New Roman" w:hAnsi="Times New Roman" w:cs="Times New Roman"/>
                <w:b/>
                <w:bCs/>
                <w:kern w:val="24"/>
                <w:sz w:val="20"/>
                <w:szCs w:val="24"/>
                <w:lang w:eastAsia="pl-PL"/>
              </w:rPr>
              <w:t>Dziedzina kursu kwalifikacyjnego</w:t>
            </w:r>
          </w:p>
        </w:tc>
        <w:tc>
          <w:tcPr>
            <w:tcW w:w="2235" w:type="dxa"/>
            <w:shd w:val="clear" w:color="auto" w:fill="9CC2E5" w:themeFill="accent1" w:themeFillTint="99"/>
            <w:tcMar>
              <w:top w:w="15" w:type="dxa"/>
              <w:left w:w="108" w:type="dxa"/>
              <w:bottom w:w="0" w:type="dxa"/>
              <w:right w:w="108" w:type="dxa"/>
            </w:tcMar>
            <w:hideMark/>
          </w:tcPr>
          <w:p w14:paraId="6E5301F6" w14:textId="77777777" w:rsidR="00B90E75" w:rsidRPr="002B7BA1" w:rsidRDefault="00B90E75" w:rsidP="002B7BA1">
            <w:pPr>
              <w:spacing w:after="0"/>
              <w:jc w:val="center"/>
              <w:rPr>
                <w:rFonts w:ascii="Times New Roman" w:eastAsia="Times New Roman" w:hAnsi="Times New Roman" w:cs="Times New Roman"/>
                <w:sz w:val="20"/>
                <w:szCs w:val="24"/>
                <w:lang w:eastAsia="pl-PL"/>
              </w:rPr>
            </w:pPr>
            <w:r w:rsidRPr="002B7BA1">
              <w:rPr>
                <w:rFonts w:ascii="Times New Roman" w:eastAsia="Times New Roman" w:hAnsi="Times New Roman" w:cs="Times New Roman"/>
                <w:b/>
                <w:bCs/>
                <w:kern w:val="24"/>
                <w:sz w:val="20"/>
                <w:szCs w:val="24"/>
                <w:lang w:eastAsia="pl-PL"/>
              </w:rPr>
              <w:t>Łącznie</w:t>
            </w:r>
          </w:p>
          <w:p w14:paraId="017F255F" w14:textId="77777777" w:rsidR="00B90E75" w:rsidRPr="002B7BA1" w:rsidRDefault="00B90E75" w:rsidP="002B7BA1">
            <w:pPr>
              <w:spacing w:after="0"/>
              <w:jc w:val="center"/>
              <w:rPr>
                <w:rFonts w:ascii="Times New Roman" w:eastAsia="Times New Roman" w:hAnsi="Times New Roman" w:cs="Times New Roman"/>
                <w:sz w:val="20"/>
                <w:szCs w:val="24"/>
                <w:lang w:eastAsia="pl-PL"/>
              </w:rPr>
            </w:pPr>
            <w:r w:rsidRPr="002B7BA1">
              <w:rPr>
                <w:rFonts w:ascii="Times New Roman" w:eastAsia="Times New Roman" w:hAnsi="Times New Roman" w:cs="Times New Roman"/>
                <w:kern w:val="24"/>
                <w:sz w:val="20"/>
                <w:szCs w:val="24"/>
                <w:lang w:eastAsia="pl-PL"/>
              </w:rPr>
              <w:t>(stan na 31.12.2019 r.)</w:t>
            </w:r>
          </w:p>
        </w:tc>
      </w:tr>
      <w:tr w:rsidR="00B90E75" w:rsidRPr="002B7BA1" w14:paraId="184E3C2E" w14:textId="77777777" w:rsidTr="002B7BA1">
        <w:trPr>
          <w:trHeight w:val="331"/>
          <w:jc w:val="center"/>
        </w:trPr>
        <w:tc>
          <w:tcPr>
            <w:tcW w:w="570" w:type="dxa"/>
            <w:shd w:val="clear" w:color="auto" w:fill="9CC2E5" w:themeFill="accent1" w:themeFillTint="99"/>
            <w:tcMar>
              <w:top w:w="15" w:type="dxa"/>
              <w:left w:w="108" w:type="dxa"/>
              <w:bottom w:w="0" w:type="dxa"/>
              <w:right w:w="108" w:type="dxa"/>
            </w:tcMar>
            <w:hideMark/>
          </w:tcPr>
          <w:p w14:paraId="18362B9F"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b/>
                <w:bCs/>
                <w:kern w:val="24"/>
                <w:sz w:val="20"/>
                <w:szCs w:val="24"/>
                <w:lang w:eastAsia="pl-PL"/>
              </w:rPr>
              <w:t>1.</w:t>
            </w:r>
          </w:p>
        </w:tc>
        <w:tc>
          <w:tcPr>
            <w:tcW w:w="4415" w:type="dxa"/>
            <w:shd w:val="clear" w:color="auto" w:fill="FFFFFF" w:themeFill="background1"/>
            <w:tcMar>
              <w:top w:w="15" w:type="dxa"/>
              <w:left w:w="108" w:type="dxa"/>
              <w:bottom w:w="0" w:type="dxa"/>
              <w:right w:w="108" w:type="dxa"/>
            </w:tcMar>
            <w:hideMark/>
          </w:tcPr>
          <w:p w14:paraId="71343D92"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color w:val="000000"/>
                <w:kern w:val="24"/>
                <w:sz w:val="20"/>
                <w:szCs w:val="24"/>
                <w:lang w:eastAsia="pl-PL"/>
              </w:rPr>
              <w:t>Pielęgniarstwo rodzinne dla pielęgniarek</w:t>
            </w:r>
          </w:p>
        </w:tc>
        <w:tc>
          <w:tcPr>
            <w:tcW w:w="2235" w:type="dxa"/>
            <w:shd w:val="clear" w:color="auto" w:fill="FFFFFF" w:themeFill="background1"/>
            <w:tcMar>
              <w:top w:w="15" w:type="dxa"/>
              <w:left w:w="108" w:type="dxa"/>
              <w:bottom w:w="0" w:type="dxa"/>
              <w:right w:w="108" w:type="dxa"/>
            </w:tcMar>
            <w:hideMark/>
          </w:tcPr>
          <w:p w14:paraId="7C2AFD8E"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kern w:val="24"/>
                <w:sz w:val="20"/>
                <w:szCs w:val="24"/>
                <w:lang w:eastAsia="pl-PL"/>
              </w:rPr>
              <w:t>38 476</w:t>
            </w:r>
          </w:p>
        </w:tc>
      </w:tr>
      <w:tr w:rsidR="00B90E75" w:rsidRPr="002B7BA1" w14:paraId="4ED799FA" w14:textId="77777777" w:rsidTr="002B7BA1">
        <w:trPr>
          <w:trHeight w:val="179"/>
          <w:jc w:val="center"/>
        </w:trPr>
        <w:tc>
          <w:tcPr>
            <w:tcW w:w="570" w:type="dxa"/>
            <w:shd w:val="clear" w:color="auto" w:fill="9CC2E5" w:themeFill="accent1" w:themeFillTint="99"/>
            <w:tcMar>
              <w:top w:w="15" w:type="dxa"/>
              <w:left w:w="108" w:type="dxa"/>
              <w:bottom w:w="0" w:type="dxa"/>
              <w:right w:w="108" w:type="dxa"/>
            </w:tcMar>
            <w:hideMark/>
          </w:tcPr>
          <w:p w14:paraId="0C67737A"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b/>
                <w:bCs/>
                <w:kern w:val="24"/>
                <w:sz w:val="20"/>
                <w:szCs w:val="24"/>
                <w:lang w:eastAsia="pl-PL"/>
              </w:rPr>
              <w:t>2.</w:t>
            </w:r>
          </w:p>
        </w:tc>
        <w:tc>
          <w:tcPr>
            <w:tcW w:w="4415" w:type="dxa"/>
            <w:shd w:val="clear" w:color="auto" w:fill="FFFFFF" w:themeFill="background1"/>
            <w:tcMar>
              <w:top w:w="15" w:type="dxa"/>
              <w:left w:w="108" w:type="dxa"/>
              <w:bottom w:w="0" w:type="dxa"/>
              <w:right w:w="108" w:type="dxa"/>
            </w:tcMar>
            <w:hideMark/>
          </w:tcPr>
          <w:p w14:paraId="77C5BCB9"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color w:val="000000"/>
                <w:kern w:val="24"/>
                <w:sz w:val="20"/>
                <w:szCs w:val="24"/>
                <w:lang w:eastAsia="pl-PL"/>
              </w:rPr>
              <w:t>Pielęgniarstwo opieki długoterminowej</w:t>
            </w:r>
          </w:p>
        </w:tc>
        <w:tc>
          <w:tcPr>
            <w:tcW w:w="2235" w:type="dxa"/>
            <w:shd w:val="clear" w:color="auto" w:fill="FFFFFF" w:themeFill="background1"/>
            <w:tcMar>
              <w:top w:w="15" w:type="dxa"/>
              <w:left w:w="108" w:type="dxa"/>
              <w:bottom w:w="0" w:type="dxa"/>
              <w:right w:w="108" w:type="dxa"/>
            </w:tcMar>
            <w:hideMark/>
          </w:tcPr>
          <w:p w14:paraId="77E60841"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kern w:val="24"/>
                <w:sz w:val="20"/>
                <w:szCs w:val="24"/>
                <w:lang w:eastAsia="pl-PL"/>
              </w:rPr>
              <w:t>18 663</w:t>
            </w:r>
          </w:p>
        </w:tc>
      </w:tr>
      <w:tr w:rsidR="00B90E75" w:rsidRPr="002B7BA1" w14:paraId="68C1293A" w14:textId="77777777" w:rsidTr="002B7BA1">
        <w:trPr>
          <w:trHeight w:val="45"/>
          <w:jc w:val="center"/>
        </w:trPr>
        <w:tc>
          <w:tcPr>
            <w:tcW w:w="570" w:type="dxa"/>
            <w:shd w:val="clear" w:color="auto" w:fill="9CC2E5" w:themeFill="accent1" w:themeFillTint="99"/>
            <w:tcMar>
              <w:top w:w="15" w:type="dxa"/>
              <w:left w:w="108" w:type="dxa"/>
              <w:bottom w:w="0" w:type="dxa"/>
              <w:right w:w="108" w:type="dxa"/>
            </w:tcMar>
            <w:hideMark/>
          </w:tcPr>
          <w:p w14:paraId="403AE91B"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b/>
                <w:bCs/>
                <w:kern w:val="24"/>
                <w:sz w:val="20"/>
                <w:szCs w:val="24"/>
                <w:lang w:eastAsia="pl-PL"/>
              </w:rPr>
              <w:t>3.</w:t>
            </w:r>
          </w:p>
        </w:tc>
        <w:tc>
          <w:tcPr>
            <w:tcW w:w="4415" w:type="dxa"/>
            <w:shd w:val="clear" w:color="auto" w:fill="FFFFFF" w:themeFill="background1"/>
            <w:tcMar>
              <w:top w:w="15" w:type="dxa"/>
              <w:left w:w="108" w:type="dxa"/>
              <w:bottom w:w="0" w:type="dxa"/>
              <w:right w:w="108" w:type="dxa"/>
            </w:tcMar>
            <w:hideMark/>
          </w:tcPr>
          <w:p w14:paraId="2F0D901E"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color w:val="000000"/>
                <w:kern w:val="24"/>
                <w:sz w:val="20"/>
                <w:szCs w:val="24"/>
                <w:lang w:eastAsia="pl-PL"/>
              </w:rPr>
              <w:t>Pielęgniarstwo opieki paliatywnej</w:t>
            </w:r>
          </w:p>
        </w:tc>
        <w:tc>
          <w:tcPr>
            <w:tcW w:w="2235" w:type="dxa"/>
            <w:shd w:val="clear" w:color="auto" w:fill="FFFFFF" w:themeFill="background1"/>
            <w:tcMar>
              <w:top w:w="15" w:type="dxa"/>
              <w:left w:w="108" w:type="dxa"/>
              <w:bottom w:w="0" w:type="dxa"/>
              <w:right w:w="108" w:type="dxa"/>
            </w:tcMar>
            <w:hideMark/>
          </w:tcPr>
          <w:p w14:paraId="365EAA89"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kern w:val="24"/>
                <w:sz w:val="20"/>
                <w:szCs w:val="24"/>
                <w:lang w:eastAsia="pl-PL"/>
              </w:rPr>
              <w:t>5 149</w:t>
            </w:r>
          </w:p>
        </w:tc>
      </w:tr>
      <w:tr w:rsidR="00B90E75" w:rsidRPr="002B7BA1" w14:paraId="2DF53DBC" w14:textId="77777777" w:rsidTr="002B7BA1">
        <w:trPr>
          <w:trHeight w:val="45"/>
          <w:jc w:val="center"/>
        </w:trPr>
        <w:tc>
          <w:tcPr>
            <w:tcW w:w="570" w:type="dxa"/>
            <w:shd w:val="clear" w:color="auto" w:fill="9CC2E5" w:themeFill="accent1" w:themeFillTint="99"/>
            <w:tcMar>
              <w:top w:w="15" w:type="dxa"/>
              <w:left w:w="108" w:type="dxa"/>
              <w:bottom w:w="0" w:type="dxa"/>
              <w:right w:w="108" w:type="dxa"/>
            </w:tcMar>
            <w:hideMark/>
          </w:tcPr>
          <w:p w14:paraId="55577FA5"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b/>
                <w:bCs/>
                <w:kern w:val="24"/>
                <w:sz w:val="20"/>
                <w:szCs w:val="24"/>
                <w:lang w:eastAsia="pl-PL"/>
              </w:rPr>
              <w:t>4.</w:t>
            </w:r>
          </w:p>
        </w:tc>
        <w:tc>
          <w:tcPr>
            <w:tcW w:w="4415" w:type="dxa"/>
            <w:shd w:val="clear" w:color="auto" w:fill="FFFFFF" w:themeFill="background1"/>
            <w:tcMar>
              <w:top w:w="15" w:type="dxa"/>
              <w:left w:w="108" w:type="dxa"/>
              <w:bottom w:w="0" w:type="dxa"/>
              <w:right w:w="108" w:type="dxa"/>
            </w:tcMar>
            <w:hideMark/>
          </w:tcPr>
          <w:p w14:paraId="18C8B429"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color w:val="000000"/>
                <w:kern w:val="24"/>
                <w:sz w:val="20"/>
                <w:szCs w:val="24"/>
                <w:lang w:eastAsia="pl-PL"/>
              </w:rPr>
              <w:t>Pielęgniarstwo zachowawcze/internistyczne</w:t>
            </w:r>
          </w:p>
        </w:tc>
        <w:tc>
          <w:tcPr>
            <w:tcW w:w="2235" w:type="dxa"/>
            <w:shd w:val="clear" w:color="auto" w:fill="FFFFFF" w:themeFill="background1"/>
            <w:tcMar>
              <w:top w:w="15" w:type="dxa"/>
              <w:left w:w="108" w:type="dxa"/>
              <w:bottom w:w="0" w:type="dxa"/>
              <w:right w:w="108" w:type="dxa"/>
            </w:tcMar>
            <w:hideMark/>
          </w:tcPr>
          <w:p w14:paraId="66B44CDA"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kern w:val="24"/>
                <w:sz w:val="20"/>
                <w:szCs w:val="24"/>
                <w:lang w:eastAsia="pl-PL"/>
              </w:rPr>
              <w:t>3 879</w:t>
            </w:r>
          </w:p>
        </w:tc>
      </w:tr>
      <w:tr w:rsidR="00B90E75" w:rsidRPr="002B7BA1" w14:paraId="2E011C5F" w14:textId="77777777" w:rsidTr="002B7BA1">
        <w:trPr>
          <w:trHeight w:val="45"/>
          <w:jc w:val="center"/>
        </w:trPr>
        <w:tc>
          <w:tcPr>
            <w:tcW w:w="570" w:type="dxa"/>
            <w:shd w:val="clear" w:color="auto" w:fill="9CC2E5" w:themeFill="accent1" w:themeFillTint="99"/>
            <w:tcMar>
              <w:top w:w="15" w:type="dxa"/>
              <w:left w:w="108" w:type="dxa"/>
              <w:bottom w:w="0" w:type="dxa"/>
              <w:right w:w="108" w:type="dxa"/>
            </w:tcMar>
            <w:hideMark/>
          </w:tcPr>
          <w:p w14:paraId="344E1669"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b/>
                <w:bCs/>
                <w:kern w:val="24"/>
                <w:sz w:val="20"/>
                <w:szCs w:val="24"/>
                <w:lang w:eastAsia="pl-PL"/>
              </w:rPr>
              <w:t>5.</w:t>
            </w:r>
          </w:p>
        </w:tc>
        <w:tc>
          <w:tcPr>
            <w:tcW w:w="4415" w:type="dxa"/>
            <w:shd w:val="clear" w:color="auto" w:fill="FFFFFF" w:themeFill="background1"/>
            <w:tcMar>
              <w:top w:w="15" w:type="dxa"/>
              <w:left w:w="108" w:type="dxa"/>
              <w:bottom w:w="0" w:type="dxa"/>
              <w:right w:w="108" w:type="dxa"/>
            </w:tcMar>
            <w:hideMark/>
          </w:tcPr>
          <w:p w14:paraId="32BE8E11"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color w:val="000000"/>
                <w:kern w:val="24"/>
                <w:sz w:val="20"/>
                <w:szCs w:val="24"/>
                <w:lang w:eastAsia="pl-PL"/>
              </w:rPr>
              <w:t>Pielęgniarstwo geriatryczne</w:t>
            </w:r>
          </w:p>
        </w:tc>
        <w:tc>
          <w:tcPr>
            <w:tcW w:w="2235" w:type="dxa"/>
            <w:shd w:val="clear" w:color="auto" w:fill="FFFFFF" w:themeFill="background1"/>
            <w:tcMar>
              <w:top w:w="15" w:type="dxa"/>
              <w:left w:w="108" w:type="dxa"/>
              <w:bottom w:w="0" w:type="dxa"/>
              <w:right w:w="108" w:type="dxa"/>
            </w:tcMar>
            <w:hideMark/>
          </w:tcPr>
          <w:p w14:paraId="535CE66F" w14:textId="77777777" w:rsidR="00B90E75" w:rsidRPr="002B7BA1" w:rsidRDefault="00B90E75" w:rsidP="00C363D3">
            <w:pPr>
              <w:spacing w:after="0"/>
              <w:jc w:val="both"/>
              <w:rPr>
                <w:rFonts w:ascii="Times New Roman" w:eastAsia="Times New Roman" w:hAnsi="Times New Roman" w:cs="Times New Roman"/>
                <w:sz w:val="20"/>
                <w:szCs w:val="24"/>
                <w:lang w:eastAsia="pl-PL"/>
              </w:rPr>
            </w:pPr>
            <w:r w:rsidRPr="002B7BA1">
              <w:rPr>
                <w:rFonts w:ascii="Times New Roman" w:eastAsia="Times New Roman" w:hAnsi="Times New Roman" w:cs="Times New Roman"/>
                <w:kern w:val="24"/>
                <w:sz w:val="20"/>
                <w:szCs w:val="24"/>
                <w:lang w:eastAsia="pl-PL"/>
              </w:rPr>
              <w:t>1 542</w:t>
            </w:r>
          </w:p>
        </w:tc>
      </w:tr>
      <w:tr w:rsidR="00B90E75" w:rsidRPr="002B7BA1" w14:paraId="06315FB2" w14:textId="77777777" w:rsidTr="004E6514">
        <w:trPr>
          <w:trHeight w:val="288"/>
          <w:jc w:val="center"/>
        </w:trPr>
        <w:tc>
          <w:tcPr>
            <w:tcW w:w="4985" w:type="dxa"/>
            <w:gridSpan w:val="2"/>
            <w:shd w:val="clear" w:color="auto" w:fill="9CC2E5" w:themeFill="accent1" w:themeFillTint="99"/>
            <w:tcMar>
              <w:top w:w="15" w:type="dxa"/>
              <w:left w:w="108" w:type="dxa"/>
              <w:bottom w:w="0" w:type="dxa"/>
              <w:right w:w="108" w:type="dxa"/>
            </w:tcMar>
            <w:hideMark/>
          </w:tcPr>
          <w:p w14:paraId="7BAA3F80" w14:textId="77777777" w:rsidR="00B90E75" w:rsidRPr="002B7BA1" w:rsidRDefault="00B90E75" w:rsidP="002B7BA1">
            <w:pPr>
              <w:spacing w:after="0"/>
              <w:jc w:val="center"/>
              <w:rPr>
                <w:rFonts w:ascii="Times New Roman" w:eastAsia="Times New Roman" w:hAnsi="Times New Roman" w:cs="Times New Roman"/>
                <w:sz w:val="20"/>
                <w:szCs w:val="24"/>
                <w:lang w:eastAsia="pl-PL"/>
              </w:rPr>
            </w:pPr>
            <w:r w:rsidRPr="002B7BA1">
              <w:rPr>
                <w:rFonts w:ascii="Times New Roman" w:eastAsia="Times New Roman" w:hAnsi="Times New Roman" w:cs="Times New Roman"/>
                <w:b/>
                <w:bCs/>
                <w:kern w:val="24"/>
                <w:sz w:val="20"/>
                <w:szCs w:val="24"/>
                <w:lang w:eastAsia="pl-PL"/>
              </w:rPr>
              <w:t>Łącznie</w:t>
            </w:r>
          </w:p>
        </w:tc>
        <w:tc>
          <w:tcPr>
            <w:tcW w:w="2235" w:type="dxa"/>
            <w:shd w:val="clear" w:color="auto" w:fill="9CC2E5" w:themeFill="accent1" w:themeFillTint="99"/>
            <w:tcMar>
              <w:top w:w="15" w:type="dxa"/>
              <w:left w:w="108" w:type="dxa"/>
              <w:bottom w:w="0" w:type="dxa"/>
              <w:right w:w="108" w:type="dxa"/>
            </w:tcMar>
            <w:hideMark/>
          </w:tcPr>
          <w:p w14:paraId="4D530D48" w14:textId="77777777" w:rsidR="00B90E75" w:rsidRPr="002B7BA1" w:rsidRDefault="00B90E75" w:rsidP="002B7BA1">
            <w:pPr>
              <w:spacing w:after="0"/>
              <w:jc w:val="center"/>
              <w:rPr>
                <w:rFonts w:ascii="Times New Roman" w:eastAsia="Times New Roman" w:hAnsi="Times New Roman" w:cs="Times New Roman"/>
                <w:b/>
                <w:bCs/>
                <w:sz w:val="20"/>
                <w:szCs w:val="24"/>
                <w:lang w:eastAsia="pl-PL"/>
              </w:rPr>
            </w:pPr>
            <w:r w:rsidRPr="002B7BA1">
              <w:rPr>
                <w:rFonts w:ascii="Times New Roman" w:eastAsia="Times New Roman" w:hAnsi="Times New Roman" w:cs="Times New Roman"/>
                <w:b/>
                <w:bCs/>
                <w:kern w:val="24"/>
                <w:sz w:val="20"/>
                <w:szCs w:val="24"/>
                <w:lang w:eastAsia="pl-PL"/>
              </w:rPr>
              <w:t>67 709</w:t>
            </w:r>
          </w:p>
        </w:tc>
      </w:tr>
    </w:tbl>
    <w:p w14:paraId="2F30EFA7" w14:textId="11585C50" w:rsidR="00B90E75" w:rsidRDefault="00B90E75" w:rsidP="00C363D3">
      <w:pPr>
        <w:spacing w:after="0"/>
        <w:contextualSpacing/>
        <w:jc w:val="both"/>
        <w:rPr>
          <w:rFonts w:ascii="Times New Roman" w:eastAsia="Calibri" w:hAnsi="Times New Roman" w:cs="Times New Roman"/>
          <w:b/>
          <w:szCs w:val="24"/>
        </w:rPr>
      </w:pPr>
      <w:r w:rsidRPr="00DE298D">
        <w:rPr>
          <w:rFonts w:ascii="Times New Roman" w:eastAsia="Calibri" w:hAnsi="Times New Roman" w:cs="Times New Roman"/>
          <w:b/>
          <w:szCs w:val="24"/>
        </w:rPr>
        <w:t>Opracowanie: Departament Pielęgniarek i Położnych Ministerstwa Zdrowia – na podstawie danych Centrum Kształcenia Podyplomowego Pielęgniarek i Położnych</w:t>
      </w:r>
    </w:p>
    <w:p w14:paraId="424C7F1E" w14:textId="77777777" w:rsidR="004E6514" w:rsidRDefault="004E6514" w:rsidP="004E6514">
      <w:pPr>
        <w:spacing w:after="0"/>
        <w:contextualSpacing/>
        <w:jc w:val="both"/>
        <w:rPr>
          <w:rFonts w:ascii="Times New Roman" w:eastAsia="Calibri" w:hAnsi="Times New Roman" w:cs="Times New Roman"/>
          <w:sz w:val="24"/>
          <w:szCs w:val="24"/>
        </w:rPr>
      </w:pPr>
    </w:p>
    <w:p w14:paraId="0E1E72CC" w14:textId="00DD3BD1" w:rsidR="004E6514" w:rsidRDefault="004E6514" w:rsidP="004E6514">
      <w:pPr>
        <w:spacing w:after="0"/>
        <w:contextualSpacing/>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Z przedstawionych danych wynika, że 122 778 pielęgniarek podniosło swoje kwalifikacje zawodowe uczestnicząc w różnych formach kształcenia podyplomowego w dziedzinach/ zakresach przydatnych do realizacji świadczeń zdrowotnych na rzecz osób starszych.</w:t>
      </w:r>
    </w:p>
    <w:p w14:paraId="05DA1B0B" w14:textId="77777777" w:rsidR="004E6514" w:rsidRPr="00DE298D" w:rsidRDefault="004E6514" w:rsidP="00C363D3">
      <w:pPr>
        <w:spacing w:after="0"/>
        <w:contextualSpacing/>
        <w:jc w:val="both"/>
        <w:rPr>
          <w:rFonts w:ascii="Times New Roman" w:eastAsia="Calibri" w:hAnsi="Times New Roman" w:cs="Times New Roman"/>
          <w:b/>
          <w:szCs w:val="24"/>
        </w:rPr>
      </w:pPr>
    </w:p>
    <w:p w14:paraId="0366B828" w14:textId="3F25D73D" w:rsidR="00DE298D" w:rsidRPr="00DE298D" w:rsidRDefault="00DE298D" w:rsidP="00DE298D">
      <w:pPr>
        <w:pStyle w:val="Legenda"/>
        <w:keepNext/>
        <w:jc w:val="both"/>
        <w:rPr>
          <w:rFonts w:ascii="Times New Roman" w:hAnsi="Times New Roman" w:cs="Times New Roman"/>
          <w:b/>
          <w:i w:val="0"/>
          <w:sz w:val="24"/>
        </w:rPr>
      </w:pPr>
      <w:bookmarkStart w:id="86" w:name="_Toc49171427"/>
      <w:r w:rsidRPr="00DE298D">
        <w:rPr>
          <w:rFonts w:ascii="Times New Roman" w:hAnsi="Times New Roman" w:cs="Times New Roman"/>
          <w:b/>
          <w:i w:val="0"/>
          <w:sz w:val="24"/>
        </w:rPr>
        <w:t xml:space="preserve">Tabela </w:t>
      </w:r>
      <w:r w:rsidRPr="00DE298D">
        <w:rPr>
          <w:rFonts w:ascii="Times New Roman" w:hAnsi="Times New Roman" w:cs="Times New Roman"/>
          <w:b/>
          <w:i w:val="0"/>
          <w:sz w:val="24"/>
        </w:rPr>
        <w:fldChar w:fldCharType="begin"/>
      </w:r>
      <w:r w:rsidRPr="00DE298D">
        <w:rPr>
          <w:rFonts w:ascii="Times New Roman" w:hAnsi="Times New Roman" w:cs="Times New Roman"/>
          <w:b/>
          <w:i w:val="0"/>
          <w:sz w:val="24"/>
        </w:rPr>
        <w:instrText xml:space="preserve"> SEQ Tabela \* ARABIC </w:instrText>
      </w:r>
      <w:r w:rsidRPr="00DE298D">
        <w:rPr>
          <w:rFonts w:ascii="Times New Roman" w:hAnsi="Times New Roman" w:cs="Times New Roman"/>
          <w:b/>
          <w:i w:val="0"/>
          <w:sz w:val="24"/>
        </w:rPr>
        <w:fldChar w:fldCharType="separate"/>
      </w:r>
      <w:r w:rsidR="00C154C9">
        <w:rPr>
          <w:rFonts w:ascii="Times New Roman" w:hAnsi="Times New Roman" w:cs="Times New Roman"/>
          <w:b/>
          <w:i w:val="0"/>
          <w:noProof/>
          <w:sz w:val="24"/>
        </w:rPr>
        <w:t>52</w:t>
      </w:r>
      <w:r w:rsidRPr="00DE298D">
        <w:rPr>
          <w:rFonts w:ascii="Times New Roman" w:hAnsi="Times New Roman" w:cs="Times New Roman"/>
          <w:b/>
          <w:i w:val="0"/>
          <w:sz w:val="24"/>
        </w:rPr>
        <w:fldChar w:fldCharType="end"/>
      </w:r>
      <w:r w:rsidRPr="00DE298D">
        <w:rPr>
          <w:rFonts w:ascii="Times New Roman" w:hAnsi="Times New Roman" w:cs="Times New Roman"/>
          <w:b/>
          <w:i w:val="0"/>
          <w:sz w:val="24"/>
        </w:rPr>
        <w:t xml:space="preserve"> Liczba pielęgniarek, które ukończyły kursy specjalistyczne w wybranych zakresach pielęgniarstwa</w:t>
      </w:r>
      <w:bookmarkEnd w:id="86"/>
    </w:p>
    <w:tbl>
      <w:tblPr>
        <w:tblW w:w="8212"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0" w:type="dxa"/>
          <w:right w:w="0" w:type="dxa"/>
        </w:tblCellMar>
        <w:tblLook w:val="01E0" w:firstRow="1" w:lastRow="1" w:firstColumn="1" w:lastColumn="1" w:noHBand="0" w:noVBand="0"/>
      </w:tblPr>
      <w:tblGrid>
        <w:gridCol w:w="832"/>
        <w:gridCol w:w="5220"/>
        <w:gridCol w:w="2160"/>
      </w:tblGrid>
      <w:tr w:rsidR="00B90E75" w:rsidRPr="00A11C75" w14:paraId="7C63DC2B" w14:textId="77777777" w:rsidTr="00A11C75">
        <w:trPr>
          <w:trHeight w:val="678"/>
          <w:jc w:val="center"/>
        </w:trPr>
        <w:tc>
          <w:tcPr>
            <w:tcW w:w="832" w:type="dxa"/>
            <w:shd w:val="clear" w:color="auto" w:fill="9CC2E5" w:themeFill="accent1" w:themeFillTint="99"/>
            <w:tcMar>
              <w:top w:w="15" w:type="dxa"/>
              <w:left w:w="108" w:type="dxa"/>
              <w:bottom w:w="0" w:type="dxa"/>
              <w:right w:w="108" w:type="dxa"/>
            </w:tcMar>
            <w:vAlign w:val="center"/>
            <w:hideMark/>
          </w:tcPr>
          <w:p w14:paraId="16B38BE2" w14:textId="77777777" w:rsidR="00B90E75" w:rsidRPr="00A11C75" w:rsidRDefault="00B90E75" w:rsidP="00A11C75">
            <w:pPr>
              <w:spacing w:after="0"/>
              <w:jc w:val="center"/>
              <w:rPr>
                <w:rFonts w:ascii="Times New Roman" w:eastAsia="Times New Roman" w:hAnsi="Times New Roman" w:cs="Times New Roman"/>
                <w:sz w:val="20"/>
                <w:szCs w:val="20"/>
                <w:lang w:eastAsia="pl-PL"/>
              </w:rPr>
            </w:pPr>
            <w:r w:rsidRPr="00A11C75">
              <w:rPr>
                <w:rFonts w:ascii="Times New Roman" w:eastAsia="Times New Roman" w:hAnsi="Times New Roman" w:cs="Times New Roman"/>
                <w:b/>
                <w:bCs/>
                <w:kern w:val="24"/>
                <w:sz w:val="20"/>
                <w:szCs w:val="20"/>
                <w:lang w:eastAsia="pl-PL"/>
              </w:rPr>
              <w:t>Lp.</w:t>
            </w:r>
          </w:p>
        </w:tc>
        <w:tc>
          <w:tcPr>
            <w:tcW w:w="5220" w:type="dxa"/>
            <w:shd w:val="clear" w:color="auto" w:fill="9CC2E5" w:themeFill="accent1" w:themeFillTint="99"/>
            <w:tcMar>
              <w:top w:w="15" w:type="dxa"/>
              <w:left w:w="108" w:type="dxa"/>
              <w:bottom w:w="0" w:type="dxa"/>
              <w:right w:w="108" w:type="dxa"/>
            </w:tcMar>
            <w:vAlign w:val="center"/>
            <w:hideMark/>
          </w:tcPr>
          <w:p w14:paraId="010A1D2B" w14:textId="77777777" w:rsidR="00B90E75" w:rsidRPr="00A11C75" w:rsidRDefault="00B90E75" w:rsidP="00A11C75">
            <w:pPr>
              <w:spacing w:after="0"/>
              <w:jc w:val="center"/>
              <w:rPr>
                <w:rFonts w:ascii="Times New Roman" w:eastAsia="Times New Roman" w:hAnsi="Times New Roman" w:cs="Times New Roman"/>
                <w:sz w:val="20"/>
                <w:szCs w:val="20"/>
                <w:lang w:eastAsia="pl-PL"/>
              </w:rPr>
            </w:pPr>
            <w:r w:rsidRPr="00A11C75">
              <w:rPr>
                <w:rFonts w:ascii="Times New Roman" w:eastAsia="Times New Roman" w:hAnsi="Times New Roman" w:cs="Times New Roman"/>
                <w:b/>
                <w:bCs/>
                <w:kern w:val="24"/>
                <w:sz w:val="20"/>
                <w:szCs w:val="20"/>
                <w:lang w:eastAsia="pl-PL"/>
              </w:rPr>
              <w:t>Dziedzina kursu specjalistycznego</w:t>
            </w:r>
          </w:p>
        </w:tc>
        <w:tc>
          <w:tcPr>
            <w:tcW w:w="2160" w:type="dxa"/>
            <w:shd w:val="clear" w:color="auto" w:fill="9CC2E5" w:themeFill="accent1" w:themeFillTint="99"/>
            <w:tcMar>
              <w:top w:w="15" w:type="dxa"/>
              <w:left w:w="108" w:type="dxa"/>
              <w:bottom w:w="0" w:type="dxa"/>
              <w:right w:w="108" w:type="dxa"/>
            </w:tcMar>
            <w:hideMark/>
          </w:tcPr>
          <w:p w14:paraId="7C0DB9B5" w14:textId="77777777" w:rsidR="00B90E75" w:rsidRPr="00A11C75" w:rsidRDefault="00B90E75" w:rsidP="00A11C75">
            <w:pPr>
              <w:spacing w:after="0"/>
              <w:jc w:val="center"/>
              <w:rPr>
                <w:rFonts w:ascii="Times New Roman" w:eastAsia="Times New Roman" w:hAnsi="Times New Roman" w:cs="Times New Roman"/>
                <w:sz w:val="20"/>
                <w:szCs w:val="20"/>
                <w:lang w:eastAsia="pl-PL"/>
              </w:rPr>
            </w:pPr>
            <w:r w:rsidRPr="00A11C75">
              <w:rPr>
                <w:rFonts w:ascii="Times New Roman" w:eastAsia="Times New Roman" w:hAnsi="Times New Roman" w:cs="Times New Roman"/>
                <w:b/>
                <w:bCs/>
                <w:kern w:val="24"/>
                <w:sz w:val="20"/>
                <w:szCs w:val="20"/>
                <w:lang w:eastAsia="pl-PL"/>
              </w:rPr>
              <w:t>Łącznie</w:t>
            </w:r>
          </w:p>
          <w:p w14:paraId="359A52B6" w14:textId="77777777" w:rsidR="00B90E75" w:rsidRPr="00A11C75" w:rsidRDefault="00B90E75" w:rsidP="00A11C75">
            <w:pPr>
              <w:spacing w:after="0"/>
              <w:jc w:val="center"/>
              <w:rPr>
                <w:rFonts w:ascii="Times New Roman" w:eastAsia="Times New Roman" w:hAnsi="Times New Roman" w:cs="Times New Roman"/>
                <w:sz w:val="20"/>
                <w:szCs w:val="20"/>
                <w:lang w:eastAsia="pl-PL"/>
              </w:rPr>
            </w:pPr>
            <w:r w:rsidRPr="00A11C75">
              <w:rPr>
                <w:rFonts w:ascii="Times New Roman" w:eastAsia="Times New Roman" w:hAnsi="Times New Roman" w:cs="Times New Roman"/>
                <w:kern w:val="24"/>
                <w:sz w:val="20"/>
                <w:szCs w:val="20"/>
                <w:lang w:eastAsia="pl-PL"/>
              </w:rPr>
              <w:t>(stan na 31.12.2019 r.)</w:t>
            </w:r>
          </w:p>
        </w:tc>
      </w:tr>
      <w:tr w:rsidR="00B90E75" w:rsidRPr="00A11C75" w14:paraId="2B19EA9B" w14:textId="77777777" w:rsidTr="00A11C75">
        <w:trPr>
          <w:trHeight w:val="485"/>
          <w:jc w:val="center"/>
        </w:trPr>
        <w:tc>
          <w:tcPr>
            <w:tcW w:w="832" w:type="dxa"/>
            <w:shd w:val="clear" w:color="auto" w:fill="9CC2E5" w:themeFill="accent1" w:themeFillTint="99"/>
            <w:tcMar>
              <w:top w:w="15" w:type="dxa"/>
              <w:left w:w="108" w:type="dxa"/>
              <w:bottom w:w="0" w:type="dxa"/>
              <w:right w:w="108" w:type="dxa"/>
            </w:tcMar>
            <w:vAlign w:val="center"/>
            <w:hideMark/>
          </w:tcPr>
          <w:p w14:paraId="1E024579"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b/>
                <w:bCs/>
                <w:kern w:val="24"/>
                <w:sz w:val="20"/>
                <w:szCs w:val="20"/>
                <w:lang w:eastAsia="pl-PL"/>
              </w:rPr>
              <w:t>1.</w:t>
            </w:r>
          </w:p>
        </w:tc>
        <w:tc>
          <w:tcPr>
            <w:tcW w:w="5220" w:type="dxa"/>
            <w:shd w:val="clear" w:color="auto" w:fill="FFFFFF" w:themeFill="background1"/>
            <w:tcMar>
              <w:top w:w="15" w:type="dxa"/>
              <w:left w:w="108" w:type="dxa"/>
              <w:bottom w:w="0" w:type="dxa"/>
              <w:right w:w="108" w:type="dxa"/>
            </w:tcMar>
            <w:vAlign w:val="center"/>
            <w:hideMark/>
          </w:tcPr>
          <w:p w14:paraId="58300381"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kern w:val="24"/>
                <w:sz w:val="20"/>
                <w:szCs w:val="20"/>
                <w:lang w:eastAsia="pl-PL"/>
              </w:rPr>
              <w:t>Kompleksowa pielęgniarska opieka nad pacjentem z najczęstszymi schorzeniami wieku podeszłego</w:t>
            </w:r>
          </w:p>
        </w:tc>
        <w:tc>
          <w:tcPr>
            <w:tcW w:w="2160" w:type="dxa"/>
            <w:shd w:val="clear" w:color="auto" w:fill="FFFFFF" w:themeFill="background1"/>
            <w:tcMar>
              <w:top w:w="15" w:type="dxa"/>
              <w:left w:w="108" w:type="dxa"/>
              <w:bottom w:w="0" w:type="dxa"/>
              <w:right w:w="108" w:type="dxa"/>
            </w:tcMar>
            <w:vAlign w:val="center"/>
            <w:hideMark/>
          </w:tcPr>
          <w:p w14:paraId="45034FD1"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kern w:val="24"/>
                <w:sz w:val="20"/>
                <w:szCs w:val="20"/>
                <w:lang w:eastAsia="pl-PL"/>
              </w:rPr>
              <w:t>12 876</w:t>
            </w:r>
          </w:p>
        </w:tc>
      </w:tr>
      <w:tr w:rsidR="00B90E75" w:rsidRPr="00A11C75" w14:paraId="6AD8F503" w14:textId="77777777" w:rsidTr="00A11C75">
        <w:trPr>
          <w:trHeight w:val="245"/>
          <w:jc w:val="center"/>
        </w:trPr>
        <w:tc>
          <w:tcPr>
            <w:tcW w:w="832" w:type="dxa"/>
            <w:shd w:val="clear" w:color="auto" w:fill="9CC2E5" w:themeFill="accent1" w:themeFillTint="99"/>
            <w:tcMar>
              <w:top w:w="15" w:type="dxa"/>
              <w:left w:w="108" w:type="dxa"/>
              <w:bottom w:w="0" w:type="dxa"/>
              <w:right w:w="108" w:type="dxa"/>
            </w:tcMar>
            <w:hideMark/>
          </w:tcPr>
          <w:p w14:paraId="1C4A0272"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b/>
                <w:bCs/>
                <w:kern w:val="24"/>
                <w:sz w:val="20"/>
                <w:szCs w:val="20"/>
                <w:lang w:eastAsia="pl-PL"/>
              </w:rPr>
              <w:t>2.</w:t>
            </w:r>
          </w:p>
        </w:tc>
        <w:tc>
          <w:tcPr>
            <w:tcW w:w="5220" w:type="dxa"/>
            <w:shd w:val="clear" w:color="auto" w:fill="FFFFFF" w:themeFill="background1"/>
            <w:tcMar>
              <w:top w:w="15" w:type="dxa"/>
              <w:left w:w="108" w:type="dxa"/>
              <w:bottom w:w="0" w:type="dxa"/>
              <w:right w:w="108" w:type="dxa"/>
            </w:tcMar>
            <w:vAlign w:val="center"/>
            <w:hideMark/>
          </w:tcPr>
          <w:p w14:paraId="5E4C837D"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kern w:val="24"/>
                <w:sz w:val="20"/>
                <w:szCs w:val="20"/>
                <w:lang w:eastAsia="pl-PL"/>
              </w:rPr>
              <w:t>Podstawy opieki paliatywnej</w:t>
            </w:r>
          </w:p>
        </w:tc>
        <w:tc>
          <w:tcPr>
            <w:tcW w:w="2160" w:type="dxa"/>
            <w:shd w:val="clear" w:color="auto" w:fill="FFFFFF" w:themeFill="background1"/>
            <w:tcMar>
              <w:top w:w="15" w:type="dxa"/>
              <w:left w:w="108" w:type="dxa"/>
              <w:bottom w:w="0" w:type="dxa"/>
              <w:right w:w="108" w:type="dxa"/>
            </w:tcMar>
            <w:vAlign w:val="center"/>
            <w:hideMark/>
          </w:tcPr>
          <w:p w14:paraId="385D3577"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kern w:val="24"/>
                <w:sz w:val="20"/>
                <w:szCs w:val="20"/>
                <w:lang w:eastAsia="pl-PL"/>
              </w:rPr>
              <w:t>7 096</w:t>
            </w:r>
          </w:p>
        </w:tc>
      </w:tr>
      <w:tr w:rsidR="00B90E75" w:rsidRPr="00A11C75" w14:paraId="14BF11C0" w14:textId="77777777" w:rsidTr="00A11C75">
        <w:trPr>
          <w:trHeight w:val="311"/>
          <w:jc w:val="center"/>
        </w:trPr>
        <w:tc>
          <w:tcPr>
            <w:tcW w:w="832" w:type="dxa"/>
            <w:shd w:val="clear" w:color="auto" w:fill="9CC2E5" w:themeFill="accent1" w:themeFillTint="99"/>
            <w:tcMar>
              <w:top w:w="15" w:type="dxa"/>
              <w:left w:w="108" w:type="dxa"/>
              <w:bottom w:w="0" w:type="dxa"/>
              <w:right w:w="108" w:type="dxa"/>
            </w:tcMar>
            <w:hideMark/>
          </w:tcPr>
          <w:p w14:paraId="203C6BAD"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b/>
                <w:bCs/>
                <w:kern w:val="24"/>
                <w:sz w:val="20"/>
                <w:szCs w:val="20"/>
                <w:lang w:eastAsia="pl-PL"/>
              </w:rPr>
              <w:t>3.</w:t>
            </w:r>
          </w:p>
        </w:tc>
        <w:tc>
          <w:tcPr>
            <w:tcW w:w="5220" w:type="dxa"/>
            <w:shd w:val="clear" w:color="auto" w:fill="FFFFFF" w:themeFill="background1"/>
            <w:tcMar>
              <w:top w:w="15" w:type="dxa"/>
              <w:left w:w="108" w:type="dxa"/>
              <w:bottom w:w="0" w:type="dxa"/>
              <w:right w:w="108" w:type="dxa"/>
            </w:tcMar>
            <w:vAlign w:val="center"/>
            <w:hideMark/>
          </w:tcPr>
          <w:p w14:paraId="48FBA1CA"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kern w:val="24"/>
                <w:sz w:val="20"/>
                <w:szCs w:val="20"/>
                <w:lang w:eastAsia="pl-PL"/>
              </w:rPr>
              <w:t>Opieka geriatryczna</w:t>
            </w:r>
          </w:p>
        </w:tc>
        <w:tc>
          <w:tcPr>
            <w:tcW w:w="2160" w:type="dxa"/>
            <w:shd w:val="clear" w:color="auto" w:fill="FFFFFF" w:themeFill="background1"/>
            <w:tcMar>
              <w:top w:w="15" w:type="dxa"/>
              <w:left w:w="108" w:type="dxa"/>
              <w:bottom w:w="0" w:type="dxa"/>
              <w:right w:w="108" w:type="dxa"/>
            </w:tcMar>
            <w:vAlign w:val="center"/>
            <w:hideMark/>
          </w:tcPr>
          <w:p w14:paraId="787AA955"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kern w:val="24"/>
                <w:sz w:val="20"/>
                <w:szCs w:val="20"/>
                <w:lang w:eastAsia="pl-PL"/>
              </w:rPr>
              <w:t>4 065</w:t>
            </w:r>
          </w:p>
        </w:tc>
      </w:tr>
      <w:tr w:rsidR="00B90E75" w:rsidRPr="00A11C75" w14:paraId="1A8A8A1C" w14:textId="77777777" w:rsidTr="00A11C75">
        <w:trPr>
          <w:trHeight w:val="401"/>
          <w:jc w:val="center"/>
        </w:trPr>
        <w:tc>
          <w:tcPr>
            <w:tcW w:w="832" w:type="dxa"/>
            <w:shd w:val="clear" w:color="auto" w:fill="9CC2E5" w:themeFill="accent1" w:themeFillTint="99"/>
            <w:tcMar>
              <w:top w:w="15" w:type="dxa"/>
              <w:left w:w="108" w:type="dxa"/>
              <w:bottom w:w="0" w:type="dxa"/>
              <w:right w:w="108" w:type="dxa"/>
            </w:tcMar>
            <w:hideMark/>
          </w:tcPr>
          <w:p w14:paraId="0118AD93"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b/>
                <w:bCs/>
                <w:kern w:val="24"/>
                <w:sz w:val="20"/>
                <w:szCs w:val="20"/>
                <w:lang w:eastAsia="pl-PL"/>
              </w:rPr>
              <w:t>4.</w:t>
            </w:r>
          </w:p>
        </w:tc>
        <w:tc>
          <w:tcPr>
            <w:tcW w:w="5220" w:type="dxa"/>
            <w:shd w:val="clear" w:color="auto" w:fill="FFFFFF" w:themeFill="background1"/>
            <w:tcMar>
              <w:top w:w="15" w:type="dxa"/>
              <w:left w:w="108" w:type="dxa"/>
              <w:bottom w:w="0" w:type="dxa"/>
              <w:right w:w="108" w:type="dxa"/>
            </w:tcMar>
            <w:vAlign w:val="center"/>
            <w:hideMark/>
          </w:tcPr>
          <w:p w14:paraId="2AC78412"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kern w:val="24"/>
                <w:sz w:val="20"/>
                <w:szCs w:val="20"/>
                <w:lang w:eastAsia="pl-PL"/>
              </w:rPr>
              <w:t>Pielęgnowanie pacjenta dorosłego wentylowanego mechanicznie</w:t>
            </w:r>
          </w:p>
        </w:tc>
        <w:tc>
          <w:tcPr>
            <w:tcW w:w="2160" w:type="dxa"/>
            <w:shd w:val="clear" w:color="auto" w:fill="FFFFFF" w:themeFill="background1"/>
            <w:tcMar>
              <w:top w:w="15" w:type="dxa"/>
              <w:left w:w="108" w:type="dxa"/>
              <w:bottom w:w="0" w:type="dxa"/>
              <w:right w:w="108" w:type="dxa"/>
            </w:tcMar>
            <w:vAlign w:val="center"/>
            <w:hideMark/>
          </w:tcPr>
          <w:p w14:paraId="43226BB3"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kern w:val="24"/>
                <w:sz w:val="20"/>
                <w:szCs w:val="20"/>
                <w:lang w:eastAsia="pl-PL"/>
              </w:rPr>
              <w:t>1 672</w:t>
            </w:r>
          </w:p>
        </w:tc>
      </w:tr>
      <w:tr w:rsidR="00B90E75" w:rsidRPr="00A11C75" w14:paraId="670CE3AA" w14:textId="77777777" w:rsidTr="00A11C75">
        <w:trPr>
          <w:trHeight w:val="355"/>
          <w:jc w:val="center"/>
        </w:trPr>
        <w:tc>
          <w:tcPr>
            <w:tcW w:w="832" w:type="dxa"/>
            <w:shd w:val="clear" w:color="auto" w:fill="9CC2E5" w:themeFill="accent1" w:themeFillTint="99"/>
            <w:tcMar>
              <w:top w:w="15" w:type="dxa"/>
              <w:left w:w="108" w:type="dxa"/>
              <w:bottom w:w="0" w:type="dxa"/>
              <w:right w:w="108" w:type="dxa"/>
            </w:tcMar>
            <w:hideMark/>
          </w:tcPr>
          <w:p w14:paraId="4FE10852"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b/>
                <w:bCs/>
                <w:kern w:val="24"/>
                <w:sz w:val="20"/>
                <w:szCs w:val="20"/>
                <w:lang w:eastAsia="pl-PL"/>
              </w:rPr>
              <w:t>5.</w:t>
            </w:r>
          </w:p>
        </w:tc>
        <w:tc>
          <w:tcPr>
            <w:tcW w:w="5220" w:type="dxa"/>
            <w:shd w:val="clear" w:color="auto" w:fill="FFFFFF" w:themeFill="background1"/>
            <w:tcMar>
              <w:top w:w="15" w:type="dxa"/>
              <w:left w:w="108" w:type="dxa"/>
              <w:bottom w:w="0" w:type="dxa"/>
              <w:right w:w="108" w:type="dxa"/>
            </w:tcMar>
            <w:vAlign w:val="center"/>
            <w:hideMark/>
          </w:tcPr>
          <w:p w14:paraId="07091BD1"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kern w:val="24"/>
                <w:sz w:val="20"/>
                <w:szCs w:val="20"/>
                <w:lang w:eastAsia="pl-PL"/>
              </w:rPr>
              <w:t>Terapia bólu przewlekłego u dorosłych</w:t>
            </w:r>
          </w:p>
        </w:tc>
        <w:tc>
          <w:tcPr>
            <w:tcW w:w="2160" w:type="dxa"/>
            <w:shd w:val="clear" w:color="auto" w:fill="FFFFFF" w:themeFill="background1"/>
            <w:tcMar>
              <w:top w:w="15" w:type="dxa"/>
              <w:left w:w="108" w:type="dxa"/>
              <w:bottom w:w="0" w:type="dxa"/>
              <w:right w:w="108" w:type="dxa"/>
            </w:tcMar>
            <w:vAlign w:val="center"/>
            <w:hideMark/>
          </w:tcPr>
          <w:p w14:paraId="037CD53B" w14:textId="77777777" w:rsidR="00B90E75" w:rsidRPr="00A11C75" w:rsidRDefault="00B90E75" w:rsidP="00C363D3">
            <w:pPr>
              <w:spacing w:after="0"/>
              <w:jc w:val="both"/>
              <w:rPr>
                <w:rFonts w:ascii="Times New Roman" w:eastAsia="Times New Roman" w:hAnsi="Times New Roman" w:cs="Times New Roman"/>
                <w:sz w:val="20"/>
                <w:szCs w:val="20"/>
                <w:lang w:eastAsia="pl-PL"/>
              </w:rPr>
            </w:pPr>
            <w:r w:rsidRPr="00A11C75">
              <w:rPr>
                <w:rFonts w:ascii="Times New Roman" w:eastAsia="Times New Roman" w:hAnsi="Times New Roman" w:cs="Times New Roman"/>
                <w:kern w:val="24"/>
                <w:sz w:val="20"/>
                <w:szCs w:val="20"/>
                <w:lang w:eastAsia="pl-PL"/>
              </w:rPr>
              <w:t>4 506</w:t>
            </w:r>
          </w:p>
        </w:tc>
      </w:tr>
      <w:tr w:rsidR="00B90E75" w:rsidRPr="00A11C75" w14:paraId="6551FC46" w14:textId="77777777" w:rsidTr="00A11C75">
        <w:trPr>
          <w:trHeight w:val="205"/>
          <w:jc w:val="center"/>
        </w:trPr>
        <w:tc>
          <w:tcPr>
            <w:tcW w:w="832" w:type="dxa"/>
            <w:shd w:val="clear" w:color="auto" w:fill="9CC2E5" w:themeFill="accent1" w:themeFillTint="99"/>
            <w:tcMar>
              <w:top w:w="15" w:type="dxa"/>
              <w:left w:w="108" w:type="dxa"/>
              <w:bottom w:w="0" w:type="dxa"/>
              <w:right w:w="108" w:type="dxa"/>
            </w:tcMar>
            <w:vAlign w:val="center"/>
          </w:tcPr>
          <w:p w14:paraId="7486E98A" w14:textId="77777777" w:rsidR="00B90E75" w:rsidRPr="00A11C75" w:rsidRDefault="00B90E75" w:rsidP="00C363D3">
            <w:pPr>
              <w:spacing w:after="0"/>
              <w:jc w:val="both"/>
              <w:rPr>
                <w:rFonts w:ascii="Times New Roman" w:eastAsia="Times New Roman" w:hAnsi="Times New Roman" w:cs="Times New Roman"/>
                <w:b/>
                <w:bCs/>
                <w:kern w:val="24"/>
                <w:sz w:val="20"/>
                <w:szCs w:val="20"/>
                <w:lang w:eastAsia="pl-PL"/>
              </w:rPr>
            </w:pPr>
            <w:r w:rsidRPr="00A11C75">
              <w:rPr>
                <w:rFonts w:ascii="Times New Roman" w:eastAsia="Times New Roman" w:hAnsi="Times New Roman" w:cs="Times New Roman"/>
                <w:b/>
                <w:bCs/>
                <w:kern w:val="24"/>
                <w:sz w:val="20"/>
                <w:szCs w:val="20"/>
                <w:lang w:eastAsia="pl-PL"/>
              </w:rPr>
              <w:t>6.</w:t>
            </w:r>
          </w:p>
        </w:tc>
        <w:tc>
          <w:tcPr>
            <w:tcW w:w="5220" w:type="dxa"/>
            <w:shd w:val="clear" w:color="auto" w:fill="FFFFFF" w:themeFill="background1"/>
            <w:tcMar>
              <w:top w:w="15" w:type="dxa"/>
              <w:left w:w="108" w:type="dxa"/>
              <w:bottom w:w="0" w:type="dxa"/>
              <w:right w:w="108" w:type="dxa"/>
            </w:tcMar>
            <w:vAlign w:val="center"/>
          </w:tcPr>
          <w:p w14:paraId="76BA4BD7" w14:textId="77777777" w:rsidR="00B90E75" w:rsidRPr="00A11C75" w:rsidRDefault="00B90E75" w:rsidP="00C363D3">
            <w:pPr>
              <w:spacing w:after="0"/>
              <w:jc w:val="both"/>
              <w:rPr>
                <w:rFonts w:ascii="Times New Roman" w:eastAsia="Times New Roman" w:hAnsi="Times New Roman" w:cs="Times New Roman"/>
                <w:kern w:val="24"/>
                <w:sz w:val="20"/>
                <w:szCs w:val="20"/>
                <w:lang w:eastAsia="pl-PL"/>
              </w:rPr>
            </w:pPr>
            <w:r w:rsidRPr="00A11C75">
              <w:rPr>
                <w:rFonts w:ascii="Times New Roman" w:eastAsia="Times New Roman" w:hAnsi="Times New Roman" w:cs="Times New Roman"/>
                <w:kern w:val="24"/>
                <w:sz w:val="20"/>
                <w:szCs w:val="20"/>
                <w:lang w:eastAsia="pl-PL"/>
              </w:rPr>
              <w:t>Terapia bólu ostrego u dorosłych</w:t>
            </w:r>
          </w:p>
        </w:tc>
        <w:tc>
          <w:tcPr>
            <w:tcW w:w="2160" w:type="dxa"/>
            <w:shd w:val="clear" w:color="auto" w:fill="FFFFFF" w:themeFill="background1"/>
            <w:tcMar>
              <w:top w:w="15" w:type="dxa"/>
              <w:left w:w="108" w:type="dxa"/>
              <w:bottom w:w="0" w:type="dxa"/>
              <w:right w:w="108" w:type="dxa"/>
            </w:tcMar>
            <w:vAlign w:val="center"/>
          </w:tcPr>
          <w:p w14:paraId="63FC68EB" w14:textId="77777777" w:rsidR="00B90E75" w:rsidRPr="00A11C75" w:rsidRDefault="00B90E75" w:rsidP="00C363D3">
            <w:pPr>
              <w:spacing w:after="0"/>
              <w:jc w:val="both"/>
              <w:rPr>
                <w:rFonts w:ascii="Times New Roman" w:eastAsia="Times New Roman" w:hAnsi="Times New Roman" w:cs="Times New Roman"/>
                <w:kern w:val="24"/>
                <w:sz w:val="20"/>
                <w:szCs w:val="20"/>
                <w:lang w:eastAsia="pl-PL"/>
              </w:rPr>
            </w:pPr>
            <w:r w:rsidRPr="00A11C75">
              <w:rPr>
                <w:rFonts w:ascii="Times New Roman" w:eastAsia="Times New Roman" w:hAnsi="Times New Roman" w:cs="Times New Roman"/>
                <w:kern w:val="24"/>
                <w:sz w:val="20"/>
                <w:szCs w:val="20"/>
                <w:lang w:eastAsia="pl-PL"/>
              </w:rPr>
              <w:t>3 889</w:t>
            </w:r>
          </w:p>
        </w:tc>
      </w:tr>
      <w:tr w:rsidR="00B90E75" w:rsidRPr="00A11C75" w14:paraId="597D488C" w14:textId="77777777" w:rsidTr="00A11C75">
        <w:trPr>
          <w:trHeight w:val="139"/>
          <w:jc w:val="center"/>
        </w:trPr>
        <w:tc>
          <w:tcPr>
            <w:tcW w:w="6052" w:type="dxa"/>
            <w:gridSpan w:val="2"/>
            <w:shd w:val="clear" w:color="auto" w:fill="9CC2E5" w:themeFill="accent1" w:themeFillTint="99"/>
            <w:tcMar>
              <w:top w:w="15" w:type="dxa"/>
              <w:left w:w="108" w:type="dxa"/>
              <w:bottom w:w="0" w:type="dxa"/>
              <w:right w:w="108" w:type="dxa"/>
            </w:tcMar>
          </w:tcPr>
          <w:p w14:paraId="154801C4" w14:textId="77777777" w:rsidR="00B90E75" w:rsidRPr="00A11C75" w:rsidRDefault="00B90E75" w:rsidP="00A11C75">
            <w:pPr>
              <w:spacing w:after="0"/>
              <w:jc w:val="center"/>
              <w:rPr>
                <w:rFonts w:ascii="Times New Roman" w:eastAsia="Times New Roman" w:hAnsi="Times New Roman" w:cs="Times New Roman"/>
                <w:b/>
                <w:bCs/>
                <w:kern w:val="24"/>
                <w:sz w:val="20"/>
                <w:szCs w:val="20"/>
                <w:lang w:eastAsia="pl-PL"/>
              </w:rPr>
            </w:pPr>
            <w:r w:rsidRPr="00A11C75">
              <w:rPr>
                <w:rFonts w:ascii="Times New Roman" w:eastAsia="Times New Roman" w:hAnsi="Times New Roman" w:cs="Times New Roman"/>
                <w:b/>
                <w:bCs/>
                <w:kern w:val="24"/>
                <w:sz w:val="20"/>
                <w:szCs w:val="20"/>
                <w:lang w:eastAsia="pl-PL"/>
              </w:rPr>
              <w:t>Łącznie:</w:t>
            </w:r>
          </w:p>
        </w:tc>
        <w:tc>
          <w:tcPr>
            <w:tcW w:w="2160" w:type="dxa"/>
            <w:shd w:val="clear" w:color="auto" w:fill="9CC2E5" w:themeFill="accent1" w:themeFillTint="99"/>
            <w:tcMar>
              <w:top w:w="15" w:type="dxa"/>
              <w:left w:w="108" w:type="dxa"/>
              <w:bottom w:w="0" w:type="dxa"/>
              <w:right w:w="108" w:type="dxa"/>
            </w:tcMar>
          </w:tcPr>
          <w:p w14:paraId="06788B1B" w14:textId="77777777" w:rsidR="00B90E75" w:rsidRPr="00A11C75" w:rsidRDefault="00B90E75" w:rsidP="00A11C75">
            <w:pPr>
              <w:spacing w:after="0"/>
              <w:jc w:val="center"/>
              <w:rPr>
                <w:rFonts w:ascii="Times New Roman" w:eastAsia="Times New Roman" w:hAnsi="Times New Roman" w:cs="Times New Roman"/>
                <w:b/>
                <w:bCs/>
                <w:kern w:val="24"/>
                <w:sz w:val="20"/>
                <w:szCs w:val="20"/>
                <w:lang w:eastAsia="pl-PL"/>
              </w:rPr>
            </w:pPr>
            <w:r w:rsidRPr="00A11C75">
              <w:rPr>
                <w:rFonts w:ascii="Times New Roman" w:eastAsia="Times New Roman" w:hAnsi="Times New Roman" w:cs="Times New Roman"/>
                <w:b/>
                <w:bCs/>
                <w:kern w:val="24"/>
                <w:sz w:val="20"/>
                <w:szCs w:val="20"/>
                <w:lang w:eastAsia="pl-PL"/>
              </w:rPr>
              <w:t>34 104</w:t>
            </w:r>
          </w:p>
        </w:tc>
      </w:tr>
    </w:tbl>
    <w:p w14:paraId="3655167A" w14:textId="77777777" w:rsidR="00B90E75" w:rsidRPr="00DE298D" w:rsidRDefault="00B90E75" w:rsidP="00C363D3">
      <w:pPr>
        <w:spacing w:after="0"/>
        <w:jc w:val="both"/>
        <w:rPr>
          <w:rFonts w:ascii="Times New Roman" w:eastAsia="Calibri" w:hAnsi="Times New Roman" w:cs="Times New Roman"/>
          <w:b/>
          <w:szCs w:val="24"/>
        </w:rPr>
      </w:pPr>
      <w:r w:rsidRPr="00DE298D">
        <w:rPr>
          <w:rFonts w:ascii="Times New Roman" w:eastAsia="Calibri" w:hAnsi="Times New Roman" w:cs="Times New Roman"/>
          <w:b/>
          <w:szCs w:val="24"/>
        </w:rPr>
        <w:t>Opracowanie: Departament Pielęgniarek i Położnych Ministerstwa Zdrowia – na podstawie danych Centrum Kształcenia Podyplomowego Pielęgniarek i Położnych.</w:t>
      </w:r>
    </w:p>
    <w:p w14:paraId="6556C8EC" w14:textId="186B7FDE" w:rsidR="007B47BA" w:rsidRDefault="007B47BA" w:rsidP="00C363D3">
      <w:pPr>
        <w:spacing w:after="0"/>
        <w:contextualSpacing/>
        <w:jc w:val="both"/>
        <w:rPr>
          <w:rFonts w:ascii="Times New Roman" w:eastAsia="Calibri" w:hAnsi="Times New Roman" w:cs="Times New Roman"/>
          <w:b/>
          <w:color w:val="00B0F0"/>
          <w:sz w:val="24"/>
          <w:szCs w:val="24"/>
        </w:rPr>
      </w:pPr>
    </w:p>
    <w:p w14:paraId="6F151D72" w14:textId="77777777" w:rsidR="004E6514" w:rsidRDefault="004E6514" w:rsidP="00C363D3">
      <w:pPr>
        <w:spacing w:after="0"/>
        <w:contextualSpacing/>
        <w:jc w:val="both"/>
        <w:rPr>
          <w:rFonts w:ascii="Times New Roman" w:eastAsia="Calibri" w:hAnsi="Times New Roman" w:cs="Times New Roman"/>
          <w:b/>
          <w:color w:val="00B0F0"/>
          <w:sz w:val="24"/>
          <w:szCs w:val="24"/>
        </w:rPr>
      </w:pPr>
    </w:p>
    <w:p w14:paraId="4D66E8B7" w14:textId="77777777" w:rsidR="007B47BA" w:rsidRPr="003C3947" w:rsidRDefault="007B47BA" w:rsidP="00C363D3">
      <w:pPr>
        <w:spacing w:after="0"/>
        <w:contextualSpacing/>
        <w:jc w:val="both"/>
        <w:rPr>
          <w:rFonts w:ascii="Times New Roman" w:eastAsia="Calibri" w:hAnsi="Times New Roman" w:cs="Times New Roman"/>
          <w:b/>
          <w:color w:val="00B0F0"/>
          <w:sz w:val="24"/>
          <w:szCs w:val="24"/>
        </w:rPr>
      </w:pPr>
      <w:r w:rsidRPr="003C3947">
        <w:rPr>
          <w:rFonts w:ascii="Times New Roman" w:eastAsia="Calibri" w:hAnsi="Times New Roman" w:cs="Times New Roman"/>
          <w:b/>
          <w:color w:val="00B0F0"/>
          <w:sz w:val="24"/>
          <w:szCs w:val="24"/>
        </w:rPr>
        <w:lastRenderedPageBreak/>
        <w:t xml:space="preserve">Działania legislacyjne niezbędne do wdrożenia rozwiązań z zakresu e-zdrowia </w:t>
      </w:r>
    </w:p>
    <w:p w14:paraId="7FFA8C4B" w14:textId="77777777" w:rsidR="007B47BA" w:rsidRPr="003C3947" w:rsidRDefault="007B47BA" w:rsidP="00C363D3">
      <w:pPr>
        <w:tabs>
          <w:tab w:val="left" w:pos="5400"/>
        </w:tabs>
        <w:spacing w:after="0"/>
        <w:jc w:val="both"/>
        <w:rPr>
          <w:rFonts w:ascii="Times New Roman" w:eastAsia="Times New Roman" w:hAnsi="Times New Roman" w:cs="Times New Roman"/>
          <w:bCs/>
          <w:color w:val="000000"/>
          <w:sz w:val="24"/>
          <w:szCs w:val="24"/>
          <w:lang w:eastAsia="pl-PL" w:bidi="pl-PL"/>
        </w:rPr>
      </w:pPr>
    </w:p>
    <w:p w14:paraId="49E514F4" w14:textId="77777777" w:rsidR="00B90E75" w:rsidRPr="003C3947" w:rsidRDefault="00B90E75" w:rsidP="003C3947">
      <w:pPr>
        <w:tabs>
          <w:tab w:val="left" w:pos="5400"/>
        </w:tabs>
        <w:spacing w:after="0"/>
        <w:jc w:val="both"/>
        <w:rPr>
          <w:rFonts w:ascii="Times New Roman" w:eastAsia="Times New Roman" w:hAnsi="Times New Roman" w:cs="Times New Roman"/>
          <w:bCs/>
          <w:color w:val="000000"/>
          <w:sz w:val="24"/>
          <w:szCs w:val="24"/>
          <w:lang w:eastAsia="pl-PL" w:bidi="pl-PL"/>
        </w:rPr>
      </w:pPr>
      <w:r w:rsidRPr="003C3947">
        <w:rPr>
          <w:rFonts w:ascii="Times New Roman" w:eastAsia="Times New Roman" w:hAnsi="Times New Roman" w:cs="Times New Roman"/>
          <w:bCs/>
          <w:color w:val="000000"/>
          <w:sz w:val="24"/>
          <w:szCs w:val="24"/>
          <w:lang w:eastAsia="pl-PL" w:bidi="pl-PL"/>
        </w:rPr>
        <w:t xml:space="preserve">W 2019 r. zakończone zostały prace nad </w:t>
      </w:r>
      <w:r w:rsidRPr="003C3947">
        <w:rPr>
          <w:rFonts w:ascii="Times New Roman" w:eastAsia="Times New Roman" w:hAnsi="Times New Roman" w:cs="Times New Roman"/>
          <w:bCs/>
          <w:i/>
          <w:color w:val="000000"/>
          <w:sz w:val="24"/>
          <w:szCs w:val="24"/>
          <w:lang w:eastAsia="pl-PL" w:bidi="pl-PL"/>
        </w:rPr>
        <w:t xml:space="preserve">ustawą z dnia 19 lipca 2019 r. o zmianie niektórych ustaw w związku z wdrażaniem rozwiązań w obszarze e-zdrowia </w:t>
      </w:r>
      <w:r w:rsidR="003C3947">
        <w:rPr>
          <w:rFonts w:ascii="Times New Roman" w:eastAsia="Times New Roman" w:hAnsi="Times New Roman" w:cs="Times New Roman"/>
          <w:bCs/>
          <w:color w:val="000000"/>
          <w:sz w:val="24"/>
          <w:szCs w:val="24"/>
          <w:lang w:eastAsia="pl-PL" w:bidi="pl-PL"/>
        </w:rPr>
        <w:t xml:space="preserve">(Dz. U. poz. 1590). </w:t>
      </w:r>
      <w:r w:rsidRPr="003C3947">
        <w:rPr>
          <w:rFonts w:ascii="Times New Roman" w:eastAsia="Times New Roman" w:hAnsi="Times New Roman" w:cs="Times New Roman"/>
          <w:color w:val="000000"/>
          <w:sz w:val="24"/>
          <w:szCs w:val="24"/>
          <w:lang w:eastAsia="pl-PL" w:bidi="pl-PL"/>
        </w:rPr>
        <w:t>Zawiera ona zmiany kilkunastu ustaw wdrażając rozwiązania w obszarze e-zdrowia. Z punktu widzenia sytuacji osób starszych znaczenie mają następujące rozwiązania:</w:t>
      </w:r>
    </w:p>
    <w:p w14:paraId="7461AA48" w14:textId="77777777" w:rsidR="007B47BA" w:rsidRPr="00B90E75" w:rsidRDefault="007B47BA" w:rsidP="00C363D3">
      <w:pPr>
        <w:tabs>
          <w:tab w:val="left" w:pos="5400"/>
        </w:tabs>
        <w:spacing w:after="0"/>
        <w:ind w:left="6"/>
        <w:jc w:val="both"/>
        <w:rPr>
          <w:rFonts w:ascii="Times New Roman" w:eastAsia="Times New Roman" w:hAnsi="Times New Roman" w:cs="Times New Roman"/>
          <w:color w:val="000000"/>
          <w:sz w:val="24"/>
          <w:szCs w:val="24"/>
          <w:lang w:eastAsia="pl-PL" w:bidi="pl-PL"/>
        </w:rPr>
      </w:pPr>
    </w:p>
    <w:p w14:paraId="61CE7D99" w14:textId="77777777" w:rsidR="00B90E75" w:rsidRPr="003C3947" w:rsidRDefault="00B90E75" w:rsidP="008C71A9">
      <w:pPr>
        <w:pStyle w:val="Akapitzlist"/>
        <w:numPr>
          <w:ilvl w:val="0"/>
          <w:numId w:val="287"/>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7B47BA">
        <w:rPr>
          <w:rFonts w:ascii="Times New Roman" w:eastAsia="Times New Roman" w:hAnsi="Times New Roman" w:cs="Times New Roman"/>
          <w:color w:val="000000"/>
          <w:sz w:val="24"/>
          <w:szCs w:val="24"/>
          <w:lang w:eastAsia="pl-PL" w:bidi="pl-PL"/>
        </w:rPr>
        <w:t>Rozszerzenie katalogu podmiotów pełniących funkcję punktów potwierdzających profil zaufany, który jest istotny w procesie dostępu do IKP.</w:t>
      </w:r>
      <w:r w:rsidR="003C3947">
        <w:rPr>
          <w:rFonts w:ascii="Times New Roman" w:eastAsia="Times New Roman" w:hAnsi="Times New Roman" w:cs="Times New Roman"/>
          <w:color w:val="000000"/>
          <w:sz w:val="24"/>
          <w:szCs w:val="24"/>
          <w:lang w:eastAsia="pl-PL" w:bidi="pl-PL"/>
        </w:rPr>
        <w:t xml:space="preserve"> </w:t>
      </w:r>
      <w:r w:rsidRPr="003C3947">
        <w:rPr>
          <w:rFonts w:ascii="Times New Roman" w:eastAsia="Times New Roman" w:hAnsi="Times New Roman" w:cs="Times New Roman"/>
          <w:sz w:val="24"/>
          <w:szCs w:val="24"/>
          <w:lang w:eastAsia="pl-PL" w:bidi="pl-PL"/>
        </w:rPr>
        <w:t>Narodowy Fundusz Zdrowia może nadać uprawnienia lekarzom, pielęgniarkom i położnym POZ, a także osobom zatrudnionym u świadczeniodawcy, który udziela świadczeń opieki zdrowotnej z zakresu POZ, do potwierdzania profilu zaufanego pacjenta.</w:t>
      </w:r>
      <w:r w:rsidR="007B47BA" w:rsidRPr="003C3947">
        <w:rPr>
          <w:rFonts w:ascii="Times New Roman" w:eastAsia="Times New Roman" w:hAnsi="Times New Roman" w:cs="Times New Roman"/>
          <w:sz w:val="24"/>
          <w:szCs w:val="24"/>
          <w:lang w:eastAsia="pl-PL" w:bidi="pl-PL"/>
        </w:rPr>
        <w:t xml:space="preserve"> </w:t>
      </w:r>
      <w:r w:rsidRPr="003C3947">
        <w:rPr>
          <w:rFonts w:ascii="Times New Roman" w:eastAsia="Times New Roman" w:hAnsi="Times New Roman" w:cs="Times New Roman"/>
          <w:sz w:val="24"/>
          <w:szCs w:val="24"/>
          <w:lang w:eastAsia="pl-PL" w:bidi="pl-PL"/>
        </w:rPr>
        <w:t>Takie rozwiązanie stanowi ułatwienie dla osób starszych z uwagi na ich częsty kontakt z POZ (także wizyty domowe). Możliwe będzie uzyskanie potwierdzenia profilu zaufanego niejako "przy okazji" korzystania z opieki zdrowotnej, co ułatwi dostęp do IKP.</w:t>
      </w:r>
    </w:p>
    <w:p w14:paraId="49B530B8" w14:textId="77777777" w:rsidR="007B47BA" w:rsidRPr="00B90E75" w:rsidRDefault="007B47BA" w:rsidP="00C363D3">
      <w:pPr>
        <w:pStyle w:val="Akapitzlist"/>
        <w:tabs>
          <w:tab w:val="left" w:pos="5400"/>
        </w:tabs>
        <w:spacing w:after="0"/>
        <w:ind w:left="6"/>
        <w:contextualSpacing w:val="0"/>
        <w:jc w:val="both"/>
        <w:rPr>
          <w:rFonts w:ascii="Times New Roman" w:eastAsia="Times New Roman" w:hAnsi="Times New Roman" w:cs="Times New Roman"/>
          <w:sz w:val="24"/>
          <w:szCs w:val="24"/>
          <w:lang w:eastAsia="pl-PL" w:bidi="pl-PL"/>
        </w:rPr>
      </w:pPr>
    </w:p>
    <w:p w14:paraId="471AF064" w14:textId="77777777" w:rsidR="00B90E75" w:rsidRPr="003C3947" w:rsidRDefault="00B90E75" w:rsidP="008C71A9">
      <w:pPr>
        <w:pStyle w:val="Akapitzlist"/>
        <w:numPr>
          <w:ilvl w:val="0"/>
          <w:numId w:val="287"/>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7B47BA">
        <w:rPr>
          <w:rFonts w:ascii="Times New Roman" w:eastAsia="Times New Roman" w:hAnsi="Times New Roman" w:cs="Times New Roman"/>
          <w:color w:val="000000"/>
          <w:sz w:val="24"/>
          <w:szCs w:val="24"/>
          <w:lang w:eastAsia="pl-PL" w:bidi="pl-PL"/>
        </w:rPr>
        <w:t>Wprowadzenie nowych funkcjonalności IKP.</w:t>
      </w:r>
      <w:r w:rsidR="003C3947">
        <w:rPr>
          <w:rFonts w:ascii="Times New Roman" w:eastAsia="Times New Roman" w:hAnsi="Times New Roman" w:cs="Times New Roman"/>
          <w:color w:val="000000"/>
          <w:sz w:val="24"/>
          <w:szCs w:val="24"/>
          <w:lang w:eastAsia="pl-PL" w:bidi="pl-PL"/>
        </w:rPr>
        <w:t xml:space="preserve"> </w:t>
      </w:r>
      <w:r w:rsidRPr="003C3947">
        <w:rPr>
          <w:rFonts w:ascii="Times New Roman" w:eastAsia="Times New Roman" w:hAnsi="Times New Roman" w:cs="Times New Roman"/>
          <w:color w:val="000000"/>
          <w:sz w:val="24"/>
          <w:szCs w:val="24"/>
          <w:lang w:eastAsia="pl-PL" w:bidi="pl-PL"/>
        </w:rPr>
        <w:t>W 2018 r. w ramach Platformy P1 uruchomione zostało IKP, które umożliwia m.in. dostęp do informacji o udzielonych świadczeniach opieki zdrowotnej. W chwili obecnej możliwy jest już wgląd do wystawionych w postaci elektronicznej recept oraz do recept zrealizowanych, bez względu na ich postać. Konieczne jest jednak stałe rozwijanie tego narzędzia informatycznego m.in. przez stopniowe wprowadzanie nowych jego funkcjonalności, a także promowanie go wśród pacjentów. Ustawowo wprowadzono możliwość uruchomienia następujących nowych funkcjonalności IKP:</w:t>
      </w:r>
    </w:p>
    <w:p w14:paraId="6F84F53B" w14:textId="77777777" w:rsidR="00B90E75" w:rsidRPr="00B90E75" w:rsidRDefault="00B90E75" w:rsidP="008C71A9">
      <w:pPr>
        <w:pStyle w:val="Akapitzlist"/>
        <w:numPr>
          <w:ilvl w:val="0"/>
          <w:numId w:val="288"/>
        </w:numPr>
        <w:tabs>
          <w:tab w:val="left" w:pos="5400"/>
        </w:tabs>
        <w:spacing w:after="0"/>
        <w:ind w:left="643"/>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składanie deklaracji wyboru świadczeniodawcy udzielającego świadczeń z zakresu POZ, lekarza POZ, pielęgniarki POZ lub położnej POZ oraz dostęp do informacji o wybranym świadczeniodawcy, lekarzu, pielęgniarce lub położnej;</w:t>
      </w:r>
    </w:p>
    <w:p w14:paraId="5AC0CE85" w14:textId="77777777" w:rsidR="00B90E75" w:rsidRPr="00B90E75" w:rsidRDefault="00B90E75" w:rsidP="008C71A9">
      <w:pPr>
        <w:pStyle w:val="Akapitzlist"/>
        <w:numPr>
          <w:ilvl w:val="0"/>
          <w:numId w:val="288"/>
        </w:numPr>
        <w:tabs>
          <w:tab w:val="left" w:pos="5400"/>
        </w:tabs>
        <w:spacing w:after="0"/>
        <w:ind w:left="643"/>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dostęp do informacji o usługodawcy i udzielanych przez niego świadczeniach opieki zdrowotnej;</w:t>
      </w:r>
    </w:p>
    <w:p w14:paraId="31BFA859" w14:textId="77777777" w:rsidR="00B90E75" w:rsidRPr="00B90E75" w:rsidRDefault="00B90E75" w:rsidP="008C71A9">
      <w:pPr>
        <w:pStyle w:val="Akapitzlist"/>
        <w:numPr>
          <w:ilvl w:val="0"/>
          <w:numId w:val="288"/>
        </w:numPr>
        <w:tabs>
          <w:tab w:val="left" w:pos="5400"/>
        </w:tabs>
        <w:spacing w:after="0"/>
        <w:ind w:left="643"/>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złożenie wniosku o wydanie Europejskiej Karty Ubezpieczenia Zdrowotnego;</w:t>
      </w:r>
    </w:p>
    <w:p w14:paraId="20AA249E" w14:textId="77777777" w:rsidR="00B90E75" w:rsidRPr="00B90E75" w:rsidRDefault="00B90E75" w:rsidP="008C71A9">
      <w:pPr>
        <w:pStyle w:val="Akapitzlist"/>
        <w:numPr>
          <w:ilvl w:val="0"/>
          <w:numId w:val="288"/>
        </w:numPr>
        <w:tabs>
          <w:tab w:val="left" w:pos="5400"/>
        </w:tabs>
        <w:spacing w:after="0"/>
        <w:ind w:left="643"/>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dostęp do informacji o wycofanych z obrotu produktach leczniczych lub wyrobach medycznych, jeżeli zostały one usługobiorcy przepisane na podstawie recepty w postaci elektronicznej lub przez niego nabyte;</w:t>
      </w:r>
    </w:p>
    <w:p w14:paraId="3A4B8369" w14:textId="77777777" w:rsidR="00B90E75" w:rsidRPr="00B90E75" w:rsidRDefault="00B90E75" w:rsidP="008C71A9">
      <w:pPr>
        <w:pStyle w:val="Akapitzlist"/>
        <w:numPr>
          <w:ilvl w:val="0"/>
          <w:numId w:val="288"/>
        </w:numPr>
        <w:tabs>
          <w:tab w:val="left" w:pos="5400"/>
        </w:tabs>
        <w:spacing w:after="0"/>
        <w:ind w:left="643"/>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składanie wniosków i skarg do Rzecznika Praw Pacjenta, Ministra Zdrowia oraz NFZ;</w:t>
      </w:r>
    </w:p>
    <w:p w14:paraId="7DFD2DF4" w14:textId="77777777" w:rsidR="00B90E75" w:rsidRPr="00B90E75" w:rsidRDefault="00B90E75" w:rsidP="008C71A9">
      <w:pPr>
        <w:pStyle w:val="Akapitzlist"/>
        <w:numPr>
          <w:ilvl w:val="0"/>
          <w:numId w:val="288"/>
        </w:numPr>
        <w:tabs>
          <w:tab w:val="left" w:pos="5400"/>
        </w:tabs>
        <w:spacing w:after="0"/>
        <w:ind w:left="643"/>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dostęp do informacji z zakresu profilaktyki i zdrowego trybu życia na podstawie jednostkowych danych medycznych pacjenta;</w:t>
      </w:r>
    </w:p>
    <w:p w14:paraId="74D8EF89" w14:textId="77777777" w:rsidR="00B90E75" w:rsidRPr="00B90E75" w:rsidRDefault="00B90E75" w:rsidP="008C71A9">
      <w:pPr>
        <w:pStyle w:val="Akapitzlist"/>
        <w:numPr>
          <w:ilvl w:val="0"/>
          <w:numId w:val="288"/>
        </w:numPr>
        <w:tabs>
          <w:tab w:val="left" w:pos="5400"/>
        </w:tabs>
        <w:spacing w:after="0"/>
        <w:ind w:left="643"/>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udzielanie odpowiedzi na badania ankietowe w zakresie jakości opieki zdrowotnej.</w:t>
      </w:r>
    </w:p>
    <w:p w14:paraId="416A4B63" w14:textId="77777777" w:rsidR="003F49A5" w:rsidRDefault="003F49A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p>
    <w:p w14:paraId="25DAEF1B" w14:textId="77777777" w:rsid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Nowe funkcjonalności IKP zostaną uruchomione zgodnie z art. 31 ust. 1 ustawy, tj. minister właściwy do spraw zdrowia poda informację o uruchomieniu tych funkcjonalności do publicznej wiadomości, nie później niż w okresie 22 miesięcy od dnia wejścia w życie </w:t>
      </w:r>
      <w:r w:rsidRPr="00B90E75">
        <w:rPr>
          <w:rFonts w:ascii="Times New Roman" w:eastAsia="Times New Roman" w:hAnsi="Times New Roman" w:cs="Times New Roman"/>
          <w:color w:val="000000"/>
          <w:sz w:val="24"/>
          <w:szCs w:val="24"/>
          <w:lang w:eastAsia="pl-PL" w:bidi="pl-PL"/>
        </w:rPr>
        <w:lastRenderedPageBreak/>
        <w:t>niniejszej ustawy, ogłaszając ją na stronie podmiotowej obsługującego go urzędu oraz w dzienniku urzędowym ministra właściwego do spraw zdrowia.</w:t>
      </w:r>
    </w:p>
    <w:p w14:paraId="5B13A5FD" w14:textId="77777777" w:rsidR="003F49A5" w:rsidRPr="00B90E75" w:rsidRDefault="003F49A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p>
    <w:p w14:paraId="1BD3CA2E" w14:textId="77777777" w:rsidR="00B90E75" w:rsidRPr="003C3947" w:rsidRDefault="00B90E75" w:rsidP="008C71A9">
      <w:pPr>
        <w:pStyle w:val="Akapitzlist"/>
        <w:numPr>
          <w:ilvl w:val="0"/>
          <w:numId w:val="279"/>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3C3947">
        <w:rPr>
          <w:rFonts w:ascii="Times New Roman" w:eastAsia="Times New Roman" w:hAnsi="Times New Roman" w:cs="Times New Roman"/>
          <w:color w:val="000000"/>
          <w:sz w:val="24"/>
          <w:szCs w:val="24"/>
          <w:lang w:eastAsia="pl-PL" w:bidi="pl-PL"/>
        </w:rPr>
        <w:t>Rozszerzenie katalogu osób uprawnionych do wystawiania recept w ramach programu leki 75+.</w:t>
      </w:r>
      <w:r w:rsidR="003C3947">
        <w:rPr>
          <w:rFonts w:ascii="Times New Roman" w:eastAsia="Times New Roman" w:hAnsi="Times New Roman" w:cs="Times New Roman"/>
          <w:color w:val="000000"/>
          <w:sz w:val="24"/>
          <w:szCs w:val="24"/>
          <w:lang w:eastAsia="pl-PL" w:bidi="pl-PL"/>
        </w:rPr>
        <w:t xml:space="preserve"> </w:t>
      </w:r>
      <w:r w:rsidRPr="003C3947">
        <w:rPr>
          <w:rFonts w:ascii="Times New Roman" w:eastAsia="Times New Roman" w:hAnsi="Times New Roman" w:cs="Times New Roman"/>
          <w:color w:val="000000"/>
          <w:sz w:val="24"/>
          <w:szCs w:val="24"/>
          <w:lang w:eastAsia="pl-PL" w:bidi="pl-PL"/>
        </w:rPr>
        <w:t xml:space="preserve">Rozszerzony został katalog podmiotów uprawnionych do wystawiania recept dla świadczeniobiorców, którzy ukończyli 75. rok życia na bezpłatne zaopatrzenie w leki, środki spożywcze specjalnego przeznaczenia żywieniowego oraz wyroby medyczne określone w wykazie, o którym mowa w art. 37 ust. 1 ustawy o refundacji. Z uwagi na fakt, że świadczeniobiorcy po ukończeniu 75. roku życia należą do licznej grupy, która korzysta ze świadczeń opieki zdrowotnej z zakresu ambulatoryjnej opieki specjalistycznej, </w:t>
      </w:r>
      <w:r w:rsidRPr="003C3947">
        <w:rPr>
          <w:rFonts w:ascii="Times New Roman" w:eastAsia="Times New Roman" w:hAnsi="Times New Roman" w:cs="Times New Roman"/>
          <w:bCs/>
          <w:color w:val="000000"/>
          <w:sz w:val="24"/>
          <w:szCs w:val="24"/>
          <w:lang w:eastAsia="pl-PL" w:bidi="pl-PL"/>
        </w:rPr>
        <w:t>od 1 lipca 2020 r.</w:t>
      </w:r>
      <w:r w:rsidRPr="003C3947">
        <w:rPr>
          <w:rFonts w:ascii="Times New Roman" w:eastAsia="Times New Roman" w:hAnsi="Times New Roman" w:cs="Times New Roman"/>
          <w:color w:val="000000"/>
          <w:sz w:val="24"/>
          <w:szCs w:val="24"/>
          <w:lang w:eastAsia="pl-PL" w:bidi="pl-PL"/>
        </w:rPr>
        <w:t xml:space="preserve"> bezpłatne zaopatrzenie przysługiwało będzie również na podstawie recepty elektronicznej wystawionej przez:</w:t>
      </w:r>
    </w:p>
    <w:p w14:paraId="27001670" w14:textId="77777777" w:rsidR="00B90E75" w:rsidRPr="00B90E75" w:rsidRDefault="00B90E75" w:rsidP="008C71A9">
      <w:pPr>
        <w:pStyle w:val="Akapitzlist"/>
        <w:numPr>
          <w:ilvl w:val="0"/>
          <w:numId w:val="373"/>
        </w:numPr>
        <w:tabs>
          <w:tab w:val="left" w:pos="5400"/>
        </w:tabs>
        <w:spacing w:after="0"/>
        <w:ind w:left="643"/>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lekarza oraz pielęgniarkę udzielających świadczeń z zakresu ambulatoryjnej opieki specjalistycznej w ramach umowy zawartej z NFZ lub </w:t>
      </w:r>
    </w:p>
    <w:p w14:paraId="4969845A" w14:textId="77777777" w:rsidR="00B90E75" w:rsidRPr="00B90E75" w:rsidRDefault="00B90E75" w:rsidP="008C71A9">
      <w:pPr>
        <w:pStyle w:val="Akapitzlist"/>
        <w:numPr>
          <w:ilvl w:val="0"/>
          <w:numId w:val="373"/>
        </w:numPr>
        <w:tabs>
          <w:tab w:val="left" w:pos="5400"/>
        </w:tabs>
        <w:spacing w:after="0"/>
        <w:ind w:left="643"/>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lekarza udzielającego świadczeń opieki zdrowotnej z zakresu ambulatoryjnej opieki specjalistycznej w ramach umowy z NFZ, o której mowa w art. 159a ustawy o świadczeniach opieki zdrowotnej finansowanych (tj. umowy o udzielanie świadczeń opieki zdrowotnej w systemie podstawowego szpitalnego zabezpieczenia świadczeń opieki zdrowotnej);</w:t>
      </w:r>
    </w:p>
    <w:p w14:paraId="70075D57" w14:textId="77777777" w:rsidR="00B90E75" w:rsidRPr="00B90E75" w:rsidRDefault="00B90E75" w:rsidP="008C71A9">
      <w:pPr>
        <w:pStyle w:val="Akapitzlist"/>
        <w:numPr>
          <w:ilvl w:val="0"/>
          <w:numId w:val="373"/>
        </w:numPr>
        <w:tabs>
          <w:tab w:val="left" w:pos="5400"/>
        </w:tabs>
        <w:spacing w:after="0"/>
        <w:ind w:left="643"/>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lekarza udzielającego świadczeń opieki zdrowotnej z zakresu leczenia szpitalnego w ramach umowy z NFZ</w:t>
      </w:r>
      <w:r w:rsidRPr="00B90E75">
        <w:rPr>
          <w:rStyle w:val="Odwoanieprzypisudolnego"/>
          <w:rFonts w:ascii="Times New Roman" w:eastAsia="Times New Roman" w:hAnsi="Times New Roman" w:cs="Times New Roman"/>
          <w:color w:val="000000"/>
          <w:sz w:val="24"/>
          <w:szCs w:val="24"/>
          <w:lang w:eastAsia="pl-PL" w:bidi="pl-PL"/>
        </w:rPr>
        <w:footnoteReference w:id="33"/>
      </w:r>
      <w:r w:rsidRPr="00B90E75">
        <w:rPr>
          <w:rFonts w:ascii="Times New Roman" w:eastAsia="Times New Roman" w:hAnsi="Times New Roman" w:cs="Times New Roman"/>
          <w:color w:val="000000"/>
          <w:sz w:val="24"/>
          <w:szCs w:val="24"/>
          <w:lang w:eastAsia="pl-PL" w:bidi="pl-PL"/>
        </w:rPr>
        <w:t>;</w:t>
      </w:r>
    </w:p>
    <w:p w14:paraId="6594BAFB" w14:textId="77777777" w:rsidR="00B90E75" w:rsidRPr="00B90E75" w:rsidRDefault="00B90E75" w:rsidP="008C71A9">
      <w:pPr>
        <w:pStyle w:val="Akapitzlist"/>
        <w:numPr>
          <w:ilvl w:val="0"/>
          <w:numId w:val="373"/>
        </w:numPr>
        <w:tabs>
          <w:tab w:val="left" w:pos="5400"/>
        </w:tabs>
        <w:spacing w:after="0"/>
        <w:ind w:left="643"/>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lekarza udzielającego świadczeń opieki zdrowotnej z zakresu leczenia szpitalnego w ramach umowy z NFZ, o której mowa w art. 159a ustawy (tj. umowy o udzielanie świadczeń opieki zdrowotnej w systemie podstawowego szpitalnego zabezpieczenia świadczeń opieki zdrowotnej)</w:t>
      </w:r>
      <w:r w:rsidRPr="00B90E75">
        <w:rPr>
          <w:rStyle w:val="Odwoanieprzypisudolnego"/>
          <w:rFonts w:ascii="Times New Roman" w:eastAsia="Times New Roman" w:hAnsi="Times New Roman" w:cs="Times New Roman"/>
          <w:color w:val="000000"/>
          <w:sz w:val="24"/>
          <w:szCs w:val="24"/>
          <w:lang w:eastAsia="pl-PL" w:bidi="pl-PL"/>
        </w:rPr>
        <w:footnoteReference w:id="34"/>
      </w:r>
      <w:r w:rsidRPr="00B90E75">
        <w:rPr>
          <w:rFonts w:ascii="Times New Roman" w:eastAsia="Times New Roman" w:hAnsi="Times New Roman" w:cs="Times New Roman"/>
          <w:color w:val="000000"/>
          <w:sz w:val="24"/>
          <w:szCs w:val="24"/>
          <w:lang w:eastAsia="pl-PL" w:bidi="pl-PL"/>
        </w:rPr>
        <w:t>.</w:t>
      </w:r>
    </w:p>
    <w:p w14:paraId="15D60A13" w14:textId="77777777" w:rsidR="003C3947" w:rsidRDefault="003C3947" w:rsidP="003C3947">
      <w:pPr>
        <w:tabs>
          <w:tab w:val="left" w:pos="5400"/>
        </w:tabs>
        <w:spacing w:after="0"/>
        <w:jc w:val="both"/>
        <w:rPr>
          <w:rFonts w:ascii="Times New Roman" w:eastAsia="Times New Roman" w:hAnsi="Times New Roman" w:cs="Times New Roman"/>
          <w:b/>
          <w:bCs/>
          <w:color w:val="000000"/>
          <w:sz w:val="24"/>
          <w:szCs w:val="24"/>
          <w:lang w:eastAsia="pl-PL" w:bidi="pl-PL"/>
        </w:rPr>
      </w:pPr>
    </w:p>
    <w:p w14:paraId="4F4D3B0A" w14:textId="77777777" w:rsidR="00B90E75" w:rsidRPr="003C3947" w:rsidRDefault="003C3947" w:rsidP="003C3947">
      <w:pPr>
        <w:tabs>
          <w:tab w:val="left" w:pos="5400"/>
        </w:tabs>
        <w:spacing w:after="0"/>
        <w:jc w:val="both"/>
        <w:rPr>
          <w:rFonts w:ascii="Times New Roman" w:eastAsia="Times New Roman" w:hAnsi="Times New Roman" w:cs="Times New Roman"/>
          <w:b/>
          <w:bCs/>
          <w:color w:val="00B0F0"/>
          <w:sz w:val="24"/>
          <w:szCs w:val="24"/>
          <w:lang w:eastAsia="pl-PL" w:bidi="pl-PL"/>
        </w:rPr>
      </w:pPr>
      <w:r w:rsidRPr="003C3947">
        <w:rPr>
          <w:rFonts w:ascii="Times New Roman" w:eastAsia="Times New Roman" w:hAnsi="Times New Roman" w:cs="Times New Roman"/>
          <w:b/>
          <w:bCs/>
          <w:color w:val="00B0F0"/>
          <w:sz w:val="24"/>
          <w:szCs w:val="24"/>
          <w:lang w:eastAsia="pl-PL" w:bidi="pl-PL"/>
        </w:rPr>
        <w:t>Rozwój telemedycyny</w:t>
      </w:r>
    </w:p>
    <w:p w14:paraId="60DEDB0D" w14:textId="77777777" w:rsidR="00B90E75" w:rsidRPr="00B90E75" w:rsidRDefault="00B90E75" w:rsidP="00C363D3">
      <w:pPr>
        <w:tabs>
          <w:tab w:val="left" w:pos="5400"/>
        </w:tabs>
        <w:spacing w:after="0"/>
        <w:ind w:left="6"/>
        <w:jc w:val="both"/>
        <w:rPr>
          <w:rFonts w:ascii="Times New Roman" w:eastAsia="Times New Roman" w:hAnsi="Times New Roman" w:cs="Times New Roman"/>
          <w:color w:val="000000"/>
          <w:sz w:val="24"/>
          <w:szCs w:val="24"/>
          <w:u w:val="single"/>
          <w:lang w:eastAsia="pl-PL" w:bidi="pl-PL"/>
        </w:rPr>
      </w:pPr>
      <w:r w:rsidRPr="00B90E75">
        <w:rPr>
          <w:rFonts w:ascii="Times New Roman" w:eastAsia="Times New Roman" w:hAnsi="Times New Roman" w:cs="Times New Roman"/>
          <w:color w:val="000000"/>
          <w:sz w:val="24"/>
          <w:szCs w:val="24"/>
          <w:lang w:eastAsia="pl-PL" w:bidi="pl-PL"/>
        </w:rPr>
        <w:t xml:space="preserve">W celu wyeliminowania wątpliwości, co do możliwości udzielania świadczeń opieki  zdrowotnej w warunkach ambulatoryjnych nie tylko poprzez bezpośredni kontakt ze świadczeniobiorcą, ale także na odległość (przy użyciu systemów teleinformatycznych lub systemów łączności -zarówno świadczeń lekarskich jak i pielęgniarskich), znowelizowano przepisy rozporządzenia Ministra Zdrowia z dnia 24 września 2013 r. w sprawie świadczeń gwarantowanych z zakresu podstawowej opieki zdrowotnej przez </w:t>
      </w:r>
      <w:r w:rsidRPr="003C3947">
        <w:rPr>
          <w:rFonts w:ascii="Times New Roman" w:eastAsia="Times New Roman" w:hAnsi="Times New Roman" w:cs="Times New Roman"/>
          <w:color w:val="000000"/>
          <w:sz w:val="24"/>
          <w:szCs w:val="24"/>
          <w:lang w:eastAsia="pl-PL" w:bidi="pl-PL"/>
        </w:rPr>
        <w:t>doprecyzowanie możliwości udzielania świadczeń zdrowotnych za pośrednictwem systemów teleinformatycznych lub systemów łączności również w podstawowej opiece zdrowotnej.</w:t>
      </w:r>
    </w:p>
    <w:p w14:paraId="60867B8E" w14:textId="4AD59C05" w:rsidR="003C3947" w:rsidRDefault="003C3947" w:rsidP="003C3947">
      <w:pPr>
        <w:tabs>
          <w:tab w:val="left" w:pos="5400"/>
        </w:tabs>
        <w:spacing w:after="0"/>
        <w:jc w:val="both"/>
        <w:rPr>
          <w:rFonts w:ascii="Times New Roman" w:eastAsia="Times New Roman" w:hAnsi="Times New Roman" w:cs="Times New Roman"/>
          <w:b/>
          <w:bCs/>
          <w:color w:val="000000"/>
          <w:sz w:val="24"/>
          <w:szCs w:val="24"/>
          <w:u w:val="single"/>
          <w:lang w:eastAsia="pl-PL" w:bidi="pl-PL"/>
        </w:rPr>
      </w:pPr>
    </w:p>
    <w:p w14:paraId="7FCF3BFC" w14:textId="065EA6D5" w:rsidR="004E6514" w:rsidRDefault="004E6514" w:rsidP="003C3947">
      <w:pPr>
        <w:tabs>
          <w:tab w:val="left" w:pos="5400"/>
        </w:tabs>
        <w:spacing w:after="0"/>
        <w:jc w:val="both"/>
        <w:rPr>
          <w:rFonts w:ascii="Times New Roman" w:eastAsia="Times New Roman" w:hAnsi="Times New Roman" w:cs="Times New Roman"/>
          <w:b/>
          <w:bCs/>
          <w:color w:val="000000"/>
          <w:sz w:val="24"/>
          <w:szCs w:val="24"/>
          <w:u w:val="single"/>
          <w:lang w:eastAsia="pl-PL" w:bidi="pl-PL"/>
        </w:rPr>
      </w:pPr>
    </w:p>
    <w:p w14:paraId="7832E3A3" w14:textId="405F65ED" w:rsidR="004E6514" w:rsidRDefault="004E6514" w:rsidP="003C3947">
      <w:pPr>
        <w:tabs>
          <w:tab w:val="left" w:pos="5400"/>
        </w:tabs>
        <w:spacing w:after="0"/>
        <w:jc w:val="both"/>
        <w:rPr>
          <w:rFonts w:ascii="Times New Roman" w:eastAsia="Times New Roman" w:hAnsi="Times New Roman" w:cs="Times New Roman"/>
          <w:b/>
          <w:bCs/>
          <w:color w:val="000000"/>
          <w:sz w:val="24"/>
          <w:szCs w:val="24"/>
          <w:u w:val="single"/>
          <w:lang w:eastAsia="pl-PL" w:bidi="pl-PL"/>
        </w:rPr>
      </w:pPr>
    </w:p>
    <w:p w14:paraId="26D5FCBB" w14:textId="77777777" w:rsidR="004E6514" w:rsidRDefault="004E6514" w:rsidP="003C3947">
      <w:pPr>
        <w:tabs>
          <w:tab w:val="left" w:pos="5400"/>
        </w:tabs>
        <w:spacing w:after="0"/>
        <w:jc w:val="both"/>
        <w:rPr>
          <w:rFonts w:ascii="Times New Roman" w:eastAsia="Times New Roman" w:hAnsi="Times New Roman" w:cs="Times New Roman"/>
          <w:b/>
          <w:bCs/>
          <w:color w:val="000000"/>
          <w:sz w:val="24"/>
          <w:szCs w:val="24"/>
          <w:u w:val="single"/>
          <w:lang w:eastAsia="pl-PL" w:bidi="pl-PL"/>
        </w:rPr>
      </w:pPr>
    </w:p>
    <w:p w14:paraId="223EDDC4" w14:textId="77777777" w:rsidR="00B90E75" w:rsidRPr="003C3947" w:rsidRDefault="00B90E75" w:rsidP="003C3947">
      <w:pPr>
        <w:tabs>
          <w:tab w:val="left" w:pos="5400"/>
        </w:tabs>
        <w:spacing w:after="0"/>
        <w:jc w:val="both"/>
        <w:rPr>
          <w:rFonts w:ascii="Times New Roman" w:eastAsia="Times New Roman" w:hAnsi="Times New Roman" w:cs="Times New Roman"/>
          <w:b/>
          <w:bCs/>
          <w:color w:val="00B0F0"/>
          <w:sz w:val="24"/>
          <w:szCs w:val="24"/>
          <w:lang w:eastAsia="pl-PL" w:bidi="pl-PL"/>
        </w:rPr>
      </w:pPr>
      <w:r w:rsidRPr="003C3947">
        <w:rPr>
          <w:rFonts w:ascii="Times New Roman" w:eastAsia="Times New Roman" w:hAnsi="Times New Roman" w:cs="Times New Roman"/>
          <w:b/>
          <w:bCs/>
          <w:color w:val="00B0F0"/>
          <w:sz w:val="24"/>
          <w:szCs w:val="24"/>
          <w:lang w:eastAsia="pl-PL" w:bidi="pl-PL"/>
        </w:rPr>
        <w:lastRenderedPageBreak/>
        <w:t xml:space="preserve">Rozszerzanie katalogu Elektrycznej Dokumentacji Medycznej. </w:t>
      </w:r>
    </w:p>
    <w:p w14:paraId="60CE603F" w14:textId="77777777" w:rsidR="00B90E75" w:rsidRPr="003C3947" w:rsidRDefault="00B90E75" w:rsidP="003C3947">
      <w:pPr>
        <w:tabs>
          <w:tab w:val="left" w:pos="5400"/>
        </w:tabs>
        <w:spacing w:after="0"/>
        <w:ind w:left="6"/>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Rozszerzono katalog elektronicznej dokumentacji medycznej o dodatkowe dokumenty, takie jak</w:t>
      </w:r>
      <w:r w:rsidRPr="00B90E75">
        <w:rPr>
          <w:rStyle w:val="Odwoanieprzypisudolnego"/>
          <w:rFonts w:ascii="Times New Roman" w:eastAsia="Times New Roman" w:hAnsi="Times New Roman" w:cs="Times New Roman"/>
          <w:color w:val="000000"/>
          <w:sz w:val="24"/>
          <w:szCs w:val="24"/>
          <w:lang w:eastAsia="pl-PL" w:bidi="pl-PL"/>
        </w:rPr>
        <w:footnoteReference w:id="35"/>
      </w:r>
      <w:r w:rsidR="003C3947">
        <w:rPr>
          <w:rFonts w:ascii="Times New Roman" w:eastAsia="Times New Roman" w:hAnsi="Times New Roman" w:cs="Times New Roman"/>
          <w:color w:val="000000"/>
          <w:sz w:val="24"/>
          <w:szCs w:val="24"/>
          <w:lang w:eastAsia="pl-PL" w:bidi="pl-PL"/>
        </w:rPr>
        <w:t xml:space="preserve"> </w:t>
      </w:r>
      <w:r w:rsidRPr="003C3947">
        <w:rPr>
          <w:rFonts w:ascii="Times New Roman" w:eastAsia="Times New Roman" w:hAnsi="Times New Roman" w:cs="Times New Roman"/>
          <w:color w:val="000000"/>
          <w:sz w:val="24"/>
          <w:szCs w:val="24"/>
          <w:lang w:eastAsia="pl-PL" w:bidi="pl-PL"/>
        </w:rPr>
        <w:t>wynik badań laboratoryjnych wraz z opisem oraz</w:t>
      </w:r>
      <w:r w:rsidR="003C3947">
        <w:rPr>
          <w:rFonts w:ascii="Times New Roman" w:eastAsia="Times New Roman" w:hAnsi="Times New Roman" w:cs="Times New Roman"/>
          <w:color w:val="000000"/>
          <w:sz w:val="24"/>
          <w:szCs w:val="24"/>
          <w:lang w:eastAsia="pl-PL" w:bidi="pl-PL"/>
        </w:rPr>
        <w:t xml:space="preserve"> </w:t>
      </w:r>
      <w:r w:rsidRPr="003C3947">
        <w:rPr>
          <w:rFonts w:ascii="Times New Roman" w:eastAsia="Times New Roman" w:hAnsi="Times New Roman" w:cs="Times New Roman"/>
          <w:color w:val="000000"/>
          <w:sz w:val="24"/>
          <w:szCs w:val="24"/>
          <w:lang w:eastAsia="pl-PL" w:bidi="pl-PL"/>
        </w:rPr>
        <w:t>opis badań diagnostycznych.</w:t>
      </w:r>
      <w:r w:rsidR="003C3947">
        <w:rPr>
          <w:rFonts w:ascii="Times New Roman" w:eastAsia="Times New Roman" w:hAnsi="Times New Roman" w:cs="Times New Roman"/>
          <w:color w:val="000000"/>
          <w:sz w:val="24"/>
          <w:szCs w:val="24"/>
          <w:lang w:eastAsia="pl-PL" w:bidi="pl-PL"/>
        </w:rPr>
        <w:t xml:space="preserve"> </w:t>
      </w:r>
      <w:r w:rsidRPr="003C3947">
        <w:rPr>
          <w:rFonts w:ascii="Times New Roman" w:eastAsia="Times New Roman" w:hAnsi="Times New Roman" w:cs="Times New Roman"/>
          <w:color w:val="000000"/>
          <w:sz w:val="24"/>
          <w:szCs w:val="24"/>
          <w:lang w:eastAsia="pl-PL" w:bidi="pl-PL"/>
        </w:rPr>
        <w:t>Od 25 kwietnia 2021 r. wyniki badań laboratoryjnych wraz z opisem powinny być prowadzone w formie elektronicznej dokumentacji medycznej. Rozszerzenie katalogu dokumentów kwalifikowanych do elektronicznej dokumentacji medycznej o opis badań diagnostycznych niewątpliwie usprawni efektywność procesu udzielania świadczeń opieki zdrowotnej.</w:t>
      </w:r>
    </w:p>
    <w:p w14:paraId="684F4BFE" w14:textId="77777777" w:rsidR="003C3947" w:rsidRDefault="003C3947" w:rsidP="003C3947">
      <w:pPr>
        <w:tabs>
          <w:tab w:val="left" w:pos="5400"/>
        </w:tabs>
        <w:spacing w:after="0"/>
        <w:jc w:val="both"/>
        <w:rPr>
          <w:rFonts w:ascii="Times New Roman" w:eastAsia="Times New Roman" w:hAnsi="Times New Roman" w:cs="Times New Roman"/>
          <w:b/>
          <w:bCs/>
          <w:color w:val="000000"/>
          <w:sz w:val="24"/>
          <w:szCs w:val="24"/>
          <w:lang w:eastAsia="pl-PL" w:bidi="pl-PL"/>
        </w:rPr>
      </w:pPr>
    </w:p>
    <w:p w14:paraId="452339D2" w14:textId="77777777" w:rsidR="00B90E75" w:rsidRPr="003C3947" w:rsidRDefault="00B90E75" w:rsidP="003C3947">
      <w:pPr>
        <w:tabs>
          <w:tab w:val="left" w:pos="5400"/>
        </w:tabs>
        <w:spacing w:after="0"/>
        <w:jc w:val="both"/>
        <w:rPr>
          <w:rFonts w:ascii="Times New Roman" w:eastAsia="Times New Roman" w:hAnsi="Times New Roman" w:cs="Times New Roman"/>
          <w:b/>
          <w:bCs/>
          <w:color w:val="00B0F0"/>
          <w:sz w:val="24"/>
          <w:szCs w:val="24"/>
          <w:lang w:eastAsia="pl-PL" w:bidi="pl-PL"/>
        </w:rPr>
      </w:pPr>
      <w:r w:rsidRPr="003C3947">
        <w:rPr>
          <w:rFonts w:ascii="Times New Roman" w:eastAsia="Times New Roman" w:hAnsi="Times New Roman" w:cs="Times New Roman"/>
          <w:b/>
          <w:bCs/>
          <w:color w:val="00B0F0"/>
          <w:sz w:val="24"/>
          <w:szCs w:val="24"/>
          <w:lang w:eastAsia="pl-PL" w:bidi="pl-PL"/>
        </w:rPr>
        <w:t xml:space="preserve">Rozporządzenie Ministra Zdrowia z dnia 2 sierpnia 2019 r. w sprawie zlecenia na zaopatrzenie w wyroby medyczne oraz zlecenia naprawy wyrobu medycznego (Dz. U. poz. 1555) </w:t>
      </w:r>
    </w:p>
    <w:p w14:paraId="736E125D" w14:textId="77777777" w:rsidR="00B90E75" w:rsidRDefault="00B90E75" w:rsidP="00C363D3">
      <w:pPr>
        <w:tabs>
          <w:tab w:val="left" w:pos="5400"/>
        </w:tabs>
        <w:spacing w:after="0"/>
        <w:ind w:left="6"/>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Stworzono możliwości weryfikacji zleceń na zaopatrzenie w wyroby medyczne oraz naprawy wyrobu medycznego przez NFZ za pośrednictwem serwisów internetowych lub usług informatycznych NFZ. Zniesienie obowiązku osobistego stawiania się pacjenta w Oddziale Wojewódzkim NFZ celem bezpośredniej weryfikacji wystawionego zlecenia, stanowi znaczne udogodnienia w szczególności dla osób starszych i dla osób z niepełnosprawnościami.</w:t>
      </w:r>
    </w:p>
    <w:p w14:paraId="60C37B42" w14:textId="77777777" w:rsidR="003C3947" w:rsidRDefault="003C3947" w:rsidP="00C363D3">
      <w:pPr>
        <w:tabs>
          <w:tab w:val="left" w:pos="5400"/>
        </w:tabs>
        <w:spacing w:after="0"/>
        <w:ind w:left="6"/>
        <w:jc w:val="both"/>
        <w:rPr>
          <w:rFonts w:ascii="Times New Roman" w:eastAsia="Times New Roman" w:hAnsi="Times New Roman" w:cs="Times New Roman"/>
          <w:color w:val="000000"/>
          <w:sz w:val="24"/>
          <w:szCs w:val="24"/>
          <w:lang w:eastAsia="pl-PL" w:bidi="pl-PL"/>
        </w:rPr>
      </w:pPr>
    </w:p>
    <w:p w14:paraId="465C8E62" w14:textId="77777777" w:rsidR="003C3947" w:rsidRPr="003C3947" w:rsidRDefault="003C3947" w:rsidP="00C363D3">
      <w:pPr>
        <w:tabs>
          <w:tab w:val="left" w:pos="5400"/>
        </w:tabs>
        <w:spacing w:after="0"/>
        <w:ind w:left="6"/>
        <w:jc w:val="both"/>
        <w:rPr>
          <w:rFonts w:ascii="Times New Roman" w:eastAsia="Times New Roman" w:hAnsi="Times New Roman" w:cs="Times New Roman"/>
          <w:b/>
          <w:color w:val="00B0F0"/>
          <w:sz w:val="24"/>
          <w:szCs w:val="24"/>
          <w:lang w:eastAsia="pl-PL" w:bidi="pl-PL"/>
        </w:rPr>
      </w:pPr>
      <w:r w:rsidRPr="003C3947">
        <w:rPr>
          <w:rFonts w:ascii="Times New Roman" w:eastAsia="Times New Roman" w:hAnsi="Times New Roman" w:cs="Times New Roman"/>
          <w:b/>
          <w:color w:val="00B0F0"/>
          <w:sz w:val="24"/>
          <w:szCs w:val="24"/>
          <w:lang w:eastAsia="pl-PL" w:bidi="pl-PL"/>
        </w:rPr>
        <w:t>Rozwój powszechnych usług cyfrowych w ochronie zdrowia</w:t>
      </w:r>
    </w:p>
    <w:p w14:paraId="67CF25A8" w14:textId="77777777" w:rsidR="00B90E75" w:rsidRP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Ministerstwo Zdrowia wdraża nowoczesne e-usługi w sektorze ochrony zdrowia, które stanowią odpowiedź także na postulaty i potrzeby seniorów. Spośród kluczowych e-usług, które zwiększają dostępność do świadczeń oraz przyczyniają się do poprawy funkcjonowania osób starszych w polskim systemie ochrony zdrowia, należy wymienić: </w:t>
      </w:r>
    </w:p>
    <w:p w14:paraId="10E498FE" w14:textId="77777777" w:rsidR="00B90E75" w:rsidRPr="00514D3A" w:rsidRDefault="00B90E75" w:rsidP="008C71A9">
      <w:pPr>
        <w:pStyle w:val="Akapitzlist"/>
        <w:numPr>
          <w:ilvl w:val="0"/>
          <w:numId w:val="374"/>
        </w:numPr>
        <w:tabs>
          <w:tab w:val="left" w:pos="5400"/>
        </w:tabs>
        <w:spacing w:after="0"/>
        <w:ind w:left="360"/>
        <w:contextualSpacing w:val="0"/>
        <w:jc w:val="both"/>
        <w:rPr>
          <w:rFonts w:ascii="Times New Roman" w:eastAsia="Times New Roman" w:hAnsi="Times New Roman" w:cs="Times New Roman"/>
          <w:color w:val="000000"/>
          <w:sz w:val="24"/>
          <w:szCs w:val="24"/>
          <w:lang w:eastAsia="pl-PL" w:bidi="pl-PL"/>
        </w:rPr>
      </w:pPr>
      <w:r w:rsidRPr="00514D3A">
        <w:rPr>
          <w:rFonts w:ascii="Times New Roman" w:eastAsia="Times New Roman" w:hAnsi="Times New Roman" w:cs="Times New Roman"/>
          <w:bCs/>
          <w:color w:val="000000"/>
          <w:sz w:val="24"/>
          <w:szCs w:val="24"/>
          <w:lang w:eastAsia="pl-PL" w:bidi="pl-PL"/>
        </w:rPr>
        <w:t>e-receptę</w:t>
      </w:r>
      <w:r w:rsidRPr="00514D3A">
        <w:rPr>
          <w:rFonts w:ascii="Times New Roman" w:eastAsia="Times New Roman" w:hAnsi="Times New Roman" w:cs="Times New Roman"/>
          <w:color w:val="000000"/>
          <w:sz w:val="24"/>
          <w:szCs w:val="24"/>
          <w:lang w:eastAsia="pl-PL" w:bidi="pl-PL"/>
        </w:rPr>
        <w:t xml:space="preserve"> (od 8 stycznia 2020 r. wystawianie recept w postaci elektronicznej jest obowiązkowe) oraz </w:t>
      </w:r>
    </w:p>
    <w:p w14:paraId="2CCDFE86" w14:textId="77777777" w:rsidR="00B90E75" w:rsidRPr="00514D3A" w:rsidRDefault="00B90E75" w:rsidP="008C71A9">
      <w:pPr>
        <w:pStyle w:val="Akapitzlist"/>
        <w:numPr>
          <w:ilvl w:val="0"/>
          <w:numId w:val="374"/>
        </w:numPr>
        <w:tabs>
          <w:tab w:val="left" w:pos="5400"/>
        </w:tabs>
        <w:spacing w:after="0"/>
        <w:ind w:left="360"/>
        <w:contextualSpacing w:val="0"/>
        <w:jc w:val="both"/>
        <w:rPr>
          <w:rFonts w:ascii="Times New Roman" w:eastAsia="Times New Roman" w:hAnsi="Times New Roman" w:cs="Times New Roman"/>
          <w:color w:val="000000"/>
          <w:sz w:val="24"/>
          <w:szCs w:val="24"/>
          <w:lang w:eastAsia="pl-PL" w:bidi="pl-PL"/>
        </w:rPr>
      </w:pPr>
      <w:r w:rsidRPr="00514D3A">
        <w:rPr>
          <w:rFonts w:ascii="Times New Roman" w:eastAsia="Times New Roman" w:hAnsi="Times New Roman" w:cs="Times New Roman"/>
          <w:bCs/>
          <w:color w:val="000000"/>
          <w:sz w:val="24"/>
          <w:szCs w:val="24"/>
          <w:lang w:eastAsia="pl-PL" w:bidi="pl-PL"/>
        </w:rPr>
        <w:t>e-skierowanie</w:t>
      </w:r>
      <w:r w:rsidRPr="00514D3A">
        <w:rPr>
          <w:rFonts w:ascii="Times New Roman" w:eastAsia="Times New Roman" w:hAnsi="Times New Roman" w:cs="Times New Roman"/>
          <w:color w:val="000000"/>
          <w:sz w:val="24"/>
          <w:szCs w:val="24"/>
          <w:lang w:eastAsia="pl-PL" w:bidi="pl-PL"/>
        </w:rPr>
        <w:t xml:space="preserve"> (elektroniczna forma realizacji skierowania na wybrane świadczenia zacznie obowiązywać od 8 stycznia 2021 r.) – w 2019 r. zakończył się pilotaż tego rozwiązania.</w:t>
      </w:r>
    </w:p>
    <w:p w14:paraId="75AA21A2" w14:textId="77777777" w:rsidR="00514D3A" w:rsidRDefault="00514D3A"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p>
    <w:p w14:paraId="1AD94495" w14:textId="77777777" w:rsidR="00B90E75" w:rsidRP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W 2019 r. poszerzona została liczba funkcji dostępnych w </w:t>
      </w:r>
      <w:r w:rsidRPr="00514D3A">
        <w:rPr>
          <w:rFonts w:ascii="Times New Roman" w:eastAsia="Times New Roman" w:hAnsi="Times New Roman" w:cs="Times New Roman"/>
          <w:bCs/>
          <w:color w:val="000000"/>
          <w:sz w:val="24"/>
          <w:szCs w:val="24"/>
          <w:lang w:eastAsia="pl-PL" w:bidi="pl-PL"/>
        </w:rPr>
        <w:t>Internetowym Koncie Pacjenta</w:t>
      </w:r>
      <w:r w:rsidRPr="00B90E75">
        <w:rPr>
          <w:rFonts w:ascii="Times New Roman" w:eastAsia="Times New Roman" w:hAnsi="Times New Roman" w:cs="Times New Roman"/>
          <w:color w:val="000000"/>
          <w:sz w:val="24"/>
          <w:szCs w:val="24"/>
          <w:lang w:eastAsia="pl-PL" w:bidi="pl-PL"/>
        </w:rPr>
        <w:t xml:space="preserve"> (IKP)</w:t>
      </w:r>
      <w:r w:rsidRPr="00B90E75">
        <w:rPr>
          <w:rStyle w:val="Odwoanieprzypisudolnego"/>
          <w:rFonts w:ascii="Times New Roman" w:eastAsia="Times New Roman" w:hAnsi="Times New Roman" w:cs="Times New Roman"/>
          <w:color w:val="000000"/>
          <w:sz w:val="24"/>
          <w:szCs w:val="24"/>
          <w:lang w:eastAsia="pl-PL" w:bidi="pl-PL"/>
        </w:rPr>
        <w:footnoteReference w:id="36"/>
      </w:r>
      <w:r w:rsidRPr="00B90E75">
        <w:rPr>
          <w:rFonts w:ascii="Times New Roman" w:eastAsia="Times New Roman" w:hAnsi="Times New Roman" w:cs="Times New Roman"/>
          <w:color w:val="000000"/>
          <w:sz w:val="24"/>
          <w:szCs w:val="24"/>
          <w:lang w:eastAsia="pl-PL" w:bidi="pl-PL"/>
        </w:rPr>
        <w:t>. Za jego pośrednictwem pacjenci:</w:t>
      </w:r>
    </w:p>
    <w:p w14:paraId="1C28BE01" w14:textId="77777777" w:rsidR="00B90E75" w:rsidRPr="00B90E75" w:rsidRDefault="00B90E75" w:rsidP="008C71A9">
      <w:pPr>
        <w:pStyle w:val="Akapitzlist"/>
        <w:numPr>
          <w:ilvl w:val="0"/>
          <w:numId w:val="375"/>
        </w:numPr>
        <w:tabs>
          <w:tab w:val="left" w:pos="5400"/>
        </w:tabs>
        <w:spacing w:after="0"/>
        <w:ind w:left="360"/>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mają dostęp m.in. do wystawionych e-recept z informacją o dawkowaniu leków, e-skierowań i innej dokumentacji oraz historii leczenia;</w:t>
      </w:r>
    </w:p>
    <w:p w14:paraId="620DF6D7" w14:textId="77777777" w:rsidR="00B90E75" w:rsidRPr="00B90E75" w:rsidRDefault="00B90E75" w:rsidP="008C71A9">
      <w:pPr>
        <w:pStyle w:val="Akapitzlist"/>
        <w:numPr>
          <w:ilvl w:val="0"/>
          <w:numId w:val="375"/>
        </w:numPr>
        <w:tabs>
          <w:tab w:val="left" w:pos="5400"/>
        </w:tabs>
        <w:spacing w:after="0"/>
        <w:ind w:left="360"/>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mogą elektronicznie składać deklaracje wyboru lekarza, pielęgniarki i położnej POZ;</w:t>
      </w:r>
    </w:p>
    <w:p w14:paraId="4CC38513" w14:textId="77777777" w:rsidR="00B90E75" w:rsidRPr="00B90E75" w:rsidRDefault="00B90E75" w:rsidP="008C71A9">
      <w:pPr>
        <w:pStyle w:val="Akapitzlist"/>
        <w:numPr>
          <w:ilvl w:val="0"/>
          <w:numId w:val="375"/>
        </w:numPr>
        <w:tabs>
          <w:tab w:val="left" w:pos="5400"/>
        </w:tabs>
        <w:spacing w:after="0"/>
        <w:ind w:left="360"/>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zyskali możliwość udostępniania bliskiej osobie lub lekarzowi informacji o stanie zdrowia i historii przepisywanych leków (dzięki temu osoby starsze mogą upoważnić bliską osobę do wykonywania określonych czynności w ich imieniu, np. realizacji e-recept i e-skierowań).</w:t>
      </w:r>
    </w:p>
    <w:p w14:paraId="03D5041F" w14:textId="77777777" w:rsidR="00514D3A" w:rsidRDefault="00514D3A"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p>
    <w:p w14:paraId="1E0BC10D" w14:textId="77777777" w:rsid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lastRenderedPageBreak/>
        <w:t>Osoby starsze, które nigdy nie korzystały z Internetu i nie czują takiej potrzeby, mogą upoważnić kogoś bliskiego do obsługi ich konta w IKP. W celu ułatwienia dostępu do IKP wprowadzona została możliwość potwierdzania Profili Zaufanych oraz aktywowania IKP w placówkach POZ.</w:t>
      </w:r>
    </w:p>
    <w:p w14:paraId="43F9D482" w14:textId="77777777" w:rsidR="00514D3A" w:rsidRDefault="00514D3A"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p>
    <w:p w14:paraId="625A4F53" w14:textId="77777777" w:rsidR="00514D3A" w:rsidRPr="00514D3A" w:rsidRDefault="00514D3A" w:rsidP="00C363D3">
      <w:pPr>
        <w:pStyle w:val="Akapitzlist"/>
        <w:tabs>
          <w:tab w:val="left" w:pos="5400"/>
        </w:tabs>
        <w:spacing w:after="0"/>
        <w:ind w:left="6"/>
        <w:contextualSpacing w:val="0"/>
        <w:jc w:val="both"/>
        <w:rPr>
          <w:rFonts w:ascii="Times New Roman" w:eastAsia="Times New Roman" w:hAnsi="Times New Roman" w:cs="Times New Roman"/>
          <w:b/>
          <w:color w:val="00B0F0"/>
          <w:sz w:val="24"/>
          <w:szCs w:val="24"/>
          <w:lang w:eastAsia="pl-PL" w:bidi="pl-PL"/>
        </w:rPr>
      </w:pPr>
      <w:r w:rsidRPr="00514D3A">
        <w:rPr>
          <w:rFonts w:ascii="Times New Roman" w:eastAsia="Times New Roman" w:hAnsi="Times New Roman" w:cs="Times New Roman"/>
          <w:b/>
          <w:color w:val="00B0F0"/>
          <w:sz w:val="24"/>
          <w:szCs w:val="24"/>
          <w:lang w:eastAsia="pl-PL" w:bidi="pl-PL"/>
        </w:rPr>
        <w:t>Projekty telemedyczne dofinansowane ze środków zagranicznych</w:t>
      </w:r>
    </w:p>
    <w:p w14:paraId="3DA203A9" w14:textId="77777777" w:rsidR="00B90E75" w:rsidRP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514D3A">
        <w:rPr>
          <w:rFonts w:ascii="Times New Roman" w:eastAsia="Times New Roman" w:hAnsi="Times New Roman" w:cs="Times New Roman"/>
          <w:bCs/>
          <w:color w:val="000000"/>
          <w:sz w:val="24"/>
          <w:szCs w:val="24"/>
          <w:lang w:eastAsia="pl-PL" w:bidi="pl-PL"/>
        </w:rPr>
        <w:t xml:space="preserve">Także projekty finansowane ze środków zagranicznych </w:t>
      </w:r>
      <w:r w:rsidRPr="00514D3A">
        <w:rPr>
          <w:rFonts w:ascii="Times New Roman" w:eastAsia="Times New Roman" w:hAnsi="Times New Roman" w:cs="Times New Roman"/>
          <w:color w:val="000000"/>
          <w:sz w:val="24"/>
          <w:szCs w:val="24"/>
          <w:lang w:eastAsia="pl-PL" w:bidi="pl-PL"/>
        </w:rPr>
        <w:t>mają przyczynić się do podniesienia jakości życia osób starszych w Polsce i zwiększenia dostępności</w:t>
      </w:r>
      <w:r w:rsidRPr="00B90E75">
        <w:rPr>
          <w:rFonts w:ascii="Times New Roman" w:eastAsia="Times New Roman" w:hAnsi="Times New Roman" w:cs="Times New Roman"/>
          <w:color w:val="000000"/>
          <w:sz w:val="24"/>
          <w:szCs w:val="24"/>
          <w:lang w:eastAsia="pl-PL" w:bidi="pl-PL"/>
        </w:rPr>
        <w:t xml:space="preserve"> usług medycznych.</w:t>
      </w:r>
    </w:p>
    <w:p w14:paraId="0B734270" w14:textId="77777777" w:rsidR="00514D3A" w:rsidRDefault="00514D3A" w:rsidP="00C363D3">
      <w:pPr>
        <w:pStyle w:val="Akapitzlist"/>
        <w:tabs>
          <w:tab w:val="left" w:pos="5400"/>
        </w:tabs>
        <w:spacing w:after="0"/>
        <w:ind w:left="6"/>
        <w:contextualSpacing w:val="0"/>
        <w:jc w:val="both"/>
        <w:rPr>
          <w:rFonts w:ascii="Times New Roman" w:eastAsia="Times New Roman" w:hAnsi="Times New Roman" w:cs="Times New Roman"/>
          <w:b/>
          <w:bCs/>
          <w:color w:val="000000"/>
          <w:sz w:val="24"/>
          <w:szCs w:val="24"/>
          <w:lang w:eastAsia="pl-PL" w:bidi="pl-PL"/>
        </w:rPr>
      </w:pPr>
    </w:p>
    <w:p w14:paraId="5FC88692" w14:textId="77777777" w:rsidR="00B90E75" w:rsidRP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b/>
          <w:bCs/>
          <w:color w:val="000000"/>
          <w:sz w:val="24"/>
          <w:szCs w:val="24"/>
          <w:lang w:eastAsia="pl-PL" w:bidi="pl-PL"/>
        </w:rPr>
      </w:pPr>
      <w:r w:rsidRPr="00B90E75">
        <w:rPr>
          <w:rFonts w:ascii="Times New Roman" w:eastAsia="Times New Roman" w:hAnsi="Times New Roman" w:cs="Times New Roman"/>
          <w:b/>
          <w:bCs/>
          <w:color w:val="000000"/>
          <w:sz w:val="24"/>
          <w:szCs w:val="24"/>
          <w:lang w:eastAsia="pl-PL" w:bidi="pl-PL"/>
        </w:rPr>
        <w:t>Projekt telemedyczny</w:t>
      </w:r>
    </w:p>
    <w:p w14:paraId="2ADF7E9C" w14:textId="77777777" w:rsidR="00B90E75" w:rsidRP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W dniu 20 grudnia 2017 r. podpisano memorandum w sprawie Norweskiego Mechanizmu Finansowego 2014-2021, określające ramy wdrażania trzeciej perspektywy funduszy norweskich w Polsce. Finansowany z tego źródła program „Zdrowie” koncentruje się m.in. na upowszechnieniu nowoczesnych rozwiązań zdalnych w lecznictwie oraz – w dłuższej perspektywie czasowej – wprowadzeniu ich do koszyka świadczeń gwarantowanych.</w:t>
      </w:r>
    </w:p>
    <w:p w14:paraId="5B08EBE7" w14:textId="77777777" w:rsidR="00B90E75" w:rsidRPr="00B90E75" w:rsidRDefault="00B90E75" w:rsidP="00C363D3">
      <w:pPr>
        <w:pStyle w:val="Akapitzlist"/>
        <w:tabs>
          <w:tab w:val="left" w:pos="5400"/>
        </w:tabs>
        <w:spacing w:after="0"/>
        <w:ind w:left="5"/>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Projekt telemedyczny w tym programie zakłada wypracowanie </w:t>
      </w:r>
      <w:r w:rsidRPr="00514D3A">
        <w:rPr>
          <w:rFonts w:ascii="Times New Roman" w:eastAsia="Times New Roman" w:hAnsi="Times New Roman" w:cs="Times New Roman"/>
          <w:bCs/>
          <w:color w:val="000000"/>
          <w:sz w:val="24"/>
          <w:szCs w:val="24"/>
          <w:lang w:eastAsia="pl-PL" w:bidi="pl-PL"/>
        </w:rPr>
        <w:t>7 modeli</w:t>
      </w:r>
      <w:r w:rsidRPr="00B90E75">
        <w:rPr>
          <w:rFonts w:ascii="Times New Roman" w:eastAsia="Times New Roman" w:hAnsi="Times New Roman" w:cs="Times New Roman"/>
          <w:color w:val="000000"/>
          <w:sz w:val="24"/>
          <w:szCs w:val="24"/>
          <w:lang w:eastAsia="pl-PL" w:bidi="pl-PL"/>
        </w:rPr>
        <w:t xml:space="preserve"> procedur telemedycznych w obszarach:</w:t>
      </w:r>
    </w:p>
    <w:p w14:paraId="004EF6D5" w14:textId="77777777" w:rsidR="00B90E75" w:rsidRPr="00B90E75" w:rsidRDefault="00B90E75" w:rsidP="008C71A9">
      <w:pPr>
        <w:pStyle w:val="Akapitzlist"/>
        <w:numPr>
          <w:ilvl w:val="0"/>
          <w:numId w:val="376"/>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geriatrii,</w:t>
      </w:r>
    </w:p>
    <w:p w14:paraId="705FEACB" w14:textId="77777777" w:rsidR="00B90E75" w:rsidRPr="00B90E75" w:rsidRDefault="00B90E75" w:rsidP="008C71A9">
      <w:pPr>
        <w:pStyle w:val="Akapitzlist"/>
        <w:numPr>
          <w:ilvl w:val="0"/>
          <w:numId w:val="376"/>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kardiologii,</w:t>
      </w:r>
    </w:p>
    <w:p w14:paraId="2ABF6E67" w14:textId="77777777" w:rsidR="00B90E75" w:rsidRPr="00B90E75" w:rsidRDefault="00B90E75" w:rsidP="008C71A9">
      <w:pPr>
        <w:pStyle w:val="Akapitzlist"/>
        <w:numPr>
          <w:ilvl w:val="0"/>
          <w:numId w:val="376"/>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psychiatrii, </w:t>
      </w:r>
    </w:p>
    <w:p w14:paraId="0CFB22A3" w14:textId="77777777" w:rsidR="00B90E75" w:rsidRPr="00B90E75" w:rsidRDefault="00B90E75" w:rsidP="008C71A9">
      <w:pPr>
        <w:pStyle w:val="Akapitzlist"/>
        <w:numPr>
          <w:ilvl w:val="0"/>
          <w:numId w:val="376"/>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położnictwa, </w:t>
      </w:r>
    </w:p>
    <w:p w14:paraId="196C8A0E" w14:textId="77777777" w:rsidR="00B90E75" w:rsidRPr="00B90E75" w:rsidRDefault="00B90E75" w:rsidP="008C71A9">
      <w:pPr>
        <w:pStyle w:val="Akapitzlist"/>
        <w:numPr>
          <w:ilvl w:val="0"/>
          <w:numId w:val="376"/>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diabetologii,</w:t>
      </w:r>
    </w:p>
    <w:p w14:paraId="73F8EF75" w14:textId="77777777" w:rsidR="00B90E75" w:rsidRPr="00B90E75" w:rsidRDefault="00B90E75" w:rsidP="008C71A9">
      <w:pPr>
        <w:pStyle w:val="Akapitzlist"/>
        <w:numPr>
          <w:ilvl w:val="0"/>
          <w:numId w:val="376"/>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opieki paliatywnej oraz </w:t>
      </w:r>
    </w:p>
    <w:p w14:paraId="30075A6F" w14:textId="77777777" w:rsidR="00B90E75" w:rsidRPr="00B90E75" w:rsidRDefault="00B90E75" w:rsidP="008C71A9">
      <w:pPr>
        <w:pStyle w:val="Akapitzlist"/>
        <w:numPr>
          <w:ilvl w:val="0"/>
          <w:numId w:val="376"/>
        </w:numPr>
        <w:tabs>
          <w:tab w:val="left" w:pos="5400"/>
        </w:tabs>
        <w:spacing w:after="0"/>
        <w:ind w:left="360"/>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chorób przewlekłych. </w:t>
      </w:r>
    </w:p>
    <w:p w14:paraId="252522C7" w14:textId="77777777" w:rsid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Opracowane rozwiązania zostaną przetestowane w pilotażu w wybranych placówkach na terenie całego kraju. Kolejnym krokiem będzie przeprowadzenie ewaluacji pilotażu, która ma na celu wypracowanie rekomendacji dotyczących możliwości finansowania ze środków publicznych najbardziej efektywnych kosztowo świadczeń. </w:t>
      </w:r>
    </w:p>
    <w:p w14:paraId="1CB3E697" w14:textId="77777777" w:rsidR="00514D3A" w:rsidRPr="00B90E75" w:rsidRDefault="00514D3A"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p>
    <w:p w14:paraId="3CA1EE78" w14:textId="77777777" w:rsidR="00B90E75" w:rsidRP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W 2019 r. zakończono proces negocjacji koncepcji programu „Zdrowie” (Concept note), w tym projektu telemedycznego, w wyniku których podpisana została umowa dla programu. Ponadto</w:t>
      </w:r>
      <w:r w:rsidR="00514D3A">
        <w:rPr>
          <w:rFonts w:ascii="Times New Roman" w:eastAsia="Times New Roman" w:hAnsi="Times New Roman" w:cs="Times New Roman"/>
          <w:color w:val="000000"/>
          <w:sz w:val="24"/>
          <w:szCs w:val="24"/>
          <w:lang w:eastAsia="pl-PL" w:bidi="pl-PL"/>
        </w:rPr>
        <w:t>,</w:t>
      </w:r>
      <w:r w:rsidRPr="00B90E75">
        <w:rPr>
          <w:rFonts w:ascii="Times New Roman" w:eastAsia="Times New Roman" w:hAnsi="Times New Roman" w:cs="Times New Roman"/>
          <w:color w:val="000000"/>
          <w:sz w:val="24"/>
          <w:szCs w:val="24"/>
          <w:lang w:eastAsia="pl-PL" w:bidi="pl-PL"/>
        </w:rPr>
        <w:t xml:space="preserve"> w 2019 r. prowadzono dalsze prace nad dookreśleniem projektu telemedycznego – został przygotowany i złożony wniosek o dofinansowanie (zatwierdzony w 2020 r.) wraz z budżetem i harmonogramem.</w:t>
      </w:r>
    </w:p>
    <w:p w14:paraId="2B46539A" w14:textId="77777777" w:rsidR="00B90E75" w:rsidRPr="00514D3A" w:rsidRDefault="00B90E75" w:rsidP="00514D3A">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Określone zostały również zasady współpracy z Partnerem norweskim w liście intencyjnym (zawartym w 2019 r.) i w umowie partnerskiej (zawartej w 2020 r.).</w:t>
      </w:r>
      <w:r w:rsidR="00514D3A">
        <w:rPr>
          <w:rFonts w:ascii="Times New Roman" w:eastAsia="Times New Roman" w:hAnsi="Times New Roman" w:cs="Times New Roman"/>
          <w:color w:val="000000"/>
          <w:sz w:val="24"/>
          <w:szCs w:val="24"/>
          <w:lang w:eastAsia="pl-PL" w:bidi="pl-PL"/>
        </w:rPr>
        <w:t xml:space="preserve"> </w:t>
      </w:r>
      <w:r w:rsidRPr="00514D3A">
        <w:rPr>
          <w:rFonts w:ascii="Times New Roman" w:eastAsia="Times New Roman" w:hAnsi="Times New Roman" w:cs="Times New Roman"/>
          <w:color w:val="000000"/>
          <w:sz w:val="24"/>
          <w:szCs w:val="24"/>
          <w:lang w:eastAsia="pl-PL" w:bidi="pl-PL"/>
        </w:rPr>
        <w:t>W dniu 22 maja 2020 r. projekt zost</w:t>
      </w:r>
      <w:r w:rsidR="00514D3A">
        <w:rPr>
          <w:rFonts w:ascii="Times New Roman" w:eastAsia="Times New Roman" w:hAnsi="Times New Roman" w:cs="Times New Roman"/>
          <w:color w:val="000000"/>
          <w:sz w:val="24"/>
          <w:szCs w:val="24"/>
          <w:lang w:eastAsia="pl-PL" w:bidi="pl-PL"/>
        </w:rPr>
        <w:t>ał uruchomiony do realizacji, a je</w:t>
      </w:r>
      <w:r w:rsidRPr="00514D3A">
        <w:rPr>
          <w:rFonts w:ascii="Times New Roman" w:eastAsia="Times New Roman" w:hAnsi="Times New Roman" w:cs="Times New Roman"/>
          <w:color w:val="000000"/>
          <w:sz w:val="24"/>
          <w:szCs w:val="24"/>
          <w:lang w:eastAsia="pl-PL" w:bidi="pl-PL"/>
        </w:rPr>
        <w:t>go wdrażanie zakończy się w 2024 r.</w:t>
      </w:r>
    </w:p>
    <w:p w14:paraId="440204E6" w14:textId="77777777" w:rsidR="00514D3A" w:rsidRDefault="00514D3A" w:rsidP="00C363D3">
      <w:pPr>
        <w:spacing w:after="0"/>
        <w:jc w:val="both"/>
        <w:rPr>
          <w:rFonts w:ascii="Times New Roman" w:eastAsia="Calibri" w:hAnsi="Times New Roman" w:cs="Times New Roman"/>
          <w:sz w:val="24"/>
          <w:szCs w:val="24"/>
        </w:rPr>
      </w:pPr>
    </w:p>
    <w:p w14:paraId="1C82D01C" w14:textId="77777777" w:rsidR="00B90E75" w:rsidRPr="00514D3A" w:rsidRDefault="00B90E75" w:rsidP="00C363D3">
      <w:pPr>
        <w:spacing w:after="0"/>
        <w:jc w:val="both"/>
        <w:rPr>
          <w:rFonts w:ascii="Times New Roman" w:eastAsia="Calibri" w:hAnsi="Times New Roman" w:cs="Times New Roman"/>
          <w:sz w:val="24"/>
          <w:szCs w:val="24"/>
        </w:rPr>
      </w:pPr>
      <w:r w:rsidRPr="00514D3A">
        <w:rPr>
          <w:rFonts w:ascii="Times New Roman" w:eastAsia="Calibri" w:hAnsi="Times New Roman" w:cs="Times New Roman"/>
          <w:sz w:val="24"/>
          <w:szCs w:val="24"/>
        </w:rPr>
        <w:t xml:space="preserve">W ramach aktywnego uczestnictwa we </w:t>
      </w:r>
      <w:bookmarkStart w:id="87" w:name="_Hlk43929390"/>
      <w:r w:rsidRPr="00514D3A">
        <w:rPr>
          <w:rFonts w:ascii="Times New Roman" w:eastAsia="Calibri" w:hAnsi="Times New Roman" w:cs="Times New Roman"/>
          <w:sz w:val="24"/>
          <w:szCs w:val="24"/>
        </w:rPr>
        <w:t xml:space="preserve">wdrożeniu nowych technologii w ochronie zdrowia </w:t>
      </w:r>
      <w:bookmarkEnd w:id="87"/>
      <w:r w:rsidRPr="00514D3A">
        <w:rPr>
          <w:rFonts w:ascii="Times New Roman" w:eastAsia="Calibri" w:hAnsi="Times New Roman" w:cs="Times New Roman"/>
          <w:bCs/>
          <w:sz w:val="24"/>
          <w:szCs w:val="24"/>
        </w:rPr>
        <w:t>NIGRiR</w:t>
      </w:r>
      <w:r w:rsidRPr="00514D3A">
        <w:rPr>
          <w:rFonts w:ascii="Times New Roman" w:eastAsia="Calibri" w:hAnsi="Times New Roman" w:cs="Times New Roman"/>
          <w:sz w:val="24"/>
          <w:szCs w:val="24"/>
        </w:rPr>
        <w:t xml:space="preserve"> nawiązał współpracę z Narodowym Instytutem Seniora, w zakresie wspólnego zaangażowania w </w:t>
      </w:r>
      <w:r w:rsidRPr="00514D3A">
        <w:rPr>
          <w:rFonts w:ascii="Times New Roman" w:eastAsia="Calibri" w:hAnsi="Times New Roman" w:cs="Times New Roman"/>
          <w:bCs/>
          <w:sz w:val="24"/>
          <w:szCs w:val="24"/>
        </w:rPr>
        <w:t xml:space="preserve">działania związane z upowszechnianiem innowacyjnych systemów </w:t>
      </w:r>
      <w:r w:rsidRPr="00514D3A">
        <w:rPr>
          <w:rFonts w:ascii="Times New Roman" w:eastAsia="Calibri" w:hAnsi="Times New Roman" w:cs="Times New Roman"/>
          <w:bCs/>
          <w:sz w:val="24"/>
          <w:szCs w:val="24"/>
        </w:rPr>
        <w:lastRenderedPageBreak/>
        <w:t>monitorowania stanu zdrowia i zachowań prozdrowotnych osób starszych</w:t>
      </w:r>
      <w:r w:rsidRPr="00514D3A">
        <w:rPr>
          <w:rFonts w:ascii="Times New Roman" w:eastAsia="Calibri" w:hAnsi="Times New Roman" w:cs="Times New Roman"/>
          <w:sz w:val="24"/>
          <w:szCs w:val="24"/>
        </w:rPr>
        <w:t>, poprzez wykorzystanie metod teleprofilaktyki i telemedycyny. Wspólny projekt zakładać będzie m. in.</w:t>
      </w:r>
    </w:p>
    <w:p w14:paraId="617692DE" w14:textId="4904E93E" w:rsidR="00B90E75" w:rsidRPr="00B90E75" w:rsidRDefault="00B90E75" w:rsidP="008C71A9">
      <w:pPr>
        <w:pStyle w:val="Akapitzlist"/>
        <w:numPr>
          <w:ilvl w:val="0"/>
          <w:numId w:val="280"/>
        </w:numPr>
        <w:spacing w:after="0"/>
        <w:ind w:left="360"/>
        <w:jc w:val="both"/>
        <w:rPr>
          <w:rFonts w:ascii="Times New Roman" w:hAnsi="Times New Roman" w:cs="Times New Roman"/>
          <w:sz w:val="24"/>
          <w:szCs w:val="24"/>
        </w:rPr>
      </w:pPr>
      <w:r w:rsidRPr="00B90E75">
        <w:rPr>
          <w:rFonts w:ascii="Times New Roman" w:hAnsi="Times New Roman" w:cs="Times New Roman"/>
          <w:sz w:val="24"/>
          <w:szCs w:val="24"/>
        </w:rPr>
        <w:t xml:space="preserve">inicjowanie i rozwijanie współpracy między organami rządowymi, samorządowymi, jednostkami naukowo-badawczymi, organizacjami przedsiębiorcami w promowaniu świadczenia usług teleprofilaktycznych, telemedycznych, </w:t>
      </w:r>
      <w:r w:rsidR="001C344E" w:rsidRPr="00B90E75">
        <w:rPr>
          <w:rFonts w:ascii="Times New Roman" w:hAnsi="Times New Roman" w:cs="Times New Roman"/>
          <w:sz w:val="24"/>
          <w:szCs w:val="24"/>
        </w:rPr>
        <w:t>teleopiekuńczych</w:t>
      </w:r>
      <w:r w:rsidRPr="00B90E75">
        <w:rPr>
          <w:rFonts w:ascii="Times New Roman" w:hAnsi="Times New Roman" w:cs="Times New Roman"/>
          <w:sz w:val="24"/>
          <w:szCs w:val="24"/>
        </w:rPr>
        <w:t xml:space="preserve"> i wspieraniu ludzi starszych za pomocą narzędzi pozwalających na zbudowanie spersonalizowanego programu profilaktycznego m.in. poprzez monitoring stanu zdrowia (telenadzór), </w:t>
      </w:r>
    </w:p>
    <w:p w14:paraId="1CED408B" w14:textId="77777777" w:rsidR="00B90E75" w:rsidRPr="00B90E75" w:rsidRDefault="00B90E75" w:rsidP="008C71A9">
      <w:pPr>
        <w:pStyle w:val="Akapitzlist"/>
        <w:numPr>
          <w:ilvl w:val="0"/>
          <w:numId w:val="280"/>
        </w:numPr>
        <w:spacing w:after="0"/>
        <w:ind w:left="360"/>
        <w:jc w:val="both"/>
        <w:rPr>
          <w:rFonts w:ascii="Times New Roman" w:hAnsi="Times New Roman" w:cs="Times New Roman"/>
          <w:sz w:val="24"/>
          <w:szCs w:val="24"/>
        </w:rPr>
      </w:pPr>
      <w:r w:rsidRPr="00B90E75">
        <w:rPr>
          <w:rFonts w:ascii="Times New Roman" w:hAnsi="Times New Roman" w:cs="Times New Roman"/>
          <w:sz w:val="24"/>
          <w:szCs w:val="24"/>
        </w:rPr>
        <w:t>rozwijanie świadomości zdrowotnej seniorów,</w:t>
      </w:r>
    </w:p>
    <w:p w14:paraId="54D1CB91" w14:textId="77777777" w:rsidR="00B90E75" w:rsidRDefault="00B90E75" w:rsidP="008C71A9">
      <w:pPr>
        <w:pStyle w:val="Akapitzlist"/>
        <w:numPr>
          <w:ilvl w:val="0"/>
          <w:numId w:val="280"/>
        </w:numPr>
        <w:spacing w:after="0"/>
        <w:ind w:left="360"/>
        <w:jc w:val="both"/>
        <w:rPr>
          <w:rFonts w:ascii="Times New Roman" w:hAnsi="Times New Roman" w:cs="Times New Roman"/>
          <w:sz w:val="24"/>
          <w:szCs w:val="24"/>
        </w:rPr>
      </w:pPr>
      <w:r w:rsidRPr="00B90E75">
        <w:rPr>
          <w:rFonts w:ascii="Times New Roman" w:hAnsi="Times New Roman" w:cs="Times New Roman"/>
          <w:sz w:val="24"/>
          <w:szCs w:val="24"/>
        </w:rPr>
        <w:t>promocję zdrowego stylu życia.</w:t>
      </w:r>
    </w:p>
    <w:p w14:paraId="0F7B66ED" w14:textId="77777777" w:rsidR="00514D3A" w:rsidRDefault="00514D3A" w:rsidP="00514D3A">
      <w:pPr>
        <w:spacing w:after="0"/>
        <w:jc w:val="both"/>
        <w:rPr>
          <w:rFonts w:ascii="Times New Roman" w:hAnsi="Times New Roman" w:cs="Times New Roman"/>
          <w:sz w:val="24"/>
          <w:szCs w:val="24"/>
        </w:rPr>
      </w:pPr>
    </w:p>
    <w:p w14:paraId="0C283F22" w14:textId="77777777" w:rsidR="00514D3A" w:rsidRPr="00514D3A" w:rsidRDefault="00514D3A" w:rsidP="00514D3A">
      <w:pPr>
        <w:spacing w:after="0"/>
        <w:jc w:val="both"/>
        <w:rPr>
          <w:rFonts w:ascii="Times New Roman" w:hAnsi="Times New Roman" w:cs="Times New Roman"/>
          <w:b/>
          <w:color w:val="00B0F0"/>
          <w:sz w:val="24"/>
          <w:szCs w:val="24"/>
        </w:rPr>
      </w:pPr>
      <w:r w:rsidRPr="00514D3A">
        <w:rPr>
          <w:rFonts w:ascii="Times New Roman" w:hAnsi="Times New Roman" w:cs="Times New Roman"/>
          <w:b/>
          <w:color w:val="00B0F0"/>
          <w:sz w:val="24"/>
          <w:szCs w:val="24"/>
        </w:rPr>
        <w:t>Działania informacyjne w zakresie promocji rozwiązań z zakresu e-zdrowia</w:t>
      </w:r>
    </w:p>
    <w:p w14:paraId="7F0AB531" w14:textId="77777777" w:rsid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W 2019 r. Centrum Systemów Informacyjnych Ochrony Zdrowia (CSIOZ) ze wsparciem MZ prowadziło szereg działań informacyjnych na rzecz upowszechniania e-usług w ochronie zdrowia, m.in. wśród osób starszych. W trakcie prowadzonych szkoleń dużą wagę przywiązywano do kwestii dostępu do indywidualnych informacji o zdrowiu oraz zachęcano osoby starsze do korzystania z e-usług, organizowano np. cykliczne spotkania promocyjne w regionach, a także spotkania na wykładach Uniwersytetów Trzeciego Wieku. Przeprowadzono dużą kampanię medialną promującą IKP oraz oferowano pomoc przy zakładaniu Profilu Zaufanego, dzięki któremu pacjenci uzyskiwali dostęp do IKP. Dodatkowo przygotowano Poradnik dla seniora, w którym krok po kroku omówiony został proces związany z aktywowaniem IKP, funkcjonowaniem portalu, a także z realizacją e-recept.</w:t>
      </w:r>
    </w:p>
    <w:p w14:paraId="58D621B2" w14:textId="77777777" w:rsidR="00B759B6" w:rsidRDefault="00B759B6"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p>
    <w:p w14:paraId="29D77E1C" w14:textId="77777777" w:rsidR="00B759B6" w:rsidRPr="00B759B6" w:rsidRDefault="00B759B6" w:rsidP="00C363D3">
      <w:pPr>
        <w:pStyle w:val="Akapitzlist"/>
        <w:tabs>
          <w:tab w:val="left" w:pos="5400"/>
        </w:tabs>
        <w:spacing w:after="0"/>
        <w:ind w:left="6"/>
        <w:contextualSpacing w:val="0"/>
        <w:jc w:val="both"/>
        <w:rPr>
          <w:rFonts w:ascii="Times New Roman" w:eastAsia="Times New Roman" w:hAnsi="Times New Roman" w:cs="Times New Roman"/>
          <w:b/>
          <w:color w:val="00B0F0"/>
          <w:sz w:val="24"/>
          <w:szCs w:val="24"/>
          <w:lang w:eastAsia="pl-PL" w:bidi="pl-PL"/>
        </w:rPr>
      </w:pPr>
      <w:r w:rsidRPr="00B759B6">
        <w:rPr>
          <w:rFonts w:ascii="Times New Roman" w:eastAsia="Times New Roman" w:hAnsi="Times New Roman" w:cs="Times New Roman"/>
          <w:b/>
          <w:color w:val="00B0F0"/>
          <w:sz w:val="24"/>
          <w:szCs w:val="24"/>
          <w:lang w:eastAsia="pl-PL" w:bidi="pl-PL"/>
        </w:rPr>
        <w:t>Dostępność Plus</w:t>
      </w:r>
    </w:p>
    <w:p w14:paraId="4B0DC6D9" w14:textId="77777777" w:rsidR="00B90E75" w:rsidRP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W 2019 r. w ramach Programu Operacyjnego Wiedza Edukacja Rozwój (PO WER) rozpoczęto realizację projektu pn. </w:t>
      </w:r>
      <w:r w:rsidRPr="00B90E75">
        <w:rPr>
          <w:rFonts w:ascii="Times New Roman" w:eastAsia="Times New Roman" w:hAnsi="Times New Roman" w:cs="Times New Roman"/>
          <w:b/>
          <w:bCs/>
          <w:color w:val="000000"/>
          <w:sz w:val="24"/>
          <w:szCs w:val="24"/>
          <w:lang w:eastAsia="pl-PL" w:bidi="pl-PL"/>
        </w:rPr>
        <w:t>Dostępność Plus dla zdrowia</w:t>
      </w:r>
      <w:r w:rsidRPr="00B90E75">
        <w:rPr>
          <w:rFonts w:ascii="Times New Roman" w:eastAsia="Times New Roman" w:hAnsi="Times New Roman" w:cs="Times New Roman"/>
          <w:color w:val="000000"/>
          <w:sz w:val="24"/>
          <w:szCs w:val="24"/>
          <w:lang w:eastAsia="pl-PL" w:bidi="pl-PL"/>
        </w:rPr>
        <w:t>. Projekt ma na celu wdrożenie działań projakościowych w systemie ochrony zdrowia związanych z dostosowaniem placówek medycznych do potrzeb osób z niepełnosprawnościami i osób starszych. Projekt obejmie wsparciem 50 szpitali oraz 250 POZ.</w:t>
      </w:r>
    </w:p>
    <w:p w14:paraId="6A924207" w14:textId="77777777" w:rsidR="00B759B6" w:rsidRDefault="00B759B6" w:rsidP="00C363D3">
      <w:pPr>
        <w:pStyle w:val="Akapitzlist"/>
        <w:tabs>
          <w:tab w:val="left" w:pos="5400"/>
        </w:tabs>
        <w:spacing w:after="0"/>
        <w:ind w:left="5"/>
        <w:jc w:val="both"/>
        <w:rPr>
          <w:rFonts w:ascii="Times New Roman" w:eastAsia="Times New Roman" w:hAnsi="Times New Roman" w:cs="Times New Roman"/>
          <w:color w:val="000000"/>
          <w:sz w:val="24"/>
          <w:szCs w:val="24"/>
          <w:lang w:eastAsia="pl-PL" w:bidi="pl-PL"/>
        </w:rPr>
      </w:pPr>
    </w:p>
    <w:p w14:paraId="07FC0686" w14:textId="77777777" w:rsidR="00B90E75" w:rsidRPr="00B90E75" w:rsidRDefault="00B90E75" w:rsidP="00C363D3">
      <w:pPr>
        <w:pStyle w:val="Akapitzlist"/>
        <w:tabs>
          <w:tab w:val="left" w:pos="5400"/>
        </w:tabs>
        <w:spacing w:after="0"/>
        <w:ind w:left="5"/>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W projekcie zostanie przygotowany standard dostępności dla szpitala i POZ. Podmioty te będą mogły ubiegać się o dofinansowanie działań związanych z dostępnością w ramach komponentów: </w:t>
      </w:r>
    </w:p>
    <w:p w14:paraId="6A92FF72" w14:textId="77777777" w:rsidR="00B90E75" w:rsidRPr="00B90E75" w:rsidRDefault="00B90E75" w:rsidP="008C71A9">
      <w:pPr>
        <w:pStyle w:val="Akapitzlist"/>
        <w:numPr>
          <w:ilvl w:val="0"/>
          <w:numId w:val="377"/>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architektonicznego, </w:t>
      </w:r>
    </w:p>
    <w:p w14:paraId="245E9E2B" w14:textId="77777777" w:rsidR="00B90E75" w:rsidRPr="00B90E75" w:rsidRDefault="00B90E75" w:rsidP="008C71A9">
      <w:pPr>
        <w:pStyle w:val="Akapitzlist"/>
        <w:numPr>
          <w:ilvl w:val="0"/>
          <w:numId w:val="377"/>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cyfrowego, </w:t>
      </w:r>
    </w:p>
    <w:p w14:paraId="5CE6A4B9" w14:textId="77777777" w:rsidR="00B90E75" w:rsidRPr="00B90E75" w:rsidRDefault="00B90E75" w:rsidP="008C71A9">
      <w:pPr>
        <w:pStyle w:val="Akapitzlist"/>
        <w:numPr>
          <w:ilvl w:val="0"/>
          <w:numId w:val="377"/>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komunikacyjnego i </w:t>
      </w:r>
    </w:p>
    <w:p w14:paraId="174A2387" w14:textId="77777777" w:rsidR="00B90E75" w:rsidRDefault="00B90E75" w:rsidP="008C71A9">
      <w:pPr>
        <w:pStyle w:val="Akapitzlist"/>
        <w:numPr>
          <w:ilvl w:val="0"/>
          <w:numId w:val="377"/>
        </w:numPr>
        <w:tabs>
          <w:tab w:val="left" w:pos="5400"/>
        </w:tabs>
        <w:spacing w:after="0"/>
        <w:ind w:left="360"/>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organizacyjnego. </w:t>
      </w:r>
    </w:p>
    <w:p w14:paraId="1241AF1D" w14:textId="77777777" w:rsidR="00B759B6" w:rsidRPr="00B90E75" w:rsidRDefault="00B759B6" w:rsidP="00B759B6">
      <w:pPr>
        <w:pStyle w:val="Akapitzlist"/>
        <w:tabs>
          <w:tab w:val="left" w:pos="5400"/>
        </w:tabs>
        <w:spacing w:after="0"/>
        <w:ind w:left="360"/>
        <w:contextualSpacing w:val="0"/>
        <w:jc w:val="both"/>
        <w:rPr>
          <w:rFonts w:ascii="Times New Roman" w:eastAsia="Times New Roman" w:hAnsi="Times New Roman" w:cs="Times New Roman"/>
          <w:color w:val="000000"/>
          <w:sz w:val="24"/>
          <w:szCs w:val="24"/>
          <w:lang w:eastAsia="pl-PL" w:bidi="pl-PL"/>
        </w:rPr>
      </w:pPr>
    </w:p>
    <w:p w14:paraId="5D02A54E" w14:textId="21BDCF2B" w:rsidR="00B759B6" w:rsidRPr="004E6514" w:rsidRDefault="00B90E75" w:rsidP="004E6514">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 xml:space="preserve">Wnioskodawcy uzyskają wsparcie doradcy (wyłoniony przez MZ) oraz pracowników MZ, którzy przeprowadzą audyty wstępne, weryfikujące proponowany zakres każdego projektu, podsumowujące – na zakończenie działań projektowych oraz – w razie wystąpienia takiej konieczności – audyty uzupełniające. </w:t>
      </w:r>
    </w:p>
    <w:p w14:paraId="498C793A" w14:textId="77777777" w:rsidR="00B90E75" w:rsidRDefault="00B90E75"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lastRenderedPageBreak/>
        <w:t xml:space="preserve">Szkoleniami dotyczącymi obszaru dostępności zostaną objęci również pracownicy szpitali i POZ. W wyniku realizacji projektu zostanie przygotowany raport podsumowujący, zawierający rekomendacje do wdrożenia działań systemowych. Ponadto, MZ opracuje rekomendacje związane z kontraktowaniem świadczeń przez NFZ, które spowodują położenie większego nacisku na aspekty dostępności w przedmiotowym procesie. </w:t>
      </w:r>
    </w:p>
    <w:p w14:paraId="2D138262" w14:textId="77777777" w:rsidR="00B759B6" w:rsidRPr="00B90E75" w:rsidRDefault="00B759B6" w:rsidP="00C363D3">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p>
    <w:p w14:paraId="607DBB0C" w14:textId="77777777" w:rsidR="00B90E75" w:rsidRPr="00B759B6" w:rsidRDefault="00B90E75" w:rsidP="00B759B6">
      <w:pPr>
        <w:pStyle w:val="Akapitzlist"/>
        <w:tabs>
          <w:tab w:val="left" w:pos="5400"/>
        </w:tabs>
        <w:spacing w:after="0"/>
        <w:ind w:left="6"/>
        <w:contextualSpacing w:val="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Okres realizacji projektu: od 1 stycznia 2019 r. do 28 września 2023 r.</w:t>
      </w:r>
      <w:r w:rsidR="00B759B6">
        <w:rPr>
          <w:rFonts w:ascii="Times New Roman" w:eastAsia="Times New Roman" w:hAnsi="Times New Roman" w:cs="Times New Roman"/>
          <w:color w:val="000000"/>
          <w:sz w:val="24"/>
          <w:szCs w:val="24"/>
          <w:lang w:eastAsia="pl-PL" w:bidi="pl-PL"/>
        </w:rPr>
        <w:t xml:space="preserve"> </w:t>
      </w:r>
      <w:r w:rsidRPr="00B759B6">
        <w:rPr>
          <w:rFonts w:ascii="Times New Roman" w:eastAsia="Times New Roman" w:hAnsi="Times New Roman" w:cs="Times New Roman"/>
          <w:color w:val="000000"/>
          <w:sz w:val="24"/>
          <w:szCs w:val="24"/>
          <w:lang w:eastAsia="pl-PL" w:bidi="pl-PL"/>
        </w:rPr>
        <w:t>Planowane efekty projektu to m.in.:</w:t>
      </w:r>
    </w:p>
    <w:p w14:paraId="527DA635" w14:textId="77777777" w:rsidR="00B90E75" w:rsidRPr="00B90E75" w:rsidRDefault="00B90E75" w:rsidP="008C71A9">
      <w:pPr>
        <w:pStyle w:val="Akapitzlist"/>
        <w:numPr>
          <w:ilvl w:val="0"/>
          <w:numId w:val="378"/>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stworzenie/zoptymalizowanie systemów IT uwzględniających szczególne potrzeby pacjentów, w tym wdrożenie rozwiązań telemedycznych w POZ i szpitalach;</w:t>
      </w:r>
    </w:p>
    <w:p w14:paraId="395E19D8" w14:textId="77777777" w:rsidR="00B90E75" w:rsidRPr="00B90E75" w:rsidRDefault="00B90E75" w:rsidP="008C71A9">
      <w:pPr>
        <w:pStyle w:val="Akapitzlist"/>
        <w:numPr>
          <w:ilvl w:val="0"/>
          <w:numId w:val="378"/>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podniesienie dojrzałości cyfrowej placówek w zakresie wsparcia pacjentów ze szczególnymi potrzebami;</w:t>
      </w:r>
    </w:p>
    <w:p w14:paraId="6A123E18" w14:textId="77777777" w:rsidR="00B90E75" w:rsidRPr="00B90E75" w:rsidRDefault="00B90E75" w:rsidP="008C71A9">
      <w:pPr>
        <w:pStyle w:val="Akapitzlist"/>
        <w:numPr>
          <w:ilvl w:val="0"/>
          <w:numId w:val="378"/>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podniesienie jakości usług zdrowotnych dla pacjentów ze szczególnymi potrzebami, w tym aspektów komunikacyjnych i organizacyjnych;</w:t>
      </w:r>
    </w:p>
    <w:p w14:paraId="58E51B9F" w14:textId="77777777" w:rsidR="00B90E75" w:rsidRDefault="00B90E75" w:rsidP="008C71A9">
      <w:pPr>
        <w:pStyle w:val="Akapitzlist"/>
        <w:numPr>
          <w:ilvl w:val="0"/>
          <w:numId w:val="378"/>
        </w:numPr>
        <w:tabs>
          <w:tab w:val="left" w:pos="5400"/>
        </w:tabs>
        <w:spacing w:after="0"/>
        <w:ind w:left="360"/>
        <w:jc w:val="both"/>
        <w:rPr>
          <w:rFonts w:ascii="Times New Roman" w:eastAsia="Times New Roman" w:hAnsi="Times New Roman" w:cs="Times New Roman"/>
          <w:color w:val="000000"/>
          <w:sz w:val="24"/>
          <w:szCs w:val="24"/>
          <w:lang w:eastAsia="pl-PL" w:bidi="pl-PL"/>
        </w:rPr>
      </w:pPr>
      <w:r w:rsidRPr="00B90E75">
        <w:rPr>
          <w:rFonts w:ascii="Times New Roman" w:eastAsia="Times New Roman" w:hAnsi="Times New Roman" w:cs="Times New Roman"/>
          <w:color w:val="000000"/>
          <w:sz w:val="24"/>
          <w:szCs w:val="24"/>
          <w:lang w:eastAsia="pl-PL" w:bidi="pl-PL"/>
        </w:rPr>
        <w:t>zniwelowanie barier architektonicznych, zapewniających funkcjonowanie placówek „przyjaznych” osobom ze szczególnymi potrzebami.</w:t>
      </w:r>
    </w:p>
    <w:p w14:paraId="68619B18" w14:textId="77777777" w:rsidR="00B759B6" w:rsidRDefault="00B759B6" w:rsidP="00B759B6">
      <w:pPr>
        <w:tabs>
          <w:tab w:val="left" w:pos="5400"/>
        </w:tabs>
        <w:spacing w:after="0"/>
        <w:jc w:val="both"/>
        <w:rPr>
          <w:rFonts w:ascii="Times New Roman" w:eastAsia="Times New Roman" w:hAnsi="Times New Roman" w:cs="Times New Roman"/>
          <w:color w:val="000000"/>
          <w:sz w:val="24"/>
          <w:szCs w:val="24"/>
          <w:lang w:eastAsia="pl-PL" w:bidi="pl-PL"/>
        </w:rPr>
      </w:pPr>
    </w:p>
    <w:p w14:paraId="0387DCFC" w14:textId="77777777" w:rsidR="00B759B6" w:rsidRPr="00B759B6" w:rsidRDefault="00B759B6" w:rsidP="00B759B6">
      <w:pPr>
        <w:tabs>
          <w:tab w:val="left" w:pos="5400"/>
        </w:tabs>
        <w:spacing w:after="0"/>
        <w:jc w:val="both"/>
        <w:rPr>
          <w:rFonts w:ascii="Times New Roman" w:eastAsia="Times New Roman" w:hAnsi="Times New Roman" w:cs="Times New Roman"/>
          <w:b/>
          <w:color w:val="00B0F0"/>
          <w:sz w:val="24"/>
          <w:szCs w:val="24"/>
          <w:lang w:eastAsia="pl-PL" w:bidi="pl-PL"/>
        </w:rPr>
      </w:pPr>
      <w:r w:rsidRPr="00B759B6">
        <w:rPr>
          <w:rFonts w:ascii="Times New Roman" w:eastAsia="Times New Roman" w:hAnsi="Times New Roman" w:cs="Times New Roman"/>
          <w:b/>
          <w:color w:val="00B0F0"/>
          <w:sz w:val="24"/>
          <w:szCs w:val="24"/>
          <w:lang w:eastAsia="pl-PL" w:bidi="pl-PL"/>
        </w:rPr>
        <w:t>Inwestycje</w:t>
      </w:r>
    </w:p>
    <w:p w14:paraId="0E356D4B" w14:textId="77777777" w:rsidR="00B90E75" w:rsidRPr="00B90E75" w:rsidRDefault="00B90E75" w:rsidP="00C363D3">
      <w:pPr>
        <w:spacing w:after="0"/>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 xml:space="preserve">W zakresie działań </w:t>
      </w:r>
      <w:r w:rsidRPr="00B759B6">
        <w:rPr>
          <w:rFonts w:ascii="Times New Roman" w:eastAsia="Calibri" w:hAnsi="Times New Roman" w:cs="Times New Roman"/>
          <w:sz w:val="24"/>
          <w:szCs w:val="24"/>
        </w:rPr>
        <w:t>inwestycyjnych</w:t>
      </w:r>
      <w:r w:rsidRPr="00B90E75">
        <w:rPr>
          <w:rFonts w:ascii="Times New Roman" w:eastAsia="Calibri" w:hAnsi="Times New Roman" w:cs="Times New Roman"/>
          <w:sz w:val="24"/>
          <w:szCs w:val="24"/>
        </w:rPr>
        <w:t xml:space="preserve"> Ministerstwo Zdrowia aktualnie realizuje zadanie pn. </w:t>
      </w:r>
      <w:r w:rsidRPr="00B90E75">
        <w:rPr>
          <w:rFonts w:ascii="Times New Roman" w:eastAsia="Calibri" w:hAnsi="Times New Roman" w:cs="Times New Roman"/>
          <w:i/>
          <w:iCs/>
          <w:sz w:val="24"/>
          <w:szCs w:val="24"/>
        </w:rPr>
        <w:t>Modernizacja Klinik i Budynków Narodowego Instytutu Geriatrii Reumatologii i Rehabilitacji</w:t>
      </w:r>
      <w:r w:rsidRPr="00B90E75">
        <w:rPr>
          <w:rFonts w:ascii="Times New Roman" w:eastAsia="Calibri" w:hAnsi="Times New Roman" w:cs="Times New Roman"/>
          <w:sz w:val="24"/>
          <w:szCs w:val="24"/>
        </w:rPr>
        <w:t xml:space="preserve">, w ramach którego  zrealizowano prace adaptacyjne na potrzeby Kliniki i Polikliniki Reumoortopedii dla funkcji Klinik Geriatrii i Reumatologii. </w:t>
      </w:r>
    </w:p>
    <w:p w14:paraId="32AE7D23" w14:textId="42DBA1FB" w:rsidR="00B90E75" w:rsidRPr="00B90E75" w:rsidRDefault="001C344E" w:rsidP="008C71A9">
      <w:pPr>
        <w:pStyle w:val="Akapitzlist"/>
        <w:numPr>
          <w:ilvl w:val="0"/>
          <w:numId w:val="277"/>
        </w:numPr>
        <w:spacing w:after="0"/>
        <w:ind w:left="360"/>
        <w:jc w:val="both"/>
        <w:rPr>
          <w:rFonts w:ascii="Times New Roman" w:hAnsi="Times New Roman" w:cs="Times New Roman"/>
          <w:sz w:val="24"/>
          <w:szCs w:val="24"/>
        </w:rPr>
      </w:pPr>
      <w:r>
        <w:rPr>
          <w:rFonts w:ascii="Times New Roman" w:hAnsi="Times New Roman" w:cs="Times New Roman"/>
          <w:sz w:val="24"/>
          <w:szCs w:val="24"/>
        </w:rPr>
        <w:t>Ada</w:t>
      </w:r>
      <w:r w:rsidR="00B90E75" w:rsidRPr="00B90E75">
        <w:rPr>
          <w:rFonts w:ascii="Times New Roman" w:hAnsi="Times New Roman" w:cs="Times New Roman"/>
          <w:sz w:val="24"/>
          <w:szCs w:val="24"/>
        </w:rPr>
        <w:t xml:space="preserve">ptowana powierzchnia: </w:t>
      </w:r>
    </w:p>
    <w:p w14:paraId="6B03659A" w14:textId="77777777" w:rsidR="00B90E75" w:rsidRPr="00B90E75" w:rsidRDefault="00B90E75" w:rsidP="008C71A9">
      <w:pPr>
        <w:pStyle w:val="Akapitzlist"/>
        <w:numPr>
          <w:ilvl w:val="0"/>
          <w:numId w:val="379"/>
        </w:numPr>
        <w:spacing w:after="0"/>
        <w:ind w:left="643"/>
        <w:jc w:val="both"/>
        <w:rPr>
          <w:rFonts w:ascii="Times New Roman" w:hAnsi="Times New Roman" w:cs="Times New Roman"/>
          <w:sz w:val="24"/>
          <w:szCs w:val="24"/>
        </w:rPr>
      </w:pPr>
      <w:r w:rsidRPr="00B90E75">
        <w:rPr>
          <w:rFonts w:ascii="Times New Roman" w:hAnsi="Times New Roman" w:cs="Times New Roman"/>
          <w:sz w:val="24"/>
          <w:szCs w:val="24"/>
        </w:rPr>
        <w:t xml:space="preserve">721,43 m2, </w:t>
      </w:r>
    </w:p>
    <w:p w14:paraId="7C5DC67E" w14:textId="77777777" w:rsidR="00B90E75" w:rsidRPr="00B90E75" w:rsidRDefault="00B90E75" w:rsidP="008C71A9">
      <w:pPr>
        <w:pStyle w:val="Akapitzlist"/>
        <w:numPr>
          <w:ilvl w:val="0"/>
          <w:numId w:val="379"/>
        </w:numPr>
        <w:spacing w:after="0"/>
        <w:ind w:left="643"/>
        <w:jc w:val="both"/>
        <w:rPr>
          <w:rFonts w:ascii="Times New Roman" w:hAnsi="Times New Roman" w:cs="Times New Roman"/>
          <w:sz w:val="24"/>
          <w:szCs w:val="24"/>
        </w:rPr>
      </w:pPr>
      <w:r w:rsidRPr="00B90E75">
        <w:rPr>
          <w:rFonts w:ascii="Times New Roman" w:hAnsi="Times New Roman" w:cs="Times New Roman"/>
          <w:sz w:val="24"/>
          <w:szCs w:val="24"/>
        </w:rPr>
        <w:t xml:space="preserve">34 pomieszczenia, </w:t>
      </w:r>
    </w:p>
    <w:p w14:paraId="3494D23A" w14:textId="77777777" w:rsidR="00B90E75" w:rsidRPr="00B90E75" w:rsidRDefault="00B90E75" w:rsidP="008C71A9">
      <w:pPr>
        <w:pStyle w:val="Akapitzlist"/>
        <w:numPr>
          <w:ilvl w:val="0"/>
          <w:numId w:val="379"/>
        </w:numPr>
        <w:spacing w:after="0"/>
        <w:ind w:left="643"/>
        <w:jc w:val="both"/>
        <w:rPr>
          <w:rFonts w:ascii="Times New Roman" w:hAnsi="Times New Roman" w:cs="Times New Roman"/>
          <w:sz w:val="24"/>
          <w:szCs w:val="24"/>
        </w:rPr>
      </w:pPr>
      <w:r w:rsidRPr="00B90E75">
        <w:rPr>
          <w:rFonts w:ascii="Times New Roman" w:hAnsi="Times New Roman" w:cs="Times New Roman"/>
          <w:sz w:val="24"/>
          <w:szCs w:val="24"/>
        </w:rPr>
        <w:t>46 łóżek.</w:t>
      </w:r>
    </w:p>
    <w:p w14:paraId="4C51B7B0" w14:textId="77777777" w:rsidR="00B759B6" w:rsidRDefault="00B759B6" w:rsidP="00C363D3">
      <w:pPr>
        <w:spacing w:after="0"/>
        <w:jc w:val="both"/>
        <w:rPr>
          <w:rFonts w:ascii="Times New Roman" w:eastAsia="Calibri" w:hAnsi="Times New Roman" w:cs="Times New Roman"/>
          <w:sz w:val="24"/>
          <w:szCs w:val="24"/>
        </w:rPr>
      </w:pPr>
    </w:p>
    <w:p w14:paraId="7600B2C0" w14:textId="77777777" w:rsidR="00B90E75" w:rsidRPr="00B90E75" w:rsidRDefault="00B90E75" w:rsidP="00C363D3">
      <w:pPr>
        <w:spacing w:after="0"/>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 xml:space="preserve">W trakcie realizacji jest również program wieloletni pn. </w:t>
      </w:r>
      <w:r w:rsidRPr="00B90E75">
        <w:rPr>
          <w:rFonts w:ascii="Times New Roman" w:eastAsia="Calibri" w:hAnsi="Times New Roman" w:cs="Times New Roman"/>
          <w:i/>
          <w:iCs/>
          <w:sz w:val="24"/>
          <w:szCs w:val="24"/>
        </w:rPr>
        <w:t>Śląski Ośrodek Kliniczno-Naukowy Zapobiegania i Leczenia Chorób Środowiskowych, Cywilizacyjnych i Wieku Podeszłego im. prof. Zbigniewa Religi w Zabrzu</w:t>
      </w:r>
      <w:r w:rsidRPr="00B90E75">
        <w:rPr>
          <w:rFonts w:ascii="Times New Roman" w:eastAsia="Calibri" w:hAnsi="Times New Roman" w:cs="Times New Roman"/>
          <w:sz w:val="24"/>
          <w:szCs w:val="24"/>
        </w:rPr>
        <w:t>:</w:t>
      </w:r>
    </w:p>
    <w:p w14:paraId="13D66B76" w14:textId="77777777" w:rsidR="00B90E75" w:rsidRPr="00B90E75" w:rsidRDefault="00B90E75" w:rsidP="008C71A9">
      <w:pPr>
        <w:pStyle w:val="Akapitzlist"/>
        <w:numPr>
          <w:ilvl w:val="0"/>
          <w:numId w:val="278"/>
        </w:numPr>
        <w:spacing w:after="0"/>
        <w:ind w:left="360"/>
        <w:jc w:val="both"/>
        <w:rPr>
          <w:rFonts w:ascii="Times New Roman" w:hAnsi="Times New Roman" w:cs="Times New Roman"/>
          <w:sz w:val="24"/>
          <w:szCs w:val="24"/>
        </w:rPr>
      </w:pPr>
      <w:r w:rsidRPr="00B90E75">
        <w:rPr>
          <w:rFonts w:ascii="Times New Roman" w:hAnsi="Times New Roman" w:cs="Times New Roman"/>
          <w:sz w:val="24"/>
          <w:szCs w:val="24"/>
        </w:rPr>
        <w:t xml:space="preserve">Okres realizacji 2018 – 2021, </w:t>
      </w:r>
    </w:p>
    <w:p w14:paraId="23E53D26" w14:textId="77777777" w:rsidR="00B90E75" w:rsidRDefault="00B90E75" w:rsidP="008C71A9">
      <w:pPr>
        <w:pStyle w:val="Akapitzlist"/>
        <w:numPr>
          <w:ilvl w:val="0"/>
          <w:numId w:val="278"/>
        </w:numPr>
        <w:spacing w:after="0"/>
        <w:ind w:left="360"/>
        <w:jc w:val="both"/>
        <w:rPr>
          <w:rFonts w:ascii="Times New Roman" w:hAnsi="Times New Roman" w:cs="Times New Roman"/>
          <w:sz w:val="24"/>
          <w:szCs w:val="24"/>
        </w:rPr>
      </w:pPr>
      <w:r w:rsidRPr="00B90E75">
        <w:rPr>
          <w:rFonts w:ascii="Times New Roman" w:hAnsi="Times New Roman" w:cs="Times New Roman"/>
          <w:sz w:val="24"/>
          <w:szCs w:val="24"/>
        </w:rPr>
        <w:t>Łącznie powstanie 138 łóżek, z czego 17 na Oddział Kardiologii – Chorób Środowiskowych i Cywilizacyjnych oraz Wieku Podeszłego w chorobach serca, płuc i naczyń.</w:t>
      </w:r>
    </w:p>
    <w:p w14:paraId="2C67A5E2" w14:textId="77777777" w:rsidR="00B759B6" w:rsidRDefault="00B759B6" w:rsidP="00B759B6">
      <w:pPr>
        <w:spacing w:after="0"/>
        <w:jc w:val="both"/>
        <w:rPr>
          <w:rFonts w:ascii="Times New Roman" w:hAnsi="Times New Roman" w:cs="Times New Roman"/>
          <w:sz w:val="24"/>
          <w:szCs w:val="24"/>
        </w:rPr>
      </w:pPr>
    </w:p>
    <w:p w14:paraId="1F53A918" w14:textId="77777777" w:rsidR="00B759B6" w:rsidRDefault="00B759B6" w:rsidP="00B759B6">
      <w:pPr>
        <w:spacing w:after="0"/>
        <w:jc w:val="both"/>
        <w:rPr>
          <w:rFonts w:ascii="Times New Roman" w:hAnsi="Times New Roman" w:cs="Times New Roman"/>
          <w:b/>
          <w:color w:val="00B0F0"/>
          <w:sz w:val="24"/>
          <w:szCs w:val="24"/>
        </w:rPr>
      </w:pPr>
      <w:r w:rsidRPr="00B759B6">
        <w:rPr>
          <w:rFonts w:ascii="Times New Roman" w:hAnsi="Times New Roman" w:cs="Times New Roman"/>
          <w:b/>
          <w:color w:val="00B0F0"/>
          <w:sz w:val="24"/>
          <w:szCs w:val="24"/>
        </w:rPr>
        <w:t>Działania strategiczne</w:t>
      </w:r>
    </w:p>
    <w:p w14:paraId="678AB6F6" w14:textId="77777777" w:rsidR="00B759B6" w:rsidRPr="00B759B6" w:rsidRDefault="00B759B6" w:rsidP="00B759B6">
      <w:pPr>
        <w:spacing w:after="0"/>
        <w:jc w:val="both"/>
        <w:rPr>
          <w:rFonts w:ascii="Times New Roman" w:hAnsi="Times New Roman" w:cs="Times New Roman"/>
          <w:b/>
          <w:sz w:val="24"/>
          <w:szCs w:val="24"/>
        </w:rPr>
      </w:pPr>
      <w:r w:rsidRPr="00B759B6">
        <w:rPr>
          <w:rFonts w:ascii="Times New Roman" w:hAnsi="Times New Roman" w:cs="Times New Roman"/>
          <w:b/>
          <w:sz w:val="24"/>
          <w:szCs w:val="24"/>
        </w:rPr>
        <w:t>Zespół do spraw Zdrowotnej Polityki Senioralnej</w:t>
      </w:r>
    </w:p>
    <w:p w14:paraId="4F99F2E1" w14:textId="77777777" w:rsidR="00B90E75" w:rsidRPr="0058363D" w:rsidRDefault="00B90E75" w:rsidP="0058363D">
      <w:pPr>
        <w:tabs>
          <w:tab w:val="left" w:pos="5400"/>
        </w:tabs>
        <w:spacing w:after="0"/>
        <w:jc w:val="both"/>
        <w:rPr>
          <w:rFonts w:ascii="Times New Roman" w:eastAsia="Calibri" w:hAnsi="Times New Roman" w:cs="Times New Roman"/>
          <w:sz w:val="24"/>
          <w:szCs w:val="24"/>
        </w:rPr>
      </w:pPr>
      <w:r w:rsidRPr="0058363D">
        <w:rPr>
          <w:rFonts w:ascii="Times New Roman" w:eastAsia="Calibri" w:hAnsi="Times New Roman" w:cs="Times New Roman"/>
          <w:sz w:val="24"/>
          <w:szCs w:val="24"/>
        </w:rPr>
        <w:t xml:space="preserve">W 2019 r. prowadzone były prace mające na celu powołanie </w:t>
      </w:r>
      <w:r w:rsidRPr="0058363D">
        <w:rPr>
          <w:rFonts w:ascii="Times New Roman" w:eastAsia="Calibri" w:hAnsi="Times New Roman" w:cs="Times New Roman"/>
          <w:bCs/>
          <w:sz w:val="24"/>
          <w:szCs w:val="24"/>
        </w:rPr>
        <w:t xml:space="preserve">Zespołu do spraw  Zdrowotnej Polityki Senioralnej, </w:t>
      </w:r>
      <w:r w:rsidRPr="0058363D">
        <w:rPr>
          <w:rFonts w:ascii="Times New Roman" w:eastAsia="Calibri" w:hAnsi="Times New Roman" w:cs="Times New Roman"/>
          <w:sz w:val="24"/>
          <w:szCs w:val="24"/>
        </w:rPr>
        <w:t xml:space="preserve"> stanowiącego organ opiniodawczo-doradczy Ministra Zdrowia.  Przedmiotowe prace sfinalizowało </w:t>
      </w:r>
      <w:r w:rsidRPr="0058363D">
        <w:rPr>
          <w:rFonts w:ascii="Times New Roman" w:eastAsia="Calibri" w:hAnsi="Times New Roman" w:cs="Times New Roman"/>
          <w:i/>
          <w:iCs/>
          <w:sz w:val="24"/>
          <w:szCs w:val="24"/>
        </w:rPr>
        <w:t>zarządzeniem Ministra Zdrowia z dnia 13 stycznia 2020 r. w sprawie powołania Zespołu do spraw Zdrowotnej Polityki Senioralnej.</w:t>
      </w:r>
      <w:r w:rsidR="0058363D">
        <w:rPr>
          <w:rFonts w:ascii="Times New Roman" w:eastAsia="Calibri" w:hAnsi="Times New Roman" w:cs="Times New Roman"/>
          <w:sz w:val="24"/>
          <w:szCs w:val="24"/>
        </w:rPr>
        <w:t xml:space="preserve"> </w:t>
      </w:r>
      <w:r w:rsidRPr="0058363D">
        <w:rPr>
          <w:rFonts w:ascii="Times New Roman" w:eastAsia="Calibri" w:hAnsi="Times New Roman" w:cs="Times New Roman"/>
          <w:bCs/>
          <w:sz w:val="24"/>
          <w:szCs w:val="24"/>
        </w:rPr>
        <w:t>Członkami Zespołu</w:t>
      </w:r>
      <w:r w:rsidR="0058363D">
        <w:rPr>
          <w:rFonts w:ascii="Times New Roman" w:eastAsia="Calibri" w:hAnsi="Times New Roman" w:cs="Times New Roman"/>
          <w:sz w:val="24"/>
          <w:szCs w:val="24"/>
        </w:rPr>
        <w:t xml:space="preserve"> </w:t>
      </w:r>
      <w:r w:rsidR="0058363D">
        <w:rPr>
          <w:rFonts w:ascii="Times New Roman" w:eastAsia="Calibri" w:hAnsi="Times New Roman" w:cs="Times New Roman"/>
          <w:sz w:val="24"/>
          <w:szCs w:val="24"/>
        </w:rPr>
        <w:lastRenderedPageBreak/>
        <w:t xml:space="preserve">będą przedstawiciele </w:t>
      </w:r>
      <w:r w:rsidR="0058363D">
        <w:rPr>
          <w:rFonts w:ascii="Times New Roman" w:hAnsi="Times New Roman" w:cs="Times New Roman"/>
          <w:sz w:val="24"/>
          <w:szCs w:val="24"/>
        </w:rPr>
        <w:t xml:space="preserve">wyższych uczelni medycznych, szpitali oraz </w:t>
      </w:r>
      <w:r w:rsidRPr="0058363D">
        <w:rPr>
          <w:rFonts w:ascii="Times New Roman" w:hAnsi="Times New Roman" w:cs="Times New Roman"/>
          <w:sz w:val="24"/>
          <w:szCs w:val="24"/>
        </w:rPr>
        <w:t>organizacji pozarządowych działających w obszarze ochrony zdrowia lub zaangażowanych w  działania na rzecz osób starszych.</w:t>
      </w:r>
    </w:p>
    <w:p w14:paraId="600770B6" w14:textId="77777777" w:rsidR="0058363D" w:rsidRDefault="0058363D" w:rsidP="00C363D3">
      <w:pPr>
        <w:tabs>
          <w:tab w:val="left" w:pos="5400"/>
        </w:tabs>
        <w:spacing w:after="0"/>
        <w:jc w:val="both"/>
        <w:rPr>
          <w:rFonts w:ascii="Times New Roman" w:eastAsia="Calibri" w:hAnsi="Times New Roman" w:cs="Times New Roman"/>
          <w:b/>
          <w:bCs/>
          <w:sz w:val="24"/>
          <w:szCs w:val="24"/>
        </w:rPr>
      </w:pPr>
    </w:p>
    <w:p w14:paraId="187BE131" w14:textId="77777777" w:rsidR="00B90E75" w:rsidRDefault="00B90E75" w:rsidP="00C363D3">
      <w:pPr>
        <w:tabs>
          <w:tab w:val="left" w:pos="5400"/>
        </w:tabs>
        <w:spacing w:after="0"/>
        <w:jc w:val="both"/>
        <w:rPr>
          <w:rFonts w:ascii="Times New Roman" w:eastAsia="Calibri" w:hAnsi="Times New Roman" w:cs="Times New Roman"/>
          <w:sz w:val="24"/>
          <w:szCs w:val="24"/>
        </w:rPr>
      </w:pPr>
      <w:r w:rsidRPr="0058363D">
        <w:rPr>
          <w:rFonts w:ascii="Times New Roman" w:eastAsia="Calibri" w:hAnsi="Times New Roman" w:cs="Times New Roman"/>
          <w:bCs/>
          <w:sz w:val="24"/>
          <w:szCs w:val="24"/>
        </w:rPr>
        <w:t>Do zadań Zespołu</w:t>
      </w:r>
      <w:r w:rsidRPr="00B90E75">
        <w:rPr>
          <w:rFonts w:ascii="Times New Roman" w:eastAsia="Calibri" w:hAnsi="Times New Roman" w:cs="Times New Roman"/>
          <w:sz w:val="24"/>
          <w:szCs w:val="24"/>
        </w:rPr>
        <w:t xml:space="preserve"> będzie należało m.in. przygotowywanie opinii, rekomendacji lub zaleceń w sprawach z zakresu zdrowotnej polityki senioralnej, a także zgłaszanie i opiniowanie propozycji strategii, programów, planów i działań z zakresu opieki zdrowotnej dedykowanych osobom starszym, co ma umożliwić opracowanie rozwiązań w jak największym stopniu odpowiadających na potrzeby starzejącego się społeczeństwa.</w:t>
      </w:r>
    </w:p>
    <w:p w14:paraId="637ADDEE" w14:textId="77777777" w:rsidR="0058363D" w:rsidRDefault="0058363D" w:rsidP="00C363D3">
      <w:pPr>
        <w:tabs>
          <w:tab w:val="left" w:pos="5400"/>
        </w:tabs>
        <w:spacing w:after="0"/>
        <w:jc w:val="both"/>
        <w:rPr>
          <w:rFonts w:ascii="Times New Roman" w:eastAsia="Calibri" w:hAnsi="Times New Roman" w:cs="Times New Roman"/>
          <w:sz w:val="24"/>
          <w:szCs w:val="24"/>
        </w:rPr>
      </w:pPr>
    </w:p>
    <w:p w14:paraId="7BA0D816" w14:textId="77777777" w:rsidR="0058363D" w:rsidRPr="0058363D" w:rsidRDefault="0058363D" w:rsidP="00C363D3">
      <w:pPr>
        <w:tabs>
          <w:tab w:val="left" w:pos="5400"/>
        </w:tabs>
        <w:spacing w:after="0"/>
        <w:jc w:val="both"/>
        <w:rPr>
          <w:rFonts w:ascii="Times New Roman" w:eastAsia="Calibri" w:hAnsi="Times New Roman" w:cs="Times New Roman"/>
          <w:b/>
          <w:sz w:val="24"/>
          <w:szCs w:val="24"/>
        </w:rPr>
      </w:pPr>
      <w:r w:rsidRPr="0058363D">
        <w:rPr>
          <w:rFonts w:ascii="Times New Roman" w:eastAsia="Calibri" w:hAnsi="Times New Roman" w:cs="Times New Roman"/>
          <w:b/>
          <w:sz w:val="24"/>
          <w:szCs w:val="24"/>
        </w:rPr>
        <w:t>Działania z zakresu deinstytucjonalizacji usług zdrowotnych</w:t>
      </w:r>
    </w:p>
    <w:p w14:paraId="648EC205" w14:textId="77777777" w:rsidR="00B90E75" w:rsidRPr="00B90E75" w:rsidRDefault="00B90E75" w:rsidP="00C363D3">
      <w:pPr>
        <w:tabs>
          <w:tab w:val="left" w:pos="5400"/>
        </w:tabs>
        <w:spacing w:after="0"/>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 xml:space="preserve">W 2019 r. w Ministerstwie Zdrowia rozpoczęto prace nad </w:t>
      </w:r>
      <w:r w:rsidRPr="00B90E75">
        <w:rPr>
          <w:rFonts w:ascii="Times New Roman" w:eastAsia="Calibri" w:hAnsi="Times New Roman" w:cs="Times New Roman"/>
          <w:b/>
          <w:bCs/>
          <w:sz w:val="24"/>
          <w:szCs w:val="24"/>
        </w:rPr>
        <w:t>założeniami ram strategicznych w zakresie deinstytucjonalizacji w obszarze zdrowia</w:t>
      </w:r>
      <w:r w:rsidRPr="00B90E75">
        <w:rPr>
          <w:rFonts w:ascii="Times New Roman" w:eastAsia="Calibri" w:hAnsi="Times New Roman" w:cs="Times New Roman"/>
          <w:sz w:val="24"/>
          <w:szCs w:val="24"/>
        </w:rPr>
        <w:t xml:space="preserve">. W wyniku tychże prac opracowane zostały założenia (diagnoza, kierunki zmian i planowane działania), które następnie – na początku 2020 r. – zostały poddane szerokim konsultacjom z udziałem interesariuszy, w tym partnerów społecznych. </w:t>
      </w:r>
    </w:p>
    <w:p w14:paraId="53B627BC" w14:textId="77777777" w:rsidR="0058363D" w:rsidRDefault="0058363D" w:rsidP="00C363D3">
      <w:pPr>
        <w:tabs>
          <w:tab w:val="left" w:pos="5400"/>
        </w:tabs>
        <w:spacing w:after="0"/>
        <w:jc w:val="both"/>
        <w:rPr>
          <w:rFonts w:ascii="Times New Roman" w:eastAsia="Calibri" w:hAnsi="Times New Roman" w:cs="Times New Roman"/>
          <w:sz w:val="24"/>
          <w:szCs w:val="24"/>
        </w:rPr>
      </w:pPr>
    </w:p>
    <w:p w14:paraId="0E1F430C" w14:textId="77777777" w:rsidR="00B90E75" w:rsidRPr="00B90E75" w:rsidRDefault="00B90E75" w:rsidP="00C363D3">
      <w:pPr>
        <w:tabs>
          <w:tab w:val="left" w:pos="5400"/>
        </w:tabs>
        <w:spacing w:after="0"/>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Należy podkreślić, że osoby starsze stanowią jedną z grup społecznych, którym w sposób szczególny dedykowane są działania z zakresu deinstytucjonalizacji usług zdrowotnych.</w:t>
      </w:r>
    </w:p>
    <w:p w14:paraId="605BDE7A" w14:textId="77777777" w:rsidR="00B90E75" w:rsidRDefault="00B90E75" w:rsidP="00C363D3">
      <w:pPr>
        <w:tabs>
          <w:tab w:val="left" w:pos="5400"/>
        </w:tabs>
        <w:spacing w:after="0"/>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Proces deinstytucjonalizacji usług skierowanych do tychże osób ma przyczynić się do rozwoju zindywidualizowanych usług w społeczności lokalnej mających ograniczyć konieczność opieki instytucjonalnej oraz przeniesienie istniejących zasobów z instytucji udzielających opieki długoterminowej do usług świa</w:t>
      </w:r>
      <w:r w:rsidR="0058363D">
        <w:rPr>
          <w:rFonts w:ascii="Times New Roman" w:eastAsia="Calibri" w:hAnsi="Times New Roman" w:cs="Times New Roman"/>
          <w:sz w:val="24"/>
          <w:szCs w:val="24"/>
        </w:rPr>
        <w:t xml:space="preserve">dczonych w środowisku lokalnym. </w:t>
      </w:r>
      <w:r w:rsidRPr="00B90E75">
        <w:rPr>
          <w:rFonts w:ascii="Times New Roman" w:eastAsia="Calibri" w:hAnsi="Times New Roman" w:cs="Times New Roman"/>
          <w:sz w:val="24"/>
          <w:szCs w:val="24"/>
        </w:rPr>
        <w:t>Planuje się, że dokument zostanie przyjęty do końca 2020 r.</w:t>
      </w:r>
    </w:p>
    <w:p w14:paraId="3F72D439" w14:textId="77777777" w:rsidR="0058363D" w:rsidRDefault="0058363D" w:rsidP="00C363D3">
      <w:pPr>
        <w:tabs>
          <w:tab w:val="left" w:pos="5400"/>
        </w:tabs>
        <w:spacing w:after="0"/>
        <w:jc w:val="both"/>
        <w:rPr>
          <w:rFonts w:ascii="Times New Roman" w:eastAsia="Calibri" w:hAnsi="Times New Roman" w:cs="Times New Roman"/>
          <w:sz w:val="24"/>
          <w:szCs w:val="24"/>
        </w:rPr>
      </w:pPr>
    </w:p>
    <w:p w14:paraId="334469BF" w14:textId="77777777" w:rsidR="0058363D" w:rsidRPr="0058363D" w:rsidRDefault="0058363D" w:rsidP="00C363D3">
      <w:pPr>
        <w:tabs>
          <w:tab w:val="left" w:pos="5400"/>
        </w:tabs>
        <w:spacing w:after="0"/>
        <w:jc w:val="both"/>
        <w:rPr>
          <w:rFonts w:ascii="Times New Roman" w:eastAsia="Calibri" w:hAnsi="Times New Roman" w:cs="Times New Roman"/>
          <w:b/>
          <w:sz w:val="24"/>
          <w:szCs w:val="24"/>
        </w:rPr>
      </w:pPr>
      <w:r w:rsidRPr="0058363D">
        <w:rPr>
          <w:rFonts w:ascii="Times New Roman" w:eastAsia="Calibri" w:hAnsi="Times New Roman" w:cs="Times New Roman"/>
          <w:b/>
          <w:sz w:val="24"/>
          <w:szCs w:val="24"/>
        </w:rPr>
        <w:t>Działalność Narodowego Instytutu Geriatrii, Reumatologii i Rehabilitacji</w:t>
      </w:r>
    </w:p>
    <w:p w14:paraId="62999276" w14:textId="77777777" w:rsidR="00B90E75" w:rsidRPr="0058363D" w:rsidRDefault="00B90E75" w:rsidP="00C363D3">
      <w:pPr>
        <w:spacing w:after="0"/>
        <w:jc w:val="both"/>
        <w:rPr>
          <w:rFonts w:ascii="Times New Roman" w:eastAsia="Calibri" w:hAnsi="Times New Roman" w:cs="Times New Roman"/>
          <w:sz w:val="24"/>
          <w:szCs w:val="24"/>
        </w:rPr>
      </w:pPr>
      <w:r w:rsidRPr="0058363D">
        <w:rPr>
          <w:rFonts w:ascii="Times New Roman" w:eastAsia="Calibri" w:hAnsi="Times New Roman" w:cs="Times New Roman"/>
          <w:sz w:val="24"/>
          <w:szCs w:val="24"/>
        </w:rPr>
        <w:t xml:space="preserve">Klinika Rehabilitacji </w:t>
      </w:r>
    </w:p>
    <w:p w14:paraId="38949D0C" w14:textId="77777777" w:rsidR="00B90E75" w:rsidRDefault="00B90E75" w:rsidP="00C363D3">
      <w:pPr>
        <w:spacing w:after="0"/>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W ramach Kliniki funkcjonuje oddział rehabilitacji stacjonarnej i oddział rehabilitacji dziennej. Na oddziale stacjonarnym w 2019 r. hospitalizowano 145 pacjentów po 60 roku życia. Wartość udzielonych świadczeń wynosiła 843 552,60 zł.</w:t>
      </w:r>
      <w:r w:rsidRPr="00B90E75">
        <w:rPr>
          <w:rFonts w:ascii="Times New Roman" w:hAnsi="Times New Roman" w:cs="Times New Roman"/>
          <w:sz w:val="24"/>
          <w:szCs w:val="24"/>
        </w:rPr>
        <w:t xml:space="preserve"> </w:t>
      </w:r>
      <w:r w:rsidRPr="00B90E75">
        <w:rPr>
          <w:rFonts w:ascii="Times New Roman" w:eastAsia="Calibri" w:hAnsi="Times New Roman" w:cs="Times New Roman"/>
          <w:sz w:val="24"/>
          <w:szCs w:val="24"/>
        </w:rPr>
        <w:t>Na oddziale dziennym osoby po 60 roku życia stanowią 30% wszystkich pacjentów.</w:t>
      </w:r>
    </w:p>
    <w:p w14:paraId="3859A994" w14:textId="77777777" w:rsidR="0058363D" w:rsidRPr="00B90E75" w:rsidRDefault="0058363D" w:rsidP="00C363D3">
      <w:pPr>
        <w:spacing w:after="0"/>
        <w:jc w:val="both"/>
        <w:rPr>
          <w:rFonts w:ascii="Times New Roman" w:eastAsia="Calibri" w:hAnsi="Times New Roman" w:cs="Times New Roman"/>
          <w:sz w:val="24"/>
          <w:szCs w:val="24"/>
        </w:rPr>
      </w:pPr>
    </w:p>
    <w:p w14:paraId="62CB72E6" w14:textId="77777777" w:rsidR="00B90E75" w:rsidRPr="0058363D" w:rsidRDefault="00B90E75" w:rsidP="00C363D3">
      <w:pPr>
        <w:spacing w:after="0"/>
        <w:jc w:val="both"/>
        <w:rPr>
          <w:rFonts w:ascii="Times New Roman" w:eastAsia="Calibri" w:hAnsi="Times New Roman" w:cs="Times New Roman"/>
          <w:sz w:val="24"/>
          <w:szCs w:val="24"/>
        </w:rPr>
      </w:pPr>
      <w:r w:rsidRPr="0058363D">
        <w:rPr>
          <w:rFonts w:ascii="Times New Roman" w:eastAsia="Calibri" w:hAnsi="Times New Roman" w:cs="Times New Roman"/>
          <w:sz w:val="24"/>
          <w:szCs w:val="24"/>
        </w:rPr>
        <w:t>Klinika Geriatrii</w:t>
      </w:r>
    </w:p>
    <w:p w14:paraId="3203BD1E" w14:textId="77777777" w:rsidR="00B90E75" w:rsidRDefault="00B90E75" w:rsidP="00C363D3">
      <w:pPr>
        <w:spacing w:after="0"/>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Klinika i Poliklinika Geriatrii NIGRiR sprawuje opiekę geriatryczną nad pacjentami w wieku 60+, jednocześnie wypracowując standardy opieki geriatrycznej. Klinika prowadzi również badania naukowe nad procesem starzenia się i chorobami wieku podeszłego.</w:t>
      </w:r>
    </w:p>
    <w:p w14:paraId="547B0063" w14:textId="3841AAB3" w:rsidR="0058363D" w:rsidRDefault="0058363D" w:rsidP="00C363D3">
      <w:pPr>
        <w:spacing w:after="0"/>
        <w:jc w:val="both"/>
        <w:rPr>
          <w:rFonts w:ascii="Times New Roman" w:eastAsia="Calibri" w:hAnsi="Times New Roman" w:cs="Times New Roman"/>
          <w:sz w:val="24"/>
          <w:szCs w:val="24"/>
        </w:rPr>
      </w:pPr>
    </w:p>
    <w:p w14:paraId="4A3E6BF2" w14:textId="77777777" w:rsidR="004E6514" w:rsidRPr="00B90E75" w:rsidRDefault="004E6514" w:rsidP="00C363D3">
      <w:pPr>
        <w:spacing w:after="0"/>
        <w:jc w:val="both"/>
        <w:rPr>
          <w:rFonts w:ascii="Times New Roman" w:eastAsia="Calibri" w:hAnsi="Times New Roman" w:cs="Times New Roman"/>
          <w:sz w:val="24"/>
          <w:szCs w:val="24"/>
        </w:rPr>
      </w:pPr>
    </w:p>
    <w:p w14:paraId="0DCAC3AA" w14:textId="5EA41DDA" w:rsidR="00261601" w:rsidRPr="00261601" w:rsidRDefault="00261601" w:rsidP="00261601">
      <w:pPr>
        <w:pStyle w:val="Legenda"/>
        <w:keepNext/>
        <w:jc w:val="both"/>
        <w:rPr>
          <w:rFonts w:ascii="Times New Roman" w:hAnsi="Times New Roman" w:cs="Times New Roman"/>
          <w:b/>
          <w:i w:val="0"/>
          <w:sz w:val="24"/>
        </w:rPr>
      </w:pPr>
      <w:bookmarkStart w:id="88" w:name="_Toc49171428"/>
      <w:r w:rsidRPr="00261601">
        <w:rPr>
          <w:rFonts w:ascii="Times New Roman" w:hAnsi="Times New Roman" w:cs="Times New Roman"/>
          <w:b/>
          <w:i w:val="0"/>
          <w:sz w:val="24"/>
        </w:rPr>
        <w:lastRenderedPageBreak/>
        <w:t xml:space="preserve">Tabela </w:t>
      </w:r>
      <w:r w:rsidRPr="00261601">
        <w:rPr>
          <w:rFonts w:ascii="Times New Roman" w:hAnsi="Times New Roman" w:cs="Times New Roman"/>
          <w:b/>
          <w:i w:val="0"/>
          <w:sz w:val="24"/>
        </w:rPr>
        <w:fldChar w:fldCharType="begin"/>
      </w:r>
      <w:r w:rsidRPr="00261601">
        <w:rPr>
          <w:rFonts w:ascii="Times New Roman" w:hAnsi="Times New Roman" w:cs="Times New Roman"/>
          <w:b/>
          <w:i w:val="0"/>
          <w:sz w:val="24"/>
        </w:rPr>
        <w:instrText xml:space="preserve"> SEQ Tabela \* ARABIC </w:instrText>
      </w:r>
      <w:r w:rsidRPr="00261601">
        <w:rPr>
          <w:rFonts w:ascii="Times New Roman" w:hAnsi="Times New Roman" w:cs="Times New Roman"/>
          <w:b/>
          <w:i w:val="0"/>
          <w:sz w:val="24"/>
        </w:rPr>
        <w:fldChar w:fldCharType="separate"/>
      </w:r>
      <w:r w:rsidR="00C154C9">
        <w:rPr>
          <w:rFonts w:ascii="Times New Roman" w:hAnsi="Times New Roman" w:cs="Times New Roman"/>
          <w:b/>
          <w:i w:val="0"/>
          <w:noProof/>
          <w:sz w:val="24"/>
        </w:rPr>
        <w:t>53</w:t>
      </w:r>
      <w:r w:rsidRPr="00261601">
        <w:rPr>
          <w:rFonts w:ascii="Times New Roman" w:hAnsi="Times New Roman" w:cs="Times New Roman"/>
          <w:b/>
          <w:i w:val="0"/>
          <w:sz w:val="24"/>
        </w:rPr>
        <w:fldChar w:fldCharType="end"/>
      </w:r>
      <w:r w:rsidRPr="00261601">
        <w:rPr>
          <w:rFonts w:ascii="Times New Roman" w:hAnsi="Times New Roman" w:cs="Times New Roman"/>
          <w:b/>
          <w:i w:val="0"/>
          <w:sz w:val="24"/>
        </w:rPr>
        <w:t xml:space="preserve"> Dane na temat świadczeń opieki zdrowotnej realizowanych na rzecz osób po 60 r. ż. przez Klinikę i Poliklinikę Geriatrii NIGRiR</w:t>
      </w:r>
      <w:bookmarkEnd w:id="88"/>
    </w:p>
    <w:tbl>
      <w:tblPr>
        <w:tblStyle w:val="Tabelasiatki5ciemnaakcent1"/>
        <w:tblW w:w="9067"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ook w:val="04A0" w:firstRow="1" w:lastRow="0" w:firstColumn="1" w:lastColumn="0" w:noHBand="0" w:noVBand="1"/>
      </w:tblPr>
      <w:tblGrid>
        <w:gridCol w:w="1980"/>
        <w:gridCol w:w="1337"/>
        <w:gridCol w:w="2348"/>
        <w:gridCol w:w="3402"/>
      </w:tblGrid>
      <w:tr w:rsidR="00B90E75" w:rsidRPr="00693274" w14:paraId="38FB40EC" w14:textId="77777777" w:rsidTr="00693274">
        <w:trPr>
          <w:cnfStyle w:val="100000000000" w:firstRow="1" w:lastRow="0" w:firstColumn="0" w:lastColumn="0" w:oddVBand="0" w:evenVBand="0" w:oddHBand="0"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right w:val="none" w:sz="0" w:space="0" w:color="auto"/>
            </w:tcBorders>
            <w:shd w:val="clear" w:color="auto" w:fill="9CC2E5" w:themeFill="accent1" w:themeFillTint="99"/>
          </w:tcPr>
          <w:p w14:paraId="36C1013D" w14:textId="77777777" w:rsidR="00B90E75" w:rsidRPr="00693274" w:rsidRDefault="00B90E75" w:rsidP="00693274">
            <w:pPr>
              <w:spacing w:before="0" w:after="0" w:line="240" w:lineRule="auto"/>
              <w:jc w:val="center"/>
              <w:rPr>
                <w:rFonts w:ascii="Times New Roman" w:eastAsia="Calibri" w:hAnsi="Times New Roman" w:cs="Times New Roman"/>
                <w:color w:val="auto"/>
              </w:rPr>
            </w:pPr>
            <w:r w:rsidRPr="00693274">
              <w:rPr>
                <w:rFonts w:ascii="Times New Roman" w:eastAsia="Calibri" w:hAnsi="Times New Roman" w:cs="Times New Roman"/>
                <w:color w:val="auto"/>
              </w:rPr>
              <w:t>Liczba oddziałów geriatrycznych</w:t>
            </w:r>
          </w:p>
        </w:tc>
        <w:tc>
          <w:tcPr>
            <w:tcW w:w="1337" w:type="dxa"/>
            <w:tcBorders>
              <w:top w:val="none" w:sz="0" w:space="0" w:color="auto"/>
              <w:left w:val="none" w:sz="0" w:space="0" w:color="auto"/>
              <w:right w:val="none" w:sz="0" w:space="0" w:color="auto"/>
            </w:tcBorders>
            <w:shd w:val="clear" w:color="auto" w:fill="9CC2E5" w:themeFill="accent1" w:themeFillTint="99"/>
          </w:tcPr>
          <w:p w14:paraId="255948A5" w14:textId="77777777" w:rsidR="00B90E75" w:rsidRPr="00693274" w:rsidRDefault="00B90E75" w:rsidP="00693274">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rPr>
            </w:pPr>
            <w:r w:rsidRPr="00693274">
              <w:rPr>
                <w:rFonts w:ascii="Times New Roman" w:eastAsia="Calibri" w:hAnsi="Times New Roman" w:cs="Times New Roman"/>
                <w:color w:val="auto"/>
              </w:rPr>
              <w:t>Liczba łóżek</w:t>
            </w:r>
          </w:p>
        </w:tc>
        <w:tc>
          <w:tcPr>
            <w:tcW w:w="2348" w:type="dxa"/>
            <w:tcBorders>
              <w:top w:val="none" w:sz="0" w:space="0" w:color="auto"/>
              <w:left w:val="none" w:sz="0" w:space="0" w:color="auto"/>
              <w:right w:val="none" w:sz="0" w:space="0" w:color="auto"/>
            </w:tcBorders>
            <w:shd w:val="clear" w:color="auto" w:fill="9CC2E5" w:themeFill="accent1" w:themeFillTint="99"/>
          </w:tcPr>
          <w:p w14:paraId="6D44A05B" w14:textId="77777777" w:rsidR="00B90E75" w:rsidRPr="00693274" w:rsidRDefault="00B90E75" w:rsidP="00693274">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rPr>
            </w:pPr>
            <w:r w:rsidRPr="00693274">
              <w:rPr>
                <w:rFonts w:ascii="Times New Roman" w:eastAsia="Calibri" w:hAnsi="Times New Roman" w:cs="Times New Roman"/>
                <w:color w:val="auto"/>
              </w:rPr>
              <w:t>Liczba świadczeń</w:t>
            </w:r>
          </w:p>
        </w:tc>
        <w:tc>
          <w:tcPr>
            <w:tcW w:w="3402" w:type="dxa"/>
            <w:tcBorders>
              <w:top w:val="none" w:sz="0" w:space="0" w:color="auto"/>
              <w:left w:val="none" w:sz="0" w:space="0" w:color="auto"/>
              <w:right w:val="none" w:sz="0" w:space="0" w:color="auto"/>
            </w:tcBorders>
            <w:shd w:val="clear" w:color="auto" w:fill="9CC2E5" w:themeFill="accent1" w:themeFillTint="99"/>
          </w:tcPr>
          <w:p w14:paraId="7CC8A8A8" w14:textId="77777777" w:rsidR="00B90E75" w:rsidRPr="00693274" w:rsidRDefault="00B90E75" w:rsidP="00693274">
            <w:pPr>
              <w:spacing w:before="0"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color w:val="auto"/>
              </w:rPr>
            </w:pPr>
            <w:r w:rsidRPr="00693274">
              <w:rPr>
                <w:rFonts w:ascii="Times New Roman" w:eastAsia="Calibri" w:hAnsi="Times New Roman" w:cs="Times New Roman"/>
                <w:color w:val="auto"/>
              </w:rPr>
              <w:t>Wartość udzielonych świadczeń osobom po 60 r.ż.</w:t>
            </w:r>
          </w:p>
        </w:tc>
      </w:tr>
      <w:tr w:rsidR="00B90E75" w:rsidRPr="00693274" w14:paraId="28BDEA54" w14:textId="77777777" w:rsidTr="004E6514">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980" w:type="dxa"/>
            <w:vMerge w:val="restart"/>
            <w:tcBorders>
              <w:left w:val="none" w:sz="0" w:space="0" w:color="auto"/>
            </w:tcBorders>
            <w:shd w:val="clear" w:color="auto" w:fill="FFFFFF" w:themeFill="background1"/>
            <w:vAlign w:val="center"/>
          </w:tcPr>
          <w:p w14:paraId="19F67C5F" w14:textId="77777777" w:rsidR="00B90E75" w:rsidRPr="00693274" w:rsidRDefault="00B90E75" w:rsidP="00693274">
            <w:pPr>
              <w:spacing w:before="0" w:after="0" w:line="240" w:lineRule="auto"/>
              <w:jc w:val="center"/>
              <w:rPr>
                <w:rFonts w:ascii="Times New Roman" w:eastAsia="Calibri" w:hAnsi="Times New Roman" w:cs="Times New Roman"/>
                <w:b w:val="0"/>
                <w:bCs w:val="0"/>
              </w:rPr>
            </w:pPr>
            <w:r w:rsidRPr="00693274">
              <w:rPr>
                <w:rFonts w:ascii="Times New Roman" w:eastAsia="Calibri" w:hAnsi="Times New Roman" w:cs="Times New Roman"/>
                <w:b w:val="0"/>
                <w:bCs w:val="0"/>
                <w:color w:val="auto"/>
              </w:rPr>
              <w:t>1</w:t>
            </w:r>
          </w:p>
        </w:tc>
        <w:tc>
          <w:tcPr>
            <w:tcW w:w="1337" w:type="dxa"/>
            <w:vMerge w:val="restart"/>
            <w:shd w:val="clear" w:color="auto" w:fill="FFFFFF" w:themeFill="background1"/>
            <w:vAlign w:val="center"/>
          </w:tcPr>
          <w:p w14:paraId="200E0BCD" w14:textId="77777777" w:rsidR="00B90E75" w:rsidRPr="00693274" w:rsidRDefault="00B90E75" w:rsidP="006932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93274">
              <w:rPr>
                <w:rFonts w:ascii="Times New Roman" w:eastAsia="Calibri" w:hAnsi="Times New Roman" w:cs="Times New Roman"/>
              </w:rPr>
              <w:t>25</w:t>
            </w:r>
          </w:p>
        </w:tc>
        <w:tc>
          <w:tcPr>
            <w:tcW w:w="2348" w:type="dxa"/>
            <w:shd w:val="clear" w:color="auto" w:fill="FFFFFF" w:themeFill="background1"/>
          </w:tcPr>
          <w:p w14:paraId="55E76F4B" w14:textId="77777777" w:rsidR="00B90E75" w:rsidRPr="00693274" w:rsidRDefault="00B90E75" w:rsidP="006932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93274">
              <w:rPr>
                <w:rFonts w:ascii="Times New Roman" w:eastAsia="Calibri" w:hAnsi="Times New Roman" w:cs="Times New Roman"/>
              </w:rPr>
              <w:t>778</w:t>
            </w:r>
          </w:p>
        </w:tc>
        <w:tc>
          <w:tcPr>
            <w:tcW w:w="3402" w:type="dxa"/>
            <w:shd w:val="clear" w:color="auto" w:fill="FFFFFF" w:themeFill="background1"/>
          </w:tcPr>
          <w:p w14:paraId="2AA57673" w14:textId="77777777" w:rsidR="00B90E75" w:rsidRPr="00693274" w:rsidRDefault="00B90E75" w:rsidP="006932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rPr>
            </w:pPr>
            <w:r w:rsidRPr="00693274">
              <w:rPr>
                <w:rFonts w:ascii="Times New Roman" w:eastAsia="Calibri" w:hAnsi="Times New Roman" w:cs="Times New Roman"/>
              </w:rPr>
              <w:t>3 398 961,00 zł</w:t>
            </w:r>
          </w:p>
        </w:tc>
      </w:tr>
      <w:tr w:rsidR="00B90E75" w:rsidRPr="00693274" w14:paraId="35FA1DE1" w14:textId="77777777" w:rsidTr="004E6514">
        <w:tc>
          <w:tcPr>
            <w:cnfStyle w:val="001000000000" w:firstRow="0" w:lastRow="0" w:firstColumn="1" w:lastColumn="0" w:oddVBand="0" w:evenVBand="0" w:oddHBand="0" w:evenHBand="0" w:firstRowFirstColumn="0" w:firstRowLastColumn="0" w:lastRowFirstColumn="0" w:lastRowLastColumn="0"/>
            <w:tcW w:w="1980" w:type="dxa"/>
            <w:vMerge/>
            <w:tcBorders>
              <w:left w:val="none" w:sz="0" w:space="0" w:color="auto"/>
            </w:tcBorders>
            <w:shd w:val="clear" w:color="auto" w:fill="FFFFFF" w:themeFill="background1"/>
          </w:tcPr>
          <w:p w14:paraId="18D3561C" w14:textId="77777777" w:rsidR="00B90E75" w:rsidRPr="00693274" w:rsidRDefault="00B90E75" w:rsidP="00693274">
            <w:pPr>
              <w:spacing w:before="0" w:after="0" w:line="240" w:lineRule="auto"/>
              <w:jc w:val="center"/>
              <w:rPr>
                <w:rFonts w:ascii="Times New Roman" w:eastAsia="Calibri" w:hAnsi="Times New Roman" w:cs="Times New Roman"/>
              </w:rPr>
            </w:pPr>
          </w:p>
        </w:tc>
        <w:tc>
          <w:tcPr>
            <w:tcW w:w="1337" w:type="dxa"/>
            <w:vMerge/>
            <w:shd w:val="clear" w:color="auto" w:fill="FFFFFF" w:themeFill="background1"/>
          </w:tcPr>
          <w:p w14:paraId="7E9B2F7C" w14:textId="77777777" w:rsidR="00B90E75" w:rsidRPr="00693274" w:rsidRDefault="00B90E75" w:rsidP="006932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p>
        </w:tc>
        <w:tc>
          <w:tcPr>
            <w:tcW w:w="2348" w:type="dxa"/>
            <w:shd w:val="clear" w:color="auto" w:fill="FFFFFF" w:themeFill="background1"/>
          </w:tcPr>
          <w:p w14:paraId="2279948C" w14:textId="77777777" w:rsidR="00B90E75" w:rsidRPr="00693274" w:rsidRDefault="00B90E75" w:rsidP="006932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93274">
              <w:rPr>
                <w:rFonts w:ascii="Times New Roman" w:eastAsia="Calibri" w:hAnsi="Times New Roman" w:cs="Times New Roman"/>
              </w:rPr>
              <w:t>361 COG (Całościowa Ocena Geriatryczna)</w:t>
            </w:r>
          </w:p>
        </w:tc>
        <w:tc>
          <w:tcPr>
            <w:tcW w:w="3402" w:type="dxa"/>
            <w:shd w:val="clear" w:color="auto" w:fill="FFFFFF" w:themeFill="background1"/>
          </w:tcPr>
          <w:p w14:paraId="2D4472F0" w14:textId="77777777" w:rsidR="00B90E75" w:rsidRPr="00693274" w:rsidRDefault="00B90E75" w:rsidP="00693274">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rPr>
            </w:pPr>
            <w:r w:rsidRPr="00693274">
              <w:rPr>
                <w:rFonts w:ascii="Times New Roman" w:eastAsia="Calibri" w:hAnsi="Times New Roman" w:cs="Times New Roman"/>
              </w:rPr>
              <w:t>58 358,16 zł</w:t>
            </w:r>
          </w:p>
        </w:tc>
      </w:tr>
      <w:tr w:rsidR="00B90E75" w:rsidRPr="00693274" w14:paraId="59570DDF" w14:textId="77777777" w:rsidTr="006932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17" w:type="dxa"/>
            <w:gridSpan w:val="2"/>
            <w:tcBorders>
              <w:left w:val="none" w:sz="0" w:space="0" w:color="auto"/>
              <w:bottom w:val="none" w:sz="0" w:space="0" w:color="auto"/>
            </w:tcBorders>
            <w:shd w:val="clear" w:color="auto" w:fill="9CC2E5" w:themeFill="accent1" w:themeFillTint="99"/>
          </w:tcPr>
          <w:p w14:paraId="57591F85" w14:textId="77777777" w:rsidR="00B90E75" w:rsidRPr="00693274" w:rsidRDefault="00B90E75" w:rsidP="00693274">
            <w:pPr>
              <w:spacing w:before="0" w:after="0" w:line="240" w:lineRule="auto"/>
              <w:jc w:val="center"/>
              <w:rPr>
                <w:rFonts w:ascii="Times New Roman" w:eastAsia="Calibri" w:hAnsi="Times New Roman" w:cs="Times New Roman"/>
                <w:color w:val="auto"/>
              </w:rPr>
            </w:pPr>
            <w:r w:rsidRPr="00693274">
              <w:rPr>
                <w:rFonts w:ascii="Times New Roman" w:eastAsia="Calibri" w:hAnsi="Times New Roman" w:cs="Times New Roman"/>
                <w:color w:val="auto"/>
              </w:rPr>
              <w:t>Razem:</w:t>
            </w:r>
          </w:p>
        </w:tc>
        <w:tc>
          <w:tcPr>
            <w:tcW w:w="2348" w:type="dxa"/>
            <w:shd w:val="clear" w:color="auto" w:fill="9CC2E5" w:themeFill="accent1" w:themeFillTint="99"/>
          </w:tcPr>
          <w:p w14:paraId="111B28E8" w14:textId="77777777" w:rsidR="00B90E75" w:rsidRPr="00693274" w:rsidRDefault="00B90E75" w:rsidP="006932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693274">
              <w:rPr>
                <w:rFonts w:ascii="Times New Roman" w:eastAsia="Calibri" w:hAnsi="Times New Roman" w:cs="Times New Roman"/>
                <w:b/>
                <w:bCs/>
              </w:rPr>
              <w:t>1139</w:t>
            </w:r>
          </w:p>
        </w:tc>
        <w:tc>
          <w:tcPr>
            <w:tcW w:w="3402" w:type="dxa"/>
            <w:shd w:val="clear" w:color="auto" w:fill="9CC2E5" w:themeFill="accent1" w:themeFillTint="99"/>
          </w:tcPr>
          <w:p w14:paraId="59FCFBDC" w14:textId="77777777" w:rsidR="00B90E75" w:rsidRPr="00693274" w:rsidRDefault="00B90E75" w:rsidP="00693274">
            <w:pPr>
              <w:spacing w:before="0"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rPr>
            </w:pPr>
            <w:r w:rsidRPr="00693274">
              <w:rPr>
                <w:rFonts w:ascii="Times New Roman" w:eastAsia="Calibri" w:hAnsi="Times New Roman" w:cs="Times New Roman"/>
                <w:b/>
                <w:bCs/>
              </w:rPr>
              <w:t>3 457 319, 16 zł</w:t>
            </w:r>
          </w:p>
        </w:tc>
      </w:tr>
    </w:tbl>
    <w:p w14:paraId="7BBC13E0" w14:textId="77777777" w:rsidR="0058363D" w:rsidRDefault="0058363D" w:rsidP="00C363D3">
      <w:pPr>
        <w:spacing w:after="0"/>
        <w:jc w:val="both"/>
        <w:rPr>
          <w:rFonts w:ascii="Times New Roman" w:eastAsia="Calibri" w:hAnsi="Times New Roman" w:cs="Times New Roman"/>
          <w:sz w:val="24"/>
          <w:szCs w:val="24"/>
        </w:rPr>
      </w:pPr>
    </w:p>
    <w:p w14:paraId="79537FD8" w14:textId="77777777" w:rsidR="00B90E75" w:rsidRPr="00B90E75" w:rsidRDefault="00B90E75" w:rsidP="00C363D3">
      <w:pPr>
        <w:spacing w:after="0"/>
        <w:jc w:val="both"/>
        <w:rPr>
          <w:rFonts w:ascii="Times New Roman" w:eastAsia="Calibri" w:hAnsi="Times New Roman" w:cs="Times New Roman"/>
          <w:sz w:val="24"/>
          <w:szCs w:val="24"/>
        </w:rPr>
      </w:pPr>
      <w:r w:rsidRPr="00B90E75">
        <w:rPr>
          <w:rFonts w:ascii="Times New Roman" w:eastAsia="Calibri" w:hAnsi="Times New Roman" w:cs="Times New Roman"/>
          <w:sz w:val="24"/>
          <w:szCs w:val="24"/>
        </w:rPr>
        <w:t>Narodowy Instytut Geriatrii, Reumatologii i Rehabilitacji realizował projekty:</w:t>
      </w:r>
    </w:p>
    <w:p w14:paraId="135C6AE5" w14:textId="77777777" w:rsidR="00B90E75" w:rsidRPr="0058363D" w:rsidRDefault="00B90E75" w:rsidP="008C71A9">
      <w:pPr>
        <w:pStyle w:val="Akapitzlist"/>
        <w:numPr>
          <w:ilvl w:val="0"/>
          <w:numId w:val="380"/>
        </w:numPr>
        <w:spacing w:after="0"/>
        <w:ind w:left="360"/>
        <w:jc w:val="both"/>
        <w:rPr>
          <w:rFonts w:ascii="Times New Roman" w:hAnsi="Times New Roman" w:cs="Times New Roman"/>
          <w:sz w:val="24"/>
          <w:szCs w:val="24"/>
        </w:rPr>
      </w:pPr>
      <w:r w:rsidRPr="004D2D78">
        <w:rPr>
          <w:rFonts w:ascii="Times New Roman" w:hAnsi="Times New Roman" w:cs="Times New Roman"/>
          <w:sz w:val="24"/>
          <w:szCs w:val="24"/>
          <w:lang w:val="en-US"/>
        </w:rPr>
        <w:t xml:space="preserve">Projekt Managing Frailty. A comprehensive approach to promote a disability-free advanced age in Europe: the ADVANTAGE initiative — JA ADVANTAGE (Wspólne działanie w zakresie postępowania w zespole kruchości. </w:t>
      </w:r>
      <w:r w:rsidRPr="0058363D">
        <w:rPr>
          <w:rFonts w:ascii="Times New Roman" w:hAnsi="Times New Roman" w:cs="Times New Roman"/>
          <w:sz w:val="24"/>
          <w:szCs w:val="24"/>
        </w:rPr>
        <w:t>Kompleksowe podejście w promowaniu zaawansowanego wieku bez ograniczeń funkcji)</w:t>
      </w:r>
    </w:p>
    <w:p w14:paraId="5B7D9C8B" w14:textId="77777777" w:rsidR="00B90E75" w:rsidRPr="0058363D" w:rsidRDefault="00B90E75" w:rsidP="008C71A9">
      <w:pPr>
        <w:pStyle w:val="Akapitzlist"/>
        <w:numPr>
          <w:ilvl w:val="0"/>
          <w:numId w:val="380"/>
        </w:numPr>
        <w:spacing w:after="0"/>
        <w:ind w:left="360"/>
        <w:jc w:val="both"/>
        <w:rPr>
          <w:rFonts w:ascii="Times New Roman" w:hAnsi="Times New Roman" w:cs="Times New Roman"/>
          <w:sz w:val="24"/>
          <w:szCs w:val="24"/>
        </w:rPr>
      </w:pPr>
      <w:r w:rsidRPr="0058363D">
        <w:rPr>
          <w:rFonts w:ascii="Times New Roman" w:hAnsi="Times New Roman" w:cs="Times New Roman"/>
          <w:sz w:val="24"/>
          <w:szCs w:val="24"/>
        </w:rPr>
        <w:t>Projekt CHRODIS-PLUS: Implementing good practices for chronic diseases — (Wdrożenie dobrych praktyk wobec chorób przewlekłych),</w:t>
      </w:r>
    </w:p>
    <w:p w14:paraId="7CEB7A07" w14:textId="77777777" w:rsidR="00B90E75" w:rsidRPr="00B90E75" w:rsidRDefault="00B90E75" w:rsidP="00C363D3">
      <w:pPr>
        <w:spacing w:after="0"/>
        <w:jc w:val="both"/>
        <w:rPr>
          <w:rFonts w:ascii="Times New Roman" w:eastAsia="Calibri" w:hAnsi="Times New Roman" w:cs="Times New Roman"/>
          <w:sz w:val="24"/>
          <w:szCs w:val="24"/>
        </w:rPr>
      </w:pPr>
      <w:r w:rsidRPr="00B90E75">
        <w:rPr>
          <w:rFonts w:ascii="Times New Roman" w:eastAsia="Calibri" w:hAnsi="Times New Roman" w:cs="Times New Roman"/>
          <w:color w:val="000000"/>
          <w:sz w:val="24"/>
          <w:szCs w:val="24"/>
          <w14:textFill>
            <w14:solidFill>
              <w14:srgbClr w14:val="000000">
                <w14:lumMod w14:val="75000"/>
              </w14:srgbClr>
            </w14:solidFill>
          </w14:textFill>
        </w:rPr>
        <w:t xml:space="preserve">które zostały opisane w części dotyczącej profilaktyki oraz promocji zdrowia, a także – we współpracy z Narodowym Instytutem Seniora – prowadził działania związane z upowszechnianiem innowacyjnych systemów monitorowania stanu zdrowia i zachowań prozdrowotnych osób starszych, poprzez wykorzystanie metod teleprofilaktyki i telemedycyny (opis w punkcie </w:t>
      </w:r>
      <w:r w:rsidRPr="00B90E75">
        <w:rPr>
          <w:rFonts w:ascii="Times New Roman" w:eastAsia="Calibri" w:hAnsi="Times New Roman" w:cs="Times New Roman"/>
          <w:i/>
          <w:iCs/>
          <w:color w:val="000000"/>
          <w:sz w:val="24"/>
          <w:szCs w:val="24"/>
          <w14:textFill>
            <w14:solidFill>
              <w14:srgbClr w14:val="000000">
                <w14:lumMod w14:val="75000"/>
              </w14:srgbClr>
            </w14:solidFill>
          </w14:textFill>
        </w:rPr>
        <w:t>Inicjatywy z zakresu e-zdrowia</w:t>
      </w:r>
      <w:r w:rsidRPr="00B90E75">
        <w:rPr>
          <w:rFonts w:ascii="Times New Roman" w:eastAsia="Calibri" w:hAnsi="Times New Roman" w:cs="Times New Roman"/>
          <w:color w:val="000000"/>
          <w:sz w:val="24"/>
          <w:szCs w:val="24"/>
          <w14:textFill>
            <w14:solidFill>
              <w14:srgbClr w14:val="000000">
                <w14:lumMod w14:val="75000"/>
              </w14:srgbClr>
            </w14:solidFill>
          </w14:textFill>
        </w:rPr>
        <w:t>).</w:t>
      </w:r>
    </w:p>
    <w:p w14:paraId="70B55035" w14:textId="77777777" w:rsidR="00B90E75" w:rsidRPr="00B47826" w:rsidRDefault="00B90E75" w:rsidP="00C363D3">
      <w:pPr>
        <w:spacing w:after="0"/>
        <w:jc w:val="both"/>
        <w:rPr>
          <w:lang w:eastAsia="ar-SA"/>
        </w:rPr>
      </w:pPr>
    </w:p>
    <w:p w14:paraId="76D2F038" w14:textId="77777777" w:rsidR="000A25C2" w:rsidRPr="00AF051D" w:rsidRDefault="0087360D" w:rsidP="00835584">
      <w:pPr>
        <w:pStyle w:val="Nagwek2"/>
        <w:numPr>
          <w:ilvl w:val="1"/>
          <w:numId w:val="383"/>
        </w:numPr>
        <w:spacing w:before="240" w:after="240"/>
        <w:ind w:left="432" w:hanging="574"/>
        <w:rPr>
          <w:rFonts w:cs="Times New Roman"/>
          <w:sz w:val="40"/>
          <w:szCs w:val="28"/>
          <w:lang w:eastAsia="ar-SA"/>
        </w:rPr>
      </w:pPr>
      <w:bookmarkStart w:id="89" w:name="_Toc49171347"/>
      <w:r w:rsidRPr="00AF051D">
        <w:rPr>
          <w:rFonts w:cs="Times New Roman"/>
          <w:sz w:val="40"/>
          <w:szCs w:val="28"/>
          <w:lang w:eastAsia="ar-SA"/>
        </w:rPr>
        <w:t xml:space="preserve">Ministerstwo </w:t>
      </w:r>
      <w:r w:rsidR="00475EFA" w:rsidRPr="00AF051D">
        <w:rPr>
          <w:rFonts w:cs="Times New Roman"/>
          <w:sz w:val="40"/>
          <w:szCs w:val="28"/>
          <w:lang w:eastAsia="ar-SA"/>
        </w:rPr>
        <w:t>Funduszy i Polityki Regionalnej</w:t>
      </w:r>
      <w:bookmarkEnd w:id="89"/>
    </w:p>
    <w:p w14:paraId="15569500" w14:textId="77777777" w:rsidR="000A25C2" w:rsidRPr="00050B2A" w:rsidRDefault="000A25C2" w:rsidP="00C363D3">
      <w:pPr>
        <w:spacing w:after="0"/>
        <w:jc w:val="both"/>
        <w:rPr>
          <w:rFonts w:ascii="Times New Roman" w:hAnsi="Times New Roman" w:cs="Times New Roman"/>
          <w:b/>
          <w:color w:val="00B0F0"/>
          <w:sz w:val="24"/>
          <w:szCs w:val="24"/>
        </w:rPr>
      </w:pPr>
      <w:r w:rsidRPr="00050B2A">
        <w:rPr>
          <w:rFonts w:ascii="Times New Roman" w:hAnsi="Times New Roman" w:cs="Times New Roman"/>
          <w:b/>
          <w:color w:val="00B0F0"/>
          <w:sz w:val="24"/>
          <w:szCs w:val="24"/>
        </w:rPr>
        <w:t xml:space="preserve">Innowacje społeczne dla seniorów w PO WER  </w:t>
      </w:r>
    </w:p>
    <w:p w14:paraId="359ECFD5"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 xml:space="preserve">Do końca III kwartału 2019 r. nadal prowadziła swoją działalność część tzw. inkubatorów innowacji społecznych, których zadaniem było poszukiwanie szybszych, tańszych i bardziej wydajnych sposobów rozwiązywania problemów społecznych w Polsce. Inkubatory pomagały wyselekcjonowanym nowatorskim inicjatywom rozwinąć się, weryfikowały, czy faktycznie sprawdzają się one w praktyce, aby na końcu wybrać te najskuteczniejsze i najbardziej efektywne do upowszechnienia na szeroką skalę. Jednym spośród 4 obszarów tematycznych, którymi zajmowały się inkubatory są usługi opiekuńcze dla osób zależnych, w tym przede wszystkim osób starszych i osób z niepełnosprawnościami. W inkubatorach wsparcie eksperckie, finansowe (grant) oraz organizacyjne otrzymywały zarówno osoby indywidualne, jak i grupy nieformalne, a także inne małe podmioty prywatne, społeczne lub publiczne zakorzenione w lokalnym środowisku lub regionie. Do końca 2019 r. (od 2016 r.) w ramach inkubatorów innowacji społecznych wypracowano ponad 100 innowacji społecznych ukierunkowanych na rozwiązywanie </w:t>
      </w:r>
      <w:r w:rsidR="00835584">
        <w:rPr>
          <w:rFonts w:ascii="Times New Roman" w:hAnsi="Times New Roman" w:cs="Times New Roman"/>
          <w:sz w:val="24"/>
          <w:szCs w:val="24"/>
        </w:rPr>
        <w:t xml:space="preserve">problemów osób starszych i osób </w:t>
      </w:r>
      <w:r w:rsidRPr="000A25C2">
        <w:rPr>
          <w:rFonts w:ascii="Times New Roman" w:hAnsi="Times New Roman" w:cs="Times New Roman"/>
          <w:sz w:val="24"/>
          <w:szCs w:val="24"/>
        </w:rPr>
        <w:t xml:space="preserve">z niepełnosprawnościami. Jednym z przykładów jest inkubator prowadzony przez Towarzystwo Inicjatyw Twórczych „ę”, który nastawiony był właśnie na rozwiązywanie </w:t>
      </w:r>
      <w:r w:rsidRPr="000A25C2">
        <w:rPr>
          <w:rFonts w:ascii="Times New Roman" w:hAnsi="Times New Roman" w:cs="Times New Roman"/>
          <w:sz w:val="24"/>
          <w:szCs w:val="24"/>
        </w:rPr>
        <w:lastRenderedPageBreak/>
        <w:t xml:space="preserve">problemów związanych ze starzejącym się społeczeństwem. W ramach przedsięwzięcia osoby, grupy nieformalne, a także organizacje mogły zgłosić się ze swoimi nowatorskimi, wynikającymi z oddolnych inicjatyw, własnych doświadczeń pomysłami  na to, co zrobić, by uczynić życie osób starszych oraz opiekujących się nimi członków rodzin, przyjaciół i sąsiadów lepszym i łatwiejszym. Zadaniem innowatorów było zaproponowanie rozwiązań odpowiadających na 2 szczególne wyzwania: </w:t>
      </w:r>
    </w:p>
    <w:p w14:paraId="2897E603" w14:textId="77777777" w:rsidR="00050B2A" w:rsidRDefault="000A25C2" w:rsidP="008C71A9">
      <w:pPr>
        <w:pStyle w:val="Akapitzlist"/>
        <w:numPr>
          <w:ilvl w:val="0"/>
          <w:numId w:val="332"/>
        </w:numPr>
        <w:spacing w:after="0"/>
        <w:ind w:left="360"/>
        <w:jc w:val="both"/>
        <w:rPr>
          <w:rFonts w:ascii="Times New Roman" w:hAnsi="Times New Roman" w:cs="Times New Roman"/>
          <w:sz w:val="24"/>
          <w:szCs w:val="24"/>
        </w:rPr>
      </w:pPr>
      <w:r w:rsidRPr="00050B2A">
        <w:rPr>
          <w:rFonts w:ascii="Times New Roman" w:hAnsi="Times New Roman" w:cs="Times New Roman"/>
          <w:sz w:val="24"/>
          <w:szCs w:val="24"/>
        </w:rPr>
        <w:t>budowanie sieci społecznych - lokalnych i sąsiedzkich - wspierając</w:t>
      </w:r>
      <w:r w:rsidR="00050B2A">
        <w:rPr>
          <w:rFonts w:ascii="Times New Roman" w:hAnsi="Times New Roman" w:cs="Times New Roman"/>
          <w:sz w:val="24"/>
          <w:szCs w:val="24"/>
        </w:rPr>
        <w:t>ych osoby starsze i ich rodziny,</w:t>
      </w:r>
    </w:p>
    <w:p w14:paraId="665FCD71" w14:textId="77777777" w:rsidR="000A25C2" w:rsidRPr="00050B2A" w:rsidRDefault="000A25C2" w:rsidP="008C71A9">
      <w:pPr>
        <w:pStyle w:val="Akapitzlist"/>
        <w:numPr>
          <w:ilvl w:val="0"/>
          <w:numId w:val="332"/>
        </w:numPr>
        <w:spacing w:after="0"/>
        <w:ind w:left="360"/>
        <w:jc w:val="both"/>
        <w:rPr>
          <w:rFonts w:ascii="Times New Roman" w:hAnsi="Times New Roman" w:cs="Times New Roman"/>
          <w:sz w:val="24"/>
          <w:szCs w:val="24"/>
        </w:rPr>
      </w:pPr>
      <w:r w:rsidRPr="00050B2A">
        <w:rPr>
          <w:rFonts w:ascii="Times New Roman" w:hAnsi="Times New Roman" w:cs="Times New Roman"/>
          <w:sz w:val="24"/>
          <w:szCs w:val="24"/>
        </w:rPr>
        <w:t>opieka wytchnieniowa.</w:t>
      </w:r>
    </w:p>
    <w:p w14:paraId="0459456A"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Inkubator wyłonił 28 innowacyjnych pomysłów na rozwiązywanie ww. problemów i w 2019 r. te rozwiązania, które sprawdziły się najlepiej w praktyce były upowszechniane  na szeroką skalę.</w:t>
      </w:r>
    </w:p>
    <w:p w14:paraId="6FC8B36B" w14:textId="77777777" w:rsid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W 2019 r. została ogłoszona II edycja konkursu na inkubację innowacji społecznych. Jednym z trzech obszarów tematycznych w ramach konkursu jest włączenie społeczne, zatem na pewno w kolejnych latach będą nadal opracowywane nowatorskie rozwiązania, które przyczynią się do poprawy komfortu życia osób starszych.  </w:t>
      </w:r>
    </w:p>
    <w:p w14:paraId="01980DC1" w14:textId="77777777" w:rsidR="00050B2A" w:rsidRPr="000A25C2" w:rsidRDefault="00050B2A" w:rsidP="00C363D3">
      <w:pPr>
        <w:spacing w:after="0"/>
        <w:jc w:val="both"/>
        <w:rPr>
          <w:rFonts w:ascii="Times New Roman" w:hAnsi="Times New Roman" w:cs="Times New Roman"/>
          <w:sz w:val="24"/>
          <w:szCs w:val="24"/>
        </w:rPr>
      </w:pPr>
    </w:p>
    <w:p w14:paraId="41545E95"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Ponadto w 2019 r. został rozstrzygnięty konkurs na tzw. inkubator dostępności. Jego celem jest wsparcie procesu inkubacji nowych pomysłów, które pozwolą na szybsze, skuteczniejsze i bardziej wydajne rozwiązywanie problemów społecznych w Polsce, związanych z brakiem wystarczającej dostępności przestrzeni publicznej dla osób z niepełnosprawnościami oraz osób starszych o ograniczonej mobilności lub percepcji. W ramach konkursu wyłonionych zostało 5 ogólnopolskich inkubatorów dostępności. Do zakresu obowiązków inkubatora należy poszukiwanie najciekawszych inicjatyw, udzielenie niezbędnej pomocy, aby mogły się one rozwinąć w konkretne rozwiązania, a na końcu wdrożenie do praktyki tych przedsięwzięć, które w trakcie testowania sprawdzą się najlepiej. Inkubatory udzielają pomocy eksperckiej i finansowej w formie grantu osobom indywidualnym, grupom nieformalnym lub innym małym podmiotom (np. firmom, organizacjom pozarządowym), które mają pomysł na to, jak sprawić, aby osoby z niepełno</w:t>
      </w:r>
      <w:r w:rsidR="00050B2A">
        <w:rPr>
          <w:rFonts w:ascii="Times New Roman" w:hAnsi="Times New Roman" w:cs="Times New Roman"/>
          <w:sz w:val="24"/>
          <w:szCs w:val="24"/>
        </w:rPr>
        <w:t>sprawnościami czy osoby starszej o</w:t>
      </w:r>
      <w:r w:rsidRPr="000A25C2">
        <w:rPr>
          <w:rFonts w:ascii="Times New Roman" w:hAnsi="Times New Roman" w:cs="Times New Roman"/>
          <w:sz w:val="24"/>
          <w:szCs w:val="24"/>
        </w:rPr>
        <w:t xml:space="preserve"> ograniczonej mobilności lub percepcji w jak największym stopniu mogły samodzielnie funkcjonować w codziennym życiu (np. robić zakupy) i nie były wykluczone z możliwości korzystania z usług publicznych oraz innych o charakterze powszechnym (np. dostęp do mediów elektronicznych, dóbr kultury czy usług ochrony zdrowia). Część inkubatorów ogłosiła pierwsze nabory na innowacyjne pomysły pod koniec 2019 r.</w:t>
      </w:r>
    </w:p>
    <w:p w14:paraId="5CBD602E" w14:textId="77777777" w:rsidR="00050B2A" w:rsidRDefault="00050B2A" w:rsidP="00C363D3">
      <w:pPr>
        <w:spacing w:after="0"/>
        <w:jc w:val="both"/>
        <w:rPr>
          <w:rFonts w:ascii="Times New Roman" w:hAnsi="Times New Roman" w:cs="Times New Roman"/>
          <w:sz w:val="24"/>
          <w:szCs w:val="24"/>
        </w:rPr>
      </w:pPr>
    </w:p>
    <w:p w14:paraId="681FB926"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Innym działaniem prowadzonym w 2019 r. była realizacja projektów w ramach dwóch konkursów na tzw. makro - innowacje społeczne: „deinstytucjonalizacja usług świadczonych na rzecz osób z zaburzenia</w:t>
      </w:r>
      <w:r w:rsidR="00050B2A">
        <w:rPr>
          <w:rFonts w:ascii="Times New Roman" w:hAnsi="Times New Roman" w:cs="Times New Roman"/>
          <w:sz w:val="24"/>
          <w:szCs w:val="24"/>
        </w:rPr>
        <w:t xml:space="preserve">mi </w:t>
      </w:r>
      <w:r w:rsidRPr="000A25C2">
        <w:rPr>
          <w:rFonts w:ascii="Times New Roman" w:hAnsi="Times New Roman" w:cs="Times New Roman"/>
          <w:sz w:val="24"/>
          <w:szCs w:val="24"/>
        </w:rPr>
        <w:t xml:space="preserve">i chorobami psychicznymi” oraz „środowiskowy system wsparcia osób dorosłych z niepełnosprawnością intelektualną”.  Przedsięwzięcia te realizują jedną z rekomendacji z 2016 r.  – „Kontynuowanie oraz podejmowanie działań na rzecz osób niepełnosprawnych i niesamodzielnych oraz ich opiekunów poprzez wprowadzenie zmian w </w:t>
      </w:r>
      <w:r w:rsidRPr="000A25C2">
        <w:rPr>
          <w:rFonts w:ascii="Times New Roman" w:hAnsi="Times New Roman" w:cs="Times New Roman"/>
          <w:sz w:val="24"/>
          <w:szCs w:val="24"/>
        </w:rPr>
        <w:lastRenderedPageBreak/>
        <w:t xml:space="preserve">systemie wsparcia osób niepełnosprawnych, ich rodzin oraz opiekunów osób niepełnosprawnych, w szczególności uwzględniających postulaty i propozycje rozwiązań zgłaszane przez środowiska skupiające osoby niepełnosprawne oraz opiekunów osób niepełnosprawnych”. </w:t>
      </w:r>
    </w:p>
    <w:p w14:paraId="240ECAFC" w14:textId="77777777" w:rsidR="00050B2A" w:rsidRDefault="00050B2A" w:rsidP="00C363D3">
      <w:pPr>
        <w:spacing w:after="0"/>
        <w:jc w:val="both"/>
        <w:rPr>
          <w:rFonts w:ascii="Times New Roman" w:hAnsi="Times New Roman" w:cs="Times New Roman"/>
          <w:sz w:val="24"/>
          <w:szCs w:val="24"/>
        </w:rPr>
      </w:pPr>
    </w:p>
    <w:p w14:paraId="668DF9C4"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Pierwszy z konkursów ukierunkowany jest na wypracowanie nowego kompleksowego modelu leczenia środowiskowego zaburzeń psychicznych, a jedną z grup docelowych są osoby starsze chorujące na zespoły otępienne. Celem przedsięwzięcia jest stworzenie w Polsce systemu pomocy, który pozwoli na wczesne wykrywanie i zapobieganie rozwojowi chorób i zaburzeń psychicznych, tak aby osoby w stanie kryzysu psychicznego lub po przebytym kryzysie mogły uzyskać wsparcie w ich środowisku lokalnym bez konieczności hospitalizacji. Istotą tego systemu jest uzupełnianie usług zdrowotnych usługami społecznymi i odwrotnie, objęcie wsparciem rodziny i najbliższego otoczenia oraz stworzenie instrumentów przeciwdziałania</w:t>
      </w:r>
      <w:r w:rsidR="00050B2A">
        <w:rPr>
          <w:rFonts w:ascii="Times New Roman" w:hAnsi="Times New Roman" w:cs="Times New Roman"/>
          <w:sz w:val="24"/>
          <w:szCs w:val="24"/>
        </w:rPr>
        <w:t xml:space="preserve"> izolacji </w:t>
      </w:r>
      <w:r w:rsidRPr="000A25C2">
        <w:rPr>
          <w:rFonts w:ascii="Times New Roman" w:hAnsi="Times New Roman" w:cs="Times New Roman"/>
          <w:sz w:val="24"/>
          <w:szCs w:val="24"/>
        </w:rPr>
        <w:t>w życiu społecznym jak i zawodowym po odbytym leczeniu czy terapii. Realizac</w:t>
      </w:r>
      <w:r w:rsidR="00050B2A">
        <w:rPr>
          <w:rFonts w:ascii="Times New Roman" w:hAnsi="Times New Roman" w:cs="Times New Roman"/>
          <w:sz w:val="24"/>
          <w:szCs w:val="24"/>
        </w:rPr>
        <w:t xml:space="preserve">ja projektów dla osób starszych </w:t>
      </w:r>
      <w:r w:rsidRPr="000A25C2">
        <w:rPr>
          <w:rFonts w:ascii="Times New Roman" w:hAnsi="Times New Roman" w:cs="Times New Roman"/>
          <w:sz w:val="24"/>
          <w:szCs w:val="24"/>
        </w:rPr>
        <w:t>z chorobami otęp</w:t>
      </w:r>
      <w:r w:rsidR="00050B2A">
        <w:rPr>
          <w:rFonts w:ascii="Times New Roman" w:hAnsi="Times New Roman" w:cs="Times New Roman"/>
          <w:sz w:val="24"/>
          <w:szCs w:val="24"/>
        </w:rPr>
        <w:t>iennymi zakończy się w 2020 r</w:t>
      </w:r>
      <w:r w:rsidRPr="000A25C2">
        <w:rPr>
          <w:rFonts w:ascii="Times New Roman" w:hAnsi="Times New Roman" w:cs="Times New Roman"/>
          <w:sz w:val="24"/>
          <w:szCs w:val="24"/>
        </w:rPr>
        <w:t xml:space="preserve">. Rezultatem tych projektów będą przetestowane modele wsparcia takich osób, np. z wykorzystanie elementów teleopieki. </w:t>
      </w:r>
    </w:p>
    <w:p w14:paraId="6FB3B455" w14:textId="77777777" w:rsid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Projekty realizowane w drugim konkursie mają na celu testowanie opracowanych teoretycznie innowacyjnych modeli usług w obrębie społeczności lokalnych będących alternatywą dla opieki instytucjonalnej (w tym głównie zapewnianej przez Domy Pomocy Społecznej) dla osób z niepełnosprawnością i</w:t>
      </w:r>
      <w:r>
        <w:rPr>
          <w:rFonts w:ascii="Times New Roman" w:hAnsi="Times New Roman" w:cs="Times New Roman"/>
          <w:sz w:val="24"/>
          <w:szCs w:val="24"/>
        </w:rPr>
        <w:t>ntelektualną.</w:t>
      </w:r>
    </w:p>
    <w:p w14:paraId="5C1A22CE" w14:textId="77777777" w:rsidR="000A25C2" w:rsidRDefault="000A25C2" w:rsidP="00C363D3">
      <w:pPr>
        <w:spacing w:after="0"/>
        <w:jc w:val="both"/>
        <w:rPr>
          <w:rFonts w:ascii="Times New Roman" w:hAnsi="Times New Roman" w:cs="Times New Roman"/>
          <w:sz w:val="24"/>
          <w:szCs w:val="24"/>
        </w:rPr>
      </w:pPr>
    </w:p>
    <w:p w14:paraId="71B61179" w14:textId="77777777" w:rsidR="000A25C2" w:rsidRPr="00050B2A" w:rsidRDefault="000A25C2" w:rsidP="00C363D3">
      <w:pPr>
        <w:spacing w:after="0"/>
        <w:jc w:val="both"/>
        <w:rPr>
          <w:rFonts w:ascii="Times New Roman" w:hAnsi="Times New Roman" w:cs="Times New Roman"/>
          <w:b/>
          <w:color w:val="00B0F0"/>
          <w:sz w:val="24"/>
          <w:szCs w:val="24"/>
        </w:rPr>
      </w:pPr>
      <w:r w:rsidRPr="00050B2A">
        <w:rPr>
          <w:rFonts w:ascii="Times New Roman" w:hAnsi="Times New Roman" w:cs="Times New Roman"/>
          <w:b/>
          <w:color w:val="00B0F0"/>
          <w:sz w:val="24"/>
          <w:szCs w:val="24"/>
        </w:rPr>
        <w:t>Współpraca ponadnarodowa na rzecz seniorów w PO WER</w:t>
      </w:r>
    </w:p>
    <w:p w14:paraId="70C94A96" w14:textId="77777777" w:rsidR="000A25C2" w:rsidRPr="000A25C2" w:rsidRDefault="00050B2A" w:rsidP="00C363D3">
      <w:pPr>
        <w:autoSpaceDE w:val="0"/>
        <w:autoSpaceDN w:val="0"/>
        <w:adjustRightInd w:val="0"/>
        <w:spacing w:after="0"/>
        <w:jc w:val="both"/>
        <w:rPr>
          <w:rFonts w:ascii="Times New Roman" w:hAnsi="Times New Roman" w:cs="Times New Roman"/>
          <w:spacing w:val="4"/>
          <w:sz w:val="24"/>
          <w:szCs w:val="24"/>
        </w:rPr>
      </w:pPr>
      <w:r>
        <w:rPr>
          <w:rFonts w:ascii="Times New Roman" w:hAnsi="Times New Roman" w:cs="Times New Roman"/>
          <w:spacing w:val="4"/>
          <w:sz w:val="24"/>
          <w:szCs w:val="24"/>
        </w:rPr>
        <w:t>Od 2018 r.</w:t>
      </w:r>
      <w:r w:rsidR="000A25C2" w:rsidRPr="000A25C2">
        <w:rPr>
          <w:rFonts w:ascii="Times New Roman" w:hAnsi="Times New Roman" w:cs="Times New Roman"/>
          <w:spacing w:val="4"/>
          <w:sz w:val="24"/>
          <w:szCs w:val="24"/>
        </w:rPr>
        <w:t xml:space="preserve"> realizowany jest projekt pn. Halo Aktywni 60+ - innowacyjne formy włączenia społecznego osób starszych z wykorzystaniem doświadczeń programu „Let us be active!”. Projekt realizowany jest przez Centrum Doradztwa Strategicznego s.c. D. Bieńkowska, C. Ulasiński, J. Szymański, M. Widuch we współpracy z partnerem ponadnarodowym Riga City Council. Główny cel projektu to stworzenie, dostosowanego do polskich uwarunkowań, rozwiązania uruchamiania nowatorskich form aktywizacji mieszkańców obszaru rewitalizacji w wieku 60+ w oparciu o doświadczenia krajów regionu bałtyckiego. Osiągnięcie celu będzie możliwe dzięki adaptacji i wdrożeniu zagranicznego rozwiązania, a także wzajemnemu uczeniu się i wymianie informacji pomiędzy liderem projektu, przedstawicielami miast objętych projektem (Bytom, Rybnik, Wałbrzych – obszary rewitalizowane) oraz partnerem zagranicznym. Zaadaptowanie rozwiązania umożliwi opracowanie krajowego modelu wzmacniania aktywności społecznej osób starszych oraz walki z ich osamotnieniem i wykluczeniem społeczny</w:t>
      </w:r>
      <w:r w:rsidR="000A25C2">
        <w:rPr>
          <w:rFonts w:ascii="Times New Roman" w:hAnsi="Times New Roman" w:cs="Times New Roman"/>
          <w:spacing w:val="4"/>
          <w:sz w:val="24"/>
          <w:szCs w:val="24"/>
        </w:rPr>
        <w:t>m w oparciu o ideę wolontariatu</w:t>
      </w:r>
      <w:r w:rsidR="000A25C2" w:rsidRPr="000A25C2">
        <w:rPr>
          <w:rFonts w:ascii="Times New Roman" w:hAnsi="Times New Roman" w:cs="Times New Roman"/>
          <w:spacing w:val="4"/>
          <w:sz w:val="24"/>
          <w:szCs w:val="24"/>
        </w:rPr>
        <w:t>i działania befrendingowe (służące</w:t>
      </w:r>
      <w:r w:rsidR="000A25C2">
        <w:rPr>
          <w:rFonts w:ascii="Times New Roman" w:hAnsi="Times New Roman" w:cs="Times New Roman"/>
          <w:spacing w:val="4"/>
          <w:sz w:val="24"/>
          <w:szCs w:val="24"/>
        </w:rPr>
        <w:t xml:space="preserve"> rozwijaniu znajomości, relacji</w:t>
      </w:r>
      <w:r w:rsidR="000A25C2" w:rsidRPr="000A25C2">
        <w:rPr>
          <w:rFonts w:ascii="Times New Roman" w:hAnsi="Times New Roman" w:cs="Times New Roman"/>
          <w:spacing w:val="4"/>
          <w:sz w:val="24"/>
          <w:szCs w:val="24"/>
        </w:rPr>
        <w:t xml:space="preserve"> i kontaktów społecznych).Rozwiązanie pozwoli na przygotowanie, uruchomienie i zarządzanie senioralnym Call Centre (obsługiwanym przez seniorów-wolontariuszy), które pełnić będzie następujące funkcje:</w:t>
      </w:r>
    </w:p>
    <w:p w14:paraId="753F519A" w14:textId="77777777" w:rsidR="00924312" w:rsidRDefault="000A25C2" w:rsidP="008C71A9">
      <w:pPr>
        <w:pStyle w:val="Akapitzlist"/>
        <w:numPr>
          <w:ilvl w:val="0"/>
          <w:numId w:val="333"/>
        </w:numPr>
        <w:autoSpaceDE w:val="0"/>
        <w:autoSpaceDN w:val="0"/>
        <w:adjustRightInd w:val="0"/>
        <w:spacing w:after="0"/>
        <w:ind w:left="360"/>
        <w:jc w:val="both"/>
        <w:rPr>
          <w:rFonts w:ascii="Times New Roman" w:hAnsi="Times New Roman" w:cs="Times New Roman"/>
          <w:spacing w:val="4"/>
          <w:sz w:val="24"/>
          <w:szCs w:val="24"/>
        </w:rPr>
      </w:pPr>
      <w:r w:rsidRPr="00924312">
        <w:rPr>
          <w:rFonts w:ascii="Times New Roman" w:hAnsi="Times New Roman" w:cs="Times New Roman"/>
          <w:spacing w:val="4"/>
          <w:sz w:val="24"/>
          <w:szCs w:val="24"/>
        </w:rPr>
        <w:lastRenderedPageBreak/>
        <w:t>informacyjną – co/gdzie/jak dla seniora w kulturze, usługach społecznych, zdrowotnych programach profilaktycznych;</w:t>
      </w:r>
    </w:p>
    <w:p w14:paraId="192A7D8E" w14:textId="77777777" w:rsidR="00924312" w:rsidRDefault="000A25C2" w:rsidP="008C71A9">
      <w:pPr>
        <w:pStyle w:val="Akapitzlist"/>
        <w:numPr>
          <w:ilvl w:val="0"/>
          <w:numId w:val="333"/>
        </w:numPr>
        <w:autoSpaceDE w:val="0"/>
        <w:autoSpaceDN w:val="0"/>
        <w:adjustRightInd w:val="0"/>
        <w:spacing w:after="0"/>
        <w:ind w:left="360"/>
        <w:jc w:val="both"/>
        <w:rPr>
          <w:rFonts w:ascii="Times New Roman" w:hAnsi="Times New Roman" w:cs="Times New Roman"/>
          <w:spacing w:val="4"/>
          <w:sz w:val="24"/>
          <w:szCs w:val="24"/>
        </w:rPr>
      </w:pPr>
      <w:r w:rsidRPr="00924312">
        <w:rPr>
          <w:rFonts w:ascii="Times New Roman" w:hAnsi="Times New Roman" w:cs="Times New Roman"/>
          <w:spacing w:val="4"/>
          <w:sz w:val="24"/>
          <w:szCs w:val="24"/>
        </w:rPr>
        <w:t>aktywizacyjną – upowszechnianie informacji na temat możliwości zaangażowania się w wolontariat;</w:t>
      </w:r>
    </w:p>
    <w:p w14:paraId="0E1F66C3" w14:textId="77777777" w:rsidR="00924312" w:rsidRDefault="000A25C2" w:rsidP="008C71A9">
      <w:pPr>
        <w:pStyle w:val="Akapitzlist"/>
        <w:numPr>
          <w:ilvl w:val="0"/>
          <w:numId w:val="333"/>
        </w:numPr>
        <w:autoSpaceDE w:val="0"/>
        <w:autoSpaceDN w:val="0"/>
        <w:adjustRightInd w:val="0"/>
        <w:spacing w:after="0"/>
        <w:ind w:left="360"/>
        <w:jc w:val="both"/>
        <w:rPr>
          <w:rFonts w:ascii="Times New Roman" w:hAnsi="Times New Roman" w:cs="Times New Roman"/>
          <w:spacing w:val="4"/>
          <w:sz w:val="24"/>
          <w:szCs w:val="24"/>
        </w:rPr>
      </w:pPr>
      <w:r w:rsidRPr="00924312">
        <w:rPr>
          <w:rFonts w:ascii="Times New Roman" w:hAnsi="Times New Roman" w:cs="Times New Roman"/>
          <w:spacing w:val="4"/>
          <w:sz w:val="24"/>
          <w:szCs w:val="24"/>
        </w:rPr>
        <w:t>befriendingową (przeciwdziałanie osamotnieniu) – kojarzenie seniorów szukających towarzyszy rozmowy, aktywności lub możliwości porozmawiania z pracownikiem Call Centre;</w:t>
      </w:r>
    </w:p>
    <w:p w14:paraId="65B606D4" w14:textId="77777777" w:rsidR="000A25C2" w:rsidRPr="00924312" w:rsidRDefault="000A25C2" w:rsidP="008C71A9">
      <w:pPr>
        <w:pStyle w:val="Akapitzlist"/>
        <w:numPr>
          <w:ilvl w:val="0"/>
          <w:numId w:val="333"/>
        </w:numPr>
        <w:autoSpaceDE w:val="0"/>
        <w:autoSpaceDN w:val="0"/>
        <w:adjustRightInd w:val="0"/>
        <w:spacing w:after="0"/>
        <w:ind w:left="360"/>
        <w:jc w:val="both"/>
        <w:rPr>
          <w:rFonts w:ascii="Times New Roman" w:hAnsi="Times New Roman" w:cs="Times New Roman"/>
          <w:spacing w:val="4"/>
          <w:sz w:val="24"/>
          <w:szCs w:val="24"/>
        </w:rPr>
      </w:pPr>
      <w:r w:rsidRPr="00924312">
        <w:rPr>
          <w:rFonts w:ascii="Times New Roman" w:hAnsi="Times New Roman" w:cs="Times New Roman"/>
          <w:spacing w:val="4"/>
          <w:sz w:val="24"/>
          <w:szCs w:val="24"/>
        </w:rPr>
        <w:t>badawczą – pozyskiwanie opinii seniorów w obszarze polityk publicznych (ocena jakości usług, sondowanie nowych rozwiązań itp.).</w:t>
      </w:r>
    </w:p>
    <w:p w14:paraId="1330D181" w14:textId="77777777" w:rsidR="00924312" w:rsidRDefault="00924312" w:rsidP="00C363D3">
      <w:pPr>
        <w:autoSpaceDE w:val="0"/>
        <w:autoSpaceDN w:val="0"/>
        <w:adjustRightInd w:val="0"/>
        <w:spacing w:after="0"/>
        <w:jc w:val="both"/>
        <w:rPr>
          <w:rFonts w:ascii="Times New Roman" w:hAnsi="Times New Roman" w:cs="Times New Roman"/>
          <w:spacing w:val="4"/>
          <w:sz w:val="24"/>
          <w:szCs w:val="24"/>
        </w:rPr>
      </w:pPr>
    </w:p>
    <w:p w14:paraId="52E1F736" w14:textId="77777777" w:rsidR="000A25C2" w:rsidRPr="000A25C2" w:rsidRDefault="000A25C2" w:rsidP="00C363D3">
      <w:pPr>
        <w:autoSpaceDE w:val="0"/>
        <w:autoSpaceDN w:val="0"/>
        <w:adjustRightInd w:val="0"/>
        <w:spacing w:after="0"/>
        <w:jc w:val="both"/>
        <w:rPr>
          <w:rFonts w:ascii="Times New Roman" w:hAnsi="Times New Roman" w:cs="Times New Roman"/>
          <w:spacing w:val="4"/>
          <w:sz w:val="24"/>
          <w:szCs w:val="24"/>
        </w:rPr>
      </w:pPr>
      <w:r w:rsidRPr="000A25C2">
        <w:rPr>
          <w:rFonts w:ascii="Times New Roman" w:hAnsi="Times New Roman" w:cs="Times New Roman"/>
          <w:spacing w:val="4"/>
          <w:sz w:val="24"/>
          <w:szCs w:val="24"/>
        </w:rPr>
        <w:t>W ramach projektu zaplanowano realizację 6 zadań. Seniorzy zo</w:t>
      </w:r>
      <w:r w:rsidR="00924312">
        <w:rPr>
          <w:rFonts w:ascii="Times New Roman" w:hAnsi="Times New Roman" w:cs="Times New Roman"/>
          <w:spacing w:val="4"/>
          <w:sz w:val="24"/>
          <w:szCs w:val="24"/>
        </w:rPr>
        <w:t xml:space="preserve">staną zaangażowani w tworzenie </w:t>
      </w:r>
      <w:r w:rsidRPr="000A25C2">
        <w:rPr>
          <w:rFonts w:ascii="Times New Roman" w:hAnsi="Times New Roman" w:cs="Times New Roman"/>
          <w:spacing w:val="4"/>
          <w:sz w:val="24"/>
          <w:szCs w:val="24"/>
        </w:rPr>
        <w:t xml:space="preserve">i wdrażanie rozwiązania w następujących etapach: przygotowanie rozwiązania, testowanie wypracowanego rozwiązania, analiza efektów testowanego rozwiązania oraz wdrożenie rozwiązania do praktyki. </w:t>
      </w:r>
    </w:p>
    <w:p w14:paraId="41D5B90B" w14:textId="77777777" w:rsidR="00924312" w:rsidRDefault="00924312" w:rsidP="00C363D3">
      <w:pPr>
        <w:autoSpaceDE w:val="0"/>
        <w:autoSpaceDN w:val="0"/>
        <w:adjustRightInd w:val="0"/>
        <w:spacing w:after="0"/>
        <w:jc w:val="both"/>
        <w:rPr>
          <w:rFonts w:ascii="Times New Roman" w:hAnsi="Times New Roman" w:cs="Times New Roman"/>
          <w:spacing w:val="4"/>
          <w:sz w:val="24"/>
          <w:szCs w:val="24"/>
        </w:rPr>
      </w:pPr>
    </w:p>
    <w:p w14:paraId="3F28C073" w14:textId="77777777" w:rsidR="000A25C2" w:rsidRPr="000A25C2" w:rsidRDefault="000A25C2" w:rsidP="00C363D3">
      <w:pPr>
        <w:autoSpaceDE w:val="0"/>
        <w:autoSpaceDN w:val="0"/>
        <w:adjustRightInd w:val="0"/>
        <w:spacing w:after="0"/>
        <w:jc w:val="both"/>
        <w:rPr>
          <w:rFonts w:ascii="Times New Roman" w:hAnsi="Times New Roman" w:cs="Times New Roman"/>
          <w:spacing w:val="4"/>
          <w:sz w:val="24"/>
          <w:szCs w:val="24"/>
        </w:rPr>
      </w:pPr>
      <w:r w:rsidRPr="000A25C2">
        <w:rPr>
          <w:rFonts w:ascii="Times New Roman" w:hAnsi="Times New Roman" w:cs="Times New Roman"/>
          <w:spacing w:val="4"/>
          <w:sz w:val="24"/>
          <w:szCs w:val="24"/>
        </w:rPr>
        <w:t>Realizacja projektu zakończy się w 2021 r., a jego kluczowe rezultaty to:</w:t>
      </w:r>
    </w:p>
    <w:p w14:paraId="196BD35F" w14:textId="77777777" w:rsidR="000A25C2" w:rsidRPr="00924312" w:rsidRDefault="000A25C2" w:rsidP="008C71A9">
      <w:pPr>
        <w:pStyle w:val="Akapitzlist"/>
        <w:numPr>
          <w:ilvl w:val="0"/>
          <w:numId w:val="334"/>
        </w:numPr>
        <w:autoSpaceDE w:val="0"/>
        <w:autoSpaceDN w:val="0"/>
        <w:adjustRightInd w:val="0"/>
        <w:spacing w:after="0"/>
        <w:ind w:left="360"/>
        <w:jc w:val="both"/>
        <w:rPr>
          <w:rFonts w:ascii="Times New Roman" w:hAnsi="Times New Roman" w:cs="Times New Roman"/>
          <w:spacing w:val="4"/>
          <w:sz w:val="24"/>
          <w:szCs w:val="24"/>
        </w:rPr>
      </w:pPr>
      <w:r w:rsidRPr="00924312">
        <w:rPr>
          <w:rFonts w:ascii="Times New Roman" w:hAnsi="Times New Roman" w:cs="Times New Roman"/>
          <w:spacing w:val="4"/>
          <w:sz w:val="24"/>
          <w:szCs w:val="24"/>
        </w:rPr>
        <w:t>Liczba instytucji, które wdrożyły nowe rozwiązania (3 instytucje);</w:t>
      </w:r>
    </w:p>
    <w:p w14:paraId="5898A3F3" w14:textId="77777777" w:rsidR="000A25C2" w:rsidRPr="00924312" w:rsidRDefault="000A25C2" w:rsidP="008C71A9">
      <w:pPr>
        <w:pStyle w:val="Akapitzlist"/>
        <w:numPr>
          <w:ilvl w:val="0"/>
          <w:numId w:val="334"/>
        </w:numPr>
        <w:autoSpaceDE w:val="0"/>
        <w:autoSpaceDN w:val="0"/>
        <w:adjustRightInd w:val="0"/>
        <w:spacing w:after="0"/>
        <w:ind w:left="360"/>
        <w:jc w:val="both"/>
        <w:rPr>
          <w:rFonts w:ascii="Times New Roman" w:hAnsi="Times New Roman" w:cs="Times New Roman"/>
          <w:spacing w:val="4"/>
          <w:sz w:val="24"/>
          <w:szCs w:val="24"/>
        </w:rPr>
      </w:pPr>
      <w:r w:rsidRPr="00924312">
        <w:rPr>
          <w:rFonts w:ascii="Times New Roman" w:hAnsi="Times New Roman" w:cs="Times New Roman"/>
          <w:spacing w:val="4"/>
          <w:sz w:val="24"/>
          <w:szCs w:val="24"/>
        </w:rPr>
        <w:t>Liczba funkcjonujących senioralnych Call Centre (3 sztuki);</w:t>
      </w:r>
    </w:p>
    <w:p w14:paraId="72D68335" w14:textId="77777777" w:rsidR="000A25C2" w:rsidRPr="00924312" w:rsidRDefault="000A25C2" w:rsidP="008C71A9">
      <w:pPr>
        <w:pStyle w:val="Akapitzlist"/>
        <w:numPr>
          <w:ilvl w:val="0"/>
          <w:numId w:val="334"/>
        </w:numPr>
        <w:autoSpaceDE w:val="0"/>
        <w:autoSpaceDN w:val="0"/>
        <w:adjustRightInd w:val="0"/>
        <w:spacing w:after="0"/>
        <w:ind w:left="360"/>
        <w:jc w:val="both"/>
        <w:rPr>
          <w:rFonts w:ascii="Times New Roman" w:hAnsi="Times New Roman" w:cs="Times New Roman"/>
          <w:spacing w:val="4"/>
          <w:sz w:val="24"/>
          <w:szCs w:val="24"/>
        </w:rPr>
      </w:pPr>
      <w:r w:rsidRPr="00924312">
        <w:rPr>
          <w:rFonts w:ascii="Times New Roman" w:hAnsi="Times New Roman" w:cs="Times New Roman"/>
          <w:spacing w:val="4"/>
          <w:sz w:val="24"/>
          <w:szCs w:val="24"/>
        </w:rPr>
        <w:t>Liczba usług udzielonych w ramach senioralnych Call Centre (750 sztuk).</w:t>
      </w:r>
    </w:p>
    <w:p w14:paraId="2A74719B" w14:textId="77777777" w:rsidR="00924312" w:rsidRDefault="00924312" w:rsidP="00C363D3">
      <w:pPr>
        <w:autoSpaceDE w:val="0"/>
        <w:autoSpaceDN w:val="0"/>
        <w:adjustRightInd w:val="0"/>
        <w:spacing w:after="0"/>
        <w:jc w:val="both"/>
        <w:rPr>
          <w:rFonts w:ascii="Times New Roman" w:hAnsi="Times New Roman" w:cs="Times New Roman"/>
          <w:spacing w:val="4"/>
          <w:sz w:val="24"/>
          <w:szCs w:val="24"/>
        </w:rPr>
      </w:pPr>
    </w:p>
    <w:p w14:paraId="503709C5" w14:textId="77777777" w:rsidR="000A25C2" w:rsidRPr="000A25C2" w:rsidRDefault="000A25C2" w:rsidP="00C363D3">
      <w:pPr>
        <w:autoSpaceDE w:val="0"/>
        <w:autoSpaceDN w:val="0"/>
        <w:adjustRightInd w:val="0"/>
        <w:spacing w:after="0"/>
        <w:jc w:val="both"/>
        <w:rPr>
          <w:rFonts w:ascii="Times New Roman" w:hAnsi="Times New Roman" w:cs="Times New Roman"/>
          <w:spacing w:val="4"/>
          <w:sz w:val="24"/>
          <w:szCs w:val="24"/>
        </w:rPr>
      </w:pPr>
      <w:r w:rsidRPr="000A25C2">
        <w:rPr>
          <w:rFonts w:ascii="Times New Roman" w:hAnsi="Times New Roman" w:cs="Times New Roman"/>
          <w:spacing w:val="4"/>
          <w:sz w:val="24"/>
          <w:szCs w:val="24"/>
        </w:rPr>
        <w:t xml:space="preserve">Dofinansowanie projektu pochodzące z Europejskiego Funduszy Społecznego w ramach Programu Operacyjnego Wiedza Edukacja Rozwój wynosi 821 819,16 PLN.     </w:t>
      </w:r>
    </w:p>
    <w:p w14:paraId="6A7EA8D3" w14:textId="77777777" w:rsidR="000A25C2" w:rsidRPr="000A25C2" w:rsidRDefault="000A25C2" w:rsidP="00C363D3">
      <w:pPr>
        <w:autoSpaceDE w:val="0"/>
        <w:autoSpaceDN w:val="0"/>
        <w:adjustRightInd w:val="0"/>
        <w:spacing w:after="0"/>
        <w:jc w:val="both"/>
        <w:rPr>
          <w:rFonts w:ascii="Times New Roman" w:hAnsi="Times New Roman" w:cs="Times New Roman"/>
          <w:spacing w:val="4"/>
          <w:sz w:val="24"/>
          <w:szCs w:val="24"/>
        </w:rPr>
      </w:pPr>
    </w:p>
    <w:p w14:paraId="7F662D97" w14:textId="5E9B403A" w:rsidR="000A25C2" w:rsidRPr="000A25C2" w:rsidRDefault="00924312" w:rsidP="00C363D3">
      <w:pPr>
        <w:autoSpaceDE w:val="0"/>
        <w:autoSpaceDN w:val="0"/>
        <w:adjustRightInd w:val="0"/>
        <w:spacing w:after="0"/>
        <w:jc w:val="both"/>
        <w:rPr>
          <w:rFonts w:ascii="Times New Roman" w:hAnsi="Times New Roman" w:cs="Times New Roman"/>
          <w:spacing w:val="4"/>
          <w:sz w:val="24"/>
          <w:szCs w:val="24"/>
        </w:rPr>
      </w:pPr>
      <w:r>
        <w:rPr>
          <w:rFonts w:ascii="Times New Roman" w:hAnsi="Times New Roman" w:cs="Times New Roman"/>
          <w:spacing w:val="4"/>
          <w:sz w:val="24"/>
          <w:szCs w:val="24"/>
        </w:rPr>
        <w:t xml:space="preserve">W okresie od czerwca 2017 r. do sierpnia 2020 r. </w:t>
      </w:r>
      <w:r w:rsidR="000A25C2" w:rsidRPr="000A25C2">
        <w:rPr>
          <w:rFonts w:ascii="Times New Roman" w:hAnsi="Times New Roman" w:cs="Times New Roman"/>
          <w:spacing w:val="4"/>
          <w:sz w:val="24"/>
          <w:szCs w:val="24"/>
        </w:rPr>
        <w:t>przez Gminę Wrocław realizowany jest projekt pn. Domowa przystań. Projekt realizowany jest w partnerstwie z Uniwersytetem Medycznym im. Piastów Śląskich we Wrocławiu oraz Azienda Pubblica di Servizi alla Persona Citta di Bilogna. Celem projektu jest podniesienie jakości i poszerzenie oferty usług prozdrowotnych i socjalnych świadczonych w Dziennych Domach Pomocy (DDP) poprzez transfer, zaadaptowanie i wdrożenie nowego modelu wsparcia klientów DDP oraz ich rodzin i/lub opiekunów w miejscu zamieszkania. Model wsparcia dotyczy rozszerzenia</w:t>
      </w:r>
      <w:r w:rsidR="000A25C2" w:rsidRPr="000A25C2">
        <w:rPr>
          <w:rFonts w:ascii="Times New Roman" w:hAnsi="Times New Roman" w:cs="Times New Roman"/>
          <w:spacing w:val="4"/>
          <w:sz w:val="24"/>
          <w:szCs w:val="24"/>
        </w:rPr>
        <w:br/>
        <w:t>i poprawy jakości usług w zakresie pielęgnacji, opieki i profilaktyki schorzeń charakterystycznych dla klientów DDP (m. in. osób starszych). W ramach projektu wytworzonych zostanie szereg instrukcji umożliwiających wdrożenie modelu na terenie całego kraju. Nowość rozwiązania polega na przetransferowaniu i wdrożeniu (z uwzględnieniem istniejących w Polsce możliwości prawnych, społecznych i ekonomicznych) znacznej części produktu, którym dysponuje partner zagraniczny, który specjalizuje się w usługach socjalnych, w tym opieką zdrowotną osób starszych oraz ich kom</w:t>
      </w:r>
      <w:r w:rsidR="004E6514">
        <w:rPr>
          <w:rFonts w:ascii="Times New Roman" w:hAnsi="Times New Roman" w:cs="Times New Roman"/>
          <w:spacing w:val="4"/>
          <w:sz w:val="24"/>
          <w:szCs w:val="24"/>
        </w:rPr>
        <w:t xml:space="preserve">pleksowym wsparciem systemowym. </w:t>
      </w:r>
      <w:r w:rsidR="000A25C2" w:rsidRPr="000A25C2">
        <w:rPr>
          <w:rFonts w:ascii="Times New Roman" w:hAnsi="Times New Roman" w:cs="Times New Roman"/>
          <w:spacing w:val="4"/>
          <w:sz w:val="24"/>
          <w:szCs w:val="24"/>
        </w:rPr>
        <w:t>Kluczowymi rezultatami projektu będą:</w:t>
      </w:r>
    </w:p>
    <w:p w14:paraId="0DF00261" w14:textId="3CB8B797" w:rsidR="00924312" w:rsidRDefault="004E6514" w:rsidP="008C71A9">
      <w:pPr>
        <w:pStyle w:val="Akapitzlist"/>
        <w:numPr>
          <w:ilvl w:val="0"/>
          <w:numId w:val="335"/>
        </w:numPr>
        <w:autoSpaceDE w:val="0"/>
        <w:autoSpaceDN w:val="0"/>
        <w:adjustRightInd w:val="0"/>
        <w:spacing w:after="0"/>
        <w:ind w:left="360"/>
        <w:jc w:val="both"/>
        <w:rPr>
          <w:rFonts w:ascii="Times New Roman" w:hAnsi="Times New Roman" w:cs="Times New Roman"/>
          <w:spacing w:val="4"/>
          <w:sz w:val="24"/>
          <w:szCs w:val="24"/>
        </w:rPr>
      </w:pPr>
      <w:r>
        <w:rPr>
          <w:rFonts w:ascii="Times New Roman" w:hAnsi="Times New Roman" w:cs="Times New Roman"/>
          <w:spacing w:val="4"/>
          <w:sz w:val="24"/>
          <w:szCs w:val="24"/>
        </w:rPr>
        <w:t>l</w:t>
      </w:r>
      <w:r w:rsidR="000A25C2" w:rsidRPr="00924312">
        <w:rPr>
          <w:rFonts w:ascii="Times New Roman" w:hAnsi="Times New Roman" w:cs="Times New Roman"/>
          <w:spacing w:val="4"/>
          <w:sz w:val="24"/>
          <w:szCs w:val="24"/>
        </w:rPr>
        <w:t>iczba instytucji, które wdrożyły nowe rozwiązanie (1 sztuka);</w:t>
      </w:r>
    </w:p>
    <w:p w14:paraId="4B97F4EA" w14:textId="4351D6D7" w:rsidR="00924312" w:rsidRDefault="004E6514" w:rsidP="008C71A9">
      <w:pPr>
        <w:pStyle w:val="Akapitzlist"/>
        <w:numPr>
          <w:ilvl w:val="0"/>
          <w:numId w:val="335"/>
        </w:numPr>
        <w:autoSpaceDE w:val="0"/>
        <w:autoSpaceDN w:val="0"/>
        <w:adjustRightInd w:val="0"/>
        <w:spacing w:after="0"/>
        <w:ind w:left="360"/>
        <w:jc w:val="both"/>
        <w:rPr>
          <w:rFonts w:ascii="Times New Roman" w:hAnsi="Times New Roman" w:cs="Times New Roman"/>
          <w:spacing w:val="4"/>
          <w:sz w:val="24"/>
          <w:szCs w:val="24"/>
        </w:rPr>
      </w:pPr>
      <w:r>
        <w:rPr>
          <w:rFonts w:ascii="Times New Roman" w:hAnsi="Times New Roman" w:cs="Times New Roman"/>
          <w:spacing w:val="4"/>
          <w:sz w:val="24"/>
          <w:szCs w:val="24"/>
        </w:rPr>
        <w:t>l</w:t>
      </w:r>
      <w:r w:rsidR="000A25C2" w:rsidRPr="00924312">
        <w:rPr>
          <w:rFonts w:ascii="Times New Roman" w:hAnsi="Times New Roman" w:cs="Times New Roman"/>
          <w:spacing w:val="4"/>
          <w:sz w:val="24"/>
          <w:szCs w:val="24"/>
        </w:rPr>
        <w:t>iczba opracowanych rozwiązań, które powstały we współp</w:t>
      </w:r>
      <w:r w:rsidR="00924312">
        <w:rPr>
          <w:rFonts w:ascii="Times New Roman" w:hAnsi="Times New Roman" w:cs="Times New Roman"/>
          <w:spacing w:val="4"/>
          <w:sz w:val="24"/>
          <w:szCs w:val="24"/>
        </w:rPr>
        <w:t xml:space="preserve">racy z partnerem ponadnarodowym </w:t>
      </w:r>
      <w:r w:rsidR="000A25C2" w:rsidRPr="00924312">
        <w:rPr>
          <w:rFonts w:ascii="Times New Roman" w:hAnsi="Times New Roman" w:cs="Times New Roman"/>
          <w:spacing w:val="4"/>
          <w:sz w:val="24"/>
          <w:szCs w:val="24"/>
        </w:rPr>
        <w:t>(1 sztuka);</w:t>
      </w:r>
    </w:p>
    <w:p w14:paraId="1F9B9F42" w14:textId="156C7259" w:rsidR="000A25C2" w:rsidRPr="00924312" w:rsidRDefault="004E6514" w:rsidP="008C71A9">
      <w:pPr>
        <w:pStyle w:val="Akapitzlist"/>
        <w:numPr>
          <w:ilvl w:val="0"/>
          <w:numId w:val="335"/>
        </w:numPr>
        <w:autoSpaceDE w:val="0"/>
        <w:autoSpaceDN w:val="0"/>
        <w:adjustRightInd w:val="0"/>
        <w:spacing w:after="0"/>
        <w:ind w:left="360"/>
        <w:jc w:val="both"/>
        <w:rPr>
          <w:rFonts w:ascii="Times New Roman" w:hAnsi="Times New Roman" w:cs="Times New Roman"/>
          <w:spacing w:val="4"/>
          <w:sz w:val="24"/>
          <w:szCs w:val="24"/>
        </w:rPr>
      </w:pPr>
      <w:r>
        <w:rPr>
          <w:rFonts w:ascii="Times New Roman" w:hAnsi="Times New Roman" w:cs="Times New Roman"/>
          <w:spacing w:val="4"/>
          <w:sz w:val="24"/>
          <w:szCs w:val="24"/>
        </w:rPr>
        <w:lastRenderedPageBreak/>
        <w:t>l</w:t>
      </w:r>
      <w:r w:rsidR="000A25C2" w:rsidRPr="00924312">
        <w:rPr>
          <w:rFonts w:ascii="Times New Roman" w:hAnsi="Times New Roman" w:cs="Times New Roman"/>
          <w:spacing w:val="4"/>
          <w:sz w:val="24"/>
          <w:szCs w:val="24"/>
        </w:rPr>
        <w:t xml:space="preserve">iczba wypracowanych opracowań zawierających rekomendacje i instrukcje, powstałych w wyniku współpracy z partnerem ponadnarodowym (1 sztuka). </w:t>
      </w:r>
    </w:p>
    <w:p w14:paraId="3039702F" w14:textId="77777777" w:rsidR="00924312" w:rsidRDefault="00924312" w:rsidP="00C363D3">
      <w:pPr>
        <w:autoSpaceDE w:val="0"/>
        <w:autoSpaceDN w:val="0"/>
        <w:adjustRightInd w:val="0"/>
        <w:spacing w:after="0"/>
        <w:jc w:val="both"/>
        <w:rPr>
          <w:rFonts w:ascii="Times New Roman" w:hAnsi="Times New Roman" w:cs="Times New Roman"/>
          <w:spacing w:val="4"/>
          <w:sz w:val="24"/>
          <w:szCs w:val="24"/>
        </w:rPr>
      </w:pPr>
    </w:p>
    <w:p w14:paraId="2691804F" w14:textId="77777777" w:rsidR="000A25C2" w:rsidRDefault="000A25C2" w:rsidP="00C363D3">
      <w:pPr>
        <w:autoSpaceDE w:val="0"/>
        <w:autoSpaceDN w:val="0"/>
        <w:adjustRightInd w:val="0"/>
        <w:spacing w:after="0"/>
        <w:jc w:val="both"/>
        <w:rPr>
          <w:rFonts w:ascii="Times New Roman" w:hAnsi="Times New Roman" w:cs="Times New Roman"/>
          <w:spacing w:val="4"/>
          <w:sz w:val="24"/>
          <w:szCs w:val="24"/>
        </w:rPr>
      </w:pPr>
      <w:r w:rsidRPr="000A25C2">
        <w:rPr>
          <w:rFonts w:ascii="Times New Roman" w:hAnsi="Times New Roman" w:cs="Times New Roman"/>
          <w:spacing w:val="4"/>
          <w:sz w:val="24"/>
          <w:szCs w:val="24"/>
        </w:rPr>
        <w:t>Dofinansowanie projektu pochodzące z Europejskiego Funduszy Społecznego w ramach Programu Operacyjnego Wiedza Edukacja Rozwó</w:t>
      </w:r>
      <w:r>
        <w:rPr>
          <w:rFonts w:ascii="Times New Roman" w:hAnsi="Times New Roman" w:cs="Times New Roman"/>
          <w:spacing w:val="4"/>
          <w:sz w:val="24"/>
          <w:szCs w:val="24"/>
        </w:rPr>
        <w:t xml:space="preserve">j wynosi 1 008 740,28 PLN.     </w:t>
      </w:r>
    </w:p>
    <w:p w14:paraId="36F42A3F" w14:textId="77777777" w:rsidR="000A25C2" w:rsidRDefault="000A25C2" w:rsidP="00C363D3">
      <w:pPr>
        <w:autoSpaceDE w:val="0"/>
        <w:autoSpaceDN w:val="0"/>
        <w:adjustRightInd w:val="0"/>
        <w:spacing w:after="0"/>
        <w:jc w:val="both"/>
        <w:rPr>
          <w:rFonts w:ascii="Times New Roman" w:hAnsi="Times New Roman" w:cs="Times New Roman"/>
          <w:spacing w:val="4"/>
          <w:sz w:val="24"/>
          <w:szCs w:val="24"/>
        </w:rPr>
      </w:pPr>
    </w:p>
    <w:p w14:paraId="50057AAB" w14:textId="77777777" w:rsidR="000A25C2" w:rsidRPr="00287912" w:rsidRDefault="00924312" w:rsidP="00C363D3">
      <w:pPr>
        <w:autoSpaceDE w:val="0"/>
        <w:autoSpaceDN w:val="0"/>
        <w:adjustRightInd w:val="0"/>
        <w:spacing w:after="0"/>
        <w:jc w:val="both"/>
        <w:rPr>
          <w:rFonts w:ascii="Times New Roman" w:hAnsi="Times New Roman" w:cs="Times New Roman"/>
          <w:b/>
          <w:color w:val="00B0F0"/>
          <w:spacing w:val="4"/>
          <w:sz w:val="24"/>
          <w:szCs w:val="24"/>
        </w:rPr>
      </w:pPr>
      <w:r w:rsidRPr="00287912">
        <w:rPr>
          <w:rFonts w:ascii="Times New Roman" w:hAnsi="Times New Roman" w:cs="Times New Roman"/>
          <w:b/>
          <w:color w:val="00B0F0"/>
          <w:sz w:val="24"/>
          <w:szCs w:val="24"/>
        </w:rPr>
        <w:t xml:space="preserve">Program Dostępność Plus  </w:t>
      </w:r>
    </w:p>
    <w:p w14:paraId="7D3FCC68" w14:textId="77777777" w:rsid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W 2019 r. konsekwentnie realizowano rządowy Program Dostępność Plus, którego celem jest zwiększanie szeroko rozumianej dostępności w celu podniesienia jakości i zapewnienia niezależności życia dla osób ze szczególnymi pot</w:t>
      </w:r>
      <w:r w:rsidR="00E015BC">
        <w:rPr>
          <w:rFonts w:ascii="Times New Roman" w:hAnsi="Times New Roman" w:cs="Times New Roman"/>
          <w:sz w:val="24"/>
          <w:szCs w:val="24"/>
        </w:rPr>
        <w:t>rzebami, w tym osób starszych</w:t>
      </w:r>
      <w:r w:rsidR="00E015BC">
        <w:rPr>
          <w:rStyle w:val="Odwoanieprzypisudolnego"/>
          <w:rFonts w:ascii="Times New Roman" w:hAnsi="Times New Roman" w:cs="Times New Roman"/>
          <w:sz w:val="24"/>
          <w:szCs w:val="24"/>
        </w:rPr>
        <w:footnoteReference w:id="37"/>
      </w:r>
      <w:r w:rsidR="00E015BC">
        <w:rPr>
          <w:rFonts w:ascii="Times New Roman" w:hAnsi="Times New Roman" w:cs="Times New Roman"/>
          <w:sz w:val="24"/>
          <w:szCs w:val="24"/>
        </w:rPr>
        <w:t xml:space="preserve">. </w:t>
      </w:r>
    </w:p>
    <w:p w14:paraId="1391AD44" w14:textId="77777777" w:rsidR="00B26D7D" w:rsidRPr="000A25C2" w:rsidRDefault="00B26D7D" w:rsidP="00C363D3">
      <w:pPr>
        <w:spacing w:after="0"/>
        <w:jc w:val="both"/>
        <w:rPr>
          <w:rFonts w:ascii="Times New Roman" w:hAnsi="Times New Roman" w:cs="Times New Roman"/>
          <w:sz w:val="24"/>
          <w:szCs w:val="24"/>
        </w:rPr>
      </w:pPr>
    </w:p>
    <w:p w14:paraId="56B0CA5D"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Sprawozdanie opisuje wszystkie działania podjęte w 1,5 rocznym okresie realizacji Programu Dostępność Plus tj. od lipca 2018 do końca 2019 r. W okresie do grudnia 2019 uruchomiono 40 z 44 zaplanowanych w Programie działań, ze wszystkich 8 obszarów tzn.: architektury, transportu, edukacji, służby zdrowia, cyfryzacji, usług, konkurencyjności i koordynacji. Do końca 2019 r. na realizację celów określonych w Programie przeznaczone zostało ok. 5,7 mld zł ze środków europejskich i krajowych. Poniżej najważniejsze, wybrane efekty realizacji programu, w kontekście efektów wspierających sytuację osób starszych.</w:t>
      </w:r>
    </w:p>
    <w:p w14:paraId="5750489F" w14:textId="77777777" w:rsidR="00E015BC" w:rsidRDefault="00E015BC" w:rsidP="00C363D3">
      <w:pPr>
        <w:spacing w:after="0"/>
        <w:jc w:val="both"/>
        <w:rPr>
          <w:rFonts w:ascii="Times New Roman" w:hAnsi="Times New Roman" w:cs="Times New Roman"/>
          <w:sz w:val="24"/>
          <w:szCs w:val="24"/>
        </w:rPr>
      </w:pPr>
    </w:p>
    <w:p w14:paraId="3DFED8C0" w14:textId="377A4A86" w:rsid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 xml:space="preserve">Najważniejszym osiągnięciem Programu w 2019 r. było przyjęcie ustawy z dnia 19 lipca 2019 r. o zapewnianiu dostępności osobom ze szczególnymi potrzebami (Dz. U z 2019 r. poz. </w:t>
      </w:r>
      <w:r w:rsidR="00E015BC">
        <w:rPr>
          <w:rFonts w:ascii="Times New Roman" w:hAnsi="Times New Roman" w:cs="Times New Roman"/>
          <w:sz w:val="24"/>
          <w:szCs w:val="24"/>
        </w:rPr>
        <w:t xml:space="preserve">1696). Ustawa jest rozwiązaniem </w:t>
      </w:r>
      <w:r w:rsidRPr="000A25C2">
        <w:rPr>
          <w:rFonts w:ascii="Times New Roman" w:hAnsi="Times New Roman" w:cs="Times New Roman"/>
          <w:sz w:val="24"/>
          <w:szCs w:val="24"/>
        </w:rPr>
        <w:t xml:space="preserve">o charakterze systemowym, którego celem jest uwzględnianie dostępności w każdej z polityk publicznych. Ustawa określa obowiązki podmiotów publicznych w zakresie dostępności architektonicznej, informacyjno-komunikacyjnej i cyfrowej. Określa, że dostępność powinna być zapewniona </w:t>
      </w:r>
      <w:r w:rsidR="00E015BC">
        <w:rPr>
          <w:rFonts w:ascii="Times New Roman" w:hAnsi="Times New Roman" w:cs="Times New Roman"/>
          <w:sz w:val="24"/>
          <w:szCs w:val="24"/>
        </w:rPr>
        <w:t>przez uniwersalne projektowanie</w:t>
      </w:r>
      <w:r w:rsidR="0089701F">
        <w:rPr>
          <w:rFonts w:ascii="Times New Roman" w:hAnsi="Times New Roman" w:cs="Times New Roman"/>
          <w:sz w:val="24"/>
          <w:szCs w:val="24"/>
        </w:rPr>
        <w:t xml:space="preserve"> </w:t>
      </w:r>
      <w:r w:rsidRPr="000A25C2">
        <w:rPr>
          <w:rFonts w:ascii="Times New Roman" w:hAnsi="Times New Roman" w:cs="Times New Roman"/>
          <w:sz w:val="24"/>
          <w:szCs w:val="24"/>
        </w:rPr>
        <w:t>i racjonalne usprawnienia. Ustawa zakłada możliwość wniesienia skargi na brak dostępności, definiuje sposób koordynacji działań na rzecz dostępności, ustanawia Radę Dostępności o</w:t>
      </w:r>
      <w:r w:rsidR="004E6514">
        <w:rPr>
          <w:rFonts w:ascii="Times New Roman" w:hAnsi="Times New Roman" w:cs="Times New Roman"/>
          <w:sz w:val="24"/>
          <w:szCs w:val="24"/>
        </w:rPr>
        <w:t xml:space="preserve">raz tworzy Fundusz Dostępności,  </w:t>
      </w:r>
      <w:r w:rsidRPr="000A25C2">
        <w:rPr>
          <w:rFonts w:ascii="Times New Roman" w:hAnsi="Times New Roman" w:cs="Times New Roman"/>
          <w:sz w:val="24"/>
          <w:szCs w:val="24"/>
        </w:rPr>
        <w:t>z którego Bank Gospodarstwa Krajowego udziela pożyczek z przeznaczeniem na dostosowanie budynków użyteczności publicznej oraz budynków mieszkalnictwa wielorodzinnego do potrzeb osób ze szczególnymi potrzebami, w tym osób starszych.</w:t>
      </w:r>
    </w:p>
    <w:p w14:paraId="74CE012F" w14:textId="77777777" w:rsidR="00B26D7D" w:rsidRPr="000A25C2" w:rsidRDefault="00B26D7D" w:rsidP="00C363D3">
      <w:pPr>
        <w:spacing w:after="0"/>
        <w:jc w:val="both"/>
        <w:rPr>
          <w:rFonts w:ascii="Times New Roman" w:hAnsi="Times New Roman" w:cs="Times New Roman"/>
          <w:sz w:val="24"/>
          <w:szCs w:val="24"/>
        </w:rPr>
      </w:pPr>
    </w:p>
    <w:p w14:paraId="1E105433" w14:textId="37A21783" w:rsid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Ministerstwo Funduszy i Polityki Regionalnej jest inicjatorem</w:t>
      </w:r>
      <w:r w:rsidR="00287912">
        <w:rPr>
          <w:rFonts w:ascii="Times New Roman" w:hAnsi="Times New Roman" w:cs="Times New Roman"/>
          <w:sz w:val="24"/>
          <w:szCs w:val="24"/>
        </w:rPr>
        <w:t xml:space="preserve"> Partnerstwa na rzecz </w:t>
      </w:r>
      <w:r w:rsidRPr="000A25C2">
        <w:rPr>
          <w:rFonts w:ascii="Times New Roman" w:hAnsi="Times New Roman" w:cs="Times New Roman"/>
          <w:sz w:val="24"/>
          <w:szCs w:val="24"/>
        </w:rPr>
        <w:t>dostępności, którego celem jest propagowanie dostępności wśród różnorodnych a</w:t>
      </w:r>
      <w:r w:rsidR="001C344E">
        <w:rPr>
          <w:rFonts w:ascii="Times New Roman" w:hAnsi="Times New Roman" w:cs="Times New Roman"/>
          <w:sz w:val="24"/>
          <w:szCs w:val="24"/>
        </w:rPr>
        <w:t>spektów</w:t>
      </w:r>
      <w:r w:rsidRPr="000A25C2">
        <w:rPr>
          <w:rFonts w:ascii="Times New Roman" w:hAnsi="Times New Roman" w:cs="Times New Roman"/>
          <w:sz w:val="24"/>
          <w:szCs w:val="24"/>
        </w:rPr>
        <w:t xml:space="preserve"> życia społecznego. </w:t>
      </w:r>
    </w:p>
    <w:p w14:paraId="737AE032" w14:textId="77777777" w:rsidR="00B26D7D" w:rsidRPr="000A25C2" w:rsidRDefault="00B26D7D" w:rsidP="00C363D3">
      <w:pPr>
        <w:spacing w:after="0"/>
        <w:jc w:val="both"/>
        <w:rPr>
          <w:rFonts w:ascii="Times New Roman" w:hAnsi="Times New Roman" w:cs="Times New Roman"/>
          <w:sz w:val="24"/>
          <w:szCs w:val="24"/>
        </w:rPr>
      </w:pPr>
    </w:p>
    <w:p w14:paraId="4BF7DCCB"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lastRenderedPageBreak/>
        <w:t>W pilotażowym projekcie MSWiA pn. „Samorząd bez barier – kompetencje i procedury” pracownicy jednostek samorządu terytorialnego zostaną przygotowani do pełnienia przewidzianej w ustawie o dostępności funkcji koordynatora dostępności. Osoba pełniąca tę funkcję będzie pomagać we wdrażaniu dostępności i w obsłudze klientów ze szczególnymi potrzebami, w tym seniorów. W projekcie przeszkolonych zostanie 30 koordynatorów dostępności. Dodatkowo przewidziano w nim przegląd procedur związanych z obsługą klienta pod kątem zapewnienia dostępności w 30 urzędach. Wypracowane w ramach pilotażu efekty będą następnie upowszechniane w kolejnych podmiotach.</w:t>
      </w:r>
    </w:p>
    <w:p w14:paraId="7EDE30AF" w14:textId="77777777" w:rsidR="000A25C2" w:rsidRPr="000A25C2" w:rsidRDefault="000A25C2" w:rsidP="00C363D3">
      <w:pPr>
        <w:spacing w:after="0"/>
        <w:jc w:val="both"/>
        <w:rPr>
          <w:rFonts w:ascii="Times New Roman" w:hAnsi="Times New Roman" w:cs="Times New Roman"/>
          <w:sz w:val="24"/>
          <w:szCs w:val="24"/>
        </w:rPr>
      </w:pPr>
    </w:p>
    <w:p w14:paraId="2CFE9AB8" w14:textId="77777777" w:rsid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 xml:space="preserve">Do najważniejszych działań w obszarze architektury można zaliczyć rozpoczęcie prac nad nowelizacją Rozporządzenia Ministra Infrastruktury z dnia 12 kwietnia 2002 roku o warunkach technicznych i usytuowaniu budynków (Dz.U. z 2019 r. poz. 1065) w celu dostosowania przepisów prawa pod kątem dostępności – zmiany te zobowiązywać będą wszystkich projektantów budynków użyteczności publicznej i mieszkalnictwa zbiorowego do uwzględnienia zasad uniwersalnego projektowania. </w:t>
      </w:r>
    </w:p>
    <w:p w14:paraId="3E82431C" w14:textId="77777777" w:rsidR="00B26D7D" w:rsidRPr="000A25C2" w:rsidRDefault="00B26D7D" w:rsidP="00C363D3">
      <w:pPr>
        <w:spacing w:after="0"/>
        <w:jc w:val="both"/>
        <w:rPr>
          <w:rFonts w:ascii="Times New Roman" w:hAnsi="Times New Roman" w:cs="Times New Roman"/>
          <w:sz w:val="24"/>
          <w:szCs w:val="24"/>
        </w:rPr>
      </w:pPr>
    </w:p>
    <w:p w14:paraId="265560D7"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 xml:space="preserve">Dzięki przyjęciu ustawy o dostępności, uruchomiono wsparcie dla spółdzielni mieszkaniowych i właścicieli budynków wielorodzinnych, pozwalające na uzyskanie środków finansowych na budowę  wind i innych usprawnień w istniejących budynkach mieszkalnych. To rozwiązanie które było wielokrotnie postulowane przez seniorów w całym kraju, rozwiązanie społecznie bardzo oczekiwane. Do końca 2019 r. uruchomiono już pierwsze pożyczki na ten cel. </w:t>
      </w:r>
    </w:p>
    <w:p w14:paraId="3470DF83"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 xml:space="preserve">Przeprowadzone zostały także liczne szkolenia z zakresu dostępności dla pracowników służb architektoniczno-budowlanych, aby zagwarantować, że nowe przepisy prawa i nowe inwestycje budowlane będą realizowane zgodnie z ideą </w:t>
      </w:r>
      <w:r w:rsidR="00B26D7D">
        <w:rPr>
          <w:rFonts w:ascii="Times New Roman" w:hAnsi="Times New Roman" w:cs="Times New Roman"/>
          <w:sz w:val="24"/>
          <w:szCs w:val="24"/>
        </w:rPr>
        <w:t xml:space="preserve">dostępności. Do końca 2019 r. </w:t>
      </w:r>
      <w:r w:rsidRPr="000A25C2">
        <w:rPr>
          <w:rFonts w:ascii="Times New Roman" w:hAnsi="Times New Roman" w:cs="Times New Roman"/>
          <w:sz w:val="24"/>
          <w:szCs w:val="24"/>
        </w:rPr>
        <w:t>zrealizowano 86 szkoleń, dla 1</w:t>
      </w:r>
      <w:r w:rsidR="00B26D7D">
        <w:rPr>
          <w:rFonts w:ascii="Times New Roman" w:hAnsi="Times New Roman" w:cs="Times New Roman"/>
          <w:sz w:val="24"/>
          <w:szCs w:val="24"/>
        </w:rPr>
        <w:t xml:space="preserve"> </w:t>
      </w:r>
      <w:r w:rsidRPr="000A25C2">
        <w:rPr>
          <w:rFonts w:ascii="Times New Roman" w:hAnsi="Times New Roman" w:cs="Times New Roman"/>
          <w:sz w:val="24"/>
          <w:szCs w:val="24"/>
        </w:rPr>
        <w:t xml:space="preserve">116 osób. </w:t>
      </w:r>
    </w:p>
    <w:p w14:paraId="693B8266" w14:textId="77777777" w:rsidR="00B26D7D" w:rsidRDefault="00B26D7D" w:rsidP="00C363D3">
      <w:pPr>
        <w:spacing w:after="0"/>
        <w:jc w:val="both"/>
        <w:rPr>
          <w:rFonts w:ascii="Times New Roman" w:hAnsi="Times New Roman" w:cs="Times New Roman"/>
          <w:sz w:val="24"/>
          <w:szCs w:val="24"/>
        </w:rPr>
      </w:pPr>
    </w:p>
    <w:p w14:paraId="2B066CC8"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Ponadto uruchomiono pilotażowy konkurs, dla małych i średnich miast o najt</w:t>
      </w:r>
      <w:r w:rsidR="00B26D7D">
        <w:rPr>
          <w:rFonts w:ascii="Times New Roman" w:hAnsi="Times New Roman" w:cs="Times New Roman"/>
          <w:sz w:val="24"/>
          <w:szCs w:val="24"/>
        </w:rPr>
        <w:t xml:space="preserve">rudniejszej sytuacji społecznej </w:t>
      </w:r>
      <w:r w:rsidRPr="000A25C2">
        <w:rPr>
          <w:rFonts w:ascii="Times New Roman" w:hAnsi="Times New Roman" w:cs="Times New Roman"/>
          <w:sz w:val="24"/>
          <w:szCs w:val="24"/>
        </w:rPr>
        <w:t>i gospodarczej. Celem konkursu jest wypracowanie i wdrożenie w miastach zrównoważonego i systemowego podejścia do rozwoju lokalnego służącego podniesieniu standardu życia ich mieszkańców. Obligatoryjnym elementem każdego ocenianego projektu jest wdrażanie standardów dostę</w:t>
      </w:r>
      <w:r w:rsidR="00B26D7D">
        <w:rPr>
          <w:rFonts w:ascii="Times New Roman" w:hAnsi="Times New Roman" w:cs="Times New Roman"/>
          <w:sz w:val="24"/>
          <w:szCs w:val="24"/>
        </w:rPr>
        <w:t xml:space="preserve">pności. Dzięki temu, przestrzeń </w:t>
      </w:r>
      <w:r w:rsidRPr="000A25C2">
        <w:rPr>
          <w:rFonts w:ascii="Times New Roman" w:hAnsi="Times New Roman" w:cs="Times New Roman"/>
          <w:sz w:val="24"/>
          <w:szCs w:val="24"/>
        </w:rPr>
        <w:t>i usługi świadczone w miastach będą dostosowane do potrzeb różnych grup  mieszkańców – w tym seniorów, osób z niepełnosprawnościami, czy osób z czasowym obniżonym poziomem sprawności. Najlepszych 15 projektów strategii miejskich  otrzyma dofinasowanie w wysokości od 3 do 10 mln euro.</w:t>
      </w:r>
    </w:p>
    <w:p w14:paraId="3087F373" w14:textId="77777777" w:rsidR="000A25C2" w:rsidRDefault="00B26D7D" w:rsidP="00C363D3">
      <w:pPr>
        <w:spacing w:after="0"/>
        <w:jc w:val="both"/>
        <w:rPr>
          <w:rFonts w:ascii="Times New Roman" w:hAnsi="Times New Roman" w:cs="Times New Roman"/>
          <w:sz w:val="24"/>
          <w:szCs w:val="24"/>
        </w:rPr>
      </w:pPr>
      <w:r>
        <w:rPr>
          <w:rFonts w:ascii="Times New Roman" w:hAnsi="Times New Roman" w:cs="Times New Roman"/>
          <w:sz w:val="24"/>
          <w:szCs w:val="24"/>
        </w:rPr>
        <w:t>W obszarze Transport</w:t>
      </w:r>
      <w:r w:rsidR="000A25C2" w:rsidRPr="000A25C2">
        <w:rPr>
          <w:rFonts w:ascii="Times New Roman" w:hAnsi="Times New Roman" w:cs="Times New Roman"/>
          <w:sz w:val="24"/>
          <w:szCs w:val="24"/>
        </w:rPr>
        <w:t xml:space="preserve"> najwięcej środków z Programu skierowanych zostało na zakup nowego taboru PKP, dostosowanego do potrzeb osób z niepełnosprawnością oraz remonty dworców i peronów. Aktualnie w spółce PKP Intercity do przewozów pasażerskich wykorzystywane są 104 wagony i 60 elektrycznych zespołów trakcyjnych dostosowanych do przewozu osób na wózkach</w:t>
      </w:r>
      <w:r>
        <w:rPr>
          <w:rFonts w:ascii="Times New Roman" w:hAnsi="Times New Roman" w:cs="Times New Roman"/>
          <w:sz w:val="24"/>
          <w:szCs w:val="24"/>
        </w:rPr>
        <w:t>. W okresie do czerwca 2019 r.</w:t>
      </w:r>
      <w:r w:rsidR="000A25C2" w:rsidRPr="000A25C2">
        <w:rPr>
          <w:rFonts w:ascii="Times New Roman" w:hAnsi="Times New Roman" w:cs="Times New Roman"/>
          <w:sz w:val="24"/>
          <w:szCs w:val="24"/>
        </w:rPr>
        <w:t xml:space="preserve"> oddano 11 obiektów dworcowych w pełni dostosowanych do obsługi osób o</w:t>
      </w:r>
      <w:r>
        <w:rPr>
          <w:rFonts w:ascii="Times New Roman" w:hAnsi="Times New Roman" w:cs="Times New Roman"/>
          <w:sz w:val="24"/>
          <w:szCs w:val="24"/>
        </w:rPr>
        <w:t xml:space="preserve"> ograniczonej mobilności, w tym </w:t>
      </w:r>
      <w:r w:rsidR="000A25C2" w:rsidRPr="000A25C2">
        <w:rPr>
          <w:rFonts w:ascii="Times New Roman" w:hAnsi="Times New Roman" w:cs="Times New Roman"/>
          <w:sz w:val="24"/>
          <w:szCs w:val="24"/>
        </w:rPr>
        <w:t xml:space="preserve">z dysfunkcjami zdrowotnymi, osób starszych, podróżujących z małymi dziećmi, z ciężkim bagażem itp. </w:t>
      </w:r>
    </w:p>
    <w:p w14:paraId="6A933E7E" w14:textId="77777777" w:rsidR="00B26D7D" w:rsidRPr="000A25C2" w:rsidRDefault="00B26D7D" w:rsidP="00C363D3">
      <w:pPr>
        <w:spacing w:after="0"/>
        <w:jc w:val="both"/>
        <w:rPr>
          <w:rFonts w:ascii="Times New Roman" w:hAnsi="Times New Roman" w:cs="Times New Roman"/>
          <w:sz w:val="24"/>
          <w:szCs w:val="24"/>
        </w:rPr>
      </w:pPr>
    </w:p>
    <w:p w14:paraId="2DD15F10"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lastRenderedPageBreak/>
        <w:t xml:space="preserve">Do potrzeb osób starszych dostosowywano także komunikację miejską. Przede wszystkim sukcesywnie wymieniano tabor na niskopodłogowy, ale także zapewniano odpowiednią informację pasażerską – dźwiękową i wizualną – wewnątrz i na zewnątrz pojazdu, która ułatwia seniorom komunikację i orientację w podróży. Do końca 2019 r. zakupiono: 314 sztuk nowego taboru komunikacji miejskiej. Rozpoczęto również projekt na szkolenia z dostępności dla 5 tys. pracowników z sektora transportu. W projekcie tym zostaną także opracowane: standardy obsługi i procedur dla 4 rodzajów stanowisk: kasjer biletowy, pracownik obsługi dworców, personel pokładowy, kontroler biletów oraz poradnik dotyczący dostosowania kluczowych typów usług w zakresie transportu zbiorowego dla osób o szczególnych potrzebach, w tym seniorów. </w:t>
      </w:r>
    </w:p>
    <w:p w14:paraId="5438A2E2" w14:textId="77777777" w:rsidR="00B26D7D" w:rsidRDefault="00B26D7D" w:rsidP="00C363D3">
      <w:pPr>
        <w:spacing w:after="0"/>
        <w:jc w:val="both"/>
        <w:rPr>
          <w:rFonts w:ascii="Times New Roman" w:hAnsi="Times New Roman" w:cs="Times New Roman"/>
          <w:sz w:val="24"/>
          <w:szCs w:val="24"/>
        </w:rPr>
      </w:pPr>
    </w:p>
    <w:p w14:paraId="1BCD892D"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W obszarze służby zdrowia uruchomiono projekt w którym ok. 125  przychodni i 25 szpitali otrzyma wsparcie na dostosowanie pomieszczeń (w tym montaż wind, podjazdów, podnośników pionowych czy alternatywne oznakowanie przestrzeni), zakup narzędzi IT i sprzętu poprawiającego dostępność (np. systemy e-rejestracji), szkolenia i rozwiązania w obszarze komunikacji personelu z pacjentem ze szczególnymi potrzebami, czy dostosowanie procedur oraz kwestii organizacyjnych tak, by uwzględniały szczególne potrzeby pacjentów (przede wszystkim osób starszych i z niepełnosprawnościami). Wszystkie te d</w:t>
      </w:r>
      <w:r w:rsidR="00287912">
        <w:rPr>
          <w:rFonts w:ascii="Times New Roman" w:hAnsi="Times New Roman" w:cs="Times New Roman"/>
          <w:sz w:val="24"/>
          <w:szCs w:val="24"/>
        </w:rPr>
        <w:t xml:space="preserve">ziałania spowodują, że seniorzy </w:t>
      </w:r>
      <w:r w:rsidRPr="000A25C2">
        <w:rPr>
          <w:rFonts w:ascii="Times New Roman" w:hAnsi="Times New Roman" w:cs="Times New Roman"/>
          <w:sz w:val="24"/>
          <w:szCs w:val="24"/>
        </w:rPr>
        <w:t xml:space="preserve">i inne osoby o szczególnych potrzebach będą miały ułatwiony kontakt z służbą zdrowia i większą możliwość samodzielnego udziału w badaniach medycznych czy procesie leczenia. </w:t>
      </w:r>
    </w:p>
    <w:p w14:paraId="37144B5B" w14:textId="77777777" w:rsidR="00B26D7D" w:rsidRDefault="00B26D7D" w:rsidP="00C363D3">
      <w:pPr>
        <w:spacing w:after="0"/>
        <w:jc w:val="both"/>
        <w:rPr>
          <w:rFonts w:ascii="Times New Roman" w:hAnsi="Times New Roman" w:cs="Times New Roman"/>
          <w:sz w:val="24"/>
          <w:szCs w:val="24"/>
        </w:rPr>
      </w:pPr>
    </w:p>
    <w:p w14:paraId="209BAAE4" w14:textId="77777777" w:rsidR="000A25C2" w:rsidRPr="000A25C2" w:rsidRDefault="00B26D7D" w:rsidP="00C363D3">
      <w:pPr>
        <w:spacing w:after="0"/>
        <w:jc w:val="both"/>
        <w:rPr>
          <w:rFonts w:ascii="Times New Roman" w:hAnsi="Times New Roman" w:cs="Times New Roman"/>
          <w:sz w:val="24"/>
          <w:szCs w:val="24"/>
        </w:rPr>
      </w:pPr>
      <w:r>
        <w:rPr>
          <w:rFonts w:ascii="Times New Roman" w:hAnsi="Times New Roman" w:cs="Times New Roman"/>
          <w:sz w:val="24"/>
          <w:szCs w:val="24"/>
        </w:rPr>
        <w:t>Za najważniejsze działanie w</w:t>
      </w:r>
      <w:r w:rsidR="000A25C2" w:rsidRPr="000A25C2">
        <w:rPr>
          <w:rFonts w:ascii="Times New Roman" w:hAnsi="Times New Roman" w:cs="Times New Roman"/>
          <w:sz w:val="24"/>
          <w:szCs w:val="24"/>
        </w:rPr>
        <w:t xml:space="preserve"> obszarze</w:t>
      </w:r>
      <w:r>
        <w:rPr>
          <w:rFonts w:ascii="Times New Roman" w:hAnsi="Times New Roman" w:cs="Times New Roman"/>
          <w:sz w:val="24"/>
          <w:szCs w:val="24"/>
        </w:rPr>
        <w:t xml:space="preserve"> Cyfryzacji</w:t>
      </w:r>
      <w:r w:rsidR="000A25C2" w:rsidRPr="000A25C2">
        <w:rPr>
          <w:rFonts w:ascii="Times New Roman" w:hAnsi="Times New Roman" w:cs="Times New Roman"/>
          <w:sz w:val="24"/>
          <w:szCs w:val="24"/>
        </w:rPr>
        <w:t xml:space="preserve"> należy uznać uchwalenie </w:t>
      </w:r>
      <w:r w:rsidR="00287912">
        <w:rPr>
          <w:rFonts w:ascii="Times New Roman" w:hAnsi="Times New Roman" w:cs="Times New Roman"/>
          <w:i/>
          <w:sz w:val="24"/>
          <w:szCs w:val="24"/>
        </w:rPr>
        <w:t>u</w:t>
      </w:r>
      <w:r w:rsidR="000A25C2" w:rsidRPr="00B26D7D">
        <w:rPr>
          <w:rFonts w:ascii="Times New Roman" w:hAnsi="Times New Roman" w:cs="Times New Roman"/>
          <w:i/>
          <w:sz w:val="24"/>
          <w:szCs w:val="24"/>
        </w:rPr>
        <w:t xml:space="preserve">stawy </w:t>
      </w:r>
      <w:r w:rsidR="00287912">
        <w:rPr>
          <w:rFonts w:ascii="Times New Roman" w:hAnsi="Times New Roman" w:cs="Times New Roman"/>
          <w:i/>
          <w:sz w:val="24"/>
          <w:szCs w:val="24"/>
        </w:rPr>
        <w:br/>
      </w:r>
      <w:r w:rsidR="000A25C2" w:rsidRPr="00B26D7D">
        <w:rPr>
          <w:rFonts w:ascii="Times New Roman" w:hAnsi="Times New Roman" w:cs="Times New Roman"/>
          <w:i/>
          <w:sz w:val="24"/>
          <w:szCs w:val="24"/>
        </w:rPr>
        <w:t>o dostępności cyfrowej stron internetowych i aplikacji mobilnych podmiotów publicznych</w:t>
      </w:r>
      <w:r w:rsidR="000A25C2" w:rsidRPr="000A25C2">
        <w:rPr>
          <w:rFonts w:ascii="Times New Roman" w:hAnsi="Times New Roman" w:cs="Times New Roman"/>
          <w:sz w:val="24"/>
          <w:szCs w:val="24"/>
        </w:rPr>
        <w:t xml:space="preserve">. </w:t>
      </w:r>
      <w:r w:rsidR="00287912">
        <w:rPr>
          <w:rFonts w:ascii="Times New Roman" w:hAnsi="Times New Roman" w:cs="Times New Roman"/>
          <w:sz w:val="24"/>
          <w:szCs w:val="24"/>
        </w:rPr>
        <w:br/>
      </w:r>
      <w:r w:rsidR="000A25C2" w:rsidRPr="000A25C2">
        <w:rPr>
          <w:rFonts w:ascii="Times New Roman" w:hAnsi="Times New Roman" w:cs="Times New Roman"/>
          <w:sz w:val="24"/>
          <w:szCs w:val="24"/>
        </w:rPr>
        <w:t xml:space="preserve">To nowe prawo nakłada na podmioty publiczne, obowiązek takiego prezentowania informacji w Internecie, aby wszyscy bez wyjątku mieli do nich dostęp. Chodzi tu w szczególności o osoby niewidome, słabowidzące, niedosłyszące ale również o osoby niemogące posługiwać się myszką czy klawiaturą czy nieodróżniające kolorów. Generalnie o wszystkie z osłabioną motoryką czy zmysłami. Istotnym elementem tej ustawy jest nałożenie na podmioty publiczne bezwzględnego obowiązku doprowadzenia do pełnej dostępności cyfrowej i utrzymania jej dla kluczowych elementów stron internetowych i aplikacji mobilnych, takich jak dane kontaktowe, wzory dokumentów urzędowych czy formularze, za pomocą których użytkownik może się komunikować z urzędem. </w:t>
      </w:r>
    </w:p>
    <w:p w14:paraId="0EF7B596" w14:textId="77777777" w:rsidR="00B26D7D" w:rsidRDefault="00B26D7D" w:rsidP="00C363D3">
      <w:pPr>
        <w:spacing w:after="0"/>
        <w:jc w:val="both"/>
        <w:rPr>
          <w:rFonts w:ascii="Times New Roman" w:hAnsi="Times New Roman" w:cs="Times New Roman"/>
          <w:sz w:val="24"/>
          <w:szCs w:val="24"/>
        </w:rPr>
      </w:pPr>
    </w:p>
    <w:p w14:paraId="4FFDFD47" w14:textId="77777777" w:rsidR="000A25C2" w:rsidRPr="000A25C2" w:rsidRDefault="00B26D7D" w:rsidP="00C363D3">
      <w:pPr>
        <w:spacing w:after="0"/>
        <w:jc w:val="both"/>
        <w:rPr>
          <w:rFonts w:ascii="Times New Roman" w:hAnsi="Times New Roman" w:cs="Times New Roman"/>
          <w:sz w:val="24"/>
          <w:szCs w:val="24"/>
        </w:rPr>
      </w:pPr>
      <w:r>
        <w:rPr>
          <w:rFonts w:ascii="Times New Roman" w:hAnsi="Times New Roman" w:cs="Times New Roman"/>
          <w:sz w:val="24"/>
          <w:szCs w:val="24"/>
        </w:rPr>
        <w:t xml:space="preserve">W </w:t>
      </w:r>
      <w:r w:rsidR="000A25C2" w:rsidRPr="000A25C2">
        <w:rPr>
          <w:rFonts w:ascii="Times New Roman" w:hAnsi="Times New Roman" w:cs="Times New Roman"/>
          <w:sz w:val="24"/>
          <w:szCs w:val="24"/>
        </w:rPr>
        <w:t>obszarze</w:t>
      </w:r>
      <w:r>
        <w:rPr>
          <w:rFonts w:ascii="Times New Roman" w:hAnsi="Times New Roman" w:cs="Times New Roman"/>
          <w:sz w:val="24"/>
          <w:szCs w:val="24"/>
        </w:rPr>
        <w:t xml:space="preserve"> Usługi</w:t>
      </w:r>
      <w:r w:rsidR="000A25C2" w:rsidRPr="000A25C2">
        <w:rPr>
          <w:rFonts w:ascii="Times New Roman" w:hAnsi="Times New Roman" w:cs="Times New Roman"/>
          <w:sz w:val="24"/>
          <w:szCs w:val="24"/>
        </w:rPr>
        <w:t xml:space="preserve"> wspierano liczne usługi na rzecz osób starszych i ze szczególnymi potrzebami. Uruchomiono m.in. konkurs dla 150 gmin na sfinansowanie transportu door-to-door (od drzwi do drzwi), który pozwoli seniorom podróżować na terenie danej gminy z udziałem asystenta a nawet pomocy w poruszaniu się (w tym pomoc w wyjściu z mieszkania). </w:t>
      </w:r>
    </w:p>
    <w:p w14:paraId="5DEA7910" w14:textId="77777777" w:rsidR="00B26D7D" w:rsidRDefault="00B26D7D" w:rsidP="00C363D3">
      <w:pPr>
        <w:spacing w:after="0"/>
        <w:jc w:val="both"/>
        <w:rPr>
          <w:rFonts w:ascii="Times New Roman" w:hAnsi="Times New Roman" w:cs="Times New Roman"/>
          <w:sz w:val="24"/>
          <w:szCs w:val="24"/>
        </w:rPr>
      </w:pPr>
    </w:p>
    <w:p w14:paraId="073346B7" w14:textId="77777777" w:rsid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 xml:space="preserve">Uruchomiony został  także Program pn."Asystent osobisty osoby niepełnosprawnej", którego celem jest wprowadzenie usługi asystenta, jako formy ogólnodostępnego wsparcia dla osób niepełnosprawnych, posiadających orzeczenie o znacznym lub umiarkowanym stopniu </w:t>
      </w:r>
      <w:r w:rsidRPr="000A25C2">
        <w:rPr>
          <w:rFonts w:ascii="Times New Roman" w:hAnsi="Times New Roman" w:cs="Times New Roman"/>
          <w:sz w:val="24"/>
          <w:szCs w:val="24"/>
        </w:rPr>
        <w:lastRenderedPageBreak/>
        <w:t xml:space="preserve">niepełnosprawności (często to osoby starsze). Osoby te, będą miały możliwość skorzystania z pomocy asystenta m.in. przy wykonywaniu codziennych czynności, załatwieniu spraw urzędowych czy podejmowaniu aktywności społecznej. </w:t>
      </w:r>
    </w:p>
    <w:p w14:paraId="552C7D2C" w14:textId="77777777" w:rsidR="00B26D7D" w:rsidRPr="000A25C2" w:rsidRDefault="00B26D7D" w:rsidP="00C363D3">
      <w:pPr>
        <w:spacing w:after="0"/>
        <w:jc w:val="both"/>
        <w:rPr>
          <w:rFonts w:ascii="Times New Roman" w:hAnsi="Times New Roman" w:cs="Times New Roman"/>
          <w:sz w:val="24"/>
          <w:szCs w:val="24"/>
        </w:rPr>
      </w:pPr>
    </w:p>
    <w:p w14:paraId="26CADEA6"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 xml:space="preserve">Jednym z celów Programu Dostępność jest stworzenie podstaw do rozwoju tzw. turystyki społecznej, czyli takiej z udziałem między innymi osób z niepełnosprawnościami, czy osób starszych. Dzięki nowelizacji </w:t>
      </w:r>
      <w:r w:rsidRPr="001B0FA2">
        <w:rPr>
          <w:rFonts w:ascii="Times New Roman" w:hAnsi="Times New Roman" w:cs="Times New Roman"/>
          <w:i/>
          <w:sz w:val="24"/>
          <w:szCs w:val="24"/>
        </w:rPr>
        <w:t>ustawy z dnia 19 listopada 2009 r. o grach hazardowych</w:t>
      </w:r>
      <w:r w:rsidRPr="000A25C2">
        <w:rPr>
          <w:rFonts w:ascii="Times New Roman" w:hAnsi="Times New Roman" w:cs="Times New Roman"/>
          <w:sz w:val="24"/>
          <w:szCs w:val="24"/>
        </w:rPr>
        <w:t xml:space="preserve"> (Dz. U. z 2019 r. poza 847), która </w:t>
      </w:r>
      <w:r w:rsidR="001B0FA2">
        <w:rPr>
          <w:rFonts w:ascii="Times New Roman" w:hAnsi="Times New Roman" w:cs="Times New Roman"/>
          <w:sz w:val="24"/>
          <w:szCs w:val="24"/>
        </w:rPr>
        <w:t>weszła w życie w marcu 2019 r.</w:t>
      </w:r>
      <w:r w:rsidRPr="000A25C2">
        <w:rPr>
          <w:rFonts w:ascii="Times New Roman" w:hAnsi="Times New Roman" w:cs="Times New Roman"/>
          <w:sz w:val="24"/>
          <w:szCs w:val="24"/>
        </w:rPr>
        <w:t xml:space="preserve">, obok istniejących wcześniej możliwości wykorzystania środków Funduszu Rozwoju Kultury Fizycznej (FRKF) na inwestycje w obiekty sportowe, rozwijanie sportu, oraz na zadania w zakresie aktywności fizycznej, dodano nową kategorię wydatków – rozwój turystyki społecznej. Dzięki powyższym środkom możliwe będą inwestycje w dostępności szlaków turystycznych (m. in. renowacja i dostosowanie oznakowania, wprowadzenie typografii, szkolenie kadry). Działania te zostaną zaprojektowane w miarę możliwości w </w:t>
      </w:r>
      <w:r w:rsidR="001B0FA2">
        <w:rPr>
          <w:rFonts w:ascii="Times New Roman" w:hAnsi="Times New Roman" w:cs="Times New Roman"/>
          <w:sz w:val="24"/>
          <w:szCs w:val="24"/>
        </w:rPr>
        <w:t xml:space="preserve">taki sposób, aby były powiązane </w:t>
      </w:r>
      <w:r w:rsidRPr="000A25C2">
        <w:rPr>
          <w:rFonts w:ascii="Times New Roman" w:hAnsi="Times New Roman" w:cs="Times New Roman"/>
          <w:sz w:val="24"/>
          <w:szCs w:val="24"/>
        </w:rPr>
        <w:t xml:space="preserve">z inwestycjami dotyczącymi dostępnościowych adaptacji schronisk górskich. Ponadto w celu zbudowania platformy wymiany doświadczeń oraz popularyzacji idei turystyki społecznej zorganizowane zostały trzy konferencje na temat turystyki społecznej (w kwietniu, maju i lipcu 2019 </w:t>
      </w:r>
      <w:r w:rsidR="001B0FA2">
        <w:rPr>
          <w:rFonts w:ascii="Times New Roman" w:hAnsi="Times New Roman" w:cs="Times New Roman"/>
          <w:sz w:val="24"/>
          <w:szCs w:val="24"/>
        </w:rPr>
        <w:t xml:space="preserve">r.). Podobnie dzięki inwestycjom </w:t>
      </w:r>
      <w:r w:rsidRPr="000A25C2">
        <w:rPr>
          <w:rFonts w:ascii="Times New Roman" w:hAnsi="Times New Roman" w:cs="Times New Roman"/>
          <w:sz w:val="24"/>
          <w:szCs w:val="24"/>
        </w:rPr>
        <w:t xml:space="preserve">w obszarze kultury należy odnotować, że poprawia się dostępność oferty instytucji kultury dla seniorów. Dzieje się tak zarówno w warstwie merytorycznej (więcej treści dedykowanych starszym odbiorcom) jak i technicznej (lepszy dostęp do odbioru – np. pętle indukcyjne dla osób niedosłyszących w teatrach, asystenci w muzeach, możliwość korzystania z infrastruktury projektowanej uniwersalnie, z myślą o użytkownikach o szczególnych potrzebach). Nowa ustawa o zapewnianiu dostępności zobowiązuje do dostosowywania dla osób ze szczególnymi potrzebami , w tym seniorów, imprez artystycznych lub rozrywkowych. </w:t>
      </w:r>
    </w:p>
    <w:p w14:paraId="4FCC3BBA" w14:textId="77777777" w:rsidR="001B0FA2" w:rsidRPr="000A25C2" w:rsidRDefault="001B0FA2" w:rsidP="00C363D3">
      <w:pPr>
        <w:spacing w:after="0"/>
        <w:jc w:val="both"/>
        <w:rPr>
          <w:rFonts w:ascii="Times New Roman" w:hAnsi="Times New Roman" w:cs="Times New Roman"/>
          <w:sz w:val="24"/>
          <w:szCs w:val="24"/>
        </w:rPr>
      </w:pPr>
    </w:p>
    <w:p w14:paraId="691C3BF7" w14:textId="77777777" w:rsidR="000A25C2" w:rsidRP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 xml:space="preserve">Działania skierowane do przedsiębiorców i innowatorów skupiały się na konkursach wspierających opracowanie nowych produktów i usług dla osób ze szczególnymi potrzebami oraz promocji sektora tzw. srebrnej gospodarki. Zrealizowano konkursy: "Design dla przedsiębiorców" - finansowanie profesjonalnego procesu projektowego (PARP);  "Badania na rynek" - finansowanie innowacyjnych produktów lub wdrożenia innowacyjnych procesów technologicznych (PARP) i  "Szybka Ścieżka Dostępność Plus" - dofinansowanie na badania przemysłowe i/lub eksperymentalne prace rozwojowe (NCBIR). Łączna wartość ww. konkursów to ok. 200 mln zł. Dzięki wsparciu wzrośnie podaż innowacyjnych produktów i usług, z których będą mogły skorzystać osoby starsze i dzięki którym jakość ich codziennego życia i samodzielność wzrosną. </w:t>
      </w:r>
    </w:p>
    <w:p w14:paraId="7B35540F" w14:textId="77777777" w:rsidR="001B0FA2" w:rsidRDefault="001B0FA2" w:rsidP="00C363D3">
      <w:pPr>
        <w:spacing w:after="0"/>
        <w:jc w:val="both"/>
        <w:rPr>
          <w:rFonts w:ascii="Times New Roman" w:hAnsi="Times New Roman" w:cs="Times New Roman"/>
          <w:sz w:val="24"/>
          <w:szCs w:val="24"/>
        </w:rPr>
      </w:pPr>
    </w:p>
    <w:p w14:paraId="47E6C1C7" w14:textId="77777777" w:rsid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 xml:space="preserve">Ponadto uruchomiono wsparcie dla tzw. innowacji społecznych, które poszukują najciekawszych inicjatyw, które szybko i skutecznie pomogą rozwiązać problemy związane z niedoborem dostępnych produktów i usług, czy brakiem dostępności przestrzeni publicznej dla osób z niepełnosprawnościami i  seniorów. Efektem ich pracy będzie 200 nowych innowacji na rzecz dostępności. Już dziś funkcjonują różnego typu innowacje tego typu np.  system </w:t>
      </w:r>
      <w:r w:rsidRPr="000A25C2">
        <w:rPr>
          <w:rFonts w:ascii="Times New Roman" w:hAnsi="Times New Roman" w:cs="Times New Roman"/>
          <w:sz w:val="24"/>
          <w:szCs w:val="24"/>
        </w:rPr>
        <w:lastRenderedPageBreak/>
        <w:t>indywidualnego oznaczania miejsc zamieszkania seniorów w domach opieki, dzięki któremu osoby z zaburzeniami pamięci łatwo odnajdą swój pokój, gry towarzyskie dla osób starszych, Innotextil, czyli innowacyjna odzież wspierająca rehabilitację, czy warsztaty uczące programowania i pomagające przełamać bariery technologicznej osób starszych Senior +</w:t>
      </w:r>
      <w:r w:rsidR="001B0FA2">
        <w:rPr>
          <w:rStyle w:val="Odwoanieprzypisudolnego"/>
          <w:rFonts w:ascii="Times New Roman" w:hAnsi="Times New Roman" w:cs="Times New Roman"/>
          <w:sz w:val="24"/>
          <w:szCs w:val="24"/>
        </w:rPr>
        <w:footnoteReference w:id="38"/>
      </w:r>
      <w:r w:rsidRPr="000A25C2">
        <w:rPr>
          <w:rFonts w:ascii="Times New Roman" w:hAnsi="Times New Roman" w:cs="Times New Roman"/>
          <w:sz w:val="24"/>
          <w:szCs w:val="24"/>
        </w:rPr>
        <w:t xml:space="preserve">. </w:t>
      </w:r>
    </w:p>
    <w:p w14:paraId="7AA4D2B8" w14:textId="77777777" w:rsidR="001B0FA2" w:rsidRPr="000A25C2" w:rsidRDefault="001B0FA2" w:rsidP="00C363D3">
      <w:pPr>
        <w:spacing w:after="0"/>
        <w:jc w:val="both"/>
        <w:rPr>
          <w:rFonts w:ascii="Times New Roman" w:hAnsi="Times New Roman" w:cs="Times New Roman"/>
          <w:sz w:val="24"/>
          <w:szCs w:val="24"/>
        </w:rPr>
      </w:pPr>
    </w:p>
    <w:p w14:paraId="2034DE79" w14:textId="77777777" w:rsid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Oprócz działań w wyżej wymienionych obszarach prowadzane są kampanie informacyjne i edukacyjne, których celem jest uwrażliwianie opinii społecznej na problemy osób ze szczególnymi potrzebami i osób starszych. Regularnie prowadzona jest współpraca z mediami skierowanymi do osób starszych, w tym z czasopismem „Głos Seniora”. W okres</w:t>
      </w:r>
      <w:r w:rsidR="001B0FA2">
        <w:rPr>
          <w:rFonts w:ascii="Times New Roman" w:hAnsi="Times New Roman" w:cs="Times New Roman"/>
          <w:sz w:val="24"/>
          <w:szCs w:val="24"/>
        </w:rPr>
        <w:t>ie od 16 października 2018 r. do 15 marca 2019 r.</w:t>
      </w:r>
      <w:r w:rsidRPr="000A25C2">
        <w:rPr>
          <w:rFonts w:ascii="Times New Roman" w:hAnsi="Times New Roman" w:cs="Times New Roman"/>
          <w:sz w:val="24"/>
          <w:szCs w:val="24"/>
        </w:rPr>
        <w:t xml:space="preserve"> trwała kampania informacyjno-promocyjna w  telewizji, Internecie, prasie, radio, na nośnikach zewnętrznych (CityLighty) oraz w wagonach warszawskiego metra. Kampania poświęcona była działaniom realizowa</w:t>
      </w:r>
      <w:r w:rsidR="001B0FA2">
        <w:rPr>
          <w:rFonts w:ascii="Times New Roman" w:hAnsi="Times New Roman" w:cs="Times New Roman"/>
          <w:sz w:val="24"/>
          <w:szCs w:val="24"/>
        </w:rPr>
        <w:t>nym w Programie Dostępność Plus</w:t>
      </w:r>
      <w:r w:rsidR="00287912">
        <w:rPr>
          <w:rFonts w:ascii="Times New Roman" w:hAnsi="Times New Roman" w:cs="Times New Roman"/>
          <w:sz w:val="24"/>
          <w:szCs w:val="24"/>
        </w:rPr>
        <w:t xml:space="preserve"> </w:t>
      </w:r>
      <w:r w:rsidRPr="000A25C2">
        <w:rPr>
          <w:rFonts w:ascii="Times New Roman" w:hAnsi="Times New Roman" w:cs="Times New Roman"/>
          <w:sz w:val="24"/>
          <w:szCs w:val="24"/>
        </w:rPr>
        <w:t xml:space="preserve">w powiązaniu z Funduszami Europejskimi i prowadzona pod hasłem: „Twórz dostępność z Funduszami Europejskimi! Sprawdź aktualne nabory na </w:t>
      </w:r>
      <w:r w:rsidR="00287912" w:rsidRPr="00287912">
        <w:rPr>
          <w:rFonts w:ascii="Times New Roman" w:hAnsi="Times New Roman" w:cs="Times New Roman"/>
          <w:sz w:val="24"/>
          <w:szCs w:val="24"/>
        </w:rPr>
        <w:t>www.dostepnoscplus</w:t>
      </w:r>
      <w:r w:rsidRPr="000A25C2">
        <w:rPr>
          <w:rFonts w:ascii="Times New Roman" w:hAnsi="Times New Roman" w:cs="Times New Roman"/>
          <w:sz w:val="24"/>
          <w:szCs w:val="24"/>
        </w:rPr>
        <w:t>.</w:t>
      </w:r>
      <w:r w:rsidR="00287912">
        <w:rPr>
          <w:rFonts w:ascii="Times New Roman" w:hAnsi="Times New Roman" w:cs="Times New Roman"/>
          <w:sz w:val="24"/>
          <w:szCs w:val="24"/>
        </w:rPr>
        <w:t xml:space="preserve"> </w:t>
      </w:r>
      <w:r w:rsidRPr="000A25C2">
        <w:rPr>
          <w:rFonts w:ascii="Times New Roman" w:hAnsi="Times New Roman" w:cs="Times New Roman"/>
          <w:sz w:val="24"/>
          <w:szCs w:val="24"/>
        </w:rPr>
        <w:t xml:space="preserve">gov.pl”. W ramach kampanii powstały 2 spoty do telewizji oraz 6 spotów do Internetu. </w:t>
      </w:r>
    </w:p>
    <w:p w14:paraId="274784BA" w14:textId="77777777" w:rsidR="001B0FA2" w:rsidRPr="000A25C2" w:rsidRDefault="001B0FA2" w:rsidP="00C363D3">
      <w:pPr>
        <w:spacing w:after="0"/>
        <w:jc w:val="both"/>
        <w:rPr>
          <w:rFonts w:ascii="Times New Roman" w:hAnsi="Times New Roman" w:cs="Times New Roman"/>
          <w:sz w:val="24"/>
          <w:szCs w:val="24"/>
        </w:rPr>
      </w:pPr>
    </w:p>
    <w:p w14:paraId="7DBB92F5" w14:textId="77777777" w:rsidR="000A25C2" w:rsidRDefault="001B0FA2" w:rsidP="00C363D3">
      <w:pPr>
        <w:spacing w:after="0"/>
        <w:jc w:val="both"/>
        <w:rPr>
          <w:rFonts w:ascii="Times New Roman" w:hAnsi="Times New Roman" w:cs="Times New Roman"/>
          <w:sz w:val="24"/>
          <w:szCs w:val="24"/>
        </w:rPr>
      </w:pPr>
      <w:r>
        <w:rPr>
          <w:rFonts w:ascii="Times New Roman" w:hAnsi="Times New Roman" w:cs="Times New Roman"/>
          <w:sz w:val="24"/>
          <w:szCs w:val="24"/>
        </w:rPr>
        <w:t>W październiku 2019 r.</w:t>
      </w:r>
      <w:r w:rsidR="000A25C2" w:rsidRPr="000A25C2">
        <w:rPr>
          <w:rFonts w:ascii="Times New Roman" w:hAnsi="Times New Roman" w:cs="Times New Roman"/>
          <w:sz w:val="24"/>
          <w:szCs w:val="24"/>
        </w:rPr>
        <w:t xml:space="preserve"> powstał film poświęcony ustawie o zapewnianiu dostępności osobom ze szczególnymi potrzebami. Prezentuje on przykładowe rozwiązania, które powinny być wprowadzone przez instytucje publiczne w celu </w:t>
      </w:r>
      <w:r>
        <w:rPr>
          <w:rFonts w:ascii="Times New Roman" w:hAnsi="Times New Roman" w:cs="Times New Roman"/>
          <w:sz w:val="24"/>
          <w:szCs w:val="24"/>
        </w:rPr>
        <w:t>spełnienia wymagań dostępności</w:t>
      </w:r>
      <w:r>
        <w:rPr>
          <w:rStyle w:val="Odwoanieprzypisudolnego"/>
          <w:rFonts w:ascii="Times New Roman" w:hAnsi="Times New Roman" w:cs="Times New Roman"/>
          <w:sz w:val="24"/>
          <w:szCs w:val="24"/>
        </w:rPr>
        <w:footnoteReference w:id="39"/>
      </w:r>
      <w:r>
        <w:rPr>
          <w:rFonts w:ascii="Times New Roman" w:hAnsi="Times New Roman" w:cs="Times New Roman"/>
          <w:sz w:val="24"/>
          <w:szCs w:val="24"/>
        </w:rPr>
        <w:t>.</w:t>
      </w:r>
    </w:p>
    <w:p w14:paraId="2001B478" w14:textId="77777777" w:rsidR="001B0FA2" w:rsidRPr="000A25C2" w:rsidRDefault="001B0FA2" w:rsidP="00C363D3">
      <w:pPr>
        <w:spacing w:after="0"/>
        <w:jc w:val="both"/>
        <w:rPr>
          <w:rFonts w:ascii="Times New Roman" w:hAnsi="Times New Roman" w:cs="Times New Roman"/>
          <w:sz w:val="24"/>
          <w:szCs w:val="24"/>
        </w:rPr>
      </w:pPr>
    </w:p>
    <w:p w14:paraId="7C7535FC" w14:textId="77777777" w:rsidR="000A25C2" w:rsidRDefault="000A25C2" w:rsidP="00C363D3">
      <w:pPr>
        <w:spacing w:after="0"/>
        <w:jc w:val="both"/>
        <w:rPr>
          <w:rFonts w:ascii="Times New Roman" w:hAnsi="Times New Roman" w:cs="Times New Roman"/>
          <w:sz w:val="24"/>
          <w:szCs w:val="24"/>
        </w:rPr>
      </w:pPr>
      <w:r w:rsidRPr="000A25C2">
        <w:rPr>
          <w:rFonts w:ascii="Times New Roman" w:hAnsi="Times New Roman" w:cs="Times New Roman"/>
          <w:sz w:val="24"/>
          <w:szCs w:val="24"/>
        </w:rPr>
        <w:t>Temat dostępności poruszany był łącznie w ponad 10 audycjach radiowych emitowanych w Programie 1 i 3 Polskiego Radia, TOK FM  oraz Radio ZET. Zakres tematyczny audycji obejmował przede wszystkim kwestie realizacji Programu Dostępność Plus, funduszy europejskich na dostępność, innowacji społecznych oraz wsparcia dla osób ze szczególnymi potrzebami i seniorów. Jednocześnie w TV prezentowane były audycje lub felietony dotyczące m.in. projektów współfinansowanych z funduszy europejskich wspierających dostępność oraz dostępnej turystyki i innowacji społecznych. Spot  o ustawie o zapewnianiu dostępności osobom ze szczególnymi potrzebami prezentował w jaki sposób nowe przepisy wpłyną na jakość życia osób starszych</w:t>
      </w:r>
      <w:r w:rsidR="001B0FA2">
        <w:rPr>
          <w:rStyle w:val="Odwoanieprzypisudolnego"/>
          <w:rFonts w:ascii="Times New Roman" w:hAnsi="Times New Roman" w:cs="Times New Roman"/>
          <w:sz w:val="24"/>
          <w:szCs w:val="24"/>
        </w:rPr>
        <w:footnoteReference w:id="40"/>
      </w:r>
      <w:r w:rsidR="001B0FA2">
        <w:rPr>
          <w:rFonts w:ascii="Times New Roman" w:hAnsi="Times New Roman" w:cs="Times New Roman"/>
          <w:sz w:val="24"/>
          <w:szCs w:val="24"/>
        </w:rPr>
        <w:t xml:space="preserve">. </w:t>
      </w:r>
    </w:p>
    <w:p w14:paraId="37A4EEF2" w14:textId="77777777" w:rsidR="000A25C2" w:rsidRDefault="000A25C2" w:rsidP="003C1988">
      <w:pPr>
        <w:spacing w:after="0"/>
        <w:rPr>
          <w:rFonts w:ascii="Times New Roman" w:hAnsi="Times New Roman" w:cs="Times New Roman"/>
          <w:sz w:val="24"/>
          <w:szCs w:val="24"/>
        </w:rPr>
      </w:pPr>
    </w:p>
    <w:p w14:paraId="4D6F910E" w14:textId="77777777" w:rsidR="000A25C2" w:rsidRPr="00287912" w:rsidRDefault="001B0FA2" w:rsidP="001B0FA2">
      <w:pPr>
        <w:spacing w:after="0"/>
        <w:jc w:val="both"/>
        <w:rPr>
          <w:rFonts w:ascii="Times New Roman" w:hAnsi="Times New Roman" w:cs="Times New Roman"/>
          <w:b/>
          <w:color w:val="00B0F0"/>
          <w:sz w:val="24"/>
          <w:szCs w:val="24"/>
        </w:rPr>
      </w:pPr>
      <w:r w:rsidRPr="00287912">
        <w:rPr>
          <w:rFonts w:ascii="Times New Roman" w:hAnsi="Times New Roman" w:cs="Times New Roman"/>
          <w:b/>
          <w:color w:val="00B0F0"/>
          <w:sz w:val="24"/>
          <w:szCs w:val="24"/>
        </w:rPr>
        <w:t>Program Operacyjny Polska Wschodnia</w:t>
      </w:r>
    </w:p>
    <w:p w14:paraId="4C1CA971" w14:textId="77777777" w:rsidR="000A25C2" w:rsidRPr="000A25C2" w:rsidRDefault="000A25C2" w:rsidP="001B0FA2">
      <w:pPr>
        <w:spacing w:after="0"/>
        <w:jc w:val="both"/>
        <w:rPr>
          <w:rFonts w:ascii="Times New Roman" w:eastAsia="@Arial Unicode MS" w:hAnsi="Times New Roman" w:cs="Times New Roman"/>
          <w:sz w:val="24"/>
          <w:szCs w:val="24"/>
        </w:rPr>
      </w:pPr>
      <w:r w:rsidRPr="000A25C2">
        <w:rPr>
          <w:rFonts w:ascii="Times New Roman" w:eastAsia="@Arial Unicode MS" w:hAnsi="Times New Roman" w:cs="Times New Roman"/>
          <w:sz w:val="24"/>
          <w:szCs w:val="24"/>
        </w:rPr>
        <w:t xml:space="preserve">W 2019 r. w POPW nie realizowano inicjatyw bezpośrednio powiązanych z działaniami określonymi w </w:t>
      </w:r>
      <w:r w:rsidRPr="000A25C2">
        <w:rPr>
          <w:rFonts w:ascii="Times New Roman" w:eastAsia="@Arial Unicode MS" w:hAnsi="Times New Roman" w:cs="Times New Roman"/>
          <w:i/>
          <w:iCs/>
          <w:sz w:val="24"/>
          <w:szCs w:val="24"/>
        </w:rPr>
        <w:t xml:space="preserve">Polityce społecznej wobec osób starszych 2030. </w:t>
      </w:r>
      <w:r w:rsidRPr="000A25C2">
        <w:rPr>
          <w:rFonts w:ascii="Times New Roman" w:eastAsia="@Arial Unicode MS" w:hAnsi="Times New Roman" w:cs="Times New Roman"/>
          <w:sz w:val="24"/>
          <w:szCs w:val="24"/>
        </w:rPr>
        <w:t xml:space="preserve">Niemniej jednak w POPW są realizowane projekty przez przedsiębiorców wpisujące się w następujące obszary wsparcia zidentyfikowane w ww. </w:t>
      </w:r>
      <w:r w:rsidRPr="000A25C2">
        <w:rPr>
          <w:rFonts w:ascii="Times New Roman" w:eastAsia="@Arial Unicode MS" w:hAnsi="Times New Roman" w:cs="Times New Roman"/>
          <w:i/>
          <w:sz w:val="24"/>
          <w:szCs w:val="24"/>
        </w:rPr>
        <w:t>Polityce społecznej</w:t>
      </w:r>
      <w:r w:rsidRPr="000A25C2">
        <w:rPr>
          <w:rFonts w:ascii="Times New Roman" w:eastAsia="@Arial Unicode MS" w:hAnsi="Times New Roman" w:cs="Times New Roman"/>
          <w:sz w:val="24"/>
          <w:szCs w:val="24"/>
        </w:rPr>
        <w:t>:</w:t>
      </w:r>
    </w:p>
    <w:p w14:paraId="029D2859" w14:textId="77777777" w:rsidR="001B0FA2" w:rsidRPr="001B0FA2" w:rsidRDefault="000A25C2" w:rsidP="008C71A9">
      <w:pPr>
        <w:pStyle w:val="Akapitzlist"/>
        <w:numPr>
          <w:ilvl w:val="0"/>
          <w:numId w:val="336"/>
        </w:numPr>
        <w:spacing w:after="0"/>
        <w:ind w:left="360"/>
        <w:jc w:val="both"/>
        <w:rPr>
          <w:rStyle w:val="st"/>
          <w:rFonts w:ascii="Times New Roman" w:eastAsia="@Arial Unicode MS" w:hAnsi="Times New Roman" w:cs="Times New Roman"/>
          <w:sz w:val="24"/>
          <w:szCs w:val="24"/>
        </w:rPr>
      </w:pPr>
      <w:r w:rsidRPr="001B0FA2">
        <w:rPr>
          <w:rFonts w:ascii="Times New Roman" w:eastAsia="@Arial Unicode MS" w:hAnsi="Times New Roman" w:cs="Times New Roman"/>
          <w:sz w:val="24"/>
          <w:szCs w:val="24"/>
        </w:rPr>
        <w:lastRenderedPageBreak/>
        <w:t xml:space="preserve">Ograniczanie hospitalizacji do niezbędnego minimum, w tym: tworzenie rozwiązań na rzecz wzmocnienia dziennej rehabilitacji (fizjoterapia, terapia zajęciowa i terapia psychologiczna, w tym terapia zaburzeń funkcji poznawczych) – projekty z działania 1.3 POPW </w:t>
      </w:r>
      <w:r w:rsidRPr="001B0FA2">
        <w:rPr>
          <w:rStyle w:val="st"/>
          <w:rFonts w:ascii="Times New Roman" w:hAnsi="Times New Roman" w:cs="Times New Roman"/>
          <w:i/>
          <w:sz w:val="24"/>
          <w:szCs w:val="24"/>
        </w:rPr>
        <w:t>Ponadregionalne powiązania kooperacyjne</w:t>
      </w:r>
    </w:p>
    <w:p w14:paraId="62219F11" w14:textId="77777777" w:rsidR="001B0FA2" w:rsidRPr="001B0FA2" w:rsidRDefault="000A25C2" w:rsidP="008C71A9">
      <w:pPr>
        <w:pStyle w:val="Akapitzlist"/>
        <w:numPr>
          <w:ilvl w:val="0"/>
          <w:numId w:val="336"/>
        </w:numPr>
        <w:spacing w:after="0"/>
        <w:ind w:left="360"/>
        <w:jc w:val="both"/>
        <w:rPr>
          <w:rStyle w:val="st"/>
          <w:rFonts w:ascii="Times New Roman" w:eastAsia="@Arial Unicode MS" w:hAnsi="Times New Roman" w:cs="Times New Roman"/>
          <w:sz w:val="24"/>
          <w:szCs w:val="24"/>
        </w:rPr>
      </w:pPr>
      <w:r w:rsidRPr="001B0FA2">
        <w:rPr>
          <w:rFonts w:ascii="Times New Roman" w:eastAsia="@Arial Unicode MS" w:hAnsi="Times New Roman" w:cs="Times New Roman"/>
          <w:sz w:val="24"/>
          <w:szCs w:val="24"/>
        </w:rPr>
        <w:t xml:space="preserve">Tworzenie i wzmacnianie, na poziomie lokalnym, infrastruktury skierowanej do osób starszych takiej jak: placówki dziennego pobytu (domy, kluby, świetlice), prowadzące działania na rzecz integracji międzypokoleniowej – projekty z działania 1.3 POPW </w:t>
      </w:r>
      <w:r w:rsidRPr="001B0FA2">
        <w:rPr>
          <w:rStyle w:val="st"/>
          <w:rFonts w:ascii="Times New Roman" w:hAnsi="Times New Roman" w:cs="Times New Roman"/>
          <w:i/>
          <w:sz w:val="24"/>
          <w:szCs w:val="24"/>
        </w:rPr>
        <w:t>Ponadregionalne powiązania kooperacyjne</w:t>
      </w:r>
    </w:p>
    <w:p w14:paraId="3EE04CFC" w14:textId="77777777" w:rsidR="001B0FA2" w:rsidRPr="001B0FA2" w:rsidRDefault="000A25C2" w:rsidP="008C71A9">
      <w:pPr>
        <w:pStyle w:val="Akapitzlist"/>
        <w:numPr>
          <w:ilvl w:val="0"/>
          <w:numId w:val="336"/>
        </w:numPr>
        <w:spacing w:after="0"/>
        <w:ind w:left="360"/>
        <w:jc w:val="both"/>
        <w:rPr>
          <w:rStyle w:val="st"/>
          <w:rFonts w:ascii="Times New Roman" w:eastAsia="@Arial Unicode MS" w:hAnsi="Times New Roman" w:cs="Times New Roman"/>
          <w:sz w:val="24"/>
          <w:szCs w:val="24"/>
        </w:rPr>
      </w:pPr>
      <w:r w:rsidRPr="001B0FA2">
        <w:rPr>
          <w:rFonts w:ascii="Times New Roman" w:eastAsia="@Arial Unicode MS" w:hAnsi="Times New Roman" w:cs="Times New Roman"/>
          <w:sz w:val="24"/>
          <w:szCs w:val="24"/>
        </w:rPr>
        <w:t xml:space="preserve">Wspieranie opracowywania oraz upowszechniania innowacyjnych rozwiązań i technologii w obszarze zdrowia i telemedycyny – projekty z działania 1.1 POPW </w:t>
      </w:r>
      <w:r w:rsidRPr="001B0FA2">
        <w:rPr>
          <w:rStyle w:val="st"/>
          <w:rFonts w:ascii="Times New Roman" w:hAnsi="Times New Roman" w:cs="Times New Roman"/>
          <w:i/>
          <w:sz w:val="24"/>
          <w:szCs w:val="24"/>
        </w:rPr>
        <w:t>Platformy startowe dla nowych pomysłów</w:t>
      </w:r>
    </w:p>
    <w:p w14:paraId="3DF6290D" w14:textId="77777777" w:rsidR="000A25C2" w:rsidRPr="001B0FA2" w:rsidRDefault="000A25C2" w:rsidP="008C71A9">
      <w:pPr>
        <w:pStyle w:val="Akapitzlist"/>
        <w:numPr>
          <w:ilvl w:val="0"/>
          <w:numId w:val="336"/>
        </w:numPr>
        <w:spacing w:after="0"/>
        <w:ind w:left="360"/>
        <w:jc w:val="both"/>
        <w:rPr>
          <w:rFonts w:ascii="Times New Roman" w:eastAsia="@Arial Unicode MS" w:hAnsi="Times New Roman" w:cs="Times New Roman"/>
          <w:sz w:val="24"/>
          <w:szCs w:val="24"/>
        </w:rPr>
      </w:pPr>
      <w:r w:rsidRPr="001B0FA2">
        <w:rPr>
          <w:rFonts w:ascii="Times New Roman" w:eastAsia="@Arial Unicode MS" w:hAnsi="Times New Roman" w:cs="Times New Roman"/>
          <w:sz w:val="24"/>
          <w:szCs w:val="24"/>
        </w:rPr>
        <w:t xml:space="preserve">Włączenie osób starszych do udziału w działaniach na rzecz integracji społeczności lokalnej, w tym: rozpowszechnienie informacji o wydarzeniach lokalnych wśród osób starszych i podmiotów docierających do osób starszych oraz upowszechnianie darmowego transportu dla osób niemobilnych w trakcie wydarzeń lokalnych w celu umożliwienia im czynnego uczestnictwa w wydarzeniach integrujących społeczność lokalną – pośrednio wpisują się w ten obszar projekty z działania 2.1 POPW </w:t>
      </w:r>
      <w:r w:rsidRPr="001B0FA2">
        <w:rPr>
          <w:rFonts w:ascii="Times New Roman" w:eastAsia="@Arial Unicode MS" w:hAnsi="Times New Roman" w:cs="Times New Roman"/>
          <w:i/>
          <w:sz w:val="24"/>
          <w:szCs w:val="24"/>
        </w:rPr>
        <w:t>Zrównoważony transport miejski</w:t>
      </w:r>
      <w:r w:rsidRPr="001B0FA2">
        <w:rPr>
          <w:rFonts w:ascii="Times New Roman" w:eastAsia="@Arial Unicode MS" w:hAnsi="Times New Roman" w:cs="Times New Roman"/>
          <w:sz w:val="24"/>
          <w:szCs w:val="24"/>
        </w:rPr>
        <w:t>, w ramach których samorządy zakupują m.in. niskopodłogowy tabor (autobusy, trolejbusy i tramwaje), które ułatwiają prz</w:t>
      </w:r>
      <w:r w:rsidR="001B0FA2">
        <w:rPr>
          <w:rFonts w:ascii="Times New Roman" w:eastAsia="@Arial Unicode MS" w:hAnsi="Times New Roman" w:cs="Times New Roman"/>
          <w:sz w:val="24"/>
          <w:szCs w:val="24"/>
        </w:rPr>
        <w:t xml:space="preserve">emieszczanie się również osobom </w:t>
      </w:r>
      <w:r w:rsidRPr="001B0FA2">
        <w:rPr>
          <w:rFonts w:ascii="Times New Roman" w:eastAsia="@Arial Unicode MS" w:hAnsi="Times New Roman" w:cs="Times New Roman"/>
          <w:sz w:val="24"/>
          <w:szCs w:val="24"/>
        </w:rPr>
        <w:t>z niepełnosprawnościami, w tym osobom starszym np. o kulach. Projekty te pozytywnie wpływają na realizację zasad dostępności dla wszystkich, w tym osób w starszym wieku.</w:t>
      </w:r>
    </w:p>
    <w:p w14:paraId="2791B8D5" w14:textId="77777777" w:rsidR="001B0FA2" w:rsidRDefault="001B0FA2" w:rsidP="001B0FA2">
      <w:pPr>
        <w:spacing w:after="0"/>
        <w:jc w:val="both"/>
        <w:rPr>
          <w:rFonts w:ascii="Times New Roman" w:eastAsia="@Arial Unicode MS" w:hAnsi="Times New Roman" w:cs="Times New Roman"/>
          <w:sz w:val="24"/>
          <w:szCs w:val="24"/>
        </w:rPr>
      </w:pPr>
    </w:p>
    <w:p w14:paraId="1C6C8671" w14:textId="77777777" w:rsidR="000A25C2" w:rsidRPr="000A25C2" w:rsidRDefault="000A25C2" w:rsidP="001B0FA2">
      <w:pPr>
        <w:spacing w:after="0"/>
        <w:jc w:val="both"/>
        <w:rPr>
          <w:rFonts w:ascii="Times New Roman" w:eastAsia="@Arial Unicode MS" w:hAnsi="Times New Roman" w:cs="Times New Roman"/>
          <w:sz w:val="24"/>
          <w:szCs w:val="24"/>
        </w:rPr>
      </w:pPr>
      <w:r w:rsidRPr="000A25C2">
        <w:rPr>
          <w:rFonts w:ascii="Times New Roman" w:eastAsia="@Arial Unicode MS" w:hAnsi="Times New Roman" w:cs="Times New Roman"/>
          <w:sz w:val="24"/>
          <w:szCs w:val="24"/>
        </w:rPr>
        <w:t xml:space="preserve">W POPW są także realizowane projekty spełniające standardy dostępności, choć nie można ich bezpośrednio powiązać z działaniami określonymi w </w:t>
      </w:r>
      <w:r w:rsidRPr="000A25C2">
        <w:rPr>
          <w:rFonts w:ascii="Times New Roman" w:hAnsi="Times New Roman" w:cs="Times New Roman"/>
          <w:i/>
          <w:iCs/>
          <w:color w:val="000000"/>
          <w:sz w:val="24"/>
          <w:szCs w:val="24"/>
        </w:rPr>
        <w:t>Polityce społecznej wobec osób starszych 2030. Bezpieczeństwo – Uczestnictwo – Solidarność</w:t>
      </w:r>
      <w:r w:rsidRPr="000A25C2">
        <w:rPr>
          <w:rFonts w:ascii="Times New Roman" w:hAnsi="Times New Roman" w:cs="Times New Roman"/>
          <w:iCs/>
          <w:color w:val="000000"/>
          <w:sz w:val="24"/>
          <w:szCs w:val="24"/>
        </w:rPr>
        <w:t>. Są to</w:t>
      </w:r>
      <w:r w:rsidRPr="000A25C2">
        <w:rPr>
          <w:rFonts w:ascii="Times New Roman" w:hAnsi="Times New Roman" w:cs="Times New Roman"/>
          <w:i/>
          <w:iCs/>
          <w:color w:val="000000"/>
          <w:sz w:val="24"/>
          <w:szCs w:val="24"/>
        </w:rPr>
        <w:t xml:space="preserve"> </w:t>
      </w:r>
      <w:r w:rsidRPr="000A25C2">
        <w:rPr>
          <w:rFonts w:ascii="Times New Roman" w:hAnsi="Times New Roman" w:cs="Times New Roman"/>
          <w:iCs/>
          <w:color w:val="000000"/>
          <w:sz w:val="24"/>
          <w:szCs w:val="24"/>
        </w:rPr>
        <w:t>projekty z:</w:t>
      </w:r>
    </w:p>
    <w:p w14:paraId="0A6E6656" w14:textId="77777777" w:rsidR="000A25C2" w:rsidRPr="001B0FA2" w:rsidRDefault="000A25C2" w:rsidP="008C71A9">
      <w:pPr>
        <w:pStyle w:val="Akapitzlist"/>
        <w:numPr>
          <w:ilvl w:val="0"/>
          <w:numId w:val="337"/>
        </w:numPr>
        <w:spacing w:after="0"/>
        <w:ind w:left="360"/>
        <w:jc w:val="both"/>
        <w:rPr>
          <w:rFonts w:ascii="Times New Roman" w:eastAsia="@Arial Unicode MS" w:hAnsi="Times New Roman" w:cs="Times New Roman"/>
          <w:sz w:val="24"/>
          <w:szCs w:val="24"/>
        </w:rPr>
      </w:pPr>
      <w:r w:rsidRPr="001B0FA2">
        <w:rPr>
          <w:rFonts w:ascii="Times New Roman" w:eastAsia="@Arial Unicode MS" w:hAnsi="Times New Roman" w:cs="Times New Roman"/>
          <w:sz w:val="24"/>
          <w:szCs w:val="24"/>
        </w:rPr>
        <w:t xml:space="preserve">działania 2.2 POPW </w:t>
      </w:r>
      <w:r w:rsidRPr="001B0FA2">
        <w:rPr>
          <w:rFonts w:ascii="Times New Roman" w:eastAsia="@Arial Unicode MS" w:hAnsi="Times New Roman" w:cs="Times New Roman"/>
          <w:i/>
          <w:sz w:val="24"/>
          <w:szCs w:val="24"/>
        </w:rPr>
        <w:t>Infrastruktura drogowa</w:t>
      </w:r>
      <w:r w:rsidRPr="001B0FA2">
        <w:rPr>
          <w:rFonts w:ascii="Times New Roman" w:eastAsia="@Arial Unicode MS" w:hAnsi="Times New Roman" w:cs="Times New Roman"/>
          <w:sz w:val="24"/>
          <w:szCs w:val="24"/>
        </w:rPr>
        <w:t>, w których przewidziano m.in.</w:t>
      </w:r>
      <w:r w:rsidR="00586AB3" w:rsidRPr="001B0FA2">
        <w:rPr>
          <w:rFonts w:ascii="Times New Roman" w:eastAsia="@Arial Unicode MS" w:hAnsi="Times New Roman" w:cs="Times New Roman"/>
          <w:sz w:val="24"/>
          <w:szCs w:val="24"/>
        </w:rPr>
        <w:t xml:space="preserve"> działania na rzecz osób</w:t>
      </w:r>
      <w:r w:rsidR="006C404F">
        <w:rPr>
          <w:rFonts w:ascii="Times New Roman" w:eastAsia="@Arial Unicode MS" w:hAnsi="Times New Roman" w:cs="Times New Roman"/>
          <w:sz w:val="24"/>
          <w:szCs w:val="24"/>
        </w:rPr>
        <w:t xml:space="preserve"> </w:t>
      </w:r>
      <w:r w:rsidRPr="001B0FA2">
        <w:rPr>
          <w:rFonts w:ascii="Times New Roman" w:eastAsia="@Arial Unicode MS" w:hAnsi="Times New Roman" w:cs="Times New Roman"/>
          <w:sz w:val="24"/>
          <w:szCs w:val="24"/>
        </w:rPr>
        <w:t xml:space="preserve">z niepełnosprawnościami, wśród których znajdują się liczne osoby starsze: </w:t>
      </w:r>
    </w:p>
    <w:p w14:paraId="48589715" w14:textId="77777777" w:rsidR="006C404F" w:rsidRDefault="000A25C2" w:rsidP="008C71A9">
      <w:pPr>
        <w:pStyle w:val="Akapitzlist"/>
        <w:numPr>
          <w:ilvl w:val="0"/>
          <w:numId w:val="338"/>
        </w:numPr>
        <w:spacing w:after="0"/>
        <w:ind w:left="643"/>
        <w:jc w:val="both"/>
        <w:rPr>
          <w:rFonts w:ascii="Times New Roman" w:eastAsia="@Arial Unicode MS" w:hAnsi="Times New Roman" w:cs="Times New Roman"/>
          <w:sz w:val="24"/>
          <w:szCs w:val="24"/>
        </w:rPr>
      </w:pPr>
      <w:r w:rsidRPr="006C404F">
        <w:rPr>
          <w:rFonts w:ascii="Times New Roman" w:eastAsia="@Arial Unicode MS" w:hAnsi="Times New Roman" w:cs="Times New Roman"/>
          <w:sz w:val="24"/>
          <w:szCs w:val="24"/>
        </w:rPr>
        <w:t>dostosowanie miejsc przejść dla pieszych i przystanków autobusowych zlokalizowanych wzdłuż projektowanych odcinków dróg, do obsługi przez osoby na wózkach poprzez obniżenie krawężników przy przejściach dla pieszych do poziomu jezdni w celu bezpiecznego przejazdu osób poruszających się na wózku</w:t>
      </w:r>
    </w:p>
    <w:p w14:paraId="09A8D00E" w14:textId="77777777" w:rsidR="006C404F" w:rsidRDefault="000A25C2" w:rsidP="008C71A9">
      <w:pPr>
        <w:pStyle w:val="Akapitzlist"/>
        <w:numPr>
          <w:ilvl w:val="0"/>
          <w:numId w:val="338"/>
        </w:numPr>
        <w:spacing w:after="0"/>
        <w:ind w:left="643"/>
        <w:jc w:val="both"/>
        <w:rPr>
          <w:rFonts w:ascii="Times New Roman" w:eastAsia="@Arial Unicode MS" w:hAnsi="Times New Roman" w:cs="Times New Roman"/>
          <w:sz w:val="24"/>
          <w:szCs w:val="24"/>
        </w:rPr>
      </w:pPr>
      <w:r w:rsidRPr="006C404F">
        <w:rPr>
          <w:rFonts w:ascii="Times New Roman" w:eastAsia="@Arial Unicode MS" w:hAnsi="Times New Roman" w:cs="Times New Roman"/>
          <w:sz w:val="24"/>
          <w:szCs w:val="24"/>
        </w:rPr>
        <w:t>zastosowanie rzędów płytek betonowych z wypustkami, które dzięki specjalnie ukształtowanym powierzchniom rozpoznawalne będą dotykowo w celu ułatwienia przemieszczania się osób niewidomych i niedowidzących.</w:t>
      </w:r>
    </w:p>
    <w:p w14:paraId="2C42713E" w14:textId="77777777" w:rsidR="006C404F" w:rsidRPr="00AF051D" w:rsidRDefault="000A25C2" w:rsidP="00AF051D">
      <w:pPr>
        <w:pStyle w:val="Akapitzlist"/>
        <w:numPr>
          <w:ilvl w:val="0"/>
          <w:numId w:val="337"/>
        </w:numPr>
        <w:spacing w:after="0"/>
        <w:ind w:left="360"/>
        <w:jc w:val="both"/>
        <w:rPr>
          <w:rFonts w:ascii="Times New Roman" w:eastAsia="@Arial Unicode MS" w:hAnsi="Times New Roman" w:cs="Times New Roman"/>
          <w:sz w:val="24"/>
          <w:szCs w:val="24"/>
        </w:rPr>
      </w:pPr>
      <w:r w:rsidRPr="006C404F">
        <w:rPr>
          <w:rFonts w:ascii="Times New Roman" w:eastAsia="@Arial Unicode MS" w:hAnsi="Times New Roman" w:cs="Times New Roman"/>
          <w:sz w:val="24"/>
          <w:szCs w:val="24"/>
        </w:rPr>
        <w:t xml:space="preserve">działania 3.1 POPW </w:t>
      </w:r>
      <w:r w:rsidRPr="006C404F">
        <w:rPr>
          <w:rFonts w:ascii="Times New Roman" w:eastAsia="@Arial Unicode MS" w:hAnsi="Times New Roman" w:cs="Times New Roman"/>
          <w:i/>
          <w:sz w:val="24"/>
          <w:szCs w:val="24"/>
        </w:rPr>
        <w:t>Ponadregionalna infrastruktura kolejowa</w:t>
      </w:r>
      <w:r w:rsidRPr="006C404F">
        <w:rPr>
          <w:rFonts w:ascii="Times New Roman" w:eastAsia="@Arial Unicode MS" w:hAnsi="Times New Roman" w:cs="Times New Roman"/>
          <w:sz w:val="24"/>
          <w:szCs w:val="24"/>
        </w:rPr>
        <w:t xml:space="preserve"> – w ich ramach są zmodernizowane, dobrze oświetlone perony i wyposażone w ławki i wiaty. Przygotowano czytelne oznakowanie oraz informację pasażerską. Wszystkie obiekty są podwyższone, ułatwiają wsiadanie i wysiadanie z pociągu. Przewidziano również ułożenie antypoślizgowej nawierzchni ze ścieżkami naprowadzającymi, wybudowano pochylnie dla osób o ograniczonych możliwościach poruszania się.</w:t>
      </w:r>
    </w:p>
    <w:p w14:paraId="0BFF2E4B" w14:textId="77777777" w:rsidR="00151065" w:rsidRPr="00AF051D" w:rsidRDefault="0087360D" w:rsidP="00835584">
      <w:pPr>
        <w:pStyle w:val="Nagwek2"/>
        <w:numPr>
          <w:ilvl w:val="1"/>
          <w:numId w:val="383"/>
        </w:numPr>
        <w:spacing w:before="240" w:after="240"/>
        <w:ind w:left="0" w:hanging="142"/>
        <w:rPr>
          <w:rFonts w:cs="Times New Roman"/>
          <w:sz w:val="40"/>
          <w:lang w:eastAsia="ar-SA"/>
        </w:rPr>
      </w:pPr>
      <w:bookmarkStart w:id="90" w:name="_Toc49171348"/>
      <w:r w:rsidRPr="00AF051D">
        <w:rPr>
          <w:rFonts w:cs="Times New Roman"/>
          <w:sz w:val="40"/>
          <w:lang w:eastAsia="ar-SA"/>
        </w:rPr>
        <w:lastRenderedPageBreak/>
        <w:t>Minis</w:t>
      </w:r>
      <w:r w:rsidR="00AF051D">
        <w:rPr>
          <w:rFonts w:cs="Times New Roman"/>
          <w:sz w:val="40"/>
          <w:lang w:eastAsia="ar-SA"/>
        </w:rPr>
        <w:t>ter</w:t>
      </w:r>
      <w:r w:rsidRPr="00AF051D">
        <w:rPr>
          <w:rFonts w:cs="Times New Roman"/>
          <w:sz w:val="40"/>
          <w:lang w:eastAsia="ar-SA"/>
        </w:rPr>
        <w:t>stwo</w:t>
      </w:r>
      <w:r w:rsidR="00475EFA" w:rsidRPr="00AF051D">
        <w:rPr>
          <w:rFonts w:cs="Times New Roman"/>
          <w:sz w:val="40"/>
          <w:lang w:eastAsia="ar-SA"/>
        </w:rPr>
        <w:t xml:space="preserve"> Cyfryzacji</w:t>
      </w:r>
      <w:bookmarkEnd w:id="90"/>
    </w:p>
    <w:p w14:paraId="1AE5887F" w14:textId="652C92FF" w:rsidR="00287912" w:rsidRPr="00151065" w:rsidRDefault="00151065" w:rsidP="00AF051D">
      <w:pPr>
        <w:autoSpaceDE w:val="0"/>
        <w:autoSpaceDN w:val="0"/>
        <w:adjustRightInd w:val="0"/>
        <w:spacing w:after="0"/>
        <w:jc w:val="both"/>
        <w:rPr>
          <w:rFonts w:ascii="Times New Roman" w:hAnsi="Times New Roman" w:cs="Times New Roman"/>
          <w:sz w:val="24"/>
          <w:szCs w:val="24"/>
        </w:rPr>
      </w:pPr>
      <w:r w:rsidRPr="00151065">
        <w:rPr>
          <w:rFonts w:ascii="Times New Roman" w:hAnsi="Times New Roman" w:cs="Times New Roman"/>
          <w:sz w:val="24"/>
          <w:szCs w:val="24"/>
        </w:rPr>
        <w:t>Prezentowane informacje i usługi w</w:t>
      </w:r>
      <w:r>
        <w:rPr>
          <w:rFonts w:ascii="Times New Roman" w:hAnsi="Times New Roman" w:cs="Times New Roman"/>
          <w:sz w:val="24"/>
          <w:szCs w:val="24"/>
        </w:rPr>
        <w:t xml:space="preserve"> serwisie GOV.PL przygotowywane </w:t>
      </w:r>
      <w:r w:rsidRPr="00151065">
        <w:rPr>
          <w:rFonts w:ascii="Times New Roman" w:hAnsi="Times New Roman" w:cs="Times New Roman"/>
          <w:sz w:val="24"/>
          <w:szCs w:val="24"/>
        </w:rPr>
        <w:t>były i nadal są przygotowywane pod kątem osó</w:t>
      </w:r>
      <w:r>
        <w:rPr>
          <w:rFonts w:ascii="Times New Roman" w:hAnsi="Times New Roman" w:cs="Times New Roman"/>
          <w:sz w:val="24"/>
          <w:szCs w:val="24"/>
        </w:rPr>
        <w:t xml:space="preserve">b starszych zarówno na poziomie </w:t>
      </w:r>
      <w:r w:rsidRPr="00151065">
        <w:rPr>
          <w:rFonts w:ascii="Times New Roman" w:hAnsi="Times New Roman" w:cs="Times New Roman"/>
          <w:sz w:val="24"/>
          <w:szCs w:val="24"/>
        </w:rPr>
        <w:t>technicznym - dającym możliwość obsługi za pomocą mys</w:t>
      </w:r>
      <w:r>
        <w:rPr>
          <w:rFonts w:ascii="Times New Roman" w:hAnsi="Times New Roman" w:cs="Times New Roman"/>
          <w:sz w:val="24"/>
          <w:szCs w:val="24"/>
        </w:rPr>
        <w:t xml:space="preserve">zy i klawiatury, jak również na </w:t>
      </w:r>
      <w:r w:rsidRPr="00151065">
        <w:rPr>
          <w:rFonts w:ascii="Times New Roman" w:hAnsi="Times New Roman" w:cs="Times New Roman"/>
          <w:sz w:val="24"/>
          <w:szCs w:val="24"/>
        </w:rPr>
        <w:t xml:space="preserve">poziomie funkcjonalnym - wspomagającym zrozumienie treści </w:t>
      </w:r>
      <w:r>
        <w:rPr>
          <w:rFonts w:ascii="Times New Roman" w:hAnsi="Times New Roman" w:cs="Times New Roman"/>
          <w:sz w:val="24"/>
          <w:szCs w:val="24"/>
        </w:rPr>
        <w:t xml:space="preserve">dla tych seniorów, którzy </w:t>
      </w:r>
      <w:r w:rsidRPr="00151065">
        <w:rPr>
          <w:rFonts w:ascii="Times New Roman" w:hAnsi="Times New Roman" w:cs="Times New Roman"/>
          <w:sz w:val="24"/>
          <w:szCs w:val="24"/>
        </w:rPr>
        <w:t>dopiero rozpoczynają pracę z Internetem. Specjalista d</w:t>
      </w:r>
      <w:r>
        <w:rPr>
          <w:rFonts w:ascii="Times New Roman" w:hAnsi="Times New Roman" w:cs="Times New Roman"/>
          <w:sz w:val="24"/>
          <w:szCs w:val="24"/>
        </w:rPr>
        <w:t xml:space="preserve">o spraw dostępności cyfrowej na </w:t>
      </w:r>
      <w:r w:rsidRPr="00151065">
        <w:rPr>
          <w:rFonts w:ascii="Times New Roman" w:hAnsi="Times New Roman" w:cs="Times New Roman"/>
          <w:sz w:val="24"/>
          <w:szCs w:val="24"/>
        </w:rPr>
        <w:t>bieżąco monitoruje techniczną i funkcjonalną obsługę s</w:t>
      </w:r>
      <w:r>
        <w:rPr>
          <w:rFonts w:ascii="Times New Roman" w:hAnsi="Times New Roman" w:cs="Times New Roman"/>
          <w:sz w:val="24"/>
          <w:szCs w:val="24"/>
        </w:rPr>
        <w:t xml:space="preserve">erwisu GOV.PL również pod kątem </w:t>
      </w:r>
      <w:r w:rsidRPr="00151065">
        <w:rPr>
          <w:rFonts w:ascii="Times New Roman" w:hAnsi="Times New Roman" w:cs="Times New Roman"/>
          <w:sz w:val="24"/>
          <w:szCs w:val="24"/>
        </w:rPr>
        <w:t>osób starszych pod względem problemów w dostępie do inform</w:t>
      </w:r>
      <w:r w:rsidR="00AF051D">
        <w:rPr>
          <w:rFonts w:ascii="Times New Roman" w:hAnsi="Times New Roman" w:cs="Times New Roman"/>
          <w:sz w:val="24"/>
          <w:szCs w:val="24"/>
        </w:rPr>
        <w:t>acji tej grupy użytkowników.</w:t>
      </w:r>
    </w:p>
    <w:p w14:paraId="72B23D16" w14:textId="77777777" w:rsidR="00A9797A" w:rsidRPr="00AF051D" w:rsidRDefault="00A9797A" w:rsidP="00835584">
      <w:pPr>
        <w:pStyle w:val="Nagwek2"/>
        <w:numPr>
          <w:ilvl w:val="1"/>
          <w:numId w:val="383"/>
        </w:numPr>
        <w:spacing w:before="240" w:after="240"/>
        <w:ind w:left="432" w:hanging="574"/>
        <w:rPr>
          <w:rFonts w:cs="Times New Roman"/>
          <w:sz w:val="40"/>
          <w:lang w:eastAsia="ar-SA"/>
        </w:rPr>
      </w:pPr>
      <w:bookmarkStart w:id="91" w:name="_Toc49171349"/>
      <w:r w:rsidRPr="00AF051D">
        <w:rPr>
          <w:rFonts w:cs="Times New Roman"/>
          <w:sz w:val="40"/>
          <w:lang w:eastAsia="ar-SA"/>
        </w:rPr>
        <w:t>Ministerstwo Sprawiedliwości</w:t>
      </w:r>
      <w:bookmarkStart w:id="92" w:name="bookmark2"/>
      <w:bookmarkEnd w:id="91"/>
    </w:p>
    <w:p w14:paraId="3ADE63BD" w14:textId="77777777" w:rsidR="00A9797A" w:rsidRPr="00287912" w:rsidRDefault="00A9797A" w:rsidP="00A9797A">
      <w:pPr>
        <w:pStyle w:val="Bezodstpw"/>
        <w:spacing w:line="276" w:lineRule="auto"/>
        <w:rPr>
          <w:rFonts w:ascii="Times New Roman" w:hAnsi="Times New Roman"/>
          <w:b/>
          <w:color w:val="00B0F0"/>
          <w:sz w:val="24"/>
          <w:szCs w:val="24"/>
        </w:rPr>
      </w:pPr>
      <w:r w:rsidRPr="007E10EC">
        <w:rPr>
          <w:rFonts w:ascii="Times New Roman" w:hAnsi="Times New Roman"/>
          <w:b/>
          <w:color w:val="00B0F0"/>
          <w:sz w:val="24"/>
          <w:szCs w:val="24"/>
        </w:rPr>
        <w:t>Działania analityczne i prace legislacyjne</w:t>
      </w:r>
      <w:bookmarkEnd w:id="92"/>
    </w:p>
    <w:p w14:paraId="00A50F1F" w14:textId="77777777" w:rsidR="00A9797A" w:rsidRDefault="00A9797A" w:rsidP="00A9797A">
      <w:pPr>
        <w:pStyle w:val="Bezodstpw"/>
        <w:spacing w:line="276" w:lineRule="auto"/>
        <w:jc w:val="both"/>
        <w:rPr>
          <w:rFonts w:ascii="Times New Roman" w:hAnsi="Times New Roman"/>
          <w:color w:val="000000"/>
          <w:sz w:val="24"/>
          <w:szCs w:val="24"/>
        </w:rPr>
      </w:pPr>
      <w:r w:rsidRPr="000F1E6D">
        <w:rPr>
          <w:rFonts w:ascii="Times New Roman" w:hAnsi="Times New Roman"/>
          <w:color w:val="000000"/>
          <w:sz w:val="24"/>
          <w:szCs w:val="24"/>
        </w:rPr>
        <w:t>Ministerstwo Sprawiedliwości dostrzegając istniejące zagrożenia dla grupy społecznej, jaką są osoby starsze oraz realizując ob</w:t>
      </w:r>
      <w:r>
        <w:rPr>
          <w:rFonts w:ascii="Times New Roman" w:hAnsi="Times New Roman"/>
          <w:color w:val="000000"/>
          <w:sz w:val="24"/>
          <w:szCs w:val="24"/>
        </w:rPr>
        <w:t xml:space="preserve">owiązek wynikający z dokumentu </w:t>
      </w:r>
      <w:r w:rsidRPr="00210FF0">
        <w:rPr>
          <w:rFonts w:ascii="Times New Roman" w:hAnsi="Times New Roman"/>
          <w:i/>
          <w:color w:val="000000"/>
          <w:sz w:val="24"/>
          <w:szCs w:val="24"/>
        </w:rPr>
        <w:t>Polityka społeczna wobec osób starszych do roku 2030. Bezpieczeństwo. Uczestnictwo. Solidarność</w:t>
      </w:r>
      <w:r w:rsidRPr="000F1E6D">
        <w:rPr>
          <w:rFonts w:ascii="Times New Roman" w:hAnsi="Times New Roman"/>
          <w:color w:val="000000"/>
          <w:sz w:val="24"/>
          <w:szCs w:val="24"/>
        </w:rPr>
        <w:t>, ogłoszone</w:t>
      </w:r>
      <w:r>
        <w:rPr>
          <w:rFonts w:ascii="Times New Roman" w:hAnsi="Times New Roman"/>
          <w:color w:val="000000"/>
          <w:sz w:val="24"/>
          <w:szCs w:val="24"/>
        </w:rPr>
        <w:t>go w Monitorze Polskim z dnia 30</w:t>
      </w:r>
      <w:r w:rsidRPr="000F1E6D">
        <w:rPr>
          <w:rFonts w:ascii="Times New Roman" w:hAnsi="Times New Roman"/>
          <w:color w:val="000000"/>
          <w:sz w:val="24"/>
          <w:szCs w:val="24"/>
        </w:rPr>
        <w:t xml:space="preserve"> listopada 2018 r. poz.1169, </w:t>
      </w:r>
      <w:r w:rsidRPr="000F1E6D">
        <w:rPr>
          <w:rFonts w:ascii="Times New Roman" w:hAnsi="Times New Roman"/>
          <w:sz w:val="24"/>
          <w:szCs w:val="24"/>
        </w:rPr>
        <w:t>podjęło w marcu</w:t>
      </w:r>
      <w:r w:rsidRPr="000F1E6D">
        <w:rPr>
          <w:rFonts w:ascii="Times New Roman" w:hAnsi="Times New Roman"/>
          <w:color w:val="000000"/>
          <w:sz w:val="24"/>
          <w:szCs w:val="24"/>
        </w:rPr>
        <w:t xml:space="preserve"> </w:t>
      </w:r>
      <w:r w:rsidRPr="000F1E6D">
        <w:rPr>
          <w:rFonts w:ascii="Times New Roman" w:hAnsi="Times New Roman"/>
          <w:sz w:val="24"/>
          <w:szCs w:val="24"/>
        </w:rPr>
        <w:t>2020 r. prace analityczne i projektowe dotyczące problematyki przekazywania przez</w:t>
      </w:r>
      <w:r w:rsidRPr="000F1E6D">
        <w:rPr>
          <w:rFonts w:ascii="Times New Roman" w:hAnsi="Times New Roman"/>
          <w:color w:val="000000"/>
          <w:sz w:val="24"/>
          <w:szCs w:val="24"/>
        </w:rPr>
        <w:t xml:space="preserve"> </w:t>
      </w:r>
      <w:r w:rsidRPr="000F1E6D">
        <w:rPr>
          <w:rFonts w:ascii="Times New Roman" w:hAnsi="Times New Roman"/>
          <w:sz w:val="24"/>
          <w:szCs w:val="24"/>
        </w:rPr>
        <w:t>konsumentów - seniorów nieruchomości na rzecz podmiotów rynkowych w zamian za</w:t>
      </w:r>
      <w:r w:rsidRPr="000F1E6D">
        <w:rPr>
          <w:rFonts w:ascii="Times New Roman" w:hAnsi="Times New Roman"/>
          <w:color w:val="000000"/>
          <w:sz w:val="24"/>
          <w:szCs w:val="24"/>
        </w:rPr>
        <w:t xml:space="preserve"> </w:t>
      </w:r>
      <w:r w:rsidRPr="000F1E6D">
        <w:rPr>
          <w:rFonts w:ascii="Times New Roman" w:hAnsi="Times New Roman"/>
          <w:sz w:val="24"/>
          <w:szCs w:val="24"/>
        </w:rPr>
        <w:t>wypłatę dożywotniego świadczenia pieniężnego</w:t>
      </w:r>
      <w:r w:rsidRPr="000F1E6D">
        <w:rPr>
          <w:rFonts w:ascii="Times New Roman" w:hAnsi="Times New Roman"/>
          <w:color w:val="000000"/>
          <w:sz w:val="24"/>
          <w:szCs w:val="24"/>
        </w:rPr>
        <w:t>. Ministerstwo dostrzega, że kodeksowa regulacja „umowy dożywocia” w obecnym kształcie nie zapewnia wystarczającej ochrony świadczeniobiorcom (głównie osobom starszym), którzy w momencie zawarcia umowy</w:t>
      </w:r>
      <w:r w:rsidRPr="000F1E6D">
        <w:rPr>
          <w:rFonts w:ascii="Times New Roman" w:hAnsi="Times New Roman"/>
          <w:sz w:val="24"/>
          <w:szCs w:val="24"/>
        </w:rPr>
        <w:t xml:space="preserve"> </w:t>
      </w:r>
      <w:r w:rsidRPr="000F1E6D">
        <w:rPr>
          <w:rFonts w:ascii="Times New Roman" w:hAnsi="Times New Roman"/>
          <w:color w:val="000000"/>
          <w:sz w:val="24"/>
          <w:szCs w:val="24"/>
        </w:rPr>
        <w:t>dożywocia przekazują własność nieruchomości na rzecz funduszy hipotecznych w zamian za dożywotnie świadczenie pieniężne.</w:t>
      </w:r>
    </w:p>
    <w:p w14:paraId="5741DA59" w14:textId="77777777" w:rsidR="00A9797A" w:rsidRPr="000F1E6D" w:rsidRDefault="00A9797A" w:rsidP="00A9797A">
      <w:pPr>
        <w:pStyle w:val="Bezodstpw"/>
        <w:spacing w:line="276" w:lineRule="auto"/>
        <w:jc w:val="both"/>
        <w:rPr>
          <w:rFonts w:ascii="Times New Roman" w:hAnsi="Times New Roman"/>
          <w:sz w:val="24"/>
          <w:szCs w:val="24"/>
          <w:lang w:eastAsia="ar-SA"/>
        </w:rPr>
      </w:pPr>
    </w:p>
    <w:p w14:paraId="14626A1E" w14:textId="77777777" w:rsidR="00A9797A" w:rsidRPr="000F1E6D" w:rsidRDefault="00A9797A" w:rsidP="00A9797A">
      <w:pPr>
        <w:pStyle w:val="Teksttreci0"/>
        <w:shd w:val="clear" w:color="auto" w:fill="auto"/>
        <w:spacing w:after="0" w:line="276" w:lineRule="auto"/>
        <w:ind w:right="20" w:firstLine="0"/>
        <w:jc w:val="both"/>
        <w:rPr>
          <w:sz w:val="24"/>
          <w:szCs w:val="24"/>
        </w:rPr>
      </w:pPr>
      <w:r w:rsidRPr="000F1E6D">
        <w:rPr>
          <w:color w:val="000000"/>
          <w:sz w:val="24"/>
          <w:szCs w:val="24"/>
        </w:rPr>
        <w:t>Oferowany na rynku model „uwalniania” wartości ekonomicznej nieruchomości polegający na przeniesieniu prawa do nieruchomości w zamian za przyszłe świadczenia pieniężne na rzecz zbywcy określany jest mianem modelu sprzedażowego odwróconej hipoteki, w odróżnieniu od modelu kredytowego, w którym podmiot finansujący (bank) udziela kredytu, którego zabezpieczeniem jest nieruchomość (odwrócony kredyt hipoteczny). W modelu sprzedażowym odwróconej hipoteki, przeniesienie własności nieruchomości następuje w chwili zawarcia umowy, co oznacza utratę własności nieruchomości przez świadczeniobiorcę, przy jednoczesnym braku należytego zabezpieczenia jego interesów.</w:t>
      </w:r>
    </w:p>
    <w:p w14:paraId="1E8DC16A" w14:textId="77777777" w:rsidR="00A9797A" w:rsidRPr="000F1E6D" w:rsidRDefault="00A9797A" w:rsidP="00A9797A">
      <w:pPr>
        <w:pStyle w:val="Teksttreci0"/>
        <w:shd w:val="clear" w:color="auto" w:fill="auto"/>
        <w:spacing w:after="0" w:line="276" w:lineRule="auto"/>
        <w:ind w:right="20" w:firstLine="0"/>
        <w:jc w:val="both"/>
        <w:rPr>
          <w:sz w:val="24"/>
          <w:szCs w:val="24"/>
        </w:rPr>
      </w:pPr>
    </w:p>
    <w:p w14:paraId="3F41C20B"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0F1E6D">
        <w:rPr>
          <w:color w:val="000000"/>
          <w:sz w:val="24"/>
          <w:szCs w:val="24"/>
        </w:rPr>
        <w:t xml:space="preserve">Wydłużenie przeciętnej długości życia przy niskim poziomie świadczeń emerytalnych coraz częściej zmusza osoby starsze do poszukiwania nowych źródeł dochodu. Pozycja konsumenta na rynku oferowania i wykonywania dożywotnich świadczeń okresowych w pieniądzu w zamian za przeniesienie własności nieruchomości, jawi się jako najsłabsza w porównaniu do sytuacji, w jakiej znajdują się konsumenci na innych rynkach produktowych. Konsumentów w wieku 65+, bo takim dedykowane są ww. usługi, uznać należy za szczególnie wrażliwą grupę, narażoną na negatywne oddziaływanie spółek, oferujących swoje produkty w formie </w:t>
      </w:r>
      <w:r w:rsidRPr="000F1E6D">
        <w:rPr>
          <w:color w:val="000000"/>
          <w:sz w:val="24"/>
          <w:szCs w:val="24"/>
        </w:rPr>
        <w:lastRenderedPageBreak/>
        <w:t>dożywotnich świadczeń. Spółki niejednokrotnie narzucają seniorom niekorzystne warunki umów bądź wykorzystują różnego rodzaju techniki manipulacyjne. W praktyce bardzo często umowy zawierane są z wykorzystaniem wzorców umów, których warunki są konsumentom narzucane tak, że seniorzy nie mają realnego wpływu na ostateczną treść umowy (na co wskazuje Raport UOKiK z kontroli przedsiębiorców oferujących dożywotnie świadczenie pieniężne zamieszczony w EZD).</w:t>
      </w:r>
    </w:p>
    <w:p w14:paraId="58BE0539" w14:textId="77777777" w:rsidR="00A9797A" w:rsidRPr="000F1E6D" w:rsidRDefault="00A9797A" w:rsidP="00A9797A">
      <w:pPr>
        <w:pStyle w:val="Teksttreci0"/>
        <w:shd w:val="clear" w:color="auto" w:fill="auto"/>
        <w:spacing w:after="0" w:line="276" w:lineRule="auto"/>
        <w:ind w:right="20" w:firstLine="0"/>
        <w:jc w:val="both"/>
        <w:rPr>
          <w:sz w:val="24"/>
          <w:szCs w:val="24"/>
        </w:rPr>
      </w:pPr>
    </w:p>
    <w:p w14:paraId="0CDB44C3"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0F1E6D">
        <w:rPr>
          <w:color w:val="000000"/>
          <w:sz w:val="24"/>
          <w:szCs w:val="24"/>
        </w:rPr>
        <w:t>Z uwagi na fakt, iż niewiele banków ma w swojej ofercie „odwrócony kredyt hipoteczny” (model kredytowy odwróconej hipoteki), wielu seniorów zawiera umowy z funduszami hipotecznymi, często na niekorzystnych dla siebie warunkach, a otrzymywane świadczenie niejednokrotnie jest nieadekwatne do wartości przekazywanej nieruchomości. Ryzyko zawierania tego typu umów z funduszami hipotecznymi polega głównie na tym, że to firmy działające bez ustawowej regulacji, nadzoru ani tym bardziej gwarancji państwa. Są nimi w przeważającej mierze spółki z ograniczoną działalnością i spółki akcyjne o niskim kapitale zakładowym oraz różnym przedmiocie działalności.</w:t>
      </w:r>
    </w:p>
    <w:p w14:paraId="52E99347" w14:textId="77777777" w:rsidR="00A9797A" w:rsidRPr="000F1E6D" w:rsidRDefault="00A9797A" w:rsidP="00A9797A">
      <w:pPr>
        <w:pStyle w:val="Teksttreci0"/>
        <w:shd w:val="clear" w:color="auto" w:fill="auto"/>
        <w:spacing w:after="0" w:line="276" w:lineRule="auto"/>
        <w:ind w:right="20" w:firstLine="0"/>
        <w:jc w:val="both"/>
        <w:rPr>
          <w:sz w:val="24"/>
          <w:szCs w:val="24"/>
        </w:rPr>
      </w:pPr>
    </w:p>
    <w:p w14:paraId="65C3EB99"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0F1E6D">
        <w:rPr>
          <w:color w:val="000000"/>
          <w:sz w:val="24"/>
          <w:szCs w:val="24"/>
        </w:rPr>
        <w:t>Skala problemu jest duża. Przykładowo Fundusz Hipoteczny Dom S.A. z siedzibą w Warszawi</w:t>
      </w:r>
      <w:r>
        <w:rPr>
          <w:color w:val="000000"/>
          <w:sz w:val="24"/>
          <w:szCs w:val="24"/>
        </w:rPr>
        <w:t xml:space="preserve">e (kapitał zakładowy spółki 878 </w:t>
      </w:r>
      <w:r w:rsidRPr="000F1E6D">
        <w:rPr>
          <w:color w:val="000000"/>
          <w:sz w:val="24"/>
          <w:szCs w:val="24"/>
        </w:rPr>
        <w:t>550 zł) na koniec 2018 r. miał w swoim portfelu 218 nieruchomości o szacunkowej wartości ponad 51 mln zł. Wartość nieruchomości z obciążeniem dożywotnim oszacowano na ok. 28 mln zł, zaś wartość zobowiązań z tytułu rent na kwotę ok. 11 mln zł.</w:t>
      </w:r>
    </w:p>
    <w:p w14:paraId="2832407F" w14:textId="77777777" w:rsidR="00A9797A" w:rsidRPr="000F1E6D" w:rsidRDefault="00A9797A" w:rsidP="00A9797A">
      <w:pPr>
        <w:pStyle w:val="Teksttreci0"/>
        <w:shd w:val="clear" w:color="auto" w:fill="auto"/>
        <w:spacing w:after="0" w:line="276" w:lineRule="auto"/>
        <w:ind w:right="20" w:firstLine="0"/>
        <w:jc w:val="both"/>
        <w:rPr>
          <w:sz w:val="24"/>
          <w:szCs w:val="24"/>
        </w:rPr>
      </w:pPr>
    </w:p>
    <w:p w14:paraId="2AE121E7"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0F1E6D">
        <w:rPr>
          <w:color w:val="000000"/>
          <w:sz w:val="24"/>
          <w:szCs w:val="24"/>
        </w:rPr>
        <w:t>Najbardziej niebezpieczne dla beneficjenta są sytuacje, gdy przeciwko właścicielowi nieruchomości (funduszowi hipotecznemu) toczy się postępowanie egzekucyjne, w wyniku czego może dojść do zmiany właściciela, a co z tym idzie, podmiot odpowiedzialny za wypłatę renty przestanie wypłacać świadczenie oraz sytuacje, gdy przedsiębiorca, będący właścicielem mieszkania, ogłosi upadłość. W przypadku tego typu umów brak jest również możliwości jakiegokolwiek rozliczenia wartości nieruchomości ze spadkobiercami, nawet w przypadku znacznie krótszego od przyjętego statystycznie życia klienta funduszu hipotecznego - właścicielem nieruchomości od chwili podpisania umowy jest fundusz. Trzeba wskazać, że kodeksowa umowa dożywocia, co do zasady, powinna regulować stosunki między osobami bliskimi. Dlatego wykorzystywanie jej jako podstawy prawnej zawierania umów w ramach prowadzonej działalności gospodarczej rodzi zastrzeżenia z punktu widzenia należytego zabezpieczenia interesów osób, które pozbywają się nierzadko całego dorobku życia w postaci nieruchomości.</w:t>
      </w:r>
    </w:p>
    <w:p w14:paraId="19DE65A0" w14:textId="77777777" w:rsidR="00A9797A" w:rsidRPr="000F1E6D" w:rsidRDefault="00A9797A" w:rsidP="00A9797A">
      <w:pPr>
        <w:pStyle w:val="Teksttreci0"/>
        <w:shd w:val="clear" w:color="auto" w:fill="auto"/>
        <w:spacing w:after="0" w:line="276" w:lineRule="auto"/>
        <w:ind w:right="20" w:firstLine="0"/>
        <w:jc w:val="both"/>
        <w:rPr>
          <w:sz w:val="24"/>
          <w:szCs w:val="24"/>
        </w:rPr>
      </w:pPr>
    </w:p>
    <w:p w14:paraId="03ED6247"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0F1E6D">
        <w:rPr>
          <w:color w:val="000000"/>
          <w:sz w:val="24"/>
          <w:szCs w:val="24"/>
        </w:rPr>
        <w:t xml:space="preserve">Ocena dotychczasowej praktyki prowadzi do wniosku, że kodeksowa umowa dożywocia nie powinna stanowić podstawy prawnej do wykonywania działalności gospodarczej. Kodeksowy model uregulowania służyć ma bowiem przede wszystkim przekazywaniu nieruchomości młodszemu pokoleniu, co uzasadnione istnieniem silnych więzi rodzinnych, które są gwarancją zapewnienia zbywcy dożywotniego utrzymania po tym, jak przeniósł majątek na rzecz zstępnych lub innych osób bliskich. W ten sposób, bazując na zaufaniu, jakim darzą się osoby </w:t>
      </w:r>
      <w:r w:rsidRPr="000F1E6D">
        <w:rPr>
          <w:color w:val="000000"/>
          <w:sz w:val="24"/>
          <w:szCs w:val="24"/>
        </w:rPr>
        <w:lastRenderedPageBreak/>
        <w:t>bliskie, zabezpieczane są interesy zarówno starszego, jak i młodszego pokolenia.</w:t>
      </w:r>
    </w:p>
    <w:p w14:paraId="44DFE548" w14:textId="77777777" w:rsidR="00A9797A" w:rsidRPr="000F1E6D" w:rsidRDefault="00A9797A" w:rsidP="00A9797A">
      <w:pPr>
        <w:pStyle w:val="Teksttreci0"/>
        <w:shd w:val="clear" w:color="auto" w:fill="auto"/>
        <w:spacing w:after="0" w:line="276" w:lineRule="auto"/>
        <w:ind w:right="20" w:firstLine="0"/>
        <w:jc w:val="both"/>
        <w:rPr>
          <w:sz w:val="24"/>
          <w:szCs w:val="24"/>
        </w:rPr>
      </w:pPr>
    </w:p>
    <w:p w14:paraId="5C6BCA6E"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0F1E6D">
        <w:rPr>
          <w:color w:val="000000"/>
          <w:sz w:val="24"/>
          <w:szCs w:val="24"/>
        </w:rPr>
        <w:t>W warunkach działalności gospodarczej, podstawowe założenie kodeksowej umowy dożywocia jako stosunku pomiędzy członkami rodziny albo chociaż związanymi innymi bliskimi więzami społecznymi, nie ma zastosowania. Występujące na rynku oferty dotyczące dożywotniego świadczenia pieniężnego mają charakter umowy przedsiębiorca - konsument, której przedmiotem jest usługa o stricte finansowym charakterze. Umowy zawierane z przedsiębiorcami pozbawione są istotnych cech prawa dożywocia. Świadczenie przedsiębiorcy (świadczeniodawcy) ogranicza się do wypłaty dożywotniej renty. Tym samym regulacja kodeksowa, nie zabezpiecza w sposób wystarczający interesów świadczeniobiorców (konsumentów), którymi co do zasady będą osoby w starszym wieku, nabywających de facto usługę finansową. Ze względów społecznych i słusznościowych konieczne jest objęcie ochroną interesów świadczeniobiorców i ich rodzin. Zamierzone zmiany dotyczą ograniczenia katalogu osób - stron umowy dożywocia - do osób bliskich, tj. małżonka, wstępnych, zstępnych, rodzeństwa, powinowatych w tej samej linii lub stopniu, dzieci rodzeństwa, ojczyma, macochy, przysposabiającego oraz jego małżonka, przysposobionego oraz jego małżonka, a także osoby pozostającej faktycznie we wspólnym pożyciu, jeżeli stale zamieszkiwała z dożywotnikiem w chwili zawierania umowy o dożywocie (norma koherentna z przepisem art. 691 k.c.). Mając na względzie, że na rynku oferowany jest produkt w postaci odwróconego kredytu hipotecznego, proponuje się, aby przepisy Działu II (Dożywocie) Tytuł XXXIV Księgi Trzeciej Kodeksu cywilnego stosować odpowiednio do umów innych niż umowa dożywocia, w których nabywca nieruchomości zobowiązał się obciążyć ją na rzecz zbywcy użytkowaniem, którego wykonywanie jest ograniczone do części nieruchomości, służebnością mieszkania lub inną służebnością osobistą albo spełniać powtarzające się świadczenia w pieniądzu lub w rzeczach oznaczonych co do gatunku, o ile przepisy odrębnych ustaw nie stanowią inaczej.</w:t>
      </w:r>
    </w:p>
    <w:p w14:paraId="2E41BE8B" w14:textId="77777777" w:rsidR="00A9797A" w:rsidRPr="000F1E6D" w:rsidRDefault="00A9797A" w:rsidP="00A9797A">
      <w:pPr>
        <w:pStyle w:val="Teksttreci0"/>
        <w:shd w:val="clear" w:color="auto" w:fill="auto"/>
        <w:spacing w:after="0" w:line="276" w:lineRule="auto"/>
        <w:ind w:right="20" w:firstLine="0"/>
        <w:jc w:val="both"/>
        <w:rPr>
          <w:sz w:val="24"/>
          <w:szCs w:val="24"/>
        </w:rPr>
      </w:pPr>
    </w:p>
    <w:p w14:paraId="2B37B982"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0F1E6D">
        <w:rPr>
          <w:color w:val="000000"/>
          <w:sz w:val="24"/>
          <w:szCs w:val="24"/>
        </w:rPr>
        <w:t>Celem ww. zmian będzie dopełnienie rozwiązań, służących ograniczeniu niepożądanych zjawisk w obrocie nieruchomościami, a w szczególności ograniczenie możliwości wyłudzenia nieruchomości od osób starszych przez fundusze hipoteczne.</w:t>
      </w:r>
    </w:p>
    <w:p w14:paraId="13D46FFE" w14:textId="77777777" w:rsidR="00A9797A" w:rsidRPr="000F1E6D" w:rsidRDefault="00A9797A" w:rsidP="00A9797A">
      <w:pPr>
        <w:pStyle w:val="Teksttreci0"/>
        <w:shd w:val="clear" w:color="auto" w:fill="auto"/>
        <w:spacing w:after="0" w:line="276" w:lineRule="auto"/>
        <w:ind w:right="20" w:firstLine="0"/>
        <w:jc w:val="both"/>
        <w:rPr>
          <w:sz w:val="24"/>
          <w:szCs w:val="24"/>
        </w:rPr>
      </w:pPr>
    </w:p>
    <w:p w14:paraId="57D92CDA" w14:textId="77777777" w:rsidR="00A9797A" w:rsidRPr="000F1E6D" w:rsidRDefault="00A9797A" w:rsidP="00A9797A">
      <w:pPr>
        <w:pStyle w:val="Teksttreci0"/>
        <w:shd w:val="clear" w:color="auto" w:fill="auto"/>
        <w:spacing w:after="0" w:line="276" w:lineRule="auto"/>
        <w:ind w:right="20" w:firstLine="0"/>
        <w:jc w:val="both"/>
        <w:rPr>
          <w:sz w:val="24"/>
          <w:szCs w:val="24"/>
        </w:rPr>
      </w:pPr>
      <w:r w:rsidRPr="000F1E6D">
        <w:rPr>
          <w:color w:val="000000"/>
          <w:sz w:val="24"/>
          <w:szCs w:val="24"/>
        </w:rPr>
        <w:t xml:space="preserve">Jednocześnie z uwagi na fakt, że proponowane zmiany (zawarte w przygotowanym wstępnym projekcie ustawy o zmianie ustawy - Kodeks cywilny) w istotny sposób ingerują w swobodę wykonywanej działalności gospodarczej, projekt przewiduje roczny </w:t>
      </w:r>
      <w:r w:rsidRPr="000F1E6D">
        <w:rPr>
          <w:rStyle w:val="TeksttreciKursywa"/>
          <w:sz w:val="24"/>
          <w:szCs w:val="24"/>
        </w:rPr>
        <w:t>vacatio legis.</w:t>
      </w:r>
      <w:r w:rsidRPr="000F1E6D">
        <w:rPr>
          <w:color w:val="000000"/>
          <w:sz w:val="24"/>
          <w:szCs w:val="24"/>
        </w:rPr>
        <w:t xml:space="preserve"> Taki okres będzie adekwatny do wprowadzenia odpowiednich regulacji rynkowych przez właściwe do tego resorty.</w:t>
      </w:r>
    </w:p>
    <w:p w14:paraId="419A8F45"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61772F5E" w14:textId="77777777" w:rsidR="00A9797A" w:rsidRPr="000F1E6D" w:rsidRDefault="00A9797A" w:rsidP="00A9797A">
      <w:pPr>
        <w:pStyle w:val="Teksttreci0"/>
        <w:shd w:val="clear" w:color="auto" w:fill="auto"/>
        <w:spacing w:after="0" w:line="276" w:lineRule="auto"/>
        <w:ind w:right="20" w:firstLine="0"/>
        <w:jc w:val="both"/>
        <w:rPr>
          <w:sz w:val="24"/>
          <w:szCs w:val="24"/>
        </w:rPr>
      </w:pPr>
      <w:r w:rsidRPr="000F1E6D">
        <w:rPr>
          <w:color w:val="000000"/>
          <w:sz w:val="24"/>
          <w:szCs w:val="24"/>
        </w:rPr>
        <w:t xml:space="preserve">Odnośnie zaś realizacji pozostałych działań podejmowanych na rzecz osób starszych w okresie od dnia 1 stycznia 2019 r. do dnia 31 grudnia 2019 r., należy wskazać na rozwiązania legislacyjne zawarte w § 9 ust. 3, § 28 oraz w § 29 </w:t>
      </w:r>
      <w:r w:rsidRPr="00210FF0">
        <w:rPr>
          <w:i/>
          <w:color w:val="000000"/>
          <w:sz w:val="24"/>
          <w:szCs w:val="24"/>
        </w:rPr>
        <w:t xml:space="preserve">rozporządzenia Ministra Sprawiedliwości z dnia 18 czerwca 2019 r. - Regulamin urzędowania sądów powszechnych </w:t>
      </w:r>
      <w:r w:rsidRPr="000F1E6D">
        <w:rPr>
          <w:color w:val="000000"/>
          <w:sz w:val="24"/>
          <w:szCs w:val="24"/>
        </w:rPr>
        <w:t xml:space="preserve">(Dz. U. poz. 1141, dalej regulamin). Regulacja zawarta w § 9 ust. 3 regulaminu dotyczy konieczności zapewniania w miarę posiadanych możliwości w budynkach sądowych dostępu do pomieszczeń użytkowym </w:t>
      </w:r>
      <w:r w:rsidRPr="000F1E6D">
        <w:rPr>
          <w:color w:val="000000"/>
          <w:sz w:val="24"/>
          <w:szCs w:val="24"/>
        </w:rPr>
        <w:lastRenderedPageBreak/>
        <w:t xml:space="preserve">osobom w każdym wieku, z różnym stopniem niepełnosprawności, lub odpowiedniej pomocy w tym zakresie. Wymienione w § 28 i § 29 regulaminu regulacje dotyczą z kolei tworzenia i zasad funkcjonowania w sądach powszechnych biur obsługi interesantów. Pracownicy zajmujący się obsługą wskazanych jednostek realizują swoją działalność, udzielając odpowiedniej pomocy także osobom starszym. Pomoc ta zapewniana jest poprzez podejmowanie takich czynności jak: udzielanie informacji o stanie postępowania w sprawie na podstawie danych z sądowych systemów teleinformatycznych, wydawanie odpisów dokumentów na podstawie sądowych systemów teleinformatycznych lub akt sądowych po ich otrzymaniu z właściwego wydziału, wydawanie zapisu dźwięku albo obrazu i dźwięku z posiedzenia lub rozprawy sądu po ich otrzymaniu z właściwego wydziału, kierowanie interesantów do odpowiednich komórek organizacyjnych, jeżeli załatwienie ich spraw w biurze nie będzie możliwe, udzielanie pomocy podczas pobytu w sądzie świadkom i pokrzywdzonym między innymi przez informowanie, w miarę możliwości odprowadzanie do odpowiednich pomieszczeń, ze szczególnym uwzględnieniem potrzeb osób niepełnosprawnych, udostępnianie informacji o lekarzach sądowych, biegłych sądowych, tłumaczach przysięgłych wpisanych na listę Ministra Sprawiedliwości, mediatorach oraz instytucjach, których działalność wiąże się z ochroną praw człowieka, udostępnianie formularzy sądowych i wzorów pism, informowanie o strukturze organizacyjnej sądu, jego właściwości oraz lokalizacji, numerach telefonów, godzinach urzędowania, adresie strony internetowej, poczty elektronicznej, a także adresach innych sądów, organów i urzędów centralnych oraz kierowanie do właściwych sal rozpraw, udostępnianie informacji o możliwości zakończenia sporu w drodze mediacji w poszczególnych rodzajach spraw, zasadach i procedurze mediacji oraz sposobie kontaktu z mediatorem. Wskazane biura - co wydaje się niezwykle </w:t>
      </w:r>
      <w:r>
        <w:rPr>
          <w:color w:val="000000"/>
          <w:sz w:val="24"/>
          <w:szCs w:val="24"/>
        </w:rPr>
        <w:t>ważne dla osób w podeszłym wieku</w:t>
      </w:r>
      <w:r>
        <w:rPr>
          <w:sz w:val="24"/>
          <w:szCs w:val="24"/>
        </w:rPr>
        <w:t xml:space="preserve"> - </w:t>
      </w:r>
      <w:r w:rsidRPr="000F1E6D">
        <w:rPr>
          <w:color w:val="000000"/>
          <w:sz w:val="24"/>
          <w:szCs w:val="24"/>
        </w:rPr>
        <w:t>w miarę możliwości są usytuowane w pobliżu wejścia do budynków sądów. Jeżeli nie ma możliwości takiej lokalizacji, ich usytuowanie wskazuje tablica kierunkowa, której sposób oznakowania uwzględnia w miarę możliwości potrzeby tych osób. W biurach zapewnia się miejsca siedzące oraz stoły dla interesantów. Zadania biur są realizowane z uwzględnieniem standardów obsługi interesanta oraz katalogu usług z kartami usług i powiązanymi z nimi procedurami świadczenia usług, opracowanymi i udostępnionymi przez Ministra Sprawiedliwości.</w:t>
      </w:r>
    </w:p>
    <w:p w14:paraId="3461192B" w14:textId="77777777" w:rsidR="00A9797A" w:rsidRDefault="00A9797A" w:rsidP="00A9797A">
      <w:pPr>
        <w:pStyle w:val="Teksttreci0"/>
        <w:shd w:val="clear" w:color="auto" w:fill="auto"/>
        <w:spacing w:after="0" w:line="276" w:lineRule="auto"/>
        <w:ind w:firstLine="0"/>
        <w:jc w:val="both"/>
        <w:rPr>
          <w:color w:val="000000"/>
          <w:sz w:val="24"/>
          <w:szCs w:val="24"/>
        </w:rPr>
      </w:pPr>
    </w:p>
    <w:p w14:paraId="0C0F4F4E" w14:textId="77777777" w:rsidR="00A9797A" w:rsidRPr="000F1E6D" w:rsidRDefault="00A9797A" w:rsidP="00A9797A">
      <w:pPr>
        <w:pStyle w:val="Teksttreci0"/>
        <w:shd w:val="clear" w:color="auto" w:fill="auto"/>
        <w:spacing w:after="0" w:line="276" w:lineRule="auto"/>
        <w:ind w:firstLine="0"/>
        <w:jc w:val="both"/>
        <w:rPr>
          <w:sz w:val="24"/>
          <w:szCs w:val="24"/>
        </w:rPr>
      </w:pPr>
      <w:r w:rsidRPr="000F1E6D">
        <w:rPr>
          <w:color w:val="000000"/>
          <w:sz w:val="24"/>
          <w:szCs w:val="24"/>
        </w:rPr>
        <w:t>Opisane wyżej rozwiązania normatywne spełniają kryteria zapewnienia osobom starszym odpowiedniej dostępności do wymiaru sprawiedliwości w zakresie zapewnienia tym osobom dóbr i usług umożliwiających ich pełne uczestnictwo w życiu społecznym, jak również możliwości życia w środowisku wolnym od barier funkcjonalnych. Działania te stanowią w wymiarze legislacyjnym jedną z istotnych form działalności, którą państwo oraz Ministerstwo Sprawiedliwości podjęło względem osób starszych korzystających z dostępu do sądów w</w:t>
      </w:r>
      <w:r>
        <w:rPr>
          <w:sz w:val="24"/>
          <w:szCs w:val="24"/>
        </w:rPr>
        <w:t xml:space="preserve"> 2019 </w:t>
      </w:r>
      <w:r w:rsidRPr="000F1E6D">
        <w:rPr>
          <w:color w:val="000000"/>
          <w:sz w:val="24"/>
          <w:szCs w:val="24"/>
        </w:rPr>
        <w:t>r.</w:t>
      </w:r>
    </w:p>
    <w:p w14:paraId="42621E28" w14:textId="77777777" w:rsidR="00A9797A" w:rsidRDefault="00A9797A" w:rsidP="00A9797A">
      <w:pPr>
        <w:pStyle w:val="Teksttreci0"/>
        <w:shd w:val="clear" w:color="auto" w:fill="auto"/>
        <w:spacing w:after="0" w:line="276" w:lineRule="auto"/>
        <w:ind w:firstLine="0"/>
        <w:jc w:val="both"/>
        <w:rPr>
          <w:color w:val="000000"/>
          <w:sz w:val="24"/>
          <w:szCs w:val="24"/>
        </w:rPr>
      </w:pPr>
    </w:p>
    <w:p w14:paraId="492BAE8F" w14:textId="77777777" w:rsidR="00A9797A" w:rsidRPr="000F1E6D" w:rsidRDefault="00A9797A" w:rsidP="00A9797A">
      <w:pPr>
        <w:pStyle w:val="Teksttreci0"/>
        <w:shd w:val="clear" w:color="auto" w:fill="auto"/>
        <w:spacing w:after="0" w:line="276" w:lineRule="auto"/>
        <w:ind w:firstLine="0"/>
        <w:jc w:val="both"/>
        <w:rPr>
          <w:sz w:val="24"/>
          <w:szCs w:val="24"/>
        </w:rPr>
      </w:pPr>
      <w:r w:rsidRPr="000F1E6D">
        <w:rPr>
          <w:color w:val="000000"/>
          <w:sz w:val="24"/>
          <w:szCs w:val="24"/>
        </w:rPr>
        <w:t xml:space="preserve">W zakresie realizacji pozostałych działań na rzecz osób starszych należy również zwrócić uwagę na rozwiązanie prawne pozwalające przewodniczącym składów orzekających na zwalnianie osób starszych z obowiązku składania zeznań na stojąco. Obowiązek składania </w:t>
      </w:r>
      <w:r w:rsidRPr="000F1E6D">
        <w:rPr>
          <w:color w:val="000000"/>
          <w:sz w:val="24"/>
          <w:szCs w:val="24"/>
        </w:rPr>
        <w:lastRenderedPageBreak/>
        <w:t>zeznań na stojąco jest wyrazem powagi i szacunku dla sądu, nadając czynności przesłuchania przed sądem charakter bardziej uroczysty i stanowi swego rodzaju etykietę, która obok oprawy stanowi jeden z podstawowych czynników wpływających na kulturę rozprawy głównej i wyrażających autorytet sądu. Zgodnie z § 110 ust. 1 regulaminu wszyscy obecni na sali rozpraw powstają z miejsc w czasie wejścia sądu na salę, odbierania przez sąd przyrzeczenia, ogłaszania wyroku oraz w czasie opuszczania sali przez sąd. Uczestnik rozprawy wstaje z miejsca, gdy zwraca się do sądu lub gdy sąd zwraca się do niego. Zgodnie z § 110 ust. 2 regulaminu Przewodniczący składu orzekającego może jednak udzielić zezwolenia na pozostawanie uczestnika procesu w pozycji siedzącej w uzasadnionych przypadkach, zwłaszcza gdy przemawiają za tym względy zdrowotne, długotrwałe składanie zeznań lub konieczność prawidłowego utrwalenia dźwięku albo dźwięku i obrazu. Zauważyć należy, że konstrukcja wskazanego przepisu opiera się jedynie na przykładowym wyliczeniu okoliczności stanowiących uzasadnione przypadki, których zaistnienie może decydować</w:t>
      </w:r>
      <w:r>
        <w:rPr>
          <w:sz w:val="24"/>
          <w:szCs w:val="24"/>
        </w:rPr>
        <w:t xml:space="preserve"> o </w:t>
      </w:r>
      <w:r w:rsidRPr="000F1E6D">
        <w:rPr>
          <w:color w:val="000000"/>
          <w:sz w:val="24"/>
          <w:szCs w:val="24"/>
        </w:rPr>
        <w:t>wydaniu przez Przewodniczącego zarządzenia zwalniającego uczestnika procesu od obowiązku zachowania pozycji stojącej, co uprawnia do jego skutecznego stosowania względem przesłuchiwanych przez sąd osób starszych.</w:t>
      </w:r>
    </w:p>
    <w:p w14:paraId="2BD48F79" w14:textId="77777777" w:rsidR="00A9797A" w:rsidRDefault="00A9797A" w:rsidP="00A9797A">
      <w:pPr>
        <w:pStyle w:val="Teksttreci0"/>
        <w:shd w:val="clear" w:color="auto" w:fill="auto"/>
        <w:spacing w:after="0" w:line="276" w:lineRule="auto"/>
        <w:ind w:firstLine="0"/>
        <w:jc w:val="both"/>
        <w:rPr>
          <w:color w:val="000000"/>
          <w:sz w:val="24"/>
          <w:szCs w:val="24"/>
        </w:rPr>
      </w:pPr>
    </w:p>
    <w:p w14:paraId="1490E189" w14:textId="77777777" w:rsidR="00A9797A" w:rsidRPr="000F1E6D" w:rsidRDefault="00A9797A" w:rsidP="00A9797A">
      <w:pPr>
        <w:pStyle w:val="Teksttreci0"/>
        <w:shd w:val="clear" w:color="auto" w:fill="auto"/>
        <w:spacing w:after="0" w:line="276" w:lineRule="auto"/>
        <w:ind w:firstLine="0"/>
        <w:jc w:val="both"/>
        <w:rPr>
          <w:sz w:val="24"/>
          <w:szCs w:val="24"/>
        </w:rPr>
      </w:pPr>
      <w:r w:rsidRPr="000F1E6D">
        <w:rPr>
          <w:color w:val="000000"/>
          <w:sz w:val="24"/>
          <w:szCs w:val="24"/>
        </w:rPr>
        <w:t xml:space="preserve">Ponadto w 2020 r. Ministerstwo Sprawiedliwości opracowało </w:t>
      </w:r>
      <w:r w:rsidRPr="007E10EC">
        <w:rPr>
          <w:i/>
          <w:color w:val="000000"/>
          <w:sz w:val="24"/>
          <w:szCs w:val="24"/>
        </w:rPr>
        <w:t>projekt ustawy - o zmianie ustawy Kodeks postępowania cywilnego oraz niektórych innych ustaw, tzw. Ustawa antyprzemocowa</w:t>
      </w:r>
      <w:r w:rsidRPr="000F1E6D">
        <w:rPr>
          <w:color w:val="000000"/>
          <w:sz w:val="24"/>
          <w:szCs w:val="24"/>
        </w:rPr>
        <w:t>, która została uchwalona przez Sejm dnia 30 kwietnia 2020 r. (Dz. U. 2020, poz. 956). Celem wprowadzonych regulacji było wzmocnienie systemu zapobiegania</w:t>
      </w:r>
      <w:r>
        <w:rPr>
          <w:sz w:val="24"/>
          <w:szCs w:val="24"/>
        </w:rPr>
        <w:t xml:space="preserve"> </w:t>
      </w:r>
      <w:r w:rsidRPr="000F1E6D">
        <w:rPr>
          <w:color w:val="000000"/>
          <w:sz w:val="24"/>
          <w:szCs w:val="24"/>
        </w:rPr>
        <w:t>zwalczania przemocy w rodzinie. Rozwiązania przyjęte w ustawie będą znajdować zastosowanie do wszystkich osób dotkniętych przemocą, w tym osób starszych.</w:t>
      </w:r>
      <w:r>
        <w:rPr>
          <w:sz w:val="24"/>
          <w:szCs w:val="24"/>
        </w:rPr>
        <w:t xml:space="preserve"> </w:t>
      </w:r>
      <w:r w:rsidRPr="000F1E6D">
        <w:rPr>
          <w:color w:val="000000"/>
          <w:sz w:val="24"/>
          <w:szCs w:val="24"/>
        </w:rPr>
        <w:t>Nowe regulacje przewidują, że uprawnienia do wydawania natychmiastowego nakazu w sprawach związanych z przemoc domową będą przyznane policji i Żandarmerii Wojskowej. Nakaz opuszczenia mieszkania będzie obowiązywać przez 14 dni, a na wniosek osoby dotkniętej przemocą sąd może przedłużyć ten okres.</w:t>
      </w:r>
      <w:r>
        <w:rPr>
          <w:sz w:val="24"/>
          <w:szCs w:val="24"/>
        </w:rPr>
        <w:t xml:space="preserve"> </w:t>
      </w:r>
      <w:r w:rsidRPr="000F1E6D">
        <w:rPr>
          <w:color w:val="000000"/>
          <w:sz w:val="24"/>
          <w:szCs w:val="24"/>
        </w:rPr>
        <w:t>Nakaz ten będzie egzekwowany - łącznie z możliwością użycia środków przymusu - bez względu na ewentualne twierdzenie sprawcy, że nie ma dokąd się wyprowadzić. Policjant wskaże mu placówki zapewniające miejsca noclegowe, np. schronisko dla bezdomnych.</w:t>
      </w:r>
      <w:r>
        <w:rPr>
          <w:sz w:val="24"/>
          <w:szCs w:val="24"/>
        </w:rPr>
        <w:t xml:space="preserve"> </w:t>
      </w:r>
      <w:r w:rsidRPr="000F1E6D">
        <w:rPr>
          <w:color w:val="000000"/>
          <w:sz w:val="24"/>
          <w:szCs w:val="24"/>
        </w:rPr>
        <w:t>Wobec sprawcy przemocy policjant będzie mógł również wydać zakaz zbliżania się do mieszkania i jego bezpośredniego otoczenia. Policja będzie też zobowiązana do regularnego sprawdzania, czy sprawca przemocy stosuje się do tych sankcji. Jeśli złamie zakaz, policja będzie mogła zastosować środki przymusu, by wyegzekwować nałożone zobowiązanie. Poza tym sprawca przemocy narazi się na zastosowanie aresztu, ograniczenia wolności lub grzywny. Te same zasady dotyczą egzekwowania nakazu opuszczenia mieszkania.</w:t>
      </w:r>
      <w:r>
        <w:rPr>
          <w:sz w:val="24"/>
          <w:szCs w:val="24"/>
        </w:rPr>
        <w:t xml:space="preserve"> </w:t>
      </w:r>
      <w:r w:rsidRPr="000F1E6D">
        <w:rPr>
          <w:color w:val="000000"/>
          <w:sz w:val="24"/>
          <w:szCs w:val="24"/>
        </w:rPr>
        <w:t>Dodatkowo w określonych przez ustawę sprawach pisma procesowe będą mogły być doręczane nie tylko przez pocztę, ale również za pośrednictwem policji. Będzie ona też zobowiązana do udzielania sądowi wszelkiej pomocy niezbędnej do szybkiego zakończenia sprawy, np. przy ustaleniu adresu świadka. W pewnych przypadkach sąd będzie mieć trzy dni na rozpatrzenie wniosku ofiary przemocy, natomiast całą sprawę będzie musiał rozpoznać w ciągu miesiąca od złożenia wniosku.</w:t>
      </w:r>
      <w:r>
        <w:rPr>
          <w:sz w:val="24"/>
          <w:szCs w:val="24"/>
        </w:rPr>
        <w:t xml:space="preserve"> </w:t>
      </w:r>
      <w:r w:rsidRPr="000F1E6D">
        <w:rPr>
          <w:color w:val="000000"/>
          <w:sz w:val="24"/>
          <w:szCs w:val="24"/>
        </w:rPr>
        <w:t xml:space="preserve">Poza tym osoby domagające się zastosowania takich środków wobec sprawy przemocy będą zwolnione z kosztów sądowych. Ofiary będą też mogły uzyskać pomoc psychologiczną lub </w:t>
      </w:r>
      <w:r w:rsidRPr="000F1E6D">
        <w:rPr>
          <w:color w:val="000000"/>
          <w:sz w:val="24"/>
          <w:szCs w:val="24"/>
        </w:rPr>
        <w:lastRenderedPageBreak/>
        <w:t>wsparcie i leczenie w zakresie uzależnień, które są główną przyczyną przemocy domowej. Według statystyk policji, rocznie prawie 250 tys. osób w Polsce może być dotkniętych lub zagrożonych przemocą domową. Podobnie jak w innych krajach europejskich to poważny problem społeczny, który wymaga zdecydowanych działań.</w:t>
      </w:r>
    </w:p>
    <w:p w14:paraId="152910AD"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63717066"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0F1E6D">
        <w:rPr>
          <w:color w:val="000000"/>
          <w:sz w:val="24"/>
          <w:szCs w:val="24"/>
        </w:rPr>
        <w:t>Ponadto Ministerstwo Sprawiedliwości na bieżąco monitoruje orzecznictwo Europejskiego Trybunału Praw Człowieka dotyczące sytuacji osób starszych. Na archiwalnej stronie</w:t>
      </w:r>
      <w:r>
        <w:rPr>
          <w:sz w:val="24"/>
          <w:szCs w:val="24"/>
        </w:rPr>
        <w:t xml:space="preserve"> </w:t>
      </w:r>
      <w:r w:rsidRPr="000F1E6D">
        <w:rPr>
          <w:color w:val="000000"/>
          <w:sz w:val="24"/>
          <w:szCs w:val="24"/>
        </w:rPr>
        <w:t xml:space="preserve">Ministerstwa Sprawiedliwości </w:t>
      </w:r>
      <w:r w:rsidRPr="000F1E6D">
        <w:rPr>
          <w:color w:val="000000"/>
          <w:sz w:val="24"/>
          <w:szCs w:val="24"/>
          <w:vertAlign w:val="superscript"/>
        </w:rPr>
        <w:footnoteReference w:id="41"/>
      </w:r>
      <w:r w:rsidRPr="000F1E6D">
        <w:rPr>
          <w:color w:val="000000"/>
          <w:sz w:val="24"/>
          <w:szCs w:val="24"/>
        </w:rPr>
        <w:t>znajduje się między innymi przetłumaczone na język polski zestawienie tematyczne Trybunału zatytułowane ,,Osoby starsze i Europejska Konwencja Praw Człowieka”. Zestawienie to zawiera przegląd najważniejszych orzeczeń dotyczących spraw osób starszych przez pryzmat różnych artykułów Konwencji. Jednocześnie w Ministerstwie trwają prace nad uzupełnieniem i uaktualnieniem przedmiotowego dokumentu. Po ich zakończeniu zestawienie zostanie zamieszczone na nowej stronie Ministerstwa Sprawiedliwości.</w:t>
      </w:r>
      <w:bookmarkStart w:id="93" w:name="bookmark3"/>
    </w:p>
    <w:p w14:paraId="11F1D1B3" w14:textId="77777777" w:rsidR="00A9797A" w:rsidRDefault="00A9797A" w:rsidP="00A9797A">
      <w:pPr>
        <w:pStyle w:val="Teksttreci0"/>
        <w:shd w:val="clear" w:color="auto" w:fill="auto"/>
        <w:spacing w:after="0" w:line="276" w:lineRule="auto"/>
        <w:ind w:right="20" w:firstLine="0"/>
        <w:jc w:val="left"/>
        <w:rPr>
          <w:color w:val="000000"/>
          <w:sz w:val="24"/>
          <w:szCs w:val="24"/>
        </w:rPr>
      </w:pPr>
    </w:p>
    <w:p w14:paraId="05066EF0" w14:textId="77777777" w:rsidR="00A9797A" w:rsidRPr="00287912" w:rsidRDefault="00A9797A" w:rsidP="00287912">
      <w:pPr>
        <w:pStyle w:val="Teksttreci0"/>
        <w:shd w:val="clear" w:color="auto" w:fill="auto"/>
        <w:spacing w:after="0" w:line="276" w:lineRule="auto"/>
        <w:ind w:right="20" w:firstLine="0"/>
        <w:jc w:val="both"/>
        <w:rPr>
          <w:b/>
          <w:color w:val="00B0F0"/>
          <w:sz w:val="24"/>
          <w:szCs w:val="24"/>
        </w:rPr>
      </w:pPr>
      <w:r w:rsidRPr="007E10EC">
        <w:rPr>
          <w:b/>
          <w:color w:val="00B0F0"/>
          <w:sz w:val="24"/>
          <w:szCs w:val="24"/>
        </w:rPr>
        <w:t>Działania podejmowane przez Służbę Więzienną, prowadzone w zakładach penitencjarnych</w:t>
      </w:r>
      <w:bookmarkEnd w:id="93"/>
    </w:p>
    <w:p w14:paraId="62DA956C"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0F1E6D">
        <w:rPr>
          <w:color w:val="000000"/>
          <w:sz w:val="24"/>
          <w:szCs w:val="24"/>
        </w:rPr>
        <w:t xml:space="preserve">W regulacjach prawnych określających sposób wykonywania tymczasowego aresztowania oraz wykonywania kary pozbawienia wolności skazani po 60 roku życia nie stanowią wyodrębnionej formalnie grupy. Niemniej jednak art. 4 </w:t>
      </w:r>
      <w:r w:rsidRPr="007E10EC">
        <w:rPr>
          <w:i/>
          <w:color w:val="000000"/>
          <w:sz w:val="24"/>
          <w:szCs w:val="24"/>
        </w:rPr>
        <w:t>Kodeksu karnego wykonawczego</w:t>
      </w:r>
      <w:r w:rsidRPr="000F1E6D">
        <w:rPr>
          <w:color w:val="000000"/>
          <w:sz w:val="24"/>
          <w:szCs w:val="24"/>
        </w:rPr>
        <w:t xml:space="preserve"> (zwany dalej Kkw) zobowiązuje Służbę Więzienną do wykonywania kary i środków zabezpieczających w sposób humanitarny, z poszanowaniem godności ludzkiej skazanego, a art. 67 Kkw nakazuje indywidualizować oddziaływania prowadzone wobec skazanych. Należy jednocześnie wspomnieć, że poza regulacjami prawno-karnymi zastosowanie wobec omawianej grupy osadzonych mają także i inne przepisy prawa, chociażby o ochronie zdrowia, pomocy społecznej czy ubezpieczeniu społecznym. Służba Więzienna, stosownie do swoich zadań i kompetencji, dostosowuje się do wymagań stawianych przez rzeczywistość prawną, społeczną i penitencjarną, również w zakresie oddziaływań resocjalizacyjnych prowadzonych wobec osadzonych w wieku senioralnym.</w:t>
      </w:r>
      <w:bookmarkStart w:id="94" w:name="bookmark4"/>
    </w:p>
    <w:p w14:paraId="76A33ED3"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6FAE28C0" w14:textId="77777777" w:rsidR="00A9797A" w:rsidRPr="00470FB3" w:rsidRDefault="00A9797A" w:rsidP="00A9797A">
      <w:pPr>
        <w:pStyle w:val="Teksttreci0"/>
        <w:shd w:val="clear" w:color="auto" w:fill="auto"/>
        <w:spacing w:after="0" w:line="276" w:lineRule="auto"/>
        <w:ind w:right="20" w:firstLine="0"/>
        <w:jc w:val="both"/>
        <w:rPr>
          <w:b/>
          <w:color w:val="000000"/>
          <w:sz w:val="24"/>
          <w:szCs w:val="24"/>
        </w:rPr>
      </w:pPr>
      <w:r w:rsidRPr="00470FB3">
        <w:rPr>
          <w:b/>
          <w:color w:val="000000"/>
          <w:sz w:val="24"/>
          <w:szCs w:val="24"/>
        </w:rPr>
        <w:t>Sytuacja demograficzna społeczeństwa i struktura demograficzna według wieku populacji osób starszych, prognozy na kolejne lata oraz implikacje zmian demograficznych dla polityki państwa.</w:t>
      </w:r>
      <w:bookmarkEnd w:id="94"/>
    </w:p>
    <w:p w14:paraId="075E3096" w14:textId="77777777" w:rsidR="00A9797A" w:rsidRPr="005B49FD" w:rsidRDefault="00A9797A" w:rsidP="00A9797A">
      <w:pPr>
        <w:pStyle w:val="Teksttreci0"/>
        <w:shd w:val="clear" w:color="auto" w:fill="auto"/>
        <w:spacing w:after="0" w:line="276" w:lineRule="auto"/>
        <w:ind w:right="20" w:firstLine="0"/>
        <w:jc w:val="both"/>
        <w:rPr>
          <w:sz w:val="24"/>
          <w:szCs w:val="24"/>
        </w:rPr>
      </w:pPr>
    </w:p>
    <w:p w14:paraId="437A8E15"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 xml:space="preserve">Według powszechnie panujących w społeczeństwie stereotypów osoby pozbawione wolności to niemal wyłącznie mężczyźni w młodym lub średnim wieku. Rzeczywistość penitencjarna wygląda zgoła odmiennie i populacja osadzonych przebywających w aresztach śledczych oraz zakładach karnych jest bardziej zróżnicowana niż jest to postrzegane przez przeciętnych Polaków. Charakteryzując populację osób pozbawionych wolności często dokonuje się </w:t>
      </w:r>
      <w:r w:rsidRPr="005B49FD">
        <w:rPr>
          <w:color w:val="000000"/>
          <w:sz w:val="24"/>
          <w:szCs w:val="24"/>
        </w:rPr>
        <w:lastRenderedPageBreak/>
        <w:t>uogólnień, chociaż społeczność więźniów różni się między sobą pod wieloma względami. Podstawowe kryteria klasyfikacji skazanych ujęte są w treści art. 82§2 Kkw. Ogólnie mówiąc, podłożem zróżnicowania są czynniki prawne, ekonomiczne, kulturowe, społeczne, ale także zdrowotne i psychiczne. Warto podkreślić, że ustawodawca określając kryterium wieku przy klasyfikacji osób skazanych ma na myśli oddzielenie osób młodocianych od dorosłych. Legislator, w obecnym ujęciu tego aktu prawnego, nie wziął pod uwagę kategorii seniorów, którzy mają inne potrzeby i problemy niż ludzie młodzi i wymagają odpowiedniego traktowania do ich stanu zdrowia fizycznego i psychicznego. W aktualnie obowiązujących w Polsce przepisach prawa nie ma żadnych specjalnych regulacji odnośnie wykonywania tymczasowego aresztowania i kary pozbawienia wolności wobec osób w wieku senioralnym. Stosuje się do nich te same przepisy, które dotyczą wszystkich osób pozbawionych wolności. Trudno jednoznacznie scharakteryzować skazanego w wieku senioralnym, gdyż proces starzenia się jest indywidualnie zróżnicowany, bez względu na to, czy człowiek starzeje się na wolności czy w izolacji penitencjarnej. Wyznaczając próg starości bierze się pod uwagę grupę czynników o charakterze obiektywnym (wiek biologiczny lub stan „zużycia” organizmu), subiektywnym (poczucie „bycia starym”) oraz społeczno-kulturowym (opinia społeczna, język, stereotypy). Nie zawsze wiek kalendarzowy jest tożsamy z wiekiem biologicznym, społecznym czy psychologicznym. O szybkości starzenia się decydują czynniki genetyczne, środowiskowe, ale także psychologiczne (poziom aktywności, dbałości o zachowanie młodości i sprawności).</w:t>
      </w:r>
    </w:p>
    <w:p w14:paraId="4FA9A02F" w14:textId="77777777" w:rsidR="00A9797A" w:rsidRPr="005B49FD" w:rsidRDefault="00A9797A" w:rsidP="00A9797A">
      <w:pPr>
        <w:pStyle w:val="Teksttreci0"/>
        <w:shd w:val="clear" w:color="auto" w:fill="auto"/>
        <w:spacing w:after="0" w:line="276" w:lineRule="auto"/>
        <w:ind w:right="20" w:firstLine="0"/>
        <w:jc w:val="both"/>
        <w:rPr>
          <w:sz w:val="24"/>
          <w:szCs w:val="24"/>
        </w:rPr>
      </w:pPr>
    </w:p>
    <w:p w14:paraId="3972FBC6"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W warunkach więziennych można wyraźnie zauważyć, że zaawansowanie procesów starzenia nie zawsze jest związane z wiekiem skazanego. Przyspieszone, w stosunku do metrykalnego, tempo starzenia się skazanych może być efektem wielu czynników natury psychofizycznej, w tym: wysokiego poziomu stresu, jakiemu podlegają skazani podczas pobytu w zakładzie karnym, konsekwencją niehigienicznego stylu życia prowadzonego na wolności, przejawianych zachowań ryzykownych czy też braku ruchu.</w:t>
      </w:r>
    </w:p>
    <w:p w14:paraId="0B31A676" w14:textId="77777777" w:rsidR="00A9797A" w:rsidRPr="005B49FD" w:rsidRDefault="00A9797A" w:rsidP="00A9797A">
      <w:pPr>
        <w:pStyle w:val="Teksttreci0"/>
        <w:shd w:val="clear" w:color="auto" w:fill="auto"/>
        <w:spacing w:after="0" w:line="276" w:lineRule="auto"/>
        <w:ind w:right="20" w:firstLine="0"/>
        <w:jc w:val="both"/>
        <w:rPr>
          <w:sz w:val="24"/>
          <w:szCs w:val="24"/>
        </w:rPr>
      </w:pPr>
    </w:p>
    <w:p w14:paraId="0ACBB3F1"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Zgodnie z metodologią przedmiotowego dokumentu Służba Więzienna przyjmuje, że do skazanych w wieku senioralnym zalicza się osoby pozbawione wolności powyżej 60 roku życia. Jednakże z uwagi na fakt, że Centralny Zarząd Służby Więziennej gromadzi dane osób pozbawionych wolności w innych kategoriach wiekowych niż przewiduje ww. Ustawa</w:t>
      </w:r>
      <w:r>
        <w:rPr>
          <w:sz w:val="24"/>
          <w:szCs w:val="24"/>
        </w:rPr>
        <w:t xml:space="preserve"> </w:t>
      </w:r>
      <w:r>
        <w:rPr>
          <w:color w:val="000000"/>
          <w:sz w:val="24"/>
          <w:szCs w:val="24"/>
        </w:rPr>
        <w:t xml:space="preserve">o </w:t>
      </w:r>
      <w:r w:rsidRPr="005B49FD">
        <w:rPr>
          <w:color w:val="000000"/>
          <w:sz w:val="24"/>
          <w:szCs w:val="24"/>
        </w:rPr>
        <w:t xml:space="preserve">osobach starszych, w związku z powyższym przeanalizowane zostały dane dotyczące skazanych i tymczasowo aresztowanych od 61 roku życia (tylko w pkt. 1 </w:t>
      </w:r>
      <w:r>
        <w:rPr>
          <w:color w:val="000000"/>
          <w:sz w:val="24"/>
          <w:szCs w:val="24"/>
        </w:rPr>
        <w:t>–</w:t>
      </w:r>
      <w:r w:rsidRPr="005B49FD">
        <w:rPr>
          <w:color w:val="000000"/>
          <w:sz w:val="24"/>
          <w:szCs w:val="24"/>
        </w:rPr>
        <w:t xml:space="preserve"> sytuacja</w:t>
      </w:r>
      <w:r>
        <w:rPr>
          <w:color w:val="000000"/>
          <w:sz w:val="24"/>
          <w:szCs w:val="24"/>
        </w:rPr>
        <w:t xml:space="preserve"> </w:t>
      </w:r>
      <w:r w:rsidRPr="005B49FD">
        <w:rPr>
          <w:color w:val="000000"/>
          <w:sz w:val="24"/>
          <w:szCs w:val="24"/>
        </w:rPr>
        <w:t>demograficzna). Wymieniona grupa osadzonych ze względu na zmiany biologiczne, psychiczne i społeczne, wynikające z procesu starzenia się, wymaga dostosowania warunków odbywania kary do możliwości psychofizycznych, stawiania im wymagań adekwatnych do wieku i stanu zdrowia związanych z odbywaniem kary w określonym systemie oraz przygotowania do życia po opuszczeniu zakładu karnego.</w:t>
      </w:r>
    </w:p>
    <w:p w14:paraId="43C2EB6F"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27CED4B9"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 xml:space="preserve">Zgodnie z obserwowanymi ogólnymi trendami demograficznymi w społeczeństwie polskim, populacja osób przebywających w warunkach izolacji penitencjarnej również się starzeje. Z </w:t>
      </w:r>
      <w:r w:rsidRPr="005B49FD">
        <w:rPr>
          <w:color w:val="000000"/>
          <w:sz w:val="24"/>
          <w:szCs w:val="24"/>
        </w:rPr>
        <w:lastRenderedPageBreak/>
        <w:t>analizy danych wynika, że w 2015 r. przebywało w więzieniach 2 203 osadzonych powyżej 61 r.ż. i ich liczba stale wzrastała, osiągając w 2019 r. wskaźnik 3 319 osób (stan na 31.12.2019 r.).</w:t>
      </w:r>
    </w:p>
    <w:p w14:paraId="44C3770D" w14:textId="77777777" w:rsidR="00A9797A" w:rsidRDefault="00A9797A" w:rsidP="00A9797A">
      <w:pPr>
        <w:spacing w:after="0"/>
        <w:rPr>
          <w:rFonts w:ascii="Times New Roman" w:eastAsia="Times New Roman" w:hAnsi="Times New Roman" w:cs="Times New Roman"/>
          <w:sz w:val="24"/>
          <w:szCs w:val="24"/>
        </w:rPr>
      </w:pPr>
    </w:p>
    <w:p w14:paraId="19BB1042" w14:textId="35156D7B" w:rsidR="00A9797A" w:rsidRPr="00645054" w:rsidRDefault="00A9797A" w:rsidP="00A9797A">
      <w:pPr>
        <w:pStyle w:val="Legenda"/>
        <w:keepNext/>
        <w:rPr>
          <w:rFonts w:ascii="Times New Roman" w:hAnsi="Times New Roman" w:cs="Times New Roman"/>
          <w:b/>
          <w:i w:val="0"/>
          <w:sz w:val="24"/>
        </w:rPr>
      </w:pPr>
      <w:bookmarkStart w:id="95" w:name="_Toc49171450"/>
      <w:r w:rsidRPr="00645054">
        <w:rPr>
          <w:rFonts w:ascii="Times New Roman" w:hAnsi="Times New Roman" w:cs="Times New Roman"/>
          <w:b/>
          <w:i w:val="0"/>
          <w:sz w:val="24"/>
        </w:rPr>
        <w:t xml:space="preserve">Rysunek </w:t>
      </w:r>
      <w:r w:rsidRPr="00645054">
        <w:rPr>
          <w:rFonts w:ascii="Times New Roman" w:hAnsi="Times New Roman" w:cs="Times New Roman"/>
          <w:b/>
          <w:i w:val="0"/>
          <w:sz w:val="24"/>
        </w:rPr>
        <w:fldChar w:fldCharType="begin"/>
      </w:r>
      <w:r w:rsidRPr="00645054">
        <w:rPr>
          <w:rFonts w:ascii="Times New Roman" w:hAnsi="Times New Roman" w:cs="Times New Roman"/>
          <w:b/>
          <w:i w:val="0"/>
          <w:sz w:val="24"/>
        </w:rPr>
        <w:instrText xml:space="preserve"> SEQ Rysunek \* ARABIC </w:instrText>
      </w:r>
      <w:r w:rsidRPr="00645054">
        <w:rPr>
          <w:rFonts w:ascii="Times New Roman" w:hAnsi="Times New Roman" w:cs="Times New Roman"/>
          <w:b/>
          <w:i w:val="0"/>
          <w:sz w:val="24"/>
        </w:rPr>
        <w:fldChar w:fldCharType="separate"/>
      </w:r>
      <w:r w:rsidR="00C154C9">
        <w:rPr>
          <w:rFonts w:ascii="Times New Roman" w:hAnsi="Times New Roman" w:cs="Times New Roman"/>
          <w:b/>
          <w:i w:val="0"/>
          <w:noProof/>
          <w:sz w:val="24"/>
        </w:rPr>
        <w:t>4</w:t>
      </w:r>
      <w:r w:rsidRPr="00645054">
        <w:rPr>
          <w:rFonts w:ascii="Times New Roman" w:hAnsi="Times New Roman" w:cs="Times New Roman"/>
          <w:b/>
          <w:i w:val="0"/>
          <w:sz w:val="24"/>
        </w:rPr>
        <w:fldChar w:fldCharType="end"/>
      </w:r>
      <w:r w:rsidRPr="00645054">
        <w:rPr>
          <w:rFonts w:ascii="Times New Roman" w:hAnsi="Times New Roman" w:cs="Times New Roman"/>
          <w:b/>
          <w:i w:val="0"/>
          <w:sz w:val="24"/>
        </w:rPr>
        <w:t xml:space="preserve"> Tymczasowo aresztowani i skazani wg wieku (w latach ukończonych)</w:t>
      </w:r>
      <w:bookmarkEnd w:id="95"/>
    </w:p>
    <w:p w14:paraId="386B61FC" w14:textId="77777777" w:rsidR="00A9797A" w:rsidRDefault="00A9797A" w:rsidP="00A9797A">
      <w:r w:rsidRPr="0069494F">
        <w:rPr>
          <w:rFonts w:ascii="Times New Roman" w:eastAsia="Times New Roman" w:hAnsi="Times New Roman" w:cs="Times New Roman"/>
          <w:noProof/>
          <w:sz w:val="24"/>
          <w:szCs w:val="24"/>
          <w:lang w:eastAsia="pl-PL"/>
        </w:rPr>
        <w:drawing>
          <wp:inline distT="0" distB="0" distL="0" distR="0" wp14:anchorId="66772AF8" wp14:editId="04B856B8">
            <wp:extent cx="5666105" cy="1257723"/>
            <wp:effectExtent l="0" t="0" r="0" b="0"/>
            <wp:docPr id="17" name="Obraz 17" descr="C:\Users\aleksandra_wojcik\Desktop\Bez tytuł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eksandra_wojcik\Desktop\Bez tytułu.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6105" cy="1257723"/>
                    </a:xfrm>
                    <a:prstGeom prst="rect">
                      <a:avLst/>
                    </a:prstGeom>
                    <a:noFill/>
                    <a:ln>
                      <a:noFill/>
                    </a:ln>
                  </pic:spPr>
                </pic:pic>
              </a:graphicData>
            </a:graphic>
          </wp:inline>
        </w:drawing>
      </w:r>
    </w:p>
    <w:p w14:paraId="0A9AC842" w14:textId="77777777" w:rsidR="00A9797A" w:rsidRPr="001B6D9E" w:rsidRDefault="00A9797A" w:rsidP="00A9797A">
      <w:pPr>
        <w:pStyle w:val="Teksttreci0"/>
        <w:shd w:val="clear" w:color="auto" w:fill="auto"/>
        <w:spacing w:after="0" w:line="276" w:lineRule="auto"/>
        <w:ind w:right="20" w:firstLine="0"/>
        <w:jc w:val="both"/>
        <w:rPr>
          <w:b/>
          <w:color w:val="000000"/>
          <w:sz w:val="22"/>
          <w:szCs w:val="24"/>
        </w:rPr>
      </w:pPr>
      <w:r w:rsidRPr="001B6D9E">
        <w:rPr>
          <w:b/>
          <w:color w:val="000000"/>
          <w:sz w:val="22"/>
          <w:szCs w:val="24"/>
        </w:rPr>
        <w:t>Źródło: dane z Ministerstwa Sprawiedliwości</w:t>
      </w:r>
    </w:p>
    <w:p w14:paraId="6F0138EE" w14:textId="77777777" w:rsidR="00A9797A" w:rsidRDefault="00A9797A" w:rsidP="00A9797A">
      <w:pPr>
        <w:pStyle w:val="Podpisobrazu"/>
        <w:shd w:val="clear" w:color="auto" w:fill="auto"/>
        <w:spacing w:line="276" w:lineRule="auto"/>
        <w:jc w:val="both"/>
        <w:rPr>
          <w:color w:val="000000"/>
          <w:spacing w:val="0"/>
          <w:sz w:val="24"/>
          <w:szCs w:val="24"/>
        </w:rPr>
      </w:pPr>
    </w:p>
    <w:p w14:paraId="1CF20211" w14:textId="77777777" w:rsidR="00A9797A" w:rsidRPr="00233125" w:rsidRDefault="00A9797A" w:rsidP="00A9797A">
      <w:pPr>
        <w:pStyle w:val="Podpisobrazu"/>
        <w:shd w:val="clear" w:color="auto" w:fill="auto"/>
        <w:spacing w:line="276" w:lineRule="auto"/>
        <w:jc w:val="both"/>
        <w:rPr>
          <w:sz w:val="24"/>
          <w:szCs w:val="24"/>
        </w:rPr>
      </w:pPr>
      <w:r w:rsidRPr="00420885">
        <w:rPr>
          <w:color w:val="000000"/>
          <w:spacing w:val="0"/>
          <w:sz w:val="24"/>
          <w:szCs w:val="24"/>
        </w:rPr>
        <w:t>W przypadku kobiet osadzonych w zakładach karnych i aresztach śledczych sytuacja</w:t>
      </w:r>
      <w:r>
        <w:rPr>
          <w:sz w:val="24"/>
          <w:szCs w:val="24"/>
        </w:rPr>
        <w:t xml:space="preserve"> </w:t>
      </w:r>
      <w:r w:rsidRPr="00420885">
        <w:rPr>
          <w:color w:val="000000"/>
          <w:spacing w:val="0"/>
          <w:sz w:val="24"/>
          <w:szCs w:val="24"/>
        </w:rPr>
        <w:t>jest analogiczna i populacja stale rośnie. Na przestrzeni ostatnich 5 lat nastąpił wzrost o 56%.</w:t>
      </w:r>
    </w:p>
    <w:p w14:paraId="0B46068B" w14:textId="77777777" w:rsidR="00A9797A" w:rsidRDefault="00A9797A" w:rsidP="00A9797A">
      <w:pPr>
        <w:pStyle w:val="Legenda"/>
        <w:keepNext/>
        <w:rPr>
          <w:rFonts w:ascii="Times New Roman" w:hAnsi="Times New Roman" w:cs="Times New Roman"/>
          <w:b/>
          <w:i w:val="0"/>
          <w:sz w:val="24"/>
        </w:rPr>
      </w:pPr>
    </w:p>
    <w:p w14:paraId="1875B719" w14:textId="6D855A88" w:rsidR="00A9797A" w:rsidRPr="00233125" w:rsidRDefault="00A9797A" w:rsidP="00A9797A">
      <w:pPr>
        <w:pStyle w:val="Legenda"/>
        <w:keepNext/>
        <w:rPr>
          <w:rFonts w:ascii="Times New Roman" w:hAnsi="Times New Roman" w:cs="Times New Roman"/>
          <w:b/>
          <w:i w:val="0"/>
          <w:sz w:val="24"/>
        </w:rPr>
      </w:pPr>
      <w:bookmarkStart w:id="96" w:name="_Toc49171451"/>
      <w:r w:rsidRPr="00233125">
        <w:rPr>
          <w:rFonts w:ascii="Times New Roman" w:hAnsi="Times New Roman" w:cs="Times New Roman"/>
          <w:b/>
          <w:i w:val="0"/>
          <w:sz w:val="24"/>
        </w:rPr>
        <w:t xml:space="preserve">Rysunek </w:t>
      </w:r>
      <w:r w:rsidRPr="00233125">
        <w:rPr>
          <w:rFonts w:ascii="Times New Roman" w:hAnsi="Times New Roman" w:cs="Times New Roman"/>
          <w:b/>
          <w:i w:val="0"/>
          <w:sz w:val="24"/>
        </w:rPr>
        <w:fldChar w:fldCharType="begin"/>
      </w:r>
      <w:r w:rsidRPr="00233125">
        <w:rPr>
          <w:rFonts w:ascii="Times New Roman" w:hAnsi="Times New Roman" w:cs="Times New Roman"/>
          <w:b/>
          <w:i w:val="0"/>
          <w:sz w:val="24"/>
        </w:rPr>
        <w:instrText xml:space="preserve"> SEQ Rysunek \* ARABIC </w:instrText>
      </w:r>
      <w:r w:rsidRPr="00233125">
        <w:rPr>
          <w:rFonts w:ascii="Times New Roman" w:hAnsi="Times New Roman" w:cs="Times New Roman"/>
          <w:b/>
          <w:i w:val="0"/>
          <w:sz w:val="24"/>
        </w:rPr>
        <w:fldChar w:fldCharType="separate"/>
      </w:r>
      <w:r w:rsidR="00C154C9">
        <w:rPr>
          <w:rFonts w:ascii="Times New Roman" w:hAnsi="Times New Roman" w:cs="Times New Roman"/>
          <w:b/>
          <w:i w:val="0"/>
          <w:noProof/>
          <w:sz w:val="24"/>
        </w:rPr>
        <w:t>5</w:t>
      </w:r>
      <w:r w:rsidRPr="00233125">
        <w:rPr>
          <w:rFonts w:ascii="Times New Roman" w:hAnsi="Times New Roman" w:cs="Times New Roman"/>
          <w:b/>
          <w:i w:val="0"/>
          <w:sz w:val="24"/>
        </w:rPr>
        <w:fldChar w:fldCharType="end"/>
      </w:r>
      <w:r w:rsidRPr="00233125">
        <w:rPr>
          <w:rFonts w:ascii="Times New Roman" w:hAnsi="Times New Roman" w:cs="Times New Roman"/>
          <w:b/>
          <w:i w:val="0"/>
          <w:sz w:val="24"/>
        </w:rPr>
        <w:t xml:space="preserve"> Tymczasowo aresztowane i skazane kobiety wg wieku (w latach ukończonych)</w:t>
      </w:r>
      <w:bookmarkEnd w:id="96"/>
    </w:p>
    <w:p w14:paraId="76FE0130" w14:textId="77777777" w:rsidR="00A9797A" w:rsidRDefault="00A9797A" w:rsidP="00A9797A">
      <w:pPr>
        <w:rPr>
          <w:color w:val="000000"/>
          <w:sz w:val="24"/>
          <w:szCs w:val="24"/>
        </w:rPr>
      </w:pPr>
      <w:r w:rsidRPr="00EE0495">
        <w:rPr>
          <w:noProof/>
          <w:color w:val="000000"/>
          <w:sz w:val="24"/>
          <w:szCs w:val="24"/>
          <w:lang w:eastAsia="pl-PL"/>
        </w:rPr>
        <w:drawing>
          <wp:inline distT="0" distB="0" distL="0" distR="0" wp14:anchorId="2EE39687" wp14:editId="6C129008">
            <wp:extent cx="5582285" cy="2743200"/>
            <wp:effectExtent l="0" t="0" r="0" b="0"/>
            <wp:docPr id="20" name="Obraz 20" descr="C:\Users\aleksandra_wojcik\Desktop\Bez tytułu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eksandra_wojcik\Desktop\Bez tytułu 4.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82285" cy="2743200"/>
                    </a:xfrm>
                    <a:prstGeom prst="rect">
                      <a:avLst/>
                    </a:prstGeom>
                    <a:noFill/>
                    <a:ln>
                      <a:noFill/>
                    </a:ln>
                  </pic:spPr>
                </pic:pic>
              </a:graphicData>
            </a:graphic>
          </wp:inline>
        </w:drawing>
      </w:r>
    </w:p>
    <w:p w14:paraId="098076BE" w14:textId="77777777" w:rsidR="00A9797A" w:rsidRPr="001B6D9E" w:rsidRDefault="00A9797A" w:rsidP="00A9797A">
      <w:pPr>
        <w:pStyle w:val="Teksttreci0"/>
        <w:shd w:val="clear" w:color="auto" w:fill="auto"/>
        <w:spacing w:after="0" w:line="276" w:lineRule="auto"/>
        <w:ind w:right="20" w:firstLine="0"/>
        <w:jc w:val="both"/>
        <w:rPr>
          <w:b/>
          <w:color w:val="000000"/>
          <w:sz w:val="22"/>
          <w:szCs w:val="24"/>
        </w:rPr>
      </w:pPr>
      <w:r w:rsidRPr="001B6D9E">
        <w:rPr>
          <w:b/>
          <w:color w:val="000000"/>
          <w:sz w:val="22"/>
          <w:szCs w:val="24"/>
        </w:rPr>
        <w:t>Źródło: dane z Ministerstwa Sprawiedliwości</w:t>
      </w:r>
    </w:p>
    <w:p w14:paraId="20580482" w14:textId="77777777" w:rsidR="00A9797A" w:rsidRDefault="00A9797A" w:rsidP="00A9797A">
      <w:pPr>
        <w:spacing w:after="0"/>
        <w:jc w:val="both"/>
        <w:rPr>
          <w:rFonts w:ascii="Times New Roman" w:hAnsi="Times New Roman" w:cs="Times New Roman"/>
          <w:color w:val="000000"/>
          <w:sz w:val="24"/>
          <w:szCs w:val="24"/>
        </w:rPr>
      </w:pPr>
    </w:p>
    <w:p w14:paraId="6BB1AC84" w14:textId="77777777" w:rsidR="00A9797A" w:rsidRDefault="00A9797A" w:rsidP="00A9797A">
      <w:pPr>
        <w:spacing w:after="0"/>
        <w:jc w:val="both"/>
        <w:rPr>
          <w:rFonts w:ascii="Times New Roman" w:hAnsi="Times New Roman" w:cs="Times New Roman"/>
        </w:rPr>
      </w:pPr>
      <w:r w:rsidRPr="00233125">
        <w:rPr>
          <w:rFonts w:ascii="Times New Roman" w:hAnsi="Times New Roman" w:cs="Times New Roman"/>
          <w:color w:val="000000"/>
          <w:sz w:val="24"/>
          <w:szCs w:val="24"/>
        </w:rPr>
        <w:t>Istotnym jest również, aby analizie poddać populację skazanych i tymczasowo aresztowanych seniorów w odrębnych kategoriach. W przypadku skazanych (wspólnie kobiet i mężczyzn) odnotowuje się stały wzrost zaludnienia jednostek penitencjarnych. W 2015 r. liczba ta wynosiła 2 046 osób, osiągając w 2019 r. 2</w:t>
      </w:r>
      <w:r>
        <w:rPr>
          <w:rFonts w:ascii="Times New Roman" w:hAnsi="Times New Roman" w:cs="Times New Roman"/>
          <w:color w:val="000000"/>
          <w:sz w:val="24"/>
          <w:szCs w:val="24"/>
        </w:rPr>
        <w:t> </w:t>
      </w:r>
      <w:r w:rsidRPr="00233125">
        <w:rPr>
          <w:rFonts w:ascii="Times New Roman" w:hAnsi="Times New Roman" w:cs="Times New Roman"/>
          <w:color w:val="000000"/>
          <w:sz w:val="24"/>
          <w:szCs w:val="24"/>
        </w:rPr>
        <w:t>867.</w:t>
      </w:r>
    </w:p>
    <w:p w14:paraId="1A343420" w14:textId="77777777" w:rsidR="00A9797A" w:rsidRPr="005639F7" w:rsidRDefault="00A9797A" w:rsidP="00A9797A">
      <w:pPr>
        <w:spacing w:after="0"/>
        <w:jc w:val="both"/>
        <w:rPr>
          <w:rFonts w:ascii="Times New Roman" w:hAnsi="Times New Roman" w:cs="Times New Roman"/>
        </w:rPr>
      </w:pPr>
    </w:p>
    <w:p w14:paraId="5FC05FF4" w14:textId="63EB8956" w:rsidR="00A9797A" w:rsidRDefault="00A9797A" w:rsidP="00A9797A">
      <w:pPr>
        <w:pStyle w:val="Legenda"/>
        <w:keepNext/>
        <w:rPr>
          <w:rFonts w:ascii="Times New Roman" w:hAnsi="Times New Roman" w:cs="Times New Roman"/>
          <w:b/>
          <w:i w:val="0"/>
          <w:sz w:val="24"/>
        </w:rPr>
      </w:pPr>
      <w:bookmarkStart w:id="97" w:name="_Toc49171452"/>
      <w:r w:rsidRPr="00EE0495">
        <w:rPr>
          <w:noProof/>
          <w:lang w:eastAsia="pl-PL"/>
        </w:rPr>
        <w:lastRenderedPageBreak/>
        <w:drawing>
          <wp:anchor distT="0" distB="0" distL="114300" distR="114300" simplePos="0" relativeHeight="251696128" behindDoc="0" locked="0" layoutInCell="1" allowOverlap="1" wp14:anchorId="1F2C7EB1" wp14:editId="0905027A">
            <wp:simplePos x="0" y="0"/>
            <wp:positionH relativeFrom="column">
              <wp:posOffset>-2540</wp:posOffset>
            </wp:positionH>
            <wp:positionV relativeFrom="paragraph">
              <wp:posOffset>424180</wp:posOffset>
            </wp:positionV>
            <wp:extent cx="5890260" cy="2594610"/>
            <wp:effectExtent l="0" t="0" r="0" b="0"/>
            <wp:wrapTopAndBottom/>
            <wp:docPr id="27" name="Obraz 27" descr="C:\Users\aleksandra_wojcik\Desktop\Bez tytułu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eksandra_wojcik\Desktop\Bez tytułu 6.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90260" cy="2594610"/>
                    </a:xfrm>
                    <a:prstGeom prst="rect">
                      <a:avLst/>
                    </a:prstGeom>
                    <a:noFill/>
                    <a:ln>
                      <a:noFill/>
                    </a:ln>
                  </pic:spPr>
                </pic:pic>
              </a:graphicData>
            </a:graphic>
            <wp14:sizeRelH relativeFrom="margin">
              <wp14:pctWidth>0</wp14:pctWidth>
            </wp14:sizeRelH>
          </wp:anchor>
        </w:drawing>
      </w:r>
      <w:r w:rsidRPr="005639F7">
        <w:rPr>
          <w:rFonts w:ascii="Times New Roman" w:hAnsi="Times New Roman" w:cs="Times New Roman"/>
          <w:b/>
          <w:i w:val="0"/>
          <w:sz w:val="24"/>
        </w:rPr>
        <w:t xml:space="preserve">Rysunek </w:t>
      </w:r>
      <w:r w:rsidRPr="005639F7">
        <w:rPr>
          <w:rFonts w:ascii="Times New Roman" w:hAnsi="Times New Roman" w:cs="Times New Roman"/>
          <w:b/>
          <w:i w:val="0"/>
          <w:sz w:val="24"/>
        </w:rPr>
        <w:fldChar w:fldCharType="begin"/>
      </w:r>
      <w:r w:rsidRPr="005639F7">
        <w:rPr>
          <w:rFonts w:ascii="Times New Roman" w:hAnsi="Times New Roman" w:cs="Times New Roman"/>
          <w:b/>
          <w:i w:val="0"/>
          <w:sz w:val="24"/>
        </w:rPr>
        <w:instrText xml:space="preserve"> SEQ Rysunek \* ARABIC </w:instrText>
      </w:r>
      <w:r w:rsidRPr="005639F7">
        <w:rPr>
          <w:rFonts w:ascii="Times New Roman" w:hAnsi="Times New Roman" w:cs="Times New Roman"/>
          <w:b/>
          <w:i w:val="0"/>
          <w:sz w:val="24"/>
        </w:rPr>
        <w:fldChar w:fldCharType="separate"/>
      </w:r>
      <w:r w:rsidR="00C154C9">
        <w:rPr>
          <w:rFonts w:ascii="Times New Roman" w:hAnsi="Times New Roman" w:cs="Times New Roman"/>
          <w:b/>
          <w:i w:val="0"/>
          <w:noProof/>
          <w:sz w:val="24"/>
        </w:rPr>
        <w:t>6</w:t>
      </w:r>
      <w:r w:rsidRPr="005639F7">
        <w:rPr>
          <w:rFonts w:ascii="Times New Roman" w:hAnsi="Times New Roman" w:cs="Times New Roman"/>
          <w:b/>
          <w:i w:val="0"/>
          <w:sz w:val="24"/>
        </w:rPr>
        <w:fldChar w:fldCharType="end"/>
      </w:r>
      <w:r w:rsidRPr="005639F7">
        <w:rPr>
          <w:rFonts w:ascii="Times New Roman" w:hAnsi="Times New Roman" w:cs="Times New Roman"/>
          <w:b/>
          <w:i w:val="0"/>
          <w:sz w:val="24"/>
        </w:rPr>
        <w:t xml:space="preserve"> Skazani</w:t>
      </w:r>
      <w:r>
        <w:rPr>
          <w:rFonts w:ascii="Times New Roman" w:hAnsi="Times New Roman" w:cs="Times New Roman"/>
          <w:b/>
          <w:i w:val="0"/>
          <w:sz w:val="24"/>
        </w:rPr>
        <w:t xml:space="preserve"> wg wieku (w latach ukończonych</w:t>
      </w:r>
      <w:bookmarkEnd w:id="97"/>
    </w:p>
    <w:p w14:paraId="722DF38C" w14:textId="77777777" w:rsidR="00A9797A" w:rsidRPr="001B6D9E" w:rsidRDefault="00A9797A" w:rsidP="00A9797A">
      <w:pPr>
        <w:pStyle w:val="Teksttreci0"/>
        <w:shd w:val="clear" w:color="auto" w:fill="auto"/>
        <w:spacing w:after="0" w:line="276" w:lineRule="auto"/>
        <w:ind w:right="20" w:firstLine="0"/>
        <w:jc w:val="both"/>
        <w:rPr>
          <w:b/>
          <w:color w:val="000000"/>
          <w:sz w:val="22"/>
          <w:szCs w:val="24"/>
        </w:rPr>
      </w:pPr>
      <w:r w:rsidRPr="001B6D9E">
        <w:rPr>
          <w:b/>
          <w:color w:val="000000"/>
          <w:sz w:val="22"/>
          <w:szCs w:val="24"/>
        </w:rPr>
        <w:t>Źródło: dane z Ministerstwa Sprawiedliwości</w:t>
      </w:r>
    </w:p>
    <w:p w14:paraId="67E52EE1" w14:textId="77777777" w:rsidR="00A9797A" w:rsidRDefault="00A9797A" w:rsidP="00A9797A">
      <w:pPr>
        <w:spacing w:after="0"/>
      </w:pPr>
    </w:p>
    <w:p w14:paraId="5E4452AA"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Inaczej wygląda sytuacja w kategorii tymczasowo aresztowanych. W 2015</w:t>
      </w:r>
      <w:r>
        <w:rPr>
          <w:color w:val="000000"/>
          <w:sz w:val="24"/>
          <w:szCs w:val="24"/>
        </w:rPr>
        <w:t xml:space="preserve"> r.</w:t>
      </w:r>
      <w:r w:rsidRPr="005B49FD">
        <w:rPr>
          <w:color w:val="000000"/>
          <w:sz w:val="24"/>
          <w:szCs w:val="24"/>
        </w:rPr>
        <w:t xml:space="preserve"> w jednostkach penitencjarnych przebywało 157 kobiet i mężczyzn. W kolejnych latach odnotowano znaczny wzrost w ww. kategorii i w 2017 r. osiągnął on 391 osób. 2018 </w:t>
      </w:r>
      <w:r>
        <w:rPr>
          <w:color w:val="000000"/>
          <w:sz w:val="24"/>
          <w:szCs w:val="24"/>
        </w:rPr>
        <w:t xml:space="preserve">r. </w:t>
      </w:r>
      <w:r w:rsidRPr="005B49FD">
        <w:rPr>
          <w:color w:val="000000"/>
          <w:sz w:val="24"/>
          <w:szCs w:val="24"/>
        </w:rPr>
        <w:t xml:space="preserve">przyniósł nieznaczny spadek, jednakże w 2019 r. odnotowano ponownie wzrost tymczasowo aresztowanych. 2019 </w:t>
      </w:r>
      <w:r>
        <w:rPr>
          <w:color w:val="000000"/>
          <w:sz w:val="24"/>
          <w:szCs w:val="24"/>
        </w:rPr>
        <w:t xml:space="preserve">r. </w:t>
      </w:r>
      <w:r w:rsidRPr="005B49FD">
        <w:rPr>
          <w:color w:val="000000"/>
          <w:sz w:val="24"/>
          <w:szCs w:val="24"/>
        </w:rPr>
        <w:t>zamknął się w jednostkach penitencjarnych liczbą 452 osadzonych w ww. kategorii. Porównując stan populacji z 2015 r. w stosunku do 2019 r. odnotowano wzrost o 288 %.</w:t>
      </w:r>
    </w:p>
    <w:p w14:paraId="7E24374B" w14:textId="33AAF3C3" w:rsidR="00A9797A" w:rsidRPr="00061BE2" w:rsidRDefault="00A9797A" w:rsidP="00A9797A">
      <w:pPr>
        <w:pStyle w:val="Legenda"/>
        <w:keepNext/>
        <w:rPr>
          <w:rFonts w:ascii="Times New Roman" w:hAnsi="Times New Roman" w:cs="Times New Roman"/>
          <w:b/>
          <w:i w:val="0"/>
          <w:sz w:val="24"/>
        </w:rPr>
      </w:pPr>
      <w:bookmarkStart w:id="98" w:name="_Toc49171453"/>
      <w:r w:rsidRPr="00061BE2">
        <w:rPr>
          <w:rFonts w:ascii="Times New Roman" w:hAnsi="Times New Roman" w:cs="Times New Roman"/>
          <w:b/>
          <w:i w:val="0"/>
          <w:sz w:val="24"/>
        </w:rPr>
        <w:t xml:space="preserve">Rysunek </w:t>
      </w:r>
      <w:r w:rsidRPr="00061BE2">
        <w:rPr>
          <w:rFonts w:ascii="Times New Roman" w:hAnsi="Times New Roman" w:cs="Times New Roman"/>
          <w:b/>
          <w:i w:val="0"/>
          <w:sz w:val="24"/>
        </w:rPr>
        <w:fldChar w:fldCharType="begin"/>
      </w:r>
      <w:r w:rsidRPr="00061BE2">
        <w:rPr>
          <w:rFonts w:ascii="Times New Roman" w:hAnsi="Times New Roman" w:cs="Times New Roman"/>
          <w:b/>
          <w:i w:val="0"/>
          <w:sz w:val="24"/>
        </w:rPr>
        <w:instrText xml:space="preserve"> SEQ Rysunek \* ARABIC </w:instrText>
      </w:r>
      <w:r w:rsidRPr="00061BE2">
        <w:rPr>
          <w:rFonts w:ascii="Times New Roman" w:hAnsi="Times New Roman" w:cs="Times New Roman"/>
          <w:b/>
          <w:i w:val="0"/>
          <w:sz w:val="24"/>
        </w:rPr>
        <w:fldChar w:fldCharType="separate"/>
      </w:r>
      <w:r w:rsidR="00C154C9">
        <w:rPr>
          <w:rFonts w:ascii="Times New Roman" w:hAnsi="Times New Roman" w:cs="Times New Roman"/>
          <w:b/>
          <w:i w:val="0"/>
          <w:noProof/>
          <w:sz w:val="24"/>
        </w:rPr>
        <w:t>7</w:t>
      </w:r>
      <w:r w:rsidRPr="00061BE2">
        <w:rPr>
          <w:rFonts w:ascii="Times New Roman" w:hAnsi="Times New Roman" w:cs="Times New Roman"/>
          <w:b/>
          <w:i w:val="0"/>
          <w:sz w:val="24"/>
        </w:rPr>
        <w:fldChar w:fldCharType="end"/>
      </w:r>
      <w:r w:rsidRPr="00061BE2">
        <w:rPr>
          <w:rFonts w:ascii="Times New Roman" w:hAnsi="Times New Roman" w:cs="Times New Roman"/>
          <w:b/>
          <w:i w:val="0"/>
          <w:sz w:val="24"/>
        </w:rPr>
        <w:t xml:space="preserve"> Tymczasowo aresztowani wg wieku (w latach ukończonych)</w:t>
      </w:r>
      <w:bookmarkEnd w:id="98"/>
    </w:p>
    <w:p w14:paraId="4E6A3BE5" w14:textId="77777777" w:rsidR="00A9797A" w:rsidRDefault="00A9797A" w:rsidP="00A9797A">
      <w:r w:rsidRPr="00061BE2">
        <w:rPr>
          <w:noProof/>
          <w:lang w:eastAsia="pl-PL"/>
        </w:rPr>
        <w:drawing>
          <wp:inline distT="0" distB="0" distL="0" distR="0" wp14:anchorId="203CC250" wp14:editId="55F72F2F">
            <wp:extent cx="5443855" cy="2232660"/>
            <wp:effectExtent l="0" t="0" r="4445" b="0"/>
            <wp:docPr id="28" name="Obraz 28" descr="C:\Users\aleksandra_wojcik\Desktop\Bez tytułu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eksandra_wojcik\Desktop\Bez tytułu 7.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43855" cy="2232660"/>
                    </a:xfrm>
                    <a:prstGeom prst="rect">
                      <a:avLst/>
                    </a:prstGeom>
                    <a:noFill/>
                    <a:ln>
                      <a:noFill/>
                    </a:ln>
                  </pic:spPr>
                </pic:pic>
              </a:graphicData>
            </a:graphic>
          </wp:inline>
        </w:drawing>
      </w:r>
    </w:p>
    <w:p w14:paraId="5C889F93" w14:textId="77777777" w:rsidR="00A9797A" w:rsidRPr="001B6D9E" w:rsidRDefault="00A9797A" w:rsidP="00A9797A">
      <w:pPr>
        <w:pStyle w:val="Teksttreci0"/>
        <w:shd w:val="clear" w:color="auto" w:fill="auto"/>
        <w:spacing w:after="0" w:line="276" w:lineRule="auto"/>
        <w:ind w:right="20" w:firstLine="0"/>
        <w:jc w:val="both"/>
        <w:rPr>
          <w:b/>
          <w:color w:val="000000"/>
          <w:sz w:val="22"/>
          <w:szCs w:val="24"/>
        </w:rPr>
      </w:pPr>
      <w:r w:rsidRPr="001B6D9E">
        <w:rPr>
          <w:b/>
          <w:color w:val="000000"/>
          <w:sz w:val="22"/>
          <w:szCs w:val="24"/>
        </w:rPr>
        <w:t>Źródło: dane z Ministerstwa Sprawiedliwości</w:t>
      </w:r>
    </w:p>
    <w:p w14:paraId="005EAD03"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4B200110"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 xml:space="preserve">Z uwagi na stałą fluktuację osób pozbawionych wolności bardzo ważnym aspektem jest analiza populacji osadzonych powyżej 61 roku życia w korelacji z ww. miernikiem. I tak w kolejnych latach ogólna populacja wszystkich osadzonych w jednostkach penitencjarnych w dniu 31.12 </w:t>
      </w:r>
      <w:r w:rsidRPr="005B49FD">
        <w:rPr>
          <w:color w:val="000000"/>
          <w:sz w:val="24"/>
          <w:szCs w:val="24"/>
        </w:rPr>
        <w:lastRenderedPageBreak/>
        <w:t>każdego roku wynosiła w kolejnych latach: 2015 r. - 70 836, 2016 r. - 71 528, 2017 r. - 73 822, w 2018 r. nastąpił spadek i liczba ta wynosiła 72 204 osadzonych, by ponownie wzrosnąć w 2019 r. do poziomu 74 130 osadzonych. W latach objętych analizą odnotowano stały wzrost populacji osadzonych powyżej 61 r. ż. w korelacji do populacji ogólnej. Oznacza to odpowiednio wzrost z 3,1 % w 2015 r. finalnie do 4,5 % w 2019 r.</w:t>
      </w:r>
      <w:r>
        <w:rPr>
          <w:color w:val="000000"/>
          <w:sz w:val="24"/>
          <w:szCs w:val="24"/>
        </w:rPr>
        <w:t xml:space="preserve"> </w:t>
      </w:r>
      <w:r w:rsidRPr="005B49FD">
        <w:rPr>
          <w:color w:val="000000"/>
          <w:sz w:val="24"/>
          <w:szCs w:val="24"/>
        </w:rPr>
        <w:t>Przedstawione powyższe dane liczbowe wskazują na stały wzrost populacji seniorów w izolacji penitencjarnej. Jest to tendencja zgodna z trendami obserwowanymi w środowisku otwartym, gdzie również przybywa osób powyżej 60 roku życia.</w:t>
      </w:r>
    </w:p>
    <w:p w14:paraId="25D5ACC4" w14:textId="77777777" w:rsidR="00A9797A" w:rsidRDefault="00A9797A" w:rsidP="00A9797A">
      <w:pPr>
        <w:pStyle w:val="Teksttreci0"/>
        <w:shd w:val="clear" w:color="auto" w:fill="auto"/>
        <w:spacing w:before="23" w:after="0" w:line="276" w:lineRule="auto"/>
        <w:ind w:right="20" w:firstLine="0"/>
        <w:jc w:val="both"/>
        <w:rPr>
          <w:rFonts w:asciiTheme="minorHAnsi" w:eastAsiaTheme="minorHAnsi" w:hAnsiTheme="minorHAnsi" w:cstheme="minorBidi"/>
          <w:sz w:val="22"/>
          <w:szCs w:val="22"/>
        </w:rPr>
      </w:pPr>
    </w:p>
    <w:p w14:paraId="115196ED" w14:textId="77777777" w:rsidR="00A9797A" w:rsidRPr="00470FB3" w:rsidRDefault="00A9797A" w:rsidP="00A9797A">
      <w:pPr>
        <w:pStyle w:val="Teksttreci0"/>
        <w:shd w:val="clear" w:color="auto" w:fill="auto"/>
        <w:spacing w:before="23" w:after="0" w:line="276" w:lineRule="auto"/>
        <w:ind w:right="20" w:firstLine="0"/>
        <w:jc w:val="both"/>
        <w:rPr>
          <w:b/>
          <w:color w:val="000000"/>
          <w:sz w:val="24"/>
          <w:szCs w:val="24"/>
        </w:rPr>
      </w:pPr>
      <w:r w:rsidRPr="00470FB3">
        <w:rPr>
          <w:b/>
          <w:color w:val="000000"/>
          <w:sz w:val="24"/>
          <w:szCs w:val="24"/>
        </w:rPr>
        <w:t>Sytuacja dochodowa, warunki bytowe, w tym warunki mieszkaniowe</w:t>
      </w:r>
    </w:p>
    <w:p w14:paraId="0217ACA9"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61478976" w14:textId="77777777" w:rsidR="00A9797A" w:rsidRPr="00FD1912" w:rsidRDefault="00A9797A" w:rsidP="00A9797A">
      <w:pPr>
        <w:pStyle w:val="Teksttreci0"/>
        <w:shd w:val="clear" w:color="auto" w:fill="auto"/>
        <w:spacing w:after="0" w:line="276" w:lineRule="auto"/>
        <w:ind w:right="20" w:firstLine="0"/>
        <w:jc w:val="both"/>
        <w:rPr>
          <w:i/>
          <w:sz w:val="24"/>
          <w:szCs w:val="24"/>
        </w:rPr>
      </w:pPr>
      <w:r w:rsidRPr="005B49FD">
        <w:rPr>
          <w:color w:val="000000"/>
          <w:sz w:val="24"/>
          <w:szCs w:val="24"/>
        </w:rPr>
        <w:t xml:space="preserve">Podstawowym aktem prawnym dopuszczającym stosowanie niezbędnej pomocy w formie: materialnej, medycznej, edukacyjnej, znalezieniu pracy i zakwaterowania, a także porad prawnych, </w:t>
      </w:r>
      <w:r w:rsidRPr="00FD1912">
        <w:rPr>
          <w:i/>
          <w:color w:val="000000"/>
          <w:sz w:val="24"/>
          <w:szCs w:val="24"/>
        </w:rPr>
        <w:t>jest ustawa z dnia 6 czerwca 1997 r. Kkw.</w:t>
      </w:r>
    </w:p>
    <w:p w14:paraId="10716B4F"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6A2E6E58"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Zgodnie z zapisem art. 67 Kkw, wykonywanie kary pozbawienia wolności ma na celu wzbudzanie w skazanym woli współdziałania w kształtowaniu jego społecznie pożądanych postaw, w szczególności poczucia odpowiedzialności oraz potrzeby przestrzegania porządku prawnego i tym samym powstrzymania się od powrotu do przestępstwa. Dla osiągnięcia tego celu prowadzi się oddziaływania penitencjarne, których najistotniejszą cechą jest indywidualizacja kary pozbawienia wolności. Oznacza to, że wszyscy skazani przyjmowani do zakładów karnych, poddawani są przez kadrę penitencjarną diagnozie i obejmowani, w miarę potrzeb, różnymi formami oddziaływań takimi jak między innymi: praca, programy resocjalizacyjne, kursy i szkolenia zawodowe, nauczanie czy też oddziaływania terapeutyczne.</w:t>
      </w:r>
    </w:p>
    <w:p w14:paraId="124C0C19" w14:textId="77777777" w:rsidR="00A9797A" w:rsidRDefault="00A9797A" w:rsidP="00427762">
      <w:pPr>
        <w:pStyle w:val="Teksttreci0"/>
        <w:shd w:val="clear" w:color="auto" w:fill="auto"/>
        <w:spacing w:after="0" w:line="276" w:lineRule="auto"/>
        <w:ind w:right="20" w:firstLine="0"/>
        <w:jc w:val="both"/>
        <w:rPr>
          <w:color w:val="000000"/>
          <w:sz w:val="24"/>
          <w:szCs w:val="24"/>
        </w:rPr>
      </w:pPr>
      <w:r w:rsidRPr="005B49FD">
        <w:rPr>
          <w:color w:val="000000"/>
          <w:sz w:val="24"/>
          <w:szCs w:val="24"/>
        </w:rPr>
        <w:t xml:space="preserve">Pierwsza wstępna weryfikacja sytuacji dochodowej, warunków bytowych, w tym warunków mieszkaniowych, następuje już w chwili przyjęcia osadzonego do jednostki penitencjarnej w rozmowie wstępnej. W sytuacji, gdy wychowawca określa deficyty w tym obszarze, rozpoczyna się etap niwelowania stwierdzonych braków. W zakładach karnych i aresztach śledczych pełnią służbę funkcjonariusze zajmujący się obszarem pomocy postpenitencjarnej. Zgodnie z zapisami Kkw pomocy udzielają osadzonym również organy administracji rządowej, samorządu terytorialnego i kuratorzy sądowi. Ustawa rozszerza krąg podmiotów uprawnionych do świadczenia takiej pomocy, wskazując na stowarzyszenia, fundacje, organizacje, a także kościoły i inne związki wyznaniowe, jak również osoby godne zaufania. Osadzeni mają więc możliwość uczestniczenia w spotkaniach z przedstawicielami instytucji wyspecjalizowanymi w pomocy osobom starszym, a w szczególności z pracownikami właściwych ośrodków pomocy społecznej, fundacji, stowarzyszeń, instytucji oraz innych podmiotów zewnętrznych zajmujących się problematyką osób powyżej 60 roku życia. Zakłady karne i areszty śledcze obejmują osadzonych znajdujących się w trudnej sytuacji życiowej pomocą, (m.in. z uwagi na stan zdrowia, ograniczenia wynikające z niepełnosprawności, bezdomności, trudności w znalezieniu zatrudnienia po zwolnieniu), w tym okresem, o którym mowa w art. 164§1 Kkw - czyli programem przygotowania do wolności. W ww. działaniach uczestniczy właściwy </w:t>
      </w:r>
      <w:r w:rsidRPr="005B49FD">
        <w:rPr>
          <w:color w:val="000000"/>
          <w:sz w:val="24"/>
          <w:szCs w:val="24"/>
        </w:rPr>
        <w:lastRenderedPageBreak/>
        <w:t>kurator zawodowy, a dodatkowo w tych przedsięwzięciach mogą współdziałać stowarzyszenia, fundacje, organizacje oraz instytucje, których celem działania jest realizacja zadań readaptacyjnych, jak również kościoły i inne związki wyznaniowe oraz osoby godne zaufania. W 2018 r. 198 skazanym seniorom udzielono pomocy w tej formie oddziaływań, a w 2019 r. ww. formą pomocy objęto 164 osób.</w:t>
      </w:r>
    </w:p>
    <w:p w14:paraId="0A78E4AA" w14:textId="77777777" w:rsidR="00427762" w:rsidRPr="00427762" w:rsidRDefault="00427762" w:rsidP="00427762">
      <w:pPr>
        <w:pStyle w:val="Teksttreci0"/>
        <w:shd w:val="clear" w:color="auto" w:fill="auto"/>
        <w:spacing w:after="0" w:line="276" w:lineRule="auto"/>
        <w:ind w:right="20" w:firstLine="0"/>
        <w:jc w:val="both"/>
        <w:rPr>
          <w:sz w:val="24"/>
          <w:szCs w:val="24"/>
        </w:rPr>
      </w:pPr>
    </w:p>
    <w:p w14:paraId="5AE90F78"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 xml:space="preserve">Na mocy </w:t>
      </w:r>
      <w:r w:rsidRPr="00FD1912">
        <w:rPr>
          <w:i/>
          <w:color w:val="000000"/>
          <w:sz w:val="24"/>
          <w:szCs w:val="24"/>
        </w:rPr>
        <w:t>rozporządzenia Ministra Sprawiedliwości z dnia 13 września 2017 r. w sprawie Funduszu Pomocy Pokrzywdzonym oraz Pomocy Postpenitencjarnej - Funduszu Sprawiedliwości</w:t>
      </w:r>
      <w:r w:rsidRPr="005B49FD">
        <w:rPr>
          <w:color w:val="000000"/>
          <w:sz w:val="24"/>
          <w:szCs w:val="24"/>
        </w:rPr>
        <w:t xml:space="preserve"> (Dz. U. 2017 r. poz. 1760) osadzeni mogą ubiegać się o finansowanie, w przypadku braku możliwości korzystania z środków budżetowych, między innymi na pokrywanie kosztów związanych ze specjalistycznym leczeniem lub rehabilitacją leczniczą oraz uzyskiwaniem orzeczeń o niepełnosprawności, stopniu niepełnosprawności lub niezdolności do pracy (3 przypadki w 2019 r. na kwotę 550 zł), pokrywaniu kosztów transportu specjalnego, zgodnie ze wskazaniami lekarskimi lub przejazdów do miejsca pobytu, nauki, terapii, pracy, zwłaszcza wykonywanej nieodpłatnie (w 2019 r. zrealizowano 141 takich transportów - w tym dla seniorów i wydatk</w:t>
      </w:r>
      <w:r>
        <w:rPr>
          <w:color w:val="000000"/>
          <w:sz w:val="24"/>
          <w:szCs w:val="24"/>
        </w:rPr>
        <w:t xml:space="preserve">owano na ten cel kwotę ponad 79 </w:t>
      </w:r>
      <w:r w:rsidRPr="005B49FD">
        <w:rPr>
          <w:color w:val="000000"/>
          <w:sz w:val="24"/>
          <w:szCs w:val="24"/>
        </w:rPr>
        <w:t>000 zł), pokrywania kosztów związanych z organizacją i udzielaniem pomocy rzeczowej w formie między innymi środków czystości i higieny osobistej, leków, środków opatrunkowych i sanitarnych, wyrobów medycznych, w tym protez, przedmiotów ortopedycznych i środków pomocniczych. W 2019 r. Służba Więzienna odnotowała 3</w:t>
      </w:r>
      <w:r>
        <w:rPr>
          <w:color w:val="000000"/>
          <w:sz w:val="24"/>
          <w:szCs w:val="24"/>
        </w:rPr>
        <w:t xml:space="preserve"> </w:t>
      </w:r>
      <w:r w:rsidRPr="005B49FD">
        <w:rPr>
          <w:color w:val="000000"/>
          <w:sz w:val="24"/>
          <w:szCs w:val="24"/>
        </w:rPr>
        <w:t>130 przypadków bezdomności u osadzonych, w tym u 384 seniorów. W tym zakresie podjęto 1</w:t>
      </w:r>
      <w:r>
        <w:rPr>
          <w:color w:val="000000"/>
          <w:sz w:val="24"/>
          <w:szCs w:val="24"/>
        </w:rPr>
        <w:t xml:space="preserve"> </w:t>
      </w:r>
      <w:r w:rsidRPr="005B49FD">
        <w:rPr>
          <w:color w:val="000000"/>
          <w:sz w:val="24"/>
          <w:szCs w:val="24"/>
        </w:rPr>
        <w:t>160 interwencji w sprawie utrzymania dotychczasowego mieszkania lub pozyskania nowego (w tym 240 dla osób starszych), 1</w:t>
      </w:r>
      <w:r>
        <w:rPr>
          <w:color w:val="000000"/>
          <w:sz w:val="24"/>
          <w:szCs w:val="24"/>
        </w:rPr>
        <w:t xml:space="preserve"> </w:t>
      </w:r>
      <w:r w:rsidRPr="005B49FD">
        <w:rPr>
          <w:color w:val="000000"/>
          <w:sz w:val="24"/>
          <w:szCs w:val="24"/>
        </w:rPr>
        <w:t>128 osób umieszczono w noclegowniach i schroniskach, a 55 zostało skierowanych do domów pomocy społecznej. Skazani objęci programem wolnościowym w trybie art. 164 Kkw mogą ubiegać się również o pokrywanie kosztów czasowego zakwaterowania - z tej formy pomocy skorzystało 13 osadzonych i w</w:t>
      </w:r>
      <w:r>
        <w:rPr>
          <w:color w:val="000000"/>
          <w:sz w:val="24"/>
          <w:szCs w:val="24"/>
        </w:rPr>
        <w:t xml:space="preserve">ydatkowano na ten cel prawie 30 </w:t>
      </w:r>
      <w:r w:rsidRPr="005B49FD">
        <w:rPr>
          <w:color w:val="000000"/>
          <w:sz w:val="24"/>
          <w:szCs w:val="24"/>
        </w:rPr>
        <w:t>000 zł. Osadzeni, którzy spełniają określone przepisami wymogi, mogą również otrzymać pomoc w zakresie okresowych dopłat do bieżących zobowiązań wynikających z utrzymania lokalu mieszkalnego (m. in. za czynsz, energię, wodę, gaz, opał, odbiór nieczystości itp.), takiego wsparcia ud</w:t>
      </w:r>
      <w:r>
        <w:rPr>
          <w:color w:val="000000"/>
          <w:sz w:val="24"/>
          <w:szCs w:val="24"/>
        </w:rPr>
        <w:t xml:space="preserve">zielono 87 razy na kwotę ok. 14 </w:t>
      </w:r>
      <w:r w:rsidRPr="005B49FD">
        <w:rPr>
          <w:color w:val="000000"/>
          <w:sz w:val="24"/>
          <w:szCs w:val="24"/>
        </w:rPr>
        <w:t>500 zł.</w:t>
      </w:r>
      <w:bookmarkStart w:id="99" w:name="bookmark6"/>
    </w:p>
    <w:p w14:paraId="3A0353E6"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2CB66836" w14:textId="77777777" w:rsidR="00A9797A" w:rsidRPr="00FD1912" w:rsidRDefault="00A9797A" w:rsidP="00A9797A">
      <w:pPr>
        <w:pStyle w:val="Teksttreci0"/>
        <w:shd w:val="clear" w:color="auto" w:fill="auto"/>
        <w:spacing w:after="0" w:line="276" w:lineRule="auto"/>
        <w:ind w:right="20" w:firstLine="0"/>
        <w:jc w:val="both"/>
        <w:rPr>
          <w:b/>
          <w:sz w:val="24"/>
          <w:szCs w:val="24"/>
        </w:rPr>
      </w:pPr>
      <w:r w:rsidRPr="00FD1912">
        <w:rPr>
          <w:b/>
          <w:color w:val="000000"/>
          <w:sz w:val="24"/>
          <w:szCs w:val="24"/>
        </w:rPr>
        <w:t>Aktywność zawodowa</w:t>
      </w:r>
      <w:bookmarkEnd w:id="99"/>
    </w:p>
    <w:p w14:paraId="6CC8A84C"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68ED4CCA"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W odniesieniu do aktywności zawodowej seniorów należy stwierdzić, że o ile tylko są tym zainteresowani i pozwala im na to stan ich zdrowia, kierowani są do zatrudnienia oraz podlegają szkoleniom kursowym. W przypadku kierowania skazanych do pracy jedynym ograniczeniem jest zdolność skazanego do wykonywania pracy, którą określa lekarz zgodnie z art. 121 §6 Kkw. Zgodnie z potrzebami lekarz określa również rodzaj, warunki i czas pracy.</w:t>
      </w:r>
    </w:p>
    <w:p w14:paraId="72A7D1D9"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2B2A6453"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W 2019 r. 174 skazanych seniorów uczestniczyło w kursach i szkoleniach zawodowych realizowanych w ramach Projektu POWER lub finansowanych z Funduszu Pomocy Pokrzywdzonym oraz Pomocy Postpenitencjarnej - Fund</w:t>
      </w:r>
      <w:r>
        <w:rPr>
          <w:color w:val="000000"/>
          <w:sz w:val="24"/>
          <w:szCs w:val="24"/>
        </w:rPr>
        <w:t>usz Sprawiedliwości (w 2018 r.</w:t>
      </w:r>
      <w:r w:rsidRPr="005B49FD">
        <w:rPr>
          <w:color w:val="000000"/>
          <w:sz w:val="24"/>
          <w:szCs w:val="24"/>
        </w:rPr>
        <w:t xml:space="preserve"> było </w:t>
      </w:r>
      <w:r w:rsidRPr="005B49FD">
        <w:rPr>
          <w:color w:val="000000"/>
          <w:sz w:val="24"/>
          <w:szCs w:val="24"/>
        </w:rPr>
        <w:lastRenderedPageBreak/>
        <w:t>to 190 osób). Natomiast 21 osadzonych z ww. grupy uczęszczało do Centrów Kształcenia Ustawicznego (stan na 31.12.2019 r.) podwyższając poziom wykształcenia i kwalifikacje zawodowe (w 2018 r. - 25 skazanych).</w:t>
      </w:r>
      <w:r>
        <w:rPr>
          <w:color w:val="000000"/>
          <w:sz w:val="24"/>
          <w:szCs w:val="24"/>
        </w:rPr>
        <w:t xml:space="preserve"> </w:t>
      </w:r>
    </w:p>
    <w:p w14:paraId="14578C9C"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7DBA08F2"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Skazani seniorzy podejmowali również aktywność zawodową. W zeszłym roku 518 osadzonych było zatrudnionych odpłatnie, a 1</w:t>
      </w:r>
      <w:r>
        <w:rPr>
          <w:color w:val="000000"/>
          <w:sz w:val="24"/>
          <w:szCs w:val="24"/>
        </w:rPr>
        <w:t xml:space="preserve"> </w:t>
      </w:r>
      <w:r w:rsidRPr="005B49FD">
        <w:rPr>
          <w:color w:val="000000"/>
          <w:sz w:val="24"/>
          <w:szCs w:val="24"/>
        </w:rPr>
        <w:t>092 nieodpłatnie.</w:t>
      </w:r>
      <w:bookmarkStart w:id="100" w:name="bookmark7"/>
    </w:p>
    <w:p w14:paraId="64F628AB" w14:textId="77777777" w:rsidR="00A9797A" w:rsidRDefault="00A9797A" w:rsidP="00A9797A">
      <w:pPr>
        <w:pStyle w:val="Teksttreci0"/>
        <w:shd w:val="clear" w:color="auto" w:fill="auto"/>
        <w:spacing w:after="0" w:line="276" w:lineRule="auto"/>
        <w:ind w:right="20" w:firstLine="0"/>
        <w:jc w:val="left"/>
        <w:rPr>
          <w:color w:val="000000"/>
          <w:sz w:val="24"/>
          <w:szCs w:val="24"/>
        </w:rPr>
      </w:pPr>
    </w:p>
    <w:p w14:paraId="52831298" w14:textId="77777777" w:rsidR="00A9797A" w:rsidRPr="00FD1912" w:rsidRDefault="00A9797A" w:rsidP="00A9797A">
      <w:pPr>
        <w:pStyle w:val="Teksttreci0"/>
        <w:shd w:val="clear" w:color="auto" w:fill="auto"/>
        <w:spacing w:after="0" w:line="276" w:lineRule="auto"/>
        <w:ind w:right="20" w:firstLine="0"/>
        <w:jc w:val="left"/>
        <w:rPr>
          <w:b/>
          <w:sz w:val="24"/>
          <w:szCs w:val="24"/>
        </w:rPr>
      </w:pPr>
      <w:r w:rsidRPr="00FD1912">
        <w:rPr>
          <w:b/>
          <w:color w:val="000000"/>
          <w:sz w:val="24"/>
          <w:szCs w:val="24"/>
        </w:rPr>
        <w:t>Sytuacja rodzinna i struktura gospodarstw domowych</w:t>
      </w:r>
      <w:bookmarkEnd w:id="100"/>
    </w:p>
    <w:p w14:paraId="096D2F55" w14:textId="77777777" w:rsidR="00A9797A" w:rsidRDefault="00A9797A" w:rsidP="00A9797A">
      <w:pPr>
        <w:pStyle w:val="Teksttreci0"/>
        <w:shd w:val="clear" w:color="auto" w:fill="auto"/>
        <w:spacing w:after="0" w:line="276" w:lineRule="auto"/>
        <w:ind w:right="20" w:firstLine="0"/>
        <w:jc w:val="left"/>
        <w:rPr>
          <w:color w:val="000000"/>
          <w:sz w:val="24"/>
          <w:szCs w:val="24"/>
        </w:rPr>
      </w:pPr>
    </w:p>
    <w:p w14:paraId="3CBD88C0"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Długotrwała izolacja powoduje ciągłe i niekorzystne następstwa psychiczne i społeczne. Osadzenie w jednostkach penitencjarnych wywołuje u skazanych proces prizonizacji, czyli uwięziennienia, który definiuje się jako stan bardzo dobrego przystosowania do warunków panujących w zakładzie karnym, połączony z lękiem przed życiem na wolności. W związku z tym mają oni duże problemy w odnalezieniu się w społeczeństwie i powrotem do rodziny.</w:t>
      </w:r>
    </w:p>
    <w:p w14:paraId="4E34026B"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3C4DA674"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Ważnym aspektem oddziaływań kierowanych do osób pozbawionych wolności jest możliwość poprawy lub nawet odbudowania kontaktów z osobami bliskimi. Skazani, u których zdiagnozowano taki deficyt mają możliwość uczestniczenia w profesjonalnych zajęciach niwelujących stwierdzone u nich dysfunkcje społeczne. Dzięki</w:t>
      </w:r>
      <w:r>
        <w:rPr>
          <w:color w:val="000000"/>
          <w:sz w:val="24"/>
          <w:szCs w:val="24"/>
        </w:rPr>
        <w:t xml:space="preserve"> dobrowolności uczestnictwa jak </w:t>
      </w:r>
      <w:r w:rsidRPr="005B49FD">
        <w:rPr>
          <w:color w:val="000000"/>
          <w:sz w:val="24"/>
          <w:szCs w:val="24"/>
        </w:rPr>
        <w:t>i odpowiedniej pracy motywującej skazanych, kadra Służby Więziennej daje im szansę na zmianę dotychczasowego stylu życia. Dlatego tak ważne jest kontynuowanie podjętych już działań w jednostkach penitencjarnych przez instytucje zewnętrzne i przez środowisko otwarte. Skazani mogą skorzystać z pełnej oferty programów resocjalizacyjnych, zajęć kulturalno - oświatowych w ramach których organizowane są spotkania z osobami najbliższymi. Służba Więzienna kładzie duży nacisk na pracę ze sprawcami przemocy domowej. Dedykowane są im rekomendowane programy: Stop przemocy - druga szansa i Duluth. W prowadzonych oddziaływaniach w ww. obszarze biorą udział na równych prawach wszyscy skazani, w tym seniorzy.</w:t>
      </w:r>
    </w:p>
    <w:p w14:paraId="09F772FB"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7502BB8E" w14:textId="77777777" w:rsidR="00A9797A"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W celu ułatwienia kontaktu z osobami najbliższymi skazani mogą korzystać z komunikatorów internetowych i rozmawiać przez Internet poza limitem widzeń wynikających z Kkw, oraz wystąpić z wnioskiem do dyrektora jednostki penitencjarnej o udzielenie dodatkowego widzenia.</w:t>
      </w:r>
    </w:p>
    <w:p w14:paraId="04E23585" w14:textId="77777777" w:rsidR="00A9797A" w:rsidRDefault="00A9797A" w:rsidP="00A9797A">
      <w:pPr>
        <w:pStyle w:val="Teksttreci0"/>
        <w:shd w:val="clear" w:color="auto" w:fill="auto"/>
        <w:spacing w:after="0" w:line="276" w:lineRule="auto"/>
        <w:ind w:right="20" w:firstLine="0"/>
        <w:jc w:val="both"/>
        <w:rPr>
          <w:sz w:val="24"/>
          <w:szCs w:val="24"/>
        </w:rPr>
      </w:pPr>
    </w:p>
    <w:p w14:paraId="752BD766" w14:textId="77777777" w:rsidR="00A9797A" w:rsidRPr="00435479" w:rsidRDefault="00A9797A" w:rsidP="00A9797A">
      <w:pPr>
        <w:autoSpaceDE w:val="0"/>
        <w:autoSpaceDN w:val="0"/>
        <w:adjustRightInd w:val="0"/>
        <w:spacing w:after="0" w:line="240" w:lineRule="auto"/>
        <w:jc w:val="both"/>
        <w:rPr>
          <w:rFonts w:ascii="Times New Roman" w:hAnsi="Times New Roman" w:cs="Times New Roman"/>
          <w:b/>
          <w:bCs/>
          <w:sz w:val="24"/>
          <w:szCs w:val="24"/>
        </w:rPr>
      </w:pPr>
      <w:r w:rsidRPr="00435479">
        <w:rPr>
          <w:rFonts w:ascii="Times New Roman" w:hAnsi="Times New Roman" w:cs="Times New Roman"/>
          <w:b/>
          <w:bCs/>
          <w:sz w:val="24"/>
          <w:szCs w:val="24"/>
        </w:rPr>
        <w:t>Stan zdrowia i jego uwarunkowania oraz jakość życia związana ze zdrowiem, w tym dostępność do świadczeń opieki zdrowotnej finan</w:t>
      </w:r>
      <w:r>
        <w:rPr>
          <w:rFonts w:ascii="Times New Roman" w:hAnsi="Times New Roman" w:cs="Times New Roman"/>
          <w:b/>
          <w:bCs/>
          <w:sz w:val="24"/>
          <w:szCs w:val="24"/>
        </w:rPr>
        <w:t>sowanych ze środków publicznych</w:t>
      </w:r>
    </w:p>
    <w:p w14:paraId="2DF36B14" w14:textId="77777777" w:rsidR="00A9797A" w:rsidRPr="006E663A" w:rsidRDefault="00A9797A" w:rsidP="00A9797A">
      <w:pPr>
        <w:autoSpaceDE w:val="0"/>
        <w:autoSpaceDN w:val="0"/>
        <w:adjustRightInd w:val="0"/>
        <w:spacing w:after="0" w:line="240" w:lineRule="auto"/>
        <w:jc w:val="both"/>
        <w:rPr>
          <w:rFonts w:ascii="Times New Roman" w:hAnsi="Times New Roman" w:cs="Times New Roman"/>
          <w:bCs/>
          <w:i/>
          <w:sz w:val="24"/>
          <w:szCs w:val="24"/>
        </w:rPr>
      </w:pPr>
    </w:p>
    <w:p w14:paraId="6E5F9E07" w14:textId="77777777" w:rsidR="00A9797A" w:rsidRPr="00435479" w:rsidRDefault="00A9797A" w:rsidP="00A9797A">
      <w:pPr>
        <w:autoSpaceDE w:val="0"/>
        <w:autoSpaceDN w:val="0"/>
        <w:adjustRightInd w:val="0"/>
        <w:spacing w:after="0" w:line="240" w:lineRule="auto"/>
        <w:jc w:val="both"/>
        <w:rPr>
          <w:rFonts w:ascii="Times New Roman" w:hAnsi="Times New Roman" w:cs="Times New Roman"/>
          <w:color w:val="000000"/>
          <w:sz w:val="24"/>
          <w:szCs w:val="24"/>
        </w:rPr>
      </w:pPr>
      <w:r w:rsidRPr="006E663A">
        <w:rPr>
          <w:rFonts w:ascii="Times New Roman" w:hAnsi="Times New Roman" w:cs="Times New Roman"/>
          <w:sz w:val="24"/>
          <w:szCs w:val="24"/>
        </w:rPr>
        <w:t xml:space="preserve">Wszystkim osadzonym, w tym osobom starszym zapewnia się świadczenia zdrowotne w niezbędnym zakresie, zgodnie z art. 115 </w:t>
      </w:r>
      <w:r w:rsidRPr="00435479">
        <w:rPr>
          <w:rFonts w:ascii="Times New Roman" w:hAnsi="Times New Roman" w:cs="Times New Roman"/>
          <w:i/>
          <w:sz w:val="24"/>
          <w:szCs w:val="24"/>
        </w:rPr>
        <w:t>Kodeksu karnego wykonawczego</w:t>
      </w:r>
      <w:r w:rsidRPr="006E663A">
        <w:rPr>
          <w:rFonts w:ascii="Times New Roman" w:hAnsi="Times New Roman" w:cs="Times New Roman"/>
          <w:sz w:val="24"/>
          <w:szCs w:val="24"/>
        </w:rPr>
        <w:t xml:space="preserve">. We wszystkich </w:t>
      </w:r>
      <w:r w:rsidRPr="006E663A">
        <w:rPr>
          <w:rFonts w:ascii="Times New Roman" w:hAnsi="Times New Roman" w:cs="Times New Roman"/>
          <w:color w:val="000000"/>
          <w:sz w:val="24"/>
          <w:szCs w:val="24"/>
        </w:rPr>
        <w:t xml:space="preserve">jednostkach penitencjarnych funkcjonują podmioty lecznicze dla osób pozbawionych wolności, w ramach których udzielane są osadzonym świadczenia zdrowotne w niezbędnym dla nich zakresie. O sposobie i miejscu leczenia decyduje lekarz więzienny. Zasadą jest udzielanie świadczeń przede wszystkim w podmiotach leczniczych zakładów karnych lub </w:t>
      </w:r>
      <w:r w:rsidRPr="006E663A">
        <w:rPr>
          <w:rFonts w:ascii="Times New Roman" w:hAnsi="Times New Roman" w:cs="Times New Roman"/>
          <w:color w:val="000000"/>
          <w:sz w:val="24"/>
          <w:szCs w:val="24"/>
        </w:rPr>
        <w:lastRenderedPageBreak/>
        <w:t>aresztów śledczych, natomiast w przypadku zaistnienia przesłanek określonych w Kkw - również udzielanie świadczeń w podmiotach pozawięziennych, dotyczy to w szczególności świadczeń wysokospecjalistycznych lub sytuacji nagłego zagrożenia zdrowia lub życia.</w:t>
      </w:r>
    </w:p>
    <w:p w14:paraId="653E627C"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6E663A">
        <w:rPr>
          <w:color w:val="000000"/>
          <w:sz w:val="24"/>
          <w:szCs w:val="24"/>
        </w:rPr>
        <w:t xml:space="preserve">W więziennych podmiotach leczniczych przestrzegane są prawa pacjenta określone w </w:t>
      </w:r>
      <w:r w:rsidRPr="00435479">
        <w:rPr>
          <w:i/>
          <w:color w:val="000000"/>
          <w:sz w:val="24"/>
          <w:szCs w:val="24"/>
        </w:rPr>
        <w:t xml:space="preserve">ustawie z dnia 6 listopada 2008 r. o prawach pacjenta i Rzeczniku Praw Pacjenta tj. z dnia 4 maja 2020 r. </w:t>
      </w:r>
      <w:r w:rsidRPr="006E663A">
        <w:rPr>
          <w:color w:val="000000"/>
          <w:sz w:val="24"/>
          <w:szCs w:val="24"/>
        </w:rPr>
        <w:t>(Dz.U. z 2020 r. poz. 849) , z uwzględnieniem ograniczeń wynikających z przepisów Kkw.</w:t>
      </w:r>
      <w:r>
        <w:rPr>
          <w:sz w:val="24"/>
          <w:szCs w:val="24"/>
        </w:rPr>
        <w:t xml:space="preserve"> </w:t>
      </w:r>
      <w:r w:rsidRPr="006E663A">
        <w:rPr>
          <w:color w:val="000000"/>
          <w:sz w:val="24"/>
          <w:szCs w:val="24"/>
        </w:rPr>
        <w:t xml:space="preserve">Zgodnie z obowiązującymi przepisami każdy osadzony przy przyjęciu do aresztu śledczego lub zakładu karnego jest badany przez lekarza, który wydaje zalecenia odnośnie dalszego postępowania, w tym np. umieszczenia w celi przystosowanej dla osób niepełnosprawnych, bezpłatnego zaopatrzenia w niezbędne protezy, przedmioty ortopedyczne i środki pomocnicze oraz wydaje inne zalecenia dotyczące np. odstępstw od </w:t>
      </w:r>
      <w:r w:rsidRPr="00435479">
        <w:rPr>
          <w:i/>
          <w:color w:val="000000"/>
          <w:sz w:val="24"/>
          <w:szCs w:val="24"/>
        </w:rPr>
        <w:t>rozporządzenia Ministra Sprawiedliwości z dnia 21 grudnia 2016 r. w sprawie regulaminów organizacyjno- porządkowych wykonywania kary pozbawienia wolności</w:t>
      </w:r>
      <w:r w:rsidRPr="006E663A">
        <w:rPr>
          <w:color w:val="000000"/>
          <w:sz w:val="24"/>
          <w:szCs w:val="24"/>
        </w:rPr>
        <w:t xml:space="preserve"> (Dz.U. 2016 poz. 2231) oraz </w:t>
      </w:r>
      <w:r w:rsidRPr="00435479">
        <w:rPr>
          <w:i/>
          <w:color w:val="000000"/>
          <w:sz w:val="24"/>
          <w:szCs w:val="24"/>
        </w:rPr>
        <w:t>rozporządzenia Ministra Sprawiedliwości z dnia 22 grudnia 2016 r. w sprawie regulaminu organizacyjno-porządkowego wykonywania tymczasowego aresztowania</w:t>
      </w:r>
      <w:r w:rsidRPr="006E663A">
        <w:rPr>
          <w:color w:val="000000"/>
          <w:sz w:val="24"/>
          <w:szCs w:val="24"/>
        </w:rPr>
        <w:t xml:space="preserve"> (DZ. U. 2016 poz.2290), wynikające z ewentualnych ograniczeń stwierdzonych u osadzonego starszego lub/i niepełnosprawnego.</w:t>
      </w:r>
    </w:p>
    <w:p w14:paraId="25551746" w14:textId="77777777" w:rsidR="00A9797A" w:rsidRPr="006E663A" w:rsidRDefault="00A9797A" w:rsidP="00A9797A">
      <w:pPr>
        <w:pStyle w:val="Teksttreci0"/>
        <w:shd w:val="clear" w:color="auto" w:fill="auto"/>
        <w:spacing w:after="0" w:line="276" w:lineRule="auto"/>
        <w:ind w:right="20" w:firstLine="0"/>
        <w:jc w:val="both"/>
        <w:rPr>
          <w:sz w:val="24"/>
          <w:szCs w:val="24"/>
        </w:rPr>
      </w:pPr>
    </w:p>
    <w:p w14:paraId="4C6AA54E"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6E663A">
        <w:rPr>
          <w:color w:val="000000"/>
          <w:sz w:val="24"/>
          <w:szCs w:val="24"/>
        </w:rPr>
        <w:t>Ponadto więzienna służba zdrowia dostrzegając problemy osób starszych i fakt, że również w jednostkach penitencjarnych będzie rosła populacja osób niepełnosprawnych w związku z wiekiem, zakończyła inwestycję w szpitalu Zakładu Karnego w Czarnem i w Areszcie Śledczym w Bytomiu, która pozwoli na zwiększenie liczby miejsc, radykalną poprawę warunków w oddziałach dla przewlekle chorych, a także na skrócenie czasu oczekiwania na przyjęcie.</w:t>
      </w:r>
    </w:p>
    <w:p w14:paraId="3254891D" w14:textId="77777777" w:rsidR="00A9797A" w:rsidRPr="006E663A" w:rsidRDefault="00A9797A" w:rsidP="00A9797A">
      <w:pPr>
        <w:pStyle w:val="Teksttreci0"/>
        <w:shd w:val="clear" w:color="auto" w:fill="auto"/>
        <w:spacing w:after="0" w:line="276" w:lineRule="auto"/>
        <w:ind w:right="20" w:firstLine="0"/>
        <w:jc w:val="both"/>
        <w:rPr>
          <w:sz w:val="24"/>
          <w:szCs w:val="24"/>
        </w:rPr>
      </w:pPr>
    </w:p>
    <w:p w14:paraId="701CE6F6"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6E663A">
        <w:rPr>
          <w:color w:val="000000"/>
          <w:sz w:val="24"/>
          <w:szCs w:val="24"/>
        </w:rPr>
        <w:t xml:space="preserve">Pomimo barier wynikających z zastanej sytuacji architektonicznej w jednostkach penitencjarnych funkcjonują wyodrębnione cele dla osób niepełnosprawnych, w tym starszych i poruszających się na wózkach inwalidzkich. Każdorazowo w trakcie modernizacji podmiotów leczniczych funkcjonujących w jednostkach penitencjarnych uwzględniane są potrzeby dostosowania pomieszczeń szpitali, ambulatoriów i izb chorych w tym dla potrzeb osób niepełnosprawnych zgodnie z </w:t>
      </w:r>
      <w:r w:rsidRPr="00435479">
        <w:rPr>
          <w:i/>
          <w:color w:val="000000"/>
          <w:sz w:val="24"/>
          <w:szCs w:val="24"/>
        </w:rPr>
        <w:t>rozporządzeniem Ministra Sprawiedliwości z dnia 5 lipca 2012 roku w sprawie szczegółowych wymagań, jakim powinny odpowiadać pomieszczenia i urządzenia podmiotu leczniczego dla osób pozbawionych wolności</w:t>
      </w:r>
      <w:r w:rsidRPr="006E663A">
        <w:rPr>
          <w:color w:val="000000"/>
          <w:sz w:val="24"/>
          <w:szCs w:val="24"/>
        </w:rPr>
        <w:t xml:space="preserve"> (Dz. U. 2012, poz. 808 z póź. zm.).</w:t>
      </w:r>
    </w:p>
    <w:p w14:paraId="1FD56BDF" w14:textId="77777777" w:rsidR="00A9797A" w:rsidRPr="006E663A" w:rsidRDefault="00A9797A" w:rsidP="00A9797A">
      <w:pPr>
        <w:pStyle w:val="Teksttreci0"/>
        <w:shd w:val="clear" w:color="auto" w:fill="auto"/>
        <w:spacing w:after="0" w:line="276" w:lineRule="auto"/>
        <w:ind w:right="20" w:firstLine="0"/>
        <w:jc w:val="both"/>
        <w:rPr>
          <w:sz w:val="24"/>
          <w:szCs w:val="24"/>
        </w:rPr>
      </w:pPr>
    </w:p>
    <w:p w14:paraId="59981144"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6E663A">
        <w:rPr>
          <w:color w:val="000000"/>
          <w:sz w:val="24"/>
          <w:szCs w:val="24"/>
        </w:rPr>
        <w:t>Obserwowane starzenie się społeczeństwa przenosi się w sposób oczywisty na populację więźniów, a co za tym idzie, w sposób istotny wzrasta liczba osadzonych ze schorzeniami wieku starszego, dlatego też zdaniem Służby Więziennej podstawowym profilem więziennych oddziałów szpitalnych powinna być szeroko pojmowana interna (w tym opieka paliatywna) oraz psychiatria. Pod rozwagę należy poddać sukcesywne przekształcanie obecnych oddziałów chorób wewnętrznych w oddziały wieloprofilowe zachowawcze oraz ich rozwój.</w:t>
      </w:r>
    </w:p>
    <w:p w14:paraId="39DB53F1" w14:textId="77777777" w:rsidR="00A9797A" w:rsidRPr="006E663A" w:rsidRDefault="00A9797A" w:rsidP="00A9797A">
      <w:pPr>
        <w:pStyle w:val="Teksttreci0"/>
        <w:shd w:val="clear" w:color="auto" w:fill="auto"/>
        <w:spacing w:after="0" w:line="276" w:lineRule="auto"/>
        <w:ind w:right="20" w:firstLine="0"/>
        <w:jc w:val="both"/>
        <w:rPr>
          <w:sz w:val="24"/>
          <w:szCs w:val="24"/>
        </w:rPr>
      </w:pPr>
    </w:p>
    <w:p w14:paraId="2E301028" w14:textId="77777777" w:rsidR="00A9797A" w:rsidRPr="006E663A" w:rsidRDefault="00A9797A" w:rsidP="00A9797A">
      <w:pPr>
        <w:pStyle w:val="Teksttreci0"/>
        <w:shd w:val="clear" w:color="auto" w:fill="auto"/>
        <w:spacing w:after="0" w:line="276" w:lineRule="auto"/>
        <w:ind w:right="20" w:firstLine="0"/>
        <w:jc w:val="both"/>
        <w:rPr>
          <w:sz w:val="24"/>
          <w:szCs w:val="24"/>
        </w:rPr>
      </w:pPr>
      <w:r w:rsidRPr="006E663A">
        <w:rPr>
          <w:color w:val="000000"/>
          <w:sz w:val="24"/>
          <w:szCs w:val="24"/>
        </w:rPr>
        <w:lastRenderedPageBreak/>
        <w:t>W ramach więziennictwa funkcjonuje Oddział Rehabilitacji Narządu Ruchu w Zakładzie Karnym nr 2 w Łodzi i wspomniany wcześniej Oddział dla Przewlekłe Chorych w Zakładzie Karnym w Czarnem i Areszcie Śledczym w Bytomiu (inwestycja zakończona, w trakcie wyposażania), do których są kierowani osadzeni wymagający zabiegów w trybie szpitalnym lub wymagający z powodu stanu ogólnego lub niepełnosprawności długotrwałej hospitalizacji.</w:t>
      </w:r>
    </w:p>
    <w:p w14:paraId="04E88C93"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6E663A">
        <w:rPr>
          <w:color w:val="000000"/>
          <w:sz w:val="24"/>
          <w:szCs w:val="24"/>
        </w:rPr>
        <w:t>Więźniowie seniorzy, którzy ze względu na stan zdrowia fizycznego i psychicznego nie wymagają stałej opieki medycznej w warunkach szpitalnych, mogą przebywać w zwykłych lub terapeutycznych oddziałach mieszkalnych, a niezbędna pomoc w codziennym funkcjonowaniu może być świadczona przez innych więźniów, którzy ukończyli kurs opiekuna osób starszych i niepełnosprawnych i są zatrudniani przez Służbę Więzienną do takich czynności - jest to praktyka bardzo cenna i wymagająca popularyzacji.</w:t>
      </w:r>
    </w:p>
    <w:p w14:paraId="6865A629" w14:textId="77777777" w:rsidR="00A9797A" w:rsidRPr="006E663A" w:rsidRDefault="00A9797A" w:rsidP="00A9797A">
      <w:pPr>
        <w:pStyle w:val="Teksttreci0"/>
        <w:shd w:val="clear" w:color="auto" w:fill="auto"/>
        <w:spacing w:after="0" w:line="276" w:lineRule="auto"/>
        <w:ind w:right="20" w:firstLine="0"/>
        <w:jc w:val="both"/>
        <w:rPr>
          <w:sz w:val="24"/>
          <w:szCs w:val="24"/>
        </w:rPr>
      </w:pPr>
    </w:p>
    <w:p w14:paraId="1EA46D08"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6E663A">
        <w:rPr>
          <w:color w:val="000000"/>
          <w:sz w:val="24"/>
          <w:szCs w:val="24"/>
        </w:rPr>
        <w:t>Służba Więzienna, dostrzegając sytuację osób starszych, a także skazanych niepełnosprawnych i chorych, w ostatnich latach podjęła działania mające na celu opracowanie i wdrożenie do codziennej praktyki rozwiązań, które w założeniu powinny skutkować podniesieniem jakości prowadzonych wobec tych wrażliwych grup osadzonych oddziaływań. Prowadzona jest działalność szkoleniowa dla funkcjonariuszy i pracowników więziennictwa, w celu przeciwdziałania ewentualnej dyskryminacji, nierównemu lub niehumanitarnemu traktowaniu seniorów, chorych, niepełnosprawnych. Ich adresatami są funkcjonariusze wszystkich służb realizujących swoje zadania służbowe w jednostkach penitencjarnych. Działania szkoleniowe uzupełniane są innymi formami, np. stałym punktem narad i odpraw służbowych, których tematyka dotyczy m.in. empatii, wrażliwości, humanitaryzmu i poszanowania godności ludzkiej.</w:t>
      </w:r>
    </w:p>
    <w:p w14:paraId="24F7823B"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464BDF5C" w14:textId="77777777" w:rsidR="00A9797A" w:rsidRPr="00435479" w:rsidRDefault="00A9797A" w:rsidP="00A9797A">
      <w:pPr>
        <w:pStyle w:val="Teksttreci0"/>
        <w:shd w:val="clear" w:color="auto" w:fill="auto"/>
        <w:spacing w:after="0" w:line="276" w:lineRule="auto"/>
        <w:ind w:right="20" w:firstLine="0"/>
        <w:jc w:val="both"/>
        <w:rPr>
          <w:b/>
          <w:color w:val="000000"/>
          <w:sz w:val="24"/>
          <w:szCs w:val="24"/>
        </w:rPr>
      </w:pPr>
      <w:r w:rsidRPr="00435479">
        <w:rPr>
          <w:b/>
          <w:color w:val="000000"/>
          <w:sz w:val="24"/>
          <w:szCs w:val="24"/>
        </w:rPr>
        <w:t>Dostępność i poziom usług socjalnych, w tym opiekuńczych</w:t>
      </w:r>
    </w:p>
    <w:p w14:paraId="67C4A2AA"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7DA13037"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W ostatniej fazie życia dla człowieka niezbędne jest zaspokojenie potrzeby bezpieczeństwa emocjonalnego, przynależności, życzliwości, afirmacji siebie i świata, a także uznania i bycia użytecznym. Część z tych potrzeb jest intensywniej przeżywana niż na wcześniejszych etapach życia. W tym wypadku ogromną rolę mogą odgrywać zindywidualizowane oddziaływania penitencjarne, np. odbywanie kary w systemie terapeutycznym lub programowanego oddziaływania, udział w programach readaptacyjnych.</w:t>
      </w:r>
    </w:p>
    <w:p w14:paraId="2BC3B3BB"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0DD2C941" w14:textId="77777777" w:rsidR="00A9797A" w:rsidRPr="00B53409"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 xml:space="preserve">Podczas wykonywania tymczasowego aresztowania oraz odbywania kary pozbawienia wolności osadzeni seniorzy mają zapewniony dostęp do usług socjalnych, w tym opiekuńczych. Realizowany jest on poprzez zapewnianie odpowiednich warunków socjalno - bytowych, zgodnych z regulacjami </w:t>
      </w:r>
      <w:r w:rsidRPr="00B53409">
        <w:rPr>
          <w:i/>
          <w:color w:val="000000"/>
          <w:sz w:val="24"/>
          <w:szCs w:val="24"/>
        </w:rPr>
        <w:t>rozporządzenia Ministra Sprawiedliwości z dnia 19 grudnia 2016 r. w sprawie warunków bytowych osób osadzonych w zakładach karnych i aresztach śledczych</w:t>
      </w:r>
      <w:r w:rsidRPr="005B49FD">
        <w:rPr>
          <w:color w:val="000000"/>
          <w:sz w:val="24"/>
          <w:szCs w:val="24"/>
        </w:rPr>
        <w:t xml:space="preserve">. Zapewnienie dostępu do stosownych usług socjalnych i opiekuńczych po opuszczeniu warunków izolacji penitencjarnej realizowane jest poprzez indywidualne ustalanie potrzeb postpenitencjarnych i ich zabezpieczanie w ramach Indywidualnego Programu Readaptacji Społecznej opracowywanego we współpracy z kuratorem sądowym w następstwie </w:t>
      </w:r>
      <w:r w:rsidRPr="005B49FD">
        <w:rPr>
          <w:color w:val="000000"/>
          <w:sz w:val="24"/>
          <w:szCs w:val="24"/>
        </w:rPr>
        <w:lastRenderedPageBreak/>
        <w:t>objęcia osadzonego okresem, o którym mowa w art. 164 §1 Kkw. W jednostkach penitencjarnych corocznie organizowane są spotkania osadzonych z pracownikami socjalnymi gminnych i miejskich ośrodków pomocy społecznej mającymi na celu zaznajomienie osadzonych z przepisami dotyczącymi możliwości uzyskania pomocy w ośrodkach pomocy społecznej przez nich samych oraz członków ich rodzin. Tą formą pomocy objętych było w 2019 r. 3009 osadzonych. Ponadto Służba Więzienna wysłała 2349 powiadomień do ośrodków pomocy społecznej w sprawach skazanych - w tym seniorów.</w:t>
      </w:r>
    </w:p>
    <w:p w14:paraId="7AD5309B" w14:textId="77777777" w:rsidR="00C010B3" w:rsidRDefault="00C010B3" w:rsidP="00A9797A">
      <w:pPr>
        <w:pStyle w:val="Teksttreci0"/>
        <w:shd w:val="clear" w:color="auto" w:fill="auto"/>
        <w:spacing w:after="0" w:line="276" w:lineRule="auto"/>
        <w:ind w:right="20" w:firstLine="0"/>
        <w:jc w:val="both"/>
        <w:rPr>
          <w:color w:val="000000"/>
          <w:sz w:val="24"/>
          <w:szCs w:val="24"/>
        </w:rPr>
      </w:pPr>
    </w:p>
    <w:p w14:paraId="6A7F7E8E" w14:textId="61C5C2F6"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W 2019</w:t>
      </w:r>
      <w:r>
        <w:rPr>
          <w:color w:val="000000"/>
          <w:sz w:val="24"/>
          <w:szCs w:val="24"/>
        </w:rPr>
        <w:t xml:space="preserve"> r.</w:t>
      </w:r>
      <w:r w:rsidRPr="005B49FD">
        <w:rPr>
          <w:color w:val="000000"/>
          <w:sz w:val="24"/>
          <w:szCs w:val="24"/>
        </w:rPr>
        <w:t xml:space="preserve"> kontynuowano realizację zadań z zakresu przygotowania osadzonych (w tym również seniorów) do readaptacji społecznej wynikających z Kkw oraz przepisów wykonawczych. W 2019 r. 642 osadzonych uzyskało orzeczenia o niepełnosprawności lub stopniu niepełnosprawności, 151 niezdolność do zatrudnienia (rentę chorobową) i 30 rentę socjalną. W przypadku 28 osób wszczęto ww. działania, a orzeczenia wpłyną w 2020 r. W 2019 r. 416 osadzonych pobierało renty, a 55 zostało umieszczonych w Domach Pomocy Społecznej po zakończeniu odbywania kary pozbawienia wolności lub tymczasowego aresztowania. W ubiegłym rok</w:t>
      </w:r>
      <w:r w:rsidR="00C010B3">
        <w:rPr>
          <w:color w:val="000000"/>
          <w:sz w:val="24"/>
          <w:szCs w:val="24"/>
        </w:rPr>
        <w:t>u 42 osadzonych nabyło uprawnienia emerytalne</w:t>
      </w:r>
      <w:r w:rsidRPr="005B49FD">
        <w:rPr>
          <w:color w:val="000000"/>
          <w:sz w:val="24"/>
          <w:szCs w:val="24"/>
        </w:rPr>
        <w:t>, a 826 pobierało ww. świadczenie.</w:t>
      </w:r>
    </w:p>
    <w:p w14:paraId="3826F36A"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4954FD94"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Osoby starsze mogą korzystać z oferty realizowanej na terenie jednostek organizacyjnych. Osadzeni mają możliwość uczestnictwa w spotkaniach z przedstawicielami instytucji wyspecjalizowanych w pomocy osobom niepełnosprawnym i starszym, a w szczególności z pracownikami właściwych ośrodków pomocy społecznej, fundacji, stowarzyszeń, instytucji oraz innych podmiotów zewnętrznych zajmujących się problematyką osób niepełnosprawnych. W 2019 r. funkcjonowały 73 porozumienia zawarte przez dyrektorów zakładów karnych i aresztów śledczych z podmiotami zewnętrznymi, które zakresem obejmowały pomoc osadzonym starszym lub z niepełnosprawnościami.</w:t>
      </w:r>
      <w:bookmarkStart w:id="101" w:name="bookmark9"/>
    </w:p>
    <w:p w14:paraId="5C90E8F6"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3E46092C" w14:textId="77777777" w:rsidR="00A9797A" w:rsidRPr="00B53409" w:rsidRDefault="00A9797A" w:rsidP="00A9797A">
      <w:pPr>
        <w:pStyle w:val="Teksttreci0"/>
        <w:shd w:val="clear" w:color="auto" w:fill="auto"/>
        <w:spacing w:after="0" w:line="276" w:lineRule="auto"/>
        <w:ind w:right="20" w:firstLine="0"/>
        <w:jc w:val="both"/>
        <w:rPr>
          <w:b/>
          <w:sz w:val="24"/>
          <w:szCs w:val="24"/>
        </w:rPr>
      </w:pPr>
      <w:r w:rsidRPr="00B53409">
        <w:rPr>
          <w:b/>
          <w:color w:val="000000"/>
          <w:sz w:val="24"/>
          <w:szCs w:val="24"/>
        </w:rPr>
        <w:t>Sytuacja osób niepełnosprawnych i ich opiekunów</w:t>
      </w:r>
      <w:bookmarkEnd w:id="101"/>
    </w:p>
    <w:p w14:paraId="1FDAB4BA"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245411F3"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W celu nabycia podstawowej wiedzy dotyczącej komunikacji z osobą niepełnosprawną oraz wypracowania adekwatnych i skutecznych zasad postępowania z osobami niepełnosprawnymi na stronie intranetowej Służby Więziennej udostępniono do wykorzystania służbowego podręcznik Judy Cohen pt. „Praktyczny poradnik savoir-vivre wobec osób niepełnosprawnych” oraz przekazano przydatne linki do filmów instruktażowych w ww. obszarze. Korzystają z niego funkcjonariusze i pracownicy Służby Więziennej oraz są one również udostępniane osadzonym.</w:t>
      </w:r>
    </w:p>
    <w:p w14:paraId="48414A9A"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0BD7E00C"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 xml:space="preserve">Skazanym i tymczasowo aresztowanym niepełnosprawnym fizycznie, których stan zdrowia lekarz ocenił jako uniemożliwiający samodzielne funkcjonowanie oraz wymagającym opieki i pomocy innych osób, zapewniano pomoc innych osadzonych posiadających odpowiednie kwalifikacje, zatrudnionych jako opiekunowie osób niepełnosprawnych. W tym celu zrealizowano szkolenia zawodowe skazanych pod nazwą „Opiekun osoby starszej lub </w:t>
      </w:r>
      <w:r w:rsidRPr="005B49FD">
        <w:rPr>
          <w:color w:val="000000"/>
          <w:sz w:val="24"/>
          <w:szCs w:val="24"/>
        </w:rPr>
        <w:lastRenderedPageBreak/>
        <w:t>niepełnosprawnej”. W ramach ww. działań uczestniczyło w 2018 r. 611 osadzonych, a w 2019 odpowiednio 868. Były one realizowane zarówno w ramach szkoleń finansowanych z Funduszu Pomocy Pokrzywdzonym oraz Pomocy Postpenitencjarnej, jak i Programu Operacyjnego Wiedza Edukacja Rozwój 2014-2020. W tym obszarze w 2019 r. na terenie jednostek penitencjarnych 21 skazanych zatrudnionych było odpłatnie i 62 nieodpłatnie na stanowisku opiekuna osób starszych lub niepełnosprawnych.</w:t>
      </w:r>
      <w:bookmarkStart w:id="102" w:name="bookmark10"/>
    </w:p>
    <w:p w14:paraId="73BAE7A0" w14:textId="77777777" w:rsidR="00A9797A" w:rsidRDefault="00A9797A" w:rsidP="00A9797A">
      <w:pPr>
        <w:pStyle w:val="Teksttreci0"/>
        <w:shd w:val="clear" w:color="auto" w:fill="auto"/>
        <w:spacing w:after="0" w:line="276" w:lineRule="auto"/>
        <w:ind w:right="20" w:firstLine="0"/>
        <w:jc w:val="both"/>
        <w:rPr>
          <w:i/>
          <w:color w:val="000000"/>
          <w:sz w:val="24"/>
          <w:szCs w:val="24"/>
        </w:rPr>
      </w:pPr>
    </w:p>
    <w:p w14:paraId="6454D8F6" w14:textId="77777777" w:rsidR="00A9797A" w:rsidRPr="00B53409" w:rsidRDefault="00A9797A" w:rsidP="00A9797A">
      <w:pPr>
        <w:pStyle w:val="Teksttreci0"/>
        <w:shd w:val="clear" w:color="auto" w:fill="auto"/>
        <w:spacing w:after="0" w:line="276" w:lineRule="auto"/>
        <w:ind w:right="20" w:firstLine="0"/>
        <w:jc w:val="both"/>
        <w:rPr>
          <w:b/>
          <w:sz w:val="24"/>
          <w:szCs w:val="24"/>
        </w:rPr>
      </w:pPr>
      <w:r w:rsidRPr="00B53409">
        <w:rPr>
          <w:b/>
          <w:color w:val="000000"/>
          <w:sz w:val="24"/>
          <w:szCs w:val="24"/>
        </w:rPr>
        <w:t>Aktywność społeczna i obywatelska</w:t>
      </w:r>
      <w:bookmarkEnd w:id="102"/>
    </w:p>
    <w:p w14:paraId="26144EAE"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741B1F9B" w14:textId="77777777" w:rsidR="00A9797A" w:rsidRPr="00494AE8"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Seniorzy na zasadach ogólnych, a więc właściwych dla wszystkich osadzonych, mogą uczestniczyć w różnego rodzaju przedsięwzięciach mających na celu kształtowanie aktywności społecznej i obywatelskiej.</w:t>
      </w:r>
      <w:r>
        <w:rPr>
          <w:sz w:val="24"/>
          <w:szCs w:val="24"/>
        </w:rPr>
        <w:t xml:space="preserve"> </w:t>
      </w:r>
      <w:r w:rsidRPr="005B49FD">
        <w:rPr>
          <w:color w:val="000000"/>
          <w:sz w:val="24"/>
          <w:szCs w:val="24"/>
        </w:rPr>
        <w:t>Osadzeni mający czynne prawo wyborcze, w tym osoby powyżej 60 r. ż., mają zapewnione prawo przysługujące obywatelom, które gwarantuje im możliwość udziału w głosowaniu i oddania głosu na swojego kandydata do organów przedstawicielskich państwa, Parlamentu Europejskiego, organów samorządu terytorialnego, bądź w referendum.</w:t>
      </w:r>
      <w:r>
        <w:rPr>
          <w:sz w:val="24"/>
          <w:szCs w:val="24"/>
        </w:rPr>
        <w:t xml:space="preserve"> </w:t>
      </w:r>
      <w:r w:rsidRPr="005B49FD">
        <w:rPr>
          <w:color w:val="000000"/>
          <w:sz w:val="24"/>
          <w:szCs w:val="24"/>
        </w:rPr>
        <w:t>Skazani korzystają również z oferty resocjalizacyjnej kierowanej do nich przez podmioty zewnętrzne, takie jak m. in. fundacje, stowarzyszenia, instytucje, kościoły, związki wyznaniowe czy też osoby godne zaufania. Zgodnie z obowiązującymi przepisami dyrektorzy jednostek penitencjarnych mają obowiązek podpisania porozumień z ww. podmiotami w celu ustalenia zasad współpracy. W 2019 r. funkcjonowało 1</w:t>
      </w:r>
      <w:r>
        <w:rPr>
          <w:color w:val="000000"/>
          <w:sz w:val="24"/>
          <w:szCs w:val="24"/>
        </w:rPr>
        <w:t xml:space="preserve"> </w:t>
      </w:r>
      <w:r w:rsidRPr="005B49FD">
        <w:rPr>
          <w:color w:val="000000"/>
          <w:sz w:val="24"/>
          <w:szCs w:val="24"/>
        </w:rPr>
        <w:t>735 takich porozumień z podmiotami,</w:t>
      </w:r>
      <w:r>
        <w:rPr>
          <w:sz w:val="24"/>
          <w:szCs w:val="24"/>
        </w:rPr>
        <w:t xml:space="preserve"> </w:t>
      </w:r>
      <w:r>
        <w:rPr>
          <w:color w:val="000000"/>
          <w:sz w:val="24"/>
          <w:szCs w:val="24"/>
        </w:rPr>
        <w:t xml:space="preserve">o </w:t>
      </w:r>
      <w:r w:rsidRPr="005B49FD">
        <w:rPr>
          <w:color w:val="000000"/>
          <w:sz w:val="24"/>
          <w:szCs w:val="24"/>
        </w:rPr>
        <w:t>których mowa w art. 38 i 41 §2 Kkw (w 2018 r. było odpowiednio 1</w:t>
      </w:r>
      <w:r>
        <w:rPr>
          <w:color w:val="000000"/>
          <w:sz w:val="24"/>
          <w:szCs w:val="24"/>
        </w:rPr>
        <w:t xml:space="preserve"> </w:t>
      </w:r>
      <w:r w:rsidRPr="005B49FD">
        <w:rPr>
          <w:color w:val="000000"/>
          <w:sz w:val="24"/>
          <w:szCs w:val="24"/>
        </w:rPr>
        <w:t>750).</w:t>
      </w:r>
    </w:p>
    <w:p w14:paraId="4F987891" w14:textId="77777777" w:rsidR="00A9797A" w:rsidRDefault="00A9797A" w:rsidP="00A9797A">
      <w:pPr>
        <w:pStyle w:val="Teksttreci0"/>
        <w:shd w:val="clear" w:color="auto" w:fill="auto"/>
        <w:tabs>
          <w:tab w:val="left" w:pos="198"/>
        </w:tabs>
        <w:spacing w:after="0" w:line="276" w:lineRule="auto"/>
        <w:ind w:firstLine="0"/>
        <w:jc w:val="left"/>
        <w:rPr>
          <w:color w:val="000000"/>
          <w:sz w:val="24"/>
          <w:szCs w:val="24"/>
        </w:rPr>
      </w:pPr>
    </w:p>
    <w:p w14:paraId="275624E0" w14:textId="77777777" w:rsidR="00A9797A" w:rsidRDefault="00A9797A" w:rsidP="00A9797A">
      <w:pPr>
        <w:pStyle w:val="Teksttreci0"/>
        <w:shd w:val="clear" w:color="auto" w:fill="auto"/>
        <w:tabs>
          <w:tab w:val="left" w:pos="198"/>
        </w:tabs>
        <w:spacing w:after="0" w:line="276" w:lineRule="auto"/>
        <w:ind w:firstLine="0"/>
        <w:jc w:val="left"/>
        <w:rPr>
          <w:color w:val="000000"/>
          <w:sz w:val="24"/>
          <w:szCs w:val="24"/>
        </w:rPr>
      </w:pPr>
      <w:r>
        <w:rPr>
          <w:noProof/>
          <w:lang w:eastAsia="pl-PL"/>
        </w:rPr>
        <mc:AlternateContent>
          <mc:Choice Requires="wps">
            <w:drawing>
              <wp:anchor distT="0" distB="0" distL="114300" distR="114300" simplePos="0" relativeHeight="251698176" behindDoc="0" locked="0" layoutInCell="1" allowOverlap="1" wp14:anchorId="06D9F9CA" wp14:editId="73507A72">
                <wp:simplePos x="0" y="0"/>
                <wp:positionH relativeFrom="column">
                  <wp:posOffset>-1905</wp:posOffset>
                </wp:positionH>
                <wp:positionV relativeFrom="paragraph">
                  <wp:posOffset>0</wp:posOffset>
                </wp:positionV>
                <wp:extent cx="5847715" cy="457200"/>
                <wp:effectExtent l="0" t="0" r="635" b="0"/>
                <wp:wrapTopAndBottom/>
                <wp:docPr id="30" name="Pole tekstowe 30"/>
                <wp:cNvGraphicFramePr/>
                <a:graphic xmlns:a="http://schemas.openxmlformats.org/drawingml/2006/main">
                  <a:graphicData uri="http://schemas.microsoft.com/office/word/2010/wordprocessingShape">
                    <wps:wsp>
                      <wps:cNvSpPr txBox="1"/>
                      <wps:spPr>
                        <a:xfrm>
                          <a:off x="0" y="0"/>
                          <a:ext cx="5847715" cy="457200"/>
                        </a:xfrm>
                        <a:prstGeom prst="rect">
                          <a:avLst/>
                        </a:prstGeom>
                        <a:solidFill>
                          <a:prstClr val="white"/>
                        </a:solidFill>
                        <a:ln>
                          <a:noFill/>
                        </a:ln>
                      </wps:spPr>
                      <wps:txbx>
                        <w:txbxContent>
                          <w:p w14:paraId="1EA7B859" w14:textId="048F16D7" w:rsidR="00E5701D" w:rsidRPr="00494AE8" w:rsidRDefault="00E5701D" w:rsidP="00A9797A">
                            <w:pPr>
                              <w:pStyle w:val="Legenda"/>
                              <w:jc w:val="both"/>
                              <w:rPr>
                                <w:rFonts w:ascii="Times New Roman" w:eastAsia="Times New Roman" w:hAnsi="Times New Roman" w:cs="Times New Roman"/>
                                <w:b/>
                                <w:i w:val="0"/>
                                <w:noProof/>
                                <w:color w:val="000000"/>
                                <w:sz w:val="36"/>
                                <w:szCs w:val="24"/>
                              </w:rPr>
                            </w:pPr>
                            <w:bookmarkStart w:id="103" w:name="_Toc49171454"/>
                            <w:r w:rsidRPr="00494AE8">
                              <w:rPr>
                                <w:rFonts w:ascii="Times New Roman" w:hAnsi="Times New Roman" w:cs="Times New Roman"/>
                                <w:b/>
                                <w:i w:val="0"/>
                                <w:sz w:val="24"/>
                              </w:rPr>
                              <w:t xml:space="preserve">Rysunek </w:t>
                            </w:r>
                            <w:r w:rsidRPr="00494AE8">
                              <w:rPr>
                                <w:rFonts w:ascii="Times New Roman" w:hAnsi="Times New Roman" w:cs="Times New Roman"/>
                                <w:b/>
                                <w:i w:val="0"/>
                                <w:sz w:val="24"/>
                              </w:rPr>
                              <w:fldChar w:fldCharType="begin"/>
                            </w:r>
                            <w:r w:rsidRPr="00494AE8">
                              <w:rPr>
                                <w:rFonts w:ascii="Times New Roman" w:hAnsi="Times New Roman" w:cs="Times New Roman"/>
                                <w:b/>
                                <w:i w:val="0"/>
                                <w:sz w:val="24"/>
                              </w:rPr>
                              <w:instrText xml:space="preserve"> SEQ Rysunek \* ARABIC </w:instrText>
                            </w:r>
                            <w:r w:rsidRPr="00494AE8">
                              <w:rPr>
                                <w:rFonts w:ascii="Times New Roman" w:hAnsi="Times New Roman" w:cs="Times New Roman"/>
                                <w:b/>
                                <w:i w:val="0"/>
                                <w:sz w:val="24"/>
                              </w:rPr>
                              <w:fldChar w:fldCharType="separate"/>
                            </w:r>
                            <w:r>
                              <w:rPr>
                                <w:rFonts w:ascii="Times New Roman" w:hAnsi="Times New Roman" w:cs="Times New Roman"/>
                                <w:b/>
                                <w:i w:val="0"/>
                                <w:noProof/>
                                <w:sz w:val="24"/>
                              </w:rPr>
                              <w:t>8</w:t>
                            </w:r>
                            <w:r w:rsidRPr="00494AE8">
                              <w:rPr>
                                <w:rFonts w:ascii="Times New Roman" w:hAnsi="Times New Roman" w:cs="Times New Roman"/>
                                <w:b/>
                                <w:i w:val="0"/>
                                <w:sz w:val="24"/>
                              </w:rPr>
                              <w:fldChar w:fldCharType="end"/>
                            </w:r>
                            <w:r w:rsidRPr="00494AE8">
                              <w:rPr>
                                <w:rFonts w:ascii="Times New Roman" w:hAnsi="Times New Roman" w:cs="Times New Roman"/>
                                <w:b/>
                                <w:i w:val="0"/>
                                <w:sz w:val="24"/>
                              </w:rPr>
                              <w:t xml:space="preserve"> Porozumienia z podmiotami zewnętrznymi - dane za 2018 i 2019 r. w</w:t>
                            </w:r>
                            <w:bookmarkEnd w:id="10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6D9F9CA" id="Pole tekstowe 30" o:spid="_x0000_s1029" type="#_x0000_t202" style="position:absolute;margin-left:-.15pt;margin-top:0;width:460.45pt;height:3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ZA7NQIAAG4EAAAOAAAAZHJzL2Uyb0RvYy54bWysVMFu2zAMvQ/YPwi6L066Zi2MOEWWIsOA&#10;oA2QDj0rshQLk0VNYmJnXz/KjtOu22nYRaZIitJ7j/Tsrq0tO6oQDbiCT0ZjzpSTUBq3L/i3p9WH&#10;W84iClcKC04V/KQiv5u/fzdrfK6uoAJbqsCoiIt54wteIfo8y6KsVC3iCLxyFNQQaoG0DfusDKKh&#10;6rXNrsbjT1kDofQBpIqRvPd9kM+7+loriY9aR4XMFpzeht0aunWX1mw+E/k+CF8ZeX6G+IdX1MI4&#10;uvRS6l6gYIdg/ihVGxkggsaRhDoDrY1UHQZCMxm/QbOthFcdFiIn+gtN8f+VlQ/HTWCmLPhHoseJ&#10;mjTagFUM1feI0ChGfiKp8TGn3K2nbGw/Q0tiD/5IzoS91aFOX0LFKE71TheKVYtMknN6e31zM5ly&#10;Jil2Pb0hDVOZ7OW0DxG/KKhZMgoeSMKOWXFcR+xTh5R0WQRrypWxNm1SYGkDOwqSu6kMqnPx37Ks&#10;S7kO0qm+YPJkCWIPJVnY7tqelwHmDsoToQ/QN1H0cmXovrWIuBGBuoYA0yTgIy3aQlNwOFucVRB+&#10;/s2f8klMinLWUBcWPP44iKA4s18dyZxadjDCYOwGwx3qJRDSCc2Yl51JBwLawdQB6mcakEW6hULC&#10;Sbqr4DiYS+xngQZMqsWiS6LG9ALXbutlKj3w+tQ+i+DPqiDp+QBDf4r8jTh9bs/y4oCgTadc4rVn&#10;8Uw3NXWn/XkA09S83ndZL7+J+S8AAAD//wMAUEsDBBQABgAIAAAAIQDpDkUX2wAAAAUBAAAPAAAA&#10;ZHJzL2Rvd25yZXYueG1sTI/BTsMwEETvSPyDtUhcUGsTpAAhmwpauMGhperZjZckIl5HttOkf485&#10;wXE0o5k35Wq2vTiRD51jhNulAkFcO9Nxg7D/fFs8gAhRs9G9Y0I4U4BVdXlR6sK4ibd02sVGpBIO&#10;hUZoYxwKKUPdktVh6Qbi5H05b3VM0jfSeD2lctvLTKlcWt1xWmj1QOuW6u/daBHyjR+nLa9vNvvX&#10;d/0xNNnh5XxAvL6an59ARJrjXxh+8RM6VInp6EY2QfQIi7sUREh/kvmYqRzEEeE+UyCrUv6nr34A&#10;AAD//wMAUEsBAi0AFAAGAAgAAAAhALaDOJL+AAAA4QEAABMAAAAAAAAAAAAAAAAAAAAAAFtDb250&#10;ZW50X1R5cGVzXS54bWxQSwECLQAUAAYACAAAACEAOP0h/9YAAACUAQAACwAAAAAAAAAAAAAAAAAv&#10;AQAAX3JlbHMvLnJlbHNQSwECLQAUAAYACAAAACEAmu2QOzUCAABuBAAADgAAAAAAAAAAAAAAAAAu&#10;AgAAZHJzL2Uyb0RvYy54bWxQSwECLQAUAAYACAAAACEA6Q5FF9sAAAAFAQAADwAAAAAAAAAAAAAA&#10;AACPBAAAZHJzL2Rvd25yZXYueG1sUEsFBgAAAAAEAAQA8wAAAJcFAAAAAA==&#10;" stroked="f">
                <v:textbox inset="0,0,0,0">
                  <w:txbxContent>
                    <w:p w14:paraId="1EA7B859" w14:textId="048F16D7" w:rsidR="00E5701D" w:rsidRPr="00494AE8" w:rsidRDefault="00E5701D" w:rsidP="00A9797A">
                      <w:pPr>
                        <w:pStyle w:val="Legenda"/>
                        <w:jc w:val="both"/>
                        <w:rPr>
                          <w:rFonts w:ascii="Times New Roman" w:eastAsia="Times New Roman" w:hAnsi="Times New Roman" w:cs="Times New Roman"/>
                          <w:b/>
                          <w:i w:val="0"/>
                          <w:noProof/>
                          <w:color w:val="000000"/>
                          <w:sz w:val="36"/>
                          <w:szCs w:val="24"/>
                        </w:rPr>
                      </w:pPr>
                      <w:bookmarkStart w:id="107" w:name="_Toc49171454"/>
                      <w:r w:rsidRPr="00494AE8">
                        <w:rPr>
                          <w:rFonts w:ascii="Times New Roman" w:hAnsi="Times New Roman" w:cs="Times New Roman"/>
                          <w:b/>
                          <w:i w:val="0"/>
                          <w:sz w:val="24"/>
                        </w:rPr>
                        <w:t xml:space="preserve">Rysunek </w:t>
                      </w:r>
                      <w:r w:rsidRPr="00494AE8">
                        <w:rPr>
                          <w:rFonts w:ascii="Times New Roman" w:hAnsi="Times New Roman" w:cs="Times New Roman"/>
                          <w:b/>
                          <w:i w:val="0"/>
                          <w:sz w:val="24"/>
                        </w:rPr>
                        <w:fldChar w:fldCharType="begin"/>
                      </w:r>
                      <w:r w:rsidRPr="00494AE8">
                        <w:rPr>
                          <w:rFonts w:ascii="Times New Roman" w:hAnsi="Times New Roman" w:cs="Times New Roman"/>
                          <w:b/>
                          <w:i w:val="0"/>
                          <w:sz w:val="24"/>
                        </w:rPr>
                        <w:instrText xml:space="preserve"> SEQ Rysunek \* ARABIC </w:instrText>
                      </w:r>
                      <w:r w:rsidRPr="00494AE8">
                        <w:rPr>
                          <w:rFonts w:ascii="Times New Roman" w:hAnsi="Times New Roman" w:cs="Times New Roman"/>
                          <w:b/>
                          <w:i w:val="0"/>
                          <w:sz w:val="24"/>
                        </w:rPr>
                        <w:fldChar w:fldCharType="separate"/>
                      </w:r>
                      <w:r>
                        <w:rPr>
                          <w:rFonts w:ascii="Times New Roman" w:hAnsi="Times New Roman" w:cs="Times New Roman"/>
                          <w:b/>
                          <w:i w:val="0"/>
                          <w:noProof/>
                          <w:sz w:val="24"/>
                        </w:rPr>
                        <w:t>8</w:t>
                      </w:r>
                      <w:r w:rsidRPr="00494AE8">
                        <w:rPr>
                          <w:rFonts w:ascii="Times New Roman" w:hAnsi="Times New Roman" w:cs="Times New Roman"/>
                          <w:b/>
                          <w:i w:val="0"/>
                          <w:sz w:val="24"/>
                        </w:rPr>
                        <w:fldChar w:fldCharType="end"/>
                      </w:r>
                      <w:r w:rsidRPr="00494AE8">
                        <w:rPr>
                          <w:rFonts w:ascii="Times New Roman" w:hAnsi="Times New Roman" w:cs="Times New Roman"/>
                          <w:b/>
                          <w:i w:val="0"/>
                          <w:sz w:val="24"/>
                        </w:rPr>
                        <w:t xml:space="preserve"> Porozumienia z podmiotami zewnętrznymi - dane za 2018 i 2019 r. w</w:t>
                      </w:r>
                      <w:bookmarkEnd w:id="107"/>
                    </w:p>
                  </w:txbxContent>
                </v:textbox>
                <w10:wrap type="topAndBottom"/>
              </v:shape>
            </w:pict>
          </mc:Fallback>
        </mc:AlternateContent>
      </w:r>
      <w:r w:rsidRPr="00494AE8">
        <w:rPr>
          <w:noProof/>
          <w:color w:val="000000"/>
          <w:sz w:val="24"/>
          <w:szCs w:val="24"/>
          <w:lang w:eastAsia="pl-PL"/>
        </w:rPr>
        <w:drawing>
          <wp:anchor distT="0" distB="0" distL="114300" distR="114300" simplePos="0" relativeHeight="251697152" behindDoc="0" locked="0" layoutInCell="1" allowOverlap="1" wp14:anchorId="71764CDD" wp14:editId="626FB863">
            <wp:simplePos x="0" y="0"/>
            <wp:positionH relativeFrom="column">
              <wp:posOffset>-2348</wp:posOffset>
            </wp:positionH>
            <wp:positionV relativeFrom="paragraph">
              <wp:posOffset>1019</wp:posOffset>
            </wp:positionV>
            <wp:extent cx="5847715" cy="3263900"/>
            <wp:effectExtent l="0" t="0" r="635" b="0"/>
            <wp:wrapTopAndBottom/>
            <wp:docPr id="29" name="Obraz 29" descr="C:\Users\aleksandra_wojcik\Desktop\Bez tytułu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eksandra_wojcik\Desktop\Bez tytułu 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7715" cy="3263900"/>
                    </a:xfrm>
                    <a:prstGeom prst="rect">
                      <a:avLst/>
                    </a:prstGeom>
                    <a:noFill/>
                    <a:ln>
                      <a:noFill/>
                    </a:ln>
                  </pic:spPr>
                </pic:pic>
              </a:graphicData>
            </a:graphic>
          </wp:anchor>
        </w:drawing>
      </w:r>
    </w:p>
    <w:p w14:paraId="2ED162D1" w14:textId="77777777" w:rsidR="00A9797A" w:rsidRPr="001B6D9E" w:rsidRDefault="00A9797A" w:rsidP="00A9797A">
      <w:pPr>
        <w:pStyle w:val="Teksttreci0"/>
        <w:shd w:val="clear" w:color="auto" w:fill="auto"/>
        <w:spacing w:after="0" w:line="276" w:lineRule="auto"/>
        <w:ind w:right="20" w:firstLine="0"/>
        <w:jc w:val="both"/>
        <w:rPr>
          <w:b/>
          <w:color w:val="000000"/>
          <w:sz w:val="22"/>
          <w:szCs w:val="24"/>
        </w:rPr>
      </w:pPr>
      <w:r w:rsidRPr="001B6D9E">
        <w:rPr>
          <w:b/>
          <w:color w:val="000000"/>
          <w:sz w:val="22"/>
          <w:szCs w:val="24"/>
        </w:rPr>
        <w:t>Źródło: dane z Ministerstwa Sprawiedliwości</w:t>
      </w:r>
    </w:p>
    <w:p w14:paraId="31C8C3AB"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7E07457E" w14:textId="77777777" w:rsidR="00287912" w:rsidRDefault="00287912" w:rsidP="00A9797A">
      <w:pPr>
        <w:pStyle w:val="Teksttreci0"/>
        <w:shd w:val="clear" w:color="auto" w:fill="auto"/>
        <w:spacing w:after="0" w:line="276" w:lineRule="auto"/>
        <w:ind w:right="20" w:firstLine="0"/>
        <w:jc w:val="both"/>
        <w:rPr>
          <w:color w:val="000000"/>
          <w:sz w:val="24"/>
          <w:szCs w:val="24"/>
        </w:rPr>
      </w:pPr>
    </w:p>
    <w:p w14:paraId="7801F2D3"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Skazani motywowani są do podejmowania inicjatyw na rzecz społeczności więziennej jak i skierowanych na zewnątrz. Biorą udział w zajęciach teatralnych, muzycznych, dyskusyjnych klubach książki, spotkaniach z ciekawymi ludźmi, meetingach AA i AN oraz inicjatywach i przedsięwzięciach charytatywnych. Ww. skazanym umożliwia się korzystanie ze stanowisk komputerowych z dostępem do wybranych serwisów, w tym do Biuletynu Informacji Publicznej SW.</w:t>
      </w:r>
    </w:p>
    <w:p w14:paraId="7DCD72D3" w14:textId="77777777" w:rsidR="00A9797A" w:rsidRPr="005B49FD" w:rsidRDefault="00A9797A" w:rsidP="00A9797A">
      <w:pPr>
        <w:pStyle w:val="Teksttreci0"/>
        <w:shd w:val="clear" w:color="auto" w:fill="auto"/>
        <w:spacing w:after="0" w:line="276" w:lineRule="auto"/>
        <w:ind w:right="20" w:firstLine="0"/>
        <w:jc w:val="both"/>
        <w:rPr>
          <w:sz w:val="24"/>
          <w:szCs w:val="24"/>
        </w:rPr>
      </w:pPr>
    </w:p>
    <w:p w14:paraId="4DBAF154" w14:textId="77777777" w:rsidR="00A9797A" w:rsidRPr="00B53409" w:rsidRDefault="00A9797A" w:rsidP="00A9797A">
      <w:pPr>
        <w:pStyle w:val="Teksttreci0"/>
        <w:shd w:val="clear" w:color="auto" w:fill="auto"/>
        <w:tabs>
          <w:tab w:val="left" w:pos="290"/>
        </w:tabs>
        <w:spacing w:after="0" w:line="276" w:lineRule="auto"/>
        <w:ind w:firstLine="0"/>
        <w:jc w:val="both"/>
        <w:rPr>
          <w:b/>
          <w:sz w:val="24"/>
          <w:szCs w:val="24"/>
        </w:rPr>
      </w:pPr>
      <w:r w:rsidRPr="00B53409">
        <w:rPr>
          <w:b/>
          <w:color w:val="000000"/>
          <w:sz w:val="24"/>
          <w:szCs w:val="24"/>
        </w:rPr>
        <w:t>Ak</w:t>
      </w:r>
      <w:r>
        <w:rPr>
          <w:b/>
          <w:color w:val="000000"/>
          <w:sz w:val="24"/>
          <w:szCs w:val="24"/>
        </w:rPr>
        <w:t>tywność edukacyjna i kulturalna</w:t>
      </w:r>
    </w:p>
    <w:p w14:paraId="17C8F3EB"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13422E07"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W jednostkach penitencjarnych w 2019 r. prowadzono różnorodną działalność kulturalno - oświatową i sportową skierowaną do osadzonych przebywających w izolacji, w tym również osób w podeszłym wieku. Zajęcia prowadzone są między innymi w 1</w:t>
      </w:r>
      <w:r>
        <w:rPr>
          <w:color w:val="000000"/>
          <w:sz w:val="24"/>
          <w:szCs w:val="24"/>
        </w:rPr>
        <w:t xml:space="preserve"> </w:t>
      </w:r>
      <w:r w:rsidRPr="005B49FD">
        <w:rPr>
          <w:color w:val="000000"/>
          <w:sz w:val="24"/>
          <w:szCs w:val="24"/>
        </w:rPr>
        <w:t>005 salach i świetlicach w całej Polsce.</w:t>
      </w:r>
      <w:r>
        <w:rPr>
          <w:color w:val="000000"/>
          <w:sz w:val="24"/>
          <w:szCs w:val="24"/>
        </w:rPr>
        <w:t xml:space="preserve"> </w:t>
      </w:r>
      <w:r w:rsidRPr="005B49FD">
        <w:rPr>
          <w:color w:val="000000"/>
          <w:sz w:val="24"/>
          <w:szCs w:val="24"/>
        </w:rPr>
        <w:t>Skazani we wszystkich zakładach karnych i aresztach śledczych mogą korzystać z pełnej oferty dostosowanych do potrzeb zajęć dodatkowych takich jak między innymi przedstawień teatralnych, koncertów muzycznych czy organizowanych konkursów. Mieli także możliwość zwiedzania wystaw tematycznych realizowanych na terenie jednostek organizacyjnych jak</w:t>
      </w:r>
      <w:r>
        <w:rPr>
          <w:sz w:val="24"/>
          <w:szCs w:val="24"/>
        </w:rPr>
        <w:t xml:space="preserve"> i </w:t>
      </w:r>
      <w:r w:rsidRPr="005B49FD">
        <w:rPr>
          <w:color w:val="000000"/>
          <w:sz w:val="24"/>
          <w:szCs w:val="24"/>
        </w:rPr>
        <w:t>poza nimi. Prowadzone są również koła zainteresowań, w których osadzeni mogą poszerzać</w:t>
      </w:r>
      <w:r>
        <w:rPr>
          <w:color w:val="000000"/>
          <w:sz w:val="24"/>
          <w:szCs w:val="24"/>
        </w:rPr>
        <w:t xml:space="preserve"> </w:t>
      </w:r>
      <w:r w:rsidRPr="005B49FD">
        <w:rPr>
          <w:color w:val="000000"/>
          <w:sz w:val="24"/>
          <w:szCs w:val="24"/>
        </w:rPr>
        <w:t>swoje horyzonty poznawcze. W jednostkach penitencjarnych organizowane są wykłady edukacyjne prowadzone m.in. przez: Instytut Pamięci Narodowej, muzea, biblioteki itp. Organizowane są także spotkania z ciekawymi ludźmi, autorskie programy i zajęcia mające na celu poszerzanie horyzontów myślowych i zainteresowań własnych osadzonych. Za zgodą dyrektora jednostki penitencjarnej senior może także realizować swoje zainteresowania, pasje lub hobby na zasadach indywidualnych. W 2019 r. funkcjonowało 86 pracowni plastycznych, 23 pracownie muzyczne oraz 78 czytelni. W bibliotekach więziennych istnieje możliwość zamawiania książek na podstawie udostępnianego do celi mieszkalnej katalogu, co jest szczególnie istotne w przypadku osób z niepełnosprawnością ruchu. W 2019 r. 91 bibliotek oferowało możliwość dostępu do audiobooków, co jest istotne dla osób w podeszłym wieku mających niejednokrotnie problemy ze wzrokiem. Wielu seniorów korzysta z zasobów bibliotek więziennych. W 2019 r. funkcjonowało 139 bibliotek centralnych, w których księgozbiór liczył łącznie około 1 400 tys. woluminów. We wszystkich jednostkach penitencjarnych regułą jest emitowanie słuchowisk za pomocą radiowęzła. Ww. słuchowiska pełnią przede wszystkim funkcje edukacyjne, poznawcze i informacyjne.</w:t>
      </w:r>
    </w:p>
    <w:p w14:paraId="6CEC8A19" w14:textId="77777777" w:rsidR="00A9797A" w:rsidRPr="005B49FD" w:rsidRDefault="00A9797A" w:rsidP="00A9797A">
      <w:pPr>
        <w:pStyle w:val="Teksttreci0"/>
        <w:shd w:val="clear" w:color="auto" w:fill="auto"/>
        <w:spacing w:after="0" w:line="276" w:lineRule="auto"/>
        <w:ind w:right="20" w:firstLine="0"/>
        <w:jc w:val="both"/>
        <w:rPr>
          <w:sz w:val="24"/>
          <w:szCs w:val="24"/>
        </w:rPr>
      </w:pPr>
    </w:p>
    <w:p w14:paraId="497ACCD4"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W 2019 r. zrealizowano 58 programów wprost dedykowanych do osadzonych starszych, w których wzięło udział 441 osób. Ponadto skazani korzystają z pełnej oferty programowej w zakładach karnych i aresztach śledczych. W 2019 r. przeprowadzono 5 575 programów dla 71 604 osadzonych z poniżej wymienionych obszarów:</w:t>
      </w:r>
    </w:p>
    <w:p w14:paraId="0710C2A7" w14:textId="77777777" w:rsidR="00A9797A" w:rsidRPr="005B49FD" w:rsidRDefault="00A9797A" w:rsidP="008C71A9">
      <w:pPr>
        <w:pStyle w:val="Teksttreci0"/>
        <w:numPr>
          <w:ilvl w:val="0"/>
          <w:numId w:val="212"/>
        </w:numPr>
        <w:shd w:val="clear" w:color="auto" w:fill="auto"/>
        <w:tabs>
          <w:tab w:val="left" w:pos="1095"/>
        </w:tabs>
        <w:spacing w:after="0" w:line="276" w:lineRule="auto"/>
        <w:jc w:val="both"/>
        <w:rPr>
          <w:sz w:val="24"/>
          <w:szCs w:val="24"/>
        </w:rPr>
      </w:pPr>
      <w:r w:rsidRPr="005B49FD">
        <w:rPr>
          <w:color w:val="000000"/>
          <w:sz w:val="24"/>
          <w:szCs w:val="24"/>
        </w:rPr>
        <w:t>przeciwdziałania agresji i przemocy,</w:t>
      </w:r>
    </w:p>
    <w:p w14:paraId="290827C8" w14:textId="77777777" w:rsidR="00A9797A" w:rsidRPr="005B49FD" w:rsidRDefault="00A9797A" w:rsidP="008C71A9">
      <w:pPr>
        <w:pStyle w:val="Teksttreci0"/>
        <w:numPr>
          <w:ilvl w:val="0"/>
          <w:numId w:val="212"/>
        </w:numPr>
        <w:shd w:val="clear" w:color="auto" w:fill="auto"/>
        <w:tabs>
          <w:tab w:val="left" w:pos="1105"/>
        </w:tabs>
        <w:spacing w:after="0" w:line="276" w:lineRule="auto"/>
        <w:ind w:right="20"/>
        <w:jc w:val="both"/>
        <w:rPr>
          <w:sz w:val="24"/>
          <w:szCs w:val="24"/>
        </w:rPr>
      </w:pPr>
      <w:r w:rsidRPr="005B49FD">
        <w:rPr>
          <w:color w:val="000000"/>
          <w:sz w:val="24"/>
          <w:szCs w:val="24"/>
        </w:rPr>
        <w:t>przeciwdziałania uzależnieniom oraz nadużywaniu alkoholu lub używaniu narkotyków,</w:t>
      </w:r>
    </w:p>
    <w:p w14:paraId="38EAF674" w14:textId="77777777" w:rsidR="00A9797A" w:rsidRPr="005B49FD" w:rsidRDefault="00A9797A" w:rsidP="008C71A9">
      <w:pPr>
        <w:pStyle w:val="Teksttreci0"/>
        <w:numPr>
          <w:ilvl w:val="0"/>
          <w:numId w:val="212"/>
        </w:numPr>
        <w:shd w:val="clear" w:color="auto" w:fill="auto"/>
        <w:tabs>
          <w:tab w:val="left" w:pos="1095"/>
        </w:tabs>
        <w:spacing w:after="0" w:line="276" w:lineRule="auto"/>
        <w:jc w:val="both"/>
        <w:rPr>
          <w:sz w:val="24"/>
          <w:szCs w:val="24"/>
        </w:rPr>
      </w:pPr>
      <w:r w:rsidRPr="005B49FD">
        <w:rPr>
          <w:color w:val="000000"/>
          <w:sz w:val="24"/>
          <w:szCs w:val="24"/>
        </w:rPr>
        <w:lastRenderedPageBreak/>
        <w:t>przeciwdziałania prokryminalnym postawom,</w:t>
      </w:r>
    </w:p>
    <w:p w14:paraId="28FD8EF8" w14:textId="77777777" w:rsidR="00A9797A" w:rsidRPr="005B49FD" w:rsidRDefault="00A9797A" w:rsidP="008C71A9">
      <w:pPr>
        <w:pStyle w:val="Teksttreci0"/>
        <w:numPr>
          <w:ilvl w:val="0"/>
          <w:numId w:val="212"/>
        </w:numPr>
        <w:shd w:val="clear" w:color="auto" w:fill="auto"/>
        <w:tabs>
          <w:tab w:val="left" w:pos="1100"/>
        </w:tabs>
        <w:spacing w:after="0" w:line="276" w:lineRule="auto"/>
        <w:jc w:val="both"/>
        <w:rPr>
          <w:sz w:val="24"/>
          <w:szCs w:val="24"/>
        </w:rPr>
      </w:pPr>
      <w:r w:rsidRPr="005B49FD">
        <w:rPr>
          <w:color w:val="000000"/>
          <w:sz w:val="24"/>
          <w:szCs w:val="24"/>
        </w:rPr>
        <w:t>aktywizacji zawodowej i promocji zatrudnienia,</w:t>
      </w:r>
    </w:p>
    <w:p w14:paraId="226276DE" w14:textId="77777777" w:rsidR="00A9797A" w:rsidRPr="005B49FD" w:rsidRDefault="00A9797A" w:rsidP="008C71A9">
      <w:pPr>
        <w:pStyle w:val="Teksttreci0"/>
        <w:numPr>
          <w:ilvl w:val="0"/>
          <w:numId w:val="212"/>
        </w:numPr>
        <w:shd w:val="clear" w:color="auto" w:fill="auto"/>
        <w:tabs>
          <w:tab w:val="left" w:pos="1095"/>
        </w:tabs>
        <w:spacing w:after="0" w:line="276" w:lineRule="auto"/>
        <w:jc w:val="both"/>
        <w:rPr>
          <w:sz w:val="24"/>
          <w:szCs w:val="24"/>
        </w:rPr>
      </w:pPr>
      <w:r w:rsidRPr="005B49FD">
        <w:rPr>
          <w:color w:val="000000"/>
          <w:sz w:val="24"/>
          <w:szCs w:val="24"/>
        </w:rPr>
        <w:t>kształtowania umiejętności społecznych i poznawczych,</w:t>
      </w:r>
    </w:p>
    <w:p w14:paraId="3676F405" w14:textId="77777777" w:rsidR="00A9797A" w:rsidRPr="005B49FD" w:rsidRDefault="00A9797A" w:rsidP="008C71A9">
      <w:pPr>
        <w:pStyle w:val="Teksttreci0"/>
        <w:numPr>
          <w:ilvl w:val="0"/>
          <w:numId w:val="212"/>
        </w:numPr>
        <w:shd w:val="clear" w:color="auto" w:fill="auto"/>
        <w:tabs>
          <w:tab w:val="left" w:pos="1100"/>
        </w:tabs>
        <w:spacing w:after="0" w:line="276" w:lineRule="auto"/>
        <w:jc w:val="both"/>
        <w:rPr>
          <w:sz w:val="24"/>
          <w:szCs w:val="24"/>
        </w:rPr>
      </w:pPr>
      <w:r w:rsidRPr="005B49FD">
        <w:rPr>
          <w:color w:val="000000"/>
          <w:sz w:val="24"/>
          <w:szCs w:val="24"/>
        </w:rPr>
        <w:t>integracji rodzin,</w:t>
      </w:r>
    </w:p>
    <w:p w14:paraId="0C7C47B3" w14:textId="77777777" w:rsidR="00A9797A" w:rsidRPr="005B49FD" w:rsidRDefault="00A9797A" w:rsidP="008C71A9">
      <w:pPr>
        <w:pStyle w:val="Teksttreci0"/>
        <w:numPr>
          <w:ilvl w:val="0"/>
          <w:numId w:val="212"/>
        </w:numPr>
        <w:shd w:val="clear" w:color="auto" w:fill="auto"/>
        <w:tabs>
          <w:tab w:val="left" w:pos="1100"/>
        </w:tabs>
        <w:spacing w:after="0" w:line="276" w:lineRule="auto"/>
        <w:ind w:right="20"/>
        <w:jc w:val="both"/>
        <w:rPr>
          <w:sz w:val="24"/>
          <w:szCs w:val="24"/>
        </w:rPr>
      </w:pPr>
      <w:r w:rsidRPr="005B49FD">
        <w:rPr>
          <w:color w:val="000000"/>
          <w:sz w:val="24"/>
          <w:szCs w:val="24"/>
        </w:rPr>
        <w:t>zapobiegania negatywnym skutkom izolacji, zwłaszcza wobec skazanych odbywających długoterminowe kary pozbawienia wolności.</w:t>
      </w:r>
    </w:p>
    <w:p w14:paraId="16D75660"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5E196B21"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W ww. programach wzięło udział 1571 seniorów. W celu redukowania najczęstszych deficytów w populacji osób pozbawionych wolności, Biuro Penitencjarne implementowało trzy programy readaptacyjne ukierunkowane na przeciwdziałanie przemocy i agresji - Trening Zastępowania Agresji - ART., program dla sprawców przemocy wg modelu Duluth oraz Stop przemocy - druga szansa. Powyższe oferty programowe są kierowane do osadzonych którzy są skazani m.in. z art. 207 Kodeksu karnego oraz takich, których zgromadzona dokumentacja osobopoznawcza wskazuje na możliwość stosowania zachowań agresywnych i przemocowych. Poza ww. programami, więziennictwo w ramach wymiany z norweską służbą więzienną adaptowało program Motywator, który ukierunkowany jest na wzbudzanie w populacji osadzonych motywacji do konstruktywnej zmiany osobistej. Udział w tym programie wiąże się z wzmacnianiem motywacji i zaangażowania osadzonych do korzystania z więziennej oferty penitencjarnej i terapeutycznej.</w:t>
      </w:r>
    </w:p>
    <w:p w14:paraId="102FAB0E"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0FC1F84E"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Z analizy danych statystycznych wynika, że w 2019 r. przeprowadzono 548 programów przeciwdziałania agresji i przemocy dla 13 064 osadzonych (ukończyło je 12 344 osób). W ramach tych działań objęci zostali również skazani powyżej 60 roku życia.</w:t>
      </w:r>
      <w:bookmarkStart w:id="104" w:name="bookmark11"/>
    </w:p>
    <w:p w14:paraId="1F5F6F00"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2B32225A" w14:textId="77777777" w:rsidR="00A9797A" w:rsidRPr="009558FC" w:rsidRDefault="00A9797A" w:rsidP="00A9797A">
      <w:pPr>
        <w:pStyle w:val="Teksttreci0"/>
        <w:shd w:val="clear" w:color="auto" w:fill="auto"/>
        <w:spacing w:after="0" w:line="276" w:lineRule="auto"/>
        <w:ind w:right="20" w:firstLine="0"/>
        <w:jc w:val="both"/>
        <w:rPr>
          <w:b/>
          <w:sz w:val="24"/>
          <w:szCs w:val="24"/>
        </w:rPr>
      </w:pPr>
      <w:r w:rsidRPr="009558FC">
        <w:rPr>
          <w:b/>
          <w:color w:val="000000"/>
          <w:sz w:val="24"/>
          <w:szCs w:val="24"/>
        </w:rPr>
        <w:t>Aktywność sportowa i rekreacyjna</w:t>
      </w:r>
      <w:bookmarkEnd w:id="104"/>
    </w:p>
    <w:p w14:paraId="3D5C97E2"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243B93FE"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Aktywność rekreacyjna i sportowa seniorów podczas pobytu w warunkach izolacji penitencjarnej nie jest w żaden sposób ograniczana, za wyjątkiem przeciwwskazań lekarskich. Poza ogólnodostępnymi zajęciami sportowymi, w jednostkach organizowane są zajęcia sportowe dedykowane seniorom, których celem jest ich aktywizacja ruchowa. Oprócz siłowni wewnętrznych w jednostkach penitencjarnych funkcjonują także tzw. zielone siłownie, czyli wyodrębnione na wolnym powietrzu place dostosowane do umiarkowanej aktywności rekreacyjno - ruchowej. 590 punktów z ww. urządzeniami zlokalizowanych jest na polach spacerowych, a 74 w innych miejscach na terenie jednostek penitencjarnych, z czego 94 jest dostosowanych do potrzeb osób z obniżoną motoryką. Ponadto w ofercie znajdują się zajęcia dedykowane wprost do osób starszych uwzględniając ich potrzeby i potencjał, co często przekłada się na prowadzenie zajęć o niskim stopniu obciążenia fizycznego, np.: zajęcia nordic walking, gimnastyka, joga.</w:t>
      </w:r>
    </w:p>
    <w:p w14:paraId="1CA9376A" w14:textId="77777777" w:rsidR="00A9797A" w:rsidRPr="005B49FD" w:rsidRDefault="00A9797A" w:rsidP="00A9797A">
      <w:pPr>
        <w:pStyle w:val="Teksttreci0"/>
        <w:shd w:val="clear" w:color="auto" w:fill="auto"/>
        <w:spacing w:after="0" w:line="276" w:lineRule="auto"/>
        <w:ind w:right="20" w:firstLine="0"/>
        <w:jc w:val="both"/>
        <w:rPr>
          <w:sz w:val="24"/>
          <w:szCs w:val="24"/>
        </w:rPr>
      </w:pPr>
    </w:p>
    <w:p w14:paraId="22BFA391"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 xml:space="preserve">Służba Więzienna dysponuje 171 boiskami oraz 18 halami sportowymi, z których na co dzień korzystają również osadzeni powyżej 60 r. ż. Jednocześnie jednostki penitencjarne </w:t>
      </w:r>
      <w:r w:rsidRPr="005B49FD">
        <w:rPr>
          <w:color w:val="000000"/>
          <w:sz w:val="24"/>
          <w:szCs w:val="24"/>
        </w:rPr>
        <w:lastRenderedPageBreak/>
        <w:t>uwzględniając potrzeby w zakresie działalności sportowej i kulturalno - oświatowej korzystają także z infrastruktury zlokalizowanej poza terenem zakładów karnych.</w:t>
      </w:r>
      <w:bookmarkStart w:id="105" w:name="bookmark12"/>
    </w:p>
    <w:p w14:paraId="2CF2C526"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7882039D" w14:textId="77777777" w:rsidR="00A9797A" w:rsidRPr="009558FC" w:rsidRDefault="00A9797A" w:rsidP="00A9797A">
      <w:pPr>
        <w:pStyle w:val="Teksttreci0"/>
        <w:shd w:val="clear" w:color="auto" w:fill="auto"/>
        <w:spacing w:after="0" w:line="276" w:lineRule="auto"/>
        <w:ind w:right="20" w:firstLine="0"/>
        <w:jc w:val="both"/>
        <w:rPr>
          <w:b/>
          <w:color w:val="000000"/>
          <w:sz w:val="24"/>
          <w:szCs w:val="24"/>
        </w:rPr>
      </w:pPr>
      <w:r w:rsidRPr="009558FC">
        <w:rPr>
          <w:b/>
          <w:color w:val="000000"/>
          <w:sz w:val="24"/>
          <w:szCs w:val="24"/>
        </w:rPr>
        <w:t>Równe traktowanie i przeciwdziałanie dyskryminacji ze względu na wiek</w:t>
      </w:r>
      <w:bookmarkEnd w:id="105"/>
    </w:p>
    <w:p w14:paraId="2ED1A2CF"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3B5FB3F2"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Służba Więzienna realizując oddziaływania penitencjarne przestrzega zasad równego traktowania i przeciwdziałania dyskryminacji ze względu na wiek. Osadzeni seniorzy są traktowani w sposób humanitarny, z poszanowaniem ich uprawnień oraz ograniczeń wynikających w wieku, stanu zdrowia psychofizycznego oraz kompetencji psychospołecznych. W ramach obowiązujących regulacji są integrowani z pozostałą populacją osadzonych.</w:t>
      </w:r>
      <w:r>
        <w:rPr>
          <w:color w:val="000000"/>
          <w:sz w:val="24"/>
          <w:szCs w:val="24"/>
        </w:rPr>
        <w:t xml:space="preserve"> </w:t>
      </w:r>
      <w:r w:rsidRPr="005B49FD">
        <w:rPr>
          <w:color w:val="000000"/>
          <w:sz w:val="24"/>
          <w:szCs w:val="24"/>
        </w:rPr>
        <w:t>W celu przeciwdziałania ewentualnej dyskryminacji bądź nierównemu traktowaniu seniorów, w jednostkach penitencjarnych funkcjonariusze i pracownicy (w szczególności pełniący służbę w bezpośrednim kontakcie z osadzonymi) stale poszerzają swoją wiedzę w trakcie różnorodnych szkoleń. Kursy te były realizowane z pomocą podmiotów zewnętrznych. W 2018 r. przeszkolono 3 913 funkcjonariuszy wszystkich pionów Służby Więziennej, a w 2019 r. odpowiednio 5 741 osób. Działania obejmujące walkę z dyskryminacją z uwagi na wiek i posiadaną niepełnosprawność prowadzone są również wśród osadzonych. W 2019 r. zorganizowano 288 spotkań i prelekcji obejmujących tę tematykę, w których udział wzięły 1</w:t>
      </w:r>
      <w:r>
        <w:rPr>
          <w:color w:val="000000"/>
          <w:sz w:val="24"/>
          <w:szCs w:val="24"/>
        </w:rPr>
        <w:t xml:space="preserve"> </w:t>
      </w:r>
      <w:r w:rsidRPr="005B49FD">
        <w:rPr>
          <w:color w:val="000000"/>
          <w:sz w:val="24"/>
          <w:szCs w:val="24"/>
        </w:rPr>
        <w:t>323 osoby pozbawione wolności.</w:t>
      </w:r>
      <w:bookmarkStart w:id="106" w:name="bookmark13"/>
    </w:p>
    <w:p w14:paraId="61870F19"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155B172A" w14:textId="77777777" w:rsidR="00A9797A" w:rsidRPr="00287912" w:rsidRDefault="00A9797A" w:rsidP="00A9797A">
      <w:pPr>
        <w:pStyle w:val="Teksttreci0"/>
        <w:shd w:val="clear" w:color="auto" w:fill="auto"/>
        <w:spacing w:after="0" w:line="276" w:lineRule="auto"/>
        <w:ind w:right="20" w:firstLine="0"/>
        <w:jc w:val="both"/>
        <w:rPr>
          <w:b/>
          <w:sz w:val="24"/>
          <w:szCs w:val="24"/>
        </w:rPr>
      </w:pPr>
      <w:r w:rsidRPr="00287912">
        <w:rPr>
          <w:b/>
          <w:sz w:val="24"/>
          <w:szCs w:val="24"/>
        </w:rPr>
        <w:t>Ocena realizacji polityki senioralnej, w tym wniosków i rekomendacji sformułowanych w poprzedniej informacji</w:t>
      </w:r>
      <w:bookmarkEnd w:id="106"/>
    </w:p>
    <w:p w14:paraId="62945B01" w14:textId="77777777" w:rsidR="00A9797A" w:rsidRPr="006E663A" w:rsidRDefault="00A9797A" w:rsidP="00A9797A">
      <w:pPr>
        <w:pStyle w:val="Teksttreci0"/>
        <w:shd w:val="clear" w:color="auto" w:fill="auto"/>
        <w:spacing w:after="0" w:line="276" w:lineRule="auto"/>
        <w:ind w:right="20" w:firstLine="0"/>
        <w:jc w:val="both"/>
        <w:rPr>
          <w:i/>
          <w:color w:val="000000"/>
          <w:sz w:val="24"/>
          <w:szCs w:val="24"/>
        </w:rPr>
      </w:pPr>
    </w:p>
    <w:p w14:paraId="707430C4"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Przedstawiony powyżej materiał pozwala stwierdzić, że grupa osadzonych w wieku senioralnym, tj. powyżej 60 roku życia, jest grupą, wobec której więziennictwo wypełnia swoje ustawowe podstawowe obowiązki. Co więcej, aktywność jednostek penitencjarnych wraz ze wzrostem populacji osadzonych seniorów, jest w tym zakresie intensyfikowana. Niemniej jednak niezwykle ważnym aspektem z punktu widzenia oddziaływań penitencjarnych jest zaspokojenie potrzeb skazanego i przygotowanie go do życia na wolności. Wiek senioralny jest źródłem utraty zdolności adaptacyjnych jednostki na płaszczyźnie biologicznej, psychicznej i społecznej, dlatego ważna jest indywidualizacja wykonywania kary pozbawienia wolności wobec tej grupy skazanych. Przez ten pryzmat w 2019 r. w podległych jednostkach penitencjarnych dobierano środki i oddziaływania penitencjarne, terapeutyczne i rehabilitacyjne wobec tej grupy osób. Mimo większej niż w poprzednich latach stworzonej oferty oddziaływań penitencjarnych oraz aktywności kadry jednostek penitencjarnych w obszarze postępowania z osobami starszymi</w:t>
      </w:r>
      <w:r>
        <w:rPr>
          <w:sz w:val="24"/>
          <w:szCs w:val="24"/>
        </w:rPr>
        <w:t xml:space="preserve"> i </w:t>
      </w:r>
      <w:r w:rsidRPr="005B49FD">
        <w:rPr>
          <w:color w:val="000000"/>
          <w:sz w:val="24"/>
          <w:szCs w:val="24"/>
        </w:rPr>
        <w:t>niepełnosprawnymi, dostrzega się potrzebę kontynuowania działań w tym zakresie.</w:t>
      </w:r>
    </w:p>
    <w:p w14:paraId="347FD5A0"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27332FDF" w14:textId="77777777" w:rsidR="00A9797A"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Biorąc pod uwagę wn</w:t>
      </w:r>
      <w:r>
        <w:rPr>
          <w:color w:val="000000"/>
          <w:sz w:val="24"/>
          <w:szCs w:val="24"/>
        </w:rPr>
        <w:t xml:space="preserve">ioski i rekomendacje zawarte w </w:t>
      </w:r>
      <w:r w:rsidRPr="009558FC">
        <w:rPr>
          <w:i/>
          <w:color w:val="000000"/>
          <w:sz w:val="24"/>
          <w:szCs w:val="24"/>
        </w:rPr>
        <w:t xml:space="preserve">Informacji o sytuacji osób starszych w Polsce za 2019 r. </w:t>
      </w:r>
      <w:r w:rsidRPr="005B49FD">
        <w:rPr>
          <w:color w:val="000000"/>
          <w:sz w:val="24"/>
          <w:szCs w:val="24"/>
        </w:rPr>
        <w:t>opublikowanej przez Ministerstwo Rodziny, Pracy i Polityki Społecznej, które zalecają prowadzenie działań mających na celu m.in.:</w:t>
      </w:r>
    </w:p>
    <w:p w14:paraId="71C04232" w14:textId="77777777" w:rsidR="00A9797A" w:rsidRPr="009558FC" w:rsidRDefault="00A9797A" w:rsidP="008C71A9">
      <w:pPr>
        <w:pStyle w:val="Teksttreci0"/>
        <w:numPr>
          <w:ilvl w:val="0"/>
          <w:numId w:val="341"/>
        </w:numPr>
        <w:shd w:val="clear" w:color="auto" w:fill="auto"/>
        <w:spacing w:after="0" w:line="276" w:lineRule="auto"/>
        <w:ind w:left="0" w:right="20"/>
        <w:jc w:val="both"/>
        <w:rPr>
          <w:sz w:val="24"/>
          <w:szCs w:val="24"/>
        </w:rPr>
      </w:pPr>
      <w:r w:rsidRPr="005B49FD">
        <w:rPr>
          <w:color w:val="000000"/>
          <w:sz w:val="24"/>
          <w:szCs w:val="24"/>
        </w:rPr>
        <w:lastRenderedPageBreak/>
        <w:t>promocję zdrowia i profilaktykę chorób wieku starszego</w:t>
      </w:r>
    </w:p>
    <w:p w14:paraId="77B85D3D" w14:textId="77777777" w:rsidR="00A9797A" w:rsidRDefault="00A9797A" w:rsidP="008C71A9">
      <w:pPr>
        <w:pStyle w:val="Teksttreci0"/>
        <w:numPr>
          <w:ilvl w:val="0"/>
          <w:numId w:val="341"/>
        </w:numPr>
        <w:shd w:val="clear" w:color="auto" w:fill="auto"/>
        <w:spacing w:after="0" w:line="276" w:lineRule="auto"/>
        <w:ind w:left="0" w:right="20"/>
        <w:jc w:val="both"/>
        <w:rPr>
          <w:sz w:val="24"/>
          <w:szCs w:val="24"/>
        </w:rPr>
      </w:pPr>
      <w:r w:rsidRPr="009558FC">
        <w:rPr>
          <w:color w:val="000000"/>
          <w:sz w:val="24"/>
          <w:szCs w:val="24"/>
        </w:rPr>
        <w:t>uwzględnianie w działaniach kierowanych do osób starszych problemu osamotnienia</w:t>
      </w:r>
    </w:p>
    <w:p w14:paraId="76DDEEB5" w14:textId="77777777" w:rsidR="00A9797A" w:rsidRPr="009558FC" w:rsidRDefault="00A9797A" w:rsidP="008C71A9">
      <w:pPr>
        <w:pStyle w:val="Teksttreci0"/>
        <w:numPr>
          <w:ilvl w:val="0"/>
          <w:numId w:val="341"/>
        </w:numPr>
        <w:shd w:val="clear" w:color="auto" w:fill="auto"/>
        <w:spacing w:after="0" w:line="276" w:lineRule="auto"/>
        <w:ind w:left="0" w:right="20"/>
        <w:jc w:val="both"/>
        <w:rPr>
          <w:sz w:val="24"/>
          <w:szCs w:val="24"/>
        </w:rPr>
      </w:pPr>
      <w:r w:rsidRPr="009558FC">
        <w:rPr>
          <w:color w:val="000000"/>
          <w:sz w:val="24"/>
          <w:szCs w:val="24"/>
        </w:rPr>
        <w:t>samotności oraz przeciwdziałanie negatywnym, indywidualnym i społecznym skutkom tych zjawisk</w:t>
      </w:r>
    </w:p>
    <w:p w14:paraId="3B1B9834" w14:textId="77777777" w:rsidR="00A9797A" w:rsidRPr="009558FC" w:rsidRDefault="00A9797A" w:rsidP="008C71A9">
      <w:pPr>
        <w:pStyle w:val="Teksttreci0"/>
        <w:numPr>
          <w:ilvl w:val="0"/>
          <w:numId w:val="341"/>
        </w:numPr>
        <w:shd w:val="clear" w:color="auto" w:fill="auto"/>
        <w:spacing w:after="0" w:line="276" w:lineRule="auto"/>
        <w:ind w:left="0" w:right="20"/>
        <w:jc w:val="both"/>
        <w:rPr>
          <w:sz w:val="24"/>
          <w:szCs w:val="24"/>
        </w:rPr>
      </w:pPr>
      <w:r w:rsidRPr="009558FC">
        <w:rPr>
          <w:color w:val="000000"/>
          <w:sz w:val="24"/>
          <w:szCs w:val="24"/>
        </w:rPr>
        <w:t>skuteczne funkcjonowanie pomocy społecznej oraz rozwój zróżnicowanych usług świadczonych na rzecz osób starszych</w:t>
      </w:r>
    </w:p>
    <w:p w14:paraId="2CAAE5DF" w14:textId="77777777" w:rsidR="00A9797A" w:rsidRDefault="00A9797A" w:rsidP="008C71A9">
      <w:pPr>
        <w:pStyle w:val="Teksttreci0"/>
        <w:numPr>
          <w:ilvl w:val="0"/>
          <w:numId w:val="341"/>
        </w:numPr>
        <w:shd w:val="clear" w:color="auto" w:fill="auto"/>
        <w:spacing w:after="0" w:line="276" w:lineRule="auto"/>
        <w:ind w:left="0" w:right="20"/>
        <w:jc w:val="both"/>
        <w:rPr>
          <w:sz w:val="24"/>
          <w:szCs w:val="24"/>
        </w:rPr>
      </w:pPr>
      <w:r w:rsidRPr="009558FC">
        <w:rPr>
          <w:color w:val="000000"/>
          <w:sz w:val="24"/>
          <w:szCs w:val="24"/>
        </w:rPr>
        <w:t>pobudzanie aktywności społecznej seniorów,</w:t>
      </w:r>
    </w:p>
    <w:p w14:paraId="334173D4" w14:textId="77777777" w:rsidR="00A9797A" w:rsidRDefault="00A9797A" w:rsidP="008C71A9">
      <w:pPr>
        <w:pStyle w:val="Teksttreci0"/>
        <w:numPr>
          <w:ilvl w:val="0"/>
          <w:numId w:val="341"/>
        </w:numPr>
        <w:shd w:val="clear" w:color="auto" w:fill="auto"/>
        <w:spacing w:after="0" w:line="276" w:lineRule="auto"/>
        <w:ind w:left="0" w:right="20"/>
        <w:jc w:val="both"/>
        <w:rPr>
          <w:sz w:val="24"/>
          <w:szCs w:val="24"/>
        </w:rPr>
      </w:pPr>
      <w:r w:rsidRPr="009558FC">
        <w:rPr>
          <w:color w:val="000000"/>
          <w:sz w:val="24"/>
          <w:szCs w:val="24"/>
        </w:rPr>
        <w:t>zapewnienie równego traktowania i zapobieganie dyskryminacji ze względu na wiek życia,</w:t>
      </w:r>
    </w:p>
    <w:p w14:paraId="7105615B" w14:textId="77777777" w:rsidR="00A9797A" w:rsidRPr="009558FC" w:rsidRDefault="00A9797A" w:rsidP="008C71A9">
      <w:pPr>
        <w:pStyle w:val="Teksttreci0"/>
        <w:numPr>
          <w:ilvl w:val="0"/>
          <w:numId w:val="341"/>
        </w:numPr>
        <w:shd w:val="clear" w:color="auto" w:fill="auto"/>
        <w:spacing w:after="0" w:line="276" w:lineRule="auto"/>
        <w:ind w:left="0" w:right="20"/>
        <w:jc w:val="both"/>
        <w:rPr>
          <w:sz w:val="24"/>
          <w:szCs w:val="24"/>
        </w:rPr>
      </w:pPr>
      <w:r w:rsidRPr="009558FC">
        <w:rPr>
          <w:color w:val="000000"/>
          <w:sz w:val="24"/>
          <w:szCs w:val="24"/>
        </w:rPr>
        <w:t>podejmowanie zadań z zakresu aktywności społecznej, kulturalnej, edukacyjnej oraz sportowej osób starszych,</w:t>
      </w:r>
    </w:p>
    <w:p w14:paraId="7674DBFD"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ocenić należy, że są one realizowane przez Służbę Więzienną. Analiza przedstawionych w niniejszym opracowaniu danych pozwala stwierdzić, że więziennictwo podejmuje szereg inicjatyw mających za zadanie wspieranie tej grupy osób pozbawionych wolności.</w:t>
      </w:r>
      <w:bookmarkStart w:id="107" w:name="bookmark14"/>
    </w:p>
    <w:p w14:paraId="7C286388"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347F4487" w14:textId="77777777" w:rsidR="00A9797A" w:rsidRPr="00287912" w:rsidRDefault="00A9797A" w:rsidP="00A9797A">
      <w:pPr>
        <w:pStyle w:val="Teksttreci0"/>
        <w:shd w:val="clear" w:color="auto" w:fill="auto"/>
        <w:spacing w:after="0" w:line="276" w:lineRule="auto"/>
        <w:ind w:right="20" w:firstLine="0"/>
        <w:jc w:val="both"/>
        <w:rPr>
          <w:b/>
          <w:sz w:val="24"/>
          <w:szCs w:val="24"/>
        </w:rPr>
      </w:pPr>
      <w:r w:rsidRPr="00287912">
        <w:rPr>
          <w:b/>
          <w:sz w:val="24"/>
          <w:szCs w:val="24"/>
        </w:rPr>
        <w:t>Wnioski i rekomendacje dotyczące przyszłych zadań i inicjatyw, które należy podjąć w celu kształtowania warunków godnego i zdrowego starzenia się</w:t>
      </w:r>
      <w:bookmarkEnd w:id="107"/>
    </w:p>
    <w:p w14:paraId="1174CD15"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48EC5088"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 xml:space="preserve">W dniu 25 czerwca 2019 </w:t>
      </w:r>
      <w:r>
        <w:rPr>
          <w:color w:val="000000"/>
          <w:sz w:val="24"/>
          <w:szCs w:val="24"/>
        </w:rPr>
        <w:t xml:space="preserve">r. </w:t>
      </w:r>
      <w:r w:rsidRPr="005B49FD">
        <w:rPr>
          <w:color w:val="000000"/>
          <w:sz w:val="24"/>
          <w:szCs w:val="24"/>
        </w:rPr>
        <w:t>zastępca Dyrektora Generalnego Służby Więziennej, biorąc pod uwagę wnioski wynikające z posiadanych danych, wystosował pismo do podległych jednostek organizacyjnych, w którym zawarł następujące polecenia:</w:t>
      </w:r>
    </w:p>
    <w:p w14:paraId="7B455159" w14:textId="77777777" w:rsidR="00EA01AF" w:rsidRDefault="00A9797A" w:rsidP="00EA01AF">
      <w:pPr>
        <w:pStyle w:val="Teksttreci0"/>
        <w:numPr>
          <w:ilvl w:val="0"/>
          <w:numId w:val="208"/>
        </w:numPr>
        <w:shd w:val="clear" w:color="auto" w:fill="auto"/>
        <w:tabs>
          <w:tab w:val="left" w:pos="730"/>
        </w:tabs>
        <w:spacing w:after="0" w:line="276" w:lineRule="auto"/>
        <w:ind w:left="340" w:right="20" w:hanging="340"/>
        <w:jc w:val="both"/>
        <w:rPr>
          <w:sz w:val="24"/>
          <w:szCs w:val="24"/>
        </w:rPr>
      </w:pPr>
      <w:r>
        <w:rPr>
          <w:color w:val="000000"/>
          <w:sz w:val="24"/>
          <w:szCs w:val="24"/>
        </w:rPr>
        <w:t>o</w:t>
      </w:r>
      <w:r w:rsidRPr="005B49FD">
        <w:rPr>
          <w:color w:val="000000"/>
          <w:sz w:val="24"/>
          <w:szCs w:val="24"/>
        </w:rPr>
        <w:t>bejmować skazanych seniorów, przewlekle chorych i osoby z niepełnosprawnościami zintegrowanymi oddziaływaniami dostosowanymi do ich możliwości psychofizycznych, w tym w zakresie programów readaptacji (dostępna baza na stronie intranetowej BP), integracji rodzin, terapii zajęciowej, poradnictwa prawnego, zajęć kulturalno - oświatowych, edukacyjnych i sportowych, pomocy postpenitencjarnej w tym m.in. rentowej, emerytalnej i mieszkaniowej).</w:t>
      </w:r>
    </w:p>
    <w:p w14:paraId="4D5D435E" w14:textId="5C992C4C" w:rsidR="00A9797A" w:rsidRPr="00EA01AF" w:rsidRDefault="00A9797A" w:rsidP="00EA01AF">
      <w:pPr>
        <w:pStyle w:val="Teksttreci0"/>
        <w:numPr>
          <w:ilvl w:val="0"/>
          <w:numId w:val="208"/>
        </w:numPr>
        <w:shd w:val="clear" w:color="auto" w:fill="auto"/>
        <w:tabs>
          <w:tab w:val="left" w:pos="730"/>
        </w:tabs>
        <w:spacing w:after="0" w:line="276" w:lineRule="auto"/>
        <w:ind w:left="340" w:right="20" w:hanging="340"/>
        <w:jc w:val="both"/>
        <w:rPr>
          <w:sz w:val="24"/>
          <w:szCs w:val="24"/>
        </w:rPr>
      </w:pPr>
      <w:r w:rsidRPr="00EA01AF">
        <w:rPr>
          <w:color w:val="000000"/>
          <w:sz w:val="24"/>
          <w:szCs w:val="24"/>
        </w:rPr>
        <w:t>kontynuować szkolenia kadry mającej bezpośredni kontakt z seniorami, niepełnosprawnymi i/lub chorymi.</w:t>
      </w:r>
    </w:p>
    <w:p w14:paraId="0DEE59DF" w14:textId="77777777" w:rsidR="00A9797A" w:rsidRDefault="00A9797A" w:rsidP="00EA01AF">
      <w:pPr>
        <w:pStyle w:val="Teksttreci0"/>
        <w:numPr>
          <w:ilvl w:val="0"/>
          <w:numId w:val="208"/>
        </w:numPr>
        <w:shd w:val="clear" w:color="auto" w:fill="auto"/>
        <w:tabs>
          <w:tab w:val="left" w:pos="735"/>
        </w:tabs>
        <w:spacing w:after="0" w:line="276" w:lineRule="auto"/>
        <w:ind w:left="340" w:right="20" w:hanging="340"/>
        <w:jc w:val="both"/>
        <w:rPr>
          <w:sz w:val="24"/>
          <w:szCs w:val="24"/>
        </w:rPr>
      </w:pPr>
      <w:r>
        <w:rPr>
          <w:color w:val="000000"/>
          <w:sz w:val="24"/>
          <w:szCs w:val="24"/>
        </w:rPr>
        <w:t>d</w:t>
      </w:r>
      <w:r w:rsidRPr="006E663A">
        <w:rPr>
          <w:color w:val="000000"/>
          <w:sz w:val="24"/>
          <w:szCs w:val="24"/>
        </w:rPr>
        <w:t>okonując zakupów (np. sprzętu do ćwiczeń, książek, wyposażenia dodatkowego do cel mieszkalnych, świetlic itp.) uwzględniać potrzeby i możliwości ww. grup osadzonych.</w:t>
      </w:r>
    </w:p>
    <w:p w14:paraId="0BFA88FF" w14:textId="77777777" w:rsidR="00A9797A" w:rsidRDefault="00A9797A" w:rsidP="00EA01AF">
      <w:pPr>
        <w:pStyle w:val="Teksttreci0"/>
        <w:numPr>
          <w:ilvl w:val="0"/>
          <w:numId w:val="208"/>
        </w:numPr>
        <w:shd w:val="clear" w:color="auto" w:fill="auto"/>
        <w:tabs>
          <w:tab w:val="left" w:pos="726"/>
        </w:tabs>
        <w:spacing w:after="0" w:line="276" w:lineRule="auto"/>
        <w:ind w:left="340" w:right="20" w:hanging="340"/>
        <w:jc w:val="both"/>
        <w:rPr>
          <w:sz w:val="24"/>
          <w:szCs w:val="24"/>
        </w:rPr>
      </w:pPr>
      <w:r>
        <w:rPr>
          <w:color w:val="000000"/>
          <w:sz w:val="24"/>
          <w:szCs w:val="24"/>
        </w:rPr>
        <w:t xml:space="preserve">w </w:t>
      </w:r>
      <w:r w:rsidRPr="006E663A">
        <w:rPr>
          <w:color w:val="000000"/>
          <w:sz w:val="24"/>
          <w:szCs w:val="24"/>
        </w:rPr>
        <w:t>przypadku konieczności zapewnienia pomocy w zakresie spraw związanych z codzienną egzystencją ww. grup osadzonych, należy zatrudniać (w miarę możliwości odpłatnie) skazanych przeszkolonych jako opiekunów osób starszych lub niepełnosprawnych.</w:t>
      </w:r>
    </w:p>
    <w:p w14:paraId="25664EF8" w14:textId="77777777" w:rsidR="00A9797A" w:rsidRDefault="00A9797A" w:rsidP="00EA01AF">
      <w:pPr>
        <w:pStyle w:val="Teksttreci0"/>
        <w:numPr>
          <w:ilvl w:val="0"/>
          <w:numId w:val="208"/>
        </w:numPr>
        <w:shd w:val="clear" w:color="auto" w:fill="auto"/>
        <w:tabs>
          <w:tab w:val="left" w:pos="730"/>
        </w:tabs>
        <w:spacing w:after="0" w:line="276" w:lineRule="auto"/>
        <w:ind w:left="340" w:right="20" w:hanging="340"/>
        <w:jc w:val="both"/>
        <w:rPr>
          <w:sz w:val="24"/>
          <w:szCs w:val="24"/>
        </w:rPr>
      </w:pPr>
      <w:r>
        <w:rPr>
          <w:color w:val="000000"/>
          <w:sz w:val="24"/>
          <w:szCs w:val="24"/>
        </w:rPr>
        <w:t>z</w:t>
      </w:r>
      <w:r w:rsidRPr="006E663A">
        <w:rPr>
          <w:color w:val="000000"/>
          <w:sz w:val="24"/>
          <w:szCs w:val="24"/>
        </w:rPr>
        <w:t>apewnić ww. osobom właściwy dobór osadzonych w celi mieszkalnej oraz prowadzić stały nadzór nastrojów wśród osadzonych.</w:t>
      </w:r>
    </w:p>
    <w:p w14:paraId="60F039A3" w14:textId="77777777" w:rsidR="00A9797A" w:rsidRDefault="00A9797A" w:rsidP="00EA01AF">
      <w:pPr>
        <w:pStyle w:val="Teksttreci0"/>
        <w:numPr>
          <w:ilvl w:val="0"/>
          <w:numId w:val="208"/>
        </w:numPr>
        <w:shd w:val="clear" w:color="auto" w:fill="auto"/>
        <w:tabs>
          <w:tab w:val="left" w:pos="730"/>
        </w:tabs>
        <w:spacing w:after="0" w:line="276" w:lineRule="auto"/>
        <w:ind w:left="340" w:right="20" w:hanging="340"/>
        <w:jc w:val="both"/>
        <w:rPr>
          <w:sz w:val="24"/>
          <w:szCs w:val="24"/>
        </w:rPr>
      </w:pPr>
      <w:r>
        <w:rPr>
          <w:color w:val="000000"/>
          <w:sz w:val="24"/>
          <w:szCs w:val="24"/>
        </w:rPr>
        <w:t>p</w:t>
      </w:r>
      <w:r w:rsidRPr="006E663A">
        <w:rPr>
          <w:color w:val="000000"/>
          <w:sz w:val="24"/>
          <w:szCs w:val="24"/>
        </w:rPr>
        <w:t>odejmować współpracę z podmiotami, o których mowa art. 38 i 41§2 kkw w zakresie zapewnienia opieki postpenitencjarnej dla skazanych i tymczasowo aresztowanych.</w:t>
      </w:r>
    </w:p>
    <w:p w14:paraId="7AE00F3B" w14:textId="77777777" w:rsidR="00A9797A" w:rsidRPr="006E663A" w:rsidRDefault="00A9797A" w:rsidP="004E6514">
      <w:pPr>
        <w:pStyle w:val="Teksttreci0"/>
        <w:numPr>
          <w:ilvl w:val="0"/>
          <w:numId w:val="208"/>
        </w:numPr>
        <w:shd w:val="clear" w:color="auto" w:fill="auto"/>
        <w:tabs>
          <w:tab w:val="left" w:pos="730"/>
        </w:tabs>
        <w:spacing w:after="0" w:line="276" w:lineRule="auto"/>
        <w:ind w:left="340" w:right="20" w:hanging="340"/>
        <w:jc w:val="both"/>
        <w:rPr>
          <w:sz w:val="24"/>
          <w:szCs w:val="24"/>
        </w:rPr>
      </w:pPr>
      <w:r>
        <w:rPr>
          <w:color w:val="000000"/>
          <w:sz w:val="24"/>
          <w:szCs w:val="24"/>
        </w:rPr>
        <w:t>d</w:t>
      </w:r>
      <w:r w:rsidRPr="006E663A">
        <w:rPr>
          <w:color w:val="000000"/>
          <w:sz w:val="24"/>
          <w:szCs w:val="24"/>
        </w:rPr>
        <w:t>okonując pogłębionej diagnozy oraz weryfikacji potrzeb postpenitencjarnych wobec ww. grup i stwierdzając konieczność niwelowania deficytów, w pierwszej kolejności rozważać objęcie ww. skazanych okresem, o którym mowa w art. 164 Kkw.</w:t>
      </w:r>
    </w:p>
    <w:p w14:paraId="00B555A8" w14:textId="54A094A5" w:rsidR="00A9797A" w:rsidRDefault="00A9797A" w:rsidP="00A9797A">
      <w:pPr>
        <w:pStyle w:val="Teksttreci0"/>
        <w:shd w:val="clear" w:color="auto" w:fill="auto"/>
        <w:spacing w:after="0" w:line="276" w:lineRule="auto"/>
        <w:ind w:right="20" w:firstLine="0"/>
        <w:jc w:val="both"/>
        <w:rPr>
          <w:color w:val="000000"/>
          <w:sz w:val="24"/>
          <w:szCs w:val="24"/>
        </w:rPr>
      </w:pPr>
    </w:p>
    <w:p w14:paraId="2F736D4A" w14:textId="77777777" w:rsidR="00EA01AF" w:rsidRDefault="00EA01AF" w:rsidP="00A9797A">
      <w:pPr>
        <w:pStyle w:val="Teksttreci0"/>
        <w:shd w:val="clear" w:color="auto" w:fill="auto"/>
        <w:spacing w:after="0" w:line="276" w:lineRule="auto"/>
        <w:ind w:right="20" w:firstLine="0"/>
        <w:jc w:val="both"/>
        <w:rPr>
          <w:color w:val="000000"/>
          <w:sz w:val="24"/>
          <w:szCs w:val="24"/>
        </w:rPr>
      </w:pPr>
    </w:p>
    <w:p w14:paraId="47A3AE07"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Aktualne pozostają wnioski zawarte w analizie za 2018 r. w zakresie dokładania dużej staranności w doborze innych osadzonych do wspólnego zakwaterowania w celi mieszkalnej z seniorami, a liczebność tych cel nie powinna być zbyt znaczna. Ponadto konieczne jest także prowadzenie stałego rozpoznania nastrojów wśród osadzonych przebywających z osobami w wieku senioralnym, by zapobiegać zachowaniom dyskryminacyjnym, a nawet przemocowym czy agresywnym względem nich. Bardzo dobrym rozwiązaniem jest możliwość kwaterowania seniorów lub zapewniania im pomocy przez innych osadzonych posiadających odpowiednie kwalifikacje z zakresu udzielania pomocy w codziennej egzystencji osobom starszym (postępowanie to ma już zastosowanie w § 55 ust. 3 zarządzenia nr 19/16 Dyrektora Generalnego Służby Więziennej z dnia 14 kwietnia 2016 r. w sprawie szczegółowych zasad prowadzenia i organizacji pracy penitencjarnej oraz zakresów czynności funkcjonariuszy i pracowników działów penitencjarnych i terapeutycznych oraz oddziałów penitencjarnych).</w:t>
      </w:r>
    </w:p>
    <w:p w14:paraId="6D580B86" w14:textId="77777777" w:rsidR="00A9797A" w:rsidRPr="005B49FD" w:rsidRDefault="00A9797A" w:rsidP="00A9797A">
      <w:pPr>
        <w:pStyle w:val="Teksttreci0"/>
        <w:shd w:val="clear" w:color="auto" w:fill="auto"/>
        <w:spacing w:after="0" w:line="276" w:lineRule="auto"/>
        <w:ind w:right="20" w:firstLine="0"/>
        <w:jc w:val="both"/>
        <w:rPr>
          <w:sz w:val="24"/>
          <w:szCs w:val="24"/>
        </w:rPr>
      </w:pPr>
    </w:p>
    <w:p w14:paraId="65BEF5D5" w14:textId="77777777" w:rsidR="00A9797A" w:rsidRPr="00755F06"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Należy podkreślić, że znacząco wzrosła liczba funkcjonariuszy i pracowników cywilnych Służby Więziennej, którzy zostali poddani wszechstronnym szkoleniom z zakresu m.in. gerontologii resocjalizacyjnej. Istotnym jest, aby w przypadku utrzymującego się wzrostu populacji seniorów przebywających w więzieniach, stale monitorować stan opieki medycznej nad tą grupą osadzonych. Skazani w wieku powyżej 60 lat generują konieczność zapewnienia wyższych nakładów finansowych na opiekę medyczną oraz większe zapotrzebowanie na specjalistyczne porady lekarskie, długotrwałe leczenie farmakologiczne, zapewnienie opieki pielęgnacyjnej, a także zaopatrzenie w przedmioty ortopedyczne oraz środki pomocnicze.</w:t>
      </w:r>
    </w:p>
    <w:p w14:paraId="69E9EAC8"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 xml:space="preserve">Z uwagi na to, że postawa wycofania i bierności osadzonych seniorów wzmaga u nich brak poczucia wartości, umacnia negatywny bilans życia, co w konsekwencji może negatywnie rzutować na ich stan zdrowia psychofizycznego, kadra penitencjarna winna zwracać większą uwagę na to, jak ta grupa osadzonych funkcjonuje w warunkach izolacji penitencjarnej. Należy też obejmować ich w miarę potrzeby pełnym wachlarzem oddziaływań penitencjarnych (terapia, programy, zajęcia kulturalno - oświatowe, sportowe i inne). To, co wydaje się ważne w perspektywicznym myśleniu w zakresie doskonalenia podejmowanych oddziaływań, to stworzenie indywidualnego podejścia do konkretnej grupy więźniów, ze szczególnym uwzględnieniem skazanych w wieku senioralnym. Starości nie da się uniknąć, gdyż jest kolejnym etapem rozwoju człowieka, nie można także wykluczyć czynników ryzyka zaburzeń pojawiających się częściej w tym okresie życia. Należy jednak podejmować wszelkie działania profilaktyczne i diagnostyczne, mające na celu podtrzymanie lub poprawienie jakości - standardu życia osób starszych. Ważne jest także zabezpieczenie ich przed poczuciem osamotnienia, wykluczenia społecznego i marginalizacji. Wyjściem naprzeciw temu postulatowi jest organizowany przez Biuro Penitencjarne Centralnego Zarządu Służby Więziennej Ogólnopolski Konkurs na Program Resocjalizacji Sprzyjający Readaptacji Społecznej Osób Pozbawionych Wolności. Jednym ze wskazanych obszarów programów były oddziaływania wobec skazanych starszych 60+. Zaowocowało to wprowadzeniem w bazie dobrych praktyk (dostępnej dla wszystkich funkcjonariuszy na stronie intranetowej Biura Penitencjarnego) nowych programów resocjalizacji gotowych do realizacji z osobami </w:t>
      </w:r>
      <w:r w:rsidRPr="005B49FD">
        <w:rPr>
          <w:color w:val="000000"/>
          <w:sz w:val="24"/>
          <w:szCs w:val="24"/>
        </w:rPr>
        <w:lastRenderedPageBreak/>
        <w:t>pozbawionymi wolności.</w:t>
      </w:r>
    </w:p>
    <w:p w14:paraId="4DE0E4E7" w14:textId="77777777" w:rsidR="00A9797A" w:rsidRPr="005B49FD" w:rsidRDefault="00A9797A" w:rsidP="00A9797A">
      <w:pPr>
        <w:pStyle w:val="Teksttreci0"/>
        <w:shd w:val="clear" w:color="auto" w:fill="auto"/>
        <w:spacing w:after="0" w:line="276" w:lineRule="auto"/>
        <w:ind w:right="20" w:firstLine="0"/>
        <w:jc w:val="both"/>
        <w:rPr>
          <w:sz w:val="24"/>
          <w:szCs w:val="24"/>
        </w:rPr>
      </w:pPr>
    </w:p>
    <w:p w14:paraId="47BA617C"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Praca ze skazanym seniorem w celu przygotowania go do poprawnego funkcjonowania w społeczeństwie po zwolnieniu z zakładu karnego winna uwzględniać utrzymanie, usprawnienie, a niekiedy nawiązanie więzi społecznych. Będzie to możliwe tylko w przypadku włączenia w ich realizację, jeszcze w trakcie wykonywania kary, organizacji pozarządowych, kuratorów sądowych, lokalnych placówek pomocowych, a także, jeśli to możliwe, bliskich osadzonego.</w:t>
      </w:r>
    </w:p>
    <w:p w14:paraId="543ABDA5" w14:textId="77777777" w:rsidR="00A9797A" w:rsidRPr="005B49FD" w:rsidRDefault="00A9797A" w:rsidP="00A9797A">
      <w:pPr>
        <w:pStyle w:val="Teksttreci0"/>
        <w:shd w:val="clear" w:color="auto" w:fill="auto"/>
        <w:spacing w:after="0" w:line="276" w:lineRule="auto"/>
        <w:ind w:right="20" w:firstLine="0"/>
        <w:jc w:val="both"/>
        <w:rPr>
          <w:sz w:val="24"/>
          <w:szCs w:val="24"/>
        </w:rPr>
      </w:pPr>
    </w:p>
    <w:p w14:paraId="6C8A367C"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W przypadku seniorów, silniej niż w stosunku do innych grup więźniów, odczuwalny jest brak instytucjonalnego powiązania i wsparcia w procesie readaptacyjnym ze strony podmiotów funkcjonujących na wolności. Dlatego wskazane jest nawiązanie współpracy pomiędzy jednostkami penitencjarnymi, a organizacjami zewnętrznymi w celu przygotowania skazanym seniorom łatwiejszego powrotu do społeczeństwa. Szczególną troską powinno się obejmować grupę osób w wieku zaawansowanej starości, tj. po 75. roku życia, które są niejednokrotnie bez wsparcia rodziny, miejsca zamieszkania, z potrzebami leczenia specjalistycznego na wolności.</w:t>
      </w:r>
    </w:p>
    <w:p w14:paraId="0D592132"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Analizując przedstawione dane należy stwierdzić, że Służba Więzienna stwarza warunki do zapewnienia osobom starszym szerokiej partycypacji społecznej, profilaktyki zdrowotnej, aktywnej polityki emerytalnej oraz organizowania sieci dostępnych usług zdrowotnych, opiekuńczych, edukacyjnych i integracyjnych.</w:t>
      </w:r>
    </w:p>
    <w:p w14:paraId="2F5B2F3E" w14:textId="77777777" w:rsidR="00A9797A" w:rsidRPr="005B49FD" w:rsidRDefault="00A9797A" w:rsidP="00A9797A">
      <w:pPr>
        <w:pStyle w:val="Teksttreci0"/>
        <w:shd w:val="clear" w:color="auto" w:fill="auto"/>
        <w:spacing w:after="0" w:line="276" w:lineRule="auto"/>
        <w:ind w:right="20" w:firstLine="0"/>
        <w:jc w:val="both"/>
        <w:rPr>
          <w:sz w:val="24"/>
          <w:szCs w:val="24"/>
        </w:rPr>
      </w:pPr>
    </w:p>
    <w:p w14:paraId="58301A37" w14:textId="77777777" w:rsidR="00A9797A" w:rsidRDefault="00A9797A" w:rsidP="00A9797A">
      <w:pPr>
        <w:pStyle w:val="Teksttreci0"/>
        <w:shd w:val="clear" w:color="auto" w:fill="auto"/>
        <w:spacing w:after="0" w:line="276" w:lineRule="auto"/>
        <w:ind w:firstLine="0"/>
        <w:jc w:val="both"/>
        <w:rPr>
          <w:color w:val="000000"/>
          <w:sz w:val="24"/>
          <w:szCs w:val="24"/>
        </w:rPr>
      </w:pPr>
      <w:r w:rsidRPr="005B49FD">
        <w:rPr>
          <w:color w:val="000000"/>
          <w:sz w:val="24"/>
          <w:szCs w:val="24"/>
        </w:rPr>
        <w:t>W dalszym ciągu należy prowadzić działania zmierzające do poprawy jakości, warunków</w:t>
      </w:r>
      <w:r>
        <w:rPr>
          <w:sz w:val="24"/>
          <w:szCs w:val="24"/>
        </w:rPr>
        <w:t xml:space="preserve"> i </w:t>
      </w:r>
      <w:r w:rsidRPr="005B49FD">
        <w:rPr>
          <w:color w:val="000000"/>
          <w:sz w:val="24"/>
          <w:szCs w:val="24"/>
        </w:rPr>
        <w:t>bezpieczeństwa życia osób starszych, szkolenia zarówno funkcjonariuszy jak i osadzonych w zakresie poprawy wizerunku osoby starszej i akceptacji zjawiska starości.</w:t>
      </w:r>
    </w:p>
    <w:p w14:paraId="486A8EC4" w14:textId="77777777" w:rsidR="00A9797A" w:rsidRPr="005B49FD" w:rsidRDefault="00A9797A" w:rsidP="00A9797A">
      <w:pPr>
        <w:pStyle w:val="Teksttreci0"/>
        <w:shd w:val="clear" w:color="auto" w:fill="auto"/>
        <w:spacing w:after="0" w:line="276" w:lineRule="auto"/>
        <w:ind w:firstLine="0"/>
        <w:jc w:val="both"/>
        <w:rPr>
          <w:sz w:val="24"/>
          <w:szCs w:val="24"/>
        </w:rPr>
      </w:pPr>
    </w:p>
    <w:p w14:paraId="3AF3C66D" w14:textId="77777777" w:rsidR="00A9797A" w:rsidRDefault="00A9797A" w:rsidP="00427762">
      <w:pPr>
        <w:pStyle w:val="Teksttreci0"/>
        <w:shd w:val="clear" w:color="auto" w:fill="auto"/>
        <w:spacing w:after="0" w:line="276" w:lineRule="auto"/>
        <w:ind w:right="20" w:firstLine="0"/>
        <w:jc w:val="both"/>
        <w:rPr>
          <w:color w:val="000000"/>
          <w:sz w:val="24"/>
          <w:szCs w:val="24"/>
        </w:rPr>
      </w:pPr>
      <w:r w:rsidRPr="005B49FD">
        <w:rPr>
          <w:color w:val="000000"/>
          <w:sz w:val="24"/>
          <w:szCs w:val="24"/>
        </w:rPr>
        <w:t>Istotnym jest również dalsze zaangażowanie Służby Więziennej w realizację kolejnych działań polityki społecznej wobec osób starszych we współpracy ze wszystkimi instytucjami oraz partnerami społecznymi oraz zapewnienie w dalszym ciągu uczestnictwa w życiu społecznym oraz wspieranie wszelkich form aktywności obywatelskiej, społecznej, kulturalnej, artystycznej, sportowej i religijnej w oparciu o podpisane porozumienia. Przełoży się to niewątpliwie na tworzenie warunków do solidarności i integracji międzypokoleniowej, prowadzenia działań edukacyjnych i co najważniejsze - do zwiększenia bezpieczeństwa fizycznego - przeciwdziałanie przemocy i zaniedbaniom wobec osób s</w:t>
      </w:r>
      <w:bookmarkStart w:id="108" w:name="bookmark15"/>
      <w:r w:rsidR="00427762">
        <w:rPr>
          <w:color w:val="000000"/>
          <w:sz w:val="24"/>
          <w:szCs w:val="24"/>
        </w:rPr>
        <w:t>tarszych.</w:t>
      </w:r>
    </w:p>
    <w:p w14:paraId="3510198B" w14:textId="77777777" w:rsidR="00427762" w:rsidRDefault="00427762" w:rsidP="00427762">
      <w:pPr>
        <w:pStyle w:val="Teksttreci0"/>
        <w:shd w:val="clear" w:color="auto" w:fill="auto"/>
        <w:spacing w:after="0" w:line="276" w:lineRule="auto"/>
        <w:ind w:right="20" w:firstLine="0"/>
        <w:jc w:val="both"/>
        <w:rPr>
          <w:color w:val="000000"/>
          <w:sz w:val="24"/>
          <w:szCs w:val="24"/>
        </w:rPr>
      </w:pPr>
    </w:p>
    <w:p w14:paraId="45B0AA16" w14:textId="77777777" w:rsidR="00A9797A" w:rsidRPr="00755F06" w:rsidRDefault="00A9797A" w:rsidP="00A9797A">
      <w:pPr>
        <w:pStyle w:val="Teksttreci0"/>
        <w:shd w:val="clear" w:color="auto" w:fill="auto"/>
        <w:spacing w:after="0" w:line="276" w:lineRule="auto"/>
        <w:ind w:right="20" w:firstLine="0"/>
        <w:jc w:val="left"/>
        <w:rPr>
          <w:b/>
          <w:color w:val="00B0F0"/>
          <w:sz w:val="24"/>
          <w:szCs w:val="24"/>
        </w:rPr>
      </w:pPr>
      <w:r w:rsidRPr="00755F06">
        <w:rPr>
          <w:b/>
          <w:color w:val="00B0F0"/>
          <w:sz w:val="24"/>
          <w:szCs w:val="24"/>
        </w:rPr>
        <w:t>Działania i projekty realizowane przez Fundusz Sprawiedliwości</w:t>
      </w:r>
      <w:bookmarkEnd w:id="108"/>
    </w:p>
    <w:p w14:paraId="2579D780" w14:textId="77777777" w:rsidR="00A9797A" w:rsidRDefault="00A9797A" w:rsidP="00A9797A">
      <w:pPr>
        <w:pStyle w:val="Teksttreci0"/>
        <w:shd w:val="clear" w:color="auto" w:fill="auto"/>
        <w:spacing w:after="0" w:line="276" w:lineRule="auto"/>
        <w:ind w:right="20" w:firstLine="0"/>
        <w:jc w:val="left"/>
        <w:rPr>
          <w:color w:val="000000"/>
          <w:sz w:val="24"/>
          <w:szCs w:val="24"/>
        </w:rPr>
      </w:pPr>
    </w:p>
    <w:p w14:paraId="4E4D043E"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 xml:space="preserve">Ministerstwo realizuje zadania związane z obsługą Funduszu Sprawiedliwości oraz działania mające na celu zapewnienie pomocy dla ofiar czynów zabronionych (wykonując postanowienia </w:t>
      </w:r>
      <w:r w:rsidRPr="00755F06">
        <w:rPr>
          <w:i/>
          <w:color w:val="000000"/>
          <w:sz w:val="24"/>
          <w:szCs w:val="24"/>
        </w:rPr>
        <w:t>Dyrektywy Parlamentu Europejskiego i Rady z dnia 25 października 2012 r. nr. 2012/29/UE</w:t>
      </w:r>
      <w:r w:rsidRPr="005B49FD">
        <w:rPr>
          <w:color w:val="000000"/>
          <w:sz w:val="24"/>
          <w:szCs w:val="24"/>
        </w:rPr>
        <w:t>), które chciałyby skorzystać z przysługujących im środków ochrony prawnej.</w:t>
      </w:r>
      <w:r>
        <w:rPr>
          <w:sz w:val="24"/>
          <w:szCs w:val="24"/>
        </w:rPr>
        <w:t xml:space="preserve"> </w:t>
      </w:r>
      <w:r w:rsidRPr="005B49FD">
        <w:rPr>
          <w:color w:val="000000"/>
          <w:sz w:val="24"/>
          <w:szCs w:val="24"/>
        </w:rPr>
        <w:t>Dodatkowo, ze środków Funduszu Sprawiedliwości. są realizowane projekty dotyczące przeciwdziałania przyczynom przestępczości.</w:t>
      </w:r>
      <w:r>
        <w:rPr>
          <w:sz w:val="24"/>
          <w:szCs w:val="24"/>
        </w:rPr>
        <w:t xml:space="preserve"> </w:t>
      </w:r>
      <w:r w:rsidRPr="005B49FD">
        <w:rPr>
          <w:color w:val="000000"/>
          <w:sz w:val="24"/>
          <w:szCs w:val="24"/>
        </w:rPr>
        <w:t>Środki Funduszu Sprawiedliwości są przeznaczane na:</w:t>
      </w:r>
    </w:p>
    <w:p w14:paraId="7BA8A7F2" w14:textId="77777777" w:rsidR="00A9797A" w:rsidRPr="005B49FD" w:rsidRDefault="00A9797A" w:rsidP="008C71A9">
      <w:pPr>
        <w:pStyle w:val="Teksttreci0"/>
        <w:numPr>
          <w:ilvl w:val="0"/>
          <w:numId w:val="209"/>
        </w:numPr>
        <w:shd w:val="clear" w:color="auto" w:fill="auto"/>
        <w:tabs>
          <w:tab w:val="left" w:pos="696"/>
        </w:tabs>
        <w:spacing w:after="0" w:line="276" w:lineRule="auto"/>
        <w:ind w:right="20"/>
        <w:jc w:val="both"/>
        <w:rPr>
          <w:sz w:val="24"/>
          <w:szCs w:val="24"/>
        </w:rPr>
      </w:pPr>
      <w:r w:rsidRPr="005B49FD">
        <w:rPr>
          <w:color w:val="000000"/>
          <w:sz w:val="24"/>
          <w:szCs w:val="24"/>
        </w:rPr>
        <w:lastRenderedPageBreak/>
        <w:t>pomoc osobom pokrzywdzonym przestępstwem oraz osobom im najbliższym, zwłaszcza pomoc medyczną, psychologiczną, rehabilitacyjną, prawną oraz materialną, udzielaną przez jednostki niezaliczane do sektora finansów publicznych i niedziałające w celu osiągnięcia zysku, w tym stowarzyszenia, fundacje, organizacje;</w:t>
      </w:r>
    </w:p>
    <w:p w14:paraId="103FDE8F" w14:textId="77777777" w:rsidR="00A9797A" w:rsidRPr="005B49FD" w:rsidRDefault="00A9797A" w:rsidP="008C71A9">
      <w:pPr>
        <w:pStyle w:val="Teksttreci0"/>
        <w:numPr>
          <w:ilvl w:val="0"/>
          <w:numId w:val="209"/>
        </w:numPr>
        <w:shd w:val="clear" w:color="auto" w:fill="auto"/>
        <w:tabs>
          <w:tab w:val="left" w:pos="720"/>
        </w:tabs>
        <w:spacing w:after="0" w:line="276" w:lineRule="auto"/>
        <w:ind w:right="20"/>
        <w:jc w:val="both"/>
        <w:rPr>
          <w:sz w:val="24"/>
          <w:szCs w:val="24"/>
        </w:rPr>
      </w:pPr>
      <w:r w:rsidRPr="005B49FD">
        <w:rPr>
          <w:color w:val="000000"/>
          <w:sz w:val="24"/>
          <w:szCs w:val="24"/>
        </w:rPr>
        <w:t>realizację przez jednostki sektora finansów publicznych zadań ustawowych związanych z ochroną interesów osób pokrzywdzonych przestępstwem i świadków, a także wykrywaniem i zapobieganiem przestępczości oraz likwidacją skutków pokrzywdzenia przestępstwem;</w:t>
      </w:r>
    </w:p>
    <w:p w14:paraId="7D49E04C" w14:textId="77777777" w:rsidR="00A9797A" w:rsidRPr="005B49FD" w:rsidRDefault="00A9797A" w:rsidP="008C71A9">
      <w:pPr>
        <w:pStyle w:val="Teksttreci0"/>
        <w:numPr>
          <w:ilvl w:val="0"/>
          <w:numId w:val="209"/>
        </w:numPr>
        <w:shd w:val="clear" w:color="auto" w:fill="auto"/>
        <w:tabs>
          <w:tab w:val="left" w:pos="715"/>
        </w:tabs>
        <w:spacing w:after="0" w:line="276" w:lineRule="auto"/>
        <w:ind w:right="20"/>
        <w:jc w:val="both"/>
        <w:rPr>
          <w:sz w:val="24"/>
          <w:szCs w:val="24"/>
        </w:rPr>
      </w:pPr>
      <w:r w:rsidRPr="005B49FD">
        <w:rPr>
          <w:color w:val="000000"/>
          <w:sz w:val="24"/>
          <w:szCs w:val="24"/>
        </w:rPr>
        <w:t>finansowanie alternatywnych metod rozwiązywania konfliktów, w szczególności mediacji w sprawach rodzinnych, nieletnich i karnych;</w:t>
      </w:r>
    </w:p>
    <w:p w14:paraId="162EC756" w14:textId="77777777" w:rsidR="00A9797A" w:rsidRPr="005B49FD" w:rsidRDefault="00A9797A" w:rsidP="008C71A9">
      <w:pPr>
        <w:pStyle w:val="Teksttreci0"/>
        <w:numPr>
          <w:ilvl w:val="0"/>
          <w:numId w:val="209"/>
        </w:numPr>
        <w:shd w:val="clear" w:color="auto" w:fill="auto"/>
        <w:tabs>
          <w:tab w:val="left" w:pos="720"/>
        </w:tabs>
        <w:spacing w:after="0" w:line="276" w:lineRule="auto"/>
        <w:jc w:val="both"/>
        <w:rPr>
          <w:sz w:val="24"/>
          <w:szCs w:val="24"/>
        </w:rPr>
      </w:pPr>
      <w:r w:rsidRPr="005B49FD">
        <w:rPr>
          <w:color w:val="000000"/>
          <w:sz w:val="24"/>
          <w:szCs w:val="24"/>
        </w:rPr>
        <w:t>pomoc psychologiczną świadkom i osobom im najbliższym;</w:t>
      </w:r>
    </w:p>
    <w:p w14:paraId="1BA1EE4F" w14:textId="77777777" w:rsidR="00A9797A" w:rsidRPr="005B49FD" w:rsidRDefault="00A9797A" w:rsidP="008C71A9">
      <w:pPr>
        <w:pStyle w:val="Teksttreci0"/>
        <w:numPr>
          <w:ilvl w:val="0"/>
          <w:numId w:val="209"/>
        </w:numPr>
        <w:shd w:val="clear" w:color="auto" w:fill="auto"/>
        <w:tabs>
          <w:tab w:val="left" w:pos="710"/>
        </w:tabs>
        <w:spacing w:after="0" w:line="276" w:lineRule="auto"/>
        <w:jc w:val="both"/>
        <w:rPr>
          <w:sz w:val="24"/>
          <w:szCs w:val="24"/>
        </w:rPr>
      </w:pPr>
      <w:r w:rsidRPr="005B49FD">
        <w:rPr>
          <w:color w:val="000000"/>
          <w:sz w:val="24"/>
          <w:szCs w:val="24"/>
        </w:rPr>
        <w:t>inicjatywy mające na celu zmniejszenie przeciwdziałanie przemocy i przestępczości.</w:t>
      </w:r>
    </w:p>
    <w:p w14:paraId="2E400BCA"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6A111BF9"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Pomoc osobom pokrzywdzonym przestępstwem, świadkom i osobom im najbliższym udzielana jest przez wyspecjalizowane podmioty niezaliczane do sektora finansów publicznych, w tym fundacje, stowarzyszenia i organizacje w ramach sieci pomocy pokrzywdzonym. Z przeds</w:t>
      </w:r>
      <w:r>
        <w:rPr>
          <w:color w:val="000000"/>
          <w:sz w:val="24"/>
          <w:szCs w:val="24"/>
        </w:rPr>
        <w:t>tawionych sprawozdań za 2019 r.</w:t>
      </w:r>
      <w:r w:rsidRPr="005B49FD">
        <w:rPr>
          <w:color w:val="000000"/>
          <w:sz w:val="24"/>
          <w:szCs w:val="24"/>
        </w:rPr>
        <w:t xml:space="preserve"> wynika, że wśród osób, które skorzystały ze świadczonej pomocy w ramach Funduszu Sprawiedliwości, </w:t>
      </w:r>
      <w:r w:rsidRPr="005B49FD">
        <w:rPr>
          <w:sz w:val="24"/>
          <w:szCs w:val="24"/>
        </w:rPr>
        <w:t>znalazła się część</w:t>
      </w:r>
      <w:r w:rsidRPr="005B49FD">
        <w:rPr>
          <w:color w:val="000000"/>
          <w:sz w:val="24"/>
          <w:szCs w:val="24"/>
        </w:rPr>
        <w:t xml:space="preserve"> </w:t>
      </w:r>
      <w:r w:rsidRPr="005B49FD">
        <w:rPr>
          <w:sz w:val="24"/>
          <w:szCs w:val="24"/>
        </w:rPr>
        <w:t>osób starszych</w:t>
      </w:r>
      <w:r w:rsidRPr="005B49FD">
        <w:rPr>
          <w:color w:val="000000"/>
          <w:sz w:val="24"/>
          <w:szCs w:val="24"/>
        </w:rPr>
        <w:t>.</w:t>
      </w:r>
    </w:p>
    <w:p w14:paraId="2D6B0643"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7DDBF3E8" w14:textId="77777777" w:rsidR="00A9797A" w:rsidRDefault="00A9797A" w:rsidP="00A9797A">
      <w:pPr>
        <w:pStyle w:val="Teksttreci0"/>
        <w:shd w:val="clear" w:color="auto" w:fill="auto"/>
        <w:spacing w:after="0" w:line="276" w:lineRule="auto"/>
        <w:ind w:right="20" w:firstLine="0"/>
        <w:jc w:val="both"/>
        <w:rPr>
          <w:color w:val="000000"/>
          <w:sz w:val="24"/>
          <w:szCs w:val="24"/>
        </w:rPr>
      </w:pPr>
      <w:r w:rsidRPr="005B49FD">
        <w:rPr>
          <w:color w:val="000000"/>
          <w:sz w:val="24"/>
          <w:szCs w:val="24"/>
        </w:rPr>
        <w:t>Jednocześnie w 2019 r. prowadzona była kampania informacyjna, której celem było rozpowszechnianie wiedzy o istnieniu i zadaniach Funduszu Sprawiedliwości wśród potencjalnych beneficjentów, zwiększenie jego rozpoznawalności oraz usunięcie barier utrudniających dostęp do oferowanej pomocy i korzystania ze świadczeń finansowanych ze środków Funduszu. Dobór mediów został na tyle zdywersyfikowany, by objąć jak najszerszy krąg potencjalnych beneficjentów, z ukierunkowaniem również na grupę osób starszych, tak więc działania promujące możliwość uzyskania pomocy z Funduszu Sprawiedliwości podejmowane były poprzez m.in.: reklamę internetową, spoty w telewizji ogólnopolskiej i regionalnej, reklamę w prasie ogólnopolskiej i</w:t>
      </w:r>
      <w:r>
        <w:rPr>
          <w:color w:val="000000"/>
          <w:sz w:val="24"/>
          <w:szCs w:val="24"/>
        </w:rPr>
        <w:t xml:space="preserve"> regionalnej, w radio o  zasięgu  </w:t>
      </w:r>
      <w:r w:rsidRPr="005B49FD">
        <w:rPr>
          <w:color w:val="000000"/>
          <w:sz w:val="24"/>
          <w:szCs w:val="24"/>
        </w:rPr>
        <w:t>ogólnopolskim, reklamę outdoorową. Wysoka świadomość społeczna jest bowiem jednym z najważniejszych czynników wpływających na celowość i jakość świadczo</w:t>
      </w:r>
      <w:r>
        <w:rPr>
          <w:color w:val="000000"/>
          <w:sz w:val="24"/>
          <w:szCs w:val="24"/>
        </w:rPr>
        <w:t xml:space="preserve">nej przez Fundusz pomocy. </w:t>
      </w:r>
      <w:bookmarkStart w:id="109" w:name="bookmark16"/>
    </w:p>
    <w:p w14:paraId="7A28F4A1"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103DAD51" w14:textId="77777777" w:rsidR="00A9797A" w:rsidRDefault="00A9797A" w:rsidP="00A9797A">
      <w:pPr>
        <w:pStyle w:val="Teksttreci0"/>
        <w:shd w:val="clear" w:color="auto" w:fill="auto"/>
        <w:spacing w:after="0" w:line="276" w:lineRule="auto"/>
        <w:ind w:right="20" w:firstLine="0"/>
        <w:jc w:val="both"/>
        <w:rPr>
          <w:b/>
          <w:color w:val="00B0F0"/>
          <w:sz w:val="24"/>
          <w:szCs w:val="24"/>
        </w:rPr>
      </w:pPr>
      <w:r w:rsidRPr="00775DC2">
        <w:rPr>
          <w:b/>
          <w:color w:val="00B0F0"/>
          <w:sz w:val="24"/>
          <w:szCs w:val="24"/>
        </w:rPr>
        <w:t>Działania szkoleniowo-edukacyjne</w:t>
      </w:r>
      <w:bookmarkEnd w:id="109"/>
    </w:p>
    <w:p w14:paraId="292EB466" w14:textId="77777777" w:rsidR="00A9797A" w:rsidRPr="00775DC2" w:rsidRDefault="00A9797A" w:rsidP="00A9797A">
      <w:pPr>
        <w:pStyle w:val="Teksttreci0"/>
        <w:shd w:val="clear" w:color="auto" w:fill="auto"/>
        <w:spacing w:after="0" w:line="276" w:lineRule="auto"/>
        <w:ind w:right="20" w:firstLine="0"/>
        <w:jc w:val="both"/>
        <w:rPr>
          <w:b/>
          <w:color w:val="00B0F0"/>
          <w:sz w:val="24"/>
          <w:szCs w:val="24"/>
        </w:rPr>
      </w:pPr>
    </w:p>
    <w:p w14:paraId="7FCB7AD4"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W zakresie sprawowanego przez Ministra Sprawiedliwości zwierzchniego nadzoru oraz nadzoru pedagogicznego nad zakładami poprawczymi i schroniskami dla nieletnich w 2019 r. dokonano:</w:t>
      </w:r>
    </w:p>
    <w:p w14:paraId="3C3405AF" w14:textId="77777777" w:rsidR="00A9797A" w:rsidRPr="005B49FD" w:rsidRDefault="00A9797A" w:rsidP="008C71A9">
      <w:pPr>
        <w:pStyle w:val="Teksttreci0"/>
        <w:numPr>
          <w:ilvl w:val="0"/>
          <w:numId w:val="210"/>
        </w:numPr>
        <w:shd w:val="clear" w:color="auto" w:fill="auto"/>
        <w:tabs>
          <w:tab w:val="left" w:pos="696"/>
        </w:tabs>
        <w:spacing w:after="0" w:line="276" w:lineRule="auto"/>
        <w:ind w:right="20"/>
        <w:jc w:val="both"/>
        <w:rPr>
          <w:sz w:val="24"/>
          <w:szCs w:val="24"/>
        </w:rPr>
      </w:pPr>
      <w:r w:rsidRPr="005B49FD">
        <w:rPr>
          <w:color w:val="000000"/>
          <w:sz w:val="24"/>
          <w:szCs w:val="24"/>
        </w:rPr>
        <w:t>realizacji w podstawie programowej kwestii związanych z przygotowaniem do starości i integracją międzypokoleniową;</w:t>
      </w:r>
    </w:p>
    <w:p w14:paraId="32CAEF5B" w14:textId="77777777" w:rsidR="00A9797A" w:rsidRPr="005B49FD" w:rsidRDefault="00A9797A" w:rsidP="008C71A9">
      <w:pPr>
        <w:pStyle w:val="Teksttreci0"/>
        <w:numPr>
          <w:ilvl w:val="0"/>
          <w:numId w:val="210"/>
        </w:numPr>
        <w:shd w:val="clear" w:color="auto" w:fill="auto"/>
        <w:tabs>
          <w:tab w:val="left" w:pos="715"/>
        </w:tabs>
        <w:spacing w:after="0" w:line="276" w:lineRule="auto"/>
        <w:ind w:right="20"/>
        <w:jc w:val="both"/>
        <w:rPr>
          <w:sz w:val="24"/>
          <w:szCs w:val="24"/>
        </w:rPr>
      </w:pPr>
      <w:r w:rsidRPr="005B49FD">
        <w:rPr>
          <w:color w:val="000000"/>
          <w:sz w:val="24"/>
          <w:szCs w:val="24"/>
        </w:rPr>
        <w:t>upowszechniania wiedzy na temat zdrowia, z uwzględnieniem zmian wynikających z procesu starzenia na wszystkich szczeblach edukacji;</w:t>
      </w:r>
    </w:p>
    <w:p w14:paraId="2E4D354D" w14:textId="77777777" w:rsidR="00A9797A" w:rsidRPr="005B49FD" w:rsidRDefault="00A9797A" w:rsidP="008C71A9">
      <w:pPr>
        <w:pStyle w:val="Teksttreci0"/>
        <w:numPr>
          <w:ilvl w:val="0"/>
          <w:numId w:val="210"/>
        </w:numPr>
        <w:shd w:val="clear" w:color="auto" w:fill="auto"/>
        <w:tabs>
          <w:tab w:val="left" w:pos="715"/>
        </w:tabs>
        <w:spacing w:after="0" w:line="276" w:lineRule="auto"/>
        <w:ind w:right="20"/>
        <w:jc w:val="both"/>
        <w:rPr>
          <w:sz w:val="24"/>
          <w:szCs w:val="24"/>
        </w:rPr>
      </w:pPr>
      <w:r w:rsidRPr="005B49FD">
        <w:rPr>
          <w:color w:val="000000"/>
          <w:sz w:val="24"/>
          <w:szCs w:val="24"/>
        </w:rPr>
        <w:t xml:space="preserve">podjęcia działań edukacyjnych nakierowanych na utrzymanie zdrowia, zróżnicowanych w </w:t>
      </w:r>
      <w:r w:rsidRPr="005B49FD">
        <w:rPr>
          <w:color w:val="000000"/>
          <w:sz w:val="24"/>
          <w:szCs w:val="24"/>
        </w:rPr>
        <w:lastRenderedPageBreak/>
        <w:t>zależności od wieku i stopnia sprawności - propagowanie zdrowego stylu życia, sportu, spotkania mistrza olimpijskiego w wioślarstwie Kajetana Broniewskiego z wychowankami zakładów dla nieletnich w ramach międzyresortowego programu „Przeciwdziałanie poprzez sport agresji i patologii wśród dzieci i młodzieży”;</w:t>
      </w:r>
    </w:p>
    <w:p w14:paraId="63028A23" w14:textId="77777777" w:rsidR="00A9797A" w:rsidRDefault="00A9797A" w:rsidP="008C71A9">
      <w:pPr>
        <w:pStyle w:val="Teksttreci0"/>
        <w:numPr>
          <w:ilvl w:val="0"/>
          <w:numId w:val="210"/>
        </w:numPr>
        <w:shd w:val="clear" w:color="auto" w:fill="auto"/>
        <w:tabs>
          <w:tab w:val="left" w:pos="720"/>
        </w:tabs>
        <w:spacing w:after="0" w:line="276" w:lineRule="auto"/>
        <w:ind w:right="20"/>
        <w:jc w:val="both"/>
        <w:rPr>
          <w:sz w:val="24"/>
          <w:szCs w:val="24"/>
        </w:rPr>
      </w:pPr>
      <w:r w:rsidRPr="005B49FD">
        <w:rPr>
          <w:color w:val="000000"/>
          <w:sz w:val="24"/>
          <w:szCs w:val="24"/>
        </w:rPr>
        <w:t>realizacji programów promocji zdrowia informujących o czynnikach ryzyka zdrowotnego oraz zachęcających do podejmowania zachowań sprzyjających utrzymaniu i poprawie zdrowia.</w:t>
      </w:r>
    </w:p>
    <w:p w14:paraId="737A3F46" w14:textId="77777777" w:rsidR="00A9797A" w:rsidRDefault="00A9797A" w:rsidP="00A9797A">
      <w:pPr>
        <w:pStyle w:val="Teksttreci0"/>
        <w:shd w:val="clear" w:color="auto" w:fill="auto"/>
        <w:tabs>
          <w:tab w:val="left" w:pos="720"/>
        </w:tabs>
        <w:spacing w:after="0" w:line="276" w:lineRule="auto"/>
        <w:ind w:right="20" w:firstLine="0"/>
        <w:jc w:val="both"/>
        <w:rPr>
          <w:sz w:val="24"/>
          <w:szCs w:val="24"/>
        </w:rPr>
      </w:pPr>
    </w:p>
    <w:p w14:paraId="33DA431C" w14:textId="77777777" w:rsidR="00A9797A" w:rsidRPr="00C83679" w:rsidRDefault="00A9797A" w:rsidP="00A9797A">
      <w:pPr>
        <w:pStyle w:val="Teksttreci0"/>
        <w:shd w:val="clear" w:color="auto" w:fill="auto"/>
        <w:tabs>
          <w:tab w:val="left" w:pos="720"/>
        </w:tabs>
        <w:spacing w:after="0" w:line="276" w:lineRule="auto"/>
        <w:ind w:right="20" w:firstLine="0"/>
        <w:jc w:val="both"/>
        <w:rPr>
          <w:sz w:val="24"/>
          <w:szCs w:val="24"/>
        </w:rPr>
      </w:pPr>
      <w:r w:rsidRPr="00C83679">
        <w:rPr>
          <w:color w:val="000000"/>
          <w:sz w:val="24"/>
          <w:szCs w:val="24"/>
        </w:rPr>
        <w:t>Dodatkowo warto podkreślić, że wychowankowie Zakładów dla Nieletnich mają zapewnioną możliwość świadczenia pomocy osobom starszym i niepełnosprawnym w ramach wolontariatu, co też czynią.</w:t>
      </w:r>
    </w:p>
    <w:p w14:paraId="574D6B8D"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5023ED05"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Odnosząc się do pozostałych działań szkoleniowych (poza tymi, które zostały wskazane w Narzędziu nr 2) podejmowanych przez Krajową Szkołę Sądownictwa i Prokuratury (KSSiP) należy wskazać, że KSSiP umożliwiła 3 sędziom i 1 asesorowi sądowemu udział w dwóch edycjach szkolenia międzynarodowego pt. "Applying Eu AntiDiscrimination Law" (sygn. M10/19). Na szkoleniu poruszono m. in. kwestie dyskryminacji ze względu na wiek w świetle orzecznictwa Trybunału Sprawiedliwości Unii Europejskiej. Organizatorem ww. szkolenia była Akademia Prawa Europejskiego ERA w Trewirze.</w:t>
      </w:r>
    </w:p>
    <w:p w14:paraId="0D48A8C5"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377F39C6"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Warto również zaznaczyć, że obecnie w Ministerstwie Sprawiedliwości finalizowane są prace nad Programem „Sprawiedliwość”, współfinansowanym z Norweskiego Mechanizmu Finansowego 2014-2021. W ramach Programu realizowany będzie m.in. projekt predefiniowany mający na celu przeciwdziałanie przemocy w rodzinie wobec osób starszych. W 2019</w:t>
      </w:r>
      <w:r>
        <w:rPr>
          <w:color w:val="000000"/>
          <w:sz w:val="24"/>
          <w:szCs w:val="24"/>
        </w:rPr>
        <w:t xml:space="preserve"> r.</w:t>
      </w:r>
      <w:r w:rsidRPr="005B49FD">
        <w:rPr>
          <w:color w:val="000000"/>
          <w:sz w:val="24"/>
          <w:szCs w:val="24"/>
        </w:rPr>
        <w:t xml:space="preserve"> prowadzona była współpraca z Beneficjentem Projektu - MRPiPS przy opracowywaniu założeń tego projektu. Ponadto, nawiązana została współpraca z Komendą Główną Policji w ramach projektu „Aktywny senior to bezpieczny senior”.</w:t>
      </w:r>
    </w:p>
    <w:p w14:paraId="26D84137" w14:textId="77777777" w:rsidR="00A9797A" w:rsidRDefault="00A9797A" w:rsidP="00A9797A">
      <w:pPr>
        <w:pStyle w:val="Teksttreci0"/>
        <w:shd w:val="clear" w:color="auto" w:fill="auto"/>
        <w:spacing w:after="0" w:line="276" w:lineRule="auto"/>
        <w:ind w:right="20" w:firstLine="0"/>
        <w:jc w:val="both"/>
        <w:rPr>
          <w:color w:val="000000"/>
          <w:sz w:val="24"/>
          <w:szCs w:val="24"/>
        </w:rPr>
      </w:pPr>
    </w:p>
    <w:p w14:paraId="514A9E1E" w14:textId="77777777" w:rsidR="00A9797A" w:rsidRPr="005B49FD" w:rsidRDefault="00A9797A" w:rsidP="00A9797A">
      <w:pPr>
        <w:pStyle w:val="Teksttreci0"/>
        <w:shd w:val="clear" w:color="auto" w:fill="auto"/>
        <w:spacing w:after="0" w:line="276" w:lineRule="auto"/>
        <w:ind w:right="20" w:firstLine="0"/>
        <w:jc w:val="both"/>
        <w:rPr>
          <w:sz w:val="24"/>
          <w:szCs w:val="24"/>
        </w:rPr>
      </w:pPr>
      <w:r w:rsidRPr="005B49FD">
        <w:rPr>
          <w:color w:val="000000"/>
          <w:sz w:val="24"/>
          <w:szCs w:val="24"/>
        </w:rPr>
        <w:t xml:space="preserve">Ponadto zgodnie z obowiązującą </w:t>
      </w:r>
      <w:r w:rsidRPr="00775DC2">
        <w:rPr>
          <w:i/>
          <w:color w:val="000000"/>
          <w:sz w:val="24"/>
          <w:szCs w:val="24"/>
        </w:rPr>
        <w:t>Ustawą o nieodpłatnej pomocy prawnej, nieodpłatnym poradnictwie obywatelskim oraz edukacji prawnej z dnia 5 sierpnia 2015 r.</w:t>
      </w:r>
      <w:r w:rsidRPr="005B49FD">
        <w:rPr>
          <w:color w:val="000000"/>
          <w:sz w:val="24"/>
          <w:szCs w:val="24"/>
        </w:rPr>
        <w:t xml:space="preserve"> (Dz.U. z 2019 r. poz. 294), seniorzy mogą korzystać z bezpłatnych usług (pomocy prawnej, poradnictwa obywatelskiego oraz mediacji) jeśli tylko spełniają warunek zawarty w art. 4 ust. 1 ww. ustawy tj. nie są w stanie ponieść kosztów odpłatnej pomocy. Osoba uprawniona, przed uzyskaniem takiej pomocy składa pisemne oświadczenia, że nie jest w stanie ponieść kosztów porady (art. 4 ust. 2 w/w ustawy).</w:t>
      </w:r>
    </w:p>
    <w:p w14:paraId="36A0B526" w14:textId="77777777" w:rsidR="00A9797A" w:rsidRDefault="00A9797A" w:rsidP="00A9797A">
      <w:pPr>
        <w:pStyle w:val="Teksttreci0"/>
        <w:shd w:val="clear" w:color="auto" w:fill="auto"/>
        <w:spacing w:after="0" w:line="276" w:lineRule="auto"/>
        <w:ind w:right="40" w:firstLine="0"/>
        <w:jc w:val="both"/>
        <w:rPr>
          <w:sz w:val="24"/>
          <w:szCs w:val="24"/>
        </w:rPr>
      </w:pPr>
    </w:p>
    <w:p w14:paraId="4E523AE3" w14:textId="77777777" w:rsidR="00A9797A" w:rsidRDefault="00A9797A" w:rsidP="00A9797A">
      <w:pPr>
        <w:pStyle w:val="Teksttreci0"/>
        <w:shd w:val="clear" w:color="auto" w:fill="auto"/>
        <w:spacing w:after="0" w:line="276" w:lineRule="auto"/>
        <w:ind w:right="40" w:firstLine="0"/>
        <w:jc w:val="both"/>
        <w:rPr>
          <w:color w:val="000000"/>
          <w:sz w:val="24"/>
          <w:szCs w:val="24"/>
        </w:rPr>
      </w:pPr>
      <w:r w:rsidRPr="005B49FD">
        <w:rPr>
          <w:sz w:val="24"/>
          <w:szCs w:val="24"/>
        </w:rPr>
        <w:t>Z danych</w:t>
      </w:r>
      <w:r>
        <w:rPr>
          <w:sz w:val="24"/>
          <w:szCs w:val="24"/>
        </w:rPr>
        <w:t xml:space="preserve"> statystycznych zebranych za</w:t>
      </w:r>
      <w:r w:rsidRPr="005B49FD">
        <w:rPr>
          <w:sz w:val="24"/>
          <w:szCs w:val="24"/>
        </w:rPr>
        <w:t xml:space="preserve"> 2019</w:t>
      </w:r>
      <w:r>
        <w:rPr>
          <w:sz w:val="24"/>
          <w:szCs w:val="24"/>
        </w:rPr>
        <w:t xml:space="preserve"> r.</w:t>
      </w:r>
      <w:r w:rsidRPr="005B49FD">
        <w:rPr>
          <w:sz w:val="24"/>
          <w:szCs w:val="24"/>
        </w:rPr>
        <w:t xml:space="preserve"> wynika, że 29 </w:t>
      </w:r>
      <w:r w:rsidRPr="005B49FD">
        <w:rPr>
          <w:rStyle w:val="TeksttreciKursywa"/>
          <w:sz w:val="24"/>
          <w:szCs w:val="24"/>
        </w:rPr>
        <w:t>%</w:t>
      </w:r>
      <w:r w:rsidRPr="005B49FD">
        <w:rPr>
          <w:sz w:val="24"/>
          <w:szCs w:val="24"/>
        </w:rPr>
        <w:t xml:space="preserve"> wszystkich korzystających</w:t>
      </w:r>
      <w:r w:rsidRPr="005B49FD">
        <w:rPr>
          <w:color w:val="000000"/>
          <w:sz w:val="24"/>
          <w:szCs w:val="24"/>
        </w:rPr>
        <w:t xml:space="preserve"> </w:t>
      </w:r>
      <w:r w:rsidRPr="005B49FD">
        <w:rPr>
          <w:sz w:val="24"/>
          <w:szCs w:val="24"/>
        </w:rPr>
        <w:t>z nieodpłatnej pomocy prawnej i nieodpłatnego poradnictwa obywatelskiego stanowiły osoby,</w:t>
      </w:r>
      <w:r w:rsidRPr="005B49FD">
        <w:rPr>
          <w:color w:val="000000"/>
          <w:sz w:val="24"/>
          <w:szCs w:val="24"/>
        </w:rPr>
        <w:t xml:space="preserve"> </w:t>
      </w:r>
      <w:r w:rsidRPr="005B49FD">
        <w:rPr>
          <w:sz w:val="24"/>
          <w:szCs w:val="24"/>
        </w:rPr>
        <w:t>które ukończyły 65 r. ż . Co oznacza, że prawie 1/3 wszystkich korzystających z nieodpłatnej</w:t>
      </w:r>
      <w:r w:rsidRPr="005B49FD">
        <w:rPr>
          <w:color w:val="000000"/>
          <w:sz w:val="24"/>
          <w:szCs w:val="24"/>
        </w:rPr>
        <w:t xml:space="preserve"> </w:t>
      </w:r>
      <w:r w:rsidRPr="005B49FD">
        <w:rPr>
          <w:sz w:val="24"/>
          <w:szCs w:val="24"/>
        </w:rPr>
        <w:t>pomocy w ubiegłym roku, to osoby starsze</w:t>
      </w:r>
      <w:r w:rsidRPr="005B49FD">
        <w:rPr>
          <w:color w:val="000000"/>
          <w:sz w:val="24"/>
          <w:szCs w:val="24"/>
        </w:rPr>
        <w:t>.</w:t>
      </w:r>
    </w:p>
    <w:p w14:paraId="43A9E643" w14:textId="77777777" w:rsidR="00A9797A" w:rsidRPr="007E4205" w:rsidRDefault="00A9797A" w:rsidP="00A9797A">
      <w:pPr>
        <w:pStyle w:val="Teksttreci0"/>
        <w:shd w:val="clear" w:color="auto" w:fill="auto"/>
        <w:spacing w:after="0" w:line="276" w:lineRule="auto"/>
        <w:ind w:right="40" w:firstLine="0"/>
        <w:jc w:val="both"/>
        <w:rPr>
          <w:sz w:val="24"/>
          <w:szCs w:val="24"/>
        </w:rPr>
      </w:pPr>
    </w:p>
    <w:p w14:paraId="67F38356" w14:textId="77777777" w:rsidR="00972ACA" w:rsidRPr="00AF051D" w:rsidRDefault="0087360D" w:rsidP="00835584">
      <w:pPr>
        <w:pStyle w:val="Nagwek2"/>
        <w:numPr>
          <w:ilvl w:val="1"/>
          <w:numId w:val="383"/>
        </w:numPr>
        <w:spacing w:before="240" w:after="240"/>
        <w:ind w:left="432" w:hanging="574"/>
        <w:rPr>
          <w:rFonts w:cs="Times New Roman"/>
          <w:sz w:val="40"/>
          <w:lang w:eastAsia="ar-SA"/>
        </w:rPr>
      </w:pPr>
      <w:bookmarkStart w:id="110" w:name="_Toc49171350"/>
      <w:r w:rsidRPr="00AF051D">
        <w:rPr>
          <w:rFonts w:cs="Times New Roman"/>
          <w:sz w:val="40"/>
          <w:lang w:eastAsia="ar-SA"/>
        </w:rPr>
        <w:lastRenderedPageBreak/>
        <w:t>Ministerstwo</w:t>
      </w:r>
      <w:r w:rsidR="00475EFA" w:rsidRPr="00AF051D">
        <w:rPr>
          <w:rFonts w:cs="Times New Roman"/>
          <w:sz w:val="40"/>
          <w:lang w:eastAsia="ar-SA"/>
        </w:rPr>
        <w:t xml:space="preserve"> Edukacji Narodowej</w:t>
      </w:r>
      <w:bookmarkEnd w:id="110"/>
    </w:p>
    <w:p w14:paraId="040262C5" w14:textId="77777777" w:rsidR="00972ACA" w:rsidRPr="00972ACA" w:rsidRDefault="006C404F" w:rsidP="006C404F">
      <w:pPr>
        <w:spacing w:after="0"/>
        <w:jc w:val="both"/>
        <w:rPr>
          <w:rFonts w:ascii="Times New Roman" w:eastAsia="Arial" w:hAnsi="Times New Roman" w:cs="Times New Roman"/>
          <w:sz w:val="24"/>
          <w:szCs w:val="24"/>
        </w:rPr>
      </w:pPr>
      <w:r>
        <w:rPr>
          <w:rFonts w:ascii="Times New Roman" w:eastAsia="Arial" w:hAnsi="Times New Roman" w:cs="Times New Roman"/>
          <w:sz w:val="24"/>
          <w:szCs w:val="24"/>
        </w:rPr>
        <w:t>O</w:t>
      </w:r>
      <w:r w:rsidR="00972ACA" w:rsidRPr="00972ACA">
        <w:rPr>
          <w:rFonts w:ascii="Times New Roman" w:eastAsia="Arial" w:hAnsi="Times New Roman" w:cs="Times New Roman"/>
          <w:sz w:val="24"/>
          <w:szCs w:val="24"/>
        </w:rPr>
        <w:t>soby te mogą być aktywne edukacyjnie w ramach edukacji formalnej (organizowanej zgodnie</w:t>
      </w:r>
      <w:r w:rsidR="00972ACA">
        <w:rPr>
          <w:rFonts w:ascii="Times New Roman" w:eastAsia="Arial" w:hAnsi="Times New Roman" w:cs="Times New Roman"/>
          <w:sz w:val="24"/>
          <w:szCs w:val="24"/>
        </w:rPr>
        <w:t xml:space="preserve"> </w:t>
      </w:r>
      <w:r w:rsidR="00972ACA" w:rsidRPr="00972ACA">
        <w:rPr>
          <w:rFonts w:ascii="Times New Roman" w:eastAsia="Arial" w:hAnsi="Times New Roman" w:cs="Times New Roman"/>
          <w:sz w:val="24"/>
          <w:szCs w:val="24"/>
        </w:rPr>
        <w:t xml:space="preserve">z programami kształcenia w systemie oświaty i szkolnictwa wyższego prowadzącymi do nabywania kwalifikacji) lub edukacji pozaformalnej (organizowanej poza takimi programami kształcenia). Ponadto, mogą uczyć się nieformalnie (w sposób nieorganizowany instytucjonalnie). </w:t>
      </w:r>
    </w:p>
    <w:p w14:paraId="6A93E1F3" w14:textId="77777777" w:rsidR="007859D9" w:rsidRDefault="007859D9" w:rsidP="006C404F">
      <w:pPr>
        <w:spacing w:after="0"/>
        <w:jc w:val="both"/>
        <w:rPr>
          <w:rFonts w:ascii="Times New Roman" w:eastAsia="Arial" w:hAnsi="Times New Roman" w:cs="Times New Roman"/>
          <w:sz w:val="24"/>
          <w:szCs w:val="24"/>
        </w:rPr>
      </w:pPr>
    </w:p>
    <w:p w14:paraId="465024EF"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Ministerstwo Edukacji Narodowej odpowiada za </w:t>
      </w:r>
      <w:r w:rsidR="00F05C81">
        <w:rPr>
          <w:rFonts w:ascii="Times New Roman" w:eastAsia="Arial" w:hAnsi="Times New Roman" w:cs="Times New Roman"/>
          <w:sz w:val="24"/>
          <w:szCs w:val="24"/>
        </w:rPr>
        <w:t xml:space="preserve">edukację formalną organizowaną </w:t>
      </w:r>
      <w:r w:rsidRPr="00972ACA">
        <w:rPr>
          <w:rFonts w:ascii="Times New Roman" w:eastAsia="Arial" w:hAnsi="Times New Roman" w:cs="Times New Roman"/>
          <w:sz w:val="24"/>
          <w:szCs w:val="24"/>
        </w:rPr>
        <w:t xml:space="preserve">w systemie oświaty. Ponadto, w ramach koordynacji polityki na rzecz uczenia się przez całe życie gromadzimy informacje o uczeniu się osób poza systemem oświaty. Informacje te pochodzą z różnych resortów, z GUS i instytucji badawczych. </w:t>
      </w:r>
    </w:p>
    <w:p w14:paraId="0BA5AFC2" w14:textId="77777777" w:rsidR="00972ACA" w:rsidRPr="00972ACA" w:rsidRDefault="00972ACA" w:rsidP="006C404F">
      <w:pPr>
        <w:spacing w:after="0"/>
        <w:jc w:val="both"/>
        <w:rPr>
          <w:rFonts w:ascii="Times New Roman" w:eastAsia="Arial" w:hAnsi="Times New Roman" w:cs="Times New Roman"/>
          <w:sz w:val="24"/>
          <w:szCs w:val="24"/>
        </w:rPr>
      </w:pPr>
    </w:p>
    <w:p w14:paraId="6E544B2A" w14:textId="77777777" w:rsidR="00972ACA" w:rsidRPr="007859D9" w:rsidRDefault="00972ACA" w:rsidP="006C404F">
      <w:pPr>
        <w:spacing w:after="0"/>
        <w:jc w:val="both"/>
        <w:rPr>
          <w:rFonts w:ascii="Times New Roman" w:eastAsia="Arial" w:hAnsi="Times New Roman" w:cs="Times New Roman"/>
          <w:b/>
          <w:color w:val="00B0F0"/>
          <w:sz w:val="24"/>
          <w:szCs w:val="24"/>
        </w:rPr>
      </w:pPr>
      <w:r w:rsidRPr="007859D9">
        <w:rPr>
          <w:rFonts w:ascii="Times New Roman" w:eastAsia="Arial" w:hAnsi="Times New Roman" w:cs="Times New Roman"/>
          <w:b/>
          <w:color w:val="00B0F0"/>
          <w:sz w:val="24"/>
          <w:szCs w:val="24"/>
        </w:rPr>
        <w:t>Aktywność edukacyjna osób starszych w r</w:t>
      </w:r>
      <w:r w:rsidR="00F05C81">
        <w:rPr>
          <w:rFonts w:ascii="Times New Roman" w:eastAsia="Arial" w:hAnsi="Times New Roman" w:cs="Times New Roman"/>
          <w:b/>
          <w:color w:val="00B0F0"/>
          <w:sz w:val="24"/>
          <w:szCs w:val="24"/>
        </w:rPr>
        <w:t xml:space="preserve">amach kształcenia ustawicznego </w:t>
      </w:r>
      <w:r w:rsidRPr="007859D9">
        <w:rPr>
          <w:rFonts w:ascii="Times New Roman" w:eastAsia="Arial" w:hAnsi="Times New Roman" w:cs="Times New Roman"/>
          <w:b/>
          <w:color w:val="00B0F0"/>
          <w:sz w:val="24"/>
          <w:szCs w:val="24"/>
        </w:rPr>
        <w:t>w systemie oświaty</w:t>
      </w:r>
    </w:p>
    <w:p w14:paraId="32D4721C"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W ustawie o systemie oświaty edukacja osób starszych nie ma statusu odrębnego zadania. Osoby dorosłe, w tym także osoby starsze, mogą uczestniczyć w kształceniu ustawicznym. Dla uczestników tego kształcenia nie jest wyznaczona górna granica wiekowa.</w:t>
      </w:r>
    </w:p>
    <w:p w14:paraId="1B2A6CB9" w14:textId="77777777" w:rsidR="007859D9" w:rsidRDefault="007859D9" w:rsidP="006C404F">
      <w:pPr>
        <w:spacing w:after="0"/>
        <w:jc w:val="both"/>
        <w:rPr>
          <w:rFonts w:ascii="Times New Roman" w:eastAsia="Arial" w:hAnsi="Times New Roman" w:cs="Times New Roman"/>
          <w:sz w:val="24"/>
          <w:szCs w:val="24"/>
        </w:rPr>
      </w:pPr>
    </w:p>
    <w:p w14:paraId="4599B2CC" w14:textId="77777777" w:rsidR="007859D9"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Kształcenie ustawiczne obejmuje szkoły ogólnokształcące dla dorosłych, szkoły kształcące w zawodach (szkoły policealne) oraz formy pozaszkolne. Katalog form pozaszkolnych obejmuje cztery rodzaje form a</w:t>
      </w:r>
      <w:r w:rsidR="007859D9">
        <w:rPr>
          <w:rFonts w:ascii="Times New Roman" w:eastAsia="Arial" w:hAnsi="Times New Roman" w:cs="Times New Roman"/>
          <w:sz w:val="24"/>
          <w:szCs w:val="24"/>
        </w:rPr>
        <w:t>dresowanych do osób dorosłych:</w:t>
      </w:r>
    </w:p>
    <w:p w14:paraId="346D21CA" w14:textId="77777777" w:rsidR="007859D9" w:rsidRDefault="00972ACA" w:rsidP="008C71A9">
      <w:pPr>
        <w:pStyle w:val="Akapitzlist"/>
        <w:numPr>
          <w:ilvl w:val="0"/>
          <w:numId w:val="337"/>
        </w:numPr>
        <w:spacing w:after="0"/>
        <w:ind w:left="360"/>
        <w:jc w:val="both"/>
        <w:rPr>
          <w:rFonts w:ascii="Times New Roman" w:eastAsia="Arial" w:hAnsi="Times New Roman" w:cs="Times New Roman"/>
          <w:sz w:val="24"/>
          <w:szCs w:val="24"/>
        </w:rPr>
      </w:pPr>
      <w:r w:rsidRPr="007859D9">
        <w:rPr>
          <w:rFonts w:ascii="Times New Roman" w:eastAsia="Arial" w:hAnsi="Times New Roman" w:cs="Times New Roman"/>
          <w:sz w:val="24"/>
          <w:szCs w:val="24"/>
        </w:rPr>
        <w:t xml:space="preserve">kwalifikacyjny kurs zawodowy; </w:t>
      </w:r>
    </w:p>
    <w:p w14:paraId="59B60884" w14:textId="77777777" w:rsidR="007859D9" w:rsidRDefault="00972ACA" w:rsidP="008C71A9">
      <w:pPr>
        <w:pStyle w:val="Akapitzlist"/>
        <w:numPr>
          <w:ilvl w:val="0"/>
          <w:numId w:val="337"/>
        </w:numPr>
        <w:spacing w:after="0"/>
        <w:ind w:left="360"/>
        <w:jc w:val="both"/>
        <w:rPr>
          <w:rFonts w:ascii="Times New Roman" w:eastAsia="Arial" w:hAnsi="Times New Roman" w:cs="Times New Roman"/>
          <w:sz w:val="24"/>
          <w:szCs w:val="24"/>
        </w:rPr>
      </w:pPr>
      <w:r w:rsidRPr="007859D9">
        <w:rPr>
          <w:rFonts w:ascii="Times New Roman" w:eastAsia="Arial" w:hAnsi="Times New Roman" w:cs="Times New Roman"/>
          <w:sz w:val="24"/>
          <w:szCs w:val="24"/>
        </w:rPr>
        <w:t xml:space="preserve">kurs umiejętności zawodowych; </w:t>
      </w:r>
    </w:p>
    <w:p w14:paraId="37718A64" w14:textId="77777777" w:rsidR="007859D9" w:rsidRDefault="00972ACA" w:rsidP="008C71A9">
      <w:pPr>
        <w:pStyle w:val="Akapitzlist"/>
        <w:numPr>
          <w:ilvl w:val="0"/>
          <w:numId w:val="337"/>
        </w:numPr>
        <w:spacing w:after="0"/>
        <w:ind w:left="360"/>
        <w:jc w:val="both"/>
        <w:rPr>
          <w:rFonts w:ascii="Times New Roman" w:eastAsia="Arial" w:hAnsi="Times New Roman" w:cs="Times New Roman"/>
          <w:sz w:val="24"/>
          <w:szCs w:val="24"/>
        </w:rPr>
      </w:pPr>
      <w:r w:rsidRPr="007859D9">
        <w:rPr>
          <w:rFonts w:ascii="Times New Roman" w:eastAsia="Arial" w:hAnsi="Times New Roman" w:cs="Times New Roman"/>
          <w:sz w:val="24"/>
          <w:szCs w:val="24"/>
        </w:rPr>
        <w:t xml:space="preserve">kurs kompetencji ogólnych oparty na wybranym fragmencie podstawy programowej kształcenia ogólnego; </w:t>
      </w:r>
    </w:p>
    <w:p w14:paraId="19D70163" w14:textId="77777777" w:rsidR="007859D9" w:rsidRDefault="00972ACA" w:rsidP="008C71A9">
      <w:pPr>
        <w:pStyle w:val="Akapitzlist"/>
        <w:numPr>
          <w:ilvl w:val="0"/>
          <w:numId w:val="337"/>
        </w:numPr>
        <w:spacing w:after="0"/>
        <w:ind w:left="360"/>
        <w:jc w:val="both"/>
        <w:rPr>
          <w:rFonts w:ascii="Times New Roman" w:eastAsia="Arial" w:hAnsi="Times New Roman" w:cs="Times New Roman"/>
          <w:sz w:val="24"/>
          <w:szCs w:val="24"/>
        </w:rPr>
      </w:pPr>
      <w:r w:rsidRPr="007859D9">
        <w:rPr>
          <w:rFonts w:ascii="Times New Roman" w:eastAsia="Arial" w:hAnsi="Times New Roman" w:cs="Times New Roman"/>
          <w:sz w:val="24"/>
          <w:szCs w:val="24"/>
        </w:rPr>
        <w:t xml:space="preserve">inne kursy, w których program nauczania nie odnosi się do podstawy programowej kształcenia ogólnego lub kształcenia w zawodach. </w:t>
      </w:r>
    </w:p>
    <w:p w14:paraId="685CEB62" w14:textId="77777777" w:rsidR="007859D9" w:rsidRDefault="007859D9" w:rsidP="007859D9">
      <w:pPr>
        <w:spacing w:after="0"/>
        <w:jc w:val="both"/>
        <w:rPr>
          <w:rFonts w:ascii="Times New Roman" w:eastAsia="Arial" w:hAnsi="Times New Roman" w:cs="Times New Roman"/>
          <w:sz w:val="24"/>
          <w:szCs w:val="24"/>
        </w:rPr>
      </w:pPr>
    </w:p>
    <w:p w14:paraId="4FBF0630" w14:textId="77777777" w:rsidR="00972ACA" w:rsidRPr="007859D9" w:rsidRDefault="00972ACA" w:rsidP="007859D9">
      <w:pPr>
        <w:spacing w:after="0"/>
        <w:jc w:val="both"/>
        <w:rPr>
          <w:rFonts w:ascii="Times New Roman" w:eastAsia="Arial" w:hAnsi="Times New Roman" w:cs="Times New Roman"/>
          <w:sz w:val="24"/>
          <w:szCs w:val="24"/>
        </w:rPr>
      </w:pPr>
      <w:r w:rsidRPr="007859D9">
        <w:rPr>
          <w:rFonts w:ascii="Times New Roman" w:eastAsia="Arial" w:hAnsi="Times New Roman" w:cs="Times New Roman"/>
          <w:sz w:val="24"/>
          <w:szCs w:val="24"/>
        </w:rPr>
        <w:t xml:space="preserve">Kształcenie ustawiczne prowadzone w instytucjach systemu oświaty podlega monitorowaniu przez System Informacji Oświatowej (SIO). W monitorowaniu tym występowała dotychczas jedynie kategoria wiekowa „30 lat i więcej” w odniesieniu do najstarszej kategorii wiekowej korzystającej z </w:t>
      </w:r>
      <w:r w:rsidR="00586AB3" w:rsidRPr="007859D9">
        <w:rPr>
          <w:rFonts w:ascii="Times New Roman" w:eastAsia="Arial" w:hAnsi="Times New Roman" w:cs="Times New Roman"/>
          <w:sz w:val="24"/>
          <w:szCs w:val="24"/>
        </w:rPr>
        <w:t xml:space="preserve">ofert kształcenia ustawicznego </w:t>
      </w:r>
      <w:r w:rsidRPr="007859D9">
        <w:rPr>
          <w:rFonts w:ascii="Times New Roman" w:eastAsia="Arial" w:hAnsi="Times New Roman" w:cs="Times New Roman"/>
          <w:sz w:val="24"/>
          <w:szCs w:val="24"/>
        </w:rPr>
        <w:t xml:space="preserve">w systemie oświaty. Nie pozwalało to na ścisłą odpowiedź dotyczącą uczestnictwa osób </w:t>
      </w:r>
      <w:r w:rsidR="007859D9">
        <w:rPr>
          <w:rFonts w:ascii="Times New Roman" w:eastAsia="Arial" w:hAnsi="Times New Roman" w:cs="Times New Roman"/>
          <w:sz w:val="24"/>
          <w:szCs w:val="24"/>
        </w:rPr>
        <w:t>starszych w tym kształceniu do</w:t>
      </w:r>
      <w:r w:rsidRPr="007859D9">
        <w:rPr>
          <w:rFonts w:ascii="Times New Roman" w:eastAsia="Arial" w:hAnsi="Times New Roman" w:cs="Times New Roman"/>
          <w:sz w:val="24"/>
          <w:szCs w:val="24"/>
        </w:rPr>
        <w:t xml:space="preserve"> 2017</w:t>
      </w:r>
      <w:r w:rsidR="007859D9">
        <w:rPr>
          <w:rFonts w:ascii="Times New Roman" w:eastAsia="Arial" w:hAnsi="Times New Roman" w:cs="Times New Roman"/>
          <w:sz w:val="24"/>
          <w:szCs w:val="24"/>
        </w:rPr>
        <w:t xml:space="preserve"> r.</w:t>
      </w:r>
      <w:r w:rsidRPr="007859D9">
        <w:rPr>
          <w:rFonts w:ascii="Times New Roman" w:eastAsia="Arial" w:hAnsi="Times New Roman" w:cs="Times New Roman"/>
          <w:sz w:val="24"/>
          <w:szCs w:val="24"/>
        </w:rPr>
        <w:t xml:space="preserve">. </w:t>
      </w:r>
    </w:p>
    <w:p w14:paraId="6E5D3561" w14:textId="77777777" w:rsidR="007859D9" w:rsidRDefault="007859D9" w:rsidP="006C404F">
      <w:pPr>
        <w:spacing w:after="0"/>
        <w:jc w:val="both"/>
        <w:rPr>
          <w:rFonts w:ascii="Times New Roman" w:eastAsia="Arial" w:hAnsi="Times New Roman" w:cs="Times New Roman"/>
          <w:sz w:val="24"/>
          <w:szCs w:val="24"/>
        </w:rPr>
      </w:pPr>
    </w:p>
    <w:p w14:paraId="08D5B132" w14:textId="77777777" w:rsid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Od roku szkolnego 2018/19 udostępniane są dane z tzw. nowego SIO, w którym gromadzone są zanominowane, indywidualne dane o wszystkich osobach korzystających z wychowania i kształcenia w systemie oświaty. Jednak w odniesieniu do kształcenia ustawicznego takie indywidualne dane dostępne są jedynie odnośnie uczestników kwalifikacyjnych kursów zawodowych (KKZ) realizowanych</w:t>
      </w:r>
      <w:r>
        <w:rPr>
          <w:rFonts w:ascii="Times New Roman" w:eastAsia="Arial" w:hAnsi="Times New Roman" w:cs="Times New Roman"/>
          <w:sz w:val="24"/>
          <w:szCs w:val="24"/>
        </w:rPr>
        <w:t xml:space="preserve"> </w:t>
      </w:r>
      <w:r w:rsidRPr="00972ACA">
        <w:rPr>
          <w:rFonts w:ascii="Times New Roman" w:eastAsia="Arial" w:hAnsi="Times New Roman" w:cs="Times New Roman"/>
          <w:sz w:val="24"/>
          <w:szCs w:val="24"/>
        </w:rPr>
        <w:t xml:space="preserve">w jednostkach systemu oświaty (kursy te mogą realizować także określone jednostki spoza systemu oświaty, np. instytucje rynku pracy). Dane z </w:t>
      </w:r>
      <w:r w:rsidRPr="00972ACA">
        <w:rPr>
          <w:rFonts w:ascii="Times New Roman" w:eastAsia="Arial" w:hAnsi="Times New Roman" w:cs="Times New Roman"/>
          <w:sz w:val="24"/>
          <w:szCs w:val="24"/>
        </w:rPr>
        <w:lastRenderedPageBreak/>
        <w:t xml:space="preserve">pozostałych form kształcenia ustawicznego w systemie oświaty nadal agregowane są według grup wiekowych, z których najstarsza to grupa „30 lat i więcej”. </w:t>
      </w:r>
    </w:p>
    <w:p w14:paraId="08FB6E75" w14:textId="77777777" w:rsidR="007859D9" w:rsidRPr="00972ACA" w:rsidRDefault="007859D9" w:rsidP="006C404F">
      <w:pPr>
        <w:spacing w:after="0"/>
        <w:jc w:val="both"/>
        <w:rPr>
          <w:rFonts w:ascii="Times New Roman" w:eastAsia="Arial" w:hAnsi="Times New Roman" w:cs="Times New Roman"/>
          <w:sz w:val="24"/>
          <w:szCs w:val="24"/>
        </w:rPr>
      </w:pPr>
    </w:p>
    <w:p w14:paraId="30C94730" w14:textId="77777777" w:rsidR="00972ACA" w:rsidRPr="00972ACA" w:rsidRDefault="00972ACA" w:rsidP="006C404F">
      <w:pPr>
        <w:spacing w:after="0"/>
        <w:jc w:val="both"/>
        <w:rPr>
          <w:rFonts w:ascii="Times New Roman" w:eastAsia="Arial" w:hAnsi="Times New Roman" w:cs="Times New Roman"/>
          <w:sz w:val="24"/>
          <w:szCs w:val="24"/>
        </w:rPr>
      </w:pPr>
      <w:r w:rsidRPr="007859D9">
        <w:rPr>
          <w:rFonts w:ascii="Times New Roman" w:eastAsia="Arial" w:hAnsi="Times New Roman" w:cs="Times New Roman"/>
          <w:sz w:val="24"/>
          <w:szCs w:val="24"/>
        </w:rPr>
        <w:t>Dane SIO za rok szkolny 2019/20 dotyczące uczestników KKZ</w:t>
      </w:r>
      <w:r w:rsidR="007859D9">
        <w:rPr>
          <w:rFonts w:ascii="Times New Roman" w:eastAsia="Arial" w:hAnsi="Times New Roman" w:cs="Times New Roman"/>
          <w:sz w:val="24"/>
          <w:szCs w:val="24"/>
        </w:rPr>
        <w:t xml:space="preserve"> realizowanych </w:t>
      </w:r>
      <w:r w:rsidRPr="00972ACA">
        <w:rPr>
          <w:rFonts w:ascii="Times New Roman" w:eastAsia="Arial" w:hAnsi="Times New Roman" w:cs="Times New Roman"/>
          <w:sz w:val="24"/>
          <w:szCs w:val="24"/>
        </w:rPr>
        <w:t>w jednostkach systemu oświaty wykazują, że korzystają z nich 693 osoby w wieku 61-65 lat, 345 osób w wieku 66-70 lat oraz 114 osób od 71 do 90 roku życia. Razem są to 1152 osoby w wieku 61-90 lat. Stanowi to 1,5% wszystkich korzystających z KKZ w systemie oświaty (bez uwzględniania uczestników KKZ organizowanych w jednostkach spoza systemu oświaty). Osoby w kategorii „30 lat i więcej” stanowią 45% wszystkich uczestników KKZ. Dane te wskazują na to, że kursowe formy kształcenia ustawicznego w systemie oświaty, w tym w szczególności KKZ, stopniowo otwierają się na osoby w średnim wieku i starsze. Wcześniej formy te były zdominowane przez osoby do 30 roku życia, w tym przede wszystkim przez dwudziesto-kilku latki.</w:t>
      </w:r>
    </w:p>
    <w:p w14:paraId="34BCB742" w14:textId="77777777" w:rsidR="00972ACA" w:rsidRPr="00972ACA" w:rsidRDefault="00972ACA" w:rsidP="006C404F">
      <w:pPr>
        <w:spacing w:after="0"/>
        <w:jc w:val="both"/>
        <w:rPr>
          <w:rFonts w:ascii="Times New Roman" w:eastAsia="Calibri" w:hAnsi="Times New Roman" w:cs="Times New Roman"/>
          <w:sz w:val="24"/>
          <w:szCs w:val="24"/>
        </w:rPr>
      </w:pPr>
    </w:p>
    <w:p w14:paraId="46CF2901" w14:textId="77777777" w:rsidR="00972ACA" w:rsidRPr="00972ACA" w:rsidRDefault="00972ACA" w:rsidP="006C404F">
      <w:pPr>
        <w:spacing w:after="0"/>
        <w:jc w:val="both"/>
        <w:rPr>
          <w:rFonts w:ascii="Times New Roman" w:eastAsia="Arial" w:hAnsi="Times New Roman" w:cs="Times New Roman"/>
          <w:sz w:val="24"/>
          <w:szCs w:val="24"/>
        </w:rPr>
      </w:pPr>
      <w:r w:rsidRPr="007859D9">
        <w:rPr>
          <w:rFonts w:ascii="Times New Roman" w:eastAsia="Arial" w:hAnsi="Times New Roman" w:cs="Times New Roman"/>
          <w:b/>
          <w:color w:val="00B0F0"/>
          <w:sz w:val="24"/>
          <w:szCs w:val="24"/>
        </w:rPr>
        <w:t xml:space="preserve">Aktywność edukacyjna osób starszych w różnych formach edukacji </w:t>
      </w:r>
      <w:r w:rsidRPr="00972ACA">
        <w:rPr>
          <w:rFonts w:ascii="Times New Roman" w:eastAsia="Arial" w:hAnsi="Times New Roman" w:cs="Times New Roman"/>
          <w:sz w:val="24"/>
          <w:szCs w:val="24"/>
        </w:rPr>
        <w:t>(także poza systemem oświaty)</w:t>
      </w:r>
    </w:p>
    <w:p w14:paraId="1464F6E3"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Edukacja, rozumiana jako zorganizowany transfer wiedzy, umiejętności i kompetencji społecznych, obejmuje znacznie szerszy obszar niż kształcenie w systemie oświaty </w:t>
      </w:r>
      <w:r w:rsidRPr="00972ACA">
        <w:rPr>
          <w:rFonts w:ascii="Times New Roman" w:eastAsia="Arial" w:hAnsi="Times New Roman" w:cs="Times New Roman"/>
          <w:sz w:val="24"/>
          <w:szCs w:val="24"/>
        </w:rPr>
        <w:br/>
        <w:t xml:space="preserve">i systemie szkolnictwa wyższego. Obecnie edukację rozumie się jako związek kształcenia i szkolenia, gdzie oba te człony są równorzędne. „Kształcenie” dotyczy głównie form opartych na dłuższych cyklach prowadzących do kwalifikacji zhierarchizowanych według szczebli. W ten sposób kształcenie kojarzone jest z edukacją formalną (m.in. jest to najczęściej występujące pojęcie w prawie regulującym systemy oświaty i szkolnictwa wyższego). „Szkolenie” dotyczy głównie krótszych form niż cykle kształcenia. Zwykle nie prowadzą one do hierarchicznie uporządkowanych kwalifikacji (choć część szkoleń może taki warunek spełniać). Cechą szkolenia jest elastyczność – formy szkoleń mogą być różnej długości, mogą być jednokrotne, mogą się łączyć w przerywane cykle i mieć strukturę modułową. Jednak najważniejszą cechą szkolenia jest ścisły związek z praktyką (co lepiej oddaje termin „training”, niż nasz termin „szkolenie”, który może być kojarzony ze szkołą). Elastyczność i ścisły związek z praktyką powoduje, że szkolenie jest główną formą angażującą edukacyjnie osoby dorosłe od około 20-25 roku życia (po ukończeniu tradycyjnych ścieżek edukacji formalnej), a zwłaszcza osoby starsze. </w:t>
      </w:r>
    </w:p>
    <w:p w14:paraId="00602F0C" w14:textId="77777777" w:rsidR="007859D9" w:rsidRDefault="007859D9" w:rsidP="006C404F">
      <w:pPr>
        <w:spacing w:after="0"/>
        <w:jc w:val="both"/>
        <w:rPr>
          <w:rFonts w:ascii="Times New Roman" w:eastAsia="Arial" w:hAnsi="Times New Roman" w:cs="Times New Roman"/>
          <w:sz w:val="24"/>
          <w:szCs w:val="24"/>
        </w:rPr>
      </w:pPr>
    </w:p>
    <w:p w14:paraId="04F984E7"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W Polsce bardzo ważne jest niesprowadzanie szkolenia do form stosowanych w szkołach i uczelniach, tj. jedynie do kursów, lekcji, konferencji, seminariów i podobnych form wykładowych prowadzonych w otoczeniu podobnym do klas, sal i audytoriów. Najpowszechniej występującym miejscem szkolenia (elastycznego i praktycznego doskonalenia umiejętności według zamierzonego procesu) jest miejsce pracy lub miejsca ściśle związane z pracą oraz miejsca działań różnych społeczności i wspólnot. Tak rozumiane szkolenie jest obecne we wszystkich dziedzinach życia i działalności gospodarczej.</w:t>
      </w:r>
    </w:p>
    <w:p w14:paraId="736C4578" w14:textId="77777777" w:rsidR="007859D9" w:rsidRDefault="007859D9" w:rsidP="006C404F">
      <w:pPr>
        <w:spacing w:after="0"/>
        <w:jc w:val="both"/>
        <w:rPr>
          <w:rFonts w:ascii="Times New Roman" w:eastAsia="Arial" w:hAnsi="Times New Roman" w:cs="Times New Roman"/>
          <w:sz w:val="24"/>
          <w:szCs w:val="24"/>
        </w:rPr>
      </w:pPr>
    </w:p>
    <w:p w14:paraId="1BB1F39C"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lastRenderedPageBreak/>
        <w:t xml:space="preserve">Dane dotyczące uczestnictwa osób dorosłych w edukacji (kształceniu i szkoleniu), w tym osób starszych, dostępne są w wynikach badań prowadzonych na dużych próbach statystycznych oraz w badaniach działalności uniwersytetów III wieku prowadzonych przez GUS. </w:t>
      </w:r>
    </w:p>
    <w:p w14:paraId="14DB614B"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Do najważniejszych badań prowadzonych na próbach statystycznych, z których pochodzą dane o aktywności edukacyjnej osób starszych, należą:</w:t>
      </w:r>
    </w:p>
    <w:p w14:paraId="3F3047DF" w14:textId="77777777" w:rsidR="007859D9" w:rsidRDefault="00972ACA" w:rsidP="008C71A9">
      <w:pPr>
        <w:pStyle w:val="Akapitzlist"/>
        <w:numPr>
          <w:ilvl w:val="0"/>
          <w:numId w:val="339"/>
        </w:numPr>
        <w:spacing w:after="0"/>
        <w:ind w:left="360"/>
        <w:jc w:val="both"/>
        <w:rPr>
          <w:rFonts w:ascii="Times New Roman" w:eastAsia="Arial" w:hAnsi="Times New Roman" w:cs="Times New Roman"/>
          <w:sz w:val="24"/>
          <w:szCs w:val="24"/>
        </w:rPr>
      </w:pPr>
      <w:r w:rsidRPr="007859D9">
        <w:rPr>
          <w:rFonts w:ascii="Times New Roman" w:eastAsia="Arial" w:hAnsi="Times New Roman" w:cs="Times New Roman"/>
          <w:sz w:val="24"/>
          <w:szCs w:val="24"/>
        </w:rPr>
        <w:t>Badanie Aktywności Ekonomicznej Ludności (</w:t>
      </w:r>
      <w:r w:rsidRPr="007859D9">
        <w:rPr>
          <w:rFonts w:ascii="Times New Roman" w:eastAsia="Arial" w:hAnsi="Times New Roman" w:cs="Times New Roman"/>
          <w:b/>
          <w:sz w:val="24"/>
          <w:szCs w:val="24"/>
        </w:rPr>
        <w:t>BAEL</w:t>
      </w:r>
      <w:r w:rsidRPr="007859D9">
        <w:rPr>
          <w:rFonts w:ascii="Times New Roman" w:eastAsia="Arial" w:hAnsi="Times New Roman" w:cs="Times New Roman"/>
          <w:sz w:val="24"/>
          <w:szCs w:val="24"/>
        </w:rPr>
        <w:t>), prowadzone przez GUS i zharmonizowane z europejskim badaniem Labour Force Survey (</w:t>
      </w:r>
      <w:r w:rsidRPr="007859D9">
        <w:rPr>
          <w:rFonts w:ascii="Times New Roman" w:eastAsia="Arial" w:hAnsi="Times New Roman" w:cs="Times New Roman"/>
          <w:b/>
          <w:sz w:val="24"/>
          <w:szCs w:val="24"/>
        </w:rPr>
        <w:t>LFS</w:t>
      </w:r>
      <w:r w:rsidRPr="007859D9">
        <w:rPr>
          <w:rFonts w:ascii="Times New Roman" w:eastAsia="Arial" w:hAnsi="Times New Roman" w:cs="Times New Roman"/>
          <w:sz w:val="24"/>
          <w:szCs w:val="24"/>
        </w:rPr>
        <w:t>), koordynowanym przez Eurostat. Badanie to dotyczy głównie rynku pracy, ale zawiera również informacje o wykształceniu osób oraz uczestnictwie w kształceniu i szkoleniu (jako czynnikach ważnych dla zatrudnienia). Jest ono prowadzone ciągle, a wyniki można podsumowywać z każdego miesiąca, kwartału i roku (wyniki dotyczące uczestnictwa dorosłych w kształceniu i szkoleniu podsumowywane są przez Eurostat dla każdego roku, a przez GUS dla każdego kwartału i roku). W wynikach tego badania można uzyskać informacje o aktywności edukacyjnej osób do 74 roku życia.</w:t>
      </w:r>
    </w:p>
    <w:p w14:paraId="3A4216BF" w14:textId="77777777" w:rsidR="007859D9" w:rsidRDefault="00972ACA" w:rsidP="008C71A9">
      <w:pPr>
        <w:pStyle w:val="Akapitzlist"/>
        <w:numPr>
          <w:ilvl w:val="0"/>
          <w:numId w:val="339"/>
        </w:numPr>
        <w:spacing w:after="0"/>
        <w:ind w:left="360"/>
        <w:jc w:val="both"/>
        <w:rPr>
          <w:rFonts w:ascii="Times New Roman" w:eastAsia="Arial" w:hAnsi="Times New Roman" w:cs="Times New Roman"/>
          <w:sz w:val="24"/>
          <w:szCs w:val="24"/>
        </w:rPr>
      </w:pPr>
      <w:r w:rsidRPr="007859D9">
        <w:rPr>
          <w:rFonts w:ascii="Times New Roman" w:eastAsia="Arial" w:hAnsi="Times New Roman" w:cs="Times New Roman"/>
          <w:sz w:val="24"/>
          <w:szCs w:val="24"/>
        </w:rPr>
        <w:t>Europejskie badanie Adult Education Survey (</w:t>
      </w:r>
      <w:r w:rsidRPr="007859D9">
        <w:rPr>
          <w:rFonts w:ascii="Times New Roman" w:eastAsia="Arial" w:hAnsi="Times New Roman" w:cs="Times New Roman"/>
          <w:b/>
          <w:sz w:val="24"/>
          <w:szCs w:val="24"/>
        </w:rPr>
        <w:t>AES</w:t>
      </w:r>
      <w:r w:rsidRPr="007859D9">
        <w:rPr>
          <w:rFonts w:ascii="Times New Roman" w:eastAsia="Arial" w:hAnsi="Times New Roman" w:cs="Times New Roman"/>
          <w:sz w:val="24"/>
          <w:szCs w:val="24"/>
        </w:rPr>
        <w:t>), koordynowane przez Eurostat, które w Polsce prowadzone jest przez GUS pod nazwą „Kształcenie dorosłych”. Dotyczy ono edukacji dorosłych w wieku 25-64 lata. W ogłaszanych wynikach tego badania wydzielana jest kategoria osób starszych w wieku 55-64 lata. Realizowane jest ono co 5 lat. Dotychczas odbyły się 3 edycje tego badania w latach 2007, 2011 i 2016.</w:t>
      </w:r>
    </w:p>
    <w:p w14:paraId="146F63F9" w14:textId="77777777" w:rsidR="00972ACA" w:rsidRPr="007859D9" w:rsidRDefault="00972ACA" w:rsidP="008C71A9">
      <w:pPr>
        <w:pStyle w:val="Akapitzlist"/>
        <w:numPr>
          <w:ilvl w:val="0"/>
          <w:numId w:val="339"/>
        </w:numPr>
        <w:spacing w:after="0"/>
        <w:ind w:left="360"/>
        <w:jc w:val="both"/>
        <w:rPr>
          <w:rFonts w:ascii="Times New Roman" w:eastAsia="Arial" w:hAnsi="Times New Roman" w:cs="Times New Roman"/>
          <w:sz w:val="24"/>
          <w:szCs w:val="24"/>
        </w:rPr>
      </w:pPr>
      <w:r w:rsidRPr="007859D9">
        <w:rPr>
          <w:rFonts w:ascii="Times New Roman" w:eastAsia="Arial" w:hAnsi="Times New Roman" w:cs="Times New Roman"/>
          <w:sz w:val="24"/>
          <w:szCs w:val="24"/>
        </w:rPr>
        <w:t>Od jesieni 2018</w:t>
      </w:r>
      <w:r w:rsidR="007859D9">
        <w:rPr>
          <w:rFonts w:ascii="Times New Roman" w:eastAsia="Arial" w:hAnsi="Times New Roman" w:cs="Times New Roman"/>
          <w:sz w:val="24"/>
          <w:szCs w:val="24"/>
        </w:rPr>
        <w:t xml:space="preserve"> r.</w:t>
      </w:r>
      <w:r w:rsidRPr="007859D9">
        <w:rPr>
          <w:rFonts w:ascii="Times New Roman" w:eastAsia="Arial" w:hAnsi="Times New Roman" w:cs="Times New Roman"/>
          <w:sz w:val="24"/>
          <w:szCs w:val="24"/>
        </w:rPr>
        <w:t xml:space="preserve"> dostępne są także wyniki krajowego badania – Bilans Kapitału Ludzkiego (</w:t>
      </w:r>
      <w:r w:rsidRPr="007859D9">
        <w:rPr>
          <w:rFonts w:ascii="Times New Roman" w:eastAsia="Arial" w:hAnsi="Times New Roman" w:cs="Times New Roman"/>
          <w:b/>
          <w:sz w:val="24"/>
          <w:szCs w:val="24"/>
        </w:rPr>
        <w:t>BKL</w:t>
      </w:r>
      <w:r w:rsidRPr="007859D9">
        <w:rPr>
          <w:rFonts w:ascii="Times New Roman" w:eastAsia="Arial" w:hAnsi="Times New Roman" w:cs="Times New Roman"/>
          <w:sz w:val="24"/>
          <w:szCs w:val="24"/>
        </w:rPr>
        <w:t>) za rok 2017, w którym można wydzielić grupę wiekową 55 – 64 lata. Badanie to jest koordynowane przez PARP i UJ i prowadzone w cyklach rocznych. W pierwszej edycji było prowadzone co roku w latach 2010-2014. Druga edycja tego badania rozpoczęła się od 2017</w:t>
      </w:r>
      <w:r w:rsidR="001C61EE">
        <w:rPr>
          <w:rFonts w:ascii="Times New Roman" w:eastAsia="Arial" w:hAnsi="Times New Roman" w:cs="Times New Roman"/>
          <w:sz w:val="24"/>
          <w:szCs w:val="24"/>
        </w:rPr>
        <w:t xml:space="preserve"> r</w:t>
      </w:r>
      <w:r w:rsidRPr="007859D9">
        <w:rPr>
          <w:rFonts w:ascii="Times New Roman" w:eastAsia="Arial" w:hAnsi="Times New Roman" w:cs="Times New Roman"/>
          <w:sz w:val="24"/>
          <w:szCs w:val="24"/>
        </w:rPr>
        <w:t>.</w:t>
      </w:r>
    </w:p>
    <w:p w14:paraId="105AFEFB" w14:textId="77777777" w:rsidR="001C61EE" w:rsidRDefault="001C61EE" w:rsidP="006C404F">
      <w:pPr>
        <w:spacing w:after="0"/>
        <w:jc w:val="both"/>
        <w:rPr>
          <w:rFonts w:ascii="Times New Roman" w:eastAsia="Arial" w:hAnsi="Times New Roman" w:cs="Times New Roman"/>
          <w:sz w:val="24"/>
          <w:szCs w:val="24"/>
        </w:rPr>
      </w:pPr>
    </w:p>
    <w:p w14:paraId="0DF4AD84" w14:textId="77777777" w:rsidR="00972ACA" w:rsidRPr="001C61EE" w:rsidRDefault="00972ACA" w:rsidP="006C404F">
      <w:pPr>
        <w:spacing w:after="0"/>
        <w:jc w:val="both"/>
        <w:rPr>
          <w:rFonts w:ascii="Times New Roman" w:eastAsia="Arial" w:hAnsi="Times New Roman" w:cs="Times New Roman"/>
          <w:b/>
          <w:color w:val="00B0F0"/>
          <w:sz w:val="24"/>
          <w:szCs w:val="24"/>
        </w:rPr>
      </w:pPr>
      <w:r w:rsidRPr="001C61EE">
        <w:rPr>
          <w:rFonts w:ascii="Times New Roman" w:eastAsia="Arial" w:hAnsi="Times New Roman" w:cs="Times New Roman"/>
          <w:b/>
          <w:color w:val="00B0F0"/>
          <w:sz w:val="24"/>
          <w:szCs w:val="24"/>
        </w:rPr>
        <w:t xml:space="preserve">Wyniki badania LFS/BAEL </w:t>
      </w:r>
    </w:p>
    <w:p w14:paraId="7EB15B9E"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Dane z badania LFS/BAEL dotyczą uczestnictwa dorosłych w kształceniu </w:t>
      </w:r>
      <w:r w:rsidRPr="00972ACA">
        <w:rPr>
          <w:rFonts w:ascii="Times New Roman" w:eastAsia="Arial" w:hAnsi="Times New Roman" w:cs="Times New Roman"/>
          <w:b/>
          <w:sz w:val="24"/>
          <w:szCs w:val="24"/>
        </w:rPr>
        <w:t>w okresie 4 tygodni przed badaniem</w:t>
      </w:r>
      <w:r w:rsidRPr="00972ACA">
        <w:rPr>
          <w:rFonts w:ascii="Times New Roman" w:eastAsia="Arial" w:hAnsi="Times New Roman" w:cs="Times New Roman"/>
          <w:sz w:val="24"/>
          <w:szCs w:val="24"/>
        </w:rPr>
        <w:t xml:space="preserve">. Dane te dają podstawę do tzw. benchmarku uczenia się dorosłych w ramach europejskiej współpracy w dziedzinie kształcenia i szkolenia (ET 2020). Jest to wymierny cel określony na podstawie badania LFS wskazujący, że UE jako całość powinna osiągnięć do roku 2020 upowszechnienie uczestnictwa dorosłych w wieku 25-64 lata w kształceniu i szkoleniu w okresie 4 tygodni przed badaniem co najmniej na poziomie 15%. Tymczasem wyniki badania LFS wykazują na utrwalone mniejsze wartości na poziomie UE oraz małe odsetki dorosłych w Polsce uczestniczących w kształceniu i szkoleniu. W roku 2015 uczestnictwo to w UE wynosiło 10,8% (razem w edukacji formalnej i pozaformalnej), w roku 2017 – 10,9%, a w roku 2019 - 1,3%. W Polsce wynosiło odpowiednio 3,5%, 4,0% i 4,8%. </w:t>
      </w:r>
    </w:p>
    <w:p w14:paraId="7514C537" w14:textId="77777777" w:rsidR="001C61EE" w:rsidRDefault="001C61EE" w:rsidP="006C404F">
      <w:pPr>
        <w:spacing w:after="0"/>
        <w:jc w:val="both"/>
        <w:rPr>
          <w:rFonts w:ascii="Times New Roman" w:eastAsia="Arial" w:hAnsi="Times New Roman" w:cs="Times New Roman"/>
          <w:sz w:val="24"/>
          <w:szCs w:val="24"/>
        </w:rPr>
      </w:pPr>
    </w:p>
    <w:p w14:paraId="38DEC2E5" w14:textId="77777777" w:rsidR="001C61EE"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W dostępnej w bazie Eurostat kategorii wiekowej </w:t>
      </w:r>
      <w:r w:rsidRPr="00972ACA">
        <w:rPr>
          <w:rFonts w:ascii="Times New Roman" w:eastAsia="Arial" w:hAnsi="Times New Roman" w:cs="Times New Roman"/>
          <w:b/>
          <w:sz w:val="24"/>
          <w:szCs w:val="24"/>
        </w:rPr>
        <w:t>55-74 lata</w:t>
      </w:r>
      <w:r w:rsidRPr="00972ACA">
        <w:rPr>
          <w:rFonts w:ascii="Times New Roman" w:eastAsia="Arial" w:hAnsi="Times New Roman" w:cs="Times New Roman"/>
          <w:sz w:val="24"/>
          <w:szCs w:val="24"/>
        </w:rPr>
        <w:t xml:space="preserve"> uczestnictwo to jest wyraźnie niższe. W UE wynosiło w roku 2015 – 4,8%, w roku 2017 – 4,9%, a w roku 2019 – 5,2%, w tym kobiety – 6,0%, mężczyźni – 4,3%. W Polsce było jeszcze niższe i wynosiło odpowiednio 0,6%, 1,0% i 1,4%, w tym kobiety 1,7%, mężczyźni 1,0%. </w:t>
      </w:r>
    </w:p>
    <w:p w14:paraId="54E7A508" w14:textId="77777777" w:rsidR="00972ACA" w:rsidRPr="001C61EE" w:rsidRDefault="00972ACA" w:rsidP="006C404F">
      <w:pPr>
        <w:spacing w:after="0"/>
        <w:jc w:val="both"/>
        <w:rPr>
          <w:rFonts w:ascii="Times New Roman" w:eastAsia="Arial" w:hAnsi="Times New Roman" w:cs="Times New Roman"/>
          <w:b/>
          <w:color w:val="00B0F0"/>
          <w:sz w:val="24"/>
          <w:szCs w:val="24"/>
        </w:rPr>
      </w:pPr>
      <w:r w:rsidRPr="001C61EE">
        <w:rPr>
          <w:rFonts w:ascii="Times New Roman" w:eastAsia="Arial" w:hAnsi="Times New Roman" w:cs="Times New Roman"/>
          <w:b/>
          <w:color w:val="00B0F0"/>
          <w:sz w:val="24"/>
          <w:szCs w:val="24"/>
        </w:rPr>
        <w:lastRenderedPageBreak/>
        <w:t>Wyniki badania AES</w:t>
      </w:r>
    </w:p>
    <w:p w14:paraId="55B2F594" w14:textId="77777777" w:rsid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Dane z badania AES dotyczą uczestnictwa dorosłych w kształceniu </w:t>
      </w:r>
      <w:r w:rsidRPr="00972ACA">
        <w:rPr>
          <w:rFonts w:ascii="Times New Roman" w:eastAsia="Arial" w:hAnsi="Times New Roman" w:cs="Times New Roman"/>
          <w:b/>
          <w:sz w:val="24"/>
          <w:szCs w:val="24"/>
        </w:rPr>
        <w:t>w okresie 12 miesięcy przed badaniem</w:t>
      </w:r>
      <w:r w:rsidRPr="00972ACA">
        <w:rPr>
          <w:rFonts w:ascii="Times New Roman" w:eastAsia="Arial" w:hAnsi="Times New Roman" w:cs="Times New Roman"/>
          <w:sz w:val="24"/>
          <w:szCs w:val="24"/>
        </w:rPr>
        <w:t xml:space="preserve">. Z tego powodu wyniki tego badania są wyraźnie wyższe od wyników badania LFS/BAEL. </w:t>
      </w:r>
    </w:p>
    <w:p w14:paraId="4D840828" w14:textId="77777777" w:rsidR="001C61EE" w:rsidRPr="00972ACA" w:rsidRDefault="001C61EE" w:rsidP="006C404F">
      <w:pPr>
        <w:spacing w:after="0"/>
        <w:jc w:val="both"/>
        <w:rPr>
          <w:rFonts w:ascii="Times New Roman" w:eastAsia="Arial" w:hAnsi="Times New Roman" w:cs="Times New Roman"/>
          <w:sz w:val="24"/>
          <w:szCs w:val="24"/>
        </w:rPr>
      </w:pPr>
    </w:p>
    <w:p w14:paraId="5D39B4C1" w14:textId="77777777" w:rsid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Ostatnie dostępne dane z tego badania pochodzą z roku 2016 (prowadzone jest ono w cyklu 5-letnim). W głównej dla tego badania kategorii wiekowej, tj. 25-64 lata uczestnictwo dorosłych w kształceniu i szkoleniu w UE w roku 2007 wynosiło 35,2%, a w roku 2016 – 45,1% (razem w edukacji formalnej i pozaformalnej). Widać więc wyraźny postęp od roku 2007. W Polsce uczestnictwo to wynosiło odpowiednio 21,8% i 25,5%. </w:t>
      </w:r>
    </w:p>
    <w:p w14:paraId="09D8423C" w14:textId="77777777" w:rsidR="001C61EE" w:rsidRPr="00972ACA" w:rsidRDefault="001C61EE" w:rsidP="006C404F">
      <w:pPr>
        <w:spacing w:after="0"/>
        <w:jc w:val="both"/>
        <w:rPr>
          <w:rFonts w:ascii="Times New Roman" w:eastAsia="Arial" w:hAnsi="Times New Roman" w:cs="Times New Roman"/>
          <w:sz w:val="24"/>
          <w:szCs w:val="24"/>
        </w:rPr>
      </w:pPr>
    </w:p>
    <w:p w14:paraId="48719D69"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W dostępnej w tym badaniu kategorii wiekowej osób starszych, tj. kategorii </w:t>
      </w:r>
      <w:r w:rsidRPr="00972ACA">
        <w:rPr>
          <w:rFonts w:ascii="Times New Roman" w:eastAsia="Arial" w:hAnsi="Times New Roman" w:cs="Times New Roman"/>
          <w:b/>
          <w:sz w:val="24"/>
          <w:szCs w:val="24"/>
        </w:rPr>
        <w:t>55-64 lata,</w:t>
      </w:r>
      <w:r w:rsidRPr="00972ACA">
        <w:rPr>
          <w:rFonts w:ascii="Times New Roman" w:eastAsia="Arial" w:hAnsi="Times New Roman" w:cs="Times New Roman"/>
          <w:sz w:val="24"/>
          <w:szCs w:val="24"/>
        </w:rPr>
        <w:t xml:space="preserve"> uczestnictwo dorosłych w kształceniu i szkoleniu w UE wynosiło  w roku 2007 – 21,1%, a w roku 2016 – 32,9%. W Polsce było niższe i wynosiło odpowiednio 6,8% i 13,4%.</w:t>
      </w:r>
    </w:p>
    <w:p w14:paraId="49B0A607" w14:textId="77777777" w:rsidR="00287912" w:rsidRDefault="00287912" w:rsidP="006C404F">
      <w:pPr>
        <w:spacing w:after="0"/>
        <w:jc w:val="both"/>
        <w:rPr>
          <w:rFonts w:ascii="Times New Roman" w:eastAsia="Arial" w:hAnsi="Times New Roman" w:cs="Times New Roman"/>
          <w:b/>
          <w:color w:val="00B0F0"/>
          <w:sz w:val="24"/>
          <w:szCs w:val="24"/>
        </w:rPr>
      </w:pPr>
    </w:p>
    <w:p w14:paraId="18DE2F11" w14:textId="77777777" w:rsidR="00972ACA" w:rsidRPr="001C61EE" w:rsidRDefault="00972ACA" w:rsidP="006C404F">
      <w:pPr>
        <w:spacing w:after="0"/>
        <w:jc w:val="both"/>
        <w:rPr>
          <w:rFonts w:ascii="Times New Roman" w:eastAsia="Arial" w:hAnsi="Times New Roman" w:cs="Times New Roman"/>
          <w:b/>
          <w:color w:val="00B0F0"/>
          <w:sz w:val="24"/>
          <w:szCs w:val="24"/>
        </w:rPr>
      </w:pPr>
      <w:r w:rsidRPr="001C61EE">
        <w:rPr>
          <w:rFonts w:ascii="Times New Roman" w:eastAsia="Arial" w:hAnsi="Times New Roman" w:cs="Times New Roman"/>
          <w:b/>
          <w:color w:val="00B0F0"/>
          <w:sz w:val="24"/>
          <w:szCs w:val="24"/>
        </w:rPr>
        <w:t>Wyniki badania BKL</w:t>
      </w:r>
    </w:p>
    <w:p w14:paraId="1EC04E75"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Badanie BKL stosuje dwie miary uczestnictwa dorosłych w kształceniu i szkoleniu – uczestnictwo </w:t>
      </w:r>
      <w:r w:rsidRPr="00972ACA">
        <w:rPr>
          <w:rFonts w:ascii="Times New Roman" w:eastAsia="Arial" w:hAnsi="Times New Roman" w:cs="Times New Roman"/>
          <w:b/>
          <w:sz w:val="24"/>
          <w:szCs w:val="24"/>
        </w:rPr>
        <w:t>w okresie 4 tygodni przed badaniem oraz w okresie 12 miesięcy</w:t>
      </w:r>
      <w:r w:rsidR="001C61EE">
        <w:rPr>
          <w:rFonts w:ascii="Times New Roman" w:eastAsia="Arial" w:hAnsi="Times New Roman" w:cs="Times New Roman"/>
          <w:sz w:val="24"/>
          <w:szCs w:val="24"/>
        </w:rPr>
        <w:t xml:space="preserve">. </w:t>
      </w:r>
      <w:r w:rsidRPr="00972ACA">
        <w:rPr>
          <w:rFonts w:ascii="Times New Roman" w:eastAsia="Arial" w:hAnsi="Times New Roman" w:cs="Times New Roman"/>
          <w:sz w:val="24"/>
          <w:szCs w:val="24"/>
        </w:rPr>
        <w:t>W związku z tym jego wyniki można odnosić do dwóch ww. badań europejskich. Ostatnie dostępne dane z tego badania pochodzą z roku 2017 (ak</w:t>
      </w:r>
      <w:r w:rsidR="001C61EE">
        <w:rPr>
          <w:rFonts w:ascii="Times New Roman" w:eastAsia="Arial" w:hAnsi="Times New Roman" w:cs="Times New Roman"/>
          <w:sz w:val="24"/>
          <w:szCs w:val="24"/>
        </w:rPr>
        <w:t xml:space="preserve">tualnie opracowywane są dane z </w:t>
      </w:r>
      <w:r w:rsidRPr="00972ACA">
        <w:rPr>
          <w:rFonts w:ascii="Times New Roman" w:eastAsia="Arial" w:hAnsi="Times New Roman" w:cs="Times New Roman"/>
          <w:sz w:val="24"/>
          <w:szCs w:val="24"/>
        </w:rPr>
        <w:t>2019</w:t>
      </w:r>
      <w:r w:rsidR="001C61EE">
        <w:rPr>
          <w:rFonts w:ascii="Times New Roman" w:eastAsia="Arial" w:hAnsi="Times New Roman" w:cs="Times New Roman"/>
          <w:sz w:val="24"/>
          <w:szCs w:val="24"/>
        </w:rPr>
        <w:t xml:space="preserve"> r.</w:t>
      </w:r>
      <w:r w:rsidRPr="00972ACA">
        <w:rPr>
          <w:rFonts w:ascii="Times New Roman" w:eastAsia="Arial" w:hAnsi="Times New Roman" w:cs="Times New Roman"/>
          <w:sz w:val="24"/>
          <w:szCs w:val="24"/>
        </w:rPr>
        <w:t>).</w:t>
      </w:r>
    </w:p>
    <w:p w14:paraId="528EA995" w14:textId="77777777" w:rsidR="001C61EE" w:rsidRDefault="001C61EE" w:rsidP="006C404F">
      <w:pPr>
        <w:spacing w:after="0"/>
        <w:jc w:val="both"/>
        <w:rPr>
          <w:rFonts w:ascii="Times New Roman" w:eastAsia="Arial" w:hAnsi="Times New Roman" w:cs="Times New Roman"/>
          <w:sz w:val="24"/>
          <w:szCs w:val="24"/>
        </w:rPr>
      </w:pPr>
    </w:p>
    <w:p w14:paraId="460C931E" w14:textId="77777777" w:rsid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W latach 2010-2014 wyniki BKL były podobnie niskie w przypadku Polski jak wyniki badania LFS/BAEL. Jednak po zmianach metodologicznych badanie to od roku 2017 dało wyniki znacznie wyższe. W mierze stosującej 4-tygodniowe odniesienie oraz w kategorii wiekowej 25-64 lata uczestnictwo to wynosiło ponad 20% (wobec 4,0% według LFS/BAEL z roku 2017). W ramach tej miary uczestnictwa dorosłych w kształceniu i szkoleniu raport BKL z wynikami za rok 2017 nie wymienia jednak grup wi</w:t>
      </w:r>
      <w:r w:rsidR="001C61EE">
        <w:rPr>
          <w:rFonts w:ascii="Times New Roman" w:eastAsia="Arial" w:hAnsi="Times New Roman" w:cs="Times New Roman"/>
          <w:sz w:val="24"/>
          <w:szCs w:val="24"/>
        </w:rPr>
        <w:t xml:space="preserve">ekowych osób starszych (55-64). </w:t>
      </w:r>
      <w:r w:rsidRPr="00972ACA">
        <w:rPr>
          <w:rFonts w:ascii="Times New Roman" w:eastAsia="Arial" w:hAnsi="Times New Roman" w:cs="Times New Roman"/>
          <w:sz w:val="24"/>
          <w:szCs w:val="24"/>
        </w:rPr>
        <w:t xml:space="preserve">Raport BKL 2017 wymienia grupy wiekowe </w:t>
      </w:r>
      <w:r w:rsidRPr="00972ACA">
        <w:rPr>
          <w:rFonts w:ascii="Times New Roman" w:eastAsia="Arial" w:hAnsi="Times New Roman" w:cs="Times New Roman"/>
          <w:b/>
          <w:sz w:val="24"/>
          <w:szCs w:val="24"/>
        </w:rPr>
        <w:t>55-59 lat</w:t>
      </w:r>
      <w:r w:rsidRPr="00972ACA">
        <w:rPr>
          <w:rFonts w:ascii="Times New Roman" w:eastAsia="Arial" w:hAnsi="Times New Roman" w:cs="Times New Roman"/>
          <w:sz w:val="24"/>
          <w:szCs w:val="24"/>
        </w:rPr>
        <w:t xml:space="preserve"> i </w:t>
      </w:r>
      <w:r w:rsidRPr="00972ACA">
        <w:rPr>
          <w:rFonts w:ascii="Times New Roman" w:eastAsia="Arial" w:hAnsi="Times New Roman" w:cs="Times New Roman"/>
          <w:b/>
          <w:sz w:val="24"/>
          <w:szCs w:val="24"/>
        </w:rPr>
        <w:t>60-64 lata</w:t>
      </w:r>
      <w:r w:rsidRPr="00972ACA">
        <w:rPr>
          <w:rFonts w:ascii="Times New Roman" w:eastAsia="Arial" w:hAnsi="Times New Roman" w:cs="Times New Roman"/>
          <w:sz w:val="24"/>
          <w:szCs w:val="24"/>
        </w:rPr>
        <w:t xml:space="preserve"> w odniesieniu do innej miary uczestnictwa dorosłych w kształceniu i szkoleniu – dotyczącej uczestnictwa w okresie 12 miesięcy przed badaniem. Wyniki można do pewnego stopnia porównać z wynikami badania AES. W badaniu tym uczestnictwo dorosłych w wieku 55-64 w kształceniu i szkoleniu w okresie 12 miesięcy przed badaniem wynosiło w Polsce 13,4%. W badaniu BKL 2017 wynik w podobnej mierze uczestnictwa dla dorosłych w wieku 55-59 lat wyniósł 28%, a w wieku 60-64 lata – 19%. Wyniki BKL są zatem wyraźnie wyższe.</w:t>
      </w:r>
    </w:p>
    <w:p w14:paraId="6B74C581" w14:textId="77777777" w:rsidR="001C61EE" w:rsidRPr="00972ACA" w:rsidRDefault="001C61EE" w:rsidP="006C404F">
      <w:pPr>
        <w:spacing w:after="0"/>
        <w:jc w:val="both"/>
        <w:rPr>
          <w:rFonts w:ascii="Times New Roman" w:eastAsia="Arial" w:hAnsi="Times New Roman" w:cs="Times New Roman"/>
          <w:sz w:val="24"/>
          <w:szCs w:val="24"/>
        </w:rPr>
      </w:pPr>
    </w:p>
    <w:p w14:paraId="79C9DD5F" w14:textId="77777777" w:rsidR="00972ACA" w:rsidRPr="001C61EE" w:rsidRDefault="00972ACA" w:rsidP="006C404F">
      <w:pPr>
        <w:spacing w:after="0"/>
        <w:jc w:val="both"/>
        <w:rPr>
          <w:rFonts w:ascii="Times New Roman" w:eastAsia="Arial" w:hAnsi="Times New Roman" w:cs="Times New Roman"/>
          <w:b/>
          <w:color w:val="00B0F0"/>
          <w:sz w:val="24"/>
          <w:szCs w:val="24"/>
        </w:rPr>
      </w:pPr>
      <w:r w:rsidRPr="001C61EE">
        <w:rPr>
          <w:rFonts w:ascii="Times New Roman" w:eastAsia="Arial" w:hAnsi="Times New Roman" w:cs="Times New Roman"/>
          <w:b/>
          <w:color w:val="00B0F0"/>
          <w:sz w:val="24"/>
          <w:szCs w:val="24"/>
        </w:rPr>
        <w:t xml:space="preserve">Różnice wyników głównych badań dotyczących uczenia się dorosłych </w:t>
      </w:r>
    </w:p>
    <w:p w14:paraId="503E7AEC" w14:textId="77777777" w:rsid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Znaczne różnice pomiędzy wynikami LFS/BAEL i AES a BKL powodowane są różnym podejściem do pytań odnoszących się do uczestnictwa w edukacji innej niż formalna (tzw. edukacji pozaformalnej, tj. organizowanej instytucjonalnie, ale poza programami kształcenia w systemie oświaty i szkolnictwa wyższego). W tradycyjnych badaniach, do których zaliczyć można LFS/BAEL i AES, pytania te zbyt silnie kojarzyły się z formami edukacji podobnymi do stosowanych w szkołach i uczelniach (głównie są to formy wykładowe w otoczeniu </w:t>
      </w:r>
      <w:r w:rsidRPr="00972ACA">
        <w:rPr>
          <w:rFonts w:ascii="Times New Roman" w:eastAsia="Arial" w:hAnsi="Times New Roman" w:cs="Times New Roman"/>
          <w:sz w:val="24"/>
          <w:szCs w:val="24"/>
        </w:rPr>
        <w:lastRenderedPageBreak/>
        <w:t xml:space="preserve">podobnym do klas, sal i audytoriów). W nowszych badaniach, do których zaliczyć można badanie BKL 2017, pytania koncentrują się na różnych sposobach nabywania umiejętności, bez sugerowania, że są one podobne do form kształcenia stosowanych w szkołach i uczelniach. Znaczna część zajęć mających cechy edukacyjne (tj. w zamierzony i zorganizowany sposób transferujące wiedzę, umiejętności i kompetencje społeczne), w których uczestniczą dorośli, ma charakter praktyczny. Obecnie w Europie i w Polsce upowszechniane jest to, że środowiskiem najszerzej angażującym dorosłych w uczenie się jest miejsce pracy oraz działania społeczne na rzecz rozwoju różnych społeczności i wspólnot. </w:t>
      </w:r>
    </w:p>
    <w:p w14:paraId="07FEA1DB" w14:textId="77777777" w:rsidR="001C61EE" w:rsidRPr="00972ACA" w:rsidRDefault="001C61EE" w:rsidP="006C404F">
      <w:pPr>
        <w:spacing w:after="0"/>
        <w:jc w:val="both"/>
        <w:rPr>
          <w:rFonts w:ascii="Times New Roman" w:eastAsia="Arial" w:hAnsi="Times New Roman" w:cs="Times New Roman"/>
          <w:sz w:val="24"/>
          <w:szCs w:val="24"/>
        </w:rPr>
      </w:pPr>
    </w:p>
    <w:p w14:paraId="4E93F42C" w14:textId="77777777" w:rsidR="00972ACA" w:rsidRPr="001C61EE" w:rsidRDefault="00972ACA" w:rsidP="006C404F">
      <w:pPr>
        <w:spacing w:after="0"/>
        <w:jc w:val="both"/>
        <w:rPr>
          <w:rFonts w:ascii="Times New Roman" w:eastAsia="Arial" w:hAnsi="Times New Roman" w:cs="Times New Roman"/>
          <w:b/>
          <w:color w:val="00B0F0"/>
          <w:sz w:val="24"/>
          <w:szCs w:val="24"/>
        </w:rPr>
      </w:pPr>
      <w:r w:rsidRPr="001C61EE">
        <w:rPr>
          <w:rFonts w:ascii="Times New Roman" w:eastAsia="Arial" w:hAnsi="Times New Roman" w:cs="Times New Roman"/>
          <w:b/>
          <w:color w:val="00B0F0"/>
          <w:sz w:val="24"/>
          <w:szCs w:val="24"/>
        </w:rPr>
        <w:t>Znaczenie zmiany w podejściu do uczenia się dorosłych dla polityki na rzecz aktywności osób starszych</w:t>
      </w:r>
    </w:p>
    <w:p w14:paraId="1D0B1CDE"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Takie podejście do uczenia się dorosłych ma  istotne znaczenie do zmiany podejścia wobec uczenia się i aktywności edukacyjnej osób starszych. Szersze edukacyjne zaangażowanie dorosłych może być realizowane głównie w związku z miejscem pracy. W szczególności dotyczy to osób z młodszych grup wiekowych osób starszych, które mogą dobrowolnie przedłużać swoją obecność na rynku pracy. Dla części z tych osób, które mają niski poziom kwalifikacji wyzwaniem jest ich aktualizacja – jednak najlepiej w różnych formach praktycznych, a nie na dłuższych kursach, na które nie mają już czasu. Z kolei, dla części z tych osób, które mają aktualne i cenne doświadczenie zawodowe, może być ważne przekazywanie tego doświadczenia w zorganizowanych wzorach uczenia się w miejscu pracy. </w:t>
      </w:r>
    </w:p>
    <w:p w14:paraId="4E5F452B" w14:textId="77777777" w:rsidR="001C61EE" w:rsidRDefault="001C61EE" w:rsidP="006C404F">
      <w:pPr>
        <w:spacing w:after="0"/>
        <w:jc w:val="both"/>
        <w:rPr>
          <w:rFonts w:ascii="Times New Roman" w:eastAsia="Arial" w:hAnsi="Times New Roman" w:cs="Times New Roman"/>
          <w:sz w:val="24"/>
          <w:szCs w:val="24"/>
        </w:rPr>
      </w:pPr>
    </w:p>
    <w:p w14:paraId="37ED5844"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Najstarsze grupy wiekowe i osoby niezdolne do pracy (np. renciści) w znacznej mierze parają się z problem osamotnienia (nie tylko w rodzinie, ale także w społeczności lokalnej). Dla nich wsparciem także nie będzie uczestnictwo w kursach, ale raczej w działaniach praktycznych na rzecz rozwoju więzi społecznych w różnych społecznościach i wspólnotach, które mogą tworzyć pretekst do zaangażowania w zorganizowane uczenie się. </w:t>
      </w:r>
    </w:p>
    <w:p w14:paraId="275FF3C8" w14:textId="77777777" w:rsidR="001C61EE" w:rsidRDefault="001C61EE" w:rsidP="006C404F">
      <w:pPr>
        <w:spacing w:after="0"/>
        <w:jc w:val="both"/>
        <w:rPr>
          <w:rFonts w:ascii="Times New Roman" w:eastAsia="Arial" w:hAnsi="Times New Roman" w:cs="Times New Roman"/>
          <w:sz w:val="24"/>
          <w:szCs w:val="24"/>
        </w:rPr>
      </w:pPr>
    </w:p>
    <w:p w14:paraId="271819A6"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Obecnie, na podstawie dostępnych danych dotyczących uczestnictwa dorosłych w kształceniu i szkoleniu można przyjąć, że szersze uczestnictwo dorosłych, w tym zwłaszcza osób starszych, zależy przede wszystkim od uczestnictwa w edukacji innej niż formalna (pozaformalnej). </w:t>
      </w:r>
    </w:p>
    <w:p w14:paraId="629CAE8C" w14:textId="77777777" w:rsid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Według danych badania LFS uczestnictwo dorosłych w UE w wieku 25-64 lata </w:t>
      </w:r>
      <w:r w:rsidRPr="00972ACA">
        <w:rPr>
          <w:rFonts w:ascii="Times New Roman" w:eastAsia="Arial" w:hAnsi="Times New Roman" w:cs="Times New Roman"/>
          <w:sz w:val="24"/>
          <w:szCs w:val="24"/>
        </w:rPr>
        <w:br/>
        <w:t>w edukacji formalnej nie zmienia się istotnie od roku 2004 (od tego roku Eurostat udostępnia dane o uczestnictwie dorosłych w kształceniu i szkoleniu z podziałem na edukacje formalną i pozaformalną). W 2004</w:t>
      </w:r>
      <w:r w:rsidR="001C61EE">
        <w:rPr>
          <w:rFonts w:ascii="Times New Roman" w:eastAsia="Arial" w:hAnsi="Times New Roman" w:cs="Times New Roman"/>
          <w:sz w:val="24"/>
          <w:szCs w:val="24"/>
        </w:rPr>
        <w:t xml:space="preserve"> r.</w:t>
      </w:r>
      <w:r w:rsidRPr="00972ACA">
        <w:rPr>
          <w:rFonts w:ascii="Times New Roman" w:eastAsia="Arial" w:hAnsi="Times New Roman" w:cs="Times New Roman"/>
          <w:sz w:val="24"/>
          <w:szCs w:val="24"/>
        </w:rPr>
        <w:t xml:space="preserve"> uczestnictwo to w okresie 4 tygodni przed badaniem wynosiło w UE 3,3%,a w 2019 </w:t>
      </w:r>
      <w:r w:rsidR="001C61EE">
        <w:rPr>
          <w:rFonts w:ascii="Times New Roman" w:eastAsia="Arial" w:hAnsi="Times New Roman" w:cs="Times New Roman"/>
          <w:sz w:val="24"/>
          <w:szCs w:val="24"/>
        </w:rPr>
        <w:t xml:space="preserve">r. </w:t>
      </w:r>
      <w:r w:rsidRPr="00972ACA">
        <w:rPr>
          <w:rFonts w:ascii="Times New Roman" w:eastAsia="Arial" w:hAnsi="Times New Roman" w:cs="Times New Roman"/>
          <w:sz w:val="24"/>
          <w:szCs w:val="24"/>
        </w:rPr>
        <w:t>– 3,1%. Według badania AES, którego pierwsza edycja została przeprowadzona w 2007</w:t>
      </w:r>
      <w:r w:rsidR="001C61EE">
        <w:rPr>
          <w:rFonts w:ascii="Times New Roman" w:eastAsia="Arial" w:hAnsi="Times New Roman" w:cs="Times New Roman"/>
          <w:sz w:val="24"/>
          <w:szCs w:val="24"/>
        </w:rPr>
        <w:t xml:space="preserve"> r.</w:t>
      </w:r>
      <w:r w:rsidRPr="00972ACA">
        <w:rPr>
          <w:rFonts w:ascii="Times New Roman" w:eastAsia="Arial" w:hAnsi="Times New Roman" w:cs="Times New Roman"/>
          <w:sz w:val="24"/>
          <w:szCs w:val="24"/>
        </w:rPr>
        <w:t>, uczestnictwo w okresie 12 miesięcy przed badaniem to wynosiło w UE w tym czasie 6,6%, a w 2016</w:t>
      </w:r>
      <w:r w:rsidR="001C61EE">
        <w:rPr>
          <w:rFonts w:ascii="Times New Roman" w:eastAsia="Arial" w:hAnsi="Times New Roman" w:cs="Times New Roman"/>
          <w:sz w:val="24"/>
          <w:szCs w:val="24"/>
        </w:rPr>
        <w:t xml:space="preserve"> r.</w:t>
      </w:r>
      <w:r w:rsidRPr="00972ACA">
        <w:rPr>
          <w:rFonts w:ascii="Times New Roman" w:eastAsia="Arial" w:hAnsi="Times New Roman" w:cs="Times New Roman"/>
          <w:sz w:val="24"/>
          <w:szCs w:val="24"/>
        </w:rPr>
        <w:t xml:space="preserve"> – 5,8%. Tymczasem uczestnictwo w edukacji pozaformalnej według badania LFS wynosiło w UE w 2004 </w:t>
      </w:r>
      <w:r w:rsidR="001C61EE">
        <w:rPr>
          <w:rFonts w:ascii="Times New Roman" w:eastAsia="Arial" w:hAnsi="Times New Roman" w:cs="Times New Roman"/>
          <w:sz w:val="24"/>
          <w:szCs w:val="24"/>
        </w:rPr>
        <w:t xml:space="preserve">r. </w:t>
      </w:r>
      <w:r w:rsidRPr="00972ACA">
        <w:rPr>
          <w:rFonts w:ascii="Times New Roman" w:eastAsia="Arial" w:hAnsi="Times New Roman" w:cs="Times New Roman"/>
          <w:sz w:val="24"/>
          <w:szCs w:val="24"/>
        </w:rPr>
        <w:t>– 7,3%, a w 2019</w:t>
      </w:r>
      <w:r w:rsidR="001C61EE">
        <w:rPr>
          <w:rFonts w:ascii="Times New Roman" w:eastAsia="Arial" w:hAnsi="Times New Roman" w:cs="Times New Roman"/>
          <w:sz w:val="24"/>
          <w:szCs w:val="24"/>
        </w:rPr>
        <w:t xml:space="preserve"> r.</w:t>
      </w:r>
      <w:r w:rsidRPr="00972ACA">
        <w:rPr>
          <w:rFonts w:ascii="Times New Roman" w:eastAsia="Arial" w:hAnsi="Times New Roman" w:cs="Times New Roman"/>
          <w:sz w:val="24"/>
          <w:szCs w:val="24"/>
        </w:rPr>
        <w:t xml:space="preserve"> – 8,8%. Na jeszcze większą różnicę wskazuje badanie AES. W 2007</w:t>
      </w:r>
      <w:r w:rsidR="001C61EE">
        <w:rPr>
          <w:rFonts w:ascii="Times New Roman" w:eastAsia="Arial" w:hAnsi="Times New Roman" w:cs="Times New Roman"/>
          <w:sz w:val="24"/>
          <w:szCs w:val="24"/>
        </w:rPr>
        <w:t xml:space="preserve"> r.</w:t>
      </w:r>
      <w:r w:rsidRPr="00972ACA">
        <w:rPr>
          <w:rFonts w:ascii="Times New Roman" w:eastAsia="Arial" w:hAnsi="Times New Roman" w:cs="Times New Roman"/>
          <w:sz w:val="24"/>
          <w:szCs w:val="24"/>
        </w:rPr>
        <w:t xml:space="preserve"> uczestnictwo w edukacji pozaformalnej wynosiło 31,6%, a w 2016 </w:t>
      </w:r>
      <w:r w:rsidR="001C61EE">
        <w:rPr>
          <w:rFonts w:ascii="Times New Roman" w:eastAsia="Arial" w:hAnsi="Times New Roman" w:cs="Times New Roman"/>
          <w:sz w:val="24"/>
          <w:szCs w:val="24"/>
        </w:rPr>
        <w:t xml:space="preserve">r. </w:t>
      </w:r>
      <w:r w:rsidRPr="00972ACA">
        <w:rPr>
          <w:rFonts w:ascii="Times New Roman" w:eastAsia="Arial" w:hAnsi="Times New Roman" w:cs="Times New Roman"/>
          <w:sz w:val="24"/>
          <w:szCs w:val="24"/>
        </w:rPr>
        <w:t xml:space="preserve">– 42,6%. </w:t>
      </w:r>
    </w:p>
    <w:p w14:paraId="2FE1285F" w14:textId="77777777" w:rsidR="001C61EE" w:rsidRPr="00972ACA" w:rsidRDefault="001C61EE" w:rsidP="006C404F">
      <w:pPr>
        <w:spacing w:after="0"/>
        <w:jc w:val="both"/>
        <w:rPr>
          <w:rFonts w:ascii="Times New Roman" w:eastAsia="Arial" w:hAnsi="Times New Roman" w:cs="Times New Roman"/>
          <w:sz w:val="24"/>
          <w:szCs w:val="24"/>
        </w:rPr>
      </w:pPr>
    </w:p>
    <w:p w14:paraId="6BD6937C" w14:textId="77777777" w:rsidR="001C61EE" w:rsidRDefault="00972ACA" w:rsidP="006C404F">
      <w:pPr>
        <w:spacing w:after="0"/>
        <w:jc w:val="both"/>
        <w:rPr>
          <w:rFonts w:ascii="Times New Roman" w:eastAsia="Arial" w:hAnsi="Times New Roman" w:cs="Times New Roman"/>
          <w:color w:val="00B0F0"/>
          <w:sz w:val="24"/>
          <w:szCs w:val="24"/>
        </w:rPr>
      </w:pPr>
      <w:r w:rsidRPr="001C61EE">
        <w:rPr>
          <w:rFonts w:ascii="Times New Roman" w:eastAsia="Arial" w:hAnsi="Times New Roman" w:cs="Times New Roman"/>
          <w:b/>
          <w:color w:val="00B0F0"/>
          <w:sz w:val="24"/>
          <w:szCs w:val="24"/>
        </w:rPr>
        <w:lastRenderedPageBreak/>
        <w:t>Prawidłowość wskazująca na znaczną p</w:t>
      </w:r>
      <w:r w:rsidR="001C61EE">
        <w:rPr>
          <w:rFonts w:ascii="Times New Roman" w:eastAsia="Arial" w:hAnsi="Times New Roman" w:cs="Times New Roman"/>
          <w:b/>
          <w:color w:val="00B0F0"/>
          <w:sz w:val="24"/>
          <w:szCs w:val="24"/>
        </w:rPr>
        <w:t xml:space="preserve">rzewagę uczestnictwa dorosłych </w:t>
      </w:r>
      <w:r w:rsidRPr="001C61EE">
        <w:rPr>
          <w:rFonts w:ascii="Times New Roman" w:eastAsia="Arial" w:hAnsi="Times New Roman" w:cs="Times New Roman"/>
          <w:b/>
          <w:color w:val="00B0F0"/>
          <w:sz w:val="24"/>
          <w:szCs w:val="24"/>
        </w:rPr>
        <w:t>w edukacji pozaformalnej jest widoczna szczególnie odnośnie osób starszych</w:t>
      </w:r>
      <w:r w:rsidRPr="001C61EE">
        <w:rPr>
          <w:rFonts w:ascii="Times New Roman" w:eastAsia="Arial" w:hAnsi="Times New Roman" w:cs="Times New Roman"/>
          <w:color w:val="00B0F0"/>
          <w:sz w:val="24"/>
          <w:szCs w:val="24"/>
        </w:rPr>
        <w:t xml:space="preserve">. </w:t>
      </w:r>
    </w:p>
    <w:p w14:paraId="21E4E71F" w14:textId="77777777" w:rsidR="00972ACA" w:rsidRPr="00972ACA" w:rsidRDefault="00972ACA" w:rsidP="006C404F">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 xml:space="preserve">Według badania LFS jedynie 0,3% dorosłych w wieku </w:t>
      </w:r>
      <w:r w:rsidRPr="00972ACA">
        <w:rPr>
          <w:rFonts w:ascii="Times New Roman" w:eastAsia="Arial" w:hAnsi="Times New Roman" w:cs="Times New Roman"/>
          <w:b/>
          <w:sz w:val="24"/>
          <w:szCs w:val="24"/>
        </w:rPr>
        <w:t>55-74 lata</w:t>
      </w:r>
      <w:r w:rsidRPr="00972ACA">
        <w:rPr>
          <w:rFonts w:ascii="Times New Roman" w:eastAsia="Arial" w:hAnsi="Times New Roman" w:cs="Times New Roman"/>
          <w:sz w:val="24"/>
          <w:szCs w:val="24"/>
        </w:rPr>
        <w:t xml:space="preserve"> uczestniczyło w UE w edukacji formalnej w roku 2019 w okresie 4 tygodni przed badaniem (w odniesieniu do Polski brak jest danych ze wzglądu na zbyt małą liczebność takich osób w próbie statystycznej). Jednocześnie 4,9% osób w tym wieku uczestniczyło w edukacji pozaformalnej w UE, a w Polsce 1,4%. </w:t>
      </w:r>
    </w:p>
    <w:p w14:paraId="65835977" w14:textId="77777777" w:rsidR="001C61EE" w:rsidRDefault="001C61EE" w:rsidP="006C404F">
      <w:pPr>
        <w:spacing w:after="0"/>
        <w:jc w:val="both"/>
        <w:rPr>
          <w:rFonts w:ascii="Times New Roman" w:eastAsia="Arial" w:hAnsi="Times New Roman" w:cs="Times New Roman"/>
          <w:b/>
          <w:sz w:val="24"/>
          <w:szCs w:val="24"/>
        </w:rPr>
      </w:pPr>
    </w:p>
    <w:p w14:paraId="7B0C15D3" w14:textId="7CAFB1AC" w:rsidR="00A5092A" w:rsidRPr="00A5092A" w:rsidRDefault="00A5092A" w:rsidP="00A5092A">
      <w:pPr>
        <w:pStyle w:val="Legenda"/>
        <w:keepNext/>
        <w:jc w:val="both"/>
        <w:rPr>
          <w:rFonts w:ascii="Times New Roman" w:hAnsi="Times New Roman" w:cs="Times New Roman"/>
          <w:b/>
          <w:i w:val="0"/>
          <w:sz w:val="24"/>
        </w:rPr>
      </w:pPr>
      <w:bookmarkStart w:id="111" w:name="_Toc49171455"/>
      <w:r w:rsidRPr="00A5092A">
        <w:rPr>
          <w:rFonts w:ascii="Times New Roman" w:hAnsi="Times New Roman" w:cs="Times New Roman"/>
          <w:b/>
          <w:i w:val="0"/>
          <w:sz w:val="24"/>
        </w:rPr>
        <w:t xml:space="preserve">Rysunek </w:t>
      </w:r>
      <w:r w:rsidRPr="00A5092A">
        <w:rPr>
          <w:rFonts w:ascii="Times New Roman" w:hAnsi="Times New Roman" w:cs="Times New Roman"/>
          <w:b/>
          <w:i w:val="0"/>
          <w:sz w:val="24"/>
        </w:rPr>
        <w:fldChar w:fldCharType="begin"/>
      </w:r>
      <w:r w:rsidRPr="00A5092A">
        <w:rPr>
          <w:rFonts w:ascii="Times New Roman" w:hAnsi="Times New Roman" w:cs="Times New Roman"/>
          <w:b/>
          <w:i w:val="0"/>
          <w:sz w:val="24"/>
        </w:rPr>
        <w:instrText xml:space="preserve"> SEQ Rysunek \* ARABIC </w:instrText>
      </w:r>
      <w:r w:rsidRPr="00A5092A">
        <w:rPr>
          <w:rFonts w:ascii="Times New Roman" w:hAnsi="Times New Roman" w:cs="Times New Roman"/>
          <w:b/>
          <w:i w:val="0"/>
          <w:sz w:val="24"/>
        </w:rPr>
        <w:fldChar w:fldCharType="separate"/>
      </w:r>
      <w:r w:rsidR="00C154C9">
        <w:rPr>
          <w:rFonts w:ascii="Times New Roman" w:hAnsi="Times New Roman" w:cs="Times New Roman"/>
          <w:b/>
          <w:i w:val="0"/>
          <w:noProof/>
          <w:sz w:val="24"/>
        </w:rPr>
        <w:t>9</w:t>
      </w:r>
      <w:r w:rsidRPr="00A5092A">
        <w:rPr>
          <w:rFonts w:ascii="Times New Roman" w:hAnsi="Times New Roman" w:cs="Times New Roman"/>
          <w:b/>
          <w:i w:val="0"/>
          <w:sz w:val="24"/>
        </w:rPr>
        <w:fldChar w:fldCharType="end"/>
      </w:r>
      <w:r w:rsidRPr="00A5092A">
        <w:rPr>
          <w:rFonts w:ascii="Times New Roman" w:hAnsi="Times New Roman" w:cs="Times New Roman"/>
          <w:b/>
          <w:i w:val="0"/>
          <w:sz w:val="24"/>
        </w:rPr>
        <w:t xml:space="preserve"> Odsetek osób w wieku 55-74 lata w edukacji formalnej i pozaformalną w okresie tygodni przed badaniem w Polsce na tle średniej UE w latach 2010-2019 (badanie Labour Force Survey)</w:t>
      </w:r>
      <w:bookmarkEnd w:id="111"/>
    </w:p>
    <w:p w14:paraId="19AE3990" w14:textId="77777777" w:rsidR="00972ACA" w:rsidRDefault="00972ACA" w:rsidP="003C1988">
      <w:pPr>
        <w:spacing w:after="0"/>
        <w:rPr>
          <w:rFonts w:ascii="Times New Roman" w:eastAsia="Arial" w:hAnsi="Times New Roman" w:cs="Times New Roman"/>
          <w:sz w:val="24"/>
          <w:szCs w:val="24"/>
        </w:rPr>
      </w:pPr>
      <w:r w:rsidRPr="00972ACA">
        <w:rPr>
          <w:rFonts w:ascii="Times New Roman" w:hAnsi="Times New Roman" w:cs="Times New Roman"/>
          <w:noProof/>
          <w:sz w:val="24"/>
          <w:szCs w:val="24"/>
          <w:lang w:eastAsia="pl-PL"/>
        </w:rPr>
        <w:drawing>
          <wp:inline distT="0" distB="0" distL="0" distR="0" wp14:anchorId="7301A2C6" wp14:editId="20CE8CF4">
            <wp:extent cx="5935133" cy="3048000"/>
            <wp:effectExtent l="0" t="0" r="8890" b="0"/>
            <wp:docPr id="1" name="Wykres 1">
              <a:extLst xmlns:a="http://schemas.openxmlformats.org/drawingml/2006/main">
                <a:ext uri="{FF2B5EF4-FFF2-40B4-BE49-F238E27FC236}">
                  <a16:creationId xmlns:a16="http://schemas.microsoft.com/office/drawing/2014/main" id="{C66B268C-62D2-4054-ADE1-1168B60F91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BE3112B" w14:textId="77777777" w:rsidR="00A5092A" w:rsidRPr="00A5092A" w:rsidRDefault="00A5092A" w:rsidP="003C1988">
      <w:pPr>
        <w:spacing w:after="0"/>
        <w:rPr>
          <w:rFonts w:ascii="Times New Roman" w:eastAsia="Arial" w:hAnsi="Times New Roman" w:cs="Times New Roman"/>
          <w:b/>
          <w:szCs w:val="24"/>
        </w:rPr>
      </w:pPr>
      <w:r w:rsidRPr="00A5092A">
        <w:rPr>
          <w:rFonts w:ascii="Times New Roman" w:eastAsia="Arial" w:hAnsi="Times New Roman" w:cs="Times New Roman"/>
          <w:b/>
          <w:szCs w:val="24"/>
        </w:rPr>
        <w:t xml:space="preserve">Źródło: dane z Ministerstwa Edukacji Narodowej </w:t>
      </w:r>
    </w:p>
    <w:p w14:paraId="61167FE0" w14:textId="77777777" w:rsidR="001C61EE" w:rsidRDefault="001C61EE" w:rsidP="003C1988">
      <w:pPr>
        <w:spacing w:after="0"/>
        <w:rPr>
          <w:rFonts w:ascii="Times New Roman" w:eastAsia="Arial" w:hAnsi="Times New Roman" w:cs="Times New Roman"/>
          <w:sz w:val="24"/>
          <w:szCs w:val="24"/>
        </w:rPr>
      </w:pPr>
    </w:p>
    <w:p w14:paraId="3734ABBD" w14:textId="77777777" w:rsidR="00972ACA" w:rsidRDefault="00972ACA" w:rsidP="003C1988">
      <w:pPr>
        <w:spacing w:after="0"/>
        <w:rPr>
          <w:rFonts w:ascii="Times New Roman" w:eastAsia="Arial" w:hAnsi="Times New Roman" w:cs="Times New Roman"/>
          <w:sz w:val="24"/>
          <w:szCs w:val="24"/>
        </w:rPr>
      </w:pPr>
      <w:r w:rsidRPr="00972ACA">
        <w:rPr>
          <w:rFonts w:ascii="Times New Roman" w:eastAsia="Arial" w:hAnsi="Times New Roman" w:cs="Times New Roman"/>
          <w:sz w:val="24"/>
          <w:szCs w:val="24"/>
        </w:rPr>
        <w:t>Według badania AES 1,3% osób w wieku</w:t>
      </w:r>
      <w:r w:rsidRPr="00972ACA">
        <w:rPr>
          <w:rFonts w:ascii="Times New Roman" w:eastAsia="Arial" w:hAnsi="Times New Roman" w:cs="Times New Roman"/>
          <w:b/>
          <w:sz w:val="24"/>
          <w:szCs w:val="24"/>
        </w:rPr>
        <w:t xml:space="preserve"> 55-64 lata</w:t>
      </w:r>
      <w:r w:rsidRPr="00972ACA">
        <w:rPr>
          <w:rFonts w:ascii="Times New Roman" w:eastAsia="Arial" w:hAnsi="Times New Roman" w:cs="Times New Roman"/>
          <w:sz w:val="24"/>
          <w:szCs w:val="24"/>
        </w:rPr>
        <w:t xml:space="preserve"> uczestniczyło w UE w edukacji formalnej w okresie 12 miesięcy przed badaniem (w odniesieniu do Pol</w:t>
      </w:r>
      <w:r>
        <w:rPr>
          <w:rFonts w:ascii="Times New Roman" w:eastAsia="Arial" w:hAnsi="Times New Roman" w:cs="Times New Roman"/>
          <w:sz w:val="24"/>
          <w:szCs w:val="24"/>
        </w:rPr>
        <w:t xml:space="preserve">ski brak jest danych ze wzglądu </w:t>
      </w:r>
      <w:r w:rsidRPr="00972ACA">
        <w:rPr>
          <w:rFonts w:ascii="Times New Roman" w:eastAsia="Arial" w:hAnsi="Times New Roman" w:cs="Times New Roman"/>
          <w:sz w:val="24"/>
          <w:szCs w:val="24"/>
        </w:rPr>
        <w:t>na zbyt małą liczebność takich osób w próbie statystycznej). Tymczasem w edukacji pozaformalnej uczestniczyło aż 32,4% w UE i 13,3% w Polsce.</w:t>
      </w:r>
    </w:p>
    <w:p w14:paraId="7AAD32B2" w14:textId="77777777" w:rsidR="001C61EE" w:rsidRPr="00972ACA" w:rsidRDefault="001C61EE" w:rsidP="003C1988">
      <w:pPr>
        <w:spacing w:after="0"/>
        <w:rPr>
          <w:rFonts w:ascii="Times New Roman" w:eastAsia="Arial" w:hAnsi="Times New Roman" w:cs="Times New Roman"/>
          <w:sz w:val="24"/>
          <w:szCs w:val="24"/>
        </w:rPr>
      </w:pPr>
    </w:p>
    <w:p w14:paraId="617EC9FA" w14:textId="1FB26E4A" w:rsidR="00A5092A" w:rsidRPr="00A5092A" w:rsidRDefault="00A5092A" w:rsidP="00A5092A">
      <w:pPr>
        <w:pStyle w:val="Legenda"/>
        <w:keepNext/>
        <w:jc w:val="both"/>
        <w:rPr>
          <w:rFonts w:ascii="Times New Roman" w:hAnsi="Times New Roman" w:cs="Times New Roman"/>
          <w:b/>
          <w:i w:val="0"/>
          <w:sz w:val="24"/>
        </w:rPr>
      </w:pPr>
      <w:bookmarkStart w:id="112" w:name="_Toc49171456"/>
      <w:r w:rsidRPr="00A5092A">
        <w:rPr>
          <w:rFonts w:ascii="Times New Roman" w:hAnsi="Times New Roman" w:cs="Times New Roman"/>
          <w:b/>
          <w:i w:val="0"/>
          <w:sz w:val="24"/>
        </w:rPr>
        <w:lastRenderedPageBreak/>
        <w:t xml:space="preserve">Rysunek </w:t>
      </w:r>
      <w:r w:rsidRPr="00A5092A">
        <w:rPr>
          <w:rFonts w:ascii="Times New Roman" w:hAnsi="Times New Roman" w:cs="Times New Roman"/>
          <w:b/>
          <w:i w:val="0"/>
          <w:sz w:val="24"/>
        </w:rPr>
        <w:fldChar w:fldCharType="begin"/>
      </w:r>
      <w:r w:rsidRPr="00A5092A">
        <w:rPr>
          <w:rFonts w:ascii="Times New Roman" w:hAnsi="Times New Roman" w:cs="Times New Roman"/>
          <w:b/>
          <w:i w:val="0"/>
          <w:sz w:val="24"/>
        </w:rPr>
        <w:instrText xml:space="preserve"> SEQ Rysunek \* ARABIC </w:instrText>
      </w:r>
      <w:r w:rsidRPr="00A5092A">
        <w:rPr>
          <w:rFonts w:ascii="Times New Roman" w:hAnsi="Times New Roman" w:cs="Times New Roman"/>
          <w:b/>
          <w:i w:val="0"/>
          <w:sz w:val="24"/>
        </w:rPr>
        <w:fldChar w:fldCharType="separate"/>
      </w:r>
      <w:r w:rsidR="00C154C9">
        <w:rPr>
          <w:rFonts w:ascii="Times New Roman" w:hAnsi="Times New Roman" w:cs="Times New Roman"/>
          <w:b/>
          <w:i w:val="0"/>
          <w:noProof/>
          <w:sz w:val="24"/>
        </w:rPr>
        <w:t>10</w:t>
      </w:r>
      <w:r w:rsidRPr="00A5092A">
        <w:rPr>
          <w:rFonts w:ascii="Times New Roman" w:hAnsi="Times New Roman" w:cs="Times New Roman"/>
          <w:b/>
          <w:i w:val="0"/>
          <w:sz w:val="24"/>
        </w:rPr>
        <w:fldChar w:fldCharType="end"/>
      </w:r>
      <w:r w:rsidRPr="00A5092A">
        <w:rPr>
          <w:rFonts w:ascii="Times New Roman" w:hAnsi="Times New Roman" w:cs="Times New Roman"/>
          <w:b/>
          <w:i w:val="0"/>
          <w:sz w:val="24"/>
        </w:rPr>
        <w:t xml:space="preserve"> Odsetek osób w wieku 55-64 lata w edukacji formalnej i pozaformalną w okresie 12 miesięcy przed badaniem w Polsce na tle średniej UE w latach 2007, 2011 i 2016 (badanie Adult Education Survey)</w:t>
      </w:r>
      <w:bookmarkEnd w:id="112"/>
    </w:p>
    <w:p w14:paraId="58176AA3" w14:textId="77777777" w:rsidR="00972ACA" w:rsidRPr="00972ACA" w:rsidRDefault="00972ACA" w:rsidP="003C1988">
      <w:pPr>
        <w:spacing w:after="0"/>
        <w:rPr>
          <w:rFonts w:ascii="Times New Roman" w:eastAsia="Arial" w:hAnsi="Times New Roman" w:cs="Times New Roman"/>
          <w:b/>
          <w:sz w:val="24"/>
          <w:szCs w:val="24"/>
        </w:rPr>
      </w:pPr>
      <w:r w:rsidRPr="00972ACA">
        <w:rPr>
          <w:rFonts w:ascii="Times New Roman" w:hAnsi="Times New Roman" w:cs="Times New Roman"/>
          <w:noProof/>
          <w:sz w:val="24"/>
          <w:szCs w:val="24"/>
          <w:lang w:eastAsia="pl-PL"/>
        </w:rPr>
        <w:drawing>
          <wp:inline distT="0" distB="0" distL="0" distR="0" wp14:anchorId="2F022C68" wp14:editId="016E5B5D">
            <wp:extent cx="5709285" cy="2254103"/>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562E1DC" w14:textId="77777777" w:rsidR="00A5092A" w:rsidRPr="00A5092A" w:rsidRDefault="00A5092A" w:rsidP="00A5092A">
      <w:pPr>
        <w:spacing w:after="0"/>
        <w:rPr>
          <w:rFonts w:ascii="Times New Roman" w:eastAsia="Arial" w:hAnsi="Times New Roman" w:cs="Times New Roman"/>
          <w:b/>
          <w:szCs w:val="24"/>
        </w:rPr>
      </w:pPr>
      <w:r w:rsidRPr="00A5092A">
        <w:rPr>
          <w:rFonts w:ascii="Times New Roman" w:eastAsia="Arial" w:hAnsi="Times New Roman" w:cs="Times New Roman"/>
          <w:b/>
          <w:szCs w:val="24"/>
        </w:rPr>
        <w:t xml:space="preserve">Źródło: dane z Ministerstwa Edukacji Narodowej </w:t>
      </w:r>
    </w:p>
    <w:p w14:paraId="0D7F64F4" w14:textId="77777777" w:rsidR="001C61EE" w:rsidRDefault="001C61EE" w:rsidP="003C1988">
      <w:pPr>
        <w:spacing w:after="0"/>
        <w:rPr>
          <w:rFonts w:ascii="Times New Roman" w:eastAsia="Arial" w:hAnsi="Times New Roman" w:cs="Times New Roman"/>
          <w:sz w:val="24"/>
          <w:szCs w:val="24"/>
        </w:rPr>
      </w:pPr>
    </w:p>
    <w:p w14:paraId="6B50A8AC" w14:textId="77777777" w:rsidR="00972ACA" w:rsidRPr="00972ACA" w:rsidRDefault="00972ACA" w:rsidP="004F4FA9">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Zatem z dwóch najważniejszych badań europejskich dotyczących uczenia się dorosłych wynika, że jeśli osoby starsze uczestniczą w kształceniu i szkoleniu, zarówno w Polsce jaki i w UE, to przede wszystkim dotyczy to edukacji innej</w:t>
      </w:r>
      <w:r w:rsidR="004F4FA9">
        <w:rPr>
          <w:rFonts w:ascii="Times New Roman" w:eastAsia="Arial" w:hAnsi="Times New Roman" w:cs="Times New Roman"/>
          <w:sz w:val="24"/>
          <w:szCs w:val="24"/>
        </w:rPr>
        <w:t xml:space="preserve"> niż formalna (pozaformalnej). </w:t>
      </w:r>
      <w:r w:rsidRPr="00972ACA">
        <w:rPr>
          <w:rFonts w:ascii="Times New Roman" w:eastAsia="Arial" w:hAnsi="Times New Roman" w:cs="Times New Roman"/>
          <w:sz w:val="24"/>
          <w:szCs w:val="24"/>
        </w:rPr>
        <w:t>Edukacja pozaformalna ma wiele różnych przejawów, z których tylko część była dotychczas diagnozowana w badaniach. Najłatwiej bada się uczestnictwo w edukacji formalnej i podobnej do formalnej. Symbolem tego jest koncentracja uwagi w Polsce na uniwersytetach trzeciego wieku (UTW) jako sztandarowej formie uczenia się osób starszych. Należy jednak zdawać sobie sprawę, że nawet w dynamicznej fazie rozwoju tych instytucji (w 2018</w:t>
      </w:r>
      <w:r w:rsidR="004F4FA9">
        <w:rPr>
          <w:rFonts w:ascii="Times New Roman" w:eastAsia="Arial" w:hAnsi="Times New Roman" w:cs="Times New Roman"/>
          <w:sz w:val="24"/>
          <w:szCs w:val="24"/>
        </w:rPr>
        <w:t xml:space="preserve"> r.</w:t>
      </w:r>
      <w:r w:rsidRPr="00972ACA">
        <w:rPr>
          <w:rFonts w:ascii="Times New Roman" w:eastAsia="Arial" w:hAnsi="Times New Roman" w:cs="Times New Roman"/>
          <w:sz w:val="24"/>
          <w:szCs w:val="24"/>
        </w:rPr>
        <w:t xml:space="preserve"> działało w Polsce 640 UTW według danych GUS) uczestniczy w ich zajęciach jedynie ponad 113 tysięcy osób, w tym 83% stanowią kobiety, a prawie 12% są to osoby do 60 roku życia. Tymczasem osób od 60 roku życia jest już w Polsce ponad 9,5 mln. </w:t>
      </w:r>
    </w:p>
    <w:p w14:paraId="1063CBFE" w14:textId="77777777" w:rsidR="004F4FA9" w:rsidRDefault="004F4FA9" w:rsidP="004F4FA9">
      <w:pPr>
        <w:spacing w:after="0"/>
        <w:jc w:val="both"/>
        <w:rPr>
          <w:rFonts w:ascii="Times New Roman" w:eastAsia="Arial" w:hAnsi="Times New Roman" w:cs="Times New Roman"/>
          <w:sz w:val="24"/>
          <w:szCs w:val="24"/>
        </w:rPr>
      </w:pPr>
    </w:p>
    <w:p w14:paraId="5F958C57" w14:textId="77777777" w:rsidR="00972ACA" w:rsidRPr="00972ACA" w:rsidRDefault="00972ACA" w:rsidP="004F4FA9">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Wobec takiego wyzwania potrzebna jest lepsza niż dotychczas identyfikacja różnych form zorganizowanego uczenia się w miejscu pracy (w odniesieniu do osób starszych dotyczy to osób dobrowolnie przedłużających</w:t>
      </w:r>
      <w:r>
        <w:rPr>
          <w:rFonts w:ascii="Times New Roman" w:eastAsia="Arial" w:hAnsi="Times New Roman" w:cs="Times New Roman"/>
          <w:sz w:val="24"/>
          <w:szCs w:val="24"/>
        </w:rPr>
        <w:t xml:space="preserve"> obecność na rynku pracy) oraz </w:t>
      </w:r>
      <w:r w:rsidRPr="00972ACA">
        <w:rPr>
          <w:rFonts w:ascii="Times New Roman" w:eastAsia="Arial" w:hAnsi="Times New Roman" w:cs="Times New Roman"/>
          <w:sz w:val="24"/>
          <w:szCs w:val="24"/>
        </w:rPr>
        <w:t>w różnego rodzaju społecznościach i wspólnotach. Potrzebne jest także promowanie takich kierunków uczenia się i aktywności edukacyjnej osób starszych.</w:t>
      </w:r>
    </w:p>
    <w:p w14:paraId="0735C0DF" w14:textId="77777777" w:rsidR="004F4FA9" w:rsidRDefault="004F4FA9" w:rsidP="004F4FA9">
      <w:pPr>
        <w:spacing w:after="0"/>
        <w:jc w:val="both"/>
        <w:rPr>
          <w:rFonts w:ascii="Times New Roman" w:eastAsia="Arial" w:hAnsi="Times New Roman" w:cs="Times New Roman"/>
          <w:sz w:val="24"/>
          <w:szCs w:val="24"/>
        </w:rPr>
      </w:pPr>
    </w:p>
    <w:p w14:paraId="3434E7A1" w14:textId="77777777" w:rsidR="00972ACA" w:rsidRPr="00972ACA" w:rsidRDefault="00972ACA" w:rsidP="004F4FA9">
      <w:pPr>
        <w:spacing w:after="0"/>
        <w:jc w:val="both"/>
        <w:rPr>
          <w:rFonts w:ascii="Times New Roman" w:eastAsia="Arial" w:hAnsi="Times New Roman" w:cs="Times New Roman"/>
          <w:sz w:val="24"/>
          <w:szCs w:val="24"/>
        </w:rPr>
      </w:pPr>
      <w:r w:rsidRPr="00972ACA">
        <w:rPr>
          <w:rFonts w:ascii="Times New Roman" w:eastAsia="Arial" w:hAnsi="Times New Roman" w:cs="Times New Roman"/>
          <w:sz w:val="24"/>
          <w:szCs w:val="24"/>
        </w:rPr>
        <w:t>Uczenie takie nie sprowadza się jedynie do uczestnictwa na różnego typu wykładach. Ma ono w znacznej mierze charakter praktyczny. Ważne są dwa kierunki zorganizowanych zajęć praktycznych połączonych z zamierzonym uczeniem, które szerzej mogą angażować osoby starsze:</w:t>
      </w:r>
    </w:p>
    <w:p w14:paraId="6CA6E34D" w14:textId="77777777" w:rsidR="004F4FA9" w:rsidRDefault="00972ACA" w:rsidP="008C71A9">
      <w:pPr>
        <w:pStyle w:val="Akapitzlist"/>
        <w:numPr>
          <w:ilvl w:val="0"/>
          <w:numId w:val="340"/>
        </w:numPr>
        <w:spacing w:after="0"/>
        <w:ind w:left="360"/>
        <w:jc w:val="both"/>
        <w:rPr>
          <w:rFonts w:ascii="Times New Roman" w:eastAsia="Arial" w:hAnsi="Times New Roman" w:cs="Times New Roman"/>
          <w:sz w:val="24"/>
          <w:szCs w:val="24"/>
        </w:rPr>
      </w:pPr>
      <w:r w:rsidRPr="004F4FA9">
        <w:rPr>
          <w:rFonts w:ascii="Times New Roman" w:eastAsia="Arial" w:hAnsi="Times New Roman" w:cs="Times New Roman"/>
          <w:sz w:val="24"/>
          <w:szCs w:val="24"/>
        </w:rPr>
        <w:t xml:space="preserve">po pierwsze, są to działania ukierunkowane na umiejętności osób przedłużających dobrowolną obecność osób starszych na rynku pracy. Dotyczy to zarówno osób starszych z </w:t>
      </w:r>
      <w:r w:rsidRPr="004F4FA9">
        <w:rPr>
          <w:rFonts w:ascii="Times New Roman" w:eastAsia="Arial" w:hAnsi="Times New Roman" w:cs="Times New Roman"/>
          <w:sz w:val="24"/>
          <w:szCs w:val="24"/>
        </w:rPr>
        <w:lastRenderedPageBreak/>
        <w:t xml:space="preserve">niskimi kwalifikacjami, jak również osób z dużym doświadczeniem zawodowym, które nie utraciło aktualności, </w:t>
      </w:r>
    </w:p>
    <w:p w14:paraId="596AFCAE" w14:textId="07EDD423" w:rsidR="00972ACA" w:rsidRPr="00287912" w:rsidRDefault="0010663D" w:rsidP="00523C20">
      <w:pPr>
        <w:pStyle w:val="Akapitzlist"/>
        <w:numPr>
          <w:ilvl w:val="0"/>
          <w:numId w:val="340"/>
        </w:numPr>
        <w:spacing w:after="0"/>
        <w:ind w:left="360"/>
        <w:jc w:val="both"/>
        <w:rPr>
          <w:rFonts w:ascii="Times New Roman" w:eastAsia="Arial" w:hAnsi="Times New Roman" w:cs="Times New Roman"/>
          <w:sz w:val="24"/>
          <w:szCs w:val="24"/>
        </w:rPr>
      </w:pPr>
      <w:r>
        <w:rPr>
          <w:rFonts w:ascii="Times New Roman" w:eastAsia="Arial" w:hAnsi="Times New Roman" w:cs="Times New Roman"/>
          <w:sz w:val="24"/>
          <w:szCs w:val="24"/>
        </w:rPr>
        <w:t>p</w:t>
      </w:r>
      <w:r w:rsidR="00972ACA" w:rsidRPr="004F4FA9">
        <w:rPr>
          <w:rFonts w:ascii="Times New Roman" w:eastAsia="Arial" w:hAnsi="Times New Roman" w:cs="Times New Roman"/>
          <w:sz w:val="24"/>
          <w:szCs w:val="24"/>
        </w:rPr>
        <w:t>o drugie, są to działania ukierunkowane na ograniczanie osamotnienia osób starszych, które nie chcą lub nie są już zdolne do uczestnictwa w rynku pracy. W związku ze zmniejszaniem się liczby rodzin wielopokoleniowych i zmianami na rynku pracy (m.in. zwiększającymi migrację młodszych osób za pracą) osamotnienie osób starszych w rodzinie i społeczności lokalnej staje się coraz większym wyzwaniem. Działania ograniczające to osamotnienie mogą być prowadzone w różnego rodzaju projektach społecznych rozwijających więzi w różnych społecznościach i wspólnotach. Zaawansowane formy takich działań wymagają równoległego i zamierzonego uczenia się. Osoby biorące udział w takich działaniach mogą zdobywać nową wiedzę, umiejętności i kompetencje społeczne poprzez zajęcia praktyczne.</w:t>
      </w:r>
    </w:p>
    <w:p w14:paraId="786C74DA" w14:textId="77777777" w:rsidR="001925EB" w:rsidRPr="00AF051D" w:rsidRDefault="007E4205" w:rsidP="00835584">
      <w:pPr>
        <w:pStyle w:val="Nagwek2"/>
        <w:numPr>
          <w:ilvl w:val="1"/>
          <w:numId w:val="383"/>
        </w:numPr>
        <w:spacing w:before="240" w:after="240"/>
        <w:ind w:left="432" w:hanging="574"/>
        <w:rPr>
          <w:rFonts w:cs="Times New Roman"/>
          <w:sz w:val="40"/>
          <w:lang w:eastAsia="ar-SA"/>
        </w:rPr>
      </w:pPr>
      <w:bookmarkStart w:id="113" w:name="_Toc49171351"/>
      <w:r w:rsidRPr="00AF051D">
        <w:rPr>
          <w:rFonts w:cs="Times New Roman"/>
          <w:sz w:val="40"/>
          <w:lang w:eastAsia="ar-SA"/>
        </w:rPr>
        <w:t>M</w:t>
      </w:r>
      <w:r w:rsidR="0087360D" w:rsidRPr="00AF051D">
        <w:rPr>
          <w:rFonts w:cs="Times New Roman"/>
          <w:sz w:val="40"/>
          <w:lang w:eastAsia="ar-SA"/>
        </w:rPr>
        <w:t>inisterstwo</w:t>
      </w:r>
      <w:r w:rsidR="00475EFA" w:rsidRPr="00AF051D">
        <w:rPr>
          <w:rFonts w:cs="Times New Roman"/>
          <w:sz w:val="40"/>
          <w:lang w:eastAsia="ar-SA"/>
        </w:rPr>
        <w:t xml:space="preserve"> Środowiska</w:t>
      </w:r>
      <w:bookmarkEnd w:id="113"/>
    </w:p>
    <w:p w14:paraId="73CBC0A2" w14:textId="77777777" w:rsidR="001925EB" w:rsidRDefault="001925EB" w:rsidP="007E4205">
      <w:pPr>
        <w:pStyle w:val="Teksttreci0"/>
        <w:shd w:val="clear" w:color="auto" w:fill="auto"/>
        <w:spacing w:after="0" w:line="288" w:lineRule="exact"/>
        <w:ind w:left="20" w:right="-2" w:firstLine="0"/>
        <w:jc w:val="both"/>
        <w:rPr>
          <w:sz w:val="24"/>
        </w:rPr>
      </w:pPr>
      <w:r w:rsidRPr="00775DC2">
        <w:rPr>
          <w:color w:val="000000"/>
          <w:sz w:val="24"/>
        </w:rPr>
        <w:t>Ministerstwo Środowiska w obecnym kształcie zostało utworzone w dniu 21 marca 2020 r., niemniej jednak komórki organizacyjne, które funkcjonowały w Ministerstwie Klimatu, a które stały się częścią struktury organizacyjnej obecnego Ministerstwa Środowiska oraz jednostki organizacyjne nadzorowane obecnie przez Ministra Środowiska prowadziły w 2019 r szereg działań ułatwiających funkcjonowanie osób starszych oraz ich integrację w obszarach właściwości tych komórek organizacyjnych (działania nadzorcze) i jednostek organizacyjnych.</w:t>
      </w:r>
    </w:p>
    <w:p w14:paraId="6AAA075A" w14:textId="77777777" w:rsidR="00775DC2" w:rsidRPr="00775DC2" w:rsidRDefault="00775DC2" w:rsidP="00775DC2">
      <w:pPr>
        <w:pStyle w:val="Teksttreci0"/>
        <w:shd w:val="clear" w:color="auto" w:fill="auto"/>
        <w:spacing w:after="0" w:line="288" w:lineRule="exact"/>
        <w:ind w:left="20" w:right="600" w:firstLine="0"/>
        <w:jc w:val="both"/>
        <w:rPr>
          <w:sz w:val="24"/>
          <w:szCs w:val="24"/>
        </w:rPr>
      </w:pPr>
    </w:p>
    <w:p w14:paraId="17E8F551" w14:textId="69B5BB71" w:rsidR="005F20F3" w:rsidRPr="005F20F3" w:rsidRDefault="005F20F3" w:rsidP="005F20F3">
      <w:pPr>
        <w:pStyle w:val="Legenda"/>
        <w:keepNext/>
        <w:jc w:val="both"/>
        <w:rPr>
          <w:rFonts w:ascii="Times New Roman" w:hAnsi="Times New Roman" w:cs="Times New Roman"/>
          <w:b/>
          <w:i w:val="0"/>
          <w:sz w:val="24"/>
        </w:rPr>
      </w:pPr>
      <w:bookmarkStart w:id="114" w:name="_Toc49171429"/>
      <w:r w:rsidRPr="005F20F3">
        <w:rPr>
          <w:rFonts w:ascii="Times New Roman" w:hAnsi="Times New Roman" w:cs="Times New Roman"/>
          <w:b/>
          <w:i w:val="0"/>
          <w:sz w:val="24"/>
        </w:rPr>
        <w:t xml:space="preserve">Tabela </w:t>
      </w:r>
      <w:r w:rsidRPr="005F20F3">
        <w:rPr>
          <w:rFonts w:ascii="Times New Roman" w:hAnsi="Times New Roman" w:cs="Times New Roman"/>
          <w:b/>
          <w:i w:val="0"/>
          <w:sz w:val="24"/>
        </w:rPr>
        <w:fldChar w:fldCharType="begin"/>
      </w:r>
      <w:r w:rsidRPr="005F20F3">
        <w:rPr>
          <w:rFonts w:ascii="Times New Roman" w:hAnsi="Times New Roman" w:cs="Times New Roman"/>
          <w:b/>
          <w:i w:val="0"/>
          <w:sz w:val="24"/>
        </w:rPr>
        <w:instrText xml:space="preserve"> SEQ Tabela \* ARABIC </w:instrText>
      </w:r>
      <w:r w:rsidRPr="005F20F3">
        <w:rPr>
          <w:rFonts w:ascii="Times New Roman" w:hAnsi="Times New Roman" w:cs="Times New Roman"/>
          <w:b/>
          <w:i w:val="0"/>
          <w:sz w:val="24"/>
        </w:rPr>
        <w:fldChar w:fldCharType="separate"/>
      </w:r>
      <w:r w:rsidR="00C154C9">
        <w:rPr>
          <w:rFonts w:ascii="Times New Roman" w:hAnsi="Times New Roman" w:cs="Times New Roman"/>
          <w:b/>
          <w:i w:val="0"/>
          <w:noProof/>
          <w:sz w:val="24"/>
        </w:rPr>
        <w:t>54</w:t>
      </w:r>
      <w:r w:rsidRPr="005F20F3">
        <w:rPr>
          <w:rFonts w:ascii="Times New Roman" w:hAnsi="Times New Roman" w:cs="Times New Roman"/>
          <w:b/>
          <w:i w:val="0"/>
          <w:sz w:val="24"/>
        </w:rPr>
        <w:fldChar w:fldCharType="end"/>
      </w:r>
      <w:r w:rsidRPr="005F20F3">
        <w:rPr>
          <w:rFonts w:ascii="Times New Roman" w:hAnsi="Times New Roman" w:cs="Times New Roman"/>
          <w:b/>
          <w:i w:val="0"/>
          <w:sz w:val="24"/>
        </w:rPr>
        <w:t xml:space="preserve"> Działania Parków Narodowych w 2019 r. ułatwiające lub zachęcające osoby starsze do korzystania z oferty Parków</w:t>
      </w:r>
      <w:bookmarkEnd w:id="114"/>
    </w:p>
    <w:tbl>
      <w:tblPr>
        <w:tblStyle w:val="Tabela-Siatka"/>
        <w:tblW w:w="0" w:type="auto"/>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ook w:val="04A0" w:firstRow="1" w:lastRow="0" w:firstColumn="1" w:lastColumn="0" w:noHBand="0" w:noVBand="1"/>
      </w:tblPr>
      <w:tblGrid>
        <w:gridCol w:w="721"/>
        <w:gridCol w:w="2788"/>
        <w:gridCol w:w="1577"/>
        <w:gridCol w:w="3964"/>
      </w:tblGrid>
      <w:tr w:rsidR="008860CE" w:rsidRPr="00DD18EA" w14:paraId="43285C36" w14:textId="77777777" w:rsidTr="00DD18EA">
        <w:tc>
          <w:tcPr>
            <w:tcW w:w="721" w:type="dxa"/>
            <w:shd w:val="clear" w:color="auto" w:fill="9CC2E5" w:themeFill="accent1" w:themeFillTint="99"/>
            <w:vAlign w:val="center"/>
          </w:tcPr>
          <w:p w14:paraId="5F17F44C"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Lp.</w:t>
            </w:r>
          </w:p>
        </w:tc>
        <w:tc>
          <w:tcPr>
            <w:tcW w:w="2791" w:type="dxa"/>
            <w:shd w:val="clear" w:color="auto" w:fill="9CC2E5" w:themeFill="accent1" w:themeFillTint="99"/>
            <w:vAlign w:val="center"/>
          </w:tcPr>
          <w:p w14:paraId="3503F994"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Nazwa zadania</w:t>
            </w:r>
          </w:p>
        </w:tc>
        <w:tc>
          <w:tcPr>
            <w:tcW w:w="1578" w:type="dxa"/>
            <w:shd w:val="clear" w:color="auto" w:fill="9CC2E5" w:themeFill="accent1" w:themeFillTint="99"/>
            <w:vAlign w:val="center"/>
          </w:tcPr>
          <w:p w14:paraId="748A60CE"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Termin realizacji /wdrożenia</w:t>
            </w:r>
          </w:p>
        </w:tc>
        <w:tc>
          <w:tcPr>
            <w:tcW w:w="3970" w:type="dxa"/>
            <w:shd w:val="clear" w:color="auto" w:fill="9CC2E5" w:themeFill="accent1" w:themeFillTint="99"/>
            <w:vAlign w:val="center"/>
          </w:tcPr>
          <w:p w14:paraId="7BB0A7F5"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Krótki opis zadania</w:t>
            </w:r>
          </w:p>
        </w:tc>
      </w:tr>
      <w:tr w:rsidR="008860CE" w:rsidRPr="00DD18EA" w14:paraId="3997921B" w14:textId="77777777" w:rsidTr="00DD18EA">
        <w:tc>
          <w:tcPr>
            <w:tcW w:w="9060" w:type="dxa"/>
            <w:gridSpan w:val="4"/>
            <w:shd w:val="clear" w:color="auto" w:fill="9CC2E5" w:themeFill="accent1" w:themeFillTint="99"/>
          </w:tcPr>
          <w:p w14:paraId="7E666758"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Babiogórski Park Narodowy</w:t>
            </w:r>
          </w:p>
        </w:tc>
      </w:tr>
      <w:tr w:rsidR="008860CE" w:rsidRPr="00DD18EA" w14:paraId="7D81DBAA" w14:textId="77777777" w:rsidTr="00DD18EA">
        <w:tc>
          <w:tcPr>
            <w:tcW w:w="721" w:type="dxa"/>
            <w:shd w:val="clear" w:color="auto" w:fill="9CC2E5" w:themeFill="accent1" w:themeFillTint="99"/>
          </w:tcPr>
          <w:p w14:paraId="06CCE875"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7DFE916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Mapy plastyczne dla osób słabowidzących i niewidomych</w:t>
            </w:r>
          </w:p>
        </w:tc>
        <w:tc>
          <w:tcPr>
            <w:tcW w:w="1578" w:type="dxa"/>
          </w:tcPr>
          <w:p w14:paraId="2A1C8EB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 i nadal</w:t>
            </w:r>
          </w:p>
        </w:tc>
        <w:tc>
          <w:tcPr>
            <w:tcW w:w="3970" w:type="dxa"/>
          </w:tcPr>
          <w:p w14:paraId="249B867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Mapy plastyczne są dostosowane do potrzeb osób słabowidzących i starszych umożliwiając im poznanie ukształtowania terenu na jakim położona jest Babia Góra, obszarów zalesionych i nieleśnych oraz zabudowanych, a także infrastruktury turystycznej. Mapy są umieszczone na Wystawie Stałej i w Ogrodzie Zmysłów.</w:t>
            </w:r>
          </w:p>
        </w:tc>
      </w:tr>
      <w:tr w:rsidR="008860CE" w:rsidRPr="00DD18EA" w14:paraId="27599549" w14:textId="77777777" w:rsidTr="00DD18EA">
        <w:tc>
          <w:tcPr>
            <w:tcW w:w="721" w:type="dxa"/>
            <w:shd w:val="clear" w:color="auto" w:fill="9CC2E5" w:themeFill="accent1" w:themeFillTint="99"/>
          </w:tcPr>
          <w:p w14:paraId="79D50C8E"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7D4F90E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Zajęcia terenowe i stacjonarne z uczestnikami Uniwersytetów Trzeciego Wieku</w:t>
            </w:r>
          </w:p>
        </w:tc>
        <w:tc>
          <w:tcPr>
            <w:tcW w:w="1578" w:type="dxa"/>
          </w:tcPr>
          <w:p w14:paraId="7076EEB8"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 i nadal</w:t>
            </w:r>
          </w:p>
        </w:tc>
        <w:tc>
          <w:tcPr>
            <w:tcW w:w="3970" w:type="dxa"/>
          </w:tcPr>
          <w:p w14:paraId="1DB0EBF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Zajęcia terenowe dla niewielkich grup prowadzone przez pracowników Parku na ścieżkach edukacyjnych. Zajęcia stacjonarne prowadzone są na terenie Wystawy stałej BgPN. Zajęcia realizowane są podczas sesji wyjazdowych uniwersytetów.</w:t>
            </w:r>
          </w:p>
        </w:tc>
      </w:tr>
      <w:tr w:rsidR="008860CE" w:rsidRPr="00DD18EA" w14:paraId="69A5B164" w14:textId="77777777" w:rsidTr="00DD18EA">
        <w:tc>
          <w:tcPr>
            <w:tcW w:w="721" w:type="dxa"/>
            <w:shd w:val="clear" w:color="auto" w:fill="9CC2E5" w:themeFill="accent1" w:themeFillTint="99"/>
          </w:tcPr>
          <w:p w14:paraId="32C0E597"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3.</w:t>
            </w:r>
          </w:p>
        </w:tc>
        <w:tc>
          <w:tcPr>
            <w:tcW w:w="2791" w:type="dxa"/>
          </w:tcPr>
          <w:p w14:paraId="2D34A40E"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Wystawa Stała BgPN wraz z projekcjami filmów i diaporam o przyrodzie Parku</w:t>
            </w:r>
          </w:p>
        </w:tc>
        <w:tc>
          <w:tcPr>
            <w:tcW w:w="1578" w:type="dxa"/>
          </w:tcPr>
          <w:p w14:paraId="57866A8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 i nadal</w:t>
            </w:r>
          </w:p>
        </w:tc>
        <w:tc>
          <w:tcPr>
            <w:tcW w:w="3970" w:type="dxa"/>
          </w:tcPr>
          <w:p w14:paraId="5AB194C8"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Wystawa prezentująca dziedzictwo przyrodnicze i kulturowe regionu dostosowana do potrzeb osób poruszających się na wózkach, jest wyposażona w windę.</w:t>
            </w:r>
          </w:p>
        </w:tc>
      </w:tr>
      <w:tr w:rsidR="008860CE" w:rsidRPr="00DD18EA" w14:paraId="56EA3FDC" w14:textId="77777777" w:rsidTr="00DD18EA">
        <w:tc>
          <w:tcPr>
            <w:tcW w:w="721" w:type="dxa"/>
            <w:shd w:val="clear" w:color="auto" w:fill="9CC2E5" w:themeFill="accent1" w:themeFillTint="99"/>
          </w:tcPr>
          <w:p w14:paraId="14934962"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4.</w:t>
            </w:r>
          </w:p>
        </w:tc>
        <w:tc>
          <w:tcPr>
            <w:tcW w:w="2791" w:type="dxa"/>
          </w:tcPr>
          <w:p w14:paraId="7172F85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Ogród Zmysłów BgPN</w:t>
            </w:r>
          </w:p>
        </w:tc>
        <w:tc>
          <w:tcPr>
            <w:tcW w:w="1578" w:type="dxa"/>
          </w:tcPr>
          <w:p w14:paraId="62ADDCD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 i nadal</w:t>
            </w:r>
          </w:p>
        </w:tc>
        <w:tc>
          <w:tcPr>
            <w:tcW w:w="3970" w:type="dxa"/>
          </w:tcPr>
          <w:p w14:paraId="42FF4AED"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Warsztaty tematyczne w ogrodzie, w którym ścieżki umożliwiają poruszanie się wózkami, </w:t>
            </w:r>
            <w:r w:rsidRPr="00DD18EA">
              <w:rPr>
                <w:rFonts w:ascii="Times New Roman" w:hAnsi="Times New Roman" w:cs="Times New Roman"/>
                <w:sz w:val="20"/>
                <w:szCs w:val="20"/>
              </w:rPr>
              <w:lastRenderedPageBreak/>
              <w:t>z podniesionymi stanowiskami, by nie trzeba było się pochylać nad roślinami w celu ich poznania co ułatwia dostępność do nich i prowadzenie obserwacji.</w:t>
            </w:r>
          </w:p>
        </w:tc>
      </w:tr>
      <w:tr w:rsidR="008860CE" w:rsidRPr="00DD18EA" w14:paraId="77EA033A" w14:textId="77777777" w:rsidTr="00DD18EA">
        <w:tc>
          <w:tcPr>
            <w:tcW w:w="721" w:type="dxa"/>
            <w:shd w:val="clear" w:color="auto" w:fill="9CC2E5" w:themeFill="accent1" w:themeFillTint="99"/>
          </w:tcPr>
          <w:p w14:paraId="73A0CBFC"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lastRenderedPageBreak/>
              <w:t>5.</w:t>
            </w:r>
          </w:p>
        </w:tc>
        <w:tc>
          <w:tcPr>
            <w:tcW w:w="2791" w:type="dxa"/>
          </w:tcPr>
          <w:p w14:paraId="7ABE866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Górny Płaj dostępny dla wszystkich</w:t>
            </w:r>
          </w:p>
        </w:tc>
        <w:tc>
          <w:tcPr>
            <w:tcW w:w="1578" w:type="dxa"/>
          </w:tcPr>
          <w:p w14:paraId="7A37AB1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 i nadal</w:t>
            </w:r>
          </w:p>
        </w:tc>
        <w:tc>
          <w:tcPr>
            <w:tcW w:w="3970" w:type="dxa"/>
          </w:tcPr>
          <w:p w14:paraId="44AB3A5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Szlak pieszy z Polany Krowiarki do schroniska na Markowych Szczawinach umożliwiający poruszanie się na wózkach osobom z dysfunkcją ruchu.</w:t>
            </w:r>
          </w:p>
        </w:tc>
      </w:tr>
      <w:tr w:rsidR="008860CE" w:rsidRPr="00DD18EA" w14:paraId="06C89ED0" w14:textId="77777777" w:rsidTr="00DD18EA">
        <w:tc>
          <w:tcPr>
            <w:tcW w:w="721" w:type="dxa"/>
            <w:shd w:val="clear" w:color="auto" w:fill="9CC2E5" w:themeFill="accent1" w:themeFillTint="99"/>
          </w:tcPr>
          <w:p w14:paraId="678AD04A"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6.</w:t>
            </w:r>
          </w:p>
        </w:tc>
        <w:tc>
          <w:tcPr>
            <w:tcW w:w="2791" w:type="dxa"/>
          </w:tcPr>
          <w:p w14:paraId="5365896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Wykłady i warsztaty dla uczestników uniwersytetów trzeciego wieku i Domów Opieki Dziennej</w:t>
            </w:r>
          </w:p>
        </w:tc>
        <w:tc>
          <w:tcPr>
            <w:tcW w:w="1578" w:type="dxa"/>
          </w:tcPr>
          <w:p w14:paraId="79557BE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 i nadal</w:t>
            </w:r>
          </w:p>
        </w:tc>
        <w:tc>
          <w:tcPr>
            <w:tcW w:w="3970" w:type="dxa"/>
          </w:tcPr>
          <w:p w14:paraId="5F7E2E7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Wykłady i warsztaty wyjazdowe prezentujące przyrodę prowadzone przez pracowników Parku z wykorzystaniem sprzętu multimedialnego.</w:t>
            </w:r>
          </w:p>
        </w:tc>
      </w:tr>
      <w:tr w:rsidR="008860CE" w:rsidRPr="00DD18EA" w14:paraId="7F4C3439" w14:textId="77777777" w:rsidTr="00DD18EA">
        <w:tc>
          <w:tcPr>
            <w:tcW w:w="721" w:type="dxa"/>
            <w:shd w:val="clear" w:color="auto" w:fill="9CC2E5" w:themeFill="accent1" w:themeFillTint="99"/>
          </w:tcPr>
          <w:p w14:paraId="59814B68"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7.</w:t>
            </w:r>
          </w:p>
        </w:tc>
        <w:tc>
          <w:tcPr>
            <w:tcW w:w="2791" w:type="dxa"/>
          </w:tcPr>
          <w:p w14:paraId="5036B75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Wystawy czasowe i wernisaże </w:t>
            </w:r>
          </w:p>
        </w:tc>
        <w:tc>
          <w:tcPr>
            <w:tcW w:w="1578" w:type="dxa"/>
          </w:tcPr>
          <w:p w14:paraId="5E234C6E"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 i nadal</w:t>
            </w:r>
          </w:p>
        </w:tc>
        <w:tc>
          <w:tcPr>
            <w:tcW w:w="3970" w:type="dxa"/>
          </w:tcPr>
          <w:p w14:paraId="0B380609"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Współpraca z Domami Opieki Dziennej i Domami Pomocy Społecznej w organizacji tematycznych wystaw czasowych eksponatów przygotowanych przez ich pensjonariuszy. Zapraszanie ich uczestników wraz z rodzinami na uroczyste wernisaże.</w:t>
            </w:r>
          </w:p>
        </w:tc>
      </w:tr>
      <w:tr w:rsidR="008860CE" w:rsidRPr="00DD18EA" w14:paraId="07702F2D" w14:textId="77777777" w:rsidTr="00DD18EA">
        <w:tc>
          <w:tcPr>
            <w:tcW w:w="721" w:type="dxa"/>
            <w:shd w:val="clear" w:color="auto" w:fill="9CC2E5" w:themeFill="accent1" w:themeFillTint="99"/>
          </w:tcPr>
          <w:p w14:paraId="297C6E50"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8.</w:t>
            </w:r>
          </w:p>
        </w:tc>
        <w:tc>
          <w:tcPr>
            <w:tcW w:w="2791" w:type="dxa"/>
          </w:tcPr>
          <w:p w14:paraId="25A0B36E"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Projekt „Dla Babiogórskich Zapylaczy”</w:t>
            </w:r>
          </w:p>
        </w:tc>
        <w:tc>
          <w:tcPr>
            <w:tcW w:w="1578" w:type="dxa"/>
          </w:tcPr>
          <w:p w14:paraId="2110379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0630566C"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Współpraca z Gminnym Ośrodkiem Opieki Społecznej w Zawoi i Domem Opieki Dziennej przy realizacji projektu „Dla Babiogórskich Zapylaczy”. Wspólne sadzenie roślin, krzewów i drzew miododajnych oraz prelekcje dla uczestników o gatunkach roślin miododajnych i owadach zapylających.</w:t>
            </w:r>
          </w:p>
        </w:tc>
      </w:tr>
      <w:tr w:rsidR="008860CE" w:rsidRPr="00DD18EA" w14:paraId="7B892A38" w14:textId="77777777" w:rsidTr="00DD18EA">
        <w:tc>
          <w:tcPr>
            <w:tcW w:w="721" w:type="dxa"/>
            <w:shd w:val="clear" w:color="auto" w:fill="9CC2E5" w:themeFill="accent1" w:themeFillTint="99"/>
          </w:tcPr>
          <w:p w14:paraId="75CE7ED4"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9.</w:t>
            </w:r>
          </w:p>
        </w:tc>
        <w:tc>
          <w:tcPr>
            <w:tcW w:w="2791" w:type="dxa"/>
          </w:tcPr>
          <w:p w14:paraId="0DE46EAC"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Spacery Przyrodnicze</w:t>
            </w:r>
          </w:p>
        </w:tc>
        <w:tc>
          <w:tcPr>
            <w:tcW w:w="1578" w:type="dxa"/>
          </w:tcPr>
          <w:p w14:paraId="0F76867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 i nadal</w:t>
            </w:r>
          </w:p>
        </w:tc>
        <w:tc>
          <w:tcPr>
            <w:tcW w:w="3970" w:type="dxa"/>
          </w:tcPr>
          <w:p w14:paraId="51105B3E"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Spacery dostosowane do wieku uczestników, w czasie których omawiane są zagadnienia z zakresu ochrony przyrody i gatunków które występują na obszarze Babiej Góry. Realizowane są w niewielkich grupach z pracownikiem Parku w niedzielne popołudnie w okresie wakacyjnym.</w:t>
            </w:r>
          </w:p>
        </w:tc>
      </w:tr>
      <w:tr w:rsidR="008860CE" w:rsidRPr="00DD18EA" w14:paraId="354E133C" w14:textId="77777777" w:rsidTr="00DD18EA">
        <w:tc>
          <w:tcPr>
            <w:tcW w:w="9060" w:type="dxa"/>
            <w:gridSpan w:val="4"/>
            <w:shd w:val="clear" w:color="auto" w:fill="9CC2E5" w:themeFill="accent1" w:themeFillTint="99"/>
          </w:tcPr>
          <w:p w14:paraId="5825983C"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Białowieski Park Narodowy</w:t>
            </w:r>
          </w:p>
        </w:tc>
      </w:tr>
      <w:tr w:rsidR="008860CE" w:rsidRPr="00DD18EA" w14:paraId="2112AE6C" w14:textId="77777777" w:rsidTr="00DD18EA">
        <w:tc>
          <w:tcPr>
            <w:tcW w:w="721" w:type="dxa"/>
            <w:shd w:val="clear" w:color="auto" w:fill="9CC2E5" w:themeFill="accent1" w:themeFillTint="99"/>
          </w:tcPr>
          <w:p w14:paraId="0F44ABAF"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587B059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Dostępność treści dla osób o osłabionych wiekiem zmysłach wzroku i słuchu</w:t>
            </w:r>
          </w:p>
        </w:tc>
        <w:tc>
          <w:tcPr>
            <w:tcW w:w="1578" w:type="dxa"/>
          </w:tcPr>
          <w:p w14:paraId="0292EB8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całoroczne działanie cykliczne</w:t>
            </w:r>
          </w:p>
        </w:tc>
        <w:tc>
          <w:tcPr>
            <w:tcW w:w="3970" w:type="dxa"/>
          </w:tcPr>
          <w:p w14:paraId="5962097C"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Materiały audiowizualne wykorzystywane w obiektach Parku zostały przygotowane oraz utrzymywane są w standardach dostępności dla osób starszych o osłabionych wiekiem zmysłach wzroku i słuchu (możliwość skutecznego zwiększenia głośności ścieżek dźwiękowych w audio-przewodnikach; kontrastowe i czytelne czcionki użyte na tablicach informacyjnych).</w:t>
            </w:r>
          </w:p>
        </w:tc>
      </w:tr>
      <w:tr w:rsidR="008860CE" w:rsidRPr="00DD18EA" w14:paraId="6CCA6444" w14:textId="77777777" w:rsidTr="00DD18EA">
        <w:tc>
          <w:tcPr>
            <w:tcW w:w="721" w:type="dxa"/>
            <w:shd w:val="clear" w:color="auto" w:fill="9CC2E5" w:themeFill="accent1" w:themeFillTint="99"/>
          </w:tcPr>
          <w:p w14:paraId="64BA1D94"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530DA762"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Integracja międzypokoleniowa</w:t>
            </w:r>
          </w:p>
        </w:tc>
        <w:tc>
          <w:tcPr>
            <w:tcW w:w="1578" w:type="dxa"/>
          </w:tcPr>
          <w:p w14:paraId="4DDB34A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całoroczne działanie cykliczne</w:t>
            </w:r>
          </w:p>
        </w:tc>
        <w:tc>
          <w:tcPr>
            <w:tcW w:w="3970" w:type="dxa"/>
          </w:tcPr>
          <w:p w14:paraId="6D80445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Realizowano programy i działania edukacyjne skierowane do adresatów reprezentujących społeczność dorosłych,  bez ograniczeń wiekowych, włączając ludzi starszych – np. emerytów. Były to zarówno działania o charakterze typowo edukacyjno-promocyjnym, przybliżającym obiekty parku, jak też programy szkoleniowe, mające za zadnie nie tylko zapoznanie z charakterystyką przyrodniczą obiektu, ale również prezentację metod edukacji, czego efektem jest realizacja edukacji przyrodniczej przez w/w osoby. </w:t>
            </w:r>
          </w:p>
        </w:tc>
      </w:tr>
      <w:tr w:rsidR="008860CE" w:rsidRPr="00DD18EA" w14:paraId="1815B0A6" w14:textId="77777777" w:rsidTr="00DD18EA">
        <w:tc>
          <w:tcPr>
            <w:tcW w:w="721" w:type="dxa"/>
            <w:shd w:val="clear" w:color="auto" w:fill="9CC2E5" w:themeFill="accent1" w:themeFillTint="99"/>
          </w:tcPr>
          <w:p w14:paraId="2B757A6B"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3.</w:t>
            </w:r>
          </w:p>
        </w:tc>
        <w:tc>
          <w:tcPr>
            <w:tcW w:w="2791" w:type="dxa"/>
          </w:tcPr>
          <w:p w14:paraId="54E61C22"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Włączanie w działania na rzecz ochrony przyrody i edukacji </w:t>
            </w:r>
          </w:p>
        </w:tc>
        <w:tc>
          <w:tcPr>
            <w:tcW w:w="1578" w:type="dxa"/>
          </w:tcPr>
          <w:p w14:paraId="1AD2263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0B10A1A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Realizowano eventy edukacyjne np. konwent żubrowy, Wilcza Noc, oraz akcje ochrony </w:t>
            </w:r>
            <w:r w:rsidRPr="00DD18EA">
              <w:rPr>
                <w:rFonts w:ascii="Times New Roman" w:hAnsi="Times New Roman" w:cs="Times New Roman"/>
                <w:sz w:val="20"/>
                <w:szCs w:val="20"/>
              </w:rPr>
              <w:lastRenderedPageBreak/>
              <w:t xml:space="preserve">przyrody, np. Akcja Czynnej Ochrony Płazów, w których przygotowaniu i realizacji uczestniczyły osoby starsze, współpracujące w tego typu działaniach z parkiem. Współpraca odbywała się na zasadach wolontariatu.   </w:t>
            </w:r>
          </w:p>
        </w:tc>
      </w:tr>
      <w:tr w:rsidR="008860CE" w:rsidRPr="00DD18EA" w14:paraId="4BDEB02F" w14:textId="77777777" w:rsidTr="00DD18EA">
        <w:tc>
          <w:tcPr>
            <w:tcW w:w="9060" w:type="dxa"/>
            <w:gridSpan w:val="4"/>
            <w:shd w:val="clear" w:color="auto" w:fill="9CC2E5" w:themeFill="accent1" w:themeFillTint="99"/>
          </w:tcPr>
          <w:p w14:paraId="1326A042"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lastRenderedPageBreak/>
              <w:t>Biebrzański Park Narodowy</w:t>
            </w:r>
          </w:p>
        </w:tc>
      </w:tr>
      <w:tr w:rsidR="008860CE" w:rsidRPr="00DD18EA" w14:paraId="5F5DA178" w14:textId="77777777" w:rsidTr="00DD18EA">
        <w:tc>
          <w:tcPr>
            <w:tcW w:w="721" w:type="dxa"/>
            <w:shd w:val="clear" w:color="auto" w:fill="9CC2E5" w:themeFill="accent1" w:themeFillTint="99"/>
          </w:tcPr>
          <w:p w14:paraId="3919DB5C"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30011B8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Wydarzenia otwarte organizowane przez Park między innymi: „Weekend Seniora z Kulturą”, „Wszechnica Biebrzańska”.</w:t>
            </w:r>
          </w:p>
        </w:tc>
        <w:tc>
          <w:tcPr>
            <w:tcW w:w="1578" w:type="dxa"/>
          </w:tcPr>
          <w:p w14:paraId="358B0D3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 r. - 2030</w:t>
            </w:r>
          </w:p>
        </w:tc>
        <w:tc>
          <w:tcPr>
            <w:tcW w:w="3970" w:type="dxa"/>
          </w:tcPr>
          <w:p w14:paraId="3286259C"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Prelekcje o tematyce przyrodniczej, warsztaty, wycieczki terenowe.</w:t>
            </w:r>
          </w:p>
        </w:tc>
      </w:tr>
      <w:tr w:rsidR="008860CE" w:rsidRPr="00DD18EA" w14:paraId="2AE18062" w14:textId="77777777" w:rsidTr="00DD18EA">
        <w:tc>
          <w:tcPr>
            <w:tcW w:w="9060" w:type="dxa"/>
            <w:gridSpan w:val="4"/>
            <w:shd w:val="clear" w:color="auto" w:fill="9CC2E5" w:themeFill="accent1" w:themeFillTint="99"/>
          </w:tcPr>
          <w:p w14:paraId="26086398"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Bieszczadzki Park Narodowy</w:t>
            </w:r>
          </w:p>
        </w:tc>
      </w:tr>
      <w:tr w:rsidR="008860CE" w:rsidRPr="00DD18EA" w14:paraId="2D94E0E7" w14:textId="77777777" w:rsidTr="00DD18EA">
        <w:tc>
          <w:tcPr>
            <w:tcW w:w="721" w:type="dxa"/>
            <w:shd w:val="clear" w:color="auto" w:fill="9CC2E5" w:themeFill="accent1" w:themeFillTint="99"/>
          </w:tcPr>
          <w:p w14:paraId="2806F1FD"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2D7E4E3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Tworzenie szlaków o większej dostępności wraz z infrastrukturą terenową </w:t>
            </w:r>
          </w:p>
        </w:tc>
        <w:tc>
          <w:tcPr>
            <w:tcW w:w="1578" w:type="dxa"/>
          </w:tcPr>
          <w:p w14:paraId="618AEBD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2985A358"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1.Otwarcie nowych odcinków szlaków turystycznych oraz ścieżek przyrodniczych, o łagodnym przebiegu, odpowiednich m.in. dla osób starszych, np. Tarnawa Niżna – Dźwiniacz Górny, Przełęcz Wyżna – Dział, ścieżka po torfowisku wysokim w Tarnawie Niżnej o długości ok. 300 m (drewniana kładka z barierami).</w:t>
            </w:r>
          </w:p>
          <w:p w14:paraId="06D8287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2.W wielu miejscach na podejściach wzdłuż istniejących szlaków zainstalowano stopnie oraz bariery i poręcze, które ułatwiają poruszanie.</w:t>
            </w:r>
          </w:p>
        </w:tc>
      </w:tr>
      <w:tr w:rsidR="008860CE" w:rsidRPr="00DD18EA" w14:paraId="5DC17250" w14:textId="77777777" w:rsidTr="00DD18EA">
        <w:tc>
          <w:tcPr>
            <w:tcW w:w="721" w:type="dxa"/>
            <w:shd w:val="clear" w:color="auto" w:fill="9CC2E5" w:themeFill="accent1" w:themeFillTint="99"/>
          </w:tcPr>
          <w:p w14:paraId="4384D3F0"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59C365BE" w14:textId="77777777" w:rsidR="008860CE" w:rsidRPr="00DD18EA" w:rsidRDefault="008860CE" w:rsidP="00DD18EA">
            <w:pPr>
              <w:spacing w:after="0" w:line="240" w:lineRule="auto"/>
              <w:rPr>
                <w:rFonts w:ascii="Times New Roman" w:hAnsi="Times New Roman" w:cs="Times New Roman"/>
                <w:bCs/>
                <w:sz w:val="20"/>
                <w:szCs w:val="20"/>
              </w:rPr>
            </w:pPr>
            <w:r w:rsidRPr="00DD18EA">
              <w:rPr>
                <w:rFonts w:ascii="Times New Roman" w:hAnsi="Times New Roman" w:cs="Times New Roman"/>
                <w:bCs/>
                <w:sz w:val="20"/>
                <w:szCs w:val="20"/>
              </w:rPr>
              <w:t xml:space="preserve">Likwidacja barier architektonicznych oraz zwiększenie dostępności obiektów edukacyjnych Bieszczadzkiego Parku Narodowego. </w:t>
            </w:r>
          </w:p>
          <w:p w14:paraId="382315C5" w14:textId="77777777" w:rsidR="008860CE" w:rsidRPr="00DD18EA" w:rsidRDefault="008860CE" w:rsidP="00DD18EA">
            <w:pPr>
              <w:spacing w:after="0" w:line="240" w:lineRule="auto"/>
              <w:rPr>
                <w:rFonts w:ascii="Times New Roman" w:hAnsi="Times New Roman" w:cs="Times New Roman"/>
                <w:bCs/>
                <w:sz w:val="20"/>
                <w:szCs w:val="20"/>
              </w:rPr>
            </w:pPr>
          </w:p>
        </w:tc>
        <w:tc>
          <w:tcPr>
            <w:tcW w:w="1578" w:type="dxa"/>
          </w:tcPr>
          <w:p w14:paraId="3507080D" w14:textId="77777777" w:rsidR="008860CE" w:rsidRPr="00DD18EA" w:rsidRDefault="008860CE" w:rsidP="00DD18EA">
            <w:pPr>
              <w:spacing w:after="0" w:line="240" w:lineRule="auto"/>
              <w:rPr>
                <w:rFonts w:ascii="Times New Roman" w:hAnsi="Times New Roman" w:cs="Times New Roman"/>
                <w:bCs/>
                <w:sz w:val="20"/>
                <w:szCs w:val="20"/>
              </w:rPr>
            </w:pPr>
            <w:r w:rsidRPr="00DD18EA">
              <w:rPr>
                <w:rFonts w:ascii="Times New Roman" w:hAnsi="Times New Roman" w:cs="Times New Roman"/>
                <w:bCs/>
                <w:sz w:val="20"/>
                <w:szCs w:val="20"/>
              </w:rPr>
              <w:t>2019</w:t>
            </w:r>
          </w:p>
        </w:tc>
        <w:tc>
          <w:tcPr>
            <w:tcW w:w="3970" w:type="dxa"/>
          </w:tcPr>
          <w:p w14:paraId="69CC9A42" w14:textId="77777777" w:rsidR="008860CE" w:rsidRPr="00DD18EA" w:rsidRDefault="008860CE" w:rsidP="00DD18EA">
            <w:pPr>
              <w:spacing w:after="0" w:line="240" w:lineRule="auto"/>
              <w:rPr>
                <w:rFonts w:ascii="Times New Roman" w:hAnsi="Times New Roman" w:cs="Times New Roman"/>
                <w:bCs/>
                <w:sz w:val="20"/>
                <w:szCs w:val="20"/>
              </w:rPr>
            </w:pPr>
            <w:r w:rsidRPr="00DD18EA">
              <w:rPr>
                <w:rFonts w:ascii="Times New Roman" w:hAnsi="Times New Roman" w:cs="Times New Roman"/>
                <w:bCs/>
                <w:sz w:val="20"/>
                <w:szCs w:val="20"/>
              </w:rPr>
              <w:t xml:space="preserve">1. W maju 2019 r. został oddany do zwiedzania ogród edukacyjny przy Terenowej Stacji Edukacji Ekologicznej w Wołosatem, przystosowany dla osób starszych oraz poruszających się na wózkach. Ogród stwarza możliwość poznania roślin występujących m.in. w wyższych położeniach (w tym na połoninach), które ze względu na ograniczenia związane z poruszaniem się w górskim terenie mogą być niedostępne do zobaczenia w naturze.  </w:t>
            </w:r>
          </w:p>
          <w:p w14:paraId="6946D760" w14:textId="77777777" w:rsidR="008860CE" w:rsidRPr="00DD18EA" w:rsidRDefault="008860CE" w:rsidP="00DD18EA">
            <w:pPr>
              <w:spacing w:after="0" w:line="240" w:lineRule="auto"/>
              <w:rPr>
                <w:rFonts w:ascii="Times New Roman" w:hAnsi="Times New Roman" w:cs="Times New Roman"/>
                <w:bCs/>
                <w:sz w:val="20"/>
                <w:szCs w:val="20"/>
              </w:rPr>
            </w:pPr>
            <w:r w:rsidRPr="00DD18EA">
              <w:rPr>
                <w:rFonts w:ascii="Times New Roman" w:hAnsi="Times New Roman" w:cs="Times New Roman"/>
                <w:bCs/>
                <w:sz w:val="20"/>
                <w:szCs w:val="20"/>
              </w:rPr>
              <w:t xml:space="preserve">2. W IV kwartale 2019 r. została ukończona modernizacja stacji edukacji ekologicznej w Suchych Rzekach. Obiekt ten jest dostępny dla osób starszych oraz niepełnosprawnych poruszających się na wózkach. </w:t>
            </w:r>
          </w:p>
        </w:tc>
      </w:tr>
      <w:tr w:rsidR="008860CE" w:rsidRPr="00DD18EA" w14:paraId="20F55536" w14:textId="77777777" w:rsidTr="00DD18EA">
        <w:tc>
          <w:tcPr>
            <w:tcW w:w="721" w:type="dxa"/>
            <w:shd w:val="clear" w:color="auto" w:fill="9CC2E5" w:themeFill="accent1" w:themeFillTint="99"/>
          </w:tcPr>
          <w:p w14:paraId="614B4B3D"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3.</w:t>
            </w:r>
          </w:p>
        </w:tc>
        <w:tc>
          <w:tcPr>
            <w:tcW w:w="2791" w:type="dxa"/>
          </w:tcPr>
          <w:p w14:paraId="20925DBF" w14:textId="77777777" w:rsidR="008860CE" w:rsidRPr="00DD18EA" w:rsidRDefault="008860CE" w:rsidP="00DD18EA">
            <w:pPr>
              <w:spacing w:after="0" w:line="240" w:lineRule="auto"/>
              <w:rPr>
                <w:rFonts w:ascii="Times New Roman" w:hAnsi="Times New Roman" w:cs="Times New Roman"/>
                <w:bCs/>
                <w:sz w:val="20"/>
                <w:szCs w:val="20"/>
              </w:rPr>
            </w:pPr>
            <w:r w:rsidRPr="00DD18EA">
              <w:rPr>
                <w:rFonts w:ascii="Times New Roman" w:hAnsi="Times New Roman" w:cs="Times New Roman"/>
                <w:bCs/>
                <w:sz w:val="20"/>
                <w:szCs w:val="20"/>
              </w:rPr>
              <w:t>Edukacja poprzez Internet</w:t>
            </w:r>
          </w:p>
        </w:tc>
        <w:tc>
          <w:tcPr>
            <w:tcW w:w="1578" w:type="dxa"/>
          </w:tcPr>
          <w:p w14:paraId="2A232228" w14:textId="77777777" w:rsidR="008860CE" w:rsidRPr="00DD18EA" w:rsidRDefault="008860CE" w:rsidP="00DD18EA">
            <w:pPr>
              <w:spacing w:after="0" w:line="240" w:lineRule="auto"/>
              <w:rPr>
                <w:rFonts w:ascii="Times New Roman" w:hAnsi="Times New Roman" w:cs="Times New Roman"/>
                <w:b/>
                <w:bCs/>
                <w:sz w:val="20"/>
                <w:szCs w:val="20"/>
              </w:rPr>
            </w:pPr>
          </w:p>
        </w:tc>
        <w:tc>
          <w:tcPr>
            <w:tcW w:w="3970" w:type="dxa"/>
          </w:tcPr>
          <w:p w14:paraId="20E23419" w14:textId="77777777" w:rsidR="008860CE" w:rsidRPr="00DD18EA" w:rsidRDefault="008860CE" w:rsidP="00DD18EA">
            <w:pPr>
              <w:spacing w:after="0" w:line="240" w:lineRule="auto"/>
              <w:rPr>
                <w:rFonts w:ascii="Times New Roman" w:hAnsi="Times New Roman" w:cs="Times New Roman"/>
                <w:bCs/>
                <w:sz w:val="20"/>
                <w:szCs w:val="20"/>
              </w:rPr>
            </w:pPr>
            <w:r w:rsidRPr="00DD18EA">
              <w:rPr>
                <w:rFonts w:ascii="Times New Roman" w:hAnsi="Times New Roman" w:cs="Times New Roman"/>
                <w:bCs/>
                <w:sz w:val="20"/>
                <w:szCs w:val="20"/>
              </w:rPr>
              <w:t>strona internetowa Parku jest przystosowana w podstawowym zakresie dla osób słabowidzących, z opcją powiększania tekstu zgodnie z międzynarodowym standardem WCAG 2.0, o odpowiednio wysokim kontraście, czytelną czcionką, logicznie rozmieszczonymi elementami nawigacyjnymi.</w:t>
            </w:r>
          </w:p>
        </w:tc>
      </w:tr>
      <w:tr w:rsidR="008860CE" w:rsidRPr="00DD18EA" w14:paraId="761AA41E" w14:textId="77777777" w:rsidTr="00DD18EA">
        <w:tc>
          <w:tcPr>
            <w:tcW w:w="9060" w:type="dxa"/>
            <w:gridSpan w:val="4"/>
            <w:shd w:val="clear" w:color="auto" w:fill="9CC2E5" w:themeFill="accent1" w:themeFillTint="99"/>
          </w:tcPr>
          <w:p w14:paraId="7ED2BFF2"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Park Narodowy „Bory Tucholskie”</w:t>
            </w:r>
          </w:p>
        </w:tc>
      </w:tr>
      <w:tr w:rsidR="008860CE" w:rsidRPr="00DD18EA" w14:paraId="235FD0FC" w14:textId="77777777" w:rsidTr="00DD18EA">
        <w:tc>
          <w:tcPr>
            <w:tcW w:w="721" w:type="dxa"/>
            <w:shd w:val="clear" w:color="auto" w:fill="9CC2E5" w:themeFill="accent1" w:themeFillTint="99"/>
          </w:tcPr>
          <w:p w14:paraId="771700D1"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48873DB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Czwartkowe spotkania z przyrodą</w:t>
            </w:r>
          </w:p>
        </w:tc>
        <w:tc>
          <w:tcPr>
            <w:tcW w:w="1578" w:type="dxa"/>
          </w:tcPr>
          <w:p w14:paraId="0758B0E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bezterminowo - od 2004 roku</w:t>
            </w:r>
          </w:p>
        </w:tc>
        <w:tc>
          <w:tcPr>
            <w:tcW w:w="3970" w:type="dxa"/>
          </w:tcPr>
          <w:p w14:paraId="7087C36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Są to wykłady o różnej tematyce przyrodniczej i kulturowej przeznaczone dla osób dorosłych. Odbywają się one sześć razy do roku. Uczestnikami są m. in. studenci Uniwersytetów Trzeciego Wieku. Park współpracuje z czterema Uniwersytetami Trzeciego Wieku. Każdorazowo wysyłane są </w:t>
            </w:r>
            <w:r w:rsidRPr="00DD18EA">
              <w:rPr>
                <w:rFonts w:ascii="Times New Roman" w:hAnsi="Times New Roman" w:cs="Times New Roman"/>
                <w:sz w:val="20"/>
                <w:szCs w:val="20"/>
              </w:rPr>
              <w:lastRenderedPageBreak/>
              <w:t>do nich zaproszenia. Informacje ukazują się również w lokalnej prasie, na stronie internetowej Parku oraz na plakatach.</w:t>
            </w:r>
          </w:p>
        </w:tc>
      </w:tr>
      <w:tr w:rsidR="008860CE" w:rsidRPr="00DD18EA" w14:paraId="33E69E76" w14:textId="77777777" w:rsidTr="00DD18EA">
        <w:tc>
          <w:tcPr>
            <w:tcW w:w="721" w:type="dxa"/>
            <w:shd w:val="clear" w:color="auto" w:fill="9CC2E5" w:themeFill="accent1" w:themeFillTint="99"/>
          </w:tcPr>
          <w:p w14:paraId="2DE11E8D"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lastRenderedPageBreak/>
              <w:t>2.</w:t>
            </w:r>
          </w:p>
        </w:tc>
        <w:tc>
          <w:tcPr>
            <w:tcW w:w="2791" w:type="dxa"/>
          </w:tcPr>
          <w:p w14:paraId="305DDA3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Wykłady i zajęcia edukacyjne w sali.</w:t>
            </w:r>
          </w:p>
        </w:tc>
        <w:tc>
          <w:tcPr>
            <w:tcW w:w="1578" w:type="dxa"/>
          </w:tcPr>
          <w:p w14:paraId="1B8A604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bezterminowo - od 1997 roku</w:t>
            </w:r>
          </w:p>
        </w:tc>
        <w:tc>
          <w:tcPr>
            <w:tcW w:w="3970" w:type="dxa"/>
          </w:tcPr>
          <w:p w14:paraId="269B6E6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Park prowadzi na specjalne zamówienia wykłady nt. Parku oraz zajęcia warsztatowe.  Z tej formy chętnie korzystają zorganizowane grupy emerytów. Oferta znajduje się na naszej stronie internetowej. Oferta kierowana jest również do Uniwersytetów Trzeciego Wieku.</w:t>
            </w:r>
          </w:p>
        </w:tc>
      </w:tr>
      <w:tr w:rsidR="008860CE" w:rsidRPr="00DD18EA" w14:paraId="14851FE3" w14:textId="77777777" w:rsidTr="00DD18EA">
        <w:tc>
          <w:tcPr>
            <w:tcW w:w="721" w:type="dxa"/>
            <w:shd w:val="clear" w:color="auto" w:fill="9CC2E5" w:themeFill="accent1" w:themeFillTint="99"/>
          </w:tcPr>
          <w:p w14:paraId="3159EE2F"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3.</w:t>
            </w:r>
          </w:p>
        </w:tc>
        <w:tc>
          <w:tcPr>
            <w:tcW w:w="2791" w:type="dxa"/>
          </w:tcPr>
          <w:p w14:paraId="6213485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Wycieczki przyrodnicze po terenie Parku.</w:t>
            </w:r>
          </w:p>
        </w:tc>
        <w:tc>
          <w:tcPr>
            <w:tcW w:w="1578" w:type="dxa"/>
          </w:tcPr>
          <w:p w14:paraId="18CAB4C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bezterminowo - od 1997 roku</w:t>
            </w:r>
          </w:p>
        </w:tc>
        <w:tc>
          <w:tcPr>
            <w:tcW w:w="3970" w:type="dxa"/>
          </w:tcPr>
          <w:p w14:paraId="33851BB8"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Park prowadzi również wycieczki na specjalne zamówienia. Z tej formy chętnie korzystają zorganizowane grupy emerytów. Trasy każdorazowo dostosowywane są do ich możliwości. Oferta znajduje się na naszej stronie internetowej. Oferta kierowana jest również do Uniwersytetów Trzeciego Wieku.</w:t>
            </w:r>
          </w:p>
        </w:tc>
      </w:tr>
      <w:tr w:rsidR="008860CE" w:rsidRPr="00DD18EA" w14:paraId="484AA3AC" w14:textId="77777777" w:rsidTr="00DD18EA">
        <w:tc>
          <w:tcPr>
            <w:tcW w:w="721" w:type="dxa"/>
            <w:shd w:val="clear" w:color="auto" w:fill="9CC2E5" w:themeFill="accent1" w:themeFillTint="99"/>
          </w:tcPr>
          <w:p w14:paraId="52250A3A"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4.</w:t>
            </w:r>
          </w:p>
        </w:tc>
        <w:tc>
          <w:tcPr>
            <w:tcW w:w="2791" w:type="dxa"/>
          </w:tcPr>
          <w:p w14:paraId="720626D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Letnia Akademia Przyrodnicza</w:t>
            </w:r>
          </w:p>
        </w:tc>
        <w:tc>
          <w:tcPr>
            <w:tcW w:w="1578" w:type="dxa"/>
          </w:tcPr>
          <w:p w14:paraId="710CE2C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bezterminowo - od 2008 roku</w:t>
            </w:r>
          </w:p>
        </w:tc>
        <w:tc>
          <w:tcPr>
            <w:tcW w:w="3970" w:type="dxa"/>
          </w:tcPr>
          <w:p w14:paraId="166553C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Są to krótkie wyprawy piesze po terenie Parku z edukatorem. Chętnie uczestniczą w nich osoby starsze. Odbywają się one cztery razy w okresie edukacyjnym. Informacje ukazują się w lokalnej prasie, na stronie internetowej Parku oraz na plakatach.</w:t>
            </w:r>
          </w:p>
        </w:tc>
      </w:tr>
      <w:tr w:rsidR="008860CE" w:rsidRPr="00DD18EA" w14:paraId="2A2F5270" w14:textId="77777777" w:rsidTr="00DD18EA">
        <w:tc>
          <w:tcPr>
            <w:tcW w:w="721" w:type="dxa"/>
            <w:shd w:val="clear" w:color="auto" w:fill="9CC2E5" w:themeFill="accent1" w:themeFillTint="99"/>
          </w:tcPr>
          <w:p w14:paraId="7275DCCA"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5.</w:t>
            </w:r>
          </w:p>
        </w:tc>
        <w:tc>
          <w:tcPr>
            <w:tcW w:w="2791" w:type="dxa"/>
          </w:tcPr>
          <w:p w14:paraId="2EA4336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Botaniczna ścieżka dydaktyczna</w:t>
            </w:r>
          </w:p>
        </w:tc>
        <w:tc>
          <w:tcPr>
            <w:tcW w:w="1578" w:type="dxa"/>
          </w:tcPr>
          <w:p w14:paraId="6C541622"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bezterminowo - od 2005 roku</w:t>
            </w:r>
          </w:p>
        </w:tc>
        <w:tc>
          <w:tcPr>
            <w:tcW w:w="3970" w:type="dxa"/>
          </w:tcPr>
          <w:p w14:paraId="70E206E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Botaniczna ścieżka dydaktyczna przeznaczona jest dla tych wszystkich, którzy pragną zapoznać się z florą regionu Borów Tucholskich, a nie mogą odbywać dłuższych wędrówek a do tych zaliczają się często osoby starsze. Mogą z niej korzystać również osoby na wózkach inwalidzkich. Na niewielkim obszarze posadzono typowe i jednocześnie kluczowe gatunki dla flory Borów Tucholskich, stosunkowo łatwe do rozpoznawania. Ścieżkę można zwiedzać indywidualnie lub z edukatorem. Informacja umieszczona jest na stronie internetowej Parku.</w:t>
            </w:r>
          </w:p>
        </w:tc>
      </w:tr>
      <w:tr w:rsidR="008860CE" w:rsidRPr="00DD18EA" w14:paraId="1682D5A6" w14:textId="77777777" w:rsidTr="00DD18EA">
        <w:tc>
          <w:tcPr>
            <w:tcW w:w="9060" w:type="dxa"/>
            <w:gridSpan w:val="4"/>
            <w:shd w:val="clear" w:color="auto" w:fill="9CC2E5" w:themeFill="accent1" w:themeFillTint="99"/>
          </w:tcPr>
          <w:p w14:paraId="747A6508"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Drawieński Park Narodowy</w:t>
            </w:r>
          </w:p>
        </w:tc>
      </w:tr>
      <w:tr w:rsidR="008860CE" w:rsidRPr="00DD18EA" w14:paraId="733EF0B8" w14:textId="77777777" w:rsidTr="00DD18EA">
        <w:tc>
          <w:tcPr>
            <w:tcW w:w="721" w:type="dxa"/>
            <w:shd w:val="clear" w:color="auto" w:fill="9CC2E5" w:themeFill="accent1" w:themeFillTint="99"/>
          </w:tcPr>
          <w:p w14:paraId="344B10F4"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3ED63DB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Zachodniopomorska Karta Seniora</w:t>
            </w:r>
          </w:p>
        </w:tc>
        <w:tc>
          <w:tcPr>
            <w:tcW w:w="1578" w:type="dxa"/>
          </w:tcPr>
          <w:p w14:paraId="3C09ECCC"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Obowiązuje od czerwca 2018 r.</w:t>
            </w:r>
          </w:p>
        </w:tc>
        <w:tc>
          <w:tcPr>
            <w:tcW w:w="3970" w:type="dxa"/>
          </w:tcPr>
          <w:p w14:paraId="63CE0FB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50% ulga – pobyt na miejscach biwakowania DPN wraz z noclegiem</w:t>
            </w:r>
          </w:p>
        </w:tc>
      </w:tr>
      <w:tr w:rsidR="008860CE" w:rsidRPr="00DD18EA" w14:paraId="0069AA02" w14:textId="77777777" w:rsidTr="00DD18EA">
        <w:tc>
          <w:tcPr>
            <w:tcW w:w="9060" w:type="dxa"/>
            <w:gridSpan w:val="4"/>
            <w:shd w:val="clear" w:color="auto" w:fill="9CC2E5" w:themeFill="accent1" w:themeFillTint="99"/>
          </w:tcPr>
          <w:p w14:paraId="50A5B6FB"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Gorczański Park Narodowy</w:t>
            </w:r>
          </w:p>
        </w:tc>
      </w:tr>
      <w:tr w:rsidR="008860CE" w:rsidRPr="00DD18EA" w14:paraId="6B8E5642" w14:textId="77777777" w:rsidTr="00DD18EA">
        <w:tc>
          <w:tcPr>
            <w:tcW w:w="721" w:type="dxa"/>
            <w:shd w:val="clear" w:color="auto" w:fill="9CC2E5" w:themeFill="accent1" w:themeFillTint="99"/>
          </w:tcPr>
          <w:p w14:paraId="70ABB4A3"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063DCDF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Przygotowanie oferty edukacyjnej dla seniorów</w:t>
            </w:r>
          </w:p>
        </w:tc>
        <w:tc>
          <w:tcPr>
            <w:tcW w:w="1578" w:type="dxa"/>
          </w:tcPr>
          <w:p w14:paraId="0C139BF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6752B8F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 związku z otwarciem Ośrodka Edukacyjnego GPN i ekspozycji przyrodniczej opracowany został „Informator dla nauczycieli i organizatorów wycieczek edukacyjnych”, zawierający ofertę edukacyjną GPN dla różnych grup odbiorców. Znalazła się w nim także oferta edukacyjna dla seniorów. Zajęcia terenowe są realizowane w czterech porach roku, w parku dworskim hr. Wodzickich w Porębie Wielkiej, w sąsiedztwie OE GPN.</w:t>
            </w:r>
          </w:p>
        </w:tc>
      </w:tr>
      <w:tr w:rsidR="008860CE" w:rsidRPr="00DD18EA" w14:paraId="03897496" w14:textId="77777777" w:rsidTr="00DD18EA">
        <w:tc>
          <w:tcPr>
            <w:tcW w:w="721" w:type="dxa"/>
            <w:shd w:val="clear" w:color="auto" w:fill="9CC2E5" w:themeFill="accent1" w:themeFillTint="99"/>
          </w:tcPr>
          <w:p w14:paraId="4E901836"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08FDC1BD"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Warsztaty dla seniorów (przedstawicieli Uniwersytetów Trzeciego Wieku) „Jak korzystać z oferty edukacyjnej GPN”</w:t>
            </w:r>
          </w:p>
        </w:tc>
        <w:tc>
          <w:tcPr>
            <w:tcW w:w="1578" w:type="dxa"/>
          </w:tcPr>
          <w:p w14:paraId="09FE154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7382FF4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Warsztaty skierowane były do przedstawicieli Uniwersytetów Trzeciego Wieku z południowej Polski. W trakcie dwudniowych warsztatów zaprezentowano bazę do edukacji, </w:t>
            </w:r>
            <w:r w:rsidRPr="00DD18EA">
              <w:rPr>
                <w:rFonts w:ascii="Times New Roman" w:hAnsi="Times New Roman" w:cs="Times New Roman"/>
                <w:sz w:val="20"/>
                <w:szCs w:val="20"/>
              </w:rPr>
              <w:lastRenderedPageBreak/>
              <w:t xml:space="preserve">propozycje zajęć dla tej grupy odbiorców oferty oraz nową ekspozycję przyrodniczą. </w:t>
            </w:r>
          </w:p>
        </w:tc>
      </w:tr>
      <w:tr w:rsidR="008860CE" w:rsidRPr="00DD18EA" w14:paraId="06CFC561" w14:textId="77777777" w:rsidTr="00DD18EA">
        <w:tc>
          <w:tcPr>
            <w:tcW w:w="721" w:type="dxa"/>
            <w:shd w:val="clear" w:color="auto" w:fill="9CC2E5" w:themeFill="accent1" w:themeFillTint="99"/>
          </w:tcPr>
          <w:p w14:paraId="4B4A4DC6"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lastRenderedPageBreak/>
              <w:t>3.</w:t>
            </w:r>
          </w:p>
        </w:tc>
        <w:tc>
          <w:tcPr>
            <w:tcW w:w="2791" w:type="dxa"/>
          </w:tcPr>
          <w:p w14:paraId="7C96700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Cykliczna plenerowa impreza edukacyjna – rodzinna, dla dziadków i wnuków pt. „Gajówka łączy pokolenia” </w:t>
            </w:r>
          </w:p>
        </w:tc>
        <w:tc>
          <w:tcPr>
            <w:tcW w:w="1578" w:type="dxa"/>
          </w:tcPr>
          <w:p w14:paraId="3253D6B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55610A2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Program imprezy skierowany jest do seniorów i ich rodzin. Poprzez wspólne zabawy umacniane są więzi rodzinne i budzi się zrozumienie dla osób starszych. Impreza odbywa się cyklicznie, raz w roku w okresie wakacji, w terenowej bazie edukacyjnej GPN „Gajówka Mikołaja” w Łopusznej.</w:t>
            </w:r>
          </w:p>
        </w:tc>
      </w:tr>
      <w:tr w:rsidR="008860CE" w:rsidRPr="00DD18EA" w14:paraId="49487415" w14:textId="77777777" w:rsidTr="00DD18EA">
        <w:tc>
          <w:tcPr>
            <w:tcW w:w="721" w:type="dxa"/>
            <w:shd w:val="clear" w:color="auto" w:fill="9CC2E5" w:themeFill="accent1" w:themeFillTint="99"/>
          </w:tcPr>
          <w:p w14:paraId="6BD3BEBA"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4.</w:t>
            </w:r>
          </w:p>
        </w:tc>
        <w:tc>
          <w:tcPr>
            <w:tcW w:w="2791" w:type="dxa"/>
          </w:tcPr>
          <w:p w14:paraId="3548D10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Udostępnianie terenu Gorczańskiego Parku Narodowego dla seniorów</w:t>
            </w:r>
          </w:p>
        </w:tc>
        <w:tc>
          <w:tcPr>
            <w:tcW w:w="1578" w:type="dxa"/>
          </w:tcPr>
          <w:p w14:paraId="4587729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78434F5C"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W Parku na bieżąco prowadzi się konieczne remonty szlaków turystycznych, spacerowych i ścieżek edukacyjnych, a także infrastruktury turystycznej. Zapewnia to bezpieczne wędrowanie i poznawanie przyrody GPN. Dla seniorów dedykowane są przede wszystkim szlaki spacerowe – łatwiejsze pod względem technicznym i nie wymagające nadmiernego wysiłku fizycznego i konieczności pokonywania dużej różnicy wysokości.  Prowadzą głównie drogami dolinowymi, wzdłuż gorczańskich potoków, dzięki czemu wyróżniają się walorami krajobrazowymi i przyrodniczymi. </w:t>
            </w:r>
          </w:p>
        </w:tc>
      </w:tr>
      <w:tr w:rsidR="008860CE" w:rsidRPr="00DD18EA" w14:paraId="63C83ED5" w14:textId="77777777" w:rsidTr="00DD18EA">
        <w:tc>
          <w:tcPr>
            <w:tcW w:w="9060" w:type="dxa"/>
            <w:gridSpan w:val="4"/>
            <w:shd w:val="clear" w:color="auto" w:fill="9CC2E5" w:themeFill="accent1" w:themeFillTint="99"/>
          </w:tcPr>
          <w:p w14:paraId="7B9A269D" w14:textId="77777777" w:rsidR="008860CE" w:rsidRPr="00DD18EA" w:rsidRDefault="008860CE" w:rsidP="00DD18EA">
            <w:pPr>
              <w:keepNext/>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Park Narodowy Gór Stołowych</w:t>
            </w:r>
          </w:p>
        </w:tc>
      </w:tr>
      <w:tr w:rsidR="008860CE" w:rsidRPr="00DD18EA" w14:paraId="39718574" w14:textId="77777777" w:rsidTr="00DD18EA">
        <w:tc>
          <w:tcPr>
            <w:tcW w:w="721" w:type="dxa"/>
            <w:shd w:val="clear" w:color="auto" w:fill="9CC2E5" w:themeFill="accent1" w:themeFillTint="99"/>
          </w:tcPr>
          <w:p w14:paraId="141F5D81"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1252D577" w14:textId="70E9BFA8" w:rsidR="008860CE" w:rsidRPr="00DD18EA" w:rsidRDefault="0010663D" w:rsidP="00DD18EA">
            <w:pPr>
              <w:spacing w:after="0" w:line="240" w:lineRule="auto"/>
              <w:rPr>
                <w:rFonts w:ascii="Times New Roman" w:hAnsi="Times New Roman" w:cs="Times New Roman"/>
                <w:sz w:val="20"/>
                <w:szCs w:val="20"/>
              </w:rPr>
            </w:pPr>
            <w:r>
              <w:rPr>
                <w:rFonts w:ascii="Times New Roman" w:hAnsi="Times New Roman" w:cs="Times New Roman"/>
                <w:sz w:val="20"/>
                <w:szCs w:val="20"/>
              </w:rPr>
              <w:t>Wystawa „Stereo</w:t>
            </w:r>
            <w:r w:rsidR="008860CE" w:rsidRPr="00DD18EA">
              <w:rPr>
                <w:rFonts w:ascii="Times New Roman" w:hAnsi="Times New Roman" w:cs="Times New Roman"/>
                <w:sz w:val="20"/>
                <w:szCs w:val="20"/>
              </w:rPr>
              <w:t>vision 3D” w Centrum Szkoleniowo Edukacyjnym Parku Narodowego Gór Stołowych w Karłowie</w:t>
            </w:r>
          </w:p>
        </w:tc>
        <w:tc>
          <w:tcPr>
            <w:tcW w:w="1578" w:type="dxa"/>
          </w:tcPr>
          <w:p w14:paraId="0ED3E12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od 2018 r.</w:t>
            </w:r>
          </w:p>
        </w:tc>
        <w:tc>
          <w:tcPr>
            <w:tcW w:w="3970" w:type="dxa"/>
          </w:tcPr>
          <w:p w14:paraId="7171E52B" w14:textId="7A23277A"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 W</w:t>
            </w:r>
            <w:r w:rsidR="0010663D">
              <w:rPr>
                <w:rFonts w:ascii="Times New Roman" w:hAnsi="Times New Roman" w:cs="Times New Roman"/>
                <w:sz w:val="20"/>
                <w:szCs w:val="20"/>
              </w:rPr>
              <w:t xml:space="preserve"> 2018 r. powstała wystawa „Stere</w:t>
            </w:r>
            <w:r w:rsidRPr="00DD18EA">
              <w:rPr>
                <w:rFonts w:ascii="Times New Roman" w:hAnsi="Times New Roman" w:cs="Times New Roman"/>
                <w:sz w:val="20"/>
                <w:szCs w:val="20"/>
              </w:rPr>
              <w:t>ovision 3D”, która na wielkoformatowych zdjęciach autorstwa Marka Senderskiego, wykonanych w technice 3D, prezentuje piękno przyrody Gór Stołowych. Wystawa jest udostępniona bezpłatnie dla wszystkich zainteresowanych przez cały rok na terenie Centrum. Wystawa przeznaczona jest w szczególności dla osób, które nie są w stanie ze względu na ograniczenia wiekowe, zdrowotne odwiedzić wszystkich szlaków i atrakcji Parku Narodowego Gór Stołowych. Wstęp jest wolny.</w:t>
            </w:r>
          </w:p>
        </w:tc>
      </w:tr>
      <w:tr w:rsidR="008860CE" w:rsidRPr="00DD18EA" w14:paraId="67970A63" w14:textId="77777777" w:rsidTr="00DD18EA">
        <w:tc>
          <w:tcPr>
            <w:tcW w:w="721" w:type="dxa"/>
            <w:shd w:val="clear" w:color="auto" w:fill="9CC2E5" w:themeFill="accent1" w:themeFillTint="99"/>
          </w:tcPr>
          <w:p w14:paraId="53197D18"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13E0E64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Projekcja filmów w Centrum Szkoleniowo Edukacyjnym Parku w Karłowie</w:t>
            </w:r>
          </w:p>
        </w:tc>
        <w:tc>
          <w:tcPr>
            <w:tcW w:w="1578" w:type="dxa"/>
          </w:tcPr>
          <w:p w14:paraId="35EEDC2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od 2017 r.</w:t>
            </w:r>
          </w:p>
        </w:tc>
        <w:tc>
          <w:tcPr>
            <w:tcW w:w="3970" w:type="dxa"/>
          </w:tcPr>
          <w:p w14:paraId="277FA98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Centrum Szkoleniowo-Edukacyjne Parku Narodowego Gór Stołowych w Karłowie znajduje się w sercu Gór Stołowych, tuż pod samym Szczelińcem Wielkim. Na terenie CSE odbywają się regularnie projekcje dwóch filmów: Góry Stołowe (2002 r.) oraz Góry Zrodzone z Morza (2018 r.). Filmy mają charakter edukacyjny, przedstawiają piękno Parku Narodowego Gór Stołowych. Z projekcji filmów korzystają osoby starsze, które wraz z młodszymi dziećmi pozostają w Karłowie czekając na pozostałą część grupy, która zwiedza Szczeliniec Wielki. Wstęp jest wolny.</w:t>
            </w:r>
          </w:p>
        </w:tc>
      </w:tr>
      <w:tr w:rsidR="008860CE" w:rsidRPr="00DD18EA" w14:paraId="6950DE72" w14:textId="77777777" w:rsidTr="00DD18EA">
        <w:tc>
          <w:tcPr>
            <w:tcW w:w="721" w:type="dxa"/>
            <w:shd w:val="clear" w:color="auto" w:fill="9CC2E5" w:themeFill="accent1" w:themeFillTint="99"/>
          </w:tcPr>
          <w:p w14:paraId="28766536"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3.</w:t>
            </w:r>
          </w:p>
        </w:tc>
        <w:tc>
          <w:tcPr>
            <w:tcW w:w="2791" w:type="dxa"/>
          </w:tcPr>
          <w:p w14:paraId="61159C0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Dostosowanie bazy edukacyjnej dla osób starszych i niepełnosprawnych – ekspozycja Ekocentrum PNGS</w:t>
            </w:r>
          </w:p>
        </w:tc>
        <w:tc>
          <w:tcPr>
            <w:tcW w:w="1578" w:type="dxa"/>
          </w:tcPr>
          <w:p w14:paraId="150EFF4D"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 r.</w:t>
            </w:r>
          </w:p>
        </w:tc>
        <w:tc>
          <w:tcPr>
            <w:tcW w:w="3970" w:type="dxa"/>
          </w:tcPr>
          <w:p w14:paraId="7B64E92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 ramach realizacji tego działania w trakcie tworzenia nowej ekspozycji stałej w Ekocentrum PNGS dostosowano ją do potrzeb osób niepełnosprawnych w tym poruszających się na wózkach inwalidzkich.</w:t>
            </w:r>
          </w:p>
        </w:tc>
      </w:tr>
      <w:tr w:rsidR="008860CE" w:rsidRPr="00DD18EA" w14:paraId="41750401" w14:textId="77777777" w:rsidTr="00DD18EA">
        <w:tc>
          <w:tcPr>
            <w:tcW w:w="721" w:type="dxa"/>
            <w:shd w:val="clear" w:color="auto" w:fill="9CC2E5" w:themeFill="accent1" w:themeFillTint="99"/>
          </w:tcPr>
          <w:p w14:paraId="5E72A9A2"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lastRenderedPageBreak/>
              <w:t>4.</w:t>
            </w:r>
          </w:p>
        </w:tc>
        <w:tc>
          <w:tcPr>
            <w:tcW w:w="2791" w:type="dxa"/>
          </w:tcPr>
          <w:p w14:paraId="6FE28D1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Wymiana barierek metalowych na trasie turystycznej Szczelińca Wielkiego</w:t>
            </w:r>
          </w:p>
        </w:tc>
        <w:tc>
          <w:tcPr>
            <w:tcW w:w="1578" w:type="dxa"/>
          </w:tcPr>
          <w:p w14:paraId="614C3C2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 r.</w:t>
            </w:r>
          </w:p>
        </w:tc>
        <w:tc>
          <w:tcPr>
            <w:tcW w:w="3970" w:type="dxa"/>
          </w:tcPr>
          <w:p w14:paraId="44AD2519"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W 2019 r. została przeprowadzona wymiana wszystkich barierek metalowych na trasie turystycznej Szczelińca Wielkiego. Trasa turystyczna na poszczególnych odcinkach posiadała stare, skorodowane barierki. Osoby starsze oraz niepełnosprawne bardzo często korzystają z opisywanej infrastruktury ze względu na trudny teren. </w:t>
            </w:r>
          </w:p>
        </w:tc>
      </w:tr>
      <w:tr w:rsidR="008860CE" w:rsidRPr="00DD18EA" w14:paraId="3CD8CEE1" w14:textId="77777777" w:rsidTr="00DD18EA">
        <w:tc>
          <w:tcPr>
            <w:tcW w:w="721" w:type="dxa"/>
            <w:shd w:val="clear" w:color="auto" w:fill="9CC2E5" w:themeFill="accent1" w:themeFillTint="99"/>
          </w:tcPr>
          <w:p w14:paraId="41275EA0"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5.</w:t>
            </w:r>
          </w:p>
        </w:tc>
        <w:tc>
          <w:tcPr>
            <w:tcW w:w="2791" w:type="dxa"/>
          </w:tcPr>
          <w:p w14:paraId="1E65E5D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Wymiana podestów drewnianych na trasie turystycznej Szczelińca Wielkiego i Błędnych Skał</w:t>
            </w:r>
          </w:p>
        </w:tc>
        <w:tc>
          <w:tcPr>
            <w:tcW w:w="1578" w:type="dxa"/>
          </w:tcPr>
          <w:p w14:paraId="462E0D3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Błędne  Skały 2017 r. </w:t>
            </w:r>
          </w:p>
        </w:tc>
        <w:tc>
          <w:tcPr>
            <w:tcW w:w="3970" w:type="dxa"/>
          </w:tcPr>
          <w:p w14:paraId="6FBCE63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W 2017 r. została przeprowadzona wymiana wszystkich kładek drewnianych na trasie turystycznej Błędne Skały. Trasa turystyczna na poszczególnych odcinkach posiadała stare, przegniłe kładki. Osoby starsze oraz niepełnosprawne bardzo często korzystają z opisywanej infrastruktury ze względu na trudny teren. </w:t>
            </w:r>
          </w:p>
        </w:tc>
      </w:tr>
      <w:tr w:rsidR="008860CE" w:rsidRPr="00DD18EA" w14:paraId="53FAA063" w14:textId="77777777" w:rsidTr="00DD18EA">
        <w:tc>
          <w:tcPr>
            <w:tcW w:w="721" w:type="dxa"/>
            <w:shd w:val="clear" w:color="auto" w:fill="9CC2E5" w:themeFill="accent1" w:themeFillTint="99"/>
          </w:tcPr>
          <w:p w14:paraId="6485742A"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6.</w:t>
            </w:r>
          </w:p>
        </w:tc>
        <w:tc>
          <w:tcPr>
            <w:tcW w:w="2791" w:type="dxa"/>
          </w:tcPr>
          <w:p w14:paraId="6EC654B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Obsługa ruchu turystycznego na Błędnych Skałach</w:t>
            </w:r>
          </w:p>
        </w:tc>
        <w:tc>
          <w:tcPr>
            <w:tcW w:w="1578" w:type="dxa"/>
          </w:tcPr>
          <w:p w14:paraId="49ACA1B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od 2014 r. </w:t>
            </w:r>
          </w:p>
        </w:tc>
        <w:tc>
          <w:tcPr>
            <w:tcW w:w="3970" w:type="dxa"/>
          </w:tcPr>
          <w:p w14:paraId="7EC483A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PNGS udostępnił dla turystów drogę wewnętrzną w celu dojazdu do labiryntu Błędnych Skał. W związku z tym faktem osoby, które nie są w stanie dojść tam szlakiem mogą skorzystać z dojazdu samochodem bądź autobusem. Jest też wprowadzona 50% ulga na wjazd samochodem dla osób niepełnosprawnych. Na parkingu górnym znajdują się toalety dostosowane dla osób starszych i niepełnosprawnych, które są udostępnione bezpłatnie przez okres sezonu turystycznego.</w:t>
            </w:r>
          </w:p>
        </w:tc>
      </w:tr>
      <w:tr w:rsidR="008860CE" w:rsidRPr="00DD18EA" w14:paraId="1270B7F8" w14:textId="77777777" w:rsidTr="00DD18EA">
        <w:tc>
          <w:tcPr>
            <w:tcW w:w="721" w:type="dxa"/>
            <w:shd w:val="clear" w:color="auto" w:fill="9CC2E5" w:themeFill="accent1" w:themeFillTint="99"/>
          </w:tcPr>
          <w:p w14:paraId="50E7DB31"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7.</w:t>
            </w:r>
          </w:p>
        </w:tc>
        <w:tc>
          <w:tcPr>
            <w:tcW w:w="2791" w:type="dxa"/>
          </w:tcPr>
          <w:p w14:paraId="69D0CFD9"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Prowadzenie działań edukacyjnych dla osób starszych</w:t>
            </w:r>
          </w:p>
        </w:tc>
        <w:tc>
          <w:tcPr>
            <w:tcW w:w="1578" w:type="dxa"/>
          </w:tcPr>
          <w:p w14:paraId="0AC2AB0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od 2019 r. </w:t>
            </w:r>
          </w:p>
        </w:tc>
        <w:tc>
          <w:tcPr>
            <w:tcW w:w="3970" w:type="dxa"/>
          </w:tcPr>
          <w:p w14:paraId="6926D97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 ramach zadania prowadzone były zajęcia edukacyjne dla osób starszych przybywających w rejon Gór Stołowych na wczasy i turnusy sanatoryjne. W ramach spotkań odbywają się prelekcje i pokazy filmów na temat Gór Stołowych. Zajęcia organizowane były także dla uczestników Uniwersytetów Trzeciego Wieku.</w:t>
            </w:r>
          </w:p>
        </w:tc>
      </w:tr>
      <w:tr w:rsidR="008860CE" w:rsidRPr="00DD18EA" w14:paraId="1DA5CAD8" w14:textId="77777777" w:rsidTr="00DD18EA">
        <w:tc>
          <w:tcPr>
            <w:tcW w:w="9060" w:type="dxa"/>
            <w:gridSpan w:val="4"/>
            <w:shd w:val="clear" w:color="auto" w:fill="9CC2E5" w:themeFill="accent1" w:themeFillTint="99"/>
          </w:tcPr>
          <w:p w14:paraId="094E5880"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Kampinoski Park Narodowy</w:t>
            </w:r>
          </w:p>
        </w:tc>
      </w:tr>
      <w:tr w:rsidR="008860CE" w:rsidRPr="00DD18EA" w14:paraId="0B7BF83E" w14:textId="77777777" w:rsidTr="00DD18EA">
        <w:tc>
          <w:tcPr>
            <w:tcW w:w="721" w:type="dxa"/>
            <w:shd w:val="clear" w:color="auto" w:fill="9CC2E5" w:themeFill="accent1" w:themeFillTint="99"/>
          </w:tcPr>
          <w:p w14:paraId="7C63779D"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0EF0B64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Współpraca w ramach wolontariatu ze Stowarzyszeniem Towarzystwo Kampinoskie w Granicy</w:t>
            </w:r>
          </w:p>
        </w:tc>
        <w:tc>
          <w:tcPr>
            <w:tcW w:w="1578" w:type="dxa"/>
          </w:tcPr>
          <w:p w14:paraId="438C8499"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Stała działalność parku</w:t>
            </w:r>
          </w:p>
        </w:tc>
        <w:tc>
          <w:tcPr>
            <w:tcW w:w="3970" w:type="dxa"/>
          </w:tcPr>
          <w:p w14:paraId="00C7C92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Prowadzenie, opieka, urządzanie Chaty Kampinoskiej w Granicy , organizowanie imprez kulturowych i folklorystycznych poświęconych tradycjom i zwyczajom („Poszukiwanie kwiatu paproci”, „Konkurs wieńców dożynkowych”, konkursy historyczne: np. „Gajówka patriotyzmu”, Spotkania z Powstańcami Warszawskimi wernisaże, koncerty, i in.)</w:t>
            </w:r>
          </w:p>
        </w:tc>
      </w:tr>
      <w:tr w:rsidR="008860CE" w:rsidRPr="00DD18EA" w14:paraId="2CCE1940" w14:textId="77777777" w:rsidTr="00DD18EA">
        <w:tc>
          <w:tcPr>
            <w:tcW w:w="721" w:type="dxa"/>
            <w:shd w:val="clear" w:color="auto" w:fill="9CC2E5" w:themeFill="accent1" w:themeFillTint="99"/>
          </w:tcPr>
          <w:p w14:paraId="2DEF22AA"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4A11A55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Współpraca z organizacjami kombatanckimi: Stowarzyszenie Rodzina Ułanów Jazłowieckich, Środowisko „Grupa Kampinos” ŚZŻAK, Stowarzyszenie Żołnierzy Powstańczych Oddziałów Specjalnych „Jerzyki”</w:t>
            </w:r>
          </w:p>
        </w:tc>
        <w:tc>
          <w:tcPr>
            <w:tcW w:w="1578" w:type="dxa"/>
          </w:tcPr>
          <w:p w14:paraId="21FFF68C"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Stała działalność parku</w:t>
            </w:r>
          </w:p>
        </w:tc>
        <w:tc>
          <w:tcPr>
            <w:tcW w:w="3970" w:type="dxa"/>
          </w:tcPr>
          <w:p w14:paraId="73A21A0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Prowadzenie działalności edukacyjnej oraz organizacja imprez patriotyczno-religijnych.</w:t>
            </w:r>
          </w:p>
        </w:tc>
      </w:tr>
      <w:tr w:rsidR="008860CE" w:rsidRPr="00DD18EA" w14:paraId="13D05048" w14:textId="77777777" w:rsidTr="00DD18EA">
        <w:tc>
          <w:tcPr>
            <w:tcW w:w="721" w:type="dxa"/>
            <w:shd w:val="clear" w:color="auto" w:fill="9CC2E5" w:themeFill="accent1" w:themeFillTint="99"/>
          </w:tcPr>
          <w:p w14:paraId="79AB6C76"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3.</w:t>
            </w:r>
          </w:p>
        </w:tc>
        <w:tc>
          <w:tcPr>
            <w:tcW w:w="2791" w:type="dxa"/>
          </w:tcPr>
          <w:p w14:paraId="406CDE42"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Uniwersytet Trzeciego Wieku</w:t>
            </w:r>
          </w:p>
        </w:tc>
        <w:tc>
          <w:tcPr>
            <w:tcW w:w="1578" w:type="dxa"/>
          </w:tcPr>
          <w:p w14:paraId="2B97595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Stała działalność parku</w:t>
            </w:r>
          </w:p>
        </w:tc>
        <w:tc>
          <w:tcPr>
            <w:tcW w:w="3970" w:type="dxa"/>
          </w:tcPr>
          <w:p w14:paraId="684AACB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Prowadzenie wykładów, spotkań i wycieczek dla seniorów</w:t>
            </w:r>
          </w:p>
        </w:tc>
      </w:tr>
      <w:tr w:rsidR="008860CE" w:rsidRPr="00DD18EA" w14:paraId="7A1C0B0E" w14:textId="77777777" w:rsidTr="00DD18EA">
        <w:tc>
          <w:tcPr>
            <w:tcW w:w="721" w:type="dxa"/>
            <w:shd w:val="clear" w:color="auto" w:fill="9CC2E5" w:themeFill="accent1" w:themeFillTint="99"/>
          </w:tcPr>
          <w:p w14:paraId="39A49A4C"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lastRenderedPageBreak/>
              <w:t>4.</w:t>
            </w:r>
          </w:p>
        </w:tc>
        <w:tc>
          <w:tcPr>
            <w:tcW w:w="2791" w:type="dxa"/>
          </w:tcPr>
          <w:p w14:paraId="7AC01BA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Weekend dla seniorów</w:t>
            </w:r>
          </w:p>
        </w:tc>
        <w:tc>
          <w:tcPr>
            <w:tcW w:w="1578" w:type="dxa"/>
          </w:tcPr>
          <w:p w14:paraId="36F24298"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06F1822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Wycieczka w Granicy </w:t>
            </w:r>
          </w:p>
        </w:tc>
      </w:tr>
      <w:tr w:rsidR="008860CE" w:rsidRPr="00DD18EA" w14:paraId="0E9579A3" w14:textId="77777777" w:rsidTr="00DD18EA">
        <w:tc>
          <w:tcPr>
            <w:tcW w:w="721" w:type="dxa"/>
            <w:shd w:val="clear" w:color="auto" w:fill="9CC2E5" w:themeFill="accent1" w:themeFillTint="99"/>
          </w:tcPr>
          <w:p w14:paraId="20E10AF4"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5.</w:t>
            </w:r>
          </w:p>
        </w:tc>
        <w:tc>
          <w:tcPr>
            <w:tcW w:w="2791" w:type="dxa"/>
          </w:tcPr>
          <w:p w14:paraId="746DF7A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Wycieczki w ramach programów „Akademia Kampinoska” oraz „Przyroda na horyzoncie”</w:t>
            </w:r>
          </w:p>
        </w:tc>
        <w:tc>
          <w:tcPr>
            <w:tcW w:w="1578" w:type="dxa"/>
          </w:tcPr>
          <w:p w14:paraId="39C2804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2016-2019</w:t>
            </w:r>
          </w:p>
        </w:tc>
        <w:tc>
          <w:tcPr>
            <w:tcW w:w="3970" w:type="dxa"/>
          </w:tcPr>
          <w:p w14:paraId="75C12AD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Wykłady, pogadanki i spacery dostosowane dla osób starszych</w:t>
            </w:r>
          </w:p>
        </w:tc>
      </w:tr>
      <w:tr w:rsidR="008860CE" w:rsidRPr="00DD18EA" w14:paraId="55EB88B8" w14:textId="77777777" w:rsidTr="00DD18EA">
        <w:tc>
          <w:tcPr>
            <w:tcW w:w="721" w:type="dxa"/>
            <w:shd w:val="clear" w:color="auto" w:fill="9CC2E5" w:themeFill="accent1" w:themeFillTint="99"/>
          </w:tcPr>
          <w:p w14:paraId="17681BB0"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6.</w:t>
            </w:r>
          </w:p>
        </w:tc>
        <w:tc>
          <w:tcPr>
            <w:tcW w:w="2791" w:type="dxa"/>
          </w:tcPr>
          <w:p w14:paraId="0FFAEEA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Dostosowanie infrastruktury turystycznej dla osób starszych i niepełnosprawnych</w:t>
            </w:r>
          </w:p>
        </w:tc>
        <w:tc>
          <w:tcPr>
            <w:tcW w:w="1578" w:type="dxa"/>
          </w:tcPr>
          <w:p w14:paraId="28A1591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Stała działalność parku</w:t>
            </w:r>
          </w:p>
        </w:tc>
        <w:tc>
          <w:tcPr>
            <w:tcW w:w="3970" w:type="dxa"/>
          </w:tcPr>
          <w:p w14:paraId="50E40047" w14:textId="77777777" w:rsidR="008860CE" w:rsidRPr="00DD18EA" w:rsidRDefault="008860CE" w:rsidP="00DD18EA">
            <w:pPr>
              <w:spacing w:after="0" w:line="240" w:lineRule="auto"/>
              <w:rPr>
                <w:rFonts w:ascii="Times New Roman" w:hAnsi="Times New Roman" w:cs="Times New Roman"/>
                <w:sz w:val="20"/>
                <w:szCs w:val="20"/>
              </w:rPr>
            </w:pPr>
          </w:p>
        </w:tc>
      </w:tr>
      <w:tr w:rsidR="008860CE" w:rsidRPr="00DD18EA" w14:paraId="4E0E02E3" w14:textId="77777777" w:rsidTr="00DD18EA">
        <w:tc>
          <w:tcPr>
            <w:tcW w:w="9060" w:type="dxa"/>
            <w:gridSpan w:val="4"/>
            <w:shd w:val="clear" w:color="auto" w:fill="9CC2E5" w:themeFill="accent1" w:themeFillTint="99"/>
          </w:tcPr>
          <w:p w14:paraId="47E8EE62"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Karkonoski Park Narodowy</w:t>
            </w:r>
          </w:p>
        </w:tc>
      </w:tr>
      <w:tr w:rsidR="008860CE" w:rsidRPr="00DD18EA" w14:paraId="3A167251" w14:textId="77777777" w:rsidTr="00DD18EA">
        <w:tc>
          <w:tcPr>
            <w:tcW w:w="721" w:type="dxa"/>
            <w:shd w:val="clear" w:color="auto" w:fill="9CC2E5" w:themeFill="accent1" w:themeFillTint="99"/>
          </w:tcPr>
          <w:p w14:paraId="0A919DC7"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0F5E9092"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Współpraca z Uniwersytetem Trzeciego Wieku „Jeszcze Młodzi” w Szklarskiej Porębie</w:t>
            </w:r>
          </w:p>
        </w:tc>
        <w:tc>
          <w:tcPr>
            <w:tcW w:w="1578" w:type="dxa"/>
          </w:tcPr>
          <w:p w14:paraId="39DCEA2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6B0F03EC"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Słuchacze UTW systematycznie korzystają oferty KPN: biorą udział w  imprezach edukacyjnych (np. Piknik pod Chojnikiem) i wydarzeniach organizowanych specjalnie dla nich ( kilka razy w roku w umówionych terminach): wycieczki tematyczne, prelekcje, warsztaty.</w:t>
            </w:r>
          </w:p>
        </w:tc>
      </w:tr>
      <w:tr w:rsidR="008860CE" w:rsidRPr="00DD18EA" w14:paraId="272B5178" w14:textId="77777777" w:rsidTr="00DD18EA">
        <w:tc>
          <w:tcPr>
            <w:tcW w:w="721" w:type="dxa"/>
            <w:shd w:val="clear" w:color="auto" w:fill="9CC2E5" w:themeFill="accent1" w:themeFillTint="99"/>
          </w:tcPr>
          <w:p w14:paraId="0A2C5164"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613B132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Dzień Trzmiela w ramach Ekologicznej Majówki pod Szrenicą</w:t>
            </w:r>
          </w:p>
        </w:tc>
        <w:tc>
          <w:tcPr>
            <w:tcW w:w="1578" w:type="dxa"/>
          </w:tcPr>
          <w:p w14:paraId="325A0D3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3.05.2019</w:t>
            </w:r>
          </w:p>
        </w:tc>
        <w:tc>
          <w:tcPr>
            <w:tcW w:w="3970" w:type="dxa"/>
          </w:tcPr>
          <w:p w14:paraId="43B8E4B8"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Propozycja okazała się bardzo atrakcyjna dla osób starszych uprawiających działki i ogródki – uczestnicy uczyli się rozpoznawania trzmieli na podstawie kluczy, a także projektowania ogrodów przyjaznych zapylaczom. Mieli także możliwość pozyskania sadzonek pożytecznych roślin.</w:t>
            </w:r>
          </w:p>
        </w:tc>
      </w:tr>
      <w:tr w:rsidR="008860CE" w:rsidRPr="00DD18EA" w14:paraId="2353E610" w14:textId="77777777" w:rsidTr="00DD18EA">
        <w:tc>
          <w:tcPr>
            <w:tcW w:w="721" w:type="dxa"/>
            <w:shd w:val="clear" w:color="auto" w:fill="9CC2E5" w:themeFill="accent1" w:themeFillTint="99"/>
          </w:tcPr>
          <w:p w14:paraId="43E12E47"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3.</w:t>
            </w:r>
          </w:p>
        </w:tc>
        <w:tc>
          <w:tcPr>
            <w:tcW w:w="2791" w:type="dxa"/>
          </w:tcPr>
          <w:p w14:paraId="30B930C9"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Dzień Laboranta i warsztaty zielarskie w CI w Karpaczu</w:t>
            </w:r>
          </w:p>
        </w:tc>
        <w:tc>
          <w:tcPr>
            <w:tcW w:w="1578" w:type="dxa"/>
          </w:tcPr>
          <w:p w14:paraId="4B91647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8.06.2019</w:t>
            </w:r>
          </w:p>
        </w:tc>
        <w:tc>
          <w:tcPr>
            <w:tcW w:w="3970" w:type="dxa"/>
          </w:tcPr>
          <w:p w14:paraId="23C6F93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Coroczna impreza adresowana do szerokiego grona odbiorców, a ciesząca się zainteresowaniem osób starszych, które stanowią znaczną część uczestników.</w:t>
            </w:r>
          </w:p>
        </w:tc>
      </w:tr>
      <w:tr w:rsidR="008860CE" w:rsidRPr="00DD18EA" w14:paraId="499FB0DC" w14:textId="77777777" w:rsidTr="00DD18EA">
        <w:tc>
          <w:tcPr>
            <w:tcW w:w="721" w:type="dxa"/>
            <w:shd w:val="clear" w:color="auto" w:fill="9CC2E5" w:themeFill="accent1" w:themeFillTint="99"/>
          </w:tcPr>
          <w:p w14:paraId="64ADABEF"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4.</w:t>
            </w:r>
          </w:p>
        </w:tc>
        <w:tc>
          <w:tcPr>
            <w:tcW w:w="2791" w:type="dxa"/>
          </w:tcPr>
          <w:p w14:paraId="75A9CB89"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Warsztaty przyrodnicze z cyklu „Przyroda i człowiek”</w:t>
            </w:r>
          </w:p>
        </w:tc>
        <w:tc>
          <w:tcPr>
            <w:tcW w:w="1578" w:type="dxa"/>
          </w:tcPr>
          <w:p w14:paraId="0DF22D3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29.06.2019</w:t>
            </w:r>
          </w:p>
        </w:tc>
        <w:tc>
          <w:tcPr>
            <w:tcW w:w="3970" w:type="dxa"/>
          </w:tcPr>
          <w:p w14:paraId="1EBCBCB2"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Warsztaty prowadził Wojciech Pusz – profesor Uniwersytetu Przyrodniczego we Wrocławiu, fitopatolog i mykolog, zajmujący się badaniem chorób roślin,  adresowane były przede wszystkim do osób starszych.</w:t>
            </w:r>
          </w:p>
        </w:tc>
      </w:tr>
      <w:tr w:rsidR="008860CE" w:rsidRPr="00DD18EA" w14:paraId="3E3B3970" w14:textId="77777777" w:rsidTr="00DD18EA">
        <w:tc>
          <w:tcPr>
            <w:tcW w:w="721" w:type="dxa"/>
            <w:shd w:val="clear" w:color="auto" w:fill="9CC2E5" w:themeFill="accent1" w:themeFillTint="99"/>
          </w:tcPr>
          <w:p w14:paraId="0E50CA9B"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5.</w:t>
            </w:r>
          </w:p>
        </w:tc>
        <w:tc>
          <w:tcPr>
            <w:tcW w:w="2791" w:type="dxa"/>
          </w:tcPr>
          <w:p w14:paraId="4C79584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Zajęcia w Ogrodzie Ziół i Krzewów w Karpaczu, samodzielne zwiedzanie Ogrodu</w:t>
            </w:r>
          </w:p>
        </w:tc>
        <w:tc>
          <w:tcPr>
            <w:tcW w:w="1578" w:type="dxa"/>
          </w:tcPr>
          <w:p w14:paraId="663B751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od maja do października 2019</w:t>
            </w:r>
          </w:p>
        </w:tc>
        <w:tc>
          <w:tcPr>
            <w:tcW w:w="3970" w:type="dxa"/>
          </w:tcPr>
          <w:p w14:paraId="1207545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Usytuowanie i specyfika ogrodu (przy Centrum Informacyjnym KPN w Karpaczu) sprawiają, że jest to miejsce szczególnie polecane osobom starszym. Ogród jest dostępny dla osób niepełnosprawnych.</w:t>
            </w:r>
          </w:p>
        </w:tc>
      </w:tr>
      <w:tr w:rsidR="008860CE" w:rsidRPr="00DD18EA" w14:paraId="3844A513" w14:textId="77777777" w:rsidTr="00DD18EA">
        <w:tc>
          <w:tcPr>
            <w:tcW w:w="721" w:type="dxa"/>
            <w:shd w:val="clear" w:color="auto" w:fill="9CC2E5" w:themeFill="accent1" w:themeFillTint="99"/>
          </w:tcPr>
          <w:p w14:paraId="0117617F"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6.</w:t>
            </w:r>
          </w:p>
        </w:tc>
        <w:tc>
          <w:tcPr>
            <w:tcW w:w="2791" w:type="dxa"/>
          </w:tcPr>
          <w:p w14:paraId="7903F68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Współpraca z Miejskim Ośrodkiem Pomocy Społecznej w Szklarskiej Porębie, Domem Pomocy Społecznej „Złota Jesień” w Jeleniej Górze i Przystanią Twórczą w Cieplicach</w:t>
            </w:r>
          </w:p>
        </w:tc>
        <w:tc>
          <w:tcPr>
            <w:tcW w:w="1578" w:type="dxa"/>
          </w:tcPr>
          <w:p w14:paraId="2814F45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46EE1FBE"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Instytucje te  dynamicznie współpracują z KPN w ramach edukacji ekologicznej podopiecznych – osób starszych w celu poznania otaczającej przyrody, zrozumienia jej wartości i konieczności ochrony ( prezentacja  multimedialna + zajęcia w terenie, ewentualnie zajęcia plastyczne).</w:t>
            </w:r>
          </w:p>
        </w:tc>
      </w:tr>
      <w:tr w:rsidR="008860CE" w:rsidRPr="00DD18EA" w14:paraId="35360C9D" w14:textId="77777777" w:rsidTr="00DD18EA">
        <w:tc>
          <w:tcPr>
            <w:tcW w:w="721" w:type="dxa"/>
            <w:shd w:val="clear" w:color="auto" w:fill="9CC2E5" w:themeFill="accent1" w:themeFillTint="99"/>
          </w:tcPr>
          <w:p w14:paraId="3C7D96B4"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7.</w:t>
            </w:r>
          </w:p>
        </w:tc>
        <w:tc>
          <w:tcPr>
            <w:tcW w:w="2791" w:type="dxa"/>
          </w:tcPr>
          <w:p w14:paraId="390B583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Udostępnianie wystawy stałej „Wirtualne Karkonosze” oraz ekspozycji z makietą wschodnich Karkonoszy w obiektach edukacyjnych w Szklarskiej Porębie i Karpaczu</w:t>
            </w:r>
          </w:p>
        </w:tc>
        <w:tc>
          <w:tcPr>
            <w:tcW w:w="1578" w:type="dxa"/>
          </w:tcPr>
          <w:p w14:paraId="03436A1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4C495B0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Ośrodki edukacyjne KPN w Szklarskiej Porębie i w Karpaczu są wyposażone w ekspozycje łatwo dostępne dla osób starszych i niepełnosprawnych. Elementy dotykowe ułatwiają samodzielne zwiedzanie, a specjalna platforma do transportu osób na wózkach inwalidzkich i z trudnościami w poruszaniu się umożliwia także korzystanie z prezentacji i projekcji filmów w KCEE w Szklarskiej Porębie.</w:t>
            </w:r>
          </w:p>
        </w:tc>
      </w:tr>
      <w:tr w:rsidR="008860CE" w:rsidRPr="00DD18EA" w14:paraId="666717A9" w14:textId="77777777" w:rsidTr="00DD18EA">
        <w:tc>
          <w:tcPr>
            <w:tcW w:w="721" w:type="dxa"/>
            <w:shd w:val="clear" w:color="auto" w:fill="9CC2E5" w:themeFill="accent1" w:themeFillTint="99"/>
          </w:tcPr>
          <w:p w14:paraId="758EB12F"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lastRenderedPageBreak/>
              <w:t>8.</w:t>
            </w:r>
          </w:p>
        </w:tc>
        <w:tc>
          <w:tcPr>
            <w:tcW w:w="2791" w:type="dxa"/>
          </w:tcPr>
          <w:p w14:paraId="7E304338"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Festyn wiosenny ze „Stowarzyszeniem  60” w Szklarskiej Porębie</w:t>
            </w:r>
          </w:p>
        </w:tc>
        <w:tc>
          <w:tcPr>
            <w:tcW w:w="1578" w:type="dxa"/>
          </w:tcPr>
          <w:p w14:paraId="1C8FB1F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1.05.2019.</w:t>
            </w:r>
          </w:p>
        </w:tc>
        <w:tc>
          <w:tcPr>
            <w:tcW w:w="3970" w:type="dxa"/>
          </w:tcPr>
          <w:p w14:paraId="4FAACC29"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„Stowarzyszenie 60” zrzesza osoby starsze – emerytów ze Szklarskiej Poręby i okolic. W ramach imprezy odbyła się prezentacja multimedialna i zajęcia edukacyjne dla uczestników.</w:t>
            </w:r>
          </w:p>
        </w:tc>
      </w:tr>
      <w:tr w:rsidR="008860CE" w:rsidRPr="00DD18EA" w14:paraId="31D90DE3" w14:textId="77777777" w:rsidTr="00DD18EA">
        <w:tc>
          <w:tcPr>
            <w:tcW w:w="721" w:type="dxa"/>
            <w:shd w:val="clear" w:color="auto" w:fill="9CC2E5" w:themeFill="accent1" w:themeFillTint="99"/>
          </w:tcPr>
          <w:p w14:paraId="1C039546"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9.</w:t>
            </w:r>
          </w:p>
        </w:tc>
        <w:tc>
          <w:tcPr>
            <w:tcW w:w="2791" w:type="dxa"/>
          </w:tcPr>
          <w:p w14:paraId="508260F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Edukacja zdalna osób starszych</w:t>
            </w:r>
          </w:p>
        </w:tc>
        <w:tc>
          <w:tcPr>
            <w:tcW w:w="1578" w:type="dxa"/>
          </w:tcPr>
          <w:p w14:paraId="34CEC8F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7C00480D"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Na stronie internetowej KPN (www.kpnmab.pl) znajdują się wybrane panoramy Karkonoszy oraz Wirtualna wycieczka i ciekawe filmy– te zdalne atrakcje umożliwiają zwiedzanie najpiękniejszych miejsc w KPN także z domu. Ponadto na parkowym FB  zamieszczamy szereg ciekawostek przyrodniczych. Zainteresowani znajdą także publikacje KPN w wersji PDF.</w:t>
            </w:r>
          </w:p>
        </w:tc>
      </w:tr>
      <w:tr w:rsidR="008860CE" w:rsidRPr="00DD18EA" w14:paraId="3E554C10" w14:textId="77777777" w:rsidTr="00DD18EA">
        <w:tc>
          <w:tcPr>
            <w:tcW w:w="721" w:type="dxa"/>
            <w:shd w:val="clear" w:color="auto" w:fill="9CC2E5" w:themeFill="accent1" w:themeFillTint="99"/>
          </w:tcPr>
          <w:p w14:paraId="6EF69E58"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10.</w:t>
            </w:r>
          </w:p>
        </w:tc>
        <w:tc>
          <w:tcPr>
            <w:tcW w:w="2791" w:type="dxa"/>
          </w:tcPr>
          <w:p w14:paraId="062590D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Udostępnienie szlaku niebieskiego na odcinku od parkingu przy DK3 do Wodospadu Szklarki dla osób niepełnosprawnych – ścieżka edukacyjna Do Wodospadu Szklarki</w:t>
            </w:r>
          </w:p>
        </w:tc>
        <w:tc>
          <w:tcPr>
            <w:tcW w:w="1578" w:type="dxa"/>
          </w:tcPr>
          <w:p w14:paraId="6A32D0D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3A82932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Szlak jest dostosowany do potrzeb osób z niepełnosprawnościami lub ograniczeniami ruchowymi. Jego długość wynosi 375 m. W zimie jest również utrzymywana i posypywana piaskiem. Jest to również ścieżka edukacyjna Do Wodospadu Szklarki, na której zlokalizowane są stanowiska i pulpity edukacyjne oraz dostępny jest przewodnik po ścieżce w wersji drukowanej i PDF.</w:t>
            </w:r>
          </w:p>
        </w:tc>
      </w:tr>
      <w:tr w:rsidR="008860CE" w:rsidRPr="00DD18EA" w14:paraId="49EB9A73" w14:textId="77777777" w:rsidTr="00DD18EA">
        <w:tc>
          <w:tcPr>
            <w:tcW w:w="721" w:type="dxa"/>
            <w:shd w:val="clear" w:color="auto" w:fill="9CC2E5" w:themeFill="accent1" w:themeFillTint="99"/>
          </w:tcPr>
          <w:p w14:paraId="6953E16B"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11.</w:t>
            </w:r>
          </w:p>
        </w:tc>
        <w:tc>
          <w:tcPr>
            <w:tcW w:w="2791" w:type="dxa"/>
          </w:tcPr>
          <w:p w14:paraId="51FBBD62"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Udostępnienie szlaku czarnego (Śląskiej Drogi) na odcinku od górnej stacji wyciągu na Kopę do schroniska Dom Śląski dla osób niepełnosprawnych </w:t>
            </w:r>
          </w:p>
        </w:tc>
        <w:tc>
          <w:tcPr>
            <w:tcW w:w="1578" w:type="dxa"/>
          </w:tcPr>
          <w:p w14:paraId="419D279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45041D7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Szlak jest dostosowany do potrzeb osób z niepełnosprawnościami lub ograniczeniami ruchowymi. Jego długość wynosi 1260 m szerokość ok 1 m. Szlak funkcjonuje w warunkach wysokogórskich (piętro subalpejskie, skomunikowany z koleją linową na Kopę) i nie jest utrzymywany w zimie – w zależności od warunków w okresie zimowym dostępny jest w zakresie barier. Na szlaku wyodrębnione są stanowiska edukacyjne z pulpitami edukacyjnymi.</w:t>
            </w:r>
          </w:p>
        </w:tc>
      </w:tr>
      <w:tr w:rsidR="008860CE" w:rsidRPr="00DD18EA" w14:paraId="4E7BF772" w14:textId="77777777" w:rsidTr="00DD18EA">
        <w:tc>
          <w:tcPr>
            <w:tcW w:w="9060" w:type="dxa"/>
            <w:gridSpan w:val="4"/>
            <w:shd w:val="clear" w:color="auto" w:fill="9CC2E5" w:themeFill="accent1" w:themeFillTint="99"/>
          </w:tcPr>
          <w:p w14:paraId="6E911267"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Magurski Park Narodowy</w:t>
            </w:r>
          </w:p>
        </w:tc>
      </w:tr>
      <w:tr w:rsidR="008860CE" w:rsidRPr="00DD18EA" w14:paraId="7430EBA7" w14:textId="77777777" w:rsidTr="00DD18EA">
        <w:tc>
          <w:tcPr>
            <w:tcW w:w="721" w:type="dxa"/>
            <w:shd w:val="clear" w:color="auto" w:fill="9CC2E5" w:themeFill="accent1" w:themeFillTint="99"/>
          </w:tcPr>
          <w:p w14:paraId="04D0BE56"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5722AEA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Remont Ośrodka Edukacyjno-Muzealnego im. Jana Szafrańskiego w Krempnej</w:t>
            </w:r>
          </w:p>
        </w:tc>
        <w:tc>
          <w:tcPr>
            <w:tcW w:w="1578" w:type="dxa"/>
          </w:tcPr>
          <w:p w14:paraId="6892119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II kwartał 2019</w:t>
            </w:r>
          </w:p>
        </w:tc>
        <w:tc>
          <w:tcPr>
            <w:tcW w:w="3970" w:type="dxa"/>
          </w:tcPr>
          <w:p w14:paraId="46BA4D3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 2019 roku zakończono remont Ośrodka Edukacyjno-Muzealnego w Krempnej, w ramach którego wykonano remont korytarzy i urządzono na nich nową ekspozycję. Posiada ona aktualnie ścieżkę zwiedzania dostosowaną do osób z ograniczeniami mobilności. Na korytarzach rozmieszczono również dużo dodatkowych miejsc odpoczynku (pufy, fotele, ławki), na brak których zwracały wcześniej uwagę zwłaszcza osoby starsze. Obecnie mogą zwiedzać Ośrodek w swoim własnym tempie i bez problemu odpocząć, kiedy tego potrzebują.</w:t>
            </w:r>
          </w:p>
        </w:tc>
      </w:tr>
      <w:tr w:rsidR="008860CE" w:rsidRPr="00DD18EA" w14:paraId="7855BE3A" w14:textId="77777777" w:rsidTr="00DD18EA">
        <w:tc>
          <w:tcPr>
            <w:tcW w:w="721" w:type="dxa"/>
            <w:shd w:val="clear" w:color="auto" w:fill="9CC2E5" w:themeFill="accent1" w:themeFillTint="99"/>
          </w:tcPr>
          <w:p w14:paraId="13CD5A1C"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4806A22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Opracowanie i wdrożenie warsztatów przyrodniczo-rękodzielniczych</w:t>
            </w:r>
          </w:p>
        </w:tc>
        <w:tc>
          <w:tcPr>
            <w:tcW w:w="1578" w:type="dxa"/>
          </w:tcPr>
          <w:p w14:paraId="4186FAD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IV kwartał 2019</w:t>
            </w:r>
          </w:p>
        </w:tc>
        <w:tc>
          <w:tcPr>
            <w:tcW w:w="3970" w:type="dxa"/>
          </w:tcPr>
          <w:p w14:paraId="725314E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Pod koniec roku opracowano nowe warsztaty realizowane przez Zespół ds. Edukacji, skierowane głównie do osób starszych. Po konsultacjach i licznych rozmowach zdecydowano się na wprowadzenie do oferty edukacyjnych warsztatów rękodzielniczych, które pomagają utrzymać umiejętności manualne seniorów, będąc jednocześnie ciekawą propozycją merytoryczną. Do tej </w:t>
            </w:r>
            <w:r w:rsidRPr="00DD18EA">
              <w:rPr>
                <w:rFonts w:ascii="Times New Roman" w:hAnsi="Times New Roman" w:cs="Times New Roman"/>
                <w:sz w:val="20"/>
                <w:szCs w:val="20"/>
              </w:rPr>
              <w:lastRenderedPageBreak/>
              <w:t>pory zrealizowano kilka z nich z różnymi grupami seniorów, co zostało przyjęte przez Nich z dużym entuzjazmem.</w:t>
            </w:r>
          </w:p>
        </w:tc>
      </w:tr>
      <w:tr w:rsidR="008860CE" w:rsidRPr="00DD18EA" w14:paraId="3394D8A9" w14:textId="77777777" w:rsidTr="00DD18EA">
        <w:tc>
          <w:tcPr>
            <w:tcW w:w="9060" w:type="dxa"/>
            <w:gridSpan w:val="4"/>
            <w:shd w:val="clear" w:color="auto" w:fill="9CC2E5" w:themeFill="accent1" w:themeFillTint="99"/>
          </w:tcPr>
          <w:p w14:paraId="0C6FAEE2"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lastRenderedPageBreak/>
              <w:t>Narwiański Park Narodowy</w:t>
            </w:r>
          </w:p>
        </w:tc>
      </w:tr>
      <w:tr w:rsidR="008860CE" w:rsidRPr="00DD18EA" w14:paraId="049B6995" w14:textId="77777777" w:rsidTr="00DD18EA">
        <w:tc>
          <w:tcPr>
            <w:tcW w:w="721" w:type="dxa"/>
            <w:shd w:val="clear" w:color="auto" w:fill="9CC2E5" w:themeFill="accent1" w:themeFillTint="99"/>
          </w:tcPr>
          <w:p w14:paraId="7048ACF3"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2F1FD32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Projekt „Liderzy kooperacji” realizowany w ramach Projektu Operacyjnego Wiedza, Edukacja, Rozwój finansowanego ze środków Europejskiego Funduszu Społecznego na lata 2014-2020.</w:t>
            </w:r>
          </w:p>
        </w:tc>
        <w:tc>
          <w:tcPr>
            <w:tcW w:w="1578" w:type="dxa"/>
          </w:tcPr>
          <w:p w14:paraId="72F42FC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01.04.2018 – 31.03.2021</w:t>
            </w:r>
          </w:p>
        </w:tc>
        <w:tc>
          <w:tcPr>
            <w:tcW w:w="3970" w:type="dxa"/>
          </w:tcPr>
          <w:p w14:paraId="1CDA7A88"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Park pomagał przy organizacji spotkań klubu seniora w gminie Kobylin Borzymy (gmina, w której położna jest siedziba Parku), pomagał też przy mobilizowaniu mieszkańców gminy do udziału w wydarzeniach. Prowadzone były też prelekcje na temat parku. </w:t>
            </w:r>
          </w:p>
        </w:tc>
      </w:tr>
      <w:tr w:rsidR="008860CE" w:rsidRPr="00DD18EA" w14:paraId="5D521262" w14:textId="77777777" w:rsidTr="00DD18EA">
        <w:tc>
          <w:tcPr>
            <w:tcW w:w="9060" w:type="dxa"/>
            <w:gridSpan w:val="4"/>
            <w:shd w:val="clear" w:color="auto" w:fill="9CC2E5" w:themeFill="accent1" w:themeFillTint="99"/>
          </w:tcPr>
          <w:p w14:paraId="592E391E"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Ojcowski Park Narodowy</w:t>
            </w:r>
          </w:p>
        </w:tc>
      </w:tr>
      <w:tr w:rsidR="008860CE" w:rsidRPr="00DD18EA" w14:paraId="60A3AD2D" w14:textId="77777777" w:rsidTr="00DD18EA">
        <w:tc>
          <w:tcPr>
            <w:tcW w:w="721" w:type="dxa"/>
            <w:shd w:val="clear" w:color="auto" w:fill="9CC2E5" w:themeFill="accent1" w:themeFillTint="99"/>
          </w:tcPr>
          <w:p w14:paraId="30981551"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5576847D"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Trasy Nordic Walking</w:t>
            </w:r>
          </w:p>
        </w:tc>
        <w:tc>
          <w:tcPr>
            <w:tcW w:w="1578" w:type="dxa"/>
          </w:tcPr>
          <w:p w14:paraId="3EC594DD"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od 2016 </w:t>
            </w:r>
          </w:p>
        </w:tc>
        <w:tc>
          <w:tcPr>
            <w:tcW w:w="3970" w:type="dxa"/>
          </w:tcPr>
          <w:p w14:paraId="3CECB9E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Trasy Nordic Walking przebiegające przez Park stanowią atrakcję dla osób starszych. Są licznie uczęszczane przez grupy z lokalnych klubów seniorów, dla których ta forma rekreacji jest atrakcyjna.</w:t>
            </w:r>
          </w:p>
        </w:tc>
      </w:tr>
      <w:tr w:rsidR="008860CE" w:rsidRPr="00DD18EA" w14:paraId="4B6F5B09" w14:textId="77777777" w:rsidTr="00DD18EA">
        <w:tc>
          <w:tcPr>
            <w:tcW w:w="721" w:type="dxa"/>
            <w:shd w:val="clear" w:color="auto" w:fill="9CC2E5" w:themeFill="accent1" w:themeFillTint="99"/>
          </w:tcPr>
          <w:p w14:paraId="02377948"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2534822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Udogodnienia dla osób niepełnosprawnych</w:t>
            </w:r>
          </w:p>
        </w:tc>
        <w:tc>
          <w:tcPr>
            <w:tcW w:w="1578" w:type="dxa"/>
          </w:tcPr>
          <w:p w14:paraId="6A7187C1" w14:textId="77777777" w:rsidR="008860CE" w:rsidRPr="00DD18EA" w:rsidRDefault="008860CE" w:rsidP="00DD18EA">
            <w:pPr>
              <w:spacing w:after="0" w:line="240" w:lineRule="auto"/>
              <w:rPr>
                <w:rFonts w:ascii="Times New Roman" w:hAnsi="Times New Roman" w:cs="Times New Roman"/>
                <w:sz w:val="20"/>
                <w:szCs w:val="20"/>
              </w:rPr>
            </w:pPr>
          </w:p>
        </w:tc>
        <w:tc>
          <w:tcPr>
            <w:tcW w:w="3970" w:type="dxa"/>
          </w:tcPr>
          <w:p w14:paraId="2071DE7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Wszelkie udogodnienia dla osób niepełnosprawnych poprawiają dostępność także dla osób starszych. Dotyczy to m.in. Centrum Edukacyjno-Muzealnego i Ośrodka Edukacyjnego, a także toalety przy Jaskini Ciemnej. Na szlakach sukcesywnie montowane są bariery. W wielu miejscach Parku dostępne są miejsca odpoczynku –  ławki, ławostoły i wiaty.</w:t>
            </w:r>
          </w:p>
        </w:tc>
      </w:tr>
      <w:tr w:rsidR="008860CE" w:rsidRPr="00DD18EA" w14:paraId="5A11CBE0" w14:textId="77777777" w:rsidTr="00DD18EA">
        <w:tc>
          <w:tcPr>
            <w:tcW w:w="721" w:type="dxa"/>
            <w:shd w:val="clear" w:color="auto" w:fill="9CC2E5" w:themeFill="accent1" w:themeFillTint="99"/>
          </w:tcPr>
          <w:p w14:paraId="0A0434C6"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3.</w:t>
            </w:r>
          </w:p>
        </w:tc>
        <w:tc>
          <w:tcPr>
            <w:tcW w:w="2791" w:type="dxa"/>
          </w:tcPr>
          <w:p w14:paraId="5E6954DD"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Uczestniczenie w akcji – Weekend dla Seniora</w:t>
            </w:r>
          </w:p>
        </w:tc>
        <w:tc>
          <w:tcPr>
            <w:tcW w:w="1578" w:type="dxa"/>
          </w:tcPr>
          <w:p w14:paraId="09E9805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od 2018 r. </w:t>
            </w:r>
          </w:p>
        </w:tc>
        <w:tc>
          <w:tcPr>
            <w:tcW w:w="3970" w:type="dxa"/>
          </w:tcPr>
          <w:p w14:paraId="5DECA20E"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Bezpłatne zwiedzanie atrakcji Parku w wybrany weekend.</w:t>
            </w:r>
          </w:p>
        </w:tc>
      </w:tr>
      <w:tr w:rsidR="008860CE" w:rsidRPr="00DD18EA" w14:paraId="4119799E" w14:textId="77777777" w:rsidTr="00DD18EA">
        <w:tc>
          <w:tcPr>
            <w:tcW w:w="721" w:type="dxa"/>
            <w:shd w:val="clear" w:color="auto" w:fill="9CC2E5" w:themeFill="accent1" w:themeFillTint="99"/>
          </w:tcPr>
          <w:p w14:paraId="77C73394"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4.</w:t>
            </w:r>
          </w:p>
        </w:tc>
        <w:tc>
          <w:tcPr>
            <w:tcW w:w="2791" w:type="dxa"/>
          </w:tcPr>
          <w:p w14:paraId="3012A17D"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Uczestnictwo w akcji – 60+Kultura</w:t>
            </w:r>
          </w:p>
        </w:tc>
        <w:tc>
          <w:tcPr>
            <w:tcW w:w="1578" w:type="dxa"/>
          </w:tcPr>
          <w:p w14:paraId="55CA017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od 2019 r.</w:t>
            </w:r>
          </w:p>
        </w:tc>
        <w:tc>
          <w:tcPr>
            <w:tcW w:w="3970" w:type="dxa"/>
          </w:tcPr>
          <w:p w14:paraId="41A70FE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Ostatni weekend września, zniżki opłat za wstęp do obiektów dla seniorów</w:t>
            </w:r>
          </w:p>
        </w:tc>
      </w:tr>
      <w:tr w:rsidR="008860CE" w:rsidRPr="00DD18EA" w14:paraId="716E1DF4" w14:textId="77777777" w:rsidTr="00DD18EA">
        <w:tc>
          <w:tcPr>
            <w:tcW w:w="721" w:type="dxa"/>
            <w:shd w:val="clear" w:color="auto" w:fill="9CC2E5" w:themeFill="accent1" w:themeFillTint="99"/>
          </w:tcPr>
          <w:p w14:paraId="095B696F"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5.</w:t>
            </w:r>
          </w:p>
        </w:tc>
        <w:tc>
          <w:tcPr>
            <w:tcW w:w="2791" w:type="dxa"/>
          </w:tcPr>
          <w:p w14:paraId="12E8824C"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bilety ulgowe</w:t>
            </w:r>
          </w:p>
        </w:tc>
        <w:tc>
          <w:tcPr>
            <w:tcW w:w="1578" w:type="dxa"/>
          </w:tcPr>
          <w:p w14:paraId="7CDB4F35" w14:textId="77777777" w:rsidR="008860CE" w:rsidRPr="00DD18EA" w:rsidRDefault="008860CE" w:rsidP="00DD18EA">
            <w:pPr>
              <w:spacing w:after="0" w:line="240" w:lineRule="auto"/>
              <w:rPr>
                <w:rFonts w:ascii="Times New Roman" w:hAnsi="Times New Roman" w:cs="Times New Roman"/>
                <w:sz w:val="20"/>
                <w:szCs w:val="20"/>
              </w:rPr>
            </w:pPr>
          </w:p>
        </w:tc>
        <w:tc>
          <w:tcPr>
            <w:tcW w:w="3970" w:type="dxa"/>
          </w:tcPr>
          <w:p w14:paraId="047AADE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Bilety ulgowe dla emerytów i rencistów do wszystkich obiektów turystycznych </w:t>
            </w:r>
          </w:p>
        </w:tc>
      </w:tr>
      <w:tr w:rsidR="008860CE" w:rsidRPr="00DD18EA" w14:paraId="5352BD53" w14:textId="77777777" w:rsidTr="00DD18EA">
        <w:tc>
          <w:tcPr>
            <w:tcW w:w="9060" w:type="dxa"/>
            <w:gridSpan w:val="4"/>
            <w:shd w:val="clear" w:color="auto" w:fill="9CC2E5" w:themeFill="accent1" w:themeFillTint="99"/>
          </w:tcPr>
          <w:p w14:paraId="28800BD5"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Pieniński Park Narodowy</w:t>
            </w:r>
          </w:p>
        </w:tc>
      </w:tr>
      <w:tr w:rsidR="008860CE" w:rsidRPr="00DD18EA" w14:paraId="5A64B174" w14:textId="77777777" w:rsidTr="00DD18EA">
        <w:tc>
          <w:tcPr>
            <w:tcW w:w="721" w:type="dxa"/>
            <w:shd w:val="clear" w:color="auto" w:fill="9CC2E5" w:themeFill="accent1" w:themeFillTint="99"/>
          </w:tcPr>
          <w:p w14:paraId="2835F5EA"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3927E6E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Spotkania seniorów z pracownikiem Parku</w:t>
            </w:r>
          </w:p>
        </w:tc>
        <w:tc>
          <w:tcPr>
            <w:tcW w:w="1578" w:type="dxa"/>
          </w:tcPr>
          <w:p w14:paraId="4AD1FE0A"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750BA27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Spotkania z pracownikiem parku, oprowadzanie po wystawie przyrodniczej, wizyta w magazynie zbiorów.</w:t>
            </w:r>
          </w:p>
        </w:tc>
      </w:tr>
      <w:tr w:rsidR="008860CE" w:rsidRPr="00DD18EA" w14:paraId="19E49FFB" w14:textId="77777777" w:rsidTr="00DD18EA">
        <w:tc>
          <w:tcPr>
            <w:tcW w:w="721" w:type="dxa"/>
            <w:shd w:val="clear" w:color="auto" w:fill="9CC2E5" w:themeFill="accent1" w:themeFillTint="99"/>
          </w:tcPr>
          <w:p w14:paraId="63F8A3A7"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54AB28D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"60+ Kultura"</w:t>
            </w:r>
          </w:p>
        </w:tc>
        <w:tc>
          <w:tcPr>
            <w:tcW w:w="1578" w:type="dxa"/>
          </w:tcPr>
          <w:p w14:paraId="4549AA0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360C88B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Bezpłatne zwiedzanie wystawy przyrodniczej Pienińskiego PN dla seniorów w ramach akcji "60+ Kultura" organizowanej przez Ministerstwo Kultury i Dziedzictwa Narodowego </w:t>
            </w:r>
          </w:p>
        </w:tc>
      </w:tr>
      <w:tr w:rsidR="008860CE" w:rsidRPr="00DD18EA" w14:paraId="5DC6025F" w14:textId="77777777" w:rsidTr="00DD18EA">
        <w:tc>
          <w:tcPr>
            <w:tcW w:w="721" w:type="dxa"/>
            <w:shd w:val="clear" w:color="auto" w:fill="9CC2E5" w:themeFill="accent1" w:themeFillTint="99"/>
          </w:tcPr>
          <w:p w14:paraId="72DA2411"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3.</w:t>
            </w:r>
          </w:p>
        </w:tc>
        <w:tc>
          <w:tcPr>
            <w:tcW w:w="2791" w:type="dxa"/>
          </w:tcPr>
          <w:p w14:paraId="35A68FB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Zniżka dla emerytów zwiedzających Park </w:t>
            </w:r>
          </w:p>
        </w:tc>
        <w:tc>
          <w:tcPr>
            <w:tcW w:w="1578" w:type="dxa"/>
          </w:tcPr>
          <w:p w14:paraId="51E557B2"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6662222D"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Emeryci mają prawo do ulgi w opłacie za udostępnienie Parku do zwiedzania.</w:t>
            </w:r>
          </w:p>
        </w:tc>
      </w:tr>
      <w:tr w:rsidR="008860CE" w:rsidRPr="00DD18EA" w14:paraId="47467CF2" w14:textId="77777777" w:rsidTr="00DD18EA">
        <w:tc>
          <w:tcPr>
            <w:tcW w:w="9060" w:type="dxa"/>
            <w:gridSpan w:val="4"/>
            <w:shd w:val="clear" w:color="auto" w:fill="9CC2E5" w:themeFill="accent1" w:themeFillTint="99"/>
          </w:tcPr>
          <w:p w14:paraId="1055D12E"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Poleski Park Narodowy</w:t>
            </w:r>
          </w:p>
        </w:tc>
      </w:tr>
      <w:tr w:rsidR="008860CE" w:rsidRPr="00DD18EA" w14:paraId="2C6A2CC7" w14:textId="77777777" w:rsidTr="00DD18EA">
        <w:tc>
          <w:tcPr>
            <w:tcW w:w="721" w:type="dxa"/>
            <w:shd w:val="clear" w:color="auto" w:fill="9CC2E5" w:themeFill="accent1" w:themeFillTint="99"/>
          </w:tcPr>
          <w:p w14:paraId="76342255"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49160F9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„Budowa tras pieszo rowerowych w otoczeniu Poleskiego Parku Narodowego”</w:t>
            </w:r>
          </w:p>
        </w:tc>
        <w:tc>
          <w:tcPr>
            <w:tcW w:w="1578" w:type="dxa"/>
          </w:tcPr>
          <w:p w14:paraId="6E60DF4E"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1563B02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 ramach rea</w:t>
            </w:r>
            <w:r w:rsidR="001E2259" w:rsidRPr="00DD18EA">
              <w:rPr>
                <w:rFonts w:ascii="Times New Roman" w:hAnsi="Times New Roman" w:cs="Times New Roman"/>
                <w:sz w:val="20"/>
                <w:szCs w:val="20"/>
              </w:rPr>
              <w:t xml:space="preserve">lizacji zadania, między innymi: </w:t>
            </w:r>
            <w:r w:rsidRPr="00DD18EA">
              <w:rPr>
                <w:rFonts w:ascii="Times New Roman" w:hAnsi="Times New Roman" w:cs="Times New Roman"/>
                <w:sz w:val="20"/>
                <w:szCs w:val="20"/>
              </w:rPr>
              <w:t xml:space="preserve">zmodernizowano ścieżkę „Żółwik” - wykonano nowe chodniki przystosowane do potrzeb osób starszych, niepełnosprawnych i rowerzystów, ułatwiające swobodne poruszanie się i lepszy dostęp do obiektów ścieżki „Żółwik” i Ośrodka Dydaktyczno-Muzealnego w Starym Załuczu.  </w:t>
            </w:r>
          </w:p>
        </w:tc>
      </w:tr>
      <w:tr w:rsidR="008860CE" w:rsidRPr="00DD18EA" w14:paraId="604447F3" w14:textId="77777777" w:rsidTr="00DD18EA">
        <w:tc>
          <w:tcPr>
            <w:tcW w:w="9060" w:type="dxa"/>
            <w:gridSpan w:val="4"/>
            <w:shd w:val="clear" w:color="auto" w:fill="9CC2E5" w:themeFill="accent1" w:themeFillTint="99"/>
          </w:tcPr>
          <w:p w14:paraId="004488E4" w14:textId="77777777" w:rsidR="008860CE" w:rsidRPr="00DD18EA" w:rsidRDefault="008860CE" w:rsidP="00DD18EA">
            <w:pPr>
              <w:spacing w:after="0" w:line="240" w:lineRule="auto"/>
              <w:jc w:val="center"/>
              <w:rPr>
                <w:rFonts w:ascii="Times New Roman" w:hAnsi="Times New Roman" w:cs="Times New Roman"/>
                <w:b/>
                <w:bCs/>
                <w:sz w:val="20"/>
                <w:szCs w:val="20"/>
              </w:rPr>
            </w:pPr>
            <w:bookmarkStart w:id="115" w:name="_Hlk43210742"/>
            <w:r w:rsidRPr="00DD18EA">
              <w:rPr>
                <w:rFonts w:ascii="Times New Roman" w:hAnsi="Times New Roman" w:cs="Times New Roman"/>
                <w:b/>
                <w:bCs/>
                <w:sz w:val="20"/>
                <w:szCs w:val="20"/>
              </w:rPr>
              <w:t>Słowiński Park Narodowy</w:t>
            </w:r>
          </w:p>
        </w:tc>
      </w:tr>
      <w:tr w:rsidR="008860CE" w:rsidRPr="00DD18EA" w14:paraId="693C3A29" w14:textId="77777777" w:rsidTr="00DD18EA">
        <w:tc>
          <w:tcPr>
            <w:tcW w:w="721" w:type="dxa"/>
            <w:shd w:val="clear" w:color="auto" w:fill="9CC2E5" w:themeFill="accent1" w:themeFillTint="99"/>
          </w:tcPr>
          <w:p w14:paraId="36892D2A"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47967E19"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Przebudowa i rozbudowa budynków publicznych należących do Parku (budynek </w:t>
            </w:r>
            <w:r w:rsidRPr="00DD18EA">
              <w:rPr>
                <w:rFonts w:ascii="Times New Roman" w:hAnsi="Times New Roman" w:cs="Times New Roman"/>
                <w:sz w:val="20"/>
                <w:szCs w:val="20"/>
              </w:rPr>
              <w:lastRenderedPageBreak/>
              <w:t>nr 7 w Rąbce i Muzeum SPN w Czołpinie)</w:t>
            </w:r>
          </w:p>
        </w:tc>
        <w:tc>
          <w:tcPr>
            <w:tcW w:w="1578" w:type="dxa"/>
          </w:tcPr>
          <w:p w14:paraId="737056C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lastRenderedPageBreak/>
              <w:t>2019</w:t>
            </w:r>
          </w:p>
        </w:tc>
        <w:tc>
          <w:tcPr>
            <w:tcW w:w="3970" w:type="dxa"/>
          </w:tcPr>
          <w:p w14:paraId="37BD038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budowa podjazdu oraz wydzielenie pomieszczenia wc z wszelkimi udogodnieniami dla osób z dysfunkcją </w:t>
            </w:r>
            <w:r w:rsidRPr="00DD18EA">
              <w:rPr>
                <w:rFonts w:ascii="Times New Roman" w:hAnsi="Times New Roman" w:cs="Times New Roman"/>
                <w:sz w:val="20"/>
                <w:szCs w:val="20"/>
              </w:rPr>
              <w:lastRenderedPageBreak/>
              <w:t>chodzenia, w tym osób starszych (Rąbka) oraz montaż windy (Czołpiń)</w:t>
            </w:r>
          </w:p>
        </w:tc>
      </w:tr>
      <w:tr w:rsidR="008860CE" w:rsidRPr="00DD18EA" w14:paraId="142C6D0E" w14:textId="77777777" w:rsidTr="00DD18EA">
        <w:tc>
          <w:tcPr>
            <w:tcW w:w="721" w:type="dxa"/>
            <w:shd w:val="clear" w:color="auto" w:fill="9CC2E5" w:themeFill="accent1" w:themeFillTint="99"/>
          </w:tcPr>
          <w:p w14:paraId="46902FFB"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lastRenderedPageBreak/>
              <w:t>2.</w:t>
            </w:r>
          </w:p>
        </w:tc>
        <w:tc>
          <w:tcPr>
            <w:tcW w:w="2791" w:type="dxa"/>
          </w:tcPr>
          <w:p w14:paraId="248D780B" w14:textId="77777777" w:rsidR="008860CE" w:rsidRPr="00DD18EA" w:rsidRDefault="008860CE" w:rsidP="00DD18EA">
            <w:pPr>
              <w:tabs>
                <w:tab w:val="left" w:pos="345"/>
              </w:tabs>
              <w:spacing w:after="0" w:line="240" w:lineRule="auto"/>
              <w:rPr>
                <w:rFonts w:ascii="Times New Roman" w:hAnsi="Times New Roman" w:cs="Times New Roman"/>
                <w:sz w:val="20"/>
                <w:szCs w:val="20"/>
              </w:rPr>
            </w:pPr>
            <w:r w:rsidRPr="00DD18EA">
              <w:rPr>
                <w:rFonts w:ascii="Times New Roman" w:hAnsi="Times New Roman" w:cs="Times New Roman"/>
                <w:sz w:val="20"/>
                <w:szCs w:val="20"/>
              </w:rPr>
              <w:t>Transport turystyczny na obszarze Parku</w:t>
            </w:r>
          </w:p>
        </w:tc>
        <w:tc>
          <w:tcPr>
            <w:tcW w:w="1578" w:type="dxa"/>
          </w:tcPr>
          <w:p w14:paraId="6242F8E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3E5313D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Umożliwienie transportu statkiem pasażerskim na odcinku Rąbka – Wyrzutnia Rakiet – Rąbka oraz transportu meleksami na trasie Rąbka – wydmy – Rąbka ułatwiającego dostęp do atrakcji Parku osobom starszym i niepełnosprawnym.</w:t>
            </w:r>
          </w:p>
        </w:tc>
      </w:tr>
      <w:tr w:rsidR="008860CE" w:rsidRPr="00DD18EA" w14:paraId="368232B8" w14:textId="77777777" w:rsidTr="00DD18EA">
        <w:tc>
          <w:tcPr>
            <w:tcW w:w="721" w:type="dxa"/>
            <w:shd w:val="clear" w:color="auto" w:fill="9CC2E5" w:themeFill="accent1" w:themeFillTint="99"/>
          </w:tcPr>
          <w:p w14:paraId="07607F0B"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3.</w:t>
            </w:r>
          </w:p>
        </w:tc>
        <w:tc>
          <w:tcPr>
            <w:tcW w:w="2791" w:type="dxa"/>
          </w:tcPr>
          <w:p w14:paraId="1BF66B0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Budowa ciągu pieszego dla ruchu pieszego z parkingu leśnego w Czołpinie do Muzeum SPN w Czołpinie</w:t>
            </w:r>
          </w:p>
        </w:tc>
        <w:tc>
          <w:tcPr>
            <w:tcW w:w="1578" w:type="dxa"/>
          </w:tcPr>
          <w:p w14:paraId="57743DC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21723C5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Umożliwienie dostępu osób starczych do Muzeum SPN w  Czołpinie przez wykonanie przejścia w formie pomostów drewnianych o szerokości 2m z ominięciem ciągu komunikacyjnego dla ruchu kołowego.</w:t>
            </w:r>
          </w:p>
        </w:tc>
      </w:tr>
      <w:tr w:rsidR="008860CE" w:rsidRPr="00DD18EA" w14:paraId="322127D3" w14:textId="77777777" w:rsidTr="00DD18EA">
        <w:tc>
          <w:tcPr>
            <w:tcW w:w="9060" w:type="dxa"/>
            <w:gridSpan w:val="4"/>
            <w:shd w:val="clear" w:color="auto" w:fill="9CC2E5" w:themeFill="accent1" w:themeFillTint="99"/>
          </w:tcPr>
          <w:p w14:paraId="3BE09782" w14:textId="77777777" w:rsidR="008860CE" w:rsidRPr="00DD18EA" w:rsidRDefault="008860CE" w:rsidP="00DD18EA">
            <w:pPr>
              <w:spacing w:after="0" w:line="240" w:lineRule="auto"/>
              <w:jc w:val="center"/>
              <w:rPr>
                <w:rFonts w:ascii="Times New Roman" w:hAnsi="Times New Roman" w:cs="Times New Roman"/>
                <w:b/>
                <w:bCs/>
                <w:sz w:val="20"/>
                <w:szCs w:val="20"/>
              </w:rPr>
            </w:pPr>
            <w:bookmarkStart w:id="116" w:name="_Hlk43215189"/>
            <w:bookmarkEnd w:id="115"/>
            <w:r w:rsidRPr="00DD18EA">
              <w:rPr>
                <w:rFonts w:ascii="Times New Roman" w:hAnsi="Times New Roman" w:cs="Times New Roman"/>
                <w:b/>
                <w:bCs/>
                <w:sz w:val="20"/>
                <w:szCs w:val="20"/>
              </w:rPr>
              <w:t>Świętokrzyski Park Narodowy</w:t>
            </w:r>
          </w:p>
        </w:tc>
      </w:tr>
      <w:tr w:rsidR="008860CE" w:rsidRPr="00DD18EA" w14:paraId="05FF480B" w14:textId="77777777" w:rsidTr="00DD18EA">
        <w:tc>
          <w:tcPr>
            <w:tcW w:w="721" w:type="dxa"/>
            <w:shd w:val="clear" w:color="auto" w:fill="9CC2E5" w:themeFill="accent1" w:themeFillTint="99"/>
          </w:tcPr>
          <w:p w14:paraId="3D019C13"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01CD574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Udostępnienie do zwiedzania przyrodniczo-kulturowej ścieżki edukacyjnej „Śladem kolejki wąskotorowej”</w:t>
            </w:r>
          </w:p>
        </w:tc>
        <w:tc>
          <w:tcPr>
            <w:tcW w:w="1578" w:type="dxa"/>
          </w:tcPr>
          <w:p w14:paraId="3D98FDA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2019-2020</w:t>
            </w:r>
          </w:p>
        </w:tc>
        <w:tc>
          <w:tcPr>
            <w:tcW w:w="3970" w:type="dxa"/>
          </w:tcPr>
          <w:p w14:paraId="3146D8FE"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Przyrodniczo-kulturowa ścieżka edukacyjna „Śladem kolejki wąskotorowej” została stworzona również z myślą o osobach starszych, mających trudności z pokonywaniem stromych, typowo górskich odcinków szlaków występujących w ŚPN. Jest to trasa prowadzona po nasypie dawnej kolejki wąskotorowej w terenie leśnym, a więc zacienionym i stosunkowo płaskim, bez przewyższeń, umożliwiającym osobom starszym bezproblemowe pokonanie wybranego odcinka w/w trasy.</w:t>
            </w:r>
          </w:p>
        </w:tc>
      </w:tr>
      <w:tr w:rsidR="008860CE" w:rsidRPr="00DD18EA" w14:paraId="73B30CB1" w14:textId="77777777" w:rsidTr="00DD18EA">
        <w:tc>
          <w:tcPr>
            <w:tcW w:w="9060" w:type="dxa"/>
            <w:gridSpan w:val="4"/>
            <w:shd w:val="clear" w:color="auto" w:fill="9CC2E5" w:themeFill="accent1" w:themeFillTint="99"/>
          </w:tcPr>
          <w:p w14:paraId="2D7B7137"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Tatrzański Park Narodowy</w:t>
            </w:r>
          </w:p>
        </w:tc>
      </w:tr>
      <w:tr w:rsidR="008860CE" w:rsidRPr="00DD18EA" w14:paraId="515B1B8B" w14:textId="77777777" w:rsidTr="00DD18EA">
        <w:tc>
          <w:tcPr>
            <w:tcW w:w="721" w:type="dxa"/>
            <w:shd w:val="clear" w:color="auto" w:fill="9CC2E5" w:themeFill="accent1" w:themeFillTint="99"/>
          </w:tcPr>
          <w:p w14:paraId="36FAC79B"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4DC84EF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Wolontariat Seniora </w:t>
            </w:r>
          </w:p>
        </w:tc>
        <w:tc>
          <w:tcPr>
            <w:tcW w:w="1578" w:type="dxa"/>
          </w:tcPr>
          <w:p w14:paraId="188A226A" w14:textId="77777777" w:rsidR="008860CE" w:rsidRPr="00DD18EA" w:rsidRDefault="008860CE" w:rsidP="00DD18EA">
            <w:pPr>
              <w:spacing w:after="0" w:line="240" w:lineRule="auto"/>
              <w:rPr>
                <w:rFonts w:ascii="Times New Roman" w:hAnsi="Times New Roman" w:cs="Times New Roman"/>
                <w:bCs/>
                <w:sz w:val="20"/>
                <w:szCs w:val="20"/>
              </w:rPr>
            </w:pPr>
            <w:r w:rsidRPr="00DD18EA">
              <w:rPr>
                <w:rFonts w:ascii="Times New Roman" w:hAnsi="Times New Roman" w:cs="Times New Roman"/>
                <w:bCs/>
                <w:sz w:val="20"/>
                <w:szCs w:val="20"/>
              </w:rPr>
              <w:t>Projekt rozpoczął się w 2019 roku, ale z uwagi na obecną sytuację epidemiczną został wstrzymany</w:t>
            </w:r>
          </w:p>
        </w:tc>
        <w:tc>
          <w:tcPr>
            <w:tcW w:w="3970" w:type="dxa"/>
          </w:tcPr>
          <w:p w14:paraId="0656F75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Projekt Wolontariat Seniora  odpowiada na problem braku sukcesji, naturalnego transferu wiedzy. Często emeryci odchodzą, zabierając swoje doświadczenie i wiedzę, a nowi pracownicy przychodzący na ich miejsce od nowa odkrywają rzeczy już wcześniej rozpoznane i sprawdzone. Odejście z pracy nie powinno być zakończeniem kontaktu z zakładem pracy i ludźmi związanymi z TPN, zwłaszcza że część emerytów już wcześniej sygnalizowała potrzebę podtrzymania kontaktu i dalszego zaangażowania w życie Parku. Projekt zakłada włączenie emerytowanych pracowników TPN w różne działania z zakresu edukacji i komunikacji np. prelekcje, szkolenia dla turystów, obecnych pracowników oraz wolontariuszy, prace terenowe.</w:t>
            </w:r>
          </w:p>
        </w:tc>
      </w:tr>
      <w:tr w:rsidR="008860CE" w:rsidRPr="00DD18EA" w14:paraId="092AC6FF" w14:textId="77777777" w:rsidTr="00DD18EA">
        <w:tc>
          <w:tcPr>
            <w:tcW w:w="721" w:type="dxa"/>
            <w:shd w:val="clear" w:color="auto" w:fill="9CC2E5" w:themeFill="accent1" w:themeFillTint="99"/>
          </w:tcPr>
          <w:p w14:paraId="2F3C8F05"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41477F65"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Imprezy cykliczne Spotkania z Filmem Górskim (05-08.09), Czyste Tatry (26-27.07); World Snow Day (19-20.01), Targi Produktu Regionalnego (11-15.08)</w:t>
            </w:r>
          </w:p>
        </w:tc>
        <w:tc>
          <w:tcPr>
            <w:tcW w:w="1578" w:type="dxa"/>
          </w:tcPr>
          <w:p w14:paraId="6EEF119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6482CE2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Tatrzański Park Narodowy od lat angażuje się w lokalne akcje kulturalno-edukacyjne. Podczas ubiegłorocznych wydarzeń odnotowano spory udział starszych osób.  Spotkania w plenerze stały się świetnym pretekstem do efektywnego wypełnienia wolnego czasu. Lokalizacja wydarzeń w centrum miasta oraz łatwość w dotarciu sprzyjały budowaniu frekwencji.</w:t>
            </w:r>
          </w:p>
        </w:tc>
      </w:tr>
      <w:tr w:rsidR="008860CE" w:rsidRPr="00DD18EA" w14:paraId="40E517DD" w14:textId="77777777" w:rsidTr="00DD18EA">
        <w:tc>
          <w:tcPr>
            <w:tcW w:w="721" w:type="dxa"/>
            <w:shd w:val="clear" w:color="auto" w:fill="9CC2E5" w:themeFill="accent1" w:themeFillTint="99"/>
          </w:tcPr>
          <w:p w14:paraId="4920D38B"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lastRenderedPageBreak/>
              <w:t>3.</w:t>
            </w:r>
          </w:p>
        </w:tc>
        <w:tc>
          <w:tcPr>
            <w:tcW w:w="2791" w:type="dxa"/>
          </w:tcPr>
          <w:p w14:paraId="0B604A19"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Wymiana i uzupełnienie małej infrastruktury turystycznej (ławy, ławostoły) przy szlakach</w:t>
            </w:r>
          </w:p>
        </w:tc>
        <w:tc>
          <w:tcPr>
            <w:tcW w:w="1578" w:type="dxa"/>
          </w:tcPr>
          <w:p w14:paraId="08076951"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1F5FFFCD"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bCs/>
                <w:sz w:val="20"/>
                <w:szCs w:val="20"/>
              </w:rPr>
              <w:t>Na terenie Parku znajdują się miejsca, w których turyści mogą odpocząć podczas wycieczki. Istnienie tych punktów ma szczególne znaczenie dla osób niepełnosprawnych i starszych. Miejsca wypoczynkowe zlokalizowane są głównie w dolinach, którymi wędrują również osoby starsze, które wymagają częstszych odpoczynków i przerw podczas wędrówek. Utrzymanie takich miejsc w dobrym stanie, wymiana nienadających się do użytkowania zniszczonych i uszkodzonych elementów ma znaczenie ze względu na bezpieczeństwo turystów którzy korzystają  z małej infrastruktury turystycznej.</w:t>
            </w:r>
          </w:p>
        </w:tc>
      </w:tr>
      <w:bookmarkEnd w:id="116"/>
      <w:tr w:rsidR="008860CE" w:rsidRPr="00DD18EA" w14:paraId="0EBEE9A9" w14:textId="77777777" w:rsidTr="00DD18EA">
        <w:tc>
          <w:tcPr>
            <w:tcW w:w="9060" w:type="dxa"/>
            <w:gridSpan w:val="4"/>
            <w:shd w:val="clear" w:color="auto" w:fill="9CC2E5" w:themeFill="accent1" w:themeFillTint="99"/>
          </w:tcPr>
          <w:p w14:paraId="2FD16290"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Park Narodowy „Ujście Warty”</w:t>
            </w:r>
          </w:p>
        </w:tc>
      </w:tr>
      <w:tr w:rsidR="008860CE" w:rsidRPr="00DD18EA" w14:paraId="2523A610" w14:textId="77777777" w:rsidTr="00DD18EA">
        <w:tc>
          <w:tcPr>
            <w:tcW w:w="721" w:type="dxa"/>
            <w:shd w:val="clear" w:color="auto" w:fill="9CC2E5" w:themeFill="accent1" w:themeFillTint="99"/>
          </w:tcPr>
          <w:p w14:paraId="4D16A67A"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78FD64FE"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Współpraca ze Związkiem Emerytów i Rencistów w Kostrzynie nad Odrą </w:t>
            </w:r>
          </w:p>
        </w:tc>
        <w:tc>
          <w:tcPr>
            <w:tcW w:w="1578" w:type="dxa"/>
            <w:vAlign w:val="center"/>
          </w:tcPr>
          <w:p w14:paraId="2C1859D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3D3B406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Wycieczki, prelekcje, udostępnianie miejsca na ognisko na imprezy integracyjne.  Udział członków Związku Emerytów i Rencistów w Dniu Mokradeł organizowanym w Parku. </w:t>
            </w:r>
          </w:p>
        </w:tc>
      </w:tr>
      <w:tr w:rsidR="008860CE" w:rsidRPr="00DD18EA" w14:paraId="1E54FD7E" w14:textId="77777777" w:rsidTr="00DD18EA">
        <w:tc>
          <w:tcPr>
            <w:tcW w:w="721" w:type="dxa"/>
            <w:shd w:val="clear" w:color="auto" w:fill="9CC2E5" w:themeFill="accent1" w:themeFillTint="99"/>
          </w:tcPr>
          <w:p w14:paraId="63A66F14"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tc>
        <w:tc>
          <w:tcPr>
            <w:tcW w:w="2791" w:type="dxa"/>
          </w:tcPr>
          <w:p w14:paraId="0300461C"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Prace pielęgnacyjne i remontowe w Przyrodniczym Ogrodzie Zmysłów </w:t>
            </w:r>
          </w:p>
        </w:tc>
        <w:tc>
          <w:tcPr>
            <w:tcW w:w="1578" w:type="dxa"/>
            <w:vAlign w:val="center"/>
          </w:tcPr>
          <w:p w14:paraId="3C8E4C9B"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3A1DA523"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Ogród jest częściowo przystosowany dla potrzeb osób niepełnosprawnych: z niepełnosprawnością ruchową i niedowidzących i stąd ma również ułatwiony dostęp  dla osób starszych. </w:t>
            </w:r>
          </w:p>
        </w:tc>
      </w:tr>
      <w:tr w:rsidR="008860CE" w:rsidRPr="00DD18EA" w14:paraId="7B504AF7" w14:textId="77777777" w:rsidTr="00DD18EA">
        <w:tc>
          <w:tcPr>
            <w:tcW w:w="9060" w:type="dxa"/>
            <w:gridSpan w:val="4"/>
            <w:shd w:val="clear" w:color="auto" w:fill="9CC2E5" w:themeFill="accent1" w:themeFillTint="99"/>
          </w:tcPr>
          <w:p w14:paraId="3D8D9314" w14:textId="77777777" w:rsidR="008860CE" w:rsidRPr="00DD18EA" w:rsidRDefault="008860CE" w:rsidP="00DD18EA">
            <w:pPr>
              <w:spacing w:after="0" w:line="240" w:lineRule="auto"/>
              <w:jc w:val="center"/>
              <w:rPr>
                <w:rFonts w:ascii="Times New Roman" w:hAnsi="Times New Roman" w:cs="Times New Roman"/>
                <w:b/>
                <w:bCs/>
                <w:sz w:val="20"/>
                <w:szCs w:val="20"/>
              </w:rPr>
            </w:pPr>
            <w:bookmarkStart w:id="117" w:name="_Hlk43215840"/>
            <w:bookmarkStart w:id="118" w:name="_Hlk43215549"/>
            <w:r w:rsidRPr="00DD18EA">
              <w:rPr>
                <w:rFonts w:ascii="Times New Roman" w:hAnsi="Times New Roman" w:cs="Times New Roman"/>
                <w:b/>
                <w:bCs/>
                <w:sz w:val="20"/>
                <w:szCs w:val="20"/>
              </w:rPr>
              <w:t>Wielkopolski Park Narodowy</w:t>
            </w:r>
          </w:p>
        </w:tc>
      </w:tr>
      <w:tr w:rsidR="008860CE" w:rsidRPr="00DD18EA" w14:paraId="684D57A3" w14:textId="77777777" w:rsidTr="00DD18EA">
        <w:tc>
          <w:tcPr>
            <w:tcW w:w="721" w:type="dxa"/>
            <w:shd w:val="clear" w:color="auto" w:fill="9CC2E5" w:themeFill="accent1" w:themeFillTint="99"/>
          </w:tcPr>
          <w:p w14:paraId="5258EABA"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3831CB4C"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 xml:space="preserve">Mobilne Sceny Muzyczne na terenie Wielkopolskiego Parku Narodowego </w:t>
            </w:r>
          </w:p>
        </w:tc>
        <w:tc>
          <w:tcPr>
            <w:tcW w:w="1578" w:type="dxa"/>
          </w:tcPr>
          <w:p w14:paraId="6950E16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lipiec – sierpień 2019</w:t>
            </w:r>
          </w:p>
        </w:tc>
        <w:tc>
          <w:tcPr>
            <w:tcW w:w="3970" w:type="dxa"/>
          </w:tcPr>
          <w:p w14:paraId="5EE3E822"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 porozumieniu z Fundacją Nordoff Robbins Polska zorganizowano Mobilne Sceny Muzyczne na terenie WPN. Zadanie polegało na przeprowadzeniu latem, na obszarze stacji turystycznych WPN zajęć z muzykoterapii dla osób starszych z różnorodnych grup społecznych, w szczególności osób wykluczonych lub zagrożonych wykluczeniem.</w:t>
            </w:r>
          </w:p>
        </w:tc>
      </w:tr>
      <w:tr w:rsidR="008860CE" w:rsidRPr="00DD18EA" w14:paraId="771017D0" w14:textId="77777777" w:rsidTr="00DD18EA">
        <w:tc>
          <w:tcPr>
            <w:tcW w:w="721" w:type="dxa"/>
            <w:shd w:val="clear" w:color="auto" w:fill="9CC2E5" w:themeFill="accent1" w:themeFillTint="99"/>
          </w:tcPr>
          <w:p w14:paraId="7A27E8A5" w14:textId="77777777" w:rsidR="00DD18EA"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2.</w:t>
            </w:r>
          </w:p>
          <w:p w14:paraId="6814F960" w14:textId="77777777" w:rsidR="00DD18EA" w:rsidRPr="00DD18EA" w:rsidRDefault="00DD18EA" w:rsidP="00DD18EA">
            <w:pPr>
              <w:spacing w:line="240" w:lineRule="auto"/>
              <w:rPr>
                <w:rFonts w:ascii="Times New Roman" w:hAnsi="Times New Roman" w:cs="Times New Roman"/>
                <w:sz w:val="20"/>
                <w:szCs w:val="20"/>
              </w:rPr>
            </w:pPr>
          </w:p>
          <w:p w14:paraId="07AFC666" w14:textId="77777777" w:rsidR="008860CE" w:rsidRPr="00DD18EA" w:rsidRDefault="008860CE" w:rsidP="00DD18EA">
            <w:pPr>
              <w:spacing w:line="240" w:lineRule="auto"/>
              <w:rPr>
                <w:rFonts w:ascii="Times New Roman" w:hAnsi="Times New Roman" w:cs="Times New Roman"/>
                <w:sz w:val="20"/>
                <w:szCs w:val="20"/>
              </w:rPr>
            </w:pPr>
          </w:p>
        </w:tc>
        <w:tc>
          <w:tcPr>
            <w:tcW w:w="2791" w:type="dxa"/>
          </w:tcPr>
          <w:p w14:paraId="7D5AE77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Upowszechnianie informacji z zakresu edukacji nieformalnej powiązane z działaniami na rzecz integracji międzypokoleniowej (Centrum Edukacji Ekologicznej)</w:t>
            </w:r>
          </w:p>
        </w:tc>
        <w:tc>
          <w:tcPr>
            <w:tcW w:w="1578" w:type="dxa"/>
          </w:tcPr>
          <w:p w14:paraId="236E5A62"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5B8E2436"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Zadanie wdrażane przy okazji realizacji cyklu imprez nastawionych na przekazywanie wiedzy o przyrodzie Wielkopolskiego Parku Narodowego oraz zasadach jej ochrony. Zakłada się w nich udział różnych formalnych i nieformalnych grup społecznych - m.in. zróżnicowanych wiekowo członków rodzin. Realizacja zadania przybiera formy zorganizowanych spotkań w sali audiowizualnej oraz Muzeum Przyrodniczym Wielkopolskiego PN lub połączonej ze zdobywaniem wiedzy rekreacji w terenie.</w:t>
            </w:r>
          </w:p>
        </w:tc>
      </w:tr>
      <w:tr w:rsidR="008860CE" w:rsidRPr="00DD18EA" w14:paraId="12E3469B" w14:textId="77777777" w:rsidTr="00DD18EA">
        <w:tc>
          <w:tcPr>
            <w:tcW w:w="721" w:type="dxa"/>
            <w:shd w:val="clear" w:color="auto" w:fill="9CC2E5" w:themeFill="accent1" w:themeFillTint="99"/>
          </w:tcPr>
          <w:p w14:paraId="3F6E6B7E"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3.</w:t>
            </w:r>
          </w:p>
        </w:tc>
        <w:tc>
          <w:tcPr>
            <w:tcW w:w="2791" w:type="dxa"/>
          </w:tcPr>
          <w:p w14:paraId="0A1E8E0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Uczestnictwo w akcji – 60+Kultura</w:t>
            </w:r>
          </w:p>
        </w:tc>
        <w:tc>
          <w:tcPr>
            <w:tcW w:w="1578" w:type="dxa"/>
          </w:tcPr>
          <w:p w14:paraId="513B606F"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6DEF5D82"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Bezpłatny wstęp do Muzeum Wielkopolskiego Parku Narodowego dla seniorów.</w:t>
            </w:r>
          </w:p>
        </w:tc>
      </w:tr>
      <w:bookmarkEnd w:id="117"/>
      <w:tr w:rsidR="008860CE" w:rsidRPr="00DD18EA" w14:paraId="25D67C12" w14:textId="77777777" w:rsidTr="00DD18EA">
        <w:tc>
          <w:tcPr>
            <w:tcW w:w="9060" w:type="dxa"/>
            <w:gridSpan w:val="4"/>
            <w:shd w:val="clear" w:color="auto" w:fill="9CC2E5" w:themeFill="accent1" w:themeFillTint="99"/>
          </w:tcPr>
          <w:p w14:paraId="34185DE2" w14:textId="77777777" w:rsidR="008860CE" w:rsidRPr="00DD18EA" w:rsidRDefault="008860CE" w:rsidP="00DD18EA">
            <w:pPr>
              <w:spacing w:after="0" w:line="240" w:lineRule="auto"/>
              <w:jc w:val="center"/>
              <w:rPr>
                <w:rFonts w:ascii="Times New Roman" w:hAnsi="Times New Roman" w:cs="Times New Roman"/>
                <w:b/>
                <w:bCs/>
                <w:sz w:val="20"/>
                <w:szCs w:val="20"/>
              </w:rPr>
            </w:pPr>
            <w:r w:rsidRPr="00DD18EA">
              <w:rPr>
                <w:rFonts w:ascii="Times New Roman" w:hAnsi="Times New Roman" w:cs="Times New Roman"/>
                <w:b/>
                <w:bCs/>
                <w:sz w:val="20"/>
                <w:szCs w:val="20"/>
              </w:rPr>
              <w:t>Wigierski Park Narodowy</w:t>
            </w:r>
          </w:p>
        </w:tc>
      </w:tr>
      <w:tr w:rsidR="008860CE" w:rsidRPr="00DD18EA" w14:paraId="5E795333" w14:textId="77777777" w:rsidTr="00DD18EA">
        <w:tc>
          <w:tcPr>
            <w:tcW w:w="721" w:type="dxa"/>
            <w:shd w:val="clear" w:color="auto" w:fill="9CC2E5" w:themeFill="accent1" w:themeFillTint="99"/>
          </w:tcPr>
          <w:p w14:paraId="306297A1" w14:textId="77777777" w:rsidR="008860CE" w:rsidRPr="00DD18EA" w:rsidRDefault="008860CE" w:rsidP="00DD18EA">
            <w:pPr>
              <w:spacing w:after="0" w:line="240" w:lineRule="auto"/>
              <w:rPr>
                <w:rFonts w:ascii="Times New Roman" w:hAnsi="Times New Roman" w:cs="Times New Roman"/>
                <w:b/>
                <w:bCs/>
                <w:sz w:val="20"/>
                <w:szCs w:val="20"/>
              </w:rPr>
            </w:pPr>
            <w:r w:rsidRPr="00DD18EA">
              <w:rPr>
                <w:rFonts w:ascii="Times New Roman" w:hAnsi="Times New Roman" w:cs="Times New Roman"/>
                <w:b/>
                <w:bCs/>
                <w:sz w:val="20"/>
                <w:szCs w:val="20"/>
              </w:rPr>
              <w:t>1.</w:t>
            </w:r>
          </w:p>
        </w:tc>
        <w:tc>
          <w:tcPr>
            <w:tcW w:w="2791" w:type="dxa"/>
          </w:tcPr>
          <w:p w14:paraId="515FD434"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Wprowadzenie ulgowej opłaty dla za licencję upoważniającą do wędkowania w  wybranych wodach Wigierskiego Parku Narodowego</w:t>
            </w:r>
          </w:p>
        </w:tc>
        <w:tc>
          <w:tcPr>
            <w:tcW w:w="1578" w:type="dxa"/>
          </w:tcPr>
          <w:p w14:paraId="645CAB20"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2019</w:t>
            </w:r>
          </w:p>
        </w:tc>
        <w:tc>
          <w:tcPr>
            <w:tcW w:w="3970" w:type="dxa"/>
          </w:tcPr>
          <w:p w14:paraId="521DDB77" w14:textId="77777777" w:rsidR="008860CE" w:rsidRPr="00DD18EA" w:rsidRDefault="008860CE" w:rsidP="00DD18EA">
            <w:pPr>
              <w:spacing w:after="0" w:line="240" w:lineRule="auto"/>
              <w:rPr>
                <w:rFonts w:ascii="Times New Roman" w:hAnsi="Times New Roman" w:cs="Times New Roman"/>
                <w:sz w:val="20"/>
                <w:szCs w:val="20"/>
              </w:rPr>
            </w:pPr>
            <w:r w:rsidRPr="00DD18EA">
              <w:rPr>
                <w:rFonts w:ascii="Times New Roman" w:hAnsi="Times New Roman" w:cs="Times New Roman"/>
                <w:sz w:val="20"/>
                <w:szCs w:val="20"/>
              </w:rPr>
              <w:t>Opłata ulgowa  z 20% zniżką przysługuje emerytom, rencistom oraz inwalidom trwale niezdolnym do pracy</w:t>
            </w:r>
          </w:p>
        </w:tc>
      </w:tr>
      <w:bookmarkEnd w:id="118"/>
    </w:tbl>
    <w:p w14:paraId="6F79A5BD" w14:textId="77777777" w:rsidR="001925EB" w:rsidRPr="001925EB" w:rsidRDefault="001925EB" w:rsidP="003C1988">
      <w:pPr>
        <w:rPr>
          <w:lang w:eastAsia="ar-SA"/>
        </w:rPr>
      </w:pPr>
    </w:p>
    <w:p w14:paraId="28D8382D" w14:textId="77777777" w:rsidR="003C19CB" w:rsidRPr="00AF051D" w:rsidRDefault="00475EFA" w:rsidP="00835584">
      <w:pPr>
        <w:pStyle w:val="Nagwek2"/>
        <w:numPr>
          <w:ilvl w:val="1"/>
          <w:numId w:val="383"/>
        </w:numPr>
        <w:spacing w:before="240" w:after="240"/>
        <w:ind w:left="432" w:hanging="574"/>
        <w:jc w:val="both"/>
        <w:rPr>
          <w:rFonts w:cs="Times New Roman"/>
          <w:sz w:val="40"/>
          <w:lang w:eastAsia="ar-SA"/>
        </w:rPr>
      </w:pPr>
      <w:bookmarkStart w:id="119" w:name="_Toc49171352"/>
      <w:r w:rsidRPr="00AF051D">
        <w:rPr>
          <w:rFonts w:cs="Times New Roman"/>
          <w:sz w:val="40"/>
          <w:lang w:eastAsia="ar-SA"/>
        </w:rPr>
        <w:t>Narodowy Instytut</w:t>
      </w:r>
      <w:r w:rsidR="0087360D" w:rsidRPr="00AF051D">
        <w:rPr>
          <w:rFonts w:cs="Times New Roman"/>
          <w:sz w:val="40"/>
          <w:lang w:eastAsia="ar-SA"/>
        </w:rPr>
        <w:t xml:space="preserve"> Wolności – Centrum Rozwo</w:t>
      </w:r>
      <w:r w:rsidRPr="00AF051D">
        <w:rPr>
          <w:rFonts w:cs="Times New Roman"/>
          <w:sz w:val="40"/>
          <w:lang w:eastAsia="ar-SA"/>
        </w:rPr>
        <w:t>ju Społeczeństwa Obywatelskiego</w:t>
      </w:r>
      <w:bookmarkEnd w:id="119"/>
    </w:p>
    <w:p w14:paraId="09EFDB36" w14:textId="77777777" w:rsidR="001E2259" w:rsidRDefault="003C19CB" w:rsidP="001E2259">
      <w:pPr>
        <w:pStyle w:val="Default"/>
        <w:spacing w:line="276" w:lineRule="auto"/>
        <w:jc w:val="both"/>
        <w:rPr>
          <w:rFonts w:ascii="Times New Roman" w:hAnsi="Times New Roman" w:cs="Times New Roman"/>
        </w:rPr>
      </w:pPr>
      <w:r w:rsidRPr="00582B80">
        <w:rPr>
          <w:rFonts w:ascii="Times New Roman" w:hAnsi="Times New Roman" w:cs="Times New Roman"/>
          <w:b/>
          <w:color w:val="00B0F0"/>
        </w:rPr>
        <w:t>Fundusz Inicjatyw Obywatelskich na lata 2014-2020 (FIO)</w:t>
      </w:r>
      <w:r w:rsidRPr="00582B80">
        <w:rPr>
          <w:rFonts w:ascii="Times New Roman" w:hAnsi="Times New Roman" w:cs="Times New Roman"/>
          <w:color w:val="00B0F0"/>
        </w:rPr>
        <w:t xml:space="preserve"> </w:t>
      </w:r>
      <w:r w:rsidRPr="003C19CB">
        <w:rPr>
          <w:rFonts w:ascii="Times New Roman" w:hAnsi="Times New Roman" w:cs="Times New Roman"/>
        </w:rPr>
        <w:t xml:space="preserve">to rządowy program dotacyjny dla organizacji pozarządowych, którego celem jest dofinansowywanie projektów służących zwiększeniu zaangażowania obywateli i organizacji pozarządowych w życie publiczne. W ramach Programu, corocznie przeprowadzany jest otwarty konkurs ofert przeprowadzany stosownie do przepisów </w:t>
      </w:r>
      <w:r w:rsidRPr="001E2259">
        <w:rPr>
          <w:rFonts w:ascii="Times New Roman" w:hAnsi="Times New Roman" w:cs="Times New Roman"/>
          <w:i/>
        </w:rPr>
        <w:t>ustawy z dnia 24 kwietnia 2003 r. o działalności pożytku publicznego i o wolontariacie</w:t>
      </w:r>
      <w:r w:rsidRPr="003C19CB">
        <w:rPr>
          <w:rFonts w:ascii="Times New Roman" w:hAnsi="Times New Roman" w:cs="Times New Roman"/>
        </w:rPr>
        <w:t xml:space="preserve"> (Dz.U. z 2020 r. poz. 1057), zwanej dalej „uodppiow”, oraz </w:t>
      </w:r>
      <w:r w:rsidRPr="001E2259">
        <w:rPr>
          <w:rFonts w:ascii="Times New Roman" w:hAnsi="Times New Roman" w:cs="Times New Roman"/>
          <w:i/>
        </w:rPr>
        <w:t>ust</w:t>
      </w:r>
      <w:r w:rsidR="001E2259" w:rsidRPr="001E2259">
        <w:rPr>
          <w:rFonts w:ascii="Times New Roman" w:hAnsi="Times New Roman" w:cs="Times New Roman"/>
          <w:i/>
        </w:rPr>
        <w:t>awy z dnia 15 września 2017 r.</w:t>
      </w:r>
      <w:r w:rsidRPr="001E2259">
        <w:rPr>
          <w:rFonts w:ascii="Times New Roman" w:hAnsi="Times New Roman" w:cs="Times New Roman"/>
          <w:i/>
        </w:rPr>
        <w:t xml:space="preserve"> o Narodowym Instytucie Wolności – Centrum Rozwoju Społeczeństwa Obywatelskiego </w:t>
      </w:r>
      <w:r w:rsidRPr="003C19CB">
        <w:rPr>
          <w:rFonts w:ascii="Times New Roman" w:hAnsi="Times New Roman" w:cs="Times New Roman"/>
        </w:rPr>
        <w:t xml:space="preserve">(Dz.U. z 2018 r. poz. 1813). </w:t>
      </w:r>
    </w:p>
    <w:p w14:paraId="51B95752" w14:textId="77777777" w:rsidR="001E2259" w:rsidRDefault="001E2259" w:rsidP="001E2259">
      <w:pPr>
        <w:pStyle w:val="Default"/>
        <w:spacing w:line="276" w:lineRule="auto"/>
        <w:jc w:val="both"/>
        <w:rPr>
          <w:rFonts w:ascii="Times New Roman" w:hAnsi="Times New Roman" w:cs="Times New Roman"/>
        </w:rPr>
      </w:pPr>
    </w:p>
    <w:p w14:paraId="4E57C12D" w14:textId="77777777" w:rsidR="001E2259" w:rsidRDefault="003C19CB" w:rsidP="001E2259">
      <w:pPr>
        <w:pStyle w:val="Default"/>
        <w:spacing w:line="276" w:lineRule="auto"/>
        <w:jc w:val="both"/>
        <w:rPr>
          <w:rFonts w:ascii="Times New Roman" w:hAnsi="Times New Roman" w:cs="Times New Roman"/>
        </w:rPr>
      </w:pPr>
      <w:r w:rsidRPr="003C19CB">
        <w:rPr>
          <w:rFonts w:ascii="Times New Roman" w:hAnsi="Times New Roman" w:cs="Times New Roman"/>
        </w:rPr>
        <w:t xml:space="preserve">Zgodnie z zapisami programu FIO w ramach otwartego konkursu ofert corocznie przeznaczonych na dotacje realizujące cel główny Programu jest około 57,6 mln zł. Katalog potencjalnych beneficjentów mogących ubiegać się o uzyskanie dotacji ma charakter otwarty. Podmiotami uprawnionymi do składania ofert w konkursie są między innymi organizacje pozarządowe, o których mowa w art. 3 ust. 2 i 3 uodppiow, w tym jednostki terenowe stowarzyszeń posiadające osobowość prawną, związki stowarzyszeń oraz fundacje. Wśród ww. podmiotów są również te, które kierują swoje działania do seniorów, osób starszych i emerytów. </w:t>
      </w:r>
    </w:p>
    <w:p w14:paraId="179AB3C4" w14:textId="77777777" w:rsidR="001E2259" w:rsidRDefault="001E2259" w:rsidP="001E2259">
      <w:pPr>
        <w:pStyle w:val="Default"/>
        <w:spacing w:line="276" w:lineRule="auto"/>
        <w:jc w:val="both"/>
        <w:rPr>
          <w:rFonts w:ascii="Times New Roman" w:hAnsi="Times New Roman" w:cs="Times New Roman"/>
        </w:rPr>
      </w:pPr>
    </w:p>
    <w:p w14:paraId="24EF2692" w14:textId="77777777" w:rsidR="003C19CB" w:rsidRPr="003C19CB" w:rsidRDefault="003C19CB" w:rsidP="001E2259">
      <w:pPr>
        <w:pStyle w:val="Default"/>
        <w:spacing w:line="276" w:lineRule="auto"/>
        <w:jc w:val="both"/>
        <w:rPr>
          <w:rFonts w:ascii="Times New Roman" w:hAnsi="Times New Roman" w:cs="Times New Roman"/>
        </w:rPr>
      </w:pPr>
      <w:r w:rsidRPr="003C19CB">
        <w:rPr>
          <w:rFonts w:ascii="Times New Roman" w:hAnsi="Times New Roman" w:cs="Times New Roman"/>
        </w:rPr>
        <w:t xml:space="preserve">W 2019 </w:t>
      </w:r>
      <w:r w:rsidR="001E2259">
        <w:rPr>
          <w:rFonts w:ascii="Times New Roman" w:hAnsi="Times New Roman" w:cs="Times New Roman"/>
        </w:rPr>
        <w:t xml:space="preserve">r. </w:t>
      </w:r>
      <w:r w:rsidRPr="003C19CB">
        <w:rPr>
          <w:rFonts w:ascii="Times New Roman" w:hAnsi="Times New Roman" w:cs="Times New Roman"/>
        </w:rPr>
        <w:t xml:space="preserve">przeprowadzona została kolejna edycja otwartego konkursu ofert w ramach Programu Fundusz Inicjatyw Obywatelskich na lata 2014-2020. Znaczna część projektów edycji FIO 2019, których beneficjentami byli seniorzy została złożona w ramach 10 obszaru sfery pożytku publicznego: działalność na rzecz osób w wieku emerytalnym. Łącznie dofinansowanych zostało 13 ofert, które w sposób bezpośredni lub pośredni odnoszą się do osób starszych. Wnioski zostały złożone w ramach </w:t>
      </w:r>
      <w:r w:rsidRPr="003C19CB">
        <w:rPr>
          <w:rFonts w:ascii="Times New Roman" w:hAnsi="Times New Roman" w:cs="Times New Roman"/>
          <w:i/>
        </w:rPr>
        <w:t>Priorytetu 2: Aktywne społeczeństwo</w:t>
      </w:r>
      <w:r w:rsidRPr="003C19CB">
        <w:rPr>
          <w:rFonts w:ascii="Times New Roman" w:hAnsi="Times New Roman" w:cs="Times New Roman"/>
        </w:rPr>
        <w:t xml:space="preserve">, gdzie jednym z wiodących obszarów wsparcia jest aktywizacja obywateli w sprawach wspólnotowych oraz wspieranie aktywnych form integracji społecznej oraz w zakresie </w:t>
      </w:r>
      <w:r w:rsidRPr="003C19CB">
        <w:rPr>
          <w:rFonts w:ascii="Times New Roman" w:hAnsi="Times New Roman" w:cs="Times New Roman"/>
          <w:i/>
        </w:rPr>
        <w:t>Priorytetu 3: Aktywni obywatele</w:t>
      </w:r>
      <w:r w:rsidRPr="003C19CB">
        <w:rPr>
          <w:rFonts w:ascii="Times New Roman" w:hAnsi="Times New Roman" w:cs="Times New Roman"/>
        </w:rPr>
        <w:t xml:space="preserve">, w ramach którego jednym z głównych obszarów wsparcia jest rozwijanie edukacji obywatelskiej i kompetencji społecznych. Przytoczone kierunki obejmują działania mające na celu uczestnictwo w życiu społecznym oraz wspieranie wszelkich form aktywności obywatelskiej i kulturalnej poprzez tworzenie warunków umożliwiających wykorzystanie potencjału beneficjentów, w tym także osób starszych, jako aktywnych uczestników życia społecznego i publicznego, jak również tworzenie warunków do solidarności i integracji międzypokoleniowej. Sumarycznie kwota dofinansowania wyniosła 2 142 769,80 zł. </w:t>
      </w:r>
    </w:p>
    <w:p w14:paraId="05A763A5" w14:textId="77777777" w:rsidR="003C19CB" w:rsidRDefault="003C19CB" w:rsidP="001E2259">
      <w:pPr>
        <w:pStyle w:val="Default"/>
        <w:spacing w:line="276" w:lineRule="auto"/>
        <w:jc w:val="both"/>
        <w:rPr>
          <w:rFonts w:ascii="Times New Roman" w:hAnsi="Times New Roman" w:cs="Times New Roman"/>
        </w:rPr>
      </w:pPr>
    </w:p>
    <w:p w14:paraId="01A651B0" w14:textId="77777777" w:rsidR="003C19CB" w:rsidRPr="003C19CB" w:rsidRDefault="003C19CB" w:rsidP="001E2259">
      <w:pPr>
        <w:pStyle w:val="Default"/>
        <w:spacing w:line="276" w:lineRule="auto"/>
        <w:jc w:val="both"/>
        <w:rPr>
          <w:rFonts w:ascii="Times New Roman" w:hAnsi="Times New Roman" w:cs="Times New Roman"/>
        </w:rPr>
      </w:pPr>
      <w:r w:rsidRPr="003C19CB">
        <w:rPr>
          <w:rFonts w:ascii="Times New Roman" w:hAnsi="Times New Roman" w:cs="Times New Roman"/>
        </w:rPr>
        <w:lastRenderedPageBreak/>
        <w:t xml:space="preserve">Przykładem działań podjętych w ramach </w:t>
      </w:r>
      <w:r w:rsidRPr="003C19CB">
        <w:rPr>
          <w:rFonts w:ascii="Times New Roman" w:hAnsi="Times New Roman" w:cs="Times New Roman"/>
          <w:i/>
        </w:rPr>
        <w:t>Priorytetu 2: Aktywne społeczeństwo</w:t>
      </w:r>
      <w:r w:rsidRPr="003C19CB">
        <w:rPr>
          <w:rFonts w:ascii="Times New Roman" w:hAnsi="Times New Roman" w:cs="Times New Roman"/>
        </w:rPr>
        <w:t xml:space="preserve"> może być zadanie publiczne realizowane przez Fundację Gospodarczą pt. WspółDzielnia Seniorów. Przedmiotowe zadanie adresowane było do mieszkańców Gdyni po 60 roku życia, w szczególności do osób narażonych na wykluczenie społeczne i samotność z uwagi na brak aktywności w społeczności lokalnej i integracji z innymi seniorami. Cel główny tego zadania to edukowanie i animowanie lokalnych społeczności seniorów do tworzenia i realizacji długoterminowych systemów wymiany usług, dzięki zapewnieniu im rozbudowanego i kompleksowego wsparcia doradczego, szkoleniowego i aktywizacyjnego, dopasowanego do zdiagnozowanych potrzeb i oczekiwań tej grupy, co zaowocowało zwiększeniem ich aktywności w życiu społecznym i publicznym, a także wzmocnieniem więzi, poczucia wpływu i sprawczości. Udział we wszystkich zaplanowanych formach wsparcia zamotywał uczestników do większej aktywności społecznej oraz angażowania się w działania na rzecz innych, również po zakończeniu projektu, a tym samym zmniejszenia ryzyka ich izolacji oraz wykluczenia społecznego. Projekt został dofinansowany przez Narodowy Instytut Wolności – Centrum Rozwoju Społeczeństwa Obywatelskiego w ramach edycji 2019 Programu FIO na lata 2014-2020 na kwotę 159 761,80 zł.</w:t>
      </w:r>
    </w:p>
    <w:p w14:paraId="64988EDF" w14:textId="77777777" w:rsidR="003C19CB" w:rsidRDefault="003C19CB" w:rsidP="001E2259">
      <w:pPr>
        <w:pStyle w:val="Default"/>
        <w:spacing w:line="276" w:lineRule="auto"/>
        <w:jc w:val="both"/>
        <w:rPr>
          <w:rFonts w:ascii="Times New Roman" w:hAnsi="Times New Roman" w:cs="Times New Roman"/>
        </w:rPr>
      </w:pPr>
    </w:p>
    <w:p w14:paraId="4BADFB38" w14:textId="77777777" w:rsidR="003C19CB" w:rsidRPr="003C19CB" w:rsidRDefault="003C19CB" w:rsidP="001E2259">
      <w:pPr>
        <w:pStyle w:val="Default"/>
        <w:spacing w:line="276" w:lineRule="auto"/>
        <w:jc w:val="both"/>
        <w:rPr>
          <w:rFonts w:ascii="Times New Roman" w:hAnsi="Times New Roman" w:cs="Times New Roman"/>
        </w:rPr>
      </w:pPr>
      <w:r w:rsidRPr="003C19CB">
        <w:rPr>
          <w:rFonts w:ascii="Times New Roman" w:hAnsi="Times New Roman" w:cs="Times New Roman"/>
        </w:rPr>
        <w:t xml:space="preserve">Natomiast w ramach </w:t>
      </w:r>
      <w:r w:rsidRPr="003C19CB">
        <w:rPr>
          <w:rFonts w:ascii="Times New Roman" w:hAnsi="Times New Roman" w:cs="Times New Roman"/>
          <w:i/>
        </w:rPr>
        <w:t xml:space="preserve">Priorytetu 3: Aktywni obywatele </w:t>
      </w:r>
      <w:r w:rsidRPr="003C19CB">
        <w:rPr>
          <w:rFonts w:ascii="Times New Roman" w:hAnsi="Times New Roman" w:cs="Times New Roman"/>
        </w:rPr>
        <w:t xml:space="preserve">przykładem jednego ze  zrealizowanych projektów w przedmiotowym zakresie może być zadanie przeprowadzone przez Fundację Ekologiczną Zielona Akcja pt. </w:t>
      </w:r>
      <w:r w:rsidRPr="003C19CB">
        <w:rPr>
          <w:rFonts w:ascii="Times New Roman" w:hAnsi="Times New Roman" w:cs="Times New Roman"/>
          <w:i/>
        </w:rPr>
        <w:t>Seniorzy - aktywni obywatele swoich gmin w regionie legnicko-wołowskim</w:t>
      </w:r>
      <w:r w:rsidRPr="003C19CB">
        <w:rPr>
          <w:rFonts w:ascii="Times New Roman" w:hAnsi="Times New Roman" w:cs="Times New Roman"/>
        </w:rPr>
        <w:t>. Głównym celem tego projektu był wzrost aktywności obywatelskiej i społecznej wśród 80 seniorów z gminy Wołów, Brzeg Dolny, Wińsko, Prochowice oraz tworzenie warunków do powołania Gminnych Rad Seniorów w tych gminach. Zadanie zostało zrealizowane w okresie od maja do grudnia 2019 r. Zaplanowane działania przygotowały liderów seniorów – rzeczników tego środowiska poprzez udział w cyklu szkoleń podnoszących kompetencje obywatelskie oraz z zakresu zakładania Rad Seniorów i współpracy z samorządami. Na zakończenie projektu została zorganizowana konferencja „</w:t>
      </w:r>
      <w:r w:rsidRPr="003C19CB">
        <w:rPr>
          <w:rFonts w:ascii="Times New Roman" w:hAnsi="Times New Roman" w:cs="Times New Roman"/>
          <w:i/>
        </w:rPr>
        <w:t>Rady Seniorów na start</w:t>
      </w:r>
      <w:r w:rsidRPr="003C19CB">
        <w:rPr>
          <w:rFonts w:ascii="Times New Roman" w:hAnsi="Times New Roman" w:cs="Times New Roman"/>
        </w:rPr>
        <w:t>”. Działania projektu były propagowane na stronie internetowej wnioskodawcy i partnerów nieformalnych, na stronach gmin oraz w mediach społecznościowych. Projekt został dofinansowany przez Narodowy Instytut Wolności – Centrum Rozwoju Społeczeństwa Obywatelskiego w ramach edycji 2019 Programu Fundusz Inicjatyw Obywatelskich na lata 2014-2020 na kwotę 67 348,00 zł.</w:t>
      </w:r>
    </w:p>
    <w:p w14:paraId="6C8B8276" w14:textId="77777777" w:rsidR="003C19CB" w:rsidRDefault="003C19CB" w:rsidP="001E2259">
      <w:pPr>
        <w:pStyle w:val="Default"/>
        <w:spacing w:line="276" w:lineRule="auto"/>
        <w:jc w:val="both"/>
        <w:rPr>
          <w:rFonts w:ascii="Times New Roman" w:hAnsi="Times New Roman" w:cs="Times New Roman"/>
        </w:rPr>
      </w:pPr>
    </w:p>
    <w:p w14:paraId="3F18D105" w14:textId="77777777" w:rsidR="003C19CB" w:rsidRPr="003C19CB" w:rsidRDefault="003C19CB" w:rsidP="00AF051D">
      <w:pPr>
        <w:pStyle w:val="Default"/>
        <w:spacing w:line="276" w:lineRule="auto"/>
        <w:jc w:val="both"/>
        <w:rPr>
          <w:rFonts w:ascii="Times New Roman" w:hAnsi="Times New Roman" w:cs="Times New Roman"/>
        </w:rPr>
      </w:pPr>
      <w:r w:rsidRPr="00582B80">
        <w:rPr>
          <w:rFonts w:ascii="Times New Roman" w:hAnsi="Times New Roman" w:cs="Times New Roman"/>
          <w:b/>
          <w:color w:val="00B0F0"/>
        </w:rPr>
        <w:t>Program Rozwoju Organizacji Obywatelskich na lata 2018-2030 PROO</w:t>
      </w:r>
      <w:r w:rsidRPr="00582B80">
        <w:rPr>
          <w:rFonts w:ascii="Times New Roman" w:hAnsi="Times New Roman" w:cs="Times New Roman"/>
          <w:color w:val="00B0F0"/>
        </w:rPr>
        <w:t xml:space="preserve"> </w:t>
      </w:r>
      <w:r w:rsidRPr="003C19CB">
        <w:rPr>
          <w:rFonts w:ascii="Times New Roman" w:hAnsi="Times New Roman" w:cs="Times New Roman"/>
        </w:rPr>
        <w:t xml:space="preserve">to pierwszy w historii program bezpośredniego wsparcia rozwoju polskich organizacji obywatelskich. Dotacje w ramach programu są przydzielane na rozwój instytucjonalny organizacji oraz realizację ich celów statutowych. Dotacje można uzyskać zarówno na realizację wieloletniej strategii rozwoju organizacji, budowę kapitału żelaznego, ale także np. na zaspokojenie nagłych potrzeb w sytuacjach awaryjnych. Przykładem wsparcia zadań promujących aktywność społeczną w obszarze osób starszych może być zadanie realizowane przez Lubuskie Stowarzyszenie Wsparcia Opiekunów i Osób Dotkniętych Chorobą Alzheimera pt. </w:t>
      </w:r>
      <w:r w:rsidRPr="003C19CB">
        <w:rPr>
          <w:rFonts w:ascii="Times New Roman" w:hAnsi="Times New Roman" w:cs="Times New Roman"/>
          <w:i/>
        </w:rPr>
        <w:t>WzMOCnij SENIORA - lokalne działanie na rzecz regionalnych przemian</w:t>
      </w:r>
      <w:r w:rsidRPr="003C19CB">
        <w:rPr>
          <w:rFonts w:ascii="Times New Roman" w:hAnsi="Times New Roman" w:cs="Times New Roman"/>
        </w:rPr>
        <w:t xml:space="preserve">. Rezultatem uzyskania i </w:t>
      </w:r>
      <w:r w:rsidRPr="003C19CB">
        <w:rPr>
          <w:rFonts w:ascii="Times New Roman" w:hAnsi="Times New Roman" w:cs="Times New Roman"/>
        </w:rPr>
        <w:lastRenderedPageBreak/>
        <w:t>wykorzystania dotacji jest diametralny wzrost potencjału organizacji i poszerzenie możliwości działania. Istotnym wzmocnieniem działań statutowych jest wyszkolona kadra terapeutów. Dzięki dotacji Organizacja będzie w stanie objąć pomocą większą liczbę osób, zorganizować więcej zajęć, ale także świadczyć usługi w domach podopiecznych. Uzyskane w ten sposób środki pozytywnie wpływają na dalsze finansowanie działań Stowarzyszenia. Po wielomiesięcznym szkoleniu specjalistycznym i po uzyskaniu niezbędnej praktyki terapeutycznej dotowany podmiot będzie mógł wykorzystać przeszkolonych terapeutów do zajęć edukacyjnych z kolejnymi osobami. Celem dotacji było przeszkolenie specjalistów, aby ci przekazywali zdobytą wiedzę kolejnym chętnym do pracy z osobami starszymi. Zadanie zostało dofinansowane przez Narodowy Instytut Wolności – Centrum Rozwoju Społeczeństwa Obywatelskiego w ramach edycji 2019 Programu Rozwoju Organizacji Obywatelskich na lata 2018-2030 Priorytet 1a na kwotę 345 980,00 zł.</w:t>
      </w:r>
    </w:p>
    <w:p w14:paraId="361772E0" w14:textId="77777777" w:rsidR="00BE18AF" w:rsidRPr="00AF051D" w:rsidRDefault="00475EFA" w:rsidP="00835584">
      <w:pPr>
        <w:pStyle w:val="Nagwek2"/>
        <w:numPr>
          <w:ilvl w:val="1"/>
          <w:numId w:val="383"/>
        </w:numPr>
        <w:spacing w:before="240" w:after="240"/>
        <w:ind w:left="432" w:hanging="574"/>
        <w:rPr>
          <w:rFonts w:cs="Times New Roman"/>
          <w:sz w:val="40"/>
          <w:lang w:eastAsia="ar-SA"/>
        </w:rPr>
      </w:pPr>
      <w:bookmarkStart w:id="120" w:name="_Toc49171353"/>
      <w:r w:rsidRPr="00AF051D">
        <w:rPr>
          <w:rFonts w:cs="Times New Roman"/>
          <w:sz w:val="40"/>
          <w:lang w:eastAsia="ar-SA"/>
        </w:rPr>
        <w:t>Zakład Ubezpieczeń Społecznych</w:t>
      </w:r>
      <w:bookmarkEnd w:id="120"/>
    </w:p>
    <w:p w14:paraId="3C9ECED8"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Seniorzy to jedna z największych grup klientów Zakładu Ubezpieczeń Społecznych. Dl</w:t>
      </w:r>
      <w:r w:rsidR="00526000">
        <w:rPr>
          <w:rFonts w:ascii="Times New Roman" w:hAnsi="Times New Roman" w:cs="Times New Roman"/>
          <w:sz w:val="24"/>
          <w:szCs w:val="24"/>
        </w:rPr>
        <w:t>atego z myślą o nich ZUS realizuje</w:t>
      </w:r>
      <w:r w:rsidRPr="00BE18AF">
        <w:rPr>
          <w:rFonts w:ascii="Times New Roman" w:hAnsi="Times New Roman" w:cs="Times New Roman"/>
          <w:sz w:val="24"/>
          <w:szCs w:val="24"/>
        </w:rPr>
        <w:t xml:space="preserve"> szereg działań, których celem jest, nie tylko podnoszenie poziomu obsługi osób starszych, ale również ich aktywizacja i upowszechnianie wiedzy</w:t>
      </w:r>
      <w:r>
        <w:rPr>
          <w:rFonts w:ascii="Times New Roman" w:hAnsi="Times New Roman" w:cs="Times New Roman"/>
          <w:sz w:val="24"/>
          <w:szCs w:val="24"/>
        </w:rPr>
        <w:t xml:space="preserve"> z </w:t>
      </w:r>
      <w:r w:rsidRPr="00BE18AF">
        <w:rPr>
          <w:rFonts w:ascii="Times New Roman" w:hAnsi="Times New Roman" w:cs="Times New Roman"/>
          <w:sz w:val="24"/>
          <w:szCs w:val="24"/>
        </w:rPr>
        <w:t>zakresu ubezpieczeń społecznych. W ramach</w:t>
      </w:r>
      <w:r w:rsidR="00526000">
        <w:rPr>
          <w:rFonts w:ascii="Times New Roman" w:hAnsi="Times New Roman" w:cs="Times New Roman"/>
          <w:sz w:val="24"/>
          <w:szCs w:val="24"/>
        </w:rPr>
        <w:t xml:space="preserve"> tych działań m.in. organizowana jest ogólnopolska akcja „Dzień Seniora”, wydawana jest</w:t>
      </w:r>
      <w:r w:rsidRPr="00BE18AF">
        <w:rPr>
          <w:rFonts w:ascii="Times New Roman" w:hAnsi="Times New Roman" w:cs="Times New Roman"/>
          <w:sz w:val="24"/>
          <w:szCs w:val="24"/>
        </w:rPr>
        <w:t xml:space="preserve"> pu</w:t>
      </w:r>
      <w:r w:rsidR="00526000">
        <w:rPr>
          <w:rFonts w:ascii="Times New Roman" w:hAnsi="Times New Roman" w:cs="Times New Roman"/>
          <w:sz w:val="24"/>
          <w:szCs w:val="24"/>
        </w:rPr>
        <w:t>blikacja</w:t>
      </w:r>
      <w:r w:rsidRPr="00BE18AF">
        <w:rPr>
          <w:rFonts w:ascii="Times New Roman" w:hAnsi="Times New Roman" w:cs="Times New Roman"/>
          <w:sz w:val="24"/>
          <w:szCs w:val="24"/>
        </w:rPr>
        <w:t xml:space="preserve"> „ZUS dla Seniora” oraz real</w:t>
      </w:r>
      <w:r w:rsidR="00526000">
        <w:rPr>
          <w:rFonts w:ascii="Times New Roman" w:hAnsi="Times New Roman" w:cs="Times New Roman"/>
          <w:sz w:val="24"/>
          <w:szCs w:val="24"/>
        </w:rPr>
        <w:t>izowana jest usługa</w:t>
      </w:r>
      <w:r w:rsidRPr="00BE18AF">
        <w:rPr>
          <w:rFonts w:ascii="Times New Roman" w:hAnsi="Times New Roman" w:cs="Times New Roman"/>
          <w:sz w:val="24"/>
          <w:szCs w:val="24"/>
        </w:rPr>
        <w:t xml:space="preserve"> doradcy emerytalnego.</w:t>
      </w:r>
    </w:p>
    <w:p w14:paraId="33721BA5" w14:textId="77777777" w:rsidR="00526000" w:rsidRDefault="00526000" w:rsidP="00526000">
      <w:pPr>
        <w:autoSpaceDE w:val="0"/>
        <w:autoSpaceDN w:val="0"/>
        <w:adjustRightInd w:val="0"/>
        <w:spacing w:after="0"/>
        <w:jc w:val="both"/>
        <w:rPr>
          <w:rFonts w:ascii="Times New Roman" w:hAnsi="Times New Roman" w:cs="Times New Roman"/>
          <w:sz w:val="24"/>
          <w:szCs w:val="24"/>
        </w:rPr>
      </w:pPr>
    </w:p>
    <w:p w14:paraId="3B9B675A"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„Dzień Seniora” to ogólnopolska akcja mająca</w:t>
      </w:r>
      <w:r w:rsidR="00526000">
        <w:rPr>
          <w:rFonts w:ascii="Times New Roman" w:hAnsi="Times New Roman" w:cs="Times New Roman"/>
          <w:sz w:val="24"/>
          <w:szCs w:val="24"/>
        </w:rPr>
        <w:t xml:space="preserve"> na celu upowszechnianie wiedzy </w:t>
      </w:r>
      <w:r w:rsidRPr="00BE18AF">
        <w:rPr>
          <w:rFonts w:ascii="Times New Roman" w:hAnsi="Times New Roman" w:cs="Times New Roman"/>
          <w:sz w:val="24"/>
          <w:szCs w:val="24"/>
        </w:rPr>
        <w:t>o ubezpieczeniach społecznych or</w:t>
      </w:r>
      <w:r w:rsidR="00663EAD">
        <w:rPr>
          <w:rFonts w:ascii="Times New Roman" w:hAnsi="Times New Roman" w:cs="Times New Roman"/>
          <w:sz w:val="24"/>
          <w:szCs w:val="24"/>
        </w:rPr>
        <w:t>az aktywizację osób starszych. Akcja o</w:t>
      </w:r>
      <w:r w:rsidRPr="00BE18AF">
        <w:rPr>
          <w:rFonts w:ascii="Times New Roman" w:hAnsi="Times New Roman" w:cs="Times New Roman"/>
          <w:sz w:val="24"/>
          <w:szCs w:val="24"/>
        </w:rPr>
        <w:t>rganizowana jest we współpracy z Polskim Związkiem Emerytów, Rencistów i Inwalidów w oddziałach ZUS na terenie całego kraju. Hasło ubiegłorocznej edycji „Dnia Seniora” brzmiało „Zdrowi, bezpieczni, aktywni”, a uroczysta inauguracja odbyła się 4 października 2019 r. w Centrum</w:t>
      </w:r>
      <w:r w:rsidR="000436A1">
        <w:rPr>
          <w:rFonts w:ascii="Times New Roman" w:hAnsi="Times New Roman" w:cs="Times New Roman"/>
          <w:sz w:val="24"/>
          <w:szCs w:val="24"/>
        </w:rPr>
        <w:t xml:space="preserve"> </w:t>
      </w:r>
      <w:r w:rsidRPr="00BE18AF">
        <w:rPr>
          <w:rFonts w:ascii="Times New Roman" w:hAnsi="Times New Roman" w:cs="Times New Roman"/>
          <w:sz w:val="24"/>
          <w:szCs w:val="24"/>
        </w:rPr>
        <w:t>Kreatywności Targowa w Warszawie.</w:t>
      </w:r>
      <w:r w:rsidR="00663EAD">
        <w:rPr>
          <w:rFonts w:ascii="Times New Roman" w:hAnsi="Times New Roman" w:cs="Times New Roman"/>
          <w:sz w:val="24"/>
          <w:szCs w:val="24"/>
        </w:rPr>
        <w:t xml:space="preserve"> </w:t>
      </w:r>
      <w:r w:rsidRPr="00BE18AF">
        <w:rPr>
          <w:rFonts w:ascii="Times New Roman" w:hAnsi="Times New Roman" w:cs="Times New Roman"/>
          <w:sz w:val="24"/>
          <w:szCs w:val="24"/>
        </w:rPr>
        <w:t>Celem tej corocznej akcji jest upowszechnianie wiedzy o ubezpieczeniach społecznych wśród seniorów poprzez informowanie, edukowanie i wyjaśnianie kwestii związanych z ubezpieczeniami społecznymi i</w:t>
      </w:r>
      <w:r w:rsidR="00663EAD">
        <w:rPr>
          <w:rFonts w:ascii="Times New Roman" w:hAnsi="Times New Roman" w:cs="Times New Roman"/>
          <w:sz w:val="24"/>
          <w:szCs w:val="24"/>
        </w:rPr>
        <w:t xml:space="preserve"> przysługującymi świadczeniami. </w:t>
      </w:r>
      <w:r w:rsidRPr="00BE18AF">
        <w:rPr>
          <w:rFonts w:ascii="Times New Roman" w:hAnsi="Times New Roman" w:cs="Times New Roman"/>
          <w:sz w:val="24"/>
          <w:szCs w:val="24"/>
        </w:rPr>
        <w:t>Podczas inauguracji udzielane były porady ekspertów</w:t>
      </w:r>
      <w:r w:rsidR="00663EAD">
        <w:rPr>
          <w:rFonts w:ascii="Times New Roman" w:hAnsi="Times New Roman" w:cs="Times New Roman"/>
          <w:sz w:val="24"/>
          <w:szCs w:val="24"/>
        </w:rPr>
        <w:t xml:space="preserve"> ZUS i instytucji partnerskich. </w:t>
      </w:r>
      <w:r w:rsidRPr="00BE18AF">
        <w:rPr>
          <w:rFonts w:ascii="Times New Roman" w:hAnsi="Times New Roman" w:cs="Times New Roman"/>
          <w:sz w:val="24"/>
          <w:szCs w:val="24"/>
        </w:rPr>
        <w:t>Odbywały się także prelekcje tematyczne z udziałem zaproszonych gości. Poruszana była tematyka bezpieczeństwa seniorów w różnych aspektach: zdrowia, bezpieczeństwa funkcjonowania w życiu codziennym, bezpieczeństwa zakupów tradycyjnych i w sieci. Osoby starsze mogły dowiedzieć się na co uważać podczas zakupów na prezentacjach, jakie prawa i obowiązki mają jako konsumenci czy na jakie niebezpieczeństwa są narażone. Podobny charakter miały wydarzenia, które odbywały się, w październiku 20</w:t>
      </w:r>
      <w:r w:rsidR="00663EAD">
        <w:rPr>
          <w:rFonts w:ascii="Times New Roman" w:hAnsi="Times New Roman" w:cs="Times New Roman"/>
          <w:sz w:val="24"/>
          <w:szCs w:val="24"/>
        </w:rPr>
        <w:t xml:space="preserve">19 r., na terenie całego kraju. </w:t>
      </w:r>
      <w:r w:rsidRPr="00BE18AF">
        <w:rPr>
          <w:rFonts w:ascii="Times New Roman" w:hAnsi="Times New Roman" w:cs="Times New Roman"/>
          <w:sz w:val="24"/>
          <w:szCs w:val="24"/>
        </w:rPr>
        <w:t>Ponadto celem „Dnia Seniora” jest również zachęcenie se</w:t>
      </w:r>
      <w:r w:rsidR="00663EAD">
        <w:rPr>
          <w:rFonts w:ascii="Times New Roman" w:hAnsi="Times New Roman" w:cs="Times New Roman"/>
          <w:sz w:val="24"/>
          <w:szCs w:val="24"/>
        </w:rPr>
        <w:t xml:space="preserve">niorów do zdrowego trybu życia, </w:t>
      </w:r>
      <w:r w:rsidRPr="00BE18AF">
        <w:rPr>
          <w:rFonts w:ascii="Times New Roman" w:hAnsi="Times New Roman" w:cs="Times New Roman"/>
          <w:sz w:val="24"/>
          <w:szCs w:val="24"/>
        </w:rPr>
        <w:t>aktywności, rozwijania swoich talentów, ale także pokazanie jak bezpieczni</w:t>
      </w:r>
      <w:r w:rsidR="00663EAD">
        <w:rPr>
          <w:rFonts w:ascii="Times New Roman" w:hAnsi="Times New Roman" w:cs="Times New Roman"/>
          <w:sz w:val="24"/>
          <w:szCs w:val="24"/>
        </w:rPr>
        <w:t xml:space="preserve">e funkcjonować </w:t>
      </w:r>
      <w:r w:rsidRPr="00BE18AF">
        <w:rPr>
          <w:rFonts w:ascii="Times New Roman" w:hAnsi="Times New Roman" w:cs="Times New Roman"/>
          <w:sz w:val="24"/>
          <w:szCs w:val="24"/>
        </w:rPr>
        <w:t>we współczesnym świecie, np. podczas robienia zakupów czy korzystania z internetu.</w:t>
      </w:r>
    </w:p>
    <w:p w14:paraId="53D8BC70" w14:textId="77777777" w:rsidR="000436A1" w:rsidRDefault="000436A1" w:rsidP="00526000">
      <w:pPr>
        <w:autoSpaceDE w:val="0"/>
        <w:autoSpaceDN w:val="0"/>
        <w:adjustRightInd w:val="0"/>
        <w:spacing w:after="0"/>
        <w:jc w:val="both"/>
        <w:rPr>
          <w:rFonts w:ascii="Times New Roman" w:hAnsi="Times New Roman" w:cs="Times New Roman"/>
          <w:sz w:val="24"/>
          <w:szCs w:val="24"/>
        </w:rPr>
      </w:pPr>
    </w:p>
    <w:p w14:paraId="3CC1FF3C"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Formuła informacyjna wzbogacona była o działania samych seniorów. Podczas licznych spotkań mieli oni możliwość prezentacji swoich zainteresowań, prac czy występów artystycznych. Ale odbywały się również wydarzenia na ich rzecz w ramach łączenia pokoleń</w:t>
      </w:r>
    </w:p>
    <w:p w14:paraId="796985DF"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 jak np</w:t>
      </w:r>
      <w:r w:rsidR="0045423B">
        <w:rPr>
          <w:rFonts w:ascii="Times New Roman" w:hAnsi="Times New Roman" w:cs="Times New Roman"/>
          <w:sz w:val="24"/>
          <w:szCs w:val="24"/>
        </w:rPr>
        <w:t xml:space="preserve">. występy młodzieży czy dzieci. </w:t>
      </w:r>
      <w:r w:rsidRPr="00BE18AF">
        <w:rPr>
          <w:rFonts w:ascii="Times New Roman" w:hAnsi="Times New Roman" w:cs="Times New Roman"/>
          <w:sz w:val="24"/>
          <w:szCs w:val="24"/>
        </w:rPr>
        <w:t>Partnerami „Dnia Seniora” w 2019 roku byli:</w:t>
      </w:r>
    </w:p>
    <w:p w14:paraId="6041BD7C" w14:textId="77777777" w:rsidR="0045423B" w:rsidRDefault="00BE18AF" w:rsidP="008C71A9">
      <w:pPr>
        <w:pStyle w:val="Akapitzlist"/>
        <w:numPr>
          <w:ilvl w:val="0"/>
          <w:numId w:val="342"/>
        </w:numPr>
        <w:autoSpaceDE w:val="0"/>
        <w:autoSpaceDN w:val="0"/>
        <w:adjustRightInd w:val="0"/>
        <w:spacing w:after="0"/>
        <w:ind w:left="360"/>
        <w:jc w:val="both"/>
        <w:rPr>
          <w:rFonts w:ascii="Times New Roman" w:hAnsi="Times New Roman" w:cs="Times New Roman"/>
          <w:sz w:val="24"/>
          <w:szCs w:val="24"/>
        </w:rPr>
      </w:pPr>
      <w:r w:rsidRPr="0045423B">
        <w:rPr>
          <w:rFonts w:ascii="Times New Roman" w:hAnsi="Times New Roman" w:cs="Times New Roman"/>
          <w:sz w:val="24"/>
          <w:szCs w:val="24"/>
        </w:rPr>
        <w:t>Państwowy Fundusz Rehabilitacji Osób Niepełnosprawnych,</w:t>
      </w:r>
    </w:p>
    <w:p w14:paraId="550F3974" w14:textId="77777777" w:rsidR="0045423B" w:rsidRDefault="00BE18AF" w:rsidP="008C71A9">
      <w:pPr>
        <w:pStyle w:val="Akapitzlist"/>
        <w:numPr>
          <w:ilvl w:val="0"/>
          <w:numId w:val="342"/>
        </w:numPr>
        <w:autoSpaceDE w:val="0"/>
        <w:autoSpaceDN w:val="0"/>
        <w:adjustRightInd w:val="0"/>
        <w:spacing w:after="0"/>
        <w:ind w:left="360"/>
        <w:jc w:val="both"/>
        <w:rPr>
          <w:rFonts w:ascii="Times New Roman" w:hAnsi="Times New Roman" w:cs="Times New Roman"/>
          <w:sz w:val="24"/>
          <w:szCs w:val="24"/>
        </w:rPr>
      </w:pPr>
      <w:r w:rsidRPr="0045423B">
        <w:rPr>
          <w:rFonts w:ascii="Times New Roman" w:hAnsi="Times New Roman" w:cs="Times New Roman"/>
          <w:sz w:val="24"/>
          <w:szCs w:val="24"/>
        </w:rPr>
        <w:t>Narodowy Fundusz Zdr</w:t>
      </w:r>
      <w:r w:rsidR="0045423B">
        <w:rPr>
          <w:rFonts w:ascii="Times New Roman" w:hAnsi="Times New Roman" w:cs="Times New Roman"/>
          <w:sz w:val="24"/>
          <w:szCs w:val="24"/>
        </w:rPr>
        <w:t>owia,</w:t>
      </w:r>
    </w:p>
    <w:p w14:paraId="441BF733" w14:textId="77777777" w:rsidR="0045423B" w:rsidRDefault="00BE18AF" w:rsidP="008C71A9">
      <w:pPr>
        <w:pStyle w:val="Akapitzlist"/>
        <w:numPr>
          <w:ilvl w:val="0"/>
          <w:numId w:val="342"/>
        </w:numPr>
        <w:autoSpaceDE w:val="0"/>
        <w:autoSpaceDN w:val="0"/>
        <w:adjustRightInd w:val="0"/>
        <w:spacing w:after="0"/>
        <w:ind w:left="360"/>
        <w:jc w:val="both"/>
        <w:rPr>
          <w:rFonts w:ascii="Times New Roman" w:hAnsi="Times New Roman" w:cs="Times New Roman"/>
          <w:sz w:val="24"/>
          <w:szCs w:val="24"/>
        </w:rPr>
      </w:pPr>
      <w:r w:rsidRPr="0045423B">
        <w:rPr>
          <w:rFonts w:ascii="Times New Roman" w:hAnsi="Times New Roman" w:cs="Times New Roman"/>
          <w:sz w:val="24"/>
          <w:szCs w:val="24"/>
        </w:rPr>
        <w:t>Biuro Rzecznika Praw Pacjenta,</w:t>
      </w:r>
    </w:p>
    <w:p w14:paraId="7FE7341E" w14:textId="77777777" w:rsidR="0045423B" w:rsidRDefault="00BE18AF" w:rsidP="008C71A9">
      <w:pPr>
        <w:pStyle w:val="Akapitzlist"/>
        <w:numPr>
          <w:ilvl w:val="0"/>
          <w:numId w:val="342"/>
        </w:numPr>
        <w:autoSpaceDE w:val="0"/>
        <w:autoSpaceDN w:val="0"/>
        <w:adjustRightInd w:val="0"/>
        <w:spacing w:after="0"/>
        <w:ind w:left="360"/>
        <w:jc w:val="both"/>
        <w:rPr>
          <w:rFonts w:ascii="Times New Roman" w:hAnsi="Times New Roman" w:cs="Times New Roman"/>
          <w:sz w:val="24"/>
          <w:szCs w:val="24"/>
        </w:rPr>
      </w:pPr>
      <w:r w:rsidRPr="0045423B">
        <w:rPr>
          <w:rFonts w:ascii="Times New Roman" w:hAnsi="Times New Roman" w:cs="Times New Roman"/>
          <w:sz w:val="24"/>
          <w:szCs w:val="24"/>
        </w:rPr>
        <w:t>Biuro Rzecznika Praw Obywatelskich,</w:t>
      </w:r>
    </w:p>
    <w:p w14:paraId="63C765DF" w14:textId="77777777" w:rsidR="0045423B" w:rsidRDefault="00BE18AF" w:rsidP="008C71A9">
      <w:pPr>
        <w:pStyle w:val="Akapitzlist"/>
        <w:numPr>
          <w:ilvl w:val="0"/>
          <w:numId w:val="342"/>
        </w:numPr>
        <w:autoSpaceDE w:val="0"/>
        <w:autoSpaceDN w:val="0"/>
        <w:adjustRightInd w:val="0"/>
        <w:spacing w:after="0"/>
        <w:ind w:left="360"/>
        <w:jc w:val="both"/>
        <w:rPr>
          <w:rFonts w:ascii="Times New Roman" w:hAnsi="Times New Roman" w:cs="Times New Roman"/>
          <w:sz w:val="24"/>
          <w:szCs w:val="24"/>
        </w:rPr>
      </w:pPr>
      <w:r w:rsidRPr="0045423B">
        <w:rPr>
          <w:rFonts w:ascii="Times New Roman" w:hAnsi="Times New Roman" w:cs="Times New Roman"/>
          <w:sz w:val="24"/>
          <w:szCs w:val="24"/>
        </w:rPr>
        <w:t>Urząd Ochrony Konkurencji i Konsumentów,</w:t>
      </w:r>
    </w:p>
    <w:p w14:paraId="739C0954" w14:textId="77777777" w:rsidR="00BE18AF" w:rsidRPr="0045423B" w:rsidRDefault="00BE18AF" w:rsidP="008C71A9">
      <w:pPr>
        <w:pStyle w:val="Akapitzlist"/>
        <w:numPr>
          <w:ilvl w:val="0"/>
          <w:numId w:val="342"/>
        </w:numPr>
        <w:autoSpaceDE w:val="0"/>
        <w:autoSpaceDN w:val="0"/>
        <w:adjustRightInd w:val="0"/>
        <w:spacing w:after="0"/>
        <w:ind w:left="360"/>
        <w:jc w:val="both"/>
        <w:rPr>
          <w:rFonts w:ascii="Times New Roman" w:hAnsi="Times New Roman" w:cs="Times New Roman"/>
          <w:sz w:val="24"/>
          <w:szCs w:val="24"/>
        </w:rPr>
      </w:pPr>
      <w:r w:rsidRPr="0045423B">
        <w:rPr>
          <w:rFonts w:ascii="Times New Roman" w:hAnsi="Times New Roman" w:cs="Times New Roman"/>
          <w:sz w:val="24"/>
          <w:szCs w:val="24"/>
        </w:rPr>
        <w:t>Komenda Główna Policji.</w:t>
      </w:r>
    </w:p>
    <w:p w14:paraId="441EDC3E" w14:textId="77777777" w:rsidR="0045423B" w:rsidRDefault="0045423B" w:rsidP="0045423B">
      <w:pPr>
        <w:autoSpaceDE w:val="0"/>
        <w:autoSpaceDN w:val="0"/>
        <w:adjustRightInd w:val="0"/>
        <w:spacing w:after="0"/>
        <w:jc w:val="both"/>
        <w:rPr>
          <w:rFonts w:ascii="Times New Roman" w:hAnsi="Times New Roman" w:cs="Times New Roman"/>
          <w:sz w:val="24"/>
          <w:szCs w:val="24"/>
        </w:rPr>
      </w:pPr>
    </w:p>
    <w:p w14:paraId="6EF412C2" w14:textId="77777777" w:rsidR="00BE18AF" w:rsidRPr="00BE18AF" w:rsidRDefault="00BE18AF" w:rsidP="0045423B">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Oprócz informacji dla seniorów na stronie internetowej ZUS i stronach internetowych partnerów akcji oraz w mediach lokalnych, kampania informacyjna „Dnia Seniora” obejmowała również przygotowanie i dystrybucję ulotek informacyjnych (w nakładzie 15,5</w:t>
      </w:r>
      <w:r w:rsidR="000436A1">
        <w:rPr>
          <w:rFonts w:ascii="Times New Roman" w:hAnsi="Times New Roman" w:cs="Times New Roman"/>
          <w:sz w:val="24"/>
          <w:szCs w:val="24"/>
        </w:rPr>
        <w:t xml:space="preserve"> </w:t>
      </w:r>
      <w:r w:rsidRPr="00BE18AF">
        <w:rPr>
          <w:rFonts w:ascii="Times New Roman" w:hAnsi="Times New Roman" w:cs="Times New Roman"/>
          <w:sz w:val="24"/>
          <w:szCs w:val="24"/>
        </w:rPr>
        <w:t>tys. egzemplarzy) oraz plakatów (w nakładzie 1500 egzemplarzy). Dodatkowo, informacje ważne z punktu widzenia osób starszych pojawiały się w cyklu „ZUS dla Ciebie” w OnetTV</w:t>
      </w:r>
      <w:r w:rsidR="000436A1">
        <w:rPr>
          <w:rFonts w:ascii="Times New Roman" w:hAnsi="Times New Roman" w:cs="Times New Roman"/>
          <w:sz w:val="24"/>
          <w:szCs w:val="24"/>
        </w:rPr>
        <w:t xml:space="preserve"> </w:t>
      </w:r>
      <w:r w:rsidRPr="00BE18AF">
        <w:rPr>
          <w:rFonts w:ascii="Times New Roman" w:hAnsi="Times New Roman" w:cs="Times New Roman"/>
          <w:sz w:val="24"/>
          <w:szCs w:val="24"/>
        </w:rPr>
        <w:t>i Polskim Radiu.</w:t>
      </w:r>
    </w:p>
    <w:p w14:paraId="24808D52" w14:textId="77777777" w:rsidR="000436A1" w:rsidRDefault="000436A1" w:rsidP="00526000">
      <w:pPr>
        <w:autoSpaceDE w:val="0"/>
        <w:autoSpaceDN w:val="0"/>
        <w:adjustRightInd w:val="0"/>
        <w:spacing w:after="0"/>
        <w:jc w:val="both"/>
        <w:rPr>
          <w:rFonts w:ascii="Times New Roman" w:hAnsi="Times New Roman" w:cs="Times New Roman"/>
          <w:sz w:val="24"/>
          <w:szCs w:val="24"/>
        </w:rPr>
      </w:pPr>
    </w:p>
    <w:p w14:paraId="72BA4B8B"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Periodyk „ZUS dla Seniora” to publika</w:t>
      </w:r>
      <w:r w:rsidR="0045423B">
        <w:rPr>
          <w:rFonts w:ascii="Times New Roman" w:hAnsi="Times New Roman" w:cs="Times New Roman"/>
          <w:sz w:val="24"/>
          <w:szCs w:val="24"/>
        </w:rPr>
        <w:t>cja wydawana dla osób starszych, w którym prezentowane są</w:t>
      </w:r>
      <w:r w:rsidRPr="00BE18AF">
        <w:rPr>
          <w:rFonts w:ascii="Times New Roman" w:hAnsi="Times New Roman" w:cs="Times New Roman"/>
          <w:sz w:val="24"/>
          <w:szCs w:val="24"/>
        </w:rPr>
        <w:t xml:space="preserve"> informacje o systemie emerytalny</w:t>
      </w:r>
      <w:r w:rsidR="000436A1">
        <w:rPr>
          <w:rFonts w:ascii="Times New Roman" w:hAnsi="Times New Roman" w:cs="Times New Roman"/>
          <w:sz w:val="24"/>
          <w:szCs w:val="24"/>
        </w:rPr>
        <w:t>m, uprawnieniach</w:t>
      </w:r>
      <w:r w:rsidRPr="00BE18AF">
        <w:rPr>
          <w:rFonts w:ascii="Times New Roman" w:hAnsi="Times New Roman" w:cs="Times New Roman"/>
          <w:sz w:val="24"/>
          <w:szCs w:val="24"/>
        </w:rPr>
        <w:t xml:space="preserve"> i obowiązkach osób, które występują o emeryturę a także osób, które już mają prawo do tego świadczenia. Są też w nim zamieszczane informacje o zmianach w przepisach, które dotyczą emerytów i rencistów. Publikacja dostępna jest w formie papierowej w placówkach ZUS (nakład 120 tys. egzemplarzy) i w formie elektronicznej na stronie www.zus.pl. Mogą go także otrzymać osoby starsze uczestniczące w ważnych wydarzeniach organizowanych specjalnie d</w:t>
      </w:r>
      <w:r w:rsidR="0045423B">
        <w:rPr>
          <w:rFonts w:ascii="Times New Roman" w:hAnsi="Times New Roman" w:cs="Times New Roman"/>
          <w:sz w:val="24"/>
          <w:szCs w:val="24"/>
        </w:rPr>
        <w:t>la nich, np. w „Dniu Seniora”. Periodyk d</w:t>
      </w:r>
      <w:r w:rsidRPr="00BE18AF">
        <w:rPr>
          <w:rFonts w:ascii="Times New Roman" w:hAnsi="Times New Roman" w:cs="Times New Roman"/>
          <w:sz w:val="24"/>
          <w:szCs w:val="24"/>
        </w:rPr>
        <w:t>ystrybuowany jest również za pośrednictwem Polskiego Związku Emerytów, Rencistów i Inwalidów.</w:t>
      </w:r>
    </w:p>
    <w:p w14:paraId="6FF0FBA5"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p>
    <w:p w14:paraId="0AF2D55E"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W 2019 r. Zakład Ubezpieczeń Społecznych objął patronatem honorowym następujące wydarzenia dotyczące seniorów:</w:t>
      </w:r>
    </w:p>
    <w:p w14:paraId="20F02455" w14:textId="77777777" w:rsidR="0045423B" w:rsidRDefault="00BE18AF" w:rsidP="008C71A9">
      <w:pPr>
        <w:pStyle w:val="Akapitzlist"/>
        <w:numPr>
          <w:ilvl w:val="0"/>
          <w:numId w:val="343"/>
        </w:numPr>
        <w:autoSpaceDE w:val="0"/>
        <w:autoSpaceDN w:val="0"/>
        <w:adjustRightInd w:val="0"/>
        <w:spacing w:after="0"/>
        <w:ind w:left="360"/>
        <w:jc w:val="both"/>
        <w:rPr>
          <w:rFonts w:ascii="Times New Roman" w:hAnsi="Times New Roman" w:cs="Times New Roman"/>
          <w:sz w:val="24"/>
          <w:szCs w:val="24"/>
        </w:rPr>
      </w:pPr>
      <w:r w:rsidRPr="0045423B">
        <w:rPr>
          <w:rFonts w:ascii="Times New Roman" w:hAnsi="Times New Roman" w:cs="Times New Roman"/>
          <w:sz w:val="24"/>
          <w:szCs w:val="24"/>
        </w:rPr>
        <w:t>„Gmina Przyjazna Seniorom” – zorganizowane przez Stowarzyszenie Manko,</w:t>
      </w:r>
    </w:p>
    <w:p w14:paraId="37AE98A9" w14:textId="77777777" w:rsidR="0045423B" w:rsidRDefault="00BE18AF" w:rsidP="008C71A9">
      <w:pPr>
        <w:pStyle w:val="Akapitzlist"/>
        <w:numPr>
          <w:ilvl w:val="0"/>
          <w:numId w:val="343"/>
        </w:numPr>
        <w:autoSpaceDE w:val="0"/>
        <w:autoSpaceDN w:val="0"/>
        <w:adjustRightInd w:val="0"/>
        <w:spacing w:after="0"/>
        <w:ind w:left="360"/>
        <w:jc w:val="both"/>
        <w:rPr>
          <w:rFonts w:ascii="Times New Roman" w:hAnsi="Times New Roman" w:cs="Times New Roman"/>
          <w:sz w:val="24"/>
          <w:szCs w:val="24"/>
        </w:rPr>
      </w:pPr>
      <w:r w:rsidRPr="0045423B">
        <w:rPr>
          <w:rFonts w:ascii="Times New Roman" w:hAnsi="Times New Roman" w:cs="Times New Roman"/>
          <w:sz w:val="24"/>
          <w:szCs w:val="24"/>
        </w:rPr>
        <w:t>„Lubelskie Spotkania Seniorów LUBSENIOR” – organizator Targi Lublin SA,</w:t>
      </w:r>
    </w:p>
    <w:p w14:paraId="402365AF" w14:textId="77777777" w:rsidR="0045423B" w:rsidRDefault="00BE18AF" w:rsidP="008C71A9">
      <w:pPr>
        <w:pStyle w:val="Akapitzlist"/>
        <w:numPr>
          <w:ilvl w:val="0"/>
          <w:numId w:val="343"/>
        </w:numPr>
        <w:autoSpaceDE w:val="0"/>
        <w:autoSpaceDN w:val="0"/>
        <w:adjustRightInd w:val="0"/>
        <w:spacing w:after="0"/>
        <w:ind w:left="360"/>
        <w:jc w:val="both"/>
        <w:rPr>
          <w:rFonts w:ascii="Times New Roman" w:hAnsi="Times New Roman" w:cs="Times New Roman"/>
          <w:sz w:val="24"/>
          <w:szCs w:val="24"/>
        </w:rPr>
      </w:pPr>
      <w:r w:rsidRPr="0045423B">
        <w:rPr>
          <w:rFonts w:ascii="Times New Roman" w:hAnsi="Times New Roman" w:cs="Times New Roman"/>
          <w:sz w:val="24"/>
          <w:szCs w:val="24"/>
        </w:rPr>
        <w:t>„Wyzwania rynku pracy, ubezpieczeń i polityki senioralnej w kontekście starzenia demograficznego” – organizator Katedra Polityki Społecznej i Ubezpieczeń Uniwersytetu Warmijsko-Mazurskiego w Olsztynie,</w:t>
      </w:r>
    </w:p>
    <w:p w14:paraId="2900BFB2" w14:textId="77777777" w:rsidR="0045423B" w:rsidRDefault="00BE18AF" w:rsidP="008C71A9">
      <w:pPr>
        <w:pStyle w:val="Akapitzlist"/>
        <w:numPr>
          <w:ilvl w:val="0"/>
          <w:numId w:val="343"/>
        </w:numPr>
        <w:autoSpaceDE w:val="0"/>
        <w:autoSpaceDN w:val="0"/>
        <w:adjustRightInd w:val="0"/>
        <w:spacing w:after="0"/>
        <w:ind w:left="360"/>
        <w:jc w:val="both"/>
        <w:rPr>
          <w:rFonts w:ascii="Times New Roman" w:hAnsi="Times New Roman" w:cs="Times New Roman"/>
          <w:sz w:val="24"/>
          <w:szCs w:val="24"/>
        </w:rPr>
      </w:pPr>
      <w:r w:rsidRPr="0045423B">
        <w:rPr>
          <w:rFonts w:ascii="Times New Roman" w:hAnsi="Times New Roman" w:cs="Times New Roman"/>
          <w:sz w:val="24"/>
          <w:szCs w:val="24"/>
        </w:rPr>
        <w:t>Ogólnopolska konferencja „Opieka długoterminowa w Polsce – dzisiaj i jutro” – organizator Koalicja „Na pomoc niesamodzielnym” – Związek Stowarzyszeń.</w:t>
      </w:r>
    </w:p>
    <w:p w14:paraId="1CC6D054" w14:textId="77777777" w:rsidR="0045423B" w:rsidRDefault="0045423B" w:rsidP="0045423B">
      <w:pPr>
        <w:autoSpaceDE w:val="0"/>
        <w:autoSpaceDN w:val="0"/>
        <w:adjustRightInd w:val="0"/>
        <w:spacing w:after="0"/>
        <w:jc w:val="both"/>
        <w:rPr>
          <w:rFonts w:ascii="Times New Roman" w:hAnsi="Times New Roman" w:cs="Times New Roman"/>
          <w:color w:val="00B0F0"/>
          <w:sz w:val="24"/>
          <w:szCs w:val="24"/>
        </w:rPr>
      </w:pPr>
    </w:p>
    <w:p w14:paraId="1232F6FE" w14:textId="77777777" w:rsidR="000B40AE" w:rsidRDefault="000B40AE" w:rsidP="0045423B">
      <w:pPr>
        <w:autoSpaceDE w:val="0"/>
        <w:autoSpaceDN w:val="0"/>
        <w:adjustRightInd w:val="0"/>
        <w:spacing w:after="0"/>
        <w:jc w:val="both"/>
        <w:rPr>
          <w:rFonts w:ascii="Times New Roman" w:hAnsi="Times New Roman" w:cs="Times New Roman"/>
          <w:color w:val="00B0F0"/>
          <w:sz w:val="24"/>
          <w:szCs w:val="24"/>
        </w:rPr>
      </w:pPr>
    </w:p>
    <w:p w14:paraId="483A24E5" w14:textId="77777777" w:rsidR="000B40AE" w:rsidRDefault="000B40AE" w:rsidP="0045423B">
      <w:pPr>
        <w:autoSpaceDE w:val="0"/>
        <w:autoSpaceDN w:val="0"/>
        <w:adjustRightInd w:val="0"/>
        <w:spacing w:after="0"/>
        <w:jc w:val="both"/>
        <w:rPr>
          <w:rFonts w:ascii="Times New Roman" w:hAnsi="Times New Roman" w:cs="Times New Roman"/>
          <w:color w:val="00B0F0"/>
          <w:sz w:val="24"/>
          <w:szCs w:val="24"/>
        </w:rPr>
      </w:pPr>
    </w:p>
    <w:p w14:paraId="79A64EFD" w14:textId="77777777" w:rsidR="000B40AE" w:rsidRDefault="000B40AE" w:rsidP="0045423B">
      <w:pPr>
        <w:autoSpaceDE w:val="0"/>
        <w:autoSpaceDN w:val="0"/>
        <w:adjustRightInd w:val="0"/>
        <w:spacing w:after="0"/>
        <w:jc w:val="both"/>
        <w:rPr>
          <w:rFonts w:ascii="Times New Roman" w:hAnsi="Times New Roman" w:cs="Times New Roman"/>
          <w:color w:val="00B0F0"/>
          <w:sz w:val="24"/>
          <w:szCs w:val="24"/>
        </w:rPr>
      </w:pPr>
    </w:p>
    <w:p w14:paraId="7C312C07" w14:textId="77777777" w:rsidR="0045423B" w:rsidRPr="0045423B" w:rsidRDefault="0045423B" w:rsidP="0045423B">
      <w:pPr>
        <w:autoSpaceDE w:val="0"/>
        <w:autoSpaceDN w:val="0"/>
        <w:adjustRightInd w:val="0"/>
        <w:spacing w:after="0"/>
        <w:jc w:val="both"/>
        <w:rPr>
          <w:rFonts w:ascii="Times New Roman" w:hAnsi="Times New Roman" w:cs="Times New Roman"/>
          <w:b/>
          <w:sz w:val="24"/>
          <w:szCs w:val="24"/>
        </w:rPr>
      </w:pPr>
      <w:r w:rsidRPr="0045423B">
        <w:rPr>
          <w:rFonts w:ascii="Times New Roman" w:hAnsi="Times New Roman" w:cs="Times New Roman"/>
          <w:b/>
          <w:color w:val="00B0F0"/>
          <w:sz w:val="24"/>
          <w:szCs w:val="24"/>
        </w:rPr>
        <w:t>Obsługa doradcy emerytalnego</w:t>
      </w:r>
    </w:p>
    <w:p w14:paraId="05730CF2" w14:textId="77777777" w:rsidR="00BE18AF" w:rsidRPr="00BE18AF" w:rsidRDefault="00BE18AF" w:rsidP="0045423B">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Jedną z kluczowych usług, którą Zakład realizuje od 2017 r. jest usługa doradcy emerytalnego, która została uruchomiona na potrzeby ustawy obniżającej powszechny wiek</w:t>
      </w:r>
      <w:r w:rsidR="0045423B">
        <w:rPr>
          <w:rFonts w:ascii="Times New Roman" w:hAnsi="Times New Roman" w:cs="Times New Roman"/>
          <w:sz w:val="24"/>
          <w:szCs w:val="24"/>
        </w:rPr>
        <w:t xml:space="preserve"> </w:t>
      </w:r>
      <w:r w:rsidRPr="00BE18AF">
        <w:rPr>
          <w:rFonts w:ascii="Times New Roman" w:hAnsi="Times New Roman" w:cs="Times New Roman"/>
          <w:sz w:val="24"/>
          <w:szCs w:val="24"/>
        </w:rPr>
        <w:t>emerytalny. W ramach tej usługi w dalszym ciągu realizuje</w:t>
      </w:r>
      <w:r w:rsidR="0045423B">
        <w:rPr>
          <w:rFonts w:ascii="Times New Roman" w:hAnsi="Times New Roman" w:cs="Times New Roman"/>
          <w:sz w:val="24"/>
          <w:szCs w:val="24"/>
        </w:rPr>
        <w:t xml:space="preserve">my program edukacji, skierowany </w:t>
      </w:r>
      <w:r w:rsidRPr="00BE18AF">
        <w:rPr>
          <w:rFonts w:ascii="Times New Roman" w:hAnsi="Times New Roman" w:cs="Times New Roman"/>
          <w:sz w:val="24"/>
          <w:szCs w:val="24"/>
        </w:rPr>
        <w:t>do przyszłych emerytów na temat korzyści płynących z opóźnienia decyzji przejścia na emeryturę, jak również prowadzimy kampanię informacyjną o wpływie dłuższej działalności zawodowej na wysokość przyszłej emerytury – „Twoja emerytura – Twój wybór”.</w:t>
      </w:r>
    </w:p>
    <w:p w14:paraId="29C451E5" w14:textId="77777777" w:rsidR="000436A1" w:rsidRDefault="000436A1" w:rsidP="0045423B">
      <w:pPr>
        <w:autoSpaceDE w:val="0"/>
        <w:autoSpaceDN w:val="0"/>
        <w:adjustRightInd w:val="0"/>
        <w:spacing w:after="0"/>
        <w:jc w:val="both"/>
        <w:rPr>
          <w:rFonts w:ascii="Times New Roman" w:hAnsi="Times New Roman" w:cs="Times New Roman"/>
          <w:sz w:val="24"/>
          <w:szCs w:val="24"/>
        </w:rPr>
      </w:pPr>
    </w:p>
    <w:p w14:paraId="6B867796" w14:textId="77777777" w:rsidR="00BE18AF" w:rsidRPr="00BE18AF" w:rsidRDefault="00BE18AF" w:rsidP="0045423B">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W 2019 r. przyszli emeryci mogli skorzystać z usług doradców emerytalnych zatrudnionych na 953 stanowiskach „Emerytury i renty”, „Doradca emerytalny” w 322 placówkach w terenowy</w:t>
      </w:r>
      <w:r w:rsidR="00F239DF">
        <w:rPr>
          <w:rFonts w:ascii="Times New Roman" w:hAnsi="Times New Roman" w:cs="Times New Roman"/>
          <w:sz w:val="24"/>
          <w:szCs w:val="24"/>
        </w:rPr>
        <w:t xml:space="preserve">ch jednostkach organizacyjnych. </w:t>
      </w:r>
      <w:r w:rsidRPr="00BE18AF">
        <w:rPr>
          <w:rFonts w:ascii="Times New Roman" w:hAnsi="Times New Roman" w:cs="Times New Roman"/>
          <w:sz w:val="24"/>
          <w:szCs w:val="24"/>
        </w:rPr>
        <w:t>Doradcy emerytalni wyliczali przy pomocy specjalnego kalkulatora emerytalnego</w:t>
      </w:r>
      <w:r w:rsidR="000436A1">
        <w:rPr>
          <w:rFonts w:ascii="Times New Roman" w:hAnsi="Times New Roman" w:cs="Times New Roman"/>
          <w:sz w:val="24"/>
          <w:szCs w:val="24"/>
        </w:rPr>
        <w:t xml:space="preserve"> </w:t>
      </w:r>
      <w:r w:rsidRPr="00BE18AF">
        <w:rPr>
          <w:rFonts w:ascii="Times New Roman" w:hAnsi="Times New Roman" w:cs="Times New Roman"/>
          <w:sz w:val="24"/>
          <w:szCs w:val="24"/>
        </w:rPr>
        <w:t>prognozowaną kwotę emerytury powszechnej, nauczycielskiego świadczenia kompensacyjnego, czy też emerytury pomostowej. Przyszli świadczeniobiorcy mogli także skorzystać z kalkulatora emerytalnego z</w:t>
      </w:r>
      <w:r w:rsidR="00F239DF">
        <w:rPr>
          <w:rFonts w:ascii="Times New Roman" w:hAnsi="Times New Roman" w:cs="Times New Roman"/>
          <w:sz w:val="24"/>
          <w:szCs w:val="24"/>
        </w:rPr>
        <w:t>a</w:t>
      </w:r>
      <w:r w:rsidRPr="00BE18AF">
        <w:rPr>
          <w:rFonts w:ascii="Times New Roman" w:hAnsi="Times New Roman" w:cs="Times New Roman"/>
          <w:sz w:val="24"/>
          <w:szCs w:val="24"/>
        </w:rPr>
        <w:t>mieszczonego na P</w:t>
      </w:r>
      <w:r w:rsidR="00F239DF">
        <w:rPr>
          <w:rFonts w:ascii="Times New Roman" w:hAnsi="Times New Roman" w:cs="Times New Roman"/>
          <w:sz w:val="24"/>
          <w:szCs w:val="24"/>
        </w:rPr>
        <w:t xml:space="preserve">latformie Usług Elektronicznych </w:t>
      </w:r>
      <w:r w:rsidRPr="00BE18AF">
        <w:rPr>
          <w:rFonts w:ascii="Times New Roman" w:hAnsi="Times New Roman" w:cs="Times New Roman"/>
          <w:sz w:val="24"/>
          <w:szCs w:val="24"/>
        </w:rPr>
        <w:t xml:space="preserve">(PUE ZUS), jak również na stronie </w:t>
      </w:r>
      <w:r w:rsidRPr="00BE18AF">
        <w:rPr>
          <w:rFonts w:ascii="Times New Roman" w:hAnsi="Times New Roman" w:cs="Times New Roman"/>
          <w:color w:val="0000FF"/>
          <w:sz w:val="24"/>
          <w:szCs w:val="24"/>
        </w:rPr>
        <w:t>www.zus.p</w:t>
      </w:r>
      <w:r w:rsidRPr="00BE18AF">
        <w:rPr>
          <w:rFonts w:ascii="Times New Roman" w:hAnsi="Times New Roman" w:cs="Times New Roman"/>
          <w:sz w:val="24"/>
          <w:szCs w:val="24"/>
        </w:rPr>
        <w:t>. Obliczenie prognozowanej kwoty przyszłej emerytury umożliwia przyszłemu świadczeniobiorcy dokon</w:t>
      </w:r>
      <w:r w:rsidR="00F239DF">
        <w:rPr>
          <w:rFonts w:ascii="Times New Roman" w:hAnsi="Times New Roman" w:cs="Times New Roman"/>
          <w:sz w:val="24"/>
          <w:szCs w:val="24"/>
        </w:rPr>
        <w:t xml:space="preserve">anie wyboru najkorzystniejszego </w:t>
      </w:r>
      <w:r w:rsidRPr="00BE18AF">
        <w:rPr>
          <w:rFonts w:ascii="Times New Roman" w:hAnsi="Times New Roman" w:cs="Times New Roman"/>
          <w:sz w:val="24"/>
          <w:szCs w:val="24"/>
        </w:rPr>
        <w:t xml:space="preserve">momentu zakończenia aktywności zawodowej, czyli </w:t>
      </w:r>
      <w:r w:rsidR="00F239DF">
        <w:rPr>
          <w:rFonts w:ascii="Times New Roman" w:hAnsi="Times New Roman" w:cs="Times New Roman"/>
          <w:sz w:val="24"/>
          <w:szCs w:val="24"/>
        </w:rPr>
        <w:t xml:space="preserve">momentu przejścia na emeryturę. </w:t>
      </w:r>
      <w:r w:rsidRPr="00BE18AF">
        <w:rPr>
          <w:rFonts w:ascii="Times New Roman" w:hAnsi="Times New Roman" w:cs="Times New Roman"/>
          <w:sz w:val="24"/>
          <w:szCs w:val="24"/>
        </w:rPr>
        <w:t>Doradcy emerytalni swoją wiedzą oraz wyliczaniem k</w:t>
      </w:r>
      <w:r w:rsidR="00F239DF">
        <w:rPr>
          <w:rFonts w:ascii="Times New Roman" w:hAnsi="Times New Roman" w:cs="Times New Roman"/>
          <w:sz w:val="24"/>
          <w:szCs w:val="24"/>
        </w:rPr>
        <w:t>woty przyszłej emerytury, dbają</w:t>
      </w:r>
      <w:r w:rsidRPr="00BE18AF">
        <w:rPr>
          <w:rFonts w:ascii="Times New Roman" w:hAnsi="Times New Roman" w:cs="Times New Roman"/>
          <w:sz w:val="24"/>
          <w:szCs w:val="24"/>
        </w:rPr>
        <w:t xml:space="preserve"> o podnoszenie świadomości przyszł</w:t>
      </w:r>
      <w:r w:rsidR="00F239DF">
        <w:rPr>
          <w:rFonts w:ascii="Times New Roman" w:hAnsi="Times New Roman" w:cs="Times New Roman"/>
          <w:sz w:val="24"/>
          <w:szCs w:val="24"/>
        </w:rPr>
        <w:t xml:space="preserve">ych emerytów o wpływie długości </w:t>
      </w:r>
      <w:r w:rsidRPr="00BE18AF">
        <w:rPr>
          <w:rFonts w:ascii="Times New Roman" w:hAnsi="Times New Roman" w:cs="Times New Roman"/>
          <w:sz w:val="24"/>
          <w:szCs w:val="24"/>
        </w:rPr>
        <w:t>aktywności zawodowej na wysokość emerytury.</w:t>
      </w:r>
    </w:p>
    <w:p w14:paraId="20A69494" w14:textId="77777777" w:rsidR="000436A1" w:rsidRDefault="000436A1" w:rsidP="00526000">
      <w:pPr>
        <w:autoSpaceDE w:val="0"/>
        <w:autoSpaceDN w:val="0"/>
        <w:adjustRightInd w:val="0"/>
        <w:spacing w:after="0"/>
        <w:jc w:val="both"/>
        <w:rPr>
          <w:rFonts w:ascii="Times New Roman" w:hAnsi="Times New Roman" w:cs="Times New Roman"/>
          <w:sz w:val="24"/>
          <w:szCs w:val="24"/>
        </w:rPr>
      </w:pPr>
    </w:p>
    <w:p w14:paraId="319EB893" w14:textId="77777777" w:rsidR="00F239DF" w:rsidRPr="00F239DF" w:rsidRDefault="00F239DF" w:rsidP="00526000">
      <w:pPr>
        <w:autoSpaceDE w:val="0"/>
        <w:autoSpaceDN w:val="0"/>
        <w:adjustRightInd w:val="0"/>
        <w:spacing w:after="0"/>
        <w:jc w:val="both"/>
        <w:rPr>
          <w:rFonts w:ascii="Times New Roman" w:hAnsi="Times New Roman" w:cs="Times New Roman"/>
          <w:b/>
          <w:color w:val="00B0F0"/>
          <w:sz w:val="24"/>
          <w:szCs w:val="24"/>
        </w:rPr>
      </w:pPr>
      <w:r w:rsidRPr="00F239DF">
        <w:rPr>
          <w:rFonts w:ascii="Times New Roman" w:hAnsi="Times New Roman" w:cs="Times New Roman"/>
          <w:b/>
          <w:color w:val="00B0F0"/>
          <w:sz w:val="24"/>
          <w:szCs w:val="24"/>
        </w:rPr>
        <w:t>Centrum Obsługi Telefonicznej</w:t>
      </w:r>
    </w:p>
    <w:p w14:paraId="311BABD5"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Osoby starsze, przyszli emeryci nadal mogą załatwiać sprawy bez konieczności wychodzenia</w:t>
      </w:r>
      <w:r w:rsidR="000436A1">
        <w:rPr>
          <w:rFonts w:ascii="Times New Roman" w:hAnsi="Times New Roman" w:cs="Times New Roman"/>
          <w:sz w:val="24"/>
          <w:szCs w:val="24"/>
        </w:rPr>
        <w:t xml:space="preserve"> </w:t>
      </w:r>
      <w:r w:rsidRPr="00BE18AF">
        <w:rPr>
          <w:rFonts w:ascii="Times New Roman" w:hAnsi="Times New Roman" w:cs="Times New Roman"/>
          <w:sz w:val="24"/>
          <w:szCs w:val="24"/>
        </w:rPr>
        <w:t>z domu, korzystając z usług świadczonych przez konsultantów Centrum Obsługi Telefonicznej (COT ZUS). Konsultanci COT udzielają wszelkich niezbędnych informacji z zakresu ubezpieczeń społecznych, w tym przepisów emerytalno-rentowych, jak również dokonują wyliczenia prognozowanej kwoty przyszłej emerytury.</w:t>
      </w:r>
    </w:p>
    <w:p w14:paraId="0D9BC859" w14:textId="77777777" w:rsidR="000436A1" w:rsidRDefault="000436A1" w:rsidP="00526000">
      <w:pPr>
        <w:autoSpaceDE w:val="0"/>
        <w:autoSpaceDN w:val="0"/>
        <w:adjustRightInd w:val="0"/>
        <w:spacing w:after="0"/>
        <w:jc w:val="both"/>
        <w:rPr>
          <w:rFonts w:ascii="Times New Roman" w:hAnsi="Times New Roman" w:cs="Times New Roman"/>
          <w:sz w:val="24"/>
          <w:szCs w:val="24"/>
        </w:rPr>
      </w:pPr>
    </w:p>
    <w:p w14:paraId="2C61BA20"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W 2019 r. na stanowiskach „Emerytury i renty”, „Doradca emerytalny” obsłużono ponad 7,9 mln klientów, w tym z usługi doradcy emerytalnego skor</w:t>
      </w:r>
      <w:r w:rsidR="00F239DF">
        <w:rPr>
          <w:rFonts w:ascii="Times New Roman" w:hAnsi="Times New Roman" w:cs="Times New Roman"/>
          <w:sz w:val="24"/>
          <w:szCs w:val="24"/>
        </w:rPr>
        <w:t xml:space="preserve">zystało ponad 2,2 mln klientów. </w:t>
      </w:r>
      <w:r w:rsidRPr="00BE18AF">
        <w:rPr>
          <w:rFonts w:ascii="Times New Roman" w:hAnsi="Times New Roman" w:cs="Times New Roman"/>
          <w:sz w:val="24"/>
          <w:szCs w:val="24"/>
        </w:rPr>
        <w:t>Doradcy emerytalni wykonali w tym czasie ponad 650 tys. wyliczeń prognozowanej emerytury. Konsultanci COT wykonali w 2019 r. ponad 9,3 tys. wylic</w:t>
      </w:r>
      <w:r w:rsidR="00F239DF">
        <w:rPr>
          <w:rFonts w:ascii="Times New Roman" w:hAnsi="Times New Roman" w:cs="Times New Roman"/>
          <w:sz w:val="24"/>
          <w:szCs w:val="24"/>
        </w:rPr>
        <w:t xml:space="preserve">zeń w kalkulatorze emerytalnym. </w:t>
      </w:r>
      <w:r w:rsidRPr="00BE18AF">
        <w:rPr>
          <w:rFonts w:ascii="Times New Roman" w:hAnsi="Times New Roman" w:cs="Times New Roman"/>
          <w:sz w:val="24"/>
          <w:szCs w:val="24"/>
        </w:rPr>
        <w:t>Natomiast klienci, którzy korzystali również z narzędzi udostępnionych przez ZUS na portalu</w:t>
      </w:r>
    </w:p>
    <w:p w14:paraId="3C2E3584"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PUE ZUS i stronie www.zus.pl wykonali w 2019 r.:</w:t>
      </w:r>
    </w:p>
    <w:p w14:paraId="53C7E544" w14:textId="77777777" w:rsidR="00F239DF" w:rsidRDefault="00BE18AF" w:rsidP="008C71A9">
      <w:pPr>
        <w:pStyle w:val="Akapitzlist"/>
        <w:numPr>
          <w:ilvl w:val="0"/>
          <w:numId w:val="344"/>
        </w:numPr>
        <w:autoSpaceDE w:val="0"/>
        <w:autoSpaceDN w:val="0"/>
        <w:adjustRightInd w:val="0"/>
        <w:spacing w:after="0"/>
        <w:ind w:left="360"/>
        <w:jc w:val="both"/>
        <w:rPr>
          <w:rFonts w:ascii="Times New Roman" w:hAnsi="Times New Roman" w:cs="Times New Roman"/>
          <w:sz w:val="24"/>
          <w:szCs w:val="24"/>
        </w:rPr>
      </w:pPr>
      <w:r w:rsidRPr="00F239DF">
        <w:rPr>
          <w:rFonts w:ascii="Times New Roman" w:hAnsi="Times New Roman" w:cs="Times New Roman"/>
          <w:sz w:val="24"/>
          <w:szCs w:val="24"/>
        </w:rPr>
        <w:t>ponad 1,1 mln obliczeń w kalkulatorze na portalu PUE,</w:t>
      </w:r>
    </w:p>
    <w:p w14:paraId="36B33327" w14:textId="77777777" w:rsidR="00BE18AF" w:rsidRPr="00F239DF" w:rsidRDefault="00BE18AF" w:rsidP="008C71A9">
      <w:pPr>
        <w:pStyle w:val="Akapitzlist"/>
        <w:numPr>
          <w:ilvl w:val="0"/>
          <w:numId w:val="344"/>
        </w:numPr>
        <w:autoSpaceDE w:val="0"/>
        <w:autoSpaceDN w:val="0"/>
        <w:adjustRightInd w:val="0"/>
        <w:spacing w:after="0"/>
        <w:ind w:left="360"/>
        <w:jc w:val="both"/>
        <w:rPr>
          <w:rFonts w:ascii="Times New Roman" w:hAnsi="Times New Roman" w:cs="Times New Roman"/>
          <w:sz w:val="24"/>
          <w:szCs w:val="24"/>
        </w:rPr>
      </w:pPr>
      <w:r w:rsidRPr="00F239DF">
        <w:rPr>
          <w:rFonts w:ascii="Times New Roman" w:hAnsi="Times New Roman" w:cs="Times New Roman"/>
          <w:sz w:val="24"/>
          <w:szCs w:val="24"/>
        </w:rPr>
        <w:t xml:space="preserve">169 tys. wyliczeń w kalkulatorze na </w:t>
      </w:r>
      <w:r w:rsidRPr="00F239DF">
        <w:rPr>
          <w:rFonts w:ascii="Times New Roman" w:hAnsi="Times New Roman" w:cs="Times New Roman"/>
          <w:color w:val="0000FF"/>
          <w:sz w:val="24"/>
          <w:szCs w:val="24"/>
        </w:rPr>
        <w:t>www.zus.pl</w:t>
      </w:r>
    </w:p>
    <w:p w14:paraId="13BE23A8" w14:textId="77777777" w:rsidR="000436A1" w:rsidRDefault="000436A1" w:rsidP="00526000">
      <w:pPr>
        <w:autoSpaceDE w:val="0"/>
        <w:autoSpaceDN w:val="0"/>
        <w:adjustRightInd w:val="0"/>
        <w:spacing w:after="0"/>
        <w:jc w:val="both"/>
        <w:rPr>
          <w:rFonts w:ascii="Times New Roman" w:hAnsi="Times New Roman" w:cs="Times New Roman"/>
          <w:sz w:val="24"/>
          <w:szCs w:val="24"/>
        </w:rPr>
      </w:pPr>
    </w:p>
    <w:p w14:paraId="006A9843"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Przeprowadzone w 2019 r. badania satysfakcji klientów pokazały, że 88% klientów, którzy skorzystali z usługi doradcy emerytalnego, było zadowolonych ze wsparcia udzielonego przez doradcę emerytalnego. Była to najwyższa ocena spośród wszystkich badanych grup klientów.</w:t>
      </w:r>
    </w:p>
    <w:p w14:paraId="145FE69C"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lastRenderedPageBreak/>
        <w:t>Najlepiej ocenianym aspektem w tej grupie są uprzejmość i życzliwość pracowników (93%)</w:t>
      </w:r>
    </w:p>
    <w:p w14:paraId="3E1E9EDA"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oraz</w:t>
      </w:r>
      <w:r w:rsidR="002145DD">
        <w:rPr>
          <w:rFonts w:ascii="Times New Roman" w:hAnsi="Times New Roman" w:cs="Times New Roman"/>
          <w:sz w:val="24"/>
          <w:szCs w:val="24"/>
        </w:rPr>
        <w:t xml:space="preserve"> ogólne warunki lokalowe (92%). </w:t>
      </w:r>
      <w:r w:rsidRPr="00BE18AF">
        <w:rPr>
          <w:rFonts w:ascii="Times New Roman" w:hAnsi="Times New Roman" w:cs="Times New Roman"/>
          <w:sz w:val="24"/>
          <w:szCs w:val="24"/>
        </w:rPr>
        <w:t>Świadczy to o wysokim poziomie satysfakcji klientów z usług świad</w:t>
      </w:r>
      <w:r w:rsidR="002145DD">
        <w:rPr>
          <w:rFonts w:ascii="Times New Roman" w:hAnsi="Times New Roman" w:cs="Times New Roman"/>
          <w:sz w:val="24"/>
          <w:szCs w:val="24"/>
        </w:rPr>
        <w:t xml:space="preserve">czonych przez doradców </w:t>
      </w:r>
      <w:r w:rsidRPr="00BE18AF">
        <w:rPr>
          <w:rFonts w:ascii="Times New Roman" w:hAnsi="Times New Roman" w:cs="Times New Roman"/>
          <w:sz w:val="24"/>
          <w:szCs w:val="24"/>
        </w:rPr>
        <w:t>emerytalnych, a także o stałym podnoszen</w:t>
      </w:r>
      <w:r w:rsidR="002145DD">
        <w:rPr>
          <w:rFonts w:ascii="Times New Roman" w:hAnsi="Times New Roman" w:cs="Times New Roman"/>
          <w:sz w:val="24"/>
          <w:szCs w:val="24"/>
        </w:rPr>
        <w:t xml:space="preserve">iu standardów obsługi klientów. </w:t>
      </w:r>
      <w:r w:rsidRPr="00BE18AF">
        <w:rPr>
          <w:rFonts w:ascii="Times New Roman" w:hAnsi="Times New Roman" w:cs="Times New Roman"/>
          <w:sz w:val="24"/>
          <w:szCs w:val="24"/>
        </w:rPr>
        <w:t>W badaniu z 2019 r. świadczeniobiorcy bardzo wysoko ocenili ogólną jakość obsługi klientów w placówkach ZUS, tj. na poziomie 4,40 (w pięciostopniowej skali, gdzie 1 jest najniższą oceną, a 5 najwyższą oceną). Natomiast średnia ocena ogólnej jakości obsługi klientów w placówce ZUS wsz</w:t>
      </w:r>
      <w:r w:rsidR="002145DD">
        <w:rPr>
          <w:rFonts w:ascii="Times New Roman" w:hAnsi="Times New Roman" w:cs="Times New Roman"/>
          <w:sz w:val="24"/>
          <w:szCs w:val="24"/>
        </w:rPr>
        <w:t xml:space="preserve">ystkich klientów wynosiła 4,18. </w:t>
      </w:r>
      <w:r w:rsidRPr="00BE18AF">
        <w:rPr>
          <w:rFonts w:ascii="Times New Roman" w:hAnsi="Times New Roman" w:cs="Times New Roman"/>
          <w:sz w:val="24"/>
          <w:szCs w:val="24"/>
        </w:rPr>
        <w:t>Poziom satysfakcji świadczeniobiorców z ogólnej jakości ob</w:t>
      </w:r>
      <w:r w:rsidR="002145DD">
        <w:rPr>
          <w:rFonts w:ascii="Times New Roman" w:hAnsi="Times New Roman" w:cs="Times New Roman"/>
          <w:sz w:val="24"/>
          <w:szCs w:val="24"/>
        </w:rPr>
        <w:t xml:space="preserve">sługi klientów w placówkach ZUS </w:t>
      </w:r>
      <w:r w:rsidRPr="00BE18AF">
        <w:rPr>
          <w:rFonts w:ascii="Times New Roman" w:hAnsi="Times New Roman" w:cs="Times New Roman"/>
          <w:sz w:val="24"/>
          <w:szCs w:val="24"/>
        </w:rPr>
        <w:t>rośnie wraz z wiekiem świadczeniobiorców. Rozkład ocen</w:t>
      </w:r>
      <w:r w:rsidR="002145DD">
        <w:rPr>
          <w:rFonts w:ascii="Times New Roman" w:hAnsi="Times New Roman" w:cs="Times New Roman"/>
          <w:sz w:val="24"/>
          <w:szCs w:val="24"/>
        </w:rPr>
        <w:t xml:space="preserve"> świadczeniobiorców dotyczących </w:t>
      </w:r>
      <w:r w:rsidRPr="00BE18AF">
        <w:rPr>
          <w:rFonts w:ascii="Times New Roman" w:hAnsi="Times New Roman" w:cs="Times New Roman"/>
          <w:sz w:val="24"/>
          <w:szCs w:val="24"/>
        </w:rPr>
        <w:t>tego obszaru w poszczególnych grupach wiekowych przedstawia się następująco:</w:t>
      </w:r>
    </w:p>
    <w:p w14:paraId="37C0EEAB" w14:textId="77777777" w:rsidR="002145DD" w:rsidRDefault="00BE18AF" w:rsidP="008C71A9">
      <w:pPr>
        <w:pStyle w:val="Akapitzlist"/>
        <w:numPr>
          <w:ilvl w:val="0"/>
          <w:numId w:val="345"/>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4,04 - świadczeniobiorcy w wieku 18-49 lat,</w:t>
      </w:r>
    </w:p>
    <w:p w14:paraId="7F90F3A1" w14:textId="77777777" w:rsidR="002145DD" w:rsidRDefault="00BE18AF" w:rsidP="008C71A9">
      <w:pPr>
        <w:pStyle w:val="Akapitzlist"/>
        <w:numPr>
          <w:ilvl w:val="0"/>
          <w:numId w:val="345"/>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4,39 – świadczeniobiorcy w wieku 50-60 lat,</w:t>
      </w:r>
    </w:p>
    <w:p w14:paraId="76DF5BB3" w14:textId="77777777" w:rsidR="002145DD" w:rsidRDefault="00BE18AF" w:rsidP="008C71A9">
      <w:pPr>
        <w:pStyle w:val="Akapitzlist"/>
        <w:numPr>
          <w:ilvl w:val="0"/>
          <w:numId w:val="345"/>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4,37 – świadczeniobiorcy w wieku 61-65 lat,</w:t>
      </w:r>
    </w:p>
    <w:p w14:paraId="71CDD7BD" w14:textId="77777777" w:rsidR="002145DD" w:rsidRDefault="00BE18AF" w:rsidP="008C71A9">
      <w:pPr>
        <w:pStyle w:val="Akapitzlist"/>
        <w:numPr>
          <w:ilvl w:val="0"/>
          <w:numId w:val="345"/>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4,45 – świadczeniobiorcy w wieku 66-80 lat.</w:t>
      </w:r>
    </w:p>
    <w:p w14:paraId="00DA554A" w14:textId="77777777" w:rsidR="00BE18AF" w:rsidRPr="002145DD" w:rsidRDefault="00BE18AF" w:rsidP="002145DD">
      <w:pPr>
        <w:autoSpaceDE w:val="0"/>
        <w:autoSpaceDN w:val="0"/>
        <w:adjustRightInd w:val="0"/>
        <w:spacing w:after="0"/>
        <w:jc w:val="both"/>
        <w:rPr>
          <w:rFonts w:ascii="Times New Roman" w:hAnsi="Times New Roman" w:cs="Times New Roman"/>
          <w:sz w:val="24"/>
          <w:szCs w:val="24"/>
        </w:rPr>
      </w:pPr>
      <w:r w:rsidRPr="002145DD">
        <w:rPr>
          <w:rFonts w:ascii="Times New Roman" w:hAnsi="Times New Roman" w:cs="Times New Roman"/>
          <w:sz w:val="24"/>
          <w:szCs w:val="24"/>
        </w:rPr>
        <w:t>Świadczeniobiorcy również bardzo wysoko ocenili warunki lokalowe, w jakich obsługiwani</w:t>
      </w:r>
    </w:p>
    <w:p w14:paraId="5306B373"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są klienci w placówkach ZUS. W 2019 r. ocenili je na poziomie 4,56 (natomiast wszyscy klienci p</w:t>
      </w:r>
      <w:r w:rsidR="002145DD">
        <w:rPr>
          <w:rFonts w:ascii="Times New Roman" w:hAnsi="Times New Roman" w:cs="Times New Roman"/>
          <w:sz w:val="24"/>
          <w:szCs w:val="24"/>
        </w:rPr>
        <w:t xml:space="preserve">rzyznali im ocenę - 4,45). </w:t>
      </w:r>
      <w:r w:rsidRPr="00BE18AF">
        <w:rPr>
          <w:rFonts w:ascii="Times New Roman" w:hAnsi="Times New Roman" w:cs="Times New Roman"/>
          <w:sz w:val="24"/>
          <w:szCs w:val="24"/>
        </w:rPr>
        <w:t xml:space="preserve">Ocena warunków lokalowych rośnie także wraz z wiekiem </w:t>
      </w:r>
      <w:r w:rsidR="002145DD">
        <w:rPr>
          <w:rFonts w:ascii="Times New Roman" w:hAnsi="Times New Roman" w:cs="Times New Roman"/>
          <w:sz w:val="24"/>
          <w:szCs w:val="24"/>
        </w:rPr>
        <w:t xml:space="preserve">świadczeniobiorców, co pokazują </w:t>
      </w:r>
      <w:r w:rsidRPr="00BE18AF">
        <w:rPr>
          <w:rFonts w:ascii="Times New Roman" w:hAnsi="Times New Roman" w:cs="Times New Roman"/>
          <w:sz w:val="24"/>
          <w:szCs w:val="24"/>
        </w:rPr>
        <w:t>poniższe dane:</w:t>
      </w:r>
    </w:p>
    <w:p w14:paraId="431F2C21" w14:textId="77777777" w:rsidR="002145DD" w:rsidRDefault="00BE18AF" w:rsidP="008C71A9">
      <w:pPr>
        <w:pStyle w:val="Akapitzlist"/>
        <w:numPr>
          <w:ilvl w:val="0"/>
          <w:numId w:val="346"/>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4,17 - świadczeniobiorcy w wieku 18-49 lat,</w:t>
      </w:r>
    </w:p>
    <w:p w14:paraId="1DECBBC4" w14:textId="77777777" w:rsidR="002145DD" w:rsidRDefault="00BE18AF" w:rsidP="008C71A9">
      <w:pPr>
        <w:pStyle w:val="Akapitzlist"/>
        <w:numPr>
          <w:ilvl w:val="0"/>
          <w:numId w:val="346"/>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4,52 – świadczeniobiorcy w wieku 50-60 lat,</w:t>
      </w:r>
    </w:p>
    <w:p w14:paraId="1DEC1683" w14:textId="77777777" w:rsidR="002145DD" w:rsidRDefault="00BE18AF" w:rsidP="008C71A9">
      <w:pPr>
        <w:pStyle w:val="Akapitzlist"/>
        <w:numPr>
          <w:ilvl w:val="0"/>
          <w:numId w:val="346"/>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4,61 – świadczeniobiorcy w wieku 61-65 lat,</w:t>
      </w:r>
    </w:p>
    <w:p w14:paraId="05285DEF" w14:textId="77777777" w:rsidR="00BE18AF" w:rsidRPr="002145DD" w:rsidRDefault="00BE18AF" w:rsidP="008C71A9">
      <w:pPr>
        <w:pStyle w:val="Akapitzlist"/>
        <w:numPr>
          <w:ilvl w:val="0"/>
          <w:numId w:val="346"/>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4,58 – świadczeniobiorcy w wieku 66-80 lat.</w:t>
      </w:r>
    </w:p>
    <w:p w14:paraId="78A85218" w14:textId="77777777" w:rsidR="002145DD" w:rsidRDefault="002145DD" w:rsidP="00526000">
      <w:pPr>
        <w:autoSpaceDE w:val="0"/>
        <w:autoSpaceDN w:val="0"/>
        <w:adjustRightInd w:val="0"/>
        <w:spacing w:after="0"/>
        <w:jc w:val="both"/>
        <w:rPr>
          <w:rFonts w:ascii="Times New Roman" w:hAnsi="Times New Roman" w:cs="Times New Roman"/>
          <w:sz w:val="24"/>
          <w:szCs w:val="24"/>
        </w:rPr>
      </w:pPr>
    </w:p>
    <w:p w14:paraId="6C624C5E"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Tak wysoka ocena warunków lokalowych placówkach ZUS i jakości obsługi, to rezultat systematycznie realizowanych przez Zakład od wielu lat działań w tych obszarach, które w 2019 r. były kontynuowane.</w:t>
      </w:r>
    </w:p>
    <w:p w14:paraId="1218907C" w14:textId="77777777" w:rsidR="002145DD" w:rsidRDefault="002145DD" w:rsidP="00526000">
      <w:pPr>
        <w:autoSpaceDE w:val="0"/>
        <w:autoSpaceDN w:val="0"/>
        <w:adjustRightInd w:val="0"/>
        <w:spacing w:after="0"/>
        <w:jc w:val="both"/>
        <w:rPr>
          <w:rFonts w:ascii="Times New Roman" w:hAnsi="Times New Roman" w:cs="Times New Roman"/>
          <w:sz w:val="24"/>
          <w:szCs w:val="24"/>
        </w:rPr>
      </w:pPr>
    </w:p>
    <w:p w14:paraId="536BB2E6"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Duża część aktywności Zakładu w tych obszarach była skierowana na zapewnienie osobom</w:t>
      </w:r>
    </w:p>
    <w:p w14:paraId="65BAF0D4"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ze szczególnymi potrzebami odpowiednich warunków obsługi w obiektach wolnych od barier budowlanych, przez pracowników przygotowanych do profesjonalnej obsługi, uwzględniającej specyficz</w:t>
      </w:r>
      <w:r w:rsidR="002145DD">
        <w:rPr>
          <w:rFonts w:ascii="Times New Roman" w:hAnsi="Times New Roman" w:cs="Times New Roman"/>
          <w:sz w:val="24"/>
          <w:szCs w:val="24"/>
        </w:rPr>
        <w:t xml:space="preserve">ne potrzeby tej grupy klientów. </w:t>
      </w:r>
      <w:r w:rsidRPr="00BE18AF">
        <w:rPr>
          <w:rFonts w:ascii="Times New Roman" w:hAnsi="Times New Roman" w:cs="Times New Roman"/>
          <w:sz w:val="24"/>
          <w:szCs w:val="24"/>
        </w:rPr>
        <w:t>W 2019 r.:</w:t>
      </w:r>
    </w:p>
    <w:p w14:paraId="4FB5D599" w14:textId="77777777" w:rsidR="002145DD" w:rsidRDefault="00BE18AF" w:rsidP="008C71A9">
      <w:pPr>
        <w:pStyle w:val="Akapitzlist"/>
        <w:numPr>
          <w:ilvl w:val="0"/>
          <w:numId w:val="347"/>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208 pracowników przeszło szkolenie z obsługi klientów z niepełnosprawnością,</w:t>
      </w:r>
    </w:p>
    <w:p w14:paraId="0DD02D98" w14:textId="77777777" w:rsidR="00BE18AF" w:rsidRPr="002145DD" w:rsidRDefault="00BE18AF" w:rsidP="008C71A9">
      <w:pPr>
        <w:pStyle w:val="Akapitzlist"/>
        <w:numPr>
          <w:ilvl w:val="0"/>
          <w:numId w:val="347"/>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268 pracowników uczestniczyło w szkoleniach z języka migowego, w tym 94 w warsztatach w zakresie nabycia biegłej komunikacji w polskim języku migowym (PJM).</w:t>
      </w:r>
    </w:p>
    <w:p w14:paraId="0671DFFD"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Według stanu na 31 grudnia 2019 r. osoby niesłyszące zgłaszające się do sal obsługi klientów w placówkach ZUS mogły skorzystać z pomocy:</w:t>
      </w:r>
    </w:p>
    <w:p w14:paraId="59AA9020" w14:textId="77777777" w:rsidR="002145DD" w:rsidRPr="002145DD" w:rsidRDefault="00BE18AF" w:rsidP="008C71A9">
      <w:pPr>
        <w:pStyle w:val="Akapitzlist"/>
        <w:numPr>
          <w:ilvl w:val="0"/>
          <w:numId w:val="348"/>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109 pracowników, którzy przeszli szkolenie z systemu językowo-migowego (SJM)</w:t>
      </w:r>
      <w:r w:rsidR="002145DD">
        <w:rPr>
          <w:rFonts w:ascii="Times New Roman" w:hAnsi="Times New Roman" w:cs="Times New Roman"/>
          <w:sz w:val="24"/>
          <w:szCs w:val="24"/>
        </w:rPr>
        <w:t xml:space="preserve"> </w:t>
      </w:r>
      <w:r w:rsidRPr="002145DD">
        <w:rPr>
          <w:rFonts w:ascii="Times New Roman" w:hAnsi="Times New Roman" w:cs="Times New Roman"/>
          <w:sz w:val="24"/>
          <w:szCs w:val="24"/>
        </w:rPr>
        <w:t>na poziomie podstawowym,</w:t>
      </w:r>
    </w:p>
    <w:p w14:paraId="7F6803B2" w14:textId="77777777" w:rsidR="002145DD" w:rsidRDefault="00BE18AF" w:rsidP="008C71A9">
      <w:pPr>
        <w:pStyle w:val="Akapitzlist"/>
        <w:numPr>
          <w:ilvl w:val="0"/>
          <w:numId w:val="348"/>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70 pracowników, którzy przeszli szkolenie z SJM na poziomie zaawansowanym,</w:t>
      </w:r>
    </w:p>
    <w:p w14:paraId="5462CF54" w14:textId="77777777" w:rsidR="002145DD" w:rsidRPr="002145DD" w:rsidRDefault="00BE18AF" w:rsidP="008C71A9">
      <w:pPr>
        <w:pStyle w:val="Akapitzlist"/>
        <w:numPr>
          <w:ilvl w:val="0"/>
          <w:numId w:val="348"/>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204 pracowników, którzy przeszli szkolenie z polskiego języka migowego (PJM)</w:t>
      </w:r>
      <w:r w:rsidR="002145DD">
        <w:rPr>
          <w:rFonts w:ascii="Times New Roman" w:hAnsi="Times New Roman" w:cs="Times New Roman"/>
          <w:sz w:val="24"/>
          <w:szCs w:val="24"/>
        </w:rPr>
        <w:t xml:space="preserve"> </w:t>
      </w:r>
      <w:r w:rsidRPr="002145DD">
        <w:rPr>
          <w:rFonts w:ascii="Times New Roman" w:hAnsi="Times New Roman" w:cs="Times New Roman"/>
          <w:sz w:val="24"/>
          <w:szCs w:val="24"/>
        </w:rPr>
        <w:t>na poziomie podstawowym,</w:t>
      </w:r>
    </w:p>
    <w:p w14:paraId="6DB8B988" w14:textId="77777777" w:rsidR="00BE18AF" w:rsidRPr="002145DD" w:rsidRDefault="00BE18AF" w:rsidP="008C71A9">
      <w:pPr>
        <w:pStyle w:val="Akapitzlist"/>
        <w:numPr>
          <w:ilvl w:val="0"/>
          <w:numId w:val="349"/>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lastRenderedPageBreak/>
        <w:t>129 pracowników, którzy przeszli szkolenie z PJM na poziomie zaawansowanym.</w:t>
      </w:r>
    </w:p>
    <w:p w14:paraId="62B28573" w14:textId="77777777" w:rsidR="002145DD" w:rsidRDefault="002145DD" w:rsidP="002145DD">
      <w:pPr>
        <w:autoSpaceDE w:val="0"/>
        <w:autoSpaceDN w:val="0"/>
        <w:adjustRightInd w:val="0"/>
        <w:spacing w:after="0"/>
        <w:jc w:val="both"/>
        <w:rPr>
          <w:rFonts w:ascii="Times New Roman" w:hAnsi="Times New Roman" w:cs="Times New Roman"/>
          <w:sz w:val="24"/>
          <w:szCs w:val="24"/>
        </w:rPr>
      </w:pPr>
    </w:p>
    <w:p w14:paraId="75B66E1B" w14:textId="77777777" w:rsidR="00BE18AF" w:rsidRPr="00BE18AF" w:rsidRDefault="00BE18AF" w:rsidP="002145DD">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Liczba osób doświadczających trwale lub okresowo trudności w komunikowaniu się, które w 2019 r. skorzystały z obsługi w salach obsługi klientów w placówkach ZUS, tłumaczonej na PJM lub SJM lub SKOGN przedstawia się następująco:</w:t>
      </w:r>
    </w:p>
    <w:p w14:paraId="72AB0023" w14:textId="77777777" w:rsidR="002145DD" w:rsidRDefault="002145DD" w:rsidP="008C71A9">
      <w:pPr>
        <w:pStyle w:val="Akapitzlist"/>
        <w:numPr>
          <w:ilvl w:val="0"/>
          <w:numId w:val="349"/>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 xml:space="preserve">5 </w:t>
      </w:r>
      <w:r w:rsidR="00BE18AF" w:rsidRPr="002145DD">
        <w:rPr>
          <w:rFonts w:ascii="Times New Roman" w:hAnsi="Times New Roman" w:cs="Times New Roman"/>
          <w:sz w:val="24"/>
          <w:szCs w:val="24"/>
        </w:rPr>
        <w:t>387 osób przez pracownika Zakładu posługującego się SJM lub PJM,</w:t>
      </w:r>
    </w:p>
    <w:p w14:paraId="25312226" w14:textId="77777777" w:rsidR="00B66023" w:rsidRDefault="00BE18AF" w:rsidP="008C71A9">
      <w:pPr>
        <w:pStyle w:val="Akapitzlist"/>
        <w:numPr>
          <w:ilvl w:val="0"/>
          <w:numId w:val="349"/>
        </w:numPr>
        <w:autoSpaceDE w:val="0"/>
        <w:autoSpaceDN w:val="0"/>
        <w:adjustRightInd w:val="0"/>
        <w:spacing w:after="0"/>
        <w:ind w:left="360"/>
        <w:jc w:val="both"/>
        <w:rPr>
          <w:rFonts w:ascii="Times New Roman" w:hAnsi="Times New Roman" w:cs="Times New Roman"/>
          <w:sz w:val="24"/>
          <w:szCs w:val="24"/>
        </w:rPr>
      </w:pPr>
      <w:r w:rsidRPr="002145DD">
        <w:rPr>
          <w:rFonts w:ascii="Times New Roman" w:hAnsi="Times New Roman" w:cs="Times New Roman"/>
          <w:sz w:val="24"/>
          <w:szCs w:val="24"/>
        </w:rPr>
        <w:t>79 osób przez konsultantów Centrum Obsługi Telefonicznej posługującego się PJM w ramach wideotłumaczenia,</w:t>
      </w:r>
    </w:p>
    <w:p w14:paraId="68F7C0C7" w14:textId="77777777" w:rsidR="00B66023" w:rsidRDefault="00BE18AF" w:rsidP="008C71A9">
      <w:pPr>
        <w:pStyle w:val="Akapitzlist"/>
        <w:numPr>
          <w:ilvl w:val="0"/>
          <w:numId w:val="349"/>
        </w:numPr>
        <w:autoSpaceDE w:val="0"/>
        <w:autoSpaceDN w:val="0"/>
        <w:adjustRightInd w:val="0"/>
        <w:spacing w:after="0"/>
        <w:ind w:left="360"/>
        <w:jc w:val="both"/>
        <w:rPr>
          <w:rFonts w:ascii="Times New Roman" w:hAnsi="Times New Roman" w:cs="Times New Roman"/>
          <w:sz w:val="24"/>
          <w:szCs w:val="24"/>
        </w:rPr>
      </w:pPr>
      <w:r w:rsidRPr="00B66023">
        <w:rPr>
          <w:rFonts w:ascii="Times New Roman" w:hAnsi="Times New Roman" w:cs="Times New Roman"/>
          <w:sz w:val="24"/>
          <w:szCs w:val="24"/>
        </w:rPr>
        <w:t>12 osób przez tłumacza PJM lub SJM lub SKOGN wybranego przez terenową jednostkę organizacyjną ZUS lub osobę niesłyszącą z rejestru tłumaczy,</w:t>
      </w:r>
    </w:p>
    <w:p w14:paraId="03AB7C3F" w14:textId="77777777" w:rsidR="00BE18AF" w:rsidRPr="00B66023" w:rsidRDefault="00BE18AF" w:rsidP="008C71A9">
      <w:pPr>
        <w:pStyle w:val="Akapitzlist"/>
        <w:numPr>
          <w:ilvl w:val="0"/>
          <w:numId w:val="349"/>
        </w:numPr>
        <w:autoSpaceDE w:val="0"/>
        <w:autoSpaceDN w:val="0"/>
        <w:adjustRightInd w:val="0"/>
        <w:spacing w:after="0"/>
        <w:ind w:left="360"/>
        <w:jc w:val="both"/>
        <w:rPr>
          <w:rFonts w:ascii="Times New Roman" w:hAnsi="Times New Roman" w:cs="Times New Roman"/>
          <w:sz w:val="24"/>
          <w:szCs w:val="24"/>
        </w:rPr>
      </w:pPr>
      <w:r w:rsidRPr="00B66023">
        <w:rPr>
          <w:rFonts w:ascii="Times New Roman" w:hAnsi="Times New Roman" w:cs="Times New Roman"/>
          <w:sz w:val="24"/>
          <w:szCs w:val="24"/>
        </w:rPr>
        <w:t>43 osoby przez tłumacza innej instytucji (PZG).</w:t>
      </w:r>
    </w:p>
    <w:p w14:paraId="64CA2A37" w14:textId="77777777" w:rsidR="00B66023" w:rsidRDefault="00B66023" w:rsidP="00526000">
      <w:pPr>
        <w:autoSpaceDE w:val="0"/>
        <w:autoSpaceDN w:val="0"/>
        <w:adjustRightInd w:val="0"/>
        <w:spacing w:after="0"/>
        <w:jc w:val="both"/>
        <w:rPr>
          <w:rFonts w:ascii="Times New Roman" w:hAnsi="Times New Roman" w:cs="Times New Roman"/>
          <w:sz w:val="24"/>
          <w:szCs w:val="24"/>
        </w:rPr>
      </w:pPr>
    </w:p>
    <w:p w14:paraId="3AC27C10"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Ponadto 854 osoby doświadczające trwale lub okresow</w:t>
      </w:r>
      <w:r w:rsidR="00B66023">
        <w:rPr>
          <w:rFonts w:ascii="Times New Roman" w:hAnsi="Times New Roman" w:cs="Times New Roman"/>
          <w:sz w:val="24"/>
          <w:szCs w:val="24"/>
        </w:rPr>
        <w:t xml:space="preserve">o trudności w komunikowaniu się </w:t>
      </w:r>
      <w:r w:rsidRPr="00BE18AF">
        <w:rPr>
          <w:rFonts w:ascii="Times New Roman" w:hAnsi="Times New Roman" w:cs="Times New Roman"/>
          <w:sz w:val="24"/>
          <w:szCs w:val="24"/>
        </w:rPr>
        <w:t>skorzystało w 2019 r. z pomocy osoby przybranej podczas obsługi w salach obsługi klientów</w:t>
      </w:r>
      <w:r w:rsidR="00B66023">
        <w:rPr>
          <w:rFonts w:ascii="Times New Roman" w:hAnsi="Times New Roman" w:cs="Times New Roman"/>
          <w:sz w:val="24"/>
          <w:szCs w:val="24"/>
        </w:rPr>
        <w:t xml:space="preserve">. </w:t>
      </w:r>
      <w:r w:rsidRPr="00BE18AF">
        <w:rPr>
          <w:rFonts w:ascii="Times New Roman" w:hAnsi="Times New Roman" w:cs="Times New Roman"/>
          <w:sz w:val="24"/>
          <w:szCs w:val="24"/>
        </w:rPr>
        <w:t>W 2019 r. klienci Zakładu mogli także skorzystać z obsłu</w:t>
      </w:r>
      <w:r w:rsidR="00B66023">
        <w:rPr>
          <w:rFonts w:ascii="Times New Roman" w:hAnsi="Times New Roman" w:cs="Times New Roman"/>
          <w:sz w:val="24"/>
          <w:szCs w:val="24"/>
        </w:rPr>
        <w:t xml:space="preserve">gi w 20 punktach informacyjnych </w:t>
      </w:r>
      <w:r w:rsidRPr="00BE18AF">
        <w:rPr>
          <w:rFonts w:ascii="Times New Roman" w:hAnsi="Times New Roman" w:cs="Times New Roman"/>
          <w:sz w:val="24"/>
          <w:szCs w:val="24"/>
        </w:rPr>
        <w:t>ZUS, których część znajduje się w instytucji innej niż</w:t>
      </w:r>
      <w:r w:rsidR="00B66023">
        <w:rPr>
          <w:rFonts w:ascii="Times New Roman" w:hAnsi="Times New Roman" w:cs="Times New Roman"/>
          <w:sz w:val="24"/>
          <w:szCs w:val="24"/>
        </w:rPr>
        <w:t xml:space="preserve"> ZUS, np. urzędzie miasta albo w urzędzie pracy. </w:t>
      </w:r>
      <w:r w:rsidRPr="00BE18AF">
        <w:rPr>
          <w:rFonts w:ascii="Times New Roman" w:hAnsi="Times New Roman" w:cs="Times New Roman"/>
          <w:sz w:val="24"/>
          <w:szCs w:val="24"/>
        </w:rPr>
        <w:t xml:space="preserve">W 2019 r. Zakład kontynuował działania, aby zapewnić na stronie </w:t>
      </w:r>
      <w:r w:rsidRPr="00BE18AF">
        <w:rPr>
          <w:rFonts w:ascii="Times New Roman" w:hAnsi="Times New Roman" w:cs="Times New Roman"/>
          <w:color w:val="0000FF"/>
          <w:sz w:val="24"/>
          <w:szCs w:val="24"/>
        </w:rPr>
        <w:t xml:space="preserve">www.zus.pl </w:t>
      </w:r>
      <w:r w:rsidRPr="00BE18AF">
        <w:rPr>
          <w:rFonts w:ascii="Times New Roman" w:hAnsi="Times New Roman" w:cs="Times New Roman"/>
          <w:sz w:val="24"/>
          <w:szCs w:val="24"/>
        </w:rPr>
        <w:t>aktualne</w:t>
      </w:r>
    </w:p>
    <w:p w14:paraId="521E43DC" w14:textId="77777777" w:rsidR="00BE18AF" w:rsidRPr="00BE18AF" w:rsidRDefault="00BE18AF" w:rsidP="00526000">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informacje o:</w:t>
      </w:r>
    </w:p>
    <w:p w14:paraId="6E1E24CA" w14:textId="77777777" w:rsidR="00B66023" w:rsidRDefault="00BE18AF" w:rsidP="008C71A9">
      <w:pPr>
        <w:pStyle w:val="Akapitzlist"/>
        <w:numPr>
          <w:ilvl w:val="0"/>
          <w:numId w:val="350"/>
        </w:numPr>
        <w:autoSpaceDE w:val="0"/>
        <w:autoSpaceDN w:val="0"/>
        <w:adjustRightInd w:val="0"/>
        <w:spacing w:after="0"/>
        <w:ind w:left="360"/>
        <w:jc w:val="both"/>
        <w:rPr>
          <w:rFonts w:ascii="Times New Roman" w:hAnsi="Times New Roman" w:cs="Times New Roman"/>
          <w:sz w:val="24"/>
          <w:szCs w:val="24"/>
        </w:rPr>
      </w:pPr>
      <w:r w:rsidRPr="00B66023">
        <w:rPr>
          <w:rFonts w:ascii="Times New Roman" w:hAnsi="Times New Roman" w:cs="Times New Roman"/>
          <w:sz w:val="24"/>
          <w:szCs w:val="24"/>
        </w:rPr>
        <w:t>obsłudze w placówkach znajdujących się w 322 terenowych jednostkach organizacyjnych i 20 punktach informacyjnych ZUS,</w:t>
      </w:r>
    </w:p>
    <w:p w14:paraId="1576395E" w14:textId="77777777" w:rsidR="00B66023" w:rsidRPr="00B66023" w:rsidRDefault="00BE18AF" w:rsidP="008C71A9">
      <w:pPr>
        <w:pStyle w:val="Akapitzlist"/>
        <w:numPr>
          <w:ilvl w:val="0"/>
          <w:numId w:val="350"/>
        </w:numPr>
        <w:autoSpaceDE w:val="0"/>
        <w:autoSpaceDN w:val="0"/>
        <w:adjustRightInd w:val="0"/>
        <w:spacing w:after="0"/>
        <w:ind w:left="360"/>
        <w:jc w:val="both"/>
        <w:rPr>
          <w:rFonts w:ascii="Times New Roman" w:hAnsi="Times New Roman" w:cs="Times New Roman"/>
          <w:sz w:val="24"/>
          <w:szCs w:val="24"/>
        </w:rPr>
      </w:pPr>
      <w:r w:rsidRPr="00B66023">
        <w:rPr>
          <w:rFonts w:ascii="Times New Roman" w:hAnsi="Times New Roman" w:cs="Times New Roman"/>
          <w:sz w:val="24"/>
          <w:szCs w:val="24"/>
        </w:rPr>
        <w:t>ułatwieniach lub ewentualnych utrudnieniach dla osób z niepełnosprawnością ruchu</w:t>
      </w:r>
      <w:r w:rsidR="00B66023">
        <w:rPr>
          <w:rFonts w:ascii="Times New Roman" w:hAnsi="Times New Roman" w:cs="Times New Roman"/>
          <w:sz w:val="24"/>
          <w:szCs w:val="24"/>
        </w:rPr>
        <w:t xml:space="preserve"> </w:t>
      </w:r>
      <w:r w:rsidRPr="00B66023">
        <w:rPr>
          <w:rFonts w:ascii="Times New Roman" w:hAnsi="Times New Roman" w:cs="Times New Roman"/>
          <w:sz w:val="24"/>
          <w:szCs w:val="24"/>
        </w:rPr>
        <w:t>we wszystkich terenowych jednostkach organizacyjnych ZUS,</w:t>
      </w:r>
    </w:p>
    <w:p w14:paraId="738398D9" w14:textId="77777777" w:rsidR="00B66023" w:rsidRDefault="00BE18AF" w:rsidP="008C71A9">
      <w:pPr>
        <w:pStyle w:val="Akapitzlist"/>
        <w:numPr>
          <w:ilvl w:val="0"/>
          <w:numId w:val="351"/>
        </w:numPr>
        <w:autoSpaceDE w:val="0"/>
        <w:autoSpaceDN w:val="0"/>
        <w:adjustRightInd w:val="0"/>
        <w:spacing w:after="0"/>
        <w:ind w:left="360"/>
        <w:jc w:val="both"/>
        <w:rPr>
          <w:rFonts w:ascii="Times New Roman" w:hAnsi="Times New Roman" w:cs="Times New Roman"/>
          <w:sz w:val="24"/>
          <w:szCs w:val="24"/>
        </w:rPr>
      </w:pPr>
      <w:r w:rsidRPr="00B66023">
        <w:rPr>
          <w:rFonts w:ascii="Times New Roman" w:hAnsi="Times New Roman" w:cs="Times New Roman"/>
          <w:sz w:val="24"/>
          <w:szCs w:val="24"/>
        </w:rPr>
        <w:t>ułatwieniach w obsłudze dla osób niesłyszących - placówkach ZUS, których są</w:t>
      </w:r>
      <w:r w:rsidR="00B66023">
        <w:rPr>
          <w:rFonts w:ascii="Times New Roman" w:hAnsi="Times New Roman" w:cs="Times New Roman"/>
          <w:sz w:val="24"/>
          <w:szCs w:val="24"/>
        </w:rPr>
        <w:t xml:space="preserve"> </w:t>
      </w:r>
      <w:r w:rsidRPr="00B66023">
        <w:rPr>
          <w:rFonts w:ascii="Times New Roman" w:hAnsi="Times New Roman" w:cs="Times New Roman"/>
          <w:sz w:val="24"/>
          <w:szCs w:val="24"/>
        </w:rPr>
        <w:t>zatrudnieni pracownicy przeszkoleni z języka migowego, jest zapewniona usługa</w:t>
      </w:r>
      <w:r w:rsidR="00B66023">
        <w:rPr>
          <w:rFonts w:ascii="Times New Roman" w:hAnsi="Times New Roman" w:cs="Times New Roman"/>
          <w:sz w:val="24"/>
          <w:szCs w:val="24"/>
        </w:rPr>
        <w:t xml:space="preserve"> </w:t>
      </w:r>
      <w:r w:rsidRPr="00B66023">
        <w:rPr>
          <w:rFonts w:ascii="Times New Roman" w:hAnsi="Times New Roman" w:cs="Times New Roman"/>
          <w:sz w:val="24"/>
          <w:szCs w:val="24"/>
        </w:rPr>
        <w:t>wideotłumacza w polskim języku migowym (PJM),</w:t>
      </w:r>
    </w:p>
    <w:p w14:paraId="1A8BA489" w14:textId="77777777" w:rsidR="00BE18AF" w:rsidRPr="00B66023" w:rsidRDefault="00BE18AF" w:rsidP="008C71A9">
      <w:pPr>
        <w:pStyle w:val="Akapitzlist"/>
        <w:numPr>
          <w:ilvl w:val="0"/>
          <w:numId w:val="351"/>
        </w:numPr>
        <w:autoSpaceDE w:val="0"/>
        <w:autoSpaceDN w:val="0"/>
        <w:adjustRightInd w:val="0"/>
        <w:spacing w:after="0"/>
        <w:ind w:left="360"/>
        <w:jc w:val="both"/>
        <w:rPr>
          <w:rFonts w:ascii="Times New Roman" w:hAnsi="Times New Roman" w:cs="Times New Roman"/>
          <w:sz w:val="24"/>
          <w:szCs w:val="24"/>
        </w:rPr>
      </w:pPr>
      <w:r w:rsidRPr="00B66023">
        <w:rPr>
          <w:rFonts w:ascii="Times New Roman" w:hAnsi="Times New Roman" w:cs="Times New Roman"/>
          <w:sz w:val="24"/>
          <w:szCs w:val="24"/>
        </w:rPr>
        <w:t>lokalizacjach urzędomatów przystosowanych do samodzielnej obsługi przez osoby</w:t>
      </w:r>
      <w:r w:rsidR="00B66023">
        <w:rPr>
          <w:rFonts w:ascii="Times New Roman" w:hAnsi="Times New Roman" w:cs="Times New Roman"/>
          <w:sz w:val="24"/>
          <w:szCs w:val="24"/>
        </w:rPr>
        <w:t xml:space="preserve"> </w:t>
      </w:r>
      <w:r w:rsidRPr="00B66023">
        <w:rPr>
          <w:rFonts w:ascii="Times New Roman" w:hAnsi="Times New Roman" w:cs="Times New Roman"/>
          <w:sz w:val="24"/>
          <w:szCs w:val="24"/>
        </w:rPr>
        <w:t xml:space="preserve">z różnymi niepełnosprawnościami, dzięki którym mogą one samodzielnie: złożyć do ZUS dokumenty w formie papierowej, np. wnioski, pisma, formularze, dokumenty ubezpieczeniowe, skorzystać z bezpłatnego połączenia z konsultantem Centrum Obsługi Telefonicznej (od poniedziałku do piątku, w godz. 7.00-18.00) oraz Platformy Usług Elektronicznych ZUS (PUE ZUS ) i strony </w:t>
      </w:r>
      <w:r w:rsidRPr="00B66023">
        <w:rPr>
          <w:rFonts w:ascii="Times New Roman" w:hAnsi="Times New Roman" w:cs="Times New Roman"/>
          <w:color w:val="0000FF"/>
          <w:sz w:val="24"/>
          <w:szCs w:val="24"/>
        </w:rPr>
        <w:t>www.zus.pl</w:t>
      </w:r>
      <w:r w:rsidRPr="00B66023">
        <w:rPr>
          <w:rFonts w:ascii="Times New Roman" w:hAnsi="Times New Roman" w:cs="Times New Roman"/>
          <w:sz w:val="24"/>
          <w:szCs w:val="24"/>
        </w:rPr>
        <w:t>. Większość urzędomatów jest dostępna 24 godziny przez 7 dni w tygodniu.</w:t>
      </w:r>
    </w:p>
    <w:p w14:paraId="7A33DE3A" w14:textId="77777777" w:rsidR="00B66023" w:rsidRDefault="00B66023" w:rsidP="00B66023">
      <w:pPr>
        <w:autoSpaceDE w:val="0"/>
        <w:autoSpaceDN w:val="0"/>
        <w:adjustRightInd w:val="0"/>
        <w:spacing w:after="0"/>
        <w:jc w:val="both"/>
        <w:rPr>
          <w:rFonts w:ascii="Times New Roman" w:hAnsi="Times New Roman" w:cs="Times New Roman"/>
          <w:sz w:val="24"/>
          <w:szCs w:val="24"/>
        </w:rPr>
      </w:pPr>
    </w:p>
    <w:p w14:paraId="32E15BB2" w14:textId="77777777" w:rsidR="00BE18AF" w:rsidRPr="00BE18AF" w:rsidRDefault="00BE18AF" w:rsidP="000B40AE">
      <w:pPr>
        <w:autoSpaceDE w:val="0"/>
        <w:autoSpaceDN w:val="0"/>
        <w:adjustRightInd w:val="0"/>
        <w:spacing w:after="0"/>
        <w:jc w:val="both"/>
        <w:rPr>
          <w:rFonts w:ascii="Times New Roman" w:hAnsi="Times New Roman" w:cs="Times New Roman"/>
          <w:sz w:val="24"/>
          <w:szCs w:val="24"/>
        </w:rPr>
      </w:pPr>
      <w:r w:rsidRPr="00BE18AF">
        <w:rPr>
          <w:rFonts w:ascii="Times New Roman" w:hAnsi="Times New Roman" w:cs="Times New Roman"/>
          <w:sz w:val="24"/>
          <w:szCs w:val="24"/>
        </w:rPr>
        <w:t xml:space="preserve">Jednocześnie udostępnione przez Zakład na stronie </w:t>
      </w:r>
      <w:r w:rsidRPr="00BE18AF">
        <w:rPr>
          <w:rFonts w:ascii="Times New Roman" w:hAnsi="Times New Roman" w:cs="Times New Roman"/>
          <w:color w:val="0000FF"/>
          <w:sz w:val="24"/>
          <w:szCs w:val="24"/>
        </w:rPr>
        <w:t xml:space="preserve">www.zus.pl </w:t>
      </w:r>
      <w:r w:rsidRPr="00BE18AF">
        <w:rPr>
          <w:rFonts w:ascii="Times New Roman" w:hAnsi="Times New Roman" w:cs="Times New Roman"/>
          <w:sz w:val="24"/>
          <w:szCs w:val="24"/>
        </w:rPr>
        <w:t>wydawnictwa informacyjne jako pliki PDF, są przygotowane w taki sposób, aby osoby</w:t>
      </w:r>
      <w:r w:rsidR="00B66023">
        <w:rPr>
          <w:rFonts w:ascii="Times New Roman" w:hAnsi="Times New Roman" w:cs="Times New Roman"/>
          <w:sz w:val="24"/>
          <w:szCs w:val="24"/>
        </w:rPr>
        <w:t xml:space="preserve"> </w:t>
      </w:r>
      <w:r w:rsidRPr="00BE18AF">
        <w:rPr>
          <w:rFonts w:ascii="Times New Roman" w:hAnsi="Times New Roman" w:cs="Times New Roman"/>
          <w:sz w:val="24"/>
          <w:szCs w:val="24"/>
        </w:rPr>
        <w:t>z niepełnosprawnością wzroku mogły się z nimi zapoznać za pomocą czytników. Zakład stosuje znaczniki nagłówków, które ułatwiają osobom niewidomym nawigację i znalezienie interesujących je treści.</w:t>
      </w:r>
      <w:r w:rsidR="00B66023">
        <w:rPr>
          <w:rFonts w:ascii="Times New Roman" w:hAnsi="Times New Roman" w:cs="Times New Roman"/>
          <w:sz w:val="24"/>
          <w:szCs w:val="24"/>
        </w:rPr>
        <w:t xml:space="preserve"> Od 2017 r. </w:t>
      </w:r>
      <w:r w:rsidRPr="00BE18AF">
        <w:rPr>
          <w:rFonts w:ascii="Times New Roman" w:hAnsi="Times New Roman" w:cs="Times New Roman"/>
          <w:sz w:val="24"/>
          <w:szCs w:val="24"/>
        </w:rPr>
        <w:t xml:space="preserve">Zakład na stronie </w:t>
      </w:r>
      <w:r w:rsidRPr="00BE18AF">
        <w:rPr>
          <w:rFonts w:ascii="Times New Roman" w:hAnsi="Times New Roman" w:cs="Times New Roman"/>
          <w:color w:val="0000FF"/>
          <w:sz w:val="24"/>
          <w:szCs w:val="24"/>
        </w:rPr>
        <w:t xml:space="preserve">www.zus.pl </w:t>
      </w:r>
      <w:r w:rsidRPr="00BE18AF">
        <w:rPr>
          <w:rFonts w:ascii="Times New Roman" w:hAnsi="Times New Roman" w:cs="Times New Roman"/>
          <w:sz w:val="24"/>
          <w:szCs w:val="24"/>
        </w:rPr>
        <w:t xml:space="preserve">oraz w broszurach i ulotkach stosuje prosty język. Dzięki temu modelowi pisania - unikaniu długich i skomplikowanych zdań, a także form gramatycznych, które utrudniają lekturę - zwiększa się dostępność poznawcza tekstów. Zakład obniżył indeks </w:t>
      </w:r>
      <w:r w:rsidRPr="00BE18AF">
        <w:rPr>
          <w:rFonts w:ascii="Times New Roman" w:hAnsi="Times New Roman" w:cs="Times New Roman"/>
          <w:sz w:val="24"/>
          <w:szCs w:val="24"/>
        </w:rPr>
        <w:lastRenderedPageBreak/>
        <w:t>mglistości FOG tekstów na stronie internetowej z 17,1 do 12,2, a w publikacjach informacyjnych z 15,3 do 11,7.</w:t>
      </w:r>
    </w:p>
    <w:p w14:paraId="0A8782A0" w14:textId="77777777" w:rsidR="00BE18AF" w:rsidRPr="00B66023" w:rsidRDefault="00BE18AF" w:rsidP="00526000">
      <w:pPr>
        <w:spacing w:after="0"/>
        <w:contextualSpacing/>
        <w:jc w:val="both"/>
        <w:rPr>
          <w:rFonts w:ascii="Times New Roman" w:hAnsi="Times New Roman" w:cs="Times New Roman"/>
          <w:b/>
          <w:bCs/>
          <w:color w:val="00B0F0"/>
          <w:sz w:val="24"/>
          <w:szCs w:val="24"/>
        </w:rPr>
      </w:pPr>
      <w:r w:rsidRPr="00B66023">
        <w:rPr>
          <w:rFonts w:ascii="Times New Roman" w:hAnsi="Times New Roman" w:cs="Times New Roman"/>
          <w:b/>
          <w:bCs/>
          <w:color w:val="00B0F0"/>
          <w:sz w:val="24"/>
          <w:szCs w:val="24"/>
        </w:rPr>
        <w:t>Program rehabilitacji leczniczej w ramach prewencji rentowej ZUS</w:t>
      </w:r>
    </w:p>
    <w:p w14:paraId="0BAAE821" w14:textId="77777777" w:rsidR="00BE18AF" w:rsidRPr="00BE18AF" w:rsidRDefault="00BE18AF" w:rsidP="00526000">
      <w:pPr>
        <w:spacing w:after="0"/>
        <w:contextualSpacing/>
        <w:jc w:val="both"/>
        <w:rPr>
          <w:rFonts w:ascii="Times New Roman" w:hAnsi="Times New Roman" w:cs="Times New Roman"/>
          <w:bCs/>
          <w:sz w:val="24"/>
          <w:szCs w:val="24"/>
        </w:rPr>
      </w:pPr>
      <w:r w:rsidRPr="00BE18AF">
        <w:rPr>
          <w:rFonts w:ascii="Times New Roman" w:hAnsi="Times New Roman" w:cs="Times New Roman"/>
          <w:bCs/>
          <w:sz w:val="24"/>
          <w:szCs w:val="24"/>
        </w:rPr>
        <w:t xml:space="preserve">Program rehabilitacji leczniczej w ramach prewencji rentowej realizowany jest przez Zakład Ubezpieczeń Społecznych od 1996 r. </w:t>
      </w:r>
      <w:r w:rsidR="00B66023">
        <w:rPr>
          <w:rFonts w:ascii="Times New Roman" w:hAnsi="Times New Roman" w:cs="Times New Roman"/>
          <w:bCs/>
          <w:sz w:val="24"/>
          <w:szCs w:val="24"/>
        </w:rPr>
        <w:t xml:space="preserve"> </w:t>
      </w:r>
      <w:r w:rsidRPr="00BE18AF">
        <w:rPr>
          <w:rFonts w:ascii="Times New Roman" w:hAnsi="Times New Roman" w:cs="Times New Roman"/>
          <w:bCs/>
          <w:sz w:val="24"/>
          <w:szCs w:val="24"/>
        </w:rPr>
        <w:t>Rehabilitacja prowadzona w ośrodkach rehabilitacyjnych współpracujących z ZUS oparta jest na założeniach kompleksowego oddziaływania procedurami diagnostyczno - leczniczo - rehabilitacyjnymi i psychologicznymi oraz na szeroko prowadzonej edukacji zdrowotnej. Celem ww. programu jest przywrócenie zdolności do pracy osobom, które w następstwie choroby są zagrożone długotrwałą niezdolnością do pracy i jednocześnie rokują odzyskanie tej zdolności po przeprowadzeniu rehabilitacji. W realizacji programu priorytetem jest jak najwcześniejsze skierowanie osoby ubezpieczonej do ośrodka rehabilitacyjnego, ponieważ im wcześniej rozpocznie się rehabilitację, t</w:t>
      </w:r>
      <w:r w:rsidR="00AF4115">
        <w:rPr>
          <w:rFonts w:ascii="Times New Roman" w:hAnsi="Times New Roman" w:cs="Times New Roman"/>
          <w:bCs/>
          <w:sz w:val="24"/>
          <w:szCs w:val="24"/>
        </w:rPr>
        <w:t xml:space="preserve">ym lepsze efekty można uzyskać. </w:t>
      </w:r>
      <w:r w:rsidRPr="00BE18AF">
        <w:rPr>
          <w:rFonts w:ascii="Times New Roman" w:hAnsi="Times New Roman" w:cs="Times New Roman"/>
          <w:bCs/>
          <w:sz w:val="24"/>
          <w:szCs w:val="24"/>
        </w:rPr>
        <w:t>Rehabilitacja lecznicza w ramach prewencji rentowej ZUS kierowana jest do ubezpieczonych zagrożonych całkowitą lub częściową niezdolnością do pracy, pobierających zasiłek chorobowy lub świadczenie rehabilitacyjne, albo osób pobierających rentę okresową</w:t>
      </w:r>
      <w:r w:rsidR="00AF4115">
        <w:rPr>
          <w:rFonts w:ascii="Times New Roman" w:hAnsi="Times New Roman" w:cs="Times New Roman"/>
          <w:bCs/>
          <w:sz w:val="24"/>
          <w:szCs w:val="24"/>
        </w:rPr>
        <w:t xml:space="preserve"> z tytułu niezdolności do pracy. </w:t>
      </w:r>
      <w:r w:rsidRPr="00BE18AF">
        <w:rPr>
          <w:rFonts w:ascii="Times New Roman" w:hAnsi="Times New Roman" w:cs="Times New Roman"/>
          <w:bCs/>
          <w:sz w:val="24"/>
          <w:szCs w:val="24"/>
        </w:rPr>
        <w:t>Podstawą skierowania osoby uprawnionej do ośrodka rehabilitacyjnego jest orzeczenie o potrzebie rehabilitacji leczniczej wydane przez lekarza orzecznika albo komisję lekarską ZUS. Lekarz orzecznik ZUS może wydać orzeczenie o potrzebie rehabilitacji leczniczej na wniosek lekarza prowadzącego leczenie albo wykonując kontrolę prawidłowości orzekania o czasowej niezdolności do pracy z powodu choroby oraz wystawiania zaświadczeń lekarskich. Lekarz orzecznik albo komisja lekarska Zakładu mogą także orzec o potrzebie rehabilitacji leczniczej orzekając w s</w:t>
      </w:r>
      <w:r w:rsidR="00AF4115">
        <w:rPr>
          <w:rFonts w:ascii="Times New Roman" w:hAnsi="Times New Roman" w:cs="Times New Roman"/>
          <w:bCs/>
          <w:sz w:val="24"/>
          <w:szCs w:val="24"/>
        </w:rPr>
        <w:t xml:space="preserve">prawie niezdolności do pracy do   </w:t>
      </w:r>
      <w:r w:rsidRPr="00BE18AF">
        <w:rPr>
          <w:rFonts w:ascii="Times New Roman" w:hAnsi="Times New Roman" w:cs="Times New Roman"/>
          <w:bCs/>
          <w:sz w:val="24"/>
          <w:szCs w:val="24"/>
        </w:rPr>
        <w:t>celów rentowych albo o okolicznościach uzasadniających przyznanie świadczenia rehabilitacyjnego.</w:t>
      </w:r>
      <w:r w:rsidR="00AF4115">
        <w:rPr>
          <w:rFonts w:ascii="Times New Roman" w:hAnsi="Times New Roman" w:cs="Times New Roman"/>
          <w:bCs/>
          <w:sz w:val="24"/>
          <w:szCs w:val="24"/>
        </w:rPr>
        <w:t xml:space="preserve"> </w:t>
      </w:r>
      <w:r w:rsidRPr="00BE18AF">
        <w:rPr>
          <w:rFonts w:ascii="Times New Roman" w:hAnsi="Times New Roman" w:cs="Times New Roman"/>
          <w:bCs/>
          <w:sz w:val="24"/>
          <w:szCs w:val="24"/>
        </w:rPr>
        <w:t>Wśród osób kierowanych na rehabilitację leczniczą w ramach prewencji rentowej ZUS są osoby starsze, które ukończyły 60. rok życia oraz są ubezpieczone i aktywne zawodowo.</w:t>
      </w:r>
      <w:r w:rsidR="00AF4115">
        <w:rPr>
          <w:rFonts w:ascii="Times New Roman" w:hAnsi="Times New Roman" w:cs="Times New Roman"/>
          <w:bCs/>
          <w:sz w:val="24"/>
          <w:szCs w:val="24"/>
        </w:rPr>
        <w:t xml:space="preserve"> </w:t>
      </w:r>
      <w:r w:rsidRPr="00BE18AF">
        <w:rPr>
          <w:rFonts w:ascii="Times New Roman" w:hAnsi="Times New Roman" w:cs="Times New Roman"/>
          <w:bCs/>
          <w:sz w:val="24"/>
          <w:szCs w:val="24"/>
        </w:rPr>
        <w:t>Z rehabilitacji leczniczej mogą również korzystać osoby ubezpieczone aktywne zawodowe spełniające warunki do uzyskania emerytury lub maj</w:t>
      </w:r>
      <w:r w:rsidR="000436A1">
        <w:rPr>
          <w:rFonts w:ascii="Times New Roman" w:hAnsi="Times New Roman" w:cs="Times New Roman"/>
          <w:bCs/>
          <w:sz w:val="24"/>
          <w:szCs w:val="24"/>
        </w:rPr>
        <w:t xml:space="preserve">ące ustalone prawo do emerytury </w:t>
      </w:r>
      <w:r w:rsidRPr="00BE18AF">
        <w:rPr>
          <w:rFonts w:ascii="Times New Roman" w:hAnsi="Times New Roman" w:cs="Times New Roman"/>
          <w:bCs/>
          <w:sz w:val="24"/>
          <w:szCs w:val="24"/>
        </w:rPr>
        <w:t>z Fu</w:t>
      </w:r>
      <w:r w:rsidR="00AF4115">
        <w:rPr>
          <w:rFonts w:ascii="Times New Roman" w:hAnsi="Times New Roman" w:cs="Times New Roman"/>
          <w:bCs/>
          <w:sz w:val="24"/>
          <w:szCs w:val="24"/>
        </w:rPr>
        <w:t xml:space="preserve">nduszu Ubezpieczeń Społecznych. </w:t>
      </w:r>
      <w:r w:rsidRPr="00BE18AF">
        <w:rPr>
          <w:rFonts w:ascii="Times New Roman" w:hAnsi="Times New Roman" w:cs="Times New Roman"/>
          <w:bCs/>
          <w:sz w:val="24"/>
          <w:szCs w:val="24"/>
        </w:rPr>
        <w:t>Zakład prowadzi rehabilitację leczniczą:</w:t>
      </w:r>
    </w:p>
    <w:p w14:paraId="3697EFB6" w14:textId="77777777" w:rsidR="00BE18AF" w:rsidRPr="00AF4115" w:rsidRDefault="00BE18AF" w:rsidP="00526000">
      <w:pPr>
        <w:spacing w:after="0"/>
        <w:jc w:val="both"/>
        <w:rPr>
          <w:rFonts w:ascii="Times New Roman" w:hAnsi="Times New Roman" w:cs="Times New Roman"/>
          <w:b/>
          <w:bCs/>
          <w:sz w:val="24"/>
          <w:szCs w:val="24"/>
        </w:rPr>
      </w:pPr>
      <w:r w:rsidRPr="00AF4115">
        <w:rPr>
          <w:rFonts w:ascii="Times New Roman" w:hAnsi="Times New Roman" w:cs="Times New Roman"/>
          <w:b/>
          <w:bCs/>
          <w:sz w:val="24"/>
          <w:szCs w:val="24"/>
        </w:rPr>
        <w:t>w systemie stacjonarnym:</w:t>
      </w:r>
    </w:p>
    <w:p w14:paraId="7DD3FC05" w14:textId="77777777" w:rsidR="00AF4115" w:rsidRDefault="00BE18AF" w:rsidP="008C71A9">
      <w:pPr>
        <w:pStyle w:val="Akapitzlist"/>
        <w:numPr>
          <w:ilvl w:val="0"/>
          <w:numId w:val="352"/>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w schorzeniach narządu ruchu, w tym po wypadkach,</w:t>
      </w:r>
    </w:p>
    <w:p w14:paraId="48784307" w14:textId="77777777" w:rsidR="00AF4115" w:rsidRDefault="00BE18AF" w:rsidP="008C71A9">
      <w:pPr>
        <w:pStyle w:val="Akapitzlist"/>
        <w:numPr>
          <w:ilvl w:val="0"/>
          <w:numId w:val="352"/>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w schorzeniach układu krążenia,</w:t>
      </w:r>
    </w:p>
    <w:p w14:paraId="48B03D15" w14:textId="77777777" w:rsidR="00AF4115" w:rsidRDefault="00BE18AF" w:rsidP="008C71A9">
      <w:pPr>
        <w:pStyle w:val="Akapitzlist"/>
        <w:numPr>
          <w:ilvl w:val="0"/>
          <w:numId w:val="352"/>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w schorzeniach układu oddechowego,</w:t>
      </w:r>
    </w:p>
    <w:p w14:paraId="2C242ACB" w14:textId="77777777" w:rsidR="00AF4115" w:rsidRDefault="00BE18AF" w:rsidP="008C71A9">
      <w:pPr>
        <w:pStyle w:val="Akapitzlist"/>
        <w:numPr>
          <w:ilvl w:val="0"/>
          <w:numId w:val="352"/>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w schorzeniach psychosomatycznych,</w:t>
      </w:r>
    </w:p>
    <w:p w14:paraId="028A7143" w14:textId="77777777" w:rsidR="00AF4115" w:rsidRDefault="00BE18AF" w:rsidP="008C71A9">
      <w:pPr>
        <w:pStyle w:val="Akapitzlist"/>
        <w:numPr>
          <w:ilvl w:val="0"/>
          <w:numId w:val="352"/>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w schorzeniach narządu głosu,</w:t>
      </w:r>
    </w:p>
    <w:p w14:paraId="1427BDB5" w14:textId="77777777" w:rsidR="00AF4115" w:rsidRDefault="00BE18AF" w:rsidP="008C71A9">
      <w:pPr>
        <w:pStyle w:val="Akapitzlist"/>
        <w:numPr>
          <w:ilvl w:val="0"/>
          <w:numId w:val="352"/>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u osób po leczeniu nowotworu gruczołu piersiowego,</w:t>
      </w:r>
    </w:p>
    <w:p w14:paraId="53A57C3B" w14:textId="77777777" w:rsidR="00BE18AF" w:rsidRPr="00AF4115" w:rsidRDefault="00BE18AF" w:rsidP="008C71A9">
      <w:pPr>
        <w:pStyle w:val="Akapitzlist"/>
        <w:numPr>
          <w:ilvl w:val="0"/>
          <w:numId w:val="352"/>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w schorzeniach ośrodkowego układu nerwowego,</w:t>
      </w:r>
    </w:p>
    <w:p w14:paraId="0E9BCC1D" w14:textId="77777777" w:rsidR="00BE18AF" w:rsidRPr="00AF4115" w:rsidRDefault="00BE18AF" w:rsidP="00AF4115">
      <w:pPr>
        <w:spacing w:after="0"/>
        <w:jc w:val="both"/>
        <w:rPr>
          <w:rFonts w:ascii="Times New Roman" w:hAnsi="Times New Roman" w:cs="Times New Roman"/>
          <w:b/>
          <w:bCs/>
          <w:sz w:val="24"/>
          <w:szCs w:val="24"/>
        </w:rPr>
      </w:pPr>
      <w:r w:rsidRPr="00AF4115">
        <w:rPr>
          <w:rFonts w:ascii="Times New Roman" w:hAnsi="Times New Roman" w:cs="Times New Roman"/>
          <w:b/>
          <w:bCs/>
          <w:sz w:val="24"/>
          <w:szCs w:val="24"/>
        </w:rPr>
        <w:t>w systemie ambulatoryjnym:</w:t>
      </w:r>
    </w:p>
    <w:p w14:paraId="09F21E80" w14:textId="77777777" w:rsidR="00AF4115" w:rsidRDefault="00BE18AF" w:rsidP="008C71A9">
      <w:pPr>
        <w:pStyle w:val="Akapitzlist"/>
        <w:numPr>
          <w:ilvl w:val="0"/>
          <w:numId w:val="353"/>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w schorzeniach narządu ruchu,</w:t>
      </w:r>
    </w:p>
    <w:p w14:paraId="2888BD30" w14:textId="77777777" w:rsidR="00BE18AF" w:rsidRPr="00AF4115" w:rsidRDefault="00BE18AF" w:rsidP="008C71A9">
      <w:pPr>
        <w:pStyle w:val="Akapitzlist"/>
        <w:numPr>
          <w:ilvl w:val="0"/>
          <w:numId w:val="353"/>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w schorzeniach układu krążenia, w tym monitorowaną telemedycznie.</w:t>
      </w:r>
    </w:p>
    <w:p w14:paraId="20CEA61E" w14:textId="77777777" w:rsidR="00AF4115" w:rsidRDefault="00AF4115" w:rsidP="00AF4115">
      <w:pPr>
        <w:spacing w:after="0"/>
        <w:jc w:val="both"/>
        <w:rPr>
          <w:rFonts w:ascii="Times New Roman" w:hAnsi="Times New Roman" w:cs="Times New Roman"/>
          <w:bCs/>
          <w:sz w:val="24"/>
          <w:szCs w:val="24"/>
        </w:rPr>
      </w:pPr>
    </w:p>
    <w:p w14:paraId="32C791E9" w14:textId="77777777" w:rsidR="00BE18AF" w:rsidRPr="00BE18AF" w:rsidRDefault="00BE18AF" w:rsidP="00AF4115">
      <w:pPr>
        <w:spacing w:after="0"/>
        <w:jc w:val="both"/>
        <w:rPr>
          <w:rFonts w:ascii="Times New Roman" w:hAnsi="Times New Roman" w:cs="Times New Roman"/>
          <w:bCs/>
          <w:sz w:val="24"/>
          <w:szCs w:val="24"/>
        </w:rPr>
      </w:pPr>
      <w:r w:rsidRPr="00BE18AF">
        <w:rPr>
          <w:rFonts w:ascii="Times New Roman" w:hAnsi="Times New Roman" w:cs="Times New Roman"/>
          <w:bCs/>
          <w:sz w:val="24"/>
          <w:szCs w:val="24"/>
        </w:rPr>
        <w:lastRenderedPageBreak/>
        <w:t>Kompleksowa rehabilitacja lecznicza obejmuje ustalony indywidualnie program ukierunkowany na leczenie schorzenia będącego przyczyną skierowania na rehabilitację oraz na schorzenia współistniejące i uwzględnia w szczególności:</w:t>
      </w:r>
    </w:p>
    <w:p w14:paraId="2D355649" w14:textId="77777777" w:rsidR="00AF4115" w:rsidRDefault="00BE18AF" w:rsidP="008C71A9">
      <w:pPr>
        <w:pStyle w:val="Akapitzlist"/>
        <w:numPr>
          <w:ilvl w:val="0"/>
          <w:numId w:val="354"/>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różne formy rehabilitacji fizycznej, tj. kinezyterapię indywidualną, zbiorową i ćwiczenia w wodzie oraz zabiegi fizykoterapeutyczne z zakresu ciepłolecznictwa, krioterapii, hydroterapii, leczenia polem elektromagnetycznym wielkiej i niskiej częstotliwości, leczenia ultradźwiękami, laseroterapii, masażu klasycznego i wibracyjnego,</w:t>
      </w:r>
    </w:p>
    <w:p w14:paraId="723C02A9" w14:textId="77777777" w:rsidR="00AF4115" w:rsidRDefault="00BE18AF" w:rsidP="008C71A9">
      <w:pPr>
        <w:pStyle w:val="Akapitzlist"/>
        <w:numPr>
          <w:ilvl w:val="0"/>
          <w:numId w:val="354"/>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rehabilitację psychologiczną, w tym między innymi psychoedukację i treningi relaksacyjne,</w:t>
      </w:r>
    </w:p>
    <w:p w14:paraId="033F0CED" w14:textId="77777777" w:rsidR="00BE18AF" w:rsidRPr="00AF4115" w:rsidRDefault="00BE18AF" w:rsidP="008C71A9">
      <w:pPr>
        <w:pStyle w:val="Akapitzlist"/>
        <w:numPr>
          <w:ilvl w:val="0"/>
          <w:numId w:val="354"/>
        </w:numPr>
        <w:spacing w:after="0"/>
        <w:ind w:left="360"/>
        <w:jc w:val="both"/>
        <w:rPr>
          <w:rFonts w:ascii="Times New Roman" w:hAnsi="Times New Roman" w:cs="Times New Roman"/>
          <w:bCs/>
          <w:sz w:val="24"/>
          <w:szCs w:val="24"/>
        </w:rPr>
      </w:pPr>
      <w:r w:rsidRPr="00AF4115">
        <w:rPr>
          <w:rFonts w:ascii="Times New Roman" w:hAnsi="Times New Roman" w:cs="Times New Roman"/>
          <w:bCs/>
          <w:sz w:val="24"/>
          <w:szCs w:val="24"/>
        </w:rPr>
        <w:t>edukację zdrowotną ukierunkowaną na przekazanie informacji w zakresie:</w:t>
      </w:r>
    </w:p>
    <w:p w14:paraId="24DF9992" w14:textId="77777777" w:rsidR="00BE18AF" w:rsidRPr="00BE18AF" w:rsidRDefault="00BE18AF" w:rsidP="008C71A9">
      <w:pPr>
        <w:numPr>
          <w:ilvl w:val="0"/>
          <w:numId w:val="355"/>
        </w:numPr>
        <w:spacing w:after="0"/>
        <w:ind w:left="566" w:hanging="283"/>
        <w:jc w:val="both"/>
        <w:rPr>
          <w:rFonts w:ascii="Times New Roman" w:hAnsi="Times New Roman" w:cs="Times New Roman"/>
          <w:bCs/>
          <w:sz w:val="24"/>
          <w:szCs w:val="24"/>
        </w:rPr>
      </w:pPr>
      <w:r w:rsidRPr="00BE18AF">
        <w:rPr>
          <w:rFonts w:ascii="Times New Roman" w:hAnsi="Times New Roman" w:cs="Times New Roman"/>
          <w:bCs/>
          <w:sz w:val="24"/>
          <w:szCs w:val="24"/>
        </w:rPr>
        <w:t>nauki zasad prawidłowego żywienia,</w:t>
      </w:r>
    </w:p>
    <w:p w14:paraId="311335BB" w14:textId="77777777" w:rsidR="00BE18AF" w:rsidRPr="00BE18AF" w:rsidRDefault="00BE18AF" w:rsidP="008C71A9">
      <w:pPr>
        <w:numPr>
          <w:ilvl w:val="0"/>
          <w:numId w:val="355"/>
        </w:numPr>
        <w:spacing w:after="0"/>
        <w:ind w:left="566" w:hanging="283"/>
        <w:jc w:val="both"/>
        <w:rPr>
          <w:rFonts w:ascii="Times New Roman" w:hAnsi="Times New Roman" w:cs="Times New Roman"/>
          <w:bCs/>
          <w:sz w:val="24"/>
          <w:szCs w:val="24"/>
        </w:rPr>
      </w:pPr>
      <w:r w:rsidRPr="00BE18AF">
        <w:rPr>
          <w:rFonts w:ascii="Times New Roman" w:hAnsi="Times New Roman" w:cs="Times New Roman"/>
          <w:bCs/>
          <w:sz w:val="24"/>
          <w:szCs w:val="24"/>
        </w:rPr>
        <w:t>znajomości czynników ryzyka w chorobach cywilizacyjnych,</w:t>
      </w:r>
    </w:p>
    <w:p w14:paraId="4901208C" w14:textId="77777777" w:rsidR="00BE18AF" w:rsidRPr="00BE18AF" w:rsidRDefault="00BE18AF" w:rsidP="008C71A9">
      <w:pPr>
        <w:numPr>
          <w:ilvl w:val="0"/>
          <w:numId w:val="355"/>
        </w:numPr>
        <w:spacing w:after="0"/>
        <w:ind w:left="566" w:hanging="283"/>
        <w:jc w:val="both"/>
        <w:rPr>
          <w:rFonts w:ascii="Times New Roman" w:hAnsi="Times New Roman" w:cs="Times New Roman"/>
          <w:bCs/>
          <w:sz w:val="24"/>
          <w:szCs w:val="24"/>
        </w:rPr>
      </w:pPr>
      <w:r w:rsidRPr="00BE18AF">
        <w:rPr>
          <w:rFonts w:ascii="Times New Roman" w:hAnsi="Times New Roman" w:cs="Times New Roman"/>
          <w:bCs/>
          <w:sz w:val="24"/>
          <w:szCs w:val="24"/>
        </w:rPr>
        <w:t>podstawowej wiedzy o procesie chorobowym uwzględniającej profil schorzenia,</w:t>
      </w:r>
    </w:p>
    <w:p w14:paraId="4B4A7DFD" w14:textId="77777777" w:rsidR="00BE18AF" w:rsidRPr="00BE18AF" w:rsidRDefault="00BE18AF" w:rsidP="008C71A9">
      <w:pPr>
        <w:numPr>
          <w:ilvl w:val="0"/>
          <w:numId w:val="355"/>
        </w:numPr>
        <w:spacing w:after="0"/>
        <w:ind w:left="566" w:hanging="283"/>
        <w:jc w:val="both"/>
        <w:rPr>
          <w:rFonts w:ascii="Times New Roman" w:hAnsi="Times New Roman" w:cs="Times New Roman"/>
          <w:bCs/>
          <w:sz w:val="24"/>
          <w:szCs w:val="24"/>
        </w:rPr>
      </w:pPr>
      <w:r w:rsidRPr="00BE18AF">
        <w:rPr>
          <w:rFonts w:ascii="Times New Roman" w:hAnsi="Times New Roman" w:cs="Times New Roman"/>
          <w:bCs/>
          <w:sz w:val="24"/>
          <w:szCs w:val="24"/>
        </w:rPr>
        <w:t>znajomości czynników zagrożenia dla zdrowia w miejscu pracy,</w:t>
      </w:r>
    </w:p>
    <w:p w14:paraId="03D038AB" w14:textId="77777777" w:rsidR="00BE18AF" w:rsidRPr="00BE18AF" w:rsidRDefault="00BE18AF" w:rsidP="008C71A9">
      <w:pPr>
        <w:numPr>
          <w:ilvl w:val="0"/>
          <w:numId w:val="355"/>
        </w:numPr>
        <w:spacing w:after="0"/>
        <w:ind w:left="566" w:hanging="283"/>
        <w:jc w:val="both"/>
        <w:rPr>
          <w:rFonts w:ascii="Times New Roman" w:hAnsi="Times New Roman" w:cs="Times New Roman"/>
          <w:bCs/>
          <w:sz w:val="24"/>
          <w:szCs w:val="24"/>
        </w:rPr>
      </w:pPr>
      <w:r w:rsidRPr="00BE18AF">
        <w:rPr>
          <w:rFonts w:ascii="Times New Roman" w:hAnsi="Times New Roman" w:cs="Times New Roman"/>
          <w:bCs/>
          <w:sz w:val="24"/>
          <w:szCs w:val="24"/>
        </w:rPr>
        <w:t>podstawowych informacji o prawach i obowiązkach pracodawcy oraz pracownika,</w:t>
      </w:r>
    </w:p>
    <w:p w14:paraId="661A9EDB" w14:textId="77777777" w:rsidR="00221AE0" w:rsidRDefault="00BE18AF" w:rsidP="008C71A9">
      <w:pPr>
        <w:numPr>
          <w:ilvl w:val="0"/>
          <w:numId w:val="355"/>
        </w:numPr>
        <w:spacing w:after="0"/>
        <w:ind w:left="566" w:hanging="283"/>
        <w:jc w:val="both"/>
        <w:rPr>
          <w:rFonts w:ascii="Times New Roman" w:hAnsi="Times New Roman" w:cs="Times New Roman"/>
          <w:bCs/>
          <w:sz w:val="24"/>
          <w:szCs w:val="24"/>
        </w:rPr>
      </w:pPr>
      <w:r w:rsidRPr="00BE18AF">
        <w:rPr>
          <w:rFonts w:ascii="Times New Roman" w:hAnsi="Times New Roman" w:cs="Times New Roman"/>
          <w:bCs/>
          <w:sz w:val="24"/>
          <w:szCs w:val="24"/>
        </w:rPr>
        <w:t>udzielania instruktażu odnośnie kontynuacji rehabilitacji w warunkach domowych po zakończeniu turnusu rehabilitacyjnego.</w:t>
      </w:r>
    </w:p>
    <w:p w14:paraId="264D343E" w14:textId="77777777" w:rsidR="00221AE0" w:rsidRDefault="00221AE0" w:rsidP="00221AE0">
      <w:pPr>
        <w:spacing w:after="0"/>
        <w:jc w:val="both"/>
        <w:rPr>
          <w:rFonts w:ascii="Times New Roman" w:hAnsi="Times New Roman" w:cs="Times New Roman"/>
          <w:bCs/>
          <w:sz w:val="24"/>
          <w:szCs w:val="24"/>
        </w:rPr>
      </w:pPr>
    </w:p>
    <w:p w14:paraId="7AD9EB96" w14:textId="77777777" w:rsidR="00BE18AF" w:rsidRPr="00221AE0" w:rsidRDefault="00BE18AF" w:rsidP="00221AE0">
      <w:pPr>
        <w:spacing w:after="0"/>
        <w:jc w:val="both"/>
        <w:rPr>
          <w:rFonts w:ascii="Times New Roman" w:hAnsi="Times New Roman" w:cs="Times New Roman"/>
          <w:bCs/>
          <w:sz w:val="24"/>
          <w:szCs w:val="24"/>
        </w:rPr>
      </w:pPr>
      <w:r w:rsidRPr="00221AE0">
        <w:rPr>
          <w:rFonts w:ascii="Times New Roman" w:hAnsi="Times New Roman" w:cs="Times New Roman"/>
          <w:bCs/>
          <w:sz w:val="24"/>
          <w:szCs w:val="24"/>
        </w:rPr>
        <w:t>Liczba osób, które ukończyły rehabilitację leczniczą w ramach prew</w:t>
      </w:r>
      <w:r w:rsidR="00221AE0" w:rsidRPr="00221AE0">
        <w:rPr>
          <w:rFonts w:ascii="Times New Roman" w:hAnsi="Times New Roman" w:cs="Times New Roman"/>
          <w:bCs/>
          <w:sz w:val="24"/>
          <w:szCs w:val="24"/>
        </w:rPr>
        <w:t xml:space="preserve">encji rentowej ZUS w 2019 r. to </w:t>
      </w:r>
      <w:r w:rsidRPr="00221AE0">
        <w:rPr>
          <w:rFonts w:ascii="Times New Roman" w:hAnsi="Times New Roman" w:cs="Times New Roman"/>
          <w:bCs/>
          <w:sz w:val="24"/>
          <w:szCs w:val="24"/>
        </w:rPr>
        <w:t>86 392.</w:t>
      </w:r>
      <w:r w:rsidR="00221AE0" w:rsidRPr="00221AE0">
        <w:rPr>
          <w:rFonts w:ascii="Times New Roman" w:hAnsi="Times New Roman" w:cs="Times New Roman"/>
          <w:bCs/>
          <w:sz w:val="24"/>
          <w:szCs w:val="24"/>
        </w:rPr>
        <w:t xml:space="preserve"> </w:t>
      </w:r>
      <w:r w:rsidRPr="00221AE0">
        <w:rPr>
          <w:rFonts w:ascii="Times New Roman" w:hAnsi="Times New Roman" w:cs="Times New Roman"/>
          <w:bCs/>
          <w:sz w:val="24"/>
          <w:szCs w:val="24"/>
        </w:rPr>
        <w:t xml:space="preserve">Liczba osób powyżej 60 roku życia, które </w:t>
      </w:r>
      <w:r w:rsidR="00221AE0" w:rsidRPr="00221AE0">
        <w:rPr>
          <w:rFonts w:ascii="Times New Roman" w:hAnsi="Times New Roman" w:cs="Times New Roman"/>
          <w:bCs/>
          <w:sz w:val="24"/>
          <w:szCs w:val="24"/>
        </w:rPr>
        <w:t xml:space="preserve">ukończyły rehabilitację w </w:t>
      </w:r>
      <w:r w:rsidRPr="00221AE0">
        <w:rPr>
          <w:rFonts w:ascii="Times New Roman" w:hAnsi="Times New Roman" w:cs="Times New Roman"/>
          <w:bCs/>
          <w:sz w:val="24"/>
          <w:szCs w:val="24"/>
        </w:rPr>
        <w:t>2019</w:t>
      </w:r>
      <w:r w:rsidR="00221AE0" w:rsidRPr="00221AE0">
        <w:rPr>
          <w:rFonts w:ascii="Times New Roman" w:hAnsi="Times New Roman" w:cs="Times New Roman"/>
          <w:bCs/>
          <w:sz w:val="24"/>
          <w:szCs w:val="24"/>
        </w:rPr>
        <w:t xml:space="preserve"> r. to </w:t>
      </w:r>
      <w:r w:rsidRPr="00221AE0">
        <w:rPr>
          <w:rFonts w:ascii="Times New Roman" w:hAnsi="Times New Roman" w:cs="Times New Roman"/>
          <w:bCs/>
          <w:sz w:val="24"/>
          <w:szCs w:val="24"/>
        </w:rPr>
        <w:t>17 531.</w:t>
      </w:r>
      <w:r w:rsidR="00221AE0" w:rsidRPr="00221AE0">
        <w:rPr>
          <w:rFonts w:ascii="Times New Roman" w:hAnsi="Times New Roman" w:cs="Times New Roman"/>
          <w:bCs/>
          <w:sz w:val="24"/>
          <w:szCs w:val="24"/>
        </w:rPr>
        <w:t xml:space="preserve"> </w:t>
      </w:r>
      <w:r w:rsidRPr="00221AE0">
        <w:rPr>
          <w:rFonts w:ascii="Times New Roman" w:hAnsi="Times New Roman" w:cs="Times New Roman"/>
          <w:bCs/>
          <w:sz w:val="24"/>
          <w:szCs w:val="24"/>
        </w:rPr>
        <w:t>Kwota wydatków na rehabilitację leczniczą w</w:t>
      </w:r>
      <w:r w:rsidR="00221AE0" w:rsidRPr="00221AE0">
        <w:rPr>
          <w:rFonts w:ascii="Times New Roman" w:hAnsi="Times New Roman" w:cs="Times New Roman"/>
          <w:bCs/>
          <w:sz w:val="24"/>
          <w:szCs w:val="24"/>
        </w:rPr>
        <w:t xml:space="preserve"> ramach prewencji rentowej ZUS w 2019 r. to</w:t>
      </w:r>
      <w:r w:rsidRPr="00221AE0">
        <w:rPr>
          <w:rFonts w:ascii="Times New Roman" w:hAnsi="Times New Roman" w:cs="Times New Roman"/>
          <w:bCs/>
          <w:sz w:val="24"/>
          <w:szCs w:val="24"/>
        </w:rPr>
        <w:t xml:space="preserve"> 204 025 403,98 zł.</w:t>
      </w:r>
    </w:p>
    <w:p w14:paraId="152FDB1F" w14:textId="77777777" w:rsidR="00221AE0" w:rsidRDefault="00221AE0" w:rsidP="00221AE0">
      <w:pPr>
        <w:spacing w:after="0"/>
        <w:jc w:val="both"/>
        <w:rPr>
          <w:rFonts w:ascii="Times New Roman" w:hAnsi="Times New Roman" w:cs="Times New Roman"/>
          <w:bCs/>
          <w:sz w:val="24"/>
          <w:szCs w:val="24"/>
        </w:rPr>
      </w:pPr>
    </w:p>
    <w:p w14:paraId="67F5F107" w14:textId="77777777" w:rsidR="00BE18AF" w:rsidRPr="00BE18AF" w:rsidRDefault="00BE18AF" w:rsidP="00221AE0">
      <w:pPr>
        <w:spacing w:after="0"/>
        <w:jc w:val="both"/>
        <w:rPr>
          <w:rFonts w:ascii="Times New Roman" w:hAnsi="Times New Roman" w:cs="Times New Roman"/>
          <w:bCs/>
          <w:sz w:val="24"/>
          <w:szCs w:val="24"/>
        </w:rPr>
      </w:pPr>
      <w:r w:rsidRPr="00BE18AF">
        <w:rPr>
          <w:rFonts w:ascii="Times New Roman" w:hAnsi="Times New Roman" w:cs="Times New Roman"/>
          <w:bCs/>
          <w:sz w:val="24"/>
          <w:szCs w:val="24"/>
        </w:rPr>
        <w:t xml:space="preserve">Kwota wydatków na prewencję rentową, w tym na rehabilitację leczniczą, określana jest corocznie w ustawie budżetowej w wysokości </w:t>
      </w:r>
      <w:r w:rsidR="000436A1">
        <w:rPr>
          <w:rFonts w:ascii="Times New Roman" w:hAnsi="Times New Roman" w:cs="Times New Roman"/>
          <w:bCs/>
          <w:sz w:val="24"/>
          <w:szCs w:val="24"/>
        </w:rPr>
        <w:t>do 0,4% wydatków na świadczenia</w:t>
      </w:r>
      <w:r w:rsidRPr="00BE18AF">
        <w:rPr>
          <w:rFonts w:ascii="Times New Roman" w:hAnsi="Times New Roman" w:cs="Times New Roman"/>
          <w:bCs/>
          <w:sz w:val="24"/>
          <w:szCs w:val="24"/>
        </w:rPr>
        <w:t xml:space="preserve"> z ubezpieczenia emerytalnego, rentowego, chorobowego i wypadkowego, przewidzianych w planie finansowym FUS na dany rok budżetowy.</w:t>
      </w:r>
    </w:p>
    <w:p w14:paraId="612C7F4B" w14:textId="77777777" w:rsidR="00BE18AF" w:rsidRPr="00BE18AF" w:rsidRDefault="00BE18AF" w:rsidP="00526000">
      <w:pPr>
        <w:spacing w:after="0"/>
        <w:ind w:firstLine="567"/>
        <w:jc w:val="both"/>
        <w:rPr>
          <w:rFonts w:ascii="Times New Roman" w:hAnsi="Times New Roman" w:cs="Times New Roman"/>
          <w:bCs/>
          <w:sz w:val="24"/>
          <w:szCs w:val="24"/>
        </w:rPr>
      </w:pPr>
    </w:p>
    <w:p w14:paraId="031C53B7" w14:textId="77777777" w:rsidR="00BE18AF" w:rsidRPr="00221AE0" w:rsidRDefault="00BE18AF" w:rsidP="00526000">
      <w:pPr>
        <w:spacing w:after="0"/>
        <w:jc w:val="both"/>
        <w:rPr>
          <w:rFonts w:ascii="Times New Roman" w:hAnsi="Times New Roman" w:cs="Times New Roman"/>
          <w:b/>
          <w:bCs/>
          <w:color w:val="00B0F0"/>
          <w:sz w:val="24"/>
          <w:szCs w:val="24"/>
        </w:rPr>
      </w:pPr>
      <w:r w:rsidRPr="00221AE0">
        <w:rPr>
          <w:rFonts w:ascii="Times New Roman" w:hAnsi="Times New Roman" w:cs="Times New Roman"/>
          <w:b/>
          <w:bCs/>
          <w:color w:val="00B0F0"/>
          <w:sz w:val="24"/>
          <w:szCs w:val="24"/>
        </w:rPr>
        <w:t>Program dofinansowania działań skierowanych na utrzymanie zdolności do pracy przez cały okres aktywności zawodowej, prowadzonych przez płatników składek</w:t>
      </w:r>
    </w:p>
    <w:p w14:paraId="70C4436F" w14:textId="77777777" w:rsidR="00BE18AF" w:rsidRPr="00BE18AF" w:rsidRDefault="00BE18AF" w:rsidP="00526000">
      <w:pPr>
        <w:spacing w:after="0"/>
        <w:jc w:val="both"/>
        <w:rPr>
          <w:rFonts w:ascii="Times New Roman" w:hAnsi="Times New Roman" w:cs="Times New Roman"/>
          <w:bCs/>
          <w:sz w:val="24"/>
          <w:szCs w:val="24"/>
        </w:rPr>
      </w:pPr>
    </w:p>
    <w:p w14:paraId="345BDCC2" w14:textId="77777777" w:rsidR="00BE18AF" w:rsidRPr="00BE18AF" w:rsidRDefault="00BE18AF" w:rsidP="00DC5280">
      <w:pPr>
        <w:spacing w:after="0"/>
        <w:jc w:val="both"/>
        <w:rPr>
          <w:rFonts w:ascii="Times New Roman" w:hAnsi="Times New Roman" w:cs="Times New Roman"/>
          <w:bCs/>
          <w:sz w:val="24"/>
          <w:szCs w:val="24"/>
        </w:rPr>
      </w:pPr>
      <w:r w:rsidRPr="00BE18AF">
        <w:rPr>
          <w:rFonts w:ascii="Times New Roman" w:hAnsi="Times New Roman" w:cs="Times New Roman"/>
          <w:bCs/>
          <w:sz w:val="24"/>
          <w:szCs w:val="24"/>
        </w:rPr>
        <w:t>Zakład Ubezpieczeń Społecznych udziela dofinansowania na działania prowadzone przez płatników składek, skierowane na utrzymanie przez pracowników zdolności do pracy przez cały okres ich aktywności zawodowej. Program dofinansowania skierowany jest do płatników składek, którzy odprowadzają składki na ubezpieczenie wypadkowe.</w:t>
      </w:r>
      <w:r w:rsidR="00DC5280">
        <w:rPr>
          <w:rFonts w:ascii="Times New Roman" w:hAnsi="Times New Roman" w:cs="Times New Roman"/>
          <w:bCs/>
          <w:sz w:val="24"/>
          <w:szCs w:val="24"/>
        </w:rPr>
        <w:t xml:space="preserve"> </w:t>
      </w:r>
      <w:r w:rsidRPr="00BE18AF">
        <w:rPr>
          <w:rFonts w:ascii="Times New Roman" w:hAnsi="Times New Roman" w:cs="Times New Roman"/>
          <w:bCs/>
          <w:sz w:val="24"/>
          <w:szCs w:val="24"/>
        </w:rPr>
        <w:t>Zakład realizując powyższe zadanie zmierza do osiągnięcia następujących celów:</w:t>
      </w:r>
    </w:p>
    <w:p w14:paraId="4330CA61" w14:textId="77777777" w:rsidR="00DC5280" w:rsidRDefault="00BE18AF" w:rsidP="008C71A9">
      <w:pPr>
        <w:pStyle w:val="Akapitzlist"/>
        <w:numPr>
          <w:ilvl w:val="0"/>
          <w:numId w:val="356"/>
        </w:numPr>
        <w:spacing w:after="0"/>
        <w:ind w:left="360"/>
        <w:jc w:val="both"/>
        <w:rPr>
          <w:rFonts w:ascii="Times New Roman" w:hAnsi="Times New Roman" w:cs="Times New Roman"/>
          <w:bCs/>
          <w:sz w:val="24"/>
          <w:szCs w:val="24"/>
        </w:rPr>
      </w:pPr>
      <w:r w:rsidRPr="00DC5280">
        <w:rPr>
          <w:rFonts w:ascii="Times New Roman" w:hAnsi="Times New Roman" w:cs="Times New Roman"/>
          <w:bCs/>
          <w:sz w:val="24"/>
          <w:szCs w:val="24"/>
        </w:rPr>
        <w:t>poprawy bezpieczeństwa i higieny pracy,</w:t>
      </w:r>
    </w:p>
    <w:p w14:paraId="41D0C527" w14:textId="77777777" w:rsidR="00DC5280" w:rsidRDefault="00BE18AF" w:rsidP="008C71A9">
      <w:pPr>
        <w:pStyle w:val="Akapitzlist"/>
        <w:numPr>
          <w:ilvl w:val="0"/>
          <w:numId w:val="356"/>
        </w:numPr>
        <w:spacing w:after="0"/>
        <w:ind w:left="360"/>
        <w:jc w:val="both"/>
        <w:rPr>
          <w:rFonts w:ascii="Times New Roman" w:hAnsi="Times New Roman" w:cs="Times New Roman"/>
          <w:bCs/>
          <w:sz w:val="24"/>
          <w:szCs w:val="24"/>
        </w:rPr>
      </w:pPr>
      <w:r w:rsidRPr="00DC5280">
        <w:rPr>
          <w:rFonts w:ascii="Times New Roman" w:hAnsi="Times New Roman" w:cs="Times New Roman"/>
          <w:bCs/>
          <w:sz w:val="24"/>
          <w:szCs w:val="24"/>
        </w:rPr>
        <w:t>zmniejszenia zagrożeń wypadkami przy pracy lub chorobami zawodowymi,</w:t>
      </w:r>
    </w:p>
    <w:p w14:paraId="012841D0" w14:textId="77777777" w:rsidR="00BE18AF" w:rsidRPr="00DC5280" w:rsidRDefault="00BE18AF" w:rsidP="008C71A9">
      <w:pPr>
        <w:pStyle w:val="Akapitzlist"/>
        <w:numPr>
          <w:ilvl w:val="0"/>
          <w:numId w:val="356"/>
        </w:numPr>
        <w:spacing w:after="0"/>
        <w:ind w:left="360"/>
        <w:jc w:val="both"/>
        <w:rPr>
          <w:rFonts w:ascii="Times New Roman" w:hAnsi="Times New Roman" w:cs="Times New Roman"/>
          <w:bCs/>
          <w:sz w:val="24"/>
          <w:szCs w:val="24"/>
        </w:rPr>
      </w:pPr>
      <w:r w:rsidRPr="00DC5280">
        <w:rPr>
          <w:rFonts w:ascii="Times New Roman" w:hAnsi="Times New Roman" w:cs="Times New Roman"/>
          <w:bCs/>
          <w:sz w:val="24"/>
          <w:szCs w:val="24"/>
        </w:rPr>
        <w:t>zredukowania niekorzystnego oddziaływania czynników ryzyka na pracownika.</w:t>
      </w:r>
    </w:p>
    <w:p w14:paraId="00717779" w14:textId="77777777" w:rsidR="00DC5280" w:rsidRDefault="00DC5280" w:rsidP="00DC5280">
      <w:pPr>
        <w:spacing w:after="0"/>
        <w:jc w:val="both"/>
        <w:rPr>
          <w:rFonts w:ascii="Times New Roman" w:hAnsi="Times New Roman" w:cs="Times New Roman"/>
          <w:bCs/>
          <w:sz w:val="24"/>
          <w:szCs w:val="24"/>
        </w:rPr>
      </w:pPr>
    </w:p>
    <w:p w14:paraId="1C010532" w14:textId="77777777" w:rsidR="00BE18AF" w:rsidRPr="00BE18AF" w:rsidRDefault="00BE18AF" w:rsidP="00DC5280">
      <w:pPr>
        <w:spacing w:after="0"/>
        <w:jc w:val="both"/>
        <w:rPr>
          <w:rFonts w:ascii="Times New Roman" w:hAnsi="Times New Roman" w:cs="Times New Roman"/>
          <w:bCs/>
          <w:sz w:val="24"/>
          <w:szCs w:val="24"/>
        </w:rPr>
      </w:pPr>
      <w:r w:rsidRPr="00BE18AF">
        <w:rPr>
          <w:rFonts w:ascii="Times New Roman" w:hAnsi="Times New Roman" w:cs="Times New Roman"/>
          <w:bCs/>
          <w:sz w:val="24"/>
          <w:szCs w:val="24"/>
        </w:rPr>
        <w:t xml:space="preserve">Środki, które Zakład przyznaje beneficjentom Programu mogą być przeznaczone jedynie na realizację zaplanowanych działań, które będą w sposób bezpośredni odnosić się do kwestii </w:t>
      </w:r>
      <w:r w:rsidRPr="00BE18AF">
        <w:rPr>
          <w:rFonts w:ascii="Times New Roman" w:hAnsi="Times New Roman" w:cs="Times New Roman"/>
          <w:bCs/>
          <w:sz w:val="24"/>
          <w:szCs w:val="24"/>
        </w:rPr>
        <w:lastRenderedPageBreak/>
        <w:t>ograniczenia niekorzystnego oddziaływania określonych czynników ryzyka w miejscu pracy. Oddziaływanie proponowanych instrumentów wsparcia ma na celu podniesienie poziomu bezpieczeństwa w miejscu pracy, tj. bezpieczeństwa technicznego (zabezpieczenie maszyn, urządzeń, stanowisk pracy), oraz bezpieczeństwa systemowego (ocena ryzyka zawodowego, procedury bezpiecznej pracy, instrukcje bhp dla poszczególnych stanowisk pracy).</w:t>
      </w:r>
    </w:p>
    <w:p w14:paraId="6E3122E4" w14:textId="77777777" w:rsidR="00DC5280" w:rsidRDefault="00DC5280" w:rsidP="00DC5280">
      <w:pPr>
        <w:spacing w:after="0"/>
        <w:jc w:val="both"/>
        <w:rPr>
          <w:rFonts w:ascii="Times New Roman" w:hAnsi="Times New Roman" w:cs="Times New Roman"/>
          <w:b/>
          <w:bCs/>
          <w:sz w:val="24"/>
          <w:szCs w:val="24"/>
        </w:rPr>
      </w:pPr>
    </w:p>
    <w:p w14:paraId="6E148092" w14:textId="77777777" w:rsidR="00BE18AF" w:rsidRPr="00DC5280" w:rsidRDefault="00BE18AF" w:rsidP="00526000">
      <w:pPr>
        <w:spacing w:after="0"/>
        <w:jc w:val="both"/>
        <w:rPr>
          <w:rFonts w:ascii="Times New Roman" w:hAnsi="Times New Roman" w:cs="Times New Roman"/>
          <w:bCs/>
          <w:sz w:val="24"/>
          <w:szCs w:val="24"/>
        </w:rPr>
      </w:pPr>
      <w:r w:rsidRPr="00DC5280">
        <w:rPr>
          <w:rFonts w:ascii="Times New Roman" w:hAnsi="Times New Roman" w:cs="Times New Roman"/>
          <w:bCs/>
          <w:sz w:val="24"/>
          <w:szCs w:val="24"/>
        </w:rPr>
        <w:t>W ramach  575 umów o dofinansowanie, kt</w:t>
      </w:r>
      <w:r w:rsidR="004226AA">
        <w:rPr>
          <w:rFonts w:ascii="Times New Roman" w:hAnsi="Times New Roman" w:cs="Times New Roman"/>
          <w:bCs/>
          <w:sz w:val="24"/>
          <w:szCs w:val="24"/>
        </w:rPr>
        <w:t>óre były podpisywane w 2019 r.</w:t>
      </w:r>
      <w:r w:rsidRPr="00DC5280">
        <w:rPr>
          <w:rFonts w:ascii="Times New Roman" w:hAnsi="Times New Roman" w:cs="Times New Roman"/>
          <w:bCs/>
          <w:sz w:val="24"/>
          <w:szCs w:val="24"/>
        </w:rPr>
        <w:t xml:space="preserve"> poprawiono warunki pracy  8 085 pracowników zatrudnionych w dofinansowanych ze środków FUS przedsiębiorstwach.</w:t>
      </w:r>
      <w:r w:rsidR="00DC5280" w:rsidRPr="00DC5280">
        <w:rPr>
          <w:rFonts w:ascii="Times New Roman" w:hAnsi="Times New Roman" w:cs="Times New Roman"/>
          <w:bCs/>
          <w:sz w:val="24"/>
          <w:szCs w:val="24"/>
        </w:rPr>
        <w:t xml:space="preserve"> </w:t>
      </w:r>
      <w:r w:rsidRPr="00DC5280">
        <w:rPr>
          <w:rFonts w:ascii="Times New Roman" w:hAnsi="Times New Roman" w:cs="Times New Roman"/>
          <w:bCs/>
          <w:sz w:val="24"/>
          <w:szCs w:val="24"/>
        </w:rPr>
        <w:t>Kwota wydatków na realizację działania w 2019 r:  87 614 526,79 zł</w:t>
      </w:r>
    </w:p>
    <w:p w14:paraId="23954D50" w14:textId="77777777" w:rsidR="00DC5280" w:rsidRDefault="00DC5280" w:rsidP="00DC5280">
      <w:pPr>
        <w:spacing w:after="0"/>
        <w:jc w:val="both"/>
        <w:rPr>
          <w:rFonts w:ascii="Times New Roman" w:hAnsi="Times New Roman" w:cs="Times New Roman"/>
          <w:bCs/>
          <w:sz w:val="24"/>
          <w:szCs w:val="24"/>
        </w:rPr>
      </w:pPr>
    </w:p>
    <w:p w14:paraId="31C3BBAC" w14:textId="77777777" w:rsidR="00BE18AF" w:rsidRPr="00BE18AF" w:rsidRDefault="00BE18AF" w:rsidP="004226AA">
      <w:pPr>
        <w:spacing w:after="0"/>
        <w:jc w:val="both"/>
        <w:rPr>
          <w:rFonts w:ascii="Times New Roman" w:hAnsi="Times New Roman" w:cs="Times New Roman"/>
          <w:bCs/>
          <w:sz w:val="24"/>
          <w:szCs w:val="24"/>
        </w:rPr>
      </w:pPr>
      <w:r w:rsidRPr="00BE18AF">
        <w:rPr>
          <w:rFonts w:ascii="Times New Roman" w:hAnsi="Times New Roman" w:cs="Times New Roman"/>
          <w:bCs/>
          <w:sz w:val="24"/>
          <w:szCs w:val="24"/>
        </w:rPr>
        <w:t>Od 2018 r., w wyniku nowelizacji przepisów prawnych, wnioski o dofinansowanie przyjmowane są w trybie konkursowym. Ogłoszenie o konkursie zamieszczane jest na stronie Zakładu w Biuletynie Informacji Publicznej oraz udostępniane w Centrali Zakładu i terenowych jednostkach organizacyjnych ZUS.</w:t>
      </w:r>
      <w:r w:rsidR="004226AA">
        <w:rPr>
          <w:rFonts w:ascii="Times New Roman" w:hAnsi="Times New Roman" w:cs="Times New Roman"/>
          <w:bCs/>
          <w:sz w:val="24"/>
          <w:szCs w:val="24"/>
        </w:rPr>
        <w:t xml:space="preserve"> </w:t>
      </w:r>
      <w:r w:rsidRPr="00BE18AF">
        <w:rPr>
          <w:rFonts w:ascii="Times New Roman" w:hAnsi="Times New Roman" w:cs="Times New Roman"/>
          <w:bCs/>
          <w:sz w:val="24"/>
          <w:szCs w:val="24"/>
        </w:rPr>
        <w:t>Wysokość środków finansowych przeznaczonych na prewencję wypadkową, w tym na realizację Programu dofinansowania, pokrywanych ze środków finansowych zgromadzonych w funduszu wypadkowym, określana jest corocznie w planie finansowym Funduszu Ubezpieczeń Społecznych w wysokości od 1,00% należnych składek na ubezpieczenie wypadkowe, przewidzianych w planie finansowym Funduszu Ubezpieczenia Społecznego na dany rok budżetowy.</w:t>
      </w:r>
    </w:p>
    <w:p w14:paraId="3D038582" w14:textId="77777777" w:rsidR="004226AA" w:rsidRDefault="004226AA" w:rsidP="004226AA">
      <w:pPr>
        <w:spacing w:after="0"/>
        <w:jc w:val="both"/>
        <w:rPr>
          <w:rFonts w:ascii="Times New Roman" w:hAnsi="Times New Roman" w:cs="Times New Roman"/>
          <w:bCs/>
          <w:sz w:val="24"/>
          <w:szCs w:val="24"/>
        </w:rPr>
      </w:pPr>
    </w:p>
    <w:p w14:paraId="4B25A5C4" w14:textId="77777777" w:rsidR="00BE18AF" w:rsidRPr="000B40AE" w:rsidRDefault="00BE18AF" w:rsidP="000B40AE">
      <w:pPr>
        <w:spacing w:after="0"/>
        <w:jc w:val="both"/>
        <w:rPr>
          <w:rFonts w:ascii="Times New Roman" w:hAnsi="Times New Roman" w:cs="Times New Roman"/>
          <w:bCs/>
          <w:sz w:val="24"/>
          <w:szCs w:val="24"/>
        </w:rPr>
      </w:pPr>
      <w:r w:rsidRPr="00BE18AF">
        <w:rPr>
          <w:rFonts w:ascii="Times New Roman" w:hAnsi="Times New Roman" w:cs="Times New Roman"/>
          <w:bCs/>
          <w:sz w:val="24"/>
          <w:szCs w:val="24"/>
        </w:rPr>
        <w:t>Zakład Ubezpieczeń Społecznych dokłada wszelkich starań, żeby ułatwić osobom starszym korzystanie z naszych usług. Wszystkie działania ukierunkowane są na realizację ustawowych obowiązków z uwzględnieniem sytuacji osób z niepełnospraw</w:t>
      </w:r>
      <w:r w:rsidR="000B40AE">
        <w:rPr>
          <w:rFonts w:ascii="Times New Roman" w:hAnsi="Times New Roman" w:cs="Times New Roman"/>
          <w:bCs/>
          <w:sz w:val="24"/>
          <w:szCs w:val="24"/>
        </w:rPr>
        <w:t>nością i osób w starszym wieku.</w:t>
      </w:r>
    </w:p>
    <w:p w14:paraId="7E552C5D" w14:textId="77777777" w:rsidR="006012C3" w:rsidRPr="00835584" w:rsidRDefault="00475EFA" w:rsidP="00835584">
      <w:pPr>
        <w:pStyle w:val="Nagwek2"/>
        <w:numPr>
          <w:ilvl w:val="1"/>
          <w:numId w:val="383"/>
        </w:numPr>
        <w:spacing w:before="240" w:after="240"/>
        <w:ind w:left="432" w:hanging="574"/>
        <w:rPr>
          <w:rFonts w:cs="Times New Roman"/>
          <w:sz w:val="40"/>
          <w:lang w:eastAsia="ar-SA"/>
        </w:rPr>
      </w:pPr>
      <w:bookmarkStart w:id="121" w:name="_Toc49171354"/>
      <w:r w:rsidRPr="00AF051D">
        <w:rPr>
          <w:rFonts w:cs="Times New Roman"/>
          <w:sz w:val="40"/>
          <w:lang w:eastAsia="ar-SA"/>
        </w:rPr>
        <w:t>Urząd</w:t>
      </w:r>
      <w:r w:rsidR="0087360D" w:rsidRPr="00AF051D">
        <w:rPr>
          <w:rFonts w:cs="Times New Roman"/>
          <w:sz w:val="40"/>
          <w:lang w:eastAsia="ar-SA"/>
        </w:rPr>
        <w:t xml:space="preserve"> Oc</w:t>
      </w:r>
      <w:r w:rsidRPr="00AF051D">
        <w:rPr>
          <w:rFonts w:cs="Times New Roman"/>
          <w:sz w:val="40"/>
          <w:lang w:eastAsia="ar-SA"/>
        </w:rPr>
        <w:t>hrony Konkurencji i Konsumentów</w:t>
      </w:r>
      <w:bookmarkEnd w:id="121"/>
    </w:p>
    <w:p w14:paraId="2493D5A9" w14:textId="77777777" w:rsidR="006012C3" w:rsidRPr="004226AA" w:rsidRDefault="006012C3" w:rsidP="004226AA">
      <w:pPr>
        <w:pStyle w:val="Teksttreci0"/>
        <w:shd w:val="clear" w:color="auto" w:fill="auto"/>
        <w:spacing w:after="0" w:line="295" w:lineRule="exact"/>
        <w:ind w:left="20" w:right="40" w:firstLine="0"/>
        <w:jc w:val="both"/>
        <w:rPr>
          <w:sz w:val="24"/>
        </w:rPr>
      </w:pPr>
      <w:r w:rsidRPr="004226AA">
        <w:rPr>
          <w:color w:val="000000"/>
          <w:sz w:val="24"/>
        </w:rPr>
        <w:t>Działania edukacyjno-informacyjne podejmowane przez Prezesa Urzędu w zakresie ochrony konsumentów kierowane są do różnych grup odbiorców, w tym również do osób starszych, które stają się najczęściej ofiarami nieuczciwych praktyk stosowanych przez przedsiębiorców organizujących pokazy handlowe w ramach których istnieje możliwość dokonania zakupu urządzeń oferowanych jako sprzęt medyczny, czy drobnego AGD. Koncentrują się one przede wszystkim na informowaniu o podstawowych prawach i obowiązkach konsumentów oraz promowaniu systemu ochrony konsumentów w Polsce. Pracownicy Urzędu Ochrony Konkurencji i Konsumentów (dalej: „UOKiK” lub „Urząd”) prowadzą też liczne prelekcje edukacyjne dla konsumentów we współpracy z samorządami, parafiami, Policją czy Uniwersytetami Trzeciego Wieku. W ramach przykładu wskazać można na następujące prelekcje, warsztaty, konferencje i wykłady, w których uczestniczyli pracownicy Urzędu:</w:t>
      </w:r>
    </w:p>
    <w:p w14:paraId="56788132" w14:textId="77777777" w:rsidR="004226AA" w:rsidRDefault="006012C3" w:rsidP="008C71A9">
      <w:pPr>
        <w:pStyle w:val="Teksttreci0"/>
        <w:numPr>
          <w:ilvl w:val="0"/>
          <w:numId w:val="357"/>
        </w:numPr>
        <w:shd w:val="clear" w:color="auto" w:fill="auto"/>
        <w:tabs>
          <w:tab w:val="left" w:pos="720"/>
        </w:tabs>
        <w:spacing w:after="0" w:line="295" w:lineRule="exact"/>
        <w:ind w:left="360" w:right="40"/>
        <w:jc w:val="both"/>
        <w:rPr>
          <w:sz w:val="24"/>
        </w:rPr>
      </w:pPr>
      <w:r w:rsidRPr="004226AA">
        <w:rPr>
          <w:color w:val="000000"/>
          <w:sz w:val="24"/>
        </w:rPr>
        <w:t xml:space="preserve">wykład w dniu 18 stycznia 2019 r. </w:t>
      </w:r>
      <w:r w:rsidRPr="004226AA">
        <w:rPr>
          <w:rStyle w:val="TeksttreciKursywa"/>
          <w:rFonts w:eastAsia="Arial"/>
          <w:sz w:val="24"/>
        </w:rPr>
        <w:t>„Ochrona praw konsumentów, czyli jak nie dać się oszukać</w:t>
      </w:r>
      <w:r w:rsidRPr="004226AA">
        <w:rPr>
          <w:color w:val="000000"/>
          <w:sz w:val="24"/>
        </w:rPr>
        <w:t>" na Uniwersytecie Trzeciego Wieku w Koninie;</w:t>
      </w:r>
    </w:p>
    <w:p w14:paraId="68013BF8" w14:textId="77777777" w:rsidR="004226AA" w:rsidRDefault="006012C3" w:rsidP="008C71A9">
      <w:pPr>
        <w:pStyle w:val="Teksttreci0"/>
        <w:numPr>
          <w:ilvl w:val="0"/>
          <w:numId w:val="357"/>
        </w:numPr>
        <w:shd w:val="clear" w:color="auto" w:fill="auto"/>
        <w:tabs>
          <w:tab w:val="left" w:pos="720"/>
        </w:tabs>
        <w:spacing w:after="0" w:line="295" w:lineRule="exact"/>
        <w:ind w:left="360" w:right="40"/>
        <w:jc w:val="both"/>
        <w:rPr>
          <w:sz w:val="24"/>
        </w:rPr>
      </w:pPr>
      <w:r w:rsidRPr="004226AA">
        <w:rPr>
          <w:color w:val="000000"/>
          <w:sz w:val="24"/>
        </w:rPr>
        <w:t>wykład w dniu 24 października 2019 r. „</w:t>
      </w:r>
      <w:r w:rsidRPr="004226AA">
        <w:rPr>
          <w:rStyle w:val="TeksttreciKursywa"/>
          <w:rFonts w:eastAsia="Arial"/>
          <w:sz w:val="24"/>
        </w:rPr>
        <w:t>Bezpieczny e senior"</w:t>
      </w:r>
      <w:r w:rsidRPr="004226AA">
        <w:rPr>
          <w:color w:val="000000"/>
          <w:sz w:val="24"/>
        </w:rPr>
        <w:t xml:space="preserve"> organizowanym przez Wojewódzką i Miejską Bibliotekę Publiczną w Bydgoszczy,</w:t>
      </w:r>
    </w:p>
    <w:p w14:paraId="12668D03" w14:textId="77777777" w:rsidR="004226AA" w:rsidRDefault="006012C3" w:rsidP="008C71A9">
      <w:pPr>
        <w:pStyle w:val="Teksttreci0"/>
        <w:numPr>
          <w:ilvl w:val="0"/>
          <w:numId w:val="357"/>
        </w:numPr>
        <w:shd w:val="clear" w:color="auto" w:fill="auto"/>
        <w:tabs>
          <w:tab w:val="left" w:pos="706"/>
        </w:tabs>
        <w:spacing w:after="0" w:line="295" w:lineRule="exact"/>
        <w:ind w:left="360" w:right="40"/>
        <w:jc w:val="both"/>
        <w:rPr>
          <w:sz w:val="24"/>
        </w:rPr>
      </w:pPr>
      <w:r w:rsidRPr="004226AA">
        <w:rPr>
          <w:color w:val="000000"/>
          <w:sz w:val="24"/>
        </w:rPr>
        <w:t xml:space="preserve">wykład </w:t>
      </w:r>
      <w:r w:rsidRPr="004226AA">
        <w:rPr>
          <w:rStyle w:val="TeksttreciKursywa"/>
          <w:rFonts w:eastAsia="Arial"/>
          <w:sz w:val="24"/>
        </w:rPr>
        <w:t>„Aktywny senior to bezpieczny senior"</w:t>
      </w:r>
      <w:r w:rsidRPr="004226AA">
        <w:rPr>
          <w:color w:val="000000"/>
          <w:sz w:val="24"/>
        </w:rPr>
        <w:t xml:space="preserve"> w dniu 21 listopada 2019 r. - na zaproszenie </w:t>
      </w:r>
      <w:r w:rsidRPr="004226AA">
        <w:rPr>
          <w:color w:val="000000"/>
          <w:sz w:val="24"/>
        </w:rPr>
        <w:lastRenderedPageBreak/>
        <w:t>Komendy Wojewódzkiej Policji w Bydgoszczy • w Centrum Kultury i Sztuki w Sępólnie Krajeńskim;</w:t>
      </w:r>
    </w:p>
    <w:p w14:paraId="033C5F7F" w14:textId="77777777" w:rsidR="004226AA" w:rsidRDefault="006012C3" w:rsidP="008C71A9">
      <w:pPr>
        <w:pStyle w:val="Teksttreci0"/>
        <w:numPr>
          <w:ilvl w:val="0"/>
          <w:numId w:val="357"/>
        </w:numPr>
        <w:shd w:val="clear" w:color="auto" w:fill="auto"/>
        <w:tabs>
          <w:tab w:val="left" w:pos="713"/>
        </w:tabs>
        <w:spacing w:after="0" w:line="295" w:lineRule="exact"/>
        <w:ind w:left="360" w:right="40"/>
        <w:jc w:val="both"/>
        <w:rPr>
          <w:sz w:val="24"/>
        </w:rPr>
      </w:pPr>
      <w:r w:rsidRPr="004226AA">
        <w:rPr>
          <w:color w:val="000000"/>
          <w:sz w:val="24"/>
        </w:rPr>
        <w:t xml:space="preserve">wykład połączony z warsztatami podczas konferencji zorganizowanej przez Komendę Wojewódzką Policji w Lodzi w dniu 25 października 2019 r. pn. </w:t>
      </w:r>
      <w:r w:rsidRPr="004226AA">
        <w:rPr>
          <w:rStyle w:val="TeksttreciKursywa"/>
          <w:rFonts w:eastAsia="Arial"/>
          <w:sz w:val="24"/>
        </w:rPr>
        <w:t>„Bezpieczeństwo Seniorów województwa łódzkiego</w:t>
      </w:r>
    </w:p>
    <w:p w14:paraId="3E282F7A" w14:textId="77777777" w:rsidR="00774004" w:rsidRPr="00774004" w:rsidRDefault="006012C3" w:rsidP="008C71A9">
      <w:pPr>
        <w:pStyle w:val="Teksttreci0"/>
        <w:numPr>
          <w:ilvl w:val="0"/>
          <w:numId w:val="357"/>
        </w:numPr>
        <w:shd w:val="clear" w:color="auto" w:fill="auto"/>
        <w:tabs>
          <w:tab w:val="left" w:pos="720"/>
        </w:tabs>
        <w:spacing w:after="0" w:line="295" w:lineRule="exact"/>
        <w:ind w:left="360" w:right="40"/>
        <w:jc w:val="both"/>
        <w:rPr>
          <w:sz w:val="24"/>
        </w:rPr>
      </w:pPr>
      <w:r w:rsidRPr="004226AA">
        <w:rPr>
          <w:color w:val="000000"/>
          <w:sz w:val="24"/>
        </w:rPr>
        <w:t xml:space="preserve">konferencja </w:t>
      </w:r>
      <w:r w:rsidRPr="004226AA">
        <w:rPr>
          <w:rStyle w:val="TeksttreciKursywa"/>
          <w:rFonts w:eastAsia="Arial"/>
          <w:sz w:val="24"/>
        </w:rPr>
        <w:t>„Nieuczciwe praktyki rynkowe w obrocie konsumenckim"</w:t>
      </w:r>
      <w:r w:rsidRPr="004226AA">
        <w:rPr>
          <w:color w:val="000000"/>
          <w:sz w:val="24"/>
        </w:rPr>
        <w:t xml:space="preserve"> zorganizowana w dniu 14 czerwca 2019 r. przez Sąd Okręgowy w Kielcach;</w:t>
      </w:r>
    </w:p>
    <w:p w14:paraId="26B238D6" w14:textId="77777777" w:rsidR="00774004" w:rsidRDefault="006012C3" w:rsidP="008C71A9">
      <w:pPr>
        <w:pStyle w:val="Teksttreci0"/>
        <w:numPr>
          <w:ilvl w:val="0"/>
          <w:numId w:val="357"/>
        </w:numPr>
        <w:shd w:val="clear" w:color="auto" w:fill="auto"/>
        <w:tabs>
          <w:tab w:val="left" w:pos="720"/>
        </w:tabs>
        <w:spacing w:after="0" w:line="295" w:lineRule="exact"/>
        <w:ind w:left="360" w:right="40"/>
        <w:jc w:val="both"/>
        <w:rPr>
          <w:sz w:val="24"/>
        </w:rPr>
      </w:pPr>
      <w:r w:rsidRPr="004226AA">
        <w:rPr>
          <w:color w:val="000000"/>
          <w:sz w:val="24"/>
        </w:rPr>
        <w:t xml:space="preserve">XII Europejskie Forum Gospodarcze Łódzkie 2019 w dniu 17 września 2019 r. udział pracowników UOKiK w panelu pt. </w:t>
      </w:r>
      <w:r w:rsidRPr="004226AA">
        <w:rPr>
          <w:rStyle w:val="TeksttreciKursywa"/>
          <w:rFonts w:eastAsia="Arial"/>
          <w:sz w:val="24"/>
        </w:rPr>
        <w:t>„Sprzedaż bezpośrednia a prawa konsumentów</w:t>
      </w:r>
    </w:p>
    <w:p w14:paraId="1E3B283C" w14:textId="77777777" w:rsidR="006012C3" w:rsidRPr="00774004" w:rsidRDefault="006012C3" w:rsidP="008C71A9">
      <w:pPr>
        <w:pStyle w:val="Teksttreci0"/>
        <w:numPr>
          <w:ilvl w:val="0"/>
          <w:numId w:val="357"/>
        </w:numPr>
        <w:shd w:val="clear" w:color="auto" w:fill="auto"/>
        <w:tabs>
          <w:tab w:val="left" w:pos="720"/>
        </w:tabs>
        <w:spacing w:after="0" w:line="295" w:lineRule="exact"/>
        <w:ind w:left="360" w:right="40"/>
        <w:jc w:val="both"/>
        <w:rPr>
          <w:sz w:val="24"/>
        </w:rPr>
      </w:pPr>
      <w:r w:rsidRPr="00774004">
        <w:rPr>
          <w:color w:val="000000"/>
          <w:sz w:val="24"/>
        </w:rPr>
        <w:t xml:space="preserve">Konferencja Forum Wizja Rozwoju, Gdynia 2019r. (panel dot. gospodarki senioralnej) </w:t>
      </w:r>
      <w:hyperlink r:id="rId27" w:history="1">
        <w:r w:rsidRPr="00774004">
          <w:rPr>
            <w:rStyle w:val="Hipercze"/>
            <w:sz w:val="24"/>
          </w:rPr>
          <w:t>http://2019.wiziarozwoiu.pl/program/?topic=srebrna-gospodarka</w:t>
        </w:r>
      </w:hyperlink>
      <w:r w:rsidRPr="00774004">
        <w:rPr>
          <w:color w:val="000000"/>
          <w:sz w:val="24"/>
        </w:rPr>
        <w:t>.</w:t>
      </w:r>
    </w:p>
    <w:p w14:paraId="5E834C01" w14:textId="77777777" w:rsidR="00774004" w:rsidRDefault="00774004" w:rsidP="004226AA">
      <w:pPr>
        <w:pStyle w:val="Teksttreci0"/>
        <w:shd w:val="clear" w:color="auto" w:fill="auto"/>
        <w:spacing w:after="0" w:line="288" w:lineRule="exact"/>
        <w:ind w:left="20" w:right="40" w:firstLine="0"/>
        <w:jc w:val="both"/>
        <w:rPr>
          <w:color w:val="000000"/>
          <w:sz w:val="24"/>
        </w:rPr>
      </w:pPr>
    </w:p>
    <w:p w14:paraId="6E07A3C4" w14:textId="77777777" w:rsidR="006012C3" w:rsidRPr="004226AA" w:rsidRDefault="006012C3" w:rsidP="004226AA">
      <w:pPr>
        <w:pStyle w:val="Teksttreci0"/>
        <w:shd w:val="clear" w:color="auto" w:fill="auto"/>
        <w:spacing w:after="0" w:line="288" w:lineRule="exact"/>
        <w:ind w:left="20" w:right="40" w:firstLine="0"/>
        <w:jc w:val="both"/>
        <w:rPr>
          <w:sz w:val="24"/>
        </w:rPr>
      </w:pPr>
      <w:r w:rsidRPr="004226AA">
        <w:rPr>
          <w:color w:val="000000"/>
          <w:sz w:val="24"/>
        </w:rPr>
        <w:t>Pracownicy Urzędu wzięli ponadto udział w dwóch spotkaniach prewencyjnych z seniorami w dniu 23 października 2019 r. - w ramach współpracy z Komendą Miejską Policji w Poznaniu w Centrum Aktywności Seniora w Swarzędzu oraz w Dziennym Domu Pobytu w Swarzędzu. Pracownicy Urzędu prowadzili również działania edukacyjne podczas pełnienia dyżurów eksperckich na Festiwalu Seniora AmberExpo w dniu 8 października 2019 r.</w:t>
      </w:r>
    </w:p>
    <w:p w14:paraId="36229B80" w14:textId="77777777" w:rsidR="00327679" w:rsidRDefault="00327679" w:rsidP="004226AA">
      <w:pPr>
        <w:pStyle w:val="Teksttreci0"/>
        <w:shd w:val="clear" w:color="auto" w:fill="auto"/>
        <w:spacing w:after="0" w:line="295" w:lineRule="exact"/>
        <w:ind w:left="20" w:right="40" w:firstLine="0"/>
        <w:jc w:val="both"/>
        <w:rPr>
          <w:color w:val="000000"/>
          <w:sz w:val="24"/>
        </w:rPr>
      </w:pPr>
    </w:p>
    <w:p w14:paraId="68B45CBB" w14:textId="77777777" w:rsidR="006012C3" w:rsidRPr="004226AA" w:rsidRDefault="006012C3" w:rsidP="004226AA">
      <w:pPr>
        <w:pStyle w:val="Teksttreci0"/>
        <w:shd w:val="clear" w:color="auto" w:fill="auto"/>
        <w:spacing w:after="0" w:line="295" w:lineRule="exact"/>
        <w:ind w:left="20" w:right="40" w:firstLine="0"/>
        <w:jc w:val="both"/>
        <w:rPr>
          <w:sz w:val="24"/>
        </w:rPr>
      </w:pPr>
      <w:r w:rsidRPr="004226AA">
        <w:rPr>
          <w:color w:val="000000"/>
          <w:sz w:val="24"/>
        </w:rPr>
        <w:t>W 2019 r. Urząd współpracował przy organizacji „Dnia Seniora” - ogólnopolskiej akcji, której celem jest aktywizacja i edukacja osób starszych. W ramach akcji oddziały ZUS organizowały</w:t>
      </w:r>
    </w:p>
    <w:p w14:paraId="6A566CF7" w14:textId="77777777" w:rsidR="006012C3" w:rsidRDefault="006012C3" w:rsidP="004226AA">
      <w:pPr>
        <w:pStyle w:val="Teksttreci0"/>
        <w:shd w:val="clear" w:color="auto" w:fill="auto"/>
        <w:spacing w:after="0" w:line="295" w:lineRule="exact"/>
        <w:ind w:left="20" w:right="40" w:firstLine="0"/>
        <w:jc w:val="both"/>
        <w:rPr>
          <w:color w:val="000000"/>
          <w:sz w:val="24"/>
        </w:rPr>
      </w:pPr>
      <w:r w:rsidRPr="004226AA">
        <w:rPr>
          <w:color w:val="000000"/>
          <w:sz w:val="24"/>
        </w:rPr>
        <w:t xml:space="preserve">spotkania dla seniorów - podczas których odbywały się m.in. wykłady i prezentacje. UOKiK aktywnie uczestniczył w spotkaniach, prowadząc wykłady czy udzielając porad konsumenckich, w tym w dniu 15 października 2019 r. w wykładzie </w:t>
      </w:r>
      <w:r w:rsidRPr="004226AA">
        <w:rPr>
          <w:rStyle w:val="TeksttreciKursywa"/>
          <w:rFonts w:eastAsia="Arial"/>
          <w:sz w:val="24"/>
        </w:rPr>
        <w:t>„Konsument na rynku sprzedaży bezpośredniej</w:t>
      </w:r>
      <w:r w:rsidRPr="004226AA">
        <w:rPr>
          <w:color w:val="000000"/>
          <w:sz w:val="24"/>
        </w:rPr>
        <w:t xml:space="preserve">” z okazji Dnia Seniora w Oddziale ZUS w Poznaniu, w dwóch spotkaniach z seniorami • w oddziale ZUS w Opolu w dniu 15 lutego 2019 r. i w Chorzowie w dniu 4 października 2019 r. - w trakcie których pracownicy Urzędu przedstawili prezentacje o prawach konsumenta w umowach zawieranych poza lokalem przedsiębiorstwa, a także w dniu 17 października 2019 r. w Domu Technika NOT w Gdańsku - edycja nosiła hasło </w:t>
      </w:r>
      <w:r w:rsidRPr="004226AA">
        <w:rPr>
          <w:rStyle w:val="TeksttreciKursywa"/>
          <w:rFonts w:eastAsia="Arial"/>
          <w:sz w:val="24"/>
        </w:rPr>
        <w:t>„Zdrowy, bezpieczny i aktywny Senior</w:t>
      </w:r>
      <w:r w:rsidRPr="004226AA">
        <w:rPr>
          <w:color w:val="000000"/>
          <w:sz w:val="24"/>
        </w:rPr>
        <w:t>”. Partnerami akcji poza UOKiK są Narodowy Fundusz Zdrowia, Policja, Państwowy Fundusz Rehabilitacji Osób Niepełnosprawnych, Biuro Rzecznika Praw Obywatelskich i Biuro Rzecznika Praw Pacjenta. Celem zaangażowania Urzędu było zwiększenie świadomości osób starszych w zakresie zagrożeń ze strony przedsiębiorców stosujących nieuczciwe praktyki rynkowe.</w:t>
      </w:r>
    </w:p>
    <w:p w14:paraId="109F2350" w14:textId="77777777" w:rsidR="006508D1" w:rsidRDefault="006508D1" w:rsidP="004226AA">
      <w:pPr>
        <w:pStyle w:val="Teksttreci0"/>
        <w:shd w:val="clear" w:color="auto" w:fill="auto"/>
        <w:spacing w:after="0" w:line="295" w:lineRule="exact"/>
        <w:ind w:left="20" w:right="40" w:firstLine="0"/>
        <w:jc w:val="both"/>
        <w:rPr>
          <w:sz w:val="24"/>
        </w:rPr>
      </w:pPr>
    </w:p>
    <w:p w14:paraId="441A76E6" w14:textId="77777777" w:rsidR="00766A2A" w:rsidRPr="00766A2A" w:rsidRDefault="00766A2A" w:rsidP="004226AA">
      <w:pPr>
        <w:pStyle w:val="Teksttreci0"/>
        <w:shd w:val="clear" w:color="auto" w:fill="auto"/>
        <w:spacing w:after="0" w:line="295" w:lineRule="exact"/>
        <w:ind w:left="20" w:right="40" w:firstLine="0"/>
        <w:jc w:val="both"/>
        <w:rPr>
          <w:b/>
          <w:color w:val="00B0F0"/>
          <w:sz w:val="24"/>
        </w:rPr>
      </w:pPr>
      <w:r w:rsidRPr="00766A2A">
        <w:rPr>
          <w:b/>
          <w:color w:val="00B0F0"/>
          <w:sz w:val="24"/>
        </w:rPr>
        <w:t>Patronaty</w:t>
      </w:r>
    </w:p>
    <w:p w14:paraId="4650304B" w14:textId="77777777" w:rsidR="006012C3" w:rsidRPr="004226AA" w:rsidRDefault="00462B4B" w:rsidP="004226AA">
      <w:pPr>
        <w:pStyle w:val="Teksttreci0"/>
        <w:shd w:val="clear" w:color="auto" w:fill="auto"/>
        <w:spacing w:after="0" w:line="295" w:lineRule="exact"/>
        <w:ind w:left="20" w:firstLine="0"/>
        <w:jc w:val="both"/>
        <w:rPr>
          <w:sz w:val="24"/>
        </w:rPr>
      </w:pPr>
      <w:r>
        <w:rPr>
          <w:color w:val="000000"/>
          <w:sz w:val="24"/>
        </w:rPr>
        <w:t xml:space="preserve">W 2019 r. </w:t>
      </w:r>
      <w:r w:rsidR="006012C3" w:rsidRPr="004226AA">
        <w:rPr>
          <w:color w:val="000000"/>
          <w:sz w:val="24"/>
        </w:rPr>
        <w:t>Prezes UOKiK objął patronatem dwie inicjatywy adresowane do seniorów:</w:t>
      </w:r>
    </w:p>
    <w:p w14:paraId="0D5985D1" w14:textId="77777777" w:rsidR="00462B4B" w:rsidRDefault="006012C3" w:rsidP="008C71A9">
      <w:pPr>
        <w:pStyle w:val="Teksttreci0"/>
        <w:numPr>
          <w:ilvl w:val="0"/>
          <w:numId w:val="358"/>
        </w:numPr>
        <w:shd w:val="clear" w:color="auto" w:fill="auto"/>
        <w:tabs>
          <w:tab w:val="left" w:pos="351"/>
        </w:tabs>
        <w:spacing w:after="0" w:line="295" w:lineRule="exact"/>
        <w:ind w:left="360" w:right="40"/>
        <w:jc w:val="both"/>
        <w:rPr>
          <w:sz w:val="24"/>
        </w:rPr>
      </w:pPr>
      <w:r w:rsidRPr="004226AA">
        <w:rPr>
          <w:color w:val="000000"/>
          <w:sz w:val="24"/>
        </w:rPr>
        <w:t xml:space="preserve">Kampanię edukacyjną </w:t>
      </w:r>
      <w:r w:rsidRPr="004226AA">
        <w:rPr>
          <w:rStyle w:val="TeksttreciKursywa"/>
          <w:rFonts w:eastAsia="Arial"/>
          <w:sz w:val="24"/>
        </w:rPr>
        <w:t>„Poznaj swojego kontrahenta”,</w:t>
      </w:r>
      <w:r w:rsidRPr="004226AA">
        <w:rPr>
          <w:color w:val="000000"/>
          <w:sz w:val="24"/>
        </w:rPr>
        <w:t xml:space="preserve"> organizowaną przez Polskie Stowarzyszenie Sprzedaży Bezpośredniej, we współpracy z UOKiK i Federacją Konsumentów jej celem jest przeciwdziałanie nieuczciwym i nieetycznym zachowaniom.</w:t>
      </w:r>
    </w:p>
    <w:p w14:paraId="3E6F4ADD" w14:textId="77777777" w:rsidR="006012C3" w:rsidRPr="00462B4B" w:rsidRDefault="006012C3" w:rsidP="008C71A9">
      <w:pPr>
        <w:pStyle w:val="Teksttreci0"/>
        <w:numPr>
          <w:ilvl w:val="0"/>
          <w:numId w:val="358"/>
        </w:numPr>
        <w:shd w:val="clear" w:color="auto" w:fill="auto"/>
        <w:tabs>
          <w:tab w:val="left" w:pos="351"/>
        </w:tabs>
        <w:spacing w:after="0" w:line="295" w:lineRule="exact"/>
        <w:ind w:left="360" w:right="40"/>
        <w:jc w:val="both"/>
        <w:rPr>
          <w:sz w:val="24"/>
        </w:rPr>
      </w:pPr>
      <w:r w:rsidRPr="00462B4B">
        <w:rPr>
          <w:color w:val="000000"/>
          <w:sz w:val="24"/>
        </w:rPr>
        <w:t xml:space="preserve">Akcję informacyjną „Sen/orze, </w:t>
      </w:r>
      <w:r w:rsidRPr="00462B4B">
        <w:rPr>
          <w:rStyle w:val="TeksttreciKursywa"/>
          <w:rFonts w:eastAsia="Arial"/>
          <w:sz w:val="24"/>
        </w:rPr>
        <w:t>nie daj się oszukać</w:t>
      </w:r>
      <w:r w:rsidRPr="00462B4B">
        <w:rPr>
          <w:color w:val="000000"/>
          <w:sz w:val="24"/>
        </w:rPr>
        <w:t xml:space="preserve"> - </w:t>
      </w:r>
      <w:r w:rsidRPr="00462B4B">
        <w:rPr>
          <w:rStyle w:val="TeksttreciKursywa"/>
          <w:rFonts w:eastAsia="Arial"/>
          <w:sz w:val="24"/>
        </w:rPr>
        <w:t>nie chodź na pokazy!",</w:t>
      </w:r>
      <w:r w:rsidRPr="00462B4B">
        <w:rPr>
          <w:color w:val="000000"/>
          <w:sz w:val="24"/>
        </w:rPr>
        <w:t xml:space="preserve"> organizowaną przez Miejskiego Rzecznika Konsumentów w Legnicy, we współpracy z diecezją legnicką</w:t>
      </w:r>
    </w:p>
    <w:p w14:paraId="4E97D301" w14:textId="77777777" w:rsidR="006012C3" w:rsidRPr="00766A2A" w:rsidRDefault="00766A2A" w:rsidP="00766A2A">
      <w:pPr>
        <w:pStyle w:val="Teksttreci0"/>
        <w:shd w:val="clear" w:color="auto" w:fill="auto"/>
        <w:tabs>
          <w:tab w:val="left" w:pos="711"/>
          <w:tab w:val="left" w:pos="538"/>
        </w:tabs>
        <w:spacing w:after="0" w:line="295" w:lineRule="exact"/>
        <w:ind w:left="380" w:right="40" w:firstLine="0"/>
        <w:jc w:val="both"/>
        <w:rPr>
          <w:sz w:val="24"/>
        </w:rPr>
      </w:pPr>
      <w:r>
        <w:rPr>
          <w:color w:val="000000"/>
          <w:sz w:val="24"/>
        </w:rPr>
        <w:t xml:space="preserve">- </w:t>
      </w:r>
      <w:r w:rsidR="006012C3" w:rsidRPr="004226AA">
        <w:rPr>
          <w:color w:val="000000"/>
          <w:sz w:val="24"/>
        </w:rPr>
        <w:t>w jej ramach ma być dystrybuowany plakat ostrzegający seniorów przed zakupami na pokazach oraz prowadzone mają być wykłady dla seniorów. Akcja ma być kontynuowana w 2020 r.</w:t>
      </w:r>
    </w:p>
    <w:p w14:paraId="3186BB96" w14:textId="77777777" w:rsidR="00766A2A" w:rsidRPr="004226AA" w:rsidRDefault="00766A2A" w:rsidP="00766A2A">
      <w:pPr>
        <w:pStyle w:val="Teksttreci0"/>
        <w:shd w:val="clear" w:color="auto" w:fill="auto"/>
        <w:tabs>
          <w:tab w:val="left" w:pos="711"/>
          <w:tab w:val="left" w:pos="538"/>
        </w:tabs>
        <w:spacing w:after="0" w:line="295" w:lineRule="exact"/>
        <w:ind w:left="380" w:right="40" w:firstLine="0"/>
        <w:jc w:val="both"/>
        <w:rPr>
          <w:sz w:val="24"/>
        </w:rPr>
      </w:pPr>
    </w:p>
    <w:p w14:paraId="18D72463" w14:textId="77777777" w:rsidR="006012C3" w:rsidRPr="00766A2A" w:rsidRDefault="006012C3" w:rsidP="004226AA">
      <w:pPr>
        <w:pStyle w:val="Teksttreci0"/>
        <w:shd w:val="clear" w:color="auto" w:fill="auto"/>
        <w:spacing w:after="0" w:line="200" w:lineRule="exact"/>
        <w:ind w:left="20" w:firstLine="0"/>
        <w:jc w:val="both"/>
        <w:rPr>
          <w:b/>
          <w:color w:val="00B0F0"/>
          <w:sz w:val="24"/>
        </w:rPr>
      </w:pPr>
      <w:r w:rsidRPr="00766A2A">
        <w:rPr>
          <w:b/>
          <w:color w:val="00B0F0"/>
          <w:sz w:val="24"/>
        </w:rPr>
        <w:lastRenderedPageBreak/>
        <w:t>Działalność wydawnicza</w:t>
      </w:r>
    </w:p>
    <w:p w14:paraId="109BBAF7" w14:textId="77777777" w:rsidR="006012C3" w:rsidRPr="004226AA" w:rsidRDefault="006012C3" w:rsidP="003B169E">
      <w:pPr>
        <w:pStyle w:val="Teksttreci0"/>
        <w:shd w:val="clear" w:color="auto" w:fill="auto"/>
        <w:spacing w:after="0" w:line="295" w:lineRule="exact"/>
        <w:ind w:left="20" w:right="40" w:firstLine="0"/>
        <w:jc w:val="both"/>
        <w:rPr>
          <w:sz w:val="24"/>
        </w:rPr>
      </w:pPr>
      <w:r w:rsidRPr="004226AA">
        <w:rPr>
          <w:color w:val="000000"/>
          <w:sz w:val="24"/>
        </w:rPr>
        <w:t>Stałym elementem działań edukacyjno-informacyjnych UOKiK jest działalność wydawnicza. W 2019 r. Urząd dodrukował ulotkę „Seniorze, uważaj na nieuczciwych sprzedawców!”. Publikacja dostępna jest na stronie internetowej Urzędu w zakładce „Publika</w:t>
      </w:r>
      <w:r w:rsidR="003B169E">
        <w:rPr>
          <w:color w:val="000000"/>
          <w:sz w:val="24"/>
        </w:rPr>
        <w:t>cje” do pobrania w formacie PDF</w:t>
      </w:r>
      <w:r w:rsidR="003B169E">
        <w:rPr>
          <w:rStyle w:val="Odwoanieprzypisudolnego"/>
          <w:color w:val="000000"/>
          <w:sz w:val="24"/>
        </w:rPr>
        <w:footnoteReference w:id="42"/>
      </w:r>
      <w:r w:rsidRPr="004226AA">
        <w:rPr>
          <w:color w:val="000000"/>
          <w:sz w:val="24"/>
        </w:rPr>
        <w:t>. a ponadto do zamówienia w formie papierowej (poprzez formularz zamówienia).</w:t>
      </w:r>
      <w:r w:rsidR="003B169E">
        <w:rPr>
          <w:sz w:val="24"/>
        </w:rPr>
        <w:t xml:space="preserve"> </w:t>
      </w:r>
      <w:r w:rsidRPr="004226AA">
        <w:rPr>
          <w:color w:val="000000"/>
          <w:sz w:val="24"/>
        </w:rPr>
        <w:t>Wśród publikacji dostępna jest ponadto brosz</w:t>
      </w:r>
      <w:r w:rsidR="003B169E">
        <w:rPr>
          <w:color w:val="000000"/>
          <w:sz w:val="24"/>
        </w:rPr>
        <w:t>ura „Chodź opowiem Ci bajeczkę”</w:t>
      </w:r>
      <w:r w:rsidR="003B169E">
        <w:rPr>
          <w:rStyle w:val="Odwoanieprzypisudolnego"/>
          <w:color w:val="000000"/>
          <w:sz w:val="24"/>
        </w:rPr>
        <w:footnoteReference w:id="43"/>
      </w:r>
      <w:r w:rsidR="003B169E">
        <w:rPr>
          <w:color w:val="000000"/>
          <w:sz w:val="24"/>
        </w:rPr>
        <w:t>,</w:t>
      </w:r>
      <w:r w:rsidRPr="004226AA">
        <w:rPr>
          <w:color w:val="000000"/>
          <w:sz w:val="24"/>
        </w:rPr>
        <w:t>przygotowana w ramach realizacji przedsięwzięcia pt. „Otwarty konkurs ofert na realizację zadania publicznego w 2018</w:t>
      </w:r>
      <w:r w:rsidR="00766A2A">
        <w:rPr>
          <w:color w:val="000000"/>
          <w:sz w:val="24"/>
        </w:rPr>
        <w:t xml:space="preserve"> r.</w:t>
      </w:r>
      <w:r w:rsidRPr="004226AA">
        <w:rPr>
          <w:color w:val="000000"/>
          <w:sz w:val="24"/>
        </w:rPr>
        <w:t xml:space="preserve"> w zakresie upowszechniania i ochrony praw konsumentów przez organizacje konsumenckie”. Publikacja adresowana jest m.in. do seniorów, którzy czytając dzieciom przypominają sobie</w:t>
      </w:r>
      <w:r w:rsidR="003B169E">
        <w:rPr>
          <w:sz w:val="24"/>
        </w:rPr>
        <w:t xml:space="preserve"> </w:t>
      </w:r>
      <w:r w:rsidRPr="004226AA">
        <w:rPr>
          <w:color w:val="000000"/>
          <w:sz w:val="24"/>
        </w:rPr>
        <w:t>o</w:t>
      </w:r>
      <w:r w:rsidRPr="004226AA">
        <w:rPr>
          <w:color w:val="000000"/>
          <w:sz w:val="24"/>
        </w:rPr>
        <w:tab/>
        <w:t>prawach konsumenta.</w:t>
      </w:r>
    </w:p>
    <w:p w14:paraId="416056C5" w14:textId="77777777" w:rsidR="00766A2A" w:rsidRDefault="00766A2A" w:rsidP="004226AA">
      <w:pPr>
        <w:pStyle w:val="Teksttreci0"/>
        <w:shd w:val="clear" w:color="auto" w:fill="auto"/>
        <w:spacing w:after="0" w:line="288" w:lineRule="exact"/>
        <w:ind w:left="20" w:right="40" w:firstLine="0"/>
        <w:jc w:val="both"/>
        <w:rPr>
          <w:color w:val="000000"/>
          <w:sz w:val="24"/>
        </w:rPr>
      </w:pPr>
    </w:p>
    <w:p w14:paraId="27ED9085" w14:textId="77777777" w:rsidR="006012C3" w:rsidRPr="004226AA" w:rsidRDefault="006012C3" w:rsidP="00766A2A">
      <w:pPr>
        <w:pStyle w:val="Teksttreci0"/>
        <w:shd w:val="clear" w:color="auto" w:fill="auto"/>
        <w:spacing w:after="0" w:line="288" w:lineRule="exact"/>
        <w:ind w:left="20" w:right="40" w:firstLine="0"/>
        <w:jc w:val="both"/>
        <w:rPr>
          <w:sz w:val="24"/>
        </w:rPr>
      </w:pPr>
      <w:r w:rsidRPr="004226AA">
        <w:rPr>
          <w:color w:val="000000"/>
          <w:sz w:val="24"/>
        </w:rPr>
        <w:t xml:space="preserve">Urząd podejmował również działania mające na celu zachęcenie rzeczników konsumentów w całej Polsce do włączenia się </w:t>
      </w:r>
      <w:r w:rsidRPr="003B169E">
        <w:rPr>
          <w:color w:val="000000"/>
          <w:sz w:val="24"/>
          <w:szCs w:val="24"/>
        </w:rPr>
        <w:t xml:space="preserve">do </w:t>
      </w:r>
      <w:r w:rsidRPr="003B169E">
        <w:rPr>
          <w:rStyle w:val="Teksttreci75pt"/>
          <w:rFonts w:ascii="Times New Roman" w:hAnsi="Times New Roman" w:cs="Times New Roman"/>
          <w:sz w:val="24"/>
          <w:szCs w:val="24"/>
        </w:rPr>
        <w:t>ww.</w:t>
      </w:r>
      <w:r w:rsidRPr="004226AA">
        <w:rPr>
          <w:rStyle w:val="Teksttreci75pt"/>
          <w:sz w:val="16"/>
        </w:rPr>
        <w:t xml:space="preserve"> </w:t>
      </w:r>
      <w:r w:rsidRPr="004226AA">
        <w:rPr>
          <w:color w:val="000000"/>
          <w:sz w:val="24"/>
        </w:rPr>
        <w:t>kampanii edukacyjnej „Poznaj swojego kontrahenta”, organizowanej przez Polskie Stowarzyszenie Sprzedaży Bezpośredniej, we współpracy z UOKiK i Federacją Konsumentów. W związku z tym</w:t>
      </w:r>
      <w:r w:rsidR="003B169E">
        <w:rPr>
          <w:color w:val="000000"/>
          <w:sz w:val="24"/>
        </w:rPr>
        <w:t>,</w:t>
      </w:r>
      <w:r w:rsidRPr="004226AA">
        <w:rPr>
          <w:color w:val="000000"/>
          <w:sz w:val="24"/>
        </w:rPr>
        <w:t xml:space="preserve"> rzecznicy otrzymali specjalnie opracowaną ulotkę, którą mogliby kierować do restauracji, hoteli i innych</w:t>
      </w:r>
      <w:r w:rsidR="00766A2A">
        <w:rPr>
          <w:sz w:val="24"/>
        </w:rPr>
        <w:t xml:space="preserve"> </w:t>
      </w:r>
      <w:r w:rsidRPr="004226AA">
        <w:rPr>
          <w:color w:val="000000"/>
          <w:sz w:val="24"/>
        </w:rPr>
        <w:t>przedsiębiorców wynajmujących sale na pokazy w swoim powiecie. Kampania trwała przez cały 2019 r.</w:t>
      </w:r>
    </w:p>
    <w:p w14:paraId="5FCE06B2" w14:textId="77777777" w:rsidR="00766A2A" w:rsidRDefault="00766A2A" w:rsidP="004226AA">
      <w:pPr>
        <w:pStyle w:val="Teksttreci0"/>
        <w:shd w:val="clear" w:color="auto" w:fill="auto"/>
        <w:spacing w:after="0" w:line="295" w:lineRule="exact"/>
        <w:ind w:left="20" w:right="20" w:firstLine="0"/>
        <w:jc w:val="both"/>
        <w:rPr>
          <w:color w:val="000000"/>
          <w:sz w:val="24"/>
        </w:rPr>
      </w:pPr>
    </w:p>
    <w:p w14:paraId="7DE3C655" w14:textId="77777777" w:rsidR="006012C3" w:rsidRPr="004226AA" w:rsidRDefault="006012C3" w:rsidP="004226AA">
      <w:pPr>
        <w:pStyle w:val="Teksttreci0"/>
        <w:shd w:val="clear" w:color="auto" w:fill="auto"/>
        <w:spacing w:after="0" w:line="295" w:lineRule="exact"/>
        <w:ind w:left="20" w:right="20" w:firstLine="0"/>
        <w:jc w:val="both"/>
        <w:rPr>
          <w:sz w:val="24"/>
        </w:rPr>
      </w:pPr>
      <w:r w:rsidRPr="004226AA">
        <w:rPr>
          <w:color w:val="000000"/>
          <w:sz w:val="24"/>
        </w:rPr>
        <w:t>Ponadto Urząd mając na celu promocję dobrych wzorców do naśladowania w newsletterze skierowanym do rzeczników konsumentów w kwietniu 2019 r. przekazał informację o skutecznym wyeliminowaniu pokazów w Legnicy dzięki wspólnej akcji Miejskiego Rzecznika Konsumentów w Legnicy, władz miasta, mediów i społeczności lokalnej w Legnicy powyższe miało na celu zachęcenie innych rzeczników konsumentów do podejmowania skutecznej walki z problemami związanymi ze zjawiskiem pokazów. Elementami kampanii Miejskiego Rzecznika Konsumentów w Legnicy były:</w:t>
      </w:r>
    </w:p>
    <w:p w14:paraId="263CABC2" w14:textId="77777777" w:rsidR="003B169E" w:rsidRDefault="006012C3" w:rsidP="008C71A9">
      <w:pPr>
        <w:pStyle w:val="Teksttreci0"/>
        <w:numPr>
          <w:ilvl w:val="0"/>
          <w:numId w:val="359"/>
        </w:numPr>
        <w:shd w:val="clear" w:color="auto" w:fill="auto"/>
        <w:tabs>
          <w:tab w:val="left" w:pos="358"/>
        </w:tabs>
        <w:spacing w:after="0" w:line="295" w:lineRule="exact"/>
        <w:ind w:left="360"/>
        <w:jc w:val="both"/>
        <w:rPr>
          <w:sz w:val="24"/>
        </w:rPr>
      </w:pPr>
      <w:r w:rsidRPr="004226AA">
        <w:rPr>
          <w:color w:val="000000"/>
          <w:sz w:val="24"/>
        </w:rPr>
        <w:t>aktywne zgłaszanie przez mieszkańców miejsc pokazów;</w:t>
      </w:r>
    </w:p>
    <w:p w14:paraId="0095F524" w14:textId="77777777" w:rsidR="003B169E" w:rsidRDefault="006012C3" w:rsidP="008C71A9">
      <w:pPr>
        <w:pStyle w:val="Teksttreci0"/>
        <w:numPr>
          <w:ilvl w:val="0"/>
          <w:numId w:val="359"/>
        </w:numPr>
        <w:shd w:val="clear" w:color="auto" w:fill="auto"/>
        <w:tabs>
          <w:tab w:val="left" w:pos="351"/>
        </w:tabs>
        <w:spacing w:after="0" w:line="295" w:lineRule="exact"/>
        <w:ind w:left="360"/>
        <w:jc w:val="both"/>
        <w:rPr>
          <w:sz w:val="24"/>
        </w:rPr>
      </w:pPr>
      <w:r w:rsidRPr="003B169E">
        <w:rPr>
          <w:color w:val="000000"/>
          <w:sz w:val="24"/>
        </w:rPr>
        <w:t>listy od Rzecznika do legnickich restauratorów oraz hotelarzy;</w:t>
      </w:r>
    </w:p>
    <w:p w14:paraId="13EA1A62" w14:textId="77777777" w:rsidR="003B169E" w:rsidRDefault="006012C3" w:rsidP="008C71A9">
      <w:pPr>
        <w:pStyle w:val="Teksttreci0"/>
        <w:numPr>
          <w:ilvl w:val="0"/>
          <w:numId w:val="359"/>
        </w:numPr>
        <w:shd w:val="clear" w:color="auto" w:fill="auto"/>
        <w:tabs>
          <w:tab w:val="left" w:pos="358"/>
        </w:tabs>
        <w:spacing w:after="0" w:line="295" w:lineRule="exact"/>
        <w:ind w:left="360"/>
        <w:jc w:val="both"/>
        <w:rPr>
          <w:sz w:val="24"/>
        </w:rPr>
      </w:pPr>
      <w:r w:rsidRPr="003B169E">
        <w:rPr>
          <w:color w:val="000000"/>
          <w:sz w:val="24"/>
        </w:rPr>
        <w:t>wizyty w miejscach wskazanych przez mieszkańców, rozmowy i bezpośrednie apele do przedsiębiorców którzy wynajmują lokale i firm organizujących pokazy;</w:t>
      </w:r>
    </w:p>
    <w:p w14:paraId="1702CCD7" w14:textId="77777777" w:rsidR="003B169E" w:rsidRDefault="006012C3" w:rsidP="008C71A9">
      <w:pPr>
        <w:pStyle w:val="Teksttreci0"/>
        <w:numPr>
          <w:ilvl w:val="0"/>
          <w:numId w:val="359"/>
        </w:numPr>
        <w:shd w:val="clear" w:color="auto" w:fill="auto"/>
        <w:tabs>
          <w:tab w:val="left" w:pos="358"/>
        </w:tabs>
        <w:spacing w:after="0" w:line="295" w:lineRule="exact"/>
        <w:ind w:left="360"/>
        <w:jc w:val="both"/>
        <w:rPr>
          <w:sz w:val="24"/>
        </w:rPr>
      </w:pPr>
      <w:r w:rsidRPr="003B169E">
        <w:rPr>
          <w:color w:val="000000"/>
          <w:sz w:val="24"/>
        </w:rPr>
        <w:t>pisemne wyróżnienie tych, którzy przyłączyli się do akcji (informacja, że dane miejsce jest „bezpieczne i przyjazne dla konsumenta”);</w:t>
      </w:r>
    </w:p>
    <w:p w14:paraId="61790BAA" w14:textId="77777777" w:rsidR="006012C3" w:rsidRPr="003B169E" w:rsidRDefault="006012C3" w:rsidP="008C71A9">
      <w:pPr>
        <w:pStyle w:val="Teksttreci0"/>
        <w:numPr>
          <w:ilvl w:val="0"/>
          <w:numId w:val="359"/>
        </w:numPr>
        <w:shd w:val="clear" w:color="auto" w:fill="auto"/>
        <w:tabs>
          <w:tab w:val="left" w:pos="358"/>
        </w:tabs>
        <w:spacing w:after="0" w:line="295" w:lineRule="exact"/>
        <w:ind w:left="360"/>
        <w:jc w:val="both"/>
        <w:rPr>
          <w:sz w:val="24"/>
        </w:rPr>
      </w:pPr>
      <w:r w:rsidRPr="003B169E">
        <w:rPr>
          <w:color w:val="000000"/>
          <w:sz w:val="24"/>
        </w:rPr>
        <w:t>wsparcie medialne.</w:t>
      </w:r>
    </w:p>
    <w:p w14:paraId="7BC159C0" w14:textId="77777777" w:rsidR="003B169E" w:rsidRPr="003B169E" w:rsidRDefault="003B169E" w:rsidP="003B169E">
      <w:pPr>
        <w:pStyle w:val="Teksttreci0"/>
        <w:shd w:val="clear" w:color="auto" w:fill="auto"/>
        <w:tabs>
          <w:tab w:val="left" w:pos="358"/>
        </w:tabs>
        <w:spacing w:after="0" w:line="295" w:lineRule="exact"/>
        <w:ind w:left="360" w:firstLine="0"/>
        <w:jc w:val="both"/>
        <w:rPr>
          <w:sz w:val="24"/>
        </w:rPr>
      </w:pPr>
    </w:p>
    <w:p w14:paraId="439D0CF1" w14:textId="77777777" w:rsidR="006012C3" w:rsidRDefault="006012C3" w:rsidP="004226AA">
      <w:pPr>
        <w:pStyle w:val="Teksttreci0"/>
        <w:shd w:val="clear" w:color="auto" w:fill="auto"/>
        <w:spacing w:after="0" w:line="295" w:lineRule="exact"/>
        <w:ind w:left="20" w:right="20" w:firstLine="0"/>
        <w:jc w:val="both"/>
        <w:rPr>
          <w:color w:val="000000"/>
          <w:sz w:val="24"/>
        </w:rPr>
      </w:pPr>
      <w:r w:rsidRPr="004226AA">
        <w:rPr>
          <w:color w:val="000000"/>
          <w:sz w:val="24"/>
        </w:rPr>
        <w:t>Publikacja informacji na temat akcji przeprowadzonej przez Miejskiego Rzecznika Konsumentów w Legnicy zachęciła innych rzeczników konsumentów do podjęcia podobnych działań i podzielenia się swoimi doświadczeniami z Urzędem.</w:t>
      </w:r>
    </w:p>
    <w:p w14:paraId="7B064C7E" w14:textId="77777777" w:rsidR="00112060" w:rsidRPr="004226AA" w:rsidRDefault="00112060" w:rsidP="004226AA">
      <w:pPr>
        <w:pStyle w:val="Teksttreci0"/>
        <w:shd w:val="clear" w:color="auto" w:fill="auto"/>
        <w:spacing w:after="0" w:line="295" w:lineRule="exact"/>
        <w:ind w:left="20" w:right="20" w:firstLine="0"/>
        <w:jc w:val="both"/>
        <w:rPr>
          <w:sz w:val="24"/>
        </w:rPr>
      </w:pPr>
    </w:p>
    <w:p w14:paraId="3BB180E6" w14:textId="77777777" w:rsidR="006012C3" w:rsidRPr="00112060" w:rsidRDefault="006012C3" w:rsidP="004226AA">
      <w:pPr>
        <w:pStyle w:val="Teksttreci0"/>
        <w:shd w:val="clear" w:color="auto" w:fill="auto"/>
        <w:spacing w:after="0" w:line="200" w:lineRule="exact"/>
        <w:ind w:left="20" w:firstLine="0"/>
        <w:jc w:val="both"/>
        <w:rPr>
          <w:b/>
          <w:color w:val="00B0F0"/>
          <w:sz w:val="24"/>
        </w:rPr>
      </w:pPr>
      <w:r w:rsidRPr="00112060">
        <w:rPr>
          <w:b/>
          <w:color w:val="00B0F0"/>
          <w:sz w:val="24"/>
        </w:rPr>
        <w:t>Działania medialne</w:t>
      </w:r>
    </w:p>
    <w:p w14:paraId="23AACC9A" w14:textId="77777777" w:rsidR="006012C3" w:rsidRDefault="00112060" w:rsidP="00112060">
      <w:pPr>
        <w:pStyle w:val="Teksttreci0"/>
        <w:shd w:val="clear" w:color="auto" w:fill="auto"/>
        <w:spacing w:after="0" w:line="295" w:lineRule="exact"/>
        <w:ind w:left="20" w:right="20" w:firstLine="0"/>
        <w:jc w:val="both"/>
        <w:rPr>
          <w:color w:val="000000"/>
          <w:sz w:val="24"/>
        </w:rPr>
      </w:pPr>
      <w:r>
        <w:rPr>
          <w:color w:val="000000"/>
          <w:sz w:val="24"/>
        </w:rPr>
        <w:t>W 2019 r.</w:t>
      </w:r>
      <w:r w:rsidR="006012C3" w:rsidRPr="004226AA">
        <w:rPr>
          <w:color w:val="000000"/>
          <w:sz w:val="24"/>
        </w:rPr>
        <w:t xml:space="preserve"> UOKiK opublikował 14 komunikatów prasowych dotyczących działań związanych w szc</w:t>
      </w:r>
      <w:r>
        <w:rPr>
          <w:color w:val="000000"/>
          <w:sz w:val="24"/>
        </w:rPr>
        <w:t>zególności z ochroną seniorów. B</w:t>
      </w:r>
      <w:r w:rsidR="006012C3" w:rsidRPr="004226AA">
        <w:rPr>
          <w:color w:val="000000"/>
          <w:sz w:val="24"/>
        </w:rPr>
        <w:t>yły to głównie komunikaty o postępowaniach i decyzjach w sprawie firm organizujących pokazy handlowe, podszywających się pod dotychczasowego operatora telefonicznego lub energetycznego oraz oferujących pakiety medyczne.</w:t>
      </w:r>
      <w:r>
        <w:rPr>
          <w:sz w:val="24"/>
        </w:rPr>
        <w:t xml:space="preserve"> </w:t>
      </w:r>
      <w:r w:rsidR="006012C3" w:rsidRPr="004226AA">
        <w:rPr>
          <w:color w:val="000000"/>
          <w:sz w:val="24"/>
        </w:rPr>
        <w:t xml:space="preserve">Przedstawiciele Urzędu brali także udział w programach telewizyjnych i radiowych </w:t>
      </w:r>
      <w:r w:rsidR="006012C3" w:rsidRPr="004226AA">
        <w:rPr>
          <w:color w:val="000000"/>
          <w:sz w:val="24"/>
        </w:rPr>
        <w:lastRenderedPageBreak/>
        <w:t>związanych z powyższą działalnością.</w:t>
      </w:r>
    </w:p>
    <w:p w14:paraId="6A77E9A3" w14:textId="77777777" w:rsidR="00112060" w:rsidRPr="004226AA" w:rsidRDefault="00112060" w:rsidP="00112060">
      <w:pPr>
        <w:pStyle w:val="Teksttreci0"/>
        <w:shd w:val="clear" w:color="auto" w:fill="auto"/>
        <w:spacing w:after="0" w:line="295" w:lineRule="exact"/>
        <w:ind w:left="20" w:right="20" w:firstLine="0"/>
        <w:jc w:val="both"/>
        <w:rPr>
          <w:sz w:val="24"/>
        </w:rPr>
      </w:pPr>
    </w:p>
    <w:p w14:paraId="154B0D2D" w14:textId="6BF658FF" w:rsidR="006012C3" w:rsidRPr="004226AA" w:rsidRDefault="006012C3" w:rsidP="004226AA">
      <w:pPr>
        <w:pStyle w:val="Teksttreci0"/>
        <w:shd w:val="clear" w:color="auto" w:fill="auto"/>
        <w:spacing w:after="0" w:line="295" w:lineRule="exact"/>
        <w:ind w:left="20" w:right="20" w:firstLine="0"/>
        <w:jc w:val="both"/>
        <w:rPr>
          <w:sz w:val="24"/>
        </w:rPr>
      </w:pPr>
      <w:r w:rsidRPr="004226AA">
        <w:rPr>
          <w:color w:val="000000"/>
          <w:sz w:val="24"/>
        </w:rPr>
        <w:t xml:space="preserve">Niezależnie od powyższego wskazać należy, że w sytuacji podejrzenia popełnienia przez przedsiębiorców sprzedających towary poza lokalem przedsiębiorstwa przestępstwa z art. 286 </w:t>
      </w:r>
      <w:r w:rsidRPr="00112060">
        <w:rPr>
          <w:i/>
          <w:color w:val="000000"/>
          <w:sz w:val="24"/>
        </w:rPr>
        <w:t>ustawy z dnia 6 czerwca 1997 r. Kodeks karny</w:t>
      </w:r>
      <w:r w:rsidRPr="004226AA">
        <w:rPr>
          <w:color w:val="000000"/>
          <w:sz w:val="24"/>
        </w:rPr>
        <w:t xml:space="preserve"> (t.j. Dz. U. 2019 r. poz. 1950 z </w:t>
      </w:r>
      <w:r w:rsidR="0010663D" w:rsidRPr="004226AA">
        <w:rPr>
          <w:color w:val="000000"/>
          <w:sz w:val="24"/>
        </w:rPr>
        <w:t>późn</w:t>
      </w:r>
      <w:r w:rsidRPr="004226AA">
        <w:rPr>
          <w:color w:val="000000"/>
          <w:sz w:val="24"/>
        </w:rPr>
        <w:t>. zm.) na szkodę konsumentów, UOKiK kieruje stosowne zawiadomienia do organów ścigania.</w:t>
      </w:r>
    </w:p>
    <w:p w14:paraId="7B452D98" w14:textId="77777777" w:rsidR="006012C3" w:rsidRDefault="006012C3" w:rsidP="004226AA">
      <w:pPr>
        <w:pStyle w:val="Teksttreci0"/>
        <w:shd w:val="clear" w:color="auto" w:fill="auto"/>
        <w:spacing w:after="0" w:line="288" w:lineRule="exact"/>
        <w:ind w:left="20" w:right="20" w:firstLine="0"/>
        <w:jc w:val="both"/>
        <w:rPr>
          <w:color w:val="000000"/>
          <w:sz w:val="24"/>
        </w:rPr>
      </w:pPr>
      <w:r w:rsidRPr="004226AA">
        <w:rPr>
          <w:color w:val="000000"/>
          <w:sz w:val="24"/>
        </w:rPr>
        <w:t>Przykładowo w 2019 r. Prezes Urzędu (w ramach prowadzonych postępowań wyjaśniających) skierował do Prokuratury Krajowej trzy zawiadomienia o podejrzeniu popełnienia przestępstwa przez nieuczciwych przedsiębiorców przestępstw</w:t>
      </w:r>
      <w:r w:rsidR="00112060">
        <w:rPr>
          <w:color w:val="000000"/>
          <w:sz w:val="24"/>
        </w:rPr>
        <w:t>,</w:t>
      </w:r>
      <w:r w:rsidRPr="004226AA">
        <w:rPr>
          <w:color w:val="000000"/>
          <w:sz w:val="24"/>
        </w:rPr>
        <w:t xml:space="preserve"> oszustw i wyłudzeń, na szkodę konsumentów podczas sprzedaży poza lokalem przedsiębiorstwa, tj. w związku z działaniami</w:t>
      </w:r>
      <w:r w:rsidR="00112060">
        <w:rPr>
          <w:color w:val="000000"/>
          <w:sz w:val="24"/>
        </w:rPr>
        <w:t>: Clavam Sp. z o.o. z siedzibą w</w:t>
      </w:r>
      <w:r w:rsidRPr="004226AA">
        <w:rPr>
          <w:color w:val="000000"/>
          <w:sz w:val="24"/>
        </w:rPr>
        <w:t xml:space="preserve"> Poznaniu, Betterday Sp. z o.o. z siedzibą w Poznaniu (w związku z prowadzeniem aktywnej działalności mimo odwołania organów spółki), Klucz lnvestments Sp. z o.o. z siedzibą w Mrowinie (w związku z posługiwaniem się w umowach nieprawdziw</w:t>
      </w:r>
      <w:r w:rsidR="00BE18AF" w:rsidRPr="004226AA">
        <w:rPr>
          <w:color w:val="000000"/>
          <w:sz w:val="24"/>
        </w:rPr>
        <w:t>ymi danymi rejestrowymi Spółki)</w:t>
      </w:r>
    </w:p>
    <w:p w14:paraId="27F30D8A" w14:textId="77777777" w:rsidR="00112060" w:rsidRPr="004226AA" w:rsidRDefault="00112060" w:rsidP="004226AA">
      <w:pPr>
        <w:pStyle w:val="Teksttreci0"/>
        <w:shd w:val="clear" w:color="auto" w:fill="auto"/>
        <w:spacing w:after="0" w:line="288" w:lineRule="exact"/>
        <w:ind w:left="20" w:right="20" w:firstLine="0"/>
        <w:jc w:val="both"/>
        <w:rPr>
          <w:sz w:val="24"/>
        </w:rPr>
      </w:pPr>
    </w:p>
    <w:p w14:paraId="325B4193" w14:textId="77777777" w:rsidR="006012C3" w:rsidRPr="00112060" w:rsidRDefault="006012C3" w:rsidP="00112060">
      <w:pPr>
        <w:pStyle w:val="Teksttreci0"/>
        <w:shd w:val="clear" w:color="auto" w:fill="auto"/>
        <w:tabs>
          <w:tab w:val="left" w:pos="769"/>
        </w:tabs>
        <w:spacing w:after="0" w:line="200" w:lineRule="exact"/>
        <w:ind w:firstLine="0"/>
        <w:jc w:val="both"/>
        <w:rPr>
          <w:b/>
          <w:color w:val="00B0F0"/>
          <w:sz w:val="24"/>
        </w:rPr>
      </w:pPr>
      <w:r w:rsidRPr="00112060">
        <w:rPr>
          <w:b/>
          <w:color w:val="00B0F0"/>
          <w:sz w:val="24"/>
        </w:rPr>
        <w:t>Realizacja działań władczych na rzecz osób starszych</w:t>
      </w:r>
    </w:p>
    <w:p w14:paraId="71EF6117" w14:textId="77777777" w:rsidR="006012C3" w:rsidRDefault="006012C3" w:rsidP="004226AA">
      <w:pPr>
        <w:pStyle w:val="Teksttreci0"/>
        <w:shd w:val="clear" w:color="auto" w:fill="auto"/>
        <w:spacing w:after="0" w:line="295" w:lineRule="exact"/>
        <w:ind w:left="20" w:right="40" w:firstLine="0"/>
        <w:jc w:val="both"/>
        <w:rPr>
          <w:color w:val="000000"/>
          <w:sz w:val="24"/>
        </w:rPr>
      </w:pPr>
      <w:r w:rsidRPr="004226AA">
        <w:rPr>
          <w:color w:val="000000"/>
          <w:sz w:val="24"/>
        </w:rPr>
        <w:t>Istotnym problemem identyfikowanym przez Prezesa Urzędu pozostają nieuczciwe praktyki stosowane przez przedsiębiorców działających na rynku sprzedaży bezpośredniej, czyli zajmujących się sprzedażą towarów i usług poza lokalem przedsiębiorstwa (podczas pokazów, prezentacji, wykładów, pielgrzymek, wycieczek, pobytów w sanatoriach). Praktyki te w głównej mierze dotykają właśnie seniorów. Przedsiębiorcy, wykorzystując wiek, jak również sytuację rodzinną potencjalnych nabywców oferowanych przez nich towarów, często prowadzą działalność na pograniczu prawa, naganną etycznie lub wręcz przestępczą. W rezultacie konsumenci nabywają rzeczy wątpliwej jakości i skuteczności, zazwyczaj za cenę znacznie wyższą od ich obiektywnej wartości rynkowej, niejednokrotnie zaciągając na ten cel wieloletnie zobowiązania kredytowe.</w:t>
      </w:r>
    </w:p>
    <w:p w14:paraId="076CB482" w14:textId="77777777" w:rsidR="00112060" w:rsidRPr="004226AA" w:rsidRDefault="00112060" w:rsidP="004226AA">
      <w:pPr>
        <w:pStyle w:val="Teksttreci0"/>
        <w:shd w:val="clear" w:color="auto" w:fill="auto"/>
        <w:spacing w:after="0" w:line="295" w:lineRule="exact"/>
        <w:ind w:left="20" w:right="40" w:firstLine="0"/>
        <w:jc w:val="both"/>
        <w:rPr>
          <w:sz w:val="24"/>
        </w:rPr>
      </w:pPr>
    </w:p>
    <w:p w14:paraId="70558A28" w14:textId="77777777" w:rsidR="00112060" w:rsidRDefault="006012C3" w:rsidP="004226AA">
      <w:pPr>
        <w:pStyle w:val="Teksttreci0"/>
        <w:shd w:val="clear" w:color="auto" w:fill="auto"/>
        <w:spacing w:after="0" w:line="295" w:lineRule="exact"/>
        <w:ind w:left="20" w:right="40" w:firstLine="0"/>
        <w:jc w:val="both"/>
        <w:rPr>
          <w:color w:val="000000"/>
          <w:sz w:val="24"/>
        </w:rPr>
      </w:pPr>
      <w:r w:rsidRPr="004226AA">
        <w:rPr>
          <w:color w:val="000000"/>
          <w:sz w:val="24"/>
        </w:rPr>
        <w:t xml:space="preserve">Inną formą sprzedaży poza lokalem przedsiębiorstwa jest tzw. sprzedaż </w:t>
      </w:r>
      <w:r w:rsidRPr="004226AA">
        <w:rPr>
          <w:rStyle w:val="TeksttreciKursywa"/>
          <w:rFonts w:eastAsia="Arial"/>
          <w:sz w:val="24"/>
        </w:rPr>
        <w:t xml:space="preserve">door-to-door, </w:t>
      </w:r>
      <w:r w:rsidRPr="004226AA">
        <w:rPr>
          <w:color w:val="000000"/>
          <w:sz w:val="24"/>
        </w:rPr>
        <w:t xml:space="preserve">w ramach której przedsiębiorcy, w trakcie wizyt składanych konsumentom w ich miejscach zamieszkania, częstokroć udzielają im nieprawdziwych lub wprowadzających konsumentów w błąd informacji dotyczących oferty. Konsumenci, w tym w również osoby starsze, są wprowadzani przez przedstawicieli przedsiębiorców w błąd co do m.in. tożsamości przedsiębiorcy, z którym zawierana jest umowa. </w:t>
      </w:r>
    </w:p>
    <w:p w14:paraId="1CA223CF" w14:textId="77777777" w:rsidR="00112060" w:rsidRDefault="00112060" w:rsidP="004226AA">
      <w:pPr>
        <w:pStyle w:val="Teksttreci0"/>
        <w:shd w:val="clear" w:color="auto" w:fill="auto"/>
        <w:spacing w:after="0" w:line="295" w:lineRule="exact"/>
        <w:ind w:left="20" w:right="40" w:firstLine="0"/>
        <w:jc w:val="both"/>
        <w:rPr>
          <w:color w:val="000000"/>
          <w:sz w:val="24"/>
        </w:rPr>
      </w:pPr>
    </w:p>
    <w:p w14:paraId="134478AB" w14:textId="77777777" w:rsidR="006012C3" w:rsidRDefault="006012C3" w:rsidP="00DE6DD7">
      <w:pPr>
        <w:pStyle w:val="Teksttreci0"/>
        <w:shd w:val="clear" w:color="auto" w:fill="auto"/>
        <w:spacing w:after="0" w:line="295" w:lineRule="exact"/>
        <w:ind w:left="20" w:right="40" w:firstLine="0"/>
        <w:jc w:val="both"/>
        <w:rPr>
          <w:color w:val="000000"/>
          <w:sz w:val="24"/>
        </w:rPr>
      </w:pPr>
      <w:r w:rsidRPr="004226AA">
        <w:rPr>
          <w:color w:val="000000"/>
          <w:sz w:val="24"/>
        </w:rPr>
        <w:t xml:space="preserve">Kolejnym naruszeniem jest niespełnienie wymogów informacyjnych z </w:t>
      </w:r>
      <w:r w:rsidRPr="00112060">
        <w:rPr>
          <w:i/>
          <w:color w:val="000000"/>
          <w:sz w:val="24"/>
        </w:rPr>
        <w:t>ustawy z dnia 30 maja 2014 r. o prawach konsumenta</w:t>
      </w:r>
      <w:r w:rsidRPr="004226AA">
        <w:rPr>
          <w:color w:val="000000"/>
          <w:sz w:val="24"/>
        </w:rPr>
        <w:t xml:space="preserve"> (t.j.: Dz.U. z 2019 r. poz. 134; dalej: „ustawa o prawach konsumenta” lub „upk”) oraz utrudnianie konsumentom skorzystania z prawa odstąpienia od umowy przejawiające się m.in. nieinformowaniem konsumentów o przysługującym im prawie do odstąpienia od umowy, niewydawaniem im wzoru oświadczenia lub formularza odstąpienia od umowy, czy kierowaniem do konsumentów rachunków i wezwań do zapłaty zaległych faktur lub kary umownej</w:t>
      </w:r>
      <w:r w:rsidR="00DE6DD7">
        <w:rPr>
          <w:color w:val="000000"/>
          <w:sz w:val="24"/>
        </w:rPr>
        <w:t>,</w:t>
      </w:r>
      <w:r w:rsidRPr="004226AA">
        <w:rPr>
          <w:color w:val="000000"/>
          <w:sz w:val="24"/>
        </w:rPr>
        <w:t xml:space="preserve"> mimo złożenia przez nabywcę oświadczenia o odstąpieniu od umowy. Powyższe praktyki są nagminnie stosowane przede wszystkim na rynku usług energetycznych i telekomunikacyjnych.</w:t>
      </w:r>
      <w:r w:rsidR="00DE6DD7">
        <w:rPr>
          <w:sz w:val="24"/>
        </w:rPr>
        <w:t xml:space="preserve"> </w:t>
      </w:r>
      <w:r w:rsidRPr="004226AA">
        <w:rPr>
          <w:color w:val="000000"/>
          <w:sz w:val="24"/>
        </w:rPr>
        <w:t xml:space="preserve">W związku z powyższym, w celu zapewnienia należytej ochrony konsumentów (w tym osób starszych), Prezes UOKiK podejmuje w zakresie swoich ustawowych kompetencji </w:t>
      </w:r>
    </w:p>
    <w:p w14:paraId="44D60200" w14:textId="77777777" w:rsidR="00DE6DD7" w:rsidRDefault="00DE6DD7" w:rsidP="00DE6DD7">
      <w:pPr>
        <w:pStyle w:val="Teksttreci0"/>
        <w:shd w:val="clear" w:color="auto" w:fill="auto"/>
        <w:spacing w:after="0" w:line="295" w:lineRule="exact"/>
        <w:ind w:left="20" w:right="40" w:firstLine="0"/>
        <w:jc w:val="both"/>
        <w:rPr>
          <w:sz w:val="24"/>
        </w:rPr>
      </w:pPr>
    </w:p>
    <w:p w14:paraId="61179795" w14:textId="77777777" w:rsidR="000B40AE" w:rsidRDefault="000B40AE" w:rsidP="00DE6DD7">
      <w:pPr>
        <w:pStyle w:val="Teksttreci0"/>
        <w:shd w:val="clear" w:color="auto" w:fill="auto"/>
        <w:spacing w:after="0" w:line="295" w:lineRule="exact"/>
        <w:ind w:left="20" w:right="40" w:firstLine="0"/>
        <w:jc w:val="both"/>
        <w:rPr>
          <w:sz w:val="24"/>
        </w:rPr>
      </w:pPr>
    </w:p>
    <w:p w14:paraId="611F2A4F" w14:textId="77777777" w:rsidR="000B40AE" w:rsidRPr="00DE6DD7" w:rsidRDefault="000B40AE" w:rsidP="00DE6DD7">
      <w:pPr>
        <w:pStyle w:val="Teksttreci0"/>
        <w:shd w:val="clear" w:color="auto" w:fill="auto"/>
        <w:spacing w:after="0" w:line="295" w:lineRule="exact"/>
        <w:ind w:left="20" w:right="40" w:firstLine="0"/>
        <w:jc w:val="both"/>
        <w:rPr>
          <w:sz w:val="24"/>
        </w:rPr>
      </w:pPr>
    </w:p>
    <w:p w14:paraId="03A70A38" w14:textId="77777777" w:rsidR="006012C3" w:rsidRPr="00DE6DD7" w:rsidRDefault="006012C3" w:rsidP="004226AA">
      <w:pPr>
        <w:pStyle w:val="Teksttreci0"/>
        <w:shd w:val="clear" w:color="auto" w:fill="auto"/>
        <w:spacing w:after="0" w:line="295" w:lineRule="exact"/>
        <w:ind w:right="40" w:firstLine="0"/>
        <w:jc w:val="both"/>
        <w:rPr>
          <w:b/>
          <w:color w:val="00B0F0"/>
          <w:sz w:val="24"/>
        </w:rPr>
      </w:pPr>
      <w:r w:rsidRPr="00DE6DD7">
        <w:rPr>
          <w:b/>
          <w:color w:val="00B0F0"/>
          <w:sz w:val="24"/>
        </w:rPr>
        <w:t>D</w:t>
      </w:r>
      <w:r w:rsidR="00DE6DD7" w:rsidRPr="00DE6DD7">
        <w:rPr>
          <w:b/>
          <w:color w:val="00B0F0"/>
          <w:sz w:val="24"/>
        </w:rPr>
        <w:t>ziałania o charakterze władczym</w:t>
      </w:r>
    </w:p>
    <w:p w14:paraId="3A3FC0F0" w14:textId="77777777" w:rsidR="006012C3" w:rsidRPr="004226AA" w:rsidRDefault="006012C3" w:rsidP="004226AA">
      <w:pPr>
        <w:pStyle w:val="Teksttreci0"/>
        <w:shd w:val="clear" w:color="auto" w:fill="auto"/>
        <w:spacing w:after="0" w:line="288" w:lineRule="exact"/>
        <w:ind w:left="20" w:right="40" w:firstLine="0"/>
        <w:jc w:val="both"/>
        <w:rPr>
          <w:sz w:val="24"/>
        </w:rPr>
      </w:pPr>
      <w:r w:rsidRPr="004226AA">
        <w:rPr>
          <w:color w:val="000000"/>
          <w:sz w:val="24"/>
        </w:rPr>
        <w:t xml:space="preserve">Zgodnie przepisami </w:t>
      </w:r>
      <w:r w:rsidRPr="00DE6DD7">
        <w:rPr>
          <w:i/>
          <w:color w:val="000000"/>
          <w:sz w:val="24"/>
        </w:rPr>
        <w:t>ustawy z dnia 16 lutego 2007 r. o ochronie konkurencji i konsumentów</w:t>
      </w:r>
      <w:r w:rsidRPr="004226AA">
        <w:rPr>
          <w:color w:val="000000"/>
          <w:sz w:val="24"/>
        </w:rPr>
        <w:t xml:space="preserve"> (t.j.: Dz. U. z 2019 r. poz. 369 z póżn. zm.; dalej: „ustawa o ochronie konkurencji</w:t>
      </w:r>
      <w:r w:rsidR="00302131" w:rsidRPr="004226AA">
        <w:rPr>
          <w:sz w:val="24"/>
        </w:rPr>
        <w:t xml:space="preserve"> </w:t>
      </w:r>
      <w:r w:rsidR="00DE6DD7">
        <w:rPr>
          <w:color w:val="000000"/>
          <w:sz w:val="24"/>
        </w:rPr>
        <w:t xml:space="preserve">i </w:t>
      </w:r>
      <w:r w:rsidRPr="004226AA">
        <w:rPr>
          <w:color w:val="000000"/>
          <w:sz w:val="24"/>
        </w:rPr>
        <w:t>konsumentów” lub „uokik”), Prezes UOKiK posiada kompetencje m.in. do prowadzenia postępowań administracyjnych w sprawach praktyk naruszających zbiorowe interesy konsumentów.</w:t>
      </w:r>
    </w:p>
    <w:p w14:paraId="3AD992AD" w14:textId="77777777" w:rsidR="00DE6DD7" w:rsidRDefault="00DE6DD7" w:rsidP="004226AA">
      <w:pPr>
        <w:pStyle w:val="Teksttreci0"/>
        <w:shd w:val="clear" w:color="auto" w:fill="auto"/>
        <w:spacing w:after="0" w:line="288" w:lineRule="exact"/>
        <w:ind w:left="20" w:right="40" w:firstLine="0"/>
        <w:jc w:val="both"/>
        <w:rPr>
          <w:color w:val="000000"/>
          <w:sz w:val="24"/>
        </w:rPr>
      </w:pPr>
    </w:p>
    <w:p w14:paraId="47DCC85F" w14:textId="77777777" w:rsidR="006012C3" w:rsidRPr="004226AA" w:rsidRDefault="006012C3" w:rsidP="004226AA">
      <w:pPr>
        <w:pStyle w:val="Teksttreci0"/>
        <w:shd w:val="clear" w:color="auto" w:fill="auto"/>
        <w:spacing w:after="0" w:line="288" w:lineRule="exact"/>
        <w:ind w:left="20" w:right="40" w:firstLine="0"/>
        <w:jc w:val="both"/>
        <w:rPr>
          <w:sz w:val="24"/>
        </w:rPr>
      </w:pPr>
      <w:r w:rsidRPr="004226AA">
        <w:rPr>
          <w:color w:val="000000"/>
          <w:sz w:val="24"/>
        </w:rPr>
        <w:t>W myśl art. 24 ust. 2 uokik, przez praktykę naruszającą zbiorowe interesy konsumentów rozumie się godzące w nie bezprawne działanie przedsiębiorcy, w szczególności:</w:t>
      </w:r>
    </w:p>
    <w:p w14:paraId="7BFFAFF6" w14:textId="77777777" w:rsidR="006012C3" w:rsidRPr="004226AA" w:rsidRDefault="006012C3" w:rsidP="008C71A9">
      <w:pPr>
        <w:pStyle w:val="Teksttreci0"/>
        <w:numPr>
          <w:ilvl w:val="0"/>
          <w:numId w:val="360"/>
        </w:numPr>
        <w:shd w:val="clear" w:color="auto" w:fill="auto"/>
        <w:tabs>
          <w:tab w:val="left" w:pos="366"/>
        </w:tabs>
        <w:spacing w:after="0" w:line="288" w:lineRule="exact"/>
        <w:ind w:left="360" w:right="40" w:hanging="340"/>
        <w:jc w:val="both"/>
        <w:rPr>
          <w:sz w:val="24"/>
        </w:rPr>
      </w:pPr>
      <w:r w:rsidRPr="004226AA">
        <w:rPr>
          <w:color w:val="000000"/>
          <w:sz w:val="24"/>
        </w:rPr>
        <w:t>naruszenie obowiązku udzielania konsumentom rzetelnej, prawdziwej i pełnej informacji;</w:t>
      </w:r>
    </w:p>
    <w:p w14:paraId="1B0E6D33" w14:textId="77777777" w:rsidR="00DE6DD7" w:rsidRDefault="006012C3" w:rsidP="008C71A9">
      <w:pPr>
        <w:pStyle w:val="Teksttreci0"/>
        <w:numPr>
          <w:ilvl w:val="0"/>
          <w:numId w:val="360"/>
        </w:numPr>
        <w:shd w:val="clear" w:color="auto" w:fill="auto"/>
        <w:tabs>
          <w:tab w:val="left" w:pos="373"/>
        </w:tabs>
        <w:spacing w:after="0" w:line="288" w:lineRule="exact"/>
        <w:ind w:firstLine="0"/>
        <w:jc w:val="both"/>
        <w:rPr>
          <w:sz w:val="24"/>
        </w:rPr>
      </w:pPr>
      <w:r w:rsidRPr="004226AA">
        <w:rPr>
          <w:color w:val="000000"/>
          <w:sz w:val="24"/>
        </w:rPr>
        <w:t>nieuczciwe praktyki rynkowe lub czyny nieuczciwej konkurencji;</w:t>
      </w:r>
    </w:p>
    <w:p w14:paraId="138008AF" w14:textId="77777777" w:rsidR="00302131" w:rsidRPr="00DE6DD7" w:rsidRDefault="006012C3" w:rsidP="008C71A9">
      <w:pPr>
        <w:pStyle w:val="Teksttreci0"/>
        <w:numPr>
          <w:ilvl w:val="0"/>
          <w:numId w:val="360"/>
        </w:numPr>
        <w:shd w:val="clear" w:color="auto" w:fill="auto"/>
        <w:tabs>
          <w:tab w:val="left" w:pos="373"/>
        </w:tabs>
        <w:spacing w:after="0" w:line="288" w:lineRule="exact"/>
        <w:ind w:firstLine="0"/>
        <w:jc w:val="both"/>
        <w:rPr>
          <w:sz w:val="24"/>
        </w:rPr>
      </w:pPr>
      <w:r w:rsidRPr="00DE6DD7">
        <w:rPr>
          <w:color w:val="000000"/>
          <w:sz w:val="24"/>
        </w:rPr>
        <w:t>proponowanie konsumentom nabycia usług finansowych, które nie odpowiadają potrzebom tych konsumentów ustalonym z uwzględnieniem dostępnych przedsiębiorcy</w:t>
      </w:r>
      <w:r w:rsidR="00DE6DD7">
        <w:rPr>
          <w:sz w:val="24"/>
        </w:rPr>
        <w:t xml:space="preserve"> </w:t>
      </w:r>
      <w:r w:rsidR="00302131" w:rsidRPr="00DE6DD7">
        <w:rPr>
          <w:color w:val="000000"/>
          <w:sz w:val="24"/>
        </w:rPr>
        <w:t>informacji w zakresie cech tych konsumentów lub proponowanie nabycia tych usług w sposób nieadekwatny do ich charakteru.</w:t>
      </w:r>
    </w:p>
    <w:p w14:paraId="31D9DC2B" w14:textId="77777777" w:rsidR="00DE6DD7" w:rsidRDefault="00DE6DD7" w:rsidP="004226AA">
      <w:pPr>
        <w:pStyle w:val="Teksttreci0"/>
        <w:shd w:val="clear" w:color="auto" w:fill="auto"/>
        <w:spacing w:after="0" w:line="200" w:lineRule="exact"/>
        <w:ind w:left="380"/>
        <w:jc w:val="both"/>
        <w:rPr>
          <w:color w:val="000000"/>
          <w:sz w:val="24"/>
        </w:rPr>
      </w:pPr>
    </w:p>
    <w:p w14:paraId="0DE0391D" w14:textId="77777777" w:rsidR="00302131" w:rsidRPr="00DE6DD7" w:rsidRDefault="00302131" w:rsidP="004226AA">
      <w:pPr>
        <w:pStyle w:val="Teksttreci0"/>
        <w:shd w:val="clear" w:color="auto" w:fill="auto"/>
        <w:spacing w:after="0" w:line="200" w:lineRule="exact"/>
        <w:ind w:left="380"/>
        <w:jc w:val="both"/>
        <w:rPr>
          <w:b/>
          <w:color w:val="00B0F0"/>
          <w:sz w:val="24"/>
        </w:rPr>
      </w:pPr>
      <w:r w:rsidRPr="00DE6DD7">
        <w:rPr>
          <w:b/>
          <w:color w:val="00B0F0"/>
          <w:sz w:val="24"/>
        </w:rPr>
        <w:t>Sprzedaż poza lokalem przedsiębiorstwa (pokazy)</w:t>
      </w:r>
    </w:p>
    <w:p w14:paraId="6DFBB8B1" w14:textId="77777777" w:rsidR="00302131" w:rsidRPr="004226AA" w:rsidRDefault="00302131" w:rsidP="004226AA">
      <w:pPr>
        <w:pStyle w:val="Teksttreci0"/>
        <w:shd w:val="clear" w:color="auto" w:fill="auto"/>
        <w:spacing w:after="0" w:line="295" w:lineRule="exact"/>
        <w:ind w:left="20" w:right="40" w:firstLine="0"/>
        <w:jc w:val="both"/>
        <w:rPr>
          <w:sz w:val="24"/>
        </w:rPr>
      </w:pPr>
      <w:r w:rsidRPr="004226AA">
        <w:rPr>
          <w:color w:val="000000"/>
          <w:sz w:val="24"/>
        </w:rPr>
        <w:t>W ramach swoich ustawowych kompetencji, w związku z praktykami przedsiębiorców prowadzących działalność w zakresie sprzedaży na pokazach, Prezes UOKiK podejmował szereg działań władczych polegających na prowadzeniu postępowań wyjaśniających oraz postępowań w sprawie praktyk naruszających zbiorowe interesy konsumentów, mających na celu wyeliminowanie stwierdzonych nieprawidłowości. Większość ww. postępowań została zakończona wydaniem decyzji stwierdzającej stosowanie praktyk naruszających zbiorowe interesy konsumentów, w tym m. in.:</w:t>
      </w:r>
    </w:p>
    <w:p w14:paraId="6CE9501D" w14:textId="77777777" w:rsidR="00E931A6" w:rsidRDefault="00302131" w:rsidP="008C71A9">
      <w:pPr>
        <w:pStyle w:val="Teksttreci0"/>
        <w:numPr>
          <w:ilvl w:val="0"/>
          <w:numId w:val="361"/>
        </w:numPr>
        <w:shd w:val="clear" w:color="auto" w:fill="auto"/>
        <w:tabs>
          <w:tab w:val="left" w:pos="358"/>
        </w:tabs>
        <w:spacing w:after="0" w:line="295" w:lineRule="exact"/>
        <w:ind w:left="360" w:right="40"/>
        <w:jc w:val="both"/>
        <w:rPr>
          <w:sz w:val="24"/>
        </w:rPr>
      </w:pPr>
      <w:r w:rsidRPr="004226AA">
        <w:rPr>
          <w:color w:val="000000"/>
          <w:sz w:val="24"/>
        </w:rPr>
        <w:t>decyzji nr RPZ 1/2019 wydanej wobec przed</w:t>
      </w:r>
      <w:r w:rsidR="00E931A6">
        <w:rPr>
          <w:color w:val="000000"/>
          <w:sz w:val="24"/>
        </w:rPr>
        <w:t xml:space="preserve">siębiorcy Patryka Liczbańskiego </w:t>
      </w:r>
      <w:r w:rsidRPr="004226AA">
        <w:rPr>
          <w:color w:val="000000"/>
          <w:sz w:val="24"/>
        </w:rPr>
        <w:t>prowadzącego działalność gospodarczą pod firmą DANNTE Patryk Liczbański w Nowym Tomyślu - zarzucana przedsiębiorcy praktyka polegała na wprowadzaniu konsumentów, którzy nabyli filtr wody poza lokalem przedsiębiorstwa w błąd co do tego, że po dokonaniu montażu tego filtra za uprzednią zgodą konsumenta przed upływem terminu na odstąpienie, nie przysługuje im prawo do odstąpienia od zawartej umowy</w:t>
      </w:r>
      <w:r w:rsidR="00DE6DD7">
        <w:rPr>
          <w:color w:val="000000"/>
          <w:sz w:val="24"/>
        </w:rPr>
        <w:t>.</w:t>
      </w:r>
      <w:r w:rsidRPr="004226AA">
        <w:rPr>
          <w:color w:val="000000"/>
          <w:sz w:val="24"/>
        </w:rPr>
        <w:t xml:space="preserve"> Przedsiębiorca mailowo oraz telefonicznie przyjmował zamówienia na urządzenie do filtrowania wody, a wcześniej sprzedawał produkt również na prezentacjach. Przy zakupie rewitalizatora konsument otrzymywał do podpisania umowę o świadczenie usług rozbudowy instalacji wodnej. Przedsiębiorca instalował urządzenie w bardzo krótkim czasie, często nawet tego samego dnia. W umowie znajdowały się postanowienia wyłączające prawo do odstąpienia od niej po wykonaniu usługi;</w:t>
      </w:r>
    </w:p>
    <w:p w14:paraId="4DB36571" w14:textId="77777777" w:rsidR="00E931A6" w:rsidRDefault="00302131" w:rsidP="008C71A9">
      <w:pPr>
        <w:pStyle w:val="Teksttreci0"/>
        <w:numPr>
          <w:ilvl w:val="0"/>
          <w:numId w:val="361"/>
        </w:numPr>
        <w:shd w:val="clear" w:color="auto" w:fill="auto"/>
        <w:tabs>
          <w:tab w:val="left" w:pos="351"/>
        </w:tabs>
        <w:spacing w:after="0" w:line="295" w:lineRule="exact"/>
        <w:ind w:left="360" w:right="40"/>
        <w:jc w:val="both"/>
        <w:rPr>
          <w:sz w:val="24"/>
        </w:rPr>
      </w:pPr>
      <w:r w:rsidRPr="00E931A6">
        <w:rPr>
          <w:color w:val="000000"/>
          <w:sz w:val="24"/>
        </w:rPr>
        <w:t>decyzji nr RPZ 2/2019 wydanej wobec przedsiębiorcy Vitaldream sp. z o.o. w likwidacji z siedzibą w Białych Błotach • zarzucane przedsiębiorcy praktyki polegały m.in. na sugerowaniu konsumentom, że oferowany produkt jest w stanie leczyć ich schorzenia, podczas gdy produkt ten nie ma takich właściwości oraz podawaniu nieprawdziwej informacji, że konsumenci nabywają produkt w ramach promocji w sytuacji, gdy jest on nabywany zgodnie ze standardową ofertą przedsiębiorcy, co mogło sugerować konsumentom istnienie szczególnej korzyści cenowej;</w:t>
      </w:r>
    </w:p>
    <w:p w14:paraId="76477218" w14:textId="77777777" w:rsidR="00E931A6" w:rsidRDefault="00302131" w:rsidP="008C71A9">
      <w:pPr>
        <w:pStyle w:val="Teksttreci0"/>
        <w:numPr>
          <w:ilvl w:val="0"/>
          <w:numId w:val="361"/>
        </w:numPr>
        <w:shd w:val="clear" w:color="auto" w:fill="auto"/>
        <w:tabs>
          <w:tab w:val="left" w:pos="351"/>
        </w:tabs>
        <w:spacing w:after="0" w:line="295" w:lineRule="exact"/>
        <w:ind w:left="360" w:right="40"/>
        <w:jc w:val="both"/>
        <w:rPr>
          <w:sz w:val="24"/>
        </w:rPr>
      </w:pPr>
      <w:r w:rsidRPr="00E931A6">
        <w:rPr>
          <w:color w:val="000000"/>
          <w:sz w:val="24"/>
        </w:rPr>
        <w:lastRenderedPageBreak/>
        <w:t xml:space="preserve">decyzji nr RPZ 3/2019 wydanej wobec przedsiębiorcy R.A.M. Polska sp. </w:t>
      </w:r>
      <w:r w:rsidR="0063765B" w:rsidRPr="00E931A6">
        <w:rPr>
          <w:color w:val="000000"/>
          <w:sz w:val="24"/>
        </w:rPr>
        <w:t xml:space="preserve">z o.o. z siedzibą w Opalenicy - </w:t>
      </w:r>
      <w:r w:rsidRPr="00E931A6">
        <w:rPr>
          <w:color w:val="000000"/>
          <w:sz w:val="24"/>
        </w:rPr>
        <w:t>zarzucane przedsiębiorcy praktyki polegały m. in. na sugerowaniu konsumentom, w trakcie organizowanych pokazów handlowych, że nabywają oni oferowany przez ww. przedsiębiorcę Aplikator Pola Magnetycznego w ramach pakietu promocyjnego i po promocyjnej cenie, w sytuacji gdy sprzedaż następuje w ramach standardowej oferty spółki, a także, że oferowany sprzęt jest w stanie leczyć choroby i zaburzenia w zakresie szerszym od rzeczywistego przeznaczenia tego typu urządzeń w terapii, poprzez kolportowanie wśród nich w trakcie prezentacji ww. urządzenia broszury zatytułowanej „Zastosowanie zmiennych pól magnetycznych niskich częstotliwości w terapii”;</w:t>
      </w:r>
    </w:p>
    <w:p w14:paraId="2DF0FEF4" w14:textId="77777777" w:rsidR="00E931A6" w:rsidRDefault="00302131" w:rsidP="008C71A9">
      <w:pPr>
        <w:pStyle w:val="Teksttreci0"/>
        <w:numPr>
          <w:ilvl w:val="0"/>
          <w:numId w:val="361"/>
        </w:numPr>
        <w:shd w:val="clear" w:color="auto" w:fill="auto"/>
        <w:tabs>
          <w:tab w:val="left" w:pos="351"/>
        </w:tabs>
        <w:spacing w:after="0" w:line="295" w:lineRule="exact"/>
        <w:ind w:left="360" w:right="40"/>
        <w:jc w:val="both"/>
        <w:rPr>
          <w:sz w:val="24"/>
        </w:rPr>
      </w:pPr>
      <w:r w:rsidRPr="00E931A6">
        <w:rPr>
          <w:color w:val="000000"/>
          <w:sz w:val="24"/>
          <w:szCs w:val="24"/>
        </w:rPr>
        <w:t>decyzji nr RPZ 6/2019 wydanej wobec przedsiębiorcy EXITO sp. z o.o. w likwidacji z siedzibą w Opalenicy - Prezes Urzędu uznał za praktykę naruszającą zbiorowe interesy konsumentów, działania przedsiębiorcy związane z wywoływaniem wrażenia, że za sam</w:t>
      </w:r>
      <w:r w:rsidRPr="00E931A6">
        <w:rPr>
          <w:sz w:val="24"/>
          <w:szCs w:val="24"/>
        </w:rPr>
        <w:t xml:space="preserve"> </w:t>
      </w:r>
      <w:r w:rsidRPr="00E931A6">
        <w:rPr>
          <w:color w:val="000000"/>
          <w:sz w:val="24"/>
          <w:szCs w:val="24"/>
        </w:rPr>
        <w:t>udział w prezentacji oferowanych przez EXITO spółkę</w:t>
      </w:r>
      <w:r w:rsidRPr="00E931A6">
        <w:rPr>
          <w:color w:val="000000"/>
          <w:sz w:val="24"/>
        </w:rPr>
        <w:t xml:space="preserve"> towarów konsumenci otrzymają tablet (komputer przenośny), w sytuacji gdy otrzymanie tabletu (komputera przenośnego) jest uzależnione od jego zakupu w zestawie z innymi oferowanymi przez Spółkę towarami, a także działania związane z przekazywaniem przez przedsiębiorcę konsumentom nieprawdziwych informacji, co do daty utworzenia ww. spółki, podjęcia przez nią działalności gospodarczej oraz posiadanego doświadczenia w dystrybucji produktów luksusowych oraz promocji zdrowego stylu życia. Ponadto przedsiębiorcy zarzucono stosowanie nieuczciwej praktyki rynkowej w związku z wywoływaniem wrażenia, że w trakcie organizowanych prezentacji towarów konsumenci otrzymają w wyniku losowania gwarantowane nagrody rzeczowe, w sytuacji gdy otrzymanie rzekomo wylosowanej nagrody uzależnione jest od jej zakupu w zestawie z innymi oferowanymi przez przedsiębiorcę towarami. Za praktykę naruszającą zbiorowe interesy konsumentów uznano również sugerowanie konsumentom, że zakup w trakcie organizowanych prezentacji oferowanych przez przedsiębiorcę towarów możliwy jest w ramach dofinansowania, zestawów promocyjnych, po promocyjnej cenie oraz z uwzględnieniem wylosowanego rabatu, w sytuacji gdy dofinansowanie, o którym konsumenci są informowani nie istnieje, ceny określane przez spółkę jako regularne w praktyce nie są przez przedsiębiorcę stosowane, wylosowane rabaty przy zakupie nie są uwzględniane, a ostateczne ceny zestawów są ustalane przez handlowców w wysokości co do zasady nieodbiegającej od cen standardowo stosowanych przez spółkę, a także udzielanie konsumentom, którzy zawarli z przedsiębiorcą umowę sprzedaży w trakcie zorganizowanych prezentacji nieprawdziwych informacji, że w przypadku zawartych przez nich umów wyłączone jest prawo do odstąpienia od umowy, w sytuacji gdy brak jest podstaw do niestosowania bądź wyłączenia stosowania prawa do odstąpienia od umowy określonego w przepisach </w:t>
      </w:r>
      <w:r w:rsidRPr="00E931A6">
        <w:rPr>
          <w:i/>
          <w:color w:val="000000"/>
          <w:sz w:val="24"/>
        </w:rPr>
        <w:t>ustawy o prawach konsumenta;</w:t>
      </w:r>
    </w:p>
    <w:p w14:paraId="1171906A" w14:textId="77777777" w:rsidR="00E931A6" w:rsidRDefault="00302131" w:rsidP="008C71A9">
      <w:pPr>
        <w:pStyle w:val="Teksttreci0"/>
        <w:numPr>
          <w:ilvl w:val="0"/>
          <w:numId w:val="361"/>
        </w:numPr>
        <w:shd w:val="clear" w:color="auto" w:fill="auto"/>
        <w:tabs>
          <w:tab w:val="left" w:pos="351"/>
        </w:tabs>
        <w:spacing w:after="0" w:line="295" w:lineRule="exact"/>
        <w:ind w:left="360" w:right="40"/>
        <w:jc w:val="both"/>
        <w:rPr>
          <w:sz w:val="24"/>
        </w:rPr>
      </w:pPr>
      <w:r w:rsidRPr="00E931A6">
        <w:rPr>
          <w:color w:val="000000"/>
          <w:sz w:val="24"/>
        </w:rPr>
        <w:t xml:space="preserve">decyzji nr RPZ 7/2019 wydanej wobec Tomasza Bajaczyka i Waldemara Walkowiak - wspólników spółki cywilnej Kangen w Opalenicy, (obecnie Aqua Serwis Tomasz Bajaczyk w Poznaniu i INLP Waldemar Walkowiak w Opalenicy) - Prezes Urzędu uznał za praktykę naruszającą zbiorowe interesy konsumentów działania ww. przedsiębiorców polegające na wprowadzaniu konsumentów, którzy nabyli rewitalizator wody (filtr wody) poza lokalem przedsiębiorstwa w błąd co do tego, że po dokonaniu montażu tego rewitalizatora za uprzednią zgodą konsumenta przed upływem terminu na odstąpienie nie przysługuje im </w:t>
      </w:r>
      <w:r w:rsidRPr="00E931A6">
        <w:rPr>
          <w:color w:val="000000"/>
          <w:sz w:val="24"/>
        </w:rPr>
        <w:lastRenderedPageBreak/>
        <w:t>prawo do odstąpienia od zawartej umowy;</w:t>
      </w:r>
    </w:p>
    <w:p w14:paraId="4CBDE7B5" w14:textId="77777777" w:rsidR="00E931A6" w:rsidRDefault="00302131" w:rsidP="008C71A9">
      <w:pPr>
        <w:pStyle w:val="Teksttreci0"/>
        <w:numPr>
          <w:ilvl w:val="0"/>
          <w:numId w:val="361"/>
        </w:numPr>
        <w:shd w:val="clear" w:color="auto" w:fill="auto"/>
        <w:tabs>
          <w:tab w:val="left" w:pos="351"/>
        </w:tabs>
        <w:spacing w:after="0" w:line="295" w:lineRule="exact"/>
        <w:ind w:left="360" w:right="40"/>
        <w:jc w:val="both"/>
        <w:rPr>
          <w:sz w:val="24"/>
        </w:rPr>
      </w:pPr>
      <w:r w:rsidRPr="00E931A6">
        <w:rPr>
          <w:color w:val="000000"/>
          <w:sz w:val="24"/>
        </w:rPr>
        <w:t>decyzji nr RPZ 14/2019 wydanej wobec przedsiębiorcy Marka Borlika prowadzącego działalność gospodarczą pod nazwą DK EXPERT w Poznaniu - zarzucane praktyki dotyczyły nieujawniania w kierowanych do konsumentów zaproszeniach na prezentacje oferowanych towarów i usług handlowego celu takich prezentacji, przy jednoczesnym sugerowaniu konsumentom, że przedmiotem prezentacji są badania układu kostnego, funkcji pracy nerek, funkcji pracy wątroby oraz układu krążenia prowadzone w „KARDIO-BUSIE” w ramach akcji profilaktycznej prowadzonej pod hasłem „STOP! CHOROBOM UKŁADU KRĄŻENIA I OSTEOPOROZIE”;</w:t>
      </w:r>
    </w:p>
    <w:p w14:paraId="2C6EE33F" w14:textId="77777777" w:rsidR="00E931A6" w:rsidRDefault="00302131" w:rsidP="008C71A9">
      <w:pPr>
        <w:pStyle w:val="Teksttreci0"/>
        <w:numPr>
          <w:ilvl w:val="0"/>
          <w:numId w:val="361"/>
        </w:numPr>
        <w:shd w:val="clear" w:color="auto" w:fill="auto"/>
        <w:tabs>
          <w:tab w:val="left" w:pos="351"/>
        </w:tabs>
        <w:spacing w:after="0" w:line="295" w:lineRule="exact"/>
        <w:ind w:left="360" w:right="40"/>
        <w:jc w:val="both"/>
        <w:rPr>
          <w:sz w:val="24"/>
        </w:rPr>
      </w:pPr>
      <w:r w:rsidRPr="00E931A6">
        <w:rPr>
          <w:color w:val="000000"/>
          <w:sz w:val="24"/>
        </w:rPr>
        <w:t>decyzji nr RPZ 16/2019 wydanej wobec przedsiębiorcy ARSTELE sp. z o.o. sp. k. z siedzibą w Wolsztynie prowadzącego w trakcie organizowanych przez spółkę MEDISPOL na terenie całego kraju prezentacji handlowych sprzedaż aparatu</w:t>
      </w:r>
      <w:r w:rsidR="00704FE9" w:rsidRPr="00E931A6">
        <w:rPr>
          <w:sz w:val="24"/>
        </w:rPr>
        <w:t xml:space="preserve"> </w:t>
      </w:r>
      <w:r w:rsidRPr="00E931A6">
        <w:rPr>
          <w:color w:val="000000"/>
          <w:sz w:val="24"/>
        </w:rPr>
        <w:t xml:space="preserve">medycznego do terapii pulsującym polem magnetycznym niskiej częstotliwości marki Aidano EMT. W toku postępowania ustalono, że przedsiębiorca kontaktował się telefonicznie z konsumentami w celu zaproszenia ich na pokazy spółki MEDISPOL (DAMAGES) nie posiadając uprzednich zgód na tego rodzaju kontaktu, tym samym przedsiębiorca naruszył art. 172 ust. 1 </w:t>
      </w:r>
      <w:r w:rsidRPr="00E931A6">
        <w:rPr>
          <w:i/>
          <w:color w:val="000000"/>
          <w:sz w:val="24"/>
        </w:rPr>
        <w:t>ustawy z dnia 16 lipca 2004 r. prawo telekomunikacyjne</w:t>
      </w:r>
      <w:r w:rsidRPr="00E931A6">
        <w:rPr>
          <w:color w:val="000000"/>
          <w:sz w:val="24"/>
        </w:rPr>
        <w:t xml:space="preserve"> (t.j.: Dz.U. z 2019 r. poz. 2460).</w:t>
      </w:r>
    </w:p>
    <w:p w14:paraId="3510AF38" w14:textId="77777777" w:rsidR="00E931A6" w:rsidRDefault="00302131" w:rsidP="008C71A9">
      <w:pPr>
        <w:pStyle w:val="Teksttreci0"/>
        <w:numPr>
          <w:ilvl w:val="0"/>
          <w:numId w:val="361"/>
        </w:numPr>
        <w:shd w:val="clear" w:color="auto" w:fill="auto"/>
        <w:tabs>
          <w:tab w:val="left" w:pos="351"/>
        </w:tabs>
        <w:spacing w:after="0" w:line="295" w:lineRule="exact"/>
        <w:ind w:left="360" w:right="40"/>
        <w:jc w:val="both"/>
        <w:rPr>
          <w:sz w:val="24"/>
        </w:rPr>
      </w:pPr>
      <w:r w:rsidRPr="00E931A6">
        <w:rPr>
          <w:color w:val="000000"/>
          <w:sz w:val="24"/>
        </w:rPr>
        <w:t>decyzji RPZ 17/2019 wydanej wobec przedsiębiorcy MEDISPOL sp. z o.o. sp. k. z siedzibą w Stęszewie (obecnie Radnar spółka z ograniczoną odpowiedzialnością spółka komandytowa z siedzibą w Poznaniu), Prezes Urzędu uznał za praktykę naruszającą zbiorowe interesy konsumentów działania przedsiębiorcy polegające na przekazywaniu konsumentom w kierowanych do nich zaproszeniach na organizowane ww. spółkę pokazy handlowe nieprawdziwych informacji, że głównym przedmiotem tych spotkań były bezpłatne badania profilaktyczne organizowane przez „Centrum Zdrowia (...)”, „Centrum Diagnostyki (...)” lub „Instytut Medyczny (...)”, podczas gdy rzeczywistym ich celem było zaprezentowanie oferty handlowej przedsiębiorcy, a także przekazywanie konsumentom nieprawdziwych informacji, które wprowadzały ich w błąd co do stanu zdrowia, w tym w zakresie posiadanych schorzeń oraz czynników, które schorzenia te wywołały, w celu wpłynięcia na decyzje konsumentów o zakupie oferowanych przez ww. spółkę produktów, w sytuacji gdy przekazywane informacje o stanie zdrowia osób uczestniczących w pokazie ustalane były przez przedstawicieli handlowych przedsiębiorcy na podstawie badań wykonywanych przez nich przy pomocy urządzenia niebędącego wyrobem medycznym;</w:t>
      </w:r>
    </w:p>
    <w:p w14:paraId="5C1ECE2F" w14:textId="77777777" w:rsidR="00E931A6" w:rsidRDefault="00302131" w:rsidP="008C71A9">
      <w:pPr>
        <w:pStyle w:val="Teksttreci0"/>
        <w:numPr>
          <w:ilvl w:val="0"/>
          <w:numId w:val="361"/>
        </w:numPr>
        <w:shd w:val="clear" w:color="auto" w:fill="auto"/>
        <w:tabs>
          <w:tab w:val="left" w:pos="351"/>
        </w:tabs>
        <w:spacing w:after="0" w:line="295" w:lineRule="exact"/>
        <w:ind w:left="360" w:right="40"/>
        <w:jc w:val="both"/>
        <w:rPr>
          <w:sz w:val="24"/>
        </w:rPr>
      </w:pPr>
      <w:r w:rsidRPr="00E931A6">
        <w:rPr>
          <w:color w:val="000000"/>
          <w:sz w:val="24"/>
        </w:rPr>
        <w:t>decyzji RLO 6/2019 wydanej wobec przedsiębiorcy Pollana Med Sp. z o.o. z siedzibą w Mrowinie prowadzącego sprzedaż na pokazach urządzeń AGD i sprzętu rehabilitacyjnego</w:t>
      </w:r>
      <w:r w:rsidR="00E45F1D" w:rsidRPr="00E931A6">
        <w:rPr>
          <w:sz w:val="24"/>
        </w:rPr>
        <w:t xml:space="preserve"> - </w:t>
      </w:r>
      <w:r w:rsidRPr="00E931A6">
        <w:rPr>
          <w:color w:val="000000"/>
          <w:sz w:val="24"/>
        </w:rPr>
        <w:t xml:space="preserve">zarzucane przedsiębiorcy praktyki polegały na przekazywaniu konsumentom na etapie zawierania oraz wykonywania umów sprzedaży, zawieranych poza lokalem przedsiębiorstwa, nieprawdziwych informacji sugerujących, że nie przysługuje im prawo do odstąpienia od umowy zawartej poza lokalem przedsiębiorstwa, a także niewykonywaniu wynikającego z art. 32 </w:t>
      </w:r>
      <w:r w:rsidRPr="00E931A6">
        <w:rPr>
          <w:i/>
          <w:color w:val="000000"/>
          <w:sz w:val="24"/>
        </w:rPr>
        <w:t>ustawy o prawach konsumenta</w:t>
      </w:r>
      <w:r w:rsidRPr="00E931A6">
        <w:rPr>
          <w:color w:val="000000"/>
          <w:sz w:val="24"/>
        </w:rPr>
        <w:t xml:space="preserve"> obowiązku zwrotu wpłaconej kwoty w przypadku skutecznego odstąpienia przez konsumenta od umowy zawartej poza lokalem przedsiębiorstwa, zgodnie z art. 30 upk, co godzi w zbiorowe interesy konsumentów;</w:t>
      </w:r>
    </w:p>
    <w:p w14:paraId="24D8CEEC" w14:textId="77777777" w:rsidR="00E931A6" w:rsidRDefault="00704FE9" w:rsidP="008C71A9">
      <w:pPr>
        <w:pStyle w:val="Teksttreci0"/>
        <w:numPr>
          <w:ilvl w:val="0"/>
          <w:numId w:val="361"/>
        </w:numPr>
        <w:shd w:val="clear" w:color="auto" w:fill="auto"/>
        <w:tabs>
          <w:tab w:val="left" w:pos="351"/>
        </w:tabs>
        <w:spacing w:after="0" w:line="295" w:lineRule="exact"/>
        <w:ind w:left="360" w:right="40"/>
        <w:jc w:val="both"/>
        <w:rPr>
          <w:sz w:val="24"/>
        </w:rPr>
      </w:pPr>
      <w:r w:rsidRPr="00E931A6">
        <w:rPr>
          <w:color w:val="000000"/>
          <w:sz w:val="24"/>
        </w:rPr>
        <w:t xml:space="preserve">decyzji nr RPZ 9/2019 wydanej wobec przedsiębiorcy Arkadiusza Nowaka prowadzącego działalność gospodarczą pod nazwą ARSTELE w Wolsztynie - zarzucane przedsiębiorcy działania dotyczyły wykonywania połączeń telefonicznych do konsumentów dla celów </w:t>
      </w:r>
      <w:r w:rsidRPr="00E931A6">
        <w:rPr>
          <w:color w:val="000000"/>
          <w:sz w:val="24"/>
        </w:rPr>
        <w:lastRenderedPageBreak/>
        <w:t>marketingu bezpośredniego pomimo niedysponowania uprzednią zgodą tych konsumentów na ww. działania, co jest sprzeczne z art. 172 ust. 1 prawa telekomunikacyjnego;</w:t>
      </w:r>
    </w:p>
    <w:p w14:paraId="2C86F227" w14:textId="77777777" w:rsidR="00E931A6" w:rsidRDefault="00704FE9" w:rsidP="008C71A9">
      <w:pPr>
        <w:pStyle w:val="Teksttreci0"/>
        <w:numPr>
          <w:ilvl w:val="0"/>
          <w:numId w:val="361"/>
        </w:numPr>
        <w:shd w:val="clear" w:color="auto" w:fill="auto"/>
        <w:tabs>
          <w:tab w:val="left" w:pos="351"/>
        </w:tabs>
        <w:spacing w:after="0" w:line="295" w:lineRule="exact"/>
        <w:ind w:left="360" w:right="40"/>
        <w:jc w:val="both"/>
        <w:rPr>
          <w:sz w:val="24"/>
        </w:rPr>
      </w:pPr>
      <w:r w:rsidRPr="00E931A6">
        <w:rPr>
          <w:color w:val="000000"/>
          <w:sz w:val="24"/>
        </w:rPr>
        <w:t>decyzji nr RPZ 4/2019 wydanej wobec przedsiębiorcy VGET POLSKA sp. z o.o. sp. k. z siedzibą w Poznaniu - Prezes Urzędu uznał za praktykę naruszającą zbiorowe interesy konsumentów nieujawnianie w kierowanych do konsumentów telefonicznych, SMS-owych oraz pisemnych zaproszeniach na prezentacje oferowanych przez ww. przedsiębiorcę towarów handlowego celu takich prezentacji, przy jednoczesnym sugerowaniu konsumentom, że przedmiotem prezentacji są badania o charakterze medycznym wykonywane w ramach „Akademii Zdrowia” oraz akcji bezpłatnych badań profilaktycznych prowadzonych pod nazwą „Zdrowa Polska”, przekazywanie konsumentom wprowadzających w błąd informacji co do ich stanu zdrowia, w tym w zakresie posiadanych schorzeń oraz czynników, które schorzenia te wywołały, w celu wpłynięcia na decyzje konsumentów o zakupie oferowanych przez przedsiębiorcę urządzeń, w sytuacji gdy przekazywane informacje o stanie zdrowia osób uczestniczących w pokazie ustalane są przez nieposiadających wykształcenia medycznego przedstawicieli handlowych spółki na podstawie badań wykonywanych przez nich przy pomocy urządzenia nie będącego wyrobem medycznym, przekazywanie konsumentom przez przedsiębiorcę w trakcie organizowanych prezentacji nieprawdziwych informacji co do ceny oferowanych urządzeń oraz sugerowaniu konsumentom, że zakup w trakcie organizowanych prezentacji oferowanych przez ww. przedsiębiorcę urządzeń możliwy jest w ramach pakietów promocyjnych i po promocyjnej cenie, w sytuacji gdy sprzedaż następuje w ramach standardowej oferty spółki, sugerowanie przez przedsiębiorcę konsumentom, że oferowane przez nią urządzenia VitronMed oraz VitronMagnetic są w stanie usuwać z organizmu czynniki chorobotwórcze;</w:t>
      </w:r>
    </w:p>
    <w:p w14:paraId="50048168" w14:textId="77777777" w:rsidR="00704FE9" w:rsidRPr="006C2F76" w:rsidRDefault="00704FE9" w:rsidP="008C71A9">
      <w:pPr>
        <w:pStyle w:val="Teksttreci0"/>
        <w:numPr>
          <w:ilvl w:val="0"/>
          <w:numId w:val="361"/>
        </w:numPr>
        <w:shd w:val="clear" w:color="auto" w:fill="auto"/>
        <w:tabs>
          <w:tab w:val="left" w:pos="351"/>
        </w:tabs>
        <w:spacing w:after="0" w:line="295" w:lineRule="exact"/>
        <w:ind w:left="360" w:right="40"/>
        <w:jc w:val="both"/>
        <w:rPr>
          <w:sz w:val="24"/>
        </w:rPr>
      </w:pPr>
      <w:r w:rsidRPr="00E931A6">
        <w:rPr>
          <w:color w:val="000000"/>
          <w:sz w:val="24"/>
        </w:rPr>
        <w:t>decyzji nr RWR 5/2019 wydanej wobec przedsiębiorcy CMSF Spółka z o.o. z siedzibą w Warszawie (poprzednio pod nazwą CMSF Sp. z o.o.) - Prezes UOKiK uznał za praktyki naruszające zbiorowe interesy konsumentów m. in. działania przedsiębiorcy polegające na wykonywaniu połączeń telefonicznych do konsumentów dla celów marketingu bezpośredniego pomimo nie dysponowania ich uprzednią zgodą na ww. działania (naruszenie art. 172 ust. 1 prawa telekomunikacyjnego), a także działania polegające na wprowadzaniu konsumentów w błąd, poprzez nieinformowanie - w telefonicznych zaproszeniach na spotkania organizowane przez ww. spółkę -</w:t>
      </w:r>
      <w:r w:rsidRPr="00E931A6">
        <w:rPr>
          <w:sz w:val="24"/>
        </w:rPr>
        <w:t xml:space="preserve">  </w:t>
      </w:r>
      <w:r w:rsidRPr="00E931A6">
        <w:rPr>
          <w:color w:val="000000"/>
          <w:sz w:val="24"/>
        </w:rPr>
        <w:t>o</w:t>
      </w:r>
      <w:r w:rsidR="00E931A6">
        <w:rPr>
          <w:color w:val="000000"/>
          <w:sz w:val="24"/>
        </w:rPr>
        <w:t xml:space="preserve"> </w:t>
      </w:r>
      <w:r w:rsidRPr="00E931A6">
        <w:rPr>
          <w:color w:val="000000"/>
          <w:sz w:val="24"/>
        </w:rPr>
        <w:t xml:space="preserve">handlowym celu spotkań, tj. możliwości zawarcia na nich umowy sprzedaży pakietu medycznego oferowanego przez przedsiębiorcę. Zarzucane przedsiębiorcy praktyki dotyczyły ponadto wprowadzania konsumentów w błąd, poprzez informowanie * przed przedstawieniem im oferty sprzedaży pakietu medycznego - o ich złym stanie zdrowia w oparciu o wyniki uzyskane metodą badań o nazwie pulsoksymetria HRS, na podstawie których nie można jednoznacznie dokonać oceny stanu zdrowia konsumenta, a także stosowania wobec konsumentów przy zawieraniu umowy sprzedaży pakietu medycznego oferowanego przez ww. przedsiębiorcę, agresywnej praktyki rynkowej w postaci wywierania niedopuszczalnego nacisku, polegającego na: ponaglaniu do zawarcia umowy sugestiami, że promocja pakietów obowiązuje tylko w danym dniu i wyłącznie dla nich, uniemożliwianiu zapoznania się z treścią umowy przed jej podpisaniem, składaniu konsumentom propozycji dowiezienia do domu lub banku w celu szybkiego pozyskania środków pieniężnych na zakup oferowanych </w:t>
      </w:r>
      <w:r w:rsidRPr="00E931A6">
        <w:rPr>
          <w:color w:val="000000"/>
          <w:sz w:val="24"/>
        </w:rPr>
        <w:lastRenderedPageBreak/>
        <w:t>pakietów medycznych.</w:t>
      </w:r>
    </w:p>
    <w:p w14:paraId="57E5584F" w14:textId="74E47C20" w:rsidR="00F753C1" w:rsidRDefault="00F753C1" w:rsidP="004226AA">
      <w:pPr>
        <w:pStyle w:val="Teksttreci0"/>
        <w:shd w:val="clear" w:color="auto" w:fill="auto"/>
        <w:tabs>
          <w:tab w:val="left" w:pos="351"/>
        </w:tabs>
        <w:spacing w:after="0" w:line="288" w:lineRule="exact"/>
        <w:ind w:right="40" w:firstLine="0"/>
        <w:jc w:val="both"/>
        <w:rPr>
          <w:sz w:val="24"/>
        </w:rPr>
      </w:pPr>
    </w:p>
    <w:p w14:paraId="7C7AC910" w14:textId="77777777" w:rsidR="00EA01AF" w:rsidRPr="004226AA" w:rsidRDefault="00EA01AF" w:rsidP="004226AA">
      <w:pPr>
        <w:pStyle w:val="Teksttreci0"/>
        <w:shd w:val="clear" w:color="auto" w:fill="auto"/>
        <w:tabs>
          <w:tab w:val="left" w:pos="351"/>
        </w:tabs>
        <w:spacing w:after="0" w:line="288" w:lineRule="exact"/>
        <w:ind w:right="40" w:firstLine="0"/>
        <w:jc w:val="both"/>
        <w:rPr>
          <w:sz w:val="24"/>
        </w:rPr>
      </w:pPr>
    </w:p>
    <w:p w14:paraId="1479AD43" w14:textId="77777777" w:rsidR="00F753C1" w:rsidRDefault="00F753C1" w:rsidP="004226AA">
      <w:pPr>
        <w:pStyle w:val="Teksttreci0"/>
        <w:shd w:val="clear" w:color="auto" w:fill="auto"/>
        <w:spacing w:after="0" w:line="288" w:lineRule="exact"/>
        <w:ind w:left="20" w:right="40" w:firstLine="0"/>
        <w:jc w:val="both"/>
        <w:rPr>
          <w:rStyle w:val="Teksttreci"/>
          <w:sz w:val="24"/>
        </w:rPr>
      </w:pPr>
      <w:r w:rsidRPr="004226AA">
        <w:rPr>
          <w:color w:val="000000"/>
          <w:sz w:val="24"/>
        </w:rPr>
        <w:t>Ponadto</w:t>
      </w:r>
      <w:r w:rsidR="006C2F76">
        <w:rPr>
          <w:color w:val="000000"/>
          <w:sz w:val="24"/>
        </w:rPr>
        <w:t>,</w:t>
      </w:r>
      <w:r w:rsidRPr="004226AA">
        <w:rPr>
          <w:color w:val="000000"/>
          <w:sz w:val="24"/>
        </w:rPr>
        <w:t xml:space="preserve"> Prezes Urzędu prowadził wobec przedsiębiorców organizujących sprzedaż na pokazał postępowania w sprawie stosowania praktyk naruszających zbiorowe interesy konsumentów, które nie zostały zakończone do dnia 31 grudnia 2019 r., w tym m. in. postępowanie wobec Quantumlive sp. z o.o. z siedzibą w Buku. Przedsiębiorca ten prowadzi sprzedaż urządzeń AGD i sprzętu rehabilitacyjnego. Zarzuty Prezesa Urzędu dotyczą wprowadzania konsumentów w błąd podczas składanych telefonicznie zaproszeń na </w:t>
      </w:r>
      <w:r w:rsidRPr="004226AA">
        <w:rPr>
          <w:rStyle w:val="Teksttreci"/>
          <w:sz w:val="24"/>
        </w:rPr>
        <w:t>spotkania organizowane przez ww. spółkę, poprzez informowanie o przeprowadzanych podczas spotkania badaniach diagnostycznych dla mieszkańców „danej miejscowości" metodą elektro-termalną na urządzeniu am scan lub badaniach metodą R. Volla</w:t>
      </w:r>
      <w:r w:rsidR="006C2F76">
        <w:rPr>
          <w:rStyle w:val="Teksttreci"/>
          <w:sz w:val="24"/>
        </w:rPr>
        <w:t>,</w:t>
      </w:r>
      <w:r w:rsidRPr="004226AA">
        <w:rPr>
          <w:rStyle w:val="Teksttreci"/>
          <w:sz w:val="24"/>
        </w:rPr>
        <w:t xml:space="preserve"> w ramach których konsumenci otrzymają informacje na temat stanu zdrowia, i które uwzględniają profilaktykę przeciw nowotworową, a także przyczyny wielu schorzeń jak np. Alzhaimer, astma, cukrzyca, ciśnienie tętnicze, podczas gdy przedsiębiorca do tychże badań wykorzystuje urządzenia, które nie są zarejestrowane jako wyroby medyczne i obsługujące je osoby nie mają uprawnień do przeprowadzania badań w tym badań diagnostycznych, natomiast spółka nie jest w ogóle podmiotem leczniczym.</w:t>
      </w:r>
    </w:p>
    <w:p w14:paraId="1AF89FA9" w14:textId="77777777" w:rsidR="006C2F76" w:rsidRPr="004226AA" w:rsidRDefault="006C2F76" w:rsidP="004226AA">
      <w:pPr>
        <w:pStyle w:val="Teksttreci0"/>
        <w:shd w:val="clear" w:color="auto" w:fill="auto"/>
        <w:spacing w:after="0" w:line="288" w:lineRule="exact"/>
        <w:ind w:left="20" w:right="40" w:firstLine="0"/>
        <w:jc w:val="both"/>
        <w:rPr>
          <w:sz w:val="24"/>
        </w:rPr>
      </w:pPr>
    </w:p>
    <w:p w14:paraId="4F11D256" w14:textId="77777777" w:rsidR="00F753C1" w:rsidRDefault="00F753C1" w:rsidP="004226AA">
      <w:pPr>
        <w:pStyle w:val="Teksttreci0"/>
        <w:shd w:val="clear" w:color="auto" w:fill="auto"/>
        <w:spacing w:after="0" w:line="295" w:lineRule="exact"/>
        <w:ind w:left="20" w:right="40" w:firstLine="0"/>
        <w:jc w:val="both"/>
        <w:rPr>
          <w:color w:val="000000"/>
          <w:sz w:val="24"/>
        </w:rPr>
      </w:pPr>
      <w:r w:rsidRPr="004226AA">
        <w:rPr>
          <w:color w:val="000000"/>
          <w:sz w:val="24"/>
        </w:rPr>
        <w:t>Ponadto</w:t>
      </w:r>
      <w:r w:rsidR="006C2F76">
        <w:rPr>
          <w:color w:val="000000"/>
          <w:sz w:val="24"/>
        </w:rPr>
        <w:t>,</w:t>
      </w:r>
      <w:r w:rsidRPr="004226AA">
        <w:rPr>
          <w:color w:val="000000"/>
          <w:sz w:val="24"/>
        </w:rPr>
        <w:t xml:space="preserve"> Prezes Urzędu w 2019 r. wobec przedsiębiorców organizujących sprzedaż na pokazach prowadził postępowania wyjaśniające. Wskazać m. in. należy na postępowania wyjaśniające prowadzone w związku z działaniami Geriamedica Sp. z o.o. z siedzibą w Warszawie, Palatinus Sp. z o.o. z siedzibą w Gdyni i Welmax sp. z o.o</w:t>
      </w:r>
      <w:r w:rsidR="006C2F76">
        <w:rPr>
          <w:color w:val="000000"/>
          <w:sz w:val="24"/>
        </w:rPr>
        <w:t xml:space="preserve">. sp.k. z siedzibą w Poznaniu </w:t>
      </w:r>
      <w:r w:rsidRPr="004226AA">
        <w:rPr>
          <w:color w:val="000000"/>
          <w:sz w:val="24"/>
        </w:rPr>
        <w:t>organizatorów spotkań w celu zawarcia umowy o świadczenie usług medycznych lub oferujących sprzedaż urządzeń AGD.</w:t>
      </w:r>
    </w:p>
    <w:p w14:paraId="79BF1311" w14:textId="77777777" w:rsidR="006C2F76" w:rsidRPr="004226AA" w:rsidRDefault="006C2F76" w:rsidP="004226AA">
      <w:pPr>
        <w:pStyle w:val="Teksttreci0"/>
        <w:shd w:val="clear" w:color="auto" w:fill="auto"/>
        <w:spacing w:after="0" w:line="295" w:lineRule="exact"/>
        <w:ind w:left="20" w:right="40" w:firstLine="0"/>
        <w:jc w:val="both"/>
        <w:rPr>
          <w:sz w:val="24"/>
        </w:rPr>
      </w:pPr>
    </w:p>
    <w:p w14:paraId="324B6D9C" w14:textId="77777777" w:rsidR="00F753C1" w:rsidRPr="004226AA" w:rsidRDefault="00F753C1" w:rsidP="004226AA">
      <w:pPr>
        <w:pStyle w:val="Teksttreci0"/>
        <w:shd w:val="clear" w:color="auto" w:fill="auto"/>
        <w:spacing w:after="0" w:line="295" w:lineRule="exact"/>
        <w:ind w:left="20" w:right="40" w:firstLine="0"/>
        <w:jc w:val="both"/>
        <w:rPr>
          <w:sz w:val="24"/>
        </w:rPr>
      </w:pPr>
      <w:r w:rsidRPr="004226AA">
        <w:rPr>
          <w:color w:val="000000"/>
          <w:sz w:val="24"/>
        </w:rPr>
        <w:t>Prezes Urzędu skierował również wystąpienia z zakresu ochrony konsumentów, tj. na podstawie art. 49a uokik, m. in. w związku z zaproszeniem do uczestnictwa w pokazie zorganizowanym w jednym z lubelskich hoteli - przez przedsiębiorcę prowadzącego działalność gospodarczą jako RELAXTIME Jacek Skrzypczak z siedzibą w Pniewach. Zastrzeżenia Prezesa Urzędu dotyczyły możliwości wprowadzania w błąd konsumentów, podczas telefonicznych zaproszeń po „odbiór upominków” oraz na „Premierową Prezentację najnowszych urządzeń masujących”, o tym, że zostali „laureatami” i w związku z tym otrzymują upominek, w sytuacji, gdy z treści przesyłanego następnie konsumentom pisemnego zaproszenia wynikało, że otrzymanie upominku jest uzależnione od pozostania na zapowiadanej telefonicznie prezentacji.</w:t>
      </w:r>
    </w:p>
    <w:p w14:paraId="12B8CC05" w14:textId="77777777" w:rsidR="006C2F76" w:rsidRDefault="006C2F76" w:rsidP="004226AA">
      <w:pPr>
        <w:pStyle w:val="Teksttreci0"/>
        <w:shd w:val="clear" w:color="auto" w:fill="auto"/>
        <w:spacing w:after="0" w:line="295" w:lineRule="exact"/>
        <w:ind w:left="20" w:right="40" w:firstLine="0"/>
        <w:jc w:val="both"/>
        <w:rPr>
          <w:color w:val="000000"/>
          <w:sz w:val="24"/>
        </w:rPr>
      </w:pPr>
    </w:p>
    <w:p w14:paraId="5677A731" w14:textId="77777777" w:rsidR="00F753C1" w:rsidRDefault="00F753C1" w:rsidP="004226AA">
      <w:pPr>
        <w:pStyle w:val="Teksttreci0"/>
        <w:shd w:val="clear" w:color="auto" w:fill="auto"/>
        <w:spacing w:after="0" w:line="295" w:lineRule="exact"/>
        <w:ind w:left="20" w:right="40" w:firstLine="0"/>
        <w:jc w:val="both"/>
        <w:rPr>
          <w:color w:val="000000"/>
          <w:sz w:val="24"/>
        </w:rPr>
      </w:pPr>
      <w:r w:rsidRPr="004226AA">
        <w:rPr>
          <w:color w:val="000000"/>
          <w:sz w:val="24"/>
        </w:rPr>
        <w:t>Dodatkowo</w:t>
      </w:r>
      <w:r w:rsidR="006C2F76">
        <w:rPr>
          <w:color w:val="000000"/>
          <w:sz w:val="24"/>
        </w:rPr>
        <w:t>,</w:t>
      </w:r>
      <w:r w:rsidRPr="004226AA">
        <w:rPr>
          <w:color w:val="000000"/>
          <w:sz w:val="24"/>
        </w:rPr>
        <w:t xml:space="preserve"> Prezes UOKiK kontynuuje monitoring rynku w zakresie organizowania przez przedsiębiorców pokazów celem zaprezentowania, a następnie sprzedaży konsumentom towarów i usług (w ramach wspomnianej powyżej akcji edukacyjnej "Poznaj swojego kontrahenta"). W związku z powyższym do przedsiębiorców na terenie kraju wynajmujących sale firmom zajmującym się sprzedażą na pokazach skierowano wystąpienia w trybie art. 49a uokik, w których zwrócono uwagę na możliwe pośrednie uczestniczenie właściciela/ dzierżawcy lokalu w nieetycznym procederze organizowania wydarzeń o charakterze handlowym (tzw. pokazów), które są bezpośrednio zorientowane na zawieranie umów </w:t>
      </w:r>
      <w:r w:rsidRPr="004226AA">
        <w:rPr>
          <w:color w:val="000000"/>
          <w:sz w:val="24"/>
        </w:rPr>
        <w:lastRenderedPageBreak/>
        <w:t>sprzedaży poza lokalem przedsiębiorstwa. W wielu przypadkach przedsiębiorcy deklarowali zachowanie szczególnej ostrożność w zakresie najmu sal. Wezwania te kierowane były również do wiadomości właściwych rzeczników konsumentów.</w:t>
      </w:r>
    </w:p>
    <w:p w14:paraId="4755F8AA" w14:textId="77777777" w:rsidR="006C2F76" w:rsidRPr="004226AA" w:rsidRDefault="006C2F76" w:rsidP="004226AA">
      <w:pPr>
        <w:pStyle w:val="Teksttreci0"/>
        <w:shd w:val="clear" w:color="auto" w:fill="auto"/>
        <w:spacing w:after="0" w:line="295" w:lineRule="exact"/>
        <w:ind w:left="20" w:right="40" w:firstLine="0"/>
        <w:jc w:val="both"/>
        <w:rPr>
          <w:sz w:val="24"/>
        </w:rPr>
      </w:pPr>
    </w:p>
    <w:p w14:paraId="483160E2" w14:textId="77777777" w:rsidR="00F753C1" w:rsidRDefault="00F753C1" w:rsidP="004226AA">
      <w:pPr>
        <w:pStyle w:val="Teksttreci0"/>
        <w:shd w:val="clear" w:color="auto" w:fill="auto"/>
        <w:spacing w:after="0" w:line="288" w:lineRule="exact"/>
        <w:ind w:left="20" w:right="40" w:firstLine="0"/>
        <w:jc w:val="both"/>
        <w:rPr>
          <w:color w:val="000000"/>
          <w:sz w:val="24"/>
        </w:rPr>
      </w:pPr>
      <w:r w:rsidRPr="004226AA">
        <w:rPr>
          <w:color w:val="000000"/>
          <w:sz w:val="24"/>
        </w:rPr>
        <w:t>Podkreślenia również wymaga, że Prezes Urzędu w dniu 4 września 2019 r. wystosował wystąpienie w zakresie ochrony konsumentów (na podstawie art. 49a uokik) do TF Bank AB Sp. z o.o. Oddział w Polsce z siedzibą w Gdańsku - instytucji udzielającej kredytów ratalnych na finansowanie sprzętów zakupionych na pokazach organizowanych poza lokalem przedsiębiorstwa (w ramach tzw. sprzedaży bezpośredniej). W ramach wezwania poruszono kwestie poprawnego informowania klientów o momencie, w którym zadłużenie staje się wymagalne, uzupełnienia Formularza informacyjnego poprzez wskazanie w nim odpowiedniego postanowienia umowy dot. wyboru prawa właściwego oraz wskazania</w:t>
      </w:r>
      <w:r w:rsidRPr="004226AA">
        <w:rPr>
          <w:sz w:val="24"/>
        </w:rPr>
        <w:t xml:space="preserve"> </w:t>
      </w:r>
      <w:r w:rsidRPr="004226AA">
        <w:rPr>
          <w:color w:val="000000"/>
          <w:sz w:val="24"/>
        </w:rPr>
        <w:t>właściwych wartości opłat windykacyjnych. Ponadto zwrócono się do Banku z prośbą o wsparcie UOKiK w walce z nieuczciwymi praktykami rynkowymi, jakich dopuszczają się nieuczciwi przedsiębiorcy wobec konsumentów - seniorów, w szczególności proszono o zachowanie szczególnej ostrożności, udzielając kredytów na sprzęt zakupiony podczas pokazów.</w:t>
      </w:r>
    </w:p>
    <w:p w14:paraId="295E90C0" w14:textId="77777777" w:rsidR="006C2F76" w:rsidRPr="004226AA" w:rsidRDefault="006C2F76" w:rsidP="004226AA">
      <w:pPr>
        <w:pStyle w:val="Teksttreci0"/>
        <w:shd w:val="clear" w:color="auto" w:fill="auto"/>
        <w:spacing w:after="0" w:line="288" w:lineRule="exact"/>
        <w:ind w:left="20" w:right="40" w:firstLine="0"/>
        <w:jc w:val="both"/>
        <w:rPr>
          <w:sz w:val="24"/>
        </w:rPr>
      </w:pPr>
    </w:p>
    <w:p w14:paraId="2BE3D6A4" w14:textId="77777777" w:rsidR="00F753C1" w:rsidRPr="006C2F76" w:rsidRDefault="00F753C1" w:rsidP="004226AA">
      <w:pPr>
        <w:pStyle w:val="Teksttreci110"/>
        <w:shd w:val="clear" w:color="auto" w:fill="auto"/>
        <w:spacing w:before="0" w:after="0" w:line="200" w:lineRule="exact"/>
        <w:ind w:left="340"/>
        <w:rPr>
          <w:rFonts w:ascii="Times New Roman" w:hAnsi="Times New Roman" w:cs="Times New Roman"/>
          <w:b/>
          <w:color w:val="00B0F0"/>
          <w:sz w:val="24"/>
        </w:rPr>
      </w:pPr>
      <w:r w:rsidRPr="006C2F76">
        <w:rPr>
          <w:rStyle w:val="Teksttreci11Bezkursywy"/>
          <w:rFonts w:ascii="Times New Roman" w:hAnsi="Times New Roman" w:cs="Times New Roman"/>
          <w:b/>
          <w:iCs/>
          <w:color w:val="00B0F0"/>
          <w:sz w:val="24"/>
        </w:rPr>
        <w:t xml:space="preserve">Sprzedaż </w:t>
      </w:r>
      <w:r w:rsidRPr="006C2F76">
        <w:rPr>
          <w:rFonts w:ascii="Times New Roman" w:hAnsi="Times New Roman" w:cs="Times New Roman"/>
          <w:b/>
          <w:i w:val="0"/>
          <w:color w:val="00B0F0"/>
          <w:sz w:val="24"/>
        </w:rPr>
        <w:t>door-to-door</w:t>
      </w:r>
    </w:p>
    <w:p w14:paraId="5EAE1097" w14:textId="77777777" w:rsidR="00F753C1" w:rsidRPr="004226AA" w:rsidRDefault="00F753C1" w:rsidP="004226AA">
      <w:pPr>
        <w:pStyle w:val="Teksttreci0"/>
        <w:shd w:val="clear" w:color="auto" w:fill="auto"/>
        <w:spacing w:after="0" w:line="295" w:lineRule="exact"/>
        <w:ind w:right="40" w:firstLine="0"/>
        <w:jc w:val="both"/>
        <w:rPr>
          <w:sz w:val="24"/>
        </w:rPr>
      </w:pPr>
      <w:r w:rsidRPr="004226AA">
        <w:rPr>
          <w:color w:val="000000"/>
          <w:sz w:val="24"/>
        </w:rPr>
        <w:t xml:space="preserve">Mimo iż działania władcze Prezesa UOKiK podejmowane wobec przedsiębiorców prowadzących sprzedaż poza lokalem przedsiębiorstwa w tzw. modelu </w:t>
      </w:r>
      <w:r w:rsidRPr="004226AA">
        <w:rPr>
          <w:rStyle w:val="TeksttreciKursywa"/>
          <w:rFonts w:eastAsia="Arial"/>
          <w:sz w:val="24"/>
        </w:rPr>
        <w:t>door-to-door</w:t>
      </w:r>
      <w:r w:rsidRPr="004226AA">
        <w:rPr>
          <w:color w:val="000000"/>
          <w:sz w:val="24"/>
        </w:rPr>
        <w:t xml:space="preserve"> co do zasady koncentrują się na ochronie wszystkich nieprofesjonalnych uczestników obrotu gospodarczego, mogą mieć one jednak istotny wpływ na ochronę interesów osób starszych z uwagi na okoliczność, iż znaczną część pokrzywdzonych konsumentów stanowią seniorzy. Wskazać należy na następujące decyzje Pre</w:t>
      </w:r>
      <w:r w:rsidR="006C2F76">
        <w:rPr>
          <w:color w:val="000000"/>
          <w:sz w:val="24"/>
        </w:rPr>
        <w:t xml:space="preserve">zes Urzędu wydane w 2019 r. </w:t>
      </w:r>
      <w:r w:rsidRPr="004226AA">
        <w:rPr>
          <w:color w:val="000000"/>
          <w:sz w:val="24"/>
        </w:rPr>
        <w:t>w powyższym zakresie:</w:t>
      </w:r>
    </w:p>
    <w:p w14:paraId="56BF67D7" w14:textId="77777777" w:rsidR="006C2F76" w:rsidRPr="006C2F76" w:rsidRDefault="00F753C1" w:rsidP="008C71A9">
      <w:pPr>
        <w:pStyle w:val="Teksttreci0"/>
        <w:numPr>
          <w:ilvl w:val="0"/>
          <w:numId w:val="362"/>
        </w:numPr>
        <w:shd w:val="clear" w:color="auto" w:fill="auto"/>
        <w:tabs>
          <w:tab w:val="left" w:pos="331"/>
          <w:tab w:val="left" w:pos="462"/>
        </w:tabs>
        <w:spacing w:after="0" w:line="295" w:lineRule="exact"/>
        <w:ind w:left="340" w:right="40" w:hanging="340"/>
        <w:jc w:val="both"/>
        <w:rPr>
          <w:sz w:val="24"/>
        </w:rPr>
      </w:pPr>
      <w:r w:rsidRPr="004226AA">
        <w:rPr>
          <w:color w:val="000000"/>
          <w:sz w:val="24"/>
        </w:rPr>
        <w:t xml:space="preserve">decyzję nr RKR-2/2019 wydaną wobec przedsiębiorcy Nowa Telefonia Sp. z o.o. z siedzibą w Warszawie - spółka jest tzw. alternatywnym </w:t>
      </w:r>
      <w:r w:rsidR="006C2F76">
        <w:rPr>
          <w:color w:val="000000"/>
          <w:sz w:val="24"/>
        </w:rPr>
        <w:t xml:space="preserve">operatorem telekomunikacyjnym - </w:t>
      </w:r>
      <w:r w:rsidRPr="004226AA">
        <w:rPr>
          <w:color w:val="000000"/>
          <w:sz w:val="24"/>
        </w:rPr>
        <w:t>zarzut postawiony przedsiębiorcy dotyczył możliwości wprowadzania konsumentów w błąd przez osoby reprezentujące ww. spółkę co do tożsamości przedsiębiorcy, którego ofertę przedstawiają konsumentom oraz co do przedmiotu oferowanej usługi lub rzeczywistego celu rozmowy (wizyty) poprzez wskazywanie lub sugerowanie przez ww. osoby, że dokumenty przedkładane konsumentom do podpisu stanowią zmianę warunków umów zawartych z dotychczasowym usługodawcą, podczas gdy w rzeczywistości ich podpisanie skutkuje zawarciem nowej umowy o świadczenie usług telekomunikacyjnych</w:t>
      </w:r>
      <w:r w:rsidRPr="004226AA">
        <w:rPr>
          <w:sz w:val="24"/>
        </w:rPr>
        <w:t xml:space="preserve"> i </w:t>
      </w:r>
      <w:r w:rsidRPr="004226AA">
        <w:rPr>
          <w:color w:val="000000"/>
          <w:sz w:val="24"/>
        </w:rPr>
        <w:t>wiąże się ze zmianą dostawcy usług telekomunikacyjnych, podczas gdy w rzeczywistości ich podpisanie skutkuje zawarciem nowej umowy o świadczenie usług telekomunikacyjnych z ww. spółką i wiąże się ze zmianą dos</w:t>
      </w:r>
      <w:r w:rsidR="006C2F76">
        <w:rPr>
          <w:color w:val="000000"/>
          <w:sz w:val="24"/>
        </w:rPr>
        <w:t>tawcy usług telekomunikacyjnych.</w:t>
      </w:r>
    </w:p>
    <w:p w14:paraId="07FF8E08" w14:textId="77777777" w:rsidR="00182DBF" w:rsidRDefault="00F753C1" w:rsidP="008C71A9">
      <w:pPr>
        <w:pStyle w:val="Teksttreci0"/>
        <w:numPr>
          <w:ilvl w:val="0"/>
          <w:numId w:val="362"/>
        </w:numPr>
        <w:shd w:val="clear" w:color="auto" w:fill="auto"/>
        <w:tabs>
          <w:tab w:val="left" w:pos="331"/>
          <w:tab w:val="left" w:pos="462"/>
        </w:tabs>
        <w:spacing w:after="0" w:line="295" w:lineRule="exact"/>
        <w:ind w:left="340" w:right="40" w:hanging="340"/>
        <w:jc w:val="both"/>
        <w:rPr>
          <w:sz w:val="24"/>
        </w:rPr>
      </w:pPr>
      <w:r w:rsidRPr="006C2F76">
        <w:rPr>
          <w:color w:val="000000"/>
          <w:sz w:val="24"/>
        </w:rPr>
        <w:t>decyzję nr RKT 8/2019 wydaną wobec przedsiębiorcy E2 energia Sp. z o.o. (wcześniej Energie 2 Sp. z o.o.) z siedzibą w Warszawie zarzut postawiony ww. przedsiębiorcy dotyczył stosowania praktyk naruszających zbiorowe interesy konsumentów polegających na działaniach wprowadzających w błąd, w związku z przekazywaniem konsumentom nieprawdzi</w:t>
      </w:r>
      <w:r w:rsidR="00182DBF">
        <w:rPr>
          <w:color w:val="000000"/>
          <w:sz w:val="24"/>
        </w:rPr>
        <w:t xml:space="preserve">wych informacji dotyczących: </w:t>
      </w:r>
    </w:p>
    <w:p w14:paraId="71F88419" w14:textId="77777777" w:rsidR="001C46EE" w:rsidRPr="001C46EE" w:rsidRDefault="00F753C1" w:rsidP="008C71A9">
      <w:pPr>
        <w:pStyle w:val="Teksttreci0"/>
        <w:numPr>
          <w:ilvl w:val="0"/>
          <w:numId w:val="363"/>
        </w:numPr>
        <w:shd w:val="clear" w:color="auto" w:fill="auto"/>
        <w:tabs>
          <w:tab w:val="left" w:pos="331"/>
          <w:tab w:val="left" w:pos="462"/>
        </w:tabs>
        <w:spacing w:after="0" w:line="295" w:lineRule="exact"/>
        <w:ind w:left="700" w:right="40"/>
        <w:jc w:val="both"/>
        <w:rPr>
          <w:sz w:val="24"/>
        </w:rPr>
      </w:pPr>
      <w:r w:rsidRPr="00182DBF">
        <w:rPr>
          <w:color w:val="000000"/>
          <w:sz w:val="24"/>
        </w:rPr>
        <w:t>tożsamości przedsiębiorcy, w imieniu i na rzecz którego d</w:t>
      </w:r>
      <w:r w:rsidR="00182DBF" w:rsidRPr="00182DBF">
        <w:rPr>
          <w:color w:val="000000"/>
          <w:sz w:val="24"/>
        </w:rPr>
        <w:t xml:space="preserve">ziałają osoby składające wizyty </w:t>
      </w:r>
      <w:r w:rsidRPr="00182DBF">
        <w:rPr>
          <w:color w:val="000000"/>
          <w:sz w:val="24"/>
        </w:rPr>
        <w:t xml:space="preserve">konsumentom w miejscu ich zamieszkania, poprzez niezgodne z prawdą </w:t>
      </w:r>
      <w:r w:rsidRPr="00182DBF">
        <w:rPr>
          <w:color w:val="000000"/>
          <w:sz w:val="24"/>
        </w:rPr>
        <w:lastRenderedPageBreak/>
        <w:t xml:space="preserve">twierdzenie tych osób, że reprezentują dotychczasowego sprzedawcę energii elektrycznej, z którego usług konsument korzysta; </w:t>
      </w:r>
    </w:p>
    <w:p w14:paraId="65F09FF3" w14:textId="77777777" w:rsidR="00F753C1" w:rsidRPr="00182DBF" w:rsidRDefault="00F753C1" w:rsidP="008C71A9">
      <w:pPr>
        <w:pStyle w:val="Teksttreci0"/>
        <w:numPr>
          <w:ilvl w:val="0"/>
          <w:numId w:val="363"/>
        </w:numPr>
        <w:shd w:val="clear" w:color="auto" w:fill="auto"/>
        <w:tabs>
          <w:tab w:val="left" w:pos="331"/>
          <w:tab w:val="left" w:pos="462"/>
        </w:tabs>
        <w:spacing w:after="0" w:line="295" w:lineRule="exact"/>
        <w:ind w:left="700" w:right="40"/>
        <w:jc w:val="both"/>
        <w:rPr>
          <w:sz w:val="24"/>
        </w:rPr>
      </w:pPr>
      <w:r w:rsidRPr="00182DBF">
        <w:rPr>
          <w:color w:val="000000"/>
          <w:sz w:val="24"/>
        </w:rPr>
        <w:t>celu wizyt składanych konsumentom przez osoby reprezentujące ww. spółę, poprzez niezgodne z prawdą twierdzenia tych osób, że wizyta dotyczy konieczności aneksowania umów z dotychczasowym sprzedawcą energii, ich przedłużenia, podpisania nowych umów z dotychczasowym sprzedawcą energii, dokonania odczytu licznika energii elektrycznej, zmiany sposobu lub częstotliwości rozliczeń należności za energię elektryczną, a podpisywane przez konsumenta dokumenty dotyczą potwierdzenia czynności stanowiących zadeklarowany cel wizyty u konsumenta, podczas gdy w rzeczywistości, wizyta u konsumenta ma prowadzić do zawarcia umowy sprzedaży energii elektrycznej z Energie 2 Sp. z o.o. i zmiany sprzedawcy energii; istnienia szczególnej korzyści cenowej, mającej polegać na tym, że po podpisaniu przedłożonych im dokumentów, będą oni ponosić niższe opłaty za energię elektryczną, podczas gdy w rzeczywistości po zmianie sprzedawcy energii elektrycznej opłaty za zakupioną energię elektryczną przy porównywalnym jej poborze wzrastają lub utrzymują się na tym samym poziomie; zaniechaniu przekazywania konsumentom, w związku ze składaną im propozycją zawarcia umowy sprzedaży energii elektrycznej, informacji o tym, że w wypadku podpisania takiej umowy konsumenci będą zobowiązani do opłacania dwóch faktur: za sprzedaż energii elektrycznej i za jej dystrybucję; niewydawaniu konsumentom dokumentu umowy sprzedaży energii elektrycznej zawartej poza lokalem przedsiębiorstwa z ww. spółką oraz załączników do tej umowy lub potwierdzenia jej zawarcia, utrwalonego na papierze lub, za zgodą konsumenta, na innym trwałym nośniku, a także nieprzekazywaniu konsumentom informacji o prawie odstąpienia od umowy sprzedaży energii elektrycznej zawartej poza lokalem przedsiębiorstwa z ww. spółką oraz niewydawaniu konsumentom wzoru formularza odstąpienia od zawartej w tym trybie umowy;</w:t>
      </w:r>
    </w:p>
    <w:p w14:paraId="5B352AA2" w14:textId="77777777" w:rsidR="001C46EE" w:rsidRPr="001C46EE" w:rsidRDefault="00F753C1" w:rsidP="008C71A9">
      <w:pPr>
        <w:pStyle w:val="Teksttreci0"/>
        <w:numPr>
          <w:ilvl w:val="0"/>
          <w:numId w:val="364"/>
        </w:numPr>
        <w:shd w:val="clear" w:color="auto" w:fill="auto"/>
        <w:spacing w:after="0" w:line="288" w:lineRule="exact"/>
        <w:ind w:left="360" w:right="40"/>
        <w:jc w:val="both"/>
        <w:rPr>
          <w:sz w:val="24"/>
        </w:rPr>
      </w:pPr>
      <w:r w:rsidRPr="004226AA">
        <w:rPr>
          <w:color w:val="000000"/>
          <w:sz w:val="24"/>
        </w:rPr>
        <w:t>decyzję RGD 7/2019, w której Prezes Urzędu uznał za praktyki naruszające zbiorowe interesy konsumentów działania przedsiębiorcy Proton Polska Energia Sp. z o.o. z siedzibą w Warszawie (wcześniej: Gasoenergia Polskie Zakłady Energetyczne Sp. z o.o. z siedzibą w Warszawie) polegające na wprowadzającym w błąd informowaniu konsumentów przez osoby reprezentujące i działające na rzecz i w imieniu ww. spółki kontaktujące się z nimi telefonicznie lub składające im wizyty w miejscu ich zamieszkania w celu złożenia propozycji zawarcia umowy kompleksowej sprzedaży energii elektrycznej i/lub umowy kompleksowej dosta</w:t>
      </w:r>
      <w:r w:rsidR="001C46EE">
        <w:rPr>
          <w:color w:val="000000"/>
          <w:sz w:val="24"/>
        </w:rPr>
        <w:t>rczania paliwa gazowego, co do:</w:t>
      </w:r>
    </w:p>
    <w:p w14:paraId="21B15E46" w14:textId="77777777" w:rsidR="001C46EE" w:rsidRPr="001C46EE" w:rsidRDefault="00F753C1" w:rsidP="008C71A9">
      <w:pPr>
        <w:pStyle w:val="Teksttreci0"/>
        <w:numPr>
          <w:ilvl w:val="0"/>
          <w:numId w:val="365"/>
        </w:numPr>
        <w:shd w:val="clear" w:color="auto" w:fill="auto"/>
        <w:spacing w:after="0" w:line="288" w:lineRule="exact"/>
        <w:ind w:left="643" w:right="40"/>
        <w:jc w:val="both"/>
        <w:rPr>
          <w:sz w:val="24"/>
        </w:rPr>
      </w:pPr>
      <w:r w:rsidRPr="004226AA">
        <w:rPr>
          <w:color w:val="000000"/>
          <w:sz w:val="24"/>
        </w:rPr>
        <w:t xml:space="preserve">tożsamości przedsiębiorcy i okoliczności złożenia propozycji zawarcia ww. umów, poprzez niezgodne z prawdą twierdzenie tych osób, że reprezentują dotychczasowego sprzedawcę energii elektrycznej i/łub dotychczasowego sprzedawcę gazu, z którego usług konsument korzysta, lub wymóg podpisania przez konsumentów dokumentów wynika m.in. z konieczności zawarcia nowych umów, aktualizacji umów obowiązujących, zmiany sposobu rozliczeń za zużytą energię elektryczną i /lub gaz, potwierdzenia wykonania prac lub odczytu licznika - podczas, gdy w rzeczywistości, czynności te miały doprowadzić do zawarcia przez konsumenta umowy kompleksowej sprzedaży energii elektrycznej i/lub umowy kompleksowej dostarczania paliwa gazowego z ww. przedsiębiorcą i zmiany sprzedawcy energii i/lub gazu; </w:t>
      </w:r>
    </w:p>
    <w:p w14:paraId="2C7A599B" w14:textId="77777777" w:rsidR="00F753C1" w:rsidRPr="001C46EE" w:rsidRDefault="00F753C1" w:rsidP="008C71A9">
      <w:pPr>
        <w:pStyle w:val="Teksttreci0"/>
        <w:numPr>
          <w:ilvl w:val="0"/>
          <w:numId w:val="365"/>
        </w:numPr>
        <w:shd w:val="clear" w:color="auto" w:fill="auto"/>
        <w:spacing w:after="0" w:line="288" w:lineRule="exact"/>
        <w:ind w:left="643" w:right="40"/>
        <w:jc w:val="both"/>
        <w:rPr>
          <w:sz w:val="24"/>
        </w:rPr>
      </w:pPr>
      <w:r w:rsidRPr="004226AA">
        <w:rPr>
          <w:color w:val="000000"/>
          <w:sz w:val="24"/>
        </w:rPr>
        <w:t xml:space="preserve">istnienia szczególnej korzyści cenowej, polegającej na uzyskaniu niższych opłat za </w:t>
      </w:r>
      <w:r w:rsidRPr="004226AA">
        <w:rPr>
          <w:color w:val="000000"/>
          <w:sz w:val="24"/>
        </w:rPr>
        <w:lastRenderedPageBreak/>
        <w:t>energię elektryczną i/lub gaz w związku z zawarciem proponowanej umowy, podczas gdy w rzeczywistości po zawarciu umowy z ww. spółką opłaty te wzrastały; zatajaniu przez osoby reprezentujące i działające na rzecz i w imieniu przedsiębiorcy faktu, że pośród przedkładanych konsumentom przez te osoby do podpisu dokumentów dotyczących zawarcia umowy kompleksowej sprzedaży energii elektrycznej, znajduje się również umowa kompleksowa dostarczania paliwa gazowego, przez co konsument nie otrzymywał rzetelnej, prawdziwej i pełnej informacji, że zawiera ze spółką również umowę skutkującą zmianą sprzedawcy paliwa gazowego lub umowy kompleksowej dostarczania paliwa gazowego, znajduje się również umowa kompleksowa sprzedaży energii elektrycznej, przez co konsument nie otrzymywał rzetelnej, prawdziwej i pełnej informacji, że zawiera ze</w:t>
      </w:r>
      <w:r w:rsidRPr="004226AA">
        <w:rPr>
          <w:sz w:val="24"/>
        </w:rPr>
        <w:t xml:space="preserve"> </w:t>
      </w:r>
      <w:r w:rsidRPr="004226AA">
        <w:rPr>
          <w:color w:val="000000"/>
          <w:sz w:val="24"/>
        </w:rPr>
        <w:t xml:space="preserve">spółką również umowę skutkującą zmianą sprzedawcy energii elektrycznej; stosowaniu przez: a) osoby reprezentujące i działające na rzecz i w imieniu ww. przedsiębiorcy wobec konsumentów przy zawieraniu umowy kompleksowej sprzedaży energii elektrycznej i /lub umowy kompleksowej dostarczania paliwa gazowego niedopuszczalnego nacisku polegającego na wywoływaniu u konsumentów przekonania, że podpisanie umowy jest czynnością konieczną oraz ponaglaniu konsumentów w podpisywaniu ww. umów i stwarzaniu warunków uniemożliwiających im zapoznanie się z treścią przedkładanych im dokumentów, co mogło ograniczać zdolność konsumenta do podjęcia świadomej decyzji dotyczącej zawieranej umowy; b) przez spółkę wobec konsumentów niedopuszczalnego nacisku polegającego na zamieszczaniu w kierowanych do nich pismach treści wywołujących wrażenie, że nieuniknioną konsekwencją </w:t>
      </w:r>
      <w:r w:rsidR="001C46EE" w:rsidRPr="004226AA">
        <w:rPr>
          <w:color w:val="000000"/>
          <w:sz w:val="24"/>
        </w:rPr>
        <w:t>nieuzupełnienia</w:t>
      </w:r>
      <w:r w:rsidRPr="004226AA">
        <w:rPr>
          <w:color w:val="000000"/>
          <w:sz w:val="24"/>
        </w:rPr>
        <w:t xml:space="preserve"> przez konsumenta dokumentów i informacji w żądanym przez spółkę zakresie, niepozyskanych przez osoby reprezentujące i działające na rzecz i w imieniu spółki w trakcie składania konsumento</w:t>
      </w:r>
      <w:r w:rsidR="001C46EE">
        <w:rPr>
          <w:color w:val="000000"/>
          <w:sz w:val="24"/>
        </w:rPr>
        <w:t>m - w miejscu ich zamieszkania</w:t>
      </w:r>
      <w:r w:rsidRPr="004226AA">
        <w:rPr>
          <w:color w:val="000000"/>
          <w:sz w:val="24"/>
        </w:rPr>
        <w:t xml:space="preserve"> propozycji zawarcia umowy kompleksowej sprzedaży energii elektrycznej i/lub umowy kompleksowej dostarczania paliwa gazowego, będzie poniesienie odpowiedzialności prawnej, w tym obciążenie go karami umownymi przewidzianymi w umowie; niewydawaniu konsumentom egzemplarza zawartej z ww. spółką poza lokalem przedsiębiorstwa umowy kompleksowej sprzedaży energii elektrycznej i/lub umowy kompleksowej dostarczania paliwa gazowego oraz załączników do tych umów lub potwierdzenia ich zawarcia, utrwalonego na papierze lub, jeżeli konsument wyrazi na to zgodę, na innym trwałym nośniku, a także na nieprzekazywaniu konsumentom informacji o prawie odstąpienia od umowy kompleksowej sprzedaży energii elektrycznej i/lub umowy kompleksowej dostarczania paliwa gazowego zawartej z przedsiębiorcą poza lokalem przedsiębiorstwa oraz niewydawaniu konsumentom wzoru oświadczenia lub formularza o odstąpieniu od zawartej w tym trybie umowy.</w:t>
      </w:r>
    </w:p>
    <w:p w14:paraId="6CCC4F4C" w14:textId="77777777" w:rsidR="001C46EE" w:rsidRPr="004226AA" w:rsidRDefault="001C46EE" w:rsidP="001C46EE">
      <w:pPr>
        <w:pStyle w:val="Teksttreci0"/>
        <w:shd w:val="clear" w:color="auto" w:fill="auto"/>
        <w:spacing w:after="0" w:line="288" w:lineRule="exact"/>
        <w:ind w:left="643" w:right="40" w:firstLine="0"/>
        <w:jc w:val="both"/>
        <w:rPr>
          <w:sz w:val="24"/>
        </w:rPr>
      </w:pPr>
    </w:p>
    <w:p w14:paraId="750AF517" w14:textId="77777777" w:rsidR="00F753C1" w:rsidRPr="004226AA" w:rsidRDefault="00F753C1" w:rsidP="004226AA">
      <w:pPr>
        <w:pStyle w:val="Teksttreci0"/>
        <w:shd w:val="clear" w:color="auto" w:fill="auto"/>
        <w:tabs>
          <w:tab w:val="left" w:pos="462"/>
        </w:tabs>
        <w:spacing w:after="0" w:line="288" w:lineRule="exact"/>
        <w:ind w:left="20" w:right="40" w:firstLine="0"/>
        <w:jc w:val="both"/>
        <w:rPr>
          <w:color w:val="000000"/>
          <w:sz w:val="24"/>
        </w:rPr>
      </w:pPr>
      <w:r w:rsidRPr="004226AA">
        <w:rPr>
          <w:color w:val="000000"/>
          <w:sz w:val="24"/>
        </w:rPr>
        <w:t xml:space="preserve">Ponadto wskazać należy, że w związku z docierającymi do UOKiK sygnałami, Prezes UOKiK w dniu 27 lutego 2019 r. wszczął postępowanie wyjaśniające w sprawie wstępnego ustalenia, czy Hermes Energy Group S.A. z siedzibą w Warszawie (dalej: „Hermes”) dopuściła się naruszenia przepisów uzasadniającego wszczęcie postępowania w sprawie praktyk naruszających zbiorowe interesy konsumentów lub naruszenia chronionych prawem interesów konsumentów uzasadniającego podjęcie działań określonych w odrębnych ustawach, w związku ze składaniem konsumentom propozycji zawarcia umów sprzedaży energii elektrycznej oraz zawieraniem tych umów poza lokalem przedsiębiorstwa. Konsumenci </w:t>
      </w:r>
      <w:r w:rsidRPr="004226AA">
        <w:rPr>
          <w:color w:val="000000"/>
          <w:sz w:val="24"/>
        </w:rPr>
        <w:lastRenderedPageBreak/>
        <w:t>wskazywali na zbliżony schemat działania osób działających w imieniu i na rzecz ww. przedsiębiorcy, a z ich pism wynikało, że w procesie zawierania umów sprzedaży energii elektrycznej ze spółką mogło dochodzić do nieprawidłowości związanych z wprowadzeniem konsumentów w błąd przez osoby reprezentujące spółkę, co do tożsamości przedsiębiorcy, w imieniu i na rzecz którego działały oraz co do rzeczywistego celu wizyty tych osób, niewydaniem konsumentom kompletu dokumentów zawartej z Hermes umowy sprzedaży energii elektrycznej, a także zatajaniem informacji, że oprócz umowy na sprzedaż energii elektrycznej konsument podpisuje również umowę na sprzedaż paliwa gazowego lub na dodatkową usługę ubezpieczeniową. Konsumentom następnie nie wydawano dokumentów przedmiotowych umów.</w:t>
      </w:r>
    </w:p>
    <w:p w14:paraId="40697582" w14:textId="77777777" w:rsidR="00F753C1" w:rsidRPr="004226AA" w:rsidRDefault="00F753C1" w:rsidP="004226AA">
      <w:pPr>
        <w:pStyle w:val="Teksttreci0"/>
        <w:shd w:val="clear" w:color="auto" w:fill="auto"/>
        <w:tabs>
          <w:tab w:val="left" w:pos="462"/>
        </w:tabs>
        <w:spacing w:after="0" w:line="288" w:lineRule="exact"/>
        <w:ind w:left="20" w:right="40" w:firstLine="0"/>
        <w:jc w:val="both"/>
        <w:rPr>
          <w:sz w:val="24"/>
        </w:rPr>
      </w:pPr>
    </w:p>
    <w:p w14:paraId="28CDC356" w14:textId="77777777" w:rsidR="00F753C1" w:rsidRPr="004226AA" w:rsidRDefault="00F753C1" w:rsidP="004226AA">
      <w:pPr>
        <w:pStyle w:val="Teksttreci0"/>
        <w:shd w:val="clear" w:color="auto" w:fill="auto"/>
        <w:tabs>
          <w:tab w:val="left" w:pos="462"/>
        </w:tabs>
        <w:spacing w:after="0" w:line="288" w:lineRule="exact"/>
        <w:ind w:left="20" w:right="40" w:firstLine="0"/>
        <w:jc w:val="both"/>
        <w:rPr>
          <w:sz w:val="24"/>
        </w:rPr>
      </w:pPr>
      <w:r w:rsidRPr="004226AA">
        <w:rPr>
          <w:color w:val="000000"/>
          <w:sz w:val="24"/>
        </w:rPr>
        <w:t>Z kolei w dniu 8 kwietnia 2019 r. Prezes Urzędu wszczął postępowanie wyjaśniające w związku z działaniami Orange Energia Sp. z o.o. z siedzibą w Warszawie (dalej: „Orange Energia”) przy okazji składania konsumentom propozycji zawarcia umów kompleksowych sprzedaży i dystrybucji energii elektrycznej lub sprzedaży energii elektrycznej oraz zawieraniem tych umów poza lokalem przedsiębiorstwa, a także w związku z przeprowadzaniem rozliczeń za energię elektryczną (nieprawidłowości związanych m. in. z wprowadzeniem konsumentów w błąd przez osoby reprezentujące Spółkę, co do tożsamości przedsiębiorcy, w imieniu i na rzecz którego działały oraz co do rzeczywistego celu wizyty tych osób, niepozostawianiem konsumentom kompletu dokumentów zawartej ze Spółką umowy kompleksowej sprzedaży i dystrybucji energii elektrycznej lub umowy sprzedaży energii elektrycznej, nieprzekazywaniem informacji o prawie odstąpienia od umowy, wywieraniem presji przez przedstawicieli Spółki i nakłanianiem do podpisania umowy kompleksowej sprzedaży i dystrybucji energii elektrycznej lub umowy sprzedaży energii elektrycznej z ww. spółką, w sytuacji, w której konsumenci wyraźnie informowali, że nie mieli woli zmiany dotychczasowego sprzedawcy energii elektrycznej na Orange Energia.</w:t>
      </w:r>
    </w:p>
    <w:p w14:paraId="78CB7C2D" w14:textId="77777777" w:rsidR="001C46EE" w:rsidRDefault="001C46EE" w:rsidP="004226AA">
      <w:pPr>
        <w:pStyle w:val="Teksttreci0"/>
        <w:shd w:val="clear" w:color="auto" w:fill="auto"/>
        <w:spacing w:after="0" w:line="295" w:lineRule="exact"/>
        <w:ind w:left="40" w:right="40" w:firstLine="0"/>
        <w:jc w:val="both"/>
        <w:rPr>
          <w:color w:val="000000"/>
          <w:sz w:val="24"/>
        </w:rPr>
      </w:pPr>
    </w:p>
    <w:p w14:paraId="3167C48F" w14:textId="77777777" w:rsidR="00F753C1" w:rsidRPr="004226AA" w:rsidRDefault="00F753C1" w:rsidP="004226AA">
      <w:pPr>
        <w:pStyle w:val="Teksttreci0"/>
        <w:shd w:val="clear" w:color="auto" w:fill="auto"/>
        <w:spacing w:after="0" w:line="295" w:lineRule="exact"/>
        <w:ind w:left="40" w:right="40" w:firstLine="0"/>
        <w:jc w:val="both"/>
        <w:rPr>
          <w:sz w:val="24"/>
        </w:rPr>
      </w:pPr>
      <w:r w:rsidRPr="004226AA">
        <w:rPr>
          <w:color w:val="000000"/>
          <w:sz w:val="24"/>
        </w:rPr>
        <w:t xml:space="preserve">Z uwagi na znaczną ilość sygnałów od konsumentów dotyczącą nieprawidłowości występujących w procesie zawierania umów sprzedaży energii elektrycznej i paliwa gazowego z przedsiębiorcą Fortum Marketing &amp; Sales Spółka Akcyjna z siedzibą w Gdańsku Prezes Urzędu (dalej: „Fortum") wszczął w dniu 6 czerwca 2019 r. postępowanie wyjaśniające. Analiza materiału zgromadzonego w toku ww. postępowania dała podstawę do wszczęcia wobec ww. przedsiębiorcy w dniu 6 lutego 2020 r. postępowania w sprawie stosowania praktyk naruszających zbiorowe interesy konsumentów polegających na: wprowadzającym w błąd informowaniu konsumentów, w związku ze składaniem im propozycji zawarcia umowy sprzedaży energii elektrycznej lub umowy kompleksowej dla energii elektrycznej lub umowy sprzedaży paliwa gazowego lub umowy kompleksowej sprzedaży paliwa gazowego, o tożsamości spółki, na rzecz i w imieniu której osoby reprezentujące Fortum składają wizyty konsumentom w miejscu ich zamieszkania celem złożenia propozycji zawarcia z Fortum ww. umów oraz o okolicznościach złożenia tej propozycji; nieinformowaniu konsumentów, w związku ze składaniem im propozycji zawarcia umowy kompleksowej dla energii elektrycznej lub umowy kompleksowej sprzedaży paliwa gazowego z Fortum o tym, że skorzystanie z przewidzianego dla umowy kompleksowej dla energii elektrycznej lub umowy kompleksowej sprzedaży paliwa gazowego rabatu cenowego za zużywaną czynną energię elektryczną lub zużywane paliwo gazowe (kWh) uzależnione jest od podjęcia przez konsumenta dodatkowych </w:t>
      </w:r>
      <w:r w:rsidRPr="004226AA">
        <w:rPr>
          <w:color w:val="000000"/>
          <w:sz w:val="24"/>
        </w:rPr>
        <w:lastRenderedPageBreak/>
        <w:t>działań tj. możliwe jest jedynie w przypadku złożenia przez konsumenta w ściśle określonym terminie stosownego wniosku do Fortum, a także o tym, że prawo rozliczenia zużywanej energii elektrycznej po cenie obliczonej z uwzględnieniem powyższego rabatu przysługuje wyłącznie w ramach określonego w umowie maksymalnego limitu zużycia energii elektrycznej; wprowadzającym w błąd informowaniu konsumentów, w związku ze składaniem im propozycji zawarcia umowy sprzedaży energii elektrycznej lub umowy kompleksowej dla energii elektrycznej lub umowy sprzedaży paliwa gazowego lub umowy kompleksowej sprzedaży paliwa gazowego, o istnieniu szczególnej korzyści cenowej, polegającej na uzyskaniu niższych rachunków za energię elektryczną lub paliwo gazowe w związku z zawarciem umowy z Fortum, podczas gdy w rzeczywistości po zawarciu umowy z ww. spółką rachunki konsumentów za energię elektryczną lub paliwo gazowe wzrastały; niewydawaniu konsumentom dokumentów</w:t>
      </w:r>
      <w:r w:rsidRPr="004226AA">
        <w:rPr>
          <w:sz w:val="24"/>
        </w:rPr>
        <w:t xml:space="preserve"> </w:t>
      </w:r>
      <w:r w:rsidRPr="004226AA">
        <w:rPr>
          <w:color w:val="000000"/>
          <w:sz w:val="24"/>
        </w:rPr>
        <w:t>zawartych z Fortum umów sprzedaży energii elektrycznej lub umów kompleksowych dla energii elektrycznej lub umów sprzedaży paliwa gazowego lub umów kompleksowych sprzedaży paliwa gazowego i załączników do przedmiotowych umów (Ogólnych Warunków Umowy, Cenników i Regulaminów) lub potwierdzeń zawarcia tych umów; nieinformowaniu konsumentów o sposobie i terminie wykonania prawa odstąpienia od umowy na podstawie art. 27 ustawy o prawach konsumenta, a także niewydawaniu wzoru formularza o odstąpieniu od umowy; kontynuowaniu procesu zmiany sprzedawcy energii elektrycznej lub paliwa gazowego oraz kierowaniu do konsumentów rachunków za sprzedaż energii lub paliwa gazowego i wezwań do zapłaty, pomimo skutecznego odstąpienia przez konsumenta od umowy sprzedaży energii elektrycznej lub paliwa gazowego zawartej z Fortum.</w:t>
      </w:r>
    </w:p>
    <w:p w14:paraId="74EC5F50" w14:textId="77777777" w:rsidR="001C46EE" w:rsidRDefault="001C46EE" w:rsidP="004226AA">
      <w:pPr>
        <w:pStyle w:val="Teksttreci0"/>
        <w:shd w:val="clear" w:color="auto" w:fill="auto"/>
        <w:spacing w:after="0" w:line="295" w:lineRule="exact"/>
        <w:ind w:left="40" w:right="40" w:firstLine="0"/>
        <w:jc w:val="both"/>
        <w:rPr>
          <w:color w:val="000000"/>
          <w:sz w:val="24"/>
        </w:rPr>
      </w:pPr>
    </w:p>
    <w:p w14:paraId="2B117733" w14:textId="77777777" w:rsidR="00F753C1" w:rsidRPr="004226AA" w:rsidRDefault="00F753C1" w:rsidP="004226AA">
      <w:pPr>
        <w:pStyle w:val="Teksttreci0"/>
        <w:shd w:val="clear" w:color="auto" w:fill="auto"/>
        <w:spacing w:after="0" w:line="295" w:lineRule="exact"/>
        <w:ind w:left="40" w:right="40" w:firstLine="0"/>
        <w:jc w:val="both"/>
        <w:rPr>
          <w:sz w:val="24"/>
        </w:rPr>
      </w:pPr>
      <w:r w:rsidRPr="004226AA">
        <w:rPr>
          <w:color w:val="000000"/>
          <w:sz w:val="24"/>
        </w:rPr>
        <w:t>Ponadto</w:t>
      </w:r>
      <w:r w:rsidR="001C46EE">
        <w:rPr>
          <w:color w:val="000000"/>
          <w:sz w:val="24"/>
        </w:rPr>
        <w:t>,</w:t>
      </w:r>
      <w:r w:rsidRPr="004226AA">
        <w:rPr>
          <w:color w:val="000000"/>
          <w:sz w:val="24"/>
        </w:rPr>
        <w:t xml:space="preserve"> Prezes Urzędu w 2019 r. prowadził postępowanie w sprawie stosowania praktyk naruszających zbiorowe interesy konsumentów wobec przedsiębiorcy NEW Telekom sp. z o.o. z siedzibą w Warszawie tzw. alternatywnego operatora telekomunikacyjnego. Zarzuty wobec ww. przedsiębiorcy są oparte m.in. na utrudnianiu konsumentom skorzystania z prawa do odstąpienia od umowy zawartej ze spółką, wprowadzaniu konsumentów w błąd przez osoby reprezentujące spółkę co do tożsamości przedsiębiorcy, którego ofertę przedstawiają konsumentom oraz co do przedmiotu oferowanej usługi lub rzeczywistego celu rozmowy (wizyty) przez twierdzenia ww. osób, że dokumenty przedkładane konsumentom do podpisu stanowią zmianę warunków umów zawartych z dotychczasowym usługodawcą, podczas gdy w rzeczywistości ich podpisanie skutkuje zawarciem nowej umowy o świadczenie usług telekomunikacyjnych ze spółką i wiąże się ze zmianą dostawcy usług telekomunikacyjnych.</w:t>
      </w:r>
    </w:p>
    <w:p w14:paraId="79BE293B" w14:textId="643D7A30" w:rsidR="001C46EE" w:rsidRPr="00EA01AF" w:rsidRDefault="00F753C1" w:rsidP="00EA01AF">
      <w:pPr>
        <w:pStyle w:val="Teksttreci0"/>
        <w:shd w:val="clear" w:color="auto" w:fill="auto"/>
        <w:spacing w:after="0" w:line="295" w:lineRule="exact"/>
        <w:ind w:left="40" w:right="40" w:firstLine="0"/>
        <w:jc w:val="both"/>
        <w:rPr>
          <w:color w:val="000000"/>
          <w:sz w:val="24"/>
        </w:rPr>
      </w:pPr>
      <w:r w:rsidRPr="004226AA">
        <w:rPr>
          <w:color w:val="000000"/>
          <w:sz w:val="24"/>
        </w:rPr>
        <w:t xml:space="preserve">Prezes UOKiK prowadzi także postępowanie w sprawie stosowania praktyk naruszających zbiorowe interesy konsumentów wobec przedsiębiorcy Telestrada S.A. z siedzibą w Warszawie - podmiotu zawierającego umowy na usługi telekomunikacyjne. Wobec wskazanego przedsiębiorcy sformułowano następujące zarzuty: wprowadzające w błąd informowanie konsumentów, przez osoby działające w imieniu i na rzecz spółki, w związku ze składaniem propozycji zawarcia umowy o świadczenie usług telekomunikacyjnych, o przedmiocie oferowanej usługi i rzeczywistym celu rozmowy lub wizyty, poprzez sugerowanie, że składana oferta i dokumenty przedkładane konsumentom dotyczą zmiany warunków umowy zawartej z dotychczasowym usługodawcą, podczas gdy w rzeczywistości dotyczą zawarcia nowej umowy o świadczenie usług telekomunikacyjnych z przedsiębiorcą, a tym samym zmiany usługodawcy oraz niewydawanie konsumentom dokumentów umów o </w:t>
      </w:r>
      <w:r w:rsidRPr="004226AA">
        <w:rPr>
          <w:color w:val="000000"/>
          <w:sz w:val="24"/>
        </w:rPr>
        <w:lastRenderedPageBreak/>
        <w:t>świadczenie usług telekomunikacyjnych zawartych poza lokalem przedsiębiorstwa oraz załączników do tych umów lub potwierdzenia ich zawarcia, utrwalonego na papierze lub, za zgodą konsumenta, na innym trwałym nośniku.</w:t>
      </w:r>
    </w:p>
    <w:p w14:paraId="0F40C82E" w14:textId="77777777" w:rsidR="006F7647" w:rsidRPr="00A70417" w:rsidRDefault="006F7647" w:rsidP="004226AA">
      <w:pPr>
        <w:pStyle w:val="Teksttreci0"/>
        <w:shd w:val="clear" w:color="auto" w:fill="auto"/>
        <w:spacing w:after="0" w:line="200" w:lineRule="exact"/>
        <w:ind w:left="40" w:firstLine="0"/>
        <w:jc w:val="both"/>
        <w:rPr>
          <w:b/>
          <w:color w:val="00B0F0"/>
          <w:sz w:val="24"/>
        </w:rPr>
      </w:pPr>
      <w:r w:rsidRPr="00A70417">
        <w:rPr>
          <w:b/>
          <w:color w:val="00B0F0"/>
          <w:sz w:val="24"/>
        </w:rPr>
        <w:t>Wzorce umów w tzw. prywatnych domach opieki</w:t>
      </w:r>
    </w:p>
    <w:p w14:paraId="434C370C" w14:textId="77777777" w:rsidR="006F7647" w:rsidRPr="004226AA" w:rsidRDefault="006F7647" w:rsidP="004226AA">
      <w:pPr>
        <w:pStyle w:val="Teksttreci0"/>
        <w:shd w:val="clear" w:color="auto" w:fill="auto"/>
        <w:spacing w:after="0" w:line="288" w:lineRule="exact"/>
        <w:ind w:left="40" w:right="40" w:firstLine="0"/>
        <w:jc w:val="both"/>
        <w:rPr>
          <w:color w:val="000000"/>
          <w:sz w:val="24"/>
        </w:rPr>
      </w:pPr>
      <w:r w:rsidRPr="004226AA">
        <w:rPr>
          <w:color w:val="000000"/>
          <w:sz w:val="24"/>
        </w:rPr>
        <w:t>Prezes Urzędu podejmuje ponadto działania władcze w zakresie eliminowania nieprawidłowości we wzorcach umowy wykorzystywanych przez przedsiębiorców prowadzących placówki zapewniające całodobową opiekę osobom niepełnosprawnym, przewlekle chorym łub osobom w podeszłym wieku. Grupą konsumentów, którzy mogą być potencjalnie poszkodowani działaniami takich przedsiębiorców są seniorzy, osoby przewlekle chore i niepełnosprawne.</w:t>
      </w:r>
    </w:p>
    <w:p w14:paraId="5DE892E3" w14:textId="77777777" w:rsidR="006F7647" w:rsidRPr="004226AA" w:rsidRDefault="006F7647" w:rsidP="004226AA">
      <w:pPr>
        <w:pStyle w:val="Teksttreci0"/>
        <w:shd w:val="clear" w:color="auto" w:fill="auto"/>
        <w:spacing w:after="0" w:line="288" w:lineRule="exact"/>
        <w:ind w:left="40" w:right="40" w:firstLine="0"/>
        <w:jc w:val="both"/>
        <w:rPr>
          <w:color w:val="000000"/>
          <w:sz w:val="24"/>
        </w:rPr>
      </w:pPr>
    </w:p>
    <w:p w14:paraId="3E57EBE7" w14:textId="77777777" w:rsidR="006F7647" w:rsidRPr="004226AA" w:rsidRDefault="006F7647" w:rsidP="00A70417">
      <w:pPr>
        <w:pStyle w:val="Teksttreci0"/>
        <w:shd w:val="clear" w:color="auto" w:fill="auto"/>
        <w:spacing w:after="0" w:line="276" w:lineRule="auto"/>
        <w:ind w:left="40" w:right="40" w:firstLine="0"/>
        <w:jc w:val="both"/>
        <w:rPr>
          <w:color w:val="000000"/>
          <w:sz w:val="24"/>
        </w:rPr>
      </w:pPr>
      <w:r w:rsidRPr="004226AA">
        <w:rPr>
          <w:color w:val="000000"/>
          <w:sz w:val="24"/>
        </w:rPr>
        <w:t xml:space="preserve">W związku z powyższym Prezes UOKiK działając na podstawie art. 49a </w:t>
      </w:r>
      <w:r w:rsidRPr="00A70417">
        <w:rPr>
          <w:i/>
          <w:color w:val="000000"/>
          <w:sz w:val="24"/>
        </w:rPr>
        <w:t>ustawy o ochronie konkurencji i konsumentów</w:t>
      </w:r>
      <w:r w:rsidRPr="004226AA">
        <w:rPr>
          <w:color w:val="000000"/>
          <w:sz w:val="24"/>
        </w:rPr>
        <w:t xml:space="preserve"> - wystosował do szeregu przedsiębiorców oferujących całodobową opiekę osobom starszym, wystąpienia z zakresu ochrony konsumentów, w tym m. in.:</w:t>
      </w:r>
    </w:p>
    <w:p w14:paraId="4E01C3CD" w14:textId="77777777" w:rsidR="00A70417" w:rsidRDefault="006F7647" w:rsidP="008C71A9">
      <w:pPr>
        <w:pStyle w:val="Teksttreci0"/>
        <w:numPr>
          <w:ilvl w:val="0"/>
          <w:numId w:val="364"/>
        </w:numPr>
        <w:shd w:val="clear" w:color="auto" w:fill="auto"/>
        <w:tabs>
          <w:tab w:val="left" w:pos="366"/>
        </w:tabs>
        <w:spacing w:after="0" w:line="276" w:lineRule="auto"/>
        <w:ind w:left="360" w:right="40"/>
        <w:jc w:val="both"/>
        <w:rPr>
          <w:sz w:val="24"/>
        </w:rPr>
      </w:pPr>
      <w:r w:rsidRPr="004226AA">
        <w:rPr>
          <w:color w:val="000000"/>
          <w:sz w:val="24"/>
        </w:rPr>
        <w:t>w związku z zawiadomieniem Warmińsko-Mazurskiego Urzędu Wojewódzkiego w Olsztynie * do Anety Jaworowskiej prowadzącej działalność gospodarczą pod firmą Dom Pomocy Społecznej „Jawor” - Indywidualna Praktyka Pielęgniarska Aneta Anna Jaworowska w Markowskich oraz Kamili Kamińskiej prowadzącej działalność gospodarczą pod firmą ARTWAY Kompania Twórcza w Warszawie;</w:t>
      </w:r>
    </w:p>
    <w:p w14:paraId="34C162DE" w14:textId="77777777" w:rsidR="00A70417" w:rsidRDefault="006F7647" w:rsidP="008C71A9">
      <w:pPr>
        <w:pStyle w:val="Teksttreci0"/>
        <w:numPr>
          <w:ilvl w:val="0"/>
          <w:numId w:val="364"/>
        </w:numPr>
        <w:shd w:val="clear" w:color="auto" w:fill="auto"/>
        <w:tabs>
          <w:tab w:val="left" w:pos="366"/>
        </w:tabs>
        <w:spacing w:after="0" w:line="276" w:lineRule="auto"/>
        <w:ind w:left="360" w:right="40"/>
        <w:jc w:val="both"/>
        <w:rPr>
          <w:sz w:val="24"/>
        </w:rPr>
      </w:pPr>
      <w:r w:rsidRPr="00A70417">
        <w:rPr>
          <w:color w:val="000000"/>
          <w:sz w:val="24"/>
        </w:rPr>
        <w:t>do Senior Med. Sp. z o.o. z siedzibą w Wiązownęj;</w:t>
      </w:r>
    </w:p>
    <w:p w14:paraId="79FABEDA" w14:textId="4AB76C1D" w:rsidR="006F7647" w:rsidRPr="00A70417" w:rsidRDefault="006F7647" w:rsidP="008C71A9">
      <w:pPr>
        <w:pStyle w:val="Teksttreci0"/>
        <w:numPr>
          <w:ilvl w:val="0"/>
          <w:numId w:val="364"/>
        </w:numPr>
        <w:shd w:val="clear" w:color="auto" w:fill="auto"/>
        <w:tabs>
          <w:tab w:val="left" w:pos="366"/>
        </w:tabs>
        <w:spacing w:after="0" w:line="276" w:lineRule="auto"/>
        <w:ind w:left="360" w:right="40"/>
        <w:jc w:val="both"/>
        <w:rPr>
          <w:sz w:val="24"/>
        </w:rPr>
      </w:pPr>
      <w:r w:rsidRPr="00A70417">
        <w:rPr>
          <w:color w:val="000000"/>
          <w:sz w:val="24"/>
        </w:rPr>
        <w:t>do przedsiębiorcy Aleksandry Nowac</w:t>
      </w:r>
      <w:r w:rsidR="0010663D">
        <w:rPr>
          <w:color w:val="000000"/>
          <w:sz w:val="24"/>
        </w:rPr>
        <w:t>kiej prowadzącej Dom Seniora w Ł</w:t>
      </w:r>
      <w:r w:rsidRPr="00A70417">
        <w:rPr>
          <w:color w:val="000000"/>
          <w:sz w:val="24"/>
        </w:rPr>
        <w:t>odzi.</w:t>
      </w:r>
    </w:p>
    <w:p w14:paraId="2378BA17" w14:textId="77777777" w:rsidR="00A70417" w:rsidRDefault="00A70417" w:rsidP="00A70417">
      <w:pPr>
        <w:pStyle w:val="Teksttreci0"/>
        <w:shd w:val="clear" w:color="auto" w:fill="auto"/>
        <w:tabs>
          <w:tab w:val="left" w:pos="462"/>
        </w:tabs>
        <w:spacing w:after="0" w:line="276" w:lineRule="auto"/>
        <w:ind w:left="20" w:right="40" w:firstLine="0"/>
        <w:jc w:val="both"/>
        <w:rPr>
          <w:color w:val="000000"/>
          <w:sz w:val="24"/>
        </w:rPr>
      </w:pPr>
    </w:p>
    <w:p w14:paraId="6987D8CC" w14:textId="77777777" w:rsidR="006F7647" w:rsidRPr="004226AA" w:rsidRDefault="006F7647" w:rsidP="00A70417">
      <w:pPr>
        <w:pStyle w:val="Teksttreci0"/>
        <w:shd w:val="clear" w:color="auto" w:fill="auto"/>
        <w:tabs>
          <w:tab w:val="left" w:pos="462"/>
        </w:tabs>
        <w:spacing w:after="0" w:line="276" w:lineRule="auto"/>
        <w:ind w:left="20" w:right="40" w:firstLine="0"/>
        <w:jc w:val="both"/>
        <w:rPr>
          <w:color w:val="000000"/>
          <w:sz w:val="24"/>
        </w:rPr>
      </w:pPr>
      <w:r w:rsidRPr="004226AA">
        <w:rPr>
          <w:color w:val="000000"/>
          <w:sz w:val="24"/>
        </w:rPr>
        <w:t>Przedsiębiorców wezwano do wyeliminowania niedozwolonych postanowień umownych z wzorców umów w zakresie m.in. warunków zwrotu opłat za pobyt, zmian wysokości opłat, zakresu odpowiedzialności przedsiębiorcy za uszkodzenie/utratę mienia pensjonariusza, warunków wypowiedzenia umowy przez przedsiębiorcę. Ww. przedsiębiorcy dostosowali się do przedmiotowych wystąpień i usunęli nieprawidłowości.</w:t>
      </w:r>
    </w:p>
    <w:p w14:paraId="1B94FF26" w14:textId="77777777" w:rsidR="00A70417" w:rsidRDefault="00A70417" w:rsidP="00A70417">
      <w:pPr>
        <w:pStyle w:val="Teksttreci0"/>
        <w:shd w:val="clear" w:color="auto" w:fill="auto"/>
        <w:spacing w:after="0" w:line="276" w:lineRule="auto"/>
        <w:ind w:left="20" w:right="40" w:firstLine="0"/>
        <w:jc w:val="both"/>
        <w:rPr>
          <w:color w:val="000000"/>
          <w:sz w:val="24"/>
        </w:rPr>
      </w:pPr>
    </w:p>
    <w:p w14:paraId="3E0D2401" w14:textId="77777777" w:rsidR="006F7647" w:rsidRPr="00A70417" w:rsidRDefault="006F7647" w:rsidP="00A70417">
      <w:pPr>
        <w:pStyle w:val="Teksttreci0"/>
        <w:shd w:val="clear" w:color="auto" w:fill="auto"/>
        <w:spacing w:after="0" w:line="276" w:lineRule="auto"/>
        <w:ind w:left="20" w:right="40" w:firstLine="0"/>
        <w:jc w:val="both"/>
        <w:rPr>
          <w:b/>
          <w:color w:val="00B0F0"/>
          <w:sz w:val="24"/>
        </w:rPr>
      </w:pPr>
      <w:r w:rsidRPr="00A70417">
        <w:rPr>
          <w:b/>
          <w:color w:val="00B0F0"/>
          <w:sz w:val="24"/>
        </w:rPr>
        <w:t>Działania podejmowane przez Prezesa Urzędu w związku z wykorzystaniem instytucji tajemniczego klienta</w:t>
      </w:r>
    </w:p>
    <w:p w14:paraId="192B13FB" w14:textId="77777777" w:rsidR="006F7647" w:rsidRPr="004226AA" w:rsidRDefault="006F7647" w:rsidP="00A70417">
      <w:pPr>
        <w:pStyle w:val="Teksttreci0"/>
        <w:shd w:val="clear" w:color="auto" w:fill="auto"/>
        <w:spacing w:after="0" w:line="276" w:lineRule="auto"/>
        <w:ind w:left="20" w:right="40" w:firstLine="0"/>
        <w:jc w:val="both"/>
        <w:rPr>
          <w:sz w:val="24"/>
        </w:rPr>
      </w:pPr>
      <w:r w:rsidRPr="004226AA">
        <w:rPr>
          <w:color w:val="000000"/>
          <w:sz w:val="24"/>
        </w:rPr>
        <w:t>Prezes UOKiK w ramach ustawowych kompetencji wykorzystuje również instytucję tajemniczego klienta.</w:t>
      </w:r>
      <w:r w:rsidRPr="004226AA">
        <w:rPr>
          <w:color w:val="000000"/>
          <w:sz w:val="24"/>
          <w:vertAlign w:val="superscript"/>
        </w:rPr>
        <w:footnoteReference w:id="44"/>
      </w:r>
      <w:r w:rsidRPr="004226AA">
        <w:rPr>
          <w:color w:val="000000"/>
          <w:sz w:val="24"/>
        </w:rPr>
        <w:t xml:space="preserve"> Należy bowiem mieć na uwadze, że największe trudności w pozyskiwaniu dowodów występują na etapie przedkontraktowym dotyczącym procesu zawierania umowy, na który składa się m.in. prezentowanie towaru/usługi. W sprawach dotyczących sprzedaży poza lokalem przedsiębiorstwa prezentowanie towaru jest dodatkowo powiązane z wcześniejszą prezentacją dotyczącą np.: zdrowego odżywania, czy poprzedzone </w:t>
      </w:r>
      <w:r w:rsidRPr="004226AA">
        <w:rPr>
          <w:color w:val="000000"/>
          <w:sz w:val="24"/>
        </w:rPr>
        <w:lastRenderedPageBreak/>
        <w:t>rzekomym badaniem stanu zdrowia. Jeśli na tym etapie dochodzi do wprowadzenia konsumenta w błąd co do cech oferowanej usługi, towaru, czy też np. co do jego stanu zdrowia, to zarówno konsumentowi, jak i właściwym organom trudno wykazać, że przedsiębiorca zachował się nieuczciwie. Wykorzystanie instytucji tajemniczego klienta jest niezbędne, aby Prezes Urzędu mógł wywiązać się z ciążącego na nim obowiązku udowodnienia przedsiębiorcy naruszenia przepisów ustawy, a jednocześnie skutecznie zwalczać nieuczciwe praktyki przedsiębiorców na rynku sprzedaży bezpośredniej.</w:t>
      </w:r>
    </w:p>
    <w:p w14:paraId="24AA40F4" w14:textId="77777777" w:rsidR="00A70417" w:rsidRDefault="00A70417" w:rsidP="00A70417">
      <w:pPr>
        <w:pStyle w:val="Teksttreci0"/>
        <w:shd w:val="clear" w:color="auto" w:fill="auto"/>
        <w:tabs>
          <w:tab w:val="left" w:pos="462"/>
        </w:tabs>
        <w:spacing w:after="0" w:line="276" w:lineRule="auto"/>
        <w:ind w:left="20" w:right="40" w:firstLine="0"/>
        <w:jc w:val="both"/>
        <w:rPr>
          <w:color w:val="000000"/>
          <w:sz w:val="24"/>
        </w:rPr>
      </w:pPr>
    </w:p>
    <w:p w14:paraId="328A9008" w14:textId="77777777" w:rsidR="00074C6D" w:rsidRPr="004226AA" w:rsidRDefault="006F7647" w:rsidP="00A70417">
      <w:pPr>
        <w:pStyle w:val="Teksttreci0"/>
        <w:shd w:val="clear" w:color="auto" w:fill="auto"/>
        <w:tabs>
          <w:tab w:val="left" w:pos="462"/>
        </w:tabs>
        <w:spacing w:after="0" w:line="276" w:lineRule="auto"/>
        <w:ind w:left="20" w:right="40" w:firstLine="0"/>
        <w:jc w:val="both"/>
        <w:rPr>
          <w:color w:val="000000"/>
          <w:sz w:val="24"/>
        </w:rPr>
      </w:pPr>
      <w:r w:rsidRPr="004226AA">
        <w:rPr>
          <w:color w:val="000000"/>
          <w:sz w:val="24"/>
        </w:rPr>
        <w:t>W 2019 r. instytucja tajemniczego Prezes UOKiK korzystał z instytucji tajemniczego klienta w czterech przypadkach przedsiębiorców prowadzących sprzedaż na pokazach:</w:t>
      </w:r>
    </w:p>
    <w:p w14:paraId="08C45003" w14:textId="77777777" w:rsidR="00A70417" w:rsidRDefault="00074C6D" w:rsidP="008C71A9">
      <w:pPr>
        <w:pStyle w:val="Teksttreci0"/>
        <w:numPr>
          <w:ilvl w:val="0"/>
          <w:numId w:val="366"/>
        </w:numPr>
        <w:shd w:val="clear" w:color="auto" w:fill="auto"/>
        <w:tabs>
          <w:tab w:val="left" w:pos="380"/>
        </w:tabs>
        <w:spacing w:after="0" w:line="295" w:lineRule="exact"/>
        <w:ind w:left="360" w:right="20"/>
        <w:jc w:val="both"/>
        <w:rPr>
          <w:sz w:val="24"/>
        </w:rPr>
      </w:pPr>
      <w:r w:rsidRPr="004226AA">
        <w:rPr>
          <w:color w:val="000000"/>
          <w:sz w:val="24"/>
        </w:rPr>
        <w:t>kontrola przeprowadzona przez Delegaturę UOKIK w Poznaniu w dniu 15 lutego 2019 r. w trakcie pokazu organizowanego przez przedsiębiorcę Medispol sp. z o.o. sp.k. (obecnie Radnar sp. z o.o. sp.k.) z siedzibą w Stęszewie, na którym oferowano sprzedaż wyrobów medycznych;</w:t>
      </w:r>
    </w:p>
    <w:p w14:paraId="6E3E330B" w14:textId="77777777" w:rsidR="00A70417" w:rsidRDefault="00074C6D" w:rsidP="008C71A9">
      <w:pPr>
        <w:pStyle w:val="Teksttreci0"/>
        <w:numPr>
          <w:ilvl w:val="0"/>
          <w:numId w:val="366"/>
        </w:numPr>
        <w:shd w:val="clear" w:color="auto" w:fill="auto"/>
        <w:tabs>
          <w:tab w:val="left" w:pos="380"/>
        </w:tabs>
        <w:spacing w:after="0" w:line="295" w:lineRule="exact"/>
        <w:ind w:left="360" w:right="20"/>
        <w:jc w:val="both"/>
        <w:rPr>
          <w:sz w:val="24"/>
        </w:rPr>
      </w:pPr>
      <w:r w:rsidRPr="00A70417">
        <w:rPr>
          <w:color w:val="000000"/>
          <w:sz w:val="24"/>
        </w:rPr>
        <w:t>kontrola przeprowadzona przez Delegaturę UOKIK w Poznaniu w dniu 30 maja 2019 r. w trakcie pokazu organizowanego przez przedsiębiorcę Koleta sp. z o.o. z siedzibą w Nowym Tomyślu, na którym oferowano sprzedaż rewitalizatorów/regeneratorów wody (pakietu rewitalizacji komórkowej);</w:t>
      </w:r>
    </w:p>
    <w:p w14:paraId="6339106D" w14:textId="77777777" w:rsidR="00A70417" w:rsidRDefault="00074C6D" w:rsidP="008C71A9">
      <w:pPr>
        <w:pStyle w:val="Teksttreci0"/>
        <w:numPr>
          <w:ilvl w:val="0"/>
          <w:numId w:val="366"/>
        </w:numPr>
        <w:shd w:val="clear" w:color="auto" w:fill="auto"/>
        <w:tabs>
          <w:tab w:val="left" w:pos="394"/>
        </w:tabs>
        <w:spacing w:after="0" w:line="295" w:lineRule="exact"/>
        <w:ind w:left="360" w:right="20"/>
        <w:jc w:val="both"/>
        <w:rPr>
          <w:sz w:val="24"/>
        </w:rPr>
      </w:pPr>
      <w:r w:rsidRPr="00A70417">
        <w:rPr>
          <w:color w:val="000000"/>
          <w:sz w:val="24"/>
        </w:rPr>
        <w:t>kontrola przeprowadzona przez Delegaturę UOKIK w Poznaniu w dniu 19 listopada 2019 r. w trakcie pokazu organizowanego przez przedsiębiorcę Comfort Med+ sp. z o. o. z siedzibą w Wysogotowie, na którym oferowano sprzedaż drobnego sprzętu AGD oraz mat masujących;</w:t>
      </w:r>
    </w:p>
    <w:p w14:paraId="1F3800F0" w14:textId="77777777" w:rsidR="00074C6D" w:rsidRPr="00A70417" w:rsidRDefault="00074C6D" w:rsidP="008C71A9">
      <w:pPr>
        <w:pStyle w:val="Teksttreci0"/>
        <w:numPr>
          <w:ilvl w:val="0"/>
          <w:numId w:val="366"/>
        </w:numPr>
        <w:shd w:val="clear" w:color="auto" w:fill="auto"/>
        <w:tabs>
          <w:tab w:val="left" w:pos="394"/>
        </w:tabs>
        <w:spacing w:after="0" w:line="295" w:lineRule="exact"/>
        <w:ind w:left="360" w:right="20"/>
        <w:jc w:val="both"/>
        <w:rPr>
          <w:sz w:val="24"/>
        </w:rPr>
      </w:pPr>
      <w:r w:rsidRPr="00A70417">
        <w:rPr>
          <w:color w:val="000000"/>
          <w:sz w:val="24"/>
        </w:rPr>
        <w:t>kontrola przeprowadzona przez Delegaturę UOKIK w Poznaniu w dniu 20 listopada 2019 r. oraz 4 grudnia 2019 r. w trakcie pokazu organizowanego przez przedsiębiorcę Kiddy Island Polska sp. z o.o. sp.k. z siedzibą w Poznaniu, na którym oferowano sprzedaż drobnego sprzętu AGD oraz mat masujących.</w:t>
      </w:r>
    </w:p>
    <w:p w14:paraId="4288BAC6" w14:textId="77777777" w:rsidR="00A70417" w:rsidRPr="00A70417" w:rsidRDefault="00A70417" w:rsidP="004226AA">
      <w:pPr>
        <w:pStyle w:val="Teksttreci0"/>
        <w:shd w:val="clear" w:color="auto" w:fill="auto"/>
        <w:tabs>
          <w:tab w:val="left" w:pos="639"/>
        </w:tabs>
        <w:spacing w:after="0" w:line="200" w:lineRule="exact"/>
        <w:ind w:firstLine="0"/>
        <w:jc w:val="both"/>
        <w:rPr>
          <w:b/>
          <w:color w:val="00B0F0"/>
          <w:sz w:val="24"/>
        </w:rPr>
      </w:pPr>
    </w:p>
    <w:p w14:paraId="127211A1" w14:textId="77777777" w:rsidR="00074C6D" w:rsidRPr="00A70417" w:rsidRDefault="00074C6D" w:rsidP="00A70417">
      <w:pPr>
        <w:pStyle w:val="Teksttreci0"/>
        <w:shd w:val="clear" w:color="auto" w:fill="auto"/>
        <w:tabs>
          <w:tab w:val="left" w:pos="639"/>
        </w:tabs>
        <w:spacing w:after="0" w:line="276" w:lineRule="auto"/>
        <w:ind w:firstLine="0"/>
        <w:jc w:val="both"/>
        <w:rPr>
          <w:b/>
          <w:color w:val="00B0F0"/>
          <w:sz w:val="24"/>
        </w:rPr>
      </w:pPr>
      <w:r w:rsidRPr="00A70417">
        <w:rPr>
          <w:b/>
          <w:color w:val="00B0F0"/>
          <w:sz w:val="24"/>
        </w:rPr>
        <w:t>Równe traktowanie i przeciwdziałanie dyskryminacji ze względu na wiek</w:t>
      </w:r>
    </w:p>
    <w:p w14:paraId="3D1AFCD8" w14:textId="77777777" w:rsidR="00074C6D" w:rsidRPr="004226AA" w:rsidRDefault="00074C6D" w:rsidP="00A70417">
      <w:pPr>
        <w:pStyle w:val="Teksttreci0"/>
        <w:shd w:val="clear" w:color="auto" w:fill="auto"/>
        <w:spacing w:after="0" w:line="276" w:lineRule="auto"/>
        <w:ind w:left="20" w:right="20" w:firstLine="0"/>
        <w:jc w:val="both"/>
        <w:rPr>
          <w:sz w:val="24"/>
        </w:rPr>
      </w:pPr>
      <w:r w:rsidRPr="004226AA">
        <w:rPr>
          <w:color w:val="000000"/>
          <w:sz w:val="24"/>
        </w:rPr>
        <w:t>Należy wskazać, że celem działań podejmowanych przez Prezesa Urzędu jest ochrona wszystkich nieprofesjonalnych uczestników obrotu gospodarczego, bez faworyzowania wybranej grupy konsumentów. Niemniej jednak Prezes Urzędu ma na uwadze fakt, iż osoby starsze stanowią grupę szczególnie narażoną na negatywne oddziaływanie zakazanych praktyk handlowych stosowanych przez przedsiębiorców. Z racji cech fizycznych (gorszy wzrok i słuch, spowolnione reakcje) i charakteru (dobre wychowanie, wiara w ludzi) ta grupa społeczna jest w szczególny sposób narażona na zabiegi socjotechniczne i manipulacyjne, a przez to niezwykle podatna na oddziaływanie stosowanych wobec niej nieuczciwych praktyk rynkowych. Osoby starsze charakteryzują się mniejszym niż przeciętny stopniem poinformowania, uwagi i ostrożności przy podejmowaniu decyzji dotyczącej umowy i nie mają należytego rozeznania przy ocenie działań przedsiębiorcy i skutków z nich wynikających. Są to więc osoby, które łatwiej wprowadzić w błąd. Fakt, iż dany przedsiębiorca kieruje swoją nieuczciwą ofertę w głównej mierze do osób starszych, może stanowić okoliczność obciążającą wpływającą na wysokość kary wymierzanej w decyzji kończącej postępowanie.</w:t>
      </w:r>
    </w:p>
    <w:p w14:paraId="4F62BC84" w14:textId="77777777" w:rsidR="00074C6D" w:rsidRPr="004226AA" w:rsidRDefault="00074C6D" w:rsidP="00A70417">
      <w:pPr>
        <w:pStyle w:val="Teksttreci0"/>
        <w:shd w:val="clear" w:color="auto" w:fill="auto"/>
        <w:tabs>
          <w:tab w:val="left" w:pos="462"/>
        </w:tabs>
        <w:spacing w:after="0" w:line="276" w:lineRule="auto"/>
        <w:ind w:left="20" w:right="40" w:firstLine="0"/>
        <w:jc w:val="both"/>
        <w:rPr>
          <w:sz w:val="24"/>
        </w:rPr>
      </w:pPr>
    </w:p>
    <w:p w14:paraId="19E6E9D3" w14:textId="77777777" w:rsidR="00BE18AF" w:rsidRPr="00302131" w:rsidRDefault="00BE18AF" w:rsidP="003C1988">
      <w:pPr>
        <w:pStyle w:val="Teksttreci0"/>
        <w:shd w:val="clear" w:color="auto" w:fill="auto"/>
        <w:tabs>
          <w:tab w:val="left" w:pos="462"/>
        </w:tabs>
        <w:spacing w:after="314" w:line="288" w:lineRule="exact"/>
        <w:ind w:left="20" w:right="40" w:firstLine="0"/>
        <w:jc w:val="left"/>
        <w:sectPr w:rsidR="00BE18AF" w:rsidRPr="00302131" w:rsidSect="00F8792E">
          <w:pgSz w:w="11906" w:h="16840"/>
          <w:pgMar w:top="1418" w:right="1418" w:bottom="2127" w:left="1418" w:header="708" w:footer="708" w:gutter="0"/>
          <w:cols w:space="708"/>
          <w:docGrid w:linePitch="360"/>
        </w:sectPr>
      </w:pPr>
    </w:p>
    <w:p w14:paraId="4AA4FD46" w14:textId="77777777" w:rsidR="00BF4703" w:rsidRPr="00697B76" w:rsidRDefault="00475EFA" w:rsidP="00835584">
      <w:pPr>
        <w:pStyle w:val="Nagwek1"/>
        <w:spacing w:after="240"/>
        <w:ind w:left="0" w:hanging="426"/>
        <w:rPr>
          <w:color w:val="2F5496" w:themeColor="accent5" w:themeShade="BF"/>
          <w:sz w:val="40"/>
          <w:lang w:eastAsia="ar-SA"/>
        </w:rPr>
      </w:pPr>
      <w:bookmarkStart w:id="122" w:name="_Toc49171355"/>
      <w:r w:rsidRPr="00697B76">
        <w:rPr>
          <w:color w:val="2F5496" w:themeColor="accent5" w:themeShade="BF"/>
          <w:sz w:val="40"/>
          <w:lang w:eastAsia="ar-SA"/>
        </w:rPr>
        <w:lastRenderedPageBreak/>
        <w:t>Polityka społeczna wobec osób starszych na szczeblu regionalnym</w:t>
      </w:r>
      <w:bookmarkEnd w:id="122"/>
    </w:p>
    <w:p w14:paraId="3695340E" w14:textId="77777777" w:rsidR="00BF4703" w:rsidRPr="00AF051D" w:rsidRDefault="00475EFA" w:rsidP="00AF051D">
      <w:pPr>
        <w:pStyle w:val="Nagwek2"/>
        <w:spacing w:before="240" w:after="240"/>
        <w:ind w:left="432"/>
        <w:rPr>
          <w:rFonts w:eastAsia="Times New Roman" w:cs="Times New Roman"/>
          <w:sz w:val="40"/>
          <w:szCs w:val="28"/>
          <w:lang w:eastAsia="ar-SA"/>
        </w:rPr>
      </w:pPr>
      <w:bookmarkStart w:id="123" w:name="_Toc49171356"/>
      <w:r w:rsidRPr="00AF051D">
        <w:rPr>
          <w:rFonts w:eastAsia="Times New Roman" w:cs="Times New Roman"/>
          <w:sz w:val="40"/>
          <w:szCs w:val="28"/>
          <w:lang w:eastAsia="ar-SA"/>
        </w:rPr>
        <w:t>Województwo</w:t>
      </w:r>
      <w:r w:rsidR="005F0A32" w:rsidRPr="00AF051D">
        <w:rPr>
          <w:rFonts w:eastAsia="Times New Roman" w:cs="Times New Roman"/>
          <w:sz w:val="40"/>
          <w:szCs w:val="28"/>
          <w:lang w:eastAsia="ar-SA"/>
        </w:rPr>
        <w:t xml:space="preserve"> d</w:t>
      </w:r>
      <w:r w:rsidRPr="00AF051D">
        <w:rPr>
          <w:rFonts w:eastAsia="Times New Roman" w:cs="Times New Roman"/>
          <w:sz w:val="40"/>
          <w:szCs w:val="28"/>
          <w:lang w:eastAsia="ar-SA"/>
        </w:rPr>
        <w:t>olnośląskie</w:t>
      </w:r>
      <w:bookmarkEnd w:id="123"/>
    </w:p>
    <w:p w14:paraId="14FADDD2" w14:textId="77777777" w:rsidR="00DE7628" w:rsidRPr="000B40AE" w:rsidRDefault="00D709CA" w:rsidP="003C1988">
      <w:pPr>
        <w:spacing w:after="0"/>
        <w:rPr>
          <w:rFonts w:ascii="Times New Roman" w:hAnsi="Times New Roman" w:cs="Times New Roman"/>
          <w:b/>
          <w:color w:val="00B0F0"/>
          <w:sz w:val="24"/>
          <w:szCs w:val="24"/>
          <w:lang w:eastAsia="ar-SA"/>
        </w:rPr>
      </w:pPr>
      <w:r w:rsidRPr="00020479">
        <w:rPr>
          <w:rFonts w:ascii="Times New Roman" w:hAnsi="Times New Roman" w:cs="Times New Roman"/>
          <w:b/>
          <w:color w:val="00B0F0"/>
          <w:sz w:val="24"/>
          <w:szCs w:val="24"/>
          <w:lang w:eastAsia="ar-SA"/>
        </w:rPr>
        <w:t xml:space="preserve">Dokumenty, </w:t>
      </w:r>
      <w:r w:rsidR="00DE7628" w:rsidRPr="00020479">
        <w:rPr>
          <w:rFonts w:ascii="Times New Roman" w:hAnsi="Times New Roman" w:cs="Times New Roman"/>
          <w:b/>
          <w:color w:val="00B0F0"/>
          <w:sz w:val="24"/>
          <w:szCs w:val="24"/>
          <w:lang w:eastAsia="ar-SA"/>
        </w:rPr>
        <w:t xml:space="preserve">strategie </w:t>
      </w:r>
      <w:r w:rsidRPr="00020479">
        <w:rPr>
          <w:rFonts w:ascii="Times New Roman" w:hAnsi="Times New Roman" w:cs="Times New Roman"/>
          <w:b/>
          <w:color w:val="00B0F0"/>
          <w:sz w:val="24"/>
          <w:szCs w:val="24"/>
          <w:lang w:eastAsia="ar-SA"/>
        </w:rPr>
        <w:t>i działania</w:t>
      </w:r>
      <w:r w:rsidR="00DE7628" w:rsidRPr="00020479">
        <w:rPr>
          <w:rFonts w:ascii="Times New Roman" w:hAnsi="Times New Roman" w:cs="Times New Roman"/>
          <w:b/>
          <w:color w:val="00B0F0"/>
          <w:sz w:val="24"/>
          <w:szCs w:val="24"/>
          <w:lang w:eastAsia="ar-SA"/>
        </w:rPr>
        <w:t xml:space="preserve"> na rzecz osób starszych</w:t>
      </w:r>
    </w:p>
    <w:p w14:paraId="771C87DE" w14:textId="77777777" w:rsidR="0050177A" w:rsidRPr="00F27A8A" w:rsidRDefault="0050177A" w:rsidP="00493925">
      <w:pPr>
        <w:spacing w:after="0"/>
        <w:jc w:val="both"/>
        <w:rPr>
          <w:rFonts w:ascii="Times New Roman" w:hAnsi="Times New Roman" w:cs="Times New Roman"/>
          <w:sz w:val="24"/>
          <w:szCs w:val="24"/>
        </w:rPr>
      </w:pPr>
      <w:r w:rsidRPr="00F27A8A">
        <w:rPr>
          <w:rFonts w:ascii="Times New Roman" w:hAnsi="Times New Roman" w:cs="Times New Roman"/>
          <w:sz w:val="24"/>
          <w:szCs w:val="24"/>
        </w:rPr>
        <w:t xml:space="preserve">Uchwałą Nr 5387/V/18 Zarządu Województwa Dolnośląskiego z dnia 21.05.2018 r. w sprawie powołania Dolnośląskiej Społecznej Rady Senioralnej powołana została Dolnośląska Społeczna Rada Senioralna przy Marszałku Województwa Dolnośląskiego jako organ doradczy oraz inicjatywny regionalnej polityki na rzecz osób starszych. </w:t>
      </w:r>
    </w:p>
    <w:p w14:paraId="1C9553E6" w14:textId="77777777" w:rsidR="00A605EF" w:rsidRDefault="00A605EF" w:rsidP="00493925">
      <w:pPr>
        <w:spacing w:after="0"/>
        <w:jc w:val="both"/>
        <w:rPr>
          <w:rFonts w:ascii="Times New Roman" w:hAnsi="Times New Roman" w:cs="Times New Roman"/>
          <w:sz w:val="24"/>
          <w:szCs w:val="24"/>
        </w:rPr>
      </w:pPr>
    </w:p>
    <w:p w14:paraId="27C068F6" w14:textId="77777777" w:rsidR="00B262F1" w:rsidRDefault="0050177A" w:rsidP="00493925">
      <w:pPr>
        <w:spacing w:after="0"/>
        <w:jc w:val="both"/>
        <w:rPr>
          <w:rFonts w:ascii="Times New Roman" w:hAnsi="Times New Roman" w:cs="Times New Roman"/>
          <w:sz w:val="24"/>
          <w:szCs w:val="24"/>
        </w:rPr>
      </w:pPr>
      <w:r w:rsidRPr="00F27A8A">
        <w:rPr>
          <w:rFonts w:ascii="Times New Roman" w:hAnsi="Times New Roman" w:cs="Times New Roman"/>
          <w:sz w:val="24"/>
          <w:szCs w:val="24"/>
        </w:rPr>
        <w:t>Integralną częścią Strategii Rozwoju Województwa Dolnośląskiego 2020 jest Dolnośląska Strategia Integracji Społecznej na lata 2014 – 2020, której cel główny stanowi zapewnienie mieszkańcom województwa dolnośląskiego wysokiej jakości życia, dopasowanie usług społecznych do potrzeb mie</w:t>
      </w:r>
      <w:r w:rsidR="00020479">
        <w:rPr>
          <w:rFonts w:ascii="Times New Roman" w:hAnsi="Times New Roman" w:cs="Times New Roman"/>
          <w:sz w:val="24"/>
          <w:szCs w:val="24"/>
        </w:rPr>
        <w:t>szkańców, integracja społeczna</w:t>
      </w:r>
      <w:r w:rsidR="00020479">
        <w:rPr>
          <w:rStyle w:val="Odwoanieprzypisudolnego"/>
          <w:rFonts w:ascii="Times New Roman" w:hAnsi="Times New Roman" w:cs="Times New Roman"/>
          <w:sz w:val="24"/>
          <w:szCs w:val="24"/>
        </w:rPr>
        <w:footnoteReference w:id="45"/>
      </w:r>
      <w:r w:rsidR="00020479">
        <w:rPr>
          <w:rFonts w:ascii="Times New Roman" w:hAnsi="Times New Roman" w:cs="Times New Roman"/>
          <w:sz w:val="24"/>
          <w:szCs w:val="24"/>
        </w:rPr>
        <w:t>.</w:t>
      </w:r>
    </w:p>
    <w:p w14:paraId="1B876702" w14:textId="77777777" w:rsidR="00020479" w:rsidRDefault="00020479" w:rsidP="00493925">
      <w:pPr>
        <w:spacing w:after="0"/>
        <w:jc w:val="both"/>
        <w:rPr>
          <w:rFonts w:ascii="Times New Roman" w:hAnsi="Times New Roman" w:cs="Times New Roman"/>
          <w:sz w:val="24"/>
          <w:szCs w:val="24"/>
        </w:rPr>
      </w:pPr>
    </w:p>
    <w:p w14:paraId="34876FB3" w14:textId="77777777" w:rsidR="00A605EF" w:rsidRDefault="0050177A" w:rsidP="00493925">
      <w:pPr>
        <w:spacing w:after="0"/>
        <w:jc w:val="both"/>
        <w:rPr>
          <w:rFonts w:ascii="Times New Roman" w:hAnsi="Times New Roman" w:cs="Times New Roman"/>
          <w:sz w:val="24"/>
          <w:szCs w:val="24"/>
        </w:rPr>
      </w:pPr>
      <w:r w:rsidRPr="00F27A8A">
        <w:rPr>
          <w:rFonts w:ascii="Times New Roman" w:hAnsi="Times New Roman" w:cs="Times New Roman"/>
          <w:sz w:val="24"/>
          <w:szCs w:val="24"/>
        </w:rPr>
        <w:t xml:space="preserve">Działania na rzecz seniorów są realizowane przez Samorząd Województwa Dolnośląskiego </w:t>
      </w:r>
      <w:r w:rsidR="00DE7628">
        <w:rPr>
          <w:rFonts w:ascii="Times New Roman" w:hAnsi="Times New Roman" w:cs="Times New Roman"/>
          <w:sz w:val="24"/>
          <w:szCs w:val="24"/>
        </w:rPr>
        <w:br/>
      </w:r>
      <w:r w:rsidRPr="00F27A8A">
        <w:rPr>
          <w:rFonts w:ascii="Times New Roman" w:hAnsi="Times New Roman" w:cs="Times New Roman"/>
          <w:sz w:val="24"/>
          <w:szCs w:val="24"/>
        </w:rPr>
        <w:t xml:space="preserve">w ramach </w:t>
      </w:r>
      <w:r w:rsidRPr="00AB012F">
        <w:rPr>
          <w:rFonts w:ascii="Times New Roman" w:hAnsi="Times New Roman" w:cs="Times New Roman"/>
          <w:b/>
          <w:sz w:val="24"/>
          <w:szCs w:val="24"/>
        </w:rPr>
        <w:t>Wojewódzkiego Programu „Nestor”</w:t>
      </w:r>
      <w:r w:rsidRPr="00F27A8A">
        <w:rPr>
          <w:rFonts w:ascii="Times New Roman" w:hAnsi="Times New Roman" w:cs="Times New Roman"/>
          <w:sz w:val="24"/>
          <w:szCs w:val="24"/>
        </w:rPr>
        <w:t xml:space="preserve"> (działania na rzecz wsparcia i aktywizacji dolnośląskich seniorów), którego bezpośrednim realizatorem jest Dolnośląski Ośrodek Polityki Społecznej we Wrocławiu (DOPS). Podejmowane w ramach Programu „Nestor” działania są kierowane głównie do osób w wieku senioralnym (60+)</w:t>
      </w:r>
      <w:r w:rsidR="00020479">
        <w:rPr>
          <w:rStyle w:val="Odwoanieprzypisudolnego"/>
          <w:rFonts w:ascii="Times New Roman" w:hAnsi="Times New Roman" w:cs="Times New Roman"/>
          <w:sz w:val="24"/>
          <w:szCs w:val="24"/>
        </w:rPr>
        <w:footnoteReference w:id="46"/>
      </w:r>
      <w:r w:rsidRPr="00F27A8A">
        <w:rPr>
          <w:rFonts w:ascii="Times New Roman" w:hAnsi="Times New Roman" w:cs="Times New Roman"/>
          <w:sz w:val="24"/>
          <w:szCs w:val="24"/>
        </w:rPr>
        <w:t xml:space="preserve">. </w:t>
      </w:r>
    </w:p>
    <w:p w14:paraId="4AD4F3CD" w14:textId="77777777" w:rsidR="00B262F1" w:rsidRDefault="00B262F1" w:rsidP="00493925">
      <w:pPr>
        <w:spacing w:after="0"/>
        <w:jc w:val="both"/>
        <w:rPr>
          <w:rFonts w:ascii="Times New Roman" w:hAnsi="Times New Roman" w:cs="Times New Roman"/>
          <w:sz w:val="24"/>
          <w:szCs w:val="24"/>
        </w:rPr>
      </w:pPr>
    </w:p>
    <w:p w14:paraId="6699EE24" w14:textId="77777777" w:rsidR="0050177A" w:rsidRPr="00F27A8A" w:rsidRDefault="0050177A" w:rsidP="00493925">
      <w:pPr>
        <w:spacing w:after="0"/>
        <w:jc w:val="both"/>
        <w:rPr>
          <w:rFonts w:ascii="Times New Roman" w:hAnsi="Times New Roman" w:cs="Times New Roman"/>
          <w:sz w:val="24"/>
          <w:szCs w:val="24"/>
        </w:rPr>
      </w:pPr>
      <w:r w:rsidRPr="00F27A8A">
        <w:rPr>
          <w:rFonts w:ascii="Times New Roman" w:hAnsi="Times New Roman" w:cs="Times New Roman"/>
          <w:sz w:val="24"/>
          <w:szCs w:val="24"/>
        </w:rPr>
        <w:t>We współpracy z ośrodkami pomocy społecznej z terenu wojewó</w:t>
      </w:r>
      <w:r w:rsidR="00C11E37">
        <w:rPr>
          <w:rFonts w:ascii="Times New Roman" w:hAnsi="Times New Roman" w:cs="Times New Roman"/>
          <w:sz w:val="24"/>
          <w:szCs w:val="24"/>
        </w:rPr>
        <w:t>dztwa dolnośląskiego realizowane były</w:t>
      </w:r>
      <w:r w:rsidRPr="00F27A8A">
        <w:rPr>
          <w:rFonts w:ascii="Times New Roman" w:hAnsi="Times New Roman" w:cs="Times New Roman"/>
          <w:sz w:val="24"/>
          <w:szCs w:val="24"/>
        </w:rPr>
        <w:t xml:space="preserve"> szkolenia dla rodzin osób starszych/ opiekunów nieformalnych, mające na celu wzrost ich wiedzy na temat przemian i zagrożeń związanych z wiekiem senioralnym, zwiększenie ich kompetencji opiekuńczych oraz przeciwdziałanie wypaleniu psychicznemu, wynikającemu z obowiązków i obciążeń opiekuńczych. W 2019 r. zrealizowano kolejnych </w:t>
      </w:r>
      <w:r w:rsidR="00D709CA">
        <w:rPr>
          <w:rFonts w:ascii="Times New Roman" w:hAnsi="Times New Roman" w:cs="Times New Roman"/>
          <w:sz w:val="24"/>
          <w:szCs w:val="24"/>
        </w:rPr>
        <w:br/>
      </w:r>
      <w:r w:rsidRPr="00F27A8A">
        <w:rPr>
          <w:rFonts w:ascii="Times New Roman" w:hAnsi="Times New Roman" w:cs="Times New Roman"/>
          <w:sz w:val="24"/>
          <w:szCs w:val="24"/>
        </w:rPr>
        <w:t>17 edycji jednodniowego szkolenia, w którym uczestniczyło 343 opiekunów nieformalnych.</w:t>
      </w:r>
    </w:p>
    <w:p w14:paraId="3A51BFC8" w14:textId="77777777" w:rsidR="00B262F1" w:rsidRDefault="00B262F1" w:rsidP="00493925">
      <w:pPr>
        <w:spacing w:after="0"/>
        <w:jc w:val="both"/>
        <w:rPr>
          <w:rFonts w:ascii="Times New Roman" w:hAnsi="Times New Roman" w:cs="Times New Roman"/>
          <w:sz w:val="24"/>
          <w:szCs w:val="24"/>
        </w:rPr>
      </w:pPr>
    </w:p>
    <w:p w14:paraId="6D373A4A" w14:textId="77777777" w:rsidR="00A605EF" w:rsidRDefault="0050177A" w:rsidP="00493925">
      <w:pPr>
        <w:spacing w:after="0"/>
        <w:jc w:val="both"/>
        <w:rPr>
          <w:rFonts w:ascii="Times New Roman" w:hAnsi="Times New Roman" w:cs="Times New Roman"/>
          <w:sz w:val="24"/>
          <w:szCs w:val="24"/>
        </w:rPr>
      </w:pPr>
      <w:r w:rsidRPr="00F27A8A">
        <w:rPr>
          <w:rFonts w:ascii="Times New Roman" w:hAnsi="Times New Roman" w:cs="Times New Roman"/>
          <w:sz w:val="24"/>
          <w:szCs w:val="24"/>
        </w:rPr>
        <w:t xml:space="preserve">Od 2019 r. na stronie internetowej DOPS w zakładce </w:t>
      </w:r>
      <w:r w:rsidRPr="00AB012F">
        <w:rPr>
          <w:rFonts w:ascii="Times New Roman" w:hAnsi="Times New Roman" w:cs="Times New Roman"/>
          <w:b/>
          <w:sz w:val="24"/>
          <w:szCs w:val="24"/>
        </w:rPr>
        <w:t>BANK DANYCH</w:t>
      </w:r>
      <w:r w:rsidRPr="00F27A8A">
        <w:rPr>
          <w:rFonts w:ascii="Times New Roman" w:hAnsi="Times New Roman" w:cs="Times New Roman"/>
          <w:sz w:val="24"/>
          <w:szCs w:val="24"/>
        </w:rPr>
        <w:t xml:space="preserve"> znajduje się regionalna baza podmiotów i organizacji działających na rzecz seniorów w obszarach form wsparcia opiekuńczego, zdrowotnego, rehabilitacyjnego, prawnego, psychologicznego, rekreacyjnego </w:t>
      </w:r>
      <w:r w:rsidR="00D709CA">
        <w:rPr>
          <w:rFonts w:ascii="Times New Roman" w:hAnsi="Times New Roman" w:cs="Times New Roman"/>
          <w:sz w:val="24"/>
          <w:szCs w:val="24"/>
        </w:rPr>
        <w:br/>
      </w:r>
      <w:r w:rsidRPr="00F27A8A">
        <w:rPr>
          <w:rFonts w:ascii="Times New Roman" w:hAnsi="Times New Roman" w:cs="Times New Roman"/>
          <w:sz w:val="24"/>
          <w:szCs w:val="24"/>
        </w:rPr>
        <w:t>i kulturalnego wg układu powiatowego i gminnego</w:t>
      </w:r>
      <w:r w:rsidR="00020479">
        <w:rPr>
          <w:rStyle w:val="Odwoanieprzypisudolnego"/>
          <w:rFonts w:ascii="Times New Roman" w:hAnsi="Times New Roman" w:cs="Times New Roman"/>
          <w:sz w:val="24"/>
          <w:szCs w:val="24"/>
        </w:rPr>
        <w:footnoteReference w:id="47"/>
      </w:r>
      <w:r w:rsidRPr="00F27A8A">
        <w:rPr>
          <w:rFonts w:ascii="Times New Roman" w:hAnsi="Times New Roman" w:cs="Times New Roman"/>
          <w:sz w:val="24"/>
          <w:szCs w:val="24"/>
        </w:rPr>
        <w:t xml:space="preserve">. </w:t>
      </w:r>
    </w:p>
    <w:p w14:paraId="7AC41287" w14:textId="77777777" w:rsidR="00B262F1" w:rsidRDefault="00B262F1" w:rsidP="00493925">
      <w:pPr>
        <w:spacing w:after="0"/>
        <w:jc w:val="both"/>
        <w:rPr>
          <w:rFonts w:ascii="Times New Roman" w:hAnsi="Times New Roman" w:cs="Times New Roman"/>
          <w:sz w:val="24"/>
          <w:szCs w:val="24"/>
        </w:rPr>
      </w:pPr>
    </w:p>
    <w:p w14:paraId="4F07C9BE" w14:textId="77777777" w:rsidR="0050177A" w:rsidRPr="00F27A8A" w:rsidRDefault="0050177A" w:rsidP="00493925">
      <w:pPr>
        <w:spacing w:after="0"/>
        <w:jc w:val="both"/>
        <w:rPr>
          <w:rFonts w:ascii="Times New Roman" w:hAnsi="Times New Roman" w:cs="Times New Roman"/>
          <w:sz w:val="24"/>
          <w:szCs w:val="24"/>
        </w:rPr>
      </w:pPr>
      <w:r w:rsidRPr="00F27A8A">
        <w:rPr>
          <w:rFonts w:ascii="Times New Roman" w:hAnsi="Times New Roman" w:cs="Times New Roman"/>
          <w:sz w:val="24"/>
          <w:szCs w:val="24"/>
        </w:rPr>
        <w:t xml:space="preserve">W ramach Biblioteki Seniora w 2019 r. wydano </w:t>
      </w:r>
      <w:r w:rsidRPr="00AB012F">
        <w:rPr>
          <w:rFonts w:ascii="Times New Roman" w:hAnsi="Times New Roman" w:cs="Times New Roman"/>
          <w:b/>
          <w:sz w:val="24"/>
          <w:szCs w:val="24"/>
        </w:rPr>
        <w:t>„Śpiewnik dla seniora. Śpiewnik wspomagający funkcje poznawcze”</w:t>
      </w:r>
      <w:r w:rsidRPr="00F27A8A">
        <w:rPr>
          <w:rFonts w:ascii="Times New Roman" w:hAnsi="Times New Roman" w:cs="Times New Roman"/>
          <w:sz w:val="24"/>
          <w:szCs w:val="24"/>
        </w:rPr>
        <w:t xml:space="preserve">. Zawartość merytoryczna publikacji: teksty pieśni oraz szablony z tekstami pieśni do ćwiczeń funkcji poznawczych (technika uzupełniania luk w tekście znanych pieśni), mające na celu wspieranie sprawności psychofizycznej u osób starszych. Nakład publikacji: 2 500 egzemplarzy. Do 2019 r.  w ramach serii „Biblioteka Nestora” wydano 11 tytułów popularyzujących istotne zagadnienia związane z „dobrym </w:t>
      </w:r>
      <w:r w:rsidRPr="00F27A8A">
        <w:rPr>
          <w:rFonts w:ascii="Times New Roman" w:hAnsi="Times New Roman" w:cs="Times New Roman"/>
          <w:sz w:val="24"/>
          <w:szCs w:val="24"/>
        </w:rPr>
        <w:lastRenderedPageBreak/>
        <w:t>starzeniem się” – łączny nakład wszystkich publikacji to 76 500 egzemplarzy, które zostały nieodpłatnie  przekazane  mieszkańcom Dolnego Śląska</w:t>
      </w:r>
      <w:r w:rsidR="00C11E37">
        <w:rPr>
          <w:rStyle w:val="Odwoanieprzypisudolnego"/>
          <w:rFonts w:ascii="Times New Roman" w:hAnsi="Times New Roman" w:cs="Times New Roman"/>
          <w:sz w:val="24"/>
          <w:szCs w:val="24"/>
        </w:rPr>
        <w:footnoteReference w:id="48"/>
      </w:r>
      <w:r w:rsidRPr="00F27A8A">
        <w:rPr>
          <w:rFonts w:ascii="Times New Roman" w:hAnsi="Times New Roman" w:cs="Times New Roman"/>
          <w:sz w:val="24"/>
          <w:szCs w:val="24"/>
        </w:rPr>
        <w:t xml:space="preserve">. </w:t>
      </w:r>
    </w:p>
    <w:p w14:paraId="78D34BDF" w14:textId="77777777" w:rsidR="00A77DEB" w:rsidRDefault="00A77DEB" w:rsidP="00493925">
      <w:pPr>
        <w:spacing w:after="0"/>
        <w:jc w:val="both"/>
        <w:rPr>
          <w:rFonts w:ascii="Times New Roman" w:hAnsi="Times New Roman" w:cs="Times New Roman"/>
          <w:sz w:val="24"/>
          <w:szCs w:val="24"/>
        </w:rPr>
      </w:pPr>
    </w:p>
    <w:p w14:paraId="5D129FA6" w14:textId="77777777" w:rsidR="0050177A" w:rsidRPr="00F27A8A" w:rsidRDefault="0050177A" w:rsidP="00493925">
      <w:pPr>
        <w:spacing w:after="0"/>
        <w:jc w:val="both"/>
        <w:rPr>
          <w:rFonts w:ascii="Times New Roman" w:hAnsi="Times New Roman" w:cs="Times New Roman"/>
          <w:sz w:val="24"/>
          <w:szCs w:val="24"/>
        </w:rPr>
      </w:pPr>
      <w:r w:rsidRPr="00F27A8A">
        <w:rPr>
          <w:rFonts w:ascii="Times New Roman" w:hAnsi="Times New Roman" w:cs="Times New Roman"/>
          <w:sz w:val="24"/>
          <w:szCs w:val="24"/>
        </w:rPr>
        <w:t>Cyklicznie organizowano we współpracy z doln</w:t>
      </w:r>
      <w:r w:rsidR="00AB012F">
        <w:rPr>
          <w:rFonts w:ascii="Times New Roman" w:hAnsi="Times New Roman" w:cs="Times New Roman"/>
          <w:sz w:val="24"/>
          <w:szCs w:val="24"/>
        </w:rPr>
        <w:t xml:space="preserve">ośląskimi organizacjami kultury </w:t>
      </w:r>
      <w:r w:rsidRPr="00F27A8A">
        <w:rPr>
          <w:rFonts w:ascii="Times New Roman" w:hAnsi="Times New Roman" w:cs="Times New Roman"/>
          <w:sz w:val="24"/>
          <w:szCs w:val="24"/>
        </w:rPr>
        <w:t xml:space="preserve">(m.in. Filharmonią Wrocławską/Narodowym Forum Muzyki we Wrocławiu, Teatrem Polskim we Wrocławiu, Filharmonią Sudecką itp.) przedsięwzięcia kulturalne (koncerty muzyki poważnej, spektakle) dla seniorów oraz ich rodzin, mające na celu aktywizację kulturalną seniorów oraz ich integrację ze społeczeństwem. W latach 2010-2019 zorganizowano </w:t>
      </w:r>
      <w:r w:rsidR="00D709CA">
        <w:rPr>
          <w:rFonts w:ascii="Times New Roman" w:hAnsi="Times New Roman" w:cs="Times New Roman"/>
          <w:sz w:val="24"/>
          <w:szCs w:val="24"/>
        </w:rPr>
        <w:br/>
      </w:r>
      <w:r w:rsidRPr="00F27A8A">
        <w:rPr>
          <w:rFonts w:ascii="Times New Roman" w:hAnsi="Times New Roman" w:cs="Times New Roman"/>
          <w:sz w:val="24"/>
          <w:szCs w:val="24"/>
        </w:rPr>
        <w:t xml:space="preserve">26 przedsięwzięć kulturalnych, w których uczestniczyło łącznie ok. 12 700 osób starszych </w:t>
      </w:r>
      <w:r w:rsidR="00D709CA">
        <w:rPr>
          <w:rFonts w:ascii="Times New Roman" w:hAnsi="Times New Roman" w:cs="Times New Roman"/>
          <w:sz w:val="24"/>
          <w:szCs w:val="24"/>
        </w:rPr>
        <w:br/>
      </w:r>
      <w:r w:rsidRPr="00F27A8A">
        <w:rPr>
          <w:rFonts w:ascii="Times New Roman" w:hAnsi="Times New Roman" w:cs="Times New Roman"/>
          <w:sz w:val="24"/>
          <w:szCs w:val="24"/>
        </w:rPr>
        <w:t>i ich rodzin.</w:t>
      </w:r>
    </w:p>
    <w:p w14:paraId="2E83840A" w14:textId="77777777" w:rsidR="00A77DEB" w:rsidRDefault="00A77DEB" w:rsidP="00493925">
      <w:pPr>
        <w:spacing w:after="0"/>
        <w:jc w:val="both"/>
        <w:rPr>
          <w:rFonts w:ascii="Times New Roman" w:hAnsi="Times New Roman" w:cs="Times New Roman"/>
          <w:sz w:val="24"/>
          <w:szCs w:val="24"/>
        </w:rPr>
      </w:pPr>
    </w:p>
    <w:p w14:paraId="066D3A38" w14:textId="77777777" w:rsidR="0050177A" w:rsidRPr="00F27A8A" w:rsidRDefault="0050177A" w:rsidP="00493925">
      <w:pPr>
        <w:spacing w:after="0"/>
        <w:jc w:val="both"/>
        <w:rPr>
          <w:rFonts w:ascii="Times New Roman" w:hAnsi="Times New Roman" w:cs="Times New Roman"/>
          <w:sz w:val="24"/>
          <w:szCs w:val="24"/>
        </w:rPr>
      </w:pPr>
      <w:r w:rsidRPr="00F27A8A">
        <w:rPr>
          <w:rFonts w:ascii="Times New Roman" w:hAnsi="Times New Roman" w:cs="Times New Roman"/>
          <w:sz w:val="24"/>
          <w:szCs w:val="24"/>
        </w:rPr>
        <w:t xml:space="preserve">W 2019 r. Zarząd Województwa Dolnośląskiego zlecił m.in. Świdnickiemu Uniwersytetowi Trzeciego Wieku realizację zadania publicznego pn. </w:t>
      </w:r>
      <w:r w:rsidRPr="00AB012F">
        <w:rPr>
          <w:rFonts w:ascii="Times New Roman" w:hAnsi="Times New Roman" w:cs="Times New Roman"/>
          <w:b/>
          <w:sz w:val="24"/>
          <w:szCs w:val="24"/>
        </w:rPr>
        <w:t>„Wsparcie społeczne osób starszych województwa dolnośląsk</w:t>
      </w:r>
      <w:r w:rsidR="00C11E37" w:rsidRPr="00AB012F">
        <w:rPr>
          <w:rFonts w:ascii="Times New Roman" w:hAnsi="Times New Roman" w:cs="Times New Roman"/>
          <w:b/>
          <w:sz w:val="24"/>
          <w:szCs w:val="24"/>
        </w:rPr>
        <w:t>iego w środowisku zamieszkania”</w:t>
      </w:r>
      <w:r w:rsidR="00C11E37">
        <w:rPr>
          <w:rStyle w:val="Odwoanieprzypisudolnego"/>
          <w:rFonts w:ascii="Times New Roman" w:hAnsi="Times New Roman" w:cs="Times New Roman"/>
          <w:sz w:val="24"/>
          <w:szCs w:val="24"/>
        </w:rPr>
        <w:footnoteReference w:id="49"/>
      </w:r>
      <w:r w:rsidR="00C11E37">
        <w:rPr>
          <w:rFonts w:ascii="Times New Roman" w:hAnsi="Times New Roman" w:cs="Times New Roman"/>
          <w:sz w:val="24"/>
          <w:szCs w:val="24"/>
        </w:rPr>
        <w:t>.</w:t>
      </w:r>
    </w:p>
    <w:p w14:paraId="275F2DDE" w14:textId="77777777" w:rsidR="00A77DEB" w:rsidRDefault="00A77DEB" w:rsidP="003C1988">
      <w:pPr>
        <w:spacing w:after="0"/>
        <w:rPr>
          <w:rFonts w:ascii="Times New Roman" w:hAnsi="Times New Roman" w:cs="Times New Roman"/>
          <w:sz w:val="24"/>
          <w:szCs w:val="24"/>
        </w:rPr>
      </w:pPr>
    </w:p>
    <w:p w14:paraId="096F67FB" w14:textId="77777777" w:rsidR="0050177A" w:rsidRPr="00F27A8A" w:rsidRDefault="0050177A" w:rsidP="00493925">
      <w:pPr>
        <w:spacing w:after="0"/>
        <w:jc w:val="both"/>
        <w:rPr>
          <w:rFonts w:ascii="Times New Roman" w:hAnsi="Times New Roman" w:cs="Times New Roman"/>
          <w:sz w:val="24"/>
          <w:szCs w:val="24"/>
        </w:rPr>
      </w:pPr>
      <w:r w:rsidRPr="00F27A8A">
        <w:rPr>
          <w:rFonts w:ascii="Times New Roman" w:hAnsi="Times New Roman" w:cs="Times New Roman"/>
          <w:sz w:val="24"/>
          <w:szCs w:val="24"/>
        </w:rPr>
        <w:t>Działania podjęte na rzecz seniorów w zakresie polityki zdrowotnej w 2019 r. to m.in.:</w:t>
      </w:r>
    </w:p>
    <w:p w14:paraId="11F4C2DB" w14:textId="77777777" w:rsidR="00A605EF" w:rsidRPr="00D709CA" w:rsidRDefault="0050177A" w:rsidP="00493925">
      <w:pPr>
        <w:pStyle w:val="Akapitzlist"/>
        <w:numPr>
          <w:ilvl w:val="0"/>
          <w:numId w:val="36"/>
        </w:numPr>
        <w:spacing w:after="0"/>
        <w:ind w:left="360"/>
        <w:jc w:val="both"/>
        <w:rPr>
          <w:rFonts w:ascii="Times New Roman" w:hAnsi="Times New Roman" w:cs="Times New Roman"/>
          <w:sz w:val="24"/>
          <w:szCs w:val="24"/>
        </w:rPr>
      </w:pPr>
      <w:r w:rsidRPr="00D709CA">
        <w:rPr>
          <w:rFonts w:ascii="Times New Roman" w:hAnsi="Times New Roman" w:cs="Times New Roman"/>
          <w:sz w:val="24"/>
          <w:szCs w:val="24"/>
        </w:rPr>
        <w:t xml:space="preserve">zadanie: XIII Forum Dolnośląskich UTW </w:t>
      </w:r>
      <w:r w:rsidRPr="00AB012F">
        <w:rPr>
          <w:rFonts w:ascii="Times New Roman" w:hAnsi="Times New Roman" w:cs="Times New Roman"/>
          <w:b/>
          <w:sz w:val="24"/>
          <w:szCs w:val="24"/>
        </w:rPr>
        <w:t>„Wsłuchaj się w swoje ciało”</w:t>
      </w:r>
      <w:r w:rsidRPr="00D709CA">
        <w:rPr>
          <w:rFonts w:ascii="Times New Roman" w:hAnsi="Times New Roman" w:cs="Times New Roman"/>
          <w:sz w:val="24"/>
          <w:szCs w:val="24"/>
        </w:rPr>
        <w:t xml:space="preserve"> – działania aktywizujące dla uniwersytetów trzeciego wieku. Jubileusz 10-lecia UTW „Jeszcze Młodzi” – realizator: Federacja</w:t>
      </w:r>
      <w:r w:rsidR="00A605EF" w:rsidRPr="00D709CA">
        <w:rPr>
          <w:rFonts w:ascii="Times New Roman" w:hAnsi="Times New Roman" w:cs="Times New Roman"/>
          <w:sz w:val="24"/>
          <w:szCs w:val="24"/>
        </w:rPr>
        <w:t xml:space="preserve"> Uniwersytetów Trzeciego Wieku</w:t>
      </w:r>
      <w:r w:rsidR="00C11E37">
        <w:rPr>
          <w:rStyle w:val="Odwoanieprzypisudolnego"/>
          <w:rFonts w:ascii="Times New Roman" w:hAnsi="Times New Roman" w:cs="Times New Roman"/>
          <w:sz w:val="24"/>
          <w:szCs w:val="24"/>
        </w:rPr>
        <w:footnoteReference w:id="50"/>
      </w:r>
      <w:r w:rsidR="00C11E37">
        <w:rPr>
          <w:rFonts w:ascii="Times New Roman" w:hAnsi="Times New Roman" w:cs="Times New Roman"/>
          <w:sz w:val="24"/>
          <w:szCs w:val="24"/>
        </w:rPr>
        <w:t>;</w:t>
      </w:r>
    </w:p>
    <w:p w14:paraId="75E407A6" w14:textId="77777777" w:rsidR="00A605EF" w:rsidRPr="00A77DEB" w:rsidRDefault="0050177A" w:rsidP="00493925">
      <w:pPr>
        <w:pStyle w:val="Akapitzlist"/>
        <w:numPr>
          <w:ilvl w:val="0"/>
          <w:numId w:val="29"/>
        </w:numPr>
        <w:spacing w:after="0"/>
        <w:ind w:left="360"/>
        <w:jc w:val="both"/>
        <w:rPr>
          <w:rFonts w:ascii="Times New Roman" w:hAnsi="Times New Roman" w:cs="Times New Roman"/>
          <w:sz w:val="24"/>
          <w:szCs w:val="24"/>
        </w:rPr>
      </w:pPr>
      <w:r w:rsidRPr="00A77DEB">
        <w:rPr>
          <w:rFonts w:ascii="Times New Roman" w:hAnsi="Times New Roman" w:cs="Times New Roman"/>
          <w:sz w:val="24"/>
          <w:szCs w:val="24"/>
        </w:rPr>
        <w:t xml:space="preserve">zadanie: </w:t>
      </w:r>
      <w:r w:rsidRPr="00AB012F">
        <w:rPr>
          <w:rFonts w:ascii="Times New Roman" w:hAnsi="Times New Roman" w:cs="Times New Roman"/>
          <w:b/>
          <w:sz w:val="24"/>
          <w:szCs w:val="24"/>
        </w:rPr>
        <w:t>„Zdrowy styl życia osób 60+”</w:t>
      </w:r>
      <w:r w:rsidRPr="00A77DEB">
        <w:rPr>
          <w:rFonts w:ascii="Times New Roman" w:hAnsi="Times New Roman" w:cs="Times New Roman"/>
          <w:sz w:val="24"/>
          <w:szCs w:val="24"/>
        </w:rPr>
        <w:t xml:space="preserve"> – realizator: Milickie Stowarzyszenie Przyjaciół </w:t>
      </w:r>
      <w:r w:rsidR="00A605EF" w:rsidRPr="00A77DEB">
        <w:rPr>
          <w:rFonts w:ascii="Times New Roman" w:hAnsi="Times New Roman" w:cs="Times New Roman"/>
          <w:sz w:val="24"/>
          <w:szCs w:val="24"/>
        </w:rPr>
        <w:t>Dzieci i Osób Niepełnosprawnych</w:t>
      </w:r>
      <w:r w:rsidR="00C11E37">
        <w:rPr>
          <w:rStyle w:val="Odwoanieprzypisudolnego"/>
          <w:rFonts w:ascii="Times New Roman" w:hAnsi="Times New Roman" w:cs="Times New Roman"/>
          <w:sz w:val="24"/>
          <w:szCs w:val="24"/>
        </w:rPr>
        <w:footnoteReference w:id="51"/>
      </w:r>
      <w:r w:rsidR="00C11E37">
        <w:rPr>
          <w:rFonts w:ascii="Times New Roman" w:hAnsi="Times New Roman" w:cs="Times New Roman"/>
          <w:sz w:val="24"/>
          <w:szCs w:val="24"/>
        </w:rPr>
        <w:t>;</w:t>
      </w:r>
    </w:p>
    <w:p w14:paraId="48065F12" w14:textId="77777777" w:rsidR="0050177A" w:rsidRPr="00A77DEB" w:rsidRDefault="0050177A" w:rsidP="00493925">
      <w:pPr>
        <w:pStyle w:val="Akapitzlist"/>
        <w:numPr>
          <w:ilvl w:val="0"/>
          <w:numId w:val="29"/>
        </w:numPr>
        <w:spacing w:after="0"/>
        <w:ind w:left="360"/>
        <w:jc w:val="both"/>
        <w:rPr>
          <w:rFonts w:ascii="Times New Roman" w:hAnsi="Times New Roman" w:cs="Times New Roman"/>
          <w:sz w:val="24"/>
          <w:szCs w:val="24"/>
        </w:rPr>
      </w:pPr>
      <w:r w:rsidRPr="00A77DEB">
        <w:rPr>
          <w:rFonts w:ascii="Times New Roman" w:hAnsi="Times New Roman" w:cs="Times New Roman"/>
          <w:sz w:val="24"/>
          <w:szCs w:val="24"/>
        </w:rPr>
        <w:t>zadanie</w:t>
      </w:r>
      <w:r w:rsidRPr="00AB012F">
        <w:rPr>
          <w:rFonts w:ascii="Times New Roman" w:hAnsi="Times New Roman" w:cs="Times New Roman"/>
          <w:sz w:val="24"/>
          <w:szCs w:val="24"/>
        </w:rPr>
        <w:t xml:space="preserve">: </w:t>
      </w:r>
      <w:r w:rsidRPr="00AB012F">
        <w:rPr>
          <w:rFonts w:ascii="Times New Roman" w:hAnsi="Times New Roman" w:cs="Times New Roman"/>
          <w:b/>
          <w:sz w:val="24"/>
          <w:szCs w:val="24"/>
        </w:rPr>
        <w:t>„Seniorzy w akcji”</w:t>
      </w:r>
      <w:r w:rsidRPr="00A77DEB">
        <w:rPr>
          <w:rFonts w:ascii="Times New Roman" w:hAnsi="Times New Roman" w:cs="Times New Roman"/>
          <w:sz w:val="24"/>
          <w:szCs w:val="24"/>
        </w:rPr>
        <w:t xml:space="preserve"> – Fundacja Prana w Wałbrzychu</w:t>
      </w:r>
      <w:r w:rsidR="00C11E37">
        <w:rPr>
          <w:rStyle w:val="Odwoanieprzypisudolnego"/>
          <w:rFonts w:ascii="Times New Roman" w:hAnsi="Times New Roman" w:cs="Times New Roman"/>
          <w:sz w:val="24"/>
          <w:szCs w:val="24"/>
        </w:rPr>
        <w:footnoteReference w:id="52"/>
      </w:r>
      <w:r w:rsidR="00C11E37">
        <w:rPr>
          <w:rFonts w:ascii="Times New Roman" w:hAnsi="Times New Roman" w:cs="Times New Roman"/>
          <w:sz w:val="24"/>
          <w:szCs w:val="24"/>
        </w:rPr>
        <w:t>;</w:t>
      </w:r>
    </w:p>
    <w:p w14:paraId="377A0171" w14:textId="77777777" w:rsidR="00A605EF" w:rsidRPr="00A77DEB" w:rsidRDefault="0050177A" w:rsidP="00493925">
      <w:pPr>
        <w:pStyle w:val="Akapitzlist"/>
        <w:numPr>
          <w:ilvl w:val="0"/>
          <w:numId w:val="29"/>
        </w:numPr>
        <w:spacing w:after="0"/>
        <w:ind w:left="360"/>
        <w:jc w:val="both"/>
        <w:rPr>
          <w:rFonts w:ascii="Times New Roman" w:hAnsi="Times New Roman" w:cs="Times New Roman"/>
          <w:sz w:val="24"/>
          <w:szCs w:val="24"/>
        </w:rPr>
      </w:pPr>
      <w:r w:rsidRPr="00A77DEB">
        <w:rPr>
          <w:rFonts w:ascii="Times New Roman" w:hAnsi="Times New Roman" w:cs="Times New Roman"/>
          <w:sz w:val="24"/>
          <w:szCs w:val="24"/>
        </w:rPr>
        <w:t xml:space="preserve">zadanie: </w:t>
      </w:r>
      <w:r w:rsidRPr="00AB012F">
        <w:rPr>
          <w:rFonts w:ascii="Times New Roman" w:hAnsi="Times New Roman" w:cs="Times New Roman"/>
          <w:b/>
          <w:sz w:val="24"/>
          <w:szCs w:val="24"/>
        </w:rPr>
        <w:t>„Domowa opieka nad seniorem – szkolenia dla opiekunów”</w:t>
      </w:r>
      <w:r w:rsidRPr="00A77DEB">
        <w:rPr>
          <w:rFonts w:ascii="Times New Roman" w:hAnsi="Times New Roman" w:cs="Times New Roman"/>
          <w:sz w:val="24"/>
          <w:szCs w:val="24"/>
        </w:rPr>
        <w:t xml:space="preserve"> – realizator: Dolnośląska Funda</w:t>
      </w:r>
      <w:r w:rsidR="00C11E37">
        <w:rPr>
          <w:rFonts w:ascii="Times New Roman" w:hAnsi="Times New Roman" w:cs="Times New Roman"/>
          <w:sz w:val="24"/>
          <w:szCs w:val="24"/>
        </w:rPr>
        <w:t>cja Alzheimerowska we Wrocławiu</w:t>
      </w:r>
      <w:r w:rsidR="00C11E37">
        <w:rPr>
          <w:rStyle w:val="Odwoanieprzypisudolnego"/>
          <w:rFonts w:ascii="Times New Roman" w:hAnsi="Times New Roman" w:cs="Times New Roman"/>
          <w:sz w:val="24"/>
          <w:szCs w:val="24"/>
        </w:rPr>
        <w:footnoteReference w:id="53"/>
      </w:r>
      <w:r w:rsidR="00C11E37">
        <w:rPr>
          <w:rFonts w:ascii="Times New Roman" w:hAnsi="Times New Roman" w:cs="Times New Roman"/>
          <w:sz w:val="24"/>
          <w:szCs w:val="24"/>
        </w:rPr>
        <w:t>.</w:t>
      </w:r>
    </w:p>
    <w:p w14:paraId="5E9625F7" w14:textId="77777777" w:rsidR="00A77DEB" w:rsidRDefault="00A77DEB" w:rsidP="00493925">
      <w:pPr>
        <w:spacing w:after="0"/>
        <w:jc w:val="both"/>
        <w:rPr>
          <w:rFonts w:ascii="Times New Roman" w:hAnsi="Times New Roman" w:cs="Times New Roman"/>
          <w:sz w:val="24"/>
          <w:szCs w:val="24"/>
        </w:rPr>
      </w:pPr>
    </w:p>
    <w:p w14:paraId="413B4D5F" w14:textId="41142476" w:rsidR="0050177A" w:rsidRPr="00F27A8A" w:rsidRDefault="0050177A" w:rsidP="00493925">
      <w:pPr>
        <w:spacing w:after="0"/>
        <w:jc w:val="both"/>
        <w:rPr>
          <w:rFonts w:ascii="Times New Roman" w:hAnsi="Times New Roman" w:cs="Times New Roman"/>
          <w:sz w:val="24"/>
          <w:szCs w:val="24"/>
        </w:rPr>
      </w:pPr>
      <w:r w:rsidRPr="00F27A8A">
        <w:rPr>
          <w:rFonts w:ascii="Times New Roman" w:hAnsi="Times New Roman" w:cs="Times New Roman"/>
          <w:sz w:val="24"/>
          <w:szCs w:val="24"/>
        </w:rPr>
        <w:t xml:space="preserve">W 2019 r. odbył się Dolnośląski Przegląd Artystycznie Zakręconych Seniorów pn. </w:t>
      </w:r>
      <w:r w:rsidRPr="00AB012F">
        <w:rPr>
          <w:rFonts w:ascii="Times New Roman" w:hAnsi="Times New Roman" w:cs="Times New Roman"/>
          <w:b/>
          <w:sz w:val="24"/>
          <w:szCs w:val="24"/>
        </w:rPr>
        <w:t>„Bo radość jest w nas”</w:t>
      </w:r>
      <w:r w:rsidRPr="00F27A8A">
        <w:rPr>
          <w:rFonts w:ascii="Times New Roman" w:hAnsi="Times New Roman" w:cs="Times New Roman"/>
          <w:sz w:val="24"/>
          <w:szCs w:val="24"/>
        </w:rPr>
        <w:t xml:space="preserve">, którego celem było zaprezentowanie Mieszkańcom Województwa Dolnośląskiego dorobku artystycznego seniorów, wymiana doświadczeń artystycznych, kultywowanie polskich tradycji wśród mieszkańców. W przeglądzie uczestniczyły amatorskie chóry, zespoły śpiewacze, tria, duety, soliści, kabarety, teatry, zespoły taneczne. Laureaci konkursu wzięli udział w koncercie uświetniającym obchody Światowego Dnia Seniora, organizowanym </w:t>
      </w:r>
      <w:r w:rsidR="002578FE">
        <w:rPr>
          <w:rFonts w:ascii="Times New Roman" w:hAnsi="Times New Roman" w:cs="Times New Roman"/>
          <w:sz w:val="24"/>
          <w:szCs w:val="24"/>
        </w:rPr>
        <w:br/>
      </w:r>
      <w:r w:rsidRPr="00F27A8A">
        <w:rPr>
          <w:rFonts w:ascii="Times New Roman" w:hAnsi="Times New Roman" w:cs="Times New Roman"/>
          <w:sz w:val="24"/>
          <w:szCs w:val="24"/>
        </w:rPr>
        <w:t>w Radiu Wrocław, w dni</w:t>
      </w:r>
      <w:r w:rsidR="007A4479">
        <w:rPr>
          <w:rFonts w:ascii="Times New Roman" w:hAnsi="Times New Roman" w:cs="Times New Roman"/>
          <w:sz w:val="24"/>
          <w:szCs w:val="24"/>
        </w:rPr>
        <w:t>u</w:t>
      </w:r>
      <w:r w:rsidRPr="00F27A8A">
        <w:rPr>
          <w:rFonts w:ascii="Times New Roman" w:hAnsi="Times New Roman" w:cs="Times New Roman"/>
          <w:sz w:val="24"/>
          <w:szCs w:val="24"/>
        </w:rPr>
        <w:t xml:space="preserve"> 1 października</w:t>
      </w:r>
      <w:r w:rsidR="00C11E37">
        <w:rPr>
          <w:rStyle w:val="Odwoanieprzypisudolnego"/>
          <w:rFonts w:ascii="Times New Roman" w:hAnsi="Times New Roman" w:cs="Times New Roman"/>
          <w:sz w:val="24"/>
          <w:szCs w:val="24"/>
        </w:rPr>
        <w:footnoteReference w:id="54"/>
      </w:r>
      <w:r w:rsidRPr="00F27A8A">
        <w:rPr>
          <w:rFonts w:ascii="Times New Roman" w:hAnsi="Times New Roman" w:cs="Times New Roman"/>
          <w:sz w:val="24"/>
          <w:szCs w:val="24"/>
        </w:rPr>
        <w:t>.</w:t>
      </w:r>
    </w:p>
    <w:p w14:paraId="1B140AC8" w14:textId="77777777" w:rsidR="00A77DEB" w:rsidRDefault="00A77DEB" w:rsidP="00493925">
      <w:pPr>
        <w:spacing w:after="0"/>
        <w:jc w:val="both"/>
        <w:rPr>
          <w:rFonts w:ascii="Times New Roman" w:hAnsi="Times New Roman" w:cs="Times New Roman"/>
          <w:sz w:val="24"/>
          <w:szCs w:val="24"/>
        </w:rPr>
      </w:pPr>
    </w:p>
    <w:p w14:paraId="6AEE6941" w14:textId="77777777" w:rsidR="0050177A" w:rsidRPr="00F27A8A" w:rsidRDefault="0050177A" w:rsidP="00493925">
      <w:pPr>
        <w:spacing w:after="0"/>
        <w:jc w:val="both"/>
        <w:rPr>
          <w:rFonts w:ascii="Times New Roman" w:hAnsi="Times New Roman" w:cs="Times New Roman"/>
          <w:sz w:val="24"/>
          <w:szCs w:val="24"/>
        </w:rPr>
      </w:pPr>
      <w:r w:rsidRPr="00F27A8A">
        <w:rPr>
          <w:rFonts w:ascii="Times New Roman" w:hAnsi="Times New Roman" w:cs="Times New Roman"/>
          <w:sz w:val="24"/>
          <w:szCs w:val="24"/>
        </w:rPr>
        <w:t xml:space="preserve">W zakresie przeciwdziałania dyskryminacji ze względu na wiek w 2019 r. realizowano projekt Wrocławskiego Centrum Rozwoju Społecznego – Wrocławskiego Centrum Seniora oraz Departamentu Edukacji Urzędu Miasta Wrocławia pn. </w:t>
      </w:r>
      <w:r w:rsidRPr="00AB012F">
        <w:rPr>
          <w:rFonts w:ascii="Times New Roman" w:hAnsi="Times New Roman" w:cs="Times New Roman"/>
          <w:b/>
          <w:sz w:val="24"/>
          <w:szCs w:val="24"/>
        </w:rPr>
        <w:t xml:space="preserve">„Miasto Pokoleń – projekt edukacji </w:t>
      </w:r>
      <w:r w:rsidR="002578FE" w:rsidRPr="00AB012F">
        <w:rPr>
          <w:rFonts w:ascii="Times New Roman" w:hAnsi="Times New Roman" w:cs="Times New Roman"/>
          <w:b/>
          <w:sz w:val="24"/>
          <w:szCs w:val="24"/>
        </w:rPr>
        <w:br/>
      </w:r>
      <w:r w:rsidRPr="00AB012F">
        <w:rPr>
          <w:rFonts w:ascii="Times New Roman" w:hAnsi="Times New Roman" w:cs="Times New Roman"/>
          <w:b/>
          <w:sz w:val="24"/>
          <w:szCs w:val="24"/>
        </w:rPr>
        <w:lastRenderedPageBreak/>
        <w:t>do starości”</w:t>
      </w:r>
      <w:r w:rsidRPr="00F27A8A">
        <w:rPr>
          <w:rFonts w:ascii="Times New Roman" w:hAnsi="Times New Roman" w:cs="Times New Roman"/>
          <w:sz w:val="24"/>
          <w:szCs w:val="24"/>
        </w:rPr>
        <w:t>.</w:t>
      </w:r>
      <w:r w:rsidRPr="00F27A8A">
        <w:rPr>
          <w:rFonts w:ascii="Times New Roman" w:hAnsi="Times New Roman" w:cs="Times New Roman"/>
          <w:sz w:val="24"/>
          <w:szCs w:val="24"/>
          <w:shd w:val="clear" w:color="auto" w:fill="FFFFFF"/>
        </w:rPr>
        <w:t xml:space="preserve"> </w:t>
      </w:r>
      <w:r w:rsidRPr="00F27A8A">
        <w:rPr>
          <w:rFonts w:ascii="Times New Roman" w:hAnsi="Times New Roman" w:cs="Times New Roman"/>
          <w:sz w:val="24"/>
          <w:szCs w:val="24"/>
        </w:rPr>
        <w:t>To program edukacji społecznej dotyczący osób starszych i procesu starzenia się, którego celem jest upowszechnianie wiedzy gerontologicznej wśród dzieci i młodzieży, prowadzenie dyskusji na temat starości, starzenia się, wzmacnia</w:t>
      </w:r>
      <w:r w:rsidR="00A77DEB">
        <w:rPr>
          <w:rFonts w:ascii="Times New Roman" w:hAnsi="Times New Roman" w:cs="Times New Roman"/>
          <w:sz w:val="24"/>
          <w:szCs w:val="24"/>
        </w:rPr>
        <w:t xml:space="preserve">nie postawy szacunku wobec osób </w:t>
      </w:r>
      <w:r w:rsidRPr="00F27A8A">
        <w:rPr>
          <w:rFonts w:ascii="Times New Roman" w:hAnsi="Times New Roman" w:cs="Times New Roman"/>
          <w:sz w:val="24"/>
          <w:szCs w:val="24"/>
        </w:rPr>
        <w:t>starszych. Projekt polega na spotkaniu dzieci z edukatorami-seniorami przeprowadzającymi prelekcje, warsztaty i wykłady odbywające się w szkołach. Projekt „Miasto Pokoleń” zyskało miano „Złotej Praktyki” i zostało wpisane do  „Złotej Księgi Dobrych Praktyk na Rzecz Społecznego Uczestnictwa Osób Starszych”. W edycji 2019/2020 udział wzięło 33 placówki  edukacyjne i 12 edukatorów.</w:t>
      </w:r>
    </w:p>
    <w:p w14:paraId="5748D135" w14:textId="77777777" w:rsidR="0050177A" w:rsidRPr="00F27A8A" w:rsidRDefault="0050177A" w:rsidP="003C1988">
      <w:pPr>
        <w:spacing w:after="0"/>
        <w:rPr>
          <w:rFonts w:ascii="Times New Roman" w:hAnsi="Times New Roman" w:cs="Times New Roman"/>
          <w:sz w:val="24"/>
          <w:szCs w:val="24"/>
        </w:rPr>
      </w:pPr>
    </w:p>
    <w:p w14:paraId="1F8EBBFE" w14:textId="77777777" w:rsidR="0050177A" w:rsidRPr="00A308B5" w:rsidRDefault="0050177A" w:rsidP="00493925">
      <w:pPr>
        <w:spacing w:after="0"/>
        <w:jc w:val="both"/>
        <w:rPr>
          <w:rFonts w:ascii="Times New Roman" w:hAnsi="Times New Roman" w:cs="Times New Roman"/>
          <w:color w:val="00B0F0"/>
          <w:sz w:val="24"/>
          <w:szCs w:val="24"/>
        </w:rPr>
      </w:pPr>
      <w:r w:rsidRPr="00A308B5">
        <w:rPr>
          <w:rFonts w:ascii="Times New Roman" w:hAnsi="Times New Roman" w:cs="Times New Roman"/>
          <w:b/>
          <w:color w:val="00B0F0"/>
          <w:sz w:val="24"/>
          <w:szCs w:val="24"/>
        </w:rPr>
        <w:t>Przykłady dobrych pra</w:t>
      </w:r>
      <w:r w:rsidR="00A77DEB" w:rsidRPr="00A308B5">
        <w:rPr>
          <w:rFonts w:ascii="Times New Roman" w:hAnsi="Times New Roman" w:cs="Times New Roman"/>
          <w:b/>
          <w:color w:val="00B0F0"/>
          <w:sz w:val="24"/>
          <w:szCs w:val="24"/>
        </w:rPr>
        <w:t xml:space="preserve">ktyk na poziomie </w:t>
      </w:r>
      <w:r w:rsidR="000A348C" w:rsidRPr="00A308B5">
        <w:rPr>
          <w:rFonts w:ascii="Times New Roman" w:hAnsi="Times New Roman" w:cs="Times New Roman"/>
          <w:b/>
          <w:color w:val="00B0F0"/>
          <w:sz w:val="24"/>
          <w:szCs w:val="24"/>
        </w:rPr>
        <w:t>lokalnym</w:t>
      </w:r>
    </w:p>
    <w:p w14:paraId="41CEBBAA" w14:textId="77777777" w:rsidR="002578FE" w:rsidRDefault="0050177A" w:rsidP="00493925">
      <w:pPr>
        <w:pStyle w:val="Akapitzlist"/>
        <w:numPr>
          <w:ilvl w:val="0"/>
          <w:numId w:val="29"/>
        </w:numPr>
        <w:spacing w:after="0"/>
        <w:ind w:left="360"/>
        <w:jc w:val="both"/>
        <w:rPr>
          <w:rFonts w:ascii="Times New Roman" w:hAnsi="Times New Roman" w:cs="Times New Roman"/>
          <w:sz w:val="24"/>
          <w:szCs w:val="24"/>
        </w:rPr>
      </w:pPr>
      <w:r w:rsidRPr="002578FE">
        <w:rPr>
          <w:rFonts w:ascii="Times New Roman" w:hAnsi="Times New Roman" w:cs="Times New Roman"/>
          <w:sz w:val="24"/>
          <w:szCs w:val="24"/>
        </w:rPr>
        <w:t>Powiat Lubiński – kontynuacja realizacji na terenie Powiatu Lubińskiego „Programu w zakresie działań psychoedukacyjnych, profilaktyki i wczesnego wykrywania chorób otępiennych wśród mieszkańców Powiatu Lubińskiego po 55 roku życia”. W 2019 r. przebadano 958 uczestników.</w:t>
      </w:r>
    </w:p>
    <w:p w14:paraId="33025208" w14:textId="77777777" w:rsidR="00CB35E4" w:rsidRDefault="0050177A" w:rsidP="00493925">
      <w:pPr>
        <w:pStyle w:val="Akapitzlist"/>
        <w:numPr>
          <w:ilvl w:val="0"/>
          <w:numId w:val="29"/>
        </w:numPr>
        <w:spacing w:after="0"/>
        <w:ind w:left="360"/>
        <w:jc w:val="both"/>
        <w:rPr>
          <w:rFonts w:ascii="Times New Roman" w:hAnsi="Times New Roman" w:cs="Times New Roman"/>
          <w:sz w:val="24"/>
          <w:szCs w:val="24"/>
        </w:rPr>
      </w:pPr>
      <w:r w:rsidRPr="002578FE">
        <w:rPr>
          <w:rFonts w:ascii="Times New Roman" w:hAnsi="Times New Roman" w:cs="Times New Roman"/>
          <w:sz w:val="24"/>
          <w:szCs w:val="24"/>
        </w:rPr>
        <w:t>Wrocławskie Centrum Seniora (WCS), jako jednostka miejska, działająca w ramach Wrocławskiego Centrum Rozwoju Społecznego podejmuje szerokie działania, których celem jest aktywizacja środowisk senioralnych we Wrocławiu, a także osób w wieku 60+ zamieszkujących obszar Gminy Wrocław.</w:t>
      </w:r>
    </w:p>
    <w:p w14:paraId="7B11DE9C" w14:textId="77777777" w:rsidR="00CB35E4" w:rsidRDefault="0050177A" w:rsidP="00493925">
      <w:pPr>
        <w:pStyle w:val="Akapitzlist"/>
        <w:numPr>
          <w:ilvl w:val="0"/>
          <w:numId w:val="29"/>
        </w:numPr>
        <w:spacing w:after="0"/>
        <w:ind w:left="360"/>
        <w:jc w:val="both"/>
        <w:rPr>
          <w:rFonts w:ascii="Times New Roman" w:hAnsi="Times New Roman" w:cs="Times New Roman"/>
          <w:sz w:val="24"/>
          <w:szCs w:val="24"/>
        </w:rPr>
      </w:pPr>
      <w:r w:rsidRPr="00CB35E4">
        <w:rPr>
          <w:rFonts w:ascii="Times New Roman" w:hAnsi="Times New Roman" w:cs="Times New Roman"/>
          <w:i/>
          <w:sz w:val="24"/>
          <w:szCs w:val="24"/>
        </w:rPr>
        <w:t>Wrocławska Karta Seniora</w:t>
      </w:r>
      <w:r w:rsidRPr="00CB35E4">
        <w:rPr>
          <w:rFonts w:ascii="Times New Roman" w:hAnsi="Times New Roman" w:cs="Times New Roman"/>
          <w:sz w:val="24"/>
          <w:szCs w:val="24"/>
        </w:rPr>
        <w:t xml:space="preserve"> to innowacyjny projekt miasta Wrocławia, skierowany do osób powyżej 60 roku życia mieszkających we Wrocławiu. Umożliwia seniorom korzystanie </w:t>
      </w:r>
      <w:r w:rsidR="00CB35E4">
        <w:rPr>
          <w:rFonts w:ascii="Times New Roman" w:hAnsi="Times New Roman" w:cs="Times New Roman"/>
          <w:sz w:val="24"/>
          <w:szCs w:val="24"/>
        </w:rPr>
        <w:br/>
      </w:r>
      <w:r w:rsidRPr="00CB35E4">
        <w:rPr>
          <w:rFonts w:ascii="Times New Roman" w:hAnsi="Times New Roman" w:cs="Times New Roman"/>
          <w:sz w:val="24"/>
          <w:szCs w:val="24"/>
        </w:rPr>
        <w:t xml:space="preserve">z promocji i ofert przygotowanych przez firmy i instytucje specjalnie z myślą o nich. </w:t>
      </w:r>
      <w:r w:rsidR="00CB35E4">
        <w:rPr>
          <w:rFonts w:ascii="Times New Roman" w:hAnsi="Times New Roman" w:cs="Times New Roman"/>
          <w:sz w:val="24"/>
          <w:szCs w:val="24"/>
        </w:rPr>
        <w:br/>
      </w:r>
      <w:r w:rsidRPr="00CB35E4">
        <w:rPr>
          <w:rFonts w:ascii="Times New Roman" w:hAnsi="Times New Roman" w:cs="Times New Roman"/>
          <w:sz w:val="24"/>
          <w:szCs w:val="24"/>
        </w:rPr>
        <w:t>Od 2019 r. Karta jest oferowana w trzech kategoriach: 60+ Srebrna, Złota dla osób 75+ oraz dla osób 90+ Szmaragdowa. Karta Złota uprawnia do korzystania z programu Senior Taxi. Szmaragdowa obejmuje bezpłatne usługi realizowane w domu seniora m.in. konsultacje optometrysty oraz wyrobienie 2 szt. okularów, obsługa fryzjerska, drobne naprawy, zabiegi podologa, sprzątanie, pranie, wolontariat. W 2019</w:t>
      </w:r>
      <w:r w:rsidR="00CB35E4">
        <w:rPr>
          <w:rFonts w:ascii="Times New Roman" w:hAnsi="Times New Roman" w:cs="Times New Roman"/>
          <w:sz w:val="24"/>
          <w:szCs w:val="24"/>
        </w:rPr>
        <w:t xml:space="preserve"> r.</w:t>
      </w:r>
      <w:r w:rsidRPr="00CB35E4">
        <w:rPr>
          <w:rFonts w:ascii="Times New Roman" w:hAnsi="Times New Roman" w:cs="Times New Roman"/>
          <w:sz w:val="24"/>
          <w:szCs w:val="24"/>
        </w:rPr>
        <w:t xml:space="preserve"> wydano: Karta Srebrna 12 592, Karta Złota 7 071, Karta Szmaragdowa 1</w:t>
      </w:r>
      <w:r w:rsidR="00CB35E4">
        <w:rPr>
          <w:rFonts w:ascii="Times New Roman" w:hAnsi="Times New Roman" w:cs="Times New Roman"/>
          <w:sz w:val="24"/>
          <w:szCs w:val="24"/>
        </w:rPr>
        <w:t> </w:t>
      </w:r>
      <w:r w:rsidRPr="00CB35E4">
        <w:rPr>
          <w:rFonts w:ascii="Times New Roman" w:hAnsi="Times New Roman" w:cs="Times New Roman"/>
          <w:sz w:val="24"/>
          <w:szCs w:val="24"/>
        </w:rPr>
        <w:t>027.</w:t>
      </w:r>
    </w:p>
    <w:p w14:paraId="7796017A" w14:textId="77777777" w:rsidR="00CB35E4" w:rsidRDefault="0050177A" w:rsidP="00493925">
      <w:pPr>
        <w:pStyle w:val="Akapitzlist"/>
        <w:numPr>
          <w:ilvl w:val="0"/>
          <w:numId w:val="29"/>
        </w:numPr>
        <w:spacing w:after="0"/>
        <w:ind w:left="360"/>
        <w:jc w:val="both"/>
        <w:rPr>
          <w:rFonts w:ascii="Times New Roman" w:hAnsi="Times New Roman" w:cs="Times New Roman"/>
          <w:sz w:val="24"/>
          <w:szCs w:val="24"/>
        </w:rPr>
      </w:pPr>
      <w:r w:rsidRPr="00CB35E4">
        <w:rPr>
          <w:rFonts w:ascii="Times New Roman" w:hAnsi="Times New Roman" w:cs="Times New Roman"/>
          <w:i/>
          <w:sz w:val="24"/>
          <w:szCs w:val="24"/>
        </w:rPr>
        <w:t>Miejsca przyjazne seniorom</w:t>
      </w:r>
      <w:r w:rsidR="00A308B5">
        <w:rPr>
          <w:rFonts w:ascii="Times New Roman" w:hAnsi="Times New Roman" w:cs="Times New Roman"/>
          <w:sz w:val="24"/>
          <w:szCs w:val="24"/>
        </w:rPr>
        <w:t xml:space="preserve"> – Wrocławskie Centrum Seniora</w:t>
      </w:r>
      <w:r w:rsidRPr="00CB35E4">
        <w:rPr>
          <w:rFonts w:ascii="Times New Roman" w:hAnsi="Times New Roman" w:cs="Times New Roman"/>
          <w:sz w:val="24"/>
          <w:szCs w:val="24"/>
        </w:rPr>
        <w:t xml:space="preserve"> honoruje miejsca szczególnie przyjazne osobom starszym. Mowa o takich miejscach, które wolne są od barier komunikacyjnych, architektonicznych lub mają specjalną ofertę dla osób po 60. roku życia. Każde z nich otrzymuje certyfikat Miejsca Przyjaznego Seniorom. Do końca 2019 r. przyznanych zostało 65 certyfikatów Miejsc Przyjaznych Seniorom.</w:t>
      </w:r>
    </w:p>
    <w:p w14:paraId="50C39A6F" w14:textId="77777777" w:rsidR="008439B2" w:rsidRDefault="0050177A" w:rsidP="00493925">
      <w:pPr>
        <w:pStyle w:val="Akapitzlist"/>
        <w:numPr>
          <w:ilvl w:val="0"/>
          <w:numId w:val="29"/>
        </w:numPr>
        <w:spacing w:after="0"/>
        <w:ind w:left="360"/>
        <w:jc w:val="both"/>
        <w:rPr>
          <w:rFonts w:ascii="Times New Roman" w:hAnsi="Times New Roman" w:cs="Times New Roman"/>
          <w:sz w:val="24"/>
          <w:szCs w:val="24"/>
        </w:rPr>
      </w:pPr>
      <w:r w:rsidRPr="00CB35E4">
        <w:rPr>
          <w:rFonts w:ascii="Times New Roman" w:hAnsi="Times New Roman" w:cs="Times New Roman"/>
          <w:sz w:val="24"/>
          <w:szCs w:val="24"/>
        </w:rPr>
        <w:t>Gmina Miejska Kłodzko – Projekt „Transgraniczna integracja międzypokoleniowa” współfinansowany przez UE ze środków Europejskiego Funduszu Rozwoju Regionalnego, dotyczący transgranicznej i międzypokoleniowej współpracy seniorów i juniorów w 6 partnerskich miastach – 3 polskich i 3 czeskich. Celem projektu jest m.in.: wzmocnienie współpracy pomiędzy seniorami i juniorami w obrębie miast partnerskich, ograniczenie negatywnych stereotypów panujących wśród grup docelowych, zarówno wśród seniorów jak i juniorów.</w:t>
      </w:r>
    </w:p>
    <w:p w14:paraId="7B086A90" w14:textId="77777777" w:rsidR="0050177A" w:rsidRPr="008439B2" w:rsidRDefault="0050177A" w:rsidP="00493925">
      <w:pPr>
        <w:pStyle w:val="Akapitzlist"/>
        <w:numPr>
          <w:ilvl w:val="0"/>
          <w:numId w:val="29"/>
        </w:numPr>
        <w:spacing w:after="0"/>
        <w:ind w:left="360"/>
        <w:jc w:val="both"/>
        <w:rPr>
          <w:rFonts w:ascii="Times New Roman" w:hAnsi="Times New Roman" w:cs="Times New Roman"/>
          <w:sz w:val="24"/>
          <w:szCs w:val="24"/>
        </w:rPr>
      </w:pPr>
      <w:r w:rsidRPr="008439B2">
        <w:rPr>
          <w:rFonts w:ascii="Times New Roman" w:hAnsi="Times New Roman" w:cs="Times New Roman"/>
          <w:sz w:val="24"/>
          <w:szCs w:val="24"/>
        </w:rPr>
        <w:t>Gmina Polkowice – „Program lekowy”, dzięki wsparciu Gminy oferowana jest pomoc w formie dofinansowania do leków, program kierowany przede wszystkim do seniorów. Z powyższej pomocy w 2019 r. skorzystały 253 osoby powyżej 60 roku życia</w:t>
      </w:r>
      <w:r w:rsidR="00A308B5">
        <w:rPr>
          <w:rStyle w:val="Odwoanieprzypisudolnego"/>
          <w:rFonts w:ascii="Times New Roman" w:hAnsi="Times New Roman" w:cs="Times New Roman"/>
          <w:sz w:val="24"/>
          <w:szCs w:val="24"/>
        </w:rPr>
        <w:footnoteReference w:id="55"/>
      </w:r>
      <w:r w:rsidRPr="008439B2">
        <w:rPr>
          <w:rFonts w:ascii="Times New Roman" w:hAnsi="Times New Roman" w:cs="Times New Roman"/>
          <w:sz w:val="24"/>
          <w:szCs w:val="24"/>
        </w:rPr>
        <w:t>.</w:t>
      </w:r>
    </w:p>
    <w:p w14:paraId="0CED1924" w14:textId="6FDB8248" w:rsidR="008439B2" w:rsidRPr="0045156C" w:rsidRDefault="0050177A" w:rsidP="0045156C">
      <w:pPr>
        <w:pStyle w:val="Akapitzlist"/>
        <w:numPr>
          <w:ilvl w:val="0"/>
          <w:numId w:val="37"/>
        </w:numPr>
        <w:spacing w:after="0"/>
        <w:ind w:left="360"/>
        <w:jc w:val="both"/>
        <w:rPr>
          <w:rFonts w:ascii="Times New Roman" w:hAnsi="Times New Roman" w:cs="Times New Roman"/>
          <w:sz w:val="24"/>
          <w:szCs w:val="24"/>
        </w:rPr>
      </w:pPr>
      <w:r w:rsidRPr="008439B2">
        <w:rPr>
          <w:rFonts w:ascii="Times New Roman" w:hAnsi="Times New Roman" w:cs="Times New Roman"/>
          <w:sz w:val="24"/>
          <w:szCs w:val="24"/>
        </w:rPr>
        <w:lastRenderedPageBreak/>
        <w:t xml:space="preserve">Gmina Radków – realizowanie usług opieki wytchnieniowej w ramach programu „Opieka wytchnieniowa – edycja </w:t>
      </w:r>
      <w:smartTag w:uri="urn:schemas-microsoft-com:office:smarttags" w:element="metricconverter">
        <w:smartTagPr>
          <w:attr w:name="ProductID" w:val="2019”"/>
        </w:smartTagPr>
        <w:r w:rsidRPr="008439B2">
          <w:rPr>
            <w:rFonts w:ascii="Times New Roman" w:hAnsi="Times New Roman" w:cs="Times New Roman"/>
            <w:sz w:val="24"/>
            <w:szCs w:val="24"/>
          </w:rPr>
          <w:t>2019”</w:t>
        </w:r>
      </w:smartTag>
      <w:r w:rsidRPr="008439B2">
        <w:rPr>
          <w:rFonts w:ascii="Times New Roman" w:hAnsi="Times New Roman" w:cs="Times New Roman"/>
          <w:sz w:val="24"/>
          <w:szCs w:val="24"/>
        </w:rPr>
        <w:t xml:space="preserve"> w ramach środków z Funduszu </w:t>
      </w:r>
      <w:r w:rsidR="0045156C" w:rsidRPr="008439B2">
        <w:rPr>
          <w:rFonts w:ascii="Times New Roman" w:hAnsi="Times New Roman" w:cs="Times New Roman"/>
          <w:sz w:val="24"/>
          <w:szCs w:val="24"/>
        </w:rPr>
        <w:t>Solidarnościowego</w:t>
      </w:r>
      <w:r w:rsidR="0045156C">
        <w:rPr>
          <w:rFonts w:ascii="Times New Roman" w:hAnsi="Times New Roman" w:cs="Times New Roman"/>
          <w:sz w:val="24"/>
          <w:szCs w:val="24"/>
        </w:rPr>
        <w:t xml:space="preserve"> </w:t>
      </w:r>
      <w:r w:rsidR="0045156C" w:rsidRPr="0045156C">
        <w:rPr>
          <w:rFonts w:ascii="Times New Roman" w:hAnsi="Times New Roman" w:cs="Times New Roman"/>
          <w:sz w:val="24"/>
          <w:szCs w:val="24"/>
        </w:rPr>
        <w:t>(</w:t>
      </w:r>
      <w:r w:rsidR="0045156C" w:rsidRPr="0045156C">
        <w:rPr>
          <w:rFonts w:ascii="Times New Roman" w:hAnsi="Times New Roman" w:cs="Times New Roman"/>
          <w:color w:val="000000"/>
          <w:sz w:val="24"/>
          <w:szCs w:val="24"/>
        </w:rPr>
        <w:t xml:space="preserve">do 21 grudnia 2019 r. był to Solidarnościowy Fundusz Wsparcia Osób Niepełnosprawnych). </w:t>
      </w:r>
      <w:r w:rsidRPr="0045156C">
        <w:rPr>
          <w:rFonts w:ascii="Times New Roman" w:hAnsi="Times New Roman" w:cs="Times New Roman"/>
          <w:sz w:val="24"/>
          <w:szCs w:val="24"/>
        </w:rPr>
        <w:t>Z tej formy skorzystało 9 osób/opiekunów sprawujących bezpośrednią opiekę nad osobą niepełnosprawną. Celem udziału w programie było wsparcie członków rodzin lub opiekunów przez doraźną pomoc w formie usługi opieki wytchnieniowej w wykonywaniu dotychczasowych obowiązków.</w:t>
      </w:r>
    </w:p>
    <w:p w14:paraId="7EEA333F" w14:textId="77777777" w:rsidR="0050177A" w:rsidRPr="008439B2" w:rsidRDefault="0050177A" w:rsidP="00493925">
      <w:pPr>
        <w:pStyle w:val="Akapitzlist"/>
        <w:numPr>
          <w:ilvl w:val="0"/>
          <w:numId w:val="37"/>
        </w:numPr>
        <w:spacing w:after="0"/>
        <w:ind w:left="360"/>
        <w:jc w:val="both"/>
        <w:rPr>
          <w:rFonts w:ascii="Times New Roman" w:hAnsi="Times New Roman" w:cs="Times New Roman"/>
          <w:sz w:val="24"/>
          <w:szCs w:val="24"/>
        </w:rPr>
      </w:pPr>
      <w:r w:rsidRPr="008439B2">
        <w:rPr>
          <w:rFonts w:ascii="Times New Roman" w:hAnsi="Times New Roman" w:cs="Times New Roman"/>
          <w:sz w:val="24"/>
          <w:szCs w:val="24"/>
        </w:rPr>
        <w:t>Gmina Chocianów - Program "Chocianowska Karta Seniora". Celem programu jest poprawa jakości życia osób starszych, wzmocnienie ich aktywności społecznej poprzez ułatwienie seniorom dostępu do dóbr kultury, sportu i rozrywki a także kształtowanie pozytywnego wizerunku seniorów.</w:t>
      </w:r>
    </w:p>
    <w:p w14:paraId="79BCE86D" w14:textId="77777777" w:rsidR="00312FA7" w:rsidRDefault="00312FA7" w:rsidP="00493925">
      <w:pPr>
        <w:spacing w:after="0"/>
        <w:jc w:val="both"/>
        <w:rPr>
          <w:rFonts w:ascii="Times New Roman" w:hAnsi="Times New Roman" w:cs="Times New Roman"/>
          <w:sz w:val="24"/>
          <w:szCs w:val="24"/>
        </w:rPr>
      </w:pPr>
    </w:p>
    <w:p w14:paraId="5F2D9734" w14:textId="77777777" w:rsidR="00312FA7" w:rsidRPr="00A308B5" w:rsidRDefault="0050177A" w:rsidP="00493925">
      <w:pPr>
        <w:spacing w:after="0"/>
        <w:jc w:val="both"/>
        <w:rPr>
          <w:rFonts w:ascii="Times New Roman" w:hAnsi="Times New Roman" w:cs="Times New Roman"/>
          <w:color w:val="00B0F0"/>
          <w:sz w:val="24"/>
          <w:szCs w:val="24"/>
        </w:rPr>
      </w:pPr>
      <w:r w:rsidRPr="00A308B5">
        <w:rPr>
          <w:rFonts w:ascii="Times New Roman" w:hAnsi="Times New Roman" w:cs="Times New Roman"/>
          <w:b/>
          <w:color w:val="00B0F0"/>
          <w:sz w:val="24"/>
          <w:szCs w:val="24"/>
        </w:rPr>
        <w:t>Przykłady innowacyjnych rozwiązań</w:t>
      </w:r>
      <w:r w:rsidR="008439B2" w:rsidRPr="00A308B5">
        <w:rPr>
          <w:rFonts w:ascii="Times New Roman" w:hAnsi="Times New Roman" w:cs="Times New Roman"/>
          <w:b/>
          <w:color w:val="00B0F0"/>
          <w:sz w:val="24"/>
          <w:szCs w:val="24"/>
        </w:rPr>
        <w:t xml:space="preserve"> w ramach polityki senioralnej</w:t>
      </w:r>
      <w:r w:rsidRPr="00A308B5">
        <w:rPr>
          <w:rFonts w:ascii="Times New Roman" w:hAnsi="Times New Roman" w:cs="Times New Roman"/>
          <w:b/>
          <w:color w:val="00B0F0"/>
          <w:sz w:val="24"/>
          <w:szCs w:val="24"/>
        </w:rPr>
        <w:t>:</w:t>
      </w:r>
      <w:r w:rsidR="00312FA7" w:rsidRPr="00A308B5">
        <w:rPr>
          <w:rFonts w:ascii="Times New Roman" w:hAnsi="Times New Roman" w:cs="Times New Roman"/>
          <w:color w:val="00B0F0"/>
          <w:sz w:val="24"/>
          <w:szCs w:val="24"/>
        </w:rPr>
        <w:t xml:space="preserve"> </w:t>
      </w:r>
    </w:p>
    <w:p w14:paraId="730E9E99" w14:textId="77777777" w:rsidR="0050177A" w:rsidRPr="008439B2" w:rsidRDefault="0050177A" w:rsidP="00493925">
      <w:pPr>
        <w:pStyle w:val="Akapitzlist"/>
        <w:numPr>
          <w:ilvl w:val="0"/>
          <w:numId w:val="38"/>
        </w:numPr>
        <w:spacing w:after="0"/>
        <w:ind w:left="360"/>
        <w:jc w:val="both"/>
        <w:rPr>
          <w:rFonts w:ascii="Times New Roman" w:hAnsi="Times New Roman" w:cs="Times New Roman"/>
          <w:sz w:val="24"/>
          <w:szCs w:val="24"/>
        </w:rPr>
      </w:pPr>
      <w:r w:rsidRPr="008439B2">
        <w:rPr>
          <w:rFonts w:ascii="Times New Roman" w:hAnsi="Times New Roman" w:cs="Times New Roman"/>
          <w:sz w:val="24"/>
          <w:szCs w:val="24"/>
        </w:rPr>
        <w:t>Gmina Wrocław:</w:t>
      </w:r>
    </w:p>
    <w:p w14:paraId="12E74554" w14:textId="77777777" w:rsidR="002C64F2" w:rsidRDefault="0050177A" w:rsidP="00493925">
      <w:pPr>
        <w:pStyle w:val="Akapitzlist"/>
        <w:numPr>
          <w:ilvl w:val="0"/>
          <w:numId w:val="39"/>
        </w:numPr>
        <w:spacing w:after="0"/>
        <w:ind w:left="643"/>
        <w:jc w:val="both"/>
        <w:rPr>
          <w:rFonts w:ascii="Times New Roman" w:hAnsi="Times New Roman" w:cs="Times New Roman"/>
          <w:sz w:val="24"/>
          <w:szCs w:val="24"/>
        </w:rPr>
      </w:pPr>
      <w:r w:rsidRPr="008439B2">
        <w:rPr>
          <w:rFonts w:ascii="Times New Roman" w:hAnsi="Times New Roman" w:cs="Times New Roman"/>
          <w:sz w:val="24"/>
          <w:szCs w:val="24"/>
        </w:rPr>
        <w:t>działalność prowadzona w ramach Uniwersytetów Trzeciego Wieku  (UTW) jest formą wsparcia środowiska senioralnego. W 2019 r. dotację w wysokości 156 900 zł rozdysponowano pomiędzy 5 UTW. Liczba słuchaczy dofinansowanych przez miasto to 1</w:t>
      </w:r>
      <w:r w:rsidR="002C64F2">
        <w:rPr>
          <w:rFonts w:ascii="Times New Roman" w:hAnsi="Times New Roman" w:cs="Times New Roman"/>
          <w:sz w:val="24"/>
          <w:szCs w:val="24"/>
        </w:rPr>
        <w:t xml:space="preserve"> </w:t>
      </w:r>
      <w:r w:rsidRPr="008439B2">
        <w:rPr>
          <w:rFonts w:ascii="Times New Roman" w:hAnsi="Times New Roman" w:cs="Times New Roman"/>
          <w:sz w:val="24"/>
          <w:szCs w:val="24"/>
        </w:rPr>
        <w:t>323 osoby. Ważne miejsce wśród zajęć zajmowały warsztaty mające na celu oswajanie z technologią informacyjną − warsztaty komputerowe czy fotograficzne.</w:t>
      </w:r>
    </w:p>
    <w:p w14:paraId="4D5B50CD" w14:textId="77777777" w:rsidR="0050177A" w:rsidRPr="002C64F2" w:rsidRDefault="0050177A" w:rsidP="00493925">
      <w:pPr>
        <w:pStyle w:val="Akapitzlist"/>
        <w:numPr>
          <w:ilvl w:val="0"/>
          <w:numId w:val="39"/>
        </w:numPr>
        <w:spacing w:after="0"/>
        <w:ind w:left="643"/>
        <w:jc w:val="both"/>
        <w:rPr>
          <w:rFonts w:ascii="Times New Roman" w:hAnsi="Times New Roman" w:cs="Times New Roman"/>
          <w:sz w:val="24"/>
          <w:szCs w:val="24"/>
        </w:rPr>
      </w:pPr>
      <w:r w:rsidRPr="002C64F2">
        <w:rPr>
          <w:rFonts w:ascii="Times New Roman" w:hAnsi="Times New Roman" w:cs="Times New Roman"/>
          <w:sz w:val="24"/>
          <w:szCs w:val="24"/>
        </w:rPr>
        <w:t xml:space="preserve">Wrocławska Akademia Pierwszej Pomocy (WAPP) to bezpłatne szkolenia dedykowane osobom w każdym wieku, w ramach których uczestnicy nabywają umiejętności udzielania pierwszej pomocy. W 2019 r. w projekcie, realizowanym we współpracy </w:t>
      </w:r>
      <w:r w:rsidR="002C64F2">
        <w:rPr>
          <w:rFonts w:ascii="Times New Roman" w:hAnsi="Times New Roman" w:cs="Times New Roman"/>
          <w:sz w:val="24"/>
          <w:szCs w:val="24"/>
        </w:rPr>
        <w:br/>
      </w:r>
      <w:r w:rsidRPr="002C64F2">
        <w:rPr>
          <w:rFonts w:ascii="Times New Roman" w:hAnsi="Times New Roman" w:cs="Times New Roman"/>
          <w:sz w:val="24"/>
          <w:szCs w:val="24"/>
        </w:rPr>
        <w:t>z Uniwersytetem Medycznym, wzięło udział 2</w:t>
      </w:r>
      <w:r w:rsidR="00A308B5">
        <w:rPr>
          <w:rFonts w:ascii="Times New Roman" w:hAnsi="Times New Roman" w:cs="Times New Roman"/>
          <w:sz w:val="24"/>
          <w:szCs w:val="24"/>
        </w:rPr>
        <w:t xml:space="preserve"> </w:t>
      </w:r>
      <w:r w:rsidRPr="002C64F2">
        <w:rPr>
          <w:rFonts w:ascii="Times New Roman" w:hAnsi="Times New Roman" w:cs="Times New Roman"/>
          <w:sz w:val="24"/>
          <w:szCs w:val="24"/>
        </w:rPr>
        <w:t>910 osób podczas 92 wydarzeń</w:t>
      </w:r>
      <w:r w:rsidR="00A308B5">
        <w:rPr>
          <w:rStyle w:val="Odwoanieprzypisudolnego"/>
          <w:rFonts w:ascii="Times New Roman" w:hAnsi="Times New Roman" w:cs="Times New Roman"/>
          <w:sz w:val="24"/>
          <w:szCs w:val="24"/>
        </w:rPr>
        <w:footnoteReference w:id="56"/>
      </w:r>
      <w:r w:rsidRPr="002C64F2">
        <w:rPr>
          <w:rFonts w:ascii="Times New Roman" w:hAnsi="Times New Roman" w:cs="Times New Roman"/>
          <w:sz w:val="24"/>
          <w:szCs w:val="24"/>
        </w:rPr>
        <w:t>.</w:t>
      </w:r>
    </w:p>
    <w:p w14:paraId="4337A589" w14:textId="77777777" w:rsidR="0050177A" w:rsidRPr="00F27A8A" w:rsidRDefault="0050177A" w:rsidP="00493925">
      <w:pPr>
        <w:pStyle w:val="Akapitzlist"/>
        <w:spacing w:after="0"/>
        <w:ind w:left="0"/>
        <w:jc w:val="both"/>
        <w:rPr>
          <w:rFonts w:ascii="Times New Roman" w:hAnsi="Times New Roman" w:cs="Times New Roman"/>
          <w:sz w:val="24"/>
          <w:szCs w:val="24"/>
        </w:rPr>
      </w:pPr>
    </w:p>
    <w:p w14:paraId="48D6432C" w14:textId="77777777" w:rsidR="002C64F2" w:rsidRDefault="0050177A" w:rsidP="00493925">
      <w:pPr>
        <w:pStyle w:val="Akapitzlist"/>
        <w:spacing w:after="0"/>
        <w:ind w:left="0"/>
        <w:jc w:val="both"/>
        <w:rPr>
          <w:rFonts w:ascii="Times New Roman" w:hAnsi="Times New Roman" w:cs="Times New Roman"/>
          <w:i/>
          <w:sz w:val="24"/>
          <w:szCs w:val="24"/>
        </w:rPr>
      </w:pPr>
      <w:r w:rsidRPr="00F27A8A">
        <w:rPr>
          <w:rFonts w:ascii="Times New Roman" w:hAnsi="Times New Roman" w:cs="Times New Roman"/>
          <w:sz w:val="24"/>
          <w:szCs w:val="24"/>
        </w:rPr>
        <w:t xml:space="preserve">Samorządy terytorialne na terenie Dolnego Śląska wdrażały działania stwarzające warunki </w:t>
      </w:r>
      <w:r w:rsidR="002C64F2">
        <w:rPr>
          <w:rFonts w:ascii="Times New Roman" w:hAnsi="Times New Roman" w:cs="Times New Roman"/>
          <w:sz w:val="24"/>
          <w:szCs w:val="24"/>
        </w:rPr>
        <w:br/>
      </w:r>
      <w:r w:rsidRPr="00F27A8A">
        <w:rPr>
          <w:rFonts w:ascii="Times New Roman" w:hAnsi="Times New Roman" w:cs="Times New Roman"/>
          <w:sz w:val="24"/>
          <w:szCs w:val="24"/>
        </w:rPr>
        <w:t xml:space="preserve">do aktywnego starzenia się społeczeństwa w województwie. Tworzone dokumenty strategiczne w zakresie polityki społecznej wobec osób starszych obejmowały priorytety określone </w:t>
      </w:r>
      <w:r w:rsidR="002C64F2">
        <w:rPr>
          <w:rFonts w:ascii="Times New Roman" w:hAnsi="Times New Roman" w:cs="Times New Roman"/>
          <w:sz w:val="24"/>
          <w:szCs w:val="24"/>
        </w:rPr>
        <w:br/>
      </w:r>
      <w:r w:rsidRPr="00F27A8A">
        <w:rPr>
          <w:rFonts w:ascii="Times New Roman" w:hAnsi="Times New Roman" w:cs="Times New Roman"/>
          <w:sz w:val="24"/>
          <w:szCs w:val="24"/>
        </w:rPr>
        <w:t xml:space="preserve">w ww. dokumentach. Programy wsparcia były ukierunkowane na potrzeby na poziomie lokalnym oraz zawierały rekomendacje wypracowane na podstawie </w:t>
      </w:r>
      <w:r w:rsidR="006B6559">
        <w:rPr>
          <w:rFonts w:ascii="Times New Roman" w:hAnsi="Times New Roman" w:cs="Times New Roman"/>
          <w:i/>
          <w:sz w:val="24"/>
          <w:szCs w:val="24"/>
        </w:rPr>
        <w:t>Informacji.</w:t>
      </w:r>
    </w:p>
    <w:p w14:paraId="5EDBD6FC" w14:textId="77777777" w:rsidR="006B6559" w:rsidRDefault="006B6559" w:rsidP="003C1988">
      <w:pPr>
        <w:pStyle w:val="Akapitzlist"/>
        <w:spacing w:after="0"/>
        <w:ind w:left="0"/>
        <w:rPr>
          <w:rFonts w:ascii="Times New Roman" w:hAnsi="Times New Roman" w:cs="Times New Roman"/>
          <w:i/>
          <w:sz w:val="24"/>
          <w:szCs w:val="24"/>
        </w:rPr>
      </w:pPr>
    </w:p>
    <w:p w14:paraId="32D35FE2" w14:textId="77777777" w:rsidR="008035B3" w:rsidRPr="00DC329B" w:rsidRDefault="008035B3" w:rsidP="00DC329B">
      <w:pPr>
        <w:pStyle w:val="Legenda"/>
        <w:keepNext/>
        <w:rPr>
          <w:rFonts w:ascii="Times New Roman" w:hAnsi="Times New Roman" w:cs="Times New Roman"/>
          <w:b/>
          <w:i w:val="0"/>
          <w:sz w:val="24"/>
        </w:rPr>
        <w:sectPr w:rsidR="008035B3" w:rsidRPr="00DC329B" w:rsidSect="00E1300F">
          <w:footerReference w:type="default" r:id="rId28"/>
          <w:pgSz w:w="11900" w:h="16838"/>
          <w:pgMar w:top="1384" w:right="1386" w:bottom="1038" w:left="1380" w:header="0" w:footer="567" w:gutter="0"/>
          <w:cols w:space="0" w:equalWidth="0">
            <w:col w:w="9140"/>
          </w:cols>
          <w:docGrid w:linePitch="360"/>
        </w:sectPr>
      </w:pPr>
    </w:p>
    <w:p w14:paraId="72122EE0" w14:textId="4DB86B92" w:rsidR="00462EAF" w:rsidRPr="00462EAF" w:rsidRDefault="00462EAF" w:rsidP="00462EAF">
      <w:pPr>
        <w:pStyle w:val="Legenda"/>
        <w:keepNext/>
        <w:rPr>
          <w:rFonts w:ascii="Times New Roman" w:hAnsi="Times New Roman" w:cs="Times New Roman"/>
          <w:b/>
          <w:i w:val="0"/>
          <w:sz w:val="24"/>
          <w:szCs w:val="24"/>
        </w:rPr>
      </w:pPr>
      <w:bookmarkStart w:id="124" w:name="_Toc49171430"/>
      <w:r w:rsidRPr="00462EAF">
        <w:rPr>
          <w:rFonts w:ascii="Times New Roman" w:hAnsi="Times New Roman" w:cs="Times New Roman"/>
          <w:b/>
          <w:i w:val="0"/>
          <w:sz w:val="24"/>
          <w:szCs w:val="24"/>
        </w:rPr>
        <w:lastRenderedPageBreak/>
        <w:t xml:space="preserve">Tabela </w:t>
      </w:r>
      <w:r w:rsidRPr="00462EAF">
        <w:rPr>
          <w:rFonts w:ascii="Times New Roman" w:hAnsi="Times New Roman" w:cs="Times New Roman"/>
          <w:b/>
          <w:i w:val="0"/>
          <w:sz w:val="24"/>
          <w:szCs w:val="24"/>
        </w:rPr>
        <w:fldChar w:fldCharType="begin"/>
      </w:r>
      <w:r w:rsidRPr="00462EAF">
        <w:rPr>
          <w:rFonts w:ascii="Times New Roman" w:hAnsi="Times New Roman" w:cs="Times New Roman"/>
          <w:b/>
          <w:i w:val="0"/>
          <w:sz w:val="24"/>
          <w:szCs w:val="24"/>
        </w:rPr>
        <w:instrText xml:space="preserve"> SEQ Tabela \* ARABIC </w:instrText>
      </w:r>
      <w:r w:rsidRPr="00462EAF">
        <w:rPr>
          <w:rFonts w:ascii="Times New Roman" w:hAnsi="Times New Roman" w:cs="Times New Roman"/>
          <w:b/>
          <w:i w:val="0"/>
          <w:sz w:val="24"/>
          <w:szCs w:val="24"/>
        </w:rPr>
        <w:fldChar w:fldCharType="separate"/>
      </w:r>
      <w:r w:rsidR="00C154C9">
        <w:rPr>
          <w:rFonts w:ascii="Times New Roman" w:hAnsi="Times New Roman" w:cs="Times New Roman"/>
          <w:b/>
          <w:i w:val="0"/>
          <w:noProof/>
          <w:sz w:val="24"/>
          <w:szCs w:val="24"/>
        </w:rPr>
        <w:t>55</w:t>
      </w:r>
      <w:r w:rsidRPr="00462EAF">
        <w:rPr>
          <w:rFonts w:ascii="Times New Roman" w:hAnsi="Times New Roman" w:cs="Times New Roman"/>
          <w:b/>
          <w:i w:val="0"/>
          <w:sz w:val="24"/>
          <w:szCs w:val="24"/>
        </w:rPr>
        <w:fldChar w:fldCharType="end"/>
      </w:r>
      <w:r w:rsidRPr="00462EAF">
        <w:rPr>
          <w:rFonts w:ascii="Times New Roman" w:hAnsi="Times New Roman" w:cs="Times New Roman"/>
          <w:b/>
          <w:i w:val="0"/>
          <w:sz w:val="24"/>
          <w:szCs w:val="24"/>
        </w:rPr>
        <w:t xml:space="preserve"> Karta województwa dolnośląskiego</w:t>
      </w:r>
      <w:bookmarkEnd w:id="124"/>
    </w:p>
    <w:tbl>
      <w:tblPr>
        <w:tblpPr w:leftFromText="142" w:rightFromText="142" w:vertAnchor="text" w:horzAnchor="margin" w:tblpXSpec="center" w:tblpY="1"/>
        <w:tblOverlap w:val="never"/>
        <w:tblW w:w="14741"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8035B3" w:rsidRPr="006602F8" w14:paraId="302F28C7" w14:textId="77777777" w:rsidTr="004D2D78">
        <w:tc>
          <w:tcPr>
            <w:tcW w:w="14741" w:type="dxa"/>
            <w:gridSpan w:val="9"/>
            <w:shd w:val="clear" w:color="auto" w:fill="9CC2E5" w:themeFill="accent1" w:themeFillTint="99"/>
          </w:tcPr>
          <w:p w14:paraId="3E9D360B" w14:textId="77777777" w:rsidR="008035B3" w:rsidRPr="006602F8" w:rsidRDefault="008035B3" w:rsidP="004D2D78">
            <w:pPr>
              <w:spacing w:after="0" w:line="240" w:lineRule="auto"/>
              <w:jc w:val="center"/>
              <w:rPr>
                <w:rFonts w:ascii="Times New Roman" w:hAnsi="Times New Roman" w:cs="Times New Roman"/>
                <w:b/>
                <w:bCs/>
              </w:rPr>
            </w:pPr>
            <w:r w:rsidRPr="006602F8">
              <w:rPr>
                <w:rFonts w:ascii="Times New Roman" w:hAnsi="Times New Roman" w:cs="Times New Roman"/>
                <w:b/>
                <w:bCs/>
              </w:rPr>
              <w:t>WOJEWÓDZTWO DOLNOŚLĄSKIE</w:t>
            </w:r>
          </w:p>
        </w:tc>
      </w:tr>
      <w:tr w:rsidR="008035B3" w:rsidRPr="006602F8" w14:paraId="7AA9E475" w14:textId="77777777" w:rsidTr="004D2D78">
        <w:trPr>
          <w:trHeight w:val="113"/>
        </w:trPr>
        <w:tc>
          <w:tcPr>
            <w:tcW w:w="2830" w:type="dxa"/>
            <w:vMerge w:val="restart"/>
            <w:shd w:val="clear" w:color="auto" w:fill="9CC2E5" w:themeFill="accent1" w:themeFillTint="99"/>
          </w:tcPr>
          <w:p w14:paraId="1C3C1989" w14:textId="77777777" w:rsidR="008035B3" w:rsidRDefault="008035B3" w:rsidP="004D2D78">
            <w:pPr>
              <w:spacing w:after="0" w:line="240" w:lineRule="auto"/>
              <w:rPr>
                <w:rFonts w:ascii="Times New Roman" w:hAnsi="Times New Roman" w:cs="Times New Roman"/>
                <w:b/>
                <w:bCs/>
              </w:rPr>
            </w:pPr>
            <w:r w:rsidRPr="006602F8">
              <w:rPr>
                <w:rFonts w:ascii="Times New Roman" w:hAnsi="Times New Roman" w:cs="Times New Roman"/>
                <w:b/>
                <w:bCs/>
              </w:rPr>
              <w:t>Informacja o regionie</w:t>
            </w:r>
          </w:p>
          <w:p w14:paraId="48AC5BEF" w14:textId="77777777" w:rsidR="00DC329B" w:rsidRPr="006602F8" w:rsidRDefault="00DC329B" w:rsidP="004D2D78">
            <w:pPr>
              <w:spacing w:after="0" w:line="240" w:lineRule="auto"/>
              <w:rPr>
                <w:rFonts w:ascii="Times New Roman" w:hAnsi="Times New Roman" w:cs="Times New Roman"/>
                <w:b/>
                <w:bCs/>
              </w:rPr>
            </w:pPr>
          </w:p>
        </w:tc>
        <w:tc>
          <w:tcPr>
            <w:tcW w:w="3969" w:type="dxa"/>
            <w:gridSpan w:val="3"/>
            <w:shd w:val="clear" w:color="auto" w:fill="9CC2E5" w:themeFill="accent1" w:themeFillTint="99"/>
          </w:tcPr>
          <w:p w14:paraId="174FBE63" w14:textId="77777777" w:rsidR="008035B3" w:rsidRPr="006602F8" w:rsidRDefault="008035B3" w:rsidP="004D2D78">
            <w:pPr>
              <w:spacing w:after="0" w:line="240" w:lineRule="auto"/>
              <w:rPr>
                <w:rFonts w:ascii="Times New Roman" w:hAnsi="Times New Roman" w:cs="Times New Roman"/>
                <w:b/>
              </w:rPr>
            </w:pPr>
            <w:r w:rsidRPr="006602F8">
              <w:rPr>
                <w:rFonts w:ascii="Times New Roman" w:hAnsi="Times New Roman" w:cs="Times New Roman"/>
                <w:b/>
              </w:rPr>
              <w:t>Liczba gmin</w:t>
            </w:r>
          </w:p>
        </w:tc>
        <w:tc>
          <w:tcPr>
            <w:tcW w:w="7942" w:type="dxa"/>
            <w:gridSpan w:val="5"/>
            <w:shd w:val="clear" w:color="auto" w:fill="FFFFFF" w:themeFill="background1"/>
          </w:tcPr>
          <w:p w14:paraId="6947984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169</w:t>
            </w:r>
          </w:p>
        </w:tc>
      </w:tr>
      <w:tr w:rsidR="008035B3" w:rsidRPr="006602F8" w14:paraId="5F29FD78" w14:textId="77777777" w:rsidTr="004D2D78">
        <w:trPr>
          <w:trHeight w:val="112"/>
        </w:trPr>
        <w:tc>
          <w:tcPr>
            <w:tcW w:w="2830" w:type="dxa"/>
            <w:vMerge/>
            <w:shd w:val="clear" w:color="auto" w:fill="9CC2E5" w:themeFill="accent1" w:themeFillTint="99"/>
          </w:tcPr>
          <w:p w14:paraId="62AE68B1" w14:textId="77777777" w:rsidR="008035B3" w:rsidRPr="006602F8" w:rsidRDefault="008035B3" w:rsidP="004D2D78">
            <w:pPr>
              <w:spacing w:after="0" w:line="240" w:lineRule="auto"/>
              <w:rPr>
                <w:rFonts w:ascii="Times New Roman" w:hAnsi="Times New Roman" w:cs="Times New Roman"/>
                <w:b/>
                <w:bCs/>
              </w:rPr>
            </w:pPr>
          </w:p>
        </w:tc>
        <w:tc>
          <w:tcPr>
            <w:tcW w:w="3969" w:type="dxa"/>
            <w:gridSpan w:val="3"/>
            <w:shd w:val="clear" w:color="auto" w:fill="9CC2E5" w:themeFill="accent1" w:themeFillTint="99"/>
          </w:tcPr>
          <w:p w14:paraId="57F348CF" w14:textId="77777777" w:rsidR="008035B3" w:rsidRPr="006602F8" w:rsidRDefault="008035B3" w:rsidP="004D2D78">
            <w:pPr>
              <w:spacing w:after="0" w:line="240" w:lineRule="auto"/>
              <w:rPr>
                <w:rFonts w:ascii="Times New Roman" w:hAnsi="Times New Roman" w:cs="Times New Roman"/>
                <w:b/>
              </w:rPr>
            </w:pPr>
            <w:r w:rsidRPr="006602F8">
              <w:rPr>
                <w:rFonts w:ascii="Times New Roman" w:hAnsi="Times New Roman" w:cs="Times New Roman"/>
                <w:b/>
              </w:rPr>
              <w:t>Liczba powiatów</w:t>
            </w:r>
          </w:p>
        </w:tc>
        <w:tc>
          <w:tcPr>
            <w:tcW w:w="7942" w:type="dxa"/>
            <w:gridSpan w:val="5"/>
            <w:shd w:val="clear" w:color="auto" w:fill="FFFFFF" w:themeFill="background1"/>
          </w:tcPr>
          <w:p w14:paraId="2B3D065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26 powiatów oraz 4 miasta na prawach powiatu</w:t>
            </w:r>
          </w:p>
        </w:tc>
      </w:tr>
      <w:tr w:rsidR="008035B3" w:rsidRPr="006602F8" w14:paraId="7D3A771A" w14:textId="77777777" w:rsidTr="004D2D78">
        <w:trPr>
          <w:trHeight w:val="112"/>
        </w:trPr>
        <w:tc>
          <w:tcPr>
            <w:tcW w:w="2830" w:type="dxa"/>
            <w:vMerge/>
            <w:shd w:val="clear" w:color="auto" w:fill="9CC2E5" w:themeFill="accent1" w:themeFillTint="99"/>
          </w:tcPr>
          <w:p w14:paraId="68EDBCB5" w14:textId="77777777" w:rsidR="008035B3" w:rsidRPr="006602F8" w:rsidRDefault="008035B3" w:rsidP="004D2D78">
            <w:pPr>
              <w:spacing w:after="0" w:line="240" w:lineRule="auto"/>
              <w:rPr>
                <w:rFonts w:ascii="Times New Roman" w:hAnsi="Times New Roman" w:cs="Times New Roman"/>
                <w:b/>
                <w:bCs/>
              </w:rPr>
            </w:pPr>
          </w:p>
        </w:tc>
        <w:tc>
          <w:tcPr>
            <w:tcW w:w="3969" w:type="dxa"/>
            <w:gridSpan w:val="3"/>
            <w:shd w:val="clear" w:color="auto" w:fill="9CC2E5" w:themeFill="accent1" w:themeFillTint="99"/>
          </w:tcPr>
          <w:p w14:paraId="036D5CF9" w14:textId="77777777" w:rsidR="008035B3" w:rsidRPr="006602F8" w:rsidRDefault="008035B3" w:rsidP="004D2D78">
            <w:pPr>
              <w:spacing w:after="0" w:line="240" w:lineRule="auto"/>
              <w:rPr>
                <w:rFonts w:ascii="Times New Roman" w:hAnsi="Times New Roman" w:cs="Times New Roman"/>
                <w:b/>
              </w:rPr>
            </w:pPr>
            <w:r w:rsidRPr="006602F8">
              <w:rPr>
                <w:rFonts w:ascii="Times New Roman" w:hAnsi="Times New Roman" w:cs="Times New Roman"/>
                <w:b/>
              </w:rPr>
              <w:t>Powierzchnia</w:t>
            </w:r>
          </w:p>
        </w:tc>
        <w:tc>
          <w:tcPr>
            <w:tcW w:w="7942" w:type="dxa"/>
            <w:gridSpan w:val="5"/>
            <w:shd w:val="clear" w:color="auto" w:fill="FFFFFF" w:themeFill="background1"/>
          </w:tcPr>
          <w:p w14:paraId="1594818B"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19 947 km</w:t>
            </w:r>
            <w:r w:rsidRPr="006602F8">
              <w:rPr>
                <w:rFonts w:ascii="Times New Roman" w:hAnsi="Times New Roman" w:cs="Times New Roman"/>
                <w:vertAlign w:val="superscript"/>
              </w:rPr>
              <w:t>2</w:t>
            </w:r>
            <w:r w:rsidRPr="006602F8">
              <w:rPr>
                <w:rFonts w:ascii="Times New Roman" w:hAnsi="Times New Roman" w:cs="Times New Roman"/>
              </w:rPr>
              <w:t>, co stanowi 6,4% powierzchni kraju</w:t>
            </w:r>
          </w:p>
        </w:tc>
      </w:tr>
      <w:tr w:rsidR="008035B3" w:rsidRPr="006602F8" w14:paraId="3690C2EB" w14:textId="77777777" w:rsidTr="004D2D78">
        <w:tc>
          <w:tcPr>
            <w:tcW w:w="14741" w:type="dxa"/>
            <w:gridSpan w:val="9"/>
            <w:shd w:val="clear" w:color="auto" w:fill="9CC2E5" w:themeFill="accent1" w:themeFillTint="99"/>
          </w:tcPr>
          <w:p w14:paraId="46F816D5" w14:textId="77777777" w:rsidR="008035B3" w:rsidRPr="006602F8" w:rsidRDefault="008035B3" w:rsidP="004D2D78">
            <w:pPr>
              <w:spacing w:after="0" w:line="240" w:lineRule="auto"/>
              <w:jc w:val="center"/>
              <w:rPr>
                <w:rFonts w:ascii="Times New Roman" w:hAnsi="Times New Roman" w:cs="Times New Roman"/>
                <w:bCs/>
              </w:rPr>
            </w:pPr>
            <w:r w:rsidRPr="006602F8">
              <w:rPr>
                <w:rFonts w:ascii="Times New Roman" w:hAnsi="Times New Roman" w:cs="Times New Roman"/>
                <w:b/>
                <w:bCs/>
              </w:rPr>
              <w:t>DEMOGRAFIA</w:t>
            </w:r>
          </w:p>
        </w:tc>
      </w:tr>
      <w:tr w:rsidR="008035B3" w:rsidRPr="006602F8" w14:paraId="7734C44B" w14:textId="77777777" w:rsidTr="004D2D78">
        <w:tc>
          <w:tcPr>
            <w:tcW w:w="2830" w:type="dxa"/>
            <w:shd w:val="clear" w:color="auto" w:fill="9CC2E5" w:themeFill="accent1" w:themeFillTint="99"/>
          </w:tcPr>
          <w:p w14:paraId="6A928D88" w14:textId="77777777" w:rsidR="008035B3" w:rsidRPr="006602F8" w:rsidRDefault="008035B3" w:rsidP="004D2D78">
            <w:pPr>
              <w:spacing w:after="0" w:line="240" w:lineRule="auto"/>
              <w:jc w:val="center"/>
              <w:rPr>
                <w:rFonts w:ascii="Times New Roman" w:hAnsi="Times New Roman" w:cs="Times New Roman"/>
                <w:b/>
                <w:bCs/>
                <w:lang w:eastAsia="pl-PL"/>
              </w:rPr>
            </w:pPr>
            <w:r w:rsidRPr="006602F8">
              <w:rPr>
                <w:rFonts w:ascii="Times New Roman" w:hAnsi="Times New Roman" w:cs="Times New Roman"/>
                <w:b/>
                <w:bCs/>
                <w:lang w:eastAsia="pl-PL"/>
              </w:rPr>
              <w:t>Treść</w:t>
            </w:r>
          </w:p>
        </w:tc>
        <w:tc>
          <w:tcPr>
            <w:tcW w:w="3969" w:type="dxa"/>
            <w:gridSpan w:val="3"/>
            <w:shd w:val="clear" w:color="auto" w:fill="9CC2E5" w:themeFill="accent1" w:themeFillTint="99"/>
          </w:tcPr>
          <w:p w14:paraId="134C8448"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2017 r.</w:t>
            </w:r>
          </w:p>
        </w:tc>
        <w:tc>
          <w:tcPr>
            <w:tcW w:w="3969" w:type="dxa"/>
            <w:gridSpan w:val="3"/>
            <w:shd w:val="clear" w:color="auto" w:fill="9CC2E5" w:themeFill="accent1" w:themeFillTint="99"/>
          </w:tcPr>
          <w:p w14:paraId="797B8AE1"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2018 r.</w:t>
            </w:r>
          </w:p>
        </w:tc>
        <w:tc>
          <w:tcPr>
            <w:tcW w:w="3973" w:type="dxa"/>
            <w:gridSpan w:val="2"/>
            <w:shd w:val="clear" w:color="auto" w:fill="9CC2E5" w:themeFill="accent1" w:themeFillTint="99"/>
          </w:tcPr>
          <w:p w14:paraId="138BD9F2"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2019 r.</w:t>
            </w:r>
          </w:p>
        </w:tc>
      </w:tr>
      <w:tr w:rsidR="008035B3" w:rsidRPr="006602F8" w14:paraId="4AC30418" w14:textId="77777777" w:rsidTr="004D2D78">
        <w:tc>
          <w:tcPr>
            <w:tcW w:w="2830" w:type="dxa"/>
            <w:shd w:val="clear" w:color="auto" w:fill="9CC2E5" w:themeFill="accent1" w:themeFillTint="99"/>
          </w:tcPr>
          <w:p w14:paraId="3E5B77F8"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Populacja ogółem</w:t>
            </w:r>
          </w:p>
        </w:tc>
        <w:tc>
          <w:tcPr>
            <w:tcW w:w="3969" w:type="dxa"/>
            <w:gridSpan w:val="3"/>
            <w:shd w:val="clear" w:color="auto" w:fill="auto"/>
            <w:vAlign w:val="center"/>
          </w:tcPr>
          <w:p w14:paraId="56162F59"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2 902 547</w:t>
            </w:r>
          </w:p>
        </w:tc>
        <w:tc>
          <w:tcPr>
            <w:tcW w:w="3969" w:type="dxa"/>
            <w:gridSpan w:val="3"/>
            <w:shd w:val="clear" w:color="auto" w:fill="auto"/>
            <w:vAlign w:val="center"/>
          </w:tcPr>
          <w:p w14:paraId="2C234366"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2 901 225</w:t>
            </w:r>
          </w:p>
        </w:tc>
        <w:tc>
          <w:tcPr>
            <w:tcW w:w="3973" w:type="dxa"/>
            <w:gridSpan w:val="2"/>
            <w:shd w:val="clear" w:color="auto" w:fill="auto"/>
            <w:vAlign w:val="center"/>
          </w:tcPr>
          <w:p w14:paraId="5FDD6044"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2 900 163</w:t>
            </w:r>
          </w:p>
        </w:tc>
      </w:tr>
      <w:tr w:rsidR="008035B3" w:rsidRPr="006602F8" w14:paraId="08875FBB" w14:textId="77777777" w:rsidTr="004D2D78">
        <w:tc>
          <w:tcPr>
            <w:tcW w:w="14741" w:type="dxa"/>
            <w:gridSpan w:val="9"/>
            <w:shd w:val="clear" w:color="auto" w:fill="9CC2E5" w:themeFill="accent1" w:themeFillTint="99"/>
            <w:vAlign w:val="center"/>
          </w:tcPr>
          <w:p w14:paraId="3680DC12" w14:textId="77777777" w:rsidR="008035B3" w:rsidRPr="006602F8" w:rsidRDefault="008035B3" w:rsidP="004D2D78">
            <w:pPr>
              <w:spacing w:after="0" w:line="240" w:lineRule="auto"/>
              <w:rPr>
                <w:rFonts w:ascii="Times New Roman" w:hAnsi="Times New Roman" w:cs="Times New Roman"/>
                <w:b/>
                <w:bCs/>
              </w:rPr>
            </w:pPr>
            <w:r w:rsidRPr="006602F8">
              <w:rPr>
                <w:rFonts w:ascii="Times New Roman" w:hAnsi="Times New Roman" w:cs="Times New Roman"/>
                <w:b/>
                <w:bCs/>
                <w:lang w:eastAsia="pl-PL"/>
              </w:rPr>
              <w:t>w tym:</w:t>
            </w:r>
          </w:p>
        </w:tc>
      </w:tr>
      <w:tr w:rsidR="008035B3" w:rsidRPr="006602F8" w14:paraId="26AFA697" w14:textId="77777777" w:rsidTr="004D2D78">
        <w:tc>
          <w:tcPr>
            <w:tcW w:w="2830" w:type="dxa"/>
            <w:shd w:val="clear" w:color="auto" w:fill="9CC2E5" w:themeFill="accent1" w:themeFillTint="99"/>
          </w:tcPr>
          <w:p w14:paraId="4C703D75" w14:textId="77777777" w:rsidR="008035B3" w:rsidRPr="006602F8" w:rsidRDefault="008035B3" w:rsidP="004D2D78">
            <w:pPr>
              <w:spacing w:after="0" w:line="240" w:lineRule="auto"/>
              <w:rPr>
                <w:rFonts w:ascii="Times New Roman" w:hAnsi="Times New Roman" w:cs="Times New Roman"/>
                <w:b/>
                <w:bCs/>
              </w:rPr>
            </w:pPr>
            <w:r w:rsidRPr="006602F8">
              <w:rPr>
                <w:rFonts w:ascii="Times New Roman" w:hAnsi="Times New Roman" w:cs="Times New Roman"/>
                <w:b/>
                <w:bCs/>
                <w:lang w:eastAsia="pl-PL"/>
              </w:rPr>
              <w:t>w wieku 60 lat i więcej</w:t>
            </w:r>
          </w:p>
        </w:tc>
        <w:tc>
          <w:tcPr>
            <w:tcW w:w="3969" w:type="dxa"/>
            <w:gridSpan w:val="3"/>
            <w:shd w:val="clear" w:color="auto" w:fill="FFFFFF" w:themeFill="background1"/>
            <w:vAlign w:val="center"/>
          </w:tcPr>
          <w:p w14:paraId="08F29802"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742 419</w:t>
            </w:r>
          </w:p>
        </w:tc>
        <w:tc>
          <w:tcPr>
            <w:tcW w:w="3969" w:type="dxa"/>
            <w:gridSpan w:val="3"/>
            <w:shd w:val="clear" w:color="auto" w:fill="FFFFFF" w:themeFill="background1"/>
            <w:vAlign w:val="center"/>
          </w:tcPr>
          <w:p w14:paraId="5DBE4AC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760 249</w:t>
            </w:r>
          </w:p>
        </w:tc>
        <w:tc>
          <w:tcPr>
            <w:tcW w:w="3973" w:type="dxa"/>
            <w:gridSpan w:val="2"/>
            <w:shd w:val="clear" w:color="auto" w:fill="FFFFFF" w:themeFill="background1"/>
            <w:vAlign w:val="center"/>
          </w:tcPr>
          <w:p w14:paraId="6847D47D"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775 114</w:t>
            </w:r>
          </w:p>
        </w:tc>
      </w:tr>
      <w:tr w:rsidR="008035B3" w:rsidRPr="006602F8" w14:paraId="63125A99" w14:textId="77777777" w:rsidTr="004D2D78">
        <w:tc>
          <w:tcPr>
            <w:tcW w:w="2830" w:type="dxa"/>
            <w:shd w:val="clear" w:color="auto" w:fill="9CC2E5" w:themeFill="accent1" w:themeFillTint="99"/>
          </w:tcPr>
          <w:p w14:paraId="3B96A6E7"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60–64 lata</w:t>
            </w:r>
          </w:p>
        </w:tc>
        <w:tc>
          <w:tcPr>
            <w:tcW w:w="3969" w:type="dxa"/>
            <w:gridSpan w:val="3"/>
            <w:shd w:val="clear" w:color="auto" w:fill="FFFFFF" w:themeFill="background1"/>
            <w:vAlign w:val="center"/>
          </w:tcPr>
          <w:p w14:paraId="1D8DC0AA"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228 762</w:t>
            </w:r>
          </w:p>
        </w:tc>
        <w:tc>
          <w:tcPr>
            <w:tcW w:w="3969" w:type="dxa"/>
            <w:gridSpan w:val="3"/>
            <w:shd w:val="clear" w:color="auto" w:fill="FFFFFF" w:themeFill="background1"/>
            <w:vAlign w:val="center"/>
          </w:tcPr>
          <w:p w14:paraId="6224FDF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227 154</w:t>
            </w:r>
          </w:p>
        </w:tc>
        <w:tc>
          <w:tcPr>
            <w:tcW w:w="3973" w:type="dxa"/>
            <w:gridSpan w:val="2"/>
            <w:shd w:val="clear" w:color="auto" w:fill="FFFFFF" w:themeFill="background1"/>
            <w:vAlign w:val="center"/>
          </w:tcPr>
          <w:p w14:paraId="402EEBA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223 066</w:t>
            </w:r>
          </w:p>
        </w:tc>
      </w:tr>
      <w:tr w:rsidR="008035B3" w:rsidRPr="006602F8" w14:paraId="68D4C92D" w14:textId="77777777" w:rsidTr="004D2D78">
        <w:tc>
          <w:tcPr>
            <w:tcW w:w="2830" w:type="dxa"/>
            <w:shd w:val="clear" w:color="auto" w:fill="9CC2E5" w:themeFill="accent1" w:themeFillTint="99"/>
          </w:tcPr>
          <w:p w14:paraId="522A9AFD"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65–69</w:t>
            </w:r>
          </w:p>
        </w:tc>
        <w:tc>
          <w:tcPr>
            <w:tcW w:w="3969" w:type="dxa"/>
            <w:gridSpan w:val="3"/>
            <w:shd w:val="clear" w:color="auto" w:fill="FFFFFF" w:themeFill="background1"/>
            <w:vAlign w:val="center"/>
          </w:tcPr>
          <w:p w14:paraId="4788BBF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200 687</w:t>
            </w:r>
          </w:p>
        </w:tc>
        <w:tc>
          <w:tcPr>
            <w:tcW w:w="3969" w:type="dxa"/>
            <w:gridSpan w:val="3"/>
            <w:shd w:val="clear" w:color="auto" w:fill="FFFFFF" w:themeFill="background1"/>
            <w:vAlign w:val="center"/>
          </w:tcPr>
          <w:p w14:paraId="639FEDB0"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204 895</w:t>
            </w:r>
          </w:p>
        </w:tc>
        <w:tc>
          <w:tcPr>
            <w:tcW w:w="3973" w:type="dxa"/>
            <w:gridSpan w:val="2"/>
            <w:shd w:val="clear" w:color="auto" w:fill="FFFFFF" w:themeFill="background1"/>
            <w:vAlign w:val="center"/>
          </w:tcPr>
          <w:p w14:paraId="096E558D"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207 828</w:t>
            </w:r>
          </w:p>
        </w:tc>
      </w:tr>
      <w:tr w:rsidR="008035B3" w:rsidRPr="006602F8" w14:paraId="1A3D9366" w14:textId="77777777" w:rsidTr="004D2D78">
        <w:tc>
          <w:tcPr>
            <w:tcW w:w="2830" w:type="dxa"/>
            <w:shd w:val="clear" w:color="auto" w:fill="9CC2E5" w:themeFill="accent1" w:themeFillTint="99"/>
          </w:tcPr>
          <w:p w14:paraId="4636C413"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70–74</w:t>
            </w:r>
          </w:p>
        </w:tc>
        <w:tc>
          <w:tcPr>
            <w:tcW w:w="3969" w:type="dxa"/>
            <w:gridSpan w:val="3"/>
            <w:shd w:val="clear" w:color="auto" w:fill="FFFFFF" w:themeFill="background1"/>
            <w:vAlign w:val="center"/>
          </w:tcPr>
          <w:p w14:paraId="3E0CE8FD"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107 340</w:t>
            </w:r>
          </w:p>
        </w:tc>
        <w:tc>
          <w:tcPr>
            <w:tcW w:w="3969" w:type="dxa"/>
            <w:gridSpan w:val="3"/>
            <w:shd w:val="clear" w:color="auto" w:fill="FFFFFF" w:themeFill="background1"/>
            <w:vAlign w:val="center"/>
          </w:tcPr>
          <w:p w14:paraId="105314D2"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124 246</w:t>
            </w:r>
          </w:p>
        </w:tc>
        <w:tc>
          <w:tcPr>
            <w:tcW w:w="3973" w:type="dxa"/>
            <w:gridSpan w:val="2"/>
            <w:shd w:val="clear" w:color="auto" w:fill="FFFFFF" w:themeFill="background1"/>
            <w:vAlign w:val="center"/>
          </w:tcPr>
          <w:p w14:paraId="5E5266C6"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141 030</w:t>
            </w:r>
          </w:p>
        </w:tc>
      </w:tr>
      <w:tr w:rsidR="008035B3" w:rsidRPr="006602F8" w14:paraId="6BC92000" w14:textId="77777777" w:rsidTr="004D2D78">
        <w:tc>
          <w:tcPr>
            <w:tcW w:w="2830" w:type="dxa"/>
            <w:shd w:val="clear" w:color="auto" w:fill="9CC2E5" w:themeFill="accent1" w:themeFillTint="99"/>
          </w:tcPr>
          <w:p w14:paraId="474C5EE2"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75–79</w:t>
            </w:r>
          </w:p>
        </w:tc>
        <w:tc>
          <w:tcPr>
            <w:tcW w:w="3969" w:type="dxa"/>
            <w:gridSpan w:val="3"/>
            <w:shd w:val="clear" w:color="auto" w:fill="FFFFFF" w:themeFill="background1"/>
            <w:vAlign w:val="center"/>
          </w:tcPr>
          <w:p w14:paraId="57E0F21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78 359</w:t>
            </w:r>
          </w:p>
        </w:tc>
        <w:tc>
          <w:tcPr>
            <w:tcW w:w="3969" w:type="dxa"/>
            <w:gridSpan w:val="3"/>
            <w:shd w:val="clear" w:color="auto" w:fill="FFFFFF" w:themeFill="background1"/>
            <w:vAlign w:val="center"/>
          </w:tcPr>
          <w:p w14:paraId="6BB4756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75 464</w:t>
            </w:r>
          </w:p>
        </w:tc>
        <w:tc>
          <w:tcPr>
            <w:tcW w:w="3973" w:type="dxa"/>
            <w:gridSpan w:val="2"/>
            <w:shd w:val="clear" w:color="auto" w:fill="FFFFFF" w:themeFill="background1"/>
            <w:vAlign w:val="center"/>
          </w:tcPr>
          <w:p w14:paraId="050A00B0"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73 700</w:t>
            </w:r>
          </w:p>
        </w:tc>
      </w:tr>
      <w:tr w:rsidR="008035B3" w:rsidRPr="006602F8" w14:paraId="76854ED2" w14:textId="77777777" w:rsidTr="004D2D78">
        <w:tc>
          <w:tcPr>
            <w:tcW w:w="2830" w:type="dxa"/>
            <w:shd w:val="clear" w:color="auto" w:fill="9CC2E5" w:themeFill="accent1" w:themeFillTint="99"/>
          </w:tcPr>
          <w:p w14:paraId="1DDD8575"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80–84</w:t>
            </w:r>
          </w:p>
        </w:tc>
        <w:tc>
          <w:tcPr>
            <w:tcW w:w="3969" w:type="dxa"/>
            <w:gridSpan w:val="3"/>
            <w:shd w:val="clear" w:color="auto" w:fill="FFFFFF" w:themeFill="background1"/>
            <w:vAlign w:val="center"/>
          </w:tcPr>
          <w:p w14:paraId="56558AE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66 461</w:t>
            </w:r>
          </w:p>
        </w:tc>
        <w:tc>
          <w:tcPr>
            <w:tcW w:w="3969" w:type="dxa"/>
            <w:gridSpan w:val="3"/>
            <w:shd w:val="clear" w:color="auto" w:fill="FFFFFF" w:themeFill="background1"/>
            <w:vAlign w:val="center"/>
          </w:tcPr>
          <w:p w14:paraId="2ABDCE7A"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66 316</w:t>
            </w:r>
          </w:p>
        </w:tc>
        <w:tc>
          <w:tcPr>
            <w:tcW w:w="3973" w:type="dxa"/>
            <w:gridSpan w:val="2"/>
            <w:shd w:val="clear" w:color="auto" w:fill="FFFFFF" w:themeFill="background1"/>
            <w:vAlign w:val="center"/>
          </w:tcPr>
          <w:p w14:paraId="4EA6F802"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65 754</w:t>
            </w:r>
          </w:p>
        </w:tc>
      </w:tr>
      <w:tr w:rsidR="008035B3" w:rsidRPr="006602F8" w14:paraId="1878CE09" w14:textId="77777777" w:rsidTr="004D2D78">
        <w:tc>
          <w:tcPr>
            <w:tcW w:w="2830" w:type="dxa"/>
            <w:shd w:val="clear" w:color="auto" w:fill="9CC2E5" w:themeFill="accent1" w:themeFillTint="99"/>
          </w:tcPr>
          <w:p w14:paraId="732DD648"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85 lat i więcej</w:t>
            </w:r>
          </w:p>
        </w:tc>
        <w:tc>
          <w:tcPr>
            <w:tcW w:w="3969" w:type="dxa"/>
            <w:gridSpan w:val="3"/>
            <w:shd w:val="clear" w:color="auto" w:fill="FFFFFF" w:themeFill="background1"/>
            <w:vAlign w:val="center"/>
          </w:tcPr>
          <w:p w14:paraId="40827C12"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60 810</w:t>
            </w:r>
          </w:p>
        </w:tc>
        <w:tc>
          <w:tcPr>
            <w:tcW w:w="3969" w:type="dxa"/>
            <w:gridSpan w:val="3"/>
            <w:shd w:val="clear" w:color="auto" w:fill="FFFFFF" w:themeFill="background1"/>
            <w:vAlign w:val="center"/>
          </w:tcPr>
          <w:p w14:paraId="68DE9860"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62 174</w:t>
            </w:r>
          </w:p>
        </w:tc>
        <w:tc>
          <w:tcPr>
            <w:tcW w:w="3973" w:type="dxa"/>
            <w:gridSpan w:val="2"/>
            <w:shd w:val="clear" w:color="auto" w:fill="FFFFFF" w:themeFill="background1"/>
            <w:vAlign w:val="center"/>
          </w:tcPr>
          <w:p w14:paraId="3E8892E9"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63 736</w:t>
            </w:r>
          </w:p>
        </w:tc>
      </w:tr>
      <w:tr w:rsidR="008035B3" w:rsidRPr="006602F8" w14:paraId="4CFF0641" w14:textId="77777777" w:rsidTr="004D2D78">
        <w:tc>
          <w:tcPr>
            <w:tcW w:w="2830" w:type="dxa"/>
            <w:shd w:val="clear" w:color="auto" w:fill="9CC2E5" w:themeFill="accent1" w:themeFillTint="99"/>
          </w:tcPr>
          <w:p w14:paraId="6D84FD7E"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Przeciętne dalsze trwanie życia</w:t>
            </w:r>
          </w:p>
        </w:tc>
        <w:tc>
          <w:tcPr>
            <w:tcW w:w="3969" w:type="dxa"/>
            <w:gridSpan w:val="3"/>
            <w:shd w:val="clear" w:color="auto" w:fill="FFFFFF" w:themeFill="background1"/>
            <w:vAlign w:val="center"/>
          </w:tcPr>
          <w:p w14:paraId="21FDBCE4" w14:textId="77777777" w:rsidR="008035B3" w:rsidRPr="006602F8" w:rsidRDefault="008035B3" w:rsidP="004D2D78">
            <w:pPr>
              <w:spacing w:after="0" w:line="240" w:lineRule="auto"/>
              <w:jc w:val="center"/>
              <w:rPr>
                <w:rFonts w:ascii="Times New Roman" w:hAnsi="Times New Roman" w:cs="Times New Roman"/>
              </w:rPr>
            </w:pPr>
          </w:p>
        </w:tc>
        <w:tc>
          <w:tcPr>
            <w:tcW w:w="3969" w:type="dxa"/>
            <w:gridSpan w:val="3"/>
            <w:shd w:val="clear" w:color="auto" w:fill="FFFFFF" w:themeFill="background1"/>
            <w:vAlign w:val="center"/>
          </w:tcPr>
          <w:p w14:paraId="1E4442E2" w14:textId="77777777" w:rsidR="008035B3" w:rsidRPr="006602F8" w:rsidRDefault="008035B3" w:rsidP="004D2D78">
            <w:pPr>
              <w:spacing w:after="0" w:line="240" w:lineRule="auto"/>
              <w:jc w:val="center"/>
              <w:rPr>
                <w:rFonts w:ascii="Times New Roman" w:hAnsi="Times New Roman" w:cs="Times New Roman"/>
              </w:rPr>
            </w:pPr>
          </w:p>
        </w:tc>
        <w:tc>
          <w:tcPr>
            <w:tcW w:w="3973" w:type="dxa"/>
            <w:gridSpan w:val="2"/>
            <w:shd w:val="clear" w:color="auto" w:fill="FFFFFF" w:themeFill="background1"/>
            <w:vAlign w:val="center"/>
          </w:tcPr>
          <w:p w14:paraId="3BC69997" w14:textId="77777777" w:rsidR="008035B3" w:rsidRPr="006602F8" w:rsidRDefault="008035B3" w:rsidP="004D2D78">
            <w:pPr>
              <w:spacing w:after="0" w:line="240" w:lineRule="auto"/>
              <w:jc w:val="center"/>
              <w:rPr>
                <w:rFonts w:ascii="Times New Roman" w:hAnsi="Times New Roman" w:cs="Times New Roman"/>
              </w:rPr>
            </w:pPr>
          </w:p>
        </w:tc>
      </w:tr>
      <w:tr w:rsidR="008035B3" w:rsidRPr="006602F8" w14:paraId="1DF1C77A" w14:textId="77777777" w:rsidTr="004D2D78">
        <w:tc>
          <w:tcPr>
            <w:tcW w:w="2830" w:type="dxa"/>
            <w:shd w:val="clear" w:color="auto" w:fill="9CC2E5" w:themeFill="accent1" w:themeFillTint="99"/>
          </w:tcPr>
          <w:p w14:paraId="6E9FC1A1"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mężczyźni</w:t>
            </w:r>
          </w:p>
        </w:tc>
        <w:tc>
          <w:tcPr>
            <w:tcW w:w="3969" w:type="dxa"/>
            <w:gridSpan w:val="3"/>
            <w:shd w:val="clear" w:color="auto" w:fill="FFFFFF" w:themeFill="background1"/>
            <w:vAlign w:val="center"/>
          </w:tcPr>
          <w:p w14:paraId="01D42B6A" w14:textId="77777777" w:rsidR="008035B3" w:rsidRPr="006602F8" w:rsidRDefault="008035B3" w:rsidP="004D2D78">
            <w:pPr>
              <w:spacing w:after="0" w:line="240" w:lineRule="auto"/>
              <w:jc w:val="center"/>
              <w:rPr>
                <w:rFonts w:ascii="Times New Roman" w:hAnsi="Times New Roman" w:cs="Times New Roman"/>
                <w:bCs/>
                <w:lang w:eastAsia="pl-PL"/>
              </w:rPr>
            </w:pPr>
            <w:r w:rsidRPr="006602F8">
              <w:rPr>
                <w:rFonts w:ascii="Times New Roman" w:hAnsi="Times New Roman" w:cs="Times New Roman"/>
                <w:bCs/>
                <w:lang w:eastAsia="pl-PL"/>
              </w:rPr>
              <w:t>73,5</w:t>
            </w:r>
          </w:p>
        </w:tc>
        <w:tc>
          <w:tcPr>
            <w:tcW w:w="3969" w:type="dxa"/>
            <w:gridSpan w:val="3"/>
            <w:shd w:val="clear" w:color="auto" w:fill="FFFFFF" w:themeFill="background1"/>
            <w:vAlign w:val="center"/>
          </w:tcPr>
          <w:p w14:paraId="4392209A" w14:textId="77777777" w:rsidR="008035B3" w:rsidRPr="006602F8" w:rsidRDefault="008035B3" w:rsidP="004D2D78">
            <w:pPr>
              <w:spacing w:after="0" w:line="240" w:lineRule="auto"/>
              <w:jc w:val="center"/>
              <w:rPr>
                <w:rFonts w:ascii="Times New Roman" w:hAnsi="Times New Roman" w:cs="Times New Roman"/>
                <w:bCs/>
                <w:lang w:eastAsia="pl-PL"/>
              </w:rPr>
            </w:pPr>
            <w:r w:rsidRPr="006602F8">
              <w:rPr>
                <w:rFonts w:ascii="Times New Roman" w:hAnsi="Times New Roman" w:cs="Times New Roman"/>
                <w:bCs/>
                <w:lang w:eastAsia="pl-PL"/>
              </w:rPr>
              <w:t>73,2</w:t>
            </w:r>
          </w:p>
        </w:tc>
        <w:tc>
          <w:tcPr>
            <w:tcW w:w="3973" w:type="dxa"/>
            <w:gridSpan w:val="2"/>
            <w:shd w:val="clear" w:color="auto" w:fill="FFFFFF" w:themeFill="background1"/>
            <w:vAlign w:val="center"/>
          </w:tcPr>
          <w:p w14:paraId="57F99C66" w14:textId="005714F0" w:rsidR="008035B3" w:rsidRPr="006602F8" w:rsidRDefault="00CE49CD" w:rsidP="004D2D78">
            <w:pPr>
              <w:spacing w:after="0" w:line="240" w:lineRule="auto"/>
              <w:jc w:val="center"/>
              <w:rPr>
                <w:rFonts w:ascii="Times New Roman" w:hAnsi="Times New Roman" w:cs="Times New Roman"/>
              </w:rPr>
            </w:pPr>
            <w:r>
              <w:rPr>
                <w:rFonts w:ascii="Times New Roman" w:hAnsi="Times New Roman"/>
                <w:bCs/>
              </w:rPr>
              <w:t>73,5</w:t>
            </w:r>
          </w:p>
        </w:tc>
      </w:tr>
      <w:tr w:rsidR="008035B3" w:rsidRPr="006602F8" w14:paraId="6F42CB45" w14:textId="77777777" w:rsidTr="004D2D78">
        <w:trPr>
          <w:trHeight w:val="130"/>
        </w:trPr>
        <w:tc>
          <w:tcPr>
            <w:tcW w:w="2830" w:type="dxa"/>
            <w:shd w:val="clear" w:color="auto" w:fill="9CC2E5" w:themeFill="accent1" w:themeFillTint="99"/>
          </w:tcPr>
          <w:p w14:paraId="5F7E65AA"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kobiety</w:t>
            </w:r>
          </w:p>
        </w:tc>
        <w:tc>
          <w:tcPr>
            <w:tcW w:w="3969" w:type="dxa"/>
            <w:gridSpan w:val="3"/>
            <w:shd w:val="clear" w:color="auto" w:fill="FFFFFF" w:themeFill="background1"/>
            <w:vAlign w:val="center"/>
          </w:tcPr>
          <w:p w14:paraId="0F0F1C81" w14:textId="77777777" w:rsidR="008035B3" w:rsidRPr="006602F8" w:rsidRDefault="008035B3" w:rsidP="004D2D78">
            <w:pPr>
              <w:spacing w:after="0" w:line="240" w:lineRule="auto"/>
              <w:jc w:val="center"/>
              <w:rPr>
                <w:rFonts w:ascii="Times New Roman" w:hAnsi="Times New Roman" w:cs="Times New Roman"/>
                <w:bCs/>
                <w:lang w:eastAsia="pl-PL"/>
              </w:rPr>
            </w:pPr>
            <w:r w:rsidRPr="006602F8">
              <w:rPr>
                <w:rFonts w:ascii="Times New Roman" w:hAnsi="Times New Roman" w:cs="Times New Roman"/>
                <w:bCs/>
                <w:lang w:eastAsia="pl-PL"/>
              </w:rPr>
              <w:t>81,1</w:t>
            </w:r>
          </w:p>
        </w:tc>
        <w:tc>
          <w:tcPr>
            <w:tcW w:w="3969" w:type="dxa"/>
            <w:gridSpan w:val="3"/>
            <w:shd w:val="clear" w:color="auto" w:fill="FFFFFF" w:themeFill="background1"/>
            <w:vAlign w:val="center"/>
          </w:tcPr>
          <w:p w14:paraId="51C52A00" w14:textId="77777777" w:rsidR="008035B3" w:rsidRPr="006602F8" w:rsidRDefault="008035B3" w:rsidP="004D2D78">
            <w:pPr>
              <w:spacing w:after="0" w:line="240" w:lineRule="auto"/>
              <w:jc w:val="center"/>
              <w:rPr>
                <w:rFonts w:ascii="Times New Roman" w:hAnsi="Times New Roman" w:cs="Times New Roman"/>
                <w:bCs/>
                <w:lang w:eastAsia="pl-PL"/>
              </w:rPr>
            </w:pPr>
            <w:r w:rsidRPr="006602F8">
              <w:rPr>
                <w:rFonts w:ascii="Times New Roman" w:hAnsi="Times New Roman" w:cs="Times New Roman"/>
                <w:bCs/>
                <w:lang w:eastAsia="pl-PL"/>
              </w:rPr>
              <w:t>81,3</w:t>
            </w:r>
          </w:p>
        </w:tc>
        <w:tc>
          <w:tcPr>
            <w:tcW w:w="3973" w:type="dxa"/>
            <w:gridSpan w:val="2"/>
            <w:shd w:val="clear" w:color="auto" w:fill="FFFFFF" w:themeFill="background1"/>
            <w:vAlign w:val="center"/>
          </w:tcPr>
          <w:p w14:paraId="13E91121" w14:textId="5E9D38E7" w:rsidR="008035B3" w:rsidRPr="006602F8" w:rsidRDefault="00CE49CD" w:rsidP="004D2D78">
            <w:pPr>
              <w:spacing w:after="0" w:line="240" w:lineRule="auto"/>
              <w:jc w:val="center"/>
              <w:rPr>
                <w:rFonts w:ascii="Times New Roman" w:hAnsi="Times New Roman" w:cs="Times New Roman"/>
              </w:rPr>
            </w:pPr>
            <w:r>
              <w:rPr>
                <w:rFonts w:ascii="Times New Roman" w:hAnsi="Times New Roman"/>
                <w:bCs/>
              </w:rPr>
              <w:t>81,3</w:t>
            </w:r>
            <w:bookmarkStart w:id="125" w:name="_GoBack"/>
            <w:bookmarkEnd w:id="125"/>
          </w:p>
        </w:tc>
      </w:tr>
      <w:tr w:rsidR="008035B3" w:rsidRPr="006602F8" w14:paraId="03302474" w14:textId="77777777" w:rsidTr="004D2D78">
        <w:tc>
          <w:tcPr>
            <w:tcW w:w="2830" w:type="dxa"/>
            <w:shd w:val="clear" w:color="auto" w:fill="9CC2E5" w:themeFill="accent1" w:themeFillTint="99"/>
          </w:tcPr>
          <w:p w14:paraId="707CFD51"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Współczynnik feminizacji</w:t>
            </w:r>
          </w:p>
        </w:tc>
        <w:tc>
          <w:tcPr>
            <w:tcW w:w="3969" w:type="dxa"/>
            <w:gridSpan w:val="3"/>
            <w:shd w:val="clear" w:color="auto" w:fill="FFFFFF" w:themeFill="background1"/>
            <w:vAlign w:val="center"/>
          </w:tcPr>
          <w:p w14:paraId="060EF1F5"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108</w:t>
            </w:r>
          </w:p>
        </w:tc>
        <w:tc>
          <w:tcPr>
            <w:tcW w:w="3969" w:type="dxa"/>
            <w:gridSpan w:val="3"/>
            <w:shd w:val="clear" w:color="auto" w:fill="FFFFFF" w:themeFill="background1"/>
            <w:vAlign w:val="center"/>
          </w:tcPr>
          <w:p w14:paraId="0664FC47"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108</w:t>
            </w:r>
          </w:p>
        </w:tc>
        <w:tc>
          <w:tcPr>
            <w:tcW w:w="3973" w:type="dxa"/>
            <w:gridSpan w:val="2"/>
            <w:shd w:val="clear" w:color="auto" w:fill="FFFFFF" w:themeFill="background1"/>
            <w:vAlign w:val="center"/>
          </w:tcPr>
          <w:p w14:paraId="6B2EF314"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108</w:t>
            </w:r>
          </w:p>
        </w:tc>
      </w:tr>
      <w:tr w:rsidR="008035B3" w:rsidRPr="006602F8" w14:paraId="02147E62" w14:textId="77777777" w:rsidTr="004D2D78">
        <w:tc>
          <w:tcPr>
            <w:tcW w:w="2830" w:type="dxa"/>
            <w:shd w:val="clear" w:color="auto" w:fill="9CC2E5" w:themeFill="accent1" w:themeFillTint="99"/>
          </w:tcPr>
          <w:p w14:paraId="68F3360D"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Współczynnik obciążenia demograficznego osobami starszymi</w:t>
            </w:r>
          </w:p>
        </w:tc>
        <w:tc>
          <w:tcPr>
            <w:tcW w:w="3969" w:type="dxa"/>
            <w:gridSpan w:val="3"/>
            <w:shd w:val="clear" w:color="auto" w:fill="FFFFFF" w:themeFill="background1"/>
            <w:vAlign w:val="center"/>
          </w:tcPr>
          <w:p w14:paraId="556D8E9B"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26,0</w:t>
            </w:r>
          </w:p>
        </w:tc>
        <w:tc>
          <w:tcPr>
            <w:tcW w:w="3969" w:type="dxa"/>
            <w:gridSpan w:val="3"/>
            <w:shd w:val="clear" w:color="auto" w:fill="FFFFFF" w:themeFill="background1"/>
            <w:vAlign w:val="center"/>
          </w:tcPr>
          <w:p w14:paraId="6704A0C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27,4</w:t>
            </w:r>
          </w:p>
        </w:tc>
        <w:tc>
          <w:tcPr>
            <w:tcW w:w="3973" w:type="dxa"/>
            <w:gridSpan w:val="2"/>
            <w:shd w:val="clear" w:color="auto" w:fill="FFFFFF" w:themeFill="background1"/>
            <w:vAlign w:val="center"/>
          </w:tcPr>
          <w:p w14:paraId="3798F5A5"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28,7</w:t>
            </w:r>
          </w:p>
        </w:tc>
      </w:tr>
      <w:tr w:rsidR="008035B3" w:rsidRPr="006602F8" w14:paraId="7E9D6991" w14:textId="77777777" w:rsidTr="004D2D78">
        <w:tc>
          <w:tcPr>
            <w:tcW w:w="2830" w:type="dxa"/>
            <w:shd w:val="clear" w:color="auto" w:fill="9CC2E5" w:themeFill="accent1" w:themeFillTint="99"/>
          </w:tcPr>
          <w:p w14:paraId="674114FF"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Współczynnik zgonów</w:t>
            </w:r>
          </w:p>
        </w:tc>
        <w:tc>
          <w:tcPr>
            <w:tcW w:w="3969" w:type="dxa"/>
            <w:gridSpan w:val="3"/>
            <w:shd w:val="clear" w:color="auto" w:fill="FFFFFF" w:themeFill="background1"/>
            <w:vAlign w:val="center"/>
          </w:tcPr>
          <w:p w14:paraId="46CF5899"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11,0</w:t>
            </w:r>
          </w:p>
        </w:tc>
        <w:tc>
          <w:tcPr>
            <w:tcW w:w="3969" w:type="dxa"/>
            <w:gridSpan w:val="3"/>
            <w:shd w:val="clear" w:color="auto" w:fill="FFFFFF" w:themeFill="background1"/>
            <w:vAlign w:val="center"/>
          </w:tcPr>
          <w:p w14:paraId="1B86CDE2"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11,4</w:t>
            </w:r>
          </w:p>
        </w:tc>
        <w:tc>
          <w:tcPr>
            <w:tcW w:w="3973" w:type="dxa"/>
            <w:gridSpan w:val="2"/>
            <w:shd w:val="clear" w:color="auto" w:fill="FFFFFF" w:themeFill="background1"/>
            <w:vAlign w:val="center"/>
          </w:tcPr>
          <w:p w14:paraId="1D952AF3"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11,3</w:t>
            </w:r>
          </w:p>
        </w:tc>
      </w:tr>
      <w:tr w:rsidR="008035B3" w:rsidRPr="006602F8" w14:paraId="131D682A" w14:textId="77777777" w:rsidTr="004D2D78">
        <w:tc>
          <w:tcPr>
            <w:tcW w:w="14741" w:type="dxa"/>
            <w:gridSpan w:val="9"/>
            <w:shd w:val="clear" w:color="auto" w:fill="9CC2E5" w:themeFill="accent1" w:themeFillTint="99"/>
          </w:tcPr>
          <w:p w14:paraId="77E7CFD7" w14:textId="77777777" w:rsidR="008035B3" w:rsidRPr="006602F8" w:rsidRDefault="008035B3" w:rsidP="004D2D78">
            <w:pPr>
              <w:spacing w:after="0" w:line="240" w:lineRule="auto"/>
              <w:jc w:val="center"/>
              <w:rPr>
                <w:rFonts w:ascii="Times New Roman" w:hAnsi="Times New Roman" w:cs="Times New Roman"/>
                <w:b/>
                <w:bCs/>
              </w:rPr>
            </w:pPr>
            <w:r w:rsidRPr="006602F8">
              <w:rPr>
                <w:rFonts w:ascii="Times New Roman" w:hAnsi="Times New Roman" w:cs="Times New Roman"/>
                <w:b/>
                <w:bCs/>
              </w:rPr>
              <w:t>SYTUACJA RODZINNA I STRUKTURA GOSPODARSTW DOMOWYCH</w:t>
            </w:r>
          </w:p>
        </w:tc>
      </w:tr>
      <w:tr w:rsidR="008035B3" w:rsidRPr="006602F8" w14:paraId="138DA15E" w14:textId="77777777" w:rsidTr="004D2D78">
        <w:tc>
          <w:tcPr>
            <w:tcW w:w="14741" w:type="dxa"/>
            <w:gridSpan w:val="9"/>
            <w:shd w:val="clear" w:color="auto" w:fill="auto"/>
          </w:tcPr>
          <w:p w14:paraId="6A31CCE0"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Cs/>
                <w:lang w:eastAsia="pl-PL"/>
              </w:rPr>
              <w:t xml:space="preserve">W końcu 2019 r. województwo dolnośląskie zamieszkiwało 2900,2 tys. osób, tj. mniej niż rok wcześniej o 1,1 tys. osób. Spadek liczby ludności spowodowany był ujemnym przyrostem naturalnym, którego nie zrekompensowało dodatnie saldo migracji wewnętrznych i zagranicznych na pobyt stały. W 2019 r. zawarto 13,9 tys. małżeństw, tj. o 272 (1,9%) mniej niż rok wcześniej. W przeliczeniu na 1000 osób liczba nowo zawartych małżeństw wyniosła 4,8 (podobnie, jak w kraju) i była mniejsza niż w 2018 r. (4,9). W miastach współczynnik małżeństw osiągnął wyższą wartość niż na wsi — 5,0 wobec 4,4. W 2019 r. odnotowano 26,9 tys. urodzeń żywych, tj. o 0,9 tys. (3,1%) mniej niż rok wcześniej. Współczynnik urodzeń wyniósł 9,3 i był niższy niż w dwóch poprzednich latach, przy czym na wsi był wyższy niż w miastach — 9,6 wobec 9,1. W omawianym okresie zarejestrowano 32,7 tys. zgonów, tj. o 0,3 tys. (0,8%) mniej niż przed rokiem. Przyrost naturalny </w:t>
            </w:r>
            <w:r w:rsidRPr="006602F8">
              <w:rPr>
                <w:rFonts w:ascii="Times New Roman" w:hAnsi="Times New Roman" w:cs="Times New Roman"/>
                <w:bCs/>
                <w:lang w:eastAsia="pl-PL"/>
              </w:rPr>
              <w:lastRenderedPageBreak/>
              <w:t>był rekordowo niski — minus 5,8 tys. osób (w 2018 r. minus 5,2 tys.), w przeliczeniu na 1000 ludności — minus 2,0 (w kraju minus 0,9), z czego w miastach przyjął wartość minus 2,6, a na wsi — minus 0,6.</w:t>
            </w:r>
          </w:p>
        </w:tc>
      </w:tr>
      <w:tr w:rsidR="008035B3" w:rsidRPr="006602F8" w14:paraId="77CEADE5" w14:textId="77777777" w:rsidTr="004D2D78">
        <w:tc>
          <w:tcPr>
            <w:tcW w:w="14741" w:type="dxa"/>
            <w:gridSpan w:val="9"/>
            <w:shd w:val="clear" w:color="auto" w:fill="9CC2E5" w:themeFill="accent1" w:themeFillTint="99"/>
          </w:tcPr>
          <w:p w14:paraId="3B744D85" w14:textId="77777777" w:rsidR="008035B3" w:rsidRPr="006602F8" w:rsidRDefault="008035B3" w:rsidP="004D2D78">
            <w:pPr>
              <w:spacing w:after="0" w:line="240" w:lineRule="auto"/>
              <w:jc w:val="center"/>
              <w:rPr>
                <w:rFonts w:ascii="Times New Roman" w:hAnsi="Times New Roman" w:cs="Times New Roman"/>
                <w:b/>
                <w:bCs/>
              </w:rPr>
            </w:pPr>
            <w:r w:rsidRPr="006602F8">
              <w:rPr>
                <w:rFonts w:ascii="Times New Roman" w:hAnsi="Times New Roman" w:cs="Times New Roman"/>
                <w:b/>
                <w:bCs/>
              </w:rPr>
              <w:lastRenderedPageBreak/>
              <w:t>SYTUACJA OSÓB NIEPEŁNOSPRAWNYCH I ICH OPIEKUNÓW</w:t>
            </w:r>
          </w:p>
        </w:tc>
      </w:tr>
      <w:tr w:rsidR="008035B3" w:rsidRPr="006602F8" w14:paraId="787C9D23" w14:textId="77777777" w:rsidTr="004D2D78">
        <w:tc>
          <w:tcPr>
            <w:tcW w:w="14741" w:type="dxa"/>
            <w:gridSpan w:val="9"/>
            <w:shd w:val="clear" w:color="auto" w:fill="auto"/>
          </w:tcPr>
          <w:p w14:paraId="4EF22E70"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Cs/>
                <w:lang w:eastAsia="pl-PL"/>
              </w:rPr>
              <w:t>W 2019 r. osoby niepełnosprawne mogły liczyć na  finansowanie warsztatów terapii zajęciowej, dofinansowanie do turnusów rehabilitacyjnych, zakupu sprzętu rehabilitacyjnego, przedmiotów ortopedycznych i środków pomocniczych, likwidacji barier w komunikowaniu się, usług tłumacza języka migowego lub tłumacza przewodnika, likwidacji barier architektonicznych i technicznych.</w:t>
            </w:r>
          </w:p>
          <w:p w14:paraId="3BEC6F75" w14:textId="77777777" w:rsidR="008035B3" w:rsidRPr="006602F8" w:rsidRDefault="008035B3" w:rsidP="004D2D78">
            <w:pPr>
              <w:spacing w:after="0" w:line="240" w:lineRule="auto"/>
              <w:rPr>
                <w:rFonts w:ascii="Times New Roman" w:hAnsi="Times New Roman" w:cs="Times New Roman"/>
                <w:bCs/>
              </w:rPr>
            </w:pPr>
            <w:r w:rsidRPr="006602F8">
              <w:rPr>
                <w:rFonts w:ascii="Times New Roman" w:hAnsi="Times New Roman" w:cs="Times New Roman"/>
                <w:bCs/>
                <w:lang w:eastAsia="pl-PL"/>
              </w:rPr>
              <w:t>Wśród świadczeń, które kierowano do osób niepełnosprawnych oraz ich opiekunów, należy wymienić m.in. zasiłek pielęgnacyjny, specjalny zasiłek opiekuńczy, czy zasiłek dla opiekuna. Dla opiekunów osób niepełnosprawnych, którzy zrezygnowali z pracy zawodowej celem wspierania swoich podopiecznych w 2019 r. wypłacono 22 130 specjalnych zasiłków opiekuńczych na kwotę 13 249 662 zł oraz 9 595 zasiłków dla opiekuna na ogólną kwotę 5 925 545 zł. Natomiast 198 osobom niepełnosprawnym, które ukończyły 75 lat wypłacono w 2019 r. zasiłki pielęgnacyjne na kwotę 3 135 408 zł.</w:t>
            </w:r>
          </w:p>
        </w:tc>
      </w:tr>
      <w:tr w:rsidR="008035B3" w:rsidRPr="006602F8" w14:paraId="63714C5B" w14:textId="77777777" w:rsidTr="004D2D78">
        <w:tc>
          <w:tcPr>
            <w:tcW w:w="14741" w:type="dxa"/>
            <w:gridSpan w:val="9"/>
            <w:shd w:val="clear" w:color="auto" w:fill="9CC2E5" w:themeFill="accent1" w:themeFillTint="99"/>
          </w:tcPr>
          <w:p w14:paraId="5FA54C69" w14:textId="77777777" w:rsidR="008035B3" w:rsidRPr="00CC4E8D" w:rsidRDefault="008035B3" w:rsidP="004D2D78">
            <w:pPr>
              <w:spacing w:after="0" w:line="240" w:lineRule="auto"/>
              <w:jc w:val="center"/>
              <w:rPr>
                <w:rFonts w:ascii="Times New Roman" w:hAnsi="Times New Roman" w:cs="Times New Roman"/>
                <w:b/>
                <w:bCs/>
              </w:rPr>
            </w:pPr>
            <w:r w:rsidRPr="00CC4E8D">
              <w:rPr>
                <w:rFonts w:ascii="Times New Roman" w:hAnsi="Times New Roman" w:cs="Times New Roman"/>
                <w:b/>
                <w:bCs/>
              </w:rPr>
              <w:t>STAN ZDROWIA OSÓB STARSZYCH / INFRASTRUKTURA SŁUŻBY ZDROWIA - DANE ZA 2019 r.</w:t>
            </w:r>
          </w:p>
        </w:tc>
      </w:tr>
      <w:tr w:rsidR="008035B3" w:rsidRPr="006602F8" w14:paraId="5582A351" w14:textId="77777777" w:rsidTr="004D2D78">
        <w:trPr>
          <w:trHeight w:val="283"/>
        </w:trPr>
        <w:tc>
          <w:tcPr>
            <w:tcW w:w="2830" w:type="dxa"/>
            <w:vMerge w:val="restart"/>
            <w:shd w:val="clear" w:color="auto" w:fill="9CC2E5" w:themeFill="accent1" w:themeFillTint="99"/>
          </w:tcPr>
          <w:p w14:paraId="0C8B34B3"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
                <w:bCs/>
                <w:lang w:eastAsia="pl-PL"/>
              </w:rPr>
              <w:t xml:space="preserve">Dominujące schorzenia osób starszych </w:t>
            </w:r>
          </w:p>
        </w:tc>
        <w:tc>
          <w:tcPr>
            <w:tcW w:w="7938" w:type="dxa"/>
            <w:gridSpan w:val="6"/>
            <w:shd w:val="clear" w:color="auto" w:fill="9CC2E5" w:themeFill="accent1" w:themeFillTint="99"/>
          </w:tcPr>
          <w:p w14:paraId="5371713F"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Nazwa</w:t>
            </w:r>
          </w:p>
        </w:tc>
        <w:tc>
          <w:tcPr>
            <w:tcW w:w="3973" w:type="dxa"/>
            <w:gridSpan w:val="2"/>
            <w:shd w:val="clear" w:color="auto" w:fill="9CC2E5" w:themeFill="accent1" w:themeFillTint="99"/>
          </w:tcPr>
          <w:p w14:paraId="42125CE5"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Liczba osób starszych</w:t>
            </w:r>
          </w:p>
        </w:tc>
      </w:tr>
      <w:tr w:rsidR="008035B3" w:rsidRPr="006602F8" w14:paraId="5EBFCCBE" w14:textId="77777777" w:rsidTr="004D2D78">
        <w:trPr>
          <w:trHeight w:val="281"/>
        </w:trPr>
        <w:tc>
          <w:tcPr>
            <w:tcW w:w="2830" w:type="dxa"/>
            <w:vMerge/>
            <w:shd w:val="clear" w:color="auto" w:fill="9CC2E5" w:themeFill="accent1" w:themeFillTint="99"/>
            <w:textDirection w:val="btLr"/>
          </w:tcPr>
          <w:p w14:paraId="0FC04A5F"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5EF1E039"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1.</w:t>
            </w:r>
            <w:r w:rsidRPr="006602F8">
              <w:rPr>
                <w:rFonts w:ascii="Times New Roman" w:hAnsi="Times New Roman" w:cs="Times New Roman"/>
              </w:rPr>
              <w:t xml:space="preserve"> Samoistne (pierwotne) nadciśnienie</w:t>
            </w:r>
          </w:p>
        </w:tc>
        <w:tc>
          <w:tcPr>
            <w:tcW w:w="3973" w:type="dxa"/>
            <w:gridSpan w:val="2"/>
            <w:shd w:val="clear" w:color="auto" w:fill="FFFFFF" w:themeFill="background1"/>
            <w:vAlign w:val="center"/>
          </w:tcPr>
          <w:p w14:paraId="0033D004"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254 226</w:t>
            </w:r>
          </w:p>
        </w:tc>
      </w:tr>
      <w:tr w:rsidR="008035B3" w:rsidRPr="006602F8" w14:paraId="2EB8022E" w14:textId="77777777" w:rsidTr="004D2D78">
        <w:trPr>
          <w:trHeight w:val="281"/>
        </w:trPr>
        <w:tc>
          <w:tcPr>
            <w:tcW w:w="2830" w:type="dxa"/>
            <w:vMerge/>
            <w:shd w:val="clear" w:color="auto" w:fill="9CC2E5" w:themeFill="accent1" w:themeFillTint="99"/>
          </w:tcPr>
          <w:p w14:paraId="7F1E8411"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50BD6FBE"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2.</w:t>
            </w:r>
            <w:r w:rsidRPr="006602F8">
              <w:rPr>
                <w:rFonts w:ascii="Times New Roman" w:hAnsi="Times New Roman" w:cs="Times New Roman"/>
              </w:rPr>
              <w:t>Cukrzyca insulinoniezależna</w:t>
            </w:r>
          </w:p>
        </w:tc>
        <w:tc>
          <w:tcPr>
            <w:tcW w:w="3973" w:type="dxa"/>
            <w:gridSpan w:val="2"/>
            <w:shd w:val="clear" w:color="auto" w:fill="FFFFFF" w:themeFill="background1"/>
            <w:vAlign w:val="center"/>
          </w:tcPr>
          <w:p w14:paraId="0E74B7B3"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95 377</w:t>
            </w:r>
          </w:p>
        </w:tc>
      </w:tr>
      <w:tr w:rsidR="008035B3" w:rsidRPr="006602F8" w14:paraId="11700257" w14:textId="77777777" w:rsidTr="004D2D78">
        <w:trPr>
          <w:trHeight w:val="281"/>
        </w:trPr>
        <w:tc>
          <w:tcPr>
            <w:tcW w:w="2830" w:type="dxa"/>
            <w:vMerge/>
            <w:shd w:val="clear" w:color="auto" w:fill="9CC2E5" w:themeFill="accent1" w:themeFillTint="99"/>
          </w:tcPr>
          <w:p w14:paraId="6438625F"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6222B12C"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3.</w:t>
            </w:r>
            <w:r w:rsidRPr="006602F8">
              <w:rPr>
                <w:rFonts w:ascii="Times New Roman" w:hAnsi="Times New Roman" w:cs="Times New Roman"/>
              </w:rPr>
              <w:t>Zmiany zwyrodnieniowe kręgosłupa</w:t>
            </w:r>
          </w:p>
        </w:tc>
        <w:tc>
          <w:tcPr>
            <w:tcW w:w="3973" w:type="dxa"/>
            <w:gridSpan w:val="2"/>
            <w:shd w:val="clear" w:color="auto" w:fill="FFFFFF" w:themeFill="background1"/>
            <w:vAlign w:val="center"/>
          </w:tcPr>
          <w:p w14:paraId="67F3DCF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77 978</w:t>
            </w:r>
          </w:p>
        </w:tc>
      </w:tr>
      <w:tr w:rsidR="008035B3" w:rsidRPr="006602F8" w14:paraId="1125A2BD" w14:textId="77777777" w:rsidTr="004D2D78">
        <w:trPr>
          <w:trHeight w:val="281"/>
        </w:trPr>
        <w:tc>
          <w:tcPr>
            <w:tcW w:w="2830" w:type="dxa"/>
            <w:vMerge/>
            <w:shd w:val="clear" w:color="auto" w:fill="9CC2E5" w:themeFill="accent1" w:themeFillTint="99"/>
          </w:tcPr>
          <w:p w14:paraId="11166F97"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24C3BF3C"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4.</w:t>
            </w:r>
            <w:r w:rsidRPr="006602F8">
              <w:rPr>
                <w:rFonts w:ascii="Times New Roman" w:hAnsi="Times New Roman" w:cs="Times New Roman"/>
              </w:rPr>
              <w:t>Ostre zakażenie górnych dróg oddechowych o umiejscowieniu mnogim lub nieokreślonym</w:t>
            </w:r>
          </w:p>
        </w:tc>
        <w:tc>
          <w:tcPr>
            <w:tcW w:w="3973" w:type="dxa"/>
            <w:gridSpan w:val="2"/>
            <w:shd w:val="clear" w:color="auto" w:fill="FFFFFF" w:themeFill="background1"/>
            <w:vAlign w:val="center"/>
          </w:tcPr>
          <w:p w14:paraId="048C304D"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65 658</w:t>
            </w:r>
          </w:p>
        </w:tc>
      </w:tr>
      <w:tr w:rsidR="008035B3" w:rsidRPr="006602F8" w14:paraId="44EDA08F" w14:textId="77777777" w:rsidTr="004D2D78">
        <w:trPr>
          <w:trHeight w:val="281"/>
        </w:trPr>
        <w:tc>
          <w:tcPr>
            <w:tcW w:w="2830" w:type="dxa"/>
            <w:vMerge/>
            <w:shd w:val="clear" w:color="auto" w:fill="9CC2E5" w:themeFill="accent1" w:themeFillTint="99"/>
          </w:tcPr>
          <w:p w14:paraId="6BE0D8F1"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2BEF7CCE"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5.</w:t>
            </w:r>
            <w:r w:rsidRPr="006602F8">
              <w:rPr>
                <w:rFonts w:ascii="Times New Roman" w:hAnsi="Times New Roman" w:cs="Times New Roman"/>
              </w:rPr>
              <w:t>Przewlekła choroba niedokrwienna serca</w:t>
            </w:r>
          </w:p>
        </w:tc>
        <w:tc>
          <w:tcPr>
            <w:tcW w:w="3973" w:type="dxa"/>
            <w:gridSpan w:val="2"/>
            <w:shd w:val="clear" w:color="auto" w:fill="FFFFFF" w:themeFill="background1"/>
            <w:vAlign w:val="center"/>
          </w:tcPr>
          <w:p w14:paraId="1D93AA0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61 889</w:t>
            </w:r>
          </w:p>
        </w:tc>
      </w:tr>
      <w:tr w:rsidR="008035B3" w:rsidRPr="006602F8" w14:paraId="268DFB93" w14:textId="77777777" w:rsidTr="004D2D78">
        <w:tc>
          <w:tcPr>
            <w:tcW w:w="2830" w:type="dxa"/>
            <w:shd w:val="clear" w:color="auto" w:fill="9CC2E5" w:themeFill="accent1" w:themeFillTint="99"/>
          </w:tcPr>
          <w:p w14:paraId="6B3570A1"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
                <w:bCs/>
                <w:lang w:eastAsia="pl-PL"/>
              </w:rPr>
              <w:t>Liczba osób starszych objętych czynną opieką lekarza POZ</w:t>
            </w:r>
          </w:p>
        </w:tc>
        <w:tc>
          <w:tcPr>
            <w:tcW w:w="11911" w:type="dxa"/>
            <w:gridSpan w:val="8"/>
            <w:shd w:val="clear" w:color="auto" w:fill="FFFFFF" w:themeFill="background1"/>
            <w:vAlign w:val="center"/>
          </w:tcPr>
          <w:p w14:paraId="7C2EB2CA"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769 356</w:t>
            </w:r>
          </w:p>
        </w:tc>
      </w:tr>
      <w:tr w:rsidR="008035B3" w:rsidRPr="006602F8" w14:paraId="2B2D2D67" w14:textId="77777777" w:rsidTr="004D2D78">
        <w:trPr>
          <w:trHeight w:val="283"/>
        </w:trPr>
        <w:tc>
          <w:tcPr>
            <w:tcW w:w="2830" w:type="dxa"/>
            <w:vMerge w:val="restart"/>
            <w:shd w:val="clear" w:color="auto" w:fill="9CC2E5" w:themeFill="accent1" w:themeFillTint="99"/>
          </w:tcPr>
          <w:p w14:paraId="2FF90A8C"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
                <w:bCs/>
                <w:lang w:eastAsia="pl-PL"/>
              </w:rPr>
              <w:t>Najczęstsze przyczyny hospitalizacji osób starszych</w:t>
            </w:r>
          </w:p>
        </w:tc>
        <w:tc>
          <w:tcPr>
            <w:tcW w:w="7938" w:type="dxa"/>
            <w:gridSpan w:val="6"/>
            <w:shd w:val="clear" w:color="auto" w:fill="9CC2E5" w:themeFill="accent1" w:themeFillTint="99"/>
          </w:tcPr>
          <w:p w14:paraId="00167607"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Przyczyna</w:t>
            </w:r>
          </w:p>
        </w:tc>
        <w:tc>
          <w:tcPr>
            <w:tcW w:w="3973" w:type="dxa"/>
            <w:gridSpan w:val="2"/>
            <w:shd w:val="clear" w:color="auto" w:fill="9CC2E5" w:themeFill="accent1" w:themeFillTint="99"/>
          </w:tcPr>
          <w:p w14:paraId="78BAA3DC"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Liczba osób starszych</w:t>
            </w:r>
          </w:p>
        </w:tc>
      </w:tr>
      <w:tr w:rsidR="008035B3" w:rsidRPr="006602F8" w14:paraId="4899B376" w14:textId="77777777" w:rsidTr="004D2D78">
        <w:trPr>
          <w:trHeight w:val="281"/>
        </w:trPr>
        <w:tc>
          <w:tcPr>
            <w:tcW w:w="2830" w:type="dxa"/>
            <w:vMerge/>
            <w:shd w:val="clear" w:color="auto" w:fill="9CC2E5" w:themeFill="accent1" w:themeFillTint="99"/>
          </w:tcPr>
          <w:p w14:paraId="7F33A10E"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7AB691B7"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1</w:t>
            </w:r>
            <w:r w:rsidRPr="006602F8">
              <w:rPr>
                <w:rFonts w:ascii="Times New Roman" w:hAnsi="Times New Roman" w:cs="Times New Roman"/>
              </w:rPr>
              <w:t>.Zaburzenia soczewki</w:t>
            </w:r>
          </w:p>
        </w:tc>
        <w:tc>
          <w:tcPr>
            <w:tcW w:w="3973" w:type="dxa"/>
            <w:gridSpan w:val="2"/>
            <w:shd w:val="clear" w:color="auto" w:fill="FFFFFF" w:themeFill="background1"/>
            <w:vAlign w:val="center"/>
          </w:tcPr>
          <w:p w14:paraId="49010E9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34 035</w:t>
            </w:r>
          </w:p>
        </w:tc>
      </w:tr>
      <w:tr w:rsidR="008035B3" w:rsidRPr="006602F8" w14:paraId="51B1693B" w14:textId="77777777" w:rsidTr="004D2D78">
        <w:trPr>
          <w:trHeight w:val="281"/>
        </w:trPr>
        <w:tc>
          <w:tcPr>
            <w:tcW w:w="2830" w:type="dxa"/>
            <w:vMerge/>
            <w:shd w:val="clear" w:color="auto" w:fill="9CC2E5" w:themeFill="accent1" w:themeFillTint="99"/>
          </w:tcPr>
          <w:p w14:paraId="4B869254"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04A87FE7"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2.</w:t>
            </w:r>
            <w:r w:rsidRPr="006602F8">
              <w:rPr>
                <w:rFonts w:ascii="Times New Roman" w:hAnsi="Times New Roman" w:cs="Times New Roman"/>
              </w:rPr>
              <w:t>Inne choroby serca</w:t>
            </w:r>
          </w:p>
        </w:tc>
        <w:tc>
          <w:tcPr>
            <w:tcW w:w="3973" w:type="dxa"/>
            <w:gridSpan w:val="2"/>
            <w:shd w:val="clear" w:color="auto" w:fill="FFFFFF" w:themeFill="background1"/>
            <w:vAlign w:val="center"/>
          </w:tcPr>
          <w:p w14:paraId="4F3F7D29"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27 351</w:t>
            </w:r>
          </w:p>
        </w:tc>
      </w:tr>
      <w:tr w:rsidR="008035B3" w:rsidRPr="006602F8" w14:paraId="2CF77690" w14:textId="77777777" w:rsidTr="004D2D78">
        <w:trPr>
          <w:trHeight w:val="281"/>
        </w:trPr>
        <w:tc>
          <w:tcPr>
            <w:tcW w:w="2830" w:type="dxa"/>
            <w:vMerge/>
            <w:shd w:val="clear" w:color="auto" w:fill="9CC2E5" w:themeFill="accent1" w:themeFillTint="99"/>
          </w:tcPr>
          <w:p w14:paraId="1E1EE662"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2279114C"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3.</w:t>
            </w:r>
            <w:r w:rsidRPr="006602F8">
              <w:rPr>
                <w:rFonts w:ascii="Times New Roman" w:hAnsi="Times New Roman" w:cs="Times New Roman"/>
              </w:rPr>
              <w:t>Choroby niedokrwienne serca</w:t>
            </w:r>
          </w:p>
        </w:tc>
        <w:tc>
          <w:tcPr>
            <w:tcW w:w="3973" w:type="dxa"/>
            <w:gridSpan w:val="2"/>
            <w:shd w:val="clear" w:color="auto" w:fill="FFFFFF" w:themeFill="background1"/>
            <w:vAlign w:val="center"/>
          </w:tcPr>
          <w:p w14:paraId="19996654"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17 104</w:t>
            </w:r>
          </w:p>
        </w:tc>
      </w:tr>
      <w:tr w:rsidR="008035B3" w:rsidRPr="006602F8" w14:paraId="39C1959E" w14:textId="77777777" w:rsidTr="004D2D78">
        <w:trPr>
          <w:trHeight w:val="281"/>
        </w:trPr>
        <w:tc>
          <w:tcPr>
            <w:tcW w:w="2830" w:type="dxa"/>
            <w:vMerge/>
            <w:shd w:val="clear" w:color="auto" w:fill="9CC2E5" w:themeFill="accent1" w:themeFillTint="99"/>
          </w:tcPr>
          <w:p w14:paraId="2C8C482F"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1CB9ECB2"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4.</w:t>
            </w:r>
            <w:r w:rsidRPr="006602F8">
              <w:rPr>
                <w:rFonts w:ascii="Times New Roman" w:hAnsi="Times New Roman" w:cs="Times New Roman"/>
              </w:rPr>
              <w:t>Nowotwory złośliwe o określonym umiejscowieniu uznane lub podejrzane jako pierwotne, za wyjątkiem nowotworów tkanki limfatycznej, krwiotwórczej i tkanek pokrewnych</w:t>
            </w:r>
          </w:p>
        </w:tc>
        <w:tc>
          <w:tcPr>
            <w:tcW w:w="3973" w:type="dxa"/>
            <w:gridSpan w:val="2"/>
            <w:shd w:val="clear" w:color="auto" w:fill="FFFFFF" w:themeFill="background1"/>
            <w:vAlign w:val="center"/>
          </w:tcPr>
          <w:p w14:paraId="23BA364B"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16 489</w:t>
            </w:r>
          </w:p>
        </w:tc>
      </w:tr>
      <w:tr w:rsidR="008035B3" w:rsidRPr="006602F8" w14:paraId="1533A8AF" w14:textId="77777777" w:rsidTr="004D2D78">
        <w:tc>
          <w:tcPr>
            <w:tcW w:w="2830" w:type="dxa"/>
            <w:vMerge/>
            <w:shd w:val="clear" w:color="auto" w:fill="9CC2E5" w:themeFill="accent1" w:themeFillTint="99"/>
          </w:tcPr>
          <w:p w14:paraId="529594FB"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4F813F11"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5</w:t>
            </w:r>
            <w:r w:rsidRPr="006602F8">
              <w:rPr>
                <w:rFonts w:ascii="Times New Roman" w:hAnsi="Times New Roman" w:cs="Times New Roman"/>
              </w:rPr>
              <w:t>.Choroby naczyń mózgowych</w:t>
            </w:r>
          </w:p>
        </w:tc>
        <w:tc>
          <w:tcPr>
            <w:tcW w:w="3973" w:type="dxa"/>
            <w:gridSpan w:val="2"/>
            <w:shd w:val="clear" w:color="auto" w:fill="FFFFFF" w:themeFill="background1"/>
            <w:vAlign w:val="center"/>
          </w:tcPr>
          <w:p w14:paraId="2C5D5FD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11 294</w:t>
            </w:r>
          </w:p>
        </w:tc>
      </w:tr>
      <w:tr w:rsidR="008035B3" w:rsidRPr="006602F8" w14:paraId="7D55C2A2" w14:textId="77777777" w:rsidTr="004D2D78">
        <w:tc>
          <w:tcPr>
            <w:tcW w:w="2830" w:type="dxa"/>
            <w:vMerge w:val="restart"/>
            <w:shd w:val="clear" w:color="auto" w:fill="9CC2E5" w:themeFill="accent1" w:themeFillTint="99"/>
          </w:tcPr>
          <w:p w14:paraId="79DAFDAA"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b/>
                <w:bCs/>
                <w:lang w:eastAsia="pl-PL"/>
              </w:rPr>
              <w:t>Infrastruktura służby zdrowia</w:t>
            </w:r>
          </w:p>
        </w:tc>
        <w:tc>
          <w:tcPr>
            <w:tcW w:w="3969" w:type="dxa"/>
            <w:gridSpan w:val="3"/>
            <w:shd w:val="clear" w:color="auto" w:fill="9CC2E5" w:themeFill="accent1" w:themeFillTint="99"/>
          </w:tcPr>
          <w:p w14:paraId="61425685" w14:textId="77777777" w:rsidR="008035B3" w:rsidRPr="006602F8" w:rsidRDefault="008035B3" w:rsidP="004D2D78">
            <w:pPr>
              <w:spacing w:after="0" w:line="240" w:lineRule="auto"/>
              <w:jc w:val="center"/>
              <w:rPr>
                <w:rFonts w:ascii="Times New Roman" w:hAnsi="Times New Roman" w:cs="Times New Roman"/>
                <w:b/>
                <w:bCs/>
              </w:rPr>
            </w:pPr>
            <w:r w:rsidRPr="006602F8">
              <w:rPr>
                <w:rFonts w:ascii="Times New Roman" w:hAnsi="Times New Roman" w:cs="Times New Roman"/>
                <w:b/>
              </w:rPr>
              <w:t>Rodzaj komórki organizacyjnej</w:t>
            </w:r>
          </w:p>
        </w:tc>
        <w:tc>
          <w:tcPr>
            <w:tcW w:w="3969" w:type="dxa"/>
            <w:gridSpan w:val="3"/>
            <w:shd w:val="clear" w:color="auto" w:fill="9CC2E5" w:themeFill="accent1" w:themeFillTint="99"/>
          </w:tcPr>
          <w:p w14:paraId="48FE1E95"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Liczba komórek organizacyjnych</w:t>
            </w:r>
          </w:p>
        </w:tc>
        <w:tc>
          <w:tcPr>
            <w:tcW w:w="3973" w:type="dxa"/>
            <w:gridSpan w:val="2"/>
            <w:shd w:val="clear" w:color="auto" w:fill="9CC2E5" w:themeFill="accent1" w:themeFillTint="99"/>
          </w:tcPr>
          <w:p w14:paraId="57E8140B"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Liczba łóżek dla osób starszych</w:t>
            </w:r>
          </w:p>
        </w:tc>
      </w:tr>
      <w:tr w:rsidR="008035B3" w:rsidRPr="006602F8" w14:paraId="53419BC4" w14:textId="77777777" w:rsidTr="004D2D78">
        <w:tc>
          <w:tcPr>
            <w:tcW w:w="2830" w:type="dxa"/>
            <w:vMerge/>
            <w:shd w:val="clear" w:color="auto" w:fill="9CC2E5" w:themeFill="accent1" w:themeFillTint="99"/>
          </w:tcPr>
          <w:p w14:paraId="5E18BC7B" w14:textId="77777777" w:rsidR="008035B3" w:rsidRPr="006602F8" w:rsidRDefault="008035B3" w:rsidP="004D2D78">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7603AFCB"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Oddziałów geriatrycznych</w:t>
            </w:r>
          </w:p>
        </w:tc>
        <w:tc>
          <w:tcPr>
            <w:tcW w:w="3969" w:type="dxa"/>
            <w:gridSpan w:val="3"/>
            <w:shd w:val="clear" w:color="auto" w:fill="FFFFFF" w:themeFill="background1"/>
          </w:tcPr>
          <w:p w14:paraId="067BFB4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5</w:t>
            </w:r>
          </w:p>
        </w:tc>
        <w:tc>
          <w:tcPr>
            <w:tcW w:w="3973" w:type="dxa"/>
            <w:gridSpan w:val="2"/>
            <w:shd w:val="clear" w:color="auto" w:fill="FFFFFF" w:themeFill="background1"/>
          </w:tcPr>
          <w:p w14:paraId="5D63A86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66</w:t>
            </w:r>
          </w:p>
        </w:tc>
      </w:tr>
      <w:tr w:rsidR="008035B3" w:rsidRPr="006602F8" w14:paraId="22727B6B" w14:textId="77777777" w:rsidTr="004D2D78">
        <w:tc>
          <w:tcPr>
            <w:tcW w:w="2830" w:type="dxa"/>
            <w:vMerge/>
            <w:shd w:val="clear" w:color="auto" w:fill="9CC2E5" w:themeFill="accent1" w:themeFillTint="99"/>
          </w:tcPr>
          <w:p w14:paraId="17018832" w14:textId="77777777" w:rsidR="008035B3" w:rsidRPr="006602F8" w:rsidRDefault="008035B3" w:rsidP="004D2D78">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30D29F69"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Poradni geriatrycznych</w:t>
            </w:r>
          </w:p>
        </w:tc>
        <w:tc>
          <w:tcPr>
            <w:tcW w:w="3969" w:type="dxa"/>
            <w:gridSpan w:val="3"/>
            <w:shd w:val="clear" w:color="auto" w:fill="FFFFFF" w:themeFill="background1"/>
          </w:tcPr>
          <w:p w14:paraId="1B3A504B"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34</w:t>
            </w:r>
          </w:p>
        </w:tc>
        <w:tc>
          <w:tcPr>
            <w:tcW w:w="3973" w:type="dxa"/>
            <w:gridSpan w:val="2"/>
            <w:shd w:val="clear" w:color="auto" w:fill="FFFFFF" w:themeFill="background1"/>
          </w:tcPr>
          <w:p w14:paraId="27271C39"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w:t>
            </w:r>
          </w:p>
        </w:tc>
      </w:tr>
      <w:tr w:rsidR="008035B3" w:rsidRPr="006602F8" w14:paraId="6E14E2FF" w14:textId="77777777" w:rsidTr="004D2D78">
        <w:tc>
          <w:tcPr>
            <w:tcW w:w="2830" w:type="dxa"/>
            <w:vMerge/>
            <w:shd w:val="clear" w:color="auto" w:fill="9CC2E5" w:themeFill="accent1" w:themeFillTint="99"/>
          </w:tcPr>
          <w:p w14:paraId="1CF58101" w14:textId="77777777" w:rsidR="008035B3" w:rsidRPr="006602F8" w:rsidRDefault="008035B3" w:rsidP="004D2D78">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1162C1A2"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Zakładów opiekuńczo-leczniczych</w:t>
            </w:r>
          </w:p>
        </w:tc>
        <w:tc>
          <w:tcPr>
            <w:tcW w:w="3969" w:type="dxa"/>
            <w:gridSpan w:val="3"/>
            <w:shd w:val="clear" w:color="auto" w:fill="FFFFFF" w:themeFill="background1"/>
          </w:tcPr>
          <w:p w14:paraId="14AB152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59</w:t>
            </w:r>
          </w:p>
        </w:tc>
        <w:tc>
          <w:tcPr>
            <w:tcW w:w="3973" w:type="dxa"/>
            <w:gridSpan w:val="2"/>
            <w:shd w:val="clear" w:color="auto" w:fill="FFFFFF" w:themeFill="background1"/>
          </w:tcPr>
          <w:p w14:paraId="025766F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2 541</w:t>
            </w:r>
          </w:p>
        </w:tc>
      </w:tr>
      <w:tr w:rsidR="008035B3" w:rsidRPr="006602F8" w14:paraId="69E99AC6" w14:textId="77777777" w:rsidTr="004D2D78">
        <w:tc>
          <w:tcPr>
            <w:tcW w:w="2830" w:type="dxa"/>
            <w:vMerge/>
            <w:shd w:val="clear" w:color="auto" w:fill="9CC2E5" w:themeFill="accent1" w:themeFillTint="99"/>
          </w:tcPr>
          <w:p w14:paraId="32553A5D" w14:textId="77777777" w:rsidR="008035B3" w:rsidRPr="006602F8" w:rsidRDefault="008035B3" w:rsidP="004D2D78">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0AACD795"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Zakładów pielęgnacyjno-opiekuńczych</w:t>
            </w:r>
          </w:p>
        </w:tc>
        <w:tc>
          <w:tcPr>
            <w:tcW w:w="3969" w:type="dxa"/>
            <w:gridSpan w:val="3"/>
            <w:shd w:val="clear" w:color="auto" w:fill="FFFFFF" w:themeFill="background1"/>
          </w:tcPr>
          <w:p w14:paraId="23D721C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22</w:t>
            </w:r>
          </w:p>
        </w:tc>
        <w:tc>
          <w:tcPr>
            <w:tcW w:w="3973" w:type="dxa"/>
            <w:gridSpan w:val="2"/>
            <w:shd w:val="clear" w:color="auto" w:fill="FFFFFF" w:themeFill="background1"/>
          </w:tcPr>
          <w:p w14:paraId="0F37C76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928</w:t>
            </w:r>
          </w:p>
        </w:tc>
      </w:tr>
      <w:tr w:rsidR="008035B3" w:rsidRPr="006602F8" w14:paraId="15176AF8" w14:textId="77777777" w:rsidTr="004D2D78">
        <w:tc>
          <w:tcPr>
            <w:tcW w:w="2830" w:type="dxa"/>
            <w:vMerge/>
            <w:shd w:val="clear" w:color="auto" w:fill="9CC2E5" w:themeFill="accent1" w:themeFillTint="99"/>
          </w:tcPr>
          <w:p w14:paraId="41E38E66" w14:textId="77777777" w:rsidR="008035B3" w:rsidRPr="006602F8" w:rsidRDefault="008035B3" w:rsidP="004D2D78">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51DAAB2E"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Hospicjów stacjonarnych</w:t>
            </w:r>
          </w:p>
        </w:tc>
        <w:tc>
          <w:tcPr>
            <w:tcW w:w="3969" w:type="dxa"/>
            <w:gridSpan w:val="3"/>
            <w:shd w:val="clear" w:color="auto" w:fill="FFFFFF" w:themeFill="background1"/>
          </w:tcPr>
          <w:p w14:paraId="4CE5F28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9</w:t>
            </w:r>
          </w:p>
        </w:tc>
        <w:tc>
          <w:tcPr>
            <w:tcW w:w="3973" w:type="dxa"/>
            <w:gridSpan w:val="2"/>
            <w:shd w:val="clear" w:color="auto" w:fill="FFFFFF" w:themeFill="background1"/>
          </w:tcPr>
          <w:p w14:paraId="2C9617A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188</w:t>
            </w:r>
          </w:p>
        </w:tc>
      </w:tr>
      <w:tr w:rsidR="008035B3" w:rsidRPr="006602F8" w14:paraId="0CCEFF85" w14:textId="77777777" w:rsidTr="004D2D78">
        <w:tc>
          <w:tcPr>
            <w:tcW w:w="2830" w:type="dxa"/>
            <w:vMerge/>
            <w:shd w:val="clear" w:color="auto" w:fill="9CC2E5" w:themeFill="accent1" w:themeFillTint="99"/>
          </w:tcPr>
          <w:p w14:paraId="3E6F7021" w14:textId="77777777" w:rsidR="008035B3" w:rsidRPr="006602F8" w:rsidRDefault="008035B3" w:rsidP="004D2D78">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542D7921"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Hospicjów domowych</w:t>
            </w:r>
          </w:p>
        </w:tc>
        <w:tc>
          <w:tcPr>
            <w:tcW w:w="3969" w:type="dxa"/>
            <w:gridSpan w:val="3"/>
            <w:shd w:val="clear" w:color="auto" w:fill="FFFFFF" w:themeFill="background1"/>
          </w:tcPr>
          <w:p w14:paraId="6F8CCA57"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79</w:t>
            </w:r>
          </w:p>
        </w:tc>
        <w:tc>
          <w:tcPr>
            <w:tcW w:w="3973" w:type="dxa"/>
            <w:gridSpan w:val="2"/>
            <w:shd w:val="clear" w:color="auto" w:fill="FFFFFF" w:themeFill="background1"/>
          </w:tcPr>
          <w:p w14:paraId="073B6644"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w:t>
            </w:r>
          </w:p>
        </w:tc>
      </w:tr>
      <w:tr w:rsidR="008035B3" w:rsidRPr="006602F8" w14:paraId="4173C0B3" w14:textId="77777777" w:rsidTr="004D2D78">
        <w:tc>
          <w:tcPr>
            <w:tcW w:w="2830" w:type="dxa"/>
            <w:vMerge/>
            <w:shd w:val="clear" w:color="auto" w:fill="9CC2E5" w:themeFill="accent1" w:themeFillTint="99"/>
          </w:tcPr>
          <w:p w14:paraId="7C2D495C" w14:textId="77777777" w:rsidR="008035B3" w:rsidRPr="006602F8" w:rsidRDefault="008035B3" w:rsidP="004D2D78">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70644987"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Oddziałów opieki paliatywnej</w:t>
            </w:r>
          </w:p>
        </w:tc>
        <w:tc>
          <w:tcPr>
            <w:tcW w:w="3969" w:type="dxa"/>
            <w:gridSpan w:val="3"/>
            <w:shd w:val="clear" w:color="auto" w:fill="FFFFFF" w:themeFill="background1"/>
          </w:tcPr>
          <w:p w14:paraId="5265AAAA"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w:t>
            </w:r>
          </w:p>
        </w:tc>
        <w:tc>
          <w:tcPr>
            <w:tcW w:w="3973" w:type="dxa"/>
            <w:gridSpan w:val="2"/>
            <w:shd w:val="clear" w:color="auto" w:fill="FFFFFF" w:themeFill="background1"/>
          </w:tcPr>
          <w:p w14:paraId="215127E2"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140</w:t>
            </w:r>
          </w:p>
        </w:tc>
      </w:tr>
      <w:tr w:rsidR="008035B3" w:rsidRPr="006602F8" w14:paraId="49BF14E5" w14:textId="77777777" w:rsidTr="004D2D78">
        <w:tc>
          <w:tcPr>
            <w:tcW w:w="2830" w:type="dxa"/>
            <w:vMerge w:val="restart"/>
            <w:shd w:val="clear" w:color="auto" w:fill="9CC2E5" w:themeFill="accent1" w:themeFillTint="99"/>
          </w:tcPr>
          <w:p w14:paraId="10B46454" w14:textId="77777777" w:rsidR="008035B3" w:rsidRPr="006602F8" w:rsidRDefault="008035B3" w:rsidP="004D2D78">
            <w:pPr>
              <w:tabs>
                <w:tab w:val="left" w:pos="1206"/>
              </w:tabs>
              <w:spacing w:after="0" w:line="240" w:lineRule="auto"/>
              <w:rPr>
                <w:rFonts w:ascii="Times New Roman" w:hAnsi="Times New Roman" w:cs="Times New Roman"/>
                <w:b/>
                <w:bCs/>
              </w:rPr>
            </w:pPr>
            <w:r w:rsidRPr="006602F8">
              <w:rPr>
                <w:rFonts w:ascii="Times New Roman" w:hAnsi="Times New Roman" w:cs="Times New Roman"/>
                <w:b/>
                <w:bCs/>
              </w:rPr>
              <w:t>Kadry medyczne</w:t>
            </w:r>
          </w:p>
        </w:tc>
        <w:tc>
          <w:tcPr>
            <w:tcW w:w="7938" w:type="dxa"/>
            <w:gridSpan w:val="6"/>
            <w:shd w:val="clear" w:color="auto" w:fill="9CC2E5" w:themeFill="accent1" w:themeFillTint="99"/>
          </w:tcPr>
          <w:p w14:paraId="7379A110" w14:textId="77777777" w:rsidR="008035B3" w:rsidRPr="006602F8" w:rsidRDefault="008035B3" w:rsidP="004D2D78">
            <w:pPr>
              <w:tabs>
                <w:tab w:val="left" w:pos="1206"/>
              </w:tabs>
              <w:spacing w:after="0" w:line="240" w:lineRule="auto"/>
              <w:jc w:val="center"/>
              <w:rPr>
                <w:rFonts w:ascii="Times New Roman" w:hAnsi="Times New Roman" w:cs="Times New Roman"/>
                <w:b/>
              </w:rPr>
            </w:pPr>
            <w:r w:rsidRPr="006602F8">
              <w:rPr>
                <w:rFonts w:ascii="Times New Roman" w:hAnsi="Times New Roman" w:cs="Times New Roman"/>
                <w:b/>
              </w:rPr>
              <w:t>Lekarze</w:t>
            </w:r>
          </w:p>
        </w:tc>
        <w:tc>
          <w:tcPr>
            <w:tcW w:w="3973" w:type="dxa"/>
            <w:gridSpan w:val="2"/>
            <w:shd w:val="clear" w:color="auto" w:fill="9CC2E5" w:themeFill="accent1" w:themeFillTint="99"/>
          </w:tcPr>
          <w:p w14:paraId="1C24C5A5"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Liczba lekarzy</w:t>
            </w:r>
          </w:p>
        </w:tc>
      </w:tr>
      <w:tr w:rsidR="008035B3" w:rsidRPr="006602F8" w14:paraId="7CFB73C0" w14:textId="77777777" w:rsidTr="004D2D78">
        <w:tc>
          <w:tcPr>
            <w:tcW w:w="2830" w:type="dxa"/>
            <w:vMerge/>
            <w:shd w:val="clear" w:color="auto" w:fill="9CC2E5" w:themeFill="accent1" w:themeFillTint="99"/>
          </w:tcPr>
          <w:p w14:paraId="429179BF"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61F86515" w14:textId="77777777" w:rsidR="008035B3" w:rsidRPr="006602F8" w:rsidRDefault="008035B3" w:rsidP="004D2D78">
            <w:pPr>
              <w:tabs>
                <w:tab w:val="left" w:pos="1206"/>
              </w:tabs>
              <w:spacing w:after="0" w:line="240" w:lineRule="auto"/>
              <w:rPr>
                <w:rFonts w:ascii="Times New Roman" w:hAnsi="Times New Roman" w:cs="Times New Roman"/>
              </w:rPr>
            </w:pPr>
            <w:r w:rsidRPr="006602F8">
              <w:rPr>
                <w:rFonts w:ascii="Times New Roman" w:hAnsi="Times New Roman" w:cs="Times New Roman"/>
              </w:rPr>
              <w:t>Geriatrzy</w:t>
            </w:r>
          </w:p>
        </w:tc>
        <w:tc>
          <w:tcPr>
            <w:tcW w:w="3973" w:type="dxa"/>
            <w:gridSpan w:val="2"/>
            <w:shd w:val="clear" w:color="auto" w:fill="FFFFFF" w:themeFill="background1"/>
            <w:vAlign w:val="center"/>
          </w:tcPr>
          <w:p w14:paraId="114AC886"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16</w:t>
            </w:r>
          </w:p>
        </w:tc>
      </w:tr>
      <w:tr w:rsidR="008035B3" w:rsidRPr="006602F8" w14:paraId="47702CD9" w14:textId="77777777" w:rsidTr="004D2D78">
        <w:tc>
          <w:tcPr>
            <w:tcW w:w="2830" w:type="dxa"/>
            <w:vMerge/>
            <w:shd w:val="clear" w:color="auto" w:fill="9CC2E5" w:themeFill="accent1" w:themeFillTint="99"/>
          </w:tcPr>
          <w:p w14:paraId="559479FF"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3C18FF2F"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w trakcie specjalizacji z geriatrii</w:t>
            </w:r>
          </w:p>
        </w:tc>
        <w:tc>
          <w:tcPr>
            <w:tcW w:w="3973" w:type="dxa"/>
            <w:gridSpan w:val="2"/>
            <w:shd w:val="clear" w:color="auto" w:fill="FFFFFF" w:themeFill="background1"/>
            <w:vAlign w:val="center"/>
          </w:tcPr>
          <w:p w14:paraId="260275DC"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8</w:t>
            </w:r>
          </w:p>
        </w:tc>
      </w:tr>
      <w:tr w:rsidR="008035B3" w:rsidRPr="006602F8" w14:paraId="0C4AA457" w14:textId="77777777" w:rsidTr="004D2D78">
        <w:tc>
          <w:tcPr>
            <w:tcW w:w="2830" w:type="dxa"/>
            <w:vMerge/>
            <w:shd w:val="clear" w:color="auto" w:fill="9CC2E5" w:themeFill="accent1" w:themeFillTint="99"/>
          </w:tcPr>
          <w:p w14:paraId="357555F4"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9CC2E5" w:themeFill="accent1" w:themeFillTint="99"/>
          </w:tcPr>
          <w:p w14:paraId="716F324D"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 xml:space="preserve">Pielęgniarki ze specjalizacją lub ukończonym kursem kwalifikacyjnym </w:t>
            </w:r>
            <w:r w:rsidRPr="006602F8">
              <w:rPr>
                <w:rFonts w:ascii="Times New Roman" w:hAnsi="Times New Roman" w:cs="Times New Roman"/>
                <w:b/>
              </w:rPr>
              <w:br/>
              <w:t>w zakresie:</w:t>
            </w:r>
          </w:p>
        </w:tc>
        <w:tc>
          <w:tcPr>
            <w:tcW w:w="3973" w:type="dxa"/>
            <w:gridSpan w:val="2"/>
            <w:shd w:val="clear" w:color="auto" w:fill="9CC2E5" w:themeFill="accent1" w:themeFillTint="99"/>
          </w:tcPr>
          <w:p w14:paraId="51E9AACF"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Liczba pielęgniarek</w:t>
            </w:r>
          </w:p>
        </w:tc>
      </w:tr>
      <w:tr w:rsidR="008035B3" w:rsidRPr="006602F8" w14:paraId="69F1D218" w14:textId="77777777" w:rsidTr="004D2D78">
        <w:tc>
          <w:tcPr>
            <w:tcW w:w="2830" w:type="dxa"/>
            <w:vMerge/>
            <w:shd w:val="clear" w:color="auto" w:fill="9CC2E5" w:themeFill="accent1" w:themeFillTint="99"/>
          </w:tcPr>
          <w:p w14:paraId="268F489E"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61E192EA"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Geriatrii</w:t>
            </w:r>
          </w:p>
        </w:tc>
        <w:tc>
          <w:tcPr>
            <w:tcW w:w="3973" w:type="dxa"/>
            <w:gridSpan w:val="2"/>
            <w:shd w:val="clear" w:color="auto" w:fill="FFFFFF" w:themeFill="background1"/>
            <w:vAlign w:val="center"/>
          </w:tcPr>
          <w:p w14:paraId="25CDF9B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85</w:t>
            </w:r>
          </w:p>
        </w:tc>
      </w:tr>
      <w:tr w:rsidR="008035B3" w:rsidRPr="006602F8" w14:paraId="034EDAB1" w14:textId="77777777" w:rsidTr="004D2D78">
        <w:tc>
          <w:tcPr>
            <w:tcW w:w="2830" w:type="dxa"/>
            <w:vMerge/>
            <w:shd w:val="clear" w:color="auto" w:fill="9CC2E5" w:themeFill="accent1" w:themeFillTint="99"/>
          </w:tcPr>
          <w:p w14:paraId="7D15E324"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4BB7E905"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Opieki długoterminowej</w:t>
            </w:r>
          </w:p>
        </w:tc>
        <w:tc>
          <w:tcPr>
            <w:tcW w:w="3973" w:type="dxa"/>
            <w:gridSpan w:val="2"/>
            <w:shd w:val="clear" w:color="auto" w:fill="FFFFFF" w:themeFill="background1"/>
            <w:vAlign w:val="center"/>
          </w:tcPr>
          <w:p w14:paraId="697331EA"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657</w:t>
            </w:r>
          </w:p>
        </w:tc>
      </w:tr>
      <w:tr w:rsidR="008035B3" w:rsidRPr="006602F8" w14:paraId="4CCA32BB" w14:textId="77777777" w:rsidTr="004D2D78">
        <w:tc>
          <w:tcPr>
            <w:tcW w:w="2830" w:type="dxa"/>
            <w:vMerge/>
            <w:shd w:val="clear" w:color="auto" w:fill="9CC2E5" w:themeFill="accent1" w:themeFillTint="99"/>
          </w:tcPr>
          <w:p w14:paraId="0328755F"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422B726A"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Opieki paliatywnej</w:t>
            </w:r>
          </w:p>
        </w:tc>
        <w:tc>
          <w:tcPr>
            <w:tcW w:w="3973" w:type="dxa"/>
            <w:gridSpan w:val="2"/>
            <w:shd w:val="clear" w:color="auto" w:fill="FFFFFF" w:themeFill="background1"/>
            <w:vAlign w:val="center"/>
          </w:tcPr>
          <w:p w14:paraId="17D12020"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190</w:t>
            </w:r>
          </w:p>
        </w:tc>
      </w:tr>
      <w:tr w:rsidR="008035B3" w:rsidRPr="006602F8" w14:paraId="4CB793C0" w14:textId="77777777" w:rsidTr="004D2D78">
        <w:tc>
          <w:tcPr>
            <w:tcW w:w="2830" w:type="dxa"/>
            <w:vMerge w:val="restart"/>
            <w:shd w:val="clear" w:color="auto" w:fill="9CC2E5" w:themeFill="accent1" w:themeFillTint="99"/>
          </w:tcPr>
          <w:p w14:paraId="0409183D"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
                <w:bCs/>
                <w:lang w:eastAsia="pl-PL"/>
              </w:rPr>
              <w:t>Najczęstsze przyczyny zgonów osób starszych</w:t>
            </w:r>
          </w:p>
        </w:tc>
        <w:tc>
          <w:tcPr>
            <w:tcW w:w="7938" w:type="dxa"/>
            <w:gridSpan w:val="6"/>
            <w:shd w:val="clear" w:color="auto" w:fill="9CC2E5" w:themeFill="accent1" w:themeFillTint="99"/>
          </w:tcPr>
          <w:p w14:paraId="6BF389A4"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Nazwa</w:t>
            </w:r>
          </w:p>
        </w:tc>
        <w:tc>
          <w:tcPr>
            <w:tcW w:w="3973" w:type="dxa"/>
            <w:gridSpan w:val="2"/>
            <w:shd w:val="clear" w:color="auto" w:fill="9CC2E5" w:themeFill="accent1" w:themeFillTint="99"/>
          </w:tcPr>
          <w:p w14:paraId="78F43C3B"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Liczba osób starszych</w:t>
            </w:r>
          </w:p>
        </w:tc>
      </w:tr>
      <w:tr w:rsidR="008035B3" w:rsidRPr="006602F8" w14:paraId="391171C0" w14:textId="77777777" w:rsidTr="004D2D78">
        <w:tc>
          <w:tcPr>
            <w:tcW w:w="2830" w:type="dxa"/>
            <w:vMerge/>
            <w:shd w:val="clear" w:color="auto" w:fill="9CC2E5" w:themeFill="accent1" w:themeFillTint="99"/>
          </w:tcPr>
          <w:p w14:paraId="39AC1161"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19238DE8"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1.</w:t>
            </w:r>
            <w:r w:rsidRPr="006602F8">
              <w:rPr>
                <w:rFonts w:ascii="Times New Roman" w:hAnsi="Times New Roman" w:cs="Times New Roman"/>
              </w:rPr>
              <w:t>Choroby układu krążenia</w:t>
            </w:r>
          </w:p>
        </w:tc>
        <w:tc>
          <w:tcPr>
            <w:tcW w:w="3973" w:type="dxa"/>
            <w:gridSpan w:val="2"/>
            <w:shd w:val="clear" w:color="auto" w:fill="FFFFFF" w:themeFill="background1"/>
            <w:vAlign w:val="center"/>
          </w:tcPr>
          <w:p w14:paraId="0407C4B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12 799</w:t>
            </w:r>
          </w:p>
        </w:tc>
      </w:tr>
      <w:tr w:rsidR="008035B3" w:rsidRPr="006602F8" w14:paraId="5E6C5576" w14:textId="77777777" w:rsidTr="004D2D78">
        <w:tc>
          <w:tcPr>
            <w:tcW w:w="2830" w:type="dxa"/>
            <w:vMerge/>
            <w:shd w:val="clear" w:color="auto" w:fill="9CC2E5" w:themeFill="accent1" w:themeFillTint="99"/>
          </w:tcPr>
          <w:p w14:paraId="6D45961C"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219C9554"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2.</w:t>
            </w:r>
            <w:r w:rsidRPr="006602F8">
              <w:rPr>
                <w:rFonts w:ascii="Times New Roman" w:hAnsi="Times New Roman" w:cs="Times New Roman"/>
              </w:rPr>
              <w:t>Nowotwory</w:t>
            </w:r>
          </w:p>
        </w:tc>
        <w:tc>
          <w:tcPr>
            <w:tcW w:w="3973" w:type="dxa"/>
            <w:gridSpan w:val="2"/>
            <w:shd w:val="clear" w:color="auto" w:fill="FFFFFF" w:themeFill="background1"/>
            <w:vAlign w:val="center"/>
          </w:tcPr>
          <w:p w14:paraId="0F197363"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7 721</w:t>
            </w:r>
          </w:p>
        </w:tc>
      </w:tr>
      <w:tr w:rsidR="008035B3" w:rsidRPr="006602F8" w14:paraId="65D7CFAC" w14:textId="77777777" w:rsidTr="004D2D78">
        <w:tc>
          <w:tcPr>
            <w:tcW w:w="2830" w:type="dxa"/>
            <w:vMerge/>
            <w:shd w:val="clear" w:color="auto" w:fill="9CC2E5" w:themeFill="accent1" w:themeFillTint="99"/>
          </w:tcPr>
          <w:p w14:paraId="7D17680E"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05FFD946"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3.</w:t>
            </w:r>
            <w:r w:rsidRPr="006602F8">
              <w:rPr>
                <w:rFonts w:ascii="Times New Roman" w:hAnsi="Times New Roman" w:cs="Times New Roman"/>
              </w:rPr>
              <w:t>Choroby układu oddechowego</w:t>
            </w:r>
          </w:p>
        </w:tc>
        <w:tc>
          <w:tcPr>
            <w:tcW w:w="3973" w:type="dxa"/>
            <w:gridSpan w:val="2"/>
            <w:shd w:val="clear" w:color="auto" w:fill="FFFFFF" w:themeFill="background1"/>
            <w:vAlign w:val="center"/>
          </w:tcPr>
          <w:p w14:paraId="433F1365"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2 030</w:t>
            </w:r>
          </w:p>
        </w:tc>
      </w:tr>
      <w:tr w:rsidR="008035B3" w:rsidRPr="006602F8" w14:paraId="3AA1D805" w14:textId="77777777" w:rsidTr="004D2D78">
        <w:tc>
          <w:tcPr>
            <w:tcW w:w="2830" w:type="dxa"/>
            <w:vMerge/>
            <w:shd w:val="clear" w:color="auto" w:fill="9CC2E5" w:themeFill="accent1" w:themeFillTint="99"/>
          </w:tcPr>
          <w:p w14:paraId="2346EC5A" w14:textId="77777777" w:rsidR="008035B3" w:rsidRPr="006602F8" w:rsidRDefault="008035B3" w:rsidP="004D2D78">
            <w:pPr>
              <w:spacing w:after="0" w:line="240" w:lineRule="auto"/>
              <w:rPr>
                <w:rFonts w:ascii="Times New Roman" w:hAnsi="Times New Roman" w:cs="Times New Roman"/>
                <w:bCs/>
                <w:lang w:eastAsia="pl-PL"/>
              </w:rPr>
            </w:pPr>
          </w:p>
        </w:tc>
        <w:tc>
          <w:tcPr>
            <w:tcW w:w="7938" w:type="dxa"/>
            <w:gridSpan w:val="6"/>
            <w:shd w:val="clear" w:color="auto" w:fill="FFFFFF" w:themeFill="background1"/>
          </w:tcPr>
          <w:p w14:paraId="72E5FDA0"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4.</w:t>
            </w:r>
            <w:r w:rsidRPr="006602F8">
              <w:rPr>
                <w:rFonts w:ascii="Times New Roman" w:hAnsi="Times New Roman" w:cs="Times New Roman"/>
                <w:bCs/>
              </w:rPr>
              <w:t>Objawy, cechy chorobowe oraz nieprawidłowe wyniki bada</w:t>
            </w:r>
            <w:r w:rsidRPr="006602F8">
              <w:rPr>
                <w:rFonts w:ascii="Times New Roman" w:hAnsi="Times New Roman" w:cs="Times New Roman"/>
              </w:rPr>
              <w:t xml:space="preserve">ń </w:t>
            </w:r>
            <w:r w:rsidRPr="006602F8">
              <w:rPr>
                <w:rFonts w:ascii="Times New Roman" w:hAnsi="Times New Roman" w:cs="Times New Roman"/>
                <w:bCs/>
              </w:rPr>
              <w:t>klinicznych i laboratoryjnych niesklasyfikowane gdzie indziej</w:t>
            </w:r>
          </w:p>
        </w:tc>
        <w:tc>
          <w:tcPr>
            <w:tcW w:w="3973" w:type="dxa"/>
            <w:gridSpan w:val="2"/>
            <w:shd w:val="clear" w:color="auto" w:fill="FFFFFF" w:themeFill="background1"/>
            <w:vAlign w:val="center"/>
          </w:tcPr>
          <w:p w14:paraId="7C3FE785"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1 823</w:t>
            </w:r>
          </w:p>
        </w:tc>
      </w:tr>
      <w:tr w:rsidR="008035B3" w:rsidRPr="006602F8" w14:paraId="1E35892F" w14:textId="77777777" w:rsidTr="004D2D78">
        <w:trPr>
          <w:trHeight w:val="363"/>
        </w:trPr>
        <w:tc>
          <w:tcPr>
            <w:tcW w:w="2830" w:type="dxa"/>
            <w:vMerge/>
            <w:shd w:val="clear" w:color="auto" w:fill="9CC2E5" w:themeFill="accent1" w:themeFillTint="99"/>
          </w:tcPr>
          <w:p w14:paraId="6DE917A6" w14:textId="77777777" w:rsidR="008035B3" w:rsidRPr="006602F8" w:rsidRDefault="008035B3" w:rsidP="004D2D78">
            <w:pPr>
              <w:spacing w:after="0" w:line="240" w:lineRule="auto"/>
              <w:rPr>
                <w:rFonts w:ascii="Times New Roman" w:hAnsi="Times New Roman" w:cs="Times New Roman"/>
                <w:bCs/>
                <w:lang w:eastAsia="pl-PL"/>
              </w:rPr>
            </w:pPr>
          </w:p>
        </w:tc>
        <w:tc>
          <w:tcPr>
            <w:tcW w:w="11911" w:type="dxa"/>
            <w:gridSpan w:val="8"/>
            <w:shd w:val="clear" w:color="auto" w:fill="FFFFFF" w:themeFill="background1"/>
          </w:tcPr>
          <w:p w14:paraId="223D215C" w14:textId="77777777" w:rsidR="008035B3" w:rsidRPr="006602F8" w:rsidRDefault="008035B3" w:rsidP="004D2D78">
            <w:pPr>
              <w:spacing w:after="0" w:line="240" w:lineRule="auto"/>
              <w:rPr>
                <w:rFonts w:ascii="Times New Roman" w:eastAsia="Times New Roman" w:hAnsi="Times New Roman" w:cs="Times New Roman"/>
                <w:lang w:eastAsia="pl-PL"/>
              </w:rPr>
            </w:pPr>
            <w:r w:rsidRPr="006602F8">
              <w:rPr>
                <w:rFonts w:ascii="Times New Roman" w:eastAsia="Times New Roman" w:hAnsi="Times New Roman" w:cs="Times New Roman"/>
                <w:lang w:eastAsia="pl-PL"/>
              </w:rPr>
              <w:t>Zgony według przyczyn – dane dotyczą 2018 r., dane za 2019 r. dostępne będą w styczniu 2021 r.</w:t>
            </w:r>
          </w:p>
        </w:tc>
      </w:tr>
      <w:tr w:rsidR="008035B3" w:rsidRPr="006602F8" w14:paraId="15D63676" w14:textId="77777777" w:rsidTr="004D2D78">
        <w:trPr>
          <w:trHeight w:val="253"/>
        </w:trPr>
        <w:tc>
          <w:tcPr>
            <w:tcW w:w="2830" w:type="dxa"/>
            <w:vMerge w:val="restart"/>
            <w:shd w:val="clear" w:color="auto" w:fill="9CC2E5" w:themeFill="accent1" w:themeFillTint="99"/>
          </w:tcPr>
          <w:p w14:paraId="06DCA3D9"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
                <w:bCs/>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59867227" w14:textId="77777777" w:rsidR="008035B3" w:rsidRPr="006602F8" w:rsidRDefault="008035B3" w:rsidP="004D2D78">
            <w:pPr>
              <w:tabs>
                <w:tab w:val="left" w:pos="1290"/>
              </w:tabs>
              <w:spacing w:after="0" w:line="240" w:lineRule="auto"/>
              <w:rPr>
                <w:rFonts w:ascii="Times New Roman" w:hAnsi="Times New Roman" w:cs="Times New Roman"/>
              </w:rPr>
            </w:pPr>
            <w:r w:rsidRPr="00925C0E">
              <w:rPr>
                <w:rFonts w:ascii="Times New Roman" w:hAnsi="Times New Roman" w:cs="Times New Roman"/>
                <w:b/>
              </w:rPr>
              <w:t>1.</w:t>
            </w:r>
            <w:r w:rsidRPr="006602F8">
              <w:rPr>
                <w:rFonts w:ascii="Times New Roman" w:hAnsi="Times New Roman" w:cs="Times New Roman"/>
              </w:rPr>
              <w:t>Niedobór lekarzy specjalistów geriatrii</w:t>
            </w:r>
          </w:p>
        </w:tc>
      </w:tr>
      <w:tr w:rsidR="008035B3" w:rsidRPr="006602F8" w14:paraId="431DEF37" w14:textId="77777777" w:rsidTr="004D2D78">
        <w:trPr>
          <w:trHeight w:val="250"/>
        </w:trPr>
        <w:tc>
          <w:tcPr>
            <w:tcW w:w="2830" w:type="dxa"/>
            <w:vMerge/>
            <w:shd w:val="clear" w:color="auto" w:fill="9CC2E5" w:themeFill="accent1" w:themeFillTint="99"/>
          </w:tcPr>
          <w:p w14:paraId="55F3FCBF" w14:textId="77777777" w:rsidR="008035B3" w:rsidRPr="006602F8" w:rsidRDefault="008035B3" w:rsidP="004D2D78">
            <w:pPr>
              <w:spacing w:after="0" w:line="240" w:lineRule="auto"/>
              <w:rPr>
                <w:rFonts w:ascii="Times New Roman" w:hAnsi="Times New Roman" w:cs="Times New Roman"/>
                <w:bCs/>
                <w:lang w:eastAsia="pl-PL"/>
              </w:rPr>
            </w:pPr>
          </w:p>
        </w:tc>
        <w:tc>
          <w:tcPr>
            <w:tcW w:w="11911" w:type="dxa"/>
            <w:gridSpan w:val="8"/>
            <w:shd w:val="clear" w:color="auto" w:fill="FFFFFF" w:themeFill="background1"/>
          </w:tcPr>
          <w:p w14:paraId="0C3407DA"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2.</w:t>
            </w:r>
            <w:r w:rsidRPr="006602F8">
              <w:rPr>
                <w:rFonts w:ascii="Times New Roman" w:hAnsi="Times New Roman" w:cs="Times New Roman"/>
              </w:rPr>
              <w:t>Niedobór łóżek stacjonarnych opieki długoterminowej</w:t>
            </w:r>
          </w:p>
        </w:tc>
      </w:tr>
      <w:tr w:rsidR="008035B3" w:rsidRPr="006602F8" w14:paraId="21245B0B" w14:textId="77777777" w:rsidTr="004D2D78">
        <w:trPr>
          <w:trHeight w:val="250"/>
        </w:trPr>
        <w:tc>
          <w:tcPr>
            <w:tcW w:w="2830" w:type="dxa"/>
            <w:vMerge/>
            <w:shd w:val="clear" w:color="auto" w:fill="9CC2E5" w:themeFill="accent1" w:themeFillTint="99"/>
          </w:tcPr>
          <w:p w14:paraId="6E6EF395" w14:textId="77777777" w:rsidR="008035B3" w:rsidRPr="006602F8" w:rsidRDefault="008035B3" w:rsidP="004D2D78">
            <w:pPr>
              <w:spacing w:after="0" w:line="240" w:lineRule="auto"/>
              <w:rPr>
                <w:rFonts w:ascii="Times New Roman" w:hAnsi="Times New Roman" w:cs="Times New Roman"/>
                <w:bCs/>
                <w:lang w:eastAsia="pl-PL"/>
              </w:rPr>
            </w:pPr>
          </w:p>
        </w:tc>
        <w:tc>
          <w:tcPr>
            <w:tcW w:w="11911" w:type="dxa"/>
            <w:gridSpan w:val="8"/>
            <w:shd w:val="clear" w:color="auto" w:fill="FFFFFF" w:themeFill="background1"/>
          </w:tcPr>
          <w:p w14:paraId="31839CD5"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3.</w:t>
            </w:r>
            <w:r w:rsidRPr="006602F8">
              <w:rPr>
                <w:rFonts w:ascii="Times New Roman" w:hAnsi="Times New Roman" w:cs="Times New Roman"/>
              </w:rPr>
              <w:t>W systemie podstawowego szpitalnego zabezpieczenia świadczeń opieki zdrowotnej brak geriatrii jako wyodrębnionego profilu (świadczenia dotyczące geriatrii są finansowane w ramach profilu – choroby wewnętrzne),  niedobór oddziałów geriatrycznych.</w:t>
            </w:r>
          </w:p>
        </w:tc>
      </w:tr>
      <w:tr w:rsidR="008035B3" w:rsidRPr="006602F8" w14:paraId="52655A35" w14:textId="77777777" w:rsidTr="004D2D78">
        <w:trPr>
          <w:trHeight w:val="224"/>
        </w:trPr>
        <w:tc>
          <w:tcPr>
            <w:tcW w:w="14741" w:type="dxa"/>
            <w:gridSpan w:val="9"/>
            <w:shd w:val="clear" w:color="auto" w:fill="9CC2E5" w:themeFill="accent1" w:themeFillTint="99"/>
          </w:tcPr>
          <w:p w14:paraId="0AC5694D" w14:textId="77777777" w:rsidR="008035B3" w:rsidRPr="006602F8" w:rsidRDefault="008035B3" w:rsidP="004D2D78">
            <w:pPr>
              <w:spacing w:after="0" w:line="240" w:lineRule="auto"/>
              <w:jc w:val="center"/>
              <w:rPr>
                <w:rFonts w:ascii="Times New Roman" w:hAnsi="Times New Roman" w:cs="Times New Roman"/>
                <w:b/>
                <w:bCs/>
              </w:rPr>
            </w:pPr>
            <w:r w:rsidRPr="006602F8">
              <w:rPr>
                <w:rFonts w:ascii="Times New Roman" w:hAnsi="Times New Roman" w:cs="Times New Roman"/>
                <w:b/>
                <w:bCs/>
                <w:lang w:eastAsia="pl-PL"/>
              </w:rPr>
              <w:t>AKTYWNOŚĆ EKONOMICZNA OSÓB STARSZYCH – DANE ZA 2019 R.</w:t>
            </w:r>
          </w:p>
        </w:tc>
      </w:tr>
      <w:tr w:rsidR="008035B3" w:rsidRPr="006602F8" w14:paraId="4510898B" w14:textId="77777777" w:rsidTr="004D2D78">
        <w:trPr>
          <w:trHeight w:val="224"/>
        </w:trPr>
        <w:tc>
          <w:tcPr>
            <w:tcW w:w="6799" w:type="dxa"/>
            <w:gridSpan w:val="4"/>
            <w:shd w:val="clear" w:color="auto" w:fill="9CC2E5" w:themeFill="accent1" w:themeFillTint="99"/>
          </w:tcPr>
          <w:p w14:paraId="154275AE" w14:textId="77777777" w:rsidR="008035B3" w:rsidRPr="006602F8" w:rsidRDefault="008035B3" w:rsidP="004D2D78">
            <w:pPr>
              <w:spacing w:after="0" w:line="240" w:lineRule="auto"/>
              <w:jc w:val="center"/>
              <w:rPr>
                <w:rFonts w:ascii="Times New Roman" w:hAnsi="Times New Roman" w:cs="Times New Roman"/>
                <w:b/>
                <w:bCs/>
              </w:rPr>
            </w:pPr>
            <w:r w:rsidRPr="006602F8">
              <w:rPr>
                <w:rFonts w:ascii="Times New Roman" w:hAnsi="Times New Roman" w:cs="Times New Roman"/>
                <w:b/>
                <w:bCs/>
              </w:rPr>
              <w:t>Podział</w:t>
            </w:r>
          </w:p>
        </w:tc>
        <w:tc>
          <w:tcPr>
            <w:tcW w:w="7942" w:type="dxa"/>
            <w:gridSpan w:val="5"/>
            <w:shd w:val="clear" w:color="auto" w:fill="9CC2E5" w:themeFill="accent1" w:themeFillTint="99"/>
          </w:tcPr>
          <w:p w14:paraId="31A94032"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Liczba</w:t>
            </w:r>
          </w:p>
        </w:tc>
      </w:tr>
      <w:tr w:rsidR="008035B3" w:rsidRPr="006602F8" w14:paraId="4966704C" w14:textId="77777777" w:rsidTr="004D2D78">
        <w:trPr>
          <w:trHeight w:val="224"/>
        </w:trPr>
        <w:tc>
          <w:tcPr>
            <w:tcW w:w="2830" w:type="dxa"/>
            <w:vMerge w:val="restart"/>
            <w:shd w:val="clear" w:color="auto" w:fill="9CC2E5" w:themeFill="accent1" w:themeFillTint="99"/>
          </w:tcPr>
          <w:p w14:paraId="267968FF"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
                <w:bCs/>
                <w:lang w:eastAsia="pl-PL"/>
              </w:rPr>
              <w:t>Osoby aktywne zawodowo razem (w tys.)</w:t>
            </w:r>
          </w:p>
        </w:tc>
        <w:tc>
          <w:tcPr>
            <w:tcW w:w="3969" w:type="dxa"/>
            <w:gridSpan w:val="3"/>
            <w:shd w:val="clear" w:color="auto" w:fill="FFFFFF" w:themeFill="background1"/>
          </w:tcPr>
          <w:p w14:paraId="1ABDCDC3"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ogółem</w:t>
            </w:r>
          </w:p>
        </w:tc>
        <w:tc>
          <w:tcPr>
            <w:tcW w:w="7942" w:type="dxa"/>
            <w:gridSpan w:val="5"/>
            <w:shd w:val="clear" w:color="auto" w:fill="FFFFFF" w:themeFill="background1"/>
            <w:vAlign w:val="center"/>
          </w:tcPr>
          <w:p w14:paraId="7E8B847B"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1 300</w:t>
            </w:r>
          </w:p>
        </w:tc>
      </w:tr>
      <w:tr w:rsidR="008035B3" w:rsidRPr="006602F8" w14:paraId="7DA95637" w14:textId="77777777" w:rsidTr="004D2D78">
        <w:trPr>
          <w:trHeight w:val="224"/>
        </w:trPr>
        <w:tc>
          <w:tcPr>
            <w:tcW w:w="2830" w:type="dxa"/>
            <w:vMerge/>
            <w:shd w:val="clear" w:color="auto" w:fill="9CC2E5" w:themeFill="accent1" w:themeFillTint="99"/>
          </w:tcPr>
          <w:p w14:paraId="79EEF922" w14:textId="77777777" w:rsidR="008035B3" w:rsidRPr="006602F8" w:rsidRDefault="008035B3" w:rsidP="004D2D78">
            <w:pPr>
              <w:spacing w:after="0" w:line="240" w:lineRule="auto"/>
              <w:rPr>
                <w:rFonts w:ascii="Times New Roman" w:hAnsi="Times New Roman" w:cs="Times New Roman"/>
                <w:bCs/>
                <w:lang w:eastAsia="pl-PL"/>
              </w:rPr>
            </w:pPr>
          </w:p>
        </w:tc>
        <w:tc>
          <w:tcPr>
            <w:tcW w:w="3969" w:type="dxa"/>
            <w:gridSpan w:val="3"/>
            <w:shd w:val="clear" w:color="auto" w:fill="FFFFFF" w:themeFill="background1"/>
          </w:tcPr>
          <w:p w14:paraId="5FD89246"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w tym w wieku 55+</w:t>
            </w:r>
          </w:p>
        </w:tc>
        <w:tc>
          <w:tcPr>
            <w:tcW w:w="7942" w:type="dxa"/>
            <w:gridSpan w:val="5"/>
            <w:shd w:val="clear" w:color="auto" w:fill="FFFFFF" w:themeFill="background1"/>
            <w:vAlign w:val="center"/>
          </w:tcPr>
          <w:p w14:paraId="12706A43"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231</w:t>
            </w:r>
          </w:p>
        </w:tc>
      </w:tr>
      <w:tr w:rsidR="008035B3" w:rsidRPr="006602F8" w14:paraId="76F0748B" w14:textId="77777777" w:rsidTr="004D2D78">
        <w:trPr>
          <w:trHeight w:val="285"/>
        </w:trPr>
        <w:tc>
          <w:tcPr>
            <w:tcW w:w="2830" w:type="dxa"/>
            <w:vMerge w:val="restart"/>
            <w:shd w:val="clear" w:color="auto" w:fill="9CC2E5" w:themeFill="accent1" w:themeFillTint="99"/>
          </w:tcPr>
          <w:p w14:paraId="645D7FED"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
                <w:bCs/>
                <w:lang w:eastAsia="pl-PL"/>
              </w:rPr>
              <w:t xml:space="preserve">Osoby aktywne zawodowo </w:t>
            </w:r>
            <w:r w:rsidRPr="006602F8">
              <w:rPr>
                <w:rFonts w:ascii="Times New Roman" w:hAnsi="Times New Roman" w:cs="Times New Roman"/>
                <w:b/>
                <w:bCs/>
                <w:lang w:eastAsia="pl-PL"/>
              </w:rPr>
              <w:br/>
              <w:t>– pracujący (w tys.)</w:t>
            </w:r>
          </w:p>
        </w:tc>
        <w:tc>
          <w:tcPr>
            <w:tcW w:w="3969" w:type="dxa"/>
            <w:gridSpan w:val="3"/>
            <w:shd w:val="clear" w:color="auto" w:fill="FFFFFF" w:themeFill="background1"/>
          </w:tcPr>
          <w:p w14:paraId="7201A25A"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Ogółem</w:t>
            </w:r>
          </w:p>
        </w:tc>
        <w:tc>
          <w:tcPr>
            <w:tcW w:w="7942" w:type="dxa"/>
            <w:gridSpan w:val="5"/>
            <w:shd w:val="clear" w:color="auto" w:fill="FFFFFF" w:themeFill="background1"/>
            <w:vAlign w:val="center"/>
          </w:tcPr>
          <w:p w14:paraId="43BE4F2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1 257</w:t>
            </w:r>
          </w:p>
        </w:tc>
      </w:tr>
      <w:tr w:rsidR="008035B3" w:rsidRPr="006602F8" w14:paraId="0E1F4F6F" w14:textId="77777777" w:rsidTr="004D2D78">
        <w:trPr>
          <w:trHeight w:val="284"/>
        </w:trPr>
        <w:tc>
          <w:tcPr>
            <w:tcW w:w="2830" w:type="dxa"/>
            <w:vMerge/>
            <w:shd w:val="clear" w:color="auto" w:fill="9CC2E5" w:themeFill="accent1" w:themeFillTint="99"/>
          </w:tcPr>
          <w:p w14:paraId="01B3FABA" w14:textId="77777777" w:rsidR="008035B3" w:rsidRPr="006602F8" w:rsidRDefault="008035B3" w:rsidP="004D2D78">
            <w:pPr>
              <w:spacing w:after="0" w:line="240" w:lineRule="auto"/>
              <w:rPr>
                <w:rFonts w:ascii="Times New Roman" w:hAnsi="Times New Roman" w:cs="Times New Roman"/>
                <w:bCs/>
                <w:lang w:eastAsia="pl-PL"/>
              </w:rPr>
            </w:pPr>
          </w:p>
        </w:tc>
        <w:tc>
          <w:tcPr>
            <w:tcW w:w="3969" w:type="dxa"/>
            <w:gridSpan w:val="3"/>
            <w:shd w:val="clear" w:color="auto" w:fill="FFFFFF" w:themeFill="background1"/>
          </w:tcPr>
          <w:p w14:paraId="70A6595B"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w tym w wieku 55+</w:t>
            </w:r>
          </w:p>
        </w:tc>
        <w:tc>
          <w:tcPr>
            <w:tcW w:w="7942" w:type="dxa"/>
            <w:gridSpan w:val="5"/>
            <w:shd w:val="clear" w:color="auto" w:fill="FFFFFF" w:themeFill="background1"/>
            <w:vAlign w:val="center"/>
          </w:tcPr>
          <w:p w14:paraId="38BEE336"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225</w:t>
            </w:r>
          </w:p>
        </w:tc>
      </w:tr>
      <w:tr w:rsidR="008035B3" w:rsidRPr="006602F8" w14:paraId="6646AC1F" w14:textId="77777777" w:rsidTr="004D2D78">
        <w:trPr>
          <w:trHeight w:val="224"/>
        </w:trPr>
        <w:tc>
          <w:tcPr>
            <w:tcW w:w="2830" w:type="dxa"/>
            <w:vMerge w:val="restart"/>
            <w:shd w:val="clear" w:color="auto" w:fill="9CC2E5" w:themeFill="accent1" w:themeFillTint="99"/>
          </w:tcPr>
          <w:p w14:paraId="62370D5E"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
                <w:bCs/>
                <w:lang w:eastAsia="pl-PL"/>
              </w:rPr>
              <w:t>Osoby bierne zawodowo (w tys.)</w:t>
            </w:r>
          </w:p>
        </w:tc>
        <w:tc>
          <w:tcPr>
            <w:tcW w:w="3969" w:type="dxa"/>
            <w:gridSpan w:val="3"/>
            <w:shd w:val="clear" w:color="auto" w:fill="FFFFFF" w:themeFill="background1"/>
          </w:tcPr>
          <w:p w14:paraId="7508CA41"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ogółem</w:t>
            </w:r>
          </w:p>
        </w:tc>
        <w:tc>
          <w:tcPr>
            <w:tcW w:w="7942" w:type="dxa"/>
            <w:gridSpan w:val="5"/>
            <w:shd w:val="clear" w:color="auto" w:fill="FFFFFF" w:themeFill="background1"/>
            <w:vAlign w:val="center"/>
          </w:tcPr>
          <w:p w14:paraId="6D440A29"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975</w:t>
            </w:r>
          </w:p>
        </w:tc>
      </w:tr>
      <w:tr w:rsidR="008035B3" w:rsidRPr="006602F8" w14:paraId="12F55C7A" w14:textId="77777777" w:rsidTr="004D2D78">
        <w:trPr>
          <w:trHeight w:val="224"/>
        </w:trPr>
        <w:tc>
          <w:tcPr>
            <w:tcW w:w="2830" w:type="dxa"/>
            <w:vMerge/>
            <w:shd w:val="clear" w:color="auto" w:fill="9CC2E5" w:themeFill="accent1" w:themeFillTint="99"/>
          </w:tcPr>
          <w:p w14:paraId="40460A63" w14:textId="77777777" w:rsidR="008035B3" w:rsidRPr="006602F8" w:rsidRDefault="008035B3" w:rsidP="004D2D78">
            <w:pPr>
              <w:spacing w:after="0" w:line="240" w:lineRule="auto"/>
              <w:rPr>
                <w:rFonts w:ascii="Times New Roman" w:hAnsi="Times New Roman" w:cs="Times New Roman"/>
                <w:bCs/>
                <w:lang w:eastAsia="pl-PL"/>
              </w:rPr>
            </w:pPr>
          </w:p>
        </w:tc>
        <w:tc>
          <w:tcPr>
            <w:tcW w:w="3969" w:type="dxa"/>
            <w:gridSpan w:val="3"/>
            <w:shd w:val="clear" w:color="auto" w:fill="FFFFFF" w:themeFill="background1"/>
          </w:tcPr>
          <w:p w14:paraId="5A094BBC"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w tym w wieku 55+</w:t>
            </w:r>
          </w:p>
        </w:tc>
        <w:tc>
          <w:tcPr>
            <w:tcW w:w="7942" w:type="dxa"/>
            <w:gridSpan w:val="5"/>
            <w:shd w:val="clear" w:color="auto" w:fill="FFFFFF" w:themeFill="background1"/>
            <w:vAlign w:val="center"/>
          </w:tcPr>
          <w:p w14:paraId="31AB47FC"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681</w:t>
            </w:r>
          </w:p>
        </w:tc>
      </w:tr>
      <w:tr w:rsidR="008035B3" w:rsidRPr="006602F8" w14:paraId="3FA898DA" w14:textId="77777777" w:rsidTr="004D2D78">
        <w:trPr>
          <w:trHeight w:val="285"/>
        </w:trPr>
        <w:tc>
          <w:tcPr>
            <w:tcW w:w="2830" w:type="dxa"/>
            <w:vMerge w:val="restart"/>
            <w:shd w:val="clear" w:color="auto" w:fill="9CC2E5" w:themeFill="accent1" w:themeFillTint="99"/>
          </w:tcPr>
          <w:p w14:paraId="69E96432"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
                <w:bCs/>
                <w:lang w:eastAsia="pl-PL"/>
              </w:rPr>
              <w:lastRenderedPageBreak/>
              <w:t>Współczynnik aktywności zawodowej %</w:t>
            </w:r>
          </w:p>
        </w:tc>
        <w:tc>
          <w:tcPr>
            <w:tcW w:w="3969" w:type="dxa"/>
            <w:gridSpan w:val="3"/>
            <w:shd w:val="clear" w:color="auto" w:fill="FFFFFF" w:themeFill="background1"/>
          </w:tcPr>
          <w:p w14:paraId="39B5D4FD"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Ogółem</w:t>
            </w:r>
          </w:p>
        </w:tc>
        <w:tc>
          <w:tcPr>
            <w:tcW w:w="7942" w:type="dxa"/>
            <w:gridSpan w:val="5"/>
            <w:shd w:val="clear" w:color="auto" w:fill="FFFFFF" w:themeFill="background1"/>
            <w:vAlign w:val="center"/>
          </w:tcPr>
          <w:p w14:paraId="0FB8CD4C"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57,1</w:t>
            </w:r>
          </w:p>
        </w:tc>
      </w:tr>
      <w:tr w:rsidR="008035B3" w:rsidRPr="006602F8" w14:paraId="102D38D6" w14:textId="77777777" w:rsidTr="004D2D78">
        <w:trPr>
          <w:trHeight w:val="284"/>
        </w:trPr>
        <w:tc>
          <w:tcPr>
            <w:tcW w:w="2830" w:type="dxa"/>
            <w:vMerge/>
            <w:shd w:val="clear" w:color="auto" w:fill="9CC2E5" w:themeFill="accent1" w:themeFillTint="99"/>
          </w:tcPr>
          <w:p w14:paraId="41FCBE88" w14:textId="77777777" w:rsidR="008035B3" w:rsidRPr="006602F8" w:rsidRDefault="008035B3" w:rsidP="004D2D78">
            <w:pPr>
              <w:spacing w:after="0" w:line="240" w:lineRule="auto"/>
              <w:rPr>
                <w:rFonts w:ascii="Times New Roman" w:hAnsi="Times New Roman" w:cs="Times New Roman"/>
                <w:bCs/>
                <w:lang w:eastAsia="pl-PL"/>
              </w:rPr>
            </w:pPr>
          </w:p>
        </w:tc>
        <w:tc>
          <w:tcPr>
            <w:tcW w:w="3969" w:type="dxa"/>
            <w:gridSpan w:val="3"/>
            <w:shd w:val="clear" w:color="auto" w:fill="FFFFFF" w:themeFill="background1"/>
          </w:tcPr>
          <w:p w14:paraId="1826515C"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w tym w wieku 55+</w:t>
            </w:r>
          </w:p>
        </w:tc>
        <w:tc>
          <w:tcPr>
            <w:tcW w:w="7942" w:type="dxa"/>
            <w:gridSpan w:val="5"/>
            <w:shd w:val="clear" w:color="auto" w:fill="FFFFFF" w:themeFill="background1"/>
            <w:vAlign w:val="center"/>
          </w:tcPr>
          <w:p w14:paraId="110BE3C2"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25,3</w:t>
            </w:r>
          </w:p>
        </w:tc>
      </w:tr>
      <w:tr w:rsidR="008035B3" w:rsidRPr="006602F8" w14:paraId="14BAF8AF" w14:textId="77777777" w:rsidTr="004D2D78">
        <w:trPr>
          <w:trHeight w:val="143"/>
        </w:trPr>
        <w:tc>
          <w:tcPr>
            <w:tcW w:w="2830" w:type="dxa"/>
            <w:vMerge w:val="restart"/>
            <w:shd w:val="clear" w:color="auto" w:fill="9CC2E5" w:themeFill="accent1" w:themeFillTint="99"/>
          </w:tcPr>
          <w:p w14:paraId="31EA156D"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
                <w:bCs/>
                <w:lang w:eastAsia="pl-PL"/>
              </w:rPr>
              <w:t>Wskaźnik zatrudnienia %</w:t>
            </w:r>
          </w:p>
        </w:tc>
        <w:tc>
          <w:tcPr>
            <w:tcW w:w="3969" w:type="dxa"/>
            <w:gridSpan w:val="3"/>
            <w:shd w:val="clear" w:color="auto" w:fill="FFFFFF" w:themeFill="background1"/>
          </w:tcPr>
          <w:p w14:paraId="7C44CC76"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ogółem</w:t>
            </w:r>
          </w:p>
        </w:tc>
        <w:tc>
          <w:tcPr>
            <w:tcW w:w="7942" w:type="dxa"/>
            <w:gridSpan w:val="5"/>
            <w:shd w:val="clear" w:color="auto" w:fill="FFFFFF" w:themeFill="background1"/>
            <w:vAlign w:val="center"/>
          </w:tcPr>
          <w:p w14:paraId="7664D136"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55,3</w:t>
            </w:r>
          </w:p>
        </w:tc>
      </w:tr>
      <w:tr w:rsidR="008035B3" w:rsidRPr="006602F8" w14:paraId="50B7C291" w14:textId="77777777" w:rsidTr="004D2D78">
        <w:trPr>
          <w:trHeight w:val="142"/>
        </w:trPr>
        <w:tc>
          <w:tcPr>
            <w:tcW w:w="2830" w:type="dxa"/>
            <w:vMerge/>
            <w:shd w:val="clear" w:color="auto" w:fill="9CC2E5" w:themeFill="accent1" w:themeFillTint="99"/>
          </w:tcPr>
          <w:p w14:paraId="63E312FC" w14:textId="77777777" w:rsidR="008035B3" w:rsidRPr="006602F8" w:rsidRDefault="008035B3" w:rsidP="004D2D78">
            <w:pPr>
              <w:spacing w:after="0" w:line="240" w:lineRule="auto"/>
              <w:rPr>
                <w:rFonts w:ascii="Times New Roman" w:hAnsi="Times New Roman" w:cs="Times New Roman"/>
                <w:bCs/>
                <w:lang w:eastAsia="pl-PL"/>
              </w:rPr>
            </w:pPr>
          </w:p>
        </w:tc>
        <w:tc>
          <w:tcPr>
            <w:tcW w:w="3969" w:type="dxa"/>
            <w:gridSpan w:val="3"/>
            <w:shd w:val="clear" w:color="auto" w:fill="FFFFFF" w:themeFill="background1"/>
          </w:tcPr>
          <w:p w14:paraId="195C3D58"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w tym w wieku 55+</w:t>
            </w:r>
          </w:p>
        </w:tc>
        <w:tc>
          <w:tcPr>
            <w:tcW w:w="7942" w:type="dxa"/>
            <w:gridSpan w:val="5"/>
            <w:shd w:val="clear" w:color="auto" w:fill="FFFFFF" w:themeFill="background1"/>
            <w:vAlign w:val="center"/>
          </w:tcPr>
          <w:p w14:paraId="02AA0CC0"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24,7</w:t>
            </w:r>
          </w:p>
        </w:tc>
      </w:tr>
      <w:tr w:rsidR="008035B3" w:rsidRPr="006602F8" w14:paraId="7D733A9A" w14:textId="77777777" w:rsidTr="004D2D78">
        <w:trPr>
          <w:trHeight w:val="282"/>
        </w:trPr>
        <w:tc>
          <w:tcPr>
            <w:tcW w:w="2830" w:type="dxa"/>
            <w:vMerge w:val="restart"/>
            <w:shd w:val="clear" w:color="auto" w:fill="9CC2E5" w:themeFill="accent1" w:themeFillTint="99"/>
          </w:tcPr>
          <w:p w14:paraId="34B023F3"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eastAsia="Times New Roman" w:hAnsi="Times New Roman" w:cs="Times New Roman"/>
                <w:b/>
                <w:bCs/>
                <w:lang w:eastAsia="pl-PL"/>
              </w:rPr>
              <w:t xml:space="preserve">Osoby bierne zawodowo  w wieku 60 lat i więcej według wybranych przyczyn bierności </w:t>
            </w:r>
            <w:r w:rsidRPr="006602F8">
              <w:rPr>
                <w:rFonts w:ascii="Times New Roman" w:eastAsia="Times New Roman" w:hAnsi="Times New Roman" w:cs="Times New Roman"/>
                <w:b/>
                <w:bCs/>
                <w:lang w:eastAsia="pl-PL"/>
              </w:rPr>
              <w:br/>
              <w:t>(w tys.)</w:t>
            </w:r>
          </w:p>
        </w:tc>
        <w:tc>
          <w:tcPr>
            <w:tcW w:w="3969" w:type="dxa"/>
            <w:gridSpan w:val="3"/>
            <w:shd w:val="clear" w:color="auto" w:fill="FFFFFF" w:themeFill="background1"/>
          </w:tcPr>
          <w:p w14:paraId="645FE1A4"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ogółem</w:t>
            </w:r>
          </w:p>
        </w:tc>
        <w:tc>
          <w:tcPr>
            <w:tcW w:w="7942" w:type="dxa"/>
            <w:gridSpan w:val="5"/>
            <w:shd w:val="clear" w:color="auto" w:fill="FFFFFF" w:themeFill="background1"/>
            <w:vAlign w:val="center"/>
          </w:tcPr>
          <w:p w14:paraId="4D602B8A"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eastAsia="Times New Roman" w:hAnsi="Times New Roman" w:cs="Times New Roman"/>
                <w:lang w:eastAsia="pl-PL"/>
              </w:rPr>
              <w:t>Brak danych dla osób starszych</w:t>
            </w:r>
          </w:p>
        </w:tc>
      </w:tr>
      <w:tr w:rsidR="008035B3" w:rsidRPr="006602F8" w14:paraId="6B349B96" w14:textId="77777777" w:rsidTr="004D2D78">
        <w:trPr>
          <w:trHeight w:val="280"/>
        </w:trPr>
        <w:tc>
          <w:tcPr>
            <w:tcW w:w="2830" w:type="dxa"/>
            <w:vMerge/>
            <w:shd w:val="clear" w:color="auto" w:fill="9CC2E5" w:themeFill="accent1" w:themeFillTint="99"/>
          </w:tcPr>
          <w:p w14:paraId="489C0E3F"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11911" w:type="dxa"/>
            <w:gridSpan w:val="8"/>
            <w:shd w:val="clear" w:color="auto" w:fill="9CC2E5" w:themeFill="accent1" w:themeFillTint="99"/>
          </w:tcPr>
          <w:p w14:paraId="25DB5ABC"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w tym:</w:t>
            </w:r>
          </w:p>
        </w:tc>
      </w:tr>
      <w:tr w:rsidR="008035B3" w:rsidRPr="006602F8" w14:paraId="4B3A9A93" w14:textId="77777777" w:rsidTr="004D2D78">
        <w:trPr>
          <w:trHeight w:val="280"/>
        </w:trPr>
        <w:tc>
          <w:tcPr>
            <w:tcW w:w="2830" w:type="dxa"/>
            <w:vMerge/>
            <w:shd w:val="clear" w:color="auto" w:fill="9CC2E5" w:themeFill="accent1" w:themeFillTint="99"/>
          </w:tcPr>
          <w:p w14:paraId="5C41B9A9"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FFFFFF" w:themeFill="background1"/>
          </w:tcPr>
          <w:p w14:paraId="607C5F16" w14:textId="77777777" w:rsidR="008035B3" w:rsidRPr="006602F8" w:rsidRDefault="008035B3" w:rsidP="004D2D78">
            <w:pPr>
              <w:spacing w:after="0" w:line="240" w:lineRule="auto"/>
              <w:rPr>
                <w:rFonts w:ascii="Times New Roman" w:eastAsia="Times New Roman" w:hAnsi="Times New Roman" w:cs="Times New Roman"/>
                <w:lang w:eastAsia="pl-PL"/>
              </w:rPr>
            </w:pPr>
            <w:r w:rsidRPr="006602F8">
              <w:rPr>
                <w:rFonts w:ascii="Times New Roman" w:eastAsia="Times New Roman" w:hAnsi="Times New Roman" w:cs="Times New Roman"/>
                <w:lang w:eastAsia="pl-PL"/>
              </w:rPr>
              <w:t>osoby nieposzukujące pracy - razem</w:t>
            </w:r>
          </w:p>
        </w:tc>
        <w:tc>
          <w:tcPr>
            <w:tcW w:w="7942" w:type="dxa"/>
            <w:gridSpan w:val="5"/>
            <w:shd w:val="clear" w:color="auto" w:fill="FFFFFF" w:themeFill="background1"/>
          </w:tcPr>
          <w:p w14:paraId="1E58AEE7" w14:textId="77777777" w:rsidR="008035B3" w:rsidRPr="006602F8" w:rsidRDefault="008035B3" w:rsidP="004D2D78">
            <w:pPr>
              <w:spacing w:after="0" w:line="240" w:lineRule="auto"/>
              <w:jc w:val="center"/>
              <w:rPr>
                <w:rFonts w:ascii="Times New Roman" w:hAnsi="Times New Roman" w:cs="Times New Roman"/>
              </w:rPr>
            </w:pPr>
          </w:p>
        </w:tc>
      </w:tr>
      <w:tr w:rsidR="008035B3" w:rsidRPr="006602F8" w14:paraId="4F8DD99E" w14:textId="77777777" w:rsidTr="004D2D78">
        <w:trPr>
          <w:trHeight w:val="280"/>
        </w:trPr>
        <w:tc>
          <w:tcPr>
            <w:tcW w:w="2830" w:type="dxa"/>
            <w:vMerge/>
            <w:shd w:val="clear" w:color="auto" w:fill="9CC2E5" w:themeFill="accent1" w:themeFillTint="99"/>
          </w:tcPr>
          <w:p w14:paraId="2248DE42"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FFFFFF" w:themeFill="background1"/>
          </w:tcPr>
          <w:p w14:paraId="6083502F" w14:textId="77777777" w:rsidR="008035B3" w:rsidRPr="006602F8" w:rsidRDefault="008035B3" w:rsidP="004D2D78">
            <w:pPr>
              <w:spacing w:after="0" w:line="240" w:lineRule="auto"/>
              <w:rPr>
                <w:rFonts w:ascii="Times New Roman" w:hAnsi="Times New Roman" w:cs="Times New Roman"/>
              </w:rPr>
            </w:pPr>
            <w:r w:rsidRPr="006602F8">
              <w:rPr>
                <w:rFonts w:ascii="Times New Roman" w:eastAsia="Times New Roman" w:hAnsi="Times New Roman" w:cs="Times New Roman"/>
                <w:lang w:eastAsia="pl-PL"/>
              </w:rPr>
              <w:t>osoby nieposzukujące pracy - emerytura</w:t>
            </w:r>
          </w:p>
        </w:tc>
        <w:tc>
          <w:tcPr>
            <w:tcW w:w="7942" w:type="dxa"/>
            <w:gridSpan w:val="5"/>
            <w:shd w:val="clear" w:color="auto" w:fill="FFFFFF" w:themeFill="background1"/>
          </w:tcPr>
          <w:p w14:paraId="28A7FC7C" w14:textId="77777777" w:rsidR="008035B3" w:rsidRPr="006602F8" w:rsidRDefault="008035B3" w:rsidP="004D2D78">
            <w:pPr>
              <w:spacing w:after="0" w:line="240" w:lineRule="auto"/>
              <w:jc w:val="center"/>
              <w:rPr>
                <w:rFonts w:ascii="Times New Roman" w:hAnsi="Times New Roman" w:cs="Times New Roman"/>
              </w:rPr>
            </w:pPr>
          </w:p>
        </w:tc>
      </w:tr>
      <w:tr w:rsidR="008035B3" w:rsidRPr="006602F8" w14:paraId="4A19EF30" w14:textId="77777777" w:rsidTr="004D2D78">
        <w:trPr>
          <w:trHeight w:val="280"/>
        </w:trPr>
        <w:tc>
          <w:tcPr>
            <w:tcW w:w="2830" w:type="dxa"/>
            <w:vMerge/>
            <w:shd w:val="clear" w:color="auto" w:fill="9CC2E5" w:themeFill="accent1" w:themeFillTint="99"/>
          </w:tcPr>
          <w:p w14:paraId="0FE26190"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FFFFFF" w:themeFill="background1"/>
          </w:tcPr>
          <w:p w14:paraId="7AC578A6" w14:textId="77777777" w:rsidR="008035B3" w:rsidRPr="006602F8" w:rsidRDefault="008035B3" w:rsidP="004D2D78">
            <w:pPr>
              <w:spacing w:after="0" w:line="240" w:lineRule="auto"/>
              <w:rPr>
                <w:rFonts w:ascii="Times New Roman" w:hAnsi="Times New Roman" w:cs="Times New Roman"/>
              </w:rPr>
            </w:pPr>
            <w:r w:rsidRPr="006602F8">
              <w:rPr>
                <w:rFonts w:ascii="Times New Roman" w:eastAsia="Times New Roman" w:hAnsi="Times New Roman" w:cs="Times New Roman"/>
                <w:lang w:eastAsia="pl-PL"/>
              </w:rPr>
              <w:t>osoby nieposzukujące pracy - choroba, niepełnosprawność</w:t>
            </w:r>
          </w:p>
        </w:tc>
        <w:tc>
          <w:tcPr>
            <w:tcW w:w="7942" w:type="dxa"/>
            <w:gridSpan w:val="5"/>
            <w:shd w:val="clear" w:color="auto" w:fill="FFFFFF" w:themeFill="background1"/>
          </w:tcPr>
          <w:p w14:paraId="04B26002" w14:textId="77777777" w:rsidR="008035B3" w:rsidRPr="006602F8" w:rsidRDefault="008035B3" w:rsidP="004D2D78">
            <w:pPr>
              <w:spacing w:after="0" w:line="240" w:lineRule="auto"/>
              <w:jc w:val="center"/>
              <w:rPr>
                <w:rFonts w:ascii="Times New Roman" w:hAnsi="Times New Roman" w:cs="Times New Roman"/>
              </w:rPr>
            </w:pPr>
          </w:p>
        </w:tc>
      </w:tr>
      <w:tr w:rsidR="008035B3" w:rsidRPr="006602F8" w14:paraId="36D186F3" w14:textId="77777777" w:rsidTr="004D2D78">
        <w:trPr>
          <w:trHeight w:val="285"/>
        </w:trPr>
        <w:tc>
          <w:tcPr>
            <w:tcW w:w="2830" w:type="dxa"/>
            <w:vMerge w:val="restart"/>
            <w:shd w:val="clear" w:color="auto" w:fill="9CC2E5" w:themeFill="accent1" w:themeFillTint="99"/>
          </w:tcPr>
          <w:p w14:paraId="5FF9E2B2" w14:textId="77777777" w:rsidR="008035B3" w:rsidRPr="006602F8" w:rsidRDefault="008035B3" w:rsidP="004D2D78">
            <w:pPr>
              <w:spacing w:after="0" w:line="240" w:lineRule="auto"/>
              <w:rPr>
                <w:rFonts w:ascii="Times New Roman" w:eastAsia="Times New Roman" w:hAnsi="Times New Roman" w:cs="Times New Roman"/>
                <w:b/>
                <w:bCs/>
                <w:lang w:eastAsia="pl-PL"/>
              </w:rPr>
            </w:pPr>
            <w:r w:rsidRPr="006602F8">
              <w:rPr>
                <w:rFonts w:ascii="Times New Roman" w:eastAsia="Times New Roman" w:hAnsi="Times New Roman" w:cs="Times New Roman"/>
                <w:b/>
                <w:bCs/>
                <w:lang w:eastAsia="pl-PL"/>
              </w:rPr>
              <w:t>Osoby bezrobotne zarejestrowane w urzędach pracy (w tys.)</w:t>
            </w:r>
          </w:p>
        </w:tc>
        <w:tc>
          <w:tcPr>
            <w:tcW w:w="3969" w:type="dxa"/>
            <w:gridSpan w:val="3"/>
            <w:shd w:val="clear" w:color="auto" w:fill="FFFFFF" w:themeFill="background1"/>
          </w:tcPr>
          <w:p w14:paraId="107AB3D6"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ogółem</w:t>
            </w:r>
          </w:p>
        </w:tc>
        <w:tc>
          <w:tcPr>
            <w:tcW w:w="7942" w:type="dxa"/>
            <w:gridSpan w:val="5"/>
            <w:shd w:val="clear" w:color="auto" w:fill="FFFFFF" w:themeFill="background1"/>
            <w:vAlign w:val="center"/>
          </w:tcPr>
          <w:p w14:paraId="4E51E52B"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56 022</w:t>
            </w:r>
          </w:p>
        </w:tc>
      </w:tr>
      <w:tr w:rsidR="008035B3" w:rsidRPr="006602F8" w14:paraId="24242CB3" w14:textId="77777777" w:rsidTr="004D2D78">
        <w:trPr>
          <w:trHeight w:val="284"/>
        </w:trPr>
        <w:tc>
          <w:tcPr>
            <w:tcW w:w="2830" w:type="dxa"/>
            <w:vMerge/>
            <w:shd w:val="clear" w:color="auto" w:fill="9CC2E5" w:themeFill="accent1" w:themeFillTint="99"/>
          </w:tcPr>
          <w:p w14:paraId="1F32FA70"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FFFFFF" w:themeFill="background1"/>
          </w:tcPr>
          <w:p w14:paraId="01BE4C38"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w tym w wieku 60+</w:t>
            </w:r>
          </w:p>
        </w:tc>
        <w:tc>
          <w:tcPr>
            <w:tcW w:w="7942" w:type="dxa"/>
            <w:gridSpan w:val="5"/>
            <w:shd w:val="clear" w:color="auto" w:fill="FFFFFF" w:themeFill="background1"/>
            <w:vAlign w:val="center"/>
          </w:tcPr>
          <w:p w14:paraId="7C7EB64A"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5 057</w:t>
            </w:r>
          </w:p>
        </w:tc>
      </w:tr>
      <w:tr w:rsidR="008035B3" w:rsidRPr="006602F8" w14:paraId="6A8B5AC0" w14:textId="77777777" w:rsidTr="004D2D78">
        <w:trPr>
          <w:trHeight w:val="191"/>
        </w:trPr>
        <w:tc>
          <w:tcPr>
            <w:tcW w:w="2830" w:type="dxa"/>
            <w:vMerge w:val="restart"/>
            <w:shd w:val="clear" w:color="auto" w:fill="9CC2E5" w:themeFill="accent1" w:themeFillTint="99"/>
          </w:tcPr>
          <w:p w14:paraId="1AD38427" w14:textId="77777777" w:rsidR="008035B3" w:rsidRPr="006602F8" w:rsidRDefault="008035B3" w:rsidP="004D2D78">
            <w:pPr>
              <w:spacing w:after="0" w:line="240" w:lineRule="auto"/>
              <w:rPr>
                <w:rFonts w:ascii="Times New Roman" w:eastAsia="Times New Roman" w:hAnsi="Times New Roman" w:cs="Times New Roman"/>
                <w:b/>
                <w:bCs/>
                <w:lang w:eastAsia="pl-PL"/>
              </w:rPr>
            </w:pPr>
            <w:r w:rsidRPr="006602F8">
              <w:rPr>
                <w:rFonts w:ascii="Times New Roman" w:eastAsia="Times New Roman" w:hAnsi="Times New Roman" w:cs="Times New Roman"/>
                <w:b/>
                <w:bCs/>
                <w:lang w:eastAsia="pl-PL"/>
              </w:rPr>
              <w:t xml:space="preserve">Osoby pobierające renty </w:t>
            </w:r>
            <w:r w:rsidRPr="006602F8">
              <w:rPr>
                <w:rFonts w:ascii="Times New Roman" w:eastAsia="Times New Roman" w:hAnsi="Times New Roman" w:cs="Times New Roman"/>
                <w:b/>
                <w:bCs/>
                <w:lang w:eastAsia="pl-PL"/>
              </w:rPr>
              <w:br/>
              <w:t xml:space="preserve">i emerytury </w:t>
            </w:r>
          </w:p>
        </w:tc>
        <w:tc>
          <w:tcPr>
            <w:tcW w:w="11911" w:type="dxa"/>
            <w:gridSpan w:val="8"/>
            <w:shd w:val="clear" w:color="auto" w:fill="9CC2E5" w:themeFill="accent1" w:themeFillTint="99"/>
          </w:tcPr>
          <w:p w14:paraId="3F819DB1" w14:textId="77777777" w:rsidR="008035B3" w:rsidRPr="006602F8" w:rsidRDefault="008035B3" w:rsidP="004D2D78">
            <w:pPr>
              <w:tabs>
                <w:tab w:val="left" w:pos="1725"/>
                <w:tab w:val="center" w:pos="2363"/>
              </w:tabs>
              <w:spacing w:after="0" w:line="240" w:lineRule="auto"/>
              <w:jc w:val="center"/>
              <w:rPr>
                <w:rFonts w:ascii="Times New Roman" w:hAnsi="Times New Roman" w:cs="Times New Roman"/>
                <w:b/>
              </w:rPr>
            </w:pPr>
            <w:r w:rsidRPr="006602F8">
              <w:rPr>
                <w:rFonts w:ascii="Times New Roman" w:hAnsi="Times New Roman" w:cs="Times New Roman"/>
                <w:b/>
              </w:rPr>
              <w:t>ZUS</w:t>
            </w:r>
          </w:p>
        </w:tc>
      </w:tr>
      <w:tr w:rsidR="008035B3" w:rsidRPr="006602F8" w14:paraId="5153FA1C" w14:textId="77777777" w:rsidTr="004D2D78">
        <w:trPr>
          <w:trHeight w:val="189"/>
        </w:trPr>
        <w:tc>
          <w:tcPr>
            <w:tcW w:w="2830" w:type="dxa"/>
            <w:vMerge/>
            <w:shd w:val="clear" w:color="auto" w:fill="9CC2E5" w:themeFill="accent1" w:themeFillTint="99"/>
          </w:tcPr>
          <w:p w14:paraId="7F257494"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9CC2E5" w:themeFill="accent1" w:themeFillTint="99"/>
          </w:tcPr>
          <w:p w14:paraId="5AF64321"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Rodzaj świadczenia</w:t>
            </w:r>
          </w:p>
        </w:tc>
        <w:tc>
          <w:tcPr>
            <w:tcW w:w="7942" w:type="dxa"/>
            <w:gridSpan w:val="5"/>
            <w:shd w:val="clear" w:color="auto" w:fill="9CC2E5" w:themeFill="accent1" w:themeFillTint="99"/>
          </w:tcPr>
          <w:p w14:paraId="347A4273"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Przeciętna miesięczna liczba emerytów i rencistów (w tys.)</w:t>
            </w:r>
          </w:p>
        </w:tc>
      </w:tr>
      <w:tr w:rsidR="008035B3" w:rsidRPr="006602F8" w14:paraId="7CAC2DC9" w14:textId="77777777" w:rsidTr="004D2D78">
        <w:trPr>
          <w:trHeight w:val="143"/>
        </w:trPr>
        <w:tc>
          <w:tcPr>
            <w:tcW w:w="2830" w:type="dxa"/>
            <w:vMerge/>
            <w:shd w:val="clear" w:color="auto" w:fill="9CC2E5" w:themeFill="accent1" w:themeFillTint="99"/>
          </w:tcPr>
          <w:p w14:paraId="1DAEF730"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FFFFFF" w:themeFill="background1"/>
          </w:tcPr>
          <w:p w14:paraId="5C4DBF4F"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Emerytury</w:t>
            </w:r>
          </w:p>
        </w:tc>
        <w:tc>
          <w:tcPr>
            <w:tcW w:w="7942" w:type="dxa"/>
            <w:gridSpan w:val="5"/>
            <w:shd w:val="clear" w:color="auto" w:fill="FFFFFF" w:themeFill="background1"/>
            <w:vAlign w:val="center"/>
          </w:tcPr>
          <w:p w14:paraId="2DB10F7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295</w:t>
            </w:r>
          </w:p>
        </w:tc>
      </w:tr>
      <w:tr w:rsidR="008035B3" w:rsidRPr="006602F8" w14:paraId="2F2790A7" w14:textId="77777777" w:rsidTr="004D2D78">
        <w:trPr>
          <w:trHeight w:val="142"/>
        </w:trPr>
        <w:tc>
          <w:tcPr>
            <w:tcW w:w="2830" w:type="dxa"/>
            <w:vMerge/>
            <w:shd w:val="clear" w:color="auto" w:fill="9CC2E5" w:themeFill="accent1" w:themeFillTint="99"/>
          </w:tcPr>
          <w:p w14:paraId="74657020"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FFFFFF" w:themeFill="background1"/>
          </w:tcPr>
          <w:p w14:paraId="728B826B"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Renty z tytułu niezdolności do pracy</w:t>
            </w:r>
          </w:p>
        </w:tc>
        <w:tc>
          <w:tcPr>
            <w:tcW w:w="7942" w:type="dxa"/>
            <w:gridSpan w:val="5"/>
            <w:shd w:val="clear" w:color="auto" w:fill="FFFFFF" w:themeFill="background1"/>
            <w:vAlign w:val="center"/>
          </w:tcPr>
          <w:p w14:paraId="6D173A6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38</w:t>
            </w:r>
          </w:p>
        </w:tc>
      </w:tr>
      <w:tr w:rsidR="008035B3" w:rsidRPr="006602F8" w14:paraId="16A7D806" w14:textId="77777777" w:rsidTr="004D2D78">
        <w:trPr>
          <w:trHeight w:val="165"/>
        </w:trPr>
        <w:tc>
          <w:tcPr>
            <w:tcW w:w="2830" w:type="dxa"/>
            <w:vMerge/>
            <w:shd w:val="clear" w:color="auto" w:fill="9CC2E5" w:themeFill="accent1" w:themeFillTint="99"/>
          </w:tcPr>
          <w:p w14:paraId="1BE5226C"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FFFFFF" w:themeFill="background1"/>
          </w:tcPr>
          <w:p w14:paraId="40665536"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Renty rodzinne</w:t>
            </w:r>
          </w:p>
        </w:tc>
        <w:tc>
          <w:tcPr>
            <w:tcW w:w="7942" w:type="dxa"/>
            <w:gridSpan w:val="5"/>
            <w:shd w:val="clear" w:color="auto" w:fill="FFFFFF" w:themeFill="background1"/>
            <w:vAlign w:val="center"/>
          </w:tcPr>
          <w:p w14:paraId="30DFD980"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75</w:t>
            </w:r>
          </w:p>
        </w:tc>
      </w:tr>
      <w:tr w:rsidR="008035B3" w:rsidRPr="006602F8" w14:paraId="04EB47E8" w14:textId="77777777" w:rsidTr="004D2D78">
        <w:trPr>
          <w:trHeight w:val="245"/>
        </w:trPr>
        <w:tc>
          <w:tcPr>
            <w:tcW w:w="2830" w:type="dxa"/>
            <w:vMerge/>
            <w:shd w:val="clear" w:color="auto" w:fill="9CC2E5" w:themeFill="accent1" w:themeFillTint="99"/>
          </w:tcPr>
          <w:p w14:paraId="40170D76"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11911" w:type="dxa"/>
            <w:gridSpan w:val="8"/>
            <w:shd w:val="clear" w:color="auto" w:fill="9CC2E5" w:themeFill="accent1" w:themeFillTint="99"/>
          </w:tcPr>
          <w:p w14:paraId="4F6C32F2" w14:textId="77777777" w:rsidR="008035B3" w:rsidRPr="006602F8" w:rsidRDefault="008035B3" w:rsidP="004D2D78">
            <w:pPr>
              <w:tabs>
                <w:tab w:val="left" w:pos="1507"/>
                <w:tab w:val="center" w:pos="2363"/>
              </w:tabs>
              <w:spacing w:after="0" w:line="240" w:lineRule="auto"/>
              <w:jc w:val="center"/>
              <w:rPr>
                <w:rFonts w:ascii="Times New Roman" w:hAnsi="Times New Roman" w:cs="Times New Roman"/>
                <w:b/>
              </w:rPr>
            </w:pPr>
            <w:r w:rsidRPr="006602F8">
              <w:rPr>
                <w:rFonts w:ascii="Times New Roman" w:hAnsi="Times New Roman" w:cs="Times New Roman"/>
                <w:b/>
              </w:rPr>
              <w:t>KRUS</w:t>
            </w:r>
          </w:p>
        </w:tc>
      </w:tr>
      <w:tr w:rsidR="008035B3" w:rsidRPr="006602F8" w14:paraId="4C2A3900" w14:textId="77777777" w:rsidTr="004D2D78">
        <w:trPr>
          <w:trHeight w:val="81"/>
        </w:trPr>
        <w:tc>
          <w:tcPr>
            <w:tcW w:w="2830" w:type="dxa"/>
            <w:vMerge/>
            <w:shd w:val="clear" w:color="auto" w:fill="9CC2E5" w:themeFill="accent1" w:themeFillTint="99"/>
          </w:tcPr>
          <w:p w14:paraId="51324887"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9CC2E5" w:themeFill="accent1" w:themeFillTint="99"/>
          </w:tcPr>
          <w:p w14:paraId="11153432"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Rodzaj świadczenia</w:t>
            </w:r>
          </w:p>
        </w:tc>
        <w:tc>
          <w:tcPr>
            <w:tcW w:w="7942" w:type="dxa"/>
            <w:gridSpan w:val="5"/>
            <w:shd w:val="clear" w:color="auto" w:fill="9CC2E5" w:themeFill="accent1" w:themeFillTint="99"/>
          </w:tcPr>
          <w:p w14:paraId="75800AC6"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Przeciętna miesięczna liczba emerytów i rencistów (w tys.)</w:t>
            </w:r>
          </w:p>
        </w:tc>
      </w:tr>
      <w:tr w:rsidR="008035B3" w:rsidRPr="006602F8" w14:paraId="0FACD89B" w14:textId="77777777" w:rsidTr="004D2D78">
        <w:trPr>
          <w:trHeight w:val="79"/>
        </w:trPr>
        <w:tc>
          <w:tcPr>
            <w:tcW w:w="2830" w:type="dxa"/>
            <w:vMerge/>
            <w:shd w:val="clear" w:color="auto" w:fill="9CC2E5" w:themeFill="accent1" w:themeFillTint="99"/>
          </w:tcPr>
          <w:p w14:paraId="0AD9A492"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FFFFFF" w:themeFill="background1"/>
          </w:tcPr>
          <w:p w14:paraId="5A8B3A46"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Emerytury</w:t>
            </w:r>
          </w:p>
        </w:tc>
        <w:tc>
          <w:tcPr>
            <w:tcW w:w="7942" w:type="dxa"/>
            <w:gridSpan w:val="5"/>
            <w:shd w:val="clear" w:color="auto" w:fill="FFFFFF" w:themeFill="background1"/>
          </w:tcPr>
          <w:p w14:paraId="2A4762FA"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33</w:t>
            </w:r>
          </w:p>
        </w:tc>
      </w:tr>
      <w:tr w:rsidR="008035B3" w:rsidRPr="006602F8" w14:paraId="431F21BE" w14:textId="77777777" w:rsidTr="004D2D78">
        <w:trPr>
          <w:trHeight w:val="79"/>
        </w:trPr>
        <w:tc>
          <w:tcPr>
            <w:tcW w:w="2830" w:type="dxa"/>
            <w:vMerge/>
            <w:shd w:val="clear" w:color="auto" w:fill="9CC2E5" w:themeFill="accent1" w:themeFillTint="99"/>
          </w:tcPr>
          <w:p w14:paraId="74FE663B"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FFFFFF" w:themeFill="background1"/>
          </w:tcPr>
          <w:p w14:paraId="5EA4E0EA"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Renty z tytułu niezdolności do pracy</w:t>
            </w:r>
          </w:p>
        </w:tc>
        <w:tc>
          <w:tcPr>
            <w:tcW w:w="7942" w:type="dxa"/>
            <w:gridSpan w:val="5"/>
            <w:shd w:val="clear" w:color="auto" w:fill="FFFFFF" w:themeFill="background1"/>
          </w:tcPr>
          <w:p w14:paraId="7655580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8</w:t>
            </w:r>
          </w:p>
        </w:tc>
      </w:tr>
      <w:tr w:rsidR="008035B3" w:rsidRPr="006602F8" w14:paraId="52AE3BD6" w14:textId="77777777" w:rsidTr="004D2D78">
        <w:trPr>
          <w:trHeight w:val="79"/>
        </w:trPr>
        <w:tc>
          <w:tcPr>
            <w:tcW w:w="2830" w:type="dxa"/>
            <w:vMerge/>
            <w:shd w:val="clear" w:color="auto" w:fill="9CC2E5" w:themeFill="accent1" w:themeFillTint="99"/>
          </w:tcPr>
          <w:p w14:paraId="1C5E5329"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969" w:type="dxa"/>
            <w:gridSpan w:val="3"/>
            <w:shd w:val="clear" w:color="auto" w:fill="FFFFFF" w:themeFill="background1"/>
          </w:tcPr>
          <w:p w14:paraId="69A91D44"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Renty rodzinne</w:t>
            </w:r>
          </w:p>
        </w:tc>
        <w:tc>
          <w:tcPr>
            <w:tcW w:w="7942" w:type="dxa"/>
            <w:gridSpan w:val="5"/>
            <w:shd w:val="clear" w:color="auto" w:fill="FFFFFF" w:themeFill="background1"/>
          </w:tcPr>
          <w:p w14:paraId="17D49D96"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w:t>
            </w:r>
          </w:p>
        </w:tc>
      </w:tr>
      <w:tr w:rsidR="008035B3" w:rsidRPr="006602F8" w14:paraId="3A1BB07D" w14:textId="77777777" w:rsidTr="004D2D78">
        <w:trPr>
          <w:trHeight w:val="79"/>
        </w:trPr>
        <w:tc>
          <w:tcPr>
            <w:tcW w:w="14741" w:type="dxa"/>
            <w:gridSpan w:val="9"/>
            <w:shd w:val="clear" w:color="auto" w:fill="9CC2E5" w:themeFill="accent1" w:themeFillTint="99"/>
          </w:tcPr>
          <w:p w14:paraId="013A715D" w14:textId="77777777" w:rsidR="008035B3" w:rsidRPr="006602F8" w:rsidRDefault="008035B3" w:rsidP="004D2D78">
            <w:pPr>
              <w:spacing w:after="0" w:line="240" w:lineRule="auto"/>
              <w:jc w:val="center"/>
              <w:rPr>
                <w:rFonts w:ascii="Times New Roman" w:hAnsi="Times New Roman" w:cs="Times New Roman"/>
                <w:b/>
                <w:bCs/>
              </w:rPr>
            </w:pPr>
            <w:r w:rsidRPr="006602F8">
              <w:rPr>
                <w:rFonts w:ascii="Times New Roman" w:hAnsi="Times New Roman" w:cs="Times New Roman"/>
                <w:b/>
                <w:bCs/>
              </w:rPr>
              <w:t>SYTUACJA DOCHODOWA, WARUNKI BYTU, W TYM WARUNKI MIESZKANIOWE – DANE ZA 2019 R,</w:t>
            </w:r>
          </w:p>
        </w:tc>
      </w:tr>
      <w:tr w:rsidR="008035B3" w:rsidRPr="006602F8" w14:paraId="0283B19F" w14:textId="77777777" w:rsidTr="004D2D78">
        <w:trPr>
          <w:trHeight w:val="79"/>
        </w:trPr>
        <w:tc>
          <w:tcPr>
            <w:tcW w:w="14741" w:type="dxa"/>
            <w:gridSpan w:val="9"/>
            <w:shd w:val="clear" w:color="auto" w:fill="FFFFFF" w:themeFill="background1"/>
          </w:tcPr>
          <w:p w14:paraId="534E6BA0" w14:textId="1942F6D2" w:rsidR="008035B3" w:rsidRPr="006602F8" w:rsidRDefault="008035B3" w:rsidP="003941A0">
            <w:pPr>
              <w:spacing w:after="0" w:line="240" w:lineRule="auto"/>
              <w:rPr>
                <w:rFonts w:ascii="Times New Roman" w:hAnsi="Times New Roman" w:cs="Times New Roman"/>
                <w:bCs/>
              </w:rPr>
            </w:pPr>
            <w:r w:rsidRPr="006602F8">
              <w:rPr>
                <w:rFonts w:ascii="Times New Roman" w:hAnsi="Times New Roman" w:cs="Times New Roman"/>
                <w:bCs/>
                <w:lang w:eastAsia="pl-PL"/>
              </w:rPr>
              <w:t>W 2019</w:t>
            </w:r>
            <w:r w:rsidR="003941A0">
              <w:rPr>
                <w:rFonts w:ascii="Times New Roman" w:hAnsi="Times New Roman" w:cs="Times New Roman"/>
                <w:bCs/>
                <w:lang w:eastAsia="pl-PL"/>
              </w:rPr>
              <w:t xml:space="preserve"> r.</w:t>
            </w:r>
            <w:r w:rsidRPr="006602F8">
              <w:rPr>
                <w:rFonts w:ascii="Times New Roman" w:hAnsi="Times New Roman" w:cs="Times New Roman"/>
                <w:bCs/>
                <w:lang w:eastAsia="pl-PL"/>
              </w:rPr>
              <w:t xml:space="preserve"> nastąpiła poprawa sytuacji materialnej gospodarstw domowych. Gospodarstwa domowe osiągały wyższe dochody i w porównaniu z rokiem poprzednim również nieco więcej wydawały. Poziom przeciętnego miesięcznego dochodu rozporządzalnego na osobę w zaokrągleniu do 1 zł wyniósł w 2019 r. 1 819 zł i był realnie wyższy o 5,0% od dochodu z 2018 r. Przeciętne miesięczne wydatki na 1 osobę w gospodarstwach domowych osiągnęły w 2019 r. wartość 1 252 zł i były realnie wyższe o 3,1% od wydatków z 2018 r. Wydatki na towary i usługi konsumpcyjne wyniosły 1 201 zł i były realnie wyższe o 3,3% w stosunku do 2018 r. Najniższym przeciętnym miesięcznym dochodem rozporządzalnym na 1 osobę w 2019 r. dysponowały gospodarstwa domowe rencistów. Ich przeciętny dochód na 1 osobę wyniósł 1 498 zł. Przeciętne gospodarstwo domowe w 2019 r. zajmowało mieszkanie o powierzchni </w:t>
            </w:r>
            <w:smartTag w:uri="urn:schemas-microsoft-com:office:smarttags" w:element="metricconverter">
              <w:smartTagPr>
                <w:attr w:name="ProductID" w:val="80,4 m2"/>
              </w:smartTagPr>
              <w:r w:rsidRPr="006602F8">
                <w:rPr>
                  <w:rFonts w:ascii="Times New Roman" w:hAnsi="Times New Roman" w:cs="Times New Roman"/>
                  <w:bCs/>
                  <w:lang w:eastAsia="pl-PL"/>
                </w:rPr>
                <w:t>80,4 m</w:t>
              </w:r>
              <w:r w:rsidRPr="006602F8">
                <w:rPr>
                  <w:rFonts w:ascii="Times New Roman" w:hAnsi="Times New Roman" w:cs="Times New Roman"/>
                  <w:bCs/>
                  <w:vertAlign w:val="superscript"/>
                  <w:lang w:eastAsia="pl-PL"/>
                </w:rPr>
                <w:t>2</w:t>
              </w:r>
            </w:smartTag>
            <w:r w:rsidRPr="006602F8">
              <w:rPr>
                <w:rFonts w:ascii="Times New Roman" w:hAnsi="Times New Roman" w:cs="Times New Roman"/>
                <w:bCs/>
                <w:lang w:eastAsia="pl-PL"/>
              </w:rPr>
              <w:t xml:space="preserve"> (w 2018 r. </w:t>
            </w:r>
            <w:smartTag w:uri="urn:schemas-microsoft-com:office:smarttags" w:element="metricconverter">
              <w:smartTagPr>
                <w:attr w:name="ProductID" w:val="79,4 m2"/>
              </w:smartTagPr>
              <w:r w:rsidRPr="006602F8">
                <w:rPr>
                  <w:rFonts w:ascii="Times New Roman" w:hAnsi="Times New Roman" w:cs="Times New Roman"/>
                  <w:bCs/>
                  <w:lang w:eastAsia="pl-PL"/>
                </w:rPr>
                <w:t>79,4 m</w:t>
              </w:r>
              <w:r w:rsidRPr="006602F8">
                <w:rPr>
                  <w:rFonts w:ascii="Times New Roman" w:hAnsi="Times New Roman" w:cs="Times New Roman"/>
                  <w:bCs/>
                  <w:vertAlign w:val="superscript"/>
                  <w:lang w:eastAsia="pl-PL"/>
                </w:rPr>
                <w:t>2</w:t>
              </w:r>
            </w:smartTag>
            <w:r w:rsidRPr="006602F8">
              <w:rPr>
                <w:rFonts w:ascii="Times New Roman" w:hAnsi="Times New Roman" w:cs="Times New Roman"/>
                <w:bCs/>
                <w:lang w:eastAsia="pl-PL"/>
              </w:rPr>
              <w:t xml:space="preserve"> ), składające się z 3 pokoi. Na jedną osobę przypadało średnio </w:t>
            </w:r>
            <w:smartTag w:uri="urn:schemas-microsoft-com:office:smarttags" w:element="metricconverter">
              <w:smartTagPr>
                <w:attr w:name="ProductID" w:val="28,7 m2"/>
              </w:smartTagPr>
              <w:r w:rsidRPr="006602F8">
                <w:rPr>
                  <w:rFonts w:ascii="Times New Roman" w:hAnsi="Times New Roman" w:cs="Times New Roman"/>
                  <w:bCs/>
                  <w:lang w:eastAsia="pl-PL"/>
                </w:rPr>
                <w:t>28,7 m</w:t>
              </w:r>
              <w:r w:rsidRPr="006602F8">
                <w:rPr>
                  <w:rFonts w:ascii="Times New Roman" w:hAnsi="Times New Roman" w:cs="Times New Roman"/>
                  <w:bCs/>
                  <w:vertAlign w:val="superscript"/>
                  <w:lang w:eastAsia="pl-PL"/>
                </w:rPr>
                <w:t>2</w:t>
              </w:r>
            </w:smartTag>
            <w:r w:rsidRPr="006602F8">
              <w:rPr>
                <w:rFonts w:ascii="Times New Roman" w:hAnsi="Times New Roman" w:cs="Times New Roman"/>
                <w:bCs/>
                <w:lang w:eastAsia="pl-PL"/>
              </w:rPr>
              <w:t xml:space="preserve"> powierzchni użytkowej oraz 1 pokój (w 2018 r. – </w:t>
            </w:r>
            <w:smartTag w:uri="urn:schemas-microsoft-com:office:smarttags" w:element="metricconverter">
              <w:smartTagPr>
                <w:attr w:name="ProductID" w:val="28,4 m2"/>
              </w:smartTagPr>
              <w:r w:rsidRPr="006602F8">
                <w:rPr>
                  <w:rFonts w:ascii="Times New Roman" w:hAnsi="Times New Roman" w:cs="Times New Roman"/>
                  <w:bCs/>
                  <w:lang w:eastAsia="pl-PL"/>
                </w:rPr>
                <w:t>28,4 m</w:t>
              </w:r>
              <w:r w:rsidRPr="006602F8">
                <w:rPr>
                  <w:rFonts w:ascii="Times New Roman" w:hAnsi="Times New Roman" w:cs="Times New Roman"/>
                  <w:bCs/>
                  <w:vertAlign w:val="superscript"/>
                  <w:lang w:eastAsia="pl-PL"/>
                </w:rPr>
                <w:t>2</w:t>
              </w:r>
            </w:smartTag>
            <w:r w:rsidRPr="006602F8">
              <w:rPr>
                <w:rFonts w:ascii="Times New Roman" w:hAnsi="Times New Roman" w:cs="Times New Roman"/>
                <w:bCs/>
                <w:lang w:eastAsia="pl-PL"/>
              </w:rPr>
              <w:t xml:space="preserve"> oraz 1 pokój).</w:t>
            </w:r>
            <w:r w:rsidRPr="006602F8">
              <w:rPr>
                <w:rFonts w:ascii="Times New Roman" w:hAnsi="Times New Roman" w:cs="Times New Roman"/>
              </w:rPr>
              <w:t xml:space="preserve">  </w:t>
            </w:r>
            <w:r w:rsidRPr="006602F8">
              <w:rPr>
                <w:rFonts w:ascii="Times New Roman" w:hAnsi="Times New Roman" w:cs="Times New Roman"/>
                <w:bCs/>
                <w:lang w:eastAsia="pl-PL"/>
              </w:rPr>
              <w:t xml:space="preserve">Największą przeciętną powierzchnią użytkową mieszkań dysponowały gospodarstwa domowe rolników – </w:t>
            </w:r>
            <w:smartTag w:uri="urn:schemas-microsoft-com:office:smarttags" w:element="metricconverter">
              <w:smartTagPr>
                <w:attr w:name="ProductID" w:val="134,6 m2"/>
              </w:smartTagPr>
              <w:r w:rsidRPr="006602F8">
                <w:rPr>
                  <w:rFonts w:ascii="Times New Roman" w:hAnsi="Times New Roman" w:cs="Times New Roman"/>
                  <w:bCs/>
                  <w:lang w:eastAsia="pl-PL"/>
                </w:rPr>
                <w:t>134,6 m</w:t>
              </w:r>
              <w:r w:rsidRPr="006602F8">
                <w:rPr>
                  <w:rFonts w:ascii="Times New Roman" w:hAnsi="Times New Roman" w:cs="Times New Roman"/>
                  <w:bCs/>
                  <w:vertAlign w:val="superscript"/>
                  <w:lang w:eastAsia="pl-PL"/>
                </w:rPr>
                <w:t>2</w:t>
              </w:r>
            </w:smartTag>
            <w:r w:rsidRPr="006602F8">
              <w:rPr>
                <w:rFonts w:ascii="Times New Roman" w:hAnsi="Times New Roman" w:cs="Times New Roman"/>
                <w:bCs/>
                <w:lang w:eastAsia="pl-PL"/>
              </w:rPr>
              <w:t xml:space="preserve"> , zaś najmniejszą gospodarstwa domowe rencistów – </w:t>
            </w:r>
            <w:smartTag w:uri="urn:schemas-microsoft-com:office:smarttags" w:element="metricconverter">
              <w:smartTagPr>
                <w:attr w:name="ProductID" w:val="65,9 m2"/>
              </w:smartTagPr>
              <w:r w:rsidRPr="006602F8">
                <w:rPr>
                  <w:rFonts w:ascii="Times New Roman" w:hAnsi="Times New Roman" w:cs="Times New Roman"/>
                  <w:bCs/>
                  <w:lang w:eastAsia="pl-PL"/>
                </w:rPr>
                <w:t>65,9 m</w:t>
              </w:r>
              <w:r w:rsidRPr="006602F8">
                <w:rPr>
                  <w:rFonts w:ascii="Times New Roman" w:hAnsi="Times New Roman" w:cs="Times New Roman"/>
                  <w:bCs/>
                  <w:vertAlign w:val="superscript"/>
                  <w:lang w:eastAsia="pl-PL"/>
                </w:rPr>
                <w:t>2</w:t>
              </w:r>
            </w:smartTag>
            <w:r w:rsidRPr="006602F8">
              <w:rPr>
                <w:rFonts w:ascii="Times New Roman" w:hAnsi="Times New Roman" w:cs="Times New Roman"/>
                <w:bCs/>
                <w:lang w:eastAsia="pl-PL"/>
              </w:rPr>
              <w:t xml:space="preserve"> . Wielkość mieszkań użytkowanych przez gospodarstwa domowe była też zróżnicowana ze względu na poziom dochodów gospodarstwa. Subiektywna ocena sytuacji materialnej </w:t>
            </w:r>
            <w:r w:rsidRPr="006602F8">
              <w:rPr>
                <w:rFonts w:ascii="Times New Roman" w:hAnsi="Times New Roman" w:cs="Times New Roman"/>
                <w:bCs/>
                <w:lang w:eastAsia="pl-PL"/>
              </w:rPr>
              <w:lastRenderedPageBreak/>
              <w:t>gospodarstw domowych w znacznym stopniu zależy od miejsca zamieszkania. Gospodarstwa mieszkające na wsi gorzej oceniały swoją sytuację materialną niż mieszkańcy miast, zwłaszcza tych największych o liczbie mieszkańców 500 tys. lub więcej, choć w obu przypadkach oceny te, w stosunku do 2018 r., znacząco się poprawiły. 57,0% gospodarstw domowych z miast liczących 500 tys. lub więcej mieszkańców i 44,3% mieszkańców wsi oceniało swoją sytuację materialną jako dobrą lub raczej dobrą.</w:t>
            </w:r>
          </w:p>
        </w:tc>
      </w:tr>
      <w:tr w:rsidR="008035B3" w:rsidRPr="006602F8" w14:paraId="22B1F9C8" w14:textId="77777777" w:rsidTr="004D2D78">
        <w:trPr>
          <w:trHeight w:val="79"/>
        </w:trPr>
        <w:tc>
          <w:tcPr>
            <w:tcW w:w="14741" w:type="dxa"/>
            <w:gridSpan w:val="9"/>
            <w:shd w:val="clear" w:color="auto" w:fill="9CC2E5" w:themeFill="accent1" w:themeFillTint="99"/>
          </w:tcPr>
          <w:p w14:paraId="1141C1BC" w14:textId="77777777" w:rsidR="008035B3" w:rsidRPr="006602F8" w:rsidRDefault="008035B3" w:rsidP="004D2D78">
            <w:pPr>
              <w:spacing w:after="0" w:line="240" w:lineRule="auto"/>
              <w:jc w:val="center"/>
              <w:rPr>
                <w:rFonts w:ascii="Times New Roman" w:hAnsi="Times New Roman" w:cs="Times New Roman"/>
                <w:b/>
                <w:bCs/>
              </w:rPr>
            </w:pPr>
            <w:r w:rsidRPr="006602F8">
              <w:rPr>
                <w:rFonts w:ascii="Times New Roman" w:hAnsi="Times New Roman" w:cs="Times New Roman"/>
                <w:b/>
                <w:bCs/>
              </w:rPr>
              <w:lastRenderedPageBreak/>
              <w:t>USŁUGI SPOŁECZNE DLA OSÓB STARSZYCH / INFRASTRUKTURA POMOCY SPOLECZNEJ – DANE ZA 2019 R.</w:t>
            </w:r>
          </w:p>
        </w:tc>
      </w:tr>
      <w:tr w:rsidR="008035B3" w:rsidRPr="006602F8" w14:paraId="5EDD8D6C" w14:textId="77777777" w:rsidTr="004D2D78">
        <w:trPr>
          <w:trHeight w:val="79"/>
        </w:trPr>
        <w:tc>
          <w:tcPr>
            <w:tcW w:w="2830" w:type="dxa"/>
            <w:vMerge w:val="restart"/>
            <w:shd w:val="clear" w:color="auto" w:fill="9CC2E5" w:themeFill="accent1" w:themeFillTint="99"/>
          </w:tcPr>
          <w:p w14:paraId="20C825C8" w14:textId="77777777" w:rsidR="008035B3" w:rsidRPr="006602F8" w:rsidRDefault="008035B3" w:rsidP="004D2D78">
            <w:pPr>
              <w:spacing w:after="0" w:line="240" w:lineRule="auto"/>
              <w:rPr>
                <w:rFonts w:ascii="Times New Roman" w:eastAsia="Times New Roman" w:hAnsi="Times New Roman" w:cs="Times New Roman"/>
                <w:b/>
                <w:bCs/>
                <w:lang w:eastAsia="pl-PL"/>
              </w:rPr>
            </w:pPr>
            <w:r w:rsidRPr="006602F8">
              <w:rPr>
                <w:rFonts w:ascii="Times New Roman" w:eastAsia="Times New Roman" w:hAnsi="Times New Roman" w:cs="Times New Roman"/>
                <w:b/>
                <w:bCs/>
                <w:lang w:eastAsia="pl-PL"/>
              </w:rPr>
              <w:t>Instytucje pomocy społecznej, w tym:</w:t>
            </w:r>
          </w:p>
        </w:tc>
        <w:tc>
          <w:tcPr>
            <w:tcW w:w="3066" w:type="dxa"/>
            <w:shd w:val="clear" w:color="auto" w:fill="9CC2E5" w:themeFill="accent1" w:themeFillTint="99"/>
          </w:tcPr>
          <w:p w14:paraId="395E1F02" w14:textId="77777777" w:rsidR="008035B3" w:rsidRPr="006602F8" w:rsidRDefault="008035B3" w:rsidP="004D2D78">
            <w:pPr>
              <w:spacing w:after="0" w:line="240" w:lineRule="auto"/>
              <w:jc w:val="center"/>
              <w:rPr>
                <w:rFonts w:ascii="Times New Roman" w:hAnsi="Times New Roman" w:cs="Times New Roman"/>
                <w:b/>
                <w:bCs/>
              </w:rPr>
            </w:pPr>
            <w:r w:rsidRPr="006602F8">
              <w:rPr>
                <w:rFonts w:ascii="Times New Roman" w:hAnsi="Times New Roman" w:cs="Times New Roman"/>
                <w:b/>
              </w:rPr>
              <w:t>Rodzaj placówki</w:t>
            </w:r>
          </w:p>
        </w:tc>
        <w:tc>
          <w:tcPr>
            <w:tcW w:w="2948" w:type="dxa"/>
            <w:gridSpan w:val="3"/>
            <w:shd w:val="clear" w:color="auto" w:fill="9CC2E5" w:themeFill="accent1" w:themeFillTint="99"/>
          </w:tcPr>
          <w:p w14:paraId="6AD84FCA" w14:textId="77777777" w:rsidR="008035B3" w:rsidRPr="006602F8" w:rsidRDefault="008035B3" w:rsidP="004D2D78">
            <w:pPr>
              <w:spacing w:after="0" w:line="240" w:lineRule="auto"/>
              <w:jc w:val="center"/>
              <w:rPr>
                <w:rFonts w:ascii="Times New Roman" w:hAnsi="Times New Roman" w:cs="Times New Roman"/>
                <w:b/>
                <w:bCs/>
              </w:rPr>
            </w:pPr>
            <w:r w:rsidRPr="006602F8">
              <w:rPr>
                <w:rFonts w:ascii="Times New Roman" w:hAnsi="Times New Roman" w:cs="Times New Roman"/>
                <w:b/>
              </w:rPr>
              <w:t>Liczba placówek</w:t>
            </w:r>
          </w:p>
        </w:tc>
        <w:tc>
          <w:tcPr>
            <w:tcW w:w="2948" w:type="dxa"/>
            <w:gridSpan w:val="3"/>
            <w:shd w:val="clear" w:color="auto" w:fill="9CC2E5" w:themeFill="accent1" w:themeFillTint="99"/>
          </w:tcPr>
          <w:p w14:paraId="0779DDD7" w14:textId="77777777" w:rsidR="008035B3" w:rsidRPr="006602F8" w:rsidRDefault="008035B3" w:rsidP="004D2D78">
            <w:pPr>
              <w:spacing w:after="0" w:line="240" w:lineRule="auto"/>
              <w:jc w:val="center"/>
              <w:rPr>
                <w:rFonts w:ascii="Times New Roman" w:hAnsi="Times New Roman" w:cs="Times New Roman"/>
                <w:b/>
                <w:bCs/>
              </w:rPr>
            </w:pPr>
            <w:r w:rsidRPr="006602F8">
              <w:rPr>
                <w:rFonts w:ascii="Times New Roman" w:hAnsi="Times New Roman" w:cs="Times New Roman"/>
                <w:b/>
              </w:rPr>
              <w:t>Liczba miejsc dla osób starszych</w:t>
            </w:r>
          </w:p>
        </w:tc>
        <w:tc>
          <w:tcPr>
            <w:tcW w:w="2949" w:type="dxa"/>
            <w:shd w:val="clear" w:color="auto" w:fill="9CC2E5" w:themeFill="accent1" w:themeFillTint="99"/>
          </w:tcPr>
          <w:p w14:paraId="6940327B"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Liczba korzystających osób starszych</w:t>
            </w:r>
          </w:p>
        </w:tc>
      </w:tr>
      <w:tr w:rsidR="008035B3" w:rsidRPr="006602F8" w14:paraId="3E3D4E86" w14:textId="77777777" w:rsidTr="004D2D78">
        <w:trPr>
          <w:trHeight w:val="79"/>
        </w:trPr>
        <w:tc>
          <w:tcPr>
            <w:tcW w:w="2830" w:type="dxa"/>
            <w:vMerge/>
            <w:shd w:val="clear" w:color="auto" w:fill="9CC2E5" w:themeFill="accent1" w:themeFillTint="99"/>
          </w:tcPr>
          <w:p w14:paraId="748741EC"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03F8E4D6"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Ośrodki wsparcia ogółem</w:t>
            </w:r>
          </w:p>
        </w:tc>
        <w:tc>
          <w:tcPr>
            <w:tcW w:w="2948" w:type="dxa"/>
            <w:gridSpan w:val="3"/>
            <w:shd w:val="clear" w:color="auto" w:fill="FFFFFF" w:themeFill="background1"/>
          </w:tcPr>
          <w:p w14:paraId="7E6FA102"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427</w:t>
            </w:r>
          </w:p>
        </w:tc>
        <w:tc>
          <w:tcPr>
            <w:tcW w:w="2948" w:type="dxa"/>
            <w:gridSpan w:val="3"/>
            <w:shd w:val="clear" w:color="auto" w:fill="FFFFFF" w:themeFill="background1"/>
          </w:tcPr>
          <w:p w14:paraId="1B80BD9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15 346</w:t>
            </w:r>
          </w:p>
        </w:tc>
        <w:tc>
          <w:tcPr>
            <w:tcW w:w="2949" w:type="dxa"/>
            <w:shd w:val="clear" w:color="auto" w:fill="FFFFFF" w:themeFill="background1"/>
          </w:tcPr>
          <w:p w14:paraId="34F5369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15 057</w:t>
            </w:r>
          </w:p>
        </w:tc>
      </w:tr>
      <w:tr w:rsidR="008035B3" w:rsidRPr="006602F8" w14:paraId="78FE3D83" w14:textId="77777777" w:rsidTr="004D2D78">
        <w:trPr>
          <w:trHeight w:val="79"/>
        </w:trPr>
        <w:tc>
          <w:tcPr>
            <w:tcW w:w="2830" w:type="dxa"/>
            <w:vMerge/>
            <w:shd w:val="clear" w:color="auto" w:fill="9CC2E5" w:themeFill="accent1" w:themeFillTint="99"/>
          </w:tcPr>
          <w:p w14:paraId="50FA3F93"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11911" w:type="dxa"/>
            <w:gridSpan w:val="8"/>
            <w:shd w:val="clear" w:color="auto" w:fill="FFFFFF" w:themeFill="background1"/>
          </w:tcPr>
          <w:p w14:paraId="2B65BC86" w14:textId="77777777" w:rsidR="008035B3" w:rsidRPr="006602F8" w:rsidRDefault="008035B3" w:rsidP="004D2D78">
            <w:pPr>
              <w:spacing w:after="0" w:line="240" w:lineRule="auto"/>
              <w:rPr>
                <w:rFonts w:ascii="Times New Roman" w:hAnsi="Times New Roman" w:cs="Times New Roman"/>
                <w:b/>
              </w:rPr>
            </w:pPr>
            <w:r w:rsidRPr="006602F8">
              <w:rPr>
                <w:rFonts w:ascii="Times New Roman" w:hAnsi="Times New Roman" w:cs="Times New Roman"/>
              </w:rPr>
              <w:t>w tym:</w:t>
            </w:r>
          </w:p>
        </w:tc>
      </w:tr>
      <w:tr w:rsidR="008035B3" w:rsidRPr="006602F8" w14:paraId="37CB8427" w14:textId="77777777" w:rsidTr="004D2D78">
        <w:trPr>
          <w:trHeight w:val="79"/>
        </w:trPr>
        <w:tc>
          <w:tcPr>
            <w:tcW w:w="2830" w:type="dxa"/>
            <w:vMerge/>
            <w:shd w:val="clear" w:color="auto" w:fill="9CC2E5" w:themeFill="accent1" w:themeFillTint="99"/>
          </w:tcPr>
          <w:p w14:paraId="4C8ACCD1"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03E03C14"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Środowiskowe Domy Samopomocy</w:t>
            </w:r>
          </w:p>
        </w:tc>
        <w:tc>
          <w:tcPr>
            <w:tcW w:w="2948" w:type="dxa"/>
            <w:gridSpan w:val="3"/>
            <w:shd w:val="clear" w:color="auto" w:fill="FFFFFF" w:themeFill="background1"/>
          </w:tcPr>
          <w:p w14:paraId="4C6D900D"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42</w:t>
            </w:r>
          </w:p>
        </w:tc>
        <w:tc>
          <w:tcPr>
            <w:tcW w:w="2948" w:type="dxa"/>
            <w:gridSpan w:val="3"/>
            <w:shd w:val="clear" w:color="auto" w:fill="FFFFFF" w:themeFill="background1"/>
          </w:tcPr>
          <w:p w14:paraId="223C12D3"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1 485</w:t>
            </w:r>
          </w:p>
        </w:tc>
        <w:tc>
          <w:tcPr>
            <w:tcW w:w="2949" w:type="dxa"/>
            <w:shd w:val="clear" w:color="auto" w:fill="FFFFFF" w:themeFill="background1"/>
          </w:tcPr>
          <w:p w14:paraId="75AAE2CB"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281</w:t>
            </w:r>
          </w:p>
        </w:tc>
      </w:tr>
      <w:tr w:rsidR="008035B3" w:rsidRPr="006602F8" w14:paraId="753BCC3F" w14:textId="77777777" w:rsidTr="004D2D78">
        <w:trPr>
          <w:trHeight w:val="79"/>
        </w:trPr>
        <w:tc>
          <w:tcPr>
            <w:tcW w:w="2830" w:type="dxa"/>
            <w:vMerge/>
            <w:shd w:val="clear" w:color="auto" w:fill="9CC2E5" w:themeFill="accent1" w:themeFillTint="99"/>
          </w:tcPr>
          <w:p w14:paraId="15999021"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3F3B1229"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Dzienne Domy Pomocy</w:t>
            </w:r>
          </w:p>
        </w:tc>
        <w:tc>
          <w:tcPr>
            <w:tcW w:w="2948" w:type="dxa"/>
            <w:gridSpan w:val="3"/>
            <w:shd w:val="clear" w:color="auto" w:fill="FFFFFF" w:themeFill="background1"/>
          </w:tcPr>
          <w:p w14:paraId="5834965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36</w:t>
            </w:r>
          </w:p>
        </w:tc>
        <w:tc>
          <w:tcPr>
            <w:tcW w:w="2948" w:type="dxa"/>
            <w:gridSpan w:val="3"/>
            <w:shd w:val="clear" w:color="auto" w:fill="FFFFFF" w:themeFill="background1"/>
          </w:tcPr>
          <w:p w14:paraId="74798E6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1 387</w:t>
            </w:r>
          </w:p>
        </w:tc>
        <w:tc>
          <w:tcPr>
            <w:tcW w:w="2949" w:type="dxa"/>
            <w:shd w:val="clear" w:color="auto" w:fill="FFFFFF" w:themeFill="background1"/>
          </w:tcPr>
          <w:p w14:paraId="7659FC95"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2 507</w:t>
            </w:r>
          </w:p>
        </w:tc>
      </w:tr>
      <w:tr w:rsidR="008035B3" w:rsidRPr="006602F8" w14:paraId="0267F16E" w14:textId="77777777" w:rsidTr="004D2D78">
        <w:trPr>
          <w:trHeight w:val="79"/>
        </w:trPr>
        <w:tc>
          <w:tcPr>
            <w:tcW w:w="2830" w:type="dxa"/>
            <w:vMerge/>
            <w:shd w:val="clear" w:color="auto" w:fill="9CC2E5" w:themeFill="accent1" w:themeFillTint="99"/>
          </w:tcPr>
          <w:p w14:paraId="1217914A"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2D2D75DD"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Noclegownie, schroniska i domy dla osób bezdomnych</w:t>
            </w:r>
          </w:p>
        </w:tc>
        <w:tc>
          <w:tcPr>
            <w:tcW w:w="2948" w:type="dxa"/>
            <w:gridSpan w:val="3"/>
            <w:shd w:val="clear" w:color="auto" w:fill="FFFFFF" w:themeFill="background1"/>
            <w:vAlign w:val="center"/>
          </w:tcPr>
          <w:p w14:paraId="440F58A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35</w:t>
            </w:r>
          </w:p>
        </w:tc>
        <w:tc>
          <w:tcPr>
            <w:tcW w:w="2948" w:type="dxa"/>
            <w:gridSpan w:val="3"/>
            <w:shd w:val="clear" w:color="auto" w:fill="FFFFFF" w:themeFill="background1"/>
            <w:vAlign w:val="center"/>
          </w:tcPr>
          <w:p w14:paraId="1BC9EA4C"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1 781</w:t>
            </w:r>
          </w:p>
        </w:tc>
        <w:tc>
          <w:tcPr>
            <w:tcW w:w="2949" w:type="dxa"/>
            <w:shd w:val="clear" w:color="auto" w:fill="FFFFFF" w:themeFill="background1"/>
            <w:vAlign w:val="center"/>
          </w:tcPr>
          <w:p w14:paraId="2C2E2C5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w:t>
            </w:r>
          </w:p>
        </w:tc>
      </w:tr>
      <w:tr w:rsidR="008035B3" w:rsidRPr="006602F8" w14:paraId="13B6CDC6" w14:textId="77777777" w:rsidTr="004D2D78">
        <w:trPr>
          <w:trHeight w:val="79"/>
        </w:trPr>
        <w:tc>
          <w:tcPr>
            <w:tcW w:w="2830" w:type="dxa"/>
            <w:vMerge/>
            <w:shd w:val="clear" w:color="auto" w:fill="9CC2E5" w:themeFill="accent1" w:themeFillTint="99"/>
          </w:tcPr>
          <w:p w14:paraId="68A5CB0C"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3B6B6D25"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Ogrzewalnie</w:t>
            </w:r>
          </w:p>
        </w:tc>
        <w:tc>
          <w:tcPr>
            <w:tcW w:w="2948" w:type="dxa"/>
            <w:gridSpan w:val="3"/>
            <w:shd w:val="clear" w:color="auto" w:fill="FFFFFF" w:themeFill="background1"/>
          </w:tcPr>
          <w:p w14:paraId="2346F07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9</w:t>
            </w:r>
          </w:p>
        </w:tc>
        <w:tc>
          <w:tcPr>
            <w:tcW w:w="2948" w:type="dxa"/>
            <w:gridSpan w:val="3"/>
            <w:shd w:val="clear" w:color="auto" w:fill="FFFFFF" w:themeFill="background1"/>
          </w:tcPr>
          <w:p w14:paraId="7384F99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258</w:t>
            </w:r>
          </w:p>
        </w:tc>
        <w:tc>
          <w:tcPr>
            <w:tcW w:w="2949" w:type="dxa"/>
            <w:shd w:val="clear" w:color="auto" w:fill="FFFFFF" w:themeFill="background1"/>
          </w:tcPr>
          <w:p w14:paraId="4F693F86"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258</w:t>
            </w:r>
          </w:p>
        </w:tc>
      </w:tr>
      <w:tr w:rsidR="008035B3" w:rsidRPr="006602F8" w14:paraId="6EF50682" w14:textId="77777777" w:rsidTr="004D2D78">
        <w:trPr>
          <w:trHeight w:val="79"/>
        </w:trPr>
        <w:tc>
          <w:tcPr>
            <w:tcW w:w="2830" w:type="dxa"/>
            <w:vMerge/>
            <w:shd w:val="clear" w:color="auto" w:fill="9CC2E5" w:themeFill="accent1" w:themeFillTint="99"/>
          </w:tcPr>
          <w:p w14:paraId="6700F374"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2A8890C5"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Kluby Samopomocy</w:t>
            </w:r>
          </w:p>
        </w:tc>
        <w:tc>
          <w:tcPr>
            <w:tcW w:w="2948" w:type="dxa"/>
            <w:gridSpan w:val="3"/>
            <w:shd w:val="clear" w:color="auto" w:fill="FFFFFF" w:themeFill="background1"/>
          </w:tcPr>
          <w:p w14:paraId="5426910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15</w:t>
            </w:r>
          </w:p>
        </w:tc>
        <w:tc>
          <w:tcPr>
            <w:tcW w:w="2948" w:type="dxa"/>
            <w:gridSpan w:val="3"/>
            <w:shd w:val="clear" w:color="auto" w:fill="FFFFFF" w:themeFill="background1"/>
          </w:tcPr>
          <w:p w14:paraId="6697CED4"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374</w:t>
            </w:r>
          </w:p>
        </w:tc>
        <w:tc>
          <w:tcPr>
            <w:tcW w:w="2949" w:type="dxa"/>
            <w:shd w:val="clear" w:color="auto" w:fill="FFFFFF" w:themeFill="background1"/>
          </w:tcPr>
          <w:p w14:paraId="68E687C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335</w:t>
            </w:r>
          </w:p>
        </w:tc>
      </w:tr>
      <w:tr w:rsidR="008035B3" w:rsidRPr="006602F8" w14:paraId="4F26ECA7" w14:textId="77777777" w:rsidTr="004D2D78">
        <w:trPr>
          <w:trHeight w:val="79"/>
        </w:trPr>
        <w:tc>
          <w:tcPr>
            <w:tcW w:w="2830" w:type="dxa"/>
            <w:vMerge/>
            <w:shd w:val="clear" w:color="auto" w:fill="9CC2E5" w:themeFill="accent1" w:themeFillTint="99"/>
          </w:tcPr>
          <w:p w14:paraId="4907A229"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44E4DF54"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Placówki zapewniające całodobową opiekę osobom niepełnosprawnym, przewlekle chorym lub osobom w podeszłym wieku</w:t>
            </w:r>
          </w:p>
        </w:tc>
        <w:tc>
          <w:tcPr>
            <w:tcW w:w="2948" w:type="dxa"/>
            <w:gridSpan w:val="3"/>
            <w:shd w:val="clear" w:color="auto" w:fill="FFFFFF" w:themeFill="background1"/>
            <w:vAlign w:val="center"/>
          </w:tcPr>
          <w:p w14:paraId="1B586A97"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54</w:t>
            </w:r>
          </w:p>
        </w:tc>
        <w:tc>
          <w:tcPr>
            <w:tcW w:w="2948" w:type="dxa"/>
            <w:gridSpan w:val="3"/>
            <w:shd w:val="clear" w:color="auto" w:fill="FFFFFF" w:themeFill="background1"/>
            <w:vAlign w:val="center"/>
          </w:tcPr>
          <w:p w14:paraId="29FDEADD"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1 913</w:t>
            </w:r>
          </w:p>
        </w:tc>
        <w:tc>
          <w:tcPr>
            <w:tcW w:w="2949" w:type="dxa"/>
            <w:shd w:val="clear" w:color="auto" w:fill="FFFFFF" w:themeFill="background1"/>
            <w:vAlign w:val="center"/>
          </w:tcPr>
          <w:p w14:paraId="0D27E91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1 668</w:t>
            </w:r>
          </w:p>
        </w:tc>
      </w:tr>
      <w:tr w:rsidR="008035B3" w:rsidRPr="006602F8" w14:paraId="65813C7C" w14:textId="77777777" w:rsidTr="004D2D78">
        <w:trPr>
          <w:trHeight w:val="79"/>
        </w:trPr>
        <w:tc>
          <w:tcPr>
            <w:tcW w:w="2830" w:type="dxa"/>
            <w:vMerge/>
            <w:shd w:val="clear" w:color="auto" w:fill="9CC2E5" w:themeFill="accent1" w:themeFillTint="99"/>
          </w:tcPr>
          <w:p w14:paraId="2351AAD2"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0F130033"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Domy Pomocy Społecznej</w:t>
            </w:r>
          </w:p>
        </w:tc>
        <w:tc>
          <w:tcPr>
            <w:tcW w:w="2948" w:type="dxa"/>
            <w:gridSpan w:val="3"/>
            <w:shd w:val="clear" w:color="auto" w:fill="FFFFFF" w:themeFill="background1"/>
          </w:tcPr>
          <w:p w14:paraId="66FB6A0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46</w:t>
            </w:r>
          </w:p>
        </w:tc>
        <w:tc>
          <w:tcPr>
            <w:tcW w:w="2948" w:type="dxa"/>
            <w:gridSpan w:val="3"/>
            <w:shd w:val="clear" w:color="auto" w:fill="FFFFFF" w:themeFill="background1"/>
          </w:tcPr>
          <w:p w14:paraId="5620B0D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4 903</w:t>
            </w:r>
          </w:p>
        </w:tc>
        <w:tc>
          <w:tcPr>
            <w:tcW w:w="2949" w:type="dxa"/>
            <w:shd w:val="clear" w:color="auto" w:fill="FFFFFF" w:themeFill="background1"/>
          </w:tcPr>
          <w:p w14:paraId="3F2E124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3 604</w:t>
            </w:r>
          </w:p>
        </w:tc>
      </w:tr>
      <w:tr w:rsidR="008035B3" w:rsidRPr="006602F8" w14:paraId="7A41DC08" w14:textId="77777777" w:rsidTr="004D2D78">
        <w:trPr>
          <w:trHeight w:val="79"/>
        </w:trPr>
        <w:tc>
          <w:tcPr>
            <w:tcW w:w="2830" w:type="dxa"/>
            <w:vMerge/>
            <w:shd w:val="clear" w:color="auto" w:fill="9CC2E5" w:themeFill="accent1" w:themeFillTint="99"/>
          </w:tcPr>
          <w:p w14:paraId="29FA4E72"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02A02663"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Mieszkania chronione ogółem</w:t>
            </w:r>
          </w:p>
        </w:tc>
        <w:tc>
          <w:tcPr>
            <w:tcW w:w="2948" w:type="dxa"/>
            <w:gridSpan w:val="3"/>
            <w:shd w:val="clear" w:color="auto" w:fill="FFFFFF" w:themeFill="background1"/>
          </w:tcPr>
          <w:p w14:paraId="54ED559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71</w:t>
            </w:r>
          </w:p>
        </w:tc>
        <w:tc>
          <w:tcPr>
            <w:tcW w:w="2948" w:type="dxa"/>
            <w:gridSpan w:val="3"/>
            <w:shd w:val="clear" w:color="auto" w:fill="FFFFFF" w:themeFill="background1"/>
          </w:tcPr>
          <w:p w14:paraId="2FF87EF6"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218</w:t>
            </w:r>
          </w:p>
        </w:tc>
        <w:tc>
          <w:tcPr>
            <w:tcW w:w="2949" w:type="dxa"/>
            <w:shd w:val="clear" w:color="auto" w:fill="FFFFFF" w:themeFill="background1"/>
          </w:tcPr>
          <w:p w14:paraId="6B2B6155"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187</w:t>
            </w:r>
          </w:p>
        </w:tc>
      </w:tr>
      <w:tr w:rsidR="008035B3" w:rsidRPr="006602F8" w14:paraId="2C4AE38B" w14:textId="77777777" w:rsidTr="004D2D78">
        <w:trPr>
          <w:trHeight w:val="79"/>
        </w:trPr>
        <w:tc>
          <w:tcPr>
            <w:tcW w:w="2830" w:type="dxa"/>
            <w:vMerge/>
            <w:shd w:val="clear" w:color="auto" w:fill="9CC2E5" w:themeFill="accent1" w:themeFillTint="99"/>
          </w:tcPr>
          <w:p w14:paraId="4BA31D4F"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4BA84A06"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Ośrodki Interwencji Kryzysowej ogółem</w:t>
            </w:r>
          </w:p>
        </w:tc>
        <w:tc>
          <w:tcPr>
            <w:tcW w:w="2948" w:type="dxa"/>
            <w:gridSpan w:val="3"/>
            <w:shd w:val="clear" w:color="auto" w:fill="FFFFFF" w:themeFill="background1"/>
          </w:tcPr>
          <w:p w14:paraId="122C985B"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18</w:t>
            </w:r>
          </w:p>
        </w:tc>
        <w:tc>
          <w:tcPr>
            <w:tcW w:w="2948" w:type="dxa"/>
            <w:gridSpan w:val="3"/>
            <w:shd w:val="clear" w:color="auto" w:fill="FFFFFF" w:themeFill="background1"/>
          </w:tcPr>
          <w:p w14:paraId="53DD9C2C"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676</w:t>
            </w:r>
          </w:p>
        </w:tc>
        <w:tc>
          <w:tcPr>
            <w:tcW w:w="2949" w:type="dxa"/>
            <w:shd w:val="clear" w:color="auto" w:fill="FFFFFF" w:themeFill="background1"/>
          </w:tcPr>
          <w:p w14:paraId="77BD17E7"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2 598</w:t>
            </w:r>
          </w:p>
        </w:tc>
      </w:tr>
      <w:tr w:rsidR="008035B3" w:rsidRPr="006602F8" w14:paraId="5BB7A2B2" w14:textId="77777777" w:rsidTr="004D2D78">
        <w:trPr>
          <w:trHeight w:val="79"/>
        </w:trPr>
        <w:tc>
          <w:tcPr>
            <w:tcW w:w="2830" w:type="dxa"/>
            <w:vMerge/>
            <w:shd w:val="clear" w:color="auto" w:fill="9CC2E5" w:themeFill="accent1" w:themeFillTint="99"/>
          </w:tcPr>
          <w:p w14:paraId="50081141"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608AC892"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Jednostki specjalistycznego poradnictwa</w:t>
            </w:r>
          </w:p>
        </w:tc>
        <w:tc>
          <w:tcPr>
            <w:tcW w:w="2948" w:type="dxa"/>
            <w:gridSpan w:val="3"/>
            <w:shd w:val="clear" w:color="auto" w:fill="FFFFFF" w:themeFill="background1"/>
          </w:tcPr>
          <w:p w14:paraId="473D80B3"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25</w:t>
            </w:r>
          </w:p>
        </w:tc>
        <w:tc>
          <w:tcPr>
            <w:tcW w:w="2948" w:type="dxa"/>
            <w:gridSpan w:val="3"/>
            <w:shd w:val="clear" w:color="auto" w:fill="FFFFFF" w:themeFill="background1"/>
          </w:tcPr>
          <w:p w14:paraId="1D7F2FF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w:t>
            </w:r>
          </w:p>
        </w:tc>
        <w:tc>
          <w:tcPr>
            <w:tcW w:w="2949" w:type="dxa"/>
            <w:shd w:val="clear" w:color="auto" w:fill="FFFFFF" w:themeFill="background1"/>
          </w:tcPr>
          <w:p w14:paraId="335EED05"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w:t>
            </w:r>
          </w:p>
        </w:tc>
      </w:tr>
      <w:tr w:rsidR="008035B3" w:rsidRPr="006602F8" w14:paraId="6797FB6F" w14:textId="77777777" w:rsidTr="004D2D78">
        <w:trPr>
          <w:trHeight w:val="79"/>
        </w:trPr>
        <w:tc>
          <w:tcPr>
            <w:tcW w:w="2830" w:type="dxa"/>
            <w:vMerge/>
            <w:shd w:val="clear" w:color="auto" w:fill="9CC2E5" w:themeFill="accent1" w:themeFillTint="99"/>
          </w:tcPr>
          <w:p w14:paraId="5818CC91"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4A6CAD25"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Placówki Senior+, w tym:</w:t>
            </w:r>
          </w:p>
        </w:tc>
        <w:tc>
          <w:tcPr>
            <w:tcW w:w="8845" w:type="dxa"/>
            <w:gridSpan w:val="7"/>
            <w:shd w:val="clear" w:color="auto" w:fill="FFFFFF" w:themeFill="background1"/>
          </w:tcPr>
          <w:p w14:paraId="463B2F72" w14:textId="77777777" w:rsidR="008035B3" w:rsidRPr="006602F8" w:rsidRDefault="008035B3" w:rsidP="004D2D78">
            <w:pPr>
              <w:spacing w:after="0" w:line="240" w:lineRule="auto"/>
              <w:jc w:val="center"/>
              <w:rPr>
                <w:rFonts w:ascii="Times New Roman" w:hAnsi="Times New Roman" w:cs="Times New Roman"/>
              </w:rPr>
            </w:pPr>
          </w:p>
        </w:tc>
      </w:tr>
      <w:tr w:rsidR="008035B3" w:rsidRPr="006602F8" w14:paraId="02E4C28B" w14:textId="77777777" w:rsidTr="004D2D78">
        <w:trPr>
          <w:trHeight w:val="79"/>
        </w:trPr>
        <w:tc>
          <w:tcPr>
            <w:tcW w:w="2830" w:type="dxa"/>
            <w:vMerge/>
            <w:shd w:val="clear" w:color="auto" w:fill="9CC2E5" w:themeFill="accent1" w:themeFillTint="99"/>
          </w:tcPr>
          <w:p w14:paraId="4C95B50E"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264FAADC"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Domy Dziennego Pobytu</w:t>
            </w:r>
          </w:p>
        </w:tc>
        <w:tc>
          <w:tcPr>
            <w:tcW w:w="2948" w:type="dxa"/>
            <w:gridSpan w:val="3"/>
            <w:shd w:val="clear" w:color="auto" w:fill="FFFFFF" w:themeFill="background1"/>
          </w:tcPr>
          <w:p w14:paraId="595A8C6B"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24</w:t>
            </w:r>
          </w:p>
        </w:tc>
        <w:tc>
          <w:tcPr>
            <w:tcW w:w="2948" w:type="dxa"/>
            <w:gridSpan w:val="3"/>
            <w:shd w:val="clear" w:color="auto" w:fill="FFFFFF" w:themeFill="background1"/>
          </w:tcPr>
          <w:p w14:paraId="01C9BE3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741</w:t>
            </w:r>
          </w:p>
        </w:tc>
        <w:tc>
          <w:tcPr>
            <w:tcW w:w="2949" w:type="dxa"/>
            <w:shd w:val="clear" w:color="auto" w:fill="FFFFFF" w:themeFill="background1"/>
          </w:tcPr>
          <w:p w14:paraId="3391FEB2"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614</w:t>
            </w:r>
          </w:p>
        </w:tc>
      </w:tr>
      <w:tr w:rsidR="008035B3" w:rsidRPr="006602F8" w14:paraId="3AB766E7" w14:textId="77777777" w:rsidTr="004D2D78">
        <w:trPr>
          <w:trHeight w:val="85"/>
        </w:trPr>
        <w:tc>
          <w:tcPr>
            <w:tcW w:w="2830" w:type="dxa"/>
            <w:vMerge/>
            <w:shd w:val="clear" w:color="auto" w:fill="9CC2E5" w:themeFill="accent1" w:themeFillTint="99"/>
          </w:tcPr>
          <w:p w14:paraId="1D080ABE"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5890D000"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Kluby Senior+</w:t>
            </w:r>
          </w:p>
        </w:tc>
        <w:tc>
          <w:tcPr>
            <w:tcW w:w="2948" w:type="dxa"/>
            <w:gridSpan w:val="3"/>
            <w:shd w:val="clear" w:color="auto" w:fill="FFFFFF" w:themeFill="background1"/>
          </w:tcPr>
          <w:p w14:paraId="46886A97"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34</w:t>
            </w:r>
          </w:p>
        </w:tc>
        <w:tc>
          <w:tcPr>
            <w:tcW w:w="2948" w:type="dxa"/>
            <w:gridSpan w:val="3"/>
            <w:shd w:val="clear" w:color="auto" w:fill="FFFFFF" w:themeFill="background1"/>
          </w:tcPr>
          <w:p w14:paraId="7A6DED7B"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888</w:t>
            </w:r>
          </w:p>
        </w:tc>
        <w:tc>
          <w:tcPr>
            <w:tcW w:w="2949" w:type="dxa"/>
            <w:shd w:val="clear" w:color="auto" w:fill="FFFFFF" w:themeFill="background1"/>
          </w:tcPr>
          <w:p w14:paraId="663C8496"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400</w:t>
            </w:r>
          </w:p>
        </w:tc>
      </w:tr>
      <w:tr w:rsidR="008035B3" w:rsidRPr="006602F8" w14:paraId="4BB96791" w14:textId="77777777" w:rsidTr="004D2D78">
        <w:trPr>
          <w:trHeight w:val="79"/>
        </w:trPr>
        <w:tc>
          <w:tcPr>
            <w:tcW w:w="2830" w:type="dxa"/>
            <w:vMerge/>
            <w:shd w:val="clear" w:color="auto" w:fill="9CC2E5" w:themeFill="accent1" w:themeFillTint="99"/>
          </w:tcPr>
          <w:p w14:paraId="28F381CA"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066" w:type="dxa"/>
            <w:shd w:val="clear" w:color="auto" w:fill="FFFFFF" w:themeFill="background1"/>
          </w:tcPr>
          <w:p w14:paraId="20C6DC01"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Hospicja stacjonarne</w:t>
            </w:r>
          </w:p>
        </w:tc>
        <w:tc>
          <w:tcPr>
            <w:tcW w:w="2948" w:type="dxa"/>
            <w:gridSpan w:val="3"/>
            <w:shd w:val="clear" w:color="auto" w:fill="FFFFFF" w:themeFill="background1"/>
          </w:tcPr>
          <w:p w14:paraId="07F2DFF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9</w:t>
            </w:r>
          </w:p>
        </w:tc>
        <w:tc>
          <w:tcPr>
            <w:tcW w:w="2948" w:type="dxa"/>
            <w:gridSpan w:val="3"/>
            <w:shd w:val="clear" w:color="auto" w:fill="FFFFFF" w:themeFill="background1"/>
          </w:tcPr>
          <w:p w14:paraId="0B87CDA5"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188</w:t>
            </w:r>
          </w:p>
        </w:tc>
        <w:tc>
          <w:tcPr>
            <w:tcW w:w="2949" w:type="dxa"/>
            <w:shd w:val="clear" w:color="auto" w:fill="FFFFFF" w:themeFill="background1"/>
          </w:tcPr>
          <w:p w14:paraId="73E8F985"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1 762</w:t>
            </w:r>
          </w:p>
        </w:tc>
      </w:tr>
      <w:tr w:rsidR="008035B3" w:rsidRPr="006602F8" w14:paraId="52ABB773" w14:textId="77777777" w:rsidTr="004D2D78">
        <w:trPr>
          <w:trHeight w:val="119"/>
        </w:trPr>
        <w:tc>
          <w:tcPr>
            <w:tcW w:w="2830" w:type="dxa"/>
            <w:vMerge w:val="restart"/>
            <w:shd w:val="clear" w:color="auto" w:fill="9CC2E5" w:themeFill="accent1" w:themeFillTint="99"/>
          </w:tcPr>
          <w:p w14:paraId="22C6F015" w14:textId="77777777" w:rsidR="008035B3" w:rsidRPr="006602F8" w:rsidRDefault="008035B3" w:rsidP="004D2D78">
            <w:pPr>
              <w:spacing w:after="0" w:line="240" w:lineRule="auto"/>
              <w:rPr>
                <w:rFonts w:ascii="Times New Roman" w:eastAsia="Times New Roman" w:hAnsi="Times New Roman" w:cs="Times New Roman"/>
                <w:b/>
                <w:bCs/>
                <w:lang w:eastAsia="pl-PL"/>
              </w:rPr>
            </w:pPr>
            <w:r w:rsidRPr="006602F8">
              <w:rPr>
                <w:rFonts w:ascii="Times New Roman" w:eastAsia="Times New Roman" w:hAnsi="Times New Roman" w:cs="Times New Roman"/>
                <w:b/>
                <w:bCs/>
                <w:lang w:eastAsia="pl-PL"/>
              </w:rPr>
              <w:t>Usługi świadczone osobom starszym</w:t>
            </w:r>
          </w:p>
        </w:tc>
        <w:tc>
          <w:tcPr>
            <w:tcW w:w="3119" w:type="dxa"/>
            <w:gridSpan w:val="2"/>
            <w:shd w:val="clear" w:color="auto" w:fill="9CC2E5" w:themeFill="accent1" w:themeFillTint="99"/>
          </w:tcPr>
          <w:p w14:paraId="44F51744"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Rodzaj usług</w:t>
            </w:r>
          </w:p>
        </w:tc>
        <w:tc>
          <w:tcPr>
            <w:tcW w:w="3685" w:type="dxa"/>
            <w:gridSpan w:val="3"/>
            <w:shd w:val="clear" w:color="auto" w:fill="9CC2E5" w:themeFill="accent1" w:themeFillTint="99"/>
          </w:tcPr>
          <w:p w14:paraId="098A6A0B"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Liczba osób starszych objętych pomocą</w:t>
            </w:r>
          </w:p>
        </w:tc>
        <w:tc>
          <w:tcPr>
            <w:tcW w:w="5107" w:type="dxa"/>
            <w:gridSpan w:val="3"/>
            <w:shd w:val="clear" w:color="auto" w:fill="9CC2E5" w:themeFill="accent1" w:themeFillTint="99"/>
          </w:tcPr>
          <w:p w14:paraId="1E12CF69" w14:textId="77777777" w:rsidR="008035B3" w:rsidRPr="006602F8" w:rsidRDefault="008035B3" w:rsidP="004D2D78">
            <w:pPr>
              <w:spacing w:after="0" w:line="240" w:lineRule="auto"/>
              <w:jc w:val="center"/>
              <w:rPr>
                <w:rFonts w:ascii="Times New Roman" w:hAnsi="Times New Roman" w:cs="Times New Roman"/>
                <w:b/>
              </w:rPr>
            </w:pPr>
            <w:r w:rsidRPr="006602F8">
              <w:rPr>
                <w:rFonts w:ascii="Times New Roman" w:hAnsi="Times New Roman" w:cs="Times New Roman"/>
                <w:b/>
              </w:rPr>
              <w:t>Wysokość środków przeznaczonych na usługi</w:t>
            </w:r>
          </w:p>
        </w:tc>
      </w:tr>
      <w:tr w:rsidR="008035B3" w:rsidRPr="006602F8" w14:paraId="77CCEE31" w14:textId="77777777" w:rsidTr="004D2D78">
        <w:trPr>
          <w:trHeight w:val="118"/>
        </w:trPr>
        <w:tc>
          <w:tcPr>
            <w:tcW w:w="2830" w:type="dxa"/>
            <w:vMerge/>
            <w:shd w:val="clear" w:color="auto" w:fill="9CC2E5" w:themeFill="accent1" w:themeFillTint="99"/>
          </w:tcPr>
          <w:p w14:paraId="20A99B7C"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119" w:type="dxa"/>
            <w:gridSpan w:val="2"/>
            <w:shd w:val="clear" w:color="auto" w:fill="auto"/>
          </w:tcPr>
          <w:p w14:paraId="25BE9C52" w14:textId="0A791D02" w:rsidR="008035B3" w:rsidRPr="006602F8" w:rsidRDefault="00391F2A" w:rsidP="004D2D78">
            <w:pPr>
              <w:spacing w:after="0" w:line="240" w:lineRule="auto"/>
              <w:rPr>
                <w:rFonts w:ascii="Times New Roman" w:hAnsi="Times New Roman" w:cs="Times New Roman"/>
              </w:rPr>
            </w:pPr>
            <w:r>
              <w:rPr>
                <w:rFonts w:ascii="Times New Roman" w:hAnsi="Times New Roman" w:cs="Times New Roman"/>
              </w:rPr>
              <w:t>Usługi o</w:t>
            </w:r>
            <w:r w:rsidR="008035B3" w:rsidRPr="006602F8">
              <w:rPr>
                <w:rFonts w:ascii="Times New Roman" w:hAnsi="Times New Roman" w:cs="Times New Roman"/>
              </w:rPr>
              <w:t>piekuńcze ogółem</w:t>
            </w:r>
          </w:p>
        </w:tc>
        <w:tc>
          <w:tcPr>
            <w:tcW w:w="3685" w:type="dxa"/>
            <w:gridSpan w:val="3"/>
            <w:shd w:val="clear" w:color="auto" w:fill="auto"/>
          </w:tcPr>
          <w:p w14:paraId="1C7FB914"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10 540</w:t>
            </w:r>
          </w:p>
        </w:tc>
        <w:tc>
          <w:tcPr>
            <w:tcW w:w="5107" w:type="dxa"/>
            <w:gridSpan w:val="3"/>
            <w:shd w:val="clear" w:color="auto" w:fill="auto"/>
          </w:tcPr>
          <w:p w14:paraId="6AEBEC16"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57 547 569</w:t>
            </w:r>
          </w:p>
        </w:tc>
      </w:tr>
      <w:tr w:rsidR="008035B3" w:rsidRPr="006602F8" w14:paraId="7C5D9E16" w14:textId="77777777" w:rsidTr="004D2D78">
        <w:trPr>
          <w:trHeight w:val="118"/>
        </w:trPr>
        <w:tc>
          <w:tcPr>
            <w:tcW w:w="2830" w:type="dxa"/>
            <w:vMerge/>
            <w:shd w:val="clear" w:color="auto" w:fill="9CC2E5" w:themeFill="accent1" w:themeFillTint="99"/>
          </w:tcPr>
          <w:p w14:paraId="0BDAC4B7"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11911" w:type="dxa"/>
            <w:gridSpan w:val="8"/>
            <w:shd w:val="clear" w:color="auto" w:fill="9CC2E5" w:themeFill="accent1" w:themeFillTint="99"/>
          </w:tcPr>
          <w:p w14:paraId="62B95E25"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w tym:</w:t>
            </w:r>
          </w:p>
        </w:tc>
      </w:tr>
      <w:tr w:rsidR="008035B3" w:rsidRPr="006602F8" w14:paraId="24BEB062" w14:textId="77777777" w:rsidTr="004D2D78">
        <w:trPr>
          <w:trHeight w:val="118"/>
        </w:trPr>
        <w:tc>
          <w:tcPr>
            <w:tcW w:w="2830" w:type="dxa"/>
            <w:vMerge/>
            <w:shd w:val="clear" w:color="auto" w:fill="9CC2E5" w:themeFill="accent1" w:themeFillTint="99"/>
          </w:tcPr>
          <w:p w14:paraId="2E869A5E"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119" w:type="dxa"/>
            <w:gridSpan w:val="2"/>
            <w:shd w:val="clear" w:color="auto" w:fill="auto"/>
          </w:tcPr>
          <w:p w14:paraId="7CDCE308" w14:textId="0E29C922" w:rsidR="008035B3" w:rsidRPr="006602F8" w:rsidRDefault="00391F2A" w:rsidP="004D2D78">
            <w:pPr>
              <w:spacing w:after="0" w:line="240" w:lineRule="auto"/>
              <w:rPr>
                <w:rFonts w:ascii="Times New Roman" w:hAnsi="Times New Roman" w:cs="Times New Roman"/>
              </w:rPr>
            </w:pPr>
            <w:r>
              <w:rPr>
                <w:rFonts w:ascii="Times New Roman" w:hAnsi="Times New Roman" w:cs="Times New Roman"/>
              </w:rPr>
              <w:t>s</w:t>
            </w:r>
            <w:r w:rsidR="008035B3" w:rsidRPr="006602F8">
              <w:rPr>
                <w:rFonts w:ascii="Times New Roman" w:hAnsi="Times New Roman" w:cs="Times New Roman"/>
              </w:rPr>
              <w:t>pecjalistyczne</w:t>
            </w:r>
            <w:r>
              <w:rPr>
                <w:rFonts w:ascii="Times New Roman" w:hAnsi="Times New Roman" w:cs="Times New Roman"/>
              </w:rPr>
              <w:t xml:space="preserve"> usługi</w:t>
            </w:r>
            <w:r w:rsidR="008035B3" w:rsidRPr="006602F8">
              <w:rPr>
                <w:rFonts w:ascii="Times New Roman" w:hAnsi="Times New Roman" w:cs="Times New Roman"/>
              </w:rPr>
              <w:t xml:space="preserve"> opiekuńcze</w:t>
            </w:r>
          </w:p>
        </w:tc>
        <w:tc>
          <w:tcPr>
            <w:tcW w:w="3685" w:type="dxa"/>
            <w:gridSpan w:val="3"/>
            <w:shd w:val="clear" w:color="auto" w:fill="auto"/>
          </w:tcPr>
          <w:p w14:paraId="40FEB6C6"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317</w:t>
            </w:r>
          </w:p>
        </w:tc>
        <w:tc>
          <w:tcPr>
            <w:tcW w:w="5107" w:type="dxa"/>
            <w:gridSpan w:val="3"/>
            <w:shd w:val="clear" w:color="auto" w:fill="auto"/>
          </w:tcPr>
          <w:p w14:paraId="06B68FF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1 455 197</w:t>
            </w:r>
          </w:p>
        </w:tc>
      </w:tr>
      <w:tr w:rsidR="008035B3" w:rsidRPr="006602F8" w14:paraId="5CAECD94" w14:textId="77777777" w:rsidTr="004D2D78">
        <w:trPr>
          <w:trHeight w:val="284"/>
        </w:trPr>
        <w:tc>
          <w:tcPr>
            <w:tcW w:w="2830" w:type="dxa"/>
            <w:vMerge/>
            <w:shd w:val="clear" w:color="auto" w:fill="9CC2E5" w:themeFill="accent1" w:themeFillTint="99"/>
          </w:tcPr>
          <w:p w14:paraId="4281606A"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119" w:type="dxa"/>
            <w:gridSpan w:val="2"/>
            <w:shd w:val="clear" w:color="auto" w:fill="FFFFFF" w:themeFill="background1"/>
          </w:tcPr>
          <w:p w14:paraId="785CA0EA" w14:textId="11D31DFA" w:rsidR="008035B3" w:rsidRPr="006602F8" w:rsidRDefault="00391F2A" w:rsidP="004D2D78">
            <w:pPr>
              <w:spacing w:after="0" w:line="240" w:lineRule="auto"/>
              <w:rPr>
                <w:rFonts w:ascii="Times New Roman" w:hAnsi="Times New Roman" w:cs="Times New Roman"/>
              </w:rPr>
            </w:pPr>
            <w:r>
              <w:rPr>
                <w:rFonts w:ascii="Times New Roman" w:hAnsi="Times New Roman" w:cs="Times New Roman"/>
              </w:rPr>
              <w:t>s</w:t>
            </w:r>
            <w:r w:rsidR="008035B3" w:rsidRPr="006602F8">
              <w:rPr>
                <w:rFonts w:ascii="Times New Roman" w:hAnsi="Times New Roman" w:cs="Times New Roman"/>
              </w:rPr>
              <w:t xml:space="preserve">pecjalistyczne usługi </w:t>
            </w:r>
            <w:r>
              <w:rPr>
                <w:rFonts w:ascii="Times New Roman" w:hAnsi="Times New Roman" w:cs="Times New Roman"/>
              </w:rPr>
              <w:t xml:space="preserve">opiekuńcze w miejscu zamieszkania </w:t>
            </w:r>
            <w:r w:rsidR="008035B3" w:rsidRPr="006602F8">
              <w:rPr>
                <w:rFonts w:ascii="Times New Roman" w:hAnsi="Times New Roman" w:cs="Times New Roman"/>
              </w:rPr>
              <w:t>dla osób z zaburzeniami psychicznymi</w:t>
            </w:r>
          </w:p>
        </w:tc>
        <w:tc>
          <w:tcPr>
            <w:tcW w:w="3685" w:type="dxa"/>
            <w:gridSpan w:val="3"/>
            <w:shd w:val="clear" w:color="auto" w:fill="FFFFFF" w:themeFill="background1"/>
          </w:tcPr>
          <w:p w14:paraId="14962C1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230</w:t>
            </w:r>
          </w:p>
        </w:tc>
        <w:tc>
          <w:tcPr>
            <w:tcW w:w="5107" w:type="dxa"/>
            <w:gridSpan w:val="3"/>
            <w:shd w:val="clear" w:color="auto" w:fill="FFFFFF" w:themeFill="background1"/>
          </w:tcPr>
          <w:p w14:paraId="60273F28"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3 530 264</w:t>
            </w:r>
          </w:p>
        </w:tc>
      </w:tr>
      <w:tr w:rsidR="008035B3" w:rsidRPr="006602F8" w14:paraId="2F5F9217" w14:textId="77777777" w:rsidTr="004D2D78">
        <w:trPr>
          <w:trHeight w:val="194"/>
        </w:trPr>
        <w:tc>
          <w:tcPr>
            <w:tcW w:w="2830" w:type="dxa"/>
            <w:vMerge w:val="restart"/>
            <w:shd w:val="clear" w:color="auto" w:fill="9CC2E5" w:themeFill="accent1" w:themeFillTint="99"/>
          </w:tcPr>
          <w:p w14:paraId="39117DC2" w14:textId="77777777" w:rsidR="008035B3" w:rsidRPr="006602F8" w:rsidRDefault="008035B3" w:rsidP="004D2D78">
            <w:pPr>
              <w:spacing w:after="0" w:line="240" w:lineRule="auto"/>
              <w:rPr>
                <w:rFonts w:ascii="Times New Roman" w:eastAsia="Times New Roman" w:hAnsi="Times New Roman" w:cs="Times New Roman"/>
                <w:b/>
                <w:bCs/>
                <w:lang w:eastAsia="pl-PL"/>
              </w:rPr>
            </w:pPr>
            <w:r w:rsidRPr="006602F8">
              <w:rPr>
                <w:rFonts w:ascii="Times New Roman" w:eastAsia="Times New Roman" w:hAnsi="Times New Roman" w:cs="Times New Roman"/>
                <w:b/>
                <w:bCs/>
                <w:lang w:eastAsia="pl-PL"/>
              </w:rPr>
              <w:t>Świadczenia pieniężne przyznane osobom starszym</w:t>
            </w:r>
          </w:p>
        </w:tc>
        <w:tc>
          <w:tcPr>
            <w:tcW w:w="3119" w:type="dxa"/>
            <w:gridSpan w:val="2"/>
            <w:shd w:val="clear" w:color="auto" w:fill="9CC2E5" w:themeFill="accent1" w:themeFillTint="99"/>
          </w:tcPr>
          <w:p w14:paraId="6F1250E4" w14:textId="77777777" w:rsidR="008035B3" w:rsidRPr="006602F8" w:rsidRDefault="008035B3" w:rsidP="004D2D78">
            <w:pPr>
              <w:spacing w:after="0" w:line="240" w:lineRule="auto"/>
              <w:rPr>
                <w:rFonts w:ascii="Times New Roman" w:hAnsi="Times New Roman" w:cs="Times New Roman"/>
                <w:b/>
              </w:rPr>
            </w:pPr>
            <w:r w:rsidRPr="006602F8">
              <w:rPr>
                <w:rFonts w:ascii="Times New Roman" w:hAnsi="Times New Roman" w:cs="Times New Roman"/>
                <w:b/>
              </w:rPr>
              <w:t>Nazwa świadczenia</w:t>
            </w:r>
          </w:p>
        </w:tc>
        <w:tc>
          <w:tcPr>
            <w:tcW w:w="3685" w:type="dxa"/>
            <w:gridSpan w:val="3"/>
            <w:shd w:val="clear" w:color="auto" w:fill="9CC2E5" w:themeFill="accent1" w:themeFillTint="99"/>
          </w:tcPr>
          <w:p w14:paraId="2CB63DBB" w14:textId="77777777" w:rsidR="008035B3" w:rsidRPr="006602F8" w:rsidRDefault="008035B3" w:rsidP="004D2D78">
            <w:pPr>
              <w:spacing w:after="0" w:line="240" w:lineRule="auto"/>
              <w:rPr>
                <w:rFonts w:ascii="Times New Roman" w:hAnsi="Times New Roman" w:cs="Times New Roman"/>
                <w:b/>
              </w:rPr>
            </w:pPr>
            <w:r w:rsidRPr="006602F8">
              <w:rPr>
                <w:rFonts w:ascii="Times New Roman" w:hAnsi="Times New Roman" w:cs="Times New Roman"/>
                <w:b/>
              </w:rPr>
              <w:t>Liczba osób starszych</w:t>
            </w:r>
          </w:p>
        </w:tc>
        <w:tc>
          <w:tcPr>
            <w:tcW w:w="5107" w:type="dxa"/>
            <w:gridSpan w:val="3"/>
            <w:shd w:val="clear" w:color="auto" w:fill="9CC2E5" w:themeFill="accent1" w:themeFillTint="99"/>
          </w:tcPr>
          <w:p w14:paraId="666AEEFF" w14:textId="77777777" w:rsidR="008035B3" w:rsidRPr="006602F8" w:rsidRDefault="008035B3" w:rsidP="004D2D78">
            <w:pPr>
              <w:spacing w:after="0" w:line="240" w:lineRule="auto"/>
              <w:rPr>
                <w:rFonts w:ascii="Times New Roman" w:hAnsi="Times New Roman" w:cs="Times New Roman"/>
                <w:b/>
              </w:rPr>
            </w:pPr>
            <w:r w:rsidRPr="006602F8">
              <w:rPr>
                <w:rFonts w:ascii="Times New Roman" w:hAnsi="Times New Roman" w:cs="Times New Roman"/>
                <w:b/>
              </w:rPr>
              <w:t>Kwota świadczenia</w:t>
            </w:r>
          </w:p>
        </w:tc>
      </w:tr>
      <w:tr w:rsidR="008035B3" w:rsidRPr="006602F8" w14:paraId="181CCAA3" w14:textId="77777777" w:rsidTr="004D2D78">
        <w:trPr>
          <w:trHeight w:val="190"/>
        </w:trPr>
        <w:tc>
          <w:tcPr>
            <w:tcW w:w="2830" w:type="dxa"/>
            <w:vMerge/>
            <w:shd w:val="clear" w:color="auto" w:fill="9CC2E5" w:themeFill="accent1" w:themeFillTint="99"/>
          </w:tcPr>
          <w:p w14:paraId="007453F3"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119" w:type="dxa"/>
            <w:gridSpan w:val="2"/>
            <w:shd w:val="clear" w:color="auto" w:fill="FFFFFF" w:themeFill="background1"/>
          </w:tcPr>
          <w:p w14:paraId="09C551B8"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Zasiłek stały</w:t>
            </w:r>
          </w:p>
        </w:tc>
        <w:tc>
          <w:tcPr>
            <w:tcW w:w="3685" w:type="dxa"/>
            <w:gridSpan w:val="3"/>
            <w:shd w:val="clear" w:color="auto" w:fill="FFFFFF" w:themeFill="background1"/>
          </w:tcPr>
          <w:p w14:paraId="71DCBB69"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14 875</w:t>
            </w:r>
          </w:p>
        </w:tc>
        <w:tc>
          <w:tcPr>
            <w:tcW w:w="5107" w:type="dxa"/>
            <w:gridSpan w:val="3"/>
            <w:shd w:val="clear" w:color="auto" w:fill="FFFFFF" w:themeFill="background1"/>
          </w:tcPr>
          <w:p w14:paraId="3C0E9FFF"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77 861 163</w:t>
            </w:r>
          </w:p>
        </w:tc>
      </w:tr>
      <w:tr w:rsidR="008035B3" w:rsidRPr="006602F8" w14:paraId="33227DFE" w14:textId="77777777" w:rsidTr="004D2D78">
        <w:trPr>
          <w:trHeight w:val="190"/>
        </w:trPr>
        <w:tc>
          <w:tcPr>
            <w:tcW w:w="2830" w:type="dxa"/>
            <w:vMerge/>
            <w:shd w:val="clear" w:color="auto" w:fill="9CC2E5" w:themeFill="accent1" w:themeFillTint="99"/>
          </w:tcPr>
          <w:p w14:paraId="23969041"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119" w:type="dxa"/>
            <w:gridSpan w:val="2"/>
            <w:shd w:val="clear" w:color="auto" w:fill="FFFFFF" w:themeFill="background1"/>
          </w:tcPr>
          <w:p w14:paraId="6228DA90"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Zasiłek okresowy</w:t>
            </w:r>
          </w:p>
        </w:tc>
        <w:tc>
          <w:tcPr>
            <w:tcW w:w="3685" w:type="dxa"/>
            <w:gridSpan w:val="3"/>
            <w:shd w:val="clear" w:color="auto" w:fill="FFFFFF" w:themeFill="background1"/>
          </w:tcPr>
          <w:p w14:paraId="5455B50E"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18 857</w:t>
            </w:r>
          </w:p>
        </w:tc>
        <w:tc>
          <w:tcPr>
            <w:tcW w:w="5107" w:type="dxa"/>
            <w:gridSpan w:val="3"/>
            <w:shd w:val="clear" w:color="auto" w:fill="FFFFFF" w:themeFill="background1"/>
          </w:tcPr>
          <w:p w14:paraId="770FC5C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36 317 078</w:t>
            </w:r>
          </w:p>
        </w:tc>
      </w:tr>
      <w:tr w:rsidR="008035B3" w:rsidRPr="006602F8" w14:paraId="51F7CF26" w14:textId="77777777" w:rsidTr="004D2D78">
        <w:trPr>
          <w:trHeight w:val="190"/>
        </w:trPr>
        <w:tc>
          <w:tcPr>
            <w:tcW w:w="2830" w:type="dxa"/>
            <w:vMerge/>
            <w:shd w:val="clear" w:color="auto" w:fill="9CC2E5" w:themeFill="accent1" w:themeFillTint="99"/>
          </w:tcPr>
          <w:p w14:paraId="4D483CEF"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119" w:type="dxa"/>
            <w:gridSpan w:val="2"/>
            <w:shd w:val="clear" w:color="auto" w:fill="FFFFFF" w:themeFill="background1"/>
          </w:tcPr>
          <w:p w14:paraId="6756777C"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Zasiłek celowy</w:t>
            </w:r>
          </w:p>
        </w:tc>
        <w:tc>
          <w:tcPr>
            <w:tcW w:w="3685" w:type="dxa"/>
            <w:gridSpan w:val="3"/>
            <w:shd w:val="clear" w:color="auto" w:fill="FFFFFF" w:themeFill="background1"/>
          </w:tcPr>
          <w:p w14:paraId="7B32C80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27 232</w:t>
            </w:r>
          </w:p>
        </w:tc>
        <w:tc>
          <w:tcPr>
            <w:tcW w:w="5107" w:type="dxa"/>
            <w:gridSpan w:val="3"/>
            <w:shd w:val="clear" w:color="auto" w:fill="FFFFFF" w:themeFill="background1"/>
          </w:tcPr>
          <w:p w14:paraId="662FC725"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30 354 842</w:t>
            </w:r>
          </w:p>
        </w:tc>
      </w:tr>
      <w:tr w:rsidR="008035B3" w:rsidRPr="006602F8" w14:paraId="42A2B531" w14:textId="77777777" w:rsidTr="004D2D78">
        <w:trPr>
          <w:trHeight w:val="190"/>
        </w:trPr>
        <w:tc>
          <w:tcPr>
            <w:tcW w:w="2830" w:type="dxa"/>
            <w:vMerge/>
            <w:shd w:val="clear" w:color="auto" w:fill="9CC2E5" w:themeFill="accent1" w:themeFillTint="99"/>
          </w:tcPr>
          <w:p w14:paraId="2AD2D68C" w14:textId="77777777" w:rsidR="008035B3" w:rsidRPr="006602F8" w:rsidRDefault="008035B3" w:rsidP="004D2D78">
            <w:pPr>
              <w:spacing w:after="0" w:line="240" w:lineRule="auto"/>
              <w:rPr>
                <w:rFonts w:ascii="Times New Roman" w:eastAsia="Times New Roman" w:hAnsi="Times New Roman" w:cs="Times New Roman"/>
                <w:b/>
                <w:bCs/>
                <w:lang w:eastAsia="pl-PL"/>
              </w:rPr>
            </w:pPr>
          </w:p>
        </w:tc>
        <w:tc>
          <w:tcPr>
            <w:tcW w:w="3119" w:type="dxa"/>
            <w:gridSpan w:val="2"/>
            <w:shd w:val="clear" w:color="auto" w:fill="FFFFFF" w:themeFill="background1"/>
          </w:tcPr>
          <w:p w14:paraId="757D885B"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Specjalny zasiłek celowy</w:t>
            </w:r>
          </w:p>
        </w:tc>
        <w:tc>
          <w:tcPr>
            <w:tcW w:w="3685" w:type="dxa"/>
            <w:gridSpan w:val="3"/>
            <w:shd w:val="clear" w:color="auto" w:fill="FFFFFF" w:themeFill="background1"/>
          </w:tcPr>
          <w:p w14:paraId="6BE5008B"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8 462</w:t>
            </w:r>
          </w:p>
        </w:tc>
        <w:tc>
          <w:tcPr>
            <w:tcW w:w="5107" w:type="dxa"/>
            <w:gridSpan w:val="3"/>
            <w:shd w:val="clear" w:color="auto" w:fill="FFFFFF" w:themeFill="background1"/>
          </w:tcPr>
          <w:p w14:paraId="4B52CD81" w14:textId="77777777" w:rsidR="008035B3" w:rsidRPr="006602F8" w:rsidRDefault="008035B3" w:rsidP="004D2D78">
            <w:pPr>
              <w:spacing w:after="0" w:line="240" w:lineRule="auto"/>
              <w:jc w:val="center"/>
              <w:rPr>
                <w:rFonts w:ascii="Times New Roman" w:hAnsi="Times New Roman" w:cs="Times New Roman"/>
              </w:rPr>
            </w:pPr>
            <w:r w:rsidRPr="006602F8">
              <w:rPr>
                <w:rFonts w:ascii="Times New Roman" w:hAnsi="Times New Roman" w:cs="Times New Roman"/>
              </w:rPr>
              <w:t>5 237 187</w:t>
            </w:r>
          </w:p>
        </w:tc>
      </w:tr>
      <w:tr w:rsidR="008035B3" w:rsidRPr="006602F8" w14:paraId="316386B1" w14:textId="77777777" w:rsidTr="004D2D78">
        <w:trPr>
          <w:trHeight w:val="444"/>
        </w:trPr>
        <w:tc>
          <w:tcPr>
            <w:tcW w:w="2830" w:type="dxa"/>
            <w:vMerge w:val="restart"/>
            <w:shd w:val="clear" w:color="auto" w:fill="9CC2E5" w:themeFill="accent1" w:themeFillTint="99"/>
          </w:tcPr>
          <w:p w14:paraId="770DDEC8" w14:textId="77777777" w:rsidR="008035B3" w:rsidRPr="006602F8" w:rsidRDefault="008035B3" w:rsidP="004D2D78">
            <w:pPr>
              <w:spacing w:after="0" w:line="240" w:lineRule="auto"/>
              <w:rPr>
                <w:rFonts w:ascii="Times New Roman" w:hAnsi="Times New Roman" w:cs="Times New Roman"/>
                <w:bCs/>
                <w:lang w:eastAsia="pl-PL"/>
              </w:rPr>
            </w:pPr>
            <w:r w:rsidRPr="006602F8">
              <w:rPr>
                <w:rFonts w:ascii="Times New Roman" w:hAnsi="Times New Roman" w:cs="Times New Roman"/>
                <w:b/>
                <w:bCs/>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6A289185"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1.</w:t>
            </w:r>
            <w:r w:rsidRPr="006602F8">
              <w:rPr>
                <w:rFonts w:ascii="Times New Roman" w:hAnsi="Times New Roman" w:cs="Times New Roman"/>
              </w:rPr>
              <w:t xml:space="preserve"> Niewystarczające środki finansowe </w:t>
            </w:r>
          </w:p>
        </w:tc>
      </w:tr>
      <w:tr w:rsidR="008035B3" w:rsidRPr="006602F8" w14:paraId="745F14D3" w14:textId="77777777" w:rsidTr="004D2D78">
        <w:trPr>
          <w:trHeight w:val="442"/>
        </w:trPr>
        <w:tc>
          <w:tcPr>
            <w:tcW w:w="2830" w:type="dxa"/>
            <w:vMerge/>
            <w:shd w:val="clear" w:color="auto" w:fill="9CC2E5" w:themeFill="accent1" w:themeFillTint="99"/>
          </w:tcPr>
          <w:p w14:paraId="5232F2F1" w14:textId="77777777" w:rsidR="008035B3" w:rsidRPr="006602F8" w:rsidRDefault="008035B3" w:rsidP="004D2D78">
            <w:pPr>
              <w:spacing w:after="0" w:line="240" w:lineRule="auto"/>
              <w:rPr>
                <w:rFonts w:ascii="Times New Roman" w:hAnsi="Times New Roman" w:cs="Times New Roman"/>
                <w:b/>
                <w:bCs/>
                <w:lang w:eastAsia="pl-PL"/>
              </w:rPr>
            </w:pPr>
          </w:p>
        </w:tc>
        <w:tc>
          <w:tcPr>
            <w:tcW w:w="11911" w:type="dxa"/>
            <w:gridSpan w:val="8"/>
            <w:shd w:val="clear" w:color="auto" w:fill="FFFFFF" w:themeFill="background1"/>
          </w:tcPr>
          <w:p w14:paraId="079EDBB3"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2.</w:t>
            </w:r>
            <w:r w:rsidRPr="006602F8">
              <w:rPr>
                <w:rFonts w:ascii="Times New Roman" w:hAnsi="Times New Roman" w:cs="Times New Roman"/>
              </w:rPr>
              <w:t xml:space="preserve"> Niewystarczające zasoby kadrowe</w:t>
            </w:r>
          </w:p>
        </w:tc>
      </w:tr>
      <w:tr w:rsidR="008035B3" w:rsidRPr="006602F8" w14:paraId="0C7C7D3E" w14:textId="77777777" w:rsidTr="004D2D78">
        <w:trPr>
          <w:trHeight w:val="442"/>
        </w:trPr>
        <w:tc>
          <w:tcPr>
            <w:tcW w:w="2830" w:type="dxa"/>
            <w:vMerge/>
            <w:shd w:val="clear" w:color="auto" w:fill="9CC2E5" w:themeFill="accent1" w:themeFillTint="99"/>
          </w:tcPr>
          <w:p w14:paraId="7EAEE8B2" w14:textId="77777777" w:rsidR="008035B3" w:rsidRPr="006602F8" w:rsidRDefault="008035B3" w:rsidP="004D2D78">
            <w:pPr>
              <w:spacing w:after="0" w:line="240" w:lineRule="auto"/>
              <w:rPr>
                <w:rFonts w:ascii="Times New Roman" w:hAnsi="Times New Roman" w:cs="Times New Roman"/>
                <w:b/>
                <w:bCs/>
                <w:lang w:eastAsia="pl-PL"/>
              </w:rPr>
            </w:pPr>
          </w:p>
        </w:tc>
        <w:tc>
          <w:tcPr>
            <w:tcW w:w="11911" w:type="dxa"/>
            <w:gridSpan w:val="8"/>
            <w:shd w:val="clear" w:color="auto" w:fill="FFFFFF" w:themeFill="background1"/>
          </w:tcPr>
          <w:p w14:paraId="1721F339" w14:textId="77777777" w:rsidR="008035B3" w:rsidRPr="006602F8" w:rsidRDefault="008035B3" w:rsidP="004D2D78">
            <w:pPr>
              <w:spacing w:after="0" w:line="240" w:lineRule="auto"/>
              <w:rPr>
                <w:rFonts w:ascii="Times New Roman" w:hAnsi="Times New Roman" w:cs="Times New Roman"/>
              </w:rPr>
            </w:pPr>
            <w:r w:rsidRPr="00925C0E">
              <w:rPr>
                <w:rFonts w:ascii="Times New Roman" w:hAnsi="Times New Roman" w:cs="Times New Roman"/>
                <w:b/>
              </w:rPr>
              <w:t>3.</w:t>
            </w:r>
            <w:r w:rsidRPr="006602F8">
              <w:rPr>
                <w:rFonts w:ascii="Times New Roman" w:hAnsi="Times New Roman" w:cs="Times New Roman"/>
              </w:rPr>
              <w:t xml:space="preserve"> Brak współdziałania osoby wymagającej opieki z pracownikiem socjalnym</w:t>
            </w:r>
          </w:p>
        </w:tc>
      </w:tr>
      <w:tr w:rsidR="008035B3" w:rsidRPr="006602F8" w14:paraId="5259C5F4" w14:textId="77777777" w:rsidTr="004D2D78">
        <w:trPr>
          <w:trHeight w:val="442"/>
        </w:trPr>
        <w:tc>
          <w:tcPr>
            <w:tcW w:w="2830" w:type="dxa"/>
            <w:shd w:val="clear" w:color="auto" w:fill="9CC2E5" w:themeFill="accent1" w:themeFillTint="99"/>
          </w:tcPr>
          <w:p w14:paraId="1EDD7B75" w14:textId="77777777" w:rsidR="008035B3" w:rsidRPr="006602F8" w:rsidRDefault="008035B3" w:rsidP="004D2D78">
            <w:pPr>
              <w:spacing w:after="0" w:line="240" w:lineRule="auto"/>
              <w:rPr>
                <w:rFonts w:ascii="Times New Roman" w:hAnsi="Times New Roman" w:cs="Times New Roman"/>
                <w:b/>
                <w:bCs/>
                <w:lang w:eastAsia="pl-PL"/>
              </w:rPr>
            </w:pPr>
            <w:r w:rsidRPr="006602F8">
              <w:rPr>
                <w:rFonts w:ascii="Times New Roman" w:hAnsi="Times New Roman" w:cs="Times New Roman"/>
                <w:b/>
                <w:bCs/>
                <w:lang w:eastAsia="pl-PL"/>
              </w:rPr>
              <w:t>Stopień zaspokojenia potrzeb w zakresie usług opiekuńczych</w:t>
            </w:r>
          </w:p>
        </w:tc>
        <w:tc>
          <w:tcPr>
            <w:tcW w:w="11911" w:type="dxa"/>
            <w:gridSpan w:val="8"/>
            <w:shd w:val="clear" w:color="auto" w:fill="auto"/>
          </w:tcPr>
          <w:p w14:paraId="31D5F95E"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 xml:space="preserve">Pomimo faktu, że liczba osób starszych korzystających z usług opiekuńczych w miejscu zamieszkania systematycznie wzrasta, nie wszystkim seniorom zapewniono takie wsparcie. Usługi opiekuńcze nie były świadczone, ponieważ stosowną pomoc zabezpieczyli osobom niesamodzielnym członkowie ich rodzin, sąsiedzi, a w razie potrzeby kierowano takie osoby do domów pomocy społecznej. </w:t>
            </w:r>
          </w:p>
          <w:p w14:paraId="78CC5806" w14:textId="77777777" w:rsidR="008035B3" w:rsidRPr="006602F8" w:rsidRDefault="008035B3" w:rsidP="004D2D78">
            <w:pPr>
              <w:spacing w:after="0" w:line="240" w:lineRule="auto"/>
              <w:rPr>
                <w:rFonts w:ascii="Times New Roman" w:hAnsi="Times New Roman" w:cs="Times New Roman"/>
              </w:rPr>
            </w:pPr>
            <w:r w:rsidRPr="006602F8">
              <w:rPr>
                <w:rFonts w:ascii="Times New Roman" w:hAnsi="Times New Roman" w:cs="Times New Roman"/>
              </w:rPr>
              <w:t>Natomiast poziom wykonywanych usług uzależniano od stopnia sprawności osoby objętej usługami oraz od tego, czy osoba starsza mieszkała samotnie, czy też z rodziną. W uzasadnionych przypadkach, na wniosek osoby zobowiązanej do ponoszenia odpłatności, wniosek pracownika socjalnego lub z urzędu, istniała możliwość całkowitego lub częściowego zwolnienia z opłat za usługi.</w:t>
            </w:r>
          </w:p>
        </w:tc>
      </w:tr>
    </w:tbl>
    <w:p w14:paraId="590C1182" w14:textId="77777777" w:rsidR="008035B3" w:rsidRDefault="008035B3" w:rsidP="000B40AE">
      <w:pPr>
        <w:pStyle w:val="Legenda"/>
        <w:keepNext/>
        <w:rPr>
          <w:rFonts w:ascii="Times New Roman" w:hAnsi="Times New Roman" w:cs="Times New Roman"/>
          <w:b/>
          <w:i w:val="0"/>
          <w:sz w:val="24"/>
        </w:rPr>
      </w:pPr>
    </w:p>
    <w:p w14:paraId="3F088956" w14:textId="77777777" w:rsidR="008B1494" w:rsidRPr="00F27A8A" w:rsidRDefault="008B1494" w:rsidP="003C1988">
      <w:pPr>
        <w:spacing w:after="0"/>
        <w:rPr>
          <w:rFonts w:ascii="Times New Roman" w:hAnsi="Times New Roman" w:cs="Times New Roman"/>
          <w:sz w:val="24"/>
          <w:szCs w:val="24"/>
          <w:lang w:eastAsia="ar-SA"/>
        </w:rPr>
      </w:pPr>
    </w:p>
    <w:p w14:paraId="45896B4E" w14:textId="77777777" w:rsidR="002C64F2" w:rsidRDefault="002C64F2" w:rsidP="00CB509F">
      <w:pPr>
        <w:pStyle w:val="Nagwek2"/>
        <w:spacing w:before="0"/>
        <w:rPr>
          <w:rFonts w:eastAsia="Times New Roman" w:cs="Times New Roman"/>
          <w:sz w:val="24"/>
          <w:szCs w:val="24"/>
          <w:lang w:eastAsia="ar-SA"/>
        </w:rPr>
        <w:sectPr w:rsidR="002C64F2" w:rsidSect="00080A38">
          <w:pgSz w:w="16838" w:h="11900" w:orient="landscape"/>
          <w:pgMar w:top="1380" w:right="1384" w:bottom="1386" w:left="1038" w:header="0" w:footer="567" w:gutter="0"/>
          <w:cols w:space="0" w:equalWidth="0">
            <w:col w:w="9140"/>
          </w:cols>
          <w:docGrid w:linePitch="360"/>
        </w:sectPr>
      </w:pPr>
    </w:p>
    <w:p w14:paraId="43E6589E" w14:textId="77777777" w:rsidR="0050177A" w:rsidRPr="00AF051D" w:rsidRDefault="005F0A32" w:rsidP="00AF051D">
      <w:pPr>
        <w:pStyle w:val="Nagwek2"/>
        <w:spacing w:before="240" w:after="240"/>
        <w:ind w:left="432"/>
        <w:rPr>
          <w:rFonts w:eastAsia="Times New Roman" w:cs="Times New Roman"/>
          <w:sz w:val="40"/>
          <w:szCs w:val="24"/>
          <w:lang w:eastAsia="ar-SA"/>
        </w:rPr>
      </w:pPr>
      <w:bookmarkStart w:id="126" w:name="_Toc49171357"/>
      <w:r w:rsidRPr="00AF051D">
        <w:rPr>
          <w:rFonts w:eastAsia="Times New Roman" w:cs="Times New Roman"/>
          <w:sz w:val="40"/>
          <w:szCs w:val="24"/>
          <w:lang w:eastAsia="ar-SA"/>
        </w:rPr>
        <w:lastRenderedPageBreak/>
        <w:t>Województwo kujawsko-p</w:t>
      </w:r>
      <w:r w:rsidR="00475EFA" w:rsidRPr="00AF051D">
        <w:rPr>
          <w:rFonts w:eastAsia="Times New Roman" w:cs="Times New Roman"/>
          <w:sz w:val="40"/>
          <w:szCs w:val="24"/>
          <w:lang w:eastAsia="ar-SA"/>
        </w:rPr>
        <w:t>omorskie</w:t>
      </w:r>
      <w:bookmarkEnd w:id="126"/>
    </w:p>
    <w:p w14:paraId="76E27199" w14:textId="77777777" w:rsidR="00AF1D44" w:rsidRPr="00256ED5" w:rsidRDefault="00AF1D44" w:rsidP="00493925">
      <w:pPr>
        <w:spacing w:after="0"/>
        <w:jc w:val="both"/>
        <w:rPr>
          <w:rFonts w:ascii="Times New Roman" w:hAnsi="Times New Roman" w:cs="Times New Roman"/>
          <w:b/>
          <w:color w:val="00B0F0"/>
          <w:sz w:val="24"/>
          <w:szCs w:val="24"/>
          <w:lang w:eastAsia="ar-SA"/>
        </w:rPr>
      </w:pPr>
      <w:r w:rsidRPr="00256ED5">
        <w:rPr>
          <w:rFonts w:ascii="Times New Roman" w:hAnsi="Times New Roman" w:cs="Times New Roman"/>
          <w:b/>
          <w:color w:val="00B0F0"/>
          <w:sz w:val="24"/>
          <w:szCs w:val="24"/>
          <w:lang w:eastAsia="ar-SA"/>
        </w:rPr>
        <w:t>Dokumenty, strategie i działania na rzecz osób starszych</w:t>
      </w:r>
    </w:p>
    <w:p w14:paraId="682CF05E" w14:textId="77777777" w:rsidR="0050177A" w:rsidRPr="005F0A32" w:rsidRDefault="0050177A" w:rsidP="00493925">
      <w:pPr>
        <w:spacing w:after="0"/>
        <w:ind w:left="68"/>
        <w:jc w:val="both"/>
        <w:rPr>
          <w:rFonts w:ascii="Times New Roman" w:hAnsi="Times New Roman" w:cs="Times New Roman"/>
          <w:sz w:val="24"/>
          <w:szCs w:val="24"/>
        </w:rPr>
      </w:pPr>
    </w:p>
    <w:p w14:paraId="1F0E34AC" w14:textId="77777777" w:rsidR="0050177A" w:rsidRPr="00AF051D" w:rsidRDefault="0050177A" w:rsidP="00AF051D">
      <w:pPr>
        <w:spacing w:after="0"/>
        <w:jc w:val="both"/>
        <w:rPr>
          <w:rFonts w:ascii="Times New Roman" w:hAnsi="Times New Roman" w:cs="Times New Roman"/>
          <w:sz w:val="24"/>
          <w:szCs w:val="24"/>
        </w:rPr>
      </w:pPr>
      <w:r w:rsidRPr="005F0A32">
        <w:rPr>
          <w:rFonts w:ascii="Times New Roman" w:hAnsi="Times New Roman" w:cs="Times New Roman"/>
          <w:sz w:val="24"/>
          <w:szCs w:val="24"/>
        </w:rPr>
        <w:t>Problematyka osób starszych została ujęta w następujących dokumentach:</w:t>
      </w:r>
    </w:p>
    <w:p w14:paraId="7F075AE2" w14:textId="77777777" w:rsidR="0050177A" w:rsidRPr="005F0A32" w:rsidRDefault="0050177A" w:rsidP="00493925">
      <w:pPr>
        <w:spacing w:after="0"/>
        <w:jc w:val="both"/>
        <w:rPr>
          <w:rFonts w:ascii="Times New Roman" w:hAnsi="Times New Roman" w:cs="Times New Roman"/>
          <w:sz w:val="24"/>
          <w:szCs w:val="24"/>
        </w:rPr>
      </w:pPr>
      <w:r w:rsidRPr="00AF1D44">
        <w:rPr>
          <w:rFonts w:ascii="Times New Roman" w:hAnsi="Times New Roman" w:cs="Times New Roman"/>
          <w:sz w:val="24"/>
          <w:szCs w:val="24"/>
        </w:rPr>
        <w:t>Strategia Rozwoju Województwa Kujawsko-Pomorskiego do roku 2020 – Plan Modernizacji 2020+.</w:t>
      </w:r>
      <w:r w:rsidRPr="005F0A32">
        <w:rPr>
          <w:rFonts w:ascii="Times New Roman" w:hAnsi="Times New Roman" w:cs="Times New Roman"/>
          <w:sz w:val="24"/>
          <w:szCs w:val="24"/>
        </w:rPr>
        <w:t xml:space="preserve"> W ramach celu „Aktywne społeczeństwo i sprawne usługi” wyróżniono m.in. sferę solidarności mi</w:t>
      </w:r>
      <w:r w:rsidR="00BF4703" w:rsidRPr="005F0A32">
        <w:rPr>
          <w:rFonts w:ascii="Times New Roman" w:hAnsi="Times New Roman" w:cs="Times New Roman"/>
          <w:sz w:val="24"/>
          <w:szCs w:val="24"/>
        </w:rPr>
        <w:t xml:space="preserve">ędzypokoleniowej. W odpowiedzi </w:t>
      </w:r>
      <w:r w:rsidRPr="005F0A32">
        <w:rPr>
          <w:rFonts w:ascii="Times New Roman" w:hAnsi="Times New Roman" w:cs="Times New Roman"/>
          <w:sz w:val="24"/>
          <w:szCs w:val="24"/>
        </w:rPr>
        <w:t xml:space="preserve">na prognozowane zmiany demograficzne, związane ze zwiększeniem liczby osób starszych, realizowane są działania mające na celu stworzenie jak najlepszych warunków życia tej grupie społecznej oraz przeciwdziałanie jej wykluczeniu społecznemu. Intensywne działania są prowadzone na rzecz dostosowania funkcjonowania usług publicznych oraz przestrzeni publicznych do potrzeb wszystkich pokoleń oraz rozwoju form opieki nad ludnością starszą. </w:t>
      </w:r>
    </w:p>
    <w:p w14:paraId="58369D57" w14:textId="77777777" w:rsidR="00BF4703" w:rsidRPr="005F0A32" w:rsidRDefault="00BF4703" w:rsidP="00493925">
      <w:pPr>
        <w:pStyle w:val="Akapitzlist"/>
        <w:spacing w:after="0"/>
        <w:ind w:left="426"/>
        <w:contextualSpacing w:val="0"/>
        <w:jc w:val="both"/>
        <w:rPr>
          <w:rFonts w:ascii="Times New Roman" w:hAnsi="Times New Roman" w:cs="Times New Roman"/>
          <w:sz w:val="24"/>
          <w:szCs w:val="24"/>
        </w:rPr>
      </w:pPr>
    </w:p>
    <w:p w14:paraId="423EFB95" w14:textId="77777777" w:rsidR="0050177A" w:rsidRPr="005F0A32" w:rsidRDefault="0050177A" w:rsidP="00493925">
      <w:pPr>
        <w:spacing w:after="0"/>
        <w:jc w:val="both"/>
        <w:rPr>
          <w:rFonts w:ascii="Times New Roman" w:hAnsi="Times New Roman" w:cs="Times New Roman"/>
          <w:sz w:val="24"/>
          <w:szCs w:val="24"/>
        </w:rPr>
      </w:pPr>
      <w:r w:rsidRPr="005F0A32">
        <w:rPr>
          <w:rFonts w:ascii="Times New Roman" w:hAnsi="Times New Roman" w:cs="Times New Roman"/>
          <w:sz w:val="24"/>
          <w:szCs w:val="24"/>
        </w:rPr>
        <w:t>W ramach realizacji założeń Strategii kontynuowano prace nad przygotowaniem Regionalnego Modelu Usług Opiekuńczych (dalej w skrócie RMUO):</w:t>
      </w:r>
    </w:p>
    <w:p w14:paraId="054648F7" w14:textId="77777777" w:rsidR="00ED30C6" w:rsidRDefault="0050177A" w:rsidP="00493925">
      <w:pPr>
        <w:pStyle w:val="Akapitzlist"/>
        <w:numPr>
          <w:ilvl w:val="0"/>
          <w:numId w:val="7"/>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zorganizowano dwa spotkania zespołu ds. rozwoju usług opiekuńczych dla osób niesamodzielnych w województwie kujawsko-pomorskim, w którym udział wzięli pracownicy instytucji realizujących usługi opiekuńcze i medyczne, pracownicy Urzędu Marszałkowskiego Województwa Kujawsko-Pomorskiego, Kujawsko-Pomorskiego Urzędu Wojewódzkiego w Bydg</w:t>
      </w:r>
      <w:r w:rsidR="00BF4703" w:rsidRPr="005F0A32">
        <w:rPr>
          <w:rFonts w:ascii="Times New Roman" w:eastAsia="CIDFont+F4" w:hAnsi="Times New Roman" w:cs="Times New Roman"/>
          <w:sz w:val="24"/>
          <w:szCs w:val="24"/>
        </w:rPr>
        <w:t xml:space="preserve">oszczy oraz pracownicy naukowi </w:t>
      </w:r>
      <w:r w:rsidRPr="005F0A32">
        <w:rPr>
          <w:rFonts w:ascii="Times New Roman" w:eastAsia="CIDFont+F4" w:hAnsi="Times New Roman" w:cs="Times New Roman"/>
          <w:sz w:val="24"/>
          <w:szCs w:val="24"/>
        </w:rPr>
        <w:t>i przedstawiciele organizacji pozarządowych, działających na rzecz osób starszych. Podczas spotkań wypracowano obszary tematyczne, które zostaną opisane w RMUO oraz wskazano rolę ww. dokumentu, którego zapisy zostaną zawarte w tworzonym Regionalnym Programie Operacyjnym (dalej w skrócie RPO). RMUO przybierze postać opisu dostępnych form pomocy o charakterze usług opiekuńczych realizowanych w naszym województwie. Zostaną scharakteryzowane: usługi opiekuńcze; usługi dziennego opiekuna na obszarach wiejskich; pomoc sąsiedzka; wolontariat opiekuńczy; mieszkania chronione dla osób niesamodzielnych; zielona opieka; dzienny dom pomocy; dzienny dom opieki medycznej;</w:t>
      </w:r>
    </w:p>
    <w:p w14:paraId="7469EA4B" w14:textId="77777777" w:rsidR="0050177A" w:rsidRPr="00ED30C6" w:rsidRDefault="0050177A" w:rsidP="00493925">
      <w:pPr>
        <w:pStyle w:val="Akapitzlist"/>
        <w:numPr>
          <w:ilvl w:val="0"/>
          <w:numId w:val="7"/>
        </w:numPr>
        <w:autoSpaceDE w:val="0"/>
        <w:autoSpaceDN w:val="0"/>
        <w:adjustRightInd w:val="0"/>
        <w:spacing w:after="0"/>
        <w:ind w:left="360"/>
        <w:jc w:val="both"/>
        <w:rPr>
          <w:rFonts w:ascii="Times New Roman" w:eastAsia="CIDFont+F4" w:hAnsi="Times New Roman" w:cs="Times New Roman"/>
          <w:sz w:val="24"/>
          <w:szCs w:val="24"/>
        </w:rPr>
      </w:pPr>
      <w:r w:rsidRPr="00ED30C6">
        <w:rPr>
          <w:rFonts w:ascii="Times New Roman" w:eastAsia="CIDFont+F4" w:hAnsi="Times New Roman" w:cs="Times New Roman"/>
          <w:sz w:val="24"/>
          <w:szCs w:val="24"/>
        </w:rPr>
        <w:t xml:space="preserve">wstępnie scharakteryzowano usługi w ramach dziennych domów pomocy oraz pomocy sąsiedzkiej. Część z ww. form wsparcia została wdrożona i jest testowana </w:t>
      </w:r>
      <w:r w:rsidRPr="00ED30C6">
        <w:rPr>
          <w:rFonts w:ascii="Times New Roman" w:eastAsia="CIDFont+F4" w:hAnsi="Times New Roman" w:cs="Times New Roman"/>
          <w:sz w:val="24"/>
          <w:szCs w:val="24"/>
        </w:rPr>
        <w:br/>
        <w:t xml:space="preserve">w ramach projektu realizowanego przez Regionalny Ośrodek Polityki Społecznej </w:t>
      </w:r>
      <w:r w:rsidRPr="00ED30C6">
        <w:rPr>
          <w:rFonts w:ascii="Times New Roman" w:eastAsia="CIDFont+F4" w:hAnsi="Times New Roman" w:cs="Times New Roman"/>
          <w:sz w:val="24"/>
          <w:szCs w:val="24"/>
        </w:rPr>
        <w:br/>
        <w:t>w Toruniu w partnerstwie z Kujawsko-Pomorskim Oddziałem Okręgowym Polskiego Czerwonego Krzyża pn. "Pogodna jesień życia …"</w:t>
      </w:r>
      <w:r w:rsidRPr="005F0A32">
        <w:rPr>
          <w:rStyle w:val="Odwoanieprzypisudolnego"/>
          <w:rFonts w:ascii="Times New Roman" w:eastAsia="CIDFont+F4" w:hAnsi="Times New Roman" w:cs="Times New Roman"/>
          <w:sz w:val="24"/>
          <w:szCs w:val="24"/>
        </w:rPr>
        <w:footnoteReference w:id="57"/>
      </w:r>
      <w:r w:rsidRPr="00ED30C6">
        <w:rPr>
          <w:rFonts w:ascii="Times New Roman" w:eastAsia="CIDFont+F4" w:hAnsi="Times New Roman" w:cs="Times New Roman"/>
          <w:sz w:val="24"/>
          <w:szCs w:val="24"/>
        </w:rPr>
        <w:t>.</w:t>
      </w:r>
    </w:p>
    <w:p w14:paraId="1E4E32CA" w14:textId="77777777" w:rsidR="0050177A" w:rsidRPr="005F0A32" w:rsidRDefault="0050177A" w:rsidP="00493925">
      <w:pPr>
        <w:pStyle w:val="Akapitzlist"/>
        <w:autoSpaceDE w:val="0"/>
        <w:autoSpaceDN w:val="0"/>
        <w:adjustRightInd w:val="0"/>
        <w:spacing w:after="0"/>
        <w:ind w:left="851"/>
        <w:jc w:val="both"/>
        <w:rPr>
          <w:rFonts w:ascii="Times New Roman" w:eastAsia="CIDFont+F4" w:hAnsi="Times New Roman" w:cs="Times New Roman"/>
          <w:sz w:val="24"/>
          <w:szCs w:val="24"/>
        </w:rPr>
      </w:pPr>
    </w:p>
    <w:p w14:paraId="38FF2675" w14:textId="77777777" w:rsidR="0050177A" w:rsidRPr="005F0A32" w:rsidRDefault="0050177A" w:rsidP="00493925">
      <w:pPr>
        <w:pStyle w:val="Default"/>
        <w:spacing w:line="276" w:lineRule="auto"/>
        <w:jc w:val="both"/>
        <w:rPr>
          <w:rFonts w:ascii="Times New Roman" w:hAnsi="Times New Roman" w:cs="Times New Roman"/>
          <w:color w:val="auto"/>
        </w:rPr>
      </w:pPr>
      <w:r w:rsidRPr="00ED30C6">
        <w:rPr>
          <w:rFonts w:ascii="Times New Roman" w:hAnsi="Times New Roman" w:cs="Times New Roman"/>
          <w:color w:val="auto"/>
        </w:rPr>
        <w:t>Strategia Polityki Społecznej Województwa Kujawsko-Pomorskiego do roku 2020.</w:t>
      </w:r>
      <w:r w:rsidRPr="00ED30C6">
        <w:rPr>
          <w:rFonts w:ascii="Times New Roman" w:hAnsi="Times New Roman" w:cs="Times New Roman"/>
          <w:color w:val="auto"/>
        </w:rPr>
        <w:br/>
      </w:r>
      <w:r w:rsidRPr="005F0A32">
        <w:rPr>
          <w:rFonts w:ascii="Times New Roman" w:hAnsi="Times New Roman" w:cs="Times New Roman"/>
          <w:color w:val="auto"/>
        </w:rPr>
        <w:t xml:space="preserve">W ramach II </w:t>
      </w:r>
      <w:r w:rsidRPr="005F0A32">
        <w:rPr>
          <w:rFonts w:ascii="Times New Roman" w:hAnsi="Times New Roman" w:cs="Times New Roman"/>
          <w:bCs/>
          <w:color w:val="auto"/>
        </w:rPr>
        <w:t>celu strategicznego „</w:t>
      </w:r>
      <w:r w:rsidRPr="005F0A32">
        <w:rPr>
          <w:rFonts w:ascii="Times New Roman" w:hAnsi="Times New Roman" w:cs="Times New Roman"/>
          <w:color w:val="auto"/>
        </w:rPr>
        <w:t xml:space="preserve">Wzrost poziomu jakości życia mieszkańców regionu poprzez zwiększenie dostępności do różnego rodzaju usług społecznych” wyróżniono </w:t>
      </w:r>
      <w:r w:rsidRPr="005F0A32">
        <w:rPr>
          <w:rFonts w:ascii="Times New Roman" w:hAnsi="Times New Roman" w:cs="Times New Roman"/>
          <w:bCs/>
          <w:color w:val="auto"/>
        </w:rPr>
        <w:t xml:space="preserve">Priorytet </w:t>
      </w:r>
      <w:r w:rsidR="00ED30C6">
        <w:rPr>
          <w:rFonts w:ascii="Times New Roman" w:hAnsi="Times New Roman" w:cs="Times New Roman"/>
          <w:bCs/>
          <w:color w:val="auto"/>
        </w:rPr>
        <w:br/>
      </w:r>
      <w:r w:rsidRPr="005F0A32">
        <w:rPr>
          <w:rFonts w:ascii="Times New Roman" w:hAnsi="Times New Roman" w:cs="Times New Roman"/>
          <w:bCs/>
          <w:color w:val="auto"/>
        </w:rPr>
        <w:t xml:space="preserve">4 </w:t>
      </w:r>
      <w:r w:rsidRPr="005F0A32">
        <w:rPr>
          <w:rFonts w:ascii="Times New Roman" w:hAnsi="Times New Roman" w:cs="Times New Roman"/>
          <w:color w:val="auto"/>
        </w:rPr>
        <w:t xml:space="preserve">„Przeciwdziałanie negatywnym skutkom przemian demograficznych”, w tym </w:t>
      </w:r>
      <w:r w:rsidRPr="005F0A32">
        <w:rPr>
          <w:rFonts w:ascii="Times New Roman" w:hAnsi="Times New Roman" w:cs="Times New Roman"/>
          <w:bCs/>
          <w:color w:val="auto"/>
        </w:rPr>
        <w:t>Cel szczegółowy 4.1 „</w:t>
      </w:r>
      <w:r w:rsidRPr="005F0A32">
        <w:rPr>
          <w:rFonts w:ascii="Times New Roman" w:hAnsi="Times New Roman" w:cs="Times New Roman"/>
          <w:color w:val="auto"/>
        </w:rPr>
        <w:t xml:space="preserve">Zwiększenie dostępu do usług społecznych dla osób starszych”. Zaplanowane zostały działania upowszechniające i wspierające programy mające na celu aktywizację osób </w:t>
      </w:r>
      <w:r w:rsidRPr="005F0A32">
        <w:rPr>
          <w:rFonts w:ascii="Times New Roman" w:hAnsi="Times New Roman" w:cs="Times New Roman"/>
          <w:color w:val="auto"/>
        </w:rPr>
        <w:lastRenderedPageBreak/>
        <w:t>starszych oraz wzmacniające relacje międzypokoleniowe, w tym także wolontariat seniorów, rozwijające i upowszechniające usługi społeczne i placówki oferujące pomoc dzienną seniorom oraz rozwijając</w:t>
      </w:r>
      <w:r w:rsidR="00ED30C6">
        <w:rPr>
          <w:rFonts w:ascii="Times New Roman" w:hAnsi="Times New Roman" w:cs="Times New Roman"/>
          <w:color w:val="auto"/>
        </w:rPr>
        <w:t xml:space="preserve">e całodobowe usługi opiekuńcze </w:t>
      </w:r>
      <w:r w:rsidRPr="005F0A32">
        <w:rPr>
          <w:rFonts w:ascii="Times New Roman" w:hAnsi="Times New Roman" w:cs="Times New Roman"/>
          <w:color w:val="auto"/>
        </w:rPr>
        <w:t>i rehabilitacyjne dla osób starszych.</w:t>
      </w:r>
    </w:p>
    <w:p w14:paraId="2F731D63" w14:textId="77777777" w:rsidR="0050177A" w:rsidRPr="005F0A32" w:rsidRDefault="0050177A" w:rsidP="00493925">
      <w:pPr>
        <w:pStyle w:val="Default"/>
        <w:spacing w:line="276" w:lineRule="auto"/>
        <w:ind w:left="426"/>
        <w:jc w:val="both"/>
        <w:rPr>
          <w:rFonts w:ascii="Times New Roman" w:hAnsi="Times New Roman" w:cs="Times New Roman"/>
          <w:color w:val="auto"/>
        </w:rPr>
      </w:pPr>
    </w:p>
    <w:p w14:paraId="6E3B325C" w14:textId="77777777" w:rsidR="0050177A" w:rsidRPr="005F0A32" w:rsidRDefault="0050177A" w:rsidP="00493925">
      <w:pPr>
        <w:pStyle w:val="Default"/>
        <w:spacing w:line="276" w:lineRule="auto"/>
        <w:jc w:val="both"/>
        <w:rPr>
          <w:rFonts w:ascii="Times New Roman" w:eastAsia="Times New Roman" w:hAnsi="Times New Roman" w:cs="Times New Roman"/>
          <w:b/>
          <w:color w:val="auto"/>
          <w:u w:val="single"/>
          <w:lang w:eastAsia="pl-PL"/>
        </w:rPr>
      </w:pPr>
      <w:r w:rsidRPr="00ED30C6">
        <w:rPr>
          <w:rFonts w:ascii="Times New Roman" w:hAnsi="Times New Roman" w:cs="Times New Roman"/>
          <w:color w:val="auto"/>
        </w:rPr>
        <w:t>Regionalny Program Operacyjny Województwa Kujawsko-Pomorskiego na lata 2014-2020.</w:t>
      </w:r>
      <w:r w:rsidRPr="005F0A32">
        <w:rPr>
          <w:rFonts w:ascii="Times New Roman" w:hAnsi="Times New Roman" w:cs="Times New Roman"/>
          <w:color w:val="auto"/>
        </w:rPr>
        <w:t xml:space="preserve"> Regionalny Program Operacyjny to dokument planistyczny dla działań jednostek samorządu terytorialnego, które mają zostać podjęte w celu wsparcia województwa lub regionu. W ramach programu wyznaczono 11 osi priorytetowych, podzielonych według najważniejszych celów. Każda oś jest wewnętr</w:t>
      </w:r>
      <w:r w:rsidR="00ED30C6">
        <w:rPr>
          <w:rFonts w:ascii="Times New Roman" w:hAnsi="Times New Roman" w:cs="Times New Roman"/>
          <w:color w:val="auto"/>
        </w:rPr>
        <w:t xml:space="preserve">znie pogrupowana wedle działań </w:t>
      </w:r>
      <w:r w:rsidRPr="005F0A32">
        <w:rPr>
          <w:rFonts w:ascii="Times New Roman" w:hAnsi="Times New Roman" w:cs="Times New Roman"/>
          <w:color w:val="auto"/>
        </w:rPr>
        <w:t>i poddziałań. W ramach osi priorytetowej 9. Solidarne społeczeństwo, realizowane działania mają na celu m.in. zwiększenie dostępu do usług opiekuńczych dla osób starszych, niesamodzielnych i niepełnosprawnych.</w:t>
      </w:r>
    </w:p>
    <w:p w14:paraId="7007D3A1" w14:textId="77777777" w:rsidR="00BF4703" w:rsidRPr="005F0A32" w:rsidRDefault="00BF4703" w:rsidP="00493925">
      <w:pPr>
        <w:autoSpaceDE w:val="0"/>
        <w:autoSpaceDN w:val="0"/>
        <w:adjustRightInd w:val="0"/>
        <w:spacing w:after="0"/>
        <w:jc w:val="both"/>
        <w:rPr>
          <w:rFonts w:ascii="Times New Roman" w:eastAsia="CIDFont+F4" w:hAnsi="Times New Roman" w:cs="Times New Roman"/>
          <w:sz w:val="24"/>
          <w:szCs w:val="24"/>
        </w:rPr>
      </w:pPr>
    </w:p>
    <w:p w14:paraId="774EAA04" w14:textId="77777777" w:rsidR="0050177A" w:rsidRPr="005F0A32" w:rsidRDefault="0050177A" w:rsidP="00493925">
      <w:pPr>
        <w:autoSpaceDE w:val="0"/>
        <w:autoSpaceDN w:val="0"/>
        <w:adjustRightInd w:val="0"/>
        <w:spacing w:after="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Do 31 grudnia 2019 r. w ramach realizacji projektów współfinansowanych ze środków RPO WK-P 2014-2020 osiągnięto m.in. wybrane efekty rzeczowe w obszarze pomoc społeczna:</w:t>
      </w:r>
    </w:p>
    <w:p w14:paraId="1FDD5643" w14:textId="77777777" w:rsidR="0050177A" w:rsidRPr="005F0A32" w:rsidRDefault="0050177A" w:rsidP="00493925">
      <w:pPr>
        <w:pStyle w:val="Akapitzlist"/>
        <w:numPr>
          <w:ilvl w:val="0"/>
          <w:numId w:val="5"/>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hAnsi="Times New Roman" w:cs="Times New Roman"/>
          <w:sz w:val="24"/>
          <w:szCs w:val="24"/>
        </w:rPr>
        <w:t xml:space="preserve">2 741 </w:t>
      </w:r>
      <w:r w:rsidRPr="005F0A32">
        <w:rPr>
          <w:rFonts w:ascii="Times New Roman" w:eastAsia="CIDFont+F4" w:hAnsi="Times New Roman" w:cs="Times New Roman"/>
          <w:sz w:val="24"/>
          <w:szCs w:val="24"/>
        </w:rPr>
        <w:t>osób zagrożonych ubóstwem lub wykluczeniem społecznym objęto usługami asystenckimi i opiekuńczymi świadczonymi w społeczności lokalnej,</w:t>
      </w:r>
    </w:p>
    <w:p w14:paraId="09431718" w14:textId="77777777" w:rsidR="0050177A" w:rsidRPr="005F0A32" w:rsidRDefault="0050177A" w:rsidP="00493925">
      <w:pPr>
        <w:pStyle w:val="Akapitzlist"/>
        <w:numPr>
          <w:ilvl w:val="0"/>
          <w:numId w:val="5"/>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hAnsi="Times New Roman" w:cs="Times New Roman"/>
          <w:sz w:val="24"/>
          <w:szCs w:val="24"/>
        </w:rPr>
        <w:t xml:space="preserve">135 </w:t>
      </w:r>
      <w:r w:rsidRPr="005F0A32">
        <w:rPr>
          <w:rFonts w:ascii="Times New Roman" w:eastAsia="CIDFont+F4" w:hAnsi="Times New Roman" w:cs="Times New Roman"/>
          <w:sz w:val="24"/>
          <w:szCs w:val="24"/>
        </w:rPr>
        <w:t xml:space="preserve">miejsc świadczenia usług asystenckich i opiekuńczych, utworzonych w programie </w:t>
      </w:r>
      <w:r w:rsidR="00ED30C6">
        <w:rPr>
          <w:rFonts w:ascii="Times New Roman" w:eastAsia="CIDFont+F4" w:hAnsi="Times New Roman" w:cs="Times New Roman"/>
          <w:sz w:val="24"/>
          <w:szCs w:val="24"/>
        </w:rPr>
        <w:br/>
      </w:r>
      <w:r w:rsidRPr="005F0A32">
        <w:rPr>
          <w:rFonts w:ascii="Times New Roman" w:eastAsia="CIDFont+F4" w:hAnsi="Times New Roman" w:cs="Times New Roman"/>
          <w:sz w:val="24"/>
          <w:szCs w:val="24"/>
        </w:rPr>
        <w:t>i istniejących po zakończeniu projektu.</w:t>
      </w:r>
    </w:p>
    <w:p w14:paraId="6DD9A385" w14:textId="77777777" w:rsidR="00BF4703" w:rsidRPr="005F0A32" w:rsidRDefault="00BF4703" w:rsidP="00493925">
      <w:pPr>
        <w:autoSpaceDE w:val="0"/>
        <w:autoSpaceDN w:val="0"/>
        <w:adjustRightInd w:val="0"/>
        <w:spacing w:after="0"/>
        <w:jc w:val="both"/>
        <w:rPr>
          <w:rFonts w:ascii="Times New Roman" w:eastAsia="CIDFont+F4" w:hAnsi="Times New Roman" w:cs="Times New Roman"/>
          <w:sz w:val="24"/>
          <w:szCs w:val="24"/>
        </w:rPr>
      </w:pPr>
    </w:p>
    <w:p w14:paraId="5163212C" w14:textId="77777777" w:rsidR="0050177A" w:rsidRPr="005F0A32" w:rsidRDefault="0050177A" w:rsidP="00493925">
      <w:pPr>
        <w:autoSpaceDE w:val="0"/>
        <w:autoSpaceDN w:val="0"/>
        <w:adjustRightInd w:val="0"/>
        <w:spacing w:after="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Zakończone konkursy w 2019</w:t>
      </w:r>
      <w:r w:rsidR="00ED30C6">
        <w:rPr>
          <w:rFonts w:ascii="Times New Roman" w:eastAsia="CIDFont+F4" w:hAnsi="Times New Roman" w:cs="Times New Roman"/>
          <w:sz w:val="24"/>
          <w:szCs w:val="24"/>
        </w:rPr>
        <w:t xml:space="preserve"> r.</w:t>
      </w:r>
      <w:r w:rsidRPr="005F0A32">
        <w:rPr>
          <w:rFonts w:ascii="Times New Roman" w:eastAsia="CIDFont+F4" w:hAnsi="Times New Roman" w:cs="Times New Roman"/>
          <w:sz w:val="24"/>
          <w:szCs w:val="24"/>
        </w:rPr>
        <w:t xml:space="preserve"> (liczba Dziennych Domów Pomocy, Klubów Seniora </w:t>
      </w:r>
      <w:r w:rsidRPr="005F0A32">
        <w:rPr>
          <w:rFonts w:ascii="Times New Roman" w:eastAsia="CIDFont+F4" w:hAnsi="Times New Roman" w:cs="Times New Roman"/>
          <w:sz w:val="24"/>
          <w:szCs w:val="24"/>
        </w:rPr>
        <w:br/>
        <w:t>i wspartych podmiotów świadczących usługi opiekuńcze w miejscu zamieszkania):</w:t>
      </w:r>
    </w:p>
    <w:p w14:paraId="62FC7890" w14:textId="77777777" w:rsidR="0050177A" w:rsidRPr="005F0A32" w:rsidRDefault="0050177A" w:rsidP="00493925">
      <w:pPr>
        <w:pStyle w:val="Akapitzlist"/>
        <w:numPr>
          <w:ilvl w:val="0"/>
          <w:numId w:val="10"/>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 xml:space="preserve">konkurs Nr RPKP.09.01.02-IZ.00-04-229/18 – do dofinansowania przyjęto 4 projekty, </w:t>
      </w:r>
      <w:r w:rsidR="00ED30C6">
        <w:rPr>
          <w:rFonts w:ascii="Times New Roman" w:eastAsia="CIDFont+F4" w:hAnsi="Times New Roman" w:cs="Times New Roman"/>
          <w:sz w:val="24"/>
          <w:szCs w:val="24"/>
        </w:rPr>
        <w:br/>
      </w:r>
      <w:r w:rsidRPr="005F0A32">
        <w:rPr>
          <w:rFonts w:ascii="Times New Roman" w:eastAsia="CIDFont+F4" w:hAnsi="Times New Roman" w:cs="Times New Roman"/>
          <w:sz w:val="24"/>
          <w:szCs w:val="24"/>
        </w:rPr>
        <w:t xml:space="preserve">1 projekt dotyczący wsparcia Klubu Seniora na kwotę dofinansowania 218 592,77 zł, </w:t>
      </w:r>
      <w:r w:rsidR="00ED30C6">
        <w:rPr>
          <w:rFonts w:ascii="Times New Roman" w:eastAsia="CIDFont+F4" w:hAnsi="Times New Roman" w:cs="Times New Roman"/>
          <w:sz w:val="24"/>
          <w:szCs w:val="24"/>
        </w:rPr>
        <w:br/>
      </w:r>
      <w:r w:rsidRPr="005F0A32">
        <w:rPr>
          <w:rFonts w:ascii="Times New Roman" w:eastAsia="CIDFont+F4" w:hAnsi="Times New Roman" w:cs="Times New Roman"/>
          <w:sz w:val="24"/>
          <w:szCs w:val="24"/>
        </w:rPr>
        <w:t>3 projekty dotyczące rozwoju niestacjonarnych usług opiekuńczych na kwotę dofinansowania 3 139 175,35. Umowy zostały podpisane w 2019 r.</w:t>
      </w:r>
    </w:p>
    <w:p w14:paraId="0AAA1584" w14:textId="77777777" w:rsidR="0050177A" w:rsidRPr="005F0A32" w:rsidRDefault="0050177A" w:rsidP="00493925">
      <w:pPr>
        <w:pStyle w:val="Akapitzlist"/>
        <w:numPr>
          <w:ilvl w:val="0"/>
          <w:numId w:val="10"/>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 xml:space="preserve">konkurs Nr RPKP.09.03.02-IZ.00-04-180/18 – do dofinansowania przyjęto 44 projekty </w:t>
      </w:r>
      <w:r w:rsidR="00ED30C6">
        <w:rPr>
          <w:rFonts w:ascii="Times New Roman" w:eastAsia="CIDFont+F4" w:hAnsi="Times New Roman" w:cs="Times New Roman"/>
          <w:sz w:val="24"/>
          <w:szCs w:val="24"/>
        </w:rPr>
        <w:br/>
      </w:r>
      <w:r w:rsidRPr="005F0A32">
        <w:rPr>
          <w:rFonts w:ascii="Times New Roman" w:eastAsia="CIDFont+F4" w:hAnsi="Times New Roman" w:cs="Times New Roman"/>
          <w:sz w:val="24"/>
          <w:szCs w:val="24"/>
        </w:rPr>
        <w:t xml:space="preserve">na kwotę 70 451 368,80 zł, w tym 21 projektów dotyczy wsparcia Klubów Seniora (powstało/powstanie 26 Klubów Seniora), 12 projektów dotyczy utworzenia DDP (powstało/powstanie 27 DDP). W części projektów zaplanowano realizację więcej </w:t>
      </w:r>
      <w:r w:rsidR="00ED30C6">
        <w:rPr>
          <w:rFonts w:ascii="Times New Roman" w:eastAsia="CIDFont+F4" w:hAnsi="Times New Roman" w:cs="Times New Roman"/>
          <w:sz w:val="24"/>
          <w:szCs w:val="24"/>
        </w:rPr>
        <w:br/>
      </w:r>
      <w:r w:rsidRPr="005F0A32">
        <w:rPr>
          <w:rFonts w:ascii="Times New Roman" w:eastAsia="CIDFont+F4" w:hAnsi="Times New Roman" w:cs="Times New Roman"/>
          <w:sz w:val="24"/>
          <w:szCs w:val="24"/>
        </w:rPr>
        <w:t>niż jednego typu wsparcia lub utworzenie więcej niż jednego domu pobytu lub klubu seniora. Umo</w:t>
      </w:r>
      <w:r w:rsidR="00631378">
        <w:rPr>
          <w:rFonts w:ascii="Times New Roman" w:eastAsia="CIDFont+F4" w:hAnsi="Times New Roman" w:cs="Times New Roman"/>
          <w:sz w:val="24"/>
          <w:szCs w:val="24"/>
        </w:rPr>
        <w:t>wy zostały podpisane w 2019 r</w:t>
      </w:r>
      <w:r w:rsidRPr="005F0A32">
        <w:rPr>
          <w:rFonts w:ascii="Times New Roman" w:eastAsia="CIDFont+F4" w:hAnsi="Times New Roman" w:cs="Times New Roman"/>
          <w:sz w:val="24"/>
          <w:szCs w:val="24"/>
        </w:rPr>
        <w:t xml:space="preserve">. </w:t>
      </w:r>
    </w:p>
    <w:p w14:paraId="3A081D54" w14:textId="77777777" w:rsidR="00BF4703" w:rsidRPr="005F0A32" w:rsidRDefault="00BF4703" w:rsidP="00493925">
      <w:pPr>
        <w:autoSpaceDE w:val="0"/>
        <w:autoSpaceDN w:val="0"/>
        <w:adjustRightInd w:val="0"/>
        <w:spacing w:after="0"/>
        <w:jc w:val="both"/>
        <w:rPr>
          <w:rFonts w:ascii="Times New Roman" w:eastAsia="CIDFont+F4" w:hAnsi="Times New Roman" w:cs="Times New Roman"/>
          <w:sz w:val="24"/>
          <w:szCs w:val="24"/>
        </w:rPr>
      </w:pPr>
    </w:p>
    <w:p w14:paraId="6459F814" w14:textId="77777777" w:rsidR="0050177A" w:rsidRPr="005F0A32" w:rsidRDefault="0050177A" w:rsidP="00493925">
      <w:pPr>
        <w:autoSpaceDE w:val="0"/>
        <w:autoSpaceDN w:val="0"/>
        <w:adjustRightInd w:val="0"/>
        <w:spacing w:after="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Ogłoszone konkursy w 2019 r. na usługi opiekuńcze:</w:t>
      </w:r>
    </w:p>
    <w:p w14:paraId="6A8F0BED" w14:textId="77777777" w:rsidR="00BF4703" w:rsidRPr="005F0A32" w:rsidRDefault="0050177A" w:rsidP="00493925">
      <w:pPr>
        <w:pStyle w:val="Akapitzlist"/>
        <w:numPr>
          <w:ilvl w:val="0"/>
          <w:numId w:val="11"/>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konkurs Nr RPKP.09.01.02-IZ.00-04-319/19 – do dofinansowania przyjęto 11 projektów na kwotę 9 362 070,88 zł, w tym 7 projektów wsparcia Klubów Seniora (powstanie 11 Klubów Seniora), 5 projektów dotyczących niestacjonarnych usług opiekuńczych, 1 projekt dotyczy utworzenia DDP. Umowy zostały podpisane w 2020 roku.</w:t>
      </w:r>
    </w:p>
    <w:p w14:paraId="0CC97C2F" w14:textId="77777777" w:rsidR="00DA4452" w:rsidRDefault="00DA4452" w:rsidP="00493925">
      <w:pPr>
        <w:autoSpaceDE w:val="0"/>
        <w:autoSpaceDN w:val="0"/>
        <w:adjustRightInd w:val="0"/>
        <w:spacing w:after="0"/>
        <w:jc w:val="both"/>
        <w:rPr>
          <w:rFonts w:ascii="Times New Roman" w:hAnsi="Times New Roman" w:cs="Times New Roman"/>
          <w:sz w:val="24"/>
          <w:szCs w:val="24"/>
          <w:u w:val="single"/>
        </w:rPr>
      </w:pPr>
    </w:p>
    <w:p w14:paraId="28ADDEEF" w14:textId="77777777" w:rsidR="0050177A" w:rsidRPr="005F0A32" w:rsidRDefault="0050177A" w:rsidP="00493925">
      <w:pPr>
        <w:autoSpaceDE w:val="0"/>
        <w:autoSpaceDN w:val="0"/>
        <w:adjustRightInd w:val="0"/>
        <w:spacing w:after="0"/>
        <w:jc w:val="both"/>
        <w:rPr>
          <w:rFonts w:ascii="Times New Roman" w:eastAsia="CIDFont+F4" w:hAnsi="Times New Roman" w:cs="Times New Roman"/>
          <w:sz w:val="24"/>
          <w:szCs w:val="24"/>
        </w:rPr>
      </w:pPr>
      <w:r w:rsidRPr="00DA4452">
        <w:rPr>
          <w:rFonts w:ascii="Times New Roman" w:hAnsi="Times New Roman" w:cs="Times New Roman"/>
          <w:sz w:val="24"/>
          <w:szCs w:val="24"/>
        </w:rPr>
        <w:t xml:space="preserve">Kujawsko-Pomorski Program Pomocy Społecznej i Włączenia Społecznego na lata 2019-2020, </w:t>
      </w:r>
      <w:r w:rsidRPr="005F0A32">
        <w:rPr>
          <w:rFonts w:ascii="Times New Roman" w:hAnsi="Times New Roman" w:cs="Times New Roman"/>
          <w:sz w:val="24"/>
          <w:szCs w:val="24"/>
        </w:rPr>
        <w:t>którego r</w:t>
      </w:r>
      <w:r w:rsidR="003C3FD9">
        <w:rPr>
          <w:rFonts w:ascii="Times New Roman" w:hAnsi="Times New Roman" w:cs="Times New Roman"/>
          <w:sz w:val="24"/>
          <w:szCs w:val="24"/>
        </w:rPr>
        <w:t>ealizację rozpoczęto w 2019 r. D</w:t>
      </w:r>
      <w:r w:rsidRPr="005F0A32">
        <w:rPr>
          <w:rFonts w:ascii="Times New Roman" w:hAnsi="Times New Roman" w:cs="Times New Roman"/>
          <w:sz w:val="24"/>
          <w:szCs w:val="24"/>
        </w:rPr>
        <w:t>okument jest  integralną częścią Strategii Polityki Społecznej oraz Strategii Rozwoju Województwa</w:t>
      </w:r>
      <w:r w:rsidRPr="005F0A32">
        <w:rPr>
          <w:rFonts w:ascii="Times New Roman" w:hAnsi="Times New Roman" w:cs="Times New Roman"/>
          <w:i/>
          <w:iCs/>
          <w:sz w:val="24"/>
          <w:szCs w:val="24"/>
        </w:rPr>
        <w:t>.</w:t>
      </w:r>
    </w:p>
    <w:p w14:paraId="314E31B8" w14:textId="77777777" w:rsidR="00DA4452" w:rsidRDefault="00DA4452" w:rsidP="00493925">
      <w:pPr>
        <w:autoSpaceDE w:val="0"/>
        <w:autoSpaceDN w:val="0"/>
        <w:adjustRightInd w:val="0"/>
        <w:spacing w:after="0"/>
        <w:jc w:val="both"/>
        <w:rPr>
          <w:rFonts w:ascii="Times New Roman" w:eastAsia="CIDFont+F4" w:hAnsi="Times New Roman" w:cs="Times New Roman"/>
          <w:sz w:val="24"/>
          <w:szCs w:val="24"/>
        </w:rPr>
      </w:pPr>
    </w:p>
    <w:p w14:paraId="1FD630D8" w14:textId="77777777" w:rsidR="0050177A" w:rsidRPr="005F0A32" w:rsidRDefault="00DA4452" w:rsidP="00493925">
      <w:pPr>
        <w:autoSpaceDE w:val="0"/>
        <w:autoSpaceDN w:val="0"/>
        <w:adjustRightInd w:val="0"/>
        <w:spacing w:after="0"/>
        <w:jc w:val="both"/>
        <w:rPr>
          <w:rFonts w:ascii="Times New Roman" w:eastAsia="CIDFont+F4" w:hAnsi="Times New Roman" w:cs="Times New Roman"/>
          <w:sz w:val="24"/>
          <w:szCs w:val="24"/>
        </w:rPr>
      </w:pPr>
      <w:r>
        <w:rPr>
          <w:rFonts w:ascii="Times New Roman" w:eastAsia="CIDFont+F4" w:hAnsi="Times New Roman" w:cs="Times New Roman"/>
          <w:sz w:val="24"/>
          <w:szCs w:val="24"/>
        </w:rPr>
        <w:t>W 2019 r.</w:t>
      </w:r>
      <w:r w:rsidR="0050177A" w:rsidRPr="005F0A32">
        <w:rPr>
          <w:rFonts w:ascii="Times New Roman" w:eastAsia="CIDFont+F4" w:hAnsi="Times New Roman" w:cs="Times New Roman"/>
          <w:sz w:val="24"/>
          <w:szCs w:val="24"/>
        </w:rPr>
        <w:t xml:space="preserve"> osiągnięto m.in. następujące wskaźniki w obszarze wsparcia osób starszych: </w:t>
      </w:r>
    </w:p>
    <w:p w14:paraId="771C8F81" w14:textId="77777777" w:rsidR="0050177A" w:rsidRPr="005F0A32" w:rsidRDefault="0050177A" w:rsidP="00493925">
      <w:pPr>
        <w:pStyle w:val="Akapitzlist"/>
        <w:numPr>
          <w:ilvl w:val="0"/>
          <w:numId w:val="6"/>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614 osób, które skorzystały z usług Regionalnego Centrum Informacji Senioralnej;</w:t>
      </w:r>
    </w:p>
    <w:p w14:paraId="1DBA3B2E" w14:textId="77777777" w:rsidR="0050177A" w:rsidRPr="005F0A32" w:rsidRDefault="0050177A" w:rsidP="00493925">
      <w:pPr>
        <w:pStyle w:val="Akapitzlist"/>
        <w:numPr>
          <w:ilvl w:val="0"/>
          <w:numId w:val="6"/>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lastRenderedPageBreak/>
        <w:t xml:space="preserve">210 osób niesamodzielnych objętych zostało wsparciem teleopieki; </w:t>
      </w:r>
    </w:p>
    <w:p w14:paraId="0C7D1C2C" w14:textId="77777777" w:rsidR="0050177A" w:rsidRPr="005F0A32" w:rsidRDefault="0050177A" w:rsidP="00493925">
      <w:pPr>
        <w:pStyle w:val="Akapitzlist"/>
        <w:numPr>
          <w:ilvl w:val="0"/>
          <w:numId w:val="6"/>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593 osoby, które uczestniczyły w konferencjach i spotkaniach, prezentujących dobre praktyki w obszarze pomocy i wsparcia osób starszych.</w:t>
      </w:r>
    </w:p>
    <w:p w14:paraId="36AE69E6" w14:textId="77777777" w:rsidR="0050177A" w:rsidRPr="005F0A32" w:rsidRDefault="0050177A" w:rsidP="00493925">
      <w:pPr>
        <w:pStyle w:val="Akapitzlist"/>
        <w:autoSpaceDE w:val="0"/>
        <w:autoSpaceDN w:val="0"/>
        <w:adjustRightInd w:val="0"/>
        <w:spacing w:after="0"/>
        <w:ind w:left="1146"/>
        <w:jc w:val="both"/>
        <w:rPr>
          <w:rFonts w:ascii="Times New Roman" w:eastAsia="CIDFont+F4" w:hAnsi="Times New Roman" w:cs="Times New Roman"/>
          <w:sz w:val="24"/>
          <w:szCs w:val="24"/>
        </w:rPr>
      </w:pPr>
    </w:p>
    <w:p w14:paraId="5C2172F2" w14:textId="77777777" w:rsidR="0050177A" w:rsidRPr="00DA4452" w:rsidRDefault="0050177A" w:rsidP="00493925">
      <w:pPr>
        <w:autoSpaceDE w:val="0"/>
        <w:autoSpaceDN w:val="0"/>
        <w:adjustRightInd w:val="0"/>
        <w:spacing w:after="0"/>
        <w:jc w:val="both"/>
        <w:rPr>
          <w:rFonts w:ascii="Times New Roman" w:hAnsi="Times New Roman" w:cs="Times New Roman"/>
          <w:sz w:val="24"/>
          <w:szCs w:val="24"/>
        </w:rPr>
      </w:pPr>
      <w:r w:rsidRPr="003C3FD9">
        <w:rPr>
          <w:rFonts w:ascii="Times New Roman" w:hAnsi="Times New Roman" w:cs="Times New Roman"/>
          <w:b/>
          <w:sz w:val="24"/>
          <w:szCs w:val="24"/>
        </w:rPr>
        <w:t xml:space="preserve">Program profilaktyki zakażeń pneumokokowych wśród osób dorosłych w oparciu </w:t>
      </w:r>
      <w:r w:rsidRPr="003C3FD9">
        <w:rPr>
          <w:rFonts w:ascii="Times New Roman" w:hAnsi="Times New Roman" w:cs="Times New Roman"/>
          <w:b/>
          <w:sz w:val="24"/>
          <w:szCs w:val="24"/>
        </w:rPr>
        <w:br/>
        <w:t>o szczepienia przeciwko pneumokokom w województwie kujawsko-pomorskim</w:t>
      </w:r>
      <w:r w:rsidRPr="00DA4452">
        <w:rPr>
          <w:rFonts w:ascii="Times New Roman" w:hAnsi="Times New Roman" w:cs="Times New Roman"/>
          <w:sz w:val="24"/>
          <w:szCs w:val="24"/>
        </w:rPr>
        <w:t>.</w:t>
      </w:r>
      <w:r w:rsidR="00DA4452">
        <w:rPr>
          <w:rFonts w:ascii="Times New Roman" w:hAnsi="Times New Roman" w:cs="Times New Roman"/>
          <w:sz w:val="24"/>
          <w:szCs w:val="24"/>
        </w:rPr>
        <w:t xml:space="preserve"> </w:t>
      </w:r>
      <w:r w:rsidRPr="00DA4452">
        <w:rPr>
          <w:rFonts w:ascii="Times New Roman" w:hAnsi="Times New Roman" w:cs="Times New Roman"/>
          <w:sz w:val="24"/>
          <w:szCs w:val="24"/>
        </w:rPr>
        <w:t xml:space="preserve">Wraz </w:t>
      </w:r>
      <w:r w:rsidR="00DA4452">
        <w:rPr>
          <w:rFonts w:ascii="Times New Roman" w:hAnsi="Times New Roman" w:cs="Times New Roman"/>
          <w:sz w:val="24"/>
          <w:szCs w:val="24"/>
        </w:rPr>
        <w:br/>
      </w:r>
      <w:r w:rsidRPr="00DA4452">
        <w:rPr>
          <w:rFonts w:ascii="Times New Roman" w:hAnsi="Times New Roman" w:cs="Times New Roman"/>
          <w:sz w:val="24"/>
          <w:szCs w:val="24"/>
        </w:rPr>
        <w:t>z wiekiem rośnie zarówno zapadalność jak i śmiertelność z powodu inwazyjnej choroby pneumokokowej. Śmiertelność w grupie osób po 65 roku życia jest ponad pięciokrotnie wyższa, niż w grupie osób w wieku 35-49 lat.</w:t>
      </w:r>
      <w:r w:rsidR="00DA4452">
        <w:rPr>
          <w:rFonts w:ascii="Times New Roman" w:hAnsi="Times New Roman" w:cs="Times New Roman"/>
          <w:sz w:val="24"/>
          <w:szCs w:val="24"/>
        </w:rPr>
        <w:t xml:space="preserve"> </w:t>
      </w:r>
      <w:r w:rsidRPr="00DA4452">
        <w:rPr>
          <w:rFonts w:ascii="Times New Roman" w:hAnsi="Times New Roman" w:cs="Times New Roman"/>
          <w:sz w:val="24"/>
          <w:szCs w:val="24"/>
        </w:rPr>
        <w:t>Program realizowany jest przez samorząd województwa we współpracy z jednostkami samorządu terytorialnego (od 2017 r.), które wyraziły wolę realizacji i podmiotami leczniczymi wybranymi w drodze postępowania konkursowego.</w:t>
      </w:r>
      <w:r w:rsidR="00DA4452">
        <w:rPr>
          <w:rFonts w:ascii="Times New Roman" w:hAnsi="Times New Roman" w:cs="Times New Roman"/>
          <w:sz w:val="24"/>
          <w:szCs w:val="24"/>
        </w:rPr>
        <w:t xml:space="preserve"> </w:t>
      </w:r>
      <w:r w:rsidR="00DA4452">
        <w:rPr>
          <w:rFonts w:ascii="Times New Roman" w:hAnsi="Times New Roman" w:cs="Times New Roman"/>
          <w:sz w:val="24"/>
          <w:szCs w:val="24"/>
        </w:rPr>
        <w:br/>
      </w:r>
      <w:r w:rsidRPr="005F0A32">
        <w:rPr>
          <w:rFonts w:ascii="Times New Roman" w:hAnsi="Times New Roman" w:cs="Times New Roman"/>
          <w:sz w:val="24"/>
          <w:szCs w:val="24"/>
        </w:rPr>
        <w:t>Do programu zostały zaproszone osoby w wieku powyżej 65 lat, zameldowane na terenie województwa kujawsko-pomorskiego, które nie były szczepione szczepionką przeciwko pneumokokom i należą do grupy ryzyka – osoby leczące się z powodu przewlekłego nieżytu</w:t>
      </w:r>
      <w:r w:rsidR="00DA4452">
        <w:rPr>
          <w:rFonts w:ascii="Times New Roman" w:hAnsi="Times New Roman" w:cs="Times New Roman"/>
          <w:sz w:val="24"/>
          <w:szCs w:val="24"/>
        </w:rPr>
        <w:t xml:space="preserve"> oskrzeli i astmy oskrzelowej. </w:t>
      </w:r>
      <w:r w:rsidRPr="005F0A32">
        <w:rPr>
          <w:rFonts w:ascii="Times New Roman" w:eastAsia="CIDFont+F4" w:hAnsi="Times New Roman" w:cs="Times New Roman"/>
          <w:sz w:val="24"/>
          <w:szCs w:val="24"/>
        </w:rPr>
        <w:t>Zrealizowano wszystkie zaplanowane na 2019 r. działania, ale nie osiągnięto 100% wskaźników (zaplanowano udział 1 710 osób w programie, zas</w:t>
      </w:r>
      <w:r w:rsidR="00DA4452">
        <w:rPr>
          <w:rFonts w:ascii="Times New Roman" w:eastAsia="CIDFont+F4" w:hAnsi="Times New Roman" w:cs="Times New Roman"/>
          <w:sz w:val="24"/>
          <w:szCs w:val="24"/>
        </w:rPr>
        <w:t xml:space="preserve">zczepionych zostało </w:t>
      </w:r>
      <w:r w:rsidRPr="005F0A32">
        <w:rPr>
          <w:rFonts w:ascii="Times New Roman" w:eastAsia="CIDFont+F4" w:hAnsi="Times New Roman" w:cs="Times New Roman"/>
          <w:sz w:val="24"/>
          <w:szCs w:val="24"/>
        </w:rPr>
        <w:t>1 439 osób co stanowiło 84,2%. Wskaźnik powyżej 70% zgłaszalności w programach przesiewowych jest wskaźnikiem świadczącym o wysokiej efektywności programu).</w:t>
      </w:r>
    </w:p>
    <w:p w14:paraId="0A439851" w14:textId="77777777" w:rsidR="0050177A" w:rsidRPr="005F0A32" w:rsidRDefault="0050177A" w:rsidP="00493925">
      <w:pPr>
        <w:autoSpaceDE w:val="0"/>
        <w:autoSpaceDN w:val="0"/>
        <w:adjustRightInd w:val="0"/>
        <w:spacing w:after="0"/>
        <w:ind w:left="426"/>
        <w:jc w:val="both"/>
        <w:rPr>
          <w:rFonts w:ascii="Times New Roman" w:eastAsia="CIDFont+F4" w:hAnsi="Times New Roman" w:cs="Times New Roman"/>
          <w:sz w:val="24"/>
          <w:szCs w:val="24"/>
        </w:rPr>
      </w:pPr>
    </w:p>
    <w:p w14:paraId="5E370C34" w14:textId="77777777" w:rsidR="0050177A" w:rsidRPr="00DA4452" w:rsidRDefault="0050177A" w:rsidP="00493925">
      <w:pPr>
        <w:spacing w:after="0"/>
        <w:jc w:val="both"/>
        <w:rPr>
          <w:rFonts w:ascii="Times New Roman" w:hAnsi="Times New Roman" w:cs="Times New Roman"/>
          <w:sz w:val="24"/>
          <w:szCs w:val="24"/>
          <w:u w:val="single"/>
        </w:rPr>
      </w:pPr>
      <w:r w:rsidRPr="003C3FD9">
        <w:rPr>
          <w:rFonts w:ascii="Times New Roman" w:hAnsi="Times New Roman" w:cs="Times New Roman"/>
          <w:b/>
          <w:sz w:val="24"/>
          <w:szCs w:val="24"/>
        </w:rPr>
        <w:t>Kujawsko-Pomorski Program Badań Przesiewowych w Kierunku Tętniaka Aorty Brzusznej.</w:t>
      </w:r>
      <w:r w:rsidRPr="00DA4452">
        <w:rPr>
          <w:rFonts w:ascii="Times New Roman" w:hAnsi="Times New Roman" w:cs="Times New Roman"/>
          <w:sz w:val="24"/>
          <w:szCs w:val="24"/>
        </w:rPr>
        <w:t xml:space="preserve"> </w:t>
      </w:r>
      <w:r w:rsidRPr="005F0A32">
        <w:rPr>
          <w:rFonts w:ascii="Times New Roman" w:hAnsi="Times New Roman" w:cs="Times New Roman"/>
          <w:sz w:val="24"/>
          <w:szCs w:val="24"/>
        </w:rPr>
        <w:t>Program jest realizowany w województwie kujawsko-pomorskim od 2012</w:t>
      </w:r>
      <w:r w:rsidR="00DA4452">
        <w:rPr>
          <w:rFonts w:ascii="Times New Roman" w:hAnsi="Times New Roman" w:cs="Times New Roman"/>
          <w:sz w:val="24"/>
          <w:szCs w:val="24"/>
        </w:rPr>
        <w:t xml:space="preserve"> r</w:t>
      </w:r>
      <w:r w:rsidRPr="005F0A32">
        <w:rPr>
          <w:rFonts w:ascii="Times New Roman" w:hAnsi="Times New Roman" w:cs="Times New Roman"/>
          <w:sz w:val="24"/>
          <w:szCs w:val="24"/>
        </w:rPr>
        <w:t>. Celem programu jest zwiększenie wczesnej wykrywalności tętniaków aorty brzusznej, zmniejszenie śmiertelności związanej z pękniętym tętniakiem aorty brzusznej oraz zwiększenie wiedzy mieszkańców regionu na temat tętniaka aorty brzusznej i czynników ryzyka. Program skierowany jest do mężczyzn w wieku 65-74 lata, palących papierosy, będących mieszkańcami województwa kujawsko-pomorskiego.</w:t>
      </w:r>
      <w:r w:rsidR="00DA4452" w:rsidRPr="00861519">
        <w:rPr>
          <w:rFonts w:ascii="Times New Roman" w:hAnsi="Times New Roman" w:cs="Times New Roman"/>
          <w:sz w:val="24"/>
          <w:szCs w:val="24"/>
        </w:rPr>
        <w:t xml:space="preserve"> </w:t>
      </w:r>
      <w:r w:rsidRPr="005F0A32">
        <w:rPr>
          <w:rFonts w:ascii="Times New Roman" w:eastAsia="CIDFont+F4" w:hAnsi="Times New Roman" w:cs="Times New Roman"/>
          <w:sz w:val="24"/>
          <w:szCs w:val="24"/>
        </w:rPr>
        <w:t xml:space="preserve">Zrealizowano wszystkie zaplanowane na 2019 r. działania, ale nie osiągnięto 100% wskaźników (zaplanowano udział 990 osób w programie, przebadanych zostało 675 osób co stanowiło 68,2%. Wskaźnik nie został osiągnięty w 100% </w:t>
      </w:r>
      <w:r w:rsidR="00DA4452">
        <w:rPr>
          <w:rFonts w:ascii="Times New Roman" w:eastAsia="CIDFont+F4" w:hAnsi="Times New Roman" w:cs="Times New Roman"/>
          <w:sz w:val="24"/>
          <w:szCs w:val="24"/>
        </w:rPr>
        <w:br/>
      </w:r>
      <w:r w:rsidRPr="005F0A32">
        <w:rPr>
          <w:rFonts w:ascii="Times New Roman" w:eastAsia="CIDFont+F4" w:hAnsi="Times New Roman" w:cs="Times New Roman"/>
          <w:sz w:val="24"/>
          <w:szCs w:val="24"/>
        </w:rPr>
        <w:t>ze względu na niską świadomość zdrowotną i małe zaangażowanie realizatorów).</w:t>
      </w:r>
    </w:p>
    <w:p w14:paraId="00DC0A40" w14:textId="77777777" w:rsidR="0050177A" w:rsidRPr="005F0A32" w:rsidRDefault="0050177A" w:rsidP="00493925">
      <w:pPr>
        <w:autoSpaceDE w:val="0"/>
        <w:autoSpaceDN w:val="0"/>
        <w:adjustRightInd w:val="0"/>
        <w:spacing w:after="0"/>
        <w:ind w:left="426"/>
        <w:jc w:val="both"/>
        <w:rPr>
          <w:rFonts w:ascii="Times New Roman" w:eastAsia="CIDFont+F4" w:hAnsi="Times New Roman" w:cs="Times New Roman"/>
          <w:sz w:val="24"/>
          <w:szCs w:val="24"/>
        </w:rPr>
      </w:pPr>
    </w:p>
    <w:p w14:paraId="1481E72F" w14:textId="77777777" w:rsidR="0050177A" w:rsidRPr="005F0A32" w:rsidRDefault="0050177A" w:rsidP="00493925">
      <w:pPr>
        <w:spacing w:after="0"/>
        <w:jc w:val="both"/>
        <w:rPr>
          <w:rFonts w:ascii="Times New Roman" w:hAnsi="Times New Roman" w:cs="Times New Roman"/>
          <w:sz w:val="24"/>
          <w:szCs w:val="24"/>
        </w:rPr>
      </w:pPr>
      <w:r w:rsidRPr="003C3FD9">
        <w:rPr>
          <w:rFonts w:ascii="Times New Roman" w:hAnsi="Times New Roman" w:cs="Times New Roman"/>
          <w:b/>
          <w:sz w:val="24"/>
          <w:szCs w:val="24"/>
        </w:rPr>
        <w:t xml:space="preserve">Program zapobiegania upadkom dla seniorów w </w:t>
      </w:r>
      <w:r w:rsidR="00954A0B" w:rsidRPr="003C3FD9">
        <w:rPr>
          <w:rFonts w:ascii="Times New Roman" w:hAnsi="Times New Roman" w:cs="Times New Roman"/>
          <w:b/>
          <w:sz w:val="24"/>
          <w:szCs w:val="24"/>
        </w:rPr>
        <w:t>województwie kujawsko-pomorskim.</w:t>
      </w:r>
      <w:r w:rsidR="00954A0B">
        <w:rPr>
          <w:rFonts w:ascii="Times New Roman" w:hAnsi="Times New Roman" w:cs="Times New Roman"/>
          <w:sz w:val="24"/>
          <w:szCs w:val="24"/>
        </w:rPr>
        <w:t xml:space="preserve"> </w:t>
      </w:r>
      <w:r w:rsidRPr="005F0A32">
        <w:rPr>
          <w:rFonts w:ascii="Times New Roman" w:hAnsi="Times New Roman" w:cs="Times New Roman"/>
          <w:sz w:val="24"/>
          <w:szCs w:val="24"/>
        </w:rPr>
        <w:t xml:space="preserve">Głównym celem programu jest zmniejszenie liczby upadków i urazów wśród osób </w:t>
      </w:r>
      <w:r w:rsidRPr="005F0A32">
        <w:rPr>
          <w:rFonts w:ascii="Times New Roman" w:hAnsi="Times New Roman" w:cs="Times New Roman"/>
          <w:sz w:val="24"/>
          <w:szCs w:val="24"/>
        </w:rPr>
        <w:br/>
        <w:t>po 60 r.ż. uczestniczących w programie. Cele szczegółowe programu to:</w:t>
      </w:r>
    </w:p>
    <w:p w14:paraId="568EB6D0" w14:textId="77777777" w:rsidR="0050177A" w:rsidRPr="005F0A32" w:rsidRDefault="0050177A" w:rsidP="00493925">
      <w:pPr>
        <w:numPr>
          <w:ilvl w:val="0"/>
          <w:numId w:val="4"/>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poprawa sprawności fizycznej oraz wykształcenie nawyków systematycznych ćwiczeń fizycznych wśród uczestników programu;</w:t>
      </w:r>
    </w:p>
    <w:p w14:paraId="3C082C82" w14:textId="77777777" w:rsidR="0050177A" w:rsidRPr="005F0A32" w:rsidRDefault="0050177A" w:rsidP="00493925">
      <w:pPr>
        <w:numPr>
          <w:ilvl w:val="0"/>
          <w:numId w:val="4"/>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zwiększenie wiedzy uczestników programu dotyczącej wpływu aktywności fizycznej na zdrowie;</w:t>
      </w:r>
    </w:p>
    <w:p w14:paraId="20A0386B" w14:textId="77777777" w:rsidR="0050177A" w:rsidRPr="005F0A32" w:rsidRDefault="0050177A" w:rsidP="00493925">
      <w:pPr>
        <w:numPr>
          <w:ilvl w:val="0"/>
          <w:numId w:val="4"/>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zwiększenie liczby trenerów przygotowanych do pracy z osobami powyżej 60 r.ż.</w:t>
      </w:r>
    </w:p>
    <w:p w14:paraId="3DA11565" w14:textId="77777777" w:rsidR="00954A0B" w:rsidRDefault="00954A0B" w:rsidP="00493925">
      <w:pPr>
        <w:spacing w:after="0"/>
        <w:jc w:val="both"/>
        <w:rPr>
          <w:rFonts w:ascii="Times New Roman" w:hAnsi="Times New Roman" w:cs="Times New Roman"/>
          <w:sz w:val="24"/>
          <w:szCs w:val="24"/>
        </w:rPr>
      </w:pPr>
    </w:p>
    <w:p w14:paraId="67BEAA31" w14:textId="77777777" w:rsidR="0050177A" w:rsidRPr="00954A0B" w:rsidRDefault="0050177A" w:rsidP="00493925">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Program skierowany jest do osób w wieku od 60 r.ż. zamieszkałych na terenie gmin </w:t>
      </w:r>
      <w:r w:rsidRPr="005F0A32">
        <w:rPr>
          <w:rFonts w:ascii="Times New Roman" w:hAnsi="Times New Roman" w:cs="Times New Roman"/>
          <w:sz w:val="24"/>
          <w:szCs w:val="24"/>
        </w:rPr>
        <w:br/>
        <w:t>z województwa kujawsko-pomorskiego, które zadekla</w:t>
      </w:r>
      <w:r w:rsidR="00954A0B">
        <w:rPr>
          <w:rFonts w:ascii="Times New Roman" w:hAnsi="Times New Roman" w:cs="Times New Roman"/>
          <w:sz w:val="24"/>
          <w:szCs w:val="24"/>
        </w:rPr>
        <w:t xml:space="preserve">rowały swój udział w programie. </w:t>
      </w:r>
      <w:r w:rsidRPr="005F0A32">
        <w:rPr>
          <w:rFonts w:ascii="Times New Roman" w:hAnsi="Times New Roman" w:cs="Times New Roman"/>
          <w:sz w:val="24"/>
          <w:szCs w:val="24"/>
        </w:rPr>
        <w:t xml:space="preserve">Adresaci programu trzy razy w tygodniu uczestniczą w specjalnie dla nich dobranych ćwiczeniach fizycznych, w niewielkich grupach. Dowiadują się też jak unikać niebezpiecznych sytuacji m. in. w miejscu zamieszkania i środkach komunikacji publicznej, a także jak dzięki zdrowemu ruchowi i właściwej diecie zachować sprawność do późnych lat. </w:t>
      </w:r>
      <w:r w:rsidRPr="005F0A32">
        <w:rPr>
          <w:rFonts w:ascii="Times New Roman" w:eastAsia="CIDFont+F4" w:hAnsi="Times New Roman" w:cs="Times New Roman"/>
          <w:sz w:val="24"/>
          <w:szCs w:val="24"/>
        </w:rPr>
        <w:t xml:space="preserve">Zrealizowano </w:t>
      </w:r>
      <w:r w:rsidRPr="005F0A32">
        <w:rPr>
          <w:rFonts w:ascii="Times New Roman" w:eastAsia="CIDFont+F4" w:hAnsi="Times New Roman" w:cs="Times New Roman"/>
          <w:sz w:val="24"/>
          <w:szCs w:val="24"/>
        </w:rPr>
        <w:lastRenderedPageBreak/>
        <w:t xml:space="preserve">wszystkie zaplanowane na 2019 r. działania, ale nie osiągnięto 100% wartości wskaźników (zaplanowano udział 995 osób w programie, natomiast uczestniczyło 788 osób. Wskaźnik </w:t>
      </w:r>
      <w:r w:rsidR="00954A0B">
        <w:rPr>
          <w:rFonts w:ascii="Times New Roman" w:eastAsia="CIDFont+F4" w:hAnsi="Times New Roman" w:cs="Times New Roman"/>
          <w:sz w:val="24"/>
          <w:szCs w:val="24"/>
        </w:rPr>
        <w:br/>
      </w:r>
      <w:r w:rsidRPr="005F0A32">
        <w:rPr>
          <w:rFonts w:ascii="Times New Roman" w:eastAsia="CIDFont+F4" w:hAnsi="Times New Roman" w:cs="Times New Roman"/>
          <w:sz w:val="24"/>
          <w:szCs w:val="24"/>
        </w:rPr>
        <w:t>nie zosta</w:t>
      </w:r>
      <w:r w:rsidR="00954A0B">
        <w:rPr>
          <w:rFonts w:ascii="Times New Roman" w:eastAsia="CIDFont+F4" w:hAnsi="Times New Roman" w:cs="Times New Roman"/>
          <w:sz w:val="24"/>
          <w:szCs w:val="24"/>
        </w:rPr>
        <w:t xml:space="preserve">ł osiągnięty w 100% ze względu </w:t>
      </w:r>
      <w:r w:rsidRPr="005F0A32">
        <w:rPr>
          <w:rFonts w:ascii="Times New Roman" w:eastAsia="CIDFont+F4" w:hAnsi="Times New Roman" w:cs="Times New Roman"/>
          <w:sz w:val="24"/>
          <w:szCs w:val="24"/>
        </w:rPr>
        <w:t>na stwierdzone przeciwwskazania do ćwiczeń).</w:t>
      </w:r>
    </w:p>
    <w:p w14:paraId="1894063A" w14:textId="77777777" w:rsidR="0050177A" w:rsidRPr="00861519" w:rsidRDefault="0050177A" w:rsidP="00493925">
      <w:pPr>
        <w:spacing w:after="0"/>
        <w:jc w:val="both"/>
        <w:rPr>
          <w:rFonts w:ascii="Times New Roman" w:hAnsi="Times New Roman" w:cs="Times New Roman"/>
          <w:sz w:val="24"/>
          <w:szCs w:val="24"/>
        </w:rPr>
      </w:pPr>
    </w:p>
    <w:p w14:paraId="01BF8C2E" w14:textId="77777777" w:rsidR="0050177A" w:rsidRPr="005F0A32" w:rsidRDefault="0050177A" w:rsidP="00493925">
      <w:pPr>
        <w:spacing w:after="0"/>
        <w:jc w:val="both"/>
        <w:rPr>
          <w:rFonts w:ascii="Times New Roman" w:hAnsi="Times New Roman" w:cs="Times New Roman"/>
          <w:sz w:val="24"/>
          <w:szCs w:val="24"/>
        </w:rPr>
      </w:pPr>
      <w:r w:rsidRPr="00954A0B">
        <w:rPr>
          <w:rFonts w:ascii="Times New Roman" w:hAnsi="Times New Roman" w:cs="Times New Roman"/>
          <w:sz w:val="24"/>
          <w:szCs w:val="24"/>
        </w:rPr>
        <w:t>Otwarty konkurs ofert na wykonywanie zadań publicznych związanych z realizacją zadań S</w:t>
      </w:r>
      <w:r w:rsidR="00861519">
        <w:rPr>
          <w:rFonts w:ascii="Times New Roman" w:hAnsi="Times New Roman" w:cs="Times New Roman"/>
          <w:sz w:val="24"/>
          <w:szCs w:val="24"/>
        </w:rPr>
        <w:t>amorządu Województwa w 2019 r.</w:t>
      </w:r>
      <w:r w:rsidRPr="00954A0B">
        <w:rPr>
          <w:rFonts w:ascii="Times New Roman" w:hAnsi="Times New Roman" w:cs="Times New Roman"/>
          <w:sz w:val="24"/>
          <w:szCs w:val="24"/>
        </w:rPr>
        <w:t xml:space="preserve"> w zakresie pomocy społecznej, pod nazwą: WSPIERANIE AKTYWIZACJI I INTEGRACJI SPOŁECZNEJ SENIORÓW. Celem otwartego konkursu było wspieranie aktywizacji i integracji społecznej seniorów. Przewidziano dofinansowanie z</w:t>
      </w:r>
      <w:r w:rsidR="00861519">
        <w:rPr>
          <w:rFonts w:ascii="Times New Roman" w:hAnsi="Times New Roman" w:cs="Times New Roman"/>
          <w:sz w:val="24"/>
          <w:szCs w:val="24"/>
        </w:rPr>
        <w:t xml:space="preserve">adań w następujących obszarach: </w:t>
      </w:r>
      <w:r w:rsidRPr="00861519">
        <w:rPr>
          <w:rFonts w:ascii="Times New Roman" w:hAnsi="Times New Roman" w:cs="Times New Roman"/>
          <w:sz w:val="24"/>
          <w:szCs w:val="24"/>
        </w:rPr>
        <w:t xml:space="preserve">półkolonie, warsztaty i inne inicjatywy mające na </w:t>
      </w:r>
      <w:r w:rsidR="00861519">
        <w:rPr>
          <w:rFonts w:ascii="Times New Roman" w:hAnsi="Times New Roman" w:cs="Times New Roman"/>
          <w:sz w:val="24"/>
          <w:szCs w:val="24"/>
        </w:rPr>
        <w:t xml:space="preserve">celu integrację osób starszych </w:t>
      </w:r>
      <w:r w:rsidRPr="00861519">
        <w:rPr>
          <w:rFonts w:ascii="Times New Roman" w:hAnsi="Times New Roman" w:cs="Times New Roman"/>
          <w:sz w:val="24"/>
          <w:szCs w:val="24"/>
        </w:rPr>
        <w:t>z młodszym p</w:t>
      </w:r>
      <w:r w:rsidR="00861519">
        <w:rPr>
          <w:rFonts w:ascii="Times New Roman" w:hAnsi="Times New Roman" w:cs="Times New Roman"/>
          <w:sz w:val="24"/>
          <w:szCs w:val="24"/>
        </w:rPr>
        <w:t xml:space="preserve">okoleniem (dziećmi i młodzieżą), a także </w:t>
      </w:r>
      <w:r w:rsidRPr="00861519">
        <w:rPr>
          <w:rFonts w:ascii="Times New Roman" w:hAnsi="Times New Roman" w:cs="Times New Roman"/>
          <w:sz w:val="24"/>
          <w:szCs w:val="24"/>
        </w:rPr>
        <w:t>działania mające na celu wspieranie aktywności społecznej osób starszych.</w:t>
      </w:r>
      <w:r w:rsidR="00861519">
        <w:rPr>
          <w:rFonts w:ascii="Times New Roman" w:hAnsi="Times New Roman" w:cs="Times New Roman"/>
          <w:sz w:val="24"/>
          <w:szCs w:val="24"/>
        </w:rPr>
        <w:t xml:space="preserve"> </w:t>
      </w:r>
      <w:r w:rsidRPr="005F0A32">
        <w:rPr>
          <w:rFonts w:ascii="Times New Roman" w:hAnsi="Times New Roman" w:cs="Times New Roman"/>
          <w:sz w:val="24"/>
          <w:szCs w:val="24"/>
        </w:rPr>
        <w:t>W ramach konkursu wpłynęło 58 ofert, z czego do realizacji wybrano 26 projektów</w:t>
      </w:r>
      <w:r w:rsidR="00861519">
        <w:rPr>
          <w:rFonts w:ascii="Times New Roman" w:hAnsi="Times New Roman" w:cs="Times New Roman"/>
          <w:sz w:val="24"/>
          <w:szCs w:val="24"/>
        </w:rPr>
        <w:t>, na łączną kwotę 90 tys.</w:t>
      </w:r>
      <w:r w:rsidRPr="005F0A32">
        <w:rPr>
          <w:rFonts w:ascii="Times New Roman" w:hAnsi="Times New Roman" w:cs="Times New Roman"/>
          <w:sz w:val="24"/>
          <w:szCs w:val="24"/>
        </w:rPr>
        <w:t xml:space="preserve"> złotych. W ramach projektów przewidziano szereg imprez rekreacyjnych, spotkań i zajęć edukacyjnych. Wśród organizacji, które otrzymały środki na realizację zadań były między innymi Fundacja Arka z Bydgoszczy, bydgoski oddział Polskiego Komitetu Pomocy Społecznej, Stowarzyszenie Na Rzecz Rozwoju Wsi Pruskie (powiat świecki), Stowarzyszenie Porozumienie Cheł</w:t>
      </w:r>
      <w:r w:rsidR="00861519">
        <w:rPr>
          <w:rFonts w:ascii="Times New Roman" w:hAnsi="Times New Roman" w:cs="Times New Roman"/>
          <w:sz w:val="24"/>
          <w:szCs w:val="24"/>
        </w:rPr>
        <w:t xml:space="preserve">mińskie i Fundacja Aktywizacji </w:t>
      </w:r>
      <w:r w:rsidRPr="005F0A32">
        <w:rPr>
          <w:rFonts w:ascii="Times New Roman" w:hAnsi="Times New Roman" w:cs="Times New Roman"/>
          <w:sz w:val="24"/>
          <w:szCs w:val="24"/>
        </w:rPr>
        <w:t>i Integracji w Nowem (powiat świecki)</w:t>
      </w:r>
      <w:r w:rsidRPr="005F0A32">
        <w:rPr>
          <w:rStyle w:val="Odwoanieprzypisudolnego"/>
          <w:rFonts w:ascii="Times New Roman" w:hAnsi="Times New Roman" w:cs="Times New Roman"/>
          <w:sz w:val="24"/>
          <w:szCs w:val="24"/>
        </w:rPr>
        <w:footnoteReference w:id="58"/>
      </w:r>
      <w:r w:rsidRPr="005F0A32">
        <w:rPr>
          <w:rFonts w:ascii="Times New Roman" w:hAnsi="Times New Roman" w:cs="Times New Roman"/>
          <w:sz w:val="24"/>
          <w:szCs w:val="24"/>
        </w:rPr>
        <w:t>.</w:t>
      </w:r>
    </w:p>
    <w:p w14:paraId="2C718187" w14:textId="77777777" w:rsidR="0050177A" w:rsidRPr="005F0A32" w:rsidRDefault="0050177A" w:rsidP="00493925">
      <w:pPr>
        <w:pStyle w:val="Akapitzlist"/>
        <w:spacing w:after="0"/>
        <w:ind w:left="709"/>
        <w:jc w:val="both"/>
        <w:rPr>
          <w:rFonts w:ascii="Times New Roman" w:hAnsi="Times New Roman" w:cs="Times New Roman"/>
          <w:sz w:val="24"/>
          <w:szCs w:val="24"/>
        </w:rPr>
      </w:pPr>
    </w:p>
    <w:p w14:paraId="1982D018" w14:textId="77777777" w:rsidR="0050177A" w:rsidRPr="00954A0B" w:rsidRDefault="0050177A" w:rsidP="00493925">
      <w:pPr>
        <w:pStyle w:val="Default"/>
        <w:spacing w:line="276" w:lineRule="auto"/>
        <w:jc w:val="both"/>
        <w:rPr>
          <w:rFonts w:ascii="Times New Roman" w:hAnsi="Times New Roman" w:cs="Times New Roman"/>
          <w:b/>
          <w:color w:val="auto"/>
        </w:rPr>
      </w:pPr>
      <w:r w:rsidRPr="00954A0B">
        <w:rPr>
          <w:rFonts w:ascii="Times New Roman" w:hAnsi="Times New Roman" w:cs="Times New Roman"/>
          <w:b/>
          <w:color w:val="auto"/>
        </w:rPr>
        <w:t>Wybrane organizacje działające na rzecz osób starszych.</w:t>
      </w:r>
    </w:p>
    <w:p w14:paraId="4A75EE1A" w14:textId="77777777" w:rsidR="0050177A" w:rsidRPr="00954A0B" w:rsidRDefault="0050177A" w:rsidP="00493925">
      <w:pPr>
        <w:pStyle w:val="Default"/>
        <w:spacing w:line="276" w:lineRule="auto"/>
        <w:ind w:left="426"/>
        <w:jc w:val="both"/>
        <w:rPr>
          <w:rFonts w:ascii="Times New Roman" w:hAnsi="Times New Roman" w:cs="Times New Roman"/>
          <w:b/>
          <w:color w:val="auto"/>
          <w:u w:val="single"/>
        </w:rPr>
      </w:pPr>
    </w:p>
    <w:p w14:paraId="293C3CEE" w14:textId="77777777" w:rsidR="0050177A" w:rsidRPr="00954A0B" w:rsidRDefault="0050177A" w:rsidP="00493925">
      <w:pPr>
        <w:spacing w:after="0"/>
        <w:jc w:val="both"/>
        <w:rPr>
          <w:rFonts w:ascii="Times New Roman" w:hAnsi="Times New Roman" w:cs="Times New Roman"/>
          <w:sz w:val="24"/>
          <w:szCs w:val="24"/>
        </w:rPr>
      </w:pPr>
      <w:r w:rsidRPr="00954A0B">
        <w:rPr>
          <w:rFonts w:ascii="Times New Roman" w:hAnsi="Times New Roman" w:cs="Times New Roman"/>
          <w:sz w:val="24"/>
          <w:szCs w:val="24"/>
        </w:rPr>
        <w:t>Fundacja TZMO „Ra</w:t>
      </w:r>
      <w:r w:rsidR="00954A0B" w:rsidRPr="00954A0B">
        <w:rPr>
          <w:rFonts w:ascii="Times New Roman" w:hAnsi="Times New Roman" w:cs="Times New Roman"/>
          <w:sz w:val="24"/>
          <w:szCs w:val="24"/>
        </w:rPr>
        <w:t xml:space="preserve">zem Zmieniamy Świat” z Torunia. </w:t>
      </w:r>
      <w:r w:rsidRPr="00954A0B">
        <w:rPr>
          <w:rFonts w:ascii="Times New Roman" w:hAnsi="Times New Roman" w:cs="Times New Roman"/>
          <w:sz w:val="24"/>
          <w:szCs w:val="24"/>
        </w:rPr>
        <w:t>Fundacja poprzez prowadzone projekty dociera z pomocą do różnych grup odbiorców, przede wszystkim podnosząc poziom wiedzy os</w:t>
      </w:r>
      <w:r w:rsidR="00954A0B" w:rsidRPr="00954A0B">
        <w:rPr>
          <w:rFonts w:ascii="Times New Roman" w:hAnsi="Times New Roman" w:cs="Times New Roman"/>
          <w:sz w:val="24"/>
          <w:szCs w:val="24"/>
        </w:rPr>
        <w:t xml:space="preserve">ób opiekujących się pacjentami </w:t>
      </w:r>
      <w:r w:rsidRPr="00954A0B">
        <w:rPr>
          <w:rFonts w:ascii="Times New Roman" w:hAnsi="Times New Roman" w:cs="Times New Roman"/>
          <w:sz w:val="24"/>
          <w:szCs w:val="24"/>
        </w:rPr>
        <w:t>przewlekle chorymi, starszymi, niesamodzielnymi. Funda</w:t>
      </w:r>
      <w:r w:rsidR="00954A0B" w:rsidRPr="00954A0B">
        <w:rPr>
          <w:rFonts w:ascii="Times New Roman" w:hAnsi="Times New Roman" w:cs="Times New Roman"/>
          <w:sz w:val="24"/>
          <w:szCs w:val="24"/>
        </w:rPr>
        <w:t xml:space="preserve">cja uczy m.in. lepszej opieki, </w:t>
      </w:r>
      <w:r w:rsidRPr="00954A0B">
        <w:rPr>
          <w:rFonts w:ascii="Times New Roman" w:hAnsi="Times New Roman" w:cs="Times New Roman"/>
          <w:sz w:val="24"/>
          <w:szCs w:val="24"/>
        </w:rPr>
        <w:t>co bezpośrednio wpływa na jakość świadczonych usług na rzecz pacjentów przewlekle chorych, starszych i niesamodzielnych. Realizowane projekty:</w:t>
      </w:r>
    </w:p>
    <w:p w14:paraId="06FA3601" w14:textId="77777777" w:rsidR="0050177A" w:rsidRPr="005F0A32" w:rsidRDefault="0050177A" w:rsidP="00493925">
      <w:pPr>
        <w:pStyle w:val="NormalnyWeb"/>
        <w:numPr>
          <w:ilvl w:val="0"/>
          <w:numId w:val="9"/>
        </w:numPr>
        <w:spacing w:after="0"/>
        <w:ind w:left="0"/>
        <w:jc w:val="both"/>
      </w:pPr>
      <w:r w:rsidRPr="00954A0B">
        <w:t>Bezpłatne Webinaria dla Instytucji Opieki Długoterminowej.</w:t>
      </w:r>
      <w:r w:rsidRPr="005F0A32">
        <w:t xml:space="preserve"> Cykl bezpłatnych, czwartkowych szkoleń - Webinaria dla Instytucji Opieki Długoterminowej - podczas których m.in. prezentowane są dobre prak</w:t>
      </w:r>
      <w:r w:rsidR="00954A0B">
        <w:t xml:space="preserve">tyki, które mogą pomóc w pracy </w:t>
      </w:r>
      <w:r w:rsidRPr="005F0A32">
        <w:t>z podopiecznymi w placówkach opieki długoterminowej.</w:t>
      </w:r>
    </w:p>
    <w:p w14:paraId="47F6790A" w14:textId="77777777" w:rsidR="005F0A32" w:rsidRPr="005F0A32" w:rsidRDefault="0050177A" w:rsidP="00493925">
      <w:pPr>
        <w:pStyle w:val="NormalnyWeb"/>
        <w:numPr>
          <w:ilvl w:val="0"/>
          <w:numId w:val="9"/>
        </w:numPr>
        <w:spacing w:after="0"/>
        <w:ind w:left="0" w:hanging="357"/>
        <w:jc w:val="both"/>
        <w:rPr>
          <w:rFonts w:eastAsia="Times New Roman"/>
          <w:lang w:eastAsia="pl-PL"/>
        </w:rPr>
      </w:pPr>
      <w:r w:rsidRPr="0045190F">
        <w:t xml:space="preserve">Międzynarodowa Konferencja Opieki Długoterminowej. </w:t>
      </w:r>
      <w:r w:rsidRPr="0045190F">
        <w:rPr>
          <w:rFonts w:eastAsia="Times New Roman"/>
          <w:lang w:eastAsia="pl-PL"/>
        </w:rPr>
        <w:t>Międzynarodowa Konferencja Opieki Długoterminowej to</w:t>
      </w:r>
      <w:r w:rsidRPr="005F0A32">
        <w:rPr>
          <w:rFonts w:eastAsia="Times New Roman"/>
          <w:lang w:eastAsia="pl-PL"/>
        </w:rPr>
        <w:t xml:space="preserve"> poszukiwanie optymalnych rozwiązań w zakresie opieki nad ludźmi niesamodzielnymi. To największe spotkanie liderów europejskiej op</w:t>
      </w:r>
      <w:r w:rsidR="0045190F">
        <w:rPr>
          <w:rFonts w:eastAsia="Times New Roman"/>
          <w:lang w:eastAsia="pl-PL"/>
        </w:rPr>
        <w:t xml:space="preserve">ieki długoterminowej. Od 1998 r. we wrześniowych spotkaniach </w:t>
      </w:r>
      <w:r w:rsidRPr="005F0A32">
        <w:rPr>
          <w:rFonts w:eastAsia="Times New Roman"/>
          <w:lang w:eastAsia="pl-PL"/>
        </w:rPr>
        <w:t xml:space="preserve">w Toruniu bierze udział ponad </w:t>
      </w:r>
      <w:r w:rsidRPr="005F0A32">
        <w:rPr>
          <w:rFonts w:eastAsia="Times New Roman"/>
          <w:bCs/>
          <w:lang w:eastAsia="pl-PL"/>
        </w:rPr>
        <w:t>1</w:t>
      </w:r>
      <w:r w:rsidR="00861519">
        <w:rPr>
          <w:rFonts w:eastAsia="Times New Roman"/>
          <w:bCs/>
          <w:lang w:eastAsia="pl-PL"/>
        </w:rPr>
        <w:t xml:space="preserve"> tys.</w:t>
      </w:r>
      <w:r w:rsidRPr="005F0A32">
        <w:rPr>
          <w:rFonts w:eastAsia="Times New Roman"/>
          <w:bCs/>
          <w:lang w:eastAsia="pl-PL"/>
        </w:rPr>
        <w:t xml:space="preserve"> uczestników</w:t>
      </w:r>
      <w:r w:rsidRPr="005F0A32">
        <w:rPr>
          <w:rFonts w:eastAsia="Times New Roman"/>
          <w:lang w:eastAsia="pl-PL"/>
        </w:rPr>
        <w:t xml:space="preserve"> z ponad </w:t>
      </w:r>
      <w:r w:rsidRPr="005F0A32">
        <w:rPr>
          <w:rFonts w:eastAsia="Times New Roman"/>
          <w:bCs/>
          <w:lang w:eastAsia="pl-PL"/>
        </w:rPr>
        <w:t>30 krajów świata</w:t>
      </w:r>
      <w:r w:rsidRPr="005F0A32">
        <w:rPr>
          <w:rFonts w:eastAsia="Times New Roman"/>
          <w:lang w:eastAsia="pl-PL"/>
        </w:rPr>
        <w:t>:</w:t>
      </w:r>
      <w:r w:rsidRPr="005F0A32">
        <w:t xml:space="preserve"> </w:t>
      </w:r>
      <w:r w:rsidRPr="005F0A32">
        <w:rPr>
          <w:rFonts w:eastAsia="Times New Roman"/>
          <w:lang w:eastAsia="pl-PL"/>
        </w:rPr>
        <w:t>dyrektorzy zarządzający instytutami opieki;</w:t>
      </w:r>
      <w:r w:rsidRPr="005F0A32">
        <w:t xml:space="preserve"> </w:t>
      </w:r>
      <w:r w:rsidRPr="005F0A32">
        <w:rPr>
          <w:rFonts w:eastAsia="Times New Roman"/>
          <w:lang w:eastAsia="pl-PL"/>
        </w:rPr>
        <w:t>przedstawiciele organizacji pozarządowych działających na rzecz osób przewlekle chorych;</w:t>
      </w:r>
      <w:r w:rsidRPr="005F0A32">
        <w:t xml:space="preserve"> </w:t>
      </w:r>
      <w:r w:rsidRPr="005F0A32">
        <w:rPr>
          <w:rFonts w:eastAsia="Times New Roman"/>
          <w:lang w:eastAsia="pl-PL"/>
        </w:rPr>
        <w:t>reprezentanci nauki;</w:t>
      </w:r>
      <w:r w:rsidRPr="005F0A32">
        <w:t xml:space="preserve"> </w:t>
      </w:r>
      <w:r w:rsidRPr="005F0A32">
        <w:rPr>
          <w:rFonts w:eastAsia="Times New Roman"/>
          <w:lang w:eastAsia="pl-PL"/>
        </w:rPr>
        <w:t>lekarze, pielęgniarki, fizjoterapeuci.</w:t>
      </w:r>
    </w:p>
    <w:p w14:paraId="558E42B5" w14:textId="77777777" w:rsidR="0050177A" w:rsidRPr="00861519" w:rsidRDefault="0050177A" w:rsidP="00493925">
      <w:pPr>
        <w:pStyle w:val="NormalnyWeb"/>
        <w:numPr>
          <w:ilvl w:val="0"/>
          <w:numId w:val="9"/>
        </w:numPr>
        <w:spacing w:after="0"/>
        <w:ind w:left="357" w:hanging="357"/>
        <w:jc w:val="both"/>
        <w:rPr>
          <w:rFonts w:eastAsia="Times New Roman"/>
          <w:lang w:eastAsia="pl-PL"/>
        </w:rPr>
      </w:pPr>
      <w:r w:rsidRPr="0045190F">
        <w:t>Kwartalnik MEDI.</w:t>
      </w:r>
      <w:r w:rsidR="00861519">
        <w:t xml:space="preserve"> W 2000 r.</w:t>
      </w:r>
      <w:r w:rsidRPr="005F0A32">
        <w:t xml:space="preserve"> Fundacja stworzyła kwartalnik Medi - Forum Opieki Długoterminowej. Od początku jego istnienia pismo jest </w:t>
      </w:r>
      <w:r w:rsidRPr="003C3FD9">
        <w:rPr>
          <w:rStyle w:val="Pogrubienie"/>
          <w:b w:val="0"/>
        </w:rPr>
        <w:t>głosem menedżerów, specjalistów, liderów środowiska opieki długoterminowej w Polsce</w:t>
      </w:r>
      <w:r w:rsidRPr="005F0A32">
        <w:t>. W MEDI znajdują się informacje na tem</w:t>
      </w:r>
      <w:r w:rsidR="00861519">
        <w:t xml:space="preserve">at </w:t>
      </w:r>
      <w:r w:rsidRPr="00861519">
        <w:t xml:space="preserve">bieżących wyzwań w opiece długoterminowej w Polsce wraz z komentarzem praktyków w </w:t>
      </w:r>
      <w:r w:rsidR="00861519">
        <w:t xml:space="preserve">sektorze opieki długoterminowej oraz </w:t>
      </w:r>
      <w:r w:rsidRPr="00861519">
        <w:t>dobrych praktyk i ciekawych rozwiązań w instytucjach z całego świata.</w:t>
      </w:r>
    </w:p>
    <w:p w14:paraId="4DA1FDEF" w14:textId="77777777" w:rsidR="0050177A" w:rsidRPr="005F0A32" w:rsidRDefault="0050177A" w:rsidP="00493925">
      <w:pPr>
        <w:pStyle w:val="NormalnyWeb"/>
        <w:numPr>
          <w:ilvl w:val="0"/>
          <w:numId w:val="9"/>
        </w:numPr>
        <w:spacing w:after="0"/>
        <w:ind w:left="357" w:hanging="357"/>
        <w:jc w:val="both"/>
      </w:pPr>
      <w:r w:rsidRPr="0045190F">
        <w:lastRenderedPageBreak/>
        <w:t>Projekt edukacyjny „Damy Radę”.</w:t>
      </w:r>
      <w:r w:rsidRPr="005F0A32">
        <w:t xml:space="preserve"> Damy Radę to projekt edukacyjny, skierowany </w:t>
      </w:r>
      <w:r w:rsidRPr="005F0A32">
        <w:br/>
        <w:t xml:space="preserve">do osób opiekujących się w domu swoimi bliskimi – przewlekle chorymi, starszymi, niepełnosprawnymi. To ogólnopolski </w:t>
      </w:r>
      <w:r w:rsidR="0045190F">
        <w:t xml:space="preserve">program tworzony we współpracy </w:t>
      </w:r>
      <w:r w:rsidR="0090614F">
        <w:t xml:space="preserve">z profesjonalistami: </w:t>
      </w:r>
      <w:r w:rsidRPr="005F0A32">
        <w:t>pielęgniarkami, rehabili</w:t>
      </w:r>
      <w:r w:rsidR="0045190F">
        <w:t xml:space="preserve">tantami, pracownikami szpitali </w:t>
      </w:r>
      <w:r w:rsidRPr="005F0A32">
        <w:t>i instytucji opieki długoterminowej. W ramach projektu Damy Radę realizowany jest szereg działań mających na celu wsparcie rodzin, których bliscy potrzebują opieki długoterminowej:</w:t>
      </w:r>
    </w:p>
    <w:p w14:paraId="5A978E0B" w14:textId="77777777" w:rsidR="0050177A" w:rsidRPr="005F0A32" w:rsidRDefault="0050177A" w:rsidP="00493925">
      <w:pPr>
        <w:pStyle w:val="Akapitzlist"/>
        <w:numPr>
          <w:ilvl w:val="0"/>
          <w:numId w:val="40"/>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Bezpłatny poradnik – to zbiór praktycznych wskazówek na temat pielęgnacji osoby niesamodzielnej, systemu opieki w Polsce i świadczeń gwarantowanych przez państwo;</w:t>
      </w:r>
    </w:p>
    <w:p w14:paraId="03311C22" w14:textId="77777777" w:rsidR="0050177A" w:rsidRPr="005F0A32" w:rsidRDefault="0050177A" w:rsidP="00493925">
      <w:pPr>
        <w:pStyle w:val="Akapitzlist"/>
        <w:numPr>
          <w:ilvl w:val="0"/>
          <w:numId w:val="40"/>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Filmy instruktażowe – dzięki nim opiekun może nauczyć się w jaki sposób wykonywać poszczególne czynności pielęgnacyjne;</w:t>
      </w:r>
    </w:p>
    <w:p w14:paraId="0E10F98E" w14:textId="77777777" w:rsidR="0050177A" w:rsidRPr="005F0A32" w:rsidRDefault="0050177A" w:rsidP="00493925">
      <w:pPr>
        <w:pStyle w:val="Akapitzlist"/>
        <w:numPr>
          <w:ilvl w:val="0"/>
          <w:numId w:val="40"/>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Warsztaty – bezpłatne spotkania adresowane do rodzin i opiekunów nieformalnych w czasie których eksperci uczą p</w:t>
      </w:r>
      <w:r w:rsidR="0045190F">
        <w:rPr>
          <w:rFonts w:ascii="Times New Roman" w:hAnsi="Times New Roman" w:cs="Times New Roman"/>
          <w:sz w:val="24"/>
          <w:szCs w:val="24"/>
        </w:rPr>
        <w:t xml:space="preserve">rawidłowej opieki m.in. dbania </w:t>
      </w:r>
      <w:r w:rsidRPr="005F0A32">
        <w:rPr>
          <w:rFonts w:ascii="Times New Roman" w:hAnsi="Times New Roman" w:cs="Times New Roman"/>
          <w:sz w:val="24"/>
          <w:szCs w:val="24"/>
        </w:rPr>
        <w:t>o higienę czy też technik przemieszczania chorego;</w:t>
      </w:r>
    </w:p>
    <w:p w14:paraId="3C426EB7" w14:textId="77777777" w:rsidR="0050177A" w:rsidRPr="005F0A32" w:rsidRDefault="0050177A" w:rsidP="00493925">
      <w:pPr>
        <w:pStyle w:val="Akapitzlist"/>
        <w:numPr>
          <w:ilvl w:val="0"/>
          <w:numId w:val="40"/>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 xml:space="preserve">Strona internetowa </w:t>
      </w:r>
      <w:hyperlink r:id="rId29" w:history="1">
        <w:r w:rsidRPr="005F0A32">
          <w:rPr>
            <w:rStyle w:val="Hipercze"/>
            <w:rFonts w:ascii="Times New Roman" w:hAnsi="Times New Roman" w:cs="Times New Roman"/>
            <w:sz w:val="24"/>
            <w:szCs w:val="24"/>
          </w:rPr>
          <w:t>www.damy-rade.info</w:t>
        </w:r>
      </w:hyperlink>
      <w:r w:rsidRPr="005F0A32">
        <w:rPr>
          <w:rFonts w:ascii="Times New Roman" w:hAnsi="Times New Roman" w:cs="Times New Roman"/>
          <w:sz w:val="24"/>
          <w:szCs w:val="24"/>
        </w:rPr>
        <w:t xml:space="preserve"> – to zbiór aktualnych wiadomości, baza informacji o pielęgnacji chorego, organizacji domowej przestrzeni czy też produktach pomocnych w higienie.</w:t>
      </w:r>
    </w:p>
    <w:p w14:paraId="5B9E40D0" w14:textId="77777777" w:rsidR="0050177A" w:rsidRDefault="0050177A" w:rsidP="00493925">
      <w:pPr>
        <w:pStyle w:val="NormalnyWeb"/>
        <w:numPr>
          <w:ilvl w:val="0"/>
          <w:numId w:val="9"/>
        </w:numPr>
        <w:spacing w:after="0"/>
        <w:ind w:left="357" w:hanging="357"/>
        <w:jc w:val="both"/>
      </w:pPr>
      <w:r w:rsidRPr="0090614F">
        <w:t>SeniCup</w:t>
      </w:r>
      <w:r w:rsidR="0090614F">
        <w:t xml:space="preserve"> -</w:t>
      </w:r>
      <w:r w:rsidRPr="005F0A32">
        <w:t xml:space="preserve"> Międzynarodowa Liga Piłki Nożnej Osób Niepełnosprawnych SeniCup </w:t>
      </w:r>
      <w:r w:rsidRPr="005F0A32">
        <w:br/>
        <w:t>to cykl rozgrywek piłkarskich, w których biorą udział niepełnosprawni mieszkańcy domów pomocy społecznej. Drużyny tworzą kobiety i mężczyźni w bardzo różnym wieku. Piłkarze i piłkarki mają od kilkunastu do kilkudziesięciu lat</w:t>
      </w:r>
      <w:r w:rsidR="0090614F">
        <w:rPr>
          <w:rStyle w:val="Odwoanieprzypisudolnego"/>
        </w:rPr>
        <w:footnoteReference w:id="59"/>
      </w:r>
      <w:r w:rsidRPr="005F0A32">
        <w:t xml:space="preserve">. </w:t>
      </w:r>
    </w:p>
    <w:p w14:paraId="61295FB3" w14:textId="77777777" w:rsidR="0090614F" w:rsidRPr="005F0A32" w:rsidRDefault="0090614F" w:rsidP="003C1988">
      <w:pPr>
        <w:pStyle w:val="NormalnyWeb"/>
        <w:spacing w:after="0"/>
        <w:ind w:left="357"/>
      </w:pPr>
    </w:p>
    <w:p w14:paraId="0B4944B3" w14:textId="77777777" w:rsidR="0050177A" w:rsidRPr="0045190F" w:rsidRDefault="0050177A" w:rsidP="00493925">
      <w:pPr>
        <w:spacing w:after="0"/>
        <w:jc w:val="both"/>
        <w:rPr>
          <w:rFonts w:ascii="Times New Roman" w:hAnsi="Times New Roman" w:cs="Times New Roman"/>
          <w:sz w:val="24"/>
          <w:szCs w:val="24"/>
        </w:rPr>
      </w:pPr>
      <w:r w:rsidRPr="005F0A32">
        <w:rPr>
          <w:rFonts w:ascii="Times New Roman" w:hAnsi="Times New Roman" w:cs="Times New Roman"/>
          <w:sz w:val="24"/>
          <w:szCs w:val="24"/>
        </w:rPr>
        <w:t>Wyższa Szkoła Gospodarki w Bydg</w:t>
      </w:r>
      <w:r w:rsidR="0045190F">
        <w:rPr>
          <w:rFonts w:ascii="Times New Roman" w:hAnsi="Times New Roman" w:cs="Times New Roman"/>
          <w:sz w:val="24"/>
          <w:szCs w:val="24"/>
        </w:rPr>
        <w:t>oszczy</w:t>
      </w:r>
      <w:r w:rsidRPr="005F0A32">
        <w:rPr>
          <w:rFonts w:ascii="Times New Roman" w:hAnsi="Times New Roman" w:cs="Times New Roman"/>
          <w:sz w:val="24"/>
          <w:szCs w:val="24"/>
        </w:rPr>
        <w:t xml:space="preserve"> </w:t>
      </w:r>
      <w:r w:rsidRPr="0045190F">
        <w:rPr>
          <w:rFonts w:ascii="Times New Roman" w:hAnsi="Times New Roman" w:cs="Times New Roman"/>
          <w:sz w:val="24"/>
          <w:szCs w:val="24"/>
        </w:rPr>
        <w:t>zainicjowała szereg działań dedykowanych seniorom o zasięgu wojewódzkim i ponadwojewódzkim. Realizuje m.in.:</w:t>
      </w:r>
    </w:p>
    <w:p w14:paraId="14DD455F" w14:textId="77777777" w:rsidR="0050177A" w:rsidRPr="005F0A32" w:rsidRDefault="0050177A" w:rsidP="00493925">
      <w:pPr>
        <w:pStyle w:val="Akapitzlist"/>
        <w:numPr>
          <w:ilvl w:val="0"/>
          <w:numId w:val="8"/>
        </w:numPr>
        <w:spacing w:after="0"/>
        <w:ind w:left="360"/>
        <w:contextualSpacing w:val="0"/>
        <w:jc w:val="both"/>
        <w:rPr>
          <w:rFonts w:ascii="Times New Roman" w:hAnsi="Times New Roman" w:cs="Times New Roman"/>
          <w:sz w:val="24"/>
          <w:szCs w:val="24"/>
        </w:rPr>
      </w:pPr>
      <w:r w:rsidRPr="003C3FD9">
        <w:rPr>
          <w:rFonts w:ascii="Times New Roman" w:hAnsi="Times New Roman" w:cs="Times New Roman"/>
          <w:b/>
          <w:sz w:val="24"/>
          <w:szCs w:val="24"/>
        </w:rPr>
        <w:t>Centrum Usług Społecznych</w:t>
      </w:r>
      <w:r w:rsidR="003C3FD9">
        <w:rPr>
          <w:rFonts w:ascii="Times New Roman" w:hAnsi="Times New Roman" w:cs="Times New Roman"/>
          <w:sz w:val="24"/>
          <w:szCs w:val="24"/>
        </w:rPr>
        <w:t xml:space="preserve"> t</w:t>
      </w:r>
      <w:r w:rsidRPr="005F0A32">
        <w:rPr>
          <w:rFonts w:ascii="Times New Roman" w:hAnsi="Times New Roman" w:cs="Times New Roman"/>
          <w:sz w:val="24"/>
          <w:szCs w:val="24"/>
        </w:rPr>
        <w:t>o inicjatywa, która powstała z potrzeby scalenia różnego rodzaju form wsparcia, opieki, terapii, rehabilitacji oraz usług edukacyjnych. Jako miejsce działania specjalistów wielu dziedzin ma umożliwić korzystanie z ich wiedzy i doświadczeń w sposób w pełni holistyczny i skoordynowany, wykorzystując przy tym bogato wyposażone zaplecze, nowoczesne narzędzia diagnostyczne, sprzęt rehabilitacyjny, pomoce dydaktyczne. Zasadn</w:t>
      </w:r>
      <w:r w:rsidR="0045190F">
        <w:rPr>
          <w:rFonts w:ascii="Times New Roman" w:hAnsi="Times New Roman" w:cs="Times New Roman"/>
          <w:sz w:val="24"/>
          <w:szCs w:val="24"/>
        </w:rPr>
        <w:t xml:space="preserve">iczym celem usług świadczonych </w:t>
      </w:r>
      <w:r w:rsidRPr="005F0A32">
        <w:rPr>
          <w:rFonts w:ascii="Times New Roman" w:hAnsi="Times New Roman" w:cs="Times New Roman"/>
          <w:sz w:val="24"/>
          <w:szCs w:val="24"/>
        </w:rPr>
        <w:t>w Centrum Usług Społecznych są wielospecja</w:t>
      </w:r>
      <w:r w:rsidR="0045190F">
        <w:rPr>
          <w:rFonts w:ascii="Times New Roman" w:hAnsi="Times New Roman" w:cs="Times New Roman"/>
          <w:sz w:val="24"/>
          <w:szCs w:val="24"/>
        </w:rPr>
        <w:t xml:space="preserve">listyczne działania skierowane </w:t>
      </w:r>
      <w:r w:rsidRPr="005F0A32">
        <w:rPr>
          <w:rFonts w:ascii="Times New Roman" w:hAnsi="Times New Roman" w:cs="Times New Roman"/>
          <w:sz w:val="24"/>
          <w:szCs w:val="24"/>
        </w:rPr>
        <w:t>do dzieci, młodzieży, rodziców, osób dorosłych, starszych, w tym osób z różnego rodzaju trudnościami, niepełnosprawnościami i ni</w:t>
      </w:r>
      <w:r w:rsidR="0090614F">
        <w:rPr>
          <w:rFonts w:ascii="Times New Roman" w:hAnsi="Times New Roman" w:cs="Times New Roman"/>
          <w:sz w:val="24"/>
          <w:szCs w:val="24"/>
        </w:rPr>
        <w:t>esamodzielnościami. W ramach Centrum Usług Społecznych</w:t>
      </w:r>
      <w:r w:rsidRPr="005F0A32">
        <w:rPr>
          <w:rFonts w:ascii="Times New Roman" w:hAnsi="Times New Roman" w:cs="Times New Roman"/>
          <w:sz w:val="24"/>
          <w:szCs w:val="24"/>
        </w:rPr>
        <w:t xml:space="preserve"> realizowana jest m.in. Sieć Dziennych Domów Pobytu oraz Regionalna Sieć Uniwersytetów Trzeciego Wieku.</w:t>
      </w:r>
    </w:p>
    <w:p w14:paraId="07BB05C9" w14:textId="77777777" w:rsidR="0050177A" w:rsidRPr="005F0A32" w:rsidRDefault="0050177A" w:rsidP="00493925">
      <w:pPr>
        <w:pStyle w:val="Default"/>
        <w:numPr>
          <w:ilvl w:val="0"/>
          <w:numId w:val="8"/>
        </w:numPr>
        <w:spacing w:line="276" w:lineRule="auto"/>
        <w:ind w:left="357" w:hanging="357"/>
        <w:jc w:val="both"/>
        <w:rPr>
          <w:rFonts w:ascii="Times New Roman" w:hAnsi="Times New Roman" w:cs="Times New Roman"/>
        </w:rPr>
      </w:pPr>
      <w:r w:rsidRPr="003C3FD9">
        <w:rPr>
          <w:rFonts w:ascii="Times New Roman" w:hAnsi="Times New Roman" w:cs="Times New Roman"/>
          <w:b/>
          <w:spacing w:val="-6"/>
        </w:rPr>
        <w:t>Sieć Dziennych Domów Pobytu</w:t>
      </w:r>
      <w:r w:rsidRPr="008F4C68">
        <w:rPr>
          <w:rFonts w:ascii="Times New Roman" w:hAnsi="Times New Roman" w:cs="Times New Roman"/>
          <w:spacing w:val="-6"/>
        </w:rPr>
        <w:t xml:space="preserve"> (dla osób niepełnosprawnych i niesamodzielnych). </w:t>
      </w:r>
      <w:r w:rsidRPr="005F0A32">
        <w:rPr>
          <w:rFonts w:ascii="Times New Roman" w:hAnsi="Times New Roman" w:cs="Times New Roman"/>
        </w:rPr>
        <w:t>Wychodząc naprzeciw osobom niepełnosprawnym, niesamodzielnym, zagrożonym ubóstwem i/lub wykluczeniem s</w:t>
      </w:r>
      <w:r w:rsidR="0090614F">
        <w:rPr>
          <w:rFonts w:ascii="Times New Roman" w:hAnsi="Times New Roman" w:cs="Times New Roman"/>
        </w:rPr>
        <w:t xml:space="preserve">połecznym i osobom starszym Wyższa Szkoła Gospodarki </w:t>
      </w:r>
      <w:r w:rsidRPr="005F0A32">
        <w:rPr>
          <w:rFonts w:ascii="Times New Roman" w:hAnsi="Times New Roman" w:cs="Times New Roman"/>
        </w:rPr>
        <w:t xml:space="preserve">stworzyła Sieć Dziennych Domów Pobytu, pozyskując dofinansowanie ze środków Unii Europejskiej. Celem podejmowanych działań jest przede wszystkim wielowymiarowe wsparcie w sferze bio-psycho-społecznej podopiecznych, jak również wsparcie ich rodzin – opiekunów faktycznych osób niesamodzielnych. Głównym założeniem funkcjonowania Dziennego Domu Pobytu jest szeroko rozumiana integracja osób niesamodzielnych z szerszym i bliższym otoczeniem społecznym, zapewnienie nieodpłatnej opieki oraz pomocy </w:t>
      </w:r>
      <w:r w:rsidRPr="005F0A32">
        <w:rPr>
          <w:rFonts w:ascii="Times New Roman" w:hAnsi="Times New Roman" w:cs="Times New Roman"/>
        </w:rPr>
        <w:lastRenderedPageBreak/>
        <w:t>psychologiczno – terapeutycznej, konsultacje prawnika, wyżywienia, zajęć dostosowanych do indywidualnych potrz</w:t>
      </w:r>
      <w:r w:rsidR="008F4C68">
        <w:rPr>
          <w:rFonts w:ascii="Times New Roman" w:hAnsi="Times New Roman" w:cs="Times New Roman"/>
        </w:rPr>
        <w:t xml:space="preserve">eb </w:t>
      </w:r>
      <w:r w:rsidRPr="005F0A32">
        <w:rPr>
          <w:rFonts w:ascii="Times New Roman" w:hAnsi="Times New Roman" w:cs="Times New Roman"/>
        </w:rPr>
        <w:t>i możliwości, a także organizacja uroczystości okolicznościowych oraz wycieczek. Spotykając się z licznym zainteresowaniem WSG podjęło decyzję o stworzeniu Sieci Domów Dziennego Pobytu, gdzie sami lub w partnerstwie, tworzą kolejne placówki. Sieć rozrasta się w błyskawicznym tempie, obe</w:t>
      </w:r>
      <w:r w:rsidR="0090614F">
        <w:rPr>
          <w:rFonts w:ascii="Times New Roman" w:hAnsi="Times New Roman" w:cs="Times New Roman"/>
        </w:rPr>
        <w:t xml:space="preserve">cnie w Siecie DDP znajduje się </w:t>
      </w:r>
      <w:r w:rsidRPr="005F0A32">
        <w:rPr>
          <w:rFonts w:ascii="Times New Roman" w:hAnsi="Times New Roman" w:cs="Times New Roman"/>
        </w:rPr>
        <w:t>10 działających już Dziennych Domów Pobytu. Placówki mieszczą się w Bydgoszczy, Inowrocławiu, Wierzchosławicach, Gądeczu, Żninie, Paterku, a nawet w Malborku. Pod opieką Dziennych Domów Pobytu znajduje się ok. 360 osób (180 uczestników oraz 180 opiekunów osób niesamodzielnych).</w:t>
      </w:r>
    </w:p>
    <w:p w14:paraId="2CD9B34E" w14:textId="77777777" w:rsidR="0050177A" w:rsidRPr="005F0A32" w:rsidRDefault="0050177A" w:rsidP="00493925">
      <w:pPr>
        <w:pStyle w:val="Akapitzlist"/>
        <w:numPr>
          <w:ilvl w:val="0"/>
          <w:numId w:val="9"/>
        </w:numPr>
        <w:autoSpaceDE w:val="0"/>
        <w:autoSpaceDN w:val="0"/>
        <w:adjustRightInd w:val="0"/>
        <w:spacing w:after="0"/>
        <w:ind w:left="357" w:hanging="357"/>
        <w:contextualSpacing w:val="0"/>
        <w:jc w:val="both"/>
        <w:rPr>
          <w:rFonts w:ascii="Times New Roman" w:hAnsi="Times New Roman" w:cs="Times New Roman"/>
          <w:sz w:val="24"/>
          <w:szCs w:val="24"/>
        </w:rPr>
      </w:pPr>
      <w:r w:rsidRPr="003C3FD9">
        <w:rPr>
          <w:rFonts w:ascii="Times New Roman" w:hAnsi="Times New Roman" w:cs="Times New Roman"/>
          <w:b/>
          <w:color w:val="000000"/>
          <w:sz w:val="24"/>
          <w:szCs w:val="24"/>
        </w:rPr>
        <w:t>Regionalna Sieć Uniwersytetów Trzeciego Wieku</w:t>
      </w:r>
      <w:r w:rsidRPr="008F4C68">
        <w:rPr>
          <w:rFonts w:ascii="Times New Roman" w:hAnsi="Times New Roman" w:cs="Times New Roman"/>
          <w:color w:val="000000"/>
          <w:sz w:val="24"/>
          <w:szCs w:val="24"/>
        </w:rPr>
        <w:t>.</w:t>
      </w:r>
      <w:r w:rsidRPr="005F0A32">
        <w:rPr>
          <w:rFonts w:ascii="Times New Roman" w:hAnsi="Times New Roman" w:cs="Times New Roman"/>
          <w:color w:val="000000"/>
          <w:sz w:val="24"/>
          <w:szCs w:val="24"/>
        </w:rPr>
        <w:t xml:space="preserve"> </w:t>
      </w:r>
      <w:r w:rsidRPr="005F0A32">
        <w:rPr>
          <w:rFonts w:ascii="Times New Roman" w:hAnsi="Times New Roman" w:cs="Times New Roman"/>
          <w:sz w:val="24"/>
          <w:szCs w:val="24"/>
        </w:rPr>
        <w:t>Wyższa Szkoła Gos</w:t>
      </w:r>
      <w:r w:rsidR="008F4C68">
        <w:rPr>
          <w:rFonts w:ascii="Times New Roman" w:hAnsi="Times New Roman" w:cs="Times New Roman"/>
          <w:sz w:val="24"/>
          <w:szCs w:val="24"/>
        </w:rPr>
        <w:t>podarki nieustannie od 2007 r.</w:t>
      </w:r>
      <w:r w:rsidRPr="005F0A32">
        <w:rPr>
          <w:rFonts w:ascii="Times New Roman" w:hAnsi="Times New Roman" w:cs="Times New Roman"/>
          <w:sz w:val="24"/>
          <w:szCs w:val="24"/>
        </w:rPr>
        <w:t xml:space="preserve"> tworzy Regionaln</w:t>
      </w:r>
      <w:r w:rsidR="008F4C68">
        <w:rPr>
          <w:rFonts w:ascii="Times New Roman" w:hAnsi="Times New Roman" w:cs="Times New Roman"/>
          <w:sz w:val="24"/>
          <w:szCs w:val="24"/>
        </w:rPr>
        <w:t xml:space="preserve">ą Sieć Uniwersytetów Trzeciego </w:t>
      </w:r>
      <w:r w:rsidRPr="005F0A32">
        <w:rPr>
          <w:rFonts w:ascii="Times New Roman" w:hAnsi="Times New Roman" w:cs="Times New Roman"/>
          <w:sz w:val="24"/>
          <w:szCs w:val="24"/>
        </w:rPr>
        <w:t>Wieku, mającą na celu na aktywizację osób starszych i popularyzację edukacji całożyciowej. Filie U</w:t>
      </w:r>
      <w:r w:rsidR="0090614F">
        <w:rPr>
          <w:rFonts w:ascii="Times New Roman" w:hAnsi="Times New Roman" w:cs="Times New Roman"/>
          <w:sz w:val="24"/>
          <w:szCs w:val="24"/>
        </w:rPr>
        <w:t>niwersytetów Trzeciego Wieku Wyższa Szkoła Gospodarki</w:t>
      </w:r>
      <w:r w:rsidRPr="005F0A32">
        <w:rPr>
          <w:rFonts w:ascii="Times New Roman" w:hAnsi="Times New Roman" w:cs="Times New Roman"/>
          <w:sz w:val="24"/>
          <w:szCs w:val="24"/>
        </w:rPr>
        <w:t xml:space="preserve"> rozlokowane są na terenie 4 województw: kujawsko-pomorskiego, pomorskiego, warmińsko-mazurskiego oraz wielkopolskiego. Uczelnia podejmuje inicjatywy mające na celu aktywizację osób starszych na terenach miejskich, miejsko-wiejskich, ale i również wiejskich, gdzie często nie ma dostępu do jednostek naukowych. Założeniem jest, aby każdy miał dostęp do kształcenia, bez względu na wiek, płeć, miejsce zamieszkania czy też status społeczny. Regionalna Sieć Uniwersytetów Trzeci</w:t>
      </w:r>
      <w:r w:rsidR="008F4C68">
        <w:rPr>
          <w:rFonts w:ascii="Times New Roman" w:hAnsi="Times New Roman" w:cs="Times New Roman"/>
          <w:sz w:val="24"/>
          <w:szCs w:val="24"/>
        </w:rPr>
        <w:t xml:space="preserve">ego Wieku to ponad 55 placówek </w:t>
      </w:r>
      <w:r w:rsidRPr="005F0A32">
        <w:rPr>
          <w:rFonts w:ascii="Times New Roman" w:hAnsi="Times New Roman" w:cs="Times New Roman"/>
          <w:sz w:val="24"/>
          <w:szCs w:val="24"/>
        </w:rPr>
        <w:t>i rzesza ponad 4</w:t>
      </w:r>
      <w:r w:rsidR="0090614F">
        <w:rPr>
          <w:rFonts w:ascii="Times New Roman" w:hAnsi="Times New Roman" w:cs="Times New Roman"/>
          <w:sz w:val="24"/>
          <w:szCs w:val="24"/>
        </w:rPr>
        <w:t>,5 tys.</w:t>
      </w:r>
      <w:r w:rsidRPr="005F0A32">
        <w:rPr>
          <w:rFonts w:ascii="Times New Roman" w:hAnsi="Times New Roman" w:cs="Times New Roman"/>
          <w:sz w:val="24"/>
          <w:szCs w:val="24"/>
        </w:rPr>
        <w:t xml:space="preserve"> Słuchaczy</w:t>
      </w:r>
      <w:r w:rsidRPr="005F0A32">
        <w:rPr>
          <w:rStyle w:val="Odwoanieprzypisudolnego"/>
          <w:rFonts w:ascii="Times New Roman" w:hAnsi="Times New Roman" w:cs="Times New Roman"/>
          <w:sz w:val="24"/>
          <w:szCs w:val="24"/>
        </w:rPr>
        <w:footnoteReference w:id="60"/>
      </w:r>
      <w:r w:rsidRPr="005F0A32">
        <w:rPr>
          <w:rFonts w:ascii="Times New Roman" w:hAnsi="Times New Roman" w:cs="Times New Roman"/>
          <w:sz w:val="24"/>
          <w:szCs w:val="24"/>
        </w:rPr>
        <w:t>.</w:t>
      </w:r>
    </w:p>
    <w:p w14:paraId="36C09586" w14:textId="77777777" w:rsidR="0050177A" w:rsidRPr="005F0A32" w:rsidRDefault="0050177A" w:rsidP="00493925">
      <w:pPr>
        <w:pStyle w:val="Akapitzlist"/>
        <w:spacing w:after="0"/>
        <w:ind w:left="851"/>
        <w:contextualSpacing w:val="0"/>
        <w:jc w:val="both"/>
        <w:rPr>
          <w:rFonts w:ascii="Times New Roman" w:hAnsi="Times New Roman" w:cs="Times New Roman"/>
          <w:sz w:val="24"/>
          <w:szCs w:val="24"/>
        </w:rPr>
      </w:pPr>
    </w:p>
    <w:p w14:paraId="1534F586" w14:textId="77777777" w:rsidR="0050177A" w:rsidRPr="008F4C68" w:rsidRDefault="003C3FD9" w:rsidP="00493925">
      <w:pPr>
        <w:spacing w:after="0"/>
        <w:jc w:val="both"/>
        <w:rPr>
          <w:rStyle w:val="Hipercze"/>
          <w:rFonts w:ascii="Times New Roman" w:hAnsi="Times New Roman" w:cs="Times New Roman"/>
          <w:color w:val="auto"/>
          <w:sz w:val="24"/>
          <w:szCs w:val="24"/>
          <w:u w:val="none"/>
        </w:rPr>
      </w:pPr>
      <w:r w:rsidRPr="003C3FD9">
        <w:rPr>
          <w:rFonts w:ascii="Times New Roman" w:hAnsi="Times New Roman" w:cs="Times New Roman"/>
          <w:sz w:val="24"/>
          <w:szCs w:val="24"/>
        </w:rPr>
        <w:t>Celem</w:t>
      </w:r>
      <w:r>
        <w:rPr>
          <w:rFonts w:ascii="Times New Roman" w:hAnsi="Times New Roman" w:cs="Times New Roman"/>
          <w:b/>
          <w:sz w:val="24"/>
          <w:szCs w:val="24"/>
        </w:rPr>
        <w:t xml:space="preserve"> </w:t>
      </w:r>
      <w:r w:rsidR="008F4C68" w:rsidRPr="003C3FD9">
        <w:rPr>
          <w:rFonts w:ascii="Times New Roman" w:hAnsi="Times New Roman" w:cs="Times New Roman"/>
          <w:b/>
          <w:sz w:val="24"/>
          <w:szCs w:val="24"/>
        </w:rPr>
        <w:t>Bydgoskie</w:t>
      </w:r>
      <w:r>
        <w:rPr>
          <w:rFonts w:ascii="Times New Roman" w:hAnsi="Times New Roman" w:cs="Times New Roman"/>
          <w:b/>
          <w:sz w:val="24"/>
          <w:szCs w:val="24"/>
        </w:rPr>
        <w:t>go</w:t>
      </w:r>
      <w:r w:rsidR="008F4C68" w:rsidRPr="003C3FD9">
        <w:rPr>
          <w:rFonts w:ascii="Times New Roman" w:hAnsi="Times New Roman" w:cs="Times New Roman"/>
          <w:b/>
          <w:sz w:val="24"/>
          <w:szCs w:val="24"/>
        </w:rPr>
        <w:t xml:space="preserve"> Biuro Seniora</w:t>
      </w:r>
      <w:r>
        <w:rPr>
          <w:rFonts w:ascii="Times New Roman" w:hAnsi="Times New Roman" w:cs="Times New Roman"/>
          <w:sz w:val="24"/>
          <w:szCs w:val="24"/>
        </w:rPr>
        <w:t xml:space="preserve"> jest </w:t>
      </w:r>
      <w:r w:rsidR="0050177A" w:rsidRPr="008F4C68">
        <w:rPr>
          <w:rFonts w:ascii="Times New Roman" w:hAnsi="Times New Roman" w:cs="Times New Roman"/>
          <w:sz w:val="24"/>
          <w:szCs w:val="24"/>
        </w:rPr>
        <w:t>diagnozowanie potrzeb w zakresie miejskiej polityki senioralnej, realizacja programów i przedsięwzięć aktywizujących osoby starsze, współpraca i wspieranie lokalnych organizacji zrzesza</w:t>
      </w:r>
      <w:r w:rsidR="008F4C68">
        <w:rPr>
          <w:rFonts w:ascii="Times New Roman" w:hAnsi="Times New Roman" w:cs="Times New Roman"/>
          <w:sz w:val="24"/>
          <w:szCs w:val="24"/>
        </w:rPr>
        <w:t xml:space="preserve">jących seniorów i działających </w:t>
      </w:r>
      <w:r w:rsidR="0050177A" w:rsidRPr="008F4C68">
        <w:rPr>
          <w:rFonts w:ascii="Times New Roman" w:hAnsi="Times New Roman" w:cs="Times New Roman"/>
          <w:sz w:val="24"/>
          <w:szCs w:val="24"/>
        </w:rPr>
        <w:t>na ich rzecz. W planach jest m.in. utworzenie By</w:t>
      </w:r>
      <w:r>
        <w:rPr>
          <w:rFonts w:ascii="Times New Roman" w:hAnsi="Times New Roman" w:cs="Times New Roman"/>
          <w:sz w:val="24"/>
          <w:szCs w:val="24"/>
        </w:rPr>
        <w:t xml:space="preserve">dgoskiego Centrum Seniora przy </w:t>
      </w:r>
      <w:r w:rsidR="0050177A" w:rsidRPr="008F4C68">
        <w:rPr>
          <w:rFonts w:ascii="Times New Roman" w:hAnsi="Times New Roman" w:cs="Times New Roman"/>
          <w:sz w:val="24"/>
          <w:szCs w:val="24"/>
        </w:rPr>
        <w:t>ul. Dworcowej 3. Będzie to przestrzeń w całości dedykowana osobom starszym. Projekt architektoniczny Centrum będzie uwzględniał potrzeby seniorów. Ma być miejscem spotkań, warsztatów, szkoleń. Będzie tworzone we współpracy ze środowiskiem seniorów</w:t>
      </w:r>
      <w:r w:rsidR="0090614F">
        <w:rPr>
          <w:rFonts w:ascii="Times New Roman" w:hAnsi="Times New Roman" w:cs="Times New Roman"/>
          <w:sz w:val="24"/>
          <w:szCs w:val="24"/>
        </w:rPr>
        <w:t>,</w:t>
      </w:r>
      <w:r w:rsidR="0050177A" w:rsidRPr="008F4C68">
        <w:rPr>
          <w:rFonts w:ascii="Times New Roman" w:hAnsi="Times New Roman" w:cs="Times New Roman"/>
          <w:sz w:val="24"/>
          <w:szCs w:val="24"/>
        </w:rPr>
        <w:t xml:space="preserve"> by jak najlepiej odpowiadało na ich realne potrzeby</w:t>
      </w:r>
      <w:r w:rsidR="0090614F">
        <w:rPr>
          <w:rStyle w:val="Odwoanieprzypisudolnego"/>
          <w:rFonts w:ascii="Times New Roman" w:hAnsi="Times New Roman" w:cs="Times New Roman"/>
          <w:sz w:val="24"/>
          <w:szCs w:val="24"/>
        </w:rPr>
        <w:footnoteReference w:id="61"/>
      </w:r>
      <w:r w:rsidR="0050177A" w:rsidRPr="008F4C68">
        <w:rPr>
          <w:rFonts w:ascii="Times New Roman" w:hAnsi="Times New Roman" w:cs="Times New Roman"/>
          <w:sz w:val="24"/>
          <w:szCs w:val="24"/>
        </w:rPr>
        <w:t>.</w:t>
      </w:r>
      <w:r w:rsidR="008F4C68">
        <w:rPr>
          <w:rFonts w:ascii="Times New Roman" w:hAnsi="Times New Roman" w:cs="Times New Roman"/>
          <w:sz w:val="24"/>
          <w:szCs w:val="24"/>
        </w:rPr>
        <w:t xml:space="preserve"> </w:t>
      </w:r>
    </w:p>
    <w:p w14:paraId="2BBBBFDE" w14:textId="77777777" w:rsidR="0050177A" w:rsidRPr="005F0A32" w:rsidRDefault="0050177A" w:rsidP="00493925">
      <w:pPr>
        <w:pStyle w:val="Default"/>
        <w:spacing w:line="276" w:lineRule="auto"/>
        <w:jc w:val="both"/>
        <w:rPr>
          <w:rFonts w:ascii="Times New Roman" w:hAnsi="Times New Roman" w:cs="Times New Roman"/>
          <w:b/>
          <w:color w:val="auto"/>
          <w:u w:val="single"/>
        </w:rPr>
      </w:pPr>
    </w:p>
    <w:p w14:paraId="5CBC653D" w14:textId="77777777" w:rsidR="0050177A" w:rsidRPr="005F0A32" w:rsidRDefault="0050177A" w:rsidP="00493925">
      <w:pPr>
        <w:pStyle w:val="Default"/>
        <w:spacing w:line="276" w:lineRule="auto"/>
        <w:jc w:val="both"/>
        <w:rPr>
          <w:rFonts w:ascii="Times New Roman" w:hAnsi="Times New Roman" w:cs="Times New Roman"/>
          <w:color w:val="auto"/>
        </w:rPr>
      </w:pPr>
      <w:r w:rsidRPr="005F0A32">
        <w:rPr>
          <w:rFonts w:ascii="Times New Roman" w:hAnsi="Times New Roman" w:cs="Times New Roman"/>
          <w:color w:val="auto"/>
        </w:rPr>
        <w:t xml:space="preserve">W ramach przygotowania VI wydania </w:t>
      </w:r>
      <w:r w:rsidRPr="003C3FD9">
        <w:rPr>
          <w:rFonts w:ascii="Times New Roman" w:hAnsi="Times New Roman" w:cs="Times New Roman"/>
          <w:b/>
          <w:color w:val="auto"/>
        </w:rPr>
        <w:t>„Informatora dla Seniora”</w:t>
      </w:r>
      <w:r w:rsidRPr="005F0A32">
        <w:rPr>
          <w:rFonts w:ascii="Times New Roman" w:hAnsi="Times New Roman" w:cs="Times New Roman"/>
          <w:color w:val="auto"/>
        </w:rPr>
        <w:t xml:space="preserve"> (publikacja opracowywana co roku przez Regionalny Ośrodek Polityki Społecznej w Toruniu) dokonano aktualizacji danych teleadresowych Uniwersytetów Trzeciego Wieku, Klubów Seniora oraz Rad Seniorów z terenu woj</w:t>
      </w:r>
      <w:r w:rsidR="008F4C68">
        <w:rPr>
          <w:rFonts w:ascii="Times New Roman" w:hAnsi="Times New Roman" w:cs="Times New Roman"/>
          <w:color w:val="auto"/>
        </w:rPr>
        <w:t>ewództwa kujawsko-pomorskiego. Dane za 2019 r.</w:t>
      </w:r>
      <w:r w:rsidRPr="005F0A32">
        <w:rPr>
          <w:rFonts w:ascii="Times New Roman" w:hAnsi="Times New Roman" w:cs="Times New Roman"/>
          <w:color w:val="auto"/>
        </w:rPr>
        <w:t>:</w:t>
      </w:r>
    </w:p>
    <w:p w14:paraId="4284BAD7" w14:textId="77777777" w:rsidR="008F4C68" w:rsidRDefault="0050177A" w:rsidP="00493925">
      <w:pPr>
        <w:pStyle w:val="Default"/>
        <w:numPr>
          <w:ilvl w:val="0"/>
          <w:numId w:val="41"/>
        </w:numPr>
        <w:spacing w:line="276" w:lineRule="auto"/>
        <w:ind w:left="360"/>
        <w:jc w:val="both"/>
        <w:rPr>
          <w:rFonts w:ascii="Times New Roman" w:hAnsi="Times New Roman" w:cs="Times New Roman"/>
          <w:color w:val="auto"/>
        </w:rPr>
      </w:pPr>
      <w:r w:rsidRPr="005F0A32">
        <w:rPr>
          <w:rFonts w:ascii="Times New Roman" w:hAnsi="Times New Roman" w:cs="Times New Roman"/>
          <w:color w:val="auto"/>
        </w:rPr>
        <w:t>79 Uniwersytetów Trzeciego Wieku, w tym 34 filie;</w:t>
      </w:r>
    </w:p>
    <w:p w14:paraId="7900903C" w14:textId="77777777" w:rsidR="008F4C68" w:rsidRDefault="0050177A" w:rsidP="00493925">
      <w:pPr>
        <w:pStyle w:val="Default"/>
        <w:numPr>
          <w:ilvl w:val="0"/>
          <w:numId w:val="41"/>
        </w:numPr>
        <w:spacing w:line="276" w:lineRule="auto"/>
        <w:ind w:left="360"/>
        <w:jc w:val="both"/>
        <w:rPr>
          <w:rFonts w:ascii="Times New Roman" w:hAnsi="Times New Roman" w:cs="Times New Roman"/>
          <w:color w:val="auto"/>
        </w:rPr>
      </w:pPr>
      <w:r w:rsidRPr="008F4C68">
        <w:rPr>
          <w:rFonts w:ascii="Times New Roman" w:hAnsi="Times New Roman" w:cs="Times New Roman"/>
          <w:color w:val="auto"/>
        </w:rPr>
        <w:t>231 Klubów Seniora;</w:t>
      </w:r>
    </w:p>
    <w:p w14:paraId="25AA4E9A" w14:textId="77777777" w:rsidR="0050177A" w:rsidRPr="008F4C68" w:rsidRDefault="001822AC" w:rsidP="00493925">
      <w:pPr>
        <w:pStyle w:val="Default"/>
        <w:numPr>
          <w:ilvl w:val="0"/>
          <w:numId w:val="41"/>
        </w:numPr>
        <w:spacing w:line="276" w:lineRule="auto"/>
        <w:ind w:left="360"/>
        <w:jc w:val="both"/>
        <w:rPr>
          <w:rFonts w:ascii="Times New Roman" w:hAnsi="Times New Roman" w:cs="Times New Roman"/>
          <w:color w:val="auto"/>
        </w:rPr>
      </w:pPr>
      <w:r>
        <w:rPr>
          <w:rFonts w:ascii="Times New Roman" w:hAnsi="Times New Roman" w:cs="Times New Roman"/>
          <w:color w:val="auto"/>
        </w:rPr>
        <w:t>Rady Seniorów</w:t>
      </w:r>
    </w:p>
    <w:p w14:paraId="119626B7" w14:textId="77777777" w:rsidR="008F4C68" w:rsidRDefault="008F4C68" w:rsidP="00493925">
      <w:pPr>
        <w:tabs>
          <w:tab w:val="left" w:pos="284"/>
        </w:tabs>
        <w:spacing w:after="0"/>
        <w:jc w:val="both"/>
        <w:rPr>
          <w:rFonts w:ascii="Times New Roman" w:hAnsi="Times New Roman" w:cs="Times New Roman"/>
          <w:sz w:val="24"/>
          <w:szCs w:val="24"/>
          <w:u w:val="single"/>
        </w:rPr>
      </w:pPr>
    </w:p>
    <w:p w14:paraId="4857F9DF" w14:textId="77777777" w:rsidR="0050177A" w:rsidRPr="008F4C68" w:rsidRDefault="0050177A" w:rsidP="00493925">
      <w:pPr>
        <w:tabs>
          <w:tab w:val="left" w:pos="284"/>
        </w:tabs>
        <w:spacing w:after="0"/>
        <w:jc w:val="both"/>
        <w:rPr>
          <w:rFonts w:ascii="Times New Roman" w:hAnsi="Times New Roman" w:cs="Times New Roman"/>
          <w:sz w:val="24"/>
          <w:szCs w:val="24"/>
        </w:rPr>
      </w:pPr>
      <w:r w:rsidRPr="005F0A32">
        <w:rPr>
          <w:rFonts w:ascii="Times New Roman" w:hAnsi="Times New Roman" w:cs="Times New Roman"/>
          <w:sz w:val="24"/>
          <w:szCs w:val="24"/>
        </w:rPr>
        <w:t>Wojewódzka Rada ds. Polityki Senioralnej działa w oparciu o </w:t>
      </w:r>
      <w:r w:rsidRPr="001822AC">
        <w:rPr>
          <w:rFonts w:ascii="Times New Roman" w:hAnsi="Times New Roman" w:cs="Times New Roman"/>
          <w:i/>
          <w:sz w:val="24"/>
          <w:szCs w:val="24"/>
        </w:rPr>
        <w:t>ustawę z dnia 5 czerwca 1998 r. o samorządzie województwa</w:t>
      </w:r>
      <w:r w:rsidRPr="005F0A32">
        <w:rPr>
          <w:rFonts w:ascii="Times New Roman" w:hAnsi="Times New Roman" w:cs="Times New Roman"/>
          <w:sz w:val="24"/>
          <w:szCs w:val="24"/>
        </w:rPr>
        <w:t xml:space="preserve"> (Dz. U. z 2019 </w:t>
      </w:r>
      <w:r w:rsidR="008F4C68">
        <w:rPr>
          <w:rFonts w:ascii="Times New Roman" w:hAnsi="Times New Roman" w:cs="Times New Roman"/>
          <w:sz w:val="24"/>
          <w:szCs w:val="24"/>
        </w:rPr>
        <w:t xml:space="preserve">r. poz. 512 t.j.) oraz </w:t>
      </w:r>
      <w:r w:rsidR="008F4C68" w:rsidRPr="001822AC">
        <w:rPr>
          <w:rFonts w:ascii="Times New Roman" w:hAnsi="Times New Roman" w:cs="Times New Roman"/>
          <w:i/>
          <w:sz w:val="24"/>
          <w:szCs w:val="24"/>
        </w:rPr>
        <w:t xml:space="preserve">Uchwałę </w:t>
      </w:r>
      <w:r w:rsidRPr="001822AC">
        <w:rPr>
          <w:rFonts w:ascii="Times New Roman" w:hAnsi="Times New Roman" w:cs="Times New Roman"/>
          <w:i/>
          <w:sz w:val="24"/>
          <w:szCs w:val="24"/>
        </w:rPr>
        <w:t>Nr 40/1347/14 Zarządu Województwa Kujawsko-Pomorskiego z dnia 1 października 2014 r. w sprawie powołania Wojewódzkiej Rady ds. Polityki Senioralnej przy Marszałku Województwa Kujawsko-Pomorskiego</w:t>
      </w:r>
      <w:r w:rsidRPr="005F0A32">
        <w:rPr>
          <w:rFonts w:ascii="Times New Roman" w:hAnsi="Times New Roman" w:cs="Times New Roman"/>
          <w:sz w:val="24"/>
          <w:szCs w:val="24"/>
        </w:rPr>
        <w:t xml:space="preserve">. </w:t>
      </w:r>
      <w:r w:rsidRPr="005F0A32">
        <w:rPr>
          <w:rFonts w:ascii="Times New Roman" w:eastAsia="CIDFont+F4" w:hAnsi="Times New Roman" w:cs="Times New Roman"/>
          <w:sz w:val="24"/>
          <w:szCs w:val="24"/>
        </w:rPr>
        <w:t xml:space="preserve">W październiku 2019 r. powołano już II kadencję tego gremium na lata </w:t>
      </w:r>
      <w:r w:rsidRPr="005F0A32">
        <w:rPr>
          <w:rFonts w:ascii="Times New Roman" w:eastAsia="CIDFont+F4" w:hAnsi="Times New Roman" w:cs="Times New Roman"/>
          <w:sz w:val="24"/>
          <w:szCs w:val="24"/>
        </w:rPr>
        <w:lastRenderedPageBreak/>
        <w:t xml:space="preserve">2019-2024. Członkami Rady zostali seniorzy, przedstawiciele organizacji pozarządowych prowadzących działalność na rzecz osób starszych oraz reprezentanci innych podmiotów, zajmujących się problemami osób starszych. Szesnastoosobowa Rada wspiera Marszałka Województwa w realizowaniu projektów w obszarach szczególnie istotnych z punktu widzenia seniorów. </w:t>
      </w:r>
      <w:r w:rsidRPr="005F0A32">
        <w:rPr>
          <w:rFonts w:ascii="Times New Roman" w:hAnsi="Times New Roman" w:cs="Times New Roman"/>
          <w:sz w:val="24"/>
          <w:szCs w:val="24"/>
        </w:rPr>
        <w:t xml:space="preserve">Działalność Rady jest finansowana z budżetu Województwa Kujawsko-Pomorskiego. </w:t>
      </w:r>
    </w:p>
    <w:p w14:paraId="7219AD1C" w14:textId="77777777" w:rsidR="008F4C68" w:rsidRDefault="008F4C68" w:rsidP="00493925">
      <w:pPr>
        <w:pStyle w:val="Default"/>
        <w:spacing w:line="276" w:lineRule="auto"/>
        <w:jc w:val="both"/>
        <w:rPr>
          <w:rFonts w:ascii="Times New Roman" w:hAnsi="Times New Roman" w:cs="Times New Roman"/>
          <w:color w:val="auto"/>
          <w:u w:val="single"/>
        </w:rPr>
      </w:pPr>
    </w:p>
    <w:p w14:paraId="5E1307DA" w14:textId="77777777" w:rsidR="008F4C68" w:rsidRDefault="001822AC" w:rsidP="00493925">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Na terenie województwa działa </w:t>
      </w:r>
      <w:r w:rsidR="0050177A" w:rsidRPr="00470DBE">
        <w:rPr>
          <w:rFonts w:ascii="Times New Roman" w:hAnsi="Times New Roman" w:cs="Times New Roman"/>
          <w:b/>
          <w:color w:val="auto"/>
        </w:rPr>
        <w:t>19 Gminnych Rad Seniorów</w:t>
      </w:r>
      <w:r w:rsidR="0050177A" w:rsidRPr="005F0A32">
        <w:rPr>
          <w:rFonts w:ascii="Times New Roman" w:hAnsi="Times New Roman" w:cs="Times New Roman"/>
          <w:color w:val="auto"/>
        </w:rPr>
        <w:t xml:space="preserve"> (w mieście Bydgoszcz, mieście Grudziądz, mieście Toruń, mieście Włocławek, mieście Ciechocinek, mieście Chełmno, gminie Świecie nad Osą, mieście Inowrocław, gminie Pakość, mieście Lipno, gminie Dąbrowa, mieście Mogilno, mieście Nakło nad Notecią, gminie Szubin, gminie Bytoń, mieście Chełmża, mieście Kowal, gminie Barcin, gminie Gąsawa) oraz 1 Po</w:t>
      </w:r>
      <w:r w:rsidR="008F4C68">
        <w:rPr>
          <w:rFonts w:ascii="Times New Roman" w:hAnsi="Times New Roman" w:cs="Times New Roman"/>
          <w:color w:val="auto"/>
        </w:rPr>
        <w:t>wiatowa Rada Seniorów w Lipnie.</w:t>
      </w:r>
    </w:p>
    <w:p w14:paraId="1B2119A1" w14:textId="77777777" w:rsidR="0050177A" w:rsidRPr="00754157" w:rsidRDefault="0050177A" w:rsidP="00493925">
      <w:pPr>
        <w:pStyle w:val="Default"/>
        <w:spacing w:line="276" w:lineRule="auto"/>
        <w:jc w:val="both"/>
        <w:rPr>
          <w:rFonts w:ascii="Times New Roman" w:hAnsi="Times New Roman" w:cs="Times New Roman"/>
          <w:b/>
          <w:color w:val="auto"/>
        </w:rPr>
      </w:pPr>
    </w:p>
    <w:p w14:paraId="5FE0EA63" w14:textId="77777777" w:rsidR="0050177A" w:rsidRPr="005F0A32" w:rsidRDefault="0050177A" w:rsidP="00493925">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Projekt </w:t>
      </w:r>
      <w:r w:rsidR="001822AC" w:rsidRPr="00754157">
        <w:rPr>
          <w:rFonts w:ascii="Times New Roman" w:hAnsi="Times New Roman" w:cs="Times New Roman"/>
          <w:sz w:val="24"/>
          <w:szCs w:val="24"/>
        </w:rPr>
        <w:t xml:space="preserve">pn. </w:t>
      </w:r>
      <w:r w:rsidR="001822AC" w:rsidRPr="00470DBE">
        <w:rPr>
          <w:rFonts w:ascii="Times New Roman" w:hAnsi="Times New Roman" w:cs="Times New Roman"/>
          <w:b/>
          <w:sz w:val="24"/>
          <w:szCs w:val="24"/>
        </w:rPr>
        <w:t>„Pogodna jesień życia na Kujawach i Pomorzu – projekt rozwoju pomocy środowiskowej dla seniorów”</w:t>
      </w:r>
      <w:r w:rsidR="001822AC">
        <w:rPr>
          <w:rFonts w:ascii="Times New Roman" w:hAnsi="Times New Roman" w:cs="Times New Roman"/>
          <w:sz w:val="24"/>
          <w:szCs w:val="24"/>
        </w:rPr>
        <w:t xml:space="preserve"> </w:t>
      </w:r>
      <w:r w:rsidRPr="005F0A32">
        <w:rPr>
          <w:rFonts w:ascii="Times New Roman" w:hAnsi="Times New Roman" w:cs="Times New Roman"/>
          <w:sz w:val="24"/>
          <w:szCs w:val="24"/>
        </w:rPr>
        <w:t>współfinansowany jest z Europejskiego Funduszu Społecznego w ramach Osi priorytetowej 9. Solidarne społeczeństwo, Działanie 9.3 Rozwój usług zdr</w:t>
      </w:r>
      <w:r w:rsidR="00754157">
        <w:rPr>
          <w:rFonts w:ascii="Times New Roman" w:hAnsi="Times New Roman" w:cs="Times New Roman"/>
          <w:sz w:val="24"/>
          <w:szCs w:val="24"/>
        </w:rPr>
        <w:t xml:space="preserve">owotnych </w:t>
      </w:r>
      <w:r w:rsidRPr="005F0A32">
        <w:rPr>
          <w:rFonts w:ascii="Times New Roman" w:hAnsi="Times New Roman" w:cs="Times New Roman"/>
          <w:sz w:val="24"/>
          <w:szCs w:val="24"/>
        </w:rPr>
        <w:t>i społecznych, Poddziałanie 9.3.2 Rozwój usług społecznych Regionalnego Programu Operacyjnego Województwa Kujawsko</w:t>
      </w:r>
      <w:r w:rsidR="001822AC">
        <w:rPr>
          <w:rFonts w:ascii="Times New Roman" w:hAnsi="Times New Roman" w:cs="Times New Roman"/>
          <w:sz w:val="24"/>
          <w:szCs w:val="24"/>
        </w:rPr>
        <w:t xml:space="preserve">-Pomorskiego na lata 2014-2020. </w:t>
      </w:r>
      <w:r w:rsidRPr="005F0A32">
        <w:rPr>
          <w:rFonts w:ascii="Times New Roman" w:hAnsi="Times New Roman" w:cs="Times New Roman"/>
          <w:sz w:val="24"/>
          <w:szCs w:val="24"/>
        </w:rPr>
        <w:t>Realizowany jest przez Kujawsko-Pomorski Oddział Okręgo</w:t>
      </w:r>
      <w:r w:rsidR="00754157">
        <w:rPr>
          <w:rFonts w:ascii="Times New Roman" w:hAnsi="Times New Roman" w:cs="Times New Roman"/>
          <w:sz w:val="24"/>
          <w:szCs w:val="24"/>
        </w:rPr>
        <w:t xml:space="preserve">wy Polskiego Czerwonego Krzyża </w:t>
      </w:r>
      <w:r w:rsidRPr="005F0A32">
        <w:rPr>
          <w:rFonts w:ascii="Times New Roman" w:hAnsi="Times New Roman" w:cs="Times New Roman"/>
          <w:sz w:val="24"/>
          <w:szCs w:val="24"/>
        </w:rPr>
        <w:t>w partnerstwie z Województwem Kujawsko-Pomorskim – Regionalnym Ośrodkiem Polityki Społecznej w Toruniu. Głównym celem pro</w:t>
      </w:r>
      <w:r w:rsidR="00754157">
        <w:rPr>
          <w:rFonts w:ascii="Times New Roman" w:hAnsi="Times New Roman" w:cs="Times New Roman"/>
          <w:sz w:val="24"/>
          <w:szCs w:val="24"/>
        </w:rPr>
        <w:t xml:space="preserve">jektu jest zwiększenie dostępu </w:t>
      </w:r>
      <w:r w:rsidRPr="005F0A32">
        <w:rPr>
          <w:rFonts w:ascii="Times New Roman" w:hAnsi="Times New Roman" w:cs="Times New Roman"/>
          <w:sz w:val="24"/>
          <w:szCs w:val="24"/>
        </w:rPr>
        <w:t>do różnorodnych form niestacjonarnych usług opiekuńczych dla niesamodzielnych osób starszych oraz rozwój usług ukierunkowanych na podnoszenie umiejętności opiekuńczych dla opiekunów faktycznych, osób świadczących dzienną opiekę, wolontariuszy oraz osób realizujących usługi sąsiedzkie na obszarze 30 gmin województwa kujawsko-pomorskiego. W ramach projektu realizowane są następujące działania:</w:t>
      </w:r>
    </w:p>
    <w:p w14:paraId="528CBAF2" w14:textId="77777777" w:rsidR="0050177A" w:rsidRPr="005F0A32" w:rsidRDefault="0050177A" w:rsidP="00493925">
      <w:pPr>
        <w:numPr>
          <w:ilvl w:val="0"/>
          <w:numId w:val="2"/>
        </w:numPr>
        <w:tabs>
          <w:tab w:val="clear" w:pos="720"/>
        </w:tabs>
        <w:spacing w:after="0"/>
        <w:ind w:left="357" w:hanging="357"/>
        <w:jc w:val="both"/>
        <w:rPr>
          <w:rFonts w:ascii="Times New Roman" w:hAnsi="Times New Roman" w:cs="Times New Roman"/>
          <w:sz w:val="24"/>
          <w:szCs w:val="24"/>
        </w:rPr>
      </w:pPr>
      <w:r w:rsidRPr="005F0A32">
        <w:rPr>
          <w:rFonts w:ascii="Times New Roman" w:hAnsi="Times New Roman" w:cs="Times New Roman"/>
          <w:sz w:val="24"/>
          <w:szCs w:val="24"/>
        </w:rPr>
        <w:t>usługi dziennej opieki na obszarach wiejskich województwa kujawsko-</w:t>
      </w:r>
      <w:r w:rsidRPr="005F0A32">
        <w:rPr>
          <w:rFonts w:ascii="Times New Roman" w:hAnsi="Times New Roman" w:cs="Times New Roman"/>
          <w:sz w:val="24"/>
          <w:szCs w:val="24"/>
        </w:rPr>
        <w:br/>
        <w:t>-pomorskiego, świadczone zwłaszcza osobom mieszkającym na obszarach peryferyjnych, zdyskwalifikowanych z tego powodu do objęcia usługami opiekuńczymi;</w:t>
      </w:r>
    </w:p>
    <w:p w14:paraId="7BECADBA" w14:textId="77777777" w:rsidR="0050177A" w:rsidRPr="005F0A32" w:rsidRDefault="0050177A" w:rsidP="00493925">
      <w:pPr>
        <w:numPr>
          <w:ilvl w:val="0"/>
          <w:numId w:val="2"/>
        </w:numPr>
        <w:tabs>
          <w:tab w:val="clear" w:pos="720"/>
        </w:tabs>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usługi pomocy sąsiedzkiej na obszarach miejskich województwa kujawsko-</w:t>
      </w:r>
      <w:r w:rsidRPr="005F0A32">
        <w:rPr>
          <w:rFonts w:ascii="Times New Roman" w:hAnsi="Times New Roman" w:cs="Times New Roman"/>
          <w:sz w:val="24"/>
          <w:szCs w:val="24"/>
        </w:rPr>
        <w:br/>
        <w:t xml:space="preserve">-pomorskiego osobom, które ze względu na swój stan nie kwalifikują się jeszcze </w:t>
      </w:r>
      <w:r w:rsidRPr="005F0A32">
        <w:rPr>
          <w:rFonts w:ascii="Times New Roman" w:hAnsi="Times New Roman" w:cs="Times New Roman"/>
          <w:sz w:val="24"/>
          <w:szCs w:val="24"/>
        </w:rPr>
        <w:br/>
        <w:t>do usług opiekuńczych, ale wykazują już przejawy niesamodzielności;</w:t>
      </w:r>
    </w:p>
    <w:p w14:paraId="41D1B447" w14:textId="77777777" w:rsidR="0050177A" w:rsidRPr="005F0A32" w:rsidRDefault="0050177A" w:rsidP="00493925">
      <w:pPr>
        <w:numPr>
          <w:ilvl w:val="0"/>
          <w:numId w:val="2"/>
        </w:numPr>
        <w:tabs>
          <w:tab w:val="clear" w:pos="720"/>
        </w:tabs>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wsparcie opiekunów faktycznych. Głównym celem działań jest podniesienie ich umiejętności praktycznych służących poprawie jakości świadczonych przez nich usług opiekuńczych w warunkach domowych oraz zapewnienie tzw. polityki wytchnieniowej,  poprzez poprawę dostępu do usług opiekuńczych w zastępstwie opiekunów faktycznych;</w:t>
      </w:r>
    </w:p>
    <w:p w14:paraId="24FDDD70" w14:textId="77777777" w:rsidR="0050177A" w:rsidRPr="005F0A32" w:rsidRDefault="0050177A" w:rsidP="00493925">
      <w:pPr>
        <w:numPr>
          <w:ilvl w:val="0"/>
          <w:numId w:val="2"/>
        </w:numPr>
        <w:tabs>
          <w:tab w:val="clear" w:pos="720"/>
        </w:tabs>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usług wolontariatu opiekuńczego na rzecz seniorów w miastach grodzkich województwa kujawsko-pomorskiego;</w:t>
      </w:r>
    </w:p>
    <w:p w14:paraId="3A24DCC4" w14:textId="77777777" w:rsidR="0050177A" w:rsidRPr="005F0A32" w:rsidRDefault="0050177A" w:rsidP="00493925">
      <w:pPr>
        <w:numPr>
          <w:ilvl w:val="0"/>
          <w:numId w:val="2"/>
        </w:numPr>
        <w:tabs>
          <w:tab w:val="clear" w:pos="720"/>
        </w:tabs>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 xml:space="preserve">utworzenie i działalność Regionalnego Centrum Informacji Senioralnej przy ROPS </w:t>
      </w:r>
      <w:r w:rsidRPr="005F0A32">
        <w:rPr>
          <w:rFonts w:ascii="Times New Roman" w:hAnsi="Times New Roman" w:cs="Times New Roman"/>
          <w:sz w:val="24"/>
          <w:szCs w:val="24"/>
        </w:rPr>
        <w:br/>
        <w:t>w Toruniu wraz z 4 mobilnymi punktami informacji w pozostałych największych miastach regionu (Bydgoszcz, Grudziądz, Inowrocław, Włocławek).</w:t>
      </w:r>
    </w:p>
    <w:p w14:paraId="33362531" w14:textId="77777777" w:rsidR="0050177A" w:rsidRPr="005F0A32" w:rsidRDefault="0050177A" w:rsidP="00493925">
      <w:pPr>
        <w:spacing w:after="0"/>
        <w:ind w:left="851"/>
        <w:jc w:val="both"/>
        <w:rPr>
          <w:rFonts w:ascii="Times New Roman" w:hAnsi="Times New Roman" w:cs="Times New Roman"/>
          <w:sz w:val="24"/>
          <w:szCs w:val="24"/>
        </w:rPr>
      </w:pPr>
    </w:p>
    <w:p w14:paraId="3F3DA869" w14:textId="77777777" w:rsidR="0050177A" w:rsidRPr="005F0A32" w:rsidRDefault="0050177A" w:rsidP="00493925">
      <w:pPr>
        <w:tabs>
          <w:tab w:val="num" w:pos="1276"/>
        </w:tabs>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Działania w ramach projektu zrealizowane przez Regionalny Ośrodek Polityki </w:t>
      </w:r>
      <w:r w:rsidR="00754157">
        <w:rPr>
          <w:rFonts w:ascii="Times New Roman" w:hAnsi="Times New Roman" w:cs="Times New Roman"/>
          <w:sz w:val="24"/>
          <w:szCs w:val="24"/>
        </w:rPr>
        <w:t>Społecznej w Toruniu w 2019 r.</w:t>
      </w:r>
      <w:r w:rsidRPr="005F0A32">
        <w:rPr>
          <w:rFonts w:ascii="Times New Roman" w:hAnsi="Times New Roman" w:cs="Times New Roman"/>
          <w:sz w:val="24"/>
          <w:szCs w:val="24"/>
        </w:rPr>
        <w:t>:</w:t>
      </w:r>
    </w:p>
    <w:p w14:paraId="3B72954B" w14:textId="77777777" w:rsidR="0050177A" w:rsidRPr="005F0A32" w:rsidRDefault="0050177A" w:rsidP="00493925">
      <w:pPr>
        <w:pStyle w:val="Akapitzlist"/>
        <w:numPr>
          <w:ilvl w:val="0"/>
          <w:numId w:val="3"/>
        </w:numPr>
        <w:autoSpaceDE w:val="0"/>
        <w:autoSpaceDN w:val="0"/>
        <w:adjustRightInd w:val="0"/>
        <w:spacing w:after="0"/>
        <w:ind w:left="357" w:hanging="357"/>
        <w:contextualSpacing w:val="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lastRenderedPageBreak/>
        <w:t>prowadzono współpracę z przedstawicielami lokalnych samorządów w obszarze działań podejmowanych na rzecz seniorów, w tym pozyskiwanie informacji na temat prowadzonej przez samorządy polityki senioralnej, a także propagowanie wśród samorządów gminnych i powiatowych rozwi</w:t>
      </w:r>
      <w:r w:rsidR="00754157">
        <w:rPr>
          <w:rFonts w:ascii="Times New Roman" w:eastAsia="CIDFont+F4" w:hAnsi="Times New Roman" w:cs="Times New Roman"/>
          <w:sz w:val="24"/>
          <w:szCs w:val="24"/>
        </w:rPr>
        <w:t xml:space="preserve">ązań w zakresie bezpieczeństwa </w:t>
      </w:r>
      <w:r w:rsidRPr="005F0A32">
        <w:rPr>
          <w:rFonts w:ascii="Times New Roman" w:eastAsia="CIDFont+F4" w:hAnsi="Times New Roman" w:cs="Times New Roman"/>
          <w:sz w:val="24"/>
          <w:szCs w:val="24"/>
        </w:rPr>
        <w:t>i autonomii osób starszych i niesamodzielnych (m.in. kart seniora, pudełek życia, teleopieki). W ramach zadania odwiedzonych zostało 59 urzędów miast i gmin;</w:t>
      </w:r>
    </w:p>
    <w:p w14:paraId="35D62D39" w14:textId="77777777" w:rsidR="0050177A" w:rsidRPr="005F0A32" w:rsidRDefault="0050177A" w:rsidP="00493925">
      <w:pPr>
        <w:pStyle w:val="Akapitzlist"/>
        <w:numPr>
          <w:ilvl w:val="0"/>
          <w:numId w:val="3"/>
        </w:numPr>
        <w:autoSpaceDE w:val="0"/>
        <w:autoSpaceDN w:val="0"/>
        <w:adjustRightInd w:val="0"/>
        <w:spacing w:after="0"/>
        <w:ind w:left="357" w:hanging="357"/>
        <w:contextualSpacing w:val="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kontynuowano realizowanie usługi teleopieki, którą świadczono dla 210 niesamodzielnych osób starszych;</w:t>
      </w:r>
    </w:p>
    <w:p w14:paraId="7491A86A" w14:textId="77777777" w:rsidR="0050177A" w:rsidRPr="005F0A32" w:rsidRDefault="0050177A" w:rsidP="00493925">
      <w:pPr>
        <w:pStyle w:val="Akapitzlist"/>
        <w:numPr>
          <w:ilvl w:val="0"/>
          <w:numId w:val="3"/>
        </w:numPr>
        <w:autoSpaceDE w:val="0"/>
        <w:autoSpaceDN w:val="0"/>
        <w:adjustRightInd w:val="0"/>
        <w:spacing w:after="0"/>
        <w:ind w:left="357" w:hanging="357"/>
        <w:contextualSpacing w:val="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 xml:space="preserve">kontynuowano działalność Regionalnego Centrum Informacji Senioralnej przy ROPS </w:t>
      </w:r>
      <w:r w:rsidRPr="005F0A32">
        <w:rPr>
          <w:rFonts w:ascii="Times New Roman" w:eastAsia="CIDFont+F4" w:hAnsi="Times New Roman" w:cs="Times New Roman"/>
          <w:sz w:val="24"/>
          <w:szCs w:val="24"/>
        </w:rPr>
        <w:br/>
        <w:t xml:space="preserve">w Toruniu wraz z 4 mobilnymi punktami informacji. W 2019 r. z dyżurów osobistych </w:t>
      </w:r>
      <w:r w:rsidRPr="005F0A32">
        <w:rPr>
          <w:rFonts w:ascii="Times New Roman" w:eastAsia="CIDFont+F4" w:hAnsi="Times New Roman" w:cs="Times New Roman"/>
          <w:sz w:val="24"/>
          <w:szCs w:val="24"/>
        </w:rPr>
        <w:br/>
        <w:t>i telefonicznych skorzystało łącznie 614 osób;</w:t>
      </w:r>
    </w:p>
    <w:p w14:paraId="12F6DA01" w14:textId="77777777" w:rsidR="0050177A" w:rsidRPr="005F0A32" w:rsidRDefault="0050177A" w:rsidP="00493925">
      <w:pPr>
        <w:pStyle w:val="Akapitzlist"/>
        <w:numPr>
          <w:ilvl w:val="0"/>
          <w:numId w:val="3"/>
        </w:numPr>
        <w:autoSpaceDE w:val="0"/>
        <w:autoSpaceDN w:val="0"/>
        <w:adjustRightInd w:val="0"/>
        <w:spacing w:after="0"/>
        <w:ind w:left="357" w:hanging="357"/>
        <w:contextualSpacing w:val="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Pracownicy Regionalnego Centrum Informacji Senioralnej przy ROPS w Toruniu zorganizowali i uczestniczyli w 23 spotkaniach świadomościowych (po jednym spotkaniu w każdym powiecie regionu) z cyklu „Aktywny i zdrowy Senior”, które poświęcone były popularyzacji dobrych rozwiązań w ob</w:t>
      </w:r>
      <w:r w:rsidR="00754157">
        <w:rPr>
          <w:rFonts w:ascii="Times New Roman" w:eastAsia="CIDFont+F4" w:hAnsi="Times New Roman" w:cs="Times New Roman"/>
          <w:sz w:val="24"/>
          <w:szCs w:val="24"/>
        </w:rPr>
        <w:t xml:space="preserve">szarze profilaktyki zdrowotnej </w:t>
      </w:r>
      <w:r w:rsidRPr="005F0A32">
        <w:rPr>
          <w:rFonts w:ascii="Times New Roman" w:eastAsia="CIDFont+F4" w:hAnsi="Times New Roman" w:cs="Times New Roman"/>
          <w:sz w:val="24"/>
          <w:szCs w:val="24"/>
        </w:rPr>
        <w:t>i opieki nad niesamodzielnymi osobami starszymi. W spotkaniach uczestniczyło łącznie 501 osób;</w:t>
      </w:r>
    </w:p>
    <w:p w14:paraId="231616A1" w14:textId="77777777" w:rsidR="0050177A" w:rsidRPr="005F0A32" w:rsidRDefault="0050177A" w:rsidP="00493925">
      <w:pPr>
        <w:pStyle w:val="Akapitzlist"/>
        <w:numPr>
          <w:ilvl w:val="0"/>
          <w:numId w:val="3"/>
        </w:numPr>
        <w:autoSpaceDE w:val="0"/>
        <w:autoSpaceDN w:val="0"/>
        <w:adjustRightInd w:val="0"/>
        <w:spacing w:after="0"/>
        <w:ind w:left="357" w:hanging="357"/>
        <w:contextualSpacing w:val="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kontynuowano prowadzenie tematycznego portalu informacyjnego dla osób starszych i ich bliskich</w:t>
      </w:r>
      <w:r w:rsidRPr="005F0A32">
        <w:rPr>
          <w:rStyle w:val="Hipercze"/>
          <w:rFonts w:ascii="Times New Roman" w:eastAsia="CIDFont+F4" w:hAnsi="Times New Roman" w:cs="Times New Roman"/>
          <w:sz w:val="24"/>
          <w:szCs w:val="24"/>
        </w:rPr>
        <w:t xml:space="preserve"> </w:t>
      </w:r>
      <w:hyperlink r:id="rId30" w:history="1">
        <w:r w:rsidRPr="005F0A32">
          <w:rPr>
            <w:rStyle w:val="Hipercze"/>
            <w:rFonts w:ascii="Times New Roman" w:eastAsia="CIDFont+F4" w:hAnsi="Times New Roman" w:cs="Times New Roman"/>
            <w:sz w:val="24"/>
            <w:szCs w:val="24"/>
          </w:rPr>
          <w:t>www.infosenior.rops.torun.pl</w:t>
        </w:r>
      </w:hyperlink>
      <w:r w:rsidRPr="005F0A32">
        <w:rPr>
          <w:rFonts w:ascii="Times New Roman" w:eastAsia="CIDFont+F4" w:hAnsi="Times New Roman" w:cs="Times New Roman"/>
          <w:sz w:val="24"/>
          <w:szCs w:val="24"/>
        </w:rPr>
        <w:t>. Łącznie zamieszczono 190 informacji;</w:t>
      </w:r>
    </w:p>
    <w:p w14:paraId="216EF628" w14:textId="77777777" w:rsidR="0050177A" w:rsidRPr="005F0A32" w:rsidRDefault="0050177A" w:rsidP="00493925">
      <w:pPr>
        <w:pStyle w:val="Akapitzlist"/>
        <w:numPr>
          <w:ilvl w:val="0"/>
          <w:numId w:val="3"/>
        </w:numPr>
        <w:autoSpaceDE w:val="0"/>
        <w:autoSpaceDN w:val="0"/>
        <w:adjustRightInd w:val="0"/>
        <w:spacing w:after="0"/>
        <w:ind w:left="357" w:hanging="357"/>
        <w:contextualSpacing w:val="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 xml:space="preserve">opracowano i wydano publikację pn. </w:t>
      </w:r>
      <w:r w:rsidR="001822AC">
        <w:rPr>
          <w:rFonts w:ascii="Times New Roman" w:eastAsia="CIDFont+F4" w:hAnsi="Times New Roman" w:cs="Times New Roman"/>
          <w:sz w:val="24"/>
          <w:szCs w:val="24"/>
        </w:rPr>
        <w:t>„Informator dla Seniora” (15 tys.</w:t>
      </w:r>
      <w:r w:rsidRPr="005F0A32">
        <w:rPr>
          <w:rFonts w:ascii="Times New Roman" w:eastAsia="CIDFont+F4" w:hAnsi="Times New Roman" w:cs="Times New Roman"/>
          <w:sz w:val="24"/>
          <w:szCs w:val="24"/>
        </w:rPr>
        <w:t xml:space="preserve"> egzemplarzy. VI wydanie zawierało informacje na temat instytucji działających na rzecz osób starszych, dedykowanej oferty kulturalnej i edukacyjnej, a także zasad przyznawania świadczeń i wsparcia. Osobny rozdział poświęcony został poradom konsumenckim;</w:t>
      </w:r>
    </w:p>
    <w:p w14:paraId="38E623F0" w14:textId="77777777" w:rsidR="0050177A" w:rsidRPr="005F0A32" w:rsidRDefault="0050177A" w:rsidP="00493925">
      <w:pPr>
        <w:pStyle w:val="Akapitzlist"/>
        <w:numPr>
          <w:ilvl w:val="0"/>
          <w:numId w:val="3"/>
        </w:numPr>
        <w:autoSpaceDE w:val="0"/>
        <w:autoSpaceDN w:val="0"/>
        <w:adjustRightInd w:val="0"/>
        <w:spacing w:after="0"/>
        <w:ind w:left="357" w:hanging="357"/>
        <w:contextualSpacing w:val="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opublikowano 4-stronicowe wkładki w gazetach regionalnych (Pomorska, Nowości oraz ExpressBydgoski – łączny nakład ok 100 tys. szt., 21.06.2019 r., 29.11.2019) – kompendium wiedzy o infrastrukturze pomo</w:t>
      </w:r>
      <w:r w:rsidR="00754157">
        <w:rPr>
          <w:rFonts w:ascii="Times New Roman" w:eastAsia="CIDFont+F4" w:hAnsi="Times New Roman" w:cs="Times New Roman"/>
          <w:sz w:val="24"/>
          <w:szCs w:val="24"/>
        </w:rPr>
        <w:t xml:space="preserve">cowej, zdrowotnej, kulturalnej </w:t>
      </w:r>
      <w:r w:rsidRPr="005F0A32">
        <w:rPr>
          <w:rFonts w:ascii="Times New Roman" w:eastAsia="CIDFont+F4" w:hAnsi="Times New Roman" w:cs="Times New Roman"/>
          <w:sz w:val="24"/>
          <w:szCs w:val="24"/>
        </w:rPr>
        <w:t>i edukacyjnej dla osób starszych w województwie kujawsko-pomorskim,</w:t>
      </w:r>
    </w:p>
    <w:p w14:paraId="6FFD8BFF" w14:textId="77777777" w:rsidR="0050177A" w:rsidRPr="005F0A32" w:rsidRDefault="0050177A" w:rsidP="00493925">
      <w:pPr>
        <w:pStyle w:val="Akapitzlist"/>
        <w:numPr>
          <w:ilvl w:val="0"/>
          <w:numId w:val="3"/>
        </w:numPr>
        <w:autoSpaceDE w:val="0"/>
        <w:autoSpaceDN w:val="0"/>
        <w:adjustRightInd w:val="0"/>
        <w:spacing w:after="0"/>
        <w:ind w:left="357" w:hanging="357"/>
        <w:contextualSpacing w:val="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zorganizowano spotkania w ramach działań informacyjno-edukacyjnych skierowanych do osób powyżej 60 roku życia przebywających w Zakładzie Karnym w Potulicach</w:t>
      </w:r>
      <w:r w:rsidRPr="005F0A32">
        <w:rPr>
          <w:rStyle w:val="Odwoanieprzypisudolnego"/>
          <w:rFonts w:ascii="Times New Roman" w:eastAsia="CIDFont+F4" w:hAnsi="Times New Roman" w:cs="Times New Roman"/>
          <w:sz w:val="24"/>
          <w:szCs w:val="24"/>
        </w:rPr>
        <w:footnoteReference w:id="62"/>
      </w:r>
      <w:r w:rsidRPr="005F0A32">
        <w:rPr>
          <w:rFonts w:ascii="Times New Roman" w:eastAsia="CIDFont+F4" w:hAnsi="Times New Roman" w:cs="Times New Roman"/>
          <w:sz w:val="24"/>
          <w:szCs w:val="24"/>
        </w:rPr>
        <w:t>.</w:t>
      </w:r>
    </w:p>
    <w:p w14:paraId="6CF09F5C" w14:textId="77777777" w:rsidR="0050177A" w:rsidRPr="005F0A32" w:rsidRDefault="0050177A" w:rsidP="00493925">
      <w:pPr>
        <w:spacing w:after="0"/>
        <w:ind w:firstLine="357"/>
        <w:jc w:val="both"/>
        <w:rPr>
          <w:rFonts w:ascii="Times New Roman" w:hAnsi="Times New Roman" w:cs="Times New Roman"/>
          <w:sz w:val="24"/>
          <w:szCs w:val="24"/>
        </w:rPr>
      </w:pPr>
      <w:r w:rsidRPr="005F0A32">
        <w:rPr>
          <w:rFonts w:ascii="Times New Roman" w:hAnsi="Times New Roman" w:cs="Times New Roman"/>
          <w:sz w:val="24"/>
          <w:szCs w:val="24"/>
        </w:rPr>
        <w:t>Projekt jest realizowany od 1 stycz</w:t>
      </w:r>
      <w:r w:rsidR="001822AC">
        <w:rPr>
          <w:rFonts w:ascii="Times New Roman" w:hAnsi="Times New Roman" w:cs="Times New Roman"/>
          <w:sz w:val="24"/>
          <w:szCs w:val="24"/>
        </w:rPr>
        <w:t>nia 2018 do 31 grudnia 2020 r</w:t>
      </w:r>
      <w:r w:rsidRPr="005F0A32">
        <w:rPr>
          <w:rFonts w:ascii="Times New Roman" w:hAnsi="Times New Roman" w:cs="Times New Roman"/>
          <w:sz w:val="24"/>
          <w:szCs w:val="24"/>
        </w:rPr>
        <w:t>.</w:t>
      </w:r>
    </w:p>
    <w:p w14:paraId="661E71A6" w14:textId="77777777" w:rsidR="0050177A" w:rsidRPr="005F0A32" w:rsidRDefault="0050177A" w:rsidP="00493925">
      <w:pPr>
        <w:pStyle w:val="Akapitzlist"/>
        <w:spacing w:after="0"/>
        <w:ind w:left="714"/>
        <w:contextualSpacing w:val="0"/>
        <w:jc w:val="both"/>
        <w:rPr>
          <w:rFonts w:ascii="Times New Roman" w:hAnsi="Times New Roman" w:cs="Times New Roman"/>
          <w:b/>
          <w:sz w:val="24"/>
          <w:szCs w:val="24"/>
        </w:rPr>
      </w:pPr>
    </w:p>
    <w:p w14:paraId="38FAD66E" w14:textId="77777777" w:rsidR="0050177A" w:rsidRPr="00754157" w:rsidRDefault="0050177A" w:rsidP="00493925">
      <w:pPr>
        <w:spacing w:after="0"/>
        <w:jc w:val="both"/>
        <w:rPr>
          <w:rStyle w:val="Pogrubienie"/>
          <w:rFonts w:ascii="Times New Roman" w:hAnsi="Times New Roman" w:cs="Times New Roman"/>
          <w:b w:val="0"/>
          <w:bCs w:val="0"/>
          <w:sz w:val="24"/>
          <w:szCs w:val="24"/>
        </w:rPr>
      </w:pPr>
      <w:r w:rsidRPr="00470DBE">
        <w:rPr>
          <w:rFonts w:ascii="Times New Roman" w:hAnsi="Times New Roman" w:cs="Times New Roman"/>
          <w:b/>
          <w:sz w:val="24"/>
        </w:rPr>
        <w:t>Projekt „Kujawsko-Pomorskie Środowiskowe Cent</w:t>
      </w:r>
      <w:r w:rsidR="00754157" w:rsidRPr="00470DBE">
        <w:rPr>
          <w:rFonts w:ascii="Times New Roman" w:hAnsi="Times New Roman" w:cs="Times New Roman"/>
          <w:b/>
          <w:sz w:val="24"/>
        </w:rPr>
        <w:t xml:space="preserve">rum Opieki Psychogeriatrycznej </w:t>
      </w:r>
      <w:r w:rsidRPr="00470DBE">
        <w:rPr>
          <w:rFonts w:ascii="Times New Roman" w:hAnsi="Times New Roman" w:cs="Times New Roman"/>
          <w:b/>
          <w:sz w:val="24"/>
        </w:rPr>
        <w:t>w Otępieniach”</w:t>
      </w:r>
      <w:r w:rsidRPr="00754157">
        <w:rPr>
          <w:rFonts w:ascii="Times New Roman" w:hAnsi="Times New Roman" w:cs="Times New Roman"/>
          <w:sz w:val="24"/>
        </w:rPr>
        <w:t xml:space="preserve"> (ŚCOPO) był realizowany w ramach działania 4.1 Programu Operacyjnego Wiedza Edukacja Rozwój (konkurs „Deinstytucjonalizacja usług świadczonych na rzecz osób z zaburzeniami i chorobami psychicznymi”). Liderem projektu był Pallmed sp. z o.o. Był on realizowany w partnerstwie z 21 podmiotami, w tym z Samorządem Województwa Kujawsko-Pomorskiego za pośrednictwem Regionalne</w:t>
      </w:r>
      <w:r w:rsidR="00754157">
        <w:rPr>
          <w:rFonts w:ascii="Times New Roman" w:hAnsi="Times New Roman" w:cs="Times New Roman"/>
          <w:sz w:val="24"/>
        </w:rPr>
        <w:t xml:space="preserve">go Ośrodka Polityki Społecznej </w:t>
      </w:r>
      <w:r w:rsidRPr="00754157">
        <w:rPr>
          <w:rFonts w:ascii="Times New Roman" w:hAnsi="Times New Roman" w:cs="Times New Roman"/>
          <w:sz w:val="24"/>
        </w:rPr>
        <w:t xml:space="preserve">w Toruniu, szpitalami, placówkami podstawowej opieki zdrowotnej, ośrodkami  pomocy społecznej, ośrodkami  kultury, NGO. Głównym celem projektu była poprawa jakości usług świadczonych na rzecz osób chorych otępiennie poprzez rozwój kompleksowej sieci wsparcia – skoordynowanego leczenia, opieki środowiskowej oraz aktywizacji społecznej. Cel ten realizowany był poprzez stworzenie Kujawsko-Pomorskiego Centrum Opieki </w:t>
      </w:r>
      <w:r w:rsidRPr="00754157">
        <w:rPr>
          <w:rFonts w:ascii="Times New Roman" w:hAnsi="Times New Roman" w:cs="Times New Roman"/>
          <w:sz w:val="24"/>
        </w:rPr>
        <w:lastRenderedPageBreak/>
        <w:t>Psychogeriatrycznej w Otępieniach. Projekt był realizowany od 1 wrześ</w:t>
      </w:r>
      <w:r w:rsidR="007C611E">
        <w:rPr>
          <w:rFonts w:ascii="Times New Roman" w:hAnsi="Times New Roman" w:cs="Times New Roman"/>
          <w:sz w:val="24"/>
        </w:rPr>
        <w:t>nia 2017 do 31 grudnia 2019 r.</w:t>
      </w:r>
      <w:r w:rsidRPr="00754157">
        <w:rPr>
          <w:rFonts w:ascii="Times New Roman" w:hAnsi="Times New Roman" w:cs="Times New Roman"/>
          <w:sz w:val="24"/>
        </w:rPr>
        <w:t xml:space="preserve"> na terenie Bydgoszczy i powiatu sępoleńskiego.</w:t>
      </w:r>
      <w:r w:rsidRPr="00754157">
        <w:rPr>
          <w:sz w:val="24"/>
        </w:rPr>
        <w:t xml:space="preserve"> </w:t>
      </w:r>
    </w:p>
    <w:p w14:paraId="0A010DBC" w14:textId="77777777" w:rsidR="00754157" w:rsidRDefault="00754157" w:rsidP="00493925">
      <w:pPr>
        <w:spacing w:after="0"/>
        <w:jc w:val="both"/>
        <w:rPr>
          <w:rFonts w:ascii="Times New Roman" w:hAnsi="Times New Roman" w:cs="Times New Roman"/>
          <w:sz w:val="24"/>
          <w:szCs w:val="24"/>
        </w:rPr>
      </w:pPr>
    </w:p>
    <w:p w14:paraId="65789B9E" w14:textId="77777777" w:rsidR="0050177A" w:rsidRPr="005F0A32" w:rsidRDefault="0050177A" w:rsidP="00493925">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Działania świadomościowe zrealizowane przez Regionalny Ośrodek Polityki Społecznej </w:t>
      </w:r>
      <w:r w:rsidRPr="005F0A32">
        <w:rPr>
          <w:rFonts w:ascii="Times New Roman" w:hAnsi="Times New Roman" w:cs="Times New Roman"/>
          <w:sz w:val="24"/>
          <w:szCs w:val="24"/>
        </w:rPr>
        <w:br/>
        <w:t xml:space="preserve">w Toruniu, w ramach projektu pn. </w:t>
      </w:r>
      <w:r w:rsidRPr="00470DBE">
        <w:rPr>
          <w:rFonts w:ascii="Times New Roman" w:hAnsi="Times New Roman" w:cs="Times New Roman"/>
          <w:b/>
          <w:sz w:val="24"/>
          <w:szCs w:val="24"/>
        </w:rPr>
        <w:t>„Kujawsko-Pomorskie Środowiskowe Centrum Opieki Psychogeriat</w:t>
      </w:r>
      <w:r w:rsidR="00754157" w:rsidRPr="00470DBE">
        <w:rPr>
          <w:rFonts w:ascii="Times New Roman" w:hAnsi="Times New Roman" w:cs="Times New Roman"/>
          <w:b/>
          <w:sz w:val="24"/>
          <w:szCs w:val="24"/>
        </w:rPr>
        <w:t xml:space="preserve">rycznej w Otępieniach” </w:t>
      </w:r>
      <w:r w:rsidR="00754157">
        <w:rPr>
          <w:rFonts w:ascii="Times New Roman" w:hAnsi="Times New Roman" w:cs="Times New Roman"/>
          <w:sz w:val="24"/>
          <w:szCs w:val="24"/>
        </w:rPr>
        <w:t>w 2019 r.</w:t>
      </w:r>
      <w:r w:rsidRPr="005F0A32">
        <w:rPr>
          <w:rFonts w:ascii="Times New Roman" w:hAnsi="Times New Roman" w:cs="Times New Roman"/>
          <w:sz w:val="24"/>
          <w:szCs w:val="24"/>
        </w:rPr>
        <w:t>:</w:t>
      </w:r>
    </w:p>
    <w:p w14:paraId="5EF6F0B0" w14:textId="77777777" w:rsidR="0050177A" w:rsidRPr="005F0A32" w:rsidRDefault="0050177A" w:rsidP="00493925">
      <w:pPr>
        <w:pStyle w:val="Akapitzlist"/>
        <w:numPr>
          <w:ilvl w:val="0"/>
          <w:numId w:val="3"/>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wyłoniono oraz współpracowano z 4 ambasadorami projektu, którzy zorganizowali szereg spotkań na temat chorób otępiennych z opiekunami, a także osobami starszymi i samotnymi;</w:t>
      </w:r>
    </w:p>
    <w:p w14:paraId="427C662E" w14:textId="77777777" w:rsidR="0050177A" w:rsidRPr="005F0A32" w:rsidRDefault="0050177A" w:rsidP="00493925">
      <w:pPr>
        <w:pStyle w:val="Akapitzlist"/>
        <w:numPr>
          <w:ilvl w:val="0"/>
          <w:numId w:val="3"/>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zlecono przeprowadzenie kampanii świadomościowej za pomocą reklamy w środkach transportu MZK i PKS na terenie Bydgoszczy i powiatu sępoleńskiego (10.04.2019 – 09.05.2019). W Bydgoszczy z k</w:t>
      </w:r>
      <w:r w:rsidR="007C611E">
        <w:rPr>
          <w:rFonts w:ascii="Times New Roman" w:eastAsia="CIDFont+F4" w:hAnsi="Times New Roman" w:cs="Times New Roman"/>
          <w:sz w:val="24"/>
          <w:szCs w:val="24"/>
        </w:rPr>
        <w:t>ampanią zapoznało się ok. 67 tys.</w:t>
      </w:r>
      <w:r w:rsidRPr="005F0A32">
        <w:rPr>
          <w:rFonts w:ascii="Times New Roman" w:eastAsia="CIDFont+F4" w:hAnsi="Times New Roman" w:cs="Times New Roman"/>
          <w:sz w:val="24"/>
          <w:szCs w:val="24"/>
        </w:rPr>
        <w:t xml:space="preserve"> osób, a w powiecie sępoleńskim ok. 1 280 odbiorców;</w:t>
      </w:r>
    </w:p>
    <w:p w14:paraId="3968CF2C" w14:textId="77777777" w:rsidR="0050177A" w:rsidRPr="005F0A32" w:rsidRDefault="0050177A" w:rsidP="00493925">
      <w:pPr>
        <w:pStyle w:val="Akapitzlist"/>
        <w:numPr>
          <w:ilvl w:val="0"/>
          <w:numId w:val="3"/>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zorganizowano 5 spotkań Lokalnego Porozumienia na Rzecz Poprawy Jakości Opieki Nad Chorym Otępiennie, podczas których partnerzy projektu mieli okazję wysłuchać wykładów nt. różnorodnych aspektów choro</w:t>
      </w:r>
      <w:r w:rsidR="00B13B31">
        <w:rPr>
          <w:rFonts w:ascii="Times New Roman" w:eastAsia="CIDFont+F4" w:hAnsi="Times New Roman" w:cs="Times New Roman"/>
          <w:sz w:val="24"/>
          <w:szCs w:val="24"/>
        </w:rPr>
        <w:t xml:space="preserve">by otępiennej oraz porozmawiać </w:t>
      </w:r>
      <w:r w:rsidRPr="005F0A32">
        <w:rPr>
          <w:rFonts w:ascii="Times New Roman" w:eastAsia="CIDFont+F4" w:hAnsi="Times New Roman" w:cs="Times New Roman"/>
          <w:sz w:val="24"/>
          <w:szCs w:val="24"/>
        </w:rPr>
        <w:t>nt. bieżącej realizacji projektu;</w:t>
      </w:r>
    </w:p>
    <w:p w14:paraId="04E0AA5F" w14:textId="77777777" w:rsidR="0050177A" w:rsidRPr="005F0A32" w:rsidRDefault="0050177A" w:rsidP="00493925">
      <w:pPr>
        <w:pStyle w:val="Akapitzlist"/>
        <w:numPr>
          <w:ilvl w:val="0"/>
          <w:numId w:val="3"/>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 xml:space="preserve">opracowano kalendarz wydarzeń, związanych z obchodami Dni Alzheimerowskich </w:t>
      </w:r>
      <w:r w:rsidRPr="005F0A32">
        <w:rPr>
          <w:rFonts w:ascii="Times New Roman" w:eastAsia="CIDFont+F4" w:hAnsi="Times New Roman" w:cs="Times New Roman"/>
          <w:sz w:val="24"/>
          <w:szCs w:val="24"/>
        </w:rPr>
        <w:br/>
        <w:t>w województwie kujawsko-pomorskim, w celu udostępnienia zainteresowanym informacji nt. inicjatyw realizowanych na terenie naszego regionu. Informacje zamieszczono na stronie internetowej ROPS w Toruniu. Ponadto w czasie obchodów Dni Alzheimerowskich zorganizowano 7 spotkań (w Toruniu, Solcu Kujawskim, Sępólnie Krajeńskim oraz Chełmnie oraz 3 spotkania w Bydgoszczy);</w:t>
      </w:r>
    </w:p>
    <w:p w14:paraId="39F4BAC1" w14:textId="77777777" w:rsidR="0050177A" w:rsidRPr="005F0A32" w:rsidRDefault="0050177A" w:rsidP="00493925">
      <w:pPr>
        <w:pStyle w:val="Akapitzlist"/>
        <w:numPr>
          <w:ilvl w:val="0"/>
          <w:numId w:val="3"/>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prowadzono fanpage „OtępieNIE” na por</w:t>
      </w:r>
      <w:r w:rsidR="00B13B31">
        <w:rPr>
          <w:rFonts w:ascii="Times New Roman" w:eastAsia="CIDFont+F4" w:hAnsi="Times New Roman" w:cs="Times New Roman"/>
          <w:sz w:val="24"/>
          <w:szCs w:val="24"/>
        </w:rPr>
        <w:t xml:space="preserve">talu społecznościowym Facebook </w:t>
      </w:r>
      <w:r w:rsidR="007C611E">
        <w:rPr>
          <w:rFonts w:ascii="Times New Roman" w:eastAsia="CIDFont+F4" w:hAnsi="Times New Roman" w:cs="Times New Roman"/>
          <w:sz w:val="24"/>
          <w:szCs w:val="24"/>
        </w:rPr>
        <w:t>(ok. 40 tys.</w:t>
      </w:r>
      <w:r w:rsidRPr="005F0A32">
        <w:rPr>
          <w:rFonts w:ascii="Times New Roman" w:eastAsia="CIDFont+F4" w:hAnsi="Times New Roman" w:cs="Times New Roman"/>
          <w:sz w:val="24"/>
          <w:szCs w:val="24"/>
        </w:rPr>
        <w:t xml:space="preserve"> osób zapoznało się z informacjami udostępnianymi za pośrednictwem mediów społecznościowych) oraz stronę internetową </w:t>
      </w:r>
      <w:hyperlink r:id="rId31" w:history="1">
        <w:r w:rsidRPr="005F0A32">
          <w:rPr>
            <w:rStyle w:val="Hipercze"/>
            <w:rFonts w:ascii="Times New Roman" w:eastAsia="CIDFont+F4" w:hAnsi="Times New Roman" w:cs="Times New Roman"/>
            <w:sz w:val="24"/>
            <w:szCs w:val="24"/>
          </w:rPr>
          <w:t>www.otepienni.pl</w:t>
        </w:r>
      </w:hyperlink>
      <w:r w:rsidRPr="005F0A32">
        <w:rPr>
          <w:rFonts w:ascii="Times New Roman" w:eastAsia="CIDFont+F4" w:hAnsi="Times New Roman" w:cs="Times New Roman"/>
          <w:sz w:val="24"/>
          <w:szCs w:val="24"/>
        </w:rPr>
        <w:t>;</w:t>
      </w:r>
    </w:p>
    <w:p w14:paraId="7CAD5973" w14:textId="77777777" w:rsidR="0050177A" w:rsidRPr="005F0A32" w:rsidRDefault="0050177A" w:rsidP="00493925">
      <w:pPr>
        <w:pStyle w:val="Akapitzlist"/>
        <w:numPr>
          <w:ilvl w:val="0"/>
          <w:numId w:val="3"/>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27 listopada 2019 r. w Bydgoszczy zorganizowano konferencję pn. „OtępieNIE – nowe rozwiązania na rzecz osób z otępieniem i ich opiekunów”. Podczas konferencji przedstawione zostały m.in. dobre praktyki z kraju realizowane na rzecz osób chorych otępiennie i ich opiekunów, podsumowano realizację projektu „Kujawsko-Pomorskie Środowiskowe Centrum Opieki Psychogeriatrycznejw Otępieniach”. W konferencji udział wzięło ok. 90 osób;</w:t>
      </w:r>
    </w:p>
    <w:p w14:paraId="214D7ABA" w14:textId="77777777" w:rsidR="0050177A" w:rsidRPr="005F0A32" w:rsidRDefault="0050177A" w:rsidP="00493925">
      <w:pPr>
        <w:pStyle w:val="Akapitzlist"/>
        <w:numPr>
          <w:ilvl w:val="0"/>
          <w:numId w:val="3"/>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wydano publikację pn. „OtępieNIE. Teoretyczne i praktyczne aspekty choroby otępiennej – poradnik dla specjalistów i opiekunów nieformalnych”, w nakładzie 700 egzemplarzy. Publikację rozdystrybuowano podczas konferencji oraz rozesłano pocztą do domów pomocy społecznej, dziennych domów pomocy, zakładów opiekuńczo-leczniczych oraz poradni geriatrycznych w województwie kujawsko-pomorskim. Ponadto publikację zamieszczono do pobrania na stronie internetowej ROPS w Toruniu.</w:t>
      </w:r>
    </w:p>
    <w:p w14:paraId="346A056B" w14:textId="77777777" w:rsidR="0050177A" w:rsidRPr="005F0A32" w:rsidRDefault="0050177A" w:rsidP="00493925">
      <w:pPr>
        <w:autoSpaceDE w:val="0"/>
        <w:autoSpaceDN w:val="0"/>
        <w:adjustRightInd w:val="0"/>
        <w:spacing w:after="0"/>
        <w:jc w:val="both"/>
        <w:rPr>
          <w:rFonts w:ascii="Times New Roman" w:eastAsia="CIDFont+F4" w:hAnsi="Times New Roman" w:cs="Times New Roman"/>
          <w:sz w:val="24"/>
          <w:szCs w:val="24"/>
        </w:rPr>
      </w:pPr>
    </w:p>
    <w:p w14:paraId="625E9729" w14:textId="77777777" w:rsidR="00470DBE" w:rsidRPr="00470DBE" w:rsidRDefault="00470DBE" w:rsidP="00493925">
      <w:pPr>
        <w:shd w:val="clear" w:color="auto" w:fill="FFFFFF"/>
        <w:spacing w:after="0"/>
        <w:jc w:val="both"/>
        <w:rPr>
          <w:rFonts w:ascii="Times New Roman" w:hAnsi="Times New Roman" w:cs="Times New Roman"/>
          <w:b/>
          <w:sz w:val="24"/>
          <w:szCs w:val="24"/>
        </w:rPr>
      </w:pPr>
      <w:r w:rsidRPr="00470DBE">
        <w:rPr>
          <w:rFonts w:ascii="Times New Roman" w:hAnsi="Times New Roman" w:cs="Times New Roman"/>
          <w:b/>
          <w:sz w:val="24"/>
          <w:szCs w:val="24"/>
        </w:rPr>
        <w:t>Program Senior+</w:t>
      </w:r>
    </w:p>
    <w:p w14:paraId="61D9F00F" w14:textId="77777777" w:rsidR="0050177A" w:rsidRPr="00B13B31" w:rsidRDefault="0050177A" w:rsidP="00493925">
      <w:pPr>
        <w:shd w:val="clear" w:color="auto" w:fill="FFFFFF"/>
        <w:spacing w:after="0"/>
        <w:jc w:val="both"/>
        <w:rPr>
          <w:rFonts w:ascii="Times New Roman" w:hAnsi="Times New Roman" w:cs="Times New Roman"/>
          <w:sz w:val="24"/>
          <w:szCs w:val="24"/>
        </w:rPr>
      </w:pPr>
      <w:r w:rsidRPr="005F0A32">
        <w:rPr>
          <w:rFonts w:ascii="Times New Roman" w:hAnsi="Times New Roman" w:cs="Times New Roman"/>
          <w:sz w:val="24"/>
          <w:szCs w:val="24"/>
        </w:rPr>
        <w:t>W ramach Programu Wieloletniego „Senior</w:t>
      </w:r>
      <w:r w:rsidR="00B13B31">
        <w:rPr>
          <w:rFonts w:ascii="Times New Roman" w:hAnsi="Times New Roman" w:cs="Times New Roman"/>
          <w:sz w:val="24"/>
          <w:szCs w:val="24"/>
        </w:rPr>
        <w:t xml:space="preserve">+” na lata 2015-2020 w 2019 r. </w:t>
      </w:r>
      <w:r w:rsidRPr="005F0A32">
        <w:rPr>
          <w:rFonts w:ascii="Times New Roman" w:hAnsi="Times New Roman" w:cs="Times New Roman"/>
          <w:sz w:val="24"/>
          <w:szCs w:val="24"/>
        </w:rPr>
        <w:t xml:space="preserve">w województwie kujawsko-pomorskim utworzono 17 nowych placówek ,,Senior+”, a 17 już istniejących otrzymało dofinansowanie na prowadzenie dalszej działalności. Łącznie Ministerstwo Rodziny, Pracy i Polityki Społecznej na </w:t>
      </w:r>
      <w:r w:rsidR="00B13B31">
        <w:rPr>
          <w:rFonts w:ascii="Times New Roman" w:hAnsi="Times New Roman" w:cs="Times New Roman"/>
          <w:sz w:val="24"/>
          <w:szCs w:val="24"/>
        </w:rPr>
        <w:t xml:space="preserve">realizację Programu ,,Senior+” </w:t>
      </w:r>
      <w:r w:rsidRPr="005F0A32">
        <w:rPr>
          <w:rFonts w:ascii="Times New Roman" w:hAnsi="Times New Roman" w:cs="Times New Roman"/>
          <w:sz w:val="24"/>
          <w:szCs w:val="24"/>
        </w:rPr>
        <w:t>w województwie kujawsko-pomorskim przeznaczyło w 2019 r. 3 524 559,00 zł.</w:t>
      </w:r>
      <w:r w:rsidR="00B13B31">
        <w:rPr>
          <w:rFonts w:ascii="Times New Roman" w:hAnsi="Times New Roman" w:cs="Times New Roman"/>
          <w:sz w:val="24"/>
          <w:szCs w:val="24"/>
        </w:rPr>
        <w:t xml:space="preserve"> </w:t>
      </w:r>
      <w:r w:rsidRPr="005F0A32">
        <w:rPr>
          <w:rFonts w:ascii="Times New Roman" w:hAnsi="Times New Roman" w:cs="Times New Roman"/>
          <w:sz w:val="24"/>
          <w:szCs w:val="24"/>
        </w:rPr>
        <w:t xml:space="preserve">Na koniec 2019 r. w województwie </w:t>
      </w:r>
      <w:r w:rsidRPr="005F0A32">
        <w:rPr>
          <w:rFonts w:ascii="Times New Roman" w:hAnsi="Times New Roman" w:cs="Times New Roman"/>
          <w:sz w:val="24"/>
          <w:szCs w:val="24"/>
        </w:rPr>
        <w:lastRenderedPageBreak/>
        <w:t>kujawsko-pomorskim funkcjonowało 9 Dziennych Domów oraz 30 Klubów. Łączna liczba miejsc w ww. placówkach wynosiła 9</w:t>
      </w:r>
      <w:r w:rsidR="00B13B31">
        <w:rPr>
          <w:rFonts w:ascii="Times New Roman" w:hAnsi="Times New Roman" w:cs="Times New Roman"/>
          <w:sz w:val="24"/>
          <w:szCs w:val="24"/>
        </w:rPr>
        <w:t xml:space="preserve">64 (195 miejsc </w:t>
      </w:r>
      <w:r w:rsidRPr="005F0A32">
        <w:rPr>
          <w:rFonts w:ascii="Times New Roman" w:hAnsi="Times New Roman" w:cs="Times New Roman"/>
          <w:sz w:val="24"/>
          <w:szCs w:val="24"/>
        </w:rPr>
        <w:t xml:space="preserve">w domach, 769 miejsca w klubach). </w:t>
      </w:r>
    </w:p>
    <w:p w14:paraId="00DB6C6F" w14:textId="77777777" w:rsidR="0050177A" w:rsidRDefault="0050177A" w:rsidP="00493925">
      <w:pPr>
        <w:shd w:val="clear" w:color="auto" w:fill="FFFFFF"/>
        <w:spacing w:after="0"/>
        <w:jc w:val="both"/>
        <w:rPr>
          <w:rFonts w:ascii="Times New Roman" w:hAnsi="Times New Roman" w:cs="Times New Roman"/>
          <w:sz w:val="24"/>
          <w:szCs w:val="24"/>
        </w:rPr>
      </w:pPr>
    </w:p>
    <w:p w14:paraId="7CDB90E6" w14:textId="77777777" w:rsidR="006145C4" w:rsidRDefault="006145C4" w:rsidP="00493925">
      <w:pPr>
        <w:shd w:val="clear" w:color="auto" w:fill="FFFFFF"/>
        <w:spacing w:after="0"/>
        <w:jc w:val="both"/>
        <w:rPr>
          <w:rFonts w:ascii="Times New Roman" w:hAnsi="Times New Roman" w:cs="Times New Roman"/>
          <w:sz w:val="24"/>
          <w:szCs w:val="24"/>
        </w:rPr>
      </w:pPr>
    </w:p>
    <w:p w14:paraId="0E52B8B3" w14:textId="77777777" w:rsidR="00470DBE" w:rsidRPr="00470DBE" w:rsidRDefault="00470DBE" w:rsidP="00493925">
      <w:pPr>
        <w:shd w:val="clear" w:color="auto" w:fill="FFFFFF"/>
        <w:spacing w:after="0"/>
        <w:jc w:val="both"/>
        <w:rPr>
          <w:rFonts w:ascii="Times New Roman" w:hAnsi="Times New Roman" w:cs="Times New Roman"/>
          <w:b/>
          <w:sz w:val="24"/>
          <w:szCs w:val="24"/>
        </w:rPr>
      </w:pPr>
      <w:r w:rsidRPr="00470DBE">
        <w:rPr>
          <w:rFonts w:ascii="Times New Roman" w:hAnsi="Times New Roman" w:cs="Times New Roman"/>
          <w:b/>
          <w:sz w:val="24"/>
          <w:szCs w:val="24"/>
        </w:rPr>
        <w:t>Program Opieka 75+</w:t>
      </w:r>
    </w:p>
    <w:p w14:paraId="168474AF" w14:textId="77777777" w:rsidR="008F3FBC" w:rsidRDefault="0050177A" w:rsidP="00493925">
      <w:pPr>
        <w:shd w:val="clear" w:color="auto" w:fill="FFFFFF"/>
        <w:spacing w:after="0"/>
        <w:jc w:val="both"/>
        <w:rPr>
          <w:rFonts w:ascii="Times New Roman" w:hAnsi="Times New Roman" w:cs="Times New Roman"/>
          <w:sz w:val="24"/>
          <w:szCs w:val="24"/>
        </w:rPr>
      </w:pPr>
      <w:r w:rsidRPr="005F0A32">
        <w:rPr>
          <w:rFonts w:ascii="Times New Roman" w:hAnsi="Times New Roman" w:cs="Times New Roman"/>
          <w:sz w:val="24"/>
          <w:szCs w:val="24"/>
        </w:rPr>
        <w:t>Według stanu na dzień 30 czerwca 2019 r. na terenie województwa kujawsko-pomorskiego ludność w wieku 75 lat i więcej wynosiła 137.418 osób, co stanowiło 6,63 % mieszkańców województwa.  Na terenie województwa kujawsko-pomorskiego, według stanu na dzień 31 grudnia 2019 r. rzeczywista liczba gmin świadczących usługi opiekuńcze w ramach Programu „Opieka 75+” wynosiła 39, co stanowi 27,09 % wsparcia gmin osobom wymagającym pomocy w formie usług opiekuńczych, w tym 3 gminy 2,09 % - w formie specjalistycznych usług opiekuńczych.</w:t>
      </w:r>
      <w:r w:rsidR="00F030B8">
        <w:rPr>
          <w:rFonts w:ascii="Times New Roman" w:hAnsi="Times New Roman" w:cs="Times New Roman"/>
          <w:sz w:val="24"/>
          <w:szCs w:val="24"/>
        </w:rPr>
        <w:t xml:space="preserve"> </w:t>
      </w:r>
      <w:r w:rsidRPr="005F0A32">
        <w:rPr>
          <w:rFonts w:ascii="Times New Roman" w:hAnsi="Times New Roman" w:cs="Times New Roman"/>
          <w:sz w:val="24"/>
          <w:szCs w:val="24"/>
        </w:rPr>
        <w:t xml:space="preserve">Łącznie w 2019 </w:t>
      </w:r>
      <w:r w:rsidR="00F030B8">
        <w:rPr>
          <w:rFonts w:ascii="Times New Roman" w:hAnsi="Times New Roman" w:cs="Times New Roman"/>
          <w:sz w:val="24"/>
          <w:szCs w:val="24"/>
        </w:rPr>
        <w:t>r.</w:t>
      </w:r>
      <w:r w:rsidRPr="005F0A32">
        <w:rPr>
          <w:rFonts w:ascii="Times New Roman" w:hAnsi="Times New Roman" w:cs="Times New Roman"/>
          <w:sz w:val="24"/>
          <w:szCs w:val="24"/>
        </w:rPr>
        <w:t xml:space="preserve"> 577 osobom wydano decyzje przyznające usługi opiekuńcze dzięki środkom finansowanym z Programu „Opieka 75+”, 12 to rzeczywista liczba osób, którym decyzją przyznano spec</w:t>
      </w:r>
      <w:r w:rsidR="00F030B8">
        <w:rPr>
          <w:rFonts w:ascii="Times New Roman" w:hAnsi="Times New Roman" w:cs="Times New Roman"/>
          <w:sz w:val="24"/>
          <w:szCs w:val="24"/>
        </w:rPr>
        <w:t xml:space="preserve">jalistyczne usługi opiekuńcze. </w:t>
      </w:r>
      <w:r w:rsidRPr="005F0A32">
        <w:rPr>
          <w:rFonts w:ascii="Times New Roman" w:hAnsi="Times New Roman" w:cs="Times New Roman"/>
          <w:sz w:val="24"/>
          <w:szCs w:val="24"/>
        </w:rPr>
        <w:t>Nowych osób, którym w 2019 r. przyznano usługi opi</w:t>
      </w:r>
      <w:r w:rsidR="00F030B8">
        <w:rPr>
          <w:rFonts w:ascii="Times New Roman" w:hAnsi="Times New Roman" w:cs="Times New Roman"/>
          <w:sz w:val="24"/>
          <w:szCs w:val="24"/>
        </w:rPr>
        <w:t xml:space="preserve">ekuńcze według stanu </w:t>
      </w:r>
      <w:r w:rsidRPr="005F0A32">
        <w:rPr>
          <w:rFonts w:ascii="Times New Roman" w:hAnsi="Times New Roman" w:cs="Times New Roman"/>
          <w:sz w:val="24"/>
          <w:szCs w:val="24"/>
        </w:rPr>
        <w:t>na 31 grudnia 2019 r. było 367, w tym 6 osobom wydano decyzje na spe</w:t>
      </w:r>
      <w:r w:rsidR="00470DBE">
        <w:rPr>
          <w:rFonts w:ascii="Times New Roman" w:hAnsi="Times New Roman" w:cs="Times New Roman"/>
          <w:sz w:val="24"/>
          <w:szCs w:val="24"/>
        </w:rPr>
        <w:t xml:space="preserve">cjalistyczne usługi opiekuńcze. </w:t>
      </w:r>
      <w:r w:rsidRPr="005F0A32">
        <w:rPr>
          <w:rFonts w:ascii="Times New Roman" w:hAnsi="Times New Roman" w:cs="Times New Roman"/>
          <w:sz w:val="24"/>
          <w:szCs w:val="24"/>
        </w:rPr>
        <w:t>Wysokość środków przyznanych w województwie kujawsko-pomorskim na realizację P</w:t>
      </w:r>
      <w:r w:rsidR="007C611E">
        <w:rPr>
          <w:rFonts w:ascii="Times New Roman" w:hAnsi="Times New Roman" w:cs="Times New Roman"/>
          <w:sz w:val="24"/>
          <w:szCs w:val="24"/>
        </w:rPr>
        <w:t>rogramu „Opieka 75+” w 2019 r.</w:t>
      </w:r>
      <w:r w:rsidRPr="005F0A32">
        <w:rPr>
          <w:rFonts w:ascii="Times New Roman" w:hAnsi="Times New Roman" w:cs="Times New Roman"/>
          <w:sz w:val="24"/>
          <w:szCs w:val="24"/>
        </w:rPr>
        <w:t xml:space="preserve"> wyniosła </w:t>
      </w:r>
      <w:r w:rsidR="008F3FBC">
        <w:rPr>
          <w:rFonts w:ascii="Times New Roman" w:hAnsi="Times New Roman" w:cs="Times New Roman"/>
          <w:bCs/>
          <w:sz w:val="24"/>
          <w:szCs w:val="24"/>
        </w:rPr>
        <w:t xml:space="preserve">1 258 </w:t>
      </w:r>
      <w:r w:rsidRPr="005F0A32">
        <w:rPr>
          <w:rFonts w:ascii="Times New Roman" w:hAnsi="Times New Roman" w:cs="Times New Roman"/>
          <w:bCs/>
          <w:sz w:val="24"/>
          <w:szCs w:val="24"/>
        </w:rPr>
        <w:t>952,00 zł</w:t>
      </w:r>
      <w:r w:rsidRPr="005F0A32">
        <w:rPr>
          <w:rFonts w:ascii="Times New Roman" w:hAnsi="Times New Roman" w:cs="Times New Roman"/>
          <w:sz w:val="24"/>
          <w:szCs w:val="24"/>
        </w:rPr>
        <w:t xml:space="preserve">, z czego rzeczywiście wykorzystano kwotę  </w:t>
      </w:r>
      <w:r w:rsidR="008F3FBC">
        <w:rPr>
          <w:rFonts w:ascii="Times New Roman" w:hAnsi="Times New Roman" w:cs="Times New Roman"/>
          <w:bCs/>
          <w:sz w:val="24"/>
          <w:szCs w:val="24"/>
        </w:rPr>
        <w:t xml:space="preserve">1 090 </w:t>
      </w:r>
      <w:r w:rsidRPr="005F0A32">
        <w:rPr>
          <w:rFonts w:ascii="Times New Roman" w:hAnsi="Times New Roman" w:cs="Times New Roman"/>
          <w:bCs/>
          <w:sz w:val="24"/>
          <w:szCs w:val="24"/>
        </w:rPr>
        <w:t>964,00 zł</w:t>
      </w:r>
      <w:r w:rsidR="008F3FBC">
        <w:rPr>
          <w:rFonts w:ascii="Times New Roman" w:hAnsi="Times New Roman" w:cs="Times New Roman"/>
          <w:sz w:val="24"/>
          <w:szCs w:val="24"/>
        </w:rPr>
        <w:t xml:space="preserve"> (1 084 </w:t>
      </w:r>
      <w:r w:rsidRPr="005F0A32">
        <w:rPr>
          <w:rFonts w:ascii="Times New Roman" w:hAnsi="Times New Roman" w:cs="Times New Roman"/>
          <w:sz w:val="24"/>
          <w:szCs w:val="24"/>
        </w:rPr>
        <w:t>857,00 zł na realizację u</w:t>
      </w:r>
      <w:r w:rsidR="00470DBE">
        <w:rPr>
          <w:rFonts w:ascii="Times New Roman" w:hAnsi="Times New Roman" w:cs="Times New Roman"/>
          <w:sz w:val="24"/>
          <w:szCs w:val="24"/>
        </w:rPr>
        <w:t xml:space="preserve">sług opiekuńczych </w:t>
      </w:r>
      <w:r w:rsidR="008F3FBC">
        <w:rPr>
          <w:rFonts w:ascii="Times New Roman" w:hAnsi="Times New Roman" w:cs="Times New Roman"/>
          <w:sz w:val="24"/>
          <w:szCs w:val="24"/>
        </w:rPr>
        <w:t xml:space="preserve">oraz kwotę 6 </w:t>
      </w:r>
      <w:r w:rsidRPr="005F0A32">
        <w:rPr>
          <w:rFonts w:ascii="Times New Roman" w:hAnsi="Times New Roman" w:cs="Times New Roman"/>
          <w:sz w:val="24"/>
          <w:szCs w:val="24"/>
        </w:rPr>
        <w:t>107 zł w ramach specjali</w:t>
      </w:r>
      <w:r w:rsidR="00470DBE">
        <w:rPr>
          <w:rFonts w:ascii="Times New Roman" w:hAnsi="Times New Roman" w:cs="Times New Roman"/>
          <w:sz w:val="24"/>
          <w:szCs w:val="24"/>
        </w:rPr>
        <w:t xml:space="preserve">stycznych usług opiekuńczych). </w:t>
      </w:r>
      <w:r w:rsidR="008F3FBC">
        <w:rPr>
          <w:rFonts w:ascii="Times New Roman" w:hAnsi="Times New Roman" w:cs="Times New Roman"/>
          <w:sz w:val="24"/>
          <w:szCs w:val="24"/>
        </w:rPr>
        <w:t>W 2019 r.</w:t>
      </w:r>
      <w:r w:rsidRPr="005F0A32">
        <w:rPr>
          <w:rFonts w:ascii="Times New Roman" w:hAnsi="Times New Roman" w:cs="Times New Roman"/>
          <w:sz w:val="24"/>
          <w:szCs w:val="24"/>
        </w:rPr>
        <w:t xml:space="preserve"> gminy zatrudniły na umowę o pracę do realizacji zadań w ramach Programu „Opieka 75+” 298 osób, w tym 2 osoby realizowały specjalistyczne usługi opiekuńcze. Od dnia 1 stycznia 2019</w:t>
      </w:r>
      <w:r w:rsidR="007C611E">
        <w:rPr>
          <w:rFonts w:ascii="Times New Roman" w:hAnsi="Times New Roman" w:cs="Times New Roman"/>
          <w:sz w:val="24"/>
          <w:szCs w:val="24"/>
        </w:rPr>
        <w:t xml:space="preserve"> r.</w:t>
      </w:r>
      <w:r w:rsidRPr="005F0A32">
        <w:rPr>
          <w:rFonts w:ascii="Times New Roman" w:hAnsi="Times New Roman" w:cs="Times New Roman"/>
          <w:sz w:val="24"/>
          <w:szCs w:val="24"/>
        </w:rPr>
        <w:t xml:space="preserve"> do 31 grudnia 2019 r</w:t>
      </w:r>
      <w:r w:rsidR="007C611E">
        <w:rPr>
          <w:rFonts w:ascii="Times New Roman" w:hAnsi="Times New Roman" w:cs="Times New Roman"/>
          <w:sz w:val="24"/>
          <w:szCs w:val="24"/>
        </w:rPr>
        <w:t>.</w:t>
      </w:r>
      <w:r w:rsidRPr="005F0A32">
        <w:rPr>
          <w:rFonts w:ascii="Times New Roman" w:hAnsi="Times New Roman" w:cs="Times New Roman"/>
          <w:sz w:val="24"/>
          <w:szCs w:val="24"/>
        </w:rPr>
        <w:t xml:space="preserve"> w ramach Programu „Opieka 75+” zatrudniono na etat 57 nowych osób, które świadczyły usługi opiekuńcze.</w:t>
      </w:r>
      <w:r w:rsidR="007C611E" w:rsidRPr="007C611E">
        <w:rPr>
          <w:rFonts w:ascii="Times New Roman" w:hAnsi="Times New Roman" w:cs="Times New Roman"/>
          <w:sz w:val="24"/>
          <w:szCs w:val="24"/>
        </w:rPr>
        <w:t xml:space="preserve"> </w:t>
      </w:r>
      <w:r w:rsidR="007C611E">
        <w:rPr>
          <w:rFonts w:ascii="Times New Roman" w:hAnsi="Times New Roman" w:cs="Times New Roman"/>
          <w:sz w:val="24"/>
          <w:szCs w:val="24"/>
        </w:rPr>
        <w:t>W</w:t>
      </w:r>
      <w:r w:rsidR="007C611E" w:rsidRPr="005F0A32">
        <w:rPr>
          <w:rFonts w:ascii="Times New Roman" w:hAnsi="Times New Roman" w:cs="Times New Roman"/>
          <w:sz w:val="24"/>
          <w:szCs w:val="24"/>
        </w:rPr>
        <w:t xml:space="preserve"> 2019 r. w ramach Programu „Opieka 75+” </w:t>
      </w:r>
      <w:r w:rsidR="007C611E">
        <w:rPr>
          <w:rFonts w:ascii="Times New Roman" w:hAnsi="Times New Roman" w:cs="Times New Roman"/>
          <w:sz w:val="24"/>
          <w:szCs w:val="24"/>
        </w:rPr>
        <w:t xml:space="preserve">założone zostały 2 spółdzielnie socjalne </w:t>
      </w:r>
      <w:r w:rsidRPr="005F0A32">
        <w:rPr>
          <w:rFonts w:ascii="Times New Roman" w:hAnsi="Times New Roman" w:cs="Times New Roman"/>
          <w:sz w:val="24"/>
          <w:szCs w:val="24"/>
        </w:rPr>
        <w:t>osób prawnych przez JST, którym gmina zleciła</w:t>
      </w:r>
      <w:r w:rsidR="007C611E">
        <w:rPr>
          <w:rFonts w:ascii="Times New Roman" w:hAnsi="Times New Roman" w:cs="Times New Roman"/>
          <w:sz w:val="24"/>
          <w:szCs w:val="24"/>
        </w:rPr>
        <w:t xml:space="preserve"> świadczenie usług opiekuńczych.</w:t>
      </w:r>
    </w:p>
    <w:p w14:paraId="727D2640" w14:textId="77777777" w:rsidR="007C611E" w:rsidRDefault="007C611E" w:rsidP="003C1988">
      <w:pPr>
        <w:spacing w:after="0"/>
        <w:rPr>
          <w:rFonts w:ascii="Times New Roman" w:hAnsi="Times New Roman" w:cs="Times New Roman"/>
          <w:sz w:val="24"/>
          <w:szCs w:val="24"/>
        </w:rPr>
      </w:pPr>
    </w:p>
    <w:p w14:paraId="46316CCC" w14:textId="77777777" w:rsidR="0050177A" w:rsidRPr="005F0A32" w:rsidRDefault="0050177A" w:rsidP="00493925">
      <w:pPr>
        <w:spacing w:after="0"/>
        <w:jc w:val="both"/>
        <w:rPr>
          <w:rFonts w:ascii="Times New Roman" w:hAnsi="Times New Roman" w:cs="Times New Roman"/>
          <w:sz w:val="24"/>
          <w:szCs w:val="24"/>
        </w:rPr>
      </w:pPr>
      <w:r w:rsidRPr="005F0A32">
        <w:rPr>
          <w:rFonts w:ascii="Times New Roman" w:hAnsi="Times New Roman" w:cs="Times New Roman"/>
          <w:sz w:val="24"/>
          <w:szCs w:val="24"/>
        </w:rPr>
        <w:t>Według opinii przekazanych przez jednostki samorządu terytorialnego Program pozwolił na wsparcie finansowe gmin w realizacji usług opiekuńczych, jak i specjalistycznych usług opiekuńczych. Program zapewnił dofinansowanie kosztó</w:t>
      </w:r>
      <w:r w:rsidR="00470DBE">
        <w:rPr>
          <w:rFonts w:ascii="Times New Roman" w:hAnsi="Times New Roman" w:cs="Times New Roman"/>
          <w:sz w:val="24"/>
          <w:szCs w:val="24"/>
        </w:rPr>
        <w:t xml:space="preserve">w jakie poniosły gminy </w:t>
      </w:r>
      <w:r w:rsidRPr="005F0A32">
        <w:rPr>
          <w:rFonts w:ascii="Times New Roman" w:hAnsi="Times New Roman" w:cs="Times New Roman"/>
          <w:sz w:val="24"/>
          <w:szCs w:val="24"/>
        </w:rPr>
        <w:t>na realizację usług. Dzięki środkom uzyskanym z  Programu „Opieka 75+” jednostki mogły zwiększyć liczbę godzin usług opiekuńczych oraz zapewnić usługi osobom, które nie korzystały  jeszcze z tej formy pomocy. Dofinansowanie w ramach Programu „Opieka 75+” można było przeznaczyć na zatrudnienie dodatkowych osób, które świadczyły usługi opiekuńcze osobom nowo obejmowanym tą formą pomocy. W przyszłości gminy deklarują chęć  dalszego udziału</w:t>
      </w:r>
      <w:r w:rsidR="008F3FBC">
        <w:rPr>
          <w:rFonts w:ascii="Times New Roman" w:hAnsi="Times New Roman" w:cs="Times New Roman"/>
          <w:sz w:val="24"/>
          <w:szCs w:val="24"/>
        </w:rPr>
        <w:t xml:space="preserve"> w kolejnych edycjach Programu </w:t>
      </w:r>
      <w:r w:rsidRPr="005F0A32">
        <w:rPr>
          <w:rFonts w:ascii="Times New Roman" w:hAnsi="Times New Roman" w:cs="Times New Roman"/>
          <w:sz w:val="24"/>
          <w:szCs w:val="24"/>
        </w:rPr>
        <w:t>„Opieka 75+”.</w:t>
      </w:r>
    </w:p>
    <w:p w14:paraId="71279836" w14:textId="77777777" w:rsidR="00BF4703" w:rsidRPr="005F0A32" w:rsidRDefault="00BF4703" w:rsidP="003C1988">
      <w:pPr>
        <w:pStyle w:val="Default"/>
        <w:spacing w:line="276" w:lineRule="auto"/>
        <w:rPr>
          <w:rFonts w:ascii="Times New Roman" w:eastAsia="CIDFont+F4" w:hAnsi="Times New Roman" w:cs="Times New Roman"/>
          <w:color w:val="auto"/>
        </w:rPr>
      </w:pPr>
    </w:p>
    <w:p w14:paraId="1707421C" w14:textId="77777777" w:rsidR="0050177A" w:rsidRPr="007C611E" w:rsidRDefault="000E5641" w:rsidP="003C1988">
      <w:pPr>
        <w:spacing w:after="0"/>
        <w:rPr>
          <w:rFonts w:ascii="Times New Roman" w:hAnsi="Times New Roman" w:cs="Times New Roman"/>
          <w:color w:val="00B0F0"/>
          <w:sz w:val="24"/>
          <w:szCs w:val="24"/>
        </w:rPr>
      </w:pPr>
      <w:r w:rsidRPr="007C611E">
        <w:rPr>
          <w:rFonts w:ascii="Times New Roman" w:hAnsi="Times New Roman" w:cs="Times New Roman"/>
          <w:b/>
          <w:color w:val="00B0F0"/>
          <w:sz w:val="24"/>
          <w:szCs w:val="24"/>
        </w:rPr>
        <w:t xml:space="preserve">Przykłady dobrych praktyk na poziomie </w:t>
      </w:r>
      <w:r w:rsidR="00126513" w:rsidRPr="007C611E">
        <w:rPr>
          <w:rFonts w:ascii="Times New Roman" w:hAnsi="Times New Roman" w:cs="Times New Roman"/>
          <w:b/>
          <w:color w:val="00B0F0"/>
          <w:sz w:val="24"/>
          <w:szCs w:val="24"/>
        </w:rPr>
        <w:t>lokalnym</w:t>
      </w:r>
    </w:p>
    <w:p w14:paraId="0C7FF4A2" w14:textId="77777777" w:rsidR="0050177A" w:rsidRPr="005F0A32" w:rsidRDefault="0050177A" w:rsidP="003C1988">
      <w:pPr>
        <w:pStyle w:val="Default"/>
        <w:spacing w:line="276" w:lineRule="auto"/>
        <w:ind w:left="426"/>
        <w:rPr>
          <w:rFonts w:ascii="Times New Roman" w:hAnsi="Times New Roman" w:cs="Times New Roman"/>
          <w:b/>
          <w:color w:val="auto"/>
        </w:rPr>
      </w:pPr>
    </w:p>
    <w:p w14:paraId="23D890C4" w14:textId="77777777" w:rsidR="0050177A" w:rsidRPr="005F0A32" w:rsidRDefault="0050177A" w:rsidP="00493925">
      <w:pPr>
        <w:pStyle w:val="Default"/>
        <w:numPr>
          <w:ilvl w:val="0"/>
          <w:numId w:val="42"/>
        </w:numPr>
        <w:spacing w:line="276" w:lineRule="auto"/>
        <w:ind w:left="360"/>
        <w:jc w:val="both"/>
        <w:rPr>
          <w:rFonts w:ascii="Times New Roman" w:hAnsi="Times New Roman" w:cs="Times New Roman"/>
          <w:color w:val="auto"/>
        </w:rPr>
      </w:pPr>
      <w:r w:rsidRPr="005F0A32">
        <w:rPr>
          <w:rFonts w:ascii="Times New Roman" w:hAnsi="Times New Roman" w:cs="Times New Roman"/>
          <w:color w:val="auto"/>
        </w:rPr>
        <w:t>„Taksówka dla Seniora” w Inowrocławiu</w:t>
      </w:r>
    </w:p>
    <w:p w14:paraId="46368598" w14:textId="77777777" w:rsidR="000E5641" w:rsidRDefault="0050177A" w:rsidP="00493925">
      <w:pPr>
        <w:pStyle w:val="Akapitzlist"/>
        <w:spacing w:after="0"/>
        <w:ind w:left="426"/>
        <w:contextualSpacing w:val="0"/>
        <w:jc w:val="both"/>
        <w:rPr>
          <w:rFonts w:ascii="Times New Roman" w:hAnsi="Times New Roman" w:cs="Times New Roman"/>
          <w:sz w:val="24"/>
          <w:szCs w:val="24"/>
        </w:rPr>
      </w:pPr>
      <w:r w:rsidRPr="005F0A32">
        <w:rPr>
          <w:rFonts w:ascii="Times New Roman" w:hAnsi="Times New Roman" w:cs="Times New Roman"/>
          <w:sz w:val="24"/>
          <w:szCs w:val="24"/>
        </w:rPr>
        <w:t>Każdy mieszkaniec Inowrocławia, który ukończył 70. rok życia mógł skorzystać z czterech bezpłatnych przejazdów taksówką tam i z powrotem. Przewóz seniorów odbywał się </w:t>
      </w:r>
      <w:r w:rsidRPr="005F0A32">
        <w:rPr>
          <w:rFonts w:ascii="Times New Roman" w:hAnsi="Times New Roman" w:cs="Times New Roman"/>
          <w:sz w:val="24"/>
          <w:szCs w:val="24"/>
        </w:rPr>
        <w:br/>
        <w:t xml:space="preserve">5 dni w tygodniu w godz. 7.00 - 19.00, a powroty z kursu odbywały się maksymalnie </w:t>
      </w:r>
      <w:r w:rsidRPr="005F0A32">
        <w:rPr>
          <w:rFonts w:ascii="Times New Roman" w:hAnsi="Times New Roman" w:cs="Times New Roman"/>
          <w:sz w:val="24"/>
          <w:szCs w:val="24"/>
        </w:rPr>
        <w:br/>
        <w:t xml:space="preserve">do godz. 20.00. Kierunki podróży były ściśle określone. Mieszkańcy mogli udać się </w:t>
      </w:r>
      <w:r w:rsidRPr="005F0A32">
        <w:rPr>
          <w:rFonts w:ascii="Times New Roman" w:hAnsi="Times New Roman" w:cs="Times New Roman"/>
          <w:sz w:val="24"/>
          <w:szCs w:val="24"/>
        </w:rPr>
        <w:br/>
        <w:t xml:space="preserve">do szpitala lub przychodni specjalistycznej, do urzędu i na grób bliskich. Z seniorem mógł podróżować jeden opiekun. Zgłoszenia były przyjmowane na 3 dni robocze do godz. 14 </w:t>
      </w:r>
      <w:r w:rsidRPr="005F0A32">
        <w:rPr>
          <w:rFonts w:ascii="Times New Roman" w:hAnsi="Times New Roman" w:cs="Times New Roman"/>
          <w:sz w:val="24"/>
          <w:szCs w:val="24"/>
        </w:rPr>
        <w:lastRenderedPageBreak/>
        <w:t>oraz maksymalnie 2 miesiące przed planowanym przejazdem.</w:t>
      </w:r>
      <w:r w:rsidR="000E5641">
        <w:rPr>
          <w:rFonts w:ascii="Times New Roman" w:hAnsi="Times New Roman" w:cs="Times New Roman"/>
          <w:sz w:val="24"/>
          <w:szCs w:val="24"/>
        </w:rPr>
        <w:t xml:space="preserve"> </w:t>
      </w:r>
      <w:r w:rsidR="000E5641" w:rsidRPr="000E5641">
        <w:rPr>
          <w:rFonts w:ascii="Times New Roman" w:hAnsi="Times New Roman" w:cs="Times New Roman"/>
          <w:bCs/>
          <w:sz w:val="24"/>
          <w:szCs w:val="24"/>
        </w:rPr>
        <w:t xml:space="preserve">W 2019 r. </w:t>
      </w:r>
      <w:r w:rsidRPr="000E5641">
        <w:rPr>
          <w:rFonts w:ascii="Times New Roman" w:hAnsi="Times New Roman" w:cs="Times New Roman"/>
          <w:bCs/>
          <w:sz w:val="24"/>
          <w:szCs w:val="24"/>
        </w:rPr>
        <w:t>była realizowana druga edycja programu. Koordynacją tego zadania zajmowało się Stowarzyszenie Wzajemnej Pomocy „Flandria”. W</w:t>
      </w:r>
      <w:r w:rsidRPr="000E5641">
        <w:rPr>
          <w:rFonts w:ascii="Times New Roman" w:hAnsi="Times New Roman" w:cs="Times New Roman"/>
          <w:sz w:val="24"/>
          <w:szCs w:val="24"/>
        </w:rPr>
        <w:t xml:space="preserve">ykonano ponad 500 darmowych przejazdów, z których skorzystało ponad 150 seniorów. </w:t>
      </w:r>
    </w:p>
    <w:p w14:paraId="34B0029E" w14:textId="77777777" w:rsidR="00F029C7" w:rsidRDefault="00F029C7" w:rsidP="00493925">
      <w:pPr>
        <w:pStyle w:val="Akapitzlist"/>
        <w:spacing w:after="0"/>
        <w:ind w:left="426"/>
        <w:contextualSpacing w:val="0"/>
        <w:jc w:val="both"/>
        <w:rPr>
          <w:rFonts w:ascii="Times New Roman" w:hAnsi="Times New Roman" w:cs="Times New Roman"/>
          <w:sz w:val="24"/>
          <w:szCs w:val="24"/>
        </w:rPr>
      </w:pPr>
    </w:p>
    <w:p w14:paraId="5F613E8A" w14:textId="77777777" w:rsidR="000E5641" w:rsidRDefault="0050177A" w:rsidP="00493925">
      <w:pPr>
        <w:pStyle w:val="Akapitzlist"/>
        <w:numPr>
          <w:ilvl w:val="0"/>
          <w:numId w:val="42"/>
        </w:numPr>
        <w:spacing w:after="0"/>
        <w:ind w:left="360"/>
        <w:jc w:val="both"/>
        <w:rPr>
          <w:rFonts w:ascii="Times New Roman" w:hAnsi="Times New Roman" w:cs="Times New Roman"/>
          <w:sz w:val="24"/>
          <w:szCs w:val="24"/>
        </w:rPr>
      </w:pPr>
      <w:r w:rsidRPr="000E5641">
        <w:rPr>
          <w:rFonts w:ascii="Times New Roman" w:hAnsi="Times New Roman" w:cs="Times New Roman"/>
          <w:sz w:val="24"/>
          <w:szCs w:val="24"/>
        </w:rPr>
        <w:t xml:space="preserve">„Zakochaj się w życiu po sześćdziesiątce” </w:t>
      </w:r>
    </w:p>
    <w:p w14:paraId="30A9177D" w14:textId="77777777" w:rsidR="0050177A" w:rsidRPr="000E5641" w:rsidRDefault="0050177A" w:rsidP="00493925">
      <w:pPr>
        <w:pStyle w:val="Akapitzlist"/>
        <w:spacing w:after="0"/>
        <w:ind w:left="360"/>
        <w:jc w:val="both"/>
        <w:rPr>
          <w:rFonts w:ascii="Times New Roman" w:hAnsi="Times New Roman" w:cs="Times New Roman"/>
          <w:sz w:val="24"/>
          <w:szCs w:val="24"/>
        </w:rPr>
      </w:pPr>
      <w:r w:rsidRPr="000E5641">
        <w:rPr>
          <w:rFonts w:ascii="Times New Roman" w:hAnsi="Times New Roman" w:cs="Times New Roman"/>
          <w:bCs/>
          <w:sz w:val="24"/>
          <w:szCs w:val="24"/>
        </w:rPr>
        <w:t xml:space="preserve">Program aktywności dla osób starszych pn. „Zakochaj się w życiu po sześćdziesiątce” </w:t>
      </w:r>
      <w:r w:rsidRPr="000E5641">
        <w:rPr>
          <w:rFonts w:ascii="Times New Roman" w:hAnsi="Times New Roman" w:cs="Times New Roman"/>
          <w:bCs/>
          <w:sz w:val="24"/>
          <w:szCs w:val="24"/>
        </w:rPr>
        <w:br/>
        <w:t>to propozycja Miejskiego Ośrodka Rekreacji i Wypoczynku w Grudziądzu.</w:t>
      </w:r>
      <w:r w:rsidR="000E5641">
        <w:rPr>
          <w:rFonts w:ascii="Times New Roman" w:hAnsi="Times New Roman" w:cs="Times New Roman"/>
          <w:bCs/>
          <w:sz w:val="24"/>
          <w:szCs w:val="24"/>
        </w:rPr>
        <w:t xml:space="preserve"> </w:t>
      </w:r>
      <w:r w:rsidRPr="000E5641">
        <w:rPr>
          <w:rFonts w:ascii="Times New Roman" w:hAnsi="Times New Roman" w:cs="Times New Roman"/>
          <w:sz w:val="24"/>
          <w:szCs w:val="24"/>
        </w:rPr>
        <w:t>Głównym celem projektu, który trwał do czerwca 2019 r., była aktywizacja osób starszych oraz poprawa jakości ich życia poprzez aktywność fizyczną, rozwój wewnętrzny i kontakty społeczne.</w:t>
      </w:r>
      <w:r w:rsidR="000E5641">
        <w:rPr>
          <w:rFonts w:ascii="Times New Roman" w:hAnsi="Times New Roman" w:cs="Times New Roman"/>
          <w:sz w:val="24"/>
          <w:szCs w:val="24"/>
        </w:rPr>
        <w:t xml:space="preserve"> </w:t>
      </w:r>
      <w:r w:rsidRPr="000E5641">
        <w:rPr>
          <w:rFonts w:ascii="Times New Roman" w:hAnsi="Times New Roman" w:cs="Times New Roman"/>
          <w:sz w:val="24"/>
          <w:szCs w:val="24"/>
        </w:rPr>
        <w:t>Zajęcia odbywały się m.in. w formie: wykładów, warsztatów, ale także treningów, potańcówek, czy spotkań przy ognisku. Bazą akcji był obiekt grudziądzkiej Mariny przy ul. Portowej 8</w:t>
      </w:r>
      <w:r w:rsidRPr="000E5641">
        <w:rPr>
          <w:rStyle w:val="Odwoanieprzypisudolnego"/>
          <w:rFonts w:ascii="Times New Roman" w:hAnsi="Times New Roman" w:cs="Times New Roman"/>
          <w:sz w:val="24"/>
          <w:szCs w:val="24"/>
        </w:rPr>
        <w:footnoteReference w:id="63"/>
      </w:r>
      <w:r w:rsidRPr="000E5641">
        <w:rPr>
          <w:rFonts w:ascii="Times New Roman" w:hAnsi="Times New Roman" w:cs="Times New Roman"/>
          <w:sz w:val="24"/>
          <w:szCs w:val="24"/>
        </w:rPr>
        <w:t xml:space="preserve">. </w:t>
      </w:r>
    </w:p>
    <w:p w14:paraId="61F6EAB4" w14:textId="77777777" w:rsidR="0050177A" w:rsidRPr="005F0A32" w:rsidRDefault="0050177A" w:rsidP="00493925">
      <w:pPr>
        <w:pStyle w:val="Akapitzlist"/>
        <w:spacing w:after="0"/>
        <w:ind w:left="426"/>
        <w:jc w:val="both"/>
        <w:rPr>
          <w:rFonts w:ascii="Times New Roman" w:hAnsi="Times New Roman" w:cs="Times New Roman"/>
          <w:sz w:val="24"/>
          <w:szCs w:val="24"/>
        </w:rPr>
      </w:pPr>
    </w:p>
    <w:p w14:paraId="5896E27E" w14:textId="77777777" w:rsidR="0050177A" w:rsidRPr="005F0A32" w:rsidRDefault="0050177A" w:rsidP="00493925">
      <w:pPr>
        <w:pStyle w:val="Default"/>
        <w:numPr>
          <w:ilvl w:val="0"/>
          <w:numId w:val="42"/>
        </w:numPr>
        <w:spacing w:line="276" w:lineRule="auto"/>
        <w:ind w:left="360"/>
        <w:jc w:val="both"/>
        <w:rPr>
          <w:rFonts w:ascii="Times New Roman" w:hAnsi="Times New Roman" w:cs="Times New Roman"/>
          <w:color w:val="auto"/>
        </w:rPr>
      </w:pPr>
      <w:r w:rsidRPr="005F0A32">
        <w:rPr>
          <w:rFonts w:ascii="Times New Roman" w:hAnsi="Times New Roman" w:cs="Times New Roman"/>
          <w:color w:val="auto"/>
        </w:rPr>
        <w:t xml:space="preserve">Srebrny wolontariat w bydgoskim schronisku dla zwierząt </w:t>
      </w:r>
    </w:p>
    <w:p w14:paraId="2F7BD337" w14:textId="77777777" w:rsidR="00390FB3" w:rsidRDefault="0050177A" w:rsidP="00493925">
      <w:pPr>
        <w:pStyle w:val="Akapitzlist"/>
        <w:spacing w:after="0"/>
        <w:ind w:left="426"/>
        <w:contextualSpacing w:val="0"/>
        <w:jc w:val="both"/>
        <w:rPr>
          <w:rFonts w:ascii="Times New Roman" w:hAnsi="Times New Roman" w:cs="Times New Roman"/>
          <w:sz w:val="24"/>
          <w:szCs w:val="24"/>
        </w:rPr>
      </w:pPr>
      <w:r w:rsidRPr="005F0A32">
        <w:rPr>
          <w:rFonts w:ascii="Times New Roman" w:hAnsi="Times New Roman" w:cs="Times New Roman"/>
          <w:bCs/>
          <w:sz w:val="24"/>
          <w:szCs w:val="24"/>
        </w:rPr>
        <w:t xml:space="preserve">Schronisko dla zwierząt w Bydgoszczy zainicjowało projekt „Srebrny wolontariat”. </w:t>
      </w:r>
      <w:r w:rsidRPr="005F0A32">
        <w:rPr>
          <w:rFonts w:ascii="Times New Roman" w:hAnsi="Times New Roman" w:cs="Times New Roman"/>
          <w:sz w:val="24"/>
          <w:szCs w:val="24"/>
        </w:rPr>
        <w:t>Projekt ten ma za zadanie przynieść korzyść zarówno starszym osobom, jak i zwierzętom przebywającym w schronisku. Celem jest aktywizacja seniorów, poprzez zaproszenie ich do kontaktu ze zwierzętami. Realizacja projektu jest kontynuowana</w:t>
      </w:r>
      <w:r w:rsidRPr="005F0A32">
        <w:rPr>
          <w:rStyle w:val="Odwoanieprzypisudolnego"/>
          <w:rFonts w:ascii="Times New Roman" w:hAnsi="Times New Roman" w:cs="Times New Roman"/>
          <w:sz w:val="24"/>
          <w:szCs w:val="24"/>
        </w:rPr>
        <w:footnoteReference w:id="64"/>
      </w:r>
      <w:r w:rsidR="00390FB3">
        <w:rPr>
          <w:rFonts w:ascii="Times New Roman" w:hAnsi="Times New Roman" w:cs="Times New Roman"/>
          <w:sz w:val="24"/>
          <w:szCs w:val="24"/>
        </w:rPr>
        <w:t>.</w:t>
      </w:r>
    </w:p>
    <w:p w14:paraId="3C62BDD9" w14:textId="77777777" w:rsidR="00390FB3" w:rsidRDefault="00390FB3" w:rsidP="00493925">
      <w:pPr>
        <w:pStyle w:val="Akapitzlist"/>
        <w:spacing w:after="0"/>
        <w:ind w:left="426"/>
        <w:contextualSpacing w:val="0"/>
        <w:jc w:val="both"/>
        <w:rPr>
          <w:rFonts w:ascii="Times New Roman" w:hAnsi="Times New Roman" w:cs="Times New Roman"/>
          <w:sz w:val="24"/>
          <w:szCs w:val="24"/>
        </w:rPr>
      </w:pPr>
    </w:p>
    <w:p w14:paraId="3319F1A5" w14:textId="77777777" w:rsidR="0050177A" w:rsidRPr="00390FB3" w:rsidRDefault="0050177A" w:rsidP="00493925">
      <w:pPr>
        <w:pStyle w:val="Akapitzlist"/>
        <w:numPr>
          <w:ilvl w:val="0"/>
          <w:numId w:val="42"/>
        </w:numPr>
        <w:spacing w:after="0"/>
        <w:ind w:left="360"/>
        <w:jc w:val="both"/>
        <w:rPr>
          <w:rFonts w:ascii="Times New Roman" w:hAnsi="Times New Roman" w:cs="Times New Roman"/>
          <w:sz w:val="24"/>
          <w:szCs w:val="24"/>
        </w:rPr>
      </w:pPr>
      <w:r w:rsidRPr="00390FB3">
        <w:rPr>
          <w:rFonts w:ascii="Times New Roman" w:hAnsi="Times New Roman" w:cs="Times New Roman"/>
          <w:sz w:val="24"/>
          <w:szCs w:val="24"/>
        </w:rPr>
        <w:t>Wartym wspomnienia projektem inwestycyjnym realizowanym na terenie miasta Bydgoszczy są mieszkania komunalne dedykowane seniorom, z licznymi udogodnieniami, zoptymalizowaną architekturą i przestrzenią wspólną. W 2019</w:t>
      </w:r>
      <w:r w:rsidR="00F92DCF">
        <w:rPr>
          <w:rFonts w:ascii="Times New Roman" w:hAnsi="Times New Roman" w:cs="Times New Roman"/>
          <w:sz w:val="24"/>
          <w:szCs w:val="24"/>
        </w:rPr>
        <w:t xml:space="preserve"> r.</w:t>
      </w:r>
      <w:r w:rsidRPr="00390FB3">
        <w:rPr>
          <w:rFonts w:ascii="Times New Roman" w:hAnsi="Times New Roman" w:cs="Times New Roman"/>
          <w:sz w:val="24"/>
          <w:szCs w:val="24"/>
        </w:rPr>
        <w:t xml:space="preserve"> trwały prace przy tej innowacyjnej inwestycji miejskiej, realizowanej przez Bydgoskie Towarzystwo Budownictwa Społecznego</w:t>
      </w:r>
      <w:r w:rsidRPr="005F0A32">
        <w:rPr>
          <w:rStyle w:val="Odwoanieprzypisudolnego"/>
          <w:rFonts w:ascii="Times New Roman" w:hAnsi="Times New Roman" w:cs="Times New Roman"/>
          <w:sz w:val="24"/>
          <w:szCs w:val="24"/>
        </w:rPr>
        <w:footnoteReference w:id="65"/>
      </w:r>
      <w:r w:rsidRPr="00390FB3">
        <w:rPr>
          <w:rFonts w:ascii="Times New Roman" w:hAnsi="Times New Roman" w:cs="Times New Roman"/>
          <w:sz w:val="24"/>
          <w:szCs w:val="24"/>
        </w:rPr>
        <w:t xml:space="preserve">. </w:t>
      </w:r>
    </w:p>
    <w:p w14:paraId="0558092F" w14:textId="77777777" w:rsidR="0050177A" w:rsidRPr="005F0A32" w:rsidRDefault="0050177A" w:rsidP="00493925">
      <w:pPr>
        <w:pStyle w:val="Akapitzlist"/>
        <w:spacing w:after="0"/>
        <w:ind w:left="426"/>
        <w:contextualSpacing w:val="0"/>
        <w:jc w:val="both"/>
        <w:rPr>
          <w:rFonts w:ascii="Times New Roman" w:hAnsi="Times New Roman" w:cs="Times New Roman"/>
          <w:sz w:val="24"/>
          <w:szCs w:val="24"/>
        </w:rPr>
      </w:pPr>
    </w:p>
    <w:p w14:paraId="1D64F311" w14:textId="77777777" w:rsidR="0050177A" w:rsidRPr="005F0A32" w:rsidRDefault="0050177A" w:rsidP="00493925">
      <w:pPr>
        <w:pStyle w:val="Default"/>
        <w:numPr>
          <w:ilvl w:val="0"/>
          <w:numId w:val="42"/>
        </w:numPr>
        <w:spacing w:line="276" w:lineRule="auto"/>
        <w:ind w:left="360"/>
        <w:jc w:val="both"/>
        <w:rPr>
          <w:rFonts w:ascii="Times New Roman" w:hAnsi="Times New Roman" w:cs="Times New Roman"/>
          <w:color w:val="auto"/>
        </w:rPr>
      </w:pPr>
      <w:r w:rsidRPr="005F0A32">
        <w:rPr>
          <w:rFonts w:ascii="Times New Roman" w:hAnsi="Times New Roman" w:cs="Times New Roman"/>
          <w:color w:val="auto"/>
        </w:rPr>
        <w:t>„Złota rączka dla włocławskich seniorów”</w:t>
      </w:r>
    </w:p>
    <w:p w14:paraId="44CDA659" w14:textId="77777777" w:rsidR="0050177A" w:rsidRPr="005F0A32" w:rsidRDefault="0050177A" w:rsidP="00493925">
      <w:pPr>
        <w:pStyle w:val="Akapitzlist"/>
        <w:spacing w:after="0"/>
        <w:ind w:left="426"/>
        <w:contextualSpacing w:val="0"/>
        <w:jc w:val="both"/>
        <w:rPr>
          <w:rFonts w:ascii="Times New Roman" w:hAnsi="Times New Roman" w:cs="Times New Roman"/>
          <w:sz w:val="24"/>
          <w:szCs w:val="24"/>
        </w:rPr>
      </w:pPr>
      <w:r w:rsidRPr="005F0A32">
        <w:rPr>
          <w:rFonts w:ascii="Times New Roman" w:hAnsi="Times New Roman" w:cs="Times New Roman"/>
          <w:sz w:val="24"/>
          <w:szCs w:val="24"/>
        </w:rPr>
        <w:t>W 2019 roku włocławski magistrat ogłosił otwarty konkurs ofert na realizację zadania pn. „Złota rączka dla Włocławskich Seniorów”. Realizator zadania zajmował się świadczeniem drobnych, konkretnych  usług naprawczych dla osób starszych. Telefoniczne przyjmowanie zgłoszeń oraz wykonywanie usług technicznych, odbywało się we wskazane dni od poniedziałku do piątku (z wy</w:t>
      </w:r>
      <w:r w:rsidR="00390FB3">
        <w:rPr>
          <w:rFonts w:ascii="Times New Roman" w:hAnsi="Times New Roman" w:cs="Times New Roman"/>
          <w:sz w:val="24"/>
          <w:szCs w:val="24"/>
        </w:rPr>
        <w:t xml:space="preserve">łączeniem dni ustawowo wolnych </w:t>
      </w:r>
      <w:r w:rsidRPr="005F0A32">
        <w:rPr>
          <w:rFonts w:ascii="Times New Roman" w:hAnsi="Times New Roman" w:cs="Times New Roman"/>
          <w:sz w:val="24"/>
          <w:szCs w:val="24"/>
        </w:rPr>
        <w:t>od pracy), w wymiarze co najmniej trzech dn</w:t>
      </w:r>
      <w:r w:rsidR="00390FB3">
        <w:rPr>
          <w:rFonts w:ascii="Times New Roman" w:hAnsi="Times New Roman" w:cs="Times New Roman"/>
          <w:sz w:val="24"/>
          <w:szCs w:val="24"/>
        </w:rPr>
        <w:t xml:space="preserve">i w tygodniu i czterech godzin </w:t>
      </w:r>
      <w:r w:rsidRPr="005F0A32">
        <w:rPr>
          <w:rFonts w:ascii="Times New Roman" w:hAnsi="Times New Roman" w:cs="Times New Roman"/>
          <w:sz w:val="24"/>
          <w:szCs w:val="24"/>
        </w:rPr>
        <w:t>roboczych każdego wyznaczonego dnia. Przewidywana pula śro</w:t>
      </w:r>
      <w:r w:rsidR="00F92DCF">
        <w:rPr>
          <w:rFonts w:ascii="Times New Roman" w:hAnsi="Times New Roman" w:cs="Times New Roman"/>
          <w:sz w:val="24"/>
          <w:szCs w:val="24"/>
        </w:rPr>
        <w:t xml:space="preserve">dków na zadanie wynosiła 40 tys. </w:t>
      </w:r>
      <w:r w:rsidRPr="005F0A32">
        <w:rPr>
          <w:rFonts w:ascii="Times New Roman" w:hAnsi="Times New Roman" w:cs="Times New Roman"/>
          <w:sz w:val="24"/>
          <w:szCs w:val="24"/>
        </w:rPr>
        <w:t>zł</w:t>
      </w:r>
      <w:r w:rsidRPr="005F0A32">
        <w:rPr>
          <w:rStyle w:val="Odwoanieprzypisudolnego"/>
          <w:rFonts w:ascii="Times New Roman" w:hAnsi="Times New Roman" w:cs="Times New Roman"/>
          <w:sz w:val="24"/>
          <w:szCs w:val="24"/>
        </w:rPr>
        <w:footnoteReference w:id="66"/>
      </w:r>
      <w:r w:rsidRPr="005F0A32">
        <w:rPr>
          <w:rFonts w:ascii="Times New Roman" w:hAnsi="Times New Roman" w:cs="Times New Roman"/>
          <w:sz w:val="24"/>
          <w:szCs w:val="24"/>
        </w:rPr>
        <w:t>.</w:t>
      </w:r>
    </w:p>
    <w:p w14:paraId="20736FA3" w14:textId="77777777" w:rsidR="0050177A" w:rsidRPr="005F0A32" w:rsidRDefault="0050177A" w:rsidP="00493925">
      <w:pPr>
        <w:pStyle w:val="Akapitzlist"/>
        <w:spacing w:after="0"/>
        <w:ind w:left="426"/>
        <w:contextualSpacing w:val="0"/>
        <w:jc w:val="both"/>
        <w:rPr>
          <w:rFonts w:ascii="Times New Roman" w:hAnsi="Times New Roman" w:cs="Times New Roman"/>
          <w:sz w:val="24"/>
          <w:szCs w:val="24"/>
        </w:rPr>
      </w:pPr>
    </w:p>
    <w:p w14:paraId="078E88C0" w14:textId="77777777" w:rsidR="0050177A" w:rsidRPr="00390FB3" w:rsidRDefault="0050177A" w:rsidP="00493925">
      <w:pPr>
        <w:pStyle w:val="Akapitzlist"/>
        <w:numPr>
          <w:ilvl w:val="0"/>
          <w:numId w:val="43"/>
        </w:numPr>
        <w:spacing w:after="0"/>
        <w:ind w:left="360"/>
        <w:jc w:val="both"/>
        <w:rPr>
          <w:rFonts w:ascii="Times New Roman" w:hAnsi="Times New Roman" w:cs="Times New Roman"/>
          <w:sz w:val="24"/>
          <w:szCs w:val="24"/>
        </w:rPr>
      </w:pPr>
      <w:r w:rsidRPr="00390FB3">
        <w:rPr>
          <w:rFonts w:ascii="Times New Roman" w:hAnsi="Times New Roman" w:cs="Times New Roman"/>
          <w:sz w:val="24"/>
          <w:szCs w:val="24"/>
        </w:rPr>
        <w:t>Toruńska Orkiestra Symfoniczna – muzykoterapia dla seniorów</w:t>
      </w:r>
    </w:p>
    <w:p w14:paraId="0220DAA3" w14:textId="77777777" w:rsidR="0050177A" w:rsidRPr="005F0A32" w:rsidRDefault="0050177A" w:rsidP="00493925">
      <w:pPr>
        <w:pStyle w:val="Akapitzlist"/>
        <w:spacing w:after="0"/>
        <w:ind w:left="426"/>
        <w:contextualSpacing w:val="0"/>
        <w:jc w:val="both"/>
        <w:rPr>
          <w:rFonts w:ascii="Times New Roman" w:hAnsi="Times New Roman" w:cs="Times New Roman"/>
          <w:sz w:val="24"/>
          <w:szCs w:val="24"/>
        </w:rPr>
      </w:pPr>
      <w:r w:rsidRPr="005F0A32">
        <w:rPr>
          <w:rFonts w:ascii="Times New Roman" w:hAnsi="Times New Roman" w:cs="Times New Roman"/>
          <w:sz w:val="24"/>
          <w:szCs w:val="24"/>
        </w:rPr>
        <w:t>Muzycy Toruńskiej Orkiestry Symfonicznej zainicjowali projekt skierowany do seniorów.</w:t>
      </w:r>
    </w:p>
    <w:p w14:paraId="41704B20" w14:textId="77777777" w:rsidR="0050177A" w:rsidRPr="005F0A32" w:rsidRDefault="0050177A" w:rsidP="00493925">
      <w:pPr>
        <w:pStyle w:val="Akapitzlist"/>
        <w:spacing w:after="0"/>
        <w:ind w:left="426"/>
        <w:jc w:val="both"/>
        <w:rPr>
          <w:rFonts w:ascii="Times New Roman" w:hAnsi="Times New Roman" w:cs="Times New Roman"/>
          <w:sz w:val="24"/>
          <w:szCs w:val="24"/>
        </w:rPr>
      </w:pPr>
      <w:r w:rsidRPr="005F0A32">
        <w:rPr>
          <w:rFonts w:ascii="Times New Roman" w:hAnsi="Times New Roman" w:cs="Times New Roman"/>
          <w:sz w:val="24"/>
          <w:szCs w:val="24"/>
        </w:rPr>
        <w:lastRenderedPageBreak/>
        <w:t>Proponowane zajęcia obejmowały w działaniach szeroko pojętą muzykoterapię. Inicjatywa miała na celu popularyzację metody muzykoterapii, jako elementu stymulującego aktywność umysłową i fizyczną. Podczas zajęć wykorzystane były: technika improwizacji ruchowej, techniki wizualizacyne, relaksacyjne i inne</w:t>
      </w:r>
      <w:r w:rsidRPr="005F0A32">
        <w:rPr>
          <w:rStyle w:val="Odwoanieprzypisudolnego"/>
          <w:rFonts w:ascii="Times New Roman" w:hAnsi="Times New Roman" w:cs="Times New Roman"/>
          <w:sz w:val="24"/>
          <w:szCs w:val="24"/>
        </w:rPr>
        <w:footnoteReference w:id="67"/>
      </w:r>
      <w:r w:rsidRPr="005F0A32">
        <w:rPr>
          <w:rFonts w:ascii="Times New Roman" w:hAnsi="Times New Roman" w:cs="Times New Roman"/>
          <w:sz w:val="24"/>
          <w:szCs w:val="24"/>
        </w:rPr>
        <w:t xml:space="preserve">. </w:t>
      </w:r>
    </w:p>
    <w:p w14:paraId="0BFECF0A" w14:textId="77777777" w:rsidR="0050177A" w:rsidRPr="005F0A32" w:rsidRDefault="0050177A" w:rsidP="00493925">
      <w:pPr>
        <w:pStyle w:val="Default"/>
        <w:spacing w:line="276" w:lineRule="auto"/>
        <w:ind w:left="426"/>
        <w:jc w:val="both"/>
        <w:rPr>
          <w:rFonts w:ascii="Times New Roman" w:hAnsi="Times New Roman" w:cs="Times New Roman"/>
          <w:b/>
          <w:color w:val="auto"/>
        </w:rPr>
      </w:pPr>
    </w:p>
    <w:p w14:paraId="495976E4" w14:textId="77777777" w:rsidR="0050177A" w:rsidRPr="00390FB3" w:rsidRDefault="0050177A" w:rsidP="00493925">
      <w:pPr>
        <w:pStyle w:val="Akapitzlist"/>
        <w:numPr>
          <w:ilvl w:val="0"/>
          <w:numId w:val="43"/>
        </w:numPr>
        <w:spacing w:after="0"/>
        <w:ind w:left="360"/>
        <w:jc w:val="both"/>
        <w:rPr>
          <w:rFonts w:ascii="Times New Roman" w:hAnsi="Times New Roman" w:cs="Times New Roman"/>
          <w:sz w:val="24"/>
          <w:szCs w:val="24"/>
        </w:rPr>
      </w:pPr>
      <w:r w:rsidRPr="00390FB3">
        <w:rPr>
          <w:rFonts w:ascii="Times New Roman" w:hAnsi="Times New Roman" w:cs="Times New Roman"/>
          <w:sz w:val="24"/>
          <w:szCs w:val="24"/>
        </w:rPr>
        <w:t>„Informator dla Seniora”</w:t>
      </w:r>
    </w:p>
    <w:p w14:paraId="0832F4E1" w14:textId="77777777" w:rsidR="0050177A" w:rsidRPr="005F0A32" w:rsidRDefault="00F92DCF" w:rsidP="00493925">
      <w:pPr>
        <w:pStyle w:val="Akapitzlist"/>
        <w:spacing w:after="0"/>
        <w:ind w:left="426"/>
        <w:contextualSpacing w:val="0"/>
        <w:jc w:val="both"/>
        <w:rPr>
          <w:rFonts w:ascii="Times New Roman" w:hAnsi="Times New Roman" w:cs="Times New Roman"/>
          <w:sz w:val="24"/>
          <w:szCs w:val="24"/>
        </w:rPr>
      </w:pPr>
      <w:r>
        <w:rPr>
          <w:rFonts w:ascii="Times New Roman" w:hAnsi="Times New Roman" w:cs="Times New Roman"/>
          <w:sz w:val="24"/>
          <w:szCs w:val="24"/>
        </w:rPr>
        <w:t>W 2019 r.</w:t>
      </w:r>
      <w:r w:rsidR="0050177A" w:rsidRPr="005F0A32">
        <w:rPr>
          <w:rFonts w:ascii="Times New Roman" w:hAnsi="Times New Roman" w:cs="Times New Roman"/>
          <w:sz w:val="24"/>
          <w:szCs w:val="24"/>
        </w:rPr>
        <w:t xml:space="preserve"> Regionalny Ośrodek Polityki Społecznej w Toruniu opracował VI wydanie „Informatora dla Seniora”. Publikacja została sfinansowana w ramach projektu „Pogodna jesień życia na Kujawach i Pomorzu – projekt rozwoju pomocy środowiskowej dla seniorów” współfinansowanego ze środków Europejskiego Funduszu Społecznego </w:t>
      </w:r>
      <w:r w:rsidR="0050177A" w:rsidRPr="005F0A32">
        <w:rPr>
          <w:rFonts w:ascii="Times New Roman" w:hAnsi="Times New Roman" w:cs="Times New Roman"/>
          <w:sz w:val="24"/>
          <w:szCs w:val="24"/>
        </w:rPr>
        <w:br/>
        <w:t>w ramach Regionalnego Programu Operacyjnego Województwa Kujawsko-Pomorskiego na lata 2014</w:t>
      </w:r>
      <w:r>
        <w:rPr>
          <w:rFonts w:ascii="Times New Roman" w:hAnsi="Times New Roman" w:cs="Times New Roman"/>
          <w:sz w:val="24"/>
          <w:szCs w:val="24"/>
        </w:rPr>
        <w:t>-2020 i wydana w nakładzie 15 tys.</w:t>
      </w:r>
      <w:r w:rsidR="0050177A" w:rsidRPr="005F0A32">
        <w:rPr>
          <w:rFonts w:ascii="Times New Roman" w:hAnsi="Times New Roman" w:cs="Times New Roman"/>
          <w:sz w:val="24"/>
          <w:szCs w:val="24"/>
        </w:rPr>
        <w:t xml:space="preserve"> egzemplarzy. Informator zawiera podstawowe informacje nt. pomocy i wsparcia dla osób starszych, wykaz danych teleadresowych takich instytucji jak: ośrodki pomocy społecznej, powiatowe centra pomocy rodzinie, domy pomocy s</w:t>
      </w:r>
      <w:r w:rsidR="00390FB3">
        <w:rPr>
          <w:rFonts w:ascii="Times New Roman" w:hAnsi="Times New Roman" w:cs="Times New Roman"/>
          <w:sz w:val="24"/>
          <w:szCs w:val="24"/>
        </w:rPr>
        <w:t xml:space="preserve">połecznej, dzienne domy pomocy, </w:t>
      </w:r>
      <w:r w:rsidR="0050177A" w:rsidRPr="005F0A32">
        <w:rPr>
          <w:rFonts w:ascii="Times New Roman" w:hAnsi="Times New Roman" w:cs="Times New Roman"/>
          <w:sz w:val="24"/>
          <w:szCs w:val="24"/>
        </w:rPr>
        <w:t>poradnie/oddziały/kliniki geriatryczne, zakłady opiekuńczo-lecznicze/pielęgnacyjno-opiekuńcze, hospicja stacjonarne, uniwersytety trzeciego wieku, kluby seniorai Rady Seniorów oraz przegląd aktualnych ofert kulturalnych i przedsięwzięć sportowych.</w:t>
      </w:r>
      <w:r w:rsidR="0050177A" w:rsidRPr="005F0A32">
        <w:rPr>
          <w:rFonts w:ascii="Times New Roman" w:hAnsi="Times New Roman" w:cs="Times New Roman"/>
          <w:sz w:val="24"/>
          <w:szCs w:val="24"/>
        </w:rPr>
        <w:br/>
        <w:t xml:space="preserve">To wydanie Informatora </w:t>
      </w:r>
      <w:r w:rsidR="0050177A" w:rsidRPr="005F0A32">
        <w:rPr>
          <w:rFonts w:ascii="Times New Roman" w:hAnsi="Times New Roman" w:cs="Times New Roman"/>
          <w:bCs/>
          <w:sz w:val="24"/>
          <w:szCs w:val="24"/>
        </w:rPr>
        <w:t xml:space="preserve">poszerzono m.in. o porady konsumenckie i nieuczciwe praktyki podejmowane przez firmy podczas pokazów i prezentacji handlowych. </w:t>
      </w:r>
      <w:r w:rsidR="0050177A" w:rsidRPr="005F0A32">
        <w:rPr>
          <w:rFonts w:ascii="Times New Roman" w:hAnsi="Times New Roman" w:cs="Times New Roman"/>
          <w:sz w:val="24"/>
          <w:szCs w:val="24"/>
        </w:rPr>
        <w:t xml:space="preserve">Informator był dystrybuowany podczas spotkań skierowanych do osób starszych oraz jest kierowany </w:t>
      </w:r>
      <w:r w:rsidR="0050177A" w:rsidRPr="005F0A32">
        <w:rPr>
          <w:rFonts w:ascii="Times New Roman" w:hAnsi="Times New Roman" w:cs="Times New Roman"/>
          <w:sz w:val="24"/>
          <w:szCs w:val="24"/>
        </w:rPr>
        <w:br/>
        <w:t>do placówek i instytucji pomocowych i aktywizujących seniorów.</w:t>
      </w:r>
    </w:p>
    <w:p w14:paraId="25E90C5E" w14:textId="77777777" w:rsidR="0050177A" w:rsidRPr="005F0A32" w:rsidRDefault="0050177A" w:rsidP="00493925">
      <w:pPr>
        <w:pStyle w:val="Akapitzlist"/>
        <w:spacing w:after="0"/>
        <w:ind w:left="1134"/>
        <w:contextualSpacing w:val="0"/>
        <w:jc w:val="both"/>
        <w:rPr>
          <w:rFonts w:ascii="Times New Roman" w:hAnsi="Times New Roman" w:cs="Times New Roman"/>
          <w:sz w:val="24"/>
          <w:szCs w:val="24"/>
        </w:rPr>
      </w:pPr>
    </w:p>
    <w:p w14:paraId="788C4790" w14:textId="77777777" w:rsidR="0050177A" w:rsidRPr="00390FB3" w:rsidRDefault="0050177A" w:rsidP="00493925">
      <w:pPr>
        <w:pStyle w:val="Akapitzlist"/>
        <w:numPr>
          <w:ilvl w:val="0"/>
          <w:numId w:val="43"/>
        </w:numPr>
        <w:spacing w:after="0"/>
        <w:ind w:left="360"/>
        <w:jc w:val="both"/>
        <w:rPr>
          <w:rFonts w:ascii="Times New Roman" w:hAnsi="Times New Roman" w:cs="Times New Roman"/>
          <w:sz w:val="24"/>
          <w:szCs w:val="24"/>
        </w:rPr>
      </w:pPr>
      <w:r w:rsidRPr="00390FB3">
        <w:rPr>
          <w:rFonts w:ascii="Times New Roman" w:hAnsi="Times New Roman" w:cs="Times New Roman"/>
          <w:sz w:val="24"/>
          <w:szCs w:val="24"/>
        </w:rPr>
        <w:t>„Ocena zasobów pomocy społecznej za 2019 rok”</w:t>
      </w:r>
    </w:p>
    <w:p w14:paraId="38A26237" w14:textId="77777777" w:rsidR="00F92DCF" w:rsidRDefault="0050177A" w:rsidP="00493925">
      <w:pPr>
        <w:pStyle w:val="Akapitzlist"/>
        <w:spacing w:after="0"/>
        <w:ind w:left="426"/>
        <w:contextualSpacing w:val="0"/>
        <w:jc w:val="both"/>
        <w:rPr>
          <w:rFonts w:ascii="Times New Roman" w:hAnsi="Times New Roman" w:cs="Times New Roman"/>
          <w:sz w:val="24"/>
          <w:szCs w:val="24"/>
        </w:rPr>
      </w:pPr>
      <w:r w:rsidRPr="005F0A32">
        <w:rPr>
          <w:rFonts w:ascii="Times New Roman" w:hAnsi="Times New Roman" w:cs="Times New Roman"/>
          <w:sz w:val="24"/>
          <w:szCs w:val="24"/>
        </w:rPr>
        <w:t xml:space="preserve">ROPS w Toruniu opracował także raport pn. „Ocena Zasobów Pomocy Społecznej </w:t>
      </w:r>
      <w:r w:rsidRPr="005F0A32">
        <w:rPr>
          <w:rFonts w:ascii="Times New Roman" w:hAnsi="Times New Roman" w:cs="Times New Roman"/>
          <w:sz w:val="24"/>
          <w:szCs w:val="24"/>
        </w:rPr>
        <w:br/>
        <w:t xml:space="preserve">w Województwie Kujawsko-Pomorskim za rok 2019”. Raport podobnie jak w latach poprzednich został sporządzony w odniesieniu do poszczególnych grup odbiorców, w tym osób starszych. Zaprezentowano w nim informacje nt. stopnia realizacji pomocy środowiskowej i instytucjonalnej dla seniorów oraz dane dot. placówek aktywizujących osoby starsze, tj. klubów i świetlic. </w:t>
      </w:r>
    </w:p>
    <w:p w14:paraId="489E980B" w14:textId="77777777" w:rsidR="00F92DCF" w:rsidRDefault="00F92DCF" w:rsidP="00493925">
      <w:pPr>
        <w:pStyle w:val="Akapitzlist"/>
        <w:spacing w:after="0"/>
        <w:ind w:left="426"/>
        <w:contextualSpacing w:val="0"/>
        <w:jc w:val="both"/>
        <w:rPr>
          <w:rFonts w:ascii="Times New Roman" w:hAnsi="Times New Roman" w:cs="Times New Roman"/>
          <w:sz w:val="24"/>
          <w:szCs w:val="24"/>
        </w:rPr>
      </w:pPr>
    </w:p>
    <w:p w14:paraId="073BC374" w14:textId="77777777" w:rsidR="0050177A" w:rsidRPr="00F92DCF" w:rsidRDefault="0050177A" w:rsidP="00493925">
      <w:pPr>
        <w:pStyle w:val="Akapitzlist"/>
        <w:numPr>
          <w:ilvl w:val="0"/>
          <w:numId w:val="43"/>
        </w:numPr>
        <w:spacing w:after="0"/>
        <w:ind w:left="360"/>
        <w:jc w:val="both"/>
        <w:rPr>
          <w:rFonts w:ascii="Times New Roman" w:hAnsi="Times New Roman" w:cs="Times New Roman"/>
          <w:sz w:val="24"/>
          <w:szCs w:val="24"/>
        </w:rPr>
      </w:pPr>
      <w:r w:rsidRPr="00F92DCF">
        <w:rPr>
          <w:rFonts w:ascii="Times New Roman" w:eastAsia="CIDFont+F4" w:hAnsi="Times New Roman" w:cs="Times New Roman"/>
          <w:sz w:val="24"/>
          <w:szCs w:val="24"/>
        </w:rPr>
        <w:t xml:space="preserve">W lutym i marcu 2019 r. przedstawiciele Dyrekcji Generalnej ds. Zatrudnienia, Spraw Społecznych i Włączenia Społecznego Komisji Europejskiej odbywali wizyty studyjne </w:t>
      </w:r>
      <w:r w:rsidRPr="00F92DCF">
        <w:rPr>
          <w:rFonts w:ascii="Times New Roman" w:eastAsia="CIDFont+F4" w:hAnsi="Times New Roman" w:cs="Times New Roman"/>
          <w:sz w:val="24"/>
          <w:szCs w:val="24"/>
        </w:rPr>
        <w:br/>
        <w:t>do miejsc realizacji trzech wybranych projektów w dziedzinie zabezpieczenia społecznego:</w:t>
      </w:r>
    </w:p>
    <w:p w14:paraId="1AC5EA5F" w14:textId="77777777" w:rsidR="0050177A" w:rsidRPr="005F0A32" w:rsidRDefault="0050177A" w:rsidP="00493925">
      <w:pPr>
        <w:pStyle w:val="Akapitzlist"/>
        <w:numPr>
          <w:ilvl w:val="0"/>
          <w:numId w:val="44"/>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 xml:space="preserve">reprezentanci KE zapoznali się z realizacją projektu "Opieka w zagrodzie – gospodarstwa opiekuńcze", polegającego na organizacji turnusów spędzania czasu wolnego seniorów w gospodarstwach rolnych (od poniedziałku do piątku). Opiekunowie i podopieczni gospodarstw wspólnie realizowali różne zajęcia (m.in. wycieczki, czytanie książek, praca w ogrodzie), integrując się ze sobą i z lokalnym środowiskiem. Na Kujawach i Pomorzu w 2019 r. funkcjonowało 14 gospodarstw opiekuńczych w powiatach: brodnickim, golubsko-dobrzyńskim, lipnowskim, rypińskim, sępoleńskim, świeckim, tucholskim, wąbrzeskim, </w:t>
      </w:r>
      <w:r w:rsidRPr="005F0A32">
        <w:rPr>
          <w:rFonts w:ascii="Times New Roman" w:eastAsia="CIDFont+F4" w:hAnsi="Times New Roman" w:cs="Times New Roman"/>
          <w:sz w:val="24"/>
          <w:szCs w:val="24"/>
        </w:rPr>
        <w:lastRenderedPageBreak/>
        <w:t>włocławskim i żnińskim. W latach 2018-2019 z projektu skorzystało przynajmniej 300 seniorów, działania realizował Kujawsko-Pomorski Ośrodek Do</w:t>
      </w:r>
      <w:r w:rsidR="00390FB3">
        <w:rPr>
          <w:rFonts w:ascii="Times New Roman" w:eastAsia="CIDFont+F4" w:hAnsi="Times New Roman" w:cs="Times New Roman"/>
          <w:sz w:val="24"/>
          <w:szCs w:val="24"/>
        </w:rPr>
        <w:t xml:space="preserve">radztwa Rolniczego w Minikowie </w:t>
      </w:r>
      <w:r w:rsidRPr="005F0A32">
        <w:rPr>
          <w:rFonts w:ascii="Times New Roman" w:eastAsia="CIDFont+F4" w:hAnsi="Times New Roman" w:cs="Times New Roman"/>
          <w:sz w:val="24"/>
          <w:szCs w:val="24"/>
        </w:rPr>
        <w:t>w ramach RPO WKP 2014-2020.</w:t>
      </w:r>
    </w:p>
    <w:p w14:paraId="35BCFEF3" w14:textId="77777777" w:rsidR="0050177A" w:rsidRPr="005F0A32" w:rsidRDefault="0050177A" w:rsidP="00493925">
      <w:pPr>
        <w:pStyle w:val="Akapitzlist"/>
        <w:numPr>
          <w:ilvl w:val="0"/>
          <w:numId w:val="44"/>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urzędnicy KE mogli także poznać projekt, dotyczący organizacji usług opiekuńczych na rzecz niesamodzielnych osób starszych. Polegał on na przygotowaniu zajęć w domu dziennego pobytu dla 72 grudziądzan oraz ich bliskich, którzy uczyli się jak radzić sobie z trudną rolą opiekuna rodzinnego osoby sta</w:t>
      </w:r>
      <w:r w:rsidR="00920F70">
        <w:rPr>
          <w:rFonts w:ascii="Times New Roman" w:eastAsia="CIDFont+F4" w:hAnsi="Times New Roman" w:cs="Times New Roman"/>
          <w:sz w:val="24"/>
          <w:szCs w:val="24"/>
        </w:rPr>
        <w:t xml:space="preserve">rszej. Projekt finansowany był </w:t>
      </w:r>
      <w:r w:rsidRPr="005F0A32">
        <w:rPr>
          <w:rFonts w:ascii="Times New Roman" w:eastAsia="CIDFont+F4" w:hAnsi="Times New Roman" w:cs="Times New Roman"/>
          <w:sz w:val="24"/>
          <w:szCs w:val="24"/>
        </w:rPr>
        <w:t>z RPO WKP 2014-2020.</w:t>
      </w:r>
    </w:p>
    <w:p w14:paraId="2E8D9236" w14:textId="77777777" w:rsidR="0050177A" w:rsidRPr="005F0A32" w:rsidRDefault="0050177A" w:rsidP="00493925">
      <w:pPr>
        <w:pStyle w:val="Akapitzlist"/>
        <w:numPr>
          <w:ilvl w:val="0"/>
          <w:numId w:val="44"/>
        </w:numPr>
        <w:autoSpaceDE w:val="0"/>
        <w:autoSpaceDN w:val="0"/>
        <w:adjustRightInd w:val="0"/>
        <w:spacing w:after="0"/>
        <w:ind w:left="360"/>
        <w:jc w:val="both"/>
        <w:rPr>
          <w:rFonts w:ascii="Times New Roman" w:eastAsia="CIDFont+F4" w:hAnsi="Times New Roman" w:cs="Times New Roman"/>
          <w:sz w:val="24"/>
          <w:szCs w:val="24"/>
        </w:rPr>
      </w:pPr>
      <w:r w:rsidRPr="005F0A32">
        <w:rPr>
          <w:rFonts w:ascii="Times New Roman" w:eastAsia="CIDFont+F4" w:hAnsi="Times New Roman" w:cs="Times New Roman"/>
          <w:sz w:val="24"/>
          <w:szCs w:val="24"/>
        </w:rPr>
        <w:t xml:space="preserve">trzecim interesującym projektem, finansowanym w ramach wspólnej inicjatywy KE </w:t>
      </w:r>
      <w:r w:rsidRPr="005F0A32">
        <w:rPr>
          <w:rFonts w:ascii="Times New Roman" w:eastAsia="CIDFont+F4" w:hAnsi="Times New Roman" w:cs="Times New Roman"/>
          <w:sz w:val="24"/>
          <w:szCs w:val="24"/>
        </w:rPr>
        <w:br/>
        <w:t>i Banku Światowego, była budowa spójnego systemu opieki społecznej i zdrowotnej na rzecz seniorów w Grudziądza, który w przyszłości będzie też można zaadaptować na potrzeby innych miast i lokalnych społeczności. Zapoznając się z realizacją powyższych projektów Komisja Europejska wyraziła zainteresowanie działaniami prowadzonymi w województwie kujawsko-pomorskim na rzecz seniorów, doceniając inicjatywę i pomysły mające na celu zapewnienie dobrej jakości życia osób starszych. Zdaniem przedstawicieli Komisji Europejskiej, projekty realizowane w regionie mogą służyć jako przykład dla innych krajów</w:t>
      </w:r>
      <w:r w:rsidRPr="005F0A32">
        <w:rPr>
          <w:rStyle w:val="Odwoanieprzypisudolnego"/>
          <w:rFonts w:ascii="Times New Roman" w:eastAsia="CIDFont+F4" w:hAnsi="Times New Roman" w:cs="Times New Roman"/>
          <w:sz w:val="24"/>
          <w:szCs w:val="24"/>
        </w:rPr>
        <w:footnoteReference w:id="68"/>
      </w:r>
      <w:r w:rsidRPr="005F0A32">
        <w:rPr>
          <w:rFonts w:ascii="Times New Roman" w:eastAsia="CIDFont+F4" w:hAnsi="Times New Roman" w:cs="Times New Roman"/>
          <w:sz w:val="24"/>
          <w:szCs w:val="24"/>
        </w:rPr>
        <w:t>.</w:t>
      </w:r>
    </w:p>
    <w:p w14:paraId="082EE49B" w14:textId="77777777" w:rsidR="0050177A" w:rsidRPr="005F0A32" w:rsidRDefault="0050177A" w:rsidP="00493925">
      <w:pPr>
        <w:autoSpaceDE w:val="0"/>
        <w:autoSpaceDN w:val="0"/>
        <w:adjustRightInd w:val="0"/>
        <w:spacing w:after="0"/>
        <w:ind w:left="851"/>
        <w:jc w:val="both"/>
        <w:rPr>
          <w:rFonts w:ascii="Times New Roman" w:eastAsia="CIDFont+F4" w:hAnsi="Times New Roman" w:cs="Times New Roman"/>
          <w:sz w:val="24"/>
          <w:szCs w:val="24"/>
        </w:rPr>
      </w:pPr>
    </w:p>
    <w:p w14:paraId="0A04D0A0" w14:textId="77777777" w:rsidR="0050177A" w:rsidRPr="00920F70" w:rsidRDefault="0050177A" w:rsidP="00493925">
      <w:pPr>
        <w:pStyle w:val="Akapitzlist"/>
        <w:numPr>
          <w:ilvl w:val="0"/>
          <w:numId w:val="45"/>
        </w:numPr>
        <w:spacing w:after="0"/>
        <w:ind w:left="360"/>
        <w:jc w:val="both"/>
        <w:rPr>
          <w:rFonts w:ascii="Times New Roman" w:hAnsi="Times New Roman" w:cs="Times New Roman"/>
          <w:sz w:val="24"/>
          <w:szCs w:val="24"/>
        </w:rPr>
      </w:pPr>
      <w:r w:rsidRPr="00920F70">
        <w:rPr>
          <w:rFonts w:ascii="Times New Roman" w:hAnsi="Times New Roman" w:cs="Times New Roman"/>
          <w:sz w:val="24"/>
          <w:szCs w:val="24"/>
        </w:rPr>
        <w:t>Seminarium z okazji Dnia Babci i Dziadka</w:t>
      </w:r>
    </w:p>
    <w:p w14:paraId="75C43415" w14:textId="77777777" w:rsidR="0050177A" w:rsidRPr="005F0A32" w:rsidRDefault="0050177A" w:rsidP="00493925">
      <w:pPr>
        <w:pStyle w:val="NormalnyWeb"/>
        <w:spacing w:after="0"/>
        <w:ind w:left="426"/>
        <w:jc w:val="both"/>
      </w:pPr>
      <w:r w:rsidRPr="005F0A32">
        <w:t xml:space="preserve">Z okazji Dnia Babci i Dziadka w Urzędzie Marszałkowskim spotkali się 24 stycznia 2019 r. przedstawiciele instytucji i organizacji działających w interesie osób starszych. Tematem seminarium były możliwości i formy aktywizacji społecznej seniorów. W spotkaniu wzięli udział przedstawiciele Wojewódzkiej Rady Polityki Senioralnej, a także zaproszeni przez nich goście, reprezentanci organizacji pozarządowych, uniwersytetów trzeciego wieku </w:t>
      </w:r>
      <w:r w:rsidRPr="005F0A32">
        <w:br/>
        <w:t>i środowisk wiejskich. Goście wysłuchali prelekcji o możliwościach działań aktywizujących dla osób w wieku senioralnym, przygotowanej przez Włocławski Wolontariat Młodzieżowy oraz o ofercie turystycznej i kursach przewodnickich w Borach Tucholskich w ramach projektu „Bory Tucholskie dla seniora”, realizowanego przez zespół Lokalnej Grupy Działania „Bory Tucholskie”, laureatów ubiegłorocznych Nagród Marszałka w kategorii „budowa społeczeństwa obywatelskiego”. Spotkanie umilił występ artystyczny „Wesołe rytmy” zaprezentowany przez „Wesołą Wiarę” – zespół wokalno-instrumentalny z Grudziądza</w:t>
      </w:r>
      <w:r w:rsidRPr="005F0A32">
        <w:rPr>
          <w:rStyle w:val="Odwoanieprzypisudolnego"/>
        </w:rPr>
        <w:footnoteReference w:id="69"/>
      </w:r>
      <w:r w:rsidRPr="005F0A32">
        <w:t>.</w:t>
      </w:r>
    </w:p>
    <w:p w14:paraId="030EFF0C" w14:textId="77777777" w:rsidR="00A46DB9" w:rsidRDefault="00A46DB9" w:rsidP="003C1988">
      <w:pPr>
        <w:rPr>
          <w:lang w:eastAsia="ar-SA"/>
        </w:rPr>
        <w:sectPr w:rsidR="00A46DB9" w:rsidSect="00080A38">
          <w:pgSz w:w="11900" w:h="16838"/>
          <w:pgMar w:top="1384" w:right="1386" w:bottom="1038" w:left="1380" w:header="0" w:footer="567" w:gutter="0"/>
          <w:cols w:space="0" w:equalWidth="0">
            <w:col w:w="9140"/>
          </w:cols>
          <w:docGrid w:linePitch="360"/>
        </w:sectPr>
      </w:pPr>
    </w:p>
    <w:p w14:paraId="715B14BF" w14:textId="38644764" w:rsidR="005F20F3" w:rsidRPr="005F20F3" w:rsidRDefault="005F20F3" w:rsidP="005F20F3">
      <w:pPr>
        <w:pStyle w:val="Legenda"/>
        <w:keepNext/>
        <w:rPr>
          <w:rFonts w:ascii="Times New Roman" w:hAnsi="Times New Roman" w:cs="Times New Roman"/>
          <w:b/>
          <w:i w:val="0"/>
          <w:sz w:val="24"/>
        </w:rPr>
      </w:pPr>
      <w:bookmarkStart w:id="127" w:name="_Toc49171431"/>
      <w:r w:rsidRPr="005F20F3">
        <w:rPr>
          <w:rFonts w:ascii="Times New Roman" w:hAnsi="Times New Roman" w:cs="Times New Roman"/>
          <w:b/>
          <w:i w:val="0"/>
          <w:sz w:val="24"/>
        </w:rPr>
        <w:lastRenderedPageBreak/>
        <w:t xml:space="preserve">Tabela </w:t>
      </w:r>
      <w:r w:rsidRPr="005F20F3">
        <w:rPr>
          <w:rFonts w:ascii="Times New Roman" w:hAnsi="Times New Roman" w:cs="Times New Roman"/>
          <w:b/>
          <w:i w:val="0"/>
          <w:sz w:val="24"/>
        </w:rPr>
        <w:fldChar w:fldCharType="begin"/>
      </w:r>
      <w:r w:rsidRPr="005F20F3">
        <w:rPr>
          <w:rFonts w:ascii="Times New Roman" w:hAnsi="Times New Roman" w:cs="Times New Roman"/>
          <w:b/>
          <w:i w:val="0"/>
          <w:sz w:val="24"/>
        </w:rPr>
        <w:instrText xml:space="preserve"> SEQ Tabela \* ARABIC </w:instrText>
      </w:r>
      <w:r w:rsidRPr="005F20F3">
        <w:rPr>
          <w:rFonts w:ascii="Times New Roman" w:hAnsi="Times New Roman" w:cs="Times New Roman"/>
          <w:b/>
          <w:i w:val="0"/>
          <w:sz w:val="24"/>
        </w:rPr>
        <w:fldChar w:fldCharType="separate"/>
      </w:r>
      <w:r w:rsidR="00C154C9">
        <w:rPr>
          <w:rFonts w:ascii="Times New Roman" w:hAnsi="Times New Roman" w:cs="Times New Roman"/>
          <w:b/>
          <w:i w:val="0"/>
          <w:noProof/>
          <w:sz w:val="24"/>
        </w:rPr>
        <w:t>56</w:t>
      </w:r>
      <w:r w:rsidRPr="005F20F3">
        <w:rPr>
          <w:rFonts w:ascii="Times New Roman" w:hAnsi="Times New Roman" w:cs="Times New Roman"/>
          <w:b/>
          <w:i w:val="0"/>
          <w:sz w:val="24"/>
        </w:rPr>
        <w:fldChar w:fldCharType="end"/>
      </w:r>
      <w:r w:rsidRPr="005F20F3">
        <w:rPr>
          <w:rFonts w:ascii="Times New Roman" w:hAnsi="Times New Roman" w:cs="Times New Roman"/>
          <w:b/>
          <w:i w:val="0"/>
          <w:sz w:val="24"/>
        </w:rPr>
        <w:t xml:space="preserve"> Karta województwa kujawsko-pomorskiego</w:t>
      </w:r>
      <w:bookmarkEnd w:id="127"/>
    </w:p>
    <w:tbl>
      <w:tblPr>
        <w:tblStyle w:val="Tabelasiatki6kolorowaakcent1"/>
        <w:tblpPr w:leftFromText="142" w:rightFromText="142" w:vertAnchor="text" w:horzAnchor="margin" w:tblpXSpec="center" w:tblpY="1"/>
        <w:tblOverlap w:val="never"/>
        <w:tblW w:w="14741"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B95608" w:rsidRPr="008126F0" w14:paraId="4F0F3888" w14:textId="77777777" w:rsidTr="00E86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4E37D5BB" w14:textId="77777777" w:rsidR="002F4B08" w:rsidRPr="008126F0" w:rsidRDefault="002F4B08" w:rsidP="00E86509">
            <w:pPr>
              <w:spacing w:after="0" w:line="240" w:lineRule="auto"/>
              <w:jc w:val="center"/>
              <w:rPr>
                <w:rFonts w:ascii="Times New Roman" w:hAnsi="Times New Roman"/>
                <w:color w:val="auto"/>
              </w:rPr>
            </w:pPr>
            <w:r w:rsidRPr="008126F0">
              <w:rPr>
                <w:rFonts w:ascii="Times New Roman" w:hAnsi="Times New Roman"/>
                <w:color w:val="auto"/>
              </w:rPr>
              <w:t>WOJEWÓDZTWO KUJAWSKO-POMORSKIE</w:t>
            </w:r>
          </w:p>
        </w:tc>
      </w:tr>
      <w:tr w:rsidR="00B95608" w:rsidRPr="008126F0" w14:paraId="017B4FE9" w14:textId="77777777" w:rsidTr="00E8650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5F88BD5" w14:textId="77777777" w:rsidR="002F4B08" w:rsidRPr="008126F0" w:rsidRDefault="002F4B08" w:rsidP="00E86509">
            <w:pPr>
              <w:spacing w:after="0" w:line="240" w:lineRule="auto"/>
              <w:rPr>
                <w:rFonts w:ascii="Times New Roman" w:hAnsi="Times New Roman"/>
                <w:color w:val="auto"/>
              </w:rPr>
            </w:pPr>
            <w:r w:rsidRPr="008126F0">
              <w:rPr>
                <w:rFonts w:ascii="Times New Roman" w:hAnsi="Times New Roman"/>
                <w:color w:val="auto"/>
              </w:rPr>
              <w:t>Informacja o regionie</w:t>
            </w:r>
          </w:p>
        </w:tc>
        <w:tc>
          <w:tcPr>
            <w:tcW w:w="3969" w:type="dxa"/>
            <w:gridSpan w:val="3"/>
            <w:shd w:val="clear" w:color="auto" w:fill="9CC2E5" w:themeFill="accent1" w:themeFillTint="99"/>
          </w:tcPr>
          <w:p w14:paraId="7B19165C" w14:textId="77777777" w:rsidR="002F4B08" w:rsidRPr="008126F0" w:rsidRDefault="002F4B08"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Liczba gmin</w:t>
            </w:r>
          </w:p>
        </w:tc>
        <w:tc>
          <w:tcPr>
            <w:tcW w:w="7942" w:type="dxa"/>
            <w:gridSpan w:val="5"/>
            <w:shd w:val="clear" w:color="auto" w:fill="FFFFFF" w:themeFill="background1"/>
          </w:tcPr>
          <w:p w14:paraId="0C7BB92B"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144</w:t>
            </w:r>
          </w:p>
        </w:tc>
      </w:tr>
      <w:tr w:rsidR="00B95608" w:rsidRPr="008126F0" w14:paraId="1B340DE2" w14:textId="77777777" w:rsidTr="00E86509">
        <w:trPr>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B55457" w14:textId="77777777" w:rsidR="002F4B08" w:rsidRPr="008126F0" w:rsidRDefault="002F4B08" w:rsidP="00E86509">
            <w:pPr>
              <w:spacing w:after="0" w:line="240" w:lineRule="auto"/>
              <w:rPr>
                <w:rFonts w:ascii="Times New Roman" w:hAnsi="Times New Roman"/>
                <w:color w:val="auto"/>
              </w:rPr>
            </w:pPr>
          </w:p>
        </w:tc>
        <w:tc>
          <w:tcPr>
            <w:tcW w:w="3969" w:type="dxa"/>
            <w:gridSpan w:val="3"/>
            <w:shd w:val="clear" w:color="auto" w:fill="9CC2E5" w:themeFill="accent1" w:themeFillTint="99"/>
          </w:tcPr>
          <w:p w14:paraId="31717E60" w14:textId="77777777" w:rsidR="002F4B08" w:rsidRPr="008126F0" w:rsidRDefault="002F4B08"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Liczba powiatów</w:t>
            </w:r>
          </w:p>
        </w:tc>
        <w:tc>
          <w:tcPr>
            <w:tcW w:w="7942" w:type="dxa"/>
            <w:gridSpan w:val="5"/>
            <w:shd w:val="clear" w:color="auto" w:fill="FFFFFF" w:themeFill="background1"/>
          </w:tcPr>
          <w:p w14:paraId="6A09F620"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23 (19 powiatów i 4 miasta na prawach powiatu)</w:t>
            </w:r>
          </w:p>
        </w:tc>
      </w:tr>
      <w:tr w:rsidR="00B95608" w:rsidRPr="008126F0" w14:paraId="2EE4F424" w14:textId="77777777" w:rsidTr="00E8650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7054BED" w14:textId="77777777" w:rsidR="002F4B08" w:rsidRPr="008126F0" w:rsidRDefault="002F4B08" w:rsidP="00E86509">
            <w:pPr>
              <w:spacing w:after="0" w:line="240" w:lineRule="auto"/>
              <w:rPr>
                <w:rFonts w:ascii="Times New Roman" w:hAnsi="Times New Roman"/>
                <w:color w:val="auto"/>
              </w:rPr>
            </w:pPr>
          </w:p>
        </w:tc>
        <w:tc>
          <w:tcPr>
            <w:tcW w:w="3969" w:type="dxa"/>
            <w:gridSpan w:val="3"/>
            <w:shd w:val="clear" w:color="auto" w:fill="9CC2E5" w:themeFill="accent1" w:themeFillTint="99"/>
          </w:tcPr>
          <w:p w14:paraId="613E9F1C" w14:textId="77777777" w:rsidR="002F4B08" w:rsidRPr="008126F0" w:rsidRDefault="002F4B08"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Powierzchnia</w:t>
            </w:r>
          </w:p>
        </w:tc>
        <w:tc>
          <w:tcPr>
            <w:tcW w:w="7942" w:type="dxa"/>
            <w:gridSpan w:val="5"/>
            <w:shd w:val="clear" w:color="auto" w:fill="FFFFFF" w:themeFill="background1"/>
          </w:tcPr>
          <w:p w14:paraId="3A6AD11C"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17.971 km</w:t>
            </w:r>
            <w:r w:rsidRPr="008126F0">
              <w:rPr>
                <w:rFonts w:ascii="Times New Roman" w:hAnsi="Times New Roman"/>
                <w:color w:val="auto"/>
                <w:vertAlign w:val="superscript"/>
              </w:rPr>
              <w:t>2</w:t>
            </w:r>
          </w:p>
        </w:tc>
      </w:tr>
      <w:tr w:rsidR="00B95608" w:rsidRPr="008126F0" w14:paraId="0BCF6457"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2076E22C" w14:textId="77777777" w:rsidR="002F4B08" w:rsidRPr="008126F0" w:rsidRDefault="002F4B08" w:rsidP="00E86509">
            <w:pPr>
              <w:spacing w:after="0" w:line="240" w:lineRule="auto"/>
              <w:jc w:val="center"/>
              <w:rPr>
                <w:rFonts w:ascii="Times New Roman" w:hAnsi="Times New Roman"/>
                <w:b w:val="0"/>
                <w:color w:val="auto"/>
              </w:rPr>
            </w:pPr>
            <w:r w:rsidRPr="008126F0">
              <w:rPr>
                <w:rFonts w:ascii="Times New Roman" w:hAnsi="Times New Roman"/>
                <w:color w:val="auto"/>
              </w:rPr>
              <w:t>DEMOGRAFIA</w:t>
            </w:r>
          </w:p>
        </w:tc>
      </w:tr>
      <w:tr w:rsidR="00B95608" w:rsidRPr="008126F0" w14:paraId="49159FA6"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E49137B" w14:textId="77777777" w:rsidR="002F4B08" w:rsidRPr="008126F0" w:rsidRDefault="002F4B08" w:rsidP="00E86509">
            <w:pPr>
              <w:spacing w:after="0" w:line="240" w:lineRule="auto"/>
              <w:jc w:val="center"/>
              <w:rPr>
                <w:rFonts w:ascii="Times New Roman" w:hAnsi="Times New Roman"/>
                <w:b w:val="0"/>
                <w:color w:val="auto"/>
                <w:lang w:eastAsia="pl-PL"/>
              </w:rPr>
            </w:pPr>
            <w:r w:rsidRPr="008126F0">
              <w:rPr>
                <w:rFonts w:ascii="Times New Roman" w:hAnsi="Times New Roman"/>
                <w:color w:val="auto"/>
                <w:lang w:eastAsia="pl-PL"/>
              </w:rPr>
              <w:t>Treść</w:t>
            </w:r>
          </w:p>
        </w:tc>
        <w:tc>
          <w:tcPr>
            <w:tcW w:w="3969" w:type="dxa"/>
            <w:gridSpan w:val="3"/>
            <w:shd w:val="clear" w:color="auto" w:fill="9CC2E5" w:themeFill="accent1" w:themeFillTint="99"/>
          </w:tcPr>
          <w:p w14:paraId="447D202A"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2017 r.</w:t>
            </w:r>
          </w:p>
        </w:tc>
        <w:tc>
          <w:tcPr>
            <w:tcW w:w="3969" w:type="dxa"/>
            <w:gridSpan w:val="3"/>
            <w:shd w:val="clear" w:color="auto" w:fill="9CC2E5" w:themeFill="accent1" w:themeFillTint="99"/>
          </w:tcPr>
          <w:p w14:paraId="0F47B3DE"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2018 r.</w:t>
            </w:r>
          </w:p>
        </w:tc>
        <w:tc>
          <w:tcPr>
            <w:tcW w:w="3973" w:type="dxa"/>
            <w:gridSpan w:val="2"/>
            <w:shd w:val="clear" w:color="auto" w:fill="9CC2E5" w:themeFill="accent1" w:themeFillTint="99"/>
          </w:tcPr>
          <w:p w14:paraId="4CCBFF80"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2019 r.</w:t>
            </w:r>
          </w:p>
        </w:tc>
      </w:tr>
      <w:tr w:rsidR="00B95608" w:rsidRPr="008126F0" w14:paraId="5E10B337"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D9A8E73" w14:textId="77777777" w:rsidR="002F4B08" w:rsidRPr="008D5B1C" w:rsidRDefault="002F4B08" w:rsidP="00E86509">
            <w:pPr>
              <w:spacing w:after="0" w:line="240" w:lineRule="auto"/>
              <w:rPr>
                <w:rFonts w:ascii="Times New Roman" w:hAnsi="Times New Roman"/>
                <w:color w:val="auto"/>
                <w:lang w:eastAsia="pl-PL"/>
              </w:rPr>
            </w:pPr>
            <w:r w:rsidRPr="008D5B1C">
              <w:rPr>
                <w:rFonts w:ascii="Times New Roman" w:hAnsi="Times New Roman"/>
                <w:color w:val="auto"/>
                <w:lang w:eastAsia="pl-PL"/>
              </w:rPr>
              <w:t>Populacja ogółem</w:t>
            </w:r>
          </w:p>
        </w:tc>
        <w:tc>
          <w:tcPr>
            <w:tcW w:w="3969" w:type="dxa"/>
            <w:gridSpan w:val="3"/>
          </w:tcPr>
          <w:p w14:paraId="0D57C83E"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2 082 944</w:t>
            </w:r>
          </w:p>
        </w:tc>
        <w:tc>
          <w:tcPr>
            <w:tcW w:w="3969" w:type="dxa"/>
            <w:gridSpan w:val="3"/>
          </w:tcPr>
          <w:p w14:paraId="7BA9ACAA"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2 077 775</w:t>
            </w:r>
          </w:p>
        </w:tc>
        <w:tc>
          <w:tcPr>
            <w:tcW w:w="3973" w:type="dxa"/>
            <w:gridSpan w:val="2"/>
          </w:tcPr>
          <w:p w14:paraId="3751F42A"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2 072 373</w:t>
            </w:r>
          </w:p>
        </w:tc>
      </w:tr>
      <w:tr w:rsidR="00B95608" w:rsidRPr="008126F0" w14:paraId="53D01E6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41B83B84" w14:textId="77777777" w:rsidR="002F4B08" w:rsidRPr="008D5B1C" w:rsidRDefault="002F4B08" w:rsidP="00E86509">
            <w:pPr>
              <w:spacing w:after="0" w:line="240" w:lineRule="auto"/>
              <w:rPr>
                <w:rFonts w:ascii="Times New Roman" w:hAnsi="Times New Roman"/>
                <w:color w:val="auto"/>
              </w:rPr>
            </w:pPr>
            <w:r w:rsidRPr="008D5B1C">
              <w:rPr>
                <w:rFonts w:ascii="Times New Roman" w:hAnsi="Times New Roman"/>
                <w:color w:val="auto"/>
                <w:lang w:eastAsia="pl-PL"/>
              </w:rPr>
              <w:t>w tym:</w:t>
            </w:r>
          </w:p>
        </w:tc>
      </w:tr>
      <w:tr w:rsidR="00B95608" w:rsidRPr="008126F0" w14:paraId="1D448FCE"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22C35E1" w14:textId="77777777" w:rsidR="002F4B08" w:rsidRPr="008D5B1C" w:rsidRDefault="002F4B08" w:rsidP="00E86509">
            <w:pPr>
              <w:spacing w:after="0" w:line="240" w:lineRule="auto"/>
              <w:rPr>
                <w:rFonts w:ascii="Times New Roman" w:hAnsi="Times New Roman"/>
                <w:color w:val="auto"/>
              </w:rPr>
            </w:pPr>
            <w:r w:rsidRPr="008D5B1C">
              <w:rPr>
                <w:rFonts w:ascii="Times New Roman" w:hAnsi="Times New Roman"/>
                <w:color w:val="auto"/>
                <w:lang w:eastAsia="pl-PL"/>
              </w:rPr>
              <w:t>w wieku 60 lat i więcej</w:t>
            </w:r>
          </w:p>
        </w:tc>
        <w:tc>
          <w:tcPr>
            <w:tcW w:w="3969" w:type="dxa"/>
            <w:gridSpan w:val="3"/>
            <w:shd w:val="clear" w:color="auto" w:fill="FFFFFF" w:themeFill="background1"/>
          </w:tcPr>
          <w:p w14:paraId="251BE35D"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496 445</w:t>
            </w:r>
          </w:p>
        </w:tc>
        <w:tc>
          <w:tcPr>
            <w:tcW w:w="3969" w:type="dxa"/>
            <w:gridSpan w:val="3"/>
            <w:shd w:val="clear" w:color="auto" w:fill="FFFFFF" w:themeFill="background1"/>
          </w:tcPr>
          <w:p w14:paraId="39EE2C8B"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508 724</w:t>
            </w:r>
          </w:p>
        </w:tc>
        <w:tc>
          <w:tcPr>
            <w:tcW w:w="3973" w:type="dxa"/>
            <w:gridSpan w:val="2"/>
            <w:shd w:val="clear" w:color="auto" w:fill="FFFFFF" w:themeFill="background1"/>
          </w:tcPr>
          <w:p w14:paraId="012FAE76"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519 670</w:t>
            </w:r>
          </w:p>
        </w:tc>
      </w:tr>
      <w:tr w:rsidR="00B95608" w:rsidRPr="008126F0" w14:paraId="6D691F35"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A4D8862" w14:textId="77777777" w:rsidR="002F4B08" w:rsidRPr="008D5B1C" w:rsidRDefault="002F4B08" w:rsidP="00E86509">
            <w:pPr>
              <w:spacing w:after="0" w:line="240" w:lineRule="auto"/>
              <w:rPr>
                <w:rFonts w:ascii="Times New Roman" w:hAnsi="Times New Roman"/>
                <w:color w:val="auto"/>
                <w:lang w:eastAsia="pl-PL"/>
              </w:rPr>
            </w:pPr>
            <w:r w:rsidRPr="008D5B1C">
              <w:rPr>
                <w:rFonts w:ascii="Times New Roman" w:hAnsi="Times New Roman"/>
                <w:color w:val="auto"/>
                <w:lang w:eastAsia="pl-PL"/>
              </w:rPr>
              <w:t>60–64 lata</w:t>
            </w:r>
          </w:p>
        </w:tc>
        <w:tc>
          <w:tcPr>
            <w:tcW w:w="3969" w:type="dxa"/>
            <w:gridSpan w:val="3"/>
            <w:shd w:val="clear" w:color="auto" w:fill="FFFFFF" w:themeFill="background1"/>
          </w:tcPr>
          <w:p w14:paraId="3B7605EF"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152 948</w:t>
            </w:r>
          </w:p>
        </w:tc>
        <w:tc>
          <w:tcPr>
            <w:tcW w:w="3969" w:type="dxa"/>
            <w:gridSpan w:val="3"/>
            <w:shd w:val="clear" w:color="auto" w:fill="FFFFFF" w:themeFill="background1"/>
          </w:tcPr>
          <w:p w14:paraId="39CE7A64"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153 060</w:t>
            </w:r>
          </w:p>
        </w:tc>
        <w:tc>
          <w:tcPr>
            <w:tcW w:w="3973" w:type="dxa"/>
            <w:gridSpan w:val="2"/>
            <w:shd w:val="clear" w:color="auto" w:fill="FFFFFF" w:themeFill="background1"/>
          </w:tcPr>
          <w:p w14:paraId="413A1CA1"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152 151</w:t>
            </w:r>
          </w:p>
        </w:tc>
      </w:tr>
      <w:tr w:rsidR="00B95608" w:rsidRPr="008126F0" w14:paraId="549206E7"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4DF2278" w14:textId="77777777" w:rsidR="002F4B08" w:rsidRPr="008D5B1C" w:rsidRDefault="002F4B08" w:rsidP="00E86509">
            <w:pPr>
              <w:spacing w:after="0" w:line="240" w:lineRule="auto"/>
              <w:rPr>
                <w:rFonts w:ascii="Times New Roman" w:hAnsi="Times New Roman"/>
                <w:color w:val="auto"/>
                <w:lang w:eastAsia="pl-PL"/>
              </w:rPr>
            </w:pPr>
            <w:r w:rsidRPr="008D5B1C">
              <w:rPr>
                <w:rFonts w:ascii="Times New Roman" w:hAnsi="Times New Roman"/>
                <w:color w:val="auto"/>
                <w:lang w:eastAsia="pl-PL"/>
              </w:rPr>
              <w:t>65–69</w:t>
            </w:r>
          </w:p>
        </w:tc>
        <w:tc>
          <w:tcPr>
            <w:tcW w:w="3969" w:type="dxa"/>
            <w:gridSpan w:val="3"/>
            <w:shd w:val="clear" w:color="auto" w:fill="FFFFFF" w:themeFill="background1"/>
          </w:tcPr>
          <w:p w14:paraId="2F3A5D4A"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129 340</w:t>
            </w:r>
          </w:p>
        </w:tc>
        <w:tc>
          <w:tcPr>
            <w:tcW w:w="3969" w:type="dxa"/>
            <w:gridSpan w:val="3"/>
            <w:shd w:val="clear" w:color="auto" w:fill="FFFFFF" w:themeFill="background1"/>
          </w:tcPr>
          <w:p w14:paraId="6D19B7EC"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131 678</w:t>
            </w:r>
          </w:p>
        </w:tc>
        <w:tc>
          <w:tcPr>
            <w:tcW w:w="3973" w:type="dxa"/>
            <w:gridSpan w:val="2"/>
            <w:shd w:val="clear" w:color="auto" w:fill="FFFFFF" w:themeFill="background1"/>
          </w:tcPr>
          <w:p w14:paraId="0EB1C2FC"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133 198</w:t>
            </w:r>
          </w:p>
        </w:tc>
      </w:tr>
      <w:tr w:rsidR="00B95608" w:rsidRPr="008126F0" w14:paraId="43EA0C6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11F9F18" w14:textId="77777777" w:rsidR="002F4B08" w:rsidRPr="008D5B1C" w:rsidRDefault="002F4B08" w:rsidP="00E86509">
            <w:pPr>
              <w:spacing w:after="0" w:line="240" w:lineRule="auto"/>
              <w:rPr>
                <w:rFonts w:ascii="Times New Roman" w:hAnsi="Times New Roman"/>
                <w:color w:val="auto"/>
                <w:lang w:eastAsia="pl-PL"/>
              </w:rPr>
            </w:pPr>
            <w:r w:rsidRPr="008D5B1C">
              <w:rPr>
                <w:rFonts w:ascii="Times New Roman" w:hAnsi="Times New Roman"/>
                <w:color w:val="auto"/>
                <w:lang w:eastAsia="pl-PL"/>
              </w:rPr>
              <w:t>70–74</w:t>
            </w:r>
          </w:p>
        </w:tc>
        <w:tc>
          <w:tcPr>
            <w:tcW w:w="3969" w:type="dxa"/>
            <w:gridSpan w:val="3"/>
            <w:shd w:val="clear" w:color="auto" w:fill="FFFFFF" w:themeFill="background1"/>
          </w:tcPr>
          <w:p w14:paraId="352700A9"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77 000</w:t>
            </w:r>
          </w:p>
        </w:tc>
        <w:tc>
          <w:tcPr>
            <w:tcW w:w="3969" w:type="dxa"/>
            <w:gridSpan w:val="3"/>
            <w:shd w:val="clear" w:color="auto" w:fill="FFFFFF" w:themeFill="background1"/>
          </w:tcPr>
          <w:p w14:paraId="34511BED"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86 160</w:t>
            </w:r>
          </w:p>
        </w:tc>
        <w:tc>
          <w:tcPr>
            <w:tcW w:w="3973" w:type="dxa"/>
            <w:gridSpan w:val="2"/>
            <w:shd w:val="clear" w:color="auto" w:fill="FFFFFF" w:themeFill="background1"/>
          </w:tcPr>
          <w:p w14:paraId="26A931D9"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96 808</w:t>
            </w:r>
          </w:p>
        </w:tc>
      </w:tr>
      <w:tr w:rsidR="00B95608" w:rsidRPr="008126F0" w14:paraId="3F00BDE7"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4EA1D27" w14:textId="77777777" w:rsidR="002F4B08" w:rsidRPr="008D5B1C" w:rsidRDefault="002F4B08" w:rsidP="00E86509">
            <w:pPr>
              <w:spacing w:after="0" w:line="240" w:lineRule="auto"/>
              <w:rPr>
                <w:rFonts w:ascii="Times New Roman" w:hAnsi="Times New Roman"/>
                <w:color w:val="auto"/>
                <w:lang w:eastAsia="pl-PL"/>
              </w:rPr>
            </w:pPr>
            <w:r w:rsidRPr="008D5B1C">
              <w:rPr>
                <w:rFonts w:ascii="Times New Roman" w:hAnsi="Times New Roman"/>
                <w:color w:val="auto"/>
                <w:lang w:eastAsia="pl-PL"/>
              </w:rPr>
              <w:t>75–79</w:t>
            </w:r>
          </w:p>
        </w:tc>
        <w:tc>
          <w:tcPr>
            <w:tcW w:w="3969" w:type="dxa"/>
            <w:gridSpan w:val="3"/>
            <w:shd w:val="clear" w:color="auto" w:fill="FFFFFF" w:themeFill="background1"/>
          </w:tcPr>
          <w:p w14:paraId="246D219C"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55 899</w:t>
            </w:r>
          </w:p>
        </w:tc>
        <w:tc>
          <w:tcPr>
            <w:tcW w:w="3969" w:type="dxa"/>
            <w:gridSpan w:val="3"/>
            <w:shd w:val="clear" w:color="auto" w:fill="FFFFFF" w:themeFill="background1"/>
          </w:tcPr>
          <w:p w14:paraId="09AF193E"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54 754</w:t>
            </w:r>
          </w:p>
        </w:tc>
        <w:tc>
          <w:tcPr>
            <w:tcW w:w="3973" w:type="dxa"/>
            <w:gridSpan w:val="2"/>
            <w:shd w:val="clear" w:color="auto" w:fill="FFFFFF" w:themeFill="background1"/>
          </w:tcPr>
          <w:p w14:paraId="1D682283"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53 471</w:t>
            </w:r>
          </w:p>
        </w:tc>
      </w:tr>
      <w:tr w:rsidR="00B95608" w:rsidRPr="008126F0" w14:paraId="7F344337"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A82173E" w14:textId="77777777" w:rsidR="002F4B08" w:rsidRPr="008D5B1C" w:rsidRDefault="002F4B08" w:rsidP="00E86509">
            <w:pPr>
              <w:spacing w:after="0" w:line="240" w:lineRule="auto"/>
              <w:rPr>
                <w:rFonts w:ascii="Times New Roman" w:hAnsi="Times New Roman"/>
                <w:color w:val="auto"/>
                <w:lang w:eastAsia="pl-PL"/>
              </w:rPr>
            </w:pPr>
            <w:r w:rsidRPr="008D5B1C">
              <w:rPr>
                <w:rFonts w:ascii="Times New Roman" w:hAnsi="Times New Roman"/>
                <w:color w:val="auto"/>
                <w:lang w:eastAsia="pl-PL"/>
              </w:rPr>
              <w:t>80–84</w:t>
            </w:r>
          </w:p>
        </w:tc>
        <w:tc>
          <w:tcPr>
            <w:tcW w:w="3969" w:type="dxa"/>
            <w:gridSpan w:val="3"/>
            <w:shd w:val="clear" w:color="auto" w:fill="FFFFFF" w:themeFill="background1"/>
          </w:tcPr>
          <w:p w14:paraId="0BC27494"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43 677</w:t>
            </w:r>
          </w:p>
        </w:tc>
        <w:tc>
          <w:tcPr>
            <w:tcW w:w="3969" w:type="dxa"/>
            <w:gridSpan w:val="3"/>
            <w:shd w:val="clear" w:color="auto" w:fill="FFFFFF" w:themeFill="background1"/>
          </w:tcPr>
          <w:p w14:paraId="3DFEF715"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43 838</w:t>
            </w:r>
          </w:p>
        </w:tc>
        <w:tc>
          <w:tcPr>
            <w:tcW w:w="3973" w:type="dxa"/>
            <w:gridSpan w:val="2"/>
            <w:shd w:val="clear" w:color="auto" w:fill="FFFFFF" w:themeFill="background1"/>
          </w:tcPr>
          <w:p w14:paraId="7959A5A2"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43 748</w:t>
            </w:r>
          </w:p>
        </w:tc>
      </w:tr>
      <w:tr w:rsidR="00B95608" w:rsidRPr="008126F0" w14:paraId="4833633A"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3038F7E" w14:textId="77777777" w:rsidR="002F4B08" w:rsidRPr="008D5B1C" w:rsidRDefault="002F4B08" w:rsidP="00E86509">
            <w:pPr>
              <w:spacing w:after="0" w:line="240" w:lineRule="auto"/>
              <w:rPr>
                <w:rFonts w:ascii="Times New Roman" w:hAnsi="Times New Roman"/>
                <w:color w:val="auto"/>
                <w:lang w:eastAsia="pl-PL"/>
              </w:rPr>
            </w:pPr>
            <w:r w:rsidRPr="008D5B1C">
              <w:rPr>
                <w:rFonts w:ascii="Times New Roman" w:hAnsi="Times New Roman"/>
                <w:color w:val="auto"/>
                <w:lang w:eastAsia="pl-PL"/>
              </w:rPr>
              <w:t>85 lat i więcej</w:t>
            </w:r>
          </w:p>
        </w:tc>
        <w:tc>
          <w:tcPr>
            <w:tcW w:w="3969" w:type="dxa"/>
            <w:gridSpan w:val="3"/>
            <w:shd w:val="clear" w:color="auto" w:fill="FFFFFF" w:themeFill="background1"/>
          </w:tcPr>
          <w:p w14:paraId="0AA487A7"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38 481</w:t>
            </w:r>
          </w:p>
        </w:tc>
        <w:tc>
          <w:tcPr>
            <w:tcW w:w="3969" w:type="dxa"/>
            <w:gridSpan w:val="3"/>
            <w:shd w:val="clear" w:color="auto" w:fill="FFFFFF" w:themeFill="background1"/>
          </w:tcPr>
          <w:p w14:paraId="64F4D1F4"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39 234</w:t>
            </w:r>
          </w:p>
        </w:tc>
        <w:tc>
          <w:tcPr>
            <w:tcW w:w="3973" w:type="dxa"/>
            <w:gridSpan w:val="2"/>
            <w:shd w:val="clear" w:color="auto" w:fill="FFFFFF" w:themeFill="background1"/>
          </w:tcPr>
          <w:p w14:paraId="1F277800"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40 294</w:t>
            </w:r>
          </w:p>
        </w:tc>
      </w:tr>
      <w:tr w:rsidR="00B95608" w:rsidRPr="008126F0" w14:paraId="2A601A1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6728FFE" w14:textId="77777777" w:rsidR="002F4B08" w:rsidRPr="008D5B1C" w:rsidRDefault="002F4B08" w:rsidP="00E86509">
            <w:pPr>
              <w:spacing w:after="0" w:line="240" w:lineRule="auto"/>
              <w:rPr>
                <w:rFonts w:ascii="Times New Roman" w:hAnsi="Times New Roman"/>
                <w:color w:val="auto"/>
                <w:lang w:eastAsia="pl-PL"/>
              </w:rPr>
            </w:pPr>
            <w:r w:rsidRPr="008D5B1C">
              <w:rPr>
                <w:rFonts w:ascii="Times New Roman" w:hAnsi="Times New Roman"/>
                <w:color w:val="auto"/>
                <w:lang w:eastAsia="pl-PL"/>
              </w:rPr>
              <w:t>Przeciętne dalsze trwanie życia</w:t>
            </w:r>
          </w:p>
        </w:tc>
        <w:tc>
          <w:tcPr>
            <w:tcW w:w="3969" w:type="dxa"/>
            <w:gridSpan w:val="3"/>
            <w:shd w:val="clear" w:color="auto" w:fill="FFFFFF" w:themeFill="background1"/>
          </w:tcPr>
          <w:p w14:paraId="240B0101"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mężczyźni 74,0</w:t>
            </w:r>
            <w:r w:rsidRPr="008126F0">
              <w:rPr>
                <w:rFonts w:ascii="Times New Roman" w:hAnsi="Times New Roman"/>
                <w:color w:val="auto"/>
              </w:rPr>
              <w:br/>
              <w:t>kobiety 81,0</w:t>
            </w:r>
          </w:p>
        </w:tc>
        <w:tc>
          <w:tcPr>
            <w:tcW w:w="3969" w:type="dxa"/>
            <w:gridSpan w:val="3"/>
            <w:shd w:val="clear" w:color="auto" w:fill="FFFFFF" w:themeFill="background1"/>
          </w:tcPr>
          <w:p w14:paraId="55325569"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mężczyźni 73,5</w:t>
            </w:r>
            <w:r w:rsidRPr="008126F0">
              <w:rPr>
                <w:rFonts w:ascii="Times New Roman" w:hAnsi="Times New Roman"/>
                <w:color w:val="auto"/>
              </w:rPr>
              <w:br/>
              <w:t>kobiety 81,1</w:t>
            </w:r>
          </w:p>
        </w:tc>
        <w:tc>
          <w:tcPr>
            <w:tcW w:w="3973" w:type="dxa"/>
            <w:gridSpan w:val="2"/>
            <w:shd w:val="clear" w:color="auto" w:fill="FFFFFF" w:themeFill="background1"/>
            <w:vAlign w:val="center"/>
          </w:tcPr>
          <w:p w14:paraId="07037304"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brak danych</w:t>
            </w:r>
          </w:p>
        </w:tc>
      </w:tr>
      <w:tr w:rsidR="00B95608" w:rsidRPr="008126F0" w14:paraId="51769EAB"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3D51887" w14:textId="77777777" w:rsidR="002F4B08" w:rsidRPr="008D5B1C" w:rsidRDefault="002F4B08" w:rsidP="00E86509">
            <w:pPr>
              <w:spacing w:after="0" w:line="240" w:lineRule="auto"/>
              <w:rPr>
                <w:rFonts w:ascii="Times New Roman" w:hAnsi="Times New Roman"/>
                <w:color w:val="auto"/>
                <w:lang w:eastAsia="pl-PL"/>
              </w:rPr>
            </w:pPr>
            <w:r w:rsidRPr="008D5B1C">
              <w:rPr>
                <w:rFonts w:ascii="Times New Roman" w:hAnsi="Times New Roman"/>
                <w:color w:val="auto"/>
                <w:lang w:eastAsia="pl-PL"/>
              </w:rPr>
              <w:t>Współczynnik feminizacji</w:t>
            </w:r>
          </w:p>
        </w:tc>
        <w:tc>
          <w:tcPr>
            <w:tcW w:w="3969" w:type="dxa"/>
            <w:gridSpan w:val="3"/>
            <w:shd w:val="clear" w:color="auto" w:fill="FFFFFF" w:themeFill="background1"/>
          </w:tcPr>
          <w:p w14:paraId="611AD3C6"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106</w:t>
            </w:r>
          </w:p>
        </w:tc>
        <w:tc>
          <w:tcPr>
            <w:tcW w:w="3969" w:type="dxa"/>
            <w:gridSpan w:val="3"/>
            <w:shd w:val="clear" w:color="auto" w:fill="FFFFFF" w:themeFill="background1"/>
          </w:tcPr>
          <w:p w14:paraId="5D3B3FE0"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106</w:t>
            </w:r>
          </w:p>
        </w:tc>
        <w:tc>
          <w:tcPr>
            <w:tcW w:w="3973" w:type="dxa"/>
            <w:gridSpan w:val="2"/>
            <w:shd w:val="clear" w:color="auto" w:fill="FFFFFF" w:themeFill="background1"/>
          </w:tcPr>
          <w:p w14:paraId="450E5243"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106</w:t>
            </w:r>
          </w:p>
        </w:tc>
      </w:tr>
      <w:tr w:rsidR="00B95608" w:rsidRPr="008126F0" w14:paraId="76B8E3F4"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EB1E727" w14:textId="77777777" w:rsidR="002F4B08" w:rsidRPr="008D5B1C" w:rsidRDefault="002F4B08" w:rsidP="00E86509">
            <w:pPr>
              <w:spacing w:after="0" w:line="240" w:lineRule="auto"/>
              <w:rPr>
                <w:rFonts w:ascii="Times New Roman" w:hAnsi="Times New Roman"/>
                <w:color w:val="auto"/>
                <w:lang w:eastAsia="pl-PL"/>
              </w:rPr>
            </w:pPr>
            <w:r w:rsidRPr="008D5B1C">
              <w:rPr>
                <w:rFonts w:ascii="Times New Roman" w:hAnsi="Times New Roman"/>
                <w:color w:val="auto"/>
                <w:lang w:eastAsia="pl-PL"/>
              </w:rPr>
              <w:t>Współczynnik obciążenia demograficznego osobami starszymi</w:t>
            </w:r>
            <w:r w:rsidRPr="008D5B1C">
              <w:rPr>
                <w:rStyle w:val="Odwoanieprzypisudolnego"/>
                <w:rFonts w:ascii="Times New Roman" w:hAnsi="Times New Roman"/>
                <w:color w:val="auto"/>
                <w:lang w:eastAsia="pl-PL"/>
              </w:rPr>
              <w:footnoteReference w:id="70"/>
            </w:r>
          </w:p>
        </w:tc>
        <w:tc>
          <w:tcPr>
            <w:tcW w:w="3969" w:type="dxa"/>
            <w:gridSpan w:val="3"/>
            <w:shd w:val="clear" w:color="auto" w:fill="FFFFFF" w:themeFill="background1"/>
          </w:tcPr>
          <w:p w14:paraId="19FDA5A0"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24,2</w:t>
            </w:r>
          </w:p>
        </w:tc>
        <w:tc>
          <w:tcPr>
            <w:tcW w:w="3969" w:type="dxa"/>
            <w:gridSpan w:val="3"/>
            <w:shd w:val="clear" w:color="auto" w:fill="FFFFFF" w:themeFill="background1"/>
          </w:tcPr>
          <w:p w14:paraId="32C7B887"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25,3</w:t>
            </w:r>
          </w:p>
        </w:tc>
        <w:tc>
          <w:tcPr>
            <w:tcW w:w="3973" w:type="dxa"/>
            <w:gridSpan w:val="2"/>
            <w:shd w:val="clear" w:color="auto" w:fill="FFFFFF" w:themeFill="background1"/>
          </w:tcPr>
          <w:p w14:paraId="32FEDEDF" w14:textId="77777777" w:rsidR="002F4B08" w:rsidRPr="008126F0" w:rsidRDefault="002F4B0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26,4</w:t>
            </w:r>
          </w:p>
        </w:tc>
      </w:tr>
      <w:tr w:rsidR="00B95608" w:rsidRPr="008126F0" w14:paraId="0F0FCD95"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E0E0AC4" w14:textId="77777777" w:rsidR="002F4B08" w:rsidRPr="008D5B1C" w:rsidRDefault="002F4B08" w:rsidP="00E86509">
            <w:pPr>
              <w:spacing w:after="0" w:line="240" w:lineRule="auto"/>
              <w:rPr>
                <w:rFonts w:ascii="Times New Roman" w:hAnsi="Times New Roman"/>
                <w:color w:val="auto"/>
                <w:lang w:eastAsia="pl-PL"/>
              </w:rPr>
            </w:pPr>
            <w:r w:rsidRPr="008D5B1C">
              <w:rPr>
                <w:rFonts w:ascii="Times New Roman" w:hAnsi="Times New Roman"/>
                <w:color w:val="auto"/>
                <w:lang w:eastAsia="pl-PL"/>
              </w:rPr>
              <w:t>Współczynnik zgonów</w:t>
            </w:r>
          </w:p>
        </w:tc>
        <w:tc>
          <w:tcPr>
            <w:tcW w:w="3969" w:type="dxa"/>
            <w:gridSpan w:val="3"/>
            <w:shd w:val="clear" w:color="auto" w:fill="FFFFFF" w:themeFill="background1"/>
          </w:tcPr>
          <w:p w14:paraId="6BBFD63F"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10,20</w:t>
            </w:r>
          </w:p>
        </w:tc>
        <w:tc>
          <w:tcPr>
            <w:tcW w:w="3969" w:type="dxa"/>
            <w:gridSpan w:val="3"/>
            <w:shd w:val="clear" w:color="auto" w:fill="FFFFFF" w:themeFill="background1"/>
          </w:tcPr>
          <w:p w14:paraId="398B0EF2"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10,88</w:t>
            </w:r>
          </w:p>
        </w:tc>
        <w:tc>
          <w:tcPr>
            <w:tcW w:w="3973" w:type="dxa"/>
            <w:gridSpan w:val="2"/>
            <w:shd w:val="clear" w:color="auto" w:fill="FFFFFF" w:themeFill="background1"/>
          </w:tcPr>
          <w:p w14:paraId="26C92EA9"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10,65</w:t>
            </w:r>
          </w:p>
        </w:tc>
      </w:tr>
      <w:tr w:rsidR="00B95608" w:rsidRPr="008126F0" w14:paraId="1C57B896"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6C4E8BD7" w14:textId="77777777" w:rsidR="002F4B08" w:rsidRPr="008126F0" w:rsidRDefault="002F4B08" w:rsidP="00E86509">
            <w:pPr>
              <w:spacing w:after="0" w:line="240" w:lineRule="auto"/>
              <w:jc w:val="center"/>
              <w:rPr>
                <w:rFonts w:ascii="Times New Roman" w:hAnsi="Times New Roman"/>
                <w:color w:val="auto"/>
              </w:rPr>
            </w:pPr>
            <w:r w:rsidRPr="008126F0">
              <w:rPr>
                <w:rFonts w:ascii="Times New Roman" w:hAnsi="Times New Roman"/>
                <w:color w:val="auto"/>
              </w:rPr>
              <w:t>SYTUACJA RODZINNA I STRUKTURA GOSPODARSTW DOMOWYCH</w:t>
            </w:r>
          </w:p>
        </w:tc>
      </w:tr>
      <w:tr w:rsidR="00B95608" w:rsidRPr="008126F0" w14:paraId="36820EF2"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Pr>
          <w:p w14:paraId="6C51012C" w14:textId="77777777" w:rsidR="002F4B08" w:rsidRPr="008126F0" w:rsidRDefault="002F4B08" w:rsidP="00E86509">
            <w:pPr>
              <w:spacing w:after="0" w:line="240" w:lineRule="auto"/>
              <w:rPr>
                <w:rFonts w:ascii="Times New Roman" w:hAnsi="Times New Roman"/>
                <w:b w:val="0"/>
                <w:color w:val="auto"/>
                <w:shd w:val="clear" w:color="auto" w:fill="FFFFFF"/>
              </w:rPr>
            </w:pPr>
            <w:r w:rsidRPr="008126F0">
              <w:rPr>
                <w:rFonts w:ascii="Times New Roman" w:hAnsi="Times New Roman"/>
                <w:b w:val="0"/>
                <w:color w:val="auto"/>
                <w:shd w:val="clear" w:color="auto" w:fill="FFFFFF"/>
              </w:rPr>
              <w:t xml:space="preserve">Wśród osób starszych, tj. w wieku 60 lat i więcej największą grupę wiekową stanowią osoby w wieku 60-69 lat. W 2019 r. w województwie kujawsko-pomorskim udział tej grupy osób wyniósł 54,9% i w skali roku zmniejszył się o 1,1 p. proc. Natomiast zwiększył się w porównaniu z 2018 r. udział osób w wieku 70-79 lat, </w:t>
            </w:r>
            <w:r w:rsidRPr="008126F0">
              <w:rPr>
                <w:rFonts w:ascii="Times New Roman" w:hAnsi="Times New Roman"/>
                <w:b w:val="0"/>
                <w:color w:val="auto"/>
                <w:shd w:val="clear" w:color="auto" w:fill="FFFFFF"/>
              </w:rPr>
              <w:br/>
              <w:t xml:space="preserve">tj. z 27,7% do 28,9%. Populacja osób w tej grupie wiekowej zwiększyła się o 6,6%. </w:t>
            </w:r>
          </w:p>
          <w:p w14:paraId="7AA6D50A" w14:textId="77777777" w:rsidR="002F4B08" w:rsidRPr="008126F0" w:rsidRDefault="002F4B08" w:rsidP="00E86509">
            <w:pPr>
              <w:spacing w:after="0" w:line="240" w:lineRule="auto"/>
              <w:rPr>
                <w:rFonts w:ascii="Times New Roman" w:hAnsi="Times New Roman"/>
                <w:b w:val="0"/>
                <w:color w:val="auto"/>
                <w:spacing w:val="-4"/>
                <w:shd w:val="clear" w:color="auto" w:fill="FFFFFF"/>
              </w:rPr>
            </w:pPr>
            <w:r w:rsidRPr="008126F0">
              <w:rPr>
                <w:rFonts w:ascii="Times New Roman" w:hAnsi="Times New Roman"/>
                <w:b w:val="0"/>
                <w:color w:val="auto"/>
                <w:shd w:val="clear" w:color="auto" w:fill="FFFFFF"/>
              </w:rPr>
              <w:t xml:space="preserve">Jedną z miar analizy zaawansowania starzenia się ludności jest relacja osób sędziwych </w:t>
            </w:r>
            <w:r w:rsidRPr="008126F0">
              <w:rPr>
                <w:rFonts w:ascii="Times New Roman" w:hAnsi="Times New Roman"/>
                <w:b w:val="0"/>
                <w:color w:val="auto"/>
                <w:spacing w:val="-4"/>
                <w:shd w:val="clear" w:color="auto" w:fill="FFFFFF"/>
              </w:rPr>
              <w:t xml:space="preserve">(w wieku 85 lat i więcej) do populacji osób starszych. W 2019 r. udział ten wyniósł 7,8% (w 2018 r. było to 7,7%). </w:t>
            </w:r>
          </w:p>
          <w:p w14:paraId="6D47DBBD" w14:textId="77777777" w:rsidR="002F4B08" w:rsidRPr="008126F0" w:rsidRDefault="002F4B08" w:rsidP="00E86509">
            <w:pPr>
              <w:spacing w:after="0" w:line="240" w:lineRule="auto"/>
              <w:rPr>
                <w:rFonts w:ascii="Times New Roman" w:hAnsi="Times New Roman"/>
                <w:b w:val="0"/>
                <w:color w:val="auto"/>
              </w:rPr>
            </w:pPr>
            <w:r w:rsidRPr="008126F0">
              <w:rPr>
                <w:rFonts w:ascii="Times New Roman" w:hAnsi="Times New Roman"/>
                <w:b w:val="0"/>
                <w:color w:val="auto"/>
              </w:rPr>
              <w:lastRenderedPageBreak/>
              <w:t xml:space="preserve">Pogorszenie proporcji między najmłodszymi a najstarszymi generacjami odzwierciedla wzrost wartości indeksu starości. Liczba osób w wieku 60 lat i więcej przypadająca na 100 dzieci (w wieku 0–14 lat) zwiększyła się ze 162 osób w 2018 r. do 166 osób w 2019 r. (w kraju liczba ta wyniosła 165).  </w:t>
            </w:r>
          </w:p>
          <w:p w14:paraId="78C5CC48" w14:textId="77777777" w:rsidR="002F4B08" w:rsidRPr="008126F0" w:rsidRDefault="002F4B08" w:rsidP="00E86509">
            <w:pPr>
              <w:spacing w:after="0" w:line="240" w:lineRule="auto"/>
              <w:rPr>
                <w:rFonts w:ascii="Times New Roman" w:hAnsi="Times New Roman"/>
                <w:b w:val="0"/>
                <w:color w:val="auto"/>
              </w:rPr>
            </w:pPr>
            <w:r w:rsidRPr="008126F0">
              <w:rPr>
                <w:rFonts w:ascii="Times New Roman" w:hAnsi="Times New Roman"/>
                <w:b w:val="0"/>
                <w:color w:val="auto"/>
              </w:rPr>
              <w:t xml:space="preserve">Istotne znaczenie w analizie sytuacji osób starszych mają współczynniki określające potencjał opiekuńczy, czyli potencjalne możliwości udzielenia wsparcia osobie starszej przez rodzinę. W 2019 r. w województwie kujawsko-pomorskim przypadało 238 osób w wieku 15-59 lat na 100 osób starszych (w Polsce wyniósł 235). </w:t>
            </w:r>
            <w:r w:rsidRPr="008126F0">
              <w:rPr>
                <w:rFonts w:ascii="Times New Roman" w:hAnsi="Times New Roman"/>
                <w:b w:val="0"/>
                <w:color w:val="auto"/>
              </w:rPr>
              <w:br/>
              <w:t xml:space="preserve">Dla porównania wartość współczynnika potencjalnego wsparcia w 2018 r. wyniosła 247 osób. Oznacza to, że zmniejszają się zasoby opieki nad osobami starszymi przez członków rodzin. </w:t>
            </w:r>
          </w:p>
          <w:p w14:paraId="573AD247" w14:textId="77777777" w:rsidR="002F4B08" w:rsidRPr="008126F0" w:rsidRDefault="002F4B08" w:rsidP="00E86509">
            <w:pPr>
              <w:spacing w:after="0" w:line="240" w:lineRule="auto"/>
              <w:rPr>
                <w:rFonts w:ascii="Times New Roman" w:hAnsi="Times New Roman"/>
                <w:b w:val="0"/>
                <w:color w:val="auto"/>
              </w:rPr>
            </w:pPr>
            <w:r w:rsidRPr="008126F0">
              <w:rPr>
                <w:rFonts w:ascii="Times New Roman" w:hAnsi="Times New Roman"/>
                <w:b w:val="0"/>
                <w:color w:val="auto"/>
              </w:rPr>
              <w:t xml:space="preserve">Kolejny, tzw. współczynnik wsparcia międzypokoleniowego (nazywany również współczynnikiem wsparcia rodziców), wskazuje ile osób w wieku 85 lat i więcej przypada na 100 osób w wieku 50-59 lat. W 2019 r. w województwie kujawsko-pomorskim wyniósł 16 osób na 100 osób w wieku 50-59 lat (w 2018 r. 15 osób; </w:t>
            </w:r>
            <w:r w:rsidRPr="008126F0">
              <w:rPr>
                <w:rFonts w:ascii="Times New Roman" w:hAnsi="Times New Roman"/>
                <w:b w:val="0"/>
                <w:color w:val="auto"/>
              </w:rPr>
              <w:br/>
              <w:t xml:space="preserve">w Polsce w 2019 r. 17 osób). Wraz ze wzrostem tego współczynnika maleją szanse na zapewnienie nieformalnej opieki najstarszym osobom. </w:t>
            </w:r>
          </w:p>
          <w:p w14:paraId="06A1CBD5" w14:textId="77777777" w:rsidR="002F4B08" w:rsidRPr="008126F0" w:rsidRDefault="002F4B08" w:rsidP="00E86509">
            <w:pPr>
              <w:spacing w:after="0" w:line="240" w:lineRule="auto"/>
              <w:rPr>
                <w:rFonts w:ascii="Times New Roman" w:hAnsi="Times New Roman"/>
                <w:b w:val="0"/>
                <w:color w:val="auto"/>
                <w:shd w:val="clear" w:color="auto" w:fill="FFFFFF"/>
              </w:rPr>
            </w:pPr>
            <w:r w:rsidRPr="008126F0">
              <w:rPr>
                <w:rFonts w:ascii="Times New Roman" w:hAnsi="Times New Roman"/>
                <w:b w:val="0"/>
                <w:color w:val="auto"/>
                <w:shd w:val="clear" w:color="auto" w:fill="FFFFFF"/>
              </w:rPr>
              <w:t>Potencjał opiekuńczy określa również współczynnik potencjału pielęgnacyjnego, będący uszczegółowieniem współczynnika wsparcia międzypokoleniowego. W 2019 r. w województwie kujawsko-pomorskim współczynnik ten wyniósł 240 kobiet w wieku 45-59 lat w przeliczeniu na 100 osób w wieku 80 lat i więcej (w 2018 r. wyniósł 244 osoby, a w P</w:t>
            </w:r>
            <w:r w:rsidR="00B95608" w:rsidRPr="008126F0">
              <w:rPr>
                <w:rFonts w:ascii="Times New Roman" w:hAnsi="Times New Roman"/>
                <w:b w:val="0"/>
                <w:color w:val="auto"/>
                <w:shd w:val="clear" w:color="auto" w:fill="FFFFFF"/>
              </w:rPr>
              <w:t>olsce w 2019 r. 217 osób).</w:t>
            </w:r>
          </w:p>
          <w:p w14:paraId="08155C49" w14:textId="77777777" w:rsidR="002F4B08" w:rsidRPr="008126F0" w:rsidRDefault="002F4B08" w:rsidP="00E86509">
            <w:pPr>
              <w:spacing w:after="0" w:line="240" w:lineRule="auto"/>
              <w:rPr>
                <w:rFonts w:ascii="Times New Roman" w:hAnsi="Times New Roman"/>
                <w:b w:val="0"/>
                <w:i/>
                <w:color w:val="auto"/>
                <w:spacing w:val="-2"/>
              </w:rPr>
            </w:pPr>
            <w:r w:rsidRPr="008126F0">
              <w:rPr>
                <w:rFonts w:ascii="Times New Roman" w:hAnsi="Times New Roman"/>
                <w:b w:val="0"/>
                <w:i/>
                <w:color w:val="auto"/>
                <w:shd w:val="clear" w:color="auto" w:fill="FFFFFF"/>
              </w:rPr>
              <w:t xml:space="preserve">Źródło: Informacja o ludności w województwie kujawsko-pomorskim w 2019 r., ze szczególnym uwzględnieniem sytuacji osób starszych, Urząd Statystyczny </w:t>
            </w:r>
            <w:r w:rsidRPr="008126F0">
              <w:rPr>
                <w:rFonts w:ascii="Times New Roman" w:hAnsi="Times New Roman"/>
                <w:b w:val="0"/>
                <w:i/>
                <w:color w:val="auto"/>
                <w:shd w:val="clear" w:color="auto" w:fill="FFFFFF"/>
              </w:rPr>
              <w:br/>
              <w:t>w Bydgoszczy</w:t>
            </w:r>
          </w:p>
        </w:tc>
      </w:tr>
      <w:tr w:rsidR="00B95608" w:rsidRPr="008126F0" w14:paraId="0A29949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Pr>
          <w:p w14:paraId="36843D1F" w14:textId="77777777" w:rsidR="002F4B08" w:rsidRPr="008126F0" w:rsidRDefault="002F4B08" w:rsidP="00E86509">
            <w:pPr>
              <w:spacing w:after="0" w:line="240" w:lineRule="auto"/>
              <w:rPr>
                <w:rFonts w:ascii="Times New Roman" w:hAnsi="Times New Roman"/>
                <w:color w:val="auto"/>
              </w:rPr>
            </w:pPr>
            <w:r w:rsidRPr="008126F0">
              <w:rPr>
                <w:rFonts w:ascii="Times New Roman" w:hAnsi="Times New Roman"/>
                <w:color w:val="auto"/>
              </w:rPr>
              <w:lastRenderedPageBreak/>
              <w:t>SYTUACJA OSÓB NIEPEŁNOSPRAWNYCH I ICH OPIEKUNÓW</w:t>
            </w:r>
          </w:p>
        </w:tc>
      </w:tr>
      <w:tr w:rsidR="00B95608" w:rsidRPr="008126F0" w14:paraId="1F79032A"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Pr>
          <w:p w14:paraId="783760BD" w14:textId="77777777" w:rsidR="002F4B08" w:rsidRPr="008126F0" w:rsidRDefault="002F4B08" w:rsidP="00E86509">
            <w:pPr>
              <w:spacing w:after="0" w:line="240" w:lineRule="auto"/>
              <w:rPr>
                <w:rFonts w:ascii="Times New Roman" w:hAnsi="Times New Roman"/>
                <w:b w:val="0"/>
                <w:color w:val="auto"/>
              </w:rPr>
            </w:pPr>
            <w:r w:rsidRPr="008126F0">
              <w:rPr>
                <w:rFonts w:ascii="Times New Roman" w:hAnsi="Times New Roman"/>
                <w:b w:val="0"/>
                <w:color w:val="auto"/>
              </w:rPr>
              <w:t xml:space="preserve">Osoby ze znacznym stopniem niepełnosprawności wymagają całkowitej opieki i pielęgnacji w związku z niezdolnością do samodzielnej egzystencji, co oznacza niezdolność do zaspokajania podstawowych potrzeb życiowych. Rolą opiekuna tych osób jest stała asystencja i udział we wszystkich czynnościach życiowych, co wymaga na ogół rezygnacji z pracy zawodowej. Zabezpieczenie możliwości prowadzenia gospodarstwa domowego, kontynuacji leczenia i rehabilitacji wymaga nakładów finansowych zagwarantowanych w systemie wsparcia. Liczba orzeczeń wydanych zarówno przez powiatowe zespoły ds. orzekania o niepełnosprawności jak i wojewódzki zespół ds. orzekania o niepełnosprawności w 2019 r. wyniosła ogółem 42.101, z tego dla osób 60+ 20.277 (48% wszystkich wydanych orzeczeń dotyczy osób powyżej 60 roku życia).  </w:t>
            </w:r>
          </w:p>
          <w:p w14:paraId="7F872FB6" w14:textId="77777777" w:rsidR="002F4B08" w:rsidRPr="008126F0" w:rsidRDefault="002F4B08" w:rsidP="00E86509">
            <w:pPr>
              <w:spacing w:after="0" w:line="240" w:lineRule="auto"/>
              <w:rPr>
                <w:rFonts w:ascii="Times New Roman" w:hAnsi="Times New Roman"/>
                <w:b w:val="0"/>
                <w:color w:val="auto"/>
              </w:rPr>
            </w:pPr>
            <w:r w:rsidRPr="008126F0">
              <w:rPr>
                <w:rFonts w:ascii="Times New Roman" w:hAnsi="Times New Roman"/>
                <w:b w:val="0"/>
                <w:color w:val="auto"/>
              </w:rPr>
              <w:t xml:space="preserve">Niezależnie od znacznych ograniczeń istnieją też częściowe ograniczenia, które wymagają współudziału osób drugich w pełnieniu ról życiowych. Obciążenie dla opiekuna w tym przypadku nie jest całkowite, jednak nie mniej uciążliwe i wyczerpujące. Przewidziane prawem różne formy pomocy jak np. opieka wytchnieniowa pozwalają na utrzymanie  potencjału opiekuńczego, chociaż w wielu przypadkach nie zawsze to wystarcza. </w:t>
            </w:r>
          </w:p>
          <w:p w14:paraId="003E5F78" w14:textId="77777777" w:rsidR="002F4B08" w:rsidRPr="008126F0" w:rsidRDefault="002F4B08" w:rsidP="00E86509">
            <w:pPr>
              <w:spacing w:after="0" w:line="240" w:lineRule="auto"/>
              <w:rPr>
                <w:rFonts w:ascii="Times New Roman" w:hAnsi="Times New Roman"/>
                <w:b w:val="0"/>
                <w:color w:val="auto"/>
              </w:rPr>
            </w:pPr>
            <w:r w:rsidRPr="008126F0">
              <w:rPr>
                <w:rFonts w:ascii="Times New Roman" w:hAnsi="Times New Roman"/>
                <w:b w:val="0"/>
                <w:color w:val="auto"/>
              </w:rPr>
              <w:t xml:space="preserve">Wraz z postępującym starzeniem się społeczeństwa problem opieki nad osobami niepełnosprawnymi będzie wymagał uwzględnienia utraty sił przez naturalnych opiekunów. Struktura wiekowa przyczyn niepełnosprawności musi być skorelowana z rozkładem placówek opiekuńczo-rehabilitacyjnych. Dostęp do usług specjalistycznych oraz możliwość skorzystania z rehabilitacji w domu osoby dysfunkcyjnej jest ograniczana zdolnością  finansowania tych usług przez osobę zainteresowaną. Podeszły wiek nie zawsze prowadzi do niepełnosprawności. Naturalne procesy starzenia się mogą być kompensowane różnymi formami aktywizacji. Nie są też zbyt dolegliwe tam, gdzie infrastruktura otoczenia została odpowiednio przystosowana. </w:t>
            </w:r>
          </w:p>
          <w:p w14:paraId="73E125EE" w14:textId="77777777" w:rsidR="002F4B08" w:rsidRPr="008126F0" w:rsidRDefault="002F4B08" w:rsidP="00E86509">
            <w:pPr>
              <w:spacing w:after="0" w:line="240" w:lineRule="auto"/>
              <w:rPr>
                <w:rFonts w:ascii="Times New Roman" w:hAnsi="Times New Roman"/>
                <w:b w:val="0"/>
                <w:i/>
                <w:color w:val="auto"/>
              </w:rPr>
            </w:pPr>
            <w:r w:rsidRPr="008126F0">
              <w:rPr>
                <w:rFonts w:ascii="Times New Roman" w:hAnsi="Times New Roman"/>
                <w:b w:val="0"/>
                <w:i/>
                <w:color w:val="auto"/>
              </w:rPr>
              <w:t>Źródło: opracowanie własne w oparciu o dane statystyczne Wojewódzkiego Zespołu ds. Orzekania o Niepełnosprawności w Bydgoszczy.</w:t>
            </w:r>
          </w:p>
        </w:tc>
      </w:tr>
      <w:tr w:rsidR="00B95608" w:rsidRPr="008126F0" w14:paraId="549A8EA0"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007B331C" w14:textId="77777777" w:rsidR="002F4B08" w:rsidRPr="008126F0" w:rsidRDefault="002F4B08" w:rsidP="00E86509">
            <w:pPr>
              <w:shd w:val="clear" w:color="auto" w:fill="9CC2E5" w:themeFill="accent1" w:themeFillTint="99"/>
              <w:spacing w:after="0" w:line="240" w:lineRule="auto"/>
              <w:jc w:val="center"/>
              <w:rPr>
                <w:rFonts w:ascii="Times New Roman" w:hAnsi="Times New Roman"/>
                <w:color w:val="auto"/>
              </w:rPr>
            </w:pPr>
            <w:r w:rsidRPr="008126F0">
              <w:rPr>
                <w:rFonts w:ascii="Times New Roman" w:hAnsi="Times New Roman"/>
                <w:color w:val="auto"/>
              </w:rPr>
              <w:t>STAN ZDROWIA OSÓB STARSZYCH / INFRASTRUKTURA SŁUŻBY ZDROWIA - DANE ZA 2019 r.</w:t>
            </w:r>
          </w:p>
          <w:p w14:paraId="11646C47" w14:textId="77777777" w:rsidR="002F4B08" w:rsidRPr="008126F0" w:rsidRDefault="002F4B08" w:rsidP="00E86509">
            <w:pPr>
              <w:spacing w:after="0" w:line="240" w:lineRule="auto"/>
              <w:jc w:val="center"/>
              <w:rPr>
                <w:rFonts w:ascii="Times New Roman" w:hAnsi="Times New Roman"/>
                <w:color w:val="auto"/>
              </w:rPr>
            </w:pPr>
            <w:r w:rsidRPr="008126F0">
              <w:rPr>
                <w:rFonts w:ascii="Times New Roman" w:hAnsi="Times New Roman"/>
                <w:b w:val="0"/>
                <w:bCs w:val="0"/>
                <w:i/>
                <w:iCs/>
                <w:color w:val="auto"/>
              </w:rPr>
              <w:t xml:space="preserve">Źródło: Sprawozdania MZ-11 za 2018 r. </w:t>
            </w:r>
            <w:r w:rsidRPr="008126F0">
              <w:rPr>
                <w:rFonts w:ascii="Times New Roman" w:hAnsi="Times New Roman"/>
                <w:b w:val="0"/>
                <w:bCs w:val="0"/>
                <w:color w:val="auto"/>
              </w:rPr>
              <w:t>(dane za 2019 r. są nadal weryfikowane)</w:t>
            </w:r>
          </w:p>
        </w:tc>
      </w:tr>
      <w:tr w:rsidR="00B95608" w:rsidRPr="008126F0" w14:paraId="0189BEBA" w14:textId="77777777" w:rsidTr="00E86509">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85E6342" w14:textId="77777777" w:rsidR="002F4B08" w:rsidRPr="008126F0" w:rsidRDefault="002F4B08" w:rsidP="00E86509">
            <w:pPr>
              <w:spacing w:after="0" w:line="240" w:lineRule="auto"/>
              <w:rPr>
                <w:rFonts w:ascii="Times New Roman" w:hAnsi="Times New Roman"/>
                <w:color w:val="auto"/>
                <w:lang w:eastAsia="pl-PL"/>
              </w:rPr>
            </w:pPr>
            <w:r w:rsidRPr="008126F0">
              <w:rPr>
                <w:rFonts w:ascii="Times New Roman" w:hAnsi="Times New Roman"/>
                <w:color w:val="auto"/>
                <w:lang w:eastAsia="pl-PL"/>
              </w:rPr>
              <w:t xml:space="preserve">Dominujące schorzenia osób starszych </w:t>
            </w:r>
          </w:p>
          <w:p w14:paraId="6812B5F0" w14:textId="011E1040" w:rsidR="002F4B08" w:rsidRPr="008126F0" w:rsidRDefault="002F4B08" w:rsidP="004B7613">
            <w:pPr>
              <w:spacing w:after="0" w:line="240" w:lineRule="auto"/>
              <w:rPr>
                <w:rFonts w:ascii="Times New Roman" w:hAnsi="Times New Roman"/>
                <w:b w:val="0"/>
                <w:color w:val="auto"/>
                <w:lang w:eastAsia="pl-PL"/>
              </w:rPr>
            </w:pPr>
            <w:r w:rsidRPr="008126F0">
              <w:rPr>
                <w:rFonts w:ascii="Times New Roman" w:hAnsi="Times New Roman"/>
                <w:b w:val="0"/>
                <w:bCs w:val="0"/>
                <w:i/>
                <w:iCs/>
                <w:color w:val="auto"/>
              </w:rPr>
              <w:lastRenderedPageBreak/>
              <w:t>Źródło: Sprawozdania MZ-11 za 201</w:t>
            </w:r>
            <w:r w:rsidR="004B7613">
              <w:rPr>
                <w:rFonts w:ascii="Times New Roman" w:hAnsi="Times New Roman"/>
                <w:b w:val="0"/>
                <w:bCs w:val="0"/>
                <w:i/>
                <w:iCs/>
                <w:color w:val="auto"/>
              </w:rPr>
              <w:t>9 r.</w:t>
            </w:r>
          </w:p>
        </w:tc>
        <w:tc>
          <w:tcPr>
            <w:tcW w:w="7938" w:type="dxa"/>
            <w:gridSpan w:val="6"/>
            <w:shd w:val="clear" w:color="auto" w:fill="9CC2E5" w:themeFill="accent1" w:themeFillTint="99"/>
          </w:tcPr>
          <w:p w14:paraId="30DAA5A9"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lastRenderedPageBreak/>
              <w:t>Nazwa</w:t>
            </w:r>
          </w:p>
        </w:tc>
        <w:tc>
          <w:tcPr>
            <w:tcW w:w="3973" w:type="dxa"/>
            <w:gridSpan w:val="2"/>
            <w:shd w:val="clear" w:color="auto" w:fill="9CC2E5" w:themeFill="accent1" w:themeFillTint="99"/>
          </w:tcPr>
          <w:p w14:paraId="4F120655" w14:textId="77777777" w:rsidR="002F4B08" w:rsidRPr="008126F0" w:rsidRDefault="002F4B0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 osób starszych</w:t>
            </w:r>
          </w:p>
        </w:tc>
      </w:tr>
      <w:tr w:rsidR="004B7613" w:rsidRPr="008126F0" w14:paraId="7269DF8B" w14:textId="77777777" w:rsidTr="00E865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1C66A2DD"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2882C218" w14:textId="23388B3D"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B7613">
              <w:rPr>
                <w:rFonts w:ascii="Times New Roman" w:hAnsi="Times New Roman"/>
                <w:b/>
                <w:bCs/>
                <w:color w:val="000000" w:themeColor="text1"/>
                <w:sz w:val="23"/>
                <w:szCs w:val="23"/>
              </w:rPr>
              <w:t>1.</w:t>
            </w:r>
            <w:r w:rsidRPr="00C52B0D">
              <w:rPr>
                <w:rFonts w:ascii="Times New Roman" w:hAnsi="Times New Roman"/>
                <w:bCs/>
                <w:color w:val="000000" w:themeColor="text1"/>
                <w:sz w:val="23"/>
                <w:szCs w:val="23"/>
              </w:rPr>
              <w:t xml:space="preserve"> choroby układu krążenia </w:t>
            </w:r>
            <w:r w:rsidRPr="00C52B0D">
              <w:rPr>
                <w:rFonts w:ascii="Times New Roman" w:hAnsi="Times New Roman"/>
                <w:color w:val="000000" w:themeColor="text1"/>
                <w:sz w:val="23"/>
                <w:szCs w:val="23"/>
              </w:rPr>
              <w:t>(w tym głównie choroba nadciśnieniowa (1</w:t>
            </w:r>
            <w:r>
              <w:rPr>
                <w:rFonts w:ascii="Times New Roman" w:hAnsi="Times New Roman"/>
                <w:color w:val="000000" w:themeColor="text1"/>
                <w:sz w:val="23"/>
                <w:szCs w:val="23"/>
              </w:rPr>
              <w:t>27 363)</w:t>
            </w:r>
            <w:r w:rsidRPr="00C52B0D">
              <w:rPr>
                <w:rFonts w:ascii="Times New Roman" w:hAnsi="Times New Roman"/>
                <w:color w:val="000000" w:themeColor="text1"/>
                <w:sz w:val="23"/>
                <w:szCs w:val="23"/>
              </w:rPr>
              <w:t>, niedokrwienna choroba serca (3</w:t>
            </w:r>
            <w:r>
              <w:rPr>
                <w:rFonts w:ascii="Times New Roman" w:hAnsi="Times New Roman"/>
                <w:color w:val="000000" w:themeColor="text1"/>
                <w:sz w:val="23"/>
                <w:szCs w:val="23"/>
              </w:rPr>
              <w:t>7 196)</w:t>
            </w:r>
            <w:r w:rsidRPr="00C52B0D">
              <w:rPr>
                <w:rFonts w:ascii="Times New Roman" w:hAnsi="Times New Roman"/>
                <w:color w:val="000000" w:themeColor="text1"/>
                <w:sz w:val="23"/>
                <w:szCs w:val="23"/>
              </w:rPr>
              <w:t>)</w:t>
            </w:r>
          </w:p>
        </w:tc>
        <w:tc>
          <w:tcPr>
            <w:tcW w:w="3973" w:type="dxa"/>
            <w:gridSpan w:val="2"/>
            <w:shd w:val="clear" w:color="auto" w:fill="FFFFFF" w:themeFill="background1"/>
            <w:vAlign w:val="center"/>
          </w:tcPr>
          <w:p w14:paraId="3B5CCE7A" w14:textId="4B427954"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03D59">
              <w:rPr>
                <w:rFonts w:ascii="Times New Roman" w:hAnsi="Times New Roman"/>
                <w:color w:val="000000" w:themeColor="text1"/>
                <w:sz w:val="23"/>
                <w:szCs w:val="23"/>
              </w:rPr>
              <w:t>1</w:t>
            </w:r>
            <w:r>
              <w:rPr>
                <w:rFonts w:ascii="Times New Roman" w:hAnsi="Times New Roman"/>
                <w:color w:val="000000" w:themeColor="text1"/>
                <w:sz w:val="23"/>
                <w:szCs w:val="23"/>
              </w:rPr>
              <w:t>78</w:t>
            </w:r>
            <w:r w:rsidRPr="00A03D59">
              <w:rPr>
                <w:rFonts w:ascii="Times New Roman" w:hAnsi="Times New Roman"/>
                <w:color w:val="000000" w:themeColor="text1"/>
                <w:sz w:val="23"/>
                <w:szCs w:val="23"/>
              </w:rPr>
              <w:t xml:space="preserve"> </w:t>
            </w:r>
            <w:r>
              <w:rPr>
                <w:rFonts w:ascii="Times New Roman" w:hAnsi="Times New Roman"/>
                <w:color w:val="000000" w:themeColor="text1"/>
                <w:sz w:val="23"/>
                <w:szCs w:val="23"/>
              </w:rPr>
              <w:t>782</w:t>
            </w:r>
          </w:p>
        </w:tc>
      </w:tr>
      <w:tr w:rsidR="004B7613" w:rsidRPr="008126F0" w14:paraId="5D92328E" w14:textId="77777777" w:rsidTr="00E86509">
        <w:trPr>
          <w:trHeight w:val="28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62B1C916"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97C38EB" w14:textId="50356102"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B7613">
              <w:rPr>
                <w:rFonts w:ascii="Times New Roman" w:hAnsi="Times New Roman"/>
                <w:b/>
                <w:bCs/>
                <w:color w:val="000000" w:themeColor="text1"/>
                <w:sz w:val="23"/>
                <w:szCs w:val="23"/>
              </w:rPr>
              <w:t>2.</w:t>
            </w:r>
            <w:r w:rsidRPr="00C52B0D">
              <w:rPr>
                <w:rFonts w:ascii="Times New Roman" w:hAnsi="Times New Roman"/>
                <w:bCs/>
                <w:color w:val="000000" w:themeColor="text1"/>
                <w:sz w:val="23"/>
                <w:szCs w:val="23"/>
              </w:rPr>
              <w:t xml:space="preserve"> choroby układu mięśniowo-kostnego i tkanki łącznej</w:t>
            </w:r>
          </w:p>
        </w:tc>
        <w:tc>
          <w:tcPr>
            <w:tcW w:w="3973" w:type="dxa"/>
            <w:gridSpan w:val="2"/>
            <w:shd w:val="clear" w:color="auto" w:fill="FFFFFF" w:themeFill="background1"/>
          </w:tcPr>
          <w:p w14:paraId="0DA066BE" w14:textId="2AD76D3C"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000000" w:themeColor="text1"/>
                <w:sz w:val="23"/>
                <w:szCs w:val="23"/>
              </w:rPr>
              <w:t>84</w:t>
            </w:r>
            <w:r w:rsidRPr="00A03D59">
              <w:rPr>
                <w:rFonts w:ascii="Times New Roman" w:hAnsi="Times New Roman"/>
                <w:color w:val="000000" w:themeColor="text1"/>
                <w:sz w:val="23"/>
                <w:szCs w:val="23"/>
              </w:rPr>
              <w:t> </w:t>
            </w:r>
            <w:r>
              <w:rPr>
                <w:rFonts w:ascii="Times New Roman" w:hAnsi="Times New Roman"/>
                <w:color w:val="000000" w:themeColor="text1"/>
                <w:sz w:val="23"/>
                <w:szCs w:val="23"/>
              </w:rPr>
              <w:t>954</w:t>
            </w:r>
          </w:p>
        </w:tc>
      </w:tr>
      <w:tr w:rsidR="004B7613" w:rsidRPr="008126F0" w14:paraId="2BA66416" w14:textId="77777777" w:rsidTr="00E865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4CAA5FE1"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F2D22F7" w14:textId="258652AB"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B7613">
              <w:rPr>
                <w:rFonts w:ascii="Times New Roman" w:hAnsi="Times New Roman"/>
                <w:b/>
                <w:bCs/>
                <w:color w:val="000000" w:themeColor="text1"/>
                <w:sz w:val="23"/>
                <w:szCs w:val="23"/>
              </w:rPr>
              <w:t>3</w:t>
            </w:r>
            <w:r w:rsidRPr="00C52B0D">
              <w:rPr>
                <w:rFonts w:ascii="Times New Roman" w:hAnsi="Times New Roman"/>
                <w:bCs/>
                <w:color w:val="000000" w:themeColor="text1"/>
                <w:sz w:val="23"/>
                <w:szCs w:val="23"/>
              </w:rPr>
              <w:t>. cukrzyca</w:t>
            </w:r>
          </w:p>
        </w:tc>
        <w:tc>
          <w:tcPr>
            <w:tcW w:w="3973" w:type="dxa"/>
            <w:gridSpan w:val="2"/>
            <w:shd w:val="clear" w:color="auto" w:fill="FFFFFF" w:themeFill="background1"/>
          </w:tcPr>
          <w:p w14:paraId="41A32A9B" w14:textId="2D1E229E"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000000" w:themeColor="text1"/>
                <w:sz w:val="23"/>
                <w:szCs w:val="23"/>
              </w:rPr>
              <w:t>51</w:t>
            </w:r>
            <w:r w:rsidRPr="00A03D59">
              <w:rPr>
                <w:rFonts w:ascii="Times New Roman" w:hAnsi="Times New Roman"/>
                <w:color w:val="000000" w:themeColor="text1"/>
                <w:sz w:val="23"/>
                <w:szCs w:val="23"/>
              </w:rPr>
              <w:t> </w:t>
            </w:r>
            <w:r>
              <w:rPr>
                <w:rFonts w:ascii="Times New Roman" w:hAnsi="Times New Roman"/>
                <w:color w:val="000000" w:themeColor="text1"/>
                <w:sz w:val="23"/>
                <w:szCs w:val="23"/>
              </w:rPr>
              <w:t>778</w:t>
            </w:r>
          </w:p>
        </w:tc>
      </w:tr>
      <w:tr w:rsidR="004B7613" w:rsidRPr="008126F0" w14:paraId="6866685A" w14:textId="77777777" w:rsidTr="00E86509">
        <w:trPr>
          <w:trHeight w:val="28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295A696C"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C8B2E60" w14:textId="7822DF96"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B7613">
              <w:rPr>
                <w:rFonts w:ascii="Times New Roman" w:hAnsi="Times New Roman"/>
                <w:b/>
                <w:bCs/>
                <w:color w:val="000000" w:themeColor="text1"/>
                <w:sz w:val="23"/>
                <w:szCs w:val="23"/>
              </w:rPr>
              <w:t>4</w:t>
            </w:r>
            <w:r w:rsidRPr="00C52B0D">
              <w:rPr>
                <w:rFonts w:ascii="Times New Roman" w:hAnsi="Times New Roman"/>
                <w:bCs/>
                <w:color w:val="000000" w:themeColor="text1"/>
                <w:sz w:val="23"/>
                <w:szCs w:val="23"/>
              </w:rPr>
              <w:t>. przewlekłe choroby układu trawiennego</w:t>
            </w:r>
          </w:p>
        </w:tc>
        <w:tc>
          <w:tcPr>
            <w:tcW w:w="3973" w:type="dxa"/>
            <w:gridSpan w:val="2"/>
            <w:shd w:val="clear" w:color="auto" w:fill="FFFFFF" w:themeFill="background1"/>
          </w:tcPr>
          <w:p w14:paraId="527EE00E" w14:textId="6CE875AD"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000000" w:themeColor="text1"/>
                <w:sz w:val="23"/>
                <w:szCs w:val="23"/>
              </w:rPr>
              <w:t>40</w:t>
            </w:r>
            <w:r w:rsidRPr="00A03D59">
              <w:rPr>
                <w:rFonts w:ascii="Times New Roman" w:hAnsi="Times New Roman"/>
                <w:color w:val="000000" w:themeColor="text1"/>
                <w:sz w:val="23"/>
                <w:szCs w:val="23"/>
              </w:rPr>
              <w:t> 4</w:t>
            </w:r>
            <w:r>
              <w:rPr>
                <w:rFonts w:ascii="Times New Roman" w:hAnsi="Times New Roman"/>
                <w:color w:val="000000" w:themeColor="text1"/>
                <w:sz w:val="23"/>
                <w:szCs w:val="23"/>
              </w:rPr>
              <w:t>43</w:t>
            </w:r>
          </w:p>
        </w:tc>
      </w:tr>
      <w:tr w:rsidR="004B7613" w:rsidRPr="008126F0" w14:paraId="7B0BF8B7" w14:textId="77777777" w:rsidTr="00E86509">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3BBE3AC8"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BE1EEB0" w14:textId="2CF7552D"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B7613">
              <w:rPr>
                <w:rFonts w:ascii="Times New Roman" w:hAnsi="Times New Roman"/>
                <w:b/>
                <w:bCs/>
                <w:color w:val="000000" w:themeColor="text1"/>
                <w:sz w:val="23"/>
                <w:szCs w:val="23"/>
              </w:rPr>
              <w:t>5</w:t>
            </w:r>
            <w:r w:rsidRPr="00C52B0D">
              <w:rPr>
                <w:rFonts w:ascii="Times New Roman" w:hAnsi="Times New Roman"/>
                <w:bCs/>
                <w:color w:val="000000" w:themeColor="text1"/>
                <w:sz w:val="23"/>
                <w:szCs w:val="23"/>
              </w:rPr>
              <w:t>. choroby obwodowego układu nerwowego</w:t>
            </w:r>
          </w:p>
        </w:tc>
        <w:tc>
          <w:tcPr>
            <w:tcW w:w="3973" w:type="dxa"/>
            <w:gridSpan w:val="2"/>
            <w:shd w:val="clear" w:color="auto" w:fill="FFFFFF" w:themeFill="background1"/>
          </w:tcPr>
          <w:p w14:paraId="758E9C38" w14:textId="278B6568"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000000" w:themeColor="text1"/>
                <w:sz w:val="23"/>
                <w:szCs w:val="23"/>
              </w:rPr>
              <w:t>29</w:t>
            </w:r>
            <w:r w:rsidRPr="00A03D59">
              <w:rPr>
                <w:rFonts w:ascii="Times New Roman" w:hAnsi="Times New Roman"/>
                <w:color w:val="000000" w:themeColor="text1"/>
                <w:sz w:val="23"/>
                <w:szCs w:val="23"/>
              </w:rPr>
              <w:t> </w:t>
            </w:r>
            <w:r>
              <w:rPr>
                <w:rFonts w:ascii="Times New Roman" w:hAnsi="Times New Roman"/>
                <w:color w:val="000000" w:themeColor="text1"/>
                <w:sz w:val="23"/>
                <w:szCs w:val="23"/>
              </w:rPr>
              <w:t>826</w:t>
            </w:r>
          </w:p>
        </w:tc>
      </w:tr>
      <w:tr w:rsidR="004B7613" w:rsidRPr="008126F0" w14:paraId="1D1D57C0"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55185BC" w14:textId="77777777" w:rsidR="004B7613" w:rsidRPr="008126F0" w:rsidRDefault="004B7613" w:rsidP="004B7613">
            <w:pPr>
              <w:spacing w:after="0" w:line="240" w:lineRule="auto"/>
              <w:rPr>
                <w:rFonts w:ascii="Times New Roman" w:hAnsi="Times New Roman"/>
                <w:b w:val="0"/>
                <w:bCs w:val="0"/>
                <w:color w:val="auto"/>
                <w:lang w:eastAsia="pl-PL"/>
              </w:rPr>
            </w:pPr>
            <w:r w:rsidRPr="008126F0">
              <w:rPr>
                <w:rFonts w:ascii="Times New Roman" w:hAnsi="Times New Roman"/>
                <w:color w:val="auto"/>
                <w:lang w:eastAsia="pl-PL"/>
              </w:rPr>
              <w:t>Liczba osób starszych objętych czynną opieką lekarza POZ</w:t>
            </w:r>
          </w:p>
          <w:p w14:paraId="73843D82" w14:textId="162F21B8" w:rsidR="004B7613" w:rsidRPr="008126F0" w:rsidRDefault="004B7613" w:rsidP="004B7613">
            <w:pPr>
              <w:spacing w:after="0" w:line="240" w:lineRule="auto"/>
              <w:rPr>
                <w:rFonts w:ascii="Times New Roman" w:hAnsi="Times New Roman"/>
                <w:b w:val="0"/>
                <w:color w:val="auto"/>
                <w:lang w:eastAsia="pl-PL"/>
              </w:rPr>
            </w:pPr>
            <w:r w:rsidRPr="008126F0">
              <w:rPr>
                <w:rFonts w:ascii="Times New Roman" w:hAnsi="Times New Roman"/>
                <w:b w:val="0"/>
                <w:bCs w:val="0"/>
                <w:i/>
                <w:iCs/>
                <w:color w:val="auto"/>
              </w:rPr>
              <w:t>Źró</w:t>
            </w:r>
            <w:r>
              <w:rPr>
                <w:rFonts w:ascii="Times New Roman" w:hAnsi="Times New Roman"/>
                <w:b w:val="0"/>
                <w:bCs w:val="0"/>
                <w:i/>
                <w:iCs/>
                <w:color w:val="auto"/>
              </w:rPr>
              <w:t>dło: Sprawozdania MZ-11 za 2019 r.</w:t>
            </w:r>
          </w:p>
        </w:tc>
        <w:tc>
          <w:tcPr>
            <w:tcW w:w="11911" w:type="dxa"/>
            <w:gridSpan w:val="8"/>
            <w:shd w:val="clear" w:color="auto" w:fill="FFFFFF" w:themeFill="background1"/>
            <w:vAlign w:val="center"/>
          </w:tcPr>
          <w:p w14:paraId="3338979E" w14:textId="6B194EA1"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52B0D">
              <w:rPr>
                <w:rFonts w:ascii="Times New Roman" w:hAnsi="Times New Roman"/>
                <w:bCs/>
                <w:color w:val="000000" w:themeColor="text1"/>
                <w:sz w:val="23"/>
                <w:szCs w:val="23"/>
              </w:rPr>
              <w:t>2</w:t>
            </w:r>
            <w:r>
              <w:rPr>
                <w:rFonts w:ascii="Times New Roman" w:hAnsi="Times New Roman"/>
                <w:bCs/>
                <w:color w:val="000000" w:themeColor="text1"/>
                <w:sz w:val="23"/>
                <w:szCs w:val="23"/>
              </w:rPr>
              <w:t>61</w:t>
            </w:r>
            <w:r w:rsidRPr="00C52B0D">
              <w:rPr>
                <w:rFonts w:ascii="Times New Roman" w:hAnsi="Times New Roman"/>
                <w:bCs/>
                <w:color w:val="000000" w:themeColor="text1"/>
                <w:sz w:val="23"/>
                <w:szCs w:val="23"/>
              </w:rPr>
              <w:t> </w:t>
            </w:r>
            <w:r>
              <w:rPr>
                <w:rFonts w:ascii="Times New Roman" w:hAnsi="Times New Roman"/>
                <w:bCs/>
                <w:color w:val="000000" w:themeColor="text1"/>
                <w:sz w:val="23"/>
                <w:szCs w:val="23"/>
              </w:rPr>
              <w:t>846</w:t>
            </w:r>
            <w:r w:rsidRPr="00C52B0D">
              <w:rPr>
                <w:rFonts w:ascii="Times New Roman" w:hAnsi="Times New Roman"/>
                <w:bCs/>
                <w:color w:val="000000" w:themeColor="text1"/>
                <w:sz w:val="23"/>
                <w:szCs w:val="23"/>
              </w:rPr>
              <w:t xml:space="preserve"> osób w wieku 65 lat</w:t>
            </w:r>
            <w:r>
              <w:rPr>
                <w:rFonts w:ascii="Times New Roman" w:hAnsi="Times New Roman"/>
                <w:color w:val="000000" w:themeColor="text1"/>
                <w:sz w:val="23"/>
                <w:szCs w:val="23"/>
              </w:rPr>
              <w:t xml:space="preserve"> i więcej w 2019</w:t>
            </w:r>
            <w:r w:rsidRPr="00C52B0D">
              <w:rPr>
                <w:rFonts w:ascii="Times New Roman" w:hAnsi="Times New Roman"/>
                <w:color w:val="000000" w:themeColor="text1"/>
                <w:sz w:val="23"/>
                <w:szCs w:val="23"/>
              </w:rPr>
              <w:t xml:space="preserve"> r.</w:t>
            </w:r>
          </w:p>
        </w:tc>
      </w:tr>
      <w:tr w:rsidR="004B7613" w:rsidRPr="008126F0" w14:paraId="25977E2D" w14:textId="77777777" w:rsidTr="00E8650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9BC21F1" w14:textId="77777777" w:rsidR="004B7613" w:rsidRPr="008126F0" w:rsidRDefault="004B7613" w:rsidP="004B7613">
            <w:pPr>
              <w:spacing w:after="0" w:line="240" w:lineRule="auto"/>
              <w:rPr>
                <w:rFonts w:ascii="Times New Roman" w:hAnsi="Times New Roman"/>
                <w:b w:val="0"/>
                <w:bCs w:val="0"/>
                <w:color w:val="auto"/>
                <w:lang w:eastAsia="pl-PL"/>
              </w:rPr>
            </w:pPr>
            <w:r w:rsidRPr="008126F0">
              <w:rPr>
                <w:rFonts w:ascii="Times New Roman" w:hAnsi="Times New Roman"/>
                <w:color w:val="auto"/>
                <w:lang w:eastAsia="pl-PL"/>
              </w:rPr>
              <w:t>Najczęstsze przyczyny hospitalizacji osób starszych według poszczególnych schorzeń</w:t>
            </w:r>
          </w:p>
          <w:p w14:paraId="116ECF14" w14:textId="77777777" w:rsidR="004B7613" w:rsidRPr="008126F0" w:rsidRDefault="004B7613" w:rsidP="004B7613">
            <w:pPr>
              <w:spacing w:after="0" w:line="240" w:lineRule="auto"/>
              <w:rPr>
                <w:rFonts w:ascii="Times New Roman" w:hAnsi="Times New Roman"/>
                <w:b w:val="0"/>
                <w:color w:val="auto"/>
                <w:lang w:eastAsia="pl-PL"/>
              </w:rPr>
            </w:pPr>
            <w:r w:rsidRPr="008126F0">
              <w:rPr>
                <w:rFonts w:ascii="Times New Roman" w:hAnsi="Times New Roman"/>
                <w:b w:val="0"/>
                <w:bCs w:val="0"/>
                <w:i/>
                <w:iCs/>
                <w:color w:val="auto"/>
              </w:rPr>
              <w:t>Źródło: Sprawozdania MZ/Szp-11 za 2018 r</w:t>
            </w:r>
          </w:p>
        </w:tc>
        <w:tc>
          <w:tcPr>
            <w:tcW w:w="7938" w:type="dxa"/>
            <w:gridSpan w:val="6"/>
            <w:shd w:val="clear" w:color="auto" w:fill="9CC2E5" w:themeFill="accent1" w:themeFillTint="99"/>
          </w:tcPr>
          <w:p w14:paraId="630AF267"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p>
          <w:p w14:paraId="360245D7"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Przyczyna hospitalizacji w 2018 r.</w:t>
            </w:r>
          </w:p>
          <w:p w14:paraId="103E1C94"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p>
        </w:tc>
        <w:tc>
          <w:tcPr>
            <w:tcW w:w="3973" w:type="dxa"/>
            <w:gridSpan w:val="2"/>
            <w:shd w:val="clear" w:color="auto" w:fill="9CC2E5" w:themeFill="accent1" w:themeFillTint="99"/>
            <w:vAlign w:val="center"/>
          </w:tcPr>
          <w:p w14:paraId="39DB1A94"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 osób starszych</w:t>
            </w:r>
          </w:p>
        </w:tc>
      </w:tr>
      <w:tr w:rsidR="004B7613" w:rsidRPr="008126F0" w14:paraId="601F44BF" w14:textId="77777777" w:rsidTr="00E86509">
        <w:trPr>
          <w:trHeight w:val="297"/>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FD05918"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6F6B1E8"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b/>
                <w:bCs/>
                <w:color w:val="auto"/>
              </w:rPr>
              <w:t>1.</w:t>
            </w:r>
            <w:r w:rsidRPr="008126F0">
              <w:rPr>
                <w:rFonts w:ascii="Times New Roman" w:hAnsi="Times New Roman"/>
                <w:bCs/>
                <w:color w:val="auto"/>
              </w:rPr>
              <w:t xml:space="preserve"> niewydolność serca (I50)</w:t>
            </w:r>
          </w:p>
        </w:tc>
        <w:tc>
          <w:tcPr>
            <w:tcW w:w="3973" w:type="dxa"/>
            <w:gridSpan w:val="2"/>
            <w:shd w:val="clear" w:color="auto" w:fill="FFFFFF" w:themeFill="background1"/>
            <w:vAlign w:val="center"/>
          </w:tcPr>
          <w:p w14:paraId="3113CFFF"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10 659</w:t>
            </w:r>
          </w:p>
        </w:tc>
      </w:tr>
      <w:tr w:rsidR="004B7613" w:rsidRPr="008126F0" w14:paraId="3AEEC8A6"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A9D4ECC"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FE4A1CD"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b/>
                <w:bCs/>
                <w:color w:val="auto"/>
              </w:rPr>
              <w:t>2</w:t>
            </w:r>
            <w:r w:rsidRPr="008126F0">
              <w:rPr>
                <w:rFonts w:ascii="Times New Roman" w:hAnsi="Times New Roman"/>
                <w:bCs/>
                <w:color w:val="auto"/>
              </w:rPr>
              <w:t>. przewlekła choroba niedokrwienna serca (I25)</w:t>
            </w:r>
          </w:p>
        </w:tc>
        <w:tc>
          <w:tcPr>
            <w:tcW w:w="3973" w:type="dxa"/>
            <w:gridSpan w:val="2"/>
            <w:shd w:val="clear" w:color="auto" w:fill="FFFFFF" w:themeFill="background1"/>
            <w:vAlign w:val="center"/>
          </w:tcPr>
          <w:p w14:paraId="3120306E"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3 828</w:t>
            </w:r>
          </w:p>
        </w:tc>
      </w:tr>
      <w:tr w:rsidR="004B7613" w:rsidRPr="008126F0" w14:paraId="22DC1DF5" w14:textId="77777777" w:rsidTr="00E86509">
        <w:trPr>
          <w:trHeight w:val="285"/>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594563A"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6BCEBAD"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b/>
                <w:bCs/>
                <w:color w:val="auto"/>
              </w:rPr>
              <w:t>3.</w:t>
            </w:r>
            <w:r w:rsidRPr="008126F0">
              <w:rPr>
                <w:rFonts w:ascii="Times New Roman" w:hAnsi="Times New Roman"/>
                <w:bCs/>
                <w:color w:val="auto"/>
              </w:rPr>
              <w:t xml:space="preserve"> ostry zawał serca (I21)</w:t>
            </w:r>
          </w:p>
        </w:tc>
        <w:tc>
          <w:tcPr>
            <w:tcW w:w="3973" w:type="dxa"/>
            <w:gridSpan w:val="2"/>
            <w:shd w:val="clear" w:color="auto" w:fill="FFFFFF" w:themeFill="background1"/>
            <w:vAlign w:val="center"/>
          </w:tcPr>
          <w:p w14:paraId="28AA2863"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3 676</w:t>
            </w:r>
          </w:p>
        </w:tc>
      </w:tr>
      <w:tr w:rsidR="004B7613" w:rsidRPr="008126F0" w14:paraId="728F8192"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175F81F"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5BCBF56"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b/>
                <w:bCs/>
                <w:color w:val="auto"/>
              </w:rPr>
              <w:t>4.</w:t>
            </w:r>
            <w:r w:rsidRPr="008126F0">
              <w:rPr>
                <w:rFonts w:ascii="Times New Roman" w:hAnsi="Times New Roman"/>
                <w:bCs/>
                <w:color w:val="auto"/>
              </w:rPr>
              <w:t xml:space="preserve"> zawał mózgu (I63)</w:t>
            </w:r>
          </w:p>
        </w:tc>
        <w:tc>
          <w:tcPr>
            <w:tcW w:w="3973" w:type="dxa"/>
            <w:gridSpan w:val="2"/>
            <w:shd w:val="clear" w:color="auto" w:fill="FFFFFF" w:themeFill="background1"/>
            <w:vAlign w:val="center"/>
          </w:tcPr>
          <w:p w14:paraId="45052CAB"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2 945</w:t>
            </w:r>
          </w:p>
        </w:tc>
      </w:tr>
      <w:tr w:rsidR="004B7613" w:rsidRPr="008126F0" w14:paraId="1B52669F" w14:textId="77777777" w:rsidTr="00E86509">
        <w:trPr>
          <w:trHeight w:val="285"/>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66ABBFF"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7BAE626"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8126F0">
              <w:rPr>
                <w:rFonts w:ascii="Times New Roman" w:hAnsi="Times New Roman"/>
                <w:b/>
                <w:bCs/>
                <w:color w:val="auto"/>
              </w:rPr>
              <w:t>5.</w:t>
            </w:r>
            <w:r w:rsidRPr="008126F0">
              <w:rPr>
                <w:rFonts w:ascii="Times New Roman" w:hAnsi="Times New Roman"/>
                <w:bCs/>
                <w:color w:val="auto"/>
              </w:rPr>
              <w:t xml:space="preserve"> migotanie i trzepotanie przedsionków (I48)</w:t>
            </w:r>
          </w:p>
        </w:tc>
        <w:tc>
          <w:tcPr>
            <w:tcW w:w="3973" w:type="dxa"/>
            <w:gridSpan w:val="2"/>
            <w:shd w:val="clear" w:color="auto" w:fill="FFFFFF" w:themeFill="background1"/>
            <w:vAlign w:val="center"/>
          </w:tcPr>
          <w:p w14:paraId="681C28B4"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2 926</w:t>
            </w:r>
          </w:p>
        </w:tc>
      </w:tr>
      <w:tr w:rsidR="004B7613" w:rsidRPr="008126F0" w14:paraId="6D7B5DCC" w14:textId="77777777" w:rsidTr="00E8650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337A473" w14:textId="77777777" w:rsidR="004B7613" w:rsidRPr="008126F0" w:rsidRDefault="004B7613" w:rsidP="004B7613">
            <w:pPr>
              <w:spacing w:after="0" w:line="240" w:lineRule="auto"/>
              <w:rPr>
                <w:rFonts w:ascii="Times New Roman" w:hAnsi="Times New Roman"/>
                <w:b w:val="0"/>
                <w:bCs w:val="0"/>
                <w:color w:val="auto"/>
                <w:lang w:eastAsia="pl-PL"/>
              </w:rPr>
            </w:pPr>
            <w:r w:rsidRPr="008126F0">
              <w:rPr>
                <w:rFonts w:ascii="Times New Roman" w:hAnsi="Times New Roman"/>
                <w:color w:val="auto"/>
                <w:lang w:eastAsia="pl-PL"/>
              </w:rPr>
              <w:t>Najczęstsze przyczyny hospitalizacji osób starszych według grup chorób</w:t>
            </w:r>
          </w:p>
          <w:p w14:paraId="48AC9C94" w14:textId="77777777" w:rsidR="004B7613" w:rsidRPr="008126F0" w:rsidRDefault="004B7613" w:rsidP="004B7613">
            <w:pPr>
              <w:spacing w:after="0" w:line="240" w:lineRule="auto"/>
              <w:rPr>
                <w:rFonts w:ascii="Times New Roman" w:hAnsi="Times New Roman"/>
                <w:b w:val="0"/>
                <w:bCs w:val="0"/>
                <w:i/>
                <w:iCs/>
                <w:color w:val="auto"/>
              </w:rPr>
            </w:pPr>
            <w:r w:rsidRPr="008126F0">
              <w:rPr>
                <w:rFonts w:ascii="Times New Roman" w:hAnsi="Times New Roman"/>
                <w:b w:val="0"/>
                <w:bCs w:val="0"/>
                <w:i/>
                <w:iCs/>
                <w:color w:val="auto"/>
              </w:rPr>
              <w:t>Źródło: Sprawozdania MZ/Szp-11 za 2018 r</w:t>
            </w:r>
          </w:p>
          <w:p w14:paraId="20FFBA93" w14:textId="77777777" w:rsidR="004B7613" w:rsidRPr="008126F0" w:rsidRDefault="004B7613" w:rsidP="004B7613">
            <w:pPr>
              <w:spacing w:after="0" w:line="240" w:lineRule="auto"/>
              <w:rPr>
                <w:rFonts w:ascii="Times New Roman" w:hAnsi="Times New Roman"/>
                <w:color w:val="auto"/>
                <w:lang w:eastAsia="pl-PL"/>
              </w:rPr>
            </w:pPr>
          </w:p>
        </w:tc>
        <w:tc>
          <w:tcPr>
            <w:tcW w:w="7938" w:type="dxa"/>
            <w:gridSpan w:val="6"/>
            <w:shd w:val="clear" w:color="auto" w:fill="9CC2E5" w:themeFill="accent1" w:themeFillTint="99"/>
          </w:tcPr>
          <w:p w14:paraId="0DA566F5"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p>
          <w:p w14:paraId="1D6B7868"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Przyczyna hospitalizacji w 2018 r.:</w:t>
            </w:r>
          </w:p>
          <w:p w14:paraId="3EF6F87C"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p>
        </w:tc>
        <w:tc>
          <w:tcPr>
            <w:tcW w:w="3973" w:type="dxa"/>
            <w:gridSpan w:val="2"/>
            <w:shd w:val="clear" w:color="auto" w:fill="9CC2E5" w:themeFill="accent1" w:themeFillTint="99"/>
            <w:vAlign w:val="center"/>
          </w:tcPr>
          <w:p w14:paraId="23A78A8F"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 osób starszych</w:t>
            </w:r>
          </w:p>
        </w:tc>
      </w:tr>
      <w:tr w:rsidR="004B7613" w:rsidRPr="008126F0" w14:paraId="6FEC2B5A" w14:textId="77777777" w:rsidTr="00E86509">
        <w:trPr>
          <w:trHeight w:val="297"/>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0CA50C0" w14:textId="77777777" w:rsidR="004B7613" w:rsidRPr="008126F0" w:rsidRDefault="004B7613" w:rsidP="004B7613">
            <w:pPr>
              <w:spacing w:after="0" w:line="240" w:lineRule="auto"/>
              <w:rPr>
                <w:rFonts w:ascii="Times New Roman" w:hAnsi="Times New Roman"/>
                <w:color w:val="auto"/>
                <w:lang w:eastAsia="pl-PL"/>
              </w:rPr>
            </w:pPr>
          </w:p>
        </w:tc>
        <w:tc>
          <w:tcPr>
            <w:tcW w:w="7938" w:type="dxa"/>
            <w:gridSpan w:val="6"/>
            <w:shd w:val="clear" w:color="auto" w:fill="FFFFFF" w:themeFill="background1"/>
          </w:tcPr>
          <w:p w14:paraId="5C88901E"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b/>
                <w:bCs/>
                <w:color w:val="auto"/>
              </w:rPr>
              <w:t>1.</w:t>
            </w:r>
            <w:r w:rsidRPr="008126F0">
              <w:rPr>
                <w:rFonts w:ascii="Times New Roman" w:hAnsi="Times New Roman"/>
                <w:bCs/>
                <w:color w:val="auto"/>
              </w:rPr>
              <w:t xml:space="preserve"> choroby układu krążenia </w:t>
            </w:r>
          </w:p>
        </w:tc>
        <w:tc>
          <w:tcPr>
            <w:tcW w:w="3973" w:type="dxa"/>
            <w:gridSpan w:val="2"/>
            <w:shd w:val="clear" w:color="auto" w:fill="FFFFFF" w:themeFill="background1"/>
          </w:tcPr>
          <w:p w14:paraId="7E0DBBD7"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color w:val="auto"/>
              </w:rPr>
              <w:t>38 561</w:t>
            </w:r>
          </w:p>
        </w:tc>
      </w:tr>
      <w:tr w:rsidR="004B7613" w:rsidRPr="008126F0" w14:paraId="54D15736" w14:textId="77777777" w:rsidTr="00E8650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2480C76" w14:textId="77777777" w:rsidR="004B7613" w:rsidRPr="008126F0" w:rsidRDefault="004B7613" w:rsidP="004B7613">
            <w:pPr>
              <w:spacing w:after="0" w:line="240" w:lineRule="auto"/>
              <w:rPr>
                <w:rFonts w:ascii="Times New Roman" w:hAnsi="Times New Roman"/>
                <w:color w:val="auto"/>
                <w:lang w:eastAsia="pl-PL"/>
              </w:rPr>
            </w:pPr>
          </w:p>
        </w:tc>
        <w:tc>
          <w:tcPr>
            <w:tcW w:w="7938" w:type="dxa"/>
            <w:gridSpan w:val="6"/>
            <w:shd w:val="clear" w:color="auto" w:fill="FFFFFF" w:themeFill="background1"/>
          </w:tcPr>
          <w:p w14:paraId="3112F2F2"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b/>
                <w:bCs/>
                <w:color w:val="auto"/>
              </w:rPr>
              <w:t>2.</w:t>
            </w:r>
            <w:r w:rsidRPr="008126F0">
              <w:rPr>
                <w:rFonts w:ascii="Times New Roman" w:hAnsi="Times New Roman"/>
                <w:bCs/>
                <w:color w:val="auto"/>
              </w:rPr>
              <w:t xml:space="preserve"> nowotwory</w:t>
            </w:r>
          </w:p>
        </w:tc>
        <w:tc>
          <w:tcPr>
            <w:tcW w:w="3973" w:type="dxa"/>
            <w:gridSpan w:val="2"/>
            <w:shd w:val="clear" w:color="auto" w:fill="FFFFFF" w:themeFill="background1"/>
          </w:tcPr>
          <w:p w14:paraId="3EFEECDB"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color w:val="auto"/>
              </w:rPr>
              <w:t>15 890</w:t>
            </w:r>
          </w:p>
        </w:tc>
      </w:tr>
      <w:tr w:rsidR="004B7613" w:rsidRPr="008126F0" w14:paraId="37F0EB24" w14:textId="77777777" w:rsidTr="00E86509">
        <w:trPr>
          <w:trHeight w:val="297"/>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E0BA1A8" w14:textId="77777777" w:rsidR="004B7613" w:rsidRPr="008126F0" w:rsidRDefault="004B7613" w:rsidP="004B7613">
            <w:pPr>
              <w:spacing w:after="0" w:line="240" w:lineRule="auto"/>
              <w:rPr>
                <w:rFonts w:ascii="Times New Roman" w:hAnsi="Times New Roman"/>
                <w:color w:val="auto"/>
                <w:lang w:eastAsia="pl-PL"/>
              </w:rPr>
            </w:pPr>
          </w:p>
        </w:tc>
        <w:tc>
          <w:tcPr>
            <w:tcW w:w="7938" w:type="dxa"/>
            <w:gridSpan w:val="6"/>
            <w:shd w:val="clear" w:color="auto" w:fill="FFFFFF" w:themeFill="background1"/>
          </w:tcPr>
          <w:p w14:paraId="1F45B194"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b/>
                <w:bCs/>
                <w:color w:val="auto"/>
              </w:rPr>
              <w:t>3</w:t>
            </w:r>
            <w:r w:rsidRPr="008126F0">
              <w:rPr>
                <w:rFonts w:ascii="Times New Roman" w:hAnsi="Times New Roman"/>
                <w:bCs/>
                <w:color w:val="auto"/>
              </w:rPr>
              <w:t>. choroby układu trawiennego</w:t>
            </w:r>
          </w:p>
        </w:tc>
        <w:tc>
          <w:tcPr>
            <w:tcW w:w="3973" w:type="dxa"/>
            <w:gridSpan w:val="2"/>
            <w:shd w:val="clear" w:color="auto" w:fill="FFFFFF" w:themeFill="background1"/>
          </w:tcPr>
          <w:p w14:paraId="4FBA44DE"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color w:val="auto"/>
              </w:rPr>
              <w:t>11 885</w:t>
            </w:r>
          </w:p>
        </w:tc>
      </w:tr>
      <w:tr w:rsidR="004B7613" w:rsidRPr="008126F0" w14:paraId="7B753A25" w14:textId="77777777" w:rsidTr="00E86509">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0798C89" w14:textId="77777777" w:rsidR="004B7613" w:rsidRPr="008126F0" w:rsidRDefault="004B7613" w:rsidP="004B7613">
            <w:pPr>
              <w:spacing w:after="0" w:line="240" w:lineRule="auto"/>
              <w:rPr>
                <w:rFonts w:ascii="Times New Roman" w:hAnsi="Times New Roman"/>
                <w:color w:val="auto"/>
                <w:lang w:eastAsia="pl-PL"/>
              </w:rPr>
            </w:pPr>
          </w:p>
        </w:tc>
        <w:tc>
          <w:tcPr>
            <w:tcW w:w="7938" w:type="dxa"/>
            <w:gridSpan w:val="6"/>
            <w:shd w:val="clear" w:color="auto" w:fill="FFFFFF" w:themeFill="background1"/>
          </w:tcPr>
          <w:p w14:paraId="4211300C"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b/>
                <w:bCs/>
                <w:color w:val="auto"/>
              </w:rPr>
              <w:t>4.</w:t>
            </w:r>
            <w:r w:rsidRPr="008126F0">
              <w:rPr>
                <w:rFonts w:ascii="Times New Roman" w:hAnsi="Times New Roman"/>
                <w:bCs/>
                <w:color w:val="auto"/>
              </w:rPr>
              <w:t xml:space="preserve"> choroby układu oddechowego</w:t>
            </w:r>
          </w:p>
        </w:tc>
        <w:tc>
          <w:tcPr>
            <w:tcW w:w="3973" w:type="dxa"/>
            <w:gridSpan w:val="2"/>
            <w:shd w:val="clear" w:color="auto" w:fill="FFFFFF" w:themeFill="background1"/>
          </w:tcPr>
          <w:p w14:paraId="286D12C1"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color w:val="auto"/>
              </w:rPr>
              <w:t>10 541</w:t>
            </w:r>
          </w:p>
        </w:tc>
      </w:tr>
      <w:tr w:rsidR="004B7613" w:rsidRPr="008126F0" w14:paraId="5C375A90" w14:textId="77777777" w:rsidTr="00E86509">
        <w:trPr>
          <w:trHeight w:val="297"/>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B449AF2" w14:textId="77777777" w:rsidR="004B7613" w:rsidRPr="008126F0" w:rsidRDefault="004B7613" w:rsidP="004B7613">
            <w:pPr>
              <w:spacing w:after="0" w:line="240" w:lineRule="auto"/>
              <w:rPr>
                <w:rFonts w:ascii="Times New Roman" w:hAnsi="Times New Roman"/>
                <w:color w:val="auto"/>
                <w:lang w:eastAsia="pl-PL"/>
              </w:rPr>
            </w:pPr>
          </w:p>
        </w:tc>
        <w:tc>
          <w:tcPr>
            <w:tcW w:w="7938" w:type="dxa"/>
            <w:gridSpan w:val="6"/>
            <w:shd w:val="clear" w:color="auto" w:fill="FFFFFF" w:themeFill="background1"/>
          </w:tcPr>
          <w:p w14:paraId="71F91957"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8126F0">
              <w:rPr>
                <w:rFonts w:ascii="Times New Roman" w:hAnsi="Times New Roman"/>
                <w:b/>
                <w:bCs/>
                <w:color w:val="auto"/>
              </w:rPr>
              <w:t>5.</w:t>
            </w:r>
            <w:r w:rsidRPr="008126F0">
              <w:rPr>
                <w:rFonts w:ascii="Times New Roman" w:hAnsi="Times New Roman"/>
                <w:bCs/>
                <w:color w:val="auto"/>
              </w:rPr>
              <w:t xml:space="preserve">  choroby układu moczowo-płciowego</w:t>
            </w:r>
          </w:p>
        </w:tc>
        <w:tc>
          <w:tcPr>
            <w:tcW w:w="3973" w:type="dxa"/>
            <w:gridSpan w:val="2"/>
            <w:shd w:val="clear" w:color="auto" w:fill="FFFFFF" w:themeFill="background1"/>
          </w:tcPr>
          <w:p w14:paraId="7C4E203A"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color w:val="auto"/>
              </w:rPr>
              <w:t>8 382</w:t>
            </w:r>
          </w:p>
        </w:tc>
      </w:tr>
      <w:tr w:rsidR="004B7613" w:rsidRPr="008126F0" w14:paraId="7801BA72" w14:textId="77777777" w:rsidTr="00E86509">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29A2C24" w14:textId="77777777" w:rsidR="004B7613" w:rsidRPr="008126F0" w:rsidRDefault="004B7613" w:rsidP="004B7613">
            <w:pPr>
              <w:spacing w:after="0" w:line="240" w:lineRule="auto"/>
              <w:rPr>
                <w:rFonts w:ascii="Times New Roman" w:hAnsi="Times New Roman"/>
                <w:b w:val="0"/>
                <w:bCs w:val="0"/>
                <w:color w:val="auto"/>
              </w:rPr>
            </w:pPr>
            <w:r w:rsidRPr="008126F0">
              <w:rPr>
                <w:rFonts w:ascii="Times New Roman" w:hAnsi="Times New Roman"/>
                <w:color w:val="auto"/>
                <w:lang w:eastAsia="pl-PL"/>
              </w:rPr>
              <w:t>Infrastruktura służby zdrowia</w:t>
            </w:r>
          </w:p>
        </w:tc>
        <w:tc>
          <w:tcPr>
            <w:tcW w:w="3969" w:type="dxa"/>
            <w:gridSpan w:val="3"/>
            <w:shd w:val="clear" w:color="auto" w:fill="9CC2E5" w:themeFill="accent1" w:themeFillTint="99"/>
            <w:vAlign w:val="center"/>
          </w:tcPr>
          <w:p w14:paraId="7F9C3525"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8126F0">
              <w:rPr>
                <w:rFonts w:ascii="Times New Roman" w:hAnsi="Times New Roman"/>
                <w:b/>
                <w:color w:val="auto"/>
              </w:rPr>
              <w:t>Rodzaj placówki</w:t>
            </w:r>
          </w:p>
        </w:tc>
        <w:tc>
          <w:tcPr>
            <w:tcW w:w="3969" w:type="dxa"/>
            <w:gridSpan w:val="3"/>
            <w:shd w:val="clear" w:color="auto" w:fill="9CC2E5" w:themeFill="accent1" w:themeFillTint="99"/>
            <w:vAlign w:val="center"/>
          </w:tcPr>
          <w:p w14:paraId="26AFC501"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 placówek</w:t>
            </w:r>
          </w:p>
        </w:tc>
        <w:tc>
          <w:tcPr>
            <w:tcW w:w="3973" w:type="dxa"/>
            <w:gridSpan w:val="2"/>
            <w:shd w:val="clear" w:color="auto" w:fill="9CC2E5" w:themeFill="accent1" w:themeFillTint="99"/>
            <w:vAlign w:val="center"/>
          </w:tcPr>
          <w:p w14:paraId="402574E1"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 łóżek dla osób starszych</w:t>
            </w:r>
          </w:p>
        </w:tc>
      </w:tr>
      <w:tr w:rsidR="004B7613" w:rsidRPr="008126F0" w14:paraId="0A6B7630"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55A9807" w14:textId="77777777" w:rsidR="004B7613" w:rsidRPr="008126F0" w:rsidRDefault="004B7613" w:rsidP="004B7613">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2F87450C"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Oddziałów / pododdziałów geriatrycznych</w:t>
            </w:r>
          </w:p>
        </w:tc>
        <w:tc>
          <w:tcPr>
            <w:tcW w:w="3969" w:type="dxa"/>
            <w:gridSpan w:val="3"/>
            <w:shd w:val="clear" w:color="auto" w:fill="FFFFFF" w:themeFill="background1"/>
            <w:vAlign w:val="center"/>
          </w:tcPr>
          <w:p w14:paraId="7370A49D"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w:t>
            </w:r>
          </w:p>
        </w:tc>
        <w:tc>
          <w:tcPr>
            <w:tcW w:w="3973" w:type="dxa"/>
            <w:gridSpan w:val="2"/>
            <w:shd w:val="clear" w:color="auto" w:fill="FFFFFF" w:themeFill="background1"/>
            <w:vAlign w:val="center"/>
          </w:tcPr>
          <w:p w14:paraId="43681146"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61</w:t>
            </w:r>
          </w:p>
        </w:tc>
      </w:tr>
      <w:tr w:rsidR="004B7613" w:rsidRPr="008126F0" w14:paraId="38D4F279"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7A1B50D" w14:textId="77777777" w:rsidR="004B7613" w:rsidRPr="008126F0" w:rsidRDefault="004B7613" w:rsidP="004B7613">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71AB949A"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Poradni geriatrycznych</w:t>
            </w:r>
          </w:p>
        </w:tc>
        <w:tc>
          <w:tcPr>
            <w:tcW w:w="3969" w:type="dxa"/>
            <w:gridSpan w:val="3"/>
            <w:shd w:val="clear" w:color="auto" w:fill="FFFFFF" w:themeFill="background1"/>
          </w:tcPr>
          <w:p w14:paraId="5E70D2D4"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18</w:t>
            </w:r>
          </w:p>
        </w:tc>
        <w:tc>
          <w:tcPr>
            <w:tcW w:w="3973" w:type="dxa"/>
            <w:gridSpan w:val="2"/>
            <w:shd w:val="clear" w:color="auto" w:fill="FFFFFF" w:themeFill="background1"/>
          </w:tcPr>
          <w:p w14:paraId="2954E4A9"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r>
      <w:tr w:rsidR="004B7613" w:rsidRPr="008126F0" w14:paraId="438F8CDA"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C66E5F2" w14:textId="77777777" w:rsidR="004B7613" w:rsidRPr="008126F0" w:rsidRDefault="004B7613" w:rsidP="004B7613">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72905485"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Zakładów opiekuńczo-leczniczych</w:t>
            </w:r>
          </w:p>
        </w:tc>
        <w:tc>
          <w:tcPr>
            <w:tcW w:w="3969" w:type="dxa"/>
            <w:gridSpan w:val="3"/>
            <w:shd w:val="clear" w:color="auto" w:fill="FFFFFF" w:themeFill="background1"/>
          </w:tcPr>
          <w:p w14:paraId="260769D4"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28</w:t>
            </w:r>
          </w:p>
        </w:tc>
        <w:tc>
          <w:tcPr>
            <w:tcW w:w="3973" w:type="dxa"/>
            <w:gridSpan w:val="2"/>
            <w:shd w:val="clear" w:color="auto" w:fill="FFFFFF" w:themeFill="background1"/>
          </w:tcPr>
          <w:p w14:paraId="0573B912"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1 413</w:t>
            </w:r>
          </w:p>
        </w:tc>
      </w:tr>
      <w:tr w:rsidR="004B7613" w:rsidRPr="008126F0" w14:paraId="4C5E0264"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51B7291" w14:textId="77777777" w:rsidR="004B7613" w:rsidRPr="008126F0" w:rsidRDefault="004B7613" w:rsidP="004B7613">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390709AE"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Zakładów pielęgnacyjno-opiekuńczych</w:t>
            </w:r>
          </w:p>
        </w:tc>
        <w:tc>
          <w:tcPr>
            <w:tcW w:w="3969" w:type="dxa"/>
            <w:gridSpan w:val="3"/>
            <w:shd w:val="clear" w:color="auto" w:fill="FFFFFF" w:themeFill="background1"/>
          </w:tcPr>
          <w:p w14:paraId="5E0B2C5B"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9</w:t>
            </w:r>
          </w:p>
        </w:tc>
        <w:tc>
          <w:tcPr>
            <w:tcW w:w="3973" w:type="dxa"/>
            <w:gridSpan w:val="2"/>
            <w:shd w:val="clear" w:color="auto" w:fill="FFFFFF" w:themeFill="background1"/>
          </w:tcPr>
          <w:p w14:paraId="6DB17839"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354</w:t>
            </w:r>
          </w:p>
        </w:tc>
      </w:tr>
      <w:tr w:rsidR="004B7613" w:rsidRPr="008126F0" w14:paraId="5EC9AC8E"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D8E8E85" w14:textId="77777777" w:rsidR="004B7613" w:rsidRPr="008126F0" w:rsidRDefault="004B7613" w:rsidP="004B7613">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70FE5623"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Hospicjów stacjonarnych</w:t>
            </w:r>
          </w:p>
        </w:tc>
        <w:tc>
          <w:tcPr>
            <w:tcW w:w="3969" w:type="dxa"/>
            <w:gridSpan w:val="3"/>
            <w:shd w:val="clear" w:color="auto" w:fill="FFFFFF" w:themeFill="background1"/>
          </w:tcPr>
          <w:p w14:paraId="683B640A"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w:t>
            </w:r>
          </w:p>
        </w:tc>
        <w:tc>
          <w:tcPr>
            <w:tcW w:w="3973" w:type="dxa"/>
            <w:gridSpan w:val="2"/>
            <w:shd w:val="clear" w:color="auto" w:fill="FFFFFF" w:themeFill="background1"/>
          </w:tcPr>
          <w:p w14:paraId="4979C00E"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72</w:t>
            </w:r>
          </w:p>
        </w:tc>
      </w:tr>
      <w:tr w:rsidR="004B7613" w:rsidRPr="008126F0" w14:paraId="7D9E6F5D"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9EDAAC2" w14:textId="77777777" w:rsidR="004B7613" w:rsidRPr="008126F0" w:rsidRDefault="004B7613" w:rsidP="004B7613">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2DBCD940"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Hospicjów domowych</w:t>
            </w:r>
          </w:p>
        </w:tc>
        <w:tc>
          <w:tcPr>
            <w:tcW w:w="3969" w:type="dxa"/>
            <w:gridSpan w:val="3"/>
            <w:shd w:val="clear" w:color="auto" w:fill="FFFFFF" w:themeFill="background1"/>
          </w:tcPr>
          <w:p w14:paraId="40E740FF"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22</w:t>
            </w:r>
          </w:p>
        </w:tc>
        <w:tc>
          <w:tcPr>
            <w:tcW w:w="3973" w:type="dxa"/>
            <w:gridSpan w:val="2"/>
            <w:shd w:val="clear" w:color="auto" w:fill="FFFFFF" w:themeFill="background1"/>
          </w:tcPr>
          <w:p w14:paraId="02B53AD3"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r>
      <w:tr w:rsidR="004B7613" w:rsidRPr="008126F0" w14:paraId="4DB095F9"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2234444" w14:textId="77777777" w:rsidR="004B7613" w:rsidRPr="008126F0" w:rsidRDefault="004B7613" w:rsidP="004B7613">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5DFEAA76"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Oddziałów opieki paliatywnej</w:t>
            </w:r>
          </w:p>
        </w:tc>
        <w:tc>
          <w:tcPr>
            <w:tcW w:w="3969" w:type="dxa"/>
            <w:gridSpan w:val="3"/>
            <w:shd w:val="clear" w:color="auto" w:fill="FFFFFF" w:themeFill="background1"/>
          </w:tcPr>
          <w:p w14:paraId="0DDE4ED5"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7</w:t>
            </w:r>
          </w:p>
        </w:tc>
        <w:tc>
          <w:tcPr>
            <w:tcW w:w="3973" w:type="dxa"/>
            <w:gridSpan w:val="2"/>
            <w:shd w:val="clear" w:color="auto" w:fill="FFFFFF" w:themeFill="background1"/>
          </w:tcPr>
          <w:p w14:paraId="2482EC51"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138</w:t>
            </w:r>
          </w:p>
        </w:tc>
      </w:tr>
      <w:tr w:rsidR="004B7613" w:rsidRPr="008126F0" w14:paraId="20B9AC7E" w14:textId="77777777" w:rsidTr="00E86509">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A76544B" w14:textId="77777777" w:rsidR="004B7613" w:rsidRPr="008126F0" w:rsidRDefault="004B7613" w:rsidP="004B7613">
            <w:pPr>
              <w:tabs>
                <w:tab w:val="left" w:pos="1206"/>
              </w:tabs>
              <w:spacing w:after="0" w:line="240" w:lineRule="auto"/>
              <w:rPr>
                <w:rFonts w:ascii="Times New Roman" w:hAnsi="Times New Roman"/>
                <w:color w:val="auto"/>
              </w:rPr>
            </w:pPr>
            <w:r w:rsidRPr="008126F0">
              <w:rPr>
                <w:rFonts w:ascii="Times New Roman" w:hAnsi="Times New Roman"/>
                <w:color w:val="auto"/>
              </w:rPr>
              <w:t>Kadry medyczne</w:t>
            </w:r>
          </w:p>
        </w:tc>
        <w:tc>
          <w:tcPr>
            <w:tcW w:w="7938" w:type="dxa"/>
            <w:gridSpan w:val="6"/>
            <w:shd w:val="clear" w:color="auto" w:fill="9CC2E5" w:themeFill="accent1" w:themeFillTint="99"/>
            <w:vAlign w:val="center"/>
          </w:tcPr>
          <w:p w14:paraId="788C64C2" w14:textId="77777777" w:rsidR="004B7613" w:rsidRPr="008126F0" w:rsidRDefault="004B7613" w:rsidP="004B7613">
            <w:pPr>
              <w:tabs>
                <w:tab w:val="left" w:pos="120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Lekarze</w:t>
            </w:r>
          </w:p>
        </w:tc>
        <w:tc>
          <w:tcPr>
            <w:tcW w:w="3973" w:type="dxa"/>
            <w:gridSpan w:val="2"/>
            <w:shd w:val="clear" w:color="auto" w:fill="9CC2E5" w:themeFill="accent1" w:themeFillTint="99"/>
            <w:vAlign w:val="center"/>
          </w:tcPr>
          <w:p w14:paraId="3D026A6D"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 lekarzy</w:t>
            </w:r>
          </w:p>
        </w:tc>
      </w:tr>
      <w:tr w:rsidR="004B7613" w:rsidRPr="008126F0" w14:paraId="3EDAB4C8"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E1B2FE6"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4094107" w14:textId="77777777" w:rsidR="004B7613" w:rsidRPr="008126F0" w:rsidRDefault="004B7613" w:rsidP="004B7613">
            <w:pPr>
              <w:tabs>
                <w:tab w:val="left" w:pos="120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i/>
                <w:iCs/>
                <w:color w:val="auto"/>
              </w:rPr>
            </w:pPr>
            <w:r w:rsidRPr="008126F0">
              <w:rPr>
                <w:rFonts w:ascii="Times New Roman" w:hAnsi="Times New Roman"/>
                <w:color w:val="auto"/>
              </w:rPr>
              <w:t xml:space="preserve">Geriatrzy </w:t>
            </w:r>
            <w:r w:rsidRPr="008126F0">
              <w:rPr>
                <w:rFonts w:ascii="Times New Roman" w:hAnsi="Times New Roman"/>
                <w:i/>
                <w:iCs/>
                <w:color w:val="auto"/>
              </w:rPr>
              <w:t>(Źródło: Sprawozdania MZ-89 za 2019 r.)</w:t>
            </w:r>
          </w:p>
        </w:tc>
        <w:tc>
          <w:tcPr>
            <w:tcW w:w="3973" w:type="dxa"/>
            <w:gridSpan w:val="2"/>
            <w:shd w:val="clear" w:color="auto" w:fill="FFFFFF" w:themeFill="background1"/>
          </w:tcPr>
          <w:p w14:paraId="32108568"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10</w:t>
            </w:r>
          </w:p>
        </w:tc>
      </w:tr>
      <w:tr w:rsidR="004B7613" w:rsidRPr="008126F0" w14:paraId="28869D5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75639DD"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71F6D1FC"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 trakcie specjalizacji z geriatrii</w:t>
            </w:r>
          </w:p>
        </w:tc>
        <w:tc>
          <w:tcPr>
            <w:tcW w:w="3973" w:type="dxa"/>
            <w:gridSpan w:val="2"/>
            <w:shd w:val="clear" w:color="auto" w:fill="FFFFFF" w:themeFill="background1"/>
          </w:tcPr>
          <w:p w14:paraId="24E2B6AC"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14</w:t>
            </w:r>
          </w:p>
        </w:tc>
      </w:tr>
      <w:tr w:rsidR="004B7613" w:rsidRPr="008126F0" w14:paraId="4456EB1A"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F4F80BA"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9CC2E5" w:themeFill="accent1" w:themeFillTint="99"/>
          </w:tcPr>
          <w:p w14:paraId="380A4327"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 xml:space="preserve">Pielęgniarki ze specjalizacją lub ukończonym kursem kwalifikacyjnym </w:t>
            </w:r>
            <w:r w:rsidRPr="008126F0">
              <w:rPr>
                <w:rFonts w:ascii="Times New Roman" w:hAnsi="Times New Roman"/>
                <w:b/>
                <w:color w:val="auto"/>
              </w:rPr>
              <w:br/>
            </w:r>
            <w:r w:rsidRPr="008126F0">
              <w:rPr>
                <w:rFonts w:ascii="Times New Roman" w:hAnsi="Times New Roman"/>
                <w:i/>
                <w:iCs/>
                <w:color w:val="auto"/>
              </w:rPr>
              <w:t xml:space="preserve">(Źródło: Sprawozdania MZ-89 za 2019 r.)     </w:t>
            </w:r>
            <w:r w:rsidRPr="008126F0">
              <w:rPr>
                <w:rFonts w:ascii="Times New Roman" w:hAnsi="Times New Roman"/>
                <w:b/>
                <w:color w:val="auto"/>
              </w:rPr>
              <w:t>w zakresie:</w:t>
            </w:r>
          </w:p>
        </w:tc>
        <w:tc>
          <w:tcPr>
            <w:tcW w:w="3973" w:type="dxa"/>
            <w:gridSpan w:val="2"/>
            <w:shd w:val="clear" w:color="auto" w:fill="9CC2E5" w:themeFill="accent1" w:themeFillTint="99"/>
            <w:vAlign w:val="center"/>
          </w:tcPr>
          <w:p w14:paraId="7CBEF200"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 pielęgniarek</w:t>
            </w:r>
          </w:p>
        </w:tc>
      </w:tr>
      <w:tr w:rsidR="004B7613" w:rsidRPr="008126F0" w14:paraId="76DAD7C7"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5861D16"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516AA43"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Geriatrii</w:t>
            </w:r>
          </w:p>
        </w:tc>
        <w:tc>
          <w:tcPr>
            <w:tcW w:w="3973" w:type="dxa"/>
            <w:gridSpan w:val="2"/>
            <w:shd w:val="clear" w:color="auto" w:fill="FFFFFF" w:themeFill="background1"/>
          </w:tcPr>
          <w:p w14:paraId="218E9AF1"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291</w:t>
            </w:r>
          </w:p>
        </w:tc>
      </w:tr>
      <w:tr w:rsidR="004B7613" w:rsidRPr="008126F0" w14:paraId="5414CB84"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494F164"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20FD6C29"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Opieki długoterminowej</w:t>
            </w:r>
          </w:p>
        </w:tc>
        <w:tc>
          <w:tcPr>
            <w:tcW w:w="3973" w:type="dxa"/>
            <w:gridSpan w:val="2"/>
            <w:shd w:val="clear" w:color="auto" w:fill="FFFFFF" w:themeFill="background1"/>
          </w:tcPr>
          <w:p w14:paraId="352B2AC6"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418</w:t>
            </w:r>
          </w:p>
        </w:tc>
      </w:tr>
      <w:tr w:rsidR="004B7613" w:rsidRPr="008126F0" w14:paraId="4035B9F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CD05BC6"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205D8616"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Opieki paliatywnej</w:t>
            </w:r>
          </w:p>
        </w:tc>
        <w:tc>
          <w:tcPr>
            <w:tcW w:w="3973" w:type="dxa"/>
            <w:gridSpan w:val="2"/>
            <w:shd w:val="clear" w:color="auto" w:fill="FFFFFF" w:themeFill="background1"/>
          </w:tcPr>
          <w:p w14:paraId="3EEDB496"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199</w:t>
            </w:r>
          </w:p>
        </w:tc>
      </w:tr>
      <w:tr w:rsidR="004B7613" w:rsidRPr="008126F0" w14:paraId="5A05C7A3" w14:textId="77777777" w:rsidTr="00E86509">
        <w:trPr>
          <w:trHeight w:val="5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82CA3B4" w14:textId="77777777" w:rsidR="004B7613" w:rsidRPr="008126F0" w:rsidRDefault="004B7613" w:rsidP="004B7613">
            <w:pPr>
              <w:spacing w:after="0" w:line="240" w:lineRule="auto"/>
              <w:rPr>
                <w:rFonts w:ascii="Times New Roman" w:hAnsi="Times New Roman"/>
                <w:b w:val="0"/>
                <w:bCs w:val="0"/>
                <w:color w:val="auto"/>
                <w:lang w:eastAsia="pl-PL"/>
              </w:rPr>
            </w:pPr>
            <w:r w:rsidRPr="008126F0">
              <w:rPr>
                <w:rFonts w:ascii="Times New Roman" w:hAnsi="Times New Roman"/>
                <w:color w:val="auto"/>
                <w:lang w:eastAsia="pl-PL"/>
              </w:rPr>
              <w:t xml:space="preserve">Najczęstsze przyczyny zgonów osób starszych w 2018 r. </w:t>
            </w:r>
          </w:p>
          <w:p w14:paraId="13912236" w14:textId="77777777" w:rsidR="004B7613" w:rsidRPr="008126F0" w:rsidRDefault="004B7613" w:rsidP="004B7613">
            <w:pPr>
              <w:spacing w:after="0" w:line="240" w:lineRule="auto"/>
              <w:rPr>
                <w:rFonts w:ascii="Times New Roman" w:hAnsi="Times New Roman"/>
                <w:b w:val="0"/>
                <w:color w:val="auto"/>
                <w:highlight w:val="yellow"/>
                <w:lang w:eastAsia="pl-PL"/>
              </w:rPr>
            </w:pPr>
            <w:r w:rsidRPr="008126F0">
              <w:rPr>
                <w:rFonts w:ascii="Times New Roman" w:hAnsi="Times New Roman"/>
                <w:b w:val="0"/>
                <w:bCs w:val="0"/>
                <w:i/>
                <w:iCs/>
                <w:color w:val="auto"/>
              </w:rPr>
              <w:t>(Źródło: GUS, Baza Demografia – dane pobrane 18-02-2020)</w:t>
            </w:r>
          </w:p>
        </w:tc>
        <w:tc>
          <w:tcPr>
            <w:tcW w:w="7938" w:type="dxa"/>
            <w:gridSpan w:val="6"/>
            <w:shd w:val="clear" w:color="auto" w:fill="9CC2E5" w:themeFill="accent1" w:themeFillTint="99"/>
            <w:vAlign w:val="center"/>
          </w:tcPr>
          <w:p w14:paraId="41DA21B9"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Nazwa</w:t>
            </w:r>
          </w:p>
        </w:tc>
        <w:tc>
          <w:tcPr>
            <w:tcW w:w="3973" w:type="dxa"/>
            <w:gridSpan w:val="2"/>
            <w:shd w:val="clear" w:color="auto" w:fill="9CC2E5" w:themeFill="accent1" w:themeFillTint="99"/>
            <w:vAlign w:val="center"/>
          </w:tcPr>
          <w:p w14:paraId="684C8135"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 osób starszych</w:t>
            </w:r>
          </w:p>
        </w:tc>
      </w:tr>
      <w:tr w:rsidR="004B7613" w:rsidRPr="008126F0" w14:paraId="1B1660B7"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AC89BF2"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D1363AF" w14:textId="77777777" w:rsidR="004B7613" w:rsidRPr="008126F0" w:rsidRDefault="004B7613" w:rsidP="004B7613">
            <w:pPr>
              <w:pStyle w:val="Akapitzlist"/>
              <w:numPr>
                <w:ilvl w:val="2"/>
                <w:numId w:val="2"/>
              </w:numPr>
              <w:spacing w:after="0" w:line="240" w:lineRule="auto"/>
              <w:ind w:left="165" w:hanging="165"/>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bCs/>
                <w:color w:val="auto"/>
              </w:rPr>
              <w:t>Choroby układu krążenia (I00-I99)</w:t>
            </w:r>
          </w:p>
        </w:tc>
        <w:tc>
          <w:tcPr>
            <w:tcW w:w="3973" w:type="dxa"/>
            <w:gridSpan w:val="2"/>
            <w:shd w:val="clear" w:color="auto" w:fill="FFFFFF" w:themeFill="background1"/>
          </w:tcPr>
          <w:p w14:paraId="1BE42970"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7 083</w:t>
            </w:r>
          </w:p>
        </w:tc>
      </w:tr>
      <w:tr w:rsidR="004B7613" w:rsidRPr="008126F0" w14:paraId="412C7BC6"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4891AB5"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AD25D81" w14:textId="77777777" w:rsidR="004B7613" w:rsidRPr="008126F0" w:rsidRDefault="004B7613" w:rsidP="004B7613">
            <w:pPr>
              <w:pStyle w:val="Akapitzlist"/>
              <w:numPr>
                <w:ilvl w:val="2"/>
                <w:numId w:val="2"/>
              </w:numPr>
              <w:spacing w:after="0" w:line="240" w:lineRule="auto"/>
              <w:ind w:left="165" w:hanging="165"/>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bCs/>
                <w:color w:val="auto"/>
              </w:rPr>
              <w:t>Nowotwory (C00-D48)</w:t>
            </w:r>
          </w:p>
        </w:tc>
        <w:tc>
          <w:tcPr>
            <w:tcW w:w="3973" w:type="dxa"/>
            <w:gridSpan w:val="2"/>
            <w:shd w:val="clear" w:color="auto" w:fill="FFFFFF" w:themeFill="background1"/>
          </w:tcPr>
          <w:p w14:paraId="535A1034"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4 583</w:t>
            </w:r>
          </w:p>
        </w:tc>
      </w:tr>
      <w:tr w:rsidR="004B7613" w:rsidRPr="008126F0" w14:paraId="2485ED0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2952F72"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04A246C" w14:textId="77777777" w:rsidR="004B7613" w:rsidRPr="008126F0" w:rsidRDefault="004B7613" w:rsidP="004B7613">
            <w:pPr>
              <w:pStyle w:val="Akapitzlist"/>
              <w:numPr>
                <w:ilvl w:val="2"/>
                <w:numId w:val="2"/>
              </w:numPr>
              <w:spacing w:after="0" w:line="240" w:lineRule="auto"/>
              <w:ind w:left="165" w:hanging="165"/>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bCs/>
                <w:color w:val="auto"/>
              </w:rPr>
              <w:t>Objawy, cechy chorobowe oraz nieprawidłowe wyniki badań (R00-R99)</w:t>
            </w:r>
          </w:p>
        </w:tc>
        <w:tc>
          <w:tcPr>
            <w:tcW w:w="3973" w:type="dxa"/>
            <w:gridSpan w:val="2"/>
            <w:shd w:val="clear" w:color="auto" w:fill="FFFFFF" w:themeFill="background1"/>
          </w:tcPr>
          <w:p w14:paraId="07640E51"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1 934</w:t>
            </w:r>
          </w:p>
        </w:tc>
      </w:tr>
      <w:tr w:rsidR="004B7613" w:rsidRPr="008126F0" w14:paraId="199D5708"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0E3EB55"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2C7ED08" w14:textId="77777777" w:rsidR="004B7613" w:rsidRPr="008126F0" w:rsidRDefault="004B7613" w:rsidP="004B7613">
            <w:pPr>
              <w:pStyle w:val="Akapitzlist"/>
              <w:numPr>
                <w:ilvl w:val="2"/>
                <w:numId w:val="2"/>
              </w:numPr>
              <w:spacing w:after="0" w:line="240" w:lineRule="auto"/>
              <w:ind w:left="165" w:hanging="165"/>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bCs/>
                <w:color w:val="auto"/>
              </w:rPr>
              <w:t>Choroby układu oddechowego (J00-J99)</w:t>
            </w:r>
          </w:p>
        </w:tc>
        <w:tc>
          <w:tcPr>
            <w:tcW w:w="3973" w:type="dxa"/>
            <w:gridSpan w:val="2"/>
            <w:shd w:val="clear" w:color="auto" w:fill="FFFFFF" w:themeFill="background1"/>
          </w:tcPr>
          <w:p w14:paraId="4ADCF484"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1 247</w:t>
            </w:r>
          </w:p>
        </w:tc>
      </w:tr>
      <w:tr w:rsidR="004B7613" w:rsidRPr="008126F0" w14:paraId="60B4A38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42087AD" w14:textId="77777777" w:rsidR="004B7613" w:rsidRPr="008126F0" w:rsidRDefault="004B7613" w:rsidP="004B7613">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2F01D369" w14:textId="77777777" w:rsidR="004B7613" w:rsidRPr="008126F0" w:rsidRDefault="004B7613" w:rsidP="004B7613">
            <w:pPr>
              <w:pStyle w:val="Akapitzlist"/>
              <w:numPr>
                <w:ilvl w:val="2"/>
                <w:numId w:val="2"/>
              </w:numPr>
              <w:spacing w:after="0" w:line="240" w:lineRule="auto"/>
              <w:ind w:left="165" w:hanging="165"/>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bCs/>
                <w:color w:val="auto"/>
              </w:rPr>
              <w:t>Choroby układu trawiennego (K00-K93)</w:t>
            </w:r>
          </w:p>
        </w:tc>
        <w:tc>
          <w:tcPr>
            <w:tcW w:w="3973" w:type="dxa"/>
            <w:gridSpan w:val="2"/>
            <w:shd w:val="clear" w:color="auto" w:fill="FFFFFF" w:themeFill="background1"/>
          </w:tcPr>
          <w:p w14:paraId="74183BA2"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526</w:t>
            </w:r>
          </w:p>
        </w:tc>
      </w:tr>
      <w:tr w:rsidR="004B7613" w:rsidRPr="008126F0" w14:paraId="6ED857CA" w14:textId="77777777" w:rsidTr="00E86509">
        <w:trPr>
          <w:trHeight w:val="51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CF308B4" w14:textId="77777777" w:rsidR="004B7613" w:rsidRPr="008126F0" w:rsidRDefault="004B7613" w:rsidP="004B7613">
            <w:pPr>
              <w:spacing w:after="0" w:line="240" w:lineRule="auto"/>
              <w:rPr>
                <w:rFonts w:ascii="Times New Roman" w:hAnsi="Times New Roman"/>
                <w:b w:val="0"/>
                <w:color w:val="auto"/>
                <w:lang w:eastAsia="pl-PL"/>
              </w:rPr>
            </w:pPr>
            <w:r w:rsidRPr="008126F0">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shd w:val="clear" w:color="auto" w:fill="FFFFFF" w:themeFill="background1"/>
            <w:vAlign w:val="center"/>
          </w:tcPr>
          <w:p w14:paraId="62A1A8DF"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Niewystarczające zasoby kadrowe</w:t>
            </w:r>
          </w:p>
        </w:tc>
      </w:tr>
      <w:tr w:rsidR="004B7613" w:rsidRPr="008126F0" w14:paraId="6DA4C989" w14:textId="77777777" w:rsidTr="00E8650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CACC5FB" w14:textId="77777777" w:rsidR="004B7613" w:rsidRPr="008126F0" w:rsidRDefault="004B7613" w:rsidP="004B7613">
            <w:pPr>
              <w:spacing w:after="0" w:line="240" w:lineRule="auto"/>
              <w:rPr>
                <w:rFonts w:ascii="Times New Roman" w:hAnsi="Times New Roman"/>
                <w:b w:val="0"/>
                <w:color w:val="auto"/>
                <w:lang w:eastAsia="pl-PL"/>
              </w:rPr>
            </w:pPr>
          </w:p>
        </w:tc>
        <w:tc>
          <w:tcPr>
            <w:tcW w:w="11911" w:type="dxa"/>
            <w:gridSpan w:val="8"/>
            <w:shd w:val="clear" w:color="auto" w:fill="FFFFFF" w:themeFill="background1"/>
            <w:vAlign w:val="center"/>
          </w:tcPr>
          <w:p w14:paraId="0B343A14"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Zbyt mała baza łóżkowa na oddziałach geriatrycznych w stosunku do rzeczywistych potrzeb.</w:t>
            </w:r>
          </w:p>
        </w:tc>
      </w:tr>
      <w:tr w:rsidR="004B7613" w:rsidRPr="008126F0" w14:paraId="17CD5008" w14:textId="77777777" w:rsidTr="00E86509">
        <w:trPr>
          <w:trHeight w:val="51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5D4766B" w14:textId="77777777" w:rsidR="004B7613" w:rsidRPr="008126F0" w:rsidRDefault="004B7613" w:rsidP="004B7613">
            <w:pPr>
              <w:spacing w:after="0" w:line="240" w:lineRule="auto"/>
              <w:rPr>
                <w:rFonts w:ascii="Times New Roman" w:hAnsi="Times New Roman"/>
                <w:b w:val="0"/>
                <w:color w:val="auto"/>
                <w:lang w:eastAsia="pl-PL"/>
              </w:rPr>
            </w:pPr>
          </w:p>
        </w:tc>
        <w:tc>
          <w:tcPr>
            <w:tcW w:w="11911" w:type="dxa"/>
            <w:gridSpan w:val="8"/>
            <w:shd w:val="clear" w:color="auto" w:fill="FFFFFF" w:themeFill="background1"/>
            <w:vAlign w:val="center"/>
          </w:tcPr>
          <w:p w14:paraId="22CFC535"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Zbyt mała ilość miejsc w ZOL-ach i ZPO w stosunku do rzeczywistych potrzeb.</w:t>
            </w:r>
          </w:p>
        </w:tc>
      </w:tr>
      <w:tr w:rsidR="004B7613" w:rsidRPr="008126F0" w14:paraId="76AEFB51"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A840B36" w14:textId="77777777" w:rsidR="004B7613" w:rsidRPr="008126F0" w:rsidRDefault="004B7613" w:rsidP="004B7613">
            <w:pPr>
              <w:spacing w:after="0" w:line="240" w:lineRule="auto"/>
              <w:jc w:val="center"/>
              <w:rPr>
                <w:rFonts w:ascii="Times New Roman" w:hAnsi="Times New Roman"/>
                <w:color w:val="auto"/>
              </w:rPr>
            </w:pPr>
            <w:r w:rsidRPr="008126F0">
              <w:rPr>
                <w:rFonts w:ascii="Times New Roman" w:hAnsi="Times New Roman"/>
                <w:color w:val="auto"/>
                <w:lang w:eastAsia="pl-PL"/>
              </w:rPr>
              <w:t>AKTYWNOŚĆ EKONOMICZNA OSÓB STARSZYCH – DANE ZA 2019 R.</w:t>
            </w:r>
          </w:p>
        </w:tc>
      </w:tr>
      <w:tr w:rsidR="004B7613" w:rsidRPr="008126F0" w14:paraId="5E1EA328"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6799" w:type="dxa"/>
            <w:gridSpan w:val="4"/>
            <w:shd w:val="clear" w:color="auto" w:fill="9CC2E5" w:themeFill="accent1" w:themeFillTint="99"/>
          </w:tcPr>
          <w:p w14:paraId="31EC576D" w14:textId="77777777" w:rsidR="004B7613" w:rsidRPr="008126F0" w:rsidRDefault="004B7613" w:rsidP="004B7613">
            <w:pPr>
              <w:spacing w:after="0" w:line="240" w:lineRule="auto"/>
              <w:jc w:val="center"/>
              <w:rPr>
                <w:rFonts w:ascii="Times New Roman" w:hAnsi="Times New Roman"/>
                <w:color w:val="auto"/>
              </w:rPr>
            </w:pPr>
            <w:r w:rsidRPr="008126F0">
              <w:rPr>
                <w:rFonts w:ascii="Times New Roman" w:hAnsi="Times New Roman"/>
                <w:color w:val="auto"/>
              </w:rPr>
              <w:t>Podział</w:t>
            </w:r>
          </w:p>
        </w:tc>
        <w:tc>
          <w:tcPr>
            <w:tcW w:w="7942" w:type="dxa"/>
            <w:gridSpan w:val="5"/>
            <w:shd w:val="clear" w:color="auto" w:fill="9CC2E5" w:themeFill="accent1" w:themeFillTint="99"/>
          </w:tcPr>
          <w:p w14:paraId="52E2B3F5"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w:t>
            </w:r>
          </w:p>
        </w:tc>
      </w:tr>
      <w:tr w:rsidR="004B7613" w:rsidRPr="008126F0" w14:paraId="564536C2"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866179C" w14:textId="77777777" w:rsidR="004B7613" w:rsidRPr="008126F0" w:rsidRDefault="004B7613" w:rsidP="004B7613">
            <w:pPr>
              <w:spacing w:after="0" w:line="240" w:lineRule="auto"/>
              <w:rPr>
                <w:rFonts w:ascii="Times New Roman" w:hAnsi="Times New Roman"/>
                <w:b w:val="0"/>
                <w:color w:val="auto"/>
                <w:lang w:eastAsia="pl-PL"/>
              </w:rPr>
            </w:pPr>
            <w:r w:rsidRPr="008126F0">
              <w:rPr>
                <w:rFonts w:ascii="Times New Roman" w:hAnsi="Times New Roman"/>
                <w:color w:val="auto"/>
                <w:lang w:eastAsia="pl-PL"/>
              </w:rPr>
              <w:t>Osoby aktywne zawodowo razem (w tys.)</w:t>
            </w:r>
          </w:p>
        </w:tc>
        <w:tc>
          <w:tcPr>
            <w:tcW w:w="3969" w:type="dxa"/>
            <w:gridSpan w:val="3"/>
            <w:shd w:val="clear" w:color="auto" w:fill="FFFFFF" w:themeFill="background1"/>
          </w:tcPr>
          <w:p w14:paraId="5FA4B2F5"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ogółem</w:t>
            </w:r>
          </w:p>
        </w:tc>
        <w:tc>
          <w:tcPr>
            <w:tcW w:w="7942" w:type="dxa"/>
            <w:gridSpan w:val="5"/>
            <w:shd w:val="clear" w:color="auto" w:fill="FFFFFF" w:themeFill="background1"/>
          </w:tcPr>
          <w:p w14:paraId="4C724170"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908</w:t>
            </w:r>
          </w:p>
        </w:tc>
      </w:tr>
      <w:tr w:rsidR="004B7613" w:rsidRPr="008126F0" w14:paraId="404A0EBE"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8529ED9" w14:textId="77777777" w:rsidR="004B7613" w:rsidRPr="008126F0" w:rsidRDefault="004B7613" w:rsidP="004B7613">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54A4B3A9"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 tym w wieku 60+</w:t>
            </w:r>
          </w:p>
        </w:tc>
        <w:tc>
          <w:tcPr>
            <w:tcW w:w="7942" w:type="dxa"/>
            <w:gridSpan w:val="5"/>
            <w:shd w:val="clear" w:color="auto" w:fill="FFFFFF" w:themeFill="background1"/>
          </w:tcPr>
          <w:p w14:paraId="4D8D4983"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67</w:t>
            </w:r>
          </w:p>
        </w:tc>
      </w:tr>
      <w:tr w:rsidR="004B7613" w:rsidRPr="008126F0" w14:paraId="69AB99FA"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42454EE" w14:textId="77777777" w:rsidR="004B7613" w:rsidRPr="008126F0" w:rsidRDefault="004B7613" w:rsidP="004B7613">
            <w:pPr>
              <w:spacing w:after="0" w:line="240" w:lineRule="auto"/>
              <w:rPr>
                <w:rFonts w:ascii="Times New Roman" w:hAnsi="Times New Roman"/>
                <w:b w:val="0"/>
                <w:color w:val="auto"/>
                <w:lang w:eastAsia="pl-PL"/>
              </w:rPr>
            </w:pPr>
            <w:r w:rsidRPr="008126F0">
              <w:rPr>
                <w:rFonts w:ascii="Times New Roman" w:hAnsi="Times New Roman"/>
                <w:color w:val="auto"/>
                <w:lang w:eastAsia="pl-PL"/>
              </w:rPr>
              <w:t xml:space="preserve">Osoby aktywne zawodowo </w:t>
            </w:r>
            <w:r w:rsidRPr="008126F0">
              <w:rPr>
                <w:rFonts w:ascii="Times New Roman" w:hAnsi="Times New Roman"/>
                <w:color w:val="auto"/>
                <w:lang w:eastAsia="pl-PL"/>
              </w:rPr>
              <w:br/>
              <w:t>– pracujący (w tys.)</w:t>
            </w:r>
          </w:p>
        </w:tc>
        <w:tc>
          <w:tcPr>
            <w:tcW w:w="3969" w:type="dxa"/>
            <w:gridSpan w:val="3"/>
            <w:shd w:val="clear" w:color="auto" w:fill="FFFFFF" w:themeFill="background1"/>
          </w:tcPr>
          <w:p w14:paraId="30DB1A5C"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Ogółem</w:t>
            </w:r>
          </w:p>
        </w:tc>
        <w:tc>
          <w:tcPr>
            <w:tcW w:w="7942" w:type="dxa"/>
            <w:gridSpan w:val="5"/>
            <w:shd w:val="clear" w:color="auto" w:fill="FFFFFF" w:themeFill="background1"/>
          </w:tcPr>
          <w:p w14:paraId="608F047A"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872</w:t>
            </w:r>
          </w:p>
        </w:tc>
      </w:tr>
      <w:tr w:rsidR="004B7613" w:rsidRPr="008126F0" w14:paraId="727F4CFD"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73F0DF8" w14:textId="77777777" w:rsidR="004B7613" w:rsidRPr="008126F0" w:rsidRDefault="004B7613" w:rsidP="004B7613">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4907D07D"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 tym w wieku 60+</w:t>
            </w:r>
          </w:p>
        </w:tc>
        <w:tc>
          <w:tcPr>
            <w:tcW w:w="7942" w:type="dxa"/>
            <w:gridSpan w:val="5"/>
            <w:shd w:val="clear" w:color="auto" w:fill="FFFFFF" w:themeFill="background1"/>
          </w:tcPr>
          <w:p w14:paraId="4BD62CBE"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65</w:t>
            </w:r>
          </w:p>
        </w:tc>
      </w:tr>
      <w:tr w:rsidR="004B7613" w:rsidRPr="008126F0" w14:paraId="1DAFFDCB"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8B96931" w14:textId="77777777" w:rsidR="004B7613" w:rsidRPr="008126F0" w:rsidRDefault="004B7613" w:rsidP="004B7613">
            <w:pPr>
              <w:spacing w:after="0" w:line="240" w:lineRule="auto"/>
              <w:rPr>
                <w:rFonts w:ascii="Times New Roman" w:hAnsi="Times New Roman"/>
                <w:b w:val="0"/>
                <w:color w:val="auto"/>
                <w:lang w:eastAsia="pl-PL"/>
              </w:rPr>
            </w:pPr>
            <w:r w:rsidRPr="008126F0">
              <w:rPr>
                <w:rFonts w:ascii="Times New Roman" w:hAnsi="Times New Roman"/>
                <w:color w:val="auto"/>
                <w:lang w:eastAsia="pl-PL"/>
              </w:rPr>
              <w:t>Osoby bierne zawodowo (w tys.)</w:t>
            </w:r>
          </w:p>
        </w:tc>
        <w:tc>
          <w:tcPr>
            <w:tcW w:w="3969" w:type="dxa"/>
            <w:gridSpan w:val="3"/>
            <w:shd w:val="clear" w:color="auto" w:fill="FFFFFF" w:themeFill="background1"/>
          </w:tcPr>
          <w:p w14:paraId="1C054A34"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ogółem</w:t>
            </w:r>
          </w:p>
        </w:tc>
        <w:tc>
          <w:tcPr>
            <w:tcW w:w="7942" w:type="dxa"/>
            <w:gridSpan w:val="5"/>
            <w:shd w:val="clear" w:color="auto" w:fill="FFFFFF" w:themeFill="background1"/>
          </w:tcPr>
          <w:p w14:paraId="11FC78B9"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739</w:t>
            </w:r>
          </w:p>
        </w:tc>
      </w:tr>
      <w:tr w:rsidR="004B7613" w:rsidRPr="008126F0" w14:paraId="227D24A0"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3A80B26" w14:textId="77777777" w:rsidR="004B7613" w:rsidRPr="008126F0" w:rsidRDefault="004B7613" w:rsidP="004B7613">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60C05F55"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 tym w wieku 60+</w:t>
            </w:r>
          </w:p>
        </w:tc>
        <w:tc>
          <w:tcPr>
            <w:tcW w:w="7942" w:type="dxa"/>
            <w:gridSpan w:val="5"/>
            <w:shd w:val="clear" w:color="auto" w:fill="FFFFFF" w:themeFill="background1"/>
          </w:tcPr>
          <w:p w14:paraId="4F16385D"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436</w:t>
            </w:r>
          </w:p>
        </w:tc>
      </w:tr>
      <w:tr w:rsidR="004B7613" w:rsidRPr="008126F0" w14:paraId="2E25C916"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5F2C3A0" w14:textId="77777777" w:rsidR="004B7613" w:rsidRPr="008126F0" w:rsidRDefault="004B7613" w:rsidP="004B7613">
            <w:pPr>
              <w:spacing w:after="0" w:line="240" w:lineRule="auto"/>
              <w:rPr>
                <w:rFonts w:ascii="Times New Roman" w:hAnsi="Times New Roman"/>
                <w:b w:val="0"/>
                <w:color w:val="auto"/>
                <w:lang w:eastAsia="pl-PL"/>
              </w:rPr>
            </w:pPr>
            <w:r w:rsidRPr="008126F0">
              <w:rPr>
                <w:rFonts w:ascii="Times New Roman" w:hAnsi="Times New Roman"/>
                <w:color w:val="auto"/>
                <w:lang w:eastAsia="pl-PL"/>
              </w:rPr>
              <w:lastRenderedPageBreak/>
              <w:t>Współczynnik aktywności zawodowej %</w:t>
            </w:r>
          </w:p>
        </w:tc>
        <w:tc>
          <w:tcPr>
            <w:tcW w:w="3969" w:type="dxa"/>
            <w:gridSpan w:val="3"/>
            <w:shd w:val="clear" w:color="auto" w:fill="FFFFFF" w:themeFill="background1"/>
          </w:tcPr>
          <w:p w14:paraId="3D479F20"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Ogółem</w:t>
            </w:r>
          </w:p>
        </w:tc>
        <w:tc>
          <w:tcPr>
            <w:tcW w:w="7942" w:type="dxa"/>
            <w:gridSpan w:val="5"/>
            <w:shd w:val="clear" w:color="auto" w:fill="FFFFFF" w:themeFill="background1"/>
          </w:tcPr>
          <w:p w14:paraId="7FB06BD5"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55,2</w:t>
            </w:r>
          </w:p>
        </w:tc>
      </w:tr>
      <w:tr w:rsidR="004B7613" w:rsidRPr="008126F0" w14:paraId="1591E1E9"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AA00A75" w14:textId="77777777" w:rsidR="004B7613" w:rsidRPr="008126F0" w:rsidRDefault="004B7613" w:rsidP="004B7613">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68BE36EB"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 tym w wieku 60+</w:t>
            </w:r>
          </w:p>
        </w:tc>
        <w:tc>
          <w:tcPr>
            <w:tcW w:w="7942" w:type="dxa"/>
            <w:gridSpan w:val="5"/>
            <w:shd w:val="clear" w:color="auto" w:fill="FFFFFF" w:themeFill="background1"/>
          </w:tcPr>
          <w:p w14:paraId="644DBE7E"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13,3</w:t>
            </w:r>
          </w:p>
        </w:tc>
      </w:tr>
      <w:tr w:rsidR="004B7613" w:rsidRPr="008126F0" w14:paraId="442422E9" w14:textId="77777777" w:rsidTr="00E8650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8945DF8" w14:textId="77777777" w:rsidR="004B7613" w:rsidRPr="008126F0" w:rsidRDefault="004B7613" w:rsidP="004B7613">
            <w:pPr>
              <w:spacing w:after="0" w:line="240" w:lineRule="auto"/>
              <w:rPr>
                <w:rFonts w:ascii="Times New Roman" w:hAnsi="Times New Roman"/>
                <w:b w:val="0"/>
                <w:color w:val="auto"/>
                <w:lang w:eastAsia="pl-PL"/>
              </w:rPr>
            </w:pPr>
            <w:r w:rsidRPr="008126F0">
              <w:rPr>
                <w:rFonts w:ascii="Times New Roman" w:hAnsi="Times New Roman"/>
                <w:color w:val="auto"/>
                <w:lang w:eastAsia="pl-PL"/>
              </w:rPr>
              <w:t>Wskaźnik zatrudnienia %</w:t>
            </w:r>
          </w:p>
        </w:tc>
        <w:tc>
          <w:tcPr>
            <w:tcW w:w="3969" w:type="dxa"/>
            <w:gridSpan w:val="3"/>
            <w:shd w:val="clear" w:color="auto" w:fill="FFFFFF" w:themeFill="background1"/>
          </w:tcPr>
          <w:p w14:paraId="0EE5C106"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ogółem</w:t>
            </w:r>
          </w:p>
        </w:tc>
        <w:tc>
          <w:tcPr>
            <w:tcW w:w="7942" w:type="dxa"/>
            <w:gridSpan w:val="5"/>
            <w:shd w:val="clear" w:color="auto" w:fill="FFFFFF" w:themeFill="background1"/>
          </w:tcPr>
          <w:p w14:paraId="1F2AB310"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53,0</w:t>
            </w:r>
          </w:p>
        </w:tc>
      </w:tr>
      <w:tr w:rsidR="004B7613" w:rsidRPr="008126F0" w14:paraId="510DE307"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95C2407" w14:textId="77777777" w:rsidR="004B7613" w:rsidRPr="008126F0" w:rsidRDefault="004B7613" w:rsidP="004B7613">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1EDF0327"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 tym w wieku 60+</w:t>
            </w:r>
          </w:p>
        </w:tc>
        <w:tc>
          <w:tcPr>
            <w:tcW w:w="7942" w:type="dxa"/>
            <w:gridSpan w:val="5"/>
            <w:shd w:val="clear" w:color="auto" w:fill="FFFFFF" w:themeFill="background1"/>
          </w:tcPr>
          <w:p w14:paraId="6C88A424"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12,9</w:t>
            </w:r>
          </w:p>
        </w:tc>
      </w:tr>
      <w:tr w:rsidR="004B7613" w:rsidRPr="008126F0" w14:paraId="4F078E4B" w14:textId="77777777" w:rsidTr="00E8650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CCB5764" w14:textId="77777777" w:rsidR="004B7613" w:rsidRPr="008126F0" w:rsidRDefault="004B7613" w:rsidP="004B7613">
            <w:pPr>
              <w:spacing w:after="0" w:line="240" w:lineRule="auto"/>
              <w:rPr>
                <w:rFonts w:ascii="Times New Roman" w:hAnsi="Times New Roman"/>
                <w:b w:val="0"/>
                <w:color w:val="auto"/>
                <w:lang w:eastAsia="pl-PL"/>
              </w:rPr>
            </w:pPr>
            <w:r w:rsidRPr="008126F0">
              <w:rPr>
                <w:rFonts w:ascii="Times New Roman" w:eastAsia="Times New Roman" w:hAnsi="Times New Roman"/>
                <w:color w:val="auto"/>
                <w:lang w:eastAsia="pl-PL"/>
              </w:rPr>
              <w:t xml:space="preserve">Osoby bierne zawodowo  w wieku 60 lat i więcej według wybranych przyczyn bierności </w:t>
            </w:r>
            <w:r w:rsidRPr="008126F0">
              <w:rPr>
                <w:rFonts w:ascii="Times New Roman" w:eastAsia="Times New Roman" w:hAnsi="Times New Roman"/>
                <w:color w:val="auto"/>
                <w:lang w:eastAsia="pl-PL"/>
              </w:rPr>
              <w:br/>
              <w:t>(w tys.)</w:t>
            </w:r>
          </w:p>
        </w:tc>
        <w:tc>
          <w:tcPr>
            <w:tcW w:w="3969" w:type="dxa"/>
            <w:gridSpan w:val="3"/>
            <w:shd w:val="clear" w:color="auto" w:fill="FFFFFF" w:themeFill="background1"/>
          </w:tcPr>
          <w:p w14:paraId="3FE4549F"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ogółem</w:t>
            </w:r>
          </w:p>
        </w:tc>
        <w:tc>
          <w:tcPr>
            <w:tcW w:w="7942" w:type="dxa"/>
            <w:gridSpan w:val="5"/>
            <w:shd w:val="clear" w:color="auto" w:fill="FFFFFF" w:themeFill="background1"/>
          </w:tcPr>
          <w:p w14:paraId="358F2191"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436</w:t>
            </w:r>
          </w:p>
        </w:tc>
      </w:tr>
      <w:tr w:rsidR="004B7613" w:rsidRPr="008126F0" w14:paraId="5CFCBA9C"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FEAAC2F"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18DC7838"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 tym:</w:t>
            </w:r>
          </w:p>
        </w:tc>
      </w:tr>
      <w:tr w:rsidR="004B7613" w:rsidRPr="008126F0" w14:paraId="03167C48"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68FCA56"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35523303"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lang w:eastAsia="pl-PL"/>
              </w:rPr>
            </w:pPr>
            <w:r w:rsidRPr="008126F0">
              <w:rPr>
                <w:rFonts w:ascii="Times New Roman" w:eastAsia="Times New Roman" w:hAnsi="Times New Roman"/>
                <w:color w:val="auto"/>
                <w:lang w:eastAsia="pl-PL"/>
              </w:rPr>
              <w:t>osoby nieposzukujące pracy - razem</w:t>
            </w:r>
          </w:p>
        </w:tc>
        <w:tc>
          <w:tcPr>
            <w:tcW w:w="7942" w:type="dxa"/>
            <w:gridSpan w:val="5"/>
            <w:shd w:val="clear" w:color="auto" w:fill="FFFFFF" w:themeFill="background1"/>
          </w:tcPr>
          <w:p w14:paraId="2D7BD7E7"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436</w:t>
            </w:r>
          </w:p>
        </w:tc>
      </w:tr>
      <w:tr w:rsidR="004B7613" w:rsidRPr="008126F0" w14:paraId="630442C1"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0AA94F3"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7B20E9FF"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eastAsia="Times New Roman" w:hAnsi="Times New Roman"/>
                <w:color w:val="auto"/>
                <w:lang w:eastAsia="pl-PL"/>
              </w:rPr>
              <w:t>osoby nieposzukujące pracy - emerytura</w:t>
            </w:r>
          </w:p>
        </w:tc>
        <w:tc>
          <w:tcPr>
            <w:tcW w:w="7942" w:type="dxa"/>
            <w:gridSpan w:val="5"/>
            <w:shd w:val="clear" w:color="auto" w:fill="FFFFFF" w:themeFill="background1"/>
          </w:tcPr>
          <w:p w14:paraId="38BDC390"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385</w:t>
            </w:r>
          </w:p>
        </w:tc>
      </w:tr>
      <w:tr w:rsidR="004B7613" w:rsidRPr="008126F0" w14:paraId="3AE888BB"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581BEFB"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4D8866FE"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eastAsia="Times New Roman" w:hAnsi="Times New Roman"/>
                <w:color w:val="auto"/>
                <w:lang w:eastAsia="pl-PL"/>
              </w:rPr>
              <w:t>osoby nieposzukujące pracy - choroba, niepełnosprawność</w:t>
            </w:r>
          </w:p>
        </w:tc>
        <w:tc>
          <w:tcPr>
            <w:tcW w:w="7942" w:type="dxa"/>
            <w:gridSpan w:val="5"/>
            <w:shd w:val="clear" w:color="auto" w:fill="FFFFFF" w:themeFill="background1"/>
            <w:vAlign w:val="center"/>
          </w:tcPr>
          <w:p w14:paraId="04E406E1"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31</w:t>
            </w:r>
          </w:p>
        </w:tc>
      </w:tr>
      <w:tr w:rsidR="004B7613" w:rsidRPr="008126F0" w14:paraId="0605706D" w14:textId="77777777" w:rsidTr="00E86509">
        <w:trPr>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5D2411C"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r w:rsidRPr="008126F0">
              <w:rPr>
                <w:rFonts w:ascii="Times New Roman" w:eastAsia="Times New Roman" w:hAnsi="Times New Roman"/>
                <w:color w:val="auto"/>
                <w:lang w:eastAsia="pl-PL"/>
              </w:rPr>
              <w:t>Osoby bezrobotne zarejestrowane w urzędach pracy (w tys.)</w:t>
            </w:r>
          </w:p>
        </w:tc>
        <w:tc>
          <w:tcPr>
            <w:tcW w:w="3969" w:type="dxa"/>
            <w:gridSpan w:val="3"/>
            <w:shd w:val="clear" w:color="auto" w:fill="FFFFFF" w:themeFill="background1"/>
          </w:tcPr>
          <w:p w14:paraId="6E18741C"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ogółem</w:t>
            </w:r>
          </w:p>
        </w:tc>
        <w:tc>
          <w:tcPr>
            <w:tcW w:w="7942" w:type="dxa"/>
            <w:gridSpan w:val="5"/>
            <w:shd w:val="clear" w:color="auto" w:fill="FFFFFF" w:themeFill="background1"/>
          </w:tcPr>
          <w:p w14:paraId="3B2B4511"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64,1</w:t>
            </w:r>
          </w:p>
        </w:tc>
      </w:tr>
      <w:tr w:rsidR="004B7613" w:rsidRPr="008126F0" w14:paraId="38E30C7E"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9B6B182"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0C48CA4"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 tym w wieku 60+</w:t>
            </w:r>
          </w:p>
        </w:tc>
        <w:tc>
          <w:tcPr>
            <w:tcW w:w="7942" w:type="dxa"/>
            <w:gridSpan w:val="5"/>
            <w:shd w:val="clear" w:color="auto" w:fill="FFFFFF" w:themeFill="background1"/>
          </w:tcPr>
          <w:p w14:paraId="5F541CD5"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3,7</w:t>
            </w:r>
          </w:p>
        </w:tc>
      </w:tr>
      <w:tr w:rsidR="004B7613" w:rsidRPr="008126F0" w14:paraId="60B9BB93" w14:textId="77777777" w:rsidTr="00E86509">
        <w:trPr>
          <w:trHeight w:val="191"/>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96313F0"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r w:rsidRPr="008126F0">
              <w:rPr>
                <w:rFonts w:ascii="Times New Roman" w:eastAsia="Times New Roman" w:hAnsi="Times New Roman"/>
                <w:color w:val="auto"/>
                <w:lang w:eastAsia="pl-PL"/>
              </w:rPr>
              <w:t xml:space="preserve">Osoby pobierające renty </w:t>
            </w:r>
            <w:r w:rsidRPr="008126F0">
              <w:rPr>
                <w:rFonts w:ascii="Times New Roman" w:eastAsia="Times New Roman" w:hAnsi="Times New Roman"/>
                <w:color w:val="auto"/>
                <w:lang w:eastAsia="pl-PL"/>
              </w:rPr>
              <w:br/>
              <w:t xml:space="preserve">i emerytury </w:t>
            </w:r>
          </w:p>
        </w:tc>
        <w:tc>
          <w:tcPr>
            <w:tcW w:w="11911" w:type="dxa"/>
            <w:gridSpan w:val="8"/>
            <w:shd w:val="clear" w:color="auto" w:fill="9CC2E5" w:themeFill="accent1" w:themeFillTint="99"/>
          </w:tcPr>
          <w:p w14:paraId="6900DA0B" w14:textId="77777777" w:rsidR="004B7613" w:rsidRPr="008126F0" w:rsidRDefault="004B7613" w:rsidP="004B7613">
            <w:pPr>
              <w:tabs>
                <w:tab w:val="left" w:pos="1725"/>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ZUS</w:t>
            </w:r>
          </w:p>
        </w:tc>
      </w:tr>
      <w:tr w:rsidR="004B7613" w:rsidRPr="008126F0" w14:paraId="61E8F660" w14:textId="77777777" w:rsidTr="00E8650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05DDF9A"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3C57F1AF"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Rodzaj świadczenia</w:t>
            </w:r>
          </w:p>
        </w:tc>
        <w:tc>
          <w:tcPr>
            <w:tcW w:w="7942" w:type="dxa"/>
            <w:gridSpan w:val="5"/>
            <w:shd w:val="clear" w:color="auto" w:fill="9CC2E5" w:themeFill="accent1" w:themeFillTint="99"/>
          </w:tcPr>
          <w:p w14:paraId="14DF9F24"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Przeciętna miesięczna liczba emerytów i rencistów (w tys.)</w:t>
            </w:r>
          </w:p>
        </w:tc>
      </w:tr>
      <w:tr w:rsidR="004B7613" w:rsidRPr="008126F0" w14:paraId="0D72DDE2" w14:textId="77777777" w:rsidTr="00E86509">
        <w:trPr>
          <w:trHeight w:val="143"/>
        </w:trPr>
        <w:tc>
          <w:tcPr>
            <w:cnfStyle w:val="001000000000" w:firstRow="0" w:lastRow="0" w:firstColumn="1" w:lastColumn="0" w:oddVBand="0" w:evenVBand="0" w:oddHBand="0" w:evenHBand="0" w:firstRowFirstColumn="0" w:firstRowLastColumn="0" w:lastRowFirstColumn="0" w:lastRowLastColumn="0"/>
            <w:tcW w:w="2830" w:type="dxa"/>
            <w:vMerge/>
          </w:tcPr>
          <w:p w14:paraId="4140B9F6"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6B2ADA39"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Emerytury</w:t>
            </w:r>
          </w:p>
        </w:tc>
        <w:tc>
          <w:tcPr>
            <w:tcW w:w="7942" w:type="dxa"/>
            <w:gridSpan w:val="5"/>
            <w:shd w:val="clear" w:color="auto" w:fill="FFFFFF" w:themeFill="background1"/>
          </w:tcPr>
          <w:p w14:paraId="66029DF6"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293,4</w:t>
            </w:r>
          </w:p>
        </w:tc>
      </w:tr>
      <w:tr w:rsidR="004B7613" w:rsidRPr="008126F0" w14:paraId="2045B318" w14:textId="77777777" w:rsidTr="00E8650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vMerge/>
          </w:tcPr>
          <w:p w14:paraId="0AB6CFB7"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224B6431"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Renty z tytułu niezdolności do pracy</w:t>
            </w:r>
          </w:p>
        </w:tc>
        <w:tc>
          <w:tcPr>
            <w:tcW w:w="7942" w:type="dxa"/>
            <w:gridSpan w:val="5"/>
            <w:shd w:val="clear" w:color="auto" w:fill="FFFFFF" w:themeFill="background1"/>
          </w:tcPr>
          <w:p w14:paraId="414F74EE"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46,6</w:t>
            </w:r>
          </w:p>
        </w:tc>
      </w:tr>
      <w:tr w:rsidR="004B7613" w:rsidRPr="008126F0" w14:paraId="2282D5B3"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tcPr>
          <w:p w14:paraId="2CF45106"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33D51A96"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Renty rodzinne</w:t>
            </w:r>
          </w:p>
        </w:tc>
        <w:tc>
          <w:tcPr>
            <w:tcW w:w="7942" w:type="dxa"/>
            <w:gridSpan w:val="5"/>
            <w:shd w:val="clear" w:color="auto" w:fill="FFFFFF" w:themeFill="background1"/>
          </w:tcPr>
          <w:p w14:paraId="1169CA4E"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67,7</w:t>
            </w:r>
          </w:p>
        </w:tc>
      </w:tr>
      <w:tr w:rsidR="004B7613" w:rsidRPr="008126F0" w14:paraId="32E803A6"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104CF2D2"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730C1E01" w14:textId="77777777" w:rsidR="004B7613" w:rsidRPr="008126F0" w:rsidRDefault="004B7613" w:rsidP="004B7613">
            <w:pPr>
              <w:tabs>
                <w:tab w:val="left" w:pos="1507"/>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KRUS</w:t>
            </w:r>
          </w:p>
        </w:tc>
      </w:tr>
      <w:tr w:rsidR="004B7613" w:rsidRPr="008126F0" w14:paraId="6AB0CB2A" w14:textId="77777777" w:rsidTr="00E86509">
        <w:trPr>
          <w:trHeight w:val="81"/>
        </w:trPr>
        <w:tc>
          <w:tcPr>
            <w:cnfStyle w:val="001000000000" w:firstRow="0" w:lastRow="0" w:firstColumn="1" w:lastColumn="0" w:oddVBand="0" w:evenVBand="0" w:oddHBand="0" w:evenHBand="0" w:firstRowFirstColumn="0" w:firstRowLastColumn="0" w:lastRowFirstColumn="0" w:lastRowLastColumn="0"/>
            <w:tcW w:w="2830" w:type="dxa"/>
            <w:vMerge/>
          </w:tcPr>
          <w:p w14:paraId="09E0D7BE"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11C13EBC"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Rodzaj świadczenia</w:t>
            </w:r>
          </w:p>
        </w:tc>
        <w:tc>
          <w:tcPr>
            <w:tcW w:w="7942" w:type="dxa"/>
            <w:gridSpan w:val="5"/>
            <w:shd w:val="clear" w:color="auto" w:fill="9CC2E5" w:themeFill="accent1" w:themeFillTint="99"/>
          </w:tcPr>
          <w:p w14:paraId="3D907A4E"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Przeciętna miesięczna liczba emerytów i rencistów (w tys.)</w:t>
            </w:r>
          </w:p>
        </w:tc>
      </w:tr>
      <w:tr w:rsidR="004B7613" w:rsidRPr="008126F0" w14:paraId="56CF31AC"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B6EF961"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0B61C007"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Emerytury</w:t>
            </w:r>
          </w:p>
        </w:tc>
        <w:tc>
          <w:tcPr>
            <w:tcW w:w="7942" w:type="dxa"/>
            <w:gridSpan w:val="5"/>
            <w:shd w:val="clear" w:color="auto" w:fill="FFFFFF" w:themeFill="background1"/>
          </w:tcPr>
          <w:p w14:paraId="40109274"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58,3</w:t>
            </w:r>
          </w:p>
        </w:tc>
      </w:tr>
      <w:tr w:rsidR="004B7613" w:rsidRPr="008126F0" w14:paraId="2550709F"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5B182E7"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65F7B594"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Renty z tytułu niezdolności do pracy</w:t>
            </w:r>
          </w:p>
        </w:tc>
        <w:tc>
          <w:tcPr>
            <w:tcW w:w="7942" w:type="dxa"/>
            <w:gridSpan w:val="5"/>
            <w:shd w:val="clear" w:color="auto" w:fill="FFFFFF" w:themeFill="background1"/>
          </w:tcPr>
          <w:p w14:paraId="6AFDCA8D"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13,8</w:t>
            </w:r>
          </w:p>
        </w:tc>
      </w:tr>
      <w:tr w:rsidR="004B7613" w:rsidRPr="008126F0" w14:paraId="585D4C11"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9FD3EBC"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235C63E7"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Renty rodzinne</w:t>
            </w:r>
          </w:p>
        </w:tc>
        <w:tc>
          <w:tcPr>
            <w:tcW w:w="7942" w:type="dxa"/>
            <w:gridSpan w:val="5"/>
            <w:shd w:val="clear" w:color="auto" w:fill="FFFFFF" w:themeFill="background1"/>
          </w:tcPr>
          <w:p w14:paraId="2A7151D6"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2,5</w:t>
            </w:r>
          </w:p>
        </w:tc>
      </w:tr>
      <w:tr w:rsidR="004B7613" w:rsidRPr="008126F0" w14:paraId="31C1071F"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0E3C1367" w14:textId="77777777" w:rsidR="004B7613" w:rsidRPr="008126F0" w:rsidRDefault="004B7613" w:rsidP="004B7613">
            <w:pPr>
              <w:spacing w:after="0" w:line="240" w:lineRule="auto"/>
              <w:jc w:val="center"/>
              <w:rPr>
                <w:rFonts w:ascii="Times New Roman" w:hAnsi="Times New Roman"/>
                <w:color w:val="auto"/>
              </w:rPr>
            </w:pPr>
            <w:r w:rsidRPr="008126F0">
              <w:rPr>
                <w:rFonts w:ascii="Times New Roman" w:hAnsi="Times New Roman"/>
                <w:color w:val="auto"/>
              </w:rPr>
              <w:t>SYTUACJA DOCHODOWA, WARUNKI BYTU, W TYM WARUNKI MIESZKANIOWE – DANE ZA 2019 R.</w:t>
            </w:r>
          </w:p>
        </w:tc>
      </w:tr>
      <w:tr w:rsidR="004B7613" w:rsidRPr="008126F0" w14:paraId="0864BD93"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auto"/>
          </w:tcPr>
          <w:p w14:paraId="75FCB6E1" w14:textId="77777777" w:rsidR="004B7613" w:rsidRPr="004D0D48" w:rsidRDefault="004B7613" w:rsidP="004D0D48">
            <w:pPr>
              <w:spacing w:after="0" w:line="240" w:lineRule="auto"/>
              <w:jc w:val="both"/>
              <w:rPr>
                <w:rFonts w:ascii="Times New Roman" w:hAnsi="Times New Roman"/>
                <w:b w:val="0"/>
                <w:color w:val="000000" w:themeColor="text1"/>
                <w:shd w:val="clear" w:color="auto" w:fill="FFFFFF"/>
              </w:rPr>
            </w:pPr>
            <w:r w:rsidRPr="004D0D48">
              <w:rPr>
                <w:rFonts w:ascii="Times New Roman" w:hAnsi="Times New Roman"/>
                <w:b w:val="0"/>
                <w:color w:val="000000" w:themeColor="text1"/>
                <w:shd w:val="clear" w:color="auto" w:fill="FFFFFF"/>
              </w:rPr>
              <w:t xml:space="preserve">Wyniki badania budżetów gospodarstw domowych w województwie kujawsko-pomorskim wskazują, iż przeciętny miesięczny dochód rozporządzalny na 1 osobę </w:t>
            </w:r>
            <w:r w:rsidRPr="004D0D48">
              <w:rPr>
                <w:rFonts w:ascii="Times New Roman" w:hAnsi="Times New Roman"/>
                <w:b w:val="0"/>
                <w:color w:val="000000" w:themeColor="text1"/>
                <w:shd w:val="clear" w:color="auto" w:fill="FFFFFF"/>
              </w:rPr>
              <w:br/>
              <w:t>w gospodarstwach emerytów w 2019 r. wyniósł 1771,18 zł i wzrósł w skali roku o 5,7%. W tym samym okresie średnie wydatki na 1 osobę w gospodarstwach emerytów wyniosły 1323,94 zł i wzrosły w skali roku o 0,2%. W strukturze wydatków dominowały środki związane z zakupem towarów i usług konsumpcyjnych (94,7%). Wśród nich najistotniejszą grupę stanowiły wydatki na żywność i napoje bezalkoholowe, na które gospodarstwa domowe emerytów w miesiącu przeznaczały przeciętnie 28,2% ogółu wydatków. Duże znaczenie miały również wydatki (nakłady) na użytkowanie mieszkania lub domu i nośników energii (22,3%), na zdrowie (7,9%) oraz na transport (7,0%).</w:t>
            </w:r>
          </w:p>
          <w:p w14:paraId="556114B8" w14:textId="60ECD14E" w:rsidR="004D0D48" w:rsidRPr="004D0D48" w:rsidRDefault="004B7613" w:rsidP="004B7613">
            <w:pPr>
              <w:spacing w:after="0" w:line="240" w:lineRule="auto"/>
              <w:rPr>
                <w:rFonts w:ascii="Times New Roman" w:hAnsi="Times New Roman"/>
                <w:b w:val="0"/>
                <w:i/>
                <w:color w:val="auto"/>
                <w:shd w:val="clear" w:color="auto" w:fill="FFFFFF"/>
              </w:rPr>
            </w:pPr>
            <w:r w:rsidRPr="008126F0">
              <w:rPr>
                <w:rFonts w:ascii="Times New Roman" w:hAnsi="Times New Roman"/>
                <w:b w:val="0"/>
                <w:i/>
                <w:color w:val="auto"/>
                <w:shd w:val="clear" w:color="auto" w:fill="FFFFFF"/>
              </w:rPr>
              <w:t>Źródło: Informacja o ludności w województwie kujawsko-pomorskim w 2019 r., ze szczególnym uwzględnieniem sytuacji osób starszych, Urząd Statystyczny w Bydgoszczy</w:t>
            </w:r>
          </w:p>
        </w:tc>
      </w:tr>
      <w:tr w:rsidR="004B7613" w:rsidRPr="008126F0" w14:paraId="18349E79"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1BC96501" w14:textId="77777777" w:rsidR="004B7613" w:rsidRPr="008126F0" w:rsidRDefault="004B7613" w:rsidP="004B7613">
            <w:pPr>
              <w:spacing w:after="0" w:line="240" w:lineRule="auto"/>
              <w:rPr>
                <w:rFonts w:ascii="Times New Roman" w:hAnsi="Times New Roman"/>
                <w:color w:val="auto"/>
              </w:rPr>
            </w:pPr>
            <w:r w:rsidRPr="008126F0">
              <w:rPr>
                <w:rFonts w:ascii="Times New Roman" w:hAnsi="Times New Roman"/>
                <w:color w:val="auto"/>
              </w:rPr>
              <w:t>USŁUGI SPOŁECZNE DLA OSÓB STARSZYCH / INFRASTRUKTURA POMOCY SPOLECZNEJ – DANE ZA 2019 R.</w:t>
            </w:r>
          </w:p>
        </w:tc>
      </w:tr>
      <w:tr w:rsidR="004B7613" w:rsidRPr="008126F0" w14:paraId="26B2EFB6"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5B049E5"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r w:rsidRPr="008126F0">
              <w:rPr>
                <w:rFonts w:ascii="Times New Roman" w:eastAsia="Times New Roman" w:hAnsi="Times New Roman"/>
                <w:color w:val="auto"/>
                <w:lang w:eastAsia="pl-PL"/>
              </w:rPr>
              <w:lastRenderedPageBreak/>
              <w:t>Instytucje pomocy społecznej, w tym:</w:t>
            </w:r>
          </w:p>
        </w:tc>
        <w:tc>
          <w:tcPr>
            <w:tcW w:w="3066" w:type="dxa"/>
            <w:shd w:val="clear" w:color="auto" w:fill="9CC2E5" w:themeFill="accent1" w:themeFillTint="99"/>
            <w:vAlign w:val="center"/>
          </w:tcPr>
          <w:p w14:paraId="470FAA09"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8126F0">
              <w:rPr>
                <w:rFonts w:ascii="Times New Roman" w:hAnsi="Times New Roman"/>
                <w:b/>
                <w:color w:val="auto"/>
              </w:rPr>
              <w:t>Rodzaj placówki</w:t>
            </w:r>
          </w:p>
        </w:tc>
        <w:tc>
          <w:tcPr>
            <w:tcW w:w="2948" w:type="dxa"/>
            <w:gridSpan w:val="3"/>
            <w:shd w:val="clear" w:color="auto" w:fill="9CC2E5" w:themeFill="accent1" w:themeFillTint="99"/>
            <w:vAlign w:val="center"/>
          </w:tcPr>
          <w:p w14:paraId="3EFAFEED"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8126F0">
              <w:rPr>
                <w:rFonts w:ascii="Times New Roman" w:hAnsi="Times New Roman"/>
                <w:b/>
                <w:color w:val="auto"/>
              </w:rPr>
              <w:t>Liczba placówek</w:t>
            </w:r>
          </w:p>
        </w:tc>
        <w:tc>
          <w:tcPr>
            <w:tcW w:w="2948" w:type="dxa"/>
            <w:gridSpan w:val="3"/>
            <w:shd w:val="clear" w:color="auto" w:fill="9CC2E5" w:themeFill="accent1" w:themeFillTint="99"/>
            <w:vAlign w:val="center"/>
          </w:tcPr>
          <w:p w14:paraId="3E1293E7"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8126F0">
              <w:rPr>
                <w:rFonts w:ascii="Times New Roman" w:hAnsi="Times New Roman"/>
                <w:b/>
                <w:color w:val="auto"/>
              </w:rPr>
              <w:t>Liczba miejsc dla osób starszych</w:t>
            </w:r>
            <w:r w:rsidRPr="008126F0">
              <w:rPr>
                <w:rStyle w:val="Odwoanieprzypisudolnego"/>
                <w:rFonts w:ascii="Times New Roman" w:hAnsi="Times New Roman"/>
                <w:b/>
                <w:color w:val="auto"/>
              </w:rPr>
              <w:footnoteReference w:id="71"/>
            </w:r>
          </w:p>
        </w:tc>
        <w:tc>
          <w:tcPr>
            <w:tcW w:w="2949" w:type="dxa"/>
            <w:shd w:val="clear" w:color="auto" w:fill="9CC2E5" w:themeFill="accent1" w:themeFillTint="99"/>
            <w:vAlign w:val="center"/>
          </w:tcPr>
          <w:p w14:paraId="69C0DB88"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 korzystających osób starszych</w:t>
            </w:r>
          </w:p>
        </w:tc>
      </w:tr>
      <w:tr w:rsidR="004B7613" w:rsidRPr="008126F0" w14:paraId="62DE45A0"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9A2E3E5"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tcPr>
          <w:p w14:paraId="390DACAC"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Ośrodki wsparcia ogółem</w:t>
            </w:r>
          </w:p>
        </w:tc>
        <w:tc>
          <w:tcPr>
            <w:tcW w:w="2948" w:type="dxa"/>
            <w:gridSpan w:val="3"/>
          </w:tcPr>
          <w:p w14:paraId="5CA60C36"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378</w:t>
            </w:r>
          </w:p>
        </w:tc>
        <w:tc>
          <w:tcPr>
            <w:tcW w:w="2948" w:type="dxa"/>
            <w:gridSpan w:val="3"/>
          </w:tcPr>
          <w:p w14:paraId="692F69A1"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10 062</w:t>
            </w:r>
          </w:p>
        </w:tc>
        <w:tc>
          <w:tcPr>
            <w:tcW w:w="2949" w:type="dxa"/>
          </w:tcPr>
          <w:p w14:paraId="5AF4228C"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6 156</w:t>
            </w:r>
          </w:p>
        </w:tc>
      </w:tr>
      <w:tr w:rsidR="004B7613" w:rsidRPr="008126F0" w14:paraId="2BC0DB25"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421F321"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11911" w:type="dxa"/>
            <w:gridSpan w:val="8"/>
            <w:shd w:val="clear" w:color="auto" w:fill="9CC2E5" w:themeFill="accent1" w:themeFillTint="99"/>
          </w:tcPr>
          <w:p w14:paraId="2578F0F6"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 tym:</w:t>
            </w:r>
          </w:p>
        </w:tc>
      </w:tr>
      <w:tr w:rsidR="004B7613" w:rsidRPr="008126F0" w14:paraId="2000D38E"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0A3E2C0"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4A3E9E17"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Środowiskowe Domy Samopomocy</w:t>
            </w:r>
          </w:p>
        </w:tc>
        <w:tc>
          <w:tcPr>
            <w:tcW w:w="2948" w:type="dxa"/>
            <w:gridSpan w:val="3"/>
            <w:shd w:val="clear" w:color="auto" w:fill="FFFFFF" w:themeFill="background1"/>
            <w:vAlign w:val="center"/>
          </w:tcPr>
          <w:p w14:paraId="5F43B6FD"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49</w:t>
            </w:r>
          </w:p>
        </w:tc>
        <w:tc>
          <w:tcPr>
            <w:tcW w:w="2948" w:type="dxa"/>
            <w:gridSpan w:val="3"/>
            <w:shd w:val="clear" w:color="auto" w:fill="FFFFFF" w:themeFill="background1"/>
            <w:vAlign w:val="center"/>
          </w:tcPr>
          <w:p w14:paraId="43CFF18F"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1 790</w:t>
            </w:r>
          </w:p>
        </w:tc>
        <w:tc>
          <w:tcPr>
            <w:tcW w:w="2949" w:type="dxa"/>
            <w:shd w:val="clear" w:color="auto" w:fill="FFFFFF" w:themeFill="background1"/>
            <w:vAlign w:val="center"/>
          </w:tcPr>
          <w:p w14:paraId="1B72D923"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544</w:t>
            </w:r>
          </w:p>
        </w:tc>
      </w:tr>
      <w:tr w:rsidR="004B7613" w:rsidRPr="008126F0" w14:paraId="4A932597"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AC0BF22"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F715F4F"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Dzienne Domy Pomocy</w:t>
            </w:r>
          </w:p>
        </w:tc>
        <w:tc>
          <w:tcPr>
            <w:tcW w:w="2948" w:type="dxa"/>
            <w:gridSpan w:val="3"/>
            <w:shd w:val="clear" w:color="auto" w:fill="FFFFFF" w:themeFill="background1"/>
            <w:vAlign w:val="center"/>
          </w:tcPr>
          <w:p w14:paraId="2B621904"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22</w:t>
            </w:r>
          </w:p>
        </w:tc>
        <w:tc>
          <w:tcPr>
            <w:tcW w:w="2948" w:type="dxa"/>
            <w:gridSpan w:val="3"/>
            <w:shd w:val="clear" w:color="auto" w:fill="FFFFFF" w:themeFill="background1"/>
            <w:vAlign w:val="center"/>
          </w:tcPr>
          <w:p w14:paraId="6D667495"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755</w:t>
            </w:r>
          </w:p>
        </w:tc>
        <w:tc>
          <w:tcPr>
            <w:tcW w:w="2949" w:type="dxa"/>
            <w:shd w:val="clear" w:color="auto" w:fill="FFFFFF" w:themeFill="background1"/>
            <w:vAlign w:val="center"/>
          </w:tcPr>
          <w:p w14:paraId="0E9378EF"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621</w:t>
            </w:r>
          </w:p>
        </w:tc>
      </w:tr>
      <w:tr w:rsidR="004B7613" w:rsidRPr="008126F0" w14:paraId="293D6EEB"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A15F79D"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07C8E8C7"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Noclegownie, schroniska i domy dla osób bezdomnych</w:t>
            </w:r>
          </w:p>
        </w:tc>
        <w:tc>
          <w:tcPr>
            <w:tcW w:w="2948" w:type="dxa"/>
            <w:gridSpan w:val="3"/>
            <w:shd w:val="clear" w:color="auto" w:fill="FFFFFF" w:themeFill="background1"/>
            <w:vAlign w:val="center"/>
          </w:tcPr>
          <w:p w14:paraId="4196CA3F"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15</w:t>
            </w:r>
          </w:p>
        </w:tc>
        <w:tc>
          <w:tcPr>
            <w:tcW w:w="2948" w:type="dxa"/>
            <w:gridSpan w:val="3"/>
            <w:shd w:val="clear" w:color="auto" w:fill="FFFFFF" w:themeFill="background1"/>
            <w:vAlign w:val="center"/>
          </w:tcPr>
          <w:p w14:paraId="50D9B651"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1 036</w:t>
            </w:r>
          </w:p>
        </w:tc>
        <w:tc>
          <w:tcPr>
            <w:tcW w:w="2949" w:type="dxa"/>
            <w:shd w:val="clear" w:color="auto" w:fill="FFFFFF" w:themeFill="background1"/>
            <w:vAlign w:val="center"/>
          </w:tcPr>
          <w:p w14:paraId="4B341CB0"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560</w:t>
            </w:r>
          </w:p>
        </w:tc>
      </w:tr>
      <w:tr w:rsidR="004B7613" w:rsidRPr="008126F0" w14:paraId="0E570F75"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4D50530"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B34D7C7"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Ogrzewalnie</w:t>
            </w:r>
          </w:p>
        </w:tc>
        <w:tc>
          <w:tcPr>
            <w:tcW w:w="2948" w:type="dxa"/>
            <w:gridSpan w:val="3"/>
            <w:shd w:val="clear" w:color="auto" w:fill="FFFFFF" w:themeFill="background1"/>
            <w:vAlign w:val="center"/>
          </w:tcPr>
          <w:p w14:paraId="6546E939"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w:t>
            </w:r>
          </w:p>
        </w:tc>
        <w:tc>
          <w:tcPr>
            <w:tcW w:w="2948" w:type="dxa"/>
            <w:gridSpan w:val="3"/>
            <w:shd w:val="clear" w:color="auto" w:fill="FFFFFF" w:themeFill="background1"/>
            <w:vAlign w:val="center"/>
          </w:tcPr>
          <w:p w14:paraId="6C6E1A54"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49</w:t>
            </w:r>
          </w:p>
        </w:tc>
        <w:tc>
          <w:tcPr>
            <w:tcW w:w="2949" w:type="dxa"/>
            <w:shd w:val="clear" w:color="auto" w:fill="FFFFFF" w:themeFill="background1"/>
            <w:vAlign w:val="center"/>
          </w:tcPr>
          <w:p w14:paraId="56F4F490"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24</w:t>
            </w:r>
          </w:p>
        </w:tc>
      </w:tr>
      <w:tr w:rsidR="004B7613" w:rsidRPr="008126F0" w14:paraId="046E5871"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CF8B87F"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CCAB46F"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Kluby Samopomocy</w:t>
            </w:r>
          </w:p>
        </w:tc>
        <w:tc>
          <w:tcPr>
            <w:tcW w:w="2948" w:type="dxa"/>
            <w:gridSpan w:val="3"/>
            <w:shd w:val="clear" w:color="auto" w:fill="FFFFFF" w:themeFill="background1"/>
            <w:vAlign w:val="center"/>
          </w:tcPr>
          <w:p w14:paraId="7778C70F"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35</w:t>
            </w:r>
          </w:p>
        </w:tc>
        <w:tc>
          <w:tcPr>
            <w:tcW w:w="2948" w:type="dxa"/>
            <w:gridSpan w:val="3"/>
            <w:shd w:val="clear" w:color="auto" w:fill="FFFFFF" w:themeFill="background1"/>
            <w:vAlign w:val="center"/>
          </w:tcPr>
          <w:p w14:paraId="6F798840"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907</w:t>
            </w:r>
          </w:p>
        </w:tc>
        <w:tc>
          <w:tcPr>
            <w:tcW w:w="2949" w:type="dxa"/>
            <w:shd w:val="clear" w:color="auto" w:fill="FFFFFF" w:themeFill="background1"/>
            <w:vAlign w:val="center"/>
          </w:tcPr>
          <w:p w14:paraId="246CFE8E"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331</w:t>
            </w:r>
          </w:p>
        </w:tc>
      </w:tr>
      <w:tr w:rsidR="004B7613" w:rsidRPr="008126F0" w14:paraId="3E1172DF"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843AC23"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772F8052"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Placówki zapewniające całodobową opiekę osobom niepełnosprawnym, przewlekle chorym lub osobom w podeszłym wieku</w:t>
            </w:r>
          </w:p>
        </w:tc>
        <w:tc>
          <w:tcPr>
            <w:tcW w:w="2948" w:type="dxa"/>
            <w:gridSpan w:val="3"/>
            <w:shd w:val="clear" w:color="auto" w:fill="FFFFFF" w:themeFill="background1"/>
            <w:vAlign w:val="center"/>
          </w:tcPr>
          <w:p w14:paraId="745AC02C"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22</w:t>
            </w:r>
          </w:p>
        </w:tc>
        <w:tc>
          <w:tcPr>
            <w:tcW w:w="2948" w:type="dxa"/>
            <w:gridSpan w:val="3"/>
            <w:shd w:val="clear" w:color="auto" w:fill="FFFFFF" w:themeFill="background1"/>
            <w:vAlign w:val="center"/>
          </w:tcPr>
          <w:p w14:paraId="588B57E3"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574</w:t>
            </w:r>
          </w:p>
        </w:tc>
        <w:tc>
          <w:tcPr>
            <w:tcW w:w="2949" w:type="dxa"/>
            <w:shd w:val="clear" w:color="auto" w:fill="FFFFFF" w:themeFill="background1"/>
            <w:vAlign w:val="center"/>
          </w:tcPr>
          <w:p w14:paraId="74B77BB3"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389</w:t>
            </w:r>
            <w:r w:rsidRPr="008126F0">
              <w:rPr>
                <w:rStyle w:val="Odwoanieprzypisudolnego"/>
                <w:rFonts w:ascii="Times New Roman" w:hAnsi="Times New Roman"/>
                <w:color w:val="auto"/>
              </w:rPr>
              <w:footnoteReference w:id="72"/>
            </w:r>
          </w:p>
        </w:tc>
      </w:tr>
      <w:tr w:rsidR="004B7613" w:rsidRPr="008126F0" w14:paraId="24E7926B"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E709DC4"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0161505C"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Domy Pomocy Społecznej</w:t>
            </w:r>
            <w:r w:rsidRPr="008126F0">
              <w:rPr>
                <w:rStyle w:val="Odwoanieprzypisudolnego"/>
                <w:rFonts w:ascii="Times New Roman" w:hAnsi="Times New Roman"/>
                <w:b/>
                <w:color w:val="auto"/>
              </w:rPr>
              <w:footnoteReference w:id="73"/>
            </w:r>
          </w:p>
        </w:tc>
        <w:tc>
          <w:tcPr>
            <w:tcW w:w="2948" w:type="dxa"/>
            <w:gridSpan w:val="3"/>
            <w:shd w:val="clear" w:color="auto" w:fill="FFFFFF" w:themeFill="background1"/>
            <w:vAlign w:val="center"/>
          </w:tcPr>
          <w:p w14:paraId="0D5478F8"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43</w:t>
            </w:r>
          </w:p>
        </w:tc>
        <w:tc>
          <w:tcPr>
            <w:tcW w:w="2948" w:type="dxa"/>
            <w:gridSpan w:val="3"/>
            <w:shd w:val="clear" w:color="auto" w:fill="FFFFFF" w:themeFill="background1"/>
            <w:vAlign w:val="center"/>
          </w:tcPr>
          <w:p w14:paraId="7CB187A0"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3 783</w:t>
            </w:r>
          </w:p>
        </w:tc>
        <w:tc>
          <w:tcPr>
            <w:tcW w:w="2949" w:type="dxa"/>
            <w:shd w:val="clear" w:color="auto" w:fill="FFFFFF" w:themeFill="background1"/>
            <w:vAlign w:val="center"/>
          </w:tcPr>
          <w:p w14:paraId="41AD000C"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2 780</w:t>
            </w:r>
          </w:p>
        </w:tc>
      </w:tr>
      <w:tr w:rsidR="004B7613" w:rsidRPr="008126F0" w14:paraId="0C94A175"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2E8E657"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1BD97EC9"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Mieszkania chronione ogółem</w:t>
            </w:r>
          </w:p>
        </w:tc>
        <w:tc>
          <w:tcPr>
            <w:tcW w:w="2948" w:type="dxa"/>
            <w:gridSpan w:val="3"/>
            <w:shd w:val="clear" w:color="auto" w:fill="FFFFFF" w:themeFill="background1"/>
            <w:vAlign w:val="center"/>
          </w:tcPr>
          <w:p w14:paraId="01E19D12"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64</w:t>
            </w:r>
          </w:p>
        </w:tc>
        <w:tc>
          <w:tcPr>
            <w:tcW w:w="2948" w:type="dxa"/>
            <w:gridSpan w:val="3"/>
            <w:shd w:val="clear" w:color="auto" w:fill="FFFFFF" w:themeFill="background1"/>
            <w:vAlign w:val="center"/>
          </w:tcPr>
          <w:p w14:paraId="475369EB"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193</w:t>
            </w:r>
          </w:p>
        </w:tc>
        <w:tc>
          <w:tcPr>
            <w:tcW w:w="2949" w:type="dxa"/>
            <w:shd w:val="clear" w:color="auto" w:fill="FFFFFF" w:themeFill="background1"/>
            <w:vAlign w:val="center"/>
          </w:tcPr>
          <w:p w14:paraId="661346EB"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91</w:t>
            </w:r>
          </w:p>
        </w:tc>
      </w:tr>
      <w:tr w:rsidR="004B7613" w:rsidRPr="008126F0" w14:paraId="64C85B1B"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D02B130"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B54544F"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Ośrodki Interwencji Kryzysowej ogółem</w:t>
            </w:r>
          </w:p>
        </w:tc>
        <w:tc>
          <w:tcPr>
            <w:tcW w:w="2948" w:type="dxa"/>
            <w:gridSpan w:val="3"/>
            <w:shd w:val="clear" w:color="auto" w:fill="FFFFFF" w:themeFill="background1"/>
            <w:vAlign w:val="center"/>
          </w:tcPr>
          <w:p w14:paraId="5D331451"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w:t>
            </w:r>
          </w:p>
        </w:tc>
        <w:tc>
          <w:tcPr>
            <w:tcW w:w="2948" w:type="dxa"/>
            <w:gridSpan w:val="3"/>
            <w:shd w:val="clear" w:color="auto" w:fill="FFFFFF" w:themeFill="background1"/>
            <w:vAlign w:val="center"/>
          </w:tcPr>
          <w:p w14:paraId="0B9F5B6B"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11</w:t>
            </w:r>
          </w:p>
        </w:tc>
        <w:tc>
          <w:tcPr>
            <w:tcW w:w="2949" w:type="dxa"/>
            <w:shd w:val="clear" w:color="auto" w:fill="FFFFFF" w:themeFill="background1"/>
            <w:vAlign w:val="center"/>
          </w:tcPr>
          <w:p w14:paraId="7B82D23D"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w:t>
            </w:r>
          </w:p>
        </w:tc>
      </w:tr>
      <w:tr w:rsidR="004B7613" w:rsidRPr="008126F0" w14:paraId="56F29DD9"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55BF8D7"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4664EBB"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Jednostki specjalistycznego poradnictwa</w:t>
            </w:r>
          </w:p>
        </w:tc>
        <w:tc>
          <w:tcPr>
            <w:tcW w:w="2948" w:type="dxa"/>
            <w:gridSpan w:val="3"/>
            <w:shd w:val="clear" w:color="auto" w:fill="FFFFFF" w:themeFill="background1"/>
            <w:vAlign w:val="center"/>
          </w:tcPr>
          <w:p w14:paraId="43E75B3D"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82</w:t>
            </w:r>
          </w:p>
        </w:tc>
        <w:tc>
          <w:tcPr>
            <w:tcW w:w="2948" w:type="dxa"/>
            <w:gridSpan w:val="3"/>
            <w:shd w:val="clear" w:color="auto" w:fill="FFFFFF" w:themeFill="background1"/>
            <w:vAlign w:val="center"/>
          </w:tcPr>
          <w:p w14:paraId="1DA3FDF1"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X</w:t>
            </w:r>
          </w:p>
        </w:tc>
        <w:tc>
          <w:tcPr>
            <w:tcW w:w="2949" w:type="dxa"/>
            <w:shd w:val="clear" w:color="auto" w:fill="FFFFFF" w:themeFill="background1"/>
            <w:vAlign w:val="center"/>
          </w:tcPr>
          <w:p w14:paraId="3751C4AB"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Brak danych</w:t>
            </w:r>
            <w:r w:rsidRPr="008126F0">
              <w:rPr>
                <w:rStyle w:val="Odwoanieprzypisudolnego"/>
                <w:rFonts w:ascii="Times New Roman" w:hAnsi="Times New Roman"/>
                <w:b/>
                <w:color w:val="auto"/>
              </w:rPr>
              <w:footnoteReference w:id="74"/>
            </w:r>
          </w:p>
        </w:tc>
      </w:tr>
      <w:tr w:rsidR="004B7613" w:rsidRPr="008126F0" w14:paraId="232A8DFD"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6600211"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1C3C075E"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Placówki Senior+, w tym:</w:t>
            </w:r>
          </w:p>
        </w:tc>
        <w:tc>
          <w:tcPr>
            <w:tcW w:w="8845" w:type="dxa"/>
            <w:gridSpan w:val="7"/>
            <w:shd w:val="clear" w:color="auto" w:fill="FFFFFF" w:themeFill="background1"/>
            <w:vAlign w:val="center"/>
          </w:tcPr>
          <w:p w14:paraId="45F355AC"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tc>
      </w:tr>
      <w:tr w:rsidR="004B7613" w:rsidRPr="008126F0" w14:paraId="38DEF388"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295E8F8"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3C174590"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Domy Dziennego Pobytu</w:t>
            </w:r>
          </w:p>
        </w:tc>
        <w:tc>
          <w:tcPr>
            <w:tcW w:w="2948" w:type="dxa"/>
            <w:gridSpan w:val="3"/>
            <w:shd w:val="clear" w:color="auto" w:fill="FFFFFF" w:themeFill="background1"/>
            <w:vAlign w:val="center"/>
          </w:tcPr>
          <w:p w14:paraId="63D48C7D"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9</w:t>
            </w:r>
          </w:p>
        </w:tc>
        <w:tc>
          <w:tcPr>
            <w:tcW w:w="2948" w:type="dxa"/>
            <w:gridSpan w:val="3"/>
            <w:shd w:val="clear" w:color="auto" w:fill="FFFFFF" w:themeFill="background1"/>
            <w:vAlign w:val="center"/>
          </w:tcPr>
          <w:p w14:paraId="6C1E75D1"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195</w:t>
            </w:r>
          </w:p>
        </w:tc>
        <w:tc>
          <w:tcPr>
            <w:tcW w:w="2949" w:type="dxa"/>
            <w:shd w:val="clear" w:color="auto" w:fill="FFFFFF" w:themeFill="background1"/>
            <w:vAlign w:val="center"/>
          </w:tcPr>
          <w:p w14:paraId="679ACE08"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167</w:t>
            </w:r>
          </w:p>
        </w:tc>
      </w:tr>
      <w:tr w:rsidR="004B7613" w:rsidRPr="008126F0" w14:paraId="05357F80" w14:textId="77777777" w:rsidTr="00E86509">
        <w:trPr>
          <w:trHeight w:val="85"/>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C316E17"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F593F58"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Kluby Senior+</w:t>
            </w:r>
          </w:p>
        </w:tc>
        <w:tc>
          <w:tcPr>
            <w:tcW w:w="2948" w:type="dxa"/>
            <w:gridSpan w:val="3"/>
            <w:shd w:val="clear" w:color="auto" w:fill="FFFFFF" w:themeFill="background1"/>
            <w:vAlign w:val="center"/>
          </w:tcPr>
          <w:p w14:paraId="4DE00EC0"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30</w:t>
            </w:r>
          </w:p>
        </w:tc>
        <w:tc>
          <w:tcPr>
            <w:tcW w:w="2948" w:type="dxa"/>
            <w:gridSpan w:val="3"/>
            <w:shd w:val="clear" w:color="auto" w:fill="FFFFFF" w:themeFill="background1"/>
            <w:vAlign w:val="center"/>
          </w:tcPr>
          <w:p w14:paraId="27A2B84A"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769</w:t>
            </w:r>
          </w:p>
        </w:tc>
        <w:tc>
          <w:tcPr>
            <w:tcW w:w="2949" w:type="dxa"/>
            <w:shd w:val="clear" w:color="auto" w:fill="FFFFFF" w:themeFill="background1"/>
            <w:vAlign w:val="center"/>
          </w:tcPr>
          <w:p w14:paraId="2884AEE0"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648</w:t>
            </w:r>
          </w:p>
        </w:tc>
      </w:tr>
      <w:tr w:rsidR="004B7613" w:rsidRPr="008126F0" w14:paraId="7F77C10D"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06906D9" w14:textId="77777777" w:rsidR="004B7613" w:rsidRPr="008126F0" w:rsidRDefault="004B7613" w:rsidP="004B7613">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08389943"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Hospicja stacjonarne</w:t>
            </w:r>
          </w:p>
        </w:tc>
        <w:tc>
          <w:tcPr>
            <w:tcW w:w="2948" w:type="dxa"/>
            <w:gridSpan w:val="3"/>
            <w:shd w:val="clear" w:color="auto" w:fill="FFFFFF" w:themeFill="background1"/>
            <w:vAlign w:val="center"/>
          </w:tcPr>
          <w:p w14:paraId="7E5C5E80"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t>
            </w:r>
          </w:p>
        </w:tc>
        <w:tc>
          <w:tcPr>
            <w:tcW w:w="2948" w:type="dxa"/>
            <w:gridSpan w:val="3"/>
            <w:shd w:val="clear" w:color="auto" w:fill="FFFFFF" w:themeFill="background1"/>
            <w:vAlign w:val="center"/>
          </w:tcPr>
          <w:p w14:paraId="38A2596C"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t>
            </w:r>
          </w:p>
        </w:tc>
        <w:tc>
          <w:tcPr>
            <w:tcW w:w="2949" w:type="dxa"/>
            <w:shd w:val="clear" w:color="auto" w:fill="FFFFFF" w:themeFill="background1"/>
            <w:vAlign w:val="center"/>
          </w:tcPr>
          <w:p w14:paraId="474D6711"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t>
            </w:r>
          </w:p>
        </w:tc>
      </w:tr>
      <w:tr w:rsidR="004B7613" w:rsidRPr="008126F0" w14:paraId="37B60AD7" w14:textId="77777777" w:rsidTr="00E86509">
        <w:trPr>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03613AC"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r w:rsidRPr="008126F0">
              <w:rPr>
                <w:rFonts w:ascii="Times New Roman" w:eastAsia="Times New Roman" w:hAnsi="Times New Roman"/>
                <w:color w:val="auto"/>
                <w:lang w:eastAsia="pl-PL"/>
              </w:rPr>
              <w:lastRenderedPageBreak/>
              <w:t>Usługi świadczone osobom starszym</w:t>
            </w:r>
          </w:p>
        </w:tc>
        <w:tc>
          <w:tcPr>
            <w:tcW w:w="3119" w:type="dxa"/>
            <w:gridSpan w:val="2"/>
            <w:shd w:val="clear" w:color="auto" w:fill="9CC2E5" w:themeFill="accent1" w:themeFillTint="99"/>
          </w:tcPr>
          <w:p w14:paraId="259D8261"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Rodzaj usług</w:t>
            </w:r>
          </w:p>
        </w:tc>
        <w:tc>
          <w:tcPr>
            <w:tcW w:w="3685" w:type="dxa"/>
            <w:gridSpan w:val="3"/>
            <w:shd w:val="clear" w:color="auto" w:fill="9CC2E5" w:themeFill="accent1" w:themeFillTint="99"/>
          </w:tcPr>
          <w:p w14:paraId="269F955D"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 osób starszych objętych pomocą</w:t>
            </w:r>
          </w:p>
        </w:tc>
        <w:tc>
          <w:tcPr>
            <w:tcW w:w="5107" w:type="dxa"/>
            <w:gridSpan w:val="3"/>
            <w:shd w:val="clear" w:color="auto" w:fill="9CC2E5" w:themeFill="accent1" w:themeFillTint="99"/>
          </w:tcPr>
          <w:p w14:paraId="5331C742"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Wysokość środków przeznaczonych na usługi</w:t>
            </w:r>
          </w:p>
        </w:tc>
      </w:tr>
      <w:tr w:rsidR="004B7613" w:rsidRPr="008126F0" w14:paraId="5132A8F7" w14:textId="77777777" w:rsidTr="00E8650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DCAA81B"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119" w:type="dxa"/>
            <w:gridSpan w:val="2"/>
          </w:tcPr>
          <w:p w14:paraId="429FF105" w14:textId="16EAF943" w:rsidR="004B7613" w:rsidRPr="008126F0" w:rsidRDefault="005C7305"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Usługi o</w:t>
            </w:r>
            <w:r w:rsidR="004B7613" w:rsidRPr="008126F0">
              <w:rPr>
                <w:rFonts w:ascii="Times New Roman" w:hAnsi="Times New Roman"/>
                <w:color w:val="auto"/>
              </w:rPr>
              <w:t>piekuńcze ogółem</w:t>
            </w:r>
          </w:p>
        </w:tc>
        <w:tc>
          <w:tcPr>
            <w:tcW w:w="3685" w:type="dxa"/>
            <w:gridSpan w:val="3"/>
          </w:tcPr>
          <w:p w14:paraId="0CEE2529"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7 064</w:t>
            </w:r>
          </w:p>
        </w:tc>
        <w:tc>
          <w:tcPr>
            <w:tcW w:w="5107" w:type="dxa"/>
            <w:gridSpan w:val="3"/>
          </w:tcPr>
          <w:p w14:paraId="27144F4B"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48 166 166</w:t>
            </w:r>
          </w:p>
        </w:tc>
      </w:tr>
      <w:tr w:rsidR="004B7613" w:rsidRPr="008126F0" w14:paraId="006BE469" w14:textId="77777777" w:rsidTr="00E86509">
        <w:trPr>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F88F8D4"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64BEA279"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w tym:</w:t>
            </w:r>
          </w:p>
        </w:tc>
      </w:tr>
      <w:tr w:rsidR="004B7613" w:rsidRPr="008126F0" w14:paraId="1CD4F2E5" w14:textId="77777777" w:rsidTr="00E8650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6264B90"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462DAEBA" w14:textId="589F8598" w:rsidR="004B7613" w:rsidRPr="008126F0" w:rsidRDefault="005C7305"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4B7613" w:rsidRPr="008126F0">
              <w:rPr>
                <w:rFonts w:ascii="Times New Roman" w:hAnsi="Times New Roman"/>
                <w:color w:val="auto"/>
              </w:rPr>
              <w:t xml:space="preserve">pecjalistyczne </w:t>
            </w:r>
            <w:r>
              <w:rPr>
                <w:rFonts w:ascii="Times New Roman" w:hAnsi="Times New Roman"/>
                <w:color w:val="auto"/>
              </w:rPr>
              <w:t xml:space="preserve">usługi </w:t>
            </w:r>
            <w:r w:rsidR="004B7613" w:rsidRPr="008126F0">
              <w:rPr>
                <w:rFonts w:ascii="Times New Roman" w:hAnsi="Times New Roman"/>
                <w:color w:val="auto"/>
              </w:rPr>
              <w:t>opiekuńcze</w:t>
            </w:r>
          </w:p>
        </w:tc>
        <w:tc>
          <w:tcPr>
            <w:tcW w:w="3685" w:type="dxa"/>
            <w:gridSpan w:val="3"/>
            <w:shd w:val="clear" w:color="auto" w:fill="FFFFFF" w:themeFill="background1"/>
          </w:tcPr>
          <w:p w14:paraId="6194EB96"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514</w:t>
            </w:r>
          </w:p>
        </w:tc>
        <w:tc>
          <w:tcPr>
            <w:tcW w:w="5107" w:type="dxa"/>
            <w:gridSpan w:val="3"/>
            <w:shd w:val="clear" w:color="auto" w:fill="FFFFFF" w:themeFill="background1"/>
          </w:tcPr>
          <w:p w14:paraId="291EC76A"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3 700 277</w:t>
            </w:r>
          </w:p>
        </w:tc>
      </w:tr>
      <w:tr w:rsidR="004B7613" w:rsidRPr="008126F0" w14:paraId="6269C4F0"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076F650"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5ED41A9A" w14:textId="4A9E5808" w:rsidR="004B7613" w:rsidRPr="008126F0" w:rsidRDefault="005C7305"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4B7613" w:rsidRPr="008126F0">
              <w:rPr>
                <w:rFonts w:ascii="Times New Roman" w:hAnsi="Times New Roman"/>
                <w:color w:val="auto"/>
              </w:rPr>
              <w:t xml:space="preserve">pecjalistyczne usługi </w:t>
            </w:r>
            <w:r>
              <w:rPr>
                <w:rFonts w:ascii="Times New Roman" w:hAnsi="Times New Roman"/>
                <w:color w:val="auto"/>
              </w:rPr>
              <w:t xml:space="preserve"> opiekuńcze w miejscu zamieszkania </w:t>
            </w:r>
            <w:r w:rsidR="004B7613" w:rsidRPr="008126F0">
              <w:rPr>
                <w:rFonts w:ascii="Times New Roman" w:hAnsi="Times New Roman"/>
                <w:color w:val="auto"/>
              </w:rPr>
              <w:t>dla osób z zaburzeniami psychicznymi</w:t>
            </w:r>
          </w:p>
        </w:tc>
        <w:tc>
          <w:tcPr>
            <w:tcW w:w="3685" w:type="dxa"/>
            <w:gridSpan w:val="3"/>
            <w:shd w:val="clear" w:color="auto" w:fill="FFFFFF" w:themeFill="background1"/>
            <w:vAlign w:val="center"/>
          </w:tcPr>
          <w:p w14:paraId="0A0D60FD"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217</w:t>
            </w:r>
          </w:p>
        </w:tc>
        <w:tc>
          <w:tcPr>
            <w:tcW w:w="5107" w:type="dxa"/>
            <w:gridSpan w:val="3"/>
            <w:shd w:val="clear" w:color="auto" w:fill="FFFFFF" w:themeFill="background1"/>
            <w:vAlign w:val="center"/>
          </w:tcPr>
          <w:p w14:paraId="3E4E719F"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2 985 408</w:t>
            </w:r>
          </w:p>
        </w:tc>
      </w:tr>
      <w:tr w:rsidR="004B7613" w:rsidRPr="008126F0" w14:paraId="1412DEAB" w14:textId="77777777" w:rsidTr="00E86509">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EB525C6"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r w:rsidRPr="008126F0">
              <w:rPr>
                <w:rFonts w:ascii="Times New Roman" w:eastAsia="Times New Roman" w:hAnsi="Times New Roman"/>
                <w:color w:val="auto"/>
                <w:lang w:eastAsia="pl-PL"/>
              </w:rPr>
              <w:t>Świadczenia pieniężne przyznane osobom starszym</w:t>
            </w:r>
          </w:p>
        </w:tc>
        <w:tc>
          <w:tcPr>
            <w:tcW w:w="3119" w:type="dxa"/>
            <w:gridSpan w:val="2"/>
            <w:shd w:val="clear" w:color="auto" w:fill="9CC2E5" w:themeFill="accent1" w:themeFillTint="99"/>
          </w:tcPr>
          <w:p w14:paraId="5676D6B3"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Nazwa świadczenia</w:t>
            </w:r>
          </w:p>
        </w:tc>
        <w:tc>
          <w:tcPr>
            <w:tcW w:w="3685" w:type="dxa"/>
            <w:gridSpan w:val="3"/>
            <w:shd w:val="clear" w:color="auto" w:fill="9CC2E5" w:themeFill="accent1" w:themeFillTint="99"/>
          </w:tcPr>
          <w:p w14:paraId="28176C97"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Liczba osób starszych</w:t>
            </w:r>
          </w:p>
        </w:tc>
        <w:tc>
          <w:tcPr>
            <w:tcW w:w="5107" w:type="dxa"/>
            <w:gridSpan w:val="3"/>
            <w:shd w:val="clear" w:color="auto" w:fill="9CC2E5" w:themeFill="accent1" w:themeFillTint="99"/>
          </w:tcPr>
          <w:p w14:paraId="25ADB559"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8126F0">
              <w:rPr>
                <w:rFonts w:ascii="Times New Roman" w:hAnsi="Times New Roman"/>
                <w:b/>
                <w:color w:val="auto"/>
              </w:rPr>
              <w:t>Kwota świadczenia</w:t>
            </w:r>
          </w:p>
        </w:tc>
      </w:tr>
      <w:tr w:rsidR="004B7613" w:rsidRPr="008126F0" w14:paraId="1941DCB9"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2F4F69A"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7AA5396C"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Zasiłek stały</w:t>
            </w:r>
          </w:p>
        </w:tc>
        <w:tc>
          <w:tcPr>
            <w:tcW w:w="3685" w:type="dxa"/>
            <w:gridSpan w:val="3"/>
            <w:shd w:val="clear" w:color="auto" w:fill="FFFFFF" w:themeFill="background1"/>
          </w:tcPr>
          <w:p w14:paraId="2F98EF61"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4 038</w:t>
            </w:r>
          </w:p>
        </w:tc>
        <w:tc>
          <w:tcPr>
            <w:tcW w:w="5107" w:type="dxa"/>
            <w:gridSpan w:val="3"/>
            <w:shd w:val="clear" w:color="auto" w:fill="FFFFFF" w:themeFill="background1"/>
          </w:tcPr>
          <w:p w14:paraId="19241B8E"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20 904 871</w:t>
            </w:r>
          </w:p>
        </w:tc>
      </w:tr>
      <w:tr w:rsidR="004B7613" w:rsidRPr="008126F0" w14:paraId="61FED985"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EBD5949"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11170237"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Zasiłek okresowy</w:t>
            </w:r>
          </w:p>
        </w:tc>
        <w:tc>
          <w:tcPr>
            <w:tcW w:w="3685" w:type="dxa"/>
            <w:gridSpan w:val="3"/>
            <w:shd w:val="clear" w:color="auto" w:fill="FFFFFF" w:themeFill="background1"/>
          </w:tcPr>
          <w:p w14:paraId="3ABCB067"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3 107</w:t>
            </w:r>
          </w:p>
        </w:tc>
        <w:tc>
          <w:tcPr>
            <w:tcW w:w="5107" w:type="dxa"/>
            <w:gridSpan w:val="3"/>
            <w:shd w:val="clear" w:color="auto" w:fill="FFFFFF" w:themeFill="background1"/>
          </w:tcPr>
          <w:p w14:paraId="73C830A3"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5 638 795</w:t>
            </w:r>
          </w:p>
        </w:tc>
      </w:tr>
      <w:tr w:rsidR="004B7613" w:rsidRPr="008126F0" w14:paraId="3C7EC54C"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8EBAA59"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53F2C271"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Zasiłek celowy</w:t>
            </w:r>
          </w:p>
        </w:tc>
        <w:tc>
          <w:tcPr>
            <w:tcW w:w="3685" w:type="dxa"/>
            <w:gridSpan w:val="3"/>
            <w:shd w:val="clear" w:color="auto" w:fill="FFFFFF" w:themeFill="background1"/>
          </w:tcPr>
          <w:p w14:paraId="231A460A"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4 690</w:t>
            </w:r>
          </w:p>
        </w:tc>
        <w:tc>
          <w:tcPr>
            <w:tcW w:w="5107" w:type="dxa"/>
            <w:gridSpan w:val="3"/>
            <w:shd w:val="clear" w:color="auto" w:fill="FFFFFF" w:themeFill="background1"/>
          </w:tcPr>
          <w:p w14:paraId="41FDB112" w14:textId="77777777" w:rsidR="004B7613" w:rsidRPr="008126F0" w:rsidRDefault="004B7613" w:rsidP="004B7613">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2 975 494</w:t>
            </w:r>
          </w:p>
        </w:tc>
      </w:tr>
      <w:tr w:rsidR="004B7613" w:rsidRPr="008126F0" w14:paraId="1C4E64E2"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663D291" w14:textId="77777777" w:rsidR="004B7613" w:rsidRPr="008126F0" w:rsidRDefault="004B7613" w:rsidP="004B7613">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1E91FC57"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Specjalny zasiłek celowy</w:t>
            </w:r>
          </w:p>
        </w:tc>
        <w:tc>
          <w:tcPr>
            <w:tcW w:w="3685" w:type="dxa"/>
            <w:gridSpan w:val="3"/>
            <w:shd w:val="clear" w:color="auto" w:fill="FFFFFF" w:themeFill="background1"/>
          </w:tcPr>
          <w:p w14:paraId="618A4C27"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4 746</w:t>
            </w:r>
          </w:p>
        </w:tc>
        <w:tc>
          <w:tcPr>
            <w:tcW w:w="5107" w:type="dxa"/>
            <w:gridSpan w:val="3"/>
            <w:shd w:val="clear" w:color="auto" w:fill="FFFFFF" w:themeFill="background1"/>
          </w:tcPr>
          <w:p w14:paraId="11985700" w14:textId="77777777" w:rsidR="004B7613" w:rsidRPr="008126F0" w:rsidRDefault="004B7613" w:rsidP="004B761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2 190 052</w:t>
            </w:r>
          </w:p>
        </w:tc>
      </w:tr>
      <w:tr w:rsidR="004B7613" w:rsidRPr="008126F0" w14:paraId="51B3C09C" w14:textId="77777777" w:rsidTr="00E86509">
        <w:trPr>
          <w:trHeight w:val="397"/>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680E954" w14:textId="77777777" w:rsidR="004B7613" w:rsidRPr="008126F0" w:rsidRDefault="004B7613" w:rsidP="004B7613">
            <w:pPr>
              <w:spacing w:after="0" w:line="240" w:lineRule="auto"/>
              <w:rPr>
                <w:rFonts w:ascii="Times New Roman" w:hAnsi="Times New Roman"/>
                <w:b w:val="0"/>
                <w:color w:val="auto"/>
                <w:lang w:eastAsia="pl-PL"/>
              </w:rPr>
            </w:pPr>
            <w:r w:rsidRPr="008126F0">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shd w:val="clear" w:color="auto" w:fill="FFFFFF" w:themeFill="background1"/>
            <w:vAlign w:val="center"/>
          </w:tcPr>
          <w:p w14:paraId="1A83E9F9"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b/>
                <w:color w:val="auto"/>
              </w:rPr>
              <w:t>1.</w:t>
            </w:r>
            <w:r w:rsidRPr="008126F0">
              <w:rPr>
                <w:rFonts w:ascii="Times New Roman" w:hAnsi="Times New Roman"/>
                <w:color w:val="auto"/>
              </w:rPr>
              <w:t xml:space="preserve"> Brak wykwalifikowanej kadry, osób chętnych do zawodu opiekunki środowiskowej.</w:t>
            </w:r>
          </w:p>
        </w:tc>
      </w:tr>
      <w:tr w:rsidR="004B7613" w:rsidRPr="008126F0" w14:paraId="4DDA406B" w14:textId="77777777" w:rsidTr="00E8650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7F101A0" w14:textId="77777777" w:rsidR="004B7613" w:rsidRPr="008126F0" w:rsidRDefault="004B7613" w:rsidP="004B7613">
            <w:pPr>
              <w:spacing w:after="0" w:line="240" w:lineRule="auto"/>
              <w:rPr>
                <w:rFonts w:ascii="Times New Roman" w:hAnsi="Times New Roman"/>
                <w:color w:val="auto"/>
                <w:lang w:eastAsia="pl-PL"/>
              </w:rPr>
            </w:pPr>
          </w:p>
        </w:tc>
        <w:tc>
          <w:tcPr>
            <w:tcW w:w="11911" w:type="dxa"/>
            <w:gridSpan w:val="8"/>
            <w:shd w:val="clear" w:color="auto" w:fill="FFFFFF" w:themeFill="background1"/>
            <w:vAlign w:val="center"/>
          </w:tcPr>
          <w:p w14:paraId="73D858F9"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b/>
                <w:color w:val="auto"/>
              </w:rPr>
              <w:t>2.</w:t>
            </w:r>
            <w:r w:rsidRPr="008126F0">
              <w:rPr>
                <w:rFonts w:ascii="Times New Roman" w:hAnsi="Times New Roman"/>
                <w:color w:val="auto"/>
              </w:rPr>
              <w:t xml:space="preserve"> Braki finansowe, a co się z tym wiąże zatrudnianie opiekunek za minimalne wynagrodzenie.</w:t>
            </w:r>
          </w:p>
        </w:tc>
      </w:tr>
      <w:tr w:rsidR="004B7613" w:rsidRPr="008126F0" w14:paraId="36FBA27D" w14:textId="77777777" w:rsidTr="00E86509">
        <w:trPr>
          <w:trHeight w:val="397"/>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8E61B5E" w14:textId="77777777" w:rsidR="004B7613" w:rsidRPr="008126F0" w:rsidRDefault="004B7613" w:rsidP="004B7613">
            <w:pPr>
              <w:spacing w:after="0" w:line="240" w:lineRule="auto"/>
              <w:rPr>
                <w:rFonts w:ascii="Times New Roman" w:hAnsi="Times New Roman"/>
                <w:color w:val="auto"/>
                <w:lang w:eastAsia="pl-PL"/>
              </w:rPr>
            </w:pPr>
          </w:p>
        </w:tc>
        <w:tc>
          <w:tcPr>
            <w:tcW w:w="11911" w:type="dxa"/>
            <w:gridSpan w:val="8"/>
            <w:shd w:val="clear" w:color="auto" w:fill="FFFFFF" w:themeFill="background1"/>
            <w:vAlign w:val="center"/>
          </w:tcPr>
          <w:p w14:paraId="3EB4BE77"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b/>
                <w:color w:val="auto"/>
              </w:rPr>
              <w:t>3.</w:t>
            </w:r>
            <w:r w:rsidRPr="008126F0">
              <w:rPr>
                <w:rFonts w:ascii="Times New Roman" w:hAnsi="Times New Roman"/>
                <w:color w:val="auto"/>
              </w:rPr>
              <w:t xml:space="preserve"> Praca którą wykonują opiekunki jest obciążająca psychicznie, brak szkoleń, superwizji.</w:t>
            </w:r>
          </w:p>
        </w:tc>
      </w:tr>
      <w:tr w:rsidR="004B7613" w:rsidRPr="008126F0" w14:paraId="727622BD" w14:textId="77777777" w:rsidTr="00E8650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E956548" w14:textId="77777777" w:rsidR="004B7613" w:rsidRPr="008126F0" w:rsidRDefault="004B7613" w:rsidP="004B7613">
            <w:pPr>
              <w:spacing w:after="0" w:line="240" w:lineRule="auto"/>
              <w:rPr>
                <w:rFonts w:ascii="Times New Roman" w:hAnsi="Times New Roman"/>
                <w:color w:val="auto"/>
                <w:lang w:eastAsia="pl-PL"/>
              </w:rPr>
            </w:pPr>
          </w:p>
        </w:tc>
        <w:tc>
          <w:tcPr>
            <w:tcW w:w="11911" w:type="dxa"/>
            <w:gridSpan w:val="8"/>
            <w:shd w:val="clear" w:color="auto" w:fill="FFFFFF" w:themeFill="background1"/>
            <w:vAlign w:val="center"/>
          </w:tcPr>
          <w:p w14:paraId="745B6D1F" w14:textId="77777777" w:rsidR="004B7613" w:rsidRPr="008126F0" w:rsidRDefault="004B7613" w:rsidP="004B7613">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8126F0">
              <w:rPr>
                <w:rFonts w:ascii="Times New Roman" w:hAnsi="Times New Roman"/>
                <w:b/>
                <w:color w:val="auto"/>
              </w:rPr>
              <w:t>4.</w:t>
            </w:r>
            <w:r w:rsidRPr="008126F0">
              <w:rPr>
                <w:rFonts w:ascii="Times New Roman" w:hAnsi="Times New Roman"/>
                <w:color w:val="auto"/>
              </w:rPr>
              <w:t xml:space="preserve"> Problemy związane z dojazdem do usługobiorców na terenach wiejskich z dużymi odległościami. Problemem jest dostosowanie godzin i odległości a także środku transportu dla opiekunek (brak  połączeń wewnątrz gminy, możliwość dotarcia wyłącznie własnym autem), a nie wszystkie opiekunki posiadają samochód.  </w:t>
            </w:r>
          </w:p>
        </w:tc>
      </w:tr>
      <w:tr w:rsidR="004B7613" w:rsidRPr="008126F0" w14:paraId="2D5BCAAA" w14:textId="77777777" w:rsidTr="00E86509">
        <w:trPr>
          <w:trHeight w:val="442"/>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91F9CD4" w14:textId="77777777" w:rsidR="004B7613" w:rsidRPr="008126F0" w:rsidRDefault="004B7613" w:rsidP="004B7613">
            <w:pPr>
              <w:spacing w:after="0" w:line="240" w:lineRule="auto"/>
              <w:rPr>
                <w:rFonts w:ascii="Times New Roman" w:hAnsi="Times New Roman"/>
                <w:color w:val="auto"/>
                <w:lang w:eastAsia="pl-PL"/>
              </w:rPr>
            </w:pPr>
            <w:r w:rsidRPr="008126F0">
              <w:rPr>
                <w:rFonts w:ascii="Times New Roman" w:hAnsi="Times New Roman"/>
                <w:color w:val="auto"/>
                <w:lang w:eastAsia="pl-PL"/>
              </w:rPr>
              <w:t>Stopień zaspokojenia potrzeb w zakresie usług opiekuńczych</w:t>
            </w:r>
          </w:p>
        </w:tc>
        <w:tc>
          <w:tcPr>
            <w:tcW w:w="11911" w:type="dxa"/>
            <w:gridSpan w:val="8"/>
            <w:shd w:val="clear" w:color="auto" w:fill="FFFFFF" w:themeFill="background1"/>
          </w:tcPr>
          <w:p w14:paraId="0CD047B6" w14:textId="77777777" w:rsidR="004B7613" w:rsidRPr="008126F0" w:rsidRDefault="004B7613" w:rsidP="004B761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8126F0">
              <w:rPr>
                <w:rFonts w:ascii="Times New Roman" w:hAnsi="Times New Roman"/>
                <w:color w:val="auto"/>
              </w:rPr>
              <w:t>Osoby zgłaszające się do Ośrodków Pomocy Społecznej po pomoc w formie usług opiekuńczych obecnie mają tą pomoc zabezpieczoną. Najczęstszym sygnalizowanym problemem w tej kwestii jest brak opiekunek w godzinach wieczornych oraz w weekendy. Ośrodki prowadzą usługi opiekuńcze przez osoby zatrudnione na etatach oraz umowach zlecenie. Biorąc pod uwagę starzejące się społeczeństwo oraz brak osób chętnych do pracy jako opiekunki, mogą występować problemy z zaspokojeniem tej formy pomocy w przyszłości. W 2019 r. dziewięć gmin z terenu województwa kujawsko-pomorskiego nie realizowało pomocy w formie usług opiekuńczych w ramach zadań własnych. Sytuacja taka występuje najczęściej w gminach, gdzie dominuje nadal model rodziny wielopokoleniowej, wspólnie zamieszkującej, których członkowie we własnym zakresie zapewniają opiekę osobom starszym, chorym i niepełnosprawnym. W takich przypadkach często korzysta się z możliwości uzyskania świadczenia pielęgnacyjnego lub specjalnego zasiłku opiekuńczego przez członka rodziny, który nie podejmuje zatrudnienia lub z niego rezygnuje, aby podjąć się opieki nad osobą jej wymagającą. Powodem braku realizacji usług opiekuńczych na terenie gminy bywa również objęcie osób starszych wsparciem przez organizacje pozarządowe w ramach realizowanych projektów dofinansowanych ze środków Unii Europejskiej. Dodatkowo niesformalizowaną formą pomocy dla osób starszych są również usługi sąsiedzkie.</w:t>
            </w:r>
          </w:p>
        </w:tc>
      </w:tr>
    </w:tbl>
    <w:p w14:paraId="357AA26B" w14:textId="77777777" w:rsidR="00A46DB9" w:rsidRDefault="00A46DB9" w:rsidP="00CB509F">
      <w:pPr>
        <w:pStyle w:val="Nagwek2"/>
        <w:rPr>
          <w:rFonts w:eastAsia="Times New Roman"/>
          <w:lang w:eastAsia="ar-SA"/>
        </w:rPr>
        <w:sectPr w:rsidR="00A46DB9" w:rsidSect="00080A38">
          <w:pgSz w:w="16838" w:h="11900" w:orient="landscape"/>
          <w:pgMar w:top="1380" w:right="1384" w:bottom="1386" w:left="1038" w:header="0" w:footer="567" w:gutter="0"/>
          <w:cols w:space="0" w:equalWidth="0">
            <w:col w:w="9140"/>
          </w:cols>
          <w:docGrid w:linePitch="360"/>
        </w:sectPr>
      </w:pPr>
    </w:p>
    <w:p w14:paraId="3CB5A15D" w14:textId="77777777" w:rsidR="00894A7E" w:rsidRPr="00AF051D" w:rsidRDefault="00475EFA" w:rsidP="003C1988">
      <w:pPr>
        <w:pStyle w:val="Nagwek2"/>
        <w:spacing w:before="240" w:after="240"/>
        <w:ind w:left="432"/>
        <w:rPr>
          <w:rFonts w:eastAsia="Times New Roman" w:cs="Times New Roman"/>
          <w:sz w:val="40"/>
          <w:szCs w:val="28"/>
          <w:lang w:eastAsia="ar-SA"/>
        </w:rPr>
      </w:pPr>
      <w:bookmarkStart w:id="128" w:name="_Toc49171358"/>
      <w:r w:rsidRPr="00AF051D">
        <w:rPr>
          <w:rFonts w:eastAsia="Times New Roman" w:cs="Times New Roman"/>
          <w:sz w:val="40"/>
          <w:szCs w:val="28"/>
          <w:lang w:eastAsia="ar-SA"/>
        </w:rPr>
        <w:lastRenderedPageBreak/>
        <w:t>Województwo</w:t>
      </w:r>
      <w:r w:rsidR="005F0A32" w:rsidRPr="00AF051D">
        <w:rPr>
          <w:rFonts w:eastAsia="Times New Roman" w:cs="Times New Roman"/>
          <w:sz w:val="40"/>
          <w:szCs w:val="28"/>
          <w:lang w:eastAsia="ar-SA"/>
        </w:rPr>
        <w:t xml:space="preserve"> lu</w:t>
      </w:r>
      <w:r w:rsidRPr="00AF051D">
        <w:rPr>
          <w:rFonts w:eastAsia="Times New Roman" w:cs="Times New Roman"/>
          <w:sz w:val="40"/>
          <w:szCs w:val="28"/>
          <w:lang w:eastAsia="ar-SA"/>
        </w:rPr>
        <w:t>belskie</w:t>
      </w:r>
      <w:bookmarkEnd w:id="128"/>
    </w:p>
    <w:p w14:paraId="1EFC32FF" w14:textId="77777777" w:rsidR="00894A7E" w:rsidRPr="00216A41" w:rsidRDefault="00894A7E" w:rsidP="003C1988">
      <w:pPr>
        <w:spacing w:after="0"/>
        <w:rPr>
          <w:rFonts w:ascii="Times New Roman" w:hAnsi="Times New Roman" w:cs="Times New Roman"/>
          <w:b/>
          <w:color w:val="00B0F0"/>
          <w:sz w:val="24"/>
          <w:szCs w:val="24"/>
          <w:lang w:eastAsia="ar-SA"/>
        </w:rPr>
      </w:pPr>
      <w:r w:rsidRPr="00216A41">
        <w:rPr>
          <w:rFonts w:ascii="Times New Roman" w:hAnsi="Times New Roman" w:cs="Times New Roman"/>
          <w:b/>
          <w:color w:val="00B0F0"/>
          <w:sz w:val="24"/>
          <w:szCs w:val="24"/>
          <w:lang w:eastAsia="ar-SA"/>
        </w:rPr>
        <w:t>Dokumenty, strategie i działania na rzecz osób starszych</w:t>
      </w:r>
    </w:p>
    <w:p w14:paraId="4C3D1BAE" w14:textId="77777777" w:rsidR="00894A7E" w:rsidRDefault="00894A7E" w:rsidP="003C1988">
      <w:pPr>
        <w:pStyle w:val="Standard"/>
        <w:spacing w:line="276" w:lineRule="auto"/>
        <w:rPr>
          <w:rFonts w:ascii="Times New Roman" w:hAnsi="Times New Roman" w:cs="Times New Roman"/>
          <w:b/>
          <w:color w:val="000000"/>
        </w:rPr>
      </w:pPr>
    </w:p>
    <w:p w14:paraId="5F5BC125" w14:textId="77777777" w:rsidR="00F31DCC" w:rsidRPr="005F0A32" w:rsidRDefault="00F31DCC" w:rsidP="00493925">
      <w:pPr>
        <w:pStyle w:val="Standard"/>
        <w:spacing w:line="276" w:lineRule="auto"/>
        <w:jc w:val="both"/>
        <w:rPr>
          <w:rFonts w:ascii="Times New Roman" w:hAnsi="Times New Roman" w:cs="Times New Roman"/>
        </w:rPr>
      </w:pPr>
      <w:r w:rsidRPr="005F0A32">
        <w:rPr>
          <w:rFonts w:ascii="Times New Roman" w:hAnsi="Times New Roman" w:cs="Times New Roman"/>
        </w:rPr>
        <w:t>Wiodącym dokumentem strategicznym o zasięgu wojewódzkim jest Strategia Polityki Społecznej Województwa Lubelskiego na lata 2014-2020</w:t>
      </w:r>
      <w:r w:rsidR="00216A41">
        <w:rPr>
          <w:rStyle w:val="Odwoanieprzypisudolnego"/>
          <w:rFonts w:ascii="Times New Roman" w:hAnsi="Times New Roman" w:cs="Times New Roman"/>
        </w:rPr>
        <w:footnoteReference w:id="75"/>
      </w:r>
      <w:r w:rsidR="00216A41">
        <w:rPr>
          <w:rFonts w:ascii="Times New Roman" w:hAnsi="Times New Roman" w:cs="Times New Roman"/>
        </w:rPr>
        <w:t>,</w:t>
      </w:r>
      <w:r w:rsidRPr="005F0A32">
        <w:rPr>
          <w:rFonts w:ascii="Times New Roman" w:hAnsi="Times New Roman" w:cs="Times New Roman"/>
        </w:rPr>
        <w:t xml:space="preserve"> przyjęta </w:t>
      </w:r>
      <w:r w:rsidRPr="00216A41">
        <w:rPr>
          <w:rFonts w:ascii="Times New Roman" w:hAnsi="Times New Roman" w:cs="Times New Roman"/>
          <w:i/>
        </w:rPr>
        <w:t>uchwałą Nr XXXVIII/612/2013 Sejmiku Województwa Lubelskiego z dnia 20 grudnia 2013 r.</w:t>
      </w:r>
      <w:r w:rsidRPr="005F0A32">
        <w:rPr>
          <w:rFonts w:ascii="Times New Roman" w:hAnsi="Times New Roman" w:cs="Times New Roman"/>
        </w:rPr>
        <w:t xml:space="preserve"> Strategia jest zgodna z innymi dokumentami strategicznymi szczebla krajowego, a także ze Strategią Rozwoju Województw</w:t>
      </w:r>
      <w:r w:rsidR="00F472B4">
        <w:rPr>
          <w:rFonts w:ascii="Times New Roman" w:hAnsi="Times New Roman" w:cs="Times New Roman"/>
        </w:rPr>
        <w:t>a Lubelskiego na lata 2014-2020</w:t>
      </w:r>
      <w:r w:rsidR="00F472B4">
        <w:rPr>
          <w:rStyle w:val="Odwoanieprzypisudolnego"/>
          <w:rFonts w:ascii="Times New Roman" w:hAnsi="Times New Roman" w:cs="Times New Roman"/>
        </w:rPr>
        <w:footnoteReference w:id="76"/>
      </w:r>
      <w:r w:rsidR="00F472B4">
        <w:rPr>
          <w:rFonts w:ascii="Times New Roman" w:hAnsi="Times New Roman" w:cs="Times New Roman"/>
        </w:rPr>
        <w:t xml:space="preserve"> </w:t>
      </w:r>
      <w:r w:rsidRPr="005F0A32">
        <w:rPr>
          <w:rFonts w:ascii="Times New Roman" w:hAnsi="Times New Roman" w:cs="Times New Roman"/>
        </w:rPr>
        <w:t>oraz Regionalną Strategią Innowacji Wojew</w:t>
      </w:r>
      <w:r w:rsidR="00F472B4">
        <w:rPr>
          <w:rFonts w:ascii="Times New Roman" w:hAnsi="Times New Roman" w:cs="Times New Roman"/>
        </w:rPr>
        <w:t>ództwa Lube</w:t>
      </w:r>
      <w:r w:rsidR="003D2FF5">
        <w:rPr>
          <w:rFonts w:ascii="Times New Roman" w:hAnsi="Times New Roman" w:cs="Times New Roman"/>
        </w:rPr>
        <w:t>lskiego do 2020 r.</w:t>
      </w:r>
      <w:r w:rsidR="00F472B4">
        <w:rPr>
          <w:rStyle w:val="Odwoanieprzypisudolnego"/>
          <w:rFonts w:ascii="Times New Roman" w:hAnsi="Times New Roman" w:cs="Times New Roman"/>
        </w:rPr>
        <w:footnoteReference w:id="77"/>
      </w:r>
      <w:r w:rsidR="00F472B4">
        <w:rPr>
          <w:rFonts w:ascii="Times New Roman" w:hAnsi="Times New Roman" w:cs="Times New Roman"/>
        </w:rPr>
        <w:t>.</w:t>
      </w:r>
      <w:r w:rsidR="003D2FF5">
        <w:rPr>
          <w:rFonts w:ascii="Times New Roman" w:hAnsi="Times New Roman" w:cs="Times New Roman"/>
        </w:rPr>
        <w:t xml:space="preserve"> </w:t>
      </w:r>
      <w:r w:rsidRPr="005F0A32">
        <w:rPr>
          <w:rFonts w:ascii="Times New Roman" w:hAnsi="Times New Roman" w:cs="Times New Roman"/>
        </w:rPr>
        <w:t>W swym zakresie  zawiera ona,  m.in. obszar tematyczny: Starzejące się społeczeństwo, który posiada praktyczne przełożenie w postaci Wojewódzkiego Programu na Rzecz Osób Starszych na lata 2016-2020.</w:t>
      </w:r>
    </w:p>
    <w:p w14:paraId="5E0D8799" w14:textId="77777777" w:rsidR="00894A7E" w:rsidRDefault="00894A7E" w:rsidP="00493925">
      <w:pPr>
        <w:pStyle w:val="Standard"/>
        <w:spacing w:line="276" w:lineRule="auto"/>
        <w:jc w:val="both"/>
        <w:rPr>
          <w:rFonts w:ascii="Times New Roman" w:hAnsi="Times New Roman" w:cs="Times New Roman"/>
        </w:rPr>
      </w:pPr>
    </w:p>
    <w:p w14:paraId="4817ECA5" w14:textId="77777777" w:rsidR="00F31DCC" w:rsidRPr="005F0A32" w:rsidRDefault="00F31DCC" w:rsidP="00493925">
      <w:pPr>
        <w:pStyle w:val="Standard"/>
        <w:spacing w:line="276" w:lineRule="auto"/>
        <w:jc w:val="both"/>
        <w:rPr>
          <w:rFonts w:ascii="Times New Roman" w:hAnsi="Times New Roman" w:cs="Times New Roman"/>
        </w:rPr>
      </w:pPr>
      <w:r w:rsidRPr="005F0A32">
        <w:rPr>
          <w:rFonts w:ascii="Times New Roman" w:hAnsi="Times New Roman" w:cs="Times New Roman"/>
        </w:rPr>
        <w:t>Pobudzeniu aktywności kulturalnej seniorów miały służyć również różnego rodzaju przedsięwzięcia kulturalne kierowane do seniorów, w tym wydarzenia organizowane przez Centrum Kultury w Lublinie, które cieszyły się szczególną popularności</w:t>
      </w:r>
      <w:r w:rsidR="00894A7E">
        <w:rPr>
          <w:rFonts w:ascii="Times New Roman" w:hAnsi="Times New Roman" w:cs="Times New Roman"/>
        </w:rPr>
        <w:t xml:space="preserve">ą wśród osób po 50. roku życia. </w:t>
      </w:r>
      <w:r w:rsidRPr="005F0A32">
        <w:rPr>
          <w:rFonts w:ascii="Times New Roman" w:hAnsi="Times New Roman" w:cs="Times New Roman"/>
        </w:rPr>
        <w:t xml:space="preserve">Działania najczęściej podejmowane na terenie gmin z obszaru aktywizacji oraz rozwoju zainteresowań to oferty turystyczno–rekreacyjne, zajęcia rękodzielnicze  </w:t>
      </w:r>
      <w:r w:rsidRPr="005F0A32">
        <w:rPr>
          <w:rFonts w:ascii="Times New Roman" w:hAnsi="Times New Roman" w:cs="Times New Roman"/>
          <w:lang w:val="en-US"/>
        </w:rPr>
        <w:t>i</w:t>
      </w:r>
      <w:r w:rsidRPr="005F0A32">
        <w:rPr>
          <w:rFonts w:ascii="Times New Roman" w:hAnsi="Times New Roman" w:cs="Times New Roman"/>
        </w:rPr>
        <w:t> artystyczne, spotkania z ciekawymi osobami, zajęcia ruchowe oraz inne zajęcia umożliwiające rozwój hobby a także imprezy integracyjne.</w:t>
      </w:r>
    </w:p>
    <w:p w14:paraId="58DE5DA4" w14:textId="77777777" w:rsidR="00F31DCC" w:rsidRPr="005F0A32" w:rsidRDefault="00F31DCC" w:rsidP="00493925">
      <w:pPr>
        <w:pStyle w:val="Standard"/>
        <w:snapToGrid w:val="0"/>
        <w:spacing w:line="276" w:lineRule="auto"/>
        <w:ind w:left="408"/>
        <w:jc w:val="both"/>
        <w:rPr>
          <w:rFonts w:ascii="Times New Roman" w:hAnsi="Times New Roman" w:cs="Times New Roman"/>
          <w:color w:val="000000"/>
        </w:rPr>
      </w:pPr>
    </w:p>
    <w:p w14:paraId="65BB4567" w14:textId="77777777" w:rsidR="00F31DCC" w:rsidRPr="005F0A32" w:rsidRDefault="00F31DCC" w:rsidP="00493925">
      <w:pPr>
        <w:pStyle w:val="Standard"/>
        <w:snapToGrid w:val="0"/>
        <w:spacing w:line="276" w:lineRule="auto"/>
        <w:jc w:val="both"/>
        <w:rPr>
          <w:rFonts w:ascii="Times New Roman" w:hAnsi="Times New Roman" w:cs="Times New Roman"/>
          <w:color w:val="000000"/>
        </w:rPr>
      </w:pPr>
      <w:r w:rsidRPr="005F0A32">
        <w:rPr>
          <w:rFonts w:ascii="Times New Roman" w:hAnsi="Times New Roman" w:cs="Times New Roman"/>
          <w:color w:val="000000"/>
        </w:rPr>
        <w:t>W 2019 r. na szczeblu samorządu województwa funkcjonował Wojewódzki Program na Rzecz O</w:t>
      </w:r>
      <w:r w:rsidR="003D2FF5">
        <w:rPr>
          <w:rFonts w:ascii="Times New Roman" w:hAnsi="Times New Roman" w:cs="Times New Roman"/>
          <w:color w:val="000000"/>
        </w:rPr>
        <w:t>sób Starszych na lata 2016-2020</w:t>
      </w:r>
      <w:r w:rsidR="003D2FF5">
        <w:rPr>
          <w:rStyle w:val="Odwoanieprzypisudolnego"/>
          <w:rFonts w:ascii="Times New Roman" w:hAnsi="Times New Roman" w:cs="Times New Roman"/>
          <w:color w:val="000000"/>
        </w:rPr>
        <w:footnoteReference w:id="78"/>
      </w:r>
      <w:r w:rsidR="003D2FF5">
        <w:rPr>
          <w:rFonts w:ascii="Times New Roman" w:hAnsi="Times New Roman" w:cs="Times New Roman"/>
          <w:color w:val="000000"/>
        </w:rPr>
        <w:t xml:space="preserve">, </w:t>
      </w:r>
      <w:r w:rsidRPr="005F0A32">
        <w:rPr>
          <w:rFonts w:ascii="Times New Roman" w:hAnsi="Times New Roman" w:cs="Times New Roman"/>
          <w:color w:val="000000"/>
        </w:rPr>
        <w:t xml:space="preserve">przyjęty </w:t>
      </w:r>
      <w:r w:rsidRPr="003D2FF5">
        <w:rPr>
          <w:rFonts w:ascii="Times New Roman" w:hAnsi="Times New Roman" w:cs="Times New Roman"/>
          <w:i/>
          <w:color w:val="000000"/>
        </w:rPr>
        <w:t>uchwałą nr LXXIII/1526//2015 Zarządu Województwa Lubelskiego z dnia 22 grudnia 2015 r.</w:t>
      </w:r>
      <w:r w:rsidRPr="005F0A32">
        <w:rPr>
          <w:rFonts w:ascii="Times New Roman" w:hAnsi="Times New Roman" w:cs="Times New Roman"/>
          <w:color w:val="000000"/>
        </w:rPr>
        <w:t>, który jest odpowiedzią na zmiany demograficzne zachodzące na Lubelszczyźnie, których wynikiem jest postępujący proces starzenia się ludności województwa. Program ten jest kontynuacją Programu, który obejmował lata 2013 – 2015. Realizowany w 5-letniej perspektywie program  ma na celu poprawę jakości życia</w:t>
      </w:r>
      <w:r w:rsidR="003D2FF5">
        <w:rPr>
          <w:rFonts w:ascii="Times New Roman" w:hAnsi="Times New Roman" w:cs="Times New Roman"/>
          <w:color w:val="000000"/>
        </w:rPr>
        <w:t xml:space="preserve"> </w:t>
      </w:r>
      <w:r w:rsidRPr="005F0A32">
        <w:rPr>
          <w:rFonts w:ascii="Times New Roman" w:hAnsi="Times New Roman" w:cs="Times New Roman"/>
          <w:color w:val="000000"/>
          <w:lang w:val="en-US"/>
        </w:rPr>
        <w:t>i</w:t>
      </w:r>
      <w:r w:rsidRPr="005F0A32">
        <w:rPr>
          <w:rFonts w:ascii="Times New Roman" w:hAnsi="Times New Roman" w:cs="Times New Roman"/>
          <w:color w:val="000000"/>
        </w:rPr>
        <w:t> funkcjonowania osób starszych oraz rozwój działań na rzecz integracji międzypokoleniowej i udziału osób starszych w życiu społecznym i zawodowym.</w:t>
      </w:r>
      <w:r w:rsidR="00894A7E">
        <w:rPr>
          <w:rFonts w:ascii="Times New Roman" w:hAnsi="Times New Roman" w:cs="Times New Roman"/>
          <w:color w:val="000000"/>
        </w:rPr>
        <w:t xml:space="preserve"> </w:t>
      </w:r>
      <w:r w:rsidRPr="005F0A32">
        <w:rPr>
          <w:rFonts w:ascii="Times New Roman" w:hAnsi="Times New Roman" w:cs="Times New Roman"/>
          <w:color w:val="000000"/>
        </w:rPr>
        <w:t>Program wyznacza 5 celów strategicznych:</w:t>
      </w:r>
    </w:p>
    <w:p w14:paraId="5C625EAD" w14:textId="77777777" w:rsidR="00F31DCC" w:rsidRPr="005F0A32" w:rsidRDefault="00F31DCC" w:rsidP="00493925">
      <w:pPr>
        <w:pStyle w:val="Standard"/>
        <w:snapToGrid w:val="0"/>
        <w:spacing w:line="276" w:lineRule="auto"/>
        <w:jc w:val="both"/>
        <w:rPr>
          <w:rFonts w:ascii="Times New Roman" w:hAnsi="Times New Roman" w:cs="Times New Roman"/>
          <w:color w:val="000000"/>
        </w:rPr>
      </w:pPr>
      <w:r w:rsidRPr="005F0A32">
        <w:rPr>
          <w:rFonts w:ascii="Times New Roman" w:hAnsi="Times New Roman" w:cs="Times New Roman"/>
          <w:color w:val="000000"/>
        </w:rPr>
        <w:t>1. Poprawa jakości i dostępności świadczeń opieki zdrowotnej.</w:t>
      </w:r>
    </w:p>
    <w:p w14:paraId="44D70005" w14:textId="77777777" w:rsidR="00F31DCC" w:rsidRPr="005F0A32" w:rsidRDefault="00F31DCC" w:rsidP="00493925">
      <w:pPr>
        <w:pStyle w:val="Standard"/>
        <w:snapToGrid w:val="0"/>
        <w:spacing w:line="276" w:lineRule="auto"/>
        <w:jc w:val="both"/>
        <w:rPr>
          <w:rFonts w:ascii="Times New Roman" w:hAnsi="Times New Roman" w:cs="Times New Roman"/>
          <w:color w:val="000000"/>
        </w:rPr>
      </w:pPr>
      <w:r w:rsidRPr="005F0A32">
        <w:rPr>
          <w:rFonts w:ascii="Times New Roman" w:hAnsi="Times New Roman" w:cs="Times New Roman"/>
          <w:color w:val="000000"/>
        </w:rPr>
        <w:t>2. Zapewnienie bezpieczeństwa socjalnego, przeciwdziałanie wykluczeniu społecznemu osób starszych.</w:t>
      </w:r>
    </w:p>
    <w:p w14:paraId="07288C3F" w14:textId="77777777" w:rsidR="00F31DCC" w:rsidRPr="005F0A32" w:rsidRDefault="00F31DCC" w:rsidP="00493925">
      <w:pPr>
        <w:pStyle w:val="Standard"/>
        <w:snapToGrid w:val="0"/>
        <w:spacing w:line="276" w:lineRule="auto"/>
        <w:jc w:val="both"/>
        <w:rPr>
          <w:rFonts w:ascii="Times New Roman" w:hAnsi="Times New Roman" w:cs="Times New Roman"/>
          <w:color w:val="000000"/>
        </w:rPr>
      </w:pPr>
      <w:r w:rsidRPr="005F0A32">
        <w:rPr>
          <w:rFonts w:ascii="Times New Roman" w:hAnsi="Times New Roman" w:cs="Times New Roman"/>
          <w:color w:val="000000"/>
        </w:rPr>
        <w:t>3.  Rozwój aktywności społecznej, kulturalnej i edukacyjnej osób starszych.</w:t>
      </w:r>
    </w:p>
    <w:p w14:paraId="39990ADA" w14:textId="77777777" w:rsidR="00F31DCC" w:rsidRPr="005F0A32" w:rsidRDefault="00F31DCC" w:rsidP="00493925">
      <w:pPr>
        <w:pStyle w:val="Standard"/>
        <w:snapToGrid w:val="0"/>
        <w:spacing w:line="276" w:lineRule="auto"/>
        <w:jc w:val="both"/>
        <w:rPr>
          <w:rFonts w:ascii="Times New Roman" w:hAnsi="Times New Roman" w:cs="Times New Roman"/>
          <w:color w:val="000000"/>
        </w:rPr>
      </w:pPr>
      <w:r w:rsidRPr="005F0A32">
        <w:rPr>
          <w:rFonts w:ascii="Times New Roman" w:hAnsi="Times New Roman" w:cs="Times New Roman"/>
          <w:color w:val="000000"/>
        </w:rPr>
        <w:t>4. Wzrost aktywności zawodowej osób starszych.</w:t>
      </w:r>
    </w:p>
    <w:p w14:paraId="3F422F5A" w14:textId="77777777" w:rsidR="00F31DCC" w:rsidRPr="005F0A32" w:rsidRDefault="00F31DCC" w:rsidP="00493925">
      <w:pPr>
        <w:pStyle w:val="Standard"/>
        <w:snapToGrid w:val="0"/>
        <w:spacing w:line="276" w:lineRule="auto"/>
        <w:jc w:val="both"/>
        <w:rPr>
          <w:rFonts w:ascii="Times New Roman" w:hAnsi="Times New Roman" w:cs="Times New Roman"/>
          <w:color w:val="000000"/>
        </w:rPr>
      </w:pPr>
      <w:r w:rsidRPr="005F0A32">
        <w:rPr>
          <w:rFonts w:ascii="Times New Roman" w:hAnsi="Times New Roman" w:cs="Times New Roman"/>
          <w:color w:val="000000"/>
        </w:rPr>
        <w:t>5. Zapobieganie zjawisku przemocy i dyskryminacji wobec osób starszych.</w:t>
      </w:r>
    </w:p>
    <w:p w14:paraId="691F6796" w14:textId="77777777" w:rsidR="00894A7E" w:rsidRDefault="00894A7E" w:rsidP="00493925">
      <w:pPr>
        <w:pStyle w:val="Standard"/>
        <w:snapToGrid w:val="0"/>
        <w:spacing w:line="276" w:lineRule="auto"/>
        <w:jc w:val="both"/>
        <w:rPr>
          <w:rFonts w:ascii="Times New Roman" w:hAnsi="Times New Roman" w:cs="Times New Roman"/>
          <w:color w:val="000000"/>
        </w:rPr>
      </w:pPr>
    </w:p>
    <w:p w14:paraId="74D5C1CD" w14:textId="77777777" w:rsidR="00F31DCC" w:rsidRPr="005F0A32" w:rsidRDefault="00F31DCC" w:rsidP="00493925">
      <w:pPr>
        <w:pStyle w:val="Standard"/>
        <w:snapToGrid w:val="0"/>
        <w:spacing w:line="276" w:lineRule="auto"/>
        <w:jc w:val="both"/>
        <w:rPr>
          <w:rFonts w:ascii="Times New Roman" w:hAnsi="Times New Roman" w:cs="Times New Roman"/>
          <w:color w:val="000000"/>
        </w:rPr>
      </w:pPr>
      <w:r w:rsidRPr="005F0A32">
        <w:rPr>
          <w:rFonts w:ascii="Times New Roman" w:hAnsi="Times New Roman" w:cs="Times New Roman"/>
          <w:color w:val="000000"/>
        </w:rPr>
        <w:t xml:space="preserve">Program monitorowany jest corocznie, a raport z monitoringu jest przedkładany Zarządowi Województwa Lubelskiego i kierowany pod obrady Komisji Polityki Społecznej i Równego </w:t>
      </w:r>
      <w:r w:rsidRPr="005F0A32">
        <w:rPr>
          <w:rFonts w:ascii="Times New Roman" w:hAnsi="Times New Roman" w:cs="Times New Roman"/>
          <w:color w:val="000000"/>
        </w:rPr>
        <w:lastRenderedPageBreak/>
        <w:t>Traktowania Sejmiku Województwa Lubelskiego. W 2019 r. Program wpisywał się w przepisy ustawy o pomocy społecznej oraz założenia Strategii Rozwoju Województwa Lubelskiego i Strategii Polityki Społecznej Województwa Lubelskiego.</w:t>
      </w:r>
    </w:p>
    <w:p w14:paraId="4778CD48" w14:textId="77777777" w:rsidR="00894A7E" w:rsidRDefault="00894A7E" w:rsidP="00493925">
      <w:pPr>
        <w:pStyle w:val="Standard"/>
        <w:snapToGrid w:val="0"/>
        <w:spacing w:line="276" w:lineRule="auto"/>
        <w:jc w:val="both"/>
        <w:rPr>
          <w:rFonts w:ascii="Times New Roman" w:hAnsi="Times New Roman" w:cs="Times New Roman"/>
          <w:color w:val="000000"/>
        </w:rPr>
      </w:pPr>
    </w:p>
    <w:p w14:paraId="00682E15" w14:textId="77777777" w:rsidR="00353262" w:rsidRPr="00353262" w:rsidRDefault="00353262" w:rsidP="00493925">
      <w:pPr>
        <w:pStyle w:val="Standard"/>
        <w:snapToGrid w:val="0"/>
        <w:spacing w:line="276" w:lineRule="auto"/>
        <w:jc w:val="both"/>
        <w:rPr>
          <w:rFonts w:ascii="Times New Roman" w:hAnsi="Times New Roman" w:cs="Times New Roman"/>
          <w:b/>
          <w:color w:val="000000"/>
        </w:rPr>
      </w:pPr>
      <w:r w:rsidRPr="00353262">
        <w:rPr>
          <w:rFonts w:ascii="Times New Roman" w:hAnsi="Times New Roman" w:cs="Times New Roman"/>
          <w:b/>
          <w:color w:val="000000"/>
        </w:rPr>
        <w:t>Program ASOS</w:t>
      </w:r>
    </w:p>
    <w:p w14:paraId="37BC96D3" w14:textId="77777777" w:rsidR="00F31DCC" w:rsidRPr="005F0A32" w:rsidRDefault="00F31DCC" w:rsidP="00493925">
      <w:pPr>
        <w:pStyle w:val="Standard"/>
        <w:snapToGrid w:val="0"/>
        <w:spacing w:line="276" w:lineRule="auto"/>
        <w:jc w:val="both"/>
        <w:rPr>
          <w:rFonts w:ascii="Times New Roman" w:hAnsi="Times New Roman" w:cs="Times New Roman"/>
        </w:rPr>
      </w:pPr>
      <w:r w:rsidRPr="005F0A32">
        <w:rPr>
          <w:rFonts w:ascii="Times New Roman" w:hAnsi="Times New Roman" w:cs="Times New Roman"/>
          <w:color w:val="000000"/>
        </w:rPr>
        <w:t>Równolegle do  Wojewódzkiego Programu na Rzecz Osób Starszych na lata 2016-2020 na Lubelszczyźnie jest realizowany Rządowy Program Aktywności Społecznej Osó</w:t>
      </w:r>
      <w:r w:rsidR="003D2FF5">
        <w:rPr>
          <w:rFonts w:ascii="Times New Roman" w:hAnsi="Times New Roman" w:cs="Times New Roman"/>
          <w:color w:val="000000"/>
        </w:rPr>
        <w:t xml:space="preserve">b Starszych na lata 2014-2020. </w:t>
      </w:r>
      <w:r w:rsidRPr="005F0A32">
        <w:rPr>
          <w:rFonts w:ascii="Times New Roman" w:hAnsi="Times New Roman" w:cs="Times New Roman"/>
          <w:color w:val="000000"/>
        </w:rPr>
        <w:t xml:space="preserve">Celem Programu ASOS jest poprawa jakości i poziomu życia osób starszych oraz zagospodarowanie ich potencjału poprzez umożliwienie im aktywności społecznej. Organizacje pozarządowe działające na rzecz osób starszych mogą ubiegać się o dofinansowanie w wysokości od 20 do 200 tys. zł. </w:t>
      </w:r>
      <w:r w:rsidRPr="005F0A32">
        <w:rPr>
          <w:rFonts w:ascii="Times New Roman" w:hAnsi="Times New Roman" w:cs="Times New Roman"/>
        </w:rPr>
        <w:t>W edycji Programu na 2019 r. do dofinansowania projektów w łącznej kwocie 2 427 693,00 zł zostało zakwalifikowanych 19 organizacji pozarządowych z terenu województwa lubelskiego.</w:t>
      </w:r>
      <w:r w:rsidR="00894A7E">
        <w:rPr>
          <w:rFonts w:ascii="Times New Roman" w:hAnsi="Times New Roman" w:cs="Times New Roman"/>
        </w:rPr>
        <w:t xml:space="preserve"> </w:t>
      </w:r>
      <w:r w:rsidRPr="005F0A32">
        <w:rPr>
          <w:rFonts w:ascii="Times New Roman" w:hAnsi="Times New Roman" w:cs="Times New Roman"/>
        </w:rPr>
        <w:t>Dofinansowane projekty dotyczyły:</w:t>
      </w:r>
    </w:p>
    <w:p w14:paraId="58F2E329" w14:textId="77777777" w:rsidR="00F31DCC" w:rsidRPr="005F0A32" w:rsidRDefault="00F31DCC" w:rsidP="00493925">
      <w:pPr>
        <w:pStyle w:val="Standard"/>
        <w:snapToGrid w:val="0"/>
        <w:spacing w:line="276" w:lineRule="auto"/>
        <w:jc w:val="both"/>
        <w:rPr>
          <w:rFonts w:ascii="Times New Roman" w:hAnsi="Times New Roman" w:cs="Times New Roman"/>
        </w:rPr>
      </w:pPr>
      <w:r w:rsidRPr="005F0A32">
        <w:rPr>
          <w:rFonts w:ascii="Times New Roman" w:hAnsi="Times New Roman" w:cs="Times New Roman"/>
        </w:rPr>
        <w:t>Priorytetu I: Edukacja osób starszych - 3;</w:t>
      </w:r>
    </w:p>
    <w:p w14:paraId="79018132" w14:textId="77777777" w:rsidR="00F31DCC" w:rsidRPr="005F0A32" w:rsidRDefault="00F31DCC" w:rsidP="00493925">
      <w:pPr>
        <w:pStyle w:val="Standard"/>
        <w:snapToGrid w:val="0"/>
        <w:spacing w:line="276" w:lineRule="auto"/>
        <w:jc w:val="both"/>
        <w:rPr>
          <w:rFonts w:ascii="Times New Roman" w:hAnsi="Times New Roman" w:cs="Times New Roman"/>
        </w:rPr>
      </w:pPr>
      <w:r w:rsidRPr="005F0A32">
        <w:rPr>
          <w:rFonts w:ascii="Times New Roman" w:hAnsi="Times New Roman" w:cs="Times New Roman"/>
        </w:rPr>
        <w:t>Priorytetu II: Aktywność społeczna promująca integrację wewnątrz i -międzypokoleniową - 8;</w:t>
      </w:r>
    </w:p>
    <w:p w14:paraId="49C64B2E" w14:textId="77777777" w:rsidR="00F31DCC" w:rsidRPr="005F0A32" w:rsidRDefault="00F31DCC" w:rsidP="00493925">
      <w:pPr>
        <w:pStyle w:val="Standard"/>
        <w:snapToGrid w:val="0"/>
        <w:spacing w:line="276" w:lineRule="auto"/>
        <w:jc w:val="both"/>
        <w:rPr>
          <w:rFonts w:ascii="Times New Roman" w:hAnsi="Times New Roman" w:cs="Times New Roman"/>
        </w:rPr>
      </w:pPr>
      <w:r w:rsidRPr="005F0A32">
        <w:rPr>
          <w:rFonts w:ascii="Times New Roman" w:hAnsi="Times New Roman" w:cs="Times New Roman"/>
        </w:rPr>
        <w:t>Priorytetu III: Partycypacja społeczna osób starszych - 6;</w:t>
      </w:r>
    </w:p>
    <w:p w14:paraId="573F12D4" w14:textId="77777777" w:rsidR="00F31DCC" w:rsidRPr="005F0A32" w:rsidRDefault="00F31DCC" w:rsidP="00493925">
      <w:pPr>
        <w:pStyle w:val="Standard"/>
        <w:snapToGrid w:val="0"/>
        <w:spacing w:line="276" w:lineRule="auto"/>
        <w:jc w:val="both"/>
        <w:rPr>
          <w:rFonts w:ascii="Times New Roman" w:hAnsi="Times New Roman" w:cs="Times New Roman"/>
        </w:rPr>
      </w:pPr>
      <w:r w:rsidRPr="005F0A32">
        <w:rPr>
          <w:rFonts w:ascii="Times New Roman" w:hAnsi="Times New Roman" w:cs="Times New Roman"/>
        </w:rPr>
        <w:t>Priorytetu IV: Usługi społeczne dla osób starszych (usługi zewnętrzne) - 2.</w:t>
      </w:r>
    </w:p>
    <w:p w14:paraId="29C2372B" w14:textId="77777777" w:rsidR="00894A7E" w:rsidRDefault="00894A7E" w:rsidP="00493925">
      <w:pPr>
        <w:pStyle w:val="Standard"/>
        <w:snapToGrid w:val="0"/>
        <w:spacing w:line="276" w:lineRule="auto"/>
        <w:jc w:val="both"/>
        <w:rPr>
          <w:rFonts w:ascii="Times New Roman" w:hAnsi="Times New Roman" w:cs="Times New Roman"/>
          <w:color w:val="000000"/>
        </w:rPr>
      </w:pPr>
    </w:p>
    <w:p w14:paraId="1ACB3288" w14:textId="77777777" w:rsidR="00353262" w:rsidRPr="00353262" w:rsidRDefault="00353262" w:rsidP="00493925">
      <w:pPr>
        <w:pStyle w:val="Standard"/>
        <w:snapToGrid w:val="0"/>
        <w:spacing w:line="276" w:lineRule="auto"/>
        <w:jc w:val="both"/>
        <w:rPr>
          <w:rFonts w:ascii="Times New Roman" w:hAnsi="Times New Roman" w:cs="Times New Roman"/>
          <w:b/>
          <w:color w:val="000000"/>
        </w:rPr>
      </w:pPr>
      <w:r w:rsidRPr="00353262">
        <w:rPr>
          <w:rFonts w:ascii="Times New Roman" w:hAnsi="Times New Roman" w:cs="Times New Roman"/>
          <w:b/>
          <w:color w:val="000000"/>
        </w:rPr>
        <w:t>Program Opieka 75+</w:t>
      </w:r>
    </w:p>
    <w:p w14:paraId="005E50F2" w14:textId="77777777" w:rsidR="00F31DCC" w:rsidRPr="005F0A32" w:rsidRDefault="00F31DCC" w:rsidP="00493925">
      <w:pPr>
        <w:pStyle w:val="Standard"/>
        <w:snapToGrid w:val="0"/>
        <w:spacing w:line="276" w:lineRule="auto"/>
        <w:jc w:val="both"/>
        <w:rPr>
          <w:rFonts w:ascii="Times New Roman" w:hAnsi="Times New Roman" w:cs="Times New Roman"/>
          <w:color w:val="000000"/>
        </w:rPr>
      </w:pPr>
      <w:r w:rsidRPr="005F0A32">
        <w:rPr>
          <w:rFonts w:ascii="Times New Roman" w:hAnsi="Times New Roman" w:cs="Times New Roman"/>
          <w:color w:val="000000"/>
        </w:rPr>
        <w:t xml:space="preserve">Program „Opieka 75+” jest kolejnym elementem polityki społecznej Rządu RP skierowanym do osób w podeszłym wieku. Adresowany do małych i średnich gmin, w tym gmin wiejskich, miejskich i miejsko-wiejskich do 60 tys. mieszkańców. Celem programu jest zwiększenie dostępności usług opiekuńczych oraz specjalistycznych usług opiekuńczych dla osób samotnych, w wieku 75 lat i więcej, którzy mieszkają na terenie małych </w:t>
      </w:r>
      <w:r w:rsidR="00F5321C">
        <w:rPr>
          <w:rFonts w:ascii="Times New Roman" w:hAnsi="Times New Roman" w:cs="Times New Roman"/>
          <w:color w:val="000000"/>
        </w:rPr>
        <w:t xml:space="preserve">i średnich gmin. Przewiduje się, że </w:t>
      </w:r>
      <w:r w:rsidRPr="005F0A32">
        <w:rPr>
          <w:rFonts w:ascii="Times New Roman" w:hAnsi="Times New Roman" w:cs="Times New Roman"/>
          <w:color w:val="000000"/>
        </w:rPr>
        <w:t>realizacja programu umożliwi:</w:t>
      </w:r>
    </w:p>
    <w:p w14:paraId="3D53F69B" w14:textId="77777777" w:rsidR="00F31DCC" w:rsidRPr="005F0A32" w:rsidRDefault="00F31DCC" w:rsidP="008C71A9">
      <w:pPr>
        <w:pStyle w:val="Standard"/>
        <w:numPr>
          <w:ilvl w:val="0"/>
          <w:numId w:val="46"/>
        </w:numPr>
        <w:snapToGrid w:val="0"/>
        <w:spacing w:line="276" w:lineRule="auto"/>
        <w:ind w:left="360"/>
        <w:jc w:val="both"/>
        <w:rPr>
          <w:rFonts w:ascii="Times New Roman" w:hAnsi="Times New Roman" w:cs="Times New Roman"/>
          <w:color w:val="000000"/>
        </w:rPr>
      </w:pPr>
      <w:r w:rsidRPr="005F0A32">
        <w:rPr>
          <w:rFonts w:ascii="Times New Roman" w:hAnsi="Times New Roman" w:cs="Times New Roman"/>
          <w:color w:val="000000"/>
        </w:rPr>
        <w:t>zapewnienie seniorom wsparcia i pomocy  adekwatnej do potrzeb i możliwości wynikających z wieku i stanu zdrowia;</w:t>
      </w:r>
    </w:p>
    <w:p w14:paraId="592875F8" w14:textId="77777777" w:rsidR="00F31DCC" w:rsidRPr="005F0A32" w:rsidRDefault="00F31DCC" w:rsidP="008C71A9">
      <w:pPr>
        <w:pStyle w:val="Standard"/>
        <w:numPr>
          <w:ilvl w:val="0"/>
          <w:numId w:val="46"/>
        </w:numPr>
        <w:snapToGrid w:val="0"/>
        <w:spacing w:line="276" w:lineRule="auto"/>
        <w:ind w:left="360"/>
        <w:jc w:val="both"/>
        <w:rPr>
          <w:rFonts w:ascii="Times New Roman" w:hAnsi="Times New Roman" w:cs="Times New Roman"/>
          <w:color w:val="000000"/>
        </w:rPr>
      </w:pPr>
      <w:r w:rsidRPr="005F0A32">
        <w:rPr>
          <w:rFonts w:ascii="Times New Roman" w:hAnsi="Times New Roman" w:cs="Times New Roman"/>
          <w:color w:val="000000"/>
        </w:rPr>
        <w:t>poprawę jakości życia osób w wieku 75+;</w:t>
      </w:r>
    </w:p>
    <w:p w14:paraId="00429545" w14:textId="77777777" w:rsidR="00F31DCC" w:rsidRPr="005F0A32" w:rsidRDefault="00F31DCC" w:rsidP="008C71A9">
      <w:pPr>
        <w:pStyle w:val="Standard"/>
        <w:numPr>
          <w:ilvl w:val="0"/>
          <w:numId w:val="46"/>
        </w:numPr>
        <w:snapToGrid w:val="0"/>
        <w:spacing w:line="276" w:lineRule="auto"/>
        <w:ind w:left="360"/>
        <w:jc w:val="both"/>
        <w:rPr>
          <w:rFonts w:ascii="Times New Roman" w:hAnsi="Times New Roman" w:cs="Times New Roman"/>
          <w:color w:val="000000"/>
        </w:rPr>
      </w:pPr>
      <w:r w:rsidRPr="005F0A32">
        <w:rPr>
          <w:rFonts w:ascii="Times New Roman" w:hAnsi="Times New Roman" w:cs="Times New Roman"/>
          <w:color w:val="000000"/>
        </w:rPr>
        <w:t>rozszerzenie oferty usług opiekuńczych i specjalistycznych usług opiekuńczych dla osób w wieku 75+;</w:t>
      </w:r>
    </w:p>
    <w:p w14:paraId="15653A4E" w14:textId="77777777" w:rsidR="00F31DCC" w:rsidRPr="005F0A32" w:rsidRDefault="00F31DCC" w:rsidP="008C71A9">
      <w:pPr>
        <w:pStyle w:val="Standard"/>
        <w:numPr>
          <w:ilvl w:val="0"/>
          <w:numId w:val="46"/>
        </w:numPr>
        <w:snapToGrid w:val="0"/>
        <w:spacing w:line="276" w:lineRule="auto"/>
        <w:ind w:left="360"/>
        <w:jc w:val="both"/>
        <w:rPr>
          <w:rFonts w:ascii="Times New Roman" w:hAnsi="Times New Roman" w:cs="Times New Roman"/>
          <w:color w:val="000000"/>
        </w:rPr>
      </w:pPr>
      <w:r w:rsidRPr="005F0A32">
        <w:rPr>
          <w:rFonts w:ascii="Times New Roman" w:hAnsi="Times New Roman" w:cs="Times New Roman"/>
          <w:color w:val="000000"/>
        </w:rPr>
        <w:t>wsparcie finansowe gmin w wypełnianiu zadań własnych o charakterze obowiązkowym.</w:t>
      </w:r>
    </w:p>
    <w:p w14:paraId="677A8BB1" w14:textId="77777777" w:rsidR="00F5321C" w:rsidRDefault="00F5321C" w:rsidP="00493925">
      <w:pPr>
        <w:pStyle w:val="Standard"/>
        <w:snapToGrid w:val="0"/>
        <w:spacing w:line="276" w:lineRule="auto"/>
        <w:jc w:val="both"/>
        <w:rPr>
          <w:rFonts w:ascii="Times New Roman" w:hAnsi="Times New Roman" w:cs="Times New Roman"/>
        </w:rPr>
      </w:pPr>
    </w:p>
    <w:p w14:paraId="634DE6D6" w14:textId="77777777" w:rsidR="00F31DCC" w:rsidRPr="005F0A32" w:rsidRDefault="00F31DCC" w:rsidP="00493925">
      <w:pPr>
        <w:pStyle w:val="Standard"/>
        <w:snapToGrid w:val="0"/>
        <w:spacing w:line="276" w:lineRule="auto"/>
        <w:jc w:val="both"/>
        <w:rPr>
          <w:rFonts w:ascii="Times New Roman" w:hAnsi="Times New Roman" w:cs="Times New Roman"/>
        </w:rPr>
      </w:pPr>
      <w:r w:rsidRPr="005F0A32">
        <w:rPr>
          <w:rFonts w:ascii="Times New Roman" w:hAnsi="Times New Roman" w:cs="Times New Roman"/>
        </w:rPr>
        <w:t>W 2019 r. do udziału w tym Programie w województwie lubelskim przystąpiło 21 gmin, całkowity koszt realizacji zadania wyniósł 418 518,22 zł, w tym 209 259,11 zł stanowiło dofinansowanie budżetu państwa. W ubiegłorocznej edycji Programu gminy objęły wsparciem 65 osób, w tym 43 osobom nowym.</w:t>
      </w:r>
    </w:p>
    <w:p w14:paraId="3E9D947B" w14:textId="77777777" w:rsidR="00F31DCC" w:rsidRPr="005F0A32" w:rsidRDefault="00F31DCC" w:rsidP="00493925">
      <w:pPr>
        <w:pStyle w:val="Standard"/>
        <w:snapToGrid w:val="0"/>
        <w:spacing w:line="276" w:lineRule="auto"/>
        <w:jc w:val="both"/>
        <w:rPr>
          <w:rFonts w:ascii="Times New Roman" w:hAnsi="Times New Roman" w:cs="Times New Roman"/>
          <w:color w:val="000000"/>
        </w:rPr>
      </w:pPr>
    </w:p>
    <w:p w14:paraId="3E560C60" w14:textId="77777777" w:rsidR="00F31DCC" w:rsidRPr="00F5321C" w:rsidRDefault="00F31DCC" w:rsidP="00493925">
      <w:pPr>
        <w:pStyle w:val="Standard"/>
        <w:tabs>
          <w:tab w:val="left" w:pos="426"/>
        </w:tabs>
        <w:spacing w:line="276" w:lineRule="auto"/>
        <w:jc w:val="both"/>
        <w:rPr>
          <w:rFonts w:ascii="Times New Roman" w:hAnsi="Times New Roman" w:cs="Times New Roman"/>
        </w:rPr>
      </w:pPr>
      <w:r w:rsidRPr="005F0A32">
        <w:rPr>
          <w:rFonts w:ascii="Times New Roman" w:hAnsi="Times New Roman" w:cs="Times New Roman"/>
        </w:rPr>
        <w:t>Na terenie województwa lubelskiego w 2019 r. funkcjonowały 23 gminne rady seniorów. Działają one w 14 gminach miejskich, 3 gminach miejsko-wie</w:t>
      </w:r>
      <w:r w:rsidR="00F5321C">
        <w:rPr>
          <w:rFonts w:ascii="Times New Roman" w:hAnsi="Times New Roman" w:cs="Times New Roman"/>
        </w:rPr>
        <w:t xml:space="preserve">jskich i 3 gminach wiejskich. </w:t>
      </w:r>
    </w:p>
    <w:p w14:paraId="0625829D" w14:textId="77777777" w:rsidR="00F5321C" w:rsidRDefault="00F5321C" w:rsidP="00493925">
      <w:pPr>
        <w:pStyle w:val="Standard"/>
        <w:tabs>
          <w:tab w:val="left" w:pos="426"/>
        </w:tabs>
        <w:spacing w:line="276" w:lineRule="auto"/>
        <w:jc w:val="both"/>
        <w:rPr>
          <w:rFonts w:ascii="Times New Roman" w:hAnsi="Times New Roman" w:cs="Times New Roman"/>
          <w:b/>
        </w:rPr>
      </w:pPr>
    </w:p>
    <w:p w14:paraId="68107C4D" w14:textId="77777777" w:rsidR="00F31DCC" w:rsidRPr="005F0A32" w:rsidRDefault="00F31DCC" w:rsidP="00493925">
      <w:pPr>
        <w:pStyle w:val="Standard"/>
        <w:tabs>
          <w:tab w:val="left" w:pos="0"/>
        </w:tabs>
        <w:spacing w:line="276" w:lineRule="auto"/>
        <w:jc w:val="both"/>
        <w:rPr>
          <w:rFonts w:ascii="Times New Roman" w:hAnsi="Times New Roman" w:cs="Times New Roman"/>
        </w:rPr>
      </w:pPr>
      <w:r w:rsidRPr="005F0A32">
        <w:rPr>
          <w:rFonts w:ascii="Times New Roman" w:hAnsi="Times New Roman" w:cs="Times New Roman"/>
        </w:rPr>
        <w:t xml:space="preserve">Działaniami w zakresie aktywizacji osób starszych w województwie lubelskim zajmuje się szereg podmiotów: jednostki samorządu terytorialnego, ośrodki kultury, biblioteki, szkoły, jednostki organizacyjne pomocy i integracji społecznej, organizacje pozarządowe (w tym organizacje seniorskie, Uniwersytety Trzeciego Wieku), grupy nieformalne. Jedną  z najpopularniejszych oraz najbardziej istotnych form edukacji i aktywizacji osób starszych są </w:t>
      </w:r>
      <w:r w:rsidRPr="005F0A32">
        <w:rPr>
          <w:rFonts w:ascii="Times New Roman" w:hAnsi="Times New Roman" w:cs="Times New Roman"/>
        </w:rPr>
        <w:lastRenderedPageBreak/>
        <w:t>Uniwersytety Trzeciego Wieku. Dużą aktywnością  w powyższym zakresie wykazują się również miejskie i gminne ośrodki kultury wraz z bibliotekami.</w:t>
      </w:r>
    </w:p>
    <w:p w14:paraId="5B7D89CF"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p>
    <w:p w14:paraId="7A1CC35B" w14:textId="77777777" w:rsidR="00F5321C" w:rsidRPr="003D2FF5" w:rsidRDefault="00F5321C" w:rsidP="00493925">
      <w:pPr>
        <w:spacing w:after="0"/>
        <w:jc w:val="both"/>
        <w:rPr>
          <w:rFonts w:ascii="Times New Roman" w:hAnsi="Times New Roman" w:cs="Times New Roman"/>
          <w:color w:val="00B0F0"/>
          <w:sz w:val="24"/>
          <w:szCs w:val="24"/>
        </w:rPr>
      </w:pPr>
      <w:r w:rsidRPr="003D2FF5">
        <w:rPr>
          <w:rFonts w:ascii="Times New Roman" w:hAnsi="Times New Roman" w:cs="Times New Roman"/>
          <w:b/>
          <w:color w:val="00B0F0"/>
          <w:sz w:val="24"/>
          <w:szCs w:val="24"/>
        </w:rPr>
        <w:t xml:space="preserve">Przykłady dobrych praktyk na poziomie </w:t>
      </w:r>
      <w:r w:rsidR="003D2FF5">
        <w:rPr>
          <w:rFonts w:ascii="Times New Roman" w:hAnsi="Times New Roman" w:cs="Times New Roman"/>
          <w:b/>
          <w:color w:val="00B0F0"/>
          <w:sz w:val="24"/>
          <w:szCs w:val="24"/>
        </w:rPr>
        <w:t>lokalnym</w:t>
      </w:r>
    </w:p>
    <w:p w14:paraId="3C7F6F3F" w14:textId="77777777" w:rsidR="00F31DCC" w:rsidRPr="005F0A32" w:rsidRDefault="00F31DCC" w:rsidP="00493925">
      <w:pPr>
        <w:pStyle w:val="Standard"/>
        <w:tabs>
          <w:tab w:val="left" w:pos="851"/>
          <w:tab w:val="left" w:pos="900"/>
        </w:tabs>
        <w:spacing w:line="276" w:lineRule="auto"/>
        <w:jc w:val="both"/>
        <w:rPr>
          <w:rFonts w:ascii="Times New Roman" w:hAnsi="Times New Roman" w:cs="Times New Roman"/>
          <w:b/>
        </w:rPr>
      </w:pPr>
    </w:p>
    <w:p w14:paraId="7FDBA105"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Samorząd województwa lubelskiego, przy pomocy Regionalnego Ośrodka Polityki Społecznej w Lublinie, w 2019 r. podejmował szereg działań o charakterze dobrych praktyk, takich jak:</w:t>
      </w:r>
    </w:p>
    <w:p w14:paraId="27BD348E" w14:textId="77777777" w:rsidR="00F433AE" w:rsidRDefault="00F433AE" w:rsidP="00493925">
      <w:pPr>
        <w:pStyle w:val="Standard"/>
        <w:tabs>
          <w:tab w:val="left" w:pos="900"/>
        </w:tabs>
        <w:spacing w:line="276" w:lineRule="auto"/>
        <w:jc w:val="both"/>
        <w:rPr>
          <w:rFonts w:ascii="Times New Roman" w:hAnsi="Times New Roman" w:cs="Times New Roman"/>
        </w:rPr>
      </w:pPr>
    </w:p>
    <w:p w14:paraId="2095E941" w14:textId="77777777" w:rsidR="00F31DCC" w:rsidRPr="00F5321C" w:rsidRDefault="00F31DCC" w:rsidP="00493925">
      <w:pPr>
        <w:pStyle w:val="Standard"/>
        <w:tabs>
          <w:tab w:val="left" w:pos="900"/>
        </w:tabs>
        <w:spacing w:line="276" w:lineRule="auto"/>
        <w:jc w:val="both"/>
        <w:rPr>
          <w:rFonts w:ascii="Times New Roman" w:hAnsi="Times New Roman" w:cs="Times New Roman"/>
        </w:rPr>
      </w:pPr>
      <w:r w:rsidRPr="00F433AE">
        <w:rPr>
          <w:rFonts w:ascii="Times New Roman" w:hAnsi="Times New Roman" w:cs="Times New Roman"/>
          <w:b/>
        </w:rPr>
        <w:t xml:space="preserve">Współpraca z Wojewódzką Radą ds. Polityki Senioralnej przy Marszałku Województwa </w:t>
      </w:r>
      <w:r w:rsidRPr="005F0A32">
        <w:rPr>
          <w:rFonts w:ascii="Times New Roman" w:hAnsi="Times New Roman" w:cs="Times New Roman"/>
        </w:rPr>
        <w:t xml:space="preserve">Lubelskiego powołaną w dniu 15 lipca 2014 r. przez Zarząd Województwa Lubelskiego </w:t>
      </w:r>
      <w:r w:rsidRPr="00353262">
        <w:rPr>
          <w:rFonts w:ascii="Times New Roman" w:hAnsi="Times New Roman" w:cs="Times New Roman"/>
          <w:i/>
        </w:rPr>
        <w:t>Uchwałą nr CCLVIII/5360/2014</w:t>
      </w:r>
      <w:r w:rsidRPr="005F0A32">
        <w:rPr>
          <w:rFonts w:ascii="Times New Roman" w:hAnsi="Times New Roman" w:cs="Times New Roman"/>
        </w:rPr>
        <w:t>.</w:t>
      </w:r>
      <w:r w:rsidR="00F5321C">
        <w:rPr>
          <w:rFonts w:ascii="Times New Roman" w:hAnsi="Times New Roman" w:cs="Times New Roman"/>
        </w:rPr>
        <w:t xml:space="preserve"> </w:t>
      </w:r>
      <w:r w:rsidRPr="00F5321C">
        <w:rPr>
          <w:rFonts w:ascii="Times New Roman" w:hAnsi="Times New Roman" w:cs="Times New Roman"/>
        </w:rPr>
        <w:t>Głównym zadaniem Rady jest:</w:t>
      </w:r>
    </w:p>
    <w:p w14:paraId="322228E6" w14:textId="77777777" w:rsidR="00F31DCC" w:rsidRPr="005F0A32" w:rsidRDefault="00F31DCC" w:rsidP="008C71A9">
      <w:pPr>
        <w:pStyle w:val="Standard"/>
        <w:numPr>
          <w:ilvl w:val="0"/>
          <w:numId w:val="47"/>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współtworzenie kierunków polityki senioralnej w województwie lubelskim,</w:t>
      </w:r>
    </w:p>
    <w:p w14:paraId="6387C191" w14:textId="77777777" w:rsidR="00F31DCC" w:rsidRPr="005F0A32" w:rsidRDefault="00F31DCC" w:rsidP="008C71A9">
      <w:pPr>
        <w:pStyle w:val="Standard"/>
        <w:numPr>
          <w:ilvl w:val="0"/>
          <w:numId w:val="47"/>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opiniowanie projektów programów kierowanych do osób starszych,</w:t>
      </w:r>
    </w:p>
    <w:p w14:paraId="6A19B27D" w14:textId="77777777" w:rsidR="00F31DCC" w:rsidRPr="005F0A32" w:rsidRDefault="00F31DCC" w:rsidP="008C71A9">
      <w:pPr>
        <w:pStyle w:val="Standard"/>
        <w:numPr>
          <w:ilvl w:val="0"/>
          <w:numId w:val="47"/>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wspieranie rozwoju i działań organizacji pozarządowych,</w:t>
      </w:r>
    </w:p>
    <w:p w14:paraId="76E144F1" w14:textId="77777777" w:rsidR="00F31DCC" w:rsidRPr="005F0A32" w:rsidRDefault="00F31DCC" w:rsidP="008C71A9">
      <w:pPr>
        <w:pStyle w:val="Standard"/>
        <w:numPr>
          <w:ilvl w:val="0"/>
          <w:numId w:val="47"/>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wspieranie klubów i uniwersytetów dla osób 60+,</w:t>
      </w:r>
    </w:p>
    <w:p w14:paraId="3B1EC218" w14:textId="77777777" w:rsidR="00F31DCC" w:rsidRPr="005F0A32" w:rsidRDefault="00F31DCC" w:rsidP="008C71A9">
      <w:pPr>
        <w:pStyle w:val="Standard"/>
        <w:numPr>
          <w:ilvl w:val="0"/>
          <w:numId w:val="47"/>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monitorowanie realizacji programów polityki senioralnej w woj. lubelskim,</w:t>
      </w:r>
    </w:p>
    <w:p w14:paraId="2608E5F7" w14:textId="77777777" w:rsidR="00F433AE" w:rsidRDefault="00F31DCC" w:rsidP="008C71A9">
      <w:pPr>
        <w:pStyle w:val="Standard"/>
        <w:numPr>
          <w:ilvl w:val="0"/>
          <w:numId w:val="47"/>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 xml:space="preserve">inicjowanie propozycji rozwiązań na rzecz środowiska seniorów oraz wymiany </w:t>
      </w:r>
      <w:r w:rsidRPr="005F0A32">
        <w:rPr>
          <w:rFonts w:ascii="Times New Roman" w:hAnsi="Times New Roman" w:cs="Times New Roman"/>
        </w:rPr>
        <w:br/>
        <w:t>i komunikacji międzypokoleniowej.</w:t>
      </w:r>
    </w:p>
    <w:p w14:paraId="3E6B0701" w14:textId="77777777" w:rsidR="00353262" w:rsidRPr="00F433AE" w:rsidRDefault="00353262" w:rsidP="00493925">
      <w:pPr>
        <w:pStyle w:val="Standard"/>
        <w:tabs>
          <w:tab w:val="left" w:pos="900"/>
        </w:tabs>
        <w:spacing w:line="276" w:lineRule="auto"/>
        <w:ind w:left="360"/>
        <w:jc w:val="both"/>
        <w:rPr>
          <w:rFonts w:ascii="Times New Roman" w:hAnsi="Times New Roman" w:cs="Times New Roman"/>
        </w:rPr>
      </w:pPr>
    </w:p>
    <w:p w14:paraId="2AF875C6"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W 2019 r. Regionalny Ośrodek Polityki Społecznej w Lublinie wpierał organizacje pozarządowe realizujące projekty na rzecz przeciwdziałania wykluczeniu społecznemu osób starszych poprzez wspieranie różnorodnych form ich aktywizacji – zlecanie zadań w ramach konkursów ofert. W 2019 r. dotacja w wysokości 61 250,00 zł została przekazana siedmiu organizacjom, które działaniami projektowymi objęły ponad 590 seniorów z terenu województwa lubelskiego.</w:t>
      </w:r>
    </w:p>
    <w:p w14:paraId="18CB008D"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Województwo Lubelskie dofinansowało m.in. następujące projekty:</w:t>
      </w:r>
    </w:p>
    <w:p w14:paraId="3EE0EFF9" w14:textId="77777777" w:rsidR="00F31DCC" w:rsidRPr="005F0A32" w:rsidRDefault="00F31DCC" w:rsidP="008C71A9">
      <w:pPr>
        <w:pStyle w:val="Standard"/>
        <w:numPr>
          <w:ilvl w:val="0"/>
          <w:numId w:val="48"/>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prowadzenie punktów poradnictwa i informacji (wynagrodzenie psychologa, doradcy zawodowego, prawnika)</w:t>
      </w:r>
    </w:p>
    <w:p w14:paraId="5662F9A0" w14:textId="77777777" w:rsidR="00F31DCC" w:rsidRPr="005F0A32" w:rsidRDefault="00F31DCC" w:rsidP="008C71A9">
      <w:pPr>
        <w:pStyle w:val="Standard"/>
        <w:numPr>
          <w:ilvl w:val="0"/>
          <w:numId w:val="48"/>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prowadzenie działań na rzecz osób starszych z zakresu profilaktyki prozdrowotnej, zajęcia warsztatowe z psychologiem, fizjoterapeutą</w:t>
      </w:r>
    </w:p>
    <w:p w14:paraId="2E0F449F" w14:textId="77777777" w:rsidR="00F31DCC" w:rsidRPr="005F0A32" w:rsidRDefault="00F31DCC" w:rsidP="008C71A9">
      <w:pPr>
        <w:pStyle w:val="Standard"/>
        <w:numPr>
          <w:ilvl w:val="0"/>
          <w:numId w:val="48"/>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działania zwiększające aktywność osób starszych w życiu kulturalnym, działania sportowe (m.in. instruktor aqua fitness, instruktor aerobiku, bilety wstępu na basen).</w:t>
      </w:r>
    </w:p>
    <w:p w14:paraId="1AC844E8" w14:textId="77777777" w:rsidR="00F433AE" w:rsidRDefault="00F433AE" w:rsidP="00493925">
      <w:pPr>
        <w:pStyle w:val="Standard"/>
        <w:tabs>
          <w:tab w:val="left" w:pos="900"/>
        </w:tabs>
        <w:spacing w:line="276" w:lineRule="auto"/>
        <w:jc w:val="both"/>
        <w:rPr>
          <w:rFonts w:ascii="Times New Roman" w:hAnsi="Times New Roman" w:cs="Times New Roman"/>
        </w:rPr>
      </w:pPr>
    </w:p>
    <w:p w14:paraId="10083427"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F433AE">
        <w:rPr>
          <w:rFonts w:ascii="Times New Roman" w:hAnsi="Times New Roman" w:cs="Times New Roman"/>
          <w:b/>
        </w:rPr>
        <w:t xml:space="preserve">Realizacja Wojewódzkiego Programu na Rzecz Osób Starszych na lata 2016 – 2020, </w:t>
      </w:r>
      <w:r w:rsidRPr="00F433AE">
        <w:rPr>
          <w:rFonts w:ascii="Times New Roman" w:hAnsi="Times New Roman" w:cs="Times New Roman"/>
        </w:rPr>
        <w:t xml:space="preserve">przyjętego </w:t>
      </w:r>
      <w:r w:rsidRPr="00353262">
        <w:rPr>
          <w:rFonts w:ascii="Times New Roman" w:hAnsi="Times New Roman" w:cs="Times New Roman"/>
          <w:i/>
        </w:rPr>
        <w:t>uchwałą Zarządu Województwa Lubelskiego nr LXXIII/1526/2015 z dnia 22 grudnia 2015 r.</w:t>
      </w:r>
      <w:r w:rsidRPr="00353262">
        <w:rPr>
          <w:rFonts w:ascii="Times New Roman" w:hAnsi="Times New Roman" w:cs="Times New Roman"/>
          <w:b/>
          <w:i/>
        </w:rPr>
        <w:t xml:space="preserve"> </w:t>
      </w:r>
      <w:r w:rsidRPr="005F0A32">
        <w:rPr>
          <w:rFonts w:ascii="Times New Roman" w:hAnsi="Times New Roman" w:cs="Times New Roman"/>
        </w:rPr>
        <w:t>Program ten jest kontynuacją Programu, który obejmował lata 2013 – 2015.</w:t>
      </w:r>
      <w:r w:rsidR="00F433AE">
        <w:rPr>
          <w:rFonts w:ascii="Times New Roman" w:hAnsi="Times New Roman" w:cs="Times New Roman"/>
        </w:rPr>
        <w:t xml:space="preserve"> </w:t>
      </w:r>
      <w:r w:rsidRPr="005F0A32">
        <w:rPr>
          <w:rFonts w:ascii="Times New Roman" w:hAnsi="Times New Roman" w:cs="Times New Roman"/>
        </w:rPr>
        <w:t>Wojewódzki Program wyznacza 5 celów strategicznych:</w:t>
      </w:r>
    </w:p>
    <w:p w14:paraId="25C574AA" w14:textId="77777777" w:rsidR="00F31DCC" w:rsidRPr="005F0A32" w:rsidRDefault="00F31DCC" w:rsidP="008C71A9">
      <w:pPr>
        <w:pStyle w:val="Standard"/>
        <w:numPr>
          <w:ilvl w:val="0"/>
          <w:numId w:val="49"/>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poprawa jakości i dostępności świadczeń opieki zdrowotnej.</w:t>
      </w:r>
    </w:p>
    <w:p w14:paraId="231975F3" w14:textId="77777777" w:rsidR="00F31DCC" w:rsidRPr="005F0A32" w:rsidRDefault="00F31DCC" w:rsidP="008C71A9">
      <w:pPr>
        <w:pStyle w:val="Standard"/>
        <w:numPr>
          <w:ilvl w:val="0"/>
          <w:numId w:val="49"/>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zapewnienie bezpieczeństwa socjalnego, przeciwdziałanie wykluczeniu społecznemu osób starszych.</w:t>
      </w:r>
    </w:p>
    <w:p w14:paraId="22CEBD1A" w14:textId="77777777" w:rsidR="00F31DCC" w:rsidRPr="005F0A32" w:rsidRDefault="00F31DCC" w:rsidP="008C71A9">
      <w:pPr>
        <w:pStyle w:val="Standard"/>
        <w:numPr>
          <w:ilvl w:val="0"/>
          <w:numId w:val="49"/>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rozwój aktywności społecznej, kulturalnej i edukacyjnej osób starszych.</w:t>
      </w:r>
    </w:p>
    <w:p w14:paraId="70394F68" w14:textId="77777777" w:rsidR="00F31DCC" w:rsidRPr="005F0A32" w:rsidRDefault="00F31DCC" w:rsidP="008C71A9">
      <w:pPr>
        <w:pStyle w:val="Standard"/>
        <w:numPr>
          <w:ilvl w:val="0"/>
          <w:numId w:val="49"/>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wzrost aktywności zawodowej osób starszych.</w:t>
      </w:r>
    </w:p>
    <w:p w14:paraId="61A83520" w14:textId="77777777" w:rsidR="00F31DCC" w:rsidRPr="005F0A32" w:rsidRDefault="00F31DCC" w:rsidP="008C71A9">
      <w:pPr>
        <w:pStyle w:val="Standard"/>
        <w:numPr>
          <w:ilvl w:val="0"/>
          <w:numId w:val="49"/>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zapobieganie zjawisku przemocy i dyskryminacji wobec osób starszych.</w:t>
      </w:r>
    </w:p>
    <w:p w14:paraId="0D0AFFA5" w14:textId="77777777" w:rsidR="00F31DCC"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 xml:space="preserve">Program monitorowany jest corocznie, a raport z monitoringu jest przedkładany Zarządowi Województwa Lubelskiego i kierowany pod obrady Komisji Polityki Społecznej  i Równego </w:t>
      </w:r>
      <w:r w:rsidRPr="005F0A32">
        <w:rPr>
          <w:rFonts w:ascii="Times New Roman" w:hAnsi="Times New Roman" w:cs="Times New Roman"/>
        </w:rPr>
        <w:lastRenderedPageBreak/>
        <w:t>Traktowania Sejmiku Województwa Lubelskiego.</w:t>
      </w:r>
    </w:p>
    <w:p w14:paraId="79FE0972" w14:textId="77777777" w:rsidR="00353262" w:rsidRPr="005F0A32" w:rsidRDefault="00353262" w:rsidP="00493925">
      <w:pPr>
        <w:pStyle w:val="Standard"/>
        <w:tabs>
          <w:tab w:val="left" w:pos="900"/>
        </w:tabs>
        <w:spacing w:line="276" w:lineRule="auto"/>
        <w:jc w:val="both"/>
        <w:rPr>
          <w:rFonts w:ascii="Times New Roman" w:hAnsi="Times New Roman" w:cs="Times New Roman"/>
        </w:rPr>
      </w:pPr>
    </w:p>
    <w:p w14:paraId="21BD5693" w14:textId="77777777" w:rsidR="00F31DCC" w:rsidRPr="005F0A32" w:rsidRDefault="00353262" w:rsidP="00493925">
      <w:pPr>
        <w:pStyle w:val="Standard"/>
        <w:tabs>
          <w:tab w:val="left" w:pos="900"/>
        </w:tabs>
        <w:spacing w:line="276" w:lineRule="auto"/>
        <w:jc w:val="both"/>
        <w:rPr>
          <w:rFonts w:ascii="Times New Roman" w:hAnsi="Times New Roman" w:cs="Times New Roman"/>
        </w:rPr>
      </w:pPr>
      <w:r>
        <w:rPr>
          <w:rFonts w:ascii="Times New Roman" w:hAnsi="Times New Roman" w:cs="Times New Roman"/>
          <w:b/>
        </w:rPr>
        <w:t xml:space="preserve">Każdego roku monitorowana jest również sytuacja </w:t>
      </w:r>
      <w:r w:rsidR="00F31DCC" w:rsidRPr="00F433AE">
        <w:rPr>
          <w:rFonts w:ascii="Times New Roman" w:hAnsi="Times New Roman" w:cs="Times New Roman"/>
          <w:b/>
        </w:rPr>
        <w:t>w zakresie rozwoju usług społecznych skierowanych do seniorów</w:t>
      </w:r>
      <w:r w:rsidR="00F31DCC" w:rsidRPr="005F0A32">
        <w:rPr>
          <w:rFonts w:ascii="Times New Roman" w:hAnsi="Times New Roman" w:cs="Times New Roman"/>
        </w:rPr>
        <w:t xml:space="preserve"> (m.in. usługi opiekuńcze, dzienne domu pomocy, świetlice, kluby seniora) w ramach sporządzanej corocznie Oceny Zasobów Pomocy Społecznej.</w:t>
      </w:r>
    </w:p>
    <w:p w14:paraId="77AEF820" w14:textId="77777777" w:rsidR="00F433AE" w:rsidRDefault="00F433AE" w:rsidP="00493925">
      <w:pPr>
        <w:pStyle w:val="Standard"/>
        <w:tabs>
          <w:tab w:val="left" w:pos="900"/>
        </w:tabs>
        <w:spacing w:line="276" w:lineRule="auto"/>
        <w:jc w:val="both"/>
        <w:rPr>
          <w:rFonts w:ascii="Times New Roman" w:hAnsi="Times New Roman" w:cs="Times New Roman"/>
        </w:rPr>
      </w:pPr>
    </w:p>
    <w:p w14:paraId="0E71E2B5"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W roku 2019 r. Województwo Lubelskie partycypowało w programie pt. „</w:t>
      </w:r>
      <w:r w:rsidRPr="00A82D80">
        <w:rPr>
          <w:rFonts w:ascii="Times New Roman" w:hAnsi="Times New Roman" w:cs="Times New Roman"/>
        </w:rPr>
        <w:t>Ogólnopolska Karta Seniora</w:t>
      </w:r>
      <w:r w:rsidR="00353262">
        <w:rPr>
          <w:rFonts w:ascii="Times New Roman" w:hAnsi="Times New Roman" w:cs="Times New Roman"/>
        </w:rPr>
        <w:t xml:space="preserve">” na podstawie </w:t>
      </w:r>
      <w:r w:rsidR="00353262" w:rsidRPr="00353262">
        <w:rPr>
          <w:rFonts w:ascii="Times New Roman" w:hAnsi="Times New Roman" w:cs="Times New Roman"/>
          <w:i/>
        </w:rPr>
        <w:t>Uchwały</w:t>
      </w:r>
      <w:r w:rsidRPr="00353262">
        <w:rPr>
          <w:rFonts w:ascii="Times New Roman" w:hAnsi="Times New Roman" w:cs="Times New Roman"/>
          <w:i/>
        </w:rPr>
        <w:t xml:space="preserve"> Nr CLXIX/3437/2017 Zarządu Województwa Lube</w:t>
      </w:r>
      <w:r w:rsidR="00F433AE" w:rsidRPr="00353262">
        <w:rPr>
          <w:rFonts w:ascii="Times New Roman" w:hAnsi="Times New Roman" w:cs="Times New Roman"/>
          <w:i/>
        </w:rPr>
        <w:t>lskiego z dnia 21 marca 2017 r</w:t>
      </w:r>
      <w:r w:rsidR="00E15DEF">
        <w:rPr>
          <w:rFonts w:ascii="Times New Roman" w:hAnsi="Times New Roman" w:cs="Times New Roman"/>
          <w:i/>
        </w:rPr>
        <w:t>.</w:t>
      </w:r>
      <w:r w:rsidR="00E15DEF">
        <w:rPr>
          <w:rStyle w:val="Odwoanieprzypisudolnego"/>
          <w:rFonts w:ascii="Times New Roman" w:hAnsi="Times New Roman" w:cs="Times New Roman"/>
          <w:i/>
        </w:rPr>
        <w:footnoteReference w:id="79"/>
      </w:r>
      <w:r w:rsidR="00F433AE" w:rsidRPr="00353262">
        <w:rPr>
          <w:rFonts w:ascii="Times New Roman" w:hAnsi="Times New Roman" w:cs="Times New Roman"/>
          <w:i/>
        </w:rPr>
        <w:t>.</w:t>
      </w:r>
      <w:r w:rsidR="00F433AE">
        <w:rPr>
          <w:rFonts w:ascii="Times New Roman" w:hAnsi="Times New Roman" w:cs="Times New Roman"/>
        </w:rPr>
        <w:t xml:space="preserve"> </w:t>
      </w:r>
      <w:r w:rsidRPr="005F0A32">
        <w:rPr>
          <w:rFonts w:ascii="Times New Roman" w:hAnsi="Times New Roman" w:cs="Times New Roman"/>
        </w:rPr>
        <w:t xml:space="preserve">Organizatorem programu jest Stowarzyszenie MANKO z siedzibą przy ul. Siarczki 16, 30-698 Kraków. Program ,,Ogólnopolska Karta Seniora” przeznaczony jest dla seniorów zamieszkałych na terenie całej Polski, którzy dzięki posiadaniu karty mogli skorzystać  </w:t>
      </w:r>
      <w:r w:rsidRPr="005F0A32">
        <w:rPr>
          <w:rFonts w:ascii="Times New Roman" w:hAnsi="Times New Roman" w:cs="Times New Roman"/>
          <w:lang w:val="en-US"/>
        </w:rPr>
        <w:t>z</w:t>
      </w:r>
      <w:r w:rsidRPr="005F0A32">
        <w:rPr>
          <w:rFonts w:ascii="Times New Roman" w:hAnsi="Times New Roman" w:cs="Times New Roman"/>
        </w:rPr>
        <w:t> promocji przygotowanych przez partnerów programu. W program zaangażowały się m.in. uzdrowiska, ośrodki, zdrowotno-medyczne, instytucje kulturalne, sportowe, rekreacyjne. Karta Seniora jest bezpłatna i bezterminowa, a jedynym warunkiem jej ot</w:t>
      </w:r>
      <w:r w:rsidR="00F433AE">
        <w:rPr>
          <w:rFonts w:ascii="Times New Roman" w:hAnsi="Times New Roman" w:cs="Times New Roman"/>
        </w:rPr>
        <w:t xml:space="preserve">rzymania jest ukończone 60 lat. </w:t>
      </w:r>
      <w:r w:rsidRPr="005F0A32">
        <w:rPr>
          <w:rFonts w:ascii="Times New Roman" w:hAnsi="Times New Roman" w:cs="Times New Roman"/>
        </w:rPr>
        <w:t>Przystąpienie do programu „Ogólnopolska Karta Seniora” jest elementem polityki społecznej realizowanej przez Województwo Lubelskie i ma przede wszystkim na celu aktywizację i integrację społeczną seniorów oraz poprawę społecznego wizerunku starości. Ogólnopolską Kartę Seniora wydano dla 6 054 seniorów z województwa lubelskiego.</w:t>
      </w:r>
    </w:p>
    <w:p w14:paraId="4212EFA1" w14:textId="77777777" w:rsidR="00423C0D" w:rsidRDefault="00423C0D" w:rsidP="00493925">
      <w:pPr>
        <w:pStyle w:val="Standard"/>
        <w:tabs>
          <w:tab w:val="left" w:pos="900"/>
        </w:tabs>
        <w:spacing w:line="276" w:lineRule="auto"/>
        <w:jc w:val="both"/>
        <w:rPr>
          <w:rFonts w:ascii="Times New Roman" w:hAnsi="Times New Roman" w:cs="Times New Roman"/>
        </w:rPr>
      </w:pPr>
    </w:p>
    <w:p w14:paraId="6B7FBDF7" w14:textId="77777777" w:rsidR="00F31DCC" w:rsidRDefault="00F31DCC" w:rsidP="00493925">
      <w:pPr>
        <w:pStyle w:val="Standard"/>
        <w:tabs>
          <w:tab w:val="left" w:pos="900"/>
        </w:tabs>
        <w:spacing w:line="276" w:lineRule="auto"/>
        <w:jc w:val="both"/>
        <w:rPr>
          <w:rFonts w:ascii="Times New Roman" w:hAnsi="Times New Roman" w:cs="Times New Roman"/>
          <w:b/>
        </w:rPr>
      </w:pPr>
      <w:r w:rsidRPr="00423C0D">
        <w:rPr>
          <w:rFonts w:ascii="Times New Roman" w:hAnsi="Times New Roman" w:cs="Times New Roman"/>
          <w:b/>
        </w:rPr>
        <w:t xml:space="preserve">Promowanie aktywności samorządów lokalnych oraz aktywności Seniorów </w:t>
      </w:r>
      <w:r w:rsidRPr="00423C0D">
        <w:rPr>
          <w:rFonts w:ascii="Times New Roman" w:hAnsi="Times New Roman" w:cs="Times New Roman"/>
          <w:b/>
        </w:rPr>
        <w:br/>
        <w:t>w środowisku lokalnym poprzez organizacje konkursów.</w:t>
      </w:r>
    </w:p>
    <w:p w14:paraId="1EA79BB4" w14:textId="77777777" w:rsidR="0071110C" w:rsidRPr="00423C0D" w:rsidRDefault="0071110C" w:rsidP="00493925">
      <w:pPr>
        <w:pStyle w:val="Standard"/>
        <w:tabs>
          <w:tab w:val="left" w:pos="900"/>
        </w:tabs>
        <w:spacing w:line="276" w:lineRule="auto"/>
        <w:jc w:val="both"/>
        <w:rPr>
          <w:rFonts w:ascii="Times New Roman" w:hAnsi="Times New Roman" w:cs="Times New Roman"/>
          <w:b/>
        </w:rPr>
      </w:pPr>
    </w:p>
    <w:p w14:paraId="1F0CFC51"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W 2019 r. Regionalny Ośrodek Polityki Społecznej w Lublinie ogłosił 2 konkursy: „Gmina przyjazna Seniorom” i „Aktywny Senior”. Celem konkursów jest promowanie innowacyjnych, wielozakresowych, działań na rzecz osób starszych przez gminy województwa lubelskiego oraz promowanie Seniorów aktywnie uczestniczących w życiu społeczności lokalnej. W kategorii „Gmina przyjazna Seniorom” wyróżniono 3 gminy, natomiast w kategorii „Aktywny Senior” wyróżniono 5 osób.</w:t>
      </w:r>
    </w:p>
    <w:p w14:paraId="5038848B" w14:textId="77777777" w:rsidR="0071110C" w:rsidRDefault="0071110C" w:rsidP="00493925">
      <w:pPr>
        <w:pStyle w:val="Standard"/>
        <w:tabs>
          <w:tab w:val="left" w:pos="900"/>
        </w:tabs>
        <w:spacing w:line="276" w:lineRule="auto"/>
        <w:jc w:val="both"/>
        <w:rPr>
          <w:rFonts w:ascii="Times New Roman" w:hAnsi="Times New Roman" w:cs="Times New Roman"/>
        </w:rPr>
      </w:pPr>
    </w:p>
    <w:p w14:paraId="2341AF86" w14:textId="16A60079" w:rsidR="00F31DCC" w:rsidRPr="00E15DEF"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 xml:space="preserve">Konferencja „Wojewódzki Dzień Seniora” organizowana cyklicznie przez Regionalny Ośrodek Polityki Społecznej  w Lublinie odbyła się w dniu 11 października 2019 r. </w:t>
      </w:r>
      <w:r w:rsidRPr="005F0A32">
        <w:rPr>
          <w:rFonts w:ascii="Times New Roman" w:eastAsia="Times New Roman" w:hAnsi="Times New Roman" w:cs="Times New Roman"/>
          <w:lang w:eastAsia="pl-PL"/>
        </w:rPr>
        <w:t>Wydarzenie adresowane było do seniorów z terenu województwa lubelskiego, przedstawicieli podmiotów działających na rzecz osób starszych oraz osób zainteresowanych polityką senioralną.</w:t>
      </w:r>
      <w:r w:rsidR="00E15DEF">
        <w:rPr>
          <w:rFonts w:ascii="Times New Roman" w:hAnsi="Times New Roman" w:cs="Times New Roman"/>
        </w:rPr>
        <w:t xml:space="preserve"> </w:t>
      </w:r>
      <w:r w:rsidRPr="005F0A32">
        <w:rPr>
          <w:rFonts w:ascii="Times New Roman" w:eastAsia="Times New Roman" w:hAnsi="Times New Roman" w:cs="Times New Roman"/>
          <w:lang w:eastAsia="pl-PL"/>
        </w:rPr>
        <w:t xml:space="preserve">W trakcie konferencji nastąpiło uroczyste uhonorowanie laureatów konkursów pt. „Gmina przyjazna Seniorom” oraz „Aktywny Senior”. Odbyły się także prelekcje nt. „Stop manipulacji - nie daj się oszukać” oraz „Warsztaty </w:t>
      </w:r>
      <w:r w:rsidR="0033760F" w:rsidRPr="005F0A32">
        <w:rPr>
          <w:rFonts w:ascii="Times New Roman" w:eastAsia="Times New Roman" w:hAnsi="Times New Roman" w:cs="Times New Roman"/>
          <w:lang w:eastAsia="pl-PL"/>
        </w:rPr>
        <w:t>Montessori</w:t>
      </w:r>
      <w:r w:rsidRPr="005F0A32">
        <w:rPr>
          <w:rFonts w:ascii="Times New Roman" w:eastAsia="Times New Roman" w:hAnsi="Times New Roman" w:cs="Times New Roman"/>
          <w:lang w:eastAsia="pl-PL"/>
        </w:rPr>
        <w:t xml:space="preserve"> Senior”. Wskazano również jak  postępować w sytuacjach zagrażających bezpieczeństwu osób starszych.</w:t>
      </w:r>
      <w:r w:rsidR="00E15DEF">
        <w:rPr>
          <w:rFonts w:ascii="Times New Roman" w:hAnsi="Times New Roman" w:cs="Times New Roman"/>
        </w:rPr>
        <w:t xml:space="preserve"> </w:t>
      </w:r>
      <w:r w:rsidRPr="005F0A32">
        <w:rPr>
          <w:rFonts w:ascii="Times New Roman" w:eastAsia="Times New Roman" w:hAnsi="Times New Roman" w:cs="Times New Roman"/>
          <w:lang w:eastAsia="pl-PL"/>
        </w:rPr>
        <w:t>Konferencję uświetniły występy artystyczne oraz towarzyszyła jej wystawa prac malarskich oraz rękodzieła wykonanych przez seniorów.</w:t>
      </w:r>
    </w:p>
    <w:p w14:paraId="29F77828" w14:textId="77777777" w:rsidR="0071110C" w:rsidRDefault="0071110C" w:rsidP="00493925">
      <w:pPr>
        <w:pStyle w:val="Standard"/>
        <w:tabs>
          <w:tab w:val="left" w:pos="900"/>
        </w:tabs>
        <w:spacing w:line="276" w:lineRule="auto"/>
        <w:jc w:val="both"/>
        <w:rPr>
          <w:rFonts w:ascii="Times New Roman" w:hAnsi="Times New Roman" w:cs="Times New Roman"/>
        </w:rPr>
      </w:pPr>
    </w:p>
    <w:p w14:paraId="15C94D28"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 xml:space="preserve">W 2019 r. na zlecenie Regionalnego Ośrodka Polityki Społecznej w Lublinie Grupa BST Sp. z o. o przeprowadziła badanie „Dostępność usług skierowanych do osób starszych w gminach województwa lubelskiego”. Głównym celem badania było określenie potrzeb w zakresie </w:t>
      </w:r>
      <w:r w:rsidRPr="005F0A32">
        <w:rPr>
          <w:rFonts w:ascii="Times New Roman" w:hAnsi="Times New Roman" w:cs="Times New Roman"/>
        </w:rPr>
        <w:lastRenderedPageBreak/>
        <w:t>dostępności usług dla osób starszych w14gminach województwa lubelskiego o największym odsetku os</w:t>
      </w:r>
      <w:r w:rsidR="00E15DEF">
        <w:rPr>
          <w:rFonts w:ascii="Times New Roman" w:hAnsi="Times New Roman" w:cs="Times New Roman"/>
        </w:rPr>
        <w:t xml:space="preserve">ób starszych –kobiet powyżej 60 </w:t>
      </w:r>
      <w:r w:rsidRPr="005F0A32">
        <w:rPr>
          <w:rFonts w:ascii="Times New Roman" w:hAnsi="Times New Roman" w:cs="Times New Roman"/>
        </w:rPr>
        <w:t>roku życia i</w:t>
      </w:r>
      <w:r w:rsidR="00E15DEF">
        <w:rPr>
          <w:rFonts w:ascii="Times New Roman" w:hAnsi="Times New Roman" w:cs="Times New Roman"/>
        </w:rPr>
        <w:t xml:space="preserve"> mężczyzn powyżej 65 roku życia</w:t>
      </w:r>
      <w:r w:rsidR="00E15DEF">
        <w:rPr>
          <w:rStyle w:val="Odwoanieprzypisudolnego"/>
          <w:rFonts w:ascii="Times New Roman" w:hAnsi="Times New Roman" w:cs="Times New Roman"/>
        </w:rPr>
        <w:footnoteReference w:id="80"/>
      </w:r>
      <w:r w:rsidR="00E15DEF">
        <w:rPr>
          <w:rFonts w:ascii="Times New Roman" w:hAnsi="Times New Roman" w:cs="Times New Roman"/>
        </w:rPr>
        <w:t>.</w:t>
      </w:r>
    </w:p>
    <w:p w14:paraId="66A1BAF7" w14:textId="77777777" w:rsidR="0071110C" w:rsidRDefault="0071110C" w:rsidP="00493925">
      <w:pPr>
        <w:pStyle w:val="Standard"/>
        <w:tabs>
          <w:tab w:val="left" w:pos="900"/>
        </w:tabs>
        <w:spacing w:line="276" w:lineRule="auto"/>
        <w:jc w:val="both"/>
        <w:rPr>
          <w:rFonts w:ascii="Times New Roman" w:hAnsi="Times New Roman" w:cs="Times New Roman"/>
        </w:rPr>
      </w:pPr>
    </w:p>
    <w:p w14:paraId="658E81DA"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Regionalny Ośrodek Polityki Społecznej w Lublinie uczestniczył w  dniach 25 – 27 października 2019 r.  w wydarzeniu LUBSENIOR współorganizowanym przez Targi Lublin S.A. oraz Urząd Miasta Lublin. Jest to  nowy projekt skierowany do seniorów, ich rodzin, opiekunów i rehabilitantów. Celem spotkania jest pokazanie, że człowiek dojrzały może żyć w godnych warunkach, cieszyć się dobrym zdrowiem, być darzonym powszechnym szacunkiem, czuć się bezpiecznie, aktywnie uczestniczyć</w:t>
      </w:r>
      <w:r w:rsidR="00E15DEF">
        <w:rPr>
          <w:rFonts w:ascii="Times New Roman" w:hAnsi="Times New Roman" w:cs="Times New Roman"/>
        </w:rPr>
        <w:t xml:space="preserve"> </w:t>
      </w:r>
      <w:r w:rsidRPr="005F0A32">
        <w:rPr>
          <w:rFonts w:ascii="Times New Roman" w:hAnsi="Times New Roman" w:cs="Times New Roman"/>
        </w:rPr>
        <w:t>w życiu społecznym oraz realizować swoje zainteresowania i pasje.</w:t>
      </w:r>
    </w:p>
    <w:p w14:paraId="27186628" w14:textId="77777777" w:rsidR="0071110C" w:rsidRDefault="0071110C" w:rsidP="00493925">
      <w:pPr>
        <w:pStyle w:val="Standard"/>
        <w:tabs>
          <w:tab w:val="left" w:pos="900"/>
        </w:tabs>
        <w:spacing w:line="276" w:lineRule="auto"/>
        <w:jc w:val="both"/>
        <w:rPr>
          <w:rFonts w:ascii="Times New Roman" w:hAnsi="Times New Roman" w:cs="Times New Roman"/>
        </w:rPr>
      </w:pPr>
    </w:p>
    <w:p w14:paraId="6E13DDD3"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 xml:space="preserve">Aby dostarczyć seniorom kompleksowej informacji odnośnie miejsc świadczących usługi na ich  rzecz został zaktualizowany </w:t>
      </w:r>
      <w:r w:rsidRPr="00E15DEF">
        <w:rPr>
          <w:rFonts w:ascii="Times New Roman" w:hAnsi="Times New Roman" w:cs="Times New Roman"/>
          <w:b/>
        </w:rPr>
        <w:t>Informator „Miejsca przyjazna Seniorom”.</w:t>
      </w:r>
      <w:r w:rsidRPr="005F0A32">
        <w:rPr>
          <w:rFonts w:ascii="Times New Roman" w:hAnsi="Times New Roman" w:cs="Times New Roman"/>
        </w:rPr>
        <w:t xml:space="preserve"> Publikacja zawiera bazę adresową instytucji (placówki medyczne, jednostki organizacyjne pomocy społecznej, instytucje kulturalne i sportowe, organizacje pozarządowe inne jednostki działające na rzecz osób starszych), których zadaniem i misją jest udzielanie pomocy i wspieranie seniorów. Wszystkie instytucje i podmioty zostały pogrupowane według powiatów i gmin w taki sposób, aby każdy, kto szuka konkretnej pomocy i wsparcia, znalazł ją jak najbliż</w:t>
      </w:r>
      <w:r w:rsidR="00E15DEF">
        <w:rPr>
          <w:rFonts w:ascii="Times New Roman" w:hAnsi="Times New Roman" w:cs="Times New Roman"/>
        </w:rPr>
        <w:t>ej swojego miejsca zamieszkania</w:t>
      </w:r>
      <w:r w:rsidR="00E15DEF">
        <w:rPr>
          <w:rStyle w:val="Odwoanieprzypisudolnego"/>
          <w:rFonts w:ascii="Times New Roman" w:hAnsi="Times New Roman" w:cs="Times New Roman"/>
        </w:rPr>
        <w:footnoteReference w:id="81"/>
      </w:r>
      <w:r w:rsidR="00E15DEF">
        <w:rPr>
          <w:rFonts w:ascii="Times New Roman" w:hAnsi="Times New Roman" w:cs="Times New Roman"/>
        </w:rPr>
        <w:t>.</w:t>
      </w:r>
    </w:p>
    <w:p w14:paraId="0B31EAEE" w14:textId="77777777" w:rsidR="0071110C" w:rsidRDefault="0071110C" w:rsidP="00493925">
      <w:pPr>
        <w:pStyle w:val="Standard"/>
        <w:tabs>
          <w:tab w:val="left" w:pos="900"/>
        </w:tabs>
        <w:spacing w:line="276" w:lineRule="auto"/>
        <w:jc w:val="both"/>
        <w:rPr>
          <w:rFonts w:ascii="Times New Roman" w:hAnsi="Times New Roman" w:cs="Times New Roman"/>
        </w:rPr>
      </w:pPr>
    </w:p>
    <w:p w14:paraId="150E68EE"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Wydarzenia kulturalne skierowane do seniorów realizowały instytucje kulturalne podległe Samorządowi Województwa Lubelskiego, tj.</w:t>
      </w:r>
    </w:p>
    <w:p w14:paraId="64DC3C57" w14:textId="77777777" w:rsidR="00F31DCC" w:rsidRPr="005F0A32" w:rsidRDefault="00F31DCC" w:rsidP="008C71A9">
      <w:pPr>
        <w:pStyle w:val="Standard"/>
        <w:numPr>
          <w:ilvl w:val="0"/>
          <w:numId w:val="50"/>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Ośrodek Praktyk Teatralnych „Gardzienice” w Gardzienicach,</w:t>
      </w:r>
    </w:p>
    <w:p w14:paraId="7003B330" w14:textId="77777777" w:rsidR="00F31DCC" w:rsidRPr="005F0A32" w:rsidRDefault="00F31DCC" w:rsidP="008C71A9">
      <w:pPr>
        <w:pStyle w:val="Standard"/>
        <w:numPr>
          <w:ilvl w:val="0"/>
          <w:numId w:val="50"/>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Muzeum Zamoyskich w Kozłówce, Muzeum Nadwiślańskie w Kazimierzu Dolnym,</w:t>
      </w:r>
    </w:p>
    <w:p w14:paraId="58FE339E" w14:textId="77777777" w:rsidR="00F31DCC" w:rsidRPr="005F0A32" w:rsidRDefault="00F31DCC" w:rsidP="008C71A9">
      <w:pPr>
        <w:pStyle w:val="Standard"/>
        <w:numPr>
          <w:ilvl w:val="0"/>
          <w:numId w:val="50"/>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Muzeum Wsi Lubelskiej w Lublinie,</w:t>
      </w:r>
    </w:p>
    <w:p w14:paraId="2B0F25EB" w14:textId="77777777" w:rsidR="00F31DCC" w:rsidRPr="005F0A32" w:rsidRDefault="00F31DCC" w:rsidP="008C71A9">
      <w:pPr>
        <w:pStyle w:val="Standard"/>
        <w:numPr>
          <w:ilvl w:val="0"/>
          <w:numId w:val="50"/>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Teatr im. Juliusza Osterwy w Lublinie,</w:t>
      </w:r>
    </w:p>
    <w:p w14:paraId="7F2E62F6" w14:textId="77777777" w:rsidR="00F31DCC" w:rsidRPr="005F0A32" w:rsidRDefault="00F31DCC" w:rsidP="008C71A9">
      <w:pPr>
        <w:pStyle w:val="Standard"/>
        <w:numPr>
          <w:ilvl w:val="0"/>
          <w:numId w:val="50"/>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Teatr Muzyczny w Lublinie,</w:t>
      </w:r>
    </w:p>
    <w:p w14:paraId="31977938" w14:textId="77777777" w:rsidR="00F31DCC" w:rsidRPr="005F0A32" w:rsidRDefault="00F31DCC" w:rsidP="008C71A9">
      <w:pPr>
        <w:pStyle w:val="Standard"/>
        <w:numPr>
          <w:ilvl w:val="0"/>
          <w:numId w:val="50"/>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Centrum Spotkania Kultur w Lublinie,</w:t>
      </w:r>
    </w:p>
    <w:p w14:paraId="1B122AF1" w14:textId="77777777" w:rsidR="00F31DCC" w:rsidRPr="005F0A32" w:rsidRDefault="00F31DCC" w:rsidP="008C71A9">
      <w:pPr>
        <w:pStyle w:val="Standard"/>
        <w:numPr>
          <w:ilvl w:val="0"/>
          <w:numId w:val="50"/>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Filharmonia Lubelska im. Henryka Wieniawskiego w Lublinie,</w:t>
      </w:r>
    </w:p>
    <w:p w14:paraId="230631F9" w14:textId="77777777" w:rsidR="00F31DCC" w:rsidRPr="005F0A32" w:rsidRDefault="00F31DCC" w:rsidP="008C71A9">
      <w:pPr>
        <w:pStyle w:val="Standard"/>
        <w:numPr>
          <w:ilvl w:val="0"/>
          <w:numId w:val="50"/>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Wojewódzki Ośrodek Kultury w Lublinie,</w:t>
      </w:r>
    </w:p>
    <w:p w14:paraId="3FB7EFCE" w14:textId="77777777" w:rsidR="00F31DCC" w:rsidRPr="005F0A32" w:rsidRDefault="00F31DCC" w:rsidP="008C71A9">
      <w:pPr>
        <w:pStyle w:val="Standard"/>
        <w:numPr>
          <w:ilvl w:val="0"/>
          <w:numId w:val="50"/>
        </w:numPr>
        <w:tabs>
          <w:tab w:val="left" w:pos="900"/>
        </w:tabs>
        <w:spacing w:line="276" w:lineRule="auto"/>
        <w:ind w:left="360"/>
        <w:jc w:val="both"/>
        <w:rPr>
          <w:rFonts w:ascii="Times New Roman" w:hAnsi="Times New Roman" w:cs="Times New Roman"/>
        </w:rPr>
      </w:pPr>
      <w:r w:rsidRPr="005F0A32">
        <w:rPr>
          <w:rFonts w:ascii="Times New Roman" w:hAnsi="Times New Roman" w:cs="Times New Roman"/>
        </w:rPr>
        <w:t>Wojewódzka Biblioteka Publiczna im. Hieronima Łopacińskiego w Lublinie.</w:t>
      </w:r>
    </w:p>
    <w:p w14:paraId="0E777D38"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Powyższe instytucje zapewniają osobom starszym możliwość nieodpłatnego korzystania ze zbiorów i usług, jak również ze zniżek w ramach organizowanych przez siebie wydarzeń. Większość z nich posiada certyfikat „Miejsce przyjazne seniorom” oraz honoruje „Lubelską Kartę Seniora”.</w:t>
      </w:r>
    </w:p>
    <w:p w14:paraId="190B767B" w14:textId="77777777" w:rsidR="0071110C" w:rsidRDefault="0071110C" w:rsidP="00493925">
      <w:pPr>
        <w:pStyle w:val="Standard"/>
        <w:tabs>
          <w:tab w:val="left" w:pos="900"/>
        </w:tabs>
        <w:spacing w:line="276" w:lineRule="auto"/>
        <w:jc w:val="both"/>
        <w:rPr>
          <w:rFonts w:ascii="Times New Roman" w:hAnsi="Times New Roman" w:cs="Times New Roman"/>
        </w:rPr>
      </w:pPr>
    </w:p>
    <w:p w14:paraId="67CD1BCE"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 xml:space="preserve">Działania na rzecz seniorów województwa lubelskiego organizowane były również przez jednostki  kulturalne, oświatowe, dla których Samorząd Województwa Lubelskiego jest organem prowadzącym. Są to szkoły policealne takie jak Kolegium Pracowników Służb </w:t>
      </w:r>
      <w:r w:rsidRPr="005F0A32">
        <w:rPr>
          <w:rFonts w:ascii="Times New Roman" w:hAnsi="Times New Roman" w:cs="Times New Roman"/>
        </w:rPr>
        <w:lastRenderedPageBreak/>
        <w:t>Społecznych w Lubl</w:t>
      </w:r>
      <w:r w:rsidR="00244B87">
        <w:rPr>
          <w:rFonts w:ascii="Times New Roman" w:hAnsi="Times New Roman" w:cs="Times New Roman"/>
        </w:rPr>
        <w:t xml:space="preserve">inie, Medyczne Studium Zawodowe </w:t>
      </w:r>
      <w:r w:rsidRPr="005F0A32">
        <w:rPr>
          <w:rFonts w:ascii="Times New Roman" w:hAnsi="Times New Roman" w:cs="Times New Roman"/>
        </w:rPr>
        <w:t>w: Lublinie, Zamościu, Białej</w:t>
      </w:r>
      <w:r w:rsidR="00244B87">
        <w:rPr>
          <w:rFonts w:ascii="Times New Roman" w:hAnsi="Times New Roman" w:cs="Times New Roman"/>
        </w:rPr>
        <w:t xml:space="preserve"> </w:t>
      </w:r>
      <w:r w:rsidRPr="005F0A32">
        <w:rPr>
          <w:rFonts w:ascii="Times New Roman" w:hAnsi="Times New Roman" w:cs="Times New Roman"/>
        </w:rPr>
        <w:t xml:space="preserve">Podlaskiej, Chełmie, Biłgoraju, Parczewie, Łukowie  </w:t>
      </w:r>
      <w:r w:rsidRPr="005F0A32">
        <w:rPr>
          <w:rFonts w:ascii="Times New Roman" w:hAnsi="Times New Roman" w:cs="Times New Roman"/>
          <w:lang w:val="en-US"/>
        </w:rPr>
        <w:t>i</w:t>
      </w:r>
      <w:r w:rsidRPr="005F0A32">
        <w:rPr>
          <w:rFonts w:ascii="Times New Roman" w:hAnsi="Times New Roman" w:cs="Times New Roman"/>
        </w:rPr>
        <w:t xml:space="preserve"> Puławach oraz Szkoła Podstawowa Specjalna przy Szpitalu Specjalistycznym  </w:t>
      </w:r>
      <w:r w:rsidRPr="005F0A32">
        <w:rPr>
          <w:rFonts w:ascii="Times New Roman" w:hAnsi="Times New Roman" w:cs="Times New Roman"/>
          <w:lang w:val="en-US"/>
        </w:rPr>
        <w:t>w</w:t>
      </w:r>
      <w:r w:rsidRPr="005F0A32">
        <w:rPr>
          <w:rFonts w:ascii="Times New Roman" w:hAnsi="Times New Roman" w:cs="Times New Roman"/>
        </w:rPr>
        <w:t xml:space="preserve"> Puławach, Szkoła Podstawowa Specjalna przy Sanatorium Rehabilitacyjnym  </w:t>
      </w:r>
      <w:r w:rsidRPr="005F0A32">
        <w:rPr>
          <w:rFonts w:ascii="Times New Roman" w:hAnsi="Times New Roman" w:cs="Times New Roman"/>
          <w:lang w:val="en-US"/>
        </w:rPr>
        <w:t>w</w:t>
      </w:r>
      <w:r w:rsidRPr="005F0A32">
        <w:rPr>
          <w:rFonts w:ascii="Times New Roman" w:hAnsi="Times New Roman" w:cs="Times New Roman"/>
        </w:rPr>
        <w:t xml:space="preserve"> Krasnobrodzie, Zespół Szkół przy Uniwersyteckim Szpitalu Dziecięcym  </w:t>
      </w:r>
      <w:r w:rsidRPr="005F0A32">
        <w:rPr>
          <w:rFonts w:ascii="Times New Roman" w:hAnsi="Times New Roman" w:cs="Times New Roman"/>
          <w:lang w:val="en-US"/>
        </w:rPr>
        <w:t>w</w:t>
      </w:r>
      <w:r w:rsidRPr="005F0A32">
        <w:rPr>
          <w:rFonts w:ascii="Times New Roman" w:hAnsi="Times New Roman" w:cs="Times New Roman"/>
        </w:rPr>
        <w:t> Lublinie. Podejmowane inicjatywy dotyczyły m.in.:</w:t>
      </w:r>
    </w:p>
    <w:p w14:paraId="42B0A6D8" w14:textId="77777777" w:rsidR="00F31DCC" w:rsidRPr="005F0A32" w:rsidRDefault="00F31DCC" w:rsidP="008C71A9">
      <w:pPr>
        <w:pStyle w:val="Standard"/>
        <w:numPr>
          <w:ilvl w:val="0"/>
          <w:numId w:val="51"/>
        </w:numPr>
        <w:spacing w:line="276" w:lineRule="auto"/>
        <w:ind w:left="360"/>
        <w:jc w:val="both"/>
        <w:rPr>
          <w:rFonts w:ascii="Times New Roman" w:eastAsia="Times New Roman" w:hAnsi="Times New Roman" w:cs="Times New Roman"/>
          <w:lang w:eastAsia="pl-PL"/>
        </w:rPr>
      </w:pPr>
      <w:r w:rsidRPr="005F0A32">
        <w:rPr>
          <w:rFonts w:ascii="Times New Roman" w:eastAsia="Times New Roman" w:hAnsi="Times New Roman" w:cs="Times New Roman"/>
          <w:lang w:eastAsia="pl-PL"/>
        </w:rPr>
        <w:t>organizacji zajęć informacyjno-edukacyjnych dla młodzieży dot. problemu starości.</w:t>
      </w:r>
    </w:p>
    <w:p w14:paraId="0DFD93B9" w14:textId="77777777" w:rsidR="00F31DCC" w:rsidRPr="005F0A32" w:rsidRDefault="00F31DCC" w:rsidP="008C71A9">
      <w:pPr>
        <w:pStyle w:val="Standard"/>
        <w:numPr>
          <w:ilvl w:val="0"/>
          <w:numId w:val="51"/>
        </w:numPr>
        <w:spacing w:line="276" w:lineRule="auto"/>
        <w:ind w:left="360"/>
        <w:jc w:val="both"/>
        <w:rPr>
          <w:rFonts w:ascii="Times New Roman" w:eastAsia="Times New Roman" w:hAnsi="Times New Roman" w:cs="Times New Roman"/>
          <w:lang w:eastAsia="pl-PL"/>
        </w:rPr>
      </w:pPr>
      <w:r w:rsidRPr="005F0A32">
        <w:rPr>
          <w:rFonts w:ascii="Times New Roman" w:eastAsia="Times New Roman" w:hAnsi="Times New Roman" w:cs="Times New Roman"/>
          <w:lang w:eastAsia="pl-PL"/>
        </w:rPr>
        <w:t>organizacji imprez kulturalnych, oświatowych, sportowych skierowanych do seniorów,</w:t>
      </w:r>
    </w:p>
    <w:p w14:paraId="5418DF39" w14:textId="77777777" w:rsidR="00F31DCC" w:rsidRPr="005F0A32" w:rsidRDefault="00F31DCC" w:rsidP="008C71A9">
      <w:pPr>
        <w:pStyle w:val="Standard"/>
        <w:numPr>
          <w:ilvl w:val="0"/>
          <w:numId w:val="51"/>
        </w:numPr>
        <w:spacing w:line="276" w:lineRule="auto"/>
        <w:ind w:left="360"/>
        <w:jc w:val="both"/>
        <w:rPr>
          <w:rFonts w:ascii="Times New Roman" w:eastAsia="Times New Roman" w:hAnsi="Times New Roman" w:cs="Times New Roman"/>
          <w:lang w:eastAsia="pl-PL"/>
        </w:rPr>
      </w:pPr>
      <w:r w:rsidRPr="005F0A32">
        <w:rPr>
          <w:rFonts w:ascii="Times New Roman" w:eastAsia="Times New Roman" w:hAnsi="Times New Roman" w:cs="Times New Roman"/>
          <w:lang w:eastAsia="pl-PL"/>
        </w:rPr>
        <w:t>promowania pozytywnego wizerunku osób starszych na zajęciach edukacyjnych, wychowawczych,</w:t>
      </w:r>
    </w:p>
    <w:p w14:paraId="59385E54" w14:textId="77777777" w:rsidR="00F31DCC" w:rsidRPr="005F0A32" w:rsidRDefault="00F31DCC" w:rsidP="008C71A9">
      <w:pPr>
        <w:pStyle w:val="Standard"/>
        <w:numPr>
          <w:ilvl w:val="0"/>
          <w:numId w:val="51"/>
        </w:numPr>
        <w:tabs>
          <w:tab w:val="left" w:pos="900"/>
        </w:tabs>
        <w:spacing w:line="276" w:lineRule="auto"/>
        <w:ind w:left="360"/>
        <w:jc w:val="both"/>
        <w:rPr>
          <w:rFonts w:ascii="Times New Roman" w:hAnsi="Times New Roman" w:cs="Times New Roman"/>
        </w:rPr>
      </w:pPr>
      <w:r w:rsidRPr="005F0A32">
        <w:rPr>
          <w:rFonts w:ascii="Times New Roman" w:eastAsia="Times New Roman" w:hAnsi="Times New Roman" w:cs="Times New Roman"/>
          <w:lang w:eastAsia="pl-PL"/>
        </w:rPr>
        <w:t>organizacji międzypokoleniowych spotkań integracyjnych, kulturalnych, edukacyj</w:t>
      </w:r>
      <w:r w:rsidRPr="005F0A32">
        <w:rPr>
          <w:rFonts w:ascii="Times New Roman" w:eastAsia="Times New Roman" w:hAnsi="Times New Roman" w:cs="Times New Roman"/>
          <w:lang w:val="en-US" w:eastAsia="pl-PL"/>
        </w:rPr>
        <w:t>nych.</w:t>
      </w:r>
    </w:p>
    <w:p w14:paraId="6287A770" w14:textId="77777777" w:rsidR="00F31DCC" w:rsidRPr="005F0A32" w:rsidRDefault="00F31DCC" w:rsidP="003C1988">
      <w:pPr>
        <w:pStyle w:val="Standard"/>
        <w:tabs>
          <w:tab w:val="left" w:pos="900"/>
        </w:tabs>
        <w:spacing w:line="276" w:lineRule="auto"/>
        <w:rPr>
          <w:rFonts w:ascii="Times New Roman" w:eastAsia="Times New Roman" w:hAnsi="Times New Roman" w:cs="Times New Roman"/>
          <w:lang w:val="en-US" w:eastAsia="pl-PL"/>
        </w:rPr>
      </w:pPr>
    </w:p>
    <w:p w14:paraId="092F553F" w14:textId="77777777" w:rsidR="00F31DCC" w:rsidRPr="00244B87" w:rsidRDefault="00F31DCC" w:rsidP="00493925">
      <w:pPr>
        <w:pStyle w:val="Standard"/>
        <w:tabs>
          <w:tab w:val="left" w:pos="900"/>
        </w:tabs>
        <w:spacing w:line="276" w:lineRule="auto"/>
        <w:jc w:val="both"/>
        <w:rPr>
          <w:rFonts w:ascii="Times New Roman" w:hAnsi="Times New Roman" w:cs="Times New Roman"/>
          <w:color w:val="00B0F0"/>
        </w:rPr>
      </w:pPr>
      <w:r w:rsidRPr="00244B87">
        <w:rPr>
          <w:rFonts w:ascii="Times New Roman" w:hAnsi="Times New Roman" w:cs="Times New Roman"/>
          <w:b/>
          <w:color w:val="00B0F0"/>
        </w:rPr>
        <w:t>Przykłady dobrych praktyk na poziomie lokalnym</w:t>
      </w:r>
    </w:p>
    <w:p w14:paraId="77E61864" w14:textId="77777777" w:rsidR="00F31DCC" w:rsidRPr="005F0A32" w:rsidRDefault="00F31DCC" w:rsidP="00493925">
      <w:pPr>
        <w:pStyle w:val="Standard"/>
        <w:tabs>
          <w:tab w:val="left" w:pos="900"/>
        </w:tabs>
        <w:spacing w:line="276" w:lineRule="auto"/>
        <w:jc w:val="both"/>
        <w:rPr>
          <w:rFonts w:ascii="Times New Roman" w:hAnsi="Times New Roman" w:cs="Times New Roman"/>
          <w:b/>
        </w:rPr>
      </w:pPr>
    </w:p>
    <w:p w14:paraId="5142B19C"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Dobre praktyki związane z powtarzalnymi działaniami na rzecz osób starszych na poziomie lokalnym zostały wypracowane przez gminne jednostki samorządu terytorialnego w ramach realizowanych inicjatyw na terenie 24 powiatów województwa lubelskiego. Zaznaczyć należy, że największy zbiór dobrych praktyk na tym poziomie został wypracowany w większych ośrodkach miejskich, jakkolwiek interesujące i społecznie pożyteczne inicjatywy były podejmowane w gminach wiejskich.</w:t>
      </w:r>
      <w:r w:rsidR="0071110C">
        <w:rPr>
          <w:rFonts w:ascii="Times New Roman" w:hAnsi="Times New Roman" w:cs="Times New Roman"/>
        </w:rPr>
        <w:t xml:space="preserve"> </w:t>
      </w:r>
      <w:r w:rsidRPr="005F0A32">
        <w:rPr>
          <w:rFonts w:ascii="Times New Roman" w:hAnsi="Times New Roman" w:cs="Times New Roman"/>
        </w:rPr>
        <w:t>Przykładami dobrych praktyk w odniesieniu do rad gminnych są:</w:t>
      </w:r>
    </w:p>
    <w:p w14:paraId="06A47C20"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 xml:space="preserve">uczestnictwo seniorów w posiedzeniach rad gmin i spotkaniach gminnych komisji </w:t>
      </w:r>
      <w:r w:rsidRPr="005F0A32">
        <w:rPr>
          <w:rFonts w:ascii="Times New Roman" w:hAnsi="Times New Roman" w:cs="Times New Roman"/>
        </w:rPr>
        <w:br/>
        <w:t>a także zespołach roboczych powoływanych przez organy wykonawcze gminy;</w:t>
      </w:r>
    </w:p>
    <w:p w14:paraId="6F3A91EB"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uczestnictwo przedstawicieli organów gminy i gminnych jednostek organizacyjnych  w posiedzeniach rad seniorów;</w:t>
      </w:r>
    </w:p>
    <w:p w14:paraId="34FCCA59"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uczestnictwo seniorów w posiedzeniach jednostek pomocniczych gminy;</w:t>
      </w:r>
    </w:p>
    <w:p w14:paraId="60EB9A69"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opiniowanie przez seniorów projektów aktów prawnych z obszaru dotyczącego osób starszych;</w:t>
      </w:r>
    </w:p>
    <w:p w14:paraId="498FA56E"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 xml:space="preserve">podejmowanie przez organy stanowiące uchwał o tworzeniu Programów Wsparcia </w:t>
      </w:r>
      <w:r w:rsidRPr="005F0A32">
        <w:rPr>
          <w:rFonts w:ascii="Times New Roman" w:hAnsi="Times New Roman" w:cs="Times New Roman"/>
        </w:rPr>
        <w:br/>
        <w:t>i Aktywizacji Seniorów, także w ramach budżetu obywatelskiego;</w:t>
      </w:r>
    </w:p>
    <w:p w14:paraId="26CA4D65"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korzystanie ze wsparcia w ramach Rządowego Programu na rzecz ASOS;</w:t>
      </w:r>
    </w:p>
    <w:p w14:paraId="3A07ECC4"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cotygodniowe dyżury rady seniorów – zbieranie wniosków i uwag;</w:t>
      </w:r>
    </w:p>
    <w:p w14:paraId="5D12E335"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udział rad w Konferencji dla Seniorów Województwa Lubelskiego;</w:t>
      </w:r>
    </w:p>
    <w:p w14:paraId="38A35773"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udział w ogólnopolskich konferencjach z inicjatywy i na zaproszenie Sejmowej Komisji Polityki Senioralnej („Masz radę masz wpływ” i „Rola samorządów  w kształtowaniu polityki senioralnej”;</w:t>
      </w:r>
    </w:p>
    <w:p w14:paraId="6D5E9F88"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spotkania z przedstawicielami Sejmowej Komisji Polityki Senioralnej;</w:t>
      </w:r>
    </w:p>
    <w:p w14:paraId="621B0C8E"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udział przedstawicieli gminnych rad seniorów w ogólnopolskim Sejmie Seniorów;</w:t>
      </w:r>
    </w:p>
    <w:p w14:paraId="42BD9002"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wspieranie działalności uniwersytetu trzeciego wieku, także przez udział w organizowanych przy tej okazji regionalnych konferencjach dotyczących spraw osób starszych;</w:t>
      </w:r>
    </w:p>
    <w:p w14:paraId="7D4A7031"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współpraca w celu ustanowienia Karty Seniora;</w:t>
      </w:r>
    </w:p>
    <w:p w14:paraId="2BBF1558"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wzajemna współpraca w pozyskiwaniu środków zewnętrznych dedykowanych organizacjom senioralnym;</w:t>
      </w:r>
    </w:p>
    <w:p w14:paraId="5CA28917"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wsparcie lokalowe ze strony urzędów gminy;</w:t>
      </w:r>
    </w:p>
    <w:p w14:paraId="62721311"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uczestnictwo seniorów w gminnych uroczystościach;</w:t>
      </w:r>
    </w:p>
    <w:p w14:paraId="4D52599A"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lastRenderedPageBreak/>
        <w:t>międzypokoleniowe spotkania integracyjne;</w:t>
      </w:r>
    </w:p>
    <w:p w14:paraId="6B444E65"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współpraca z bibliotekami gminnymi;</w:t>
      </w:r>
    </w:p>
    <w:p w14:paraId="368076A6"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organizowanie spotkań aktywizacyjnych i edukacyjnych (konkursy, kursy komputerowe i językowe);</w:t>
      </w:r>
    </w:p>
    <w:p w14:paraId="79547ED1"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inicjowanie i uczestnictwo w akcjach charytatywnych, wolontariat;</w:t>
      </w:r>
    </w:p>
    <w:p w14:paraId="399200D3" w14:textId="064531DA"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organizowanie okazjonalnych spotk</w:t>
      </w:r>
      <w:r w:rsidR="0033760F">
        <w:rPr>
          <w:rFonts w:ascii="Times New Roman" w:hAnsi="Times New Roman" w:cs="Times New Roman"/>
        </w:rPr>
        <w:t>ań dla osób stars</w:t>
      </w:r>
      <w:r w:rsidRPr="005F0A32">
        <w:rPr>
          <w:rFonts w:ascii="Times New Roman" w:hAnsi="Times New Roman" w:cs="Times New Roman"/>
        </w:rPr>
        <w:t>zych (spotkania wigilijne, spotkania jubileuszowe);</w:t>
      </w:r>
    </w:p>
    <w:p w14:paraId="313683E2"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organizowanie spotkań o charakterze kulturalnym i integracyjnym (wieczory pieśni patriotycznych, czytanie narodowe, wieczory filmowe i taneczne, imprezy sportowe);</w:t>
      </w:r>
    </w:p>
    <w:p w14:paraId="136E37CA"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współpraca przy organizowaniu kiermaszów regionalnych;</w:t>
      </w:r>
    </w:p>
    <w:p w14:paraId="065F0D30"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organizowanie wyjazdów wycieczkowych dla seniorów;</w:t>
      </w:r>
    </w:p>
    <w:p w14:paraId="0789A4E3"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konkretne przykłady działań seniorów w postaci wspierania inicjatyw: wprowadzenia biletów ulgowych dla seniorów w instytucjach kulturalnych, wyposażenie infrastruktury gminnej w ławki, toalety miejskie, oświetlenie, niwelowania barier architektonicznych, akcja „Pudełko życia”, ustanowienie odznaki „Aktywny Senior” i opracowanie regulaminu jej przyznawania;</w:t>
      </w:r>
    </w:p>
    <w:p w14:paraId="46873FA7"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współpraca przy tworzeniu Strefy Seniora oraz plebiscycie na Miejsce Przyjazne Seniorom;</w:t>
      </w:r>
    </w:p>
    <w:p w14:paraId="4DA1C36E" w14:textId="77777777" w:rsidR="00F31DCC" w:rsidRPr="005F0A32" w:rsidRDefault="00F31DCC" w:rsidP="008C71A9">
      <w:pPr>
        <w:pStyle w:val="Standard"/>
        <w:numPr>
          <w:ilvl w:val="0"/>
          <w:numId w:val="52"/>
        </w:numPr>
        <w:tabs>
          <w:tab w:val="left" w:pos="426"/>
        </w:tabs>
        <w:spacing w:line="276" w:lineRule="auto"/>
        <w:ind w:left="360"/>
        <w:jc w:val="both"/>
        <w:rPr>
          <w:rFonts w:ascii="Times New Roman" w:hAnsi="Times New Roman" w:cs="Times New Roman"/>
        </w:rPr>
      </w:pPr>
      <w:r w:rsidRPr="005F0A32">
        <w:rPr>
          <w:rFonts w:ascii="Times New Roman" w:hAnsi="Times New Roman" w:cs="Times New Roman"/>
        </w:rPr>
        <w:t>rada seniorów jako organizator akcji Odczaruj Jesień Życia – forma pokazu mody ze wsparciem dla aktywności osób starszych, promocja sportu i zdrowego stylu życia, profilaktyka zdrowia i zachęcanie do badań.</w:t>
      </w:r>
    </w:p>
    <w:p w14:paraId="51D34407" w14:textId="77777777" w:rsidR="00F31DCC" w:rsidRPr="005F0A32" w:rsidRDefault="00F31DCC" w:rsidP="00493925">
      <w:pPr>
        <w:pStyle w:val="Standard"/>
        <w:tabs>
          <w:tab w:val="left" w:pos="567"/>
          <w:tab w:val="left" w:pos="900"/>
        </w:tabs>
        <w:spacing w:line="276" w:lineRule="auto"/>
        <w:jc w:val="both"/>
        <w:rPr>
          <w:rFonts w:ascii="Times New Roman" w:hAnsi="Times New Roman" w:cs="Times New Roman"/>
        </w:rPr>
      </w:pPr>
    </w:p>
    <w:p w14:paraId="30E59E0E" w14:textId="77777777" w:rsidR="00F31DCC" w:rsidRPr="005F0A32" w:rsidRDefault="00F31DCC" w:rsidP="00493925">
      <w:pPr>
        <w:pStyle w:val="Standard"/>
        <w:tabs>
          <w:tab w:val="left" w:pos="567"/>
          <w:tab w:val="left" w:pos="900"/>
        </w:tabs>
        <w:spacing w:line="276" w:lineRule="auto"/>
        <w:jc w:val="both"/>
        <w:rPr>
          <w:rFonts w:ascii="Times New Roman" w:hAnsi="Times New Roman" w:cs="Times New Roman"/>
        </w:rPr>
      </w:pPr>
      <w:r w:rsidRPr="005F0A32">
        <w:rPr>
          <w:rFonts w:ascii="Times New Roman" w:hAnsi="Times New Roman" w:cs="Times New Roman"/>
        </w:rPr>
        <w:t>W 2019 r. wypracowane „dobre praktyki” w oparciu o rozmaite przedsięwzięcia były realizowane w skali lokalnej m.in. przez następujące jednostki samorządowe:</w:t>
      </w:r>
    </w:p>
    <w:p w14:paraId="73ED4CEF" w14:textId="77777777" w:rsidR="00F31DCC" w:rsidRPr="005F0A32" w:rsidRDefault="00F31DCC" w:rsidP="00493925">
      <w:pPr>
        <w:pStyle w:val="Standard"/>
        <w:tabs>
          <w:tab w:val="left" w:pos="567"/>
          <w:tab w:val="left" w:pos="900"/>
        </w:tabs>
        <w:spacing w:line="276" w:lineRule="auto"/>
        <w:jc w:val="both"/>
        <w:rPr>
          <w:rFonts w:ascii="Times New Roman" w:hAnsi="Times New Roman" w:cs="Times New Roman"/>
        </w:rPr>
      </w:pPr>
    </w:p>
    <w:p w14:paraId="71AD6275" w14:textId="77777777" w:rsidR="00F31DCC" w:rsidRPr="00A82D80" w:rsidRDefault="00F31DCC" w:rsidP="008C71A9">
      <w:pPr>
        <w:pStyle w:val="Standard"/>
        <w:numPr>
          <w:ilvl w:val="0"/>
          <w:numId w:val="53"/>
        </w:numPr>
        <w:tabs>
          <w:tab w:val="left" w:pos="900"/>
        </w:tabs>
        <w:spacing w:line="276" w:lineRule="auto"/>
        <w:ind w:left="360"/>
        <w:jc w:val="both"/>
        <w:rPr>
          <w:rFonts w:ascii="Times New Roman" w:hAnsi="Times New Roman" w:cs="Times New Roman"/>
          <w:bCs/>
        </w:rPr>
      </w:pPr>
      <w:r w:rsidRPr="00A82D80">
        <w:rPr>
          <w:rFonts w:ascii="Times New Roman" w:hAnsi="Times New Roman" w:cs="Times New Roman"/>
          <w:bCs/>
        </w:rPr>
        <w:t>Gmina Puchaczów (powiat łęczyński)</w:t>
      </w:r>
    </w:p>
    <w:p w14:paraId="23A7299A" w14:textId="77777777" w:rsidR="00F31DCC" w:rsidRPr="005F0A32" w:rsidRDefault="00F31DCC" w:rsidP="00493925">
      <w:pPr>
        <w:pStyle w:val="Standard"/>
        <w:tabs>
          <w:tab w:val="left" w:pos="900"/>
        </w:tabs>
        <w:spacing w:line="276" w:lineRule="auto"/>
        <w:jc w:val="both"/>
        <w:rPr>
          <w:rFonts w:ascii="Times New Roman" w:hAnsi="Times New Roman" w:cs="Times New Roman"/>
        </w:rPr>
      </w:pPr>
      <w:r w:rsidRPr="005F0A32">
        <w:rPr>
          <w:rFonts w:ascii="Times New Roman" w:hAnsi="Times New Roman" w:cs="Times New Roman"/>
        </w:rPr>
        <w:t>W 2019 r. gmina Puchaczów była miejscem atrakcyjnym dla mieszkańców, a w tym dla seniorów. Udzielane przez władze lokalne liczne formy wsparcie pozwoliło miejscowym seniorom  aktywnie uczestniczyć w życiu kulturalnym i społecznym gminy. Wytworzyło też silne więzi międzypokoleniowe dzięki czemu młodsi mieszkańcy gminy mogli skorzystać ze wzorców oraz doświadczeń reprezentowanych przez seniorów.</w:t>
      </w:r>
      <w:r w:rsidR="00F05D44">
        <w:rPr>
          <w:rFonts w:ascii="Times New Roman" w:hAnsi="Times New Roman" w:cs="Times New Roman"/>
        </w:rPr>
        <w:t xml:space="preserve"> </w:t>
      </w:r>
      <w:r w:rsidRPr="005F0A32">
        <w:rPr>
          <w:rFonts w:ascii="Times New Roman" w:hAnsi="Times New Roman" w:cs="Times New Roman"/>
        </w:rPr>
        <w:t>W 2019 r. wśród „dobrych praktyk” zorganizowanych przez gminę Puchaczów znalazły się m.in.:</w:t>
      </w:r>
    </w:p>
    <w:p w14:paraId="5EF3BF9A" w14:textId="77777777" w:rsidR="00F31DCC" w:rsidRPr="005F0A32" w:rsidRDefault="00F31DCC" w:rsidP="008C71A9">
      <w:pPr>
        <w:pStyle w:val="Standard"/>
        <w:numPr>
          <w:ilvl w:val="0"/>
          <w:numId w:val="55"/>
        </w:numPr>
        <w:spacing w:line="276" w:lineRule="auto"/>
        <w:ind w:left="643"/>
        <w:jc w:val="both"/>
        <w:rPr>
          <w:rFonts w:ascii="Times New Roman" w:hAnsi="Times New Roman" w:cs="Times New Roman"/>
        </w:rPr>
      </w:pPr>
      <w:r w:rsidRPr="005F0A32">
        <w:rPr>
          <w:rFonts w:ascii="Times New Roman" w:hAnsi="Times New Roman" w:cs="Times New Roman"/>
        </w:rPr>
        <w:t>realizowanie akcji „Koperta życia”, skierowanej do osób przewlekle chorych, starszych, samotnych, niepełnosprawnych. Pakiet z informacjami dot. stanu zdrowia, zażywanych leków, przebytych chorób, alergii, itp. umożliwia służbom ratowniczym pozyskanie szybkiej i wiarygodnej informacji o osobie potrzebującej pomocy. Ośrodek Pomocy Społecznej przekazuje koperty bezpłatnie podopiecznym korzystającym z usług opiekuńczych, uczestnikom Dziennego Domu „Senior+” (</w:t>
      </w:r>
      <w:hyperlink r:id="rId32" w:history="1">
        <w:r w:rsidRPr="005F0A32">
          <w:rPr>
            <w:rFonts w:ascii="Times New Roman" w:hAnsi="Times New Roman" w:cs="Times New Roman"/>
          </w:rPr>
          <w:t>http://www.puchaczow.pl/</w:t>
        </w:r>
      </w:hyperlink>
      <w:r w:rsidRPr="005F0A32">
        <w:rPr>
          <w:rFonts w:ascii="Times New Roman" w:hAnsi="Times New Roman" w:cs="Times New Roman"/>
        </w:rPr>
        <w:t>).</w:t>
      </w:r>
    </w:p>
    <w:p w14:paraId="480A5BCC" w14:textId="20035772" w:rsidR="00F31DCC" w:rsidRPr="005F0A32" w:rsidRDefault="00F31DCC" w:rsidP="008C71A9">
      <w:pPr>
        <w:pStyle w:val="Standard"/>
        <w:numPr>
          <w:ilvl w:val="0"/>
          <w:numId w:val="55"/>
        </w:numPr>
        <w:spacing w:line="276" w:lineRule="auto"/>
        <w:ind w:left="643"/>
        <w:jc w:val="both"/>
        <w:rPr>
          <w:rFonts w:ascii="Times New Roman" w:hAnsi="Times New Roman" w:cs="Times New Roman"/>
        </w:rPr>
      </w:pPr>
      <w:r w:rsidRPr="005F0A32">
        <w:rPr>
          <w:rFonts w:ascii="Times New Roman" w:hAnsi="Times New Roman" w:cs="Times New Roman"/>
        </w:rPr>
        <w:t xml:space="preserve">działania w zakresie przeciwdziałania dyskryminacji ze względu na wiek polegające na organizacji konkursów skierowanych do dzieci i młodzieży ze szkół podstawowych, tj. (konkursu literackiego pt.: „Chcę Wam przedstawić moją Babcię/mojego Dziadka” oraz konkursu plastyczny pt.: „Jak spędzam czas z moimi dziadkami?”.  W konkursach wzięło udział ponad 60 osób); działania w zakresie przeciwdziałania dyskryminacji ze względu na wiek realizowane były również poprzez organizowanie warsztatów międzypokoleniowych, w których uczestniczyli seniorzy oraz dzieci  i młodzież z </w:t>
      </w:r>
      <w:r w:rsidRPr="005F0A32">
        <w:rPr>
          <w:rFonts w:ascii="Times New Roman" w:hAnsi="Times New Roman" w:cs="Times New Roman"/>
        </w:rPr>
        <w:lastRenderedPageBreak/>
        <w:t>pobliskich szkół i przedszkoli. Seniorzy prowadzili zajęcia edukacyjno-rękodzielnicze, które miały na celu przekazanie zdobytej wiedzy, dzielenie się doświadczeniem życiowym, pasją, umocnienie więzi międzypokoleniowej. Łącznie  w spotkania</w:t>
      </w:r>
      <w:r w:rsidR="00244B87">
        <w:rPr>
          <w:rFonts w:ascii="Times New Roman" w:hAnsi="Times New Roman" w:cs="Times New Roman"/>
        </w:rPr>
        <w:t>ch wzięło udział ok. 100 dzieci</w:t>
      </w:r>
      <w:r w:rsidR="00244B87">
        <w:rPr>
          <w:rStyle w:val="Odwoanieprzypisudolnego"/>
          <w:rFonts w:ascii="Times New Roman" w:hAnsi="Times New Roman" w:cs="Times New Roman"/>
        </w:rPr>
        <w:footnoteReference w:id="82"/>
      </w:r>
      <w:r w:rsidR="00244B87">
        <w:rPr>
          <w:rFonts w:ascii="Times New Roman" w:hAnsi="Times New Roman" w:cs="Times New Roman"/>
        </w:rPr>
        <w:t>.</w:t>
      </w:r>
    </w:p>
    <w:p w14:paraId="50708DAE" w14:textId="77777777" w:rsidR="00F31DCC" w:rsidRPr="005F0A32" w:rsidRDefault="00F31DCC" w:rsidP="008C71A9">
      <w:pPr>
        <w:pStyle w:val="Standard"/>
        <w:widowControl/>
        <w:numPr>
          <w:ilvl w:val="0"/>
          <w:numId w:val="55"/>
        </w:numPr>
        <w:spacing w:line="276" w:lineRule="auto"/>
        <w:ind w:left="643"/>
        <w:jc w:val="both"/>
        <w:rPr>
          <w:rFonts w:ascii="Times New Roman" w:hAnsi="Times New Roman" w:cs="Times New Roman"/>
        </w:rPr>
      </w:pPr>
      <w:r w:rsidRPr="005F0A32">
        <w:rPr>
          <w:rFonts w:ascii="Times New Roman" w:hAnsi="Times New Roman" w:cs="Times New Roman"/>
        </w:rPr>
        <w:t>zorganizowanie letniego pokazu mody seniorów podczas cyklicznego wydarzenia „Święto Rodziny”, którego gospodarzem był Dzienny Dom „Senior+” w Bogdance;</w:t>
      </w:r>
    </w:p>
    <w:p w14:paraId="08F82D9F" w14:textId="77777777" w:rsidR="00F31DCC" w:rsidRPr="005F0A32" w:rsidRDefault="00F31DCC" w:rsidP="008C71A9">
      <w:pPr>
        <w:pStyle w:val="Standard"/>
        <w:widowControl/>
        <w:numPr>
          <w:ilvl w:val="0"/>
          <w:numId w:val="55"/>
        </w:numPr>
        <w:spacing w:line="276" w:lineRule="auto"/>
        <w:ind w:left="643"/>
        <w:jc w:val="both"/>
        <w:rPr>
          <w:rFonts w:ascii="Times New Roman" w:hAnsi="Times New Roman" w:cs="Times New Roman"/>
        </w:rPr>
      </w:pPr>
      <w:r w:rsidRPr="005F0A32">
        <w:rPr>
          <w:rFonts w:ascii="Times New Roman" w:hAnsi="Times New Roman" w:cs="Times New Roman"/>
        </w:rPr>
        <w:t xml:space="preserve">prowadzenie </w:t>
      </w:r>
      <w:r w:rsidRPr="005F0A32">
        <w:rPr>
          <w:rFonts w:ascii="Times New Roman" w:eastAsia="Arial" w:hAnsi="Times New Roman" w:cs="Times New Roman"/>
        </w:rPr>
        <w:t>cyklu zajęć z zakresu stylu i pielęgnacji urody „Moda i uroda” – zajęcia dot. zmian w urodzie podczas procesu starzenia się, sposobów radzenia sobie z problemami cery wynikającymi z wieku i stanu zdrowia. Seniorzy korzystali z zabiegów tj.: henna, masaż i peeling dłoni, manicure, depilacja twarzy, maseczka na twarz i usta, regularnie korzystali z usług fryzjerskich.</w:t>
      </w:r>
    </w:p>
    <w:p w14:paraId="33FAE555" w14:textId="77777777" w:rsidR="00F31DCC" w:rsidRPr="005F0A32" w:rsidRDefault="00F31DCC" w:rsidP="008C71A9">
      <w:pPr>
        <w:pStyle w:val="Standard"/>
        <w:widowControl/>
        <w:numPr>
          <w:ilvl w:val="0"/>
          <w:numId w:val="55"/>
        </w:numPr>
        <w:spacing w:line="276" w:lineRule="auto"/>
        <w:ind w:left="643"/>
        <w:jc w:val="both"/>
        <w:rPr>
          <w:rFonts w:ascii="Times New Roman" w:hAnsi="Times New Roman" w:cs="Times New Roman"/>
        </w:rPr>
      </w:pPr>
      <w:r w:rsidRPr="005F0A32">
        <w:rPr>
          <w:rFonts w:ascii="Times New Roman" w:hAnsi="Times New Roman" w:cs="Times New Roman"/>
        </w:rPr>
        <w:t>Organizacja Gminnego Dnia Seniora z okazji Międzynarodowego Dnia Osób Starszych. Organizatorem wydarzenia była Gmina Puchaczów wraz z Ośrodkiem Pomocy Społecznej i Dziennym Domem „Senior+”. Spotkanie miało charakter otwarty,  w wydarzeniu wzięło udział ok. 100 osób. Podczas spotkania zaprezentowano dobre praktyki realizowane na rzecz seniorów, tj.: wykład Powiatowego Rzecznika Praw Konsumentów pt. „Seniorze! Poznaj swoje prawa”; informacje pracowników ZUS  z zakresu dostępnych świadczeniach z ubezpieczenia społecznego dla osób po 60 roku życia; prezentacja psychologa, terapeuty pedagogicznego i rodzinny pt. „Aktywność po sześćdziesiątce”. Spotkaniu towarzyszyła „strefa zdrowia”, czyli konsultacje specjalistyczne, porady pielęgniarki, fizjoterapeutki, pomiar ciśnienia tętniczego, możliwość skorzystania z maty masującej, masaż kompresyjny kończyn dolnych.</w:t>
      </w:r>
    </w:p>
    <w:p w14:paraId="3B3CCD0A" w14:textId="77777777" w:rsidR="00F31DCC" w:rsidRPr="005F0A32" w:rsidRDefault="00F31DCC" w:rsidP="00493925">
      <w:pPr>
        <w:pStyle w:val="Standard"/>
        <w:widowControl/>
        <w:spacing w:line="276" w:lineRule="auto"/>
        <w:ind w:left="284" w:hanging="284"/>
        <w:jc w:val="both"/>
        <w:rPr>
          <w:rFonts w:ascii="Times New Roman" w:hAnsi="Times New Roman" w:cs="Times New Roman"/>
        </w:rPr>
      </w:pPr>
    </w:p>
    <w:p w14:paraId="2692C656" w14:textId="77777777" w:rsidR="00F31DCC" w:rsidRPr="00F05D44" w:rsidRDefault="00F31DCC" w:rsidP="008C71A9">
      <w:pPr>
        <w:pStyle w:val="Standard"/>
        <w:numPr>
          <w:ilvl w:val="0"/>
          <w:numId w:val="53"/>
        </w:numPr>
        <w:spacing w:line="276" w:lineRule="auto"/>
        <w:ind w:left="360"/>
        <w:jc w:val="both"/>
        <w:rPr>
          <w:rFonts w:ascii="Times New Roman" w:eastAsia="Times New Roman" w:hAnsi="Times New Roman" w:cs="Times New Roman"/>
          <w:bCs/>
        </w:rPr>
      </w:pPr>
      <w:r w:rsidRPr="00F05D44">
        <w:rPr>
          <w:rFonts w:ascii="Times New Roman" w:eastAsia="Times New Roman" w:hAnsi="Times New Roman" w:cs="Times New Roman"/>
          <w:bCs/>
        </w:rPr>
        <w:t>Gmina Miasto Lublin</w:t>
      </w:r>
    </w:p>
    <w:p w14:paraId="67CF9294" w14:textId="77777777" w:rsidR="00F05D44" w:rsidRDefault="00F05D44" w:rsidP="00493925">
      <w:pPr>
        <w:pStyle w:val="Standard"/>
        <w:spacing w:line="276" w:lineRule="auto"/>
        <w:jc w:val="both"/>
        <w:rPr>
          <w:rFonts w:ascii="Times New Roman" w:eastAsia="Times New Roman" w:hAnsi="Times New Roman" w:cs="Times New Roman"/>
        </w:rPr>
      </w:pPr>
    </w:p>
    <w:p w14:paraId="21372098" w14:textId="77777777" w:rsidR="00F31DCC" w:rsidRPr="005F0A32" w:rsidRDefault="00F31DCC" w:rsidP="00493925">
      <w:pPr>
        <w:pStyle w:val="Standard"/>
        <w:spacing w:line="276" w:lineRule="auto"/>
        <w:jc w:val="both"/>
        <w:rPr>
          <w:rFonts w:ascii="Times New Roman" w:hAnsi="Times New Roman" w:cs="Times New Roman"/>
        </w:rPr>
      </w:pPr>
      <w:r w:rsidRPr="005F0A32">
        <w:rPr>
          <w:rFonts w:ascii="Times New Roman" w:hAnsi="Times New Roman" w:cs="Times New Roman"/>
        </w:rPr>
        <w:t>W 2019 r. Miasto Lublin prowadziło różnorodne działania na rzecz aktywizacji  i poprawy jakości życia seniorów, takich jak m.in.:</w:t>
      </w:r>
    </w:p>
    <w:p w14:paraId="5AEA1F1D" w14:textId="77777777" w:rsidR="00F31DCC" w:rsidRPr="005F0A32" w:rsidRDefault="00F31DCC" w:rsidP="008C71A9">
      <w:pPr>
        <w:pStyle w:val="Standard"/>
        <w:numPr>
          <w:ilvl w:val="0"/>
          <w:numId w:val="54"/>
        </w:numPr>
        <w:spacing w:line="276" w:lineRule="auto"/>
        <w:ind w:left="643"/>
        <w:jc w:val="both"/>
        <w:rPr>
          <w:rFonts w:ascii="Times New Roman" w:hAnsi="Times New Roman" w:cs="Times New Roman"/>
          <w:lang w:eastAsia="pl-PL"/>
        </w:rPr>
      </w:pPr>
      <w:r w:rsidRPr="005F0A32">
        <w:rPr>
          <w:rFonts w:ascii="Times New Roman" w:hAnsi="Times New Roman" w:cs="Times New Roman"/>
          <w:lang w:eastAsia="pl-PL"/>
        </w:rPr>
        <w:t>Wprowadzenie w kwietniu 2019 r. uchwałą Rady Miasta Lublin bezpłatnej komunikacji miejskiej, z której mogą korzystać wszystkie osoby powyżej 6</w:t>
      </w:r>
      <w:r w:rsidR="00244B87">
        <w:rPr>
          <w:rFonts w:ascii="Times New Roman" w:hAnsi="Times New Roman" w:cs="Times New Roman"/>
          <w:lang w:eastAsia="pl-PL"/>
        </w:rPr>
        <w:t>5</w:t>
      </w:r>
      <w:r w:rsidRPr="005F0A32">
        <w:rPr>
          <w:rFonts w:ascii="Times New Roman" w:hAnsi="Times New Roman" w:cs="Times New Roman"/>
          <w:lang w:eastAsia="pl-PL"/>
        </w:rPr>
        <w:t xml:space="preserve"> roku życia.</w:t>
      </w:r>
    </w:p>
    <w:p w14:paraId="62B888B4" w14:textId="77777777" w:rsidR="00F31DCC" w:rsidRPr="00244B87" w:rsidRDefault="00F31DCC" w:rsidP="008C71A9">
      <w:pPr>
        <w:pStyle w:val="Standard"/>
        <w:numPr>
          <w:ilvl w:val="0"/>
          <w:numId w:val="54"/>
        </w:numPr>
        <w:spacing w:line="276" w:lineRule="auto"/>
        <w:ind w:left="643"/>
        <w:jc w:val="both"/>
        <w:rPr>
          <w:rFonts w:ascii="Times New Roman" w:hAnsi="Times New Roman" w:cs="Times New Roman"/>
        </w:rPr>
      </w:pPr>
      <w:r w:rsidRPr="005F0A32">
        <w:rPr>
          <w:rFonts w:ascii="Times New Roman" w:hAnsi="Times New Roman" w:cs="Times New Roman"/>
        </w:rPr>
        <w:t>Realizowanie Programu „Lublin Strefa 60+” obejmującego „Lubelską Kartę Seniora”.  W 2019 r. w „Lubelskiej Karcie Seniora” uczestniczyło 170 podmiotów z ofertą zniżek dla seniorów. Wydano 3 226 Kart. Łącznie, od 2015</w:t>
      </w:r>
      <w:r w:rsidR="00244B87">
        <w:rPr>
          <w:rFonts w:ascii="Times New Roman" w:hAnsi="Times New Roman" w:cs="Times New Roman"/>
        </w:rPr>
        <w:t xml:space="preserve"> r.</w:t>
      </w:r>
      <w:r w:rsidRPr="005F0A32">
        <w:rPr>
          <w:rFonts w:ascii="Times New Roman" w:hAnsi="Times New Roman" w:cs="Times New Roman"/>
        </w:rPr>
        <w:t xml:space="preserve"> wydano ponad 18 978 Kart Seniora. Opublikowany został „Informator Lubelskiej Karty Seniora” – edycja nr 5, w nakładzie  5 tys. egzemplarzy. Oferty Partnerów Programu wraz z opisem działalności aktualizowane by</w:t>
      </w:r>
      <w:r w:rsidR="00244B87">
        <w:rPr>
          <w:rFonts w:ascii="Times New Roman" w:hAnsi="Times New Roman" w:cs="Times New Roman"/>
        </w:rPr>
        <w:t>ły również na stronie UM Lublin</w:t>
      </w:r>
      <w:r w:rsidR="00244B87">
        <w:rPr>
          <w:rStyle w:val="Odwoanieprzypisudolnego"/>
          <w:rFonts w:ascii="Times New Roman" w:hAnsi="Times New Roman" w:cs="Times New Roman"/>
        </w:rPr>
        <w:footnoteReference w:id="83"/>
      </w:r>
      <w:r w:rsidR="00244B87">
        <w:rPr>
          <w:rFonts w:ascii="Times New Roman" w:hAnsi="Times New Roman" w:cs="Times New Roman"/>
        </w:rPr>
        <w:t>.</w:t>
      </w:r>
    </w:p>
    <w:p w14:paraId="5C61542E" w14:textId="77777777" w:rsidR="00F31DCC" w:rsidRPr="005F0A32" w:rsidRDefault="00F31DCC" w:rsidP="008C71A9">
      <w:pPr>
        <w:pStyle w:val="Standard"/>
        <w:numPr>
          <w:ilvl w:val="0"/>
          <w:numId w:val="54"/>
        </w:numPr>
        <w:spacing w:line="276" w:lineRule="auto"/>
        <w:ind w:left="643"/>
        <w:jc w:val="both"/>
        <w:rPr>
          <w:rFonts w:ascii="Times New Roman" w:hAnsi="Times New Roman" w:cs="Times New Roman"/>
        </w:rPr>
      </w:pPr>
      <w:r w:rsidRPr="005F0A32">
        <w:rPr>
          <w:rFonts w:ascii="Times New Roman" w:hAnsi="Times New Roman" w:cs="Times New Roman"/>
          <w:lang w:eastAsia="pl-PL"/>
        </w:rPr>
        <w:t>Dodatkowym instrumentem Programu było Telewsparcie 60+. Seniorzy mogli korzystać z poradnictwa psychologicznego oraz informacyjnego w zakresie form spędzania czasu wolnego i aktywizacji.</w:t>
      </w:r>
    </w:p>
    <w:p w14:paraId="1CE74D0B" w14:textId="77777777" w:rsidR="00F31DCC" w:rsidRPr="005F0A32" w:rsidRDefault="00244B87" w:rsidP="008C71A9">
      <w:pPr>
        <w:pStyle w:val="Standard"/>
        <w:numPr>
          <w:ilvl w:val="0"/>
          <w:numId w:val="54"/>
        </w:numPr>
        <w:spacing w:line="276" w:lineRule="auto"/>
        <w:ind w:left="643"/>
        <w:jc w:val="both"/>
        <w:rPr>
          <w:rFonts w:ascii="Times New Roman" w:hAnsi="Times New Roman" w:cs="Times New Roman"/>
          <w:lang w:eastAsia="pl-PL"/>
        </w:rPr>
      </w:pPr>
      <w:r>
        <w:rPr>
          <w:rFonts w:ascii="Times New Roman" w:hAnsi="Times New Roman" w:cs="Times New Roman"/>
          <w:lang w:eastAsia="pl-PL"/>
        </w:rPr>
        <w:t>W drugiej połowie 2019 r.</w:t>
      </w:r>
      <w:r w:rsidR="00F31DCC" w:rsidRPr="005F0A32">
        <w:rPr>
          <w:rFonts w:ascii="Times New Roman" w:hAnsi="Times New Roman" w:cs="Times New Roman"/>
          <w:lang w:eastAsia="pl-PL"/>
        </w:rPr>
        <w:t xml:space="preserve"> została wydana w nakładzie 120 tys. egz. bezpłatna gazetka dla seniorów „Lubelski Senior" zawierająca informacje nt. form wsparcia i pomocy oferowanej przez samorząd Miasta Lublin, ciekawych aktywności oraz możliwości spędzania czasu.</w:t>
      </w:r>
    </w:p>
    <w:p w14:paraId="70835AC9" w14:textId="77777777" w:rsidR="00F31DCC" w:rsidRPr="005F0A32" w:rsidRDefault="00F31DCC" w:rsidP="008C71A9">
      <w:pPr>
        <w:pStyle w:val="Standard"/>
        <w:numPr>
          <w:ilvl w:val="0"/>
          <w:numId w:val="54"/>
        </w:numPr>
        <w:spacing w:line="276" w:lineRule="auto"/>
        <w:ind w:left="643"/>
        <w:jc w:val="both"/>
        <w:rPr>
          <w:rFonts w:ascii="Times New Roman" w:hAnsi="Times New Roman" w:cs="Times New Roman"/>
        </w:rPr>
      </w:pPr>
      <w:r w:rsidRPr="005F0A32">
        <w:rPr>
          <w:rFonts w:ascii="Times New Roman" w:hAnsi="Times New Roman" w:cs="Times New Roman"/>
          <w:lang w:eastAsia="pl-PL"/>
        </w:rPr>
        <w:lastRenderedPageBreak/>
        <w:t>W</w:t>
      </w:r>
      <w:r w:rsidRPr="005F0A32">
        <w:rPr>
          <w:rFonts w:ascii="Times New Roman" w:hAnsi="Times New Roman" w:cs="Times New Roman"/>
        </w:rPr>
        <w:t xml:space="preserve"> ramach oferty kierowanej do Seniorów Miejski Ośrodek Pomocy Rodzinie w Lublinie realizował innowacyjny projekt pn. „Bank usług środowiskowych”, który odpowiada na potrzeby oraz bariery w zakresie usług społecznych, a także dąży do deinstytucjonalizacji systemu opieki oraz do jak najdłuższego utrzymania osób wymagających wsparcia w ich środowisku. Projekt jest skierowany łącznie do 290 osób. W ramach Banku usług środowiskowych Miejski Ośrodek Pomocy Rodzinie w Lublinie realizował nową formę wsparcia w postaci usług opiekuńczych nocnych świadczonych w miejscu zamieszkania, skierowaną do 40 osób (w szczególności osób oczekujących na umieszczenie w domu </w:t>
      </w:r>
      <w:r w:rsidR="00244B87">
        <w:rPr>
          <w:rFonts w:ascii="Times New Roman" w:hAnsi="Times New Roman" w:cs="Times New Roman"/>
        </w:rPr>
        <w:t>pomocy społecznej)</w:t>
      </w:r>
      <w:r w:rsidR="00244B87">
        <w:rPr>
          <w:rStyle w:val="Odwoanieprzypisudolnego"/>
          <w:rFonts w:ascii="Times New Roman" w:hAnsi="Times New Roman" w:cs="Times New Roman"/>
        </w:rPr>
        <w:footnoteReference w:id="84"/>
      </w:r>
      <w:r w:rsidR="00244B87">
        <w:rPr>
          <w:rFonts w:ascii="Times New Roman" w:hAnsi="Times New Roman" w:cs="Times New Roman"/>
        </w:rPr>
        <w:t>.</w:t>
      </w:r>
    </w:p>
    <w:p w14:paraId="7A3ECF45" w14:textId="77777777" w:rsidR="00F31DCC" w:rsidRPr="005F0A32" w:rsidRDefault="00F31DCC" w:rsidP="008C71A9">
      <w:pPr>
        <w:pStyle w:val="Standard"/>
        <w:numPr>
          <w:ilvl w:val="0"/>
          <w:numId w:val="54"/>
        </w:numPr>
        <w:spacing w:line="276" w:lineRule="auto"/>
        <w:ind w:left="643"/>
        <w:jc w:val="both"/>
        <w:rPr>
          <w:rFonts w:ascii="Times New Roman" w:hAnsi="Times New Roman" w:cs="Times New Roman"/>
        </w:rPr>
      </w:pPr>
      <w:r w:rsidRPr="005F0A32">
        <w:rPr>
          <w:rFonts w:ascii="Times New Roman" w:hAnsi="Times New Roman" w:cs="Times New Roman"/>
        </w:rPr>
        <w:t>Zespół Ośrodków Wsparcia w ramach swojej działalności realiz</w:t>
      </w:r>
      <w:r w:rsidRPr="005F0A32">
        <w:rPr>
          <w:rFonts w:ascii="Times New Roman" w:hAnsi="Times New Roman" w:cs="Times New Roman"/>
          <w:lang w:val="en-US"/>
        </w:rPr>
        <w:t>owa</w:t>
      </w:r>
      <w:r w:rsidRPr="005F0A32">
        <w:rPr>
          <w:rFonts w:ascii="Times New Roman" w:hAnsi="Times New Roman" w:cs="Times New Roman"/>
        </w:rPr>
        <w:t>ł projekt „Aktywni i samodzielni - Usługi społeczne i zdrowotne – tworzenie systemu pomocy środowiskowej w celu wsparcia 350 osób w podeszłym wieku” dofinansowany w ramach Regionalnego Programu Operacyjnego Województwa Lubelskiego na lata 2014 – 2020 a także Program wieloletni „Senior+” na lata 2015-2020, edycja w 2019 r. – moduł I. W ramach tego programu utworzono w 2019 r. Dzienny Dom „Senior +” (40 miejsc) oraz Klub Senior+ „Centrum Aktywizacji” (15 miejsc). Ponadto ZOW realizuje projekt LUBIncluciON, w ramach którego działają 2 Kluby Seniora.</w:t>
      </w:r>
    </w:p>
    <w:p w14:paraId="56A28CD1" w14:textId="77777777" w:rsidR="00F31DCC" w:rsidRPr="005F0A32" w:rsidRDefault="00F31DCC" w:rsidP="008C71A9">
      <w:pPr>
        <w:pStyle w:val="Standard"/>
        <w:numPr>
          <w:ilvl w:val="0"/>
          <w:numId w:val="54"/>
        </w:numPr>
        <w:spacing w:line="276" w:lineRule="auto"/>
        <w:ind w:left="643"/>
        <w:jc w:val="both"/>
        <w:rPr>
          <w:rFonts w:ascii="Times New Roman" w:hAnsi="Times New Roman" w:cs="Times New Roman"/>
        </w:rPr>
      </w:pPr>
      <w:r w:rsidRPr="005F0A32">
        <w:rPr>
          <w:rFonts w:ascii="Times New Roman" w:hAnsi="Times New Roman" w:cs="Times New Roman"/>
        </w:rPr>
        <w:t>W Zespole Ośrodków Wsparcia w ramach projektu „Aktywni i samodzielni” w 2019 r. realizowano zadanie: „SOS dla Seniora”. W ramach tego zadania 400 mieszkańców Miasta Lublina w wieku 60+ zostało objętych systemem całodobowej teleoopieki. Każdy uczestnik otrzymał na nadgarstek opaskę wyposażoną w przycisk SOS i kartę SIM z możliwością połączenia głosowego z Centrum Teleopieki. Opaska służy do natychmiastowego wezwania pomocy w przypadku zagrożenia życia, zdrowia lub bezpieczeństwa. Urządzenie łączy się z pracownikami Centrum Teleopieki, którzy udzielają adekwatnej do sytuacji oraz możliwości pomocy, w tym: m. in. informują osoby wskazane do kontaktu o potrzebie udzielenia pomocy, wzywają pogotowie lub służby ratunkowe, jeśli sytuacja tego wymaga (</w:t>
      </w:r>
      <w:hyperlink r:id="rId33" w:history="1">
        <w:r w:rsidRPr="005F0A32">
          <w:rPr>
            <w:rFonts w:ascii="Times New Roman" w:hAnsi="Times New Roman" w:cs="Times New Roman"/>
          </w:rPr>
          <w:t>https://zow.lublin.eu/sosdlaseniora/</w:t>
        </w:r>
      </w:hyperlink>
      <w:r w:rsidRPr="005F0A32">
        <w:rPr>
          <w:rFonts w:ascii="Times New Roman" w:hAnsi="Times New Roman" w:cs="Times New Roman"/>
        </w:rPr>
        <w:t>).</w:t>
      </w:r>
    </w:p>
    <w:p w14:paraId="3501066B" w14:textId="77777777" w:rsidR="00F31DCC" w:rsidRPr="005F0A32" w:rsidRDefault="00F31DCC" w:rsidP="00493925">
      <w:pPr>
        <w:pStyle w:val="Standard"/>
        <w:spacing w:line="276" w:lineRule="auto"/>
        <w:jc w:val="both"/>
        <w:rPr>
          <w:rFonts w:ascii="Times New Roman" w:hAnsi="Times New Roman" w:cs="Times New Roman"/>
        </w:rPr>
      </w:pPr>
    </w:p>
    <w:p w14:paraId="035FFE35" w14:textId="77777777" w:rsidR="00F31DCC" w:rsidRPr="00F05D44" w:rsidRDefault="00F31DCC" w:rsidP="008C71A9">
      <w:pPr>
        <w:pStyle w:val="Standard"/>
        <w:numPr>
          <w:ilvl w:val="0"/>
          <w:numId w:val="56"/>
        </w:numPr>
        <w:spacing w:line="276" w:lineRule="auto"/>
        <w:ind w:left="360"/>
        <w:jc w:val="both"/>
        <w:rPr>
          <w:rFonts w:ascii="Times New Roman" w:hAnsi="Times New Roman" w:cs="Times New Roman"/>
          <w:bCs/>
        </w:rPr>
      </w:pPr>
      <w:r w:rsidRPr="00F05D44">
        <w:rPr>
          <w:rFonts w:ascii="Times New Roman" w:hAnsi="Times New Roman" w:cs="Times New Roman"/>
          <w:bCs/>
        </w:rPr>
        <w:t>Gmina Miasto Puławy (powiat puławski)</w:t>
      </w:r>
    </w:p>
    <w:p w14:paraId="14A7E7BC" w14:textId="77777777" w:rsidR="00F05D44" w:rsidRDefault="00F05D44" w:rsidP="00493925">
      <w:pPr>
        <w:pStyle w:val="Standard"/>
        <w:spacing w:line="276" w:lineRule="auto"/>
        <w:jc w:val="both"/>
        <w:rPr>
          <w:rFonts w:ascii="Times New Roman" w:hAnsi="Times New Roman" w:cs="Times New Roman"/>
        </w:rPr>
      </w:pPr>
    </w:p>
    <w:p w14:paraId="0871DEC8" w14:textId="77777777" w:rsidR="00F31DCC" w:rsidRPr="005F0A32" w:rsidRDefault="00F31DCC" w:rsidP="00493925">
      <w:pPr>
        <w:pStyle w:val="Standard"/>
        <w:spacing w:line="276" w:lineRule="auto"/>
        <w:jc w:val="both"/>
        <w:rPr>
          <w:rFonts w:ascii="Times New Roman" w:hAnsi="Times New Roman" w:cs="Times New Roman"/>
        </w:rPr>
      </w:pPr>
      <w:r w:rsidRPr="005F0A32">
        <w:rPr>
          <w:rFonts w:ascii="Times New Roman" w:hAnsi="Times New Roman" w:cs="Times New Roman"/>
        </w:rPr>
        <w:t xml:space="preserve">W 2019 r. Gmina Puławy realizowała Projekt „Gmina Puławy dla Seniorów” </w:t>
      </w:r>
      <w:r w:rsidRPr="005F0A32">
        <w:rPr>
          <w:rFonts w:ascii="Times New Roman" w:hAnsi="Times New Roman" w:cs="Times New Roman"/>
          <w:b/>
        </w:rPr>
        <w:t xml:space="preserve"> </w:t>
      </w:r>
      <w:r w:rsidRPr="00F05D44">
        <w:rPr>
          <w:rFonts w:ascii="Times New Roman" w:hAnsi="Times New Roman" w:cs="Times New Roman"/>
        </w:rPr>
        <w:t>(</w:t>
      </w:r>
      <w:hyperlink r:id="rId34" w:history="1">
        <w:r w:rsidRPr="00F05D44">
          <w:rPr>
            <w:rFonts w:ascii="Times New Roman" w:hAnsi="Times New Roman" w:cs="Times New Roman"/>
            <w:bCs/>
          </w:rPr>
          <w:t>http://www.gops.pulawy.pl/projekt-gmina-pulawy-dla-seniorow/</w:t>
        </w:r>
      </w:hyperlink>
      <w:r w:rsidRPr="00F05D44">
        <w:rPr>
          <w:rFonts w:ascii="Times New Roman" w:hAnsi="Times New Roman" w:cs="Times New Roman"/>
          <w:bCs/>
        </w:rPr>
        <w:t>),</w:t>
      </w:r>
      <w:r w:rsidRPr="005F0A32">
        <w:rPr>
          <w:rFonts w:ascii="Times New Roman" w:hAnsi="Times New Roman" w:cs="Times New Roman"/>
          <w:b/>
          <w:bCs/>
        </w:rPr>
        <w:t xml:space="preserve"> </w:t>
      </w:r>
      <w:r w:rsidRPr="005F0A32">
        <w:rPr>
          <w:rFonts w:ascii="Times New Roman" w:hAnsi="Times New Roman" w:cs="Times New Roman"/>
          <w:bCs/>
        </w:rPr>
        <w:t>obejmował on trzy zadania:</w:t>
      </w:r>
    </w:p>
    <w:p w14:paraId="137C5D13" w14:textId="77777777" w:rsidR="00F31DCC" w:rsidRPr="005F0A32" w:rsidRDefault="00244B87" w:rsidP="00493925">
      <w:pPr>
        <w:pStyle w:val="Standard"/>
        <w:spacing w:line="276" w:lineRule="auto"/>
        <w:jc w:val="both"/>
        <w:rPr>
          <w:rFonts w:ascii="Times New Roman" w:hAnsi="Times New Roman" w:cs="Times New Roman"/>
        </w:rPr>
      </w:pPr>
      <w:r>
        <w:rPr>
          <w:rFonts w:ascii="Times New Roman" w:hAnsi="Times New Roman" w:cs="Times New Roman"/>
        </w:rPr>
        <w:t xml:space="preserve">W ramach zadania I </w:t>
      </w:r>
      <w:r w:rsidR="00F31DCC" w:rsidRPr="005F0A32">
        <w:rPr>
          <w:rFonts w:ascii="Times New Roman" w:hAnsi="Times New Roman" w:cs="Times New Roman"/>
        </w:rPr>
        <w:t>30 uczestników (20 kobiet, 10 mężczyzn) otrzymało wsparcie  w formie usług społecznych, zgodnie ze swoimi potrzebami, tj. w zakresie, wymiarze  i częstotliwości dostosowanej do potrzeb wynikających z indywidualnej diagnozy, spośród poniższych:</w:t>
      </w:r>
    </w:p>
    <w:p w14:paraId="250B6125" w14:textId="77777777" w:rsidR="00F31DCC" w:rsidRPr="005F0A32" w:rsidRDefault="00F31DCC" w:rsidP="008C71A9">
      <w:pPr>
        <w:pStyle w:val="Standard"/>
        <w:numPr>
          <w:ilvl w:val="1"/>
          <w:numId w:val="57"/>
        </w:numPr>
        <w:spacing w:line="276" w:lineRule="auto"/>
        <w:ind w:left="643"/>
        <w:jc w:val="both"/>
        <w:rPr>
          <w:rFonts w:ascii="Times New Roman" w:hAnsi="Times New Roman" w:cs="Times New Roman"/>
        </w:rPr>
      </w:pPr>
      <w:r w:rsidRPr="005F0A32">
        <w:rPr>
          <w:rFonts w:ascii="Times New Roman" w:hAnsi="Times New Roman" w:cs="Times New Roman"/>
        </w:rPr>
        <w:t>specjalistyczne usługi opiekuńcze w zakresie rehabilitacji i fizjoterapii;</w:t>
      </w:r>
    </w:p>
    <w:p w14:paraId="409A879B" w14:textId="77777777" w:rsidR="00F31DCC" w:rsidRPr="005F0A32" w:rsidRDefault="00F31DCC" w:rsidP="008C71A9">
      <w:pPr>
        <w:pStyle w:val="Standard"/>
        <w:numPr>
          <w:ilvl w:val="1"/>
          <w:numId w:val="57"/>
        </w:numPr>
        <w:spacing w:line="276" w:lineRule="auto"/>
        <w:ind w:left="643"/>
        <w:jc w:val="both"/>
        <w:rPr>
          <w:rFonts w:ascii="Times New Roman" w:hAnsi="Times New Roman" w:cs="Times New Roman"/>
        </w:rPr>
      </w:pPr>
      <w:r w:rsidRPr="005F0A32">
        <w:rPr>
          <w:rFonts w:ascii="Times New Roman" w:hAnsi="Times New Roman" w:cs="Times New Roman"/>
        </w:rPr>
        <w:t>poradnictwo psychologiczne;</w:t>
      </w:r>
    </w:p>
    <w:p w14:paraId="035123DF" w14:textId="77777777" w:rsidR="00F31DCC" w:rsidRPr="005F0A32" w:rsidRDefault="00F31DCC" w:rsidP="008C71A9">
      <w:pPr>
        <w:pStyle w:val="Standard"/>
        <w:numPr>
          <w:ilvl w:val="1"/>
          <w:numId w:val="57"/>
        </w:numPr>
        <w:spacing w:line="276" w:lineRule="auto"/>
        <w:ind w:left="643"/>
        <w:jc w:val="both"/>
        <w:rPr>
          <w:rFonts w:ascii="Times New Roman" w:hAnsi="Times New Roman" w:cs="Times New Roman"/>
        </w:rPr>
      </w:pPr>
      <w:r w:rsidRPr="005F0A32">
        <w:rPr>
          <w:rFonts w:ascii="Times New Roman" w:hAnsi="Times New Roman" w:cs="Times New Roman"/>
        </w:rPr>
        <w:t>poradnictwo psychiatryczne;</w:t>
      </w:r>
    </w:p>
    <w:p w14:paraId="5AD9DE54" w14:textId="77777777" w:rsidR="00F31DCC" w:rsidRPr="005F0A32" w:rsidRDefault="00F31DCC" w:rsidP="008C71A9">
      <w:pPr>
        <w:pStyle w:val="Standard"/>
        <w:numPr>
          <w:ilvl w:val="1"/>
          <w:numId w:val="57"/>
        </w:numPr>
        <w:spacing w:line="276" w:lineRule="auto"/>
        <w:ind w:left="643"/>
        <w:jc w:val="both"/>
        <w:rPr>
          <w:rFonts w:ascii="Times New Roman" w:hAnsi="Times New Roman" w:cs="Times New Roman"/>
        </w:rPr>
      </w:pPr>
      <w:r w:rsidRPr="005F0A32">
        <w:rPr>
          <w:rFonts w:ascii="Times New Roman" w:hAnsi="Times New Roman" w:cs="Times New Roman"/>
        </w:rPr>
        <w:t>poradnictwo prawne;</w:t>
      </w:r>
    </w:p>
    <w:p w14:paraId="73331ED2" w14:textId="77777777" w:rsidR="00F31DCC" w:rsidRPr="005F0A32" w:rsidRDefault="00F31DCC" w:rsidP="008C71A9">
      <w:pPr>
        <w:pStyle w:val="Standard"/>
        <w:numPr>
          <w:ilvl w:val="1"/>
          <w:numId w:val="57"/>
        </w:numPr>
        <w:spacing w:line="276" w:lineRule="auto"/>
        <w:ind w:left="643"/>
        <w:jc w:val="both"/>
        <w:rPr>
          <w:rFonts w:ascii="Times New Roman" w:hAnsi="Times New Roman" w:cs="Times New Roman"/>
        </w:rPr>
      </w:pPr>
      <w:r w:rsidRPr="005F0A32">
        <w:rPr>
          <w:rFonts w:ascii="Times New Roman" w:hAnsi="Times New Roman" w:cs="Times New Roman"/>
        </w:rPr>
        <w:t>specjalistyczne usługi opiekuńcze (w zakresie pielęgnacji);</w:t>
      </w:r>
    </w:p>
    <w:p w14:paraId="0B325B20" w14:textId="77777777" w:rsidR="00F31DCC" w:rsidRPr="005F0A32" w:rsidRDefault="00F31DCC" w:rsidP="008C71A9">
      <w:pPr>
        <w:pStyle w:val="Standard"/>
        <w:numPr>
          <w:ilvl w:val="1"/>
          <w:numId w:val="57"/>
        </w:numPr>
        <w:spacing w:line="276" w:lineRule="auto"/>
        <w:ind w:left="643"/>
        <w:jc w:val="both"/>
        <w:rPr>
          <w:rFonts w:ascii="Times New Roman" w:hAnsi="Times New Roman" w:cs="Times New Roman"/>
        </w:rPr>
      </w:pPr>
      <w:r w:rsidRPr="005F0A32">
        <w:rPr>
          <w:rFonts w:ascii="Times New Roman" w:hAnsi="Times New Roman" w:cs="Times New Roman"/>
        </w:rPr>
        <w:t>usługi opiekuńcze (opiekunka środowiskowa);</w:t>
      </w:r>
    </w:p>
    <w:p w14:paraId="25DE7F6B" w14:textId="77777777" w:rsidR="00F31DCC" w:rsidRPr="005F0A32" w:rsidRDefault="00F31DCC" w:rsidP="008C71A9">
      <w:pPr>
        <w:pStyle w:val="Standard"/>
        <w:numPr>
          <w:ilvl w:val="1"/>
          <w:numId w:val="57"/>
        </w:numPr>
        <w:spacing w:line="276" w:lineRule="auto"/>
        <w:ind w:left="643"/>
        <w:jc w:val="both"/>
        <w:rPr>
          <w:rFonts w:ascii="Times New Roman" w:hAnsi="Times New Roman" w:cs="Times New Roman"/>
        </w:rPr>
      </w:pPr>
      <w:r w:rsidRPr="005F0A32">
        <w:rPr>
          <w:rFonts w:ascii="Times New Roman" w:hAnsi="Times New Roman" w:cs="Times New Roman"/>
        </w:rPr>
        <w:t>pomoc w prowadzeniu gospodarstwa domowego, w tym utrzymanie porządku i czystości w najbliższym otoczeniu.</w:t>
      </w:r>
    </w:p>
    <w:p w14:paraId="63CAE677" w14:textId="77777777" w:rsidR="00F31DCC" w:rsidRPr="005F0A32" w:rsidRDefault="00244B87" w:rsidP="00493925">
      <w:pPr>
        <w:pStyle w:val="Standard"/>
        <w:spacing w:line="276" w:lineRule="auto"/>
        <w:jc w:val="both"/>
        <w:rPr>
          <w:rFonts w:ascii="Times New Roman" w:hAnsi="Times New Roman" w:cs="Times New Roman"/>
        </w:rPr>
      </w:pPr>
      <w:r>
        <w:rPr>
          <w:rFonts w:ascii="Times New Roman" w:hAnsi="Times New Roman" w:cs="Times New Roman"/>
        </w:rPr>
        <w:lastRenderedPageBreak/>
        <w:t xml:space="preserve">W ramach zadania II </w:t>
      </w:r>
      <w:r w:rsidR="00F31DCC" w:rsidRPr="005F0A32">
        <w:rPr>
          <w:rFonts w:ascii="Times New Roman" w:hAnsi="Times New Roman" w:cs="Times New Roman"/>
        </w:rPr>
        <w:t>zostały utworzone dwa kluby seniora i osób niepełnosprawnych:  w Górze Puławskiej oraz w Gołębiu. Każdy klub był przeznaczony dla 10 osób (łącznie 20 osób spośród uczestników zadania 1), działał 2 razy w tygodniu po 4 godziny. Dobrą praktyką wśród form pracy w klubach okazało się wspólne przygotowanie publikacji wspomnieniowych seniorów i wydanie ich w profesjonalnej formie.</w:t>
      </w:r>
    </w:p>
    <w:p w14:paraId="79F83EB7" w14:textId="77777777" w:rsidR="00F31DCC" w:rsidRPr="005F0A32" w:rsidRDefault="00244B87" w:rsidP="00493925">
      <w:pPr>
        <w:pStyle w:val="Standard"/>
        <w:spacing w:line="276" w:lineRule="auto"/>
        <w:jc w:val="both"/>
        <w:rPr>
          <w:rFonts w:ascii="Times New Roman" w:hAnsi="Times New Roman" w:cs="Times New Roman"/>
        </w:rPr>
      </w:pPr>
      <w:r>
        <w:rPr>
          <w:rFonts w:ascii="Times New Roman" w:hAnsi="Times New Roman" w:cs="Times New Roman"/>
        </w:rPr>
        <w:t xml:space="preserve">W ramach zadania III </w:t>
      </w:r>
      <w:r w:rsidR="00F31DCC" w:rsidRPr="005F0A32">
        <w:rPr>
          <w:rFonts w:ascii="Times New Roman" w:hAnsi="Times New Roman" w:cs="Times New Roman"/>
        </w:rPr>
        <w:t>wsparciem zostało objętych 10 osób – opiekunów fakty</w:t>
      </w:r>
      <w:r>
        <w:rPr>
          <w:rFonts w:ascii="Times New Roman" w:hAnsi="Times New Roman" w:cs="Times New Roman"/>
        </w:rPr>
        <w:t>cznych uczestników zadania I i II</w:t>
      </w:r>
      <w:r w:rsidR="00F31DCC" w:rsidRPr="005F0A32">
        <w:rPr>
          <w:rFonts w:ascii="Times New Roman" w:hAnsi="Times New Roman" w:cs="Times New Roman"/>
        </w:rPr>
        <w:t>. Zrealizowane następujące formy wsparcia:</w:t>
      </w:r>
    </w:p>
    <w:p w14:paraId="438AEA5E" w14:textId="77777777" w:rsidR="00F31DCC" w:rsidRPr="005F0A32" w:rsidRDefault="00F31DCC" w:rsidP="008C71A9">
      <w:pPr>
        <w:pStyle w:val="Standard"/>
        <w:numPr>
          <w:ilvl w:val="1"/>
          <w:numId w:val="58"/>
        </w:numPr>
        <w:spacing w:line="276" w:lineRule="auto"/>
        <w:ind w:left="643"/>
        <w:jc w:val="both"/>
        <w:rPr>
          <w:rFonts w:ascii="Times New Roman" w:hAnsi="Times New Roman" w:cs="Times New Roman"/>
        </w:rPr>
      </w:pPr>
      <w:r w:rsidRPr="005F0A32">
        <w:rPr>
          <w:rFonts w:ascii="Times New Roman" w:hAnsi="Times New Roman" w:cs="Times New Roman"/>
        </w:rPr>
        <w:t>szkolenie (w tym zajęcia praktyczne oraz wymiana doświadczeń) w zakresie opieki nad osobami niesamodzielnymi;</w:t>
      </w:r>
    </w:p>
    <w:p w14:paraId="434DE39A" w14:textId="77777777" w:rsidR="00F31DCC" w:rsidRPr="005F0A32" w:rsidRDefault="00F31DCC" w:rsidP="008C71A9">
      <w:pPr>
        <w:pStyle w:val="Standard"/>
        <w:numPr>
          <w:ilvl w:val="1"/>
          <w:numId w:val="58"/>
        </w:numPr>
        <w:spacing w:line="276" w:lineRule="auto"/>
        <w:ind w:left="643"/>
        <w:jc w:val="both"/>
        <w:rPr>
          <w:rFonts w:ascii="Times New Roman" w:hAnsi="Times New Roman" w:cs="Times New Roman"/>
        </w:rPr>
      </w:pPr>
      <w:r w:rsidRPr="005F0A32">
        <w:rPr>
          <w:rFonts w:ascii="Times New Roman" w:hAnsi="Times New Roman" w:cs="Times New Roman"/>
        </w:rPr>
        <w:t>indywidualne poradnictwo specjalistyczne;</w:t>
      </w:r>
    </w:p>
    <w:p w14:paraId="1E21616A" w14:textId="77777777" w:rsidR="00F31DCC" w:rsidRPr="005F0A32" w:rsidRDefault="00F31DCC" w:rsidP="008C71A9">
      <w:pPr>
        <w:pStyle w:val="Standard"/>
        <w:numPr>
          <w:ilvl w:val="1"/>
          <w:numId w:val="58"/>
        </w:numPr>
        <w:spacing w:line="276" w:lineRule="auto"/>
        <w:ind w:left="643"/>
        <w:jc w:val="both"/>
        <w:rPr>
          <w:rFonts w:ascii="Times New Roman" w:hAnsi="Times New Roman" w:cs="Times New Roman"/>
        </w:rPr>
      </w:pPr>
      <w:r w:rsidRPr="005F0A32">
        <w:rPr>
          <w:rFonts w:ascii="Times New Roman" w:hAnsi="Times New Roman" w:cs="Times New Roman"/>
        </w:rPr>
        <w:t>utworzenie grupy wsparcia prowadzonej przez wykwalifikowaną osobę.</w:t>
      </w:r>
    </w:p>
    <w:p w14:paraId="01A2EA84" w14:textId="77777777" w:rsidR="0076773A" w:rsidRDefault="0076773A" w:rsidP="003C1988">
      <w:pPr>
        <w:spacing w:after="0"/>
        <w:rPr>
          <w:rFonts w:ascii="Times New Roman" w:hAnsi="Times New Roman" w:cs="Times New Roman"/>
          <w:sz w:val="24"/>
          <w:szCs w:val="24"/>
          <w:lang w:eastAsia="ar-SA"/>
        </w:rPr>
        <w:sectPr w:rsidR="0076773A" w:rsidSect="00080A38">
          <w:pgSz w:w="11900" w:h="16838"/>
          <w:pgMar w:top="1384" w:right="1386" w:bottom="1038" w:left="1380" w:header="0" w:footer="567" w:gutter="0"/>
          <w:cols w:space="0" w:equalWidth="0">
            <w:col w:w="9140"/>
          </w:cols>
          <w:docGrid w:linePitch="360"/>
        </w:sectPr>
      </w:pPr>
    </w:p>
    <w:p w14:paraId="620B769C" w14:textId="2AE5FD3D" w:rsidR="005F20F3" w:rsidRPr="005F20F3" w:rsidRDefault="005F20F3" w:rsidP="005F20F3">
      <w:pPr>
        <w:pStyle w:val="Legenda"/>
        <w:keepNext/>
        <w:rPr>
          <w:rFonts w:ascii="Times New Roman" w:hAnsi="Times New Roman" w:cs="Times New Roman"/>
          <w:b/>
          <w:i w:val="0"/>
          <w:sz w:val="24"/>
        </w:rPr>
      </w:pPr>
      <w:bookmarkStart w:id="129" w:name="_Toc49171432"/>
      <w:r w:rsidRPr="005F20F3">
        <w:rPr>
          <w:rFonts w:ascii="Times New Roman" w:hAnsi="Times New Roman" w:cs="Times New Roman"/>
          <w:b/>
          <w:i w:val="0"/>
          <w:sz w:val="24"/>
        </w:rPr>
        <w:lastRenderedPageBreak/>
        <w:t xml:space="preserve">Tabela </w:t>
      </w:r>
      <w:r w:rsidRPr="005F20F3">
        <w:rPr>
          <w:rFonts w:ascii="Times New Roman" w:hAnsi="Times New Roman" w:cs="Times New Roman"/>
          <w:b/>
          <w:i w:val="0"/>
          <w:sz w:val="24"/>
        </w:rPr>
        <w:fldChar w:fldCharType="begin"/>
      </w:r>
      <w:r w:rsidRPr="005F20F3">
        <w:rPr>
          <w:rFonts w:ascii="Times New Roman" w:hAnsi="Times New Roman" w:cs="Times New Roman"/>
          <w:b/>
          <w:i w:val="0"/>
          <w:sz w:val="24"/>
        </w:rPr>
        <w:instrText xml:space="preserve"> SEQ Tabela \* ARABIC </w:instrText>
      </w:r>
      <w:r w:rsidRPr="005F20F3">
        <w:rPr>
          <w:rFonts w:ascii="Times New Roman" w:hAnsi="Times New Roman" w:cs="Times New Roman"/>
          <w:b/>
          <w:i w:val="0"/>
          <w:sz w:val="24"/>
        </w:rPr>
        <w:fldChar w:fldCharType="separate"/>
      </w:r>
      <w:r w:rsidR="00C154C9">
        <w:rPr>
          <w:rFonts w:ascii="Times New Roman" w:hAnsi="Times New Roman" w:cs="Times New Roman"/>
          <w:b/>
          <w:i w:val="0"/>
          <w:noProof/>
          <w:sz w:val="24"/>
        </w:rPr>
        <w:t>57</w:t>
      </w:r>
      <w:r w:rsidRPr="005F20F3">
        <w:rPr>
          <w:rFonts w:ascii="Times New Roman" w:hAnsi="Times New Roman" w:cs="Times New Roman"/>
          <w:b/>
          <w:i w:val="0"/>
          <w:sz w:val="24"/>
        </w:rPr>
        <w:fldChar w:fldCharType="end"/>
      </w:r>
      <w:r w:rsidRPr="005F20F3">
        <w:rPr>
          <w:rFonts w:ascii="Times New Roman" w:hAnsi="Times New Roman" w:cs="Times New Roman"/>
          <w:b/>
          <w:i w:val="0"/>
          <w:sz w:val="24"/>
        </w:rPr>
        <w:t xml:space="preserve"> Karta województwa lubelskiego</w:t>
      </w:r>
      <w:bookmarkEnd w:id="129"/>
    </w:p>
    <w:tbl>
      <w:tblPr>
        <w:tblpPr w:leftFromText="142" w:rightFromText="142" w:vertAnchor="text" w:horzAnchor="margin" w:tblpXSpec="center" w:tblpY="1"/>
        <w:tblOverlap w:val="never"/>
        <w:tblW w:w="14741"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0A0" w:firstRow="1" w:lastRow="0" w:firstColumn="1" w:lastColumn="0" w:noHBand="0" w:noVBand="0"/>
      </w:tblPr>
      <w:tblGrid>
        <w:gridCol w:w="2830"/>
        <w:gridCol w:w="3066"/>
        <w:gridCol w:w="53"/>
        <w:gridCol w:w="850"/>
        <w:gridCol w:w="2045"/>
        <w:gridCol w:w="790"/>
        <w:gridCol w:w="1134"/>
        <w:gridCol w:w="1024"/>
        <w:gridCol w:w="2949"/>
      </w:tblGrid>
      <w:tr w:rsidR="007D211F" w:rsidRPr="007D211F" w14:paraId="547EA5A7" w14:textId="77777777" w:rsidTr="00E86509">
        <w:tc>
          <w:tcPr>
            <w:tcW w:w="14741" w:type="dxa"/>
            <w:gridSpan w:val="9"/>
            <w:shd w:val="clear" w:color="auto" w:fill="9CC2E5" w:themeFill="accent1" w:themeFillTint="99"/>
          </w:tcPr>
          <w:p w14:paraId="6CD22266" w14:textId="77777777" w:rsidR="0076773A" w:rsidRPr="007D211F" w:rsidRDefault="0076773A" w:rsidP="00E86509">
            <w:pPr>
              <w:spacing w:after="0" w:line="240" w:lineRule="auto"/>
              <w:jc w:val="center"/>
              <w:rPr>
                <w:rFonts w:ascii="Times New Roman" w:hAnsi="Times New Roman" w:cs="Times New Roman"/>
                <w:b/>
                <w:bCs/>
              </w:rPr>
            </w:pPr>
            <w:r w:rsidRPr="007D211F">
              <w:rPr>
                <w:rFonts w:ascii="Times New Roman" w:hAnsi="Times New Roman" w:cs="Times New Roman"/>
                <w:b/>
                <w:bCs/>
              </w:rPr>
              <w:t>WOJEWÓDZTWO LUBELSKIE</w:t>
            </w:r>
          </w:p>
        </w:tc>
      </w:tr>
      <w:tr w:rsidR="007D211F" w:rsidRPr="007D211F" w14:paraId="200E6198" w14:textId="77777777" w:rsidTr="00E86509">
        <w:trPr>
          <w:trHeight w:val="113"/>
        </w:trPr>
        <w:tc>
          <w:tcPr>
            <w:tcW w:w="2830" w:type="dxa"/>
            <w:vMerge w:val="restart"/>
            <w:shd w:val="clear" w:color="auto" w:fill="9CC2E5" w:themeFill="accent1" w:themeFillTint="99"/>
          </w:tcPr>
          <w:p w14:paraId="19A5E896" w14:textId="77777777" w:rsidR="0076773A" w:rsidRPr="007D211F" w:rsidRDefault="0076773A" w:rsidP="00E86509">
            <w:pPr>
              <w:spacing w:after="0" w:line="240" w:lineRule="auto"/>
              <w:rPr>
                <w:rFonts w:ascii="Times New Roman" w:hAnsi="Times New Roman" w:cs="Times New Roman"/>
                <w:b/>
                <w:bCs/>
              </w:rPr>
            </w:pPr>
            <w:r w:rsidRPr="007D211F">
              <w:rPr>
                <w:rFonts w:ascii="Times New Roman" w:hAnsi="Times New Roman" w:cs="Times New Roman"/>
                <w:b/>
                <w:bCs/>
              </w:rPr>
              <w:t>Informacja o regionie</w:t>
            </w:r>
          </w:p>
        </w:tc>
        <w:tc>
          <w:tcPr>
            <w:tcW w:w="3969" w:type="dxa"/>
            <w:gridSpan w:val="3"/>
            <w:shd w:val="clear" w:color="auto" w:fill="9CC2E5" w:themeFill="accent1" w:themeFillTint="99"/>
          </w:tcPr>
          <w:p w14:paraId="0CD89212" w14:textId="77777777" w:rsidR="0076773A" w:rsidRPr="007D211F" w:rsidRDefault="0076773A" w:rsidP="00E86509">
            <w:pPr>
              <w:spacing w:after="0" w:line="240" w:lineRule="auto"/>
              <w:rPr>
                <w:rFonts w:ascii="Times New Roman" w:hAnsi="Times New Roman" w:cs="Times New Roman"/>
              </w:rPr>
            </w:pPr>
            <w:r w:rsidRPr="007D211F">
              <w:rPr>
                <w:rFonts w:ascii="Times New Roman" w:hAnsi="Times New Roman" w:cs="Times New Roman"/>
              </w:rPr>
              <w:t>Liczba gmin</w:t>
            </w:r>
          </w:p>
        </w:tc>
        <w:tc>
          <w:tcPr>
            <w:tcW w:w="7942" w:type="dxa"/>
            <w:gridSpan w:val="5"/>
            <w:shd w:val="clear" w:color="auto" w:fill="FFFFFF" w:themeFill="background1"/>
          </w:tcPr>
          <w:p w14:paraId="6B686C44"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213</w:t>
            </w:r>
          </w:p>
        </w:tc>
      </w:tr>
      <w:tr w:rsidR="007D211F" w:rsidRPr="007D211F" w14:paraId="020D8764" w14:textId="77777777" w:rsidTr="00E86509">
        <w:trPr>
          <w:trHeight w:val="112"/>
        </w:trPr>
        <w:tc>
          <w:tcPr>
            <w:tcW w:w="2830" w:type="dxa"/>
            <w:vMerge/>
            <w:shd w:val="clear" w:color="auto" w:fill="9CC2E5" w:themeFill="accent1" w:themeFillTint="99"/>
          </w:tcPr>
          <w:p w14:paraId="62C2C57B" w14:textId="77777777" w:rsidR="0076773A" w:rsidRPr="007D211F" w:rsidRDefault="0076773A" w:rsidP="00E86509">
            <w:pPr>
              <w:spacing w:after="0" w:line="240" w:lineRule="auto"/>
              <w:rPr>
                <w:rFonts w:ascii="Times New Roman" w:hAnsi="Times New Roman" w:cs="Times New Roman"/>
                <w:b/>
                <w:bCs/>
              </w:rPr>
            </w:pPr>
          </w:p>
        </w:tc>
        <w:tc>
          <w:tcPr>
            <w:tcW w:w="3969" w:type="dxa"/>
            <w:gridSpan w:val="3"/>
            <w:shd w:val="clear" w:color="auto" w:fill="9CC2E5" w:themeFill="accent1" w:themeFillTint="99"/>
          </w:tcPr>
          <w:p w14:paraId="651EE18A" w14:textId="77777777" w:rsidR="0076773A" w:rsidRPr="007D211F" w:rsidRDefault="0076773A" w:rsidP="00E86509">
            <w:pPr>
              <w:spacing w:after="0" w:line="240" w:lineRule="auto"/>
              <w:rPr>
                <w:rFonts w:ascii="Times New Roman" w:hAnsi="Times New Roman" w:cs="Times New Roman"/>
              </w:rPr>
            </w:pPr>
            <w:r w:rsidRPr="007D211F">
              <w:rPr>
                <w:rFonts w:ascii="Times New Roman" w:hAnsi="Times New Roman" w:cs="Times New Roman"/>
              </w:rPr>
              <w:t>Liczba powiatów</w:t>
            </w:r>
          </w:p>
        </w:tc>
        <w:tc>
          <w:tcPr>
            <w:tcW w:w="7942" w:type="dxa"/>
            <w:gridSpan w:val="5"/>
            <w:shd w:val="clear" w:color="auto" w:fill="FFFFFF" w:themeFill="background1"/>
          </w:tcPr>
          <w:p w14:paraId="6CBF4D83"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24</w:t>
            </w:r>
          </w:p>
        </w:tc>
      </w:tr>
      <w:tr w:rsidR="007D211F" w:rsidRPr="007D211F" w14:paraId="5C4FEF27" w14:textId="77777777" w:rsidTr="00E86509">
        <w:trPr>
          <w:trHeight w:val="112"/>
        </w:trPr>
        <w:tc>
          <w:tcPr>
            <w:tcW w:w="2830" w:type="dxa"/>
            <w:vMerge/>
            <w:shd w:val="clear" w:color="auto" w:fill="9CC2E5" w:themeFill="accent1" w:themeFillTint="99"/>
          </w:tcPr>
          <w:p w14:paraId="5C0FB0E9" w14:textId="77777777" w:rsidR="0076773A" w:rsidRPr="007D211F" w:rsidRDefault="0076773A" w:rsidP="00E86509">
            <w:pPr>
              <w:spacing w:after="0" w:line="240" w:lineRule="auto"/>
              <w:rPr>
                <w:rFonts w:ascii="Times New Roman" w:hAnsi="Times New Roman" w:cs="Times New Roman"/>
                <w:b/>
                <w:bCs/>
              </w:rPr>
            </w:pPr>
          </w:p>
        </w:tc>
        <w:tc>
          <w:tcPr>
            <w:tcW w:w="3969" w:type="dxa"/>
            <w:gridSpan w:val="3"/>
            <w:shd w:val="clear" w:color="auto" w:fill="9CC2E5" w:themeFill="accent1" w:themeFillTint="99"/>
          </w:tcPr>
          <w:p w14:paraId="6102D394" w14:textId="77777777" w:rsidR="0076773A" w:rsidRPr="007D211F" w:rsidRDefault="0076773A" w:rsidP="00E86509">
            <w:pPr>
              <w:spacing w:after="0" w:line="240" w:lineRule="auto"/>
              <w:rPr>
                <w:rFonts w:ascii="Times New Roman" w:hAnsi="Times New Roman" w:cs="Times New Roman"/>
              </w:rPr>
            </w:pPr>
            <w:r w:rsidRPr="007D211F">
              <w:rPr>
                <w:rFonts w:ascii="Times New Roman" w:hAnsi="Times New Roman" w:cs="Times New Roman"/>
              </w:rPr>
              <w:t>Powierzchnia</w:t>
            </w:r>
          </w:p>
        </w:tc>
        <w:tc>
          <w:tcPr>
            <w:tcW w:w="7942" w:type="dxa"/>
            <w:gridSpan w:val="5"/>
            <w:shd w:val="clear" w:color="auto" w:fill="FFFFFF" w:themeFill="background1"/>
          </w:tcPr>
          <w:p w14:paraId="447BCC0D" w14:textId="77777777" w:rsidR="0076773A" w:rsidRPr="007D211F" w:rsidRDefault="003015B1" w:rsidP="00E86509">
            <w:pPr>
              <w:spacing w:after="0" w:line="240" w:lineRule="auto"/>
              <w:jc w:val="center"/>
              <w:rPr>
                <w:rFonts w:ascii="Times New Roman" w:hAnsi="Times New Roman" w:cs="Times New Roman"/>
              </w:rPr>
            </w:pPr>
            <w:r w:rsidRPr="007D211F">
              <w:rPr>
                <w:rFonts w:ascii="Times New Roman" w:hAnsi="Times New Roman" w:cs="Times New Roman"/>
              </w:rPr>
              <w:t xml:space="preserve">25 </w:t>
            </w:r>
            <w:r w:rsidR="0076773A" w:rsidRPr="007D211F">
              <w:rPr>
                <w:rFonts w:ascii="Times New Roman" w:hAnsi="Times New Roman" w:cs="Times New Roman"/>
              </w:rPr>
              <w:t>122 km</w:t>
            </w:r>
            <w:r w:rsidR="0076773A" w:rsidRPr="007D211F">
              <w:rPr>
                <w:rFonts w:ascii="Times New Roman" w:hAnsi="Times New Roman" w:cs="Times New Roman"/>
                <w:vertAlign w:val="superscript"/>
              </w:rPr>
              <w:t>2</w:t>
            </w:r>
          </w:p>
        </w:tc>
      </w:tr>
      <w:tr w:rsidR="007D211F" w:rsidRPr="007D211F" w14:paraId="0AE8DC51" w14:textId="77777777" w:rsidTr="00E86509">
        <w:tc>
          <w:tcPr>
            <w:tcW w:w="14741" w:type="dxa"/>
            <w:gridSpan w:val="9"/>
            <w:shd w:val="clear" w:color="auto" w:fill="9CC2E5" w:themeFill="accent1" w:themeFillTint="99"/>
          </w:tcPr>
          <w:p w14:paraId="0196A29C" w14:textId="77777777" w:rsidR="0076773A" w:rsidRPr="007D211F" w:rsidRDefault="0076773A" w:rsidP="00E86509">
            <w:pPr>
              <w:spacing w:after="0" w:line="240" w:lineRule="auto"/>
              <w:jc w:val="center"/>
              <w:rPr>
                <w:rFonts w:ascii="Times New Roman" w:hAnsi="Times New Roman" w:cs="Times New Roman"/>
                <w:b/>
                <w:bCs/>
              </w:rPr>
            </w:pPr>
            <w:r w:rsidRPr="007D211F">
              <w:rPr>
                <w:rFonts w:ascii="Times New Roman" w:hAnsi="Times New Roman" w:cs="Times New Roman"/>
                <w:b/>
                <w:bCs/>
              </w:rPr>
              <w:t>DEMOGRAFIA</w:t>
            </w:r>
          </w:p>
        </w:tc>
      </w:tr>
      <w:tr w:rsidR="007D211F" w:rsidRPr="007D211F" w14:paraId="74E6C9A3" w14:textId="77777777" w:rsidTr="00E86509">
        <w:tc>
          <w:tcPr>
            <w:tcW w:w="2830" w:type="dxa"/>
            <w:shd w:val="clear" w:color="auto" w:fill="9CC2E5" w:themeFill="accent1" w:themeFillTint="99"/>
          </w:tcPr>
          <w:p w14:paraId="2258D842" w14:textId="77777777" w:rsidR="0076773A" w:rsidRPr="007D211F" w:rsidRDefault="0076773A" w:rsidP="00E86509">
            <w:pPr>
              <w:spacing w:after="0" w:line="240" w:lineRule="auto"/>
              <w:jc w:val="center"/>
              <w:rPr>
                <w:rFonts w:ascii="Times New Roman" w:hAnsi="Times New Roman" w:cs="Times New Roman"/>
                <w:b/>
                <w:bCs/>
                <w:lang w:eastAsia="pl-PL"/>
              </w:rPr>
            </w:pPr>
            <w:r w:rsidRPr="007D211F">
              <w:rPr>
                <w:rFonts w:ascii="Times New Roman" w:hAnsi="Times New Roman" w:cs="Times New Roman"/>
                <w:b/>
                <w:bCs/>
                <w:lang w:eastAsia="pl-PL"/>
              </w:rPr>
              <w:t>Treść</w:t>
            </w:r>
          </w:p>
        </w:tc>
        <w:tc>
          <w:tcPr>
            <w:tcW w:w="3969" w:type="dxa"/>
            <w:gridSpan w:val="3"/>
            <w:shd w:val="clear" w:color="auto" w:fill="9CC2E5" w:themeFill="accent1" w:themeFillTint="99"/>
          </w:tcPr>
          <w:p w14:paraId="456D303C" w14:textId="77777777" w:rsidR="0076773A" w:rsidRPr="007D211F" w:rsidRDefault="0076773A" w:rsidP="00E86509">
            <w:pPr>
              <w:spacing w:after="0" w:line="240" w:lineRule="auto"/>
              <w:jc w:val="center"/>
              <w:rPr>
                <w:rFonts w:ascii="Times New Roman" w:hAnsi="Times New Roman" w:cs="Times New Roman"/>
                <w:b/>
                <w:bCs/>
              </w:rPr>
            </w:pPr>
            <w:r w:rsidRPr="007D211F">
              <w:rPr>
                <w:rFonts w:ascii="Times New Roman" w:hAnsi="Times New Roman" w:cs="Times New Roman"/>
                <w:b/>
                <w:bCs/>
              </w:rPr>
              <w:t>2017 r.</w:t>
            </w:r>
          </w:p>
        </w:tc>
        <w:tc>
          <w:tcPr>
            <w:tcW w:w="3969" w:type="dxa"/>
            <w:gridSpan w:val="3"/>
            <w:shd w:val="clear" w:color="auto" w:fill="9CC2E5" w:themeFill="accent1" w:themeFillTint="99"/>
          </w:tcPr>
          <w:p w14:paraId="08E03E3C" w14:textId="77777777" w:rsidR="0076773A" w:rsidRPr="007D211F" w:rsidRDefault="0076773A" w:rsidP="00E86509">
            <w:pPr>
              <w:spacing w:after="0" w:line="240" w:lineRule="auto"/>
              <w:jc w:val="center"/>
              <w:rPr>
                <w:rFonts w:ascii="Times New Roman" w:hAnsi="Times New Roman" w:cs="Times New Roman"/>
                <w:b/>
                <w:bCs/>
              </w:rPr>
            </w:pPr>
            <w:r w:rsidRPr="007D211F">
              <w:rPr>
                <w:rFonts w:ascii="Times New Roman" w:hAnsi="Times New Roman" w:cs="Times New Roman"/>
                <w:b/>
                <w:bCs/>
              </w:rPr>
              <w:t>2018 r.</w:t>
            </w:r>
          </w:p>
        </w:tc>
        <w:tc>
          <w:tcPr>
            <w:tcW w:w="3973" w:type="dxa"/>
            <w:gridSpan w:val="2"/>
            <w:shd w:val="clear" w:color="auto" w:fill="9CC2E5" w:themeFill="accent1" w:themeFillTint="99"/>
          </w:tcPr>
          <w:p w14:paraId="1DC04A15" w14:textId="77777777" w:rsidR="0076773A" w:rsidRPr="007D211F" w:rsidRDefault="0076773A" w:rsidP="00E86509">
            <w:pPr>
              <w:spacing w:after="0" w:line="240" w:lineRule="auto"/>
              <w:jc w:val="center"/>
              <w:rPr>
                <w:rFonts w:ascii="Times New Roman" w:hAnsi="Times New Roman" w:cs="Times New Roman"/>
                <w:b/>
                <w:bCs/>
              </w:rPr>
            </w:pPr>
            <w:r w:rsidRPr="007D211F">
              <w:rPr>
                <w:rFonts w:ascii="Times New Roman" w:hAnsi="Times New Roman" w:cs="Times New Roman"/>
                <w:b/>
                <w:bCs/>
              </w:rPr>
              <w:t>2019 r.</w:t>
            </w:r>
          </w:p>
        </w:tc>
      </w:tr>
      <w:tr w:rsidR="007D211F" w:rsidRPr="007D211F" w14:paraId="6D37B4D9" w14:textId="77777777" w:rsidTr="00E86509">
        <w:tc>
          <w:tcPr>
            <w:tcW w:w="2830" w:type="dxa"/>
            <w:shd w:val="clear" w:color="auto" w:fill="9CC2E5" w:themeFill="accent1" w:themeFillTint="99"/>
          </w:tcPr>
          <w:p w14:paraId="54D27364"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lang w:eastAsia="pl-PL"/>
              </w:rPr>
              <w:t>Populacja ogółem</w:t>
            </w:r>
          </w:p>
        </w:tc>
        <w:tc>
          <w:tcPr>
            <w:tcW w:w="3969" w:type="dxa"/>
            <w:gridSpan w:val="3"/>
          </w:tcPr>
          <w:p w14:paraId="28A1A2DD" w14:textId="77777777" w:rsidR="0076773A" w:rsidRPr="007D211F" w:rsidRDefault="003015B1" w:rsidP="00E86509">
            <w:pPr>
              <w:spacing w:after="0" w:line="240" w:lineRule="auto"/>
              <w:jc w:val="center"/>
              <w:rPr>
                <w:rFonts w:ascii="Times New Roman" w:hAnsi="Times New Roman" w:cs="Times New Roman"/>
              </w:rPr>
            </w:pPr>
            <w:r w:rsidRPr="007D211F">
              <w:rPr>
                <w:rFonts w:ascii="Times New Roman" w:hAnsi="Times New Roman" w:cs="Times New Roman"/>
              </w:rPr>
              <w:t xml:space="preserve">2 </w:t>
            </w:r>
            <w:r w:rsidR="0076773A" w:rsidRPr="007D211F">
              <w:rPr>
                <w:rFonts w:ascii="Times New Roman" w:hAnsi="Times New Roman" w:cs="Times New Roman"/>
              </w:rPr>
              <w:t>126,3 tys.</w:t>
            </w:r>
          </w:p>
        </w:tc>
        <w:tc>
          <w:tcPr>
            <w:tcW w:w="3969" w:type="dxa"/>
            <w:gridSpan w:val="3"/>
          </w:tcPr>
          <w:p w14:paraId="5BF1C276" w14:textId="77777777" w:rsidR="0076773A" w:rsidRPr="007D211F" w:rsidRDefault="003015B1" w:rsidP="00E86509">
            <w:pPr>
              <w:spacing w:after="0" w:line="240" w:lineRule="auto"/>
              <w:jc w:val="center"/>
              <w:rPr>
                <w:rFonts w:ascii="Times New Roman" w:hAnsi="Times New Roman" w:cs="Times New Roman"/>
              </w:rPr>
            </w:pPr>
            <w:r w:rsidRPr="007D211F">
              <w:rPr>
                <w:rFonts w:ascii="Times New Roman" w:hAnsi="Times New Roman" w:cs="Times New Roman"/>
              </w:rPr>
              <w:t xml:space="preserve">2 </w:t>
            </w:r>
            <w:r w:rsidR="0076773A" w:rsidRPr="007D211F">
              <w:rPr>
                <w:rFonts w:ascii="Times New Roman" w:hAnsi="Times New Roman" w:cs="Times New Roman"/>
              </w:rPr>
              <w:t>117,6 tys.</w:t>
            </w:r>
          </w:p>
        </w:tc>
        <w:tc>
          <w:tcPr>
            <w:tcW w:w="3973" w:type="dxa"/>
            <w:gridSpan w:val="2"/>
          </w:tcPr>
          <w:p w14:paraId="64BE2253" w14:textId="77777777" w:rsidR="0076773A" w:rsidRPr="007D211F" w:rsidRDefault="003015B1" w:rsidP="00E86509">
            <w:pPr>
              <w:spacing w:after="0" w:line="240" w:lineRule="auto"/>
              <w:jc w:val="center"/>
              <w:rPr>
                <w:rFonts w:ascii="Times New Roman" w:hAnsi="Times New Roman" w:cs="Times New Roman"/>
              </w:rPr>
            </w:pPr>
            <w:r w:rsidRPr="007D211F">
              <w:rPr>
                <w:rFonts w:ascii="Times New Roman" w:hAnsi="Times New Roman" w:cs="Times New Roman"/>
              </w:rPr>
              <w:t xml:space="preserve">2 </w:t>
            </w:r>
            <w:r w:rsidR="0076773A" w:rsidRPr="007D211F">
              <w:rPr>
                <w:rFonts w:ascii="Times New Roman" w:hAnsi="Times New Roman" w:cs="Times New Roman"/>
              </w:rPr>
              <w:t>108,3 tys.</w:t>
            </w:r>
          </w:p>
        </w:tc>
      </w:tr>
      <w:tr w:rsidR="007D211F" w:rsidRPr="007D211F" w14:paraId="66FBE6C7" w14:textId="77777777" w:rsidTr="00E86509">
        <w:tc>
          <w:tcPr>
            <w:tcW w:w="14741" w:type="dxa"/>
            <w:gridSpan w:val="9"/>
            <w:shd w:val="clear" w:color="auto" w:fill="9CC2E5" w:themeFill="accent1" w:themeFillTint="99"/>
          </w:tcPr>
          <w:p w14:paraId="0D21DBDA" w14:textId="77777777" w:rsidR="0076773A" w:rsidRPr="007D211F" w:rsidRDefault="0076773A" w:rsidP="00E86509">
            <w:pPr>
              <w:spacing w:after="0" w:line="240" w:lineRule="auto"/>
              <w:rPr>
                <w:rFonts w:ascii="Times New Roman" w:hAnsi="Times New Roman" w:cs="Times New Roman"/>
                <w:b/>
                <w:bCs/>
              </w:rPr>
            </w:pPr>
            <w:r w:rsidRPr="007D211F">
              <w:rPr>
                <w:rFonts w:ascii="Times New Roman" w:hAnsi="Times New Roman" w:cs="Times New Roman"/>
                <w:b/>
                <w:lang w:eastAsia="pl-PL"/>
              </w:rPr>
              <w:t>w tym:</w:t>
            </w:r>
          </w:p>
        </w:tc>
      </w:tr>
      <w:tr w:rsidR="007D211F" w:rsidRPr="007D211F" w14:paraId="694941EB" w14:textId="77777777" w:rsidTr="00E86509">
        <w:tc>
          <w:tcPr>
            <w:tcW w:w="2830" w:type="dxa"/>
            <w:shd w:val="clear" w:color="auto" w:fill="9CC2E5" w:themeFill="accent1" w:themeFillTint="99"/>
          </w:tcPr>
          <w:p w14:paraId="68D13D0D" w14:textId="77777777" w:rsidR="0076773A" w:rsidRPr="007D211F" w:rsidRDefault="0076773A" w:rsidP="00E86509">
            <w:pPr>
              <w:spacing w:after="0" w:line="240" w:lineRule="auto"/>
              <w:rPr>
                <w:rFonts w:ascii="Times New Roman" w:hAnsi="Times New Roman" w:cs="Times New Roman"/>
                <w:b/>
                <w:bCs/>
              </w:rPr>
            </w:pPr>
            <w:r w:rsidRPr="007D211F">
              <w:rPr>
                <w:rFonts w:ascii="Times New Roman" w:hAnsi="Times New Roman" w:cs="Times New Roman"/>
                <w:b/>
                <w:lang w:eastAsia="pl-PL"/>
              </w:rPr>
              <w:t>w wieku 60 lat i więcej</w:t>
            </w:r>
          </w:p>
        </w:tc>
        <w:tc>
          <w:tcPr>
            <w:tcW w:w="3969" w:type="dxa"/>
            <w:gridSpan w:val="3"/>
            <w:shd w:val="clear" w:color="auto" w:fill="FFFFFF" w:themeFill="background1"/>
          </w:tcPr>
          <w:p w14:paraId="3E2016FB"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522,0 tys.</w:t>
            </w:r>
          </w:p>
        </w:tc>
        <w:tc>
          <w:tcPr>
            <w:tcW w:w="3969" w:type="dxa"/>
            <w:gridSpan w:val="3"/>
            <w:shd w:val="clear" w:color="auto" w:fill="FFFFFF" w:themeFill="background1"/>
          </w:tcPr>
          <w:p w14:paraId="701E6D4D"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532,5 tys.</w:t>
            </w:r>
          </w:p>
        </w:tc>
        <w:tc>
          <w:tcPr>
            <w:tcW w:w="3973" w:type="dxa"/>
            <w:gridSpan w:val="2"/>
            <w:shd w:val="clear" w:color="auto" w:fill="FFFFFF" w:themeFill="background1"/>
          </w:tcPr>
          <w:p w14:paraId="5A54262C"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537,1 tys.</w:t>
            </w:r>
          </w:p>
        </w:tc>
      </w:tr>
      <w:tr w:rsidR="007D211F" w:rsidRPr="007D211F" w14:paraId="00A450CE" w14:textId="77777777" w:rsidTr="00E86509">
        <w:tc>
          <w:tcPr>
            <w:tcW w:w="2830" w:type="dxa"/>
            <w:shd w:val="clear" w:color="auto" w:fill="9CC2E5" w:themeFill="accent1" w:themeFillTint="99"/>
          </w:tcPr>
          <w:p w14:paraId="3A72CFB4"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lang w:eastAsia="pl-PL"/>
              </w:rPr>
              <w:t>60–64 lata</w:t>
            </w:r>
          </w:p>
        </w:tc>
        <w:tc>
          <w:tcPr>
            <w:tcW w:w="3969" w:type="dxa"/>
            <w:gridSpan w:val="3"/>
            <w:shd w:val="clear" w:color="auto" w:fill="FFFFFF" w:themeFill="background1"/>
          </w:tcPr>
          <w:p w14:paraId="6197057B"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151,4 tys.</w:t>
            </w:r>
          </w:p>
        </w:tc>
        <w:tc>
          <w:tcPr>
            <w:tcW w:w="3969" w:type="dxa"/>
            <w:gridSpan w:val="3"/>
            <w:shd w:val="clear" w:color="auto" w:fill="FFFFFF" w:themeFill="background1"/>
          </w:tcPr>
          <w:p w14:paraId="79BA1865"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151,2 tys.</w:t>
            </w:r>
          </w:p>
        </w:tc>
        <w:tc>
          <w:tcPr>
            <w:tcW w:w="3973" w:type="dxa"/>
            <w:gridSpan w:val="2"/>
            <w:shd w:val="clear" w:color="auto" w:fill="FFFFFF" w:themeFill="background1"/>
          </w:tcPr>
          <w:p w14:paraId="7346DD4A"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150,7 tys.</w:t>
            </w:r>
          </w:p>
        </w:tc>
      </w:tr>
      <w:tr w:rsidR="007D211F" w:rsidRPr="007D211F" w14:paraId="4E4BA0D7" w14:textId="77777777" w:rsidTr="00E86509">
        <w:tc>
          <w:tcPr>
            <w:tcW w:w="2830" w:type="dxa"/>
            <w:shd w:val="clear" w:color="auto" w:fill="9CC2E5" w:themeFill="accent1" w:themeFillTint="99"/>
          </w:tcPr>
          <w:p w14:paraId="3ABC981F"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lang w:eastAsia="pl-PL"/>
              </w:rPr>
              <w:t>65–69</w:t>
            </w:r>
          </w:p>
        </w:tc>
        <w:tc>
          <w:tcPr>
            <w:tcW w:w="3969" w:type="dxa"/>
            <w:gridSpan w:val="3"/>
            <w:shd w:val="clear" w:color="auto" w:fill="FFFFFF" w:themeFill="background1"/>
          </w:tcPr>
          <w:p w14:paraId="7024BA52"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126,7 tys.</w:t>
            </w:r>
          </w:p>
        </w:tc>
        <w:tc>
          <w:tcPr>
            <w:tcW w:w="3969" w:type="dxa"/>
            <w:gridSpan w:val="3"/>
            <w:shd w:val="clear" w:color="auto" w:fill="FFFFFF" w:themeFill="background1"/>
          </w:tcPr>
          <w:p w14:paraId="4C0CD805"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130,5 tys.</w:t>
            </w:r>
          </w:p>
        </w:tc>
        <w:tc>
          <w:tcPr>
            <w:tcW w:w="3973" w:type="dxa"/>
            <w:gridSpan w:val="2"/>
            <w:shd w:val="clear" w:color="auto" w:fill="FFFFFF" w:themeFill="background1"/>
          </w:tcPr>
          <w:p w14:paraId="23C817F4"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132,1 tys.</w:t>
            </w:r>
          </w:p>
        </w:tc>
      </w:tr>
      <w:tr w:rsidR="007D211F" w:rsidRPr="007D211F" w14:paraId="27CC4EA1" w14:textId="77777777" w:rsidTr="00E86509">
        <w:tc>
          <w:tcPr>
            <w:tcW w:w="2830" w:type="dxa"/>
            <w:shd w:val="clear" w:color="auto" w:fill="9CC2E5" w:themeFill="accent1" w:themeFillTint="99"/>
          </w:tcPr>
          <w:p w14:paraId="46663099"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lang w:eastAsia="pl-PL"/>
              </w:rPr>
              <w:t>70–74</w:t>
            </w:r>
          </w:p>
        </w:tc>
        <w:tc>
          <w:tcPr>
            <w:tcW w:w="3969" w:type="dxa"/>
            <w:gridSpan w:val="3"/>
            <w:shd w:val="clear" w:color="auto" w:fill="FFFFFF" w:themeFill="background1"/>
          </w:tcPr>
          <w:p w14:paraId="596324EA"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82,8 tys.</w:t>
            </w:r>
          </w:p>
        </w:tc>
        <w:tc>
          <w:tcPr>
            <w:tcW w:w="3969" w:type="dxa"/>
            <w:gridSpan w:val="3"/>
            <w:shd w:val="clear" w:color="auto" w:fill="FFFFFF" w:themeFill="background1"/>
          </w:tcPr>
          <w:p w14:paraId="4B8BFBD9"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90,4 tys.</w:t>
            </w:r>
          </w:p>
        </w:tc>
        <w:tc>
          <w:tcPr>
            <w:tcW w:w="3973" w:type="dxa"/>
            <w:gridSpan w:val="2"/>
            <w:shd w:val="clear" w:color="auto" w:fill="FFFFFF" w:themeFill="background1"/>
          </w:tcPr>
          <w:p w14:paraId="5449A1AD"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93,7 tys.</w:t>
            </w:r>
          </w:p>
        </w:tc>
      </w:tr>
      <w:tr w:rsidR="007D211F" w:rsidRPr="007D211F" w14:paraId="331E0749" w14:textId="77777777" w:rsidTr="00E86509">
        <w:tc>
          <w:tcPr>
            <w:tcW w:w="2830" w:type="dxa"/>
            <w:shd w:val="clear" w:color="auto" w:fill="9CC2E5" w:themeFill="accent1" w:themeFillTint="99"/>
          </w:tcPr>
          <w:p w14:paraId="63F135BA"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lang w:eastAsia="pl-PL"/>
              </w:rPr>
              <w:t>75–79</w:t>
            </w:r>
          </w:p>
        </w:tc>
        <w:tc>
          <w:tcPr>
            <w:tcW w:w="3969" w:type="dxa"/>
            <w:gridSpan w:val="3"/>
            <w:shd w:val="clear" w:color="auto" w:fill="FFFFFF" w:themeFill="background1"/>
          </w:tcPr>
          <w:p w14:paraId="37A70619"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63,3 tys.,</w:t>
            </w:r>
          </w:p>
        </w:tc>
        <w:tc>
          <w:tcPr>
            <w:tcW w:w="3969" w:type="dxa"/>
            <w:gridSpan w:val="3"/>
            <w:shd w:val="clear" w:color="auto" w:fill="FFFFFF" w:themeFill="background1"/>
          </w:tcPr>
          <w:p w14:paraId="1DA1CBA5"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61,8 tys.</w:t>
            </w:r>
          </w:p>
        </w:tc>
        <w:tc>
          <w:tcPr>
            <w:tcW w:w="3973" w:type="dxa"/>
            <w:gridSpan w:val="2"/>
            <w:shd w:val="clear" w:color="auto" w:fill="FFFFFF" w:themeFill="background1"/>
          </w:tcPr>
          <w:p w14:paraId="630E3542"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61,7 tys.</w:t>
            </w:r>
          </w:p>
        </w:tc>
      </w:tr>
      <w:tr w:rsidR="007D211F" w:rsidRPr="007D211F" w14:paraId="6F76C0CA" w14:textId="77777777" w:rsidTr="00E86509">
        <w:tc>
          <w:tcPr>
            <w:tcW w:w="2830" w:type="dxa"/>
            <w:shd w:val="clear" w:color="auto" w:fill="9CC2E5" w:themeFill="accent1" w:themeFillTint="99"/>
          </w:tcPr>
          <w:p w14:paraId="220A3AFC"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lang w:eastAsia="pl-PL"/>
              </w:rPr>
              <w:t>80–84</w:t>
            </w:r>
          </w:p>
        </w:tc>
        <w:tc>
          <w:tcPr>
            <w:tcW w:w="3969" w:type="dxa"/>
            <w:gridSpan w:val="3"/>
            <w:shd w:val="clear" w:color="auto" w:fill="FFFFFF" w:themeFill="background1"/>
          </w:tcPr>
          <w:p w14:paraId="7D85A99D"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50,4tys</w:t>
            </w:r>
          </w:p>
        </w:tc>
        <w:tc>
          <w:tcPr>
            <w:tcW w:w="3969" w:type="dxa"/>
            <w:gridSpan w:val="3"/>
            <w:shd w:val="clear" w:color="auto" w:fill="FFFFFF" w:themeFill="background1"/>
          </w:tcPr>
          <w:p w14:paraId="0BC8E499"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50,7 tys.</w:t>
            </w:r>
          </w:p>
        </w:tc>
        <w:tc>
          <w:tcPr>
            <w:tcW w:w="3973" w:type="dxa"/>
            <w:gridSpan w:val="2"/>
            <w:shd w:val="clear" w:color="auto" w:fill="FFFFFF" w:themeFill="background1"/>
          </w:tcPr>
          <w:p w14:paraId="34F67F19"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50,5 tys.</w:t>
            </w:r>
          </w:p>
        </w:tc>
      </w:tr>
      <w:tr w:rsidR="007D211F" w:rsidRPr="007D211F" w14:paraId="4BF48B9C" w14:textId="77777777" w:rsidTr="00E86509">
        <w:tc>
          <w:tcPr>
            <w:tcW w:w="2830" w:type="dxa"/>
            <w:shd w:val="clear" w:color="auto" w:fill="9CC2E5" w:themeFill="accent1" w:themeFillTint="99"/>
          </w:tcPr>
          <w:p w14:paraId="39CEF600"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lang w:eastAsia="pl-PL"/>
              </w:rPr>
              <w:t>85 lat i więcej</w:t>
            </w:r>
          </w:p>
        </w:tc>
        <w:tc>
          <w:tcPr>
            <w:tcW w:w="3969" w:type="dxa"/>
            <w:gridSpan w:val="3"/>
            <w:shd w:val="clear" w:color="auto" w:fill="FFFFFF" w:themeFill="background1"/>
          </w:tcPr>
          <w:p w14:paraId="53C03823"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47,4 tys.</w:t>
            </w:r>
          </w:p>
        </w:tc>
        <w:tc>
          <w:tcPr>
            <w:tcW w:w="3969" w:type="dxa"/>
            <w:gridSpan w:val="3"/>
            <w:shd w:val="clear" w:color="auto" w:fill="FFFFFF" w:themeFill="background1"/>
          </w:tcPr>
          <w:p w14:paraId="10368443"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47,9 tys.</w:t>
            </w:r>
          </w:p>
        </w:tc>
        <w:tc>
          <w:tcPr>
            <w:tcW w:w="3973" w:type="dxa"/>
            <w:gridSpan w:val="2"/>
            <w:shd w:val="clear" w:color="auto" w:fill="FFFFFF" w:themeFill="background1"/>
          </w:tcPr>
          <w:p w14:paraId="167CC73F"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48,4 tys.</w:t>
            </w:r>
          </w:p>
        </w:tc>
      </w:tr>
      <w:tr w:rsidR="007D211F" w:rsidRPr="007D211F" w14:paraId="79CAB59C" w14:textId="77777777" w:rsidTr="00E86509">
        <w:tc>
          <w:tcPr>
            <w:tcW w:w="2830" w:type="dxa"/>
            <w:shd w:val="clear" w:color="auto" w:fill="9CC2E5" w:themeFill="accent1" w:themeFillTint="99"/>
          </w:tcPr>
          <w:p w14:paraId="7F9CC3B3"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lang w:eastAsia="pl-PL"/>
              </w:rPr>
              <w:t>Przeciętne dalsze trwanie życia</w:t>
            </w:r>
          </w:p>
        </w:tc>
        <w:tc>
          <w:tcPr>
            <w:tcW w:w="3969" w:type="dxa"/>
            <w:gridSpan w:val="3"/>
            <w:shd w:val="clear" w:color="auto" w:fill="FFFFFF" w:themeFill="background1"/>
          </w:tcPr>
          <w:p w14:paraId="3C0C96AD"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21,9</w:t>
            </w:r>
          </w:p>
        </w:tc>
        <w:tc>
          <w:tcPr>
            <w:tcW w:w="3969" w:type="dxa"/>
            <w:gridSpan w:val="3"/>
            <w:shd w:val="clear" w:color="auto" w:fill="FFFFFF" w:themeFill="background1"/>
          </w:tcPr>
          <w:p w14:paraId="49FD2D02"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21,2</w:t>
            </w:r>
          </w:p>
        </w:tc>
        <w:tc>
          <w:tcPr>
            <w:tcW w:w="3973" w:type="dxa"/>
            <w:gridSpan w:val="2"/>
            <w:shd w:val="clear" w:color="auto" w:fill="FFFFFF" w:themeFill="background1"/>
          </w:tcPr>
          <w:p w14:paraId="10B48E7B"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20,6</w:t>
            </w:r>
          </w:p>
        </w:tc>
      </w:tr>
      <w:tr w:rsidR="007D211F" w:rsidRPr="007D211F" w14:paraId="62D61608" w14:textId="77777777" w:rsidTr="00E86509">
        <w:tc>
          <w:tcPr>
            <w:tcW w:w="2830" w:type="dxa"/>
            <w:shd w:val="clear" w:color="auto" w:fill="9CC2E5" w:themeFill="accent1" w:themeFillTint="99"/>
          </w:tcPr>
          <w:p w14:paraId="70A612F6"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lang w:eastAsia="pl-PL"/>
              </w:rPr>
              <w:t>Współczynnik feminizacji</w:t>
            </w:r>
          </w:p>
        </w:tc>
        <w:tc>
          <w:tcPr>
            <w:tcW w:w="3969" w:type="dxa"/>
            <w:gridSpan w:val="3"/>
            <w:shd w:val="clear" w:color="auto" w:fill="FFFFFF" w:themeFill="background1"/>
          </w:tcPr>
          <w:p w14:paraId="2E3259C9"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145</w:t>
            </w:r>
          </w:p>
        </w:tc>
        <w:tc>
          <w:tcPr>
            <w:tcW w:w="3969" w:type="dxa"/>
            <w:gridSpan w:val="3"/>
            <w:shd w:val="clear" w:color="auto" w:fill="FFFFFF" w:themeFill="background1"/>
          </w:tcPr>
          <w:p w14:paraId="5CAB3595"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144</w:t>
            </w:r>
          </w:p>
        </w:tc>
        <w:tc>
          <w:tcPr>
            <w:tcW w:w="3973" w:type="dxa"/>
            <w:gridSpan w:val="2"/>
            <w:shd w:val="clear" w:color="auto" w:fill="FFFFFF" w:themeFill="background1"/>
          </w:tcPr>
          <w:p w14:paraId="2F336C7F"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143</w:t>
            </w:r>
          </w:p>
        </w:tc>
      </w:tr>
      <w:tr w:rsidR="007D211F" w:rsidRPr="007D211F" w14:paraId="7B2D995D" w14:textId="77777777" w:rsidTr="00E86509">
        <w:tc>
          <w:tcPr>
            <w:tcW w:w="2830" w:type="dxa"/>
            <w:shd w:val="clear" w:color="auto" w:fill="9CC2E5" w:themeFill="accent1" w:themeFillTint="99"/>
          </w:tcPr>
          <w:p w14:paraId="4A181F33"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lang w:eastAsia="pl-PL"/>
              </w:rPr>
              <w:t>Współczynnik obciążenia demograficznego osobami starszymi</w:t>
            </w:r>
          </w:p>
        </w:tc>
        <w:tc>
          <w:tcPr>
            <w:tcW w:w="3969" w:type="dxa"/>
            <w:gridSpan w:val="3"/>
            <w:shd w:val="clear" w:color="auto" w:fill="FFFFFF" w:themeFill="background1"/>
          </w:tcPr>
          <w:p w14:paraId="1A71CFC1"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25,7</w:t>
            </w:r>
          </w:p>
        </w:tc>
        <w:tc>
          <w:tcPr>
            <w:tcW w:w="3969" w:type="dxa"/>
            <w:gridSpan w:val="3"/>
            <w:shd w:val="clear" w:color="auto" w:fill="FFFFFF" w:themeFill="background1"/>
          </w:tcPr>
          <w:p w14:paraId="1B3BEBFE"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26,8</w:t>
            </w:r>
          </w:p>
        </w:tc>
        <w:tc>
          <w:tcPr>
            <w:tcW w:w="3973" w:type="dxa"/>
            <w:gridSpan w:val="2"/>
            <w:shd w:val="clear" w:color="auto" w:fill="FFFFFF" w:themeFill="background1"/>
          </w:tcPr>
          <w:p w14:paraId="64D930AF"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25,5</w:t>
            </w:r>
          </w:p>
        </w:tc>
      </w:tr>
      <w:tr w:rsidR="007D211F" w:rsidRPr="007D211F" w14:paraId="6F6919AB" w14:textId="77777777" w:rsidTr="00E86509">
        <w:tc>
          <w:tcPr>
            <w:tcW w:w="2830" w:type="dxa"/>
            <w:shd w:val="clear" w:color="auto" w:fill="9CC2E5" w:themeFill="accent1" w:themeFillTint="99"/>
          </w:tcPr>
          <w:p w14:paraId="1F61854A"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lang w:eastAsia="pl-PL"/>
              </w:rPr>
              <w:t>Współczynnik zgonów</w:t>
            </w:r>
          </w:p>
        </w:tc>
        <w:tc>
          <w:tcPr>
            <w:tcW w:w="3969" w:type="dxa"/>
            <w:gridSpan w:val="3"/>
            <w:shd w:val="clear" w:color="auto" w:fill="FFFFFF" w:themeFill="background1"/>
          </w:tcPr>
          <w:p w14:paraId="7B432F23"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9,5 ‰</w:t>
            </w:r>
          </w:p>
        </w:tc>
        <w:tc>
          <w:tcPr>
            <w:tcW w:w="3969" w:type="dxa"/>
            <w:gridSpan w:val="3"/>
            <w:shd w:val="clear" w:color="auto" w:fill="FFFFFF" w:themeFill="background1"/>
          </w:tcPr>
          <w:p w14:paraId="5B7447F3"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9,4 ‰</w:t>
            </w:r>
          </w:p>
        </w:tc>
        <w:tc>
          <w:tcPr>
            <w:tcW w:w="3973" w:type="dxa"/>
            <w:gridSpan w:val="2"/>
            <w:shd w:val="clear" w:color="auto" w:fill="FFFFFF" w:themeFill="background1"/>
          </w:tcPr>
          <w:p w14:paraId="16F92765" w14:textId="77777777" w:rsidR="0076773A" w:rsidRPr="007D211F" w:rsidRDefault="0076773A" w:rsidP="00E86509">
            <w:pPr>
              <w:spacing w:after="0" w:line="240" w:lineRule="auto"/>
              <w:jc w:val="center"/>
              <w:rPr>
                <w:rFonts w:ascii="Times New Roman" w:hAnsi="Times New Roman" w:cs="Times New Roman"/>
              </w:rPr>
            </w:pPr>
            <w:r w:rsidRPr="007D211F">
              <w:rPr>
                <w:rFonts w:ascii="Times New Roman" w:hAnsi="Times New Roman" w:cs="Times New Roman"/>
              </w:rPr>
              <w:t>b.d.</w:t>
            </w:r>
          </w:p>
        </w:tc>
      </w:tr>
      <w:tr w:rsidR="007D211F" w:rsidRPr="007D211F" w14:paraId="672978F5" w14:textId="77777777" w:rsidTr="00E86509">
        <w:tc>
          <w:tcPr>
            <w:tcW w:w="14741" w:type="dxa"/>
            <w:gridSpan w:val="9"/>
            <w:shd w:val="clear" w:color="auto" w:fill="9CC2E5" w:themeFill="accent1" w:themeFillTint="99"/>
          </w:tcPr>
          <w:p w14:paraId="2E0A9601" w14:textId="77777777" w:rsidR="0076773A" w:rsidRPr="007D211F" w:rsidRDefault="0076773A" w:rsidP="00E86509">
            <w:pPr>
              <w:spacing w:after="0" w:line="240" w:lineRule="auto"/>
              <w:jc w:val="center"/>
              <w:rPr>
                <w:rFonts w:ascii="Times New Roman" w:hAnsi="Times New Roman" w:cs="Times New Roman"/>
                <w:b/>
                <w:bCs/>
              </w:rPr>
            </w:pPr>
            <w:r w:rsidRPr="007D211F">
              <w:rPr>
                <w:rFonts w:ascii="Times New Roman" w:hAnsi="Times New Roman" w:cs="Times New Roman"/>
                <w:b/>
                <w:bCs/>
              </w:rPr>
              <w:t>SYTUACJA RODZINNA I STRUKTURA GOSPODARSTW DOMOWYCH</w:t>
            </w:r>
          </w:p>
        </w:tc>
      </w:tr>
      <w:tr w:rsidR="0076773A" w:rsidRPr="007D211F" w14:paraId="7D20135A" w14:textId="77777777" w:rsidTr="00E86509">
        <w:tc>
          <w:tcPr>
            <w:tcW w:w="14741" w:type="dxa"/>
            <w:gridSpan w:val="9"/>
          </w:tcPr>
          <w:p w14:paraId="3D122B9E" w14:textId="77777777" w:rsidR="0076773A" w:rsidRPr="007D211F" w:rsidRDefault="0076773A" w:rsidP="00E86509">
            <w:pPr>
              <w:spacing w:after="0" w:line="240" w:lineRule="auto"/>
              <w:rPr>
                <w:rFonts w:ascii="Times New Roman" w:hAnsi="Times New Roman" w:cs="Times New Roman"/>
                <w:b/>
                <w:bCs/>
              </w:rPr>
            </w:pPr>
            <w:r w:rsidRPr="007D211F">
              <w:rPr>
                <w:rFonts w:ascii="Times New Roman" w:hAnsi="Times New Roman" w:cs="Times New Roman"/>
              </w:rPr>
              <w:t>W latach 2017-2019 osoby w wieku 60 lat i więcej zamieszkiwały głównie w 1 i 2 osobowych gospodarstwach domowych . Liczba seniorów w tych gospodarstwach wynosiła przeciętnie 1,5 osoby.</w:t>
            </w:r>
          </w:p>
        </w:tc>
      </w:tr>
      <w:tr w:rsidR="007D211F" w:rsidRPr="007D211F" w14:paraId="7B805F78" w14:textId="77777777" w:rsidTr="00E86509">
        <w:tc>
          <w:tcPr>
            <w:tcW w:w="14741" w:type="dxa"/>
            <w:gridSpan w:val="9"/>
            <w:shd w:val="clear" w:color="auto" w:fill="9CC2E5" w:themeFill="accent1" w:themeFillTint="99"/>
          </w:tcPr>
          <w:p w14:paraId="5293646C" w14:textId="77777777" w:rsidR="0076773A" w:rsidRPr="007D211F" w:rsidRDefault="0076773A" w:rsidP="00E86509">
            <w:pPr>
              <w:spacing w:after="0" w:line="240" w:lineRule="auto"/>
              <w:jc w:val="center"/>
              <w:rPr>
                <w:rFonts w:ascii="Times New Roman" w:hAnsi="Times New Roman" w:cs="Times New Roman"/>
                <w:b/>
                <w:bCs/>
              </w:rPr>
            </w:pPr>
            <w:r w:rsidRPr="007D211F">
              <w:rPr>
                <w:rFonts w:ascii="Times New Roman" w:hAnsi="Times New Roman" w:cs="Times New Roman"/>
                <w:b/>
                <w:bCs/>
              </w:rPr>
              <w:t>SYTUACJA OSÓB NIEPEŁNOSPRAWNYCH I ICH OPIEKUNÓW</w:t>
            </w:r>
          </w:p>
        </w:tc>
      </w:tr>
      <w:tr w:rsidR="0076773A" w:rsidRPr="007D211F" w14:paraId="2B4EE472" w14:textId="77777777" w:rsidTr="00E86509">
        <w:tc>
          <w:tcPr>
            <w:tcW w:w="14741" w:type="dxa"/>
            <w:gridSpan w:val="9"/>
          </w:tcPr>
          <w:p w14:paraId="06DB6F71" w14:textId="77777777" w:rsidR="0076773A" w:rsidRPr="007D211F" w:rsidRDefault="0076773A" w:rsidP="00E86509">
            <w:pPr>
              <w:spacing w:after="0" w:line="240" w:lineRule="auto"/>
              <w:rPr>
                <w:rFonts w:ascii="Times New Roman" w:hAnsi="Times New Roman" w:cs="Times New Roman"/>
                <w:b/>
                <w:bCs/>
              </w:rPr>
            </w:pPr>
            <w:r w:rsidRPr="007D211F">
              <w:rPr>
                <w:rFonts w:ascii="Times New Roman" w:hAnsi="Times New Roman" w:cs="Times New Roman"/>
                <w:b/>
                <w:bCs/>
              </w:rPr>
              <w:t>b.d.</w:t>
            </w:r>
          </w:p>
        </w:tc>
      </w:tr>
      <w:tr w:rsidR="007D211F" w:rsidRPr="007D211F" w14:paraId="3E1AAFCD" w14:textId="77777777" w:rsidTr="00E86509">
        <w:trPr>
          <w:trHeight w:val="639"/>
        </w:trPr>
        <w:tc>
          <w:tcPr>
            <w:tcW w:w="14741" w:type="dxa"/>
            <w:gridSpan w:val="9"/>
            <w:shd w:val="clear" w:color="auto" w:fill="9CC2E5" w:themeFill="accent1" w:themeFillTint="99"/>
          </w:tcPr>
          <w:p w14:paraId="0C9EAB34" w14:textId="77777777" w:rsidR="0076773A" w:rsidRPr="007D211F" w:rsidRDefault="0076773A" w:rsidP="00E86509">
            <w:pPr>
              <w:spacing w:after="0" w:line="240" w:lineRule="auto"/>
              <w:jc w:val="center"/>
              <w:rPr>
                <w:rFonts w:ascii="Times New Roman" w:hAnsi="Times New Roman" w:cs="Times New Roman"/>
                <w:b/>
                <w:bCs/>
              </w:rPr>
            </w:pPr>
            <w:r w:rsidRPr="007D211F">
              <w:rPr>
                <w:rFonts w:ascii="Times New Roman" w:hAnsi="Times New Roman" w:cs="Times New Roman"/>
                <w:b/>
                <w:bCs/>
              </w:rPr>
              <w:t>STAN ZDROWIA OSÓB STARSZYCH / INFRASTRUKTURA SŁUŻBY ZDROWIA - DANE ZA 2019 r.</w:t>
            </w:r>
          </w:p>
        </w:tc>
      </w:tr>
      <w:tr w:rsidR="007D211F" w:rsidRPr="007D211F" w14:paraId="12AE8F5E" w14:textId="77777777" w:rsidTr="00E86509">
        <w:trPr>
          <w:trHeight w:val="283"/>
        </w:trPr>
        <w:tc>
          <w:tcPr>
            <w:tcW w:w="2830" w:type="dxa"/>
            <w:vMerge w:val="restart"/>
            <w:shd w:val="clear" w:color="auto" w:fill="9CC2E5" w:themeFill="accent1" w:themeFillTint="99"/>
          </w:tcPr>
          <w:p w14:paraId="20D71102" w14:textId="77777777" w:rsidR="0076773A" w:rsidRPr="007D211F" w:rsidRDefault="0076773A" w:rsidP="00E86509">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Dominujące schorzenia osób starszych</w:t>
            </w:r>
          </w:p>
        </w:tc>
        <w:tc>
          <w:tcPr>
            <w:tcW w:w="7938" w:type="dxa"/>
            <w:gridSpan w:val="6"/>
            <w:shd w:val="clear" w:color="auto" w:fill="9CC2E5" w:themeFill="accent1" w:themeFillTint="99"/>
          </w:tcPr>
          <w:p w14:paraId="75B442C7" w14:textId="77777777" w:rsidR="0076773A" w:rsidRPr="007D211F" w:rsidRDefault="0076773A" w:rsidP="00E86509">
            <w:pPr>
              <w:spacing w:after="0" w:line="240" w:lineRule="auto"/>
              <w:jc w:val="center"/>
              <w:rPr>
                <w:rFonts w:ascii="Times New Roman" w:hAnsi="Times New Roman" w:cs="Times New Roman"/>
                <w:b/>
                <w:bCs/>
              </w:rPr>
            </w:pPr>
            <w:r w:rsidRPr="007D211F">
              <w:rPr>
                <w:rFonts w:ascii="Times New Roman" w:hAnsi="Times New Roman" w:cs="Times New Roman"/>
                <w:b/>
                <w:bCs/>
              </w:rPr>
              <w:t>Nazwa</w:t>
            </w:r>
          </w:p>
        </w:tc>
        <w:tc>
          <w:tcPr>
            <w:tcW w:w="3973" w:type="dxa"/>
            <w:gridSpan w:val="2"/>
            <w:shd w:val="clear" w:color="auto" w:fill="9CC2E5" w:themeFill="accent1" w:themeFillTint="99"/>
          </w:tcPr>
          <w:p w14:paraId="1F72D052" w14:textId="77777777" w:rsidR="0076773A" w:rsidRPr="007D211F" w:rsidRDefault="0076773A" w:rsidP="00E86509">
            <w:pPr>
              <w:spacing w:after="0" w:line="240" w:lineRule="auto"/>
              <w:jc w:val="center"/>
              <w:rPr>
                <w:rFonts w:ascii="Times New Roman" w:hAnsi="Times New Roman" w:cs="Times New Roman"/>
                <w:b/>
                <w:bCs/>
              </w:rPr>
            </w:pPr>
            <w:r w:rsidRPr="007D211F">
              <w:rPr>
                <w:rFonts w:ascii="Times New Roman" w:hAnsi="Times New Roman" w:cs="Times New Roman"/>
                <w:b/>
                <w:bCs/>
              </w:rPr>
              <w:t>Liczba osób starszych</w:t>
            </w:r>
          </w:p>
        </w:tc>
      </w:tr>
      <w:tr w:rsidR="004118D5" w:rsidRPr="007D211F" w14:paraId="7FC38D8B" w14:textId="77777777" w:rsidTr="00E86509">
        <w:trPr>
          <w:trHeight w:val="281"/>
        </w:trPr>
        <w:tc>
          <w:tcPr>
            <w:tcW w:w="2830" w:type="dxa"/>
            <w:vMerge/>
            <w:shd w:val="clear" w:color="auto" w:fill="9CC2E5" w:themeFill="accent1" w:themeFillTint="99"/>
            <w:textDirection w:val="btLr"/>
          </w:tcPr>
          <w:p w14:paraId="4DBEB7C1" w14:textId="77777777" w:rsidR="004118D5" w:rsidRPr="007D211F" w:rsidRDefault="004118D5" w:rsidP="004118D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289C4034" w14:textId="316B3AD6" w:rsidR="004118D5" w:rsidRPr="004118D5" w:rsidRDefault="004118D5" w:rsidP="004118D5">
            <w:pPr>
              <w:spacing w:after="0" w:line="240" w:lineRule="auto"/>
              <w:rPr>
                <w:rFonts w:ascii="Times New Roman" w:hAnsi="Times New Roman" w:cs="Times New Roman"/>
              </w:rPr>
            </w:pPr>
            <w:r w:rsidRPr="004118D5">
              <w:rPr>
                <w:rFonts w:ascii="Times New Roman" w:hAnsi="Times New Roman" w:cs="Times New Roman"/>
                <w:b/>
                <w:sz w:val="23"/>
                <w:szCs w:val="23"/>
              </w:rPr>
              <w:t>1.</w:t>
            </w:r>
            <w:r w:rsidRPr="004118D5">
              <w:rPr>
                <w:rFonts w:ascii="Times New Roman" w:hAnsi="Times New Roman" w:cs="Times New Roman"/>
                <w:sz w:val="23"/>
                <w:szCs w:val="23"/>
              </w:rPr>
              <w:t xml:space="preserve"> Choroby układu krążenia I00-I99</w:t>
            </w:r>
          </w:p>
        </w:tc>
        <w:tc>
          <w:tcPr>
            <w:tcW w:w="3973" w:type="dxa"/>
            <w:gridSpan w:val="2"/>
            <w:shd w:val="clear" w:color="auto" w:fill="FFFFFF" w:themeFill="background1"/>
          </w:tcPr>
          <w:p w14:paraId="0D57E39C" w14:textId="79BCF449" w:rsidR="004118D5" w:rsidRPr="004118D5" w:rsidRDefault="004118D5" w:rsidP="004118D5">
            <w:pPr>
              <w:spacing w:after="0" w:line="240" w:lineRule="auto"/>
              <w:jc w:val="center"/>
              <w:rPr>
                <w:rFonts w:ascii="Times New Roman" w:hAnsi="Times New Roman" w:cs="Times New Roman"/>
              </w:rPr>
            </w:pPr>
            <w:r w:rsidRPr="004118D5">
              <w:rPr>
                <w:rFonts w:ascii="Times New Roman" w:hAnsi="Times New Roman" w:cs="Times New Roman"/>
                <w:bCs/>
                <w:sz w:val="23"/>
                <w:szCs w:val="23"/>
              </w:rPr>
              <w:t>40 908</w:t>
            </w:r>
          </w:p>
        </w:tc>
      </w:tr>
      <w:tr w:rsidR="004118D5" w:rsidRPr="007D211F" w14:paraId="545CF24F" w14:textId="77777777" w:rsidTr="00E86509">
        <w:trPr>
          <w:trHeight w:val="281"/>
        </w:trPr>
        <w:tc>
          <w:tcPr>
            <w:tcW w:w="2830" w:type="dxa"/>
            <w:vMerge/>
            <w:shd w:val="clear" w:color="auto" w:fill="9CC2E5" w:themeFill="accent1" w:themeFillTint="99"/>
          </w:tcPr>
          <w:p w14:paraId="0C19FE57" w14:textId="77777777" w:rsidR="004118D5" w:rsidRPr="007D211F" w:rsidRDefault="004118D5" w:rsidP="004118D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5C3F185C" w14:textId="60F49ED6" w:rsidR="004118D5" w:rsidRPr="004118D5" w:rsidRDefault="004118D5" w:rsidP="004118D5">
            <w:pPr>
              <w:spacing w:after="0" w:line="240" w:lineRule="auto"/>
              <w:rPr>
                <w:rFonts w:ascii="Times New Roman" w:hAnsi="Times New Roman" w:cs="Times New Roman"/>
              </w:rPr>
            </w:pPr>
            <w:r w:rsidRPr="004118D5">
              <w:rPr>
                <w:rFonts w:ascii="Times New Roman" w:hAnsi="Times New Roman" w:cs="Times New Roman"/>
                <w:b/>
                <w:sz w:val="23"/>
                <w:szCs w:val="23"/>
              </w:rPr>
              <w:t>2.</w:t>
            </w:r>
            <w:r w:rsidRPr="004118D5">
              <w:rPr>
                <w:rFonts w:ascii="Times New Roman" w:hAnsi="Times New Roman" w:cs="Times New Roman"/>
                <w:sz w:val="23"/>
                <w:szCs w:val="23"/>
              </w:rPr>
              <w:t xml:space="preserve"> Choroby układu mięśniowo-kostnego i tkanki łącznej M00-M99</w:t>
            </w:r>
          </w:p>
        </w:tc>
        <w:tc>
          <w:tcPr>
            <w:tcW w:w="3973" w:type="dxa"/>
            <w:gridSpan w:val="2"/>
            <w:shd w:val="clear" w:color="auto" w:fill="FFFFFF" w:themeFill="background1"/>
          </w:tcPr>
          <w:p w14:paraId="7B966992" w14:textId="237E5D92" w:rsidR="004118D5" w:rsidRPr="004118D5" w:rsidRDefault="004118D5" w:rsidP="004118D5">
            <w:pPr>
              <w:spacing w:after="0" w:line="240" w:lineRule="auto"/>
              <w:jc w:val="center"/>
              <w:rPr>
                <w:rFonts w:ascii="Times New Roman" w:hAnsi="Times New Roman" w:cs="Times New Roman"/>
              </w:rPr>
            </w:pPr>
            <w:r w:rsidRPr="004118D5">
              <w:rPr>
                <w:rFonts w:ascii="Times New Roman" w:hAnsi="Times New Roman" w:cs="Times New Roman"/>
                <w:bCs/>
                <w:sz w:val="23"/>
                <w:szCs w:val="23"/>
              </w:rPr>
              <w:t>15 566</w:t>
            </w:r>
          </w:p>
        </w:tc>
      </w:tr>
      <w:tr w:rsidR="004118D5" w:rsidRPr="007D211F" w14:paraId="44B5E15D" w14:textId="77777777" w:rsidTr="00E86509">
        <w:trPr>
          <w:trHeight w:val="281"/>
        </w:trPr>
        <w:tc>
          <w:tcPr>
            <w:tcW w:w="2830" w:type="dxa"/>
            <w:vMerge/>
            <w:shd w:val="clear" w:color="auto" w:fill="9CC2E5" w:themeFill="accent1" w:themeFillTint="99"/>
          </w:tcPr>
          <w:p w14:paraId="0CC8ACAD" w14:textId="77777777" w:rsidR="004118D5" w:rsidRPr="007D211F" w:rsidRDefault="004118D5" w:rsidP="004118D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09951283" w14:textId="41D87E1C" w:rsidR="004118D5" w:rsidRPr="004118D5" w:rsidRDefault="004118D5" w:rsidP="004118D5">
            <w:pPr>
              <w:spacing w:after="0" w:line="240" w:lineRule="auto"/>
              <w:rPr>
                <w:rFonts w:ascii="Times New Roman" w:hAnsi="Times New Roman" w:cs="Times New Roman"/>
              </w:rPr>
            </w:pPr>
            <w:r w:rsidRPr="004118D5">
              <w:rPr>
                <w:rFonts w:ascii="Times New Roman" w:hAnsi="Times New Roman" w:cs="Times New Roman"/>
                <w:b/>
                <w:sz w:val="23"/>
                <w:szCs w:val="23"/>
              </w:rPr>
              <w:t>3.</w:t>
            </w:r>
            <w:r w:rsidRPr="004118D5">
              <w:rPr>
                <w:rFonts w:ascii="Times New Roman" w:hAnsi="Times New Roman" w:cs="Times New Roman"/>
                <w:sz w:val="23"/>
                <w:szCs w:val="23"/>
              </w:rPr>
              <w:t>Cukrzyca E10-E14</w:t>
            </w:r>
          </w:p>
        </w:tc>
        <w:tc>
          <w:tcPr>
            <w:tcW w:w="3973" w:type="dxa"/>
            <w:gridSpan w:val="2"/>
            <w:shd w:val="clear" w:color="auto" w:fill="FFFFFF" w:themeFill="background1"/>
          </w:tcPr>
          <w:p w14:paraId="36F3DEC4" w14:textId="296ACA5F" w:rsidR="004118D5" w:rsidRPr="004118D5" w:rsidRDefault="004118D5" w:rsidP="004118D5">
            <w:pPr>
              <w:spacing w:after="0" w:line="240" w:lineRule="auto"/>
              <w:jc w:val="center"/>
              <w:rPr>
                <w:rFonts w:ascii="Times New Roman" w:hAnsi="Times New Roman" w:cs="Times New Roman"/>
              </w:rPr>
            </w:pPr>
            <w:r w:rsidRPr="004118D5">
              <w:rPr>
                <w:rFonts w:ascii="Times New Roman" w:hAnsi="Times New Roman" w:cs="Times New Roman"/>
                <w:bCs/>
                <w:sz w:val="23"/>
                <w:szCs w:val="23"/>
              </w:rPr>
              <w:t>9 894</w:t>
            </w:r>
          </w:p>
        </w:tc>
      </w:tr>
      <w:tr w:rsidR="004118D5" w:rsidRPr="007D211F" w14:paraId="21E6E81F" w14:textId="77777777" w:rsidTr="00E86509">
        <w:trPr>
          <w:trHeight w:val="281"/>
        </w:trPr>
        <w:tc>
          <w:tcPr>
            <w:tcW w:w="2830" w:type="dxa"/>
            <w:vMerge/>
            <w:shd w:val="clear" w:color="auto" w:fill="9CC2E5" w:themeFill="accent1" w:themeFillTint="99"/>
          </w:tcPr>
          <w:p w14:paraId="109396A9" w14:textId="77777777" w:rsidR="004118D5" w:rsidRPr="007D211F" w:rsidRDefault="004118D5" w:rsidP="004118D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09079E20" w14:textId="00E25BF5" w:rsidR="004118D5" w:rsidRPr="004118D5" w:rsidRDefault="004118D5" w:rsidP="004118D5">
            <w:pPr>
              <w:spacing w:after="0" w:line="240" w:lineRule="auto"/>
              <w:rPr>
                <w:rFonts w:ascii="Times New Roman" w:hAnsi="Times New Roman" w:cs="Times New Roman"/>
              </w:rPr>
            </w:pPr>
            <w:r w:rsidRPr="004118D5">
              <w:rPr>
                <w:rFonts w:ascii="Times New Roman" w:hAnsi="Times New Roman" w:cs="Times New Roman"/>
                <w:b/>
                <w:sz w:val="23"/>
                <w:szCs w:val="23"/>
              </w:rPr>
              <w:t>4.</w:t>
            </w:r>
            <w:r w:rsidRPr="004118D5">
              <w:rPr>
                <w:rFonts w:ascii="Times New Roman" w:hAnsi="Times New Roman" w:cs="Times New Roman"/>
                <w:sz w:val="23"/>
                <w:szCs w:val="23"/>
              </w:rPr>
              <w:t>Choroby obwodowego układu nerwowego G50-G59</w:t>
            </w:r>
          </w:p>
        </w:tc>
        <w:tc>
          <w:tcPr>
            <w:tcW w:w="3973" w:type="dxa"/>
            <w:gridSpan w:val="2"/>
            <w:shd w:val="clear" w:color="auto" w:fill="FFFFFF" w:themeFill="background1"/>
          </w:tcPr>
          <w:p w14:paraId="0449E51B" w14:textId="06EE7763" w:rsidR="004118D5" w:rsidRPr="004118D5" w:rsidRDefault="004118D5" w:rsidP="004118D5">
            <w:pPr>
              <w:spacing w:after="0" w:line="240" w:lineRule="auto"/>
              <w:jc w:val="center"/>
              <w:rPr>
                <w:rFonts w:ascii="Times New Roman" w:hAnsi="Times New Roman" w:cs="Times New Roman"/>
              </w:rPr>
            </w:pPr>
            <w:r w:rsidRPr="004118D5">
              <w:rPr>
                <w:rFonts w:ascii="Times New Roman" w:hAnsi="Times New Roman" w:cs="Times New Roman"/>
                <w:bCs/>
                <w:sz w:val="23"/>
                <w:szCs w:val="23"/>
              </w:rPr>
              <w:t>9 877</w:t>
            </w:r>
          </w:p>
        </w:tc>
      </w:tr>
      <w:tr w:rsidR="004118D5" w:rsidRPr="007D211F" w14:paraId="6BB02613" w14:textId="77777777" w:rsidTr="00E86509">
        <w:trPr>
          <w:trHeight w:val="439"/>
        </w:trPr>
        <w:tc>
          <w:tcPr>
            <w:tcW w:w="2830" w:type="dxa"/>
            <w:vMerge/>
            <w:shd w:val="clear" w:color="auto" w:fill="9CC2E5" w:themeFill="accent1" w:themeFillTint="99"/>
          </w:tcPr>
          <w:p w14:paraId="3263A04A" w14:textId="77777777" w:rsidR="004118D5" w:rsidRPr="007D211F" w:rsidRDefault="004118D5" w:rsidP="004118D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3309051C" w14:textId="0566B8FB" w:rsidR="004118D5" w:rsidRPr="004118D5" w:rsidRDefault="004118D5" w:rsidP="004118D5">
            <w:pPr>
              <w:spacing w:after="0" w:line="240" w:lineRule="auto"/>
              <w:rPr>
                <w:rFonts w:ascii="Times New Roman" w:hAnsi="Times New Roman" w:cs="Times New Roman"/>
              </w:rPr>
            </w:pPr>
            <w:r w:rsidRPr="004118D5">
              <w:rPr>
                <w:rFonts w:ascii="Times New Roman" w:hAnsi="Times New Roman" w:cs="Times New Roman"/>
                <w:b/>
                <w:sz w:val="23"/>
                <w:szCs w:val="23"/>
              </w:rPr>
              <w:t>5.</w:t>
            </w:r>
            <w:r w:rsidRPr="004118D5">
              <w:rPr>
                <w:rFonts w:ascii="Times New Roman" w:hAnsi="Times New Roman" w:cs="Times New Roman"/>
                <w:sz w:val="23"/>
                <w:szCs w:val="23"/>
              </w:rPr>
              <w:t>Przewlekłe choroby układu trawiennego K25-K93</w:t>
            </w:r>
          </w:p>
        </w:tc>
        <w:tc>
          <w:tcPr>
            <w:tcW w:w="3973" w:type="dxa"/>
            <w:gridSpan w:val="2"/>
            <w:shd w:val="clear" w:color="auto" w:fill="FFFFFF" w:themeFill="background1"/>
          </w:tcPr>
          <w:p w14:paraId="7C15CEEC" w14:textId="50D33403" w:rsidR="004118D5" w:rsidRPr="004118D5" w:rsidRDefault="004118D5" w:rsidP="004118D5">
            <w:pPr>
              <w:spacing w:after="0" w:line="240" w:lineRule="auto"/>
              <w:jc w:val="center"/>
              <w:rPr>
                <w:rFonts w:ascii="Times New Roman" w:hAnsi="Times New Roman" w:cs="Times New Roman"/>
              </w:rPr>
            </w:pPr>
            <w:r w:rsidRPr="004118D5">
              <w:rPr>
                <w:rFonts w:ascii="Times New Roman" w:hAnsi="Times New Roman" w:cs="Times New Roman"/>
                <w:bCs/>
                <w:sz w:val="23"/>
                <w:szCs w:val="23"/>
              </w:rPr>
              <w:t>9 405</w:t>
            </w:r>
          </w:p>
        </w:tc>
      </w:tr>
      <w:tr w:rsidR="004118D5" w:rsidRPr="007D211F" w14:paraId="226B7D6E" w14:textId="77777777" w:rsidTr="00E86509">
        <w:tc>
          <w:tcPr>
            <w:tcW w:w="2830" w:type="dxa"/>
            <w:shd w:val="clear" w:color="auto" w:fill="9CC2E5" w:themeFill="accent1" w:themeFillTint="99"/>
          </w:tcPr>
          <w:p w14:paraId="5FB187EF" w14:textId="77777777" w:rsidR="004118D5" w:rsidRPr="007D211F" w:rsidRDefault="004118D5" w:rsidP="004118D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Liczba osób starszych objętych czynną opieką lekarza POZ</w:t>
            </w:r>
          </w:p>
        </w:tc>
        <w:tc>
          <w:tcPr>
            <w:tcW w:w="11911" w:type="dxa"/>
            <w:gridSpan w:val="8"/>
            <w:shd w:val="clear" w:color="auto" w:fill="FFFFFF" w:themeFill="background1"/>
          </w:tcPr>
          <w:p w14:paraId="38B8BE5B" w14:textId="6944D382" w:rsidR="004118D5" w:rsidRPr="004118D5" w:rsidRDefault="004118D5" w:rsidP="004118D5">
            <w:pPr>
              <w:spacing w:after="0" w:line="240" w:lineRule="auto"/>
              <w:rPr>
                <w:rFonts w:ascii="Times New Roman" w:hAnsi="Times New Roman" w:cs="Times New Roman"/>
              </w:rPr>
            </w:pPr>
            <w:r w:rsidRPr="004118D5">
              <w:rPr>
                <w:rFonts w:ascii="Times New Roman" w:hAnsi="Times New Roman" w:cs="Times New Roman"/>
                <w:sz w:val="23"/>
                <w:szCs w:val="23"/>
              </w:rPr>
              <w:t>Leczeni przez lekarzy POZ z powodu chorób przewlekłych w wieku 65 lat i więcej</w:t>
            </w:r>
            <w:r>
              <w:rPr>
                <w:rFonts w:ascii="Times New Roman" w:hAnsi="Times New Roman" w:cs="Times New Roman"/>
                <w:sz w:val="23"/>
                <w:szCs w:val="23"/>
              </w:rPr>
              <w:t xml:space="preserve"> - </w:t>
            </w:r>
            <w:r w:rsidRPr="004118D5">
              <w:rPr>
                <w:rFonts w:ascii="Times New Roman" w:hAnsi="Times New Roman" w:cs="Times New Roman"/>
                <w:bCs/>
                <w:sz w:val="23"/>
                <w:szCs w:val="23"/>
              </w:rPr>
              <w:t>58 189</w:t>
            </w:r>
          </w:p>
        </w:tc>
      </w:tr>
      <w:tr w:rsidR="004118D5" w:rsidRPr="007D211F" w14:paraId="77A74C9B" w14:textId="77777777" w:rsidTr="00E86509">
        <w:trPr>
          <w:trHeight w:val="283"/>
        </w:trPr>
        <w:tc>
          <w:tcPr>
            <w:tcW w:w="2830" w:type="dxa"/>
            <w:vMerge w:val="restart"/>
            <w:shd w:val="clear" w:color="auto" w:fill="9CC2E5" w:themeFill="accent1" w:themeFillTint="99"/>
          </w:tcPr>
          <w:p w14:paraId="10B7ACAC" w14:textId="77777777" w:rsidR="004118D5" w:rsidRPr="007D211F" w:rsidRDefault="004118D5" w:rsidP="004118D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Najczęstsze przyczyny hospitalizacji osób starszych</w:t>
            </w:r>
          </w:p>
        </w:tc>
        <w:tc>
          <w:tcPr>
            <w:tcW w:w="7938" w:type="dxa"/>
            <w:gridSpan w:val="6"/>
            <w:shd w:val="clear" w:color="auto" w:fill="9CC2E5" w:themeFill="accent1" w:themeFillTint="99"/>
          </w:tcPr>
          <w:p w14:paraId="7167EF70" w14:textId="77777777" w:rsidR="004118D5" w:rsidRPr="007D211F" w:rsidRDefault="004118D5" w:rsidP="004118D5">
            <w:pPr>
              <w:spacing w:after="0" w:line="240" w:lineRule="auto"/>
              <w:jc w:val="center"/>
              <w:rPr>
                <w:rFonts w:ascii="Times New Roman" w:hAnsi="Times New Roman" w:cs="Times New Roman"/>
                <w:b/>
                <w:bCs/>
              </w:rPr>
            </w:pPr>
            <w:r w:rsidRPr="007D211F">
              <w:rPr>
                <w:rFonts w:ascii="Times New Roman" w:hAnsi="Times New Roman" w:cs="Times New Roman"/>
                <w:b/>
                <w:bCs/>
              </w:rPr>
              <w:t>Przyczyna</w:t>
            </w:r>
          </w:p>
        </w:tc>
        <w:tc>
          <w:tcPr>
            <w:tcW w:w="3973" w:type="dxa"/>
            <w:gridSpan w:val="2"/>
            <w:shd w:val="clear" w:color="auto" w:fill="9CC2E5" w:themeFill="accent1" w:themeFillTint="99"/>
          </w:tcPr>
          <w:p w14:paraId="3B599B4A" w14:textId="77777777" w:rsidR="004118D5" w:rsidRPr="007D211F" w:rsidRDefault="004118D5" w:rsidP="004118D5">
            <w:pPr>
              <w:spacing w:after="0" w:line="240" w:lineRule="auto"/>
              <w:jc w:val="center"/>
              <w:rPr>
                <w:rFonts w:ascii="Times New Roman" w:hAnsi="Times New Roman" w:cs="Times New Roman"/>
                <w:b/>
                <w:bCs/>
              </w:rPr>
            </w:pPr>
            <w:r w:rsidRPr="007D211F">
              <w:rPr>
                <w:rFonts w:ascii="Times New Roman" w:hAnsi="Times New Roman" w:cs="Times New Roman"/>
                <w:b/>
                <w:bCs/>
              </w:rPr>
              <w:t>Liczba osób starszych</w:t>
            </w:r>
          </w:p>
        </w:tc>
      </w:tr>
      <w:tr w:rsidR="002D4445" w:rsidRPr="007D211F" w14:paraId="16C04AFC" w14:textId="77777777" w:rsidTr="00E86509">
        <w:trPr>
          <w:trHeight w:val="281"/>
        </w:trPr>
        <w:tc>
          <w:tcPr>
            <w:tcW w:w="2830" w:type="dxa"/>
            <w:vMerge/>
            <w:shd w:val="clear" w:color="auto" w:fill="9CC2E5" w:themeFill="accent1" w:themeFillTint="99"/>
          </w:tcPr>
          <w:p w14:paraId="6832D7A2"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01874F7A" w14:textId="0C6CFDB3" w:rsidR="002D4445" w:rsidRPr="002D4445" w:rsidRDefault="002D4445" w:rsidP="002D4445">
            <w:pPr>
              <w:spacing w:after="0" w:line="240" w:lineRule="auto"/>
              <w:rPr>
                <w:rFonts w:ascii="Times New Roman" w:hAnsi="Times New Roman" w:cs="Times New Roman"/>
              </w:rPr>
            </w:pPr>
            <w:r w:rsidRPr="002D4445">
              <w:rPr>
                <w:rFonts w:ascii="Times New Roman" w:hAnsi="Times New Roman" w:cs="Times New Roman"/>
                <w:b/>
                <w:sz w:val="23"/>
                <w:szCs w:val="23"/>
              </w:rPr>
              <w:t>1.</w:t>
            </w:r>
            <w:r w:rsidRPr="002D4445">
              <w:rPr>
                <w:rFonts w:ascii="Times New Roman" w:hAnsi="Times New Roman" w:cs="Times New Roman"/>
                <w:sz w:val="23"/>
                <w:szCs w:val="23"/>
              </w:rPr>
              <w:t xml:space="preserve"> choroby układu krążenia I00-I99</w:t>
            </w:r>
          </w:p>
        </w:tc>
        <w:tc>
          <w:tcPr>
            <w:tcW w:w="3973" w:type="dxa"/>
            <w:gridSpan w:val="2"/>
            <w:shd w:val="clear" w:color="auto" w:fill="FFFFFF" w:themeFill="background1"/>
          </w:tcPr>
          <w:p w14:paraId="3F00A4D5" w14:textId="4C4D7F9D" w:rsidR="002D4445" w:rsidRPr="002D4445" w:rsidRDefault="002D4445" w:rsidP="002D4445">
            <w:pPr>
              <w:spacing w:after="0" w:line="240" w:lineRule="auto"/>
              <w:jc w:val="center"/>
              <w:rPr>
                <w:rFonts w:ascii="Times New Roman" w:hAnsi="Times New Roman" w:cs="Times New Roman"/>
              </w:rPr>
            </w:pPr>
            <w:r w:rsidRPr="002D4445">
              <w:rPr>
                <w:rFonts w:ascii="Times New Roman" w:hAnsi="Times New Roman" w:cs="Times New Roman"/>
                <w:bCs/>
                <w:sz w:val="23"/>
                <w:szCs w:val="23"/>
              </w:rPr>
              <w:t>61 391</w:t>
            </w:r>
          </w:p>
        </w:tc>
      </w:tr>
      <w:tr w:rsidR="002D4445" w:rsidRPr="007D211F" w14:paraId="277EC455" w14:textId="77777777" w:rsidTr="00E86509">
        <w:trPr>
          <w:trHeight w:val="281"/>
        </w:trPr>
        <w:tc>
          <w:tcPr>
            <w:tcW w:w="2830" w:type="dxa"/>
            <w:vMerge/>
            <w:shd w:val="clear" w:color="auto" w:fill="9CC2E5" w:themeFill="accent1" w:themeFillTint="99"/>
          </w:tcPr>
          <w:p w14:paraId="6A096F0D"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06F626D5" w14:textId="54257DBB" w:rsidR="002D4445" w:rsidRPr="002D4445" w:rsidRDefault="002D4445" w:rsidP="002D4445">
            <w:pPr>
              <w:spacing w:after="0" w:line="240" w:lineRule="auto"/>
              <w:rPr>
                <w:rFonts w:ascii="Times New Roman" w:hAnsi="Times New Roman" w:cs="Times New Roman"/>
              </w:rPr>
            </w:pPr>
            <w:r w:rsidRPr="002D4445">
              <w:rPr>
                <w:rFonts w:ascii="Times New Roman" w:hAnsi="Times New Roman" w:cs="Times New Roman"/>
                <w:b/>
                <w:sz w:val="23"/>
                <w:szCs w:val="23"/>
              </w:rPr>
              <w:t>2</w:t>
            </w:r>
            <w:r w:rsidRPr="002D4445">
              <w:rPr>
                <w:rFonts w:ascii="Times New Roman" w:hAnsi="Times New Roman" w:cs="Times New Roman"/>
                <w:sz w:val="23"/>
                <w:szCs w:val="23"/>
              </w:rPr>
              <w:t xml:space="preserve">. choroby nowotworowe C00-D48 </w:t>
            </w:r>
          </w:p>
        </w:tc>
        <w:tc>
          <w:tcPr>
            <w:tcW w:w="3973" w:type="dxa"/>
            <w:gridSpan w:val="2"/>
            <w:shd w:val="clear" w:color="auto" w:fill="FFFFFF" w:themeFill="background1"/>
          </w:tcPr>
          <w:p w14:paraId="2C3C7C71" w14:textId="3D5544A7" w:rsidR="002D4445" w:rsidRPr="002D4445" w:rsidRDefault="002D4445" w:rsidP="002D4445">
            <w:pPr>
              <w:spacing w:after="0" w:line="240" w:lineRule="auto"/>
              <w:jc w:val="center"/>
              <w:rPr>
                <w:rFonts w:ascii="Times New Roman" w:hAnsi="Times New Roman" w:cs="Times New Roman"/>
              </w:rPr>
            </w:pPr>
            <w:r w:rsidRPr="002D4445">
              <w:rPr>
                <w:rFonts w:ascii="Times New Roman" w:hAnsi="Times New Roman" w:cs="Times New Roman"/>
                <w:bCs/>
                <w:sz w:val="23"/>
                <w:szCs w:val="23"/>
              </w:rPr>
              <w:t>32 298</w:t>
            </w:r>
          </w:p>
        </w:tc>
      </w:tr>
      <w:tr w:rsidR="002D4445" w:rsidRPr="007D211F" w14:paraId="1C2DEC4B" w14:textId="77777777" w:rsidTr="00E86509">
        <w:trPr>
          <w:trHeight w:val="281"/>
        </w:trPr>
        <w:tc>
          <w:tcPr>
            <w:tcW w:w="2830" w:type="dxa"/>
            <w:vMerge/>
            <w:shd w:val="clear" w:color="auto" w:fill="9CC2E5" w:themeFill="accent1" w:themeFillTint="99"/>
          </w:tcPr>
          <w:p w14:paraId="453EBD15"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12E89E0E" w14:textId="0B378CB8" w:rsidR="002D4445" w:rsidRPr="002D4445" w:rsidRDefault="002D4445" w:rsidP="002D4445">
            <w:pPr>
              <w:spacing w:after="0" w:line="240" w:lineRule="auto"/>
              <w:rPr>
                <w:rFonts w:ascii="Times New Roman" w:hAnsi="Times New Roman" w:cs="Times New Roman"/>
              </w:rPr>
            </w:pPr>
            <w:r w:rsidRPr="002D4445">
              <w:rPr>
                <w:rFonts w:ascii="Times New Roman" w:hAnsi="Times New Roman" w:cs="Times New Roman"/>
                <w:b/>
                <w:sz w:val="23"/>
                <w:szCs w:val="23"/>
              </w:rPr>
              <w:t>3</w:t>
            </w:r>
            <w:r w:rsidRPr="002D4445">
              <w:rPr>
                <w:rFonts w:ascii="Times New Roman" w:hAnsi="Times New Roman" w:cs="Times New Roman"/>
                <w:sz w:val="23"/>
                <w:szCs w:val="23"/>
              </w:rPr>
              <w:t xml:space="preserve">. badania lekarskie i dodatkowe, zagrożenie chorobami zakaźnymi, zabiegi specjalne oraz pielęgnacja oraz inne czynniki wpływające na stan zdrowia i kontakt ze służbą zdrowia (Z00-Z99) </w:t>
            </w:r>
          </w:p>
        </w:tc>
        <w:tc>
          <w:tcPr>
            <w:tcW w:w="3973" w:type="dxa"/>
            <w:gridSpan w:val="2"/>
            <w:shd w:val="clear" w:color="auto" w:fill="FFFFFF" w:themeFill="background1"/>
          </w:tcPr>
          <w:p w14:paraId="0104473F" w14:textId="6D1E1E59" w:rsidR="002D4445" w:rsidRPr="002D4445" w:rsidRDefault="002D4445" w:rsidP="002D4445">
            <w:pPr>
              <w:spacing w:after="0" w:line="240" w:lineRule="auto"/>
              <w:jc w:val="center"/>
              <w:rPr>
                <w:rFonts w:ascii="Times New Roman" w:hAnsi="Times New Roman" w:cs="Times New Roman"/>
              </w:rPr>
            </w:pPr>
            <w:r w:rsidRPr="002D4445">
              <w:rPr>
                <w:rFonts w:ascii="Times New Roman" w:hAnsi="Times New Roman" w:cs="Times New Roman"/>
                <w:bCs/>
                <w:sz w:val="23"/>
                <w:szCs w:val="23"/>
              </w:rPr>
              <w:t>21 166</w:t>
            </w:r>
          </w:p>
        </w:tc>
      </w:tr>
      <w:tr w:rsidR="002D4445" w:rsidRPr="007D211F" w14:paraId="7EB924B5" w14:textId="77777777" w:rsidTr="004118D5">
        <w:trPr>
          <w:trHeight w:val="315"/>
        </w:trPr>
        <w:tc>
          <w:tcPr>
            <w:tcW w:w="2830" w:type="dxa"/>
            <w:vMerge/>
            <w:shd w:val="clear" w:color="auto" w:fill="9CC2E5" w:themeFill="accent1" w:themeFillTint="99"/>
          </w:tcPr>
          <w:p w14:paraId="28CEB9C3"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1DB93BE1" w14:textId="377F1C51" w:rsidR="002D4445" w:rsidRPr="002D4445" w:rsidRDefault="002D4445" w:rsidP="002D4445">
            <w:pPr>
              <w:spacing w:after="0" w:line="240" w:lineRule="auto"/>
              <w:rPr>
                <w:rFonts w:ascii="Times New Roman" w:hAnsi="Times New Roman" w:cs="Times New Roman"/>
              </w:rPr>
            </w:pPr>
            <w:r w:rsidRPr="002D4445">
              <w:rPr>
                <w:rFonts w:ascii="Times New Roman" w:hAnsi="Times New Roman" w:cs="Times New Roman"/>
                <w:b/>
                <w:sz w:val="23"/>
                <w:szCs w:val="23"/>
              </w:rPr>
              <w:t>4.</w:t>
            </w:r>
            <w:r w:rsidRPr="002D4445">
              <w:rPr>
                <w:rFonts w:ascii="Times New Roman" w:hAnsi="Times New Roman" w:cs="Times New Roman"/>
                <w:sz w:val="23"/>
                <w:szCs w:val="23"/>
              </w:rPr>
              <w:t xml:space="preserve"> choroby układu moczowo –płciowego  N00-N99</w:t>
            </w:r>
          </w:p>
        </w:tc>
        <w:tc>
          <w:tcPr>
            <w:tcW w:w="3973" w:type="dxa"/>
            <w:gridSpan w:val="2"/>
            <w:shd w:val="clear" w:color="auto" w:fill="FFFFFF" w:themeFill="background1"/>
          </w:tcPr>
          <w:p w14:paraId="663AF440" w14:textId="226E1D21" w:rsidR="002D4445" w:rsidRPr="002D4445" w:rsidRDefault="002D4445" w:rsidP="002D4445">
            <w:pPr>
              <w:spacing w:after="0" w:line="240" w:lineRule="auto"/>
              <w:jc w:val="center"/>
              <w:rPr>
                <w:rFonts w:ascii="Times New Roman" w:hAnsi="Times New Roman" w:cs="Times New Roman"/>
              </w:rPr>
            </w:pPr>
            <w:r w:rsidRPr="002D4445">
              <w:rPr>
                <w:rFonts w:ascii="Times New Roman" w:hAnsi="Times New Roman" w:cs="Times New Roman"/>
                <w:bCs/>
                <w:sz w:val="23"/>
                <w:szCs w:val="23"/>
              </w:rPr>
              <w:t>16 103</w:t>
            </w:r>
          </w:p>
        </w:tc>
      </w:tr>
      <w:tr w:rsidR="002D4445" w:rsidRPr="007D211F" w14:paraId="07A407F7" w14:textId="77777777" w:rsidTr="00E86509">
        <w:tc>
          <w:tcPr>
            <w:tcW w:w="2830" w:type="dxa"/>
            <w:vMerge/>
            <w:shd w:val="clear" w:color="auto" w:fill="9CC2E5" w:themeFill="accent1" w:themeFillTint="99"/>
          </w:tcPr>
          <w:p w14:paraId="1FC23A07"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7938E532" w14:textId="75603C53" w:rsidR="002D4445" w:rsidRPr="002D4445" w:rsidRDefault="002D4445" w:rsidP="002D4445">
            <w:pPr>
              <w:spacing w:after="0" w:line="240" w:lineRule="auto"/>
              <w:rPr>
                <w:rFonts w:ascii="Times New Roman" w:hAnsi="Times New Roman" w:cs="Times New Roman"/>
              </w:rPr>
            </w:pPr>
            <w:r w:rsidRPr="002D4445">
              <w:rPr>
                <w:rFonts w:ascii="Times New Roman" w:hAnsi="Times New Roman" w:cs="Times New Roman"/>
                <w:b/>
                <w:sz w:val="23"/>
                <w:szCs w:val="23"/>
              </w:rPr>
              <w:t>5.</w:t>
            </w:r>
            <w:r w:rsidRPr="002D4445">
              <w:rPr>
                <w:rFonts w:ascii="Times New Roman" w:hAnsi="Times New Roman" w:cs="Times New Roman"/>
                <w:sz w:val="23"/>
                <w:szCs w:val="23"/>
              </w:rPr>
              <w:t xml:space="preserve"> choroby oka i przydatków oka H00-H59</w:t>
            </w:r>
          </w:p>
        </w:tc>
        <w:tc>
          <w:tcPr>
            <w:tcW w:w="3973" w:type="dxa"/>
            <w:gridSpan w:val="2"/>
            <w:shd w:val="clear" w:color="auto" w:fill="FFFFFF" w:themeFill="background1"/>
          </w:tcPr>
          <w:p w14:paraId="16BDBA62" w14:textId="07F724FB" w:rsidR="002D4445" w:rsidRPr="002D4445" w:rsidRDefault="002D4445" w:rsidP="002D4445">
            <w:pPr>
              <w:spacing w:after="0" w:line="240" w:lineRule="auto"/>
              <w:jc w:val="center"/>
              <w:rPr>
                <w:rFonts w:ascii="Times New Roman" w:hAnsi="Times New Roman" w:cs="Times New Roman"/>
              </w:rPr>
            </w:pPr>
            <w:r w:rsidRPr="002D4445">
              <w:rPr>
                <w:rFonts w:ascii="Times New Roman" w:hAnsi="Times New Roman" w:cs="Times New Roman"/>
                <w:bCs/>
                <w:sz w:val="23"/>
                <w:szCs w:val="23"/>
              </w:rPr>
              <w:t>15 552</w:t>
            </w:r>
          </w:p>
        </w:tc>
      </w:tr>
      <w:tr w:rsidR="002D4445" w:rsidRPr="007D211F" w14:paraId="446264F2" w14:textId="77777777" w:rsidTr="00E86509">
        <w:tc>
          <w:tcPr>
            <w:tcW w:w="2830" w:type="dxa"/>
            <w:vMerge w:val="restart"/>
            <w:shd w:val="clear" w:color="auto" w:fill="9CC2E5" w:themeFill="accent1" w:themeFillTint="99"/>
          </w:tcPr>
          <w:p w14:paraId="3AD23159" w14:textId="77777777" w:rsidR="002D4445" w:rsidRPr="007D211F" w:rsidRDefault="002D4445" w:rsidP="002D4445">
            <w:pPr>
              <w:spacing w:after="0" w:line="240" w:lineRule="auto"/>
              <w:rPr>
                <w:rFonts w:ascii="Times New Roman" w:hAnsi="Times New Roman" w:cs="Times New Roman"/>
                <w:b/>
                <w:bCs/>
              </w:rPr>
            </w:pPr>
            <w:r w:rsidRPr="007D211F">
              <w:rPr>
                <w:rFonts w:ascii="Times New Roman" w:hAnsi="Times New Roman" w:cs="Times New Roman"/>
                <w:b/>
                <w:bCs/>
                <w:lang w:eastAsia="pl-PL"/>
              </w:rPr>
              <w:t>Infrastruktura służby zdrowia</w:t>
            </w:r>
          </w:p>
        </w:tc>
        <w:tc>
          <w:tcPr>
            <w:tcW w:w="3969" w:type="dxa"/>
            <w:gridSpan w:val="3"/>
            <w:shd w:val="clear" w:color="auto" w:fill="9CC2E5" w:themeFill="accent1" w:themeFillTint="99"/>
          </w:tcPr>
          <w:p w14:paraId="2CBBFA07"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Rodzaj placówki</w:t>
            </w:r>
          </w:p>
        </w:tc>
        <w:tc>
          <w:tcPr>
            <w:tcW w:w="3969" w:type="dxa"/>
            <w:gridSpan w:val="3"/>
            <w:shd w:val="clear" w:color="auto" w:fill="9CC2E5" w:themeFill="accent1" w:themeFillTint="99"/>
          </w:tcPr>
          <w:p w14:paraId="42739817"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Liczba placówek</w:t>
            </w:r>
          </w:p>
        </w:tc>
        <w:tc>
          <w:tcPr>
            <w:tcW w:w="3973" w:type="dxa"/>
            <w:gridSpan w:val="2"/>
            <w:shd w:val="clear" w:color="auto" w:fill="9CC2E5" w:themeFill="accent1" w:themeFillTint="99"/>
          </w:tcPr>
          <w:p w14:paraId="679E7103"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Liczba łóżek dla osób starszych</w:t>
            </w:r>
          </w:p>
        </w:tc>
      </w:tr>
      <w:tr w:rsidR="002D4445" w:rsidRPr="007D211F" w14:paraId="06F06997" w14:textId="77777777" w:rsidTr="00E86509">
        <w:tc>
          <w:tcPr>
            <w:tcW w:w="2830" w:type="dxa"/>
            <w:vMerge/>
            <w:shd w:val="clear" w:color="auto" w:fill="9CC2E5" w:themeFill="accent1" w:themeFillTint="99"/>
          </w:tcPr>
          <w:p w14:paraId="0DC75E20"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3472ACAB"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Oddziałów / pododdziałów geriatrycznych</w:t>
            </w:r>
          </w:p>
        </w:tc>
        <w:tc>
          <w:tcPr>
            <w:tcW w:w="3969" w:type="dxa"/>
            <w:gridSpan w:val="3"/>
            <w:shd w:val="clear" w:color="auto" w:fill="FFFFFF" w:themeFill="background1"/>
          </w:tcPr>
          <w:p w14:paraId="2E56FB0F"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3</w:t>
            </w:r>
          </w:p>
        </w:tc>
        <w:tc>
          <w:tcPr>
            <w:tcW w:w="3973" w:type="dxa"/>
            <w:gridSpan w:val="2"/>
            <w:shd w:val="clear" w:color="auto" w:fill="FFFFFF" w:themeFill="background1"/>
          </w:tcPr>
          <w:p w14:paraId="59EA273E"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91</w:t>
            </w:r>
          </w:p>
        </w:tc>
      </w:tr>
      <w:tr w:rsidR="002D4445" w:rsidRPr="007D211F" w14:paraId="4E28F32C" w14:textId="77777777" w:rsidTr="00E86509">
        <w:tc>
          <w:tcPr>
            <w:tcW w:w="2830" w:type="dxa"/>
            <w:vMerge/>
            <w:shd w:val="clear" w:color="auto" w:fill="9CC2E5" w:themeFill="accent1" w:themeFillTint="99"/>
          </w:tcPr>
          <w:p w14:paraId="500F8731"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7EC24B9F"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Poradni geriatrycznych</w:t>
            </w:r>
          </w:p>
        </w:tc>
        <w:tc>
          <w:tcPr>
            <w:tcW w:w="3969" w:type="dxa"/>
            <w:gridSpan w:val="3"/>
            <w:shd w:val="clear" w:color="auto" w:fill="FFFFFF" w:themeFill="background1"/>
          </w:tcPr>
          <w:p w14:paraId="7EDC1762"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16</w:t>
            </w:r>
          </w:p>
        </w:tc>
        <w:tc>
          <w:tcPr>
            <w:tcW w:w="3973" w:type="dxa"/>
            <w:gridSpan w:val="2"/>
            <w:shd w:val="clear" w:color="auto" w:fill="FFFFFF" w:themeFill="background1"/>
          </w:tcPr>
          <w:p w14:paraId="5C79F7EC"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w:t>
            </w:r>
          </w:p>
        </w:tc>
      </w:tr>
      <w:tr w:rsidR="002D4445" w:rsidRPr="007D211F" w14:paraId="41849259" w14:textId="77777777" w:rsidTr="00E86509">
        <w:tc>
          <w:tcPr>
            <w:tcW w:w="2830" w:type="dxa"/>
            <w:vMerge/>
            <w:shd w:val="clear" w:color="auto" w:fill="9CC2E5" w:themeFill="accent1" w:themeFillTint="99"/>
          </w:tcPr>
          <w:p w14:paraId="1405C20B"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3BF1D86B"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Zakładów opiekuńczo-leczniczych</w:t>
            </w:r>
          </w:p>
        </w:tc>
        <w:tc>
          <w:tcPr>
            <w:tcW w:w="3969" w:type="dxa"/>
            <w:gridSpan w:val="3"/>
            <w:shd w:val="clear" w:color="auto" w:fill="FFFFFF" w:themeFill="background1"/>
          </w:tcPr>
          <w:p w14:paraId="48085218"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17</w:t>
            </w:r>
          </w:p>
        </w:tc>
        <w:tc>
          <w:tcPr>
            <w:tcW w:w="3973" w:type="dxa"/>
            <w:gridSpan w:val="2"/>
            <w:shd w:val="clear" w:color="auto" w:fill="FFFFFF" w:themeFill="background1"/>
          </w:tcPr>
          <w:p w14:paraId="024238AA"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820</w:t>
            </w:r>
          </w:p>
        </w:tc>
      </w:tr>
      <w:tr w:rsidR="002D4445" w:rsidRPr="007D211F" w14:paraId="1417486E" w14:textId="77777777" w:rsidTr="00E86509">
        <w:tc>
          <w:tcPr>
            <w:tcW w:w="2830" w:type="dxa"/>
            <w:vMerge/>
            <w:shd w:val="clear" w:color="auto" w:fill="9CC2E5" w:themeFill="accent1" w:themeFillTint="99"/>
          </w:tcPr>
          <w:p w14:paraId="15EF29D8"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1324EEDB"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Zakładów pielęgnacyjno-opiekuńczych</w:t>
            </w:r>
          </w:p>
        </w:tc>
        <w:tc>
          <w:tcPr>
            <w:tcW w:w="3969" w:type="dxa"/>
            <w:gridSpan w:val="3"/>
            <w:shd w:val="clear" w:color="auto" w:fill="FFFFFF" w:themeFill="background1"/>
          </w:tcPr>
          <w:p w14:paraId="0AEC018F"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8</w:t>
            </w:r>
          </w:p>
        </w:tc>
        <w:tc>
          <w:tcPr>
            <w:tcW w:w="3973" w:type="dxa"/>
            <w:gridSpan w:val="2"/>
            <w:shd w:val="clear" w:color="auto" w:fill="FFFFFF" w:themeFill="background1"/>
          </w:tcPr>
          <w:p w14:paraId="1B046EB1"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324</w:t>
            </w:r>
          </w:p>
        </w:tc>
      </w:tr>
      <w:tr w:rsidR="002D4445" w:rsidRPr="007D211F" w14:paraId="099A3054" w14:textId="77777777" w:rsidTr="00E86509">
        <w:tc>
          <w:tcPr>
            <w:tcW w:w="2830" w:type="dxa"/>
            <w:vMerge/>
            <w:shd w:val="clear" w:color="auto" w:fill="9CC2E5" w:themeFill="accent1" w:themeFillTint="99"/>
          </w:tcPr>
          <w:p w14:paraId="5C426C6A"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7B461125"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Hospicjów stacjonarnych</w:t>
            </w:r>
          </w:p>
        </w:tc>
        <w:tc>
          <w:tcPr>
            <w:tcW w:w="3969" w:type="dxa"/>
            <w:gridSpan w:val="3"/>
            <w:shd w:val="clear" w:color="auto" w:fill="FFFFFF" w:themeFill="background1"/>
          </w:tcPr>
          <w:p w14:paraId="4A0CB532"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6</w:t>
            </w:r>
          </w:p>
        </w:tc>
        <w:tc>
          <w:tcPr>
            <w:tcW w:w="3973" w:type="dxa"/>
            <w:gridSpan w:val="2"/>
            <w:shd w:val="clear" w:color="auto" w:fill="FFFFFF" w:themeFill="background1"/>
          </w:tcPr>
          <w:p w14:paraId="649029A3"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100</w:t>
            </w:r>
          </w:p>
        </w:tc>
      </w:tr>
      <w:tr w:rsidR="002D4445" w:rsidRPr="007D211F" w14:paraId="7446BF69" w14:textId="77777777" w:rsidTr="00E86509">
        <w:tc>
          <w:tcPr>
            <w:tcW w:w="2830" w:type="dxa"/>
            <w:vMerge/>
            <w:shd w:val="clear" w:color="auto" w:fill="9CC2E5" w:themeFill="accent1" w:themeFillTint="99"/>
          </w:tcPr>
          <w:p w14:paraId="7B3CBF62"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64870DA2"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Hospicjów domowych</w:t>
            </w:r>
          </w:p>
        </w:tc>
        <w:tc>
          <w:tcPr>
            <w:tcW w:w="3969" w:type="dxa"/>
            <w:gridSpan w:val="3"/>
            <w:shd w:val="clear" w:color="auto" w:fill="FFFFFF" w:themeFill="background1"/>
          </w:tcPr>
          <w:p w14:paraId="2C22E395"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27</w:t>
            </w:r>
          </w:p>
        </w:tc>
        <w:tc>
          <w:tcPr>
            <w:tcW w:w="3973" w:type="dxa"/>
            <w:gridSpan w:val="2"/>
            <w:shd w:val="clear" w:color="auto" w:fill="FFFFFF" w:themeFill="background1"/>
          </w:tcPr>
          <w:p w14:paraId="51819BE7"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b.d.</w:t>
            </w:r>
          </w:p>
        </w:tc>
      </w:tr>
      <w:tr w:rsidR="002D4445" w:rsidRPr="007D211F" w14:paraId="1F8ED1C7" w14:textId="77777777" w:rsidTr="00E86509">
        <w:tc>
          <w:tcPr>
            <w:tcW w:w="2830" w:type="dxa"/>
            <w:vMerge/>
            <w:shd w:val="clear" w:color="auto" w:fill="9CC2E5" w:themeFill="accent1" w:themeFillTint="99"/>
          </w:tcPr>
          <w:p w14:paraId="592A1ED2"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3FED4BE9"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Oddziałów opieki paliatywnej</w:t>
            </w:r>
          </w:p>
        </w:tc>
        <w:tc>
          <w:tcPr>
            <w:tcW w:w="3969" w:type="dxa"/>
            <w:gridSpan w:val="3"/>
            <w:shd w:val="clear" w:color="auto" w:fill="FFFFFF" w:themeFill="background1"/>
          </w:tcPr>
          <w:p w14:paraId="0D85F986"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4</w:t>
            </w:r>
          </w:p>
        </w:tc>
        <w:tc>
          <w:tcPr>
            <w:tcW w:w="3973" w:type="dxa"/>
            <w:gridSpan w:val="2"/>
            <w:shd w:val="clear" w:color="auto" w:fill="FFFFFF" w:themeFill="background1"/>
          </w:tcPr>
          <w:p w14:paraId="67C22EEB" w14:textId="77777777" w:rsidR="002D4445" w:rsidRPr="007D211F" w:rsidRDefault="002D4445" w:rsidP="002D4445">
            <w:pPr>
              <w:spacing w:after="0" w:line="240" w:lineRule="auto"/>
              <w:jc w:val="center"/>
              <w:rPr>
                <w:rFonts w:ascii="Times New Roman" w:hAnsi="Times New Roman" w:cs="Times New Roman"/>
                <w:bCs/>
              </w:rPr>
            </w:pPr>
            <w:r w:rsidRPr="007D211F">
              <w:rPr>
                <w:rFonts w:ascii="Times New Roman" w:hAnsi="Times New Roman" w:cs="Times New Roman"/>
                <w:bCs/>
              </w:rPr>
              <w:t>52</w:t>
            </w:r>
          </w:p>
        </w:tc>
      </w:tr>
      <w:tr w:rsidR="002D4445" w:rsidRPr="007D211F" w14:paraId="0E624AE4" w14:textId="77777777" w:rsidTr="00E86509">
        <w:tc>
          <w:tcPr>
            <w:tcW w:w="2830" w:type="dxa"/>
            <w:vMerge w:val="restart"/>
            <w:shd w:val="clear" w:color="auto" w:fill="9CC2E5" w:themeFill="accent1" w:themeFillTint="99"/>
          </w:tcPr>
          <w:p w14:paraId="4512820E" w14:textId="77777777" w:rsidR="002D4445" w:rsidRPr="007D211F" w:rsidRDefault="002D4445" w:rsidP="002D4445">
            <w:pPr>
              <w:tabs>
                <w:tab w:val="left" w:pos="1206"/>
              </w:tabs>
              <w:spacing w:after="0" w:line="240" w:lineRule="auto"/>
              <w:rPr>
                <w:rFonts w:ascii="Times New Roman" w:hAnsi="Times New Roman" w:cs="Times New Roman"/>
                <w:b/>
                <w:bCs/>
              </w:rPr>
            </w:pPr>
            <w:r w:rsidRPr="007D211F">
              <w:rPr>
                <w:rFonts w:ascii="Times New Roman" w:hAnsi="Times New Roman" w:cs="Times New Roman"/>
                <w:b/>
                <w:bCs/>
              </w:rPr>
              <w:t>Kadry medyczne</w:t>
            </w:r>
          </w:p>
        </w:tc>
        <w:tc>
          <w:tcPr>
            <w:tcW w:w="7938" w:type="dxa"/>
            <w:gridSpan w:val="6"/>
            <w:shd w:val="clear" w:color="auto" w:fill="9CC2E5" w:themeFill="accent1" w:themeFillTint="99"/>
          </w:tcPr>
          <w:p w14:paraId="721426DA" w14:textId="77777777" w:rsidR="002D4445" w:rsidRPr="007D211F" w:rsidRDefault="002D4445" w:rsidP="002D4445">
            <w:pPr>
              <w:tabs>
                <w:tab w:val="left" w:pos="1206"/>
              </w:tabs>
              <w:spacing w:after="0" w:line="240" w:lineRule="auto"/>
              <w:jc w:val="center"/>
              <w:rPr>
                <w:rFonts w:ascii="Times New Roman" w:hAnsi="Times New Roman" w:cs="Times New Roman"/>
                <w:b/>
                <w:bCs/>
              </w:rPr>
            </w:pPr>
            <w:r w:rsidRPr="007D211F">
              <w:rPr>
                <w:rFonts w:ascii="Times New Roman" w:hAnsi="Times New Roman" w:cs="Times New Roman"/>
                <w:b/>
                <w:bCs/>
              </w:rPr>
              <w:t>Lekarze</w:t>
            </w:r>
          </w:p>
        </w:tc>
        <w:tc>
          <w:tcPr>
            <w:tcW w:w="3973" w:type="dxa"/>
            <w:gridSpan w:val="2"/>
            <w:shd w:val="clear" w:color="auto" w:fill="9CC2E5" w:themeFill="accent1" w:themeFillTint="99"/>
          </w:tcPr>
          <w:p w14:paraId="0A237C40"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Liczba lekarzy</w:t>
            </w:r>
          </w:p>
        </w:tc>
      </w:tr>
      <w:tr w:rsidR="002D4445" w:rsidRPr="007D211F" w14:paraId="7C7FE61E" w14:textId="77777777" w:rsidTr="00E86509">
        <w:tc>
          <w:tcPr>
            <w:tcW w:w="2830" w:type="dxa"/>
            <w:vMerge/>
            <w:shd w:val="clear" w:color="auto" w:fill="9CC2E5" w:themeFill="accent1" w:themeFillTint="99"/>
          </w:tcPr>
          <w:p w14:paraId="6BDFC3AC"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02629C31" w14:textId="77777777" w:rsidR="002D4445" w:rsidRPr="007D211F" w:rsidRDefault="002D4445" w:rsidP="002D4445">
            <w:pPr>
              <w:tabs>
                <w:tab w:val="left" w:pos="1206"/>
              </w:tabs>
              <w:spacing w:after="0" w:line="240" w:lineRule="auto"/>
              <w:rPr>
                <w:rFonts w:ascii="Times New Roman" w:hAnsi="Times New Roman" w:cs="Times New Roman"/>
              </w:rPr>
            </w:pPr>
            <w:r w:rsidRPr="007D211F">
              <w:rPr>
                <w:rFonts w:ascii="Times New Roman" w:hAnsi="Times New Roman" w:cs="Times New Roman"/>
              </w:rPr>
              <w:t>Geriatrzy</w:t>
            </w:r>
          </w:p>
        </w:tc>
        <w:tc>
          <w:tcPr>
            <w:tcW w:w="3973" w:type="dxa"/>
            <w:gridSpan w:val="2"/>
            <w:shd w:val="clear" w:color="auto" w:fill="FFFFFF" w:themeFill="background1"/>
          </w:tcPr>
          <w:p w14:paraId="1C0EBD46"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37</w:t>
            </w:r>
          </w:p>
        </w:tc>
      </w:tr>
      <w:tr w:rsidR="002D4445" w:rsidRPr="007D211F" w14:paraId="534EDC80" w14:textId="77777777" w:rsidTr="00E86509">
        <w:tc>
          <w:tcPr>
            <w:tcW w:w="2830" w:type="dxa"/>
            <w:vMerge/>
            <w:shd w:val="clear" w:color="auto" w:fill="9CC2E5" w:themeFill="accent1" w:themeFillTint="99"/>
          </w:tcPr>
          <w:p w14:paraId="51AC0CE0"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5076D081"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 trakcie specjalizacji z geriatrii</w:t>
            </w:r>
          </w:p>
        </w:tc>
        <w:tc>
          <w:tcPr>
            <w:tcW w:w="3973" w:type="dxa"/>
            <w:gridSpan w:val="2"/>
            <w:shd w:val="clear" w:color="auto" w:fill="FFFFFF" w:themeFill="background1"/>
          </w:tcPr>
          <w:p w14:paraId="7929CA9D"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 2019 r. specjalizację uzyskało 2 lekarzy</w:t>
            </w:r>
          </w:p>
        </w:tc>
      </w:tr>
      <w:tr w:rsidR="002D4445" w:rsidRPr="007D211F" w14:paraId="7E35900B" w14:textId="77777777" w:rsidTr="00E86509">
        <w:tc>
          <w:tcPr>
            <w:tcW w:w="2830" w:type="dxa"/>
            <w:vMerge/>
            <w:shd w:val="clear" w:color="auto" w:fill="9CC2E5" w:themeFill="accent1" w:themeFillTint="99"/>
          </w:tcPr>
          <w:p w14:paraId="136DF0E5"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9CC2E5" w:themeFill="accent1" w:themeFillTint="99"/>
          </w:tcPr>
          <w:p w14:paraId="7BBF4539"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 xml:space="preserve">Pielęgniarki ze specjalizacją lub ukończonym kursem kwalifikacyjnym </w:t>
            </w:r>
            <w:r w:rsidRPr="007D211F">
              <w:rPr>
                <w:rFonts w:ascii="Times New Roman" w:hAnsi="Times New Roman" w:cs="Times New Roman"/>
                <w:b/>
                <w:bCs/>
              </w:rPr>
              <w:br/>
              <w:t>w zakresie:</w:t>
            </w:r>
          </w:p>
        </w:tc>
        <w:tc>
          <w:tcPr>
            <w:tcW w:w="3973" w:type="dxa"/>
            <w:gridSpan w:val="2"/>
            <w:shd w:val="clear" w:color="auto" w:fill="9CC2E5" w:themeFill="accent1" w:themeFillTint="99"/>
          </w:tcPr>
          <w:p w14:paraId="73CF9936"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Liczba pielęgniarek</w:t>
            </w:r>
          </w:p>
        </w:tc>
      </w:tr>
      <w:tr w:rsidR="002D4445" w:rsidRPr="007D211F" w14:paraId="763E908A" w14:textId="77777777" w:rsidTr="00E86509">
        <w:tc>
          <w:tcPr>
            <w:tcW w:w="2830" w:type="dxa"/>
            <w:vMerge/>
            <w:shd w:val="clear" w:color="auto" w:fill="9CC2E5" w:themeFill="accent1" w:themeFillTint="99"/>
          </w:tcPr>
          <w:p w14:paraId="67E3F7B2"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2FA251B0"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Geriatrii</w:t>
            </w:r>
          </w:p>
        </w:tc>
        <w:tc>
          <w:tcPr>
            <w:tcW w:w="3973" w:type="dxa"/>
            <w:gridSpan w:val="2"/>
            <w:shd w:val="clear" w:color="auto" w:fill="FFFFFF" w:themeFill="background1"/>
          </w:tcPr>
          <w:p w14:paraId="0124A79B"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 2019 r. - 3 pielęgniarki uzyskały specjalizację (b.d. o liczbie pielęgniarek zatrudnionych w tym zakresie)</w:t>
            </w:r>
          </w:p>
        </w:tc>
      </w:tr>
      <w:tr w:rsidR="002D4445" w:rsidRPr="007D211F" w14:paraId="2BC7125F" w14:textId="77777777" w:rsidTr="00E86509">
        <w:tc>
          <w:tcPr>
            <w:tcW w:w="2830" w:type="dxa"/>
            <w:vMerge/>
            <w:shd w:val="clear" w:color="auto" w:fill="9CC2E5" w:themeFill="accent1" w:themeFillTint="99"/>
          </w:tcPr>
          <w:p w14:paraId="593BF6EB"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6C7C7341"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Opieki długoterminowej</w:t>
            </w:r>
          </w:p>
        </w:tc>
        <w:tc>
          <w:tcPr>
            <w:tcW w:w="3973" w:type="dxa"/>
            <w:gridSpan w:val="2"/>
            <w:shd w:val="clear" w:color="auto" w:fill="FFFFFF" w:themeFill="background1"/>
          </w:tcPr>
          <w:p w14:paraId="7D5E754D"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b.d.</w:t>
            </w:r>
          </w:p>
        </w:tc>
      </w:tr>
      <w:tr w:rsidR="002D4445" w:rsidRPr="007D211F" w14:paraId="27109D10" w14:textId="77777777" w:rsidTr="00E86509">
        <w:tc>
          <w:tcPr>
            <w:tcW w:w="2830" w:type="dxa"/>
            <w:vMerge/>
            <w:shd w:val="clear" w:color="auto" w:fill="9CC2E5" w:themeFill="accent1" w:themeFillTint="99"/>
          </w:tcPr>
          <w:p w14:paraId="0F1882AF"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3A5A2195"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Opieki paliatywnej</w:t>
            </w:r>
          </w:p>
        </w:tc>
        <w:tc>
          <w:tcPr>
            <w:tcW w:w="3973" w:type="dxa"/>
            <w:gridSpan w:val="2"/>
            <w:shd w:val="clear" w:color="auto" w:fill="FFFFFF" w:themeFill="background1"/>
          </w:tcPr>
          <w:p w14:paraId="2EC718D6"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 xml:space="preserve">w 2019 r. -34 pielęgniarki uzyskały specjalizację ( b.d. o liczbie pielęgniarek zatrudnionych w opiece paliatywnej) </w:t>
            </w:r>
          </w:p>
        </w:tc>
      </w:tr>
      <w:tr w:rsidR="002D4445" w:rsidRPr="007D211F" w14:paraId="2B319D3E" w14:textId="77777777" w:rsidTr="00E86509">
        <w:tc>
          <w:tcPr>
            <w:tcW w:w="2830" w:type="dxa"/>
            <w:vMerge w:val="restart"/>
            <w:shd w:val="clear" w:color="auto" w:fill="9CC2E5" w:themeFill="accent1" w:themeFillTint="99"/>
          </w:tcPr>
          <w:p w14:paraId="4366480D"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Najczęstsze przyczyny zgonów osób starszych</w:t>
            </w:r>
          </w:p>
        </w:tc>
        <w:tc>
          <w:tcPr>
            <w:tcW w:w="7938" w:type="dxa"/>
            <w:gridSpan w:val="6"/>
            <w:shd w:val="clear" w:color="auto" w:fill="9CC2E5" w:themeFill="accent1" w:themeFillTint="99"/>
          </w:tcPr>
          <w:p w14:paraId="45E70160"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Nazwa</w:t>
            </w:r>
          </w:p>
        </w:tc>
        <w:tc>
          <w:tcPr>
            <w:tcW w:w="3973" w:type="dxa"/>
            <w:gridSpan w:val="2"/>
            <w:shd w:val="clear" w:color="auto" w:fill="9CC2E5" w:themeFill="accent1" w:themeFillTint="99"/>
          </w:tcPr>
          <w:p w14:paraId="4A2C93DF"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Liczba osób starszych</w:t>
            </w:r>
          </w:p>
        </w:tc>
      </w:tr>
      <w:tr w:rsidR="002D4445" w:rsidRPr="007D211F" w14:paraId="2BC244B9" w14:textId="77777777" w:rsidTr="00E86509">
        <w:tc>
          <w:tcPr>
            <w:tcW w:w="2830" w:type="dxa"/>
            <w:vMerge/>
            <w:shd w:val="clear" w:color="auto" w:fill="9CC2E5" w:themeFill="accent1" w:themeFillTint="99"/>
          </w:tcPr>
          <w:p w14:paraId="296A1516"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65B7C45B" w14:textId="77777777" w:rsidR="002D4445" w:rsidRPr="007D211F" w:rsidRDefault="002D4445" w:rsidP="002D4445">
            <w:pPr>
              <w:spacing w:after="0" w:line="240" w:lineRule="auto"/>
              <w:rPr>
                <w:rFonts w:ascii="Times New Roman" w:hAnsi="Times New Roman" w:cs="Times New Roman"/>
                <w:b/>
                <w:bCs/>
              </w:rPr>
            </w:pPr>
            <w:r w:rsidRPr="007D211F">
              <w:rPr>
                <w:rFonts w:ascii="Times New Roman" w:hAnsi="Times New Roman" w:cs="Times New Roman"/>
              </w:rPr>
              <w:t xml:space="preserve">1. </w:t>
            </w:r>
            <w:r w:rsidRPr="007D211F">
              <w:rPr>
                <w:rFonts w:ascii="Times New Roman" w:hAnsi="Times New Roman" w:cs="Times New Roman"/>
                <w:b/>
                <w:bCs/>
              </w:rPr>
              <w:t xml:space="preserve"> b.d.</w:t>
            </w:r>
          </w:p>
        </w:tc>
        <w:tc>
          <w:tcPr>
            <w:tcW w:w="3973" w:type="dxa"/>
            <w:gridSpan w:val="2"/>
            <w:shd w:val="clear" w:color="auto" w:fill="FFFFFF" w:themeFill="background1"/>
          </w:tcPr>
          <w:p w14:paraId="55F4CF51"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174EBE07" w14:textId="77777777" w:rsidTr="00E86509">
        <w:tc>
          <w:tcPr>
            <w:tcW w:w="2830" w:type="dxa"/>
            <w:vMerge/>
            <w:shd w:val="clear" w:color="auto" w:fill="9CC2E5" w:themeFill="accent1" w:themeFillTint="99"/>
          </w:tcPr>
          <w:p w14:paraId="56D32F11"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7EC19269"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2.</w:t>
            </w:r>
            <w:r w:rsidRPr="007D211F">
              <w:rPr>
                <w:rFonts w:ascii="Times New Roman" w:hAnsi="Times New Roman" w:cs="Times New Roman"/>
                <w:b/>
                <w:bCs/>
              </w:rPr>
              <w:t xml:space="preserve"> b.d.</w:t>
            </w:r>
          </w:p>
        </w:tc>
        <w:tc>
          <w:tcPr>
            <w:tcW w:w="3973" w:type="dxa"/>
            <w:gridSpan w:val="2"/>
            <w:shd w:val="clear" w:color="auto" w:fill="FFFFFF" w:themeFill="background1"/>
          </w:tcPr>
          <w:p w14:paraId="631AD448"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513A655E" w14:textId="77777777" w:rsidTr="00E86509">
        <w:tc>
          <w:tcPr>
            <w:tcW w:w="2830" w:type="dxa"/>
            <w:vMerge/>
            <w:shd w:val="clear" w:color="auto" w:fill="9CC2E5" w:themeFill="accent1" w:themeFillTint="99"/>
          </w:tcPr>
          <w:p w14:paraId="42DCCD49"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2BBC52F2"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3.</w:t>
            </w:r>
            <w:r w:rsidRPr="007D211F">
              <w:rPr>
                <w:rFonts w:ascii="Times New Roman" w:hAnsi="Times New Roman" w:cs="Times New Roman"/>
                <w:b/>
                <w:bCs/>
              </w:rPr>
              <w:t xml:space="preserve"> b.d.</w:t>
            </w:r>
          </w:p>
        </w:tc>
        <w:tc>
          <w:tcPr>
            <w:tcW w:w="3973" w:type="dxa"/>
            <w:gridSpan w:val="2"/>
            <w:shd w:val="clear" w:color="auto" w:fill="FFFFFF" w:themeFill="background1"/>
          </w:tcPr>
          <w:p w14:paraId="72C6D731"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3AE4CC8F" w14:textId="77777777" w:rsidTr="00E86509">
        <w:tc>
          <w:tcPr>
            <w:tcW w:w="2830" w:type="dxa"/>
            <w:vMerge/>
            <w:shd w:val="clear" w:color="auto" w:fill="9CC2E5" w:themeFill="accent1" w:themeFillTint="99"/>
          </w:tcPr>
          <w:p w14:paraId="484F96A6"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30532D6E"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4.</w:t>
            </w:r>
            <w:r w:rsidRPr="007D211F">
              <w:rPr>
                <w:rFonts w:ascii="Times New Roman" w:hAnsi="Times New Roman" w:cs="Times New Roman"/>
                <w:b/>
                <w:bCs/>
              </w:rPr>
              <w:t xml:space="preserve"> b.d.</w:t>
            </w:r>
          </w:p>
        </w:tc>
        <w:tc>
          <w:tcPr>
            <w:tcW w:w="3973" w:type="dxa"/>
            <w:gridSpan w:val="2"/>
            <w:shd w:val="clear" w:color="auto" w:fill="FFFFFF" w:themeFill="background1"/>
          </w:tcPr>
          <w:p w14:paraId="0202A79C"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26A71A27" w14:textId="77777777" w:rsidTr="00E86509">
        <w:tc>
          <w:tcPr>
            <w:tcW w:w="2830" w:type="dxa"/>
            <w:vMerge/>
            <w:shd w:val="clear" w:color="auto" w:fill="9CC2E5" w:themeFill="accent1" w:themeFillTint="99"/>
          </w:tcPr>
          <w:p w14:paraId="76886F54" w14:textId="77777777" w:rsidR="002D4445" w:rsidRPr="007D211F" w:rsidRDefault="002D4445" w:rsidP="002D4445">
            <w:pPr>
              <w:spacing w:after="0" w:line="240" w:lineRule="auto"/>
              <w:rPr>
                <w:rFonts w:ascii="Times New Roman" w:hAnsi="Times New Roman" w:cs="Times New Roman"/>
                <w:b/>
                <w:bCs/>
                <w:lang w:eastAsia="pl-PL"/>
              </w:rPr>
            </w:pPr>
          </w:p>
        </w:tc>
        <w:tc>
          <w:tcPr>
            <w:tcW w:w="7938" w:type="dxa"/>
            <w:gridSpan w:val="6"/>
            <w:shd w:val="clear" w:color="auto" w:fill="FFFFFF" w:themeFill="background1"/>
          </w:tcPr>
          <w:p w14:paraId="6B23D124"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 xml:space="preserve">5. </w:t>
            </w:r>
            <w:r w:rsidRPr="007D211F">
              <w:rPr>
                <w:rFonts w:ascii="Times New Roman" w:hAnsi="Times New Roman" w:cs="Times New Roman"/>
                <w:b/>
                <w:bCs/>
              </w:rPr>
              <w:t xml:space="preserve"> b.d.</w:t>
            </w:r>
          </w:p>
        </w:tc>
        <w:tc>
          <w:tcPr>
            <w:tcW w:w="3973" w:type="dxa"/>
            <w:gridSpan w:val="2"/>
            <w:shd w:val="clear" w:color="auto" w:fill="FFFFFF" w:themeFill="background1"/>
          </w:tcPr>
          <w:p w14:paraId="581B3402"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4735E2AF" w14:textId="77777777" w:rsidTr="00E86509">
        <w:trPr>
          <w:trHeight w:val="253"/>
        </w:trPr>
        <w:tc>
          <w:tcPr>
            <w:tcW w:w="2830" w:type="dxa"/>
            <w:vMerge w:val="restart"/>
            <w:shd w:val="clear" w:color="auto" w:fill="9CC2E5" w:themeFill="accent1" w:themeFillTint="99"/>
          </w:tcPr>
          <w:p w14:paraId="73A31372"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522DEEFB" w14:textId="77777777" w:rsidR="002D4445" w:rsidRPr="007D211F" w:rsidRDefault="002D4445" w:rsidP="002D4445">
            <w:pPr>
              <w:tabs>
                <w:tab w:val="left" w:pos="1290"/>
              </w:tabs>
              <w:spacing w:after="0" w:line="240" w:lineRule="auto"/>
              <w:rPr>
                <w:rFonts w:ascii="Times New Roman" w:hAnsi="Times New Roman" w:cs="Times New Roman"/>
              </w:rPr>
            </w:pPr>
            <w:r w:rsidRPr="007C5F35">
              <w:rPr>
                <w:rFonts w:ascii="Times New Roman" w:hAnsi="Times New Roman" w:cs="Times New Roman"/>
                <w:b/>
              </w:rPr>
              <w:t>1.</w:t>
            </w:r>
            <w:r w:rsidRPr="007D211F">
              <w:rPr>
                <w:rFonts w:ascii="Times New Roman" w:hAnsi="Times New Roman" w:cs="Times New Roman"/>
              </w:rPr>
              <w:t>Dość niska ocena procedur geriatrycznych.</w:t>
            </w:r>
          </w:p>
        </w:tc>
      </w:tr>
      <w:tr w:rsidR="002D4445" w:rsidRPr="007D211F" w14:paraId="383650D0" w14:textId="77777777" w:rsidTr="00E86509">
        <w:trPr>
          <w:trHeight w:val="250"/>
        </w:trPr>
        <w:tc>
          <w:tcPr>
            <w:tcW w:w="2830" w:type="dxa"/>
            <w:vMerge/>
            <w:shd w:val="clear" w:color="auto" w:fill="9CC2E5" w:themeFill="accent1" w:themeFillTint="99"/>
          </w:tcPr>
          <w:p w14:paraId="794622B2" w14:textId="77777777" w:rsidR="002D4445" w:rsidRPr="007D211F" w:rsidRDefault="002D4445" w:rsidP="002D4445">
            <w:pPr>
              <w:spacing w:after="0" w:line="240" w:lineRule="auto"/>
              <w:rPr>
                <w:rFonts w:ascii="Times New Roman" w:hAnsi="Times New Roman" w:cs="Times New Roman"/>
                <w:b/>
                <w:bCs/>
                <w:lang w:eastAsia="pl-PL"/>
              </w:rPr>
            </w:pPr>
          </w:p>
        </w:tc>
        <w:tc>
          <w:tcPr>
            <w:tcW w:w="11911" w:type="dxa"/>
            <w:gridSpan w:val="8"/>
            <w:shd w:val="clear" w:color="auto" w:fill="FFFFFF" w:themeFill="background1"/>
          </w:tcPr>
          <w:p w14:paraId="12ADFFAD" w14:textId="77777777" w:rsidR="002D4445" w:rsidRPr="007D211F" w:rsidRDefault="002D4445" w:rsidP="002D4445">
            <w:pPr>
              <w:spacing w:after="0" w:line="240" w:lineRule="auto"/>
              <w:rPr>
                <w:rFonts w:ascii="Times New Roman" w:hAnsi="Times New Roman" w:cs="Times New Roman"/>
              </w:rPr>
            </w:pPr>
            <w:r w:rsidRPr="007C5F35">
              <w:rPr>
                <w:rFonts w:ascii="Times New Roman" w:hAnsi="Times New Roman" w:cs="Times New Roman"/>
                <w:b/>
              </w:rPr>
              <w:t>2.</w:t>
            </w:r>
            <w:r w:rsidRPr="007D211F">
              <w:rPr>
                <w:rFonts w:ascii="Times New Roman" w:hAnsi="Times New Roman" w:cs="Times New Roman"/>
              </w:rPr>
              <w:t>Brak oddziału geriatrycznego w Lublinie.</w:t>
            </w:r>
          </w:p>
        </w:tc>
      </w:tr>
      <w:tr w:rsidR="002D4445" w:rsidRPr="007D211F" w14:paraId="7E5A4800" w14:textId="77777777" w:rsidTr="00E86509">
        <w:trPr>
          <w:trHeight w:val="250"/>
        </w:trPr>
        <w:tc>
          <w:tcPr>
            <w:tcW w:w="2830" w:type="dxa"/>
            <w:vMerge/>
            <w:shd w:val="clear" w:color="auto" w:fill="9CC2E5" w:themeFill="accent1" w:themeFillTint="99"/>
          </w:tcPr>
          <w:p w14:paraId="16C7018C" w14:textId="77777777" w:rsidR="002D4445" w:rsidRPr="007D211F" w:rsidRDefault="002D4445" w:rsidP="002D4445">
            <w:pPr>
              <w:spacing w:after="0" w:line="240" w:lineRule="auto"/>
              <w:rPr>
                <w:rFonts w:ascii="Times New Roman" w:hAnsi="Times New Roman" w:cs="Times New Roman"/>
                <w:b/>
                <w:bCs/>
                <w:lang w:eastAsia="pl-PL"/>
              </w:rPr>
            </w:pPr>
          </w:p>
        </w:tc>
        <w:tc>
          <w:tcPr>
            <w:tcW w:w="11911" w:type="dxa"/>
            <w:gridSpan w:val="8"/>
            <w:shd w:val="clear" w:color="auto" w:fill="FFFFFF" w:themeFill="background1"/>
          </w:tcPr>
          <w:p w14:paraId="6B93245C" w14:textId="77777777" w:rsidR="002D4445" w:rsidRPr="007D211F" w:rsidRDefault="002D4445" w:rsidP="002D4445">
            <w:pPr>
              <w:spacing w:after="0" w:line="240" w:lineRule="auto"/>
              <w:rPr>
                <w:rFonts w:ascii="Times New Roman" w:hAnsi="Times New Roman" w:cs="Times New Roman"/>
              </w:rPr>
            </w:pPr>
            <w:r w:rsidRPr="007C5F35">
              <w:rPr>
                <w:rFonts w:ascii="Times New Roman" w:hAnsi="Times New Roman" w:cs="Times New Roman"/>
                <w:b/>
              </w:rPr>
              <w:t>3.</w:t>
            </w:r>
            <w:r w:rsidRPr="007D211F">
              <w:rPr>
                <w:rFonts w:ascii="Times New Roman" w:hAnsi="Times New Roman" w:cs="Times New Roman"/>
              </w:rPr>
              <w:t>Brak wystarczającej liczby oddziałów geriatrycznych w województwie lubelskim oraz poradni geriatrycznych finansowanych ze środków NFZ.</w:t>
            </w:r>
          </w:p>
          <w:p w14:paraId="06E6C8B9" w14:textId="77777777" w:rsidR="002D4445" w:rsidRPr="007D211F" w:rsidRDefault="002D4445" w:rsidP="002D4445">
            <w:pPr>
              <w:spacing w:after="0" w:line="240" w:lineRule="auto"/>
              <w:rPr>
                <w:rFonts w:ascii="Times New Roman" w:hAnsi="Times New Roman" w:cs="Times New Roman"/>
              </w:rPr>
            </w:pPr>
            <w:r w:rsidRPr="007C5F35">
              <w:rPr>
                <w:rFonts w:ascii="Times New Roman" w:hAnsi="Times New Roman" w:cs="Times New Roman"/>
                <w:b/>
              </w:rPr>
              <w:t>4.</w:t>
            </w:r>
            <w:r w:rsidRPr="007D211F">
              <w:rPr>
                <w:rFonts w:ascii="Times New Roman" w:hAnsi="Times New Roman" w:cs="Times New Roman"/>
              </w:rPr>
              <w:t>Brak wykwalifikowanego personelu do pracy w opiece paliatywno-hospicyjnej.</w:t>
            </w:r>
          </w:p>
          <w:p w14:paraId="5EAF18E1" w14:textId="77777777" w:rsidR="002D4445" w:rsidRPr="007D211F" w:rsidRDefault="002D4445" w:rsidP="002D4445">
            <w:pPr>
              <w:spacing w:after="0" w:line="240" w:lineRule="auto"/>
              <w:rPr>
                <w:rFonts w:ascii="Times New Roman" w:hAnsi="Times New Roman" w:cs="Times New Roman"/>
              </w:rPr>
            </w:pPr>
            <w:r w:rsidRPr="007C5F35">
              <w:rPr>
                <w:rFonts w:ascii="Times New Roman" w:hAnsi="Times New Roman" w:cs="Times New Roman"/>
                <w:b/>
              </w:rPr>
              <w:t>5</w:t>
            </w:r>
            <w:r w:rsidRPr="007D211F">
              <w:rPr>
                <w:rFonts w:ascii="Times New Roman" w:hAnsi="Times New Roman" w:cs="Times New Roman"/>
              </w:rPr>
              <w:t>.Niewystarczjąca ilość specjalistów w dziedzinie medycyny paliatywnej – 16, natomiast realne po</w:t>
            </w:r>
            <w:r>
              <w:rPr>
                <w:rFonts w:ascii="Times New Roman" w:hAnsi="Times New Roman" w:cs="Times New Roman"/>
              </w:rPr>
              <w:t>trzeby wynoszą 70 specjalistów.</w:t>
            </w:r>
            <w:r w:rsidRPr="007D211F">
              <w:rPr>
                <w:rFonts w:ascii="Times New Roman" w:hAnsi="Times New Roman" w:cs="Times New Roman"/>
              </w:rPr>
              <w:t xml:space="preserve"> </w:t>
            </w:r>
          </w:p>
        </w:tc>
      </w:tr>
      <w:tr w:rsidR="002D4445" w:rsidRPr="007D211F" w14:paraId="70AFE672" w14:textId="77777777" w:rsidTr="00E86509">
        <w:trPr>
          <w:trHeight w:val="224"/>
        </w:trPr>
        <w:tc>
          <w:tcPr>
            <w:tcW w:w="14741" w:type="dxa"/>
            <w:gridSpan w:val="9"/>
            <w:shd w:val="clear" w:color="auto" w:fill="9CC2E5" w:themeFill="accent1" w:themeFillTint="99"/>
          </w:tcPr>
          <w:p w14:paraId="68892727"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lang w:eastAsia="pl-PL"/>
              </w:rPr>
              <w:t>AKTYWNOŚĆ EKONOMICZNA OSÓB STARSZYCH – DANE ZA 2019 R.</w:t>
            </w:r>
          </w:p>
        </w:tc>
      </w:tr>
      <w:tr w:rsidR="002D4445" w:rsidRPr="007D211F" w14:paraId="4E7B9630" w14:textId="77777777" w:rsidTr="00E86509">
        <w:trPr>
          <w:trHeight w:val="224"/>
        </w:trPr>
        <w:tc>
          <w:tcPr>
            <w:tcW w:w="6799" w:type="dxa"/>
            <w:gridSpan w:val="4"/>
            <w:shd w:val="clear" w:color="auto" w:fill="9CC2E5" w:themeFill="accent1" w:themeFillTint="99"/>
          </w:tcPr>
          <w:p w14:paraId="2728971B"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Podział</w:t>
            </w:r>
          </w:p>
        </w:tc>
        <w:tc>
          <w:tcPr>
            <w:tcW w:w="7942" w:type="dxa"/>
            <w:gridSpan w:val="5"/>
            <w:shd w:val="clear" w:color="auto" w:fill="9CC2E5" w:themeFill="accent1" w:themeFillTint="99"/>
          </w:tcPr>
          <w:p w14:paraId="5B39ABAB"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Liczba</w:t>
            </w:r>
          </w:p>
        </w:tc>
      </w:tr>
      <w:tr w:rsidR="002D4445" w:rsidRPr="007D211F" w14:paraId="224808E2" w14:textId="77777777" w:rsidTr="00E86509">
        <w:trPr>
          <w:trHeight w:val="224"/>
        </w:trPr>
        <w:tc>
          <w:tcPr>
            <w:tcW w:w="2830" w:type="dxa"/>
            <w:vMerge w:val="restart"/>
            <w:shd w:val="clear" w:color="auto" w:fill="9CC2E5" w:themeFill="accent1" w:themeFillTint="99"/>
          </w:tcPr>
          <w:p w14:paraId="763D8BD2"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Osoby aktywne zawodowo razem (w tys.)</w:t>
            </w:r>
          </w:p>
        </w:tc>
        <w:tc>
          <w:tcPr>
            <w:tcW w:w="3969" w:type="dxa"/>
            <w:gridSpan w:val="3"/>
            <w:shd w:val="clear" w:color="auto" w:fill="FFFFFF" w:themeFill="background1"/>
          </w:tcPr>
          <w:p w14:paraId="3229F612"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ogółem</w:t>
            </w:r>
          </w:p>
        </w:tc>
        <w:tc>
          <w:tcPr>
            <w:tcW w:w="7942" w:type="dxa"/>
            <w:gridSpan w:val="5"/>
            <w:shd w:val="clear" w:color="auto" w:fill="FFFFFF" w:themeFill="background1"/>
          </w:tcPr>
          <w:p w14:paraId="0ED1D0E8"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919</w:t>
            </w:r>
          </w:p>
        </w:tc>
      </w:tr>
      <w:tr w:rsidR="002D4445" w:rsidRPr="007D211F" w14:paraId="04EE50B2" w14:textId="77777777" w:rsidTr="00E86509">
        <w:trPr>
          <w:trHeight w:val="224"/>
        </w:trPr>
        <w:tc>
          <w:tcPr>
            <w:tcW w:w="2830" w:type="dxa"/>
            <w:vMerge/>
            <w:shd w:val="clear" w:color="auto" w:fill="9CC2E5" w:themeFill="accent1" w:themeFillTint="99"/>
          </w:tcPr>
          <w:p w14:paraId="40898D35"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77FB128D"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 tym w wieku 60+</w:t>
            </w:r>
          </w:p>
        </w:tc>
        <w:tc>
          <w:tcPr>
            <w:tcW w:w="7942" w:type="dxa"/>
            <w:gridSpan w:val="5"/>
            <w:shd w:val="clear" w:color="auto" w:fill="FFFFFF" w:themeFill="background1"/>
          </w:tcPr>
          <w:p w14:paraId="7603A56D"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b.d.</w:t>
            </w:r>
          </w:p>
        </w:tc>
      </w:tr>
      <w:tr w:rsidR="002D4445" w:rsidRPr="007D211F" w14:paraId="6BB3F3F8" w14:textId="77777777" w:rsidTr="00E86509">
        <w:trPr>
          <w:trHeight w:val="285"/>
        </w:trPr>
        <w:tc>
          <w:tcPr>
            <w:tcW w:w="2830" w:type="dxa"/>
            <w:vMerge w:val="restart"/>
            <w:shd w:val="clear" w:color="auto" w:fill="9CC2E5" w:themeFill="accent1" w:themeFillTint="99"/>
          </w:tcPr>
          <w:p w14:paraId="459A6726"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 xml:space="preserve">Osoby aktywne zawodowo </w:t>
            </w:r>
            <w:r w:rsidRPr="007D211F">
              <w:rPr>
                <w:rFonts w:ascii="Times New Roman" w:hAnsi="Times New Roman" w:cs="Times New Roman"/>
                <w:b/>
                <w:bCs/>
                <w:lang w:eastAsia="pl-PL"/>
              </w:rPr>
              <w:br/>
              <w:t>– pracujący (w tys.)</w:t>
            </w:r>
          </w:p>
        </w:tc>
        <w:tc>
          <w:tcPr>
            <w:tcW w:w="3969" w:type="dxa"/>
            <w:gridSpan w:val="3"/>
            <w:shd w:val="clear" w:color="auto" w:fill="FFFFFF" w:themeFill="background1"/>
          </w:tcPr>
          <w:p w14:paraId="4F73F645"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Ogółem</w:t>
            </w:r>
          </w:p>
        </w:tc>
        <w:tc>
          <w:tcPr>
            <w:tcW w:w="7942" w:type="dxa"/>
            <w:gridSpan w:val="5"/>
            <w:shd w:val="clear" w:color="auto" w:fill="FFFFFF" w:themeFill="background1"/>
          </w:tcPr>
          <w:p w14:paraId="2EBB8A43"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876</w:t>
            </w:r>
          </w:p>
        </w:tc>
      </w:tr>
      <w:tr w:rsidR="002D4445" w:rsidRPr="007D211F" w14:paraId="4D26B759" w14:textId="77777777" w:rsidTr="00E86509">
        <w:trPr>
          <w:trHeight w:val="284"/>
        </w:trPr>
        <w:tc>
          <w:tcPr>
            <w:tcW w:w="2830" w:type="dxa"/>
            <w:vMerge/>
            <w:shd w:val="clear" w:color="auto" w:fill="9CC2E5" w:themeFill="accent1" w:themeFillTint="99"/>
          </w:tcPr>
          <w:p w14:paraId="71A363CE"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2438D9A3"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 tym w wieku 60+</w:t>
            </w:r>
          </w:p>
        </w:tc>
        <w:tc>
          <w:tcPr>
            <w:tcW w:w="7942" w:type="dxa"/>
            <w:gridSpan w:val="5"/>
            <w:shd w:val="clear" w:color="auto" w:fill="FFFFFF" w:themeFill="background1"/>
          </w:tcPr>
          <w:p w14:paraId="3402092C"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b.d.</w:t>
            </w:r>
          </w:p>
        </w:tc>
      </w:tr>
      <w:tr w:rsidR="002D4445" w:rsidRPr="007D211F" w14:paraId="6AC4598A" w14:textId="77777777" w:rsidTr="00E86509">
        <w:trPr>
          <w:trHeight w:val="224"/>
        </w:trPr>
        <w:tc>
          <w:tcPr>
            <w:tcW w:w="2830" w:type="dxa"/>
            <w:vMerge w:val="restart"/>
            <w:shd w:val="clear" w:color="auto" w:fill="9CC2E5" w:themeFill="accent1" w:themeFillTint="99"/>
          </w:tcPr>
          <w:p w14:paraId="6154AD6B"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Osoby bierne zawodowo (w tys.)</w:t>
            </w:r>
          </w:p>
        </w:tc>
        <w:tc>
          <w:tcPr>
            <w:tcW w:w="3969" w:type="dxa"/>
            <w:gridSpan w:val="3"/>
            <w:shd w:val="clear" w:color="auto" w:fill="FFFFFF" w:themeFill="background1"/>
          </w:tcPr>
          <w:p w14:paraId="088DC4C8"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ogółem</w:t>
            </w:r>
          </w:p>
        </w:tc>
        <w:tc>
          <w:tcPr>
            <w:tcW w:w="7942" w:type="dxa"/>
            <w:gridSpan w:val="5"/>
            <w:shd w:val="clear" w:color="auto" w:fill="FFFFFF" w:themeFill="background1"/>
          </w:tcPr>
          <w:p w14:paraId="41C2D724"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755</w:t>
            </w:r>
          </w:p>
        </w:tc>
      </w:tr>
      <w:tr w:rsidR="002D4445" w:rsidRPr="007D211F" w14:paraId="52D17999" w14:textId="77777777" w:rsidTr="00E86509">
        <w:trPr>
          <w:trHeight w:val="224"/>
        </w:trPr>
        <w:tc>
          <w:tcPr>
            <w:tcW w:w="2830" w:type="dxa"/>
            <w:vMerge/>
            <w:shd w:val="clear" w:color="auto" w:fill="9CC2E5" w:themeFill="accent1" w:themeFillTint="99"/>
          </w:tcPr>
          <w:p w14:paraId="09ABFEB1"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26569402"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 tym w wieku 60+</w:t>
            </w:r>
          </w:p>
        </w:tc>
        <w:tc>
          <w:tcPr>
            <w:tcW w:w="7942" w:type="dxa"/>
            <w:gridSpan w:val="5"/>
            <w:shd w:val="clear" w:color="auto" w:fill="FFFFFF" w:themeFill="background1"/>
          </w:tcPr>
          <w:p w14:paraId="6278E40C"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b.d.</w:t>
            </w:r>
          </w:p>
        </w:tc>
      </w:tr>
      <w:tr w:rsidR="002D4445" w:rsidRPr="007D211F" w14:paraId="785CDC61" w14:textId="77777777" w:rsidTr="00E86509">
        <w:trPr>
          <w:trHeight w:val="285"/>
        </w:trPr>
        <w:tc>
          <w:tcPr>
            <w:tcW w:w="2830" w:type="dxa"/>
            <w:vMerge w:val="restart"/>
            <w:shd w:val="clear" w:color="auto" w:fill="9CC2E5" w:themeFill="accent1" w:themeFillTint="99"/>
          </w:tcPr>
          <w:p w14:paraId="4932C93C"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Współczynnik aktywności zawodowej %</w:t>
            </w:r>
          </w:p>
        </w:tc>
        <w:tc>
          <w:tcPr>
            <w:tcW w:w="3969" w:type="dxa"/>
            <w:gridSpan w:val="3"/>
            <w:shd w:val="clear" w:color="auto" w:fill="FFFFFF" w:themeFill="background1"/>
          </w:tcPr>
          <w:p w14:paraId="3C5ED6CB"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Ogółem</w:t>
            </w:r>
          </w:p>
        </w:tc>
        <w:tc>
          <w:tcPr>
            <w:tcW w:w="7942" w:type="dxa"/>
            <w:gridSpan w:val="5"/>
            <w:shd w:val="clear" w:color="auto" w:fill="FFFFFF" w:themeFill="background1"/>
          </w:tcPr>
          <w:p w14:paraId="1D62F4FA"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54,9</w:t>
            </w:r>
          </w:p>
        </w:tc>
      </w:tr>
      <w:tr w:rsidR="002D4445" w:rsidRPr="007D211F" w14:paraId="05444BE7" w14:textId="77777777" w:rsidTr="00E86509">
        <w:trPr>
          <w:trHeight w:val="284"/>
        </w:trPr>
        <w:tc>
          <w:tcPr>
            <w:tcW w:w="2830" w:type="dxa"/>
            <w:vMerge/>
            <w:shd w:val="clear" w:color="auto" w:fill="9CC2E5" w:themeFill="accent1" w:themeFillTint="99"/>
          </w:tcPr>
          <w:p w14:paraId="1D7F72F8"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3D6A6624"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 tym w wieku 60+</w:t>
            </w:r>
          </w:p>
        </w:tc>
        <w:tc>
          <w:tcPr>
            <w:tcW w:w="7942" w:type="dxa"/>
            <w:gridSpan w:val="5"/>
            <w:shd w:val="clear" w:color="auto" w:fill="FFFFFF" w:themeFill="background1"/>
          </w:tcPr>
          <w:p w14:paraId="35DD48F2"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b.d.</w:t>
            </w:r>
          </w:p>
        </w:tc>
      </w:tr>
      <w:tr w:rsidR="002D4445" w:rsidRPr="007D211F" w14:paraId="3546E486" w14:textId="77777777" w:rsidTr="00E86509">
        <w:trPr>
          <w:trHeight w:val="143"/>
        </w:trPr>
        <w:tc>
          <w:tcPr>
            <w:tcW w:w="2830" w:type="dxa"/>
            <w:vMerge w:val="restart"/>
            <w:shd w:val="clear" w:color="auto" w:fill="9CC2E5" w:themeFill="accent1" w:themeFillTint="99"/>
          </w:tcPr>
          <w:p w14:paraId="2820842F"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Wskaźnik zatrudnienia %</w:t>
            </w:r>
          </w:p>
        </w:tc>
        <w:tc>
          <w:tcPr>
            <w:tcW w:w="3969" w:type="dxa"/>
            <w:gridSpan w:val="3"/>
            <w:shd w:val="clear" w:color="auto" w:fill="FFFFFF" w:themeFill="background1"/>
          </w:tcPr>
          <w:p w14:paraId="027BB973"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ogółem</w:t>
            </w:r>
          </w:p>
        </w:tc>
        <w:tc>
          <w:tcPr>
            <w:tcW w:w="7942" w:type="dxa"/>
            <w:gridSpan w:val="5"/>
            <w:shd w:val="clear" w:color="auto" w:fill="FFFFFF" w:themeFill="background1"/>
          </w:tcPr>
          <w:p w14:paraId="5F8610FF"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52,4</w:t>
            </w:r>
          </w:p>
        </w:tc>
      </w:tr>
      <w:tr w:rsidR="002D4445" w:rsidRPr="007D211F" w14:paraId="3A3A0437" w14:textId="77777777" w:rsidTr="00E86509">
        <w:trPr>
          <w:trHeight w:val="142"/>
        </w:trPr>
        <w:tc>
          <w:tcPr>
            <w:tcW w:w="2830" w:type="dxa"/>
            <w:vMerge/>
            <w:shd w:val="clear" w:color="auto" w:fill="9CC2E5" w:themeFill="accent1" w:themeFillTint="99"/>
          </w:tcPr>
          <w:p w14:paraId="7BB9CA02"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2187AD0F"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 tym w wieku 60+</w:t>
            </w:r>
          </w:p>
        </w:tc>
        <w:tc>
          <w:tcPr>
            <w:tcW w:w="7942" w:type="dxa"/>
            <w:gridSpan w:val="5"/>
            <w:shd w:val="clear" w:color="auto" w:fill="FFFFFF" w:themeFill="background1"/>
          </w:tcPr>
          <w:p w14:paraId="6D06D583"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b.d.</w:t>
            </w:r>
          </w:p>
        </w:tc>
      </w:tr>
      <w:tr w:rsidR="002D4445" w:rsidRPr="007D211F" w14:paraId="4C38DFD8" w14:textId="77777777" w:rsidTr="00E86509">
        <w:trPr>
          <w:trHeight w:val="282"/>
        </w:trPr>
        <w:tc>
          <w:tcPr>
            <w:tcW w:w="2830" w:type="dxa"/>
            <w:vMerge w:val="restart"/>
            <w:shd w:val="clear" w:color="auto" w:fill="9CC2E5" w:themeFill="accent1" w:themeFillTint="99"/>
          </w:tcPr>
          <w:p w14:paraId="5EC0951C"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 xml:space="preserve">Osoby bierne zawodowo  w wieku 60 lat i więcej według wybranych </w:t>
            </w:r>
            <w:r w:rsidRPr="007D211F">
              <w:rPr>
                <w:rFonts w:ascii="Times New Roman" w:hAnsi="Times New Roman" w:cs="Times New Roman"/>
                <w:b/>
                <w:bCs/>
                <w:lang w:eastAsia="pl-PL"/>
              </w:rPr>
              <w:lastRenderedPageBreak/>
              <w:t xml:space="preserve">przyczyn bierności </w:t>
            </w:r>
            <w:r w:rsidRPr="007D211F">
              <w:rPr>
                <w:rFonts w:ascii="Times New Roman" w:hAnsi="Times New Roman" w:cs="Times New Roman"/>
                <w:b/>
                <w:bCs/>
                <w:lang w:eastAsia="pl-PL"/>
              </w:rPr>
              <w:br/>
              <w:t>(w tys.)</w:t>
            </w:r>
          </w:p>
        </w:tc>
        <w:tc>
          <w:tcPr>
            <w:tcW w:w="3969" w:type="dxa"/>
            <w:gridSpan w:val="3"/>
            <w:shd w:val="clear" w:color="auto" w:fill="FFFFFF" w:themeFill="background1"/>
          </w:tcPr>
          <w:p w14:paraId="1D2538ED"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lastRenderedPageBreak/>
              <w:t>ogółem</w:t>
            </w:r>
          </w:p>
        </w:tc>
        <w:tc>
          <w:tcPr>
            <w:tcW w:w="7942" w:type="dxa"/>
            <w:gridSpan w:val="5"/>
            <w:shd w:val="clear" w:color="auto" w:fill="FFFFFF" w:themeFill="background1"/>
          </w:tcPr>
          <w:p w14:paraId="3805A933"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b.d.</w:t>
            </w:r>
          </w:p>
        </w:tc>
      </w:tr>
      <w:tr w:rsidR="002D4445" w:rsidRPr="007D211F" w14:paraId="786262E7" w14:textId="77777777" w:rsidTr="00E86509">
        <w:trPr>
          <w:trHeight w:val="280"/>
        </w:trPr>
        <w:tc>
          <w:tcPr>
            <w:tcW w:w="2830" w:type="dxa"/>
            <w:vMerge/>
            <w:shd w:val="clear" w:color="auto" w:fill="9CC2E5" w:themeFill="accent1" w:themeFillTint="99"/>
          </w:tcPr>
          <w:p w14:paraId="3CF044E6" w14:textId="77777777" w:rsidR="002D4445" w:rsidRPr="007D211F" w:rsidRDefault="002D4445" w:rsidP="002D4445">
            <w:pPr>
              <w:spacing w:after="0" w:line="240" w:lineRule="auto"/>
              <w:rPr>
                <w:rFonts w:ascii="Times New Roman" w:hAnsi="Times New Roman" w:cs="Times New Roman"/>
                <w:b/>
                <w:bCs/>
                <w:lang w:eastAsia="pl-PL"/>
              </w:rPr>
            </w:pPr>
          </w:p>
        </w:tc>
        <w:tc>
          <w:tcPr>
            <w:tcW w:w="11911" w:type="dxa"/>
            <w:gridSpan w:val="8"/>
            <w:shd w:val="clear" w:color="auto" w:fill="9CC2E5" w:themeFill="accent1" w:themeFillTint="99"/>
          </w:tcPr>
          <w:p w14:paraId="689006D1"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 tym:</w:t>
            </w:r>
          </w:p>
        </w:tc>
      </w:tr>
      <w:tr w:rsidR="002D4445" w:rsidRPr="007D211F" w14:paraId="1DE6F69B" w14:textId="77777777" w:rsidTr="00E86509">
        <w:trPr>
          <w:trHeight w:val="280"/>
        </w:trPr>
        <w:tc>
          <w:tcPr>
            <w:tcW w:w="2830" w:type="dxa"/>
            <w:vMerge/>
            <w:shd w:val="clear" w:color="auto" w:fill="9CC2E5" w:themeFill="accent1" w:themeFillTint="99"/>
          </w:tcPr>
          <w:p w14:paraId="71793618"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521D326D" w14:textId="77777777" w:rsidR="002D4445" w:rsidRPr="007D211F" w:rsidRDefault="002D4445" w:rsidP="002D4445">
            <w:pPr>
              <w:spacing w:after="0" w:line="240" w:lineRule="auto"/>
              <w:rPr>
                <w:rFonts w:ascii="Times New Roman" w:hAnsi="Times New Roman" w:cs="Times New Roman"/>
                <w:lang w:eastAsia="pl-PL"/>
              </w:rPr>
            </w:pPr>
            <w:r w:rsidRPr="007D211F">
              <w:rPr>
                <w:rFonts w:ascii="Times New Roman" w:hAnsi="Times New Roman" w:cs="Times New Roman"/>
                <w:lang w:eastAsia="pl-PL"/>
              </w:rPr>
              <w:t>osoby nieposzukujące pracy - razem</w:t>
            </w:r>
          </w:p>
        </w:tc>
        <w:tc>
          <w:tcPr>
            <w:tcW w:w="7942" w:type="dxa"/>
            <w:gridSpan w:val="5"/>
            <w:shd w:val="clear" w:color="auto" w:fill="FFFFFF" w:themeFill="background1"/>
          </w:tcPr>
          <w:p w14:paraId="4524553E"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b.d.</w:t>
            </w:r>
          </w:p>
        </w:tc>
      </w:tr>
      <w:tr w:rsidR="002D4445" w:rsidRPr="007D211F" w14:paraId="75725EEE" w14:textId="77777777" w:rsidTr="00E86509">
        <w:trPr>
          <w:trHeight w:val="280"/>
        </w:trPr>
        <w:tc>
          <w:tcPr>
            <w:tcW w:w="2830" w:type="dxa"/>
            <w:vMerge/>
            <w:shd w:val="clear" w:color="auto" w:fill="9CC2E5" w:themeFill="accent1" w:themeFillTint="99"/>
          </w:tcPr>
          <w:p w14:paraId="408F4BEF"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5460EF6F"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lang w:eastAsia="pl-PL"/>
              </w:rPr>
              <w:t>osoby nieposzukujące pracy - emerytura</w:t>
            </w:r>
          </w:p>
        </w:tc>
        <w:tc>
          <w:tcPr>
            <w:tcW w:w="7942" w:type="dxa"/>
            <w:gridSpan w:val="5"/>
            <w:shd w:val="clear" w:color="auto" w:fill="FFFFFF" w:themeFill="background1"/>
          </w:tcPr>
          <w:p w14:paraId="25CE4679"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b.d.</w:t>
            </w:r>
          </w:p>
        </w:tc>
      </w:tr>
      <w:tr w:rsidR="002D4445" w:rsidRPr="007D211F" w14:paraId="77FA2FA1" w14:textId="77777777" w:rsidTr="00E86509">
        <w:trPr>
          <w:trHeight w:val="280"/>
        </w:trPr>
        <w:tc>
          <w:tcPr>
            <w:tcW w:w="2830" w:type="dxa"/>
            <w:vMerge/>
            <w:shd w:val="clear" w:color="auto" w:fill="9CC2E5" w:themeFill="accent1" w:themeFillTint="99"/>
          </w:tcPr>
          <w:p w14:paraId="3FB0BB89"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7A173FF9"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lang w:eastAsia="pl-PL"/>
              </w:rPr>
              <w:t>osoby nieposzukujące pracy - choroba, niepełnosprawność</w:t>
            </w:r>
          </w:p>
        </w:tc>
        <w:tc>
          <w:tcPr>
            <w:tcW w:w="7942" w:type="dxa"/>
            <w:gridSpan w:val="5"/>
            <w:shd w:val="clear" w:color="auto" w:fill="FFFFFF" w:themeFill="background1"/>
          </w:tcPr>
          <w:p w14:paraId="68FE1F0D"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b.d.</w:t>
            </w:r>
          </w:p>
        </w:tc>
      </w:tr>
      <w:tr w:rsidR="002D4445" w:rsidRPr="007D211F" w14:paraId="5B32D91F" w14:textId="77777777" w:rsidTr="00E86509">
        <w:trPr>
          <w:trHeight w:val="285"/>
        </w:trPr>
        <w:tc>
          <w:tcPr>
            <w:tcW w:w="2830" w:type="dxa"/>
            <w:vMerge w:val="restart"/>
            <w:shd w:val="clear" w:color="auto" w:fill="9CC2E5" w:themeFill="accent1" w:themeFillTint="99"/>
          </w:tcPr>
          <w:p w14:paraId="540221A2"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Osoby bezrobotne zarejestrowane w urzędach pracy (w tys.)</w:t>
            </w:r>
          </w:p>
        </w:tc>
        <w:tc>
          <w:tcPr>
            <w:tcW w:w="3969" w:type="dxa"/>
            <w:gridSpan w:val="3"/>
            <w:shd w:val="clear" w:color="auto" w:fill="FFFFFF" w:themeFill="background1"/>
          </w:tcPr>
          <w:p w14:paraId="70D11E4A"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ogółem</w:t>
            </w:r>
          </w:p>
        </w:tc>
        <w:tc>
          <w:tcPr>
            <w:tcW w:w="7942" w:type="dxa"/>
            <w:gridSpan w:val="5"/>
            <w:shd w:val="clear" w:color="auto" w:fill="FFFFFF" w:themeFill="background1"/>
          </w:tcPr>
          <w:p w14:paraId="2183DFF1"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69.379</w:t>
            </w:r>
          </w:p>
        </w:tc>
      </w:tr>
      <w:tr w:rsidR="002D4445" w:rsidRPr="007D211F" w14:paraId="773B6E80" w14:textId="77777777" w:rsidTr="00E86509">
        <w:trPr>
          <w:trHeight w:val="284"/>
        </w:trPr>
        <w:tc>
          <w:tcPr>
            <w:tcW w:w="2830" w:type="dxa"/>
            <w:vMerge/>
            <w:shd w:val="clear" w:color="auto" w:fill="9CC2E5" w:themeFill="accent1" w:themeFillTint="99"/>
          </w:tcPr>
          <w:p w14:paraId="48C0596C"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163351F0"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 tym w wieku 60+</w:t>
            </w:r>
          </w:p>
        </w:tc>
        <w:tc>
          <w:tcPr>
            <w:tcW w:w="7942" w:type="dxa"/>
            <w:gridSpan w:val="5"/>
            <w:shd w:val="clear" w:color="auto" w:fill="FFFFFF" w:themeFill="background1"/>
          </w:tcPr>
          <w:p w14:paraId="49DB2586"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4041</w:t>
            </w:r>
          </w:p>
        </w:tc>
      </w:tr>
      <w:tr w:rsidR="002D4445" w:rsidRPr="007D211F" w14:paraId="1739697F" w14:textId="77777777" w:rsidTr="00E86509">
        <w:trPr>
          <w:trHeight w:val="191"/>
        </w:trPr>
        <w:tc>
          <w:tcPr>
            <w:tcW w:w="2830" w:type="dxa"/>
            <w:vMerge w:val="restart"/>
            <w:shd w:val="clear" w:color="auto" w:fill="9CC2E5" w:themeFill="accent1" w:themeFillTint="99"/>
          </w:tcPr>
          <w:p w14:paraId="3E0B2920"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 xml:space="preserve">Osoby pobierające renty </w:t>
            </w:r>
            <w:r w:rsidRPr="007D211F">
              <w:rPr>
                <w:rFonts w:ascii="Times New Roman" w:hAnsi="Times New Roman" w:cs="Times New Roman"/>
                <w:b/>
                <w:bCs/>
                <w:lang w:eastAsia="pl-PL"/>
              </w:rPr>
              <w:br/>
              <w:t xml:space="preserve">i emerytury </w:t>
            </w:r>
          </w:p>
        </w:tc>
        <w:tc>
          <w:tcPr>
            <w:tcW w:w="11911" w:type="dxa"/>
            <w:gridSpan w:val="8"/>
            <w:shd w:val="clear" w:color="auto" w:fill="9CC2E5" w:themeFill="accent1" w:themeFillTint="99"/>
          </w:tcPr>
          <w:p w14:paraId="4D357795" w14:textId="77777777" w:rsidR="002D4445" w:rsidRPr="007D211F" w:rsidRDefault="002D4445" w:rsidP="002D4445">
            <w:pPr>
              <w:tabs>
                <w:tab w:val="left" w:pos="1725"/>
                <w:tab w:val="center" w:pos="2363"/>
              </w:tabs>
              <w:spacing w:after="0" w:line="240" w:lineRule="auto"/>
              <w:jc w:val="center"/>
              <w:rPr>
                <w:rFonts w:ascii="Times New Roman" w:hAnsi="Times New Roman" w:cs="Times New Roman"/>
                <w:b/>
                <w:bCs/>
              </w:rPr>
            </w:pPr>
            <w:r w:rsidRPr="007D211F">
              <w:rPr>
                <w:rFonts w:ascii="Times New Roman" w:hAnsi="Times New Roman" w:cs="Times New Roman"/>
                <w:b/>
                <w:bCs/>
              </w:rPr>
              <w:t>ZUS</w:t>
            </w:r>
          </w:p>
        </w:tc>
      </w:tr>
      <w:tr w:rsidR="002D4445" w:rsidRPr="007D211F" w14:paraId="38D4ACC0" w14:textId="77777777" w:rsidTr="00E86509">
        <w:trPr>
          <w:trHeight w:val="189"/>
        </w:trPr>
        <w:tc>
          <w:tcPr>
            <w:tcW w:w="2830" w:type="dxa"/>
            <w:vMerge/>
            <w:shd w:val="clear" w:color="auto" w:fill="9CC2E5" w:themeFill="accent1" w:themeFillTint="99"/>
          </w:tcPr>
          <w:p w14:paraId="1090E2DD"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9CC2E5" w:themeFill="accent1" w:themeFillTint="99"/>
          </w:tcPr>
          <w:p w14:paraId="215BF4D4"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Rodzaj świadczenia</w:t>
            </w:r>
          </w:p>
        </w:tc>
        <w:tc>
          <w:tcPr>
            <w:tcW w:w="7942" w:type="dxa"/>
            <w:gridSpan w:val="5"/>
            <w:shd w:val="clear" w:color="auto" w:fill="9CC2E5" w:themeFill="accent1" w:themeFillTint="99"/>
          </w:tcPr>
          <w:p w14:paraId="5FCC39DD"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Przeciętna miesięczna liczba emerytów i rencistów (w tys.</w:t>
            </w:r>
            <w:r w:rsidRPr="007D211F">
              <w:rPr>
                <w:rFonts w:ascii="Times New Roman" w:hAnsi="Times New Roman" w:cs="Times New Roman"/>
                <w:b/>
                <w:bCs/>
                <w:vertAlign w:val="superscript"/>
              </w:rPr>
              <w:t>*</w:t>
            </w:r>
            <w:r w:rsidRPr="007D211F">
              <w:rPr>
                <w:rFonts w:ascii="Times New Roman" w:hAnsi="Times New Roman" w:cs="Times New Roman"/>
                <w:b/>
                <w:bCs/>
              </w:rPr>
              <w:t>)</w:t>
            </w:r>
          </w:p>
        </w:tc>
      </w:tr>
      <w:tr w:rsidR="002D4445" w:rsidRPr="007D211F" w14:paraId="2A7950FB" w14:textId="77777777" w:rsidTr="00E86509">
        <w:trPr>
          <w:trHeight w:val="143"/>
        </w:trPr>
        <w:tc>
          <w:tcPr>
            <w:tcW w:w="2830" w:type="dxa"/>
            <w:vMerge/>
            <w:shd w:val="clear" w:color="auto" w:fill="9CC2E5" w:themeFill="accent1" w:themeFillTint="99"/>
          </w:tcPr>
          <w:p w14:paraId="51F416F1"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1C21098C"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Emerytury</w:t>
            </w:r>
          </w:p>
        </w:tc>
        <w:tc>
          <w:tcPr>
            <w:tcW w:w="7942" w:type="dxa"/>
            <w:gridSpan w:val="5"/>
            <w:shd w:val="clear" w:color="auto" w:fill="FFFFFF" w:themeFill="background1"/>
          </w:tcPr>
          <w:p w14:paraId="3A780C36"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283,0</w:t>
            </w:r>
          </w:p>
        </w:tc>
      </w:tr>
      <w:tr w:rsidR="002D4445" w:rsidRPr="007D211F" w14:paraId="342E2890" w14:textId="77777777" w:rsidTr="00E86509">
        <w:trPr>
          <w:trHeight w:val="142"/>
        </w:trPr>
        <w:tc>
          <w:tcPr>
            <w:tcW w:w="2830" w:type="dxa"/>
            <w:vMerge/>
            <w:shd w:val="clear" w:color="auto" w:fill="9CC2E5" w:themeFill="accent1" w:themeFillTint="99"/>
          </w:tcPr>
          <w:p w14:paraId="0B246D1A"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0F7A2F9A" w14:textId="77777777" w:rsidR="002D4445" w:rsidRPr="007D211F" w:rsidRDefault="002D4445" w:rsidP="002D4445">
            <w:pPr>
              <w:spacing w:after="0" w:line="240" w:lineRule="auto"/>
              <w:rPr>
                <w:rFonts w:ascii="Times New Roman" w:hAnsi="Times New Roman" w:cs="Times New Roman"/>
                <w:vertAlign w:val="superscript"/>
              </w:rPr>
            </w:pPr>
            <w:r w:rsidRPr="007D211F">
              <w:rPr>
                <w:rFonts w:ascii="Times New Roman" w:hAnsi="Times New Roman" w:cs="Times New Roman"/>
              </w:rPr>
              <w:t>Renty z tytułu niezdolności do pracy</w:t>
            </w:r>
            <w:r w:rsidRPr="007D211F">
              <w:rPr>
                <w:rFonts w:ascii="Times New Roman" w:hAnsi="Times New Roman" w:cs="Times New Roman"/>
                <w:vertAlign w:val="superscript"/>
              </w:rPr>
              <w:t>**</w:t>
            </w:r>
          </w:p>
        </w:tc>
        <w:tc>
          <w:tcPr>
            <w:tcW w:w="7942" w:type="dxa"/>
            <w:gridSpan w:val="5"/>
            <w:shd w:val="clear" w:color="auto" w:fill="FFFFFF" w:themeFill="background1"/>
          </w:tcPr>
          <w:p w14:paraId="5D80E06A"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22,2</w:t>
            </w:r>
          </w:p>
        </w:tc>
      </w:tr>
      <w:tr w:rsidR="002D4445" w:rsidRPr="007D211F" w14:paraId="7F7B0904" w14:textId="77777777" w:rsidTr="00E86509">
        <w:trPr>
          <w:trHeight w:val="142"/>
        </w:trPr>
        <w:tc>
          <w:tcPr>
            <w:tcW w:w="2830" w:type="dxa"/>
            <w:vMerge/>
            <w:shd w:val="clear" w:color="auto" w:fill="9CC2E5" w:themeFill="accent1" w:themeFillTint="99"/>
          </w:tcPr>
          <w:p w14:paraId="69D6DEEC"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7332EFEE"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Renty rodzinne (liczba osób uprawnionych do renty rodzinnej)</w:t>
            </w:r>
          </w:p>
          <w:p w14:paraId="042B6265"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t>
            </w:r>
          </w:p>
        </w:tc>
        <w:tc>
          <w:tcPr>
            <w:tcW w:w="7942" w:type="dxa"/>
            <w:gridSpan w:val="5"/>
            <w:shd w:val="clear" w:color="auto" w:fill="FFFFFF" w:themeFill="background1"/>
          </w:tcPr>
          <w:p w14:paraId="0F6A6395"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42,7</w:t>
            </w:r>
          </w:p>
        </w:tc>
      </w:tr>
      <w:tr w:rsidR="002D4445" w:rsidRPr="007D211F" w14:paraId="6E020C69" w14:textId="77777777" w:rsidTr="00E86509">
        <w:trPr>
          <w:trHeight w:val="142"/>
        </w:trPr>
        <w:tc>
          <w:tcPr>
            <w:tcW w:w="2830" w:type="dxa"/>
            <w:vMerge/>
            <w:shd w:val="clear" w:color="auto" w:fill="9CC2E5" w:themeFill="accent1" w:themeFillTint="99"/>
          </w:tcPr>
          <w:p w14:paraId="2E15E001" w14:textId="77777777" w:rsidR="002D4445" w:rsidRPr="007D211F" w:rsidRDefault="002D4445" w:rsidP="002D4445">
            <w:pPr>
              <w:spacing w:after="0" w:line="240" w:lineRule="auto"/>
              <w:rPr>
                <w:rFonts w:ascii="Times New Roman" w:hAnsi="Times New Roman" w:cs="Times New Roman"/>
                <w:b/>
                <w:bCs/>
                <w:lang w:eastAsia="pl-PL"/>
              </w:rPr>
            </w:pPr>
          </w:p>
        </w:tc>
        <w:tc>
          <w:tcPr>
            <w:tcW w:w="11911" w:type="dxa"/>
            <w:gridSpan w:val="8"/>
            <w:shd w:val="clear" w:color="auto" w:fill="FFFFFF" w:themeFill="background1"/>
          </w:tcPr>
          <w:tbl>
            <w:tblPr>
              <w:tblW w:w="11744" w:type="dxa"/>
              <w:tblLayout w:type="fixed"/>
              <w:tblCellMar>
                <w:left w:w="70" w:type="dxa"/>
                <w:right w:w="70" w:type="dxa"/>
              </w:tblCellMar>
              <w:tblLook w:val="0000" w:firstRow="0" w:lastRow="0" w:firstColumn="0" w:lastColumn="0" w:noHBand="0" w:noVBand="0"/>
            </w:tblPr>
            <w:tblGrid>
              <w:gridCol w:w="11744"/>
            </w:tblGrid>
            <w:tr w:rsidR="002D4445" w:rsidRPr="007D211F" w14:paraId="52B0B8AF" w14:textId="77777777" w:rsidTr="0041794D">
              <w:trPr>
                <w:trHeight w:val="307"/>
              </w:trPr>
              <w:tc>
                <w:tcPr>
                  <w:tcW w:w="11744" w:type="dxa"/>
                  <w:noWrap/>
                  <w:vAlign w:val="center"/>
                </w:tcPr>
                <w:p w14:paraId="183F6274" w14:textId="77777777" w:rsidR="002D4445" w:rsidRPr="007D211F" w:rsidRDefault="002D4445" w:rsidP="00CE49CD">
                  <w:pPr>
                    <w:framePr w:hSpace="142" w:wrap="around" w:vAnchor="text" w:hAnchor="margin" w:xAlign="center" w:y="1"/>
                    <w:spacing w:after="0" w:line="240" w:lineRule="auto"/>
                    <w:suppressOverlap/>
                    <w:jc w:val="both"/>
                    <w:rPr>
                      <w:rFonts w:ascii="Times New Roman" w:hAnsi="Times New Roman" w:cs="Times New Roman"/>
                      <w:i/>
                      <w:iCs/>
                      <w:lang w:eastAsia="pl-PL"/>
                    </w:rPr>
                  </w:pPr>
                  <w:r w:rsidRPr="007D211F">
                    <w:rPr>
                      <w:rFonts w:ascii="Times New Roman" w:hAnsi="Times New Roman" w:cs="Times New Roman"/>
                    </w:rPr>
                    <w:t>*</w:t>
                  </w:r>
                  <w:r w:rsidRPr="007D211F">
                    <w:rPr>
                      <w:rFonts w:ascii="Times New Roman" w:hAnsi="Times New Roman" w:cs="Times New Roman"/>
                      <w:vertAlign w:val="superscript"/>
                    </w:rPr>
                    <w:t>)</w:t>
                  </w:r>
                  <w:r w:rsidRPr="007D211F">
                    <w:rPr>
                      <w:rFonts w:ascii="Times New Roman" w:hAnsi="Times New Roman" w:cs="Times New Roman"/>
                    </w:rPr>
                    <w:t xml:space="preserve"> </w:t>
                  </w:r>
                  <w:r w:rsidRPr="007D211F">
                    <w:rPr>
                      <w:rFonts w:ascii="Times New Roman" w:hAnsi="Times New Roman" w:cs="Times New Roman"/>
                      <w:i/>
                      <w:iCs/>
                      <w:lang w:eastAsia="pl-PL"/>
                    </w:rPr>
                    <w:t xml:space="preserve"> </w:t>
                  </w:r>
                  <w:r w:rsidRPr="007D211F">
                    <w:rPr>
                      <w:rFonts w:ascii="Times New Roman" w:hAnsi="Times New Roman" w:cs="Times New Roman"/>
                      <w:lang w:eastAsia="pl-PL"/>
                    </w:rPr>
                    <w:t>bez osób pobierających świadczenia na mocy umów międzynarodowych oraz bez osób mających również</w:t>
                  </w:r>
                  <w:r w:rsidRPr="007D211F">
                    <w:rPr>
                      <w:rFonts w:ascii="Times New Roman" w:hAnsi="Times New Roman" w:cs="Times New Roman"/>
                      <w:vertAlign w:val="superscript"/>
                      <w:lang w:eastAsia="pl-PL"/>
                    </w:rPr>
                    <w:t xml:space="preserve"> </w:t>
                  </w:r>
                  <w:r w:rsidRPr="007D211F">
                    <w:rPr>
                      <w:rFonts w:ascii="Times New Roman" w:hAnsi="Times New Roman" w:cs="Times New Roman"/>
                      <w:lang w:eastAsia="pl-PL"/>
                    </w:rPr>
                    <w:t xml:space="preserve">   prawo do świadczenia rolniczego; dane bezpośrednio z badania świadczeń emerytalno-rentowych; bez emerytur pomostowych.</w:t>
                  </w:r>
                </w:p>
              </w:tc>
            </w:tr>
            <w:tr w:rsidR="002D4445" w:rsidRPr="007D211F" w14:paraId="706022B2" w14:textId="77777777" w:rsidTr="0041794D">
              <w:trPr>
                <w:trHeight w:val="261"/>
              </w:trPr>
              <w:tc>
                <w:tcPr>
                  <w:tcW w:w="11744" w:type="dxa"/>
                  <w:noWrap/>
                  <w:vAlign w:val="center"/>
                </w:tcPr>
                <w:p w14:paraId="60A9E26C" w14:textId="77777777" w:rsidR="002D4445" w:rsidRPr="007D211F" w:rsidRDefault="002D4445" w:rsidP="00CE49CD">
                  <w:pPr>
                    <w:framePr w:hSpace="142" w:wrap="around" w:vAnchor="text" w:hAnchor="margin" w:xAlign="center" w:y="1"/>
                    <w:spacing w:after="0" w:line="240" w:lineRule="auto"/>
                    <w:suppressOverlap/>
                    <w:jc w:val="both"/>
                    <w:rPr>
                      <w:rFonts w:ascii="Times New Roman" w:hAnsi="Times New Roman" w:cs="Times New Roman"/>
                      <w:i/>
                      <w:iCs/>
                      <w:lang w:eastAsia="pl-PL"/>
                    </w:rPr>
                  </w:pPr>
                  <w:r w:rsidRPr="007D211F">
                    <w:rPr>
                      <w:rFonts w:ascii="Times New Roman" w:hAnsi="Times New Roman" w:cs="Times New Roman"/>
                      <w:i/>
                      <w:iCs/>
                      <w:lang w:eastAsia="pl-PL"/>
                    </w:rPr>
                    <w:t xml:space="preserve"> **</w:t>
                  </w:r>
                  <w:r w:rsidRPr="007D211F">
                    <w:rPr>
                      <w:rFonts w:ascii="Times New Roman" w:hAnsi="Times New Roman" w:cs="Times New Roman"/>
                      <w:i/>
                      <w:iCs/>
                      <w:vertAlign w:val="superscript"/>
                      <w:lang w:eastAsia="pl-PL"/>
                    </w:rPr>
                    <w:t>)</w:t>
                  </w:r>
                  <w:r w:rsidRPr="007D211F">
                    <w:rPr>
                      <w:rFonts w:ascii="Times New Roman" w:hAnsi="Times New Roman" w:cs="Times New Roman"/>
                      <w:i/>
                      <w:iCs/>
                      <w:lang w:eastAsia="pl-PL"/>
                    </w:rPr>
                    <w:t xml:space="preserve">   </w:t>
                  </w:r>
                  <w:r w:rsidRPr="007D211F">
                    <w:rPr>
                      <w:rFonts w:ascii="Times New Roman" w:hAnsi="Times New Roman" w:cs="Times New Roman"/>
                      <w:lang w:eastAsia="pl-PL"/>
                    </w:rPr>
                    <w:t xml:space="preserve">w przypadku zbiegu uprawnień do emerytury i renty z tytułu niezdolności do pracy oraz wypłacania 1,5 świadczenia, np. pełnej renty wypadkowej z tytułu niezdolności do pracy i połowy emerytury, w powyższym zestawieniu świadczeniobiorca występuje tylko raz – jako rencista </w:t>
                  </w:r>
                </w:p>
              </w:tc>
            </w:tr>
          </w:tbl>
          <w:p w14:paraId="33200239" w14:textId="77777777" w:rsidR="002D4445" w:rsidRPr="007D211F" w:rsidRDefault="002D4445" w:rsidP="002D4445">
            <w:pPr>
              <w:spacing w:after="0" w:line="240" w:lineRule="auto"/>
              <w:rPr>
                <w:rFonts w:ascii="Times New Roman" w:hAnsi="Times New Roman" w:cs="Times New Roman"/>
              </w:rPr>
            </w:pPr>
          </w:p>
        </w:tc>
      </w:tr>
      <w:tr w:rsidR="002D4445" w:rsidRPr="007D211F" w14:paraId="43556344" w14:textId="77777777" w:rsidTr="00E86509">
        <w:trPr>
          <w:trHeight w:val="284"/>
        </w:trPr>
        <w:tc>
          <w:tcPr>
            <w:tcW w:w="2830" w:type="dxa"/>
            <w:vMerge/>
            <w:shd w:val="clear" w:color="auto" w:fill="9CC2E5" w:themeFill="accent1" w:themeFillTint="99"/>
          </w:tcPr>
          <w:p w14:paraId="5FA311D4" w14:textId="77777777" w:rsidR="002D4445" w:rsidRPr="007D211F" w:rsidRDefault="002D4445" w:rsidP="002D4445">
            <w:pPr>
              <w:spacing w:after="0" w:line="240" w:lineRule="auto"/>
              <w:rPr>
                <w:rFonts w:ascii="Times New Roman" w:hAnsi="Times New Roman" w:cs="Times New Roman"/>
                <w:b/>
                <w:bCs/>
                <w:lang w:eastAsia="pl-PL"/>
              </w:rPr>
            </w:pPr>
          </w:p>
        </w:tc>
        <w:tc>
          <w:tcPr>
            <w:tcW w:w="11911" w:type="dxa"/>
            <w:gridSpan w:val="8"/>
            <w:shd w:val="clear" w:color="auto" w:fill="9CC2E5" w:themeFill="accent1" w:themeFillTint="99"/>
          </w:tcPr>
          <w:p w14:paraId="0DEFCB42" w14:textId="77777777" w:rsidR="002D4445" w:rsidRPr="007D211F" w:rsidRDefault="002D4445" w:rsidP="002D4445">
            <w:pPr>
              <w:tabs>
                <w:tab w:val="left" w:pos="1507"/>
                <w:tab w:val="center" w:pos="2363"/>
              </w:tabs>
              <w:spacing w:after="0" w:line="240" w:lineRule="auto"/>
              <w:jc w:val="center"/>
              <w:rPr>
                <w:rFonts w:ascii="Times New Roman" w:hAnsi="Times New Roman" w:cs="Times New Roman"/>
                <w:b/>
                <w:bCs/>
              </w:rPr>
            </w:pPr>
            <w:r w:rsidRPr="007D211F">
              <w:rPr>
                <w:rFonts w:ascii="Times New Roman" w:hAnsi="Times New Roman" w:cs="Times New Roman"/>
                <w:b/>
                <w:bCs/>
              </w:rPr>
              <w:t>KRUS</w:t>
            </w:r>
          </w:p>
        </w:tc>
      </w:tr>
      <w:tr w:rsidR="002D4445" w:rsidRPr="007D211F" w14:paraId="44B86B80" w14:textId="77777777" w:rsidTr="00E86509">
        <w:trPr>
          <w:trHeight w:val="81"/>
        </w:trPr>
        <w:tc>
          <w:tcPr>
            <w:tcW w:w="2830" w:type="dxa"/>
            <w:vMerge/>
            <w:shd w:val="clear" w:color="auto" w:fill="9CC2E5" w:themeFill="accent1" w:themeFillTint="99"/>
          </w:tcPr>
          <w:p w14:paraId="3DCDFBB3"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9CC2E5" w:themeFill="accent1" w:themeFillTint="99"/>
          </w:tcPr>
          <w:p w14:paraId="223DCD42"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Rodzaj świadczenia</w:t>
            </w:r>
          </w:p>
        </w:tc>
        <w:tc>
          <w:tcPr>
            <w:tcW w:w="7942" w:type="dxa"/>
            <w:gridSpan w:val="5"/>
            <w:shd w:val="clear" w:color="auto" w:fill="9CC2E5" w:themeFill="accent1" w:themeFillTint="99"/>
          </w:tcPr>
          <w:p w14:paraId="37F81E8A"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Przeciętna miesięczna liczba emerytów i rencistów (w tys.)</w:t>
            </w:r>
          </w:p>
        </w:tc>
      </w:tr>
      <w:tr w:rsidR="002D4445" w:rsidRPr="007D211F" w14:paraId="280982CF" w14:textId="77777777" w:rsidTr="00E86509">
        <w:trPr>
          <w:trHeight w:val="79"/>
        </w:trPr>
        <w:tc>
          <w:tcPr>
            <w:tcW w:w="2830" w:type="dxa"/>
            <w:vMerge/>
            <w:shd w:val="clear" w:color="auto" w:fill="9CC2E5" w:themeFill="accent1" w:themeFillTint="99"/>
          </w:tcPr>
          <w:p w14:paraId="7200DF65"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268713FD"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Emerytury</w:t>
            </w:r>
          </w:p>
        </w:tc>
        <w:tc>
          <w:tcPr>
            <w:tcW w:w="7942" w:type="dxa"/>
            <w:gridSpan w:val="5"/>
            <w:shd w:val="clear" w:color="auto" w:fill="FFFFFF" w:themeFill="background1"/>
          </w:tcPr>
          <w:p w14:paraId="271692C6"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107,8</w:t>
            </w:r>
          </w:p>
        </w:tc>
      </w:tr>
      <w:tr w:rsidR="002D4445" w:rsidRPr="007D211F" w14:paraId="016966C6" w14:textId="77777777" w:rsidTr="00E86509">
        <w:trPr>
          <w:trHeight w:val="79"/>
        </w:trPr>
        <w:tc>
          <w:tcPr>
            <w:tcW w:w="2830" w:type="dxa"/>
            <w:vMerge/>
            <w:shd w:val="clear" w:color="auto" w:fill="9CC2E5" w:themeFill="accent1" w:themeFillTint="99"/>
          </w:tcPr>
          <w:p w14:paraId="0FEC009D"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6BE05076"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Renty z tytułu niezdolności do pracy</w:t>
            </w:r>
          </w:p>
        </w:tc>
        <w:tc>
          <w:tcPr>
            <w:tcW w:w="7942" w:type="dxa"/>
            <w:gridSpan w:val="5"/>
            <w:shd w:val="clear" w:color="auto" w:fill="FFFFFF" w:themeFill="background1"/>
          </w:tcPr>
          <w:p w14:paraId="177BBF5F"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13,7</w:t>
            </w:r>
          </w:p>
        </w:tc>
      </w:tr>
      <w:tr w:rsidR="002D4445" w:rsidRPr="007D211F" w14:paraId="156ABFE1" w14:textId="77777777" w:rsidTr="00E86509">
        <w:trPr>
          <w:trHeight w:val="79"/>
        </w:trPr>
        <w:tc>
          <w:tcPr>
            <w:tcW w:w="2830" w:type="dxa"/>
            <w:vMerge/>
            <w:shd w:val="clear" w:color="auto" w:fill="9CC2E5" w:themeFill="accent1" w:themeFillTint="99"/>
          </w:tcPr>
          <w:p w14:paraId="43986371" w14:textId="77777777" w:rsidR="002D4445" w:rsidRPr="007D211F" w:rsidRDefault="002D4445" w:rsidP="002D4445">
            <w:pPr>
              <w:spacing w:after="0" w:line="240" w:lineRule="auto"/>
              <w:rPr>
                <w:rFonts w:ascii="Times New Roman" w:hAnsi="Times New Roman" w:cs="Times New Roman"/>
                <w:b/>
                <w:bCs/>
                <w:lang w:eastAsia="pl-PL"/>
              </w:rPr>
            </w:pPr>
          </w:p>
        </w:tc>
        <w:tc>
          <w:tcPr>
            <w:tcW w:w="3969" w:type="dxa"/>
            <w:gridSpan w:val="3"/>
            <w:shd w:val="clear" w:color="auto" w:fill="FFFFFF" w:themeFill="background1"/>
          </w:tcPr>
          <w:p w14:paraId="482BB1A8"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Renty rodzinne</w:t>
            </w:r>
          </w:p>
        </w:tc>
        <w:tc>
          <w:tcPr>
            <w:tcW w:w="7942" w:type="dxa"/>
            <w:gridSpan w:val="5"/>
            <w:shd w:val="clear" w:color="auto" w:fill="FFFFFF" w:themeFill="background1"/>
          </w:tcPr>
          <w:p w14:paraId="4F4B4389"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1,2</w:t>
            </w:r>
          </w:p>
        </w:tc>
      </w:tr>
      <w:tr w:rsidR="002D4445" w:rsidRPr="007D211F" w14:paraId="01FCCAC2" w14:textId="77777777" w:rsidTr="00E86509">
        <w:trPr>
          <w:trHeight w:val="79"/>
        </w:trPr>
        <w:tc>
          <w:tcPr>
            <w:tcW w:w="14741" w:type="dxa"/>
            <w:gridSpan w:val="9"/>
            <w:shd w:val="clear" w:color="auto" w:fill="9CC2E5" w:themeFill="accent1" w:themeFillTint="99"/>
          </w:tcPr>
          <w:p w14:paraId="3B4FDDCD"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SYTUACJA DOCHODOWA, WARUNKI BYTU, W TYM WARUNKI MIESZKANIOWE – DANE ZA 2019 R,</w:t>
            </w:r>
          </w:p>
        </w:tc>
      </w:tr>
      <w:tr w:rsidR="002D4445" w:rsidRPr="007D211F" w14:paraId="112D64DB" w14:textId="77777777" w:rsidTr="00E86509">
        <w:trPr>
          <w:trHeight w:val="79"/>
        </w:trPr>
        <w:tc>
          <w:tcPr>
            <w:tcW w:w="14741" w:type="dxa"/>
            <w:gridSpan w:val="9"/>
            <w:shd w:val="clear" w:color="auto" w:fill="FFFFFF" w:themeFill="background1"/>
          </w:tcPr>
          <w:p w14:paraId="59FB1A50" w14:textId="77777777" w:rsidR="002D4445" w:rsidRPr="007D211F" w:rsidRDefault="002D4445" w:rsidP="002D4445">
            <w:pPr>
              <w:spacing w:after="0" w:line="240" w:lineRule="auto"/>
              <w:rPr>
                <w:rFonts w:ascii="Times New Roman" w:hAnsi="Times New Roman" w:cs="Times New Roman"/>
                <w:b/>
                <w:bCs/>
              </w:rPr>
            </w:pPr>
            <w:r w:rsidRPr="007D211F">
              <w:rPr>
                <w:rFonts w:ascii="Times New Roman" w:hAnsi="Times New Roman" w:cs="Times New Roman"/>
              </w:rPr>
              <w:t>W województwie lubelskim sytuacja dochodowa osób starszych przedstawia się następująco: bez dochodów pozostawało - 2 012  osób, dochody poniżej kryterium dochodowego (odpowiednio dla rodziny 528 zł i osób samotnie gospodarujących 701 zł)  posiadały 2 694 osoby,  dochody w przedziale 1000 – 1500 zł  uzyskało  3 017 osób,  dochody w przedziale 1 501 -2 500 zł uzyskały 2 243 osoby, dochody powyżej 2500 zł  uzyskały 383 osoby. W zakresie warunków bytowych , w tym mieszkaniowych na terenie województwa lubelskiego nie były prowadzone badania.</w:t>
            </w:r>
          </w:p>
        </w:tc>
      </w:tr>
      <w:tr w:rsidR="002D4445" w:rsidRPr="007D211F" w14:paraId="589916C2" w14:textId="77777777" w:rsidTr="00E86509">
        <w:trPr>
          <w:trHeight w:val="79"/>
        </w:trPr>
        <w:tc>
          <w:tcPr>
            <w:tcW w:w="14741" w:type="dxa"/>
            <w:gridSpan w:val="9"/>
            <w:shd w:val="clear" w:color="auto" w:fill="9CC2E5" w:themeFill="accent1" w:themeFillTint="99"/>
          </w:tcPr>
          <w:p w14:paraId="1582DE5B"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USŁUGI SPOŁECZNE DLA OSÓB STARSZYCH / INFRASTRUKTURA POMOCY SPOLECZNEJ – DANE ZA 2019 R.</w:t>
            </w:r>
          </w:p>
        </w:tc>
      </w:tr>
      <w:tr w:rsidR="002D4445" w:rsidRPr="007D211F" w14:paraId="457EB7AF" w14:textId="77777777" w:rsidTr="00E86509">
        <w:trPr>
          <w:trHeight w:val="79"/>
        </w:trPr>
        <w:tc>
          <w:tcPr>
            <w:tcW w:w="2830" w:type="dxa"/>
            <w:vMerge w:val="restart"/>
            <w:shd w:val="clear" w:color="auto" w:fill="9CC2E5" w:themeFill="accent1" w:themeFillTint="99"/>
          </w:tcPr>
          <w:p w14:paraId="040AF82E"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Instytucje pomocy społecznej, w tym:</w:t>
            </w:r>
          </w:p>
        </w:tc>
        <w:tc>
          <w:tcPr>
            <w:tcW w:w="3066" w:type="dxa"/>
            <w:shd w:val="clear" w:color="auto" w:fill="9CC2E5" w:themeFill="accent1" w:themeFillTint="99"/>
          </w:tcPr>
          <w:p w14:paraId="33DFBF2C"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Rodzaj placówki</w:t>
            </w:r>
          </w:p>
        </w:tc>
        <w:tc>
          <w:tcPr>
            <w:tcW w:w="2948" w:type="dxa"/>
            <w:gridSpan w:val="3"/>
            <w:shd w:val="clear" w:color="auto" w:fill="9CC2E5" w:themeFill="accent1" w:themeFillTint="99"/>
          </w:tcPr>
          <w:p w14:paraId="29B5D93F"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Liczba placówek</w:t>
            </w:r>
          </w:p>
        </w:tc>
        <w:tc>
          <w:tcPr>
            <w:tcW w:w="2948" w:type="dxa"/>
            <w:gridSpan w:val="3"/>
            <w:shd w:val="clear" w:color="auto" w:fill="9CC2E5" w:themeFill="accent1" w:themeFillTint="99"/>
          </w:tcPr>
          <w:p w14:paraId="405C0CB2"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Liczba miejsc dla osób starszych</w:t>
            </w:r>
          </w:p>
        </w:tc>
        <w:tc>
          <w:tcPr>
            <w:tcW w:w="2949" w:type="dxa"/>
            <w:shd w:val="clear" w:color="auto" w:fill="9CC2E5" w:themeFill="accent1" w:themeFillTint="99"/>
          </w:tcPr>
          <w:p w14:paraId="265FD518"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Liczba korzystających osób starszych</w:t>
            </w:r>
          </w:p>
        </w:tc>
      </w:tr>
      <w:tr w:rsidR="002D4445" w:rsidRPr="007D211F" w14:paraId="043DA7C2" w14:textId="77777777" w:rsidTr="00E86509">
        <w:trPr>
          <w:trHeight w:val="79"/>
        </w:trPr>
        <w:tc>
          <w:tcPr>
            <w:tcW w:w="2830" w:type="dxa"/>
            <w:vMerge/>
          </w:tcPr>
          <w:p w14:paraId="295996BB"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tcPr>
          <w:p w14:paraId="6CF85BD2"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Ośrodki wsparcia ogółem</w:t>
            </w:r>
          </w:p>
        </w:tc>
        <w:tc>
          <w:tcPr>
            <w:tcW w:w="2948" w:type="dxa"/>
            <w:gridSpan w:val="3"/>
          </w:tcPr>
          <w:p w14:paraId="0EE789F8"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144</w:t>
            </w:r>
          </w:p>
        </w:tc>
        <w:tc>
          <w:tcPr>
            <w:tcW w:w="2948" w:type="dxa"/>
            <w:gridSpan w:val="3"/>
          </w:tcPr>
          <w:p w14:paraId="63A49A2D"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c>
          <w:tcPr>
            <w:tcW w:w="2949" w:type="dxa"/>
          </w:tcPr>
          <w:p w14:paraId="3CBB9B32"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68A868A5" w14:textId="77777777" w:rsidTr="00E86509">
        <w:trPr>
          <w:trHeight w:val="79"/>
        </w:trPr>
        <w:tc>
          <w:tcPr>
            <w:tcW w:w="2830" w:type="dxa"/>
            <w:vMerge/>
            <w:shd w:val="clear" w:color="auto" w:fill="DEEAF6"/>
          </w:tcPr>
          <w:p w14:paraId="4C5961BE" w14:textId="77777777" w:rsidR="002D4445" w:rsidRPr="007D211F" w:rsidRDefault="002D4445" w:rsidP="002D4445">
            <w:pPr>
              <w:spacing w:after="0" w:line="240" w:lineRule="auto"/>
              <w:rPr>
                <w:rFonts w:ascii="Times New Roman" w:hAnsi="Times New Roman" w:cs="Times New Roman"/>
                <w:b/>
                <w:bCs/>
                <w:lang w:eastAsia="pl-PL"/>
              </w:rPr>
            </w:pPr>
          </w:p>
        </w:tc>
        <w:tc>
          <w:tcPr>
            <w:tcW w:w="11911" w:type="dxa"/>
            <w:gridSpan w:val="8"/>
            <w:shd w:val="clear" w:color="auto" w:fill="9CC2E5" w:themeFill="accent1" w:themeFillTint="99"/>
          </w:tcPr>
          <w:p w14:paraId="1C078C91" w14:textId="77777777" w:rsidR="002D4445" w:rsidRPr="007D211F" w:rsidRDefault="002D4445" w:rsidP="002D4445">
            <w:pPr>
              <w:spacing w:after="0" w:line="240" w:lineRule="auto"/>
              <w:rPr>
                <w:rFonts w:ascii="Times New Roman" w:hAnsi="Times New Roman" w:cs="Times New Roman"/>
                <w:b/>
                <w:bCs/>
              </w:rPr>
            </w:pPr>
            <w:r w:rsidRPr="007D211F">
              <w:rPr>
                <w:rFonts w:ascii="Times New Roman" w:hAnsi="Times New Roman" w:cs="Times New Roman"/>
              </w:rPr>
              <w:t>w tym:</w:t>
            </w:r>
          </w:p>
        </w:tc>
      </w:tr>
      <w:tr w:rsidR="002D4445" w:rsidRPr="007D211F" w14:paraId="68C274EB" w14:textId="77777777" w:rsidTr="00E86509">
        <w:trPr>
          <w:trHeight w:val="79"/>
        </w:trPr>
        <w:tc>
          <w:tcPr>
            <w:tcW w:w="2830" w:type="dxa"/>
            <w:vMerge/>
          </w:tcPr>
          <w:p w14:paraId="1FC37735"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tcPr>
          <w:p w14:paraId="28C0E9FF"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Środowiskowe Domy Samopomocy</w:t>
            </w:r>
          </w:p>
        </w:tc>
        <w:tc>
          <w:tcPr>
            <w:tcW w:w="2948" w:type="dxa"/>
            <w:gridSpan w:val="3"/>
          </w:tcPr>
          <w:p w14:paraId="0BDDA8E4"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56</w:t>
            </w:r>
          </w:p>
        </w:tc>
        <w:tc>
          <w:tcPr>
            <w:tcW w:w="2948" w:type="dxa"/>
            <w:gridSpan w:val="3"/>
          </w:tcPr>
          <w:p w14:paraId="51A4F0B8"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c>
          <w:tcPr>
            <w:tcW w:w="2949" w:type="dxa"/>
          </w:tcPr>
          <w:p w14:paraId="3FB39E08"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14E69B45" w14:textId="77777777" w:rsidTr="00E86509">
        <w:trPr>
          <w:trHeight w:val="79"/>
        </w:trPr>
        <w:tc>
          <w:tcPr>
            <w:tcW w:w="2830" w:type="dxa"/>
            <w:vMerge/>
            <w:shd w:val="clear" w:color="auto" w:fill="DEEAF6"/>
          </w:tcPr>
          <w:p w14:paraId="070C3750"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7AB2A6AA"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Dzienne Domy Pomocy</w:t>
            </w:r>
          </w:p>
        </w:tc>
        <w:tc>
          <w:tcPr>
            <w:tcW w:w="2948" w:type="dxa"/>
            <w:gridSpan w:val="3"/>
            <w:shd w:val="clear" w:color="auto" w:fill="FFFFFF" w:themeFill="background1"/>
          </w:tcPr>
          <w:p w14:paraId="32B0C736"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14</w:t>
            </w:r>
          </w:p>
        </w:tc>
        <w:tc>
          <w:tcPr>
            <w:tcW w:w="2948" w:type="dxa"/>
            <w:gridSpan w:val="3"/>
            <w:shd w:val="clear" w:color="auto" w:fill="FFFFFF" w:themeFill="background1"/>
          </w:tcPr>
          <w:p w14:paraId="42D73B68"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c>
          <w:tcPr>
            <w:tcW w:w="2949" w:type="dxa"/>
            <w:shd w:val="clear" w:color="auto" w:fill="FFFFFF" w:themeFill="background1"/>
          </w:tcPr>
          <w:p w14:paraId="560EE7FC"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704F411D" w14:textId="77777777" w:rsidTr="00E86509">
        <w:trPr>
          <w:trHeight w:val="79"/>
        </w:trPr>
        <w:tc>
          <w:tcPr>
            <w:tcW w:w="2830" w:type="dxa"/>
            <w:vMerge/>
          </w:tcPr>
          <w:p w14:paraId="6DDF6F0B"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2FB3F60E"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Noclegownie, schroniska i domy dla osób bezdomnych</w:t>
            </w:r>
          </w:p>
        </w:tc>
        <w:tc>
          <w:tcPr>
            <w:tcW w:w="2948" w:type="dxa"/>
            <w:gridSpan w:val="3"/>
            <w:shd w:val="clear" w:color="auto" w:fill="FFFFFF" w:themeFill="background1"/>
          </w:tcPr>
          <w:p w14:paraId="25F330B5"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10</w:t>
            </w:r>
          </w:p>
        </w:tc>
        <w:tc>
          <w:tcPr>
            <w:tcW w:w="2948" w:type="dxa"/>
            <w:gridSpan w:val="3"/>
            <w:shd w:val="clear" w:color="auto" w:fill="FFFFFF" w:themeFill="background1"/>
          </w:tcPr>
          <w:p w14:paraId="7DA05D60"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c>
          <w:tcPr>
            <w:tcW w:w="2949" w:type="dxa"/>
            <w:shd w:val="clear" w:color="auto" w:fill="FFFFFF" w:themeFill="background1"/>
          </w:tcPr>
          <w:p w14:paraId="0C2B32F9"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6C0D8ADD" w14:textId="77777777" w:rsidTr="00E86509">
        <w:trPr>
          <w:trHeight w:val="79"/>
        </w:trPr>
        <w:tc>
          <w:tcPr>
            <w:tcW w:w="2830" w:type="dxa"/>
            <w:vMerge/>
            <w:shd w:val="clear" w:color="auto" w:fill="DEEAF6"/>
          </w:tcPr>
          <w:p w14:paraId="2B81DA64"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2FA3F4B0"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Ogrzewalnie</w:t>
            </w:r>
          </w:p>
        </w:tc>
        <w:tc>
          <w:tcPr>
            <w:tcW w:w="2948" w:type="dxa"/>
            <w:gridSpan w:val="3"/>
            <w:shd w:val="clear" w:color="auto" w:fill="FFFFFF" w:themeFill="background1"/>
          </w:tcPr>
          <w:p w14:paraId="3FEECCEB"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6</w:t>
            </w:r>
          </w:p>
        </w:tc>
        <w:tc>
          <w:tcPr>
            <w:tcW w:w="2948" w:type="dxa"/>
            <w:gridSpan w:val="3"/>
            <w:shd w:val="clear" w:color="auto" w:fill="FFFFFF" w:themeFill="background1"/>
          </w:tcPr>
          <w:p w14:paraId="47382A10"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c>
          <w:tcPr>
            <w:tcW w:w="2949" w:type="dxa"/>
            <w:shd w:val="clear" w:color="auto" w:fill="FFFFFF" w:themeFill="background1"/>
          </w:tcPr>
          <w:p w14:paraId="50B287B8"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6E4EBE9D" w14:textId="77777777" w:rsidTr="00E86509">
        <w:trPr>
          <w:trHeight w:val="79"/>
        </w:trPr>
        <w:tc>
          <w:tcPr>
            <w:tcW w:w="2830" w:type="dxa"/>
            <w:vMerge/>
          </w:tcPr>
          <w:p w14:paraId="5E952523"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1ABE9C70"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Kluby Samopomocy</w:t>
            </w:r>
          </w:p>
        </w:tc>
        <w:tc>
          <w:tcPr>
            <w:tcW w:w="2948" w:type="dxa"/>
            <w:gridSpan w:val="3"/>
            <w:shd w:val="clear" w:color="auto" w:fill="FFFFFF" w:themeFill="background1"/>
          </w:tcPr>
          <w:p w14:paraId="1D843DAC"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30</w:t>
            </w:r>
          </w:p>
        </w:tc>
        <w:tc>
          <w:tcPr>
            <w:tcW w:w="2948" w:type="dxa"/>
            <w:gridSpan w:val="3"/>
            <w:shd w:val="clear" w:color="auto" w:fill="FFFFFF" w:themeFill="background1"/>
          </w:tcPr>
          <w:p w14:paraId="753E9FCF"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c>
          <w:tcPr>
            <w:tcW w:w="2949" w:type="dxa"/>
            <w:shd w:val="clear" w:color="auto" w:fill="FFFFFF" w:themeFill="background1"/>
          </w:tcPr>
          <w:p w14:paraId="7E85CE78"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453E37E7" w14:textId="77777777" w:rsidTr="00E86509">
        <w:trPr>
          <w:trHeight w:val="79"/>
        </w:trPr>
        <w:tc>
          <w:tcPr>
            <w:tcW w:w="2830" w:type="dxa"/>
            <w:vMerge/>
            <w:shd w:val="clear" w:color="auto" w:fill="DEEAF6"/>
          </w:tcPr>
          <w:p w14:paraId="5DF371F6"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5F67DDFB"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Placówki zapewniające całodobową opiekę osobom niepełnosprawnym, przewlekle chorym lub osobom w podeszłym wieku</w:t>
            </w:r>
          </w:p>
        </w:tc>
        <w:tc>
          <w:tcPr>
            <w:tcW w:w="2948" w:type="dxa"/>
            <w:gridSpan w:val="3"/>
            <w:shd w:val="clear" w:color="auto" w:fill="FFFFFF" w:themeFill="background1"/>
          </w:tcPr>
          <w:p w14:paraId="2EBBCA70"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18</w:t>
            </w:r>
          </w:p>
        </w:tc>
        <w:tc>
          <w:tcPr>
            <w:tcW w:w="2948" w:type="dxa"/>
            <w:gridSpan w:val="3"/>
            <w:shd w:val="clear" w:color="auto" w:fill="FFFFFF" w:themeFill="background1"/>
          </w:tcPr>
          <w:p w14:paraId="755205DF"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c>
          <w:tcPr>
            <w:tcW w:w="2949" w:type="dxa"/>
            <w:shd w:val="clear" w:color="auto" w:fill="FFFFFF" w:themeFill="background1"/>
          </w:tcPr>
          <w:p w14:paraId="66B83E63"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1034FDE5" w14:textId="77777777" w:rsidTr="00E86509">
        <w:trPr>
          <w:trHeight w:val="79"/>
        </w:trPr>
        <w:tc>
          <w:tcPr>
            <w:tcW w:w="2830" w:type="dxa"/>
            <w:vMerge/>
          </w:tcPr>
          <w:p w14:paraId="7EF36DE2"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5BCB768E"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Domy Pomocy Społecznej</w:t>
            </w:r>
          </w:p>
        </w:tc>
        <w:tc>
          <w:tcPr>
            <w:tcW w:w="2948" w:type="dxa"/>
            <w:gridSpan w:val="3"/>
            <w:shd w:val="clear" w:color="auto" w:fill="FFFFFF" w:themeFill="background1"/>
          </w:tcPr>
          <w:p w14:paraId="278FFE61"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44</w:t>
            </w:r>
          </w:p>
        </w:tc>
        <w:tc>
          <w:tcPr>
            <w:tcW w:w="2948" w:type="dxa"/>
            <w:gridSpan w:val="3"/>
            <w:shd w:val="clear" w:color="auto" w:fill="FFFFFF" w:themeFill="background1"/>
          </w:tcPr>
          <w:p w14:paraId="5A1E8C14" w14:textId="77777777" w:rsidR="002D4445" w:rsidRPr="00EA01AF" w:rsidRDefault="002D4445" w:rsidP="002D4445">
            <w:pPr>
              <w:spacing w:after="0" w:line="240" w:lineRule="auto"/>
              <w:jc w:val="center"/>
              <w:rPr>
                <w:rFonts w:ascii="Times New Roman" w:hAnsi="Times New Roman" w:cs="Times New Roman"/>
              </w:rPr>
            </w:pPr>
            <w:r w:rsidRPr="00EA01AF">
              <w:rPr>
                <w:rFonts w:ascii="Times New Roman" w:hAnsi="Times New Roman" w:cs="Times New Roman"/>
              </w:rPr>
              <w:t>* ze względu na mieszane  typy domów liczba miejsc jest dostosowywana do potrzeb (ruchoma)</w:t>
            </w:r>
          </w:p>
        </w:tc>
        <w:tc>
          <w:tcPr>
            <w:tcW w:w="2949" w:type="dxa"/>
            <w:shd w:val="clear" w:color="auto" w:fill="FFFFFF" w:themeFill="background1"/>
          </w:tcPr>
          <w:p w14:paraId="60F0C7FC"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2651</w:t>
            </w:r>
          </w:p>
        </w:tc>
      </w:tr>
      <w:tr w:rsidR="002D4445" w:rsidRPr="007D211F" w14:paraId="5980963E" w14:textId="77777777" w:rsidTr="00E86509">
        <w:trPr>
          <w:trHeight w:val="79"/>
        </w:trPr>
        <w:tc>
          <w:tcPr>
            <w:tcW w:w="2830" w:type="dxa"/>
            <w:vMerge/>
            <w:shd w:val="clear" w:color="auto" w:fill="DEEAF6"/>
          </w:tcPr>
          <w:p w14:paraId="5BFCEA85"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10BDD03A"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Mieszkania chronione ogółem</w:t>
            </w:r>
          </w:p>
        </w:tc>
        <w:tc>
          <w:tcPr>
            <w:tcW w:w="2948" w:type="dxa"/>
            <w:gridSpan w:val="3"/>
            <w:shd w:val="clear" w:color="auto" w:fill="FFFFFF" w:themeFill="background1"/>
          </w:tcPr>
          <w:p w14:paraId="5CEA07BA"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68</w:t>
            </w:r>
          </w:p>
        </w:tc>
        <w:tc>
          <w:tcPr>
            <w:tcW w:w="2948" w:type="dxa"/>
            <w:gridSpan w:val="3"/>
            <w:shd w:val="clear" w:color="auto" w:fill="FFFFFF" w:themeFill="background1"/>
          </w:tcPr>
          <w:p w14:paraId="19374F6D"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c>
          <w:tcPr>
            <w:tcW w:w="2949" w:type="dxa"/>
            <w:shd w:val="clear" w:color="auto" w:fill="FFFFFF" w:themeFill="background1"/>
          </w:tcPr>
          <w:p w14:paraId="79EECECD"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685E56D0" w14:textId="77777777" w:rsidTr="00E86509">
        <w:trPr>
          <w:trHeight w:val="79"/>
        </w:trPr>
        <w:tc>
          <w:tcPr>
            <w:tcW w:w="2830" w:type="dxa"/>
            <w:vMerge/>
          </w:tcPr>
          <w:p w14:paraId="3510A775"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5AF512A9"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Ośrodki Interwencji Kryzysowej ogółem</w:t>
            </w:r>
          </w:p>
        </w:tc>
        <w:tc>
          <w:tcPr>
            <w:tcW w:w="2948" w:type="dxa"/>
            <w:gridSpan w:val="3"/>
            <w:shd w:val="clear" w:color="auto" w:fill="FFFFFF" w:themeFill="background1"/>
          </w:tcPr>
          <w:p w14:paraId="06D9D176"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10</w:t>
            </w:r>
          </w:p>
        </w:tc>
        <w:tc>
          <w:tcPr>
            <w:tcW w:w="2948" w:type="dxa"/>
            <w:gridSpan w:val="3"/>
            <w:shd w:val="clear" w:color="auto" w:fill="FFFFFF" w:themeFill="background1"/>
          </w:tcPr>
          <w:p w14:paraId="6D455D34"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c>
          <w:tcPr>
            <w:tcW w:w="2949" w:type="dxa"/>
            <w:shd w:val="clear" w:color="auto" w:fill="FFFFFF" w:themeFill="background1"/>
          </w:tcPr>
          <w:p w14:paraId="19157CB8"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7562BBAB" w14:textId="77777777" w:rsidTr="00E86509">
        <w:trPr>
          <w:trHeight w:val="79"/>
        </w:trPr>
        <w:tc>
          <w:tcPr>
            <w:tcW w:w="2830" w:type="dxa"/>
            <w:vMerge/>
            <w:shd w:val="clear" w:color="auto" w:fill="DEEAF6"/>
          </w:tcPr>
          <w:p w14:paraId="06355DB5"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48588AB2"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Jednostki specjalistycznego poradnictwa</w:t>
            </w:r>
          </w:p>
        </w:tc>
        <w:tc>
          <w:tcPr>
            <w:tcW w:w="2948" w:type="dxa"/>
            <w:gridSpan w:val="3"/>
            <w:shd w:val="clear" w:color="auto" w:fill="FFFFFF" w:themeFill="background1"/>
          </w:tcPr>
          <w:p w14:paraId="07CDB35F"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11</w:t>
            </w:r>
          </w:p>
        </w:tc>
        <w:tc>
          <w:tcPr>
            <w:tcW w:w="2948" w:type="dxa"/>
            <w:gridSpan w:val="3"/>
            <w:shd w:val="clear" w:color="auto" w:fill="FFFFFF" w:themeFill="background1"/>
          </w:tcPr>
          <w:p w14:paraId="7966FBC8"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c>
          <w:tcPr>
            <w:tcW w:w="2949" w:type="dxa"/>
            <w:shd w:val="clear" w:color="auto" w:fill="FFFFFF" w:themeFill="background1"/>
          </w:tcPr>
          <w:p w14:paraId="7ED6114D"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13460224" w14:textId="77777777" w:rsidTr="00E86509">
        <w:trPr>
          <w:trHeight w:val="79"/>
        </w:trPr>
        <w:tc>
          <w:tcPr>
            <w:tcW w:w="2830" w:type="dxa"/>
            <w:vMerge/>
            <w:shd w:val="clear" w:color="auto" w:fill="DEEAF6"/>
          </w:tcPr>
          <w:p w14:paraId="1837A19F"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2940188B"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Placówki Senior+, w tym:</w:t>
            </w:r>
          </w:p>
        </w:tc>
        <w:tc>
          <w:tcPr>
            <w:tcW w:w="8845" w:type="dxa"/>
            <w:gridSpan w:val="7"/>
            <w:shd w:val="clear" w:color="auto" w:fill="FFFFFF" w:themeFill="background1"/>
          </w:tcPr>
          <w:p w14:paraId="1AFA66CA" w14:textId="77777777" w:rsidR="002D4445" w:rsidRPr="00EA01AF" w:rsidRDefault="002D4445" w:rsidP="002D4445">
            <w:pPr>
              <w:tabs>
                <w:tab w:val="left" w:pos="1290"/>
              </w:tabs>
              <w:spacing w:after="0" w:line="240" w:lineRule="auto"/>
              <w:jc w:val="center"/>
              <w:rPr>
                <w:rFonts w:ascii="Times New Roman" w:hAnsi="Times New Roman" w:cs="Times New Roman"/>
                <w:bCs/>
              </w:rPr>
            </w:pPr>
            <w:r w:rsidRPr="00EA01AF">
              <w:rPr>
                <w:rFonts w:ascii="Times New Roman" w:hAnsi="Times New Roman" w:cs="Times New Roman"/>
                <w:bCs/>
              </w:rPr>
              <w:t>22</w:t>
            </w:r>
          </w:p>
        </w:tc>
      </w:tr>
      <w:tr w:rsidR="002D4445" w:rsidRPr="007D211F" w14:paraId="7E4C344B" w14:textId="77777777" w:rsidTr="00E86509">
        <w:trPr>
          <w:trHeight w:val="79"/>
        </w:trPr>
        <w:tc>
          <w:tcPr>
            <w:tcW w:w="2830" w:type="dxa"/>
            <w:vMerge/>
          </w:tcPr>
          <w:p w14:paraId="7FCCDFBD"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71B04C7E"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Domy Dziennego Pobytu</w:t>
            </w:r>
          </w:p>
        </w:tc>
        <w:tc>
          <w:tcPr>
            <w:tcW w:w="2948" w:type="dxa"/>
            <w:gridSpan w:val="3"/>
            <w:shd w:val="clear" w:color="auto" w:fill="FFFFFF" w:themeFill="background1"/>
          </w:tcPr>
          <w:p w14:paraId="13738147"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13</w:t>
            </w:r>
          </w:p>
        </w:tc>
        <w:tc>
          <w:tcPr>
            <w:tcW w:w="2948" w:type="dxa"/>
            <w:gridSpan w:val="3"/>
            <w:shd w:val="clear" w:color="auto" w:fill="FFFFFF" w:themeFill="background1"/>
          </w:tcPr>
          <w:p w14:paraId="51332BE0"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c>
          <w:tcPr>
            <w:tcW w:w="2949" w:type="dxa"/>
            <w:shd w:val="clear" w:color="auto" w:fill="FFFFFF" w:themeFill="background1"/>
          </w:tcPr>
          <w:p w14:paraId="33271B39" w14:textId="77777777" w:rsidR="002D4445" w:rsidRPr="00EA01AF" w:rsidRDefault="002D4445" w:rsidP="002D4445">
            <w:pPr>
              <w:spacing w:after="0" w:line="240" w:lineRule="auto"/>
              <w:jc w:val="center"/>
              <w:rPr>
                <w:rFonts w:ascii="Times New Roman" w:hAnsi="Times New Roman" w:cs="Times New Roman"/>
                <w:bCs/>
              </w:rPr>
            </w:pPr>
            <w:r w:rsidRPr="00EA01AF">
              <w:rPr>
                <w:rFonts w:ascii="Times New Roman" w:hAnsi="Times New Roman" w:cs="Times New Roman"/>
                <w:bCs/>
              </w:rPr>
              <w:t>b.d.</w:t>
            </w:r>
          </w:p>
        </w:tc>
      </w:tr>
      <w:tr w:rsidR="002D4445" w:rsidRPr="007D211F" w14:paraId="11B1698B" w14:textId="77777777" w:rsidTr="00E86509">
        <w:trPr>
          <w:trHeight w:val="85"/>
        </w:trPr>
        <w:tc>
          <w:tcPr>
            <w:tcW w:w="2830" w:type="dxa"/>
            <w:vMerge/>
            <w:shd w:val="clear" w:color="auto" w:fill="DEEAF6"/>
          </w:tcPr>
          <w:p w14:paraId="4C7F123D" w14:textId="77777777" w:rsidR="002D4445" w:rsidRPr="007D211F" w:rsidRDefault="002D4445" w:rsidP="002D4445">
            <w:pPr>
              <w:spacing w:after="0" w:line="240" w:lineRule="auto"/>
              <w:rPr>
                <w:rFonts w:ascii="Times New Roman" w:hAnsi="Times New Roman" w:cs="Times New Roman"/>
                <w:b/>
                <w:bCs/>
                <w:lang w:eastAsia="pl-PL"/>
              </w:rPr>
            </w:pPr>
          </w:p>
        </w:tc>
        <w:tc>
          <w:tcPr>
            <w:tcW w:w="3066" w:type="dxa"/>
            <w:shd w:val="clear" w:color="auto" w:fill="FFFFFF" w:themeFill="background1"/>
          </w:tcPr>
          <w:p w14:paraId="41EB84B4"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Kluby Senior+</w:t>
            </w:r>
          </w:p>
        </w:tc>
        <w:tc>
          <w:tcPr>
            <w:tcW w:w="2948" w:type="dxa"/>
            <w:gridSpan w:val="3"/>
            <w:shd w:val="clear" w:color="auto" w:fill="FFFFFF" w:themeFill="background1"/>
          </w:tcPr>
          <w:p w14:paraId="034EBF5E"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9</w:t>
            </w:r>
          </w:p>
        </w:tc>
        <w:tc>
          <w:tcPr>
            <w:tcW w:w="2948" w:type="dxa"/>
            <w:gridSpan w:val="3"/>
            <w:shd w:val="clear" w:color="auto" w:fill="FFFFFF" w:themeFill="background1"/>
          </w:tcPr>
          <w:p w14:paraId="7F1021AE" w14:textId="77777777" w:rsidR="002D4445" w:rsidRPr="007D211F" w:rsidRDefault="002D4445" w:rsidP="002D4445">
            <w:pPr>
              <w:spacing w:after="0" w:line="240" w:lineRule="auto"/>
              <w:jc w:val="center"/>
              <w:rPr>
                <w:rFonts w:ascii="Times New Roman" w:hAnsi="Times New Roman" w:cs="Times New Roman"/>
                <w:b/>
                <w:bCs/>
              </w:rPr>
            </w:pPr>
          </w:p>
        </w:tc>
        <w:tc>
          <w:tcPr>
            <w:tcW w:w="2949" w:type="dxa"/>
            <w:shd w:val="clear" w:color="auto" w:fill="FFFFFF" w:themeFill="background1"/>
          </w:tcPr>
          <w:p w14:paraId="28E91AAF" w14:textId="77777777" w:rsidR="002D4445" w:rsidRPr="007D211F" w:rsidRDefault="002D4445" w:rsidP="002D4445">
            <w:pPr>
              <w:spacing w:after="0" w:line="240" w:lineRule="auto"/>
              <w:jc w:val="center"/>
              <w:rPr>
                <w:rFonts w:ascii="Times New Roman" w:hAnsi="Times New Roman" w:cs="Times New Roman"/>
                <w:b/>
                <w:bCs/>
              </w:rPr>
            </w:pPr>
          </w:p>
        </w:tc>
      </w:tr>
      <w:tr w:rsidR="002D4445" w:rsidRPr="007D211F" w14:paraId="002116F3" w14:textId="77777777" w:rsidTr="00E86509">
        <w:trPr>
          <w:trHeight w:val="119"/>
        </w:trPr>
        <w:tc>
          <w:tcPr>
            <w:tcW w:w="2830" w:type="dxa"/>
            <w:vMerge w:val="restart"/>
            <w:shd w:val="clear" w:color="auto" w:fill="9CC2E5" w:themeFill="accent1" w:themeFillTint="99"/>
          </w:tcPr>
          <w:p w14:paraId="5E2AB54A"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Usługi świadczone osobom starszym</w:t>
            </w:r>
          </w:p>
        </w:tc>
        <w:tc>
          <w:tcPr>
            <w:tcW w:w="3119" w:type="dxa"/>
            <w:gridSpan w:val="2"/>
            <w:shd w:val="clear" w:color="auto" w:fill="9CC2E5" w:themeFill="accent1" w:themeFillTint="99"/>
          </w:tcPr>
          <w:p w14:paraId="2779AFC7"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Rodzaj usług</w:t>
            </w:r>
          </w:p>
        </w:tc>
        <w:tc>
          <w:tcPr>
            <w:tcW w:w="3685" w:type="dxa"/>
            <w:gridSpan w:val="3"/>
            <w:shd w:val="clear" w:color="auto" w:fill="9CC2E5" w:themeFill="accent1" w:themeFillTint="99"/>
          </w:tcPr>
          <w:p w14:paraId="02591B3F"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Liczba osób starszych objętych pomocą</w:t>
            </w:r>
          </w:p>
        </w:tc>
        <w:tc>
          <w:tcPr>
            <w:tcW w:w="5107" w:type="dxa"/>
            <w:gridSpan w:val="3"/>
            <w:shd w:val="clear" w:color="auto" w:fill="9CC2E5" w:themeFill="accent1" w:themeFillTint="99"/>
          </w:tcPr>
          <w:p w14:paraId="2F76EAF9"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Wysokość środków przeznaczonych na usługi</w:t>
            </w:r>
          </w:p>
        </w:tc>
      </w:tr>
      <w:tr w:rsidR="002D4445" w:rsidRPr="007D211F" w14:paraId="328A19D0" w14:textId="77777777" w:rsidTr="00E86509">
        <w:trPr>
          <w:trHeight w:val="118"/>
        </w:trPr>
        <w:tc>
          <w:tcPr>
            <w:tcW w:w="2830" w:type="dxa"/>
            <w:vMerge/>
            <w:shd w:val="clear" w:color="auto" w:fill="9CC2E5" w:themeFill="accent1" w:themeFillTint="99"/>
          </w:tcPr>
          <w:p w14:paraId="107A0D25" w14:textId="77777777" w:rsidR="002D4445" w:rsidRPr="007D211F" w:rsidRDefault="002D4445" w:rsidP="002D4445">
            <w:pPr>
              <w:spacing w:after="0" w:line="240" w:lineRule="auto"/>
              <w:rPr>
                <w:rFonts w:ascii="Times New Roman" w:hAnsi="Times New Roman" w:cs="Times New Roman"/>
                <w:b/>
                <w:bCs/>
                <w:lang w:eastAsia="pl-PL"/>
              </w:rPr>
            </w:pPr>
          </w:p>
        </w:tc>
        <w:tc>
          <w:tcPr>
            <w:tcW w:w="3119" w:type="dxa"/>
            <w:gridSpan w:val="2"/>
          </w:tcPr>
          <w:p w14:paraId="35570602" w14:textId="3E95BDEA" w:rsidR="002D4445" w:rsidRPr="007D211F" w:rsidRDefault="002D4445" w:rsidP="002D4445">
            <w:pPr>
              <w:spacing w:after="0" w:line="240" w:lineRule="auto"/>
              <w:rPr>
                <w:rFonts w:ascii="Times New Roman" w:hAnsi="Times New Roman" w:cs="Times New Roman"/>
              </w:rPr>
            </w:pPr>
            <w:r>
              <w:rPr>
                <w:rFonts w:ascii="Times New Roman" w:hAnsi="Times New Roman" w:cs="Times New Roman"/>
              </w:rPr>
              <w:t>Usługi o</w:t>
            </w:r>
            <w:r w:rsidRPr="007D211F">
              <w:rPr>
                <w:rFonts w:ascii="Times New Roman" w:hAnsi="Times New Roman" w:cs="Times New Roman"/>
              </w:rPr>
              <w:t>piekuńcze ogółem</w:t>
            </w:r>
          </w:p>
        </w:tc>
        <w:tc>
          <w:tcPr>
            <w:tcW w:w="3685" w:type="dxa"/>
            <w:gridSpan w:val="3"/>
          </w:tcPr>
          <w:p w14:paraId="668E3A18"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4 897</w:t>
            </w:r>
          </w:p>
        </w:tc>
        <w:tc>
          <w:tcPr>
            <w:tcW w:w="5107" w:type="dxa"/>
            <w:gridSpan w:val="3"/>
          </w:tcPr>
          <w:p w14:paraId="7957A60C"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45 459 573</w:t>
            </w:r>
          </w:p>
        </w:tc>
      </w:tr>
      <w:tr w:rsidR="002D4445" w:rsidRPr="007D211F" w14:paraId="4EC7D4C6" w14:textId="77777777" w:rsidTr="00E86509">
        <w:trPr>
          <w:trHeight w:val="118"/>
        </w:trPr>
        <w:tc>
          <w:tcPr>
            <w:tcW w:w="2830" w:type="dxa"/>
            <w:vMerge/>
            <w:shd w:val="clear" w:color="auto" w:fill="9CC2E5" w:themeFill="accent1" w:themeFillTint="99"/>
          </w:tcPr>
          <w:p w14:paraId="770D1959" w14:textId="77777777" w:rsidR="002D4445" w:rsidRPr="007D211F" w:rsidRDefault="002D4445" w:rsidP="002D4445">
            <w:pPr>
              <w:spacing w:after="0" w:line="240" w:lineRule="auto"/>
              <w:rPr>
                <w:rFonts w:ascii="Times New Roman" w:hAnsi="Times New Roman" w:cs="Times New Roman"/>
                <w:b/>
                <w:bCs/>
                <w:lang w:eastAsia="pl-PL"/>
              </w:rPr>
            </w:pPr>
          </w:p>
        </w:tc>
        <w:tc>
          <w:tcPr>
            <w:tcW w:w="3119" w:type="dxa"/>
            <w:gridSpan w:val="2"/>
            <w:shd w:val="clear" w:color="auto" w:fill="9CC2E5" w:themeFill="accent1" w:themeFillTint="99"/>
          </w:tcPr>
          <w:p w14:paraId="4C9274E6"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w tym:</w:t>
            </w:r>
          </w:p>
        </w:tc>
        <w:tc>
          <w:tcPr>
            <w:tcW w:w="8792" w:type="dxa"/>
            <w:gridSpan w:val="6"/>
            <w:shd w:val="clear" w:color="auto" w:fill="9CC2E5" w:themeFill="accent1" w:themeFillTint="99"/>
          </w:tcPr>
          <w:p w14:paraId="299B8847" w14:textId="77777777" w:rsidR="002D4445" w:rsidRPr="007D211F" w:rsidRDefault="002D4445" w:rsidP="002D4445">
            <w:pPr>
              <w:spacing w:after="0" w:line="240" w:lineRule="auto"/>
              <w:rPr>
                <w:rFonts w:ascii="Times New Roman" w:hAnsi="Times New Roman" w:cs="Times New Roman"/>
              </w:rPr>
            </w:pPr>
          </w:p>
        </w:tc>
      </w:tr>
      <w:tr w:rsidR="002D4445" w:rsidRPr="007D211F" w14:paraId="2D49B609" w14:textId="77777777" w:rsidTr="00E86509">
        <w:trPr>
          <w:trHeight w:val="118"/>
        </w:trPr>
        <w:tc>
          <w:tcPr>
            <w:tcW w:w="2830" w:type="dxa"/>
            <w:vMerge/>
            <w:shd w:val="clear" w:color="auto" w:fill="9CC2E5" w:themeFill="accent1" w:themeFillTint="99"/>
          </w:tcPr>
          <w:p w14:paraId="633A869F" w14:textId="77777777" w:rsidR="002D4445" w:rsidRPr="007D211F" w:rsidRDefault="002D4445" w:rsidP="002D4445">
            <w:pPr>
              <w:spacing w:after="0" w:line="240" w:lineRule="auto"/>
              <w:rPr>
                <w:rFonts w:ascii="Times New Roman" w:hAnsi="Times New Roman" w:cs="Times New Roman"/>
                <w:b/>
                <w:bCs/>
                <w:lang w:eastAsia="pl-PL"/>
              </w:rPr>
            </w:pPr>
          </w:p>
        </w:tc>
        <w:tc>
          <w:tcPr>
            <w:tcW w:w="3119" w:type="dxa"/>
            <w:gridSpan w:val="2"/>
            <w:shd w:val="clear" w:color="auto" w:fill="FFFFFF" w:themeFill="background1"/>
          </w:tcPr>
          <w:p w14:paraId="574B61AB" w14:textId="72909B68" w:rsidR="002D4445" w:rsidRPr="007D211F" w:rsidRDefault="002D4445" w:rsidP="002D4445">
            <w:pPr>
              <w:spacing w:after="0" w:line="240" w:lineRule="auto"/>
              <w:rPr>
                <w:rFonts w:ascii="Times New Roman" w:hAnsi="Times New Roman" w:cs="Times New Roman"/>
              </w:rPr>
            </w:pPr>
            <w:r>
              <w:rPr>
                <w:rFonts w:ascii="Times New Roman" w:hAnsi="Times New Roman" w:cs="Times New Roman"/>
              </w:rPr>
              <w:t>s</w:t>
            </w:r>
            <w:r w:rsidRPr="007D211F">
              <w:rPr>
                <w:rFonts w:ascii="Times New Roman" w:hAnsi="Times New Roman" w:cs="Times New Roman"/>
              </w:rPr>
              <w:t xml:space="preserve">pecjalistyczne </w:t>
            </w:r>
            <w:r>
              <w:rPr>
                <w:rFonts w:ascii="Times New Roman" w:hAnsi="Times New Roman" w:cs="Times New Roman"/>
              </w:rPr>
              <w:t xml:space="preserve">usługi </w:t>
            </w:r>
            <w:r w:rsidRPr="007D211F">
              <w:rPr>
                <w:rFonts w:ascii="Times New Roman" w:hAnsi="Times New Roman" w:cs="Times New Roman"/>
              </w:rPr>
              <w:t>opiekuńcze</w:t>
            </w:r>
          </w:p>
        </w:tc>
        <w:tc>
          <w:tcPr>
            <w:tcW w:w="3685" w:type="dxa"/>
            <w:gridSpan w:val="3"/>
            <w:shd w:val="clear" w:color="auto" w:fill="FFFFFF" w:themeFill="background1"/>
          </w:tcPr>
          <w:p w14:paraId="01EECA25"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178</w:t>
            </w:r>
          </w:p>
        </w:tc>
        <w:tc>
          <w:tcPr>
            <w:tcW w:w="5107" w:type="dxa"/>
            <w:gridSpan w:val="3"/>
            <w:shd w:val="clear" w:color="auto" w:fill="FFFFFF" w:themeFill="background1"/>
          </w:tcPr>
          <w:p w14:paraId="40CDABEF"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927 570</w:t>
            </w:r>
          </w:p>
        </w:tc>
      </w:tr>
      <w:tr w:rsidR="002D4445" w:rsidRPr="007D211F" w14:paraId="6D17201C" w14:textId="77777777" w:rsidTr="00E86509">
        <w:trPr>
          <w:trHeight w:val="284"/>
        </w:trPr>
        <w:tc>
          <w:tcPr>
            <w:tcW w:w="2830" w:type="dxa"/>
            <w:vMerge/>
            <w:shd w:val="clear" w:color="auto" w:fill="9CC2E5" w:themeFill="accent1" w:themeFillTint="99"/>
          </w:tcPr>
          <w:p w14:paraId="7FD94950" w14:textId="77777777" w:rsidR="002D4445" w:rsidRPr="007D211F" w:rsidRDefault="002D4445" w:rsidP="002D4445">
            <w:pPr>
              <w:spacing w:after="0" w:line="240" w:lineRule="auto"/>
              <w:rPr>
                <w:rFonts w:ascii="Times New Roman" w:hAnsi="Times New Roman" w:cs="Times New Roman"/>
                <w:b/>
                <w:bCs/>
                <w:lang w:eastAsia="pl-PL"/>
              </w:rPr>
            </w:pPr>
          </w:p>
        </w:tc>
        <w:tc>
          <w:tcPr>
            <w:tcW w:w="3119" w:type="dxa"/>
            <w:gridSpan w:val="2"/>
            <w:shd w:val="clear" w:color="auto" w:fill="FFFFFF" w:themeFill="background1"/>
          </w:tcPr>
          <w:p w14:paraId="4DDE7E4B" w14:textId="490902D6" w:rsidR="002D4445" w:rsidRPr="007D211F" w:rsidRDefault="002D4445" w:rsidP="002D4445">
            <w:pPr>
              <w:spacing w:after="0" w:line="240" w:lineRule="auto"/>
              <w:rPr>
                <w:rFonts w:ascii="Times New Roman" w:hAnsi="Times New Roman" w:cs="Times New Roman"/>
              </w:rPr>
            </w:pPr>
            <w:r>
              <w:rPr>
                <w:rFonts w:ascii="Times New Roman" w:hAnsi="Times New Roman" w:cs="Times New Roman"/>
              </w:rPr>
              <w:t>s</w:t>
            </w:r>
            <w:r w:rsidRPr="007D211F">
              <w:rPr>
                <w:rFonts w:ascii="Times New Roman" w:hAnsi="Times New Roman" w:cs="Times New Roman"/>
              </w:rPr>
              <w:t>pecjalistyczne usługi</w:t>
            </w:r>
            <w:r>
              <w:rPr>
                <w:rFonts w:ascii="Times New Roman" w:hAnsi="Times New Roman" w:cs="Times New Roman"/>
              </w:rPr>
              <w:t xml:space="preserve"> opiekuńcze w miejscu zamieszkania</w:t>
            </w:r>
            <w:r w:rsidRPr="007D211F">
              <w:rPr>
                <w:rFonts w:ascii="Times New Roman" w:hAnsi="Times New Roman" w:cs="Times New Roman"/>
              </w:rPr>
              <w:t xml:space="preserve"> dla osób z zaburzeniami psychicznymi</w:t>
            </w:r>
          </w:p>
        </w:tc>
        <w:tc>
          <w:tcPr>
            <w:tcW w:w="3685" w:type="dxa"/>
            <w:gridSpan w:val="3"/>
            <w:shd w:val="clear" w:color="auto" w:fill="FFFFFF" w:themeFill="background1"/>
          </w:tcPr>
          <w:p w14:paraId="6B9FE360"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300</w:t>
            </w:r>
          </w:p>
        </w:tc>
        <w:tc>
          <w:tcPr>
            <w:tcW w:w="5107" w:type="dxa"/>
            <w:gridSpan w:val="3"/>
            <w:shd w:val="clear" w:color="auto" w:fill="FFFFFF" w:themeFill="background1"/>
          </w:tcPr>
          <w:p w14:paraId="6FE2DBCC"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4 014 438</w:t>
            </w:r>
          </w:p>
        </w:tc>
      </w:tr>
      <w:tr w:rsidR="002D4445" w:rsidRPr="007D211F" w14:paraId="50258536" w14:textId="77777777" w:rsidTr="00E86509">
        <w:trPr>
          <w:trHeight w:val="194"/>
        </w:trPr>
        <w:tc>
          <w:tcPr>
            <w:tcW w:w="2830" w:type="dxa"/>
            <w:vMerge w:val="restart"/>
            <w:shd w:val="clear" w:color="auto" w:fill="9CC2E5" w:themeFill="accent1" w:themeFillTint="99"/>
          </w:tcPr>
          <w:p w14:paraId="2B37CDE1"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Świadczenia pieniężne przyznane osobom starszym</w:t>
            </w:r>
          </w:p>
        </w:tc>
        <w:tc>
          <w:tcPr>
            <w:tcW w:w="3119" w:type="dxa"/>
            <w:gridSpan w:val="2"/>
            <w:shd w:val="clear" w:color="auto" w:fill="9CC2E5" w:themeFill="accent1" w:themeFillTint="99"/>
          </w:tcPr>
          <w:p w14:paraId="16E20662"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Nazwa świadczenia</w:t>
            </w:r>
          </w:p>
        </w:tc>
        <w:tc>
          <w:tcPr>
            <w:tcW w:w="3685" w:type="dxa"/>
            <w:gridSpan w:val="3"/>
            <w:shd w:val="clear" w:color="auto" w:fill="9CC2E5" w:themeFill="accent1" w:themeFillTint="99"/>
          </w:tcPr>
          <w:p w14:paraId="781BA8AD"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Liczba osób starszych</w:t>
            </w:r>
          </w:p>
        </w:tc>
        <w:tc>
          <w:tcPr>
            <w:tcW w:w="5107" w:type="dxa"/>
            <w:gridSpan w:val="3"/>
            <w:shd w:val="clear" w:color="auto" w:fill="9CC2E5" w:themeFill="accent1" w:themeFillTint="99"/>
          </w:tcPr>
          <w:p w14:paraId="5822F533" w14:textId="77777777" w:rsidR="002D4445" w:rsidRPr="007D211F" w:rsidRDefault="002D4445" w:rsidP="002D4445">
            <w:pPr>
              <w:spacing w:after="0" w:line="240" w:lineRule="auto"/>
              <w:jc w:val="center"/>
              <w:rPr>
                <w:rFonts w:ascii="Times New Roman" w:hAnsi="Times New Roman" w:cs="Times New Roman"/>
                <w:b/>
                <w:bCs/>
              </w:rPr>
            </w:pPr>
            <w:r w:rsidRPr="007D211F">
              <w:rPr>
                <w:rFonts w:ascii="Times New Roman" w:hAnsi="Times New Roman" w:cs="Times New Roman"/>
                <w:b/>
                <w:bCs/>
              </w:rPr>
              <w:t>Kwota świadczenia</w:t>
            </w:r>
          </w:p>
        </w:tc>
      </w:tr>
      <w:tr w:rsidR="002D4445" w:rsidRPr="007D211F" w14:paraId="18A849BC" w14:textId="77777777" w:rsidTr="00E86509">
        <w:trPr>
          <w:trHeight w:val="190"/>
        </w:trPr>
        <w:tc>
          <w:tcPr>
            <w:tcW w:w="2830" w:type="dxa"/>
            <w:vMerge/>
            <w:shd w:val="clear" w:color="auto" w:fill="9CC2E5" w:themeFill="accent1" w:themeFillTint="99"/>
          </w:tcPr>
          <w:p w14:paraId="4A7440BC" w14:textId="77777777" w:rsidR="002D4445" w:rsidRPr="007D211F" w:rsidRDefault="002D4445" w:rsidP="002D4445">
            <w:pPr>
              <w:spacing w:after="0" w:line="240" w:lineRule="auto"/>
              <w:rPr>
                <w:rFonts w:ascii="Times New Roman" w:hAnsi="Times New Roman" w:cs="Times New Roman"/>
                <w:b/>
                <w:bCs/>
                <w:lang w:eastAsia="pl-PL"/>
              </w:rPr>
            </w:pPr>
          </w:p>
        </w:tc>
        <w:tc>
          <w:tcPr>
            <w:tcW w:w="3119" w:type="dxa"/>
            <w:gridSpan w:val="2"/>
            <w:shd w:val="clear" w:color="auto" w:fill="FFFFFF" w:themeFill="background1"/>
          </w:tcPr>
          <w:p w14:paraId="68E43726"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Zasiłek stały</w:t>
            </w:r>
          </w:p>
        </w:tc>
        <w:tc>
          <w:tcPr>
            <w:tcW w:w="3685" w:type="dxa"/>
            <w:gridSpan w:val="3"/>
            <w:shd w:val="clear" w:color="auto" w:fill="FFFFFF" w:themeFill="background1"/>
          </w:tcPr>
          <w:p w14:paraId="16249841"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3 314</w:t>
            </w:r>
          </w:p>
        </w:tc>
        <w:tc>
          <w:tcPr>
            <w:tcW w:w="5107" w:type="dxa"/>
            <w:gridSpan w:val="3"/>
            <w:shd w:val="clear" w:color="auto" w:fill="FFFFFF" w:themeFill="background1"/>
          </w:tcPr>
          <w:p w14:paraId="14F1BB3A"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20 780 095</w:t>
            </w:r>
          </w:p>
        </w:tc>
      </w:tr>
      <w:tr w:rsidR="002D4445" w:rsidRPr="007D211F" w14:paraId="175FE0E0" w14:textId="77777777" w:rsidTr="00E86509">
        <w:trPr>
          <w:trHeight w:val="190"/>
        </w:trPr>
        <w:tc>
          <w:tcPr>
            <w:tcW w:w="2830" w:type="dxa"/>
            <w:vMerge/>
            <w:shd w:val="clear" w:color="auto" w:fill="9CC2E5" w:themeFill="accent1" w:themeFillTint="99"/>
          </w:tcPr>
          <w:p w14:paraId="0B21647A" w14:textId="77777777" w:rsidR="002D4445" w:rsidRPr="007D211F" w:rsidRDefault="002D4445" w:rsidP="002D4445">
            <w:pPr>
              <w:spacing w:after="0" w:line="240" w:lineRule="auto"/>
              <w:rPr>
                <w:rFonts w:ascii="Times New Roman" w:hAnsi="Times New Roman" w:cs="Times New Roman"/>
                <w:b/>
                <w:bCs/>
                <w:lang w:eastAsia="pl-PL"/>
              </w:rPr>
            </w:pPr>
          </w:p>
        </w:tc>
        <w:tc>
          <w:tcPr>
            <w:tcW w:w="3119" w:type="dxa"/>
            <w:gridSpan w:val="2"/>
            <w:shd w:val="clear" w:color="auto" w:fill="FFFFFF" w:themeFill="background1"/>
          </w:tcPr>
          <w:p w14:paraId="1B18521F"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Zasiłek okresowy</w:t>
            </w:r>
          </w:p>
        </w:tc>
        <w:tc>
          <w:tcPr>
            <w:tcW w:w="3685" w:type="dxa"/>
            <w:gridSpan w:val="3"/>
            <w:shd w:val="clear" w:color="auto" w:fill="FFFFFF" w:themeFill="background1"/>
          </w:tcPr>
          <w:p w14:paraId="0F1332C7"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1 716</w:t>
            </w:r>
          </w:p>
        </w:tc>
        <w:tc>
          <w:tcPr>
            <w:tcW w:w="5107" w:type="dxa"/>
            <w:gridSpan w:val="3"/>
            <w:shd w:val="clear" w:color="auto" w:fill="FFFFFF" w:themeFill="background1"/>
          </w:tcPr>
          <w:p w14:paraId="6E8FA2A7"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3 298 964</w:t>
            </w:r>
          </w:p>
        </w:tc>
      </w:tr>
      <w:tr w:rsidR="002D4445" w:rsidRPr="007D211F" w14:paraId="6775BED2" w14:textId="77777777" w:rsidTr="00E86509">
        <w:trPr>
          <w:trHeight w:val="190"/>
        </w:trPr>
        <w:tc>
          <w:tcPr>
            <w:tcW w:w="2830" w:type="dxa"/>
            <w:vMerge/>
            <w:shd w:val="clear" w:color="auto" w:fill="9CC2E5" w:themeFill="accent1" w:themeFillTint="99"/>
          </w:tcPr>
          <w:p w14:paraId="54429CC2" w14:textId="77777777" w:rsidR="002D4445" w:rsidRPr="007D211F" w:rsidRDefault="002D4445" w:rsidP="002D4445">
            <w:pPr>
              <w:spacing w:after="0" w:line="240" w:lineRule="auto"/>
              <w:rPr>
                <w:rFonts w:ascii="Times New Roman" w:hAnsi="Times New Roman" w:cs="Times New Roman"/>
                <w:b/>
                <w:bCs/>
                <w:lang w:eastAsia="pl-PL"/>
              </w:rPr>
            </w:pPr>
          </w:p>
        </w:tc>
        <w:tc>
          <w:tcPr>
            <w:tcW w:w="3119" w:type="dxa"/>
            <w:gridSpan w:val="2"/>
            <w:shd w:val="clear" w:color="auto" w:fill="FFFFFF" w:themeFill="background1"/>
          </w:tcPr>
          <w:p w14:paraId="1A849ED6"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Zasiłek celowy</w:t>
            </w:r>
          </w:p>
        </w:tc>
        <w:tc>
          <w:tcPr>
            <w:tcW w:w="3685" w:type="dxa"/>
            <w:gridSpan w:val="3"/>
            <w:shd w:val="clear" w:color="auto" w:fill="FFFFFF" w:themeFill="background1"/>
          </w:tcPr>
          <w:p w14:paraId="6CCE41D8"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2 856</w:t>
            </w:r>
          </w:p>
        </w:tc>
        <w:tc>
          <w:tcPr>
            <w:tcW w:w="5107" w:type="dxa"/>
            <w:gridSpan w:val="3"/>
            <w:shd w:val="clear" w:color="auto" w:fill="FFFFFF" w:themeFill="background1"/>
          </w:tcPr>
          <w:p w14:paraId="3FC0EDF6"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1 788 211</w:t>
            </w:r>
          </w:p>
        </w:tc>
      </w:tr>
      <w:tr w:rsidR="002D4445" w:rsidRPr="007D211F" w14:paraId="06ADFFC8" w14:textId="77777777" w:rsidTr="00E86509">
        <w:trPr>
          <w:trHeight w:val="190"/>
        </w:trPr>
        <w:tc>
          <w:tcPr>
            <w:tcW w:w="2830" w:type="dxa"/>
            <w:vMerge/>
            <w:shd w:val="clear" w:color="auto" w:fill="9CC2E5" w:themeFill="accent1" w:themeFillTint="99"/>
          </w:tcPr>
          <w:p w14:paraId="2B2670EE" w14:textId="77777777" w:rsidR="002D4445" w:rsidRPr="007D211F" w:rsidRDefault="002D4445" w:rsidP="002D4445">
            <w:pPr>
              <w:spacing w:after="0" w:line="240" w:lineRule="auto"/>
              <w:rPr>
                <w:rFonts w:ascii="Times New Roman" w:hAnsi="Times New Roman" w:cs="Times New Roman"/>
                <w:b/>
                <w:bCs/>
                <w:lang w:eastAsia="pl-PL"/>
              </w:rPr>
            </w:pPr>
          </w:p>
        </w:tc>
        <w:tc>
          <w:tcPr>
            <w:tcW w:w="3119" w:type="dxa"/>
            <w:gridSpan w:val="2"/>
            <w:shd w:val="clear" w:color="auto" w:fill="FFFFFF" w:themeFill="background1"/>
          </w:tcPr>
          <w:p w14:paraId="7CC730DA"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Specjalny zasiłek celowy</w:t>
            </w:r>
          </w:p>
        </w:tc>
        <w:tc>
          <w:tcPr>
            <w:tcW w:w="3685" w:type="dxa"/>
            <w:gridSpan w:val="3"/>
            <w:shd w:val="clear" w:color="auto" w:fill="FFFFFF" w:themeFill="background1"/>
          </w:tcPr>
          <w:p w14:paraId="00AA0599"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1 854</w:t>
            </w:r>
          </w:p>
        </w:tc>
        <w:tc>
          <w:tcPr>
            <w:tcW w:w="5107" w:type="dxa"/>
            <w:gridSpan w:val="3"/>
            <w:shd w:val="clear" w:color="auto" w:fill="FFFFFF" w:themeFill="background1"/>
          </w:tcPr>
          <w:p w14:paraId="15A56F5D" w14:textId="77777777" w:rsidR="002D4445" w:rsidRPr="007D211F" w:rsidRDefault="002D4445" w:rsidP="002D4445">
            <w:pPr>
              <w:spacing w:after="0" w:line="240" w:lineRule="auto"/>
              <w:jc w:val="center"/>
              <w:rPr>
                <w:rFonts w:ascii="Times New Roman" w:hAnsi="Times New Roman" w:cs="Times New Roman"/>
              </w:rPr>
            </w:pPr>
            <w:r w:rsidRPr="007D211F">
              <w:rPr>
                <w:rFonts w:ascii="Times New Roman" w:hAnsi="Times New Roman" w:cs="Times New Roman"/>
              </w:rPr>
              <w:t>967 909</w:t>
            </w:r>
          </w:p>
        </w:tc>
      </w:tr>
      <w:tr w:rsidR="002D4445" w:rsidRPr="007D211F" w14:paraId="3F44AAD7" w14:textId="77777777" w:rsidTr="00E86509">
        <w:trPr>
          <w:trHeight w:val="444"/>
        </w:trPr>
        <w:tc>
          <w:tcPr>
            <w:tcW w:w="2830" w:type="dxa"/>
            <w:vMerge w:val="restart"/>
            <w:shd w:val="clear" w:color="auto" w:fill="9CC2E5" w:themeFill="accent1" w:themeFillTint="99"/>
          </w:tcPr>
          <w:p w14:paraId="5C3A5516"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44DF22BE" w14:textId="77777777" w:rsidR="002D4445" w:rsidRPr="007D211F" w:rsidRDefault="002D4445" w:rsidP="002D4445">
            <w:pPr>
              <w:spacing w:after="0" w:line="240" w:lineRule="auto"/>
              <w:rPr>
                <w:rFonts w:ascii="Times New Roman" w:hAnsi="Times New Roman" w:cs="Times New Roman"/>
              </w:rPr>
            </w:pPr>
            <w:r w:rsidRPr="007C5F35">
              <w:rPr>
                <w:rFonts w:ascii="Times New Roman" w:hAnsi="Times New Roman" w:cs="Times New Roman"/>
                <w:b/>
              </w:rPr>
              <w:t>1.</w:t>
            </w:r>
            <w:r w:rsidRPr="007D211F">
              <w:rPr>
                <w:rFonts w:ascii="Times New Roman" w:hAnsi="Times New Roman" w:cs="Times New Roman"/>
              </w:rPr>
              <w:t>Trudności w znalezieniu osób na stanowisko opiekunki środowiskowej</w:t>
            </w:r>
          </w:p>
        </w:tc>
      </w:tr>
      <w:tr w:rsidR="002D4445" w:rsidRPr="007D211F" w14:paraId="36ABCE71" w14:textId="77777777" w:rsidTr="00E86509">
        <w:trPr>
          <w:trHeight w:val="442"/>
        </w:trPr>
        <w:tc>
          <w:tcPr>
            <w:tcW w:w="2830" w:type="dxa"/>
            <w:vMerge/>
            <w:shd w:val="clear" w:color="auto" w:fill="9CC2E5" w:themeFill="accent1" w:themeFillTint="99"/>
          </w:tcPr>
          <w:p w14:paraId="485ACF73" w14:textId="77777777" w:rsidR="002D4445" w:rsidRPr="007D211F" w:rsidRDefault="002D4445" w:rsidP="002D4445">
            <w:pPr>
              <w:spacing w:after="0" w:line="240" w:lineRule="auto"/>
              <w:rPr>
                <w:rFonts w:ascii="Times New Roman" w:hAnsi="Times New Roman" w:cs="Times New Roman"/>
                <w:b/>
                <w:bCs/>
                <w:lang w:eastAsia="pl-PL"/>
              </w:rPr>
            </w:pPr>
          </w:p>
        </w:tc>
        <w:tc>
          <w:tcPr>
            <w:tcW w:w="11911" w:type="dxa"/>
            <w:gridSpan w:val="8"/>
            <w:shd w:val="clear" w:color="auto" w:fill="FFFFFF" w:themeFill="background1"/>
          </w:tcPr>
          <w:p w14:paraId="5ED54458" w14:textId="77777777" w:rsidR="002D4445" w:rsidRPr="007D211F" w:rsidRDefault="002D4445" w:rsidP="002D4445">
            <w:pPr>
              <w:spacing w:after="0" w:line="240" w:lineRule="auto"/>
              <w:rPr>
                <w:rFonts w:ascii="Times New Roman" w:hAnsi="Times New Roman" w:cs="Times New Roman"/>
              </w:rPr>
            </w:pPr>
            <w:r w:rsidRPr="007C5F35">
              <w:rPr>
                <w:rFonts w:ascii="Times New Roman" w:hAnsi="Times New Roman" w:cs="Times New Roman"/>
                <w:b/>
              </w:rPr>
              <w:t>2.</w:t>
            </w:r>
            <w:r w:rsidRPr="007D211F">
              <w:rPr>
                <w:rFonts w:ascii="Times New Roman" w:hAnsi="Times New Roman" w:cs="Times New Roman"/>
              </w:rPr>
              <w:t xml:space="preserve"> Rozległy teren gminy i brak środków komunikacji publicznej (wymóg posiadania własnego środka transportu).</w:t>
            </w:r>
          </w:p>
        </w:tc>
      </w:tr>
      <w:tr w:rsidR="002D4445" w:rsidRPr="007D211F" w14:paraId="159C35BC" w14:textId="77777777" w:rsidTr="00E86509">
        <w:trPr>
          <w:trHeight w:val="442"/>
        </w:trPr>
        <w:tc>
          <w:tcPr>
            <w:tcW w:w="2830" w:type="dxa"/>
            <w:vMerge/>
            <w:shd w:val="clear" w:color="auto" w:fill="9CC2E5" w:themeFill="accent1" w:themeFillTint="99"/>
          </w:tcPr>
          <w:p w14:paraId="781BA328" w14:textId="77777777" w:rsidR="002D4445" w:rsidRPr="007D211F" w:rsidRDefault="002D4445" w:rsidP="002D4445">
            <w:pPr>
              <w:spacing w:after="0" w:line="240" w:lineRule="auto"/>
              <w:rPr>
                <w:rFonts w:ascii="Times New Roman" w:hAnsi="Times New Roman" w:cs="Times New Roman"/>
                <w:b/>
                <w:bCs/>
                <w:lang w:eastAsia="pl-PL"/>
              </w:rPr>
            </w:pPr>
          </w:p>
        </w:tc>
        <w:tc>
          <w:tcPr>
            <w:tcW w:w="11911" w:type="dxa"/>
            <w:gridSpan w:val="8"/>
            <w:shd w:val="clear" w:color="auto" w:fill="FFFFFF" w:themeFill="background1"/>
          </w:tcPr>
          <w:p w14:paraId="574F3B21" w14:textId="77777777" w:rsidR="002D4445" w:rsidRPr="007D211F" w:rsidRDefault="002D4445" w:rsidP="002D4445">
            <w:pPr>
              <w:spacing w:after="0" w:line="240" w:lineRule="auto"/>
              <w:rPr>
                <w:rFonts w:ascii="Times New Roman" w:hAnsi="Times New Roman" w:cs="Times New Roman"/>
              </w:rPr>
            </w:pPr>
            <w:r w:rsidRPr="007C5F35">
              <w:rPr>
                <w:rFonts w:ascii="Times New Roman" w:hAnsi="Times New Roman" w:cs="Times New Roman"/>
                <w:b/>
              </w:rPr>
              <w:t>3.</w:t>
            </w:r>
            <w:r w:rsidRPr="007D211F">
              <w:rPr>
                <w:rFonts w:ascii="Times New Roman" w:hAnsi="Times New Roman" w:cs="Times New Roman"/>
              </w:rPr>
              <w:t>Trudności finansowe gmin uniemożliwiają zatrudnienie opiekunek na umowę o pracę.</w:t>
            </w:r>
          </w:p>
        </w:tc>
      </w:tr>
      <w:tr w:rsidR="002D4445" w:rsidRPr="007D211F" w14:paraId="5CA6B3F4" w14:textId="77777777" w:rsidTr="00E86509">
        <w:trPr>
          <w:trHeight w:val="442"/>
        </w:trPr>
        <w:tc>
          <w:tcPr>
            <w:tcW w:w="2830" w:type="dxa"/>
            <w:vMerge/>
            <w:shd w:val="clear" w:color="auto" w:fill="9CC2E5" w:themeFill="accent1" w:themeFillTint="99"/>
          </w:tcPr>
          <w:p w14:paraId="24C6317C" w14:textId="77777777" w:rsidR="002D4445" w:rsidRPr="007D211F" w:rsidRDefault="002D4445" w:rsidP="002D4445">
            <w:pPr>
              <w:spacing w:after="0" w:line="240" w:lineRule="auto"/>
              <w:rPr>
                <w:rFonts w:ascii="Times New Roman" w:hAnsi="Times New Roman" w:cs="Times New Roman"/>
                <w:b/>
                <w:bCs/>
                <w:lang w:eastAsia="pl-PL"/>
              </w:rPr>
            </w:pPr>
          </w:p>
        </w:tc>
        <w:tc>
          <w:tcPr>
            <w:tcW w:w="11911" w:type="dxa"/>
            <w:gridSpan w:val="8"/>
            <w:shd w:val="clear" w:color="auto" w:fill="FFFFFF" w:themeFill="background1"/>
          </w:tcPr>
          <w:p w14:paraId="626520C3" w14:textId="77777777" w:rsidR="002D4445" w:rsidRPr="007D211F" w:rsidRDefault="002D4445" w:rsidP="002D4445">
            <w:pPr>
              <w:spacing w:after="0" w:line="240" w:lineRule="auto"/>
              <w:rPr>
                <w:rFonts w:ascii="Times New Roman" w:hAnsi="Times New Roman" w:cs="Times New Roman"/>
              </w:rPr>
            </w:pPr>
            <w:r w:rsidRPr="007C5F35">
              <w:rPr>
                <w:rFonts w:ascii="Times New Roman" w:hAnsi="Times New Roman" w:cs="Times New Roman"/>
                <w:b/>
              </w:rPr>
              <w:t>4.</w:t>
            </w:r>
            <w:r w:rsidRPr="007D211F">
              <w:rPr>
                <w:rFonts w:ascii="Times New Roman" w:hAnsi="Times New Roman" w:cs="Times New Roman"/>
              </w:rPr>
              <w:t xml:space="preserve"> Bardzo często opiekunki zaopatrują się  w środki higieny osobistej ( rękawiczki jednorazowe, płyny dezynfekujące , odzież ochronna) ze środków własnych</w:t>
            </w:r>
          </w:p>
        </w:tc>
      </w:tr>
      <w:tr w:rsidR="002D4445" w:rsidRPr="007D211F" w14:paraId="0681FC74" w14:textId="77777777" w:rsidTr="00E86509">
        <w:trPr>
          <w:trHeight w:val="442"/>
        </w:trPr>
        <w:tc>
          <w:tcPr>
            <w:tcW w:w="2830" w:type="dxa"/>
            <w:shd w:val="clear" w:color="auto" w:fill="9CC2E5" w:themeFill="accent1" w:themeFillTint="99"/>
          </w:tcPr>
          <w:p w14:paraId="02526CB0" w14:textId="77777777" w:rsidR="002D4445" w:rsidRPr="007D211F" w:rsidRDefault="002D4445" w:rsidP="002D4445">
            <w:pPr>
              <w:spacing w:after="0" w:line="240" w:lineRule="auto"/>
              <w:rPr>
                <w:rFonts w:ascii="Times New Roman" w:hAnsi="Times New Roman" w:cs="Times New Roman"/>
                <w:b/>
                <w:bCs/>
                <w:lang w:eastAsia="pl-PL"/>
              </w:rPr>
            </w:pPr>
            <w:r w:rsidRPr="007D211F">
              <w:rPr>
                <w:rFonts w:ascii="Times New Roman" w:hAnsi="Times New Roman" w:cs="Times New Roman"/>
                <w:b/>
                <w:bCs/>
                <w:lang w:eastAsia="pl-PL"/>
              </w:rPr>
              <w:t>Stopień zaspokojenia potrzeb w zakresie usług opiekuńczych</w:t>
            </w:r>
          </w:p>
        </w:tc>
        <w:tc>
          <w:tcPr>
            <w:tcW w:w="11911" w:type="dxa"/>
            <w:gridSpan w:val="8"/>
            <w:shd w:val="clear" w:color="auto" w:fill="FFFFFF" w:themeFill="background1"/>
          </w:tcPr>
          <w:p w14:paraId="2F2055A2" w14:textId="77777777" w:rsidR="002D4445" w:rsidRPr="007D211F" w:rsidRDefault="002D4445" w:rsidP="002D4445">
            <w:pPr>
              <w:spacing w:after="0" w:line="240" w:lineRule="auto"/>
              <w:rPr>
                <w:rFonts w:ascii="Times New Roman" w:hAnsi="Times New Roman" w:cs="Times New Roman"/>
              </w:rPr>
            </w:pPr>
            <w:r w:rsidRPr="007D211F">
              <w:rPr>
                <w:rFonts w:ascii="Times New Roman" w:hAnsi="Times New Roman" w:cs="Times New Roman"/>
              </w:rPr>
              <w:t>Na terenie województwa lubelskiego stopień zaspokojenia potrzeb w zakresie usług opiekuńczych uzależniony jest od posiadanych przez gminy zasobów kadrowych i środków finansowych. Z posiadanych informacji wynika , że osoby korzystające z usług opiekuńczych w większości przypadków pozostają w dotychczasowym środowisku bez konieczności kierowania do domów pomocy społecznej, usługi są adekwatne do potrzeb wynikających z wieku , stanu zdrowia , niepełnosprawności oraz liczby godzin.</w:t>
            </w:r>
          </w:p>
        </w:tc>
      </w:tr>
    </w:tbl>
    <w:p w14:paraId="43BE9507" w14:textId="77777777" w:rsidR="0076773A" w:rsidRDefault="0076773A" w:rsidP="00CB509F">
      <w:pPr>
        <w:pStyle w:val="Nagwek2"/>
        <w:spacing w:before="0"/>
        <w:rPr>
          <w:rFonts w:eastAsia="Times New Roman" w:cs="Times New Roman"/>
          <w:sz w:val="24"/>
          <w:szCs w:val="24"/>
          <w:lang w:eastAsia="ar-SA"/>
        </w:rPr>
        <w:sectPr w:rsidR="0076773A" w:rsidSect="00080A38">
          <w:pgSz w:w="16838" w:h="11900" w:orient="landscape"/>
          <w:pgMar w:top="1380" w:right="1384" w:bottom="1386" w:left="1038" w:header="0" w:footer="567" w:gutter="0"/>
          <w:cols w:space="0" w:equalWidth="0">
            <w:col w:w="9140"/>
          </w:cols>
          <w:docGrid w:linePitch="360"/>
        </w:sectPr>
      </w:pPr>
    </w:p>
    <w:p w14:paraId="016811CD" w14:textId="77777777" w:rsidR="00B723E6" w:rsidRPr="00AF051D" w:rsidRDefault="00475EFA" w:rsidP="00AF051D">
      <w:pPr>
        <w:pStyle w:val="Nagwek2"/>
        <w:spacing w:before="240" w:after="240"/>
        <w:ind w:left="432"/>
        <w:rPr>
          <w:rFonts w:eastAsia="Times New Roman" w:cs="Times New Roman"/>
          <w:sz w:val="40"/>
          <w:szCs w:val="24"/>
          <w:lang w:eastAsia="ar-SA"/>
        </w:rPr>
      </w:pPr>
      <w:bookmarkStart w:id="130" w:name="_Toc49171359"/>
      <w:r w:rsidRPr="00AF051D">
        <w:rPr>
          <w:rFonts w:eastAsia="Times New Roman" w:cs="Times New Roman"/>
          <w:sz w:val="40"/>
          <w:szCs w:val="24"/>
          <w:lang w:eastAsia="ar-SA"/>
        </w:rPr>
        <w:lastRenderedPageBreak/>
        <w:t>Województwo</w:t>
      </w:r>
      <w:r w:rsidR="005F0A32" w:rsidRPr="00AF051D">
        <w:rPr>
          <w:rFonts w:eastAsia="Times New Roman" w:cs="Times New Roman"/>
          <w:sz w:val="40"/>
          <w:szCs w:val="24"/>
          <w:lang w:eastAsia="ar-SA"/>
        </w:rPr>
        <w:t xml:space="preserve"> l</w:t>
      </w:r>
      <w:r w:rsidRPr="00AF051D">
        <w:rPr>
          <w:rFonts w:eastAsia="Times New Roman" w:cs="Times New Roman"/>
          <w:sz w:val="40"/>
          <w:szCs w:val="24"/>
          <w:lang w:eastAsia="ar-SA"/>
        </w:rPr>
        <w:t>ubuskie</w:t>
      </w:r>
      <w:bookmarkEnd w:id="130"/>
    </w:p>
    <w:p w14:paraId="107F9A4D" w14:textId="77777777" w:rsidR="00B723E6" w:rsidRPr="00470DBE" w:rsidRDefault="00B723E6" w:rsidP="00493925">
      <w:pPr>
        <w:spacing w:after="0"/>
        <w:jc w:val="both"/>
        <w:rPr>
          <w:rFonts w:ascii="Times New Roman" w:hAnsi="Times New Roman" w:cs="Times New Roman"/>
          <w:b/>
          <w:color w:val="00B0F0"/>
          <w:sz w:val="24"/>
          <w:szCs w:val="24"/>
          <w:lang w:eastAsia="ar-SA"/>
        </w:rPr>
      </w:pPr>
      <w:r w:rsidRPr="00470DBE">
        <w:rPr>
          <w:rFonts w:ascii="Times New Roman" w:hAnsi="Times New Roman" w:cs="Times New Roman"/>
          <w:b/>
          <w:color w:val="00B0F0"/>
          <w:sz w:val="24"/>
          <w:szCs w:val="24"/>
          <w:lang w:eastAsia="ar-SA"/>
        </w:rPr>
        <w:t>Dokumenty, strategie i działania na rzecz osób starszych</w:t>
      </w:r>
    </w:p>
    <w:p w14:paraId="0A4F31A0" w14:textId="77777777" w:rsidR="00B723E6" w:rsidRDefault="00B723E6" w:rsidP="00493925">
      <w:pPr>
        <w:widowControl w:val="0"/>
        <w:autoSpaceDE w:val="0"/>
        <w:autoSpaceDN w:val="0"/>
        <w:adjustRightInd w:val="0"/>
        <w:spacing w:after="0"/>
        <w:jc w:val="both"/>
        <w:rPr>
          <w:rFonts w:ascii="Times New Roman" w:hAnsi="Times New Roman" w:cs="Times New Roman"/>
          <w:b/>
          <w:sz w:val="24"/>
          <w:szCs w:val="24"/>
        </w:rPr>
      </w:pPr>
    </w:p>
    <w:p w14:paraId="1B2F8834" w14:textId="77777777" w:rsidR="00AD0BF8" w:rsidRDefault="00F31DCC" w:rsidP="00493925">
      <w:pPr>
        <w:widowControl w:val="0"/>
        <w:autoSpaceDE w:val="0"/>
        <w:autoSpaceDN w:val="0"/>
        <w:adjustRightInd w:val="0"/>
        <w:spacing w:after="0"/>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Z uwagi na wzrost osób starszych w populacji województwa istotny staje się problem zabezpieczenia szeroko pojętego wsparcia, opieki geriatrycznej i długoterminowej, zarówno w formie opieki instytucjonalnej (Domy Pomocy Społecznej, Zakłady Opiekuńczo- Lecznicze, Zakłady Pielęgnacyjno-Opiekuńcze), jak i domowej (opieka pielęgniarska, usługi opiekuńcze). Każdego roku inicjowane są nowe działania mające na celu podniesienie jakości życia osób starszych i zabezpieczenie ich potrzeb.</w:t>
      </w:r>
      <w:r w:rsidRPr="005F0A32">
        <w:rPr>
          <w:rFonts w:ascii="Times New Roman" w:hAnsi="Times New Roman" w:cs="Times New Roman"/>
          <w:sz w:val="24"/>
          <w:szCs w:val="24"/>
        </w:rPr>
        <w:t xml:space="preserve"> </w:t>
      </w:r>
      <w:r w:rsidRPr="005F0A32">
        <w:rPr>
          <w:rFonts w:ascii="Times New Roman" w:eastAsia="Times New Roman" w:hAnsi="Times New Roman" w:cs="Times New Roman"/>
          <w:sz w:val="24"/>
          <w:szCs w:val="24"/>
          <w:lang w:eastAsia="pl-PL"/>
        </w:rPr>
        <w:t>Działania na rzecz osób starszych w 2019 r., były podejmowane w szczególności w następujących obszarach: kształtowanie pozytywnego postrzegania starości w społeczeństwie; uczestnictwo w życiu społecznym; promocja zdrowia; zwiększanie bezpieczeństwa fizycznego – przeciwdziałanie przemocy i zaniedbaniom wobec osób starszych oraz tworzenie warunków do solidarności i integracji międzypokoleniowej. Ponadto w województwie wzrasta sieć usług środowiskowych, oraz instytucjonalnych - udzielanych niesamodzielnym osobom starszym. Funkcjonuje też system wsparcia nieformalnych opiekunów os</w:t>
      </w:r>
      <w:r w:rsidR="00AD0BF8">
        <w:rPr>
          <w:rFonts w:ascii="Times New Roman" w:eastAsia="Times New Roman" w:hAnsi="Times New Roman" w:cs="Times New Roman"/>
          <w:sz w:val="24"/>
          <w:szCs w:val="24"/>
          <w:lang w:eastAsia="pl-PL"/>
        </w:rPr>
        <w:t>ób starszych, w ich środowisku.</w:t>
      </w:r>
    </w:p>
    <w:p w14:paraId="0988F026" w14:textId="77777777" w:rsidR="00AD0BF8" w:rsidRDefault="00AD0BF8" w:rsidP="00493925">
      <w:pPr>
        <w:widowControl w:val="0"/>
        <w:autoSpaceDE w:val="0"/>
        <w:autoSpaceDN w:val="0"/>
        <w:adjustRightInd w:val="0"/>
        <w:spacing w:after="0"/>
        <w:jc w:val="both"/>
        <w:rPr>
          <w:rFonts w:ascii="Times New Roman" w:eastAsia="Times New Roman" w:hAnsi="Times New Roman" w:cs="Times New Roman"/>
          <w:sz w:val="24"/>
          <w:szCs w:val="24"/>
          <w:lang w:eastAsia="pl-PL"/>
        </w:rPr>
      </w:pPr>
    </w:p>
    <w:p w14:paraId="657194F1" w14:textId="77777777" w:rsidR="00F31DCC" w:rsidRPr="005F0A32" w:rsidRDefault="00F31DCC" w:rsidP="00493925">
      <w:pPr>
        <w:widowControl w:val="0"/>
        <w:autoSpaceDE w:val="0"/>
        <w:autoSpaceDN w:val="0"/>
        <w:adjustRightInd w:val="0"/>
        <w:spacing w:after="0"/>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 xml:space="preserve">Mając na względzie starzenie się społeczeństwa </w:t>
      </w:r>
      <w:r w:rsidRPr="00470DBE">
        <w:rPr>
          <w:rFonts w:ascii="Times New Roman" w:eastAsia="Times New Roman" w:hAnsi="Times New Roman" w:cs="Times New Roman"/>
          <w:sz w:val="24"/>
          <w:szCs w:val="24"/>
          <w:lang w:eastAsia="pl-PL"/>
        </w:rPr>
        <w:t>Wojewoda Lubuski</w:t>
      </w:r>
      <w:r w:rsidRPr="005F0A32">
        <w:rPr>
          <w:rFonts w:ascii="Times New Roman" w:eastAsia="Times New Roman" w:hAnsi="Times New Roman" w:cs="Times New Roman"/>
          <w:sz w:val="24"/>
          <w:szCs w:val="24"/>
          <w:lang w:eastAsia="pl-PL"/>
        </w:rPr>
        <w:t xml:space="preserve"> w </w:t>
      </w:r>
      <w:r w:rsidRPr="00AD0BF8">
        <w:rPr>
          <w:rFonts w:ascii="Times New Roman" w:eastAsia="Times New Roman" w:hAnsi="Times New Roman" w:cs="Times New Roman"/>
          <w:sz w:val="24"/>
          <w:szCs w:val="24"/>
          <w:lang w:eastAsia="pl-PL"/>
        </w:rPr>
        <w:t>„Priorytetach dla Regionalnej Polityki Zdrowotnej Województwa Lubuskiego na lata 2019-2021”</w:t>
      </w:r>
      <w:r w:rsidRPr="005F0A32">
        <w:rPr>
          <w:rFonts w:ascii="Times New Roman" w:eastAsia="Times New Roman" w:hAnsi="Times New Roman" w:cs="Times New Roman"/>
          <w:sz w:val="24"/>
          <w:szCs w:val="24"/>
          <w:u w:val="single"/>
          <w:lang w:eastAsia="pl-PL"/>
        </w:rPr>
        <w:t xml:space="preserve"> </w:t>
      </w:r>
      <w:r w:rsidRPr="005F0A32">
        <w:rPr>
          <w:rFonts w:ascii="Times New Roman" w:eastAsia="Times New Roman" w:hAnsi="Times New Roman" w:cs="Times New Roman"/>
          <w:sz w:val="24"/>
          <w:szCs w:val="24"/>
          <w:lang w:eastAsia="pl-PL"/>
        </w:rPr>
        <w:t xml:space="preserve"> ustalonych Zarządzeniem Wojewody Lubuskiego z dnia 31 sierpnia 2018 r. ujął m.in.:</w:t>
      </w:r>
    </w:p>
    <w:p w14:paraId="516BCD69" w14:textId="77777777" w:rsidR="00F31DCC" w:rsidRPr="00AD0BF8" w:rsidRDefault="00F31DCC" w:rsidP="008C71A9">
      <w:pPr>
        <w:pStyle w:val="Akapitzlist"/>
        <w:widowControl w:val="0"/>
        <w:numPr>
          <w:ilvl w:val="0"/>
          <w:numId w:val="59"/>
        </w:numPr>
        <w:autoSpaceDE w:val="0"/>
        <w:autoSpaceDN w:val="0"/>
        <w:adjustRightInd w:val="0"/>
        <w:spacing w:after="0"/>
        <w:ind w:left="360"/>
        <w:jc w:val="both"/>
        <w:rPr>
          <w:rFonts w:ascii="Times New Roman" w:eastAsia="Times New Roman" w:hAnsi="Times New Roman" w:cs="Times New Roman"/>
          <w:sz w:val="24"/>
          <w:szCs w:val="24"/>
          <w:lang w:eastAsia="pl-PL"/>
        </w:rPr>
      </w:pPr>
      <w:r w:rsidRPr="00470DBE">
        <w:rPr>
          <w:rFonts w:ascii="Times New Roman" w:hAnsi="Times New Roman" w:cs="Times New Roman"/>
          <w:sz w:val="24"/>
          <w:szCs w:val="24"/>
        </w:rPr>
        <w:t>„</w:t>
      </w:r>
      <w:r w:rsidRPr="00470DBE">
        <w:rPr>
          <w:rFonts w:ascii="Times New Roman" w:eastAsia="Times New Roman" w:hAnsi="Times New Roman" w:cs="Times New Roman"/>
          <w:sz w:val="24"/>
          <w:szCs w:val="24"/>
          <w:lang w:eastAsia="pl-PL"/>
        </w:rPr>
        <w:t>Zagwarantowanie instytucjonalnej opieki dla osób przewlekle chorych”,</w:t>
      </w:r>
      <w:r w:rsidRPr="00AD0BF8">
        <w:rPr>
          <w:rFonts w:ascii="Times New Roman" w:eastAsia="Times New Roman" w:hAnsi="Times New Roman" w:cs="Times New Roman"/>
          <w:sz w:val="24"/>
          <w:szCs w:val="24"/>
          <w:lang w:eastAsia="pl-PL"/>
        </w:rPr>
        <w:t xml:space="preserve"> w celu poprawy dostępności do opieki długoterminowej.</w:t>
      </w:r>
      <w:r w:rsidRPr="00AD0BF8">
        <w:rPr>
          <w:rFonts w:ascii="Times New Roman" w:hAnsi="Times New Roman" w:cs="Times New Roman"/>
          <w:sz w:val="24"/>
          <w:szCs w:val="24"/>
        </w:rPr>
        <w:t xml:space="preserve"> </w:t>
      </w:r>
      <w:r w:rsidRPr="00AD0BF8">
        <w:rPr>
          <w:rFonts w:ascii="Times New Roman" w:eastAsia="Times New Roman" w:hAnsi="Times New Roman" w:cs="Times New Roman"/>
          <w:sz w:val="24"/>
          <w:szCs w:val="24"/>
          <w:lang w:eastAsia="pl-PL"/>
        </w:rPr>
        <w:t>Do działań w ramach niniejszego priorytetu zalicza się:</w:t>
      </w:r>
    </w:p>
    <w:p w14:paraId="2FB40DDC" w14:textId="77777777" w:rsidR="00F31DCC" w:rsidRPr="005F0A32" w:rsidRDefault="00F31DCC" w:rsidP="008C71A9">
      <w:pPr>
        <w:widowControl w:val="0"/>
        <w:numPr>
          <w:ilvl w:val="0"/>
          <w:numId w:val="60"/>
        </w:numPr>
        <w:autoSpaceDE w:val="0"/>
        <w:autoSpaceDN w:val="0"/>
        <w:adjustRightInd w:val="0"/>
        <w:spacing w:after="0"/>
        <w:ind w:left="643"/>
        <w:contextualSpacing/>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zwiększenie dostępności do specjalistycznych form opieki długoterminowej w ramach środków publicznych (Zakładów Opiekuńczo-Leczniczych, Zakładów Pielęgnacyjno- Opiekuńczych, hospicjów domowych i stacjonarnych, domowej opieki długoterminowej, wentylacji mechanicznej pacjentów w warunkach domowych i stacjonarnych, leczenia bólu, rehabilitacji domowej);</w:t>
      </w:r>
    </w:p>
    <w:p w14:paraId="29848D29" w14:textId="77777777" w:rsidR="00F31DCC" w:rsidRPr="005F0A32" w:rsidRDefault="00F31DCC" w:rsidP="008C71A9">
      <w:pPr>
        <w:widowControl w:val="0"/>
        <w:numPr>
          <w:ilvl w:val="0"/>
          <w:numId w:val="60"/>
        </w:numPr>
        <w:autoSpaceDE w:val="0"/>
        <w:autoSpaceDN w:val="0"/>
        <w:adjustRightInd w:val="0"/>
        <w:spacing w:after="0"/>
        <w:ind w:left="643"/>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zabezpieczenie w sprzęt specjalistyczny niezbędny do opieki długoterminowej.</w:t>
      </w:r>
    </w:p>
    <w:p w14:paraId="5D28285F" w14:textId="77777777" w:rsidR="00F31DCC" w:rsidRPr="00AD0BF8" w:rsidRDefault="00F31DCC" w:rsidP="00493925">
      <w:pPr>
        <w:pStyle w:val="Akapitzlist"/>
        <w:widowControl w:val="0"/>
        <w:numPr>
          <w:ilvl w:val="0"/>
          <w:numId w:val="15"/>
        </w:numPr>
        <w:autoSpaceDE w:val="0"/>
        <w:autoSpaceDN w:val="0"/>
        <w:adjustRightInd w:val="0"/>
        <w:spacing w:after="0"/>
        <w:ind w:left="360"/>
        <w:jc w:val="both"/>
        <w:rPr>
          <w:rFonts w:ascii="Times New Roman" w:hAnsi="Times New Roman" w:cs="Times New Roman"/>
          <w:sz w:val="24"/>
          <w:szCs w:val="24"/>
        </w:rPr>
      </w:pPr>
      <w:r w:rsidRPr="00470DBE">
        <w:rPr>
          <w:rFonts w:ascii="Times New Roman" w:hAnsi="Times New Roman" w:cs="Times New Roman"/>
          <w:sz w:val="24"/>
          <w:szCs w:val="24"/>
        </w:rPr>
        <w:t>„Rozwój opieki geriatrycznej oraz zwiększenie efektywności procesu diagnostyczno-terapeutycznego”</w:t>
      </w:r>
      <w:r w:rsidRPr="00AD0BF8">
        <w:rPr>
          <w:rFonts w:ascii="Times New Roman" w:hAnsi="Times New Roman" w:cs="Times New Roman"/>
          <w:sz w:val="24"/>
          <w:szCs w:val="24"/>
        </w:rPr>
        <w:t xml:space="preserve"> w celu poprawy opieki nad osobami starszymi oraz utrzymania zdrowia i samodzielności seniorów jak najdłużej. Działania w ramach niniejszego priorytetu uwzględniają holistyczne podejście do pacjenta geriatrycznego:</w:t>
      </w:r>
    </w:p>
    <w:p w14:paraId="68A1B37A" w14:textId="77777777" w:rsidR="00F31DCC" w:rsidRPr="005F0A32" w:rsidRDefault="00F31DCC" w:rsidP="008C71A9">
      <w:pPr>
        <w:widowControl w:val="0"/>
        <w:numPr>
          <w:ilvl w:val="0"/>
          <w:numId w:val="61"/>
        </w:numPr>
        <w:autoSpaceDE w:val="0"/>
        <w:autoSpaceDN w:val="0"/>
        <w:adjustRightInd w:val="0"/>
        <w:spacing w:after="0"/>
        <w:ind w:left="643"/>
        <w:contextualSpacing/>
        <w:jc w:val="both"/>
        <w:rPr>
          <w:rFonts w:ascii="Times New Roman" w:hAnsi="Times New Roman" w:cs="Times New Roman"/>
          <w:sz w:val="24"/>
          <w:szCs w:val="24"/>
        </w:rPr>
      </w:pPr>
      <w:r w:rsidRPr="005F0A32">
        <w:rPr>
          <w:rFonts w:ascii="Times New Roman" w:hAnsi="Times New Roman" w:cs="Times New Roman"/>
          <w:sz w:val="24"/>
          <w:szCs w:val="24"/>
        </w:rPr>
        <w:t>tworzenie lub dostosowywanie oddziałów do leczenia schorzeń geriatrycznych z fachową obsadą, rehabilitacji geriatrycznej oraz Zakładów Opiekuńczo-Leczniczych, ze szczególnym uwzględnieniem równomiernego rozmieszczenia na terenie województwa i kompleksowości oferowanych usług;</w:t>
      </w:r>
    </w:p>
    <w:p w14:paraId="1E6F4FE6" w14:textId="77777777" w:rsidR="00F31DCC" w:rsidRPr="005F0A32" w:rsidRDefault="00F31DCC" w:rsidP="008C71A9">
      <w:pPr>
        <w:widowControl w:val="0"/>
        <w:numPr>
          <w:ilvl w:val="0"/>
          <w:numId w:val="61"/>
        </w:numPr>
        <w:autoSpaceDE w:val="0"/>
        <w:autoSpaceDN w:val="0"/>
        <w:adjustRightInd w:val="0"/>
        <w:spacing w:after="0"/>
        <w:ind w:left="643"/>
        <w:contextualSpacing/>
        <w:jc w:val="both"/>
        <w:rPr>
          <w:rFonts w:ascii="Times New Roman" w:hAnsi="Times New Roman" w:cs="Times New Roman"/>
          <w:sz w:val="24"/>
          <w:szCs w:val="24"/>
        </w:rPr>
      </w:pPr>
      <w:r w:rsidRPr="005F0A32">
        <w:rPr>
          <w:rFonts w:ascii="Times New Roman" w:hAnsi="Times New Roman" w:cs="Times New Roman"/>
          <w:sz w:val="24"/>
          <w:szCs w:val="24"/>
        </w:rPr>
        <w:t>tworzenie pozaszpitalnych form opieki dziennej i środowiskowej oraz Zakładów Opiekuńczo-Leczniczych (ZOL), Zakładów Pielęgnacyjno-Opiekuńczych (ZPO);</w:t>
      </w:r>
    </w:p>
    <w:p w14:paraId="2F58F8B5" w14:textId="77777777" w:rsidR="00F31DCC" w:rsidRPr="005F0A32" w:rsidRDefault="00F31DCC" w:rsidP="008C71A9">
      <w:pPr>
        <w:widowControl w:val="0"/>
        <w:numPr>
          <w:ilvl w:val="0"/>
          <w:numId w:val="61"/>
        </w:numPr>
        <w:autoSpaceDE w:val="0"/>
        <w:autoSpaceDN w:val="0"/>
        <w:adjustRightInd w:val="0"/>
        <w:spacing w:after="0"/>
        <w:ind w:left="643"/>
        <w:contextualSpacing/>
        <w:jc w:val="both"/>
        <w:rPr>
          <w:rFonts w:ascii="Times New Roman" w:hAnsi="Times New Roman" w:cs="Times New Roman"/>
          <w:sz w:val="24"/>
          <w:szCs w:val="24"/>
        </w:rPr>
      </w:pPr>
      <w:r w:rsidRPr="005F0A32">
        <w:rPr>
          <w:rFonts w:ascii="Times New Roman" w:hAnsi="Times New Roman" w:cs="Times New Roman"/>
          <w:sz w:val="24"/>
          <w:szCs w:val="24"/>
        </w:rPr>
        <w:t>tworzenie warunków do zwiększenia liczby miejsc specjalizacyjnych dla lekarzy geriatrów i innych lekarzy w dziedzinach związanych z opieką nad osobą starszą.</w:t>
      </w:r>
    </w:p>
    <w:p w14:paraId="0349FC8B" w14:textId="77777777" w:rsidR="00470DBE" w:rsidRDefault="00470DBE" w:rsidP="00493925">
      <w:pPr>
        <w:spacing w:after="0"/>
        <w:contextualSpacing/>
        <w:jc w:val="both"/>
        <w:rPr>
          <w:rFonts w:ascii="Times New Roman" w:eastAsia="Calibri" w:hAnsi="Times New Roman" w:cs="Times New Roman"/>
          <w:sz w:val="24"/>
          <w:szCs w:val="24"/>
        </w:rPr>
      </w:pPr>
    </w:p>
    <w:p w14:paraId="486A0A3B" w14:textId="77777777" w:rsidR="00F31DCC" w:rsidRPr="005F0A32" w:rsidRDefault="00F31DCC" w:rsidP="00493925">
      <w:pPr>
        <w:spacing w:after="0"/>
        <w:contextualSpacing/>
        <w:jc w:val="both"/>
        <w:rPr>
          <w:rFonts w:ascii="Times New Roman" w:eastAsia="Calibri" w:hAnsi="Times New Roman" w:cs="Times New Roman"/>
          <w:sz w:val="24"/>
          <w:szCs w:val="24"/>
        </w:rPr>
      </w:pPr>
      <w:r w:rsidRPr="00470DBE">
        <w:rPr>
          <w:rFonts w:ascii="Times New Roman" w:eastAsia="Calibri" w:hAnsi="Times New Roman" w:cs="Times New Roman"/>
          <w:sz w:val="24"/>
          <w:szCs w:val="24"/>
        </w:rPr>
        <w:lastRenderedPageBreak/>
        <w:t>Regionalny Ośrodek Pomocy Społecznej</w:t>
      </w:r>
      <w:r w:rsidRPr="005F0A32">
        <w:rPr>
          <w:rFonts w:ascii="Times New Roman" w:eastAsia="Calibri" w:hAnsi="Times New Roman" w:cs="Times New Roman"/>
          <w:b/>
          <w:sz w:val="24"/>
          <w:szCs w:val="24"/>
        </w:rPr>
        <w:t xml:space="preserve"> </w:t>
      </w:r>
      <w:r w:rsidRPr="005F0A32">
        <w:rPr>
          <w:rFonts w:ascii="Times New Roman" w:eastAsia="Calibri" w:hAnsi="Times New Roman" w:cs="Times New Roman"/>
          <w:sz w:val="24"/>
          <w:szCs w:val="24"/>
        </w:rPr>
        <w:t xml:space="preserve">opracował </w:t>
      </w:r>
      <w:r w:rsidRPr="00AD0BF8">
        <w:rPr>
          <w:rFonts w:ascii="Times New Roman" w:eastAsia="Calibri" w:hAnsi="Times New Roman" w:cs="Times New Roman"/>
          <w:sz w:val="24"/>
          <w:szCs w:val="24"/>
        </w:rPr>
        <w:t>„Wojewódzki Program na rzecz Osób Starszych”,</w:t>
      </w:r>
      <w:r w:rsidR="001D3BEB">
        <w:rPr>
          <w:rFonts w:ascii="Times New Roman" w:eastAsia="Calibri" w:hAnsi="Times New Roman" w:cs="Times New Roman"/>
          <w:sz w:val="24"/>
          <w:szCs w:val="24"/>
        </w:rPr>
        <w:t xml:space="preserve"> który obowiązuje </w:t>
      </w:r>
      <w:r w:rsidRPr="005F0A32">
        <w:rPr>
          <w:rFonts w:ascii="Times New Roman" w:eastAsia="Calibri" w:hAnsi="Times New Roman" w:cs="Times New Roman"/>
          <w:sz w:val="24"/>
          <w:szCs w:val="24"/>
        </w:rPr>
        <w:t>od 2018 r. Celem  strategicznym Programu jest „Poprawa jakości i warunków życia osób st</w:t>
      </w:r>
      <w:r w:rsidR="003C7BAA">
        <w:rPr>
          <w:rFonts w:ascii="Times New Roman" w:eastAsia="Calibri" w:hAnsi="Times New Roman" w:cs="Times New Roman"/>
          <w:sz w:val="24"/>
          <w:szCs w:val="24"/>
        </w:rPr>
        <w:t>arszych w województwie lubuskim</w:t>
      </w:r>
      <w:r w:rsidRPr="005F0A32">
        <w:rPr>
          <w:rFonts w:ascii="Times New Roman" w:eastAsia="Calibri" w:hAnsi="Times New Roman" w:cs="Times New Roman"/>
          <w:sz w:val="24"/>
          <w:szCs w:val="24"/>
        </w:rPr>
        <w:t>”</w:t>
      </w:r>
      <w:r w:rsidR="003C7BAA">
        <w:rPr>
          <w:rStyle w:val="Odwoanieprzypisudolnego"/>
          <w:rFonts w:ascii="Times New Roman" w:eastAsia="Calibri" w:hAnsi="Times New Roman" w:cs="Times New Roman"/>
          <w:sz w:val="24"/>
          <w:szCs w:val="24"/>
        </w:rPr>
        <w:footnoteReference w:id="85"/>
      </w:r>
      <w:r w:rsidR="003C7BAA">
        <w:rPr>
          <w:rFonts w:ascii="Times New Roman" w:eastAsia="Calibri" w:hAnsi="Times New Roman" w:cs="Times New Roman"/>
          <w:sz w:val="24"/>
          <w:szCs w:val="24"/>
        </w:rPr>
        <w:t>.</w:t>
      </w:r>
    </w:p>
    <w:p w14:paraId="271759F2" w14:textId="77777777" w:rsidR="003C7BAA" w:rsidRDefault="003C7BAA" w:rsidP="00493925">
      <w:pPr>
        <w:spacing w:after="0"/>
        <w:jc w:val="both"/>
        <w:rPr>
          <w:rFonts w:ascii="Times New Roman" w:eastAsia="Calibri" w:hAnsi="Times New Roman" w:cs="Times New Roman"/>
          <w:sz w:val="24"/>
          <w:szCs w:val="24"/>
        </w:rPr>
      </w:pPr>
    </w:p>
    <w:p w14:paraId="45E26198" w14:textId="77777777" w:rsidR="00F31DCC" w:rsidRPr="005F0A32" w:rsidRDefault="00F31DCC" w:rsidP="00493925">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Realizacja  głównych celów „Wojewódzkiego Programu na rzecz Osób Starszych”  odbywa się poprzez liczne programy dotyczące:</w:t>
      </w:r>
    </w:p>
    <w:p w14:paraId="18C6E567" w14:textId="77777777" w:rsidR="00F31DCC" w:rsidRPr="005F0A32" w:rsidRDefault="00F31DCC" w:rsidP="008C71A9">
      <w:pPr>
        <w:numPr>
          <w:ilvl w:val="0"/>
          <w:numId w:val="62"/>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Poprawy jakości i dostępności usług medycznych.</w:t>
      </w:r>
    </w:p>
    <w:p w14:paraId="215B6A73" w14:textId="77777777" w:rsidR="00F31DCC" w:rsidRPr="005F0A32" w:rsidRDefault="00F31DCC" w:rsidP="008C71A9">
      <w:pPr>
        <w:numPr>
          <w:ilvl w:val="0"/>
          <w:numId w:val="62"/>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Przeciwdziałania wykluczeniu społecznemu osób starszych i ich rodzin.</w:t>
      </w:r>
    </w:p>
    <w:p w14:paraId="4B0F82F0" w14:textId="77777777" w:rsidR="00F31DCC" w:rsidRPr="005F0A32" w:rsidRDefault="00F31DCC" w:rsidP="008C71A9">
      <w:pPr>
        <w:numPr>
          <w:ilvl w:val="0"/>
          <w:numId w:val="62"/>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Rozwoju aktywności społecznej, kulturaln</w:t>
      </w:r>
      <w:r w:rsidR="003C7BAA">
        <w:rPr>
          <w:rFonts w:ascii="Times New Roman" w:eastAsia="Calibri" w:hAnsi="Times New Roman" w:cs="Times New Roman"/>
          <w:sz w:val="24"/>
          <w:szCs w:val="24"/>
        </w:rPr>
        <w:t xml:space="preserve">ej i edukacyjnej osób starszych </w:t>
      </w:r>
      <w:r w:rsidRPr="005F0A32">
        <w:rPr>
          <w:rFonts w:ascii="Times New Roman" w:eastAsia="Calibri" w:hAnsi="Times New Roman" w:cs="Times New Roman"/>
          <w:sz w:val="24"/>
          <w:szCs w:val="24"/>
        </w:rPr>
        <w:t>oraz przeciwdziałania izolacji społecznej.</w:t>
      </w:r>
    </w:p>
    <w:p w14:paraId="2D1EFDC4" w14:textId="77777777" w:rsidR="00F31DCC" w:rsidRPr="005F0A32" w:rsidRDefault="00F31DCC" w:rsidP="008C71A9">
      <w:pPr>
        <w:numPr>
          <w:ilvl w:val="0"/>
          <w:numId w:val="62"/>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Wzrostu aktywności zawodowej osób starszych.</w:t>
      </w:r>
    </w:p>
    <w:p w14:paraId="18FA141C" w14:textId="77777777" w:rsidR="00F31DCC" w:rsidRPr="005F0A32" w:rsidRDefault="00F31DCC" w:rsidP="008C71A9">
      <w:pPr>
        <w:numPr>
          <w:ilvl w:val="0"/>
          <w:numId w:val="62"/>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Zapobiegania przemocy i dyskryminacji wobec osób starszych.</w:t>
      </w:r>
    </w:p>
    <w:p w14:paraId="4CE229B9" w14:textId="77777777" w:rsidR="00AD0BF8" w:rsidRDefault="00AD0BF8" w:rsidP="00493925">
      <w:pPr>
        <w:spacing w:after="0"/>
        <w:contextualSpacing/>
        <w:jc w:val="both"/>
        <w:rPr>
          <w:rFonts w:ascii="Times New Roman" w:eastAsia="Calibri" w:hAnsi="Times New Roman" w:cs="Times New Roman"/>
          <w:b/>
          <w:sz w:val="24"/>
          <w:szCs w:val="24"/>
        </w:rPr>
      </w:pPr>
    </w:p>
    <w:p w14:paraId="1B6776DA" w14:textId="77777777" w:rsidR="00F31DCC" w:rsidRPr="00AD0BF8" w:rsidRDefault="00F31DCC" w:rsidP="00493925">
      <w:pPr>
        <w:spacing w:after="0"/>
        <w:contextualSpacing/>
        <w:jc w:val="both"/>
        <w:rPr>
          <w:rFonts w:ascii="Times New Roman" w:eastAsia="Calibri" w:hAnsi="Times New Roman" w:cs="Times New Roman"/>
          <w:sz w:val="24"/>
          <w:szCs w:val="24"/>
          <w:u w:val="single"/>
        </w:rPr>
      </w:pPr>
      <w:r w:rsidRPr="003C7BAA">
        <w:rPr>
          <w:rFonts w:ascii="Times New Roman" w:eastAsia="Calibri" w:hAnsi="Times New Roman" w:cs="Times New Roman"/>
          <w:sz w:val="24"/>
          <w:szCs w:val="24"/>
        </w:rPr>
        <w:t>Samorząd Województwa Lubuskiego</w:t>
      </w:r>
      <w:r w:rsidRPr="005F0A32">
        <w:rPr>
          <w:rFonts w:ascii="Times New Roman" w:eastAsia="Calibri" w:hAnsi="Times New Roman" w:cs="Times New Roman"/>
          <w:sz w:val="24"/>
          <w:szCs w:val="24"/>
        </w:rPr>
        <w:t xml:space="preserve"> opracował </w:t>
      </w:r>
      <w:r w:rsidR="001D3BEB">
        <w:rPr>
          <w:rFonts w:ascii="Times New Roman" w:eastAsia="Calibri" w:hAnsi="Times New Roman" w:cs="Times New Roman"/>
          <w:sz w:val="24"/>
          <w:szCs w:val="24"/>
        </w:rPr>
        <w:t xml:space="preserve">także </w:t>
      </w:r>
      <w:r w:rsidRPr="00AD0BF8">
        <w:rPr>
          <w:rFonts w:ascii="Times New Roman" w:eastAsia="Calibri" w:hAnsi="Times New Roman" w:cs="Times New Roman"/>
          <w:sz w:val="24"/>
          <w:szCs w:val="24"/>
        </w:rPr>
        <w:t>Strategię Polityki Społecznej Województwa Lubuskiego  na lata 2014-2020</w:t>
      </w:r>
      <w:r w:rsidR="003C7BAA">
        <w:rPr>
          <w:rStyle w:val="Odwoanieprzypisudolnego"/>
          <w:rFonts w:ascii="Times New Roman" w:eastAsia="Calibri" w:hAnsi="Times New Roman" w:cs="Times New Roman"/>
          <w:sz w:val="24"/>
          <w:szCs w:val="24"/>
        </w:rPr>
        <w:footnoteReference w:id="86"/>
      </w:r>
      <w:r w:rsidR="003C7BAA">
        <w:rPr>
          <w:rFonts w:ascii="Times New Roman" w:eastAsia="Calibri" w:hAnsi="Times New Roman" w:cs="Times New Roman"/>
          <w:sz w:val="24"/>
          <w:szCs w:val="24"/>
        </w:rPr>
        <w:t>.</w:t>
      </w:r>
    </w:p>
    <w:p w14:paraId="6B473819" w14:textId="77777777" w:rsidR="00AD0BF8" w:rsidRDefault="00AD0BF8" w:rsidP="00493925">
      <w:pPr>
        <w:spacing w:after="0"/>
        <w:jc w:val="both"/>
        <w:rPr>
          <w:rFonts w:ascii="Times New Roman" w:eastAsia="Calibri" w:hAnsi="Times New Roman" w:cs="Times New Roman"/>
          <w:sz w:val="24"/>
          <w:szCs w:val="24"/>
        </w:rPr>
      </w:pPr>
    </w:p>
    <w:p w14:paraId="26400C0C" w14:textId="77777777" w:rsidR="00F31DCC" w:rsidRPr="005F0A32" w:rsidRDefault="00F31DCC" w:rsidP="00493925">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Lubuskie gminy realizowały liczne programy wspierające osoby starsze. Były to programy inicjowane zarówno przez samorząd oraz w ramach polityki rządowej, np:</w:t>
      </w:r>
    </w:p>
    <w:p w14:paraId="021AF0AB" w14:textId="77777777" w:rsidR="00F31DCC" w:rsidRPr="00AD0BF8" w:rsidRDefault="00F31DCC" w:rsidP="008C71A9">
      <w:pPr>
        <w:pStyle w:val="Akapitzlist"/>
        <w:numPr>
          <w:ilvl w:val="0"/>
          <w:numId w:val="63"/>
        </w:numPr>
        <w:spacing w:after="0"/>
        <w:ind w:left="360"/>
        <w:jc w:val="both"/>
        <w:rPr>
          <w:rFonts w:ascii="Times New Roman" w:eastAsia="Calibri" w:hAnsi="Times New Roman" w:cs="Times New Roman"/>
          <w:sz w:val="24"/>
          <w:szCs w:val="24"/>
        </w:rPr>
      </w:pPr>
      <w:r w:rsidRPr="00AD0BF8">
        <w:rPr>
          <w:rFonts w:ascii="Times New Roman" w:eastAsia="Calibri" w:hAnsi="Times New Roman" w:cs="Times New Roman"/>
          <w:sz w:val="24"/>
          <w:szCs w:val="24"/>
        </w:rPr>
        <w:t>Gorzów Wlkp. - Projekt "Obywatel cyfrowej przyszłości – wzrost aktywności obywatelskiej w obszarze kompetencji cyfrowych w woj. lubuskim", tzw. e-Senior 65+.</w:t>
      </w:r>
    </w:p>
    <w:p w14:paraId="5E8F8E76" w14:textId="77777777" w:rsidR="00F31DCC" w:rsidRPr="005F0A32" w:rsidRDefault="00F31DCC" w:rsidP="00493925">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 Szkolenia z zakresu rozwoju kompetencji cyfrowych i medialnych, w tym m.in.: korzystania z e-usług - począwszy od nauki obsługi komputera i internetu, jak i rozwijania umiejętności bardziej zaawansowanych. W projekcie uczestniczyły 33 osoby</w:t>
      </w:r>
      <w:r w:rsidR="001D3BEB">
        <w:rPr>
          <w:rStyle w:val="Odwoanieprzypisudolnego"/>
          <w:rFonts w:ascii="Times New Roman" w:eastAsia="Calibri" w:hAnsi="Times New Roman" w:cs="Times New Roman"/>
          <w:sz w:val="24"/>
          <w:szCs w:val="24"/>
        </w:rPr>
        <w:footnoteReference w:id="87"/>
      </w:r>
      <w:r w:rsidRPr="005F0A32">
        <w:rPr>
          <w:rFonts w:ascii="Times New Roman" w:eastAsia="Calibri" w:hAnsi="Times New Roman" w:cs="Times New Roman"/>
          <w:sz w:val="24"/>
          <w:szCs w:val="24"/>
        </w:rPr>
        <w:t xml:space="preserve">. </w:t>
      </w:r>
    </w:p>
    <w:p w14:paraId="44592381" w14:textId="77777777" w:rsidR="00F31DCC" w:rsidRPr="00063B1D" w:rsidRDefault="00F31DCC" w:rsidP="008C71A9">
      <w:pPr>
        <w:pStyle w:val="Akapitzlist"/>
        <w:numPr>
          <w:ilvl w:val="0"/>
          <w:numId w:val="63"/>
        </w:numPr>
        <w:spacing w:after="0"/>
        <w:ind w:left="360"/>
        <w:jc w:val="both"/>
        <w:rPr>
          <w:rFonts w:ascii="Times New Roman" w:eastAsia="Calibri" w:hAnsi="Times New Roman" w:cs="Times New Roman"/>
          <w:sz w:val="24"/>
          <w:szCs w:val="24"/>
        </w:rPr>
      </w:pPr>
      <w:r w:rsidRPr="00063B1D">
        <w:rPr>
          <w:rFonts w:ascii="Times New Roman" w:eastAsia="Calibri" w:hAnsi="Times New Roman" w:cs="Times New Roman"/>
          <w:sz w:val="24"/>
          <w:szCs w:val="24"/>
        </w:rPr>
        <w:t>Zielona Góra - Program ”ZGrani Zielonogórzanie 50+” - miejski program lojalnościowo - rabatowy, integrujący i wspierający przedsiębiorców z miasta oraz motywujący i zachęcający zielonogórzan do wspólnego spędzania czasu w gronie rodzinnym. Do projektu przystąpiło 32 021 osób</w:t>
      </w:r>
      <w:r w:rsidR="001D3BEB">
        <w:rPr>
          <w:rStyle w:val="Odwoanieprzypisudolnego"/>
          <w:rFonts w:ascii="Times New Roman" w:eastAsia="Calibri" w:hAnsi="Times New Roman" w:cs="Times New Roman"/>
          <w:sz w:val="24"/>
          <w:szCs w:val="24"/>
        </w:rPr>
        <w:footnoteReference w:id="88"/>
      </w:r>
      <w:r w:rsidRPr="00063B1D">
        <w:rPr>
          <w:rFonts w:ascii="Times New Roman" w:eastAsia="Calibri" w:hAnsi="Times New Roman" w:cs="Times New Roman"/>
          <w:sz w:val="24"/>
          <w:szCs w:val="24"/>
        </w:rPr>
        <w:t xml:space="preserve">. </w:t>
      </w:r>
    </w:p>
    <w:p w14:paraId="2AB3E627" w14:textId="77777777" w:rsidR="00F31DCC" w:rsidRPr="00063B1D" w:rsidRDefault="00F31DCC" w:rsidP="008C71A9">
      <w:pPr>
        <w:pStyle w:val="Akapitzlist"/>
        <w:numPr>
          <w:ilvl w:val="0"/>
          <w:numId w:val="63"/>
        </w:numPr>
        <w:spacing w:after="0"/>
        <w:ind w:left="360"/>
        <w:jc w:val="both"/>
        <w:rPr>
          <w:rFonts w:ascii="Times New Roman" w:eastAsia="Calibri" w:hAnsi="Times New Roman" w:cs="Times New Roman"/>
          <w:sz w:val="24"/>
          <w:szCs w:val="24"/>
        </w:rPr>
      </w:pPr>
      <w:r w:rsidRPr="00063B1D">
        <w:rPr>
          <w:rFonts w:ascii="Times New Roman" w:eastAsia="Calibri" w:hAnsi="Times New Roman" w:cs="Times New Roman"/>
          <w:sz w:val="24"/>
          <w:szCs w:val="24"/>
        </w:rPr>
        <w:t>Nowe Miasteczko – „Starość to też radość” – w ramach projektu zorganizowano: gry, zabawy, wycieczki, wyjścia do kina, teatru, spacery. W projekcie uczestniczyło 20 osób</w:t>
      </w:r>
      <w:r w:rsidR="001D3BEB">
        <w:rPr>
          <w:rStyle w:val="Odwoanieprzypisudolnego"/>
          <w:rFonts w:ascii="Times New Roman" w:eastAsia="Calibri" w:hAnsi="Times New Roman" w:cs="Times New Roman"/>
          <w:sz w:val="24"/>
          <w:szCs w:val="24"/>
        </w:rPr>
        <w:footnoteReference w:id="89"/>
      </w:r>
      <w:r w:rsidRPr="00063B1D">
        <w:rPr>
          <w:rFonts w:ascii="Times New Roman" w:eastAsia="Calibri" w:hAnsi="Times New Roman" w:cs="Times New Roman"/>
          <w:sz w:val="24"/>
          <w:szCs w:val="24"/>
        </w:rPr>
        <w:t>.</w:t>
      </w:r>
    </w:p>
    <w:p w14:paraId="52913B49" w14:textId="77777777" w:rsidR="00F31DCC" w:rsidRPr="00063B1D" w:rsidRDefault="00F31DCC" w:rsidP="008C71A9">
      <w:pPr>
        <w:pStyle w:val="Akapitzlist"/>
        <w:numPr>
          <w:ilvl w:val="0"/>
          <w:numId w:val="63"/>
        </w:numPr>
        <w:spacing w:after="0"/>
        <w:ind w:left="360"/>
        <w:jc w:val="both"/>
        <w:rPr>
          <w:rFonts w:ascii="Times New Roman" w:eastAsia="Calibri" w:hAnsi="Times New Roman" w:cs="Times New Roman"/>
          <w:sz w:val="24"/>
          <w:szCs w:val="24"/>
        </w:rPr>
      </w:pPr>
      <w:r w:rsidRPr="00063B1D">
        <w:rPr>
          <w:rFonts w:ascii="Times New Roman" w:eastAsia="Calibri" w:hAnsi="Times New Roman" w:cs="Times New Roman"/>
          <w:sz w:val="24"/>
          <w:szCs w:val="24"/>
        </w:rPr>
        <w:t>Jasień - "Jasień Przyjazny Seniorom"- w ramach projektu odbyły się: zajęcia sportowe "Senioriada", Festiwal "Piosenki mojej młodości", spotkania integracyjne (wspólne grillowanie), imprezy okolicznościowe, zajęcia sportowe na świeżym powietrzu oraz spotkanie z pielęgniarką. Projekt obejmował 500 osób.</w:t>
      </w:r>
    </w:p>
    <w:p w14:paraId="289C468C" w14:textId="77777777" w:rsidR="00F31DCC" w:rsidRPr="00063B1D" w:rsidRDefault="00F31DCC" w:rsidP="008C71A9">
      <w:pPr>
        <w:pStyle w:val="Akapitzlist"/>
        <w:numPr>
          <w:ilvl w:val="0"/>
          <w:numId w:val="63"/>
        </w:numPr>
        <w:spacing w:after="0"/>
        <w:ind w:left="360"/>
        <w:jc w:val="both"/>
        <w:rPr>
          <w:rFonts w:ascii="Times New Roman" w:eastAsia="Calibri" w:hAnsi="Times New Roman" w:cs="Times New Roman"/>
          <w:sz w:val="24"/>
          <w:szCs w:val="24"/>
        </w:rPr>
      </w:pPr>
      <w:r w:rsidRPr="00063B1D">
        <w:rPr>
          <w:rFonts w:ascii="Times New Roman" w:eastAsia="Calibri" w:hAnsi="Times New Roman" w:cs="Times New Roman"/>
          <w:sz w:val="24"/>
          <w:szCs w:val="24"/>
        </w:rPr>
        <w:t xml:space="preserve">Zbąszynek – „Program Wsparcia i Aktywności Osób Starszych w Gminie Zbąszynek na lata 2017-2020” – kierowany do wszystkich mieszkańców Gminy powyżej 60 roku życia, którzy uzyskali skierowanie od lekarza specjalisty lub lekarza podstawowej opieki zdrowotnej i </w:t>
      </w:r>
      <w:r w:rsidRPr="00063B1D">
        <w:rPr>
          <w:rFonts w:ascii="Times New Roman" w:eastAsia="Calibri" w:hAnsi="Times New Roman" w:cs="Times New Roman"/>
          <w:sz w:val="24"/>
          <w:szCs w:val="24"/>
        </w:rPr>
        <w:lastRenderedPageBreak/>
        <w:t>zakwalifikowani zostali do określonej formy zajęć/zabiegów, w ramach zagwarantowanych środków finansowych. W projekcie uczestniczyło 27 osób</w:t>
      </w:r>
      <w:r w:rsidR="001D3BEB">
        <w:rPr>
          <w:rStyle w:val="Odwoanieprzypisudolnego"/>
          <w:rFonts w:ascii="Times New Roman" w:eastAsia="Calibri" w:hAnsi="Times New Roman" w:cs="Times New Roman"/>
          <w:sz w:val="24"/>
          <w:szCs w:val="24"/>
        </w:rPr>
        <w:footnoteReference w:id="90"/>
      </w:r>
      <w:r w:rsidRPr="00063B1D">
        <w:rPr>
          <w:rFonts w:ascii="Times New Roman" w:eastAsia="Calibri" w:hAnsi="Times New Roman" w:cs="Times New Roman"/>
          <w:sz w:val="24"/>
          <w:szCs w:val="24"/>
        </w:rPr>
        <w:t>.</w:t>
      </w:r>
    </w:p>
    <w:p w14:paraId="0E4B3956" w14:textId="77777777" w:rsidR="00F31DCC" w:rsidRPr="005F0A32" w:rsidRDefault="00F31DCC" w:rsidP="00493925">
      <w:pPr>
        <w:spacing w:after="0"/>
        <w:contextualSpacing/>
        <w:jc w:val="both"/>
        <w:rPr>
          <w:rFonts w:ascii="Times New Roman" w:eastAsia="Calibri" w:hAnsi="Times New Roman" w:cs="Times New Roman"/>
          <w:color w:val="0000FF"/>
          <w:sz w:val="24"/>
          <w:szCs w:val="24"/>
          <w:u w:val="single"/>
        </w:rPr>
      </w:pPr>
    </w:p>
    <w:p w14:paraId="76E34EDD" w14:textId="77777777" w:rsidR="00F31DCC" w:rsidRPr="005F0A32" w:rsidRDefault="00F31DCC" w:rsidP="00493925">
      <w:pPr>
        <w:spacing w:after="0"/>
        <w:jc w:val="both"/>
        <w:rPr>
          <w:rFonts w:ascii="Times New Roman" w:eastAsia="Times New Roman" w:hAnsi="Times New Roman" w:cs="Times New Roman"/>
          <w:sz w:val="24"/>
          <w:szCs w:val="24"/>
          <w:lang w:eastAsia="ja-JP"/>
        </w:rPr>
      </w:pPr>
      <w:r w:rsidRPr="005F0A32">
        <w:rPr>
          <w:rFonts w:ascii="Times New Roman" w:eastAsia="Times New Roman" w:hAnsi="Times New Roman" w:cs="Times New Roman"/>
          <w:sz w:val="24"/>
          <w:szCs w:val="24"/>
          <w:lang w:eastAsia="ja-JP"/>
        </w:rPr>
        <w:t>Lubuskie gminy podejmowały szereg działań w zakresie przeciwdziałania dyskryminacji osób starszych. Działania te obejmowały m.in. organizację gminnych obchodów dnia seniora, spotkań międzypokoleniowych, pogadanek i wykładów edukacyjnych ze specjalistami w danej dziedzinie. Osoby starsze miały możliwość aktywizacji rekreacyjno – sportowej i uczestnictwa w życiu kulturalnym, społecznym itp. Tego typu działania zapobiegają wykluczeniu społecznemu seniorów. Przykładami takich działań – w województwie lubuskim - są:</w:t>
      </w:r>
    </w:p>
    <w:p w14:paraId="09555E16" w14:textId="77777777" w:rsidR="00F31DCC" w:rsidRPr="005F0A32" w:rsidRDefault="00F31DCC" w:rsidP="008C71A9">
      <w:pPr>
        <w:numPr>
          <w:ilvl w:val="0"/>
          <w:numId w:val="64"/>
        </w:numPr>
        <w:spacing w:after="0"/>
        <w:ind w:left="360"/>
        <w:contextualSpacing/>
        <w:jc w:val="both"/>
        <w:rPr>
          <w:rFonts w:ascii="Times New Roman" w:eastAsia="Times New Roman" w:hAnsi="Times New Roman" w:cs="Times New Roman"/>
          <w:sz w:val="24"/>
          <w:szCs w:val="24"/>
          <w:lang w:eastAsia="ja-JP"/>
        </w:rPr>
      </w:pPr>
      <w:r w:rsidRPr="005F0A32">
        <w:rPr>
          <w:rFonts w:ascii="Times New Roman" w:eastAsia="Times New Roman" w:hAnsi="Times New Roman" w:cs="Times New Roman"/>
          <w:sz w:val="24"/>
          <w:szCs w:val="24"/>
          <w:lang w:eastAsia="ja-JP"/>
        </w:rPr>
        <w:t>spotkanie integracyjne Pionierów z uczestnikami Centrum Usług Opiekuńczych w Zielonej Górze;</w:t>
      </w:r>
    </w:p>
    <w:p w14:paraId="2B0737C1" w14:textId="77777777" w:rsidR="00F31DCC" w:rsidRPr="005F0A32" w:rsidRDefault="00F31DCC" w:rsidP="008C71A9">
      <w:pPr>
        <w:numPr>
          <w:ilvl w:val="0"/>
          <w:numId w:val="64"/>
        </w:numPr>
        <w:spacing w:after="0"/>
        <w:ind w:left="360"/>
        <w:contextualSpacing/>
        <w:jc w:val="both"/>
        <w:rPr>
          <w:rFonts w:ascii="Times New Roman" w:eastAsia="Times New Roman" w:hAnsi="Times New Roman" w:cs="Times New Roman"/>
          <w:sz w:val="24"/>
          <w:szCs w:val="24"/>
          <w:lang w:eastAsia="ja-JP"/>
        </w:rPr>
      </w:pPr>
      <w:r w:rsidRPr="005F0A32">
        <w:rPr>
          <w:rFonts w:ascii="Times New Roman" w:eastAsia="Times New Roman" w:hAnsi="Times New Roman" w:cs="Times New Roman"/>
          <w:sz w:val="24"/>
          <w:szCs w:val="24"/>
          <w:lang w:eastAsia="ja-JP"/>
        </w:rPr>
        <w:t>realizacja projektu „Seniorzy – Juniorzy Międzypokoleniowy Warsztaty Wielkanocne” (współpraca OPS Świebodzin i Stowarzyszenia After Ego) – organizacja warsztatów dla seniorów;</w:t>
      </w:r>
    </w:p>
    <w:p w14:paraId="4EF29EB6" w14:textId="77777777" w:rsidR="00F31DCC" w:rsidRPr="005F0A32" w:rsidRDefault="00F31DCC" w:rsidP="008C71A9">
      <w:pPr>
        <w:numPr>
          <w:ilvl w:val="0"/>
          <w:numId w:val="64"/>
        </w:numPr>
        <w:spacing w:after="0"/>
        <w:ind w:left="360"/>
        <w:contextualSpacing/>
        <w:jc w:val="both"/>
        <w:rPr>
          <w:rFonts w:ascii="Times New Roman" w:eastAsia="Times New Roman" w:hAnsi="Times New Roman" w:cs="Times New Roman"/>
          <w:sz w:val="24"/>
          <w:szCs w:val="24"/>
          <w:lang w:eastAsia="ja-JP"/>
        </w:rPr>
      </w:pPr>
      <w:r w:rsidRPr="005F0A32">
        <w:rPr>
          <w:rFonts w:ascii="Times New Roman" w:eastAsia="Times New Roman" w:hAnsi="Times New Roman" w:cs="Times New Roman"/>
          <w:sz w:val="24"/>
          <w:szCs w:val="24"/>
          <w:lang w:eastAsia="ja-JP"/>
        </w:rPr>
        <w:t>organizacja prelekcji edukacyjnych dla osób starszych „Bezpieczny Senior” w Santoku;</w:t>
      </w:r>
    </w:p>
    <w:p w14:paraId="4CBF7D6A" w14:textId="77777777" w:rsidR="00F31DCC" w:rsidRPr="005F0A32" w:rsidRDefault="00F31DCC" w:rsidP="008C71A9">
      <w:pPr>
        <w:numPr>
          <w:ilvl w:val="0"/>
          <w:numId w:val="64"/>
        </w:numPr>
        <w:spacing w:after="0"/>
        <w:ind w:left="360"/>
        <w:contextualSpacing/>
        <w:jc w:val="both"/>
        <w:rPr>
          <w:rFonts w:ascii="Times New Roman" w:eastAsia="Times New Roman" w:hAnsi="Times New Roman" w:cs="Times New Roman"/>
          <w:sz w:val="24"/>
          <w:szCs w:val="24"/>
          <w:lang w:eastAsia="ja-JP"/>
        </w:rPr>
      </w:pPr>
      <w:r w:rsidRPr="005F0A32">
        <w:rPr>
          <w:rFonts w:ascii="Times New Roman" w:eastAsia="Times New Roman" w:hAnsi="Times New Roman" w:cs="Times New Roman"/>
          <w:sz w:val="24"/>
          <w:szCs w:val="24"/>
          <w:lang w:eastAsia="ja-JP"/>
        </w:rPr>
        <w:t>angażowanie seniorów w działania na rzecz gminy – ukwiecenie centrum Starego Kurowa, sadzenie i pielęgnowanie roślin przez osoby starsze;</w:t>
      </w:r>
    </w:p>
    <w:p w14:paraId="693B286B" w14:textId="77777777" w:rsidR="00F31DCC" w:rsidRPr="005F0A32" w:rsidRDefault="00F31DCC" w:rsidP="008C71A9">
      <w:pPr>
        <w:numPr>
          <w:ilvl w:val="0"/>
          <w:numId w:val="64"/>
        </w:numPr>
        <w:spacing w:after="0"/>
        <w:ind w:left="360"/>
        <w:contextualSpacing/>
        <w:jc w:val="both"/>
        <w:rPr>
          <w:rFonts w:ascii="Times New Roman" w:eastAsia="Times New Roman" w:hAnsi="Times New Roman" w:cs="Times New Roman"/>
          <w:sz w:val="24"/>
          <w:szCs w:val="24"/>
          <w:lang w:eastAsia="ja-JP"/>
        </w:rPr>
      </w:pPr>
      <w:r w:rsidRPr="005F0A32">
        <w:rPr>
          <w:rFonts w:ascii="Times New Roman" w:eastAsia="Times New Roman" w:hAnsi="Times New Roman" w:cs="Times New Roman"/>
          <w:sz w:val="24"/>
          <w:szCs w:val="24"/>
          <w:lang w:eastAsia="ja-JP"/>
        </w:rPr>
        <w:t>„Program szczepień ochronnych przeciw grypie dla mieszkańców w wieku 65+ w gminie Łęknica” – uchwała Rady Miejskiej ws. programu profilaktyki zdrowotnej na lata 2018-2020.</w:t>
      </w:r>
    </w:p>
    <w:p w14:paraId="1D8A73B4" w14:textId="77777777" w:rsidR="00F31DCC" w:rsidRPr="00063B1D" w:rsidRDefault="00F31DCC" w:rsidP="00493925">
      <w:pPr>
        <w:spacing w:after="0"/>
        <w:jc w:val="both"/>
        <w:rPr>
          <w:rFonts w:ascii="Times New Roman" w:eastAsia="Times New Roman" w:hAnsi="Times New Roman" w:cs="Times New Roman"/>
          <w:b/>
          <w:sz w:val="24"/>
          <w:szCs w:val="24"/>
          <w:lang w:eastAsia="ja-JP"/>
        </w:rPr>
      </w:pPr>
    </w:p>
    <w:p w14:paraId="63858A45" w14:textId="77777777" w:rsidR="00F31DCC" w:rsidRPr="005F0A32" w:rsidRDefault="00F31DCC" w:rsidP="00493925">
      <w:pPr>
        <w:spacing w:after="0"/>
        <w:jc w:val="both"/>
        <w:rPr>
          <w:rFonts w:ascii="Times New Roman" w:eastAsia="Times New Roman" w:hAnsi="Times New Roman" w:cs="Times New Roman"/>
          <w:sz w:val="24"/>
          <w:szCs w:val="24"/>
          <w:lang w:eastAsia="ja-JP"/>
        </w:rPr>
      </w:pPr>
      <w:r w:rsidRPr="005F0A32">
        <w:rPr>
          <w:rFonts w:ascii="Times New Roman" w:eastAsia="Times New Roman" w:hAnsi="Times New Roman" w:cs="Times New Roman"/>
          <w:sz w:val="24"/>
          <w:szCs w:val="24"/>
          <w:lang w:eastAsia="ja-JP"/>
        </w:rPr>
        <w:t xml:space="preserve">W lubuskich gminach funkcjonują zorganizowane lub nieformalne grupy wsparcia dla osób starszych, np.: </w:t>
      </w:r>
    </w:p>
    <w:p w14:paraId="151656A8" w14:textId="77777777" w:rsidR="00734EC6" w:rsidRDefault="00734EC6" w:rsidP="00493925">
      <w:pPr>
        <w:spacing w:after="0"/>
        <w:jc w:val="both"/>
        <w:rPr>
          <w:rFonts w:ascii="Times New Roman" w:eastAsia="Times New Roman" w:hAnsi="Times New Roman" w:cs="Times New Roman"/>
          <w:b/>
          <w:sz w:val="24"/>
          <w:szCs w:val="24"/>
          <w:lang w:eastAsia="pl-PL"/>
        </w:rPr>
      </w:pPr>
    </w:p>
    <w:p w14:paraId="1507197D" w14:textId="77777777" w:rsidR="00063B1D" w:rsidRPr="00734EC6" w:rsidRDefault="00F31DCC" w:rsidP="00493925">
      <w:pPr>
        <w:spacing w:after="0"/>
        <w:jc w:val="both"/>
        <w:rPr>
          <w:rFonts w:ascii="Times New Roman" w:eastAsia="Times New Roman" w:hAnsi="Times New Roman" w:cs="Times New Roman"/>
          <w:sz w:val="24"/>
          <w:szCs w:val="24"/>
          <w:lang w:eastAsia="pl-PL"/>
        </w:rPr>
      </w:pPr>
      <w:r w:rsidRPr="00734EC6">
        <w:rPr>
          <w:rFonts w:ascii="Times New Roman" w:eastAsia="Times New Roman" w:hAnsi="Times New Roman" w:cs="Times New Roman"/>
          <w:b/>
          <w:sz w:val="24"/>
          <w:szCs w:val="24"/>
          <w:lang w:eastAsia="pl-PL"/>
        </w:rPr>
        <w:t>Uniwersytety Trzeciego Wieku</w:t>
      </w:r>
      <w:r w:rsidRPr="00734EC6">
        <w:rPr>
          <w:rFonts w:ascii="Times New Roman" w:eastAsia="Times New Roman" w:hAnsi="Times New Roman" w:cs="Times New Roman"/>
          <w:sz w:val="24"/>
          <w:szCs w:val="24"/>
          <w:lang w:eastAsia="pl-PL"/>
        </w:rPr>
        <w:t xml:space="preserve"> oraz ich filie funkcjonujące w 25 gminach województwa lubuskiego: Gorzów Wielkopolski, Zielona Góra, Gubin (miasto), Nowa Sól (miasto), Żagań (miasto), Żary (miasto), Bogdaniec, Babimost, Witnica, Krosno Odrzańskie, Międzyrzecz, Skwierzyna, Kargowa, Dobiegniew, Drezdenko, Strzelce Krajeńskie, Sulęcin, Świebodzin, Zwierzyn, Zbąszynek, Wschowa, Słubice, Iłowa, Szprotawa i Lubsko.</w:t>
      </w:r>
    </w:p>
    <w:p w14:paraId="4C699B90" w14:textId="77777777" w:rsidR="00734EC6" w:rsidRDefault="00734EC6" w:rsidP="00493925">
      <w:pPr>
        <w:spacing w:after="0"/>
        <w:jc w:val="both"/>
        <w:rPr>
          <w:rFonts w:ascii="Times New Roman" w:eastAsia="Times New Roman" w:hAnsi="Times New Roman" w:cs="Times New Roman"/>
          <w:b/>
          <w:sz w:val="24"/>
          <w:szCs w:val="24"/>
          <w:lang w:eastAsia="ja-JP"/>
        </w:rPr>
      </w:pPr>
    </w:p>
    <w:p w14:paraId="0A81C446" w14:textId="77777777" w:rsidR="00734EC6" w:rsidRDefault="00734EC6" w:rsidP="00493925">
      <w:pPr>
        <w:spacing w:after="0"/>
        <w:jc w:val="both"/>
        <w:rPr>
          <w:rFonts w:ascii="Times New Roman" w:eastAsia="Times New Roman" w:hAnsi="Times New Roman" w:cs="Times New Roman"/>
          <w:b/>
          <w:sz w:val="24"/>
          <w:szCs w:val="24"/>
          <w:lang w:eastAsia="ja-JP"/>
        </w:rPr>
      </w:pPr>
      <w:r>
        <w:rPr>
          <w:rFonts w:ascii="Times New Roman" w:eastAsia="Times New Roman" w:hAnsi="Times New Roman" w:cs="Times New Roman"/>
          <w:b/>
          <w:sz w:val="24"/>
          <w:szCs w:val="24"/>
          <w:lang w:eastAsia="ja-JP"/>
        </w:rPr>
        <w:t>Program Senior+</w:t>
      </w:r>
    </w:p>
    <w:p w14:paraId="2F53668E" w14:textId="77777777" w:rsidR="00063B1D" w:rsidRPr="00734EC6" w:rsidRDefault="00F31DCC" w:rsidP="00493925">
      <w:pPr>
        <w:spacing w:after="0"/>
        <w:jc w:val="both"/>
        <w:rPr>
          <w:rFonts w:ascii="Times New Roman" w:eastAsia="Times New Roman" w:hAnsi="Times New Roman" w:cs="Times New Roman"/>
          <w:sz w:val="24"/>
          <w:szCs w:val="24"/>
          <w:lang w:eastAsia="pl-PL"/>
        </w:rPr>
      </w:pPr>
      <w:r w:rsidRPr="00734EC6">
        <w:rPr>
          <w:rFonts w:ascii="Times New Roman" w:eastAsia="Times New Roman" w:hAnsi="Times New Roman" w:cs="Times New Roman"/>
          <w:sz w:val="24"/>
          <w:szCs w:val="24"/>
          <w:lang w:eastAsia="ja-JP"/>
        </w:rPr>
        <w:t>Domy Dziennego Pobytu</w:t>
      </w:r>
      <w:r w:rsidRPr="00734EC6">
        <w:rPr>
          <w:rFonts w:ascii="Times New Roman" w:eastAsia="Times New Roman" w:hAnsi="Times New Roman" w:cs="Times New Roman"/>
          <w:b/>
          <w:sz w:val="24"/>
          <w:szCs w:val="24"/>
          <w:lang w:eastAsia="ja-JP"/>
        </w:rPr>
        <w:t xml:space="preserve"> </w:t>
      </w:r>
      <w:r w:rsidRPr="00734EC6">
        <w:rPr>
          <w:rFonts w:ascii="Times New Roman" w:eastAsia="Times New Roman" w:hAnsi="Times New Roman" w:cs="Times New Roman"/>
          <w:sz w:val="24"/>
          <w:szCs w:val="24"/>
          <w:lang w:eastAsia="ja-JP"/>
        </w:rPr>
        <w:t>wspierające osoby, które ze względu na wiek, choroby lub niepełnosprawność wymagają częściowej opieki w zaspokojeniu niezbędnych potrzeb życiowych. W ramach Programu Wieloletniego „Senior+” na lata 2015-2020 na terenie województwa lubuskiego powstało i działa aktualnie</w:t>
      </w:r>
      <w:r w:rsidRPr="005F0A32">
        <w:rPr>
          <w:vertAlign w:val="superscript"/>
          <w:lang w:eastAsia="ja-JP"/>
        </w:rPr>
        <w:footnoteReference w:id="91"/>
      </w:r>
      <w:r w:rsidRPr="00734EC6">
        <w:rPr>
          <w:rFonts w:ascii="Times New Roman" w:eastAsia="Times New Roman" w:hAnsi="Times New Roman" w:cs="Times New Roman"/>
          <w:sz w:val="24"/>
          <w:szCs w:val="24"/>
          <w:lang w:eastAsia="ja-JP"/>
        </w:rPr>
        <w:t xml:space="preserve"> 31 placówek „Senior+” oferujących ogółem 773 miejsca (19 klubów oraz 12 dziennych domów). Liczba tych placówek, w stosunku do roku 2018 r., wzrosła o 12, a liczba oferowanych miejsc o 231. Placówki te pozwalają seniorom na aktywne spędzanie czasu wolnego, zaktywizowanie i zaangażowanie w działania samopomocowe oraz na rzecz środowiska lokalnego. </w:t>
      </w:r>
    </w:p>
    <w:p w14:paraId="2D92271C" w14:textId="77777777" w:rsidR="00734EC6" w:rsidRDefault="00734EC6" w:rsidP="00493925">
      <w:pPr>
        <w:spacing w:after="0"/>
        <w:jc w:val="both"/>
        <w:rPr>
          <w:rFonts w:ascii="Times New Roman" w:hAnsi="Times New Roman" w:cs="Times New Roman"/>
          <w:b/>
          <w:sz w:val="24"/>
          <w:szCs w:val="24"/>
        </w:rPr>
      </w:pPr>
    </w:p>
    <w:p w14:paraId="5AF328A0" w14:textId="77777777" w:rsidR="00F31DCC" w:rsidRPr="00734EC6" w:rsidRDefault="00F31DCC" w:rsidP="00493925">
      <w:pPr>
        <w:spacing w:after="0"/>
        <w:jc w:val="both"/>
        <w:rPr>
          <w:rFonts w:ascii="Times New Roman" w:eastAsia="Times New Roman" w:hAnsi="Times New Roman" w:cs="Times New Roman"/>
          <w:sz w:val="24"/>
          <w:szCs w:val="24"/>
          <w:lang w:eastAsia="pl-PL"/>
        </w:rPr>
      </w:pPr>
      <w:r w:rsidRPr="00734EC6">
        <w:rPr>
          <w:rFonts w:ascii="Times New Roman" w:hAnsi="Times New Roman" w:cs="Times New Roman"/>
          <w:b/>
          <w:sz w:val="24"/>
          <w:szCs w:val="24"/>
        </w:rPr>
        <w:t>Rady Seniorów</w:t>
      </w:r>
      <w:r w:rsidRPr="00734EC6">
        <w:rPr>
          <w:rFonts w:ascii="Times New Roman" w:hAnsi="Times New Roman" w:cs="Times New Roman"/>
          <w:sz w:val="24"/>
          <w:szCs w:val="24"/>
        </w:rPr>
        <w:t>,</w:t>
      </w:r>
      <w:r w:rsidRPr="00734EC6">
        <w:rPr>
          <w:rFonts w:ascii="Times New Roman" w:hAnsi="Times New Roman" w:cs="Times New Roman"/>
          <w:b/>
          <w:sz w:val="24"/>
          <w:szCs w:val="24"/>
        </w:rPr>
        <w:t xml:space="preserve"> </w:t>
      </w:r>
      <w:r w:rsidRPr="00734EC6">
        <w:rPr>
          <w:rFonts w:ascii="Times New Roman" w:hAnsi="Times New Roman" w:cs="Times New Roman"/>
          <w:sz w:val="24"/>
          <w:szCs w:val="24"/>
        </w:rPr>
        <w:t>które</w:t>
      </w:r>
      <w:r w:rsidRPr="00734EC6">
        <w:rPr>
          <w:rFonts w:ascii="Times New Roman" w:hAnsi="Times New Roman" w:cs="Times New Roman"/>
          <w:b/>
          <w:sz w:val="24"/>
          <w:szCs w:val="24"/>
        </w:rPr>
        <w:t xml:space="preserve"> </w:t>
      </w:r>
      <w:r w:rsidRPr="00734EC6">
        <w:rPr>
          <w:rFonts w:ascii="Times New Roman" w:hAnsi="Times New Roman" w:cs="Times New Roman"/>
          <w:sz w:val="24"/>
          <w:szCs w:val="24"/>
        </w:rPr>
        <w:t xml:space="preserve">są zespołami o charakterze doradczym i inicjatywnym,  współpracującymi z organami samorządu gminnego, powiatowego i wojewódzkiego </w:t>
      </w:r>
      <w:r w:rsidRPr="00734EC6">
        <w:rPr>
          <w:rFonts w:ascii="Times New Roman" w:hAnsi="Times New Roman" w:cs="Times New Roman"/>
          <w:sz w:val="24"/>
          <w:szCs w:val="24"/>
        </w:rPr>
        <w:lastRenderedPageBreak/>
        <w:t>w obszarze spraw lokalnych, w szczególności dotyczących planowania i realizacji polityki senioralnej. W skład rad wchodzą zwykle przedstawiciele osób starszych oraz przedstawiciele podmiotów działających na rzecz seniorów, tj. przedstawiciele Uniwersytetu Trzeciego Wieku, Stowarzyszenia Nowosolska Paczka, Polskiego Związku Emerytów, Rencistów i Inwalidów, Związku Nauczycielstwa Polskiego, Koła Gospodyń Wiejskich, Domu Pomocy Społecznej, Towarzystwa Humanistycznego, Powiatowego Centrum Pomocy Rodzinie, Powiatowego Urzędu Pracy, Powiatowego Ośrodka Wsparcia „INTEGRACJA”, terenowych struktur związków kombatanckich oraz organizacji pozarządowych zajmujących się statutowo problematyką seniorów.</w:t>
      </w:r>
    </w:p>
    <w:p w14:paraId="3D6A5898" w14:textId="77777777" w:rsidR="00F31DCC" w:rsidRPr="005F0A32" w:rsidRDefault="00F31DCC" w:rsidP="00493925">
      <w:pPr>
        <w:autoSpaceDE w:val="0"/>
        <w:autoSpaceDN w:val="0"/>
        <w:adjustRightInd w:val="0"/>
        <w:spacing w:after="0"/>
        <w:jc w:val="both"/>
        <w:rPr>
          <w:rFonts w:ascii="Times New Roman" w:hAnsi="Times New Roman" w:cs="Times New Roman"/>
          <w:sz w:val="24"/>
          <w:szCs w:val="24"/>
        </w:rPr>
      </w:pPr>
      <w:r w:rsidRPr="005F0A32">
        <w:rPr>
          <w:rFonts w:ascii="Times New Roman" w:hAnsi="Times New Roman" w:cs="Times New Roman"/>
          <w:sz w:val="24"/>
          <w:szCs w:val="24"/>
        </w:rPr>
        <w:t>Na terenie województwa lubuskiego funkcjonują:</w:t>
      </w:r>
    </w:p>
    <w:p w14:paraId="33D58A39" w14:textId="77777777" w:rsidR="00F31DCC" w:rsidRPr="005F0A32" w:rsidRDefault="00F31DCC" w:rsidP="00493925">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5F0A32">
        <w:rPr>
          <w:rFonts w:ascii="Times New Roman" w:hAnsi="Times New Roman" w:cs="Times New Roman"/>
          <w:sz w:val="24"/>
          <w:szCs w:val="24"/>
        </w:rPr>
        <w:t>wojewódzka rada seniorów;</w:t>
      </w:r>
    </w:p>
    <w:p w14:paraId="22247FBB" w14:textId="77777777" w:rsidR="00F31DCC" w:rsidRPr="005F0A32" w:rsidRDefault="00F31DCC" w:rsidP="00493925">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5F0A32">
        <w:rPr>
          <w:rFonts w:ascii="Times New Roman" w:hAnsi="Times New Roman" w:cs="Times New Roman"/>
          <w:sz w:val="24"/>
          <w:szCs w:val="24"/>
        </w:rPr>
        <w:t>4 powiatowe rady seniorów;</w:t>
      </w:r>
    </w:p>
    <w:p w14:paraId="6D44E64C" w14:textId="77777777" w:rsidR="00F31DCC" w:rsidRPr="005F0A32" w:rsidRDefault="00F31DCC" w:rsidP="00493925">
      <w:pPr>
        <w:pStyle w:val="Akapitzlist"/>
        <w:numPr>
          <w:ilvl w:val="0"/>
          <w:numId w:val="16"/>
        </w:numPr>
        <w:autoSpaceDE w:val="0"/>
        <w:autoSpaceDN w:val="0"/>
        <w:adjustRightInd w:val="0"/>
        <w:spacing w:after="0"/>
        <w:jc w:val="both"/>
        <w:rPr>
          <w:rFonts w:ascii="Times New Roman" w:hAnsi="Times New Roman" w:cs="Times New Roman"/>
          <w:sz w:val="24"/>
          <w:szCs w:val="24"/>
        </w:rPr>
      </w:pPr>
      <w:r w:rsidRPr="005F0A32">
        <w:rPr>
          <w:rFonts w:ascii="Times New Roman" w:hAnsi="Times New Roman" w:cs="Times New Roman"/>
          <w:sz w:val="24"/>
          <w:szCs w:val="24"/>
        </w:rPr>
        <w:t>16 gminnych rad seniorów.</w:t>
      </w:r>
    </w:p>
    <w:p w14:paraId="0743E8C0" w14:textId="77777777" w:rsidR="00063B1D" w:rsidRDefault="00063B1D" w:rsidP="00493925">
      <w:pPr>
        <w:pStyle w:val="HTML-wstpniesformatowany"/>
        <w:spacing w:line="276" w:lineRule="auto"/>
        <w:jc w:val="both"/>
        <w:rPr>
          <w:rFonts w:ascii="Times New Roman" w:eastAsia="Times New Roman" w:hAnsi="Times New Roman" w:cs="Times New Roman"/>
          <w:b/>
          <w:sz w:val="24"/>
          <w:szCs w:val="24"/>
          <w:u w:val="single"/>
          <w:lang w:eastAsia="ja-JP"/>
        </w:rPr>
      </w:pPr>
    </w:p>
    <w:p w14:paraId="5344BA08" w14:textId="77777777" w:rsidR="00F31DCC" w:rsidRPr="005F0A32" w:rsidRDefault="00063B1D" w:rsidP="00493925">
      <w:pPr>
        <w:pStyle w:val="HTML-wstpniesformatowany"/>
        <w:spacing w:line="276" w:lineRule="auto"/>
        <w:jc w:val="both"/>
        <w:rPr>
          <w:rFonts w:ascii="Times New Roman" w:eastAsia="Times New Roman" w:hAnsi="Times New Roman" w:cs="Times New Roman"/>
          <w:color w:val="000000"/>
          <w:sz w:val="24"/>
          <w:szCs w:val="24"/>
          <w:lang w:eastAsia="pl-PL"/>
        </w:rPr>
      </w:pPr>
      <w:r w:rsidRPr="00734EC6">
        <w:rPr>
          <w:rFonts w:ascii="Times New Roman" w:eastAsia="Times New Roman" w:hAnsi="Times New Roman" w:cs="Times New Roman"/>
          <w:sz w:val="24"/>
          <w:szCs w:val="24"/>
          <w:lang w:eastAsia="ja-JP"/>
        </w:rPr>
        <w:t>L</w:t>
      </w:r>
      <w:r w:rsidR="00F31DCC" w:rsidRPr="005F0A32">
        <w:rPr>
          <w:rFonts w:ascii="Times New Roman" w:eastAsia="Times New Roman" w:hAnsi="Times New Roman" w:cs="Times New Roman"/>
          <w:sz w:val="24"/>
          <w:szCs w:val="24"/>
          <w:lang w:eastAsia="ja-JP"/>
        </w:rPr>
        <w:t xml:space="preserve">ubuskie gminy współpracują z lokalnymi organizacjami pozarządowymi. Stowarzyszenia, fundacje pomagają osobom starszym w codziennym funkcjonowaniu - stwarzają możliwość aktywnego uczestnictwa w życiu społecznym,   integrują seniorów. Przykładem jest </w:t>
      </w:r>
      <w:r w:rsidR="00F31DCC" w:rsidRPr="005F0A32">
        <w:rPr>
          <w:rFonts w:ascii="Times New Roman" w:eastAsia="Times New Roman" w:hAnsi="Times New Roman" w:cs="Times New Roman"/>
          <w:color w:val="000000"/>
          <w:sz w:val="24"/>
          <w:szCs w:val="24"/>
          <w:lang w:eastAsia="pl-PL"/>
        </w:rPr>
        <w:t>Fundacja Ewy Minge "Black Butterflies", która prowadzi Dzienny Dom Pobytu "Dom Życie" w Zielonej Górze. Służy pomocą osobom starszym w codziennym funkcjonowaniu i stwarza możliwości aktywnego uczestnictwa w życiu społecznym. Organizuje dla seniorów m.in.:</w:t>
      </w:r>
    </w:p>
    <w:p w14:paraId="0EA1AC29" w14:textId="77777777" w:rsidR="00F31DCC" w:rsidRPr="005F0A32" w:rsidRDefault="00F31DCC" w:rsidP="008C71A9">
      <w:pPr>
        <w:pStyle w:val="HTML-wstpniesformatowany"/>
        <w:numPr>
          <w:ilvl w:val="0"/>
          <w:numId w:val="65"/>
        </w:numPr>
        <w:spacing w:line="276" w:lineRule="auto"/>
        <w:ind w:left="360"/>
        <w:jc w:val="both"/>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pomoc w przemieszczaniu się poza miejscem zamieszkania;</w:t>
      </w:r>
    </w:p>
    <w:p w14:paraId="6B565FE8" w14:textId="77777777" w:rsidR="00F31DCC" w:rsidRPr="005F0A32" w:rsidRDefault="00F31DCC" w:rsidP="008C71A9">
      <w:pPr>
        <w:pStyle w:val="HTML-wstpniesformatowany"/>
        <w:numPr>
          <w:ilvl w:val="0"/>
          <w:numId w:val="65"/>
        </w:numPr>
        <w:spacing w:line="276" w:lineRule="auto"/>
        <w:ind w:left="360"/>
        <w:jc w:val="both"/>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pomoc w realizacji codziennych czynności;</w:t>
      </w:r>
    </w:p>
    <w:p w14:paraId="6BAA3E44" w14:textId="77777777" w:rsidR="00F31DCC" w:rsidRPr="005F0A32" w:rsidRDefault="00F31DCC" w:rsidP="008C71A9">
      <w:pPr>
        <w:pStyle w:val="HTML-wstpniesformatowany"/>
        <w:numPr>
          <w:ilvl w:val="0"/>
          <w:numId w:val="65"/>
        </w:numPr>
        <w:spacing w:line="276" w:lineRule="auto"/>
        <w:ind w:left="360"/>
        <w:jc w:val="both"/>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pomoc w korzystaniu ze sprzętu teleinformatycznego;</w:t>
      </w:r>
    </w:p>
    <w:p w14:paraId="7D23A19F" w14:textId="77777777" w:rsidR="00F31DCC" w:rsidRPr="005F0A32" w:rsidRDefault="00F31DCC" w:rsidP="008C71A9">
      <w:pPr>
        <w:pStyle w:val="Akapitzlist"/>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pomoc w załatwianiu spraw urzędowych, komunikowaniu się z urzędnikami;</w:t>
      </w:r>
    </w:p>
    <w:p w14:paraId="5AFC58C1" w14:textId="77777777" w:rsidR="00F31DCC" w:rsidRPr="005F0A32" w:rsidRDefault="00F31DCC" w:rsidP="008C71A9">
      <w:pPr>
        <w:pStyle w:val="Akapitzlist"/>
        <w:numPr>
          <w:ilvl w:val="0"/>
          <w:numId w:val="6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pomoc w zorganizowaniu czasu wolnego.</w:t>
      </w:r>
    </w:p>
    <w:p w14:paraId="1DE5D808" w14:textId="77777777" w:rsidR="00063B1D" w:rsidRDefault="00063B1D" w:rsidP="00493925">
      <w:pPr>
        <w:spacing w:after="0"/>
        <w:jc w:val="both"/>
        <w:rPr>
          <w:rFonts w:ascii="Times New Roman" w:eastAsia="Times New Roman" w:hAnsi="Times New Roman" w:cs="Times New Roman"/>
          <w:sz w:val="24"/>
          <w:szCs w:val="24"/>
          <w:lang w:eastAsia="ja-JP"/>
        </w:rPr>
      </w:pPr>
    </w:p>
    <w:p w14:paraId="159D5E4F" w14:textId="77777777" w:rsidR="00F31DCC" w:rsidRDefault="00F31DCC" w:rsidP="00493925">
      <w:pPr>
        <w:spacing w:after="0"/>
        <w:jc w:val="both"/>
        <w:rPr>
          <w:rFonts w:ascii="Times New Roman" w:eastAsia="Times New Roman" w:hAnsi="Times New Roman" w:cs="Times New Roman"/>
          <w:sz w:val="24"/>
          <w:szCs w:val="24"/>
          <w:lang w:eastAsia="ja-JP"/>
        </w:rPr>
      </w:pPr>
      <w:r w:rsidRPr="005F0A32">
        <w:rPr>
          <w:rFonts w:ascii="Times New Roman" w:eastAsia="Times New Roman" w:hAnsi="Times New Roman" w:cs="Times New Roman"/>
          <w:sz w:val="24"/>
          <w:szCs w:val="24"/>
          <w:lang w:eastAsia="ja-JP"/>
        </w:rPr>
        <w:t>W województwie lubuskim prężnie funkcjonują liczne koła gospodyń wiejskich i lokalne grupy działania.</w:t>
      </w:r>
    </w:p>
    <w:p w14:paraId="5137C767" w14:textId="77777777" w:rsidR="00063B1D" w:rsidRPr="005F0A32" w:rsidRDefault="00063B1D" w:rsidP="00493925">
      <w:pPr>
        <w:spacing w:after="0"/>
        <w:jc w:val="both"/>
        <w:rPr>
          <w:rFonts w:ascii="Times New Roman" w:eastAsia="Times New Roman" w:hAnsi="Times New Roman" w:cs="Times New Roman"/>
          <w:sz w:val="24"/>
          <w:szCs w:val="24"/>
          <w:lang w:eastAsia="ja-JP"/>
        </w:rPr>
      </w:pPr>
    </w:p>
    <w:p w14:paraId="63E997ED" w14:textId="77777777" w:rsidR="00734EC6" w:rsidRDefault="00063B1D" w:rsidP="00493925">
      <w:pPr>
        <w:spacing w:after="0"/>
        <w:jc w:val="both"/>
        <w:rPr>
          <w:rFonts w:ascii="Times New Roman" w:hAnsi="Times New Roman" w:cs="Times New Roman"/>
          <w:color w:val="00B0F0"/>
          <w:sz w:val="24"/>
          <w:szCs w:val="24"/>
        </w:rPr>
      </w:pPr>
      <w:r w:rsidRPr="00734EC6">
        <w:rPr>
          <w:rFonts w:ascii="Times New Roman" w:hAnsi="Times New Roman" w:cs="Times New Roman"/>
          <w:b/>
          <w:color w:val="00B0F0"/>
          <w:sz w:val="24"/>
          <w:szCs w:val="24"/>
        </w:rPr>
        <w:t>Przykłady dobrych praktyk na poziomie lokalnym</w:t>
      </w:r>
    </w:p>
    <w:p w14:paraId="13765351" w14:textId="77777777" w:rsidR="00F31DCC" w:rsidRPr="00734EC6" w:rsidRDefault="00F31DCC" w:rsidP="003C1988">
      <w:pPr>
        <w:spacing w:after="0"/>
        <w:rPr>
          <w:rFonts w:ascii="Times New Roman" w:hAnsi="Times New Roman" w:cs="Times New Roman"/>
          <w:color w:val="00B0F0"/>
          <w:sz w:val="24"/>
          <w:szCs w:val="24"/>
        </w:rPr>
      </w:pPr>
    </w:p>
    <w:tbl>
      <w:tblPr>
        <w:tblW w:w="9923" w:type="dxa"/>
        <w:jc w:val="center"/>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702"/>
        <w:gridCol w:w="1984"/>
        <w:gridCol w:w="1418"/>
        <w:gridCol w:w="1559"/>
        <w:gridCol w:w="1276"/>
        <w:gridCol w:w="1984"/>
      </w:tblGrid>
      <w:tr w:rsidR="00F31DCC" w:rsidRPr="00734EC6" w14:paraId="0BC2AE07"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3D66F356"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b/>
                <w:color w:val="000000"/>
                <w:lang w:eastAsia="pl-PL"/>
              </w:rPr>
            </w:pPr>
            <w:r w:rsidRPr="00734EC6">
              <w:rPr>
                <w:rFonts w:ascii="Times New Roman" w:eastAsia="Times New Roman" w:hAnsi="Times New Roman" w:cs="Times New Roman"/>
                <w:b/>
                <w:color w:val="000000"/>
                <w:lang w:eastAsia="pl-PL"/>
              </w:rPr>
              <w:t>Nazwa działania</w:t>
            </w:r>
          </w:p>
        </w:tc>
        <w:tc>
          <w:tcPr>
            <w:tcW w:w="19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31920AD3"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b/>
                <w:color w:val="000000"/>
                <w:lang w:eastAsia="pl-PL"/>
              </w:rPr>
            </w:pPr>
            <w:r w:rsidRPr="00734EC6">
              <w:rPr>
                <w:rFonts w:ascii="Times New Roman" w:eastAsia="Times New Roman" w:hAnsi="Times New Roman" w:cs="Times New Roman"/>
                <w:b/>
                <w:color w:val="000000"/>
                <w:lang w:eastAsia="pl-PL"/>
              </w:rPr>
              <w:t>Cel działania</w:t>
            </w:r>
          </w:p>
        </w:tc>
        <w:tc>
          <w:tcPr>
            <w:tcW w:w="141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4AB61FA9" w14:textId="77777777" w:rsidR="00F31DCC" w:rsidRPr="00734EC6" w:rsidRDefault="00F31DCC" w:rsidP="001024A6">
            <w:pPr>
              <w:spacing w:after="0"/>
              <w:jc w:val="center"/>
              <w:rPr>
                <w:rFonts w:ascii="Times New Roman" w:eastAsia="Times New Roman" w:hAnsi="Times New Roman" w:cs="Times New Roman"/>
                <w:b/>
                <w:color w:val="000000"/>
                <w:lang w:eastAsia="pl-PL"/>
              </w:rPr>
            </w:pPr>
            <w:r w:rsidRPr="00734EC6">
              <w:rPr>
                <w:rFonts w:ascii="Times New Roman" w:eastAsia="Times New Roman" w:hAnsi="Times New Roman" w:cs="Times New Roman"/>
                <w:b/>
                <w:color w:val="000000"/>
                <w:lang w:eastAsia="pl-PL"/>
              </w:rPr>
              <w:t>Liczba beneficjentów</w:t>
            </w:r>
          </w:p>
        </w:tc>
        <w:tc>
          <w:tcPr>
            <w:tcW w:w="15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47E97C86"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b/>
                <w:color w:val="000000"/>
                <w:lang w:eastAsia="pl-PL"/>
              </w:rPr>
            </w:pPr>
            <w:r w:rsidRPr="00734EC6">
              <w:rPr>
                <w:rFonts w:ascii="Times New Roman" w:eastAsia="Times New Roman" w:hAnsi="Times New Roman" w:cs="Times New Roman"/>
                <w:b/>
                <w:color w:val="000000"/>
                <w:lang w:eastAsia="pl-PL"/>
              </w:rPr>
              <w:t>Organizator działania</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635AEA42"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b/>
                <w:color w:val="000000"/>
                <w:lang w:eastAsia="pl-PL"/>
              </w:rPr>
            </w:pPr>
            <w:r w:rsidRPr="00734EC6">
              <w:rPr>
                <w:rFonts w:ascii="Times New Roman" w:eastAsia="Times New Roman" w:hAnsi="Times New Roman" w:cs="Times New Roman"/>
                <w:b/>
                <w:color w:val="000000"/>
                <w:lang w:eastAsia="pl-PL"/>
              </w:rPr>
              <w:t>Lokalizacja działania</w:t>
            </w:r>
          </w:p>
        </w:tc>
        <w:tc>
          <w:tcPr>
            <w:tcW w:w="1984"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31D9CE0E"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b/>
                <w:color w:val="000000"/>
                <w:lang w:eastAsia="pl-PL"/>
              </w:rPr>
            </w:pPr>
            <w:r w:rsidRPr="00734EC6">
              <w:rPr>
                <w:rFonts w:ascii="Times New Roman" w:eastAsia="Times New Roman" w:hAnsi="Times New Roman" w:cs="Times New Roman"/>
                <w:b/>
                <w:color w:val="000000"/>
                <w:lang w:eastAsia="pl-PL"/>
              </w:rPr>
              <w:t>Odnośnik do strony internetowej z informacją o działaniu</w:t>
            </w:r>
          </w:p>
        </w:tc>
      </w:tr>
      <w:tr w:rsidR="00F31DCC" w:rsidRPr="00734EC6" w14:paraId="15704C75"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69B0C33"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Nieśmiertelniki dla mieszkańców Gminy Zbąszynek</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2FC935"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 xml:space="preserve">Podniesienie poziomu bezpieczeństwa w społeczności lokalnej oraz usprawnienia pracy służb ratowniczych </w:t>
            </w:r>
            <w:r w:rsidRPr="00734EC6">
              <w:rPr>
                <w:rFonts w:ascii="Times New Roman" w:eastAsia="Times New Roman" w:hAnsi="Times New Roman" w:cs="Times New Roman"/>
                <w:color w:val="000000"/>
                <w:lang w:eastAsia="pl-PL"/>
              </w:rPr>
              <w:lastRenderedPageBreak/>
              <w:t>w sytuacjach kryzysowych</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46D76F"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lastRenderedPageBreak/>
              <w:t>250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C3ADB8"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Urząd Miasta</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EC3102"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Gmina Zbąszynek</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20BFF1"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www.zbaszynek.pl</w:t>
            </w:r>
          </w:p>
        </w:tc>
      </w:tr>
      <w:tr w:rsidR="00F31DCC" w:rsidRPr="00734EC6" w14:paraId="0E8B3F55"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031EF10"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Program ZGrani Zielonogórzanie 50+</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6ACE205"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Aktywizacja osób po 50. roku życia. Możliwości spędzania czasu wolnego, rozwijania umiejętności i poszerzania wiedzy. Oferta przygotowana z przedsiębiorcami: rabaty, specjalne ceny oraz usługi dedykowane grupie 50+.</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167D647"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32 021</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79409F4"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Miejski Ośrodek Pomocy Społecznej</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54EBD44"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Zielona Góra</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8BFBB90"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https://www.zgrani50.pl/</w:t>
            </w:r>
          </w:p>
        </w:tc>
      </w:tr>
      <w:tr w:rsidR="00F31DCC" w:rsidRPr="00734EC6" w14:paraId="75F8FD5B"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F096651"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Projekty socjalne: „Bliżej siebie  razem łatwiej”</w:t>
            </w:r>
          </w:p>
          <w:p w14:paraId="76A6DB02"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„Otępienie nie znaczy odrzucenie”</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2CD4A8"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Odciążenie i edukacja opiekunów osób starszych; wzmocnienie funkcji poznawczych oraz integracja seniorów</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4E737D4"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20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5559129"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GCPR CKZiU Medyk, Stowarzyszenie Pracowników Służb Społecznych KRĄG</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EAEC73B"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teren miasta Gorzowa Wielkopolskiego</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21E0D82"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http://www.gcprgorzow.pl/index.php/projekty/archiwalne/13-projekty/98-projekty-socjalne</w:t>
            </w:r>
          </w:p>
        </w:tc>
      </w:tr>
      <w:tr w:rsidR="00F31DCC" w:rsidRPr="00734EC6" w14:paraId="10950C3A"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C1C70AF"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Projekt socjalny: Seniorzy warci poznania i działania</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A1BE7AE"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Integracja seniorów z różnych dzielnic miasta Gorzowa  Wielkopolskiego z seniorami z Lubniewic</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B93CCA9"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50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01F500E"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GCPR, MGOPS w Lubniewicach Stowarzyszenie Lubniewickie - Klub Seniora Gorące Serca</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C4EE8B3"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Gorzów Wielkopolski i Lubniewice</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A41FD09"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http://www.gcprgorzow.pl/index.php/projekty/archiwalne/13-projekty/484-projekt-socjalny-seniorzy-warci-poznania-i-dzialania-2019</w:t>
            </w:r>
          </w:p>
        </w:tc>
      </w:tr>
      <w:tr w:rsidR="00F31DCC" w:rsidRPr="00734EC6" w14:paraId="1ADCEC15"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102CB43"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Dyskusyjny Klub Książki</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3C9A0A"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Dyskusje nt. przeczytanych książek</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6EE3D29"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16</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CAD2B54"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Gminna Biblioteka Publiczna w Brzeźnicy</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A6422C2"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Gmina Brzeźnica</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E96663C"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http://www.brzeznica.com.pl/15,13,0,Gminna_Biblioteka_Publiczna_w_Brzeznicy.html</w:t>
            </w:r>
          </w:p>
        </w:tc>
      </w:tr>
      <w:tr w:rsidR="00F31DCC" w:rsidRPr="00734EC6" w14:paraId="57C80830"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859A4D7"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Organizacja warsztatów malarskich dla Seniorów w ramach pleneru malarskiego</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215A353"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Spotkania Seniorów z malarzami oraz warsztaty malarskie</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3276B1C"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10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4507B5"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Ośrodek Pomocy Społecznej w Pszczewie</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545923B"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Pszczew</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907B56E"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brak</w:t>
            </w:r>
          </w:p>
        </w:tc>
      </w:tr>
      <w:tr w:rsidR="00F31DCC" w:rsidRPr="00734EC6" w14:paraId="5E3EE77E"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FEF015D"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lastRenderedPageBreak/>
              <w:t>Domowe S.O.S</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F142426"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Usuwanie drobnych usterek domowych</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BBBE11"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10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7775A2F"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Urząd Miasta</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CB85E7"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Gmina Zbąszynek</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2DCDE0A"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www.zbaszynek.pl</w:t>
            </w:r>
          </w:p>
        </w:tc>
      </w:tr>
      <w:tr w:rsidR="00F31DCC" w:rsidRPr="00734EC6" w14:paraId="534BCA3C"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E43C004"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br/>
              <w:t>Promocja zdrowia</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82A1ADD"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Profilaktyka zdrowia - wykonanie testów na HPV</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558015"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1 000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51F5968"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Gmina Sulęcin</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EB5B1F7"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Przychodnia "Medyk" w Sulęcinie</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5B7930A3"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Informacja upowszechniona była w formie plakatów.</w:t>
            </w:r>
          </w:p>
        </w:tc>
      </w:tr>
      <w:tr w:rsidR="00F31DCC" w:rsidRPr="00734EC6" w14:paraId="4F99B9B4"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D9A44A7"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Program szczepień profilaktycznych przeciwko grypie  dla mieszkańców Gminy Ośno Lubuskie 65 +</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424880E0"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promocja zdrowia, profilaktyka chorób</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84F2C7"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55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162C196"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Gmina Ośno Lubuskie</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4A99D16"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Przychodnia Rodzinna w Ośnie Lubuskim</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9FC501A"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http://osno.pl/bezplatne-szczepienia-przeciwko-grypie-seniorzy-65/</w:t>
            </w:r>
          </w:p>
        </w:tc>
      </w:tr>
      <w:tr w:rsidR="00F31DCC" w:rsidRPr="00734EC6" w14:paraId="3C68EB5B"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7761A70"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Seniorzy partycypują</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E111AD"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Opracowywanie nowej Strategii Rozwiązywania Problemów Społecznych w Gminie Santok (warsztaty, wywiady, spacery badawcze)</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D7015A2"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80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FFA9E06"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Ośrodek Pomocy Społecznej w Santoku</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8D3287"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Gmina Santok</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FD86A0A"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http://www.santok.opsinfo.pl/</w:t>
            </w:r>
          </w:p>
        </w:tc>
      </w:tr>
      <w:tr w:rsidR="00F31DCC" w:rsidRPr="00734EC6" w14:paraId="70BFB907"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019E737"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Wypożyczalnia sprzętu rehabilitacyjnego i ortopedycznego</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CC7E4B3"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OPS użycza nieodpłatnie dla osób potrzebujących, głownie starszych, niepełnosprawnych: wózki inwalidzkie, balkoniki inwalidzkie, chodziki, łóżka szpitalne, toalety sanitarne, kule inwalidzkie itp.</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B9D77F3"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24</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0F85B6"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Ośrodek Pomocy Społecznej w Łęknicy</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5896831"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Ośrodek Pomocy Społecznej w Łęknicy</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36EE7CF"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w:t>
            </w:r>
          </w:p>
        </w:tc>
      </w:tr>
      <w:tr w:rsidR="00F31DCC" w:rsidRPr="00734EC6" w14:paraId="0FCB2D7B"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2A30AA"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Prowadzenie wypożyczalni sprzętu rehabilitacyjnego</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99AB9F"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Pomoc osobom niepełnosprawnym ruchowo w zaspokojeniu podstawowych potrzeb</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59BFA3"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13</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B19B7FE"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Ośrodek Pomocy Społecznej w Starym Kurowie</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4B454C7"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Gmina Stare Kurowo</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55253766"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brak</w:t>
            </w:r>
          </w:p>
        </w:tc>
      </w:tr>
      <w:tr w:rsidR="00F31DCC" w:rsidRPr="00734EC6" w14:paraId="61751857" w14:textId="77777777" w:rsidTr="001024A6">
        <w:trPr>
          <w:trHeight w:val="765"/>
          <w:jc w:val="center"/>
        </w:trPr>
        <w:tc>
          <w:tcPr>
            <w:tcW w:w="1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09C90F8"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Koncert z Okazji Tygodnia Seniora</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1721FF0"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Spotkanie kulturalno-</w:t>
            </w:r>
            <w:r w:rsidRPr="00734EC6">
              <w:rPr>
                <w:rFonts w:ascii="Times New Roman" w:eastAsia="Times New Roman" w:hAnsi="Times New Roman" w:cs="Times New Roman"/>
                <w:color w:val="000000"/>
                <w:lang w:eastAsia="pl-PL"/>
              </w:rPr>
              <w:lastRenderedPageBreak/>
              <w:t>rozrywkowe, integracyjne</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23FE33F" w14:textId="77777777" w:rsidR="00F31DCC" w:rsidRPr="00734EC6" w:rsidRDefault="00F31DCC" w:rsidP="001024A6">
            <w:pPr>
              <w:spacing w:after="0"/>
              <w:jc w:val="center"/>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lastRenderedPageBreak/>
              <w:t>7 400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7FDE1E8"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t xml:space="preserve">Centrum Usług Opiekuńczych, Miejski </w:t>
            </w:r>
            <w:r w:rsidRPr="00734EC6">
              <w:rPr>
                <w:rFonts w:ascii="Times New Roman" w:eastAsia="Times New Roman" w:hAnsi="Times New Roman" w:cs="Times New Roman"/>
                <w:color w:val="000000"/>
                <w:lang w:eastAsia="pl-PL"/>
              </w:rPr>
              <w:lastRenderedPageBreak/>
              <w:t>Ośrodek Sportu i Rekreacji, Zielonogórski Ośrodek Kultury</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1D066BB"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lastRenderedPageBreak/>
              <w:t xml:space="preserve">Klub "Tkalnia" przy ul. </w:t>
            </w:r>
            <w:r w:rsidRPr="00734EC6">
              <w:rPr>
                <w:rFonts w:ascii="Times New Roman" w:eastAsia="Times New Roman" w:hAnsi="Times New Roman" w:cs="Times New Roman"/>
                <w:color w:val="000000"/>
                <w:lang w:eastAsia="pl-PL"/>
              </w:rPr>
              <w:lastRenderedPageBreak/>
              <w:t>Fabrycznej w Zielonej Górze</w:t>
            </w:r>
          </w:p>
        </w:tc>
        <w:tc>
          <w:tcPr>
            <w:tcW w:w="19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30211E3" w14:textId="77777777" w:rsidR="00F31DCC" w:rsidRPr="00734EC6"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lang w:eastAsia="pl-PL"/>
              </w:rPr>
            </w:pPr>
            <w:r w:rsidRPr="00734EC6">
              <w:rPr>
                <w:rFonts w:ascii="Times New Roman" w:eastAsia="Times New Roman" w:hAnsi="Times New Roman" w:cs="Times New Roman"/>
                <w:color w:val="000000"/>
                <w:lang w:eastAsia="pl-PL"/>
              </w:rPr>
              <w:lastRenderedPageBreak/>
              <w:t>Fb, www.cuo.zgora.pl</w:t>
            </w:r>
          </w:p>
        </w:tc>
      </w:tr>
    </w:tbl>
    <w:p w14:paraId="6433AA81" w14:textId="77777777" w:rsidR="00F31DCC" w:rsidRPr="0091666E" w:rsidRDefault="00F31DCC" w:rsidP="001024A6">
      <w:pPr>
        <w:tabs>
          <w:tab w:val="left" w:pos="1134"/>
        </w:tabs>
        <w:spacing w:after="0"/>
        <w:jc w:val="center"/>
        <w:rPr>
          <w:rFonts w:ascii="Times New Roman" w:hAnsi="Times New Roman" w:cs="Times New Roman"/>
          <w:b/>
          <w:sz w:val="24"/>
          <w:szCs w:val="24"/>
        </w:rPr>
      </w:pPr>
    </w:p>
    <w:tbl>
      <w:tblPr>
        <w:tblW w:w="10207" w:type="dxa"/>
        <w:tblInd w:w="-43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986"/>
        <w:gridCol w:w="2268"/>
        <w:gridCol w:w="1417"/>
        <w:gridCol w:w="1559"/>
        <w:gridCol w:w="1276"/>
        <w:gridCol w:w="1701"/>
      </w:tblGrid>
      <w:tr w:rsidR="00F31DCC" w:rsidRPr="005F0A32" w14:paraId="6972E173" w14:textId="77777777" w:rsidTr="0091666E">
        <w:trPr>
          <w:trHeight w:val="765"/>
        </w:trPr>
        <w:tc>
          <w:tcPr>
            <w:tcW w:w="198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2D20FC18"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Nazwa działania</w:t>
            </w:r>
          </w:p>
        </w:tc>
        <w:tc>
          <w:tcPr>
            <w:tcW w:w="2268"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6573E767"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Cel działania</w:t>
            </w:r>
          </w:p>
        </w:tc>
        <w:tc>
          <w:tcPr>
            <w:tcW w:w="1417"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2A814D96" w14:textId="77777777" w:rsidR="00F31DCC" w:rsidRPr="005F0A32" w:rsidRDefault="00F31DCC" w:rsidP="001024A6">
            <w:pPr>
              <w:spacing w:after="0"/>
              <w:ind w:left="-81" w:firstLine="81"/>
              <w:jc w:val="center"/>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Liczba beneficjentów</w:t>
            </w:r>
          </w:p>
        </w:tc>
        <w:tc>
          <w:tcPr>
            <w:tcW w:w="155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3D8A2DF0"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Organizator działania</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79111DBC"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Lokalizacja działania</w:t>
            </w:r>
          </w:p>
        </w:tc>
        <w:tc>
          <w:tcPr>
            <w:tcW w:w="1701"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75" w:type="dxa"/>
              <w:left w:w="75" w:type="dxa"/>
              <w:bottom w:w="75" w:type="dxa"/>
              <w:right w:w="75" w:type="dxa"/>
            </w:tcMar>
            <w:vAlign w:val="center"/>
            <w:hideMark/>
          </w:tcPr>
          <w:p w14:paraId="20AEB56D"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Odnośnik do strony internetowej z informacją o działaniu</w:t>
            </w:r>
          </w:p>
        </w:tc>
      </w:tr>
      <w:tr w:rsidR="00F31DCC" w:rsidRPr="005F0A32" w14:paraId="02F23559" w14:textId="77777777" w:rsidTr="0091666E">
        <w:trPr>
          <w:trHeight w:val="765"/>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73FE439"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Konkurs Poetycki</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9234AAD"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Rozwijanie pasji i zainteresowań poezją; odkrywanie talentów poetyckich; popularyzacja lokalnej twórczości poetyckiej. Integracja mieszkańców ze społecznością lokalną</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9F4C550" w14:textId="77777777" w:rsidR="00F31DCC" w:rsidRPr="005F0A32" w:rsidRDefault="00F31DCC" w:rsidP="001024A6">
            <w:pPr>
              <w:spacing w:after="0"/>
              <w:jc w:val="center"/>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50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E424836"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Dom Pomocy Społecznej w Trzebiechowie - Filia w Bełczu</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1FD8F14C"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Dom Pomocy Społecznej w Trzebiechowie - Filia w Bełczu, Bełcze 19</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60ADB47E"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https://trzebiechow.naszdps.pl/n,i-konkurs-poetycki</w:t>
            </w:r>
          </w:p>
        </w:tc>
      </w:tr>
      <w:tr w:rsidR="00F31DCC" w:rsidRPr="005F0A32" w14:paraId="40FEB279" w14:textId="77777777" w:rsidTr="0091666E">
        <w:trPr>
          <w:trHeight w:val="765"/>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20F53634"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Warsztaty Bębnów Afrykańskich</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A2D3C6F"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Poznawanie brzmienia nowych instrumentów; wspólna zabawa; relaksacja; nawiązywanie nowych znajomości; poszerzanie horyzontów o nowe zainteresowania</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34747379" w14:textId="77777777" w:rsidR="00F31DCC" w:rsidRPr="005F0A32" w:rsidRDefault="00F31DCC" w:rsidP="001024A6">
            <w:pPr>
              <w:spacing w:after="0"/>
              <w:jc w:val="center"/>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45</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727EBA40"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Dom Pomocy Społecznej w Trzebiechowie</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2BC2C87"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Dom Pomocy Społecznej w Trzebiechowie, ul. Sulechowska 1</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14:paraId="0804F384"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https://pl-pl.facebook.com/dps.trzebiechow/ (data: 25.10.2019r.)</w:t>
            </w:r>
          </w:p>
        </w:tc>
      </w:tr>
      <w:tr w:rsidR="00F31DCC" w:rsidRPr="005F0A32" w14:paraId="72069A48" w14:textId="77777777" w:rsidTr="0091666E">
        <w:trPr>
          <w:trHeight w:val="765"/>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6119A2D"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XX Powiatowy Dzień Seniora</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C546CD0"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Integracja seniorów ze środowiskiem, nawiązywanie kontaktów, dowartościowanie i pobudzanie do działania osób w podeszłym wieku z różnych środowisk i w różnym przekroju wiekowym.</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DDF57CD" w14:textId="77777777" w:rsidR="00F31DCC" w:rsidRPr="005F0A32" w:rsidRDefault="00F31DCC" w:rsidP="001024A6">
            <w:pPr>
              <w:spacing w:after="0"/>
              <w:jc w:val="center"/>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300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7C385791"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Powiatowe Centrum Pomocy Rodzinie w Drezdenku</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8845EDF"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powiat strzelecko - drezdenecki</w:t>
            </w: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29385AF8"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http://www.pcprdrezdenko.pl/index.php?c=page&amp;id=648</w:t>
            </w:r>
          </w:p>
        </w:tc>
      </w:tr>
      <w:tr w:rsidR="00F31DCC" w:rsidRPr="005F0A32" w14:paraId="40D04026" w14:textId="77777777" w:rsidTr="0091666E">
        <w:trPr>
          <w:trHeight w:val="765"/>
        </w:trPr>
        <w:tc>
          <w:tcPr>
            <w:tcW w:w="1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0259B339"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lastRenderedPageBreak/>
              <w:t>Festyn Rodzinny</w:t>
            </w:r>
          </w:p>
        </w:tc>
        <w:tc>
          <w:tcPr>
            <w:tcW w:w="22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63D36F2"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Integracja; odbudowanie  i podtrzymywanie relacji rodzinnych; wspólne spędzanie czasu; nawiązywanie nowych znajomości; wspólna zabawa</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3571C652" w14:textId="77777777" w:rsidR="00F31DCC" w:rsidRPr="005F0A32" w:rsidRDefault="00F31DCC" w:rsidP="001024A6">
            <w:pPr>
              <w:spacing w:after="0"/>
              <w:jc w:val="center"/>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600</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68D2118D"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Dom Pomocy Społecznej w Trzebiechowie (24.08.2019r. - 250 osób);</w:t>
            </w:r>
          </w:p>
          <w:p w14:paraId="5DF83F4A"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Dom Pomocy Społecznej w Trzebiechowie - Filia w Bełczu (15.06.2019r. - 350 osób)</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17A0D765"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Dom Pomocy Społecznej w Trzebiechowie z filią w Bełczu</w:t>
            </w:r>
          </w:p>
          <w:p w14:paraId="10740B8C"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p>
        </w:tc>
        <w:tc>
          <w:tcPr>
            <w:tcW w:w="1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14:paraId="4EEBA2C5"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textAlignment w:val="top"/>
              <w:rPr>
                <w:rFonts w:ascii="Times New Roman" w:eastAsia="Times New Roman" w:hAnsi="Times New Roman" w:cs="Times New Roman"/>
                <w:color w:val="000000"/>
                <w:sz w:val="24"/>
                <w:szCs w:val="24"/>
                <w:lang w:eastAsia="pl-PL"/>
              </w:rPr>
            </w:pPr>
            <w:r w:rsidRPr="005F0A32">
              <w:rPr>
                <w:rFonts w:ascii="Times New Roman" w:eastAsia="Times New Roman" w:hAnsi="Times New Roman" w:cs="Times New Roman"/>
                <w:color w:val="000000"/>
                <w:sz w:val="24"/>
                <w:szCs w:val="24"/>
                <w:lang w:eastAsia="pl-PL"/>
              </w:rPr>
              <w:t>https://trzebiechow.naszdps.pl/przede-wszystkim-integracja/festyn-rodzinny/g,xii-festyn-rodzinny-w-trzebiechowie</w:t>
            </w:r>
          </w:p>
        </w:tc>
      </w:tr>
    </w:tbl>
    <w:p w14:paraId="1039D0D1" w14:textId="77777777" w:rsidR="00F31DCC" w:rsidRPr="005F0A32" w:rsidRDefault="00F31DCC" w:rsidP="003C1988">
      <w:pPr>
        <w:spacing w:after="0"/>
        <w:rPr>
          <w:rFonts w:ascii="Times New Roman" w:hAnsi="Times New Roman" w:cs="Times New Roman"/>
          <w:sz w:val="24"/>
          <w:szCs w:val="24"/>
        </w:rPr>
      </w:pPr>
    </w:p>
    <w:p w14:paraId="150CA1B1" w14:textId="77777777" w:rsidR="0091666E" w:rsidRPr="00734EC6" w:rsidRDefault="0091666E" w:rsidP="001024A6">
      <w:pPr>
        <w:jc w:val="both"/>
        <w:rPr>
          <w:color w:val="00B0F0"/>
        </w:rPr>
      </w:pPr>
      <w:r w:rsidRPr="00734EC6">
        <w:rPr>
          <w:rFonts w:ascii="Times New Roman" w:hAnsi="Times New Roman" w:cs="Times New Roman"/>
          <w:b/>
          <w:color w:val="00B0F0"/>
          <w:sz w:val="24"/>
          <w:szCs w:val="24"/>
        </w:rPr>
        <w:t>Przykłady innowacyjnych rozwiązań w ramach polityki senioralnej</w:t>
      </w:r>
    </w:p>
    <w:p w14:paraId="20A3CCE2" w14:textId="77777777" w:rsidR="00F31DCC" w:rsidRPr="005F0A32" w:rsidRDefault="00F31DCC" w:rsidP="001024A6">
      <w:pPr>
        <w:spacing w:after="0"/>
        <w:jc w:val="both"/>
        <w:rPr>
          <w:rFonts w:ascii="Times New Roman" w:hAnsi="Times New Roman" w:cs="Times New Roman"/>
          <w:color w:val="000000"/>
          <w:sz w:val="24"/>
          <w:szCs w:val="24"/>
          <w:shd w:val="clear" w:color="auto" w:fill="FFFFFF"/>
        </w:rPr>
      </w:pPr>
      <w:r w:rsidRPr="005F0A32">
        <w:rPr>
          <w:rFonts w:ascii="Times New Roman" w:hAnsi="Times New Roman" w:cs="Times New Roman"/>
          <w:color w:val="000000"/>
          <w:sz w:val="24"/>
          <w:szCs w:val="24"/>
          <w:shd w:val="clear" w:color="auto" w:fill="FFFFFF"/>
        </w:rPr>
        <w:t xml:space="preserve">Dynamicznie zmieniająca się rzeczywistość, rozwój technologii oraz coraz dłuższe życie, wpływają na zmiany potrzeb osób starszych. To z kolei determinuje stałe aktualizowanie i dostosowywanie oferty usług na rzecz seniorów.  Realizowanie innowacyjnych działań jest niezbędnym elementem kompleksowego wsparcia. Stąd też lubuskie gminy dokładają wszelkich starań, by działania dedykowane osobom 60 + odpowiadały ich bieżącym potrzebom i uwzględniały zachodzące zmiany. </w:t>
      </w:r>
    </w:p>
    <w:p w14:paraId="46F7BBD0" w14:textId="77777777" w:rsidR="0091666E" w:rsidRDefault="00F31DCC" w:rsidP="008C71A9">
      <w:pPr>
        <w:pStyle w:val="Akapitzlist"/>
        <w:numPr>
          <w:ilvl w:val="0"/>
          <w:numId w:val="66"/>
        </w:numPr>
        <w:spacing w:after="0"/>
        <w:ind w:left="360"/>
        <w:jc w:val="both"/>
        <w:rPr>
          <w:rFonts w:ascii="Times New Roman" w:eastAsia="Times New Roman" w:hAnsi="Times New Roman" w:cs="Times New Roman"/>
          <w:sz w:val="24"/>
          <w:szCs w:val="24"/>
          <w:lang w:eastAsia="pl-PL"/>
        </w:rPr>
      </w:pPr>
      <w:r w:rsidRPr="0091666E">
        <w:rPr>
          <w:rFonts w:ascii="Times New Roman" w:hAnsi="Times New Roman" w:cs="Times New Roman"/>
          <w:color w:val="000000"/>
          <w:sz w:val="24"/>
          <w:szCs w:val="24"/>
        </w:rPr>
        <w:t xml:space="preserve">Gmina Zbąszynek – „Obywatel cyfrowej przyszłości wzrost aktywności obywatelskiej w obszarze kompetencji cyfrowych w woj. lubuskim”- </w:t>
      </w:r>
      <w:r w:rsidRPr="0091666E">
        <w:rPr>
          <w:rFonts w:ascii="Times New Roman" w:eastAsia="Times New Roman" w:hAnsi="Times New Roman" w:cs="Times New Roman"/>
          <w:sz w:val="24"/>
          <w:szCs w:val="24"/>
          <w:lang w:eastAsia="pl-PL"/>
        </w:rPr>
        <w:t xml:space="preserve">zagadnienia związane z obsługą tabletu, korzystanie z usług internetowych takich jak np. bankowość elektroniczna, zakupy internetowe, kontakty z urzędami online, korzystanie z narzędzi takich jak aparat cyfrowy, drukarka, komunikator internetowy, informacje o </w:t>
      </w:r>
      <w:r w:rsidR="0091666E">
        <w:rPr>
          <w:rFonts w:ascii="Times New Roman" w:eastAsia="Times New Roman" w:hAnsi="Times New Roman" w:cs="Times New Roman"/>
          <w:sz w:val="24"/>
          <w:szCs w:val="24"/>
          <w:lang w:eastAsia="pl-PL"/>
        </w:rPr>
        <w:t>zasadach bezpieczeństwa w sieci;</w:t>
      </w:r>
    </w:p>
    <w:p w14:paraId="28ECFFDE" w14:textId="77777777" w:rsidR="0091666E" w:rsidRPr="0091666E" w:rsidRDefault="00F31DCC" w:rsidP="008C71A9">
      <w:pPr>
        <w:pStyle w:val="Akapitzlist"/>
        <w:numPr>
          <w:ilvl w:val="0"/>
          <w:numId w:val="66"/>
        </w:numPr>
        <w:spacing w:after="0"/>
        <w:ind w:left="360"/>
        <w:jc w:val="both"/>
        <w:rPr>
          <w:rFonts w:ascii="Times New Roman" w:eastAsia="Times New Roman" w:hAnsi="Times New Roman" w:cs="Times New Roman"/>
          <w:sz w:val="24"/>
          <w:szCs w:val="24"/>
          <w:lang w:eastAsia="pl-PL"/>
        </w:rPr>
      </w:pPr>
      <w:r w:rsidRPr="0091666E">
        <w:rPr>
          <w:rFonts w:ascii="Times New Roman" w:eastAsia="Times New Roman" w:hAnsi="Times New Roman" w:cs="Times New Roman"/>
          <w:sz w:val="24"/>
          <w:szCs w:val="24"/>
          <w:lang w:eastAsia="pl-PL"/>
        </w:rPr>
        <w:t>Gmina Pszczew – „K</w:t>
      </w:r>
      <w:r w:rsidRPr="0091666E">
        <w:rPr>
          <w:rFonts w:ascii="Times New Roman" w:hAnsi="Times New Roman" w:cs="Times New Roman"/>
          <w:color w:val="000000"/>
          <w:sz w:val="24"/>
          <w:szCs w:val="24"/>
        </w:rPr>
        <w:t>urs komputerowy dla Seniorów”</w:t>
      </w:r>
    </w:p>
    <w:p w14:paraId="2720B14E" w14:textId="77777777" w:rsidR="0091666E" w:rsidRPr="0091666E" w:rsidRDefault="00F31DCC" w:rsidP="008C71A9">
      <w:pPr>
        <w:pStyle w:val="Akapitzlist"/>
        <w:numPr>
          <w:ilvl w:val="0"/>
          <w:numId w:val="66"/>
        </w:numPr>
        <w:spacing w:after="0"/>
        <w:ind w:left="360"/>
        <w:jc w:val="both"/>
        <w:rPr>
          <w:rFonts w:ascii="Times New Roman" w:eastAsia="Times New Roman" w:hAnsi="Times New Roman" w:cs="Times New Roman"/>
          <w:sz w:val="24"/>
          <w:szCs w:val="24"/>
          <w:lang w:eastAsia="pl-PL"/>
        </w:rPr>
      </w:pPr>
      <w:r w:rsidRPr="0091666E">
        <w:rPr>
          <w:rFonts w:ascii="Times New Roman" w:eastAsia="Times New Roman" w:hAnsi="Times New Roman" w:cs="Times New Roman"/>
          <w:sz w:val="24"/>
          <w:szCs w:val="24"/>
          <w:lang w:eastAsia="pl-PL"/>
        </w:rPr>
        <w:t>Gmina Sulęcin – „</w:t>
      </w:r>
      <w:r w:rsidRPr="0091666E">
        <w:rPr>
          <w:rFonts w:ascii="Times New Roman" w:hAnsi="Times New Roman" w:cs="Times New Roman"/>
          <w:color w:val="000000"/>
          <w:sz w:val="24"/>
          <w:szCs w:val="24"/>
        </w:rPr>
        <w:t>Poprawa dostępności architektonicznej, cyfrowej i organizacyjnej instytucji publicznej na rzecz seniorów” - dostępność internetu w każdym środowisku w miejscu zamieszkania seniora, pomoc w wyrobieniu kart płatniczych, likwidowanie barier architektonicznych w każdej instytucji publicznej i prywatnej, pomoc w załatwianiu wizyt lekarskich za pomocą informacji telefonicznej oraz wystawianie e-recept.</w:t>
      </w:r>
    </w:p>
    <w:p w14:paraId="2C3EC605" w14:textId="77777777" w:rsidR="00F31DCC" w:rsidRPr="0091666E" w:rsidRDefault="00F31DCC" w:rsidP="008C71A9">
      <w:pPr>
        <w:pStyle w:val="Akapitzlist"/>
        <w:numPr>
          <w:ilvl w:val="0"/>
          <w:numId w:val="66"/>
        </w:numPr>
        <w:spacing w:after="0"/>
        <w:ind w:left="360"/>
        <w:jc w:val="both"/>
        <w:rPr>
          <w:rFonts w:ascii="Times New Roman" w:eastAsia="Times New Roman" w:hAnsi="Times New Roman" w:cs="Times New Roman"/>
          <w:sz w:val="24"/>
          <w:szCs w:val="24"/>
          <w:lang w:eastAsia="pl-PL"/>
        </w:rPr>
      </w:pPr>
      <w:r w:rsidRPr="0091666E">
        <w:rPr>
          <w:rFonts w:ascii="Times New Roman" w:hAnsi="Times New Roman" w:cs="Times New Roman"/>
          <w:color w:val="000000"/>
          <w:sz w:val="24"/>
          <w:szCs w:val="24"/>
        </w:rPr>
        <w:t>Miasto Zielona Góra</w:t>
      </w:r>
      <w:r w:rsidRPr="0091666E">
        <w:rPr>
          <w:rFonts w:ascii="Times New Roman" w:hAnsi="Times New Roman" w:cs="Times New Roman"/>
          <w:b/>
          <w:color w:val="000000"/>
          <w:sz w:val="24"/>
          <w:szCs w:val="24"/>
        </w:rPr>
        <w:t xml:space="preserve"> - </w:t>
      </w:r>
      <w:r w:rsidRPr="0091666E">
        <w:rPr>
          <w:rFonts w:ascii="Times New Roman" w:hAnsi="Times New Roman" w:cs="Times New Roman"/>
          <w:color w:val="000000"/>
          <w:sz w:val="24"/>
          <w:szCs w:val="24"/>
        </w:rPr>
        <w:t>„Kurs obsługi komputera i telefonów komórkowych dla podopiecznych Dziennego Domu Pobytu” - nauka seniorów posługiwania się nowymi telefonami komórkowymi oraz radzenia sobie z internetowymi operacjami bankowymi.</w:t>
      </w:r>
    </w:p>
    <w:p w14:paraId="7F3F68A2" w14:textId="77777777" w:rsidR="00F31DCC" w:rsidRDefault="00F31DCC" w:rsidP="001024A6">
      <w:pPr>
        <w:spacing w:after="0"/>
        <w:jc w:val="both"/>
        <w:rPr>
          <w:rFonts w:ascii="Times New Roman" w:hAnsi="Times New Roman" w:cs="Times New Roman"/>
          <w:color w:val="000000"/>
          <w:sz w:val="24"/>
          <w:szCs w:val="24"/>
        </w:rPr>
      </w:pPr>
      <w:r w:rsidRPr="005F0A32">
        <w:rPr>
          <w:rFonts w:ascii="Times New Roman" w:hAnsi="Times New Roman" w:cs="Times New Roman"/>
          <w:color w:val="000000"/>
          <w:sz w:val="24"/>
          <w:szCs w:val="24"/>
        </w:rPr>
        <w:t>„Kawiarenka internetowa dla Seniorów w Centrum Usług Opiekuńczych” - stanowisko komputerowo-internetowe uruchomione w 2019 r. w części wypoczynkowej stołówki Centrum Usług Opiekuńczych.</w:t>
      </w:r>
    </w:p>
    <w:p w14:paraId="3E9DFF3F" w14:textId="52562F2D" w:rsidR="0091666E" w:rsidRDefault="0091666E" w:rsidP="001024A6">
      <w:pPr>
        <w:spacing w:after="0"/>
        <w:jc w:val="both"/>
        <w:rPr>
          <w:rFonts w:ascii="Times New Roman" w:hAnsi="Times New Roman" w:cs="Times New Roman"/>
          <w:color w:val="000000"/>
          <w:sz w:val="24"/>
          <w:szCs w:val="24"/>
        </w:rPr>
      </w:pPr>
    </w:p>
    <w:p w14:paraId="4F5CC197" w14:textId="453CB414" w:rsidR="00EA01AF" w:rsidRDefault="00EA01AF" w:rsidP="001024A6">
      <w:pPr>
        <w:spacing w:after="0"/>
        <w:jc w:val="both"/>
        <w:rPr>
          <w:rFonts w:ascii="Times New Roman" w:hAnsi="Times New Roman" w:cs="Times New Roman"/>
          <w:color w:val="000000"/>
          <w:sz w:val="24"/>
          <w:szCs w:val="24"/>
        </w:rPr>
      </w:pPr>
    </w:p>
    <w:p w14:paraId="44D53D54" w14:textId="77777777" w:rsidR="00EA01AF" w:rsidRPr="005F0A32" w:rsidRDefault="00EA01AF" w:rsidP="001024A6">
      <w:pPr>
        <w:spacing w:after="0"/>
        <w:jc w:val="both"/>
        <w:rPr>
          <w:rFonts w:ascii="Times New Roman" w:hAnsi="Times New Roman" w:cs="Times New Roman"/>
          <w:color w:val="000000"/>
          <w:sz w:val="24"/>
          <w:szCs w:val="24"/>
        </w:rPr>
      </w:pPr>
    </w:p>
    <w:p w14:paraId="4E55D90C" w14:textId="77777777" w:rsidR="00F31DCC" w:rsidRPr="00734EC6" w:rsidRDefault="00F31DCC" w:rsidP="001024A6">
      <w:pPr>
        <w:spacing w:after="0"/>
        <w:jc w:val="both"/>
        <w:rPr>
          <w:rFonts w:ascii="Times New Roman" w:hAnsi="Times New Roman" w:cs="Times New Roman"/>
          <w:b/>
          <w:i/>
          <w:color w:val="00B0F0"/>
          <w:sz w:val="24"/>
          <w:szCs w:val="24"/>
        </w:rPr>
      </w:pPr>
      <w:r w:rsidRPr="00734EC6">
        <w:rPr>
          <w:rFonts w:ascii="Times New Roman" w:hAnsi="Times New Roman" w:cs="Times New Roman"/>
          <w:b/>
          <w:color w:val="00B0F0"/>
          <w:sz w:val="24"/>
          <w:szCs w:val="24"/>
        </w:rPr>
        <w:lastRenderedPageBreak/>
        <w:t xml:space="preserve">Realizacja działań wynikających z przyjętego przez Radę Ministrów dokumentu pt. „Polityka społeczna wobec osób starszych 2030. Bezpieczeństwo – Uczestnictwo – Solidarność” </w:t>
      </w:r>
    </w:p>
    <w:p w14:paraId="4E746DEF" w14:textId="77777777" w:rsidR="00F31DCC" w:rsidRDefault="00F31DCC" w:rsidP="001024A6">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Województwo lubuskie liczy 82 gminy i 14 powiatów (w tym 2 miasta na prawach powiatu). 68 gmin (83%) oraz 4 powiaty (28%) realizują założenia przyjętego – 26 października 2018 r.- przez Radę Ministrów dokumentu pt. </w:t>
      </w:r>
      <w:r w:rsidRPr="00734EC6">
        <w:rPr>
          <w:rFonts w:ascii="Times New Roman" w:hAnsi="Times New Roman" w:cs="Times New Roman"/>
          <w:i/>
          <w:sz w:val="24"/>
          <w:szCs w:val="24"/>
        </w:rPr>
        <w:t>Polityka społeczna wobec osób starszych 2030. Bezpieczeńst</w:t>
      </w:r>
      <w:r w:rsidR="00734EC6" w:rsidRPr="00734EC6">
        <w:rPr>
          <w:rFonts w:ascii="Times New Roman" w:hAnsi="Times New Roman" w:cs="Times New Roman"/>
          <w:i/>
          <w:sz w:val="24"/>
          <w:szCs w:val="24"/>
        </w:rPr>
        <w:t>wo – Uczestnictwo – Solidarność</w:t>
      </w:r>
      <w:r w:rsidR="00734EC6">
        <w:rPr>
          <w:rFonts w:ascii="Times New Roman" w:hAnsi="Times New Roman" w:cs="Times New Roman"/>
          <w:i/>
          <w:sz w:val="24"/>
          <w:szCs w:val="24"/>
        </w:rPr>
        <w:t>.</w:t>
      </w:r>
      <w:r w:rsidR="00734EC6">
        <w:rPr>
          <w:rFonts w:ascii="Times New Roman" w:hAnsi="Times New Roman" w:cs="Times New Roman"/>
          <w:sz w:val="24"/>
          <w:szCs w:val="24"/>
        </w:rPr>
        <w:t xml:space="preserve"> </w:t>
      </w:r>
      <w:r w:rsidRPr="005F0A32">
        <w:rPr>
          <w:rFonts w:ascii="Times New Roman" w:hAnsi="Times New Roman" w:cs="Times New Roman"/>
          <w:sz w:val="24"/>
          <w:szCs w:val="24"/>
        </w:rPr>
        <w:t>Działania na rzecz osób starszych w 2019 r., były podej</w:t>
      </w:r>
      <w:r w:rsidR="00734EC6">
        <w:rPr>
          <w:rFonts w:ascii="Times New Roman" w:hAnsi="Times New Roman" w:cs="Times New Roman"/>
          <w:sz w:val="24"/>
          <w:szCs w:val="24"/>
        </w:rPr>
        <w:t xml:space="preserve">mowane w szczególności w takich </w:t>
      </w:r>
      <w:r w:rsidRPr="005F0A32">
        <w:rPr>
          <w:rFonts w:ascii="Times New Roman" w:hAnsi="Times New Roman" w:cs="Times New Roman"/>
          <w:sz w:val="24"/>
          <w:szCs w:val="24"/>
        </w:rPr>
        <w:t xml:space="preserve">obszarach jak: kształtowanie pozytywnego postrzegania starości w społeczeństwie; uczestnictwo w życiu społecznym; promocja zdrowia; zwiększanie bezpieczeństwa fizycznego – przeciwdziałanie przemocy i zaniedbaniom wobec osób starszych; oraz tworzenie warunków do solidarności i integracji międzypokoleniowej. Ponadto w województwie –głównie za sprawą realizacji programów rządowych - wzrasta sieć usług środowiskowych oraz instytucjonalnych -udzielanych osobom starszym. Powstają kolejne dzienne domy pobytu, kluby, a placówki już funkcjonujące rozszerzają zakres działań. </w:t>
      </w:r>
    </w:p>
    <w:p w14:paraId="63AA5C17" w14:textId="77777777" w:rsidR="000A5E67" w:rsidRPr="005F0A32" w:rsidRDefault="000A5E67" w:rsidP="001024A6">
      <w:pPr>
        <w:spacing w:after="0"/>
        <w:jc w:val="both"/>
        <w:rPr>
          <w:rFonts w:ascii="Times New Roman" w:hAnsi="Times New Roman" w:cs="Times New Roman"/>
          <w:sz w:val="24"/>
          <w:szCs w:val="24"/>
        </w:rPr>
      </w:pPr>
    </w:p>
    <w:p w14:paraId="199BB846" w14:textId="77777777" w:rsidR="00F31DCC" w:rsidRPr="00734EC6" w:rsidRDefault="00F31DCC" w:rsidP="001024A6">
      <w:pPr>
        <w:spacing w:after="0"/>
        <w:jc w:val="both"/>
        <w:rPr>
          <w:rFonts w:ascii="Times New Roman" w:hAnsi="Times New Roman" w:cs="Times New Roman"/>
          <w:b/>
          <w:i/>
          <w:color w:val="00B0F0"/>
          <w:sz w:val="24"/>
          <w:szCs w:val="24"/>
        </w:rPr>
      </w:pPr>
      <w:r w:rsidRPr="00734EC6">
        <w:rPr>
          <w:rFonts w:ascii="Times New Roman" w:hAnsi="Times New Roman" w:cs="Times New Roman"/>
          <w:b/>
          <w:color w:val="00B0F0"/>
          <w:sz w:val="24"/>
          <w:szCs w:val="24"/>
        </w:rPr>
        <w:t>Działania podjęte w 2019 r. mające na celu realizację rekomendacji wskazanych w </w:t>
      </w:r>
      <w:r w:rsidRPr="00734EC6">
        <w:rPr>
          <w:rFonts w:ascii="Times New Roman" w:hAnsi="Times New Roman" w:cs="Times New Roman"/>
          <w:b/>
          <w:i/>
          <w:color w:val="00B0F0"/>
          <w:sz w:val="24"/>
          <w:szCs w:val="24"/>
        </w:rPr>
        <w:t xml:space="preserve">Informacji o sytuacji osób starszych za 2018 r. </w:t>
      </w:r>
    </w:p>
    <w:p w14:paraId="05F907B6" w14:textId="77777777" w:rsidR="000A5E67" w:rsidRPr="000A5E67" w:rsidRDefault="00F31DCC" w:rsidP="001024A6">
      <w:pPr>
        <w:spacing w:after="0"/>
        <w:jc w:val="both"/>
        <w:rPr>
          <w:rFonts w:ascii="Times New Roman" w:hAnsi="Times New Roman" w:cs="Times New Roman"/>
          <w:color w:val="000000" w:themeColor="text1"/>
          <w:sz w:val="24"/>
          <w:szCs w:val="24"/>
        </w:rPr>
      </w:pPr>
      <w:r w:rsidRPr="005F0A32">
        <w:rPr>
          <w:rFonts w:ascii="Times New Roman" w:hAnsi="Times New Roman" w:cs="Times New Roman"/>
          <w:sz w:val="24"/>
          <w:szCs w:val="24"/>
        </w:rPr>
        <w:t xml:space="preserve">W opracowanej </w:t>
      </w:r>
      <w:r w:rsidRPr="005F0A32">
        <w:rPr>
          <w:rFonts w:ascii="Times New Roman" w:hAnsi="Times New Roman" w:cs="Times New Roman"/>
          <w:i/>
          <w:sz w:val="24"/>
          <w:szCs w:val="24"/>
        </w:rPr>
        <w:t>Informacji o sytuacji osób starszych w Polsce za 2018 r.</w:t>
      </w:r>
      <w:r w:rsidRPr="005F0A32">
        <w:rPr>
          <w:rFonts w:ascii="Times New Roman" w:hAnsi="Times New Roman" w:cs="Times New Roman"/>
          <w:sz w:val="24"/>
          <w:szCs w:val="24"/>
        </w:rPr>
        <w:t xml:space="preserve"> sformułowane zostały wnioski i rekomendacje, które uwzględnione zostały podczas planowania i realizacji działań na rz</w:t>
      </w:r>
      <w:r w:rsidR="000A5E67">
        <w:rPr>
          <w:rFonts w:ascii="Times New Roman" w:hAnsi="Times New Roman" w:cs="Times New Roman"/>
          <w:sz w:val="24"/>
          <w:szCs w:val="24"/>
        </w:rPr>
        <w:t xml:space="preserve">ecz osób starszych w 2019 r. </w:t>
      </w:r>
      <w:r w:rsidRPr="000A5E67">
        <w:rPr>
          <w:rFonts w:ascii="Times New Roman" w:hAnsi="Times New Roman" w:cs="Times New Roman"/>
          <w:color w:val="000000" w:themeColor="text1"/>
          <w:sz w:val="24"/>
          <w:szCs w:val="24"/>
        </w:rPr>
        <w:t>Podejmowane działania w woj. lubuskim obejmowały między innymi:</w:t>
      </w:r>
    </w:p>
    <w:p w14:paraId="3DA98006" w14:textId="77777777" w:rsidR="00F31DCC" w:rsidRPr="00FF395B" w:rsidRDefault="00F31DCC" w:rsidP="008C71A9">
      <w:pPr>
        <w:pStyle w:val="Akapitzlist"/>
        <w:numPr>
          <w:ilvl w:val="0"/>
          <w:numId w:val="67"/>
        </w:numPr>
        <w:spacing w:after="0"/>
        <w:ind w:left="360"/>
        <w:jc w:val="both"/>
        <w:rPr>
          <w:rFonts w:ascii="Times New Roman" w:hAnsi="Times New Roman" w:cs="Times New Roman"/>
          <w:sz w:val="24"/>
          <w:szCs w:val="24"/>
        </w:rPr>
      </w:pPr>
      <w:r w:rsidRPr="00FF395B">
        <w:rPr>
          <w:rFonts w:ascii="Times New Roman" w:hAnsi="Times New Roman" w:cs="Times New Roman"/>
          <w:sz w:val="24"/>
          <w:szCs w:val="24"/>
        </w:rPr>
        <w:t>Zorganizowanie sieci dostępnych usług opiekuńczych:</w:t>
      </w:r>
    </w:p>
    <w:p w14:paraId="2AA134C8" w14:textId="77777777" w:rsidR="00F31DCC" w:rsidRPr="005F0A32" w:rsidRDefault="00F31DCC" w:rsidP="008C71A9">
      <w:pPr>
        <w:numPr>
          <w:ilvl w:val="0"/>
          <w:numId w:val="70"/>
        </w:numPr>
        <w:spacing w:after="0"/>
        <w:ind w:left="643"/>
        <w:contextualSpacing/>
        <w:jc w:val="both"/>
        <w:rPr>
          <w:rFonts w:ascii="Times New Roman" w:eastAsia="Times New Roman" w:hAnsi="Times New Roman" w:cs="Times New Roman"/>
          <w:sz w:val="24"/>
          <w:szCs w:val="24"/>
          <w:lang w:eastAsia="pl-PL"/>
        </w:rPr>
      </w:pPr>
      <w:r w:rsidRPr="005F0A32">
        <w:rPr>
          <w:rFonts w:ascii="Times New Roman" w:hAnsi="Times New Roman" w:cs="Times New Roman"/>
          <w:sz w:val="24"/>
          <w:szCs w:val="24"/>
        </w:rPr>
        <w:t>Gminy zapewniają usługi opiekuńcze dla osób najbardziej zależnych również w dni wolne od pracy i święta;</w:t>
      </w:r>
    </w:p>
    <w:p w14:paraId="0572A4E4" w14:textId="77777777" w:rsidR="00F31DCC" w:rsidRPr="005F0A32" w:rsidRDefault="00F31DCC" w:rsidP="008C71A9">
      <w:pPr>
        <w:numPr>
          <w:ilvl w:val="0"/>
          <w:numId w:val="70"/>
        </w:numPr>
        <w:spacing w:after="0"/>
        <w:ind w:left="643"/>
        <w:contextualSpacing/>
        <w:jc w:val="both"/>
        <w:rPr>
          <w:rFonts w:ascii="Times New Roman" w:eastAsia="Times New Roman" w:hAnsi="Times New Roman" w:cs="Times New Roman"/>
          <w:sz w:val="24"/>
          <w:szCs w:val="24"/>
          <w:lang w:eastAsia="pl-PL"/>
        </w:rPr>
      </w:pPr>
      <w:r w:rsidRPr="005F0A32">
        <w:rPr>
          <w:rFonts w:ascii="Times New Roman" w:hAnsi="Times New Roman" w:cs="Times New Roman"/>
          <w:sz w:val="24"/>
          <w:szCs w:val="24"/>
        </w:rPr>
        <w:t>Realizacja lokalnych projektów, np. standaryzacja usług opiekuńczych. Spotkania z psychologiem, terapeutą, prawnikiem i rehabilitantem;</w:t>
      </w:r>
    </w:p>
    <w:p w14:paraId="1A2C7634" w14:textId="77777777" w:rsidR="00F31DCC" w:rsidRPr="000A5E67" w:rsidRDefault="00F31DCC" w:rsidP="008C71A9">
      <w:pPr>
        <w:numPr>
          <w:ilvl w:val="0"/>
          <w:numId w:val="70"/>
        </w:numPr>
        <w:spacing w:after="0"/>
        <w:ind w:left="643"/>
        <w:contextualSpacing/>
        <w:jc w:val="both"/>
        <w:rPr>
          <w:rFonts w:ascii="Times New Roman" w:eastAsia="Times New Roman" w:hAnsi="Times New Roman" w:cs="Times New Roman"/>
          <w:sz w:val="24"/>
          <w:szCs w:val="24"/>
          <w:lang w:eastAsia="pl-PL"/>
        </w:rPr>
      </w:pPr>
      <w:r w:rsidRPr="005F0A32">
        <w:rPr>
          <w:rFonts w:ascii="Times New Roman" w:hAnsi="Times New Roman" w:cs="Times New Roman"/>
          <w:sz w:val="24"/>
          <w:szCs w:val="24"/>
        </w:rPr>
        <w:t>Realizacja Programu „Opieka 75+”. Strategicznym celem programu jest poprawa dostępności do usług opiekuńczych, w tym specjalistycznych usług opiekuńczych, dla osób w wieku 75 lat i więcej. W 2019 r. program był realizowany w rozszerzonej formie, tj. skierowany jest nie tylko do osób samotnych w wieku 75 lat i więcej, ale także do osób pozostających w rodzinach.</w:t>
      </w:r>
    </w:p>
    <w:p w14:paraId="36BF6549" w14:textId="77777777" w:rsidR="00F31DCC" w:rsidRPr="00FF395B" w:rsidRDefault="00F31DCC" w:rsidP="008C71A9">
      <w:pPr>
        <w:pStyle w:val="Akapitzlist"/>
        <w:numPr>
          <w:ilvl w:val="0"/>
          <w:numId w:val="68"/>
        </w:numPr>
        <w:spacing w:after="0"/>
        <w:ind w:left="360"/>
        <w:jc w:val="both"/>
        <w:rPr>
          <w:rFonts w:ascii="Times New Roman" w:hAnsi="Times New Roman" w:cs="Times New Roman"/>
          <w:sz w:val="24"/>
          <w:szCs w:val="24"/>
        </w:rPr>
      </w:pPr>
      <w:r w:rsidRPr="00FF395B">
        <w:rPr>
          <w:rFonts w:ascii="Times New Roman" w:hAnsi="Times New Roman" w:cs="Times New Roman"/>
          <w:sz w:val="24"/>
          <w:szCs w:val="24"/>
        </w:rPr>
        <w:t>System wsparcia nieformalnych opiekunów udzielanych niesamodzielnym osobom starszym:</w:t>
      </w:r>
    </w:p>
    <w:p w14:paraId="679D646E" w14:textId="77777777" w:rsidR="00F31DCC" w:rsidRPr="000A5E67" w:rsidRDefault="00F31DCC" w:rsidP="008C71A9">
      <w:pPr>
        <w:pStyle w:val="Akapitzlist"/>
        <w:numPr>
          <w:ilvl w:val="0"/>
          <w:numId w:val="69"/>
        </w:numPr>
        <w:spacing w:after="0"/>
        <w:ind w:left="643"/>
        <w:jc w:val="both"/>
        <w:rPr>
          <w:rFonts w:ascii="Times New Roman" w:hAnsi="Times New Roman" w:cs="Times New Roman"/>
          <w:b/>
          <w:sz w:val="24"/>
          <w:szCs w:val="24"/>
        </w:rPr>
      </w:pPr>
      <w:r w:rsidRPr="000A5E67">
        <w:rPr>
          <w:rFonts w:ascii="Times New Roman" w:hAnsi="Times New Roman" w:cs="Times New Roman"/>
          <w:sz w:val="24"/>
          <w:szCs w:val="24"/>
        </w:rPr>
        <w:t xml:space="preserve">Pomoc sąsiedzka sformalizowana przez gminy (umowy zlecenia) która sprawdza się w szczególności w mniejszych miejscowościach, np. w Gminie Lubiszyn; </w:t>
      </w:r>
    </w:p>
    <w:p w14:paraId="1C22B1AC" w14:textId="77777777" w:rsidR="00F31DCC" w:rsidRPr="000A5E67" w:rsidRDefault="00F31DCC" w:rsidP="008C71A9">
      <w:pPr>
        <w:pStyle w:val="Akapitzlist"/>
        <w:numPr>
          <w:ilvl w:val="0"/>
          <w:numId w:val="69"/>
        </w:numPr>
        <w:spacing w:after="0"/>
        <w:ind w:left="643"/>
        <w:jc w:val="both"/>
        <w:rPr>
          <w:rFonts w:ascii="Times New Roman" w:hAnsi="Times New Roman" w:cs="Times New Roman"/>
          <w:b/>
          <w:sz w:val="24"/>
          <w:szCs w:val="24"/>
        </w:rPr>
      </w:pPr>
      <w:r w:rsidRPr="000A5E67">
        <w:rPr>
          <w:rFonts w:ascii="Times New Roman" w:hAnsi="Times New Roman" w:cs="Times New Roman"/>
          <w:sz w:val="24"/>
          <w:szCs w:val="24"/>
        </w:rPr>
        <w:t xml:space="preserve">pomoc sąsiedzka jako monitowanie osób starszych, samotnych - w dni w których nie są realizowane usługi opiekuńcze. </w:t>
      </w:r>
    </w:p>
    <w:p w14:paraId="7A06C190" w14:textId="77777777" w:rsidR="000A5E67" w:rsidRDefault="000A5E67" w:rsidP="001024A6">
      <w:pPr>
        <w:spacing w:after="0"/>
        <w:contextualSpacing/>
        <w:jc w:val="both"/>
        <w:rPr>
          <w:rFonts w:ascii="Times New Roman" w:hAnsi="Times New Roman" w:cs="Times New Roman"/>
          <w:b/>
          <w:sz w:val="24"/>
          <w:szCs w:val="24"/>
        </w:rPr>
      </w:pPr>
    </w:p>
    <w:p w14:paraId="703CA659" w14:textId="77777777" w:rsidR="00F31DCC" w:rsidRPr="00FF395B" w:rsidRDefault="00F31DCC" w:rsidP="008C71A9">
      <w:pPr>
        <w:pStyle w:val="Akapitzlist"/>
        <w:numPr>
          <w:ilvl w:val="0"/>
          <w:numId w:val="68"/>
        </w:numPr>
        <w:spacing w:after="0"/>
        <w:ind w:left="360"/>
        <w:jc w:val="both"/>
        <w:rPr>
          <w:rFonts w:ascii="Times New Roman" w:hAnsi="Times New Roman" w:cs="Times New Roman"/>
          <w:sz w:val="24"/>
          <w:szCs w:val="24"/>
        </w:rPr>
      </w:pPr>
      <w:r w:rsidRPr="00FF395B">
        <w:rPr>
          <w:rFonts w:ascii="Times New Roman" w:hAnsi="Times New Roman" w:cs="Times New Roman"/>
          <w:sz w:val="24"/>
          <w:szCs w:val="24"/>
        </w:rPr>
        <w:t>Realizacja usług świadczonych w placówkach dziennego pobytu, w tym także integracji usług realizowanych przy zwiększonym udziale sektora niepublicznego (…):</w:t>
      </w:r>
    </w:p>
    <w:p w14:paraId="61C69A0B" w14:textId="77777777" w:rsidR="00F31DCC" w:rsidRPr="005F0A32" w:rsidRDefault="00F31DCC" w:rsidP="008C71A9">
      <w:pPr>
        <w:numPr>
          <w:ilvl w:val="0"/>
          <w:numId w:val="71"/>
        </w:numPr>
        <w:spacing w:after="0"/>
        <w:ind w:left="643"/>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Wzrasta liczba domów dziennego pobytu, w szczególności uruchomionych w ramach Programu Wieloletniego „Senior+” na lata 2015-2020. </w:t>
      </w:r>
    </w:p>
    <w:p w14:paraId="1B107FA0" w14:textId="77777777" w:rsidR="00F31DCC" w:rsidRPr="005F0A32" w:rsidRDefault="00F31DCC" w:rsidP="008C71A9">
      <w:pPr>
        <w:numPr>
          <w:ilvl w:val="0"/>
          <w:numId w:val="71"/>
        </w:numPr>
        <w:tabs>
          <w:tab w:val="left" w:pos="142"/>
        </w:tabs>
        <w:spacing w:after="0"/>
        <w:ind w:left="643"/>
        <w:contextualSpacing/>
        <w:jc w:val="both"/>
        <w:rPr>
          <w:rFonts w:ascii="Times New Roman" w:hAnsi="Times New Roman" w:cs="Times New Roman"/>
          <w:sz w:val="24"/>
          <w:szCs w:val="24"/>
        </w:rPr>
      </w:pPr>
      <w:r w:rsidRPr="005F0A32">
        <w:rPr>
          <w:rFonts w:ascii="Times New Roman" w:hAnsi="Times New Roman" w:cs="Times New Roman"/>
          <w:sz w:val="24"/>
          <w:szCs w:val="24"/>
        </w:rPr>
        <w:t>W gminach funkcjonują również zorganizowane lub nieformalne grupy wsparcia dla osób starszych. W zakresie aktywizacji osób starszych możemy mówić o zwiększającej się dostępności do usług.</w:t>
      </w:r>
    </w:p>
    <w:p w14:paraId="62FCD89E" w14:textId="77777777" w:rsidR="00F31DCC" w:rsidRPr="00FF395B" w:rsidRDefault="00F31DCC" w:rsidP="008C71A9">
      <w:pPr>
        <w:pStyle w:val="Akapitzlist"/>
        <w:numPr>
          <w:ilvl w:val="0"/>
          <w:numId w:val="68"/>
        </w:numPr>
        <w:spacing w:after="0"/>
        <w:ind w:left="360"/>
        <w:jc w:val="both"/>
        <w:rPr>
          <w:rFonts w:ascii="Times New Roman" w:hAnsi="Times New Roman" w:cs="Times New Roman"/>
          <w:sz w:val="24"/>
          <w:szCs w:val="24"/>
        </w:rPr>
      </w:pPr>
      <w:r w:rsidRPr="00FF395B">
        <w:rPr>
          <w:rFonts w:ascii="Times New Roman" w:hAnsi="Times New Roman" w:cs="Times New Roman"/>
          <w:sz w:val="24"/>
          <w:szCs w:val="24"/>
        </w:rPr>
        <w:lastRenderedPageBreak/>
        <w:t>Podejmowane działania przeciw dyskryminacji oraz wszelkim formom wykluczenia osób starszych:</w:t>
      </w:r>
    </w:p>
    <w:p w14:paraId="190F07C8" w14:textId="77777777" w:rsidR="00F31DCC" w:rsidRPr="005F0A32" w:rsidRDefault="00F31DCC" w:rsidP="008C71A9">
      <w:pPr>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Realizacja przedsięwzięć rekreacyjnych, artystycznych, kulturalnych mających na celu wymianę doświadczeń, nawiązywanie kontaktów i znajomości lubuskich seniorów;</w:t>
      </w:r>
    </w:p>
    <w:p w14:paraId="70AA4A16" w14:textId="77777777" w:rsidR="00F31DCC" w:rsidRPr="005F0A32" w:rsidRDefault="00F31DCC" w:rsidP="008C71A9">
      <w:pPr>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 xml:space="preserve">Organizacja spotkań międzypokoleniowych; </w:t>
      </w:r>
    </w:p>
    <w:p w14:paraId="4FE9244E" w14:textId="77777777" w:rsidR="00F31DCC" w:rsidRPr="005F0A32" w:rsidRDefault="00F31DCC" w:rsidP="008C71A9">
      <w:pPr>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Edukacja dla osób starszych w ramach Uniwersytetów III Wieku;</w:t>
      </w:r>
    </w:p>
    <w:p w14:paraId="3E2296FB" w14:textId="77777777" w:rsidR="00F31DCC" w:rsidRPr="005F0A32" w:rsidRDefault="00F31DCC" w:rsidP="008C71A9">
      <w:pPr>
        <w:numPr>
          <w:ilvl w:val="0"/>
          <w:numId w:val="7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 xml:space="preserve">Włączanie seniorów w sprawy społeczności lokalnej poprzez powoływanie Rad Seniorów.  </w:t>
      </w:r>
      <w:r w:rsidRPr="005F0A32">
        <w:rPr>
          <w:rFonts w:ascii="Times New Roman" w:eastAsia="Times New Roman" w:hAnsi="Times New Roman" w:cs="Times New Roman"/>
          <w:color w:val="000000"/>
          <w:sz w:val="24"/>
          <w:szCs w:val="24"/>
          <w:lang w:eastAsia="pl-PL"/>
        </w:rPr>
        <w:t>Lubuskie gminne rady seniorów inicjują aktywność i działania gmin na rzecz profilaktyki zdrowotnej osób starszych, ich aktywności społecznej, kulturalnej i rekreacyjnej, bezpieczeństwa we własnym środowisku;</w:t>
      </w:r>
    </w:p>
    <w:p w14:paraId="5007026F" w14:textId="77777777" w:rsidR="00F31DCC" w:rsidRPr="005F0A32" w:rsidRDefault="00F31DCC" w:rsidP="008C71A9">
      <w:pPr>
        <w:numPr>
          <w:ilvl w:val="0"/>
          <w:numId w:val="72"/>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hAnsi="Times New Roman" w:cs="Times New Roman"/>
          <w:sz w:val="24"/>
          <w:szCs w:val="24"/>
        </w:rPr>
      </w:pPr>
      <w:r w:rsidRPr="005F0A32">
        <w:rPr>
          <w:rFonts w:ascii="Times New Roman" w:eastAsia="Times New Roman" w:hAnsi="Times New Roman" w:cs="Times New Roman"/>
          <w:sz w:val="24"/>
          <w:szCs w:val="24"/>
          <w:lang w:eastAsia="pl-PL"/>
        </w:rPr>
        <w:t xml:space="preserve"> Realizacja programów skierowanych do seniorów: Karta Seniora, Koperta Życia.</w:t>
      </w:r>
    </w:p>
    <w:p w14:paraId="37F541B4" w14:textId="77777777" w:rsidR="00F31DCC" w:rsidRPr="005F0A32"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p>
    <w:p w14:paraId="56E66703" w14:textId="77777777" w:rsidR="00397459" w:rsidRPr="00FF395B" w:rsidRDefault="00F31DCC" w:rsidP="0010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sectPr w:rsidR="00397459" w:rsidRPr="00FF395B" w:rsidSect="006145C4">
          <w:pgSz w:w="11900" w:h="16838"/>
          <w:pgMar w:top="1384" w:right="1386" w:bottom="1038" w:left="1380" w:header="0" w:footer="567" w:gutter="0"/>
          <w:cols w:space="0" w:equalWidth="0">
            <w:col w:w="9140"/>
          </w:cols>
          <w:docGrid w:linePitch="360"/>
        </w:sectPr>
      </w:pPr>
      <w:r w:rsidRPr="00FF395B">
        <w:rPr>
          <w:rFonts w:ascii="Times New Roman" w:hAnsi="Times New Roman" w:cs="Times New Roman"/>
          <w:i/>
          <w:sz w:val="24"/>
          <w:szCs w:val="24"/>
        </w:rPr>
        <w:t>Polityka społeczna wobec osób starszych 2030. Bezpieczeństw</w:t>
      </w:r>
      <w:r w:rsidR="00FF395B" w:rsidRPr="00FF395B">
        <w:rPr>
          <w:rFonts w:ascii="Times New Roman" w:hAnsi="Times New Roman" w:cs="Times New Roman"/>
          <w:i/>
          <w:sz w:val="24"/>
          <w:szCs w:val="24"/>
        </w:rPr>
        <w:t>o – Uczestnictwo – Solidarność</w:t>
      </w:r>
      <w:r w:rsidR="00FF395B">
        <w:rPr>
          <w:rFonts w:ascii="Times New Roman" w:hAnsi="Times New Roman" w:cs="Times New Roman"/>
          <w:sz w:val="24"/>
          <w:szCs w:val="24"/>
        </w:rPr>
        <w:t xml:space="preserve"> </w:t>
      </w:r>
      <w:r w:rsidRPr="005F0A32">
        <w:rPr>
          <w:rFonts w:ascii="Times New Roman" w:hAnsi="Times New Roman" w:cs="Times New Roman"/>
          <w:sz w:val="24"/>
          <w:szCs w:val="24"/>
        </w:rPr>
        <w:t xml:space="preserve">wyznacza  ramy, na których, od kilku lat, opiera się polityka senioralna w Polsce. Działania realizowane w województwie lubuskim są z nią zbieżne i ukierunkowane na stałe podnoszenie jakości życia osób po 60 roku życia i dostosowywanie wsparcia społecznego do realnych potrzeb tej grupy lubuszan. Natomiast wśród </w:t>
      </w:r>
      <w:r w:rsidRPr="005F0A32">
        <w:rPr>
          <w:rFonts w:ascii="Times New Roman" w:hAnsi="Times New Roman" w:cs="Times New Roman"/>
          <w:bCs/>
          <w:sz w:val="24"/>
          <w:szCs w:val="24"/>
        </w:rPr>
        <w:t>wyzwań na kolejne lata znajduje się poprawa dostępności do usług świadczonych na rzecz seniorów, podnoszenie ich jakości i dalszy roz</w:t>
      </w:r>
      <w:r w:rsidR="00FF395B">
        <w:rPr>
          <w:rFonts w:ascii="Times New Roman" w:hAnsi="Times New Roman" w:cs="Times New Roman"/>
          <w:bCs/>
          <w:sz w:val="24"/>
          <w:szCs w:val="24"/>
        </w:rPr>
        <w:t>wój infrastruktury społecznej.</w:t>
      </w:r>
    </w:p>
    <w:p w14:paraId="600AC903" w14:textId="52CEB348" w:rsidR="005F20F3" w:rsidRPr="005F20F3" w:rsidRDefault="005F20F3" w:rsidP="005F20F3">
      <w:pPr>
        <w:pStyle w:val="Legenda"/>
        <w:keepNext/>
        <w:rPr>
          <w:rFonts w:ascii="Times New Roman" w:hAnsi="Times New Roman" w:cs="Times New Roman"/>
          <w:b/>
          <w:i w:val="0"/>
          <w:sz w:val="24"/>
        </w:rPr>
      </w:pPr>
      <w:bookmarkStart w:id="131" w:name="_Toc49171433"/>
      <w:r w:rsidRPr="005F20F3">
        <w:rPr>
          <w:rFonts w:ascii="Times New Roman" w:hAnsi="Times New Roman" w:cs="Times New Roman"/>
          <w:b/>
          <w:i w:val="0"/>
          <w:sz w:val="24"/>
        </w:rPr>
        <w:lastRenderedPageBreak/>
        <w:t xml:space="preserve">Tabela </w:t>
      </w:r>
      <w:r w:rsidRPr="005F20F3">
        <w:rPr>
          <w:rFonts w:ascii="Times New Roman" w:hAnsi="Times New Roman" w:cs="Times New Roman"/>
          <w:b/>
          <w:i w:val="0"/>
          <w:sz w:val="24"/>
        </w:rPr>
        <w:fldChar w:fldCharType="begin"/>
      </w:r>
      <w:r w:rsidRPr="005F20F3">
        <w:rPr>
          <w:rFonts w:ascii="Times New Roman" w:hAnsi="Times New Roman" w:cs="Times New Roman"/>
          <w:b/>
          <w:i w:val="0"/>
          <w:sz w:val="24"/>
        </w:rPr>
        <w:instrText xml:space="preserve"> SEQ Tabela \* ARABIC </w:instrText>
      </w:r>
      <w:r w:rsidRPr="005F20F3">
        <w:rPr>
          <w:rFonts w:ascii="Times New Roman" w:hAnsi="Times New Roman" w:cs="Times New Roman"/>
          <w:b/>
          <w:i w:val="0"/>
          <w:sz w:val="24"/>
        </w:rPr>
        <w:fldChar w:fldCharType="separate"/>
      </w:r>
      <w:r w:rsidR="00C154C9">
        <w:rPr>
          <w:rFonts w:ascii="Times New Roman" w:hAnsi="Times New Roman" w:cs="Times New Roman"/>
          <w:b/>
          <w:i w:val="0"/>
          <w:noProof/>
          <w:sz w:val="24"/>
        </w:rPr>
        <w:t>58</w:t>
      </w:r>
      <w:r w:rsidRPr="005F20F3">
        <w:rPr>
          <w:rFonts w:ascii="Times New Roman" w:hAnsi="Times New Roman" w:cs="Times New Roman"/>
          <w:b/>
          <w:i w:val="0"/>
          <w:sz w:val="24"/>
        </w:rPr>
        <w:fldChar w:fldCharType="end"/>
      </w:r>
      <w:r w:rsidRPr="005F20F3">
        <w:rPr>
          <w:rFonts w:ascii="Times New Roman" w:hAnsi="Times New Roman" w:cs="Times New Roman"/>
          <w:b/>
          <w:i w:val="0"/>
          <w:sz w:val="24"/>
        </w:rPr>
        <w:t xml:space="preserve"> Karta województwa lubuskiego</w:t>
      </w:r>
      <w:bookmarkEnd w:id="131"/>
    </w:p>
    <w:tbl>
      <w:tblPr>
        <w:tblStyle w:val="Tabelasiatki6kolorowaakcent1"/>
        <w:tblpPr w:leftFromText="142" w:rightFromText="142" w:vertAnchor="text" w:horzAnchor="margin" w:tblpXSpec="center" w:tblpY="1"/>
        <w:tblOverlap w:val="never"/>
        <w:tblW w:w="14741"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F9704B" w:rsidRPr="00F9704B" w14:paraId="3F51FBD0" w14:textId="77777777" w:rsidTr="00B337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bottom w:val="none" w:sz="0" w:space="0" w:color="auto"/>
            </w:tcBorders>
            <w:shd w:val="clear" w:color="auto" w:fill="9CC2E5" w:themeFill="accent1" w:themeFillTint="99"/>
          </w:tcPr>
          <w:p w14:paraId="18CE59A6" w14:textId="77777777" w:rsidR="00397459" w:rsidRPr="00F9704B" w:rsidRDefault="00397459" w:rsidP="00B337AF">
            <w:pPr>
              <w:spacing w:after="0" w:line="240" w:lineRule="auto"/>
              <w:rPr>
                <w:rFonts w:ascii="Times New Roman" w:hAnsi="Times New Roman"/>
                <w:color w:val="auto"/>
              </w:rPr>
            </w:pPr>
            <w:r w:rsidRPr="00F9704B">
              <w:rPr>
                <w:rFonts w:ascii="Times New Roman" w:hAnsi="Times New Roman"/>
                <w:color w:val="auto"/>
              </w:rPr>
              <w:t>WOJEWÓDZTWO LUBUSKIE</w:t>
            </w:r>
          </w:p>
        </w:tc>
      </w:tr>
      <w:tr w:rsidR="00F9704B" w:rsidRPr="00F9704B" w14:paraId="177181B5" w14:textId="77777777" w:rsidTr="00F0698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736317B" w14:textId="77777777" w:rsidR="00397459" w:rsidRPr="00F9704B" w:rsidRDefault="00397459" w:rsidP="00B337AF">
            <w:pPr>
              <w:spacing w:after="0" w:line="240" w:lineRule="auto"/>
              <w:rPr>
                <w:rFonts w:ascii="Times New Roman" w:hAnsi="Times New Roman"/>
                <w:color w:val="auto"/>
              </w:rPr>
            </w:pPr>
            <w:r w:rsidRPr="00F9704B">
              <w:rPr>
                <w:rFonts w:ascii="Times New Roman" w:hAnsi="Times New Roman"/>
                <w:color w:val="auto"/>
              </w:rPr>
              <w:t>Informacja o regionie</w:t>
            </w:r>
          </w:p>
        </w:tc>
        <w:tc>
          <w:tcPr>
            <w:tcW w:w="3969" w:type="dxa"/>
            <w:gridSpan w:val="3"/>
            <w:shd w:val="clear" w:color="auto" w:fill="9CC2E5" w:themeFill="accent1" w:themeFillTint="99"/>
          </w:tcPr>
          <w:p w14:paraId="05150A23" w14:textId="77777777" w:rsidR="00397459" w:rsidRPr="00B337AF"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Liczba gmin</w:t>
            </w:r>
          </w:p>
        </w:tc>
        <w:tc>
          <w:tcPr>
            <w:tcW w:w="7942" w:type="dxa"/>
            <w:gridSpan w:val="5"/>
            <w:shd w:val="clear" w:color="auto" w:fill="FFFFFF" w:themeFill="background1"/>
          </w:tcPr>
          <w:p w14:paraId="13329B03"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82</w:t>
            </w:r>
          </w:p>
        </w:tc>
      </w:tr>
      <w:tr w:rsidR="00F9704B" w:rsidRPr="00F9704B" w14:paraId="2EADCABA" w14:textId="77777777" w:rsidTr="00F06986">
        <w:trPr>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889B865" w14:textId="77777777" w:rsidR="00397459" w:rsidRPr="00F9704B" w:rsidRDefault="00397459" w:rsidP="00B337AF">
            <w:pPr>
              <w:spacing w:after="0" w:line="240" w:lineRule="auto"/>
              <w:rPr>
                <w:rFonts w:ascii="Times New Roman" w:hAnsi="Times New Roman"/>
                <w:color w:val="auto"/>
              </w:rPr>
            </w:pPr>
          </w:p>
        </w:tc>
        <w:tc>
          <w:tcPr>
            <w:tcW w:w="3969" w:type="dxa"/>
            <w:gridSpan w:val="3"/>
            <w:shd w:val="clear" w:color="auto" w:fill="9CC2E5" w:themeFill="accent1" w:themeFillTint="99"/>
          </w:tcPr>
          <w:p w14:paraId="5673EB02" w14:textId="77777777" w:rsidR="00397459" w:rsidRPr="00B337AF"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Liczba powiatów</w:t>
            </w:r>
          </w:p>
        </w:tc>
        <w:tc>
          <w:tcPr>
            <w:tcW w:w="7942" w:type="dxa"/>
            <w:gridSpan w:val="5"/>
            <w:shd w:val="clear" w:color="auto" w:fill="FFFFFF" w:themeFill="background1"/>
          </w:tcPr>
          <w:p w14:paraId="380B905B"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14</w:t>
            </w:r>
          </w:p>
        </w:tc>
      </w:tr>
      <w:tr w:rsidR="00F9704B" w:rsidRPr="00F9704B" w14:paraId="0930BAC6" w14:textId="77777777" w:rsidTr="00F06986">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C4708FA" w14:textId="77777777" w:rsidR="00397459" w:rsidRPr="00F9704B" w:rsidRDefault="00397459" w:rsidP="00B337AF">
            <w:pPr>
              <w:spacing w:after="0" w:line="240" w:lineRule="auto"/>
              <w:rPr>
                <w:rFonts w:ascii="Times New Roman" w:hAnsi="Times New Roman"/>
                <w:color w:val="auto"/>
              </w:rPr>
            </w:pPr>
          </w:p>
        </w:tc>
        <w:tc>
          <w:tcPr>
            <w:tcW w:w="3969" w:type="dxa"/>
            <w:gridSpan w:val="3"/>
            <w:shd w:val="clear" w:color="auto" w:fill="9CC2E5" w:themeFill="accent1" w:themeFillTint="99"/>
          </w:tcPr>
          <w:p w14:paraId="2C303CA2" w14:textId="77777777" w:rsidR="00397459" w:rsidRPr="00B337AF"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Powierzchnia</w:t>
            </w:r>
          </w:p>
        </w:tc>
        <w:tc>
          <w:tcPr>
            <w:tcW w:w="7942" w:type="dxa"/>
            <w:gridSpan w:val="5"/>
            <w:shd w:val="clear" w:color="auto" w:fill="FFFFFF" w:themeFill="background1"/>
          </w:tcPr>
          <w:p w14:paraId="5192D636"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13 987,89 km</w:t>
            </w:r>
            <w:r w:rsidRPr="00F9704B">
              <w:rPr>
                <w:rFonts w:ascii="Times New Roman" w:hAnsi="Times New Roman"/>
                <w:color w:val="auto"/>
                <w:vertAlign w:val="superscript"/>
              </w:rPr>
              <w:t>2</w:t>
            </w:r>
          </w:p>
        </w:tc>
      </w:tr>
      <w:tr w:rsidR="00F9704B" w:rsidRPr="00F9704B" w14:paraId="3B6B263A" w14:textId="77777777" w:rsidTr="00B337AF">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2D79F9A6" w14:textId="77777777" w:rsidR="00397459" w:rsidRPr="00F9704B" w:rsidRDefault="00397459" w:rsidP="00B337AF">
            <w:pPr>
              <w:spacing w:after="0" w:line="240" w:lineRule="auto"/>
              <w:jc w:val="center"/>
              <w:rPr>
                <w:rFonts w:ascii="Times New Roman" w:hAnsi="Times New Roman"/>
                <w:b w:val="0"/>
                <w:color w:val="auto"/>
              </w:rPr>
            </w:pPr>
            <w:r w:rsidRPr="00F9704B">
              <w:rPr>
                <w:rFonts w:ascii="Times New Roman" w:hAnsi="Times New Roman"/>
                <w:color w:val="auto"/>
              </w:rPr>
              <w:t>DEMOGRAFIA</w:t>
            </w:r>
          </w:p>
        </w:tc>
      </w:tr>
      <w:tr w:rsidR="00F9704B" w:rsidRPr="00F9704B" w14:paraId="5ED2AC64" w14:textId="77777777" w:rsidTr="00B33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8A65F81" w14:textId="77777777" w:rsidR="00397459" w:rsidRPr="00F9704B" w:rsidRDefault="00397459" w:rsidP="00B337AF">
            <w:pPr>
              <w:spacing w:after="0" w:line="240" w:lineRule="auto"/>
              <w:jc w:val="center"/>
              <w:rPr>
                <w:rFonts w:ascii="Times New Roman" w:hAnsi="Times New Roman"/>
                <w:b w:val="0"/>
                <w:color w:val="auto"/>
                <w:lang w:eastAsia="pl-PL"/>
              </w:rPr>
            </w:pPr>
            <w:r w:rsidRPr="00F9704B">
              <w:rPr>
                <w:rFonts w:ascii="Times New Roman" w:hAnsi="Times New Roman"/>
                <w:color w:val="auto"/>
                <w:lang w:eastAsia="pl-PL"/>
              </w:rPr>
              <w:t>Treść</w:t>
            </w:r>
          </w:p>
        </w:tc>
        <w:tc>
          <w:tcPr>
            <w:tcW w:w="3969" w:type="dxa"/>
            <w:gridSpan w:val="3"/>
            <w:shd w:val="clear" w:color="auto" w:fill="9CC2E5" w:themeFill="accent1" w:themeFillTint="99"/>
          </w:tcPr>
          <w:p w14:paraId="41AAA8F0"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2017 r.</w:t>
            </w:r>
          </w:p>
        </w:tc>
        <w:tc>
          <w:tcPr>
            <w:tcW w:w="3969" w:type="dxa"/>
            <w:gridSpan w:val="3"/>
            <w:shd w:val="clear" w:color="auto" w:fill="9CC2E5" w:themeFill="accent1" w:themeFillTint="99"/>
          </w:tcPr>
          <w:p w14:paraId="4B1FC731"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2018 r.</w:t>
            </w:r>
          </w:p>
        </w:tc>
        <w:tc>
          <w:tcPr>
            <w:tcW w:w="3973" w:type="dxa"/>
            <w:gridSpan w:val="2"/>
            <w:shd w:val="clear" w:color="auto" w:fill="9CC2E5" w:themeFill="accent1" w:themeFillTint="99"/>
          </w:tcPr>
          <w:p w14:paraId="1D2991FF"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2019 r.</w:t>
            </w:r>
          </w:p>
        </w:tc>
      </w:tr>
      <w:tr w:rsidR="00F9704B" w:rsidRPr="00F9704B" w14:paraId="31736048" w14:textId="77777777" w:rsidTr="00B337AF">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32C607A" w14:textId="77777777" w:rsidR="00397459" w:rsidRPr="00B337AF" w:rsidRDefault="00397459" w:rsidP="00B337AF">
            <w:pPr>
              <w:spacing w:after="0" w:line="240" w:lineRule="auto"/>
              <w:rPr>
                <w:rFonts w:ascii="Times New Roman" w:hAnsi="Times New Roman"/>
                <w:color w:val="auto"/>
                <w:lang w:eastAsia="pl-PL"/>
              </w:rPr>
            </w:pPr>
            <w:r w:rsidRPr="00B337AF">
              <w:rPr>
                <w:rFonts w:ascii="Times New Roman" w:hAnsi="Times New Roman"/>
                <w:color w:val="auto"/>
                <w:lang w:eastAsia="pl-PL"/>
              </w:rPr>
              <w:t>Populacja ogółem</w:t>
            </w:r>
          </w:p>
        </w:tc>
        <w:tc>
          <w:tcPr>
            <w:tcW w:w="3969" w:type="dxa"/>
            <w:gridSpan w:val="3"/>
          </w:tcPr>
          <w:p w14:paraId="687E1497" w14:textId="77777777" w:rsidR="00397459" w:rsidRPr="00F9704B" w:rsidRDefault="00397459" w:rsidP="00F069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1 016 832</w:t>
            </w:r>
          </w:p>
        </w:tc>
        <w:tc>
          <w:tcPr>
            <w:tcW w:w="3969" w:type="dxa"/>
            <w:gridSpan w:val="3"/>
          </w:tcPr>
          <w:p w14:paraId="47E8D0C1" w14:textId="77777777" w:rsidR="00397459" w:rsidRPr="00F9704B" w:rsidRDefault="00397459" w:rsidP="00F069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1 014 548</w:t>
            </w:r>
          </w:p>
        </w:tc>
        <w:tc>
          <w:tcPr>
            <w:tcW w:w="3973" w:type="dxa"/>
            <w:gridSpan w:val="2"/>
          </w:tcPr>
          <w:p w14:paraId="499D452B" w14:textId="77777777" w:rsidR="00397459" w:rsidRPr="00F9704B" w:rsidRDefault="00397459" w:rsidP="00F0698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1 011 592</w:t>
            </w:r>
          </w:p>
        </w:tc>
      </w:tr>
      <w:tr w:rsidR="00F9704B" w:rsidRPr="00F9704B" w14:paraId="16BC5BF3" w14:textId="77777777" w:rsidTr="00B33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24185F2" w14:textId="77777777" w:rsidR="00397459" w:rsidRPr="00B337AF" w:rsidRDefault="00397459" w:rsidP="00B337AF">
            <w:pPr>
              <w:spacing w:after="0" w:line="240" w:lineRule="auto"/>
              <w:rPr>
                <w:rFonts w:ascii="Times New Roman" w:hAnsi="Times New Roman"/>
                <w:color w:val="auto"/>
              </w:rPr>
            </w:pPr>
            <w:r w:rsidRPr="00B337AF">
              <w:rPr>
                <w:rFonts w:ascii="Times New Roman" w:hAnsi="Times New Roman"/>
                <w:color w:val="auto"/>
                <w:lang w:eastAsia="pl-PL"/>
              </w:rPr>
              <w:t>w tym:</w:t>
            </w:r>
          </w:p>
        </w:tc>
      </w:tr>
      <w:tr w:rsidR="00F9704B" w:rsidRPr="00F9704B" w14:paraId="170EA02B" w14:textId="77777777" w:rsidTr="00F06986">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320343F" w14:textId="77777777" w:rsidR="00397459" w:rsidRPr="00B337AF" w:rsidRDefault="00397459" w:rsidP="00B337AF">
            <w:pPr>
              <w:spacing w:after="0" w:line="240" w:lineRule="auto"/>
              <w:rPr>
                <w:rFonts w:ascii="Times New Roman" w:hAnsi="Times New Roman"/>
                <w:color w:val="auto"/>
              </w:rPr>
            </w:pPr>
            <w:r w:rsidRPr="00B337AF">
              <w:rPr>
                <w:rFonts w:ascii="Times New Roman" w:hAnsi="Times New Roman"/>
                <w:color w:val="auto"/>
                <w:lang w:eastAsia="pl-PL"/>
              </w:rPr>
              <w:t>w wieku 60 lat i więcej</w:t>
            </w:r>
          </w:p>
        </w:tc>
        <w:tc>
          <w:tcPr>
            <w:tcW w:w="3969" w:type="dxa"/>
            <w:gridSpan w:val="3"/>
            <w:shd w:val="clear" w:color="auto" w:fill="FFFFFF" w:themeFill="background1"/>
          </w:tcPr>
          <w:p w14:paraId="15812CDB"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242 786</w:t>
            </w:r>
          </w:p>
        </w:tc>
        <w:tc>
          <w:tcPr>
            <w:tcW w:w="3969" w:type="dxa"/>
            <w:gridSpan w:val="3"/>
            <w:shd w:val="clear" w:color="auto" w:fill="FFFFFF" w:themeFill="background1"/>
          </w:tcPr>
          <w:p w14:paraId="17A28A7A"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249 500</w:t>
            </w:r>
          </w:p>
        </w:tc>
        <w:tc>
          <w:tcPr>
            <w:tcW w:w="3973" w:type="dxa"/>
            <w:gridSpan w:val="2"/>
            <w:shd w:val="clear" w:color="auto" w:fill="FFFFFF" w:themeFill="background1"/>
          </w:tcPr>
          <w:p w14:paraId="51A737A5"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255 144</w:t>
            </w:r>
          </w:p>
        </w:tc>
      </w:tr>
      <w:tr w:rsidR="00F9704B" w:rsidRPr="00F9704B" w14:paraId="574DA674"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7234254" w14:textId="77777777" w:rsidR="00397459" w:rsidRPr="00B337AF" w:rsidRDefault="00397459" w:rsidP="00B337AF">
            <w:pPr>
              <w:spacing w:after="0" w:line="240" w:lineRule="auto"/>
              <w:rPr>
                <w:rFonts w:ascii="Times New Roman" w:hAnsi="Times New Roman"/>
                <w:color w:val="auto"/>
                <w:lang w:eastAsia="pl-PL"/>
              </w:rPr>
            </w:pPr>
            <w:r w:rsidRPr="00B337AF">
              <w:rPr>
                <w:rFonts w:ascii="Times New Roman" w:hAnsi="Times New Roman"/>
                <w:color w:val="auto"/>
                <w:lang w:eastAsia="pl-PL"/>
              </w:rPr>
              <w:t>60–64 lata</w:t>
            </w:r>
          </w:p>
        </w:tc>
        <w:tc>
          <w:tcPr>
            <w:tcW w:w="3969" w:type="dxa"/>
            <w:gridSpan w:val="3"/>
            <w:shd w:val="clear" w:color="auto" w:fill="FFFFFF" w:themeFill="background1"/>
          </w:tcPr>
          <w:p w14:paraId="0EB4468B"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78 022</w:t>
            </w:r>
          </w:p>
        </w:tc>
        <w:tc>
          <w:tcPr>
            <w:tcW w:w="3969" w:type="dxa"/>
            <w:gridSpan w:val="3"/>
            <w:shd w:val="clear" w:color="auto" w:fill="FFFFFF" w:themeFill="background1"/>
          </w:tcPr>
          <w:p w14:paraId="3502F48D"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78 012</w:t>
            </w:r>
          </w:p>
        </w:tc>
        <w:tc>
          <w:tcPr>
            <w:tcW w:w="3973" w:type="dxa"/>
            <w:gridSpan w:val="2"/>
            <w:shd w:val="clear" w:color="auto" w:fill="FFFFFF" w:themeFill="background1"/>
          </w:tcPr>
          <w:p w14:paraId="4D6C8596"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77 171</w:t>
            </w:r>
          </w:p>
        </w:tc>
      </w:tr>
      <w:tr w:rsidR="00F9704B" w:rsidRPr="00F9704B" w14:paraId="686C5C4A" w14:textId="77777777" w:rsidTr="00F06986">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8F79D9C" w14:textId="77777777" w:rsidR="00397459" w:rsidRPr="00B337AF" w:rsidRDefault="00397459" w:rsidP="00B337AF">
            <w:pPr>
              <w:spacing w:after="0" w:line="240" w:lineRule="auto"/>
              <w:rPr>
                <w:rFonts w:ascii="Times New Roman" w:hAnsi="Times New Roman"/>
                <w:color w:val="auto"/>
                <w:lang w:eastAsia="pl-PL"/>
              </w:rPr>
            </w:pPr>
            <w:r w:rsidRPr="00B337AF">
              <w:rPr>
                <w:rFonts w:ascii="Times New Roman" w:hAnsi="Times New Roman"/>
                <w:color w:val="auto"/>
                <w:lang w:eastAsia="pl-PL"/>
              </w:rPr>
              <w:t>65–69</w:t>
            </w:r>
          </w:p>
        </w:tc>
        <w:tc>
          <w:tcPr>
            <w:tcW w:w="3969" w:type="dxa"/>
            <w:gridSpan w:val="3"/>
            <w:shd w:val="clear" w:color="auto" w:fill="FFFFFF" w:themeFill="background1"/>
          </w:tcPr>
          <w:p w14:paraId="2E6651F9"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66 447</w:t>
            </w:r>
          </w:p>
        </w:tc>
        <w:tc>
          <w:tcPr>
            <w:tcW w:w="3969" w:type="dxa"/>
            <w:gridSpan w:val="3"/>
            <w:shd w:val="clear" w:color="auto" w:fill="FFFFFF" w:themeFill="background1"/>
          </w:tcPr>
          <w:p w14:paraId="2663914E"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67 681</w:t>
            </w:r>
          </w:p>
        </w:tc>
        <w:tc>
          <w:tcPr>
            <w:tcW w:w="3973" w:type="dxa"/>
            <w:gridSpan w:val="2"/>
            <w:shd w:val="clear" w:color="auto" w:fill="FFFFFF" w:themeFill="background1"/>
          </w:tcPr>
          <w:p w14:paraId="54CA1AA0"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68 554</w:t>
            </w:r>
          </w:p>
        </w:tc>
      </w:tr>
      <w:tr w:rsidR="00F9704B" w:rsidRPr="00F9704B" w14:paraId="18E600CB"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01D7FDE" w14:textId="77777777" w:rsidR="00397459" w:rsidRPr="00B337AF" w:rsidRDefault="00397459" w:rsidP="00B337AF">
            <w:pPr>
              <w:spacing w:after="0" w:line="240" w:lineRule="auto"/>
              <w:rPr>
                <w:rFonts w:ascii="Times New Roman" w:hAnsi="Times New Roman"/>
                <w:color w:val="auto"/>
                <w:lang w:eastAsia="pl-PL"/>
              </w:rPr>
            </w:pPr>
            <w:r w:rsidRPr="00B337AF">
              <w:rPr>
                <w:rFonts w:ascii="Times New Roman" w:hAnsi="Times New Roman"/>
                <w:color w:val="auto"/>
                <w:lang w:eastAsia="pl-PL"/>
              </w:rPr>
              <w:t>70–74</w:t>
            </w:r>
          </w:p>
        </w:tc>
        <w:tc>
          <w:tcPr>
            <w:tcW w:w="3969" w:type="dxa"/>
            <w:gridSpan w:val="3"/>
            <w:shd w:val="clear" w:color="auto" w:fill="FFFFFF" w:themeFill="background1"/>
          </w:tcPr>
          <w:p w14:paraId="26BF1A3A"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35 397</w:t>
            </w:r>
          </w:p>
        </w:tc>
        <w:tc>
          <w:tcPr>
            <w:tcW w:w="3969" w:type="dxa"/>
            <w:gridSpan w:val="3"/>
            <w:shd w:val="clear" w:color="auto" w:fill="FFFFFF" w:themeFill="background1"/>
          </w:tcPr>
          <w:p w14:paraId="0C5DEDDA"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41482</w:t>
            </w:r>
          </w:p>
        </w:tc>
        <w:tc>
          <w:tcPr>
            <w:tcW w:w="3973" w:type="dxa"/>
            <w:gridSpan w:val="2"/>
            <w:shd w:val="clear" w:color="auto" w:fill="FFFFFF" w:themeFill="background1"/>
          </w:tcPr>
          <w:p w14:paraId="0A7A8251"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47 465</w:t>
            </w:r>
          </w:p>
        </w:tc>
      </w:tr>
      <w:tr w:rsidR="00F9704B" w:rsidRPr="00F9704B" w14:paraId="34E30DFA" w14:textId="77777777" w:rsidTr="00F06986">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AB93B65" w14:textId="77777777" w:rsidR="00397459" w:rsidRPr="00B337AF" w:rsidRDefault="00397459" w:rsidP="00B337AF">
            <w:pPr>
              <w:spacing w:after="0" w:line="240" w:lineRule="auto"/>
              <w:rPr>
                <w:rFonts w:ascii="Times New Roman" w:hAnsi="Times New Roman"/>
                <w:color w:val="auto"/>
                <w:lang w:eastAsia="pl-PL"/>
              </w:rPr>
            </w:pPr>
            <w:r w:rsidRPr="00B337AF">
              <w:rPr>
                <w:rFonts w:ascii="Times New Roman" w:hAnsi="Times New Roman"/>
                <w:color w:val="auto"/>
                <w:lang w:eastAsia="pl-PL"/>
              </w:rPr>
              <w:t>75–79</w:t>
            </w:r>
          </w:p>
        </w:tc>
        <w:tc>
          <w:tcPr>
            <w:tcW w:w="3969" w:type="dxa"/>
            <w:gridSpan w:val="3"/>
            <w:shd w:val="clear" w:color="auto" w:fill="FFFFFF" w:themeFill="background1"/>
          </w:tcPr>
          <w:p w14:paraId="3F286EC1"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24 903</w:t>
            </w:r>
          </w:p>
        </w:tc>
        <w:tc>
          <w:tcPr>
            <w:tcW w:w="3969" w:type="dxa"/>
            <w:gridSpan w:val="3"/>
            <w:shd w:val="clear" w:color="auto" w:fill="FFFFFF" w:themeFill="background1"/>
          </w:tcPr>
          <w:p w14:paraId="0D2DAC85"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24 081</w:t>
            </w:r>
          </w:p>
        </w:tc>
        <w:tc>
          <w:tcPr>
            <w:tcW w:w="3973" w:type="dxa"/>
            <w:gridSpan w:val="2"/>
            <w:shd w:val="clear" w:color="auto" w:fill="FFFFFF" w:themeFill="background1"/>
          </w:tcPr>
          <w:p w14:paraId="2C402BF5"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23 480</w:t>
            </w:r>
          </w:p>
        </w:tc>
      </w:tr>
      <w:tr w:rsidR="00F9704B" w:rsidRPr="00F9704B" w14:paraId="3313BE43"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59BFD9A" w14:textId="77777777" w:rsidR="00397459" w:rsidRPr="00B337AF" w:rsidRDefault="00397459" w:rsidP="00B337AF">
            <w:pPr>
              <w:spacing w:after="0" w:line="240" w:lineRule="auto"/>
              <w:rPr>
                <w:rFonts w:ascii="Times New Roman" w:hAnsi="Times New Roman"/>
                <w:color w:val="auto"/>
                <w:lang w:eastAsia="pl-PL"/>
              </w:rPr>
            </w:pPr>
            <w:r w:rsidRPr="00B337AF">
              <w:rPr>
                <w:rFonts w:ascii="Times New Roman" w:hAnsi="Times New Roman"/>
                <w:color w:val="auto"/>
                <w:lang w:eastAsia="pl-PL"/>
              </w:rPr>
              <w:t>80–84</w:t>
            </w:r>
          </w:p>
        </w:tc>
        <w:tc>
          <w:tcPr>
            <w:tcW w:w="3969" w:type="dxa"/>
            <w:gridSpan w:val="3"/>
            <w:shd w:val="clear" w:color="auto" w:fill="FFFFFF" w:themeFill="background1"/>
          </w:tcPr>
          <w:p w14:paraId="4C5C9EE3"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20 274</w:t>
            </w:r>
          </w:p>
        </w:tc>
        <w:tc>
          <w:tcPr>
            <w:tcW w:w="3969" w:type="dxa"/>
            <w:gridSpan w:val="3"/>
            <w:shd w:val="clear" w:color="auto" w:fill="FFFFFF" w:themeFill="background1"/>
          </w:tcPr>
          <w:p w14:paraId="18484F2C"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20 171</w:t>
            </w:r>
          </w:p>
        </w:tc>
        <w:tc>
          <w:tcPr>
            <w:tcW w:w="3973" w:type="dxa"/>
            <w:gridSpan w:val="2"/>
            <w:shd w:val="clear" w:color="auto" w:fill="FFFFFF" w:themeFill="background1"/>
          </w:tcPr>
          <w:p w14:paraId="29120342"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20 073</w:t>
            </w:r>
          </w:p>
        </w:tc>
      </w:tr>
      <w:tr w:rsidR="00F9704B" w:rsidRPr="00F9704B" w14:paraId="4DD2CBA7" w14:textId="77777777" w:rsidTr="00F06986">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776EE87" w14:textId="77777777" w:rsidR="00397459" w:rsidRPr="00B337AF" w:rsidRDefault="00397459" w:rsidP="00B337AF">
            <w:pPr>
              <w:spacing w:after="0" w:line="240" w:lineRule="auto"/>
              <w:rPr>
                <w:rFonts w:ascii="Times New Roman" w:hAnsi="Times New Roman"/>
                <w:color w:val="auto"/>
                <w:lang w:eastAsia="pl-PL"/>
              </w:rPr>
            </w:pPr>
            <w:r w:rsidRPr="00B337AF">
              <w:rPr>
                <w:rFonts w:ascii="Times New Roman" w:hAnsi="Times New Roman"/>
                <w:color w:val="auto"/>
                <w:lang w:eastAsia="pl-PL"/>
              </w:rPr>
              <w:t>85 lat i więcej</w:t>
            </w:r>
          </w:p>
        </w:tc>
        <w:tc>
          <w:tcPr>
            <w:tcW w:w="3969" w:type="dxa"/>
            <w:gridSpan w:val="3"/>
            <w:shd w:val="clear" w:color="auto" w:fill="FFFFFF" w:themeFill="background1"/>
          </w:tcPr>
          <w:p w14:paraId="48A970E2"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17 743</w:t>
            </w:r>
          </w:p>
        </w:tc>
        <w:tc>
          <w:tcPr>
            <w:tcW w:w="3969" w:type="dxa"/>
            <w:gridSpan w:val="3"/>
            <w:shd w:val="clear" w:color="auto" w:fill="FFFFFF" w:themeFill="background1"/>
          </w:tcPr>
          <w:p w14:paraId="275C5EA7"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18 073</w:t>
            </w:r>
          </w:p>
        </w:tc>
        <w:tc>
          <w:tcPr>
            <w:tcW w:w="3973" w:type="dxa"/>
            <w:gridSpan w:val="2"/>
            <w:shd w:val="clear" w:color="auto" w:fill="FFFFFF" w:themeFill="background1"/>
          </w:tcPr>
          <w:p w14:paraId="1DA7EA43"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18 401</w:t>
            </w:r>
          </w:p>
        </w:tc>
      </w:tr>
      <w:tr w:rsidR="00F9704B" w:rsidRPr="00F9704B" w14:paraId="68DE8C4A"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ADBB22A" w14:textId="77777777" w:rsidR="00397459" w:rsidRPr="00B337AF" w:rsidRDefault="00397459" w:rsidP="00B337AF">
            <w:pPr>
              <w:spacing w:after="0" w:line="240" w:lineRule="auto"/>
              <w:rPr>
                <w:rFonts w:ascii="Times New Roman" w:hAnsi="Times New Roman"/>
                <w:color w:val="auto"/>
                <w:lang w:eastAsia="pl-PL"/>
              </w:rPr>
            </w:pPr>
            <w:r w:rsidRPr="00B337AF">
              <w:rPr>
                <w:rFonts w:ascii="Times New Roman" w:hAnsi="Times New Roman"/>
                <w:color w:val="auto"/>
                <w:lang w:eastAsia="pl-PL"/>
              </w:rPr>
              <w:t>Przeciętne dalsze trwanie życia</w:t>
            </w:r>
          </w:p>
        </w:tc>
        <w:tc>
          <w:tcPr>
            <w:tcW w:w="3969" w:type="dxa"/>
            <w:gridSpan w:val="3"/>
            <w:shd w:val="clear" w:color="auto" w:fill="FFFFFF" w:themeFill="background1"/>
          </w:tcPr>
          <w:p w14:paraId="494ECFB2"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Mężczyźni - 18,9</w:t>
            </w:r>
          </w:p>
          <w:p w14:paraId="6F82C2B7" w14:textId="75656CAD"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Kobiety     - 23,9</w:t>
            </w:r>
          </w:p>
        </w:tc>
        <w:tc>
          <w:tcPr>
            <w:tcW w:w="3969" w:type="dxa"/>
            <w:gridSpan w:val="3"/>
            <w:shd w:val="clear" w:color="auto" w:fill="FFFFFF" w:themeFill="background1"/>
          </w:tcPr>
          <w:p w14:paraId="0674EBA2"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Mężczyźni - 18,5</w:t>
            </w:r>
          </w:p>
          <w:p w14:paraId="4E8050C9" w14:textId="4F07181E"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Kobiety     - 23,6</w:t>
            </w:r>
          </w:p>
        </w:tc>
        <w:tc>
          <w:tcPr>
            <w:tcW w:w="3973" w:type="dxa"/>
            <w:gridSpan w:val="2"/>
            <w:shd w:val="clear" w:color="auto" w:fill="FFFFFF" w:themeFill="background1"/>
            <w:vAlign w:val="center"/>
          </w:tcPr>
          <w:p w14:paraId="2BA80BEF"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brak danych</w:t>
            </w:r>
          </w:p>
        </w:tc>
      </w:tr>
      <w:tr w:rsidR="00F9704B" w:rsidRPr="00F9704B" w14:paraId="170D6C11" w14:textId="77777777" w:rsidTr="00F06986">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CB8E320" w14:textId="77777777" w:rsidR="00397459" w:rsidRPr="00B337AF" w:rsidRDefault="00397459" w:rsidP="00B337AF">
            <w:pPr>
              <w:spacing w:after="0" w:line="240" w:lineRule="auto"/>
              <w:rPr>
                <w:rFonts w:ascii="Times New Roman" w:hAnsi="Times New Roman"/>
                <w:color w:val="auto"/>
                <w:lang w:eastAsia="pl-PL"/>
              </w:rPr>
            </w:pPr>
            <w:r w:rsidRPr="00B337AF">
              <w:rPr>
                <w:rFonts w:ascii="Times New Roman" w:hAnsi="Times New Roman"/>
                <w:color w:val="auto"/>
                <w:lang w:eastAsia="pl-PL"/>
              </w:rPr>
              <w:t>Współczynnik feminizacji</w:t>
            </w:r>
          </w:p>
        </w:tc>
        <w:tc>
          <w:tcPr>
            <w:tcW w:w="3969" w:type="dxa"/>
            <w:gridSpan w:val="3"/>
            <w:shd w:val="clear" w:color="auto" w:fill="FFFFFF" w:themeFill="background1"/>
          </w:tcPr>
          <w:p w14:paraId="1BEE2037"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105</w:t>
            </w:r>
          </w:p>
        </w:tc>
        <w:tc>
          <w:tcPr>
            <w:tcW w:w="3969" w:type="dxa"/>
            <w:gridSpan w:val="3"/>
            <w:shd w:val="clear" w:color="auto" w:fill="FFFFFF" w:themeFill="background1"/>
          </w:tcPr>
          <w:p w14:paraId="19568C70"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105</w:t>
            </w:r>
          </w:p>
        </w:tc>
        <w:tc>
          <w:tcPr>
            <w:tcW w:w="3973" w:type="dxa"/>
            <w:gridSpan w:val="2"/>
            <w:shd w:val="clear" w:color="auto" w:fill="FFFFFF" w:themeFill="background1"/>
          </w:tcPr>
          <w:p w14:paraId="28566FD8" w14:textId="5F40ADF1" w:rsidR="00397459" w:rsidRPr="00F9704B" w:rsidRDefault="005F72CA"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106</w:t>
            </w:r>
          </w:p>
        </w:tc>
      </w:tr>
      <w:tr w:rsidR="00F9704B" w:rsidRPr="00F9704B" w14:paraId="7752F527"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8F77D4C" w14:textId="77777777" w:rsidR="00397459" w:rsidRPr="00B337AF" w:rsidRDefault="00397459" w:rsidP="00B337AF">
            <w:pPr>
              <w:spacing w:after="0" w:line="240" w:lineRule="auto"/>
              <w:rPr>
                <w:rFonts w:ascii="Times New Roman" w:hAnsi="Times New Roman"/>
                <w:color w:val="auto"/>
                <w:lang w:eastAsia="pl-PL"/>
              </w:rPr>
            </w:pPr>
            <w:r w:rsidRPr="00B337AF">
              <w:rPr>
                <w:rFonts w:ascii="Times New Roman" w:hAnsi="Times New Roman"/>
                <w:color w:val="auto"/>
                <w:lang w:eastAsia="pl-PL"/>
              </w:rPr>
              <w:t>Współczynnik obciążenia demograficznego osobami starszymi</w:t>
            </w:r>
          </w:p>
        </w:tc>
        <w:tc>
          <w:tcPr>
            <w:tcW w:w="3969" w:type="dxa"/>
            <w:gridSpan w:val="3"/>
            <w:shd w:val="clear" w:color="auto" w:fill="FFFFFF" w:themeFill="background1"/>
            <w:vAlign w:val="center"/>
          </w:tcPr>
          <w:p w14:paraId="498EC47F"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23,6</w:t>
            </w:r>
          </w:p>
        </w:tc>
        <w:tc>
          <w:tcPr>
            <w:tcW w:w="3969" w:type="dxa"/>
            <w:gridSpan w:val="3"/>
            <w:shd w:val="clear" w:color="auto" w:fill="FFFFFF" w:themeFill="background1"/>
            <w:vAlign w:val="center"/>
          </w:tcPr>
          <w:p w14:paraId="05150798"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24,9</w:t>
            </w:r>
          </w:p>
        </w:tc>
        <w:tc>
          <w:tcPr>
            <w:tcW w:w="3973" w:type="dxa"/>
            <w:gridSpan w:val="2"/>
            <w:shd w:val="clear" w:color="auto" w:fill="FFFFFF" w:themeFill="background1"/>
            <w:vAlign w:val="center"/>
          </w:tcPr>
          <w:p w14:paraId="12D10253" w14:textId="6B1A092F" w:rsidR="00397459" w:rsidRPr="00F9704B" w:rsidRDefault="00751B03"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26,2</w:t>
            </w:r>
          </w:p>
        </w:tc>
      </w:tr>
      <w:tr w:rsidR="00F9704B" w:rsidRPr="00F9704B" w14:paraId="6CB3D48A" w14:textId="77777777" w:rsidTr="00F06986">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493D28D" w14:textId="77777777" w:rsidR="00397459" w:rsidRPr="00B337AF" w:rsidRDefault="00397459" w:rsidP="00B337AF">
            <w:pPr>
              <w:spacing w:after="0" w:line="240" w:lineRule="auto"/>
              <w:rPr>
                <w:rFonts w:ascii="Times New Roman" w:hAnsi="Times New Roman"/>
                <w:color w:val="auto"/>
                <w:lang w:eastAsia="pl-PL"/>
              </w:rPr>
            </w:pPr>
            <w:r w:rsidRPr="00B337AF">
              <w:rPr>
                <w:rFonts w:ascii="Times New Roman" w:hAnsi="Times New Roman"/>
                <w:color w:val="auto"/>
                <w:lang w:eastAsia="pl-PL"/>
              </w:rPr>
              <w:t>Współczynnik zgonów</w:t>
            </w:r>
          </w:p>
        </w:tc>
        <w:tc>
          <w:tcPr>
            <w:tcW w:w="3969" w:type="dxa"/>
            <w:gridSpan w:val="3"/>
            <w:shd w:val="clear" w:color="auto" w:fill="FFFFFF" w:themeFill="background1"/>
          </w:tcPr>
          <w:p w14:paraId="76014EF3"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ogółem woj. lubuskie  - 10,1</w:t>
            </w:r>
          </w:p>
          <w:p w14:paraId="2B3EB76A"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w wieku 60 lat i więcej - 35,4</w:t>
            </w:r>
          </w:p>
          <w:p w14:paraId="200F3028"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p>
        </w:tc>
        <w:tc>
          <w:tcPr>
            <w:tcW w:w="3969" w:type="dxa"/>
            <w:gridSpan w:val="3"/>
            <w:shd w:val="clear" w:color="auto" w:fill="FFFFFF" w:themeFill="background1"/>
          </w:tcPr>
          <w:p w14:paraId="01B72F6C"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ogółem woj. lubuskie - 10,8</w:t>
            </w:r>
          </w:p>
          <w:p w14:paraId="6BA3013F"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w wieku 60 lat i więcej - 37,3</w:t>
            </w:r>
          </w:p>
          <w:p w14:paraId="6773C4E0"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p>
        </w:tc>
        <w:tc>
          <w:tcPr>
            <w:tcW w:w="3973" w:type="dxa"/>
            <w:gridSpan w:val="2"/>
            <w:shd w:val="clear" w:color="auto" w:fill="FFFFFF" w:themeFill="background1"/>
          </w:tcPr>
          <w:p w14:paraId="5F54A103"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ogółem woj. lubuskie - 10,9</w:t>
            </w:r>
          </w:p>
          <w:p w14:paraId="4CB1CF8C"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w wieku 60 lat i więcej - 36,9</w:t>
            </w:r>
          </w:p>
          <w:p w14:paraId="5C74176F"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p>
        </w:tc>
      </w:tr>
      <w:tr w:rsidR="00F9704B" w:rsidRPr="00F9704B" w14:paraId="3B9804C1" w14:textId="77777777" w:rsidTr="00B33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49ED9C75" w14:textId="77777777" w:rsidR="00397459" w:rsidRPr="00F9704B" w:rsidRDefault="00397459" w:rsidP="00B337AF">
            <w:pPr>
              <w:spacing w:after="0" w:line="240" w:lineRule="auto"/>
              <w:jc w:val="center"/>
              <w:rPr>
                <w:rFonts w:ascii="Times New Roman" w:hAnsi="Times New Roman"/>
                <w:color w:val="auto"/>
              </w:rPr>
            </w:pPr>
            <w:r w:rsidRPr="00F9704B">
              <w:rPr>
                <w:rFonts w:ascii="Times New Roman" w:hAnsi="Times New Roman"/>
                <w:color w:val="auto"/>
              </w:rPr>
              <w:t>SYTUACJA RODZINNA I STRUKTURA GOSPODARSTW DOMOWYCH</w:t>
            </w:r>
          </w:p>
        </w:tc>
      </w:tr>
      <w:tr w:rsidR="00F9704B" w:rsidRPr="00F9704B" w14:paraId="17BA295E" w14:textId="77777777" w:rsidTr="00B337AF">
        <w:tc>
          <w:tcPr>
            <w:cnfStyle w:val="001000000000" w:firstRow="0" w:lastRow="0" w:firstColumn="1" w:lastColumn="0" w:oddVBand="0" w:evenVBand="0" w:oddHBand="0" w:evenHBand="0" w:firstRowFirstColumn="0" w:firstRowLastColumn="0" w:lastRowFirstColumn="0" w:lastRowLastColumn="0"/>
            <w:tcW w:w="14741" w:type="dxa"/>
            <w:gridSpan w:val="9"/>
          </w:tcPr>
          <w:p w14:paraId="51FB2832" w14:textId="77777777" w:rsidR="00397459" w:rsidRPr="00F9704B" w:rsidRDefault="00397459" w:rsidP="00B337AF">
            <w:pPr>
              <w:spacing w:after="0" w:line="240" w:lineRule="auto"/>
              <w:rPr>
                <w:rFonts w:ascii="Times New Roman" w:hAnsi="Times New Roman"/>
                <w:b w:val="0"/>
                <w:color w:val="auto"/>
              </w:rPr>
            </w:pPr>
            <w:r w:rsidRPr="00F9704B">
              <w:rPr>
                <w:rFonts w:ascii="Times New Roman" w:hAnsi="Times New Roman"/>
                <w:b w:val="0"/>
                <w:color w:val="auto"/>
              </w:rPr>
              <w:t xml:space="preserve">Wyniki Narodowego Spisu Powszechnego Ludności i Mieszkań - przeprowadzonego w 2011 r. - wykazały, że w końcu marca 2011 r. w województwie lubuskim było 364,8 tys. gospodarstw domowych, tj. o 19,0 tys. (o 5,5%) więcej niż w maju 2002 r. Liczba gospodarstw domowych w miastach (250,0 tys.) była ponad dwa razy większa niż na wsi (114,8 tys.) i w porównaniu z 2002 r. zwiększyła się o 5,9%, natomiast na wsi o 4,6%. </w:t>
            </w:r>
            <w:r w:rsidRPr="00F9704B">
              <w:rPr>
                <w:rFonts w:ascii="Times New Roman" w:hAnsi="Times New Roman"/>
                <w:b w:val="0"/>
                <w:bCs w:val="0"/>
                <w:color w:val="auto"/>
              </w:rPr>
              <w:t xml:space="preserve"> </w:t>
            </w:r>
            <w:r w:rsidRPr="00F9704B">
              <w:rPr>
                <w:rFonts w:ascii="Times New Roman" w:hAnsi="Times New Roman"/>
                <w:b w:val="0"/>
                <w:color w:val="auto"/>
              </w:rPr>
              <w:t>W województwie - w 2011 r.-  najwięcej gospodarstw domowych było w miastach na prawach powiatu Gorzowie Wlkp. – 50,3 tys. i Zielonej Górze – 49,3 tys., a wśród powiatów ziemskich w:  żarskim – 35,2 tys., nowosolskim – 30,6 tys., zielonogórskim – 30,3 tys. i żagańskim – 29,6 tys. Najmniej gospodarstw domowych było natomiast w powiecie sulęcińskim – 12,0 tys. i wschowskim – 12,9 tys.</w:t>
            </w:r>
            <w:r w:rsidRPr="00F9704B">
              <w:rPr>
                <w:rFonts w:ascii="Times New Roman" w:hAnsi="Times New Roman"/>
                <w:b w:val="0"/>
                <w:bCs w:val="0"/>
                <w:color w:val="auto"/>
              </w:rPr>
              <w:t xml:space="preserve"> </w:t>
            </w:r>
            <w:r w:rsidRPr="00F9704B">
              <w:rPr>
                <w:rFonts w:ascii="Times New Roman" w:hAnsi="Times New Roman"/>
                <w:b w:val="0"/>
                <w:color w:val="auto"/>
              </w:rPr>
              <w:t xml:space="preserve">Biorąc pod uwagę liczbę osób tworzących gospodarstwa domowe sytuacja w miastach i na wsi była podobna. Zarówno w miastach, jak i na wsi najczęściej występowały gospodarstwa dwuosobowe (29,1% w miastach i 21,8% na wsi). Na terenach wiejskich częściej niż w miastach </w:t>
            </w:r>
            <w:r w:rsidRPr="00F9704B">
              <w:rPr>
                <w:rFonts w:ascii="Times New Roman" w:hAnsi="Times New Roman"/>
                <w:b w:val="0"/>
                <w:color w:val="auto"/>
              </w:rPr>
              <w:lastRenderedPageBreak/>
              <w:t>występowały gospodarstwa duże, czteroosobowe i większe. Na wsi stanowiły one ok. 40,8% ogółu gospodarstw, natomiast w miastach 23,6%. W 2011 r., w porównaniu ze spisem 2002 odnotowano spadek odsetka gospodarstw dużych czteroosobowych (z 19,3% do 16,7%) oraz 5 i więcej osobowych (z 14,1% do 12,3%).</w:t>
            </w:r>
            <w:r w:rsidRPr="00F9704B">
              <w:rPr>
                <w:rFonts w:ascii="Times New Roman" w:hAnsi="Times New Roman"/>
                <w:b w:val="0"/>
                <w:bCs w:val="0"/>
                <w:color w:val="auto"/>
              </w:rPr>
              <w:t xml:space="preserve"> </w:t>
            </w:r>
            <w:r w:rsidRPr="00F9704B">
              <w:rPr>
                <w:rFonts w:ascii="Times New Roman" w:hAnsi="Times New Roman"/>
                <w:b w:val="0"/>
                <w:color w:val="auto"/>
              </w:rPr>
              <w:t>Spośród wszystkich gospodarstw domowych 271,0 tys., tj. 74,3% było tworzonych przez co najmniej jedną rodzinę. W tej grupie 246,9 tys. stanowiły gospodarstwa jednorodzinne (91,1% ogółu gospodarstw rodzinnych). Gospodarstwa dwurodzinne (22,3 tys.) stanowiły 8,2%, a gospodarstwa składające się z trzech i większej liczby rodzin (1,8 tys.) 0,7% ogółu gospodarstw rodzinnych. Gospodarstw nierodzinnych było 93,8 tys. i stanowiły one 25,7% ogólnej liczby gospodarstw w województwie.</w:t>
            </w:r>
          </w:p>
          <w:p w14:paraId="2B41D5F7" w14:textId="77777777" w:rsidR="00397459" w:rsidRPr="00F9704B" w:rsidRDefault="00397459" w:rsidP="00B337AF">
            <w:pPr>
              <w:spacing w:after="0" w:line="240" w:lineRule="auto"/>
              <w:rPr>
                <w:rFonts w:ascii="Times New Roman" w:hAnsi="Times New Roman"/>
                <w:b w:val="0"/>
                <w:color w:val="auto"/>
              </w:rPr>
            </w:pPr>
            <w:r w:rsidRPr="00F9704B">
              <w:rPr>
                <w:rFonts w:ascii="Times New Roman" w:hAnsi="Times New Roman"/>
                <w:b w:val="0"/>
                <w:color w:val="auto"/>
              </w:rPr>
              <w:t>W 2011 r. większość rodzin to rodziny z dziećmi (219,6 tys.). Dominującym typem rodziny były małżeństwa z dziećmi – 138,7 tys., stanowiąc 46,7% wszystkich rodzin w województwie. Odsetek małżeństw z dziećmi jest większy na wsi (52,1%), niż w mieście (43,7%). Drugim pod względem liczebności typem rodziny były małżeństwa bez dzieci (71,4 tys.), w 2011 r. stanowiły one 24,1% ogółu rodzin. Partnerzy stanowili łącznie 5,3% ogółu rodzin województwa, w tym 61,2% rodzin partnerskich stanowią rodziny z dziećmi. Rodziny z dziećmi stanowiły 73,9% ogółu rodzin w województwie, pozostałe 26,1% to rodziny bez dzieci. Najwięcej rodzin (67,9%) miało na utrzymaniu dzieci w wieku do 24 lat. Były to przede wszystkim małżeństwa i samotne matki. Również większość partnerów posiadało dzieci na utrzymaniu.</w:t>
            </w:r>
            <w:r w:rsidRPr="00F9704B">
              <w:rPr>
                <w:rStyle w:val="Odwoanieprzypisudolnego"/>
                <w:rFonts w:ascii="Times New Roman" w:hAnsi="Times New Roman"/>
                <w:b w:val="0"/>
                <w:color w:val="auto"/>
              </w:rPr>
              <w:footnoteReference w:id="92"/>
            </w:r>
          </w:p>
        </w:tc>
      </w:tr>
      <w:tr w:rsidR="00F9704B" w:rsidRPr="00F9704B" w14:paraId="18586874" w14:textId="77777777" w:rsidTr="00B33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5BD1BD4F" w14:textId="77777777" w:rsidR="00397459" w:rsidRPr="00F9704B" w:rsidRDefault="00397459" w:rsidP="00B337AF">
            <w:pPr>
              <w:spacing w:after="0" w:line="240" w:lineRule="auto"/>
              <w:jc w:val="center"/>
              <w:rPr>
                <w:rFonts w:ascii="Times New Roman" w:hAnsi="Times New Roman"/>
                <w:color w:val="auto"/>
              </w:rPr>
            </w:pPr>
            <w:r w:rsidRPr="00F9704B">
              <w:rPr>
                <w:rFonts w:ascii="Times New Roman" w:hAnsi="Times New Roman"/>
                <w:color w:val="auto"/>
              </w:rPr>
              <w:lastRenderedPageBreak/>
              <w:t>SYTUACJA OSÓB NIEPEŁNOSPRAWNYCH I ICH OPIEKUNÓW</w:t>
            </w:r>
          </w:p>
        </w:tc>
      </w:tr>
      <w:tr w:rsidR="00F9704B" w:rsidRPr="00F9704B" w14:paraId="1058260F" w14:textId="77777777" w:rsidTr="00B337AF">
        <w:tc>
          <w:tcPr>
            <w:cnfStyle w:val="001000000000" w:firstRow="0" w:lastRow="0" w:firstColumn="1" w:lastColumn="0" w:oddVBand="0" w:evenVBand="0" w:oddHBand="0" w:evenHBand="0" w:firstRowFirstColumn="0" w:firstRowLastColumn="0" w:lastRowFirstColumn="0" w:lastRowLastColumn="0"/>
            <w:tcW w:w="14741" w:type="dxa"/>
            <w:gridSpan w:val="9"/>
          </w:tcPr>
          <w:p w14:paraId="12ABDB12" w14:textId="77777777" w:rsidR="00397459" w:rsidRPr="00F9704B" w:rsidRDefault="00397459" w:rsidP="00B337AF">
            <w:pPr>
              <w:spacing w:after="0" w:line="240" w:lineRule="auto"/>
              <w:rPr>
                <w:rFonts w:ascii="Times New Roman" w:hAnsi="Times New Roman"/>
                <w:color w:val="auto"/>
              </w:rPr>
            </w:pPr>
            <w:r w:rsidRPr="00F9704B">
              <w:rPr>
                <w:rFonts w:ascii="Times New Roman" w:hAnsi="Times New Roman"/>
                <w:b w:val="0"/>
                <w:color w:val="auto"/>
              </w:rPr>
              <w:t>Z dostępnych danych statystycznych wynika (na podstawie Narodowego Spisu Powszechnego Ludności i Mieszkań 2011), że osoby niepełnosprawne stanowiły 17% populacji ludności województwa lubuskiego. Jest to więcej niż średnia krajowa, gdzie osoby niepełnosprawne stanowiły ponad 14%  ludności. Co za tym idzie, na 6 statystycznych mieszkańców województwa lubuskiego przypada 1 osoba niepełnosprawna.</w:t>
            </w:r>
            <w:r w:rsidRPr="00F9704B">
              <w:rPr>
                <w:rStyle w:val="Odwoanieprzypisudolnego"/>
                <w:rFonts w:ascii="Times New Roman" w:hAnsi="Times New Roman"/>
                <w:b w:val="0"/>
                <w:color w:val="auto"/>
              </w:rPr>
              <w:footnoteReference w:id="93"/>
            </w:r>
          </w:p>
          <w:p w14:paraId="66000C77" w14:textId="77777777" w:rsidR="00397459" w:rsidRPr="00F9704B" w:rsidRDefault="00397459" w:rsidP="00B337AF">
            <w:pPr>
              <w:spacing w:after="0" w:line="240" w:lineRule="auto"/>
              <w:rPr>
                <w:rFonts w:ascii="Times New Roman" w:hAnsi="Times New Roman"/>
                <w:color w:val="auto"/>
              </w:rPr>
            </w:pPr>
            <w:r w:rsidRPr="00F9704B">
              <w:rPr>
                <w:rFonts w:ascii="Times New Roman" w:hAnsi="Times New Roman"/>
                <w:b w:val="0"/>
                <w:color w:val="auto"/>
              </w:rPr>
              <w:t>Z pomocy społecznej w formie zasiłku stałego w 2019 r.  korzystało  8 087 osób niepełnosprawnych. Pomocą społeczną z tytułu niepełnosprawności było objętych 13 245 rodzin, a liczba osób w tych rodzinach wynosiła 21 223.</w:t>
            </w:r>
          </w:p>
          <w:p w14:paraId="2AEB23A6" w14:textId="77777777" w:rsidR="00397459" w:rsidRPr="00F9704B" w:rsidRDefault="00397459" w:rsidP="00B337AF">
            <w:pPr>
              <w:spacing w:after="0" w:line="240" w:lineRule="auto"/>
              <w:rPr>
                <w:rFonts w:ascii="Times New Roman" w:hAnsi="Times New Roman"/>
                <w:color w:val="auto"/>
              </w:rPr>
            </w:pPr>
            <w:r w:rsidRPr="00F9704B">
              <w:rPr>
                <w:rFonts w:ascii="Times New Roman" w:hAnsi="Times New Roman"/>
                <w:b w:val="0"/>
                <w:color w:val="auto"/>
              </w:rPr>
              <w:t>Osoby niepełnosprawne i ich opiekunowie korzystali z różnych form wsparcia, np. w ramach Funduszu Solidarnościowego, Programu „Za życiem”, Programu „Mieszkanie +”.</w:t>
            </w:r>
          </w:p>
          <w:p w14:paraId="19C358CB" w14:textId="77777777" w:rsidR="00397459" w:rsidRPr="00F9704B" w:rsidRDefault="00397459" w:rsidP="00B337AF">
            <w:pPr>
              <w:spacing w:after="0" w:line="240" w:lineRule="auto"/>
              <w:rPr>
                <w:rFonts w:ascii="Times New Roman" w:hAnsi="Times New Roman"/>
                <w:color w:val="auto"/>
              </w:rPr>
            </w:pPr>
            <w:r w:rsidRPr="00F9704B">
              <w:rPr>
                <w:rFonts w:ascii="Times New Roman" w:hAnsi="Times New Roman"/>
                <w:b w:val="0"/>
                <w:color w:val="auto"/>
              </w:rPr>
              <w:t>Ze środków z programu „Za życiem” w latach 2017- 2019 zostało utworzonych 17 mieszkań chronionych (z tego 9 - w 2019</w:t>
            </w:r>
            <w:r w:rsidR="00CA43EF" w:rsidRPr="00F9704B">
              <w:rPr>
                <w:rFonts w:ascii="Times New Roman" w:hAnsi="Times New Roman"/>
                <w:b w:val="0"/>
                <w:color w:val="auto"/>
              </w:rPr>
              <w:t xml:space="preserve"> r.</w:t>
            </w:r>
            <w:r w:rsidRPr="00F9704B">
              <w:rPr>
                <w:rFonts w:ascii="Times New Roman" w:hAnsi="Times New Roman"/>
                <w:b w:val="0"/>
                <w:color w:val="auto"/>
              </w:rPr>
              <w:t>), oferujących 57 miejsc. Wg danych za 2019</w:t>
            </w:r>
            <w:r w:rsidR="00466C93" w:rsidRPr="00F9704B">
              <w:rPr>
                <w:rFonts w:ascii="Times New Roman" w:hAnsi="Times New Roman"/>
                <w:b w:val="0"/>
                <w:color w:val="auto"/>
              </w:rPr>
              <w:t xml:space="preserve"> r.</w:t>
            </w:r>
            <w:r w:rsidRPr="00F9704B">
              <w:rPr>
                <w:rFonts w:ascii="Times New Roman" w:hAnsi="Times New Roman"/>
                <w:b w:val="0"/>
                <w:color w:val="auto"/>
              </w:rPr>
              <w:t xml:space="preserve"> – z oferowanych miejsc w mieszkaniach chronionych - w ramach Programu „Za życiem” - skorzystało 31 osób. Mieszkania te są przeznaczone dla osób niepełnosprawnych ze znacznym lub umiarkowanym stopniem niepełnosprawności, w odniesieniu do których orzeczono chorobę psychiczną, upośledzenie umysłowe, całościowe zaburzenia rozwojowe lub epilepsję, oraz niewidomych.</w:t>
            </w:r>
            <w:r w:rsidRPr="00F9704B">
              <w:rPr>
                <w:rStyle w:val="Odwoanieprzypisudolnego"/>
                <w:rFonts w:ascii="Times New Roman" w:hAnsi="Times New Roman"/>
                <w:b w:val="0"/>
                <w:color w:val="auto"/>
              </w:rPr>
              <w:footnoteReference w:id="94"/>
            </w:r>
            <w:r w:rsidRPr="00F9704B">
              <w:rPr>
                <w:rFonts w:ascii="Times New Roman" w:hAnsi="Times New Roman"/>
                <w:b w:val="0"/>
                <w:color w:val="auto"/>
              </w:rPr>
              <w:t xml:space="preserve">  </w:t>
            </w:r>
          </w:p>
          <w:p w14:paraId="76323424" w14:textId="77777777" w:rsidR="00397459" w:rsidRPr="00F9704B" w:rsidRDefault="00397459" w:rsidP="00B337AF">
            <w:pPr>
              <w:spacing w:after="0" w:line="240" w:lineRule="auto"/>
              <w:rPr>
                <w:rFonts w:ascii="Times New Roman" w:hAnsi="Times New Roman"/>
                <w:b w:val="0"/>
                <w:color w:val="auto"/>
              </w:rPr>
            </w:pPr>
            <w:r w:rsidRPr="00F9704B">
              <w:rPr>
                <w:rFonts w:ascii="Times New Roman" w:hAnsi="Times New Roman"/>
                <w:b w:val="0"/>
                <w:color w:val="auto"/>
              </w:rPr>
              <w:t>W 2019</w:t>
            </w:r>
            <w:r w:rsidR="00466C93" w:rsidRPr="00F9704B">
              <w:rPr>
                <w:rFonts w:ascii="Times New Roman" w:hAnsi="Times New Roman"/>
                <w:b w:val="0"/>
                <w:color w:val="auto"/>
              </w:rPr>
              <w:t xml:space="preserve"> r.</w:t>
            </w:r>
            <w:r w:rsidRPr="00F9704B">
              <w:rPr>
                <w:rFonts w:ascii="Times New Roman" w:hAnsi="Times New Roman"/>
                <w:b w:val="0"/>
                <w:color w:val="auto"/>
              </w:rPr>
              <w:t xml:space="preserve"> wydano:</w:t>
            </w:r>
          </w:p>
          <w:p w14:paraId="7F074575" w14:textId="77777777" w:rsidR="00397459" w:rsidRPr="00F9704B" w:rsidRDefault="00466C93" w:rsidP="00B337AF">
            <w:pPr>
              <w:spacing w:after="0" w:line="240" w:lineRule="auto"/>
              <w:rPr>
                <w:rFonts w:ascii="Times New Roman" w:hAnsi="Times New Roman"/>
                <w:b w:val="0"/>
                <w:color w:val="auto"/>
              </w:rPr>
            </w:pPr>
            <w:r w:rsidRPr="00F9704B">
              <w:rPr>
                <w:rFonts w:ascii="Times New Roman" w:hAnsi="Times New Roman"/>
                <w:b w:val="0"/>
                <w:color w:val="auto"/>
              </w:rPr>
              <w:t xml:space="preserve">- 8 </w:t>
            </w:r>
            <w:r w:rsidR="00397459" w:rsidRPr="00F9704B">
              <w:rPr>
                <w:rFonts w:ascii="Times New Roman" w:hAnsi="Times New Roman"/>
                <w:b w:val="0"/>
                <w:color w:val="auto"/>
              </w:rPr>
              <w:t>861 legitymacji osobom niepełnosprawnym – o 247 mniej niż w 2018</w:t>
            </w:r>
            <w:r w:rsidRPr="00F9704B">
              <w:rPr>
                <w:rFonts w:ascii="Times New Roman" w:hAnsi="Times New Roman"/>
                <w:b w:val="0"/>
                <w:color w:val="auto"/>
              </w:rPr>
              <w:t xml:space="preserve"> r.</w:t>
            </w:r>
            <w:r w:rsidR="00397459" w:rsidRPr="00F9704B">
              <w:rPr>
                <w:rFonts w:ascii="Times New Roman" w:hAnsi="Times New Roman"/>
                <w:b w:val="0"/>
                <w:color w:val="auto"/>
              </w:rPr>
              <w:t>,</w:t>
            </w:r>
          </w:p>
          <w:p w14:paraId="46965BCB" w14:textId="77777777" w:rsidR="00CB6A56" w:rsidRDefault="00466C93" w:rsidP="00B337AF">
            <w:pPr>
              <w:spacing w:after="0" w:line="240" w:lineRule="auto"/>
              <w:rPr>
                <w:rFonts w:ascii="Times New Roman" w:hAnsi="Times New Roman"/>
                <w:b w:val="0"/>
                <w:color w:val="auto"/>
              </w:rPr>
            </w:pPr>
            <w:r w:rsidRPr="00F9704B">
              <w:rPr>
                <w:rFonts w:ascii="Times New Roman" w:hAnsi="Times New Roman"/>
                <w:b w:val="0"/>
                <w:color w:val="auto"/>
              </w:rPr>
              <w:t xml:space="preserve">- 26 </w:t>
            </w:r>
            <w:r w:rsidR="00397459" w:rsidRPr="00F9704B">
              <w:rPr>
                <w:rFonts w:ascii="Times New Roman" w:hAnsi="Times New Roman"/>
                <w:b w:val="0"/>
                <w:color w:val="auto"/>
              </w:rPr>
              <w:t>663 orzeczeń o niepełnosprawności lub stopniu niepełnosprawności – o 1604 więcej niż w 2018</w:t>
            </w:r>
            <w:r w:rsidRPr="00F9704B">
              <w:rPr>
                <w:rFonts w:ascii="Times New Roman" w:hAnsi="Times New Roman"/>
                <w:b w:val="0"/>
                <w:color w:val="auto"/>
              </w:rPr>
              <w:t xml:space="preserve"> r</w:t>
            </w:r>
          </w:p>
          <w:p w14:paraId="5500876C" w14:textId="4DE09CCA" w:rsidR="00397459" w:rsidRPr="00F9704B" w:rsidRDefault="00397459" w:rsidP="00B337AF">
            <w:pPr>
              <w:spacing w:after="0" w:line="240" w:lineRule="auto"/>
              <w:rPr>
                <w:rFonts w:ascii="Times New Roman" w:hAnsi="Times New Roman"/>
                <w:b w:val="0"/>
                <w:color w:val="auto"/>
              </w:rPr>
            </w:pPr>
          </w:p>
        </w:tc>
      </w:tr>
      <w:tr w:rsidR="00F9704B" w:rsidRPr="00F9704B" w14:paraId="6CFE9C8C" w14:textId="77777777" w:rsidTr="00B33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20B8CF8A" w14:textId="77777777" w:rsidR="00397459" w:rsidRPr="00F9704B" w:rsidRDefault="00397459" w:rsidP="00B337AF">
            <w:pPr>
              <w:spacing w:after="0" w:line="240" w:lineRule="auto"/>
              <w:jc w:val="center"/>
              <w:rPr>
                <w:rFonts w:ascii="Times New Roman" w:hAnsi="Times New Roman"/>
                <w:color w:val="auto"/>
              </w:rPr>
            </w:pPr>
            <w:r w:rsidRPr="00F9704B">
              <w:rPr>
                <w:rFonts w:ascii="Times New Roman" w:hAnsi="Times New Roman"/>
                <w:color w:val="auto"/>
              </w:rPr>
              <w:lastRenderedPageBreak/>
              <w:t>STAN ZDROWIA OSÓB STARSZYCH / INFRASTRUKTURA SŁUŻBY ZDROWIA - DANE ZA 2019 r.</w:t>
            </w:r>
          </w:p>
        </w:tc>
      </w:tr>
      <w:tr w:rsidR="00F9704B" w:rsidRPr="00F9704B" w14:paraId="4A12731E" w14:textId="77777777" w:rsidTr="00B337AF">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EC8A8A2"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hAnsi="Times New Roman"/>
                <w:color w:val="auto"/>
                <w:lang w:eastAsia="pl-PL"/>
              </w:rPr>
              <w:t>Dominujące schorzenia osób starszych 65 +</w:t>
            </w:r>
          </w:p>
        </w:tc>
        <w:tc>
          <w:tcPr>
            <w:tcW w:w="7938" w:type="dxa"/>
            <w:gridSpan w:val="6"/>
            <w:shd w:val="clear" w:color="auto" w:fill="9CC2E5" w:themeFill="accent1" w:themeFillTint="99"/>
          </w:tcPr>
          <w:p w14:paraId="72FA3FC4" w14:textId="77777777" w:rsidR="00397459" w:rsidRPr="00B337AF"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Nazwa</w:t>
            </w:r>
          </w:p>
        </w:tc>
        <w:tc>
          <w:tcPr>
            <w:tcW w:w="3973" w:type="dxa"/>
            <w:gridSpan w:val="2"/>
            <w:shd w:val="clear" w:color="auto" w:fill="9CC2E5" w:themeFill="accent1" w:themeFillTint="99"/>
          </w:tcPr>
          <w:p w14:paraId="056D3838" w14:textId="77777777" w:rsidR="00397459" w:rsidRPr="00B337AF"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Liczba osób starszych</w:t>
            </w:r>
          </w:p>
        </w:tc>
      </w:tr>
      <w:tr w:rsidR="00F9704B" w:rsidRPr="00F9704B" w14:paraId="3B441B61" w14:textId="77777777" w:rsidTr="00F0698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40D71745"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vAlign w:val="center"/>
          </w:tcPr>
          <w:p w14:paraId="16A495F3" w14:textId="77777777" w:rsidR="00397459" w:rsidRPr="00F9704B" w:rsidRDefault="00397459" w:rsidP="00B337AF">
            <w:pPr>
              <w:pStyle w:val="Akapitzlist"/>
              <w:numPr>
                <w:ilvl w:val="0"/>
                <w:numId w:val="73"/>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choroby układu krążenia</w:t>
            </w:r>
          </w:p>
        </w:tc>
        <w:tc>
          <w:tcPr>
            <w:tcW w:w="3973" w:type="dxa"/>
            <w:gridSpan w:val="2"/>
            <w:shd w:val="clear" w:color="auto" w:fill="FFFFFF" w:themeFill="background1"/>
            <w:vAlign w:val="center"/>
          </w:tcPr>
          <w:p w14:paraId="431943A0"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86 480</w:t>
            </w:r>
          </w:p>
        </w:tc>
      </w:tr>
      <w:tr w:rsidR="00F9704B" w:rsidRPr="00F9704B" w14:paraId="0FF5C69A" w14:textId="77777777" w:rsidTr="00F06986">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EDB324D"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vAlign w:val="center"/>
          </w:tcPr>
          <w:p w14:paraId="7A259A8C" w14:textId="77777777" w:rsidR="00397459" w:rsidRPr="00F9704B" w:rsidRDefault="00397459" w:rsidP="00B337AF">
            <w:pPr>
              <w:pStyle w:val="Akapitzlist"/>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choroby układu mięśniowo - kostnego i tkanki łącznej</w:t>
            </w:r>
          </w:p>
        </w:tc>
        <w:tc>
          <w:tcPr>
            <w:tcW w:w="3973" w:type="dxa"/>
            <w:gridSpan w:val="2"/>
            <w:shd w:val="clear" w:color="auto" w:fill="FFFFFF" w:themeFill="background1"/>
            <w:vAlign w:val="center"/>
          </w:tcPr>
          <w:p w14:paraId="0FA6E041"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36 374</w:t>
            </w:r>
          </w:p>
        </w:tc>
      </w:tr>
      <w:tr w:rsidR="00F9704B" w:rsidRPr="00F9704B" w14:paraId="458E7BD1" w14:textId="77777777" w:rsidTr="00F0698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2D0C322"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vAlign w:val="center"/>
          </w:tcPr>
          <w:p w14:paraId="7DDACA3C" w14:textId="77777777" w:rsidR="00397459" w:rsidRPr="00F9704B" w:rsidRDefault="00397459" w:rsidP="00B337AF">
            <w:pPr>
              <w:pStyle w:val="Akapitzlist"/>
              <w:numPr>
                <w:ilvl w:val="0"/>
                <w:numId w:val="73"/>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cukrzyca</w:t>
            </w:r>
          </w:p>
        </w:tc>
        <w:tc>
          <w:tcPr>
            <w:tcW w:w="3973" w:type="dxa"/>
            <w:gridSpan w:val="2"/>
            <w:shd w:val="clear" w:color="auto" w:fill="FFFFFF" w:themeFill="background1"/>
            <w:vAlign w:val="center"/>
          </w:tcPr>
          <w:p w14:paraId="4D8D6CA9"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21 584</w:t>
            </w:r>
          </w:p>
        </w:tc>
      </w:tr>
      <w:tr w:rsidR="00F9704B" w:rsidRPr="00F9704B" w14:paraId="07400032" w14:textId="77777777" w:rsidTr="00F06986">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630D466"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vAlign w:val="center"/>
          </w:tcPr>
          <w:p w14:paraId="1A510DDF" w14:textId="77777777" w:rsidR="00397459" w:rsidRPr="00F9704B" w:rsidRDefault="00397459" w:rsidP="00B337AF">
            <w:pPr>
              <w:pStyle w:val="Akapitzlist"/>
              <w:numPr>
                <w:ilvl w:val="0"/>
                <w:numId w:val="7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przewlekłe choroby układu trawiennego</w:t>
            </w:r>
          </w:p>
        </w:tc>
        <w:tc>
          <w:tcPr>
            <w:tcW w:w="3973" w:type="dxa"/>
            <w:gridSpan w:val="2"/>
            <w:shd w:val="clear" w:color="auto" w:fill="FFFFFF" w:themeFill="background1"/>
            <w:vAlign w:val="center"/>
          </w:tcPr>
          <w:p w14:paraId="328DDC0F"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14 176</w:t>
            </w:r>
          </w:p>
        </w:tc>
      </w:tr>
      <w:tr w:rsidR="00F9704B" w:rsidRPr="00F9704B" w14:paraId="49403105" w14:textId="77777777" w:rsidTr="00F0698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D544259"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vAlign w:val="center"/>
          </w:tcPr>
          <w:p w14:paraId="64823569" w14:textId="77777777" w:rsidR="00397459" w:rsidRPr="00F9704B" w:rsidRDefault="00397459" w:rsidP="00B337AF">
            <w:pPr>
              <w:pStyle w:val="Akapitzlist"/>
              <w:numPr>
                <w:ilvl w:val="0"/>
                <w:numId w:val="73"/>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choroby obwodowego układu nerwowego</w:t>
            </w:r>
          </w:p>
        </w:tc>
        <w:tc>
          <w:tcPr>
            <w:tcW w:w="3973" w:type="dxa"/>
            <w:gridSpan w:val="2"/>
            <w:shd w:val="clear" w:color="auto" w:fill="FFFFFF" w:themeFill="background1"/>
            <w:vAlign w:val="center"/>
          </w:tcPr>
          <w:p w14:paraId="7247D841"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10 318</w:t>
            </w:r>
          </w:p>
        </w:tc>
      </w:tr>
      <w:tr w:rsidR="00F9704B" w:rsidRPr="00F9704B" w14:paraId="30EEED99" w14:textId="77777777" w:rsidTr="00F06986">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EA56CF3"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hAnsi="Times New Roman"/>
                <w:color w:val="auto"/>
                <w:lang w:eastAsia="pl-PL"/>
              </w:rPr>
              <w:t>Liczba osób starszych objętych czynną opieką lekarza POZ</w:t>
            </w:r>
          </w:p>
        </w:tc>
        <w:tc>
          <w:tcPr>
            <w:tcW w:w="11911" w:type="dxa"/>
            <w:gridSpan w:val="8"/>
            <w:shd w:val="clear" w:color="auto" w:fill="FFFFFF" w:themeFill="background1"/>
          </w:tcPr>
          <w:p w14:paraId="6B5181D6"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13</w:t>
            </w:r>
            <w:r w:rsidR="00466C93" w:rsidRPr="00F9704B">
              <w:rPr>
                <w:rFonts w:ascii="Times New Roman" w:hAnsi="Times New Roman"/>
                <w:color w:val="auto"/>
              </w:rPr>
              <w:t xml:space="preserve">4 </w:t>
            </w:r>
            <w:r w:rsidRPr="00F9704B">
              <w:rPr>
                <w:rFonts w:ascii="Times New Roman" w:hAnsi="Times New Roman"/>
                <w:color w:val="auto"/>
              </w:rPr>
              <w:t>612</w:t>
            </w:r>
          </w:p>
        </w:tc>
      </w:tr>
      <w:tr w:rsidR="00F9704B" w:rsidRPr="00F9704B" w14:paraId="48C5EBD4" w14:textId="77777777" w:rsidTr="00B337AF">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91DCDFD"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hAnsi="Times New Roman"/>
                <w:color w:val="auto"/>
                <w:lang w:eastAsia="pl-PL"/>
              </w:rPr>
              <w:t xml:space="preserve">Najczęstsze przyczyny hospitalizacji osób starszych </w:t>
            </w:r>
            <w:r w:rsidRPr="00F9704B">
              <w:rPr>
                <w:rFonts w:ascii="Times New Roman" w:hAnsi="Times New Roman"/>
                <w:b w:val="0"/>
                <w:color w:val="auto"/>
                <w:lang w:eastAsia="pl-PL"/>
              </w:rPr>
              <w:t xml:space="preserve">(dotyczy hospitalizacji w oddziałach ogólnych na terenie woj. lubuskiego, </w:t>
            </w:r>
            <w:r w:rsidRPr="00F9704B">
              <w:rPr>
                <w:rFonts w:ascii="Times New Roman" w:hAnsi="Times New Roman"/>
                <w:color w:val="auto"/>
              </w:rPr>
              <w:t xml:space="preserve"> </w:t>
            </w:r>
            <w:r w:rsidRPr="00F9704B">
              <w:rPr>
                <w:rFonts w:ascii="Times New Roman" w:hAnsi="Times New Roman"/>
                <w:b w:val="0"/>
                <w:color w:val="auto"/>
                <w:lang w:eastAsia="pl-PL"/>
              </w:rPr>
              <w:t>pominięto zdarzenia zakwalifikowane jako „ czynniki wpływające na stan zdrowia i kontakt ze służbą zdrowia”)</w:t>
            </w:r>
          </w:p>
        </w:tc>
        <w:tc>
          <w:tcPr>
            <w:tcW w:w="7938" w:type="dxa"/>
            <w:gridSpan w:val="6"/>
            <w:shd w:val="clear" w:color="auto" w:fill="9CC2E5" w:themeFill="accent1" w:themeFillTint="99"/>
          </w:tcPr>
          <w:p w14:paraId="677440B8"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Przyczyna</w:t>
            </w:r>
          </w:p>
        </w:tc>
        <w:tc>
          <w:tcPr>
            <w:tcW w:w="3973" w:type="dxa"/>
            <w:gridSpan w:val="2"/>
            <w:shd w:val="clear" w:color="auto" w:fill="9CC2E5" w:themeFill="accent1" w:themeFillTint="99"/>
          </w:tcPr>
          <w:p w14:paraId="71E3BC91"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Liczba osób starszych</w:t>
            </w:r>
          </w:p>
        </w:tc>
      </w:tr>
      <w:tr w:rsidR="00F9704B" w:rsidRPr="00F9704B" w14:paraId="49331F54" w14:textId="77777777" w:rsidTr="00F06986">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BF5063F"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1FD7DBF"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 xml:space="preserve">1. Choroby układu krążenia </w:t>
            </w:r>
          </w:p>
        </w:tc>
        <w:tc>
          <w:tcPr>
            <w:tcW w:w="3973" w:type="dxa"/>
            <w:gridSpan w:val="2"/>
            <w:shd w:val="clear" w:color="auto" w:fill="FFFFFF" w:themeFill="background1"/>
          </w:tcPr>
          <w:p w14:paraId="64CDE0BA"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14 106</w:t>
            </w:r>
          </w:p>
        </w:tc>
      </w:tr>
      <w:tr w:rsidR="00F9704B" w:rsidRPr="00F9704B" w14:paraId="3787C292" w14:textId="77777777" w:rsidTr="00F0698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945B899"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2C7B2AE"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 Nowotwory</w:t>
            </w:r>
          </w:p>
        </w:tc>
        <w:tc>
          <w:tcPr>
            <w:tcW w:w="3973" w:type="dxa"/>
            <w:gridSpan w:val="2"/>
            <w:shd w:val="clear" w:color="auto" w:fill="FFFFFF" w:themeFill="background1"/>
          </w:tcPr>
          <w:p w14:paraId="121E82AC"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7 576</w:t>
            </w:r>
          </w:p>
        </w:tc>
      </w:tr>
      <w:tr w:rsidR="00F9704B" w:rsidRPr="00F9704B" w14:paraId="25CA417D" w14:textId="77777777" w:rsidTr="00F06986">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E403CD1"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16A1FB4"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3. Choroby oka i  przydatków oka, ucha i wyrostka sutkowatego</w:t>
            </w:r>
          </w:p>
        </w:tc>
        <w:tc>
          <w:tcPr>
            <w:tcW w:w="3973" w:type="dxa"/>
            <w:gridSpan w:val="2"/>
            <w:shd w:val="clear" w:color="auto" w:fill="FFFFFF" w:themeFill="background1"/>
          </w:tcPr>
          <w:p w14:paraId="4F4F06F2"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7 322</w:t>
            </w:r>
          </w:p>
        </w:tc>
      </w:tr>
      <w:tr w:rsidR="00F9704B" w:rsidRPr="00F9704B" w14:paraId="43838CB6" w14:textId="77777777" w:rsidTr="00F06986">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B3F2E80"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21E7D964"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4. Choroby układu moczowo-płciowego</w:t>
            </w:r>
          </w:p>
        </w:tc>
        <w:tc>
          <w:tcPr>
            <w:tcW w:w="3973" w:type="dxa"/>
            <w:gridSpan w:val="2"/>
            <w:shd w:val="clear" w:color="auto" w:fill="FFFFFF" w:themeFill="background1"/>
          </w:tcPr>
          <w:p w14:paraId="568B9297"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4 888</w:t>
            </w:r>
          </w:p>
        </w:tc>
      </w:tr>
      <w:tr w:rsidR="00F9704B" w:rsidRPr="00F9704B" w14:paraId="0D914682" w14:textId="77777777" w:rsidTr="00F06986">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8BA0480"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34B68F0"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5. Choroby układu kostno-mięśniowego i tkanki łącznej</w:t>
            </w:r>
          </w:p>
        </w:tc>
        <w:tc>
          <w:tcPr>
            <w:tcW w:w="3973" w:type="dxa"/>
            <w:gridSpan w:val="2"/>
            <w:shd w:val="clear" w:color="auto" w:fill="FFFFFF" w:themeFill="background1"/>
          </w:tcPr>
          <w:p w14:paraId="7F0568C5"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4 225</w:t>
            </w:r>
          </w:p>
        </w:tc>
      </w:tr>
      <w:tr w:rsidR="00F9704B" w:rsidRPr="00F9704B" w14:paraId="0DA7641D" w14:textId="77777777" w:rsidTr="00B33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94A93DD" w14:textId="77777777" w:rsidR="00397459" w:rsidRPr="00F9704B" w:rsidRDefault="00397459" w:rsidP="00B337AF">
            <w:pPr>
              <w:spacing w:after="0" w:line="240" w:lineRule="auto"/>
              <w:rPr>
                <w:rFonts w:ascii="Times New Roman" w:hAnsi="Times New Roman"/>
                <w:b w:val="0"/>
                <w:bCs w:val="0"/>
                <w:color w:val="auto"/>
              </w:rPr>
            </w:pPr>
            <w:r w:rsidRPr="00F9704B">
              <w:rPr>
                <w:rFonts w:ascii="Times New Roman" w:hAnsi="Times New Roman"/>
                <w:color w:val="auto"/>
                <w:lang w:eastAsia="pl-PL"/>
              </w:rPr>
              <w:t>Infrastruktura służby zdrowia</w:t>
            </w:r>
          </w:p>
        </w:tc>
        <w:tc>
          <w:tcPr>
            <w:tcW w:w="3969" w:type="dxa"/>
            <w:gridSpan w:val="3"/>
            <w:shd w:val="clear" w:color="auto" w:fill="9CC2E5" w:themeFill="accent1" w:themeFillTint="99"/>
          </w:tcPr>
          <w:p w14:paraId="5D174652"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F9704B">
              <w:rPr>
                <w:rFonts w:ascii="Times New Roman" w:hAnsi="Times New Roman"/>
                <w:b/>
                <w:color w:val="auto"/>
              </w:rPr>
              <w:t>Rodzaj placówki</w:t>
            </w:r>
          </w:p>
        </w:tc>
        <w:tc>
          <w:tcPr>
            <w:tcW w:w="3969" w:type="dxa"/>
            <w:gridSpan w:val="3"/>
            <w:shd w:val="clear" w:color="auto" w:fill="9CC2E5" w:themeFill="accent1" w:themeFillTint="99"/>
          </w:tcPr>
          <w:p w14:paraId="60F1AB1A"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Liczba placówek</w:t>
            </w:r>
          </w:p>
        </w:tc>
        <w:tc>
          <w:tcPr>
            <w:tcW w:w="3973" w:type="dxa"/>
            <w:gridSpan w:val="2"/>
            <w:shd w:val="clear" w:color="auto" w:fill="9CC2E5" w:themeFill="accent1" w:themeFillTint="99"/>
          </w:tcPr>
          <w:p w14:paraId="323DF331"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Liczba łóżek dla osób starszych</w:t>
            </w:r>
          </w:p>
        </w:tc>
      </w:tr>
      <w:tr w:rsidR="00F9704B" w:rsidRPr="00F9704B" w14:paraId="1550C27F" w14:textId="77777777" w:rsidTr="00F06986">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9B860AF" w14:textId="77777777" w:rsidR="00397459" w:rsidRPr="00F9704B" w:rsidRDefault="00397459" w:rsidP="00B337AF">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61620399" w14:textId="77777777" w:rsidR="00397459" w:rsidRPr="00B337AF"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Oddziałów / pododdziałów geriatrycznych</w:t>
            </w:r>
          </w:p>
        </w:tc>
        <w:tc>
          <w:tcPr>
            <w:tcW w:w="3969" w:type="dxa"/>
            <w:gridSpan w:val="3"/>
            <w:shd w:val="clear" w:color="auto" w:fill="FFFFFF" w:themeFill="background1"/>
          </w:tcPr>
          <w:p w14:paraId="0830DF40"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 oddziały geriatryczne,</w:t>
            </w:r>
          </w:p>
          <w:p w14:paraId="55F1457C"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 oddział internistyczno-geriatryczny,</w:t>
            </w:r>
          </w:p>
          <w:p w14:paraId="24037878"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 oddział psychogeriatryczny</w:t>
            </w:r>
          </w:p>
        </w:tc>
        <w:tc>
          <w:tcPr>
            <w:tcW w:w="3973" w:type="dxa"/>
            <w:gridSpan w:val="2"/>
            <w:shd w:val="clear" w:color="auto" w:fill="FFFFFF" w:themeFill="background1"/>
          </w:tcPr>
          <w:p w14:paraId="343165F1"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38</w:t>
            </w:r>
          </w:p>
          <w:p w14:paraId="662099ED"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22</w:t>
            </w:r>
          </w:p>
          <w:p w14:paraId="0BBE0EF7"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30</w:t>
            </w:r>
          </w:p>
        </w:tc>
      </w:tr>
      <w:tr w:rsidR="00F9704B" w:rsidRPr="00F9704B" w14:paraId="6DC37B73"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6422E6B" w14:textId="77777777" w:rsidR="00397459" w:rsidRPr="00F9704B" w:rsidRDefault="00397459" w:rsidP="00B337AF">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43FBA61F" w14:textId="77777777" w:rsidR="00397459" w:rsidRPr="00B337AF"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Poradni geriatrycznych*</w:t>
            </w:r>
          </w:p>
        </w:tc>
        <w:tc>
          <w:tcPr>
            <w:tcW w:w="3969" w:type="dxa"/>
            <w:gridSpan w:val="3"/>
            <w:shd w:val="clear" w:color="auto" w:fill="FFFFFF" w:themeFill="background1"/>
          </w:tcPr>
          <w:p w14:paraId="2820D8A4"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5</w:t>
            </w:r>
          </w:p>
        </w:tc>
        <w:tc>
          <w:tcPr>
            <w:tcW w:w="3973" w:type="dxa"/>
            <w:gridSpan w:val="2"/>
            <w:shd w:val="clear" w:color="auto" w:fill="FFFFFF" w:themeFill="background1"/>
          </w:tcPr>
          <w:p w14:paraId="0F23DC34"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X</w:t>
            </w:r>
          </w:p>
        </w:tc>
      </w:tr>
      <w:tr w:rsidR="00F9704B" w:rsidRPr="00F9704B" w14:paraId="173916FF" w14:textId="77777777" w:rsidTr="00F06986">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F63CC55" w14:textId="77777777" w:rsidR="00397459" w:rsidRPr="00F9704B" w:rsidRDefault="00397459" w:rsidP="00B337AF">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32A2C5E7" w14:textId="77777777" w:rsidR="00397459" w:rsidRPr="00B337AF"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Zakładów opiekuńczo-leczniczych</w:t>
            </w:r>
          </w:p>
        </w:tc>
        <w:tc>
          <w:tcPr>
            <w:tcW w:w="3969" w:type="dxa"/>
            <w:gridSpan w:val="3"/>
            <w:shd w:val="clear" w:color="auto" w:fill="FFFFFF" w:themeFill="background1"/>
          </w:tcPr>
          <w:p w14:paraId="298EED7C"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10</w:t>
            </w:r>
          </w:p>
        </w:tc>
        <w:tc>
          <w:tcPr>
            <w:tcW w:w="3973" w:type="dxa"/>
            <w:gridSpan w:val="2"/>
            <w:shd w:val="clear" w:color="auto" w:fill="FFFFFF" w:themeFill="background1"/>
          </w:tcPr>
          <w:p w14:paraId="6B397B39"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453</w:t>
            </w:r>
          </w:p>
        </w:tc>
      </w:tr>
      <w:tr w:rsidR="00F9704B" w:rsidRPr="00F9704B" w14:paraId="25B6BAAE"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433EDA9" w14:textId="77777777" w:rsidR="00397459" w:rsidRPr="00F9704B" w:rsidRDefault="00397459" w:rsidP="00B337AF">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573128A3" w14:textId="77777777" w:rsidR="00397459" w:rsidRPr="00B337AF"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Zakładów pielęgnacyjno-opiekuńczych</w:t>
            </w:r>
          </w:p>
        </w:tc>
        <w:tc>
          <w:tcPr>
            <w:tcW w:w="3969" w:type="dxa"/>
            <w:gridSpan w:val="3"/>
            <w:shd w:val="clear" w:color="auto" w:fill="FFFFFF" w:themeFill="background1"/>
          </w:tcPr>
          <w:p w14:paraId="13F0D08E"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w:t>
            </w:r>
          </w:p>
        </w:tc>
        <w:tc>
          <w:tcPr>
            <w:tcW w:w="3973" w:type="dxa"/>
            <w:gridSpan w:val="2"/>
            <w:shd w:val="clear" w:color="auto" w:fill="FFFFFF" w:themeFill="background1"/>
          </w:tcPr>
          <w:p w14:paraId="187D9B2D"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54</w:t>
            </w:r>
          </w:p>
        </w:tc>
      </w:tr>
      <w:tr w:rsidR="00F9704B" w:rsidRPr="00F9704B" w14:paraId="5D1667E8" w14:textId="77777777" w:rsidTr="00F06986">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E247AED" w14:textId="77777777" w:rsidR="00397459" w:rsidRPr="00F9704B" w:rsidRDefault="00397459" w:rsidP="00B337AF">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088CCE83" w14:textId="77777777" w:rsidR="00397459" w:rsidRPr="00B337AF"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Hospicjów stacjonarnych</w:t>
            </w:r>
          </w:p>
        </w:tc>
        <w:tc>
          <w:tcPr>
            <w:tcW w:w="3969" w:type="dxa"/>
            <w:gridSpan w:val="3"/>
            <w:shd w:val="clear" w:color="auto" w:fill="FFFFFF" w:themeFill="background1"/>
          </w:tcPr>
          <w:p w14:paraId="1CDB272C"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4</w:t>
            </w:r>
          </w:p>
        </w:tc>
        <w:tc>
          <w:tcPr>
            <w:tcW w:w="3973" w:type="dxa"/>
            <w:gridSpan w:val="2"/>
            <w:shd w:val="clear" w:color="auto" w:fill="FFFFFF" w:themeFill="background1"/>
          </w:tcPr>
          <w:p w14:paraId="1E7A8393"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57</w:t>
            </w:r>
          </w:p>
        </w:tc>
      </w:tr>
      <w:tr w:rsidR="00F9704B" w:rsidRPr="00F9704B" w14:paraId="5C85D4CC"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F9D1063" w14:textId="77777777" w:rsidR="00397459" w:rsidRPr="00F9704B" w:rsidRDefault="00397459" w:rsidP="00B337AF">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078A8F65" w14:textId="77777777" w:rsidR="00397459" w:rsidRPr="00B337AF"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Hospicjów domowych</w:t>
            </w:r>
          </w:p>
        </w:tc>
        <w:tc>
          <w:tcPr>
            <w:tcW w:w="3969" w:type="dxa"/>
            <w:gridSpan w:val="3"/>
            <w:shd w:val="clear" w:color="auto" w:fill="FFFFFF" w:themeFill="background1"/>
          </w:tcPr>
          <w:p w14:paraId="69ABB89B"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15</w:t>
            </w:r>
          </w:p>
        </w:tc>
        <w:tc>
          <w:tcPr>
            <w:tcW w:w="3973" w:type="dxa"/>
            <w:gridSpan w:val="2"/>
            <w:shd w:val="clear" w:color="auto" w:fill="FFFFFF" w:themeFill="background1"/>
          </w:tcPr>
          <w:p w14:paraId="7BD604DF"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X</w:t>
            </w:r>
          </w:p>
        </w:tc>
      </w:tr>
      <w:tr w:rsidR="00F9704B" w:rsidRPr="00F9704B" w14:paraId="3413AAEE" w14:textId="77777777" w:rsidTr="00F06986">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54184A2" w14:textId="77777777" w:rsidR="00397459" w:rsidRPr="00F9704B" w:rsidRDefault="00397459" w:rsidP="00B337AF">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0D89EB42" w14:textId="77777777" w:rsidR="00397459" w:rsidRPr="00B337AF"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337AF">
              <w:rPr>
                <w:rFonts w:ascii="Times New Roman" w:hAnsi="Times New Roman"/>
                <w:b/>
                <w:color w:val="auto"/>
              </w:rPr>
              <w:t>Oddziałów opieki paliatywnej</w:t>
            </w:r>
          </w:p>
        </w:tc>
        <w:tc>
          <w:tcPr>
            <w:tcW w:w="3969" w:type="dxa"/>
            <w:gridSpan w:val="3"/>
            <w:shd w:val="clear" w:color="auto" w:fill="FFFFFF" w:themeFill="background1"/>
          </w:tcPr>
          <w:p w14:paraId="7F13037C"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w:t>
            </w:r>
          </w:p>
        </w:tc>
        <w:tc>
          <w:tcPr>
            <w:tcW w:w="3973" w:type="dxa"/>
            <w:gridSpan w:val="2"/>
            <w:shd w:val="clear" w:color="auto" w:fill="FFFFFF" w:themeFill="background1"/>
          </w:tcPr>
          <w:p w14:paraId="1779BB50"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18</w:t>
            </w:r>
          </w:p>
        </w:tc>
      </w:tr>
      <w:tr w:rsidR="00F9704B" w:rsidRPr="00F9704B" w14:paraId="1F4CD452" w14:textId="77777777" w:rsidTr="00B337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1912F25" w14:textId="77777777" w:rsidR="00397459" w:rsidRPr="00F9704B" w:rsidRDefault="00397459" w:rsidP="00B337AF">
            <w:pPr>
              <w:tabs>
                <w:tab w:val="left" w:pos="1206"/>
              </w:tabs>
              <w:spacing w:after="0" w:line="240" w:lineRule="auto"/>
              <w:rPr>
                <w:rFonts w:ascii="Times New Roman" w:hAnsi="Times New Roman"/>
                <w:color w:val="auto"/>
              </w:rPr>
            </w:pPr>
            <w:r w:rsidRPr="00F9704B">
              <w:rPr>
                <w:rFonts w:ascii="Times New Roman" w:hAnsi="Times New Roman"/>
                <w:color w:val="auto"/>
              </w:rPr>
              <w:t>Kadry medyczne</w:t>
            </w:r>
          </w:p>
        </w:tc>
        <w:tc>
          <w:tcPr>
            <w:tcW w:w="7938" w:type="dxa"/>
            <w:gridSpan w:val="6"/>
            <w:shd w:val="clear" w:color="auto" w:fill="9CC2E5" w:themeFill="accent1" w:themeFillTint="99"/>
          </w:tcPr>
          <w:p w14:paraId="69CA919B" w14:textId="77777777" w:rsidR="00397459" w:rsidRPr="00F9704B" w:rsidRDefault="00397459" w:rsidP="00B337AF">
            <w:pPr>
              <w:tabs>
                <w:tab w:val="left" w:pos="120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Lekarze</w:t>
            </w:r>
          </w:p>
        </w:tc>
        <w:tc>
          <w:tcPr>
            <w:tcW w:w="3973" w:type="dxa"/>
            <w:gridSpan w:val="2"/>
            <w:shd w:val="clear" w:color="auto" w:fill="9CC2E5" w:themeFill="accent1" w:themeFillTint="99"/>
          </w:tcPr>
          <w:p w14:paraId="1B40C832"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Liczba lekarzy</w:t>
            </w:r>
          </w:p>
        </w:tc>
      </w:tr>
      <w:tr w:rsidR="00F9704B" w:rsidRPr="00F9704B" w14:paraId="29873E64" w14:textId="77777777" w:rsidTr="00F06986">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17A236E"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25AE2468" w14:textId="77777777" w:rsidR="00397459" w:rsidRPr="00F9704B" w:rsidRDefault="00397459" w:rsidP="00B337AF">
            <w:pPr>
              <w:tabs>
                <w:tab w:val="left" w:pos="120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Geriatrzy</w:t>
            </w:r>
          </w:p>
        </w:tc>
        <w:tc>
          <w:tcPr>
            <w:tcW w:w="3973" w:type="dxa"/>
            <w:gridSpan w:val="2"/>
            <w:shd w:val="clear" w:color="auto" w:fill="FFFFFF" w:themeFill="background1"/>
          </w:tcPr>
          <w:p w14:paraId="24B75D69"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6</w:t>
            </w:r>
          </w:p>
        </w:tc>
      </w:tr>
      <w:tr w:rsidR="00F9704B" w:rsidRPr="00F9704B" w14:paraId="394248EB"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471537A"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A9C3E4B"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w trakcie specjalizacji z geriatrii</w:t>
            </w:r>
          </w:p>
        </w:tc>
        <w:tc>
          <w:tcPr>
            <w:tcW w:w="3973" w:type="dxa"/>
            <w:gridSpan w:val="2"/>
            <w:shd w:val="clear" w:color="auto" w:fill="FFFFFF" w:themeFill="background1"/>
          </w:tcPr>
          <w:p w14:paraId="670EAE51"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0</w:t>
            </w:r>
          </w:p>
        </w:tc>
      </w:tr>
      <w:tr w:rsidR="00F9704B" w:rsidRPr="00F9704B" w14:paraId="6813A6DA" w14:textId="77777777" w:rsidTr="00B337AF">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EF44400"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9CC2E5" w:themeFill="accent1" w:themeFillTint="99"/>
          </w:tcPr>
          <w:p w14:paraId="3BE18BAB"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 xml:space="preserve">Pielęgniarki ze specjalizacją lub ukończonym kursem kwalifikacyjnym </w:t>
            </w:r>
            <w:r w:rsidRPr="00F9704B">
              <w:rPr>
                <w:rFonts w:ascii="Times New Roman" w:hAnsi="Times New Roman"/>
                <w:b/>
                <w:color w:val="auto"/>
              </w:rPr>
              <w:br/>
              <w:t>w zakresie:</w:t>
            </w:r>
          </w:p>
        </w:tc>
        <w:tc>
          <w:tcPr>
            <w:tcW w:w="3973" w:type="dxa"/>
            <w:gridSpan w:val="2"/>
            <w:shd w:val="clear" w:color="auto" w:fill="9CC2E5" w:themeFill="accent1" w:themeFillTint="99"/>
          </w:tcPr>
          <w:p w14:paraId="56B7E687"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Liczba pielęgniarek</w:t>
            </w:r>
          </w:p>
        </w:tc>
      </w:tr>
      <w:tr w:rsidR="00F9704B" w:rsidRPr="00F9704B" w14:paraId="5B71CDC3"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4F4E2EB"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1B23686"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Geriatrii</w:t>
            </w:r>
          </w:p>
        </w:tc>
        <w:tc>
          <w:tcPr>
            <w:tcW w:w="3973" w:type="dxa"/>
            <w:gridSpan w:val="2"/>
            <w:shd w:val="clear" w:color="auto" w:fill="FFFFFF" w:themeFill="background1"/>
          </w:tcPr>
          <w:p w14:paraId="3CE294C3"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119 (84 ze spec. i 35 z kursem kwalif.)</w:t>
            </w:r>
          </w:p>
        </w:tc>
      </w:tr>
      <w:tr w:rsidR="00F9704B" w:rsidRPr="00F9704B" w14:paraId="10254219" w14:textId="77777777" w:rsidTr="00F06986">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7EF9246"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7CCB5880"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Opieki długoterminowej</w:t>
            </w:r>
          </w:p>
        </w:tc>
        <w:tc>
          <w:tcPr>
            <w:tcW w:w="3973" w:type="dxa"/>
            <w:gridSpan w:val="2"/>
            <w:shd w:val="clear" w:color="auto" w:fill="FFFFFF" w:themeFill="background1"/>
          </w:tcPr>
          <w:p w14:paraId="200F14DF"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203 (94 ze spec. i 109 z kursem kwalif.)</w:t>
            </w:r>
          </w:p>
          <w:p w14:paraId="7DA077EA"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tc>
      </w:tr>
      <w:tr w:rsidR="00F9704B" w:rsidRPr="00F9704B" w14:paraId="035FBC5C"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06576C1"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F896A08"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Opieki paliatywnej</w:t>
            </w:r>
          </w:p>
        </w:tc>
        <w:tc>
          <w:tcPr>
            <w:tcW w:w="3973" w:type="dxa"/>
            <w:gridSpan w:val="2"/>
            <w:shd w:val="clear" w:color="auto" w:fill="FFFFFF" w:themeFill="background1"/>
          </w:tcPr>
          <w:p w14:paraId="65B59D48"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87 (48 ze spec. i 39 z kursem kwalif.)</w:t>
            </w:r>
          </w:p>
        </w:tc>
      </w:tr>
      <w:tr w:rsidR="00F9704B" w:rsidRPr="00F9704B" w14:paraId="36379A9A" w14:textId="77777777" w:rsidTr="00B337AF">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AC9C9CD"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hAnsi="Times New Roman"/>
                <w:color w:val="auto"/>
                <w:lang w:eastAsia="pl-PL"/>
              </w:rPr>
              <w:t>Najczęstsze przyczyny zgonów osób starszych</w:t>
            </w:r>
          </w:p>
        </w:tc>
        <w:tc>
          <w:tcPr>
            <w:tcW w:w="7938" w:type="dxa"/>
            <w:gridSpan w:val="6"/>
            <w:shd w:val="clear" w:color="auto" w:fill="9CC2E5" w:themeFill="accent1" w:themeFillTint="99"/>
          </w:tcPr>
          <w:p w14:paraId="7A4F6FAC"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Nazwa</w:t>
            </w:r>
          </w:p>
        </w:tc>
        <w:tc>
          <w:tcPr>
            <w:tcW w:w="3973" w:type="dxa"/>
            <w:gridSpan w:val="2"/>
            <w:shd w:val="clear" w:color="auto" w:fill="9CC2E5" w:themeFill="accent1" w:themeFillTint="99"/>
          </w:tcPr>
          <w:p w14:paraId="547C0E26"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Liczba osób starszych</w:t>
            </w:r>
          </w:p>
        </w:tc>
      </w:tr>
      <w:tr w:rsidR="00F9704B" w:rsidRPr="00F9704B" w14:paraId="55D994B8"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E32D4C6"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F1966B4"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b/>
                <w:color w:val="auto"/>
              </w:rPr>
              <w:t>1.</w:t>
            </w:r>
            <w:r w:rsidRPr="00F9704B">
              <w:rPr>
                <w:rFonts w:ascii="Times New Roman" w:hAnsi="Times New Roman"/>
                <w:color w:val="auto"/>
              </w:rPr>
              <w:t xml:space="preserve"> choroby układu krążenia</w:t>
            </w:r>
          </w:p>
        </w:tc>
        <w:tc>
          <w:tcPr>
            <w:tcW w:w="3973" w:type="dxa"/>
            <w:gridSpan w:val="2"/>
            <w:shd w:val="clear" w:color="auto" w:fill="FFFFFF" w:themeFill="background1"/>
          </w:tcPr>
          <w:p w14:paraId="1C85D8C4"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3 703</w:t>
            </w:r>
          </w:p>
        </w:tc>
      </w:tr>
      <w:tr w:rsidR="00F9704B" w:rsidRPr="00F9704B" w14:paraId="32AB4459" w14:textId="77777777" w:rsidTr="00F06986">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72B358E"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FB252D6"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b/>
                <w:color w:val="auto"/>
              </w:rPr>
              <w:t>2</w:t>
            </w:r>
            <w:r w:rsidRPr="00F9704B">
              <w:rPr>
                <w:rFonts w:ascii="Times New Roman" w:hAnsi="Times New Roman"/>
                <w:color w:val="auto"/>
              </w:rPr>
              <w:t>. nowotwory</w:t>
            </w:r>
          </w:p>
        </w:tc>
        <w:tc>
          <w:tcPr>
            <w:tcW w:w="3973" w:type="dxa"/>
            <w:gridSpan w:val="2"/>
            <w:shd w:val="clear" w:color="auto" w:fill="FFFFFF" w:themeFill="background1"/>
          </w:tcPr>
          <w:p w14:paraId="2720DC2C"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2 363</w:t>
            </w:r>
          </w:p>
        </w:tc>
      </w:tr>
      <w:tr w:rsidR="00F9704B" w:rsidRPr="00F9704B" w14:paraId="0F40A360" w14:textId="77777777" w:rsidTr="00F069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F69E54B"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C8E5BB7"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b/>
                <w:color w:val="auto"/>
              </w:rPr>
              <w:t>3</w:t>
            </w:r>
            <w:r w:rsidRPr="00F9704B">
              <w:rPr>
                <w:rFonts w:ascii="Times New Roman" w:hAnsi="Times New Roman"/>
                <w:color w:val="auto"/>
              </w:rPr>
              <w:t>. objawy, cechy chorobowe oraz nieprawidłowe wyniki badań laboratoryjnych i klinicznych</w:t>
            </w:r>
          </w:p>
        </w:tc>
        <w:tc>
          <w:tcPr>
            <w:tcW w:w="3973" w:type="dxa"/>
            <w:gridSpan w:val="2"/>
            <w:shd w:val="clear" w:color="auto" w:fill="FFFFFF" w:themeFill="background1"/>
          </w:tcPr>
          <w:p w14:paraId="0C6163DC" w14:textId="77777777" w:rsidR="00397459" w:rsidRPr="00F9704B" w:rsidRDefault="00397459" w:rsidP="00B337AF">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1 459</w:t>
            </w:r>
          </w:p>
        </w:tc>
      </w:tr>
      <w:tr w:rsidR="00F9704B" w:rsidRPr="00F9704B" w14:paraId="7B5ADDC4" w14:textId="77777777" w:rsidTr="00F06986">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DC8530C" w14:textId="77777777" w:rsidR="00397459" w:rsidRPr="00F9704B" w:rsidRDefault="00397459" w:rsidP="00B337AF">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926BD8A"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b/>
                <w:color w:val="auto"/>
              </w:rPr>
              <w:t>4.</w:t>
            </w:r>
            <w:r w:rsidRPr="00F9704B">
              <w:rPr>
                <w:rFonts w:ascii="Times New Roman" w:hAnsi="Times New Roman"/>
                <w:color w:val="auto"/>
              </w:rPr>
              <w:t>choroby układu oddechowego</w:t>
            </w:r>
          </w:p>
        </w:tc>
        <w:tc>
          <w:tcPr>
            <w:tcW w:w="3973" w:type="dxa"/>
            <w:gridSpan w:val="2"/>
            <w:shd w:val="clear" w:color="auto" w:fill="FFFFFF" w:themeFill="background1"/>
          </w:tcPr>
          <w:p w14:paraId="6E422A3A" w14:textId="77777777" w:rsidR="00397459" w:rsidRPr="00F9704B" w:rsidRDefault="00397459" w:rsidP="00B337AF">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559</w:t>
            </w:r>
          </w:p>
        </w:tc>
      </w:tr>
      <w:tr w:rsidR="00F9704B" w:rsidRPr="00F9704B" w14:paraId="044C2221" w14:textId="77777777" w:rsidTr="00F06986">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371E2DD"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5319151F" w14:textId="77777777" w:rsidR="00397459" w:rsidRPr="00F9704B" w:rsidRDefault="00397459" w:rsidP="00B337AF">
            <w:pPr>
              <w:tabs>
                <w:tab w:val="left" w:pos="1290"/>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b/>
                <w:color w:val="auto"/>
              </w:rPr>
              <w:t>1.</w:t>
            </w:r>
            <w:r w:rsidRPr="00F9704B">
              <w:rPr>
                <w:rFonts w:ascii="Times New Roman" w:hAnsi="Times New Roman"/>
                <w:color w:val="auto"/>
              </w:rPr>
              <w:t xml:space="preserve">Konsultant Wojewódzki w dziedzinie geriatrii zgłosił w swoim raporcie za 2019 r. problem z </w:t>
            </w:r>
            <w:r w:rsidRPr="00F9704B">
              <w:rPr>
                <w:rFonts w:ascii="Times New Roman" w:hAnsi="Times New Roman"/>
                <w:b/>
                <w:color w:val="auto"/>
              </w:rPr>
              <w:t>niską dostępnością do kadry lekarskiej oraz  pielęgniarek i opiekunów osób starszych</w:t>
            </w:r>
            <w:r w:rsidRPr="00F9704B">
              <w:rPr>
                <w:rFonts w:ascii="Times New Roman" w:hAnsi="Times New Roman"/>
                <w:color w:val="auto"/>
              </w:rPr>
              <w:t xml:space="preserve"> wyspecjalizowanych w opiece geriatrycznej. Zgłosił również </w:t>
            </w:r>
            <w:r w:rsidRPr="00F9704B">
              <w:rPr>
                <w:rFonts w:ascii="Times New Roman" w:hAnsi="Times New Roman"/>
                <w:b/>
                <w:color w:val="auto"/>
              </w:rPr>
              <w:t>potrzebę utworzenia</w:t>
            </w:r>
            <w:r w:rsidRPr="00F9704B">
              <w:rPr>
                <w:rFonts w:ascii="Times New Roman" w:hAnsi="Times New Roman"/>
                <w:color w:val="auto"/>
              </w:rPr>
              <w:t xml:space="preserve"> co najmniej jeszcze jednego ośrodka zapewniającego dostęp do możliwości kształcenia.</w:t>
            </w:r>
          </w:p>
        </w:tc>
      </w:tr>
      <w:tr w:rsidR="00F9704B" w:rsidRPr="00F9704B" w14:paraId="769BB0E3" w14:textId="77777777" w:rsidTr="00F06986">
        <w:trPr>
          <w:trHeight w:val="25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7C5F39F" w14:textId="77777777" w:rsidR="00397459" w:rsidRPr="00F9704B" w:rsidRDefault="00397459" w:rsidP="00B337AF">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00201E57"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b/>
                <w:color w:val="auto"/>
              </w:rPr>
              <w:t>2.</w:t>
            </w:r>
            <w:r w:rsidRPr="00F9704B">
              <w:rPr>
                <w:rFonts w:ascii="Times New Roman" w:eastAsia="Times New Roman" w:hAnsi="Times New Roman"/>
                <w:bCs/>
                <w:color w:val="auto"/>
                <w:lang w:eastAsia="pl-PL"/>
              </w:rPr>
              <w:t xml:space="preserve"> </w:t>
            </w:r>
            <w:r w:rsidRPr="00F9704B">
              <w:rPr>
                <w:rFonts w:ascii="Times New Roman" w:hAnsi="Times New Roman"/>
                <w:color w:val="auto"/>
              </w:rPr>
              <w:t xml:space="preserve">Zachodzi potrzeba </w:t>
            </w:r>
            <w:r w:rsidRPr="00F9704B">
              <w:rPr>
                <w:rFonts w:ascii="Times New Roman" w:hAnsi="Times New Roman"/>
                <w:b/>
                <w:color w:val="auto"/>
              </w:rPr>
              <w:t>dostosowania infrastruktury</w:t>
            </w:r>
            <w:r w:rsidRPr="00F9704B">
              <w:rPr>
                <w:rFonts w:ascii="Times New Roman" w:hAnsi="Times New Roman"/>
                <w:color w:val="auto"/>
              </w:rPr>
              <w:t xml:space="preserve"> do potrzeb osób starszych w zakresie niezbędnym z punktu widzenia udzielania świadczeń zdrowotnych, ze szczególnym uwzględnieniem równomiernego rozmieszczenia i kompleksowości oferowanych usług, dzięki czemu nastąpi poprawa efektywności i dostępu do tych świadczeń.  Prognozuje się, że nastąpi wzrost zapotrzebowania na świadczenia z zakresu chorób wewnętrznych, kardiologii oraz neurologii w grupie wiekowej 85+, co przełoży się na wzrost zapotrzebowania na łóżka w wymienionych oddziałach oraz oddziałach geriatrycznych.</w:t>
            </w:r>
          </w:p>
          <w:p w14:paraId="6B38A195"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tc>
      </w:tr>
      <w:tr w:rsidR="00F9704B" w:rsidRPr="00F9704B" w14:paraId="2559B224" w14:textId="77777777" w:rsidTr="00F0698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DDDE1EF" w14:textId="77777777" w:rsidR="00397459" w:rsidRPr="00F9704B" w:rsidRDefault="00397459" w:rsidP="00B337AF">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54317633"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*dane ze strony LOW NFZ/Gdzie się leczyć</w:t>
            </w:r>
          </w:p>
          <w:p w14:paraId="08905D58" w14:textId="77777777" w:rsidR="00397459" w:rsidRPr="00F9704B" w:rsidRDefault="00397459" w:rsidP="00B337AF">
            <w:pPr>
              <w:tabs>
                <w:tab w:val="left" w:pos="1290"/>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r>
      <w:tr w:rsidR="00F9704B" w:rsidRPr="00F9704B" w14:paraId="7D828C12" w14:textId="77777777" w:rsidTr="005E07E1">
        <w:trPr>
          <w:trHeight w:val="224"/>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7D13D941" w14:textId="77777777" w:rsidR="00397459" w:rsidRPr="005E07E1" w:rsidRDefault="00397459" w:rsidP="005E07E1">
            <w:pPr>
              <w:spacing w:after="0" w:line="240" w:lineRule="auto"/>
              <w:jc w:val="center"/>
              <w:rPr>
                <w:rFonts w:ascii="Times New Roman" w:hAnsi="Times New Roman"/>
                <w:color w:val="auto"/>
              </w:rPr>
            </w:pPr>
            <w:r w:rsidRPr="005E07E1">
              <w:rPr>
                <w:rFonts w:ascii="Times New Roman" w:hAnsi="Times New Roman"/>
                <w:color w:val="auto"/>
                <w:lang w:eastAsia="pl-PL"/>
              </w:rPr>
              <w:t>AKTYWNOŚĆ EKONOMICZNA OSÓB STARSZYCH – DANE ZA 2019 R.</w:t>
            </w:r>
          </w:p>
        </w:tc>
      </w:tr>
      <w:tr w:rsidR="00F9704B" w:rsidRPr="00F9704B" w14:paraId="60257931" w14:textId="77777777" w:rsidTr="005E07E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799" w:type="dxa"/>
            <w:gridSpan w:val="4"/>
            <w:shd w:val="clear" w:color="auto" w:fill="9CC2E5" w:themeFill="accent1" w:themeFillTint="99"/>
          </w:tcPr>
          <w:p w14:paraId="14447951" w14:textId="77777777" w:rsidR="00397459" w:rsidRPr="005E07E1" w:rsidRDefault="00397459" w:rsidP="005E07E1">
            <w:pPr>
              <w:spacing w:after="0" w:line="240" w:lineRule="auto"/>
              <w:jc w:val="center"/>
              <w:rPr>
                <w:rFonts w:ascii="Times New Roman" w:hAnsi="Times New Roman"/>
                <w:color w:val="auto"/>
              </w:rPr>
            </w:pPr>
            <w:r w:rsidRPr="005E07E1">
              <w:rPr>
                <w:rFonts w:ascii="Times New Roman" w:hAnsi="Times New Roman"/>
                <w:color w:val="auto"/>
              </w:rPr>
              <w:t>Podział</w:t>
            </w:r>
          </w:p>
        </w:tc>
        <w:tc>
          <w:tcPr>
            <w:tcW w:w="7942" w:type="dxa"/>
            <w:gridSpan w:val="5"/>
            <w:shd w:val="clear" w:color="auto" w:fill="9CC2E5" w:themeFill="accent1" w:themeFillTint="99"/>
          </w:tcPr>
          <w:p w14:paraId="21EEC5C2"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5E07E1">
              <w:rPr>
                <w:rFonts w:ascii="Times New Roman" w:hAnsi="Times New Roman"/>
                <w:b/>
                <w:color w:val="auto"/>
              </w:rPr>
              <w:t>Liczba</w:t>
            </w:r>
          </w:p>
        </w:tc>
      </w:tr>
      <w:tr w:rsidR="00F9704B" w:rsidRPr="00F9704B" w14:paraId="326CEF88" w14:textId="77777777" w:rsidTr="00F06986">
        <w:trPr>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8A74537"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hAnsi="Times New Roman"/>
                <w:color w:val="auto"/>
                <w:lang w:eastAsia="pl-PL"/>
              </w:rPr>
              <w:t>Osoby aktywne zawodowo razem (w tys.)</w:t>
            </w:r>
          </w:p>
        </w:tc>
        <w:tc>
          <w:tcPr>
            <w:tcW w:w="3969" w:type="dxa"/>
            <w:gridSpan w:val="3"/>
            <w:shd w:val="clear" w:color="auto" w:fill="FFFFFF" w:themeFill="background1"/>
          </w:tcPr>
          <w:p w14:paraId="6416FE7C"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ogółem</w:t>
            </w:r>
          </w:p>
        </w:tc>
        <w:tc>
          <w:tcPr>
            <w:tcW w:w="7942" w:type="dxa"/>
            <w:gridSpan w:val="5"/>
            <w:shd w:val="clear" w:color="auto" w:fill="FFFFFF" w:themeFill="background1"/>
          </w:tcPr>
          <w:p w14:paraId="612DBB07"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429</w:t>
            </w:r>
          </w:p>
        </w:tc>
      </w:tr>
      <w:tr w:rsidR="00F9704B" w:rsidRPr="00F9704B" w14:paraId="2B8E8D7D" w14:textId="77777777" w:rsidTr="00F0698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82E1524" w14:textId="77777777" w:rsidR="00397459" w:rsidRPr="00F9704B" w:rsidRDefault="00397459" w:rsidP="00B337AF">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3AEDCCA9"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w tym w wieku 60+</w:t>
            </w:r>
          </w:p>
        </w:tc>
        <w:tc>
          <w:tcPr>
            <w:tcW w:w="7942" w:type="dxa"/>
            <w:gridSpan w:val="5"/>
            <w:shd w:val="clear" w:color="auto" w:fill="FFFFFF" w:themeFill="background1"/>
          </w:tcPr>
          <w:p w14:paraId="4FD14D47"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80</w:t>
            </w:r>
          </w:p>
        </w:tc>
      </w:tr>
      <w:tr w:rsidR="00F9704B" w:rsidRPr="00F9704B" w14:paraId="3C3EEE80" w14:textId="77777777" w:rsidTr="00F06986">
        <w:trPr>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6D6AF15"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hAnsi="Times New Roman"/>
                <w:color w:val="auto"/>
                <w:lang w:eastAsia="pl-PL"/>
              </w:rPr>
              <w:t xml:space="preserve">Osoby aktywne zawodowo </w:t>
            </w:r>
            <w:r w:rsidRPr="00F9704B">
              <w:rPr>
                <w:rFonts w:ascii="Times New Roman" w:hAnsi="Times New Roman"/>
                <w:color w:val="auto"/>
                <w:lang w:eastAsia="pl-PL"/>
              </w:rPr>
              <w:br/>
              <w:t>– pracujący (w tys.)</w:t>
            </w:r>
          </w:p>
        </w:tc>
        <w:tc>
          <w:tcPr>
            <w:tcW w:w="3969" w:type="dxa"/>
            <w:gridSpan w:val="3"/>
            <w:shd w:val="clear" w:color="auto" w:fill="FFFFFF" w:themeFill="background1"/>
          </w:tcPr>
          <w:p w14:paraId="450774B9"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Ogółem</w:t>
            </w:r>
          </w:p>
        </w:tc>
        <w:tc>
          <w:tcPr>
            <w:tcW w:w="7942" w:type="dxa"/>
            <w:gridSpan w:val="5"/>
            <w:shd w:val="clear" w:color="auto" w:fill="FFFFFF" w:themeFill="background1"/>
          </w:tcPr>
          <w:p w14:paraId="4A15AA9C"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420</w:t>
            </w:r>
          </w:p>
        </w:tc>
      </w:tr>
      <w:tr w:rsidR="00F9704B" w:rsidRPr="00F9704B" w14:paraId="69BBD8A5" w14:textId="77777777" w:rsidTr="00F0698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5507772" w14:textId="77777777" w:rsidR="00397459" w:rsidRPr="00F9704B" w:rsidRDefault="00397459" w:rsidP="00B337AF">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0B032D2E"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w tym w wieku 60+</w:t>
            </w:r>
          </w:p>
        </w:tc>
        <w:tc>
          <w:tcPr>
            <w:tcW w:w="7942" w:type="dxa"/>
            <w:gridSpan w:val="5"/>
            <w:shd w:val="clear" w:color="auto" w:fill="FFFFFF" w:themeFill="background1"/>
          </w:tcPr>
          <w:p w14:paraId="13E8EC3F"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78</w:t>
            </w:r>
          </w:p>
        </w:tc>
      </w:tr>
      <w:tr w:rsidR="00F9704B" w:rsidRPr="00F9704B" w14:paraId="51653E9E" w14:textId="77777777" w:rsidTr="00F06986">
        <w:trPr>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6730EC7"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hAnsi="Times New Roman"/>
                <w:color w:val="auto"/>
                <w:lang w:eastAsia="pl-PL"/>
              </w:rPr>
              <w:t>Osoby bierne zawodowo (w tys.)</w:t>
            </w:r>
          </w:p>
        </w:tc>
        <w:tc>
          <w:tcPr>
            <w:tcW w:w="3969" w:type="dxa"/>
            <w:gridSpan w:val="3"/>
            <w:shd w:val="clear" w:color="auto" w:fill="FFFFFF" w:themeFill="background1"/>
          </w:tcPr>
          <w:p w14:paraId="670AC427"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ogółem</w:t>
            </w:r>
          </w:p>
        </w:tc>
        <w:tc>
          <w:tcPr>
            <w:tcW w:w="7942" w:type="dxa"/>
            <w:gridSpan w:val="5"/>
            <w:shd w:val="clear" w:color="auto" w:fill="FFFFFF" w:themeFill="background1"/>
          </w:tcPr>
          <w:p w14:paraId="23140089"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361</w:t>
            </w:r>
          </w:p>
        </w:tc>
      </w:tr>
      <w:tr w:rsidR="00F9704B" w:rsidRPr="00F9704B" w14:paraId="6875E1BC" w14:textId="77777777" w:rsidTr="00F06986">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4200BBD" w14:textId="77777777" w:rsidR="00397459" w:rsidRPr="00F9704B" w:rsidRDefault="00397459" w:rsidP="00B337AF">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4C6F316B"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w tym w wieku 60+</w:t>
            </w:r>
          </w:p>
        </w:tc>
        <w:tc>
          <w:tcPr>
            <w:tcW w:w="7942" w:type="dxa"/>
            <w:gridSpan w:val="5"/>
            <w:shd w:val="clear" w:color="auto" w:fill="FFFFFF" w:themeFill="background1"/>
          </w:tcPr>
          <w:p w14:paraId="60C7B4F4"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228</w:t>
            </w:r>
          </w:p>
        </w:tc>
      </w:tr>
      <w:tr w:rsidR="00F9704B" w:rsidRPr="00F9704B" w14:paraId="0AED9407" w14:textId="77777777" w:rsidTr="00F06986">
        <w:trPr>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D61D51F"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hAnsi="Times New Roman"/>
                <w:color w:val="auto"/>
                <w:lang w:eastAsia="pl-PL"/>
              </w:rPr>
              <w:t>Współczynnik aktywności zawodowej %</w:t>
            </w:r>
          </w:p>
        </w:tc>
        <w:tc>
          <w:tcPr>
            <w:tcW w:w="3969" w:type="dxa"/>
            <w:gridSpan w:val="3"/>
            <w:shd w:val="clear" w:color="auto" w:fill="FFFFFF" w:themeFill="background1"/>
          </w:tcPr>
          <w:p w14:paraId="7D39C858"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Ogółem</w:t>
            </w:r>
          </w:p>
        </w:tc>
        <w:tc>
          <w:tcPr>
            <w:tcW w:w="7942" w:type="dxa"/>
            <w:gridSpan w:val="5"/>
            <w:shd w:val="clear" w:color="auto" w:fill="FFFFFF" w:themeFill="background1"/>
          </w:tcPr>
          <w:p w14:paraId="2CC7E01D"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54,3</w:t>
            </w:r>
          </w:p>
        </w:tc>
      </w:tr>
      <w:tr w:rsidR="00F9704B" w:rsidRPr="00F9704B" w14:paraId="2FFFF131" w14:textId="77777777" w:rsidTr="00F0698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7547BB3" w14:textId="77777777" w:rsidR="00397459" w:rsidRPr="00F9704B" w:rsidRDefault="00397459" w:rsidP="00B337AF">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5F1A73D8"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w tym w wieku 60+</w:t>
            </w:r>
          </w:p>
        </w:tc>
        <w:tc>
          <w:tcPr>
            <w:tcW w:w="7942" w:type="dxa"/>
            <w:gridSpan w:val="5"/>
            <w:shd w:val="clear" w:color="auto" w:fill="FFFFFF" w:themeFill="background1"/>
          </w:tcPr>
          <w:p w14:paraId="14DAFBF0"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26</w:t>
            </w:r>
          </w:p>
        </w:tc>
      </w:tr>
      <w:tr w:rsidR="00F9704B" w:rsidRPr="00F9704B" w14:paraId="5C50925A" w14:textId="77777777" w:rsidTr="00F06986">
        <w:trPr>
          <w:trHeight w:val="14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8D4B7D3"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hAnsi="Times New Roman"/>
                <w:color w:val="auto"/>
                <w:lang w:eastAsia="pl-PL"/>
              </w:rPr>
              <w:lastRenderedPageBreak/>
              <w:t>Wskaźnik zatrudnienia %</w:t>
            </w:r>
          </w:p>
        </w:tc>
        <w:tc>
          <w:tcPr>
            <w:tcW w:w="3969" w:type="dxa"/>
            <w:gridSpan w:val="3"/>
            <w:shd w:val="clear" w:color="auto" w:fill="FFFFFF" w:themeFill="background1"/>
          </w:tcPr>
          <w:p w14:paraId="639CD704"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ogółem</w:t>
            </w:r>
          </w:p>
        </w:tc>
        <w:tc>
          <w:tcPr>
            <w:tcW w:w="7942" w:type="dxa"/>
            <w:gridSpan w:val="5"/>
            <w:shd w:val="clear" w:color="auto" w:fill="FFFFFF" w:themeFill="background1"/>
          </w:tcPr>
          <w:p w14:paraId="12F1AB98"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53,2</w:t>
            </w:r>
          </w:p>
        </w:tc>
      </w:tr>
      <w:tr w:rsidR="00F9704B" w:rsidRPr="00F9704B" w14:paraId="21A5F4DC" w14:textId="77777777" w:rsidTr="00F06986">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A0B6003" w14:textId="77777777" w:rsidR="00397459" w:rsidRPr="00F9704B" w:rsidRDefault="00397459" w:rsidP="00B337AF">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416F1A59"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w tym w wieku 60+</w:t>
            </w:r>
          </w:p>
        </w:tc>
        <w:tc>
          <w:tcPr>
            <w:tcW w:w="7942" w:type="dxa"/>
            <w:gridSpan w:val="5"/>
            <w:shd w:val="clear" w:color="auto" w:fill="FFFFFF" w:themeFill="background1"/>
          </w:tcPr>
          <w:p w14:paraId="5E529834"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25.3</w:t>
            </w:r>
          </w:p>
        </w:tc>
      </w:tr>
      <w:tr w:rsidR="00F9704B" w:rsidRPr="00F9704B" w14:paraId="27BE850E" w14:textId="77777777" w:rsidTr="00F06986">
        <w:trPr>
          <w:trHeight w:val="282"/>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6AF59F6"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eastAsia="Times New Roman" w:hAnsi="Times New Roman"/>
                <w:color w:val="auto"/>
                <w:lang w:eastAsia="pl-PL"/>
              </w:rPr>
              <w:t xml:space="preserve">Osoby bierne zawodowo  w wieku 60 lat i więcej według wybranych przyczyn bierności </w:t>
            </w:r>
            <w:r w:rsidRPr="00F9704B">
              <w:rPr>
                <w:rFonts w:ascii="Times New Roman" w:eastAsia="Times New Roman" w:hAnsi="Times New Roman"/>
                <w:color w:val="auto"/>
                <w:lang w:eastAsia="pl-PL"/>
              </w:rPr>
              <w:br/>
              <w:t>(w tys.)</w:t>
            </w:r>
          </w:p>
        </w:tc>
        <w:tc>
          <w:tcPr>
            <w:tcW w:w="3969" w:type="dxa"/>
            <w:gridSpan w:val="3"/>
            <w:shd w:val="clear" w:color="auto" w:fill="FFFFFF" w:themeFill="background1"/>
          </w:tcPr>
          <w:p w14:paraId="401B1B7E"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ogółem</w:t>
            </w:r>
          </w:p>
        </w:tc>
        <w:tc>
          <w:tcPr>
            <w:tcW w:w="7942" w:type="dxa"/>
            <w:gridSpan w:val="5"/>
            <w:shd w:val="clear" w:color="auto" w:fill="FFFFFF" w:themeFill="background1"/>
          </w:tcPr>
          <w:p w14:paraId="6AFA849E"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228</w:t>
            </w:r>
          </w:p>
        </w:tc>
      </w:tr>
      <w:tr w:rsidR="00F9704B" w:rsidRPr="00F9704B" w14:paraId="690E2A22" w14:textId="77777777" w:rsidTr="005E07E1">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303340A"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3CF04830"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w tym:</w:t>
            </w:r>
          </w:p>
        </w:tc>
      </w:tr>
      <w:tr w:rsidR="00F9704B" w:rsidRPr="00F9704B" w14:paraId="274719A6" w14:textId="77777777" w:rsidTr="00F06986">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F734C3E"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6540C3F5" w14:textId="77777777" w:rsidR="00397459" w:rsidRPr="00F06986"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pl-PL"/>
              </w:rPr>
            </w:pPr>
            <w:r w:rsidRPr="00F06986">
              <w:rPr>
                <w:rFonts w:ascii="Times New Roman" w:eastAsia="Times New Roman" w:hAnsi="Times New Roman"/>
                <w:color w:val="auto"/>
                <w:lang w:eastAsia="pl-PL"/>
              </w:rPr>
              <w:t>osoby nieposzukujące pracy - razem</w:t>
            </w:r>
          </w:p>
        </w:tc>
        <w:tc>
          <w:tcPr>
            <w:tcW w:w="7942" w:type="dxa"/>
            <w:gridSpan w:val="5"/>
            <w:shd w:val="clear" w:color="auto" w:fill="FFFFFF" w:themeFill="background1"/>
          </w:tcPr>
          <w:p w14:paraId="00AA7B41"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Brak danych</w:t>
            </w:r>
          </w:p>
        </w:tc>
      </w:tr>
      <w:tr w:rsidR="00F9704B" w:rsidRPr="00F9704B" w14:paraId="6AE336C3" w14:textId="77777777" w:rsidTr="00F06986">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DAFAF26"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07DF32D7" w14:textId="77777777" w:rsidR="00397459" w:rsidRPr="00F06986"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06986">
              <w:rPr>
                <w:rFonts w:ascii="Times New Roman" w:eastAsia="Times New Roman" w:hAnsi="Times New Roman"/>
                <w:color w:val="auto"/>
                <w:lang w:eastAsia="pl-PL"/>
              </w:rPr>
              <w:t>osoby nieposzukujące pracy - emerytura</w:t>
            </w:r>
          </w:p>
        </w:tc>
        <w:tc>
          <w:tcPr>
            <w:tcW w:w="7942" w:type="dxa"/>
            <w:gridSpan w:val="5"/>
            <w:shd w:val="clear" w:color="auto" w:fill="FFFFFF" w:themeFill="background1"/>
          </w:tcPr>
          <w:p w14:paraId="18AE1EE0"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Brak danych</w:t>
            </w:r>
          </w:p>
        </w:tc>
      </w:tr>
      <w:tr w:rsidR="00F9704B" w:rsidRPr="00F9704B" w14:paraId="0E742E3D" w14:textId="77777777" w:rsidTr="00F06986">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9B8CA4E"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3135E8BB" w14:textId="77777777" w:rsidR="00397459" w:rsidRPr="00F06986"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06986">
              <w:rPr>
                <w:rFonts w:ascii="Times New Roman" w:eastAsia="Times New Roman" w:hAnsi="Times New Roman"/>
                <w:color w:val="auto"/>
                <w:lang w:eastAsia="pl-PL"/>
              </w:rPr>
              <w:t>osoby nieposzukujące pracy - choroba, niepełnosprawność</w:t>
            </w:r>
          </w:p>
        </w:tc>
        <w:tc>
          <w:tcPr>
            <w:tcW w:w="7942" w:type="dxa"/>
            <w:gridSpan w:val="5"/>
            <w:shd w:val="clear" w:color="auto" w:fill="FFFFFF" w:themeFill="background1"/>
          </w:tcPr>
          <w:p w14:paraId="7C2E11F7"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Brak danych</w:t>
            </w:r>
          </w:p>
        </w:tc>
      </w:tr>
      <w:tr w:rsidR="00F9704B" w:rsidRPr="00F9704B" w14:paraId="3EEE71BD" w14:textId="77777777" w:rsidTr="00F06986">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A1E973B"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r w:rsidRPr="00F9704B">
              <w:rPr>
                <w:rFonts w:ascii="Times New Roman" w:eastAsia="Times New Roman" w:hAnsi="Times New Roman"/>
                <w:color w:val="auto"/>
                <w:lang w:eastAsia="pl-PL"/>
              </w:rPr>
              <w:t>Osoby bezrobotne zarejestrowane w urzędach pracy (w tys.)</w:t>
            </w:r>
          </w:p>
        </w:tc>
        <w:tc>
          <w:tcPr>
            <w:tcW w:w="3969" w:type="dxa"/>
            <w:gridSpan w:val="3"/>
            <w:shd w:val="clear" w:color="auto" w:fill="FFFFFF" w:themeFill="background1"/>
          </w:tcPr>
          <w:p w14:paraId="229C6756" w14:textId="77777777" w:rsidR="00397459" w:rsidRPr="00F06986"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ogółem</w:t>
            </w:r>
          </w:p>
        </w:tc>
        <w:tc>
          <w:tcPr>
            <w:tcW w:w="7942" w:type="dxa"/>
            <w:gridSpan w:val="5"/>
            <w:shd w:val="clear" w:color="auto" w:fill="FFFFFF" w:themeFill="background1"/>
          </w:tcPr>
          <w:p w14:paraId="65350ADB"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18,5</w:t>
            </w:r>
          </w:p>
        </w:tc>
      </w:tr>
      <w:tr w:rsidR="00F9704B" w:rsidRPr="00F9704B" w14:paraId="607D8EEF" w14:textId="77777777" w:rsidTr="00F06986">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C8E3501"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56943CEE" w14:textId="77777777" w:rsidR="00397459" w:rsidRPr="00F06986"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w tym w wieku 60+</w:t>
            </w:r>
          </w:p>
        </w:tc>
        <w:tc>
          <w:tcPr>
            <w:tcW w:w="7942" w:type="dxa"/>
            <w:gridSpan w:val="5"/>
            <w:shd w:val="clear" w:color="auto" w:fill="FFFFFF" w:themeFill="background1"/>
          </w:tcPr>
          <w:p w14:paraId="0FF260F0" w14:textId="1D959ECD" w:rsidR="00397459" w:rsidRPr="00F9704B" w:rsidRDefault="005A30AA"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1,4</w:t>
            </w:r>
          </w:p>
        </w:tc>
      </w:tr>
      <w:tr w:rsidR="00F9704B" w:rsidRPr="00F9704B" w14:paraId="4B119C7A" w14:textId="77777777" w:rsidTr="005E07E1">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BE1460F"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r w:rsidRPr="00F9704B">
              <w:rPr>
                <w:rFonts w:ascii="Times New Roman" w:eastAsia="Times New Roman" w:hAnsi="Times New Roman"/>
                <w:color w:val="auto"/>
                <w:lang w:eastAsia="pl-PL"/>
              </w:rPr>
              <w:t xml:space="preserve">Osoby pobierające renty </w:t>
            </w:r>
            <w:r w:rsidRPr="00F9704B">
              <w:rPr>
                <w:rFonts w:ascii="Times New Roman" w:eastAsia="Times New Roman" w:hAnsi="Times New Roman"/>
                <w:color w:val="auto"/>
                <w:lang w:eastAsia="pl-PL"/>
              </w:rPr>
              <w:br/>
              <w:t xml:space="preserve">i emerytury </w:t>
            </w:r>
          </w:p>
        </w:tc>
        <w:tc>
          <w:tcPr>
            <w:tcW w:w="11911" w:type="dxa"/>
            <w:gridSpan w:val="8"/>
            <w:shd w:val="clear" w:color="auto" w:fill="9CC2E5" w:themeFill="accent1" w:themeFillTint="99"/>
          </w:tcPr>
          <w:p w14:paraId="1C49821F" w14:textId="77777777" w:rsidR="00397459" w:rsidRPr="005E07E1" w:rsidRDefault="00397459" w:rsidP="005E07E1">
            <w:pPr>
              <w:tabs>
                <w:tab w:val="left" w:pos="1725"/>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5E07E1">
              <w:rPr>
                <w:rFonts w:ascii="Times New Roman" w:hAnsi="Times New Roman"/>
                <w:b/>
                <w:color w:val="auto"/>
              </w:rPr>
              <w:t>ZUS</w:t>
            </w:r>
          </w:p>
        </w:tc>
      </w:tr>
      <w:tr w:rsidR="00F9704B" w:rsidRPr="00F9704B" w14:paraId="478763EA" w14:textId="77777777" w:rsidTr="005E07E1">
        <w:trPr>
          <w:trHeight w:val="18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DACDD84"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6BBB120D"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5E07E1">
              <w:rPr>
                <w:rFonts w:ascii="Times New Roman" w:hAnsi="Times New Roman"/>
                <w:b/>
                <w:color w:val="auto"/>
              </w:rPr>
              <w:t>Rodzaj świadczenia</w:t>
            </w:r>
          </w:p>
        </w:tc>
        <w:tc>
          <w:tcPr>
            <w:tcW w:w="7942" w:type="dxa"/>
            <w:gridSpan w:val="5"/>
            <w:shd w:val="clear" w:color="auto" w:fill="9CC2E5" w:themeFill="accent1" w:themeFillTint="99"/>
          </w:tcPr>
          <w:p w14:paraId="02B07BBB"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5E07E1">
              <w:rPr>
                <w:rFonts w:ascii="Times New Roman" w:hAnsi="Times New Roman"/>
                <w:b/>
                <w:color w:val="auto"/>
              </w:rPr>
              <w:t>Przeciętna miesięczna liczba emerytów i rencistów (w tys.)</w:t>
            </w:r>
          </w:p>
        </w:tc>
      </w:tr>
      <w:tr w:rsidR="00F9704B" w:rsidRPr="00F9704B" w14:paraId="4B414DB7" w14:textId="77777777" w:rsidTr="00F06986">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010DD94"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21151E2" w14:textId="77777777" w:rsidR="00397459" w:rsidRPr="00F06986"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Emerytury</w:t>
            </w:r>
          </w:p>
        </w:tc>
        <w:tc>
          <w:tcPr>
            <w:tcW w:w="7942" w:type="dxa"/>
            <w:gridSpan w:val="5"/>
            <w:shd w:val="clear" w:color="auto" w:fill="FFFFFF" w:themeFill="background1"/>
          </w:tcPr>
          <w:p w14:paraId="3D7EF9C8"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156,7</w:t>
            </w:r>
          </w:p>
        </w:tc>
      </w:tr>
      <w:tr w:rsidR="00F9704B" w:rsidRPr="00F9704B" w14:paraId="11E99A03" w14:textId="77777777" w:rsidTr="00F06986">
        <w:trPr>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34F3A14"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3173C784" w14:textId="77777777" w:rsidR="00397459" w:rsidRPr="00F06986"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Renty z tytułu niezdolności do pracy</w:t>
            </w:r>
          </w:p>
        </w:tc>
        <w:tc>
          <w:tcPr>
            <w:tcW w:w="7942" w:type="dxa"/>
            <w:gridSpan w:val="5"/>
            <w:shd w:val="clear" w:color="auto" w:fill="FFFFFF" w:themeFill="background1"/>
          </w:tcPr>
          <w:p w14:paraId="41B9D9E9"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12,9</w:t>
            </w:r>
          </w:p>
        </w:tc>
      </w:tr>
      <w:tr w:rsidR="00F9704B" w:rsidRPr="00F9704B" w14:paraId="78B16483" w14:textId="77777777" w:rsidTr="00F06986">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9C61AD0"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4FFF8078" w14:textId="77777777" w:rsidR="00397459" w:rsidRPr="00F06986"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Renty rodzinne</w:t>
            </w:r>
          </w:p>
        </w:tc>
        <w:tc>
          <w:tcPr>
            <w:tcW w:w="7942" w:type="dxa"/>
            <w:gridSpan w:val="5"/>
            <w:shd w:val="clear" w:color="auto" w:fill="FFFFFF" w:themeFill="background1"/>
          </w:tcPr>
          <w:p w14:paraId="17F04C72"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23,9</w:t>
            </w:r>
          </w:p>
        </w:tc>
      </w:tr>
      <w:tr w:rsidR="00F9704B" w:rsidRPr="00F9704B" w14:paraId="0FE7A2EA" w14:textId="77777777" w:rsidTr="005E07E1">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869F125"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23550683" w14:textId="77777777" w:rsidR="00397459" w:rsidRPr="00F9704B" w:rsidRDefault="00397459" w:rsidP="005E07E1">
            <w:pPr>
              <w:tabs>
                <w:tab w:val="left" w:pos="1507"/>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KRUS</w:t>
            </w:r>
          </w:p>
        </w:tc>
      </w:tr>
      <w:tr w:rsidR="00F9704B" w:rsidRPr="00F9704B" w14:paraId="45B7B27A" w14:textId="77777777" w:rsidTr="005E07E1">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4619DE2"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6FF2CDC0"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Rodzaj świadczenia</w:t>
            </w:r>
          </w:p>
        </w:tc>
        <w:tc>
          <w:tcPr>
            <w:tcW w:w="7942" w:type="dxa"/>
            <w:gridSpan w:val="5"/>
            <w:shd w:val="clear" w:color="auto" w:fill="9CC2E5" w:themeFill="accent1" w:themeFillTint="99"/>
          </w:tcPr>
          <w:p w14:paraId="50CC391B"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Przeciętna miesięczna liczba emerytów i rencistów (w tys.)</w:t>
            </w:r>
          </w:p>
        </w:tc>
      </w:tr>
      <w:tr w:rsidR="00F9704B" w:rsidRPr="00F9704B" w14:paraId="5DFDE18F" w14:textId="77777777" w:rsidTr="00F06986">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346BADA"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3B7B1071" w14:textId="77777777" w:rsidR="00397459" w:rsidRPr="00F06986"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Emerytury</w:t>
            </w:r>
          </w:p>
        </w:tc>
        <w:tc>
          <w:tcPr>
            <w:tcW w:w="7942" w:type="dxa"/>
            <w:gridSpan w:val="5"/>
            <w:shd w:val="clear" w:color="auto" w:fill="FFFFFF" w:themeFill="background1"/>
          </w:tcPr>
          <w:p w14:paraId="7B329152"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11,8</w:t>
            </w:r>
          </w:p>
        </w:tc>
      </w:tr>
      <w:tr w:rsidR="00F9704B" w:rsidRPr="00F9704B" w14:paraId="5566DABC" w14:textId="77777777" w:rsidTr="00F069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FC32501"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2C6F9372" w14:textId="77777777" w:rsidR="00397459" w:rsidRPr="00F06986"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Renty z tytułu niezdolności do pracy</w:t>
            </w:r>
          </w:p>
        </w:tc>
        <w:tc>
          <w:tcPr>
            <w:tcW w:w="7942" w:type="dxa"/>
            <w:gridSpan w:val="5"/>
            <w:shd w:val="clear" w:color="auto" w:fill="FFFFFF" w:themeFill="background1"/>
          </w:tcPr>
          <w:p w14:paraId="4F784E76"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3,2</w:t>
            </w:r>
          </w:p>
        </w:tc>
      </w:tr>
      <w:tr w:rsidR="00F9704B" w:rsidRPr="00F9704B" w14:paraId="06BE5CEA" w14:textId="77777777" w:rsidTr="00F06986">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5E23E47"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337C1DC8" w14:textId="77777777" w:rsidR="00397459" w:rsidRPr="00F06986"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Renty rodzinne</w:t>
            </w:r>
          </w:p>
        </w:tc>
        <w:tc>
          <w:tcPr>
            <w:tcW w:w="7942" w:type="dxa"/>
            <w:gridSpan w:val="5"/>
            <w:shd w:val="clear" w:color="auto" w:fill="FFFFFF" w:themeFill="background1"/>
          </w:tcPr>
          <w:p w14:paraId="3B8F6264"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0,59</w:t>
            </w:r>
          </w:p>
        </w:tc>
      </w:tr>
      <w:tr w:rsidR="00F9704B" w:rsidRPr="00F9704B" w14:paraId="0C8F0FBD" w14:textId="77777777" w:rsidTr="005E07E1">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4FFF3487" w14:textId="6F582D50" w:rsidR="00397459" w:rsidRPr="00F9704B" w:rsidRDefault="00397459" w:rsidP="005E07E1">
            <w:pPr>
              <w:spacing w:after="0" w:line="240" w:lineRule="auto"/>
              <w:jc w:val="center"/>
              <w:rPr>
                <w:rFonts w:ascii="Times New Roman" w:hAnsi="Times New Roman"/>
                <w:color w:val="auto"/>
              </w:rPr>
            </w:pPr>
            <w:r w:rsidRPr="00F9704B">
              <w:rPr>
                <w:rFonts w:ascii="Times New Roman" w:hAnsi="Times New Roman"/>
                <w:color w:val="auto"/>
              </w:rPr>
              <w:t>SYTUACJA DOCHODOWA, WARUNKI BYTU, W TYM WARUNKI MIESZKANIOWE – DANE ZA 2019 R.</w:t>
            </w:r>
          </w:p>
        </w:tc>
      </w:tr>
      <w:tr w:rsidR="00F9704B" w:rsidRPr="00F9704B" w14:paraId="49F00CB2" w14:textId="77777777" w:rsidTr="00B337AF">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tcPr>
          <w:p w14:paraId="675B8054" w14:textId="77777777" w:rsidR="00397459" w:rsidRPr="00F9704B" w:rsidRDefault="00397459" w:rsidP="00B337AF">
            <w:pPr>
              <w:spacing w:after="0" w:line="240" w:lineRule="auto"/>
              <w:rPr>
                <w:rFonts w:ascii="Times New Roman" w:hAnsi="Times New Roman"/>
                <w:b w:val="0"/>
                <w:color w:val="auto"/>
              </w:rPr>
            </w:pPr>
            <w:r w:rsidRPr="00F9704B">
              <w:rPr>
                <w:rFonts w:ascii="Times New Roman" w:hAnsi="Times New Roman"/>
                <w:b w:val="0"/>
                <w:color w:val="auto"/>
              </w:rPr>
              <w:t>Przeciętne miesięczne wynagrodzenie brutto w sektorze przedsiębiorstw województwa lubuskiego w grudniu 2019 r. wyniosło 4 827,12 zł, tj. o 3,7% więcej niż przed rokiem (wobec wzrostu w grudniu 2018 r. o 9,1%). Wzrost przeciętnego wynagrodzenia w skali roku zaobserwowano w większości rodzajów działalności, w tym m.in. w sekcjach: działalność profesjonalna, naukowa i techniczna (o 14,7%), administrowanie i działalność wspierająca (o 11,2%), dostawa wody; gospodarowanie ściekami i odpadami; rekultywacja (o 7,3%), zakwaterowanie i gastronomia (o 7,1%), handel; naprawa pojazdów samochodowych (o 6,8%), przetwórstwo przemysłowe (o 4,2%), obsługa rynku nieruchomości (o 3,5%), budownictwo (o 2,3%) oraz informacja i komunikacja (o 1,4%). Spadek przeciętnego wynagrodzenia w skali roku zaobserwowano m.in. w sekcji transport i gospodarka magazynowa (o 1,0%).</w:t>
            </w:r>
            <w:r w:rsidRPr="00F9704B">
              <w:rPr>
                <w:rStyle w:val="Odwoanieprzypisudolnego"/>
                <w:rFonts w:ascii="Times New Roman" w:hAnsi="Times New Roman"/>
                <w:b w:val="0"/>
                <w:color w:val="auto"/>
              </w:rPr>
              <w:footnoteReference w:id="95"/>
            </w:r>
          </w:p>
          <w:p w14:paraId="6F9A35DB" w14:textId="249C90BE" w:rsidR="00397459" w:rsidRPr="00F9704B" w:rsidRDefault="00397459" w:rsidP="00B337AF">
            <w:pPr>
              <w:spacing w:after="0" w:line="240" w:lineRule="auto"/>
              <w:rPr>
                <w:rFonts w:ascii="Times New Roman" w:hAnsi="Times New Roman"/>
                <w:bCs w:val="0"/>
                <w:color w:val="auto"/>
              </w:rPr>
            </w:pPr>
            <w:r w:rsidRPr="00F9704B">
              <w:rPr>
                <w:rFonts w:ascii="Times New Roman" w:hAnsi="Times New Roman"/>
                <w:b w:val="0"/>
                <w:color w:val="auto"/>
              </w:rPr>
              <w:lastRenderedPageBreak/>
              <w:t>Z analizy postępowań kontrolnych, rodzinnych wywiadów środowiskowych, wynika, że osoby starsze zazwyczaj posiadają stałe źródło dochodu świadczenie emerytalne lub rentowe. Osoby, które nie pobierają ww. świadczeń otrzymują z systemu pomocy społecznej: zasiłek stały  z tytułu wieku lub niepełnosprawności - w 2019 r. pobierało go 2 667 osób. Niejednokrotnie dochód osoby starszej wchodzi w skład dochodu rodziny, tj. wspólnie mieszkających i gospodarujących dorosłych dzieci. W takich sytuacjach osobom starszym brakuje środków na leczenie tj. na zakup leków czy dojazdy do lekarzy specjalistów. Często zatem, zwracają się o pomoc w formie zasiłku celowego - w 2019</w:t>
            </w:r>
            <w:r w:rsidR="00466C93" w:rsidRPr="00F9704B">
              <w:rPr>
                <w:rFonts w:ascii="Times New Roman" w:hAnsi="Times New Roman"/>
                <w:b w:val="0"/>
                <w:color w:val="auto"/>
              </w:rPr>
              <w:t xml:space="preserve"> r.</w:t>
            </w:r>
            <w:r w:rsidRPr="00F9704B">
              <w:rPr>
                <w:rFonts w:ascii="Times New Roman" w:hAnsi="Times New Roman"/>
                <w:b w:val="0"/>
                <w:color w:val="auto"/>
              </w:rPr>
              <w:t xml:space="preserve"> został wypłacony 2 393 osobom. Sytuacja mieszkaniowa osób starszych jest dobra, niejednokrotnie posiadają samodzielne mieszkanie, które jest dobrze wyposażone. Jedynym mankamentem może być brak środków na opał, gdyż najczęściej mieszkają w starej przedwojennej zabudowie. Osoby starsze woj. lubuskiego, w swoim budżecie najwięcej środków przeznaczają na zdrowie, co jest zjawiskiem od wielu lat szczególnie niepokojącym. Może wskazywać to na gotowość poświęcenia swojego zdrowia dla równoważenia domowych budżetów.</w:t>
            </w:r>
          </w:p>
          <w:p w14:paraId="0A1104C1" w14:textId="77777777" w:rsidR="00397459" w:rsidRPr="00F9704B" w:rsidRDefault="00397459" w:rsidP="00B337AF">
            <w:pPr>
              <w:spacing w:after="0" w:line="240" w:lineRule="auto"/>
              <w:rPr>
                <w:rFonts w:ascii="Times New Roman" w:hAnsi="Times New Roman"/>
                <w:b w:val="0"/>
                <w:color w:val="auto"/>
              </w:rPr>
            </w:pPr>
          </w:p>
        </w:tc>
      </w:tr>
      <w:tr w:rsidR="00F9704B" w:rsidRPr="00F9704B" w14:paraId="6133C2E5" w14:textId="77777777" w:rsidTr="005E07E1">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11255B7F" w14:textId="0290B8EF" w:rsidR="00397459" w:rsidRPr="00F9704B" w:rsidRDefault="00397459" w:rsidP="005E07E1">
            <w:pPr>
              <w:spacing w:after="0" w:line="240" w:lineRule="auto"/>
              <w:jc w:val="center"/>
              <w:rPr>
                <w:rFonts w:ascii="Times New Roman" w:hAnsi="Times New Roman"/>
                <w:color w:val="auto"/>
              </w:rPr>
            </w:pPr>
            <w:r w:rsidRPr="00F9704B">
              <w:rPr>
                <w:rFonts w:ascii="Times New Roman" w:hAnsi="Times New Roman"/>
                <w:color w:val="auto"/>
              </w:rPr>
              <w:lastRenderedPageBreak/>
              <w:t>USŁUGI SPOŁECZNE DLA OSÓB STARSZYCH / INFRASTRUKTURA POMOCY SPOLECZNEJ – DANE ZA 2019 R.</w:t>
            </w:r>
          </w:p>
        </w:tc>
      </w:tr>
      <w:tr w:rsidR="00F9704B" w:rsidRPr="00F9704B" w14:paraId="18B911AC" w14:textId="77777777" w:rsidTr="005E07E1">
        <w:trPr>
          <w:trHeight w:val="6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9C8A808"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r w:rsidRPr="00F9704B">
              <w:rPr>
                <w:rFonts w:ascii="Times New Roman" w:eastAsia="Times New Roman" w:hAnsi="Times New Roman"/>
                <w:color w:val="auto"/>
                <w:lang w:eastAsia="pl-PL"/>
              </w:rPr>
              <w:t>Instytucje pomocy społecznej, w tym:</w:t>
            </w:r>
          </w:p>
        </w:tc>
        <w:tc>
          <w:tcPr>
            <w:tcW w:w="3066" w:type="dxa"/>
            <w:shd w:val="clear" w:color="auto" w:fill="9CC2E5" w:themeFill="accent1" w:themeFillTint="99"/>
          </w:tcPr>
          <w:p w14:paraId="41E2F068"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F9704B">
              <w:rPr>
                <w:rFonts w:ascii="Times New Roman" w:hAnsi="Times New Roman"/>
                <w:b/>
                <w:color w:val="auto"/>
              </w:rPr>
              <w:t>Rodzaj placówki</w:t>
            </w:r>
          </w:p>
        </w:tc>
        <w:tc>
          <w:tcPr>
            <w:tcW w:w="2948" w:type="dxa"/>
            <w:gridSpan w:val="3"/>
            <w:shd w:val="clear" w:color="auto" w:fill="9CC2E5" w:themeFill="accent1" w:themeFillTint="99"/>
          </w:tcPr>
          <w:p w14:paraId="3A2D93C8"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F9704B">
              <w:rPr>
                <w:rFonts w:ascii="Times New Roman" w:hAnsi="Times New Roman"/>
                <w:b/>
                <w:color w:val="auto"/>
              </w:rPr>
              <w:t>Liczba placówek</w:t>
            </w:r>
          </w:p>
        </w:tc>
        <w:tc>
          <w:tcPr>
            <w:tcW w:w="2948" w:type="dxa"/>
            <w:gridSpan w:val="3"/>
            <w:shd w:val="clear" w:color="auto" w:fill="9CC2E5" w:themeFill="accent1" w:themeFillTint="99"/>
          </w:tcPr>
          <w:p w14:paraId="018B3CDF"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F9704B">
              <w:rPr>
                <w:rFonts w:ascii="Times New Roman" w:hAnsi="Times New Roman"/>
                <w:b/>
                <w:color w:val="auto"/>
              </w:rPr>
              <w:t>Liczba miejsc dla osób starszych</w:t>
            </w:r>
          </w:p>
        </w:tc>
        <w:tc>
          <w:tcPr>
            <w:tcW w:w="2949" w:type="dxa"/>
            <w:shd w:val="clear" w:color="auto" w:fill="9CC2E5" w:themeFill="accent1" w:themeFillTint="99"/>
          </w:tcPr>
          <w:p w14:paraId="55AAE8FD"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Liczba korzystających osób starszych</w:t>
            </w:r>
          </w:p>
        </w:tc>
      </w:tr>
      <w:tr w:rsidR="00F9704B" w:rsidRPr="00F9704B" w14:paraId="4AB956C1" w14:textId="77777777" w:rsidTr="00F069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0EE7B7AC"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A7E0032" w14:textId="77777777" w:rsidR="00397459" w:rsidRPr="00644F0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Ośrodki wsparcia ogółem</w:t>
            </w:r>
          </w:p>
        </w:tc>
        <w:tc>
          <w:tcPr>
            <w:tcW w:w="2948" w:type="dxa"/>
            <w:gridSpan w:val="3"/>
            <w:shd w:val="clear" w:color="auto" w:fill="FFFFFF" w:themeFill="background1"/>
          </w:tcPr>
          <w:p w14:paraId="7EDA7FA3"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194</w:t>
            </w:r>
          </w:p>
        </w:tc>
        <w:tc>
          <w:tcPr>
            <w:tcW w:w="2948" w:type="dxa"/>
            <w:gridSpan w:val="3"/>
            <w:shd w:val="clear" w:color="auto" w:fill="FFFFFF" w:themeFill="background1"/>
          </w:tcPr>
          <w:p w14:paraId="1F5F8BA0"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5 196</w:t>
            </w:r>
          </w:p>
        </w:tc>
        <w:tc>
          <w:tcPr>
            <w:tcW w:w="2949" w:type="dxa"/>
            <w:shd w:val="clear" w:color="auto" w:fill="FFFFFF" w:themeFill="background1"/>
          </w:tcPr>
          <w:p w14:paraId="2F7C32E5"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13 774</w:t>
            </w:r>
          </w:p>
        </w:tc>
      </w:tr>
      <w:tr w:rsidR="00F9704B" w:rsidRPr="00F9704B" w14:paraId="57AD596B" w14:textId="77777777" w:rsidTr="005E07E1">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342029B"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11911" w:type="dxa"/>
            <w:gridSpan w:val="8"/>
            <w:shd w:val="clear" w:color="auto" w:fill="9CC2E5" w:themeFill="accent1" w:themeFillTint="99"/>
          </w:tcPr>
          <w:p w14:paraId="566ABBA4" w14:textId="77777777" w:rsidR="00397459" w:rsidRPr="005E07E1"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5E07E1">
              <w:rPr>
                <w:rFonts w:ascii="Times New Roman" w:hAnsi="Times New Roman"/>
                <w:b/>
                <w:color w:val="auto"/>
              </w:rPr>
              <w:t>w tym:</w:t>
            </w:r>
          </w:p>
        </w:tc>
      </w:tr>
      <w:tr w:rsidR="00F9704B" w:rsidRPr="00F9704B" w14:paraId="2330F885" w14:textId="77777777" w:rsidTr="00F069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304C4BB8"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7A019041" w14:textId="77777777" w:rsidR="00397459" w:rsidRPr="00644F0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Środowiskowe Domy Samopomocy</w:t>
            </w:r>
          </w:p>
        </w:tc>
        <w:tc>
          <w:tcPr>
            <w:tcW w:w="2948" w:type="dxa"/>
            <w:gridSpan w:val="3"/>
            <w:shd w:val="clear" w:color="auto" w:fill="FFFFFF" w:themeFill="background1"/>
          </w:tcPr>
          <w:p w14:paraId="29081995"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33</w:t>
            </w:r>
          </w:p>
        </w:tc>
        <w:tc>
          <w:tcPr>
            <w:tcW w:w="2948" w:type="dxa"/>
            <w:gridSpan w:val="3"/>
            <w:shd w:val="clear" w:color="auto" w:fill="FFFFFF" w:themeFill="background1"/>
          </w:tcPr>
          <w:p w14:paraId="36CA284B"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959</w:t>
            </w:r>
          </w:p>
        </w:tc>
        <w:tc>
          <w:tcPr>
            <w:tcW w:w="2949" w:type="dxa"/>
            <w:shd w:val="clear" w:color="auto" w:fill="FFFFFF" w:themeFill="background1"/>
          </w:tcPr>
          <w:p w14:paraId="0478A3CF"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1021</w:t>
            </w:r>
          </w:p>
        </w:tc>
      </w:tr>
      <w:tr w:rsidR="00F9704B" w:rsidRPr="00F9704B" w14:paraId="7ACB723C" w14:textId="77777777" w:rsidTr="00F0698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28BAC243"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1FBB43CE" w14:textId="77777777" w:rsidR="00397459" w:rsidRPr="00644F0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Dzienne Domy Pomocy</w:t>
            </w:r>
          </w:p>
        </w:tc>
        <w:tc>
          <w:tcPr>
            <w:tcW w:w="2948" w:type="dxa"/>
            <w:gridSpan w:val="3"/>
            <w:shd w:val="clear" w:color="auto" w:fill="FFFFFF" w:themeFill="background1"/>
          </w:tcPr>
          <w:p w14:paraId="6E2509E7"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7</w:t>
            </w:r>
          </w:p>
        </w:tc>
        <w:tc>
          <w:tcPr>
            <w:tcW w:w="2948" w:type="dxa"/>
            <w:gridSpan w:val="3"/>
            <w:shd w:val="clear" w:color="auto" w:fill="FFFFFF" w:themeFill="background1"/>
          </w:tcPr>
          <w:p w14:paraId="1DF9DB7B"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175</w:t>
            </w:r>
          </w:p>
        </w:tc>
        <w:tc>
          <w:tcPr>
            <w:tcW w:w="2949" w:type="dxa"/>
            <w:shd w:val="clear" w:color="auto" w:fill="FFFFFF" w:themeFill="background1"/>
          </w:tcPr>
          <w:p w14:paraId="1565BB34"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205</w:t>
            </w:r>
          </w:p>
        </w:tc>
      </w:tr>
      <w:tr w:rsidR="00F9704B" w:rsidRPr="00F9704B" w14:paraId="7348B7D5" w14:textId="77777777" w:rsidTr="00F069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9EA5869"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E4EB4A5" w14:textId="77777777" w:rsidR="00397459" w:rsidRPr="00644F0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Noclegownie, schroniska i domy dla osób bezdomnych</w:t>
            </w:r>
          </w:p>
        </w:tc>
        <w:tc>
          <w:tcPr>
            <w:tcW w:w="2948" w:type="dxa"/>
            <w:gridSpan w:val="3"/>
            <w:shd w:val="clear" w:color="auto" w:fill="FFFFFF" w:themeFill="background1"/>
          </w:tcPr>
          <w:p w14:paraId="0C750B7D"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13</w:t>
            </w:r>
          </w:p>
        </w:tc>
        <w:tc>
          <w:tcPr>
            <w:tcW w:w="2948" w:type="dxa"/>
            <w:gridSpan w:val="3"/>
            <w:shd w:val="clear" w:color="auto" w:fill="FFFFFF" w:themeFill="background1"/>
          </w:tcPr>
          <w:p w14:paraId="01468352"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360</w:t>
            </w:r>
          </w:p>
        </w:tc>
        <w:tc>
          <w:tcPr>
            <w:tcW w:w="2949" w:type="dxa"/>
            <w:shd w:val="clear" w:color="auto" w:fill="FFFFFF" w:themeFill="background1"/>
          </w:tcPr>
          <w:p w14:paraId="09288A27"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812</w:t>
            </w:r>
          </w:p>
        </w:tc>
      </w:tr>
      <w:tr w:rsidR="00F9704B" w:rsidRPr="00F9704B" w14:paraId="7D62AC56" w14:textId="77777777" w:rsidTr="00F0698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7C15E87"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05431BD" w14:textId="77777777" w:rsidR="00397459" w:rsidRPr="00644F0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Ogrzewalnie</w:t>
            </w:r>
          </w:p>
        </w:tc>
        <w:tc>
          <w:tcPr>
            <w:tcW w:w="2948" w:type="dxa"/>
            <w:gridSpan w:val="3"/>
            <w:shd w:val="clear" w:color="auto" w:fill="FFFFFF" w:themeFill="background1"/>
          </w:tcPr>
          <w:p w14:paraId="1905118E"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5</w:t>
            </w:r>
          </w:p>
        </w:tc>
        <w:tc>
          <w:tcPr>
            <w:tcW w:w="2948" w:type="dxa"/>
            <w:gridSpan w:val="3"/>
            <w:shd w:val="clear" w:color="auto" w:fill="FFFFFF" w:themeFill="background1"/>
          </w:tcPr>
          <w:p w14:paraId="727F2BA8"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79</w:t>
            </w:r>
          </w:p>
        </w:tc>
        <w:tc>
          <w:tcPr>
            <w:tcW w:w="2949" w:type="dxa"/>
            <w:shd w:val="clear" w:color="auto" w:fill="FFFFFF" w:themeFill="background1"/>
          </w:tcPr>
          <w:p w14:paraId="13BAB948"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156</w:t>
            </w:r>
          </w:p>
        </w:tc>
      </w:tr>
      <w:tr w:rsidR="00F9704B" w:rsidRPr="00F9704B" w14:paraId="2C36BBD5" w14:textId="77777777" w:rsidTr="00F069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D7A4D63"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7F7A967" w14:textId="77777777" w:rsidR="00397459" w:rsidRPr="00644F0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Kluby Samopomocy</w:t>
            </w:r>
          </w:p>
        </w:tc>
        <w:tc>
          <w:tcPr>
            <w:tcW w:w="2948" w:type="dxa"/>
            <w:gridSpan w:val="3"/>
            <w:shd w:val="clear" w:color="auto" w:fill="FFFFFF" w:themeFill="background1"/>
          </w:tcPr>
          <w:p w14:paraId="232AB77A"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0</w:t>
            </w:r>
          </w:p>
        </w:tc>
        <w:tc>
          <w:tcPr>
            <w:tcW w:w="2948" w:type="dxa"/>
            <w:gridSpan w:val="3"/>
            <w:shd w:val="clear" w:color="auto" w:fill="FFFFFF" w:themeFill="background1"/>
          </w:tcPr>
          <w:p w14:paraId="38CD7BBE"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0</w:t>
            </w:r>
          </w:p>
        </w:tc>
        <w:tc>
          <w:tcPr>
            <w:tcW w:w="2949" w:type="dxa"/>
            <w:shd w:val="clear" w:color="auto" w:fill="FFFFFF" w:themeFill="background1"/>
          </w:tcPr>
          <w:p w14:paraId="3E10F93F"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0</w:t>
            </w:r>
          </w:p>
        </w:tc>
      </w:tr>
      <w:tr w:rsidR="00F9704B" w:rsidRPr="00F9704B" w14:paraId="4C5DD961" w14:textId="77777777" w:rsidTr="00F0698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AD09AF7"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3FD5E599" w14:textId="77777777" w:rsidR="00397459" w:rsidRPr="00644F0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Placówki zapewniające całodobową opiekę osobom niepełnosprawnym, przewlekle chorym lub osobom w podeszłym wieku</w:t>
            </w:r>
          </w:p>
        </w:tc>
        <w:tc>
          <w:tcPr>
            <w:tcW w:w="2948" w:type="dxa"/>
            <w:gridSpan w:val="3"/>
            <w:shd w:val="clear" w:color="auto" w:fill="FFFFFF" w:themeFill="background1"/>
          </w:tcPr>
          <w:p w14:paraId="0BD5FFB1"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8</w:t>
            </w:r>
          </w:p>
        </w:tc>
        <w:tc>
          <w:tcPr>
            <w:tcW w:w="2948" w:type="dxa"/>
            <w:gridSpan w:val="3"/>
            <w:shd w:val="clear" w:color="auto" w:fill="FFFFFF" w:themeFill="background1"/>
          </w:tcPr>
          <w:p w14:paraId="2BBEEC5D"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245</w:t>
            </w:r>
          </w:p>
        </w:tc>
        <w:tc>
          <w:tcPr>
            <w:tcW w:w="2949" w:type="dxa"/>
            <w:shd w:val="clear" w:color="auto" w:fill="FFFFFF" w:themeFill="background1"/>
          </w:tcPr>
          <w:p w14:paraId="567E7510"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179</w:t>
            </w:r>
          </w:p>
        </w:tc>
      </w:tr>
      <w:tr w:rsidR="00F9704B" w:rsidRPr="00F9704B" w14:paraId="21081B66" w14:textId="77777777" w:rsidTr="00F069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7692DAA"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9099AEA" w14:textId="77777777" w:rsidR="00397459" w:rsidRPr="00644F0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Domy Pomocy Społecznej</w:t>
            </w:r>
          </w:p>
        </w:tc>
        <w:tc>
          <w:tcPr>
            <w:tcW w:w="2948" w:type="dxa"/>
            <w:gridSpan w:val="3"/>
            <w:shd w:val="clear" w:color="auto" w:fill="FFFFFF" w:themeFill="background1"/>
          </w:tcPr>
          <w:p w14:paraId="7088D9C6"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23</w:t>
            </w:r>
          </w:p>
        </w:tc>
        <w:tc>
          <w:tcPr>
            <w:tcW w:w="2948" w:type="dxa"/>
            <w:gridSpan w:val="3"/>
            <w:shd w:val="clear" w:color="auto" w:fill="FFFFFF" w:themeFill="background1"/>
          </w:tcPr>
          <w:p w14:paraId="4D1767CE"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2 348</w:t>
            </w:r>
          </w:p>
        </w:tc>
        <w:tc>
          <w:tcPr>
            <w:tcW w:w="2949" w:type="dxa"/>
            <w:shd w:val="clear" w:color="auto" w:fill="FFFFFF" w:themeFill="background1"/>
          </w:tcPr>
          <w:p w14:paraId="15F632D0"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2 552</w:t>
            </w:r>
          </w:p>
        </w:tc>
      </w:tr>
      <w:tr w:rsidR="00F9704B" w:rsidRPr="00F9704B" w14:paraId="6201F010" w14:textId="77777777" w:rsidTr="00F0698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F0FD69F"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DA95EF0" w14:textId="77777777" w:rsidR="00397459" w:rsidRPr="00644F0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Mieszkania chronione ogółem</w:t>
            </w:r>
          </w:p>
        </w:tc>
        <w:tc>
          <w:tcPr>
            <w:tcW w:w="2948" w:type="dxa"/>
            <w:gridSpan w:val="3"/>
            <w:shd w:val="clear" w:color="auto" w:fill="FFFFFF" w:themeFill="background1"/>
          </w:tcPr>
          <w:p w14:paraId="55ABFA79"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42</w:t>
            </w:r>
          </w:p>
        </w:tc>
        <w:tc>
          <w:tcPr>
            <w:tcW w:w="2948" w:type="dxa"/>
            <w:gridSpan w:val="3"/>
            <w:shd w:val="clear" w:color="auto" w:fill="FFFFFF" w:themeFill="background1"/>
          </w:tcPr>
          <w:p w14:paraId="41B4D344"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93</w:t>
            </w:r>
          </w:p>
        </w:tc>
        <w:tc>
          <w:tcPr>
            <w:tcW w:w="2949" w:type="dxa"/>
            <w:shd w:val="clear" w:color="auto" w:fill="FFFFFF" w:themeFill="background1"/>
          </w:tcPr>
          <w:p w14:paraId="5119B357"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86</w:t>
            </w:r>
          </w:p>
        </w:tc>
      </w:tr>
      <w:tr w:rsidR="00F9704B" w:rsidRPr="00F9704B" w14:paraId="00CDD8F8" w14:textId="77777777" w:rsidTr="00F069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F637F62"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71AD02F" w14:textId="77777777" w:rsidR="00397459" w:rsidRPr="00644F0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Ośrodki Interwencji Kryzysowej ogółem</w:t>
            </w:r>
          </w:p>
        </w:tc>
        <w:tc>
          <w:tcPr>
            <w:tcW w:w="2948" w:type="dxa"/>
            <w:gridSpan w:val="3"/>
            <w:shd w:val="clear" w:color="auto" w:fill="FFFFFF" w:themeFill="background1"/>
          </w:tcPr>
          <w:p w14:paraId="4AB15F09"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7</w:t>
            </w:r>
          </w:p>
        </w:tc>
        <w:tc>
          <w:tcPr>
            <w:tcW w:w="2948" w:type="dxa"/>
            <w:gridSpan w:val="3"/>
            <w:shd w:val="clear" w:color="auto" w:fill="FFFFFF" w:themeFill="background1"/>
          </w:tcPr>
          <w:p w14:paraId="1197AC72"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62</w:t>
            </w:r>
          </w:p>
        </w:tc>
        <w:tc>
          <w:tcPr>
            <w:tcW w:w="2949" w:type="dxa"/>
            <w:shd w:val="clear" w:color="auto" w:fill="FFFFFF" w:themeFill="background1"/>
          </w:tcPr>
          <w:p w14:paraId="02BF5288"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338</w:t>
            </w:r>
          </w:p>
        </w:tc>
      </w:tr>
      <w:tr w:rsidR="00F9704B" w:rsidRPr="00F9704B" w14:paraId="7E461ADF" w14:textId="77777777" w:rsidTr="00F0698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74093FFD"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1E8CFF5" w14:textId="77777777" w:rsidR="00397459" w:rsidRPr="00644F0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Jednostki specjalistycznego poradnictwa</w:t>
            </w:r>
          </w:p>
        </w:tc>
        <w:tc>
          <w:tcPr>
            <w:tcW w:w="2948" w:type="dxa"/>
            <w:gridSpan w:val="3"/>
            <w:shd w:val="clear" w:color="auto" w:fill="FFFFFF" w:themeFill="background1"/>
          </w:tcPr>
          <w:p w14:paraId="7B7EA4D2"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19</w:t>
            </w:r>
          </w:p>
        </w:tc>
        <w:tc>
          <w:tcPr>
            <w:tcW w:w="2948" w:type="dxa"/>
            <w:gridSpan w:val="3"/>
            <w:shd w:val="clear" w:color="auto" w:fill="FFFFFF" w:themeFill="background1"/>
          </w:tcPr>
          <w:p w14:paraId="4485FCAE"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x</w:t>
            </w:r>
          </w:p>
        </w:tc>
        <w:tc>
          <w:tcPr>
            <w:tcW w:w="2949" w:type="dxa"/>
            <w:shd w:val="clear" w:color="auto" w:fill="FFFFFF" w:themeFill="background1"/>
          </w:tcPr>
          <w:p w14:paraId="633B8ABB"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7 708</w:t>
            </w:r>
          </w:p>
        </w:tc>
      </w:tr>
      <w:tr w:rsidR="00F9704B" w:rsidRPr="00F9704B" w14:paraId="172A35C7" w14:textId="77777777" w:rsidTr="00F06986">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6B23F8CB"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E0C6860" w14:textId="77777777" w:rsidR="00397459" w:rsidRPr="00644F0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Placówki Senior+, w tym:</w:t>
            </w:r>
          </w:p>
        </w:tc>
        <w:tc>
          <w:tcPr>
            <w:tcW w:w="8845" w:type="dxa"/>
            <w:gridSpan w:val="7"/>
            <w:shd w:val="clear" w:color="auto" w:fill="FFFFFF" w:themeFill="background1"/>
          </w:tcPr>
          <w:p w14:paraId="1D0D029E" w14:textId="77777777" w:rsidR="00397459" w:rsidRPr="005E07E1"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r>
      <w:tr w:rsidR="00F9704B" w:rsidRPr="00F9704B" w14:paraId="3544DF50" w14:textId="77777777" w:rsidTr="00F0698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495DC69E"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D998580" w14:textId="77777777" w:rsidR="00397459" w:rsidRPr="00644F0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Domy Dziennego Pobytu</w:t>
            </w:r>
          </w:p>
        </w:tc>
        <w:tc>
          <w:tcPr>
            <w:tcW w:w="2948" w:type="dxa"/>
            <w:gridSpan w:val="3"/>
            <w:shd w:val="clear" w:color="auto" w:fill="FFFFFF" w:themeFill="background1"/>
          </w:tcPr>
          <w:p w14:paraId="75A33AC4"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12</w:t>
            </w:r>
          </w:p>
        </w:tc>
        <w:tc>
          <w:tcPr>
            <w:tcW w:w="2948" w:type="dxa"/>
            <w:gridSpan w:val="3"/>
            <w:shd w:val="clear" w:color="auto" w:fill="FFFFFF" w:themeFill="background1"/>
          </w:tcPr>
          <w:p w14:paraId="1212650C"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318</w:t>
            </w:r>
          </w:p>
        </w:tc>
        <w:tc>
          <w:tcPr>
            <w:tcW w:w="2949" w:type="dxa"/>
            <w:shd w:val="clear" w:color="auto" w:fill="FFFFFF" w:themeFill="background1"/>
          </w:tcPr>
          <w:p w14:paraId="66BB29F1"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293</w:t>
            </w:r>
          </w:p>
        </w:tc>
      </w:tr>
      <w:tr w:rsidR="00F9704B" w:rsidRPr="00F9704B" w14:paraId="42BB141C" w14:textId="77777777" w:rsidTr="00F06986">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830" w:type="dxa"/>
            <w:vMerge/>
          </w:tcPr>
          <w:p w14:paraId="2E37D4F5"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EF18D20" w14:textId="77777777" w:rsidR="00397459" w:rsidRPr="00644F0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Kluby Senior+</w:t>
            </w:r>
          </w:p>
        </w:tc>
        <w:tc>
          <w:tcPr>
            <w:tcW w:w="2948" w:type="dxa"/>
            <w:gridSpan w:val="3"/>
            <w:shd w:val="clear" w:color="auto" w:fill="FFFFFF" w:themeFill="background1"/>
          </w:tcPr>
          <w:p w14:paraId="03BFE177"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19</w:t>
            </w:r>
          </w:p>
        </w:tc>
        <w:tc>
          <w:tcPr>
            <w:tcW w:w="2948" w:type="dxa"/>
            <w:gridSpan w:val="3"/>
            <w:shd w:val="clear" w:color="auto" w:fill="FFFFFF" w:themeFill="background1"/>
          </w:tcPr>
          <w:p w14:paraId="733947BA"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455</w:t>
            </w:r>
          </w:p>
        </w:tc>
        <w:tc>
          <w:tcPr>
            <w:tcW w:w="2949" w:type="dxa"/>
            <w:shd w:val="clear" w:color="auto" w:fill="FFFFFF" w:themeFill="background1"/>
          </w:tcPr>
          <w:p w14:paraId="77819EEE" w14:textId="77777777" w:rsidR="00397459" w:rsidRPr="005E07E1"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361</w:t>
            </w:r>
          </w:p>
        </w:tc>
      </w:tr>
      <w:tr w:rsidR="00F9704B" w:rsidRPr="00F9704B" w14:paraId="3414A9DD" w14:textId="77777777" w:rsidTr="00F06986">
        <w:trPr>
          <w:trHeight w:val="79"/>
        </w:trPr>
        <w:tc>
          <w:tcPr>
            <w:cnfStyle w:val="001000000000" w:firstRow="0" w:lastRow="0" w:firstColumn="1" w:lastColumn="0" w:oddVBand="0" w:evenVBand="0" w:oddHBand="0" w:evenHBand="0" w:firstRowFirstColumn="0" w:firstRowLastColumn="0" w:lastRowFirstColumn="0" w:lastRowLastColumn="0"/>
            <w:tcW w:w="2830" w:type="dxa"/>
            <w:vMerge/>
          </w:tcPr>
          <w:p w14:paraId="1DFF558F" w14:textId="77777777" w:rsidR="00397459" w:rsidRPr="00F9704B" w:rsidRDefault="00397459" w:rsidP="00B337AF">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7820B31" w14:textId="77777777" w:rsidR="00397459" w:rsidRPr="00644F0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44F0B">
              <w:rPr>
                <w:rFonts w:ascii="Times New Roman" w:hAnsi="Times New Roman"/>
                <w:color w:val="auto"/>
              </w:rPr>
              <w:t>Hospicja stacjonarne</w:t>
            </w:r>
          </w:p>
        </w:tc>
        <w:tc>
          <w:tcPr>
            <w:tcW w:w="2948" w:type="dxa"/>
            <w:gridSpan w:val="3"/>
            <w:shd w:val="clear" w:color="auto" w:fill="FFFFFF" w:themeFill="background1"/>
          </w:tcPr>
          <w:p w14:paraId="02F43224"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4</w:t>
            </w:r>
          </w:p>
        </w:tc>
        <w:tc>
          <w:tcPr>
            <w:tcW w:w="2948" w:type="dxa"/>
            <w:gridSpan w:val="3"/>
            <w:shd w:val="clear" w:color="auto" w:fill="FFFFFF" w:themeFill="background1"/>
          </w:tcPr>
          <w:p w14:paraId="6D3452A9"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57</w:t>
            </w:r>
          </w:p>
        </w:tc>
        <w:tc>
          <w:tcPr>
            <w:tcW w:w="2949" w:type="dxa"/>
            <w:shd w:val="clear" w:color="auto" w:fill="FFFFFF" w:themeFill="background1"/>
          </w:tcPr>
          <w:p w14:paraId="0B541775" w14:textId="77777777" w:rsidR="00397459" w:rsidRPr="005E07E1"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E07E1">
              <w:rPr>
                <w:rFonts w:ascii="Times New Roman" w:hAnsi="Times New Roman"/>
                <w:color w:val="auto"/>
              </w:rPr>
              <w:t>702</w:t>
            </w:r>
          </w:p>
        </w:tc>
      </w:tr>
      <w:tr w:rsidR="00F9704B" w:rsidRPr="00F9704B" w14:paraId="518FEBCC" w14:textId="77777777" w:rsidTr="005E07E1">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7C54C45"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r w:rsidRPr="00F9704B">
              <w:rPr>
                <w:rFonts w:ascii="Times New Roman" w:eastAsia="Times New Roman" w:hAnsi="Times New Roman"/>
                <w:color w:val="auto"/>
                <w:lang w:eastAsia="pl-PL"/>
              </w:rPr>
              <w:t>Usługi świadczone osobom starszym</w:t>
            </w:r>
          </w:p>
        </w:tc>
        <w:tc>
          <w:tcPr>
            <w:tcW w:w="3119" w:type="dxa"/>
            <w:gridSpan w:val="2"/>
            <w:shd w:val="clear" w:color="auto" w:fill="9CC2E5" w:themeFill="accent1" w:themeFillTint="99"/>
          </w:tcPr>
          <w:p w14:paraId="070BA366"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Rodzaj usług</w:t>
            </w:r>
          </w:p>
        </w:tc>
        <w:tc>
          <w:tcPr>
            <w:tcW w:w="3685" w:type="dxa"/>
            <w:gridSpan w:val="3"/>
            <w:shd w:val="clear" w:color="auto" w:fill="9CC2E5" w:themeFill="accent1" w:themeFillTint="99"/>
          </w:tcPr>
          <w:p w14:paraId="64883999"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Liczba osób starszych objętych pomocą</w:t>
            </w:r>
          </w:p>
        </w:tc>
        <w:tc>
          <w:tcPr>
            <w:tcW w:w="5107" w:type="dxa"/>
            <w:gridSpan w:val="3"/>
            <w:shd w:val="clear" w:color="auto" w:fill="9CC2E5" w:themeFill="accent1" w:themeFillTint="99"/>
          </w:tcPr>
          <w:p w14:paraId="59168F9A"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Wysokość środków przeznaczonych na usługi</w:t>
            </w:r>
          </w:p>
        </w:tc>
      </w:tr>
      <w:tr w:rsidR="00F9704B" w:rsidRPr="00F9704B" w14:paraId="23444A25" w14:textId="77777777" w:rsidTr="00F06986">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2AE06253"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7D28C485" w14:textId="399588A9" w:rsidR="00397459" w:rsidRPr="00F06986" w:rsidRDefault="002C4A06"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Usługi o</w:t>
            </w:r>
            <w:r w:rsidR="00397459" w:rsidRPr="00F06986">
              <w:rPr>
                <w:rFonts w:ascii="Times New Roman" w:hAnsi="Times New Roman"/>
                <w:color w:val="auto"/>
              </w:rPr>
              <w:t>piekuńcze ogółem</w:t>
            </w:r>
          </w:p>
        </w:tc>
        <w:tc>
          <w:tcPr>
            <w:tcW w:w="3685" w:type="dxa"/>
            <w:gridSpan w:val="3"/>
            <w:shd w:val="clear" w:color="auto" w:fill="FFFFFF" w:themeFill="background1"/>
          </w:tcPr>
          <w:p w14:paraId="20080F44"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eastAsia="Times New Roman" w:hAnsi="Times New Roman"/>
                <w:color w:val="auto"/>
                <w:lang w:eastAsia="pl-PL"/>
              </w:rPr>
              <w:t>3 081</w:t>
            </w:r>
          </w:p>
        </w:tc>
        <w:tc>
          <w:tcPr>
            <w:tcW w:w="5107" w:type="dxa"/>
            <w:gridSpan w:val="3"/>
            <w:shd w:val="clear" w:color="auto" w:fill="FFFFFF" w:themeFill="background1"/>
          </w:tcPr>
          <w:p w14:paraId="703E5B5F"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eastAsia="Times New Roman" w:hAnsi="Times New Roman"/>
                <w:color w:val="auto"/>
                <w:lang w:eastAsia="pl-PL"/>
              </w:rPr>
              <w:t>16 865 286,06</w:t>
            </w:r>
          </w:p>
        </w:tc>
      </w:tr>
      <w:tr w:rsidR="005E07E1" w:rsidRPr="00F9704B" w14:paraId="5B53B5D5" w14:textId="77777777" w:rsidTr="00B022DF">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0DDD2005" w14:textId="77777777" w:rsidR="005E07E1" w:rsidRPr="00F9704B" w:rsidRDefault="005E07E1" w:rsidP="00B337AF">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74C8EDB2" w14:textId="61918EDA" w:rsidR="005E07E1" w:rsidRPr="00F9704B" w:rsidRDefault="005E07E1"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E07E1">
              <w:rPr>
                <w:rFonts w:ascii="Times New Roman" w:hAnsi="Times New Roman"/>
                <w:b/>
                <w:color w:val="auto"/>
              </w:rPr>
              <w:t>w tym:</w:t>
            </w:r>
          </w:p>
        </w:tc>
      </w:tr>
      <w:tr w:rsidR="00F9704B" w:rsidRPr="00F9704B" w14:paraId="4B4214EB" w14:textId="77777777" w:rsidTr="00F06986">
        <w:trPr>
          <w:trHeight w:val="118"/>
        </w:trPr>
        <w:tc>
          <w:tcPr>
            <w:cnfStyle w:val="001000000000" w:firstRow="0" w:lastRow="0" w:firstColumn="1" w:lastColumn="0" w:oddVBand="0" w:evenVBand="0" w:oddHBand="0" w:evenHBand="0" w:firstRowFirstColumn="0" w:firstRowLastColumn="0" w:lastRowFirstColumn="0" w:lastRowLastColumn="0"/>
            <w:tcW w:w="2830" w:type="dxa"/>
            <w:vMerge/>
          </w:tcPr>
          <w:p w14:paraId="35738312"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2B782973" w14:textId="35257E06" w:rsidR="00397459" w:rsidRPr="00F06986" w:rsidRDefault="002C4A06"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397459" w:rsidRPr="00F06986">
              <w:rPr>
                <w:rFonts w:ascii="Times New Roman" w:hAnsi="Times New Roman"/>
                <w:color w:val="auto"/>
              </w:rPr>
              <w:t xml:space="preserve">pecjalistyczne </w:t>
            </w:r>
            <w:r>
              <w:rPr>
                <w:rFonts w:ascii="Times New Roman" w:hAnsi="Times New Roman"/>
                <w:color w:val="auto"/>
              </w:rPr>
              <w:t xml:space="preserve">usługi </w:t>
            </w:r>
            <w:r w:rsidR="00397459" w:rsidRPr="00F06986">
              <w:rPr>
                <w:rFonts w:ascii="Times New Roman" w:hAnsi="Times New Roman"/>
                <w:color w:val="auto"/>
              </w:rPr>
              <w:t>opiekuńcze</w:t>
            </w:r>
          </w:p>
        </w:tc>
        <w:tc>
          <w:tcPr>
            <w:tcW w:w="3685" w:type="dxa"/>
            <w:gridSpan w:val="3"/>
            <w:shd w:val="clear" w:color="auto" w:fill="FFFFFF" w:themeFill="background1"/>
          </w:tcPr>
          <w:p w14:paraId="3BDAE76F"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eastAsia="Times New Roman" w:hAnsi="Times New Roman"/>
                <w:color w:val="auto"/>
                <w:lang w:eastAsia="pl-PL"/>
              </w:rPr>
              <w:t>19</w:t>
            </w:r>
          </w:p>
        </w:tc>
        <w:tc>
          <w:tcPr>
            <w:tcW w:w="5107" w:type="dxa"/>
            <w:gridSpan w:val="3"/>
            <w:shd w:val="clear" w:color="auto" w:fill="FFFFFF" w:themeFill="background1"/>
          </w:tcPr>
          <w:p w14:paraId="57ED722D"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eastAsia="Times New Roman" w:hAnsi="Times New Roman"/>
                <w:color w:val="auto"/>
                <w:lang w:eastAsia="pl-PL"/>
              </w:rPr>
              <w:t>223 360,00</w:t>
            </w:r>
          </w:p>
        </w:tc>
      </w:tr>
      <w:tr w:rsidR="00F9704B" w:rsidRPr="00F9704B" w14:paraId="18CCB97B" w14:textId="77777777" w:rsidTr="00F0698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Pr>
          <w:p w14:paraId="41295CC7"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6AD91D3A" w14:textId="7A241176" w:rsidR="00397459" w:rsidRPr="00F06986" w:rsidRDefault="002C4A06"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397459" w:rsidRPr="00F06986">
              <w:rPr>
                <w:rFonts w:ascii="Times New Roman" w:hAnsi="Times New Roman"/>
                <w:color w:val="auto"/>
              </w:rPr>
              <w:t xml:space="preserve">pecjalistyczne usługi </w:t>
            </w:r>
            <w:r>
              <w:rPr>
                <w:rFonts w:ascii="Times New Roman" w:hAnsi="Times New Roman"/>
                <w:color w:val="auto"/>
              </w:rPr>
              <w:t xml:space="preserve">opiekuńcze w miejscu zamieszkania </w:t>
            </w:r>
            <w:r w:rsidR="00397459" w:rsidRPr="00F06986">
              <w:rPr>
                <w:rFonts w:ascii="Times New Roman" w:hAnsi="Times New Roman"/>
                <w:color w:val="auto"/>
              </w:rPr>
              <w:t>dla osób z zaburzeniami psychicznymi</w:t>
            </w:r>
          </w:p>
          <w:p w14:paraId="2643193B" w14:textId="77777777" w:rsidR="00397459" w:rsidRPr="00F06986"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3685" w:type="dxa"/>
            <w:gridSpan w:val="3"/>
            <w:shd w:val="clear" w:color="auto" w:fill="FFFFFF" w:themeFill="background1"/>
          </w:tcPr>
          <w:p w14:paraId="772BBA48"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eastAsia="Times New Roman" w:hAnsi="Times New Roman"/>
                <w:color w:val="auto"/>
                <w:lang w:eastAsia="pl-PL"/>
              </w:rPr>
              <w:t>12</w:t>
            </w:r>
          </w:p>
        </w:tc>
        <w:tc>
          <w:tcPr>
            <w:tcW w:w="5107" w:type="dxa"/>
            <w:gridSpan w:val="3"/>
            <w:shd w:val="clear" w:color="auto" w:fill="FFFFFF" w:themeFill="background1"/>
          </w:tcPr>
          <w:p w14:paraId="639651CB"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eastAsia="Times New Roman" w:hAnsi="Times New Roman"/>
                <w:color w:val="auto"/>
                <w:lang w:eastAsia="pl-PL"/>
              </w:rPr>
              <w:t>122 372,00</w:t>
            </w:r>
          </w:p>
        </w:tc>
      </w:tr>
      <w:tr w:rsidR="00F9704B" w:rsidRPr="00F9704B" w14:paraId="246F497B" w14:textId="77777777" w:rsidTr="005E07E1">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0F46A45"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r w:rsidRPr="00F9704B">
              <w:rPr>
                <w:rFonts w:ascii="Times New Roman" w:eastAsia="Times New Roman" w:hAnsi="Times New Roman"/>
                <w:color w:val="auto"/>
                <w:lang w:eastAsia="pl-PL"/>
              </w:rPr>
              <w:t>Świadczenia pieniężne przyznane osobom starszym</w:t>
            </w:r>
          </w:p>
        </w:tc>
        <w:tc>
          <w:tcPr>
            <w:tcW w:w="3119" w:type="dxa"/>
            <w:gridSpan w:val="2"/>
            <w:shd w:val="clear" w:color="auto" w:fill="9CC2E5" w:themeFill="accent1" w:themeFillTint="99"/>
          </w:tcPr>
          <w:p w14:paraId="3B9D9097"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Nazwa świadczenia</w:t>
            </w:r>
          </w:p>
        </w:tc>
        <w:tc>
          <w:tcPr>
            <w:tcW w:w="3685" w:type="dxa"/>
            <w:gridSpan w:val="3"/>
            <w:shd w:val="clear" w:color="auto" w:fill="9CC2E5" w:themeFill="accent1" w:themeFillTint="99"/>
          </w:tcPr>
          <w:p w14:paraId="26C0BB30"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Liczba osób starszych</w:t>
            </w:r>
          </w:p>
        </w:tc>
        <w:tc>
          <w:tcPr>
            <w:tcW w:w="5107" w:type="dxa"/>
            <w:gridSpan w:val="3"/>
            <w:shd w:val="clear" w:color="auto" w:fill="9CC2E5" w:themeFill="accent1" w:themeFillTint="99"/>
          </w:tcPr>
          <w:p w14:paraId="4AD9E692"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F9704B">
              <w:rPr>
                <w:rFonts w:ascii="Times New Roman" w:hAnsi="Times New Roman"/>
                <w:b/>
                <w:color w:val="auto"/>
              </w:rPr>
              <w:t>Kwota świadczenia</w:t>
            </w:r>
          </w:p>
        </w:tc>
      </w:tr>
      <w:tr w:rsidR="00F9704B" w:rsidRPr="00F9704B" w14:paraId="3F07C08F" w14:textId="77777777" w:rsidTr="00F06986">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C62B060"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511531A9" w14:textId="77777777" w:rsidR="00397459" w:rsidRPr="00F06986"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Zasiłek stały</w:t>
            </w:r>
          </w:p>
        </w:tc>
        <w:tc>
          <w:tcPr>
            <w:tcW w:w="3685" w:type="dxa"/>
            <w:gridSpan w:val="3"/>
            <w:shd w:val="clear" w:color="auto" w:fill="FFFFFF" w:themeFill="background1"/>
          </w:tcPr>
          <w:p w14:paraId="351EF19E"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2 667</w:t>
            </w:r>
          </w:p>
        </w:tc>
        <w:tc>
          <w:tcPr>
            <w:tcW w:w="5107" w:type="dxa"/>
            <w:gridSpan w:val="3"/>
            <w:shd w:val="clear" w:color="auto" w:fill="FFFFFF" w:themeFill="background1"/>
          </w:tcPr>
          <w:p w14:paraId="7F281056"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14 523 635,29</w:t>
            </w:r>
          </w:p>
        </w:tc>
      </w:tr>
      <w:tr w:rsidR="00F9704B" w:rsidRPr="00F9704B" w14:paraId="53EA4472" w14:textId="77777777" w:rsidTr="00F06986">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772F79B"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0091BDFE" w14:textId="77777777" w:rsidR="00397459" w:rsidRPr="00F06986"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Zasiłek okresowy</w:t>
            </w:r>
          </w:p>
        </w:tc>
        <w:tc>
          <w:tcPr>
            <w:tcW w:w="3685" w:type="dxa"/>
            <w:gridSpan w:val="3"/>
            <w:shd w:val="clear" w:color="auto" w:fill="FFFFFF" w:themeFill="background1"/>
          </w:tcPr>
          <w:p w14:paraId="72327417"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1 505</w:t>
            </w:r>
          </w:p>
        </w:tc>
        <w:tc>
          <w:tcPr>
            <w:tcW w:w="5107" w:type="dxa"/>
            <w:gridSpan w:val="3"/>
            <w:shd w:val="clear" w:color="auto" w:fill="FFFFFF" w:themeFill="background1"/>
          </w:tcPr>
          <w:p w14:paraId="149C86C1"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2 289 516,99</w:t>
            </w:r>
          </w:p>
        </w:tc>
      </w:tr>
      <w:tr w:rsidR="00F9704B" w:rsidRPr="00F9704B" w14:paraId="312C8B08" w14:textId="77777777" w:rsidTr="00F06986">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D50BB4E"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7D2E7CC5" w14:textId="77777777" w:rsidR="00397459" w:rsidRPr="00F06986"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Zasiłek celowy</w:t>
            </w:r>
          </w:p>
        </w:tc>
        <w:tc>
          <w:tcPr>
            <w:tcW w:w="3685" w:type="dxa"/>
            <w:gridSpan w:val="3"/>
            <w:shd w:val="clear" w:color="auto" w:fill="FFFFFF" w:themeFill="background1"/>
          </w:tcPr>
          <w:p w14:paraId="7B757ECF"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2 393</w:t>
            </w:r>
          </w:p>
        </w:tc>
        <w:tc>
          <w:tcPr>
            <w:tcW w:w="5107" w:type="dxa"/>
            <w:gridSpan w:val="3"/>
            <w:shd w:val="clear" w:color="auto" w:fill="FFFFFF" w:themeFill="background1"/>
          </w:tcPr>
          <w:p w14:paraId="658EC51B" w14:textId="77777777" w:rsidR="00397459" w:rsidRPr="00F9704B" w:rsidRDefault="00397459" w:rsidP="005E07E1">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2 138 778,32</w:t>
            </w:r>
          </w:p>
        </w:tc>
      </w:tr>
      <w:tr w:rsidR="00F9704B" w:rsidRPr="00F9704B" w14:paraId="4222CB3D" w14:textId="77777777" w:rsidTr="00F06986">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4DE6CCE" w14:textId="77777777" w:rsidR="00397459" w:rsidRPr="00F9704B" w:rsidRDefault="00397459" w:rsidP="00B337AF">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3400C579" w14:textId="77777777" w:rsidR="00397459" w:rsidRPr="00F06986"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06986">
              <w:rPr>
                <w:rFonts w:ascii="Times New Roman" w:hAnsi="Times New Roman"/>
                <w:color w:val="auto"/>
              </w:rPr>
              <w:t>Specjalny zasiłek celowy</w:t>
            </w:r>
          </w:p>
        </w:tc>
        <w:tc>
          <w:tcPr>
            <w:tcW w:w="3685" w:type="dxa"/>
            <w:gridSpan w:val="3"/>
            <w:shd w:val="clear" w:color="auto" w:fill="FFFFFF" w:themeFill="background1"/>
          </w:tcPr>
          <w:p w14:paraId="1CA473FF"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2 268</w:t>
            </w:r>
          </w:p>
        </w:tc>
        <w:tc>
          <w:tcPr>
            <w:tcW w:w="5107" w:type="dxa"/>
            <w:gridSpan w:val="3"/>
            <w:shd w:val="clear" w:color="auto" w:fill="FFFFFF" w:themeFill="background1"/>
          </w:tcPr>
          <w:p w14:paraId="6C02CA96" w14:textId="77777777" w:rsidR="00397459" w:rsidRPr="00F9704B" w:rsidRDefault="00397459" w:rsidP="005E07E1">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1 297 430,90</w:t>
            </w:r>
          </w:p>
        </w:tc>
      </w:tr>
      <w:tr w:rsidR="00F9704B" w:rsidRPr="00F9704B" w14:paraId="78146F9C" w14:textId="77777777" w:rsidTr="00F06986">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BDBA89E" w14:textId="77777777" w:rsidR="00397459" w:rsidRPr="00F9704B" w:rsidRDefault="00397459" w:rsidP="00B337AF">
            <w:pPr>
              <w:spacing w:after="0" w:line="240" w:lineRule="auto"/>
              <w:rPr>
                <w:rFonts w:ascii="Times New Roman" w:hAnsi="Times New Roman"/>
                <w:b w:val="0"/>
                <w:color w:val="auto"/>
                <w:lang w:eastAsia="pl-PL"/>
              </w:rPr>
            </w:pPr>
            <w:r w:rsidRPr="00F9704B">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44E09DD9"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06986">
              <w:rPr>
                <w:rFonts w:ascii="Times New Roman" w:hAnsi="Times New Roman"/>
                <w:b/>
                <w:color w:val="auto"/>
              </w:rPr>
              <w:t>1.</w:t>
            </w:r>
            <w:r w:rsidRPr="00F9704B">
              <w:rPr>
                <w:rFonts w:ascii="Times New Roman" w:hAnsi="Times New Roman"/>
                <w:color w:val="auto"/>
              </w:rPr>
              <w:t xml:space="preserve"> brak alternatywnych form opieki całodobowej w województwie </w:t>
            </w:r>
          </w:p>
        </w:tc>
      </w:tr>
      <w:tr w:rsidR="00F9704B" w:rsidRPr="00F9704B" w14:paraId="7FEED773" w14:textId="77777777" w:rsidTr="00F06986">
        <w:trPr>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30AB573" w14:textId="77777777" w:rsidR="00397459" w:rsidRPr="00F9704B" w:rsidRDefault="00397459" w:rsidP="00B337AF">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0CDFC756" w14:textId="77777777" w:rsidR="00397459" w:rsidRPr="00F9704B" w:rsidRDefault="00397459" w:rsidP="00B337AF">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06986">
              <w:rPr>
                <w:rFonts w:ascii="Times New Roman" w:hAnsi="Times New Roman"/>
                <w:b/>
                <w:color w:val="auto"/>
              </w:rPr>
              <w:t>2.</w:t>
            </w:r>
            <w:r w:rsidRPr="00F9704B">
              <w:rPr>
                <w:rFonts w:ascii="Times New Roman" w:hAnsi="Times New Roman"/>
                <w:color w:val="auto"/>
              </w:rPr>
              <w:t xml:space="preserve"> problemy kadrowe </w:t>
            </w:r>
          </w:p>
        </w:tc>
      </w:tr>
      <w:tr w:rsidR="00F9704B" w:rsidRPr="00F9704B" w14:paraId="5D035849" w14:textId="77777777" w:rsidTr="00F06986">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8CC533D" w14:textId="77777777" w:rsidR="00397459" w:rsidRPr="00F9704B" w:rsidRDefault="00397459" w:rsidP="00B337AF">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21A1F366" w14:textId="77777777" w:rsidR="00397459" w:rsidRPr="00F9704B" w:rsidRDefault="00397459" w:rsidP="00B337AF">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06986">
              <w:rPr>
                <w:rFonts w:ascii="Times New Roman" w:hAnsi="Times New Roman"/>
                <w:b/>
                <w:color w:val="auto"/>
              </w:rPr>
              <w:t>3.</w:t>
            </w:r>
            <w:r w:rsidRPr="00F9704B">
              <w:rPr>
                <w:rFonts w:ascii="Times New Roman" w:hAnsi="Times New Roman"/>
                <w:color w:val="auto"/>
              </w:rPr>
              <w:t xml:space="preserve"> wzrost zapotrzebowania na usługi opiekuńcze – o 8,52% w stosunku do 2018</w:t>
            </w:r>
            <w:r w:rsidR="00466C93" w:rsidRPr="00F9704B">
              <w:rPr>
                <w:rFonts w:ascii="Times New Roman" w:hAnsi="Times New Roman"/>
                <w:color w:val="auto"/>
              </w:rPr>
              <w:t xml:space="preserve"> r.</w:t>
            </w:r>
          </w:p>
        </w:tc>
      </w:tr>
      <w:tr w:rsidR="00F9704B" w:rsidRPr="00F9704B" w14:paraId="013331F2" w14:textId="77777777" w:rsidTr="00F06986">
        <w:trPr>
          <w:trHeight w:val="442"/>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45EC641" w14:textId="77777777" w:rsidR="00397459" w:rsidRPr="00F9704B" w:rsidRDefault="00397459" w:rsidP="00B337AF">
            <w:pPr>
              <w:spacing w:after="0" w:line="240" w:lineRule="auto"/>
              <w:rPr>
                <w:rFonts w:ascii="Times New Roman" w:hAnsi="Times New Roman"/>
                <w:color w:val="auto"/>
                <w:lang w:eastAsia="pl-PL"/>
              </w:rPr>
            </w:pPr>
            <w:r w:rsidRPr="00F9704B">
              <w:rPr>
                <w:rFonts w:ascii="Times New Roman" w:hAnsi="Times New Roman"/>
                <w:color w:val="auto"/>
                <w:lang w:eastAsia="pl-PL"/>
              </w:rPr>
              <w:t>Stopień zaspokojenia potrzeb w zakresie usług opiekuńczych</w:t>
            </w:r>
          </w:p>
        </w:tc>
        <w:tc>
          <w:tcPr>
            <w:tcW w:w="11911" w:type="dxa"/>
            <w:gridSpan w:val="8"/>
            <w:shd w:val="clear" w:color="auto" w:fill="FFFFFF" w:themeFill="background1"/>
          </w:tcPr>
          <w:p w14:paraId="22E88E5F" w14:textId="77777777" w:rsidR="00397459" w:rsidRPr="00F9704B" w:rsidRDefault="00466C93" w:rsidP="00B337A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W 2019 r.</w:t>
            </w:r>
            <w:r w:rsidR="00397459" w:rsidRPr="00F9704B">
              <w:rPr>
                <w:rFonts w:ascii="Times New Roman" w:hAnsi="Times New Roman"/>
                <w:color w:val="auto"/>
              </w:rPr>
              <w:t xml:space="preserve"> </w:t>
            </w:r>
            <w:r w:rsidRPr="00F9704B">
              <w:rPr>
                <w:rFonts w:ascii="Times New Roman" w:hAnsi="Times New Roman"/>
                <w:color w:val="auto"/>
              </w:rPr>
              <w:t xml:space="preserve"> 3 </w:t>
            </w:r>
            <w:r w:rsidR="00397459" w:rsidRPr="00F9704B">
              <w:rPr>
                <w:rFonts w:ascii="Times New Roman" w:hAnsi="Times New Roman"/>
                <w:color w:val="auto"/>
              </w:rPr>
              <w:t>506 osób w województwie lubuskim skorzystało z usług opiekuńczych. Z zebranych danych wynika, że liczba osób, którym przyznano świadczenie w grupie wiekowej 60 + wyniosła 3</w:t>
            </w:r>
            <w:r w:rsidR="00CB3F75" w:rsidRPr="00F9704B">
              <w:rPr>
                <w:rFonts w:ascii="Times New Roman" w:hAnsi="Times New Roman"/>
                <w:color w:val="auto"/>
              </w:rPr>
              <w:t xml:space="preserve"> </w:t>
            </w:r>
            <w:r w:rsidR="00397459" w:rsidRPr="00F9704B">
              <w:rPr>
                <w:rFonts w:ascii="Times New Roman" w:hAnsi="Times New Roman"/>
                <w:color w:val="auto"/>
              </w:rPr>
              <w:t>081 - nastąpił</w:t>
            </w:r>
            <w:r w:rsidRPr="00F9704B">
              <w:rPr>
                <w:rFonts w:ascii="Times New Roman" w:hAnsi="Times New Roman"/>
                <w:color w:val="auto"/>
              </w:rPr>
              <w:t xml:space="preserve"> wzrost o 8,52%, w stosunku do</w:t>
            </w:r>
            <w:r w:rsidR="00397459" w:rsidRPr="00F9704B">
              <w:rPr>
                <w:rFonts w:ascii="Times New Roman" w:hAnsi="Times New Roman"/>
                <w:color w:val="auto"/>
              </w:rPr>
              <w:t xml:space="preserve"> 2018</w:t>
            </w:r>
            <w:r w:rsidRPr="00F9704B">
              <w:rPr>
                <w:rFonts w:ascii="Times New Roman" w:hAnsi="Times New Roman"/>
                <w:color w:val="auto"/>
              </w:rPr>
              <w:t xml:space="preserve"> r</w:t>
            </w:r>
            <w:r w:rsidR="00397459" w:rsidRPr="00F9704B">
              <w:rPr>
                <w:rFonts w:ascii="Times New Roman" w:hAnsi="Times New Roman"/>
                <w:color w:val="auto"/>
              </w:rPr>
              <w:t xml:space="preserve">. Tym samym </w:t>
            </w:r>
            <w:r w:rsidRPr="00F9704B">
              <w:rPr>
                <w:rFonts w:ascii="Times New Roman" w:hAnsi="Times New Roman"/>
                <w:color w:val="auto"/>
              </w:rPr>
              <w:t xml:space="preserve"> do 1 </w:t>
            </w:r>
            <w:r w:rsidR="00397459" w:rsidRPr="00F9704B">
              <w:rPr>
                <w:rFonts w:ascii="Times New Roman" w:hAnsi="Times New Roman"/>
                <w:color w:val="auto"/>
              </w:rPr>
              <w:t xml:space="preserve">017  (z 802 osób w 2018 r.) wzrosła liczba osób świadczących usługi opiekuńcze - wzrost o 26,81%. Wysokość środków przeznaczonych na usługi opiekuńcze w woj. lubuskim za 2019 r. wzrosła o 3,99% i wyniosła </w:t>
            </w:r>
            <w:r w:rsidR="00397459" w:rsidRPr="00F9704B">
              <w:rPr>
                <w:rFonts w:ascii="Times New Roman" w:eastAsia="Times New Roman" w:hAnsi="Times New Roman"/>
                <w:color w:val="auto"/>
                <w:lang w:eastAsia="pl-PL"/>
              </w:rPr>
              <w:t xml:space="preserve">16 865 286,06 </w:t>
            </w:r>
            <w:r w:rsidR="00397459" w:rsidRPr="00F9704B">
              <w:rPr>
                <w:rFonts w:ascii="Times New Roman" w:hAnsi="Times New Roman"/>
                <w:color w:val="auto"/>
              </w:rPr>
              <w:t>zł. Usługi opiekuńcze w woj. lubuskim świadczone są przede wszystkim przez opiekunki zatrudniane przez OPS na umowę o pracę (36 gmin) i /lub umowę zlecenie (45 gmin) lub przez firmy zewnętrzne (11 gmin). Jednostki zlecają również świadczenie usług opiekuńczych podmiotowi ekonomii społecznej jakim jest Centrum Integracji Społecznej (5 gmin) oraz Polskiemu Czerwonemu Krzyżowi (6 gmin). Na koniec 2019 r. usług opiekuńczych nie świadczyło 5 gmin. Powodem jest brak zapotrzebowania na te usługi.</w:t>
            </w:r>
          </w:p>
          <w:p w14:paraId="4EAA956C" w14:textId="77777777" w:rsidR="00397459" w:rsidRPr="00F9704B" w:rsidRDefault="00397459" w:rsidP="00B337AF">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9704B">
              <w:rPr>
                <w:rFonts w:ascii="Times New Roman" w:hAnsi="Times New Roman"/>
                <w:color w:val="auto"/>
              </w:rPr>
              <w:t xml:space="preserve">W województwie lubuskim na koniec roku 2019 działały 2 rodzinne domy pomocy, oferujące 16 miejsc; stan ten utrzymuje się od  31 grudnia 2018 r.  Mimo, że wojewoda zaleca gminom podejmowanie działań zmierzających do rozwoju alternatywnych form </w:t>
            </w:r>
            <w:r w:rsidRPr="00F9704B">
              <w:rPr>
                <w:rFonts w:ascii="Times New Roman" w:hAnsi="Times New Roman"/>
                <w:color w:val="auto"/>
              </w:rPr>
              <w:lastRenderedPageBreak/>
              <w:t>wsparcia seniorów w środowisku,  w województwie wciąż ich brakuje.  Nadal zdarza się, że  do DPS przyjmowani są mieszkańcy, ponad statutową liczbę miejsc. Nieliczne gminy podejmują współpracę z placówka</w:t>
            </w:r>
            <w:r w:rsidR="00CB3F75" w:rsidRPr="00F9704B">
              <w:rPr>
                <w:rFonts w:ascii="Times New Roman" w:hAnsi="Times New Roman"/>
                <w:color w:val="auto"/>
              </w:rPr>
              <w:t>mi ochrony zdrowia - w 2019 r.</w:t>
            </w:r>
            <w:r w:rsidRPr="00F9704B">
              <w:rPr>
                <w:rFonts w:ascii="Times New Roman" w:hAnsi="Times New Roman"/>
                <w:color w:val="auto"/>
              </w:rPr>
              <w:t xml:space="preserve"> realizowała ją 1 gmina- tak, jak przed rokiem. Z kontroli w OPS wynika również, że  osoby wymagające długotrwałej, całodobowej opieki przebywają czasem w schroniskach dla osób bezdomnych. Brak alternatywnych form opieki powoduje, że opieka osób zależnych w wieku 60+ skoncentrowana jest przede wszystkim na usługach opiekuńczych w domu beneficjenta.  </w:t>
            </w:r>
          </w:p>
        </w:tc>
      </w:tr>
    </w:tbl>
    <w:p w14:paraId="240FBEFF" w14:textId="77777777" w:rsidR="00397459" w:rsidRDefault="00397459" w:rsidP="00CB509F">
      <w:pPr>
        <w:pStyle w:val="Nagwek2"/>
        <w:rPr>
          <w:rFonts w:eastAsia="Times New Roman"/>
          <w:lang w:eastAsia="ar-SA"/>
        </w:rPr>
        <w:sectPr w:rsidR="00397459" w:rsidSect="00080A38">
          <w:pgSz w:w="16838" w:h="11900" w:orient="landscape"/>
          <w:pgMar w:top="1380" w:right="1384" w:bottom="1386" w:left="1038" w:header="0" w:footer="567" w:gutter="0"/>
          <w:cols w:space="0" w:equalWidth="0">
            <w:col w:w="9140"/>
          </w:cols>
          <w:docGrid w:linePitch="360"/>
        </w:sectPr>
      </w:pPr>
    </w:p>
    <w:p w14:paraId="0B1F0B51" w14:textId="77777777" w:rsidR="009D554B" w:rsidRPr="00AF051D" w:rsidRDefault="00B25D75" w:rsidP="00AF051D">
      <w:pPr>
        <w:pStyle w:val="Nagwek2"/>
        <w:spacing w:before="240" w:after="240"/>
        <w:ind w:left="432"/>
        <w:rPr>
          <w:rFonts w:eastAsia="Times New Roman" w:cs="Times New Roman"/>
          <w:sz w:val="40"/>
          <w:lang w:eastAsia="ar-SA"/>
        </w:rPr>
      </w:pPr>
      <w:bookmarkStart w:id="132" w:name="_Toc49171360"/>
      <w:r w:rsidRPr="00AF051D">
        <w:rPr>
          <w:rFonts w:eastAsia="Times New Roman" w:cs="Times New Roman"/>
          <w:sz w:val="40"/>
          <w:lang w:eastAsia="ar-SA"/>
        </w:rPr>
        <w:lastRenderedPageBreak/>
        <w:t xml:space="preserve">Województwo </w:t>
      </w:r>
      <w:r w:rsidR="005F0A32" w:rsidRPr="00AF051D">
        <w:rPr>
          <w:rFonts w:eastAsia="Times New Roman" w:cs="Times New Roman"/>
          <w:sz w:val="40"/>
          <w:lang w:eastAsia="ar-SA"/>
        </w:rPr>
        <w:t>ł</w:t>
      </w:r>
      <w:r w:rsidR="00475EFA" w:rsidRPr="00AF051D">
        <w:rPr>
          <w:rFonts w:eastAsia="Times New Roman" w:cs="Times New Roman"/>
          <w:sz w:val="40"/>
          <w:lang w:eastAsia="ar-SA"/>
        </w:rPr>
        <w:t>ódzkie</w:t>
      </w:r>
      <w:bookmarkEnd w:id="132"/>
    </w:p>
    <w:p w14:paraId="4101D6C3" w14:textId="77777777" w:rsidR="009D554B" w:rsidRPr="00344529" w:rsidRDefault="009D554B" w:rsidP="001024A6">
      <w:pPr>
        <w:spacing w:after="0"/>
        <w:jc w:val="both"/>
        <w:rPr>
          <w:rFonts w:ascii="Times New Roman" w:hAnsi="Times New Roman" w:cs="Times New Roman"/>
          <w:b/>
          <w:color w:val="00B0F0"/>
          <w:sz w:val="24"/>
          <w:szCs w:val="24"/>
          <w:lang w:eastAsia="ar-SA"/>
        </w:rPr>
      </w:pPr>
      <w:r w:rsidRPr="00344529">
        <w:rPr>
          <w:rFonts w:ascii="Times New Roman" w:hAnsi="Times New Roman" w:cs="Times New Roman"/>
          <w:b/>
          <w:color w:val="00B0F0"/>
          <w:sz w:val="24"/>
          <w:szCs w:val="24"/>
          <w:lang w:eastAsia="ar-SA"/>
        </w:rPr>
        <w:t>Dokumenty, strategie i działania na rzecz osób starszych</w:t>
      </w:r>
    </w:p>
    <w:p w14:paraId="7E98DF19" w14:textId="77777777" w:rsidR="009D554B" w:rsidRDefault="009D554B" w:rsidP="001024A6">
      <w:pPr>
        <w:spacing w:after="0"/>
        <w:jc w:val="both"/>
        <w:rPr>
          <w:rFonts w:ascii="Times New Roman" w:eastAsia="Times New Roman" w:hAnsi="Times New Roman" w:cs="Times New Roman"/>
          <w:sz w:val="24"/>
          <w:szCs w:val="24"/>
        </w:rPr>
      </w:pPr>
    </w:p>
    <w:p w14:paraId="49B3CBF3"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Strategia Rozwoju Województwa Łódzkiego 2020. Strategia rozwoju województwa w systemie realizacji polityki rozwoju pełni rolę najważniejszego planu działania władz samorządowych. W 2019 r. odbywały się konsultacje projektu Strategii Rozwoju Województwa Łódzkiego 2030, w których brał udział RCPS w Łodzi. Dokument uwzględnia zmieniające się wewnętrzne uwarunkowania rozwojowe regionu oraz aktualizację dokumentów strategicznych na poziomie krajowym i nowe kierunki przyszłej polityki spójności Unii Europejskiej na lata 2021-2027</w:t>
      </w:r>
      <w:r w:rsidR="00344529">
        <w:rPr>
          <w:rStyle w:val="Odwoanieprzypisudolnego"/>
          <w:rFonts w:ascii="Times New Roman" w:eastAsia="Times New Roman" w:hAnsi="Times New Roman" w:cs="Times New Roman"/>
          <w:sz w:val="24"/>
          <w:szCs w:val="24"/>
        </w:rPr>
        <w:footnoteReference w:id="96"/>
      </w:r>
      <w:r w:rsidRPr="005F0A32">
        <w:rPr>
          <w:rFonts w:ascii="Times New Roman" w:eastAsia="Times New Roman" w:hAnsi="Times New Roman" w:cs="Times New Roman"/>
          <w:sz w:val="24"/>
          <w:szCs w:val="24"/>
        </w:rPr>
        <w:t>.</w:t>
      </w:r>
    </w:p>
    <w:p w14:paraId="11A40B83" w14:textId="77777777" w:rsidR="009D554B" w:rsidRDefault="009D554B" w:rsidP="001024A6">
      <w:pPr>
        <w:spacing w:after="0"/>
        <w:jc w:val="both"/>
        <w:rPr>
          <w:rFonts w:ascii="Times New Roman" w:eastAsia="Times New Roman" w:hAnsi="Times New Roman" w:cs="Times New Roman"/>
          <w:sz w:val="24"/>
          <w:szCs w:val="24"/>
        </w:rPr>
      </w:pPr>
    </w:p>
    <w:p w14:paraId="5D5A5916"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Plan przeciwdziałania depopulacj</w:t>
      </w:r>
      <w:r w:rsidR="00344529">
        <w:rPr>
          <w:rFonts w:ascii="Times New Roman" w:eastAsia="Times New Roman" w:hAnsi="Times New Roman" w:cs="Times New Roman"/>
          <w:sz w:val="24"/>
          <w:szCs w:val="24"/>
        </w:rPr>
        <w:t>i w województwie łódzkim 2020 j</w:t>
      </w:r>
      <w:r w:rsidRPr="005F0A32">
        <w:rPr>
          <w:rFonts w:ascii="Times New Roman" w:eastAsia="Times New Roman" w:hAnsi="Times New Roman" w:cs="Times New Roman"/>
          <w:sz w:val="24"/>
          <w:szCs w:val="24"/>
        </w:rPr>
        <w:t>est dokumentem strategiczno – operacyjnym zawierającym diagnozę sytuacji społeczno – ekonomicznej regionu, analizę strategicznych wyzwań związanych z wyludnieniem oraz prognozy na przyszłość wraz z planowanymi działaniami mającymi na celu zmniejszenie negatywnych skutków depopulacji dla regionu. W 2019 r. monitorowanie realizacji planu objęło coroczny przegląd działań podejmowanych w ramach poszczególnych priorytetów, monitorowanie wskaźników oraz realizację dodatkowych badań i ekspertyz</w:t>
      </w:r>
      <w:r w:rsidR="00344529">
        <w:rPr>
          <w:rStyle w:val="Odwoanieprzypisudolnego"/>
          <w:rFonts w:ascii="Times New Roman" w:eastAsia="Times New Roman" w:hAnsi="Times New Roman" w:cs="Times New Roman"/>
          <w:sz w:val="24"/>
          <w:szCs w:val="24"/>
        </w:rPr>
        <w:footnoteReference w:id="97"/>
      </w:r>
      <w:r w:rsidRPr="005F0A32">
        <w:rPr>
          <w:rFonts w:ascii="Times New Roman" w:eastAsia="Times New Roman" w:hAnsi="Times New Roman" w:cs="Times New Roman"/>
          <w:sz w:val="24"/>
          <w:szCs w:val="24"/>
        </w:rPr>
        <w:t>.</w:t>
      </w:r>
    </w:p>
    <w:p w14:paraId="6E18792E" w14:textId="77777777" w:rsidR="009D554B" w:rsidRDefault="009D554B" w:rsidP="001024A6">
      <w:pPr>
        <w:spacing w:after="0"/>
        <w:jc w:val="both"/>
        <w:rPr>
          <w:rFonts w:ascii="Times New Roman" w:eastAsia="Times New Roman" w:hAnsi="Times New Roman" w:cs="Times New Roman"/>
          <w:sz w:val="24"/>
          <w:szCs w:val="24"/>
        </w:rPr>
      </w:pPr>
    </w:p>
    <w:p w14:paraId="3BEDD1E6"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W 2019 r. Zarząd Województwa Łódzkiego przyznał dotacje 15 organizacjom p</w:t>
      </w:r>
      <w:r w:rsidR="0086028B">
        <w:rPr>
          <w:rFonts w:ascii="Times New Roman" w:eastAsia="Times New Roman" w:hAnsi="Times New Roman" w:cs="Times New Roman"/>
          <w:sz w:val="24"/>
          <w:szCs w:val="24"/>
        </w:rPr>
        <w:t xml:space="preserve">ozarządowym na łączną kwotę 200 </w:t>
      </w:r>
      <w:r w:rsidRPr="005F0A32">
        <w:rPr>
          <w:rFonts w:ascii="Times New Roman" w:eastAsia="Times New Roman" w:hAnsi="Times New Roman" w:cs="Times New Roman"/>
          <w:sz w:val="24"/>
          <w:szCs w:val="24"/>
        </w:rPr>
        <w:t>000,00 zł. W ramach realizowanych projektów prowadzone były m.in.: warsztaty tematyczne (komputerowe, rękodzielnicze, kulinarne), zajęcia sportowe, spotkania seniorów z młodzieżą o charakterze historycznym; międzypokoleniowe spotkania, wyjazdy do kina i teatru, obchody Dnia Seniora, wieczerze wigilijne dla osób starszych i samotnych.</w:t>
      </w:r>
    </w:p>
    <w:p w14:paraId="2D9A2585" w14:textId="77777777" w:rsidR="00F31DCC" w:rsidRPr="005F0A32" w:rsidRDefault="00F31DCC" w:rsidP="001024A6">
      <w:pPr>
        <w:spacing w:after="0"/>
        <w:jc w:val="both"/>
        <w:rPr>
          <w:rFonts w:ascii="Times New Roman" w:eastAsia="Times New Roman" w:hAnsi="Times New Roman" w:cs="Times New Roman"/>
          <w:sz w:val="24"/>
          <w:szCs w:val="24"/>
        </w:rPr>
      </w:pPr>
    </w:p>
    <w:p w14:paraId="0D9E254E"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 xml:space="preserve">Społeczna Rada Seniorów Województwa Łódzkiego, powołana </w:t>
      </w:r>
      <w:r w:rsidRPr="0086028B">
        <w:rPr>
          <w:rFonts w:ascii="Times New Roman" w:eastAsia="Times New Roman" w:hAnsi="Times New Roman" w:cs="Times New Roman"/>
          <w:i/>
          <w:sz w:val="24"/>
          <w:szCs w:val="24"/>
        </w:rPr>
        <w:t>uchwałą nr 58/17 z dnia 23 stycznia 2017 r.</w:t>
      </w:r>
      <w:r w:rsidRPr="005F0A32">
        <w:rPr>
          <w:rFonts w:ascii="Times New Roman" w:eastAsia="Times New Roman" w:hAnsi="Times New Roman" w:cs="Times New Roman"/>
          <w:sz w:val="24"/>
          <w:szCs w:val="24"/>
        </w:rPr>
        <w:t xml:space="preserve"> przez Zarząd Województwa Łódzkiego, w dniu 14 lutego 2019 </w:t>
      </w:r>
      <w:r w:rsidR="0086028B">
        <w:rPr>
          <w:rFonts w:ascii="Times New Roman" w:eastAsia="Times New Roman" w:hAnsi="Times New Roman" w:cs="Times New Roman"/>
          <w:sz w:val="24"/>
          <w:szCs w:val="24"/>
        </w:rPr>
        <w:t xml:space="preserve">r. </w:t>
      </w:r>
      <w:r w:rsidRPr="005F0A32">
        <w:rPr>
          <w:rFonts w:ascii="Times New Roman" w:eastAsia="Times New Roman" w:hAnsi="Times New Roman" w:cs="Times New Roman"/>
          <w:sz w:val="24"/>
          <w:szCs w:val="24"/>
        </w:rPr>
        <w:t>w ramach VI posiedzenia określiła priorytet</w:t>
      </w:r>
      <w:r w:rsidR="0086028B">
        <w:rPr>
          <w:rFonts w:ascii="Times New Roman" w:eastAsia="Times New Roman" w:hAnsi="Times New Roman" w:cs="Times New Roman"/>
          <w:sz w:val="24"/>
          <w:szCs w:val="24"/>
        </w:rPr>
        <w:t>owe kierunki aktywności Rady w</w:t>
      </w:r>
      <w:r w:rsidRPr="005F0A32">
        <w:rPr>
          <w:rFonts w:ascii="Times New Roman" w:eastAsia="Times New Roman" w:hAnsi="Times New Roman" w:cs="Times New Roman"/>
          <w:sz w:val="24"/>
          <w:szCs w:val="24"/>
        </w:rPr>
        <w:t xml:space="preserve"> 2019</w:t>
      </w:r>
      <w:r w:rsidR="0086028B">
        <w:rPr>
          <w:rFonts w:ascii="Times New Roman" w:eastAsia="Times New Roman" w:hAnsi="Times New Roman" w:cs="Times New Roman"/>
          <w:sz w:val="24"/>
          <w:szCs w:val="24"/>
        </w:rPr>
        <w:t xml:space="preserve"> r</w:t>
      </w:r>
      <w:r w:rsidRPr="005F0A32">
        <w:rPr>
          <w:rFonts w:ascii="Times New Roman" w:eastAsia="Times New Roman" w:hAnsi="Times New Roman" w:cs="Times New Roman"/>
          <w:sz w:val="24"/>
          <w:szCs w:val="24"/>
        </w:rPr>
        <w:t>. W dniach 16 i17 grudnia 2019 r. odbyło się VII wyjazdowe posiedzenie</w:t>
      </w:r>
      <w:r w:rsidR="0086028B">
        <w:rPr>
          <w:rFonts w:ascii="Times New Roman" w:eastAsia="Times New Roman" w:hAnsi="Times New Roman" w:cs="Times New Roman"/>
          <w:sz w:val="24"/>
          <w:szCs w:val="24"/>
        </w:rPr>
        <w:t>,</w:t>
      </w:r>
      <w:r w:rsidRPr="005F0A32">
        <w:rPr>
          <w:rFonts w:ascii="Times New Roman" w:eastAsia="Times New Roman" w:hAnsi="Times New Roman" w:cs="Times New Roman"/>
          <w:sz w:val="24"/>
          <w:szCs w:val="24"/>
        </w:rPr>
        <w:t xml:space="preserve"> na którym Przewodnicząca Rady nakreśliła plan działania Rady na I półrocze 2020 r. oraz przedstawiono projekt Strategii Rozwoju Województwa Łódzkiego 2030. </w:t>
      </w:r>
    </w:p>
    <w:p w14:paraId="0709C77A" w14:textId="77777777" w:rsidR="009D554B" w:rsidRDefault="009D554B" w:rsidP="001024A6">
      <w:pPr>
        <w:spacing w:after="0"/>
        <w:jc w:val="both"/>
        <w:rPr>
          <w:rFonts w:ascii="Times New Roman" w:eastAsia="Times New Roman" w:hAnsi="Times New Roman" w:cs="Times New Roman"/>
          <w:sz w:val="24"/>
          <w:szCs w:val="24"/>
        </w:rPr>
      </w:pPr>
    </w:p>
    <w:p w14:paraId="1D365842" w14:textId="77777777" w:rsidR="00F31DCC" w:rsidRPr="005F0A32" w:rsidRDefault="0086028B" w:rsidP="001024A6">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Na terenie województwa zrealizowano również </w:t>
      </w:r>
      <w:r w:rsidRPr="0086028B">
        <w:rPr>
          <w:rFonts w:ascii="Times New Roman" w:eastAsia="Times New Roman" w:hAnsi="Times New Roman" w:cs="Times New Roman"/>
          <w:b/>
          <w:sz w:val="24"/>
          <w:szCs w:val="24"/>
        </w:rPr>
        <w:t xml:space="preserve">XXI edycję </w:t>
      </w:r>
      <w:r w:rsidR="00F31DCC" w:rsidRPr="0086028B">
        <w:rPr>
          <w:rFonts w:ascii="Times New Roman" w:eastAsia="Times New Roman" w:hAnsi="Times New Roman" w:cs="Times New Roman"/>
          <w:b/>
          <w:sz w:val="24"/>
          <w:szCs w:val="24"/>
        </w:rPr>
        <w:t>Przeglądu Twórczości Plastycznej dla Osób Chorych Starszych i Niepełnosprawnych „Sztuka jak Balsam” na temat „Pokoloruj Łódzkie - Sto Lat Ziemi Łódzkiej”</w:t>
      </w:r>
      <w:r w:rsidR="00F31DCC" w:rsidRPr="005F0A32">
        <w:rPr>
          <w:rFonts w:ascii="Times New Roman" w:eastAsia="Times New Roman" w:hAnsi="Times New Roman" w:cs="Times New Roman"/>
          <w:sz w:val="24"/>
          <w:szCs w:val="24"/>
        </w:rPr>
        <w:t>. Głównym celem działania była aktywizacja uzdolnionych plastycznie osób niepełnosprawnych i starszych. Do Przeglądu, zorganizowanego wspólnie z Wojewódzką Biblioteką Publiczną im. Marszałka Józefa Piłsudskiego w Łodzi,  zgłoszono 157 prac z 42 placówek - 21 Warsztatów Terapii Zajęciowej i 19 Środowiskowych Domów Samopomocy oraz z 2 Stowarzyszeń. Uroczyste rozstrzygnięcie konkursu odbyło</w:t>
      </w:r>
      <w:r>
        <w:rPr>
          <w:rFonts w:ascii="Times New Roman" w:eastAsia="Times New Roman" w:hAnsi="Times New Roman" w:cs="Times New Roman"/>
          <w:sz w:val="24"/>
          <w:szCs w:val="24"/>
        </w:rPr>
        <w:t xml:space="preserve"> się w dniu 6 czerwca 2019 r. </w:t>
      </w:r>
      <w:r w:rsidR="00F31DCC" w:rsidRPr="005F0A32">
        <w:rPr>
          <w:rFonts w:ascii="Times New Roman" w:eastAsia="Times New Roman" w:hAnsi="Times New Roman" w:cs="Times New Roman"/>
          <w:sz w:val="24"/>
          <w:szCs w:val="24"/>
        </w:rPr>
        <w:t xml:space="preserve">w Sali Koncertowej Akademii Muzycznej w </w:t>
      </w:r>
      <w:r w:rsidR="00F31DCC" w:rsidRPr="005F0A32">
        <w:rPr>
          <w:rFonts w:ascii="Times New Roman" w:eastAsia="Times New Roman" w:hAnsi="Times New Roman" w:cs="Times New Roman"/>
          <w:sz w:val="24"/>
          <w:szCs w:val="24"/>
        </w:rPr>
        <w:lastRenderedPageBreak/>
        <w:t>Łodzi. Relację z uroczystości wręczenia 17 nagród i 29 wyróżnień transmitowano przez Łódzki Oddział Terenowy Telewizji Polskiej S.A.. Nagrodzone prace opublikowano</w:t>
      </w:r>
      <w:r>
        <w:rPr>
          <w:rFonts w:ascii="Times New Roman" w:eastAsia="Times New Roman" w:hAnsi="Times New Roman" w:cs="Times New Roman"/>
          <w:sz w:val="24"/>
          <w:szCs w:val="24"/>
        </w:rPr>
        <w:t xml:space="preserve"> w formie kalendarza na 2020 r.</w:t>
      </w:r>
      <w:r w:rsidR="00F31DCC" w:rsidRPr="005F0A32">
        <w:rPr>
          <w:rFonts w:ascii="Times New Roman" w:eastAsia="Times New Roman" w:hAnsi="Times New Roman" w:cs="Times New Roman"/>
          <w:sz w:val="24"/>
          <w:szCs w:val="24"/>
        </w:rPr>
        <w:t xml:space="preserve"> i podkładek na </w:t>
      </w:r>
      <w:r>
        <w:rPr>
          <w:rFonts w:ascii="Times New Roman" w:eastAsia="Times New Roman" w:hAnsi="Times New Roman" w:cs="Times New Roman"/>
          <w:sz w:val="24"/>
          <w:szCs w:val="24"/>
        </w:rPr>
        <w:t>biurko z kalendarzem na 2020 r</w:t>
      </w:r>
      <w:r w:rsidR="00F31DCC" w:rsidRPr="005F0A32">
        <w:rPr>
          <w:rFonts w:ascii="Times New Roman" w:eastAsia="Times New Roman" w:hAnsi="Times New Roman" w:cs="Times New Roman"/>
          <w:sz w:val="24"/>
          <w:szCs w:val="24"/>
        </w:rPr>
        <w:t xml:space="preserve">. </w:t>
      </w:r>
    </w:p>
    <w:p w14:paraId="48E493A6" w14:textId="77777777" w:rsidR="009D554B" w:rsidRDefault="009D554B" w:rsidP="001024A6">
      <w:pPr>
        <w:spacing w:after="0"/>
        <w:jc w:val="both"/>
        <w:rPr>
          <w:rFonts w:ascii="Times New Roman" w:eastAsia="Times New Roman" w:hAnsi="Times New Roman" w:cs="Times New Roman"/>
          <w:sz w:val="24"/>
          <w:szCs w:val="24"/>
        </w:rPr>
      </w:pPr>
    </w:p>
    <w:p w14:paraId="04011F93" w14:textId="77777777" w:rsidR="00F31DCC" w:rsidRPr="005F0A32" w:rsidRDefault="0086028B" w:rsidP="001024A6">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W 2019 r. zrealizowano również </w:t>
      </w:r>
      <w:r w:rsidRPr="0086028B">
        <w:rPr>
          <w:rFonts w:ascii="Times New Roman" w:eastAsia="Times New Roman" w:hAnsi="Times New Roman" w:cs="Times New Roman"/>
          <w:b/>
          <w:sz w:val="24"/>
          <w:szCs w:val="24"/>
        </w:rPr>
        <w:t xml:space="preserve">III edycję </w:t>
      </w:r>
      <w:r w:rsidR="00F31DCC" w:rsidRPr="0086028B">
        <w:rPr>
          <w:rFonts w:ascii="Times New Roman" w:eastAsia="Times New Roman" w:hAnsi="Times New Roman" w:cs="Times New Roman"/>
          <w:b/>
          <w:sz w:val="24"/>
          <w:szCs w:val="24"/>
        </w:rPr>
        <w:t>cyklu edukacyjno-szkoleniowego „Senior Wolontariusz – Lider Zmian Społecznych”</w:t>
      </w:r>
      <w:r w:rsidR="00F31DCC" w:rsidRPr="005F0A32">
        <w:rPr>
          <w:rFonts w:ascii="Times New Roman" w:eastAsia="Times New Roman" w:hAnsi="Times New Roman" w:cs="Times New Roman"/>
          <w:sz w:val="24"/>
          <w:szCs w:val="24"/>
        </w:rPr>
        <w:t xml:space="preserve"> we współpracy z Regionalnym Centrum Wolontariatu „Centerko” w Łodzi. Celem projektu było wzmocnienie kompetencji liderskich aktywnych przedstawicieli podmiotów i organizacji działających na terenie województwa łódzkiego. W dniach 12-14 czerwca 2019 r. odbyła się część szkoleniowa, w której wzięło udział. 19 osób w wieku 60+, reprezentujących 10 podmiotów z terenu woj. łódzkiego. W dniu 13 listopada 2019 r. odbyła się sesja podsumowująca realizację III edycji projektu „Senior Wolontariusz – Lider Zmian Społecznych”. Najlepszy projekt został uhonorowany statuetką Marszałka Województwa Łódzkiego podczas uroczystej Gali Wolontariatu w dniu 2 grudnia 2019 r.</w:t>
      </w:r>
    </w:p>
    <w:p w14:paraId="3A24FCD4" w14:textId="77777777" w:rsidR="009D554B" w:rsidRDefault="009D554B" w:rsidP="001024A6">
      <w:pPr>
        <w:spacing w:after="0"/>
        <w:jc w:val="both"/>
        <w:rPr>
          <w:rFonts w:ascii="Times New Roman" w:eastAsia="Times New Roman" w:hAnsi="Times New Roman" w:cs="Times New Roman"/>
          <w:sz w:val="24"/>
          <w:szCs w:val="24"/>
        </w:rPr>
      </w:pPr>
    </w:p>
    <w:p w14:paraId="38043439" w14:textId="77777777" w:rsidR="00F31DCC" w:rsidRPr="005F0A32" w:rsidRDefault="00F31DCC" w:rsidP="001024A6">
      <w:pPr>
        <w:spacing w:after="0"/>
        <w:jc w:val="both"/>
        <w:rPr>
          <w:rFonts w:ascii="Times New Roman" w:hAnsi="Times New Roman" w:cs="Times New Roman"/>
          <w:sz w:val="24"/>
          <w:szCs w:val="24"/>
        </w:rPr>
      </w:pPr>
      <w:r w:rsidRPr="0086028B">
        <w:rPr>
          <w:rFonts w:ascii="Times New Roman" w:eastAsia="Times New Roman" w:hAnsi="Times New Roman" w:cs="Times New Roman"/>
          <w:b/>
          <w:sz w:val="24"/>
          <w:szCs w:val="24"/>
        </w:rPr>
        <w:t>Wojewódzkie Dni Seniora 2019</w:t>
      </w:r>
      <w:r w:rsidR="0086028B">
        <w:rPr>
          <w:rFonts w:ascii="Times New Roman" w:eastAsia="Times New Roman" w:hAnsi="Times New Roman" w:cs="Times New Roman"/>
          <w:sz w:val="24"/>
          <w:szCs w:val="24"/>
        </w:rPr>
        <w:t xml:space="preserve"> to p</w:t>
      </w:r>
      <w:r w:rsidRPr="005F0A32">
        <w:rPr>
          <w:rFonts w:ascii="Times New Roman" w:eastAsia="Times New Roman" w:hAnsi="Times New Roman" w:cs="Times New Roman"/>
          <w:sz w:val="24"/>
          <w:szCs w:val="24"/>
        </w:rPr>
        <w:t>rzedsięwzięcie zorganizowane w 3 podregionach województwa łódzkiego (10.08.2019</w:t>
      </w:r>
      <w:r w:rsidR="0086028B">
        <w:rPr>
          <w:rFonts w:ascii="Times New Roman" w:eastAsia="Times New Roman" w:hAnsi="Times New Roman" w:cs="Times New Roman"/>
          <w:sz w:val="24"/>
          <w:szCs w:val="24"/>
        </w:rPr>
        <w:t xml:space="preserve"> r.</w:t>
      </w:r>
      <w:r w:rsidRPr="005F0A32">
        <w:rPr>
          <w:rFonts w:ascii="Times New Roman" w:eastAsia="Times New Roman" w:hAnsi="Times New Roman" w:cs="Times New Roman"/>
          <w:sz w:val="24"/>
          <w:szCs w:val="24"/>
        </w:rPr>
        <w:t xml:space="preserve"> Wieluń, 24.08.2019</w:t>
      </w:r>
      <w:r w:rsidR="0086028B">
        <w:rPr>
          <w:rFonts w:ascii="Times New Roman" w:eastAsia="Times New Roman" w:hAnsi="Times New Roman" w:cs="Times New Roman"/>
          <w:sz w:val="24"/>
          <w:szCs w:val="24"/>
        </w:rPr>
        <w:t xml:space="preserve"> r.</w:t>
      </w:r>
      <w:r w:rsidRPr="005F0A32">
        <w:rPr>
          <w:rFonts w:ascii="Times New Roman" w:eastAsia="Times New Roman" w:hAnsi="Times New Roman" w:cs="Times New Roman"/>
          <w:sz w:val="24"/>
          <w:szCs w:val="24"/>
        </w:rPr>
        <w:t xml:space="preserve"> Łowicz i 31.08.2019</w:t>
      </w:r>
      <w:r w:rsidR="0086028B">
        <w:rPr>
          <w:rFonts w:ascii="Times New Roman" w:eastAsia="Times New Roman" w:hAnsi="Times New Roman" w:cs="Times New Roman"/>
          <w:sz w:val="24"/>
          <w:szCs w:val="24"/>
        </w:rPr>
        <w:t xml:space="preserve"> r.</w:t>
      </w:r>
      <w:r w:rsidRPr="005F0A32">
        <w:rPr>
          <w:rFonts w:ascii="Times New Roman" w:eastAsia="Times New Roman" w:hAnsi="Times New Roman" w:cs="Times New Roman"/>
          <w:sz w:val="24"/>
          <w:szCs w:val="24"/>
        </w:rPr>
        <w:t xml:space="preserve"> Piotrków Trybunalski), mające na celu aktywizację i integrację osób starszych z danego podregionu. W przedsięwzięciu wzięło udział ok. 3000 osób ze 148 podmiotów. Zgłoszeń uczestników dokonywały podmioty prowadzące działania na rzecz osób starszych (uniwersytety trzeciego wieku, rady seniorów, kluby seniorów, organizacje pozarządowe, domy pomocy społecznej itp.). Uczestnicy mieli zapewniony poczęstunek i mogli wziąć udział w występach artystycznych na scenie, zaprezentować swoje wyroby w namiotach wystawienniczych oraz skorzystać z różnego rodzaju porad i konsultacji. W dniu 8 października 2019 r. w Teatrze Wielkim w Łodzi odbyło się podsumowanie „Wojewódzkich Obchodów Dnia Seniora 2019”. Goście mogli posłuchać laureatów X edycji Wojewódzkiego Przeglądu Twórczości Dojrzałej „Przystanek 60+”, kabaretu „Młodzi Duchem” z Centrum Kultury, Sportu i Rekreacji w Krośniewicach oraz „Kabaretu bez Nazwy” z Ośrodka Kultury, Sportu i Rekreacji z Lipiec Reymontowskich. Główną atrakcją wieczoru był koncert Czesława Majewskiego &amp; Janusza Tylmana „Śpiewające fortepiany – koncertowo i z humorem”. W uroczystości wzięło udział 1100 osób.</w:t>
      </w:r>
    </w:p>
    <w:p w14:paraId="14543511" w14:textId="77777777" w:rsidR="009D554B" w:rsidRDefault="009D554B" w:rsidP="001024A6">
      <w:pPr>
        <w:spacing w:after="0"/>
        <w:jc w:val="both"/>
        <w:rPr>
          <w:rFonts w:ascii="Times New Roman" w:eastAsia="Times New Roman" w:hAnsi="Times New Roman" w:cs="Times New Roman"/>
          <w:sz w:val="24"/>
          <w:szCs w:val="24"/>
        </w:rPr>
      </w:pPr>
    </w:p>
    <w:p w14:paraId="7D849627"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 xml:space="preserve">W dniach 25 – 27 września 2019 r. odbyło się </w:t>
      </w:r>
      <w:r w:rsidRPr="00900C21">
        <w:rPr>
          <w:rFonts w:ascii="Times New Roman" w:eastAsia="Times New Roman" w:hAnsi="Times New Roman" w:cs="Times New Roman"/>
          <w:b/>
          <w:sz w:val="24"/>
          <w:szCs w:val="24"/>
        </w:rPr>
        <w:t>szkolenie pn. „Przemoc w relacjach rodzinnych – wobec dzieci, dorosłych, osób starszych i z niepełnosprawnością”</w:t>
      </w:r>
      <w:r w:rsidRPr="005F0A32">
        <w:rPr>
          <w:rFonts w:ascii="Times New Roman" w:eastAsia="Times New Roman" w:hAnsi="Times New Roman" w:cs="Times New Roman"/>
          <w:sz w:val="24"/>
          <w:szCs w:val="24"/>
        </w:rPr>
        <w:t xml:space="preserve">. W szkoleniu wzięło udział 80 osób - członkowie zespołów interdyscyplinarnych i grup roboczych z terenu województwa łódzkiego. Uczestnicy szkolenia otrzymali publikację pn. „Człowiek stary jako ofiara przemocy w rodzinie”. </w:t>
      </w:r>
    </w:p>
    <w:p w14:paraId="62815339" w14:textId="77777777" w:rsidR="009D554B" w:rsidRDefault="009D554B" w:rsidP="001024A6">
      <w:pPr>
        <w:spacing w:after="0"/>
        <w:jc w:val="both"/>
        <w:rPr>
          <w:rFonts w:ascii="Times New Roman" w:eastAsia="Times New Roman" w:hAnsi="Times New Roman" w:cs="Times New Roman"/>
          <w:sz w:val="24"/>
          <w:szCs w:val="24"/>
        </w:rPr>
      </w:pPr>
    </w:p>
    <w:p w14:paraId="166291B1"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W dniu 5 listopada 2019 r. w Urzędzie Miejskim w Drzewicy odbyło się spotkanie dotyczące różnych form aktywizacji osób starszych, w tym promowania idei powoływania gminnych rad seniorów. W spotkaniu wzięło udział ok 50 osób reprezentujących organizacje senioralne z terenu Gminy Drzewica, Społeczną Radę Seniorów Województwa Łódzkiego oraz władze samorządowe. Przewodnicząca Społecznej Rady Seniorów Województwa Łódzkiego przedstawiła sposób powoływania oraz zasady funkcjonowania gminnych rad seniorów.</w:t>
      </w:r>
    </w:p>
    <w:p w14:paraId="5E7C00ED"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lastRenderedPageBreak/>
        <w:t>Zduńskowolskie Towarzystwo Stwardnienia Rozsianego "ŹRÓDEŁKO", 98-220 Zduńska Wola, ul. Łaska 55, otrzymało z budżetu Województwa Łódzki</w:t>
      </w:r>
      <w:r w:rsidR="00900C21">
        <w:rPr>
          <w:rFonts w:ascii="Times New Roman" w:eastAsia="Times New Roman" w:hAnsi="Times New Roman" w:cs="Times New Roman"/>
          <w:sz w:val="24"/>
          <w:szCs w:val="24"/>
        </w:rPr>
        <w:t xml:space="preserve">ego dofinansowanie w kwocie 13 </w:t>
      </w:r>
      <w:r w:rsidRPr="005F0A32">
        <w:rPr>
          <w:rFonts w:ascii="Times New Roman" w:eastAsia="Times New Roman" w:hAnsi="Times New Roman" w:cs="Times New Roman"/>
          <w:sz w:val="24"/>
          <w:szCs w:val="24"/>
        </w:rPr>
        <w:t>860,00 zł. Przeprowadzono 200 godzin rehabilitacji dla 10 niepełnosprawnych członków towarzystwa, wśród których byli także niepełnosprawni seniorzy oraz 20 spotkań z psychologiem i 20 spotkań z neurologiem.</w:t>
      </w:r>
    </w:p>
    <w:p w14:paraId="563C64D4" w14:textId="77777777" w:rsidR="009D554B" w:rsidRDefault="009D554B" w:rsidP="001024A6">
      <w:pPr>
        <w:spacing w:after="0"/>
        <w:jc w:val="both"/>
        <w:rPr>
          <w:rFonts w:ascii="Times New Roman" w:eastAsia="Times New Roman" w:hAnsi="Times New Roman" w:cs="Times New Roman"/>
          <w:sz w:val="24"/>
          <w:szCs w:val="24"/>
        </w:rPr>
      </w:pPr>
    </w:p>
    <w:p w14:paraId="65F505F6" w14:textId="77777777" w:rsidR="00F31DCC" w:rsidRPr="005F0A32" w:rsidRDefault="00900C21" w:rsidP="001024A6">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Samorząd Województwa Łódzkiego współpracował </w:t>
      </w:r>
      <w:r w:rsidR="00F31DCC" w:rsidRPr="005F0A32">
        <w:rPr>
          <w:rFonts w:ascii="Times New Roman" w:eastAsia="Times New Roman" w:hAnsi="Times New Roman" w:cs="Times New Roman"/>
          <w:sz w:val="24"/>
          <w:szCs w:val="24"/>
        </w:rPr>
        <w:t>z lokalną t</w:t>
      </w:r>
      <w:r>
        <w:rPr>
          <w:rFonts w:ascii="Times New Roman" w:eastAsia="Times New Roman" w:hAnsi="Times New Roman" w:cs="Times New Roman"/>
          <w:sz w:val="24"/>
          <w:szCs w:val="24"/>
        </w:rPr>
        <w:t xml:space="preserve">elewizją publiczną (TVP3 Łódź) w realizacji </w:t>
      </w:r>
      <w:r w:rsidR="00F31DCC" w:rsidRPr="005F0A32">
        <w:rPr>
          <w:rFonts w:ascii="Times New Roman" w:eastAsia="Times New Roman" w:hAnsi="Times New Roman" w:cs="Times New Roman"/>
          <w:sz w:val="24"/>
          <w:szCs w:val="24"/>
        </w:rPr>
        <w:t>reportażu poświęconego Wojewódzkim Dniom Seniora 2019; program „W społecznym labiryncie” poświęcony działaniom Samorządu WŁ na rzecz aktywnej polityki senioralnej.</w:t>
      </w:r>
    </w:p>
    <w:p w14:paraId="03F28C42" w14:textId="77777777" w:rsidR="009D554B" w:rsidRDefault="009D554B" w:rsidP="001024A6">
      <w:pPr>
        <w:spacing w:after="0"/>
        <w:jc w:val="both"/>
        <w:rPr>
          <w:rFonts w:ascii="Times New Roman" w:eastAsia="Times New Roman" w:hAnsi="Times New Roman" w:cs="Times New Roman"/>
          <w:sz w:val="24"/>
          <w:szCs w:val="24"/>
        </w:rPr>
      </w:pPr>
    </w:p>
    <w:p w14:paraId="0AFB63F2" w14:textId="77777777" w:rsidR="00F31DCC" w:rsidRPr="005F0A32" w:rsidRDefault="00900C21" w:rsidP="001024A6">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W 2019 r. wydany został biuletyn tematyczny</w:t>
      </w:r>
      <w:r w:rsidR="00F31DCC" w:rsidRPr="005F0A32">
        <w:rPr>
          <w:rFonts w:ascii="Times New Roman" w:eastAsia="Times New Roman" w:hAnsi="Times New Roman" w:cs="Times New Roman"/>
          <w:sz w:val="24"/>
          <w:szCs w:val="24"/>
        </w:rPr>
        <w:t xml:space="preserve"> „Polityka społeczna w regionie łódzkim” poświęconego m.in. migracji zarobkowej dzieci i wnuków w kontekście </w:t>
      </w:r>
      <w:r>
        <w:rPr>
          <w:rFonts w:ascii="Times New Roman" w:eastAsia="Times New Roman" w:hAnsi="Times New Roman" w:cs="Times New Roman"/>
          <w:sz w:val="24"/>
          <w:szCs w:val="24"/>
        </w:rPr>
        <w:t xml:space="preserve">osób starszych, w </w:t>
      </w:r>
      <w:r w:rsidR="006B5754">
        <w:rPr>
          <w:rFonts w:ascii="Times New Roman" w:eastAsia="Times New Roman" w:hAnsi="Times New Roman" w:cs="Times New Roman"/>
          <w:sz w:val="24"/>
          <w:szCs w:val="24"/>
        </w:rPr>
        <w:t>liczbie</w:t>
      </w:r>
      <w:r>
        <w:rPr>
          <w:rFonts w:ascii="Times New Roman" w:eastAsia="Times New Roman" w:hAnsi="Times New Roman" w:cs="Times New Roman"/>
          <w:sz w:val="24"/>
          <w:szCs w:val="24"/>
        </w:rPr>
        <w:t xml:space="preserve"> 2 tys. s</w:t>
      </w:r>
      <w:r w:rsidR="00F31DCC" w:rsidRPr="005F0A32">
        <w:rPr>
          <w:rFonts w:ascii="Times New Roman" w:eastAsia="Times New Roman" w:hAnsi="Times New Roman" w:cs="Times New Roman"/>
          <w:sz w:val="24"/>
          <w:szCs w:val="24"/>
        </w:rPr>
        <w:t>ztuk.</w:t>
      </w:r>
    </w:p>
    <w:p w14:paraId="6935F595" w14:textId="77777777" w:rsidR="009D554B" w:rsidRDefault="009D554B" w:rsidP="001024A6">
      <w:pPr>
        <w:spacing w:after="0"/>
        <w:jc w:val="both"/>
        <w:rPr>
          <w:rFonts w:ascii="Times New Roman" w:eastAsia="Times New Roman" w:hAnsi="Times New Roman" w:cs="Times New Roman"/>
          <w:sz w:val="24"/>
          <w:szCs w:val="24"/>
        </w:rPr>
      </w:pPr>
    </w:p>
    <w:p w14:paraId="561B3795"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 xml:space="preserve">W okresie od 2 stycznia 2018 r. do 31 grudnia 2019 r. </w:t>
      </w:r>
      <w:r w:rsidR="00900C21">
        <w:rPr>
          <w:rFonts w:ascii="Times New Roman" w:eastAsia="Times New Roman" w:hAnsi="Times New Roman" w:cs="Times New Roman"/>
          <w:sz w:val="24"/>
          <w:szCs w:val="24"/>
        </w:rPr>
        <w:t xml:space="preserve">realizowany był program </w:t>
      </w:r>
      <w:r w:rsidR="00900C21" w:rsidRPr="005F0A32">
        <w:rPr>
          <w:rFonts w:ascii="Times New Roman" w:eastAsia="Times New Roman" w:hAnsi="Times New Roman" w:cs="Times New Roman"/>
          <w:sz w:val="24"/>
          <w:szCs w:val="24"/>
        </w:rPr>
        <w:t xml:space="preserve">działań na rzecz wsparcia osób starszych w województwie łódzkim pod nazwą </w:t>
      </w:r>
      <w:r w:rsidR="00900C21" w:rsidRPr="00900C21">
        <w:rPr>
          <w:rFonts w:ascii="Times New Roman" w:eastAsia="Times New Roman" w:hAnsi="Times New Roman" w:cs="Times New Roman"/>
          <w:b/>
          <w:sz w:val="24"/>
          <w:szCs w:val="24"/>
        </w:rPr>
        <w:t>„Karta Seniora Województwa Łódzkiego”</w:t>
      </w:r>
      <w:r w:rsidR="00900C21" w:rsidRPr="005F0A32">
        <w:rPr>
          <w:rFonts w:ascii="Times New Roman" w:eastAsia="Times New Roman" w:hAnsi="Times New Roman" w:cs="Times New Roman"/>
          <w:sz w:val="24"/>
          <w:szCs w:val="24"/>
        </w:rPr>
        <w:t xml:space="preserve">. </w:t>
      </w:r>
      <w:r w:rsidR="00900C21">
        <w:rPr>
          <w:rFonts w:ascii="Times New Roman" w:eastAsia="Times New Roman" w:hAnsi="Times New Roman" w:cs="Times New Roman"/>
          <w:sz w:val="24"/>
          <w:szCs w:val="24"/>
        </w:rPr>
        <w:t xml:space="preserve">W tym czasie </w:t>
      </w:r>
      <w:r w:rsidRPr="005F0A32">
        <w:rPr>
          <w:rFonts w:ascii="Times New Roman" w:eastAsia="Times New Roman" w:hAnsi="Times New Roman" w:cs="Times New Roman"/>
          <w:sz w:val="24"/>
          <w:szCs w:val="24"/>
        </w:rPr>
        <w:t>wydano 20 402 kart, w tym od 2 stycznia 2019 r. do 31 grudnia 2019 r. wydano 5</w:t>
      </w:r>
      <w:r w:rsidR="00900C21">
        <w:rPr>
          <w:rFonts w:ascii="Times New Roman" w:eastAsia="Times New Roman" w:hAnsi="Times New Roman" w:cs="Times New Roman"/>
          <w:sz w:val="24"/>
          <w:szCs w:val="24"/>
        </w:rPr>
        <w:t xml:space="preserve"> </w:t>
      </w:r>
      <w:r w:rsidRPr="005F0A32">
        <w:rPr>
          <w:rFonts w:ascii="Times New Roman" w:eastAsia="Times New Roman" w:hAnsi="Times New Roman" w:cs="Times New Roman"/>
          <w:sz w:val="24"/>
          <w:szCs w:val="24"/>
        </w:rPr>
        <w:t>738 Kart Seniora Województwa Łódzkiego. Do dnia 31 grudnia 2019 r. partnerami programu zostało 55 podmiotów (instytucje, organizacje pozarządowe, przedsiębiorcy). W</w:t>
      </w:r>
      <w:r w:rsidR="00900C21">
        <w:rPr>
          <w:rFonts w:ascii="Times New Roman" w:eastAsia="Times New Roman" w:hAnsi="Times New Roman" w:cs="Times New Roman"/>
          <w:sz w:val="24"/>
          <w:szCs w:val="24"/>
        </w:rPr>
        <w:t xml:space="preserve"> </w:t>
      </w:r>
      <w:r w:rsidRPr="005F0A32">
        <w:rPr>
          <w:rFonts w:ascii="Times New Roman" w:eastAsia="Times New Roman" w:hAnsi="Times New Roman" w:cs="Times New Roman"/>
          <w:sz w:val="24"/>
          <w:szCs w:val="24"/>
        </w:rPr>
        <w:t>2019 r. zawarto 17 porozumień dotyczących współpracy w ramach Programu.</w:t>
      </w:r>
    </w:p>
    <w:p w14:paraId="6D3042E4" w14:textId="77777777" w:rsidR="009D554B" w:rsidRDefault="009D554B" w:rsidP="001024A6">
      <w:pPr>
        <w:spacing w:after="0"/>
        <w:jc w:val="both"/>
        <w:rPr>
          <w:rFonts w:ascii="Times New Roman" w:eastAsia="Times New Roman" w:hAnsi="Times New Roman" w:cs="Times New Roman"/>
          <w:sz w:val="24"/>
          <w:szCs w:val="24"/>
        </w:rPr>
      </w:pPr>
    </w:p>
    <w:p w14:paraId="6F831704" w14:textId="317C29FE" w:rsidR="00F31DCC" w:rsidRPr="005F0A32" w:rsidRDefault="006B5754" w:rsidP="001024A6">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W 2019 r. powołano </w:t>
      </w:r>
      <w:r w:rsidR="00A709DC">
        <w:rPr>
          <w:rFonts w:ascii="Times New Roman" w:eastAsia="Times New Roman" w:hAnsi="Times New Roman" w:cs="Times New Roman"/>
          <w:sz w:val="24"/>
          <w:szCs w:val="24"/>
        </w:rPr>
        <w:t>zespół</w:t>
      </w:r>
      <w:r w:rsidR="00F31DCC" w:rsidRPr="005F0A32">
        <w:rPr>
          <w:rFonts w:ascii="Times New Roman" w:eastAsia="Times New Roman" w:hAnsi="Times New Roman" w:cs="Times New Roman"/>
          <w:sz w:val="24"/>
          <w:szCs w:val="24"/>
        </w:rPr>
        <w:t xml:space="preserve"> ds. opracowania wojewódzkiego programu polityki senioralnej. Przesłanki za opracowaniem dokumentu wynikają min. z potrzeby: uporządkowania i uspójnienia dotychczasowych działań w obszarze polityki senioralnej z uwzględnieniem głosów płynących ze środowiska seniorów; uzyskania statusu ośrodka referencyjnego w obszarze aktywnego i zdrowego starzenia się – Centrum Referencyjne Zdrowego i Aktywnego Starzenia się w ramach Europejskiego Partnerstwa Innowacji na rzecz Aktywnego i Zdrowego Starzenia się. W skład zespołu weszło 19 osób, w tym przedstawiciele Społecznej Rady Seniorów Województwa Łódzkiego. Zespół podczas 6 spotkań, które odbyły się w maju, czerwcu i lipcu 2019 roku wypracował główne założenia dotyczące Programu. Obecnie trwają prace nad dokumentem, który będzie podlegał dalszym konsultacjom.</w:t>
      </w:r>
    </w:p>
    <w:p w14:paraId="1316EDC4" w14:textId="77777777" w:rsidR="009D554B" w:rsidRDefault="009D554B" w:rsidP="001024A6">
      <w:pPr>
        <w:spacing w:after="0"/>
        <w:jc w:val="both"/>
        <w:rPr>
          <w:rFonts w:ascii="Times New Roman" w:eastAsia="Times New Roman" w:hAnsi="Times New Roman" w:cs="Times New Roman"/>
          <w:sz w:val="24"/>
          <w:szCs w:val="24"/>
        </w:rPr>
      </w:pPr>
    </w:p>
    <w:p w14:paraId="71AC2EAC" w14:textId="77777777" w:rsidR="00F31DCC" w:rsidRPr="005F0A32" w:rsidRDefault="006B5754" w:rsidP="001024A6">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W 2019 r. realizowany był również projekt</w:t>
      </w:r>
      <w:r w:rsidR="00F31DCC" w:rsidRPr="005F0A32">
        <w:rPr>
          <w:rFonts w:ascii="Times New Roman" w:eastAsia="Times New Roman" w:hAnsi="Times New Roman" w:cs="Times New Roman"/>
          <w:sz w:val="24"/>
          <w:szCs w:val="24"/>
        </w:rPr>
        <w:t xml:space="preserve"> pn. </w:t>
      </w:r>
      <w:r w:rsidR="00F31DCC" w:rsidRPr="006B5754">
        <w:rPr>
          <w:rFonts w:ascii="Times New Roman" w:eastAsia="Times New Roman" w:hAnsi="Times New Roman" w:cs="Times New Roman"/>
          <w:b/>
          <w:sz w:val="24"/>
          <w:szCs w:val="24"/>
        </w:rPr>
        <w:t>„Niezależne życie - wypracowanie standardu i przeprowadzenie pilotażu w zakresie usług mieszkalnictwa wspomaganego dla osób  z chorobami neurologicznymi, w tym z chorobą Alzheimera i chorobą Parkinsona oraz osób starszych”</w:t>
      </w:r>
      <w:r w:rsidR="00F31DCC" w:rsidRPr="006B5754">
        <w:rPr>
          <w:rFonts w:ascii="Times New Roman" w:eastAsia="Times New Roman" w:hAnsi="Times New Roman" w:cs="Times New Roman"/>
          <w:sz w:val="24"/>
          <w:szCs w:val="24"/>
        </w:rPr>
        <w:t>.</w:t>
      </w:r>
      <w:r w:rsidR="00F31DCC" w:rsidRPr="005F0A32">
        <w:rPr>
          <w:rFonts w:ascii="Times New Roman" w:eastAsia="Times New Roman" w:hAnsi="Times New Roman" w:cs="Times New Roman"/>
          <w:sz w:val="24"/>
          <w:szCs w:val="24"/>
        </w:rPr>
        <w:t xml:space="preserve"> Projekt realizowany jest w ramach konkursu II Osi Priorytetowej PO WER, Działanie 2.8 Rozwój usług społecznych świadczonych w środowisku lokalnym’’. W ramach Modelu deinstytucjonalizacji usług w formie mieszkalnictwa wspomaganego dla osób z chorobami neurologicznymi utworzono 4 mieszkania wspomagane: 2 w gminie Aleksandrów Łódzki i 2 w gminie Witonia, Kuchary</w:t>
      </w:r>
      <w:r>
        <w:rPr>
          <w:rFonts w:ascii="Times New Roman" w:eastAsia="Times New Roman" w:hAnsi="Times New Roman" w:cs="Times New Roman"/>
          <w:sz w:val="24"/>
          <w:szCs w:val="24"/>
        </w:rPr>
        <w:t>.</w:t>
      </w:r>
    </w:p>
    <w:p w14:paraId="75877EB5" w14:textId="77777777" w:rsidR="009D554B" w:rsidRDefault="009D554B" w:rsidP="001024A6">
      <w:pPr>
        <w:spacing w:after="0"/>
        <w:jc w:val="both"/>
        <w:rPr>
          <w:rFonts w:ascii="Times New Roman" w:eastAsia="Times New Roman" w:hAnsi="Times New Roman" w:cs="Times New Roman"/>
          <w:sz w:val="24"/>
          <w:szCs w:val="24"/>
        </w:rPr>
      </w:pPr>
    </w:p>
    <w:p w14:paraId="6A14DA44" w14:textId="77777777" w:rsidR="00F31DCC" w:rsidRPr="005F0A32" w:rsidRDefault="006B5754" w:rsidP="001024A6">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Kolejnym projektem był</w:t>
      </w:r>
      <w:r w:rsidR="00F31DCC" w:rsidRPr="005F0A32">
        <w:rPr>
          <w:rFonts w:ascii="Times New Roman" w:eastAsia="Times New Roman" w:hAnsi="Times New Roman" w:cs="Times New Roman"/>
          <w:sz w:val="24"/>
          <w:szCs w:val="24"/>
        </w:rPr>
        <w:t xml:space="preserve"> </w:t>
      </w:r>
      <w:r w:rsidR="00F31DCC" w:rsidRPr="006B5754">
        <w:rPr>
          <w:rFonts w:ascii="Times New Roman" w:eastAsia="Times New Roman" w:hAnsi="Times New Roman" w:cs="Times New Roman"/>
          <w:b/>
          <w:sz w:val="24"/>
          <w:szCs w:val="24"/>
        </w:rPr>
        <w:t>Innowacyjny ekosystem w zakresie inteligentnej opieki nad osobami starszymi (I-CARE SMART)</w:t>
      </w:r>
      <w:r w:rsidR="00F31DCC" w:rsidRPr="005F0A32">
        <w:rPr>
          <w:rFonts w:ascii="Times New Roman" w:eastAsia="Times New Roman" w:hAnsi="Times New Roman" w:cs="Times New Roman"/>
          <w:sz w:val="24"/>
          <w:szCs w:val="24"/>
        </w:rPr>
        <w:t>.</w:t>
      </w:r>
      <w:r w:rsidR="009D554B">
        <w:rPr>
          <w:rFonts w:ascii="Times New Roman" w:hAnsi="Times New Roman" w:cs="Times New Roman"/>
          <w:sz w:val="24"/>
          <w:szCs w:val="24"/>
        </w:rPr>
        <w:t xml:space="preserve"> </w:t>
      </w:r>
      <w:r w:rsidR="00F31DCC" w:rsidRPr="005F0A32">
        <w:rPr>
          <w:rFonts w:ascii="Times New Roman" w:eastAsia="Times New Roman" w:hAnsi="Times New Roman" w:cs="Times New Roman"/>
          <w:sz w:val="24"/>
          <w:szCs w:val="24"/>
        </w:rPr>
        <w:t xml:space="preserve">Celem projektu I-CARE-SMART jest budowanie i wzmacnianie współpracy z organizacjami, które są w stanie dostarczać najnowocześniejsze </w:t>
      </w:r>
      <w:r w:rsidR="00F31DCC" w:rsidRPr="005F0A32">
        <w:rPr>
          <w:rFonts w:ascii="Times New Roman" w:eastAsia="Times New Roman" w:hAnsi="Times New Roman" w:cs="Times New Roman"/>
          <w:sz w:val="24"/>
          <w:szCs w:val="24"/>
        </w:rPr>
        <w:lastRenderedPageBreak/>
        <w:t>rozwiązania technologiczne w zakresie opieki zdrowotnej i opieki społecznej dla osób starszych. Projekt stanowi odpowiedź na wyzwania regionu dotyczące starzejącego się społeczeństwa i niewystarczającej oferty dla seniorów. W ramach projektu stworzona zostanie ponadnarodowa otwarta platforma innowacji dla inteligentnej opieki nad osobami starszymi m.in. systemu powiadamiania służb ratunkowych, opieki koordynowanej, teleopieki i innych rozwiązań biznesowych dostosowanych do potrzeb seniorów z regionu łódzkiego. Okres realizacji: od 1 maja 2019 r. do 30 kwietnia 2022 r</w:t>
      </w:r>
      <w:r>
        <w:rPr>
          <w:rStyle w:val="Odwoanieprzypisudolnego"/>
          <w:rFonts w:ascii="Times New Roman" w:eastAsia="Times New Roman" w:hAnsi="Times New Roman" w:cs="Times New Roman"/>
          <w:sz w:val="24"/>
          <w:szCs w:val="24"/>
        </w:rPr>
        <w:footnoteReference w:id="98"/>
      </w:r>
      <w:r w:rsidR="00F31DCC" w:rsidRPr="005F0A32">
        <w:rPr>
          <w:rFonts w:ascii="Times New Roman" w:eastAsia="Times New Roman" w:hAnsi="Times New Roman" w:cs="Times New Roman"/>
          <w:sz w:val="24"/>
          <w:szCs w:val="24"/>
        </w:rPr>
        <w:t>.</w:t>
      </w:r>
    </w:p>
    <w:p w14:paraId="3D064DED" w14:textId="77777777" w:rsidR="00F31DCC" w:rsidRPr="005F0A32" w:rsidRDefault="00F31DCC" w:rsidP="001024A6">
      <w:pPr>
        <w:spacing w:after="0"/>
        <w:jc w:val="both"/>
        <w:rPr>
          <w:rFonts w:ascii="Times New Roman" w:eastAsia="Times New Roman" w:hAnsi="Times New Roman" w:cs="Times New Roman"/>
          <w:i/>
          <w:sz w:val="24"/>
          <w:szCs w:val="24"/>
        </w:rPr>
      </w:pPr>
    </w:p>
    <w:p w14:paraId="35E8542A" w14:textId="77777777" w:rsidR="009A2154" w:rsidRDefault="00F31DCC" w:rsidP="001024A6">
      <w:pPr>
        <w:spacing w:after="0"/>
        <w:jc w:val="both"/>
        <w:rPr>
          <w:rFonts w:ascii="Times New Roman" w:eastAsia="Times New Roman" w:hAnsi="Times New Roman" w:cs="Times New Roman"/>
          <w:sz w:val="24"/>
          <w:szCs w:val="24"/>
        </w:rPr>
      </w:pPr>
      <w:r w:rsidRPr="005F0A32">
        <w:rPr>
          <w:rFonts w:ascii="Times New Roman" w:eastAsia="Times New Roman" w:hAnsi="Times New Roman" w:cs="Times New Roman"/>
          <w:sz w:val="24"/>
          <w:szCs w:val="24"/>
        </w:rPr>
        <w:t xml:space="preserve">Ponadto Urząd Marszałkowski Województwa Łódzkiego podejmował działania na rzecz osób starszych, np.: </w:t>
      </w:r>
    </w:p>
    <w:p w14:paraId="2CF1ABA5" w14:textId="77777777" w:rsidR="00FD3AAE" w:rsidRPr="00FD3AAE" w:rsidRDefault="00F31DCC" w:rsidP="008C71A9">
      <w:pPr>
        <w:pStyle w:val="Akapitzlist"/>
        <w:numPr>
          <w:ilvl w:val="0"/>
          <w:numId w:val="74"/>
        </w:numPr>
        <w:spacing w:after="0"/>
        <w:ind w:left="360"/>
        <w:jc w:val="both"/>
        <w:rPr>
          <w:rFonts w:ascii="Times New Roman" w:hAnsi="Times New Roman" w:cs="Times New Roman"/>
          <w:sz w:val="24"/>
          <w:szCs w:val="24"/>
        </w:rPr>
      </w:pPr>
      <w:r w:rsidRPr="009A2154">
        <w:rPr>
          <w:rFonts w:ascii="Times New Roman" w:eastAsia="Times New Roman" w:hAnsi="Times New Roman" w:cs="Times New Roman"/>
          <w:sz w:val="24"/>
          <w:szCs w:val="24"/>
        </w:rPr>
        <w:t>III edycj</w:t>
      </w:r>
      <w:r w:rsidR="00FD3AAE">
        <w:rPr>
          <w:rFonts w:ascii="Times New Roman" w:eastAsia="Times New Roman" w:hAnsi="Times New Roman" w:cs="Times New Roman"/>
          <w:sz w:val="24"/>
          <w:szCs w:val="24"/>
        </w:rPr>
        <w:t xml:space="preserve">ę projektu pn. </w:t>
      </w:r>
      <w:r w:rsidR="00FD3AAE" w:rsidRPr="00F17107">
        <w:rPr>
          <w:rFonts w:ascii="Times New Roman" w:eastAsia="Times New Roman" w:hAnsi="Times New Roman" w:cs="Times New Roman"/>
          <w:b/>
          <w:sz w:val="24"/>
          <w:szCs w:val="24"/>
        </w:rPr>
        <w:t>„Ucyfrowieni”</w:t>
      </w:r>
      <w:r w:rsidR="00FD3AAE">
        <w:rPr>
          <w:rFonts w:ascii="Times New Roman" w:eastAsia="Times New Roman" w:hAnsi="Times New Roman" w:cs="Times New Roman"/>
          <w:sz w:val="24"/>
          <w:szCs w:val="24"/>
        </w:rPr>
        <w:t>. To</w:t>
      </w:r>
      <w:r w:rsidRPr="009A2154">
        <w:rPr>
          <w:rFonts w:ascii="Times New Roman" w:eastAsia="Times New Roman" w:hAnsi="Times New Roman" w:cs="Times New Roman"/>
          <w:sz w:val="24"/>
          <w:szCs w:val="24"/>
        </w:rPr>
        <w:t xml:space="preserve"> cykl warsztatów podnoszących kompetencje cyfrowe osób 45+ z terenu woj. łódzkiego (wśród uczestników przeważają osoby w wieku 60+). Liczba uczestników warsztatów w 2019 r. – ok. 140 osób. </w:t>
      </w:r>
    </w:p>
    <w:p w14:paraId="4E52B15B" w14:textId="77777777" w:rsidR="00FD3AAE" w:rsidRPr="00FD3AAE" w:rsidRDefault="00F31DCC" w:rsidP="008C71A9">
      <w:pPr>
        <w:pStyle w:val="Akapitzlist"/>
        <w:numPr>
          <w:ilvl w:val="0"/>
          <w:numId w:val="74"/>
        </w:numPr>
        <w:spacing w:after="0"/>
        <w:ind w:left="360"/>
        <w:jc w:val="both"/>
        <w:rPr>
          <w:rFonts w:ascii="Times New Roman" w:hAnsi="Times New Roman" w:cs="Times New Roman"/>
          <w:sz w:val="24"/>
          <w:szCs w:val="24"/>
        </w:rPr>
      </w:pPr>
      <w:r w:rsidRPr="009A2154">
        <w:rPr>
          <w:rFonts w:ascii="Times New Roman" w:eastAsia="Times New Roman" w:hAnsi="Times New Roman" w:cs="Times New Roman"/>
          <w:sz w:val="24"/>
          <w:szCs w:val="24"/>
        </w:rPr>
        <w:t xml:space="preserve">Prowadzono działania nakierowane na profilaktykę, ochronę i promocję zdrowia m.in. „Program wczesnego wykrywania nowotworów płuc”, „Łódzkie dba o zdrowy układ krążenia”, „Łódzkie promuje zdrowie psychiczne”; </w:t>
      </w:r>
    </w:p>
    <w:p w14:paraId="556AD6C9" w14:textId="77777777" w:rsidR="00FD3AAE" w:rsidRPr="00FD3AAE" w:rsidRDefault="00F31DCC" w:rsidP="008C71A9">
      <w:pPr>
        <w:pStyle w:val="Akapitzlist"/>
        <w:numPr>
          <w:ilvl w:val="0"/>
          <w:numId w:val="74"/>
        </w:numPr>
        <w:spacing w:after="0"/>
        <w:ind w:left="360"/>
        <w:jc w:val="both"/>
        <w:rPr>
          <w:rFonts w:ascii="Times New Roman" w:hAnsi="Times New Roman" w:cs="Times New Roman"/>
          <w:sz w:val="24"/>
          <w:szCs w:val="24"/>
        </w:rPr>
      </w:pPr>
      <w:r w:rsidRPr="009A2154">
        <w:rPr>
          <w:rFonts w:ascii="Times New Roman" w:eastAsia="Times New Roman" w:hAnsi="Times New Roman" w:cs="Times New Roman"/>
          <w:sz w:val="24"/>
          <w:szCs w:val="24"/>
        </w:rPr>
        <w:t>projekty zachę</w:t>
      </w:r>
      <w:r w:rsidR="00FD3AAE">
        <w:rPr>
          <w:rFonts w:ascii="Times New Roman" w:eastAsia="Times New Roman" w:hAnsi="Times New Roman" w:cs="Times New Roman"/>
          <w:sz w:val="24"/>
          <w:szCs w:val="24"/>
        </w:rPr>
        <w:t>cające</w:t>
      </w:r>
      <w:r w:rsidRPr="009A2154">
        <w:rPr>
          <w:rFonts w:ascii="Times New Roman" w:eastAsia="Times New Roman" w:hAnsi="Times New Roman" w:cs="Times New Roman"/>
          <w:sz w:val="24"/>
          <w:szCs w:val="24"/>
        </w:rPr>
        <w:t xml:space="preserve"> do aktywnego spędzania czasu, m.in. projekt  pn. „Łódzkie dla Seniorów Plus” „Kolejowe niedziele” (bezpłatne wycieczki pociągami, głównie do Parków Krajobrazowych i okolic. </w:t>
      </w:r>
    </w:p>
    <w:p w14:paraId="7EBEB7FB" w14:textId="77777777" w:rsidR="00FD3AAE" w:rsidRPr="00FD3AAE" w:rsidRDefault="00F31DCC" w:rsidP="008C71A9">
      <w:pPr>
        <w:pStyle w:val="Akapitzlist"/>
        <w:numPr>
          <w:ilvl w:val="0"/>
          <w:numId w:val="74"/>
        </w:numPr>
        <w:spacing w:after="0"/>
        <w:ind w:left="360"/>
        <w:jc w:val="both"/>
        <w:rPr>
          <w:rFonts w:ascii="Times New Roman" w:hAnsi="Times New Roman" w:cs="Times New Roman"/>
          <w:sz w:val="24"/>
          <w:szCs w:val="24"/>
        </w:rPr>
      </w:pPr>
      <w:r w:rsidRPr="009A2154">
        <w:rPr>
          <w:rFonts w:ascii="Times New Roman" w:eastAsia="Times New Roman" w:hAnsi="Times New Roman" w:cs="Times New Roman"/>
          <w:sz w:val="24"/>
          <w:szCs w:val="24"/>
        </w:rPr>
        <w:t>Wojewódzki Urząd Pracy w Łodzi w ramach Działania IX.2 RPO WŁ na lata 2014</w:t>
      </w:r>
      <w:r w:rsidR="00FD3AAE">
        <w:rPr>
          <w:rFonts w:ascii="Times New Roman" w:eastAsia="Times New Roman" w:hAnsi="Times New Roman" w:cs="Times New Roman"/>
          <w:sz w:val="24"/>
          <w:szCs w:val="24"/>
        </w:rPr>
        <w:t>-2020 przeprowadził</w:t>
      </w:r>
      <w:r w:rsidRPr="009A2154">
        <w:rPr>
          <w:rFonts w:ascii="Times New Roman" w:eastAsia="Times New Roman" w:hAnsi="Times New Roman" w:cs="Times New Roman"/>
          <w:sz w:val="24"/>
          <w:szCs w:val="24"/>
        </w:rPr>
        <w:t xml:space="preserve"> konkursy na projekty, których celem jest rozwój usług medyczno-opiekuńczych dla osób niesamodzielnych, w tym osób starszych lub niepełnosprawnych. W ramach projektów realizowane są usługi społeczne i zdrowotne. </w:t>
      </w:r>
    </w:p>
    <w:p w14:paraId="75A505A7" w14:textId="77777777" w:rsidR="00F31DCC" w:rsidRPr="009A2154" w:rsidRDefault="00F31DCC" w:rsidP="008C71A9">
      <w:pPr>
        <w:pStyle w:val="Akapitzlist"/>
        <w:numPr>
          <w:ilvl w:val="0"/>
          <w:numId w:val="74"/>
        </w:numPr>
        <w:spacing w:after="0"/>
        <w:ind w:left="360"/>
        <w:jc w:val="both"/>
        <w:rPr>
          <w:rFonts w:ascii="Times New Roman" w:hAnsi="Times New Roman" w:cs="Times New Roman"/>
          <w:sz w:val="24"/>
          <w:szCs w:val="24"/>
        </w:rPr>
      </w:pPr>
      <w:r w:rsidRPr="009A2154">
        <w:rPr>
          <w:rFonts w:ascii="Times New Roman" w:eastAsia="Times New Roman" w:hAnsi="Times New Roman" w:cs="Times New Roman"/>
          <w:sz w:val="24"/>
          <w:szCs w:val="24"/>
        </w:rPr>
        <w:t>Instytucje kultury Samorządu Województwa Łódzkiego: Teatr Wielki w Łodzi, Teatr im. Stefana Jaracza w Łodzi, Filharmonia Łódzka im Artura Rubinsteina, Muzeum Sztuki Muzeum Pałac Herbsta, Muzeum Archeologiczne i Etnograficzne w Łodzi, Łódzki Dom Kultury,</w:t>
      </w:r>
      <w:r w:rsidRPr="009A2154">
        <w:rPr>
          <w:rFonts w:ascii="Times New Roman" w:hAnsi="Times New Roman" w:cs="Times New Roman"/>
          <w:sz w:val="24"/>
          <w:szCs w:val="24"/>
        </w:rPr>
        <w:t xml:space="preserve"> </w:t>
      </w:r>
      <w:r w:rsidRPr="009A2154">
        <w:rPr>
          <w:rFonts w:ascii="Times New Roman" w:eastAsia="Times New Roman" w:hAnsi="Times New Roman" w:cs="Times New Roman"/>
          <w:sz w:val="24"/>
          <w:szCs w:val="24"/>
        </w:rPr>
        <w:t>Wojewódzka Biblioteka Publiczna im. Marszałka J. Piłsudskiego współpracują z organizacjami zrzeszającymi seniorów, np.: Uniwersytetami Trzeciego Wieku, Ponadczasowi bez granic, Activus, Związkami Weteranów itp. W instytucjach kultury prowadzono spotkania, wykłady o sztuce, w tym cykl wykładów w ramach programu „60+Kultura” pt. „Artyści z Kolekcji Muzeum Sztuki w Łodzi”; „Za kulisami Teatru”, koncerty Filharmonii Łódzkiej - wędrowny festiwal pn. „Kolory Polski”;</w:t>
      </w:r>
      <w:r w:rsidRPr="009A2154">
        <w:rPr>
          <w:rFonts w:ascii="Times New Roman" w:hAnsi="Times New Roman" w:cs="Times New Roman"/>
          <w:sz w:val="24"/>
          <w:szCs w:val="24"/>
        </w:rPr>
        <w:t xml:space="preserve"> </w:t>
      </w:r>
      <w:r w:rsidRPr="009A2154">
        <w:rPr>
          <w:rFonts w:ascii="Times New Roman" w:eastAsia="Times New Roman" w:hAnsi="Times New Roman" w:cs="Times New Roman"/>
          <w:sz w:val="24"/>
          <w:szCs w:val="24"/>
        </w:rPr>
        <w:t xml:space="preserve">Przegląd Twórczości Plastycznej Osób Chorych, Starszych i Niepełnosprawnych „Sztuka jak Balsam”. W ŁDK mają siedzibę stowarzyszenia kombatanckie i patriotyczne. Od 2016 r. </w:t>
      </w:r>
      <w:r w:rsidRPr="009A2154">
        <w:rPr>
          <w:rFonts w:ascii="Times New Roman" w:eastAsia="Times New Roman" w:hAnsi="Times New Roman" w:cs="Times New Roman"/>
          <w:sz w:val="24"/>
          <w:szCs w:val="24"/>
        </w:rPr>
        <w:lastRenderedPageBreak/>
        <w:t>ŁDK organizuje Wojewódzki Przegląd Twórczości Dojrzałej „Przystanek 60+”, którego celem jest edukacja kulturalna, promocja i rozwijanie twórczości kulturalnej osób 60+. W Kinie Szpulka organizowane są spotkania dla seniorów, koncerty, kursy, projekcje filmowe.</w:t>
      </w:r>
    </w:p>
    <w:p w14:paraId="56D6C00B" w14:textId="77777777" w:rsidR="009A2154" w:rsidRDefault="009A2154" w:rsidP="001024A6">
      <w:pPr>
        <w:spacing w:after="0"/>
        <w:jc w:val="both"/>
        <w:rPr>
          <w:rFonts w:ascii="Times New Roman" w:eastAsia="Times New Roman" w:hAnsi="Times New Roman" w:cs="Times New Roman"/>
          <w:sz w:val="24"/>
          <w:szCs w:val="24"/>
        </w:rPr>
      </w:pPr>
    </w:p>
    <w:p w14:paraId="079240E3" w14:textId="77777777" w:rsidR="00F31DCC" w:rsidRPr="00FD3AAE" w:rsidRDefault="00F31DCC" w:rsidP="008C71A9">
      <w:pPr>
        <w:pStyle w:val="Akapitzlist"/>
        <w:numPr>
          <w:ilvl w:val="0"/>
          <w:numId w:val="74"/>
        </w:numPr>
        <w:spacing w:after="0"/>
        <w:ind w:left="360"/>
        <w:jc w:val="both"/>
        <w:rPr>
          <w:rFonts w:ascii="Times New Roman" w:hAnsi="Times New Roman" w:cs="Times New Roman"/>
          <w:sz w:val="24"/>
          <w:szCs w:val="24"/>
        </w:rPr>
      </w:pPr>
      <w:r w:rsidRPr="00FD3AAE">
        <w:rPr>
          <w:rFonts w:ascii="Times New Roman" w:eastAsia="Times New Roman" w:hAnsi="Times New Roman" w:cs="Times New Roman"/>
          <w:sz w:val="24"/>
          <w:szCs w:val="24"/>
        </w:rPr>
        <w:t>Powiat bełchatowski</w:t>
      </w:r>
    </w:p>
    <w:p w14:paraId="10D0049B" w14:textId="77777777" w:rsidR="00FD3AAE" w:rsidRDefault="00F31DCC" w:rsidP="008C71A9">
      <w:pPr>
        <w:pStyle w:val="Default"/>
        <w:numPr>
          <w:ilvl w:val="0"/>
          <w:numId w:val="76"/>
        </w:numPr>
        <w:suppressAutoHyphens/>
        <w:autoSpaceDN/>
        <w:adjustRightInd/>
        <w:spacing w:line="276" w:lineRule="auto"/>
        <w:ind w:left="643"/>
        <w:jc w:val="both"/>
        <w:rPr>
          <w:rFonts w:ascii="Times New Roman" w:hAnsi="Times New Roman" w:cs="Times New Roman"/>
        </w:rPr>
      </w:pPr>
      <w:r w:rsidRPr="005F0A32">
        <w:rPr>
          <w:rFonts w:ascii="Times New Roman" w:hAnsi="Times New Roman" w:cs="Times New Roman"/>
        </w:rPr>
        <w:t xml:space="preserve">Zorganizowano „Przegląd Twórczości Osób Niepełnosprawnych”, których uczestnikami są m. in. osoby 60+.  Łącznie w Przeglądzie uczestniczyło ponad 350 osób. W ramach podjęcia działań na rzecz osób w wieku emerytalnym udzielono wsparcia następującym organizacjom pozarządowym na realizację zadań z zakresu kultury i sztuki, ochrony dóbr kultury i dziedzictwa narodowego: </w:t>
      </w:r>
      <w:r w:rsidRPr="005F0A32">
        <w:rPr>
          <w:rFonts w:ascii="Times New Roman" w:hAnsi="Times New Roman" w:cs="Times New Roman"/>
          <w:bCs/>
          <w:shd w:val="clear" w:color="auto" w:fill="FFFFFF"/>
        </w:rPr>
        <w:t xml:space="preserve">Stowarzyszenie „Grocholice – Łączymy Pokolenia” z/s w Bełchatowie - </w:t>
      </w:r>
      <w:r w:rsidRPr="005F0A32">
        <w:rPr>
          <w:rFonts w:ascii="Times New Roman" w:hAnsi="Times New Roman" w:cs="Times New Roman"/>
          <w:shd w:val="clear" w:color="auto" w:fill="FFFFFF"/>
        </w:rPr>
        <w:t xml:space="preserve">„Grocholice – Łączymy Pokolenia. Kultura dla Seniora, Senior dla Kultury”; </w:t>
      </w:r>
      <w:r w:rsidRPr="005F0A32">
        <w:rPr>
          <w:rFonts w:ascii="Times New Roman" w:hAnsi="Times New Roman" w:cs="Times New Roman"/>
          <w:bCs/>
        </w:rPr>
        <w:t xml:space="preserve">Stowarzyszenie Emerytów i Rencistów w Ruścu - </w:t>
      </w:r>
      <w:r w:rsidRPr="005F0A32">
        <w:rPr>
          <w:rFonts w:ascii="Times New Roman" w:hAnsi="Times New Roman" w:cs="Times New Roman"/>
          <w:shd w:val="clear" w:color="auto" w:fill="FFFFFF"/>
        </w:rPr>
        <w:t xml:space="preserve">„Seniorzy blisko z kulturą”; </w:t>
      </w:r>
      <w:r w:rsidRPr="005F0A32">
        <w:rPr>
          <w:rFonts w:ascii="Times New Roman" w:hAnsi="Times New Roman" w:cs="Times New Roman"/>
          <w:bCs/>
          <w:shd w:val="clear" w:color="auto" w:fill="FFFFFF"/>
        </w:rPr>
        <w:t xml:space="preserve">Polski Związek, Emerytów, Rencistów i Inwalidów – Oddział w Zelowie - </w:t>
      </w:r>
      <w:r w:rsidRPr="005F0A32">
        <w:rPr>
          <w:rFonts w:ascii="Times New Roman" w:hAnsi="Times New Roman" w:cs="Times New Roman"/>
          <w:shd w:val="clear" w:color="auto" w:fill="FFFFFF"/>
        </w:rPr>
        <w:t>„Podjęte działania na rzecz osób w wieku emerytalnym”</w:t>
      </w:r>
    </w:p>
    <w:p w14:paraId="174D745F" w14:textId="77777777" w:rsidR="00FD3AAE" w:rsidRDefault="00F31DCC" w:rsidP="008C71A9">
      <w:pPr>
        <w:pStyle w:val="Default"/>
        <w:numPr>
          <w:ilvl w:val="0"/>
          <w:numId w:val="76"/>
        </w:numPr>
        <w:suppressAutoHyphens/>
        <w:autoSpaceDN/>
        <w:adjustRightInd/>
        <w:spacing w:line="276" w:lineRule="auto"/>
        <w:ind w:left="643"/>
        <w:jc w:val="both"/>
        <w:rPr>
          <w:rFonts w:ascii="Times New Roman" w:hAnsi="Times New Roman" w:cs="Times New Roman"/>
        </w:rPr>
      </w:pPr>
      <w:r w:rsidRPr="00FD3AAE">
        <w:rPr>
          <w:rFonts w:ascii="Times New Roman" w:hAnsi="Times New Roman" w:cs="Times New Roman"/>
        </w:rPr>
        <w:t>Finansowano i organizowano przewóz dla osób niepełnosprawnych na zabiegi stomatologiczne w znieczuleniu ogólnym do Łodzi, z którego mogą korzystać osoby min. 60+. W oparciu o współpracę z Powiatowym Centrum Sportu w Bełchatowie zapewniono możliwość nieodpłatnego korzystania z basenu przez osoby niepełnosprawne.</w:t>
      </w:r>
    </w:p>
    <w:p w14:paraId="11760D9F" w14:textId="77777777" w:rsidR="00FD3AAE" w:rsidRDefault="00F31DCC" w:rsidP="008C71A9">
      <w:pPr>
        <w:pStyle w:val="Default"/>
        <w:numPr>
          <w:ilvl w:val="0"/>
          <w:numId w:val="76"/>
        </w:numPr>
        <w:suppressAutoHyphens/>
        <w:autoSpaceDN/>
        <w:adjustRightInd/>
        <w:spacing w:line="276" w:lineRule="auto"/>
        <w:ind w:left="643"/>
        <w:jc w:val="both"/>
        <w:rPr>
          <w:rFonts w:ascii="Times New Roman" w:hAnsi="Times New Roman" w:cs="Times New Roman"/>
        </w:rPr>
      </w:pPr>
      <w:r w:rsidRPr="00FD3AAE">
        <w:rPr>
          <w:rFonts w:ascii="Times New Roman" w:hAnsi="Times New Roman" w:cs="Times New Roman"/>
        </w:rPr>
        <w:t xml:space="preserve">W ramach zadań własnych z zakresu promocji i ochrony zdrowia realizowano „Program profilaktyki raka gruczołu krokowego skierowanego </w:t>
      </w:r>
      <w:r w:rsidR="00FD3AAE">
        <w:rPr>
          <w:rFonts w:ascii="Times New Roman" w:hAnsi="Times New Roman" w:cs="Times New Roman"/>
        </w:rPr>
        <w:t>do mężczyzn  do 75 r.ż.</w:t>
      </w:r>
    </w:p>
    <w:p w14:paraId="78F54D92" w14:textId="77777777" w:rsidR="00FD3AAE" w:rsidRDefault="00F31DCC" w:rsidP="008C71A9">
      <w:pPr>
        <w:pStyle w:val="Default"/>
        <w:numPr>
          <w:ilvl w:val="0"/>
          <w:numId w:val="76"/>
        </w:numPr>
        <w:suppressAutoHyphens/>
        <w:autoSpaceDN/>
        <w:adjustRightInd/>
        <w:spacing w:line="276" w:lineRule="auto"/>
        <w:ind w:left="643"/>
        <w:jc w:val="both"/>
        <w:rPr>
          <w:rFonts w:ascii="Times New Roman" w:hAnsi="Times New Roman" w:cs="Times New Roman"/>
        </w:rPr>
      </w:pPr>
      <w:r w:rsidRPr="00FD3AAE">
        <w:rPr>
          <w:rFonts w:ascii="Times New Roman" w:hAnsi="Times New Roman" w:cs="Times New Roman"/>
        </w:rPr>
        <w:t>Powiat zapewniał poradnictwo specjalistyczne, w szczególności psychologiczne, dla osób będących w sytuacjach kryzysowych. Zatrudnieni specjaliści: psycholodzy, specjalista przeciwdziałania przemocy w rodzinie, terapeuci, udzielali bezpłatnych porad/wsparcia mieszkańcom gmin z obszaru Powiatu Bełchatowskiego.</w:t>
      </w:r>
    </w:p>
    <w:p w14:paraId="75ADDECF" w14:textId="77777777" w:rsidR="00FD3AAE" w:rsidRDefault="00F31DCC" w:rsidP="008C71A9">
      <w:pPr>
        <w:pStyle w:val="Default"/>
        <w:numPr>
          <w:ilvl w:val="0"/>
          <w:numId w:val="76"/>
        </w:numPr>
        <w:suppressAutoHyphens/>
        <w:autoSpaceDN/>
        <w:adjustRightInd/>
        <w:spacing w:line="276" w:lineRule="auto"/>
        <w:ind w:left="643"/>
        <w:jc w:val="both"/>
        <w:rPr>
          <w:rFonts w:ascii="Times New Roman" w:hAnsi="Times New Roman" w:cs="Times New Roman"/>
        </w:rPr>
      </w:pPr>
      <w:r w:rsidRPr="00FD3AAE">
        <w:rPr>
          <w:rFonts w:ascii="Times New Roman" w:hAnsi="Times New Roman" w:cs="Times New Roman"/>
        </w:rPr>
        <w:t>W Powiatowym Centrum Sportu w Bełchatowie realizowano zadanie „Program 50+”, w ramach którego odbywały się zajęcia sportowe fitness dla seniorów.</w:t>
      </w:r>
    </w:p>
    <w:p w14:paraId="2A49A64F" w14:textId="77777777" w:rsidR="00FD3AAE" w:rsidRDefault="00F31DCC" w:rsidP="008C71A9">
      <w:pPr>
        <w:pStyle w:val="Default"/>
        <w:numPr>
          <w:ilvl w:val="0"/>
          <w:numId w:val="76"/>
        </w:numPr>
        <w:suppressAutoHyphens/>
        <w:autoSpaceDN/>
        <w:adjustRightInd/>
        <w:spacing w:line="276" w:lineRule="auto"/>
        <w:ind w:left="643"/>
        <w:jc w:val="both"/>
        <w:rPr>
          <w:rFonts w:ascii="Times New Roman" w:hAnsi="Times New Roman" w:cs="Times New Roman"/>
        </w:rPr>
      </w:pPr>
      <w:r w:rsidRPr="00FD3AAE">
        <w:rPr>
          <w:rFonts w:ascii="Times New Roman" w:hAnsi="Times New Roman" w:cs="Times New Roman"/>
        </w:rPr>
        <w:t>Powiat bełchatowski zrealizował działania z zakresu edukacji ekologicznej dla osób starszych prowadzone przez Klub Emerytów, Rencistów i Inwalidów „Energetyk”- konkurs "Najpiękniejszy  balkon i ogródek przydomowy”; Zespół ,,Promienie Bełchatowa" - wyjazd na Festiwal Piosenki Ekologicznej i Ludowej; Klub ,,Bajka" - wyjazd seniorów do ekologicznego Zakątka Polski (Wrocław) oraz do Tatrzańskiego Parku Narodowego; Kluby Seniora ,,Pogodna Jesień" i „Sami Swoi” -  wyjazd edukacyjny po Ziemi Kieleckiej; Klub Seniora „Nie ma mocnych” -  wyjazd edukacyjny do Zamku Książ.</w:t>
      </w:r>
    </w:p>
    <w:p w14:paraId="667DE8F5" w14:textId="77777777" w:rsidR="00F31DCC" w:rsidRPr="00FD3AAE" w:rsidRDefault="00F31DCC" w:rsidP="008C71A9">
      <w:pPr>
        <w:pStyle w:val="Default"/>
        <w:numPr>
          <w:ilvl w:val="0"/>
          <w:numId w:val="76"/>
        </w:numPr>
        <w:suppressAutoHyphens/>
        <w:autoSpaceDN/>
        <w:adjustRightInd/>
        <w:spacing w:line="276" w:lineRule="auto"/>
        <w:ind w:left="643"/>
        <w:jc w:val="both"/>
        <w:rPr>
          <w:rFonts w:ascii="Times New Roman" w:hAnsi="Times New Roman" w:cs="Times New Roman"/>
        </w:rPr>
      </w:pPr>
      <w:r w:rsidRPr="00FD3AAE">
        <w:rPr>
          <w:rFonts w:ascii="Times New Roman" w:hAnsi="Times New Roman" w:cs="Times New Roman"/>
        </w:rPr>
        <w:t>Prowadzone są 2 domy pomocy społecznej o zasięgu ponadgminnym: DPS w Bełchatowie dysponuje 92 miejscami; ( 1 miejsce interwencyjne dla osób przewlekle somatycznie chorych, będących w sytuacji kryzysowej wymagających całodobowej opieki, którym nie ma możliwości zapewnienia opieki w miejscu zamieszkania) oraz DPS w Zabłotach, który dysponuje 80 miejscami.</w:t>
      </w:r>
    </w:p>
    <w:p w14:paraId="075EEB0E" w14:textId="77777777" w:rsidR="00F31DCC" w:rsidRPr="005F0A32" w:rsidRDefault="00F31DCC" w:rsidP="003C1988">
      <w:pPr>
        <w:spacing w:after="0"/>
        <w:rPr>
          <w:rFonts w:ascii="Times New Roman" w:eastAsia="Times New Roman" w:hAnsi="Times New Roman" w:cs="Times New Roman"/>
          <w:sz w:val="24"/>
          <w:szCs w:val="24"/>
        </w:rPr>
      </w:pPr>
    </w:p>
    <w:p w14:paraId="5F6C28B6" w14:textId="77777777" w:rsidR="00F31DCC" w:rsidRPr="00FD3AAE" w:rsidRDefault="00F31DCC" w:rsidP="008C71A9">
      <w:pPr>
        <w:pStyle w:val="Akapitzlist"/>
        <w:numPr>
          <w:ilvl w:val="0"/>
          <w:numId w:val="75"/>
        </w:numPr>
        <w:spacing w:after="0"/>
        <w:ind w:left="360"/>
        <w:jc w:val="both"/>
        <w:rPr>
          <w:rFonts w:ascii="Times New Roman" w:hAnsi="Times New Roman" w:cs="Times New Roman"/>
          <w:sz w:val="24"/>
          <w:szCs w:val="24"/>
        </w:rPr>
      </w:pPr>
      <w:r w:rsidRPr="00FD3AAE">
        <w:rPr>
          <w:rFonts w:ascii="Times New Roman" w:eastAsia="Times New Roman" w:hAnsi="Times New Roman" w:cs="Times New Roman"/>
          <w:sz w:val="24"/>
          <w:szCs w:val="24"/>
        </w:rPr>
        <w:t>Powiat brzeziński</w:t>
      </w:r>
    </w:p>
    <w:p w14:paraId="5362C9E6" w14:textId="77777777" w:rsidR="00F31DCC" w:rsidRPr="00F17107" w:rsidRDefault="00F31DCC" w:rsidP="008C71A9">
      <w:pPr>
        <w:pStyle w:val="Akapitzlist"/>
        <w:numPr>
          <w:ilvl w:val="0"/>
          <w:numId w:val="244"/>
        </w:numPr>
        <w:spacing w:after="0"/>
        <w:ind w:left="643"/>
        <w:jc w:val="both"/>
        <w:rPr>
          <w:rFonts w:ascii="Times New Roman" w:hAnsi="Times New Roman" w:cs="Times New Roman"/>
          <w:sz w:val="24"/>
          <w:szCs w:val="24"/>
        </w:rPr>
      </w:pPr>
      <w:r w:rsidRPr="00F17107">
        <w:rPr>
          <w:rFonts w:ascii="Times New Roman" w:hAnsi="Times New Roman" w:cs="Times New Roman"/>
          <w:sz w:val="24"/>
          <w:szCs w:val="24"/>
        </w:rPr>
        <w:t>Na terenie powiatu brze</w:t>
      </w:r>
      <w:r w:rsidR="00F17107">
        <w:rPr>
          <w:rFonts w:ascii="Times New Roman" w:hAnsi="Times New Roman" w:cs="Times New Roman"/>
          <w:sz w:val="24"/>
          <w:szCs w:val="24"/>
        </w:rPr>
        <w:t>zińskiego od 14 lutego 2012 r.</w:t>
      </w:r>
      <w:r w:rsidRPr="00F17107">
        <w:rPr>
          <w:rFonts w:ascii="Times New Roman" w:hAnsi="Times New Roman" w:cs="Times New Roman"/>
          <w:sz w:val="24"/>
          <w:szCs w:val="24"/>
        </w:rPr>
        <w:t xml:space="preserve"> działa Uniwersytet Trzeciego Wieku prowadzony przez Stowarzyszenie Rozwoju Powiatu Brzezińskiego „Nasz </w:t>
      </w:r>
      <w:r w:rsidRPr="00F17107">
        <w:rPr>
          <w:rFonts w:ascii="Times New Roman" w:hAnsi="Times New Roman" w:cs="Times New Roman"/>
          <w:sz w:val="24"/>
          <w:szCs w:val="24"/>
        </w:rPr>
        <w:lastRenderedPageBreak/>
        <w:t>Powiat”. Informacje nt. działalności UTW są dostępne na stronie Stowarzyszenia</w:t>
      </w:r>
      <w:r w:rsidR="00F17107">
        <w:rPr>
          <w:rStyle w:val="Odwoanieprzypisudolnego"/>
          <w:rFonts w:ascii="Times New Roman" w:hAnsi="Times New Roman" w:cs="Times New Roman"/>
          <w:sz w:val="24"/>
          <w:szCs w:val="24"/>
        </w:rPr>
        <w:footnoteReference w:id="99"/>
      </w:r>
      <w:r w:rsidRPr="00F17107">
        <w:rPr>
          <w:rFonts w:ascii="Times New Roman" w:hAnsi="Times New Roman" w:cs="Times New Roman"/>
          <w:sz w:val="24"/>
          <w:szCs w:val="24"/>
        </w:rPr>
        <w:t xml:space="preserve"> i Sta</w:t>
      </w:r>
      <w:r w:rsidR="00F17107">
        <w:rPr>
          <w:rFonts w:ascii="Times New Roman" w:hAnsi="Times New Roman" w:cs="Times New Roman"/>
          <w:sz w:val="24"/>
          <w:szCs w:val="24"/>
        </w:rPr>
        <w:t>rostwa Powiatowego w Brzezinach</w:t>
      </w:r>
      <w:r w:rsidR="00F17107">
        <w:rPr>
          <w:rStyle w:val="Odwoanieprzypisudolnego"/>
          <w:rFonts w:ascii="Times New Roman" w:hAnsi="Times New Roman" w:cs="Times New Roman"/>
          <w:sz w:val="24"/>
          <w:szCs w:val="24"/>
        </w:rPr>
        <w:footnoteReference w:id="100"/>
      </w:r>
      <w:r w:rsidR="00F17107">
        <w:rPr>
          <w:rFonts w:ascii="Times New Roman" w:hAnsi="Times New Roman" w:cs="Times New Roman"/>
          <w:sz w:val="24"/>
          <w:szCs w:val="24"/>
        </w:rPr>
        <w:t>.</w:t>
      </w:r>
    </w:p>
    <w:p w14:paraId="0FE85918" w14:textId="77777777" w:rsidR="00F97394" w:rsidRDefault="00F97394" w:rsidP="001024A6">
      <w:pPr>
        <w:spacing w:after="0"/>
        <w:jc w:val="both"/>
        <w:rPr>
          <w:rFonts w:ascii="Times New Roman" w:eastAsia="Times New Roman" w:hAnsi="Times New Roman" w:cs="Times New Roman"/>
          <w:sz w:val="24"/>
          <w:szCs w:val="24"/>
        </w:rPr>
      </w:pPr>
    </w:p>
    <w:p w14:paraId="5FAEADB5" w14:textId="77777777" w:rsidR="00F31DCC" w:rsidRPr="00F97394" w:rsidRDefault="00F31DCC" w:rsidP="008C71A9">
      <w:pPr>
        <w:pStyle w:val="Akapitzlist"/>
        <w:numPr>
          <w:ilvl w:val="0"/>
          <w:numId w:val="77"/>
        </w:numPr>
        <w:spacing w:after="0"/>
        <w:ind w:left="360"/>
        <w:jc w:val="both"/>
        <w:rPr>
          <w:rFonts w:ascii="Times New Roman" w:hAnsi="Times New Roman" w:cs="Times New Roman"/>
          <w:sz w:val="24"/>
          <w:szCs w:val="24"/>
        </w:rPr>
      </w:pPr>
      <w:r w:rsidRPr="00F97394">
        <w:rPr>
          <w:rFonts w:ascii="Times New Roman" w:eastAsia="Times New Roman" w:hAnsi="Times New Roman" w:cs="Times New Roman"/>
          <w:sz w:val="24"/>
          <w:szCs w:val="24"/>
        </w:rPr>
        <w:t>Powiat kutnowski</w:t>
      </w:r>
    </w:p>
    <w:p w14:paraId="4B4AD73D" w14:textId="77777777" w:rsidR="00F31DCC" w:rsidRPr="00C1178B" w:rsidRDefault="00F31DCC" w:rsidP="008C71A9">
      <w:pPr>
        <w:pStyle w:val="Akapitzlist"/>
        <w:numPr>
          <w:ilvl w:val="0"/>
          <w:numId w:val="78"/>
        </w:numPr>
        <w:spacing w:after="0"/>
        <w:ind w:left="643"/>
        <w:jc w:val="both"/>
        <w:rPr>
          <w:rFonts w:ascii="Times New Roman" w:hAnsi="Times New Roman" w:cs="Times New Roman"/>
          <w:sz w:val="24"/>
          <w:szCs w:val="24"/>
        </w:rPr>
      </w:pPr>
      <w:r w:rsidRPr="00C1178B">
        <w:rPr>
          <w:rFonts w:ascii="Times New Roman" w:eastAsia="Times New Roman" w:hAnsi="Times New Roman" w:cs="Times New Roman"/>
          <w:sz w:val="24"/>
          <w:szCs w:val="24"/>
        </w:rPr>
        <w:t>Program pod nazwą „Wsparcie społeczne dla osób z niepełnosprawnością oraz osób w wieku emerytalnym” z podziałem na trzy bloki tematyczne – kulturalny senior, aktywny senior i senior potrafi, w trakcie którego zorganizowano: wyjście do teatru (100 osób), do kina (50 osób), gimnastyka w basenie (30 osób), turniej gry w kręgle (30 osób), warsztaty taneczne ( 30 osób), 3 warsztaty plastyczne ( 90 osób).</w:t>
      </w:r>
    </w:p>
    <w:p w14:paraId="11301AE0" w14:textId="77777777" w:rsidR="00F31DCC" w:rsidRPr="00C1178B" w:rsidRDefault="00F31DCC" w:rsidP="008C71A9">
      <w:pPr>
        <w:pStyle w:val="Akapitzlist"/>
        <w:numPr>
          <w:ilvl w:val="0"/>
          <w:numId w:val="78"/>
        </w:numPr>
        <w:spacing w:after="0"/>
        <w:ind w:left="643"/>
        <w:jc w:val="both"/>
        <w:rPr>
          <w:rFonts w:ascii="Times New Roman" w:hAnsi="Times New Roman" w:cs="Times New Roman"/>
          <w:sz w:val="24"/>
          <w:szCs w:val="24"/>
        </w:rPr>
      </w:pPr>
      <w:r w:rsidRPr="00C1178B">
        <w:rPr>
          <w:rFonts w:ascii="Times New Roman" w:eastAsia="Times New Roman" w:hAnsi="Times New Roman" w:cs="Times New Roman"/>
          <w:sz w:val="24"/>
          <w:szCs w:val="24"/>
        </w:rPr>
        <w:t xml:space="preserve">Program „Edukacja kulturalna dorosłych mająca na celu aktywizację intelektualną i kulturalną osób w wieku emerytalnym”. Programem objęto 120 osób, w tym u 100 osób powyżej 60 roku życia. </w:t>
      </w:r>
    </w:p>
    <w:p w14:paraId="7D83C36F" w14:textId="77777777" w:rsidR="00F31DCC" w:rsidRPr="00C1178B" w:rsidRDefault="00F31DCC" w:rsidP="008C71A9">
      <w:pPr>
        <w:pStyle w:val="Akapitzlist"/>
        <w:numPr>
          <w:ilvl w:val="0"/>
          <w:numId w:val="78"/>
        </w:numPr>
        <w:spacing w:after="0"/>
        <w:ind w:left="643"/>
        <w:jc w:val="both"/>
        <w:rPr>
          <w:rFonts w:ascii="Times New Roman" w:hAnsi="Times New Roman" w:cs="Times New Roman"/>
          <w:sz w:val="24"/>
          <w:szCs w:val="24"/>
        </w:rPr>
      </w:pPr>
      <w:r w:rsidRPr="00C1178B">
        <w:rPr>
          <w:rFonts w:ascii="Times New Roman" w:eastAsia="Times New Roman" w:hAnsi="Times New Roman" w:cs="Times New Roman"/>
          <w:sz w:val="24"/>
          <w:szCs w:val="24"/>
        </w:rPr>
        <w:t>Projekt ,,Kolorowe jarmarki – kulturalny kiermasz rozmaitości” skierowany jest do osób niepełnosprawnych, w wieku emerytalnym przebywających w domach pomocy społecznej i wychowanków placówek opiekuńczo –wychowawczych. na terenie powiatu kutnowskiego oraz uczniów szkół podstawowych i gimnazjów z terenu powiatu kutnowskiego.</w:t>
      </w:r>
    </w:p>
    <w:p w14:paraId="42ED8524" w14:textId="77777777" w:rsidR="00C1178B" w:rsidRPr="00C1178B" w:rsidRDefault="00F31DCC" w:rsidP="008C71A9">
      <w:pPr>
        <w:pStyle w:val="Akapitzlist"/>
        <w:numPr>
          <w:ilvl w:val="0"/>
          <w:numId w:val="78"/>
        </w:numPr>
        <w:spacing w:after="0"/>
        <w:ind w:left="643"/>
        <w:jc w:val="both"/>
        <w:rPr>
          <w:rFonts w:ascii="Times New Roman" w:hAnsi="Times New Roman" w:cs="Times New Roman"/>
          <w:sz w:val="24"/>
          <w:szCs w:val="24"/>
        </w:rPr>
      </w:pPr>
      <w:r w:rsidRPr="00C1178B">
        <w:rPr>
          <w:rFonts w:ascii="Times New Roman" w:eastAsia="Times New Roman" w:hAnsi="Times New Roman" w:cs="Times New Roman"/>
          <w:sz w:val="24"/>
          <w:szCs w:val="24"/>
        </w:rPr>
        <w:t>Program pod nazwą „V Spartakiada międzypokoleniowa MIDAS – mali i duzi aktywni sportowo”, w ramach któ</w:t>
      </w:r>
      <w:r w:rsidR="00E35B17">
        <w:rPr>
          <w:rFonts w:ascii="Times New Roman" w:eastAsia="Times New Roman" w:hAnsi="Times New Roman" w:cs="Times New Roman"/>
          <w:sz w:val="24"/>
          <w:szCs w:val="24"/>
        </w:rPr>
        <w:t>rego w dniu 30.09.2019 r.</w:t>
      </w:r>
      <w:r w:rsidRPr="00C1178B">
        <w:rPr>
          <w:rFonts w:ascii="Times New Roman" w:eastAsia="Times New Roman" w:hAnsi="Times New Roman" w:cs="Times New Roman"/>
          <w:sz w:val="24"/>
          <w:szCs w:val="24"/>
        </w:rPr>
        <w:t xml:space="preserve"> odbyły się konkursy sportowe dla mieszkańców domów pomocy społecznej.</w:t>
      </w:r>
    </w:p>
    <w:p w14:paraId="2D198DD2" w14:textId="77777777" w:rsidR="00F31DCC" w:rsidRPr="00C1178B" w:rsidRDefault="00F31DCC" w:rsidP="008C71A9">
      <w:pPr>
        <w:pStyle w:val="Akapitzlist"/>
        <w:numPr>
          <w:ilvl w:val="0"/>
          <w:numId w:val="78"/>
        </w:numPr>
        <w:spacing w:after="0"/>
        <w:ind w:left="643"/>
        <w:jc w:val="both"/>
        <w:rPr>
          <w:rFonts w:ascii="Times New Roman" w:hAnsi="Times New Roman" w:cs="Times New Roman"/>
          <w:sz w:val="24"/>
          <w:szCs w:val="24"/>
        </w:rPr>
      </w:pPr>
      <w:r w:rsidRPr="00C1178B">
        <w:rPr>
          <w:rFonts w:ascii="Times New Roman" w:eastAsia="Times New Roman" w:hAnsi="Times New Roman" w:cs="Times New Roman"/>
          <w:sz w:val="24"/>
          <w:szCs w:val="24"/>
        </w:rPr>
        <w:t>Na terenie powiatu kutnowskiego funkcjonuje 6 domów pomocy społecznej w tym 2 są przeznaczone dla osób w podeszłym wieku i osób przewlekle somatycznie chorych: Dom Pomocy Społecznej w Kutnie ul. Krzywoustego 11 i Dom Pomocy Społecznej w Pniewie.</w:t>
      </w:r>
    </w:p>
    <w:p w14:paraId="48627FAA" w14:textId="77777777" w:rsidR="00C1178B" w:rsidRDefault="00C1178B" w:rsidP="001024A6">
      <w:pPr>
        <w:spacing w:after="0"/>
        <w:jc w:val="both"/>
        <w:rPr>
          <w:rFonts w:ascii="Times New Roman" w:eastAsia="Times New Roman" w:hAnsi="Times New Roman" w:cs="Times New Roman"/>
          <w:sz w:val="24"/>
          <w:szCs w:val="24"/>
        </w:rPr>
      </w:pPr>
    </w:p>
    <w:p w14:paraId="05C87673" w14:textId="77777777" w:rsidR="00F31DCC" w:rsidRPr="00C1178B" w:rsidRDefault="00F31DCC" w:rsidP="008C71A9">
      <w:pPr>
        <w:pStyle w:val="Akapitzlist"/>
        <w:numPr>
          <w:ilvl w:val="0"/>
          <w:numId w:val="79"/>
        </w:numPr>
        <w:spacing w:after="0"/>
        <w:ind w:left="360"/>
        <w:jc w:val="both"/>
        <w:rPr>
          <w:rFonts w:ascii="Times New Roman" w:hAnsi="Times New Roman" w:cs="Times New Roman"/>
          <w:sz w:val="24"/>
          <w:szCs w:val="24"/>
        </w:rPr>
      </w:pPr>
      <w:r w:rsidRPr="00C1178B">
        <w:rPr>
          <w:rFonts w:ascii="Times New Roman" w:eastAsia="Times New Roman" w:hAnsi="Times New Roman" w:cs="Times New Roman"/>
          <w:sz w:val="24"/>
          <w:szCs w:val="24"/>
        </w:rPr>
        <w:t>Łódź - Miasto na prawach powiatu</w:t>
      </w:r>
    </w:p>
    <w:p w14:paraId="7674DD82" w14:textId="77777777" w:rsidR="00F31DCC" w:rsidRPr="00C1178B" w:rsidRDefault="00F31DCC" w:rsidP="008C71A9">
      <w:pPr>
        <w:pStyle w:val="Akapitzlist"/>
        <w:numPr>
          <w:ilvl w:val="2"/>
          <w:numId w:val="80"/>
        </w:numPr>
        <w:spacing w:after="0"/>
        <w:ind w:left="643"/>
        <w:jc w:val="both"/>
        <w:rPr>
          <w:rFonts w:ascii="Times New Roman" w:hAnsi="Times New Roman" w:cs="Times New Roman"/>
          <w:sz w:val="24"/>
          <w:szCs w:val="24"/>
        </w:rPr>
      </w:pPr>
      <w:r w:rsidRPr="00C1178B">
        <w:rPr>
          <w:rFonts w:ascii="Times New Roman" w:eastAsia="Times New Roman" w:hAnsi="Times New Roman" w:cs="Times New Roman"/>
          <w:sz w:val="24"/>
          <w:szCs w:val="24"/>
        </w:rPr>
        <w:t>Propagowanie wśród klientów świadczeń usług telekomunikacyjnych, w ramach projektu pn. „Łódź- Miasto (Tele) Opieki ( tzw. opaska bezpieczeństwa) oraz „Karty Seniora” i wynikających z niej ulg i uprawnień.</w:t>
      </w:r>
    </w:p>
    <w:p w14:paraId="7C62CC38" w14:textId="77777777" w:rsidR="00E35B17" w:rsidRPr="00E35B17" w:rsidRDefault="00F31DCC" w:rsidP="008C71A9">
      <w:pPr>
        <w:pStyle w:val="Akapitzlist"/>
        <w:numPr>
          <w:ilvl w:val="2"/>
          <w:numId w:val="80"/>
        </w:numPr>
        <w:spacing w:after="0"/>
        <w:ind w:left="643"/>
        <w:jc w:val="both"/>
        <w:rPr>
          <w:rFonts w:ascii="Times New Roman" w:hAnsi="Times New Roman" w:cs="Times New Roman"/>
          <w:sz w:val="24"/>
          <w:szCs w:val="24"/>
        </w:rPr>
      </w:pPr>
      <w:r w:rsidRPr="00C1178B">
        <w:rPr>
          <w:rFonts w:ascii="Times New Roman" w:eastAsia="Times New Roman" w:hAnsi="Times New Roman" w:cs="Times New Roman"/>
          <w:sz w:val="24"/>
          <w:szCs w:val="24"/>
        </w:rPr>
        <w:t>Realizacja programów obejmujących pomocą usługową i udzielanie wsparcia osobom korzystającym z usług opiekuńczych i członków ich rodzin, np:</w:t>
      </w:r>
    </w:p>
    <w:p w14:paraId="75417441" w14:textId="77777777" w:rsidR="00E35B17" w:rsidRPr="00E35B17" w:rsidRDefault="00F31DCC" w:rsidP="008C71A9">
      <w:pPr>
        <w:pStyle w:val="Akapitzlist"/>
        <w:numPr>
          <w:ilvl w:val="2"/>
          <w:numId w:val="80"/>
        </w:numPr>
        <w:spacing w:after="0"/>
        <w:ind w:left="643"/>
        <w:jc w:val="both"/>
        <w:rPr>
          <w:rFonts w:ascii="Times New Roman" w:hAnsi="Times New Roman" w:cs="Times New Roman"/>
          <w:sz w:val="24"/>
          <w:szCs w:val="24"/>
        </w:rPr>
      </w:pPr>
      <w:r w:rsidRPr="00E35B17">
        <w:rPr>
          <w:rFonts w:ascii="Times New Roman" w:eastAsia="Times New Roman" w:hAnsi="Times New Roman" w:cs="Times New Roman"/>
          <w:sz w:val="24"/>
          <w:szCs w:val="24"/>
        </w:rPr>
        <w:t xml:space="preserve"> ”Opiekuńcza Łódź”- skierowany do osób zależnych lub niesamodzielnych, w tym osób starszych lub z niepełnosprawnościami, oraz do ich rodzin i opiekunów faktycznych. Uczestnicy projektu uzyskali dostęp do takich form pomocy jak: wsparcie psychologa, wsparcie Asystenta Osobistego Osoby Niepełnosprawnej, miejsca w mieszkaniach wspomaganych, miejsca w rodzinnym domu pomocy społecznej, usługi opiekuńcze w miejscu zamieszkania, dostęp do wypożyczalni sprzętu wspomagającego lub pielęgnacyjnego. Do 31.12.2019 r. ze wsparcia w ramach projektu skorzystały 843 osoby. </w:t>
      </w:r>
    </w:p>
    <w:p w14:paraId="6B15E1D0" w14:textId="77777777" w:rsidR="00F31DCC" w:rsidRPr="00E35B17" w:rsidRDefault="00F31DCC" w:rsidP="008C71A9">
      <w:pPr>
        <w:pStyle w:val="Akapitzlist"/>
        <w:numPr>
          <w:ilvl w:val="2"/>
          <w:numId w:val="80"/>
        </w:numPr>
        <w:spacing w:after="0"/>
        <w:ind w:left="643"/>
        <w:jc w:val="both"/>
        <w:rPr>
          <w:rFonts w:ascii="Times New Roman" w:hAnsi="Times New Roman" w:cs="Times New Roman"/>
          <w:sz w:val="24"/>
          <w:szCs w:val="24"/>
        </w:rPr>
      </w:pPr>
      <w:r w:rsidRPr="00E35B17">
        <w:rPr>
          <w:rFonts w:ascii="Times New Roman" w:eastAsia="Times New Roman" w:hAnsi="Times New Roman" w:cs="Times New Roman"/>
          <w:sz w:val="24"/>
          <w:szCs w:val="24"/>
        </w:rPr>
        <w:t xml:space="preserve">”Program usługi opiekuńcze dla osób niepełnosprawnych”, skierowany do osób do 75 roku życia ze znacznym orzeczeniem niepełnosprawności bądź całkowicie niezdolnym samodzielnej egzystencji. Program miał na celu poprawę jakości świadczonych usług opiekuńczych oraz zwiększenie dostępności do usług opiekuńczych. W 2019 r. w ramach </w:t>
      </w:r>
      <w:r w:rsidRPr="00E35B17">
        <w:rPr>
          <w:rFonts w:ascii="Times New Roman" w:eastAsia="Times New Roman" w:hAnsi="Times New Roman" w:cs="Times New Roman"/>
          <w:sz w:val="24"/>
          <w:szCs w:val="24"/>
        </w:rPr>
        <w:lastRenderedPageBreak/>
        <w:t>Programu pomocą usługową objęto 364 osoby. Zrealizowano łącznie 89 506 godzin usług.</w:t>
      </w:r>
    </w:p>
    <w:p w14:paraId="4184E0AC" w14:textId="77777777" w:rsidR="00F31DCC" w:rsidRPr="00C1178B" w:rsidRDefault="00F31DCC" w:rsidP="008C71A9">
      <w:pPr>
        <w:pStyle w:val="Akapitzlist"/>
        <w:numPr>
          <w:ilvl w:val="0"/>
          <w:numId w:val="81"/>
        </w:numPr>
        <w:spacing w:after="0"/>
        <w:ind w:left="643"/>
        <w:jc w:val="both"/>
        <w:rPr>
          <w:rFonts w:ascii="Times New Roman" w:hAnsi="Times New Roman" w:cs="Times New Roman"/>
          <w:sz w:val="24"/>
          <w:szCs w:val="24"/>
        </w:rPr>
      </w:pPr>
      <w:r w:rsidRPr="00C1178B">
        <w:rPr>
          <w:rFonts w:ascii="Times New Roman" w:eastAsia="Times New Roman" w:hAnsi="Times New Roman" w:cs="Times New Roman"/>
          <w:sz w:val="24"/>
          <w:szCs w:val="24"/>
        </w:rPr>
        <w:t>Projekt Senior – Junior. Pilotażowy projekt społeczny skierowany do osób 60+ i młodzieży z domów dziecka i rodzin zastępczych z Łodzi, realizowany przez Fundację Robinson Crusoe we współpracy z Miejskim Ośrodkiem Pomocy Społecznej w Łod</w:t>
      </w:r>
      <w:r w:rsidR="00E35B17">
        <w:rPr>
          <w:rFonts w:ascii="Times New Roman" w:eastAsia="Times New Roman" w:hAnsi="Times New Roman" w:cs="Times New Roman"/>
          <w:sz w:val="24"/>
          <w:szCs w:val="24"/>
        </w:rPr>
        <w:t>zi na przełomie 2018 i 2019 r</w:t>
      </w:r>
      <w:r w:rsidRPr="00C1178B">
        <w:rPr>
          <w:rFonts w:ascii="Times New Roman" w:eastAsia="Times New Roman" w:hAnsi="Times New Roman" w:cs="Times New Roman"/>
          <w:sz w:val="24"/>
          <w:szCs w:val="24"/>
        </w:rPr>
        <w:t>. Jego celem było przygotowanie grupy 12 seniorów do pełnienia roli opiekunów usamodzielnienia oraz zaoferowanie 12 młodym ludziom w wieku 17+ z instytucji opieki zastępczej wsparcia w procesie wchodzenia w dorosłość. Czas realizacji projektu listopad 2018 – sierpień 2019</w:t>
      </w:r>
      <w:r w:rsidR="00E35B17">
        <w:rPr>
          <w:rFonts w:ascii="Times New Roman" w:eastAsia="Times New Roman" w:hAnsi="Times New Roman" w:cs="Times New Roman"/>
          <w:sz w:val="24"/>
          <w:szCs w:val="24"/>
        </w:rPr>
        <w:t xml:space="preserve"> r</w:t>
      </w:r>
      <w:r w:rsidRPr="00C1178B">
        <w:rPr>
          <w:rFonts w:ascii="Times New Roman" w:eastAsia="Times New Roman" w:hAnsi="Times New Roman" w:cs="Times New Roman"/>
          <w:sz w:val="24"/>
          <w:szCs w:val="24"/>
        </w:rPr>
        <w:t>.</w:t>
      </w:r>
    </w:p>
    <w:p w14:paraId="21AC06EB" w14:textId="77777777" w:rsidR="00F31DCC" w:rsidRPr="005F0A32" w:rsidRDefault="00F31DCC" w:rsidP="001024A6">
      <w:pPr>
        <w:spacing w:after="0"/>
        <w:jc w:val="both"/>
        <w:rPr>
          <w:rFonts w:ascii="Times New Roman" w:eastAsia="Times New Roman" w:hAnsi="Times New Roman" w:cs="Times New Roman"/>
          <w:sz w:val="24"/>
          <w:szCs w:val="24"/>
        </w:rPr>
      </w:pPr>
    </w:p>
    <w:p w14:paraId="5F923671" w14:textId="77777777" w:rsidR="00C1178B" w:rsidRPr="00C1178B" w:rsidRDefault="00F31DCC" w:rsidP="008C71A9">
      <w:pPr>
        <w:pStyle w:val="Akapitzlist"/>
        <w:numPr>
          <w:ilvl w:val="0"/>
          <w:numId w:val="79"/>
        </w:numPr>
        <w:spacing w:after="0"/>
        <w:ind w:left="360"/>
        <w:jc w:val="both"/>
        <w:rPr>
          <w:rFonts w:ascii="Times New Roman" w:hAnsi="Times New Roman" w:cs="Times New Roman"/>
          <w:sz w:val="24"/>
          <w:szCs w:val="24"/>
        </w:rPr>
      </w:pPr>
      <w:r w:rsidRPr="00C1178B">
        <w:rPr>
          <w:rFonts w:ascii="Times New Roman" w:eastAsia="Times New Roman" w:hAnsi="Times New Roman" w:cs="Times New Roman"/>
          <w:sz w:val="24"/>
          <w:szCs w:val="24"/>
        </w:rPr>
        <w:t>Powiat łowicki</w:t>
      </w:r>
    </w:p>
    <w:p w14:paraId="073F7B6D" w14:textId="77777777" w:rsidR="00F31DCC" w:rsidRPr="00C1178B" w:rsidRDefault="00F31DCC" w:rsidP="008C71A9">
      <w:pPr>
        <w:pStyle w:val="Akapitzlist"/>
        <w:numPr>
          <w:ilvl w:val="0"/>
          <w:numId w:val="81"/>
        </w:numPr>
        <w:spacing w:after="0"/>
        <w:ind w:left="643"/>
        <w:jc w:val="both"/>
        <w:rPr>
          <w:rFonts w:ascii="Times New Roman" w:hAnsi="Times New Roman" w:cs="Times New Roman"/>
          <w:sz w:val="24"/>
          <w:szCs w:val="24"/>
        </w:rPr>
      </w:pPr>
      <w:r w:rsidRPr="00C1178B">
        <w:rPr>
          <w:rFonts w:ascii="Times New Roman" w:eastAsia="Times New Roman" w:hAnsi="Times New Roman" w:cs="Times New Roman"/>
          <w:sz w:val="24"/>
          <w:szCs w:val="24"/>
        </w:rPr>
        <w:t>Realizuje projekt dofinansowywany z środków UE pod nazwą „Łowickie Centrum Wsparcia Społecznego” . Uczestnikami projektu są w większości osoby w wieku emerytalnym. Celem projektu jest zwiększenie dostępności do usług społecznych świadczonych w środowisku lokalnym i rodzinnym w formie tworzenia Indywidualnych ścieżek wsparcia, usług opiekuńczych w miejscu zamieszkania, usług AOON, poradnictwa specjalistycznego, wypożyczalni sprzętu wspomagającego i pielęgnacyjnego, usługi zapewnienia posiłków oraz usługi transportowej. Powiat współpracuje z Uniwersytetem III Wieku oraz klubami Seniora w gminach: Łowicz, Bełchów, Kocierzew, Domaniewice, Łyszkowice, Bielawy, Bednary.</w:t>
      </w:r>
    </w:p>
    <w:p w14:paraId="296EA711" w14:textId="77777777" w:rsidR="00F31DCC" w:rsidRPr="005F0A32" w:rsidRDefault="00F31DCC" w:rsidP="001024A6">
      <w:pPr>
        <w:spacing w:after="0"/>
        <w:jc w:val="both"/>
        <w:rPr>
          <w:rFonts w:ascii="Times New Roman" w:eastAsia="Times New Roman" w:hAnsi="Times New Roman" w:cs="Times New Roman"/>
          <w:sz w:val="24"/>
          <w:szCs w:val="24"/>
        </w:rPr>
      </w:pPr>
    </w:p>
    <w:p w14:paraId="150BFFEF" w14:textId="77777777" w:rsidR="00C1178B" w:rsidRPr="00C50305" w:rsidRDefault="00F31DCC" w:rsidP="008C71A9">
      <w:pPr>
        <w:pStyle w:val="Akapitzlist"/>
        <w:numPr>
          <w:ilvl w:val="0"/>
          <w:numId w:val="79"/>
        </w:numPr>
        <w:spacing w:after="0"/>
        <w:ind w:left="360"/>
        <w:jc w:val="both"/>
        <w:rPr>
          <w:rFonts w:ascii="Times New Roman" w:hAnsi="Times New Roman" w:cs="Times New Roman"/>
          <w:sz w:val="24"/>
          <w:szCs w:val="24"/>
        </w:rPr>
      </w:pPr>
      <w:r w:rsidRPr="00C1178B">
        <w:rPr>
          <w:rFonts w:ascii="Times New Roman" w:eastAsia="Times New Roman" w:hAnsi="Times New Roman" w:cs="Times New Roman"/>
          <w:sz w:val="24"/>
          <w:szCs w:val="24"/>
        </w:rPr>
        <w:t>Powiat opoczyński</w:t>
      </w:r>
    </w:p>
    <w:p w14:paraId="0866359D" w14:textId="77777777" w:rsidR="00C50305" w:rsidRPr="00C50305" w:rsidRDefault="00F31DCC" w:rsidP="008C71A9">
      <w:pPr>
        <w:pStyle w:val="Akapitzlist"/>
        <w:numPr>
          <w:ilvl w:val="0"/>
          <w:numId w:val="81"/>
        </w:numPr>
        <w:spacing w:after="0"/>
        <w:ind w:left="643"/>
        <w:jc w:val="both"/>
        <w:rPr>
          <w:rFonts w:ascii="Times New Roman" w:hAnsi="Times New Roman" w:cs="Times New Roman"/>
          <w:sz w:val="24"/>
          <w:szCs w:val="24"/>
        </w:rPr>
      </w:pPr>
      <w:r w:rsidRPr="00C1178B">
        <w:rPr>
          <w:rFonts w:ascii="Times New Roman" w:eastAsia="Times New Roman" w:hAnsi="Times New Roman" w:cs="Times New Roman"/>
          <w:sz w:val="24"/>
          <w:szCs w:val="24"/>
        </w:rPr>
        <w:t xml:space="preserve">Na terenie powiatu opoczyńskiego działają dwa Uniwersytety Trzeciego Wieku w Opocznie i Drzewicy. Przy opoczyńskim UTW działa zespół taneczny „Ach te baby”, który reprezentuje miasto Opoczno na różnego rodzaju przeglądach artystycznych. Ponadto w Drzewicy są organizowane zajęcia sportowo gimnastyczne dla seniorów, nauka tańca towarzyskiego, W listopadzie odbyły się obchody Dnia Seniora 2019 zorganizowane przez Koło Terenowe nr 4 Polskiego Związku Emerytów, Rencistów i Inwalidów w Drzewicy. Kolejnym działaniem na rzecz osób starszych jest organizowanie wigilii dla osób starszych i samotnych. </w:t>
      </w:r>
    </w:p>
    <w:p w14:paraId="54238DF1" w14:textId="77777777" w:rsidR="00C50305" w:rsidRPr="00C50305" w:rsidRDefault="00F31DCC" w:rsidP="008C71A9">
      <w:pPr>
        <w:pStyle w:val="Akapitzlist"/>
        <w:numPr>
          <w:ilvl w:val="0"/>
          <w:numId w:val="81"/>
        </w:numPr>
        <w:spacing w:after="0"/>
        <w:ind w:left="643"/>
        <w:jc w:val="both"/>
        <w:rPr>
          <w:rFonts w:ascii="Times New Roman" w:hAnsi="Times New Roman" w:cs="Times New Roman"/>
          <w:sz w:val="24"/>
          <w:szCs w:val="24"/>
        </w:rPr>
      </w:pPr>
      <w:r w:rsidRPr="00C50305">
        <w:rPr>
          <w:rFonts w:ascii="Times New Roman" w:eastAsia="Times New Roman" w:hAnsi="Times New Roman" w:cs="Times New Roman"/>
          <w:sz w:val="24"/>
          <w:szCs w:val="24"/>
        </w:rPr>
        <w:t>W 2019</w:t>
      </w:r>
      <w:r w:rsidR="00E35B17">
        <w:rPr>
          <w:rFonts w:ascii="Times New Roman" w:eastAsia="Times New Roman" w:hAnsi="Times New Roman" w:cs="Times New Roman"/>
          <w:sz w:val="24"/>
          <w:szCs w:val="24"/>
        </w:rPr>
        <w:t xml:space="preserve"> </w:t>
      </w:r>
      <w:r w:rsidRPr="00C50305">
        <w:rPr>
          <w:rFonts w:ascii="Times New Roman" w:eastAsia="Times New Roman" w:hAnsi="Times New Roman" w:cs="Times New Roman"/>
          <w:sz w:val="24"/>
          <w:szCs w:val="24"/>
        </w:rPr>
        <w:t>r</w:t>
      </w:r>
      <w:r w:rsidR="00E35B17">
        <w:rPr>
          <w:rFonts w:ascii="Times New Roman" w:eastAsia="Times New Roman" w:hAnsi="Times New Roman" w:cs="Times New Roman"/>
          <w:sz w:val="24"/>
          <w:szCs w:val="24"/>
        </w:rPr>
        <w:t>.</w:t>
      </w:r>
      <w:r w:rsidRPr="00C50305">
        <w:rPr>
          <w:rFonts w:ascii="Times New Roman" w:eastAsia="Times New Roman" w:hAnsi="Times New Roman" w:cs="Times New Roman"/>
          <w:sz w:val="24"/>
          <w:szCs w:val="24"/>
        </w:rPr>
        <w:t xml:space="preserve"> w Gminie Poświętne zorganizowano spotkanie międzypokoleniowe, podczas którego odbyły się warsztaty robienia kartek bożonarodzeniowych. Inicjatywa Miała na celu wykorzystanie możliwych form aktywności osób starszych przy wykorzystaniu istniejącej infrastruktury społecznej (Gminna Biblioteka Publiczna, Gminny Ośrodek Kultury, Koła Gospodyń Wiejskich. Ponadto osoby starsze z terenu gminy Poświętne uczestniczyły w Wojewódzkich Dniach Seniora. Mieszkańcy tej gminy od 2018 roku mają również możliwość wzięcia udziału w kursie języka angielskiego. W Gminie Żarnów w 2019 r</w:t>
      </w:r>
      <w:r w:rsidR="00E35B17">
        <w:rPr>
          <w:rFonts w:ascii="Times New Roman" w:eastAsia="Times New Roman" w:hAnsi="Times New Roman" w:cs="Times New Roman"/>
          <w:sz w:val="24"/>
          <w:szCs w:val="24"/>
        </w:rPr>
        <w:t>.</w:t>
      </w:r>
      <w:r w:rsidRPr="00C50305">
        <w:rPr>
          <w:rFonts w:ascii="Times New Roman" w:eastAsia="Times New Roman" w:hAnsi="Times New Roman" w:cs="Times New Roman"/>
          <w:sz w:val="24"/>
          <w:szCs w:val="24"/>
        </w:rPr>
        <w:t xml:space="preserve"> osoby starsze mogły skorzystać z pomocy żywnościowej w ramach Programu Operacyjnego Pomoc Żywnościowa 2014-2020. Mieszkańcy Gminy Żarnów mogli również liczyć na pomoc w uzyskaniu z ZUS lub KRUS świadczenia uzupełniającego dla osób niezdolnych do samodzielnej egzystencji (pobieranie druków, pomoc w ich uzupełnieniu, umawianie wizyt u lekarzy W ramach projektu „CUS - Centrum Usług społecznych dla mieszkańców powiatu opoczyńskiego” do seniorów są kierowane specjalistyczne usługi opiekuńcze.</w:t>
      </w:r>
    </w:p>
    <w:p w14:paraId="73094272" w14:textId="77777777" w:rsidR="00F31DCC" w:rsidRPr="00C50305" w:rsidRDefault="00F31DCC" w:rsidP="008C71A9">
      <w:pPr>
        <w:pStyle w:val="Akapitzlist"/>
        <w:numPr>
          <w:ilvl w:val="0"/>
          <w:numId w:val="81"/>
        </w:numPr>
        <w:spacing w:after="0"/>
        <w:ind w:left="643"/>
        <w:jc w:val="both"/>
        <w:rPr>
          <w:rFonts w:ascii="Times New Roman" w:hAnsi="Times New Roman" w:cs="Times New Roman"/>
          <w:sz w:val="24"/>
          <w:szCs w:val="24"/>
        </w:rPr>
      </w:pPr>
      <w:r w:rsidRPr="00C50305">
        <w:rPr>
          <w:rFonts w:ascii="Times New Roman" w:eastAsia="Times New Roman" w:hAnsi="Times New Roman" w:cs="Times New Roman"/>
          <w:sz w:val="24"/>
          <w:szCs w:val="24"/>
        </w:rPr>
        <w:lastRenderedPageBreak/>
        <w:t xml:space="preserve">Na terenie Powiatu Opoczyńskiego działa Polski Związek Emerytów Rencistów i Inwalidów, który uczestniczy w organizowaniu opieki nad ludźmi samotnymi i niepełnosprawnymi, usuwaniu barier dla osób niepełnosprawnych, organizuje działalność kulturalną w świetlicach, Klubach Seniora i innych zespołach zainteresowań. Na terenie całego powiatu prężnie działają Kluby Seniora, Klub Aktywnego Seniora - Senior +. Podczas zajęć w klubach seniorzy mają zapewniony dostęp do terapii zajęciowej. Członkostwo w klubach zapewnia seniorom usługi socjalne, warsztaty, wycieczki edukacyjne, kulturalno-oświatowe, wizyty  w muzeach, udział w Przeglądzie Twórczości Artystycznej Seniorów, udział w spotkaniach integracyjnych. Należy również podkreślić czynną aktywizację seniorów przy działających na terenie całego powiatu Kołach Gospodyń Wiejskich. </w:t>
      </w:r>
    </w:p>
    <w:p w14:paraId="4546FED5" w14:textId="77777777" w:rsidR="00C50305" w:rsidRDefault="00C50305" w:rsidP="001024A6">
      <w:pPr>
        <w:spacing w:after="0"/>
        <w:jc w:val="both"/>
        <w:rPr>
          <w:rFonts w:ascii="Times New Roman" w:eastAsia="Times New Roman" w:hAnsi="Times New Roman" w:cs="Times New Roman"/>
          <w:sz w:val="24"/>
          <w:szCs w:val="24"/>
        </w:rPr>
      </w:pPr>
    </w:p>
    <w:p w14:paraId="4FAB0F1D" w14:textId="77777777" w:rsidR="00C50305" w:rsidRPr="00C50305" w:rsidRDefault="00F31DCC" w:rsidP="008C71A9">
      <w:pPr>
        <w:pStyle w:val="Akapitzlist"/>
        <w:numPr>
          <w:ilvl w:val="0"/>
          <w:numId w:val="79"/>
        </w:numPr>
        <w:spacing w:after="0"/>
        <w:ind w:left="360"/>
        <w:jc w:val="both"/>
        <w:rPr>
          <w:rFonts w:ascii="Times New Roman" w:hAnsi="Times New Roman" w:cs="Times New Roman"/>
          <w:sz w:val="24"/>
          <w:szCs w:val="24"/>
        </w:rPr>
      </w:pPr>
      <w:r w:rsidRPr="00C50305">
        <w:rPr>
          <w:rFonts w:ascii="Times New Roman" w:eastAsia="Times New Roman" w:hAnsi="Times New Roman" w:cs="Times New Roman"/>
          <w:sz w:val="24"/>
          <w:szCs w:val="24"/>
        </w:rPr>
        <w:t>Powiat pabianicki</w:t>
      </w:r>
    </w:p>
    <w:p w14:paraId="706FAE4A" w14:textId="77777777" w:rsidR="00C50305" w:rsidRPr="00C50305" w:rsidRDefault="00E35B17" w:rsidP="008C71A9">
      <w:pPr>
        <w:pStyle w:val="Akapitzlist"/>
        <w:numPr>
          <w:ilvl w:val="0"/>
          <w:numId w:val="82"/>
        </w:numPr>
        <w:spacing w:after="0"/>
        <w:ind w:left="643"/>
        <w:jc w:val="both"/>
        <w:rPr>
          <w:rFonts w:ascii="Times New Roman" w:hAnsi="Times New Roman" w:cs="Times New Roman"/>
          <w:sz w:val="24"/>
          <w:szCs w:val="24"/>
        </w:rPr>
      </w:pPr>
      <w:r>
        <w:rPr>
          <w:rFonts w:ascii="Times New Roman" w:eastAsia="Times New Roman" w:hAnsi="Times New Roman" w:cs="Times New Roman"/>
          <w:sz w:val="24"/>
          <w:szCs w:val="24"/>
        </w:rPr>
        <w:t>W dniu 14 czerwca 2019 r.</w:t>
      </w:r>
      <w:r w:rsidR="00F31DCC" w:rsidRPr="00C50305">
        <w:rPr>
          <w:rFonts w:ascii="Times New Roman" w:eastAsia="Times New Roman" w:hAnsi="Times New Roman" w:cs="Times New Roman"/>
          <w:sz w:val="24"/>
          <w:szCs w:val="24"/>
        </w:rPr>
        <w:t xml:space="preserve"> na terenie Powiatu w Domu Pomocy Społecznej w Pabianicach  po raz 18 odbył się piknik integracyjny. Gośćmi, jak co roku, byli seniorzy z powiatu pabianickiego, uczestnicy Warsztatów Terapii Zajęciowej, Środowiskowego Domu Samopomocy, Dziennego Ośrodka Adaptacyjnego, mieszkańcy Domu Pomocy Społecznej z Konstantynowa Łódzkiego, mieszkańcy Domów Pomocy Społecznej w Pabianicach. Hasłem ubiegłorocznego pikniku były „Polskie Festiwale Muzyczne PRLu”. Uczestnicy przygotowali występy zgodne z tematyką pikniku, były również wspólne tańce, zabawy, konkursy i posiłek. Zadaniem było wzmocnienie aktywności osób starszego pokolenia. W pikniku brało udział 250 osób. </w:t>
      </w:r>
    </w:p>
    <w:p w14:paraId="077E3629" w14:textId="77777777" w:rsidR="00F31DCC" w:rsidRPr="00C50305" w:rsidRDefault="00F31DCC" w:rsidP="008C71A9">
      <w:pPr>
        <w:pStyle w:val="Akapitzlist"/>
        <w:numPr>
          <w:ilvl w:val="0"/>
          <w:numId w:val="82"/>
        </w:numPr>
        <w:spacing w:after="0"/>
        <w:ind w:left="643"/>
        <w:jc w:val="both"/>
        <w:rPr>
          <w:rFonts w:ascii="Times New Roman" w:hAnsi="Times New Roman" w:cs="Times New Roman"/>
          <w:sz w:val="24"/>
          <w:szCs w:val="24"/>
        </w:rPr>
      </w:pPr>
      <w:r w:rsidRPr="00C50305">
        <w:rPr>
          <w:rFonts w:ascii="Times New Roman" w:eastAsia="Times New Roman" w:hAnsi="Times New Roman" w:cs="Times New Roman"/>
          <w:sz w:val="24"/>
          <w:szCs w:val="24"/>
        </w:rPr>
        <w:t xml:space="preserve">W </w:t>
      </w:r>
      <w:r w:rsidR="00E35B17">
        <w:rPr>
          <w:rFonts w:ascii="Times New Roman" w:eastAsia="Times New Roman" w:hAnsi="Times New Roman" w:cs="Times New Roman"/>
          <w:sz w:val="24"/>
          <w:szCs w:val="24"/>
        </w:rPr>
        <w:t xml:space="preserve">dniach 17 - 18 czerwca 2019 r. </w:t>
      </w:r>
      <w:r w:rsidRPr="00C50305">
        <w:rPr>
          <w:rFonts w:ascii="Times New Roman" w:eastAsia="Times New Roman" w:hAnsi="Times New Roman" w:cs="Times New Roman"/>
          <w:sz w:val="24"/>
          <w:szCs w:val="24"/>
        </w:rPr>
        <w:t xml:space="preserve">na terenie Domu Pomocy Społecznej „Pod Dębami” w Konstantynowie Łódzkim odbyły się Dni Zdrowia Psychicznego. Celem i zadaniem imprezy była popularyzacja rekreacyjnych form ruchowych, a także zainteresowanie uczestników aktywnym wypoczynkiem. W imprezie wzięło udział 100 osób w tym mieszkańcy z domów pomocy społecznej z Rąbienia, Łodzi, Wiśniowej Góry, Ozorkowa oraz seniorzy z powiatu pabianickiego. </w:t>
      </w:r>
    </w:p>
    <w:p w14:paraId="0FF07E51" w14:textId="77777777" w:rsidR="00C50305" w:rsidRDefault="00C50305" w:rsidP="001024A6">
      <w:pPr>
        <w:spacing w:after="0"/>
        <w:jc w:val="both"/>
        <w:rPr>
          <w:rFonts w:ascii="Times New Roman" w:eastAsia="Times New Roman" w:hAnsi="Times New Roman" w:cs="Times New Roman"/>
          <w:sz w:val="24"/>
          <w:szCs w:val="24"/>
        </w:rPr>
      </w:pPr>
    </w:p>
    <w:p w14:paraId="182A9E7A" w14:textId="77777777" w:rsidR="00C50305" w:rsidRPr="00C50305" w:rsidRDefault="00F31DCC" w:rsidP="008C71A9">
      <w:pPr>
        <w:pStyle w:val="Akapitzlist"/>
        <w:numPr>
          <w:ilvl w:val="0"/>
          <w:numId w:val="79"/>
        </w:numPr>
        <w:spacing w:after="0"/>
        <w:ind w:left="360"/>
        <w:jc w:val="both"/>
        <w:rPr>
          <w:rFonts w:ascii="Times New Roman" w:hAnsi="Times New Roman" w:cs="Times New Roman"/>
          <w:sz w:val="24"/>
          <w:szCs w:val="24"/>
        </w:rPr>
      </w:pPr>
      <w:r w:rsidRPr="00C50305">
        <w:rPr>
          <w:rFonts w:ascii="Times New Roman" w:eastAsia="Times New Roman" w:hAnsi="Times New Roman" w:cs="Times New Roman"/>
          <w:sz w:val="24"/>
          <w:szCs w:val="24"/>
        </w:rPr>
        <w:t>Powiat pajęczański</w:t>
      </w:r>
    </w:p>
    <w:p w14:paraId="360E78E0" w14:textId="77777777" w:rsidR="00F31DCC" w:rsidRPr="00E35B17" w:rsidRDefault="00F31DCC" w:rsidP="008C71A9">
      <w:pPr>
        <w:pStyle w:val="Akapitzlist"/>
        <w:numPr>
          <w:ilvl w:val="0"/>
          <w:numId w:val="245"/>
        </w:numPr>
        <w:spacing w:after="0"/>
        <w:ind w:left="643"/>
        <w:jc w:val="both"/>
        <w:rPr>
          <w:rFonts w:ascii="Times New Roman" w:hAnsi="Times New Roman" w:cs="Times New Roman"/>
          <w:sz w:val="24"/>
          <w:szCs w:val="24"/>
        </w:rPr>
      </w:pPr>
      <w:r w:rsidRPr="00E35B17">
        <w:rPr>
          <w:rFonts w:ascii="Times New Roman" w:hAnsi="Times New Roman" w:cs="Times New Roman"/>
          <w:sz w:val="24"/>
          <w:szCs w:val="24"/>
        </w:rPr>
        <w:t>Na terenie powiatu na rzecz seniorów prowadzona jest działalność kulturalno-edukacyjna (wyjazdy do teatru, kina, filharmonii, spotkania autorskie) oraz sportowo-rekreacyjna (wycieczki, nordic walking, basen- aerobik wodny, gimnastyka rehabilitacyjna). Funkcjonują organizacje zrzeszające osoby powyżej 60 roku życia, takie jak: Uniwersytet Trzeciego Wieku, Stowarzyszenie Emerytów i Rencistów „Pogodna Jesień” w Rząśni, Oddział Rejonowego Polskiego Związku Emerytów, Rencistów i Inwalidów w Pajęcznie oraz gminne koła Polskiego Związku Emerytów, Rencistów i Inwalidów. Wydawany jest corocznie biuletyn redagowany przez członków Uniwersytetu Trzeciego Wieku zawierający informacje o działalności Uniwersytetu.</w:t>
      </w:r>
    </w:p>
    <w:p w14:paraId="643FF8F2" w14:textId="77777777" w:rsidR="00F31DCC" w:rsidRPr="005F0A32" w:rsidRDefault="00F31DCC" w:rsidP="001024A6">
      <w:pPr>
        <w:spacing w:after="0"/>
        <w:jc w:val="both"/>
        <w:rPr>
          <w:rFonts w:ascii="Times New Roman" w:eastAsia="Times New Roman" w:hAnsi="Times New Roman" w:cs="Times New Roman"/>
          <w:sz w:val="24"/>
          <w:szCs w:val="24"/>
        </w:rPr>
      </w:pPr>
    </w:p>
    <w:p w14:paraId="053E5860" w14:textId="77777777" w:rsidR="00C50305" w:rsidRPr="00C50305" w:rsidRDefault="00F31DCC" w:rsidP="008C71A9">
      <w:pPr>
        <w:pStyle w:val="Akapitzlist"/>
        <w:numPr>
          <w:ilvl w:val="0"/>
          <w:numId w:val="79"/>
        </w:numPr>
        <w:spacing w:after="0"/>
        <w:ind w:left="360"/>
        <w:jc w:val="both"/>
        <w:rPr>
          <w:rFonts w:ascii="Times New Roman" w:hAnsi="Times New Roman" w:cs="Times New Roman"/>
          <w:sz w:val="24"/>
          <w:szCs w:val="24"/>
        </w:rPr>
      </w:pPr>
      <w:r w:rsidRPr="00C50305">
        <w:rPr>
          <w:rFonts w:ascii="Times New Roman" w:eastAsia="Times New Roman" w:hAnsi="Times New Roman" w:cs="Times New Roman"/>
          <w:sz w:val="24"/>
          <w:szCs w:val="24"/>
        </w:rPr>
        <w:t>Piotrków Trybunalski –Miasto na prawach powiatu</w:t>
      </w:r>
    </w:p>
    <w:p w14:paraId="43D10309" w14:textId="77777777" w:rsidR="00F31DCC" w:rsidRPr="00E35B17" w:rsidRDefault="00F31DCC" w:rsidP="008C71A9">
      <w:pPr>
        <w:pStyle w:val="Akapitzlist"/>
        <w:numPr>
          <w:ilvl w:val="0"/>
          <w:numId w:val="245"/>
        </w:numPr>
        <w:spacing w:after="0"/>
        <w:ind w:left="643"/>
        <w:jc w:val="both"/>
        <w:rPr>
          <w:rFonts w:ascii="Times New Roman" w:hAnsi="Times New Roman" w:cs="Times New Roman"/>
          <w:sz w:val="24"/>
          <w:szCs w:val="24"/>
        </w:rPr>
      </w:pPr>
      <w:r w:rsidRPr="00E35B17">
        <w:rPr>
          <w:rFonts w:ascii="Times New Roman" w:eastAsia="Times New Roman" w:hAnsi="Times New Roman" w:cs="Times New Roman"/>
          <w:sz w:val="24"/>
          <w:szCs w:val="24"/>
        </w:rPr>
        <w:t>W ramach działań na rzecz osób starszych prowadzi program o nazwie „Pobudzanie aktywności społecznej i przeciwdziałanie marginalizacji osób starszych i niepełnosprawnych” W 2019 roku przekazało dotacje dla następujących organizacji:</w:t>
      </w:r>
    </w:p>
    <w:p w14:paraId="446E57E5"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lastRenderedPageBreak/>
        <w:t>1. Polski Związek Emerytów, Rencistów i Inwalidów w Piotrkowie Trybunalskim, ws</w:t>
      </w:r>
      <w:r w:rsidR="00234F50">
        <w:rPr>
          <w:rFonts w:ascii="Times New Roman" w:eastAsia="Times New Roman" w:hAnsi="Times New Roman" w:cs="Times New Roman"/>
          <w:sz w:val="24"/>
          <w:szCs w:val="24"/>
        </w:rPr>
        <w:t>parcie finansowe w wysokości 20,8 tys.</w:t>
      </w:r>
      <w:r w:rsidRPr="005F0A32">
        <w:rPr>
          <w:rFonts w:ascii="Times New Roman" w:eastAsia="Times New Roman" w:hAnsi="Times New Roman" w:cs="Times New Roman"/>
          <w:sz w:val="24"/>
          <w:szCs w:val="24"/>
        </w:rPr>
        <w:t xml:space="preserve"> zł. (około 600 beneficjentów)</w:t>
      </w:r>
    </w:p>
    <w:p w14:paraId="582ECE0C"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2. Stowarzyszenie Uniwersytet Trzeciego Wieku w Piotrkowie Trybunalskim, ws</w:t>
      </w:r>
      <w:r w:rsidR="00234F50">
        <w:rPr>
          <w:rFonts w:ascii="Times New Roman" w:eastAsia="Times New Roman" w:hAnsi="Times New Roman" w:cs="Times New Roman"/>
          <w:sz w:val="24"/>
          <w:szCs w:val="24"/>
        </w:rPr>
        <w:t>parcie finansowe w wysokości 30 tys.</w:t>
      </w:r>
      <w:r w:rsidRPr="005F0A32">
        <w:rPr>
          <w:rFonts w:ascii="Times New Roman" w:eastAsia="Times New Roman" w:hAnsi="Times New Roman" w:cs="Times New Roman"/>
          <w:sz w:val="24"/>
          <w:szCs w:val="24"/>
        </w:rPr>
        <w:t xml:space="preserve"> zł. (około 280 beneficjentów)</w:t>
      </w:r>
    </w:p>
    <w:p w14:paraId="16A384BE"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 xml:space="preserve">3. Związek Żołnierzy Wojska Polskiego w Piotrkowie Trybunalski, wsparcie finansowe </w:t>
      </w:r>
    </w:p>
    <w:p w14:paraId="1A283375" w14:textId="77777777" w:rsidR="00F31DCC" w:rsidRPr="005F0A32" w:rsidRDefault="00234F50" w:rsidP="001024A6">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w wysokości 4,5 tys.</w:t>
      </w:r>
      <w:r w:rsidR="00F31DCC" w:rsidRPr="005F0A32">
        <w:rPr>
          <w:rFonts w:ascii="Times New Roman" w:eastAsia="Times New Roman" w:hAnsi="Times New Roman" w:cs="Times New Roman"/>
          <w:sz w:val="24"/>
          <w:szCs w:val="24"/>
        </w:rPr>
        <w:t xml:space="preserve"> zł. (około 25 beneficjentów)</w:t>
      </w:r>
    </w:p>
    <w:p w14:paraId="134ADF75"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4. Stowarzyszenie Przyjaciół „Mam Sąsiada”, wspar</w:t>
      </w:r>
      <w:r w:rsidR="00E94547">
        <w:rPr>
          <w:rFonts w:ascii="Times New Roman" w:eastAsia="Times New Roman" w:hAnsi="Times New Roman" w:cs="Times New Roman"/>
          <w:sz w:val="24"/>
          <w:szCs w:val="24"/>
        </w:rPr>
        <w:t>cie finansowe w wysokości 10 tys.</w:t>
      </w:r>
      <w:r w:rsidRPr="005F0A32">
        <w:rPr>
          <w:rFonts w:ascii="Times New Roman" w:eastAsia="Times New Roman" w:hAnsi="Times New Roman" w:cs="Times New Roman"/>
          <w:sz w:val="24"/>
          <w:szCs w:val="24"/>
        </w:rPr>
        <w:t xml:space="preserve"> zł. (około 50 beneficjentów)</w:t>
      </w:r>
    </w:p>
    <w:p w14:paraId="3A6B37B6" w14:textId="77777777" w:rsidR="00F31DCC" w:rsidRPr="005F0A32" w:rsidRDefault="00F31DCC" w:rsidP="001024A6">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5. Piotrkowskie Stowarzyszenie Seniorów i Osób Niepełnosprawnych „Sygnał”, ws</w:t>
      </w:r>
      <w:r w:rsidR="00B0385D">
        <w:rPr>
          <w:rFonts w:ascii="Times New Roman" w:eastAsia="Times New Roman" w:hAnsi="Times New Roman" w:cs="Times New Roman"/>
          <w:sz w:val="24"/>
          <w:szCs w:val="24"/>
        </w:rPr>
        <w:t>parcie finansowe w wysokości 11 tys.</w:t>
      </w:r>
      <w:r w:rsidRPr="005F0A32">
        <w:rPr>
          <w:rFonts w:ascii="Times New Roman" w:eastAsia="Times New Roman" w:hAnsi="Times New Roman" w:cs="Times New Roman"/>
          <w:sz w:val="24"/>
          <w:szCs w:val="24"/>
        </w:rPr>
        <w:t xml:space="preserve"> zł. (około 120 beneficjentów)</w:t>
      </w:r>
    </w:p>
    <w:p w14:paraId="3E452167" w14:textId="77777777" w:rsidR="00B0385D" w:rsidRPr="00B0385D" w:rsidRDefault="00F31DCC" w:rsidP="008C71A9">
      <w:pPr>
        <w:pStyle w:val="Akapitzlist"/>
        <w:numPr>
          <w:ilvl w:val="0"/>
          <w:numId w:val="245"/>
        </w:numPr>
        <w:spacing w:after="0"/>
        <w:ind w:left="643"/>
        <w:jc w:val="both"/>
        <w:rPr>
          <w:rFonts w:ascii="Times New Roman" w:hAnsi="Times New Roman" w:cs="Times New Roman"/>
          <w:sz w:val="24"/>
          <w:szCs w:val="24"/>
        </w:rPr>
      </w:pPr>
      <w:r w:rsidRPr="00E35B17">
        <w:rPr>
          <w:rFonts w:ascii="Times New Roman" w:eastAsia="Times New Roman" w:hAnsi="Times New Roman" w:cs="Times New Roman"/>
          <w:sz w:val="24"/>
          <w:szCs w:val="24"/>
        </w:rPr>
        <w:t>W zakresie działań gminy na rzecz osób starszych Miasto Piotrków T</w:t>
      </w:r>
      <w:r w:rsidR="00B0385D">
        <w:rPr>
          <w:rFonts w:ascii="Times New Roman" w:eastAsia="Times New Roman" w:hAnsi="Times New Roman" w:cs="Times New Roman"/>
          <w:sz w:val="24"/>
          <w:szCs w:val="24"/>
        </w:rPr>
        <w:t>rybunalski udzieliło w 2019 r. dotacji w wysokości 60 tys.</w:t>
      </w:r>
      <w:r w:rsidRPr="00E35B17">
        <w:rPr>
          <w:rFonts w:ascii="Times New Roman" w:eastAsia="Times New Roman" w:hAnsi="Times New Roman" w:cs="Times New Roman"/>
          <w:sz w:val="24"/>
          <w:szCs w:val="24"/>
        </w:rPr>
        <w:t xml:space="preserve"> zł dla Ośrodka Edukacji Artystycznej Miejskiego Ośrodka Kultury, w którym działa Klub Seniora. W ramach uzyskanych środków jednostka organizowała bezpłatne warsztaty artystyczne, komputerowe, chór seniora „Radość Życia” oraz koło brydżowe. Liczba beneficjentów 217 osób.</w:t>
      </w:r>
    </w:p>
    <w:p w14:paraId="7D1F2F8D" w14:textId="77777777" w:rsidR="00B0385D" w:rsidRPr="00B0385D" w:rsidRDefault="00F31DCC" w:rsidP="008C71A9">
      <w:pPr>
        <w:pStyle w:val="Akapitzlist"/>
        <w:numPr>
          <w:ilvl w:val="0"/>
          <w:numId w:val="245"/>
        </w:numPr>
        <w:spacing w:after="0"/>
        <w:ind w:left="643"/>
        <w:jc w:val="both"/>
        <w:rPr>
          <w:rFonts w:ascii="Times New Roman" w:hAnsi="Times New Roman" w:cs="Times New Roman"/>
          <w:sz w:val="24"/>
          <w:szCs w:val="24"/>
        </w:rPr>
      </w:pPr>
      <w:r w:rsidRPr="00B0385D">
        <w:rPr>
          <w:rFonts w:ascii="Times New Roman" w:eastAsia="Times New Roman" w:hAnsi="Times New Roman" w:cs="Times New Roman"/>
          <w:sz w:val="24"/>
          <w:szCs w:val="24"/>
        </w:rPr>
        <w:t xml:space="preserve">Ośrodek Sportu i Rekreacji w Piotrkowie Trybunalskim będący jednostką organizacyjną Urzędu Miasta Piotrkowa Trybunalskiego w ramach polityki senioralnej  realizował projekt "Aktywny senior", w tym obszarze organizował "nordic walking", wycieczki rowerowe. Seniorzy brali udział w rozgrywkach tenisa stołowego, w turniejach szachowych kategorii open. </w:t>
      </w:r>
    </w:p>
    <w:p w14:paraId="30702AD6" w14:textId="77777777" w:rsidR="00C50305" w:rsidRPr="00B0385D" w:rsidRDefault="00F31DCC" w:rsidP="008C71A9">
      <w:pPr>
        <w:pStyle w:val="Akapitzlist"/>
        <w:numPr>
          <w:ilvl w:val="0"/>
          <w:numId w:val="245"/>
        </w:numPr>
        <w:spacing w:after="0"/>
        <w:ind w:left="643"/>
        <w:jc w:val="both"/>
        <w:rPr>
          <w:rFonts w:ascii="Times New Roman" w:hAnsi="Times New Roman" w:cs="Times New Roman"/>
          <w:sz w:val="24"/>
          <w:szCs w:val="24"/>
        </w:rPr>
      </w:pPr>
      <w:r w:rsidRPr="00B0385D">
        <w:rPr>
          <w:rFonts w:ascii="Times New Roman" w:eastAsia="Times New Roman" w:hAnsi="Times New Roman" w:cs="Times New Roman"/>
          <w:sz w:val="24"/>
          <w:szCs w:val="24"/>
        </w:rPr>
        <w:t>Dzienny Dom Pomocy Społecznej stwarzał odpowiednie warunki do wielogodzinnego przebywania w nim osób starszych i niesamodzielnych (w 2019</w:t>
      </w:r>
      <w:r w:rsidR="00E94547">
        <w:rPr>
          <w:rFonts w:ascii="Times New Roman" w:eastAsia="Times New Roman" w:hAnsi="Times New Roman" w:cs="Times New Roman"/>
          <w:sz w:val="24"/>
          <w:szCs w:val="24"/>
        </w:rPr>
        <w:t xml:space="preserve"> </w:t>
      </w:r>
      <w:r w:rsidRPr="00B0385D">
        <w:rPr>
          <w:rFonts w:ascii="Times New Roman" w:eastAsia="Times New Roman" w:hAnsi="Times New Roman" w:cs="Times New Roman"/>
          <w:sz w:val="24"/>
          <w:szCs w:val="24"/>
        </w:rPr>
        <w:t>r. – 15 osób). Prowadzone zajęcia miały na celu poprawę lub utrzymanie dotychczasowej sprawności każdego uczestnika w zakresie niezbędnym do możliwie niezależnego funkcjonowania w środowisku. Odbywały się m.in. zajęcia plastyczne, muzyczne, gry, zabawy i zajęcia usprawniające, zajęcia biblioteczne i kulinarne.</w:t>
      </w:r>
    </w:p>
    <w:p w14:paraId="5A281BE6" w14:textId="77777777" w:rsidR="00F31DCC" w:rsidRPr="00C50305" w:rsidRDefault="00F31DCC" w:rsidP="008C71A9">
      <w:pPr>
        <w:pStyle w:val="Akapitzlist"/>
        <w:numPr>
          <w:ilvl w:val="0"/>
          <w:numId w:val="83"/>
        </w:numPr>
        <w:spacing w:after="0"/>
        <w:ind w:left="360"/>
        <w:jc w:val="both"/>
        <w:rPr>
          <w:rFonts w:ascii="Times New Roman" w:hAnsi="Times New Roman" w:cs="Times New Roman"/>
          <w:sz w:val="24"/>
          <w:szCs w:val="24"/>
        </w:rPr>
      </w:pPr>
      <w:r w:rsidRPr="00C50305">
        <w:rPr>
          <w:rFonts w:ascii="Times New Roman" w:eastAsia="Times New Roman" w:hAnsi="Times New Roman" w:cs="Times New Roman"/>
          <w:sz w:val="24"/>
          <w:szCs w:val="24"/>
        </w:rPr>
        <w:t>Na rzecz osób starszych działania podejmował również Miejski Ośrodek Pomocy Rodzinie w Piotrkowie Trybunalskim, który oferował pomoc w formie usług opiekuńczych. W celu zwiększenia dostępności do przedmiotowych usług Ośrodek był współrealizatorem Projektu: „Razem możemy więcej”, w ramach którego osoby miały świadczone usługi również w soboty. W 2019 r. usługami opiekuńczymi objęto 326 osób. Ponadto MOPR w okresie od listopada do grudnia 2019</w:t>
      </w:r>
      <w:r w:rsidR="00E94547">
        <w:rPr>
          <w:rFonts w:ascii="Times New Roman" w:eastAsia="Times New Roman" w:hAnsi="Times New Roman" w:cs="Times New Roman"/>
          <w:sz w:val="24"/>
          <w:szCs w:val="24"/>
        </w:rPr>
        <w:t xml:space="preserve"> </w:t>
      </w:r>
      <w:r w:rsidRPr="00C50305">
        <w:rPr>
          <w:rFonts w:ascii="Times New Roman" w:eastAsia="Times New Roman" w:hAnsi="Times New Roman" w:cs="Times New Roman"/>
          <w:sz w:val="24"/>
          <w:szCs w:val="24"/>
        </w:rPr>
        <w:t xml:space="preserve">r. realizował pilotażowy Programu „Opieka wytchnieniowa” – edycja 2019, którego celem głównym było wsparcie członków rodzin lub opiekunów osób niepełnosprawnych przez umożliwienie im uzyskania doraźnej, czasowej pomocy w formie opieki wytchnieniowej. </w:t>
      </w:r>
    </w:p>
    <w:p w14:paraId="4FC31D52" w14:textId="77777777" w:rsidR="00F31DCC" w:rsidRPr="005F0A32" w:rsidRDefault="00F31DCC" w:rsidP="001024A6">
      <w:pPr>
        <w:spacing w:after="0"/>
        <w:jc w:val="both"/>
        <w:rPr>
          <w:rFonts w:ascii="Times New Roman" w:eastAsia="Times New Roman" w:hAnsi="Times New Roman" w:cs="Times New Roman"/>
          <w:sz w:val="24"/>
          <w:szCs w:val="24"/>
        </w:rPr>
      </w:pPr>
    </w:p>
    <w:p w14:paraId="0B48B9AB" w14:textId="77777777" w:rsidR="00F31DCC" w:rsidRPr="00C50305" w:rsidRDefault="00F31DCC" w:rsidP="008C71A9">
      <w:pPr>
        <w:pStyle w:val="Akapitzlist"/>
        <w:numPr>
          <w:ilvl w:val="0"/>
          <w:numId w:val="83"/>
        </w:numPr>
        <w:spacing w:after="0"/>
        <w:ind w:left="360"/>
        <w:jc w:val="both"/>
        <w:rPr>
          <w:rFonts w:ascii="Times New Roman" w:hAnsi="Times New Roman" w:cs="Times New Roman"/>
          <w:sz w:val="24"/>
          <w:szCs w:val="24"/>
        </w:rPr>
      </w:pPr>
      <w:r w:rsidRPr="00C50305">
        <w:rPr>
          <w:rFonts w:ascii="Times New Roman" w:eastAsia="Times New Roman" w:hAnsi="Times New Roman" w:cs="Times New Roman"/>
          <w:sz w:val="24"/>
          <w:szCs w:val="24"/>
        </w:rPr>
        <w:t>Powiat poddębicki</w:t>
      </w:r>
    </w:p>
    <w:p w14:paraId="000797A9" w14:textId="77777777" w:rsidR="00C50305" w:rsidRDefault="00C50305" w:rsidP="001024A6">
      <w:pPr>
        <w:spacing w:after="0"/>
        <w:jc w:val="both"/>
        <w:rPr>
          <w:rFonts w:ascii="Times New Roman" w:hAnsi="Times New Roman" w:cs="Times New Roman"/>
          <w:sz w:val="24"/>
          <w:szCs w:val="24"/>
        </w:rPr>
      </w:pPr>
    </w:p>
    <w:p w14:paraId="3E51ED43" w14:textId="77777777" w:rsidR="00F23D63" w:rsidRDefault="00F31DCC" w:rsidP="008C71A9">
      <w:pPr>
        <w:pStyle w:val="Akapitzlist"/>
        <w:numPr>
          <w:ilvl w:val="0"/>
          <w:numId w:val="84"/>
        </w:numPr>
        <w:spacing w:after="0"/>
        <w:ind w:left="643"/>
        <w:jc w:val="both"/>
        <w:rPr>
          <w:rFonts w:ascii="Times New Roman" w:hAnsi="Times New Roman" w:cs="Times New Roman"/>
          <w:sz w:val="24"/>
          <w:szCs w:val="24"/>
        </w:rPr>
      </w:pPr>
      <w:r w:rsidRPr="00C50305">
        <w:rPr>
          <w:rFonts w:ascii="Times New Roman" w:hAnsi="Times New Roman" w:cs="Times New Roman"/>
          <w:sz w:val="24"/>
          <w:szCs w:val="24"/>
        </w:rPr>
        <w:t xml:space="preserve">Powiat we współpracy z Fundacją „Inicjatywy Powiatu Poddębickiego” w okresie od lipca do grudnia 2019 r. realizował projekt pn. „Poddębicka Akademia Przedsiębiorczości 2019”. Celem projektu było zaktywizowanie i zintegrowanie mieszkańców Powiatu Poddębickiego, podniesienie sprawności fizycznej, a także ułatwienie dostępu do kultury wyższej. Projekt składał się z trzech modułów skierowanych do odrębnych grup odbiorców. Łącznie w projekcie udział wzięło 188 osób. Najliczniejszą i najbardziej zaangażowaną grupą były osoby uczestniczące w </w:t>
      </w:r>
      <w:r w:rsidRPr="00C50305">
        <w:rPr>
          <w:rFonts w:ascii="Times New Roman" w:hAnsi="Times New Roman" w:cs="Times New Roman"/>
          <w:sz w:val="24"/>
          <w:szCs w:val="24"/>
        </w:rPr>
        <w:lastRenderedPageBreak/>
        <w:t>Module II „Aktywni 45+”, w którym uczestniczyło 150 osób od 45 do 80 roku życia. Wśród uczestników tego Modułu 89 osób to osoby 60+.</w:t>
      </w:r>
    </w:p>
    <w:p w14:paraId="6807E606" w14:textId="77777777" w:rsidR="00F23D63" w:rsidRDefault="00F31DCC" w:rsidP="008C71A9">
      <w:pPr>
        <w:pStyle w:val="Akapitzlist"/>
        <w:numPr>
          <w:ilvl w:val="0"/>
          <w:numId w:val="84"/>
        </w:numPr>
        <w:spacing w:after="0"/>
        <w:ind w:left="643"/>
        <w:jc w:val="both"/>
        <w:rPr>
          <w:rFonts w:ascii="Times New Roman" w:hAnsi="Times New Roman" w:cs="Times New Roman"/>
          <w:sz w:val="24"/>
          <w:szCs w:val="24"/>
        </w:rPr>
      </w:pPr>
      <w:r w:rsidRPr="00F23D63">
        <w:rPr>
          <w:rFonts w:ascii="Times New Roman" w:hAnsi="Times New Roman" w:cs="Times New Roman"/>
          <w:bCs/>
          <w:sz w:val="24"/>
          <w:szCs w:val="24"/>
        </w:rPr>
        <w:t>Powiat Poddębicki w 2019 r. zorganizował również Powiatowy Piknik Zdrowia i Urody</w:t>
      </w:r>
      <w:r w:rsidRPr="00F23D63">
        <w:rPr>
          <w:rFonts w:ascii="Times New Roman" w:hAnsi="Times New Roman" w:cs="Times New Roman"/>
          <w:sz w:val="24"/>
          <w:szCs w:val="24"/>
        </w:rPr>
        <w:t>. Celem powyższego wydarzenia było zintegrowanie środowiska lokalnego, promocja zdrowego stylu życia, umożliwienie skorzystania z bezpłatnych badań osobom po 60 r.ż. W ramach akcji ponad 200 osób skorzystało z bezpłatnych badań osteoporozy, słuchu, ekg, poziomu cukru, ciśnienia, badania przemiany materii oraz mammografii. Ponadto podczas pikniku można było skorzystać z porad dietetyka, strefy urody, czy też jak dobrać ćwiczenia do potrzeb organizmu.</w:t>
      </w:r>
    </w:p>
    <w:p w14:paraId="121074FC" w14:textId="77777777" w:rsidR="00F31DCC" w:rsidRPr="00F23D63" w:rsidRDefault="00F31DCC" w:rsidP="008C71A9">
      <w:pPr>
        <w:pStyle w:val="Akapitzlist"/>
        <w:numPr>
          <w:ilvl w:val="0"/>
          <w:numId w:val="84"/>
        </w:numPr>
        <w:spacing w:after="0"/>
        <w:ind w:left="643"/>
        <w:jc w:val="both"/>
        <w:rPr>
          <w:rFonts w:ascii="Times New Roman" w:hAnsi="Times New Roman" w:cs="Times New Roman"/>
          <w:sz w:val="24"/>
          <w:szCs w:val="24"/>
        </w:rPr>
      </w:pPr>
      <w:r w:rsidRPr="00F23D63">
        <w:rPr>
          <w:rFonts w:ascii="Times New Roman" w:hAnsi="Times New Roman" w:cs="Times New Roman"/>
          <w:sz w:val="24"/>
          <w:szCs w:val="24"/>
        </w:rPr>
        <w:t>Powiatowe Centrum Pomocy Rodzinie w Poddębicach w 2019 r. przyznało dla 265 starszych osób niepełnosprawnych dofinansowania na niżej wymienione zadania:</w:t>
      </w:r>
    </w:p>
    <w:p w14:paraId="1C64A43E" w14:textId="77777777" w:rsidR="00F31DCC" w:rsidRPr="005F0A32" w:rsidRDefault="00F31DCC" w:rsidP="001024A6">
      <w:pPr>
        <w:pStyle w:val="Akapitzlist"/>
        <w:numPr>
          <w:ilvl w:val="0"/>
          <w:numId w:val="17"/>
        </w:numPr>
        <w:suppressAutoHyphens/>
        <w:spacing w:after="0"/>
        <w:jc w:val="both"/>
        <w:rPr>
          <w:rFonts w:ascii="Times New Roman" w:hAnsi="Times New Roman" w:cs="Times New Roman"/>
          <w:sz w:val="24"/>
          <w:szCs w:val="24"/>
        </w:rPr>
      </w:pPr>
      <w:r w:rsidRPr="005F0A32">
        <w:rPr>
          <w:rFonts w:ascii="Times New Roman" w:hAnsi="Times New Roman" w:cs="Times New Roman"/>
          <w:sz w:val="24"/>
          <w:szCs w:val="24"/>
        </w:rPr>
        <w:t>Turnusy rehabilitacyjne – 52 osoby (niektóre z opiekunami),</w:t>
      </w:r>
    </w:p>
    <w:p w14:paraId="5BFD96F1" w14:textId="77777777" w:rsidR="00F31DCC" w:rsidRPr="005F0A32" w:rsidRDefault="00F31DCC" w:rsidP="001024A6">
      <w:pPr>
        <w:pStyle w:val="Akapitzlist"/>
        <w:numPr>
          <w:ilvl w:val="0"/>
          <w:numId w:val="17"/>
        </w:numPr>
        <w:suppressAutoHyphens/>
        <w:spacing w:after="0"/>
        <w:jc w:val="both"/>
        <w:rPr>
          <w:rFonts w:ascii="Times New Roman" w:hAnsi="Times New Roman" w:cs="Times New Roman"/>
          <w:sz w:val="24"/>
          <w:szCs w:val="24"/>
        </w:rPr>
      </w:pPr>
      <w:r w:rsidRPr="005F0A32">
        <w:rPr>
          <w:rFonts w:ascii="Times New Roman" w:hAnsi="Times New Roman" w:cs="Times New Roman"/>
          <w:sz w:val="24"/>
          <w:szCs w:val="24"/>
        </w:rPr>
        <w:t>Likwidacja barier architektonicznych, w komunikowaniu się i technicznych – 30 osób,</w:t>
      </w:r>
    </w:p>
    <w:p w14:paraId="2A949323" w14:textId="77777777" w:rsidR="00F31DCC" w:rsidRPr="005F0A32" w:rsidRDefault="00F31DCC" w:rsidP="001024A6">
      <w:pPr>
        <w:pStyle w:val="Akapitzlist"/>
        <w:numPr>
          <w:ilvl w:val="0"/>
          <w:numId w:val="17"/>
        </w:numPr>
        <w:suppressAutoHyphens/>
        <w:spacing w:after="0"/>
        <w:jc w:val="both"/>
        <w:rPr>
          <w:rFonts w:ascii="Times New Roman" w:hAnsi="Times New Roman" w:cs="Times New Roman"/>
          <w:sz w:val="24"/>
          <w:szCs w:val="24"/>
        </w:rPr>
      </w:pPr>
      <w:r w:rsidRPr="005F0A32">
        <w:rPr>
          <w:rFonts w:ascii="Times New Roman" w:hAnsi="Times New Roman" w:cs="Times New Roman"/>
          <w:sz w:val="24"/>
          <w:szCs w:val="24"/>
        </w:rPr>
        <w:t>Przedmioty ortopedyczne i środki pomocnicze oraz sprzęt rehabilitacyjny – 139 osób ,</w:t>
      </w:r>
    </w:p>
    <w:p w14:paraId="20DD7BA9" w14:textId="77777777" w:rsidR="00F31DCC" w:rsidRPr="005F0A32" w:rsidRDefault="00F31DCC" w:rsidP="001024A6">
      <w:pPr>
        <w:pStyle w:val="Akapitzlist"/>
        <w:numPr>
          <w:ilvl w:val="0"/>
          <w:numId w:val="17"/>
        </w:numPr>
        <w:suppressAutoHyphens/>
        <w:spacing w:after="0"/>
        <w:jc w:val="both"/>
        <w:rPr>
          <w:rFonts w:ascii="Times New Roman" w:hAnsi="Times New Roman" w:cs="Times New Roman"/>
          <w:sz w:val="24"/>
          <w:szCs w:val="24"/>
        </w:rPr>
      </w:pPr>
      <w:r w:rsidRPr="005F0A32">
        <w:rPr>
          <w:rFonts w:ascii="Times New Roman" w:hAnsi="Times New Roman" w:cs="Times New Roman"/>
          <w:sz w:val="24"/>
          <w:szCs w:val="24"/>
        </w:rPr>
        <w:t>Sport, kultura, turystyka i rekreacja – 40 osób,</w:t>
      </w:r>
    </w:p>
    <w:p w14:paraId="6BDDC2FB" w14:textId="77777777" w:rsidR="00F23D63" w:rsidRDefault="00F31DCC" w:rsidP="001024A6">
      <w:pPr>
        <w:pStyle w:val="Akapitzlist"/>
        <w:numPr>
          <w:ilvl w:val="0"/>
          <w:numId w:val="17"/>
        </w:numPr>
        <w:suppressAutoHyphens/>
        <w:spacing w:after="0"/>
        <w:jc w:val="both"/>
        <w:rPr>
          <w:rFonts w:ascii="Times New Roman" w:hAnsi="Times New Roman" w:cs="Times New Roman"/>
          <w:sz w:val="24"/>
          <w:szCs w:val="24"/>
        </w:rPr>
      </w:pPr>
      <w:r w:rsidRPr="005F0A32">
        <w:rPr>
          <w:rFonts w:ascii="Times New Roman" w:hAnsi="Times New Roman" w:cs="Times New Roman"/>
          <w:sz w:val="24"/>
          <w:szCs w:val="24"/>
        </w:rPr>
        <w:t>Pilotażowy program „Aktywny samorząd” – 4 osoby.</w:t>
      </w:r>
    </w:p>
    <w:p w14:paraId="358E070D" w14:textId="77777777" w:rsidR="00F23D63" w:rsidRDefault="00F31DCC" w:rsidP="008C71A9">
      <w:pPr>
        <w:pStyle w:val="Akapitzlist"/>
        <w:numPr>
          <w:ilvl w:val="0"/>
          <w:numId w:val="85"/>
        </w:numPr>
        <w:suppressAutoHyphens/>
        <w:spacing w:after="0"/>
        <w:ind w:left="643"/>
        <w:jc w:val="both"/>
        <w:rPr>
          <w:rFonts w:ascii="Times New Roman" w:hAnsi="Times New Roman" w:cs="Times New Roman"/>
          <w:sz w:val="24"/>
          <w:szCs w:val="24"/>
        </w:rPr>
      </w:pPr>
      <w:r w:rsidRPr="00F23D63">
        <w:rPr>
          <w:rFonts w:ascii="Times New Roman" w:hAnsi="Times New Roman" w:cs="Times New Roman"/>
          <w:sz w:val="24"/>
          <w:szCs w:val="24"/>
        </w:rPr>
        <w:t xml:space="preserve">Ponadto na terenie gminy Uniejów wprowadzone zostały </w:t>
      </w:r>
      <w:r w:rsidRPr="00F23D63">
        <w:rPr>
          <w:rFonts w:ascii="Times New Roman" w:hAnsi="Times New Roman" w:cs="Times New Roman"/>
          <w:b/>
          <w:sz w:val="24"/>
          <w:szCs w:val="24"/>
        </w:rPr>
        <w:t>„</w:t>
      </w:r>
      <w:r w:rsidRPr="00F23D63">
        <w:rPr>
          <w:rFonts w:ascii="Times New Roman" w:hAnsi="Times New Roman" w:cs="Times New Roman"/>
          <w:sz w:val="24"/>
          <w:szCs w:val="24"/>
        </w:rPr>
        <w:t xml:space="preserve">Koperty Życia” mające na celu sprawniejsze udzielanie pomocy w przypadku nagłego pogorszenia się stanu zdrowia osoby starszej. Gmina Uniejów dotuje działalność Uniwersytetu III Wieku, który aktualnie ma ponad 200 uczestników. Podczas spotkań słuchacze mają możliwość otrzymania informacji dotyczących m.in. przepisów prawa, zdrowego odżywiania, dbania o bezpieczeństwo innych oraz o możliwościach spędzania czasu wolnego, zapewnioną mają ponadto możliwość korzystania z basenów termalnych w Uniejowie oraz innych atrakcji regionu. </w:t>
      </w:r>
    </w:p>
    <w:p w14:paraId="24B15EE8" w14:textId="77777777" w:rsidR="00F31DCC" w:rsidRPr="00F23D63" w:rsidRDefault="00F31DCC" w:rsidP="008C71A9">
      <w:pPr>
        <w:pStyle w:val="Akapitzlist"/>
        <w:numPr>
          <w:ilvl w:val="0"/>
          <w:numId w:val="85"/>
        </w:numPr>
        <w:suppressAutoHyphens/>
        <w:spacing w:after="0"/>
        <w:ind w:left="643"/>
        <w:jc w:val="both"/>
        <w:rPr>
          <w:rFonts w:ascii="Times New Roman" w:hAnsi="Times New Roman" w:cs="Times New Roman"/>
          <w:sz w:val="24"/>
          <w:szCs w:val="24"/>
        </w:rPr>
      </w:pPr>
      <w:r w:rsidRPr="00F23D63">
        <w:rPr>
          <w:rFonts w:ascii="Times New Roman" w:hAnsi="Times New Roman" w:cs="Times New Roman"/>
          <w:sz w:val="24"/>
          <w:szCs w:val="24"/>
        </w:rPr>
        <w:t>Na terenie gminy Pęczniew funkcjonuje Stowarzyszenie Seniorów „Bliżej Siebie”.</w:t>
      </w:r>
      <w:r w:rsidRPr="00F23D63">
        <w:rPr>
          <w:rFonts w:ascii="Times New Roman" w:hAnsi="Times New Roman" w:cs="Times New Roman"/>
          <w:b/>
          <w:sz w:val="24"/>
          <w:szCs w:val="24"/>
        </w:rPr>
        <w:t xml:space="preserve"> </w:t>
      </w:r>
      <w:r w:rsidRPr="00F23D63">
        <w:rPr>
          <w:rFonts w:ascii="Times New Roman" w:hAnsi="Times New Roman" w:cs="Times New Roman"/>
          <w:sz w:val="24"/>
          <w:szCs w:val="24"/>
        </w:rPr>
        <w:t>W ramach tego Stowarzyszenia organizowane są spotkania np. z okazji dnia kobiet, seniora, opłatkowe, ostatki, bal sylwestrowy, ponadto dla członków przeprowadzone są pogadanki min. o „zdrowym odżywianiu".</w:t>
      </w:r>
    </w:p>
    <w:p w14:paraId="4392B44F" w14:textId="77777777" w:rsidR="00F23D63" w:rsidRDefault="00F23D63" w:rsidP="001024A6">
      <w:pPr>
        <w:spacing w:after="0"/>
        <w:jc w:val="both"/>
        <w:rPr>
          <w:rFonts w:ascii="Times New Roman" w:eastAsia="Times New Roman" w:hAnsi="Times New Roman" w:cs="Times New Roman"/>
          <w:sz w:val="24"/>
          <w:szCs w:val="24"/>
        </w:rPr>
      </w:pPr>
    </w:p>
    <w:p w14:paraId="6E1C2638" w14:textId="77777777" w:rsidR="00F31DCC" w:rsidRPr="00F23D63" w:rsidRDefault="00F31DCC" w:rsidP="008C71A9">
      <w:pPr>
        <w:pStyle w:val="Akapitzlist"/>
        <w:numPr>
          <w:ilvl w:val="0"/>
          <w:numId w:val="86"/>
        </w:numPr>
        <w:spacing w:after="0"/>
        <w:ind w:left="360"/>
        <w:jc w:val="both"/>
        <w:rPr>
          <w:rFonts w:ascii="Times New Roman" w:hAnsi="Times New Roman" w:cs="Times New Roman"/>
          <w:sz w:val="24"/>
          <w:szCs w:val="24"/>
        </w:rPr>
      </w:pPr>
      <w:r w:rsidRPr="00F23D63">
        <w:rPr>
          <w:rFonts w:ascii="Times New Roman" w:eastAsia="Times New Roman" w:hAnsi="Times New Roman" w:cs="Times New Roman"/>
          <w:sz w:val="24"/>
          <w:szCs w:val="24"/>
        </w:rPr>
        <w:t>Skierniewice - Miasto na prawach powiatu</w:t>
      </w:r>
    </w:p>
    <w:p w14:paraId="48F32549" w14:textId="77777777" w:rsidR="00F23D63" w:rsidRPr="00F23D63" w:rsidRDefault="00F31DCC" w:rsidP="008C71A9">
      <w:pPr>
        <w:pStyle w:val="Akapitzlist"/>
        <w:numPr>
          <w:ilvl w:val="0"/>
          <w:numId w:val="87"/>
        </w:numPr>
        <w:spacing w:after="0"/>
        <w:ind w:left="643"/>
        <w:jc w:val="both"/>
        <w:rPr>
          <w:rFonts w:ascii="Times New Roman" w:hAnsi="Times New Roman" w:cs="Times New Roman"/>
          <w:sz w:val="24"/>
          <w:szCs w:val="24"/>
        </w:rPr>
      </w:pPr>
      <w:r w:rsidRPr="00F23D63">
        <w:rPr>
          <w:rFonts w:ascii="Times New Roman" w:eastAsia="Times New Roman" w:hAnsi="Times New Roman" w:cs="Times New Roman"/>
          <w:sz w:val="24"/>
          <w:szCs w:val="24"/>
          <w:lang w:eastAsia="pl-PL"/>
        </w:rPr>
        <w:t>W trosce o osoby starsze i wychodząc naprzeciw zdiagnozowanym potrzebom osób niesamodzielnych, w mieście realizowany jest Projekt „POMOC – Centrum Usług Społecznych w Skierniewicach”. Głównym celem projektu jest zwiększenie dostępu do wysokiej jakości usług społecznych poprzez utworzenie i prowadzenie na terenie miasta Skierniewice w okresie od 01.05.2018 r. do 31.10.2020 r. 74 miejsc świadczenia usług społecznych dla 130 niesamodzielnych mieszkańców Skierniewic oraz 100 mieszkańców Skierniewic – osób z otoczenia osób niesamodzielnych/opiekunów faktycznych w formie: stworzenia indywidualnych ścieżek wsparcia i prowadzenia pracy socjalnej; prowadzenia Dziennego Domu Pomocy; prowadzenia wypożyczalni sprzętu wspomagającego i pielęgnacyjnego; świadczenia usług opiekuńczych w miejscu zamieszkania; świadczenia usług wytchnieniowych; świadczenia usług asystenta osobistego osoby niepełnosprawnej; świadczenia poradnictwa specjalistycznego. W ramach projektu prowadzony jest również rozwój usług specjalistycznych w postaci dostarczania posiłków dla 60 niesamodzielnych mieszkańców Skierniewic korzystających z usług opiekuńczych.</w:t>
      </w:r>
    </w:p>
    <w:p w14:paraId="32EA2D93" w14:textId="77777777" w:rsidR="00F23D63" w:rsidRPr="00F23D63" w:rsidRDefault="00F31DCC" w:rsidP="008C71A9">
      <w:pPr>
        <w:pStyle w:val="Akapitzlist"/>
        <w:numPr>
          <w:ilvl w:val="0"/>
          <w:numId w:val="87"/>
        </w:numPr>
        <w:spacing w:after="0"/>
        <w:ind w:left="643"/>
        <w:jc w:val="both"/>
        <w:rPr>
          <w:rFonts w:ascii="Times New Roman" w:hAnsi="Times New Roman" w:cs="Times New Roman"/>
          <w:sz w:val="24"/>
          <w:szCs w:val="24"/>
        </w:rPr>
      </w:pPr>
      <w:r w:rsidRPr="00F23D63">
        <w:rPr>
          <w:rFonts w:ascii="Times New Roman" w:eastAsia="Times New Roman" w:hAnsi="Times New Roman" w:cs="Times New Roman"/>
          <w:sz w:val="24"/>
          <w:szCs w:val="24"/>
          <w:lang w:eastAsia="pl-PL"/>
        </w:rPr>
        <w:lastRenderedPageBreak/>
        <w:t xml:space="preserve">Ponadto w mieście </w:t>
      </w:r>
      <w:r w:rsidRPr="00F23D63">
        <w:rPr>
          <w:rFonts w:ascii="Times New Roman" w:eastAsia="Times New Roman" w:hAnsi="Times New Roman" w:cs="Times New Roman"/>
          <w:color w:val="00000A"/>
          <w:sz w:val="24"/>
          <w:szCs w:val="24"/>
          <w:lang w:val="pt-PT" w:eastAsia="pl-PL"/>
        </w:rPr>
        <w:t xml:space="preserve">funkcjonuje lokalny program wsparcia osób w wieku senioralnym “Skierniewicka Karta Seniora”, do którego przystąpiło 3 990 mieszkańców powyżej 60. roku życia. </w:t>
      </w:r>
      <w:r w:rsidRPr="00F23D63">
        <w:rPr>
          <w:rFonts w:ascii="Times New Roman" w:eastAsia="Times New Roman" w:hAnsi="Times New Roman" w:cs="Times New Roman"/>
          <w:color w:val="00000A"/>
          <w:sz w:val="24"/>
          <w:szCs w:val="24"/>
          <w:lang w:eastAsia="pl-PL"/>
        </w:rPr>
        <w:t>W Mieście Skierniewice prężnie działają organizacje pozarządowe zrzeszające seniorów, które realizują zadania publiczne na rzecz osób w wieku senioralnym. Ponadto funkcjonuje Uniwersytet Trzeciego Wieku oraz liczne kluby seniora. Działa również Rada Seniorów, która jest ciałem doradczym dla Prezydenta Miasta Skierniewice.</w:t>
      </w:r>
    </w:p>
    <w:p w14:paraId="5CE321E3" w14:textId="77777777" w:rsidR="00F31DCC" w:rsidRPr="00F23D63" w:rsidRDefault="00F31DCC" w:rsidP="001024A6">
      <w:pPr>
        <w:spacing w:after="0"/>
        <w:jc w:val="both"/>
        <w:rPr>
          <w:rFonts w:ascii="Times New Roman" w:hAnsi="Times New Roman" w:cs="Times New Roman"/>
          <w:sz w:val="24"/>
          <w:szCs w:val="24"/>
        </w:rPr>
      </w:pPr>
      <w:r w:rsidRPr="00F23D63">
        <w:rPr>
          <w:rFonts w:ascii="Times New Roman" w:eastAsia="Times New Roman" w:hAnsi="Times New Roman" w:cs="Times New Roman"/>
          <w:sz w:val="24"/>
          <w:szCs w:val="24"/>
          <w:lang w:eastAsia="pl-PL"/>
        </w:rPr>
        <w:t>Informacje o podejmowanych działaniach są rozpowszechniane m.in. na stronie urzędu, w lokalnych mediach, na portalach społecznościowych, w miejskich klubach seniora oraz w trakcie bezpośrednich spotkań z osobami w wieku senioralnym.</w:t>
      </w:r>
    </w:p>
    <w:p w14:paraId="1097F83B" w14:textId="77777777" w:rsidR="00F23D63" w:rsidRDefault="00F23D63" w:rsidP="001024A6">
      <w:pPr>
        <w:spacing w:after="0"/>
        <w:jc w:val="both"/>
        <w:rPr>
          <w:rFonts w:ascii="Times New Roman" w:eastAsia="Times New Roman" w:hAnsi="Times New Roman" w:cs="Times New Roman"/>
          <w:sz w:val="24"/>
          <w:szCs w:val="24"/>
        </w:rPr>
      </w:pPr>
    </w:p>
    <w:p w14:paraId="311A9F17" w14:textId="77777777" w:rsidR="00F31DCC" w:rsidRPr="00F23D63" w:rsidRDefault="00F31DCC" w:rsidP="008C71A9">
      <w:pPr>
        <w:pStyle w:val="Akapitzlist"/>
        <w:numPr>
          <w:ilvl w:val="0"/>
          <w:numId w:val="86"/>
        </w:numPr>
        <w:spacing w:after="0"/>
        <w:ind w:left="360"/>
        <w:jc w:val="both"/>
        <w:rPr>
          <w:rFonts w:ascii="Times New Roman" w:hAnsi="Times New Roman" w:cs="Times New Roman"/>
          <w:sz w:val="24"/>
          <w:szCs w:val="24"/>
        </w:rPr>
      </w:pPr>
      <w:r w:rsidRPr="00F23D63">
        <w:rPr>
          <w:rFonts w:ascii="Times New Roman" w:eastAsia="Times New Roman" w:hAnsi="Times New Roman" w:cs="Times New Roman"/>
          <w:sz w:val="24"/>
          <w:szCs w:val="24"/>
        </w:rPr>
        <w:t>Powiat Wieluński</w:t>
      </w:r>
    </w:p>
    <w:p w14:paraId="6555FCE9" w14:textId="77777777" w:rsidR="004C3BEA" w:rsidRPr="004C3BEA" w:rsidRDefault="00F31DCC" w:rsidP="008C71A9">
      <w:pPr>
        <w:pStyle w:val="Akapitzlist"/>
        <w:numPr>
          <w:ilvl w:val="0"/>
          <w:numId w:val="88"/>
        </w:numPr>
        <w:spacing w:after="0"/>
        <w:ind w:left="643"/>
        <w:jc w:val="both"/>
        <w:rPr>
          <w:rFonts w:ascii="Times New Roman" w:hAnsi="Times New Roman" w:cs="Times New Roman"/>
          <w:sz w:val="24"/>
          <w:szCs w:val="24"/>
        </w:rPr>
      </w:pPr>
      <w:r w:rsidRPr="004C3BEA">
        <w:rPr>
          <w:rFonts w:ascii="Times New Roman" w:eastAsia="Times New Roman" w:hAnsi="Times New Roman" w:cs="Times New Roman"/>
          <w:sz w:val="24"/>
          <w:szCs w:val="24"/>
        </w:rPr>
        <w:t xml:space="preserve">Na terenie powiatu realizowany jest projekt partnerski „Centrum Usług Środowiskowych w powiecie wieluńskim” współfinansowany z Europejskiego Funduszu Społecznego w ramach Regionalnego Programu Operacyjnego Województwa Łódzkiego na lata 2014-2020. W ramach ww. projektu GOPS w Osjakowie prowadzi Klub Seniora dla 20 osób niesamodzielnych. </w:t>
      </w:r>
    </w:p>
    <w:p w14:paraId="2ED46265" w14:textId="77777777" w:rsidR="004C3BEA" w:rsidRPr="004C3BEA" w:rsidRDefault="00F31DCC" w:rsidP="008C71A9">
      <w:pPr>
        <w:pStyle w:val="Akapitzlist"/>
        <w:numPr>
          <w:ilvl w:val="0"/>
          <w:numId w:val="88"/>
        </w:numPr>
        <w:spacing w:after="0"/>
        <w:ind w:left="643"/>
        <w:jc w:val="both"/>
        <w:rPr>
          <w:rFonts w:ascii="Times New Roman" w:hAnsi="Times New Roman" w:cs="Times New Roman"/>
          <w:sz w:val="24"/>
          <w:szCs w:val="24"/>
        </w:rPr>
      </w:pPr>
      <w:r w:rsidRPr="004C3BEA">
        <w:rPr>
          <w:rFonts w:ascii="Times New Roman" w:eastAsia="Times New Roman" w:hAnsi="Times New Roman" w:cs="Times New Roman"/>
          <w:sz w:val="24"/>
          <w:szCs w:val="24"/>
        </w:rPr>
        <w:t xml:space="preserve">Organizacje pozarządowe prowadzące swoją działalność na terenie powiatu wieluńskiego, to głównie organizacje działające w kręgu osób z różnego rodzaju schorzeniami np. Polski Związek Niewidomych, Polskie Stowarzyszenie Diabetyków i inne tego typu organizacje, które swoją działalność kierują do osób ze szczególnymi schorzeniami bez względu na wiek. </w:t>
      </w:r>
    </w:p>
    <w:p w14:paraId="24CF77D0" w14:textId="77777777" w:rsidR="00F31DCC" w:rsidRPr="004C3BEA" w:rsidRDefault="00F31DCC" w:rsidP="008C71A9">
      <w:pPr>
        <w:pStyle w:val="Akapitzlist"/>
        <w:numPr>
          <w:ilvl w:val="0"/>
          <w:numId w:val="88"/>
        </w:numPr>
        <w:spacing w:after="0"/>
        <w:ind w:left="643"/>
        <w:jc w:val="both"/>
        <w:rPr>
          <w:rFonts w:ascii="Times New Roman" w:hAnsi="Times New Roman" w:cs="Times New Roman"/>
          <w:sz w:val="24"/>
          <w:szCs w:val="24"/>
        </w:rPr>
      </w:pPr>
      <w:r w:rsidRPr="004C3BEA">
        <w:rPr>
          <w:rFonts w:ascii="Times New Roman" w:eastAsia="Times New Roman" w:hAnsi="Times New Roman" w:cs="Times New Roman"/>
          <w:sz w:val="24"/>
          <w:szCs w:val="24"/>
        </w:rPr>
        <w:t>działania na rzecz Seniorów prowadzi Urząd Miejski w Wieluniu tj przy Wieluńskim Domu Kultury działa Uniwersytet Trzeciego Wieku. Miasto Wieluń wprowadziło Program "Wieluń sprzyja seniorom 65+" dla osób, które ukończyły 65 rok życia. Ponadto, przy Urzędzie Miasta w Wieluniu funkcjonuje Miejska Rada Seniorów.</w:t>
      </w:r>
    </w:p>
    <w:p w14:paraId="4634261A" w14:textId="77777777" w:rsidR="004C3BEA" w:rsidRDefault="004C3BEA" w:rsidP="001024A6">
      <w:pPr>
        <w:spacing w:after="0"/>
        <w:jc w:val="both"/>
        <w:rPr>
          <w:rFonts w:ascii="Times New Roman" w:eastAsia="Times New Roman" w:hAnsi="Times New Roman" w:cs="Times New Roman"/>
          <w:sz w:val="24"/>
          <w:szCs w:val="24"/>
        </w:rPr>
      </w:pPr>
    </w:p>
    <w:p w14:paraId="59A68E7B" w14:textId="77777777" w:rsidR="00F31DCC" w:rsidRPr="004C3BEA" w:rsidRDefault="00F31DCC" w:rsidP="008C71A9">
      <w:pPr>
        <w:pStyle w:val="Akapitzlist"/>
        <w:numPr>
          <w:ilvl w:val="0"/>
          <w:numId w:val="86"/>
        </w:numPr>
        <w:spacing w:after="0"/>
        <w:ind w:left="360"/>
        <w:jc w:val="both"/>
        <w:rPr>
          <w:rFonts w:ascii="Times New Roman" w:hAnsi="Times New Roman" w:cs="Times New Roman"/>
          <w:sz w:val="24"/>
          <w:szCs w:val="24"/>
        </w:rPr>
      </w:pPr>
      <w:r w:rsidRPr="004C3BEA">
        <w:rPr>
          <w:rFonts w:ascii="Times New Roman" w:eastAsia="Times New Roman" w:hAnsi="Times New Roman" w:cs="Times New Roman"/>
          <w:sz w:val="24"/>
          <w:szCs w:val="24"/>
        </w:rPr>
        <w:t>Powiat wieruszowski</w:t>
      </w:r>
    </w:p>
    <w:p w14:paraId="65B4F91F" w14:textId="77777777" w:rsidR="004C3BEA" w:rsidRDefault="00F31DCC" w:rsidP="008C71A9">
      <w:pPr>
        <w:pStyle w:val="Bezodstpw"/>
        <w:numPr>
          <w:ilvl w:val="0"/>
          <w:numId w:val="89"/>
        </w:numPr>
        <w:spacing w:line="276" w:lineRule="auto"/>
        <w:ind w:left="643"/>
        <w:jc w:val="both"/>
        <w:rPr>
          <w:rFonts w:ascii="Times New Roman" w:hAnsi="Times New Roman"/>
          <w:sz w:val="24"/>
          <w:szCs w:val="24"/>
        </w:rPr>
      </w:pPr>
      <w:r w:rsidRPr="005F0A32">
        <w:rPr>
          <w:rFonts w:ascii="Times New Roman" w:hAnsi="Times New Roman"/>
          <w:sz w:val="24"/>
          <w:szCs w:val="24"/>
        </w:rPr>
        <w:t xml:space="preserve">Powiat Wieruszowski - Powiatowe Centrum Pomocy Rodzinie w Wieruszowie od 01.11.2017 r. jest parterem wiodącym partnerskiego projektu „Centrum Usług Społecznych w powiecie wieruszowskim” wspierającego osoby niesamodzielne i ich opiekunów. Projekt współfinansowany jest ze środków EFS w ramach RPO WŁ na lata 2014-2020 w ramach Poddziałania IX.2.1 Usługi społeczne i zdrowotne. Realizowany jest w partnerstwie jednostek samorządu powiatowego, gminnego oraz organizacji pozarządowych. Celem projektu jest „Rozwój usług dla osób niesamodzielnych i ich opiekunów faktycznych na terenie powiatu wieruszowskiego”. W ramach projektu realizowane są usługi społeczne, z których korzystają m.in.: osoby starsze tj.: </w:t>
      </w:r>
    </w:p>
    <w:p w14:paraId="6AC5FE70" w14:textId="77777777" w:rsidR="004C3BEA" w:rsidRDefault="00F31DCC" w:rsidP="008C71A9">
      <w:pPr>
        <w:pStyle w:val="Bezodstpw"/>
        <w:numPr>
          <w:ilvl w:val="0"/>
          <w:numId w:val="89"/>
        </w:numPr>
        <w:spacing w:line="276" w:lineRule="auto"/>
        <w:ind w:left="643"/>
        <w:jc w:val="both"/>
        <w:rPr>
          <w:rFonts w:ascii="Times New Roman" w:hAnsi="Times New Roman"/>
          <w:sz w:val="24"/>
          <w:szCs w:val="24"/>
        </w:rPr>
      </w:pPr>
      <w:r w:rsidRPr="004C3BEA">
        <w:rPr>
          <w:rFonts w:ascii="Times New Roman" w:hAnsi="Times New Roman"/>
          <w:sz w:val="24"/>
          <w:szCs w:val="24"/>
        </w:rPr>
        <w:t xml:space="preserve">Usługi opiekuńcze w Dziennym Domu Pomocy, realizator: Gmina Lututów/MGOPS </w:t>
      </w:r>
      <w:r w:rsidRPr="004C3BEA">
        <w:rPr>
          <w:rFonts w:ascii="Times New Roman" w:hAnsi="Times New Roman"/>
          <w:sz w:val="24"/>
          <w:szCs w:val="24"/>
        </w:rPr>
        <w:br/>
        <w:t xml:space="preserve">w Lututowie, miejsce realizacji zadania: Huta 46, 98-360 Lututów. Placówka działa 5 dni w tygodniu od poniedziałku do piątku w godz. 8.00-16.00. Zapewnia 15 miejsc. W ramach DDP osoby niesamodzielne mają zapewnioną: opiekę opiekunów oraz specjalistów tj. psychologa, masażysty oraz terapeuty zajęciowego. Uczestnicy usługi biorą udział w różnych formach aktywizacyjnych i integracyjnych m.in.: zajęciach terapeutycznych, zajęciach podnoszących sprawność fizyczną, rozwój pasji i </w:t>
      </w:r>
      <w:r w:rsidRPr="004C3BEA">
        <w:rPr>
          <w:rFonts w:ascii="Times New Roman" w:hAnsi="Times New Roman"/>
          <w:sz w:val="24"/>
          <w:szCs w:val="24"/>
        </w:rPr>
        <w:lastRenderedPageBreak/>
        <w:t xml:space="preserve">zainteresowań. Podopieczni mają zapewnione wyżywienie oraz transport. Wsparciem w 2019 r. objętych zostało w ramach usługi 30 osób.  </w:t>
      </w:r>
    </w:p>
    <w:p w14:paraId="48BF0945" w14:textId="77777777" w:rsidR="004C3BEA" w:rsidRDefault="00F31DCC" w:rsidP="008C71A9">
      <w:pPr>
        <w:pStyle w:val="Bezodstpw"/>
        <w:numPr>
          <w:ilvl w:val="0"/>
          <w:numId w:val="89"/>
        </w:numPr>
        <w:spacing w:line="276" w:lineRule="auto"/>
        <w:ind w:left="643"/>
        <w:jc w:val="both"/>
        <w:rPr>
          <w:rFonts w:ascii="Times New Roman" w:hAnsi="Times New Roman"/>
          <w:sz w:val="24"/>
          <w:szCs w:val="24"/>
        </w:rPr>
      </w:pPr>
      <w:r w:rsidRPr="004C3BEA">
        <w:rPr>
          <w:rFonts w:ascii="Times New Roman" w:hAnsi="Times New Roman"/>
          <w:sz w:val="24"/>
          <w:szCs w:val="24"/>
        </w:rPr>
        <w:t xml:space="preserve">Usługi opiekuńcze w miejscu zamieszkania – realizatorzy: Gmina Wieruszów/MGOPS w Wieruszowie, Gmina Bolesławiec/GOPS w Bolesławcu. Usługi te realizowane są na terenie w/w gmin od poniedziałku do piątku przez łącznie 6 opiekunek, według indywidualnych potrzeb. Wsparciem w 2019 r. objętych zostało w ramach usługi łącznie 15 osób.  </w:t>
      </w:r>
    </w:p>
    <w:p w14:paraId="63D37C33" w14:textId="77777777" w:rsidR="004C3BEA" w:rsidRDefault="00F31DCC" w:rsidP="008C71A9">
      <w:pPr>
        <w:pStyle w:val="Bezodstpw"/>
        <w:numPr>
          <w:ilvl w:val="0"/>
          <w:numId w:val="89"/>
        </w:numPr>
        <w:spacing w:line="276" w:lineRule="auto"/>
        <w:ind w:left="643"/>
        <w:jc w:val="both"/>
        <w:rPr>
          <w:rFonts w:ascii="Times New Roman" w:hAnsi="Times New Roman"/>
          <w:sz w:val="24"/>
          <w:szCs w:val="24"/>
        </w:rPr>
      </w:pPr>
      <w:r w:rsidRPr="004C3BEA">
        <w:rPr>
          <w:rFonts w:ascii="Times New Roman" w:hAnsi="Times New Roman"/>
          <w:sz w:val="24"/>
          <w:szCs w:val="24"/>
        </w:rPr>
        <w:t xml:space="preserve">Usługi asystenckie w miejscu zamieszkania – realizator: Towarzystwo Przyjaciół Dzieci Oddział Miejski w Wieruszowie. Usługa ta realizowana jest od poniedziałku do piątku przez asystentów osobistych osób niepełnosprawnych, asystenta osoby niepełnosprawnej oraz wolontariuszy, według indywidualnych potrzeb. Wsparciem w 2019 r. objętych zostało w ramach usługi 14 osób.  </w:t>
      </w:r>
    </w:p>
    <w:p w14:paraId="43508C17" w14:textId="77777777" w:rsidR="004C3BEA" w:rsidRDefault="00F31DCC" w:rsidP="008C71A9">
      <w:pPr>
        <w:pStyle w:val="Bezodstpw"/>
        <w:numPr>
          <w:ilvl w:val="0"/>
          <w:numId w:val="89"/>
        </w:numPr>
        <w:spacing w:line="276" w:lineRule="auto"/>
        <w:ind w:left="643"/>
        <w:jc w:val="both"/>
        <w:rPr>
          <w:rFonts w:ascii="Times New Roman" w:hAnsi="Times New Roman"/>
          <w:sz w:val="24"/>
          <w:szCs w:val="24"/>
        </w:rPr>
      </w:pPr>
      <w:r w:rsidRPr="004C3BEA">
        <w:rPr>
          <w:rFonts w:ascii="Times New Roman" w:hAnsi="Times New Roman"/>
          <w:sz w:val="24"/>
          <w:szCs w:val="24"/>
        </w:rPr>
        <w:t>Usługi wspierające dla opiekunów faktycznych – grupow</w:t>
      </w:r>
      <w:r w:rsidR="004C3BEA">
        <w:rPr>
          <w:rFonts w:ascii="Times New Roman" w:hAnsi="Times New Roman"/>
          <w:sz w:val="24"/>
          <w:szCs w:val="24"/>
        </w:rPr>
        <w:t xml:space="preserve">e poradnictwo specjalistyczne, </w:t>
      </w:r>
      <w:r w:rsidRPr="004C3BEA">
        <w:rPr>
          <w:rFonts w:ascii="Times New Roman" w:hAnsi="Times New Roman"/>
          <w:sz w:val="24"/>
          <w:szCs w:val="24"/>
        </w:rPr>
        <w:t>realizator: Powiat Wieruszowski/PCPR w Wieruszowie. W ramach usługi opiekunowie faktyczni wzięli udział w kursie I pomocy przedmedycznej, szkoleniach warsztatowych z psychologiem i pedagogiem. Wsparciem w 2019 r. objętych zostało w ramach usługi 10 osób.  Realizacja projektu zakończy się 30.09.2020 r. W/w usługi będą rozszerzane, w kolejnym partnerskim projekcie tj. Centrum Usług Środowiskowych – „Razem łatwiej”. W ramach w/w projektu planowane są także inne usługi dla osób niesamodzielnych. Okres realizacji 01.06.2020 r. – 31.05.2023 r.</w:t>
      </w:r>
    </w:p>
    <w:p w14:paraId="041B26DA" w14:textId="77777777" w:rsidR="00F31DCC" w:rsidRPr="004C3BEA" w:rsidRDefault="00F31DCC" w:rsidP="008C71A9">
      <w:pPr>
        <w:pStyle w:val="Bezodstpw"/>
        <w:numPr>
          <w:ilvl w:val="0"/>
          <w:numId w:val="89"/>
        </w:numPr>
        <w:spacing w:line="276" w:lineRule="auto"/>
        <w:ind w:left="643"/>
        <w:jc w:val="both"/>
        <w:rPr>
          <w:rFonts w:ascii="Times New Roman" w:hAnsi="Times New Roman"/>
          <w:sz w:val="24"/>
          <w:szCs w:val="24"/>
        </w:rPr>
      </w:pPr>
      <w:r w:rsidRPr="004C3BEA">
        <w:rPr>
          <w:rFonts w:ascii="Times New Roman" w:hAnsi="Times New Roman"/>
          <w:sz w:val="24"/>
          <w:szCs w:val="24"/>
        </w:rPr>
        <w:t xml:space="preserve">Aby rozwijać wsparcie osób starszych Powiat Wieruszowski zlecił Fundacji „Misja Medyczna” z Łodzi w drodze konkursu ofert </w:t>
      </w:r>
      <w:r w:rsidRPr="004C3BEA">
        <w:rPr>
          <w:rFonts w:ascii="Times New Roman" w:hAnsi="Times New Roman"/>
          <w:bCs/>
          <w:color w:val="000000"/>
          <w:sz w:val="24"/>
          <w:szCs w:val="24"/>
        </w:rPr>
        <w:t xml:space="preserve">na wsparcie realizacji zadań publicznych </w:t>
      </w:r>
      <w:r w:rsidRPr="004C3BEA">
        <w:rPr>
          <w:rFonts w:ascii="Times New Roman" w:hAnsi="Times New Roman"/>
          <w:color w:val="000000"/>
          <w:sz w:val="24"/>
          <w:szCs w:val="24"/>
        </w:rPr>
        <w:t>zadanie Ochrona i promocja zdrowia -wspieranie działań w zakresie teleopieki nad osobami wymagającymi wsparcia w miejscu zamieszkania z wykorzystaniem certyfikowanych urządzeń medycznych. Okres realizacji zadania 07.012020 r. – 31.12.2020 r. Zadanie realizowane jest w ramach projektu ”Zintegrowany System Opieki Senioralnej”. Forma wsparcia: przekazanie pakietu opieki podstawowej „BASIC”15 mieszkańcom powiatu wieruszowskiego. Pakiet obejmuje opaskę telemedyczną monitorującą m.in.: podstawowe funkcje życiowe – zaopatrzoną w przycisk SOS, detektor upadku, lokalizację GPS, krokomierz, dwustronną komunikację głosową, przypomnienie o zażyciu leków, roczny abonament zawierający obsługę Całodobowego Centrum Opieki, zindywidualizowaną opiekę dietetyczną.</w:t>
      </w:r>
    </w:p>
    <w:p w14:paraId="20AE1A2A" w14:textId="77777777" w:rsidR="007A1EA2" w:rsidRDefault="007A1EA2" w:rsidP="001024A6">
      <w:pPr>
        <w:pStyle w:val="Bezodstpw"/>
        <w:spacing w:line="276" w:lineRule="auto"/>
        <w:jc w:val="both"/>
        <w:rPr>
          <w:rFonts w:ascii="Times New Roman" w:hAnsi="Times New Roman"/>
          <w:color w:val="000000"/>
          <w:sz w:val="24"/>
          <w:szCs w:val="24"/>
        </w:rPr>
      </w:pPr>
    </w:p>
    <w:p w14:paraId="522E9419" w14:textId="77777777" w:rsidR="00F31DCC" w:rsidRPr="005F0A32" w:rsidRDefault="00F31DCC" w:rsidP="001024A6">
      <w:pPr>
        <w:pStyle w:val="Bezodstpw"/>
        <w:spacing w:line="276" w:lineRule="auto"/>
        <w:jc w:val="both"/>
        <w:rPr>
          <w:rFonts w:ascii="Times New Roman" w:hAnsi="Times New Roman"/>
          <w:sz w:val="24"/>
          <w:szCs w:val="24"/>
        </w:rPr>
      </w:pPr>
      <w:r w:rsidRPr="005F0A32">
        <w:rPr>
          <w:rFonts w:ascii="Times New Roman" w:hAnsi="Times New Roman"/>
          <w:color w:val="000000"/>
          <w:sz w:val="24"/>
          <w:szCs w:val="24"/>
        </w:rPr>
        <w:t xml:space="preserve">W/w zadania wspierają realizację celów wskazanych w </w:t>
      </w:r>
      <w:r w:rsidRPr="00E94547">
        <w:rPr>
          <w:rFonts w:ascii="Times New Roman" w:hAnsi="Times New Roman"/>
          <w:i/>
          <w:color w:val="000000"/>
          <w:sz w:val="24"/>
          <w:szCs w:val="24"/>
        </w:rPr>
        <w:t>Informacji o sytuacji osób starszych w Polsce za 2018 r.</w:t>
      </w:r>
      <w:r w:rsidRPr="005F0A32">
        <w:rPr>
          <w:rFonts w:ascii="Times New Roman" w:hAnsi="Times New Roman"/>
          <w:color w:val="000000"/>
          <w:sz w:val="24"/>
          <w:szCs w:val="24"/>
        </w:rPr>
        <w:t xml:space="preserve"> oraz w </w:t>
      </w:r>
      <w:r w:rsidRPr="00E94547">
        <w:rPr>
          <w:rFonts w:ascii="Times New Roman" w:hAnsi="Times New Roman"/>
          <w:i/>
          <w:color w:val="000000"/>
          <w:sz w:val="24"/>
          <w:szCs w:val="24"/>
        </w:rPr>
        <w:t>Polityce społecznej wobec osób starszych 2030. Bezpieczeństwo-Uczestnictwo-Solidarność</w:t>
      </w:r>
      <w:r w:rsidR="00E94547">
        <w:rPr>
          <w:rStyle w:val="Odwoanieprzypisudolnego"/>
          <w:rFonts w:ascii="Times New Roman" w:hAnsi="Times New Roman"/>
          <w:i/>
          <w:color w:val="000000"/>
          <w:sz w:val="24"/>
          <w:szCs w:val="24"/>
        </w:rPr>
        <w:footnoteReference w:id="101"/>
      </w:r>
      <w:r w:rsidRPr="005F0A32">
        <w:rPr>
          <w:rFonts w:ascii="Times New Roman" w:hAnsi="Times New Roman"/>
          <w:color w:val="000000"/>
          <w:sz w:val="24"/>
          <w:szCs w:val="24"/>
        </w:rPr>
        <w:t xml:space="preserve">. </w:t>
      </w:r>
    </w:p>
    <w:p w14:paraId="5FF470ED" w14:textId="77777777" w:rsidR="007A1EA2" w:rsidRDefault="007A1EA2" w:rsidP="003C1988">
      <w:pPr>
        <w:spacing w:after="0"/>
        <w:rPr>
          <w:rFonts w:ascii="Times New Roman" w:eastAsia="Times New Roman" w:hAnsi="Times New Roman" w:cs="Times New Roman"/>
          <w:sz w:val="24"/>
          <w:szCs w:val="24"/>
        </w:rPr>
      </w:pPr>
    </w:p>
    <w:p w14:paraId="3F9D18E0" w14:textId="77777777" w:rsidR="00F31DCC" w:rsidRPr="007A1EA2" w:rsidRDefault="00F31DCC" w:rsidP="008C71A9">
      <w:pPr>
        <w:pStyle w:val="Akapitzlist"/>
        <w:numPr>
          <w:ilvl w:val="0"/>
          <w:numId w:val="86"/>
        </w:numPr>
        <w:spacing w:after="0"/>
        <w:ind w:left="360"/>
        <w:jc w:val="both"/>
        <w:rPr>
          <w:rFonts w:ascii="Times New Roman" w:hAnsi="Times New Roman" w:cs="Times New Roman"/>
          <w:sz w:val="24"/>
          <w:szCs w:val="24"/>
        </w:rPr>
      </w:pPr>
      <w:r w:rsidRPr="007A1EA2">
        <w:rPr>
          <w:rFonts w:ascii="Times New Roman" w:eastAsia="Times New Roman" w:hAnsi="Times New Roman" w:cs="Times New Roman"/>
          <w:sz w:val="24"/>
          <w:szCs w:val="24"/>
        </w:rPr>
        <w:t>Powiat zgierski</w:t>
      </w:r>
    </w:p>
    <w:p w14:paraId="08D02EFB" w14:textId="77777777" w:rsidR="007A1EA2" w:rsidRDefault="00F31DCC" w:rsidP="008C71A9">
      <w:pPr>
        <w:pStyle w:val="Akapitzlist"/>
        <w:numPr>
          <w:ilvl w:val="0"/>
          <w:numId w:val="90"/>
        </w:numPr>
        <w:pBdr>
          <w:top w:val="none" w:sz="0" w:space="0" w:color="000000"/>
          <w:left w:val="none" w:sz="0" w:space="0" w:color="000000"/>
          <w:bottom w:val="none" w:sz="0" w:space="0" w:color="000000"/>
          <w:right w:val="none" w:sz="0" w:space="0" w:color="000000"/>
        </w:pBdr>
        <w:tabs>
          <w:tab w:val="center" w:pos="4536"/>
          <w:tab w:val="right" w:pos="9072"/>
        </w:tabs>
        <w:spacing w:after="0"/>
        <w:ind w:left="643"/>
        <w:jc w:val="both"/>
        <w:rPr>
          <w:rFonts w:ascii="Times New Roman" w:hAnsi="Times New Roman" w:cs="Times New Roman"/>
          <w:sz w:val="24"/>
          <w:szCs w:val="24"/>
        </w:rPr>
      </w:pPr>
      <w:r w:rsidRPr="007A1EA2">
        <w:rPr>
          <w:rFonts w:ascii="Times New Roman" w:hAnsi="Times New Roman" w:cs="Times New Roman"/>
          <w:iCs/>
          <w:color w:val="000000"/>
          <w:sz w:val="24"/>
          <w:szCs w:val="24"/>
          <w:lang w:eastAsia="pl-PL"/>
        </w:rPr>
        <w:t>W trosce o poprawę bytu osób w wieku 60 + i niesamodzieln</w:t>
      </w:r>
      <w:r w:rsidR="00E94547">
        <w:rPr>
          <w:rFonts w:ascii="Times New Roman" w:hAnsi="Times New Roman" w:cs="Times New Roman"/>
          <w:iCs/>
          <w:color w:val="000000"/>
          <w:sz w:val="24"/>
          <w:szCs w:val="24"/>
          <w:lang w:eastAsia="pl-PL"/>
        </w:rPr>
        <w:t>ych, Powiat Zgierski w 2019 r.</w:t>
      </w:r>
      <w:r w:rsidRPr="007A1EA2">
        <w:rPr>
          <w:rFonts w:ascii="Times New Roman" w:hAnsi="Times New Roman" w:cs="Times New Roman"/>
          <w:iCs/>
          <w:color w:val="000000"/>
          <w:sz w:val="24"/>
          <w:szCs w:val="24"/>
          <w:lang w:eastAsia="pl-PL"/>
        </w:rPr>
        <w:t xml:space="preserve"> zawarł umowę z ,,HRP Care’’ Sp. z o.o. z siedzibą w Łodzi o współpracy w zakresie realizacji </w:t>
      </w:r>
      <w:r w:rsidRPr="007A1EA2">
        <w:rPr>
          <w:rFonts w:ascii="Times New Roman" w:hAnsi="Times New Roman" w:cs="Times New Roman"/>
          <w:bCs/>
          <w:iCs/>
          <w:color w:val="000000"/>
          <w:sz w:val="24"/>
          <w:szCs w:val="24"/>
          <w:lang w:eastAsia="pl-PL"/>
        </w:rPr>
        <w:t>Projektu</w:t>
      </w:r>
      <w:r w:rsidRPr="007A1EA2">
        <w:rPr>
          <w:rFonts w:ascii="Times New Roman" w:hAnsi="Times New Roman" w:cs="Times New Roman"/>
          <w:iCs/>
          <w:color w:val="000000"/>
          <w:sz w:val="24"/>
          <w:szCs w:val="24"/>
          <w:lang w:eastAsia="pl-PL"/>
        </w:rPr>
        <w:t xml:space="preserve"> </w:t>
      </w:r>
      <w:r w:rsidRPr="007A1EA2">
        <w:rPr>
          <w:rFonts w:ascii="Times New Roman" w:hAnsi="Times New Roman" w:cs="Times New Roman"/>
          <w:bCs/>
          <w:iCs/>
          <w:color w:val="000000"/>
          <w:sz w:val="24"/>
          <w:szCs w:val="24"/>
          <w:lang w:eastAsia="pl-PL"/>
        </w:rPr>
        <w:t>,,Przepis na Opiekę’’</w:t>
      </w:r>
      <w:r w:rsidRPr="007A1EA2">
        <w:rPr>
          <w:rFonts w:ascii="Times New Roman" w:hAnsi="Times New Roman" w:cs="Times New Roman"/>
          <w:iCs/>
          <w:color w:val="000000"/>
          <w:sz w:val="24"/>
          <w:szCs w:val="24"/>
          <w:lang w:eastAsia="pl-PL"/>
        </w:rPr>
        <w:t xml:space="preserve">, realizowanego w ramach </w:t>
      </w:r>
      <w:r w:rsidRPr="007A1EA2">
        <w:rPr>
          <w:rFonts w:ascii="Times New Roman" w:hAnsi="Times New Roman" w:cs="Times New Roman"/>
          <w:color w:val="000000"/>
          <w:sz w:val="24"/>
          <w:szCs w:val="24"/>
          <w:lang w:eastAsia="pl-PL"/>
        </w:rPr>
        <w:t xml:space="preserve">Regionalnego Programu Operacyjnego Województwa Łódzkiego na lata 2014 - 2020 </w:t>
      </w:r>
      <w:r w:rsidRPr="007A1EA2">
        <w:rPr>
          <w:rFonts w:ascii="Times New Roman" w:hAnsi="Times New Roman" w:cs="Times New Roman"/>
          <w:color w:val="000000"/>
          <w:sz w:val="24"/>
          <w:szCs w:val="24"/>
          <w:lang w:eastAsia="pl-PL"/>
        </w:rPr>
        <w:lastRenderedPageBreak/>
        <w:t xml:space="preserve">współfinansowanym z Europejskiego Funduszu Społecznego, Oś: 9 Włączenie społeczne; Działanie: 9.2 Usługi na rzecz osób zagrożonych ubóstwem lub wykluczeniem społecznym; Poddziałanie: 9.2.2 Usługi społeczne i zdrowotne - ZIT. </w:t>
      </w:r>
      <w:r w:rsidRPr="007A1EA2">
        <w:rPr>
          <w:rFonts w:ascii="Times New Roman" w:hAnsi="Times New Roman" w:cs="Times New Roman"/>
          <w:iCs/>
          <w:color w:val="000000"/>
          <w:sz w:val="24"/>
          <w:szCs w:val="24"/>
          <w:lang w:eastAsia="pl-PL"/>
        </w:rPr>
        <w:t>Zakres wsparcia oferowany dla mieszkańców powiatu zgierskiego, to zapewnienie uczestnikom formy wsparcia jaką jest TELEOPIEKA, która ma za zadanie zapewnić dodatkowe zabezpieczenie w miejscu zamieszkania dla osób starszych niesamodzielnych</w:t>
      </w:r>
      <w:r w:rsidRPr="007A1EA2">
        <w:rPr>
          <w:rFonts w:ascii="Times New Roman" w:hAnsi="Times New Roman" w:cs="Times New Roman"/>
          <w:sz w:val="24"/>
          <w:szCs w:val="24"/>
          <w:lang w:eastAsia="pl-PL"/>
        </w:rPr>
        <w:t xml:space="preserve">, zamieszkujących samotnie </w:t>
      </w:r>
      <w:r w:rsidRPr="007A1EA2">
        <w:rPr>
          <w:rFonts w:ascii="Times New Roman" w:hAnsi="Times New Roman" w:cs="Times New Roman"/>
          <w:bCs/>
          <w:sz w:val="24"/>
          <w:szCs w:val="24"/>
          <w:lang w:eastAsia="pl-PL"/>
        </w:rPr>
        <w:t>Proponowane wsparcie obejmuje zakres teleopieki dla 100 mieszkańców powiatu zgierskiego:</w:t>
      </w:r>
      <w:r w:rsidR="007A1EA2">
        <w:rPr>
          <w:rFonts w:ascii="Times New Roman" w:hAnsi="Times New Roman" w:cs="Times New Roman"/>
          <w:bCs/>
          <w:sz w:val="24"/>
          <w:szCs w:val="24"/>
          <w:lang w:eastAsia="pl-PL"/>
        </w:rPr>
        <w:t xml:space="preserve"> powyżej 60 roku życia,</w:t>
      </w:r>
      <w:r w:rsidRPr="007A1EA2">
        <w:rPr>
          <w:rFonts w:ascii="Times New Roman" w:hAnsi="Times New Roman" w:cs="Times New Roman"/>
          <w:bCs/>
          <w:sz w:val="24"/>
          <w:szCs w:val="24"/>
          <w:lang w:eastAsia="pl-PL"/>
        </w:rPr>
        <w:t xml:space="preserve"> niesamodzielnych w m.in. je</w:t>
      </w:r>
      <w:r w:rsidR="007A1EA2">
        <w:rPr>
          <w:rFonts w:ascii="Times New Roman" w:hAnsi="Times New Roman" w:cs="Times New Roman"/>
          <w:bCs/>
          <w:sz w:val="24"/>
          <w:szCs w:val="24"/>
          <w:lang w:eastAsia="pl-PL"/>
        </w:rPr>
        <w:t xml:space="preserve">dnej czynności wg skali Barthel, osób, które </w:t>
      </w:r>
      <w:r w:rsidRPr="007A1EA2">
        <w:rPr>
          <w:rFonts w:ascii="Times New Roman" w:hAnsi="Times New Roman" w:cs="Times New Roman"/>
          <w:bCs/>
          <w:sz w:val="24"/>
          <w:szCs w:val="24"/>
          <w:lang w:eastAsia="pl-PL"/>
        </w:rPr>
        <w:t>nigdy nie korzystały ze wsparcia tego samego typu z EFS.</w:t>
      </w:r>
      <w:r w:rsidR="007A1EA2">
        <w:rPr>
          <w:rFonts w:ascii="Times New Roman" w:hAnsi="Times New Roman" w:cs="Times New Roman"/>
          <w:bCs/>
          <w:sz w:val="24"/>
          <w:szCs w:val="24"/>
          <w:lang w:eastAsia="pl-PL"/>
        </w:rPr>
        <w:t xml:space="preserve"> </w:t>
      </w:r>
      <w:r w:rsidRPr="007A1EA2">
        <w:rPr>
          <w:rFonts w:ascii="Times New Roman" w:hAnsi="Times New Roman" w:cs="Times New Roman"/>
          <w:color w:val="000000"/>
          <w:sz w:val="24"/>
          <w:szCs w:val="24"/>
          <w:lang w:eastAsia="pl-PL"/>
        </w:rPr>
        <w:t>Uczestnicy projektu otrzymali</w:t>
      </w:r>
      <w:r w:rsidRPr="007A1EA2">
        <w:rPr>
          <w:rFonts w:ascii="Times New Roman" w:eastAsia="Lucida Sans Unicode" w:hAnsi="Times New Roman" w:cs="Times New Roman"/>
          <w:sz w:val="24"/>
          <w:szCs w:val="24"/>
          <w:lang w:val="x-none"/>
        </w:rPr>
        <w:t xml:space="preserve"> osobistą opaskę medyczną</w:t>
      </w:r>
      <w:r w:rsidRPr="007A1EA2">
        <w:rPr>
          <w:rFonts w:ascii="Times New Roman" w:eastAsia="Lucida Sans Unicode" w:hAnsi="Times New Roman" w:cs="Times New Roman"/>
          <w:sz w:val="24"/>
          <w:szCs w:val="24"/>
        </w:rPr>
        <w:t xml:space="preserve">. </w:t>
      </w:r>
      <w:r w:rsidRPr="007A1EA2">
        <w:rPr>
          <w:rFonts w:ascii="Times New Roman" w:eastAsia="Lucida Sans Unicode" w:hAnsi="Times New Roman" w:cs="Times New Roman"/>
          <w:sz w:val="24"/>
          <w:szCs w:val="24"/>
          <w:lang w:val="x-none"/>
        </w:rPr>
        <w:t>Opaski monitorowały podstawowe czynności życiowe takie, jak: temperatura, tętno, a także umożliwiały rejestrację zdarzeń takich, jak upadek, zdjęcie opaski, opuszczenie danej lokalizacji. Opaski te posiada</w:t>
      </w:r>
      <w:r w:rsidRPr="007A1EA2">
        <w:rPr>
          <w:rFonts w:ascii="Times New Roman" w:eastAsia="Lucida Sans Unicode" w:hAnsi="Times New Roman" w:cs="Times New Roman"/>
          <w:sz w:val="24"/>
          <w:szCs w:val="24"/>
        </w:rPr>
        <w:t>ją</w:t>
      </w:r>
      <w:r w:rsidRPr="007A1EA2">
        <w:rPr>
          <w:rFonts w:ascii="Times New Roman" w:eastAsia="Lucida Sans Unicode" w:hAnsi="Times New Roman" w:cs="Times New Roman"/>
          <w:sz w:val="24"/>
          <w:szCs w:val="24"/>
          <w:lang w:val="x-none"/>
        </w:rPr>
        <w:t xml:space="preserve"> moduł komunikacyjny, w tym przycisk SOS, a także możliwość połączenia z</w:t>
      </w:r>
      <w:r w:rsidRPr="007A1EA2">
        <w:rPr>
          <w:rFonts w:ascii="Times New Roman" w:eastAsia="Lucida Sans Unicode" w:hAnsi="Times New Roman" w:cs="Times New Roman"/>
          <w:sz w:val="24"/>
          <w:szCs w:val="24"/>
        </w:rPr>
        <w:t> </w:t>
      </w:r>
      <w:r w:rsidRPr="007A1EA2">
        <w:rPr>
          <w:rFonts w:ascii="Times New Roman" w:eastAsia="Lucida Sans Unicode" w:hAnsi="Times New Roman" w:cs="Times New Roman"/>
          <w:sz w:val="24"/>
          <w:szCs w:val="24"/>
          <w:lang w:val="x-none"/>
        </w:rPr>
        <w:t>i</w:t>
      </w:r>
      <w:r w:rsidRPr="007A1EA2">
        <w:rPr>
          <w:rFonts w:ascii="Times New Roman" w:eastAsia="Lucida Sans Unicode" w:hAnsi="Times New Roman" w:cs="Times New Roman"/>
          <w:sz w:val="24"/>
          <w:szCs w:val="24"/>
        </w:rPr>
        <w:t> </w:t>
      </w:r>
      <w:r w:rsidRPr="007A1EA2">
        <w:rPr>
          <w:rFonts w:ascii="Times New Roman" w:eastAsia="Lucida Sans Unicode" w:hAnsi="Times New Roman" w:cs="Times New Roman"/>
          <w:sz w:val="24"/>
          <w:szCs w:val="24"/>
          <w:lang w:val="x-none"/>
        </w:rPr>
        <w:t>o</w:t>
      </w:r>
      <w:r w:rsidRPr="007A1EA2">
        <w:rPr>
          <w:rFonts w:ascii="Times New Roman" w:eastAsia="Lucida Sans Unicode" w:hAnsi="Times New Roman" w:cs="Times New Roman"/>
          <w:sz w:val="24"/>
          <w:szCs w:val="24"/>
        </w:rPr>
        <w:t> </w:t>
      </w:r>
      <w:r w:rsidRPr="007A1EA2">
        <w:rPr>
          <w:rFonts w:ascii="Times New Roman" w:eastAsia="Lucida Sans Unicode" w:hAnsi="Times New Roman" w:cs="Times New Roman"/>
          <w:sz w:val="24"/>
          <w:szCs w:val="24"/>
          <w:lang w:val="x-none"/>
        </w:rPr>
        <w:t>definiowanych numerów</w:t>
      </w:r>
      <w:r w:rsidRPr="007A1EA2">
        <w:rPr>
          <w:rFonts w:ascii="Times New Roman" w:eastAsia="Lucida Sans Unicode" w:hAnsi="Times New Roman" w:cs="Times New Roman"/>
          <w:sz w:val="24"/>
          <w:szCs w:val="24"/>
        </w:rPr>
        <w:t xml:space="preserve">. </w:t>
      </w:r>
      <w:r w:rsidRPr="007A1EA2">
        <w:rPr>
          <w:rFonts w:ascii="Times New Roman" w:hAnsi="Times New Roman" w:cs="Times New Roman"/>
          <w:sz w:val="24"/>
          <w:szCs w:val="24"/>
        </w:rPr>
        <w:t>Rekrutacja uczestników odbyła się już w 2019</w:t>
      </w:r>
      <w:r w:rsidR="00E94547">
        <w:rPr>
          <w:rFonts w:ascii="Times New Roman" w:hAnsi="Times New Roman" w:cs="Times New Roman"/>
          <w:sz w:val="24"/>
          <w:szCs w:val="24"/>
        </w:rPr>
        <w:t xml:space="preserve"> r.</w:t>
      </w:r>
      <w:r w:rsidRPr="007A1EA2">
        <w:rPr>
          <w:rFonts w:ascii="Times New Roman" w:hAnsi="Times New Roman" w:cs="Times New Roman"/>
          <w:sz w:val="24"/>
          <w:szCs w:val="24"/>
        </w:rPr>
        <w:t>, przekazanie opasek wraz z krótkim szkoleniem obsługi urządze</w:t>
      </w:r>
      <w:r w:rsidR="00E94547">
        <w:rPr>
          <w:rFonts w:ascii="Times New Roman" w:hAnsi="Times New Roman" w:cs="Times New Roman"/>
          <w:sz w:val="24"/>
          <w:szCs w:val="24"/>
        </w:rPr>
        <w:t>nia realizowane było w 2020 r</w:t>
      </w:r>
      <w:r w:rsidRPr="007A1EA2">
        <w:rPr>
          <w:rFonts w:ascii="Times New Roman" w:hAnsi="Times New Roman" w:cs="Times New Roman"/>
          <w:sz w:val="24"/>
          <w:szCs w:val="24"/>
        </w:rPr>
        <w:t>.</w:t>
      </w:r>
    </w:p>
    <w:p w14:paraId="35A71259" w14:textId="77777777" w:rsidR="00F31DCC" w:rsidRPr="007A1EA2" w:rsidRDefault="00F31DCC" w:rsidP="008C71A9">
      <w:pPr>
        <w:pStyle w:val="Akapitzlist"/>
        <w:numPr>
          <w:ilvl w:val="0"/>
          <w:numId w:val="90"/>
        </w:numPr>
        <w:pBdr>
          <w:top w:val="none" w:sz="0" w:space="0" w:color="000000"/>
          <w:left w:val="none" w:sz="0" w:space="0" w:color="000000"/>
          <w:bottom w:val="none" w:sz="0" w:space="0" w:color="000000"/>
          <w:right w:val="none" w:sz="0" w:space="0" w:color="000000"/>
        </w:pBdr>
        <w:tabs>
          <w:tab w:val="center" w:pos="4536"/>
          <w:tab w:val="right" w:pos="9072"/>
        </w:tabs>
        <w:spacing w:after="0"/>
        <w:ind w:left="643"/>
        <w:jc w:val="both"/>
        <w:rPr>
          <w:rFonts w:ascii="Times New Roman" w:hAnsi="Times New Roman" w:cs="Times New Roman"/>
          <w:sz w:val="24"/>
          <w:szCs w:val="24"/>
        </w:rPr>
      </w:pPr>
      <w:r w:rsidRPr="007A1EA2">
        <w:rPr>
          <w:rFonts w:ascii="Times New Roman" w:hAnsi="Times New Roman" w:cs="Times New Roman"/>
          <w:sz w:val="24"/>
          <w:szCs w:val="24"/>
        </w:rPr>
        <w:t xml:space="preserve">Ponadto, </w:t>
      </w:r>
      <w:r w:rsidRPr="007A1EA2">
        <w:rPr>
          <w:rFonts w:ascii="Times New Roman" w:eastAsia="Times New Roman" w:hAnsi="Times New Roman" w:cs="Times New Roman"/>
          <w:sz w:val="24"/>
          <w:szCs w:val="24"/>
          <w:lang w:eastAsia="pl-PL"/>
        </w:rPr>
        <w:t>wychodząc naprzeciw potrzebom seniorów, Starostwo</w:t>
      </w:r>
      <w:r w:rsidR="00E94547">
        <w:rPr>
          <w:rFonts w:ascii="Times New Roman" w:eastAsia="Times New Roman" w:hAnsi="Times New Roman" w:cs="Times New Roman"/>
          <w:sz w:val="24"/>
          <w:szCs w:val="24"/>
          <w:lang w:eastAsia="pl-PL"/>
        </w:rPr>
        <w:t xml:space="preserve"> Powiatowe w Zgierzu w 2019 r.</w:t>
      </w:r>
      <w:r w:rsidRPr="007A1EA2">
        <w:rPr>
          <w:rFonts w:ascii="Times New Roman" w:eastAsia="Times New Roman" w:hAnsi="Times New Roman" w:cs="Times New Roman"/>
          <w:sz w:val="24"/>
          <w:szCs w:val="24"/>
          <w:lang w:eastAsia="pl-PL"/>
        </w:rPr>
        <w:t xml:space="preserve"> realizowało </w:t>
      </w:r>
      <w:r w:rsidRPr="007A1EA2">
        <w:rPr>
          <w:rFonts w:ascii="Times New Roman" w:eastAsia="Times New Roman" w:hAnsi="Times New Roman" w:cs="Times New Roman"/>
          <w:bCs/>
          <w:sz w:val="24"/>
          <w:szCs w:val="24"/>
          <w:lang w:eastAsia="pl-PL"/>
        </w:rPr>
        <w:t>Programu „Ogólnopolska Karta Seniora”.</w:t>
      </w:r>
      <w:r w:rsidRPr="007A1EA2">
        <w:rPr>
          <w:rFonts w:ascii="Times New Roman" w:eastAsia="Times New Roman" w:hAnsi="Times New Roman" w:cs="Times New Roman"/>
          <w:b/>
          <w:bCs/>
          <w:sz w:val="24"/>
          <w:szCs w:val="24"/>
          <w:lang w:eastAsia="pl-PL"/>
        </w:rPr>
        <w:t xml:space="preserve"> </w:t>
      </w:r>
      <w:r w:rsidRPr="007A1EA2">
        <w:rPr>
          <w:rFonts w:ascii="Times New Roman" w:eastAsia="Times New Roman" w:hAnsi="Times New Roman" w:cs="Times New Roman"/>
          <w:sz w:val="24"/>
          <w:szCs w:val="24"/>
          <w:lang w:eastAsia="pl-PL"/>
        </w:rPr>
        <w:t>Każda osoba, która skończyła 60 lat mogła bezpłatnie otrzymać kartę przystępując do programu</w:t>
      </w:r>
      <w:r w:rsidRPr="007A1EA2">
        <w:rPr>
          <w:rFonts w:ascii="Times New Roman" w:eastAsia="Times New Roman" w:hAnsi="Times New Roman" w:cs="Times New Roman"/>
          <w:b/>
          <w:bCs/>
          <w:sz w:val="24"/>
          <w:szCs w:val="24"/>
          <w:lang w:eastAsia="pl-PL"/>
        </w:rPr>
        <w:t xml:space="preserve">. </w:t>
      </w:r>
      <w:r w:rsidRPr="007A1EA2">
        <w:rPr>
          <w:rFonts w:ascii="Times New Roman" w:eastAsia="Times New Roman" w:hAnsi="Times New Roman" w:cs="Times New Roman"/>
          <w:sz w:val="24"/>
          <w:szCs w:val="24"/>
          <w:lang w:eastAsia="pl-PL"/>
        </w:rPr>
        <w:t>Karta jest bezte</w:t>
      </w:r>
      <w:r w:rsidR="00E94547">
        <w:rPr>
          <w:rFonts w:ascii="Times New Roman" w:eastAsia="Times New Roman" w:hAnsi="Times New Roman" w:cs="Times New Roman"/>
          <w:sz w:val="24"/>
          <w:szCs w:val="24"/>
          <w:lang w:eastAsia="pl-PL"/>
        </w:rPr>
        <w:t>rminowa i bezpłatna. W 2019 r.</w:t>
      </w:r>
      <w:r w:rsidRPr="007A1EA2">
        <w:rPr>
          <w:rFonts w:ascii="Times New Roman" w:eastAsia="Times New Roman" w:hAnsi="Times New Roman" w:cs="Times New Roman"/>
          <w:sz w:val="24"/>
          <w:szCs w:val="24"/>
          <w:lang w:eastAsia="pl-PL"/>
        </w:rPr>
        <w:t xml:space="preserve"> Starostwo Powiatowe w Zgierzu, wydało 903 Ogólnopolskie Karty Seniora. </w:t>
      </w:r>
      <w:r w:rsidRPr="007A1EA2">
        <w:rPr>
          <w:rFonts w:ascii="Times New Roman" w:eastAsia="Times New Roman" w:hAnsi="Times New Roman" w:cs="Times New Roman"/>
          <w:color w:val="333333"/>
          <w:sz w:val="24"/>
          <w:szCs w:val="24"/>
          <w:lang w:eastAsia="pl-PL"/>
        </w:rPr>
        <w:t>Założeniem programu jest poprawa życia osób starszych poprzez ich aktywizację i stworzenie możliwości dokonywania zakupu towarów bądź usług ze zniżką w wysokości zaproponowanej przez Partnerów Programu.</w:t>
      </w:r>
    </w:p>
    <w:p w14:paraId="6577BEE4" w14:textId="77777777" w:rsidR="007A1EA2" w:rsidRDefault="007A1EA2" w:rsidP="00E7359C">
      <w:pPr>
        <w:shd w:val="clear" w:color="auto" w:fill="FFFFFF"/>
        <w:spacing w:after="0"/>
        <w:jc w:val="both"/>
        <w:rPr>
          <w:rFonts w:ascii="Times New Roman" w:eastAsia="Times New Roman" w:hAnsi="Times New Roman" w:cs="Times New Roman"/>
          <w:color w:val="333333"/>
          <w:sz w:val="24"/>
          <w:szCs w:val="24"/>
          <w:lang w:eastAsia="pl-PL"/>
        </w:rPr>
      </w:pPr>
    </w:p>
    <w:p w14:paraId="3DE31382" w14:textId="77777777" w:rsidR="007A1EA2" w:rsidRDefault="00F31DCC" w:rsidP="00E7359C">
      <w:pPr>
        <w:shd w:val="clear" w:color="auto" w:fill="FFFFFF"/>
        <w:spacing w:after="0"/>
        <w:jc w:val="both"/>
        <w:rPr>
          <w:rFonts w:ascii="Times New Roman" w:hAnsi="Times New Roman" w:cs="Times New Roman"/>
          <w:sz w:val="24"/>
          <w:szCs w:val="24"/>
        </w:rPr>
        <w:sectPr w:rsidR="007A1EA2" w:rsidSect="00080A38">
          <w:pgSz w:w="11900" w:h="16838"/>
          <w:pgMar w:top="1384" w:right="1386" w:bottom="1038" w:left="1380" w:header="0" w:footer="567" w:gutter="0"/>
          <w:cols w:space="0" w:equalWidth="0">
            <w:col w:w="9140"/>
          </w:cols>
          <w:docGrid w:linePitch="360"/>
        </w:sectPr>
      </w:pPr>
      <w:r w:rsidRPr="005F0A32">
        <w:rPr>
          <w:rFonts w:ascii="Times New Roman" w:eastAsia="Times New Roman" w:hAnsi="Times New Roman" w:cs="Times New Roman"/>
          <w:color w:val="333333"/>
          <w:sz w:val="24"/>
          <w:szCs w:val="24"/>
          <w:lang w:eastAsia="pl-PL"/>
        </w:rPr>
        <w:t>Informacje o powyższych działaniach można uzyskać w siedzibie PCPR w Zgierzu oraz Starostwa Powiatowego w Zgierzu, a także na stronie internetowej ww. instytucji.</w:t>
      </w:r>
    </w:p>
    <w:p w14:paraId="4B704488" w14:textId="20C26A3C" w:rsidR="005F20F3" w:rsidRPr="005F20F3" w:rsidRDefault="005F20F3" w:rsidP="005F20F3">
      <w:pPr>
        <w:pStyle w:val="Legenda"/>
        <w:keepNext/>
        <w:rPr>
          <w:rFonts w:ascii="Times New Roman" w:hAnsi="Times New Roman" w:cs="Times New Roman"/>
          <w:b/>
          <w:i w:val="0"/>
          <w:sz w:val="24"/>
        </w:rPr>
      </w:pPr>
      <w:bookmarkStart w:id="133" w:name="_Toc49171434"/>
      <w:r w:rsidRPr="005F20F3">
        <w:rPr>
          <w:rFonts w:ascii="Times New Roman" w:hAnsi="Times New Roman" w:cs="Times New Roman"/>
          <w:b/>
          <w:i w:val="0"/>
          <w:sz w:val="24"/>
        </w:rPr>
        <w:lastRenderedPageBreak/>
        <w:t xml:space="preserve">Tabela </w:t>
      </w:r>
      <w:r w:rsidRPr="005F20F3">
        <w:rPr>
          <w:rFonts w:ascii="Times New Roman" w:hAnsi="Times New Roman" w:cs="Times New Roman"/>
          <w:b/>
          <w:i w:val="0"/>
          <w:sz w:val="24"/>
        </w:rPr>
        <w:fldChar w:fldCharType="begin"/>
      </w:r>
      <w:r w:rsidRPr="005F20F3">
        <w:rPr>
          <w:rFonts w:ascii="Times New Roman" w:hAnsi="Times New Roman" w:cs="Times New Roman"/>
          <w:b/>
          <w:i w:val="0"/>
          <w:sz w:val="24"/>
        </w:rPr>
        <w:instrText xml:space="preserve"> SEQ Tabela \* ARABIC </w:instrText>
      </w:r>
      <w:r w:rsidRPr="005F20F3">
        <w:rPr>
          <w:rFonts w:ascii="Times New Roman" w:hAnsi="Times New Roman" w:cs="Times New Roman"/>
          <w:b/>
          <w:i w:val="0"/>
          <w:sz w:val="24"/>
        </w:rPr>
        <w:fldChar w:fldCharType="separate"/>
      </w:r>
      <w:r w:rsidR="00C154C9">
        <w:rPr>
          <w:rFonts w:ascii="Times New Roman" w:hAnsi="Times New Roman" w:cs="Times New Roman"/>
          <w:b/>
          <w:i w:val="0"/>
          <w:noProof/>
          <w:sz w:val="24"/>
        </w:rPr>
        <w:t>59</w:t>
      </w:r>
      <w:r w:rsidRPr="005F20F3">
        <w:rPr>
          <w:rFonts w:ascii="Times New Roman" w:hAnsi="Times New Roman" w:cs="Times New Roman"/>
          <w:b/>
          <w:i w:val="0"/>
          <w:sz w:val="24"/>
        </w:rPr>
        <w:fldChar w:fldCharType="end"/>
      </w:r>
      <w:r w:rsidRPr="005F20F3">
        <w:rPr>
          <w:rFonts w:ascii="Times New Roman" w:hAnsi="Times New Roman" w:cs="Times New Roman"/>
          <w:b/>
          <w:i w:val="0"/>
          <w:sz w:val="24"/>
        </w:rPr>
        <w:t xml:space="preserve"> Karta województwa łódzkiego</w:t>
      </w:r>
      <w:bookmarkEnd w:id="133"/>
    </w:p>
    <w:tbl>
      <w:tblPr>
        <w:tblStyle w:val="Tabelasiatki6kolorowaakcent1"/>
        <w:tblpPr w:leftFromText="142" w:rightFromText="142" w:vertAnchor="text" w:horzAnchor="margin" w:tblpXSpec="center" w:tblpY="1"/>
        <w:tblOverlap w:val="never"/>
        <w:tblW w:w="14741" w:type="dxa"/>
        <w:tblBorders>
          <w:top w:val="single" w:sz="12" w:space="0" w:color="9CC2E5"/>
          <w:left w:val="single" w:sz="12" w:space="0" w:color="9CC2E5"/>
          <w:bottom w:val="single" w:sz="12" w:space="0" w:color="9CC2E5"/>
          <w:right w:val="single" w:sz="12" w:space="0" w:color="9CC2E5"/>
          <w:insideH w:val="single" w:sz="12" w:space="0" w:color="9CC2E5"/>
          <w:insideV w:val="single" w:sz="12" w:space="0" w:color="9CC2E5"/>
        </w:tblBorders>
        <w:tblLayout w:type="fixed"/>
        <w:tblLook w:val="04A0" w:firstRow="1" w:lastRow="0" w:firstColumn="1" w:lastColumn="0" w:noHBand="0" w:noVBand="1"/>
      </w:tblPr>
      <w:tblGrid>
        <w:gridCol w:w="2830"/>
        <w:gridCol w:w="3066"/>
        <w:gridCol w:w="903"/>
        <w:gridCol w:w="2045"/>
        <w:gridCol w:w="1924"/>
        <w:gridCol w:w="1024"/>
        <w:gridCol w:w="2949"/>
      </w:tblGrid>
      <w:tr w:rsidR="00E82BE0" w:rsidRPr="00A25283" w14:paraId="401000DE" w14:textId="77777777" w:rsidTr="00E86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D01FB3C" w14:textId="77777777" w:rsidR="00E82BE0" w:rsidRPr="00C97640" w:rsidRDefault="00E82BE0" w:rsidP="00E86509">
            <w:pPr>
              <w:spacing w:after="0" w:line="240" w:lineRule="auto"/>
              <w:jc w:val="center"/>
              <w:rPr>
                <w:rFonts w:ascii="Times New Roman" w:hAnsi="Times New Roman"/>
                <w:color w:val="auto"/>
              </w:rPr>
            </w:pPr>
            <w:r w:rsidRPr="00C97640">
              <w:rPr>
                <w:rFonts w:ascii="Times New Roman" w:hAnsi="Times New Roman"/>
                <w:color w:val="auto"/>
              </w:rPr>
              <w:t>WOJEWÓDZTWO ŁÓDZKIE</w:t>
            </w:r>
          </w:p>
        </w:tc>
      </w:tr>
      <w:tr w:rsidR="00E82BE0" w:rsidRPr="00A25283" w14:paraId="4F94876F" w14:textId="77777777" w:rsidTr="00E8650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0FE16D8" w14:textId="77777777" w:rsidR="00E82BE0" w:rsidRPr="00C97640" w:rsidRDefault="00E82BE0" w:rsidP="00E86509">
            <w:pPr>
              <w:spacing w:after="0" w:line="240" w:lineRule="auto"/>
              <w:rPr>
                <w:rFonts w:ascii="Times New Roman" w:hAnsi="Times New Roman"/>
                <w:color w:val="auto"/>
              </w:rPr>
            </w:pPr>
            <w:r w:rsidRPr="00C97640">
              <w:rPr>
                <w:rFonts w:ascii="Times New Roman" w:hAnsi="Times New Roman"/>
                <w:color w:val="auto"/>
              </w:rPr>
              <w:t>Informacja o regionie</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EBF4045"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Liczba gmin</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A11952C"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Miejskie – 18; wiejskie – 133; miejsko – wiejskie - 26</w:t>
            </w:r>
          </w:p>
        </w:tc>
      </w:tr>
      <w:tr w:rsidR="00E82BE0" w:rsidRPr="00A25283" w14:paraId="7C1331DE" w14:textId="77777777" w:rsidTr="00E86509">
        <w:trPr>
          <w:trHeight w:val="11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01C8DFC" w14:textId="77777777" w:rsidR="00E82BE0" w:rsidRPr="00C97640" w:rsidRDefault="00E82BE0" w:rsidP="00E86509">
            <w:pPr>
              <w:spacing w:after="0" w:line="240" w:lineRule="auto"/>
              <w:rPr>
                <w:rFonts w:ascii="Times New Roman" w:hAnsi="Times New Roman"/>
                <w:color w:val="auto"/>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27FBC2A"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Liczba powiatów</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96252E6"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21</w:t>
            </w:r>
          </w:p>
        </w:tc>
      </w:tr>
      <w:tr w:rsidR="00E82BE0" w:rsidRPr="00A25283" w14:paraId="541C85C9" w14:textId="77777777" w:rsidTr="00E8650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76D1C92" w14:textId="77777777" w:rsidR="00E82BE0" w:rsidRPr="00C97640" w:rsidRDefault="00E82BE0" w:rsidP="00E86509">
            <w:pPr>
              <w:spacing w:after="0" w:line="240" w:lineRule="auto"/>
              <w:rPr>
                <w:rFonts w:ascii="Times New Roman" w:hAnsi="Times New Roman"/>
                <w:color w:val="auto"/>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FEDB785"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Powierzchnia</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DA66925"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vertAlign w:val="superscript"/>
              </w:rPr>
            </w:pPr>
            <w:r w:rsidRPr="00C97640">
              <w:rPr>
                <w:rFonts w:ascii="Times New Roman" w:hAnsi="Times New Roman"/>
                <w:color w:val="auto"/>
              </w:rPr>
              <w:t>18</w:t>
            </w:r>
            <w:r w:rsidR="00E94547" w:rsidRPr="00C97640">
              <w:rPr>
                <w:rFonts w:ascii="Times New Roman" w:hAnsi="Times New Roman"/>
                <w:color w:val="auto"/>
              </w:rPr>
              <w:t xml:space="preserve"> </w:t>
            </w:r>
            <w:r w:rsidRPr="00C97640">
              <w:rPr>
                <w:rFonts w:ascii="Times New Roman" w:hAnsi="Times New Roman"/>
                <w:color w:val="auto"/>
              </w:rPr>
              <w:t>219 km</w:t>
            </w:r>
            <w:r w:rsidRPr="00C97640">
              <w:rPr>
                <w:rFonts w:ascii="Times New Roman" w:hAnsi="Times New Roman"/>
                <w:color w:val="auto"/>
                <w:vertAlign w:val="superscript"/>
              </w:rPr>
              <w:t>2</w:t>
            </w:r>
          </w:p>
        </w:tc>
      </w:tr>
      <w:tr w:rsidR="00E82BE0" w:rsidRPr="00A25283" w14:paraId="2D8B75F7"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5454596" w14:textId="77777777" w:rsidR="00E82BE0" w:rsidRPr="00C97640" w:rsidRDefault="00E82BE0" w:rsidP="00E86509">
            <w:pPr>
              <w:spacing w:after="0" w:line="240" w:lineRule="auto"/>
              <w:jc w:val="center"/>
              <w:rPr>
                <w:rFonts w:ascii="Times New Roman" w:hAnsi="Times New Roman"/>
                <w:b w:val="0"/>
                <w:color w:val="auto"/>
              </w:rPr>
            </w:pPr>
            <w:r w:rsidRPr="00C97640">
              <w:rPr>
                <w:rFonts w:ascii="Times New Roman" w:hAnsi="Times New Roman"/>
                <w:color w:val="auto"/>
              </w:rPr>
              <w:t>DEMOGRAFIA</w:t>
            </w:r>
          </w:p>
        </w:tc>
      </w:tr>
      <w:tr w:rsidR="00E82BE0" w:rsidRPr="00A25283" w14:paraId="23473601"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A3962D7" w14:textId="77777777" w:rsidR="00E82BE0" w:rsidRPr="00C97640" w:rsidRDefault="00E82BE0" w:rsidP="00E86509">
            <w:pPr>
              <w:spacing w:after="0" w:line="240" w:lineRule="auto"/>
              <w:jc w:val="center"/>
              <w:rPr>
                <w:rFonts w:ascii="Times New Roman" w:hAnsi="Times New Roman"/>
                <w:b w:val="0"/>
                <w:color w:val="auto"/>
                <w:lang w:eastAsia="pl-PL"/>
              </w:rPr>
            </w:pPr>
            <w:r w:rsidRPr="00C97640">
              <w:rPr>
                <w:rFonts w:ascii="Times New Roman" w:hAnsi="Times New Roman"/>
                <w:color w:val="auto"/>
                <w:lang w:eastAsia="pl-PL"/>
              </w:rPr>
              <w:t>Treść</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691B156"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2017 r.</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E4D2B45"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2018 r.</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1820002"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2019 r.</w:t>
            </w:r>
          </w:p>
        </w:tc>
      </w:tr>
      <w:tr w:rsidR="00E82BE0" w:rsidRPr="00A25283" w14:paraId="1705D357"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DEF7FC7" w14:textId="77777777" w:rsidR="00E82BE0" w:rsidRPr="00C97640" w:rsidRDefault="00E82BE0" w:rsidP="00E86509">
            <w:pPr>
              <w:spacing w:after="0" w:line="240" w:lineRule="auto"/>
              <w:rPr>
                <w:rFonts w:ascii="Times New Roman" w:hAnsi="Times New Roman"/>
                <w:color w:val="auto"/>
                <w:lang w:eastAsia="pl-PL"/>
              </w:rPr>
            </w:pPr>
            <w:r w:rsidRPr="00C97640">
              <w:rPr>
                <w:rFonts w:ascii="Times New Roman" w:hAnsi="Times New Roman"/>
                <w:color w:val="auto"/>
                <w:lang w:eastAsia="pl-PL"/>
              </w:rPr>
              <w:t>Populacja ogółem</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6805F711"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w:t>
            </w:r>
            <w:r w:rsidR="00E94547" w:rsidRPr="00C97640">
              <w:rPr>
                <w:rFonts w:ascii="Times New Roman" w:hAnsi="Times New Roman"/>
                <w:color w:val="auto"/>
              </w:rPr>
              <w:t xml:space="preserve"> </w:t>
            </w:r>
            <w:r w:rsidRPr="00C97640">
              <w:rPr>
                <w:rFonts w:ascii="Times New Roman" w:hAnsi="Times New Roman"/>
                <w:color w:val="auto"/>
              </w:rPr>
              <w:t>476</w:t>
            </w:r>
            <w:r w:rsidR="00E94547" w:rsidRPr="00C97640">
              <w:rPr>
                <w:rFonts w:ascii="Times New Roman" w:hAnsi="Times New Roman"/>
                <w:color w:val="auto"/>
              </w:rPr>
              <w:t xml:space="preserve"> </w:t>
            </w:r>
            <w:r w:rsidRPr="00C97640">
              <w:rPr>
                <w:rFonts w:ascii="Times New Roman" w:hAnsi="Times New Roman"/>
                <w:color w:val="auto"/>
              </w:rPr>
              <w:t>315</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47E43818"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w:t>
            </w:r>
            <w:r w:rsidR="00E94547" w:rsidRPr="00C97640">
              <w:rPr>
                <w:rFonts w:ascii="Times New Roman" w:hAnsi="Times New Roman"/>
                <w:color w:val="auto"/>
              </w:rPr>
              <w:t xml:space="preserve"> </w:t>
            </w:r>
            <w:r w:rsidRPr="00C97640">
              <w:rPr>
                <w:rFonts w:ascii="Times New Roman" w:hAnsi="Times New Roman"/>
                <w:color w:val="auto"/>
              </w:rPr>
              <w:t>466</w:t>
            </w:r>
            <w:r w:rsidR="00E94547" w:rsidRPr="00C97640">
              <w:rPr>
                <w:rFonts w:ascii="Times New Roman" w:hAnsi="Times New Roman"/>
                <w:color w:val="auto"/>
              </w:rPr>
              <w:t xml:space="preserve"> </w:t>
            </w:r>
            <w:r w:rsidRPr="00C97640">
              <w:rPr>
                <w:rFonts w:ascii="Times New Roman" w:hAnsi="Times New Roman"/>
                <w:color w:val="auto"/>
              </w:rPr>
              <w:t>322</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1948C04C"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w:t>
            </w:r>
            <w:r w:rsidR="00E94547" w:rsidRPr="00C97640">
              <w:rPr>
                <w:rFonts w:ascii="Times New Roman" w:hAnsi="Times New Roman"/>
                <w:color w:val="auto"/>
              </w:rPr>
              <w:t xml:space="preserve"> </w:t>
            </w:r>
            <w:r w:rsidRPr="00C97640">
              <w:rPr>
                <w:rFonts w:ascii="Times New Roman" w:hAnsi="Times New Roman"/>
                <w:color w:val="auto"/>
              </w:rPr>
              <w:t>454</w:t>
            </w:r>
            <w:r w:rsidR="00E94547" w:rsidRPr="00C97640">
              <w:rPr>
                <w:rFonts w:ascii="Times New Roman" w:hAnsi="Times New Roman"/>
                <w:color w:val="auto"/>
              </w:rPr>
              <w:t xml:space="preserve"> </w:t>
            </w:r>
            <w:r w:rsidRPr="00C97640">
              <w:rPr>
                <w:rFonts w:ascii="Times New Roman" w:hAnsi="Times New Roman"/>
                <w:color w:val="auto"/>
              </w:rPr>
              <w:t>779</w:t>
            </w:r>
          </w:p>
        </w:tc>
      </w:tr>
      <w:tr w:rsidR="00E82BE0" w:rsidRPr="00A25283" w14:paraId="16DEFC9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5897F21" w14:textId="77777777" w:rsidR="00E82BE0" w:rsidRPr="00C97640" w:rsidRDefault="00E82BE0" w:rsidP="00E86509">
            <w:pPr>
              <w:spacing w:after="0" w:line="240" w:lineRule="auto"/>
              <w:rPr>
                <w:rFonts w:ascii="Times New Roman" w:hAnsi="Times New Roman"/>
                <w:color w:val="auto"/>
              </w:rPr>
            </w:pPr>
            <w:r w:rsidRPr="00C97640">
              <w:rPr>
                <w:rFonts w:ascii="Times New Roman" w:hAnsi="Times New Roman"/>
                <w:color w:val="auto"/>
                <w:lang w:eastAsia="pl-PL"/>
              </w:rPr>
              <w:t>w tym:</w:t>
            </w:r>
          </w:p>
        </w:tc>
      </w:tr>
      <w:tr w:rsidR="00E82BE0" w:rsidRPr="00A25283" w14:paraId="72BAD60D"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38DF4E5" w14:textId="77777777" w:rsidR="00E82BE0" w:rsidRPr="00C97640" w:rsidRDefault="00E82BE0" w:rsidP="00E86509">
            <w:pPr>
              <w:spacing w:after="0" w:line="240" w:lineRule="auto"/>
              <w:rPr>
                <w:rFonts w:ascii="Times New Roman" w:hAnsi="Times New Roman"/>
                <w:color w:val="auto"/>
              </w:rPr>
            </w:pPr>
            <w:r w:rsidRPr="00C97640">
              <w:rPr>
                <w:rFonts w:ascii="Times New Roman" w:hAnsi="Times New Roman"/>
                <w:color w:val="auto"/>
                <w:lang w:eastAsia="pl-PL"/>
              </w:rPr>
              <w:t>w wieku 60 lat i więcej</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7F8B135"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659</w:t>
            </w:r>
            <w:r w:rsidR="00E94547" w:rsidRPr="00C97640">
              <w:rPr>
                <w:rFonts w:ascii="Times New Roman" w:hAnsi="Times New Roman"/>
                <w:color w:val="auto"/>
              </w:rPr>
              <w:t xml:space="preserve"> </w:t>
            </w:r>
            <w:r w:rsidRPr="00C97640">
              <w:rPr>
                <w:rFonts w:ascii="Times New Roman" w:hAnsi="Times New Roman"/>
                <w:color w:val="auto"/>
              </w:rPr>
              <w:t>832</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AB32B0D"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671</w:t>
            </w:r>
            <w:r w:rsidR="00E94547" w:rsidRPr="00C97640">
              <w:rPr>
                <w:rFonts w:ascii="Times New Roman" w:hAnsi="Times New Roman"/>
                <w:color w:val="auto"/>
              </w:rPr>
              <w:t xml:space="preserve"> </w:t>
            </w:r>
            <w:r w:rsidRPr="00C97640">
              <w:rPr>
                <w:rFonts w:ascii="Times New Roman" w:hAnsi="Times New Roman"/>
                <w:color w:val="auto"/>
              </w:rPr>
              <w:t>271</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68761AB"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681</w:t>
            </w:r>
            <w:r w:rsidR="00E94547" w:rsidRPr="00C97640">
              <w:rPr>
                <w:rFonts w:ascii="Times New Roman" w:hAnsi="Times New Roman"/>
                <w:color w:val="auto"/>
              </w:rPr>
              <w:t xml:space="preserve"> </w:t>
            </w:r>
            <w:r w:rsidRPr="00C97640">
              <w:rPr>
                <w:rFonts w:ascii="Times New Roman" w:hAnsi="Times New Roman"/>
                <w:color w:val="auto"/>
              </w:rPr>
              <w:t>413</w:t>
            </w:r>
          </w:p>
        </w:tc>
      </w:tr>
      <w:tr w:rsidR="00E82BE0" w:rsidRPr="00A25283" w14:paraId="64DAC51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4B2B75F" w14:textId="77777777" w:rsidR="00E82BE0" w:rsidRPr="00C97640" w:rsidRDefault="00E82BE0" w:rsidP="00E86509">
            <w:pPr>
              <w:spacing w:after="0" w:line="240" w:lineRule="auto"/>
              <w:rPr>
                <w:rFonts w:ascii="Times New Roman" w:hAnsi="Times New Roman"/>
                <w:color w:val="auto"/>
                <w:lang w:eastAsia="pl-PL"/>
              </w:rPr>
            </w:pPr>
            <w:r w:rsidRPr="00C97640">
              <w:rPr>
                <w:rFonts w:ascii="Times New Roman" w:hAnsi="Times New Roman"/>
                <w:color w:val="auto"/>
                <w:lang w:eastAsia="pl-PL"/>
              </w:rPr>
              <w:t>60–64 lata</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7317AB9"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191</w:t>
            </w:r>
            <w:r w:rsidR="00E94547" w:rsidRPr="00C97640">
              <w:rPr>
                <w:rFonts w:ascii="Times New Roman" w:hAnsi="Times New Roman"/>
                <w:color w:val="auto"/>
              </w:rPr>
              <w:t xml:space="preserve"> </w:t>
            </w:r>
            <w:r w:rsidRPr="00C97640">
              <w:rPr>
                <w:rFonts w:ascii="Times New Roman" w:hAnsi="Times New Roman"/>
                <w:color w:val="auto"/>
              </w:rPr>
              <w:t>860</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03DE26D"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189</w:t>
            </w:r>
            <w:r w:rsidR="00E94547" w:rsidRPr="00C97640">
              <w:rPr>
                <w:rFonts w:ascii="Times New Roman" w:hAnsi="Times New Roman"/>
                <w:color w:val="auto"/>
              </w:rPr>
              <w:t xml:space="preserve"> </w:t>
            </w:r>
            <w:r w:rsidRPr="00C97640">
              <w:rPr>
                <w:rFonts w:ascii="Times New Roman" w:hAnsi="Times New Roman"/>
                <w:color w:val="auto"/>
              </w:rPr>
              <w:t>999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1243390"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187</w:t>
            </w:r>
            <w:r w:rsidR="00E94547" w:rsidRPr="00C97640">
              <w:rPr>
                <w:rFonts w:ascii="Times New Roman" w:hAnsi="Times New Roman"/>
                <w:color w:val="auto"/>
              </w:rPr>
              <w:t xml:space="preserve"> </w:t>
            </w:r>
            <w:r w:rsidRPr="00C97640">
              <w:rPr>
                <w:rFonts w:ascii="Times New Roman" w:hAnsi="Times New Roman"/>
                <w:color w:val="auto"/>
              </w:rPr>
              <w:t>395</w:t>
            </w:r>
          </w:p>
        </w:tc>
      </w:tr>
      <w:tr w:rsidR="00E82BE0" w:rsidRPr="00A25283" w14:paraId="4029F61B"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7C91DBD" w14:textId="77777777" w:rsidR="00E82BE0" w:rsidRPr="00C97640" w:rsidRDefault="00E82BE0" w:rsidP="00E86509">
            <w:pPr>
              <w:spacing w:after="0" w:line="240" w:lineRule="auto"/>
              <w:rPr>
                <w:rFonts w:ascii="Times New Roman" w:hAnsi="Times New Roman"/>
                <w:color w:val="auto"/>
                <w:lang w:eastAsia="pl-PL"/>
              </w:rPr>
            </w:pPr>
            <w:r w:rsidRPr="00C97640">
              <w:rPr>
                <w:rFonts w:ascii="Times New Roman" w:hAnsi="Times New Roman"/>
                <w:color w:val="auto"/>
                <w:lang w:eastAsia="pl-PL"/>
              </w:rPr>
              <w:t>65–69</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986BB0B"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166</w:t>
            </w:r>
            <w:r w:rsidR="00E94547" w:rsidRPr="00C97640">
              <w:rPr>
                <w:rFonts w:ascii="Times New Roman" w:hAnsi="Times New Roman"/>
                <w:color w:val="auto"/>
              </w:rPr>
              <w:t xml:space="preserve"> </w:t>
            </w:r>
            <w:r w:rsidRPr="00C97640">
              <w:rPr>
                <w:rFonts w:ascii="Times New Roman" w:hAnsi="Times New Roman"/>
                <w:color w:val="auto"/>
              </w:rPr>
              <w:t>732</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0C2779B"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169</w:t>
            </w:r>
            <w:r w:rsidR="00E94547" w:rsidRPr="00C97640">
              <w:rPr>
                <w:rFonts w:ascii="Times New Roman" w:hAnsi="Times New Roman"/>
                <w:color w:val="auto"/>
              </w:rPr>
              <w:t xml:space="preserve"> </w:t>
            </w:r>
            <w:r w:rsidRPr="00C97640">
              <w:rPr>
                <w:rFonts w:ascii="Times New Roman" w:hAnsi="Times New Roman"/>
                <w:color w:val="auto"/>
              </w:rPr>
              <w:t>477</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F732A49"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172</w:t>
            </w:r>
            <w:r w:rsidR="00E94547" w:rsidRPr="00C97640">
              <w:rPr>
                <w:rFonts w:ascii="Times New Roman" w:hAnsi="Times New Roman"/>
                <w:color w:val="auto"/>
              </w:rPr>
              <w:t xml:space="preserve"> </w:t>
            </w:r>
            <w:r w:rsidRPr="00C97640">
              <w:rPr>
                <w:rFonts w:ascii="Times New Roman" w:hAnsi="Times New Roman"/>
                <w:color w:val="auto"/>
              </w:rPr>
              <w:t>202</w:t>
            </w:r>
          </w:p>
        </w:tc>
      </w:tr>
      <w:tr w:rsidR="00E82BE0" w:rsidRPr="00A25283" w14:paraId="5F620E6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4D348F8" w14:textId="77777777" w:rsidR="00E82BE0" w:rsidRPr="00C97640" w:rsidRDefault="00E82BE0" w:rsidP="00E86509">
            <w:pPr>
              <w:spacing w:after="0" w:line="240" w:lineRule="auto"/>
              <w:rPr>
                <w:rFonts w:ascii="Times New Roman" w:hAnsi="Times New Roman"/>
                <w:color w:val="auto"/>
                <w:lang w:eastAsia="pl-PL"/>
              </w:rPr>
            </w:pPr>
            <w:r w:rsidRPr="00C97640">
              <w:rPr>
                <w:rFonts w:ascii="Times New Roman" w:hAnsi="Times New Roman"/>
                <w:color w:val="auto"/>
                <w:lang w:eastAsia="pl-PL"/>
              </w:rPr>
              <w:t>70–74</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8A31FCB"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109</w:t>
            </w:r>
            <w:r w:rsidR="00E94547" w:rsidRPr="00C97640">
              <w:rPr>
                <w:rFonts w:ascii="Times New Roman" w:hAnsi="Times New Roman"/>
                <w:color w:val="auto"/>
              </w:rPr>
              <w:t xml:space="preserve"> </w:t>
            </w:r>
            <w:r w:rsidRPr="00C97640">
              <w:rPr>
                <w:rFonts w:ascii="Times New Roman" w:hAnsi="Times New Roman"/>
                <w:color w:val="auto"/>
              </w:rPr>
              <w:t>693</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5079673"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120</w:t>
            </w:r>
            <w:r w:rsidR="00E94547" w:rsidRPr="00C97640">
              <w:rPr>
                <w:rFonts w:ascii="Times New Roman" w:hAnsi="Times New Roman"/>
                <w:color w:val="auto"/>
              </w:rPr>
              <w:t xml:space="preserve"> </w:t>
            </w:r>
            <w:r w:rsidRPr="00C97640">
              <w:rPr>
                <w:rFonts w:ascii="Times New Roman" w:hAnsi="Times New Roman"/>
                <w:color w:val="auto"/>
              </w:rPr>
              <w:t>913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F237C3E"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131</w:t>
            </w:r>
            <w:r w:rsidR="00E94547" w:rsidRPr="00C97640">
              <w:rPr>
                <w:rFonts w:ascii="Times New Roman" w:hAnsi="Times New Roman"/>
                <w:color w:val="auto"/>
              </w:rPr>
              <w:t xml:space="preserve"> </w:t>
            </w:r>
            <w:r w:rsidRPr="00C97640">
              <w:rPr>
                <w:rFonts w:ascii="Times New Roman" w:hAnsi="Times New Roman"/>
                <w:color w:val="auto"/>
              </w:rPr>
              <w:t>382</w:t>
            </w:r>
          </w:p>
        </w:tc>
      </w:tr>
      <w:tr w:rsidR="00E82BE0" w:rsidRPr="00A25283" w14:paraId="260B825B"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FD00C0A" w14:textId="77777777" w:rsidR="00E82BE0" w:rsidRPr="00C97640" w:rsidRDefault="00E82BE0" w:rsidP="00E86509">
            <w:pPr>
              <w:spacing w:after="0" w:line="240" w:lineRule="auto"/>
              <w:rPr>
                <w:rFonts w:ascii="Times New Roman" w:hAnsi="Times New Roman"/>
                <w:color w:val="auto"/>
                <w:lang w:eastAsia="pl-PL"/>
              </w:rPr>
            </w:pPr>
            <w:r w:rsidRPr="00C97640">
              <w:rPr>
                <w:rFonts w:ascii="Times New Roman" w:hAnsi="Times New Roman"/>
                <w:color w:val="auto"/>
                <w:lang w:eastAsia="pl-PL"/>
              </w:rPr>
              <w:t>75–79</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B6ACE6B"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74</w:t>
            </w:r>
            <w:r w:rsidR="00E94547" w:rsidRPr="00C97640">
              <w:rPr>
                <w:rFonts w:ascii="Times New Roman" w:hAnsi="Times New Roman"/>
                <w:color w:val="auto"/>
              </w:rPr>
              <w:t xml:space="preserve"> </w:t>
            </w:r>
            <w:r w:rsidRPr="00C97640">
              <w:rPr>
                <w:rFonts w:ascii="Times New Roman" w:hAnsi="Times New Roman"/>
                <w:color w:val="auto"/>
              </w:rPr>
              <w:t>365</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B7DE990"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73</w:t>
            </w:r>
            <w:r w:rsidR="00E94547" w:rsidRPr="00C97640">
              <w:rPr>
                <w:rFonts w:ascii="Times New Roman" w:hAnsi="Times New Roman"/>
                <w:color w:val="auto"/>
              </w:rPr>
              <w:t xml:space="preserve"> </w:t>
            </w:r>
            <w:r w:rsidRPr="00C97640">
              <w:rPr>
                <w:rFonts w:ascii="Times New Roman" w:hAnsi="Times New Roman"/>
                <w:color w:val="auto"/>
              </w:rPr>
              <w:t>639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8761B8B"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72</w:t>
            </w:r>
            <w:r w:rsidR="00E94547" w:rsidRPr="00C97640">
              <w:rPr>
                <w:rFonts w:ascii="Times New Roman" w:hAnsi="Times New Roman"/>
                <w:color w:val="auto"/>
              </w:rPr>
              <w:t xml:space="preserve"> </w:t>
            </w:r>
            <w:r w:rsidRPr="00C97640">
              <w:rPr>
                <w:rFonts w:ascii="Times New Roman" w:hAnsi="Times New Roman"/>
                <w:color w:val="auto"/>
              </w:rPr>
              <w:t>679</w:t>
            </w:r>
          </w:p>
        </w:tc>
      </w:tr>
      <w:tr w:rsidR="00E82BE0" w:rsidRPr="00A25283" w14:paraId="7F41A85A"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294B540" w14:textId="77777777" w:rsidR="00E82BE0" w:rsidRPr="00C97640" w:rsidRDefault="00E82BE0" w:rsidP="00E86509">
            <w:pPr>
              <w:spacing w:after="0" w:line="240" w:lineRule="auto"/>
              <w:rPr>
                <w:rFonts w:ascii="Times New Roman" w:hAnsi="Times New Roman"/>
                <w:color w:val="auto"/>
                <w:lang w:eastAsia="pl-PL"/>
              </w:rPr>
            </w:pPr>
            <w:r w:rsidRPr="00C97640">
              <w:rPr>
                <w:rFonts w:ascii="Times New Roman" w:hAnsi="Times New Roman"/>
                <w:color w:val="auto"/>
                <w:lang w:eastAsia="pl-PL"/>
              </w:rPr>
              <w:t>80–84</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DFA2A12"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61</w:t>
            </w:r>
            <w:r w:rsidR="00E94547" w:rsidRPr="00C97640">
              <w:rPr>
                <w:rFonts w:ascii="Times New Roman" w:hAnsi="Times New Roman"/>
                <w:color w:val="auto"/>
              </w:rPr>
              <w:t xml:space="preserve"> </w:t>
            </w:r>
            <w:r w:rsidRPr="00C97640">
              <w:rPr>
                <w:rFonts w:ascii="Times New Roman" w:hAnsi="Times New Roman"/>
                <w:color w:val="auto"/>
              </w:rPr>
              <w:t>250</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12CDBDE"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60</w:t>
            </w:r>
            <w:r w:rsidR="00E94547" w:rsidRPr="00C97640">
              <w:rPr>
                <w:rFonts w:ascii="Times New Roman" w:hAnsi="Times New Roman"/>
                <w:color w:val="auto"/>
              </w:rPr>
              <w:t xml:space="preserve"> </w:t>
            </w:r>
            <w:r w:rsidRPr="00C97640">
              <w:rPr>
                <w:rFonts w:ascii="Times New Roman" w:hAnsi="Times New Roman"/>
                <w:color w:val="auto"/>
              </w:rPr>
              <w:t>491</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0FB99A1"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59</w:t>
            </w:r>
            <w:r w:rsidR="00E94547" w:rsidRPr="00C97640">
              <w:rPr>
                <w:rFonts w:ascii="Times New Roman" w:hAnsi="Times New Roman"/>
                <w:color w:val="auto"/>
              </w:rPr>
              <w:t xml:space="preserve"> </w:t>
            </w:r>
            <w:r w:rsidRPr="00C97640">
              <w:rPr>
                <w:rFonts w:ascii="Times New Roman" w:hAnsi="Times New Roman"/>
                <w:color w:val="auto"/>
              </w:rPr>
              <w:t>835</w:t>
            </w:r>
          </w:p>
        </w:tc>
      </w:tr>
      <w:tr w:rsidR="00E82BE0" w:rsidRPr="00A25283" w14:paraId="10BFC819"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4E47012" w14:textId="77777777" w:rsidR="00E82BE0" w:rsidRPr="00C97640" w:rsidRDefault="00E82BE0" w:rsidP="00E86509">
            <w:pPr>
              <w:spacing w:after="0" w:line="240" w:lineRule="auto"/>
              <w:rPr>
                <w:rFonts w:ascii="Times New Roman" w:hAnsi="Times New Roman"/>
                <w:color w:val="auto"/>
                <w:lang w:eastAsia="pl-PL"/>
              </w:rPr>
            </w:pPr>
            <w:r w:rsidRPr="00C97640">
              <w:rPr>
                <w:rFonts w:ascii="Times New Roman" w:hAnsi="Times New Roman"/>
                <w:color w:val="auto"/>
                <w:lang w:eastAsia="pl-PL"/>
              </w:rPr>
              <w:t>85 lat i więcej</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AAC2142"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55</w:t>
            </w:r>
            <w:r w:rsidR="00E94547" w:rsidRPr="00C97640">
              <w:rPr>
                <w:rFonts w:ascii="Times New Roman" w:hAnsi="Times New Roman"/>
                <w:color w:val="auto"/>
              </w:rPr>
              <w:t xml:space="preserve"> </w:t>
            </w:r>
            <w:r w:rsidRPr="00C97640">
              <w:rPr>
                <w:rFonts w:ascii="Times New Roman" w:hAnsi="Times New Roman"/>
                <w:color w:val="auto"/>
              </w:rPr>
              <w:t>932</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88495BA"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56</w:t>
            </w:r>
            <w:r w:rsidR="00E94547" w:rsidRPr="00C97640">
              <w:rPr>
                <w:rFonts w:ascii="Times New Roman" w:hAnsi="Times New Roman"/>
                <w:color w:val="auto"/>
              </w:rPr>
              <w:t xml:space="preserve"> </w:t>
            </w:r>
            <w:r w:rsidRPr="00C97640">
              <w:rPr>
                <w:rFonts w:ascii="Times New Roman" w:hAnsi="Times New Roman"/>
                <w:color w:val="auto"/>
              </w:rPr>
              <w:t>752</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170D59C"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57</w:t>
            </w:r>
            <w:r w:rsidR="00E94547" w:rsidRPr="00C97640">
              <w:rPr>
                <w:rFonts w:ascii="Times New Roman" w:hAnsi="Times New Roman"/>
                <w:color w:val="auto"/>
              </w:rPr>
              <w:t xml:space="preserve"> </w:t>
            </w:r>
            <w:r w:rsidRPr="00C97640">
              <w:rPr>
                <w:rFonts w:ascii="Times New Roman" w:hAnsi="Times New Roman"/>
                <w:color w:val="auto"/>
              </w:rPr>
              <w:t>920</w:t>
            </w:r>
          </w:p>
        </w:tc>
      </w:tr>
      <w:tr w:rsidR="00E82BE0" w:rsidRPr="00A25283" w14:paraId="5DEC515A"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86C1577" w14:textId="77777777" w:rsidR="00E82BE0" w:rsidRPr="00C97640" w:rsidRDefault="00E82BE0" w:rsidP="00E86509">
            <w:pPr>
              <w:spacing w:after="0" w:line="240" w:lineRule="auto"/>
              <w:rPr>
                <w:rFonts w:ascii="Times New Roman" w:hAnsi="Times New Roman"/>
                <w:color w:val="auto"/>
                <w:lang w:eastAsia="pl-PL"/>
              </w:rPr>
            </w:pPr>
            <w:r w:rsidRPr="00C97640">
              <w:rPr>
                <w:rFonts w:ascii="Times New Roman" w:hAnsi="Times New Roman"/>
                <w:color w:val="auto"/>
                <w:lang w:eastAsia="pl-PL"/>
              </w:rPr>
              <w:t>Przeciętne dalsze trwanie życia</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5803A6A"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23,7(kobiety);18,3 (mężczyźni)</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34DD996"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23,7(kobiety);18,4 (mężczyźni)</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CA12A9B" w14:textId="1086B3D2" w:rsidR="00E82BE0" w:rsidRPr="00C97640" w:rsidRDefault="009E1ACE"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23,</w:t>
            </w:r>
            <w:r>
              <w:rPr>
                <w:rFonts w:ascii="Times New Roman" w:hAnsi="Times New Roman"/>
                <w:color w:val="auto"/>
              </w:rPr>
              <w:t xml:space="preserve">8 </w:t>
            </w:r>
            <w:r w:rsidRPr="00C97640">
              <w:rPr>
                <w:rFonts w:ascii="Times New Roman" w:hAnsi="Times New Roman"/>
                <w:color w:val="auto"/>
              </w:rPr>
              <w:t>(kobiety);18,</w:t>
            </w:r>
            <w:r>
              <w:rPr>
                <w:rFonts w:ascii="Times New Roman" w:hAnsi="Times New Roman"/>
                <w:color w:val="auto"/>
              </w:rPr>
              <w:t>6</w:t>
            </w:r>
            <w:r w:rsidRPr="00C97640">
              <w:rPr>
                <w:rFonts w:ascii="Times New Roman" w:hAnsi="Times New Roman"/>
                <w:color w:val="auto"/>
              </w:rPr>
              <w:t xml:space="preserve"> (mężczyźni)</w:t>
            </w:r>
          </w:p>
        </w:tc>
      </w:tr>
      <w:tr w:rsidR="00E82BE0" w:rsidRPr="00A25283" w14:paraId="7AAEFB2C"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DF9C9C1" w14:textId="77777777" w:rsidR="00E82BE0" w:rsidRPr="00C97640" w:rsidRDefault="00E82BE0" w:rsidP="00E86509">
            <w:pPr>
              <w:spacing w:after="0" w:line="240" w:lineRule="auto"/>
              <w:rPr>
                <w:rFonts w:ascii="Times New Roman" w:hAnsi="Times New Roman"/>
                <w:color w:val="auto"/>
                <w:lang w:eastAsia="pl-PL"/>
              </w:rPr>
            </w:pPr>
            <w:r w:rsidRPr="00C97640">
              <w:rPr>
                <w:rFonts w:ascii="Times New Roman" w:hAnsi="Times New Roman"/>
                <w:color w:val="auto"/>
                <w:lang w:eastAsia="pl-PL"/>
              </w:rPr>
              <w:t>Współczynnik feminizacji</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2BDC5B6"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110</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5568D5E"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110</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47A161C"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110</w:t>
            </w:r>
          </w:p>
        </w:tc>
      </w:tr>
      <w:tr w:rsidR="00E82BE0" w:rsidRPr="00A25283" w14:paraId="0EB4AE4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5E6C05F" w14:textId="77777777" w:rsidR="00E82BE0" w:rsidRPr="00C97640" w:rsidRDefault="00E82BE0" w:rsidP="00E86509">
            <w:pPr>
              <w:spacing w:after="0" w:line="240" w:lineRule="auto"/>
              <w:rPr>
                <w:rFonts w:ascii="Times New Roman" w:hAnsi="Times New Roman"/>
                <w:color w:val="auto"/>
                <w:lang w:eastAsia="pl-PL"/>
              </w:rPr>
            </w:pPr>
            <w:r w:rsidRPr="00C97640">
              <w:rPr>
                <w:rFonts w:ascii="Times New Roman" w:hAnsi="Times New Roman"/>
                <w:color w:val="auto"/>
                <w:lang w:eastAsia="pl-PL"/>
              </w:rPr>
              <w:t>Współczynnik obciążenia demograficznego osobami starszymi</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206EB9E1"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28,2</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52DDBD83"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29,5</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1FBC1D17"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30,7</w:t>
            </w:r>
          </w:p>
        </w:tc>
      </w:tr>
      <w:tr w:rsidR="00E82BE0" w:rsidRPr="00A25283" w14:paraId="1A0067DB"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48FD3F5" w14:textId="77777777" w:rsidR="00E82BE0" w:rsidRPr="00C97640" w:rsidRDefault="00E82BE0" w:rsidP="00E86509">
            <w:pPr>
              <w:spacing w:after="0" w:line="240" w:lineRule="auto"/>
              <w:rPr>
                <w:rFonts w:ascii="Times New Roman" w:hAnsi="Times New Roman"/>
                <w:color w:val="auto"/>
                <w:lang w:eastAsia="pl-PL"/>
              </w:rPr>
            </w:pPr>
            <w:r w:rsidRPr="00C97640">
              <w:rPr>
                <w:rFonts w:ascii="Times New Roman" w:hAnsi="Times New Roman"/>
                <w:color w:val="auto"/>
                <w:lang w:eastAsia="pl-PL"/>
              </w:rPr>
              <w:t>Współczynnik zgonów</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CC32DE0"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12,57</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6C3DC57"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12,79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2E8DA02"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12,44</w:t>
            </w:r>
          </w:p>
        </w:tc>
      </w:tr>
      <w:tr w:rsidR="00E82BE0" w:rsidRPr="00A25283" w14:paraId="4AC8856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C9CE9F8" w14:textId="77777777" w:rsidR="00E82BE0" w:rsidRPr="00C97640" w:rsidRDefault="00E82BE0" w:rsidP="00E86509">
            <w:pPr>
              <w:spacing w:after="0" w:line="240" w:lineRule="auto"/>
              <w:jc w:val="center"/>
              <w:rPr>
                <w:rFonts w:ascii="Times New Roman" w:hAnsi="Times New Roman"/>
                <w:color w:val="auto"/>
              </w:rPr>
            </w:pPr>
            <w:r w:rsidRPr="00C97640">
              <w:rPr>
                <w:rFonts w:ascii="Times New Roman" w:hAnsi="Times New Roman"/>
                <w:color w:val="auto"/>
              </w:rPr>
              <w:t>SYTUACJA RODZINNA I STRUKTURA GOSPODARSTW DOMOWYCH</w:t>
            </w:r>
          </w:p>
        </w:tc>
      </w:tr>
      <w:tr w:rsidR="00E82BE0" w:rsidRPr="00A25283" w14:paraId="390A935A"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09B327CD" w14:textId="77777777" w:rsidR="00E82BE0" w:rsidRPr="00C97640" w:rsidRDefault="00E82BE0" w:rsidP="00E86509">
            <w:pPr>
              <w:spacing w:after="0" w:line="240" w:lineRule="auto"/>
              <w:rPr>
                <w:rFonts w:ascii="Times New Roman" w:hAnsi="Times New Roman"/>
                <w:b w:val="0"/>
                <w:color w:val="auto"/>
              </w:rPr>
            </w:pPr>
            <w:r w:rsidRPr="00C97640">
              <w:rPr>
                <w:rFonts w:ascii="Times New Roman" w:hAnsi="Times New Roman"/>
                <w:b w:val="0"/>
                <w:color w:val="auto"/>
              </w:rPr>
              <w:t xml:space="preserve">Na przestrzeni ostatnich lat w województwie łódzkim obserwujemy systematyczny spadek liczby ludności.  Liczba mieszkańców województwa zmniejszyła się w ciągu 2018 r. o 10,0 tys. osób , natomiast </w:t>
            </w:r>
            <w:r w:rsidRPr="00C97640">
              <w:rPr>
                <w:rFonts w:ascii="Times New Roman" w:eastAsia="Times New Roman" w:hAnsi="Times New Roman"/>
                <w:b w:val="0"/>
                <w:color w:val="auto"/>
              </w:rPr>
              <w:t xml:space="preserve"> w ciągu 2019 r. o kolejnych 11 tys. osób.  Kobiety stanowią przeważającą liczbę osób starszych współczynnik feminizacji w województwie łódzkim nie zmienił się w porównaniu z 2018</w:t>
            </w:r>
            <w:r w:rsidR="00571781" w:rsidRPr="00C97640">
              <w:rPr>
                <w:rFonts w:ascii="Times New Roman" w:eastAsia="Times New Roman" w:hAnsi="Times New Roman"/>
                <w:b w:val="0"/>
                <w:color w:val="auto"/>
              </w:rPr>
              <w:t xml:space="preserve"> r.</w:t>
            </w:r>
            <w:r w:rsidRPr="00C97640">
              <w:rPr>
                <w:rFonts w:ascii="Times New Roman" w:eastAsia="Times New Roman" w:hAnsi="Times New Roman"/>
                <w:b w:val="0"/>
                <w:color w:val="auto"/>
              </w:rPr>
              <w:t xml:space="preserve"> i wyniósł 110</w:t>
            </w:r>
            <w:r w:rsidR="00571781" w:rsidRPr="00C97640">
              <w:rPr>
                <w:rFonts w:ascii="Times New Roman" w:eastAsia="Times New Roman" w:hAnsi="Times New Roman"/>
                <w:color w:val="auto"/>
              </w:rPr>
              <w:t>.</w:t>
            </w:r>
          </w:p>
        </w:tc>
      </w:tr>
      <w:tr w:rsidR="00E82BE0" w:rsidRPr="00A25283" w14:paraId="21AF9DE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5C3C028" w14:textId="77777777" w:rsidR="00E82BE0" w:rsidRPr="00C97640" w:rsidRDefault="00E82BE0" w:rsidP="00E86509">
            <w:pPr>
              <w:spacing w:after="0" w:line="240" w:lineRule="auto"/>
              <w:jc w:val="center"/>
              <w:rPr>
                <w:rFonts w:ascii="Times New Roman" w:hAnsi="Times New Roman"/>
                <w:color w:val="auto"/>
              </w:rPr>
            </w:pPr>
            <w:r w:rsidRPr="00C97640">
              <w:rPr>
                <w:rFonts w:ascii="Times New Roman" w:hAnsi="Times New Roman"/>
                <w:color w:val="auto"/>
              </w:rPr>
              <w:t>SYTUACJA OSÓB NIEPEŁNOSPRAWNYCH I ICH OPIEKUNÓW</w:t>
            </w:r>
          </w:p>
        </w:tc>
      </w:tr>
      <w:tr w:rsidR="00E82BE0" w:rsidRPr="00A25283" w14:paraId="566CEE5F"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6949FC9C" w14:textId="77777777" w:rsidR="00E82BE0" w:rsidRPr="00C97640" w:rsidRDefault="00E82BE0" w:rsidP="00E86509">
            <w:pPr>
              <w:spacing w:after="0" w:line="240" w:lineRule="auto"/>
              <w:rPr>
                <w:rFonts w:ascii="Times New Roman" w:hAnsi="Times New Roman"/>
                <w:b w:val="0"/>
                <w:color w:val="auto"/>
              </w:rPr>
            </w:pPr>
            <w:r w:rsidRPr="00C97640">
              <w:rPr>
                <w:rFonts w:ascii="Times New Roman" w:hAnsi="Times New Roman"/>
                <w:b w:val="0"/>
                <w:color w:val="auto"/>
              </w:rPr>
              <w:t>Na terenie województwa łódzkiego dzieci i osoby niepełnosprawne oraz ich rodziny i opiekunowie, otrzymywały m.in. dodatek do świadczenia rodzinnego z tytułu kształcenia i rehabilitacji dziecka, zasiłek pielęgnacyjny, specjalny zasiłek opiekuńczy, świadczenie pielęgnacyjne, rentę socjalną, dofinansowanie udziału w turnusie rehabilitacyjnym oraz dofinansowanie zakupu sprzętu rehabilitacyjnego, ortopedycznego i środków pomocniczych</w:t>
            </w:r>
          </w:p>
        </w:tc>
      </w:tr>
      <w:tr w:rsidR="00E82BE0" w:rsidRPr="00A25283" w14:paraId="54DC2E90"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C019C76" w14:textId="77777777" w:rsidR="00E82BE0" w:rsidRPr="00C97640" w:rsidRDefault="00E82BE0" w:rsidP="00E86509">
            <w:pPr>
              <w:spacing w:after="0" w:line="240" w:lineRule="auto"/>
              <w:jc w:val="center"/>
              <w:rPr>
                <w:rFonts w:ascii="Times New Roman" w:hAnsi="Times New Roman"/>
                <w:color w:val="auto"/>
              </w:rPr>
            </w:pPr>
            <w:r w:rsidRPr="00C97640">
              <w:rPr>
                <w:rFonts w:ascii="Times New Roman" w:hAnsi="Times New Roman"/>
                <w:color w:val="auto"/>
              </w:rPr>
              <w:t>STAN ZDROWIA OSÓB STARSZYCH / INFRASTRUKTURA SŁUŻBY ZDROWIA - DANE ZA 2019 r.</w:t>
            </w:r>
          </w:p>
        </w:tc>
      </w:tr>
      <w:tr w:rsidR="00E82BE0" w:rsidRPr="00A25283" w14:paraId="4AEB2D36" w14:textId="77777777" w:rsidTr="00E86509">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DF32008" w14:textId="77777777" w:rsidR="00E82BE0" w:rsidRPr="00C97640" w:rsidRDefault="00E82BE0" w:rsidP="00E86509">
            <w:pPr>
              <w:spacing w:after="0" w:line="240" w:lineRule="auto"/>
              <w:rPr>
                <w:rFonts w:ascii="Times New Roman" w:hAnsi="Times New Roman"/>
                <w:b w:val="0"/>
                <w:color w:val="auto"/>
                <w:lang w:eastAsia="pl-PL"/>
              </w:rPr>
            </w:pPr>
            <w:r w:rsidRPr="00C97640">
              <w:rPr>
                <w:rFonts w:ascii="Times New Roman" w:hAnsi="Times New Roman"/>
                <w:color w:val="auto"/>
                <w:lang w:eastAsia="pl-PL"/>
              </w:rPr>
              <w:t xml:space="preserve">Dominujące schorzenia osób starszych </w:t>
            </w: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320A4F5"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Nazwa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664FA82"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Liczba osób starszych</w:t>
            </w:r>
          </w:p>
        </w:tc>
      </w:tr>
      <w:tr w:rsidR="00E82BE0" w:rsidRPr="00A25283" w14:paraId="092C06D7"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extDirection w:val="btLr"/>
          </w:tcPr>
          <w:p w14:paraId="3B323E3E"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18AB142"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b/>
                <w:color w:val="auto"/>
              </w:rPr>
              <w:t>1.</w:t>
            </w:r>
            <w:r w:rsidRPr="00C97640">
              <w:rPr>
                <w:rFonts w:ascii="Times New Roman" w:hAnsi="Times New Roman"/>
                <w:color w:val="auto"/>
              </w:rPr>
              <w:t xml:space="preserve"> choroby układu krążenia  </w:t>
            </w:r>
            <w:r w:rsidRPr="00C97640">
              <w:rPr>
                <w:rFonts w:ascii="Times New Roman" w:hAnsi="Times New Roman"/>
                <w:i/>
                <w:color w:val="auto"/>
              </w:rPr>
              <w:t>(w tym nadciśnienie)</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0BEF790" w14:textId="77777777" w:rsidR="00E82BE0" w:rsidRPr="009E1ACE"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E1ACE">
              <w:rPr>
                <w:rFonts w:ascii="Times New Roman" w:hAnsi="Times New Roman"/>
                <w:color w:val="auto"/>
              </w:rPr>
              <w:t>174 630  (129 341)</w:t>
            </w:r>
          </w:p>
        </w:tc>
      </w:tr>
      <w:tr w:rsidR="00E82BE0" w:rsidRPr="00A25283" w14:paraId="66922968"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90F0A11"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1023592" w14:textId="77777777" w:rsidR="00E82BE0" w:rsidRPr="00C97640" w:rsidRDefault="00E82BE0" w:rsidP="00E86509">
            <w:pPr>
              <w:tabs>
                <w:tab w:val="left" w:pos="705"/>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b/>
                <w:color w:val="auto"/>
              </w:rPr>
              <w:t>2.</w:t>
            </w:r>
            <w:r w:rsidRPr="00C97640">
              <w:rPr>
                <w:rFonts w:ascii="Times New Roman" w:hAnsi="Times New Roman"/>
                <w:color w:val="auto"/>
              </w:rPr>
              <w:t xml:space="preserve"> choroby układu mięśniowo-kostnego</w:t>
            </w:r>
            <w:r w:rsidRPr="00C97640">
              <w:rPr>
                <w:rFonts w:ascii="Times New Roman" w:hAnsi="Times New Roman"/>
                <w:color w:val="auto"/>
              </w:rPr>
              <w:tab/>
              <w:t xml:space="preserve">  </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CCE0491"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70 334</w:t>
            </w:r>
          </w:p>
        </w:tc>
      </w:tr>
      <w:tr w:rsidR="00E82BE0" w:rsidRPr="00A25283" w14:paraId="2F4BB174"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04B68DB"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8024684"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b/>
                <w:color w:val="auto"/>
              </w:rPr>
              <w:t>3.</w:t>
            </w:r>
            <w:r w:rsidRPr="00C97640">
              <w:rPr>
                <w:rFonts w:ascii="Times New Roman" w:hAnsi="Times New Roman"/>
                <w:color w:val="auto"/>
              </w:rPr>
              <w:t xml:space="preserve"> cukrzyca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A580F31"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50 186</w:t>
            </w:r>
          </w:p>
        </w:tc>
      </w:tr>
      <w:tr w:rsidR="00E82BE0" w:rsidRPr="00A25283" w14:paraId="604390AF"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5E38324"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42AA0F2"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b/>
                <w:color w:val="auto"/>
              </w:rPr>
              <w:t>4.</w:t>
            </w:r>
            <w:r w:rsidRPr="00C97640">
              <w:rPr>
                <w:rFonts w:ascii="Times New Roman" w:hAnsi="Times New Roman"/>
                <w:color w:val="auto"/>
              </w:rPr>
              <w:t xml:space="preserve"> choroby układu trawiennego</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26D2579"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29 116</w:t>
            </w:r>
          </w:p>
        </w:tc>
      </w:tr>
      <w:tr w:rsidR="00E82BE0" w:rsidRPr="00A25283" w14:paraId="6531CF66"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B1281FD"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011766A"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b/>
                <w:color w:val="auto"/>
              </w:rPr>
              <w:t>5.</w:t>
            </w:r>
            <w:r w:rsidRPr="00C97640">
              <w:rPr>
                <w:rFonts w:ascii="Times New Roman" w:hAnsi="Times New Roman"/>
                <w:color w:val="auto"/>
              </w:rPr>
              <w:t xml:space="preserve"> przewlekły nieżyt oskrzeli i dychawica oskrzelowa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8F8A07E"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22 495</w:t>
            </w:r>
          </w:p>
        </w:tc>
      </w:tr>
      <w:tr w:rsidR="00E82BE0" w:rsidRPr="00A25283" w14:paraId="0F1BA3BB"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2EE5CCA" w14:textId="77777777" w:rsidR="00E82BE0" w:rsidRPr="00C97640" w:rsidRDefault="00E82BE0" w:rsidP="00E86509">
            <w:pPr>
              <w:spacing w:after="0" w:line="240" w:lineRule="auto"/>
              <w:rPr>
                <w:rFonts w:ascii="Times New Roman" w:hAnsi="Times New Roman"/>
                <w:b w:val="0"/>
                <w:color w:val="auto"/>
                <w:lang w:eastAsia="pl-PL"/>
              </w:rPr>
            </w:pPr>
            <w:r w:rsidRPr="00C97640">
              <w:rPr>
                <w:rFonts w:ascii="Times New Roman" w:hAnsi="Times New Roman"/>
                <w:color w:val="auto"/>
                <w:lang w:eastAsia="pl-PL"/>
              </w:rPr>
              <w:t>Liczba osób starszych objętych czynną opieką lekarza POZ</w:t>
            </w:r>
          </w:p>
        </w:tc>
        <w:tc>
          <w:tcPr>
            <w:tcW w:w="11911"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D6A77F7"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p w14:paraId="08891C9F"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284 540 (w wieku 65 lat i więcej)</w:t>
            </w:r>
          </w:p>
        </w:tc>
      </w:tr>
      <w:tr w:rsidR="00E82BE0" w:rsidRPr="00A25283" w14:paraId="7D21091D" w14:textId="77777777" w:rsidTr="00E8650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264F79B" w14:textId="77777777" w:rsidR="00E82BE0" w:rsidRPr="00C97640" w:rsidRDefault="00E82BE0" w:rsidP="00E86509">
            <w:pPr>
              <w:spacing w:after="0" w:line="240" w:lineRule="auto"/>
              <w:rPr>
                <w:rFonts w:ascii="Times New Roman" w:hAnsi="Times New Roman"/>
                <w:b w:val="0"/>
                <w:color w:val="auto"/>
                <w:lang w:eastAsia="pl-PL"/>
              </w:rPr>
            </w:pPr>
            <w:r w:rsidRPr="00C97640">
              <w:rPr>
                <w:rFonts w:ascii="Times New Roman" w:hAnsi="Times New Roman"/>
                <w:color w:val="auto"/>
                <w:lang w:eastAsia="pl-PL"/>
              </w:rPr>
              <w:t>Najczęstsze przyczyny hospitalizacji osób starszych</w:t>
            </w: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67BB166"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Przyczyna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25189D2"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Liczba osób starszych</w:t>
            </w:r>
          </w:p>
        </w:tc>
      </w:tr>
      <w:tr w:rsidR="00E82BE0" w:rsidRPr="00A25283" w14:paraId="3C126F66"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76796D7"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C12B94E"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b/>
                <w:color w:val="auto"/>
              </w:rPr>
              <w:t>1.</w:t>
            </w:r>
            <w:r w:rsidRPr="00C97640">
              <w:rPr>
                <w:rFonts w:ascii="Times New Roman" w:hAnsi="Times New Roman"/>
                <w:color w:val="auto"/>
              </w:rPr>
              <w:t>choroby układu krążenia (I00 - I99)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55BC146"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46 461</w:t>
            </w:r>
          </w:p>
        </w:tc>
      </w:tr>
      <w:tr w:rsidR="00E82BE0" w:rsidRPr="00A25283" w14:paraId="0C764F0C"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A487525"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8C2E528"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b/>
                <w:color w:val="auto"/>
              </w:rPr>
              <w:t>2.</w:t>
            </w:r>
            <w:r w:rsidRPr="00C97640">
              <w:rPr>
                <w:rFonts w:ascii="Times New Roman" w:hAnsi="Times New Roman"/>
                <w:color w:val="auto"/>
              </w:rPr>
              <w:t xml:space="preserve"> nowotwory i choroby krwi (C00 – D48)</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DE0BC5"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40 131</w:t>
            </w:r>
          </w:p>
        </w:tc>
      </w:tr>
      <w:tr w:rsidR="00E82BE0" w:rsidRPr="00A25283" w14:paraId="5F26C2F5"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1C347F7"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BACA8F2"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b/>
                <w:color w:val="auto"/>
              </w:rPr>
              <w:t>3.</w:t>
            </w:r>
            <w:r w:rsidRPr="00C97640">
              <w:rPr>
                <w:rFonts w:ascii="Times New Roman" w:hAnsi="Times New Roman"/>
                <w:color w:val="auto"/>
              </w:rPr>
              <w:t xml:space="preserve"> choroby układu moczowo-płciowego (N00 -  N99)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9DA1A11"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14 839</w:t>
            </w:r>
          </w:p>
        </w:tc>
      </w:tr>
      <w:tr w:rsidR="00E82BE0" w:rsidRPr="00A25283" w14:paraId="0BE7DF5B"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D122777"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C80E0BC"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b/>
                <w:color w:val="auto"/>
              </w:rPr>
              <w:t>4.</w:t>
            </w:r>
            <w:r w:rsidRPr="00C97640">
              <w:rPr>
                <w:rFonts w:ascii="Times New Roman" w:hAnsi="Times New Roman"/>
                <w:color w:val="auto"/>
              </w:rPr>
              <w:t xml:space="preserve"> choroby układu trawiennego (K00 - K99)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3A8AB4"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14 100</w:t>
            </w:r>
          </w:p>
        </w:tc>
      </w:tr>
      <w:tr w:rsidR="00E82BE0" w:rsidRPr="00A25283" w14:paraId="69C8991E"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9704FDE"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4B4DF20"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b/>
                <w:color w:val="auto"/>
              </w:rPr>
              <w:t>5.</w:t>
            </w:r>
            <w:r w:rsidRPr="00C97640">
              <w:rPr>
                <w:rFonts w:ascii="Times New Roman" w:hAnsi="Times New Roman"/>
                <w:color w:val="auto"/>
              </w:rPr>
              <w:t xml:space="preserve"> choroby układu kostno-mięśniowego i tkanki łącznej (M00 – M99)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9E0A28B"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9 928</w:t>
            </w:r>
          </w:p>
        </w:tc>
      </w:tr>
      <w:tr w:rsidR="00E82BE0" w:rsidRPr="00A25283" w14:paraId="6A0FDFAA"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FA6FFF2" w14:textId="77777777" w:rsidR="00E82BE0" w:rsidRPr="00C97640" w:rsidRDefault="00E82BE0" w:rsidP="00E86509">
            <w:pPr>
              <w:spacing w:after="0" w:line="240" w:lineRule="auto"/>
              <w:rPr>
                <w:rFonts w:ascii="Times New Roman" w:hAnsi="Times New Roman"/>
                <w:b w:val="0"/>
                <w:bCs w:val="0"/>
                <w:color w:val="auto"/>
              </w:rPr>
            </w:pPr>
            <w:r w:rsidRPr="00C97640">
              <w:rPr>
                <w:rFonts w:ascii="Times New Roman" w:hAnsi="Times New Roman"/>
                <w:color w:val="auto"/>
                <w:lang w:eastAsia="pl-PL"/>
              </w:rPr>
              <w:t>Infrastruktura służby zdrowia</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4B5BDE8"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C97640">
              <w:rPr>
                <w:rFonts w:ascii="Times New Roman" w:hAnsi="Times New Roman"/>
                <w:b/>
                <w:color w:val="auto"/>
              </w:rPr>
              <w:t>Rodzaj placówki</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B4342B3"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Liczba placówek</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E62A990"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Liczba łóżek dla osób starszych</w:t>
            </w:r>
          </w:p>
        </w:tc>
      </w:tr>
      <w:tr w:rsidR="00E82BE0" w:rsidRPr="00A25283" w14:paraId="391F56C4"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E045B3D" w14:textId="77777777" w:rsidR="00E82BE0" w:rsidRPr="00C97640" w:rsidRDefault="00E82BE0" w:rsidP="00E86509">
            <w:pPr>
              <w:spacing w:after="0" w:line="240" w:lineRule="auto"/>
              <w:rPr>
                <w:rFonts w:ascii="Times New Roman" w:hAnsi="Times New Roman"/>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82D353D"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Oddziałów / pododdziałów geriatrycznych</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9602539"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p w14:paraId="0880E12A"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34AB97C"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p w14:paraId="74BAB0D8"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30</w:t>
            </w:r>
          </w:p>
        </w:tc>
      </w:tr>
      <w:tr w:rsidR="00E82BE0" w:rsidRPr="00A25283" w14:paraId="773DA3CC"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2506045" w14:textId="77777777" w:rsidR="00E82BE0" w:rsidRPr="00C97640" w:rsidRDefault="00E82BE0" w:rsidP="00E86509">
            <w:pPr>
              <w:spacing w:after="0" w:line="240" w:lineRule="auto"/>
              <w:rPr>
                <w:rFonts w:ascii="Times New Roman" w:hAnsi="Times New Roman"/>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089D9FB"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Poradni geriatrycznych</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37C64C1"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632002D"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r>
      <w:tr w:rsidR="00E82BE0" w:rsidRPr="00A25283" w14:paraId="043D9AE3"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2C1C737" w14:textId="77777777" w:rsidR="00E82BE0" w:rsidRPr="00C97640" w:rsidRDefault="00E82BE0" w:rsidP="00E86509">
            <w:pPr>
              <w:spacing w:after="0" w:line="240" w:lineRule="auto"/>
              <w:rPr>
                <w:rFonts w:ascii="Times New Roman" w:hAnsi="Times New Roman"/>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F04576F"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Zakładów opiekuńczo-leczniczych</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49AF79E"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81A4E60"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1 680</w:t>
            </w:r>
          </w:p>
        </w:tc>
      </w:tr>
      <w:tr w:rsidR="00E82BE0" w:rsidRPr="00A25283" w14:paraId="0507A93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A6B9A0E" w14:textId="77777777" w:rsidR="00E82BE0" w:rsidRPr="00C97640" w:rsidRDefault="00E82BE0" w:rsidP="00E86509">
            <w:pPr>
              <w:spacing w:after="0" w:line="240" w:lineRule="auto"/>
              <w:rPr>
                <w:rFonts w:ascii="Times New Roman" w:hAnsi="Times New Roman"/>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D01EFA4"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Zakładów pielęgnacyjno-opiekuńczych</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E533746"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97C6A53"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389</w:t>
            </w:r>
          </w:p>
        </w:tc>
      </w:tr>
      <w:tr w:rsidR="00E82BE0" w:rsidRPr="00A25283" w14:paraId="2AAD1291"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1F3DCF5" w14:textId="77777777" w:rsidR="00E82BE0" w:rsidRPr="00C97640" w:rsidRDefault="00E82BE0" w:rsidP="00E86509">
            <w:pPr>
              <w:spacing w:after="0" w:line="240" w:lineRule="auto"/>
              <w:rPr>
                <w:rFonts w:ascii="Times New Roman" w:hAnsi="Times New Roman"/>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3705009"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Hospicjów stacjonarnych</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6BB497B"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9FEAFDA"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34</w:t>
            </w:r>
          </w:p>
        </w:tc>
      </w:tr>
      <w:tr w:rsidR="00E82BE0" w:rsidRPr="00A25283" w14:paraId="7736BD2A"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CAE0C62" w14:textId="77777777" w:rsidR="00E82BE0" w:rsidRPr="00C97640" w:rsidRDefault="00E82BE0" w:rsidP="00E86509">
            <w:pPr>
              <w:spacing w:after="0" w:line="240" w:lineRule="auto"/>
              <w:rPr>
                <w:rFonts w:ascii="Times New Roman" w:hAnsi="Times New Roman"/>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C1DDEEC"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Hospicjów domowych/zespoły domowej opieki paliatywnej</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0FDDCFA"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18</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613231D"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2 804</w:t>
            </w:r>
          </w:p>
        </w:tc>
      </w:tr>
      <w:tr w:rsidR="00E82BE0" w:rsidRPr="00A25283" w14:paraId="02DAF77F"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A03E5DA" w14:textId="77777777" w:rsidR="00E82BE0" w:rsidRPr="00C97640" w:rsidRDefault="00E82BE0" w:rsidP="00E86509">
            <w:pPr>
              <w:spacing w:after="0" w:line="240" w:lineRule="auto"/>
              <w:rPr>
                <w:rFonts w:ascii="Times New Roman" w:hAnsi="Times New Roman"/>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2959DC2"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Oddziałów opieki paliatywnej</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0D1F2D8"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6</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15E1A5E"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111</w:t>
            </w:r>
          </w:p>
          <w:p w14:paraId="32265015"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tc>
      </w:tr>
      <w:tr w:rsidR="00E82BE0" w:rsidRPr="00A25283" w14:paraId="3DCA79E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55569A7" w14:textId="77777777" w:rsidR="00E82BE0" w:rsidRPr="00C97640" w:rsidRDefault="00E82BE0" w:rsidP="00E86509">
            <w:pPr>
              <w:tabs>
                <w:tab w:val="left" w:pos="1206"/>
              </w:tabs>
              <w:spacing w:after="0" w:line="240" w:lineRule="auto"/>
              <w:rPr>
                <w:rFonts w:ascii="Times New Roman" w:hAnsi="Times New Roman"/>
                <w:color w:val="auto"/>
              </w:rPr>
            </w:pPr>
            <w:r w:rsidRPr="00C97640">
              <w:rPr>
                <w:rFonts w:ascii="Times New Roman" w:hAnsi="Times New Roman"/>
                <w:color w:val="auto"/>
              </w:rPr>
              <w:t>Kadry medyczne</w:t>
            </w: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8C2ED15" w14:textId="77777777" w:rsidR="00E82BE0" w:rsidRPr="00C97640" w:rsidRDefault="00E82BE0" w:rsidP="00E86509">
            <w:pPr>
              <w:tabs>
                <w:tab w:val="left" w:pos="120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Lekarze</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90E1F10"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Liczba lekarzy</w:t>
            </w:r>
          </w:p>
        </w:tc>
      </w:tr>
      <w:tr w:rsidR="00E82BE0" w:rsidRPr="00A25283" w14:paraId="5617BBDD"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BB2C179"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3B507CA" w14:textId="77777777" w:rsidR="00E82BE0" w:rsidRPr="00C97640" w:rsidRDefault="00E82BE0" w:rsidP="00E86509">
            <w:pPr>
              <w:tabs>
                <w:tab w:val="left" w:pos="120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Geriatrzy</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2F89923"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14</w:t>
            </w:r>
          </w:p>
        </w:tc>
      </w:tr>
      <w:tr w:rsidR="00E82BE0" w:rsidRPr="00A25283" w14:paraId="2B3DD12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78EF98E"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308A87B"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 trakcie specjalizacji z geriatrii</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E34661A"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8</w:t>
            </w:r>
          </w:p>
        </w:tc>
      </w:tr>
      <w:tr w:rsidR="00E82BE0" w:rsidRPr="00A25283" w14:paraId="49AFE55B"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D8EB477"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6AE2281"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 xml:space="preserve">Pielęgniarki ze specjalizacją lub ukończonym kursem kwalifikacyjnym </w:t>
            </w:r>
            <w:r w:rsidRPr="00C97640">
              <w:rPr>
                <w:rFonts w:ascii="Times New Roman" w:hAnsi="Times New Roman"/>
                <w:b/>
                <w:color w:val="auto"/>
              </w:rPr>
              <w:br/>
              <w:t>w zakresie:</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16E90A5"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Liczba pielęgniarek</w:t>
            </w:r>
          </w:p>
        </w:tc>
      </w:tr>
      <w:tr w:rsidR="00E82BE0" w:rsidRPr="00A25283" w14:paraId="35CA278C"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BFE9E9C"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217BC9B"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Geriatrii</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3AB82EB"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61</w:t>
            </w:r>
          </w:p>
        </w:tc>
      </w:tr>
      <w:tr w:rsidR="00E82BE0" w:rsidRPr="00A25283" w14:paraId="2D6DFC25"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75BE5DA"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B8D9452"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Opieki długoterminowej</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17FC323"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260</w:t>
            </w:r>
          </w:p>
        </w:tc>
      </w:tr>
      <w:tr w:rsidR="00E82BE0" w:rsidRPr="00A25283" w14:paraId="54C7397D"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F6ED687"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A28F700"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Opieki paliatywnej</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0987B83"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196</w:t>
            </w:r>
          </w:p>
        </w:tc>
      </w:tr>
      <w:tr w:rsidR="00E82BE0" w:rsidRPr="00A25283" w14:paraId="020F0D6B"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9F555A3" w14:textId="77777777" w:rsidR="00E82BE0" w:rsidRPr="00C97640" w:rsidRDefault="00E82BE0" w:rsidP="00E86509">
            <w:pPr>
              <w:spacing w:after="0" w:line="240" w:lineRule="auto"/>
              <w:rPr>
                <w:rFonts w:ascii="Times New Roman" w:hAnsi="Times New Roman"/>
                <w:b w:val="0"/>
                <w:color w:val="auto"/>
                <w:lang w:eastAsia="pl-PL"/>
              </w:rPr>
            </w:pPr>
            <w:r w:rsidRPr="00C97640">
              <w:rPr>
                <w:rFonts w:ascii="Times New Roman" w:hAnsi="Times New Roman"/>
                <w:color w:val="auto"/>
                <w:lang w:eastAsia="pl-PL"/>
              </w:rPr>
              <w:t>Najczęstsze przyczyny zgonów osób starszych</w:t>
            </w: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3E33743"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Nazwa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ECBF8A7"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Liczba osób starszych</w:t>
            </w:r>
          </w:p>
        </w:tc>
      </w:tr>
      <w:tr w:rsidR="00E82BE0" w:rsidRPr="00A25283" w14:paraId="1286AF15"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68260D2"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2C90C72"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01135">
              <w:rPr>
                <w:rFonts w:ascii="Times New Roman" w:hAnsi="Times New Roman"/>
                <w:b/>
                <w:color w:val="auto"/>
              </w:rPr>
              <w:t>1.</w:t>
            </w:r>
            <w:r w:rsidRPr="00C97640">
              <w:rPr>
                <w:rFonts w:ascii="Times New Roman" w:hAnsi="Times New Roman"/>
                <w:color w:val="auto"/>
              </w:rPr>
              <w:t>choroby układu krążenia (I00 – I99)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5EF25B8"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11 319</w:t>
            </w:r>
          </w:p>
        </w:tc>
      </w:tr>
      <w:tr w:rsidR="00E82BE0" w:rsidRPr="00A25283" w14:paraId="5E356C0D"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3F764B0"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4DE8648"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01135">
              <w:rPr>
                <w:rFonts w:ascii="Times New Roman" w:hAnsi="Times New Roman"/>
                <w:b/>
                <w:color w:val="auto"/>
              </w:rPr>
              <w:t>2</w:t>
            </w:r>
            <w:r w:rsidRPr="00C97640">
              <w:rPr>
                <w:rFonts w:ascii="Times New Roman" w:hAnsi="Times New Roman"/>
                <w:color w:val="auto"/>
              </w:rPr>
              <w:t>. nowotwory i choroby krwi (C00 – D48)</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7D269E5"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6 621</w:t>
            </w:r>
          </w:p>
        </w:tc>
      </w:tr>
      <w:tr w:rsidR="00E82BE0" w:rsidRPr="00A25283" w14:paraId="7454D16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27F2449" w14:textId="77777777" w:rsidR="00E82BE0" w:rsidRPr="00C97640" w:rsidRDefault="00E82BE0" w:rsidP="00E86509">
            <w:pPr>
              <w:spacing w:after="0" w:line="240" w:lineRule="auto"/>
              <w:rPr>
                <w:rFonts w:ascii="Times New Roman" w:hAnsi="Times New Roman"/>
                <w:b w:val="0"/>
                <w:color w:val="auto"/>
                <w:lang w:eastAsia="pl-PL"/>
              </w:rPr>
            </w:pPr>
          </w:p>
        </w:tc>
        <w:tc>
          <w:tcPr>
            <w:tcW w:w="7938"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29FDE23"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01135">
              <w:rPr>
                <w:rFonts w:ascii="Times New Roman" w:hAnsi="Times New Roman"/>
                <w:b/>
                <w:color w:val="auto"/>
              </w:rPr>
              <w:t>3.</w:t>
            </w:r>
            <w:r w:rsidRPr="00C97640">
              <w:rPr>
                <w:rFonts w:ascii="Times New Roman" w:hAnsi="Times New Roman"/>
                <w:color w:val="auto"/>
              </w:rPr>
              <w:t xml:space="preserve"> choroby układu oddechowego (J00 – J99)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A19A17B"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2 191</w:t>
            </w:r>
          </w:p>
        </w:tc>
      </w:tr>
      <w:tr w:rsidR="00E82BE0" w:rsidRPr="00A25283" w14:paraId="78007766" w14:textId="77777777" w:rsidTr="00E86509">
        <w:trPr>
          <w:trHeight w:val="253"/>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4F382C9" w14:textId="77777777" w:rsidR="00E82BE0" w:rsidRPr="00C97640" w:rsidRDefault="00E82BE0" w:rsidP="00E86509">
            <w:pPr>
              <w:spacing w:after="0" w:line="240" w:lineRule="auto"/>
              <w:rPr>
                <w:rFonts w:ascii="Times New Roman" w:hAnsi="Times New Roman"/>
                <w:b w:val="0"/>
                <w:color w:val="auto"/>
                <w:lang w:eastAsia="pl-PL"/>
              </w:rPr>
            </w:pPr>
            <w:r w:rsidRPr="00C97640">
              <w:rPr>
                <w:rFonts w:ascii="Times New Roman" w:hAnsi="Times New Roman"/>
                <w:color w:val="auto"/>
                <w:lang w:eastAsia="pl-PL"/>
              </w:rPr>
              <w:t>Największe problemy/niedogodności w świadczeniu opieki nad osobami starszymi (np. zasoby kadrowe, rzeczowe, finansowe itp.)</w:t>
            </w:r>
          </w:p>
        </w:tc>
        <w:tc>
          <w:tcPr>
            <w:tcW w:w="11911"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CED55C7" w14:textId="77777777" w:rsidR="00E82BE0" w:rsidRPr="00C97640" w:rsidRDefault="00E82BE0" w:rsidP="00E86509">
            <w:pPr>
              <w:tabs>
                <w:tab w:val="left" w:pos="129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01135">
              <w:rPr>
                <w:rFonts w:ascii="Times New Roman" w:hAnsi="Times New Roman"/>
                <w:b/>
                <w:color w:val="auto"/>
              </w:rPr>
              <w:t>1</w:t>
            </w:r>
            <w:r w:rsidRPr="00C97640">
              <w:rPr>
                <w:rFonts w:ascii="Times New Roman" w:hAnsi="Times New Roman"/>
                <w:color w:val="auto"/>
              </w:rPr>
              <w:t>.niedostateczna liczba lekarzy ze specjalizacją z zakresie geriatrii</w:t>
            </w:r>
          </w:p>
        </w:tc>
      </w:tr>
      <w:tr w:rsidR="00E82BE0" w:rsidRPr="00A25283" w14:paraId="010F8248"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4F18887" w14:textId="77777777" w:rsidR="00E82BE0" w:rsidRPr="00C97640" w:rsidRDefault="00E82BE0" w:rsidP="00E86509">
            <w:pPr>
              <w:spacing w:after="0" w:line="240" w:lineRule="auto"/>
              <w:jc w:val="center"/>
              <w:rPr>
                <w:rFonts w:ascii="Times New Roman" w:hAnsi="Times New Roman"/>
                <w:color w:val="auto"/>
              </w:rPr>
            </w:pPr>
            <w:r w:rsidRPr="00C97640">
              <w:rPr>
                <w:rFonts w:ascii="Times New Roman" w:hAnsi="Times New Roman"/>
                <w:color w:val="auto"/>
                <w:lang w:eastAsia="pl-PL"/>
              </w:rPr>
              <w:t>AKTYWNOŚĆ EKONOMICZNA OSÓB STARSZYCH – DANE ZA 2019 R.</w:t>
            </w:r>
          </w:p>
        </w:tc>
      </w:tr>
      <w:tr w:rsidR="00E82BE0" w:rsidRPr="00A25283" w14:paraId="68C7D613"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679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B05B276" w14:textId="77777777" w:rsidR="00E82BE0" w:rsidRPr="00C97640" w:rsidRDefault="00E82BE0" w:rsidP="00E86509">
            <w:pPr>
              <w:spacing w:after="0" w:line="240" w:lineRule="auto"/>
              <w:jc w:val="center"/>
              <w:rPr>
                <w:rFonts w:ascii="Times New Roman" w:hAnsi="Times New Roman"/>
                <w:color w:val="auto"/>
              </w:rPr>
            </w:pPr>
            <w:r w:rsidRPr="00C97640">
              <w:rPr>
                <w:rFonts w:ascii="Times New Roman" w:hAnsi="Times New Roman"/>
                <w:color w:val="auto"/>
              </w:rPr>
              <w:t>Podział</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49C3C73"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Liczba</w:t>
            </w:r>
          </w:p>
        </w:tc>
      </w:tr>
      <w:tr w:rsidR="00E82BE0" w:rsidRPr="00A25283" w14:paraId="6D4883DD"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56C8FFC" w14:textId="77777777" w:rsidR="00E82BE0" w:rsidRPr="00C97640" w:rsidRDefault="00E82BE0" w:rsidP="00E86509">
            <w:pPr>
              <w:spacing w:after="0" w:line="240" w:lineRule="auto"/>
              <w:rPr>
                <w:rFonts w:ascii="Times New Roman" w:hAnsi="Times New Roman"/>
                <w:b w:val="0"/>
                <w:color w:val="auto"/>
                <w:lang w:eastAsia="pl-PL"/>
              </w:rPr>
            </w:pPr>
            <w:r w:rsidRPr="00C97640">
              <w:rPr>
                <w:rFonts w:ascii="Times New Roman" w:hAnsi="Times New Roman"/>
                <w:color w:val="auto"/>
                <w:lang w:eastAsia="pl-PL"/>
              </w:rPr>
              <w:t>Osoby aktywne zawodowo razem (w tys.)</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0DCA4C4"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ogółem</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A9D475"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w:t>
            </w:r>
            <w:r w:rsidR="00571781" w:rsidRPr="00C97640">
              <w:rPr>
                <w:rFonts w:ascii="Times New Roman" w:hAnsi="Times New Roman"/>
                <w:color w:val="auto"/>
              </w:rPr>
              <w:t xml:space="preserve"> </w:t>
            </w:r>
            <w:r w:rsidRPr="00C97640">
              <w:rPr>
                <w:rFonts w:ascii="Times New Roman" w:hAnsi="Times New Roman"/>
                <w:color w:val="auto"/>
              </w:rPr>
              <w:t>131</w:t>
            </w:r>
          </w:p>
        </w:tc>
      </w:tr>
      <w:tr w:rsidR="00E82BE0" w:rsidRPr="00A25283" w14:paraId="55BB7605"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1F79CC4" w14:textId="77777777" w:rsidR="00E82BE0" w:rsidRPr="00C97640" w:rsidRDefault="00E82BE0" w:rsidP="00E86509">
            <w:pPr>
              <w:spacing w:after="0" w:line="240" w:lineRule="auto"/>
              <w:rPr>
                <w:rFonts w:ascii="Times New Roman" w:hAnsi="Times New Roman"/>
                <w:b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345B8D5"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 tym w wieku 60+</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4D0B4F9"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(wiek 55+)  199</w:t>
            </w:r>
          </w:p>
        </w:tc>
      </w:tr>
      <w:tr w:rsidR="00E82BE0" w:rsidRPr="00A25283" w14:paraId="40A37B31"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3AB7530" w14:textId="77777777" w:rsidR="00E82BE0" w:rsidRPr="00C97640" w:rsidRDefault="00E82BE0" w:rsidP="00E86509">
            <w:pPr>
              <w:spacing w:after="0" w:line="240" w:lineRule="auto"/>
              <w:rPr>
                <w:rFonts w:ascii="Times New Roman" w:hAnsi="Times New Roman"/>
                <w:b w:val="0"/>
                <w:color w:val="auto"/>
                <w:lang w:eastAsia="pl-PL"/>
              </w:rPr>
            </w:pPr>
            <w:r w:rsidRPr="00C97640">
              <w:rPr>
                <w:rFonts w:ascii="Times New Roman" w:hAnsi="Times New Roman"/>
                <w:color w:val="auto"/>
                <w:lang w:eastAsia="pl-PL"/>
              </w:rPr>
              <w:t xml:space="preserve">Osoby aktywne zawodowo </w:t>
            </w:r>
            <w:r w:rsidRPr="00C97640">
              <w:rPr>
                <w:rFonts w:ascii="Times New Roman" w:hAnsi="Times New Roman"/>
                <w:color w:val="auto"/>
                <w:lang w:eastAsia="pl-PL"/>
              </w:rPr>
              <w:br/>
              <w:t>– pracujący (w tys.)</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3BB5DF9"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Ogółem</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610E164"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w:t>
            </w:r>
            <w:r w:rsidR="00571781" w:rsidRPr="00C97640">
              <w:rPr>
                <w:rFonts w:ascii="Times New Roman" w:hAnsi="Times New Roman"/>
                <w:color w:val="auto"/>
              </w:rPr>
              <w:t xml:space="preserve"> </w:t>
            </w:r>
            <w:r w:rsidRPr="00C97640">
              <w:rPr>
                <w:rFonts w:ascii="Times New Roman" w:hAnsi="Times New Roman"/>
                <w:color w:val="auto"/>
              </w:rPr>
              <w:t>090</w:t>
            </w:r>
          </w:p>
        </w:tc>
      </w:tr>
      <w:tr w:rsidR="00E82BE0" w:rsidRPr="00A25283" w14:paraId="6FE88BB9"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AB9D3AD" w14:textId="77777777" w:rsidR="00E82BE0" w:rsidRPr="00C97640" w:rsidRDefault="00E82BE0" w:rsidP="00E86509">
            <w:pPr>
              <w:spacing w:after="0" w:line="240" w:lineRule="auto"/>
              <w:rPr>
                <w:rFonts w:ascii="Times New Roman" w:hAnsi="Times New Roman"/>
                <w:b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5FA7BA0"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 tym w wieku 60+</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565728F"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(wiek 55+)  193</w:t>
            </w:r>
          </w:p>
        </w:tc>
      </w:tr>
      <w:tr w:rsidR="00E82BE0" w:rsidRPr="00A25283" w14:paraId="60772EF1"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74525C1" w14:textId="77777777" w:rsidR="00E82BE0" w:rsidRPr="00C97640" w:rsidRDefault="00E82BE0" w:rsidP="00E86509">
            <w:pPr>
              <w:spacing w:after="0" w:line="240" w:lineRule="auto"/>
              <w:rPr>
                <w:rFonts w:ascii="Times New Roman" w:hAnsi="Times New Roman"/>
                <w:b w:val="0"/>
                <w:color w:val="auto"/>
                <w:lang w:eastAsia="pl-PL"/>
              </w:rPr>
            </w:pPr>
            <w:r w:rsidRPr="00C97640">
              <w:rPr>
                <w:rFonts w:ascii="Times New Roman" w:hAnsi="Times New Roman"/>
                <w:color w:val="auto"/>
                <w:lang w:eastAsia="pl-PL"/>
              </w:rPr>
              <w:t>Osoby bierne zawodowo (w tys.)</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2C6262B"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ogółem</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6B31D48"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889</w:t>
            </w:r>
          </w:p>
        </w:tc>
      </w:tr>
      <w:tr w:rsidR="00E82BE0" w:rsidRPr="00A25283" w14:paraId="0870837B"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750C0F2" w14:textId="77777777" w:rsidR="00E82BE0" w:rsidRPr="00C97640" w:rsidRDefault="00E82BE0" w:rsidP="00E86509">
            <w:pPr>
              <w:spacing w:after="0" w:line="240" w:lineRule="auto"/>
              <w:rPr>
                <w:rFonts w:ascii="Times New Roman" w:hAnsi="Times New Roman"/>
                <w:b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006E53F"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 tym w wieku 60+</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39579DB"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(wiek 55+)  621</w:t>
            </w:r>
          </w:p>
        </w:tc>
      </w:tr>
      <w:tr w:rsidR="00E82BE0" w:rsidRPr="00A25283" w14:paraId="260B8F8B"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F70ACA5" w14:textId="77777777" w:rsidR="00E82BE0" w:rsidRPr="00C97640" w:rsidRDefault="00E82BE0" w:rsidP="00E86509">
            <w:pPr>
              <w:spacing w:after="0" w:line="240" w:lineRule="auto"/>
              <w:rPr>
                <w:rFonts w:ascii="Times New Roman" w:hAnsi="Times New Roman"/>
                <w:b w:val="0"/>
                <w:color w:val="auto"/>
                <w:lang w:eastAsia="pl-PL"/>
              </w:rPr>
            </w:pPr>
            <w:r w:rsidRPr="00C97640">
              <w:rPr>
                <w:rFonts w:ascii="Times New Roman" w:hAnsi="Times New Roman"/>
                <w:color w:val="auto"/>
                <w:lang w:eastAsia="pl-PL"/>
              </w:rPr>
              <w:t>Współczynnik aktywności zawodowej %</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09C212B"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Ogółem</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0B11F54"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56,0</w:t>
            </w:r>
          </w:p>
        </w:tc>
      </w:tr>
      <w:tr w:rsidR="00E82BE0" w:rsidRPr="00A25283" w14:paraId="216A514E"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48E850D" w14:textId="77777777" w:rsidR="00E82BE0" w:rsidRPr="00C97640" w:rsidRDefault="00E82BE0" w:rsidP="00E86509">
            <w:pPr>
              <w:spacing w:after="0" w:line="240" w:lineRule="auto"/>
              <w:rPr>
                <w:rFonts w:ascii="Times New Roman" w:hAnsi="Times New Roman"/>
                <w:b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A92FBBC"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 tym w wieku 60+</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3D01960"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(wiek 55+)  24,3</w:t>
            </w:r>
          </w:p>
        </w:tc>
      </w:tr>
      <w:tr w:rsidR="00E82BE0" w:rsidRPr="00A25283" w14:paraId="0346DD79" w14:textId="77777777" w:rsidTr="00E8650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6BDDBD4" w14:textId="77777777" w:rsidR="00E82BE0" w:rsidRPr="00C97640" w:rsidRDefault="00E82BE0" w:rsidP="00E86509">
            <w:pPr>
              <w:spacing w:after="0" w:line="240" w:lineRule="auto"/>
              <w:rPr>
                <w:rFonts w:ascii="Times New Roman" w:hAnsi="Times New Roman"/>
                <w:b w:val="0"/>
                <w:color w:val="auto"/>
                <w:lang w:eastAsia="pl-PL"/>
              </w:rPr>
            </w:pPr>
            <w:r w:rsidRPr="00C97640">
              <w:rPr>
                <w:rFonts w:ascii="Times New Roman" w:hAnsi="Times New Roman"/>
                <w:color w:val="auto"/>
                <w:lang w:eastAsia="pl-PL"/>
              </w:rPr>
              <w:t>Wskaźnik zatrudnienia %</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CA71A39"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ogółem</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1A5DE1C"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54,0</w:t>
            </w:r>
          </w:p>
        </w:tc>
      </w:tr>
      <w:tr w:rsidR="00E82BE0" w:rsidRPr="00A25283" w14:paraId="53B192AA"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0AB23D4" w14:textId="77777777" w:rsidR="00E82BE0" w:rsidRPr="00C97640" w:rsidRDefault="00E82BE0" w:rsidP="00E86509">
            <w:pPr>
              <w:spacing w:after="0" w:line="240" w:lineRule="auto"/>
              <w:rPr>
                <w:rFonts w:ascii="Times New Roman" w:hAnsi="Times New Roman"/>
                <w:b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08A50B0"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 tym w wieku 60+</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5464428"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(wiek 55+) 23,5</w:t>
            </w:r>
          </w:p>
        </w:tc>
      </w:tr>
      <w:tr w:rsidR="00E82BE0" w:rsidRPr="00A25283" w14:paraId="33E8CC41" w14:textId="77777777" w:rsidTr="00E8650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E545F52" w14:textId="77777777" w:rsidR="00E82BE0" w:rsidRPr="00C97640" w:rsidRDefault="00E82BE0" w:rsidP="00E86509">
            <w:pPr>
              <w:spacing w:after="0" w:line="240" w:lineRule="auto"/>
              <w:rPr>
                <w:rFonts w:ascii="Times New Roman" w:hAnsi="Times New Roman"/>
                <w:b w:val="0"/>
                <w:color w:val="auto"/>
                <w:lang w:eastAsia="pl-PL"/>
              </w:rPr>
            </w:pPr>
            <w:r w:rsidRPr="00C97640">
              <w:rPr>
                <w:rFonts w:ascii="Times New Roman" w:eastAsia="Times New Roman" w:hAnsi="Times New Roman"/>
                <w:color w:val="auto"/>
                <w:lang w:eastAsia="pl-PL"/>
              </w:rPr>
              <w:t xml:space="preserve">Osoby bierne zawodowo  w wieku 60 lat i więcej według wybranych przyczyn bierności </w:t>
            </w:r>
            <w:r w:rsidRPr="00C97640">
              <w:rPr>
                <w:rFonts w:ascii="Times New Roman" w:eastAsia="Times New Roman" w:hAnsi="Times New Roman"/>
                <w:color w:val="auto"/>
                <w:lang w:eastAsia="pl-PL"/>
              </w:rPr>
              <w:br/>
              <w:t>(w tys.)</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5D9A547"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ogółem</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9A6827C"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(wiek 55+)  621</w:t>
            </w:r>
          </w:p>
        </w:tc>
      </w:tr>
      <w:tr w:rsidR="00E82BE0" w:rsidRPr="00A25283" w14:paraId="0976BFBE"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4F0A119"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11911"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E60FA80"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 tym:</w:t>
            </w:r>
          </w:p>
        </w:tc>
      </w:tr>
      <w:tr w:rsidR="00E82BE0" w:rsidRPr="00A25283" w14:paraId="198AE8BC"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BA69B31"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19C5F00"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lang w:eastAsia="pl-PL"/>
              </w:rPr>
            </w:pPr>
            <w:r w:rsidRPr="00C97640">
              <w:rPr>
                <w:rFonts w:ascii="Times New Roman" w:eastAsia="Times New Roman" w:hAnsi="Times New Roman"/>
                <w:color w:val="auto"/>
                <w:lang w:eastAsia="pl-PL"/>
              </w:rPr>
              <w:t>osoby nieposzukujące pracy - razem</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6F53F51"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Ogółem - 884</w:t>
            </w:r>
          </w:p>
        </w:tc>
      </w:tr>
      <w:tr w:rsidR="00E82BE0" w:rsidRPr="00A25283" w14:paraId="526FDE60"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10F33C4"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F4193E9"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eastAsia="Times New Roman" w:hAnsi="Times New Roman"/>
                <w:color w:val="auto"/>
                <w:lang w:eastAsia="pl-PL"/>
              </w:rPr>
              <w:t>osoby nieposzukujące pracy - emerytura</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1D423D7"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Ogółem - 548</w:t>
            </w:r>
          </w:p>
        </w:tc>
      </w:tr>
      <w:tr w:rsidR="00E82BE0" w:rsidRPr="00A25283" w14:paraId="166155F4"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8B2D89A"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02C499C"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eastAsia="Times New Roman" w:hAnsi="Times New Roman"/>
                <w:color w:val="auto"/>
                <w:lang w:eastAsia="pl-PL"/>
              </w:rPr>
              <w:t>osoby nieposzukujące pracy - choroba, niepełnosprawność</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bottom"/>
          </w:tcPr>
          <w:p w14:paraId="6E10D251"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Ogółem - 90</w:t>
            </w:r>
          </w:p>
        </w:tc>
      </w:tr>
      <w:tr w:rsidR="00E82BE0" w:rsidRPr="00A25283" w14:paraId="0A5D0DBE" w14:textId="77777777" w:rsidTr="00E86509">
        <w:trPr>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F2B341A"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r w:rsidRPr="00C97640">
              <w:rPr>
                <w:rFonts w:ascii="Times New Roman" w:eastAsia="Times New Roman" w:hAnsi="Times New Roman"/>
                <w:color w:val="auto"/>
                <w:lang w:eastAsia="pl-PL"/>
              </w:rPr>
              <w:t>Osoby bezrobotne zarejestrowane w urzędach pracy (w tys.)</w:t>
            </w: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7AA7B5"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ogółem</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809190"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58,7</w:t>
            </w:r>
          </w:p>
        </w:tc>
      </w:tr>
      <w:tr w:rsidR="00E82BE0" w:rsidRPr="00A25283" w14:paraId="0A2D937E"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EE4EFFE"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FD79F12"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 tym w wieku 60+</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DFE2711"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(wiek 55+) 12,0</w:t>
            </w:r>
          </w:p>
        </w:tc>
      </w:tr>
      <w:tr w:rsidR="00E82BE0" w:rsidRPr="00A25283" w14:paraId="457E875F" w14:textId="77777777" w:rsidTr="00E86509">
        <w:trPr>
          <w:trHeight w:val="191"/>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17FF3DC"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r w:rsidRPr="00C97640">
              <w:rPr>
                <w:rFonts w:ascii="Times New Roman" w:eastAsia="Times New Roman" w:hAnsi="Times New Roman"/>
                <w:color w:val="auto"/>
                <w:lang w:eastAsia="pl-PL"/>
              </w:rPr>
              <w:t xml:space="preserve">Osoby pobierające renty </w:t>
            </w:r>
            <w:r w:rsidRPr="00C97640">
              <w:rPr>
                <w:rFonts w:ascii="Times New Roman" w:eastAsia="Times New Roman" w:hAnsi="Times New Roman"/>
                <w:color w:val="auto"/>
                <w:lang w:eastAsia="pl-PL"/>
              </w:rPr>
              <w:br/>
              <w:t xml:space="preserve">i emerytury </w:t>
            </w:r>
          </w:p>
        </w:tc>
        <w:tc>
          <w:tcPr>
            <w:tcW w:w="11911"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4BB0367" w14:textId="77777777" w:rsidR="00E82BE0" w:rsidRPr="00C97640" w:rsidRDefault="00E82BE0" w:rsidP="00E86509">
            <w:pPr>
              <w:tabs>
                <w:tab w:val="left" w:pos="1725"/>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ZUS</w:t>
            </w:r>
          </w:p>
        </w:tc>
      </w:tr>
      <w:tr w:rsidR="00E82BE0" w:rsidRPr="00A25283" w14:paraId="15BEE967" w14:textId="77777777" w:rsidTr="00E8650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21C1238"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9F3A57E"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Rodzaj świadczenia</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320A0A1"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Przeciętna miesięczna liczba emerytów i rencistów (w tys.)</w:t>
            </w:r>
          </w:p>
        </w:tc>
      </w:tr>
      <w:tr w:rsidR="00E82BE0" w:rsidRPr="00A25283" w14:paraId="6F9C39E7" w14:textId="77777777" w:rsidTr="00E86509">
        <w:trPr>
          <w:trHeight w:val="143"/>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80CCEA3"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E603939"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Emerytury</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C804321"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419,8</w:t>
            </w:r>
          </w:p>
        </w:tc>
      </w:tr>
      <w:tr w:rsidR="00E82BE0" w:rsidRPr="00A25283" w14:paraId="0B5FFB36" w14:textId="77777777" w:rsidTr="00E8650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76648DB"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A05CFCE"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Renty z tytułu niezdolności do pracy</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C01C7F0"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42,4</w:t>
            </w:r>
          </w:p>
        </w:tc>
      </w:tr>
      <w:tr w:rsidR="00E82BE0" w:rsidRPr="00A25283" w14:paraId="6A4465A9"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C3502DB"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8BB8D43"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Renty rodzinne</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E2706FF"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77,2</w:t>
            </w:r>
          </w:p>
        </w:tc>
      </w:tr>
      <w:tr w:rsidR="00E82BE0" w:rsidRPr="00A25283" w14:paraId="0A5471D1"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CFCFC81"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11911"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06FC138" w14:textId="77777777" w:rsidR="00E82BE0" w:rsidRPr="00C97640" w:rsidRDefault="00E82BE0" w:rsidP="00E86509">
            <w:pPr>
              <w:tabs>
                <w:tab w:val="left" w:pos="1507"/>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KRUS</w:t>
            </w:r>
          </w:p>
        </w:tc>
      </w:tr>
      <w:tr w:rsidR="00E82BE0" w:rsidRPr="00A25283" w14:paraId="3A4D0AB6" w14:textId="77777777" w:rsidTr="00E86509">
        <w:trPr>
          <w:trHeight w:val="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49F04C3"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386A2A1"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Rodzaj świadczenia</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F19C2A6"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Przeciętna miesięczna liczba emerytów i rencistów (w tys.)</w:t>
            </w:r>
          </w:p>
        </w:tc>
      </w:tr>
      <w:tr w:rsidR="00E82BE0" w:rsidRPr="00A25283" w14:paraId="070588DB"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8A0A8A2"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6721164"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Emerytury</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111E831"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80,8</w:t>
            </w:r>
          </w:p>
        </w:tc>
      </w:tr>
      <w:tr w:rsidR="00E82BE0" w:rsidRPr="00A25283" w14:paraId="37C8617F"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A5FDFFE"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B211A72"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Renty z tytułu niezdolności do pracy</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00054F7"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11,6</w:t>
            </w:r>
          </w:p>
        </w:tc>
      </w:tr>
      <w:tr w:rsidR="00E82BE0" w:rsidRPr="00A25283" w14:paraId="6ECCDD86"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D510FD8"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p>
        </w:tc>
        <w:tc>
          <w:tcPr>
            <w:tcW w:w="396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9D9889E"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Renty rodzinne</w:t>
            </w:r>
          </w:p>
        </w:tc>
        <w:tc>
          <w:tcPr>
            <w:tcW w:w="7942"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95AE340"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3,6</w:t>
            </w:r>
          </w:p>
        </w:tc>
      </w:tr>
      <w:tr w:rsidR="00E82BE0" w:rsidRPr="00A25283" w14:paraId="7B706F6C"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45B3E43" w14:textId="77777777" w:rsidR="00E82BE0" w:rsidRPr="00C97640" w:rsidRDefault="00E82BE0" w:rsidP="00E86509">
            <w:pPr>
              <w:spacing w:after="0" w:line="240" w:lineRule="auto"/>
              <w:jc w:val="center"/>
              <w:rPr>
                <w:rFonts w:ascii="Times New Roman" w:hAnsi="Times New Roman"/>
                <w:color w:val="auto"/>
              </w:rPr>
            </w:pPr>
            <w:r w:rsidRPr="00C97640">
              <w:rPr>
                <w:rFonts w:ascii="Times New Roman" w:hAnsi="Times New Roman"/>
                <w:color w:val="auto"/>
              </w:rPr>
              <w:t>SYTUACJA DOCHODOWA, WARUNKI BYTU, W TYM WARUNKI MIESZKANIOWE – DANE ZA 2019 R,</w:t>
            </w:r>
          </w:p>
        </w:tc>
      </w:tr>
      <w:tr w:rsidR="00E82BE0" w:rsidRPr="00A25283" w14:paraId="050ED557" w14:textId="77777777" w:rsidTr="009E1ACE">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236F6F55" w14:textId="027F5CA5" w:rsidR="00E82BE0" w:rsidRPr="00C97640" w:rsidRDefault="00E82BE0" w:rsidP="009E1ACE">
            <w:pPr>
              <w:spacing w:after="0" w:line="240" w:lineRule="auto"/>
              <w:rPr>
                <w:rFonts w:ascii="Times New Roman" w:hAnsi="Times New Roman"/>
                <w:b w:val="0"/>
                <w:color w:val="auto"/>
              </w:rPr>
            </w:pPr>
            <w:r w:rsidRPr="00C97640">
              <w:rPr>
                <w:rFonts w:ascii="Times New Roman" w:hAnsi="Times New Roman"/>
                <w:b w:val="0"/>
                <w:color w:val="auto"/>
              </w:rPr>
              <w:t>W 2019</w:t>
            </w:r>
            <w:r w:rsidR="009E1ACE">
              <w:rPr>
                <w:rFonts w:ascii="Times New Roman" w:hAnsi="Times New Roman"/>
                <w:b w:val="0"/>
                <w:color w:val="auto"/>
              </w:rPr>
              <w:t xml:space="preserve"> r. </w:t>
            </w:r>
            <w:r w:rsidRPr="00C97640">
              <w:rPr>
                <w:rFonts w:ascii="Times New Roman" w:hAnsi="Times New Roman"/>
                <w:b w:val="0"/>
                <w:color w:val="auto"/>
              </w:rPr>
              <w:t xml:space="preserve"> gospodarstwa domowe osiągały wyższe dochody i w porównaniu z rokiem poprzednim również nieco więcej wydawały. Poziom przeciętnego miesięcznego dochodu rozporządzalnego na osobę w zaokrągleniu do 1 zł wyniósł w 2019 r. 1819 zł i był realnie wyższy o 5,0% od dochodu z 2018</w:t>
            </w:r>
            <w:r w:rsidR="009E1ACE">
              <w:rPr>
                <w:rFonts w:ascii="Times New Roman" w:hAnsi="Times New Roman"/>
                <w:b w:val="0"/>
                <w:color w:val="auto"/>
              </w:rPr>
              <w:t xml:space="preserve"> r</w:t>
            </w:r>
            <w:r w:rsidRPr="00C97640">
              <w:rPr>
                <w:rFonts w:ascii="Times New Roman" w:hAnsi="Times New Roman"/>
                <w:b w:val="0"/>
                <w:color w:val="auto"/>
              </w:rPr>
              <w:t>. Przeciętne miesięczne wydatki na 1 osobę w gospodarstwach domowych osiągnęły w 2019 r. wartość 1252 zł i były realnie wyższ</w:t>
            </w:r>
            <w:r w:rsidR="009E1ACE">
              <w:rPr>
                <w:rFonts w:ascii="Times New Roman" w:hAnsi="Times New Roman"/>
                <w:b w:val="0"/>
                <w:color w:val="auto"/>
              </w:rPr>
              <w:t>e o 3,1% od wydatków z 2018 r</w:t>
            </w:r>
            <w:r w:rsidRPr="00C97640">
              <w:rPr>
                <w:rFonts w:ascii="Times New Roman" w:hAnsi="Times New Roman"/>
                <w:b w:val="0"/>
                <w:color w:val="auto"/>
              </w:rPr>
              <w:t>. Wydatki na towary i usługi konsumpcyjne wyniosły 1201 zł i były realnie wyższe o 3,3% w stosunku do 2018 r.</w:t>
            </w:r>
          </w:p>
        </w:tc>
      </w:tr>
      <w:tr w:rsidR="00E82BE0" w:rsidRPr="00A25283" w14:paraId="1E8E6416"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51B2CB2" w14:textId="77777777" w:rsidR="00E82BE0" w:rsidRPr="00C97640" w:rsidRDefault="00E82BE0" w:rsidP="00E86509">
            <w:pPr>
              <w:spacing w:after="0" w:line="240" w:lineRule="auto"/>
              <w:rPr>
                <w:rFonts w:ascii="Times New Roman" w:hAnsi="Times New Roman"/>
                <w:color w:val="auto"/>
              </w:rPr>
            </w:pPr>
            <w:r w:rsidRPr="00C97640">
              <w:rPr>
                <w:rFonts w:ascii="Times New Roman" w:hAnsi="Times New Roman"/>
                <w:color w:val="auto"/>
              </w:rPr>
              <w:t>USŁUGI SPOŁECZNE DLA OSÓB STARSZYCH / INFRASTRUKTURA POMOCY SPOLECZNEJ – DANE ZA 2019 R.</w:t>
            </w:r>
          </w:p>
        </w:tc>
      </w:tr>
      <w:tr w:rsidR="00E82BE0" w:rsidRPr="00A25283" w14:paraId="57E2D822"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7A2550A" w14:textId="77777777" w:rsidR="00E82BE0" w:rsidRPr="00C97640" w:rsidRDefault="00E82BE0" w:rsidP="00E86509">
            <w:pPr>
              <w:spacing w:after="0" w:line="240" w:lineRule="auto"/>
              <w:rPr>
                <w:rFonts w:ascii="Times New Roman" w:eastAsia="Times New Roman" w:hAnsi="Times New Roman"/>
                <w:b w:val="0"/>
                <w:bCs w:val="0"/>
                <w:color w:val="auto"/>
                <w:lang w:eastAsia="pl-PL"/>
              </w:rPr>
            </w:pPr>
            <w:r w:rsidRPr="00C97640">
              <w:rPr>
                <w:rFonts w:ascii="Times New Roman" w:eastAsia="Times New Roman" w:hAnsi="Times New Roman"/>
                <w:color w:val="auto"/>
                <w:lang w:eastAsia="pl-PL"/>
              </w:rPr>
              <w:t>Instytucje pomocy społecznej, w tym:</w:t>
            </w: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9A5518E"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C97640">
              <w:rPr>
                <w:rFonts w:ascii="Times New Roman" w:hAnsi="Times New Roman"/>
                <w:b/>
                <w:color w:val="auto"/>
              </w:rPr>
              <w:t>Rodzaj placówki</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6365DCC"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C97640">
              <w:rPr>
                <w:rFonts w:ascii="Times New Roman" w:hAnsi="Times New Roman"/>
                <w:b/>
                <w:color w:val="auto"/>
              </w:rPr>
              <w:t>Liczba placówek</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EB93135"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C97640">
              <w:rPr>
                <w:rFonts w:ascii="Times New Roman" w:hAnsi="Times New Roman"/>
                <w:b/>
                <w:color w:val="auto"/>
              </w:rPr>
              <w:t>Liczba miejsc dla osób starszych</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1A1666A"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C97640">
              <w:rPr>
                <w:rFonts w:ascii="Times New Roman" w:hAnsi="Times New Roman"/>
                <w:b/>
                <w:color w:val="auto"/>
              </w:rPr>
              <w:t>Liczba korzystających osób starszych*</w:t>
            </w:r>
          </w:p>
        </w:tc>
      </w:tr>
      <w:tr w:rsidR="00E82BE0" w:rsidRPr="00A25283" w14:paraId="50EE7A43"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48A7249"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3E4F1D81"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Ośrodki wsparcia ogółem</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7C2BC689"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117</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366C6C75"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w:t>
            </w:r>
            <w:r w:rsidR="00571781" w:rsidRPr="00C97640">
              <w:rPr>
                <w:rFonts w:ascii="Times New Roman" w:hAnsi="Times New Roman"/>
                <w:color w:val="auto"/>
              </w:rPr>
              <w:t xml:space="preserve"> </w:t>
            </w:r>
            <w:r w:rsidRPr="00C97640">
              <w:rPr>
                <w:rFonts w:ascii="Times New Roman" w:hAnsi="Times New Roman"/>
                <w:color w:val="auto"/>
              </w:rPr>
              <w:t>293</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7889938D"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7</w:t>
            </w:r>
            <w:r w:rsidR="00571781" w:rsidRPr="00C97640">
              <w:rPr>
                <w:rFonts w:ascii="Times New Roman" w:hAnsi="Times New Roman"/>
                <w:color w:val="auto"/>
              </w:rPr>
              <w:t xml:space="preserve"> </w:t>
            </w:r>
            <w:r w:rsidRPr="00C97640">
              <w:rPr>
                <w:rFonts w:ascii="Times New Roman" w:hAnsi="Times New Roman"/>
                <w:color w:val="auto"/>
              </w:rPr>
              <w:t>709</w:t>
            </w:r>
          </w:p>
        </w:tc>
      </w:tr>
      <w:tr w:rsidR="00E82BE0" w:rsidRPr="00A25283" w14:paraId="4077AB30"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7D547DC"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11911"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C32B5DC"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w tym:</w:t>
            </w:r>
          </w:p>
        </w:tc>
      </w:tr>
      <w:tr w:rsidR="00E82BE0" w:rsidRPr="00A25283" w14:paraId="35272C71"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9EF2A6D"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73B7734"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Środowiskowe Domy Samopomocy</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F58FD67"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35</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3FE2777"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w:t>
            </w:r>
            <w:r w:rsidR="00571781" w:rsidRPr="00C97640">
              <w:rPr>
                <w:rFonts w:ascii="Times New Roman" w:hAnsi="Times New Roman"/>
                <w:color w:val="auto"/>
              </w:rPr>
              <w:t xml:space="preserve"> </w:t>
            </w:r>
            <w:r w:rsidRPr="00C97640">
              <w:rPr>
                <w:rFonts w:ascii="Times New Roman" w:hAnsi="Times New Roman"/>
                <w:color w:val="auto"/>
              </w:rPr>
              <w:t>532</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83CF245"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w:t>
            </w:r>
            <w:r w:rsidR="00571781" w:rsidRPr="00C97640">
              <w:rPr>
                <w:rFonts w:ascii="Times New Roman" w:hAnsi="Times New Roman"/>
                <w:color w:val="auto"/>
              </w:rPr>
              <w:t xml:space="preserve"> </w:t>
            </w:r>
            <w:r w:rsidRPr="00C97640">
              <w:rPr>
                <w:rFonts w:ascii="Times New Roman" w:hAnsi="Times New Roman"/>
                <w:color w:val="auto"/>
              </w:rPr>
              <w:t>636</w:t>
            </w:r>
          </w:p>
        </w:tc>
      </w:tr>
      <w:tr w:rsidR="00E82BE0" w:rsidRPr="00A25283" w14:paraId="7E03ACE9"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AE0A9B1"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7DABF72"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Dzienne Domy Pomocy</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DEF5193"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41</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1197A73"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w:t>
            </w:r>
            <w:r w:rsidR="00571781" w:rsidRPr="00C97640">
              <w:rPr>
                <w:rFonts w:ascii="Times New Roman" w:hAnsi="Times New Roman"/>
                <w:color w:val="auto"/>
              </w:rPr>
              <w:t xml:space="preserve"> </w:t>
            </w:r>
            <w:r w:rsidRPr="00C97640">
              <w:rPr>
                <w:rFonts w:ascii="Times New Roman" w:hAnsi="Times New Roman"/>
                <w:color w:val="auto"/>
              </w:rPr>
              <w:t>768</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97B65F8"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w:t>
            </w:r>
            <w:r w:rsidR="00571781" w:rsidRPr="00C97640">
              <w:rPr>
                <w:rFonts w:ascii="Times New Roman" w:hAnsi="Times New Roman"/>
                <w:color w:val="auto"/>
              </w:rPr>
              <w:t xml:space="preserve"> </w:t>
            </w:r>
            <w:r w:rsidRPr="00C97640">
              <w:rPr>
                <w:rFonts w:ascii="Times New Roman" w:hAnsi="Times New Roman"/>
                <w:color w:val="auto"/>
              </w:rPr>
              <w:t>130</w:t>
            </w:r>
          </w:p>
        </w:tc>
      </w:tr>
      <w:tr w:rsidR="00E82BE0" w:rsidRPr="00A25283" w14:paraId="099DBAA2"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E0D7455"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534CD4E"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Noclegownie, schroniska i domy dla osób bezdomnych</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5B4D685"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12</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596741A"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618</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7F0BD60"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w:t>
            </w:r>
            <w:r w:rsidR="00571781" w:rsidRPr="00C97640">
              <w:rPr>
                <w:rFonts w:ascii="Times New Roman" w:hAnsi="Times New Roman"/>
                <w:color w:val="auto"/>
              </w:rPr>
              <w:t xml:space="preserve"> </w:t>
            </w:r>
            <w:r w:rsidRPr="00C97640">
              <w:rPr>
                <w:rFonts w:ascii="Times New Roman" w:hAnsi="Times New Roman"/>
                <w:color w:val="auto"/>
              </w:rPr>
              <w:t>035</w:t>
            </w:r>
          </w:p>
        </w:tc>
      </w:tr>
      <w:tr w:rsidR="00E82BE0" w:rsidRPr="00A25283" w14:paraId="5DCB8ABC"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30D9985"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BC72D6D"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Ogrzewalnie</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3268B96"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3</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8C5D3EE"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35</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8603484"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219</w:t>
            </w:r>
          </w:p>
        </w:tc>
      </w:tr>
      <w:tr w:rsidR="00E82BE0" w:rsidRPr="00A25283" w14:paraId="0FC56733"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49645E1"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403C50B"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Kluby Samopomocy</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FAB1DF2"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2A8BCEE"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50</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E64E581"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52</w:t>
            </w:r>
          </w:p>
        </w:tc>
      </w:tr>
      <w:tr w:rsidR="00E82BE0" w:rsidRPr="00A25283" w14:paraId="0B90F178"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314C122"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E41F244"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Placówki zapewniające całodobową opiekę osobom niepełnosprawnym, przewlekle chorym lub osobom w podeszłym wieku</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2F80E64"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314CFD8D"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71A7E15D"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31</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07D9024"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7C0F8985"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7B1BA85A"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w:t>
            </w:r>
            <w:r w:rsidR="00571781" w:rsidRPr="00C97640">
              <w:rPr>
                <w:rFonts w:ascii="Times New Roman" w:hAnsi="Times New Roman"/>
                <w:color w:val="auto"/>
              </w:rPr>
              <w:t xml:space="preserve"> </w:t>
            </w:r>
            <w:r w:rsidRPr="00C97640">
              <w:rPr>
                <w:rFonts w:ascii="Times New Roman" w:hAnsi="Times New Roman"/>
                <w:color w:val="auto"/>
              </w:rPr>
              <w:t>031</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F167A68"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4C62CF68"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05BBAAB7"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282</w:t>
            </w:r>
          </w:p>
        </w:tc>
      </w:tr>
      <w:tr w:rsidR="00E82BE0" w:rsidRPr="00A25283" w14:paraId="18E6F30A"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28C4AE8"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22769A"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Domy Pomocy Społecznej</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42CE75C"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55</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9B4802C"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6</w:t>
            </w:r>
            <w:r w:rsidR="00571781" w:rsidRPr="00C97640">
              <w:rPr>
                <w:rFonts w:ascii="Times New Roman" w:hAnsi="Times New Roman"/>
                <w:color w:val="auto"/>
              </w:rPr>
              <w:t xml:space="preserve"> </w:t>
            </w:r>
            <w:r w:rsidRPr="00C97640">
              <w:rPr>
                <w:rFonts w:ascii="Times New Roman" w:hAnsi="Times New Roman"/>
                <w:color w:val="auto"/>
              </w:rPr>
              <w:t>211</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CA60A53"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7</w:t>
            </w:r>
            <w:r w:rsidR="00571781" w:rsidRPr="00C97640">
              <w:rPr>
                <w:rFonts w:ascii="Times New Roman" w:hAnsi="Times New Roman"/>
                <w:color w:val="auto"/>
              </w:rPr>
              <w:t xml:space="preserve"> </w:t>
            </w:r>
            <w:r w:rsidRPr="00C97640">
              <w:rPr>
                <w:rFonts w:ascii="Times New Roman" w:hAnsi="Times New Roman"/>
                <w:color w:val="auto"/>
              </w:rPr>
              <w:t>143</w:t>
            </w:r>
          </w:p>
        </w:tc>
      </w:tr>
      <w:tr w:rsidR="00E82BE0" w:rsidRPr="00A25283" w14:paraId="71FF52C5"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F0674C9"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5BB3F06"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Mieszkania chronione ogółem</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B6DBAB2"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59</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BA01FA0"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197</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8E9F23F"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179</w:t>
            </w:r>
          </w:p>
        </w:tc>
      </w:tr>
      <w:tr w:rsidR="00E82BE0" w:rsidRPr="00A25283" w14:paraId="08ECDDD0"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B174161"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6342324"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Ośrodki Interwencji Kryzysowej ogółem</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935147D"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8</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45FD55B"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14</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B88C4A6"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3</w:t>
            </w:r>
            <w:r w:rsidR="00571781" w:rsidRPr="00C97640">
              <w:rPr>
                <w:rFonts w:ascii="Times New Roman" w:hAnsi="Times New Roman"/>
                <w:color w:val="auto"/>
              </w:rPr>
              <w:t xml:space="preserve"> </w:t>
            </w:r>
            <w:r w:rsidRPr="00C97640">
              <w:rPr>
                <w:rFonts w:ascii="Times New Roman" w:hAnsi="Times New Roman"/>
                <w:color w:val="auto"/>
              </w:rPr>
              <w:t>379</w:t>
            </w:r>
          </w:p>
        </w:tc>
      </w:tr>
      <w:tr w:rsidR="00E82BE0" w:rsidRPr="00A25283" w14:paraId="3072B49F"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2062F4F"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251ACC3"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Jednostki specjalistycznego poradnictwa</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25D7E1F"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7</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7BC4E77"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x</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E1B17F4"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w:t>
            </w:r>
            <w:r w:rsidR="00571781" w:rsidRPr="00C97640">
              <w:rPr>
                <w:rFonts w:ascii="Times New Roman" w:hAnsi="Times New Roman"/>
                <w:color w:val="auto"/>
              </w:rPr>
              <w:t xml:space="preserve"> </w:t>
            </w:r>
            <w:r w:rsidRPr="00C97640">
              <w:rPr>
                <w:rFonts w:ascii="Times New Roman" w:hAnsi="Times New Roman"/>
                <w:color w:val="auto"/>
              </w:rPr>
              <w:t>518</w:t>
            </w:r>
          </w:p>
        </w:tc>
      </w:tr>
      <w:tr w:rsidR="00E82BE0" w:rsidRPr="00A25283" w14:paraId="1D9ABB8B"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95669BE"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323716B"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Placówki Senior+, w tym:</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1C2F614" w14:textId="77777777" w:rsidR="00E82BE0" w:rsidRPr="00C97640" w:rsidRDefault="00E82BE0" w:rsidP="00E86509">
            <w:pPr>
              <w:tabs>
                <w:tab w:val="center" w:pos="4314"/>
                <w:tab w:val="left" w:pos="720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25</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F673FCB" w14:textId="77777777" w:rsidR="00E82BE0" w:rsidRPr="00C97640" w:rsidRDefault="00E82BE0" w:rsidP="00E86509">
            <w:pPr>
              <w:tabs>
                <w:tab w:val="center" w:pos="4314"/>
                <w:tab w:val="left" w:pos="720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543</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707497A" w14:textId="77777777" w:rsidR="00E82BE0" w:rsidRPr="00C97640" w:rsidRDefault="00E82BE0" w:rsidP="00E86509">
            <w:pPr>
              <w:tabs>
                <w:tab w:val="center" w:pos="4314"/>
                <w:tab w:val="left" w:pos="720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531</w:t>
            </w:r>
          </w:p>
        </w:tc>
      </w:tr>
      <w:tr w:rsidR="00E82BE0" w:rsidRPr="00A25283" w14:paraId="021AB523"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4197E64"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1129353"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 xml:space="preserve">Kluby Senior+ </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0AABE8D"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13</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15D1A89"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245</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BCFE897"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183</w:t>
            </w:r>
          </w:p>
        </w:tc>
      </w:tr>
      <w:tr w:rsidR="00E82BE0" w:rsidRPr="00A25283" w14:paraId="0BF2FDED" w14:textId="77777777" w:rsidTr="00E86509">
        <w:trPr>
          <w:trHeight w:val="85"/>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5A3AFBE"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399F66E" w14:textId="77777777" w:rsidR="00E82BE0" w:rsidRPr="00C97640" w:rsidRDefault="00E82BE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Domy Dziennego Pobytu</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48F7B61"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41</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F7D1287"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1777</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C3C9A2A" w14:textId="77777777" w:rsidR="00E82BE0" w:rsidRPr="00C97640" w:rsidRDefault="00E82BE0"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2</w:t>
            </w:r>
            <w:r w:rsidR="00571781" w:rsidRPr="00C97640">
              <w:rPr>
                <w:rFonts w:ascii="Times New Roman" w:hAnsi="Times New Roman"/>
                <w:color w:val="auto"/>
              </w:rPr>
              <w:t xml:space="preserve"> </w:t>
            </w:r>
            <w:r w:rsidRPr="00C97640">
              <w:rPr>
                <w:rFonts w:ascii="Times New Roman" w:hAnsi="Times New Roman"/>
                <w:color w:val="auto"/>
              </w:rPr>
              <w:t>580</w:t>
            </w:r>
          </w:p>
        </w:tc>
      </w:tr>
      <w:tr w:rsidR="00E82BE0" w:rsidRPr="00A25283" w14:paraId="3A1565CA"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4041736" w14:textId="77777777" w:rsidR="00E82BE0" w:rsidRPr="00C97640" w:rsidRDefault="00E82BE0" w:rsidP="00E86509">
            <w:pPr>
              <w:spacing w:after="0" w:line="240" w:lineRule="auto"/>
              <w:rPr>
                <w:rFonts w:ascii="Times New Roman" w:eastAsia="Times New Roman" w:hAnsi="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BFB293E" w14:textId="77777777" w:rsidR="00E82BE0" w:rsidRPr="00C97640" w:rsidRDefault="00E82BE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Hospicja stacjonarne</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D69F2F5"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0</w:t>
            </w:r>
          </w:p>
        </w:tc>
        <w:tc>
          <w:tcPr>
            <w:tcW w:w="2948"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49A8D20"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0</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824E295" w14:textId="77777777" w:rsidR="00E82BE0" w:rsidRPr="00C97640" w:rsidRDefault="00E82BE0"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97640">
              <w:rPr>
                <w:rFonts w:ascii="Times New Roman" w:hAnsi="Times New Roman"/>
                <w:color w:val="auto"/>
              </w:rPr>
              <w:t>0</w:t>
            </w:r>
          </w:p>
        </w:tc>
      </w:tr>
    </w:tbl>
    <w:tbl>
      <w:tblPr>
        <w:tblStyle w:val="Tabelasiatki6kolorowaakcent1"/>
        <w:tblpPr w:leftFromText="141" w:rightFromText="141" w:vertAnchor="text" w:horzAnchor="margin" w:tblpX="-147" w:tblpY="1549"/>
        <w:tblOverlap w:val="never"/>
        <w:tblW w:w="14737"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29"/>
        <w:gridCol w:w="2976"/>
        <w:gridCol w:w="3973"/>
        <w:gridCol w:w="4959"/>
      </w:tblGrid>
      <w:tr w:rsidR="00FD10EA" w:rsidRPr="001B7AE5" w14:paraId="48E18FD8" w14:textId="77777777" w:rsidTr="000B7941">
        <w:trPr>
          <w:cnfStyle w:val="100000000000" w:firstRow="1" w:lastRow="0" w:firstColumn="0" w:lastColumn="0" w:oddVBand="0" w:evenVBand="0" w:oddHBand="0"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Borders>
              <w:bottom w:val="none" w:sz="0" w:space="0" w:color="auto"/>
            </w:tcBorders>
            <w:shd w:val="clear" w:color="auto" w:fill="9CC2E5" w:themeFill="accent1" w:themeFillTint="99"/>
          </w:tcPr>
          <w:p w14:paraId="61EED35E" w14:textId="77777777" w:rsidR="001B7AE5" w:rsidRPr="00B7046C" w:rsidRDefault="001B7AE5" w:rsidP="00CB509F">
            <w:pPr>
              <w:pStyle w:val="Akapitzlist"/>
              <w:numPr>
                <w:ilvl w:val="0"/>
                <w:numId w:val="1"/>
              </w:numPr>
              <w:spacing w:after="0"/>
              <w:rPr>
                <w:rFonts w:ascii="Times New Roman" w:eastAsia="Times New Roman" w:hAnsi="Times New Roman"/>
                <w:color w:val="auto"/>
                <w:lang w:eastAsia="pl-PL"/>
              </w:rPr>
            </w:pPr>
            <w:r w:rsidRPr="00B7046C">
              <w:rPr>
                <w:rFonts w:ascii="Times New Roman" w:eastAsia="Times New Roman" w:hAnsi="Times New Roman"/>
                <w:color w:val="auto"/>
                <w:lang w:eastAsia="pl-PL"/>
              </w:rPr>
              <w:t>Usługi świadczone osobom starszym</w:t>
            </w:r>
          </w:p>
        </w:tc>
        <w:tc>
          <w:tcPr>
            <w:tcW w:w="2977" w:type="dxa"/>
            <w:tcBorders>
              <w:bottom w:val="none" w:sz="0" w:space="0" w:color="auto"/>
            </w:tcBorders>
            <w:shd w:val="clear" w:color="auto" w:fill="9CC2E5" w:themeFill="accent1" w:themeFillTint="99"/>
          </w:tcPr>
          <w:p w14:paraId="222FA6F3" w14:textId="77777777" w:rsidR="001B7AE5" w:rsidRPr="00B7046C" w:rsidRDefault="001B7AE5" w:rsidP="00FD10E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rPr>
            </w:pPr>
            <w:r w:rsidRPr="00B7046C">
              <w:rPr>
                <w:rFonts w:ascii="Times New Roman" w:hAnsi="Times New Roman"/>
                <w:color w:val="auto"/>
              </w:rPr>
              <w:t>Rodzaj usług</w:t>
            </w:r>
          </w:p>
        </w:tc>
        <w:tc>
          <w:tcPr>
            <w:tcW w:w="3974" w:type="dxa"/>
            <w:tcBorders>
              <w:bottom w:val="none" w:sz="0" w:space="0" w:color="auto"/>
            </w:tcBorders>
            <w:shd w:val="clear" w:color="auto" w:fill="9CC2E5" w:themeFill="accent1" w:themeFillTint="99"/>
          </w:tcPr>
          <w:p w14:paraId="19247E0A" w14:textId="77777777" w:rsidR="001B7AE5" w:rsidRPr="00B7046C" w:rsidRDefault="001B7AE5" w:rsidP="00FD10E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rPr>
            </w:pPr>
            <w:r w:rsidRPr="00B7046C">
              <w:rPr>
                <w:rFonts w:ascii="Times New Roman" w:hAnsi="Times New Roman"/>
                <w:color w:val="auto"/>
              </w:rPr>
              <w:t>Liczba osób starszych objętych pomocą</w:t>
            </w:r>
          </w:p>
        </w:tc>
        <w:tc>
          <w:tcPr>
            <w:tcW w:w="4956" w:type="dxa"/>
            <w:tcBorders>
              <w:bottom w:val="none" w:sz="0" w:space="0" w:color="auto"/>
            </w:tcBorders>
            <w:shd w:val="clear" w:color="auto" w:fill="9CC2E5" w:themeFill="accent1" w:themeFillTint="99"/>
          </w:tcPr>
          <w:p w14:paraId="2803FD3B" w14:textId="77777777" w:rsidR="001B7AE5" w:rsidRPr="00B7046C" w:rsidRDefault="001B7AE5" w:rsidP="00FD10E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 xml:space="preserve">Wysokość środków przeznaczonych na usługi </w:t>
            </w:r>
          </w:p>
          <w:p w14:paraId="3C1691BB" w14:textId="77777777" w:rsidR="001B7AE5" w:rsidRPr="00B7046C" w:rsidRDefault="001B7AE5" w:rsidP="00FD10EA">
            <w:pPr>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color w:val="auto"/>
              </w:rPr>
            </w:pPr>
            <w:r w:rsidRPr="00B7046C">
              <w:rPr>
                <w:rFonts w:ascii="Times New Roman" w:hAnsi="Times New Roman"/>
                <w:color w:val="auto"/>
              </w:rPr>
              <w:t>(w zł)</w:t>
            </w:r>
          </w:p>
        </w:tc>
      </w:tr>
      <w:tr w:rsidR="001B7AE5" w:rsidRPr="001B7AE5" w14:paraId="0681677A" w14:textId="77777777" w:rsidTr="000B7941">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058344D" w14:textId="77777777" w:rsidR="001B7AE5" w:rsidRPr="00B7046C" w:rsidRDefault="001B7AE5" w:rsidP="00FD10EA">
            <w:pPr>
              <w:spacing w:after="0"/>
              <w:rPr>
                <w:rFonts w:ascii="Times New Roman" w:eastAsia="Times New Roman" w:hAnsi="Times New Roman"/>
                <w:b w:val="0"/>
                <w:bCs w:val="0"/>
                <w:color w:val="auto"/>
                <w:lang w:eastAsia="pl-PL"/>
              </w:rPr>
            </w:pPr>
          </w:p>
        </w:tc>
        <w:tc>
          <w:tcPr>
            <w:tcW w:w="2977" w:type="dxa"/>
            <w:shd w:val="clear" w:color="auto" w:fill="FFFFFF" w:themeFill="background1"/>
          </w:tcPr>
          <w:p w14:paraId="22DB37DB" w14:textId="1468BFB7" w:rsidR="001B7AE5" w:rsidRPr="00B7046C" w:rsidRDefault="00E5701D" w:rsidP="00FD10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Usługi o</w:t>
            </w:r>
            <w:r w:rsidR="001B7AE5" w:rsidRPr="00B7046C">
              <w:rPr>
                <w:rFonts w:ascii="Times New Roman" w:hAnsi="Times New Roman"/>
                <w:color w:val="auto"/>
              </w:rPr>
              <w:t>piekuńcze ogółem</w:t>
            </w:r>
          </w:p>
        </w:tc>
        <w:tc>
          <w:tcPr>
            <w:tcW w:w="3974" w:type="dxa"/>
            <w:shd w:val="clear" w:color="auto" w:fill="FFFFFF" w:themeFill="background1"/>
          </w:tcPr>
          <w:p w14:paraId="4EFA83C8" w14:textId="77777777" w:rsidR="001B7AE5" w:rsidRPr="00B7046C" w:rsidRDefault="001B7AE5" w:rsidP="00FD10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6561</w:t>
            </w:r>
          </w:p>
        </w:tc>
        <w:tc>
          <w:tcPr>
            <w:tcW w:w="4956" w:type="dxa"/>
            <w:shd w:val="clear" w:color="auto" w:fill="FFFFFF" w:themeFill="background1"/>
          </w:tcPr>
          <w:p w14:paraId="7B9E6479" w14:textId="77777777" w:rsidR="001B7AE5" w:rsidRPr="00B7046C" w:rsidRDefault="001B7AE5" w:rsidP="00FD10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36</w:t>
            </w:r>
            <w:r w:rsidR="00FD10EA" w:rsidRPr="00B7046C">
              <w:rPr>
                <w:rFonts w:ascii="Times New Roman" w:hAnsi="Times New Roman"/>
                <w:color w:val="auto"/>
              </w:rPr>
              <w:t xml:space="preserve"> </w:t>
            </w:r>
            <w:r w:rsidRPr="00B7046C">
              <w:rPr>
                <w:rFonts w:ascii="Times New Roman" w:hAnsi="Times New Roman"/>
                <w:color w:val="auto"/>
              </w:rPr>
              <w:t>336</w:t>
            </w:r>
            <w:r w:rsidR="00FD10EA" w:rsidRPr="00B7046C">
              <w:rPr>
                <w:rFonts w:ascii="Times New Roman" w:hAnsi="Times New Roman"/>
                <w:color w:val="auto"/>
              </w:rPr>
              <w:t xml:space="preserve"> </w:t>
            </w:r>
            <w:r w:rsidRPr="00B7046C">
              <w:rPr>
                <w:rFonts w:ascii="Times New Roman" w:hAnsi="Times New Roman"/>
                <w:color w:val="auto"/>
              </w:rPr>
              <w:t>348</w:t>
            </w:r>
          </w:p>
        </w:tc>
      </w:tr>
      <w:tr w:rsidR="000B7941" w:rsidRPr="001B7AE5" w14:paraId="2857B10D" w14:textId="77777777" w:rsidTr="000B7941">
        <w:trPr>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D6B6DFE" w14:textId="77777777" w:rsidR="001B7AE5" w:rsidRPr="00B7046C" w:rsidRDefault="001B7AE5" w:rsidP="00FD10EA">
            <w:pPr>
              <w:spacing w:after="0"/>
              <w:rPr>
                <w:rFonts w:ascii="Times New Roman" w:eastAsia="Times New Roman" w:hAnsi="Times New Roman"/>
                <w:b w:val="0"/>
                <w:bCs w:val="0"/>
                <w:color w:val="auto"/>
                <w:lang w:eastAsia="pl-PL"/>
              </w:rPr>
            </w:pPr>
          </w:p>
        </w:tc>
        <w:tc>
          <w:tcPr>
            <w:tcW w:w="2977" w:type="dxa"/>
            <w:shd w:val="clear" w:color="auto" w:fill="FFFFFF" w:themeFill="background1"/>
          </w:tcPr>
          <w:p w14:paraId="0D67655F" w14:textId="77777777" w:rsidR="001B7AE5" w:rsidRPr="00B7046C" w:rsidRDefault="001B7AE5" w:rsidP="00FD10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w tym:</w:t>
            </w:r>
          </w:p>
        </w:tc>
        <w:tc>
          <w:tcPr>
            <w:tcW w:w="8930" w:type="dxa"/>
            <w:gridSpan w:val="2"/>
            <w:shd w:val="clear" w:color="auto" w:fill="FFFFFF" w:themeFill="background1"/>
          </w:tcPr>
          <w:p w14:paraId="52A8948C" w14:textId="77777777" w:rsidR="001B7AE5" w:rsidRPr="00B7046C" w:rsidRDefault="001B7AE5" w:rsidP="00FD10E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tc>
      </w:tr>
      <w:tr w:rsidR="001B7AE5" w:rsidRPr="001B7AE5" w14:paraId="3114B750" w14:textId="77777777" w:rsidTr="000B7941">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73012AB" w14:textId="77777777" w:rsidR="001B7AE5" w:rsidRPr="00B7046C" w:rsidRDefault="001B7AE5" w:rsidP="00FD10EA">
            <w:pPr>
              <w:spacing w:after="0"/>
              <w:rPr>
                <w:rFonts w:ascii="Times New Roman" w:eastAsia="Times New Roman" w:hAnsi="Times New Roman"/>
                <w:b w:val="0"/>
                <w:bCs w:val="0"/>
                <w:color w:val="auto"/>
                <w:lang w:eastAsia="pl-PL"/>
              </w:rPr>
            </w:pPr>
          </w:p>
        </w:tc>
        <w:tc>
          <w:tcPr>
            <w:tcW w:w="2977" w:type="dxa"/>
            <w:shd w:val="clear" w:color="auto" w:fill="FFFFFF" w:themeFill="background1"/>
          </w:tcPr>
          <w:p w14:paraId="1A4906E3" w14:textId="06AD8A27" w:rsidR="001B7AE5" w:rsidRPr="00B7046C" w:rsidRDefault="00E5701D" w:rsidP="00FD10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1B7AE5" w:rsidRPr="00B7046C">
              <w:rPr>
                <w:rFonts w:ascii="Times New Roman" w:hAnsi="Times New Roman"/>
                <w:color w:val="auto"/>
              </w:rPr>
              <w:t xml:space="preserve">pecjalistyczne </w:t>
            </w:r>
            <w:r>
              <w:rPr>
                <w:rFonts w:ascii="Times New Roman" w:hAnsi="Times New Roman"/>
                <w:color w:val="auto"/>
              </w:rPr>
              <w:t xml:space="preserve">usługi </w:t>
            </w:r>
            <w:r w:rsidR="001B7AE5" w:rsidRPr="00B7046C">
              <w:rPr>
                <w:rFonts w:ascii="Times New Roman" w:hAnsi="Times New Roman"/>
                <w:color w:val="auto"/>
              </w:rPr>
              <w:t>opiekuńcze</w:t>
            </w:r>
          </w:p>
        </w:tc>
        <w:tc>
          <w:tcPr>
            <w:tcW w:w="3974" w:type="dxa"/>
            <w:shd w:val="clear" w:color="auto" w:fill="FFFFFF" w:themeFill="background1"/>
          </w:tcPr>
          <w:p w14:paraId="7E99E0FE" w14:textId="77777777" w:rsidR="001B7AE5" w:rsidRPr="00B7046C" w:rsidRDefault="001B7AE5" w:rsidP="00FD10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105</w:t>
            </w:r>
          </w:p>
        </w:tc>
        <w:tc>
          <w:tcPr>
            <w:tcW w:w="4956" w:type="dxa"/>
            <w:shd w:val="clear" w:color="auto" w:fill="FFFFFF" w:themeFill="background1"/>
          </w:tcPr>
          <w:p w14:paraId="705968C1" w14:textId="77777777" w:rsidR="001B7AE5" w:rsidRPr="00B7046C" w:rsidRDefault="001B7AE5" w:rsidP="00FD10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321</w:t>
            </w:r>
            <w:r w:rsidR="00FD10EA" w:rsidRPr="00B7046C">
              <w:rPr>
                <w:rFonts w:ascii="Times New Roman" w:hAnsi="Times New Roman"/>
                <w:color w:val="auto"/>
              </w:rPr>
              <w:t xml:space="preserve"> </w:t>
            </w:r>
            <w:r w:rsidRPr="00B7046C">
              <w:rPr>
                <w:rFonts w:ascii="Times New Roman" w:hAnsi="Times New Roman"/>
                <w:color w:val="auto"/>
              </w:rPr>
              <w:t>412</w:t>
            </w:r>
          </w:p>
        </w:tc>
      </w:tr>
      <w:tr w:rsidR="000B7941" w:rsidRPr="001B7AE5" w14:paraId="7C0DEA71" w14:textId="77777777" w:rsidTr="000B7941">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2C95401" w14:textId="77777777" w:rsidR="001B7AE5" w:rsidRPr="00B7046C" w:rsidRDefault="001B7AE5" w:rsidP="00FD10EA">
            <w:pPr>
              <w:spacing w:after="0"/>
              <w:rPr>
                <w:rFonts w:ascii="Times New Roman" w:eastAsia="Times New Roman" w:hAnsi="Times New Roman"/>
                <w:b w:val="0"/>
                <w:bCs w:val="0"/>
                <w:color w:val="auto"/>
                <w:lang w:eastAsia="pl-PL"/>
              </w:rPr>
            </w:pPr>
          </w:p>
        </w:tc>
        <w:tc>
          <w:tcPr>
            <w:tcW w:w="2977" w:type="dxa"/>
            <w:shd w:val="clear" w:color="auto" w:fill="FFFFFF" w:themeFill="background1"/>
          </w:tcPr>
          <w:p w14:paraId="00A858F9" w14:textId="68A6479F" w:rsidR="001B7AE5" w:rsidRPr="00B7046C" w:rsidRDefault="00E5701D" w:rsidP="00FD10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1B7AE5" w:rsidRPr="00B7046C">
              <w:rPr>
                <w:rFonts w:ascii="Times New Roman" w:hAnsi="Times New Roman"/>
                <w:color w:val="auto"/>
              </w:rPr>
              <w:t xml:space="preserve">pecjalistyczne usługi </w:t>
            </w:r>
            <w:r>
              <w:rPr>
                <w:rFonts w:ascii="Times New Roman" w:hAnsi="Times New Roman"/>
                <w:color w:val="auto"/>
              </w:rPr>
              <w:t xml:space="preserve">opiekuńcze w miejscu zamieszkania </w:t>
            </w:r>
            <w:r w:rsidR="001B7AE5" w:rsidRPr="00B7046C">
              <w:rPr>
                <w:rFonts w:ascii="Times New Roman" w:hAnsi="Times New Roman"/>
                <w:color w:val="auto"/>
              </w:rPr>
              <w:t>dla osób z zaburzeniami psychicznymi</w:t>
            </w:r>
          </w:p>
        </w:tc>
        <w:tc>
          <w:tcPr>
            <w:tcW w:w="3974" w:type="dxa"/>
            <w:shd w:val="clear" w:color="auto" w:fill="FFFFFF" w:themeFill="background1"/>
          </w:tcPr>
          <w:p w14:paraId="5569FB2F" w14:textId="77777777" w:rsidR="001B7AE5" w:rsidRPr="00B7046C" w:rsidRDefault="001B7AE5" w:rsidP="00FD10E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54</w:t>
            </w:r>
          </w:p>
        </w:tc>
        <w:tc>
          <w:tcPr>
            <w:tcW w:w="4956" w:type="dxa"/>
            <w:shd w:val="clear" w:color="auto" w:fill="FFFFFF" w:themeFill="background1"/>
          </w:tcPr>
          <w:p w14:paraId="5DD629C9" w14:textId="77777777" w:rsidR="001B7AE5" w:rsidRPr="00B7046C" w:rsidRDefault="001B7AE5" w:rsidP="00FD10E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592</w:t>
            </w:r>
            <w:r w:rsidR="00FD10EA" w:rsidRPr="00B7046C">
              <w:rPr>
                <w:rFonts w:ascii="Times New Roman" w:hAnsi="Times New Roman"/>
                <w:color w:val="auto"/>
              </w:rPr>
              <w:t xml:space="preserve"> </w:t>
            </w:r>
            <w:r w:rsidRPr="00B7046C">
              <w:rPr>
                <w:rFonts w:ascii="Times New Roman" w:hAnsi="Times New Roman"/>
                <w:color w:val="auto"/>
              </w:rPr>
              <w:t>540</w:t>
            </w:r>
          </w:p>
        </w:tc>
      </w:tr>
      <w:tr w:rsidR="001B7AE5" w:rsidRPr="001B7AE5" w14:paraId="165C7271" w14:textId="77777777" w:rsidTr="000B7941">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CE7FCDE" w14:textId="77777777" w:rsidR="001B7AE5" w:rsidRPr="00B7046C" w:rsidRDefault="001B7AE5" w:rsidP="00FD10EA">
            <w:pPr>
              <w:spacing w:after="0"/>
              <w:rPr>
                <w:rFonts w:ascii="Times New Roman" w:eastAsia="Times New Roman" w:hAnsi="Times New Roman"/>
                <w:b w:val="0"/>
                <w:bCs w:val="0"/>
                <w:color w:val="auto"/>
                <w:lang w:eastAsia="pl-PL"/>
              </w:rPr>
            </w:pPr>
            <w:r w:rsidRPr="00B7046C">
              <w:rPr>
                <w:rFonts w:ascii="Times New Roman" w:eastAsia="Times New Roman" w:hAnsi="Times New Roman"/>
                <w:color w:val="auto"/>
                <w:lang w:eastAsia="pl-PL"/>
              </w:rPr>
              <w:t>Świadczenia pieniężne przyznane osobom starszym</w:t>
            </w:r>
          </w:p>
        </w:tc>
        <w:tc>
          <w:tcPr>
            <w:tcW w:w="2977" w:type="dxa"/>
            <w:shd w:val="clear" w:color="auto" w:fill="9CC2E5" w:themeFill="accent1" w:themeFillTint="99"/>
          </w:tcPr>
          <w:p w14:paraId="2ADCA864" w14:textId="77777777" w:rsidR="001B7AE5" w:rsidRPr="00B7046C" w:rsidRDefault="001B7AE5" w:rsidP="00FD10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7046C">
              <w:rPr>
                <w:rFonts w:ascii="Times New Roman" w:hAnsi="Times New Roman"/>
                <w:b/>
                <w:color w:val="auto"/>
              </w:rPr>
              <w:t>Nazwa świadczenia</w:t>
            </w:r>
          </w:p>
        </w:tc>
        <w:tc>
          <w:tcPr>
            <w:tcW w:w="3974" w:type="dxa"/>
            <w:shd w:val="clear" w:color="auto" w:fill="9CC2E5" w:themeFill="accent1" w:themeFillTint="99"/>
          </w:tcPr>
          <w:p w14:paraId="6E34D2B3" w14:textId="77777777" w:rsidR="001B7AE5" w:rsidRPr="00B7046C" w:rsidRDefault="001B7AE5" w:rsidP="00FD10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7046C">
              <w:rPr>
                <w:rFonts w:ascii="Times New Roman" w:hAnsi="Times New Roman"/>
                <w:b/>
                <w:color w:val="auto"/>
              </w:rPr>
              <w:t>Liczba osób starszych</w:t>
            </w:r>
          </w:p>
        </w:tc>
        <w:tc>
          <w:tcPr>
            <w:tcW w:w="4956" w:type="dxa"/>
            <w:shd w:val="clear" w:color="auto" w:fill="9CC2E5" w:themeFill="accent1" w:themeFillTint="99"/>
          </w:tcPr>
          <w:p w14:paraId="7B841D14" w14:textId="77777777" w:rsidR="001B7AE5" w:rsidRPr="00B7046C" w:rsidRDefault="001B7AE5" w:rsidP="00FD10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7046C">
              <w:rPr>
                <w:rFonts w:ascii="Times New Roman" w:hAnsi="Times New Roman"/>
                <w:b/>
                <w:color w:val="auto"/>
              </w:rPr>
              <w:t>Kwota świadczenia</w:t>
            </w:r>
          </w:p>
        </w:tc>
      </w:tr>
      <w:tr w:rsidR="000B7941" w:rsidRPr="001B7AE5" w14:paraId="1FFE6CFA" w14:textId="77777777" w:rsidTr="000B7941">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39F1B5C" w14:textId="77777777" w:rsidR="001B7AE5" w:rsidRPr="00B7046C" w:rsidRDefault="001B7AE5" w:rsidP="00FD10EA">
            <w:pPr>
              <w:spacing w:after="0"/>
              <w:jc w:val="center"/>
              <w:rPr>
                <w:rFonts w:ascii="Times New Roman" w:eastAsia="Times New Roman" w:hAnsi="Times New Roman"/>
                <w:b w:val="0"/>
                <w:bCs w:val="0"/>
                <w:color w:val="auto"/>
                <w:lang w:eastAsia="pl-PL"/>
              </w:rPr>
            </w:pPr>
          </w:p>
        </w:tc>
        <w:tc>
          <w:tcPr>
            <w:tcW w:w="2977" w:type="dxa"/>
            <w:shd w:val="clear" w:color="auto" w:fill="FFFFFF" w:themeFill="background1"/>
          </w:tcPr>
          <w:p w14:paraId="39E98F1C" w14:textId="77777777" w:rsidR="001B7AE5" w:rsidRPr="00B7046C" w:rsidRDefault="001B7AE5" w:rsidP="00FD10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Zasiłek stały</w:t>
            </w:r>
          </w:p>
        </w:tc>
        <w:tc>
          <w:tcPr>
            <w:tcW w:w="3974" w:type="dxa"/>
            <w:shd w:val="clear" w:color="auto" w:fill="FFFFFF" w:themeFill="background1"/>
          </w:tcPr>
          <w:p w14:paraId="5023F438" w14:textId="77777777" w:rsidR="001B7AE5" w:rsidRPr="00B7046C" w:rsidRDefault="001B7AE5" w:rsidP="00FD10E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4</w:t>
            </w:r>
            <w:r w:rsidR="00FD10EA" w:rsidRPr="00B7046C">
              <w:rPr>
                <w:rFonts w:ascii="Times New Roman" w:hAnsi="Times New Roman"/>
                <w:color w:val="auto"/>
              </w:rPr>
              <w:t xml:space="preserve"> </w:t>
            </w:r>
            <w:r w:rsidRPr="00B7046C">
              <w:rPr>
                <w:rFonts w:ascii="Times New Roman" w:hAnsi="Times New Roman"/>
                <w:color w:val="auto"/>
              </w:rPr>
              <w:t>777</w:t>
            </w:r>
          </w:p>
        </w:tc>
        <w:tc>
          <w:tcPr>
            <w:tcW w:w="4956" w:type="dxa"/>
            <w:shd w:val="clear" w:color="auto" w:fill="FFFFFF" w:themeFill="background1"/>
          </w:tcPr>
          <w:p w14:paraId="0E5CFA63" w14:textId="77777777" w:rsidR="001B7AE5" w:rsidRPr="00B7046C" w:rsidRDefault="001B7AE5" w:rsidP="00FD10E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25</w:t>
            </w:r>
            <w:r w:rsidR="00FD10EA" w:rsidRPr="00B7046C">
              <w:rPr>
                <w:rFonts w:ascii="Times New Roman" w:hAnsi="Times New Roman"/>
                <w:color w:val="auto"/>
              </w:rPr>
              <w:t xml:space="preserve"> </w:t>
            </w:r>
            <w:r w:rsidRPr="00B7046C">
              <w:rPr>
                <w:rFonts w:ascii="Times New Roman" w:hAnsi="Times New Roman"/>
                <w:color w:val="auto"/>
              </w:rPr>
              <w:t>118</w:t>
            </w:r>
            <w:r w:rsidR="00FD10EA" w:rsidRPr="00B7046C">
              <w:rPr>
                <w:rFonts w:ascii="Times New Roman" w:hAnsi="Times New Roman"/>
                <w:color w:val="auto"/>
              </w:rPr>
              <w:t xml:space="preserve"> </w:t>
            </w:r>
            <w:r w:rsidRPr="00B7046C">
              <w:rPr>
                <w:rFonts w:ascii="Times New Roman" w:hAnsi="Times New Roman"/>
                <w:color w:val="auto"/>
              </w:rPr>
              <w:t>187</w:t>
            </w:r>
          </w:p>
        </w:tc>
      </w:tr>
      <w:tr w:rsidR="001B7AE5" w:rsidRPr="001B7AE5" w14:paraId="3A8E0A7D" w14:textId="77777777" w:rsidTr="000B794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EA77175" w14:textId="77777777" w:rsidR="001B7AE5" w:rsidRPr="00B7046C" w:rsidRDefault="001B7AE5" w:rsidP="00FD10EA">
            <w:pPr>
              <w:spacing w:after="0"/>
              <w:jc w:val="center"/>
              <w:rPr>
                <w:rFonts w:ascii="Times New Roman" w:eastAsia="Times New Roman" w:hAnsi="Times New Roman"/>
                <w:b w:val="0"/>
                <w:bCs w:val="0"/>
                <w:color w:val="auto"/>
                <w:lang w:eastAsia="pl-PL"/>
              </w:rPr>
            </w:pPr>
          </w:p>
        </w:tc>
        <w:tc>
          <w:tcPr>
            <w:tcW w:w="2977" w:type="dxa"/>
            <w:shd w:val="clear" w:color="auto" w:fill="FFFFFF" w:themeFill="background1"/>
          </w:tcPr>
          <w:p w14:paraId="78B89002" w14:textId="77777777" w:rsidR="001B7AE5" w:rsidRPr="00B7046C" w:rsidRDefault="001B7AE5" w:rsidP="00FD10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Zasiłek okresowy</w:t>
            </w:r>
          </w:p>
        </w:tc>
        <w:tc>
          <w:tcPr>
            <w:tcW w:w="3974" w:type="dxa"/>
            <w:shd w:val="clear" w:color="auto" w:fill="FFFFFF" w:themeFill="background1"/>
          </w:tcPr>
          <w:p w14:paraId="5B799C54" w14:textId="77777777" w:rsidR="001B7AE5" w:rsidRPr="00B7046C" w:rsidRDefault="001B7AE5" w:rsidP="00FD10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3</w:t>
            </w:r>
            <w:r w:rsidR="00FD10EA" w:rsidRPr="00B7046C">
              <w:rPr>
                <w:rFonts w:ascii="Times New Roman" w:hAnsi="Times New Roman"/>
                <w:color w:val="auto"/>
              </w:rPr>
              <w:t xml:space="preserve"> </w:t>
            </w:r>
            <w:r w:rsidRPr="00B7046C">
              <w:rPr>
                <w:rFonts w:ascii="Times New Roman" w:hAnsi="Times New Roman"/>
                <w:color w:val="auto"/>
              </w:rPr>
              <w:t>187</w:t>
            </w:r>
          </w:p>
        </w:tc>
        <w:tc>
          <w:tcPr>
            <w:tcW w:w="4956" w:type="dxa"/>
            <w:shd w:val="clear" w:color="auto" w:fill="FFFFFF" w:themeFill="background1"/>
          </w:tcPr>
          <w:p w14:paraId="636F293E" w14:textId="77777777" w:rsidR="001B7AE5" w:rsidRPr="00B7046C" w:rsidRDefault="001B7AE5" w:rsidP="00FD10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5</w:t>
            </w:r>
            <w:r w:rsidR="00FD10EA" w:rsidRPr="00B7046C">
              <w:rPr>
                <w:rFonts w:ascii="Times New Roman" w:hAnsi="Times New Roman"/>
                <w:color w:val="auto"/>
              </w:rPr>
              <w:t xml:space="preserve"> </w:t>
            </w:r>
            <w:r w:rsidRPr="00B7046C">
              <w:rPr>
                <w:rFonts w:ascii="Times New Roman" w:hAnsi="Times New Roman"/>
                <w:color w:val="auto"/>
              </w:rPr>
              <w:t>329</w:t>
            </w:r>
            <w:r w:rsidR="00FD10EA" w:rsidRPr="00B7046C">
              <w:rPr>
                <w:rFonts w:ascii="Times New Roman" w:hAnsi="Times New Roman"/>
                <w:color w:val="auto"/>
              </w:rPr>
              <w:t xml:space="preserve"> </w:t>
            </w:r>
            <w:r w:rsidRPr="00B7046C">
              <w:rPr>
                <w:rFonts w:ascii="Times New Roman" w:hAnsi="Times New Roman"/>
                <w:color w:val="auto"/>
              </w:rPr>
              <w:t>310</w:t>
            </w:r>
          </w:p>
        </w:tc>
      </w:tr>
      <w:tr w:rsidR="000B7941" w:rsidRPr="001B7AE5" w14:paraId="19F1B792" w14:textId="77777777" w:rsidTr="000B7941">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6352484" w14:textId="77777777" w:rsidR="001B7AE5" w:rsidRPr="00B7046C" w:rsidRDefault="001B7AE5" w:rsidP="00FD10EA">
            <w:pPr>
              <w:spacing w:after="0"/>
              <w:jc w:val="center"/>
              <w:rPr>
                <w:rFonts w:ascii="Times New Roman" w:eastAsia="Times New Roman" w:hAnsi="Times New Roman"/>
                <w:b w:val="0"/>
                <w:bCs w:val="0"/>
                <w:color w:val="auto"/>
                <w:lang w:eastAsia="pl-PL"/>
              </w:rPr>
            </w:pPr>
          </w:p>
        </w:tc>
        <w:tc>
          <w:tcPr>
            <w:tcW w:w="2977" w:type="dxa"/>
            <w:shd w:val="clear" w:color="auto" w:fill="FFFFFF" w:themeFill="background1"/>
          </w:tcPr>
          <w:p w14:paraId="6FC6C440" w14:textId="77777777" w:rsidR="001B7AE5" w:rsidRPr="00B7046C" w:rsidRDefault="001B7AE5" w:rsidP="00FD10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Zasiłek celowy</w:t>
            </w:r>
          </w:p>
        </w:tc>
        <w:tc>
          <w:tcPr>
            <w:tcW w:w="3974" w:type="dxa"/>
            <w:shd w:val="clear" w:color="auto" w:fill="FFFFFF" w:themeFill="background1"/>
          </w:tcPr>
          <w:p w14:paraId="3763C575" w14:textId="77777777" w:rsidR="001B7AE5" w:rsidRPr="00B7046C" w:rsidRDefault="001B7AE5" w:rsidP="00FD10E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5</w:t>
            </w:r>
            <w:r w:rsidR="00FD10EA" w:rsidRPr="00B7046C">
              <w:rPr>
                <w:rFonts w:ascii="Times New Roman" w:hAnsi="Times New Roman"/>
                <w:color w:val="auto"/>
              </w:rPr>
              <w:t xml:space="preserve"> </w:t>
            </w:r>
            <w:r w:rsidRPr="00B7046C">
              <w:rPr>
                <w:rFonts w:ascii="Times New Roman" w:hAnsi="Times New Roman"/>
                <w:color w:val="auto"/>
              </w:rPr>
              <w:t>701</w:t>
            </w:r>
          </w:p>
        </w:tc>
        <w:tc>
          <w:tcPr>
            <w:tcW w:w="4956" w:type="dxa"/>
            <w:shd w:val="clear" w:color="auto" w:fill="FFFFFF" w:themeFill="background1"/>
          </w:tcPr>
          <w:p w14:paraId="099AFD3D" w14:textId="77777777" w:rsidR="001B7AE5" w:rsidRPr="00B7046C" w:rsidRDefault="001B7AE5" w:rsidP="00FD10EA">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6</w:t>
            </w:r>
            <w:r w:rsidR="00FD10EA" w:rsidRPr="00B7046C">
              <w:rPr>
                <w:rFonts w:ascii="Times New Roman" w:hAnsi="Times New Roman"/>
                <w:color w:val="auto"/>
              </w:rPr>
              <w:t xml:space="preserve"> </w:t>
            </w:r>
            <w:r w:rsidRPr="00B7046C">
              <w:rPr>
                <w:rFonts w:ascii="Times New Roman" w:hAnsi="Times New Roman"/>
                <w:color w:val="auto"/>
              </w:rPr>
              <w:t>753</w:t>
            </w:r>
            <w:r w:rsidR="00FD10EA" w:rsidRPr="00B7046C">
              <w:rPr>
                <w:rFonts w:ascii="Times New Roman" w:hAnsi="Times New Roman"/>
                <w:color w:val="auto"/>
              </w:rPr>
              <w:t xml:space="preserve"> </w:t>
            </w:r>
            <w:r w:rsidRPr="00B7046C">
              <w:rPr>
                <w:rFonts w:ascii="Times New Roman" w:hAnsi="Times New Roman"/>
                <w:color w:val="auto"/>
              </w:rPr>
              <w:t>203</w:t>
            </w:r>
          </w:p>
        </w:tc>
      </w:tr>
      <w:tr w:rsidR="001B7AE5" w:rsidRPr="001B7AE5" w14:paraId="051A401A" w14:textId="77777777" w:rsidTr="000B7941">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91C2E88" w14:textId="77777777" w:rsidR="001B7AE5" w:rsidRPr="00B7046C" w:rsidRDefault="001B7AE5" w:rsidP="00FD10EA">
            <w:pPr>
              <w:spacing w:after="0"/>
              <w:jc w:val="center"/>
              <w:rPr>
                <w:rFonts w:ascii="Times New Roman" w:eastAsia="Times New Roman" w:hAnsi="Times New Roman"/>
                <w:b w:val="0"/>
                <w:bCs w:val="0"/>
                <w:color w:val="auto"/>
                <w:lang w:eastAsia="pl-PL"/>
              </w:rPr>
            </w:pPr>
          </w:p>
        </w:tc>
        <w:tc>
          <w:tcPr>
            <w:tcW w:w="2977" w:type="dxa"/>
            <w:shd w:val="clear" w:color="auto" w:fill="FFFFFF" w:themeFill="background1"/>
          </w:tcPr>
          <w:p w14:paraId="79321715" w14:textId="77777777" w:rsidR="001B7AE5" w:rsidRPr="00B7046C" w:rsidRDefault="001B7AE5" w:rsidP="00FD10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Specjalny zasiłek celowy</w:t>
            </w:r>
          </w:p>
        </w:tc>
        <w:tc>
          <w:tcPr>
            <w:tcW w:w="3974" w:type="dxa"/>
            <w:shd w:val="clear" w:color="auto" w:fill="FFFFFF" w:themeFill="background1"/>
          </w:tcPr>
          <w:p w14:paraId="11AC6E41" w14:textId="77777777" w:rsidR="001B7AE5" w:rsidRPr="00B7046C" w:rsidRDefault="001B7AE5" w:rsidP="00FD10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4</w:t>
            </w:r>
            <w:r w:rsidR="00FD10EA" w:rsidRPr="00B7046C">
              <w:rPr>
                <w:rFonts w:ascii="Times New Roman" w:hAnsi="Times New Roman"/>
                <w:color w:val="auto"/>
              </w:rPr>
              <w:t xml:space="preserve"> </w:t>
            </w:r>
            <w:r w:rsidRPr="00B7046C">
              <w:rPr>
                <w:rFonts w:ascii="Times New Roman" w:hAnsi="Times New Roman"/>
                <w:color w:val="auto"/>
              </w:rPr>
              <w:t>068</w:t>
            </w:r>
          </w:p>
        </w:tc>
        <w:tc>
          <w:tcPr>
            <w:tcW w:w="4956" w:type="dxa"/>
            <w:shd w:val="clear" w:color="auto" w:fill="FFFFFF" w:themeFill="background1"/>
          </w:tcPr>
          <w:p w14:paraId="1F0E5D33" w14:textId="77777777" w:rsidR="001B7AE5" w:rsidRPr="00B7046C" w:rsidRDefault="001B7AE5" w:rsidP="00FD10EA">
            <w:pPr>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2</w:t>
            </w:r>
            <w:r w:rsidR="00FD10EA" w:rsidRPr="00B7046C">
              <w:rPr>
                <w:rFonts w:ascii="Times New Roman" w:hAnsi="Times New Roman"/>
                <w:color w:val="auto"/>
              </w:rPr>
              <w:t xml:space="preserve"> </w:t>
            </w:r>
            <w:r w:rsidRPr="00B7046C">
              <w:rPr>
                <w:rFonts w:ascii="Times New Roman" w:hAnsi="Times New Roman"/>
                <w:color w:val="auto"/>
              </w:rPr>
              <w:t>137</w:t>
            </w:r>
            <w:r w:rsidR="00FD10EA" w:rsidRPr="00B7046C">
              <w:rPr>
                <w:rFonts w:ascii="Times New Roman" w:hAnsi="Times New Roman"/>
                <w:color w:val="auto"/>
              </w:rPr>
              <w:t xml:space="preserve"> </w:t>
            </w:r>
            <w:r w:rsidRPr="00B7046C">
              <w:rPr>
                <w:rFonts w:ascii="Times New Roman" w:hAnsi="Times New Roman"/>
                <w:color w:val="auto"/>
              </w:rPr>
              <w:t>849</w:t>
            </w:r>
          </w:p>
        </w:tc>
      </w:tr>
      <w:tr w:rsidR="000B7941" w:rsidRPr="001B7AE5" w14:paraId="7201ACC4" w14:textId="77777777" w:rsidTr="000B7941">
        <w:trPr>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B19DF5D" w14:textId="77777777" w:rsidR="001B7AE5" w:rsidRPr="00B7046C" w:rsidRDefault="001B7AE5" w:rsidP="00FD10EA">
            <w:pPr>
              <w:spacing w:after="0"/>
              <w:rPr>
                <w:rFonts w:ascii="Times New Roman" w:hAnsi="Times New Roman"/>
                <w:b w:val="0"/>
                <w:color w:val="auto"/>
                <w:lang w:eastAsia="pl-PL"/>
              </w:rPr>
            </w:pPr>
            <w:r w:rsidRPr="00B7046C">
              <w:rPr>
                <w:rFonts w:ascii="Times New Roman" w:hAnsi="Times New Roman"/>
                <w:color w:val="auto"/>
                <w:lang w:eastAsia="pl-PL"/>
              </w:rPr>
              <w:t>Największe problemy/niedogodności w świadczeniu opieki nad osobami starszymi (np. zasoby kadrowe, rzeczowe, finansowe itp.)</w:t>
            </w:r>
          </w:p>
        </w:tc>
        <w:tc>
          <w:tcPr>
            <w:tcW w:w="11907" w:type="dxa"/>
            <w:gridSpan w:val="3"/>
            <w:shd w:val="clear" w:color="auto" w:fill="FFFFFF" w:themeFill="background1"/>
          </w:tcPr>
          <w:p w14:paraId="0A9ADC4A" w14:textId="77777777" w:rsidR="001B7AE5" w:rsidRPr="00B7046C" w:rsidRDefault="001B7AE5" w:rsidP="00FD10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b/>
                <w:color w:val="auto"/>
              </w:rPr>
              <w:t>1</w:t>
            </w:r>
            <w:r w:rsidRPr="00B7046C">
              <w:rPr>
                <w:rFonts w:ascii="Times New Roman" w:hAnsi="Times New Roman"/>
                <w:color w:val="auto"/>
              </w:rPr>
              <w:t>.Trudnosci kadrowe – brak opiekunek posiadających specjalistyczne przegotowanie zawodowe.</w:t>
            </w:r>
          </w:p>
        </w:tc>
      </w:tr>
      <w:tr w:rsidR="00FD10EA" w:rsidRPr="001B7AE5" w14:paraId="5E5F512F" w14:textId="77777777" w:rsidTr="000B794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54DC9A6" w14:textId="77777777" w:rsidR="001B7AE5" w:rsidRPr="00B7046C" w:rsidRDefault="001B7AE5" w:rsidP="00FD10EA">
            <w:pPr>
              <w:spacing w:after="0"/>
              <w:rPr>
                <w:rFonts w:ascii="Times New Roman" w:hAnsi="Times New Roman"/>
                <w:color w:val="auto"/>
                <w:lang w:eastAsia="pl-PL"/>
              </w:rPr>
            </w:pPr>
          </w:p>
        </w:tc>
        <w:tc>
          <w:tcPr>
            <w:tcW w:w="11907" w:type="dxa"/>
            <w:gridSpan w:val="3"/>
            <w:shd w:val="clear" w:color="auto" w:fill="FFFFFF" w:themeFill="background1"/>
          </w:tcPr>
          <w:p w14:paraId="543DB541" w14:textId="77777777" w:rsidR="001B7AE5" w:rsidRPr="00B7046C" w:rsidRDefault="001B7AE5" w:rsidP="00FD10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b/>
                <w:color w:val="auto"/>
              </w:rPr>
              <w:t>2.</w:t>
            </w:r>
            <w:r w:rsidRPr="00B7046C">
              <w:rPr>
                <w:rFonts w:ascii="Times New Roman" w:hAnsi="Times New Roman"/>
                <w:color w:val="auto"/>
              </w:rPr>
              <w:t xml:space="preserve"> Trudności finansowe – koszty świadczenia usług opiekuńczych oraz zatrudnienia opiekunek stanowią duże obciążenie dla budżetów gmin, co przy zwiększonej liczbie klientów skutkuje ograniczeniem wymiaru świadczeń do niezbędnego minimum.</w:t>
            </w:r>
          </w:p>
        </w:tc>
      </w:tr>
      <w:tr w:rsidR="000B7941" w:rsidRPr="001B7AE5" w14:paraId="42D63233" w14:textId="77777777" w:rsidTr="000B7941">
        <w:trPr>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9BA585C" w14:textId="77777777" w:rsidR="001B7AE5" w:rsidRPr="00B7046C" w:rsidRDefault="001B7AE5" w:rsidP="00FD10EA">
            <w:pPr>
              <w:spacing w:after="0"/>
              <w:rPr>
                <w:rFonts w:ascii="Times New Roman" w:hAnsi="Times New Roman"/>
                <w:color w:val="auto"/>
                <w:lang w:eastAsia="pl-PL"/>
              </w:rPr>
            </w:pPr>
          </w:p>
        </w:tc>
        <w:tc>
          <w:tcPr>
            <w:tcW w:w="11907" w:type="dxa"/>
            <w:gridSpan w:val="3"/>
            <w:shd w:val="clear" w:color="auto" w:fill="FFFFFF" w:themeFill="background1"/>
          </w:tcPr>
          <w:p w14:paraId="4CDC848F" w14:textId="77777777" w:rsidR="001B7AE5" w:rsidRPr="00B7046C" w:rsidRDefault="001B7AE5" w:rsidP="00FD10EA">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7046C">
              <w:rPr>
                <w:rFonts w:ascii="Times New Roman" w:hAnsi="Times New Roman"/>
                <w:b/>
                <w:color w:val="auto"/>
              </w:rPr>
              <w:t>3.</w:t>
            </w:r>
            <w:r w:rsidRPr="00B7046C">
              <w:rPr>
                <w:rFonts w:ascii="Times New Roman" w:hAnsi="Times New Roman"/>
                <w:color w:val="auto"/>
              </w:rPr>
              <w:t xml:space="preserve"> W gminach wiejskich  ze względu na brak komunikacji publicznej. zgłaszane są problemy z dojazdem do odległych miejsc zamieszkania osób objętych usługami opiekuńczymi </w:t>
            </w:r>
          </w:p>
        </w:tc>
      </w:tr>
      <w:tr w:rsidR="000B7941" w:rsidRPr="001B7AE5" w14:paraId="1C681C98" w14:textId="77777777" w:rsidTr="000B7941">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25" w:type="dxa"/>
            <w:shd w:val="clear" w:color="auto" w:fill="9CC2E5" w:themeFill="accent1" w:themeFillTint="99"/>
          </w:tcPr>
          <w:p w14:paraId="2E50969C" w14:textId="77777777" w:rsidR="001B7AE5" w:rsidRPr="00B7046C" w:rsidRDefault="001B7AE5" w:rsidP="00FD10EA">
            <w:pPr>
              <w:spacing w:after="0"/>
              <w:rPr>
                <w:rFonts w:ascii="Times New Roman" w:hAnsi="Times New Roman"/>
                <w:color w:val="auto"/>
                <w:lang w:eastAsia="pl-PL"/>
              </w:rPr>
            </w:pPr>
            <w:r w:rsidRPr="00B7046C">
              <w:rPr>
                <w:rFonts w:ascii="Times New Roman" w:hAnsi="Times New Roman"/>
                <w:color w:val="auto"/>
                <w:lang w:eastAsia="pl-PL"/>
              </w:rPr>
              <w:t>Stopień zaspokojenia potrzeb w zakresie usług opiekuńczych</w:t>
            </w:r>
          </w:p>
        </w:tc>
        <w:tc>
          <w:tcPr>
            <w:tcW w:w="11912" w:type="dxa"/>
            <w:gridSpan w:val="3"/>
            <w:shd w:val="clear" w:color="auto" w:fill="FFFFFF" w:themeFill="background1"/>
          </w:tcPr>
          <w:p w14:paraId="64AEAE78" w14:textId="77777777" w:rsidR="001B7AE5" w:rsidRPr="00B7046C" w:rsidRDefault="001B7AE5" w:rsidP="00FD10EA">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7046C">
              <w:rPr>
                <w:rFonts w:ascii="Times New Roman" w:hAnsi="Times New Roman"/>
                <w:color w:val="auto"/>
              </w:rPr>
              <w:t xml:space="preserve">Usługi opiekuńcze realizowane są zgodnie ze zgłaszanymi potrzebami i możliwościami pomocy społecznej.  </w:t>
            </w:r>
          </w:p>
        </w:tc>
      </w:tr>
    </w:tbl>
    <w:p w14:paraId="611DB561" w14:textId="77777777" w:rsidR="007A1EA2" w:rsidRDefault="007A1EA2" w:rsidP="00CB509F">
      <w:pPr>
        <w:pStyle w:val="Nagwek2"/>
        <w:spacing w:before="0"/>
        <w:jc w:val="center"/>
        <w:rPr>
          <w:rFonts w:eastAsia="Times New Roman" w:cs="Times New Roman"/>
          <w:sz w:val="24"/>
          <w:szCs w:val="24"/>
          <w:lang w:eastAsia="ar-SA"/>
        </w:rPr>
        <w:sectPr w:rsidR="007A1EA2" w:rsidSect="00080A38">
          <w:pgSz w:w="16838" w:h="11900" w:orient="landscape"/>
          <w:pgMar w:top="1380" w:right="1384" w:bottom="1386" w:left="1038" w:header="0" w:footer="567" w:gutter="0"/>
          <w:cols w:space="0" w:equalWidth="0">
            <w:col w:w="9140"/>
          </w:cols>
          <w:docGrid w:linePitch="360"/>
        </w:sectPr>
      </w:pPr>
    </w:p>
    <w:p w14:paraId="4BC432FD" w14:textId="77777777" w:rsidR="00F31DCC" w:rsidRPr="00AF051D" w:rsidRDefault="00B25D75" w:rsidP="00AF051D">
      <w:pPr>
        <w:pStyle w:val="Nagwek2"/>
        <w:numPr>
          <w:ilvl w:val="1"/>
          <w:numId w:val="396"/>
        </w:numPr>
        <w:spacing w:before="240" w:after="240"/>
        <w:ind w:left="360"/>
        <w:rPr>
          <w:rFonts w:eastAsia="Times New Roman"/>
          <w:sz w:val="40"/>
          <w:szCs w:val="32"/>
          <w:lang w:eastAsia="ar-SA"/>
        </w:rPr>
      </w:pPr>
      <w:bookmarkStart w:id="134" w:name="_Toc49171361"/>
      <w:r w:rsidRPr="00AF051D">
        <w:rPr>
          <w:rFonts w:eastAsia="Times New Roman"/>
          <w:sz w:val="40"/>
          <w:szCs w:val="32"/>
          <w:lang w:eastAsia="ar-SA"/>
        </w:rPr>
        <w:lastRenderedPageBreak/>
        <w:t xml:space="preserve">Województwo </w:t>
      </w:r>
      <w:r w:rsidR="005F0A32" w:rsidRPr="00AF051D">
        <w:rPr>
          <w:rFonts w:eastAsia="Times New Roman"/>
          <w:sz w:val="40"/>
          <w:szCs w:val="32"/>
          <w:lang w:eastAsia="ar-SA"/>
        </w:rPr>
        <w:t>m</w:t>
      </w:r>
      <w:r w:rsidR="00475EFA" w:rsidRPr="00AF051D">
        <w:rPr>
          <w:rFonts w:eastAsia="Times New Roman"/>
          <w:sz w:val="40"/>
          <w:szCs w:val="32"/>
          <w:lang w:eastAsia="ar-SA"/>
        </w:rPr>
        <w:t>ałopolskie</w:t>
      </w:r>
      <w:bookmarkEnd w:id="134"/>
    </w:p>
    <w:p w14:paraId="40E4EB34" w14:textId="77777777" w:rsidR="00E82BE0" w:rsidRPr="008A2FE2" w:rsidRDefault="00E82BE0" w:rsidP="00E7359C">
      <w:pPr>
        <w:spacing w:after="0"/>
        <w:jc w:val="both"/>
        <w:rPr>
          <w:rFonts w:ascii="Times New Roman" w:hAnsi="Times New Roman" w:cs="Times New Roman"/>
          <w:b/>
          <w:color w:val="00B0F0"/>
          <w:sz w:val="24"/>
          <w:szCs w:val="24"/>
          <w:lang w:eastAsia="ar-SA"/>
        </w:rPr>
      </w:pPr>
      <w:r w:rsidRPr="008A2FE2">
        <w:rPr>
          <w:rFonts w:ascii="Times New Roman" w:hAnsi="Times New Roman" w:cs="Times New Roman"/>
          <w:b/>
          <w:color w:val="00B0F0"/>
          <w:sz w:val="24"/>
          <w:szCs w:val="24"/>
          <w:lang w:eastAsia="ar-SA"/>
        </w:rPr>
        <w:t>Dokumenty, strategie i działania na rzecz osób starszych</w:t>
      </w:r>
    </w:p>
    <w:p w14:paraId="291FF4D2" w14:textId="77777777" w:rsidR="00E82BE0" w:rsidRDefault="00E82BE0" w:rsidP="00E7359C">
      <w:pPr>
        <w:spacing w:after="0"/>
        <w:ind w:right="-1"/>
        <w:jc w:val="both"/>
        <w:rPr>
          <w:rFonts w:ascii="Times New Roman" w:hAnsi="Times New Roman" w:cs="Times New Roman"/>
          <w:b/>
          <w:sz w:val="24"/>
          <w:szCs w:val="24"/>
        </w:rPr>
      </w:pPr>
    </w:p>
    <w:p w14:paraId="49FFE857" w14:textId="77777777" w:rsidR="00F31DCC" w:rsidRPr="00E82BE0" w:rsidRDefault="00F31DCC" w:rsidP="00E7359C">
      <w:pPr>
        <w:spacing w:after="0"/>
        <w:jc w:val="both"/>
        <w:rPr>
          <w:rFonts w:ascii="Times New Roman" w:hAnsi="Times New Roman" w:cs="Times New Roman"/>
          <w:b/>
          <w:sz w:val="24"/>
          <w:szCs w:val="24"/>
        </w:rPr>
      </w:pPr>
      <w:r w:rsidRPr="00E82BE0">
        <w:rPr>
          <w:rFonts w:ascii="Times New Roman" w:hAnsi="Times New Roman" w:cs="Times New Roman"/>
          <w:color w:val="000000"/>
          <w:kern w:val="24"/>
          <w:sz w:val="24"/>
          <w:szCs w:val="24"/>
        </w:rPr>
        <w:t>Podstawy dla regionalnej polityki senioralnej stanowi Strategia Rozwoju Województwa Małopolskiego na lata 2011-2020</w:t>
      </w:r>
      <w:r w:rsidRPr="00E82BE0">
        <w:rPr>
          <w:rFonts w:ascii="Times New Roman" w:hAnsi="Times New Roman" w:cs="Times New Roman"/>
          <w:color w:val="000000"/>
          <w:kern w:val="24"/>
          <w:sz w:val="24"/>
          <w:szCs w:val="24"/>
          <w:vertAlign w:val="superscript"/>
        </w:rPr>
        <w:footnoteReference w:id="102"/>
      </w:r>
      <w:r w:rsidRPr="00E82BE0">
        <w:rPr>
          <w:rFonts w:ascii="Times New Roman" w:hAnsi="Times New Roman" w:cs="Times New Roman"/>
          <w:color w:val="000000"/>
          <w:kern w:val="24"/>
          <w:sz w:val="24"/>
          <w:szCs w:val="24"/>
        </w:rPr>
        <w:t xml:space="preserve"> wraz z jej uszczegółowieniem znajdującym się w dokumentach operacyjnych </w:t>
      </w:r>
      <w:r w:rsidRPr="00E82BE0">
        <w:rPr>
          <w:rFonts w:ascii="Times New Roman" w:eastAsia="Calibri" w:hAnsi="Times New Roman" w:cs="Times New Roman"/>
          <w:color w:val="000000"/>
          <w:sz w:val="24"/>
          <w:szCs w:val="24"/>
        </w:rPr>
        <w:t>precyzujących zakres i charakter przedsięwzięć planowanych do realizacji w perspektywie roku 2020 – regionalnych programach strategicznych.</w:t>
      </w:r>
      <w:r w:rsidRPr="00E82BE0">
        <w:rPr>
          <w:rFonts w:ascii="Times New Roman" w:eastAsia="Calibri" w:hAnsi="Times New Roman" w:cs="Times New Roman"/>
          <w:color w:val="000000"/>
          <w:sz w:val="24"/>
          <w:szCs w:val="24"/>
          <w:shd w:val="clear" w:color="auto" w:fill="FFFFFF"/>
        </w:rPr>
        <w:t xml:space="preserve">  </w:t>
      </w:r>
      <w:r w:rsidRPr="00E82BE0">
        <w:rPr>
          <w:rFonts w:ascii="Times New Roman" w:eastAsia="Calibri" w:hAnsi="Times New Roman" w:cs="Times New Roman"/>
          <w:color w:val="000000"/>
          <w:sz w:val="24"/>
          <w:szCs w:val="24"/>
        </w:rPr>
        <w:t>Mając na uwadze efektywność zarządzania, opartą na ograniczonej liczbie skonsolidowanych dokumentów, powstał katalog 10 programów strategicznych, które stanowią podstawowe instrumenty koordynacji poszczególnych dziedzin polityki rozwoju województwa. Zagadnienia senioralne ulokowane są wielu z nich, w: PS Ochrona Zdrowia, PS Kapitał Intelektualny i Rynek Pracy, PS Dziedzictwo i Przemysły Czasu Wolnego, PS Włączenie Społeczne</w:t>
      </w:r>
      <w:r w:rsidRPr="00E82BE0">
        <w:rPr>
          <w:rFonts w:ascii="Times New Roman" w:eastAsia="Calibri" w:hAnsi="Times New Roman" w:cs="Times New Roman"/>
          <w:color w:val="000000"/>
          <w:sz w:val="24"/>
          <w:szCs w:val="24"/>
          <w:vertAlign w:val="superscript"/>
        </w:rPr>
        <w:footnoteReference w:id="103"/>
      </w:r>
      <w:r w:rsidRPr="00E82BE0">
        <w:rPr>
          <w:rFonts w:ascii="Times New Roman" w:eastAsia="Calibri" w:hAnsi="Times New Roman" w:cs="Times New Roman"/>
          <w:color w:val="000000"/>
          <w:sz w:val="24"/>
          <w:szCs w:val="24"/>
        </w:rPr>
        <w:t>. W Programie Strategicznym Włączenie Społeczne, który koncentruje się wokół czterech celów strategicznych, cel 3., za strategią rozwoju województwa, dotyczy „</w:t>
      </w:r>
      <w:r w:rsidRPr="00E82BE0">
        <w:rPr>
          <w:rFonts w:ascii="Times New Roman" w:eastAsia="Calibri" w:hAnsi="Times New Roman" w:cs="Times New Roman"/>
          <w:bCs/>
          <w:color w:val="000000"/>
          <w:sz w:val="24"/>
          <w:szCs w:val="24"/>
        </w:rPr>
        <w:t>Wdrożenia regionalnej strategii działań w kontekście starzenia się społeczeństwa</w:t>
      </w:r>
      <w:r w:rsidRPr="00E82BE0">
        <w:rPr>
          <w:rFonts w:ascii="Times New Roman" w:eastAsia="Calibri" w:hAnsi="Times New Roman" w:cs="Times New Roman"/>
          <w:color w:val="000000"/>
          <w:sz w:val="24"/>
          <w:szCs w:val="24"/>
        </w:rPr>
        <w:t>”. Wśród dokumentów wykonawczych do tego Programu, znajdują się dodatkowo:</w:t>
      </w:r>
    </w:p>
    <w:p w14:paraId="79813974" w14:textId="77777777" w:rsidR="00F31DCC" w:rsidRPr="00E82BE0" w:rsidRDefault="00F31DCC" w:rsidP="008C71A9">
      <w:pPr>
        <w:numPr>
          <w:ilvl w:val="0"/>
          <w:numId w:val="91"/>
        </w:numPr>
        <w:spacing w:after="0"/>
        <w:ind w:left="360"/>
        <w:jc w:val="both"/>
        <w:rPr>
          <w:rFonts w:ascii="Times New Roman" w:eastAsia="Calibri" w:hAnsi="Times New Roman" w:cs="Times New Roman"/>
          <w:bCs/>
          <w:color w:val="000000"/>
          <w:sz w:val="24"/>
          <w:szCs w:val="24"/>
        </w:rPr>
      </w:pPr>
      <w:r w:rsidRPr="00E82BE0">
        <w:rPr>
          <w:rFonts w:ascii="Times New Roman" w:eastAsia="Calibri" w:hAnsi="Times New Roman" w:cs="Times New Roman"/>
          <w:bCs/>
          <w:color w:val="000000"/>
          <w:sz w:val="24"/>
          <w:szCs w:val="24"/>
        </w:rPr>
        <w:t xml:space="preserve">„Rekomendacje do prowadzenia placówek zapewniających dzienną opiekę </w:t>
      </w:r>
      <w:r w:rsidRPr="00E82BE0">
        <w:rPr>
          <w:rFonts w:ascii="Times New Roman" w:eastAsia="Calibri" w:hAnsi="Times New Roman" w:cs="Times New Roman"/>
          <w:bCs/>
          <w:color w:val="000000"/>
          <w:sz w:val="24"/>
          <w:szCs w:val="24"/>
        </w:rPr>
        <w:br/>
        <w:t>i aktywizację osób starszych na terenie Małopolski”,</w:t>
      </w:r>
    </w:p>
    <w:p w14:paraId="6D860DE6" w14:textId="77777777" w:rsidR="00F31DCC" w:rsidRPr="00E82BE0" w:rsidRDefault="00F31DCC" w:rsidP="008C71A9">
      <w:pPr>
        <w:numPr>
          <w:ilvl w:val="0"/>
          <w:numId w:val="91"/>
        </w:numPr>
        <w:spacing w:after="0"/>
        <w:ind w:left="360"/>
        <w:jc w:val="both"/>
        <w:rPr>
          <w:rFonts w:ascii="Times New Roman" w:eastAsia="Calibri" w:hAnsi="Times New Roman" w:cs="Times New Roman"/>
          <w:bCs/>
          <w:color w:val="000000"/>
          <w:sz w:val="24"/>
          <w:szCs w:val="24"/>
        </w:rPr>
      </w:pPr>
      <w:r w:rsidRPr="00E82BE0">
        <w:rPr>
          <w:rFonts w:ascii="Times New Roman" w:eastAsia="Calibri" w:hAnsi="Times New Roman" w:cs="Times New Roman"/>
          <w:bCs/>
          <w:color w:val="000000"/>
          <w:sz w:val="24"/>
          <w:szCs w:val="24"/>
        </w:rPr>
        <w:t>Rekomendacje dla prowadzenia centrów wsparcia opiekunów nieformalnych/ faktycznych osób niesamodzielnych w Małopolsce”.</w:t>
      </w:r>
    </w:p>
    <w:p w14:paraId="4AD02D03" w14:textId="77777777" w:rsidR="00F31DCC" w:rsidRPr="00AE5ACB" w:rsidRDefault="00F31DCC" w:rsidP="008C71A9">
      <w:pPr>
        <w:pStyle w:val="Akapitzlist"/>
        <w:numPr>
          <w:ilvl w:val="0"/>
          <w:numId w:val="91"/>
        </w:numPr>
        <w:tabs>
          <w:tab w:val="left" w:pos="426"/>
        </w:tabs>
        <w:spacing w:after="0"/>
        <w:ind w:left="360"/>
        <w:jc w:val="both"/>
        <w:rPr>
          <w:rFonts w:ascii="Times New Roman" w:eastAsia="Calibri" w:hAnsi="Times New Roman" w:cs="Times New Roman"/>
          <w:bCs/>
          <w:color w:val="000000"/>
          <w:sz w:val="24"/>
          <w:szCs w:val="24"/>
        </w:rPr>
      </w:pPr>
      <w:r w:rsidRPr="00AE5ACB">
        <w:rPr>
          <w:rFonts w:ascii="Times New Roman" w:eastAsia="Calibri" w:hAnsi="Times New Roman" w:cs="Times New Roman"/>
          <w:bCs/>
          <w:color w:val="000000"/>
          <w:sz w:val="24"/>
          <w:szCs w:val="24"/>
        </w:rPr>
        <w:t>Źródłem finansowania wielu działań poświęconych osobom starszym w Małopolsce jest Regionalny Program Operacyjny Województwa Małopolskiego na lata 2014-2020, w tym 9. Oś Priorytetowa „Region spójny społecznie”:</w:t>
      </w:r>
    </w:p>
    <w:p w14:paraId="2F5B9AB1" w14:textId="77777777" w:rsidR="00F31DCC" w:rsidRPr="00E82BE0" w:rsidRDefault="00F31DCC" w:rsidP="008C71A9">
      <w:pPr>
        <w:numPr>
          <w:ilvl w:val="0"/>
          <w:numId w:val="91"/>
        </w:numPr>
        <w:tabs>
          <w:tab w:val="left" w:pos="709"/>
          <w:tab w:val="left" w:pos="851"/>
        </w:tabs>
        <w:spacing w:after="0"/>
        <w:ind w:left="360"/>
        <w:jc w:val="both"/>
        <w:rPr>
          <w:rFonts w:ascii="Times New Roman" w:eastAsia="Calibri" w:hAnsi="Times New Roman" w:cs="Times New Roman"/>
          <w:color w:val="000000"/>
          <w:sz w:val="24"/>
          <w:szCs w:val="24"/>
        </w:rPr>
      </w:pPr>
      <w:r w:rsidRPr="00E82BE0">
        <w:rPr>
          <w:rFonts w:ascii="Times New Roman" w:eastAsia="Calibri" w:hAnsi="Times New Roman" w:cs="Times New Roman"/>
          <w:color w:val="000000"/>
          <w:sz w:val="24"/>
          <w:szCs w:val="24"/>
        </w:rPr>
        <w:t xml:space="preserve">Poddziałanie 9.2.1. USŁUGI SPOŁECZNE I ZDROWOTNE W REGIONIE, zakres wsparcia D – „Wsparcie projektów z zakresu teleopieki”; </w:t>
      </w:r>
    </w:p>
    <w:p w14:paraId="684A4088" w14:textId="77777777" w:rsidR="00F31DCC" w:rsidRPr="00E82BE0" w:rsidRDefault="00F31DCC" w:rsidP="008C71A9">
      <w:pPr>
        <w:numPr>
          <w:ilvl w:val="0"/>
          <w:numId w:val="91"/>
        </w:numPr>
        <w:tabs>
          <w:tab w:val="left" w:pos="709"/>
          <w:tab w:val="left" w:pos="851"/>
        </w:tabs>
        <w:spacing w:after="0"/>
        <w:ind w:left="360"/>
        <w:jc w:val="both"/>
        <w:rPr>
          <w:rFonts w:ascii="Times New Roman" w:eastAsia="Calibri" w:hAnsi="Times New Roman" w:cs="Times New Roman"/>
          <w:color w:val="000000"/>
          <w:sz w:val="24"/>
          <w:szCs w:val="24"/>
        </w:rPr>
      </w:pPr>
      <w:r w:rsidRPr="00E82BE0">
        <w:rPr>
          <w:rFonts w:ascii="Times New Roman" w:eastAsia="Calibri" w:hAnsi="Times New Roman" w:cs="Times New Roman"/>
          <w:color w:val="000000"/>
          <w:sz w:val="24"/>
          <w:szCs w:val="24"/>
        </w:rPr>
        <w:t>Poddziałania 9.2.2/9.2.3 USŁUGI OPIEKUŃCZE ORAZ INTERWENCJA KRYZYSOWA ZIT/SPR, zakres wsparcia A – „Działania wspierające opiekunów nieformalnych osób wymagających wsparcia w codziennym funkcjonowaniu, poprzez uruchomienie centrów wsparcia opiekunów (…)”;</w:t>
      </w:r>
    </w:p>
    <w:p w14:paraId="039A7F25" w14:textId="77777777" w:rsidR="00AE5ACB" w:rsidRDefault="00F31DCC" w:rsidP="008C71A9">
      <w:pPr>
        <w:numPr>
          <w:ilvl w:val="0"/>
          <w:numId w:val="91"/>
        </w:numPr>
        <w:tabs>
          <w:tab w:val="left" w:pos="709"/>
          <w:tab w:val="left" w:pos="851"/>
        </w:tabs>
        <w:spacing w:after="0"/>
        <w:ind w:left="360"/>
        <w:jc w:val="both"/>
        <w:rPr>
          <w:rFonts w:ascii="Times New Roman" w:eastAsia="Calibri" w:hAnsi="Times New Roman" w:cs="Times New Roman"/>
          <w:color w:val="000000"/>
          <w:sz w:val="24"/>
          <w:szCs w:val="24"/>
        </w:rPr>
      </w:pPr>
      <w:r w:rsidRPr="00E82BE0">
        <w:rPr>
          <w:rFonts w:ascii="Times New Roman" w:eastAsia="Calibri" w:hAnsi="Times New Roman" w:cs="Times New Roman"/>
          <w:color w:val="000000"/>
          <w:sz w:val="24"/>
          <w:szCs w:val="24"/>
        </w:rPr>
        <w:t>Poddziałania 9.2.2/9.2.3 USŁUGI OPIEKUŃCZE ORAZ INTERWENCJA KRYZYSOWA ZIT/SPR, zakres wsparcia</w:t>
      </w:r>
      <w:r w:rsidRPr="00E82BE0">
        <w:rPr>
          <w:rFonts w:ascii="Times New Roman" w:eastAsia="Calibri" w:hAnsi="Times New Roman" w:cs="Times New Roman"/>
          <w:b/>
          <w:color w:val="000000"/>
          <w:sz w:val="24"/>
          <w:szCs w:val="24"/>
        </w:rPr>
        <w:t xml:space="preserve"> </w:t>
      </w:r>
      <w:r w:rsidRPr="00E82BE0">
        <w:rPr>
          <w:rFonts w:ascii="Times New Roman" w:eastAsia="Calibri" w:hAnsi="Times New Roman" w:cs="Times New Roman"/>
          <w:bCs/>
          <w:color w:val="000000"/>
          <w:sz w:val="24"/>
          <w:szCs w:val="24"/>
        </w:rPr>
        <w:t>B</w:t>
      </w:r>
      <w:r w:rsidRPr="00E82BE0">
        <w:rPr>
          <w:rFonts w:ascii="Times New Roman" w:eastAsia="Calibri" w:hAnsi="Times New Roman" w:cs="Times New Roman"/>
          <w:b/>
          <w:color w:val="000000"/>
          <w:sz w:val="24"/>
          <w:szCs w:val="24"/>
        </w:rPr>
        <w:t xml:space="preserve"> </w:t>
      </w:r>
      <w:r w:rsidRPr="00E82BE0">
        <w:rPr>
          <w:rFonts w:ascii="Times New Roman" w:eastAsia="Calibri" w:hAnsi="Times New Roman" w:cs="Times New Roman"/>
          <w:bCs/>
          <w:color w:val="000000"/>
          <w:sz w:val="24"/>
          <w:szCs w:val="24"/>
        </w:rPr>
        <w:t>– „</w:t>
      </w:r>
      <w:r w:rsidRPr="00E82BE0">
        <w:rPr>
          <w:rFonts w:ascii="Times New Roman" w:eastAsia="Calibri" w:hAnsi="Times New Roman" w:cs="Times New Roman"/>
          <w:color w:val="000000"/>
          <w:sz w:val="24"/>
          <w:szCs w:val="24"/>
        </w:rPr>
        <w:t>Wsparcie dla tworzenia i/lub działalności placówek zapewniających dzienną opiekę i aktywizację osób wymagających wsparcia w codziennym funkcjonowaniu oferujących oddziaływania terapeutyczne i inne zapewniające utrzymanie optymalnego stanu psychofizycznego, samodzielności i aktywności uczestników i niedopuszczanie do pogłębiania się dysfunkcji, a także edukację osób wymagających wsparcia w codziennym funkcjonowaniu i ich opiekunów nieformalnych. (…)”</w:t>
      </w:r>
    </w:p>
    <w:p w14:paraId="590C6AD5" w14:textId="77777777" w:rsidR="00AE5ACB" w:rsidRDefault="00AE5ACB" w:rsidP="00E7359C">
      <w:pPr>
        <w:tabs>
          <w:tab w:val="left" w:pos="709"/>
          <w:tab w:val="left" w:pos="851"/>
        </w:tabs>
        <w:spacing w:after="0"/>
        <w:jc w:val="both"/>
        <w:rPr>
          <w:rFonts w:ascii="Times New Roman" w:eastAsia="Calibri" w:hAnsi="Times New Roman" w:cs="Times New Roman"/>
          <w:color w:val="000000"/>
          <w:sz w:val="24"/>
          <w:szCs w:val="24"/>
        </w:rPr>
      </w:pPr>
    </w:p>
    <w:p w14:paraId="4C6B56A7" w14:textId="77777777" w:rsidR="00F31DCC" w:rsidRPr="00AE5ACB" w:rsidRDefault="00F31DCC" w:rsidP="00E7359C">
      <w:pPr>
        <w:tabs>
          <w:tab w:val="left" w:pos="709"/>
          <w:tab w:val="left" w:pos="851"/>
        </w:tabs>
        <w:spacing w:after="0"/>
        <w:jc w:val="both"/>
        <w:rPr>
          <w:rFonts w:ascii="Times New Roman" w:eastAsia="Calibri" w:hAnsi="Times New Roman" w:cs="Times New Roman"/>
          <w:color w:val="000000"/>
          <w:sz w:val="24"/>
          <w:szCs w:val="24"/>
        </w:rPr>
      </w:pPr>
      <w:r w:rsidRPr="00AE5ACB">
        <w:rPr>
          <w:rFonts w:ascii="Times New Roman" w:eastAsia="Calibri" w:hAnsi="Times New Roman" w:cs="Times New Roman"/>
          <w:color w:val="000000"/>
          <w:sz w:val="24"/>
          <w:szCs w:val="24"/>
        </w:rPr>
        <w:t>Dotychczasowe efekty wdrażania Regionalnego Programu Operacyjnego Województwa Małopolskiego w w/w obszarach kształtują się następująco:</w:t>
      </w:r>
    </w:p>
    <w:p w14:paraId="4CE82660" w14:textId="77777777" w:rsidR="00F31DCC" w:rsidRPr="008A2FE2" w:rsidRDefault="00F31DCC" w:rsidP="008C71A9">
      <w:pPr>
        <w:numPr>
          <w:ilvl w:val="0"/>
          <w:numId w:val="91"/>
        </w:numPr>
        <w:tabs>
          <w:tab w:val="left" w:pos="426"/>
        </w:tabs>
        <w:spacing w:after="0"/>
        <w:ind w:left="360"/>
        <w:jc w:val="both"/>
        <w:rPr>
          <w:rFonts w:ascii="Times New Roman" w:eastAsia="Calibri" w:hAnsi="Times New Roman" w:cs="Times New Roman"/>
          <w:color w:val="000000"/>
          <w:sz w:val="24"/>
          <w:szCs w:val="24"/>
        </w:rPr>
      </w:pPr>
      <w:r w:rsidRPr="00E82BE0">
        <w:rPr>
          <w:rFonts w:ascii="Times New Roman" w:eastAsia="Calibri" w:hAnsi="Times New Roman" w:cs="Times New Roman"/>
          <w:color w:val="000000"/>
          <w:sz w:val="24"/>
          <w:szCs w:val="24"/>
        </w:rPr>
        <w:lastRenderedPageBreak/>
        <w:t xml:space="preserve">typ projektu B - </w:t>
      </w:r>
      <w:r w:rsidRPr="008A2FE2">
        <w:rPr>
          <w:rFonts w:ascii="Times New Roman" w:eastAsia="Calibri" w:hAnsi="Times New Roman" w:cs="Times New Roman"/>
          <w:bCs/>
          <w:color w:val="000000"/>
          <w:sz w:val="24"/>
          <w:szCs w:val="24"/>
        </w:rPr>
        <w:t>Wsparcie dla tworzenia i/lub działalności placówek</w:t>
      </w:r>
    </w:p>
    <w:p w14:paraId="01150553" w14:textId="77777777" w:rsidR="00F31DCC" w:rsidRPr="008A2FE2" w:rsidRDefault="00F31DCC" w:rsidP="008C71A9">
      <w:pPr>
        <w:pStyle w:val="Akapitzlist"/>
        <w:numPr>
          <w:ilvl w:val="0"/>
          <w:numId w:val="91"/>
        </w:numPr>
        <w:tabs>
          <w:tab w:val="left" w:pos="426"/>
        </w:tabs>
        <w:spacing w:after="0"/>
        <w:ind w:left="723"/>
        <w:jc w:val="both"/>
        <w:rPr>
          <w:rFonts w:ascii="Times New Roman" w:eastAsia="Calibri" w:hAnsi="Times New Roman" w:cs="Times New Roman"/>
          <w:color w:val="000000"/>
          <w:sz w:val="24"/>
          <w:szCs w:val="24"/>
        </w:rPr>
      </w:pPr>
      <w:r w:rsidRPr="008A2FE2">
        <w:rPr>
          <w:rFonts w:ascii="Times New Roman" w:eastAsia="Calibri" w:hAnsi="Times New Roman" w:cs="Times New Roman"/>
          <w:bCs/>
          <w:color w:val="000000"/>
          <w:sz w:val="24"/>
          <w:szCs w:val="24"/>
        </w:rPr>
        <w:t>zapewniających dzienną opiekę i aktywizację osób wymagających wsparcia</w:t>
      </w:r>
      <w:r w:rsidRPr="008A2FE2">
        <w:rPr>
          <w:rFonts w:ascii="Times New Roman" w:eastAsia="Calibri" w:hAnsi="Times New Roman" w:cs="Times New Roman"/>
          <w:color w:val="000000"/>
          <w:sz w:val="24"/>
          <w:szCs w:val="24"/>
        </w:rPr>
        <w:t xml:space="preserve"> (…) Do końca 2019 r. zawartych było 30 umów z Beneficjentami na łączną kwotę 85 209 968 zł, w tym wartość dofinansowania UE wyniosła 72 428 473 zł. Do końca 2019 r. łącznie w projektach wydatkowano  33 272 835 zł, w tym w 2019 r. -  16 778 721 zł. Do końca 2019 r. wsparciem objęto 1 565 małopolskich seniorów (w tym 844 w 2019 r.).</w:t>
      </w:r>
    </w:p>
    <w:p w14:paraId="1E79E977" w14:textId="77777777" w:rsidR="00F31DCC" w:rsidRPr="008A2FE2" w:rsidRDefault="00F31DCC" w:rsidP="008C71A9">
      <w:pPr>
        <w:numPr>
          <w:ilvl w:val="0"/>
          <w:numId w:val="91"/>
        </w:numPr>
        <w:tabs>
          <w:tab w:val="left" w:pos="426"/>
        </w:tabs>
        <w:spacing w:after="0"/>
        <w:ind w:left="723"/>
        <w:jc w:val="both"/>
        <w:rPr>
          <w:rFonts w:ascii="Times New Roman" w:eastAsia="Calibri" w:hAnsi="Times New Roman" w:cs="Times New Roman"/>
          <w:color w:val="000000"/>
          <w:sz w:val="24"/>
          <w:szCs w:val="24"/>
        </w:rPr>
      </w:pPr>
      <w:r w:rsidRPr="008A2FE2">
        <w:rPr>
          <w:rFonts w:ascii="Times New Roman" w:eastAsia="Calibri" w:hAnsi="Times New Roman" w:cs="Times New Roman"/>
          <w:color w:val="000000"/>
          <w:sz w:val="24"/>
          <w:szCs w:val="24"/>
        </w:rPr>
        <w:t xml:space="preserve">typ projektu A - </w:t>
      </w:r>
      <w:r w:rsidRPr="008A2FE2">
        <w:rPr>
          <w:rFonts w:ascii="Times New Roman" w:eastAsia="Calibri" w:hAnsi="Times New Roman" w:cs="Times New Roman"/>
          <w:bCs/>
          <w:color w:val="000000"/>
          <w:sz w:val="24"/>
          <w:szCs w:val="24"/>
        </w:rPr>
        <w:t>Działania wspierające opiekunów nieformalnych osób wymagających wsparcia, poprzez uruchomienie centrów wsparcia opiekunów</w:t>
      </w:r>
      <w:r w:rsidRPr="008A2FE2">
        <w:rPr>
          <w:rFonts w:ascii="Times New Roman" w:eastAsia="Calibri" w:hAnsi="Times New Roman" w:cs="Times New Roman"/>
          <w:color w:val="000000"/>
          <w:sz w:val="24"/>
          <w:szCs w:val="24"/>
        </w:rPr>
        <w:t xml:space="preserve"> (…). Do końca 2019 r. zawartych było 7 umów z beneficjentami. Wartość projektów objętych umowami - 19 413 148 zł, w tym wartość dofinansowania UE -  16 501 176 zł. W 2019 r. nie podpisano umów w tym obszarze, trwały konkursy. Wartość środków wydatkowanych łącznie do końca 2019 r. -  4 860 871 zł, w tym w 2019 r. -  4 561 780 zł. Do końca 2019 r. wsparciem objęto 1 173 osoby (w tym 1 105| w 2019 r.). </w:t>
      </w:r>
    </w:p>
    <w:p w14:paraId="45FE496E" w14:textId="77777777" w:rsidR="00AE5ACB" w:rsidRDefault="00AE5ACB" w:rsidP="00E7359C">
      <w:pPr>
        <w:tabs>
          <w:tab w:val="left" w:pos="426"/>
        </w:tabs>
        <w:spacing w:after="0"/>
        <w:jc w:val="both"/>
        <w:rPr>
          <w:rFonts w:ascii="Times New Roman" w:eastAsia="Calibri" w:hAnsi="Times New Roman" w:cs="Times New Roman"/>
          <w:color w:val="000000"/>
          <w:sz w:val="24"/>
          <w:szCs w:val="24"/>
        </w:rPr>
      </w:pPr>
    </w:p>
    <w:p w14:paraId="4753E614" w14:textId="77777777" w:rsidR="00C51B4A" w:rsidRDefault="00F31DCC" w:rsidP="00E7359C">
      <w:pPr>
        <w:tabs>
          <w:tab w:val="left" w:pos="426"/>
        </w:tabs>
        <w:spacing w:after="0"/>
        <w:jc w:val="both"/>
        <w:rPr>
          <w:rFonts w:ascii="Times New Roman" w:eastAsia="Calibri" w:hAnsi="Times New Roman" w:cs="Times New Roman"/>
          <w:color w:val="000000"/>
          <w:sz w:val="24"/>
          <w:szCs w:val="24"/>
        </w:rPr>
      </w:pPr>
      <w:r w:rsidRPr="00E82BE0">
        <w:rPr>
          <w:rFonts w:ascii="Times New Roman" w:eastAsia="Calibri" w:hAnsi="Times New Roman" w:cs="Times New Roman"/>
          <w:color w:val="000000"/>
          <w:sz w:val="24"/>
          <w:szCs w:val="24"/>
        </w:rPr>
        <w:t xml:space="preserve">Jednocześnie dofinansowano </w:t>
      </w:r>
      <w:r w:rsidRPr="008A2FE2">
        <w:rPr>
          <w:rFonts w:ascii="Times New Roman" w:eastAsia="Calibri" w:hAnsi="Times New Roman" w:cs="Times New Roman"/>
          <w:bCs/>
          <w:color w:val="000000"/>
          <w:sz w:val="24"/>
          <w:szCs w:val="24"/>
        </w:rPr>
        <w:t>3 projekty łączące obie w/w usługi</w:t>
      </w:r>
      <w:r w:rsidRPr="00E82BE0">
        <w:rPr>
          <w:rFonts w:ascii="Times New Roman" w:eastAsia="Calibri" w:hAnsi="Times New Roman" w:cs="Times New Roman"/>
          <w:color w:val="000000"/>
          <w:sz w:val="24"/>
          <w:szCs w:val="24"/>
        </w:rPr>
        <w:t xml:space="preserve"> społeczne czyli prowadzenie placówki opieki dziennej dla seniorów (planowane nowe 4 placówki i rozszerzenie działalności 1 placówki) i centrum wsparcia opiekunów rodzinnych osób niesamodzielnych (2 nowe planowane, 1 wsparte w dotychczasowej działalności). Wsparciem w tego rodzaju projektach planuje się objąć kolejne 1 566 osób. Łączna wartość tego rodzaju projektów to  16 397 729 zł, z czego dofinansowanie UE wyniosło  13 938 069 zł. Wartość środków wydatkowanych łącznie  do końca 2019 r. - 971 261 zł,</w:t>
      </w:r>
      <w:r w:rsidR="00C51B4A">
        <w:rPr>
          <w:rFonts w:ascii="Times New Roman" w:eastAsia="Calibri" w:hAnsi="Times New Roman" w:cs="Times New Roman"/>
          <w:color w:val="000000"/>
          <w:sz w:val="24"/>
          <w:szCs w:val="24"/>
        </w:rPr>
        <w:t xml:space="preserve"> w tym w 2019 r. -  971 261 zł.</w:t>
      </w:r>
    </w:p>
    <w:p w14:paraId="78AE58A4" w14:textId="77777777" w:rsidR="008A2FE2" w:rsidRDefault="008A2FE2" w:rsidP="00E7359C">
      <w:pPr>
        <w:tabs>
          <w:tab w:val="left" w:pos="426"/>
        </w:tabs>
        <w:spacing w:after="0"/>
        <w:jc w:val="both"/>
        <w:rPr>
          <w:rFonts w:ascii="Times New Roman" w:eastAsia="Calibri" w:hAnsi="Times New Roman" w:cs="Times New Roman"/>
          <w:color w:val="000000"/>
          <w:sz w:val="24"/>
          <w:szCs w:val="24"/>
        </w:rPr>
      </w:pPr>
    </w:p>
    <w:p w14:paraId="538B8171" w14:textId="77777777" w:rsidR="00F31DCC" w:rsidRPr="00C51B4A" w:rsidRDefault="00F31DCC" w:rsidP="008C71A9">
      <w:pPr>
        <w:pStyle w:val="Akapitzlist"/>
        <w:numPr>
          <w:ilvl w:val="0"/>
          <w:numId w:val="92"/>
        </w:numPr>
        <w:tabs>
          <w:tab w:val="left" w:pos="426"/>
        </w:tabs>
        <w:spacing w:after="0"/>
        <w:ind w:left="360"/>
        <w:jc w:val="both"/>
        <w:rPr>
          <w:rFonts w:ascii="Times New Roman" w:eastAsia="Calibri" w:hAnsi="Times New Roman" w:cs="Times New Roman"/>
          <w:color w:val="000000"/>
          <w:sz w:val="24"/>
          <w:szCs w:val="24"/>
        </w:rPr>
      </w:pPr>
      <w:r w:rsidRPr="00C51B4A">
        <w:rPr>
          <w:rFonts w:ascii="Times New Roman" w:eastAsia="Calibri" w:hAnsi="Times New Roman" w:cs="Times New Roman"/>
          <w:color w:val="000000"/>
          <w:sz w:val="24"/>
          <w:szCs w:val="24"/>
        </w:rPr>
        <w:t xml:space="preserve">W oparciu o dotychczas rozstrzygnięte konkursy, uwzględniając także konkursy rozstrzygnięte z początkiem 2020 r. (dla których nie zawarto jeszcze umów o dofinansowanie projektu lub proces ten jest w toku), </w:t>
      </w:r>
      <w:r w:rsidRPr="00C51B4A">
        <w:rPr>
          <w:rFonts w:ascii="Times New Roman" w:eastAsia="Calibri" w:hAnsi="Times New Roman" w:cs="Times New Roman"/>
          <w:bCs/>
          <w:color w:val="000000"/>
          <w:sz w:val="24"/>
          <w:szCs w:val="24"/>
        </w:rPr>
        <w:t>łącznie w regionie powstać ma 61 nowych placówek zapewniających dzienną opiekę i aktywizację starszych osób niesamodzielnych oraz 21 centrów wsparcia opiekunów rodzinnych finansowanych ze środków europejskich.</w:t>
      </w:r>
      <w:r w:rsidRPr="00C51B4A">
        <w:rPr>
          <w:rFonts w:ascii="Times New Roman" w:eastAsia="Calibri" w:hAnsi="Times New Roman" w:cs="Times New Roman"/>
          <w:b/>
          <w:bCs/>
          <w:color w:val="000000"/>
          <w:sz w:val="24"/>
          <w:szCs w:val="24"/>
        </w:rPr>
        <w:t xml:space="preserve"> </w:t>
      </w:r>
    </w:p>
    <w:p w14:paraId="29F19B40" w14:textId="77777777" w:rsidR="00AE5ACB" w:rsidRDefault="00AE5ACB" w:rsidP="00E7359C">
      <w:pPr>
        <w:spacing w:after="0"/>
        <w:jc w:val="both"/>
        <w:rPr>
          <w:rFonts w:ascii="Times New Roman" w:eastAsia="Calibri" w:hAnsi="Times New Roman" w:cs="Times New Roman"/>
          <w:b/>
          <w:color w:val="000000"/>
          <w:sz w:val="24"/>
          <w:szCs w:val="24"/>
        </w:rPr>
      </w:pPr>
    </w:p>
    <w:p w14:paraId="34DDBFDE" w14:textId="77777777" w:rsidR="00F31DCC" w:rsidRPr="00C51B4A" w:rsidRDefault="00F31DCC" w:rsidP="00E7359C">
      <w:pPr>
        <w:spacing w:after="0"/>
        <w:jc w:val="both"/>
        <w:rPr>
          <w:rFonts w:ascii="Times New Roman" w:eastAsia="Calibri" w:hAnsi="Times New Roman" w:cs="Times New Roman"/>
          <w:b/>
          <w:color w:val="000000"/>
          <w:sz w:val="24"/>
          <w:szCs w:val="24"/>
        </w:rPr>
      </w:pPr>
      <w:r w:rsidRPr="00E82BE0">
        <w:rPr>
          <w:rFonts w:ascii="Times New Roman" w:eastAsia="Calibri" w:hAnsi="Times New Roman" w:cs="Times New Roman"/>
          <w:b/>
          <w:bCs/>
          <w:color w:val="000000"/>
          <w:sz w:val="24"/>
          <w:szCs w:val="24"/>
        </w:rPr>
        <w:t>Otwarte konkursy ofert na realizację zdań publicznych Województwa Małopolskiego w zakresie wspiera</w:t>
      </w:r>
      <w:r w:rsidR="00AE5ACB">
        <w:rPr>
          <w:rFonts w:ascii="Times New Roman" w:eastAsia="Calibri" w:hAnsi="Times New Roman" w:cs="Times New Roman"/>
          <w:b/>
          <w:bCs/>
          <w:color w:val="000000"/>
          <w:sz w:val="24"/>
          <w:szCs w:val="24"/>
        </w:rPr>
        <w:t xml:space="preserve">nia funkcjonowania społecznego </w:t>
      </w:r>
      <w:r w:rsidRPr="00E82BE0">
        <w:rPr>
          <w:rFonts w:ascii="Times New Roman" w:eastAsia="Calibri" w:hAnsi="Times New Roman" w:cs="Times New Roman"/>
          <w:b/>
          <w:bCs/>
          <w:color w:val="000000"/>
          <w:sz w:val="24"/>
          <w:szCs w:val="24"/>
        </w:rPr>
        <w:t xml:space="preserve">oraz przeciwdziałania wykluczeniu osób starszych. </w:t>
      </w:r>
      <w:r w:rsidRPr="00E82BE0">
        <w:rPr>
          <w:rFonts w:ascii="Times New Roman" w:eastAsia="Calibri" w:hAnsi="Times New Roman" w:cs="Times New Roman"/>
          <w:color w:val="000000"/>
          <w:sz w:val="24"/>
          <w:szCs w:val="24"/>
        </w:rPr>
        <w:t>Zadanie od 2019 r. o charakterze dwuletnim (realizowane od 2012 r. do 2018 r. w formule jednorocznej), ze środków własnych Województwa Małopolskiego, adresowane do organizacji pozarządowych. W 2019 r. dofinansowano 41 ofert. Projekty najczęściej oferowały: zajęcia edukacyjne, w tym edukację w zakresie aktywności obywatelskiej, warsztaty rękodzielnicze, przedsięwzięcia turystyczne, krajoznawcze, wydarzenia kulturalne, wolontariat seniorów, zdrowy styl życia – warsztaty, wykłady, rekreację i rehabilitację ruchową, naukę obsługi komputera i korzystania z Internetu, integrację międzypokoleniową. Każdego roku z dofinasowanych projektów korzysta ok. 3 000 seniorów z całej Małopolski. Całkowita wartość zadania 2 000 000 zł, poniesione nakłady ogółem i nakłady poniesione w 2019 r. – 1 000 000 zł</w:t>
      </w:r>
      <w:r w:rsidR="008A2FE2">
        <w:rPr>
          <w:rStyle w:val="Odwoanieprzypisudolnego"/>
          <w:rFonts w:ascii="Times New Roman" w:eastAsia="Calibri" w:hAnsi="Times New Roman" w:cs="Times New Roman"/>
          <w:color w:val="000000"/>
          <w:sz w:val="24"/>
          <w:szCs w:val="24"/>
        </w:rPr>
        <w:footnoteReference w:id="104"/>
      </w:r>
      <w:r w:rsidRPr="00E82BE0">
        <w:rPr>
          <w:rFonts w:ascii="Times New Roman" w:eastAsia="Calibri" w:hAnsi="Times New Roman" w:cs="Times New Roman"/>
          <w:color w:val="000000"/>
          <w:sz w:val="24"/>
          <w:szCs w:val="24"/>
        </w:rPr>
        <w:t>.</w:t>
      </w:r>
      <w:r w:rsidRPr="00E82BE0">
        <w:rPr>
          <w:rFonts w:ascii="Times New Roman" w:eastAsia="Calibri" w:hAnsi="Times New Roman" w:cs="Times New Roman"/>
          <w:b/>
          <w:bCs/>
          <w:color w:val="000000"/>
          <w:sz w:val="24"/>
          <w:szCs w:val="24"/>
        </w:rPr>
        <w:t xml:space="preserve"> </w:t>
      </w:r>
    </w:p>
    <w:p w14:paraId="3A16646A" w14:textId="77777777" w:rsidR="00C51B4A" w:rsidRDefault="00C51B4A" w:rsidP="00E7359C">
      <w:pPr>
        <w:spacing w:after="0"/>
        <w:jc w:val="both"/>
        <w:rPr>
          <w:rFonts w:ascii="Times New Roman" w:eastAsia="Calibri" w:hAnsi="Times New Roman" w:cs="Times New Roman"/>
          <w:b/>
          <w:bCs/>
          <w:color w:val="000000"/>
          <w:sz w:val="24"/>
          <w:szCs w:val="24"/>
        </w:rPr>
      </w:pPr>
    </w:p>
    <w:p w14:paraId="08171C44" w14:textId="77777777" w:rsidR="00F31DCC" w:rsidRPr="00E82BE0" w:rsidRDefault="00F31DCC" w:rsidP="00E7359C">
      <w:pPr>
        <w:spacing w:after="0"/>
        <w:jc w:val="both"/>
        <w:rPr>
          <w:rFonts w:ascii="Times New Roman" w:eastAsia="Calibri" w:hAnsi="Times New Roman" w:cs="Times New Roman"/>
          <w:color w:val="0070C0"/>
          <w:sz w:val="24"/>
          <w:szCs w:val="24"/>
          <w:u w:val="single"/>
        </w:rPr>
      </w:pPr>
      <w:r w:rsidRPr="00E82BE0">
        <w:rPr>
          <w:rFonts w:ascii="Times New Roman" w:eastAsia="Calibri" w:hAnsi="Times New Roman" w:cs="Times New Roman"/>
          <w:b/>
          <w:bCs/>
          <w:color w:val="000000"/>
          <w:sz w:val="24"/>
          <w:szCs w:val="24"/>
        </w:rPr>
        <w:lastRenderedPageBreak/>
        <w:t>Otwarte konkursy ofert na realizację zadań publicznych Województwa Małopolskiego w obszarze edukacji prozdrowotnej dla małopolskich seniorów</w:t>
      </w:r>
      <w:r w:rsidRPr="00E82BE0">
        <w:rPr>
          <w:rFonts w:ascii="Times New Roman" w:eastAsia="Calibri" w:hAnsi="Times New Roman" w:cs="Times New Roman"/>
          <w:color w:val="000000"/>
          <w:sz w:val="24"/>
          <w:szCs w:val="24"/>
        </w:rPr>
        <w:t>. Konkurs realizowany od 2016 r. Alokacja konkursowa w latach 2016-2019: 930 000 zł. Liczba dofinansowanych projektów: 28, w tym 9 </w:t>
      </w:r>
      <w:r w:rsidR="00D53F34">
        <w:rPr>
          <w:rFonts w:ascii="Times New Roman" w:eastAsia="Calibri" w:hAnsi="Times New Roman" w:cs="Times New Roman"/>
          <w:color w:val="000000"/>
          <w:sz w:val="24"/>
          <w:szCs w:val="24"/>
        </w:rPr>
        <w:t>w ramach ogłoszonego w 2018 r.</w:t>
      </w:r>
      <w:r w:rsidRPr="00E82BE0">
        <w:rPr>
          <w:rFonts w:ascii="Times New Roman" w:eastAsia="Calibri" w:hAnsi="Times New Roman" w:cs="Times New Roman"/>
          <w:color w:val="000000"/>
          <w:sz w:val="24"/>
          <w:szCs w:val="24"/>
        </w:rPr>
        <w:t xml:space="preserve"> konkursu dwuletniego na lata 2018-2019. Łączna kwota dotacji przyznanej w ramach konkursu wyniosła: 494 950 zł, w tym 244 950 zł </w:t>
      </w:r>
      <w:r w:rsidR="00D53F34">
        <w:rPr>
          <w:rFonts w:ascii="Times New Roman" w:eastAsia="Calibri" w:hAnsi="Times New Roman" w:cs="Times New Roman"/>
          <w:color w:val="000000"/>
          <w:sz w:val="24"/>
          <w:szCs w:val="24"/>
        </w:rPr>
        <w:t>na rok 2018, oraz 250 000 zł na</w:t>
      </w:r>
      <w:r w:rsidRPr="00E82BE0">
        <w:rPr>
          <w:rFonts w:ascii="Times New Roman" w:eastAsia="Calibri" w:hAnsi="Times New Roman" w:cs="Times New Roman"/>
          <w:color w:val="000000"/>
          <w:sz w:val="24"/>
          <w:szCs w:val="24"/>
        </w:rPr>
        <w:t xml:space="preserve"> 2019</w:t>
      </w:r>
      <w:r w:rsidR="00D53F34">
        <w:rPr>
          <w:rFonts w:ascii="Times New Roman" w:eastAsia="Calibri" w:hAnsi="Times New Roman" w:cs="Times New Roman"/>
          <w:color w:val="000000"/>
          <w:sz w:val="24"/>
          <w:szCs w:val="24"/>
        </w:rPr>
        <w:t xml:space="preserve"> r</w:t>
      </w:r>
      <w:r w:rsidRPr="00E82BE0">
        <w:rPr>
          <w:rFonts w:ascii="Times New Roman" w:eastAsia="Calibri" w:hAnsi="Times New Roman" w:cs="Times New Roman"/>
          <w:color w:val="000000"/>
          <w:sz w:val="24"/>
          <w:szCs w:val="24"/>
        </w:rPr>
        <w:t>. W ramach konkursu zlecone zostały zadania polegające na przygotowaniu i przeprowadzeniu cyklu wykładów, kursów, warsztatów i spotkań, mających na celu edukację osób starszych w wieku 50 lat i więcej, w zakresie zdrowego stylu życia. Działania edukacyjne dotyczyły głównie zagadnień związanych z profilaktyką chorób wieku starszego, prawidłowym żywieniem, zdrowiem psychicznym i znaczeniem aktywności intelektualnej i fizycznej  w celu utrzymania jak najdłużej sprawności i samodzielności</w:t>
      </w:r>
      <w:r w:rsidR="00D53F34">
        <w:rPr>
          <w:rStyle w:val="Odwoanieprzypisudolnego"/>
          <w:rFonts w:ascii="Times New Roman" w:eastAsia="Calibri" w:hAnsi="Times New Roman" w:cs="Times New Roman"/>
          <w:color w:val="000000"/>
          <w:sz w:val="24"/>
          <w:szCs w:val="24"/>
        </w:rPr>
        <w:footnoteReference w:id="105"/>
      </w:r>
      <w:r w:rsidRPr="00E82BE0">
        <w:rPr>
          <w:rFonts w:ascii="Times New Roman" w:eastAsia="Calibri" w:hAnsi="Times New Roman" w:cs="Times New Roman"/>
          <w:color w:val="000000"/>
          <w:sz w:val="24"/>
          <w:szCs w:val="24"/>
        </w:rPr>
        <w:t xml:space="preserve">. </w:t>
      </w:r>
    </w:p>
    <w:p w14:paraId="79A40370" w14:textId="77777777" w:rsidR="00C51B4A" w:rsidRDefault="00C51B4A" w:rsidP="00E7359C">
      <w:pPr>
        <w:spacing w:after="0"/>
        <w:jc w:val="both"/>
        <w:rPr>
          <w:rFonts w:ascii="Times New Roman" w:eastAsia="Calibri" w:hAnsi="Times New Roman" w:cs="Times New Roman"/>
          <w:b/>
          <w:color w:val="000000"/>
          <w:sz w:val="24"/>
          <w:szCs w:val="24"/>
        </w:rPr>
      </w:pPr>
    </w:p>
    <w:p w14:paraId="2424DC5F" w14:textId="77777777" w:rsidR="00F31DCC" w:rsidRPr="00C51B4A" w:rsidRDefault="00F31DCC" w:rsidP="00E7359C">
      <w:pPr>
        <w:spacing w:after="0"/>
        <w:jc w:val="both"/>
        <w:rPr>
          <w:rFonts w:ascii="Times New Roman" w:eastAsia="Calibri" w:hAnsi="Times New Roman" w:cs="Times New Roman"/>
          <w:b/>
          <w:color w:val="000000"/>
          <w:sz w:val="24"/>
          <w:szCs w:val="24"/>
        </w:rPr>
      </w:pPr>
      <w:r w:rsidRPr="00E82BE0">
        <w:rPr>
          <w:rFonts w:ascii="Times New Roman" w:eastAsia="Calibri" w:hAnsi="Times New Roman" w:cs="Times New Roman"/>
          <w:b/>
          <w:color w:val="000000"/>
          <w:sz w:val="24"/>
          <w:szCs w:val="24"/>
        </w:rPr>
        <w:t>Konkurs „Mecenat Małopolski”</w:t>
      </w:r>
      <w:r w:rsidRPr="00E82BE0">
        <w:rPr>
          <w:rFonts w:ascii="Times New Roman" w:eastAsia="Calibri" w:hAnsi="Times New Roman" w:cs="Times New Roman"/>
          <w:bCs/>
          <w:color w:val="000000"/>
          <w:sz w:val="24"/>
          <w:szCs w:val="24"/>
        </w:rPr>
        <w:t xml:space="preserve"> - w ramach konkursu wspierane są zadania m.in.: tworzące ambitne formy animacyjne na rzecz międzypokoleniowej aktywizacji społeczności, kreujące postawy tolerancji i wzmacniania wartości płynących z różnorodności życia, aktywizujące różne grupy wiekowe, a zwłaszcza wykorzystujące potencjał osób starszych oraz wspierające projekty artystyczne o wymiarze społecznym, wychowawczym, terapeutycznym. W 2019 r. dofinansowano 269 zadań, a środki wydatkowane z budżetu Województwa Małopolskiego na ten cel wyniosły: 3 533 759 zł</w:t>
      </w:r>
      <w:r w:rsidR="00D53F34">
        <w:rPr>
          <w:rStyle w:val="Odwoanieprzypisudolnego"/>
          <w:rFonts w:ascii="Times New Roman" w:eastAsia="Calibri" w:hAnsi="Times New Roman" w:cs="Times New Roman"/>
          <w:bCs/>
          <w:color w:val="000000"/>
          <w:sz w:val="24"/>
          <w:szCs w:val="24"/>
        </w:rPr>
        <w:footnoteReference w:id="106"/>
      </w:r>
      <w:r w:rsidRPr="00E82BE0">
        <w:rPr>
          <w:rFonts w:ascii="Times New Roman" w:eastAsia="Calibri" w:hAnsi="Times New Roman" w:cs="Times New Roman"/>
          <w:bCs/>
          <w:color w:val="000000"/>
          <w:sz w:val="24"/>
          <w:szCs w:val="24"/>
        </w:rPr>
        <w:t>.</w:t>
      </w:r>
      <w:r w:rsidR="00C51B4A">
        <w:rPr>
          <w:rFonts w:ascii="Times New Roman" w:eastAsia="Calibri" w:hAnsi="Times New Roman" w:cs="Times New Roman"/>
          <w:b/>
          <w:color w:val="000000"/>
          <w:sz w:val="24"/>
          <w:szCs w:val="24"/>
        </w:rPr>
        <w:t xml:space="preserve"> </w:t>
      </w:r>
    </w:p>
    <w:p w14:paraId="3526E594" w14:textId="77777777" w:rsidR="00C51B4A" w:rsidRDefault="00C51B4A" w:rsidP="00E7359C">
      <w:pPr>
        <w:spacing w:after="0"/>
        <w:jc w:val="both"/>
        <w:rPr>
          <w:rFonts w:ascii="Times New Roman" w:eastAsia="Calibri" w:hAnsi="Times New Roman" w:cs="Times New Roman"/>
          <w:b/>
          <w:bCs/>
          <w:color w:val="000000"/>
          <w:sz w:val="24"/>
          <w:szCs w:val="24"/>
        </w:rPr>
      </w:pPr>
    </w:p>
    <w:p w14:paraId="30423A08" w14:textId="77777777" w:rsidR="00F31DCC" w:rsidRPr="00E82BE0" w:rsidRDefault="00F31DCC" w:rsidP="00E7359C">
      <w:pPr>
        <w:spacing w:after="0"/>
        <w:jc w:val="both"/>
        <w:rPr>
          <w:rFonts w:ascii="Times New Roman" w:eastAsia="Calibri" w:hAnsi="Times New Roman" w:cs="Times New Roman"/>
          <w:color w:val="000000"/>
          <w:sz w:val="24"/>
          <w:szCs w:val="24"/>
        </w:rPr>
      </w:pPr>
      <w:r w:rsidRPr="00E82BE0">
        <w:rPr>
          <w:rFonts w:ascii="Times New Roman" w:eastAsia="Calibri" w:hAnsi="Times New Roman" w:cs="Times New Roman"/>
          <w:b/>
          <w:bCs/>
          <w:color w:val="000000"/>
          <w:sz w:val="24"/>
          <w:szCs w:val="24"/>
        </w:rPr>
        <w:t>Budżet Obywatelski Województwa Małopolskiego</w:t>
      </w:r>
      <w:r w:rsidR="00D53F34">
        <w:rPr>
          <w:rFonts w:ascii="Times New Roman" w:eastAsia="Calibri" w:hAnsi="Times New Roman" w:cs="Times New Roman"/>
          <w:color w:val="000000"/>
          <w:sz w:val="24"/>
          <w:szCs w:val="24"/>
        </w:rPr>
        <w:t xml:space="preserve"> (BO) jest</w:t>
      </w:r>
      <w:r w:rsidRPr="00E82BE0">
        <w:rPr>
          <w:rFonts w:ascii="Times New Roman" w:eastAsia="Calibri" w:hAnsi="Times New Roman" w:cs="Times New Roman"/>
          <w:color w:val="000000"/>
          <w:sz w:val="24"/>
          <w:szCs w:val="24"/>
        </w:rPr>
        <w:t xml:space="preserve"> realizowany od 2016 r.  Alokacja przeznaczona na zadania finansowane w ramach BO w 2019 r. (III edycja) wyniosła 8 000 000 zł, w tym na zadania dotyczące seniorów poświęcone problematyce senioralnej integracji międzypokoleniowej, o wyborze których decydowali sami mieszkańcy</w:t>
      </w:r>
      <w:r w:rsidR="00D53F34">
        <w:rPr>
          <w:rStyle w:val="Odwoanieprzypisudolnego"/>
          <w:rFonts w:ascii="Times New Roman" w:eastAsia="Calibri" w:hAnsi="Times New Roman" w:cs="Times New Roman"/>
          <w:color w:val="000000"/>
          <w:sz w:val="24"/>
          <w:szCs w:val="24"/>
        </w:rPr>
        <w:footnoteReference w:id="107"/>
      </w:r>
      <w:r w:rsidRPr="00E82BE0">
        <w:rPr>
          <w:rFonts w:ascii="Times New Roman" w:eastAsia="Calibri" w:hAnsi="Times New Roman" w:cs="Times New Roman"/>
          <w:color w:val="000000"/>
          <w:sz w:val="24"/>
          <w:szCs w:val="24"/>
        </w:rPr>
        <w:t>.</w:t>
      </w:r>
      <w:r w:rsidRPr="00E82BE0">
        <w:rPr>
          <w:rFonts w:ascii="Times New Roman" w:eastAsia="Calibri" w:hAnsi="Times New Roman" w:cs="Times New Roman"/>
          <w:b/>
          <w:color w:val="000000"/>
          <w:sz w:val="24"/>
          <w:szCs w:val="24"/>
        </w:rPr>
        <w:t xml:space="preserve"> </w:t>
      </w:r>
    </w:p>
    <w:p w14:paraId="77B90185" w14:textId="77777777" w:rsidR="00C51B4A" w:rsidRDefault="00C51B4A" w:rsidP="00E7359C">
      <w:pPr>
        <w:spacing w:after="0"/>
        <w:jc w:val="both"/>
        <w:rPr>
          <w:rFonts w:ascii="Times New Roman" w:eastAsia="Calibri" w:hAnsi="Times New Roman" w:cs="Times New Roman"/>
          <w:bCs/>
          <w:color w:val="000000"/>
          <w:sz w:val="24"/>
          <w:szCs w:val="24"/>
        </w:rPr>
      </w:pPr>
    </w:p>
    <w:p w14:paraId="0F7C4980" w14:textId="77777777" w:rsidR="00F31DCC" w:rsidRPr="00E82BE0" w:rsidRDefault="00F31DCC" w:rsidP="00E7359C">
      <w:pPr>
        <w:spacing w:after="0"/>
        <w:jc w:val="both"/>
        <w:rPr>
          <w:rFonts w:ascii="Times New Roman" w:eastAsia="Calibri" w:hAnsi="Times New Roman" w:cs="Times New Roman"/>
          <w:color w:val="000000"/>
          <w:sz w:val="24"/>
          <w:szCs w:val="24"/>
        </w:rPr>
      </w:pPr>
      <w:r w:rsidRPr="00E82BE0">
        <w:rPr>
          <w:rFonts w:ascii="Times New Roman" w:eastAsia="Calibri" w:hAnsi="Times New Roman" w:cs="Times New Roman"/>
          <w:bCs/>
          <w:color w:val="000000"/>
          <w:sz w:val="24"/>
          <w:szCs w:val="24"/>
        </w:rPr>
        <w:t xml:space="preserve">Samorząd Województwa Małopolskiego realizuje także zadania w zakresie wsparcia osób niepełnosprawnych, których liczba wzrasta wraz z wiekiem, obejmują one także </w:t>
      </w:r>
      <w:r w:rsidRPr="00E82BE0">
        <w:rPr>
          <w:rFonts w:ascii="Times New Roman" w:eastAsia="Calibri" w:hAnsi="Times New Roman" w:cs="Times New Roman"/>
          <w:color w:val="000000"/>
          <w:sz w:val="24"/>
          <w:szCs w:val="24"/>
        </w:rPr>
        <w:t>zadania Województwa Małopolskiego finansowane ze środków Państwowego Funduszu Rehabilitacji Osób Niepełnosprawnych (PFRON)</w:t>
      </w:r>
      <w:r w:rsidRPr="00E82BE0">
        <w:rPr>
          <w:rFonts w:ascii="Times New Roman" w:eastAsia="Calibri" w:hAnsi="Times New Roman" w:cs="Times New Roman"/>
          <w:bCs/>
          <w:color w:val="000000"/>
          <w:sz w:val="24"/>
          <w:szCs w:val="24"/>
        </w:rPr>
        <w:t>,</w:t>
      </w:r>
      <w:r w:rsidRPr="00E82BE0">
        <w:rPr>
          <w:rFonts w:ascii="Times New Roman" w:eastAsia="Calibri" w:hAnsi="Times New Roman" w:cs="Times New Roman"/>
          <w:color w:val="000000"/>
          <w:sz w:val="24"/>
          <w:szCs w:val="24"/>
        </w:rPr>
        <w:t xml:space="preserve"> których beneficjentem mogą być organizacje pozarządowe:</w:t>
      </w:r>
      <w:r w:rsidRPr="00E82BE0">
        <w:rPr>
          <w:rFonts w:ascii="Times New Roman" w:eastAsia="Calibri" w:hAnsi="Times New Roman" w:cs="Times New Roman"/>
          <w:b/>
          <w:color w:val="000000"/>
          <w:sz w:val="24"/>
          <w:szCs w:val="24"/>
        </w:rPr>
        <w:t xml:space="preserve"> (</w:t>
      </w:r>
      <w:r w:rsidRPr="00E82BE0">
        <w:rPr>
          <w:rFonts w:ascii="Times New Roman" w:eastAsia="Calibri" w:hAnsi="Times New Roman" w:cs="Times New Roman"/>
          <w:bCs/>
          <w:color w:val="000000"/>
          <w:sz w:val="24"/>
          <w:szCs w:val="24"/>
        </w:rPr>
        <w:t>dofinansowanie robót budowlanych w obiektach służących rehabilitacji osób niepełnosprawnych - w 2019 r. zrealizowano 19 umów, przy łącznym wydatkowaniu środków PFRON na kwotę 3 874 440 zł,</w:t>
      </w:r>
      <w:r w:rsidRPr="00E82BE0">
        <w:rPr>
          <w:rFonts w:ascii="Times New Roman" w:eastAsia="Calibri" w:hAnsi="Times New Roman" w:cs="Times New Roman"/>
          <w:b/>
          <w:color w:val="000000"/>
          <w:sz w:val="24"/>
          <w:szCs w:val="24"/>
        </w:rPr>
        <w:t xml:space="preserve"> </w:t>
      </w:r>
      <w:r w:rsidRPr="00E82BE0">
        <w:rPr>
          <w:rFonts w:ascii="Times New Roman" w:eastAsia="Calibri" w:hAnsi="Times New Roman" w:cs="Times New Roman"/>
          <w:bCs/>
          <w:color w:val="000000"/>
          <w:sz w:val="24"/>
          <w:szCs w:val="24"/>
        </w:rPr>
        <w:t>zadania „miękkie” z zakresu rehabilitacji zawodowej i społecznej osób niepełnosprawnych – w 2019 r. zrealizowano 31 umów, przy łącznym wydatkowaniu środków PFRON na kwotę 799 954 zł.</w:t>
      </w:r>
      <w:r w:rsidRPr="00E82BE0">
        <w:rPr>
          <w:rFonts w:ascii="Times New Roman" w:eastAsia="Calibri" w:hAnsi="Times New Roman" w:cs="Times New Roman"/>
          <w:b/>
          <w:color w:val="000000"/>
          <w:sz w:val="24"/>
          <w:szCs w:val="24"/>
        </w:rPr>
        <w:t xml:space="preserve"> </w:t>
      </w:r>
      <w:r w:rsidRPr="00E82BE0">
        <w:rPr>
          <w:rFonts w:ascii="Times New Roman" w:eastAsia="Calibri" w:hAnsi="Times New Roman" w:cs="Times New Roman"/>
          <w:bCs/>
          <w:color w:val="000000"/>
          <w:sz w:val="24"/>
          <w:szCs w:val="24"/>
        </w:rPr>
        <w:t>Okres realizacji: od 2003 r. w sposób ciągły</w:t>
      </w:r>
      <w:r w:rsidR="00D53F34">
        <w:rPr>
          <w:rStyle w:val="Odwoanieprzypisudolnego"/>
          <w:rFonts w:ascii="Times New Roman" w:eastAsia="Calibri" w:hAnsi="Times New Roman" w:cs="Times New Roman"/>
          <w:bCs/>
          <w:color w:val="000000"/>
          <w:sz w:val="24"/>
          <w:szCs w:val="24"/>
        </w:rPr>
        <w:footnoteReference w:id="108"/>
      </w:r>
      <w:r w:rsidRPr="00E82BE0">
        <w:rPr>
          <w:rFonts w:ascii="Times New Roman" w:eastAsia="Calibri" w:hAnsi="Times New Roman" w:cs="Times New Roman"/>
          <w:bCs/>
          <w:color w:val="000000"/>
          <w:sz w:val="24"/>
          <w:szCs w:val="24"/>
        </w:rPr>
        <w:t>.</w:t>
      </w:r>
      <w:r w:rsidRPr="00E82BE0">
        <w:rPr>
          <w:rFonts w:ascii="Times New Roman" w:eastAsia="Calibri" w:hAnsi="Times New Roman" w:cs="Times New Roman"/>
          <w:b/>
          <w:color w:val="000000"/>
          <w:sz w:val="24"/>
          <w:szCs w:val="24"/>
        </w:rPr>
        <w:t xml:space="preserve"> </w:t>
      </w:r>
    </w:p>
    <w:p w14:paraId="2E1C627B" w14:textId="77777777" w:rsidR="00C51B4A" w:rsidRDefault="00C51B4A" w:rsidP="00E7359C">
      <w:pPr>
        <w:spacing w:after="0"/>
        <w:jc w:val="both"/>
        <w:rPr>
          <w:rFonts w:ascii="Times New Roman" w:eastAsia="Calibri" w:hAnsi="Times New Roman" w:cs="Times New Roman"/>
          <w:b/>
          <w:color w:val="000000"/>
          <w:sz w:val="24"/>
          <w:szCs w:val="24"/>
        </w:rPr>
      </w:pPr>
    </w:p>
    <w:p w14:paraId="11FADE41" w14:textId="77777777" w:rsidR="00F31DCC" w:rsidRPr="00E82BE0" w:rsidRDefault="00F31DCC" w:rsidP="00E7359C">
      <w:pPr>
        <w:spacing w:after="0"/>
        <w:jc w:val="both"/>
        <w:rPr>
          <w:rFonts w:ascii="Times New Roman" w:eastAsia="Calibri" w:hAnsi="Times New Roman" w:cs="Times New Roman"/>
          <w:b/>
          <w:color w:val="000000"/>
          <w:sz w:val="24"/>
          <w:szCs w:val="24"/>
        </w:rPr>
      </w:pPr>
      <w:r w:rsidRPr="00E82BE0">
        <w:rPr>
          <w:rFonts w:ascii="Times New Roman" w:eastAsia="Calibri" w:hAnsi="Times New Roman" w:cs="Times New Roman"/>
          <w:b/>
          <w:bCs/>
          <w:color w:val="000000"/>
          <w:sz w:val="24"/>
          <w:szCs w:val="24"/>
        </w:rPr>
        <w:t xml:space="preserve">XIII Plebiscyt Poza Stereotypem – Senior Roku. </w:t>
      </w:r>
    </w:p>
    <w:p w14:paraId="602D27B9" w14:textId="77777777" w:rsidR="00F31DCC" w:rsidRPr="00E82BE0" w:rsidRDefault="00F31DCC" w:rsidP="00E7359C">
      <w:pPr>
        <w:spacing w:after="0"/>
        <w:jc w:val="both"/>
        <w:rPr>
          <w:rFonts w:ascii="Times New Roman" w:eastAsia="Calibri" w:hAnsi="Times New Roman" w:cs="Times New Roman"/>
          <w:b/>
          <w:color w:val="000000"/>
          <w:sz w:val="24"/>
          <w:szCs w:val="24"/>
        </w:rPr>
      </w:pPr>
      <w:r w:rsidRPr="00E82BE0">
        <w:rPr>
          <w:rFonts w:ascii="Times New Roman" w:eastAsia="Calibri" w:hAnsi="Times New Roman" w:cs="Times New Roman"/>
          <w:bCs/>
          <w:color w:val="000000"/>
          <w:sz w:val="24"/>
          <w:szCs w:val="24"/>
        </w:rPr>
        <w:t xml:space="preserve">Zadanie o charakterze jednorocznym realizowane od 2007 r. ze środków własnych Województwa Małopolskiego przez Regionalny Ośrodek Polityki Społecznej w Krakowie. Zakres rzeczowy zrealizowany w 2019 r.: ogłoszono Plebiscyt, kapituła Plebiscytu rozpatrzyła 16 zgłoszeń do Plebiscytu. Zorganizowano Galę Plebiscytu, podczas której nagrodzono dwoje </w:t>
      </w:r>
      <w:r w:rsidRPr="00E82BE0">
        <w:rPr>
          <w:rFonts w:ascii="Times New Roman" w:eastAsia="Calibri" w:hAnsi="Times New Roman" w:cs="Times New Roman"/>
          <w:bCs/>
          <w:color w:val="000000"/>
          <w:sz w:val="24"/>
          <w:szCs w:val="24"/>
        </w:rPr>
        <w:lastRenderedPageBreak/>
        <w:t xml:space="preserve">seniorów oraz przyznano 4 wyróżnienia. Od początku konkursu Województwo Małopolskie nagrodziło 26 aktywnych Małopolan w sile wieku, a 48 wyróżniło. </w:t>
      </w:r>
    </w:p>
    <w:p w14:paraId="3F59C251" w14:textId="77777777" w:rsidR="00C51B4A" w:rsidRDefault="00C51B4A" w:rsidP="00E7359C">
      <w:pPr>
        <w:spacing w:after="0"/>
        <w:jc w:val="both"/>
        <w:rPr>
          <w:rFonts w:ascii="Times New Roman" w:eastAsia="Calibri" w:hAnsi="Times New Roman" w:cs="Times New Roman"/>
          <w:b/>
          <w:bCs/>
          <w:color w:val="000000"/>
          <w:sz w:val="24"/>
          <w:szCs w:val="24"/>
        </w:rPr>
      </w:pPr>
    </w:p>
    <w:p w14:paraId="71807CA8" w14:textId="77777777" w:rsidR="00C51B4A" w:rsidRDefault="00C51B4A" w:rsidP="00E7359C">
      <w:pPr>
        <w:spacing w:after="0"/>
        <w:jc w:val="both"/>
        <w:rPr>
          <w:rFonts w:ascii="Times New Roman" w:eastAsia="Calibri" w:hAnsi="Times New Roman" w:cs="Times New Roman"/>
          <w:b/>
          <w:bCs/>
          <w:color w:val="000000"/>
          <w:sz w:val="24"/>
          <w:szCs w:val="24"/>
        </w:rPr>
      </w:pPr>
    </w:p>
    <w:p w14:paraId="693B3410" w14:textId="77777777" w:rsidR="00F31DCC" w:rsidRPr="00E82BE0" w:rsidRDefault="00F31DCC" w:rsidP="00E7359C">
      <w:pPr>
        <w:spacing w:after="0"/>
        <w:jc w:val="both"/>
        <w:rPr>
          <w:rFonts w:ascii="Times New Roman" w:eastAsia="Calibri" w:hAnsi="Times New Roman" w:cs="Times New Roman"/>
          <w:b/>
          <w:color w:val="000000"/>
          <w:sz w:val="24"/>
          <w:szCs w:val="24"/>
        </w:rPr>
      </w:pPr>
      <w:r w:rsidRPr="00E82BE0">
        <w:rPr>
          <w:rFonts w:ascii="Times New Roman" w:eastAsia="Calibri" w:hAnsi="Times New Roman" w:cs="Times New Roman"/>
          <w:b/>
          <w:bCs/>
          <w:color w:val="000000"/>
          <w:sz w:val="24"/>
          <w:szCs w:val="24"/>
        </w:rPr>
        <w:t>IX edycji Akcji Miejsce Przyjazne Seniorom</w:t>
      </w:r>
      <w:r w:rsidRPr="00E82BE0">
        <w:rPr>
          <w:rFonts w:ascii="Times New Roman" w:eastAsia="Calibri" w:hAnsi="Times New Roman" w:cs="Times New Roman"/>
          <w:color w:val="000000"/>
          <w:sz w:val="24"/>
          <w:szCs w:val="24"/>
        </w:rPr>
        <w:t xml:space="preserve">. </w:t>
      </w:r>
    </w:p>
    <w:p w14:paraId="1F492D8B" w14:textId="77777777" w:rsidR="00F31DCC" w:rsidRPr="00E82BE0" w:rsidRDefault="00F31DCC" w:rsidP="00E7359C">
      <w:pPr>
        <w:spacing w:after="0"/>
        <w:jc w:val="both"/>
        <w:rPr>
          <w:rFonts w:ascii="Times New Roman" w:eastAsia="Calibri" w:hAnsi="Times New Roman" w:cs="Times New Roman"/>
          <w:b/>
          <w:color w:val="000000"/>
          <w:sz w:val="24"/>
          <w:szCs w:val="24"/>
        </w:rPr>
      </w:pPr>
      <w:r w:rsidRPr="00E82BE0">
        <w:rPr>
          <w:rFonts w:ascii="Times New Roman" w:eastAsia="Calibri" w:hAnsi="Times New Roman" w:cs="Times New Roman"/>
          <w:bCs/>
          <w:color w:val="000000"/>
          <w:sz w:val="24"/>
          <w:szCs w:val="24"/>
        </w:rPr>
        <w:t>Akcja Miejsce Przyjazne Seniorom realizowana jest przez Regionalny Ośrodek Polityki Społecznej w Krakowie w oparciu o porozumienie zawarte pomiędzy Samorządem Województwa Małopolskiego a Gminą Miejską Kraków w 2011 r. W 2019 r. wpłynęło 16 zgłoszeń, a certyfikat przyznano 6 podmiotom, wyróżniono 5. W sumie, w 9 edycjach akcji przyznano 163 certyfikaty i 67 wyróżnień (ponad 80 różnych miejsc w Krakowie zostało opatrzonych Certyfikatem Miejsce Przyjazne Seniorom). Wśród miejsc oznaczonych Certyfikatem znajdują się liczne biblioteki, muzea, kina i domy kultury, ale są także kawiarnie, firmy działające w branży medycznej, obiekty służące rekreacji ruchowej (baseny, kluby fitness), Miejskie Przedsiębiorstwo Komunikacji, Szpital im. Jana Pawła II.</w:t>
      </w:r>
    </w:p>
    <w:p w14:paraId="5564FE45" w14:textId="77777777" w:rsidR="00C51B4A" w:rsidRDefault="00C51B4A" w:rsidP="00E7359C">
      <w:pPr>
        <w:spacing w:after="0"/>
        <w:jc w:val="both"/>
        <w:rPr>
          <w:rFonts w:ascii="Times New Roman" w:hAnsi="Times New Roman" w:cs="Times New Roman"/>
          <w:color w:val="000000"/>
          <w:sz w:val="24"/>
          <w:szCs w:val="24"/>
        </w:rPr>
      </w:pPr>
    </w:p>
    <w:p w14:paraId="1E7B6F91" w14:textId="77777777" w:rsidR="00C51B4A" w:rsidRDefault="00F31DCC" w:rsidP="00E7359C">
      <w:pPr>
        <w:spacing w:after="0"/>
        <w:jc w:val="both"/>
        <w:rPr>
          <w:rFonts w:ascii="Times New Roman" w:hAnsi="Times New Roman" w:cs="Times New Roman"/>
          <w:color w:val="000000"/>
          <w:sz w:val="24"/>
          <w:szCs w:val="24"/>
        </w:rPr>
      </w:pPr>
      <w:r w:rsidRPr="00C51B4A">
        <w:rPr>
          <w:rFonts w:ascii="Times New Roman" w:hAnsi="Times New Roman" w:cs="Times New Roman"/>
          <w:color w:val="000000"/>
          <w:sz w:val="24"/>
          <w:szCs w:val="24"/>
        </w:rPr>
        <w:t xml:space="preserve">Samorząd Województwa Małopolskiego realizuje </w:t>
      </w:r>
      <w:r w:rsidRPr="00C51B4A">
        <w:rPr>
          <w:rFonts w:ascii="Times New Roman" w:hAnsi="Times New Roman" w:cs="Times New Roman"/>
          <w:b/>
          <w:bCs/>
          <w:color w:val="000000"/>
          <w:sz w:val="24"/>
          <w:szCs w:val="24"/>
        </w:rPr>
        <w:t>projekt</w:t>
      </w:r>
      <w:r w:rsidRPr="00C51B4A">
        <w:rPr>
          <w:rFonts w:ascii="Times New Roman" w:hAnsi="Times New Roman" w:cs="Times New Roman"/>
          <w:color w:val="000000"/>
          <w:sz w:val="24"/>
          <w:szCs w:val="24"/>
        </w:rPr>
        <w:t xml:space="preserve"> </w:t>
      </w:r>
      <w:r w:rsidRPr="00C51B4A">
        <w:rPr>
          <w:rFonts w:ascii="Times New Roman" w:hAnsi="Times New Roman" w:cs="Times New Roman"/>
          <w:b/>
          <w:bCs/>
          <w:color w:val="000000"/>
          <w:sz w:val="24"/>
          <w:szCs w:val="24"/>
        </w:rPr>
        <w:t>„Małopolski Tele-Anioł”</w:t>
      </w:r>
      <w:r w:rsidRPr="00C51B4A">
        <w:rPr>
          <w:rFonts w:ascii="Times New Roman" w:hAnsi="Times New Roman" w:cs="Times New Roman"/>
          <w:color w:val="000000"/>
          <w:sz w:val="24"/>
          <w:szCs w:val="24"/>
        </w:rPr>
        <w:t xml:space="preserve"> współfinansowany ze środków Unii Europejskiej w ramach Regionalnego Programu Operacyjnego Województwa Małopolskiego na lata 2014-2020, 9. oś Priorytetowa</w:t>
      </w:r>
      <w:r w:rsidRPr="00C51B4A">
        <w:rPr>
          <w:rFonts w:ascii="Times New Roman" w:hAnsi="Times New Roman" w:cs="Times New Roman"/>
          <w:color w:val="000000"/>
          <w:sz w:val="24"/>
          <w:szCs w:val="24"/>
        </w:rPr>
        <w:br/>
        <w:t xml:space="preserve">– Region spójny społecznie, działanie 9.2. USŁUGI SPOŁECZNE I ZDROWOTNE, poddziałanie 9.2.1 USŁUGI SPOŁECZNE I ZDROWOTNE W REGIONIE, zakres wsparcia: D. </w:t>
      </w:r>
      <w:r w:rsidRPr="00C51B4A">
        <w:rPr>
          <w:rFonts w:ascii="Times New Roman" w:hAnsi="Times New Roman" w:cs="Times New Roman"/>
          <w:bCs/>
          <w:color w:val="000000"/>
          <w:sz w:val="24"/>
          <w:szCs w:val="24"/>
        </w:rPr>
        <w:t>Wsparcie projektów z zakresu teleopieki</w:t>
      </w:r>
      <w:r w:rsidRPr="00C51B4A">
        <w:rPr>
          <w:rFonts w:ascii="Times New Roman" w:hAnsi="Times New Roman" w:cs="Times New Roman"/>
          <w:color w:val="000000"/>
          <w:sz w:val="24"/>
          <w:szCs w:val="24"/>
        </w:rPr>
        <w:t xml:space="preserve">. Wartość projektu – 38 219 606,29 zł, w tym: dofinansowanie ze środków UE w wysokości 35 426 663,62 zł. Projekt realizowany jest w partnerstwie. Województwo Małopolskie pełni funkcję Lidera Projektu. Pozostałymi partnerami są Caritas Diecezji Kieleckiej i Stowarzyszenie Europejski Instytut Rozwoju Regionalnego z Suchej Beskidzkiej.  Celem projektu jest poprawa jakości życia osób niesamodzielnych poprzez realizację działań na rzecz rozwoju usług opiekuńczych i sąsiedzkich w miejscu zamieszkania oraz wykorzystujących nowoczesne technologie informacyjno-komunikacyjne umożliwiające osobom niesamodzielnym jak najdłuższe bezpieczne pozostanie w ich środowisku oraz utworzenie Centrum Teleopieki. Dzięki wykorzystaniu nowoczesnych technologii informacyjno-komunikacyjnych oraz zapewnieniu wsparcia usług opiekuńczych, osoby niesamodzielne będą miały szansę na dłuższe bezpieczne pozostanie w ich dotychczasowym środowisku. Projekt jest skierowany do osób, które mieszkają na terenie województwa małopolskiego i są niesamodzielne, ze względu na wiek, stan zdrowia lub niepełnosprawność wymagającą opieki lub wsparcia w związku z niemożnością samodzielnego wykonywania co najmniej jednej z podstawowych czynności dnia codziennego (np. przygotowywanie i spożywanie posiłków, sprzątanie, poruszanie się, wychodzenie z domu, ubieranie i rozbieranie, higiena osobista, itp.). Wszystkie osoby włączone do projektu otrzymują bezpłatne opaski bezpieczeństwa wyposażone w przycisk SOS i kartę SIM z możliwością połączenia głosowego z Centrum Teleopieki (24h/7dni w tygodniu). Zgłoszenia odbierają wykwalifikowani ratownicy medyczni, którzy ocenią stopień zagrożenia i udzielą wsparcia adekwatnego do wezwania. Opaski bezpieczeństwa wyposażone są również w dodatkowe funkcje: czujnik upadku, lokalizator położenia GPS oraz czujnik tętna. W utworzonym w ramach projektu Centrum Teleopieki pomocy udzielają również asystenci teleopieki oraz psycholodzy. Ponadto w ramach projektu przewidziano dodatkowe wsparcie dla ok. 30% najbardziej potrzebujących pomocy uczestników projektu w postaci usług opiekuńczych  i sąsiedzkich usług opiekuńczych </w:t>
      </w:r>
      <w:r w:rsidRPr="00C51B4A">
        <w:rPr>
          <w:rFonts w:ascii="Times New Roman" w:hAnsi="Times New Roman" w:cs="Times New Roman"/>
          <w:color w:val="000000"/>
          <w:sz w:val="24"/>
          <w:szCs w:val="24"/>
        </w:rPr>
        <w:lastRenderedPageBreak/>
        <w:t xml:space="preserve">świadczonych w miejscu zamieszkania. </w:t>
      </w:r>
      <w:r w:rsidRPr="00C51B4A">
        <w:rPr>
          <w:rFonts w:ascii="Times New Roman" w:hAnsi="Times New Roman" w:cs="Times New Roman"/>
          <w:bCs/>
          <w:color w:val="000000"/>
          <w:sz w:val="24"/>
          <w:szCs w:val="24"/>
        </w:rPr>
        <w:t>Do końca 2019 roku z oferowanego w ramach projektu wsparcia skorzystało 3 585 osób niesamodzielnych</w:t>
      </w:r>
      <w:r w:rsidRPr="00C51B4A">
        <w:rPr>
          <w:rFonts w:ascii="Times New Roman" w:hAnsi="Times New Roman" w:cs="Times New Roman"/>
          <w:color w:val="000000"/>
          <w:sz w:val="24"/>
          <w:szCs w:val="24"/>
        </w:rPr>
        <w:t>,</w:t>
      </w:r>
      <w:r w:rsidRPr="00C51B4A">
        <w:rPr>
          <w:rFonts w:ascii="Times New Roman" w:hAnsi="Times New Roman" w:cs="Times New Roman"/>
          <w:bCs/>
          <w:color w:val="000000"/>
          <w:sz w:val="24"/>
          <w:szCs w:val="24"/>
        </w:rPr>
        <w:t xml:space="preserve"> </w:t>
      </w:r>
      <w:r w:rsidRPr="00C51B4A">
        <w:rPr>
          <w:rFonts w:ascii="Times New Roman" w:hAnsi="Times New Roman" w:cs="Times New Roman"/>
          <w:color w:val="000000"/>
          <w:sz w:val="24"/>
          <w:szCs w:val="24"/>
        </w:rPr>
        <w:t>zdecydowaną większość z tej grupy stanowią seniorzy. Okres realizacji projektu: 36 miesięcy - od  29 marca 2018 r. do 28 marca 2021 r.</w:t>
      </w:r>
    </w:p>
    <w:p w14:paraId="0073C0A2" w14:textId="77777777" w:rsidR="00F31DCC" w:rsidRPr="00E82BE0" w:rsidRDefault="00F31DCC" w:rsidP="00E7359C">
      <w:pPr>
        <w:spacing w:after="0"/>
        <w:jc w:val="both"/>
        <w:rPr>
          <w:rFonts w:ascii="Times New Roman" w:hAnsi="Times New Roman" w:cs="Times New Roman"/>
          <w:color w:val="000000"/>
          <w:sz w:val="24"/>
          <w:szCs w:val="24"/>
        </w:rPr>
      </w:pPr>
      <w:r w:rsidRPr="00E82BE0">
        <w:rPr>
          <w:rFonts w:ascii="Times New Roman" w:hAnsi="Times New Roman" w:cs="Times New Roman"/>
          <w:bCs/>
          <w:color w:val="000000"/>
          <w:sz w:val="24"/>
          <w:szCs w:val="24"/>
        </w:rPr>
        <w:t>Departament Rodziny, Zdrowia i Spraw Społecznych Urzędu Marszałkowskiego Województwa Małopolskiego finansuje programy zdrowotne - polityki zdrowotnej opracowane z inicjatywy Samorządu Województwa Małopolskiego i realizowane przez podmioty lecznicze, przeznaczone dla osób dorosłych, w tym również seniorów. Programy zostały zaopiniowane przez Agencję Oceny Technologii Medycznych i Taryfikacji, są to:</w:t>
      </w:r>
    </w:p>
    <w:p w14:paraId="73B1A7BE" w14:textId="77777777" w:rsidR="00C51B4A" w:rsidRPr="00C51B4A" w:rsidRDefault="00C51B4A" w:rsidP="00E7359C">
      <w:pPr>
        <w:spacing w:after="0"/>
        <w:jc w:val="both"/>
        <w:rPr>
          <w:rFonts w:ascii="Times New Roman" w:hAnsi="Times New Roman" w:cs="Times New Roman"/>
          <w:color w:val="000000"/>
          <w:sz w:val="24"/>
          <w:szCs w:val="24"/>
        </w:rPr>
      </w:pPr>
    </w:p>
    <w:p w14:paraId="017D1A44" w14:textId="77777777" w:rsidR="00F31DCC" w:rsidRPr="00E82BE0" w:rsidRDefault="00F31DCC" w:rsidP="00E7359C">
      <w:pPr>
        <w:spacing w:after="0"/>
        <w:jc w:val="both"/>
        <w:rPr>
          <w:rFonts w:ascii="Times New Roman" w:hAnsi="Times New Roman" w:cs="Times New Roman"/>
          <w:color w:val="000000"/>
          <w:sz w:val="24"/>
          <w:szCs w:val="24"/>
        </w:rPr>
      </w:pPr>
      <w:r w:rsidRPr="00E82BE0">
        <w:rPr>
          <w:rFonts w:ascii="Times New Roman" w:hAnsi="Times New Roman" w:cs="Times New Roman"/>
          <w:bCs/>
          <w:iCs/>
          <w:color w:val="000000"/>
          <w:sz w:val="24"/>
          <w:szCs w:val="24"/>
        </w:rPr>
        <w:t xml:space="preserve">Program zdrowotny w zakresie prewencji i wykrywania chorób układu krążenia </w:t>
      </w:r>
      <w:r w:rsidRPr="00E82BE0">
        <w:rPr>
          <w:rFonts w:ascii="Times New Roman" w:hAnsi="Times New Roman" w:cs="Times New Roman"/>
          <w:bCs/>
          <w:iCs/>
          <w:color w:val="000000"/>
          <w:sz w:val="24"/>
          <w:szCs w:val="24"/>
        </w:rPr>
        <w:br/>
        <w:t>w populacji mieszkańców województwa małopolskiego,</w:t>
      </w:r>
    </w:p>
    <w:p w14:paraId="3765537B" w14:textId="77777777" w:rsidR="00C51B4A" w:rsidRPr="00C51B4A" w:rsidRDefault="00C51B4A" w:rsidP="00E7359C">
      <w:pPr>
        <w:spacing w:after="0"/>
        <w:jc w:val="both"/>
        <w:rPr>
          <w:rFonts w:ascii="Times New Roman" w:hAnsi="Times New Roman" w:cs="Times New Roman"/>
          <w:color w:val="000000"/>
          <w:sz w:val="24"/>
          <w:szCs w:val="24"/>
        </w:rPr>
      </w:pPr>
    </w:p>
    <w:p w14:paraId="4540790A" w14:textId="77777777" w:rsidR="00F31DCC" w:rsidRPr="00E82BE0" w:rsidRDefault="00F31DCC" w:rsidP="00E7359C">
      <w:pPr>
        <w:spacing w:after="0"/>
        <w:jc w:val="both"/>
        <w:rPr>
          <w:rFonts w:ascii="Times New Roman" w:hAnsi="Times New Roman" w:cs="Times New Roman"/>
          <w:color w:val="000000"/>
          <w:sz w:val="24"/>
          <w:szCs w:val="24"/>
        </w:rPr>
      </w:pPr>
      <w:r w:rsidRPr="00E82BE0">
        <w:rPr>
          <w:rFonts w:ascii="Times New Roman" w:hAnsi="Times New Roman" w:cs="Times New Roman"/>
          <w:bCs/>
          <w:iCs/>
          <w:color w:val="000000"/>
          <w:sz w:val="24"/>
          <w:szCs w:val="24"/>
        </w:rPr>
        <w:t xml:space="preserve">Prozdrowotne oddziaływania edukacyjne na rzecz zmniejszenia umieralności </w:t>
      </w:r>
      <w:r w:rsidRPr="00E82BE0">
        <w:rPr>
          <w:rFonts w:ascii="Times New Roman" w:hAnsi="Times New Roman" w:cs="Times New Roman"/>
          <w:bCs/>
          <w:iCs/>
          <w:color w:val="000000"/>
          <w:sz w:val="24"/>
          <w:szCs w:val="24"/>
        </w:rPr>
        <w:br/>
        <w:t>na nowotwory w Małopolsce,</w:t>
      </w:r>
    </w:p>
    <w:p w14:paraId="55705464" w14:textId="77777777" w:rsidR="00C51B4A" w:rsidRDefault="00C51B4A" w:rsidP="00E7359C">
      <w:pPr>
        <w:spacing w:after="0"/>
        <w:jc w:val="both"/>
        <w:rPr>
          <w:rFonts w:ascii="Times New Roman" w:hAnsi="Times New Roman" w:cs="Times New Roman"/>
          <w:bCs/>
          <w:iCs/>
          <w:color w:val="000000"/>
          <w:sz w:val="24"/>
          <w:szCs w:val="24"/>
        </w:rPr>
      </w:pPr>
    </w:p>
    <w:p w14:paraId="51625F69" w14:textId="77777777" w:rsidR="00F31DCC" w:rsidRPr="00E82BE0" w:rsidRDefault="00F31DCC" w:rsidP="00E7359C">
      <w:pPr>
        <w:spacing w:after="0"/>
        <w:jc w:val="both"/>
        <w:rPr>
          <w:rFonts w:ascii="Times New Roman" w:hAnsi="Times New Roman" w:cs="Times New Roman"/>
          <w:color w:val="000000"/>
          <w:sz w:val="24"/>
          <w:szCs w:val="24"/>
        </w:rPr>
      </w:pPr>
      <w:r w:rsidRPr="00E82BE0">
        <w:rPr>
          <w:rFonts w:ascii="Times New Roman" w:hAnsi="Times New Roman" w:cs="Times New Roman"/>
          <w:bCs/>
          <w:iCs/>
          <w:color w:val="000000"/>
          <w:sz w:val="24"/>
          <w:szCs w:val="24"/>
        </w:rPr>
        <w:t>Zapobieganie nadwadze i otyłości wśród mieszkańców województwa małopolskiego.</w:t>
      </w:r>
    </w:p>
    <w:p w14:paraId="45F32C3D" w14:textId="77777777" w:rsidR="00F31DCC" w:rsidRPr="00E82BE0" w:rsidRDefault="00D53F34" w:rsidP="00E7359C">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Okres realizacji: od 2012 r.</w:t>
      </w:r>
      <w:r w:rsidR="00F31DCC" w:rsidRPr="00E82BE0">
        <w:rPr>
          <w:rFonts w:ascii="Times New Roman" w:hAnsi="Times New Roman" w:cs="Times New Roman"/>
          <w:bCs/>
          <w:color w:val="000000"/>
          <w:sz w:val="24"/>
          <w:szCs w:val="24"/>
        </w:rPr>
        <w:t xml:space="preserve">, w sposób ciągły z wyjątkiem programu pn. </w:t>
      </w:r>
      <w:r w:rsidR="00F31DCC" w:rsidRPr="00E82BE0">
        <w:rPr>
          <w:rFonts w:ascii="Times New Roman" w:hAnsi="Times New Roman" w:cs="Times New Roman"/>
          <w:bCs/>
          <w:iCs/>
          <w:color w:val="000000"/>
          <w:sz w:val="24"/>
          <w:szCs w:val="24"/>
        </w:rPr>
        <w:t>Zapobieganie nadwadze i otyłości wśród mieszkańców województwa małopolskiego</w:t>
      </w:r>
      <w:r w:rsidR="00F31DCC" w:rsidRPr="00E82BE0">
        <w:rPr>
          <w:rFonts w:ascii="Times New Roman" w:hAnsi="Times New Roman" w:cs="Times New Roman"/>
          <w:bCs/>
          <w:color w:val="000000"/>
          <w:sz w:val="24"/>
          <w:szCs w:val="24"/>
        </w:rPr>
        <w:t>, którego realizację rozpoczęto w 2017 r. W 2019 r. na wskazane programy wydatkowano łącznie 1 023 548,13 zł.</w:t>
      </w:r>
    </w:p>
    <w:p w14:paraId="1CF50BFC" w14:textId="77777777" w:rsidR="00F31DCC" w:rsidRPr="00E82BE0" w:rsidRDefault="00F31DCC" w:rsidP="00E7359C">
      <w:pPr>
        <w:spacing w:after="0"/>
        <w:jc w:val="both"/>
        <w:rPr>
          <w:rFonts w:ascii="Times New Roman" w:hAnsi="Times New Roman" w:cs="Times New Roman"/>
          <w:b/>
          <w:sz w:val="24"/>
          <w:szCs w:val="24"/>
        </w:rPr>
      </w:pPr>
    </w:p>
    <w:p w14:paraId="7FD984A1" w14:textId="77777777" w:rsidR="00C51B4A" w:rsidRPr="00D53F34" w:rsidRDefault="00C51B4A" w:rsidP="00E7359C">
      <w:pPr>
        <w:spacing w:after="0"/>
        <w:jc w:val="both"/>
        <w:rPr>
          <w:rFonts w:ascii="Times New Roman" w:hAnsi="Times New Roman" w:cs="Times New Roman"/>
          <w:color w:val="00B0F0"/>
          <w:sz w:val="24"/>
          <w:szCs w:val="24"/>
        </w:rPr>
      </w:pPr>
      <w:r w:rsidRPr="00D53F34">
        <w:rPr>
          <w:rFonts w:ascii="Times New Roman" w:hAnsi="Times New Roman" w:cs="Times New Roman"/>
          <w:b/>
          <w:color w:val="00B0F0"/>
          <w:sz w:val="24"/>
          <w:szCs w:val="24"/>
        </w:rPr>
        <w:t>Przykłady dobrych praktyk na poziomie lokalnym</w:t>
      </w:r>
    </w:p>
    <w:p w14:paraId="56C21CA2" w14:textId="77777777" w:rsidR="00F31DCC" w:rsidRPr="00E82BE0" w:rsidRDefault="00F31DCC" w:rsidP="00E7359C">
      <w:pPr>
        <w:spacing w:after="0"/>
        <w:jc w:val="both"/>
        <w:rPr>
          <w:rFonts w:ascii="Times New Roman" w:hAnsi="Times New Roman" w:cs="Times New Roman"/>
          <w:sz w:val="24"/>
          <w:szCs w:val="24"/>
        </w:rPr>
      </w:pPr>
    </w:p>
    <w:p w14:paraId="6FD14E56" w14:textId="77777777" w:rsidR="00F31DCC" w:rsidRPr="00E82BE0" w:rsidRDefault="00F31DCC" w:rsidP="008C71A9">
      <w:pPr>
        <w:numPr>
          <w:ilvl w:val="0"/>
          <w:numId w:val="93"/>
        </w:numPr>
        <w:overflowPunct w:val="0"/>
        <w:autoSpaceDE w:val="0"/>
        <w:autoSpaceDN w:val="0"/>
        <w:adjustRightInd w:val="0"/>
        <w:spacing w:after="0"/>
        <w:ind w:left="360"/>
        <w:jc w:val="both"/>
        <w:textAlignment w:val="baseline"/>
        <w:rPr>
          <w:rFonts w:ascii="Times New Roman" w:hAnsi="Times New Roman" w:cs="Times New Roman"/>
          <w:color w:val="000000"/>
          <w:sz w:val="24"/>
          <w:szCs w:val="24"/>
        </w:rPr>
      </w:pPr>
      <w:r w:rsidRPr="00E82BE0">
        <w:rPr>
          <w:rFonts w:ascii="Times New Roman" w:hAnsi="Times New Roman" w:cs="Times New Roman"/>
          <w:sz w:val="24"/>
          <w:szCs w:val="24"/>
        </w:rPr>
        <w:t xml:space="preserve">W powiecie proszowickim odbyła się organizacja Powiatowego Marszu Godności Osób Niepełnosprawnych (informacja na FB, stronie internetowej PCPR, prasa lokalna). Celem Marszu było przełamywanie negatywnych stereotypów dotyczących osób niepełnosprawnych, stworzenie możliwość zaznaczenia obecności osób niepełnosprawnych w życiu społeczności lokalnej oraz pokazanie pozytywnego wizerunku osób niepełnosprawnych. </w:t>
      </w:r>
    </w:p>
    <w:p w14:paraId="4BB73121" w14:textId="77777777" w:rsidR="00F31DCC" w:rsidRPr="00B373CB" w:rsidRDefault="00F31DCC" w:rsidP="008C71A9">
      <w:pPr>
        <w:numPr>
          <w:ilvl w:val="0"/>
          <w:numId w:val="93"/>
        </w:numPr>
        <w:overflowPunct w:val="0"/>
        <w:autoSpaceDE w:val="0"/>
        <w:autoSpaceDN w:val="0"/>
        <w:adjustRightInd w:val="0"/>
        <w:spacing w:after="0"/>
        <w:ind w:left="360"/>
        <w:jc w:val="both"/>
        <w:textAlignment w:val="baseline"/>
        <w:rPr>
          <w:rFonts w:ascii="Times New Roman" w:hAnsi="Times New Roman" w:cs="Times New Roman"/>
          <w:color w:val="000000"/>
          <w:sz w:val="24"/>
          <w:szCs w:val="24"/>
          <w:lang w:val="en-US"/>
        </w:rPr>
      </w:pPr>
      <w:r w:rsidRPr="00E82BE0">
        <w:rPr>
          <w:rFonts w:ascii="Times New Roman" w:hAnsi="Times New Roman" w:cs="Times New Roman"/>
          <w:sz w:val="24"/>
          <w:szCs w:val="24"/>
        </w:rPr>
        <w:t>W powiecie gorlickim Mieszkańcy wszystkich trzech Domów Pomocy Społecznej uczestniczyli w realizowanym przez Fundację "Wyjdź z Domu" projekcie "Wspólnie tworzymy klub seniora". W ramach projektu odbyły się warsztaty terapii kreatywnej, podczas których mieszkańcy poznali różne formy i techniki prac plastycznych. Celem projektu była aktywizacja i rozwój zainteresowań oraz integracja społeczna. W projekcie wzięło udział 75 mieszkańców DPS w wieku 60+. Projekt był promowany w lokalnych mediach, wzmianki o wydarzeniach miały miejsce także w lokalnej pr</w:t>
      </w:r>
      <w:r w:rsidR="00153CF1">
        <w:rPr>
          <w:rFonts w:ascii="Times New Roman" w:hAnsi="Times New Roman" w:cs="Times New Roman"/>
          <w:sz w:val="24"/>
          <w:szCs w:val="24"/>
        </w:rPr>
        <w:t>asie, telewizji oraz Internecie</w:t>
      </w:r>
      <w:r w:rsidR="00153CF1">
        <w:rPr>
          <w:rStyle w:val="Odwoanieprzypisudolnego"/>
          <w:rFonts w:ascii="Times New Roman" w:hAnsi="Times New Roman" w:cs="Times New Roman"/>
          <w:sz w:val="24"/>
          <w:szCs w:val="24"/>
        </w:rPr>
        <w:footnoteReference w:id="109"/>
      </w:r>
      <w:r w:rsidR="00153CF1">
        <w:rPr>
          <w:rFonts w:ascii="Times New Roman" w:hAnsi="Times New Roman" w:cs="Times New Roman"/>
          <w:sz w:val="24"/>
          <w:szCs w:val="24"/>
        </w:rPr>
        <w:t>.</w:t>
      </w:r>
    </w:p>
    <w:p w14:paraId="4DE48A71" w14:textId="77777777" w:rsidR="00F31DCC" w:rsidRPr="00E82BE0" w:rsidRDefault="00F31DCC" w:rsidP="008C71A9">
      <w:pPr>
        <w:numPr>
          <w:ilvl w:val="0"/>
          <w:numId w:val="93"/>
        </w:numPr>
        <w:overflowPunct w:val="0"/>
        <w:autoSpaceDE w:val="0"/>
        <w:autoSpaceDN w:val="0"/>
        <w:adjustRightInd w:val="0"/>
        <w:spacing w:after="0"/>
        <w:ind w:left="360"/>
        <w:jc w:val="both"/>
        <w:textAlignment w:val="baseline"/>
        <w:rPr>
          <w:rFonts w:ascii="Times New Roman" w:hAnsi="Times New Roman" w:cs="Times New Roman"/>
          <w:color w:val="000000"/>
          <w:sz w:val="24"/>
          <w:szCs w:val="24"/>
        </w:rPr>
      </w:pPr>
      <w:r w:rsidRPr="00E82BE0">
        <w:rPr>
          <w:rFonts w:ascii="Times New Roman" w:hAnsi="Times New Roman" w:cs="Times New Roman"/>
          <w:sz w:val="24"/>
          <w:szCs w:val="24"/>
        </w:rPr>
        <w:t xml:space="preserve">Powiatowe Centrum Pomocy Rodzinie w Limanowej w 2019 roku prowadziło Powiatową Wypożyczalnię Sprzętu Rehabilitacyjnego i Ortopedycznego. W 2019 r. przyjęto 155 wniosków o nieodpłatne użyczenie sprzętu rehabilitacyjnego i ortopedycznego. Informacje </w:t>
      </w:r>
      <w:r w:rsidRPr="00E82BE0">
        <w:rPr>
          <w:rFonts w:ascii="Times New Roman" w:hAnsi="Times New Roman" w:cs="Times New Roman"/>
          <w:sz w:val="24"/>
          <w:szCs w:val="24"/>
        </w:rPr>
        <w:lastRenderedPageBreak/>
        <w:t>na temat Wypożyczalni można uzyskać pod numerem telefonu (18) 33 37 825 lub na stronie internetowej</w:t>
      </w:r>
      <w:r w:rsidR="00153CF1">
        <w:rPr>
          <w:rStyle w:val="Odwoanieprzypisudolnego"/>
          <w:rFonts w:ascii="Times New Roman" w:hAnsi="Times New Roman" w:cs="Times New Roman"/>
          <w:sz w:val="24"/>
          <w:szCs w:val="24"/>
        </w:rPr>
        <w:footnoteReference w:id="110"/>
      </w:r>
      <w:r w:rsidR="00153CF1">
        <w:t>.</w:t>
      </w:r>
    </w:p>
    <w:p w14:paraId="539FE784" w14:textId="77777777" w:rsidR="00F31DCC" w:rsidRPr="00B373CB" w:rsidRDefault="00F31DCC" w:rsidP="008C71A9">
      <w:pPr>
        <w:numPr>
          <w:ilvl w:val="0"/>
          <w:numId w:val="93"/>
        </w:numPr>
        <w:spacing w:after="0"/>
        <w:ind w:left="360"/>
        <w:jc w:val="both"/>
        <w:rPr>
          <w:rFonts w:ascii="Times New Roman" w:hAnsi="Times New Roman" w:cs="Times New Roman"/>
          <w:sz w:val="24"/>
          <w:szCs w:val="24"/>
        </w:rPr>
      </w:pPr>
      <w:r w:rsidRPr="00E82BE0">
        <w:rPr>
          <w:rFonts w:ascii="Times New Roman" w:hAnsi="Times New Roman" w:cs="Times New Roman"/>
          <w:color w:val="000000"/>
          <w:sz w:val="24"/>
          <w:szCs w:val="24"/>
        </w:rPr>
        <w:t>Uczestnictwo ok. 20 seniorów w Klubie Miłośników Książki działającym przy Gminnej Bibliotece w Borzęcinie i jej filiach od 2011 roku. Celem działań jest ożywienie środowisk skupionych wokół biblioteki, w tym seniorów, poprzez wspólne spotkania, swobodną rozmowę i wymianę wrażeń po przeczytaniu literatury</w:t>
      </w:r>
      <w:r w:rsidR="00153CF1">
        <w:rPr>
          <w:rStyle w:val="Odwoanieprzypisudolnego"/>
          <w:rFonts w:ascii="Times New Roman" w:hAnsi="Times New Roman" w:cs="Times New Roman"/>
          <w:color w:val="000000"/>
          <w:sz w:val="24"/>
          <w:szCs w:val="24"/>
        </w:rPr>
        <w:footnoteReference w:id="111"/>
      </w:r>
      <w:r w:rsidRPr="00E82BE0">
        <w:rPr>
          <w:rFonts w:ascii="Times New Roman" w:hAnsi="Times New Roman" w:cs="Times New Roman"/>
          <w:color w:val="000000"/>
          <w:sz w:val="24"/>
          <w:szCs w:val="24"/>
        </w:rPr>
        <w:t>.</w:t>
      </w:r>
    </w:p>
    <w:p w14:paraId="3881A452" w14:textId="77777777" w:rsidR="00F31DCC" w:rsidRPr="00E82BE0" w:rsidRDefault="00F31DCC" w:rsidP="008C71A9">
      <w:pPr>
        <w:numPr>
          <w:ilvl w:val="0"/>
          <w:numId w:val="93"/>
        </w:numPr>
        <w:spacing w:after="0"/>
        <w:ind w:left="360"/>
        <w:jc w:val="both"/>
        <w:rPr>
          <w:rFonts w:ascii="Times New Roman" w:hAnsi="Times New Roman" w:cs="Times New Roman"/>
          <w:sz w:val="24"/>
          <w:szCs w:val="24"/>
        </w:rPr>
      </w:pPr>
      <w:r w:rsidRPr="00E82BE0">
        <w:rPr>
          <w:rFonts w:ascii="Times New Roman" w:hAnsi="Times New Roman" w:cs="Times New Roman"/>
          <w:sz w:val="24"/>
          <w:szCs w:val="24"/>
        </w:rPr>
        <w:t>Miejsko-Gminny Ośrodek Pomocy Społecznej w Dobczycach współuczestniczył w rekrutacji i organizacji na terenie Gminy Dobczyce projektu "Małopolski e-Senior". Celem projektu było podniesienie kompetencji cyfrowych osób w wieku 65 lat i więcej. Realizatorem była Fundacja Instytut Myśli Innowacyjnej. Liczba beneficjentów: 40 osób</w:t>
      </w:r>
      <w:r w:rsidR="00153CF1">
        <w:rPr>
          <w:rStyle w:val="Odwoanieprzypisudolnego"/>
          <w:rFonts w:ascii="Times New Roman" w:hAnsi="Times New Roman" w:cs="Times New Roman"/>
          <w:sz w:val="24"/>
          <w:szCs w:val="24"/>
        </w:rPr>
        <w:footnoteReference w:id="112"/>
      </w:r>
      <w:r w:rsidRPr="00E82BE0">
        <w:rPr>
          <w:rFonts w:ascii="Times New Roman" w:hAnsi="Times New Roman" w:cs="Times New Roman"/>
          <w:sz w:val="24"/>
          <w:szCs w:val="24"/>
        </w:rPr>
        <w:t xml:space="preserve">. </w:t>
      </w:r>
    </w:p>
    <w:p w14:paraId="6089B0CF" w14:textId="77777777" w:rsidR="00F31DCC" w:rsidRPr="005F0A32" w:rsidRDefault="00F31DCC" w:rsidP="00E7359C">
      <w:pPr>
        <w:spacing w:after="0"/>
        <w:ind w:left="709" w:right="-1"/>
        <w:jc w:val="both"/>
        <w:rPr>
          <w:rFonts w:ascii="Times New Roman" w:hAnsi="Times New Roman" w:cs="Times New Roman"/>
          <w:sz w:val="24"/>
          <w:szCs w:val="24"/>
        </w:rPr>
      </w:pPr>
    </w:p>
    <w:p w14:paraId="1D50D8EE" w14:textId="77777777" w:rsidR="00F31DCC" w:rsidRPr="005F0A32" w:rsidRDefault="00B373CB" w:rsidP="00E7359C">
      <w:pPr>
        <w:jc w:val="both"/>
        <w:rPr>
          <w:rFonts w:ascii="Times New Roman" w:hAnsi="Times New Roman" w:cs="Times New Roman"/>
          <w:b/>
          <w:sz w:val="24"/>
          <w:szCs w:val="24"/>
        </w:rPr>
      </w:pPr>
      <w:r w:rsidRPr="00F27A8A">
        <w:rPr>
          <w:rFonts w:ascii="Times New Roman" w:hAnsi="Times New Roman" w:cs="Times New Roman"/>
          <w:b/>
          <w:sz w:val="24"/>
          <w:szCs w:val="24"/>
        </w:rPr>
        <w:t>Przykłady innowacyjnych rozwiązań</w:t>
      </w:r>
      <w:r>
        <w:rPr>
          <w:rFonts w:ascii="Times New Roman" w:hAnsi="Times New Roman" w:cs="Times New Roman"/>
          <w:b/>
          <w:sz w:val="24"/>
          <w:szCs w:val="24"/>
        </w:rPr>
        <w:t xml:space="preserve"> w ramach polityki senioralnej</w:t>
      </w:r>
    </w:p>
    <w:p w14:paraId="419EF33C" w14:textId="77777777" w:rsidR="00F31DCC" w:rsidRPr="00B373CB" w:rsidRDefault="00F31DCC" w:rsidP="008C71A9">
      <w:pPr>
        <w:pStyle w:val="Akapitzlist"/>
        <w:numPr>
          <w:ilvl w:val="0"/>
          <w:numId w:val="94"/>
        </w:numPr>
        <w:spacing w:after="0"/>
        <w:ind w:left="360"/>
        <w:jc w:val="both"/>
        <w:rPr>
          <w:rFonts w:ascii="Times New Roman" w:eastAsia="Calibri" w:hAnsi="Times New Roman" w:cs="Times New Roman"/>
          <w:color w:val="000000"/>
          <w:sz w:val="24"/>
          <w:szCs w:val="24"/>
        </w:rPr>
      </w:pPr>
      <w:r w:rsidRPr="00B373CB">
        <w:rPr>
          <w:rFonts w:ascii="Times New Roman" w:eastAsia="Calibri" w:hAnsi="Times New Roman" w:cs="Times New Roman"/>
          <w:b/>
          <w:color w:val="000000"/>
          <w:sz w:val="24"/>
          <w:szCs w:val="24"/>
        </w:rPr>
        <w:t>„Małopolski Inkubator Innowacji Społecznych</w:t>
      </w:r>
      <w:r w:rsidRPr="00B373CB">
        <w:rPr>
          <w:rFonts w:ascii="Times New Roman" w:eastAsia="Calibri" w:hAnsi="Times New Roman" w:cs="Times New Roman"/>
          <w:color w:val="000000"/>
          <w:sz w:val="24"/>
          <w:szCs w:val="24"/>
        </w:rPr>
        <w:t>” realizowany jest przez Regionalny Ośrodek Polityki Społecznej w Krakowie ze środków Europejskiego Funduszu Społecznego – IV Osi Priorytetowej Programu Operacyjnego Wiedza Edukacja Rozwój na lata 2014-2020. Założeniem projektu b</w:t>
      </w:r>
      <w:r w:rsidR="00B373CB" w:rsidRPr="00B373CB">
        <w:rPr>
          <w:rFonts w:ascii="Times New Roman" w:eastAsia="Calibri" w:hAnsi="Times New Roman" w:cs="Times New Roman"/>
          <w:color w:val="000000"/>
          <w:sz w:val="24"/>
          <w:szCs w:val="24"/>
        </w:rPr>
        <w:t xml:space="preserve">yło zainicjowanie, opracowanie </w:t>
      </w:r>
      <w:r w:rsidRPr="00B373CB">
        <w:rPr>
          <w:rFonts w:ascii="Times New Roman" w:eastAsia="Calibri" w:hAnsi="Times New Roman" w:cs="Times New Roman"/>
          <w:color w:val="000000"/>
          <w:sz w:val="24"/>
          <w:szCs w:val="24"/>
        </w:rPr>
        <w:t>i przetestowanie 40 innowacyjnych rozwiązań w obszarze usług opiekuńczych dla osób starszych, osób z niepełnosprawnością oraz ich opiekunów. Innowacje społeczne były wspierane poprzez </w:t>
      </w:r>
      <w:r w:rsidRPr="00B373CB">
        <w:rPr>
          <w:rFonts w:ascii="Times New Roman" w:eastAsia="Calibri" w:hAnsi="Times New Roman" w:cs="Times New Roman"/>
          <w:bCs/>
          <w:color w:val="000000"/>
          <w:sz w:val="24"/>
          <w:szCs w:val="24"/>
        </w:rPr>
        <w:t>udzielanie grantu (średnia wartość 43 600 złotych) na tworzenie i testowanie nowych rozwiązań</w:t>
      </w:r>
      <w:r w:rsidRPr="00B373CB">
        <w:rPr>
          <w:rFonts w:ascii="Times New Roman" w:eastAsia="Calibri" w:hAnsi="Times New Roman" w:cs="Times New Roman"/>
          <w:color w:val="000000"/>
          <w:sz w:val="24"/>
          <w:szCs w:val="24"/>
        </w:rPr>
        <w:t xml:space="preserve">. Projekt był realizowany </w:t>
      </w:r>
      <w:r w:rsidRPr="00B373CB">
        <w:rPr>
          <w:rFonts w:ascii="Times New Roman" w:eastAsia="Calibri" w:hAnsi="Times New Roman" w:cs="Times New Roman"/>
          <w:bCs/>
          <w:color w:val="000000"/>
          <w:sz w:val="24"/>
          <w:szCs w:val="24"/>
        </w:rPr>
        <w:t>od 1 sierpnia 2016 r. do 31 lipca 2019 r.</w:t>
      </w:r>
      <w:r w:rsidRPr="00B373CB">
        <w:rPr>
          <w:rFonts w:ascii="Times New Roman" w:eastAsia="Calibri" w:hAnsi="Times New Roman" w:cs="Times New Roman"/>
          <w:color w:val="000000"/>
          <w:sz w:val="24"/>
          <w:szCs w:val="24"/>
        </w:rPr>
        <w:t xml:space="preserve">, na terenie województwa małopolskiego. Wśród przetestowanych rozwiązań </w:t>
      </w:r>
      <w:r w:rsidRPr="00B373CB">
        <w:rPr>
          <w:rFonts w:ascii="Times New Roman" w:eastAsia="Calibri" w:hAnsi="Times New Roman" w:cs="Times New Roman"/>
          <w:bCs/>
          <w:color w:val="000000"/>
          <w:sz w:val="24"/>
          <w:szCs w:val="24"/>
        </w:rPr>
        <w:t>na rzecz seniorów</w:t>
      </w:r>
      <w:r w:rsidRPr="00B373CB">
        <w:rPr>
          <w:rFonts w:ascii="Times New Roman" w:eastAsia="Calibri" w:hAnsi="Times New Roman" w:cs="Times New Roman"/>
          <w:color w:val="000000"/>
          <w:sz w:val="24"/>
          <w:szCs w:val="24"/>
        </w:rPr>
        <w:t xml:space="preserve"> znalazły się między innymi następujące pomysły:</w:t>
      </w:r>
    </w:p>
    <w:p w14:paraId="09E6174C" w14:textId="77777777" w:rsidR="0006473C" w:rsidRDefault="00F31DCC" w:rsidP="00E7359C">
      <w:pPr>
        <w:numPr>
          <w:ilvl w:val="0"/>
          <w:numId w:val="18"/>
        </w:numPr>
        <w:spacing w:after="0"/>
        <w:ind w:left="566" w:hanging="283"/>
        <w:jc w:val="both"/>
        <w:rPr>
          <w:rFonts w:ascii="Times New Roman" w:eastAsia="Calibri" w:hAnsi="Times New Roman" w:cs="Times New Roman"/>
          <w:color w:val="000000"/>
          <w:sz w:val="24"/>
          <w:szCs w:val="24"/>
        </w:rPr>
      </w:pPr>
      <w:r w:rsidRPr="005F0A32">
        <w:rPr>
          <w:rFonts w:ascii="Times New Roman" w:eastAsia="Calibri" w:hAnsi="Times New Roman" w:cs="Times New Roman"/>
          <w:b/>
          <w:color w:val="000000"/>
          <w:sz w:val="24"/>
          <w:szCs w:val="24"/>
        </w:rPr>
        <w:t>Ścieżka moto-sensoryczna</w:t>
      </w:r>
      <w:r w:rsidRPr="005F0A32">
        <w:rPr>
          <w:rFonts w:ascii="Times New Roman" w:eastAsia="Calibri" w:hAnsi="Times New Roman" w:cs="Times New Roman"/>
          <w:color w:val="000000"/>
          <w:sz w:val="24"/>
          <w:szCs w:val="24"/>
        </w:rPr>
        <w:t xml:space="preserve"> - model ścieżki moto-sensorycznej do treningu trudnych sytuacji w poruszaniu się, obejmujący pr</w:t>
      </w:r>
      <w:r w:rsidR="0006473C">
        <w:rPr>
          <w:rFonts w:ascii="Times New Roman" w:eastAsia="Calibri" w:hAnsi="Times New Roman" w:cs="Times New Roman"/>
          <w:color w:val="000000"/>
          <w:sz w:val="24"/>
          <w:szCs w:val="24"/>
        </w:rPr>
        <w:t xml:space="preserve">ojekty stanowisk usprawniająco </w:t>
      </w:r>
      <w:r w:rsidRPr="005F0A32">
        <w:rPr>
          <w:rFonts w:ascii="Times New Roman" w:eastAsia="Calibri" w:hAnsi="Times New Roman" w:cs="Times New Roman"/>
          <w:color w:val="000000"/>
          <w:sz w:val="24"/>
          <w:szCs w:val="24"/>
        </w:rPr>
        <w:t>-wzmacniających dla osób starszych z niepełnosp</w:t>
      </w:r>
      <w:r w:rsidR="0006473C">
        <w:rPr>
          <w:rFonts w:ascii="Times New Roman" w:eastAsia="Calibri" w:hAnsi="Times New Roman" w:cs="Times New Roman"/>
          <w:color w:val="000000"/>
          <w:sz w:val="24"/>
          <w:szCs w:val="24"/>
        </w:rPr>
        <w:t xml:space="preserve">rawnością, zaprojektowanych </w:t>
      </w:r>
      <w:r w:rsidRPr="005F0A32">
        <w:rPr>
          <w:rFonts w:ascii="Times New Roman" w:eastAsia="Calibri" w:hAnsi="Times New Roman" w:cs="Times New Roman"/>
          <w:color w:val="000000"/>
          <w:sz w:val="24"/>
          <w:szCs w:val="24"/>
        </w:rPr>
        <w:t>do umieszczenia w przestrzeni publicznej.</w:t>
      </w:r>
    </w:p>
    <w:p w14:paraId="5B18718F" w14:textId="77777777" w:rsidR="0006473C" w:rsidRDefault="00F31DCC" w:rsidP="00E7359C">
      <w:pPr>
        <w:numPr>
          <w:ilvl w:val="0"/>
          <w:numId w:val="18"/>
        </w:numPr>
        <w:spacing w:after="0"/>
        <w:ind w:left="566" w:hanging="283"/>
        <w:jc w:val="both"/>
        <w:rPr>
          <w:rFonts w:ascii="Times New Roman" w:eastAsia="Calibri" w:hAnsi="Times New Roman" w:cs="Times New Roman"/>
          <w:color w:val="000000"/>
          <w:sz w:val="24"/>
          <w:szCs w:val="24"/>
        </w:rPr>
      </w:pPr>
      <w:r w:rsidRPr="0006473C">
        <w:rPr>
          <w:rFonts w:ascii="Times New Roman" w:eastAsia="Calibri" w:hAnsi="Times New Roman" w:cs="Times New Roman"/>
          <w:b/>
          <w:color w:val="000000"/>
          <w:sz w:val="24"/>
          <w:szCs w:val="24"/>
        </w:rPr>
        <w:t>Mobilne Centrum Pomocy dla Osób Starszych</w:t>
      </w:r>
      <w:r w:rsidRPr="0006473C">
        <w:rPr>
          <w:rFonts w:ascii="Times New Roman" w:eastAsia="Calibri" w:hAnsi="Times New Roman" w:cs="Times New Roman"/>
          <w:color w:val="000000"/>
          <w:sz w:val="24"/>
          <w:szCs w:val="24"/>
        </w:rPr>
        <w:t xml:space="preserve"> - forma wsparcia seniorów </w:t>
      </w:r>
      <w:r w:rsidRPr="0006473C">
        <w:rPr>
          <w:rFonts w:ascii="Times New Roman" w:eastAsia="Calibri" w:hAnsi="Times New Roman" w:cs="Times New Roman"/>
          <w:color w:val="000000"/>
          <w:sz w:val="24"/>
          <w:szCs w:val="24"/>
        </w:rPr>
        <w:br/>
        <w:t>z terenów wiejskich, słabo zinfrastrukturyzowanych, znacznie oddalonych od dużych aglomeracji z utrudnionym dojazdem, obejmująca kilka obszarów wsparcia (prawne, finansowe, profilaktyki zdrowotnej – właściwej diety i bezpiecznej aktywności).</w:t>
      </w:r>
    </w:p>
    <w:p w14:paraId="53C96892" w14:textId="77777777" w:rsidR="0006473C" w:rsidRDefault="00F31DCC" w:rsidP="00E7359C">
      <w:pPr>
        <w:numPr>
          <w:ilvl w:val="0"/>
          <w:numId w:val="18"/>
        </w:numPr>
        <w:spacing w:after="0"/>
        <w:ind w:left="566" w:hanging="283"/>
        <w:jc w:val="both"/>
        <w:rPr>
          <w:rFonts w:ascii="Times New Roman" w:eastAsia="Calibri" w:hAnsi="Times New Roman" w:cs="Times New Roman"/>
          <w:color w:val="000000"/>
          <w:sz w:val="24"/>
          <w:szCs w:val="24"/>
        </w:rPr>
      </w:pPr>
      <w:r w:rsidRPr="0006473C">
        <w:rPr>
          <w:rFonts w:ascii="Times New Roman" w:eastAsia="Calibri" w:hAnsi="Times New Roman" w:cs="Times New Roman"/>
          <w:b/>
          <w:color w:val="000000"/>
          <w:sz w:val="24"/>
          <w:szCs w:val="24"/>
        </w:rPr>
        <w:t>Asystent osoby starszej</w:t>
      </w:r>
      <w:r w:rsidRPr="0006473C">
        <w:rPr>
          <w:rFonts w:ascii="Times New Roman" w:eastAsia="Calibri" w:hAnsi="Times New Roman" w:cs="Times New Roman"/>
          <w:bCs/>
          <w:color w:val="000000"/>
          <w:sz w:val="24"/>
          <w:szCs w:val="24"/>
        </w:rPr>
        <w:t xml:space="preserve"> -</w:t>
      </w:r>
      <w:r w:rsidRPr="0006473C">
        <w:rPr>
          <w:rFonts w:ascii="Times New Roman" w:eastAsia="Calibri" w:hAnsi="Times New Roman" w:cs="Times New Roman"/>
          <w:color w:val="000000"/>
          <w:sz w:val="24"/>
          <w:szCs w:val="24"/>
        </w:rPr>
        <w:t xml:space="preserve"> forma usług opiekuńczych, polegająca na wprowadzeniu asystenta osoby starszej jako osoby współorganizującej życie seniora, która dopełnia zadania pozostające w kompetencji pracownika socjalnego i opiekunki środowiskowej.</w:t>
      </w:r>
    </w:p>
    <w:p w14:paraId="70BD78E9" w14:textId="77777777" w:rsidR="0006473C" w:rsidRDefault="00F31DCC" w:rsidP="00E7359C">
      <w:pPr>
        <w:numPr>
          <w:ilvl w:val="0"/>
          <w:numId w:val="18"/>
        </w:numPr>
        <w:spacing w:after="0"/>
        <w:ind w:left="566" w:hanging="283"/>
        <w:jc w:val="both"/>
        <w:rPr>
          <w:rFonts w:ascii="Times New Roman" w:eastAsia="Calibri" w:hAnsi="Times New Roman" w:cs="Times New Roman"/>
          <w:color w:val="000000"/>
          <w:sz w:val="24"/>
          <w:szCs w:val="24"/>
        </w:rPr>
      </w:pPr>
      <w:r w:rsidRPr="0006473C">
        <w:rPr>
          <w:rFonts w:ascii="Times New Roman" w:eastAsia="Calibri" w:hAnsi="Times New Roman" w:cs="Times New Roman"/>
          <w:b/>
          <w:color w:val="000000"/>
          <w:sz w:val="24"/>
          <w:szCs w:val="24"/>
        </w:rPr>
        <w:t xml:space="preserve">Centrum Antydepresyjne </w:t>
      </w:r>
      <w:r w:rsidRPr="0006473C">
        <w:rPr>
          <w:rFonts w:ascii="Times New Roman" w:eastAsia="Calibri" w:hAnsi="Times New Roman" w:cs="Times New Roman"/>
          <w:color w:val="000000"/>
          <w:sz w:val="24"/>
          <w:szCs w:val="24"/>
        </w:rPr>
        <w:t>- metoda pracy z osobami starszymi, samotnymi, depresyjnymi, zagrożonymi samobójstwem, które mieszkają na terenach wiejskich, wykorzystująca dogoterapię i /lub felinoterapię, która ma na celu zmniejszenie ryzyka wystąpienia epizodów depresyjnych i zachowań suicydalnych.</w:t>
      </w:r>
    </w:p>
    <w:p w14:paraId="2FD4749D" w14:textId="77777777" w:rsidR="0006473C" w:rsidRDefault="00F31DCC" w:rsidP="00E7359C">
      <w:pPr>
        <w:numPr>
          <w:ilvl w:val="0"/>
          <w:numId w:val="18"/>
        </w:numPr>
        <w:spacing w:after="0"/>
        <w:ind w:left="566" w:hanging="283"/>
        <w:jc w:val="both"/>
        <w:rPr>
          <w:rFonts w:ascii="Times New Roman" w:eastAsia="Calibri" w:hAnsi="Times New Roman" w:cs="Times New Roman"/>
          <w:color w:val="000000"/>
          <w:sz w:val="24"/>
          <w:szCs w:val="24"/>
        </w:rPr>
      </w:pPr>
      <w:r w:rsidRPr="0006473C">
        <w:rPr>
          <w:rFonts w:ascii="Times New Roman" w:eastAsia="Calibri" w:hAnsi="Times New Roman" w:cs="Times New Roman"/>
          <w:b/>
          <w:color w:val="000000"/>
          <w:sz w:val="24"/>
          <w:szCs w:val="24"/>
        </w:rPr>
        <w:t>Innotextil - testowanie systemu inteligentnej odzieży dedykowanej osobom starszym i niepełnosprawnym ruchowo -</w:t>
      </w:r>
      <w:r w:rsidRPr="0006473C">
        <w:rPr>
          <w:rFonts w:ascii="Times New Roman" w:eastAsia="Calibri" w:hAnsi="Times New Roman" w:cs="Times New Roman"/>
          <w:color w:val="000000"/>
          <w:sz w:val="24"/>
          <w:szCs w:val="24"/>
        </w:rPr>
        <w:t xml:space="preserve"> inteligentna odzież (spodnie) wyposażona w mikroczujniki, która połączone z aplikacją – umożliwia i wspiera rehabilitację osoby </w:t>
      </w:r>
      <w:r w:rsidRPr="0006473C">
        <w:rPr>
          <w:rFonts w:ascii="Times New Roman" w:eastAsia="Calibri" w:hAnsi="Times New Roman" w:cs="Times New Roman"/>
          <w:color w:val="000000"/>
          <w:sz w:val="24"/>
          <w:szCs w:val="24"/>
        </w:rPr>
        <w:lastRenderedPageBreak/>
        <w:t xml:space="preserve">oraz profilaktykę ruchu w warunkach pozalaboratoryjnych - podczas aktywności w i poza domem, np. spacerów.  </w:t>
      </w:r>
    </w:p>
    <w:p w14:paraId="048A6928" w14:textId="77777777" w:rsidR="0006473C" w:rsidRDefault="00F31DCC" w:rsidP="00E7359C">
      <w:pPr>
        <w:numPr>
          <w:ilvl w:val="0"/>
          <w:numId w:val="18"/>
        </w:numPr>
        <w:spacing w:after="0"/>
        <w:ind w:left="566" w:hanging="283"/>
        <w:jc w:val="both"/>
        <w:rPr>
          <w:rFonts w:ascii="Times New Roman" w:eastAsia="Calibri" w:hAnsi="Times New Roman" w:cs="Times New Roman"/>
          <w:color w:val="000000"/>
          <w:sz w:val="24"/>
          <w:szCs w:val="24"/>
        </w:rPr>
      </w:pPr>
      <w:r w:rsidRPr="0006473C">
        <w:rPr>
          <w:rFonts w:ascii="Times New Roman" w:eastAsia="Calibri" w:hAnsi="Times New Roman" w:cs="Times New Roman"/>
          <w:b/>
          <w:color w:val="000000"/>
          <w:sz w:val="24"/>
          <w:szCs w:val="24"/>
        </w:rPr>
        <w:t>Senior CUDER</w:t>
      </w:r>
      <w:r w:rsidRPr="0006473C">
        <w:rPr>
          <w:rFonts w:ascii="Times New Roman" w:eastAsia="Calibri" w:hAnsi="Times New Roman" w:cs="Times New Roman"/>
          <w:color w:val="000000"/>
          <w:sz w:val="24"/>
          <w:szCs w:val="24"/>
        </w:rPr>
        <w:t xml:space="preserve"> - Gra towarzyska dla seniorów, której założeniem jest stworzenie przestrzeni i zainicjowanie rozmowy na głębszym poziomie, która w efekcie prowadzi do poprawy funkcjonowania i podniesienia jakości życia seniorów poprzez wzmocnienie motywacji i umiejętności dbania </w:t>
      </w:r>
      <w:r w:rsidR="0006473C" w:rsidRPr="0006473C">
        <w:rPr>
          <w:rFonts w:ascii="Times New Roman" w:eastAsia="Calibri" w:hAnsi="Times New Roman" w:cs="Times New Roman"/>
          <w:color w:val="000000"/>
          <w:sz w:val="24"/>
          <w:szCs w:val="24"/>
        </w:rPr>
        <w:t xml:space="preserve">o zdrowie oraz poprawę relacji </w:t>
      </w:r>
      <w:r w:rsidRPr="0006473C">
        <w:rPr>
          <w:rFonts w:ascii="Times New Roman" w:eastAsia="Calibri" w:hAnsi="Times New Roman" w:cs="Times New Roman"/>
          <w:color w:val="000000"/>
          <w:sz w:val="24"/>
          <w:szCs w:val="24"/>
        </w:rPr>
        <w:t>z otoczeniem przez osoby starsze.</w:t>
      </w:r>
    </w:p>
    <w:p w14:paraId="4CF0C6E6" w14:textId="77777777" w:rsidR="0006473C" w:rsidRDefault="00F31DCC" w:rsidP="00E7359C">
      <w:pPr>
        <w:numPr>
          <w:ilvl w:val="0"/>
          <w:numId w:val="18"/>
        </w:numPr>
        <w:spacing w:after="0"/>
        <w:ind w:left="566" w:hanging="283"/>
        <w:jc w:val="both"/>
        <w:rPr>
          <w:rFonts w:ascii="Times New Roman" w:eastAsia="Calibri" w:hAnsi="Times New Roman" w:cs="Times New Roman"/>
          <w:color w:val="000000"/>
          <w:sz w:val="24"/>
          <w:szCs w:val="24"/>
        </w:rPr>
      </w:pPr>
      <w:r w:rsidRPr="0006473C">
        <w:rPr>
          <w:rFonts w:ascii="Times New Roman" w:eastAsia="Calibri" w:hAnsi="Times New Roman" w:cs="Times New Roman"/>
          <w:b/>
          <w:color w:val="000000"/>
          <w:sz w:val="24"/>
          <w:szCs w:val="24"/>
        </w:rPr>
        <w:t xml:space="preserve">Inteligentny system wsparcia MED.-box - </w:t>
      </w:r>
      <w:r w:rsidRPr="0006473C">
        <w:rPr>
          <w:rFonts w:ascii="Times New Roman" w:eastAsia="Calibri" w:hAnsi="Times New Roman" w:cs="Times New Roman"/>
          <w:color w:val="000000"/>
          <w:sz w:val="24"/>
          <w:szCs w:val="24"/>
        </w:rPr>
        <w:t xml:space="preserve">system, który poprzez połączenie bluetooth, pobiera dane – wyniki z urządzeń medycznych np. mierzących parametry zdrowotne w domu pacjenta. Stanowi prewencyjny system teleopiekuńczy, pozwalający na rozpoznawanie zbliżających się epizodów chorobowych, np.: mikroudarów, zawałów. </w:t>
      </w:r>
    </w:p>
    <w:p w14:paraId="4C0B3534" w14:textId="77777777" w:rsidR="0006473C" w:rsidRDefault="00F31DCC" w:rsidP="00E7359C">
      <w:pPr>
        <w:numPr>
          <w:ilvl w:val="0"/>
          <w:numId w:val="18"/>
        </w:numPr>
        <w:spacing w:after="0"/>
        <w:ind w:left="566" w:hanging="283"/>
        <w:jc w:val="both"/>
        <w:rPr>
          <w:rFonts w:ascii="Times New Roman" w:eastAsia="Calibri" w:hAnsi="Times New Roman" w:cs="Times New Roman"/>
          <w:color w:val="000000"/>
          <w:sz w:val="24"/>
          <w:szCs w:val="24"/>
        </w:rPr>
      </w:pPr>
      <w:r w:rsidRPr="0006473C">
        <w:rPr>
          <w:rFonts w:ascii="Times New Roman" w:eastAsia="Calibri" w:hAnsi="Times New Roman" w:cs="Times New Roman"/>
          <w:b/>
          <w:color w:val="000000"/>
          <w:sz w:val="24"/>
          <w:szCs w:val="24"/>
        </w:rPr>
        <w:t xml:space="preserve">Vipande - </w:t>
      </w:r>
      <w:r w:rsidRPr="0006473C">
        <w:rPr>
          <w:rFonts w:ascii="Times New Roman" w:eastAsia="Calibri" w:hAnsi="Times New Roman" w:cs="Times New Roman"/>
          <w:color w:val="000000"/>
          <w:sz w:val="24"/>
          <w:szCs w:val="24"/>
        </w:rPr>
        <w:t xml:space="preserve">aplikacja umożliwiająca wstępną, domową diagnostykę najczęstszych chorób wieku podeszłego. Narzędzie pozwala dostarczyć seniorowi i jego opiekunom informacji na temat symptomów postępowania choroby demencyjnej, zaostrzeń lub niedostatecznie kontrolowanych najczęstszych schorzeń przewlekłych występujących wśród starzejącego się społeczeństwa w Polsce. </w:t>
      </w:r>
    </w:p>
    <w:p w14:paraId="6504E8F3" w14:textId="77777777" w:rsidR="0006473C" w:rsidRDefault="00F31DCC" w:rsidP="00E7359C">
      <w:pPr>
        <w:numPr>
          <w:ilvl w:val="0"/>
          <w:numId w:val="18"/>
        </w:numPr>
        <w:spacing w:after="0"/>
        <w:ind w:left="566" w:hanging="283"/>
        <w:jc w:val="both"/>
        <w:rPr>
          <w:rFonts w:ascii="Times New Roman" w:eastAsia="Calibri" w:hAnsi="Times New Roman" w:cs="Times New Roman"/>
          <w:color w:val="000000"/>
          <w:sz w:val="24"/>
          <w:szCs w:val="24"/>
        </w:rPr>
      </w:pPr>
      <w:r w:rsidRPr="0006473C">
        <w:rPr>
          <w:rFonts w:ascii="Times New Roman" w:eastAsia="Calibri" w:hAnsi="Times New Roman" w:cs="Times New Roman"/>
          <w:b/>
          <w:color w:val="000000"/>
          <w:sz w:val="24"/>
          <w:szCs w:val="24"/>
        </w:rPr>
        <w:t>DEM-GAME</w:t>
      </w:r>
      <w:r w:rsidRPr="0006473C">
        <w:rPr>
          <w:rFonts w:ascii="Times New Roman" w:eastAsia="Calibri" w:hAnsi="Times New Roman" w:cs="Times New Roman"/>
          <w:color w:val="000000"/>
          <w:sz w:val="24"/>
          <w:szCs w:val="24"/>
        </w:rPr>
        <w:t xml:space="preserve"> - aplikacja, przeznaczona do wykonywania komputerowych ćwiczeń pamięci, oraz domowej diagnostyki, w zakresie sprawności funkcji poznawczych osoby starszej. Jest to pakiet gier dla seniorów chorujących lub zagrożonych grupą chorób demencyjnych. Funkcją gier jest syste</w:t>
      </w:r>
      <w:r w:rsidR="0006473C" w:rsidRPr="0006473C">
        <w:rPr>
          <w:rFonts w:ascii="Times New Roman" w:eastAsia="Calibri" w:hAnsi="Times New Roman" w:cs="Times New Roman"/>
          <w:color w:val="000000"/>
          <w:sz w:val="24"/>
          <w:szCs w:val="24"/>
        </w:rPr>
        <w:t xml:space="preserve">matyczny trening mózgu seniora </w:t>
      </w:r>
      <w:r w:rsidRPr="0006473C">
        <w:rPr>
          <w:rFonts w:ascii="Times New Roman" w:eastAsia="Calibri" w:hAnsi="Times New Roman" w:cs="Times New Roman"/>
          <w:color w:val="000000"/>
          <w:sz w:val="24"/>
          <w:szCs w:val="24"/>
        </w:rPr>
        <w:t xml:space="preserve">w zakresie poprawy funkcji sprawności i samodzielności. </w:t>
      </w:r>
    </w:p>
    <w:p w14:paraId="0869A30C" w14:textId="77777777" w:rsidR="00F31DCC" w:rsidRPr="0006473C" w:rsidRDefault="00F31DCC" w:rsidP="00E7359C">
      <w:pPr>
        <w:numPr>
          <w:ilvl w:val="0"/>
          <w:numId w:val="18"/>
        </w:numPr>
        <w:spacing w:after="0"/>
        <w:ind w:left="566" w:hanging="283"/>
        <w:jc w:val="both"/>
        <w:rPr>
          <w:rFonts w:ascii="Times New Roman" w:eastAsia="Calibri" w:hAnsi="Times New Roman" w:cs="Times New Roman"/>
          <w:color w:val="000000"/>
          <w:sz w:val="24"/>
          <w:szCs w:val="24"/>
        </w:rPr>
      </w:pPr>
      <w:r w:rsidRPr="0006473C">
        <w:rPr>
          <w:rFonts w:ascii="Times New Roman" w:eastAsia="Calibri" w:hAnsi="Times New Roman" w:cs="Times New Roman"/>
          <w:b/>
          <w:color w:val="000000"/>
          <w:sz w:val="24"/>
          <w:szCs w:val="24"/>
        </w:rPr>
        <w:t xml:space="preserve">Therapy Set - </w:t>
      </w:r>
      <w:r w:rsidRPr="0006473C">
        <w:rPr>
          <w:rFonts w:ascii="Times New Roman" w:eastAsia="Calibri" w:hAnsi="Times New Roman" w:cs="Times New Roman"/>
          <w:color w:val="000000"/>
          <w:sz w:val="24"/>
          <w:szCs w:val="24"/>
        </w:rPr>
        <w:t xml:space="preserve">zestaw pomocy terapeutycznych przeznaczonych dla osób starszych, </w:t>
      </w:r>
      <w:r w:rsidRPr="0006473C">
        <w:rPr>
          <w:rFonts w:ascii="Times New Roman" w:eastAsia="Calibri" w:hAnsi="Times New Roman" w:cs="Times New Roman"/>
          <w:color w:val="000000"/>
          <w:sz w:val="24"/>
          <w:szCs w:val="24"/>
        </w:rPr>
        <w:br/>
        <w:t>w szczególności osób przebywających w dziennych domach pobytu i mieszkańców domów pomocy społecznej. Zestaw składa się z siedmiu pomocy, które oddziałują na różne zmysły, co umożliwia kompleksową terapię seniorów. Pomoce mogą być wytwarzane przez mieszkańców DPS w ramach</w:t>
      </w:r>
      <w:r w:rsidR="0006473C" w:rsidRPr="0006473C">
        <w:rPr>
          <w:rFonts w:ascii="Times New Roman" w:eastAsia="Calibri" w:hAnsi="Times New Roman" w:cs="Times New Roman"/>
          <w:color w:val="000000"/>
          <w:sz w:val="24"/>
          <w:szCs w:val="24"/>
        </w:rPr>
        <w:t xml:space="preserve"> warsztatów terapii zajęciowej </w:t>
      </w:r>
      <w:r w:rsidRPr="0006473C">
        <w:rPr>
          <w:rFonts w:ascii="Times New Roman" w:eastAsia="Calibri" w:hAnsi="Times New Roman" w:cs="Times New Roman"/>
          <w:color w:val="000000"/>
          <w:sz w:val="24"/>
          <w:szCs w:val="24"/>
        </w:rPr>
        <w:t xml:space="preserve">oraz wykorzystywane w terapii i fizjoterapii prowadzonej przy łóżku seniora. </w:t>
      </w:r>
    </w:p>
    <w:p w14:paraId="57A0C4FF" w14:textId="77777777" w:rsidR="0006473C" w:rsidRDefault="00F31DCC" w:rsidP="008C71A9">
      <w:pPr>
        <w:pStyle w:val="Akapitzlist"/>
        <w:numPr>
          <w:ilvl w:val="0"/>
          <w:numId w:val="94"/>
        </w:numPr>
        <w:spacing w:after="0"/>
        <w:ind w:left="360"/>
        <w:jc w:val="both"/>
        <w:rPr>
          <w:rFonts w:ascii="Times New Roman" w:eastAsia="Calibri" w:hAnsi="Times New Roman" w:cs="Times New Roman"/>
          <w:color w:val="000000"/>
          <w:sz w:val="24"/>
          <w:szCs w:val="24"/>
        </w:rPr>
      </w:pPr>
      <w:r w:rsidRPr="0006473C">
        <w:rPr>
          <w:rFonts w:ascii="Times New Roman" w:eastAsia="Calibri" w:hAnsi="Times New Roman" w:cs="Times New Roman"/>
          <w:b/>
          <w:color w:val="000000"/>
          <w:sz w:val="24"/>
          <w:szCs w:val="24"/>
        </w:rPr>
        <w:t>Inkubator Dostępności</w:t>
      </w:r>
      <w:r w:rsidRPr="0006473C">
        <w:rPr>
          <w:rFonts w:ascii="Times New Roman" w:eastAsia="Calibri" w:hAnsi="Times New Roman" w:cs="Times New Roman"/>
          <w:color w:val="000000"/>
          <w:sz w:val="24"/>
          <w:szCs w:val="24"/>
        </w:rPr>
        <w:t xml:space="preserve"> - inspirowanie i promowanie nowych rozwiązań, które mają na celu podnieść jakość życia mieszkańców to jedno z najważniejszych zadań nowoczesnej polityki społecznej. Projekt wdrażany w ramach IV Osi Priorytetowej Programu Operacyjnego Wiedza Edukacja Rozwój (Działanie 4.1: Innowacje społeczne), na zlecenie Ministerstwa Rozwoju, finansowany jest ze środków Unii Europejskiej w ramach Europejskiego Funduszu Społecznego. Projekt jest realizowany od 1 października 2019 r. do 30 września 2022 r. w całej Polsce. Zakres rzeczowy zrealizowany w 2019 r.: (Rozpoczęto realizację ogólnopolskiej akcji konsultacyjno-informacyjnej, Uruchomiono Mobilny Punkt Konsultacyjno-Informacyjny, Zrealizowano maraton projektowania innowacji w Krakowie – </w:t>
      </w:r>
      <w:r w:rsidRPr="0006473C">
        <w:rPr>
          <w:rFonts w:ascii="Times New Roman" w:eastAsia="Calibri" w:hAnsi="Times New Roman" w:cs="Times New Roman"/>
          <w:i/>
          <w:iCs/>
          <w:color w:val="000000"/>
          <w:sz w:val="24"/>
          <w:szCs w:val="24"/>
        </w:rPr>
        <w:t>Innovathon dla dostępności</w:t>
      </w:r>
      <w:r w:rsidRPr="0006473C">
        <w:rPr>
          <w:rFonts w:ascii="Times New Roman" w:eastAsia="Calibri" w:hAnsi="Times New Roman" w:cs="Times New Roman"/>
          <w:color w:val="000000"/>
          <w:sz w:val="24"/>
          <w:szCs w:val="24"/>
        </w:rPr>
        <w:t>, w ramach którego 9 zespołów (39 uczestników) w duchu metodyki Design Thinking opracowywało prototypy rozwiązań zwiększających dostępność do przestrzeni publicznej).</w:t>
      </w:r>
    </w:p>
    <w:p w14:paraId="4DB248F9" w14:textId="77777777" w:rsidR="0006473C" w:rsidRDefault="00F31DCC" w:rsidP="008C71A9">
      <w:pPr>
        <w:pStyle w:val="Akapitzlist"/>
        <w:numPr>
          <w:ilvl w:val="0"/>
          <w:numId w:val="94"/>
        </w:numPr>
        <w:spacing w:after="0"/>
        <w:ind w:left="360"/>
        <w:jc w:val="both"/>
        <w:rPr>
          <w:rFonts w:ascii="Times New Roman" w:eastAsia="Calibri" w:hAnsi="Times New Roman" w:cs="Times New Roman"/>
          <w:color w:val="000000"/>
          <w:sz w:val="24"/>
          <w:szCs w:val="24"/>
        </w:rPr>
      </w:pPr>
      <w:r w:rsidRPr="0006473C">
        <w:rPr>
          <w:rFonts w:ascii="Times New Roman" w:eastAsia="Calibri" w:hAnsi="Times New Roman" w:cs="Times New Roman"/>
          <w:b/>
          <w:bCs/>
          <w:color w:val="000000"/>
          <w:sz w:val="24"/>
          <w:szCs w:val="24"/>
        </w:rPr>
        <w:t>Ithaca</w:t>
      </w:r>
      <w:r w:rsidRPr="0006473C">
        <w:rPr>
          <w:rFonts w:ascii="Times New Roman" w:eastAsia="Calibri" w:hAnsi="Times New Roman" w:cs="Times New Roman"/>
          <w:color w:val="000000"/>
          <w:sz w:val="24"/>
          <w:szCs w:val="24"/>
        </w:rPr>
        <w:t xml:space="preserve"> – Projekt polega na stymulowaniu wdrażania i rozwijania innowacyjnych rozwiązań i tworzenia ekosystemów na rzecz aktywnego i zdrowego starzenia oraz utworzeniu modelu „triple win”, który pozwoli na poprawę stanu zdrowia i dobrobytu pacjentów indywidualnych oraz ich zdolności samodzielnej opieki i samodzielnego życia dłużej niż obecnie; zapewni lepszą kondycję i zyski finansowe sektorom opieki zdrowotnej i </w:t>
      </w:r>
      <w:r w:rsidRPr="0006473C">
        <w:rPr>
          <w:rFonts w:ascii="Times New Roman" w:eastAsia="Calibri" w:hAnsi="Times New Roman" w:cs="Times New Roman"/>
          <w:color w:val="000000"/>
          <w:sz w:val="24"/>
          <w:szCs w:val="24"/>
        </w:rPr>
        <w:lastRenderedPageBreak/>
        <w:t>społecznej.</w:t>
      </w:r>
      <w:r w:rsidR="0006473C">
        <w:rPr>
          <w:rFonts w:ascii="Times New Roman" w:eastAsia="Calibri" w:hAnsi="Times New Roman" w:cs="Times New Roman"/>
          <w:color w:val="000000"/>
          <w:sz w:val="24"/>
          <w:szCs w:val="24"/>
        </w:rPr>
        <w:t xml:space="preserve"> </w:t>
      </w:r>
      <w:r w:rsidRPr="0006473C">
        <w:rPr>
          <w:rFonts w:ascii="Times New Roman" w:eastAsia="Calibri" w:hAnsi="Times New Roman" w:cs="Times New Roman"/>
          <w:color w:val="000000"/>
          <w:sz w:val="24"/>
          <w:szCs w:val="24"/>
        </w:rPr>
        <w:t xml:space="preserve">W projekcie ITHACA Małopolska skupia się na analizie osi priorytetowej 9 „Region spójny społecznie” RPO WM 2014-2020. Dzięki udziałowi Województwa Małopolskiego w projekcie, udało się pozyskać szereg dobrych praktyk od zagranicznych partnerów projektu, możliwych do przetransferowania do Małopolski. Wynikiem pierwszej fazy projektu- tj. fazy „uczenia się” było wypracowanie wspólnej strategii budowy europejskiego rynku usług społecznych i zdrowotnych oraz dziewięciu regionalnych planów działań każdego z partnerów. Małopolska w swoim planie skupi się na wsparciu działań skierowanych do centrów „wytchnieniowych” oraz projektu Małopolski  Tele-Anioł. </w:t>
      </w:r>
    </w:p>
    <w:p w14:paraId="4BA6463B" w14:textId="77777777" w:rsidR="00F31DCC" w:rsidRPr="0006473C" w:rsidRDefault="00F31DCC" w:rsidP="008C71A9">
      <w:pPr>
        <w:pStyle w:val="Akapitzlist"/>
        <w:numPr>
          <w:ilvl w:val="0"/>
          <w:numId w:val="94"/>
        </w:numPr>
        <w:spacing w:after="0"/>
        <w:ind w:left="360"/>
        <w:jc w:val="both"/>
        <w:rPr>
          <w:rFonts w:ascii="Times New Roman" w:eastAsia="Calibri" w:hAnsi="Times New Roman" w:cs="Times New Roman"/>
          <w:color w:val="000000"/>
          <w:sz w:val="24"/>
          <w:szCs w:val="24"/>
        </w:rPr>
      </w:pPr>
      <w:r w:rsidRPr="0006473C">
        <w:rPr>
          <w:rFonts w:ascii="Times New Roman" w:eastAsia="Calibri" w:hAnsi="Times New Roman" w:cs="Times New Roman"/>
          <w:b/>
          <w:color w:val="000000"/>
          <w:sz w:val="24"/>
          <w:szCs w:val="24"/>
        </w:rPr>
        <w:t>HoCare2.0</w:t>
      </w:r>
      <w:r w:rsidRPr="0006473C">
        <w:rPr>
          <w:rFonts w:ascii="Times New Roman" w:eastAsia="Calibri" w:hAnsi="Times New Roman" w:cs="Times New Roman"/>
          <w:color w:val="000000"/>
          <w:sz w:val="24"/>
          <w:szCs w:val="24"/>
        </w:rPr>
        <w:t xml:space="preserve"> – „Dostarczanie i wdrażanie innowacyjnych rozwiązań w zakresie opieki domowej poprzez wzmocnienie współpracy w ramach poczwórnej helisy oraz wdrażanie zasad współtworzenia w terytorialnych ekosystemach innowacji” (Delivery and deployment of Innovative solutions for Home Care by strengthening quadruple helix cooperation and applying principles of co-creation in territorial innovation ecosystems). </w:t>
      </w:r>
    </w:p>
    <w:p w14:paraId="44E1341A" w14:textId="77777777" w:rsidR="00F31DCC" w:rsidRPr="005F0A32" w:rsidRDefault="00F31DCC" w:rsidP="00E7359C">
      <w:pPr>
        <w:spacing w:after="0"/>
        <w:ind w:left="426"/>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Celem projektu HoCare2.0 jest rozwijanie ekosystemów z zakresu opieki nad osobami starszymi w środowisku domowym, między innymi w oparciu o innowacyjne rozwiązania IT oraz dostarczanie i wdrażanie nowoczesnych narzędzi dla opieki domowej (zdrowotnej i społecznej) w oparciu o potrzeby użytkowników końcowych i ich formalnych lub nieformalnych opiekunów. Projekt jest realizowany w okresie 1.04.2019 </w:t>
      </w:r>
      <w:r w:rsidR="00264285">
        <w:rPr>
          <w:rFonts w:ascii="Times New Roman" w:eastAsia="Calibri" w:hAnsi="Times New Roman" w:cs="Times New Roman"/>
          <w:color w:val="000000"/>
          <w:sz w:val="24"/>
          <w:szCs w:val="24"/>
        </w:rPr>
        <w:t>r.</w:t>
      </w:r>
      <w:r w:rsidRPr="005F0A32">
        <w:rPr>
          <w:rFonts w:ascii="Times New Roman" w:eastAsia="Calibri" w:hAnsi="Times New Roman" w:cs="Times New Roman"/>
          <w:color w:val="000000"/>
          <w:sz w:val="24"/>
          <w:szCs w:val="24"/>
        </w:rPr>
        <w:t>–31.03.2022</w:t>
      </w:r>
      <w:r w:rsidR="00264285">
        <w:rPr>
          <w:rFonts w:ascii="Times New Roman" w:eastAsia="Calibri" w:hAnsi="Times New Roman" w:cs="Times New Roman"/>
          <w:color w:val="000000"/>
          <w:sz w:val="24"/>
          <w:szCs w:val="24"/>
        </w:rPr>
        <w:t xml:space="preserve"> r.</w:t>
      </w:r>
      <w:r w:rsidRPr="005F0A32">
        <w:rPr>
          <w:rFonts w:ascii="Times New Roman" w:eastAsia="Calibri" w:hAnsi="Times New Roman" w:cs="Times New Roman"/>
          <w:color w:val="000000"/>
          <w:sz w:val="24"/>
          <w:szCs w:val="24"/>
        </w:rPr>
        <w:t xml:space="preserve">. </w:t>
      </w:r>
    </w:p>
    <w:p w14:paraId="0E98AE27" w14:textId="77777777" w:rsidR="00F31DCC" w:rsidRPr="005F0A32" w:rsidRDefault="00F31DCC" w:rsidP="00E7359C">
      <w:pPr>
        <w:spacing w:after="0"/>
        <w:ind w:left="426"/>
        <w:jc w:val="both"/>
        <w:rPr>
          <w:rFonts w:ascii="Times New Roman" w:eastAsia="Calibri" w:hAnsi="Times New Roman" w:cs="Times New Roman"/>
          <w:b/>
          <w:color w:val="000000"/>
          <w:sz w:val="24"/>
          <w:szCs w:val="24"/>
        </w:rPr>
      </w:pPr>
    </w:p>
    <w:p w14:paraId="125DC671" w14:textId="77777777" w:rsidR="0006473C" w:rsidRPr="00264285" w:rsidRDefault="0006473C" w:rsidP="00E7359C">
      <w:pPr>
        <w:spacing w:after="0"/>
        <w:jc w:val="both"/>
        <w:rPr>
          <w:rFonts w:ascii="Times New Roman" w:hAnsi="Times New Roman" w:cs="Times New Roman"/>
          <w:b/>
          <w:i/>
          <w:color w:val="00B0F0"/>
          <w:sz w:val="24"/>
          <w:szCs w:val="24"/>
        </w:rPr>
      </w:pPr>
      <w:r w:rsidRPr="00264285">
        <w:rPr>
          <w:rFonts w:ascii="Times New Roman" w:hAnsi="Times New Roman" w:cs="Times New Roman"/>
          <w:b/>
          <w:color w:val="00B0F0"/>
          <w:sz w:val="24"/>
          <w:szCs w:val="24"/>
        </w:rPr>
        <w:t>Realizacja działań wynikających z przyjętego prz</w:t>
      </w:r>
      <w:r w:rsidR="00264285">
        <w:rPr>
          <w:rFonts w:ascii="Times New Roman" w:hAnsi="Times New Roman" w:cs="Times New Roman"/>
          <w:b/>
          <w:color w:val="00B0F0"/>
          <w:sz w:val="24"/>
          <w:szCs w:val="24"/>
        </w:rPr>
        <w:t xml:space="preserve">ez Radę Ministrów dokumentu </w:t>
      </w:r>
      <w:r w:rsidRPr="00264285">
        <w:rPr>
          <w:rFonts w:ascii="Times New Roman" w:hAnsi="Times New Roman" w:cs="Times New Roman"/>
          <w:b/>
          <w:i/>
          <w:color w:val="00B0F0"/>
          <w:sz w:val="24"/>
          <w:szCs w:val="24"/>
        </w:rPr>
        <w:t>Polityka społeczna wobec osób starszych 2030. Bezpieczeńst</w:t>
      </w:r>
      <w:r w:rsidR="00264285">
        <w:rPr>
          <w:rFonts w:ascii="Times New Roman" w:hAnsi="Times New Roman" w:cs="Times New Roman"/>
          <w:b/>
          <w:i/>
          <w:color w:val="00B0F0"/>
          <w:sz w:val="24"/>
          <w:szCs w:val="24"/>
        </w:rPr>
        <w:t>wo – Uczestnictwo – Solidarność</w:t>
      </w:r>
      <w:r w:rsidRPr="00264285">
        <w:rPr>
          <w:rFonts w:ascii="Times New Roman" w:hAnsi="Times New Roman" w:cs="Times New Roman"/>
          <w:b/>
          <w:i/>
          <w:color w:val="00B0F0"/>
          <w:sz w:val="24"/>
          <w:szCs w:val="24"/>
        </w:rPr>
        <w:t xml:space="preserve"> </w:t>
      </w:r>
    </w:p>
    <w:p w14:paraId="3292A056" w14:textId="77777777" w:rsidR="00F31DCC" w:rsidRPr="005F0A32" w:rsidRDefault="00F31DCC" w:rsidP="00E7359C">
      <w:pPr>
        <w:spacing w:after="0"/>
        <w:ind w:right="-1"/>
        <w:jc w:val="both"/>
        <w:rPr>
          <w:rFonts w:ascii="Times New Roman" w:hAnsi="Times New Roman" w:cs="Times New Roman"/>
          <w:b/>
          <w:sz w:val="24"/>
          <w:szCs w:val="24"/>
          <w:u w:val="single"/>
        </w:rPr>
      </w:pPr>
    </w:p>
    <w:p w14:paraId="3E1DE16D" w14:textId="77777777" w:rsidR="00F31DCC" w:rsidRPr="005F0A32" w:rsidRDefault="00F31DCC"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Podjęte działania w ramach polityki społecznej wobec osób starszych w województwie małopolskim miały na celu: kształtowanie pozytywnego postrzegania starości w społeczeństwie, uczestnictwo w życiu społecznym oraz wspieranie wszelkich form aktywności obywatelskiej, edukacyjnej, społecznej, kulturalnej, artystycznej i sportowej osób starszych. Ponadto tworzono warunki umożliwiające wykorzystanie potencjału osób starszych jako aktywnych uczestników życia gospodarczego. Projekty skierowane do osób starszych promowały profilaktykę zdrowotną. Starano się stworzyć warunki do solidarności i integracji międzypokoleniowej. Przykładem działań podjętych w 2019 roku, wspierających realizację celów wskazanych w </w:t>
      </w:r>
      <w:r w:rsidRPr="00264285">
        <w:rPr>
          <w:rFonts w:ascii="Times New Roman" w:hAnsi="Times New Roman" w:cs="Times New Roman"/>
          <w:i/>
          <w:sz w:val="24"/>
          <w:szCs w:val="24"/>
        </w:rPr>
        <w:t>Informacji o sytuacji osó</w:t>
      </w:r>
      <w:r w:rsidR="00264285" w:rsidRPr="00264285">
        <w:rPr>
          <w:rFonts w:ascii="Times New Roman" w:hAnsi="Times New Roman" w:cs="Times New Roman"/>
          <w:i/>
          <w:sz w:val="24"/>
          <w:szCs w:val="24"/>
        </w:rPr>
        <w:t>b starszych w Polsce za 2018 r.</w:t>
      </w:r>
      <w:r w:rsidRPr="005F0A32">
        <w:rPr>
          <w:rFonts w:ascii="Times New Roman" w:hAnsi="Times New Roman" w:cs="Times New Roman"/>
          <w:sz w:val="24"/>
          <w:szCs w:val="24"/>
        </w:rPr>
        <w:t xml:space="preserve"> oraz </w:t>
      </w:r>
      <w:r w:rsidRPr="00264285">
        <w:rPr>
          <w:rFonts w:ascii="Times New Roman" w:hAnsi="Times New Roman" w:cs="Times New Roman"/>
          <w:i/>
          <w:sz w:val="24"/>
          <w:szCs w:val="24"/>
        </w:rPr>
        <w:t>Polityce społecznej wobec osób starszych 2030. Bezpieczeństwo – Uczestnictwo –Solidarność</w:t>
      </w:r>
      <w:r w:rsidRPr="005F0A32">
        <w:rPr>
          <w:rFonts w:ascii="Times New Roman" w:hAnsi="Times New Roman" w:cs="Times New Roman"/>
          <w:sz w:val="24"/>
          <w:szCs w:val="24"/>
        </w:rPr>
        <w:t xml:space="preserve"> to:</w:t>
      </w:r>
    </w:p>
    <w:p w14:paraId="1B5DF8CD" w14:textId="77777777" w:rsidR="00F31DCC" w:rsidRPr="005F0A32" w:rsidRDefault="00F31DCC" w:rsidP="008C71A9">
      <w:pPr>
        <w:numPr>
          <w:ilvl w:val="0"/>
          <w:numId w:val="95"/>
        </w:numPr>
        <w:spacing w:after="0"/>
        <w:ind w:left="360"/>
        <w:jc w:val="both"/>
        <w:rPr>
          <w:rFonts w:ascii="Times New Roman" w:hAnsi="Times New Roman" w:cs="Times New Roman"/>
          <w:sz w:val="24"/>
          <w:szCs w:val="24"/>
        </w:rPr>
      </w:pPr>
      <w:r w:rsidRPr="005F0A32">
        <w:rPr>
          <w:rFonts w:ascii="Times New Roman" w:eastAsia="Calibri" w:hAnsi="Times New Roman" w:cs="Times New Roman"/>
          <w:b/>
          <w:color w:val="000000"/>
          <w:sz w:val="24"/>
          <w:szCs w:val="24"/>
        </w:rPr>
        <w:t>Kongresy Srebrnej Gospodarki - IV Małopolski Kongres Srebrnej Gospodarki (15 listopada 2019 r.).</w:t>
      </w:r>
      <w:r w:rsidRPr="005F0A32">
        <w:rPr>
          <w:rFonts w:ascii="Times New Roman" w:hAnsi="Times New Roman" w:cs="Times New Roman"/>
          <w:sz w:val="24"/>
          <w:szCs w:val="24"/>
        </w:rPr>
        <w:t xml:space="preserve"> </w:t>
      </w:r>
      <w:r w:rsidRPr="005F0A32">
        <w:rPr>
          <w:rFonts w:ascii="Times New Roman" w:eastAsia="Calibri" w:hAnsi="Times New Roman" w:cs="Times New Roman"/>
          <w:color w:val="000000"/>
          <w:sz w:val="24"/>
          <w:szCs w:val="24"/>
        </w:rPr>
        <w:t>Kongres poświęcony został zdrowiu psychicznemu osób starszych.</w:t>
      </w:r>
      <w:r w:rsidRPr="005F0A32">
        <w:rPr>
          <w:rFonts w:ascii="Times New Roman" w:hAnsi="Times New Roman" w:cs="Times New Roman"/>
          <w:sz w:val="24"/>
          <w:szCs w:val="24"/>
        </w:rPr>
        <w:t xml:space="preserve"> </w:t>
      </w:r>
      <w:r w:rsidRPr="005F0A32">
        <w:rPr>
          <w:rFonts w:ascii="Times New Roman" w:eastAsia="Calibri" w:hAnsi="Times New Roman" w:cs="Times New Roman"/>
          <w:color w:val="000000"/>
          <w:sz w:val="24"/>
          <w:szCs w:val="24"/>
        </w:rPr>
        <w:t xml:space="preserve">Wśród zagadnień poruszanych w panelach dyskusyjnych kongresu, uczestnicy podnosili kwestię konieczności zmiany sposobu myślenia i przełamania stereotypów wobec osób w wieku senioralnym, cierpiących z powodu zaburzeń psychicznych, psychoedukacji społeczeństwa, opiekunów, jak i samych seniorów, znaczenia właściwej komunikacji w budowaniu i utrzymywaniu relacji. </w:t>
      </w:r>
    </w:p>
    <w:p w14:paraId="7F1EA104" w14:textId="77777777" w:rsidR="00F31DCC" w:rsidRPr="005F0A32" w:rsidRDefault="00F31DCC" w:rsidP="008C71A9">
      <w:pPr>
        <w:numPr>
          <w:ilvl w:val="0"/>
          <w:numId w:val="95"/>
        </w:numPr>
        <w:spacing w:after="0"/>
        <w:ind w:left="360"/>
        <w:jc w:val="both"/>
        <w:rPr>
          <w:rFonts w:ascii="Times New Roman" w:hAnsi="Times New Roman" w:cs="Times New Roman"/>
          <w:sz w:val="24"/>
          <w:szCs w:val="24"/>
        </w:rPr>
      </w:pPr>
      <w:r w:rsidRPr="005F0A32">
        <w:rPr>
          <w:rFonts w:ascii="Times New Roman" w:eastAsia="Calibri" w:hAnsi="Times New Roman" w:cs="Times New Roman"/>
          <w:b/>
          <w:color w:val="000000"/>
          <w:sz w:val="24"/>
          <w:szCs w:val="24"/>
        </w:rPr>
        <w:t>Małopolska Rada ds. Polityki Senioralnej</w:t>
      </w:r>
      <w:r w:rsidRPr="005F0A32">
        <w:rPr>
          <w:rFonts w:ascii="Times New Roman" w:eastAsia="Calibri" w:hAnsi="Times New Roman" w:cs="Times New Roman"/>
          <w:color w:val="000000"/>
          <w:sz w:val="24"/>
          <w:szCs w:val="24"/>
        </w:rPr>
        <w:t xml:space="preserve"> – </w:t>
      </w:r>
      <w:r w:rsidRPr="005F0A32">
        <w:rPr>
          <w:rFonts w:ascii="Times New Roman" w:eastAsia="Calibri" w:hAnsi="Times New Roman" w:cs="Times New Roman"/>
          <w:noProof/>
          <w:color w:val="000000"/>
          <w:sz w:val="24"/>
          <w:szCs w:val="24"/>
        </w:rPr>
        <w:t xml:space="preserve">organ opiniująco - doradczy </w:t>
      </w:r>
      <w:r w:rsidRPr="005F0A32">
        <w:rPr>
          <w:rFonts w:ascii="Times New Roman" w:eastAsia="Calibri" w:hAnsi="Times New Roman" w:cs="Times New Roman"/>
          <w:color w:val="000000"/>
          <w:sz w:val="24"/>
          <w:szCs w:val="24"/>
        </w:rPr>
        <w:t>Zarządu Województwa Małopolskiego w obszarze problematyki osób starszych oraz solidarności międzypokoleniowej,</w:t>
      </w:r>
      <w:r w:rsidRPr="005F0A32">
        <w:rPr>
          <w:rFonts w:ascii="Times New Roman" w:eastAsia="Calibri" w:hAnsi="Times New Roman" w:cs="Times New Roman"/>
          <w:noProof/>
          <w:color w:val="000000"/>
          <w:sz w:val="24"/>
          <w:szCs w:val="24"/>
        </w:rPr>
        <w:t xml:space="preserve"> działający już od 7 lat. Rada została powołana w celu </w:t>
      </w:r>
      <w:r w:rsidRPr="005F0A32">
        <w:rPr>
          <w:rFonts w:ascii="Times New Roman" w:eastAsia="Calibri" w:hAnsi="Times New Roman" w:cs="Times New Roman"/>
          <w:color w:val="000000"/>
          <w:sz w:val="24"/>
          <w:szCs w:val="24"/>
        </w:rPr>
        <w:t xml:space="preserve">wzmocnienia pozycji małopolskich seniorów w życiu społecznym, stworzenia warunków do realizacji potrzeb i poprawy jakości życia oraz realizacji wspólnych przedsięwzięć. </w:t>
      </w:r>
    </w:p>
    <w:p w14:paraId="551420C5" w14:textId="77777777" w:rsidR="00F31DCC" w:rsidRPr="005F0A32" w:rsidRDefault="00F31DCC" w:rsidP="008C71A9">
      <w:pPr>
        <w:numPr>
          <w:ilvl w:val="0"/>
          <w:numId w:val="95"/>
        </w:numPr>
        <w:spacing w:after="0"/>
        <w:ind w:left="360"/>
        <w:jc w:val="both"/>
        <w:rPr>
          <w:rFonts w:ascii="Times New Roman" w:hAnsi="Times New Roman" w:cs="Times New Roman"/>
          <w:sz w:val="24"/>
          <w:szCs w:val="24"/>
        </w:rPr>
      </w:pPr>
      <w:r w:rsidRPr="005F0A32">
        <w:rPr>
          <w:rFonts w:ascii="Times New Roman" w:eastAsia="Calibri" w:hAnsi="Times New Roman" w:cs="Times New Roman"/>
          <w:b/>
          <w:bCs/>
          <w:color w:val="000000"/>
          <w:sz w:val="24"/>
          <w:szCs w:val="24"/>
        </w:rPr>
        <w:lastRenderedPageBreak/>
        <w:t xml:space="preserve">Forum Seniora </w:t>
      </w:r>
      <w:r w:rsidRPr="005F0A32">
        <w:rPr>
          <w:rFonts w:ascii="Times New Roman" w:eastAsia="Calibri" w:hAnsi="Times New Roman" w:cs="Times New Roman"/>
          <w:color w:val="000000"/>
          <w:sz w:val="24"/>
          <w:szCs w:val="24"/>
        </w:rPr>
        <w:t>–</w:t>
      </w:r>
      <w:r w:rsidRPr="005F0A32">
        <w:rPr>
          <w:rFonts w:ascii="Times New Roman" w:eastAsia="Calibri" w:hAnsi="Times New Roman" w:cs="Times New Roman"/>
          <w:b/>
          <w:bCs/>
          <w:color w:val="000000"/>
          <w:sz w:val="24"/>
          <w:szCs w:val="24"/>
        </w:rPr>
        <w:t xml:space="preserve"> </w:t>
      </w:r>
      <w:r w:rsidRPr="005F0A32">
        <w:rPr>
          <w:rFonts w:ascii="Times New Roman" w:eastAsia="Calibri" w:hAnsi="Times New Roman" w:cs="Times New Roman"/>
          <w:color w:val="000000"/>
          <w:sz w:val="24"/>
          <w:szCs w:val="24"/>
        </w:rPr>
        <w:t xml:space="preserve">to ważne, cykliczne wydarzenie, organizowane przez Polska Press w Audytorium Maximum Uniwersytetu Jagiellońskiego, przy finansowym wsparciu Województwa Małopolskiego. Wydarzenie, w którym zawsze bierze udział ponad 500 seniorów jest poświęcone profilaktyce i rozwiązywaniu problemów wieku senioralnego. </w:t>
      </w:r>
    </w:p>
    <w:p w14:paraId="003A0B66" w14:textId="77777777" w:rsidR="00F31DCC" w:rsidRPr="005F0A32" w:rsidRDefault="00F31DCC" w:rsidP="008C71A9">
      <w:pPr>
        <w:numPr>
          <w:ilvl w:val="0"/>
          <w:numId w:val="95"/>
        </w:numPr>
        <w:spacing w:after="0"/>
        <w:ind w:left="360"/>
        <w:jc w:val="both"/>
        <w:rPr>
          <w:rFonts w:ascii="Times New Roman" w:hAnsi="Times New Roman" w:cs="Times New Roman"/>
          <w:sz w:val="24"/>
          <w:szCs w:val="24"/>
        </w:rPr>
      </w:pPr>
      <w:r w:rsidRPr="005F0A32">
        <w:rPr>
          <w:rFonts w:ascii="Times New Roman" w:eastAsia="Calibri" w:hAnsi="Times New Roman" w:cs="Times New Roman"/>
          <w:b/>
          <w:bCs/>
          <w:color w:val="000000"/>
          <w:sz w:val="24"/>
          <w:szCs w:val="24"/>
        </w:rPr>
        <w:t xml:space="preserve">Szkoła @ktywnego Seniora </w:t>
      </w:r>
      <w:r w:rsidRPr="005F0A32">
        <w:rPr>
          <w:rFonts w:ascii="Times New Roman" w:eastAsia="Calibri" w:hAnsi="Times New Roman" w:cs="Times New Roman"/>
          <w:color w:val="000000"/>
          <w:sz w:val="24"/>
          <w:szCs w:val="24"/>
        </w:rPr>
        <w:t>–</w:t>
      </w:r>
      <w:r w:rsidRPr="005F0A32">
        <w:rPr>
          <w:rFonts w:ascii="Times New Roman" w:eastAsia="Calibri" w:hAnsi="Times New Roman" w:cs="Times New Roman"/>
          <w:b/>
          <w:bCs/>
          <w:color w:val="000000"/>
          <w:sz w:val="24"/>
          <w:szCs w:val="24"/>
        </w:rPr>
        <w:t xml:space="preserve"> S@S - </w:t>
      </w:r>
      <w:r w:rsidRPr="005F0A32">
        <w:rPr>
          <w:rFonts w:ascii="Times New Roman" w:eastAsia="Calibri" w:hAnsi="Times New Roman" w:cs="Times New Roman"/>
          <w:color w:val="000000"/>
          <w:sz w:val="24"/>
          <w:szCs w:val="24"/>
        </w:rPr>
        <w:t>autorski program partnerski, realizowany przez Wojewódzką Bibliotekę Publiczną, instytucję kultury Województwa Małopolskiego, od 2007 roku wraz z Towarzystwem Polsko-Niemieckim w Krakowie, w ramach działań skierowanych do seniorów. Dzięki kompleksowemu podejściu do potrzeb edukacyjno-integracyjnych starszych ludzi przyczynia się do zmiany stereotypów związanych z seniorami</w:t>
      </w:r>
    </w:p>
    <w:p w14:paraId="4DD3F5C3" w14:textId="77777777" w:rsidR="00F31DCC" w:rsidRPr="005F0A32" w:rsidRDefault="00F31DCC" w:rsidP="008C71A9">
      <w:pPr>
        <w:numPr>
          <w:ilvl w:val="0"/>
          <w:numId w:val="95"/>
        </w:numPr>
        <w:spacing w:after="0"/>
        <w:ind w:left="360"/>
        <w:jc w:val="both"/>
        <w:rPr>
          <w:rFonts w:ascii="Times New Roman" w:hAnsi="Times New Roman" w:cs="Times New Roman"/>
          <w:sz w:val="24"/>
          <w:szCs w:val="24"/>
        </w:rPr>
      </w:pPr>
      <w:r w:rsidRPr="005F0A32">
        <w:rPr>
          <w:rFonts w:ascii="Times New Roman" w:eastAsia="Calibri" w:hAnsi="Times New Roman" w:cs="Times New Roman"/>
          <w:b/>
          <w:bCs/>
          <w:color w:val="000000"/>
          <w:sz w:val="24"/>
          <w:szCs w:val="24"/>
        </w:rPr>
        <w:t xml:space="preserve">AKtywna Akademia </w:t>
      </w:r>
      <w:r w:rsidRPr="005F0A32">
        <w:rPr>
          <w:rFonts w:ascii="Times New Roman" w:eastAsia="Calibri" w:hAnsi="Times New Roman" w:cs="Times New Roman"/>
          <w:color w:val="000000"/>
          <w:sz w:val="24"/>
          <w:szCs w:val="24"/>
        </w:rPr>
        <w:t>–</w:t>
      </w:r>
      <w:r w:rsidRPr="005F0A32">
        <w:rPr>
          <w:rFonts w:ascii="Times New Roman" w:eastAsia="Calibri" w:hAnsi="Times New Roman" w:cs="Times New Roman"/>
          <w:b/>
          <w:bCs/>
          <w:color w:val="000000"/>
          <w:sz w:val="24"/>
          <w:szCs w:val="24"/>
        </w:rPr>
        <w:t xml:space="preserve"> </w:t>
      </w:r>
      <w:r w:rsidRPr="005F0A32">
        <w:rPr>
          <w:rFonts w:ascii="Times New Roman" w:eastAsia="Calibri" w:hAnsi="Times New Roman" w:cs="Times New Roman"/>
          <w:color w:val="000000"/>
          <w:sz w:val="24"/>
          <w:szCs w:val="24"/>
        </w:rPr>
        <w:t xml:space="preserve">cykl comiesięcznych spotkań, wykładów i warsztatów prowadzonych przez Muzeum Armii Krajowej w Krakowie, instytucję współprowadzoną przez województwo małopolskie. W 2019 </w:t>
      </w:r>
      <w:r w:rsidR="00264285">
        <w:rPr>
          <w:rFonts w:ascii="Times New Roman" w:eastAsia="Calibri" w:hAnsi="Times New Roman" w:cs="Times New Roman"/>
          <w:color w:val="000000"/>
          <w:sz w:val="24"/>
          <w:szCs w:val="24"/>
        </w:rPr>
        <w:t xml:space="preserve">r. </w:t>
      </w:r>
      <w:r w:rsidRPr="005F0A32">
        <w:rPr>
          <w:rFonts w:ascii="Times New Roman" w:eastAsia="Calibri" w:hAnsi="Times New Roman" w:cs="Times New Roman"/>
          <w:color w:val="000000"/>
          <w:sz w:val="24"/>
          <w:szCs w:val="24"/>
        </w:rPr>
        <w:t>zorganizowano 4 spotkania, w których wzięło udział 180 osób.</w:t>
      </w:r>
    </w:p>
    <w:p w14:paraId="57880C09" w14:textId="77777777" w:rsidR="00F31DCC" w:rsidRPr="005F0A32" w:rsidRDefault="00F31DCC" w:rsidP="008C71A9">
      <w:pPr>
        <w:numPr>
          <w:ilvl w:val="0"/>
          <w:numId w:val="95"/>
        </w:numPr>
        <w:spacing w:after="0"/>
        <w:ind w:left="360"/>
        <w:jc w:val="both"/>
        <w:rPr>
          <w:rFonts w:ascii="Times New Roman" w:hAnsi="Times New Roman" w:cs="Times New Roman"/>
          <w:sz w:val="24"/>
          <w:szCs w:val="24"/>
        </w:rPr>
      </w:pPr>
      <w:r w:rsidRPr="005F0A32">
        <w:rPr>
          <w:rFonts w:ascii="Times New Roman" w:eastAsia="Calibri" w:hAnsi="Times New Roman" w:cs="Times New Roman"/>
          <w:b/>
          <w:bCs/>
          <w:color w:val="000000"/>
          <w:sz w:val="24"/>
          <w:szCs w:val="24"/>
        </w:rPr>
        <w:t>Klub dyskusyjny Muzeum Lotnictwa Polskiego w Krakowie,</w:t>
      </w:r>
      <w:r w:rsidRPr="005F0A32">
        <w:rPr>
          <w:rFonts w:ascii="Times New Roman" w:eastAsia="Calibri" w:hAnsi="Times New Roman" w:cs="Times New Roman"/>
          <w:color w:val="000000"/>
          <w:sz w:val="24"/>
          <w:szCs w:val="24"/>
        </w:rPr>
        <w:t xml:space="preserve"> instytucji kultury Wojew</w:t>
      </w:r>
      <w:r w:rsidR="00264285">
        <w:rPr>
          <w:rFonts w:ascii="Times New Roman" w:eastAsia="Calibri" w:hAnsi="Times New Roman" w:cs="Times New Roman"/>
          <w:color w:val="000000"/>
          <w:sz w:val="24"/>
          <w:szCs w:val="24"/>
        </w:rPr>
        <w:t>ództwa Małopolskiego. W 2019 r.</w:t>
      </w:r>
      <w:r w:rsidRPr="005F0A32">
        <w:rPr>
          <w:rFonts w:ascii="Times New Roman" w:eastAsia="Calibri" w:hAnsi="Times New Roman" w:cs="Times New Roman"/>
          <w:color w:val="000000"/>
          <w:sz w:val="24"/>
          <w:szCs w:val="24"/>
        </w:rPr>
        <w:t xml:space="preserve"> przeprowadzono 30 spotkań z cyklu Klub Dyskusyjny MLP dla seniorów, w których wzięło udział 385 osób</w:t>
      </w:r>
      <w:r w:rsidRPr="005F0A32">
        <w:rPr>
          <w:rFonts w:ascii="Times New Roman" w:hAnsi="Times New Roman" w:cs="Times New Roman"/>
          <w:sz w:val="24"/>
          <w:szCs w:val="24"/>
        </w:rPr>
        <w:t>.</w:t>
      </w:r>
    </w:p>
    <w:p w14:paraId="1942A777" w14:textId="77777777" w:rsidR="00F31DCC" w:rsidRPr="005F0A32" w:rsidRDefault="00F31DCC" w:rsidP="008C71A9">
      <w:pPr>
        <w:numPr>
          <w:ilvl w:val="0"/>
          <w:numId w:val="95"/>
        </w:numPr>
        <w:spacing w:after="0"/>
        <w:ind w:left="360"/>
        <w:jc w:val="both"/>
        <w:rPr>
          <w:rFonts w:ascii="Times New Roman" w:hAnsi="Times New Roman" w:cs="Times New Roman"/>
          <w:sz w:val="24"/>
          <w:szCs w:val="24"/>
        </w:rPr>
      </w:pPr>
      <w:r w:rsidRPr="005F0A32">
        <w:rPr>
          <w:rFonts w:ascii="Times New Roman" w:eastAsia="Calibri" w:hAnsi="Times New Roman" w:cs="Times New Roman"/>
          <w:b/>
          <w:bCs/>
          <w:color w:val="000000"/>
          <w:sz w:val="24"/>
          <w:szCs w:val="24"/>
        </w:rPr>
        <w:t xml:space="preserve">Małopolska. Kultura Wrażliwa </w:t>
      </w:r>
      <w:r w:rsidRPr="005F0A32">
        <w:rPr>
          <w:rFonts w:ascii="Times New Roman" w:eastAsia="Calibri" w:hAnsi="Times New Roman" w:cs="Times New Roman"/>
          <w:color w:val="000000"/>
          <w:sz w:val="24"/>
          <w:szCs w:val="24"/>
        </w:rPr>
        <w:t xml:space="preserve">to projekt zainicjowany przez Województwo Małopolskie i wspólnie realizowany z Małopolskim Instytutem Kultury, instytucją kultury Województwa Małopolskiego. Celem projektu jest dostosowanie oferty i infrastruktury instytucji kultury do potrzeb wszystkich odbiorców z zaburzeniami wzroku, słuchu lub ruchu, w tym seniorów. </w:t>
      </w:r>
    </w:p>
    <w:p w14:paraId="2D1F2CD0" w14:textId="77777777" w:rsidR="00F31DCC" w:rsidRPr="005F0A32" w:rsidRDefault="00F31DCC" w:rsidP="008C71A9">
      <w:pPr>
        <w:numPr>
          <w:ilvl w:val="0"/>
          <w:numId w:val="95"/>
        </w:numPr>
        <w:spacing w:after="0"/>
        <w:ind w:left="360"/>
        <w:jc w:val="both"/>
        <w:rPr>
          <w:rFonts w:ascii="Times New Roman" w:hAnsi="Times New Roman" w:cs="Times New Roman"/>
          <w:sz w:val="24"/>
          <w:szCs w:val="24"/>
        </w:rPr>
      </w:pPr>
      <w:r w:rsidRPr="005F0A32">
        <w:rPr>
          <w:rFonts w:ascii="Times New Roman" w:eastAsia="Calibri" w:hAnsi="Times New Roman" w:cs="Times New Roman"/>
          <w:b/>
          <w:bCs/>
          <w:color w:val="000000"/>
          <w:sz w:val="24"/>
          <w:szCs w:val="24"/>
        </w:rPr>
        <w:t xml:space="preserve">60+ Kultura. </w:t>
      </w:r>
      <w:r w:rsidRPr="005F0A32">
        <w:rPr>
          <w:rFonts w:ascii="Times New Roman" w:eastAsia="Calibri" w:hAnsi="Times New Roman" w:cs="Times New Roman"/>
          <w:color w:val="000000"/>
          <w:sz w:val="24"/>
          <w:szCs w:val="24"/>
        </w:rPr>
        <w:t xml:space="preserve">Weekend z kulturą dla seniorów. Projekt zainicjowany przez Ministerstwo Kultury i Dziedzictwa Narodowego, który zwraca uwagę na potrzeby najstarszej wiekowo publiczności. Podczas pierwszego, jesiennego weekendu, seniorzy mogą bezpłatnie lub za symboliczną kwotę skorzystać z oferty kin, muzeów, teatrów, filharmonii i oper. </w:t>
      </w:r>
    </w:p>
    <w:p w14:paraId="20070453" w14:textId="77777777" w:rsidR="00A554B8" w:rsidRDefault="00A554B8" w:rsidP="00E7359C">
      <w:pPr>
        <w:spacing w:after="0"/>
        <w:ind w:right="-1"/>
        <w:jc w:val="both"/>
        <w:rPr>
          <w:rFonts w:ascii="Times New Roman" w:hAnsi="Times New Roman" w:cs="Times New Roman"/>
          <w:b/>
          <w:color w:val="000000"/>
          <w:sz w:val="24"/>
          <w:szCs w:val="24"/>
        </w:rPr>
      </w:pPr>
    </w:p>
    <w:p w14:paraId="483DB90C" w14:textId="77777777" w:rsidR="00A554B8" w:rsidRDefault="00A554B8" w:rsidP="00E7359C">
      <w:pPr>
        <w:spacing w:after="0"/>
        <w:ind w:right="-1"/>
        <w:jc w:val="both"/>
        <w:rPr>
          <w:rFonts w:ascii="Times New Roman" w:hAnsi="Times New Roman" w:cs="Times New Roman"/>
          <w:b/>
          <w:color w:val="000000"/>
          <w:sz w:val="24"/>
          <w:szCs w:val="24"/>
        </w:rPr>
      </w:pPr>
      <w:r>
        <w:rPr>
          <w:rFonts w:ascii="Times New Roman" w:hAnsi="Times New Roman" w:cs="Times New Roman"/>
          <w:b/>
          <w:color w:val="000000"/>
          <w:sz w:val="24"/>
          <w:szCs w:val="24"/>
        </w:rPr>
        <w:t>Program Senior+</w:t>
      </w:r>
    </w:p>
    <w:p w14:paraId="02F0D37C" w14:textId="77777777" w:rsidR="00F31DCC" w:rsidRDefault="00F31DCC" w:rsidP="00E7359C">
      <w:pPr>
        <w:spacing w:after="0"/>
        <w:ind w:right="-1"/>
        <w:jc w:val="both"/>
        <w:rPr>
          <w:rFonts w:ascii="Times New Roman" w:eastAsia="+mn-ea" w:hAnsi="Times New Roman" w:cs="Times New Roman"/>
          <w:color w:val="000000"/>
          <w:kern w:val="24"/>
          <w:sz w:val="24"/>
          <w:szCs w:val="24"/>
        </w:rPr>
      </w:pPr>
      <w:r w:rsidRPr="005F0A32">
        <w:rPr>
          <w:rFonts w:ascii="Times New Roman" w:eastAsia="+mn-ea" w:hAnsi="Times New Roman" w:cs="Times New Roman"/>
          <w:kern w:val="24"/>
          <w:sz w:val="24"/>
          <w:szCs w:val="24"/>
        </w:rPr>
        <w:t xml:space="preserve">Na terenie Małopolski funkcjonuje </w:t>
      </w:r>
      <w:r w:rsidRPr="005F0A32">
        <w:rPr>
          <w:rFonts w:ascii="Times New Roman" w:eastAsia="+mn-ea" w:hAnsi="Times New Roman" w:cs="Times New Roman"/>
          <w:bCs/>
          <w:kern w:val="24"/>
          <w:sz w:val="24"/>
          <w:szCs w:val="24"/>
        </w:rPr>
        <w:t>75 placówek Senior +</w:t>
      </w:r>
      <w:r w:rsidRPr="005F0A32">
        <w:rPr>
          <w:rFonts w:ascii="Times New Roman" w:eastAsia="+mn-ea" w:hAnsi="Times New Roman" w:cs="Times New Roman"/>
          <w:kern w:val="24"/>
          <w:sz w:val="24"/>
          <w:szCs w:val="24"/>
        </w:rPr>
        <w:t xml:space="preserve">, w tym: </w:t>
      </w:r>
      <w:r w:rsidRPr="005F0A32">
        <w:rPr>
          <w:rFonts w:ascii="Times New Roman" w:eastAsia="+mn-ea" w:hAnsi="Times New Roman" w:cs="Times New Roman"/>
          <w:bCs/>
          <w:kern w:val="24"/>
          <w:sz w:val="24"/>
          <w:szCs w:val="24"/>
        </w:rPr>
        <w:t>19</w:t>
      </w:r>
      <w:r w:rsidRPr="005F0A32">
        <w:rPr>
          <w:rFonts w:ascii="Times New Roman" w:eastAsia="+mn-ea" w:hAnsi="Times New Roman" w:cs="Times New Roman"/>
          <w:kern w:val="24"/>
          <w:sz w:val="24"/>
          <w:szCs w:val="24"/>
        </w:rPr>
        <w:t xml:space="preserve"> Dzienny Domów „Senior+” i </w:t>
      </w:r>
      <w:r w:rsidRPr="005F0A32">
        <w:rPr>
          <w:rFonts w:ascii="Times New Roman" w:eastAsia="+mn-ea" w:hAnsi="Times New Roman" w:cs="Times New Roman"/>
          <w:bCs/>
          <w:kern w:val="24"/>
          <w:sz w:val="24"/>
          <w:szCs w:val="24"/>
        </w:rPr>
        <w:t>56</w:t>
      </w:r>
      <w:r w:rsidRPr="005F0A32">
        <w:rPr>
          <w:rFonts w:ascii="Times New Roman" w:eastAsia="+mn-ea" w:hAnsi="Times New Roman" w:cs="Times New Roman"/>
          <w:kern w:val="24"/>
          <w:sz w:val="24"/>
          <w:szCs w:val="24"/>
        </w:rPr>
        <w:t xml:space="preserve"> Klubów „Senior+”. Placówki prowadzone są przez </w:t>
      </w:r>
      <w:r w:rsidRPr="005F0A32">
        <w:rPr>
          <w:rFonts w:ascii="Times New Roman" w:eastAsia="+mn-ea" w:hAnsi="Times New Roman" w:cs="Times New Roman"/>
          <w:bCs/>
          <w:kern w:val="24"/>
          <w:sz w:val="24"/>
          <w:szCs w:val="24"/>
        </w:rPr>
        <w:t>65</w:t>
      </w:r>
      <w:r w:rsidRPr="005F0A32">
        <w:rPr>
          <w:rFonts w:ascii="Times New Roman" w:eastAsia="+mn-ea" w:hAnsi="Times New Roman" w:cs="Times New Roman"/>
          <w:kern w:val="24"/>
          <w:sz w:val="24"/>
          <w:szCs w:val="24"/>
        </w:rPr>
        <w:t xml:space="preserve"> jednostek samorządu terytorialnego i oferują łącznie </w:t>
      </w:r>
      <w:r w:rsidRPr="005F0A32">
        <w:rPr>
          <w:rFonts w:ascii="Times New Roman" w:eastAsia="+mn-ea" w:hAnsi="Times New Roman" w:cs="Times New Roman"/>
          <w:bCs/>
          <w:kern w:val="24"/>
          <w:sz w:val="24"/>
          <w:szCs w:val="24"/>
        </w:rPr>
        <w:t>1</w:t>
      </w:r>
      <w:r w:rsidR="00264285">
        <w:rPr>
          <w:rFonts w:ascii="Times New Roman" w:eastAsia="+mn-ea" w:hAnsi="Times New Roman" w:cs="Times New Roman"/>
          <w:bCs/>
          <w:kern w:val="24"/>
          <w:sz w:val="24"/>
          <w:szCs w:val="24"/>
        </w:rPr>
        <w:t xml:space="preserve"> </w:t>
      </w:r>
      <w:r w:rsidRPr="005F0A32">
        <w:rPr>
          <w:rFonts w:ascii="Times New Roman" w:eastAsia="+mn-ea" w:hAnsi="Times New Roman" w:cs="Times New Roman"/>
          <w:bCs/>
          <w:kern w:val="24"/>
          <w:sz w:val="24"/>
          <w:szCs w:val="24"/>
        </w:rPr>
        <w:t>953</w:t>
      </w:r>
      <w:r w:rsidRPr="005F0A32">
        <w:rPr>
          <w:rFonts w:ascii="Times New Roman" w:eastAsia="+mn-ea" w:hAnsi="Times New Roman" w:cs="Times New Roman"/>
          <w:kern w:val="24"/>
          <w:sz w:val="24"/>
          <w:szCs w:val="24"/>
        </w:rPr>
        <w:t xml:space="preserve"> miejsca dla seniorów. </w:t>
      </w:r>
      <w:r w:rsidRPr="005F0A32">
        <w:rPr>
          <w:rFonts w:ascii="Times New Roman" w:eastAsia="+mn-ea" w:hAnsi="Times New Roman" w:cs="Times New Roman"/>
          <w:bCs/>
          <w:color w:val="000000"/>
          <w:kern w:val="24"/>
          <w:sz w:val="24"/>
          <w:szCs w:val="24"/>
        </w:rPr>
        <w:t xml:space="preserve">Dzienne Domy „Senior+” </w:t>
      </w:r>
      <w:r w:rsidRPr="005F0A32">
        <w:rPr>
          <w:rFonts w:ascii="Times New Roman" w:eastAsia="+mn-ea" w:hAnsi="Times New Roman" w:cs="Times New Roman"/>
          <w:color w:val="000000"/>
          <w:kern w:val="24"/>
          <w:sz w:val="24"/>
          <w:szCs w:val="24"/>
        </w:rPr>
        <w:t xml:space="preserve">funkcjonują od poniedziałku do piątku 8 godzin dziennie i oferują m.in. usługi: socjalne (w tym posiłek), edukacyjne, kulturalno-oświatowe, aktywności ruchowej lub kinezyterapii, sportowo-rekreacyjne, aktywizujące społecznie (w tym wolontariat międzypokoleniowy), terapii zajęciowej. </w:t>
      </w:r>
      <w:r w:rsidRPr="005F0A32">
        <w:rPr>
          <w:rFonts w:ascii="Times New Roman" w:eastAsia="+mn-ea" w:hAnsi="Times New Roman" w:cs="Times New Roman"/>
          <w:bCs/>
          <w:color w:val="000000"/>
          <w:kern w:val="24"/>
          <w:sz w:val="24"/>
          <w:szCs w:val="24"/>
        </w:rPr>
        <w:t xml:space="preserve">Kluby „Senior+” </w:t>
      </w:r>
      <w:r w:rsidRPr="005F0A32">
        <w:rPr>
          <w:rFonts w:ascii="Times New Roman" w:eastAsia="+mn-ea" w:hAnsi="Times New Roman" w:cs="Times New Roman"/>
          <w:color w:val="000000"/>
          <w:kern w:val="24"/>
          <w:sz w:val="24"/>
          <w:szCs w:val="24"/>
        </w:rPr>
        <w:t>funkcjonują zgodnie z ustalonym harmonogramem i oferują różnorodne usługi w tym edukacyjne, sportowo – rekreacyjne, kulturalno – oświatowe. W ramach zajęć organizowane są np. wycieczki krajoznawcze, zajęcia plastyczne, warsztaty teatralne, zajęcia ruchowe, warsztaty kulinarne, kursy obsługi komputera czy nauki języka angielskiego.</w:t>
      </w:r>
    </w:p>
    <w:p w14:paraId="6BEDF284" w14:textId="77777777" w:rsidR="00A554B8" w:rsidRPr="005F0A32" w:rsidRDefault="00A554B8" w:rsidP="00E7359C">
      <w:pPr>
        <w:spacing w:after="0"/>
        <w:ind w:right="-1"/>
        <w:jc w:val="both"/>
        <w:rPr>
          <w:rFonts w:ascii="Times New Roman" w:hAnsi="Times New Roman" w:cs="Times New Roman"/>
          <w:sz w:val="24"/>
          <w:szCs w:val="24"/>
        </w:rPr>
      </w:pPr>
    </w:p>
    <w:p w14:paraId="227DB42F" w14:textId="77777777" w:rsidR="00A554B8" w:rsidRDefault="00F31DCC" w:rsidP="00E7359C">
      <w:pPr>
        <w:spacing w:after="0"/>
        <w:ind w:right="-1"/>
        <w:jc w:val="both"/>
        <w:rPr>
          <w:rFonts w:ascii="Times New Roman" w:hAnsi="Times New Roman" w:cs="Times New Roman"/>
          <w:b/>
          <w:bCs/>
          <w:kern w:val="36"/>
          <w:sz w:val="24"/>
          <w:szCs w:val="24"/>
        </w:rPr>
      </w:pPr>
      <w:r w:rsidRPr="005F0A32">
        <w:rPr>
          <w:rFonts w:ascii="Times New Roman" w:hAnsi="Times New Roman" w:cs="Times New Roman"/>
          <w:b/>
          <w:color w:val="000000"/>
          <w:sz w:val="24"/>
          <w:szCs w:val="24"/>
        </w:rPr>
        <w:t>Program</w:t>
      </w:r>
      <w:r w:rsidRPr="005F0A32">
        <w:rPr>
          <w:rFonts w:ascii="Times New Roman" w:hAnsi="Times New Roman" w:cs="Times New Roman"/>
          <w:color w:val="000000"/>
          <w:sz w:val="24"/>
          <w:szCs w:val="24"/>
        </w:rPr>
        <w:t xml:space="preserve"> </w:t>
      </w:r>
      <w:r w:rsidR="00A554B8">
        <w:rPr>
          <w:rFonts w:ascii="Times New Roman" w:hAnsi="Times New Roman" w:cs="Times New Roman"/>
          <w:b/>
          <w:bCs/>
          <w:kern w:val="36"/>
          <w:sz w:val="24"/>
          <w:szCs w:val="24"/>
        </w:rPr>
        <w:t xml:space="preserve">„Opieka 75+” </w:t>
      </w:r>
    </w:p>
    <w:p w14:paraId="4B762DCA" w14:textId="77777777" w:rsidR="00F31DCC" w:rsidRPr="005F0A32" w:rsidRDefault="00A554B8" w:rsidP="00E7359C">
      <w:pPr>
        <w:spacing w:after="0"/>
        <w:ind w:right="-1"/>
        <w:jc w:val="both"/>
        <w:rPr>
          <w:rFonts w:ascii="Times New Roman" w:hAnsi="Times New Roman" w:cs="Times New Roman"/>
          <w:sz w:val="24"/>
          <w:szCs w:val="24"/>
        </w:rPr>
      </w:pPr>
      <w:r>
        <w:rPr>
          <w:rFonts w:ascii="Times New Roman" w:hAnsi="Times New Roman" w:cs="Times New Roman"/>
          <w:sz w:val="24"/>
          <w:szCs w:val="24"/>
        </w:rPr>
        <w:t>W 2019 r.</w:t>
      </w:r>
      <w:r w:rsidR="00F31DCC" w:rsidRPr="005F0A32">
        <w:rPr>
          <w:rFonts w:ascii="Times New Roman" w:hAnsi="Times New Roman" w:cs="Times New Roman"/>
          <w:sz w:val="24"/>
          <w:szCs w:val="24"/>
        </w:rPr>
        <w:t xml:space="preserve"> 32 gminy podpisały umowę o dotację w ramach programu „Opieka 75+” </w:t>
      </w:r>
      <w:r w:rsidR="00F31DCC" w:rsidRPr="005F0A32">
        <w:rPr>
          <w:rFonts w:ascii="Times New Roman" w:eastAsia="+mn-ea" w:hAnsi="Times New Roman" w:cs="Times New Roman"/>
          <w:color w:val="000000"/>
          <w:kern w:val="24"/>
          <w:sz w:val="24"/>
          <w:szCs w:val="24"/>
        </w:rPr>
        <w:t xml:space="preserve">Usługami opiekuńczymi w ramach Programu objęto 304 osoby, z tego 185 osób nowych,   które nie otrzymywały usług w 2018 r. W ramach Programu zrealizowano 52 205 godzin usług </w:t>
      </w:r>
      <w:r w:rsidR="00F31DCC" w:rsidRPr="005F0A32">
        <w:rPr>
          <w:rFonts w:ascii="Times New Roman" w:eastAsia="+mn-ea" w:hAnsi="Times New Roman" w:cs="Times New Roman"/>
          <w:color w:val="000000"/>
          <w:kern w:val="24"/>
          <w:sz w:val="24"/>
          <w:szCs w:val="24"/>
        </w:rPr>
        <w:lastRenderedPageBreak/>
        <w:t>opiekuńczych. Usługi opiekuńcze w ramach Programu zatrudnionych przez gminę na umowę o pracę świadczyło 124 opiekunów (85,82 etatów). Z tego 18 opiekunów nowo  zatrudnionych po 1 stycznia 2019 r.</w:t>
      </w:r>
    </w:p>
    <w:p w14:paraId="0FC77980" w14:textId="77777777" w:rsidR="00F31DCC" w:rsidRPr="005F0A32" w:rsidRDefault="00F31DCC" w:rsidP="00E7359C">
      <w:pPr>
        <w:spacing w:after="0"/>
        <w:ind w:left="1069"/>
        <w:jc w:val="both"/>
        <w:rPr>
          <w:rFonts w:ascii="Times New Roman" w:eastAsia="Calibri" w:hAnsi="Times New Roman" w:cs="Times New Roman"/>
          <w:sz w:val="24"/>
          <w:szCs w:val="24"/>
        </w:rPr>
      </w:pPr>
    </w:p>
    <w:p w14:paraId="728CD22D" w14:textId="77777777" w:rsidR="00F31DCC" w:rsidRPr="005F0A32" w:rsidRDefault="00264285" w:rsidP="00E7359C">
      <w:pPr>
        <w:overflowPunct w:val="0"/>
        <w:autoSpaceDE w:val="0"/>
        <w:autoSpaceDN w:val="0"/>
        <w:adjustRightInd w:val="0"/>
        <w:spacing w:after="0"/>
        <w:jc w:val="both"/>
        <w:textAlignment w:val="baseline"/>
        <w:rPr>
          <w:rFonts w:ascii="Times New Roman" w:hAnsi="Times New Roman" w:cs="Times New Roman"/>
          <w:b/>
          <w:sz w:val="24"/>
          <w:szCs w:val="24"/>
        </w:rPr>
      </w:pPr>
      <w:r>
        <w:rPr>
          <w:rFonts w:ascii="Times New Roman" w:hAnsi="Times New Roman" w:cs="Times New Roman"/>
          <w:b/>
          <w:sz w:val="24"/>
          <w:szCs w:val="24"/>
        </w:rPr>
        <w:t>Wojewoda Małopolski</w:t>
      </w:r>
      <w:r w:rsidR="00F31DCC" w:rsidRPr="005F0A32">
        <w:rPr>
          <w:rFonts w:ascii="Times New Roman" w:hAnsi="Times New Roman" w:cs="Times New Roman"/>
          <w:b/>
          <w:sz w:val="24"/>
          <w:szCs w:val="24"/>
        </w:rPr>
        <w:t xml:space="preserve"> </w:t>
      </w:r>
      <w:r>
        <w:rPr>
          <w:rFonts w:ascii="Times New Roman" w:hAnsi="Times New Roman" w:cs="Times New Roman"/>
          <w:b/>
          <w:sz w:val="24"/>
          <w:szCs w:val="24"/>
        </w:rPr>
        <w:t>wspierał jednostki</w:t>
      </w:r>
      <w:r w:rsidR="00F31DCC" w:rsidRPr="005F0A32">
        <w:rPr>
          <w:rFonts w:ascii="Times New Roman" w:hAnsi="Times New Roman" w:cs="Times New Roman"/>
          <w:b/>
          <w:sz w:val="24"/>
          <w:szCs w:val="24"/>
        </w:rPr>
        <w:t xml:space="preserve"> samorządu terytorialnego w realizacji zadań własnych z zakresu pomocy społecznej</w:t>
      </w:r>
      <w:r>
        <w:rPr>
          <w:rFonts w:ascii="Times New Roman" w:hAnsi="Times New Roman" w:cs="Times New Roman"/>
          <w:b/>
          <w:sz w:val="24"/>
          <w:szCs w:val="24"/>
        </w:rPr>
        <w:t xml:space="preserve">. </w:t>
      </w:r>
      <w:r>
        <w:rPr>
          <w:rFonts w:ascii="Times New Roman" w:hAnsi="Times New Roman" w:cs="Times New Roman"/>
          <w:sz w:val="24"/>
          <w:szCs w:val="24"/>
        </w:rPr>
        <w:t>C</w:t>
      </w:r>
      <w:r w:rsidR="00F31DCC" w:rsidRPr="005F0A32">
        <w:rPr>
          <w:rFonts w:ascii="Times New Roman" w:hAnsi="Times New Roman" w:cs="Times New Roman"/>
          <w:sz w:val="24"/>
          <w:szCs w:val="24"/>
        </w:rPr>
        <w:t xml:space="preserve">elem wsparcia było inspirowanie do zmian ukierunkowanych na poprawę dostępności do usług pomocy </w:t>
      </w:r>
      <w:r w:rsidR="00A554B8">
        <w:rPr>
          <w:rFonts w:ascii="Times New Roman" w:hAnsi="Times New Roman" w:cs="Times New Roman"/>
          <w:sz w:val="24"/>
          <w:szCs w:val="24"/>
        </w:rPr>
        <w:t>społecznej, rozwój pracy</w:t>
      </w:r>
      <w:r>
        <w:rPr>
          <w:rFonts w:ascii="Times New Roman" w:hAnsi="Times New Roman" w:cs="Times New Roman"/>
          <w:sz w:val="24"/>
          <w:szCs w:val="24"/>
        </w:rPr>
        <w:t xml:space="preserve"> </w:t>
      </w:r>
      <w:r w:rsidR="00F31DCC" w:rsidRPr="005F0A32">
        <w:rPr>
          <w:rFonts w:ascii="Times New Roman" w:hAnsi="Times New Roman" w:cs="Times New Roman"/>
          <w:sz w:val="24"/>
          <w:szCs w:val="24"/>
        </w:rPr>
        <w:t>socjalnej oraz jakości obsługi osób i rodzin wymagających wsparcia ośrodka pomocy</w:t>
      </w:r>
      <w:r>
        <w:rPr>
          <w:rFonts w:ascii="Times New Roman" w:hAnsi="Times New Roman" w:cs="Times New Roman"/>
          <w:b/>
          <w:sz w:val="24"/>
          <w:szCs w:val="24"/>
        </w:rPr>
        <w:t xml:space="preserve"> </w:t>
      </w:r>
      <w:r w:rsidR="00F31DCC" w:rsidRPr="005F0A32">
        <w:rPr>
          <w:rFonts w:ascii="Times New Roman" w:hAnsi="Times New Roman" w:cs="Times New Roman"/>
          <w:sz w:val="24"/>
          <w:szCs w:val="24"/>
        </w:rPr>
        <w:t xml:space="preserve">społecznej. </w:t>
      </w:r>
      <w:r>
        <w:rPr>
          <w:rFonts w:ascii="Times New Roman" w:hAnsi="Times New Roman" w:cs="Times New Roman"/>
          <w:sz w:val="24"/>
          <w:szCs w:val="24"/>
        </w:rPr>
        <w:t xml:space="preserve">W budżecie Wojewody na 2019 r. </w:t>
      </w:r>
      <w:r w:rsidR="00F31DCC" w:rsidRPr="005F0A32">
        <w:rPr>
          <w:rFonts w:ascii="Times New Roman" w:hAnsi="Times New Roman" w:cs="Times New Roman"/>
          <w:sz w:val="24"/>
          <w:szCs w:val="24"/>
        </w:rPr>
        <w:t>na</w:t>
      </w:r>
      <w:r w:rsidR="00A554B8">
        <w:rPr>
          <w:rFonts w:ascii="Times New Roman" w:hAnsi="Times New Roman" w:cs="Times New Roman"/>
          <w:sz w:val="24"/>
          <w:szCs w:val="24"/>
        </w:rPr>
        <w:t xml:space="preserve"> powyższy cel zaplanowano kwotę </w:t>
      </w:r>
      <w:r w:rsidR="00F31DCC" w:rsidRPr="005F0A32">
        <w:rPr>
          <w:rFonts w:ascii="Times New Roman" w:hAnsi="Times New Roman" w:cs="Times New Roman"/>
          <w:sz w:val="24"/>
          <w:szCs w:val="24"/>
        </w:rPr>
        <w:t xml:space="preserve">5 752 671 zł.W ramach rozwoju pomocy społecznej dofinansowanie było skierowane m.in. do gmin rozwijających ofertę wsparcia dla Seniorów. </w:t>
      </w:r>
      <w:r w:rsidR="00F31DCC" w:rsidRPr="005F0A32">
        <w:rPr>
          <w:rFonts w:ascii="Times New Roman" w:eastAsia="+mn-ea" w:hAnsi="Times New Roman" w:cs="Times New Roman"/>
          <w:kern w:val="24"/>
          <w:sz w:val="24"/>
          <w:szCs w:val="24"/>
        </w:rPr>
        <w:t xml:space="preserve">W 2019 </w:t>
      </w:r>
      <w:r>
        <w:rPr>
          <w:rFonts w:ascii="Times New Roman" w:eastAsia="+mn-ea" w:hAnsi="Times New Roman" w:cs="Times New Roman"/>
          <w:kern w:val="24"/>
          <w:sz w:val="24"/>
          <w:szCs w:val="24"/>
        </w:rPr>
        <w:t xml:space="preserve">r. </w:t>
      </w:r>
      <w:r w:rsidR="00F31DCC" w:rsidRPr="005F0A32">
        <w:rPr>
          <w:rFonts w:ascii="Times New Roman" w:eastAsia="+mn-ea" w:hAnsi="Times New Roman" w:cs="Times New Roman"/>
          <w:kern w:val="24"/>
          <w:sz w:val="24"/>
          <w:szCs w:val="24"/>
        </w:rPr>
        <w:t>projekty realizowane były w 26 gminach (w tym 23 projekty skierowane wyłącznie do seniorów).</w:t>
      </w:r>
    </w:p>
    <w:p w14:paraId="1F680EC5" w14:textId="77777777" w:rsidR="00A554B8" w:rsidRDefault="00A554B8" w:rsidP="00E7359C">
      <w:pPr>
        <w:spacing w:after="0"/>
        <w:jc w:val="both"/>
        <w:rPr>
          <w:rFonts w:ascii="Times New Roman" w:hAnsi="Times New Roman" w:cs="Times New Roman"/>
          <w:sz w:val="24"/>
          <w:szCs w:val="24"/>
        </w:rPr>
      </w:pPr>
    </w:p>
    <w:p w14:paraId="760B704F" w14:textId="77777777" w:rsidR="00F31DCC" w:rsidRPr="005F0A32" w:rsidRDefault="00F31DCC"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Przykładowe działania realizowane w ramach złożonych projektów socjalnych:</w:t>
      </w:r>
      <w:r w:rsidRPr="005F0A32">
        <w:rPr>
          <w:rFonts w:ascii="Times New Roman" w:hAnsi="Times New Roman" w:cs="Times New Roman"/>
          <w:b/>
          <w:sz w:val="24"/>
          <w:szCs w:val="24"/>
        </w:rPr>
        <w:t xml:space="preserve"> </w:t>
      </w:r>
      <w:r w:rsidRPr="005F0A32">
        <w:rPr>
          <w:rFonts w:ascii="Times New Roman" w:hAnsi="Times New Roman" w:cs="Times New Roman"/>
          <w:sz w:val="24"/>
          <w:szCs w:val="24"/>
        </w:rPr>
        <w:t xml:space="preserve">rozszerzenie działań w zakresie pracy socjalnej </w:t>
      </w:r>
      <w:r w:rsidR="00A554B8">
        <w:rPr>
          <w:rFonts w:ascii="Times New Roman" w:hAnsi="Times New Roman" w:cs="Times New Roman"/>
          <w:sz w:val="24"/>
          <w:szCs w:val="24"/>
        </w:rPr>
        <w:t xml:space="preserve">poprzez edukację i profilaktykę </w:t>
      </w:r>
      <w:r w:rsidRPr="005F0A32">
        <w:rPr>
          <w:rFonts w:ascii="Times New Roman" w:hAnsi="Times New Roman" w:cs="Times New Roman"/>
          <w:sz w:val="24"/>
          <w:szCs w:val="24"/>
        </w:rPr>
        <w:t>w aspekcie problemów wieku senioralnego;</w:t>
      </w:r>
      <w:r w:rsidRPr="005F0A32">
        <w:rPr>
          <w:rFonts w:ascii="Times New Roman" w:hAnsi="Times New Roman" w:cs="Times New Roman"/>
          <w:b/>
          <w:sz w:val="24"/>
          <w:szCs w:val="24"/>
        </w:rPr>
        <w:t xml:space="preserve"> </w:t>
      </w:r>
      <w:r w:rsidRPr="005F0A32">
        <w:rPr>
          <w:rFonts w:ascii="Times New Roman" w:hAnsi="Times New Roman" w:cs="Times New Roman"/>
          <w:sz w:val="24"/>
          <w:szCs w:val="24"/>
        </w:rPr>
        <w:t>wzmocnienie aktywności i samodzielności życiowej osób 60+ poprzez utworzenie grupy wsparcia; poprawa jakości życia osób starszych poprzez działania integracyjno-edukacyjne; aktywizacja społeczna oraz zdrowotna osób w wieku 60+, ukierunkowana na wzmocnienie aktywności życiowej seniorów, a także pomoc w pokonywaniu pojawiających się barier i trudności oraz rozwiazywaniu bieżących problemów pokolenia 60+.</w:t>
      </w:r>
    </w:p>
    <w:p w14:paraId="2FE07140" w14:textId="77777777" w:rsidR="00F31DCC" w:rsidRPr="005F0A32" w:rsidRDefault="00F31DCC" w:rsidP="00E7359C">
      <w:pPr>
        <w:spacing w:after="0"/>
        <w:jc w:val="both"/>
        <w:rPr>
          <w:rFonts w:ascii="Times New Roman" w:hAnsi="Times New Roman" w:cs="Times New Roman"/>
          <w:b/>
          <w:sz w:val="24"/>
          <w:szCs w:val="24"/>
        </w:rPr>
      </w:pPr>
    </w:p>
    <w:p w14:paraId="5065631D" w14:textId="77777777" w:rsidR="00F31DCC" w:rsidRPr="005F0A32" w:rsidRDefault="00F31DCC"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Działania Pełnomocnika Wojewody ds. Seniorów skierowane były na realizację celów wskazanych w </w:t>
      </w:r>
      <w:r w:rsidRPr="00413508">
        <w:rPr>
          <w:rFonts w:ascii="Times New Roman" w:hAnsi="Times New Roman" w:cs="Times New Roman"/>
          <w:i/>
          <w:sz w:val="24"/>
          <w:szCs w:val="24"/>
        </w:rPr>
        <w:t>Informacji o sytuacji osó</w:t>
      </w:r>
      <w:r w:rsidR="00413508">
        <w:rPr>
          <w:rFonts w:ascii="Times New Roman" w:hAnsi="Times New Roman" w:cs="Times New Roman"/>
          <w:i/>
          <w:sz w:val="24"/>
          <w:szCs w:val="24"/>
        </w:rPr>
        <w:t>b starszych w Polsce za 2018 r.</w:t>
      </w:r>
      <w:r w:rsidRPr="005F0A32">
        <w:rPr>
          <w:rFonts w:ascii="Times New Roman" w:hAnsi="Times New Roman" w:cs="Times New Roman"/>
          <w:sz w:val="24"/>
          <w:szCs w:val="24"/>
        </w:rPr>
        <w:t xml:space="preserve"> oraz </w:t>
      </w:r>
      <w:r w:rsidRPr="00413508">
        <w:rPr>
          <w:rFonts w:ascii="Times New Roman" w:hAnsi="Times New Roman" w:cs="Times New Roman"/>
          <w:i/>
          <w:sz w:val="24"/>
          <w:szCs w:val="24"/>
        </w:rPr>
        <w:t>Polityce społecznej wobec osób starszych 2030. Bezpieczeństwo – Uczestnictwo – Solidarność.</w:t>
      </w:r>
      <w:r w:rsidRPr="005F0A32">
        <w:rPr>
          <w:rFonts w:ascii="Times New Roman" w:hAnsi="Times New Roman" w:cs="Times New Roman"/>
          <w:sz w:val="24"/>
          <w:szCs w:val="24"/>
        </w:rPr>
        <w:t xml:space="preserve"> Do działań Pełnomocnika należało m.in.:</w:t>
      </w:r>
    </w:p>
    <w:p w14:paraId="5C983895" w14:textId="77777777" w:rsidR="00F31DCC" w:rsidRPr="005F0A32" w:rsidRDefault="00F31DCC" w:rsidP="008C71A9">
      <w:pPr>
        <w:numPr>
          <w:ilvl w:val="0"/>
          <w:numId w:val="96"/>
        </w:numPr>
        <w:overflowPunct w:val="0"/>
        <w:autoSpaceDE w:val="0"/>
        <w:autoSpaceDN w:val="0"/>
        <w:adjustRightInd w:val="0"/>
        <w:spacing w:after="0"/>
        <w:ind w:left="360"/>
        <w:jc w:val="both"/>
        <w:textAlignment w:val="baseline"/>
        <w:rPr>
          <w:rFonts w:ascii="Times New Roman" w:hAnsi="Times New Roman" w:cs="Times New Roman"/>
          <w:sz w:val="24"/>
          <w:szCs w:val="24"/>
        </w:rPr>
      </w:pPr>
      <w:r w:rsidRPr="005F0A32">
        <w:rPr>
          <w:rFonts w:ascii="Times New Roman" w:eastAsia="+mn-ea" w:hAnsi="Times New Roman" w:cs="Times New Roman"/>
          <w:color w:val="000000"/>
          <w:kern w:val="24"/>
          <w:sz w:val="24"/>
          <w:szCs w:val="24"/>
        </w:rPr>
        <w:t>Wspieranie aktywności kulturalnej osób starszych. Ułatwianie uczestnictwa w kulturze, w tym: współpraca z Muzeum Narodowym w Krakowie i Muzeum na Wawelu oraz wspieranie inicjatyw jednostek samorządu terytorialnego na rzecz tworzenia projektów dot. aktywizacji seniorów - wsparcie i promowanie działań;</w:t>
      </w:r>
    </w:p>
    <w:p w14:paraId="56BF9F4B" w14:textId="77777777" w:rsidR="00F31DCC" w:rsidRPr="005F0A32" w:rsidRDefault="00F31DCC" w:rsidP="008C71A9">
      <w:pPr>
        <w:numPr>
          <w:ilvl w:val="0"/>
          <w:numId w:val="96"/>
        </w:numPr>
        <w:overflowPunct w:val="0"/>
        <w:autoSpaceDE w:val="0"/>
        <w:autoSpaceDN w:val="0"/>
        <w:adjustRightInd w:val="0"/>
        <w:spacing w:after="0"/>
        <w:ind w:left="360"/>
        <w:jc w:val="both"/>
        <w:textAlignment w:val="baseline"/>
        <w:rPr>
          <w:rFonts w:ascii="Times New Roman" w:hAnsi="Times New Roman" w:cs="Times New Roman"/>
          <w:sz w:val="24"/>
          <w:szCs w:val="24"/>
        </w:rPr>
      </w:pPr>
      <w:r w:rsidRPr="005F0A32">
        <w:rPr>
          <w:rFonts w:ascii="Times New Roman" w:eastAsia="+mn-ea" w:hAnsi="Times New Roman" w:cs="Times New Roman"/>
          <w:color w:val="000000"/>
          <w:kern w:val="24"/>
          <w:sz w:val="24"/>
          <w:szCs w:val="24"/>
        </w:rPr>
        <w:t>Działania informacyjne i promujące Program Senior+, formy opieki dziennej dla osób starszych, oraz nowe formy wsparcia dla opiekunów niesamodzielnych osób starszych;</w:t>
      </w:r>
    </w:p>
    <w:p w14:paraId="104EE10F" w14:textId="77777777" w:rsidR="00FC2614" w:rsidRPr="00413508" w:rsidRDefault="00F31DCC" w:rsidP="008C71A9">
      <w:pPr>
        <w:numPr>
          <w:ilvl w:val="0"/>
          <w:numId w:val="96"/>
        </w:numPr>
        <w:overflowPunct w:val="0"/>
        <w:autoSpaceDE w:val="0"/>
        <w:autoSpaceDN w:val="0"/>
        <w:adjustRightInd w:val="0"/>
        <w:spacing w:after="0"/>
        <w:ind w:left="360"/>
        <w:jc w:val="both"/>
        <w:textAlignment w:val="baseline"/>
        <w:rPr>
          <w:rFonts w:ascii="Times New Roman" w:hAnsi="Times New Roman" w:cs="Times New Roman"/>
          <w:sz w:val="24"/>
          <w:szCs w:val="24"/>
        </w:rPr>
        <w:sectPr w:rsidR="00FC2614" w:rsidRPr="00413508" w:rsidSect="00906F86">
          <w:pgSz w:w="11900" w:h="16838"/>
          <w:pgMar w:top="1384" w:right="1386" w:bottom="1038" w:left="1380" w:header="567" w:footer="567" w:gutter="0"/>
          <w:cols w:space="0" w:equalWidth="0">
            <w:col w:w="9140"/>
          </w:cols>
          <w:docGrid w:linePitch="360"/>
        </w:sectPr>
      </w:pPr>
      <w:r w:rsidRPr="005F0A32">
        <w:rPr>
          <w:rFonts w:ascii="Times New Roman" w:eastAsia="+mn-ea" w:hAnsi="Times New Roman" w:cs="Times New Roman"/>
          <w:color w:val="000000"/>
          <w:kern w:val="24"/>
          <w:sz w:val="24"/>
          <w:szCs w:val="24"/>
        </w:rPr>
        <w:t>Rozwój różnych form opieki dziennej, w tym propagowanie tych form wśród osób starszych nieaktywnych, nieuczestniczących w życiu środowiska lokalnego, w tym o charakterze opiekuńczym – akcje informacyjne, broszura, współpraca z telewizją regionalną, mapa interaktywna placówek dla seniorów.</w:t>
      </w:r>
      <w:r w:rsidRPr="005F0A32">
        <w:rPr>
          <w:rFonts w:ascii="Times New Roman" w:hAnsi="Times New Roman" w:cs="Times New Roman"/>
          <w:sz w:val="24"/>
          <w:szCs w:val="24"/>
        </w:rPr>
        <w:t xml:space="preserve"> </w:t>
      </w:r>
    </w:p>
    <w:p w14:paraId="3D1CA3A3" w14:textId="5266A241" w:rsidR="005F20F3" w:rsidRPr="005F20F3" w:rsidRDefault="005F20F3" w:rsidP="005F20F3">
      <w:pPr>
        <w:pStyle w:val="Legenda"/>
        <w:keepNext/>
        <w:rPr>
          <w:rFonts w:ascii="Times New Roman" w:hAnsi="Times New Roman" w:cs="Times New Roman"/>
          <w:b/>
          <w:i w:val="0"/>
          <w:sz w:val="24"/>
        </w:rPr>
      </w:pPr>
      <w:bookmarkStart w:id="135" w:name="_Toc49171435"/>
      <w:r w:rsidRPr="005F20F3">
        <w:rPr>
          <w:rFonts w:ascii="Times New Roman" w:hAnsi="Times New Roman" w:cs="Times New Roman"/>
          <w:b/>
          <w:i w:val="0"/>
          <w:sz w:val="24"/>
        </w:rPr>
        <w:lastRenderedPageBreak/>
        <w:t xml:space="preserve">Tabela </w:t>
      </w:r>
      <w:r w:rsidRPr="005F20F3">
        <w:rPr>
          <w:rFonts w:ascii="Times New Roman" w:hAnsi="Times New Roman" w:cs="Times New Roman"/>
          <w:b/>
          <w:i w:val="0"/>
          <w:sz w:val="24"/>
        </w:rPr>
        <w:fldChar w:fldCharType="begin"/>
      </w:r>
      <w:r w:rsidRPr="005F20F3">
        <w:rPr>
          <w:rFonts w:ascii="Times New Roman" w:hAnsi="Times New Roman" w:cs="Times New Roman"/>
          <w:b/>
          <w:i w:val="0"/>
          <w:sz w:val="24"/>
        </w:rPr>
        <w:instrText xml:space="preserve"> SEQ Tabela \* ARABIC </w:instrText>
      </w:r>
      <w:r w:rsidRPr="005F20F3">
        <w:rPr>
          <w:rFonts w:ascii="Times New Roman" w:hAnsi="Times New Roman" w:cs="Times New Roman"/>
          <w:b/>
          <w:i w:val="0"/>
          <w:sz w:val="24"/>
        </w:rPr>
        <w:fldChar w:fldCharType="separate"/>
      </w:r>
      <w:r w:rsidR="00C154C9">
        <w:rPr>
          <w:rFonts w:ascii="Times New Roman" w:hAnsi="Times New Roman" w:cs="Times New Roman"/>
          <w:b/>
          <w:i w:val="0"/>
          <w:noProof/>
          <w:sz w:val="24"/>
        </w:rPr>
        <w:t>60</w:t>
      </w:r>
      <w:r w:rsidRPr="005F20F3">
        <w:rPr>
          <w:rFonts w:ascii="Times New Roman" w:hAnsi="Times New Roman" w:cs="Times New Roman"/>
          <w:b/>
          <w:i w:val="0"/>
          <w:sz w:val="24"/>
        </w:rPr>
        <w:fldChar w:fldCharType="end"/>
      </w:r>
      <w:r w:rsidRPr="005F20F3">
        <w:rPr>
          <w:rFonts w:ascii="Times New Roman" w:hAnsi="Times New Roman" w:cs="Times New Roman"/>
          <w:b/>
          <w:i w:val="0"/>
          <w:sz w:val="24"/>
        </w:rPr>
        <w:t xml:space="preserve"> Karta województwa małopolskiego</w:t>
      </w:r>
      <w:bookmarkEnd w:id="135"/>
    </w:p>
    <w:tbl>
      <w:tblPr>
        <w:tblStyle w:val="Tabelasiatki6kolorowaakcent1"/>
        <w:tblpPr w:leftFromText="142" w:rightFromText="142" w:vertAnchor="text" w:horzAnchor="margin" w:tblpXSpec="center" w:tblpY="1"/>
        <w:tblOverlap w:val="never"/>
        <w:tblW w:w="14737"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28"/>
        <w:gridCol w:w="3065"/>
        <w:gridCol w:w="53"/>
        <w:gridCol w:w="850"/>
        <w:gridCol w:w="2044"/>
        <w:gridCol w:w="790"/>
        <w:gridCol w:w="1134"/>
        <w:gridCol w:w="1024"/>
        <w:gridCol w:w="2949"/>
      </w:tblGrid>
      <w:tr w:rsidR="0071316B" w:rsidRPr="0071316B" w14:paraId="3CF3D0E3" w14:textId="77777777" w:rsidTr="00E86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7" w:type="dxa"/>
            <w:gridSpan w:val="9"/>
            <w:tcBorders>
              <w:bottom w:val="none" w:sz="0" w:space="0" w:color="auto"/>
            </w:tcBorders>
            <w:shd w:val="clear" w:color="auto" w:fill="9CC2E5" w:themeFill="accent1" w:themeFillTint="99"/>
          </w:tcPr>
          <w:p w14:paraId="0EBE7DFB" w14:textId="77777777" w:rsidR="00FC2614" w:rsidRPr="0071316B" w:rsidRDefault="00FC2614" w:rsidP="00E86509">
            <w:pPr>
              <w:spacing w:after="0" w:line="240" w:lineRule="auto"/>
              <w:jc w:val="center"/>
              <w:rPr>
                <w:rFonts w:ascii="Times New Roman" w:hAnsi="Times New Roman"/>
                <w:color w:val="auto"/>
              </w:rPr>
            </w:pPr>
            <w:r w:rsidRPr="0071316B">
              <w:rPr>
                <w:rFonts w:ascii="Times New Roman" w:hAnsi="Times New Roman"/>
                <w:color w:val="auto"/>
              </w:rPr>
              <w:t>WOJEWÓDZTWO MAŁOPOLSKIE</w:t>
            </w:r>
          </w:p>
        </w:tc>
      </w:tr>
      <w:tr w:rsidR="0071316B" w:rsidRPr="0071316B" w14:paraId="5B698D01" w14:textId="77777777" w:rsidTr="00AC738B">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70A171F9" w14:textId="77777777" w:rsidR="00FC2614" w:rsidRPr="0071316B" w:rsidRDefault="00FC2614" w:rsidP="00E86509">
            <w:pPr>
              <w:spacing w:after="0" w:line="240" w:lineRule="auto"/>
              <w:rPr>
                <w:rFonts w:ascii="Times New Roman" w:hAnsi="Times New Roman"/>
                <w:color w:val="auto"/>
              </w:rPr>
            </w:pPr>
            <w:r w:rsidRPr="0071316B">
              <w:rPr>
                <w:rFonts w:ascii="Times New Roman" w:hAnsi="Times New Roman"/>
                <w:color w:val="auto"/>
              </w:rPr>
              <w:t>Informacja o regionie</w:t>
            </w:r>
          </w:p>
        </w:tc>
        <w:tc>
          <w:tcPr>
            <w:tcW w:w="3968" w:type="dxa"/>
            <w:gridSpan w:val="3"/>
            <w:shd w:val="clear" w:color="auto" w:fill="9CC2E5" w:themeFill="accent1" w:themeFillTint="99"/>
          </w:tcPr>
          <w:p w14:paraId="7C9E51AB"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 gmin</w:t>
            </w:r>
          </w:p>
        </w:tc>
        <w:tc>
          <w:tcPr>
            <w:tcW w:w="7941" w:type="dxa"/>
            <w:gridSpan w:val="5"/>
            <w:shd w:val="clear" w:color="auto" w:fill="FFFFFF" w:themeFill="background1"/>
          </w:tcPr>
          <w:p w14:paraId="60B002D5"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eastAsia="Times New Roman" w:hAnsi="Times New Roman"/>
                <w:color w:val="auto"/>
                <w:lang w:eastAsia="pl-PL"/>
              </w:rPr>
              <w:t>182 gminy.</w:t>
            </w:r>
          </w:p>
        </w:tc>
      </w:tr>
      <w:tr w:rsidR="0071316B" w:rsidRPr="0071316B" w14:paraId="3A425F2F" w14:textId="77777777" w:rsidTr="00AC738B">
        <w:trPr>
          <w:trHeight w:val="112"/>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7B534137" w14:textId="77777777" w:rsidR="00FC2614" w:rsidRPr="0071316B" w:rsidRDefault="00FC2614" w:rsidP="00E86509">
            <w:pPr>
              <w:spacing w:after="0" w:line="240" w:lineRule="auto"/>
              <w:rPr>
                <w:rFonts w:ascii="Times New Roman" w:hAnsi="Times New Roman"/>
                <w:color w:val="auto"/>
              </w:rPr>
            </w:pPr>
          </w:p>
        </w:tc>
        <w:tc>
          <w:tcPr>
            <w:tcW w:w="3968" w:type="dxa"/>
            <w:gridSpan w:val="3"/>
            <w:shd w:val="clear" w:color="auto" w:fill="9CC2E5" w:themeFill="accent1" w:themeFillTint="99"/>
          </w:tcPr>
          <w:p w14:paraId="43F9E3BA"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 powiatów</w:t>
            </w:r>
          </w:p>
        </w:tc>
        <w:tc>
          <w:tcPr>
            <w:tcW w:w="7941" w:type="dxa"/>
            <w:gridSpan w:val="5"/>
            <w:shd w:val="clear" w:color="auto" w:fill="FFFFFF" w:themeFill="background1"/>
          </w:tcPr>
          <w:p w14:paraId="64A21D13"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eastAsia="Times New Roman" w:hAnsi="Times New Roman"/>
                <w:color w:val="auto"/>
                <w:lang w:eastAsia="pl-PL"/>
              </w:rPr>
              <w:t>19 powiatów  i 3 miasta na prawach powiatu (Kraków, Nowy Sącz, Tarnów)</w:t>
            </w:r>
          </w:p>
        </w:tc>
      </w:tr>
      <w:tr w:rsidR="0071316B" w:rsidRPr="0071316B" w14:paraId="3C5E745A" w14:textId="77777777" w:rsidTr="00AC738B">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1F4A5C87" w14:textId="77777777" w:rsidR="00FC2614" w:rsidRPr="0071316B" w:rsidRDefault="00FC2614" w:rsidP="00E86509">
            <w:pPr>
              <w:spacing w:after="0" w:line="240" w:lineRule="auto"/>
              <w:rPr>
                <w:rFonts w:ascii="Times New Roman" w:hAnsi="Times New Roman"/>
                <w:color w:val="auto"/>
              </w:rPr>
            </w:pPr>
          </w:p>
        </w:tc>
        <w:tc>
          <w:tcPr>
            <w:tcW w:w="3968" w:type="dxa"/>
            <w:gridSpan w:val="3"/>
            <w:shd w:val="clear" w:color="auto" w:fill="9CC2E5" w:themeFill="accent1" w:themeFillTint="99"/>
          </w:tcPr>
          <w:p w14:paraId="02CC6157"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Powierzchnia</w:t>
            </w:r>
          </w:p>
        </w:tc>
        <w:tc>
          <w:tcPr>
            <w:tcW w:w="7941" w:type="dxa"/>
            <w:gridSpan w:val="5"/>
            <w:shd w:val="clear" w:color="auto" w:fill="FFFFFF" w:themeFill="background1"/>
          </w:tcPr>
          <w:p w14:paraId="75BF0637"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eastAsia="Times New Roman" w:hAnsi="Times New Roman"/>
                <w:bCs/>
                <w:color w:val="auto"/>
                <w:lang w:eastAsia="pl-PL"/>
              </w:rPr>
              <w:t>15 183 km²</w:t>
            </w:r>
            <w:r w:rsidRPr="0071316B">
              <w:rPr>
                <w:rFonts w:ascii="Times New Roman" w:eastAsia="Times New Roman" w:hAnsi="Times New Roman"/>
                <w:b/>
                <w:color w:val="auto"/>
                <w:lang w:eastAsia="pl-PL"/>
              </w:rPr>
              <w:t xml:space="preserve"> </w:t>
            </w:r>
            <w:r w:rsidRPr="0071316B">
              <w:rPr>
                <w:rFonts w:ascii="Times New Roman" w:eastAsia="Times New Roman" w:hAnsi="Times New Roman"/>
                <w:color w:val="auto"/>
                <w:lang w:eastAsia="pl-PL"/>
              </w:rPr>
              <w:t>(co stanowi 5 procent powierzchni Polski)</w:t>
            </w:r>
          </w:p>
        </w:tc>
      </w:tr>
      <w:tr w:rsidR="0071316B" w:rsidRPr="0071316B" w14:paraId="0B579F08" w14:textId="77777777" w:rsidTr="00E86509">
        <w:tc>
          <w:tcPr>
            <w:cnfStyle w:val="001000000000" w:firstRow="0" w:lastRow="0" w:firstColumn="1" w:lastColumn="0" w:oddVBand="0" w:evenVBand="0" w:oddHBand="0" w:evenHBand="0" w:firstRowFirstColumn="0" w:firstRowLastColumn="0" w:lastRowFirstColumn="0" w:lastRowLastColumn="0"/>
            <w:tcW w:w="14737" w:type="dxa"/>
            <w:gridSpan w:val="9"/>
            <w:shd w:val="clear" w:color="auto" w:fill="9CC2E5" w:themeFill="accent1" w:themeFillTint="99"/>
          </w:tcPr>
          <w:p w14:paraId="0EA281BB" w14:textId="77777777" w:rsidR="00FC2614" w:rsidRPr="0071316B" w:rsidRDefault="00FC2614" w:rsidP="00E86509">
            <w:pPr>
              <w:spacing w:after="0" w:line="240" w:lineRule="auto"/>
              <w:jc w:val="center"/>
              <w:rPr>
                <w:rFonts w:ascii="Times New Roman" w:hAnsi="Times New Roman"/>
                <w:b w:val="0"/>
                <w:color w:val="auto"/>
              </w:rPr>
            </w:pPr>
            <w:r w:rsidRPr="0071316B">
              <w:rPr>
                <w:rFonts w:ascii="Times New Roman" w:hAnsi="Times New Roman"/>
                <w:color w:val="auto"/>
              </w:rPr>
              <w:t>DEMOGRAFIA</w:t>
            </w:r>
            <w:r w:rsidRPr="0071316B">
              <w:rPr>
                <w:rStyle w:val="Odwoanieprzypisudolnego"/>
                <w:rFonts w:ascii="Times New Roman" w:hAnsi="Times New Roman"/>
                <w:color w:val="auto"/>
              </w:rPr>
              <w:footnoteReference w:id="113"/>
            </w:r>
          </w:p>
        </w:tc>
      </w:tr>
      <w:tr w:rsidR="0071316B" w:rsidRPr="0071316B" w14:paraId="1A355E74" w14:textId="77777777" w:rsidTr="00AC738B">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3B7C9CF2" w14:textId="77777777" w:rsidR="00FC2614" w:rsidRPr="0071316B" w:rsidRDefault="00FC2614" w:rsidP="00E86509">
            <w:pPr>
              <w:spacing w:after="0" w:line="240" w:lineRule="auto"/>
              <w:rPr>
                <w:rFonts w:ascii="Times New Roman" w:hAnsi="Times New Roman"/>
                <w:b w:val="0"/>
                <w:color w:val="auto"/>
                <w:lang w:eastAsia="pl-PL"/>
              </w:rPr>
            </w:pPr>
            <w:r w:rsidRPr="0071316B">
              <w:rPr>
                <w:rFonts w:ascii="Times New Roman" w:hAnsi="Times New Roman"/>
                <w:color w:val="auto"/>
                <w:lang w:eastAsia="pl-PL"/>
              </w:rPr>
              <w:t>Treść</w:t>
            </w:r>
          </w:p>
        </w:tc>
        <w:tc>
          <w:tcPr>
            <w:tcW w:w="3968" w:type="dxa"/>
            <w:gridSpan w:val="3"/>
            <w:shd w:val="clear" w:color="auto" w:fill="9CC2E5" w:themeFill="accent1" w:themeFillTint="99"/>
          </w:tcPr>
          <w:p w14:paraId="369DBBBE"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2017 r.</w:t>
            </w:r>
          </w:p>
        </w:tc>
        <w:tc>
          <w:tcPr>
            <w:tcW w:w="3968" w:type="dxa"/>
            <w:gridSpan w:val="3"/>
            <w:shd w:val="clear" w:color="auto" w:fill="9CC2E5" w:themeFill="accent1" w:themeFillTint="99"/>
          </w:tcPr>
          <w:p w14:paraId="5C383AF8"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2018 r.</w:t>
            </w:r>
          </w:p>
        </w:tc>
        <w:tc>
          <w:tcPr>
            <w:tcW w:w="3973" w:type="dxa"/>
            <w:gridSpan w:val="2"/>
            <w:shd w:val="clear" w:color="auto" w:fill="9CC2E5" w:themeFill="accent1" w:themeFillTint="99"/>
          </w:tcPr>
          <w:p w14:paraId="743B18DA"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2019 r.</w:t>
            </w:r>
          </w:p>
        </w:tc>
      </w:tr>
      <w:tr w:rsidR="0071316B" w:rsidRPr="0071316B" w14:paraId="275F79FB" w14:textId="77777777" w:rsidTr="00AC738B">
        <w:tc>
          <w:tcPr>
            <w:cnfStyle w:val="001000000000" w:firstRow="0" w:lastRow="0" w:firstColumn="1" w:lastColumn="0" w:oddVBand="0" w:evenVBand="0" w:oddHBand="0" w:evenHBand="0" w:firstRowFirstColumn="0" w:firstRowLastColumn="0" w:lastRowFirstColumn="0" w:lastRowLastColumn="0"/>
            <w:tcW w:w="2828" w:type="dxa"/>
          </w:tcPr>
          <w:p w14:paraId="0C755A57"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Populacja ogółem</w:t>
            </w:r>
          </w:p>
        </w:tc>
        <w:tc>
          <w:tcPr>
            <w:tcW w:w="3968" w:type="dxa"/>
            <w:gridSpan w:val="3"/>
          </w:tcPr>
          <w:p w14:paraId="0D17790D"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lang w:eastAsia="pl-PL"/>
              </w:rPr>
              <w:t>3 391 380</w:t>
            </w:r>
          </w:p>
        </w:tc>
        <w:tc>
          <w:tcPr>
            <w:tcW w:w="3968" w:type="dxa"/>
            <w:gridSpan w:val="3"/>
          </w:tcPr>
          <w:p w14:paraId="588B9919"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3 400 577</w:t>
            </w:r>
          </w:p>
        </w:tc>
        <w:tc>
          <w:tcPr>
            <w:tcW w:w="3973" w:type="dxa"/>
            <w:gridSpan w:val="2"/>
          </w:tcPr>
          <w:p w14:paraId="7E7D48D1"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3 410 901</w:t>
            </w:r>
          </w:p>
        </w:tc>
      </w:tr>
      <w:tr w:rsidR="0071316B" w:rsidRPr="0071316B" w14:paraId="240AD9E0" w14:textId="77777777" w:rsidTr="00E86509">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14737" w:type="dxa"/>
            <w:gridSpan w:val="9"/>
            <w:shd w:val="clear" w:color="auto" w:fill="9CC2E5" w:themeFill="accent1" w:themeFillTint="99"/>
          </w:tcPr>
          <w:p w14:paraId="14D755FF" w14:textId="77777777" w:rsidR="00FC2614" w:rsidRPr="0071316B" w:rsidRDefault="00FC2614" w:rsidP="00E86509">
            <w:pPr>
              <w:spacing w:after="0" w:line="240" w:lineRule="auto"/>
              <w:rPr>
                <w:rFonts w:ascii="Times New Roman" w:hAnsi="Times New Roman"/>
                <w:color w:val="auto"/>
              </w:rPr>
            </w:pPr>
            <w:r w:rsidRPr="0071316B">
              <w:rPr>
                <w:rFonts w:ascii="Times New Roman" w:hAnsi="Times New Roman"/>
                <w:color w:val="auto"/>
                <w:lang w:eastAsia="pl-PL"/>
              </w:rPr>
              <w:t>w tym:</w:t>
            </w:r>
          </w:p>
        </w:tc>
      </w:tr>
      <w:tr w:rsidR="0071316B" w:rsidRPr="0071316B" w14:paraId="49EAC76C" w14:textId="77777777" w:rsidTr="00AC738B">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4F552FBB" w14:textId="77777777" w:rsidR="00FC2614" w:rsidRPr="0071316B" w:rsidRDefault="00FC2614" w:rsidP="00E86509">
            <w:pPr>
              <w:spacing w:after="0" w:line="240" w:lineRule="auto"/>
              <w:rPr>
                <w:rFonts w:ascii="Times New Roman" w:hAnsi="Times New Roman"/>
                <w:color w:val="auto"/>
              </w:rPr>
            </w:pPr>
            <w:r w:rsidRPr="0071316B">
              <w:rPr>
                <w:rFonts w:ascii="Times New Roman" w:hAnsi="Times New Roman"/>
                <w:color w:val="auto"/>
                <w:lang w:eastAsia="pl-PL"/>
              </w:rPr>
              <w:t>w wieku 60 lat i więcej</w:t>
            </w:r>
          </w:p>
        </w:tc>
        <w:tc>
          <w:tcPr>
            <w:tcW w:w="3968" w:type="dxa"/>
            <w:gridSpan w:val="3"/>
            <w:shd w:val="clear" w:color="auto" w:fill="FFFFFF" w:themeFill="background1"/>
          </w:tcPr>
          <w:p w14:paraId="1214EC1B"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766 421</w:t>
            </w:r>
          </w:p>
        </w:tc>
        <w:tc>
          <w:tcPr>
            <w:tcW w:w="3968" w:type="dxa"/>
            <w:gridSpan w:val="3"/>
            <w:shd w:val="clear" w:color="auto" w:fill="FFFFFF" w:themeFill="background1"/>
          </w:tcPr>
          <w:p w14:paraId="47B2931D"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784 829</w:t>
            </w:r>
          </w:p>
        </w:tc>
        <w:tc>
          <w:tcPr>
            <w:tcW w:w="3973" w:type="dxa"/>
            <w:gridSpan w:val="2"/>
            <w:shd w:val="clear" w:color="auto" w:fill="FFFFFF" w:themeFill="background1"/>
          </w:tcPr>
          <w:p w14:paraId="28C28811"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801 262</w:t>
            </w:r>
          </w:p>
        </w:tc>
      </w:tr>
      <w:tr w:rsidR="0071316B" w:rsidRPr="0071316B" w14:paraId="62989EF0"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4EF14C81"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60–64 lata</w:t>
            </w:r>
          </w:p>
        </w:tc>
        <w:tc>
          <w:tcPr>
            <w:tcW w:w="3968" w:type="dxa"/>
            <w:gridSpan w:val="3"/>
            <w:shd w:val="clear" w:color="auto" w:fill="FFFFFF" w:themeFill="background1"/>
          </w:tcPr>
          <w:p w14:paraId="1A10DBA4"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218 366</w:t>
            </w:r>
          </w:p>
        </w:tc>
        <w:tc>
          <w:tcPr>
            <w:tcW w:w="3968" w:type="dxa"/>
            <w:gridSpan w:val="3"/>
            <w:shd w:val="clear" w:color="auto" w:fill="FFFFFF" w:themeFill="background1"/>
          </w:tcPr>
          <w:p w14:paraId="13C6CFD6"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220 314</w:t>
            </w:r>
          </w:p>
        </w:tc>
        <w:tc>
          <w:tcPr>
            <w:tcW w:w="3973" w:type="dxa"/>
            <w:gridSpan w:val="2"/>
            <w:shd w:val="clear" w:color="auto" w:fill="FFFFFF" w:themeFill="background1"/>
          </w:tcPr>
          <w:p w14:paraId="4D20137E"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220 893</w:t>
            </w:r>
          </w:p>
        </w:tc>
      </w:tr>
      <w:tr w:rsidR="0071316B" w:rsidRPr="0071316B" w14:paraId="4438FDF0" w14:textId="77777777" w:rsidTr="00AC738B">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1416590C"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65–69</w:t>
            </w:r>
          </w:p>
        </w:tc>
        <w:tc>
          <w:tcPr>
            <w:tcW w:w="3968" w:type="dxa"/>
            <w:gridSpan w:val="3"/>
            <w:shd w:val="clear" w:color="auto" w:fill="FFFFFF" w:themeFill="background1"/>
          </w:tcPr>
          <w:p w14:paraId="3862DE80"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183 834</w:t>
            </w:r>
          </w:p>
        </w:tc>
        <w:tc>
          <w:tcPr>
            <w:tcW w:w="3968" w:type="dxa"/>
            <w:gridSpan w:val="3"/>
            <w:shd w:val="clear" w:color="auto" w:fill="FFFFFF" w:themeFill="background1"/>
          </w:tcPr>
          <w:p w14:paraId="43FEB6BB"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189 296</w:t>
            </w:r>
          </w:p>
        </w:tc>
        <w:tc>
          <w:tcPr>
            <w:tcW w:w="3973" w:type="dxa"/>
            <w:gridSpan w:val="2"/>
            <w:shd w:val="clear" w:color="auto" w:fill="FFFFFF" w:themeFill="background1"/>
          </w:tcPr>
          <w:p w14:paraId="1DB502CC"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193 939</w:t>
            </w:r>
          </w:p>
        </w:tc>
      </w:tr>
      <w:tr w:rsidR="0071316B" w:rsidRPr="0071316B" w14:paraId="76FCFAED"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5972B202"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70–74</w:t>
            </w:r>
          </w:p>
        </w:tc>
        <w:tc>
          <w:tcPr>
            <w:tcW w:w="3968" w:type="dxa"/>
            <w:gridSpan w:val="3"/>
            <w:shd w:val="clear" w:color="auto" w:fill="FFFFFF" w:themeFill="background1"/>
          </w:tcPr>
          <w:p w14:paraId="2023DE0E"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123 947</w:t>
            </w:r>
          </w:p>
        </w:tc>
        <w:tc>
          <w:tcPr>
            <w:tcW w:w="3968" w:type="dxa"/>
            <w:gridSpan w:val="3"/>
            <w:shd w:val="clear" w:color="auto" w:fill="FFFFFF" w:themeFill="background1"/>
          </w:tcPr>
          <w:p w14:paraId="1B0A8512"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133 974</w:t>
            </w:r>
          </w:p>
        </w:tc>
        <w:tc>
          <w:tcPr>
            <w:tcW w:w="3973" w:type="dxa"/>
            <w:gridSpan w:val="2"/>
            <w:shd w:val="clear" w:color="auto" w:fill="FFFFFF" w:themeFill="background1"/>
          </w:tcPr>
          <w:p w14:paraId="7D9FD00A"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142 633</w:t>
            </w:r>
          </w:p>
        </w:tc>
      </w:tr>
      <w:tr w:rsidR="0071316B" w:rsidRPr="0071316B" w14:paraId="12922B6E" w14:textId="77777777" w:rsidTr="00AC738B">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62335A7F"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75–79</w:t>
            </w:r>
          </w:p>
        </w:tc>
        <w:tc>
          <w:tcPr>
            <w:tcW w:w="3968" w:type="dxa"/>
            <w:gridSpan w:val="3"/>
            <w:shd w:val="clear" w:color="auto" w:fill="FFFFFF" w:themeFill="background1"/>
          </w:tcPr>
          <w:p w14:paraId="6723927A"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94 487</w:t>
            </w:r>
          </w:p>
        </w:tc>
        <w:tc>
          <w:tcPr>
            <w:tcW w:w="3968" w:type="dxa"/>
            <w:gridSpan w:val="3"/>
            <w:shd w:val="clear" w:color="auto" w:fill="FFFFFF" w:themeFill="background1"/>
          </w:tcPr>
          <w:p w14:paraId="5AB73214"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92 344</w:t>
            </w:r>
          </w:p>
        </w:tc>
        <w:tc>
          <w:tcPr>
            <w:tcW w:w="3973" w:type="dxa"/>
            <w:gridSpan w:val="2"/>
            <w:shd w:val="clear" w:color="auto" w:fill="FFFFFF" w:themeFill="background1"/>
          </w:tcPr>
          <w:p w14:paraId="4109085A"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91 766</w:t>
            </w:r>
          </w:p>
        </w:tc>
      </w:tr>
      <w:tr w:rsidR="0071316B" w:rsidRPr="0071316B" w14:paraId="20EDD0B2"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0C98E06C"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80–84</w:t>
            </w:r>
          </w:p>
        </w:tc>
        <w:tc>
          <w:tcPr>
            <w:tcW w:w="3968" w:type="dxa"/>
            <w:gridSpan w:val="3"/>
            <w:shd w:val="clear" w:color="auto" w:fill="FFFFFF" w:themeFill="background1"/>
          </w:tcPr>
          <w:p w14:paraId="5FE65152"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78 429</w:t>
            </w:r>
          </w:p>
        </w:tc>
        <w:tc>
          <w:tcPr>
            <w:tcW w:w="3968" w:type="dxa"/>
            <w:gridSpan w:val="3"/>
            <w:shd w:val="clear" w:color="auto" w:fill="FFFFFF" w:themeFill="background1"/>
          </w:tcPr>
          <w:p w14:paraId="21CA9893"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79 257</w:t>
            </w:r>
          </w:p>
        </w:tc>
        <w:tc>
          <w:tcPr>
            <w:tcW w:w="3973" w:type="dxa"/>
            <w:gridSpan w:val="2"/>
            <w:shd w:val="clear" w:color="auto" w:fill="FFFFFF" w:themeFill="background1"/>
          </w:tcPr>
          <w:p w14:paraId="744BF473"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80 251</w:t>
            </w:r>
          </w:p>
        </w:tc>
      </w:tr>
      <w:tr w:rsidR="0071316B" w:rsidRPr="0071316B" w14:paraId="56D10AC6" w14:textId="77777777" w:rsidTr="00AC738B">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5E6C0C50"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85 lat i więcej</w:t>
            </w:r>
          </w:p>
        </w:tc>
        <w:tc>
          <w:tcPr>
            <w:tcW w:w="3968" w:type="dxa"/>
            <w:gridSpan w:val="3"/>
            <w:shd w:val="clear" w:color="auto" w:fill="FFFFFF" w:themeFill="background1"/>
          </w:tcPr>
          <w:p w14:paraId="7221361F"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67 358</w:t>
            </w:r>
          </w:p>
        </w:tc>
        <w:tc>
          <w:tcPr>
            <w:tcW w:w="3968" w:type="dxa"/>
            <w:gridSpan w:val="3"/>
            <w:shd w:val="clear" w:color="auto" w:fill="FFFFFF" w:themeFill="background1"/>
          </w:tcPr>
          <w:p w14:paraId="7F263406"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69 644</w:t>
            </w:r>
          </w:p>
        </w:tc>
        <w:tc>
          <w:tcPr>
            <w:tcW w:w="3973" w:type="dxa"/>
            <w:gridSpan w:val="2"/>
            <w:shd w:val="clear" w:color="auto" w:fill="FFFFFF" w:themeFill="background1"/>
          </w:tcPr>
          <w:p w14:paraId="77A6D89E"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71 780</w:t>
            </w:r>
          </w:p>
        </w:tc>
      </w:tr>
      <w:tr w:rsidR="0071316B" w:rsidRPr="0071316B" w14:paraId="33A20290"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2C9744FE"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Przeciętne dalsze trwanie życia</w:t>
            </w:r>
          </w:p>
          <w:p w14:paraId="423E8FCD" w14:textId="77777777" w:rsidR="00FC2614" w:rsidRPr="0071316B" w:rsidRDefault="00FC2614" w:rsidP="00E86509">
            <w:pPr>
              <w:spacing w:after="0" w:line="240" w:lineRule="auto"/>
              <w:rPr>
                <w:rFonts w:ascii="Times New Roman" w:hAnsi="Times New Roman"/>
                <w:color w:val="auto"/>
                <w:lang w:eastAsia="pl-PL"/>
              </w:rPr>
            </w:pPr>
          </w:p>
          <w:p w14:paraId="751F88E8" w14:textId="77777777" w:rsidR="00FC2614" w:rsidRPr="0071316B" w:rsidRDefault="00FC2614" w:rsidP="00E86509">
            <w:pPr>
              <w:spacing w:after="0" w:line="240" w:lineRule="auto"/>
              <w:rPr>
                <w:rFonts w:ascii="Times New Roman" w:eastAsia="Arial" w:hAnsi="Times New Roman"/>
                <w:color w:val="auto"/>
                <w:lang w:eastAsia="pl-PL"/>
              </w:rPr>
            </w:pPr>
            <w:r w:rsidRPr="0071316B">
              <w:rPr>
                <w:rFonts w:ascii="Times New Roman" w:eastAsia="Arial" w:hAnsi="Times New Roman"/>
                <w:color w:val="auto"/>
                <w:lang w:eastAsia="pl-PL"/>
              </w:rPr>
              <w:t xml:space="preserve">    w wieku lat 0</w:t>
            </w:r>
          </w:p>
          <w:p w14:paraId="55D41987"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eastAsia="Arial" w:hAnsi="Times New Roman"/>
                <w:bCs w:val="0"/>
                <w:color w:val="auto"/>
                <w:lang w:eastAsia="pl-PL"/>
              </w:rPr>
              <w:t xml:space="preserve">    w wieku lat 60</w:t>
            </w:r>
          </w:p>
        </w:tc>
        <w:tc>
          <w:tcPr>
            <w:tcW w:w="3968" w:type="dxa"/>
            <w:gridSpan w:val="3"/>
            <w:shd w:val="clear" w:color="auto" w:fill="FFFFFF" w:themeFill="background1"/>
          </w:tcPr>
          <w:p w14:paraId="44E42397" w14:textId="77777777" w:rsidR="00FC2614" w:rsidRPr="0071316B" w:rsidRDefault="00FC2614" w:rsidP="00495FB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77964C0E" w14:textId="047E412B" w:rsidR="00FC2614" w:rsidRPr="0071316B" w:rsidRDefault="00FC2614" w:rsidP="00495FB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75,4 mężczyźni; 82,6 kobiety</w:t>
            </w:r>
          </w:p>
          <w:p w14:paraId="5BF0A314" w14:textId="77777777" w:rsidR="00FC2614" w:rsidRPr="0071316B" w:rsidRDefault="00FC2614" w:rsidP="00495FB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20,0 mężczyźni; 24,8 kobiety</w:t>
            </w:r>
          </w:p>
        </w:tc>
        <w:tc>
          <w:tcPr>
            <w:tcW w:w="3968" w:type="dxa"/>
            <w:gridSpan w:val="3"/>
            <w:shd w:val="clear" w:color="auto" w:fill="FFFFFF" w:themeFill="background1"/>
          </w:tcPr>
          <w:p w14:paraId="39AD28FB" w14:textId="77777777" w:rsidR="00FC2614" w:rsidRPr="0071316B" w:rsidRDefault="00FC2614" w:rsidP="00495FB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7C5CA771" w14:textId="0B6FA690" w:rsidR="00FC2614" w:rsidRPr="0071316B" w:rsidRDefault="00FC2614" w:rsidP="00495FB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75,3–mężczyźni; 82,9 –kobiety</w:t>
            </w:r>
          </w:p>
          <w:p w14:paraId="0990A040" w14:textId="77777777" w:rsidR="00FC2614" w:rsidRPr="0071316B" w:rsidRDefault="00FC2614" w:rsidP="00495FB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19,9- mężczyźni ; 24,9-kobiety</w:t>
            </w:r>
          </w:p>
        </w:tc>
        <w:tc>
          <w:tcPr>
            <w:tcW w:w="3973" w:type="dxa"/>
            <w:gridSpan w:val="2"/>
            <w:shd w:val="clear" w:color="auto" w:fill="FFFFFF" w:themeFill="background1"/>
          </w:tcPr>
          <w:p w14:paraId="0C607704" w14:textId="77777777" w:rsidR="00FC2614" w:rsidRPr="0071316B" w:rsidRDefault="00FC2614" w:rsidP="00495FB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576A5F4E" w14:textId="1915B500" w:rsidR="00495FB4" w:rsidRPr="00495FB4" w:rsidRDefault="00495FB4" w:rsidP="00495FB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95FB4">
              <w:rPr>
                <w:rFonts w:ascii="Times New Roman" w:hAnsi="Times New Roman"/>
                <w:color w:val="auto"/>
              </w:rPr>
              <w:t>75,34–mężczyźni; 82,69 –kobiety</w:t>
            </w:r>
          </w:p>
          <w:p w14:paraId="243580FC" w14:textId="26D71F4F" w:rsidR="00FC2614" w:rsidRPr="0071316B" w:rsidRDefault="00495FB4" w:rsidP="00495FB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95FB4">
              <w:rPr>
                <w:rFonts w:ascii="Times New Roman" w:hAnsi="Times New Roman"/>
                <w:color w:val="auto"/>
              </w:rPr>
              <w:t>19,93- mężczyźni ; 24,68-kobiety</w:t>
            </w:r>
          </w:p>
        </w:tc>
      </w:tr>
      <w:tr w:rsidR="0071316B" w:rsidRPr="0071316B" w14:paraId="154E4D27" w14:textId="77777777" w:rsidTr="00AC738B">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69491EEF"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Współczynnik feminizacji</w:t>
            </w:r>
          </w:p>
        </w:tc>
        <w:tc>
          <w:tcPr>
            <w:tcW w:w="3968" w:type="dxa"/>
            <w:gridSpan w:val="3"/>
            <w:shd w:val="clear" w:color="auto" w:fill="FFFFFF" w:themeFill="background1"/>
          </w:tcPr>
          <w:p w14:paraId="3534A1BF"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106</w:t>
            </w:r>
          </w:p>
        </w:tc>
        <w:tc>
          <w:tcPr>
            <w:tcW w:w="3968" w:type="dxa"/>
            <w:gridSpan w:val="3"/>
            <w:shd w:val="clear" w:color="auto" w:fill="FFFFFF" w:themeFill="background1"/>
          </w:tcPr>
          <w:p w14:paraId="3F2DFDF2"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106</w:t>
            </w:r>
          </w:p>
        </w:tc>
        <w:tc>
          <w:tcPr>
            <w:tcW w:w="3973" w:type="dxa"/>
            <w:gridSpan w:val="2"/>
            <w:shd w:val="clear" w:color="auto" w:fill="FFFFFF" w:themeFill="background1"/>
          </w:tcPr>
          <w:p w14:paraId="6273F36B"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106</w:t>
            </w:r>
          </w:p>
        </w:tc>
      </w:tr>
      <w:tr w:rsidR="0071316B" w:rsidRPr="0071316B" w14:paraId="2E8CAD07"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77F29F9D"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Współczynnik obciążenia demograficznego osobami starszymi</w:t>
            </w:r>
          </w:p>
        </w:tc>
        <w:tc>
          <w:tcPr>
            <w:tcW w:w="3968" w:type="dxa"/>
            <w:gridSpan w:val="3"/>
            <w:shd w:val="clear" w:color="auto" w:fill="FFFFFF" w:themeFill="background1"/>
          </w:tcPr>
          <w:p w14:paraId="31E2510F"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23,8</w:t>
            </w:r>
          </w:p>
        </w:tc>
        <w:tc>
          <w:tcPr>
            <w:tcW w:w="3968" w:type="dxa"/>
            <w:gridSpan w:val="3"/>
            <w:shd w:val="clear" w:color="auto" w:fill="FFFFFF" w:themeFill="background1"/>
          </w:tcPr>
          <w:p w14:paraId="524C6C36"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24,6</w:t>
            </w:r>
          </w:p>
        </w:tc>
        <w:tc>
          <w:tcPr>
            <w:tcW w:w="3973" w:type="dxa"/>
            <w:gridSpan w:val="2"/>
            <w:shd w:val="clear" w:color="auto" w:fill="FFFFFF" w:themeFill="background1"/>
          </w:tcPr>
          <w:p w14:paraId="58E0438F"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25,5</w:t>
            </w:r>
          </w:p>
        </w:tc>
      </w:tr>
      <w:tr w:rsidR="0071316B" w:rsidRPr="0071316B" w14:paraId="2D5EB5FB" w14:textId="77777777" w:rsidTr="00AC738B">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65D6A47B"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Współczynnik zgonów</w:t>
            </w:r>
          </w:p>
        </w:tc>
        <w:tc>
          <w:tcPr>
            <w:tcW w:w="3968" w:type="dxa"/>
            <w:gridSpan w:val="3"/>
            <w:shd w:val="clear" w:color="auto" w:fill="FFFFFF" w:themeFill="background1"/>
          </w:tcPr>
          <w:p w14:paraId="7670F2B3"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9,41</w:t>
            </w:r>
          </w:p>
        </w:tc>
        <w:tc>
          <w:tcPr>
            <w:tcW w:w="3968" w:type="dxa"/>
            <w:gridSpan w:val="3"/>
            <w:shd w:val="clear" w:color="auto" w:fill="FFFFFF" w:themeFill="background1"/>
            <w:vAlign w:val="center"/>
          </w:tcPr>
          <w:p w14:paraId="661BAC12"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9,5613</w:t>
            </w:r>
          </w:p>
        </w:tc>
        <w:tc>
          <w:tcPr>
            <w:tcW w:w="3973" w:type="dxa"/>
            <w:gridSpan w:val="2"/>
            <w:shd w:val="clear" w:color="auto" w:fill="FFFFFF" w:themeFill="background1"/>
          </w:tcPr>
          <w:p w14:paraId="4EA50FDF"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9,6864</w:t>
            </w:r>
          </w:p>
        </w:tc>
      </w:tr>
      <w:tr w:rsidR="0071316B" w:rsidRPr="0071316B" w14:paraId="0BB481C6"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7" w:type="dxa"/>
            <w:gridSpan w:val="9"/>
            <w:shd w:val="clear" w:color="auto" w:fill="9CC2E5" w:themeFill="accent1" w:themeFillTint="99"/>
          </w:tcPr>
          <w:p w14:paraId="25781B1A" w14:textId="77777777" w:rsidR="00FC2614" w:rsidRPr="0071316B" w:rsidRDefault="00FC2614" w:rsidP="00E86509">
            <w:pPr>
              <w:spacing w:after="0" w:line="240" w:lineRule="auto"/>
              <w:jc w:val="center"/>
              <w:rPr>
                <w:rFonts w:ascii="Times New Roman" w:hAnsi="Times New Roman"/>
                <w:color w:val="auto"/>
              </w:rPr>
            </w:pPr>
            <w:r w:rsidRPr="0071316B">
              <w:rPr>
                <w:rFonts w:ascii="Times New Roman" w:hAnsi="Times New Roman"/>
                <w:color w:val="auto"/>
              </w:rPr>
              <w:t>SYTUACJA RODZINNA I STRUKTURA GOSPODARSTW DOMOWYCH</w:t>
            </w:r>
          </w:p>
        </w:tc>
      </w:tr>
      <w:tr w:rsidR="0071316B" w:rsidRPr="0071316B" w14:paraId="792C1572" w14:textId="77777777" w:rsidTr="00E86509">
        <w:tc>
          <w:tcPr>
            <w:cnfStyle w:val="001000000000" w:firstRow="0" w:lastRow="0" w:firstColumn="1" w:lastColumn="0" w:oddVBand="0" w:evenVBand="0" w:oddHBand="0" w:evenHBand="0" w:firstRowFirstColumn="0" w:firstRowLastColumn="0" w:lastRowFirstColumn="0" w:lastRowLastColumn="0"/>
            <w:tcW w:w="14737" w:type="dxa"/>
            <w:gridSpan w:val="9"/>
          </w:tcPr>
          <w:p w14:paraId="26E34DCA" w14:textId="65D8CB25" w:rsidR="00FC2614" w:rsidRPr="0071316B" w:rsidRDefault="00FC2614" w:rsidP="00E86509">
            <w:pPr>
              <w:spacing w:after="0" w:line="240" w:lineRule="auto"/>
              <w:rPr>
                <w:rFonts w:ascii="Times New Roman" w:eastAsia="Times New Roman" w:hAnsi="Times New Roman"/>
                <w:b w:val="0"/>
                <w:bCs w:val="0"/>
                <w:color w:val="auto"/>
                <w:lang w:eastAsia="pl-PL"/>
              </w:rPr>
            </w:pPr>
            <w:r w:rsidRPr="00795F7C">
              <w:rPr>
                <w:rFonts w:ascii="Times New Roman" w:hAnsi="Times New Roman"/>
                <w:b w:val="0"/>
                <w:color w:val="auto"/>
              </w:rPr>
              <w:lastRenderedPageBreak/>
              <w:t>Struktura wiekowa ludności Małopolski ulega zmianie. W relacji rok do roku odsetek osób w wieku po</w:t>
            </w:r>
            <w:r w:rsidR="00795F7C" w:rsidRPr="00795F7C">
              <w:rPr>
                <w:rFonts w:ascii="Times New Roman" w:hAnsi="Times New Roman"/>
                <w:b w:val="0"/>
                <w:color w:val="auto"/>
              </w:rPr>
              <w:t>produkcyjnym zwiększył się o 0,4</w:t>
            </w:r>
            <w:r w:rsidRPr="00795F7C">
              <w:rPr>
                <w:rFonts w:ascii="Times New Roman" w:hAnsi="Times New Roman"/>
                <w:b w:val="0"/>
                <w:color w:val="auto"/>
              </w:rPr>
              <w:t xml:space="preserve"> punktu procentowego, </w:t>
            </w:r>
            <w:r w:rsidR="00795F7C" w:rsidRPr="00795F7C">
              <w:rPr>
                <w:rFonts w:ascii="Times New Roman" w:hAnsi="Times New Roman"/>
                <w:b w:val="0"/>
                <w:color w:val="auto"/>
              </w:rPr>
              <w:t xml:space="preserve"> co oznacza wzrost liczby osób starszych o 16,4 tysięcy osób w ciągu 12 miesięcy. W większości były to kobiety tj. 58% tej grupy. W populacji osób powyżej 60 roku życia najliczniejszą grupę stanowiły najmłodsi seniorzy czyli mieszkańcy w przedziale wiekowym 60 -64 lata tj. 27,6%. Osiemdziesięciolatkowie i starsi mieszkańcy Małopolski stanowili również liczną grupę ponad 152 tysięcy osób tj. 19</w:t>
            </w:r>
            <w:r w:rsidR="00795F7C">
              <w:rPr>
                <w:rFonts w:ascii="Times New Roman" w:hAnsi="Times New Roman"/>
                <w:b w:val="0"/>
                <w:color w:val="auto"/>
              </w:rPr>
              <w:t>% w ogóle małopolskich seniorów.</w:t>
            </w:r>
            <w:r w:rsidRPr="0071316B">
              <w:rPr>
                <w:rStyle w:val="Odwoanieprzypisudolnego"/>
                <w:rFonts w:ascii="Times New Roman" w:hAnsi="Times New Roman"/>
                <w:color w:val="auto"/>
              </w:rPr>
              <w:footnoteReference w:id="114"/>
            </w:r>
            <w:r w:rsidRPr="0071316B">
              <w:rPr>
                <w:rFonts w:ascii="Times New Roman" w:hAnsi="Times New Roman"/>
                <w:color w:val="auto"/>
              </w:rPr>
              <w:t xml:space="preserve"> </w:t>
            </w:r>
            <w:r w:rsidRPr="0071316B">
              <w:rPr>
                <w:rFonts w:ascii="Times New Roman" w:hAnsi="Times New Roman"/>
                <w:b w:val="0"/>
                <w:color w:val="auto"/>
              </w:rPr>
              <w:t>W 2018</w:t>
            </w:r>
            <w:r w:rsidR="00413508" w:rsidRPr="0071316B">
              <w:rPr>
                <w:rFonts w:ascii="Times New Roman" w:hAnsi="Times New Roman"/>
                <w:b w:val="0"/>
                <w:color w:val="auto"/>
              </w:rPr>
              <w:t xml:space="preserve"> r.</w:t>
            </w:r>
            <w:r w:rsidRPr="0071316B">
              <w:rPr>
                <w:rFonts w:ascii="Times New Roman" w:hAnsi="Times New Roman"/>
                <w:b w:val="0"/>
                <w:color w:val="auto"/>
              </w:rPr>
              <w:t xml:space="preserve"> nastąpiła poprawa sytuacji materialnej gospodarstw domowych w Polsce, chociaż skala zmiany była mniejsza niż przed rokiem. Gospodarstwa domowe osiągały wyższe dochody natomiast ich wydatki pozostały na podobnym poziomie, w związku z tym wzrosła nadwyżka dochodów nad wydatkami.</w:t>
            </w:r>
            <w:r w:rsidRPr="0071316B">
              <w:rPr>
                <w:rFonts w:ascii="Times New Roman" w:eastAsia="Times New Roman" w:hAnsi="Times New Roman"/>
                <w:color w:val="auto"/>
                <w:lang w:eastAsia="pl-PL"/>
              </w:rPr>
              <w:t xml:space="preserve"> </w:t>
            </w:r>
            <w:r w:rsidRPr="0071316B">
              <w:rPr>
                <w:rFonts w:ascii="Times New Roman" w:eastAsia="Times New Roman" w:hAnsi="Times New Roman"/>
                <w:b w:val="0"/>
                <w:color w:val="auto"/>
                <w:lang w:eastAsia="pl-PL"/>
              </w:rPr>
              <w:t>Zmiany demograficzne następują powoli, jednakże jest to proces, który  nabiera coraz większego tempa. Do 2070</w:t>
            </w:r>
            <w:r w:rsidR="00413508" w:rsidRPr="0071316B">
              <w:rPr>
                <w:rFonts w:ascii="Times New Roman" w:eastAsia="Times New Roman" w:hAnsi="Times New Roman"/>
                <w:b w:val="0"/>
                <w:color w:val="auto"/>
                <w:lang w:eastAsia="pl-PL"/>
              </w:rPr>
              <w:t xml:space="preserve"> </w:t>
            </w:r>
            <w:r w:rsidRPr="0071316B">
              <w:rPr>
                <w:rFonts w:ascii="Times New Roman" w:eastAsia="Times New Roman" w:hAnsi="Times New Roman"/>
                <w:b w:val="0"/>
                <w:color w:val="auto"/>
                <w:lang w:eastAsia="pl-PL"/>
              </w:rPr>
              <w:t>r. ludność Polski zmniejszy się o 7,1 mln osób. Na 2 emerytów w Polsce przypadać będzie jedynie 3 pracujących.  (źródło: The 2018 Ageing Report/ Raport Komisji Europejskiej). Proces demograficznego starzenia się ludności przebiegać będzie nierównomiernie, w większym stopniu kształtując strukturę demograficzną mieszkańców miast. Zgodnie z prognozą GUS, w miastach będzie znacznie wyższy odsetek osób w wieku 80 i więcej lat. Wskazuje to na potencjalnie większe zapotrzebowanie na różne pomocy i wsparcia dla najstarszych mieszkańców miast. Wydłużenie się przeciętnej długości życia  jest możliwe dzięki rozwojowi medycyny, diagnostyki, farmakologii, profilaktyki a także poprawie warunków bytowych. Akcentowanie witalności, samodzielności i niezależności w podeszłym wieku jest szczególnie ważne. Starzenie się jest procesem, który przebiega w zależności od warunków bytowych, płci czy statusu społecznego. Należy podkreślić, że pomimo wydłużenia średnie dalsze trwanie życia w chwili urodzenia w Polsce jest zdecydowanie krótszej od średniej unijnej.</w:t>
            </w:r>
            <w:r w:rsidRPr="0071316B">
              <w:rPr>
                <w:rStyle w:val="Odwoanieprzypisudolnego"/>
                <w:rFonts w:ascii="Times New Roman" w:hAnsi="Times New Roman"/>
                <w:b w:val="0"/>
                <w:color w:val="auto"/>
              </w:rPr>
              <w:footnoteReference w:id="115"/>
            </w:r>
            <w:r w:rsidRPr="0071316B">
              <w:rPr>
                <w:rFonts w:ascii="Times New Roman" w:eastAsia="Times New Roman" w:hAnsi="Times New Roman"/>
                <w:b w:val="0"/>
                <w:color w:val="auto"/>
                <w:lang w:eastAsia="pl-PL"/>
              </w:rPr>
              <w:t xml:space="preserve"> </w:t>
            </w:r>
          </w:p>
        </w:tc>
      </w:tr>
      <w:tr w:rsidR="0071316B" w:rsidRPr="0071316B" w14:paraId="46AF58B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7" w:type="dxa"/>
            <w:gridSpan w:val="9"/>
            <w:shd w:val="clear" w:color="auto" w:fill="9CC2E5" w:themeFill="accent1" w:themeFillTint="99"/>
          </w:tcPr>
          <w:p w14:paraId="2B3FB92A" w14:textId="77777777" w:rsidR="00FC2614" w:rsidRPr="0071316B" w:rsidRDefault="00FC2614" w:rsidP="00E86509">
            <w:pPr>
              <w:spacing w:after="0" w:line="240" w:lineRule="auto"/>
              <w:jc w:val="center"/>
              <w:rPr>
                <w:rFonts w:ascii="Times New Roman" w:hAnsi="Times New Roman"/>
                <w:color w:val="auto"/>
              </w:rPr>
            </w:pPr>
            <w:r w:rsidRPr="0071316B">
              <w:rPr>
                <w:rFonts w:ascii="Times New Roman" w:hAnsi="Times New Roman"/>
                <w:color w:val="auto"/>
              </w:rPr>
              <w:t>SYTUACJA OSÓB NIEPEŁNOSPRAWNYCH I ICH OPIEKUNÓW</w:t>
            </w:r>
          </w:p>
        </w:tc>
      </w:tr>
      <w:tr w:rsidR="0071316B" w:rsidRPr="0071316B" w14:paraId="130DC778" w14:textId="77777777" w:rsidTr="00E86509">
        <w:tc>
          <w:tcPr>
            <w:cnfStyle w:val="001000000000" w:firstRow="0" w:lastRow="0" w:firstColumn="1" w:lastColumn="0" w:oddVBand="0" w:evenVBand="0" w:oddHBand="0" w:evenHBand="0" w:firstRowFirstColumn="0" w:firstRowLastColumn="0" w:lastRowFirstColumn="0" w:lastRowLastColumn="0"/>
            <w:tcW w:w="14737" w:type="dxa"/>
            <w:gridSpan w:val="9"/>
          </w:tcPr>
          <w:p w14:paraId="693AE270" w14:textId="69AAEB87" w:rsidR="00FC2614" w:rsidRPr="00077644" w:rsidRDefault="00FC2614" w:rsidP="00077644">
            <w:pPr>
              <w:spacing w:after="0" w:line="240" w:lineRule="auto"/>
              <w:rPr>
                <w:rFonts w:ascii="Times New Roman" w:hAnsi="Times New Roman"/>
                <w:b w:val="0"/>
                <w:bCs w:val="0"/>
                <w:color w:val="auto"/>
              </w:rPr>
            </w:pPr>
            <w:r w:rsidRPr="0071316B">
              <w:rPr>
                <w:rFonts w:ascii="Times New Roman" w:hAnsi="Times New Roman"/>
                <w:b w:val="0"/>
                <w:bCs w:val="0"/>
                <w:color w:val="auto"/>
              </w:rPr>
              <w:t>Zgodnie z danymi Państwowego Funduszu Rehabilitacji Osób Niepełnosprawnych w Województwi</w:t>
            </w:r>
            <w:r w:rsidR="00413508" w:rsidRPr="0071316B">
              <w:rPr>
                <w:rFonts w:ascii="Times New Roman" w:hAnsi="Times New Roman"/>
                <w:b w:val="0"/>
                <w:bCs w:val="0"/>
                <w:color w:val="auto"/>
              </w:rPr>
              <w:t>e Małopolskim z końcem 2019 r.</w:t>
            </w:r>
            <w:r w:rsidRPr="0071316B">
              <w:rPr>
                <w:rFonts w:ascii="Times New Roman" w:hAnsi="Times New Roman"/>
                <w:b w:val="0"/>
                <w:bCs w:val="0"/>
                <w:color w:val="auto"/>
              </w:rPr>
              <w:t xml:space="preserve"> było 292 987 osób niepełnosprawnych (dane wskazują na niepełnosprawność prawną, czyli osoby z orzeczeniem o niepełnosprawności). W ogólnej liczbie osób niepełnosprawnych 12 152 to dzieci w wieku od 0-14 lat, a pozostała część osób niepełnosprawnych wynosząca 280 835 osób to niepełnosprawni w wieku powyżej 15 roku życia. Największa częstość występowania niepełnosprawności w Małopolsce to główne aglomeracje miejskie województwa: Kraków, Tarnów oraz Nowy Sącz. Obserwowana w ostatnich latach częstość występowania niepełnosprawności województwie małopolskim (wynosząca ok. 11,9%) jest niższa niż od średniej krajowej (wynoszącej 12,2%).</w:t>
            </w:r>
            <w:r w:rsidRPr="0071316B">
              <w:rPr>
                <w:rStyle w:val="Odwoanieprzypisudolnego"/>
                <w:rFonts w:ascii="Times New Roman" w:hAnsi="Times New Roman"/>
                <w:b w:val="0"/>
                <w:bCs w:val="0"/>
                <w:color w:val="auto"/>
              </w:rPr>
              <w:footnoteReference w:id="116"/>
            </w:r>
            <w:r w:rsidR="00077644">
              <w:rPr>
                <w:rFonts w:ascii="Times New Roman" w:hAnsi="Times New Roman"/>
                <w:b w:val="0"/>
                <w:bCs w:val="0"/>
                <w:color w:val="auto"/>
              </w:rPr>
              <w:t xml:space="preserve"> </w:t>
            </w:r>
            <w:r w:rsidRPr="0071316B">
              <w:rPr>
                <w:rFonts w:ascii="Times New Roman" w:hAnsi="Times New Roman"/>
                <w:b w:val="0"/>
                <w:bCs w:val="0"/>
                <w:color w:val="auto"/>
              </w:rPr>
              <w:t xml:space="preserve">Sytuację seniorów często determinują niepełnosprawność i wielochorobowość. Badania GUS wykazują, że trudności przy wykonywaniu prac domowych wynikające ze stanu zdrowia deklaruje co trzeci 60-latek, ponad 60% 70-latków i prawie 85% osób w wieku </w:t>
            </w:r>
            <w:r w:rsidR="00413508" w:rsidRPr="0071316B">
              <w:rPr>
                <w:rFonts w:ascii="Times New Roman" w:hAnsi="Times New Roman"/>
                <w:b w:val="0"/>
                <w:bCs w:val="0"/>
                <w:color w:val="auto"/>
              </w:rPr>
              <w:t xml:space="preserve">80 lat i więcej. Zwiększa się </w:t>
            </w:r>
            <w:r w:rsidRPr="0071316B">
              <w:rPr>
                <w:rFonts w:ascii="Times New Roman" w:hAnsi="Times New Roman"/>
                <w:b w:val="0"/>
                <w:bCs w:val="0"/>
                <w:color w:val="auto"/>
              </w:rPr>
              <w:t>także</w:t>
            </w:r>
            <w:r w:rsidR="00077644">
              <w:rPr>
                <w:rFonts w:ascii="Times New Roman" w:hAnsi="Times New Roman"/>
                <w:b w:val="0"/>
                <w:bCs w:val="0"/>
                <w:color w:val="auto"/>
              </w:rPr>
              <w:t xml:space="preserve"> liczba osób niepełnosprawnych. </w:t>
            </w:r>
            <w:r w:rsidRPr="00077644">
              <w:rPr>
                <w:rFonts w:ascii="Times New Roman" w:hAnsi="Times New Roman"/>
                <w:b w:val="0"/>
                <w:bCs w:val="0"/>
                <w:color w:val="auto"/>
              </w:rPr>
              <w:t xml:space="preserve">Ważnym aspektem w sprawowaniu opieki nad osobami starszymi jest pomoc w formie specjalnego zasiłku opiekuńczego.  Specjalny zasiłek opiekuńczy przysługuje osobom, na których zgodnie z przepisami </w:t>
            </w:r>
            <w:r w:rsidRPr="00077644">
              <w:rPr>
                <w:rFonts w:ascii="Times New Roman" w:hAnsi="Times New Roman"/>
                <w:b w:val="0"/>
                <w:bCs w:val="0"/>
                <w:i/>
                <w:color w:val="auto"/>
              </w:rPr>
              <w:t>ustawy z dnia 25 lutego 1964 r. - Kodeks rodzinny i opiekuńczy </w:t>
            </w:r>
            <w:r w:rsidRPr="00077644">
              <w:rPr>
                <w:rFonts w:ascii="Times New Roman" w:hAnsi="Times New Roman"/>
                <w:b w:val="0"/>
                <w:bCs w:val="0"/>
                <w:color w:val="auto"/>
              </w:rPr>
              <w:t xml:space="preserve"> ciąży obowiązek alimentacyjny, a także małżonkom, jeżeli: nie podejmują zatrudnienia lub innej pracy zarobkowej lub rezygnują z zatrudnienia lub innej pracy zarobkowej. Gminy  podkreślają, że dzięki ww. świadczeniu zwiększa się  stopień zapewnienia potrzebnej opieki dla osób starszych (źródło: sprawozdane własne). </w:t>
            </w:r>
          </w:p>
        </w:tc>
      </w:tr>
      <w:tr w:rsidR="0071316B" w:rsidRPr="0071316B" w14:paraId="1FAEA1E9"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7" w:type="dxa"/>
            <w:gridSpan w:val="9"/>
            <w:shd w:val="clear" w:color="auto" w:fill="9CC2E5" w:themeFill="accent1" w:themeFillTint="99"/>
          </w:tcPr>
          <w:p w14:paraId="12AA05D6" w14:textId="77777777" w:rsidR="00FC2614" w:rsidRPr="0071316B" w:rsidRDefault="00FC2614" w:rsidP="00E86509">
            <w:pPr>
              <w:spacing w:after="0" w:line="240" w:lineRule="auto"/>
              <w:jc w:val="center"/>
              <w:rPr>
                <w:rFonts w:ascii="Times New Roman" w:hAnsi="Times New Roman"/>
                <w:color w:val="auto"/>
              </w:rPr>
            </w:pPr>
            <w:r w:rsidRPr="0071316B">
              <w:rPr>
                <w:rFonts w:ascii="Times New Roman" w:hAnsi="Times New Roman"/>
                <w:color w:val="auto"/>
              </w:rPr>
              <w:t>STAN ZDROWIA OSÓB STARSZYCH / INFRASTRUKTURA SŁUŻBY ZDROWIA - DANE ZA 2019 r.</w:t>
            </w:r>
          </w:p>
        </w:tc>
      </w:tr>
      <w:tr w:rsidR="0071316B" w:rsidRPr="0071316B" w14:paraId="6950B7FA" w14:textId="77777777" w:rsidTr="00AC738B">
        <w:trPr>
          <w:trHeight w:val="283"/>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09861FD8" w14:textId="77777777" w:rsidR="00FC2614" w:rsidRPr="0071316B" w:rsidRDefault="00FC2614" w:rsidP="00E86509">
            <w:pPr>
              <w:spacing w:after="0" w:line="240" w:lineRule="auto"/>
              <w:rPr>
                <w:rFonts w:ascii="Times New Roman" w:hAnsi="Times New Roman"/>
                <w:b w:val="0"/>
                <w:color w:val="auto"/>
                <w:lang w:eastAsia="pl-PL"/>
              </w:rPr>
            </w:pPr>
            <w:r w:rsidRPr="0071316B">
              <w:rPr>
                <w:rFonts w:ascii="Times New Roman" w:hAnsi="Times New Roman"/>
                <w:color w:val="auto"/>
                <w:lang w:eastAsia="pl-PL"/>
              </w:rPr>
              <w:t>Dominujące schorzenia osób starszych</w:t>
            </w:r>
            <w:r w:rsidRPr="0071316B">
              <w:rPr>
                <w:rStyle w:val="Odwoanieprzypisudolnego"/>
                <w:rFonts w:ascii="Times New Roman" w:hAnsi="Times New Roman"/>
                <w:color w:val="auto"/>
              </w:rPr>
              <w:footnoteReference w:id="117"/>
            </w:r>
            <w:r w:rsidRPr="0071316B">
              <w:rPr>
                <w:rFonts w:ascii="Times New Roman" w:hAnsi="Times New Roman"/>
                <w:color w:val="auto"/>
                <w:lang w:eastAsia="pl-PL"/>
              </w:rPr>
              <w:t xml:space="preserve"> </w:t>
            </w:r>
          </w:p>
        </w:tc>
        <w:tc>
          <w:tcPr>
            <w:tcW w:w="7936" w:type="dxa"/>
            <w:gridSpan w:val="6"/>
            <w:shd w:val="clear" w:color="auto" w:fill="9CC2E5" w:themeFill="accent1" w:themeFillTint="99"/>
          </w:tcPr>
          <w:p w14:paraId="79805DC8"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Nazwa</w:t>
            </w:r>
          </w:p>
        </w:tc>
        <w:tc>
          <w:tcPr>
            <w:tcW w:w="3973" w:type="dxa"/>
            <w:gridSpan w:val="2"/>
            <w:shd w:val="clear" w:color="auto" w:fill="9CC2E5" w:themeFill="accent1" w:themeFillTint="99"/>
          </w:tcPr>
          <w:p w14:paraId="4C9ACA53"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 osób starszych (dane dot. osób 65+)</w:t>
            </w:r>
          </w:p>
        </w:tc>
      </w:tr>
      <w:tr w:rsidR="0071316B" w:rsidRPr="0071316B" w14:paraId="03AA861C" w14:textId="77777777" w:rsidTr="00AC738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extDirection w:val="btLr"/>
          </w:tcPr>
          <w:p w14:paraId="58AEEC41"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vAlign w:val="bottom"/>
          </w:tcPr>
          <w:p w14:paraId="49AA4BCF" w14:textId="77777777" w:rsidR="00FC2614" w:rsidRPr="00522157" w:rsidRDefault="00FC2614" w:rsidP="00E86509">
            <w:pPr>
              <w:pStyle w:val="Akapitzlist"/>
              <w:numPr>
                <w:ilvl w:val="2"/>
                <w:numId w:val="319"/>
              </w:numPr>
              <w:spacing w:after="0"/>
              <w:ind w:left="42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22157">
              <w:rPr>
                <w:rFonts w:ascii="Times New Roman" w:hAnsi="Times New Roman"/>
                <w:color w:val="auto"/>
                <w:lang w:eastAsia="pl-PL"/>
              </w:rPr>
              <w:t>Choroby układu krążenia I00-I99</w:t>
            </w:r>
          </w:p>
        </w:tc>
        <w:tc>
          <w:tcPr>
            <w:tcW w:w="3973" w:type="dxa"/>
            <w:gridSpan w:val="2"/>
            <w:shd w:val="clear" w:color="auto" w:fill="FFFFFF" w:themeFill="background1"/>
          </w:tcPr>
          <w:p w14:paraId="252B2801"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eastAsia="Times New Roman" w:hAnsi="Times New Roman"/>
                <w:color w:val="auto"/>
                <w:lang w:eastAsia="pl-PL"/>
              </w:rPr>
              <w:t>294 919</w:t>
            </w:r>
          </w:p>
        </w:tc>
      </w:tr>
      <w:tr w:rsidR="0071316B" w:rsidRPr="0071316B" w14:paraId="0242DED3" w14:textId="77777777" w:rsidTr="00AC738B">
        <w:trPr>
          <w:trHeight w:val="2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extDirection w:val="btLr"/>
          </w:tcPr>
          <w:p w14:paraId="3FE7882F"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vAlign w:val="bottom"/>
          </w:tcPr>
          <w:p w14:paraId="30604CC4" w14:textId="77777777" w:rsidR="00FC2614" w:rsidRPr="00522157"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pl-PL"/>
              </w:rPr>
            </w:pPr>
            <w:r w:rsidRPr="00522157">
              <w:rPr>
                <w:rFonts w:ascii="Times New Roman" w:eastAsia="Times New Roman" w:hAnsi="Times New Roman"/>
                <w:color w:val="auto"/>
                <w:lang w:eastAsia="pl-PL"/>
              </w:rPr>
              <w:t xml:space="preserve"> w tym: przewlekła choroba reumatyczna I05-I09</w:t>
            </w:r>
          </w:p>
        </w:tc>
        <w:tc>
          <w:tcPr>
            <w:tcW w:w="3973" w:type="dxa"/>
            <w:gridSpan w:val="2"/>
            <w:shd w:val="clear" w:color="auto" w:fill="FFFFFF" w:themeFill="background1"/>
          </w:tcPr>
          <w:p w14:paraId="796DBEEF"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pl-PL"/>
              </w:rPr>
            </w:pPr>
            <w:r w:rsidRPr="0071316B">
              <w:rPr>
                <w:rFonts w:ascii="Times New Roman" w:eastAsia="Times New Roman" w:hAnsi="Times New Roman"/>
                <w:color w:val="auto"/>
                <w:lang w:eastAsia="pl-PL"/>
              </w:rPr>
              <w:t>3 723</w:t>
            </w:r>
          </w:p>
        </w:tc>
      </w:tr>
      <w:tr w:rsidR="0071316B" w:rsidRPr="0071316B" w14:paraId="21DFF34A" w14:textId="77777777" w:rsidTr="00AC738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A6AEBD7"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52E670DF" w14:textId="77777777" w:rsidR="00FC2614" w:rsidRPr="00522157" w:rsidRDefault="00FC2614" w:rsidP="00E86509">
            <w:pPr>
              <w:pStyle w:val="Akapitzlist"/>
              <w:numPr>
                <w:ilvl w:val="2"/>
                <w:numId w:val="319"/>
              </w:numPr>
              <w:spacing w:after="0" w:line="240" w:lineRule="auto"/>
              <w:ind w:left="42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22157">
              <w:rPr>
                <w:rFonts w:ascii="Times New Roman" w:eastAsia="Times New Roman" w:hAnsi="Times New Roman"/>
                <w:color w:val="auto"/>
                <w:lang w:eastAsia="pl-PL"/>
              </w:rPr>
              <w:t>Nowotwory C00-C97, D00-D48</w:t>
            </w:r>
          </w:p>
        </w:tc>
        <w:tc>
          <w:tcPr>
            <w:tcW w:w="3973" w:type="dxa"/>
            <w:gridSpan w:val="2"/>
            <w:shd w:val="clear" w:color="auto" w:fill="FFFFFF" w:themeFill="background1"/>
          </w:tcPr>
          <w:p w14:paraId="6D84FCB7"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eastAsia="Times New Roman" w:hAnsi="Times New Roman"/>
                <w:color w:val="auto"/>
                <w:lang w:eastAsia="pl-PL"/>
              </w:rPr>
              <w:t>27 341</w:t>
            </w:r>
          </w:p>
        </w:tc>
      </w:tr>
      <w:tr w:rsidR="0071316B" w:rsidRPr="0071316B" w14:paraId="60AC7C34" w14:textId="77777777" w:rsidTr="00AC738B">
        <w:trPr>
          <w:trHeight w:val="2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27852CA2"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3B0E1905" w14:textId="77777777" w:rsidR="00FC2614" w:rsidRPr="00522157" w:rsidRDefault="00FC2614" w:rsidP="00E86509">
            <w:pPr>
              <w:pStyle w:val="Akapitzlist"/>
              <w:numPr>
                <w:ilvl w:val="2"/>
                <w:numId w:val="319"/>
              </w:numPr>
              <w:spacing w:after="0" w:line="240" w:lineRule="auto"/>
              <w:ind w:left="42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22157">
              <w:rPr>
                <w:rFonts w:ascii="Times New Roman" w:eastAsia="Times New Roman" w:hAnsi="Times New Roman"/>
                <w:color w:val="auto"/>
                <w:lang w:eastAsia="pl-PL"/>
              </w:rPr>
              <w:t>Choroby tarczycy E00-E07</w:t>
            </w:r>
          </w:p>
        </w:tc>
        <w:tc>
          <w:tcPr>
            <w:tcW w:w="3973" w:type="dxa"/>
            <w:gridSpan w:val="2"/>
            <w:shd w:val="clear" w:color="auto" w:fill="FFFFFF" w:themeFill="background1"/>
          </w:tcPr>
          <w:p w14:paraId="26E2AA50"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eastAsia="Times New Roman" w:hAnsi="Times New Roman"/>
                <w:color w:val="auto"/>
                <w:lang w:eastAsia="pl-PL"/>
              </w:rPr>
              <w:t>31 698</w:t>
            </w:r>
          </w:p>
        </w:tc>
      </w:tr>
      <w:tr w:rsidR="0071316B" w:rsidRPr="0071316B" w14:paraId="4C7FDDF6" w14:textId="77777777" w:rsidTr="00AC738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425B91F"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463BB91F" w14:textId="77777777" w:rsidR="00FC2614" w:rsidRPr="00522157" w:rsidRDefault="00FC2614" w:rsidP="00E86509">
            <w:pPr>
              <w:pStyle w:val="Akapitzlist"/>
              <w:numPr>
                <w:ilvl w:val="2"/>
                <w:numId w:val="319"/>
              </w:numPr>
              <w:spacing w:after="0" w:line="240" w:lineRule="auto"/>
              <w:ind w:left="42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22157">
              <w:rPr>
                <w:rFonts w:ascii="Times New Roman" w:eastAsia="Times New Roman" w:hAnsi="Times New Roman"/>
                <w:color w:val="auto"/>
                <w:lang w:eastAsia="pl-PL"/>
              </w:rPr>
              <w:t>Cukrzyca  E10-E14</w:t>
            </w:r>
          </w:p>
        </w:tc>
        <w:tc>
          <w:tcPr>
            <w:tcW w:w="3973" w:type="dxa"/>
            <w:gridSpan w:val="2"/>
            <w:shd w:val="clear" w:color="auto" w:fill="FFFFFF" w:themeFill="background1"/>
          </w:tcPr>
          <w:p w14:paraId="7C39B273"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eastAsia="Times New Roman" w:hAnsi="Times New Roman"/>
                <w:color w:val="auto"/>
                <w:lang w:eastAsia="pl-PL"/>
              </w:rPr>
              <w:t>71 594</w:t>
            </w:r>
          </w:p>
        </w:tc>
      </w:tr>
      <w:tr w:rsidR="0071316B" w:rsidRPr="0071316B" w14:paraId="09ED0923" w14:textId="77777777" w:rsidTr="00AC738B">
        <w:trPr>
          <w:trHeight w:val="2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60730DB1"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38E12BA6" w14:textId="77777777" w:rsidR="00FC2614" w:rsidRPr="00522157"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22157">
              <w:rPr>
                <w:rFonts w:ascii="Times New Roman" w:eastAsia="Times New Roman" w:hAnsi="Times New Roman"/>
                <w:color w:val="auto"/>
                <w:lang w:eastAsia="pl-PL"/>
              </w:rPr>
              <w:t xml:space="preserve"> w tym leczeni insuliną</w:t>
            </w:r>
          </w:p>
        </w:tc>
        <w:tc>
          <w:tcPr>
            <w:tcW w:w="3973" w:type="dxa"/>
            <w:gridSpan w:val="2"/>
            <w:shd w:val="clear" w:color="auto" w:fill="FFFFFF" w:themeFill="background1"/>
          </w:tcPr>
          <w:p w14:paraId="31544BCF"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eastAsia="Times New Roman" w:hAnsi="Times New Roman"/>
                <w:color w:val="auto"/>
                <w:lang w:eastAsia="pl-PL"/>
              </w:rPr>
              <w:t>11 810</w:t>
            </w:r>
          </w:p>
        </w:tc>
      </w:tr>
      <w:tr w:rsidR="00AC738B" w:rsidRPr="0071316B" w14:paraId="69593939" w14:textId="77777777" w:rsidTr="00AC738B">
        <w:trPr>
          <w:cnfStyle w:val="000000100000" w:firstRow="0" w:lastRow="0" w:firstColumn="0" w:lastColumn="0" w:oddVBand="0" w:evenVBand="0" w:oddHBand="1"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65843B62" w14:textId="69584914" w:rsidR="00AC738B" w:rsidRPr="0071316B" w:rsidRDefault="00AC738B" w:rsidP="00E86509">
            <w:pPr>
              <w:spacing w:after="0" w:line="240" w:lineRule="auto"/>
              <w:rPr>
                <w:rFonts w:ascii="Times New Roman" w:hAnsi="Times New Roman"/>
                <w:b w:val="0"/>
                <w:color w:val="auto"/>
                <w:lang w:eastAsia="pl-PL"/>
              </w:rPr>
            </w:pPr>
            <w:r w:rsidRPr="0071316B">
              <w:rPr>
                <w:rFonts w:ascii="Times New Roman" w:hAnsi="Times New Roman"/>
                <w:color w:val="auto"/>
                <w:lang w:eastAsia="pl-PL"/>
              </w:rPr>
              <w:t>Liczba osób starszych objętych czynną opieką lekarza POZ</w:t>
            </w:r>
            <w:r>
              <w:rPr>
                <w:rStyle w:val="Odwoanieprzypisudolnego"/>
                <w:rFonts w:ascii="Times New Roman" w:hAnsi="Times New Roman"/>
                <w:color w:val="auto"/>
                <w:lang w:eastAsia="pl-PL"/>
              </w:rPr>
              <w:footnoteReference w:id="118"/>
            </w:r>
          </w:p>
        </w:tc>
        <w:tc>
          <w:tcPr>
            <w:tcW w:w="7936" w:type="dxa"/>
            <w:gridSpan w:val="6"/>
            <w:shd w:val="clear" w:color="auto" w:fill="FFFFFF" w:themeFill="background1"/>
          </w:tcPr>
          <w:p w14:paraId="3E57D99B" w14:textId="1BC0A564" w:rsidR="00AC738B" w:rsidRPr="00AC738B" w:rsidRDefault="00AC738B" w:rsidP="00AC738B">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lang w:eastAsia="pl-PL"/>
              </w:rPr>
            </w:pPr>
            <w:r w:rsidRPr="00AC738B">
              <w:rPr>
                <w:rFonts w:ascii="Times New Roman" w:eastAsia="Arial" w:hAnsi="Times New Roman"/>
                <w:color w:val="auto"/>
                <w:lang w:eastAsia="pl-PL"/>
              </w:rPr>
              <w:t xml:space="preserve">w wieku lat </w:t>
            </w:r>
            <w:r w:rsidRPr="00AC738B">
              <w:rPr>
                <w:rFonts w:ascii="Times New Roman" w:hAnsi="Times New Roman"/>
                <w:color w:val="auto"/>
                <w:lang w:eastAsia="pl-PL"/>
              </w:rPr>
              <w:t>55 – 64</w:t>
            </w:r>
          </w:p>
        </w:tc>
        <w:tc>
          <w:tcPr>
            <w:tcW w:w="3973" w:type="dxa"/>
            <w:gridSpan w:val="2"/>
            <w:shd w:val="clear" w:color="auto" w:fill="FFFFFF" w:themeFill="background1"/>
          </w:tcPr>
          <w:p w14:paraId="1CE71D3C" w14:textId="48C47AEF" w:rsidR="00AC738B" w:rsidRPr="00AC738B" w:rsidRDefault="00AC738B" w:rsidP="00AC738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C738B">
              <w:rPr>
                <w:rFonts w:ascii="Times New Roman" w:hAnsi="Times New Roman"/>
                <w:color w:val="auto"/>
              </w:rPr>
              <w:t>249 223</w:t>
            </w:r>
          </w:p>
        </w:tc>
      </w:tr>
      <w:tr w:rsidR="00AC738B" w:rsidRPr="0071316B" w14:paraId="05E3CFAB" w14:textId="77777777" w:rsidTr="00AC738B">
        <w:trPr>
          <w:trHeight w:val="3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1F800322" w14:textId="77777777" w:rsidR="00AC738B" w:rsidRPr="0071316B" w:rsidRDefault="00AC738B" w:rsidP="00E86509">
            <w:pPr>
              <w:spacing w:after="0" w:line="240" w:lineRule="auto"/>
              <w:rPr>
                <w:rFonts w:ascii="Times New Roman" w:hAnsi="Times New Roman"/>
                <w:lang w:eastAsia="pl-PL"/>
              </w:rPr>
            </w:pPr>
          </w:p>
        </w:tc>
        <w:tc>
          <w:tcPr>
            <w:tcW w:w="7936" w:type="dxa"/>
            <w:gridSpan w:val="6"/>
            <w:shd w:val="clear" w:color="auto" w:fill="FFFFFF" w:themeFill="background1"/>
          </w:tcPr>
          <w:p w14:paraId="0D04F5CA" w14:textId="7CE5CD2E" w:rsidR="00AC738B" w:rsidRPr="00AC738B" w:rsidRDefault="00AC738B" w:rsidP="00AC738B">
            <w:pPr>
              <w:spacing w:after="0"/>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olor w:val="auto"/>
                <w:lang w:eastAsia="pl-PL"/>
              </w:rPr>
            </w:pPr>
            <w:r w:rsidRPr="00AC738B">
              <w:rPr>
                <w:rFonts w:ascii="Times New Roman" w:eastAsia="Arial" w:hAnsi="Times New Roman"/>
                <w:color w:val="auto"/>
                <w:lang w:eastAsia="pl-PL"/>
              </w:rPr>
              <w:t xml:space="preserve">w wieku lat </w:t>
            </w:r>
            <w:r w:rsidRPr="00AC738B">
              <w:rPr>
                <w:rFonts w:ascii="Times New Roman" w:hAnsi="Times New Roman"/>
                <w:color w:val="auto"/>
                <w:lang w:eastAsia="pl-PL"/>
              </w:rPr>
              <w:t xml:space="preserve">65 +  </w:t>
            </w:r>
          </w:p>
        </w:tc>
        <w:tc>
          <w:tcPr>
            <w:tcW w:w="3973" w:type="dxa"/>
            <w:gridSpan w:val="2"/>
            <w:shd w:val="clear" w:color="auto" w:fill="FFFFFF" w:themeFill="background1"/>
          </w:tcPr>
          <w:p w14:paraId="1255EFF9" w14:textId="61528D01" w:rsidR="00AC738B" w:rsidRPr="00AC738B" w:rsidRDefault="00AC738B" w:rsidP="00AC738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C738B">
              <w:rPr>
                <w:rFonts w:ascii="Times New Roman" w:hAnsi="Times New Roman"/>
                <w:color w:val="auto"/>
              </w:rPr>
              <w:t>419 811</w:t>
            </w:r>
          </w:p>
        </w:tc>
      </w:tr>
      <w:tr w:rsidR="0071316B" w:rsidRPr="0071316B" w14:paraId="45621A39" w14:textId="77777777" w:rsidTr="00AC738B">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1EF522EA"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Najczęstsze przyczyny hospitalizacji osób starszych</w:t>
            </w:r>
            <w:r w:rsidRPr="0071316B">
              <w:rPr>
                <w:rStyle w:val="Odwoanieprzypisudolnego"/>
                <w:rFonts w:ascii="Times New Roman" w:hAnsi="Times New Roman"/>
                <w:color w:val="auto"/>
              </w:rPr>
              <w:footnoteReference w:id="119"/>
            </w:r>
          </w:p>
          <w:p w14:paraId="3D49315E" w14:textId="77777777" w:rsidR="00FC2614" w:rsidRPr="0071316B" w:rsidRDefault="00FC2614" w:rsidP="00E86509">
            <w:pPr>
              <w:autoSpaceDE w:val="0"/>
              <w:autoSpaceDN w:val="0"/>
              <w:adjustRightInd w:val="0"/>
              <w:spacing w:after="0" w:line="240" w:lineRule="auto"/>
              <w:rPr>
                <w:rFonts w:ascii="Times New Roman" w:hAnsi="Times New Roman"/>
                <w:i/>
                <w:iCs/>
                <w:color w:val="auto"/>
              </w:rPr>
            </w:pPr>
            <w:r w:rsidRPr="0071316B">
              <w:rPr>
                <w:rFonts w:ascii="Times New Roman" w:hAnsi="Times New Roman"/>
                <w:i/>
                <w:iCs/>
                <w:color w:val="auto"/>
              </w:rPr>
              <w:t>Społeczeństwo polskie jest populacją charakteryzującą się wzrostem odsetka osób w wieku sędziwym,</w:t>
            </w:r>
          </w:p>
          <w:p w14:paraId="3BF7AC21" w14:textId="77777777" w:rsidR="00FC2614" w:rsidRPr="0071316B" w:rsidRDefault="00FC2614" w:rsidP="00E86509">
            <w:pPr>
              <w:autoSpaceDE w:val="0"/>
              <w:autoSpaceDN w:val="0"/>
              <w:adjustRightInd w:val="0"/>
              <w:spacing w:after="0" w:line="240" w:lineRule="auto"/>
              <w:rPr>
                <w:rFonts w:ascii="Times New Roman" w:hAnsi="Times New Roman"/>
                <w:i/>
                <w:iCs/>
                <w:color w:val="auto"/>
              </w:rPr>
            </w:pPr>
            <w:r w:rsidRPr="0071316B">
              <w:rPr>
                <w:rFonts w:ascii="Times New Roman" w:hAnsi="Times New Roman"/>
                <w:i/>
                <w:iCs/>
                <w:color w:val="auto"/>
              </w:rPr>
              <w:t>czyli powyżej 90. roku życia. Konsekwencją tego zjawiska jest stale zwiększająca się liczba hospitalizacji tej grupy</w:t>
            </w:r>
          </w:p>
          <w:p w14:paraId="279344AF" w14:textId="77777777" w:rsidR="00FC2614" w:rsidRPr="0071316B" w:rsidRDefault="00FC2614" w:rsidP="00E86509">
            <w:pPr>
              <w:spacing w:after="0" w:line="240" w:lineRule="auto"/>
              <w:rPr>
                <w:rFonts w:ascii="Times New Roman" w:hAnsi="Times New Roman"/>
                <w:b w:val="0"/>
                <w:color w:val="auto"/>
                <w:lang w:eastAsia="pl-PL"/>
              </w:rPr>
            </w:pPr>
            <w:r w:rsidRPr="0071316B">
              <w:rPr>
                <w:rFonts w:ascii="Times New Roman" w:hAnsi="Times New Roman"/>
                <w:i/>
                <w:iCs/>
                <w:color w:val="auto"/>
              </w:rPr>
              <w:t>wiekowej na oddziałach wewnętrznych, kardiologicznych i neurologicznych.</w:t>
            </w:r>
          </w:p>
        </w:tc>
        <w:tc>
          <w:tcPr>
            <w:tcW w:w="7936" w:type="dxa"/>
            <w:gridSpan w:val="6"/>
            <w:shd w:val="clear" w:color="auto" w:fill="9CC2E5" w:themeFill="accent1" w:themeFillTint="99"/>
          </w:tcPr>
          <w:p w14:paraId="57BEA71E"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Przyczyna</w:t>
            </w:r>
          </w:p>
        </w:tc>
        <w:tc>
          <w:tcPr>
            <w:tcW w:w="3973" w:type="dxa"/>
            <w:gridSpan w:val="2"/>
            <w:shd w:val="clear" w:color="auto" w:fill="9CC2E5" w:themeFill="accent1" w:themeFillTint="99"/>
          </w:tcPr>
          <w:p w14:paraId="481E16EB"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 xml:space="preserve">Liczba osób starszych </w:t>
            </w:r>
            <w:r w:rsidRPr="0071316B">
              <w:rPr>
                <w:rFonts w:ascii="Times New Roman" w:hAnsi="Times New Roman"/>
                <w:color w:val="auto"/>
              </w:rPr>
              <w:t>(dane dot. osób sędziwych czyli 90+) brak danych  w podziale na województwa i przedziały wiekowe</w:t>
            </w:r>
          </w:p>
        </w:tc>
      </w:tr>
      <w:tr w:rsidR="0071316B" w:rsidRPr="0071316B" w14:paraId="199D1F1B" w14:textId="77777777" w:rsidTr="00AC738B">
        <w:trPr>
          <w:trHeight w:val="2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F94E947"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6EC62A32"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b/>
                <w:color w:val="auto"/>
              </w:rPr>
              <w:t>1</w:t>
            </w:r>
            <w:r w:rsidRPr="0071316B">
              <w:rPr>
                <w:rFonts w:ascii="Times New Roman" w:hAnsi="Times New Roman"/>
                <w:color w:val="auto"/>
              </w:rPr>
              <w:t>.Choroba układu sercowo - naczyniowego</w:t>
            </w:r>
          </w:p>
        </w:tc>
        <w:tc>
          <w:tcPr>
            <w:tcW w:w="3973" w:type="dxa"/>
            <w:gridSpan w:val="2"/>
            <w:shd w:val="clear" w:color="auto" w:fill="FFFFFF" w:themeFill="background1"/>
          </w:tcPr>
          <w:p w14:paraId="434DC576"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50%</w:t>
            </w:r>
          </w:p>
        </w:tc>
      </w:tr>
      <w:tr w:rsidR="0071316B" w:rsidRPr="0071316B" w14:paraId="254AB109" w14:textId="77777777" w:rsidTr="00AC738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3BBEFD1D"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2901251E"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b/>
                <w:color w:val="auto"/>
              </w:rPr>
              <w:t>2</w:t>
            </w:r>
            <w:r w:rsidRPr="0071316B">
              <w:rPr>
                <w:rFonts w:ascii="Times New Roman" w:hAnsi="Times New Roman"/>
                <w:color w:val="auto"/>
              </w:rPr>
              <w:t>.Zapalenie płuc</w:t>
            </w:r>
          </w:p>
        </w:tc>
        <w:tc>
          <w:tcPr>
            <w:tcW w:w="3973" w:type="dxa"/>
            <w:gridSpan w:val="2"/>
            <w:shd w:val="clear" w:color="auto" w:fill="FFFFFF" w:themeFill="background1"/>
          </w:tcPr>
          <w:p w14:paraId="2BF9B2BC"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31,25%</w:t>
            </w:r>
          </w:p>
        </w:tc>
      </w:tr>
      <w:tr w:rsidR="0071316B" w:rsidRPr="0071316B" w14:paraId="4C9648B3" w14:textId="77777777" w:rsidTr="00AC738B">
        <w:trPr>
          <w:trHeight w:val="2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3D767ED6"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05ECA60C"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b/>
                <w:color w:val="auto"/>
              </w:rPr>
              <w:t>3</w:t>
            </w:r>
            <w:r w:rsidRPr="0071316B">
              <w:rPr>
                <w:rFonts w:ascii="Times New Roman" w:hAnsi="Times New Roman"/>
                <w:color w:val="auto"/>
              </w:rPr>
              <w:t>.Odwodnienie (zaburzenia elektrolitowe)</w:t>
            </w:r>
          </w:p>
        </w:tc>
        <w:tc>
          <w:tcPr>
            <w:tcW w:w="3973" w:type="dxa"/>
            <w:gridSpan w:val="2"/>
            <w:shd w:val="clear" w:color="auto" w:fill="FFFFFF" w:themeFill="background1"/>
          </w:tcPr>
          <w:p w14:paraId="62AAC6B7"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30%</w:t>
            </w:r>
          </w:p>
        </w:tc>
      </w:tr>
      <w:tr w:rsidR="0071316B" w:rsidRPr="0071316B" w14:paraId="0426D804" w14:textId="77777777" w:rsidTr="00AC738B">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3C6FDC49"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2A62AD85"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b/>
                <w:color w:val="auto"/>
              </w:rPr>
              <w:t>4</w:t>
            </w:r>
            <w:r w:rsidRPr="0071316B">
              <w:rPr>
                <w:rFonts w:ascii="Times New Roman" w:hAnsi="Times New Roman"/>
                <w:color w:val="auto"/>
              </w:rPr>
              <w:t xml:space="preserve">.Infekcja dróg moczowych </w:t>
            </w:r>
          </w:p>
        </w:tc>
        <w:tc>
          <w:tcPr>
            <w:tcW w:w="3973" w:type="dxa"/>
            <w:gridSpan w:val="2"/>
            <w:shd w:val="clear" w:color="auto" w:fill="FFFFFF" w:themeFill="background1"/>
          </w:tcPr>
          <w:p w14:paraId="26A7885B"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18.75%</w:t>
            </w:r>
          </w:p>
        </w:tc>
      </w:tr>
      <w:tr w:rsidR="0071316B" w:rsidRPr="0071316B" w14:paraId="2F272824" w14:textId="77777777" w:rsidTr="00AC738B">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6139B378"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7DA6EE43"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D60BEA">
              <w:rPr>
                <w:rFonts w:ascii="Times New Roman" w:hAnsi="Times New Roman"/>
                <w:b/>
                <w:color w:val="auto"/>
              </w:rPr>
              <w:t>5</w:t>
            </w:r>
            <w:r w:rsidRPr="0071316B">
              <w:rPr>
                <w:rFonts w:ascii="Times New Roman" w:hAnsi="Times New Roman"/>
                <w:color w:val="auto"/>
              </w:rPr>
              <w:t xml:space="preserve">.Rozchwiana cukrzyca </w:t>
            </w:r>
          </w:p>
          <w:p w14:paraId="080F8138"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tc>
        <w:tc>
          <w:tcPr>
            <w:tcW w:w="3973" w:type="dxa"/>
            <w:gridSpan w:val="2"/>
            <w:shd w:val="clear" w:color="auto" w:fill="FFFFFF" w:themeFill="background1"/>
          </w:tcPr>
          <w:p w14:paraId="55DD0501"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6,28%</w:t>
            </w:r>
          </w:p>
          <w:p w14:paraId="1B15D207"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tc>
      </w:tr>
      <w:tr w:rsidR="0071316B" w:rsidRPr="0071316B" w14:paraId="74DCB7D6"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0C3BBF81" w14:textId="77777777" w:rsidR="00FC2614" w:rsidRPr="0071316B" w:rsidRDefault="00FC2614" w:rsidP="00E86509">
            <w:pPr>
              <w:spacing w:after="0" w:line="240" w:lineRule="auto"/>
              <w:rPr>
                <w:rFonts w:ascii="Times New Roman" w:hAnsi="Times New Roman"/>
                <w:b w:val="0"/>
                <w:bCs w:val="0"/>
                <w:color w:val="auto"/>
              </w:rPr>
            </w:pPr>
            <w:r w:rsidRPr="0071316B">
              <w:rPr>
                <w:rFonts w:ascii="Times New Roman" w:hAnsi="Times New Roman"/>
                <w:color w:val="auto"/>
                <w:lang w:eastAsia="pl-PL"/>
              </w:rPr>
              <w:t>Infrastruktura służby zdrowia</w:t>
            </w:r>
            <w:r w:rsidRPr="0071316B">
              <w:rPr>
                <w:rStyle w:val="Odwoanieprzypisudolnego"/>
                <w:rFonts w:ascii="Times New Roman" w:hAnsi="Times New Roman"/>
                <w:color w:val="auto"/>
              </w:rPr>
              <w:footnoteReference w:id="120"/>
            </w:r>
          </w:p>
        </w:tc>
        <w:tc>
          <w:tcPr>
            <w:tcW w:w="3968" w:type="dxa"/>
            <w:gridSpan w:val="3"/>
            <w:shd w:val="clear" w:color="auto" w:fill="9CC2E5" w:themeFill="accent1" w:themeFillTint="99"/>
          </w:tcPr>
          <w:p w14:paraId="6B2E63D8"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71316B">
              <w:rPr>
                <w:rFonts w:ascii="Times New Roman" w:hAnsi="Times New Roman"/>
                <w:b/>
                <w:color w:val="auto"/>
              </w:rPr>
              <w:t>Rodzaj placówki</w:t>
            </w:r>
          </w:p>
        </w:tc>
        <w:tc>
          <w:tcPr>
            <w:tcW w:w="3968" w:type="dxa"/>
            <w:gridSpan w:val="3"/>
            <w:shd w:val="clear" w:color="auto" w:fill="9CC2E5" w:themeFill="accent1" w:themeFillTint="99"/>
          </w:tcPr>
          <w:p w14:paraId="6DB94735"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 placówek</w:t>
            </w:r>
          </w:p>
        </w:tc>
        <w:tc>
          <w:tcPr>
            <w:tcW w:w="3973" w:type="dxa"/>
            <w:gridSpan w:val="2"/>
            <w:shd w:val="clear" w:color="auto" w:fill="9CC2E5" w:themeFill="accent1" w:themeFillTint="99"/>
          </w:tcPr>
          <w:p w14:paraId="77EDB243"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 łóżek dla osób starszych</w:t>
            </w:r>
          </w:p>
        </w:tc>
      </w:tr>
      <w:tr w:rsidR="0071316B" w:rsidRPr="0071316B" w14:paraId="1F3FD525" w14:textId="77777777" w:rsidTr="00AC738B">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285848D" w14:textId="77777777" w:rsidR="00FC2614" w:rsidRPr="0071316B" w:rsidRDefault="00FC2614" w:rsidP="00E86509">
            <w:pPr>
              <w:spacing w:after="0" w:line="240" w:lineRule="auto"/>
              <w:rPr>
                <w:rFonts w:ascii="Times New Roman" w:hAnsi="Times New Roman"/>
                <w:color w:val="auto"/>
                <w:lang w:eastAsia="pl-PL"/>
              </w:rPr>
            </w:pPr>
          </w:p>
        </w:tc>
        <w:tc>
          <w:tcPr>
            <w:tcW w:w="3968" w:type="dxa"/>
            <w:gridSpan w:val="3"/>
            <w:shd w:val="clear" w:color="auto" w:fill="FFFFFF" w:themeFill="background1"/>
          </w:tcPr>
          <w:p w14:paraId="673B0025"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Oddziałów / pododdziałów geriatrycznych</w:t>
            </w:r>
          </w:p>
        </w:tc>
        <w:tc>
          <w:tcPr>
            <w:tcW w:w="3968" w:type="dxa"/>
            <w:gridSpan w:val="3"/>
            <w:shd w:val="clear" w:color="auto" w:fill="FFFFFF" w:themeFill="background1"/>
          </w:tcPr>
          <w:p w14:paraId="5D816CFF"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w:t>
            </w:r>
          </w:p>
        </w:tc>
        <w:tc>
          <w:tcPr>
            <w:tcW w:w="3973" w:type="dxa"/>
            <w:gridSpan w:val="2"/>
            <w:shd w:val="clear" w:color="auto" w:fill="FFFFFF" w:themeFill="background1"/>
          </w:tcPr>
          <w:p w14:paraId="493F5F82"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118</w:t>
            </w:r>
          </w:p>
        </w:tc>
      </w:tr>
      <w:tr w:rsidR="0071316B" w:rsidRPr="0071316B" w14:paraId="2FAA1B2D"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6EE0BAE4" w14:textId="77777777" w:rsidR="00FC2614" w:rsidRPr="0071316B" w:rsidRDefault="00FC2614" w:rsidP="00E86509">
            <w:pPr>
              <w:spacing w:after="0" w:line="240" w:lineRule="auto"/>
              <w:rPr>
                <w:rFonts w:ascii="Times New Roman" w:hAnsi="Times New Roman"/>
                <w:color w:val="auto"/>
                <w:lang w:eastAsia="pl-PL"/>
              </w:rPr>
            </w:pPr>
          </w:p>
        </w:tc>
        <w:tc>
          <w:tcPr>
            <w:tcW w:w="3968" w:type="dxa"/>
            <w:gridSpan w:val="3"/>
            <w:shd w:val="clear" w:color="auto" w:fill="FFFFFF" w:themeFill="background1"/>
          </w:tcPr>
          <w:p w14:paraId="3E6E9D7C"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Poradni geriatrycznych</w:t>
            </w:r>
          </w:p>
        </w:tc>
        <w:tc>
          <w:tcPr>
            <w:tcW w:w="3968" w:type="dxa"/>
            <w:gridSpan w:val="3"/>
            <w:shd w:val="clear" w:color="auto" w:fill="FFFFFF" w:themeFill="background1"/>
          </w:tcPr>
          <w:p w14:paraId="349C842D"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55</w:t>
            </w:r>
          </w:p>
        </w:tc>
        <w:tc>
          <w:tcPr>
            <w:tcW w:w="3973" w:type="dxa"/>
            <w:gridSpan w:val="2"/>
            <w:shd w:val="clear" w:color="auto" w:fill="FFFFFF" w:themeFill="background1"/>
          </w:tcPr>
          <w:p w14:paraId="73877BED"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trike/>
                <w:color w:val="auto"/>
              </w:rPr>
            </w:pPr>
            <w:r w:rsidRPr="0071316B">
              <w:rPr>
                <w:rFonts w:ascii="Times New Roman" w:hAnsi="Times New Roman"/>
                <w:strike/>
                <w:color w:val="auto"/>
              </w:rPr>
              <w:t>-</w:t>
            </w:r>
          </w:p>
        </w:tc>
      </w:tr>
      <w:tr w:rsidR="0071316B" w:rsidRPr="0071316B" w14:paraId="5CF38EA7" w14:textId="77777777" w:rsidTr="00AC738B">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2BE14C5D" w14:textId="77777777" w:rsidR="00FC2614" w:rsidRPr="0071316B" w:rsidRDefault="00FC2614" w:rsidP="00E86509">
            <w:pPr>
              <w:spacing w:after="0" w:line="240" w:lineRule="auto"/>
              <w:rPr>
                <w:rFonts w:ascii="Times New Roman" w:hAnsi="Times New Roman"/>
                <w:color w:val="auto"/>
                <w:lang w:eastAsia="pl-PL"/>
              </w:rPr>
            </w:pPr>
          </w:p>
        </w:tc>
        <w:tc>
          <w:tcPr>
            <w:tcW w:w="3968" w:type="dxa"/>
            <w:gridSpan w:val="3"/>
            <w:shd w:val="clear" w:color="auto" w:fill="FFFFFF" w:themeFill="background1"/>
          </w:tcPr>
          <w:p w14:paraId="7D3B5C68"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Zakładów opiekuńczo-leczniczych</w:t>
            </w:r>
          </w:p>
        </w:tc>
        <w:tc>
          <w:tcPr>
            <w:tcW w:w="3968" w:type="dxa"/>
            <w:gridSpan w:val="3"/>
            <w:shd w:val="clear" w:color="auto" w:fill="FFFFFF" w:themeFill="background1"/>
          </w:tcPr>
          <w:p w14:paraId="6954ECB4"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38</w:t>
            </w:r>
          </w:p>
        </w:tc>
        <w:tc>
          <w:tcPr>
            <w:tcW w:w="3973" w:type="dxa"/>
            <w:gridSpan w:val="2"/>
            <w:shd w:val="clear" w:color="auto" w:fill="FFFFFF" w:themeFill="background1"/>
          </w:tcPr>
          <w:p w14:paraId="7A099705"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3 017</w:t>
            </w:r>
          </w:p>
        </w:tc>
      </w:tr>
      <w:tr w:rsidR="0071316B" w:rsidRPr="0071316B" w14:paraId="5678B3CF"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06B495FB" w14:textId="77777777" w:rsidR="00FC2614" w:rsidRPr="0071316B" w:rsidRDefault="00FC2614" w:rsidP="00E86509">
            <w:pPr>
              <w:spacing w:after="0" w:line="240" w:lineRule="auto"/>
              <w:rPr>
                <w:rFonts w:ascii="Times New Roman" w:hAnsi="Times New Roman"/>
                <w:color w:val="auto"/>
                <w:lang w:eastAsia="pl-PL"/>
              </w:rPr>
            </w:pPr>
          </w:p>
        </w:tc>
        <w:tc>
          <w:tcPr>
            <w:tcW w:w="3968" w:type="dxa"/>
            <w:gridSpan w:val="3"/>
            <w:shd w:val="clear" w:color="auto" w:fill="FFFFFF" w:themeFill="background1"/>
          </w:tcPr>
          <w:p w14:paraId="58EA7495"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Zakładów pielęgnacyjno-opiekuńczych</w:t>
            </w:r>
          </w:p>
        </w:tc>
        <w:tc>
          <w:tcPr>
            <w:tcW w:w="3968" w:type="dxa"/>
            <w:gridSpan w:val="3"/>
            <w:shd w:val="clear" w:color="auto" w:fill="FFFFFF" w:themeFill="background1"/>
          </w:tcPr>
          <w:p w14:paraId="35874D06"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w:t>
            </w:r>
          </w:p>
        </w:tc>
        <w:tc>
          <w:tcPr>
            <w:tcW w:w="3973" w:type="dxa"/>
            <w:gridSpan w:val="2"/>
            <w:shd w:val="clear" w:color="auto" w:fill="FFFFFF" w:themeFill="background1"/>
          </w:tcPr>
          <w:p w14:paraId="22A2B14E"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110</w:t>
            </w:r>
          </w:p>
        </w:tc>
      </w:tr>
      <w:tr w:rsidR="0071316B" w:rsidRPr="0071316B" w14:paraId="489143B7" w14:textId="77777777" w:rsidTr="00AC738B">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6F96E80F" w14:textId="77777777" w:rsidR="00FC2614" w:rsidRPr="0071316B" w:rsidRDefault="00FC2614" w:rsidP="00E86509">
            <w:pPr>
              <w:spacing w:after="0" w:line="240" w:lineRule="auto"/>
              <w:rPr>
                <w:rFonts w:ascii="Times New Roman" w:hAnsi="Times New Roman"/>
                <w:color w:val="auto"/>
                <w:lang w:eastAsia="pl-PL"/>
              </w:rPr>
            </w:pPr>
          </w:p>
        </w:tc>
        <w:tc>
          <w:tcPr>
            <w:tcW w:w="3968" w:type="dxa"/>
            <w:gridSpan w:val="3"/>
            <w:shd w:val="clear" w:color="auto" w:fill="FFFFFF" w:themeFill="background1"/>
          </w:tcPr>
          <w:p w14:paraId="0B517BD1"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Hospicjów stacjonarnych</w:t>
            </w:r>
          </w:p>
        </w:tc>
        <w:tc>
          <w:tcPr>
            <w:tcW w:w="3968" w:type="dxa"/>
            <w:gridSpan w:val="3"/>
            <w:shd w:val="clear" w:color="auto" w:fill="FFFFFF" w:themeFill="background1"/>
          </w:tcPr>
          <w:p w14:paraId="5007B7D9"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8</w:t>
            </w:r>
          </w:p>
        </w:tc>
        <w:tc>
          <w:tcPr>
            <w:tcW w:w="3973" w:type="dxa"/>
            <w:gridSpan w:val="2"/>
            <w:shd w:val="clear" w:color="auto" w:fill="FFFFFF" w:themeFill="background1"/>
          </w:tcPr>
          <w:p w14:paraId="5324DF24"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228</w:t>
            </w:r>
          </w:p>
        </w:tc>
      </w:tr>
      <w:tr w:rsidR="0071316B" w:rsidRPr="0071316B" w14:paraId="7A8ED551"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07DFA2F1" w14:textId="77777777" w:rsidR="00FC2614" w:rsidRPr="0071316B" w:rsidRDefault="00FC2614" w:rsidP="00E86509">
            <w:pPr>
              <w:spacing w:after="0" w:line="240" w:lineRule="auto"/>
              <w:rPr>
                <w:rFonts w:ascii="Times New Roman" w:hAnsi="Times New Roman"/>
                <w:color w:val="auto"/>
                <w:lang w:eastAsia="pl-PL"/>
              </w:rPr>
            </w:pPr>
          </w:p>
        </w:tc>
        <w:tc>
          <w:tcPr>
            <w:tcW w:w="3968" w:type="dxa"/>
            <w:gridSpan w:val="3"/>
            <w:shd w:val="clear" w:color="auto" w:fill="FFFFFF" w:themeFill="background1"/>
          </w:tcPr>
          <w:p w14:paraId="297ABAC3"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Hospicjów domowych</w:t>
            </w:r>
          </w:p>
        </w:tc>
        <w:tc>
          <w:tcPr>
            <w:tcW w:w="3968" w:type="dxa"/>
            <w:gridSpan w:val="3"/>
            <w:shd w:val="clear" w:color="auto" w:fill="FFFFFF" w:themeFill="background1"/>
          </w:tcPr>
          <w:p w14:paraId="645BA20E"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49</w:t>
            </w:r>
          </w:p>
        </w:tc>
        <w:tc>
          <w:tcPr>
            <w:tcW w:w="3973" w:type="dxa"/>
            <w:gridSpan w:val="2"/>
            <w:shd w:val="clear" w:color="auto" w:fill="FFFFFF" w:themeFill="background1"/>
          </w:tcPr>
          <w:p w14:paraId="2A64DD69"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t>
            </w:r>
          </w:p>
        </w:tc>
      </w:tr>
      <w:tr w:rsidR="0071316B" w:rsidRPr="0071316B" w14:paraId="526E0D93" w14:textId="77777777" w:rsidTr="00AC738B">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49A6BE7" w14:textId="77777777" w:rsidR="00FC2614" w:rsidRPr="0071316B" w:rsidRDefault="00FC2614" w:rsidP="00E86509">
            <w:pPr>
              <w:spacing w:after="0" w:line="240" w:lineRule="auto"/>
              <w:rPr>
                <w:rFonts w:ascii="Times New Roman" w:hAnsi="Times New Roman"/>
                <w:color w:val="auto"/>
                <w:lang w:eastAsia="pl-PL"/>
              </w:rPr>
            </w:pPr>
          </w:p>
        </w:tc>
        <w:tc>
          <w:tcPr>
            <w:tcW w:w="3968" w:type="dxa"/>
            <w:gridSpan w:val="3"/>
            <w:shd w:val="clear" w:color="auto" w:fill="FFFFFF" w:themeFill="background1"/>
          </w:tcPr>
          <w:p w14:paraId="432A50EA"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Oddziałów opieki paliatywnej</w:t>
            </w:r>
          </w:p>
        </w:tc>
        <w:tc>
          <w:tcPr>
            <w:tcW w:w="3968" w:type="dxa"/>
            <w:gridSpan w:val="3"/>
            <w:shd w:val="clear" w:color="auto" w:fill="FFFFFF" w:themeFill="background1"/>
          </w:tcPr>
          <w:p w14:paraId="496EEC3C"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8</w:t>
            </w:r>
          </w:p>
        </w:tc>
        <w:tc>
          <w:tcPr>
            <w:tcW w:w="3973" w:type="dxa"/>
            <w:gridSpan w:val="2"/>
            <w:shd w:val="clear" w:color="auto" w:fill="FFFFFF" w:themeFill="background1"/>
          </w:tcPr>
          <w:p w14:paraId="3F69A1B9"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158</w:t>
            </w:r>
          </w:p>
        </w:tc>
      </w:tr>
      <w:tr w:rsidR="0071316B" w:rsidRPr="0071316B" w14:paraId="20030034"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630B924C" w14:textId="77777777" w:rsidR="00FC2614" w:rsidRPr="0071316B" w:rsidRDefault="00FC2614" w:rsidP="00E86509">
            <w:pPr>
              <w:tabs>
                <w:tab w:val="left" w:pos="1206"/>
              </w:tabs>
              <w:spacing w:after="0" w:line="240" w:lineRule="auto"/>
              <w:rPr>
                <w:rFonts w:ascii="Times New Roman" w:hAnsi="Times New Roman"/>
                <w:color w:val="auto"/>
              </w:rPr>
            </w:pPr>
            <w:r w:rsidRPr="0071316B">
              <w:rPr>
                <w:rFonts w:ascii="Times New Roman" w:hAnsi="Times New Roman"/>
                <w:color w:val="auto"/>
              </w:rPr>
              <w:t>Kadry medyczne</w:t>
            </w:r>
            <w:r w:rsidRPr="0071316B">
              <w:rPr>
                <w:rStyle w:val="Odwoanieprzypisudolnego"/>
                <w:rFonts w:ascii="Times New Roman" w:hAnsi="Times New Roman"/>
                <w:color w:val="auto"/>
              </w:rPr>
              <w:footnoteReference w:id="121"/>
            </w:r>
          </w:p>
          <w:p w14:paraId="4DF85BE7" w14:textId="77777777" w:rsidR="00FC2614" w:rsidRPr="0071316B" w:rsidRDefault="00FC2614" w:rsidP="00E86509">
            <w:pPr>
              <w:tabs>
                <w:tab w:val="left" w:pos="1206"/>
              </w:tabs>
              <w:spacing w:after="0" w:line="240" w:lineRule="auto"/>
              <w:rPr>
                <w:rFonts w:ascii="Times New Roman" w:hAnsi="Times New Roman"/>
                <w:color w:val="auto"/>
              </w:rPr>
            </w:pPr>
            <w:r w:rsidRPr="0071316B">
              <w:rPr>
                <w:rFonts w:ascii="Times New Roman" w:hAnsi="Times New Roman"/>
                <w:color w:val="auto"/>
              </w:rPr>
              <w:t xml:space="preserve"> </w:t>
            </w:r>
          </w:p>
        </w:tc>
        <w:tc>
          <w:tcPr>
            <w:tcW w:w="7936" w:type="dxa"/>
            <w:gridSpan w:val="6"/>
            <w:shd w:val="clear" w:color="auto" w:fill="9CC2E5" w:themeFill="accent1" w:themeFillTint="99"/>
          </w:tcPr>
          <w:p w14:paraId="4BEA9525" w14:textId="77777777" w:rsidR="00FC2614" w:rsidRPr="0071316B" w:rsidRDefault="00FC2614" w:rsidP="00E86509">
            <w:pPr>
              <w:tabs>
                <w:tab w:val="left" w:pos="120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Lekarze</w:t>
            </w:r>
          </w:p>
        </w:tc>
        <w:tc>
          <w:tcPr>
            <w:tcW w:w="3973" w:type="dxa"/>
            <w:gridSpan w:val="2"/>
            <w:shd w:val="clear" w:color="auto" w:fill="9CC2E5" w:themeFill="accent1" w:themeFillTint="99"/>
          </w:tcPr>
          <w:p w14:paraId="01687952"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 lekarzy</w:t>
            </w:r>
          </w:p>
        </w:tc>
      </w:tr>
      <w:tr w:rsidR="0071316B" w:rsidRPr="0071316B" w14:paraId="2CCA6D07" w14:textId="77777777" w:rsidTr="00AC738B">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2E2B9453"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58E5F36E" w14:textId="77777777" w:rsidR="00FC2614" w:rsidRPr="0071316B" w:rsidRDefault="00FC2614" w:rsidP="00E86509">
            <w:pPr>
              <w:tabs>
                <w:tab w:val="left" w:pos="120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Geriatrzy</w:t>
            </w:r>
          </w:p>
        </w:tc>
        <w:tc>
          <w:tcPr>
            <w:tcW w:w="3973" w:type="dxa"/>
            <w:gridSpan w:val="2"/>
            <w:shd w:val="clear" w:color="auto" w:fill="FFFFFF" w:themeFill="background1"/>
          </w:tcPr>
          <w:p w14:paraId="08B898CC"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64</w:t>
            </w:r>
          </w:p>
        </w:tc>
      </w:tr>
      <w:tr w:rsidR="0071316B" w:rsidRPr="0071316B" w14:paraId="7F1243AF"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6CC571BE"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6DA97BCF"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 trakcie specjalizacji z geriatrii</w:t>
            </w:r>
          </w:p>
        </w:tc>
        <w:tc>
          <w:tcPr>
            <w:tcW w:w="3973" w:type="dxa"/>
            <w:gridSpan w:val="2"/>
            <w:shd w:val="clear" w:color="auto" w:fill="FFFFFF" w:themeFill="background1"/>
          </w:tcPr>
          <w:p w14:paraId="19FFA2B9"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14</w:t>
            </w:r>
          </w:p>
        </w:tc>
      </w:tr>
      <w:tr w:rsidR="0071316B" w:rsidRPr="0071316B" w14:paraId="217E7977" w14:textId="77777777" w:rsidTr="00AC738B">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7ABB7E6A"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9CC2E5" w:themeFill="accent1" w:themeFillTint="99"/>
          </w:tcPr>
          <w:p w14:paraId="05EDB3CE"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 xml:space="preserve">Pielęgniarki ze specjalizacją lub ukończonym kursem kwalifikacyjnym </w:t>
            </w:r>
            <w:r w:rsidRPr="0071316B">
              <w:rPr>
                <w:rFonts w:ascii="Times New Roman" w:hAnsi="Times New Roman"/>
                <w:b/>
                <w:color w:val="auto"/>
              </w:rPr>
              <w:br/>
              <w:t>w zakresie</w:t>
            </w:r>
            <w:r w:rsidRPr="0071316B">
              <w:rPr>
                <w:rStyle w:val="Odwoanieprzypisudolnego"/>
                <w:rFonts w:ascii="Times New Roman" w:hAnsi="Times New Roman"/>
                <w:b/>
                <w:color w:val="auto"/>
              </w:rPr>
              <w:footnoteReference w:id="122"/>
            </w:r>
            <w:r w:rsidRPr="0071316B">
              <w:rPr>
                <w:rFonts w:ascii="Times New Roman" w:hAnsi="Times New Roman"/>
                <w:b/>
                <w:color w:val="auto"/>
              </w:rPr>
              <w:t>:</w:t>
            </w:r>
          </w:p>
        </w:tc>
        <w:tc>
          <w:tcPr>
            <w:tcW w:w="3973" w:type="dxa"/>
            <w:gridSpan w:val="2"/>
            <w:shd w:val="clear" w:color="auto" w:fill="9CC2E5" w:themeFill="accent1" w:themeFillTint="99"/>
          </w:tcPr>
          <w:p w14:paraId="0B178CBA"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 pielęgniarek</w:t>
            </w:r>
          </w:p>
        </w:tc>
      </w:tr>
      <w:tr w:rsidR="0071316B" w:rsidRPr="0071316B" w14:paraId="780FBBDB"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0C067F0F"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70451818"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Geriatrii</w:t>
            </w:r>
          </w:p>
        </w:tc>
        <w:tc>
          <w:tcPr>
            <w:tcW w:w="3973" w:type="dxa"/>
            <w:gridSpan w:val="2"/>
            <w:shd w:val="clear" w:color="auto" w:fill="FFFFFF" w:themeFill="background1"/>
          </w:tcPr>
          <w:p w14:paraId="25BA5305"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46</w:t>
            </w:r>
          </w:p>
        </w:tc>
      </w:tr>
      <w:tr w:rsidR="0071316B" w:rsidRPr="0071316B" w14:paraId="590B2C05" w14:textId="77777777" w:rsidTr="00AC738B">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0EA6C6FC"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2F2C5FEE"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Opieki długoterminowej</w:t>
            </w:r>
          </w:p>
        </w:tc>
        <w:tc>
          <w:tcPr>
            <w:tcW w:w="3973" w:type="dxa"/>
            <w:gridSpan w:val="2"/>
            <w:shd w:val="clear" w:color="auto" w:fill="FFFFFF" w:themeFill="background1"/>
          </w:tcPr>
          <w:p w14:paraId="5468F1A5"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98</w:t>
            </w:r>
          </w:p>
        </w:tc>
      </w:tr>
      <w:tr w:rsidR="0071316B" w:rsidRPr="0071316B" w14:paraId="6BD8BB7A"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1CA496EF"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713EFD80"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Opieki paliatywnej</w:t>
            </w:r>
          </w:p>
        </w:tc>
        <w:tc>
          <w:tcPr>
            <w:tcW w:w="3973" w:type="dxa"/>
            <w:gridSpan w:val="2"/>
            <w:shd w:val="clear" w:color="auto" w:fill="FFFFFF" w:themeFill="background1"/>
          </w:tcPr>
          <w:p w14:paraId="18901DED"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65</w:t>
            </w:r>
          </w:p>
        </w:tc>
      </w:tr>
      <w:tr w:rsidR="0071316B" w:rsidRPr="0071316B" w14:paraId="5FDF3B09" w14:textId="77777777" w:rsidTr="00AC738B">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749D21DE"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Najczęstsze przyczyny zgonów osób starszych</w:t>
            </w:r>
            <w:r w:rsidRPr="0071316B">
              <w:rPr>
                <w:rStyle w:val="Odwoanieprzypisudolnego"/>
                <w:rFonts w:ascii="Times New Roman" w:hAnsi="Times New Roman"/>
                <w:color w:val="auto"/>
              </w:rPr>
              <w:footnoteReference w:id="123"/>
            </w:r>
          </w:p>
          <w:p w14:paraId="4B2926E0"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9CC2E5" w:themeFill="accent1" w:themeFillTint="99"/>
          </w:tcPr>
          <w:p w14:paraId="04C54881"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Nazwa</w:t>
            </w:r>
          </w:p>
        </w:tc>
        <w:tc>
          <w:tcPr>
            <w:tcW w:w="3973" w:type="dxa"/>
            <w:gridSpan w:val="2"/>
            <w:shd w:val="clear" w:color="auto" w:fill="9CC2E5" w:themeFill="accent1" w:themeFillTint="99"/>
          </w:tcPr>
          <w:p w14:paraId="1F7B2A46"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 osób starszych</w:t>
            </w:r>
            <w:r w:rsidRPr="0071316B">
              <w:rPr>
                <w:rStyle w:val="Odwoanieprzypisudolnego"/>
                <w:rFonts w:ascii="Times New Roman" w:hAnsi="Times New Roman"/>
                <w:b/>
                <w:color w:val="auto"/>
              </w:rPr>
              <w:footnoteReference w:id="124"/>
            </w:r>
          </w:p>
          <w:p w14:paraId="531175C0"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tc>
      </w:tr>
      <w:tr w:rsidR="0071316B" w:rsidRPr="0071316B" w14:paraId="55C3A43B"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11E8C4E1"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29D5A1D7"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22157">
              <w:rPr>
                <w:rFonts w:ascii="Times New Roman" w:hAnsi="Times New Roman"/>
                <w:b/>
                <w:color w:val="auto"/>
              </w:rPr>
              <w:t>1.</w:t>
            </w:r>
            <w:r w:rsidRPr="0071316B">
              <w:rPr>
                <w:rFonts w:ascii="Times New Roman" w:hAnsi="Times New Roman"/>
                <w:color w:val="auto"/>
              </w:rPr>
              <w:t xml:space="preserve">Choroby układu krążenia </w:t>
            </w:r>
          </w:p>
        </w:tc>
        <w:tc>
          <w:tcPr>
            <w:tcW w:w="3973" w:type="dxa"/>
            <w:gridSpan w:val="2"/>
            <w:shd w:val="clear" w:color="auto" w:fill="FFFFFF" w:themeFill="background1"/>
          </w:tcPr>
          <w:p w14:paraId="03AE6E21"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47%</w:t>
            </w:r>
          </w:p>
        </w:tc>
      </w:tr>
      <w:tr w:rsidR="0071316B" w:rsidRPr="0071316B" w14:paraId="32758A06" w14:textId="77777777" w:rsidTr="00AC738B">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4D8046C5"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4D27DD84"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22157">
              <w:rPr>
                <w:rFonts w:ascii="Times New Roman" w:hAnsi="Times New Roman"/>
                <w:b/>
                <w:color w:val="auto"/>
              </w:rPr>
              <w:t>2.</w:t>
            </w:r>
            <w:r w:rsidRPr="0071316B">
              <w:rPr>
                <w:rFonts w:ascii="Times New Roman" w:hAnsi="Times New Roman"/>
                <w:color w:val="auto"/>
              </w:rPr>
              <w:t xml:space="preserve">Choroby nowotworowe </w:t>
            </w:r>
          </w:p>
        </w:tc>
        <w:tc>
          <w:tcPr>
            <w:tcW w:w="3973" w:type="dxa"/>
            <w:gridSpan w:val="2"/>
            <w:shd w:val="clear" w:color="auto" w:fill="FFFFFF" w:themeFill="background1"/>
          </w:tcPr>
          <w:p w14:paraId="0D69E4A7"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26%</w:t>
            </w:r>
          </w:p>
        </w:tc>
      </w:tr>
      <w:tr w:rsidR="0071316B" w:rsidRPr="0071316B" w14:paraId="010FF89D" w14:textId="77777777" w:rsidTr="00AC73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623CDA39"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538CB8F0"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22157">
              <w:rPr>
                <w:rFonts w:ascii="Times New Roman" w:hAnsi="Times New Roman"/>
                <w:b/>
                <w:color w:val="auto"/>
              </w:rPr>
              <w:t>3</w:t>
            </w:r>
            <w:r w:rsidRPr="0071316B">
              <w:rPr>
                <w:rFonts w:ascii="Times New Roman" w:hAnsi="Times New Roman"/>
                <w:color w:val="auto"/>
              </w:rPr>
              <w:t xml:space="preserve">.Choroby układu oddechowego </w:t>
            </w:r>
          </w:p>
        </w:tc>
        <w:tc>
          <w:tcPr>
            <w:tcW w:w="3973" w:type="dxa"/>
            <w:gridSpan w:val="2"/>
            <w:shd w:val="clear" w:color="auto" w:fill="FFFFFF" w:themeFill="background1"/>
          </w:tcPr>
          <w:p w14:paraId="589FAF2B"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6%</w:t>
            </w:r>
          </w:p>
        </w:tc>
      </w:tr>
      <w:tr w:rsidR="0071316B" w:rsidRPr="0071316B" w14:paraId="0587CF08" w14:textId="77777777" w:rsidTr="00AC738B">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CC15967" w14:textId="77777777" w:rsidR="00FC2614" w:rsidRPr="0071316B" w:rsidRDefault="00FC2614" w:rsidP="00E86509">
            <w:pPr>
              <w:spacing w:after="0" w:line="240" w:lineRule="auto"/>
              <w:rPr>
                <w:rFonts w:ascii="Times New Roman" w:hAnsi="Times New Roman"/>
                <w:b w:val="0"/>
                <w:color w:val="auto"/>
                <w:lang w:eastAsia="pl-PL"/>
              </w:rPr>
            </w:pPr>
          </w:p>
        </w:tc>
        <w:tc>
          <w:tcPr>
            <w:tcW w:w="7936" w:type="dxa"/>
            <w:gridSpan w:val="6"/>
            <w:shd w:val="clear" w:color="auto" w:fill="FFFFFF" w:themeFill="background1"/>
          </w:tcPr>
          <w:p w14:paraId="008FB15E"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22157">
              <w:rPr>
                <w:rFonts w:ascii="Times New Roman" w:hAnsi="Times New Roman"/>
                <w:b/>
                <w:color w:val="auto"/>
              </w:rPr>
              <w:t>4.</w:t>
            </w:r>
            <w:r w:rsidRPr="0071316B">
              <w:rPr>
                <w:rFonts w:ascii="Times New Roman" w:hAnsi="Times New Roman"/>
                <w:color w:val="auto"/>
              </w:rPr>
              <w:t xml:space="preserve"> Pozostałe choroby</w:t>
            </w:r>
          </w:p>
        </w:tc>
        <w:tc>
          <w:tcPr>
            <w:tcW w:w="3973" w:type="dxa"/>
            <w:gridSpan w:val="2"/>
            <w:shd w:val="clear" w:color="auto" w:fill="FFFFFF" w:themeFill="background1"/>
          </w:tcPr>
          <w:p w14:paraId="23942623"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12%</w:t>
            </w:r>
          </w:p>
        </w:tc>
      </w:tr>
      <w:tr w:rsidR="0071316B" w:rsidRPr="0071316B" w14:paraId="609BCAF5" w14:textId="77777777" w:rsidTr="00AC738B">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461E1B5E" w14:textId="77777777" w:rsidR="00FC2614" w:rsidRPr="0071316B" w:rsidRDefault="00FC2614" w:rsidP="00E86509">
            <w:pPr>
              <w:spacing w:after="0" w:line="240" w:lineRule="auto"/>
              <w:rPr>
                <w:rFonts w:ascii="Times New Roman" w:hAnsi="Times New Roman"/>
                <w:b w:val="0"/>
                <w:color w:val="auto"/>
                <w:lang w:eastAsia="pl-PL"/>
              </w:rPr>
            </w:pPr>
            <w:r w:rsidRPr="0071316B">
              <w:rPr>
                <w:rFonts w:ascii="Times New Roman" w:hAnsi="Times New Roman"/>
                <w:color w:val="auto"/>
                <w:lang w:eastAsia="pl-PL"/>
              </w:rPr>
              <w:t xml:space="preserve">Największe problemy/niedogodności w </w:t>
            </w:r>
            <w:r w:rsidRPr="0071316B">
              <w:rPr>
                <w:rFonts w:ascii="Times New Roman" w:hAnsi="Times New Roman"/>
                <w:color w:val="auto"/>
                <w:lang w:eastAsia="pl-PL"/>
              </w:rPr>
              <w:lastRenderedPageBreak/>
              <w:t>świadczeniu opieki nad osobami starszymi (np. zasoby kadrowe, rzeczowe, finansowe itp.)</w:t>
            </w:r>
            <w:r w:rsidRPr="0071316B">
              <w:rPr>
                <w:rStyle w:val="Odwoanieprzypisudolnego"/>
                <w:rFonts w:ascii="Times New Roman" w:hAnsi="Times New Roman"/>
                <w:color w:val="auto"/>
              </w:rPr>
              <w:footnoteReference w:id="125"/>
            </w:r>
          </w:p>
        </w:tc>
        <w:tc>
          <w:tcPr>
            <w:tcW w:w="11909" w:type="dxa"/>
            <w:gridSpan w:val="8"/>
            <w:shd w:val="clear" w:color="auto" w:fill="FFFFFF" w:themeFill="background1"/>
          </w:tcPr>
          <w:p w14:paraId="0C0CC2DA" w14:textId="77777777" w:rsidR="00FC2614" w:rsidRPr="0071316B" w:rsidRDefault="00FC2614" w:rsidP="00E86509">
            <w:pPr>
              <w:tabs>
                <w:tab w:val="left" w:pos="1290"/>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22157">
              <w:rPr>
                <w:rFonts w:ascii="Times New Roman" w:hAnsi="Times New Roman"/>
                <w:b/>
                <w:color w:val="auto"/>
              </w:rPr>
              <w:lastRenderedPageBreak/>
              <w:t>1.</w:t>
            </w:r>
            <w:r w:rsidRPr="0071316B">
              <w:rPr>
                <w:rFonts w:ascii="Times New Roman" w:hAnsi="Times New Roman"/>
                <w:color w:val="auto"/>
              </w:rPr>
              <w:t xml:space="preserve">Brak poprawy finansowania geriatrii, powoduje, że nie powstają nowe oddziały w związku z tym jest niewystarczająca liczba miejsc. Powstaje zbyt długa kolejka oczekujących. Niezaspokojone potrzeby w zakresie opieki medycznej wynikają głównie z czasu </w:t>
            </w:r>
            <w:r w:rsidRPr="0071316B">
              <w:rPr>
                <w:rFonts w:ascii="Times New Roman" w:hAnsi="Times New Roman"/>
                <w:color w:val="auto"/>
              </w:rPr>
              <w:lastRenderedPageBreak/>
              <w:t xml:space="preserve">oczekiwania. Duże ograniczenia w ilości placówek psychiatrycznych dedykowanych seniorom – poradni psychogeriatrycznych, ZLŚ, oddziałów dziennych itp. </w:t>
            </w:r>
          </w:p>
        </w:tc>
      </w:tr>
      <w:tr w:rsidR="0071316B" w:rsidRPr="0071316B" w14:paraId="44B581DA" w14:textId="77777777" w:rsidTr="00AC738B">
        <w:trPr>
          <w:trHeight w:val="25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3C607D2" w14:textId="77777777" w:rsidR="00FC2614" w:rsidRPr="0071316B" w:rsidRDefault="00FC2614" w:rsidP="00E86509">
            <w:pPr>
              <w:spacing w:after="0" w:line="240" w:lineRule="auto"/>
              <w:rPr>
                <w:rFonts w:ascii="Times New Roman" w:hAnsi="Times New Roman"/>
                <w:b w:val="0"/>
                <w:color w:val="auto"/>
                <w:lang w:eastAsia="pl-PL"/>
              </w:rPr>
            </w:pPr>
          </w:p>
        </w:tc>
        <w:tc>
          <w:tcPr>
            <w:tcW w:w="11909" w:type="dxa"/>
            <w:gridSpan w:val="8"/>
            <w:shd w:val="clear" w:color="auto" w:fill="FFFFFF" w:themeFill="background1"/>
          </w:tcPr>
          <w:p w14:paraId="6F26F5ED"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522157">
              <w:rPr>
                <w:rFonts w:ascii="Times New Roman" w:hAnsi="Times New Roman"/>
                <w:b/>
                <w:color w:val="auto"/>
              </w:rPr>
              <w:t>2</w:t>
            </w:r>
            <w:r w:rsidRPr="0071316B">
              <w:rPr>
                <w:rFonts w:ascii="Times New Roman" w:hAnsi="Times New Roman"/>
                <w:color w:val="auto"/>
              </w:rPr>
              <w:t>.Oddziały geriatryczne są nierównomiernie  rozmieszczone w województwie. Tylko 3 poradnie geriatryczne są poza Krakowem.  W związku z tym pacjenci zwlekają z udaniem się po poradę.</w:t>
            </w:r>
          </w:p>
        </w:tc>
      </w:tr>
      <w:tr w:rsidR="0071316B" w:rsidRPr="0071316B" w14:paraId="4EE3FEAB" w14:textId="77777777" w:rsidTr="00AC738B">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024372AC" w14:textId="77777777" w:rsidR="00FC2614" w:rsidRPr="0071316B" w:rsidRDefault="00FC2614" w:rsidP="00E86509">
            <w:pPr>
              <w:spacing w:after="0" w:line="240" w:lineRule="auto"/>
              <w:rPr>
                <w:rFonts w:ascii="Times New Roman" w:hAnsi="Times New Roman"/>
                <w:b w:val="0"/>
                <w:color w:val="auto"/>
                <w:lang w:eastAsia="pl-PL"/>
              </w:rPr>
            </w:pPr>
          </w:p>
        </w:tc>
        <w:tc>
          <w:tcPr>
            <w:tcW w:w="11909" w:type="dxa"/>
            <w:gridSpan w:val="8"/>
          </w:tcPr>
          <w:p w14:paraId="7092E83A"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522157">
              <w:rPr>
                <w:rFonts w:ascii="Times New Roman" w:hAnsi="Times New Roman"/>
                <w:b/>
                <w:color w:val="auto"/>
              </w:rPr>
              <w:t>3.</w:t>
            </w:r>
            <w:r w:rsidRPr="0071316B">
              <w:rPr>
                <w:rFonts w:ascii="Times New Roman" w:hAnsi="Times New Roman"/>
                <w:color w:val="auto"/>
              </w:rPr>
              <w:t xml:space="preserve"> Brak środków finansowych osób starszych </w:t>
            </w:r>
            <w:r w:rsidRPr="0071316B">
              <w:rPr>
                <w:rFonts w:ascii="Times New Roman" w:hAnsi="Times New Roman"/>
                <w:i/>
                <w:color w:val="auto"/>
              </w:rPr>
              <w:t>(Nie było mnie na to stać, wizyta była zbyt droga lub nieobjęta ubezpieczeniem zdrowotnym</w:t>
            </w:r>
          </w:p>
        </w:tc>
      </w:tr>
      <w:tr w:rsidR="0071316B" w:rsidRPr="0071316B" w14:paraId="76563342"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14737" w:type="dxa"/>
            <w:gridSpan w:val="9"/>
            <w:shd w:val="clear" w:color="auto" w:fill="9CC2E5" w:themeFill="accent1" w:themeFillTint="99"/>
          </w:tcPr>
          <w:p w14:paraId="1BADD1CC" w14:textId="77777777" w:rsidR="00FC2614" w:rsidRPr="0071316B" w:rsidRDefault="00FC2614" w:rsidP="00E86509">
            <w:pPr>
              <w:spacing w:after="0" w:line="240" w:lineRule="auto"/>
              <w:jc w:val="center"/>
              <w:rPr>
                <w:rFonts w:ascii="Times New Roman" w:hAnsi="Times New Roman"/>
                <w:color w:val="auto"/>
              </w:rPr>
            </w:pPr>
            <w:r w:rsidRPr="0071316B">
              <w:rPr>
                <w:rFonts w:ascii="Times New Roman" w:hAnsi="Times New Roman"/>
                <w:color w:val="auto"/>
                <w:lang w:eastAsia="pl-PL"/>
              </w:rPr>
              <w:t>AKTYWNOŚĆ EKONOMICZNA OSÓB STARSZYCH – DANE ZA 2019 R.</w:t>
            </w:r>
            <w:r w:rsidRPr="0071316B">
              <w:rPr>
                <w:rStyle w:val="Odwoanieprzypisudolnego"/>
                <w:rFonts w:ascii="Times New Roman" w:hAnsi="Times New Roman"/>
                <w:color w:val="auto"/>
              </w:rPr>
              <w:footnoteReference w:id="126"/>
            </w:r>
          </w:p>
        </w:tc>
      </w:tr>
      <w:tr w:rsidR="0071316B" w:rsidRPr="0071316B" w14:paraId="54B51A39" w14:textId="77777777" w:rsidTr="00AC738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796" w:type="dxa"/>
            <w:gridSpan w:val="4"/>
            <w:shd w:val="clear" w:color="auto" w:fill="9CC2E5" w:themeFill="accent1" w:themeFillTint="99"/>
          </w:tcPr>
          <w:p w14:paraId="63F95500" w14:textId="77777777" w:rsidR="00FC2614" w:rsidRPr="0071316B" w:rsidRDefault="00FC2614" w:rsidP="00E86509">
            <w:pPr>
              <w:spacing w:after="0" w:line="240" w:lineRule="auto"/>
              <w:jc w:val="center"/>
              <w:rPr>
                <w:rFonts w:ascii="Times New Roman" w:hAnsi="Times New Roman"/>
                <w:color w:val="auto"/>
              </w:rPr>
            </w:pPr>
            <w:r w:rsidRPr="0071316B">
              <w:rPr>
                <w:rFonts w:ascii="Times New Roman" w:hAnsi="Times New Roman"/>
                <w:color w:val="auto"/>
              </w:rPr>
              <w:t>Podział</w:t>
            </w:r>
          </w:p>
        </w:tc>
        <w:tc>
          <w:tcPr>
            <w:tcW w:w="7941" w:type="dxa"/>
            <w:gridSpan w:val="5"/>
            <w:shd w:val="clear" w:color="auto" w:fill="9CC2E5" w:themeFill="accent1" w:themeFillTint="99"/>
          </w:tcPr>
          <w:p w14:paraId="6F3EBBBC"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w:t>
            </w:r>
          </w:p>
        </w:tc>
      </w:tr>
      <w:tr w:rsidR="0071316B" w:rsidRPr="0071316B" w14:paraId="6C2A9554" w14:textId="77777777" w:rsidTr="00AC738B">
        <w:trPr>
          <w:trHeight w:val="224"/>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42BBF185" w14:textId="77777777" w:rsidR="00FC2614" w:rsidRPr="0071316B" w:rsidRDefault="00FC2614" w:rsidP="00E86509">
            <w:pPr>
              <w:spacing w:after="0" w:line="240" w:lineRule="auto"/>
              <w:rPr>
                <w:rFonts w:ascii="Times New Roman" w:hAnsi="Times New Roman"/>
                <w:b w:val="0"/>
                <w:color w:val="auto"/>
                <w:lang w:eastAsia="pl-PL"/>
              </w:rPr>
            </w:pPr>
            <w:r w:rsidRPr="0071316B">
              <w:rPr>
                <w:rFonts w:ascii="Times New Roman" w:hAnsi="Times New Roman"/>
                <w:color w:val="auto"/>
                <w:lang w:eastAsia="pl-PL"/>
              </w:rPr>
              <w:t>Osoby aktywne zawodowo razem (w tys.)</w:t>
            </w:r>
          </w:p>
        </w:tc>
        <w:tc>
          <w:tcPr>
            <w:tcW w:w="3968" w:type="dxa"/>
            <w:gridSpan w:val="3"/>
            <w:shd w:val="clear" w:color="auto" w:fill="FFFFFF" w:themeFill="background1"/>
          </w:tcPr>
          <w:p w14:paraId="3F2D5BF9"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ogółem</w:t>
            </w:r>
          </w:p>
        </w:tc>
        <w:tc>
          <w:tcPr>
            <w:tcW w:w="7941" w:type="dxa"/>
            <w:gridSpan w:val="5"/>
            <w:shd w:val="clear" w:color="auto" w:fill="FFFFFF" w:themeFill="background1"/>
          </w:tcPr>
          <w:p w14:paraId="4A2E456F"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1 487</w:t>
            </w:r>
          </w:p>
        </w:tc>
      </w:tr>
      <w:tr w:rsidR="0071316B" w:rsidRPr="0071316B" w14:paraId="1CA9EEEE" w14:textId="77777777" w:rsidTr="00AC738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38AFA7D5" w14:textId="77777777" w:rsidR="00FC2614" w:rsidRPr="0071316B" w:rsidRDefault="00FC2614" w:rsidP="00E86509">
            <w:pPr>
              <w:spacing w:after="0" w:line="240" w:lineRule="auto"/>
              <w:rPr>
                <w:rFonts w:ascii="Times New Roman" w:hAnsi="Times New Roman"/>
                <w:b w:val="0"/>
                <w:color w:val="auto"/>
                <w:lang w:eastAsia="pl-PL"/>
              </w:rPr>
            </w:pPr>
          </w:p>
        </w:tc>
        <w:tc>
          <w:tcPr>
            <w:tcW w:w="3968" w:type="dxa"/>
            <w:gridSpan w:val="3"/>
            <w:shd w:val="clear" w:color="auto" w:fill="FFFFFF" w:themeFill="background1"/>
          </w:tcPr>
          <w:p w14:paraId="45C67B02"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(brak danych dla osób w wieku 60+)</w:t>
            </w:r>
          </w:p>
          <w:p w14:paraId="6A69D364"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 tym w wieku 55+</w:t>
            </w:r>
          </w:p>
          <w:p w14:paraId="78DF9118"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 tym w wieku 65+</w:t>
            </w:r>
          </w:p>
          <w:p w14:paraId="33CE49E5"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7941" w:type="dxa"/>
            <w:gridSpan w:val="5"/>
            <w:shd w:val="clear" w:color="auto" w:fill="FFFFFF" w:themeFill="background1"/>
          </w:tcPr>
          <w:p w14:paraId="0BF5998E"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68109B60"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228</w:t>
            </w:r>
          </w:p>
          <w:p w14:paraId="602593F4"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I kw. – 29; II kw. - 34; III kw. – 29; IV kw. - 24</w:t>
            </w:r>
          </w:p>
        </w:tc>
      </w:tr>
      <w:tr w:rsidR="0071316B" w:rsidRPr="0071316B" w14:paraId="7C0B7121" w14:textId="77777777" w:rsidTr="00AC738B">
        <w:trPr>
          <w:trHeight w:val="285"/>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3E3FDA88" w14:textId="77777777" w:rsidR="00FC2614" w:rsidRPr="0071316B" w:rsidRDefault="00FC2614" w:rsidP="00E86509">
            <w:pPr>
              <w:spacing w:after="0" w:line="240" w:lineRule="auto"/>
              <w:rPr>
                <w:rFonts w:ascii="Times New Roman" w:hAnsi="Times New Roman"/>
                <w:b w:val="0"/>
                <w:color w:val="auto"/>
                <w:lang w:eastAsia="pl-PL"/>
              </w:rPr>
            </w:pPr>
            <w:r w:rsidRPr="0071316B">
              <w:rPr>
                <w:rFonts w:ascii="Times New Roman" w:hAnsi="Times New Roman"/>
                <w:color w:val="auto"/>
                <w:lang w:eastAsia="pl-PL"/>
              </w:rPr>
              <w:t xml:space="preserve">Osoby aktywne zawodowo </w:t>
            </w:r>
            <w:r w:rsidRPr="0071316B">
              <w:rPr>
                <w:rFonts w:ascii="Times New Roman" w:hAnsi="Times New Roman"/>
                <w:color w:val="auto"/>
                <w:lang w:eastAsia="pl-PL"/>
              </w:rPr>
              <w:br/>
              <w:t>– pracujący (w tys.)</w:t>
            </w:r>
          </w:p>
        </w:tc>
        <w:tc>
          <w:tcPr>
            <w:tcW w:w="3968" w:type="dxa"/>
            <w:gridSpan w:val="3"/>
            <w:shd w:val="clear" w:color="auto" w:fill="FFFFFF" w:themeFill="background1"/>
          </w:tcPr>
          <w:p w14:paraId="32AF647B"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Ogółem</w:t>
            </w:r>
          </w:p>
        </w:tc>
        <w:tc>
          <w:tcPr>
            <w:tcW w:w="7941" w:type="dxa"/>
            <w:gridSpan w:val="5"/>
            <w:shd w:val="clear" w:color="auto" w:fill="FFFFFF" w:themeFill="background1"/>
          </w:tcPr>
          <w:p w14:paraId="0DAE8AB1"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1445</w:t>
            </w:r>
          </w:p>
        </w:tc>
      </w:tr>
      <w:tr w:rsidR="0071316B" w:rsidRPr="0071316B" w14:paraId="238AE3B9" w14:textId="77777777" w:rsidTr="00AC738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DFFEE1B" w14:textId="77777777" w:rsidR="00FC2614" w:rsidRPr="0071316B" w:rsidRDefault="00FC2614" w:rsidP="00E86509">
            <w:pPr>
              <w:spacing w:after="0" w:line="240" w:lineRule="auto"/>
              <w:rPr>
                <w:rFonts w:ascii="Times New Roman" w:hAnsi="Times New Roman"/>
                <w:b w:val="0"/>
                <w:color w:val="auto"/>
                <w:lang w:eastAsia="pl-PL"/>
              </w:rPr>
            </w:pPr>
          </w:p>
        </w:tc>
        <w:tc>
          <w:tcPr>
            <w:tcW w:w="3968" w:type="dxa"/>
            <w:gridSpan w:val="3"/>
            <w:shd w:val="clear" w:color="auto" w:fill="FFFFFF" w:themeFill="background1"/>
          </w:tcPr>
          <w:p w14:paraId="3E5E6A09"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(brak danych dla osób w wieku 60+)</w:t>
            </w:r>
          </w:p>
          <w:p w14:paraId="4716A825"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 tym w wieku 55+</w:t>
            </w:r>
          </w:p>
          <w:p w14:paraId="4B3D7B37"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7941" w:type="dxa"/>
            <w:gridSpan w:val="5"/>
            <w:shd w:val="clear" w:color="auto" w:fill="FFFFFF" w:themeFill="background1"/>
          </w:tcPr>
          <w:p w14:paraId="10ACDCC7"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529E7211"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226</w:t>
            </w:r>
          </w:p>
        </w:tc>
      </w:tr>
      <w:tr w:rsidR="0071316B" w:rsidRPr="0071316B" w14:paraId="30170003" w14:textId="77777777" w:rsidTr="00AC738B">
        <w:trPr>
          <w:trHeight w:val="224"/>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224EF91D" w14:textId="77777777" w:rsidR="00FC2614" w:rsidRPr="0071316B" w:rsidRDefault="00FC2614" w:rsidP="00E86509">
            <w:pPr>
              <w:spacing w:after="0" w:line="240" w:lineRule="auto"/>
              <w:rPr>
                <w:rFonts w:ascii="Times New Roman" w:hAnsi="Times New Roman"/>
                <w:b w:val="0"/>
                <w:color w:val="auto"/>
                <w:lang w:eastAsia="pl-PL"/>
              </w:rPr>
            </w:pPr>
            <w:r w:rsidRPr="0071316B">
              <w:rPr>
                <w:rFonts w:ascii="Times New Roman" w:hAnsi="Times New Roman"/>
                <w:color w:val="auto"/>
                <w:lang w:eastAsia="pl-PL"/>
              </w:rPr>
              <w:t>Osoby bierne zawodowo (w tys.)</w:t>
            </w:r>
          </w:p>
        </w:tc>
        <w:tc>
          <w:tcPr>
            <w:tcW w:w="3968" w:type="dxa"/>
            <w:gridSpan w:val="3"/>
            <w:shd w:val="clear" w:color="auto" w:fill="FFFFFF" w:themeFill="background1"/>
          </w:tcPr>
          <w:p w14:paraId="4AB79D42"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ogółem</w:t>
            </w:r>
          </w:p>
        </w:tc>
        <w:tc>
          <w:tcPr>
            <w:tcW w:w="7941" w:type="dxa"/>
            <w:gridSpan w:val="5"/>
            <w:shd w:val="clear" w:color="auto" w:fill="FFFFFF" w:themeFill="background1"/>
          </w:tcPr>
          <w:p w14:paraId="0118D103"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1155</w:t>
            </w:r>
          </w:p>
        </w:tc>
      </w:tr>
      <w:tr w:rsidR="0071316B" w:rsidRPr="0071316B" w14:paraId="5204C431" w14:textId="77777777" w:rsidTr="00AC738B">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7D683519" w14:textId="77777777" w:rsidR="00FC2614" w:rsidRPr="0071316B" w:rsidRDefault="00FC2614" w:rsidP="00E86509">
            <w:pPr>
              <w:spacing w:after="0" w:line="240" w:lineRule="auto"/>
              <w:rPr>
                <w:rFonts w:ascii="Times New Roman" w:hAnsi="Times New Roman"/>
                <w:b w:val="0"/>
                <w:color w:val="auto"/>
                <w:lang w:eastAsia="pl-PL"/>
              </w:rPr>
            </w:pPr>
          </w:p>
        </w:tc>
        <w:tc>
          <w:tcPr>
            <w:tcW w:w="3968" w:type="dxa"/>
            <w:gridSpan w:val="3"/>
            <w:shd w:val="clear" w:color="auto" w:fill="FFFFFF" w:themeFill="background1"/>
          </w:tcPr>
          <w:p w14:paraId="21CA0CC3"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(brak danych dla osób w wieku 60+)</w:t>
            </w:r>
          </w:p>
          <w:p w14:paraId="5F585CB2"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 tym w wieku 55+</w:t>
            </w:r>
          </w:p>
          <w:p w14:paraId="5BE8F9EB"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7941" w:type="dxa"/>
            <w:gridSpan w:val="5"/>
            <w:shd w:val="clear" w:color="auto" w:fill="FFFFFF" w:themeFill="background1"/>
          </w:tcPr>
          <w:p w14:paraId="13C8A3BC"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133E2456"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733</w:t>
            </w:r>
          </w:p>
        </w:tc>
      </w:tr>
      <w:tr w:rsidR="0071316B" w:rsidRPr="0071316B" w14:paraId="3771C060" w14:textId="77777777" w:rsidTr="00AC738B">
        <w:trPr>
          <w:trHeight w:val="285"/>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1BE77A8C" w14:textId="77777777" w:rsidR="00FC2614" w:rsidRPr="0071316B" w:rsidRDefault="00FC2614" w:rsidP="00E86509">
            <w:pPr>
              <w:spacing w:after="0" w:line="240" w:lineRule="auto"/>
              <w:rPr>
                <w:rFonts w:ascii="Times New Roman" w:hAnsi="Times New Roman"/>
                <w:b w:val="0"/>
                <w:color w:val="auto"/>
                <w:lang w:eastAsia="pl-PL"/>
              </w:rPr>
            </w:pPr>
            <w:r w:rsidRPr="0071316B">
              <w:rPr>
                <w:rFonts w:ascii="Times New Roman" w:hAnsi="Times New Roman"/>
                <w:color w:val="auto"/>
                <w:lang w:eastAsia="pl-PL"/>
              </w:rPr>
              <w:t>Współczynnik aktywności zawodowej %</w:t>
            </w:r>
          </w:p>
        </w:tc>
        <w:tc>
          <w:tcPr>
            <w:tcW w:w="3968" w:type="dxa"/>
            <w:gridSpan w:val="3"/>
            <w:shd w:val="clear" w:color="auto" w:fill="FFFFFF" w:themeFill="background1"/>
          </w:tcPr>
          <w:p w14:paraId="1A55122C"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Ogółem</w:t>
            </w:r>
          </w:p>
        </w:tc>
        <w:tc>
          <w:tcPr>
            <w:tcW w:w="7941" w:type="dxa"/>
            <w:gridSpan w:val="5"/>
            <w:shd w:val="clear" w:color="auto" w:fill="FFFFFF" w:themeFill="background1"/>
          </w:tcPr>
          <w:p w14:paraId="4CA6D622"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56,3</w:t>
            </w:r>
          </w:p>
        </w:tc>
      </w:tr>
      <w:tr w:rsidR="0071316B" w:rsidRPr="0071316B" w14:paraId="176D0597" w14:textId="77777777" w:rsidTr="00AC738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21EDFD8A" w14:textId="77777777" w:rsidR="00FC2614" w:rsidRPr="0071316B" w:rsidRDefault="00FC2614" w:rsidP="00E86509">
            <w:pPr>
              <w:spacing w:after="0" w:line="240" w:lineRule="auto"/>
              <w:rPr>
                <w:rFonts w:ascii="Times New Roman" w:hAnsi="Times New Roman"/>
                <w:b w:val="0"/>
                <w:color w:val="auto"/>
                <w:lang w:eastAsia="pl-PL"/>
              </w:rPr>
            </w:pPr>
          </w:p>
        </w:tc>
        <w:tc>
          <w:tcPr>
            <w:tcW w:w="3968" w:type="dxa"/>
            <w:gridSpan w:val="3"/>
            <w:shd w:val="clear" w:color="auto" w:fill="FFFFFF" w:themeFill="background1"/>
          </w:tcPr>
          <w:p w14:paraId="422468BB"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(brak danych dla osób w wieku 60+)</w:t>
            </w:r>
          </w:p>
          <w:p w14:paraId="09D2A05C"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 tym w wieku 55+</w:t>
            </w:r>
          </w:p>
          <w:p w14:paraId="705E9567"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 tym w wieku 65+</w:t>
            </w:r>
          </w:p>
          <w:p w14:paraId="77968228"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7941" w:type="dxa"/>
            <w:gridSpan w:val="5"/>
            <w:shd w:val="clear" w:color="auto" w:fill="FFFFFF" w:themeFill="background1"/>
          </w:tcPr>
          <w:p w14:paraId="640C2E8B"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426267A2"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23,7</w:t>
            </w:r>
          </w:p>
          <w:p w14:paraId="542E8339"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I kw. – 5,3; II kw. – 6,1; III kw. – 5,2; IV kw. – 4,3</w:t>
            </w:r>
          </w:p>
        </w:tc>
      </w:tr>
      <w:tr w:rsidR="0071316B" w:rsidRPr="0071316B" w14:paraId="6933BB70" w14:textId="77777777" w:rsidTr="00AC738B">
        <w:trPr>
          <w:trHeight w:val="143"/>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4C7C2A33" w14:textId="77777777" w:rsidR="00FC2614" w:rsidRPr="0071316B" w:rsidRDefault="00FC2614" w:rsidP="00E86509">
            <w:pPr>
              <w:spacing w:after="0" w:line="240" w:lineRule="auto"/>
              <w:rPr>
                <w:rFonts w:ascii="Times New Roman" w:hAnsi="Times New Roman"/>
                <w:b w:val="0"/>
                <w:color w:val="auto"/>
                <w:lang w:eastAsia="pl-PL"/>
              </w:rPr>
            </w:pPr>
            <w:r w:rsidRPr="0071316B">
              <w:rPr>
                <w:rFonts w:ascii="Times New Roman" w:hAnsi="Times New Roman"/>
                <w:color w:val="auto"/>
                <w:lang w:eastAsia="pl-PL"/>
              </w:rPr>
              <w:t>Wskaźnik zatrudnienia %</w:t>
            </w:r>
          </w:p>
        </w:tc>
        <w:tc>
          <w:tcPr>
            <w:tcW w:w="3968" w:type="dxa"/>
            <w:gridSpan w:val="3"/>
            <w:shd w:val="clear" w:color="auto" w:fill="FFFFFF" w:themeFill="background1"/>
          </w:tcPr>
          <w:p w14:paraId="526BD725"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ogółem</w:t>
            </w:r>
          </w:p>
        </w:tc>
        <w:tc>
          <w:tcPr>
            <w:tcW w:w="7941" w:type="dxa"/>
            <w:gridSpan w:val="5"/>
            <w:shd w:val="clear" w:color="auto" w:fill="FFFFFF" w:themeFill="background1"/>
          </w:tcPr>
          <w:p w14:paraId="0E298082"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54,7</w:t>
            </w:r>
          </w:p>
        </w:tc>
      </w:tr>
      <w:tr w:rsidR="0071316B" w:rsidRPr="0071316B" w14:paraId="156E94F4" w14:textId="77777777" w:rsidTr="00AC738B">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00AAAB15" w14:textId="77777777" w:rsidR="00FC2614" w:rsidRPr="0071316B" w:rsidRDefault="00FC2614" w:rsidP="00E86509">
            <w:pPr>
              <w:spacing w:after="0" w:line="240" w:lineRule="auto"/>
              <w:rPr>
                <w:rFonts w:ascii="Times New Roman" w:hAnsi="Times New Roman"/>
                <w:b w:val="0"/>
                <w:color w:val="auto"/>
                <w:lang w:eastAsia="pl-PL"/>
              </w:rPr>
            </w:pPr>
          </w:p>
        </w:tc>
        <w:tc>
          <w:tcPr>
            <w:tcW w:w="3968" w:type="dxa"/>
            <w:gridSpan w:val="3"/>
            <w:shd w:val="clear" w:color="auto" w:fill="FFFFFF" w:themeFill="background1"/>
          </w:tcPr>
          <w:p w14:paraId="2E71ED9E"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(brak danych dla osób w wieku 60+)</w:t>
            </w:r>
          </w:p>
          <w:p w14:paraId="63B58796"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lastRenderedPageBreak/>
              <w:t>w tym w wieku 55+</w:t>
            </w:r>
          </w:p>
          <w:p w14:paraId="461F6BE2"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 tym w wieku 65+</w:t>
            </w:r>
          </w:p>
          <w:p w14:paraId="3E7A8BED"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7941" w:type="dxa"/>
            <w:gridSpan w:val="5"/>
            <w:shd w:val="clear" w:color="auto" w:fill="FFFFFF" w:themeFill="background1"/>
          </w:tcPr>
          <w:p w14:paraId="7E56E03B"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65E52F2B"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lastRenderedPageBreak/>
              <w:t>23,5</w:t>
            </w:r>
          </w:p>
          <w:p w14:paraId="244F68A7"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I kw. – 50,6; II kw. – 48,5; III kw. – 48,6; IV kw. – 46,3</w:t>
            </w:r>
          </w:p>
        </w:tc>
      </w:tr>
      <w:tr w:rsidR="0071316B" w:rsidRPr="0071316B" w14:paraId="64BC9B85" w14:textId="77777777" w:rsidTr="00AC738B">
        <w:trPr>
          <w:trHeight w:val="282"/>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4E5516A7" w14:textId="77777777" w:rsidR="00FC2614" w:rsidRPr="0071316B" w:rsidRDefault="00FC2614" w:rsidP="00E86509">
            <w:pPr>
              <w:spacing w:after="0" w:line="240" w:lineRule="auto"/>
              <w:rPr>
                <w:rFonts w:ascii="Times New Roman" w:hAnsi="Times New Roman"/>
                <w:b w:val="0"/>
                <w:color w:val="auto"/>
                <w:lang w:eastAsia="pl-PL"/>
              </w:rPr>
            </w:pPr>
            <w:r w:rsidRPr="0071316B">
              <w:rPr>
                <w:rFonts w:ascii="Times New Roman" w:eastAsia="Times New Roman" w:hAnsi="Times New Roman"/>
                <w:color w:val="auto"/>
                <w:lang w:eastAsia="pl-PL"/>
              </w:rPr>
              <w:lastRenderedPageBreak/>
              <w:t xml:space="preserve">Osoby bierne zawodowo  w wieku 60 lat i więcej według wybranych przyczyn bierności </w:t>
            </w:r>
            <w:r w:rsidRPr="0071316B">
              <w:rPr>
                <w:rFonts w:ascii="Times New Roman" w:eastAsia="Times New Roman" w:hAnsi="Times New Roman"/>
                <w:color w:val="auto"/>
                <w:lang w:eastAsia="pl-PL"/>
              </w:rPr>
              <w:br/>
              <w:t>(w tys.)</w:t>
            </w:r>
          </w:p>
        </w:tc>
        <w:tc>
          <w:tcPr>
            <w:tcW w:w="3968" w:type="dxa"/>
            <w:gridSpan w:val="3"/>
            <w:shd w:val="clear" w:color="auto" w:fill="FFFFFF" w:themeFill="background1"/>
          </w:tcPr>
          <w:p w14:paraId="3152DF7B"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ogółem</w:t>
            </w:r>
          </w:p>
        </w:tc>
        <w:tc>
          <w:tcPr>
            <w:tcW w:w="7941" w:type="dxa"/>
            <w:gridSpan w:val="5"/>
            <w:shd w:val="clear" w:color="auto" w:fill="FFFFFF" w:themeFill="background1"/>
          </w:tcPr>
          <w:p w14:paraId="53545137"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brak danych – nie są zbierane dane dot. osób biernych zawodowo w wieku 60 lat i więcej według wybranych przyczyn bierności</w:t>
            </w:r>
          </w:p>
        </w:tc>
      </w:tr>
      <w:tr w:rsidR="0071316B" w:rsidRPr="0071316B" w14:paraId="4E08D124" w14:textId="77777777" w:rsidTr="00AC738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32A736C7"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11909" w:type="dxa"/>
            <w:gridSpan w:val="8"/>
            <w:shd w:val="clear" w:color="auto" w:fill="9CC2E5" w:themeFill="accent1" w:themeFillTint="99"/>
          </w:tcPr>
          <w:p w14:paraId="53ED34A0" w14:textId="77777777" w:rsidR="00FC2614" w:rsidRPr="00A00C5F"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00C5F">
              <w:rPr>
                <w:rFonts w:ascii="Times New Roman" w:hAnsi="Times New Roman"/>
                <w:color w:val="auto"/>
              </w:rPr>
              <w:t>w tym:</w:t>
            </w:r>
          </w:p>
        </w:tc>
      </w:tr>
      <w:tr w:rsidR="0071316B" w:rsidRPr="0071316B" w14:paraId="2CF18C56" w14:textId="77777777" w:rsidTr="00AC738B">
        <w:trPr>
          <w:trHeight w:val="28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434C24F3"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FFFFFF" w:themeFill="background1"/>
          </w:tcPr>
          <w:p w14:paraId="5B325412"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pl-PL"/>
              </w:rPr>
            </w:pPr>
            <w:r w:rsidRPr="0071316B">
              <w:rPr>
                <w:rFonts w:ascii="Times New Roman" w:eastAsia="Times New Roman" w:hAnsi="Times New Roman"/>
                <w:color w:val="auto"/>
                <w:lang w:eastAsia="pl-PL"/>
              </w:rPr>
              <w:t>osoby nieposzukujące pracy - razem</w:t>
            </w:r>
          </w:p>
        </w:tc>
        <w:tc>
          <w:tcPr>
            <w:tcW w:w="7941" w:type="dxa"/>
            <w:gridSpan w:val="5"/>
            <w:shd w:val="clear" w:color="auto" w:fill="FFFFFF" w:themeFill="background1"/>
          </w:tcPr>
          <w:p w14:paraId="34D00F8E"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brak danych</w:t>
            </w:r>
          </w:p>
        </w:tc>
      </w:tr>
      <w:tr w:rsidR="0071316B" w:rsidRPr="0071316B" w14:paraId="348B7AD6" w14:textId="77777777" w:rsidTr="00AC738B">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49A1793D"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FFFFFF" w:themeFill="background1"/>
          </w:tcPr>
          <w:p w14:paraId="52B4E343"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eastAsia="Times New Roman" w:hAnsi="Times New Roman"/>
                <w:color w:val="auto"/>
                <w:lang w:eastAsia="pl-PL"/>
              </w:rPr>
              <w:t>osoby nieposzukujące pracy - emerytura</w:t>
            </w:r>
          </w:p>
        </w:tc>
        <w:tc>
          <w:tcPr>
            <w:tcW w:w="7941" w:type="dxa"/>
            <w:gridSpan w:val="5"/>
            <w:shd w:val="clear" w:color="auto" w:fill="FFFFFF" w:themeFill="background1"/>
          </w:tcPr>
          <w:p w14:paraId="007F73D6"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brak danych</w:t>
            </w:r>
          </w:p>
        </w:tc>
      </w:tr>
      <w:tr w:rsidR="0071316B" w:rsidRPr="0071316B" w14:paraId="2C2310F7" w14:textId="77777777" w:rsidTr="00AC738B">
        <w:trPr>
          <w:trHeight w:val="28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65F43005"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FFFFFF" w:themeFill="background1"/>
          </w:tcPr>
          <w:p w14:paraId="63E311B5"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eastAsia="Times New Roman" w:hAnsi="Times New Roman"/>
                <w:color w:val="auto"/>
                <w:lang w:eastAsia="pl-PL"/>
              </w:rPr>
              <w:t>osoby nieposzukujące pracy - choroba, niepełnosprawność</w:t>
            </w:r>
          </w:p>
        </w:tc>
        <w:tc>
          <w:tcPr>
            <w:tcW w:w="7941" w:type="dxa"/>
            <w:gridSpan w:val="5"/>
            <w:shd w:val="clear" w:color="auto" w:fill="FFFFFF" w:themeFill="background1"/>
          </w:tcPr>
          <w:p w14:paraId="192B45D7"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brak danych</w:t>
            </w:r>
          </w:p>
        </w:tc>
      </w:tr>
      <w:tr w:rsidR="0071316B" w:rsidRPr="0071316B" w14:paraId="1C894BB6" w14:textId="77777777" w:rsidTr="00AC738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584E8E9F"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r w:rsidRPr="0071316B">
              <w:rPr>
                <w:rFonts w:ascii="Times New Roman" w:eastAsia="Times New Roman" w:hAnsi="Times New Roman"/>
                <w:color w:val="auto"/>
                <w:lang w:eastAsia="pl-PL"/>
              </w:rPr>
              <w:t>Osoby bezrobotne zarejestrowane w urzędach pracy (w tys.)</w:t>
            </w:r>
          </w:p>
        </w:tc>
        <w:tc>
          <w:tcPr>
            <w:tcW w:w="3968" w:type="dxa"/>
            <w:gridSpan w:val="3"/>
            <w:shd w:val="clear" w:color="auto" w:fill="FFFFFF" w:themeFill="background1"/>
          </w:tcPr>
          <w:p w14:paraId="58C2611F"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ogółem</w:t>
            </w:r>
          </w:p>
        </w:tc>
        <w:tc>
          <w:tcPr>
            <w:tcW w:w="7941" w:type="dxa"/>
            <w:gridSpan w:val="5"/>
            <w:shd w:val="clear" w:color="auto" w:fill="FFFFFF" w:themeFill="background1"/>
          </w:tcPr>
          <w:p w14:paraId="3414C9AA"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62,610</w:t>
            </w:r>
            <w:r w:rsidRPr="0071316B">
              <w:rPr>
                <w:rStyle w:val="Odwoanieprzypisudolnego"/>
                <w:rFonts w:ascii="Times New Roman" w:hAnsi="Times New Roman"/>
                <w:color w:val="auto"/>
              </w:rPr>
              <w:footnoteReference w:id="127"/>
            </w:r>
          </w:p>
        </w:tc>
      </w:tr>
      <w:tr w:rsidR="0071316B" w:rsidRPr="0071316B" w14:paraId="72AA7F23" w14:textId="77777777" w:rsidTr="00AC738B">
        <w:trPr>
          <w:trHeight w:val="284"/>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A2A4D7F"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FFFFFF" w:themeFill="background1"/>
          </w:tcPr>
          <w:p w14:paraId="23EBECD0"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 tym w wieku 60+</w:t>
            </w:r>
          </w:p>
        </w:tc>
        <w:tc>
          <w:tcPr>
            <w:tcW w:w="7941" w:type="dxa"/>
            <w:gridSpan w:val="5"/>
            <w:shd w:val="clear" w:color="auto" w:fill="FFFFFF" w:themeFill="background1"/>
          </w:tcPr>
          <w:p w14:paraId="2CE89BB7"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4,074</w:t>
            </w:r>
          </w:p>
        </w:tc>
      </w:tr>
      <w:tr w:rsidR="0071316B" w:rsidRPr="0071316B" w14:paraId="728939EC" w14:textId="77777777" w:rsidTr="00AC738B">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11DC62BF"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r w:rsidRPr="0071316B">
              <w:rPr>
                <w:rFonts w:ascii="Times New Roman" w:eastAsia="Times New Roman" w:hAnsi="Times New Roman"/>
                <w:color w:val="auto"/>
                <w:lang w:eastAsia="pl-PL"/>
              </w:rPr>
              <w:t xml:space="preserve">Osoby pobierające renty </w:t>
            </w:r>
            <w:r w:rsidRPr="0071316B">
              <w:rPr>
                <w:rFonts w:ascii="Times New Roman" w:eastAsia="Times New Roman" w:hAnsi="Times New Roman"/>
                <w:color w:val="auto"/>
                <w:lang w:eastAsia="pl-PL"/>
              </w:rPr>
              <w:br/>
              <w:t xml:space="preserve">i emerytury </w:t>
            </w:r>
          </w:p>
        </w:tc>
        <w:tc>
          <w:tcPr>
            <w:tcW w:w="11909" w:type="dxa"/>
            <w:gridSpan w:val="8"/>
            <w:shd w:val="clear" w:color="auto" w:fill="9CC2E5" w:themeFill="accent1" w:themeFillTint="99"/>
          </w:tcPr>
          <w:p w14:paraId="4EC4E4C5" w14:textId="77777777" w:rsidR="00FC2614" w:rsidRPr="0071316B" w:rsidRDefault="00FC2614" w:rsidP="00E86509">
            <w:pPr>
              <w:tabs>
                <w:tab w:val="left" w:pos="1725"/>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ZUS</w:t>
            </w:r>
          </w:p>
        </w:tc>
      </w:tr>
      <w:tr w:rsidR="0071316B" w:rsidRPr="0071316B" w14:paraId="65F5B998" w14:textId="77777777" w:rsidTr="00AC738B">
        <w:trPr>
          <w:trHeight w:val="18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15800334"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9CC2E5" w:themeFill="accent1" w:themeFillTint="99"/>
          </w:tcPr>
          <w:p w14:paraId="6B07AE17"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Rodzaj świadczenia</w:t>
            </w:r>
          </w:p>
        </w:tc>
        <w:tc>
          <w:tcPr>
            <w:tcW w:w="7941" w:type="dxa"/>
            <w:gridSpan w:val="5"/>
            <w:shd w:val="clear" w:color="auto" w:fill="9CC2E5" w:themeFill="accent1" w:themeFillTint="99"/>
          </w:tcPr>
          <w:p w14:paraId="20AE9E25"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Przeciętna miesięczna liczba emerytów i rencistów (w tys.)</w:t>
            </w:r>
            <w:r w:rsidRPr="0071316B">
              <w:rPr>
                <w:rStyle w:val="Odwoanieprzypisudolnego"/>
                <w:rFonts w:ascii="Times New Roman" w:hAnsi="Times New Roman"/>
                <w:b/>
                <w:color w:val="auto"/>
              </w:rPr>
              <w:footnoteReference w:id="128"/>
            </w:r>
          </w:p>
        </w:tc>
      </w:tr>
      <w:tr w:rsidR="0071316B" w:rsidRPr="0071316B" w14:paraId="7382B165" w14:textId="77777777" w:rsidTr="00AC738B">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1EDDF95A"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FFFFFF" w:themeFill="background1"/>
          </w:tcPr>
          <w:p w14:paraId="44B3B235"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Emerytury</w:t>
            </w:r>
          </w:p>
        </w:tc>
        <w:tc>
          <w:tcPr>
            <w:tcW w:w="7941" w:type="dxa"/>
            <w:gridSpan w:val="5"/>
            <w:shd w:val="clear" w:color="auto" w:fill="FFFFFF" w:themeFill="background1"/>
          </w:tcPr>
          <w:p w14:paraId="3CC88427"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491 696</w:t>
            </w:r>
          </w:p>
        </w:tc>
      </w:tr>
      <w:tr w:rsidR="0071316B" w:rsidRPr="0071316B" w14:paraId="3C183812" w14:textId="77777777" w:rsidTr="00AC738B">
        <w:trPr>
          <w:trHeight w:val="142"/>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77DC58BD"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FFFFFF" w:themeFill="background1"/>
          </w:tcPr>
          <w:p w14:paraId="5B453DF9"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Renty z tytułu niezdolności do pracy</w:t>
            </w:r>
          </w:p>
        </w:tc>
        <w:tc>
          <w:tcPr>
            <w:tcW w:w="7941" w:type="dxa"/>
            <w:gridSpan w:val="5"/>
            <w:shd w:val="clear" w:color="auto" w:fill="FFFFFF" w:themeFill="background1"/>
          </w:tcPr>
          <w:p w14:paraId="0A676848"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75 758</w:t>
            </w:r>
          </w:p>
        </w:tc>
      </w:tr>
      <w:tr w:rsidR="0071316B" w:rsidRPr="0071316B" w14:paraId="79B1102A" w14:textId="77777777" w:rsidTr="00AC738B">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082BE0EF"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FFFFFF" w:themeFill="background1"/>
          </w:tcPr>
          <w:p w14:paraId="1660F4DD"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Renty rodzinne</w:t>
            </w:r>
          </w:p>
        </w:tc>
        <w:tc>
          <w:tcPr>
            <w:tcW w:w="7941" w:type="dxa"/>
            <w:gridSpan w:val="5"/>
            <w:shd w:val="clear" w:color="auto" w:fill="FFFFFF" w:themeFill="background1"/>
          </w:tcPr>
          <w:p w14:paraId="209E7311"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107 393</w:t>
            </w:r>
          </w:p>
        </w:tc>
      </w:tr>
      <w:tr w:rsidR="0071316B" w:rsidRPr="0071316B" w14:paraId="76587E7B" w14:textId="77777777" w:rsidTr="00AC738B">
        <w:trPr>
          <w:trHeight w:val="284"/>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18C615EB"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11909" w:type="dxa"/>
            <w:gridSpan w:val="8"/>
            <w:shd w:val="clear" w:color="auto" w:fill="9CC2E5" w:themeFill="accent1" w:themeFillTint="99"/>
          </w:tcPr>
          <w:p w14:paraId="02439930" w14:textId="77777777" w:rsidR="00FC2614" w:rsidRPr="0071316B" w:rsidRDefault="00FC2614" w:rsidP="00E86509">
            <w:pPr>
              <w:tabs>
                <w:tab w:val="left" w:pos="1507"/>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KRUS</w:t>
            </w:r>
          </w:p>
        </w:tc>
      </w:tr>
      <w:tr w:rsidR="0071316B" w:rsidRPr="0071316B" w14:paraId="4CA14AAE" w14:textId="77777777" w:rsidTr="00AC738B">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3BF92FCB"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9CC2E5" w:themeFill="accent1" w:themeFillTint="99"/>
          </w:tcPr>
          <w:p w14:paraId="61AB59EF"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Rodzaj świadczenia</w:t>
            </w:r>
          </w:p>
        </w:tc>
        <w:tc>
          <w:tcPr>
            <w:tcW w:w="7941" w:type="dxa"/>
            <w:gridSpan w:val="5"/>
            <w:shd w:val="clear" w:color="auto" w:fill="9CC2E5" w:themeFill="accent1" w:themeFillTint="99"/>
          </w:tcPr>
          <w:p w14:paraId="05A601D7"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Przeciętna miesięczna liczba emerytów i rencistów (w tys.)</w:t>
            </w:r>
            <w:r w:rsidRPr="0071316B">
              <w:rPr>
                <w:rStyle w:val="Odwoanieprzypisudolnego"/>
                <w:rFonts w:ascii="Times New Roman" w:hAnsi="Times New Roman"/>
                <w:b/>
                <w:color w:val="auto"/>
              </w:rPr>
              <w:footnoteReference w:id="129"/>
            </w:r>
          </w:p>
        </w:tc>
      </w:tr>
      <w:tr w:rsidR="0071316B" w:rsidRPr="0071316B" w14:paraId="22EC11AD" w14:textId="77777777" w:rsidTr="00AC738B">
        <w:trPr>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62BACA2E"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FFFFFF" w:themeFill="background1"/>
          </w:tcPr>
          <w:p w14:paraId="32EB1FCD"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Emerytury</w:t>
            </w:r>
          </w:p>
        </w:tc>
        <w:tc>
          <w:tcPr>
            <w:tcW w:w="7941" w:type="dxa"/>
            <w:gridSpan w:val="5"/>
            <w:shd w:val="clear" w:color="auto" w:fill="FFFFFF" w:themeFill="background1"/>
          </w:tcPr>
          <w:p w14:paraId="012FD431"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64 816</w:t>
            </w:r>
          </w:p>
        </w:tc>
      </w:tr>
      <w:tr w:rsidR="0071316B" w:rsidRPr="0071316B" w14:paraId="44E7329F" w14:textId="77777777" w:rsidTr="00AC738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56EE454"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FFFFFF" w:themeFill="background1"/>
          </w:tcPr>
          <w:p w14:paraId="1A3A3EA0"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Renty z tytułu niezdolności do pracy</w:t>
            </w:r>
          </w:p>
        </w:tc>
        <w:tc>
          <w:tcPr>
            <w:tcW w:w="7941" w:type="dxa"/>
            <w:gridSpan w:val="5"/>
            <w:shd w:val="clear" w:color="auto" w:fill="FFFFFF" w:themeFill="background1"/>
          </w:tcPr>
          <w:p w14:paraId="478142A9"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25 334</w:t>
            </w:r>
          </w:p>
        </w:tc>
      </w:tr>
      <w:tr w:rsidR="0071316B" w:rsidRPr="0071316B" w14:paraId="76D73AA4" w14:textId="77777777" w:rsidTr="00AC738B">
        <w:trPr>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748DE6CF"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968" w:type="dxa"/>
            <w:gridSpan w:val="3"/>
            <w:shd w:val="clear" w:color="auto" w:fill="FFFFFF" w:themeFill="background1"/>
          </w:tcPr>
          <w:p w14:paraId="02DC865E"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Renty rodzinne</w:t>
            </w:r>
          </w:p>
        </w:tc>
        <w:tc>
          <w:tcPr>
            <w:tcW w:w="7941" w:type="dxa"/>
            <w:gridSpan w:val="5"/>
            <w:shd w:val="clear" w:color="auto" w:fill="FFFFFF" w:themeFill="background1"/>
          </w:tcPr>
          <w:p w14:paraId="611B7EAA"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3 574</w:t>
            </w:r>
          </w:p>
        </w:tc>
      </w:tr>
      <w:tr w:rsidR="0071316B" w:rsidRPr="0071316B" w14:paraId="03837D3C"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37" w:type="dxa"/>
            <w:gridSpan w:val="9"/>
            <w:shd w:val="clear" w:color="auto" w:fill="9CC2E5" w:themeFill="accent1" w:themeFillTint="99"/>
          </w:tcPr>
          <w:p w14:paraId="39F1923A" w14:textId="77777777" w:rsidR="00FC2614" w:rsidRPr="0071316B" w:rsidRDefault="00FC2614" w:rsidP="00E86509">
            <w:pPr>
              <w:spacing w:after="0" w:line="240" w:lineRule="auto"/>
              <w:jc w:val="center"/>
              <w:rPr>
                <w:rFonts w:ascii="Times New Roman" w:hAnsi="Times New Roman"/>
                <w:color w:val="auto"/>
              </w:rPr>
            </w:pPr>
            <w:r w:rsidRPr="0071316B">
              <w:rPr>
                <w:rFonts w:ascii="Times New Roman" w:hAnsi="Times New Roman"/>
                <w:color w:val="auto"/>
              </w:rPr>
              <w:t>SYTUACJA DOCHODOWA, WARUNKI BYTU, W TYM WARUNKI MIESZKANIOWE – DANE ZA 2019 R,</w:t>
            </w:r>
          </w:p>
        </w:tc>
      </w:tr>
      <w:tr w:rsidR="0071316B" w:rsidRPr="0071316B" w14:paraId="49ED2C14"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37" w:type="dxa"/>
            <w:gridSpan w:val="9"/>
            <w:shd w:val="clear" w:color="auto" w:fill="FFFFFF" w:themeFill="background1"/>
          </w:tcPr>
          <w:p w14:paraId="6668292E" w14:textId="77777777" w:rsidR="00FC2614" w:rsidRPr="0071316B" w:rsidRDefault="00FC2614" w:rsidP="00E86509">
            <w:pPr>
              <w:spacing w:after="0" w:line="240" w:lineRule="auto"/>
              <w:rPr>
                <w:rFonts w:ascii="Times New Roman" w:hAnsi="Times New Roman"/>
                <w:b w:val="0"/>
                <w:color w:val="auto"/>
              </w:rPr>
            </w:pPr>
            <w:r w:rsidRPr="0071316B">
              <w:rPr>
                <w:rFonts w:ascii="Times New Roman" w:hAnsi="Times New Roman"/>
                <w:b w:val="0"/>
                <w:color w:val="auto"/>
              </w:rPr>
              <w:t xml:space="preserve">Dla zdecydowanej większości seniorów w Polsce podstawowym źródłem utrzymania jest emerytura, która średnio wynosi od 1 664,16 zł do 2 456, 27 zł brutto (analiza danych pozyskanych z ZUS). Natomiast,  jak wskazują wyniki badania zleconego przez  Warszawski Instytut Bankowości aż 45% seniorów wspomaga finansowo, swoje dzieci lub wnuki, bez jednoczesnego oczekiwania podobnej pomocy </w:t>
            </w:r>
            <w:r w:rsidRPr="0071316B">
              <w:rPr>
                <w:rFonts w:ascii="Times New Roman" w:eastAsia="Times New Roman" w:hAnsi="Times New Roman"/>
                <w:b w:val="0"/>
                <w:color w:val="auto"/>
                <w:lang w:eastAsia="pl-PL"/>
              </w:rPr>
              <w:t>(badania rap</w:t>
            </w:r>
            <w:r w:rsidR="00413508" w:rsidRPr="0071316B">
              <w:rPr>
                <w:rFonts w:ascii="Times New Roman" w:eastAsia="Times New Roman" w:hAnsi="Times New Roman"/>
                <w:b w:val="0"/>
                <w:color w:val="auto"/>
                <w:lang w:eastAsia="pl-PL"/>
              </w:rPr>
              <w:t>ort info senior 2020 za 2019 r.</w:t>
            </w:r>
            <w:r w:rsidRPr="0071316B">
              <w:rPr>
                <w:rFonts w:ascii="Times New Roman" w:eastAsia="Times New Roman" w:hAnsi="Times New Roman"/>
                <w:b w:val="0"/>
                <w:color w:val="auto"/>
                <w:lang w:eastAsia="pl-PL"/>
              </w:rPr>
              <w:t>).  Warto zwrócić uwagę na widoczną zmianę w sposobie nastawienia osób starszych do produktów bankowych. Coraz częściej korzystają z produktów oszczędnościowych. Istotne jest to w kontekście konsekwentnego podkreślania roli oszczędzania długo</w:t>
            </w:r>
            <w:r w:rsidRPr="0071316B">
              <w:rPr>
                <w:rFonts w:ascii="Times New Roman" w:eastAsia="Times New Roman" w:hAnsi="Times New Roman"/>
                <w:b w:val="0"/>
                <w:color w:val="auto"/>
                <w:lang w:eastAsia="pl-PL"/>
              </w:rPr>
              <w:softHyphen/>
              <w:t>terminowego, które obok konieczności wydłużania się aktywności zawodowej, jest jedyną me</w:t>
            </w:r>
            <w:r w:rsidRPr="0071316B">
              <w:rPr>
                <w:rFonts w:ascii="Times New Roman" w:eastAsia="Times New Roman" w:hAnsi="Times New Roman"/>
                <w:b w:val="0"/>
                <w:color w:val="auto"/>
                <w:lang w:eastAsia="pl-PL"/>
              </w:rPr>
              <w:softHyphen/>
              <w:t xml:space="preserve">todą na zapewnienie wyższych dochodów w starszym wieku. </w:t>
            </w:r>
            <w:r w:rsidRPr="0071316B">
              <w:rPr>
                <w:rFonts w:ascii="Times New Roman" w:hAnsi="Times New Roman"/>
                <w:b w:val="0"/>
                <w:color w:val="auto"/>
              </w:rPr>
              <w:t xml:space="preserve"> Według prognoz demograficznych, przy ogólnym wzroście liczby ludności, struktura wiekowa </w:t>
            </w:r>
            <w:r w:rsidRPr="0071316B">
              <w:rPr>
                <w:rFonts w:ascii="Times New Roman" w:hAnsi="Times New Roman"/>
                <w:b w:val="0"/>
                <w:color w:val="auto"/>
              </w:rPr>
              <w:lastRenderedPageBreak/>
              <w:t>mieszkańców województwa małopolskiego w perspektywie następnych lat będzie ulegała przeobrażeniom. Liczba osób 65+ w Małopolsce będzie stale rosnąć. W 2020 r. będzie ich blisko 600 tysięcy, a w 2050 r. już ponad milion osób.</w:t>
            </w:r>
          </w:p>
          <w:p w14:paraId="4500C75E" w14:textId="77777777" w:rsidR="00FC2614" w:rsidRPr="0071316B" w:rsidRDefault="00413508" w:rsidP="00E86509">
            <w:pPr>
              <w:autoSpaceDE w:val="0"/>
              <w:autoSpaceDN w:val="0"/>
              <w:adjustRightInd w:val="0"/>
              <w:spacing w:after="0" w:line="240" w:lineRule="auto"/>
              <w:rPr>
                <w:rFonts w:ascii="Times New Roman" w:hAnsi="Times New Roman"/>
                <w:b w:val="0"/>
                <w:color w:val="auto"/>
              </w:rPr>
            </w:pPr>
            <w:r w:rsidRPr="0071316B">
              <w:rPr>
                <w:rFonts w:ascii="Times New Roman" w:hAnsi="Times New Roman"/>
                <w:b w:val="0"/>
                <w:color w:val="auto"/>
              </w:rPr>
              <w:t>W 2018 r. (brak danych za</w:t>
            </w:r>
            <w:r w:rsidR="00FC2614" w:rsidRPr="0071316B">
              <w:rPr>
                <w:rFonts w:ascii="Times New Roman" w:hAnsi="Times New Roman"/>
                <w:b w:val="0"/>
                <w:color w:val="auto"/>
              </w:rPr>
              <w:t xml:space="preserve"> 2019</w:t>
            </w:r>
            <w:r w:rsidRPr="0071316B">
              <w:rPr>
                <w:rFonts w:ascii="Times New Roman" w:hAnsi="Times New Roman"/>
                <w:b w:val="0"/>
                <w:color w:val="auto"/>
              </w:rPr>
              <w:t xml:space="preserve"> r.</w:t>
            </w:r>
            <w:r w:rsidR="00FC2614" w:rsidRPr="0071316B">
              <w:rPr>
                <w:rFonts w:ascii="Times New Roman" w:hAnsi="Times New Roman"/>
                <w:b w:val="0"/>
                <w:color w:val="auto"/>
              </w:rPr>
              <w:t>)  zasoby mieszkaniowe w województwie małopolskim powiększyły się o 17,7 tys. mieszkań (wzrost o 1,5%) i na koniec 2018 r. wynosiły blisko 1,2 mln. W województwie przeważają mieszkania zlokalizowane w miastach (59,0%). W 2018 r. w porównaniu z rokiem poprzednim w województwie małopolskim nieznacznie poprawiły się warunki mieszkaniowe. Wzrosła liczba mieszkań w zasobach mieszkaniowych, zwiększyła się ich przeciętna powierzchnia użytkowa oraz wzrosła średnia liczba izb w mieszkaniu, co wpłynęło na poprawę podstawowych wskaźników dotyczących warunków mieszkaniowych. Przeciętna liczba osób przypadająca na 1 mieszkanie i 1 izbę zmalała przy równoczesnym wzroście powierzchni użytkowej przypadającej na 1 osobę. Wzrosła powierzchnia użytkowa 1 mieszkania, a przeciętna liczba izb przypadająca na 1 mieszkanie pozostała na niezmienionym poziomie. Mieszkania w województwie małopolskim były lepiej wyposażone w podstawowe</w:t>
            </w:r>
            <w:r w:rsidRPr="0071316B">
              <w:rPr>
                <w:rFonts w:ascii="Times New Roman" w:hAnsi="Times New Roman"/>
                <w:b w:val="0"/>
                <w:color w:val="auto"/>
              </w:rPr>
              <w:t xml:space="preserve"> instalacje sanitarnotechniczne </w:t>
            </w:r>
            <w:r w:rsidR="00FC2614" w:rsidRPr="0071316B">
              <w:rPr>
                <w:rFonts w:ascii="Times New Roman" w:hAnsi="Times New Roman"/>
                <w:b w:val="0"/>
                <w:color w:val="auto"/>
              </w:rPr>
              <w:t>porównując z mieszkaniami w kraju. Przeciętna wielkość mieszkania wynosiła 78,7 m2 i wzrosła o 0,3 m2 w porównaniu z rokiem poprzednim</w:t>
            </w:r>
            <w:r w:rsidRPr="0071316B">
              <w:rPr>
                <w:rFonts w:ascii="Times New Roman" w:hAnsi="Times New Roman"/>
                <w:b w:val="0"/>
                <w:color w:val="auto"/>
              </w:rPr>
              <w:t xml:space="preserve">. </w:t>
            </w:r>
            <w:r w:rsidR="00FC2614" w:rsidRPr="0071316B">
              <w:rPr>
                <w:rFonts w:ascii="Times New Roman" w:hAnsi="Times New Roman"/>
                <w:b w:val="0"/>
                <w:color w:val="auto"/>
              </w:rPr>
              <w:t>Mieszkanie podobnie jak w roku poprzednim po</w:t>
            </w:r>
            <w:r w:rsidRPr="0071316B">
              <w:rPr>
                <w:rFonts w:ascii="Times New Roman" w:hAnsi="Times New Roman"/>
                <w:b w:val="0"/>
                <w:color w:val="auto"/>
              </w:rPr>
              <w:t xml:space="preserve">siadało przeciętnie 3,92 izby. </w:t>
            </w:r>
            <w:r w:rsidR="00FC2614" w:rsidRPr="0071316B">
              <w:rPr>
                <w:rFonts w:ascii="Times New Roman" w:hAnsi="Times New Roman"/>
                <w:b w:val="0"/>
                <w:color w:val="auto"/>
              </w:rPr>
              <w:t>W końcu 2018 r. mieszkania zlokalizowane na wsi w województwie małopolskim posiadały większą powierzchnię użytkową i więcej izb w porównaniu z przeciętnymi mieszkaniami z obszaru wiejskiego w kraju, a mieszkania położone w miastach były mniejsze i posiadały mniej izb jak analogiczne mieszkania w kraju.</w:t>
            </w:r>
            <w:r w:rsidR="00FC2614" w:rsidRPr="0071316B">
              <w:rPr>
                <w:rStyle w:val="Odwoanieprzypisudolnego"/>
                <w:rFonts w:ascii="Times New Roman" w:hAnsi="Times New Roman"/>
                <w:b w:val="0"/>
                <w:color w:val="auto"/>
              </w:rPr>
              <w:footnoteReference w:id="130"/>
            </w:r>
            <w:r w:rsidR="00FC2614" w:rsidRPr="0071316B">
              <w:rPr>
                <w:rFonts w:ascii="Times New Roman" w:hAnsi="Times New Roman"/>
                <w:b w:val="0"/>
                <w:color w:val="auto"/>
              </w:rPr>
              <w:t xml:space="preserve"> </w:t>
            </w:r>
          </w:p>
        </w:tc>
      </w:tr>
      <w:tr w:rsidR="0071316B" w:rsidRPr="0071316B" w14:paraId="40AB5647"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37" w:type="dxa"/>
            <w:gridSpan w:val="9"/>
            <w:shd w:val="clear" w:color="auto" w:fill="9CC2E5" w:themeFill="accent1" w:themeFillTint="99"/>
          </w:tcPr>
          <w:p w14:paraId="2AC0C752" w14:textId="77777777" w:rsidR="00FC2614" w:rsidRPr="0071316B" w:rsidRDefault="00FC2614" w:rsidP="00E86509">
            <w:pPr>
              <w:spacing w:after="0" w:line="240" w:lineRule="auto"/>
              <w:rPr>
                <w:rFonts w:ascii="Times New Roman" w:hAnsi="Times New Roman"/>
                <w:color w:val="auto"/>
              </w:rPr>
            </w:pPr>
            <w:r w:rsidRPr="0071316B">
              <w:rPr>
                <w:rFonts w:ascii="Times New Roman" w:hAnsi="Times New Roman"/>
                <w:color w:val="auto"/>
              </w:rPr>
              <w:lastRenderedPageBreak/>
              <w:t>USŁUGI SPOŁECZNE DLA OSÓB STARSZYCH / INFRASTRUKTURA POMOCY SPOLECZNEJ – DANE ZA 2019 R.</w:t>
            </w:r>
          </w:p>
        </w:tc>
      </w:tr>
      <w:tr w:rsidR="0071316B" w:rsidRPr="0071316B" w14:paraId="4AC0B3C5" w14:textId="77777777" w:rsidTr="00AC738B">
        <w:trPr>
          <w:trHeight w:val="79"/>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0819B232"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r w:rsidRPr="0071316B">
              <w:rPr>
                <w:rFonts w:ascii="Times New Roman" w:eastAsia="Times New Roman" w:hAnsi="Times New Roman"/>
                <w:color w:val="auto"/>
                <w:lang w:eastAsia="pl-PL"/>
              </w:rPr>
              <w:t>Instytucje pomocy społecznej, w tym:</w:t>
            </w:r>
          </w:p>
        </w:tc>
        <w:tc>
          <w:tcPr>
            <w:tcW w:w="3065" w:type="dxa"/>
            <w:shd w:val="clear" w:color="auto" w:fill="9CC2E5" w:themeFill="accent1" w:themeFillTint="99"/>
          </w:tcPr>
          <w:p w14:paraId="5CD5D7D1"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71316B">
              <w:rPr>
                <w:rFonts w:ascii="Times New Roman" w:hAnsi="Times New Roman"/>
                <w:b/>
                <w:color w:val="auto"/>
              </w:rPr>
              <w:t>Rodzaj placówki</w:t>
            </w:r>
          </w:p>
        </w:tc>
        <w:tc>
          <w:tcPr>
            <w:tcW w:w="2947" w:type="dxa"/>
            <w:gridSpan w:val="3"/>
            <w:shd w:val="clear" w:color="auto" w:fill="9CC2E5" w:themeFill="accent1" w:themeFillTint="99"/>
          </w:tcPr>
          <w:p w14:paraId="12C55AD9"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71316B">
              <w:rPr>
                <w:rFonts w:ascii="Times New Roman" w:hAnsi="Times New Roman"/>
                <w:b/>
                <w:color w:val="auto"/>
              </w:rPr>
              <w:t>Liczba placówek</w:t>
            </w:r>
          </w:p>
        </w:tc>
        <w:tc>
          <w:tcPr>
            <w:tcW w:w="2948" w:type="dxa"/>
            <w:gridSpan w:val="3"/>
            <w:shd w:val="clear" w:color="auto" w:fill="9CC2E5" w:themeFill="accent1" w:themeFillTint="99"/>
          </w:tcPr>
          <w:p w14:paraId="383AFC37"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71316B">
              <w:rPr>
                <w:rFonts w:ascii="Times New Roman" w:hAnsi="Times New Roman"/>
                <w:b/>
                <w:color w:val="auto"/>
              </w:rPr>
              <w:t>Liczba miejsc dla osób starszych</w:t>
            </w:r>
          </w:p>
        </w:tc>
        <w:tc>
          <w:tcPr>
            <w:tcW w:w="2949" w:type="dxa"/>
            <w:shd w:val="clear" w:color="auto" w:fill="9CC2E5" w:themeFill="accent1" w:themeFillTint="99"/>
          </w:tcPr>
          <w:p w14:paraId="49EAAB76"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 korzystających osób starszych</w:t>
            </w:r>
            <w:r w:rsidRPr="0071316B">
              <w:rPr>
                <w:rStyle w:val="Odwoanieprzypisudolnego"/>
                <w:rFonts w:ascii="Times New Roman" w:hAnsi="Times New Roman"/>
                <w:b/>
                <w:color w:val="auto"/>
              </w:rPr>
              <w:footnoteReference w:id="131"/>
            </w:r>
          </w:p>
        </w:tc>
      </w:tr>
      <w:tr w:rsidR="0071316B" w:rsidRPr="0071316B" w14:paraId="45FC51CA" w14:textId="77777777" w:rsidTr="00AC738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DBD679A"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tcPr>
          <w:p w14:paraId="463C7362"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Ośrodki wsparcia ogółem</w:t>
            </w:r>
          </w:p>
        </w:tc>
        <w:tc>
          <w:tcPr>
            <w:tcW w:w="2947" w:type="dxa"/>
            <w:gridSpan w:val="3"/>
          </w:tcPr>
          <w:p w14:paraId="18235AC9"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187</w:t>
            </w:r>
          </w:p>
        </w:tc>
        <w:tc>
          <w:tcPr>
            <w:tcW w:w="2948" w:type="dxa"/>
            <w:gridSpan w:val="3"/>
          </w:tcPr>
          <w:p w14:paraId="1F5E7EE1"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7 773</w:t>
            </w:r>
          </w:p>
        </w:tc>
        <w:tc>
          <w:tcPr>
            <w:tcW w:w="2949" w:type="dxa"/>
          </w:tcPr>
          <w:p w14:paraId="07363783"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5 704</w:t>
            </w:r>
          </w:p>
        </w:tc>
      </w:tr>
      <w:tr w:rsidR="0071316B" w:rsidRPr="0071316B" w14:paraId="68864898" w14:textId="77777777" w:rsidTr="00AC738B">
        <w:trPr>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7BDA8ADF"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11909" w:type="dxa"/>
            <w:gridSpan w:val="8"/>
            <w:shd w:val="clear" w:color="auto" w:fill="9CC2E5" w:themeFill="accent1" w:themeFillTint="99"/>
          </w:tcPr>
          <w:p w14:paraId="0A0E7AB6"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 tym:</w:t>
            </w:r>
          </w:p>
        </w:tc>
      </w:tr>
      <w:tr w:rsidR="0071316B" w:rsidRPr="0071316B" w14:paraId="6786E06B" w14:textId="77777777" w:rsidTr="00AC738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029BDD11"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307C9398"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Środowiskowe Domy Samopomocy</w:t>
            </w:r>
          </w:p>
        </w:tc>
        <w:tc>
          <w:tcPr>
            <w:tcW w:w="2947" w:type="dxa"/>
            <w:gridSpan w:val="3"/>
            <w:shd w:val="clear" w:color="auto" w:fill="FFFFFF" w:themeFill="background1"/>
          </w:tcPr>
          <w:p w14:paraId="3636ED76"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78</w:t>
            </w:r>
          </w:p>
        </w:tc>
        <w:tc>
          <w:tcPr>
            <w:tcW w:w="2948" w:type="dxa"/>
            <w:gridSpan w:val="3"/>
            <w:shd w:val="clear" w:color="auto" w:fill="FFFFFF" w:themeFill="background1"/>
          </w:tcPr>
          <w:p w14:paraId="74409E08"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2 394</w:t>
            </w:r>
          </w:p>
        </w:tc>
        <w:tc>
          <w:tcPr>
            <w:tcW w:w="2949" w:type="dxa"/>
            <w:shd w:val="clear" w:color="auto" w:fill="FFFFFF" w:themeFill="background1"/>
          </w:tcPr>
          <w:p w14:paraId="6DFB94C3"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832</w:t>
            </w:r>
          </w:p>
        </w:tc>
      </w:tr>
      <w:tr w:rsidR="0071316B" w:rsidRPr="0071316B" w14:paraId="4FC13639" w14:textId="77777777" w:rsidTr="00AC738B">
        <w:trPr>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3C5C5225"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3CC83726"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Dzienne Domy Pomocy</w:t>
            </w:r>
          </w:p>
        </w:tc>
        <w:tc>
          <w:tcPr>
            <w:tcW w:w="2947" w:type="dxa"/>
            <w:gridSpan w:val="3"/>
            <w:shd w:val="clear" w:color="auto" w:fill="FFFFFF" w:themeFill="background1"/>
          </w:tcPr>
          <w:p w14:paraId="67F8813F"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w:t>
            </w:r>
          </w:p>
        </w:tc>
        <w:tc>
          <w:tcPr>
            <w:tcW w:w="2948" w:type="dxa"/>
            <w:gridSpan w:val="3"/>
            <w:shd w:val="clear" w:color="auto" w:fill="FFFFFF" w:themeFill="background1"/>
          </w:tcPr>
          <w:p w14:paraId="438342ED"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797</w:t>
            </w:r>
          </w:p>
        </w:tc>
        <w:tc>
          <w:tcPr>
            <w:tcW w:w="2949" w:type="dxa"/>
            <w:shd w:val="clear" w:color="auto" w:fill="FFFFFF" w:themeFill="background1"/>
          </w:tcPr>
          <w:p w14:paraId="1DAB4D4D"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1063</w:t>
            </w:r>
          </w:p>
        </w:tc>
      </w:tr>
      <w:tr w:rsidR="0071316B" w:rsidRPr="0071316B" w14:paraId="6E6F8903" w14:textId="77777777" w:rsidTr="00AC738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424A0BD6"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2DB4F67F"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Noclegownie, schroniska i domy dla osób bezdomnych</w:t>
            </w:r>
          </w:p>
        </w:tc>
        <w:tc>
          <w:tcPr>
            <w:tcW w:w="2947" w:type="dxa"/>
            <w:gridSpan w:val="3"/>
            <w:shd w:val="clear" w:color="auto" w:fill="FFFFFF" w:themeFill="background1"/>
          </w:tcPr>
          <w:p w14:paraId="1261333E"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19</w:t>
            </w:r>
          </w:p>
        </w:tc>
        <w:tc>
          <w:tcPr>
            <w:tcW w:w="2948" w:type="dxa"/>
            <w:gridSpan w:val="3"/>
            <w:shd w:val="clear" w:color="auto" w:fill="FFFFFF" w:themeFill="background1"/>
          </w:tcPr>
          <w:p w14:paraId="35F7817A"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715</w:t>
            </w:r>
          </w:p>
        </w:tc>
        <w:tc>
          <w:tcPr>
            <w:tcW w:w="2949" w:type="dxa"/>
            <w:shd w:val="clear" w:color="auto" w:fill="FFFFFF" w:themeFill="background1"/>
          </w:tcPr>
          <w:p w14:paraId="732F08BF"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553</w:t>
            </w:r>
          </w:p>
        </w:tc>
      </w:tr>
      <w:tr w:rsidR="0071316B" w:rsidRPr="0071316B" w14:paraId="124C961D" w14:textId="77777777" w:rsidTr="00AC738B">
        <w:trPr>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47E81B38"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2E69192C"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Ogrzewalnie</w:t>
            </w:r>
          </w:p>
        </w:tc>
        <w:tc>
          <w:tcPr>
            <w:tcW w:w="2947" w:type="dxa"/>
            <w:gridSpan w:val="3"/>
            <w:shd w:val="clear" w:color="auto" w:fill="FFFFFF" w:themeFill="background1"/>
          </w:tcPr>
          <w:p w14:paraId="10F7810F"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w:t>
            </w:r>
          </w:p>
        </w:tc>
        <w:tc>
          <w:tcPr>
            <w:tcW w:w="2948" w:type="dxa"/>
            <w:gridSpan w:val="3"/>
            <w:shd w:val="clear" w:color="auto" w:fill="FFFFFF" w:themeFill="background1"/>
          </w:tcPr>
          <w:p w14:paraId="021EC849"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90</w:t>
            </w:r>
          </w:p>
        </w:tc>
        <w:tc>
          <w:tcPr>
            <w:tcW w:w="2949" w:type="dxa"/>
            <w:shd w:val="clear" w:color="auto" w:fill="FFFFFF" w:themeFill="background1"/>
          </w:tcPr>
          <w:p w14:paraId="71F655F5"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150</w:t>
            </w:r>
          </w:p>
        </w:tc>
      </w:tr>
      <w:tr w:rsidR="0071316B" w:rsidRPr="0071316B" w14:paraId="5CDF2D5F" w14:textId="77777777" w:rsidTr="00AC738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1F27958D"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4CA112D8"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Kluby Samopomocy</w:t>
            </w:r>
          </w:p>
        </w:tc>
        <w:tc>
          <w:tcPr>
            <w:tcW w:w="2947" w:type="dxa"/>
            <w:gridSpan w:val="3"/>
            <w:shd w:val="clear" w:color="auto" w:fill="FFFFFF" w:themeFill="background1"/>
          </w:tcPr>
          <w:p w14:paraId="5A5CD364"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26</w:t>
            </w:r>
          </w:p>
        </w:tc>
        <w:tc>
          <w:tcPr>
            <w:tcW w:w="2948" w:type="dxa"/>
            <w:gridSpan w:val="3"/>
            <w:shd w:val="clear" w:color="auto" w:fill="FFFFFF" w:themeFill="background1"/>
          </w:tcPr>
          <w:p w14:paraId="362684E3"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823</w:t>
            </w:r>
          </w:p>
        </w:tc>
        <w:tc>
          <w:tcPr>
            <w:tcW w:w="2949" w:type="dxa"/>
            <w:shd w:val="clear" w:color="auto" w:fill="FFFFFF" w:themeFill="background1"/>
          </w:tcPr>
          <w:p w14:paraId="7EC4BEF8"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1 010</w:t>
            </w:r>
          </w:p>
        </w:tc>
      </w:tr>
      <w:tr w:rsidR="0071316B" w:rsidRPr="0071316B" w14:paraId="02C7DA0E" w14:textId="77777777" w:rsidTr="00AC738B">
        <w:trPr>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78DC8A52"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3FB372CF"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Placówki zapewniające całodobową opiekę osobom niepełnosprawnym, przewlekle chorym lub osobom w podeszłym wieku</w:t>
            </w:r>
          </w:p>
        </w:tc>
        <w:tc>
          <w:tcPr>
            <w:tcW w:w="2947" w:type="dxa"/>
            <w:gridSpan w:val="3"/>
            <w:shd w:val="clear" w:color="auto" w:fill="FFFFFF" w:themeFill="background1"/>
          </w:tcPr>
          <w:p w14:paraId="62485553"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41</w:t>
            </w:r>
          </w:p>
        </w:tc>
        <w:tc>
          <w:tcPr>
            <w:tcW w:w="2948" w:type="dxa"/>
            <w:gridSpan w:val="3"/>
            <w:shd w:val="clear" w:color="auto" w:fill="FFFFFF" w:themeFill="background1"/>
          </w:tcPr>
          <w:p w14:paraId="0BFE4119"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1 276</w:t>
            </w:r>
          </w:p>
        </w:tc>
        <w:tc>
          <w:tcPr>
            <w:tcW w:w="2949" w:type="dxa"/>
            <w:shd w:val="clear" w:color="auto" w:fill="FFFFFF" w:themeFill="background1"/>
          </w:tcPr>
          <w:p w14:paraId="34141DCC"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1 069</w:t>
            </w:r>
          </w:p>
        </w:tc>
      </w:tr>
      <w:tr w:rsidR="0071316B" w:rsidRPr="0071316B" w14:paraId="2B310219" w14:textId="77777777" w:rsidTr="00AC738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4804EE61"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0039C7ED"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Domy Pomocy Społecznej</w:t>
            </w:r>
          </w:p>
        </w:tc>
        <w:tc>
          <w:tcPr>
            <w:tcW w:w="2947" w:type="dxa"/>
            <w:gridSpan w:val="3"/>
            <w:shd w:val="clear" w:color="auto" w:fill="FFFFFF" w:themeFill="background1"/>
          </w:tcPr>
          <w:p w14:paraId="43B77A8E"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23</w:t>
            </w:r>
          </w:p>
        </w:tc>
        <w:tc>
          <w:tcPr>
            <w:tcW w:w="2948" w:type="dxa"/>
            <w:gridSpan w:val="3"/>
            <w:shd w:val="clear" w:color="auto" w:fill="FFFFFF" w:themeFill="background1"/>
          </w:tcPr>
          <w:p w14:paraId="70E580E9"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1181</w:t>
            </w:r>
          </w:p>
        </w:tc>
        <w:tc>
          <w:tcPr>
            <w:tcW w:w="2949" w:type="dxa"/>
            <w:shd w:val="clear" w:color="auto" w:fill="FFFFFF" w:themeFill="background1"/>
          </w:tcPr>
          <w:p w14:paraId="2F8F6561"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1532</w:t>
            </w:r>
          </w:p>
        </w:tc>
      </w:tr>
      <w:tr w:rsidR="0071316B" w:rsidRPr="0071316B" w14:paraId="3EDE1921" w14:textId="77777777" w:rsidTr="00AC738B">
        <w:trPr>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122A33FB"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7818CED1"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Mieszkania chronione ogółem</w:t>
            </w:r>
          </w:p>
        </w:tc>
        <w:tc>
          <w:tcPr>
            <w:tcW w:w="2947" w:type="dxa"/>
            <w:gridSpan w:val="3"/>
            <w:shd w:val="clear" w:color="auto" w:fill="FFFFFF" w:themeFill="background1"/>
          </w:tcPr>
          <w:p w14:paraId="6AC30F53"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73</w:t>
            </w:r>
          </w:p>
        </w:tc>
        <w:tc>
          <w:tcPr>
            <w:tcW w:w="2948" w:type="dxa"/>
            <w:gridSpan w:val="3"/>
            <w:shd w:val="clear" w:color="auto" w:fill="FFFFFF" w:themeFill="background1"/>
          </w:tcPr>
          <w:p w14:paraId="582FD677"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261</w:t>
            </w:r>
          </w:p>
        </w:tc>
        <w:tc>
          <w:tcPr>
            <w:tcW w:w="2949" w:type="dxa"/>
            <w:shd w:val="clear" w:color="auto" w:fill="FFFFFF" w:themeFill="background1"/>
          </w:tcPr>
          <w:p w14:paraId="3E4381FA"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82</w:t>
            </w:r>
          </w:p>
        </w:tc>
      </w:tr>
      <w:tr w:rsidR="0071316B" w:rsidRPr="0071316B" w14:paraId="7D36236D" w14:textId="77777777" w:rsidTr="00AC738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6976E180"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10B5D587"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Ośrodki Interwencji Kryzysowej ogółem</w:t>
            </w:r>
          </w:p>
        </w:tc>
        <w:tc>
          <w:tcPr>
            <w:tcW w:w="2947" w:type="dxa"/>
            <w:gridSpan w:val="3"/>
            <w:shd w:val="clear" w:color="auto" w:fill="FFFFFF" w:themeFill="background1"/>
          </w:tcPr>
          <w:p w14:paraId="2ACD5058"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9</w:t>
            </w:r>
          </w:p>
        </w:tc>
        <w:tc>
          <w:tcPr>
            <w:tcW w:w="2948" w:type="dxa"/>
            <w:gridSpan w:val="3"/>
            <w:shd w:val="clear" w:color="auto" w:fill="FFFFFF" w:themeFill="background1"/>
          </w:tcPr>
          <w:p w14:paraId="21901191"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50</w:t>
            </w:r>
          </w:p>
        </w:tc>
        <w:tc>
          <w:tcPr>
            <w:tcW w:w="2949" w:type="dxa"/>
            <w:shd w:val="clear" w:color="auto" w:fill="FFFFFF" w:themeFill="background1"/>
          </w:tcPr>
          <w:p w14:paraId="2EFEBA19"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456</w:t>
            </w:r>
          </w:p>
        </w:tc>
      </w:tr>
      <w:tr w:rsidR="0071316B" w:rsidRPr="0071316B" w14:paraId="3EBF9896" w14:textId="77777777" w:rsidTr="00AC738B">
        <w:trPr>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20F9FE57"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319F1F41"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Jednostki specjalistycznego poradnictwa</w:t>
            </w:r>
          </w:p>
        </w:tc>
        <w:tc>
          <w:tcPr>
            <w:tcW w:w="2947" w:type="dxa"/>
            <w:gridSpan w:val="3"/>
            <w:shd w:val="clear" w:color="auto" w:fill="FFFFFF" w:themeFill="background1"/>
          </w:tcPr>
          <w:p w14:paraId="407EDDAD"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19</w:t>
            </w:r>
          </w:p>
        </w:tc>
        <w:tc>
          <w:tcPr>
            <w:tcW w:w="2948" w:type="dxa"/>
            <w:gridSpan w:val="3"/>
            <w:shd w:val="clear" w:color="auto" w:fill="FFFFFF" w:themeFill="background1"/>
          </w:tcPr>
          <w:p w14:paraId="5E0B0040"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x</w:t>
            </w:r>
          </w:p>
        </w:tc>
        <w:tc>
          <w:tcPr>
            <w:tcW w:w="2949" w:type="dxa"/>
            <w:shd w:val="clear" w:color="auto" w:fill="FFFFFF" w:themeFill="background1"/>
          </w:tcPr>
          <w:p w14:paraId="67157F40"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1 617</w:t>
            </w:r>
          </w:p>
        </w:tc>
      </w:tr>
      <w:tr w:rsidR="0071316B" w:rsidRPr="0071316B" w14:paraId="017C9983" w14:textId="77777777" w:rsidTr="00AC738B">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7086F3AD"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043F2AC3"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Placówki Senior+, w tym:</w:t>
            </w:r>
          </w:p>
        </w:tc>
        <w:tc>
          <w:tcPr>
            <w:tcW w:w="8844" w:type="dxa"/>
            <w:gridSpan w:val="7"/>
            <w:shd w:val="clear" w:color="auto" w:fill="FFFFFF" w:themeFill="background1"/>
          </w:tcPr>
          <w:p w14:paraId="06583882"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p>
        </w:tc>
      </w:tr>
      <w:tr w:rsidR="0071316B" w:rsidRPr="0071316B" w14:paraId="518B7DC9" w14:textId="77777777" w:rsidTr="00AC738B">
        <w:trPr>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2419F89B"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136306C3"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Domy Dziennego Pobytu</w:t>
            </w:r>
          </w:p>
        </w:tc>
        <w:tc>
          <w:tcPr>
            <w:tcW w:w="2947" w:type="dxa"/>
            <w:gridSpan w:val="3"/>
            <w:shd w:val="clear" w:color="auto" w:fill="FFFFFF" w:themeFill="background1"/>
          </w:tcPr>
          <w:p w14:paraId="59072B83"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16</w:t>
            </w:r>
          </w:p>
        </w:tc>
        <w:tc>
          <w:tcPr>
            <w:tcW w:w="2948" w:type="dxa"/>
            <w:gridSpan w:val="3"/>
            <w:shd w:val="clear" w:color="auto" w:fill="FFFFFF" w:themeFill="background1"/>
          </w:tcPr>
          <w:p w14:paraId="031D196C"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354</w:t>
            </w:r>
          </w:p>
        </w:tc>
        <w:tc>
          <w:tcPr>
            <w:tcW w:w="2949" w:type="dxa"/>
            <w:shd w:val="clear" w:color="auto" w:fill="FFFFFF" w:themeFill="background1"/>
          </w:tcPr>
          <w:p w14:paraId="0E64F158"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443</w:t>
            </w:r>
          </w:p>
        </w:tc>
      </w:tr>
      <w:tr w:rsidR="0071316B" w:rsidRPr="0071316B" w14:paraId="1EB5DB4C" w14:textId="77777777" w:rsidTr="00AC738B">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6F655711"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1DCA1938"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Kluby Senior+</w:t>
            </w:r>
          </w:p>
        </w:tc>
        <w:tc>
          <w:tcPr>
            <w:tcW w:w="2947" w:type="dxa"/>
            <w:gridSpan w:val="3"/>
            <w:shd w:val="clear" w:color="auto" w:fill="FFFFFF" w:themeFill="background1"/>
          </w:tcPr>
          <w:p w14:paraId="6D363E80"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37</w:t>
            </w:r>
          </w:p>
        </w:tc>
        <w:tc>
          <w:tcPr>
            <w:tcW w:w="2948" w:type="dxa"/>
            <w:gridSpan w:val="3"/>
            <w:shd w:val="clear" w:color="auto" w:fill="FFFFFF" w:themeFill="background1"/>
          </w:tcPr>
          <w:p w14:paraId="5508A770"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1095</w:t>
            </w:r>
          </w:p>
        </w:tc>
        <w:tc>
          <w:tcPr>
            <w:tcW w:w="2949" w:type="dxa"/>
            <w:shd w:val="clear" w:color="auto" w:fill="FFFFFF" w:themeFill="background1"/>
          </w:tcPr>
          <w:p w14:paraId="480C661A"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2049</w:t>
            </w:r>
          </w:p>
        </w:tc>
      </w:tr>
      <w:tr w:rsidR="0071316B" w:rsidRPr="0071316B" w14:paraId="1D74CF1F" w14:textId="77777777" w:rsidTr="00AC738B">
        <w:trPr>
          <w:trHeight w:val="79"/>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41AAC302" w14:textId="77777777" w:rsidR="00FC2614" w:rsidRPr="0071316B" w:rsidRDefault="00FC2614" w:rsidP="00E86509">
            <w:pPr>
              <w:spacing w:after="0" w:line="240" w:lineRule="auto"/>
              <w:rPr>
                <w:rFonts w:ascii="Times New Roman" w:eastAsia="Times New Roman" w:hAnsi="Times New Roman"/>
                <w:color w:val="auto"/>
                <w:lang w:eastAsia="pl-PL"/>
              </w:rPr>
            </w:pPr>
          </w:p>
        </w:tc>
        <w:tc>
          <w:tcPr>
            <w:tcW w:w="3065" w:type="dxa"/>
            <w:shd w:val="clear" w:color="auto" w:fill="FFFFFF" w:themeFill="background1"/>
          </w:tcPr>
          <w:p w14:paraId="4F07F9BE"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Hospicja stacjonarne</w:t>
            </w:r>
          </w:p>
        </w:tc>
        <w:tc>
          <w:tcPr>
            <w:tcW w:w="2947" w:type="dxa"/>
            <w:gridSpan w:val="3"/>
            <w:shd w:val="clear" w:color="auto" w:fill="FFFFFF" w:themeFill="background1"/>
          </w:tcPr>
          <w:p w14:paraId="0004DBF3"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8</w:t>
            </w:r>
          </w:p>
        </w:tc>
        <w:tc>
          <w:tcPr>
            <w:tcW w:w="2948" w:type="dxa"/>
            <w:gridSpan w:val="3"/>
            <w:shd w:val="clear" w:color="auto" w:fill="FFFFFF" w:themeFill="background1"/>
          </w:tcPr>
          <w:p w14:paraId="5576984C"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228</w:t>
            </w:r>
          </w:p>
        </w:tc>
        <w:tc>
          <w:tcPr>
            <w:tcW w:w="2949" w:type="dxa"/>
            <w:shd w:val="clear" w:color="auto" w:fill="FFFFFF" w:themeFill="background1"/>
          </w:tcPr>
          <w:p w14:paraId="41BD7D18"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244</w:t>
            </w:r>
          </w:p>
        </w:tc>
      </w:tr>
      <w:tr w:rsidR="0071316B" w:rsidRPr="0071316B" w14:paraId="0BAAD9ED" w14:textId="77777777" w:rsidTr="00AC738B">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253AA417"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r w:rsidRPr="0071316B">
              <w:rPr>
                <w:rFonts w:ascii="Times New Roman" w:eastAsia="Times New Roman" w:hAnsi="Times New Roman"/>
                <w:color w:val="auto"/>
                <w:lang w:eastAsia="pl-PL"/>
              </w:rPr>
              <w:t>Usługi świadczone osobom starszym</w:t>
            </w:r>
            <w:r w:rsidRPr="0071316B">
              <w:rPr>
                <w:rStyle w:val="Odwoanieprzypisudolnego"/>
                <w:rFonts w:ascii="Times New Roman" w:hAnsi="Times New Roman"/>
                <w:color w:val="auto"/>
              </w:rPr>
              <w:footnoteReference w:id="132"/>
            </w:r>
          </w:p>
        </w:tc>
        <w:tc>
          <w:tcPr>
            <w:tcW w:w="3118" w:type="dxa"/>
            <w:gridSpan w:val="2"/>
            <w:shd w:val="clear" w:color="auto" w:fill="9CC2E5" w:themeFill="accent1" w:themeFillTint="99"/>
          </w:tcPr>
          <w:p w14:paraId="55B5D94D"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Rodzaj usług</w:t>
            </w:r>
          </w:p>
        </w:tc>
        <w:tc>
          <w:tcPr>
            <w:tcW w:w="3684" w:type="dxa"/>
            <w:gridSpan w:val="3"/>
            <w:shd w:val="clear" w:color="auto" w:fill="9CC2E5" w:themeFill="accent1" w:themeFillTint="99"/>
          </w:tcPr>
          <w:p w14:paraId="3C5E3BBC"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 osób starszych objętych pomocą</w:t>
            </w:r>
          </w:p>
        </w:tc>
        <w:tc>
          <w:tcPr>
            <w:tcW w:w="5107" w:type="dxa"/>
            <w:gridSpan w:val="3"/>
            <w:shd w:val="clear" w:color="auto" w:fill="9CC2E5" w:themeFill="accent1" w:themeFillTint="99"/>
          </w:tcPr>
          <w:p w14:paraId="06267032"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Wysokość środków przeznaczonych na usługi</w:t>
            </w:r>
          </w:p>
        </w:tc>
      </w:tr>
      <w:tr w:rsidR="0071316B" w:rsidRPr="0071316B" w14:paraId="08965E79" w14:textId="77777777" w:rsidTr="00AC738B">
        <w:trPr>
          <w:trHeight w:val="118"/>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34770F92"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118" w:type="dxa"/>
            <w:gridSpan w:val="2"/>
          </w:tcPr>
          <w:p w14:paraId="569D2FE6" w14:textId="11072C8C" w:rsidR="00FC2614" w:rsidRPr="0071316B" w:rsidRDefault="00447699"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Usługi o</w:t>
            </w:r>
            <w:r w:rsidR="00FC2614" w:rsidRPr="0071316B">
              <w:rPr>
                <w:rFonts w:ascii="Times New Roman" w:hAnsi="Times New Roman"/>
                <w:color w:val="auto"/>
              </w:rPr>
              <w:t>piekuńcze ogółem</w:t>
            </w:r>
          </w:p>
        </w:tc>
        <w:tc>
          <w:tcPr>
            <w:tcW w:w="3684" w:type="dxa"/>
            <w:gridSpan w:val="3"/>
          </w:tcPr>
          <w:p w14:paraId="67437EEB"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7 440</w:t>
            </w:r>
          </w:p>
        </w:tc>
        <w:tc>
          <w:tcPr>
            <w:tcW w:w="5107" w:type="dxa"/>
            <w:gridSpan w:val="3"/>
          </w:tcPr>
          <w:p w14:paraId="2368DA95"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52 258 438</w:t>
            </w:r>
          </w:p>
        </w:tc>
      </w:tr>
      <w:tr w:rsidR="00A00C5F" w:rsidRPr="0071316B" w14:paraId="73889763" w14:textId="77777777" w:rsidTr="00AC738B">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0BB3015B" w14:textId="77777777" w:rsidR="00A00C5F" w:rsidRPr="0071316B" w:rsidRDefault="00A00C5F" w:rsidP="00E86509">
            <w:pPr>
              <w:spacing w:after="0" w:line="240" w:lineRule="auto"/>
              <w:rPr>
                <w:rFonts w:ascii="Times New Roman" w:eastAsia="Times New Roman" w:hAnsi="Times New Roman"/>
                <w:b w:val="0"/>
                <w:bCs w:val="0"/>
                <w:color w:val="auto"/>
                <w:lang w:eastAsia="pl-PL"/>
              </w:rPr>
            </w:pPr>
          </w:p>
        </w:tc>
        <w:tc>
          <w:tcPr>
            <w:tcW w:w="11909" w:type="dxa"/>
            <w:gridSpan w:val="8"/>
            <w:shd w:val="clear" w:color="auto" w:fill="9CC2E5" w:themeFill="accent1" w:themeFillTint="99"/>
          </w:tcPr>
          <w:p w14:paraId="6D47B8C7" w14:textId="77777777" w:rsidR="00A00C5F" w:rsidRPr="0071316B" w:rsidRDefault="00A00C5F"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w tym:</w:t>
            </w:r>
          </w:p>
        </w:tc>
      </w:tr>
      <w:tr w:rsidR="0071316B" w:rsidRPr="0071316B" w14:paraId="36D8BBA4" w14:textId="77777777" w:rsidTr="00AC738B">
        <w:trPr>
          <w:trHeight w:val="118"/>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A249CC9"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118" w:type="dxa"/>
            <w:gridSpan w:val="2"/>
            <w:shd w:val="clear" w:color="auto" w:fill="FFFFFF" w:themeFill="background1"/>
          </w:tcPr>
          <w:p w14:paraId="499FB38B" w14:textId="3FAABE02" w:rsidR="00FC2614" w:rsidRPr="0071316B" w:rsidRDefault="00447699"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FC2614" w:rsidRPr="0071316B">
              <w:rPr>
                <w:rFonts w:ascii="Times New Roman" w:hAnsi="Times New Roman"/>
                <w:color w:val="auto"/>
              </w:rPr>
              <w:t xml:space="preserve">pecjalistyczne </w:t>
            </w:r>
            <w:r>
              <w:rPr>
                <w:rFonts w:ascii="Times New Roman" w:hAnsi="Times New Roman"/>
                <w:color w:val="auto"/>
              </w:rPr>
              <w:t xml:space="preserve">usługi </w:t>
            </w:r>
            <w:r w:rsidR="00FC2614" w:rsidRPr="0071316B">
              <w:rPr>
                <w:rFonts w:ascii="Times New Roman" w:hAnsi="Times New Roman"/>
                <w:color w:val="auto"/>
              </w:rPr>
              <w:t>opiekuńcze</w:t>
            </w:r>
          </w:p>
        </w:tc>
        <w:tc>
          <w:tcPr>
            <w:tcW w:w="3684" w:type="dxa"/>
            <w:gridSpan w:val="3"/>
            <w:shd w:val="clear" w:color="auto" w:fill="FFFFFF" w:themeFill="background1"/>
          </w:tcPr>
          <w:p w14:paraId="0EB7C440"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304</w:t>
            </w:r>
          </w:p>
        </w:tc>
        <w:tc>
          <w:tcPr>
            <w:tcW w:w="5107" w:type="dxa"/>
            <w:gridSpan w:val="3"/>
            <w:shd w:val="clear" w:color="auto" w:fill="FFFFFF" w:themeFill="background1"/>
          </w:tcPr>
          <w:p w14:paraId="3AF07C2E"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1 709 254</w:t>
            </w:r>
          </w:p>
        </w:tc>
      </w:tr>
      <w:tr w:rsidR="0071316B" w:rsidRPr="0071316B" w14:paraId="0A270329" w14:textId="77777777" w:rsidTr="00AC738B">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33A34EA2"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118" w:type="dxa"/>
            <w:gridSpan w:val="2"/>
            <w:shd w:val="clear" w:color="auto" w:fill="FFFFFF" w:themeFill="background1"/>
          </w:tcPr>
          <w:p w14:paraId="1B0C5E57" w14:textId="6E1AC813" w:rsidR="00FC2614" w:rsidRPr="0071316B" w:rsidRDefault="00447699"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FC2614" w:rsidRPr="0071316B">
              <w:rPr>
                <w:rFonts w:ascii="Times New Roman" w:hAnsi="Times New Roman"/>
                <w:color w:val="auto"/>
              </w:rPr>
              <w:t xml:space="preserve">pecjalistyczne usługi </w:t>
            </w:r>
            <w:r>
              <w:rPr>
                <w:rFonts w:ascii="Times New Roman" w:hAnsi="Times New Roman"/>
                <w:color w:val="auto"/>
              </w:rPr>
              <w:t xml:space="preserve">opiekuńcze w miejscu zamieszkania </w:t>
            </w:r>
            <w:r w:rsidR="00FC2614" w:rsidRPr="0071316B">
              <w:rPr>
                <w:rFonts w:ascii="Times New Roman" w:hAnsi="Times New Roman"/>
                <w:color w:val="auto"/>
              </w:rPr>
              <w:t>dla osób z zaburzeniami psychicznymi</w:t>
            </w:r>
          </w:p>
        </w:tc>
        <w:tc>
          <w:tcPr>
            <w:tcW w:w="3684" w:type="dxa"/>
            <w:gridSpan w:val="3"/>
            <w:shd w:val="clear" w:color="auto" w:fill="FFFFFF" w:themeFill="background1"/>
          </w:tcPr>
          <w:p w14:paraId="448C0001"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346</w:t>
            </w:r>
          </w:p>
        </w:tc>
        <w:tc>
          <w:tcPr>
            <w:tcW w:w="5107" w:type="dxa"/>
            <w:gridSpan w:val="3"/>
            <w:shd w:val="clear" w:color="auto" w:fill="FFFFFF" w:themeFill="background1"/>
          </w:tcPr>
          <w:p w14:paraId="49E8FC61"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2 812 060</w:t>
            </w:r>
          </w:p>
        </w:tc>
      </w:tr>
      <w:tr w:rsidR="0071316B" w:rsidRPr="0071316B" w14:paraId="39A00572" w14:textId="77777777" w:rsidTr="00AC738B">
        <w:trPr>
          <w:trHeight w:val="194"/>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15B10148"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r w:rsidRPr="0071316B">
              <w:rPr>
                <w:rFonts w:ascii="Times New Roman" w:eastAsia="Times New Roman" w:hAnsi="Times New Roman"/>
                <w:color w:val="auto"/>
                <w:lang w:eastAsia="pl-PL"/>
              </w:rPr>
              <w:t>Świadczenia pieniężne przyznane osobom starszym</w:t>
            </w:r>
            <w:r w:rsidRPr="0071316B">
              <w:rPr>
                <w:rStyle w:val="Odwoanieprzypisudolnego"/>
                <w:rFonts w:ascii="Times New Roman" w:hAnsi="Times New Roman"/>
                <w:color w:val="auto"/>
              </w:rPr>
              <w:footnoteReference w:id="133"/>
            </w:r>
          </w:p>
        </w:tc>
        <w:tc>
          <w:tcPr>
            <w:tcW w:w="3118" w:type="dxa"/>
            <w:gridSpan w:val="2"/>
            <w:shd w:val="clear" w:color="auto" w:fill="9CC2E5" w:themeFill="accent1" w:themeFillTint="99"/>
          </w:tcPr>
          <w:p w14:paraId="428AE246"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Nazwa świadczenia</w:t>
            </w:r>
          </w:p>
        </w:tc>
        <w:tc>
          <w:tcPr>
            <w:tcW w:w="3684" w:type="dxa"/>
            <w:gridSpan w:val="3"/>
            <w:shd w:val="clear" w:color="auto" w:fill="9CC2E5" w:themeFill="accent1" w:themeFillTint="99"/>
          </w:tcPr>
          <w:p w14:paraId="65177D55"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Liczba osób starszych</w:t>
            </w:r>
          </w:p>
        </w:tc>
        <w:tc>
          <w:tcPr>
            <w:tcW w:w="5107" w:type="dxa"/>
            <w:gridSpan w:val="3"/>
            <w:shd w:val="clear" w:color="auto" w:fill="9CC2E5" w:themeFill="accent1" w:themeFillTint="99"/>
          </w:tcPr>
          <w:p w14:paraId="513000EB"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71316B">
              <w:rPr>
                <w:rFonts w:ascii="Times New Roman" w:hAnsi="Times New Roman"/>
                <w:b/>
                <w:color w:val="auto"/>
              </w:rPr>
              <w:t>Kwota świadczenia</w:t>
            </w:r>
          </w:p>
        </w:tc>
      </w:tr>
      <w:tr w:rsidR="0071316B" w:rsidRPr="0071316B" w14:paraId="452C83B0" w14:textId="77777777" w:rsidTr="00AC738B">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4AFDCA98"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118" w:type="dxa"/>
            <w:gridSpan w:val="2"/>
            <w:shd w:val="clear" w:color="auto" w:fill="FFFFFF" w:themeFill="background1"/>
          </w:tcPr>
          <w:p w14:paraId="0551FD71"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Zasiłek stały</w:t>
            </w:r>
          </w:p>
        </w:tc>
        <w:tc>
          <w:tcPr>
            <w:tcW w:w="3684" w:type="dxa"/>
            <w:gridSpan w:val="3"/>
            <w:shd w:val="clear" w:color="auto" w:fill="FFFFFF" w:themeFill="background1"/>
          </w:tcPr>
          <w:p w14:paraId="357491D2"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5 137</w:t>
            </w:r>
          </w:p>
        </w:tc>
        <w:tc>
          <w:tcPr>
            <w:tcW w:w="5107" w:type="dxa"/>
            <w:gridSpan w:val="3"/>
            <w:shd w:val="clear" w:color="auto" w:fill="FFFFFF" w:themeFill="background1"/>
          </w:tcPr>
          <w:p w14:paraId="540B00DA"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31 107 940</w:t>
            </w:r>
          </w:p>
        </w:tc>
      </w:tr>
      <w:tr w:rsidR="0071316B" w:rsidRPr="0071316B" w14:paraId="37330606" w14:textId="77777777" w:rsidTr="00AC738B">
        <w:trPr>
          <w:trHeight w:val="19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7C4BE45"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118" w:type="dxa"/>
            <w:gridSpan w:val="2"/>
            <w:shd w:val="clear" w:color="auto" w:fill="FFFFFF" w:themeFill="background1"/>
          </w:tcPr>
          <w:p w14:paraId="31C433E9"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Zasiłek okresowy</w:t>
            </w:r>
          </w:p>
        </w:tc>
        <w:tc>
          <w:tcPr>
            <w:tcW w:w="3684" w:type="dxa"/>
            <w:gridSpan w:val="3"/>
            <w:shd w:val="clear" w:color="auto" w:fill="FFFFFF" w:themeFill="background1"/>
          </w:tcPr>
          <w:p w14:paraId="4F083920"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4 487</w:t>
            </w:r>
          </w:p>
        </w:tc>
        <w:tc>
          <w:tcPr>
            <w:tcW w:w="5107" w:type="dxa"/>
            <w:gridSpan w:val="3"/>
            <w:shd w:val="clear" w:color="auto" w:fill="FFFFFF" w:themeFill="background1"/>
          </w:tcPr>
          <w:p w14:paraId="09846568"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5 943 000</w:t>
            </w:r>
          </w:p>
        </w:tc>
      </w:tr>
      <w:tr w:rsidR="0071316B" w:rsidRPr="0071316B" w14:paraId="28EC044A" w14:textId="77777777" w:rsidTr="00AC738B">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3B7AD358"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118" w:type="dxa"/>
            <w:gridSpan w:val="2"/>
            <w:shd w:val="clear" w:color="auto" w:fill="FFFFFF" w:themeFill="background1"/>
          </w:tcPr>
          <w:p w14:paraId="720AB587" w14:textId="77777777" w:rsidR="00FC2614" w:rsidRPr="0071316B" w:rsidRDefault="00FC2614"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Zasiłek celowy</w:t>
            </w:r>
          </w:p>
        </w:tc>
        <w:tc>
          <w:tcPr>
            <w:tcW w:w="3684" w:type="dxa"/>
            <w:gridSpan w:val="3"/>
            <w:shd w:val="clear" w:color="auto" w:fill="FFFFFF" w:themeFill="background1"/>
          </w:tcPr>
          <w:p w14:paraId="1FE2DEBA"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8 810</w:t>
            </w:r>
          </w:p>
        </w:tc>
        <w:tc>
          <w:tcPr>
            <w:tcW w:w="5107" w:type="dxa"/>
            <w:gridSpan w:val="3"/>
            <w:shd w:val="clear" w:color="auto" w:fill="FFFFFF" w:themeFill="background1"/>
          </w:tcPr>
          <w:p w14:paraId="5D874196" w14:textId="77777777" w:rsidR="00FC2614" w:rsidRPr="0071316B" w:rsidRDefault="00FC261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11 109 542</w:t>
            </w:r>
          </w:p>
        </w:tc>
      </w:tr>
      <w:tr w:rsidR="0071316B" w:rsidRPr="0071316B" w14:paraId="3092B83D" w14:textId="77777777" w:rsidTr="00AC738B">
        <w:trPr>
          <w:trHeight w:val="190"/>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016D5AD6" w14:textId="77777777" w:rsidR="00FC2614" w:rsidRPr="0071316B" w:rsidRDefault="00FC2614" w:rsidP="00E86509">
            <w:pPr>
              <w:spacing w:after="0" w:line="240" w:lineRule="auto"/>
              <w:rPr>
                <w:rFonts w:ascii="Times New Roman" w:eastAsia="Times New Roman" w:hAnsi="Times New Roman"/>
                <w:b w:val="0"/>
                <w:bCs w:val="0"/>
                <w:color w:val="auto"/>
                <w:lang w:eastAsia="pl-PL"/>
              </w:rPr>
            </w:pPr>
          </w:p>
        </w:tc>
        <w:tc>
          <w:tcPr>
            <w:tcW w:w="3118" w:type="dxa"/>
            <w:gridSpan w:val="2"/>
            <w:shd w:val="clear" w:color="auto" w:fill="FFFFFF" w:themeFill="background1"/>
          </w:tcPr>
          <w:p w14:paraId="5B426FF3"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Specjalny zasiłek celowy</w:t>
            </w:r>
          </w:p>
        </w:tc>
        <w:tc>
          <w:tcPr>
            <w:tcW w:w="3684" w:type="dxa"/>
            <w:gridSpan w:val="3"/>
            <w:shd w:val="clear" w:color="auto" w:fill="FFFFFF" w:themeFill="background1"/>
          </w:tcPr>
          <w:p w14:paraId="1ECD9D90"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8 222</w:t>
            </w:r>
          </w:p>
        </w:tc>
        <w:tc>
          <w:tcPr>
            <w:tcW w:w="5107" w:type="dxa"/>
            <w:gridSpan w:val="3"/>
            <w:shd w:val="clear" w:color="auto" w:fill="FFFFFF" w:themeFill="background1"/>
          </w:tcPr>
          <w:p w14:paraId="51226BE9" w14:textId="77777777" w:rsidR="00FC2614" w:rsidRPr="0071316B" w:rsidRDefault="00FC2614"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5 850 846</w:t>
            </w:r>
          </w:p>
        </w:tc>
      </w:tr>
      <w:tr w:rsidR="0071316B" w:rsidRPr="0071316B" w14:paraId="798A152F" w14:textId="77777777" w:rsidTr="00AC738B">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28" w:type="dxa"/>
            <w:vMerge w:val="restart"/>
            <w:shd w:val="clear" w:color="auto" w:fill="9CC2E5" w:themeFill="accent1" w:themeFillTint="99"/>
          </w:tcPr>
          <w:p w14:paraId="07B2D9E6" w14:textId="77777777" w:rsidR="00FC2614" w:rsidRPr="0071316B" w:rsidRDefault="00FC2614" w:rsidP="00E86509">
            <w:pPr>
              <w:spacing w:after="0" w:line="240" w:lineRule="auto"/>
              <w:rPr>
                <w:rFonts w:ascii="Times New Roman" w:hAnsi="Times New Roman"/>
                <w:b w:val="0"/>
                <w:color w:val="auto"/>
                <w:lang w:eastAsia="pl-PL"/>
              </w:rPr>
            </w:pPr>
            <w:r w:rsidRPr="0071316B">
              <w:rPr>
                <w:rFonts w:ascii="Times New Roman" w:hAnsi="Times New Roman"/>
                <w:color w:val="auto"/>
                <w:lang w:eastAsia="pl-PL"/>
              </w:rPr>
              <w:t xml:space="preserve">Największe problemy/niedogodności w świadczeniu opieki nad osobami starszymi (np. </w:t>
            </w:r>
            <w:r w:rsidRPr="0071316B">
              <w:rPr>
                <w:rFonts w:ascii="Times New Roman" w:hAnsi="Times New Roman"/>
                <w:color w:val="auto"/>
                <w:lang w:eastAsia="pl-PL"/>
              </w:rPr>
              <w:lastRenderedPageBreak/>
              <w:t>zasoby kadrowe, rzeczowe, finansowe itp.)</w:t>
            </w:r>
          </w:p>
        </w:tc>
        <w:tc>
          <w:tcPr>
            <w:tcW w:w="11909" w:type="dxa"/>
            <w:gridSpan w:val="8"/>
            <w:shd w:val="clear" w:color="auto" w:fill="FFFFFF" w:themeFill="background1"/>
          </w:tcPr>
          <w:p w14:paraId="735E08F2" w14:textId="77777777" w:rsidR="00FC2614" w:rsidRPr="00987FE0" w:rsidRDefault="00FC2614" w:rsidP="00E86509">
            <w:pPr>
              <w:pStyle w:val="Akapitzlist"/>
              <w:numPr>
                <w:ilvl w:val="3"/>
                <w:numId w:val="38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987FE0">
              <w:rPr>
                <w:rFonts w:ascii="Times New Roman" w:hAnsi="Times New Roman"/>
                <w:bCs/>
                <w:color w:val="auto"/>
              </w:rPr>
              <w:lastRenderedPageBreak/>
              <w:t>Trudności w znalezieniu chętnych osób do realizacji usług opiekuńczych (odpowiedzialne i wymagające zajęcie przy  stosunkowo niskim wynagrodzeniu) oraz brak dostatecznych środków finansowych na wsparcie osób starszych.</w:t>
            </w:r>
          </w:p>
        </w:tc>
      </w:tr>
      <w:tr w:rsidR="0071316B" w:rsidRPr="0071316B" w14:paraId="6A22F3E6" w14:textId="77777777" w:rsidTr="00AC738B">
        <w:trPr>
          <w:trHeight w:val="442"/>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415BB438" w14:textId="77777777" w:rsidR="00FC2614" w:rsidRPr="0071316B" w:rsidRDefault="00FC2614" w:rsidP="00E86509">
            <w:pPr>
              <w:spacing w:after="0" w:line="240" w:lineRule="auto"/>
              <w:rPr>
                <w:rFonts w:ascii="Times New Roman" w:hAnsi="Times New Roman"/>
                <w:color w:val="auto"/>
                <w:lang w:eastAsia="pl-PL"/>
              </w:rPr>
            </w:pPr>
          </w:p>
        </w:tc>
        <w:tc>
          <w:tcPr>
            <w:tcW w:w="11909" w:type="dxa"/>
            <w:gridSpan w:val="8"/>
            <w:shd w:val="clear" w:color="auto" w:fill="FFFFFF" w:themeFill="background1"/>
          </w:tcPr>
          <w:p w14:paraId="761DA3D4" w14:textId="77777777" w:rsidR="00FC2614" w:rsidRPr="00987FE0" w:rsidRDefault="00FC2614" w:rsidP="00E86509">
            <w:pPr>
              <w:pStyle w:val="Akapitzlist"/>
              <w:numPr>
                <w:ilvl w:val="3"/>
                <w:numId w:val="384"/>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i/>
                <w:color w:val="auto"/>
              </w:rPr>
            </w:pPr>
            <w:r w:rsidRPr="00987FE0">
              <w:rPr>
                <w:rFonts w:ascii="Times New Roman" w:hAnsi="Times New Roman"/>
                <w:color w:val="auto"/>
              </w:rPr>
              <w:t>Konieczność dotarcia z ofertą działalności pro-senioralnej do osób, które potrzebują pomocy ale ją w pierwszej chwili odrzucają. Wspólne starania wielu instytucji (OPS, sołtysi, organizacje pożytku publicznego) dla dotarcia do osób potrzebujących pomimo ich niechęci</w:t>
            </w:r>
            <w:r w:rsidRPr="00987FE0">
              <w:rPr>
                <w:rFonts w:ascii="Times New Roman" w:hAnsi="Times New Roman"/>
                <w:i/>
                <w:color w:val="auto"/>
              </w:rPr>
              <w:t xml:space="preserve">.  </w:t>
            </w:r>
          </w:p>
        </w:tc>
      </w:tr>
      <w:tr w:rsidR="0071316B" w:rsidRPr="0071316B" w14:paraId="51F92230" w14:textId="77777777" w:rsidTr="00AC738B">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28" w:type="dxa"/>
            <w:vMerge/>
            <w:shd w:val="clear" w:color="auto" w:fill="9CC2E5" w:themeFill="accent1" w:themeFillTint="99"/>
          </w:tcPr>
          <w:p w14:paraId="59F3B05F" w14:textId="77777777" w:rsidR="00FC2614" w:rsidRPr="0071316B" w:rsidRDefault="00FC2614" w:rsidP="00E86509">
            <w:pPr>
              <w:spacing w:after="0" w:line="240" w:lineRule="auto"/>
              <w:rPr>
                <w:rFonts w:ascii="Times New Roman" w:hAnsi="Times New Roman"/>
                <w:color w:val="auto"/>
                <w:lang w:eastAsia="pl-PL"/>
              </w:rPr>
            </w:pPr>
          </w:p>
        </w:tc>
        <w:tc>
          <w:tcPr>
            <w:tcW w:w="11909" w:type="dxa"/>
            <w:gridSpan w:val="8"/>
            <w:shd w:val="clear" w:color="auto" w:fill="FFFFFF" w:themeFill="background1"/>
          </w:tcPr>
          <w:p w14:paraId="74C202FA" w14:textId="77777777" w:rsidR="00FC2614" w:rsidRPr="00987FE0" w:rsidRDefault="00FC2614" w:rsidP="00E86509">
            <w:pPr>
              <w:pStyle w:val="Akapitzlist"/>
              <w:numPr>
                <w:ilvl w:val="3"/>
                <w:numId w:val="38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87FE0">
              <w:rPr>
                <w:rFonts w:ascii="Times New Roman" w:hAnsi="Times New Roman"/>
                <w:color w:val="auto"/>
              </w:rPr>
              <w:t>Związane z indywidualnymi potrzebami klientów oczekiwania dotyczące pory dnia w jakiej mają być świadczone usługi opiekuńcze. W większości środowisk, w których świadczone są usługi opiekuńcze istnieje potrzeba bądź oczekiwanie ze strony klienta na świadczenie usług w godzinach porannych. Zabezpieczenie wszystkich środowisk zgodnie z potrzebami i oczekiwaniami (często w niewielkiej liczbie godzin) powoduje konieczność zatrudniania na umowę zlecenie wielu opiekunek. Stwarza to sytuację, że część opiekunek pracuje w niewielkim wymiarze godzin, czego konsekwencją jest niskie wynagrodzenie i brak motywacji do dalszej współpracy.</w:t>
            </w:r>
          </w:p>
        </w:tc>
      </w:tr>
      <w:tr w:rsidR="0071316B" w:rsidRPr="0071316B" w14:paraId="756B9A39" w14:textId="77777777" w:rsidTr="00AC738B">
        <w:trPr>
          <w:trHeight w:val="442"/>
        </w:trPr>
        <w:tc>
          <w:tcPr>
            <w:cnfStyle w:val="001000000000" w:firstRow="0" w:lastRow="0" w:firstColumn="1" w:lastColumn="0" w:oddVBand="0" w:evenVBand="0" w:oddHBand="0" w:evenHBand="0" w:firstRowFirstColumn="0" w:firstRowLastColumn="0" w:lastRowFirstColumn="0" w:lastRowLastColumn="0"/>
            <w:tcW w:w="2828" w:type="dxa"/>
            <w:shd w:val="clear" w:color="auto" w:fill="9CC2E5" w:themeFill="accent1" w:themeFillTint="99"/>
          </w:tcPr>
          <w:p w14:paraId="5DA15E88" w14:textId="77777777" w:rsidR="00FC2614" w:rsidRPr="0071316B" w:rsidRDefault="00FC2614" w:rsidP="00E86509">
            <w:pPr>
              <w:spacing w:after="0" w:line="240" w:lineRule="auto"/>
              <w:rPr>
                <w:rFonts w:ascii="Times New Roman" w:hAnsi="Times New Roman"/>
                <w:color w:val="auto"/>
                <w:lang w:eastAsia="pl-PL"/>
              </w:rPr>
            </w:pPr>
            <w:r w:rsidRPr="0071316B">
              <w:rPr>
                <w:rFonts w:ascii="Times New Roman" w:hAnsi="Times New Roman"/>
                <w:color w:val="auto"/>
                <w:lang w:eastAsia="pl-PL"/>
              </w:rPr>
              <w:t xml:space="preserve">Stopień </w:t>
            </w:r>
            <w:r w:rsidRPr="00987FE0">
              <w:rPr>
                <w:rFonts w:ascii="Times New Roman" w:hAnsi="Times New Roman"/>
                <w:color w:val="auto"/>
                <w:shd w:val="clear" w:color="auto" w:fill="9CC2E5" w:themeFill="accent1" w:themeFillTint="99"/>
                <w:lang w:eastAsia="pl-PL"/>
              </w:rPr>
              <w:t>zaspokojenia potrzeb w zakresie usług opiekuńczych</w:t>
            </w:r>
          </w:p>
        </w:tc>
        <w:tc>
          <w:tcPr>
            <w:tcW w:w="11909" w:type="dxa"/>
            <w:gridSpan w:val="8"/>
          </w:tcPr>
          <w:p w14:paraId="12B4721B" w14:textId="77777777" w:rsidR="00FC2614" w:rsidRPr="0071316B" w:rsidRDefault="00FC2614" w:rsidP="00E86509">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Rośnie udział osób starszych w populacji regionu, maleją rodzinne zasoby opiekuńcze a zwiększa się poziom społecznych zagrożeń dla zdrowia psychicznego. Prawie połowa starszych Polaków deklaruje wystąpienie objawów depresji.</w:t>
            </w:r>
            <w:r w:rsidRPr="0071316B">
              <w:rPr>
                <w:rStyle w:val="Odwoanieprzypisudolnego"/>
                <w:rFonts w:ascii="Times New Roman" w:hAnsi="Times New Roman"/>
                <w:color w:val="auto"/>
              </w:rPr>
              <w:footnoteReference w:id="134"/>
            </w:r>
            <w:r w:rsidRPr="0071316B">
              <w:rPr>
                <w:rFonts w:ascii="Times New Roman" w:hAnsi="Times New Roman"/>
                <w:color w:val="auto"/>
              </w:rPr>
              <w:t xml:space="preserve"> Zwiększa się liczba osób objętych pomocą w formie usług opiekuńczych jednak w dalszym  ciągu występują problemy w zakresie finansowym i kadrowym. </w:t>
            </w:r>
            <w:r w:rsidRPr="0071316B">
              <w:rPr>
                <w:rStyle w:val="Odwoanieprzypisudolnego"/>
                <w:rFonts w:ascii="Times New Roman" w:hAnsi="Times New Roman"/>
                <w:color w:val="auto"/>
              </w:rPr>
              <w:footnoteReference w:id="135"/>
            </w:r>
          </w:p>
          <w:p w14:paraId="2F8A4276" w14:textId="77777777" w:rsidR="00FC2614" w:rsidRPr="0071316B" w:rsidRDefault="00FC2614" w:rsidP="00E86509">
            <w:pPr>
              <w:spacing w:after="0" w:line="240" w:lineRule="auto"/>
              <w:contextual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pl-PL"/>
              </w:rPr>
            </w:pPr>
            <w:r w:rsidRPr="0071316B">
              <w:rPr>
                <w:rFonts w:ascii="Times New Roman" w:hAnsi="Times New Roman"/>
                <w:color w:val="auto"/>
              </w:rPr>
              <w:t>Ciągle jest zbyt mało usług opiekuńczych w stosunku do szacowan</w:t>
            </w:r>
            <w:r w:rsidR="00413508" w:rsidRPr="0071316B">
              <w:rPr>
                <w:rFonts w:ascii="Times New Roman" w:hAnsi="Times New Roman"/>
                <w:color w:val="auto"/>
              </w:rPr>
              <w:t>ego zapotrzebowania. W 2019 r.</w:t>
            </w:r>
            <w:r w:rsidRPr="0071316B">
              <w:rPr>
                <w:rFonts w:ascii="Times New Roman" w:hAnsi="Times New Roman"/>
                <w:color w:val="auto"/>
              </w:rPr>
              <w:t xml:space="preserve"> z usług opiekuńczych świadczonych przez gminy skorzystało nieco więcej osób niż przed rokiem i w poprzednich latach, ale ich zasięg nadal jest dość niewielki. Maleje natomiast grono gmin, w których usługi opiekuńcze nie są świadczone.</w:t>
            </w:r>
            <w:r w:rsidRPr="0071316B">
              <w:rPr>
                <w:rFonts w:ascii="Times New Roman" w:eastAsia="+mn-ea" w:hAnsi="Times New Roman"/>
                <w:color w:val="auto"/>
                <w:kern w:val="24"/>
                <w:lang w:eastAsia="pl-PL"/>
              </w:rPr>
              <w:t xml:space="preserve"> W 2019</w:t>
            </w:r>
            <w:r w:rsidR="00413508" w:rsidRPr="0071316B">
              <w:rPr>
                <w:rFonts w:ascii="Times New Roman" w:eastAsia="+mn-ea" w:hAnsi="Times New Roman"/>
                <w:color w:val="auto"/>
                <w:kern w:val="24"/>
                <w:lang w:eastAsia="pl-PL"/>
              </w:rPr>
              <w:t xml:space="preserve"> r.</w:t>
            </w:r>
            <w:r w:rsidRPr="0071316B">
              <w:rPr>
                <w:rFonts w:ascii="Times New Roman" w:eastAsia="+mn-ea" w:hAnsi="Times New Roman"/>
                <w:color w:val="auto"/>
                <w:kern w:val="24"/>
                <w:lang w:eastAsia="pl-PL"/>
              </w:rPr>
              <w:t xml:space="preserve"> usługi świadczyło </w:t>
            </w:r>
            <w:r w:rsidRPr="0071316B">
              <w:rPr>
                <w:rFonts w:ascii="Times New Roman" w:eastAsia="+mn-ea" w:hAnsi="Times New Roman"/>
                <w:bCs/>
                <w:color w:val="auto"/>
                <w:kern w:val="24"/>
                <w:lang w:eastAsia="pl-PL"/>
              </w:rPr>
              <w:t xml:space="preserve">176 gmin </w:t>
            </w:r>
            <w:r w:rsidRPr="0071316B">
              <w:rPr>
                <w:rFonts w:ascii="Times New Roman" w:eastAsia="+mn-ea" w:hAnsi="Times New Roman"/>
                <w:color w:val="auto"/>
                <w:kern w:val="24"/>
                <w:lang w:eastAsia="pl-PL"/>
              </w:rPr>
              <w:t>(na 182 gminy województwa małopolskiego)</w:t>
            </w:r>
            <w:r w:rsidRPr="0071316B">
              <w:rPr>
                <w:rFonts w:ascii="Times New Roman" w:eastAsia="Times New Roman" w:hAnsi="Times New Roman"/>
                <w:color w:val="auto"/>
                <w:lang w:eastAsia="pl-PL"/>
              </w:rPr>
              <w:t xml:space="preserve">. </w:t>
            </w:r>
            <w:r w:rsidRPr="0071316B">
              <w:rPr>
                <w:rFonts w:ascii="Times New Roman" w:eastAsia="+mn-ea" w:hAnsi="Times New Roman"/>
                <w:color w:val="auto"/>
                <w:kern w:val="24"/>
                <w:lang w:eastAsia="pl-PL"/>
              </w:rPr>
              <w:t xml:space="preserve">Z tego </w:t>
            </w:r>
            <w:r w:rsidRPr="0071316B">
              <w:rPr>
                <w:rFonts w:ascii="Times New Roman" w:eastAsia="+mn-ea" w:hAnsi="Times New Roman"/>
                <w:bCs/>
                <w:color w:val="auto"/>
                <w:kern w:val="24"/>
                <w:lang w:eastAsia="pl-PL"/>
              </w:rPr>
              <w:t>40</w:t>
            </w:r>
            <w:r w:rsidRPr="0071316B">
              <w:rPr>
                <w:rFonts w:ascii="Times New Roman" w:eastAsia="+mn-ea" w:hAnsi="Times New Roman"/>
                <w:color w:val="auto"/>
                <w:kern w:val="24"/>
                <w:lang w:eastAsia="pl-PL"/>
              </w:rPr>
              <w:t xml:space="preserve"> gmin świadczyło </w:t>
            </w:r>
            <w:r w:rsidRPr="0071316B">
              <w:rPr>
                <w:rFonts w:ascii="Times New Roman" w:eastAsia="+mn-ea" w:hAnsi="Times New Roman"/>
                <w:bCs/>
                <w:color w:val="auto"/>
                <w:kern w:val="24"/>
                <w:lang w:eastAsia="pl-PL"/>
              </w:rPr>
              <w:t xml:space="preserve">specjalistyczne usługi opiekuńcze. </w:t>
            </w:r>
          </w:p>
          <w:p w14:paraId="66247BBC" w14:textId="77777777" w:rsidR="00FC2614" w:rsidRPr="0071316B" w:rsidRDefault="00FC2614"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Pomocą w formie usług opiekuńczych objęto 7 440 osób 60+.Łączna wysokość środków przeznaczona na usługi to 52 258 438 zł. Dla porównania, w 20</w:t>
            </w:r>
            <w:r w:rsidR="00E9634A" w:rsidRPr="0071316B">
              <w:rPr>
                <w:rFonts w:ascii="Times New Roman" w:hAnsi="Times New Roman"/>
                <w:color w:val="auto"/>
              </w:rPr>
              <w:t xml:space="preserve">18 r. </w:t>
            </w:r>
            <w:r w:rsidRPr="0071316B">
              <w:rPr>
                <w:rFonts w:ascii="Times New Roman" w:hAnsi="Times New Roman"/>
                <w:color w:val="auto"/>
              </w:rPr>
              <w:t>objęto pomocą w formie usług opiekuńczych 7 004 osób starszych a środki przeznaczone na usługi wynosiły 47 870 356 zł. Przedstawiciele jednostek organizacyjnych pomocy społecznej Województwa Małopolskiego wskazywali, że</w:t>
            </w:r>
            <w:r w:rsidRPr="0071316B">
              <w:rPr>
                <w:rStyle w:val="Odwoanieprzypisudolnego"/>
                <w:rFonts w:ascii="Times New Roman" w:hAnsi="Times New Roman"/>
                <w:color w:val="auto"/>
              </w:rPr>
              <w:footnoteReference w:id="136"/>
            </w:r>
            <w:r w:rsidRPr="0071316B">
              <w:rPr>
                <w:rFonts w:ascii="Times New Roman" w:hAnsi="Times New Roman"/>
                <w:color w:val="auto"/>
              </w:rPr>
              <w:t>:</w:t>
            </w:r>
          </w:p>
          <w:p w14:paraId="20ABD775" w14:textId="77777777" w:rsidR="00FC2614" w:rsidRPr="0071316B" w:rsidRDefault="00FC2614" w:rsidP="00E86509">
            <w:pPr>
              <w:pStyle w:val="Akapitzlist"/>
              <w:numPr>
                <w:ilvl w:val="0"/>
                <w:numId w:val="97"/>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Zapotrzebowanie na usługi opiekuńcze w różnych formach (czy domów pomocy społecznej, czy dziennych domów pomocy, usług rehabilitacyjnych czy opieki domowej) jest niewspółmiernie większe, niż dostępna oferta..</w:t>
            </w:r>
          </w:p>
          <w:p w14:paraId="7B755627" w14:textId="77777777" w:rsidR="00FC2614" w:rsidRPr="0071316B" w:rsidRDefault="00FC2614" w:rsidP="00E86509">
            <w:pPr>
              <w:pStyle w:val="Akapitzlist"/>
              <w:numPr>
                <w:ilvl w:val="0"/>
                <w:numId w:val="97"/>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Świadczenia usług opiekuńczych w warunkach szpitalnych są zaspokajane według potrzeb pacjentów. Problemy zaczynają się w momencie przekazania pacjenta po zakończonym leczeniu do innego podmiotu leczniczego o profilu opiekuńczym (ZOL, DPS, hospicjum) gdzie częstokroć nie ma miejsc.</w:t>
            </w:r>
          </w:p>
          <w:p w14:paraId="5F770E47" w14:textId="77777777" w:rsidR="00FC2614" w:rsidRPr="0071316B" w:rsidRDefault="00FC2614" w:rsidP="00E86509">
            <w:pPr>
              <w:pStyle w:val="Akapitzlist"/>
              <w:numPr>
                <w:ilvl w:val="0"/>
                <w:numId w:val="97"/>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1316B">
              <w:rPr>
                <w:rFonts w:ascii="Times New Roman" w:hAnsi="Times New Roman"/>
                <w:color w:val="auto"/>
              </w:rPr>
              <w:t>Problemem bywa niechęć rodziny do przejęcia opieki nad osobą starszą.</w:t>
            </w:r>
          </w:p>
        </w:tc>
      </w:tr>
    </w:tbl>
    <w:p w14:paraId="3C087425" w14:textId="77777777" w:rsidR="00FC2614" w:rsidRDefault="00FC2614" w:rsidP="00CB509F">
      <w:pPr>
        <w:pStyle w:val="Nagwek2"/>
        <w:rPr>
          <w:rFonts w:eastAsia="Times New Roman"/>
          <w:lang w:eastAsia="ar-SA"/>
        </w:rPr>
        <w:sectPr w:rsidR="00FC2614" w:rsidSect="00080A38">
          <w:pgSz w:w="16838" w:h="11900" w:orient="landscape"/>
          <w:pgMar w:top="1380" w:right="1384" w:bottom="1386" w:left="1038" w:header="0" w:footer="567" w:gutter="0"/>
          <w:cols w:space="0" w:equalWidth="0">
            <w:col w:w="9140"/>
          </w:cols>
          <w:docGrid w:linePitch="360"/>
        </w:sectPr>
      </w:pPr>
    </w:p>
    <w:p w14:paraId="2B5C7799" w14:textId="77777777" w:rsidR="00F31DCC" w:rsidRPr="00AF051D" w:rsidRDefault="001E4033" w:rsidP="00AF051D">
      <w:pPr>
        <w:pStyle w:val="Nagwek2"/>
        <w:numPr>
          <w:ilvl w:val="0"/>
          <w:numId w:val="0"/>
        </w:numPr>
        <w:spacing w:before="240" w:after="240"/>
        <w:ind w:left="576" w:hanging="576"/>
        <w:rPr>
          <w:rFonts w:eastAsia="Times New Roman"/>
          <w:sz w:val="40"/>
          <w:lang w:eastAsia="ar-SA"/>
        </w:rPr>
      </w:pPr>
      <w:bookmarkStart w:id="136" w:name="_Toc49171362"/>
      <w:r w:rsidRPr="00AF051D">
        <w:rPr>
          <w:rFonts w:eastAsia="Times New Roman"/>
          <w:sz w:val="40"/>
          <w:lang w:eastAsia="ar-SA"/>
        </w:rPr>
        <w:lastRenderedPageBreak/>
        <w:t xml:space="preserve">3.7 </w:t>
      </w:r>
      <w:r w:rsidR="00B25D75" w:rsidRPr="00AF051D">
        <w:rPr>
          <w:rFonts w:eastAsia="Times New Roman"/>
          <w:sz w:val="40"/>
          <w:lang w:eastAsia="ar-SA"/>
        </w:rPr>
        <w:t xml:space="preserve">Województwo </w:t>
      </w:r>
      <w:r w:rsidR="005F0A32" w:rsidRPr="00AF051D">
        <w:rPr>
          <w:rFonts w:eastAsia="Times New Roman"/>
          <w:sz w:val="40"/>
          <w:lang w:eastAsia="ar-SA"/>
        </w:rPr>
        <w:t>m</w:t>
      </w:r>
      <w:r w:rsidR="00475EFA" w:rsidRPr="00AF051D">
        <w:rPr>
          <w:rFonts w:eastAsia="Times New Roman"/>
          <w:sz w:val="40"/>
          <w:lang w:eastAsia="ar-SA"/>
        </w:rPr>
        <w:t>azowieckie</w:t>
      </w:r>
      <w:bookmarkEnd w:id="136"/>
    </w:p>
    <w:p w14:paraId="1564FF5A" w14:textId="77777777" w:rsidR="00944D47" w:rsidRPr="00E9634A" w:rsidRDefault="00944D47" w:rsidP="00E7359C">
      <w:pPr>
        <w:spacing w:after="0"/>
        <w:jc w:val="both"/>
        <w:rPr>
          <w:rFonts w:ascii="Times New Roman" w:hAnsi="Times New Roman" w:cs="Times New Roman"/>
          <w:b/>
          <w:color w:val="00B0F0"/>
          <w:sz w:val="24"/>
          <w:szCs w:val="24"/>
          <w:lang w:eastAsia="ar-SA"/>
        </w:rPr>
      </w:pPr>
      <w:r w:rsidRPr="00E9634A">
        <w:rPr>
          <w:rFonts w:ascii="Times New Roman" w:hAnsi="Times New Roman" w:cs="Times New Roman"/>
          <w:b/>
          <w:color w:val="00B0F0"/>
          <w:sz w:val="24"/>
          <w:szCs w:val="24"/>
          <w:lang w:eastAsia="ar-SA"/>
        </w:rPr>
        <w:t>Dokumenty, strategie i działania na rzecz osób starszych</w:t>
      </w:r>
    </w:p>
    <w:p w14:paraId="5EA4E035" w14:textId="77777777" w:rsidR="00944D47" w:rsidRPr="005F0A32" w:rsidRDefault="00944D47" w:rsidP="00E7359C">
      <w:pPr>
        <w:spacing w:after="0"/>
        <w:jc w:val="both"/>
        <w:rPr>
          <w:rFonts w:ascii="Times New Roman" w:hAnsi="Times New Roman" w:cs="Times New Roman"/>
          <w:color w:val="000000" w:themeColor="text1"/>
          <w:sz w:val="24"/>
          <w:szCs w:val="24"/>
        </w:rPr>
      </w:pPr>
    </w:p>
    <w:p w14:paraId="763A3A27" w14:textId="77777777" w:rsidR="00F31DCC" w:rsidRPr="005F0A32" w:rsidRDefault="00F31DCC" w:rsidP="00E7359C">
      <w:pPr>
        <w:pStyle w:val="Bodytext20"/>
        <w:shd w:val="clear" w:color="auto" w:fill="auto"/>
        <w:spacing w:line="276" w:lineRule="auto"/>
        <w:ind w:firstLine="0"/>
        <w:jc w:val="both"/>
        <w:rPr>
          <w:rFonts w:ascii="Times New Roman" w:hAnsi="Times New Roman" w:cs="Times New Roman"/>
          <w:sz w:val="24"/>
          <w:szCs w:val="24"/>
        </w:rPr>
      </w:pPr>
      <w:r w:rsidRPr="005F0A32">
        <w:rPr>
          <w:rFonts w:ascii="Times New Roman" w:hAnsi="Times New Roman" w:cs="Times New Roman"/>
          <w:sz w:val="24"/>
          <w:szCs w:val="24"/>
          <w:lang w:eastAsia="pl-PL" w:bidi="pl-PL"/>
        </w:rPr>
        <w:t>W województwie mazowieckim w 2019 r. były podejmowane liczne inicjatywy poświęcone osobom starszym. Kluczowymi dokumentami określającymi kierunki działań w obszarze polityki senioralnej są:</w:t>
      </w:r>
    </w:p>
    <w:p w14:paraId="32D5CF66" w14:textId="77777777" w:rsidR="00F31DCC" w:rsidRPr="005F0A32" w:rsidRDefault="00F31DCC" w:rsidP="008C71A9">
      <w:pPr>
        <w:pStyle w:val="Bodytext20"/>
        <w:numPr>
          <w:ilvl w:val="0"/>
          <w:numId w:val="98"/>
        </w:numPr>
        <w:shd w:val="clear" w:color="auto" w:fill="auto"/>
        <w:tabs>
          <w:tab w:val="left" w:pos="1318"/>
        </w:tabs>
        <w:spacing w:line="276" w:lineRule="auto"/>
        <w:ind w:left="360"/>
        <w:jc w:val="both"/>
        <w:rPr>
          <w:rFonts w:ascii="Times New Roman" w:hAnsi="Times New Roman" w:cs="Times New Roman"/>
          <w:sz w:val="24"/>
          <w:szCs w:val="24"/>
        </w:rPr>
      </w:pPr>
      <w:r w:rsidRPr="005F0A32">
        <w:rPr>
          <w:rStyle w:val="Bodytext2Italic"/>
          <w:rFonts w:ascii="Times New Roman" w:hAnsi="Times New Roman" w:cs="Times New Roman"/>
          <w:color w:val="auto"/>
          <w:sz w:val="24"/>
          <w:szCs w:val="24"/>
        </w:rPr>
        <w:t xml:space="preserve">Strategia Polityki Społecznej Województwa Mazowieckiego na lata 2014-2020, </w:t>
      </w:r>
      <w:r w:rsidRPr="005F0A32">
        <w:rPr>
          <w:rFonts w:ascii="Times New Roman" w:hAnsi="Times New Roman" w:cs="Times New Roman"/>
          <w:sz w:val="24"/>
          <w:szCs w:val="24"/>
          <w:lang w:eastAsia="pl-PL" w:bidi="pl-PL"/>
        </w:rPr>
        <w:t>w której wskazano na potrzebę realizacji polityki senioralnej jako jedne</w:t>
      </w:r>
      <w:r w:rsidR="00E9634A">
        <w:rPr>
          <w:rFonts w:ascii="Times New Roman" w:hAnsi="Times New Roman" w:cs="Times New Roman"/>
          <w:sz w:val="24"/>
          <w:szCs w:val="24"/>
          <w:lang w:eastAsia="pl-PL" w:bidi="pl-PL"/>
        </w:rPr>
        <w:t>j z nowych polityk regionalnych</w:t>
      </w:r>
      <w:r w:rsidR="00E9634A">
        <w:rPr>
          <w:rStyle w:val="Odwoanieprzypisudolnego"/>
          <w:rFonts w:ascii="Times New Roman" w:hAnsi="Times New Roman" w:cs="Times New Roman"/>
          <w:sz w:val="24"/>
          <w:szCs w:val="24"/>
          <w:lang w:eastAsia="pl-PL" w:bidi="pl-PL"/>
        </w:rPr>
        <w:footnoteReference w:id="137"/>
      </w:r>
      <w:r w:rsidR="00E9634A">
        <w:rPr>
          <w:rFonts w:ascii="Times New Roman" w:hAnsi="Times New Roman" w:cs="Times New Roman"/>
          <w:sz w:val="24"/>
          <w:szCs w:val="24"/>
          <w:lang w:eastAsia="pl-PL" w:bidi="pl-PL"/>
        </w:rPr>
        <w:t>;</w:t>
      </w:r>
    </w:p>
    <w:p w14:paraId="4F823ED1" w14:textId="77777777" w:rsidR="00F31DCC" w:rsidRPr="005F0A32" w:rsidRDefault="00F31DCC" w:rsidP="008C71A9">
      <w:pPr>
        <w:pStyle w:val="Bodytext20"/>
        <w:numPr>
          <w:ilvl w:val="0"/>
          <w:numId w:val="98"/>
        </w:numPr>
        <w:shd w:val="clear" w:color="auto" w:fill="auto"/>
        <w:spacing w:line="276" w:lineRule="auto"/>
        <w:ind w:left="360"/>
        <w:jc w:val="both"/>
        <w:rPr>
          <w:rFonts w:ascii="Times New Roman" w:hAnsi="Times New Roman" w:cs="Times New Roman"/>
          <w:sz w:val="24"/>
          <w:szCs w:val="24"/>
        </w:rPr>
      </w:pPr>
      <w:r w:rsidRPr="005F0A32">
        <w:rPr>
          <w:rStyle w:val="Bodytext2Italic"/>
          <w:rFonts w:ascii="Times New Roman" w:hAnsi="Times New Roman" w:cs="Times New Roman"/>
          <w:color w:val="auto"/>
          <w:sz w:val="24"/>
          <w:szCs w:val="24"/>
        </w:rPr>
        <w:t>Wojewódzki Program Polityki Senioralnej na lata 2019-2021,</w:t>
      </w:r>
      <w:r w:rsidRPr="005F0A32">
        <w:rPr>
          <w:rFonts w:ascii="Times New Roman" w:hAnsi="Times New Roman" w:cs="Times New Roman"/>
          <w:sz w:val="24"/>
          <w:szCs w:val="24"/>
          <w:lang w:eastAsia="pl-PL" w:bidi="pl-PL"/>
        </w:rPr>
        <w:t xml:space="preserve"> który stanowi uszczegółowienie oraz rozwinięcie celów i działań zapisanych w mazowieckie</w:t>
      </w:r>
      <w:r w:rsidR="00E9634A">
        <w:rPr>
          <w:rFonts w:ascii="Times New Roman" w:hAnsi="Times New Roman" w:cs="Times New Roman"/>
          <w:sz w:val="24"/>
          <w:szCs w:val="24"/>
          <w:lang w:eastAsia="pl-PL" w:bidi="pl-PL"/>
        </w:rPr>
        <w:t>j strategii polityki społecznej</w:t>
      </w:r>
      <w:r w:rsidR="00E9634A">
        <w:rPr>
          <w:rStyle w:val="Odwoanieprzypisudolnego"/>
          <w:rFonts w:ascii="Times New Roman" w:hAnsi="Times New Roman" w:cs="Times New Roman"/>
          <w:sz w:val="24"/>
          <w:szCs w:val="24"/>
          <w:lang w:eastAsia="pl-PL" w:bidi="pl-PL"/>
        </w:rPr>
        <w:footnoteReference w:id="138"/>
      </w:r>
      <w:r w:rsidR="00E9634A">
        <w:rPr>
          <w:rFonts w:ascii="Times New Roman" w:hAnsi="Times New Roman" w:cs="Times New Roman"/>
          <w:sz w:val="24"/>
          <w:szCs w:val="24"/>
          <w:lang w:eastAsia="pl-PL" w:bidi="pl-PL"/>
        </w:rPr>
        <w:t>.</w:t>
      </w:r>
    </w:p>
    <w:p w14:paraId="52B0ABB2" w14:textId="77777777" w:rsidR="00F31DCC" w:rsidRPr="005F0A32" w:rsidRDefault="00F31DCC" w:rsidP="00E7359C">
      <w:pPr>
        <w:spacing w:after="0"/>
        <w:jc w:val="both"/>
        <w:rPr>
          <w:rFonts w:ascii="Times New Roman" w:hAnsi="Times New Roman" w:cs="Times New Roman"/>
          <w:color w:val="000000" w:themeColor="text1"/>
          <w:sz w:val="24"/>
          <w:szCs w:val="24"/>
        </w:rPr>
      </w:pPr>
    </w:p>
    <w:p w14:paraId="5EB7A859" w14:textId="77777777" w:rsidR="00F31DCC" w:rsidRPr="005F0A32" w:rsidRDefault="00F31DCC" w:rsidP="00E7359C">
      <w:pPr>
        <w:spacing w:after="0"/>
        <w:jc w:val="both"/>
        <w:rPr>
          <w:rFonts w:ascii="Times New Roman" w:hAnsi="Times New Roman" w:cs="Times New Roman"/>
          <w:color w:val="000000" w:themeColor="text1"/>
          <w:sz w:val="24"/>
          <w:szCs w:val="24"/>
        </w:rPr>
      </w:pPr>
      <w:r w:rsidRPr="005F0A32">
        <w:rPr>
          <w:rFonts w:ascii="Times New Roman" w:hAnsi="Times New Roman" w:cs="Times New Roman"/>
          <w:color w:val="000000" w:themeColor="text1"/>
          <w:sz w:val="24"/>
          <w:szCs w:val="24"/>
        </w:rPr>
        <w:t>Celem działań zapisanych w ww. dokumentach strategicznych jest tworzenie warunków umożliwiających wykorzystanie potencjału osób starszych jako aktywnych uczestników życia gospodarczego i rynku pracy.</w:t>
      </w:r>
    </w:p>
    <w:p w14:paraId="46C2529F" w14:textId="77777777" w:rsidR="00944D47" w:rsidRDefault="00944D47" w:rsidP="00E7359C">
      <w:pPr>
        <w:pStyle w:val="NormalnyWeb"/>
        <w:spacing w:after="0"/>
        <w:jc w:val="both"/>
        <w:rPr>
          <w:color w:val="000000" w:themeColor="text1"/>
        </w:rPr>
      </w:pPr>
    </w:p>
    <w:p w14:paraId="27E87402" w14:textId="77777777" w:rsidR="00F31DCC" w:rsidRPr="005F0A32" w:rsidRDefault="00F31DCC" w:rsidP="00E7359C">
      <w:pPr>
        <w:pStyle w:val="NormalnyWeb"/>
        <w:spacing w:after="0"/>
        <w:jc w:val="both"/>
      </w:pPr>
      <w:r w:rsidRPr="005F0A32">
        <w:rPr>
          <w:color w:val="000000" w:themeColor="text1"/>
        </w:rPr>
        <w:t xml:space="preserve">Przykładem działań podejmowanych w 2019 r. na Mazowszu było rozpoczęcie działalności  </w:t>
      </w:r>
      <w:r w:rsidRPr="005F0A32">
        <w:t>Mazowieckiej Rady Seniorów. Rada została utworzona uchwałą Zarządu Województwa Mazowieckiego w listopadzie 2018 r. jako organ konsultacyjny, doradczy i inicjatywny Marszałka Województwa Mazowieckiego, działający na rzecz wzmocnienia i rozwoju regi</w:t>
      </w:r>
      <w:r w:rsidR="00944D47">
        <w:t xml:space="preserve">onalnej polityki senioralnej. </w:t>
      </w:r>
      <w:r w:rsidRPr="005F0A32">
        <w:t>W skład Rady weszło 18 członków, w tym przedstawiciele środowisk senioralnych reprezentujące uniwersytety trzeciego wieku, rady seniorów, organizacje pozarządowe oraz Polski Związek Emerytów, Rencistów i Inwalidów.</w:t>
      </w:r>
      <w:r w:rsidR="00944D47">
        <w:t xml:space="preserve"> </w:t>
      </w:r>
      <w:r w:rsidRPr="005F0A32">
        <w:t>Do zadań Rady należało w szczególności:</w:t>
      </w:r>
    </w:p>
    <w:p w14:paraId="1BB726D4" w14:textId="77777777" w:rsidR="00F31DCC" w:rsidRPr="005F0A32" w:rsidRDefault="00F31DCC" w:rsidP="008C71A9">
      <w:pPr>
        <w:pStyle w:val="NormalnyWeb"/>
        <w:numPr>
          <w:ilvl w:val="0"/>
          <w:numId w:val="99"/>
        </w:numPr>
        <w:spacing w:after="0"/>
        <w:jc w:val="both"/>
      </w:pPr>
      <w:r w:rsidRPr="005F0A32">
        <w:t>współtworzenie głównych kierunków polityki senioralnej w województwie mazowieckim;</w:t>
      </w:r>
    </w:p>
    <w:p w14:paraId="5C594C09" w14:textId="77777777" w:rsidR="00F31DCC" w:rsidRPr="005F0A32" w:rsidRDefault="00F31DCC" w:rsidP="008C71A9">
      <w:pPr>
        <w:pStyle w:val="NormalnyWeb"/>
        <w:numPr>
          <w:ilvl w:val="0"/>
          <w:numId w:val="99"/>
        </w:numPr>
        <w:spacing w:after="0"/>
        <w:jc w:val="both"/>
      </w:pPr>
      <w:r w:rsidRPr="005F0A32">
        <w:t>proponowanie nowych rozwiązań i inicjowanie zmian na rzecz środowiska seniorów; wyrażanie opinii o projekcie strategii rozwoju województwa mazowieckiego, w zakresie seniorów;</w:t>
      </w:r>
    </w:p>
    <w:p w14:paraId="68C6D7DF" w14:textId="77777777" w:rsidR="00F31DCC" w:rsidRPr="005F0A32" w:rsidRDefault="00F31DCC" w:rsidP="008C71A9">
      <w:pPr>
        <w:pStyle w:val="NormalnyWeb"/>
        <w:numPr>
          <w:ilvl w:val="0"/>
          <w:numId w:val="99"/>
        </w:numPr>
        <w:spacing w:after="0"/>
        <w:jc w:val="both"/>
      </w:pPr>
      <w:r w:rsidRPr="005F0A32">
        <w:t>podejmowanie działań zmierzających do zwiększenia zaangażowania obywatelskiego w życiu publicznym i społecznym seniorów;</w:t>
      </w:r>
    </w:p>
    <w:p w14:paraId="2F5487B7" w14:textId="77777777" w:rsidR="00F31DCC" w:rsidRPr="005F0A32" w:rsidRDefault="00F31DCC" w:rsidP="008C71A9">
      <w:pPr>
        <w:pStyle w:val="NormalnyWeb"/>
        <w:numPr>
          <w:ilvl w:val="0"/>
          <w:numId w:val="99"/>
        </w:numPr>
        <w:spacing w:after="0"/>
        <w:jc w:val="both"/>
      </w:pPr>
      <w:r w:rsidRPr="005F0A32">
        <w:t xml:space="preserve">konsultowanie rządowych i regionalnych projektów aktów prawnych dotyczących seniorów </w:t>
      </w:r>
      <w:r w:rsidRPr="005F0A32">
        <w:br/>
        <w:t>lub mogących mieć wpływ na ich sytuację;</w:t>
      </w:r>
    </w:p>
    <w:p w14:paraId="58E73B11" w14:textId="77777777" w:rsidR="00F31DCC" w:rsidRPr="005F0A32" w:rsidRDefault="00F31DCC" w:rsidP="008C71A9">
      <w:pPr>
        <w:pStyle w:val="NormalnyWeb"/>
        <w:numPr>
          <w:ilvl w:val="0"/>
          <w:numId w:val="99"/>
        </w:numPr>
        <w:spacing w:after="0"/>
        <w:jc w:val="both"/>
      </w:pPr>
      <w:r w:rsidRPr="005F0A32">
        <w:t xml:space="preserve">opiniowanie projektowanych dokumentów i propozycji rozwiązań regionalnych skierowanych </w:t>
      </w:r>
      <w:r w:rsidRPr="005F0A32">
        <w:br/>
        <w:t>do seniorów;</w:t>
      </w:r>
    </w:p>
    <w:p w14:paraId="39D1CEDF" w14:textId="77777777" w:rsidR="00F31DCC" w:rsidRPr="005F0A32" w:rsidRDefault="00F31DCC" w:rsidP="008C71A9">
      <w:pPr>
        <w:pStyle w:val="NormalnyWeb"/>
        <w:numPr>
          <w:ilvl w:val="0"/>
          <w:numId w:val="99"/>
        </w:numPr>
        <w:spacing w:after="0"/>
        <w:jc w:val="both"/>
      </w:pPr>
      <w:r w:rsidRPr="005F0A32">
        <w:t xml:space="preserve">promowanie zdrowego starzenia się; </w:t>
      </w:r>
    </w:p>
    <w:p w14:paraId="40FA16BB" w14:textId="77777777" w:rsidR="00F31DCC" w:rsidRPr="005F0A32" w:rsidRDefault="00F31DCC" w:rsidP="008C71A9">
      <w:pPr>
        <w:pStyle w:val="NormalnyWeb"/>
        <w:numPr>
          <w:ilvl w:val="0"/>
          <w:numId w:val="99"/>
        </w:numPr>
        <w:spacing w:after="0"/>
        <w:jc w:val="both"/>
      </w:pPr>
      <w:r w:rsidRPr="005F0A32">
        <w:lastRenderedPageBreak/>
        <w:t xml:space="preserve">wspieranie rozwoju i działań podmiotów działających na rzecz seniorów z terenu województwa mazowieckiego (np. organizacji pozarządowych, Polskiego Związku </w:t>
      </w:r>
      <w:r w:rsidR="00944D47">
        <w:t xml:space="preserve">Emerytów, Rencistów </w:t>
      </w:r>
      <w:r w:rsidRPr="005F0A32">
        <w:t xml:space="preserve">i Inwalidów, uniwersytetów trzeciego wieku, rad seniorów); </w:t>
      </w:r>
    </w:p>
    <w:p w14:paraId="5546D5FB" w14:textId="77777777" w:rsidR="00F31DCC" w:rsidRPr="005F0A32" w:rsidRDefault="00F31DCC" w:rsidP="008C71A9">
      <w:pPr>
        <w:pStyle w:val="NormalnyWeb"/>
        <w:numPr>
          <w:ilvl w:val="0"/>
          <w:numId w:val="99"/>
        </w:numPr>
        <w:spacing w:after="0"/>
        <w:jc w:val="both"/>
      </w:pPr>
      <w:r w:rsidRPr="005F0A32">
        <w:t>dążenie do umocnienia międzypokoleniowych więzi społecznych;</w:t>
      </w:r>
    </w:p>
    <w:p w14:paraId="198BD40E" w14:textId="77777777" w:rsidR="00F31DCC" w:rsidRPr="005F0A32" w:rsidRDefault="00F31DCC" w:rsidP="008C71A9">
      <w:pPr>
        <w:pStyle w:val="NormalnyWeb"/>
        <w:numPr>
          <w:ilvl w:val="0"/>
          <w:numId w:val="99"/>
        </w:numPr>
        <w:spacing w:after="0"/>
        <w:jc w:val="both"/>
      </w:pPr>
      <w:r w:rsidRPr="005F0A32">
        <w:t>podejmowanie działań, które służą zmianie obrazu starości i starzenia się. </w:t>
      </w:r>
    </w:p>
    <w:p w14:paraId="2452D6B5" w14:textId="77777777" w:rsidR="00F31DCC" w:rsidRPr="005F0A32" w:rsidRDefault="00F31DCC" w:rsidP="00E7359C">
      <w:pPr>
        <w:spacing w:after="0"/>
        <w:jc w:val="both"/>
        <w:rPr>
          <w:rFonts w:ascii="Times New Roman" w:hAnsi="Times New Roman" w:cs="Times New Roman"/>
          <w:color w:val="000000" w:themeColor="text1"/>
          <w:sz w:val="24"/>
          <w:szCs w:val="24"/>
        </w:rPr>
      </w:pPr>
      <w:r w:rsidRPr="005F0A32">
        <w:rPr>
          <w:rFonts w:ascii="Times New Roman" w:hAnsi="Times New Roman" w:cs="Times New Roman"/>
          <w:color w:val="000000" w:themeColor="text1"/>
          <w:sz w:val="24"/>
          <w:szCs w:val="24"/>
        </w:rPr>
        <w:t xml:space="preserve">Poza Mazowiecką Radą Seniorów na terenie Mazowsza w 2019 r. działało 57 lokalnych (gminnych, miejskich) rad seniorów, w tym 19 w Warszawie. </w:t>
      </w:r>
    </w:p>
    <w:p w14:paraId="1903AB62" w14:textId="77777777" w:rsidR="00F31DCC" w:rsidRPr="005F0A32" w:rsidRDefault="00F31DCC" w:rsidP="00E7359C">
      <w:pPr>
        <w:spacing w:after="0"/>
        <w:jc w:val="both"/>
        <w:rPr>
          <w:rFonts w:ascii="Times New Roman" w:hAnsi="Times New Roman" w:cs="Times New Roman"/>
          <w:color w:val="000000" w:themeColor="text1"/>
          <w:sz w:val="24"/>
          <w:szCs w:val="24"/>
        </w:rPr>
      </w:pPr>
    </w:p>
    <w:p w14:paraId="3CD288F9" w14:textId="77777777" w:rsidR="00F31DCC" w:rsidRPr="005F0A32" w:rsidRDefault="00F31DCC" w:rsidP="00E7359C">
      <w:pPr>
        <w:spacing w:after="0"/>
        <w:jc w:val="both"/>
        <w:rPr>
          <w:rFonts w:ascii="Times New Roman" w:hAnsi="Times New Roman" w:cs="Times New Roman"/>
          <w:color w:val="000000" w:themeColor="text1"/>
          <w:sz w:val="24"/>
          <w:szCs w:val="24"/>
        </w:rPr>
      </w:pPr>
      <w:r w:rsidRPr="005F0A32">
        <w:rPr>
          <w:rFonts w:ascii="Times New Roman" w:hAnsi="Times New Roman" w:cs="Times New Roman"/>
          <w:color w:val="000000" w:themeColor="text1"/>
          <w:sz w:val="24"/>
          <w:szCs w:val="24"/>
        </w:rPr>
        <w:t xml:space="preserve">Cenną inicjatywą wspierająca aktywność edukacyjną były Uniwersytety Trzeciego Wieku. </w:t>
      </w:r>
      <w:r w:rsidRPr="005F0A32">
        <w:rPr>
          <w:rFonts w:ascii="Times New Roman" w:hAnsi="Times New Roman" w:cs="Times New Roman"/>
          <w:color w:val="000000" w:themeColor="text1"/>
          <w:sz w:val="24"/>
          <w:szCs w:val="24"/>
        </w:rPr>
        <w:br/>
        <w:t xml:space="preserve">W województwie mazowieckim działało 114 Uniwersytetów Trzeciego Wieku, w tym 42 na terenie Warszawy. </w:t>
      </w:r>
    </w:p>
    <w:p w14:paraId="73DD7F09" w14:textId="77777777" w:rsidR="00F31DCC" w:rsidRDefault="00F31DCC" w:rsidP="00E7359C">
      <w:pPr>
        <w:spacing w:after="0"/>
        <w:jc w:val="both"/>
        <w:rPr>
          <w:rFonts w:ascii="Times New Roman" w:hAnsi="Times New Roman" w:cs="Times New Roman"/>
          <w:color w:val="000000" w:themeColor="text1"/>
          <w:sz w:val="24"/>
          <w:szCs w:val="24"/>
        </w:rPr>
      </w:pPr>
    </w:p>
    <w:p w14:paraId="135F8085" w14:textId="77777777" w:rsidR="00D70A25" w:rsidRPr="00D70A25" w:rsidRDefault="00D70A25" w:rsidP="00E7359C">
      <w:pPr>
        <w:spacing w:after="0"/>
        <w:jc w:val="both"/>
        <w:rPr>
          <w:rFonts w:ascii="Times New Roman" w:hAnsi="Times New Roman" w:cs="Times New Roman"/>
          <w:b/>
          <w:color w:val="000000" w:themeColor="text1"/>
          <w:sz w:val="24"/>
          <w:szCs w:val="24"/>
        </w:rPr>
      </w:pPr>
      <w:r w:rsidRPr="00D70A25">
        <w:rPr>
          <w:rFonts w:ascii="Times New Roman" w:hAnsi="Times New Roman" w:cs="Times New Roman"/>
          <w:b/>
          <w:color w:val="000000" w:themeColor="text1"/>
          <w:sz w:val="24"/>
          <w:szCs w:val="24"/>
        </w:rPr>
        <w:t>Program Senior+</w:t>
      </w:r>
    </w:p>
    <w:p w14:paraId="51D238B8" w14:textId="77777777" w:rsidR="00F31DCC" w:rsidRPr="005F0A32" w:rsidRDefault="00F31DCC" w:rsidP="00E7359C">
      <w:pPr>
        <w:spacing w:after="0"/>
        <w:jc w:val="both"/>
        <w:rPr>
          <w:rFonts w:ascii="Times New Roman" w:hAnsi="Times New Roman" w:cs="Times New Roman"/>
          <w:color w:val="000000" w:themeColor="text1"/>
          <w:sz w:val="24"/>
          <w:szCs w:val="24"/>
        </w:rPr>
      </w:pPr>
      <w:r w:rsidRPr="005F0A32">
        <w:rPr>
          <w:rFonts w:ascii="Times New Roman" w:hAnsi="Times New Roman" w:cs="Times New Roman"/>
          <w:color w:val="000000" w:themeColor="text1"/>
          <w:sz w:val="24"/>
          <w:szCs w:val="24"/>
        </w:rPr>
        <w:t xml:space="preserve">Niezwykle ważnym projektem wspierającym aktywność społeczną, kulturalną, edukacyjną </w:t>
      </w:r>
      <w:r w:rsidRPr="005F0A32">
        <w:rPr>
          <w:rFonts w:ascii="Times New Roman" w:hAnsi="Times New Roman" w:cs="Times New Roman"/>
          <w:color w:val="000000" w:themeColor="text1"/>
          <w:sz w:val="24"/>
          <w:szCs w:val="24"/>
        </w:rPr>
        <w:br/>
        <w:t>i obywatelską,  skierowanym do osób starszych był Program Wieloletni „Senior+” na lata 2015-2020. W 2019 r. na Mazowszu funkcjonowało 112 placówek „Sen</w:t>
      </w:r>
      <w:r w:rsidR="00D70A25">
        <w:rPr>
          <w:rFonts w:ascii="Times New Roman" w:hAnsi="Times New Roman" w:cs="Times New Roman"/>
          <w:color w:val="000000" w:themeColor="text1"/>
          <w:sz w:val="24"/>
          <w:szCs w:val="24"/>
        </w:rPr>
        <w:t xml:space="preserve">ior+”(w tym 35 Dziennych Domów </w:t>
      </w:r>
      <w:r w:rsidRPr="005F0A32">
        <w:rPr>
          <w:rFonts w:ascii="Times New Roman" w:hAnsi="Times New Roman" w:cs="Times New Roman"/>
          <w:color w:val="000000" w:themeColor="text1"/>
          <w:sz w:val="24"/>
          <w:szCs w:val="24"/>
        </w:rPr>
        <w:t xml:space="preserve">i 77 Klubów). W 2019 </w:t>
      </w:r>
      <w:r w:rsidR="00D70A25">
        <w:rPr>
          <w:rFonts w:ascii="Times New Roman" w:hAnsi="Times New Roman" w:cs="Times New Roman"/>
          <w:color w:val="000000" w:themeColor="text1"/>
          <w:sz w:val="24"/>
          <w:szCs w:val="24"/>
        </w:rPr>
        <w:t xml:space="preserve">r. </w:t>
      </w:r>
      <w:r w:rsidRPr="005F0A32">
        <w:rPr>
          <w:rFonts w:ascii="Times New Roman" w:hAnsi="Times New Roman" w:cs="Times New Roman"/>
          <w:color w:val="000000" w:themeColor="text1"/>
          <w:sz w:val="24"/>
          <w:szCs w:val="24"/>
        </w:rPr>
        <w:t>odnotowano największy przyrost nowoutworzonych placówek typu „Senior+” (44 placówki). Na ich utworzenie oraz dofinansowanie działalności już istniejących Domów i Klubów przeznaczono ponad 10, 5 mln złotych. Placówki te oferowały ogółem 2 820 miejsc dla osób powyżej 60 roku życia. Zarówno Dzienne Domy Senior+ jak i Kluby Senior+ świadczyły szereg usług na rzecz osób starszych, tj. pomoc w załatwianiu spraw urzędowych, zapewnienie ciepłego posiłku, zajęcia komputerowe, naukę języków obcych, wyjazdy do kin i teatrów, spotkania świąteczne, wycieczki rowerowe, zajęcia fitness, zabiegi fizjoterapeutyczne, zajęcia wolontariatu międzypokoleniowego prowadzone w ramach bieżącej współpracy z organizacjami pozarządowymi, warsztaty plastyczne, rękodzieła, kulinarne, krawieckie, psychologiczne, muzykoterapię, porady prawne.</w:t>
      </w:r>
    </w:p>
    <w:p w14:paraId="08D6D2D9" w14:textId="77777777" w:rsidR="00D70A25" w:rsidRDefault="00D70A25" w:rsidP="00E7359C">
      <w:pPr>
        <w:spacing w:after="0"/>
        <w:jc w:val="both"/>
        <w:rPr>
          <w:rFonts w:ascii="Times New Roman" w:hAnsi="Times New Roman" w:cs="Times New Roman"/>
          <w:color w:val="000000" w:themeColor="text1"/>
          <w:sz w:val="24"/>
          <w:szCs w:val="24"/>
        </w:rPr>
      </w:pPr>
    </w:p>
    <w:p w14:paraId="346386CE" w14:textId="77777777" w:rsidR="00F31DCC" w:rsidRPr="005F0A32" w:rsidRDefault="00F31DCC" w:rsidP="00E7359C">
      <w:pPr>
        <w:spacing w:after="0"/>
        <w:jc w:val="both"/>
        <w:rPr>
          <w:rFonts w:ascii="Times New Roman" w:hAnsi="Times New Roman" w:cs="Times New Roman"/>
          <w:sz w:val="24"/>
          <w:szCs w:val="24"/>
        </w:rPr>
      </w:pPr>
      <w:r w:rsidRPr="005F0A32">
        <w:rPr>
          <w:rFonts w:ascii="Times New Roman" w:hAnsi="Times New Roman" w:cs="Times New Roman"/>
          <w:color w:val="000000" w:themeColor="text1"/>
          <w:sz w:val="24"/>
          <w:szCs w:val="24"/>
        </w:rPr>
        <w:t xml:space="preserve">W październiku 2019 r. Wydział Polityki Społecznej Mazowieckiego Urzędu Wojewódzkiego w Warszawie zorganizował konferencję dla beneficjentów programu, która miała na celu </w:t>
      </w:r>
      <w:r w:rsidRPr="005F0A32">
        <w:rPr>
          <w:rFonts w:ascii="Times New Roman" w:hAnsi="Times New Roman" w:cs="Times New Roman"/>
          <w:sz w:val="24"/>
          <w:szCs w:val="24"/>
        </w:rPr>
        <w:t>analizę dotychczasowych efektów funkcjonowania programu, wymianę doświadczeń oraz wskazanie szczególnie ważnych aspektów związanych z realizacją programu.</w:t>
      </w:r>
    </w:p>
    <w:p w14:paraId="69375A9C" w14:textId="77777777" w:rsidR="00C83E68" w:rsidRDefault="00C83E68" w:rsidP="00E7359C">
      <w:pPr>
        <w:spacing w:after="0"/>
        <w:jc w:val="both"/>
        <w:rPr>
          <w:rFonts w:ascii="Times New Roman" w:hAnsi="Times New Roman" w:cs="Times New Roman"/>
          <w:color w:val="000000" w:themeColor="text1"/>
          <w:sz w:val="24"/>
          <w:szCs w:val="24"/>
        </w:rPr>
      </w:pPr>
    </w:p>
    <w:p w14:paraId="0B9C0158" w14:textId="77777777" w:rsidR="00F31DCC" w:rsidRPr="00E9634A" w:rsidRDefault="00C83E68" w:rsidP="00E7359C">
      <w:pPr>
        <w:spacing w:after="0"/>
        <w:jc w:val="both"/>
        <w:rPr>
          <w:rFonts w:ascii="Times New Roman" w:hAnsi="Times New Roman" w:cs="Times New Roman"/>
          <w:b/>
          <w:color w:val="000000" w:themeColor="text1"/>
          <w:sz w:val="24"/>
          <w:szCs w:val="24"/>
        </w:rPr>
      </w:pPr>
      <w:r w:rsidRPr="00E9634A">
        <w:rPr>
          <w:rFonts w:ascii="Times New Roman" w:hAnsi="Times New Roman" w:cs="Times New Roman"/>
          <w:b/>
          <w:color w:val="000000" w:themeColor="text1"/>
          <w:sz w:val="24"/>
          <w:szCs w:val="24"/>
        </w:rPr>
        <w:t>P</w:t>
      </w:r>
      <w:r w:rsidR="00F31DCC" w:rsidRPr="00E9634A">
        <w:rPr>
          <w:rFonts w:ascii="Times New Roman" w:hAnsi="Times New Roman" w:cs="Times New Roman"/>
          <w:b/>
          <w:color w:val="000000" w:themeColor="text1"/>
          <w:sz w:val="24"/>
          <w:szCs w:val="24"/>
        </w:rPr>
        <w:t>rogr</w:t>
      </w:r>
      <w:r w:rsidR="00E9634A" w:rsidRPr="00E9634A">
        <w:rPr>
          <w:rFonts w:ascii="Times New Roman" w:hAnsi="Times New Roman" w:cs="Times New Roman"/>
          <w:b/>
          <w:color w:val="000000" w:themeColor="text1"/>
          <w:sz w:val="24"/>
          <w:szCs w:val="24"/>
        </w:rPr>
        <w:t>am „Opieka75+”</w:t>
      </w:r>
    </w:p>
    <w:p w14:paraId="7AEC4B4E" w14:textId="77777777" w:rsidR="00F31DCC" w:rsidRPr="005F0A32" w:rsidRDefault="00F31DCC" w:rsidP="00E7359C">
      <w:pPr>
        <w:spacing w:after="0"/>
        <w:ind w:left="3"/>
        <w:jc w:val="both"/>
        <w:rPr>
          <w:rFonts w:ascii="Times New Roman" w:eastAsia="Times New Roman" w:hAnsi="Times New Roman" w:cs="Times New Roman"/>
          <w:sz w:val="24"/>
          <w:szCs w:val="24"/>
        </w:rPr>
      </w:pPr>
      <w:r w:rsidRPr="005F0A32">
        <w:rPr>
          <w:rFonts w:ascii="Times New Roman" w:eastAsia="Times New Roman" w:hAnsi="Times New Roman" w:cs="Times New Roman"/>
          <w:sz w:val="24"/>
          <w:szCs w:val="24"/>
        </w:rPr>
        <w:t>W 2019 r. w województwie mazowieckim do programu „Opieka 75+” przystąpiło 58 gmin. Powyższym gminom przekazano środki finansowe w wysokości ponad 1 200 tys., zgodnie</w:t>
      </w:r>
      <w:r w:rsidR="00E9634A">
        <w:rPr>
          <w:rFonts w:ascii="Times New Roman" w:eastAsia="Times New Roman" w:hAnsi="Times New Roman" w:cs="Times New Roman"/>
          <w:sz w:val="24"/>
          <w:szCs w:val="24"/>
        </w:rPr>
        <w:t xml:space="preserve"> </w:t>
      </w:r>
      <w:r w:rsidR="00E9634A">
        <w:rPr>
          <w:rFonts w:ascii="Times New Roman" w:eastAsia="Times New Roman" w:hAnsi="Times New Roman" w:cs="Times New Roman"/>
          <w:sz w:val="24"/>
          <w:szCs w:val="24"/>
        </w:rPr>
        <w:br/>
        <w:t xml:space="preserve">ze złożonym zapotrzebowaniem. </w:t>
      </w:r>
      <w:r w:rsidRPr="005F0A32">
        <w:rPr>
          <w:rFonts w:ascii="Times New Roman" w:eastAsia="Times New Roman" w:hAnsi="Times New Roman" w:cs="Times New Roman"/>
          <w:sz w:val="24"/>
          <w:szCs w:val="24"/>
        </w:rPr>
        <w:t xml:space="preserve">Realizowany program stanowił znaczące wsparcie finansowe dla gmin w zakresie realizacji zadania własnego o charakterze obowiązkowym, określonego w art. 17 ust. 1 pkt 11 ustawy o pomocy społecznej, tj. świadczenie usług opiekuńczych, w tym specjalistycznych usług w miejscu zamieszkania. Otrzymane środki umożliwiły gminom zatrudnienie dodatkowych osób w celu świadczenia pomocy osobom, które ze względu na wiek lub </w:t>
      </w:r>
      <w:r w:rsidR="00624AA0">
        <w:rPr>
          <w:rFonts w:ascii="Times New Roman" w:eastAsia="Times New Roman" w:hAnsi="Times New Roman" w:cs="Times New Roman"/>
          <w:sz w:val="24"/>
          <w:szCs w:val="24"/>
        </w:rPr>
        <w:t xml:space="preserve">stan zdrowia wymagały wsparcia </w:t>
      </w:r>
      <w:r w:rsidRPr="005F0A32">
        <w:rPr>
          <w:rFonts w:ascii="Times New Roman" w:eastAsia="Times New Roman" w:hAnsi="Times New Roman" w:cs="Times New Roman"/>
          <w:sz w:val="24"/>
          <w:szCs w:val="24"/>
        </w:rPr>
        <w:t xml:space="preserve">w codziennym funkcjonowaniu. Realizacja programu pozwoliła również na zwiększenie liczby osób (w wieku 75 lat i więcej) korzystających z usług opiekuńczych, </w:t>
      </w:r>
      <w:r w:rsidR="00624AA0">
        <w:rPr>
          <w:rFonts w:ascii="Times New Roman" w:eastAsia="Times New Roman" w:hAnsi="Times New Roman" w:cs="Times New Roman"/>
          <w:sz w:val="24"/>
          <w:szCs w:val="24"/>
        </w:rPr>
        <w:t xml:space="preserve">w tym specjalistycznych usług, </w:t>
      </w:r>
      <w:r w:rsidRPr="005F0A32">
        <w:rPr>
          <w:rFonts w:ascii="Times New Roman" w:eastAsia="Times New Roman" w:hAnsi="Times New Roman" w:cs="Times New Roman"/>
          <w:sz w:val="24"/>
          <w:szCs w:val="24"/>
        </w:rPr>
        <w:t xml:space="preserve">jak również na zwiększenie liczby godzin usług dla osób wymagających tej formy pomocy. Pomoc świadczona osobom starszym przyczyniła się do poprawy ich życia, zwiększenia aktywności w codziennym funkcjonowaniu i </w:t>
      </w:r>
      <w:r w:rsidRPr="005F0A32">
        <w:rPr>
          <w:rFonts w:ascii="Times New Roman" w:eastAsia="Times New Roman" w:hAnsi="Times New Roman" w:cs="Times New Roman"/>
          <w:sz w:val="24"/>
          <w:szCs w:val="24"/>
        </w:rPr>
        <w:lastRenderedPageBreak/>
        <w:t>zaspokajaniu potrzeb życiowych, a także umożliwiła tym osobom dalsze funkcjonowanie w swoim dotychczasowym środowisku.</w:t>
      </w:r>
    </w:p>
    <w:p w14:paraId="5611F455" w14:textId="77777777" w:rsidR="00F31DCC" w:rsidRPr="005F0A32" w:rsidRDefault="00F31DCC" w:rsidP="00E7359C">
      <w:pPr>
        <w:spacing w:after="0"/>
        <w:jc w:val="both"/>
        <w:rPr>
          <w:rFonts w:ascii="Times New Roman" w:eastAsia="Times New Roman" w:hAnsi="Times New Roman" w:cs="Times New Roman"/>
          <w:sz w:val="24"/>
          <w:szCs w:val="24"/>
        </w:rPr>
      </w:pPr>
    </w:p>
    <w:p w14:paraId="09D74A9B" w14:textId="77777777" w:rsidR="00F31DCC" w:rsidRPr="005F0A32" w:rsidRDefault="00F31DCC" w:rsidP="00E7359C">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rPr>
        <w:t xml:space="preserve">Ważną formą wsparcia, świadczoną </w:t>
      </w:r>
      <w:r w:rsidRPr="005F0A32">
        <w:rPr>
          <w:rFonts w:ascii="Times New Roman" w:hAnsi="Times New Roman" w:cs="Times New Roman"/>
          <w:sz w:val="24"/>
          <w:szCs w:val="24"/>
        </w:rPr>
        <w:t>osobom wymagającym całodobowej opieki z powodu wieku, choroby lub niepełnosprawności, niemogącym samodzielnie funkcjonować w codziennym życiu były domy pomocy społecznej.</w:t>
      </w:r>
    </w:p>
    <w:p w14:paraId="2355DB1A" w14:textId="77777777" w:rsidR="00F31DCC" w:rsidRPr="005F0A32" w:rsidRDefault="00F31DCC" w:rsidP="00E7359C">
      <w:pPr>
        <w:tabs>
          <w:tab w:val="left" w:pos="1134"/>
        </w:tabs>
        <w:spacing w:after="0"/>
        <w:jc w:val="both"/>
        <w:rPr>
          <w:rFonts w:ascii="Times New Roman" w:hAnsi="Times New Roman" w:cs="Times New Roman"/>
          <w:sz w:val="24"/>
          <w:szCs w:val="24"/>
        </w:rPr>
      </w:pPr>
      <w:r w:rsidRPr="005F0A32">
        <w:rPr>
          <w:rFonts w:ascii="Times New Roman" w:hAnsi="Times New Roman" w:cs="Times New Roman"/>
          <w:sz w:val="24"/>
          <w:szCs w:val="24"/>
        </w:rPr>
        <w:t>Na dzień 31 grudnia 2019 r. na terenie województwa funkcjonowało:</w:t>
      </w:r>
    </w:p>
    <w:p w14:paraId="2FC3302A" w14:textId="77777777" w:rsidR="00F31DCC" w:rsidRPr="00624AA0" w:rsidRDefault="00F31DCC" w:rsidP="008C71A9">
      <w:pPr>
        <w:pStyle w:val="Akapitzlist"/>
        <w:numPr>
          <w:ilvl w:val="0"/>
          <w:numId w:val="101"/>
        </w:numPr>
        <w:tabs>
          <w:tab w:val="left" w:pos="8280"/>
        </w:tabs>
        <w:spacing w:after="0"/>
        <w:ind w:left="360"/>
        <w:jc w:val="both"/>
        <w:rPr>
          <w:rFonts w:ascii="Times New Roman" w:hAnsi="Times New Roman" w:cs="Times New Roman"/>
          <w:sz w:val="24"/>
          <w:szCs w:val="24"/>
        </w:rPr>
      </w:pPr>
      <w:r w:rsidRPr="00624AA0">
        <w:rPr>
          <w:rFonts w:ascii="Times New Roman" w:hAnsi="Times New Roman" w:cs="Times New Roman"/>
          <w:sz w:val="24"/>
          <w:szCs w:val="24"/>
        </w:rPr>
        <w:t>106 domów pomocy społecznej z 10 114 miejscami, z tego:</w:t>
      </w:r>
    </w:p>
    <w:p w14:paraId="6E1B8C2E" w14:textId="77777777" w:rsidR="00F31DCC" w:rsidRPr="005F0A32" w:rsidRDefault="00F31DCC" w:rsidP="008C71A9">
      <w:pPr>
        <w:pStyle w:val="Akapitzlist"/>
        <w:numPr>
          <w:ilvl w:val="1"/>
          <w:numId w:val="102"/>
        </w:numPr>
        <w:tabs>
          <w:tab w:val="left" w:pos="8280"/>
        </w:tabs>
        <w:spacing w:after="0"/>
        <w:ind w:left="643"/>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 xml:space="preserve">20 domów z 1697 miejscami dla osób w podeszłym wieku; </w:t>
      </w:r>
    </w:p>
    <w:p w14:paraId="31DDA125" w14:textId="77777777" w:rsidR="00F31DCC" w:rsidRPr="005F0A32" w:rsidRDefault="00F31DCC" w:rsidP="008C71A9">
      <w:pPr>
        <w:pStyle w:val="Akapitzlist"/>
        <w:numPr>
          <w:ilvl w:val="1"/>
          <w:numId w:val="102"/>
        </w:numPr>
        <w:tabs>
          <w:tab w:val="left" w:pos="8280"/>
        </w:tabs>
        <w:spacing w:after="0"/>
        <w:ind w:left="643"/>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14 domów z 1202 miejscami dla osób w podeszłym wieku oraz przewlekle somatycznie chorych,</w:t>
      </w:r>
    </w:p>
    <w:p w14:paraId="1E7BD997" w14:textId="77777777" w:rsidR="00624AA0" w:rsidRDefault="00F31DCC" w:rsidP="008C71A9">
      <w:pPr>
        <w:pStyle w:val="Akapitzlist"/>
        <w:numPr>
          <w:ilvl w:val="1"/>
          <w:numId w:val="102"/>
        </w:numPr>
        <w:tabs>
          <w:tab w:val="left" w:pos="8280"/>
        </w:tabs>
        <w:spacing w:after="0"/>
        <w:ind w:left="643"/>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1 dom z 47 miejscami dla osób w podeszłym wieku oraz osób niepełnosprawnych fizycz</w:t>
      </w:r>
      <w:r w:rsidR="00624AA0">
        <w:rPr>
          <w:rFonts w:ascii="Times New Roman" w:eastAsia="Times New Roman" w:hAnsi="Times New Roman" w:cs="Times New Roman"/>
          <w:sz w:val="24"/>
          <w:szCs w:val="24"/>
          <w:lang w:eastAsia="pl-PL"/>
        </w:rPr>
        <w:t>nie.</w:t>
      </w:r>
    </w:p>
    <w:p w14:paraId="105744D5" w14:textId="77777777" w:rsidR="00F31DCC" w:rsidRPr="00624AA0" w:rsidRDefault="00F31DCC" w:rsidP="008C71A9">
      <w:pPr>
        <w:pStyle w:val="Akapitzlist"/>
        <w:numPr>
          <w:ilvl w:val="1"/>
          <w:numId w:val="102"/>
        </w:numPr>
        <w:tabs>
          <w:tab w:val="left" w:pos="8280"/>
        </w:tabs>
        <w:spacing w:after="0"/>
        <w:ind w:left="643"/>
        <w:jc w:val="both"/>
        <w:rPr>
          <w:rFonts w:ascii="Times New Roman" w:eastAsia="Times New Roman" w:hAnsi="Times New Roman" w:cs="Times New Roman"/>
          <w:sz w:val="24"/>
          <w:szCs w:val="24"/>
          <w:lang w:eastAsia="pl-PL"/>
        </w:rPr>
      </w:pPr>
      <w:r w:rsidRPr="00624AA0">
        <w:rPr>
          <w:rFonts w:ascii="Times New Roman" w:hAnsi="Times New Roman" w:cs="Times New Roman"/>
          <w:sz w:val="24"/>
          <w:szCs w:val="24"/>
        </w:rPr>
        <w:t xml:space="preserve">124 placówki, działające na podstawie zezwolenia Wojewody Mazowieckiego, zapewniające całodobową opiekę osobom niepełnosprawnym, przewlekle chorym lub osobom w podeszłym wieku z 5 358 miejscami. </w:t>
      </w:r>
    </w:p>
    <w:p w14:paraId="7EF86416" w14:textId="77777777" w:rsidR="00624AA0" w:rsidRDefault="00624AA0" w:rsidP="00E7359C">
      <w:pPr>
        <w:tabs>
          <w:tab w:val="left" w:pos="8280"/>
        </w:tabs>
        <w:spacing w:after="0"/>
        <w:jc w:val="both"/>
        <w:rPr>
          <w:rFonts w:ascii="Times New Roman" w:eastAsia="Times New Roman" w:hAnsi="Times New Roman" w:cs="Times New Roman"/>
          <w:sz w:val="24"/>
          <w:szCs w:val="24"/>
          <w:lang w:eastAsia="pl-PL"/>
        </w:rPr>
      </w:pPr>
    </w:p>
    <w:p w14:paraId="1A248F7D" w14:textId="77777777" w:rsidR="00F31DCC" w:rsidRPr="005F0A32" w:rsidRDefault="00F31DCC" w:rsidP="00E7359C">
      <w:pPr>
        <w:tabs>
          <w:tab w:val="left" w:pos="8280"/>
        </w:tabs>
        <w:spacing w:after="0"/>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Domy pomocy społecznej dla osób w podeszłym wieku i dla osób w podeszłym wieku oraz osób przewlekle somatycznie chorych prowadzone były przez:</w:t>
      </w:r>
    </w:p>
    <w:p w14:paraId="07A16CAE" w14:textId="77777777" w:rsidR="00F31DCC" w:rsidRPr="00624AA0" w:rsidRDefault="00F31DCC" w:rsidP="008C71A9">
      <w:pPr>
        <w:pStyle w:val="Akapitzlist"/>
        <w:numPr>
          <w:ilvl w:val="0"/>
          <w:numId w:val="101"/>
        </w:numPr>
        <w:tabs>
          <w:tab w:val="left" w:pos="8280"/>
        </w:tabs>
        <w:spacing w:after="0"/>
        <w:ind w:left="360"/>
        <w:jc w:val="both"/>
        <w:rPr>
          <w:rFonts w:ascii="Times New Roman" w:eastAsia="Times New Roman" w:hAnsi="Times New Roman" w:cs="Times New Roman"/>
          <w:sz w:val="24"/>
          <w:szCs w:val="24"/>
          <w:lang w:eastAsia="pl-PL"/>
        </w:rPr>
      </w:pPr>
      <w:r w:rsidRPr="00624AA0">
        <w:rPr>
          <w:rFonts w:ascii="Times New Roman" w:eastAsia="Times New Roman" w:hAnsi="Times New Roman" w:cs="Times New Roman"/>
          <w:sz w:val="24"/>
          <w:szCs w:val="24"/>
          <w:lang w:eastAsia="pl-PL"/>
        </w:rPr>
        <w:t>powiaty/gminy: 20 domów, z 1697 miejscami,</w:t>
      </w:r>
    </w:p>
    <w:p w14:paraId="56D30083" w14:textId="77777777" w:rsidR="00F31DCC" w:rsidRPr="00624AA0" w:rsidRDefault="00F31DCC" w:rsidP="008C71A9">
      <w:pPr>
        <w:pStyle w:val="Akapitzlist"/>
        <w:numPr>
          <w:ilvl w:val="0"/>
          <w:numId w:val="101"/>
        </w:numPr>
        <w:tabs>
          <w:tab w:val="left" w:pos="8280"/>
        </w:tabs>
        <w:spacing w:after="0"/>
        <w:ind w:left="360"/>
        <w:jc w:val="both"/>
        <w:rPr>
          <w:rFonts w:ascii="Times New Roman" w:eastAsia="Times New Roman" w:hAnsi="Times New Roman" w:cs="Times New Roman"/>
          <w:sz w:val="24"/>
          <w:szCs w:val="24"/>
          <w:lang w:eastAsia="pl-PL"/>
        </w:rPr>
      </w:pPr>
      <w:r w:rsidRPr="00624AA0">
        <w:rPr>
          <w:rFonts w:ascii="Times New Roman" w:eastAsia="Times New Roman" w:hAnsi="Times New Roman" w:cs="Times New Roman"/>
          <w:sz w:val="24"/>
          <w:szCs w:val="24"/>
          <w:lang w:eastAsia="pl-PL"/>
        </w:rPr>
        <w:t>fundacje i zgromadzenia zakonne, na zlecenie powiatu: 4 domy, z 283 miejscami,</w:t>
      </w:r>
    </w:p>
    <w:p w14:paraId="77C78F5B" w14:textId="77777777" w:rsidR="00F31DCC" w:rsidRPr="00624AA0" w:rsidRDefault="00F31DCC" w:rsidP="008C71A9">
      <w:pPr>
        <w:pStyle w:val="Akapitzlist"/>
        <w:numPr>
          <w:ilvl w:val="0"/>
          <w:numId w:val="101"/>
        </w:numPr>
        <w:tabs>
          <w:tab w:val="left" w:pos="8280"/>
        </w:tabs>
        <w:spacing w:after="0"/>
        <w:ind w:left="360"/>
        <w:jc w:val="both"/>
        <w:rPr>
          <w:rFonts w:ascii="Times New Roman" w:eastAsia="Times New Roman" w:hAnsi="Times New Roman" w:cs="Times New Roman"/>
          <w:sz w:val="24"/>
          <w:szCs w:val="24"/>
          <w:lang w:eastAsia="pl-PL"/>
        </w:rPr>
      </w:pPr>
      <w:r w:rsidRPr="00624AA0">
        <w:rPr>
          <w:rFonts w:ascii="Times New Roman" w:eastAsia="Times New Roman" w:hAnsi="Times New Roman" w:cs="Times New Roman"/>
          <w:sz w:val="24"/>
          <w:szCs w:val="24"/>
          <w:lang w:eastAsia="pl-PL"/>
        </w:rPr>
        <w:t xml:space="preserve">osoby fizyczne, spółki i fundacje: 10 domów, z 369 miejscami (są to prywatne domy pomocy społecznej). </w:t>
      </w:r>
    </w:p>
    <w:p w14:paraId="3DD39A3C" w14:textId="77777777" w:rsidR="00624AA0" w:rsidRDefault="00624AA0" w:rsidP="00E7359C">
      <w:pPr>
        <w:spacing w:after="0"/>
        <w:jc w:val="both"/>
        <w:rPr>
          <w:rFonts w:ascii="Times New Roman" w:eastAsia="Times New Roman" w:hAnsi="Times New Roman" w:cs="Times New Roman"/>
          <w:sz w:val="24"/>
          <w:szCs w:val="24"/>
          <w:lang w:eastAsia="pl-PL"/>
        </w:rPr>
      </w:pPr>
    </w:p>
    <w:p w14:paraId="79D0B327" w14:textId="77777777" w:rsidR="00F31DCC" w:rsidRPr="005F0A32" w:rsidRDefault="00F31DCC" w:rsidP="00E7359C">
      <w:pPr>
        <w:spacing w:after="0"/>
        <w:jc w:val="both"/>
        <w:rPr>
          <w:rFonts w:ascii="Times New Roman" w:hAnsi="Times New Roman" w:cs="Times New Roman"/>
          <w:sz w:val="24"/>
          <w:szCs w:val="24"/>
        </w:rPr>
      </w:pPr>
      <w:r w:rsidRPr="005F0A32">
        <w:rPr>
          <w:rFonts w:ascii="Times New Roman" w:eastAsia="Times New Roman" w:hAnsi="Times New Roman" w:cs="Times New Roman"/>
          <w:sz w:val="24"/>
          <w:szCs w:val="24"/>
          <w:lang w:eastAsia="pl-PL"/>
        </w:rPr>
        <w:t>W</w:t>
      </w:r>
      <w:r w:rsidRPr="005F0A32">
        <w:rPr>
          <w:rFonts w:ascii="Times New Roman" w:hAnsi="Times New Roman" w:cs="Times New Roman"/>
          <w:sz w:val="24"/>
          <w:szCs w:val="24"/>
        </w:rPr>
        <w:t xml:space="preserve"> 2019 r. w domach pomocy społecznej służby Wojewod</w:t>
      </w:r>
      <w:r w:rsidR="00624AA0">
        <w:rPr>
          <w:rFonts w:ascii="Times New Roman" w:hAnsi="Times New Roman" w:cs="Times New Roman"/>
          <w:sz w:val="24"/>
          <w:szCs w:val="24"/>
        </w:rPr>
        <w:t xml:space="preserve">y Mazowieckiego przeprowadziły </w:t>
      </w:r>
      <w:r w:rsidRPr="005F0A32">
        <w:rPr>
          <w:rFonts w:ascii="Times New Roman" w:hAnsi="Times New Roman" w:cs="Times New Roman"/>
          <w:sz w:val="24"/>
          <w:szCs w:val="24"/>
        </w:rPr>
        <w:t>34 kontrole, z czego 14 w domach pomocy społecznej przeznaczonych dla osób w podeszłym wieku. Natomiast w placówkach całodobowej opieki odbyło się 111, w tym w placówkach, które działały bez wymaganego zezwolenia wojewody. Stwierdzone w czasie kontroli uchybienia nie miały wpływu na pozytywną ocenę ich działalności.</w:t>
      </w:r>
    </w:p>
    <w:p w14:paraId="5675EAAF" w14:textId="77777777" w:rsidR="00624AA0" w:rsidRDefault="00624AA0" w:rsidP="00E7359C">
      <w:pPr>
        <w:spacing w:after="0"/>
        <w:jc w:val="both"/>
        <w:rPr>
          <w:rFonts w:ascii="Times New Roman" w:eastAsia="Times New Roman" w:hAnsi="Times New Roman" w:cs="Times New Roman"/>
          <w:sz w:val="24"/>
          <w:szCs w:val="24"/>
        </w:rPr>
      </w:pPr>
    </w:p>
    <w:p w14:paraId="04B91DCF" w14:textId="77777777" w:rsidR="00F31DCC" w:rsidRPr="005F0A32" w:rsidRDefault="00F31DCC" w:rsidP="00E7359C">
      <w:pPr>
        <w:spacing w:after="0"/>
        <w:jc w:val="both"/>
        <w:rPr>
          <w:rFonts w:ascii="Times New Roman" w:eastAsia="Times New Roman" w:hAnsi="Times New Roman" w:cs="Times New Roman"/>
          <w:sz w:val="24"/>
          <w:szCs w:val="24"/>
        </w:rPr>
      </w:pPr>
      <w:r w:rsidRPr="005F0A32">
        <w:rPr>
          <w:rFonts w:ascii="Times New Roman" w:eastAsia="Times New Roman" w:hAnsi="Times New Roman" w:cs="Times New Roman"/>
          <w:sz w:val="24"/>
          <w:szCs w:val="24"/>
        </w:rPr>
        <w:t>Jednym z działań wspierających aktywność zawodową seniorów było poradnictwo zawodowe świadczone przez Centra Informacji i Planowania Kariery Zawodowej, prowadzone w formie indywidualnej i grupowej. Poradnictwo indywidualne obejmowało cykl konsultacji bezpośrednich lub na odległość, podczas których doradcy zawodowi, stosując odpowiednie techniki motywowali osoby wspierane do stawiania sobie celów zawodowych. Doradztwo grupowe polegało na zajęciach w kilkunastoosobowych grupach. Celem zajęć było nabycie lub rozwinięcie u uczestników konkretnych umiejętności i postaw sprzyjających radzeniu sobie na rynku pracy. W zajęciach grupowych brały udział osoby w rożnym wieku co dawało</w:t>
      </w:r>
      <w:r w:rsidR="00624AA0">
        <w:rPr>
          <w:rFonts w:ascii="Times New Roman" w:eastAsia="Times New Roman" w:hAnsi="Times New Roman" w:cs="Times New Roman"/>
          <w:sz w:val="24"/>
          <w:szCs w:val="24"/>
        </w:rPr>
        <w:t xml:space="preserve"> możliwość wymiany doświadczeń </w:t>
      </w:r>
      <w:r w:rsidRPr="005F0A32">
        <w:rPr>
          <w:rFonts w:ascii="Times New Roman" w:eastAsia="Times New Roman" w:hAnsi="Times New Roman" w:cs="Times New Roman"/>
          <w:sz w:val="24"/>
          <w:szCs w:val="24"/>
        </w:rPr>
        <w:t xml:space="preserve">i widzenia rynku pracy z </w:t>
      </w:r>
      <w:r w:rsidR="00E9634A">
        <w:rPr>
          <w:rFonts w:ascii="Times New Roman" w:eastAsia="Times New Roman" w:hAnsi="Times New Roman" w:cs="Times New Roman"/>
          <w:sz w:val="24"/>
          <w:szCs w:val="24"/>
        </w:rPr>
        <w:t xml:space="preserve">różnych perspektyw. W 2019 r. </w:t>
      </w:r>
      <w:r w:rsidRPr="005F0A32">
        <w:rPr>
          <w:rFonts w:ascii="Times New Roman" w:eastAsia="Times New Roman" w:hAnsi="Times New Roman" w:cs="Times New Roman"/>
          <w:sz w:val="24"/>
          <w:szCs w:val="24"/>
        </w:rPr>
        <w:t>doradcy z Centrów Informacji i Planowania Kariery Zawodowej przeprowadzili 242 rozmowy d</w:t>
      </w:r>
      <w:r w:rsidR="00624AA0">
        <w:rPr>
          <w:rFonts w:ascii="Times New Roman" w:eastAsia="Times New Roman" w:hAnsi="Times New Roman" w:cs="Times New Roman"/>
          <w:sz w:val="24"/>
          <w:szCs w:val="24"/>
        </w:rPr>
        <w:t xml:space="preserve">oradcze z osobami w wieku 50+, </w:t>
      </w:r>
      <w:r w:rsidRPr="005F0A32">
        <w:rPr>
          <w:rFonts w:ascii="Times New Roman" w:eastAsia="Times New Roman" w:hAnsi="Times New Roman" w:cs="Times New Roman"/>
          <w:sz w:val="24"/>
          <w:szCs w:val="24"/>
        </w:rPr>
        <w:t>w tym z 23 osobami w wieku 60+. Z indywidualnego poradnictwa zawodowego skorzystało 187 osób w wieku 50+ w tym było 21 osób w wieku 60+. Z poradnictwa grupowego sko</w:t>
      </w:r>
      <w:r w:rsidR="00624AA0">
        <w:rPr>
          <w:rFonts w:ascii="Times New Roman" w:eastAsia="Times New Roman" w:hAnsi="Times New Roman" w:cs="Times New Roman"/>
          <w:sz w:val="24"/>
          <w:szCs w:val="24"/>
        </w:rPr>
        <w:t xml:space="preserve">rzystało 171 osób </w:t>
      </w:r>
      <w:r w:rsidRPr="005F0A32">
        <w:rPr>
          <w:rFonts w:ascii="Times New Roman" w:eastAsia="Times New Roman" w:hAnsi="Times New Roman" w:cs="Times New Roman"/>
          <w:sz w:val="24"/>
          <w:szCs w:val="24"/>
        </w:rPr>
        <w:t>w wieku 50+, w tym 17 osób 60+.</w:t>
      </w:r>
    </w:p>
    <w:p w14:paraId="4CB946B2" w14:textId="77777777" w:rsidR="00F31DCC" w:rsidRPr="005F0A32" w:rsidRDefault="00F31DCC" w:rsidP="00E7359C">
      <w:pPr>
        <w:spacing w:after="0"/>
        <w:jc w:val="both"/>
        <w:rPr>
          <w:rFonts w:ascii="Times New Roman" w:eastAsia="Times New Roman" w:hAnsi="Times New Roman" w:cs="Times New Roman"/>
          <w:sz w:val="24"/>
          <w:szCs w:val="24"/>
        </w:rPr>
      </w:pPr>
    </w:p>
    <w:p w14:paraId="7AD9F2DA" w14:textId="77777777" w:rsidR="00F31DCC" w:rsidRPr="005F0A32" w:rsidRDefault="00624AA0" w:rsidP="00E7359C">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 2019 r.</w:t>
      </w:r>
      <w:r w:rsidR="00F31DCC" w:rsidRPr="005F0A32">
        <w:rPr>
          <w:rFonts w:ascii="Times New Roman" w:eastAsia="Times New Roman" w:hAnsi="Times New Roman" w:cs="Times New Roman"/>
          <w:sz w:val="24"/>
          <w:szCs w:val="24"/>
        </w:rPr>
        <w:t xml:space="preserve"> Wojewódzki Urząd Pracy w Warszawie zorganizował spotkanie dotyczące tematyki aktywnego starzenia się i zarządzania wiekiem. W spotkaniu wzięli udział przedstawiciele Ministerstwa Rodziny, Pracy i Polityki Społecznej, przedstawiciele powiatowych urzędów pracy, przedstawiciele pracodawców i ich organizacji. Podczas spotkania omawiane były:</w:t>
      </w:r>
    </w:p>
    <w:p w14:paraId="16468D62" w14:textId="77777777" w:rsidR="00F31DCC" w:rsidRPr="005F0A32" w:rsidRDefault="00F31DCC" w:rsidP="008C71A9">
      <w:pPr>
        <w:numPr>
          <w:ilvl w:val="0"/>
          <w:numId w:val="100"/>
        </w:numPr>
        <w:tabs>
          <w:tab w:val="left" w:pos="709"/>
        </w:tabs>
        <w:spacing w:after="0"/>
        <w:ind w:left="360"/>
        <w:jc w:val="both"/>
        <w:rPr>
          <w:rFonts w:ascii="Times New Roman" w:eastAsia="Times New Roman" w:hAnsi="Times New Roman" w:cs="Times New Roman"/>
          <w:sz w:val="24"/>
          <w:szCs w:val="24"/>
        </w:rPr>
      </w:pPr>
      <w:r w:rsidRPr="005F0A32">
        <w:rPr>
          <w:rFonts w:ascii="Times New Roman" w:eastAsia="Times New Roman" w:hAnsi="Times New Roman" w:cs="Times New Roman"/>
          <w:sz w:val="24"/>
          <w:szCs w:val="24"/>
        </w:rPr>
        <w:t>zagadnienia dotyczące aspektów aktywizacji zawodowej i zatrudnienia osób powyżej 50 roku życia, związane z wynikami badań prowadzonych w ramach projektu Survey of Health, Aging and Retirement in Europe;</w:t>
      </w:r>
    </w:p>
    <w:p w14:paraId="2BAAA991" w14:textId="77777777" w:rsidR="00F31DCC" w:rsidRPr="005F0A32" w:rsidRDefault="00F31DCC" w:rsidP="008C71A9">
      <w:pPr>
        <w:numPr>
          <w:ilvl w:val="0"/>
          <w:numId w:val="100"/>
        </w:numPr>
        <w:tabs>
          <w:tab w:val="left" w:pos="709"/>
        </w:tabs>
        <w:spacing w:after="0"/>
        <w:ind w:left="360"/>
        <w:jc w:val="both"/>
        <w:rPr>
          <w:rFonts w:ascii="Times New Roman" w:eastAsia="Times New Roman" w:hAnsi="Times New Roman" w:cs="Times New Roman"/>
          <w:sz w:val="24"/>
          <w:szCs w:val="24"/>
        </w:rPr>
      </w:pPr>
      <w:r w:rsidRPr="005F0A32">
        <w:rPr>
          <w:rFonts w:ascii="Times New Roman" w:eastAsia="Times New Roman" w:hAnsi="Times New Roman" w:cs="Times New Roman"/>
          <w:sz w:val="24"/>
          <w:szCs w:val="24"/>
        </w:rPr>
        <w:t xml:space="preserve">założenia dokumentu </w:t>
      </w:r>
      <w:r w:rsidRPr="00D91C2F">
        <w:rPr>
          <w:rFonts w:ascii="Times New Roman" w:eastAsia="Times New Roman" w:hAnsi="Times New Roman" w:cs="Times New Roman"/>
          <w:i/>
          <w:sz w:val="24"/>
          <w:szCs w:val="24"/>
        </w:rPr>
        <w:t xml:space="preserve">Polityka społeczna wobec osób starszych 2030. Bezpieczeństwo </w:t>
      </w:r>
      <w:r w:rsidRPr="00D91C2F">
        <w:rPr>
          <w:rFonts w:ascii="Times New Roman" w:eastAsia="Times New Roman" w:hAnsi="Times New Roman" w:cs="Times New Roman"/>
          <w:i/>
          <w:sz w:val="24"/>
          <w:szCs w:val="24"/>
        </w:rPr>
        <w:br/>
        <w:t>– Uczestnictwo – Solidarność</w:t>
      </w:r>
      <w:r w:rsidRPr="005F0A32">
        <w:rPr>
          <w:rFonts w:ascii="Times New Roman" w:eastAsia="Times New Roman" w:hAnsi="Times New Roman" w:cs="Times New Roman"/>
          <w:sz w:val="24"/>
          <w:szCs w:val="24"/>
        </w:rPr>
        <w:t>;</w:t>
      </w:r>
    </w:p>
    <w:p w14:paraId="4D37E5A9" w14:textId="77777777" w:rsidR="00F31DCC" w:rsidRPr="005F0A32" w:rsidRDefault="00F31DCC" w:rsidP="008C71A9">
      <w:pPr>
        <w:numPr>
          <w:ilvl w:val="0"/>
          <w:numId w:val="100"/>
        </w:numPr>
        <w:tabs>
          <w:tab w:val="left" w:pos="709"/>
        </w:tabs>
        <w:spacing w:after="0"/>
        <w:ind w:left="360"/>
        <w:jc w:val="both"/>
        <w:rPr>
          <w:rFonts w:ascii="Times New Roman" w:eastAsia="Times New Roman" w:hAnsi="Times New Roman" w:cs="Times New Roman"/>
          <w:sz w:val="24"/>
          <w:szCs w:val="24"/>
        </w:rPr>
      </w:pPr>
      <w:bookmarkStart w:id="137" w:name="page3"/>
      <w:bookmarkEnd w:id="137"/>
      <w:r w:rsidRPr="005F0A32">
        <w:rPr>
          <w:rFonts w:ascii="Times New Roman" w:eastAsia="Times New Roman" w:hAnsi="Times New Roman" w:cs="Times New Roman"/>
          <w:sz w:val="24"/>
          <w:szCs w:val="24"/>
        </w:rPr>
        <w:t>kwestie zarządzania różnorodnością i wiekiem z elementem przybliżenia Prezydenckiej inicjatywy dotyczącej wspierania starszych pracowników;</w:t>
      </w:r>
    </w:p>
    <w:p w14:paraId="747250E5" w14:textId="77777777" w:rsidR="00F31DCC" w:rsidRPr="005F0A32" w:rsidRDefault="00F31DCC" w:rsidP="008C71A9">
      <w:pPr>
        <w:numPr>
          <w:ilvl w:val="0"/>
          <w:numId w:val="100"/>
        </w:numPr>
        <w:tabs>
          <w:tab w:val="left" w:pos="709"/>
        </w:tabs>
        <w:spacing w:after="0"/>
        <w:ind w:left="360"/>
        <w:jc w:val="both"/>
        <w:rPr>
          <w:rFonts w:ascii="Times New Roman" w:eastAsia="Times New Roman" w:hAnsi="Times New Roman" w:cs="Times New Roman"/>
          <w:sz w:val="24"/>
          <w:szCs w:val="24"/>
        </w:rPr>
      </w:pPr>
      <w:r w:rsidRPr="005F0A32">
        <w:rPr>
          <w:rFonts w:ascii="Times New Roman" w:eastAsia="Times New Roman" w:hAnsi="Times New Roman" w:cs="Times New Roman"/>
          <w:sz w:val="24"/>
          <w:szCs w:val="24"/>
        </w:rPr>
        <w:t>dobre praktyki pracodawców, do których można zaliczyć m.in. mentoring, audyty zagrożeń dla zdrowia, organizacja czasu pracy, programy świadomościowe mające na celu zwiększanie akceptacji dla różnorodności</w:t>
      </w:r>
    </w:p>
    <w:p w14:paraId="60964C7D" w14:textId="77777777" w:rsidR="00F31DCC" w:rsidRPr="005F0A32" w:rsidRDefault="00F31DCC" w:rsidP="00E7359C">
      <w:pPr>
        <w:pStyle w:val="Bodytext20"/>
        <w:shd w:val="clear" w:color="auto" w:fill="auto"/>
        <w:spacing w:line="276" w:lineRule="auto"/>
        <w:ind w:firstLine="0"/>
        <w:jc w:val="both"/>
        <w:rPr>
          <w:rFonts w:ascii="Times New Roman" w:hAnsi="Times New Roman" w:cs="Times New Roman"/>
          <w:color w:val="000000"/>
          <w:sz w:val="24"/>
          <w:szCs w:val="24"/>
          <w:lang w:eastAsia="pl-PL" w:bidi="pl-PL"/>
        </w:rPr>
      </w:pPr>
    </w:p>
    <w:p w14:paraId="01013573" w14:textId="77777777" w:rsidR="00F31DCC" w:rsidRPr="005F0A32" w:rsidRDefault="00F31DCC" w:rsidP="00E7359C">
      <w:pPr>
        <w:pStyle w:val="Bodytext20"/>
        <w:shd w:val="clear" w:color="auto" w:fill="auto"/>
        <w:spacing w:line="276" w:lineRule="auto"/>
        <w:ind w:firstLine="0"/>
        <w:jc w:val="both"/>
        <w:rPr>
          <w:rFonts w:ascii="Times New Roman" w:hAnsi="Times New Roman" w:cs="Times New Roman"/>
          <w:sz w:val="24"/>
          <w:szCs w:val="24"/>
        </w:rPr>
      </w:pPr>
      <w:r w:rsidRPr="005F0A32">
        <w:rPr>
          <w:rFonts w:ascii="Times New Roman" w:hAnsi="Times New Roman" w:cs="Times New Roman"/>
          <w:color w:val="000000"/>
          <w:sz w:val="24"/>
          <w:szCs w:val="24"/>
          <w:lang w:eastAsia="pl-PL" w:bidi="pl-PL"/>
        </w:rPr>
        <w:t>W okresie od 1 stycznia 2019 r. do 31 grudnia 2019 r. Mazowieckie Centrum Polityki Społecznej przekazało 46 dotacji dla organizacji pozarządowych na łączną kwotę 2 mln 200 tys. zł na realizację zadań publicznych, w tym na zadania:</w:t>
      </w:r>
    </w:p>
    <w:p w14:paraId="266C2EAE" w14:textId="77777777" w:rsidR="00F31DCC" w:rsidRPr="005F0A32" w:rsidRDefault="00F31DCC" w:rsidP="00E7359C">
      <w:pPr>
        <w:pStyle w:val="Bodytext20"/>
        <w:numPr>
          <w:ilvl w:val="0"/>
          <w:numId w:val="19"/>
        </w:numPr>
        <w:shd w:val="clear" w:color="auto" w:fill="auto"/>
        <w:tabs>
          <w:tab w:val="left" w:pos="2030"/>
        </w:tabs>
        <w:spacing w:line="276" w:lineRule="auto"/>
        <w:jc w:val="both"/>
        <w:rPr>
          <w:rFonts w:ascii="Times New Roman" w:hAnsi="Times New Roman" w:cs="Times New Roman"/>
          <w:sz w:val="24"/>
          <w:szCs w:val="24"/>
        </w:rPr>
      </w:pPr>
      <w:r w:rsidRPr="005F0A32">
        <w:rPr>
          <w:rFonts w:ascii="Times New Roman" w:hAnsi="Times New Roman" w:cs="Times New Roman"/>
          <w:color w:val="000000"/>
          <w:sz w:val="24"/>
          <w:szCs w:val="24"/>
          <w:lang w:eastAsia="pl-PL" w:bidi="pl-PL"/>
        </w:rPr>
        <w:t xml:space="preserve">„Działania na rzecz osób starszych w zakresie zwiększania samodzielności </w:t>
      </w:r>
      <w:r w:rsidRPr="005F0A32">
        <w:rPr>
          <w:rFonts w:ascii="Times New Roman" w:hAnsi="Times New Roman" w:cs="Times New Roman"/>
          <w:color w:val="000000"/>
          <w:sz w:val="24"/>
          <w:szCs w:val="24"/>
          <w:lang w:eastAsia="pl-PL" w:bidi="pl-PL"/>
        </w:rPr>
        <w:br/>
        <w:t>i przeciwdziałania zagrożeniu marginalizacją społeczną” - 43 dotacje na łączną kwotę 1 mln 628 tys. 333 zł;</w:t>
      </w:r>
    </w:p>
    <w:p w14:paraId="1F47A201" w14:textId="77777777" w:rsidR="00F31DCC" w:rsidRPr="005F0A32" w:rsidRDefault="00F31DCC" w:rsidP="00E7359C">
      <w:pPr>
        <w:pStyle w:val="Bodytext20"/>
        <w:numPr>
          <w:ilvl w:val="0"/>
          <w:numId w:val="19"/>
        </w:numPr>
        <w:shd w:val="clear" w:color="auto" w:fill="auto"/>
        <w:tabs>
          <w:tab w:val="left" w:pos="2030"/>
        </w:tabs>
        <w:spacing w:line="276" w:lineRule="auto"/>
        <w:jc w:val="both"/>
        <w:rPr>
          <w:rFonts w:ascii="Times New Roman" w:hAnsi="Times New Roman" w:cs="Times New Roman"/>
          <w:sz w:val="24"/>
          <w:szCs w:val="24"/>
        </w:rPr>
      </w:pPr>
      <w:r w:rsidRPr="005F0A32">
        <w:rPr>
          <w:rFonts w:ascii="Times New Roman" w:hAnsi="Times New Roman" w:cs="Times New Roman"/>
          <w:color w:val="000000"/>
          <w:sz w:val="24"/>
          <w:szCs w:val="24"/>
          <w:lang w:eastAsia="pl-PL" w:bidi="pl-PL"/>
        </w:rPr>
        <w:t>„Partycypacja osób starszych w życiu społecznym” - 1 dotacja na kwotę 298 tys. 500 zł;</w:t>
      </w:r>
    </w:p>
    <w:p w14:paraId="1A1EC8B6" w14:textId="77777777" w:rsidR="00F31DCC" w:rsidRPr="005F0A32" w:rsidRDefault="00F31DCC" w:rsidP="00E7359C">
      <w:pPr>
        <w:pStyle w:val="Bodytext20"/>
        <w:numPr>
          <w:ilvl w:val="0"/>
          <w:numId w:val="19"/>
        </w:numPr>
        <w:shd w:val="clear" w:color="auto" w:fill="auto"/>
        <w:tabs>
          <w:tab w:val="left" w:pos="2030"/>
        </w:tabs>
        <w:spacing w:line="276" w:lineRule="auto"/>
        <w:jc w:val="both"/>
        <w:rPr>
          <w:rFonts w:ascii="Times New Roman" w:hAnsi="Times New Roman" w:cs="Times New Roman"/>
          <w:sz w:val="24"/>
          <w:szCs w:val="24"/>
        </w:rPr>
      </w:pPr>
      <w:r w:rsidRPr="005F0A32">
        <w:rPr>
          <w:rFonts w:ascii="Times New Roman" w:hAnsi="Times New Roman" w:cs="Times New Roman"/>
          <w:color w:val="000000"/>
          <w:sz w:val="24"/>
          <w:szCs w:val="24"/>
          <w:lang w:eastAsia="pl-PL" w:bidi="pl-PL"/>
        </w:rPr>
        <w:t>„Ścieżką edukacyjną w trzeci wiek” - 2 dotacje na łączną kwotę 273 tys. 167 zł.</w:t>
      </w:r>
    </w:p>
    <w:p w14:paraId="2A069CC3" w14:textId="77777777" w:rsidR="00F31DCC" w:rsidRPr="005F0A32" w:rsidRDefault="00F31DCC" w:rsidP="00E7359C">
      <w:pPr>
        <w:spacing w:after="0"/>
        <w:jc w:val="both"/>
        <w:rPr>
          <w:rFonts w:ascii="Times New Roman" w:hAnsi="Times New Roman" w:cs="Times New Roman"/>
          <w:color w:val="000000" w:themeColor="text1"/>
          <w:sz w:val="24"/>
          <w:szCs w:val="24"/>
        </w:rPr>
      </w:pPr>
    </w:p>
    <w:p w14:paraId="5AB8AE3B" w14:textId="77777777" w:rsidR="0096417A" w:rsidRPr="00A77DEB" w:rsidRDefault="0096417A" w:rsidP="00E7359C">
      <w:pPr>
        <w:spacing w:after="0"/>
        <w:jc w:val="both"/>
        <w:rPr>
          <w:rFonts w:ascii="Times New Roman" w:hAnsi="Times New Roman" w:cs="Times New Roman"/>
          <w:sz w:val="24"/>
          <w:szCs w:val="24"/>
        </w:rPr>
      </w:pPr>
      <w:r w:rsidRPr="00A77DEB">
        <w:rPr>
          <w:rFonts w:ascii="Times New Roman" w:hAnsi="Times New Roman" w:cs="Times New Roman"/>
          <w:b/>
          <w:sz w:val="24"/>
          <w:szCs w:val="24"/>
        </w:rPr>
        <w:t xml:space="preserve">Przykłady dobrych praktyk na poziomie </w:t>
      </w:r>
      <w:r>
        <w:rPr>
          <w:rFonts w:ascii="Times New Roman" w:hAnsi="Times New Roman" w:cs="Times New Roman"/>
          <w:b/>
          <w:sz w:val="24"/>
          <w:szCs w:val="24"/>
        </w:rPr>
        <w:t>lokalnym</w:t>
      </w:r>
    </w:p>
    <w:p w14:paraId="7A00F744" w14:textId="77777777" w:rsidR="00DE5C93" w:rsidRDefault="00DE5C93" w:rsidP="00E7359C">
      <w:pPr>
        <w:spacing w:after="0"/>
        <w:jc w:val="both"/>
        <w:rPr>
          <w:rFonts w:ascii="Times New Roman" w:eastAsia="Times New Roman" w:hAnsi="Times New Roman" w:cs="Times New Roman"/>
          <w:sz w:val="24"/>
          <w:szCs w:val="24"/>
          <w:lang w:eastAsia="pl-PL"/>
        </w:rPr>
      </w:pPr>
    </w:p>
    <w:p w14:paraId="121AEE88" w14:textId="77777777" w:rsidR="00DE5C93" w:rsidRDefault="00F31DCC" w:rsidP="00E7359C">
      <w:pPr>
        <w:spacing w:after="0"/>
        <w:jc w:val="both"/>
        <w:rPr>
          <w:rFonts w:ascii="Times New Roman" w:hAnsi="Times New Roman" w:cs="Times New Roman"/>
          <w:b/>
          <w:color w:val="000000" w:themeColor="text1"/>
          <w:sz w:val="24"/>
          <w:szCs w:val="24"/>
        </w:rPr>
      </w:pPr>
      <w:r w:rsidRPr="00DE5C93">
        <w:rPr>
          <w:rFonts w:ascii="Times New Roman" w:eastAsia="Times New Roman" w:hAnsi="Times New Roman" w:cs="Times New Roman"/>
          <w:sz w:val="24"/>
          <w:szCs w:val="24"/>
          <w:lang w:eastAsia="pl-PL"/>
        </w:rPr>
        <w:t>Potrzeby osób starszych w 2019 r.</w:t>
      </w:r>
      <w:r w:rsidRPr="00DE5C93">
        <w:rPr>
          <w:rFonts w:ascii="Times New Roman" w:eastAsia="Times New Roman" w:hAnsi="Times New Roman" w:cs="Times New Roman"/>
          <w:b/>
          <w:sz w:val="24"/>
          <w:szCs w:val="24"/>
          <w:lang w:eastAsia="pl-PL"/>
        </w:rPr>
        <w:t xml:space="preserve"> </w:t>
      </w:r>
      <w:r w:rsidRPr="00DE5C93">
        <w:rPr>
          <w:rFonts w:ascii="Times New Roman" w:eastAsia="Times New Roman" w:hAnsi="Times New Roman" w:cs="Times New Roman"/>
          <w:sz w:val="24"/>
          <w:szCs w:val="24"/>
          <w:lang w:eastAsia="pl-PL"/>
        </w:rPr>
        <w:t>zajmowały bardzo ważne</w:t>
      </w:r>
      <w:r w:rsidRPr="00DE5C93">
        <w:rPr>
          <w:rFonts w:ascii="Times New Roman" w:eastAsia="Times New Roman" w:hAnsi="Times New Roman" w:cs="Times New Roman"/>
          <w:b/>
          <w:sz w:val="24"/>
          <w:szCs w:val="24"/>
          <w:lang w:eastAsia="pl-PL"/>
        </w:rPr>
        <w:t xml:space="preserve"> </w:t>
      </w:r>
      <w:r w:rsidRPr="00DE5C93">
        <w:rPr>
          <w:rFonts w:ascii="Times New Roman" w:eastAsia="Times New Roman" w:hAnsi="Times New Roman" w:cs="Times New Roman"/>
          <w:sz w:val="24"/>
          <w:szCs w:val="24"/>
          <w:lang w:eastAsia="pl-PL"/>
        </w:rPr>
        <w:t>miejsce</w:t>
      </w:r>
      <w:r w:rsidRPr="00DE5C93">
        <w:rPr>
          <w:rFonts w:ascii="Times New Roman" w:eastAsia="Times New Roman" w:hAnsi="Times New Roman" w:cs="Times New Roman"/>
          <w:b/>
          <w:sz w:val="24"/>
          <w:szCs w:val="24"/>
          <w:lang w:eastAsia="pl-PL"/>
        </w:rPr>
        <w:t xml:space="preserve"> </w:t>
      </w:r>
      <w:r w:rsidRPr="00DE5C93">
        <w:rPr>
          <w:rFonts w:ascii="Times New Roman" w:eastAsia="Times New Roman" w:hAnsi="Times New Roman" w:cs="Times New Roman"/>
          <w:sz w:val="24"/>
          <w:szCs w:val="24"/>
          <w:lang w:eastAsia="pl-PL"/>
        </w:rPr>
        <w:t xml:space="preserve">w polityce społecznej prowadzonej na poziomie lokalnym. Przedstawiamy kilka przykładów dobrych praktyk podejmowanych w 2019 r. w powiatach i gminach województwa mazowieckiego. </w:t>
      </w:r>
    </w:p>
    <w:p w14:paraId="2E3D9094" w14:textId="77777777" w:rsidR="00DE5C93" w:rsidRDefault="00DE5C93" w:rsidP="00E7359C">
      <w:pPr>
        <w:spacing w:after="0"/>
        <w:jc w:val="both"/>
        <w:rPr>
          <w:rFonts w:ascii="Times New Roman" w:hAnsi="Times New Roman" w:cs="Times New Roman"/>
          <w:b/>
          <w:color w:val="000000" w:themeColor="text1"/>
          <w:sz w:val="24"/>
          <w:szCs w:val="24"/>
        </w:rPr>
      </w:pPr>
    </w:p>
    <w:p w14:paraId="0AE047F3" w14:textId="77777777" w:rsidR="00DE5C93" w:rsidRPr="00D91C2F" w:rsidRDefault="00F31DCC" w:rsidP="008C71A9">
      <w:pPr>
        <w:pStyle w:val="Akapitzlist"/>
        <w:numPr>
          <w:ilvl w:val="0"/>
          <w:numId w:val="103"/>
        </w:numPr>
        <w:spacing w:after="0"/>
        <w:ind w:left="360"/>
        <w:jc w:val="both"/>
        <w:rPr>
          <w:rFonts w:ascii="Times New Roman" w:hAnsi="Times New Roman" w:cs="Times New Roman"/>
          <w:color w:val="000000" w:themeColor="text1"/>
          <w:sz w:val="24"/>
          <w:szCs w:val="24"/>
        </w:rPr>
      </w:pPr>
      <w:r w:rsidRPr="00D91C2F">
        <w:rPr>
          <w:rFonts w:ascii="Times New Roman" w:eastAsia="Times New Roman" w:hAnsi="Times New Roman" w:cs="Times New Roman"/>
          <w:sz w:val="24"/>
          <w:szCs w:val="24"/>
          <w:lang w:eastAsia="pl-PL"/>
        </w:rPr>
        <w:t xml:space="preserve">Miasto st. Warszawa </w:t>
      </w:r>
    </w:p>
    <w:p w14:paraId="5934E202" w14:textId="77777777" w:rsidR="0096417A" w:rsidRPr="0096417A" w:rsidRDefault="00F31DCC" w:rsidP="008C71A9">
      <w:pPr>
        <w:pStyle w:val="Akapitzlist"/>
        <w:numPr>
          <w:ilvl w:val="0"/>
          <w:numId w:val="104"/>
        </w:numPr>
        <w:spacing w:after="0"/>
        <w:ind w:left="643"/>
        <w:jc w:val="both"/>
        <w:rPr>
          <w:rFonts w:ascii="Times New Roman" w:hAnsi="Times New Roman" w:cs="Times New Roman"/>
          <w:b/>
          <w:color w:val="000000" w:themeColor="text1"/>
          <w:sz w:val="24"/>
          <w:szCs w:val="24"/>
        </w:rPr>
      </w:pPr>
      <w:r w:rsidRPr="0096417A">
        <w:rPr>
          <w:rFonts w:ascii="Times New Roman" w:eastAsia="Times New Roman" w:hAnsi="Times New Roman" w:cs="Times New Roman"/>
          <w:sz w:val="24"/>
          <w:szCs w:val="24"/>
          <w:lang w:eastAsia="pl-PL"/>
        </w:rPr>
        <w:t xml:space="preserve">Do interesujących działań ukierunkowanych na osoby 60+ można zaliczyć pomysł zorganizowania „Kompleksowego sprzątania mieszkań odbiorców usług opiekuńczych </w:t>
      </w:r>
      <w:r w:rsidRPr="0096417A">
        <w:rPr>
          <w:rFonts w:ascii="Times New Roman" w:eastAsia="Times New Roman" w:hAnsi="Times New Roman" w:cs="Times New Roman"/>
          <w:sz w:val="24"/>
          <w:szCs w:val="24"/>
          <w:lang w:eastAsia="pl-PL"/>
        </w:rPr>
        <w:br/>
        <w:t>w Warszawie”. Celem zadania było podniesienie jakości życia najstarszych mieszkańców Warszawy, którzy  byli odbiorcami usług opiekuńczych. Stworzenie odpowied</w:t>
      </w:r>
      <w:r w:rsidR="0096417A" w:rsidRPr="0096417A">
        <w:rPr>
          <w:rFonts w:ascii="Times New Roman" w:eastAsia="Times New Roman" w:hAnsi="Times New Roman" w:cs="Times New Roman"/>
          <w:sz w:val="24"/>
          <w:szCs w:val="24"/>
          <w:lang w:eastAsia="pl-PL"/>
        </w:rPr>
        <w:t xml:space="preserve">nich warunków do godnego życia </w:t>
      </w:r>
      <w:r w:rsidRPr="0096417A">
        <w:rPr>
          <w:rFonts w:ascii="Times New Roman" w:eastAsia="Times New Roman" w:hAnsi="Times New Roman" w:cs="Times New Roman"/>
          <w:sz w:val="24"/>
          <w:szCs w:val="24"/>
          <w:lang w:eastAsia="pl-PL"/>
        </w:rPr>
        <w:t>w miejscu zamieszkania umożliwiło prawidłowe prowadzenie pracy socjalnej oraz świadczenie usług opiekuńczych, co w konsekwencji przyczyniło się do większej</w:t>
      </w:r>
      <w:r w:rsidR="0096417A" w:rsidRPr="0096417A">
        <w:rPr>
          <w:rFonts w:ascii="Times New Roman" w:eastAsia="Times New Roman" w:hAnsi="Times New Roman" w:cs="Times New Roman"/>
          <w:sz w:val="24"/>
          <w:szCs w:val="24"/>
          <w:lang w:eastAsia="pl-PL"/>
        </w:rPr>
        <w:t xml:space="preserve"> efektywności systemu wsparcia </w:t>
      </w:r>
      <w:r w:rsidRPr="0096417A">
        <w:rPr>
          <w:rFonts w:ascii="Times New Roman" w:eastAsia="Times New Roman" w:hAnsi="Times New Roman" w:cs="Times New Roman"/>
          <w:sz w:val="24"/>
          <w:szCs w:val="24"/>
          <w:lang w:eastAsia="pl-PL"/>
        </w:rPr>
        <w:t xml:space="preserve">i wydłużenia czasu życia seniorów w ich dotychczasowym miejscu zamieszkania. Zadanie publiczne, określone zostało w Programie Warszawa Przyjazna Seniorom na lata 2013-2020, przyjętym uchwałą Rady m.st. Warszawy nr LXXII/1870/2013 z dnia 5.12.2013 r. Zadanie zostało zlecone do realizacji organizacjom pozarządowym. Zakres prac porządkowych </w:t>
      </w:r>
      <w:r w:rsidR="0096417A">
        <w:rPr>
          <w:rFonts w:ascii="Times New Roman" w:eastAsia="Times New Roman" w:hAnsi="Times New Roman" w:cs="Times New Roman"/>
          <w:sz w:val="24"/>
          <w:szCs w:val="24"/>
          <w:lang w:eastAsia="pl-PL"/>
        </w:rPr>
        <w:t xml:space="preserve">obejmował generalne sprzątanie </w:t>
      </w:r>
      <w:r w:rsidRPr="0096417A">
        <w:rPr>
          <w:rFonts w:ascii="Times New Roman" w:eastAsia="Times New Roman" w:hAnsi="Times New Roman" w:cs="Times New Roman"/>
          <w:sz w:val="24"/>
          <w:szCs w:val="24"/>
          <w:lang w:eastAsia="pl-PL"/>
        </w:rPr>
        <w:t xml:space="preserve">w tym m.in.: sprzątanie balkonów, mycie mebli wewnątrz i na zewnątrz, czyszczenie sprzętu AGD, a także drobnych prac remontowych </w:t>
      </w:r>
      <w:r w:rsidRPr="0096417A">
        <w:rPr>
          <w:rFonts w:ascii="Times New Roman" w:eastAsia="Times New Roman" w:hAnsi="Times New Roman" w:cs="Times New Roman"/>
          <w:sz w:val="24"/>
          <w:szCs w:val="24"/>
          <w:lang w:eastAsia="pl-PL"/>
        </w:rPr>
        <w:lastRenderedPageBreak/>
        <w:t>niewymagających specjalistycznej wiedzy i uprawnień, w tym m.in.: odświeżanie ścian i sufitów, naprawy np. hydrauliczne. Szczegółowy zakres usług był ustalany indywidualnie z osobą objętą usługą. W sytuacji, gdy prace remontowe wymagały opuszczenia mieszkania przez osobę objętą usługą, wykonawca prac wskazywał miejsca, zapewniające na czas trwania usługi noclegu poza miejscem zamieszkania i całodziennego wyżywienia. Ta forma pomocy jest kontynuowana w 2020 r.</w:t>
      </w:r>
    </w:p>
    <w:p w14:paraId="5CCF516C" w14:textId="77777777" w:rsidR="0096417A" w:rsidRPr="00D91C2F" w:rsidRDefault="00F31DCC" w:rsidP="008C71A9">
      <w:pPr>
        <w:pStyle w:val="Akapitzlist"/>
        <w:numPr>
          <w:ilvl w:val="0"/>
          <w:numId w:val="104"/>
        </w:numPr>
        <w:spacing w:after="0"/>
        <w:ind w:left="643"/>
        <w:jc w:val="both"/>
        <w:rPr>
          <w:rFonts w:ascii="Times New Roman" w:hAnsi="Times New Roman" w:cs="Times New Roman"/>
          <w:b/>
          <w:color w:val="000000" w:themeColor="text1"/>
          <w:sz w:val="24"/>
          <w:szCs w:val="24"/>
        </w:rPr>
      </w:pPr>
      <w:r w:rsidRPr="0096417A">
        <w:rPr>
          <w:rFonts w:ascii="Times New Roman" w:eastAsia="Times New Roman" w:hAnsi="Times New Roman" w:cs="Times New Roman"/>
          <w:sz w:val="24"/>
          <w:szCs w:val="24"/>
          <w:lang w:eastAsia="pl-PL"/>
        </w:rPr>
        <w:t xml:space="preserve">Innym programem realizowanym na terenie Warszawy był projekt o nazwie „Zaloguj </w:t>
      </w:r>
      <w:r w:rsidRPr="0096417A">
        <w:rPr>
          <w:rFonts w:ascii="Times New Roman" w:eastAsia="Times New Roman" w:hAnsi="Times New Roman" w:cs="Times New Roman"/>
          <w:sz w:val="24"/>
          <w:szCs w:val="24"/>
          <w:lang w:eastAsia="pl-PL"/>
        </w:rPr>
        <w:br/>
        <w:t xml:space="preserve">i Pomagaj Warszawa dla Seniora”. </w:t>
      </w:r>
      <w:r w:rsidRPr="0096417A">
        <w:rPr>
          <w:rFonts w:ascii="Times New Roman" w:hAnsi="Times New Roman" w:cs="Times New Roman"/>
          <w:sz w:val="24"/>
          <w:szCs w:val="24"/>
        </w:rPr>
        <w:t xml:space="preserve">Projekt Zaloguj i pomagaj - Warszawa dla seniora to inicjatywa finansowana ze środków m. st. Warszawy i realizowana przez Stowarzyszenie Q Rozwojowi, która miała na celu stworzenie społeczności wolontariuszy pomagających warszawskim seniorom. Skierowana była do osób, które lubią ludzi, chcą pomagać i wierzą, że jedno słowo lub gest może zmienić życie drugiego człowieka. Celem projektu było odbudowanie więzi społecznych osamotnionych seniorów poprzez wspólne zainteresowania i spędzanie czasu z wolontariuszem. Projekt był skierowany do podopiecznych ośrodków pomocy społecznej. </w:t>
      </w:r>
    </w:p>
    <w:p w14:paraId="18738F41" w14:textId="77777777" w:rsidR="00D91C2F" w:rsidRPr="00D91C2F" w:rsidRDefault="00F31DCC" w:rsidP="008C71A9">
      <w:pPr>
        <w:pStyle w:val="Akapitzlist"/>
        <w:numPr>
          <w:ilvl w:val="0"/>
          <w:numId w:val="104"/>
        </w:numPr>
        <w:spacing w:after="0"/>
        <w:ind w:left="643"/>
        <w:jc w:val="both"/>
        <w:rPr>
          <w:rFonts w:ascii="Times New Roman" w:hAnsi="Times New Roman" w:cs="Times New Roman"/>
          <w:b/>
          <w:color w:val="000000" w:themeColor="text1"/>
          <w:sz w:val="24"/>
          <w:szCs w:val="24"/>
        </w:rPr>
      </w:pPr>
      <w:r w:rsidRPr="00D91C2F">
        <w:rPr>
          <w:rFonts w:ascii="Times New Roman" w:eastAsia="Times New Roman" w:hAnsi="Times New Roman" w:cs="Times New Roman"/>
          <w:sz w:val="24"/>
          <w:szCs w:val="24"/>
          <w:lang w:eastAsia="pl-PL"/>
        </w:rPr>
        <w:t>Projekt "Odwiedziny" - liczba uczestników 17, który polegał na:</w:t>
      </w:r>
      <w:r w:rsidR="007F3622" w:rsidRPr="00D91C2F">
        <w:rPr>
          <w:rFonts w:ascii="Times New Roman" w:hAnsi="Times New Roman" w:cs="Times New Roman"/>
          <w:b/>
          <w:color w:val="000000" w:themeColor="text1"/>
          <w:sz w:val="24"/>
          <w:szCs w:val="24"/>
        </w:rPr>
        <w:t xml:space="preserve"> </w:t>
      </w:r>
      <w:r w:rsidRPr="00D91C2F">
        <w:rPr>
          <w:rFonts w:ascii="Times New Roman" w:eastAsia="Times New Roman" w:hAnsi="Times New Roman" w:cs="Times New Roman"/>
          <w:sz w:val="24"/>
          <w:szCs w:val="24"/>
          <w:lang w:eastAsia="pl-PL"/>
        </w:rPr>
        <w:t xml:space="preserve">wsparciu </w:t>
      </w:r>
      <w:r w:rsidR="007F3622" w:rsidRPr="00D91C2F">
        <w:rPr>
          <w:rFonts w:ascii="Times New Roman" w:eastAsia="Times New Roman" w:hAnsi="Times New Roman" w:cs="Times New Roman"/>
          <w:sz w:val="24"/>
          <w:szCs w:val="24"/>
          <w:lang w:eastAsia="pl-PL"/>
        </w:rPr>
        <w:t xml:space="preserve">seniorów w miejscu zamieszkania, </w:t>
      </w:r>
      <w:r w:rsidRPr="00D91C2F">
        <w:rPr>
          <w:rFonts w:ascii="Times New Roman" w:eastAsia="Times New Roman" w:hAnsi="Times New Roman" w:cs="Times New Roman"/>
          <w:sz w:val="24"/>
          <w:szCs w:val="24"/>
          <w:lang w:eastAsia="pl-PL"/>
        </w:rPr>
        <w:t>zapobieganiu osamotnieniu,</w:t>
      </w:r>
      <w:r w:rsidR="007F3622" w:rsidRPr="00D91C2F">
        <w:rPr>
          <w:rFonts w:ascii="Times New Roman" w:hAnsi="Times New Roman" w:cs="Times New Roman"/>
          <w:b/>
          <w:color w:val="000000" w:themeColor="text1"/>
          <w:sz w:val="24"/>
          <w:szCs w:val="24"/>
        </w:rPr>
        <w:t xml:space="preserve"> </w:t>
      </w:r>
      <w:r w:rsidRPr="00D91C2F">
        <w:rPr>
          <w:rFonts w:ascii="Times New Roman" w:eastAsia="Times New Roman" w:hAnsi="Times New Roman" w:cs="Times New Roman"/>
          <w:sz w:val="24"/>
          <w:szCs w:val="24"/>
          <w:lang w:eastAsia="pl-PL"/>
        </w:rPr>
        <w:t>przeciwdziałaniu poczuciu izolacji w życiu,</w:t>
      </w:r>
      <w:r w:rsidR="007F3622" w:rsidRPr="00D91C2F">
        <w:rPr>
          <w:rFonts w:ascii="Times New Roman" w:hAnsi="Times New Roman" w:cs="Times New Roman"/>
          <w:b/>
          <w:color w:val="000000" w:themeColor="text1"/>
          <w:sz w:val="24"/>
          <w:szCs w:val="24"/>
        </w:rPr>
        <w:t xml:space="preserve"> </w:t>
      </w:r>
      <w:r w:rsidRPr="00D91C2F">
        <w:rPr>
          <w:rFonts w:ascii="Times New Roman" w:eastAsia="Times New Roman" w:hAnsi="Times New Roman" w:cs="Times New Roman"/>
          <w:sz w:val="24"/>
          <w:szCs w:val="24"/>
          <w:lang w:eastAsia="pl-PL"/>
        </w:rPr>
        <w:t>poprawie kondycji psychicznej seniorów (zmniejszeni</w:t>
      </w:r>
      <w:r w:rsidR="00DE5C93" w:rsidRPr="00D91C2F">
        <w:rPr>
          <w:rFonts w:ascii="Times New Roman" w:eastAsia="Times New Roman" w:hAnsi="Times New Roman" w:cs="Times New Roman"/>
          <w:sz w:val="24"/>
          <w:szCs w:val="24"/>
          <w:lang w:eastAsia="pl-PL"/>
        </w:rPr>
        <w:t xml:space="preserve">e </w:t>
      </w:r>
      <w:r w:rsidR="0096417A" w:rsidRPr="00D91C2F">
        <w:rPr>
          <w:rFonts w:ascii="Times New Roman" w:eastAsia="Times New Roman" w:hAnsi="Times New Roman" w:cs="Times New Roman"/>
          <w:sz w:val="24"/>
          <w:szCs w:val="24"/>
          <w:lang w:eastAsia="pl-PL"/>
        </w:rPr>
        <w:t>poczucia bycia niepotrzebnym)</w:t>
      </w:r>
      <w:r w:rsidR="00D91C2F">
        <w:rPr>
          <w:rFonts w:ascii="Times New Roman" w:eastAsia="Times New Roman" w:hAnsi="Times New Roman" w:cs="Times New Roman"/>
          <w:sz w:val="24"/>
          <w:szCs w:val="24"/>
          <w:lang w:eastAsia="pl-PL"/>
        </w:rPr>
        <w:t>,</w:t>
      </w:r>
    </w:p>
    <w:p w14:paraId="244B5D1F" w14:textId="77777777" w:rsidR="00D91C2F" w:rsidRPr="00D91C2F" w:rsidRDefault="007F3622" w:rsidP="008C71A9">
      <w:pPr>
        <w:pStyle w:val="Akapitzlist"/>
        <w:numPr>
          <w:ilvl w:val="0"/>
          <w:numId w:val="104"/>
        </w:numPr>
        <w:spacing w:after="0"/>
        <w:ind w:left="643"/>
        <w:jc w:val="both"/>
        <w:rPr>
          <w:rFonts w:ascii="Times New Roman" w:hAnsi="Times New Roman" w:cs="Times New Roman"/>
          <w:b/>
          <w:color w:val="000000" w:themeColor="text1"/>
          <w:sz w:val="24"/>
          <w:szCs w:val="24"/>
        </w:rPr>
      </w:pPr>
      <w:r w:rsidRPr="00D91C2F">
        <w:rPr>
          <w:rFonts w:ascii="Times New Roman" w:eastAsia="Times New Roman" w:hAnsi="Times New Roman" w:cs="Times New Roman"/>
          <w:sz w:val="24"/>
          <w:szCs w:val="24"/>
          <w:lang w:eastAsia="pl-PL"/>
        </w:rPr>
        <w:t>Projekt "Dmuchawiec", w ramach którego udział wzięło łącznie 84 uczestników. Celem projektu było wsparcie opiekunów osób z demencją, wsparcie i poradnictwo psychologiczne, medyczne i socjalne, psychoedukacja dot. objawów zespołów otępiennych diagnoza, ocena, analiza potrzeb chorych</w:t>
      </w:r>
      <w:r w:rsidR="00D91C2F">
        <w:rPr>
          <w:rFonts w:ascii="Times New Roman" w:eastAsia="Times New Roman" w:hAnsi="Times New Roman" w:cs="Times New Roman"/>
          <w:sz w:val="24"/>
          <w:szCs w:val="24"/>
          <w:lang w:eastAsia="pl-PL"/>
        </w:rPr>
        <w:t>.</w:t>
      </w:r>
    </w:p>
    <w:p w14:paraId="7A40440D" w14:textId="77777777" w:rsidR="00D91C2F" w:rsidRPr="00D91C2F" w:rsidRDefault="007F3622" w:rsidP="008C71A9">
      <w:pPr>
        <w:pStyle w:val="Akapitzlist"/>
        <w:numPr>
          <w:ilvl w:val="0"/>
          <w:numId w:val="104"/>
        </w:numPr>
        <w:spacing w:after="0"/>
        <w:ind w:left="643"/>
        <w:jc w:val="both"/>
        <w:rPr>
          <w:rFonts w:ascii="Times New Roman" w:hAnsi="Times New Roman" w:cs="Times New Roman"/>
          <w:b/>
          <w:color w:val="000000" w:themeColor="text1"/>
          <w:sz w:val="24"/>
          <w:szCs w:val="24"/>
        </w:rPr>
      </w:pPr>
      <w:r w:rsidRPr="00D91C2F">
        <w:rPr>
          <w:rFonts w:ascii="Times New Roman" w:eastAsia="Times New Roman" w:hAnsi="Times New Roman" w:cs="Times New Roman"/>
          <w:sz w:val="24"/>
          <w:szCs w:val="24"/>
          <w:lang w:eastAsia="pl-PL"/>
        </w:rPr>
        <w:t>Projekt Z@opiekowani - kompleksowe wsparcie osób niesamodzielnych w m. st. Warszawie, (współfinansowane ze środków Europejskiego Funduszu Społecznego w ramach Regionalnego Programu Operacyjnego Województwa Mazowieckiego na lata 2014 - 2020. Działanie 9.2 - Usługi społeczne i usługi opieki zdrowotnej), w tym: szczegółowa diagnoza potrzeb uczestników projektu i opracowanie kompleksowej indywidualnej ścieżki wsparcia, usługi opiekuńcze, teleopieka.</w:t>
      </w:r>
    </w:p>
    <w:p w14:paraId="0E7FA61B" w14:textId="77777777" w:rsidR="007F3622" w:rsidRPr="00D91C2F" w:rsidRDefault="007F3622" w:rsidP="008C71A9">
      <w:pPr>
        <w:pStyle w:val="Akapitzlist"/>
        <w:numPr>
          <w:ilvl w:val="0"/>
          <w:numId w:val="104"/>
        </w:numPr>
        <w:spacing w:after="0"/>
        <w:ind w:left="643"/>
        <w:jc w:val="both"/>
        <w:rPr>
          <w:rFonts w:ascii="Times New Roman" w:hAnsi="Times New Roman" w:cs="Times New Roman"/>
          <w:b/>
          <w:color w:val="000000" w:themeColor="text1"/>
          <w:sz w:val="24"/>
          <w:szCs w:val="24"/>
        </w:rPr>
      </w:pPr>
      <w:r w:rsidRPr="00D91C2F">
        <w:rPr>
          <w:rFonts w:ascii="Times New Roman" w:eastAsia="Times New Roman" w:hAnsi="Times New Roman" w:cs="Times New Roman"/>
          <w:sz w:val="24"/>
          <w:szCs w:val="24"/>
          <w:lang w:eastAsia="pl-PL"/>
        </w:rPr>
        <w:t xml:space="preserve">Kolejnym przykładem dobrych praktyk dla osób starszych był </w:t>
      </w:r>
      <w:r w:rsidR="00D91C2F">
        <w:rPr>
          <w:rFonts w:ascii="Times New Roman" w:eastAsia="Times New Roman" w:hAnsi="Times New Roman" w:cs="Times New Roman"/>
          <w:sz w:val="24"/>
          <w:szCs w:val="24"/>
          <w:lang w:eastAsia="pl-PL"/>
        </w:rPr>
        <w:t xml:space="preserve">projekt „Książka na telefon”.  </w:t>
      </w:r>
      <w:r w:rsidRPr="00D91C2F">
        <w:rPr>
          <w:rFonts w:ascii="Times New Roman" w:eastAsia="Times New Roman" w:hAnsi="Times New Roman" w:cs="Times New Roman"/>
          <w:sz w:val="24"/>
          <w:szCs w:val="24"/>
          <w:lang w:eastAsia="pl-PL"/>
        </w:rPr>
        <w:t>W ramach tego projektu pracownicy ułatwiali dostęp do usług Biblioteki dostarczając osobom starszym i niepełnosprawnym materiały biblioteczne do miejsca zamieszkania. W 201</w:t>
      </w:r>
      <w:r w:rsidR="00D91C2F">
        <w:rPr>
          <w:rFonts w:ascii="Times New Roman" w:eastAsia="Times New Roman" w:hAnsi="Times New Roman" w:cs="Times New Roman"/>
          <w:sz w:val="24"/>
          <w:szCs w:val="24"/>
          <w:lang w:eastAsia="pl-PL"/>
        </w:rPr>
        <w:t xml:space="preserve">9 r. </w:t>
      </w:r>
      <w:r w:rsidRPr="00D91C2F">
        <w:rPr>
          <w:rFonts w:ascii="Times New Roman" w:eastAsia="Times New Roman" w:hAnsi="Times New Roman" w:cs="Times New Roman"/>
          <w:sz w:val="24"/>
          <w:szCs w:val="24"/>
          <w:lang w:eastAsia="pl-PL"/>
        </w:rPr>
        <w:t>obsługa osób starszych i niepełnosprawnych stanowiła ponad 90% wszystkich wypożyczeń w tym punkcie. Szczegółowe informacje dotyczące „Książki na Telefon” , w tym numer telefonu, opis profilu działalności oraz regulamin udostępniania są dostępne na stronie internetowej Biblioteki Publicznej w Dzielnicy Śródmieście m. st. Warszawy.</w:t>
      </w:r>
    </w:p>
    <w:p w14:paraId="52140531" w14:textId="77777777" w:rsidR="007F3622" w:rsidRDefault="007F3622" w:rsidP="00E7359C">
      <w:pPr>
        <w:spacing w:after="0"/>
        <w:jc w:val="both"/>
        <w:rPr>
          <w:rFonts w:ascii="Times New Roman" w:eastAsia="Times New Roman" w:hAnsi="Times New Roman" w:cs="Times New Roman"/>
          <w:sz w:val="24"/>
          <w:szCs w:val="24"/>
          <w:lang w:eastAsia="pl-PL"/>
        </w:rPr>
      </w:pPr>
    </w:p>
    <w:p w14:paraId="65180928" w14:textId="77777777" w:rsidR="007F3622" w:rsidRPr="007F3622" w:rsidRDefault="00F31DCC" w:rsidP="008C71A9">
      <w:pPr>
        <w:pStyle w:val="Akapitzlist"/>
        <w:numPr>
          <w:ilvl w:val="0"/>
          <w:numId w:val="103"/>
        </w:numPr>
        <w:spacing w:after="0"/>
        <w:ind w:left="360"/>
        <w:jc w:val="both"/>
        <w:rPr>
          <w:rFonts w:ascii="Times New Roman" w:eastAsia="Times New Roman" w:hAnsi="Times New Roman" w:cs="Times New Roman"/>
          <w:sz w:val="24"/>
          <w:szCs w:val="24"/>
          <w:lang w:eastAsia="pl-PL"/>
        </w:rPr>
      </w:pPr>
      <w:r w:rsidRPr="007F3622">
        <w:rPr>
          <w:rFonts w:ascii="Times New Roman" w:eastAsia="Times New Roman" w:hAnsi="Times New Roman" w:cs="Times New Roman"/>
          <w:b/>
          <w:sz w:val="24"/>
          <w:szCs w:val="24"/>
          <w:lang w:eastAsia="pl-PL"/>
        </w:rPr>
        <w:t xml:space="preserve">Miasto Pułtusk </w:t>
      </w:r>
    </w:p>
    <w:p w14:paraId="662433FF" w14:textId="77777777" w:rsidR="00914732" w:rsidRDefault="00F31DCC" w:rsidP="008C71A9">
      <w:pPr>
        <w:pStyle w:val="Akapitzlist"/>
        <w:numPr>
          <w:ilvl w:val="0"/>
          <w:numId w:val="105"/>
        </w:numPr>
        <w:spacing w:after="0"/>
        <w:ind w:left="643"/>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Na terenie Pułtuska działała Grupa Samopomocowa Klub Srebrnego Wieku, który  funkcjonował przy Miejskim Ośrodku Pomocy Sp</w:t>
      </w:r>
      <w:r w:rsidR="00D91C2F">
        <w:rPr>
          <w:rFonts w:ascii="Times New Roman" w:eastAsia="Times New Roman" w:hAnsi="Times New Roman" w:cs="Times New Roman"/>
          <w:sz w:val="24"/>
          <w:szCs w:val="24"/>
          <w:lang w:eastAsia="pl-PL"/>
        </w:rPr>
        <w:t>ołecznej w Pułtusku. W 2019 r. g</w:t>
      </w:r>
      <w:r w:rsidRPr="00914732">
        <w:rPr>
          <w:rFonts w:ascii="Times New Roman" w:eastAsia="Times New Roman" w:hAnsi="Times New Roman" w:cs="Times New Roman"/>
          <w:sz w:val="24"/>
          <w:szCs w:val="24"/>
          <w:lang w:eastAsia="pl-PL"/>
        </w:rPr>
        <w:t xml:space="preserve">rupa ta liczyła 184 członków. Celem grupy było przede wszystkim kształtowanie właściwych postaw społecznych oraz przełamanie izolacji społecznej u osób starszych, samotnych, niepełnosprawnych. Członkowie Klubu Srebrnego Wieku mieli szansę na wymianę doświadczeń, rozwijanie umiejętności współżycia w grupie, rozwijanie swoich </w:t>
      </w:r>
      <w:r w:rsidRPr="00914732">
        <w:rPr>
          <w:rFonts w:ascii="Times New Roman" w:eastAsia="Times New Roman" w:hAnsi="Times New Roman" w:cs="Times New Roman"/>
          <w:sz w:val="24"/>
          <w:szCs w:val="24"/>
          <w:lang w:eastAsia="pl-PL"/>
        </w:rPr>
        <w:lastRenderedPageBreak/>
        <w:t xml:space="preserve">umiejętności i zainteresowań oraz uzyskanie wsparcia w radzeniu sobie </w:t>
      </w:r>
      <w:r w:rsidRPr="00914732">
        <w:rPr>
          <w:rFonts w:ascii="Times New Roman" w:eastAsia="Times New Roman" w:hAnsi="Times New Roman" w:cs="Times New Roman"/>
          <w:sz w:val="24"/>
          <w:szCs w:val="24"/>
          <w:lang w:eastAsia="pl-PL"/>
        </w:rPr>
        <w:br/>
        <w:t xml:space="preserve">z własnymi problemami. Wszystkie spotkania i podejmowane działania miały na celu wyeliminowanie wśród seniorów negatywnych emocji, takich jak: rozczarowanie, smutek, rozgoryczenie, złość, frustrację. Seniorzy zrzeszeni w grupie samopomocowej Klubu Srebrnego Wieku, mimo zaawansowanego wieku, samotności, chorób i dolegliwości, prowadzili w Klubie bardzo aktywny tryb życia. </w:t>
      </w:r>
    </w:p>
    <w:p w14:paraId="15EBB021" w14:textId="77777777" w:rsidR="00914732" w:rsidRDefault="00F31DCC" w:rsidP="008C71A9">
      <w:pPr>
        <w:pStyle w:val="Akapitzlist"/>
        <w:numPr>
          <w:ilvl w:val="0"/>
          <w:numId w:val="105"/>
        </w:numPr>
        <w:spacing w:after="0"/>
        <w:ind w:left="643"/>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Ważną inicjatywą skierowaną do seniorów którzy osiągnęli wiek emerytalny było również zwolnienie od opłat za przewozy autobusami komunikacji miejskiej.</w:t>
      </w:r>
    </w:p>
    <w:p w14:paraId="0DD0AA73" w14:textId="77777777" w:rsidR="00914732" w:rsidRDefault="00914732" w:rsidP="00E7359C">
      <w:pPr>
        <w:pStyle w:val="Akapitzlist"/>
        <w:spacing w:after="0"/>
        <w:ind w:left="643"/>
        <w:jc w:val="both"/>
        <w:rPr>
          <w:rFonts w:ascii="Times New Roman" w:eastAsia="Times New Roman" w:hAnsi="Times New Roman" w:cs="Times New Roman"/>
          <w:sz w:val="24"/>
          <w:szCs w:val="24"/>
          <w:lang w:eastAsia="pl-PL"/>
        </w:rPr>
      </w:pPr>
    </w:p>
    <w:p w14:paraId="1927A3B2" w14:textId="77777777" w:rsidR="00914732" w:rsidRPr="00914732" w:rsidRDefault="00F31DCC" w:rsidP="008C71A9">
      <w:pPr>
        <w:pStyle w:val="Akapitzlist"/>
        <w:numPr>
          <w:ilvl w:val="0"/>
          <w:numId w:val="103"/>
        </w:numPr>
        <w:spacing w:after="0"/>
        <w:ind w:left="360"/>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b/>
          <w:sz w:val="24"/>
          <w:szCs w:val="24"/>
          <w:lang w:eastAsia="pl-PL"/>
        </w:rPr>
        <w:t>Gmina Nowa Sucha</w:t>
      </w:r>
    </w:p>
    <w:p w14:paraId="20BF93B2" w14:textId="77777777" w:rsidR="00914732" w:rsidRDefault="00F31DCC" w:rsidP="008C71A9">
      <w:pPr>
        <w:pStyle w:val="Akapitzlist"/>
        <w:numPr>
          <w:ilvl w:val="0"/>
          <w:numId w:val="106"/>
        </w:numPr>
        <w:spacing w:after="0"/>
        <w:ind w:left="643"/>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 xml:space="preserve">W gminie Nowa Sucha działało Stowarzyszenie Seniorów Gminy Nowa Sucha. Celem Stowarzyszenia było organizowanie wolnego czasu rencistom i emerytom poprzez: organizowanie spotkań towarzyskich, wycieczek turystyczno-krajoznawczych, wyjazdów do teatru i muzeów, wieczorków tanecznych. Owocem działań Stowarzyszenia było integrowanie się środowiska. Odnawiane były dawne znajomości i przyjaźnie, nawiązywane nowe. </w:t>
      </w:r>
    </w:p>
    <w:p w14:paraId="7091D7B2" w14:textId="77777777" w:rsidR="00914732" w:rsidRDefault="00F31DCC" w:rsidP="008C71A9">
      <w:pPr>
        <w:pStyle w:val="Akapitzlist"/>
        <w:numPr>
          <w:ilvl w:val="0"/>
          <w:numId w:val="106"/>
        </w:numPr>
        <w:spacing w:after="0"/>
        <w:ind w:left="643"/>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 xml:space="preserve">Ponadto na terenie Gminy Nowa Sucha funkcjonował Zespół wokalno-muzyczny Cantabile Seniorów Gminy Nowa Sucha. W swoim artystycznym dorobku posiada szeroki repertuar wiążący się z uroczystościami patriotycznymi, kościelnymi, lokalnymi i rozrywkowymi. </w:t>
      </w:r>
    </w:p>
    <w:p w14:paraId="260CC52C" w14:textId="77777777" w:rsidR="00914732" w:rsidRDefault="00F31DCC" w:rsidP="008C71A9">
      <w:pPr>
        <w:pStyle w:val="Akapitzlist"/>
        <w:numPr>
          <w:ilvl w:val="0"/>
          <w:numId w:val="106"/>
        </w:numPr>
        <w:spacing w:after="0"/>
        <w:ind w:left="643"/>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Gmina Nowa Sucha była również realizatorem projektu konkursowego pn. Stworzenie miejsca spotkań i świadczeń opiekuńczych w postaci Klubu Seniora dla osób starszych z Gminy Nowa Sucha, współfinansowanego ze środków Unii Europejskiej w ramach Regionalnego Programu Operacyjnego Województwa Mazowieckiego na lata 2014-2020, Osi Priorytetowej 9: Wspieranie włączenia społecznego i walka z ubóstwem; Działania 9.2 Usługi społeczne i usługi opieki zdrowotnej; Poddziałania 9.2.1 Zwiększenie dostępności usług sp</w:t>
      </w:r>
      <w:r w:rsidR="00914732">
        <w:rPr>
          <w:rFonts w:ascii="Times New Roman" w:eastAsia="Times New Roman" w:hAnsi="Times New Roman" w:cs="Times New Roman"/>
          <w:sz w:val="24"/>
          <w:szCs w:val="24"/>
          <w:lang w:eastAsia="pl-PL"/>
        </w:rPr>
        <w:t xml:space="preserve">ołecznych. Projekt realizowany </w:t>
      </w:r>
      <w:r w:rsidRPr="00914732">
        <w:rPr>
          <w:rFonts w:ascii="Times New Roman" w:eastAsia="Times New Roman" w:hAnsi="Times New Roman" w:cs="Times New Roman"/>
          <w:sz w:val="24"/>
          <w:szCs w:val="24"/>
          <w:lang w:eastAsia="pl-PL"/>
        </w:rPr>
        <w:t xml:space="preserve">był w partnerstwie ze Stowarzyszeniem Seniorów Gminy Nowa Sucha. Realizatorem projektu był Gminny Ośrodek Pomocy Społecznej w Nowej Suchej. Projekt zakładał zwiększenie dostępu </w:t>
      </w:r>
      <w:r w:rsidRPr="00914732">
        <w:rPr>
          <w:rFonts w:ascii="Times New Roman" w:eastAsia="Times New Roman" w:hAnsi="Times New Roman" w:cs="Times New Roman"/>
          <w:sz w:val="24"/>
          <w:szCs w:val="24"/>
          <w:lang w:eastAsia="pl-PL"/>
        </w:rPr>
        <w:br/>
        <w:t xml:space="preserve">do usług społecznych dla 60 osób (46 Kobiet, 14 Mężczyzn) niesamodzielnych, zagrożonych ubóstwem lub wykluczeniem społecznym, w tym </w:t>
      </w:r>
      <w:r w:rsidR="00914732">
        <w:rPr>
          <w:rFonts w:ascii="Times New Roman" w:eastAsia="Times New Roman" w:hAnsi="Times New Roman" w:cs="Times New Roman"/>
          <w:sz w:val="24"/>
          <w:szCs w:val="24"/>
          <w:lang w:eastAsia="pl-PL"/>
        </w:rPr>
        <w:t xml:space="preserve">10 osób (8 Kobiet, 2 Mężczyzn) </w:t>
      </w:r>
      <w:r w:rsidRPr="00914732">
        <w:rPr>
          <w:rFonts w:ascii="Times New Roman" w:eastAsia="Times New Roman" w:hAnsi="Times New Roman" w:cs="Times New Roman"/>
          <w:sz w:val="24"/>
          <w:szCs w:val="24"/>
          <w:lang w:eastAsia="pl-PL"/>
        </w:rPr>
        <w:t xml:space="preserve">z niepełnosprawnościami, zamieszkujących Gminę Nowa Sucha. </w:t>
      </w:r>
    </w:p>
    <w:p w14:paraId="52F4E60D" w14:textId="77777777" w:rsidR="00914732" w:rsidRDefault="00914732" w:rsidP="00E7359C">
      <w:pPr>
        <w:pStyle w:val="Akapitzlist"/>
        <w:spacing w:after="0"/>
        <w:ind w:left="643"/>
        <w:jc w:val="both"/>
        <w:rPr>
          <w:rFonts w:ascii="Times New Roman" w:eastAsia="Times New Roman" w:hAnsi="Times New Roman" w:cs="Times New Roman"/>
          <w:sz w:val="24"/>
          <w:szCs w:val="24"/>
          <w:lang w:eastAsia="pl-PL"/>
        </w:rPr>
      </w:pPr>
    </w:p>
    <w:p w14:paraId="182A5BFD" w14:textId="77777777" w:rsidR="00914732" w:rsidRPr="00914732" w:rsidRDefault="00F31DCC" w:rsidP="008C71A9">
      <w:pPr>
        <w:pStyle w:val="Akapitzlist"/>
        <w:numPr>
          <w:ilvl w:val="0"/>
          <w:numId w:val="103"/>
        </w:numPr>
        <w:spacing w:after="0"/>
        <w:ind w:left="360"/>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b/>
          <w:sz w:val="24"/>
          <w:szCs w:val="24"/>
          <w:lang w:eastAsia="pl-PL"/>
        </w:rPr>
        <w:t>Gmina Zabrodzie</w:t>
      </w:r>
    </w:p>
    <w:p w14:paraId="2C17B587" w14:textId="77777777" w:rsidR="00914732" w:rsidRDefault="00914732" w:rsidP="008C71A9">
      <w:pPr>
        <w:pStyle w:val="Akapitzlist"/>
        <w:numPr>
          <w:ilvl w:val="0"/>
          <w:numId w:val="107"/>
        </w:numPr>
        <w:spacing w:after="0"/>
        <w:ind w:left="643"/>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 xml:space="preserve">W gminie Zabrodzie w </w:t>
      </w:r>
      <w:r w:rsidR="00F31DCC" w:rsidRPr="00914732">
        <w:rPr>
          <w:rFonts w:ascii="Times New Roman" w:eastAsia="Times New Roman" w:hAnsi="Times New Roman" w:cs="Times New Roman"/>
          <w:sz w:val="24"/>
          <w:szCs w:val="24"/>
          <w:lang w:eastAsia="pl-PL"/>
        </w:rPr>
        <w:t>2019</w:t>
      </w:r>
      <w:r w:rsidRPr="00914732">
        <w:rPr>
          <w:rFonts w:ascii="Times New Roman" w:eastAsia="Times New Roman" w:hAnsi="Times New Roman" w:cs="Times New Roman"/>
          <w:sz w:val="24"/>
          <w:szCs w:val="24"/>
          <w:lang w:eastAsia="pl-PL"/>
        </w:rPr>
        <w:t xml:space="preserve"> r.</w:t>
      </w:r>
      <w:r w:rsidR="00F31DCC" w:rsidRPr="00914732">
        <w:rPr>
          <w:rFonts w:ascii="Times New Roman" w:eastAsia="Times New Roman" w:hAnsi="Times New Roman" w:cs="Times New Roman"/>
          <w:sz w:val="24"/>
          <w:szCs w:val="24"/>
          <w:lang w:eastAsia="pl-PL"/>
        </w:rPr>
        <w:t xml:space="preserve"> realizowano działania w ramach Integracyjnego 3-letniego programu "Seniorzy na start" zakładającego integrację i współpracę seniorów z Zabrodzia, Paroli (gmina Nadarzyn) oraz Ochudna (gmina Rząśnik). Do projektu </w:t>
      </w:r>
      <w:r w:rsidRPr="00914732">
        <w:rPr>
          <w:rFonts w:ascii="Times New Roman" w:eastAsia="Times New Roman" w:hAnsi="Times New Roman" w:cs="Times New Roman"/>
          <w:sz w:val="24"/>
          <w:szCs w:val="24"/>
          <w:lang w:eastAsia="pl-PL"/>
        </w:rPr>
        <w:t xml:space="preserve">zakwalifikowano 15 uczestników </w:t>
      </w:r>
      <w:r w:rsidR="00F31DCC" w:rsidRPr="00914732">
        <w:rPr>
          <w:rFonts w:ascii="Times New Roman" w:eastAsia="Times New Roman" w:hAnsi="Times New Roman" w:cs="Times New Roman"/>
          <w:sz w:val="24"/>
          <w:szCs w:val="24"/>
          <w:lang w:eastAsia="pl-PL"/>
        </w:rPr>
        <w:t>z terenu gminy.</w:t>
      </w:r>
    </w:p>
    <w:p w14:paraId="249BD3DC" w14:textId="77777777" w:rsidR="00914732" w:rsidRDefault="00F31DCC" w:rsidP="00E7359C">
      <w:pPr>
        <w:spacing w:after="0"/>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W 2019</w:t>
      </w:r>
      <w:r w:rsidR="00D91C2F">
        <w:rPr>
          <w:rFonts w:ascii="Times New Roman" w:eastAsia="Times New Roman" w:hAnsi="Times New Roman" w:cs="Times New Roman"/>
          <w:sz w:val="24"/>
          <w:szCs w:val="24"/>
          <w:lang w:eastAsia="pl-PL"/>
        </w:rPr>
        <w:t xml:space="preserve"> </w:t>
      </w:r>
      <w:r w:rsidRPr="00914732">
        <w:rPr>
          <w:rFonts w:ascii="Times New Roman" w:eastAsia="Times New Roman" w:hAnsi="Times New Roman" w:cs="Times New Roman"/>
          <w:sz w:val="24"/>
          <w:szCs w:val="24"/>
          <w:lang w:eastAsia="pl-PL"/>
        </w:rPr>
        <w:t>r. w ramach programu realizowano:</w:t>
      </w:r>
    </w:p>
    <w:p w14:paraId="091B7445" w14:textId="77777777" w:rsidR="00914732" w:rsidRDefault="00F31DCC" w:rsidP="008C71A9">
      <w:pPr>
        <w:pStyle w:val="Akapitzlist"/>
        <w:numPr>
          <w:ilvl w:val="0"/>
          <w:numId w:val="107"/>
        </w:numPr>
        <w:spacing w:after="0"/>
        <w:ind w:left="643"/>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 xml:space="preserve">Warsztaty z obszarów tematycznych senior świadomy, senior zdrowy, senior bezpieczny </w:t>
      </w:r>
      <w:r w:rsidRPr="00914732">
        <w:rPr>
          <w:rFonts w:ascii="Times New Roman" w:eastAsia="Times New Roman" w:hAnsi="Times New Roman" w:cs="Times New Roman"/>
          <w:sz w:val="24"/>
          <w:szCs w:val="24"/>
          <w:lang w:eastAsia="pl-PL"/>
        </w:rPr>
        <w:br/>
        <w:t>i senior  nowoczesny - 1 zajęcia w miesiącu, łącznie 10 zajęć w ciągu roku,</w:t>
      </w:r>
    </w:p>
    <w:p w14:paraId="7D482A45" w14:textId="77777777" w:rsidR="00914732" w:rsidRDefault="00F31DCC" w:rsidP="008C71A9">
      <w:pPr>
        <w:pStyle w:val="Akapitzlist"/>
        <w:numPr>
          <w:ilvl w:val="0"/>
          <w:numId w:val="107"/>
        </w:numPr>
        <w:spacing w:after="0"/>
        <w:ind w:left="643"/>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Warsztaty filmowe - 1 zajęcia w miesiącu, łącznie 10 zajęć- cel: nakręcenie filmu według pomysłu i przy udziale uczestników o tematyce moja gmina i jej mieszkańcy.</w:t>
      </w:r>
    </w:p>
    <w:p w14:paraId="548A838A" w14:textId="77777777" w:rsidR="00914732" w:rsidRDefault="00F31DCC" w:rsidP="008C71A9">
      <w:pPr>
        <w:pStyle w:val="Akapitzlist"/>
        <w:numPr>
          <w:ilvl w:val="0"/>
          <w:numId w:val="107"/>
        </w:numPr>
        <w:spacing w:after="0"/>
        <w:ind w:left="643"/>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 xml:space="preserve">Warsztaty aktywności społecznej - łącznie 10 spotkań. W ramach warsztatów aktywności społecznej przygotowane były uroczystości Jubileuszu – 50-lecia Koło Gospodyń </w:t>
      </w:r>
      <w:r w:rsidRPr="00914732">
        <w:rPr>
          <w:rFonts w:ascii="Times New Roman" w:eastAsia="Times New Roman" w:hAnsi="Times New Roman" w:cs="Times New Roman"/>
          <w:sz w:val="24"/>
          <w:szCs w:val="24"/>
          <w:lang w:eastAsia="pl-PL"/>
        </w:rPr>
        <w:lastRenderedPageBreak/>
        <w:t xml:space="preserve">Wiejskich w Zabrodziu. Część artystyczna uroczystości przygotowana została w ramach programu "Seniorzy na start" realizowanego ze środków Województwa Mazowieckiego </w:t>
      </w:r>
      <w:r w:rsidRPr="00914732">
        <w:rPr>
          <w:rFonts w:ascii="Times New Roman" w:eastAsia="Times New Roman" w:hAnsi="Times New Roman" w:cs="Times New Roman"/>
          <w:sz w:val="24"/>
          <w:szCs w:val="24"/>
          <w:lang w:eastAsia="pl-PL"/>
        </w:rPr>
        <w:br/>
        <w:t xml:space="preserve">przez Towarzystwo Teatralne "Kurtyna". </w:t>
      </w:r>
    </w:p>
    <w:p w14:paraId="60E52351" w14:textId="77777777" w:rsidR="00914732" w:rsidRDefault="00914732" w:rsidP="00E7359C">
      <w:pPr>
        <w:pStyle w:val="Akapitzlist"/>
        <w:spacing w:after="0"/>
        <w:ind w:left="643"/>
        <w:jc w:val="both"/>
        <w:rPr>
          <w:rFonts w:ascii="Times New Roman" w:eastAsia="Times New Roman" w:hAnsi="Times New Roman" w:cs="Times New Roman"/>
          <w:sz w:val="24"/>
          <w:szCs w:val="24"/>
          <w:lang w:eastAsia="pl-PL"/>
        </w:rPr>
      </w:pPr>
    </w:p>
    <w:p w14:paraId="5188C0A1" w14:textId="77777777" w:rsidR="00914732" w:rsidRPr="00914732" w:rsidRDefault="00F31DCC" w:rsidP="008C71A9">
      <w:pPr>
        <w:pStyle w:val="Akapitzlist"/>
        <w:numPr>
          <w:ilvl w:val="0"/>
          <w:numId w:val="103"/>
        </w:numPr>
        <w:spacing w:after="0"/>
        <w:ind w:left="360"/>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b/>
          <w:sz w:val="24"/>
          <w:szCs w:val="24"/>
          <w:lang w:eastAsia="pl-PL"/>
        </w:rPr>
        <w:t>Gmina Michałowice</w:t>
      </w:r>
    </w:p>
    <w:p w14:paraId="0652B10A" w14:textId="77777777" w:rsidR="00914732" w:rsidRDefault="00F31DCC" w:rsidP="008C71A9">
      <w:pPr>
        <w:pStyle w:val="Akapitzlist"/>
        <w:numPr>
          <w:ilvl w:val="0"/>
          <w:numId w:val="108"/>
        </w:numPr>
        <w:spacing w:after="0"/>
        <w:ind w:left="643"/>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Gmina Michałowice bardzo aktywnie wspierała seniorów. Jedną z inicjatyw w 2019 r. było przeprowadzenie szczepień przeciwko grypie dla osób po 65 roku życia, objętych opieką GOPS, rencistów i rolników pobierających emeryturę rolniczą. W sumie zaszczepiono 397 osób.</w:t>
      </w:r>
    </w:p>
    <w:p w14:paraId="2D5E8A3A" w14:textId="77777777" w:rsidR="00BF7C80" w:rsidRDefault="00F31DCC" w:rsidP="00E7359C">
      <w:pPr>
        <w:spacing w:after="0"/>
        <w:jc w:val="both"/>
        <w:rPr>
          <w:rFonts w:ascii="Times New Roman" w:eastAsia="Times New Roman" w:hAnsi="Times New Roman" w:cs="Times New Roman"/>
          <w:sz w:val="24"/>
          <w:szCs w:val="24"/>
          <w:lang w:eastAsia="pl-PL"/>
        </w:rPr>
      </w:pPr>
      <w:r w:rsidRPr="00914732">
        <w:rPr>
          <w:rFonts w:ascii="Times New Roman" w:eastAsia="Times New Roman" w:hAnsi="Times New Roman" w:cs="Times New Roman"/>
          <w:sz w:val="24"/>
          <w:szCs w:val="24"/>
          <w:lang w:eastAsia="pl-PL"/>
        </w:rPr>
        <w:t>Ponadto w gminie funkcjonowały liczne organizacje ukierunkowane na działanie na rzecz seniorów, które w 2019 r. otrzymały dotacje na realizację działań skierowanych do osób starszych:</w:t>
      </w:r>
    </w:p>
    <w:p w14:paraId="1EE99263" w14:textId="77777777" w:rsidR="00BF7C80" w:rsidRDefault="00F31DCC" w:rsidP="008C71A9">
      <w:pPr>
        <w:pStyle w:val="Akapitzlist"/>
        <w:numPr>
          <w:ilvl w:val="0"/>
          <w:numId w:val="108"/>
        </w:numPr>
        <w:spacing w:after="0"/>
        <w:ind w:left="643"/>
        <w:jc w:val="both"/>
        <w:rPr>
          <w:rFonts w:ascii="Times New Roman" w:eastAsia="Times New Roman" w:hAnsi="Times New Roman" w:cs="Times New Roman"/>
          <w:sz w:val="24"/>
          <w:szCs w:val="24"/>
          <w:lang w:eastAsia="pl-PL"/>
        </w:rPr>
      </w:pPr>
      <w:r w:rsidRPr="00BF7C80">
        <w:rPr>
          <w:rFonts w:ascii="Times New Roman" w:eastAsia="Times New Roman" w:hAnsi="Times New Roman" w:cs="Times New Roman"/>
          <w:sz w:val="24"/>
          <w:szCs w:val="24"/>
          <w:lang w:eastAsia="pl-PL"/>
        </w:rPr>
        <w:t>Senior i kultura Polski - Związek Emerytów, Rencistów i Inwalidów.</w:t>
      </w:r>
    </w:p>
    <w:p w14:paraId="01A1A61A" w14:textId="77777777" w:rsidR="00BF7C80" w:rsidRDefault="00F31DCC" w:rsidP="008C71A9">
      <w:pPr>
        <w:pStyle w:val="Akapitzlist"/>
        <w:numPr>
          <w:ilvl w:val="0"/>
          <w:numId w:val="108"/>
        </w:numPr>
        <w:spacing w:after="0"/>
        <w:ind w:left="643"/>
        <w:jc w:val="both"/>
        <w:rPr>
          <w:rFonts w:ascii="Times New Roman" w:eastAsia="Times New Roman" w:hAnsi="Times New Roman" w:cs="Times New Roman"/>
          <w:sz w:val="24"/>
          <w:szCs w:val="24"/>
          <w:lang w:eastAsia="pl-PL"/>
        </w:rPr>
      </w:pPr>
      <w:r w:rsidRPr="00BF7C80">
        <w:rPr>
          <w:rFonts w:ascii="Times New Roman" w:eastAsia="Times New Roman" w:hAnsi="Times New Roman" w:cs="Times New Roman"/>
          <w:sz w:val="24"/>
          <w:szCs w:val="24"/>
          <w:lang w:eastAsia="pl-PL"/>
        </w:rPr>
        <w:t>Aktywizacja osób starszych, niepełnosprawnych do udzia</w:t>
      </w:r>
      <w:r w:rsidR="00914732" w:rsidRPr="00BF7C80">
        <w:rPr>
          <w:rFonts w:ascii="Times New Roman" w:eastAsia="Times New Roman" w:hAnsi="Times New Roman" w:cs="Times New Roman"/>
          <w:sz w:val="24"/>
          <w:szCs w:val="24"/>
          <w:lang w:eastAsia="pl-PL"/>
        </w:rPr>
        <w:t xml:space="preserve">łu w wydarzeniach kulturalnych </w:t>
      </w:r>
      <w:r w:rsidRPr="00BF7C80">
        <w:rPr>
          <w:rFonts w:ascii="Times New Roman" w:eastAsia="Times New Roman" w:hAnsi="Times New Roman" w:cs="Times New Roman"/>
          <w:sz w:val="24"/>
          <w:szCs w:val="24"/>
          <w:lang w:eastAsia="pl-PL"/>
        </w:rPr>
        <w:t xml:space="preserve">-Komorowskie Stowarzyszenie Aktywnych Seniorów i Osób Dotkniętych Chorobą Parkinsona. </w:t>
      </w:r>
    </w:p>
    <w:p w14:paraId="316DE786" w14:textId="77777777" w:rsidR="00BF7C80" w:rsidRDefault="00F31DCC" w:rsidP="008C71A9">
      <w:pPr>
        <w:pStyle w:val="Akapitzlist"/>
        <w:numPr>
          <w:ilvl w:val="0"/>
          <w:numId w:val="108"/>
        </w:numPr>
        <w:spacing w:after="0"/>
        <w:ind w:left="643"/>
        <w:jc w:val="both"/>
        <w:rPr>
          <w:rFonts w:ascii="Times New Roman" w:eastAsia="Times New Roman" w:hAnsi="Times New Roman" w:cs="Times New Roman"/>
          <w:sz w:val="24"/>
          <w:szCs w:val="24"/>
          <w:lang w:eastAsia="pl-PL"/>
        </w:rPr>
      </w:pPr>
      <w:r w:rsidRPr="00BF7C80">
        <w:rPr>
          <w:rFonts w:ascii="Times New Roman" w:eastAsia="Times New Roman" w:hAnsi="Times New Roman" w:cs="Times New Roman"/>
          <w:sz w:val="24"/>
          <w:szCs w:val="24"/>
          <w:lang w:eastAsia="pl-PL"/>
        </w:rPr>
        <w:t xml:space="preserve">Przygotowanie i uruchomienie Michałowickiego Otwartego Uniwersytetu Trzeciego Wieku   - Stowarzyszenie "Przyjazne Jutro". </w:t>
      </w:r>
    </w:p>
    <w:p w14:paraId="6057BC5F" w14:textId="77777777" w:rsidR="00BF7C80" w:rsidRDefault="00F31DCC" w:rsidP="008C71A9">
      <w:pPr>
        <w:pStyle w:val="Akapitzlist"/>
        <w:numPr>
          <w:ilvl w:val="0"/>
          <w:numId w:val="108"/>
        </w:numPr>
        <w:spacing w:after="0"/>
        <w:ind w:left="643"/>
        <w:jc w:val="both"/>
        <w:rPr>
          <w:rFonts w:ascii="Times New Roman" w:eastAsia="Times New Roman" w:hAnsi="Times New Roman" w:cs="Times New Roman"/>
          <w:sz w:val="24"/>
          <w:szCs w:val="24"/>
          <w:lang w:eastAsia="pl-PL"/>
        </w:rPr>
      </w:pPr>
      <w:r w:rsidRPr="00BF7C80">
        <w:rPr>
          <w:rFonts w:ascii="Times New Roman" w:eastAsia="Times New Roman" w:hAnsi="Times New Roman" w:cs="Times New Roman"/>
          <w:sz w:val="24"/>
          <w:szCs w:val="24"/>
          <w:lang w:eastAsia="pl-PL"/>
        </w:rPr>
        <w:t>Senior ciekawy świata - Polski Związek Emerytów, Rencistów i Inwalidów.</w:t>
      </w:r>
    </w:p>
    <w:p w14:paraId="20E272CD" w14:textId="77777777" w:rsidR="00BF7C80" w:rsidRDefault="00F31DCC" w:rsidP="008C71A9">
      <w:pPr>
        <w:pStyle w:val="Akapitzlist"/>
        <w:numPr>
          <w:ilvl w:val="0"/>
          <w:numId w:val="108"/>
        </w:numPr>
        <w:spacing w:after="0"/>
        <w:ind w:left="643"/>
        <w:jc w:val="both"/>
        <w:rPr>
          <w:rFonts w:ascii="Times New Roman" w:eastAsia="Times New Roman" w:hAnsi="Times New Roman" w:cs="Times New Roman"/>
          <w:sz w:val="24"/>
          <w:szCs w:val="24"/>
          <w:lang w:eastAsia="pl-PL"/>
        </w:rPr>
      </w:pPr>
      <w:r w:rsidRPr="00BF7C80">
        <w:rPr>
          <w:rFonts w:ascii="Times New Roman" w:eastAsia="Times New Roman" w:hAnsi="Times New Roman" w:cs="Times New Roman"/>
          <w:sz w:val="24"/>
          <w:szCs w:val="24"/>
          <w:lang w:eastAsia="pl-PL"/>
        </w:rPr>
        <w:t xml:space="preserve">Aktywizacja osób starszych, niepełnosprawnych do uczestnictwa w działaniach kulturalnych, edukacyjnych i społecznych - Komorowskie Stowarzyszenie Aktywnych Seniorów i Osób Dotkniętych Chorobą Parkinsona. </w:t>
      </w:r>
    </w:p>
    <w:p w14:paraId="2A5ADC05" w14:textId="77777777" w:rsidR="00BF7C80" w:rsidRDefault="00F31DCC" w:rsidP="008C71A9">
      <w:pPr>
        <w:pStyle w:val="Akapitzlist"/>
        <w:numPr>
          <w:ilvl w:val="0"/>
          <w:numId w:val="108"/>
        </w:numPr>
        <w:spacing w:after="0"/>
        <w:ind w:left="643"/>
        <w:jc w:val="both"/>
        <w:rPr>
          <w:rFonts w:ascii="Times New Roman" w:eastAsia="Times New Roman" w:hAnsi="Times New Roman" w:cs="Times New Roman"/>
          <w:sz w:val="24"/>
          <w:szCs w:val="24"/>
          <w:lang w:eastAsia="pl-PL"/>
        </w:rPr>
      </w:pPr>
      <w:r w:rsidRPr="00BF7C80">
        <w:rPr>
          <w:rFonts w:ascii="Times New Roman" w:eastAsia="Times New Roman" w:hAnsi="Times New Roman" w:cs="Times New Roman"/>
          <w:sz w:val="24"/>
          <w:szCs w:val="24"/>
          <w:lang w:eastAsia="pl-PL"/>
        </w:rPr>
        <w:t>Kultura, sztuka i muzyka dla seniorów - Polski Związek Emerytów, Rencistów i Inwalidów.</w:t>
      </w:r>
    </w:p>
    <w:p w14:paraId="7AB77278" w14:textId="77777777" w:rsidR="00BF7C80" w:rsidRDefault="00F31DCC" w:rsidP="00E7359C">
      <w:pPr>
        <w:pStyle w:val="Akapitzlist"/>
        <w:spacing w:after="0"/>
        <w:ind w:left="643"/>
        <w:jc w:val="both"/>
        <w:rPr>
          <w:rFonts w:ascii="Times New Roman" w:eastAsia="Times New Roman" w:hAnsi="Times New Roman" w:cs="Times New Roman"/>
          <w:sz w:val="24"/>
          <w:szCs w:val="24"/>
          <w:lang w:eastAsia="pl-PL"/>
        </w:rPr>
      </w:pPr>
      <w:r w:rsidRPr="00BF7C80">
        <w:rPr>
          <w:rFonts w:ascii="Times New Roman" w:eastAsia="Times New Roman" w:hAnsi="Times New Roman" w:cs="Times New Roman"/>
          <w:sz w:val="24"/>
          <w:szCs w:val="24"/>
          <w:lang w:eastAsia="pl-PL"/>
        </w:rPr>
        <w:t xml:space="preserve"> </w:t>
      </w:r>
    </w:p>
    <w:p w14:paraId="6AAF70CF" w14:textId="77777777" w:rsidR="00F31DCC" w:rsidRPr="00BF7C80" w:rsidRDefault="00F31DCC" w:rsidP="008C71A9">
      <w:pPr>
        <w:pStyle w:val="Akapitzlist"/>
        <w:numPr>
          <w:ilvl w:val="0"/>
          <w:numId w:val="103"/>
        </w:numPr>
        <w:spacing w:after="0"/>
        <w:ind w:left="360"/>
        <w:jc w:val="both"/>
        <w:rPr>
          <w:rFonts w:ascii="Times New Roman" w:eastAsia="Times New Roman" w:hAnsi="Times New Roman" w:cs="Times New Roman"/>
          <w:sz w:val="24"/>
          <w:szCs w:val="24"/>
          <w:lang w:eastAsia="pl-PL"/>
        </w:rPr>
      </w:pPr>
      <w:r w:rsidRPr="00BF7C80">
        <w:rPr>
          <w:rFonts w:ascii="Times New Roman" w:eastAsia="Times New Roman" w:hAnsi="Times New Roman" w:cs="Times New Roman"/>
          <w:b/>
          <w:sz w:val="24"/>
          <w:szCs w:val="24"/>
          <w:lang w:eastAsia="pl-PL"/>
        </w:rPr>
        <w:t>Powiat Płocki</w:t>
      </w:r>
    </w:p>
    <w:p w14:paraId="6787A1EB" w14:textId="77777777" w:rsidR="008524D9" w:rsidRDefault="00F31DCC" w:rsidP="00E7359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Powiat Płocki wspierał finansowo organizację szeregu działań na rzecz i z udziałem osób starszych. Należały do nich m.in.:</w:t>
      </w:r>
    </w:p>
    <w:p w14:paraId="595BA3B7" w14:textId="77777777" w:rsidR="008524D9" w:rsidRDefault="00F31DCC" w:rsidP="008C71A9">
      <w:pPr>
        <w:pStyle w:val="Akapitzlist"/>
        <w:numPr>
          <w:ilvl w:val="0"/>
          <w:numId w:val="10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43"/>
        <w:jc w:val="both"/>
        <w:rPr>
          <w:rFonts w:ascii="Times New Roman" w:eastAsia="Times New Roman" w:hAnsi="Times New Roman" w:cs="Times New Roman"/>
          <w:sz w:val="24"/>
          <w:szCs w:val="24"/>
          <w:lang w:eastAsia="pl-PL"/>
        </w:rPr>
      </w:pPr>
      <w:r w:rsidRPr="008524D9">
        <w:rPr>
          <w:rFonts w:ascii="Times New Roman" w:eastAsia="Times New Roman" w:hAnsi="Times New Roman" w:cs="Times New Roman"/>
          <w:sz w:val="24"/>
          <w:szCs w:val="24"/>
          <w:lang w:eastAsia="pl-PL"/>
        </w:rPr>
        <w:t xml:space="preserve">Dofinansowanie ze środków powiatu płockiego zadania realizowanego przez Polski Związek Emerytów, Rencistów i Inwalidów Zarząd Okręgowy </w:t>
      </w:r>
      <w:r w:rsidR="008524D9">
        <w:rPr>
          <w:rFonts w:ascii="Times New Roman" w:eastAsia="Times New Roman" w:hAnsi="Times New Roman" w:cs="Times New Roman"/>
          <w:sz w:val="24"/>
          <w:szCs w:val="24"/>
          <w:lang w:eastAsia="pl-PL"/>
        </w:rPr>
        <w:t xml:space="preserve">z siedzibą Płocku - na zadanie </w:t>
      </w:r>
      <w:r w:rsidRPr="008524D9">
        <w:rPr>
          <w:rFonts w:ascii="Times New Roman" w:eastAsia="Times New Roman" w:hAnsi="Times New Roman" w:cs="Times New Roman"/>
          <w:sz w:val="24"/>
          <w:szCs w:val="24"/>
          <w:lang w:eastAsia="pl-PL"/>
        </w:rPr>
        <w:t xml:space="preserve">pn. "Aktywny Senior Nie Antyk". Główny cel zadania to działania integracyjne, nawiązywanie nowych kontaktów podnoszenie jakości życia osób w wieku senioralnym/ około 500 osób - emerytów, rencistów i inwalidów - członków związku z 15 gmin powiatu płockiego, </w:t>
      </w:r>
    </w:p>
    <w:p w14:paraId="2BA47A2D" w14:textId="77777777" w:rsidR="008524D9" w:rsidRDefault="00F31DCC" w:rsidP="008C71A9">
      <w:pPr>
        <w:pStyle w:val="Akapitzlist"/>
        <w:numPr>
          <w:ilvl w:val="0"/>
          <w:numId w:val="10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43"/>
        <w:jc w:val="both"/>
        <w:rPr>
          <w:rFonts w:ascii="Times New Roman" w:eastAsia="Times New Roman" w:hAnsi="Times New Roman" w:cs="Times New Roman"/>
          <w:sz w:val="24"/>
          <w:szCs w:val="24"/>
          <w:lang w:eastAsia="pl-PL"/>
        </w:rPr>
      </w:pPr>
      <w:r w:rsidRPr="008524D9">
        <w:rPr>
          <w:rFonts w:ascii="Times New Roman" w:eastAsia="Times New Roman" w:hAnsi="Times New Roman" w:cs="Times New Roman"/>
          <w:sz w:val="24"/>
          <w:szCs w:val="24"/>
          <w:lang w:eastAsia="pl-PL"/>
        </w:rPr>
        <w:t xml:space="preserve">Dofinansowanie ze środków powiatu płockiego zadania realizowanego przez Stowarzyszenie Kobiet Wiejskich "MALWA" Mała Wieś - na zadanie </w:t>
      </w:r>
      <w:r w:rsidR="008524D9">
        <w:rPr>
          <w:rFonts w:ascii="Times New Roman" w:eastAsia="Times New Roman" w:hAnsi="Times New Roman" w:cs="Times New Roman"/>
          <w:sz w:val="24"/>
          <w:szCs w:val="24"/>
          <w:lang w:eastAsia="pl-PL"/>
        </w:rPr>
        <w:t xml:space="preserve">pn. „Droga do niepodległości". </w:t>
      </w:r>
      <w:r w:rsidRPr="008524D9">
        <w:rPr>
          <w:rFonts w:ascii="Times New Roman" w:eastAsia="Times New Roman" w:hAnsi="Times New Roman" w:cs="Times New Roman"/>
          <w:sz w:val="24"/>
          <w:szCs w:val="24"/>
          <w:lang w:eastAsia="pl-PL"/>
        </w:rPr>
        <w:t xml:space="preserve">Było to spotkanie o charakterze patriotycznym dla ok. 200 osób, </w:t>
      </w:r>
    </w:p>
    <w:p w14:paraId="5FEFC9E4" w14:textId="77777777" w:rsidR="008524D9" w:rsidRDefault="00F31DCC" w:rsidP="008C71A9">
      <w:pPr>
        <w:pStyle w:val="Akapitzlist"/>
        <w:numPr>
          <w:ilvl w:val="0"/>
          <w:numId w:val="10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43"/>
        <w:jc w:val="both"/>
        <w:rPr>
          <w:rFonts w:ascii="Times New Roman" w:eastAsia="Times New Roman" w:hAnsi="Times New Roman" w:cs="Times New Roman"/>
          <w:sz w:val="24"/>
          <w:szCs w:val="24"/>
          <w:lang w:eastAsia="pl-PL"/>
        </w:rPr>
      </w:pPr>
      <w:r w:rsidRPr="008524D9">
        <w:rPr>
          <w:rFonts w:ascii="Times New Roman" w:eastAsia="Times New Roman" w:hAnsi="Times New Roman" w:cs="Times New Roman"/>
          <w:sz w:val="24"/>
          <w:szCs w:val="24"/>
          <w:lang w:eastAsia="pl-PL"/>
        </w:rPr>
        <w:t xml:space="preserve">Dofinansowanie ze środków powiatu płockiego zadania realizowanego przez Fundację </w:t>
      </w:r>
      <w:r w:rsidRPr="008524D9">
        <w:rPr>
          <w:rFonts w:ascii="Times New Roman" w:eastAsia="Times New Roman" w:hAnsi="Times New Roman" w:cs="Times New Roman"/>
          <w:sz w:val="24"/>
          <w:szCs w:val="24"/>
          <w:lang w:eastAsia="pl-PL"/>
        </w:rPr>
        <w:br/>
        <w:t>na Rzecz Bezpieczeństwa Feniks  na zadanie "Fit Senior", b</w:t>
      </w:r>
      <w:r w:rsidR="008524D9">
        <w:rPr>
          <w:rFonts w:ascii="Times New Roman" w:eastAsia="Times New Roman" w:hAnsi="Times New Roman" w:cs="Times New Roman"/>
          <w:sz w:val="24"/>
          <w:szCs w:val="24"/>
          <w:lang w:eastAsia="pl-PL"/>
        </w:rPr>
        <w:t>ył to rodzinny piknik rodzinny.</w:t>
      </w:r>
    </w:p>
    <w:p w14:paraId="0D211CDA" w14:textId="77777777" w:rsidR="008524D9" w:rsidRDefault="008524D9" w:rsidP="00E7359C">
      <w:pPr>
        <w:pStyle w:val="Akapitzlist"/>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43"/>
        <w:jc w:val="both"/>
        <w:rPr>
          <w:rFonts w:ascii="Times New Roman" w:eastAsia="Times New Roman" w:hAnsi="Times New Roman" w:cs="Times New Roman"/>
          <w:sz w:val="24"/>
          <w:szCs w:val="24"/>
          <w:lang w:eastAsia="pl-PL"/>
        </w:rPr>
      </w:pPr>
    </w:p>
    <w:p w14:paraId="4A5C95AF" w14:textId="77777777" w:rsidR="00F31DCC" w:rsidRPr="008524D9" w:rsidRDefault="00F31DCC" w:rsidP="008C71A9">
      <w:pPr>
        <w:pStyle w:val="Akapitzlist"/>
        <w:numPr>
          <w:ilvl w:val="0"/>
          <w:numId w:val="103"/>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jc w:val="both"/>
        <w:rPr>
          <w:rFonts w:ascii="Times New Roman" w:eastAsia="Times New Roman" w:hAnsi="Times New Roman" w:cs="Times New Roman"/>
          <w:sz w:val="24"/>
          <w:szCs w:val="24"/>
          <w:lang w:eastAsia="pl-PL"/>
        </w:rPr>
      </w:pPr>
      <w:r w:rsidRPr="008524D9">
        <w:rPr>
          <w:rFonts w:ascii="Times New Roman" w:eastAsia="Times New Roman" w:hAnsi="Times New Roman" w:cs="Times New Roman"/>
          <w:b/>
          <w:sz w:val="24"/>
          <w:szCs w:val="24"/>
          <w:lang w:eastAsia="pl-PL"/>
        </w:rPr>
        <w:t>Powiat Makowski</w:t>
      </w:r>
    </w:p>
    <w:p w14:paraId="5CE74725" w14:textId="77777777" w:rsidR="00F31DCC" w:rsidRPr="008524D9" w:rsidRDefault="00F31DCC" w:rsidP="008C71A9">
      <w:pPr>
        <w:pStyle w:val="HTML-wstpniesformatowany"/>
        <w:numPr>
          <w:ilvl w:val="0"/>
          <w:numId w:val="110"/>
        </w:numPr>
        <w:tabs>
          <w:tab w:val="left" w:pos="709"/>
        </w:tabs>
        <w:spacing w:line="276" w:lineRule="auto"/>
        <w:ind w:left="643"/>
        <w:jc w:val="both"/>
        <w:rPr>
          <w:rFonts w:ascii="Times New Roman" w:hAnsi="Times New Roman" w:cs="Times New Roman"/>
          <w:sz w:val="24"/>
          <w:szCs w:val="24"/>
        </w:rPr>
      </w:pPr>
      <w:r w:rsidRPr="005F0A32">
        <w:rPr>
          <w:rFonts w:ascii="Times New Roman" w:hAnsi="Times New Roman" w:cs="Times New Roman"/>
          <w:sz w:val="24"/>
          <w:szCs w:val="24"/>
        </w:rPr>
        <w:t xml:space="preserve">Powiat Makowski w okresie od 16 września 2019 r. do 18 listopada 2019 r. </w:t>
      </w:r>
      <w:r w:rsidRPr="005F0A32">
        <w:rPr>
          <w:rFonts w:ascii="Times New Roman" w:hAnsi="Times New Roman" w:cs="Times New Roman"/>
          <w:sz w:val="24"/>
          <w:szCs w:val="24"/>
        </w:rPr>
        <w:br/>
        <w:t>w ramach zadania publicznego realizował przedsięwzięcie edukacyjne pt. "My i seniorzy w banku". Projekt ten został skierowany do uczniów Technikum</w:t>
      </w:r>
      <w:r w:rsidR="008524D9">
        <w:rPr>
          <w:rFonts w:ascii="Times New Roman" w:hAnsi="Times New Roman" w:cs="Times New Roman"/>
          <w:sz w:val="24"/>
          <w:szCs w:val="24"/>
        </w:rPr>
        <w:t xml:space="preserve"> Ekonomicznego w </w:t>
      </w:r>
      <w:r w:rsidR="008524D9">
        <w:rPr>
          <w:rFonts w:ascii="Times New Roman" w:hAnsi="Times New Roman" w:cs="Times New Roman"/>
          <w:sz w:val="24"/>
          <w:szCs w:val="24"/>
        </w:rPr>
        <w:lastRenderedPageBreak/>
        <w:t xml:space="preserve">Zespole Szkół </w:t>
      </w:r>
      <w:r w:rsidRPr="005F0A32">
        <w:rPr>
          <w:rFonts w:ascii="Times New Roman" w:hAnsi="Times New Roman" w:cs="Times New Roman"/>
          <w:sz w:val="24"/>
          <w:szCs w:val="24"/>
        </w:rPr>
        <w:t>im. Armii Krajowej, uczniów szkół ponadgimnazjalnyc</w:t>
      </w:r>
      <w:r w:rsidR="008524D9">
        <w:rPr>
          <w:rFonts w:ascii="Times New Roman" w:hAnsi="Times New Roman" w:cs="Times New Roman"/>
          <w:sz w:val="24"/>
          <w:szCs w:val="24"/>
        </w:rPr>
        <w:t xml:space="preserve">h z terenu powiatu makowskiego </w:t>
      </w:r>
      <w:r w:rsidRPr="005F0A32">
        <w:rPr>
          <w:rFonts w:ascii="Times New Roman" w:hAnsi="Times New Roman" w:cs="Times New Roman"/>
          <w:sz w:val="24"/>
          <w:szCs w:val="24"/>
        </w:rPr>
        <w:t xml:space="preserve">oraz słuchaczek Uniwersytetu III wieku.  </w:t>
      </w:r>
      <w:r w:rsidRPr="008524D9">
        <w:rPr>
          <w:rFonts w:ascii="Times New Roman" w:hAnsi="Times New Roman" w:cs="Times New Roman"/>
          <w:sz w:val="24"/>
          <w:szCs w:val="24"/>
        </w:rPr>
        <w:t>Cele tego zadania dotyczyły m.in. przygotowania młodzieży i osób starszych do wyzwań współczesnego świata i zwiększenia świadomości konsumenckiej, rozwijanie indywidualnych kompetencji społecznych i zawodowych młodzieży powiatu makowskiego oraz zaciśnięcia więzi między seniorami i młodymi ludźmi, wypracowanie modelu włączenia seniora w lokalna ofertę edukacyjną Zespołu szkół, a także aktywizowanie uczestników zadania i integrowanie środowiska lokalnego.</w:t>
      </w:r>
      <w:r w:rsidR="008524D9">
        <w:rPr>
          <w:rFonts w:ascii="Times New Roman" w:hAnsi="Times New Roman" w:cs="Times New Roman"/>
          <w:sz w:val="24"/>
          <w:szCs w:val="24"/>
        </w:rPr>
        <w:t xml:space="preserve"> </w:t>
      </w:r>
      <w:r w:rsidRPr="008524D9">
        <w:rPr>
          <w:rFonts w:ascii="Times New Roman" w:hAnsi="Times New Roman" w:cs="Times New Roman"/>
          <w:sz w:val="24"/>
          <w:szCs w:val="24"/>
        </w:rPr>
        <w:t>W ramach realizacji projektu przeprowadzono następujące działania:</w:t>
      </w:r>
      <w:r w:rsidR="008524D9">
        <w:rPr>
          <w:rFonts w:ascii="Times New Roman" w:hAnsi="Times New Roman" w:cs="Times New Roman"/>
          <w:sz w:val="24"/>
          <w:szCs w:val="24"/>
        </w:rPr>
        <w:t xml:space="preserve"> </w:t>
      </w:r>
      <w:r w:rsidRPr="008524D9">
        <w:rPr>
          <w:rFonts w:ascii="Times New Roman" w:hAnsi="Times New Roman" w:cs="Times New Roman"/>
          <w:sz w:val="24"/>
          <w:szCs w:val="24"/>
        </w:rPr>
        <w:t>warsztaty dla seniorów pt. ,,Formy oszczędzania i inwestowania; Zarządzanie budżetem domow</w:t>
      </w:r>
      <w:r w:rsidR="008524D9">
        <w:rPr>
          <w:rFonts w:ascii="Times New Roman" w:hAnsi="Times New Roman" w:cs="Times New Roman"/>
          <w:sz w:val="24"/>
          <w:szCs w:val="24"/>
        </w:rPr>
        <w:t xml:space="preserve">ym" (wzięło udział 14 seniorów), </w:t>
      </w:r>
      <w:r w:rsidRPr="008524D9">
        <w:rPr>
          <w:rFonts w:ascii="Times New Roman" w:hAnsi="Times New Roman" w:cs="Times New Roman"/>
          <w:sz w:val="24"/>
          <w:szCs w:val="24"/>
        </w:rPr>
        <w:t>warsztaty dla seniorów pt.,,Finanse dla seniora: (wzięło udział 16 seniorów).opracowanie i wydanie ulotki informacyjnej ,,Senior w banku".</w:t>
      </w:r>
    </w:p>
    <w:p w14:paraId="2FA137D9" w14:textId="77777777" w:rsidR="00F31DCC" w:rsidRPr="005F0A32" w:rsidRDefault="00F31DCC" w:rsidP="00E7359C">
      <w:pPr>
        <w:pStyle w:val="HTML-wstpniesformatowany"/>
        <w:spacing w:line="276" w:lineRule="auto"/>
        <w:ind w:left="720"/>
        <w:jc w:val="both"/>
        <w:rPr>
          <w:rFonts w:ascii="Times New Roman" w:hAnsi="Times New Roman" w:cs="Times New Roman"/>
          <w:sz w:val="24"/>
          <w:szCs w:val="24"/>
        </w:rPr>
      </w:pPr>
    </w:p>
    <w:p w14:paraId="56E85EC4" w14:textId="77777777" w:rsidR="00F31DCC" w:rsidRPr="00D91C2F" w:rsidRDefault="008524D9" w:rsidP="00E7359C">
      <w:pPr>
        <w:jc w:val="both"/>
        <w:rPr>
          <w:rFonts w:ascii="Times New Roman" w:hAnsi="Times New Roman" w:cs="Times New Roman"/>
          <w:b/>
          <w:color w:val="00B0F0"/>
          <w:sz w:val="24"/>
          <w:szCs w:val="24"/>
        </w:rPr>
      </w:pPr>
      <w:r w:rsidRPr="00D91C2F">
        <w:rPr>
          <w:rFonts w:ascii="Times New Roman" w:hAnsi="Times New Roman" w:cs="Times New Roman"/>
          <w:b/>
          <w:color w:val="00B0F0"/>
          <w:sz w:val="24"/>
          <w:szCs w:val="24"/>
        </w:rPr>
        <w:t>Przykłady innowacyjnych rozwiązań w ramach polityki senioralnej</w:t>
      </w:r>
    </w:p>
    <w:p w14:paraId="2B88645D" w14:textId="77777777" w:rsidR="00F31DCC" w:rsidRPr="005F0A32" w:rsidRDefault="008524D9" w:rsidP="00E7359C">
      <w:pPr>
        <w:widowControl w:val="0"/>
        <w:tabs>
          <w:tab w:val="left" w:pos="709"/>
        </w:tabs>
        <w:spacing w:after="0"/>
        <w:jc w:val="both"/>
        <w:rPr>
          <w:rFonts w:ascii="Times New Roman" w:eastAsia="Arial" w:hAnsi="Times New Roman" w:cs="Times New Roman"/>
          <w:color w:val="000000" w:themeColor="text1"/>
          <w:sz w:val="24"/>
          <w:szCs w:val="24"/>
          <w:lang w:eastAsia="pl-PL" w:bidi="pl-PL"/>
        </w:rPr>
      </w:pPr>
      <w:r>
        <w:rPr>
          <w:rFonts w:ascii="Times New Roman" w:eastAsia="Arial" w:hAnsi="Times New Roman" w:cs="Times New Roman"/>
          <w:color w:val="000000" w:themeColor="text1"/>
          <w:sz w:val="24"/>
          <w:szCs w:val="24"/>
          <w:lang w:eastAsia="pl-PL" w:bidi="pl-PL"/>
        </w:rPr>
        <w:t xml:space="preserve"> </w:t>
      </w:r>
      <w:r w:rsidR="00F31DCC" w:rsidRPr="005F0A32">
        <w:rPr>
          <w:rFonts w:ascii="Times New Roman" w:eastAsia="Arial" w:hAnsi="Times New Roman" w:cs="Times New Roman"/>
          <w:color w:val="000000" w:themeColor="text1"/>
          <w:sz w:val="24"/>
          <w:szCs w:val="24"/>
          <w:lang w:eastAsia="pl-PL" w:bidi="pl-PL"/>
        </w:rPr>
        <w:t xml:space="preserve">Na Mazowszu podjęto działania w zakresie stworzenia samorządowego systemu usług </w:t>
      </w:r>
      <w:r w:rsidR="00F31DCC" w:rsidRPr="005F0A32">
        <w:rPr>
          <w:rFonts w:ascii="Times New Roman" w:eastAsia="Arial" w:hAnsi="Times New Roman" w:cs="Times New Roman"/>
          <w:color w:val="000000" w:themeColor="text1"/>
          <w:sz w:val="24"/>
          <w:szCs w:val="24"/>
          <w:lang w:eastAsia="pl-PL" w:bidi="pl-PL"/>
        </w:rPr>
        <w:br/>
        <w:t>dla seniorów z wykorzystaniem nowych technologii. W 2019 r. Sejmik Województwa Mazowieckiego zdecydował o udzieleniu pomocy finansowej 27 gminom w województwie mazowieckim w formie dotacji celowej. Usługami teleopieki objęto 652 najstarszych mieszkańców Mazowsza, potrzebujących wsparcia w miejscu zamieszkania. Teleoopieka stanowiła wzmocnienie systemu opieki świadczonej w miejscu zamieszkania seniora, a organizacja jej w sposób systemowy zapewniła zwiększenie bezpieczeństwa osób starszych. Zastosowanie teleopieki domowej, umożliwi wydłużenie okresu samodzielności osoby starszej we własnym domu. Powyższa forma usług opiekuńczych była alternatywą dla pobytu osób starszych w za</w:t>
      </w:r>
      <w:r>
        <w:rPr>
          <w:rFonts w:ascii="Times New Roman" w:eastAsia="Arial" w:hAnsi="Times New Roman" w:cs="Times New Roman"/>
          <w:color w:val="000000" w:themeColor="text1"/>
          <w:sz w:val="24"/>
          <w:szCs w:val="24"/>
          <w:lang w:eastAsia="pl-PL" w:bidi="pl-PL"/>
        </w:rPr>
        <w:t xml:space="preserve">kładzie opiekuńczo-leczniczym, </w:t>
      </w:r>
      <w:r w:rsidR="00F31DCC" w:rsidRPr="005F0A32">
        <w:rPr>
          <w:rFonts w:ascii="Times New Roman" w:eastAsia="Arial" w:hAnsi="Times New Roman" w:cs="Times New Roman"/>
          <w:color w:val="000000" w:themeColor="text1"/>
          <w:sz w:val="24"/>
          <w:szCs w:val="24"/>
          <w:lang w:eastAsia="pl-PL" w:bidi="pl-PL"/>
        </w:rPr>
        <w:t>czy domu pomocy społecznej oraz wsparciem dla rodzin osób samotnie zamieszkujących.</w:t>
      </w:r>
    </w:p>
    <w:p w14:paraId="2A7F117D" w14:textId="77777777" w:rsidR="00F31DCC" w:rsidRPr="005F0A32" w:rsidRDefault="00F31DCC" w:rsidP="00E7359C">
      <w:pPr>
        <w:widowControl w:val="0"/>
        <w:tabs>
          <w:tab w:val="left" w:pos="1316"/>
        </w:tabs>
        <w:spacing w:after="0"/>
        <w:jc w:val="both"/>
        <w:rPr>
          <w:rFonts w:ascii="Times New Roman" w:eastAsia="Arial" w:hAnsi="Times New Roman" w:cs="Times New Roman"/>
          <w:color w:val="000000" w:themeColor="text1"/>
          <w:sz w:val="24"/>
          <w:szCs w:val="24"/>
          <w:lang w:eastAsia="pl-PL" w:bidi="pl-PL"/>
        </w:rPr>
      </w:pPr>
    </w:p>
    <w:p w14:paraId="67CEA9BF" w14:textId="77777777" w:rsidR="008524D9" w:rsidRPr="00D91C2F" w:rsidRDefault="008524D9" w:rsidP="00E7359C">
      <w:pPr>
        <w:spacing w:after="0"/>
        <w:jc w:val="both"/>
        <w:rPr>
          <w:rFonts w:ascii="Times New Roman" w:hAnsi="Times New Roman" w:cs="Times New Roman"/>
          <w:b/>
          <w:i/>
          <w:color w:val="00B0F0"/>
          <w:sz w:val="24"/>
          <w:szCs w:val="24"/>
        </w:rPr>
      </w:pPr>
      <w:r w:rsidRPr="00D91C2F">
        <w:rPr>
          <w:rFonts w:ascii="Times New Roman" w:hAnsi="Times New Roman" w:cs="Times New Roman"/>
          <w:b/>
          <w:color w:val="00B0F0"/>
          <w:sz w:val="24"/>
          <w:szCs w:val="24"/>
        </w:rPr>
        <w:t>Realizacja działań wynikających z przyjętego przez Radę Ministrów dokument</w:t>
      </w:r>
      <w:r w:rsidR="00D91C2F">
        <w:rPr>
          <w:rFonts w:ascii="Times New Roman" w:hAnsi="Times New Roman" w:cs="Times New Roman"/>
          <w:b/>
          <w:color w:val="00B0F0"/>
          <w:sz w:val="24"/>
          <w:szCs w:val="24"/>
        </w:rPr>
        <w:t>u pt. </w:t>
      </w:r>
      <w:r w:rsidRPr="00D91C2F">
        <w:rPr>
          <w:rFonts w:ascii="Times New Roman" w:hAnsi="Times New Roman" w:cs="Times New Roman"/>
          <w:b/>
          <w:i/>
          <w:color w:val="00B0F0"/>
          <w:sz w:val="24"/>
          <w:szCs w:val="24"/>
        </w:rPr>
        <w:t>Polityka społeczna wobec osób starszych 2030. Bezpieczeńst</w:t>
      </w:r>
      <w:r w:rsidR="00D91C2F" w:rsidRPr="00D91C2F">
        <w:rPr>
          <w:rFonts w:ascii="Times New Roman" w:hAnsi="Times New Roman" w:cs="Times New Roman"/>
          <w:b/>
          <w:i/>
          <w:color w:val="00B0F0"/>
          <w:sz w:val="24"/>
          <w:szCs w:val="24"/>
        </w:rPr>
        <w:t>wo – Uczestnictwo – Solidarność</w:t>
      </w:r>
      <w:r w:rsidRPr="00D91C2F">
        <w:rPr>
          <w:rFonts w:ascii="Times New Roman" w:hAnsi="Times New Roman" w:cs="Times New Roman"/>
          <w:b/>
          <w:color w:val="00B0F0"/>
          <w:sz w:val="24"/>
          <w:szCs w:val="24"/>
        </w:rPr>
        <w:t xml:space="preserve"> </w:t>
      </w:r>
    </w:p>
    <w:p w14:paraId="7E52ED35" w14:textId="77777777" w:rsidR="00F31DCC" w:rsidRPr="005F0A32" w:rsidRDefault="00F31DCC" w:rsidP="00E7359C">
      <w:pPr>
        <w:spacing w:after="0"/>
        <w:jc w:val="both"/>
        <w:rPr>
          <w:rFonts w:ascii="Times New Roman" w:hAnsi="Times New Roman" w:cs="Times New Roman"/>
          <w:color w:val="000000" w:themeColor="text1"/>
          <w:sz w:val="24"/>
          <w:szCs w:val="24"/>
        </w:rPr>
      </w:pPr>
    </w:p>
    <w:p w14:paraId="4E630EE0" w14:textId="77777777" w:rsidR="00F31DCC" w:rsidRPr="005F0A32" w:rsidRDefault="00F31DCC" w:rsidP="00E7359C">
      <w:pPr>
        <w:spacing w:after="0"/>
        <w:jc w:val="both"/>
        <w:rPr>
          <w:rFonts w:ascii="Times New Roman" w:hAnsi="Times New Roman" w:cs="Times New Roman"/>
          <w:color w:val="000000" w:themeColor="text1"/>
          <w:sz w:val="24"/>
          <w:szCs w:val="24"/>
        </w:rPr>
      </w:pPr>
      <w:r w:rsidRPr="005F0A32">
        <w:rPr>
          <w:rFonts w:ascii="Times New Roman" w:hAnsi="Times New Roman" w:cs="Times New Roman"/>
          <w:color w:val="000000" w:themeColor="text1"/>
          <w:sz w:val="24"/>
          <w:szCs w:val="24"/>
        </w:rPr>
        <w:t>W 2019 r. w województwie mazowieckim podjęto liczne działania wspierające realizację celów wskazanych w Informacji o sytuacji osób starszych w Polsce za 2018 r. oraz Polityce Społecznej wobec osób starszych 2030. Bezpieczeństwo – Uczestnictwo-Solidarność.</w:t>
      </w:r>
    </w:p>
    <w:p w14:paraId="493E94B2" w14:textId="77777777" w:rsidR="008524D9" w:rsidRDefault="008524D9" w:rsidP="00E7359C">
      <w:pPr>
        <w:spacing w:after="0"/>
        <w:jc w:val="both"/>
        <w:rPr>
          <w:rFonts w:ascii="Times New Roman" w:eastAsia="Arial" w:hAnsi="Times New Roman" w:cs="Times New Roman"/>
          <w:color w:val="000000" w:themeColor="text1"/>
          <w:sz w:val="24"/>
          <w:szCs w:val="24"/>
          <w:lang w:eastAsia="pl-PL" w:bidi="pl-PL"/>
        </w:rPr>
      </w:pPr>
    </w:p>
    <w:p w14:paraId="00DB4B08" w14:textId="77777777" w:rsidR="00F31DCC" w:rsidRPr="005F0A32" w:rsidRDefault="00F31DCC" w:rsidP="00E7359C">
      <w:pPr>
        <w:spacing w:after="0"/>
        <w:jc w:val="both"/>
        <w:rPr>
          <w:rFonts w:ascii="Times New Roman" w:hAnsi="Times New Roman" w:cs="Times New Roman"/>
          <w:color w:val="000000" w:themeColor="text1"/>
          <w:sz w:val="24"/>
          <w:szCs w:val="24"/>
        </w:rPr>
      </w:pPr>
      <w:r w:rsidRPr="005F0A32">
        <w:rPr>
          <w:rFonts w:ascii="Times New Roman" w:eastAsia="Arial" w:hAnsi="Times New Roman" w:cs="Times New Roman"/>
          <w:color w:val="000000" w:themeColor="text1"/>
          <w:sz w:val="24"/>
          <w:szCs w:val="24"/>
          <w:lang w:eastAsia="pl-PL" w:bidi="pl-PL"/>
        </w:rPr>
        <w:t>W ramach priorytetu „Stworzenie warunków do aktywnego starzenia się społeczeństwa, umożliwianie wydłużenia okresu samodzielności i uwzględnianie w politykach publicznych podejścia międzypokoleniowego” realizowano zadanie pod nazwą „BONY SPOŁECZNE DLA SENIORÓW”. Zadanie, wykonywane przez S</w:t>
      </w:r>
      <w:r w:rsidR="005C31A8">
        <w:rPr>
          <w:rFonts w:ascii="Times New Roman" w:eastAsia="Arial" w:hAnsi="Times New Roman" w:cs="Times New Roman"/>
          <w:color w:val="000000" w:themeColor="text1"/>
          <w:sz w:val="24"/>
          <w:szCs w:val="24"/>
          <w:lang w:eastAsia="pl-PL" w:bidi="pl-PL"/>
        </w:rPr>
        <w:t xml:space="preserve">towarzyszenie Radomskie Centrum </w:t>
      </w:r>
      <w:r w:rsidRPr="005F0A32">
        <w:rPr>
          <w:rFonts w:ascii="Times New Roman" w:eastAsia="Arial" w:hAnsi="Times New Roman" w:cs="Times New Roman"/>
          <w:color w:val="000000" w:themeColor="text1"/>
          <w:sz w:val="24"/>
          <w:szCs w:val="24"/>
          <w:lang w:eastAsia="pl-PL" w:bidi="pl-PL"/>
        </w:rPr>
        <w:t xml:space="preserve">Przedsiębiorczości polegało na wsparciu finansowym - w formie bonu społecznego w wysokości do 1850 zł - realizacji projektów, które odpowiadały na potrzeby seniorów i miały na celu wsparcie samodzielności społecznej oraz aktywności tej grupy osób. Przedmiotem przedsięwzięć wspierających środowiska senioralne mogły być m.in. działania kulturowe, edukacyjne, aktywizacji fizycznej, czy też pielęgnacja tradycji lokalnych i inne. O bony </w:t>
      </w:r>
      <w:r w:rsidRPr="005F0A32">
        <w:rPr>
          <w:rFonts w:ascii="Times New Roman" w:eastAsia="Arial" w:hAnsi="Times New Roman" w:cs="Times New Roman"/>
          <w:color w:val="000000" w:themeColor="text1"/>
          <w:sz w:val="24"/>
          <w:szCs w:val="24"/>
          <w:lang w:eastAsia="pl-PL" w:bidi="pl-PL"/>
        </w:rPr>
        <w:lastRenderedPageBreak/>
        <w:t>społeczne mogły się ubiegać nieformalne grupy osób starszych (minimum pięcioosobowe).</w:t>
      </w:r>
      <w:r w:rsidRPr="005F0A32">
        <w:rPr>
          <w:rFonts w:ascii="Times New Roman" w:hAnsi="Times New Roman" w:cs="Times New Roman"/>
          <w:color w:val="000000" w:themeColor="text1"/>
          <w:sz w:val="24"/>
          <w:szCs w:val="24"/>
        </w:rPr>
        <w:t xml:space="preserve"> </w:t>
      </w:r>
      <w:r w:rsidRPr="005F0A32">
        <w:rPr>
          <w:rFonts w:ascii="Times New Roman" w:hAnsi="Times New Roman" w:cs="Times New Roman"/>
          <w:color w:val="000000" w:themeColor="text1"/>
          <w:sz w:val="24"/>
          <w:szCs w:val="24"/>
        </w:rPr>
        <w:tab/>
      </w:r>
    </w:p>
    <w:p w14:paraId="77DA27A0" w14:textId="77777777" w:rsidR="00F31DCC" w:rsidRPr="005F0A32" w:rsidRDefault="00F31DCC" w:rsidP="00E7359C">
      <w:pPr>
        <w:spacing w:after="0"/>
        <w:jc w:val="both"/>
        <w:rPr>
          <w:rFonts w:ascii="Times New Roman" w:eastAsia="Arial" w:hAnsi="Times New Roman" w:cs="Times New Roman"/>
          <w:color w:val="000000" w:themeColor="text1"/>
          <w:sz w:val="24"/>
          <w:szCs w:val="24"/>
          <w:lang w:eastAsia="pl-PL" w:bidi="pl-PL"/>
        </w:rPr>
      </w:pPr>
      <w:r w:rsidRPr="005F0A32">
        <w:rPr>
          <w:rFonts w:ascii="Times New Roman" w:eastAsia="Arial" w:hAnsi="Times New Roman" w:cs="Times New Roman"/>
          <w:color w:val="000000" w:themeColor="text1"/>
          <w:sz w:val="24"/>
          <w:szCs w:val="24"/>
          <w:lang w:eastAsia="pl-PL" w:bidi="pl-PL"/>
        </w:rPr>
        <w:t>Przykładem zapewnienia osobom starszym szerokiej partycypacji społecznej było zorganizowanie „Czwartego Sejmiku Senioralnego”. Była to konferencja, w której uczestniczyli przedstawiciele rad seniorów, uniwersytetów trzeciego wieku, klubów seniora, organizacji pozarządowych i Polskiego Związku Emerytów, Rencistów i Inwalidów dla 120 osób. Ponadto zorganizowano również dwudniowy Drugi Przegląd Artystyczny Twórczości Osób Starszych dla 300 osób. Celem Przeglądu była integracja społeczna i aktywizacja osób starszych, możliwość wymiany doświadczeń poprzez prezentację dorobku artystycznego Seniorów z terenu województwa mazowieckiego. Przegląd umożliwił także zapoznanie się z rękodziełem artystycznym, które tworzą seniorzy z Mazowsza.</w:t>
      </w:r>
    </w:p>
    <w:p w14:paraId="072F2E66" w14:textId="77777777" w:rsidR="008524D9" w:rsidRDefault="008524D9" w:rsidP="00E7359C">
      <w:pPr>
        <w:spacing w:after="0"/>
        <w:jc w:val="both"/>
        <w:rPr>
          <w:rFonts w:ascii="Times New Roman" w:eastAsia="Arial" w:hAnsi="Times New Roman" w:cs="Times New Roman"/>
          <w:color w:val="000000" w:themeColor="text1"/>
          <w:sz w:val="24"/>
          <w:szCs w:val="24"/>
          <w:lang w:eastAsia="pl-PL" w:bidi="pl-PL"/>
        </w:rPr>
      </w:pPr>
    </w:p>
    <w:p w14:paraId="3813B514" w14:textId="77777777" w:rsidR="00F31DCC" w:rsidRPr="005F0A32" w:rsidRDefault="00F31DCC" w:rsidP="00E7359C">
      <w:pPr>
        <w:spacing w:after="0"/>
        <w:jc w:val="both"/>
        <w:rPr>
          <w:rFonts w:ascii="Times New Roman" w:eastAsia="Arial" w:hAnsi="Times New Roman" w:cs="Times New Roman"/>
          <w:color w:val="000000" w:themeColor="text1"/>
          <w:sz w:val="24"/>
          <w:szCs w:val="24"/>
          <w:lang w:eastAsia="pl-PL" w:bidi="pl-PL"/>
        </w:rPr>
      </w:pPr>
      <w:r w:rsidRPr="005F0A32">
        <w:rPr>
          <w:rFonts w:ascii="Times New Roman" w:eastAsia="Arial" w:hAnsi="Times New Roman" w:cs="Times New Roman"/>
          <w:color w:val="000000" w:themeColor="text1"/>
          <w:sz w:val="24"/>
          <w:szCs w:val="24"/>
          <w:lang w:eastAsia="pl-PL" w:bidi="pl-PL"/>
        </w:rPr>
        <w:t xml:space="preserve">Ważną inicjatywą z zakresu profilaktyki zdrowotnej i edukacji do i dla starości, mającą </w:t>
      </w:r>
      <w:r w:rsidRPr="005F0A32">
        <w:rPr>
          <w:rFonts w:ascii="Times New Roman" w:eastAsia="Arial" w:hAnsi="Times New Roman" w:cs="Times New Roman"/>
          <w:color w:val="000000" w:themeColor="text1"/>
          <w:sz w:val="24"/>
          <w:szCs w:val="24"/>
          <w:lang w:eastAsia="pl-PL" w:bidi="pl-PL"/>
        </w:rPr>
        <w:br/>
        <w:t>na celu aktywizację seniorów był "Przystanek WIEDZA". Zadanie to zrealizowano przez Fundację DONUM w ramach zadania publicznego pn. „Ścieżką edukacyjną w trzeci wiek”. Wsparciem objęto ponad 1000 seniorów, będących m.in. słuchaczami uniwersytetów trzeciego wieku, poprzez zdobywanie wiedzy z zakresu wielu dziedzin nauki, co w dużej mierze przyczyniło się do zdobycia nowych umiejętności. Rezultatem trwałym był wizerunek Seniora aktywnego, zdobywającego wiedzę z wielu dziedzin nauki. Realizacja zadania dotyczyła rozległego obszaru województwa mazowieckiego, co sprzyjało promowaniu postaw aktywnego Seniora wobec wielu odbiorców.</w:t>
      </w:r>
    </w:p>
    <w:p w14:paraId="671698AE" w14:textId="77777777" w:rsidR="008524D9" w:rsidRDefault="008524D9" w:rsidP="00E7359C">
      <w:pPr>
        <w:spacing w:after="0"/>
        <w:jc w:val="both"/>
        <w:rPr>
          <w:rFonts w:ascii="Times New Roman" w:eastAsia="Arial" w:hAnsi="Times New Roman" w:cs="Times New Roman"/>
          <w:color w:val="000000"/>
          <w:sz w:val="24"/>
          <w:szCs w:val="24"/>
          <w:lang w:eastAsia="pl-PL" w:bidi="pl-PL"/>
        </w:rPr>
      </w:pPr>
    </w:p>
    <w:p w14:paraId="68EC31EF" w14:textId="77777777" w:rsidR="00F31DCC" w:rsidRPr="005F0A32" w:rsidRDefault="00F31DCC" w:rsidP="00E7359C">
      <w:pPr>
        <w:spacing w:after="0"/>
        <w:jc w:val="both"/>
        <w:rPr>
          <w:rFonts w:ascii="Times New Roman" w:hAnsi="Times New Roman" w:cs="Times New Roman"/>
          <w:color w:val="000000" w:themeColor="text1"/>
          <w:sz w:val="24"/>
          <w:szCs w:val="24"/>
        </w:rPr>
      </w:pPr>
      <w:r w:rsidRPr="005F0A32">
        <w:rPr>
          <w:rFonts w:ascii="Times New Roman" w:eastAsia="Arial" w:hAnsi="Times New Roman" w:cs="Times New Roman"/>
          <w:color w:val="000000"/>
          <w:sz w:val="24"/>
          <w:szCs w:val="24"/>
          <w:lang w:eastAsia="pl-PL" w:bidi="pl-PL"/>
        </w:rPr>
        <w:t xml:space="preserve">Ponadto Mazowieckie Centrum Polityki Społecznej opracowało i wydało dwa numery Mazowieckiego Biuletynu Informacyjnego „Samorządowa Polityka Senioralna Województwa Mazowieckiego” w nakładzie 1000 egz. każdy. W biuletynach można było znaleźć informacje </w:t>
      </w:r>
      <w:r w:rsidRPr="005F0A32">
        <w:rPr>
          <w:rFonts w:ascii="Times New Roman" w:eastAsia="Arial" w:hAnsi="Times New Roman" w:cs="Times New Roman"/>
          <w:color w:val="000000"/>
          <w:sz w:val="24"/>
          <w:szCs w:val="24"/>
          <w:lang w:eastAsia="pl-PL" w:bidi="pl-PL"/>
        </w:rPr>
        <w:br/>
        <w:t>m. in. o realizowanych przez organizacje pozarządowe projektach, o nowościach w opiece medycznej, wywiady oraz informacje o kierunkach działań samorządowej polityki senioralnej.</w:t>
      </w:r>
    </w:p>
    <w:p w14:paraId="48449F26" w14:textId="77777777" w:rsidR="00F31DCC" w:rsidRPr="005F0A32" w:rsidRDefault="00F31DCC" w:rsidP="00E7359C">
      <w:pPr>
        <w:pStyle w:val="Bodytext20"/>
        <w:shd w:val="clear" w:color="auto" w:fill="auto"/>
        <w:tabs>
          <w:tab w:val="left" w:pos="2030"/>
        </w:tabs>
        <w:spacing w:line="276" w:lineRule="auto"/>
        <w:ind w:firstLine="0"/>
        <w:jc w:val="both"/>
        <w:rPr>
          <w:rFonts w:ascii="Times New Roman" w:hAnsi="Times New Roman" w:cs="Times New Roman"/>
          <w:sz w:val="24"/>
          <w:szCs w:val="24"/>
        </w:rPr>
      </w:pPr>
    </w:p>
    <w:p w14:paraId="0B9A6247" w14:textId="77777777" w:rsidR="008524D9" w:rsidRPr="003D3533" w:rsidRDefault="00F31DCC" w:rsidP="00E7359C">
      <w:pPr>
        <w:widowControl w:val="0"/>
        <w:tabs>
          <w:tab w:val="left" w:pos="709"/>
        </w:tabs>
        <w:spacing w:after="0"/>
        <w:jc w:val="both"/>
        <w:rPr>
          <w:rFonts w:ascii="Times New Roman" w:hAnsi="Times New Roman" w:cs="Times New Roman"/>
          <w:sz w:val="24"/>
          <w:szCs w:val="24"/>
        </w:rPr>
        <w:sectPr w:rsidR="008524D9" w:rsidRPr="003D3533" w:rsidSect="00080A38">
          <w:pgSz w:w="11900" w:h="16838"/>
          <w:pgMar w:top="1384" w:right="1386" w:bottom="1038" w:left="1380" w:header="0" w:footer="567" w:gutter="0"/>
          <w:cols w:space="0" w:equalWidth="0">
            <w:col w:w="9140"/>
          </w:cols>
          <w:docGrid w:linePitch="360"/>
        </w:sectPr>
      </w:pPr>
      <w:r w:rsidRPr="005F0A32">
        <w:rPr>
          <w:rFonts w:ascii="Times New Roman" w:hAnsi="Times New Roman" w:cs="Times New Roman"/>
          <w:sz w:val="24"/>
          <w:szCs w:val="24"/>
        </w:rPr>
        <w:t xml:space="preserve">Informacje zawarte w niniejszym opracowaniu wskazują, że polityka społeczna wobec osób starszych w województwie mazowieckim jest konsekwentnie realizowana zarówno na poziomie wojewódzkim, jak i lokalnym. Osoby starsze w województwie mazowieckim mogą liczyć </w:t>
      </w:r>
      <w:r w:rsidRPr="005F0A32">
        <w:rPr>
          <w:rFonts w:ascii="Times New Roman" w:hAnsi="Times New Roman" w:cs="Times New Roman"/>
          <w:sz w:val="24"/>
          <w:szCs w:val="24"/>
        </w:rPr>
        <w:br/>
        <w:t xml:space="preserve">na znaczące wsparcie w zaspakajaniu swoich potrzeb poprzez działanie wielu instytucji. Pomoc </w:t>
      </w:r>
      <w:r w:rsidRPr="005F0A32">
        <w:rPr>
          <w:rFonts w:ascii="Times New Roman" w:hAnsi="Times New Roman" w:cs="Times New Roman"/>
          <w:sz w:val="24"/>
          <w:szCs w:val="24"/>
        </w:rPr>
        <w:br/>
        <w:t>ta świadczona jest zarówno ze strony samorządów jak i</w:t>
      </w:r>
      <w:r w:rsidR="003D3533">
        <w:rPr>
          <w:rFonts w:ascii="Times New Roman" w:hAnsi="Times New Roman" w:cs="Times New Roman"/>
          <w:sz w:val="24"/>
          <w:szCs w:val="24"/>
        </w:rPr>
        <w:t xml:space="preserve"> organizacji pozarządowych. </w:t>
      </w:r>
    </w:p>
    <w:p w14:paraId="3CB8FFBB" w14:textId="313B7C32" w:rsidR="005F20F3" w:rsidRPr="000902E0" w:rsidRDefault="005F20F3" w:rsidP="005F20F3">
      <w:pPr>
        <w:pStyle w:val="Legenda"/>
        <w:keepNext/>
        <w:rPr>
          <w:rFonts w:ascii="Times New Roman" w:hAnsi="Times New Roman" w:cs="Times New Roman"/>
          <w:b/>
          <w:i w:val="0"/>
          <w:sz w:val="24"/>
        </w:rPr>
      </w:pPr>
      <w:bookmarkStart w:id="138" w:name="_Toc49171436"/>
      <w:r w:rsidRPr="000902E0">
        <w:rPr>
          <w:rFonts w:ascii="Times New Roman" w:hAnsi="Times New Roman" w:cs="Times New Roman"/>
          <w:b/>
          <w:i w:val="0"/>
          <w:sz w:val="24"/>
        </w:rPr>
        <w:lastRenderedPageBreak/>
        <w:t xml:space="preserve">Tabela </w:t>
      </w:r>
      <w:r w:rsidRPr="000902E0">
        <w:rPr>
          <w:rFonts w:ascii="Times New Roman" w:hAnsi="Times New Roman" w:cs="Times New Roman"/>
          <w:b/>
          <w:i w:val="0"/>
          <w:sz w:val="24"/>
        </w:rPr>
        <w:fldChar w:fldCharType="begin"/>
      </w:r>
      <w:r w:rsidRPr="000902E0">
        <w:rPr>
          <w:rFonts w:ascii="Times New Roman" w:hAnsi="Times New Roman" w:cs="Times New Roman"/>
          <w:b/>
          <w:i w:val="0"/>
          <w:sz w:val="24"/>
        </w:rPr>
        <w:instrText xml:space="preserve"> SEQ Tabela \* ARABIC </w:instrText>
      </w:r>
      <w:r w:rsidRPr="000902E0">
        <w:rPr>
          <w:rFonts w:ascii="Times New Roman" w:hAnsi="Times New Roman" w:cs="Times New Roman"/>
          <w:b/>
          <w:i w:val="0"/>
          <w:sz w:val="24"/>
        </w:rPr>
        <w:fldChar w:fldCharType="separate"/>
      </w:r>
      <w:r w:rsidR="00C154C9">
        <w:rPr>
          <w:rFonts w:ascii="Times New Roman" w:hAnsi="Times New Roman" w:cs="Times New Roman"/>
          <w:b/>
          <w:i w:val="0"/>
          <w:noProof/>
          <w:sz w:val="24"/>
        </w:rPr>
        <w:t>61</w:t>
      </w:r>
      <w:r w:rsidRPr="000902E0">
        <w:rPr>
          <w:rFonts w:ascii="Times New Roman" w:hAnsi="Times New Roman" w:cs="Times New Roman"/>
          <w:b/>
          <w:i w:val="0"/>
          <w:sz w:val="24"/>
        </w:rPr>
        <w:fldChar w:fldCharType="end"/>
      </w:r>
      <w:r w:rsidRPr="000902E0">
        <w:rPr>
          <w:rFonts w:ascii="Times New Roman" w:hAnsi="Times New Roman" w:cs="Times New Roman"/>
          <w:b/>
          <w:i w:val="0"/>
          <w:sz w:val="24"/>
        </w:rPr>
        <w:t xml:space="preserve"> Karta województwa mazowieckiego</w:t>
      </w:r>
      <w:bookmarkEnd w:id="138"/>
    </w:p>
    <w:tbl>
      <w:tblPr>
        <w:tblStyle w:val="Tabelasiatki6kolorowaakcent1"/>
        <w:tblpPr w:leftFromText="142" w:rightFromText="142" w:vertAnchor="text" w:horzAnchor="margin" w:tblpXSpec="center" w:tblpY="1"/>
        <w:tblOverlap w:val="never"/>
        <w:tblW w:w="14741"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3D3533" w:rsidRPr="00A52173" w14:paraId="0BBAC1F3" w14:textId="77777777" w:rsidTr="00E86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bottom w:val="none" w:sz="0" w:space="0" w:color="auto"/>
            </w:tcBorders>
            <w:shd w:val="clear" w:color="auto" w:fill="9CC2E5" w:themeFill="accent1" w:themeFillTint="99"/>
          </w:tcPr>
          <w:p w14:paraId="20377CC8" w14:textId="77777777" w:rsidR="003D3533" w:rsidRPr="00A73D3B" w:rsidRDefault="003D3533" w:rsidP="00E86509">
            <w:pPr>
              <w:spacing w:after="0" w:line="240" w:lineRule="auto"/>
              <w:jc w:val="center"/>
              <w:rPr>
                <w:rFonts w:ascii="Times New Roman" w:hAnsi="Times New Roman"/>
                <w:color w:val="auto"/>
              </w:rPr>
            </w:pPr>
            <w:r w:rsidRPr="00A73D3B">
              <w:rPr>
                <w:rFonts w:ascii="Times New Roman" w:hAnsi="Times New Roman"/>
                <w:color w:val="auto"/>
              </w:rPr>
              <w:t>WOJEWÓDZTWO MAZOWIECKIE</w:t>
            </w:r>
          </w:p>
        </w:tc>
      </w:tr>
      <w:tr w:rsidR="003D3533" w:rsidRPr="00A52173" w14:paraId="7D6885CA" w14:textId="77777777" w:rsidTr="00E8650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6AF5116" w14:textId="77777777" w:rsidR="003D3533" w:rsidRPr="00A73D3B" w:rsidRDefault="003D3533" w:rsidP="00E86509">
            <w:pPr>
              <w:spacing w:after="0" w:line="240" w:lineRule="auto"/>
              <w:rPr>
                <w:rFonts w:ascii="Times New Roman" w:hAnsi="Times New Roman"/>
                <w:color w:val="auto"/>
              </w:rPr>
            </w:pPr>
            <w:r w:rsidRPr="00A73D3B">
              <w:rPr>
                <w:rFonts w:ascii="Times New Roman" w:hAnsi="Times New Roman"/>
                <w:color w:val="auto"/>
              </w:rPr>
              <w:t>Informacja o regionie</w:t>
            </w:r>
          </w:p>
        </w:tc>
        <w:tc>
          <w:tcPr>
            <w:tcW w:w="3969" w:type="dxa"/>
            <w:gridSpan w:val="3"/>
            <w:shd w:val="clear" w:color="auto" w:fill="9CC2E5" w:themeFill="accent1" w:themeFillTint="99"/>
          </w:tcPr>
          <w:p w14:paraId="5EC6693F"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Liczba gmin</w:t>
            </w:r>
          </w:p>
        </w:tc>
        <w:tc>
          <w:tcPr>
            <w:tcW w:w="7942" w:type="dxa"/>
            <w:gridSpan w:val="5"/>
            <w:shd w:val="clear" w:color="auto" w:fill="FFFFFF" w:themeFill="background1"/>
          </w:tcPr>
          <w:p w14:paraId="7CC06ED3"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314</w:t>
            </w:r>
          </w:p>
        </w:tc>
      </w:tr>
      <w:tr w:rsidR="003D3533" w:rsidRPr="00A52173" w14:paraId="680FE39E" w14:textId="77777777" w:rsidTr="00E86509">
        <w:trPr>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DE1A160" w14:textId="77777777" w:rsidR="003D3533" w:rsidRPr="00A73D3B" w:rsidRDefault="003D3533" w:rsidP="00E86509">
            <w:pPr>
              <w:spacing w:after="0" w:line="240" w:lineRule="auto"/>
              <w:rPr>
                <w:rFonts w:ascii="Times New Roman" w:hAnsi="Times New Roman"/>
                <w:color w:val="auto"/>
              </w:rPr>
            </w:pPr>
          </w:p>
        </w:tc>
        <w:tc>
          <w:tcPr>
            <w:tcW w:w="3969" w:type="dxa"/>
            <w:gridSpan w:val="3"/>
            <w:shd w:val="clear" w:color="auto" w:fill="9CC2E5" w:themeFill="accent1" w:themeFillTint="99"/>
          </w:tcPr>
          <w:p w14:paraId="43F8B79E"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Liczba powiatów</w:t>
            </w:r>
          </w:p>
        </w:tc>
        <w:tc>
          <w:tcPr>
            <w:tcW w:w="7942" w:type="dxa"/>
            <w:gridSpan w:val="5"/>
            <w:shd w:val="clear" w:color="auto" w:fill="FFFFFF" w:themeFill="background1"/>
          </w:tcPr>
          <w:p w14:paraId="37A8F6C6"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42</w:t>
            </w:r>
          </w:p>
        </w:tc>
      </w:tr>
      <w:tr w:rsidR="003D3533" w:rsidRPr="00A52173" w14:paraId="3FCFD6CB" w14:textId="77777777" w:rsidTr="00E8650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49C0E7F" w14:textId="77777777" w:rsidR="003D3533" w:rsidRPr="00A73D3B" w:rsidRDefault="003D3533" w:rsidP="00E86509">
            <w:pPr>
              <w:spacing w:after="0" w:line="240" w:lineRule="auto"/>
              <w:rPr>
                <w:rFonts w:ascii="Times New Roman" w:hAnsi="Times New Roman"/>
                <w:color w:val="auto"/>
              </w:rPr>
            </w:pPr>
          </w:p>
        </w:tc>
        <w:tc>
          <w:tcPr>
            <w:tcW w:w="3969" w:type="dxa"/>
            <w:gridSpan w:val="3"/>
            <w:shd w:val="clear" w:color="auto" w:fill="9CC2E5" w:themeFill="accent1" w:themeFillTint="99"/>
          </w:tcPr>
          <w:p w14:paraId="31E4FFC5"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Powierzchnia</w:t>
            </w:r>
          </w:p>
        </w:tc>
        <w:tc>
          <w:tcPr>
            <w:tcW w:w="7942" w:type="dxa"/>
            <w:gridSpan w:val="5"/>
            <w:shd w:val="clear" w:color="auto" w:fill="FFFFFF" w:themeFill="background1"/>
          </w:tcPr>
          <w:p w14:paraId="3934F60B"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vertAlign w:val="superscript"/>
              </w:rPr>
            </w:pPr>
            <w:r w:rsidRPr="00A73D3B">
              <w:rPr>
                <w:rFonts w:ascii="Times New Roman" w:hAnsi="Times New Roman"/>
                <w:color w:val="auto"/>
              </w:rPr>
              <w:t>35 558 km</w:t>
            </w:r>
            <w:r w:rsidRPr="00A73D3B">
              <w:rPr>
                <w:rFonts w:ascii="Times New Roman" w:hAnsi="Times New Roman"/>
                <w:color w:val="auto"/>
                <w:vertAlign w:val="superscript"/>
              </w:rPr>
              <w:t>2</w:t>
            </w:r>
          </w:p>
        </w:tc>
      </w:tr>
      <w:tr w:rsidR="003D3533" w:rsidRPr="00A52173" w14:paraId="199FD62D"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236FF893" w14:textId="77777777" w:rsidR="003D3533" w:rsidRPr="00A73D3B" w:rsidRDefault="003D3533" w:rsidP="00E86509">
            <w:pPr>
              <w:spacing w:after="0" w:line="240" w:lineRule="auto"/>
              <w:jc w:val="center"/>
              <w:rPr>
                <w:rFonts w:ascii="Times New Roman" w:hAnsi="Times New Roman"/>
                <w:b w:val="0"/>
                <w:color w:val="auto"/>
              </w:rPr>
            </w:pPr>
            <w:r w:rsidRPr="00A73D3B">
              <w:rPr>
                <w:rFonts w:ascii="Times New Roman" w:hAnsi="Times New Roman"/>
                <w:color w:val="auto"/>
              </w:rPr>
              <w:t>DEMOGRAFIA</w:t>
            </w:r>
          </w:p>
        </w:tc>
      </w:tr>
      <w:tr w:rsidR="003D3533" w:rsidRPr="00A52173" w14:paraId="5CB0EB30"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3E84DB9" w14:textId="77777777" w:rsidR="003D3533" w:rsidRPr="00A73D3B" w:rsidRDefault="003D3533" w:rsidP="00E86509">
            <w:pPr>
              <w:spacing w:after="0" w:line="240" w:lineRule="auto"/>
              <w:jc w:val="center"/>
              <w:rPr>
                <w:rFonts w:ascii="Times New Roman" w:hAnsi="Times New Roman"/>
                <w:b w:val="0"/>
                <w:color w:val="auto"/>
                <w:lang w:eastAsia="pl-PL"/>
              </w:rPr>
            </w:pPr>
            <w:r w:rsidRPr="00A73D3B">
              <w:rPr>
                <w:rFonts w:ascii="Times New Roman" w:hAnsi="Times New Roman"/>
                <w:color w:val="auto"/>
                <w:lang w:eastAsia="pl-PL"/>
              </w:rPr>
              <w:t>Treść</w:t>
            </w:r>
          </w:p>
        </w:tc>
        <w:tc>
          <w:tcPr>
            <w:tcW w:w="3969" w:type="dxa"/>
            <w:gridSpan w:val="3"/>
            <w:shd w:val="clear" w:color="auto" w:fill="9CC2E5" w:themeFill="accent1" w:themeFillTint="99"/>
          </w:tcPr>
          <w:p w14:paraId="21FA6FBA"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2017 r.</w:t>
            </w:r>
          </w:p>
        </w:tc>
        <w:tc>
          <w:tcPr>
            <w:tcW w:w="3969" w:type="dxa"/>
            <w:gridSpan w:val="3"/>
            <w:shd w:val="clear" w:color="auto" w:fill="9CC2E5" w:themeFill="accent1" w:themeFillTint="99"/>
          </w:tcPr>
          <w:p w14:paraId="1F9CEAEB"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2018 r.</w:t>
            </w:r>
          </w:p>
        </w:tc>
        <w:tc>
          <w:tcPr>
            <w:tcW w:w="3973" w:type="dxa"/>
            <w:gridSpan w:val="2"/>
            <w:shd w:val="clear" w:color="auto" w:fill="9CC2E5" w:themeFill="accent1" w:themeFillTint="99"/>
          </w:tcPr>
          <w:p w14:paraId="61ED03A0"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2019 r.</w:t>
            </w:r>
          </w:p>
        </w:tc>
      </w:tr>
      <w:tr w:rsidR="003D3533" w:rsidRPr="00A52173" w14:paraId="5DC7A864"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A3B7705" w14:textId="77777777" w:rsidR="003D3533" w:rsidRPr="00A73D3B" w:rsidRDefault="003D3533"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Populacja ogółem</w:t>
            </w:r>
          </w:p>
        </w:tc>
        <w:tc>
          <w:tcPr>
            <w:tcW w:w="3969" w:type="dxa"/>
            <w:gridSpan w:val="3"/>
          </w:tcPr>
          <w:p w14:paraId="2651A17B"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5 384 617</w:t>
            </w:r>
          </w:p>
        </w:tc>
        <w:tc>
          <w:tcPr>
            <w:tcW w:w="3969" w:type="dxa"/>
            <w:gridSpan w:val="3"/>
          </w:tcPr>
          <w:p w14:paraId="24ACBB09"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5 403 412</w:t>
            </w:r>
          </w:p>
        </w:tc>
        <w:tc>
          <w:tcPr>
            <w:tcW w:w="3973" w:type="dxa"/>
            <w:gridSpan w:val="2"/>
          </w:tcPr>
          <w:p w14:paraId="11900976"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5 423 168</w:t>
            </w:r>
          </w:p>
        </w:tc>
      </w:tr>
      <w:tr w:rsidR="003D3533" w:rsidRPr="00A52173" w14:paraId="78A4B36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4F93EAD4" w14:textId="77777777" w:rsidR="003D3533" w:rsidRPr="00A73D3B" w:rsidRDefault="003D3533" w:rsidP="00E86509">
            <w:pPr>
              <w:spacing w:after="0" w:line="240" w:lineRule="auto"/>
              <w:rPr>
                <w:rFonts w:ascii="Times New Roman" w:hAnsi="Times New Roman"/>
                <w:color w:val="auto"/>
              </w:rPr>
            </w:pPr>
            <w:r w:rsidRPr="00A73D3B">
              <w:rPr>
                <w:rFonts w:ascii="Times New Roman" w:hAnsi="Times New Roman"/>
                <w:color w:val="auto"/>
                <w:lang w:eastAsia="pl-PL"/>
              </w:rPr>
              <w:t>w tym:</w:t>
            </w:r>
          </w:p>
        </w:tc>
      </w:tr>
      <w:tr w:rsidR="003D3533" w:rsidRPr="00A52173" w14:paraId="0D6924F5"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184A328" w14:textId="77777777" w:rsidR="003D3533" w:rsidRPr="00A73D3B" w:rsidRDefault="003D3533" w:rsidP="00E86509">
            <w:pPr>
              <w:spacing w:after="0" w:line="240" w:lineRule="auto"/>
              <w:rPr>
                <w:rFonts w:ascii="Times New Roman" w:hAnsi="Times New Roman"/>
                <w:color w:val="auto"/>
              </w:rPr>
            </w:pPr>
            <w:r w:rsidRPr="00A73D3B">
              <w:rPr>
                <w:rFonts w:ascii="Times New Roman" w:hAnsi="Times New Roman"/>
                <w:color w:val="auto"/>
                <w:lang w:eastAsia="pl-PL"/>
              </w:rPr>
              <w:t>w wieku 60 lat i więcej</w:t>
            </w:r>
          </w:p>
        </w:tc>
        <w:tc>
          <w:tcPr>
            <w:tcW w:w="3969" w:type="dxa"/>
            <w:gridSpan w:val="3"/>
            <w:shd w:val="clear" w:color="auto" w:fill="FFFFFF" w:themeFill="background1"/>
          </w:tcPr>
          <w:p w14:paraId="38741CDC"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1 306 806</w:t>
            </w:r>
          </w:p>
        </w:tc>
        <w:tc>
          <w:tcPr>
            <w:tcW w:w="3969" w:type="dxa"/>
            <w:gridSpan w:val="3"/>
            <w:shd w:val="clear" w:color="auto" w:fill="FFFFFF" w:themeFill="background1"/>
          </w:tcPr>
          <w:p w14:paraId="5983E9E7"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1 331 932</w:t>
            </w:r>
          </w:p>
        </w:tc>
        <w:tc>
          <w:tcPr>
            <w:tcW w:w="3973" w:type="dxa"/>
            <w:gridSpan w:val="2"/>
            <w:shd w:val="clear" w:color="auto" w:fill="FFFFFF" w:themeFill="background1"/>
          </w:tcPr>
          <w:p w14:paraId="34B135C9"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1 353 862</w:t>
            </w:r>
          </w:p>
        </w:tc>
      </w:tr>
      <w:tr w:rsidR="003D3533" w:rsidRPr="00A52173" w14:paraId="56592AC7"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5BB82AE" w14:textId="77777777" w:rsidR="003D3533" w:rsidRPr="00A73D3B" w:rsidRDefault="003D3533"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60–64 lata</w:t>
            </w:r>
          </w:p>
        </w:tc>
        <w:tc>
          <w:tcPr>
            <w:tcW w:w="3969" w:type="dxa"/>
            <w:gridSpan w:val="3"/>
            <w:shd w:val="clear" w:color="auto" w:fill="FFFFFF" w:themeFill="background1"/>
          </w:tcPr>
          <w:p w14:paraId="5590FF1D"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381 520</w:t>
            </w:r>
          </w:p>
        </w:tc>
        <w:tc>
          <w:tcPr>
            <w:tcW w:w="3969" w:type="dxa"/>
            <w:gridSpan w:val="3"/>
            <w:shd w:val="clear" w:color="auto" w:fill="FFFFFF" w:themeFill="background1"/>
          </w:tcPr>
          <w:p w14:paraId="3697D453"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377 809</w:t>
            </w:r>
          </w:p>
        </w:tc>
        <w:tc>
          <w:tcPr>
            <w:tcW w:w="3973" w:type="dxa"/>
            <w:gridSpan w:val="2"/>
            <w:shd w:val="clear" w:color="auto" w:fill="FFFFFF" w:themeFill="background1"/>
          </w:tcPr>
          <w:p w14:paraId="79B9575B"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370 143</w:t>
            </w:r>
          </w:p>
        </w:tc>
      </w:tr>
      <w:tr w:rsidR="003D3533" w:rsidRPr="00A52173" w14:paraId="2B02B0BA"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5CB03B6" w14:textId="77777777" w:rsidR="003D3533" w:rsidRPr="00A73D3B" w:rsidRDefault="003D3533"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65–69</w:t>
            </w:r>
          </w:p>
        </w:tc>
        <w:tc>
          <w:tcPr>
            <w:tcW w:w="3969" w:type="dxa"/>
            <w:gridSpan w:val="3"/>
            <w:shd w:val="clear" w:color="auto" w:fill="FFFFFF" w:themeFill="background1"/>
          </w:tcPr>
          <w:p w14:paraId="485A3AC7"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317 967</w:t>
            </w:r>
          </w:p>
        </w:tc>
        <w:tc>
          <w:tcPr>
            <w:tcW w:w="3969" w:type="dxa"/>
            <w:gridSpan w:val="3"/>
            <w:shd w:val="clear" w:color="auto" w:fill="FFFFFF" w:themeFill="background1"/>
          </w:tcPr>
          <w:p w14:paraId="488DC014"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328 905</w:t>
            </w:r>
          </w:p>
        </w:tc>
        <w:tc>
          <w:tcPr>
            <w:tcW w:w="3973" w:type="dxa"/>
            <w:gridSpan w:val="2"/>
            <w:shd w:val="clear" w:color="auto" w:fill="FFFFFF" w:themeFill="background1"/>
          </w:tcPr>
          <w:p w14:paraId="010EACAA"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339 387</w:t>
            </w:r>
          </w:p>
        </w:tc>
      </w:tr>
      <w:tr w:rsidR="003D3533" w:rsidRPr="00A52173" w14:paraId="6816EB5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142A78A" w14:textId="77777777" w:rsidR="003D3533" w:rsidRPr="00A73D3B" w:rsidRDefault="003D3533"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70–74</w:t>
            </w:r>
          </w:p>
        </w:tc>
        <w:tc>
          <w:tcPr>
            <w:tcW w:w="3969" w:type="dxa"/>
            <w:gridSpan w:val="3"/>
            <w:shd w:val="clear" w:color="auto" w:fill="FFFFFF" w:themeFill="background1"/>
          </w:tcPr>
          <w:p w14:paraId="1522218E"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204 033</w:t>
            </w:r>
          </w:p>
        </w:tc>
        <w:tc>
          <w:tcPr>
            <w:tcW w:w="3969" w:type="dxa"/>
            <w:gridSpan w:val="3"/>
            <w:shd w:val="clear" w:color="auto" w:fill="FFFFFF" w:themeFill="background1"/>
          </w:tcPr>
          <w:p w14:paraId="596DFA32"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223 815</w:t>
            </w:r>
          </w:p>
        </w:tc>
        <w:tc>
          <w:tcPr>
            <w:tcW w:w="3973" w:type="dxa"/>
            <w:gridSpan w:val="2"/>
            <w:shd w:val="clear" w:color="auto" w:fill="FFFFFF" w:themeFill="background1"/>
          </w:tcPr>
          <w:p w14:paraId="6B243BCC"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241 782</w:t>
            </w:r>
          </w:p>
        </w:tc>
      </w:tr>
      <w:tr w:rsidR="003D3533" w:rsidRPr="00A52173" w14:paraId="04360739"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24FF1C7" w14:textId="77777777" w:rsidR="003D3533" w:rsidRPr="00A73D3B" w:rsidRDefault="003D3533"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75–79</w:t>
            </w:r>
          </w:p>
        </w:tc>
        <w:tc>
          <w:tcPr>
            <w:tcW w:w="3969" w:type="dxa"/>
            <w:gridSpan w:val="3"/>
            <w:shd w:val="clear" w:color="auto" w:fill="FFFFFF" w:themeFill="background1"/>
          </w:tcPr>
          <w:p w14:paraId="5FFB3276"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151 328</w:t>
            </w:r>
          </w:p>
        </w:tc>
        <w:tc>
          <w:tcPr>
            <w:tcW w:w="3969" w:type="dxa"/>
            <w:gridSpan w:val="3"/>
            <w:shd w:val="clear" w:color="auto" w:fill="FFFFFF" w:themeFill="background1"/>
          </w:tcPr>
          <w:p w14:paraId="42CBCA89"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147 501</w:t>
            </w:r>
          </w:p>
        </w:tc>
        <w:tc>
          <w:tcPr>
            <w:tcW w:w="3973" w:type="dxa"/>
            <w:gridSpan w:val="2"/>
            <w:shd w:val="clear" w:color="auto" w:fill="FFFFFF" w:themeFill="background1"/>
          </w:tcPr>
          <w:p w14:paraId="1F25B24D"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73D3B">
              <w:rPr>
                <w:rFonts w:ascii="Times New Roman" w:hAnsi="Times New Roman"/>
                <w:color w:val="auto"/>
              </w:rPr>
              <w:t>146 373</w:t>
            </w:r>
          </w:p>
        </w:tc>
      </w:tr>
      <w:tr w:rsidR="003D3533" w:rsidRPr="00A52173" w14:paraId="45C495C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7BFC19E" w14:textId="77777777" w:rsidR="003D3533" w:rsidRPr="00A73D3B" w:rsidRDefault="003D3533"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80–84</w:t>
            </w:r>
          </w:p>
        </w:tc>
        <w:tc>
          <w:tcPr>
            <w:tcW w:w="3969" w:type="dxa"/>
            <w:gridSpan w:val="3"/>
            <w:shd w:val="clear" w:color="auto" w:fill="FFFFFF" w:themeFill="background1"/>
          </w:tcPr>
          <w:p w14:paraId="02738ED0"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128 486</w:t>
            </w:r>
          </w:p>
        </w:tc>
        <w:tc>
          <w:tcPr>
            <w:tcW w:w="3969" w:type="dxa"/>
            <w:gridSpan w:val="3"/>
            <w:shd w:val="clear" w:color="auto" w:fill="FFFFFF" w:themeFill="background1"/>
          </w:tcPr>
          <w:p w14:paraId="263A6ED2"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128 254</w:t>
            </w:r>
          </w:p>
        </w:tc>
        <w:tc>
          <w:tcPr>
            <w:tcW w:w="3973" w:type="dxa"/>
            <w:gridSpan w:val="2"/>
            <w:shd w:val="clear" w:color="auto" w:fill="FFFFFF" w:themeFill="background1"/>
          </w:tcPr>
          <w:p w14:paraId="2ABA3D0B"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highlight w:val="yellow"/>
              </w:rPr>
            </w:pPr>
            <w:r w:rsidRPr="00A73D3B">
              <w:rPr>
                <w:rFonts w:ascii="Times New Roman" w:hAnsi="Times New Roman"/>
                <w:color w:val="auto"/>
              </w:rPr>
              <w:t>127 811</w:t>
            </w:r>
          </w:p>
        </w:tc>
      </w:tr>
      <w:tr w:rsidR="003D3533" w:rsidRPr="00A52173" w14:paraId="226708E3"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1B3CC44" w14:textId="77777777" w:rsidR="003D3533" w:rsidRPr="00A73D3B" w:rsidRDefault="003D3533"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85 lat i więcej</w:t>
            </w:r>
          </w:p>
        </w:tc>
        <w:tc>
          <w:tcPr>
            <w:tcW w:w="3969" w:type="dxa"/>
            <w:gridSpan w:val="3"/>
            <w:shd w:val="clear" w:color="auto" w:fill="FFFFFF" w:themeFill="background1"/>
          </w:tcPr>
          <w:p w14:paraId="09B00AAC"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123 472</w:t>
            </w:r>
          </w:p>
        </w:tc>
        <w:tc>
          <w:tcPr>
            <w:tcW w:w="3969" w:type="dxa"/>
            <w:gridSpan w:val="3"/>
            <w:shd w:val="clear" w:color="auto" w:fill="FFFFFF" w:themeFill="background1"/>
          </w:tcPr>
          <w:p w14:paraId="41962447"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125 648</w:t>
            </w:r>
          </w:p>
        </w:tc>
        <w:tc>
          <w:tcPr>
            <w:tcW w:w="3973" w:type="dxa"/>
            <w:gridSpan w:val="2"/>
            <w:shd w:val="clear" w:color="auto" w:fill="FFFFFF" w:themeFill="background1"/>
          </w:tcPr>
          <w:p w14:paraId="37FA8FAF"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73D3B">
              <w:rPr>
                <w:rFonts w:ascii="Times New Roman" w:hAnsi="Times New Roman"/>
                <w:color w:val="auto"/>
              </w:rPr>
              <w:t>128 366</w:t>
            </w:r>
          </w:p>
        </w:tc>
      </w:tr>
      <w:tr w:rsidR="003D3533" w:rsidRPr="00A52173" w14:paraId="56B004D7"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5CCBDE9" w14:textId="77777777" w:rsidR="003D3533" w:rsidRPr="00A73D3B" w:rsidRDefault="003D3533"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Przeciętne dalsze trwanie życia</w:t>
            </w:r>
          </w:p>
        </w:tc>
        <w:tc>
          <w:tcPr>
            <w:tcW w:w="3969" w:type="dxa"/>
            <w:gridSpan w:val="3"/>
            <w:shd w:val="clear" w:color="auto" w:fill="FFFFFF" w:themeFill="background1"/>
          </w:tcPr>
          <w:p w14:paraId="7A9E7E7D"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Mężczyźni – 74,04</w:t>
            </w:r>
          </w:p>
          <w:p w14:paraId="2D67825D"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Kobiety – 82,08</w:t>
            </w:r>
          </w:p>
        </w:tc>
        <w:tc>
          <w:tcPr>
            <w:tcW w:w="3969" w:type="dxa"/>
            <w:gridSpan w:val="3"/>
            <w:shd w:val="clear" w:color="auto" w:fill="FFFFFF" w:themeFill="background1"/>
          </w:tcPr>
          <w:p w14:paraId="7700F47C"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Mężczyźni – 73,96</w:t>
            </w:r>
          </w:p>
          <w:p w14:paraId="7AB03CEB"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Kobiety – 82,02</w:t>
            </w:r>
          </w:p>
        </w:tc>
        <w:tc>
          <w:tcPr>
            <w:tcW w:w="3973" w:type="dxa"/>
            <w:gridSpan w:val="2"/>
            <w:shd w:val="clear" w:color="auto" w:fill="FFFFFF" w:themeFill="background1"/>
          </w:tcPr>
          <w:p w14:paraId="561DF795"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highlight w:val="yellow"/>
              </w:rPr>
            </w:pPr>
            <w:r w:rsidRPr="00A73D3B">
              <w:rPr>
                <w:rFonts w:ascii="Times New Roman" w:hAnsi="Times New Roman"/>
                <w:color w:val="auto"/>
              </w:rPr>
              <w:t>b.d.</w:t>
            </w:r>
          </w:p>
        </w:tc>
      </w:tr>
      <w:tr w:rsidR="003D3533" w:rsidRPr="00A52173" w14:paraId="5275FBCB"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9B693A8" w14:textId="77777777" w:rsidR="003D3533" w:rsidRPr="00A73D3B" w:rsidRDefault="003D3533"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Współczynnik feminizacji</w:t>
            </w:r>
          </w:p>
        </w:tc>
        <w:tc>
          <w:tcPr>
            <w:tcW w:w="3969" w:type="dxa"/>
            <w:gridSpan w:val="3"/>
            <w:shd w:val="clear" w:color="auto" w:fill="FFFFFF" w:themeFill="background1"/>
          </w:tcPr>
          <w:p w14:paraId="2C4B6EEC"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109</w:t>
            </w:r>
          </w:p>
        </w:tc>
        <w:tc>
          <w:tcPr>
            <w:tcW w:w="3969" w:type="dxa"/>
            <w:gridSpan w:val="3"/>
            <w:shd w:val="clear" w:color="auto" w:fill="FFFFFF" w:themeFill="background1"/>
          </w:tcPr>
          <w:p w14:paraId="64EB13DF"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109</w:t>
            </w:r>
          </w:p>
        </w:tc>
        <w:tc>
          <w:tcPr>
            <w:tcW w:w="3973" w:type="dxa"/>
            <w:gridSpan w:val="2"/>
            <w:shd w:val="clear" w:color="auto" w:fill="FFFFFF" w:themeFill="background1"/>
          </w:tcPr>
          <w:p w14:paraId="29663E6F"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109</w:t>
            </w:r>
          </w:p>
        </w:tc>
      </w:tr>
      <w:tr w:rsidR="003D3533" w:rsidRPr="00A52173" w14:paraId="76CA96D6"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34981ED" w14:textId="77777777" w:rsidR="003D3533" w:rsidRPr="00A73D3B" w:rsidRDefault="003D3533"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Współczynnik obciążenia demograficznego osobami starszymi</w:t>
            </w:r>
          </w:p>
        </w:tc>
        <w:tc>
          <w:tcPr>
            <w:tcW w:w="3969" w:type="dxa"/>
            <w:gridSpan w:val="3"/>
            <w:shd w:val="clear" w:color="auto" w:fill="FFFFFF" w:themeFill="background1"/>
          </w:tcPr>
          <w:p w14:paraId="060A1926"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25,8</w:t>
            </w:r>
          </w:p>
        </w:tc>
        <w:tc>
          <w:tcPr>
            <w:tcW w:w="3969" w:type="dxa"/>
            <w:gridSpan w:val="3"/>
            <w:shd w:val="clear" w:color="auto" w:fill="FFFFFF" w:themeFill="background1"/>
          </w:tcPr>
          <w:p w14:paraId="4C73752F"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26,7</w:t>
            </w:r>
          </w:p>
        </w:tc>
        <w:tc>
          <w:tcPr>
            <w:tcW w:w="3973" w:type="dxa"/>
            <w:gridSpan w:val="2"/>
            <w:shd w:val="clear" w:color="auto" w:fill="FFFFFF" w:themeFill="background1"/>
          </w:tcPr>
          <w:p w14:paraId="046376A0"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27,7</w:t>
            </w:r>
          </w:p>
        </w:tc>
      </w:tr>
      <w:tr w:rsidR="003D3533" w:rsidRPr="00A52173" w14:paraId="7E013E47"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5099138" w14:textId="77777777" w:rsidR="003D3533" w:rsidRPr="00A73D3B" w:rsidRDefault="003D3533"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Współczynnik zgonów</w:t>
            </w:r>
          </w:p>
        </w:tc>
        <w:tc>
          <w:tcPr>
            <w:tcW w:w="3969" w:type="dxa"/>
            <w:gridSpan w:val="3"/>
            <w:shd w:val="clear" w:color="auto" w:fill="FFFFFF" w:themeFill="background1"/>
          </w:tcPr>
          <w:p w14:paraId="6B14E663"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10,65</w:t>
            </w:r>
          </w:p>
        </w:tc>
        <w:tc>
          <w:tcPr>
            <w:tcW w:w="3969" w:type="dxa"/>
            <w:gridSpan w:val="3"/>
            <w:shd w:val="clear" w:color="auto" w:fill="FFFFFF" w:themeFill="background1"/>
          </w:tcPr>
          <w:p w14:paraId="1BD74407"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10,89</w:t>
            </w:r>
          </w:p>
        </w:tc>
        <w:tc>
          <w:tcPr>
            <w:tcW w:w="3973" w:type="dxa"/>
            <w:gridSpan w:val="2"/>
            <w:shd w:val="clear" w:color="auto" w:fill="FFFFFF" w:themeFill="background1"/>
          </w:tcPr>
          <w:p w14:paraId="2C596EED"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10,66</w:t>
            </w:r>
          </w:p>
        </w:tc>
      </w:tr>
      <w:tr w:rsidR="003D3533" w:rsidRPr="00A52173" w14:paraId="126A19FD"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10BF353D" w14:textId="77777777" w:rsidR="003D3533" w:rsidRPr="00A73D3B" w:rsidRDefault="003D3533" w:rsidP="00E86509">
            <w:pPr>
              <w:spacing w:after="0" w:line="240" w:lineRule="auto"/>
              <w:jc w:val="center"/>
              <w:rPr>
                <w:rFonts w:ascii="Times New Roman" w:hAnsi="Times New Roman"/>
                <w:color w:val="auto"/>
              </w:rPr>
            </w:pPr>
            <w:r w:rsidRPr="00A73D3B">
              <w:rPr>
                <w:rFonts w:ascii="Times New Roman" w:hAnsi="Times New Roman"/>
                <w:color w:val="auto"/>
              </w:rPr>
              <w:t>SYTUACJA RODZINNA I STRUKTURA GOSPODARSTW DOMOWYCH</w:t>
            </w:r>
          </w:p>
        </w:tc>
      </w:tr>
      <w:tr w:rsidR="003D3533" w:rsidRPr="00A52173" w14:paraId="70E2ADE2"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Pr>
          <w:p w14:paraId="0B73B490" w14:textId="77777777" w:rsidR="003D3533" w:rsidRPr="00A73D3B" w:rsidRDefault="003D3533" w:rsidP="00E86509">
            <w:pPr>
              <w:spacing w:after="0" w:line="240" w:lineRule="auto"/>
              <w:rPr>
                <w:rFonts w:ascii="Times New Roman" w:hAnsi="Times New Roman"/>
                <w:b w:val="0"/>
                <w:color w:val="auto"/>
              </w:rPr>
            </w:pPr>
            <w:r w:rsidRPr="00A73D3B">
              <w:rPr>
                <w:rFonts w:ascii="Times New Roman" w:hAnsi="Times New Roman"/>
                <w:b w:val="0"/>
                <w:color w:val="auto"/>
              </w:rPr>
              <w:t>Sytuację rodzinną osób starszych w 2019 r. należy ocenić jako dobrą. Struktura rodzinna seniorów jest zróżnicowana. Osoby potrzebujące pomocy (w tym osoby niepełnosprawne) mieszkają najczęściej przy rodzinie. Osoby starsze bez problemów zdrowotnych w większości przypadków posiadają samodzielny lokal. Ze sprawozdań przekazanych przez gminy wynika, że jeśli chodzi o sytuację lokalową osób starszych, to samodzielne lokale mieszkaniowe posiada ok. 31 860 osób. Natomiast z rodziną zamieszkuje ok. 22 000 osób.</w:t>
            </w:r>
          </w:p>
        </w:tc>
      </w:tr>
      <w:tr w:rsidR="003D3533" w:rsidRPr="00A52173" w14:paraId="7E0B258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4335B26F" w14:textId="77777777" w:rsidR="003D3533" w:rsidRPr="00A73D3B" w:rsidRDefault="003D3533" w:rsidP="00E86509">
            <w:pPr>
              <w:spacing w:after="0" w:line="240" w:lineRule="auto"/>
              <w:jc w:val="center"/>
              <w:rPr>
                <w:rFonts w:ascii="Times New Roman" w:hAnsi="Times New Roman"/>
                <w:color w:val="auto"/>
              </w:rPr>
            </w:pPr>
            <w:r w:rsidRPr="00A73D3B">
              <w:rPr>
                <w:rFonts w:ascii="Times New Roman" w:hAnsi="Times New Roman"/>
                <w:color w:val="auto"/>
              </w:rPr>
              <w:t>SYTUACJA OSÓB NIEPEŁNOSPRAWNYCH I ICH OPIEKUNÓW</w:t>
            </w:r>
          </w:p>
        </w:tc>
      </w:tr>
      <w:tr w:rsidR="003D3533" w:rsidRPr="00A52173" w14:paraId="291D86C4"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Pr>
          <w:p w14:paraId="0CACEBF8" w14:textId="750D6B6F" w:rsidR="003D3533" w:rsidRPr="00A73D3B" w:rsidRDefault="005C31A8" w:rsidP="00E86509">
            <w:pPr>
              <w:spacing w:after="0" w:line="240" w:lineRule="auto"/>
              <w:rPr>
                <w:rFonts w:ascii="Times New Roman" w:hAnsi="Times New Roman"/>
                <w:b w:val="0"/>
                <w:color w:val="auto"/>
              </w:rPr>
            </w:pPr>
            <w:r w:rsidRPr="00A73D3B">
              <w:rPr>
                <w:rFonts w:ascii="Times New Roman" w:hAnsi="Times New Roman"/>
                <w:b w:val="0"/>
                <w:color w:val="auto"/>
              </w:rPr>
              <w:t>W 2019 r.</w:t>
            </w:r>
            <w:r w:rsidR="003D3533" w:rsidRPr="00A73D3B">
              <w:rPr>
                <w:rFonts w:ascii="Times New Roman" w:hAnsi="Times New Roman"/>
                <w:b w:val="0"/>
                <w:color w:val="auto"/>
              </w:rPr>
              <w:t xml:space="preserve"> Minister Rodziny, Pracy i Polityki Społecznej zatwierdził, w ramach </w:t>
            </w:r>
            <w:r w:rsidR="0045156C" w:rsidRPr="008439B2">
              <w:rPr>
                <w:rFonts w:ascii="Times New Roman" w:hAnsi="Times New Roman"/>
                <w:sz w:val="24"/>
                <w:szCs w:val="24"/>
              </w:rPr>
              <w:t xml:space="preserve"> </w:t>
            </w:r>
            <w:r w:rsidR="0045156C" w:rsidRPr="0045156C">
              <w:rPr>
                <w:rFonts w:ascii="Times New Roman" w:hAnsi="Times New Roman"/>
                <w:b w:val="0"/>
                <w:color w:val="auto"/>
                <w:sz w:val="24"/>
                <w:szCs w:val="24"/>
              </w:rPr>
              <w:t>Funduszu Solidarnościowego (</w:t>
            </w:r>
            <w:r w:rsidR="0045156C" w:rsidRPr="0045156C">
              <w:rPr>
                <w:rFonts w:ascii="Times New Roman" w:hAnsi="Times New Roman"/>
                <w:b w:val="0"/>
                <w:color w:val="000000"/>
                <w:sz w:val="24"/>
                <w:szCs w:val="24"/>
              </w:rPr>
              <w:t>do 21 grudnia 2019 r. był to Solidarnościowy Fundusz Wsparcia Osób Niepełnosprawnych)</w:t>
            </w:r>
            <w:r w:rsidR="003D3533" w:rsidRPr="0045156C">
              <w:rPr>
                <w:rFonts w:ascii="Times New Roman" w:hAnsi="Times New Roman"/>
                <w:b w:val="0"/>
                <w:color w:val="auto"/>
                <w:lang w:eastAsia="pl-PL"/>
              </w:rPr>
              <w:t>,</w:t>
            </w:r>
            <w:r w:rsidR="003D3533" w:rsidRPr="00A73D3B">
              <w:rPr>
                <w:rFonts w:ascii="Times New Roman" w:hAnsi="Times New Roman"/>
                <w:b w:val="0"/>
                <w:color w:val="auto"/>
                <w:lang w:eastAsia="pl-PL"/>
              </w:rPr>
              <w:t xml:space="preserve"> </w:t>
            </w:r>
            <w:r w:rsidR="003D3533" w:rsidRPr="00A73D3B">
              <w:rPr>
                <w:rFonts w:ascii="Times New Roman" w:hAnsi="Times New Roman"/>
                <w:b w:val="0"/>
                <w:color w:val="auto"/>
              </w:rPr>
              <w:t xml:space="preserve">programy skierowane do osób niepełnosprawnych oraz ich opiekunów, tj.: </w:t>
            </w:r>
          </w:p>
          <w:p w14:paraId="60E536E0"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b w:val="0"/>
                <w:color w:val="auto"/>
                <w:lang w:eastAsia="pl-PL"/>
              </w:rPr>
              <w:lastRenderedPageBreak/>
              <w:t xml:space="preserve">„Usługi opiekuńcze dla osób niepełnosprawnych”- </w:t>
            </w:r>
            <w:r w:rsidRPr="00A73D3B">
              <w:rPr>
                <w:rFonts w:ascii="Times New Roman" w:hAnsi="Times New Roman"/>
                <w:b w:val="0"/>
                <w:color w:val="auto"/>
              </w:rPr>
              <w:t xml:space="preserve">są </w:t>
            </w:r>
            <w:r w:rsidRPr="00A73D3B">
              <w:rPr>
                <w:rFonts w:ascii="Times New Roman" w:hAnsi="Times New Roman"/>
                <w:color w:val="auto"/>
              </w:rPr>
              <w:t xml:space="preserve"> </w:t>
            </w:r>
            <w:r w:rsidRPr="00A73D3B">
              <w:rPr>
                <w:rFonts w:ascii="Times New Roman" w:hAnsi="Times New Roman"/>
                <w:b w:val="0"/>
                <w:color w:val="auto"/>
              </w:rPr>
              <w:t>wsparciem społecznym w formie usług opiekuńczych łącznie ze wskazaniami: konieczności stałej lub długotrwałej opieki lub pomocy innej osoby w związku ze znacznie ograniczoną możliwością samodzielnej egzystencji oraz konieczności stałego współudziału na co dzień opiekuna. Dofinasowanie w ramach Programu otrzymały 63 jednostki z terenu województwa mazowieckiego, na kwotę w wysokości 6 545 600,75 zł,</w:t>
            </w:r>
            <w:r w:rsidRPr="00A73D3B">
              <w:rPr>
                <w:rFonts w:ascii="Times New Roman" w:hAnsi="Times New Roman"/>
                <w:b w:val="0"/>
                <w:color w:val="auto"/>
                <w:lang w:eastAsia="pl-PL"/>
              </w:rPr>
              <w:t xml:space="preserve">, </w:t>
            </w:r>
          </w:p>
          <w:p w14:paraId="5477088A"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b w:val="0"/>
                <w:color w:val="auto"/>
              </w:rPr>
              <w:t>„Opieka wytchnieniowa” -  program kierowany jest do członków rodzin lub opiekunów, którzy wymagają wsparcia w postaci doraźnej, czasowej przerwy w sprawowaniu bezpośredniej opieki nad dziećmi z orzeczeniem o niepełnosprawności, osobami ze znacznym stopniem niepełnosprawności lub orzeczeniami równoważnymi. Dofinasowanie z Programu otrzymało łącznie 26 jednostek z województwa mazowieckiego w łącznej wysokości 3 348 571,78 zł,</w:t>
            </w:r>
          </w:p>
          <w:p w14:paraId="758F75D0" w14:textId="77777777" w:rsidR="003D3533" w:rsidRPr="00A73D3B" w:rsidRDefault="003D3533" w:rsidP="00E86509">
            <w:pPr>
              <w:pStyle w:val="Default"/>
              <w:rPr>
                <w:rFonts w:ascii="Times New Roman" w:hAnsi="Times New Roman" w:cs="Times New Roman"/>
                <w:b w:val="0"/>
                <w:color w:val="auto"/>
                <w:sz w:val="22"/>
                <w:szCs w:val="22"/>
              </w:rPr>
            </w:pPr>
            <w:r w:rsidRPr="00A73D3B">
              <w:rPr>
                <w:rFonts w:ascii="Times New Roman" w:hAnsi="Times New Roman" w:cs="Times New Roman"/>
                <w:b w:val="0"/>
                <w:color w:val="auto"/>
                <w:sz w:val="22"/>
                <w:szCs w:val="22"/>
              </w:rPr>
              <w:t xml:space="preserve">„Centra opiekuńczo-mieszkalne” - </w:t>
            </w:r>
            <w:r w:rsidRPr="00A73D3B">
              <w:rPr>
                <w:rFonts w:ascii="Times New Roman" w:hAnsi="Times New Roman" w:cs="Times New Roman"/>
                <w:color w:val="auto"/>
                <w:sz w:val="22"/>
                <w:szCs w:val="22"/>
              </w:rPr>
              <w:t xml:space="preserve"> </w:t>
            </w:r>
            <w:r w:rsidRPr="00A73D3B">
              <w:rPr>
                <w:rFonts w:ascii="Times New Roman" w:hAnsi="Times New Roman" w:cs="Times New Roman"/>
                <w:b w:val="0"/>
                <w:color w:val="auto"/>
                <w:sz w:val="22"/>
                <w:szCs w:val="22"/>
              </w:rPr>
              <w:t xml:space="preserve">przeznaczone są dla dorosłych osób niepełnosprawnych ze znacznym lub umiarkowanym stopniem niepełnosprawności. </w:t>
            </w:r>
            <w:r w:rsidRPr="00A73D3B">
              <w:rPr>
                <w:rFonts w:ascii="Times New Roman" w:hAnsi="Times New Roman" w:cs="Times New Roman"/>
                <w:color w:val="auto"/>
                <w:sz w:val="22"/>
                <w:szCs w:val="22"/>
              </w:rPr>
              <w:t xml:space="preserve"> </w:t>
            </w:r>
            <w:r w:rsidRPr="00A73D3B">
              <w:rPr>
                <w:rFonts w:ascii="Times New Roman" w:hAnsi="Times New Roman" w:cs="Times New Roman"/>
                <w:b w:val="0"/>
                <w:color w:val="auto"/>
                <w:sz w:val="22"/>
                <w:szCs w:val="22"/>
              </w:rPr>
              <w:t>Centra, poprzez wspólny pobyt uczestników, powinny w pozytywny sposób wpływać na procesy uspołecznienia i nawiązywania relacji interpersonalnych.</w:t>
            </w:r>
          </w:p>
          <w:p w14:paraId="1BA7AB0B" w14:textId="77777777" w:rsidR="003D3533" w:rsidRPr="00A73D3B" w:rsidRDefault="003D3533" w:rsidP="00E86509">
            <w:pPr>
              <w:pStyle w:val="Default"/>
              <w:rPr>
                <w:rFonts w:ascii="Times New Roman" w:hAnsi="Times New Roman" w:cs="Times New Roman"/>
                <w:b w:val="0"/>
                <w:color w:val="auto"/>
                <w:sz w:val="22"/>
                <w:szCs w:val="22"/>
              </w:rPr>
            </w:pPr>
            <w:r w:rsidRPr="00A73D3B">
              <w:rPr>
                <w:rFonts w:ascii="Times New Roman" w:hAnsi="Times New Roman" w:cs="Times New Roman"/>
                <w:b w:val="0"/>
                <w:color w:val="auto"/>
                <w:sz w:val="22"/>
                <w:szCs w:val="22"/>
              </w:rPr>
              <w:t xml:space="preserve">„Asystent osobisty osoby niepełnosprawnej" - </w:t>
            </w:r>
            <w:r w:rsidRPr="00A73D3B">
              <w:rPr>
                <w:rFonts w:ascii="Times New Roman" w:hAnsi="Times New Roman" w:cs="Times New Roman"/>
                <w:color w:val="auto"/>
                <w:sz w:val="22"/>
                <w:szCs w:val="22"/>
              </w:rPr>
              <w:t xml:space="preserve">  </w:t>
            </w:r>
            <w:r w:rsidRPr="00A73D3B">
              <w:rPr>
                <w:rFonts w:ascii="Times New Roman" w:hAnsi="Times New Roman" w:cs="Times New Roman"/>
                <w:b w:val="0"/>
                <w:color w:val="auto"/>
                <w:sz w:val="22"/>
                <w:szCs w:val="22"/>
              </w:rPr>
              <w:t xml:space="preserve">osoby niepełnosprawne mają możliwość skorzystania z pomocy asystenta m.in. przy wykonywaniu codziennych czynności takich jak pomoc w wyjściu, powrocie oraz w dojazdach np. na rehabilitację i zajęcia terapeutyczne lub do ośrodków kultury, pomoc w zakupach  załatwieniu spraw urzędowych czy podejmowaniu aktywności społecznej. Przyznano środki w wysokości 23 064 zł dla 3 jednostek samorządu terytorialnego. </w:t>
            </w:r>
          </w:p>
          <w:p w14:paraId="0A598FDA" w14:textId="77777777" w:rsidR="003D3533" w:rsidRPr="00A73D3B" w:rsidRDefault="003D3533" w:rsidP="00E86509">
            <w:pPr>
              <w:spacing w:after="0" w:line="240" w:lineRule="auto"/>
              <w:rPr>
                <w:rFonts w:ascii="Times New Roman" w:hAnsi="Times New Roman"/>
                <w:color w:val="auto"/>
              </w:rPr>
            </w:pPr>
            <w:r w:rsidRPr="00A73D3B">
              <w:rPr>
                <w:rFonts w:ascii="Times New Roman" w:hAnsi="Times New Roman"/>
                <w:b w:val="0"/>
                <w:color w:val="auto"/>
              </w:rPr>
              <w:t xml:space="preserve">W 2019 r w strukturze MUW powstał Wydział do Spraw Osób Niepełnosprawnych. Uzasadnieniem tego organizacyjnego rozwiązania był szczególny charakter zadań powierzanych nowej komórce organizacyjnej, która w sposób specjalistyczny, kompleksowy i tematyczny odpowiedzialna jest za całokształt spraw związanych z budową systemu wsparcia osób niepełnosprawnych oraz współpracą z organizacjami zajmującymi się tymi osobami. W skład Wydziału wchodzi Oddział ds. Wojewódzkiego Zespołu do Spraw Orzekania o Niepełnosprawności. </w:t>
            </w:r>
            <w:r w:rsidRPr="00A73D3B">
              <w:rPr>
                <w:rFonts w:ascii="Times New Roman" w:hAnsi="Times New Roman"/>
                <w:color w:val="auto"/>
              </w:rPr>
              <w:t xml:space="preserve"> </w:t>
            </w:r>
          </w:p>
          <w:p w14:paraId="28F06348" w14:textId="77777777" w:rsidR="003D3533" w:rsidRPr="00A73D3B" w:rsidRDefault="003D3533" w:rsidP="00E86509">
            <w:pPr>
              <w:autoSpaceDE w:val="0"/>
              <w:autoSpaceDN w:val="0"/>
              <w:adjustRightInd w:val="0"/>
              <w:spacing w:after="0" w:line="240" w:lineRule="auto"/>
              <w:rPr>
                <w:rFonts w:ascii="Times New Roman" w:hAnsi="Times New Roman"/>
                <w:b w:val="0"/>
                <w:color w:val="auto"/>
              </w:rPr>
            </w:pPr>
            <w:r w:rsidRPr="00A73D3B">
              <w:rPr>
                <w:rFonts w:ascii="Times New Roman" w:hAnsi="Times New Roman"/>
                <w:b w:val="0"/>
                <w:color w:val="auto"/>
              </w:rPr>
              <w:t>W 2019 r. w województwie mazowieckim wydano  łącznie 57 789 orzeczeń o zaliczeniu do jednego z trzech stopni niepełnosprawności tj. 16 625 orzeczeń o zaliczeniu do znacznego stopnia niepełnosprawności, 28 527 orzeczeń o zaliczeniu do umiarkowanego stopnia niepełnosprawności i 12 637 orzeczeń o zaliczeniu do lekkiego stopnia niepełnosprawności. W przypadku osób w wieku 60 lat i więcej 28 788 z nich uzyskało status osoby niepełnosprawnej tj. 50 % ogółu osób, które w 2019 r. uzyskały orzeczeni</w:t>
            </w:r>
            <w:r w:rsidR="00A35E7E">
              <w:rPr>
                <w:rFonts w:ascii="Times New Roman" w:hAnsi="Times New Roman"/>
                <w:b w:val="0"/>
                <w:color w:val="auto"/>
              </w:rPr>
              <w:t>e o stopniu niepełnosprawności.</w:t>
            </w:r>
          </w:p>
        </w:tc>
      </w:tr>
      <w:tr w:rsidR="003D3533" w:rsidRPr="00A52173" w14:paraId="4A7ED39C"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6CC7DD39" w14:textId="77777777" w:rsidR="003D3533" w:rsidRPr="00A73D3B" w:rsidRDefault="003D3533" w:rsidP="00E86509">
            <w:pPr>
              <w:spacing w:after="0" w:line="240" w:lineRule="auto"/>
              <w:jc w:val="center"/>
              <w:rPr>
                <w:rFonts w:ascii="Times New Roman" w:hAnsi="Times New Roman"/>
                <w:color w:val="auto"/>
              </w:rPr>
            </w:pPr>
            <w:r w:rsidRPr="00A73D3B">
              <w:rPr>
                <w:rFonts w:ascii="Times New Roman" w:hAnsi="Times New Roman"/>
                <w:color w:val="auto"/>
              </w:rPr>
              <w:lastRenderedPageBreak/>
              <w:t>STAN ZDROWIA OSÓB STARSZYCH / INFRASTRUKTURA SŁUŻBY ZDROWIA - DANE ZA 2019 r.</w:t>
            </w:r>
          </w:p>
        </w:tc>
      </w:tr>
      <w:tr w:rsidR="003D3533" w:rsidRPr="00A52173" w14:paraId="2B90C164" w14:textId="77777777" w:rsidTr="00E86509">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E88E3E8"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color w:val="auto"/>
                <w:lang w:eastAsia="pl-PL"/>
              </w:rPr>
              <w:t xml:space="preserve">Dominujące schorzenia osób starszych </w:t>
            </w:r>
          </w:p>
        </w:tc>
        <w:tc>
          <w:tcPr>
            <w:tcW w:w="7938" w:type="dxa"/>
            <w:gridSpan w:val="6"/>
            <w:shd w:val="clear" w:color="auto" w:fill="9CC2E5" w:themeFill="accent1" w:themeFillTint="99"/>
          </w:tcPr>
          <w:p w14:paraId="649C2C1F"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Nazwa</w:t>
            </w:r>
          </w:p>
        </w:tc>
        <w:tc>
          <w:tcPr>
            <w:tcW w:w="3973" w:type="dxa"/>
            <w:gridSpan w:val="2"/>
            <w:shd w:val="clear" w:color="auto" w:fill="9CC2E5" w:themeFill="accent1" w:themeFillTint="99"/>
          </w:tcPr>
          <w:p w14:paraId="56559061"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Liczba osób starszych</w:t>
            </w:r>
          </w:p>
        </w:tc>
      </w:tr>
      <w:tr w:rsidR="003D3533" w:rsidRPr="00A52173" w14:paraId="28043D82"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6B57DF3C"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251BECB2"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b/>
                <w:color w:val="auto"/>
              </w:rPr>
              <w:t>1.</w:t>
            </w:r>
            <w:r w:rsidRPr="00A73D3B">
              <w:rPr>
                <w:rFonts w:ascii="Times New Roman" w:hAnsi="Times New Roman"/>
                <w:color w:val="auto"/>
              </w:rPr>
              <w:t xml:space="preserve"> Choroby układu krążenia I00-I99</w:t>
            </w:r>
          </w:p>
        </w:tc>
        <w:tc>
          <w:tcPr>
            <w:tcW w:w="3973" w:type="dxa"/>
            <w:gridSpan w:val="2"/>
            <w:shd w:val="clear" w:color="auto" w:fill="FFFFFF" w:themeFill="background1"/>
          </w:tcPr>
          <w:p w14:paraId="3B5431B8"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467 206</w:t>
            </w:r>
          </w:p>
        </w:tc>
      </w:tr>
      <w:tr w:rsidR="003D3533" w:rsidRPr="00A52173" w14:paraId="4667B763"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5B859A7"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C5422B3"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b/>
                <w:color w:val="auto"/>
              </w:rPr>
              <w:t>2.</w:t>
            </w:r>
            <w:r w:rsidRPr="00A73D3B">
              <w:rPr>
                <w:rFonts w:ascii="Times New Roman" w:hAnsi="Times New Roman"/>
                <w:color w:val="auto"/>
              </w:rPr>
              <w:t>Choroby układu mięśniowo-kostnego i tkanki łącznej M00-M99</w:t>
            </w:r>
          </w:p>
        </w:tc>
        <w:tc>
          <w:tcPr>
            <w:tcW w:w="3973" w:type="dxa"/>
            <w:gridSpan w:val="2"/>
            <w:shd w:val="clear" w:color="auto" w:fill="FFFFFF" w:themeFill="background1"/>
          </w:tcPr>
          <w:p w14:paraId="52C40E5C"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232 508</w:t>
            </w:r>
          </w:p>
        </w:tc>
      </w:tr>
      <w:tr w:rsidR="003D3533" w:rsidRPr="00A52173" w14:paraId="42B77B3F"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3F3343F"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74282236"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b/>
                <w:color w:val="auto"/>
              </w:rPr>
              <w:t>3.</w:t>
            </w:r>
            <w:r w:rsidRPr="00A73D3B">
              <w:rPr>
                <w:rFonts w:ascii="Times New Roman" w:hAnsi="Times New Roman"/>
                <w:color w:val="auto"/>
              </w:rPr>
              <w:t>Cukrzyca E10-E14</w:t>
            </w:r>
          </w:p>
        </w:tc>
        <w:tc>
          <w:tcPr>
            <w:tcW w:w="3973" w:type="dxa"/>
            <w:gridSpan w:val="2"/>
            <w:shd w:val="clear" w:color="auto" w:fill="FFFFFF" w:themeFill="background1"/>
          </w:tcPr>
          <w:p w14:paraId="42B55CD7"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114 916</w:t>
            </w:r>
          </w:p>
        </w:tc>
      </w:tr>
      <w:tr w:rsidR="003D3533" w:rsidRPr="00A52173" w14:paraId="647035FB"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400033F"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F8935D1"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b/>
                <w:color w:val="auto"/>
              </w:rPr>
              <w:t>4.</w:t>
            </w:r>
            <w:r w:rsidRPr="00A73D3B">
              <w:rPr>
                <w:rFonts w:ascii="Times New Roman" w:hAnsi="Times New Roman"/>
                <w:color w:val="auto"/>
              </w:rPr>
              <w:t>Przewlekłe choroby układu trawiennego K25-K93</w:t>
            </w:r>
          </w:p>
        </w:tc>
        <w:tc>
          <w:tcPr>
            <w:tcW w:w="3973" w:type="dxa"/>
            <w:gridSpan w:val="2"/>
            <w:shd w:val="clear" w:color="auto" w:fill="FFFFFF" w:themeFill="background1"/>
          </w:tcPr>
          <w:p w14:paraId="2DE27A07"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97 963</w:t>
            </w:r>
          </w:p>
        </w:tc>
      </w:tr>
      <w:tr w:rsidR="003D3533" w:rsidRPr="00A52173" w14:paraId="5FC6D8E5"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FD3DD6A"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DE1EF52"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b/>
                <w:color w:val="auto"/>
              </w:rPr>
              <w:t>5.</w:t>
            </w:r>
            <w:r w:rsidRPr="00A73D3B">
              <w:rPr>
                <w:rFonts w:ascii="Times New Roman" w:hAnsi="Times New Roman"/>
                <w:color w:val="auto"/>
              </w:rPr>
              <w:t>Choroby obwodowego układu nerwowego G50-G59</w:t>
            </w:r>
          </w:p>
        </w:tc>
        <w:tc>
          <w:tcPr>
            <w:tcW w:w="3973" w:type="dxa"/>
            <w:gridSpan w:val="2"/>
            <w:shd w:val="clear" w:color="auto" w:fill="FFFFFF" w:themeFill="background1"/>
          </w:tcPr>
          <w:p w14:paraId="1FA6DF07"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60 051</w:t>
            </w:r>
          </w:p>
        </w:tc>
      </w:tr>
      <w:tr w:rsidR="003D3533" w:rsidRPr="00A52173" w14:paraId="39956DE8"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A7BC2B9"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color w:val="auto"/>
                <w:lang w:eastAsia="pl-PL"/>
              </w:rPr>
              <w:t>Liczba osób starszych objętych czynną opieką lekarza POZ</w:t>
            </w:r>
          </w:p>
        </w:tc>
        <w:tc>
          <w:tcPr>
            <w:tcW w:w="11911" w:type="dxa"/>
            <w:gridSpan w:val="8"/>
            <w:shd w:val="clear" w:color="auto" w:fill="FFFFFF" w:themeFill="background1"/>
          </w:tcPr>
          <w:p w14:paraId="28EA24E0"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749 566</w:t>
            </w:r>
          </w:p>
        </w:tc>
      </w:tr>
      <w:tr w:rsidR="003D3533" w:rsidRPr="00A52173" w14:paraId="78CDF55C" w14:textId="77777777" w:rsidTr="00E8650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4A63087"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color w:val="auto"/>
                <w:lang w:eastAsia="pl-PL"/>
              </w:rPr>
              <w:t>Najczęstsze przyczyny hospitalizacji osób starszych</w:t>
            </w:r>
          </w:p>
        </w:tc>
        <w:tc>
          <w:tcPr>
            <w:tcW w:w="7938" w:type="dxa"/>
            <w:gridSpan w:val="6"/>
            <w:shd w:val="clear" w:color="auto" w:fill="9CC2E5" w:themeFill="accent1" w:themeFillTint="99"/>
          </w:tcPr>
          <w:p w14:paraId="66A07D50"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Przyczyna</w:t>
            </w:r>
          </w:p>
        </w:tc>
        <w:tc>
          <w:tcPr>
            <w:tcW w:w="3973" w:type="dxa"/>
            <w:gridSpan w:val="2"/>
            <w:shd w:val="clear" w:color="auto" w:fill="9CC2E5" w:themeFill="accent1" w:themeFillTint="99"/>
          </w:tcPr>
          <w:p w14:paraId="35F450D6"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Liczba osób starszych</w:t>
            </w:r>
          </w:p>
        </w:tc>
      </w:tr>
      <w:tr w:rsidR="003D3533" w:rsidRPr="00A52173" w14:paraId="1DF83C9C"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04ABF8A"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EA2C104" w14:textId="77777777" w:rsidR="003D3533" w:rsidRPr="009C096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1.b.d.</w:t>
            </w:r>
          </w:p>
        </w:tc>
        <w:tc>
          <w:tcPr>
            <w:tcW w:w="3973" w:type="dxa"/>
            <w:gridSpan w:val="2"/>
            <w:shd w:val="clear" w:color="auto" w:fill="FFFFFF" w:themeFill="background1"/>
          </w:tcPr>
          <w:p w14:paraId="64D36C8D" w14:textId="77777777" w:rsidR="003D3533" w:rsidRPr="009C096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b.d.</w:t>
            </w:r>
          </w:p>
        </w:tc>
      </w:tr>
      <w:tr w:rsidR="003D3533" w:rsidRPr="00A52173" w14:paraId="4A9EF411"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739E8EA"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3A93458" w14:textId="77777777" w:rsidR="003D3533" w:rsidRPr="009C096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2.b.d.</w:t>
            </w:r>
          </w:p>
        </w:tc>
        <w:tc>
          <w:tcPr>
            <w:tcW w:w="3973" w:type="dxa"/>
            <w:gridSpan w:val="2"/>
            <w:shd w:val="clear" w:color="auto" w:fill="FFFFFF" w:themeFill="background1"/>
          </w:tcPr>
          <w:p w14:paraId="6D49FDEA" w14:textId="77777777" w:rsidR="003D3533" w:rsidRPr="009C096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b.d.</w:t>
            </w:r>
          </w:p>
        </w:tc>
      </w:tr>
      <w:tr w:rsidR="003D3533" w:rsidRPr="00A52173" w14:paraId="5851A2BA"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F0605F8"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51FD41C" w14:textId="77777777" w:rsidR="003D3533" w:rsidRPr="009C096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3.b.d.</w:t>
            </w:r>
          </w:p>
        </w:tc>
        <w:tc>
          <w:tcPr>
            <w:tcW w:w="3973" w:type="dxa"/>
            <w:gridSpan w:val="2"/>
            <w:shd w:val="clear" w:color="auto" w:fill="FFFFFF" w:themeFill="background1"/>
          </w:tcPr>
          <w:p w14:paraId="211907EC" w14:textId="77777777" w:rsidR="003D3533" w:rsidRPr="009C096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b.d.</w:t>
            </w:r>
          </w:p>
        </w:tc>
      </w:tr>
      <w:tr w:rsidR="003D3533" w:rsidRPr="00A52173" w14:paraId="0337C1E5"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EDCAA09"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2740DC4" w14:textId="77777777" w:rsidR="003D3533" w:rsidRPr="009C096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4.b.d.</w:t>
            </w:r>
          </w:p>
        </w:tc>
        <w:tc>
          <w:tcPr>
            <w:tcW w:w="3973" w:type="dxa"/>
            <w:gridSpan w:val="2"/>
            <w:shd w:val="clear" w:color="auto" w:fill="FFFFFF" w:themeFill="background1"/>
          </w:tcPr>
          <w:p w14:paraId="3940BA4C" w14:textId="77777777" w:rsidR="003D3533" w:rsidRPr="009C096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b.d.</w:t>
            </w:r>
          </w:p>
        </w:tc>
      </w:tr>
      <w:tr w:rsidR="003D3533" w:rsidRPr="00A52173" w14:paraId="6D79F55E"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D160EDD"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2244EF42" w14:textId="77777777" w:rsidR="003D3533" w:rsidRPr="009C096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5.b.d.</w:t>
            </w:r>
          </w:p>
        </w:tc>
        <w:tc>
          <w:tcPr>
            <w:tcW w:w="3973" w:type="dxa"/>
            <w:gridSpan w:val="2"/>
            <w:shd w:val="clear" w:color="auto" w:fill="FFFFFF" w:themeFill="background1"/>
          </w:tcPr>
          <w:p w14:paraId="499B7F93" w14:textId="77777777" w:rsidR="003D3533" w:rsidRPr="009C096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b.d.</w:t>
            </w:r>
          </w:p>
        </w:tc>
      </w:tr>
      <w:tr w:rsidR="003D3533" w:rsidRPr="00A52173" w14:paraId="4777FF75"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AC6F9E7" w14:textId="77777777" w:rsidR="003D3533" w:rsidRPr="00A73D3B" w:rsidRDefault="003D3533" w:rsidP="00E86509">
            <w:pPr>
              <w:spacing w:after="0" w:line="240" w:lineRule="auto"/>
              <w:rPr>
                <w:rFonts w:ascii="Times New Roman" w:hAnsi="Times New Roman"/>
                <w:b w:val="0"/>
                <w:bCs w:val="0"/>
                <w:color w:val="auto"/>
              </w:rPr>
            </w:pPr>
            <w:r w:rsidRPr="00A35E7E">
              <w:rPr>
                <w:rFonts w:ascii="Times New Roman" w:hAnsi="Times New Roman"/>
                <w:color w:val="auto"/>
                <w:shd w:val="clear" w:color="auto" w:fill="9CC2E5" w:themeFill="accent1" w:themeFillTint="99"/>
                <w:lang w:eastAsia="pl-PL"/>
              </w:rPr>
              <w:t>Infrastruktura</w:t>
            </w:r>
            <w:r w:rsidRPr="00A73D3B">
              <w:rPr>
                <w:rFonts w:ascii="Times New Roman" w:hAnsi="Times New Roman"/>
                <w:color w:val="auto"/>
                <w:lang w:eastAsia="pl-PL"/>
              </w:rPr>
              <w:t xml:space="preserve"> służby zdrowia</w:t>
            </w:r>
          </w:p>
        </w:tc>
        <w:tc>
          <w:tcPr>
            <w:tcW w:w="3969" w:type="dxa"/>
            <w:gridSpan w:val="3"/>
            <w:shd w:val="clear" w:color="auto" w:fill="9CC2E5" w:themeFill="accent1" w:themeFillTint="99"/>
          </w:tcPr>
          <w:p w14:paraId="3E6DFC58"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A73D3B">
              <w:rPr>
                <w:rFonts w:ascii="Times New Roman" w:hAnsi="Times New Roman"/>
                <w:b/>
                <w:color w:val="auto"/>
              </w:rPr>
              <w:t>Rodzaj placówki</w:t>
            </w:r>
          </w:p>
        </w:tc>
        <w:tc>
          <w:tcPr>
            <w:tcW w:w="3969" w:type="dxa"/>
            <w:gridSpan w:val="3"/>
            <w:shd w:val="clear" w:color="auto" w:fill="9CC2E5" w:themeFill="accent1" w:themeFillTint="99"/>
          </w:tcPr>
          <w:p w14:paraId="1C768553"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Liczba placówek</w:t>
            </w:r>
          </w:p>
        </w:tc>
        <w:tc>
          <w:tcPr>
            <w:tcW w:w="3973" w:type="dxa"/>
            <w:gridSpan w:val="2"/>
            <w:shd w:val="clear" w:color="auto" w:fill="9CC2E5" w:themeFill="accent1" w:themeFillTint="99"/>
          </w:tcPr>
          <w:p w14:paraId="09E59454"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Liczba łóżek dla osób starszych</w:t>
            </w:r>
          </w:p>
        </w:tc>
      </w:tr>
      <w:tr w:rsidR="003D3533" w:rsidRPr="00A52173" w14:paraId="54ECBD61"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18FF408" w14:textId="77777777" w:rsidR="003D3533" w:rsidRPr="00A73D3B" w:rsidRDefault="003D3533"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6A91D083"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Oddziałów / pododdziałów geriatrycznych</w:t>
            </w:r>
          </w:p>
        </w:tc>
        <w:tc>
          <w:tcPr>
            <w:tcW w:w="3969" w:type="dxa"/>
            <w:gridSpan w:val="3"/>
            <w:shd w:val="clear" w:color="auto" w:fill="FFFFFF" w:themeFill="background1"/>
          </w:tcPr>
          <w:p w14:paraId="76F92A39" w14:textId="77777777" w:rsidR="003D3533" w:rsidRPr="00A35E7E"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9</w:t>
            </w:r>
          </w:p>
        </w:tc>
        <w:tc>
          <w:tcPr>
            <w:tcW w:w="3973" w:type="dxa"/>
            <w:gridSpan w:val="2"/>
            <w:shd w:val="clear" w:color="auto" w:fill="FFFFFF" w:themeFill="background1"/>
          </w:tcPr>
          <w:p w14:paraId="4FD5B77B" w14:textId="77777777" w:rsidR="003D3533" w:rsidRPr="00A35E7E"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139</w:t>
            </w:r>
          </w:p>
        </w:tc>
      </w:tr>
      <w:tr w:rsidR="003D3533" w:rsidRPr="00A52173" w14:paraId="167BB17A"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92A07F5" w14:textId="77777777" w:rsidR="003D3533" w:rsidRPr="00A73D3B" w:rsidRDefault="003D3533"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7C80140C"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Poradni geriatrycznych</w:t>
            </w:r>
          </w:p>
        </w:tc>
        <w:tc>
          <w:tcPr>
            <w:tcW w:w="3969" w:type="dxa"/>
            <w:gridSpan w:val="3"/>
            <w:shd w:val="clear" w:color="auto" w:fill="FFFFFF" w:themeFill="background1"/>
          </w:tcPr>
          <w:p w14:paraId="588E0C97" w14:textId="77777777" w:rsidR="003D3533" w:rsidRPr="00A35E7E"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80</w:t>
            </w:r>
          </w:p>
        </w:tc>
        <w:tc>
          <w:tcPr>
            <w:tcW w:w="3973" w:type="dxa"/>
            <w:gridSpan w:val="2"/>
            <w:shd w:val="clear" w:color="auto" w:fill="FFFFFF" w:themeFill="background1"/>
          </w:tcPr>
          <w:p w14:paraId="5C85DCFD" w14:textId="77777777" w:rsidR="003D3533" w:rsidRPr="00A35E7E"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b.d.</w:t>
            </w:r>
          </w:p>
        </w:tc>
      </w:tr>
      <w:tr w:rsidR="003D3533" w:rsidRPr="00A52173" w14:paraId="389EAC9B"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2544773" w14:textId="77777777" w:rsidR="003D3533" w:rsidRPr="00A73D3B" w:rsidRDefault="003D3533"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1645CE1D"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Zakładów opiekuńczo-leczniczych</w:t>
            </w:r>
          </w:p>
        </w:tc>
        <w:tc>
          <w:tcPr>
            <w:tcW w:w="3969" w:type="dxa"/>
            <w:gridSpan w:val="3"/>
            <w:shd w:val="clear" w:color="auto" w:fill="FFFFFF" w:themeFill="background1"/>
          </w:tcPr>
          <w:p w14:paraId="0F00DF04" w14:textId="77777777" w:rsidR="003D3533" w:rsidRPr="00A35E7E"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59</w:t>
            </w:r>
          </w:p>
        </w:tc>
        <w:tc>
          <w:tcPr>
            <w:tcW w:w="3973" w:type="dxa"/>
            <w:gridSpan w:val="2"/>
            <w:shd w:val="clear" w:color="auto" w:fill="FFFFFF" w:themeFill="background1"/>
          </w:tcPr>
          <w:p w14:paraId="2F7863F0" w14:textId="77777777" w:rsidR="003D3533" w:rsidRPr="00A35E7E"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4</w:t>
            </w:r>
            <w:r w:rsidR="005C31A8" w:rsidRPr="00A35E7E">
              <w:rPr>
                <w:rFonts w:ascii="Times New Roman" w:hAnsi="Times New Roman"/>
                <w:color w:val="auto"/>
              </w:rPr>
              <w:t xml:space="preserve"> </w:t>
            </w:r>
            <w:r w:rsidRPr="00A35E7E">
              <w:rPr>
                <w:rFonts w:ascii="Times New Roman" w:hAnsi="Times New Roman"/>
                <w:color w:val="auto"/>
              </w:rPr>
              <w:t>799</w:t>
            </w:r>
          </w:p>
        </w:tc>
      </w:tr>
      <w:tr w:rsidR="003D3533" w:rsidRPr="00A52173" w14:paraId="1CCE9FC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A50758C" w14:textId="77777777" w:rsidR="003D3533" w:rsidRPr="00A73D3B" w:rsidRDefault="003D3533"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3BBA6163"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Zakładów pielęgnacyjno-opiekuńczych</w:t>
            </w:r>
          </w:p>
        </w:tc>
        <w:tc>
          <w:tcPr>
            <w:tcW w:w="3969" w:type="dxa"/>
            <w:gridSpan w:val="3"/>
            <w:shd w:val="clear" w:color="auto" w:fill="FFFFFF" w:themeFill="background1"/>
          </w:tcPr>
          <w:p w14:paraId="7836F185" w14:textId="77777777" w:rsidR="003D3533" w:rsidRPr="00A35E7E"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34</w:t>
            </w:r>
          </w:p>
        </w:tc>
        <w:tc>
          <w:tcPr>
            <w:tcW w:w="3973" w:type="dxa"/>
            <w:gridSpan w:val="2"/>
            <w:shd w:val="clear" w:color="auto" w:fill="FFFFFF" w:themeFill="background1"/>
          </w:tcPr>
          <w:p w14:paraId="6EDC845C" w14:textId="77777777" w:rsidR="003D3533" w:rsidRPr="00A35E7E"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1</w:t>
            </w:r>
            <w:r w:rsidR="005C31A8" w:rsidRPr="00A35E7E">
              <w:rPr>
                <w:rFonts w:ascii="Times New Roman" w:hAnsi="Times New Roman"/>
                <w:color w:val="auto"/>
              </w:rPr>
              <w:t xml:space="preserve"> </w:t>
            </w:r>
            <w:r w:rsidRPr="00A35E7E">
              <w:rPr>
                <w:rFonts w:ascii="Times New Roman" w:hAnsi="Times New Roman"/>
                <w:color w:val="auto"/>
              </w:rPr>
              <w:t>563</w:t>
            </w:r>
          </w:p>
        </w:tc>
      </w:tr>
      <w:tr w:rsidR="003D3533" w:rsidRPr="00A52173" w14:paraId="5667D4BD"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DD56858" w14:textId="77777777" w:rsidR="003D3533" w:rsidRPr="00A73D3B" w:rsidRDefault="003D3533"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3F10CEE3"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Hospicjów stacjonarnych</w:t>
            </w:r>
          </w:p>
        </w:tc>
        <w:tc>
          <w:tcPr>
            <w:tcW w:w="3969" w:type="dxa"/>
            <w:gridSpan w:val="3"/>
            <w:shd w:val="clear" w:color="auto" w:fill="FFFFFF" w:themeFill="background1"/>
          </w:tcPr>
          <w:p w14:paraId="02DDA8EB" w14:textId="77777777" w:rsidR="003D3533" w:rsidRPr="00A35E7E"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15</w:t>
            </w:r>
          </w:p>
        </w:tc>
        <w:tc>
          <w:tcPr>
            <w:tcW w:w="3973" w:type="dxa"/>
            <w:gridSpan w:val="2"/>
            <w:shd w:val="clear" w:color="auto" w:fill="FFFFFF" w:themeFill="background1"/>
          </w:tcPr>
          <w:p w14:paraId="0CA5F9AB" w14:textId="77777777" w:rsidR="003D3533" w:rsidRPr="00A35E7E"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315</w:t>
            </w:r>
          </w:p>
        </w:tc>
      </w:tr>
      <w:tr w:rsidR="003D3533" w:rsidRPr="00A52173" w14:paraId="3546EAC7"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859294B" w14:textId="77777777" w:rsidR="003D3533" w:rsidRPr="00A73D3B" w:rsidRDefault="003D3533"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3F922093"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Hospicjów domowych</w:t>
            </w:r>
          </w:p>
        </w:tc>
        <w:tc>
          <w:tcPr>
            <w:tcW w:w="3969" w:type="dxa"/>
            <w:gridSpan w:val="3"/>
            <w:shd w:val="clear" w:color="auto" w:fill="FFFFFF" w:themeFill="background1"/>
          </w:tcPr>
          <w:p w14:paraId="63F88AAE" w14:textId="77777777" w:rsidR="003D3533" w:rsidRPr="00A35E7E"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105</w:t>
            </w:r>
          </w:p>
        </w:tc>
        <w:tc>
          <w:tcPr>
            <w:tcW w:w="3973" w:type="dxa"/>
            <w:gridSpan w:val="2"/>
            <w:shd w:val="clear" w:color="auto" w:fill="FFFFFF" w:themeFill="background1"/>
          </w:tcPr>
          <w:p w14:paraId="50ED28E6" w14:textId="77777777" w:rsidR="003D3533" w:rsidRPr="00A35E7E"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b.d.</w:t>
            </w:r>
          </w:p>
        </w:tc>
      </w:tr>
      <w:tr w:rsidR="003D3533" w:rsidRPr="00A52173" w14:paraId="2A326FB2"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CA9AB5B" w14:textId="77777777" w:rsidR="003D3533" w:rsidRPr="00A73D3B" w:rsidRDefault="003D3533"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141FC4D0"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Oddziałów opieki paliatywnej</w:t>
            </w:r>
          </w:p>
        </w:tc>
        <w:tc>
          <w:tcPr>
            <w:tcW w:w="3969" w:type="dxa"/>
            <w:gridSpan w:val="3"/>
            <w:shd w:val="clear" w:color="auto" w:fill="FFFFFF" w:themeFill="background1"/>
          </w:tcPr>
          <w:p w14:paraId="21CE11B1" w14:textId="77777777" w:rsidR="003D3533" w:rsidRPr="00A35E7E"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7</w:t>
            </w:r>
          </w:p>
        </w:tc>
        <w:tc>
          <w:tcPr>
            <w:tcW w:w="3973" w:type="dxa"/>
            <w:gridSpan w:val="2"/>
            <w:shd w:val="clear" w:color="auto" w:fill="FFFFFF" w:themeFill="background1"/>
          </w:tcPr>
          <w:p w14:paraId="79897AA1" w14:textId="77777777" w:rsidR="003D3533" w:rsidRPr="00A35E7E"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99</w:t>
            </w:r>
          </w:p>
        </w:tc>
      </w:tr>
      <w:tr w:rsidR="003D3533" w:rsidRPr="00A52173" w14:paraId="20799164"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BF3C738" w14:textId="77777777" w:rsidR="003D3533" w:rsidRPr="00A73D3B" w:rsidRDefault="003D3533" w:rsidP="00E86509">
            <w:pPr>
              <w:tabs>
                <w:tab w:val="left" w:pos="1206"/>
              </w:tabs>
              <w:spacing w:after="0" w:line="240" w:lineRule="auto"/>
              <w:rPr>
                <w:rFonts w:ascii="Times New Roman" w:hAnsi="Times New Roman"/>
                <w:color w:val="auto"/>
              </w:rPr>
            </w:pPr>
            <w:r w:rsidRPr="00A73D3B">
              <w:rPr>
                <w:rFonts w:ascii="Times New Roman" w:hAnsi="Times New Roman"/>
                <w:color w:val="auto"/>
              </w:rPr>
              <w:t>Kadry medyczne</w:t>
            </w:r>
          </w:p>
        </w:tc>
        <w:tc>
          <w:tcPr>
            <w:tcW w:w="7938" w:type="dxa"/>
            <w:gridSpan w:val="6"/>
            <w:shd w:val="clear" w:color="auto" w:fill="9CC2E5" w:themeFill="accent1" w:themeFillTint="99"/>
          </w:tcPr>
          <w:p w14:paraId="022E9B18" w14:textId="77777777" w:rsidR="003D3533" w:rsidRPr="00A73D3B" w:rsidRDefault="003D3533" w:rsidP="00E86509">
            <w:pPr>
              <w:tabs>
                <w:tab w:val="left" w:pos="120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Lekarze</w:t>
            </w:r>
          </w:p>
        </w:tc>
        <w:tc>
          <w:tcPr>
            <w:tcW w:w="3973" w:type="dxa"/>
            <w:gridSpan w:val="2"/>
            <w:shd w:val="clear" w:color="auto" w:fill="9CC2E5" w:themeFill="accent1" w:themeFillTint="99"/>
          </w:tcPr>
          <w:p w14:paraId="5100A2FC"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Liczba lekarzy</w:t>
            </w:r>
          </w:p>
        </w:tc>
      </w:tr>
      <w:tr w:rsidR="003D3533" w:rsidRPr="00A52173" w14:paraId="58F296AF"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CB6CC3"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11860F7" w14:textId="77777777" w:rsidR="003D3533" w:rsidRPr="00A73D3B" w:rsidRDefault="003D3533" w:rsidP="00E86509">
            <w:pPr>
              <w:tabs>
                <w:tab w:val="left" w:pos="120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Geriatrzy</w:t>
            </w:r>
          </w:p>
        </w:tc>
        <w:tc>
          <w:tcPr>
            <w:tcW w:w="3973" w:type="dxa"/>
            <w:gridSpan w:val="2"/>
            <w:shd w:val="clear" w:color="auto" w:fill="FFFFFF" w:themeFill="background1"/>
          </w:tcPr>
          <w:p w14:paraId="1F4C9B68"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38</w:t>
            </w:r>
          </w:p>
        </w:tc>
      </w:tr>
      <w:tr w:rsidR="003D3533" w:rsidRPr="00A52173" w14:paraId="1918CBE8"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D8B9BDD"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FE75F2E"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w trakcie specjalizacji z geriatrii</w:t>
            </w:r>
          </w:p>
        </w:tc>
        <w:tc>
          <w:tcPr>
            <w:tcW w:w="3973" w:type="dxa"/>
            <w:gridSpan w:val="2"/>
            <w:shd w:val="clear" w:color="auto" w:fill="FFFFFF" w:themeFill="background1"/>
          </w:tcPr>
          <w:p w14:paraId="0A3B1EC9"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19</w:t>
            </w:r>
          </w:p>
        </w:tc>
      </w:tr>
      <w:tr w:rsidR="003D3533" w:rsidRPr="00A52173" w14:paraId="7BD7EC06"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7533050"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9CC2E5" w:themeFill="accent1" w:themeFillTint="99"/>
          </w:tcPr>
          <w:p w14:paraId="7D714D44"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 xml:space="preserve">Pielęgniarki ze specjalizacją lub ukończonym kursem kwalifikacyjnym </w:t>
            </w:r>
            <w:r w:rsidRPr="00A73D3B">
              <w:rPr>
                <w:rFonts w:ascii="Times New Roman" w:hAnsi="Times New Roman"/>
                <w:b/>
                <w:color w:val="auto"/>
              </w:rPr>
              <w:br/>
              <w:t>w zakresie:</w:t>
            </w:r>
          </w:p>
        </w:tc>
        <w:tc>
          <w:tcPr>
            <w:tcW w:w="3973" w:type="dxa"/>
            <w:gridSpan w:val="2"/>
            <w:shd w:val="clear" w:color="auto" w:fill="9CC2E5" w:themeFill="accent1" w:themeFillTint="99"/>
          </w:tcPr>
          <w:p w14:paraId="7EAE3298"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Liczba pielęgniarek</w:t>
            </w:r>
          </w:p>
        </w:tc>
      </w:tr>
      <w:tr w:rsidR="003D3533" w:rsidRPr="00A52173" w14:paraId="35990365"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586974B"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766EE7D"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Geriatrii</w:t>
            </w:r>
          </w:p>
        </w:tc>
        <w:tc>
          <w:tcPr>
            <w:tcW w:w="3973" w:type="dxa"/>
            <w:gridSpan w:val="2"/>
            <w:shd w:val="clear" w:color="auto" w:fill="FFFFFF" w:themeFill="background1"/>
          </w:tcPr>
          <w:p w14:paraId="02D80DE0"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243</w:t>
            </w:r>
          </w:p>
        </w:tc>
      </w:tr>
      <w:tr w:rsidR="003D3533" w:rsidRPr="00A52173" w14:paraId="318D816A"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A241C4D"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65E81F3"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Opieki długoterminowej</w:t>
            </w:r>
          </w:p>
        </w:tc>
        <w:tc>
          <w:tcPr>
            <w:tcW w:w="3973" w:type="dxa"/>
            <w:gridSpan w:val="2"/>
            <w:shd w:val="clear" w:color="auto" w:fill="FFFFFF" w:themeFill="background1"/>
          </w:tcPr>
          <w:p w14:paraId="52AC2829"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1 062</w:t>
            </w:r>
          </w:p>
        </w:tc>
      </w:tr>
      <w:tr w:rsidR="003D3533" w:rsidRPr="00A52173" w14:paraId="04F936FD"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CAA9527"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728C43F"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Opieki paliatywnej</w:t>
            </w:r>
          </w:p>
        </w:tc>
        <w:tc>
          <w:tcPr>
            <w:tcW w:w="3973" w:type="dxa"/>
            <w:gridSpan w:val="2"/>
            <w:shd w:val="clear" w:color="auto" w:fill="FFFFFF" w:themeFill="background1"/>
          </w:tcPr>
          <w:p w14:paraId="51FD7EE0"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475</w:t>
            </w:r>
          </w:p>
        </w:tc>
      </w:tr>
      <w:tr w:rsidR="003D3533" w:rsidRPr="00A52173" w14:paraId="5B536503"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7BF32B1"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color w:val="auto"/>
                <w:lang w:eastAsia="pl-PL"/>
              </w:rPr>
              <w:t>Najczęstsze przyczyny zgonów osób starszych</w:t>
            </w:r>
          </w:p>
        </w:tc>
        <w:tc>
          <w:tcPr>
            <w:tcW w:w="7938" w:type="dxa"/>
            <w:gridSpan w:val="6"/>
            <w:shd w:val="clear" w:color="auto" w:fill="9CC2E5" w:themeFill="accent1" w:themeFillTint="99"/>
          </w:tcPr>
          <w:p w14:paraId="2D08A5A4"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Nazwa</w:t>
            </w:r>
          </w:p>
        </w:tc>
        <w:tc>
          <w:tcPr>
            <w:tcW w:w="3973" w:type="dxa"/>
            <w:gridSpan w:val="2"/>
            <w:shd w:val="clear" w:color="auto" w:fill="9CC2E5" w:themeFill="accent1" w:themeFillTint="99"/>
          </w:tcPr>
          <w:p w14:paraId="3FC7494A"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Liczba osób starszych</w:t>
            </w:r>
          </w:p>
        </w:tc>
      </w:tr>
      <w:tr w:rsidR="003D3533" w:rsidRPr="00A52173" w14:paraId="69593E72"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95708B8"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AF65283"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1.b.d.</w:t>
            </w:r>
          </w:p>
        </w:tc>
        <w:tc>
          <w:tcPr>
            <w:tcW w:w="3973" w:type="dxa"/>
            <w:gridSpan w:val="2"/>
            <w:shd w:val="clear" w:color="auto" w:fill="FFFFFF" w:themeFill="background1"/>
          </w:tcPr>
          <w:p w14:paraId="26C83300" w14:textId="77777777" w:rsidR="003D3533" w:rsidRPr="00A35E7E"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b.d.</w:t>
            </w:r>
          </w:p>
        </w:tc>
      </w:tr>
      <w:tr w:rsidR="003D3533" w:rsidRPr="00A52173" w14:paraId="6440B8DB"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FBD8524"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4A974DE"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2.b.d.</w:t>
            </w:r>
          </w:p>
        </w:tc>
        <w:tc>
          <w:tcPr>
            <w:tcW w:w="3973" w:type="dxa"/>
            <w:gridSpan w:val="2"/>
            <w:shd w:val="clear" w:color="auto" w:fill="FFFFFF" w:themeFill="background1"/>
          </w:tcPr>
          <w:p w14:paraId="33F54ABB" w14:textId="77777777" w:rsidR="003D3533" w:rsidRPr="00A35E7E"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b.d.</w:t>
            </w:r>
          </w:p>
        </w:tc>
      </w:tr>
      <w:tr w:rsidR="003D3533" w:rsidRPr="00A52173" w14:paraId="1E250E70"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20089FE"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9BAA659"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3.b.d.</w:t>
            </w:r>
          </w:p>
        </w:tc>
        <w:tc>
          <w:tcPr>
            <w:tcW w:w="3973" w:type="dxa"/>
            <w:gridSpan w:val="2"/>
            <w:shd w:val="clear" w:color="auto" w:fill="FFFFFF" w:themeFill="background1"/>
          </w:tcPr>
          <w:p w14:paraId="588C6C56" w14:textId="77777777" w:rsidR="003D3533" w:rsidRPr="00A35E7E"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b.d.</w:t>
            </w:r>
          </w:p>
        </w:tc>
      </w:tr>
      <w:tr w:rsidR="003D3533" w:rsidRPr="00A52173" w14:paraId="22EAE002"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EA7A772"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0CF8233"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4.b.d.</w:t>
            </w:r>
          </w:p>
        </w:tc>
        <w:tc>
          <w:tcPr>
            <w:tcW w:w="3973" w:type="dxa"/>
            <w:gridSpan w:val="2"/>
            <w:shd w:val="clear" w:color="auto" w:fill="FFFFFF" w:themeFill="background1"/>
          </w:tcPr>
          <w:p w14:paraId="43C2CACC" w14:textId="77777777" w:rsidR="003D3533" w:rsidRPr="00A35E7E"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b.d.</w:t>
            </w:r>
          </w:p>
        </w:tc>
      </w:tr>
      <w:tr w:rsidR="003D3533" w:rsidRPr="00A52173" w14:paraId="582DF70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7A075C9" w14:textId="77777777" w:rsidR="003D3533" w:rsidRPr="00A73D3B" w:rsidRDefault="003D3533"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1D35751"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5. b.d.</w:t>
            </w:r>
          </w:p>
        </w:tc>
        <w:tc>
          <w:tcPr>
            <w:tcW w:w="3973" w:type="dxa"/>
            <w:gridSpan w:val="2"/>
            <w:shd w:val="clear" w:color="auto" w:fill="FFFFFF" w:themeFill="background1"/>
          </w:tcPr>
          <w:p w14:paraId="33C99A37" w14:textId="77777777" w:rsidR="003D3533" w:rsidRPr="00A35E7E"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35E7E">
              <w:rPr>
                <w:rFonts w:ascii="Times New Roman" w:hAnsi="Times New Roman"/>
                <w:color w:val="auto"/>
              </w:rPr>
              <w:t>b.d.</w:t>
            </w:r>
          </w:p>
        </w:tc>
      </w:tr>
      <w:tr w:rsidR="003D3533" w:rsidRPr="00A52173" w14:paraId="2E367EAF" w14:textId="77777777" w:rsidTr="00E86509">
        <w:trPr>
          <w:trHeight w:val="25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66A0F6B"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tcPr>
          <w:p w14:paraId="5DDE7A33" w14:textId="77777777" w:rsidR="003D3533" w:rsidRPr="009C096B" w:rsidRDefault="003D3533" w:rsidP="00E86509">
            <w:pPr>
              <w:tabs>
                <w:tab w:val="left" w:pos="129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C096B">
              <w:rPr>
                <w:rFonts w:ascii="Times New Roman" w:hAnsi="Times New Roman"/>
                <w:b/>
                <w:color w:val="auto"/>
              </w:rPr>
              <w:t>1.</w:t>
            </w:r>
            <w:r w:rsidRPr="009C096B">
              <w:rPr>
                <w:rFonts w:ascii="Times New Roman" w:hAnsi="Times New Roman"/>
                <w:color w:val="auto"/>
              </w:rPr>
              <w:t xml:space="preserve">Niedobór lekarzy geriatrów i pielęgniarek; wzrastająca średnia wieku kadr medycznych (42% geriatrów w wieku </w:t>
            </w:r>
          </w:p>
          <w:p w14:paraId="3B02D9F5" w14:textId="77777777" w:rsidR="003D3533" w:rsidRPr="009C096B" w:rsidRDefault="003D3533" w:rsidP="00E86509">
            <w:pPr>
              <w:tabs>
                <w:tab w:val="left" w:pos="129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 xml:space="preserve">60 i więcej lat; średnia wieku pielęgniarek 54 lata); spadające zainteresowanie lekarzy specjalizacją  z geriatrii pomimo, </w:t>
            </w:r>
          </w:p>
          <w:p w14:paraId="77706743" w14:textId="77777777" w:rsidR="003D3533" w:rsidRPr="009C096B" w:rsidRDefault="003D3533" w:rsidP="00E86509">
            <w:pPr>
              <w:tabs>
                <w:tab w:val="left" w:pos="129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C096B">
              <w:rPr>
                <w:rFonts w:ascii="Times New Roman" w:hAnsi="Times New Roman"/>
                <w:color w:val="auto"/>
              </w:rPr>
              <w:t>że jest dziedziną priorytetową.</w:t>
            </w:r>
          </w:p>
        </w:tc>
      </w:tr>
      <w:tr w:rsidR="003D3533" w:rsidRPr="00A52173" w14:paraId="2F47C1F2" w14:textId="77777777" w:rsidTr="00E8650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BA6D776" w14:textId="77777777" w:rsidR="003D3533" w:rsidRPr="00A73D3B" w:rsidRDefault="003D3533" w:rsidP="00E86509">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4AA4CC8B" w14:textId="77777777" w:rsidR="003D3533" w:rsidRPr="009C096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C096B">
              <w:rPr>
                <w:rFonts w:ascii="Times New Roman" w:hAnsi="Times New Roman"/>
                <w:b/>
                <w:color w:val="auto"/>
              </w:rPr>
              <w:t>2.</w:t>
            </w:r>
            <w:r w:rsidRPr="009C096B">
              <w:rPr>
                <w:rFonts w:ascii="Times New Roman" w:hAnsi="Times New Roman"/>
                <w:color w:val="auto"/>
              </w:rPr>
              <w:t>Zwiększające się zapotrzebowanie na świadczenia pielęgnacyjno-opiekuńcze; wydłużające się kolejki oczekiwania na świadczenia opieki długoterminowej i ich niedobór</w:t>
            </w:r>
          </w:p>
        </w:tc>
      </w:tr>
      <w:tr w:rsidR="003D3533" w:rsidRPr="00A52173" w14:paraId="342648A5" w14:textId="77777777" w:rsidTr="00E86509">
        <w:trPr>
          <w:trHeight w:val="25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EE82565" w14:textId="77777777" w:rsidR="003D3533" w:rsidRPr="00A73D3B" w:rsidRDefault="003D3533" w:rsidP="00E86509">
            <w:pPr>
              <w:spacing w:after="0" w:line="240" w:lineRule="auto"/>
              <w:rPr>
                <w:rFonts w:ascii="Times New Roman" w:hAnsi="Times New Roman"/>
                <w:b w:val="0"/>
                <w:color w:val="auto"/>
                <w:lang w:eastAsia="pl-PL"/>
              </w:rPr>
            </w:pPr>
          </w:p>
        </w:tc>
        <w:tc>
          <w:tcPr>
            <w:tcW w:w="11911" w:type="dxa"/>
            <w:gridSpan w:val="8"/>
          </w:tcPr>
          <w:p w14:paraId="5AEF94A4" w14:textId="77777777" w:rsidR="003D3533" w:rsidRPr="009C096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C096B">
              <w:rPr>
                <w:rFonts w:ascii="Times New Roman" w:hAnsi="Times New Roman"/>
                <w:b/>
                <w:color w:val="auto"/>
              </w:rPr>
              <w:t>3</w:t>
            </w:r>
            <w:r w:rsidRPr="009C096B">
              <w:rPr>
                <w:rFonts w:ascii="Times New Roman" w:hAnsi="Times New Roman"/>
                <w:color w:val="auto"/>
              </w:rPr>
              <w:t>.Brak koordynacji świadczeń pielęgniarskich (szczególnie pielęgniarki środowiskowej) i usług opiekuńczych (pracowników ośrodków pomocy społecznej).</w:t>
            </w:r>
          </w:p>
        </w:tc>
      </w:tr>
      <w:tr w:rsidR="003D3533" w:rsidRPr="00A52173" w14:paraId="796692FD"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BBDBF74" w14:textId="77777777" w:rsidR="003D3533" w:rsidRPr="00A73D3B" w:rsidRDefault="003D3533" w:rsidP="00E86509">
            <w:pPr>
              <w:spacing w:after="0" w:line="240" w:lineRule="auto"/>
              <w:jc w:val="center"/>
              <w:rPr>
                <w:rFonts w:ascii="Times New Roman" w:hAnsi="Times New Roman"/>
                <w:color w:val="auto"/>
              </w:rPr>
            </w:pPr>
            <w:r w:rsidRPr="00A73D3B">
              <w:rPr>
                <w:rFonts w:ascii="Times New Roman" w:hAnsi="Times New Roman"/>
                <w:color w:val="auto"/>
                <w:lang w:eastAsia="pl-PL"/>
              </w:rPr>
              <w:t>AKTYWNOŚĆ EKONOMICZNA OSÓB STARSZYCH – DANE ZA 2019 R.</w:t>
            </w:r>
          </w:p>
        </w:tc>
      </w:tr>
      <w:tr w:rsidR="003D3533" w:rsidRPr="00A52173" w14:paraId="1E970DE1"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6799" w:type="dxa"/>
            <w:gridSpan w:val="4"/>
            <w:shd w:val="clear" w:color="auto" w:fill="9CC2E5" w:themeFill="accent1" w:themeFillTint="99"/>
          </w:tcPr>
          <w:p w14:paraId="6F21E98C" w14:textId="77777777" w:rsidR="003D3533" w:rsidRPr="00A73D3B" w:rsidRDefault="003D3533" w:rsidP="00E86509">
            <w:pPr>
              <w:spacing w:after="0" w:line="240" w:lineRule="auto"/>
              <w:jc w:val="center"/>
              <w:rPr>
                <w:rFonts w:ascii="Times New Roman" w:hAnsi="Times New Roman"/>
                <w:color w:val="auto"/>
              </w:rPr>
            </w:pPr>
            <w:r w:rsidRPr="00A73D3B">
              <w:rPr>
                <w:rFonts w:ascii="Times New Roman" w:hAnsi="Times New Roman"/>
                <w:color w:val="auto"/>
              </w:rPr>
              <w:t>Podział</w:t>
            </w:r>
          </w:p>
        </w:tc>
        <w:tc>
          <w:tcPr>
            <w:tcW w:w="7942" w:type="dxa"/>
            <w:gridSpan w:val="5"/>
            <w:shd w:val="clear" w:color="auto" w:fill="9CC2E5" w:themeFill="accent1" w:themeFillTint="99"/>
          </w:tcPr>
          <w:p w14:paraId="03098099"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Liczba</w:t>
            </w:r>
          </w:p>
        </w:tc>
      </w:tr>
      <w:tr w:rsidR="003D3533" w:rsidRPr="00A52173" w14:paraId="16FCF2EB"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3FC2F3C"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color w:val="auto"/>
                <w:lang w:eastAsia="pl-PL"/>
              </w:rPr>
              <w:lastRenderedPageBreak/>
              <w:t>Osoby aktywne zawodowo razem (w tys.)</w:t>
            </w:r>
          </w:p>
        </w:tc>
        <w:tc>
          <w:tcPr>
            <w:tcW w:w="3969" w:type="dxa"/>
            <w:gridSpan w:val="3"/>
            <w:shd w:val="clear" w:color="auto" w:fill="FFFFFF" w:themeFill="background1"/>
          </w:tcPr>
          <w:p w14:paraId="1CACC7A6" w14:textId="77777777" w:rsidR="003D3533" w:rsidRPr="00A154D9"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ogółem</w:t>
            </w:r>
          </w:p>
        </w:tc>
        <w:tc>
          <w:tcPr>
            <w:tcW w:w="7942" w:type="dxa"/>
            <w:gridSpan w:val="5"/>
            <w:shd w:val="clear" w:color="auto" w:fill="FFFFFF" w:themeFill="background1"/>
          </w:tcPr>
          <w:p w14:paraId="2B73DD49"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2 644</w:t>
            </w:r>
          </w:p>
        </w:tc>
      </w:tr>
      <w:tr w:rsidR="003D3533" w:rsidRPr="00A52173" w14:paraId="3B2EE5A6"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0FFDA19" w14:textId="77777777" w:rsidR="003D3533" w:rsidRPr="00A73D3B" w:rsidRDefault="003D3533" w:rsidP="00E86509">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725E9173" w14:textId="77777777" w:rsidR="003D3533" w:rsidRPr="00A154D9"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w tym w wieku 60+</w:t>
            </w:r>
          </w:p>
        </w:tc>
        <w:tc>
          <w:tcPr>
            <w:tcW w:w="7942" w:type="dxa"/>
            <w:gridSpan w:val="5"/>
            <w:shd w:val="clear" w:color="auto" w:fill="FFFFFF" w:themeFill="background1"/>
          </w:tcPr>
          <w:p w14:paraId="30FED49A"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86</w:t>
            </w:r>
          </w:p>
        </w:tc>
      </w:tr>
      <w:tr w:rsidR="003D3533" w:rsidRPr="00A52173" w14:paraId="18C7492C"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12CD2A5"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color w:val="auto"/>
                <w:lang w:eastAsia="pl-PL"/>
              </w:rPr>
              <w:t xml:space="preserve">Osoby aktywne zawodowo </w:t>
            </w:r>
            <w:r w:rsidRPr="00A73D3B">
              <w:rPr>
                <w:rFonts w:ascii="Times New Roman" w:hAnsi="Times New Roman"/>
                <w:color w:val="auto"/>
                <w:lang w:eastAsia="pl-PL"/>
              </w:rPr>
              <w:br/>
              <w:t>– pracujący (w tys.)</w:t>
            </w:r>
          </w:p>
        </w:tc>
        <w:tc>
          <w:tcPr>
            <w:tcW w:w="3969" w:type="dxa"/>
            <w:gridSpan w:val="3"/>
            <w:shd w:val="clear" w:color="auto" w:fill="FFFFFF" w:themeFill="background1"/>
          </w:tcPr>
          <w:p w14:paraId="7F99C666" w14:textId="77777777" w:rsidR="003D3533" w:rsidRPr="00A154D9"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Ogółem</w:t>
            </w:r>
          </w:p>
        </w:tc>
        <w:tc>
          <w:tcPr>
            <w:tcW w:w="7942" w:type="dxa"/>
            <w:gridSpan w:val="5"/>
            <w:shd w:val="clear" w:color="auto" w:fill="FFFFFF" w:themeFill="background1"/>
          </w:tcPr>
          <w:p w14:paraId="495D3BAD"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2 573</w:t>
            </w:r>
          </w:p>
        </w:tc>
      </w:tr>
      <w:tr w:rsidR="003D3533" w:rsidRPr="00A52173" w14:paraId="4AEBAF53"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04ED0FC" w14:textId="77777777" w:rsidR="003D3533" w:rsidRPr="00A73D3B" w:rsidRDefault="003D3533" w:rsidP="00E86509">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5AB42FA2" w14:textId="77777777" w:rsidR="003D3533" w:rsidRPr="00A154D9"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w tym w wieku 60+</w:t>
            </w:r>
          </w:p>
        </w:tc>
        <w:tc>
          <w:tcPr>
            <w:tcW w:w="7942" w:type="dxa"/>
            <w:gridSpan w:val="5"/>
            <w:shd w:val="clear" w:color="auto" w:fill="FFFFFF" w:themeFill="background1"/>
          </w:tcPr>
          <w:p w14:paraId="4D943CC2"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b.d.</w:t>
            </w:r>
          </w:p>
        </w:tc>
      </w:tr>
      <w:tr w:rsidR="003D3533" w:rsidRPr="00A52173" w14:paraId="51296B8C"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EB1DC9E"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color w:val="auto"/>
                <w:lang w:eastAsia="pl-PL"/>
              </w:rPr>
              <w:t>Osoby bierne zawodowo (w tys.)</w:t>
            </w:r>
          </w:p>
        </w:tc>
        <w:tc>
          <w:tcPr>
            <w:tcW w:w="3969" w:type="dxa"/>
            <w:gridSpan w:val="3"/>
            <w:shd w:val="clear" w:color="auto" w:fill="FFFFFF" w:themeFill="background1"/>
          </w:tcPr>
          <w:p w14:paraId="18696E98" w14:textId="77777777" w:rsidR="003D3533" w:rsidRPr="00A154D9"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ogółem</w:t>
            </w:r>
          </w:p>
        </w:tc>
        <w:tc>
          <w:tcPr>
            <w:tcW w:w="7942" w:type="dxa"/>
            <w:gridSpan w:val="5"/>
            <w:shd w:val="clear" w:color="auto" w:fill="FFFFFF" w:themeFill="background1"/>
          </w:tcPr>
          <w:p w14:paraId="1FC484DA"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1 705</w:t>
            </w:r>
          </w:p>
        </w:tc>
      </w:tr>
      <w:tr w:rsidR="003D3533" w:rsidRPr="00A52173" w14:paraId="676B4FA0"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D0FB738" w14:textId="77777777" w:rsidR="003D3533" w:rsidRPr="00A73D3B" w:rsidRDefault="003D3533" w:rsidP="00E86509">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1EF4C5A0" w14:textId="77777777" w:rsidR="003D3533" w:rsidRPr="00A154D9"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w tym w wieku 60+</w:t>
            </w:r>
          </w:p>
        </w:tc>
        <w:tc>
          <w:tcPr>
            <w:tcW w:w="7942" w:type="dxa"/>
            <w:gridSpan w:val="5"/>
            <w:shd w:val="clear" w:color="auto" w:fill="FFFFFF" w:themeFill="background1"/>
          </w:tcPr>
          <w:p w14:paraId="2F4E3C48"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b.d.</w:t>
            </w:r>
          </w:p>
        </w:tc>
      </w:tr>
      <w:tr w:rsidR="003D3533" w:rsidRPr="00A52173" w14:paraId="010EE77B"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ADA932E"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color w:val="auto"/>
                <w:lang w:eastAsia="pl-PL"/>
              </w:rPr>
              <w:t>Współczynnik aktywności zawodowej %</w:t>
            </w:r>
          </w:p>
        </w:tc>
        <w:tc>
          <w:tcPr>
            <w:tcW w:w="3969" w:type="dxa"/>
            <w:gridSpan w:val="3"/>
            <w:shd w:val="clear" w:color="auto" w:fill="FFFFFF" w:themeFill="background1"/>
          </w:tcPr>
          <w:p w14:paraId="4E4D0E52" w14:textId="77777777" w:rsidR="003D3533" w:rsidRPr="00A154D9"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Ogółem</w:t>
            </w:r>
          </w:p>
        </w:tc>
        <w:tc>
          <w:tcPr>
            <w:tcW w:w="7942" w:type="dxa"/>
            <w:gridSpan w:val="5"/>
            <w:shd w:val="clear" w:color="auto" w:fill="FFFFFF" w:themeFill="background1"/>
          </w:tcPr>
          <w:p w14:paraId="7D2B4BFB"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60,8 %</w:t>
            </w:r>
          </w:p>
        </w:tc>
      </w:tr>
      <w:tr w:rsidR="003D3533" w:rsidRPr="00A52173" w14:paraId="58041F85"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3D30093" w14:textId="77777777" w:rsidR="003D3533" w:rsidRPr="00A73D3B" w:rsidRDefault="003D3533" w:rsidP="00E86509">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40C9C54B" w14:textId="77777777" w:rsidR="003D3533" w:rsidRPr="00A154D9"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w tym w wieku 60+</w:t>
            </w:r>
          </w:p>
        </w:tc>
        <w:tc>
          <w:tcPr>
            <w:tcW w:w="7942" w:type="dxa"/>
            <w:gridSpan w:val="5"/>
            <w:shd w:val="clear" w:color="auto" w:fill="FFFFFF" w:themeFill="background1"/>
          </w:tcPr>
          <w:p w14:paraId="17A2B4F0"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8,9 %</w:t>
            </w:r>
          </w:p>
        </w:tc>
      </w:tr>
      <w:tr w:rsidR="003D3533" w:rsidRPr="00A52173" w14:paraId="0B27F784" w14:textId="77777777" w:rsidTr="00E8650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13A2455"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hAnsi="Times New Roman"/>
                <w:color w:val="auto"/>
                <w:lang w:eastAsia="pl-PL"/>
              </w:rPr>
              <w:t>Wskaźnik zatrudnienia %</w:t>
            </w:r>
          </w:p>
        </w:tc>
        <w:tc>
          <w:tcPr>
            <w:tcW w:w="3969" w:type="dxa"/>
            <w:gridSpan w:val="3"/>
            <w:shd w:val="clear" w:color="auto" w:fill="FFFFFF" w:themeFill="background1"/>
          </w:tcPr>
          <w:p w14:paraId="1E90A3C1" w14:textId="77777777" w:rsidR="003D3533" w:rsidRPr="00A154D9"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ogółem</w:t>
            </w:r>
          </w:p>
        </w:tc>
        <w:tc>
          <w:tcPr>
            <w:tcW w:w="7942" w:type="dxa"/>
            <w:gridSpan w:val="5"/>
            <w:shd w:val="clear" w:color="auto" w:fill="FFFFFF" w:themeFill="background1"/>
          </w:tcPr>
          <w:p w14:paraId="2DE6D28B"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59,2 %</w:t>
            </w:r>
          </w:p>
        </w:tc>
      </w:tr>
      <w:tr w:rsidR="003D3533" w:rsidRPr="00A52173" w14:paraId="4DB765D9"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74F2E57" w14:textId="77777777" w:rsidR="003D3533" w:rsidRPr="00A73D3B" w:rsidRDefault="003D3533" w:rsidP="00E86509">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53B17999" w14:textId="77777777" w:rsidR="003D3533" w:rsidRPr="00A154D9"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w tym w wieku 60+</w:t>
            </w:r>
          </w:p>
        </w:tc>
        <w:tc>
          <w:tcPr>
            <w:tcW w:w="7942" w:type="dxa"/>
            <w:gridSpan w:val="5"/>
            <w:shd w:val="clear" w:color="auto" w:fill="FFFFFF" w:themeFill="background1"/>
          </w:tcPr>
          <w:p w14:paraId="5A92D30C"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b.d.</w:t>
            </w:r>
          </w:p>
        </w:tc>
      </w:tr>
      <w:tr w:rsidR="003D3533" w:rsidRPr="00A52173" w14:paraId="5F9EA2CF" w14:textId="77777777" w:rsidTr="00E8650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FCB24A7" w14:textId="77777777" w:rsidR="003D3533" w:rsidRPr="00A73D3B" w:rsidRDefault="003D3533" w:rsidP="00E86509">
            <w:pPr>
              <w:spacing w:after="0" w:line="240" w:lineRule="auto"/>
              <w:rPr>
                <w:rFonts w:ascii="Times New Roman" w:hAnsi="Times New Roman"/>
                <w:b w:val="0"/>
                <w:color w:val="auto"/>
                <w:lang w:eastAsia="pl-PL"/>
              </w:rPr>
            </w:pPr>
            <w:r w:rsidRPr="00A73D3B">
              <w:rPr>
                <w:rFonts w:ascii="Times New Roman" w:eastAsia="Times New Roman" w:hAnsi="Times New Roman"/>
                <w:color w:val="auto"/>
                <w:lang w:eastAsia="pl-PL"/>
              </w:rPr>
              <w:t xml:space="preserve">Osoby bierne zawodowo  w wieku 60 lat i więcej według wybranych przyczyn bierności </w:t>
            </w:r>
            <w:r w:rsidRPr="00A73D3B">
              <w:rPr>
                <w:rFonts w:ascii="Times New Roman" w:eastAsia="Times New Roman" w:hAnsi="Times New Roman"/>
                <w:color w:val="auto"/>
                <w:lang w:eastAsia="pl-PL"/>
              </w:rPr>
              <w:br/>
              <w:t>(w tys.)</w:t>
            </w:r>
          </w:p>
        </w:tc>
        <w:tc>
          <w:tcPr>
            <w:tcW w:w="3969" w:type="dxa"/>
            <w:gridSpan w:val="3"/>
            <w:shd w:val="clear" w:color="auto" w:fill="FFFFFF" w:themeFill="background1"/>
          </w:tcPr>
          <w:p w14:paraId="7F49E6F1" w14:textId="77777777" w:rsidR="003D3533" w:rsidRPr="00A154D9"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ogółem</w:t>
            </w:r>
          </w:p>
        </w:tc>
        <w:tc>
          <w:tcPr>
            <w:tcW w:w="7942" w:type="dxa"/>
            <w:gridSpan w:val="5"/>
            <w:shd w:val="clear" w:color="auto" w:fill="FFFFFF" w:themeFill="background1"/>
          </w:tcPr>
          <w:p w14:paraId="512DA84E"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b.d.</w:t>
            </w:r>
          </w:p>
        </w:tc>
      </w:tr>
      <w:tr w:rsidR="003D3533" w:rsidRPr="00A52173" w14:paraId="09BDCB7F"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3D8BD4F"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0CE35EF0"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w tym:</w:t>
            </w:r>
          </w:p>
        </w:tc>
      </w:tr>
      <w:tr w:rsidR="003D3533" w:rsidRPr="00A52173" w14:paraId="04260308"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134845A"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66C659E5"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lang w:eastAsia="pl-PL"/>
              </w:rPr>
            </w:pPr>
            <w:r w:rsidRPr="00A73D3B">
              <w:rPr>
                <w:rFonts w:ascii="Times New Roman" w:eastAsia="Times New Roman" w:hAnsi="Times New Roman"/>
                <w:color w:val="auto"/>
                <w:lang w:eastAsia="pl-PL"/>
              </w:rPr>
              <w:t>osoby nieposzukujące pracy - razem</w:t>
            </w:r>
          </w:p>
        </w:tc>
        <w:tc>
          <w:tcPr>
            <w:tcW w:w="7942" w:type="dxa"/>
            <w:gridSpan w:val="5"/>
            <w:shd w:val="clear" w:color="auto" w:fill="FFFFFF" w:themeFill="background1"/>
          </w:tcPr>
          <w:p w14:paraId="627380EE"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b.d.</w:t>
            </w:r>
          </w:p>
        </w:tc>
      </w:tr>
      <w:tr w:rsidR="003D3533" w:rsidRPr="00A52173" w14:paraId="468A7F4A"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14EF1D8"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0CA0BE31"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eastAsia="Times New Roman" w:hAnsi="Times New Roman"/>
                <w:color w:val="auto"/>
                <w:lang w:eastAsia="pl-PL"/>
              </w:rPr>
              <w:t>osoby nieposzukujące pracy - emerytura</w:t>
            </w:r>
          </w:p>
        </w:tc>
        <w:tc>
          <w:tcPr>
            <w:tcW w:w="7942" w:type="dxa"/>
            <w:gridSpan w:val="5"/>
            <w:shd w:val="clear" w:color="auto" w:fill="FFFFFF" w:themeFill="background1"/>
          </w:tcPr>
          <w:p w14:paraId="0DAD25A9"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b.d.</w:t>
            </w:r>
          </w:p>
        </w:tc>
      </w:tr>
      <w:tr w:rsidR="003D3533" w:rsidRPr="00A52173" w14:paraId="512E2E49"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A420AE1"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62A84123"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eastAsia="Times New Roman" w:hAnsi="Times New Roman"/>
                <w:color w:val="auto"/>
                <w:lang w:eastAsia="pl-PL"/>
              </w:rPr>
              <w:t>osoby nieposzukujące pracy - choroba, niepełnosprawność</w:t>
            </w:r>
          </w:p>
        </w:tc>
        <w:tc>
          <w:tcPr>
            <w:tcW w:w="7942" w:type="dxa"/>
            <w:gridSpan w:val="5"/>
            <w:shd w:val="clear" w:color="auto" w:fill="FFFFFF" w:themeFill="background1"/>
          </w:tcPr>
          <w:p w14:paraId="6BD7CF07"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b.d.</w:t>
            </w:r>
          </w:p>
        </w:tc>
      </w:tr>
      <w:tr w:rsidR="003D3533" w:rsidRPr="00A52173" w14:paraId="40568DCD" w14:textId="77777777" w:rsidTr="00E86509">
        <w:trPr>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3B29257"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r w:rsidRPr="00A73D3B">
              <w:rPr>
                <w:rFonts w:ascii="Times New Roman" w:eastAsia="Times New Roman" w:hAnsi="Times New Roman"/>
                <w:color w:val="auto"/>
                <w:lang w:eastAsia="pl-PL"/>
              </w:rPr>
              <w:t>Osoby bezrobotne zarejestrowane w urzędach pracy (w tys.)</w:t>
            </w:r>
          </w:p>
        </w:tc>
        <w:tc>
          <w:tcPr>
            <w:tcW w:w="3969" w:type="dxa"/>
            <w:gridSpan w:val="3"/>
            <w:shd w:val="clear" w:color="auto" w:fill="FFFFFF" w:themeFill="background1"/>
          </w:tcPr>
          <w:p w14:paraId="24A4FC0F"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ogółem</w:t>
            </w:r>
          </w:p>
        </w:tc>
        <w:tc>
          <w:tcPr>
            <w:tcW w:w="7942" w:type="dxa"/>
            <w:gridSpan w:val="5"/>
            <w:shd w:val="clear" w:color="auto" w:fill="FFFFFF" w:themeFill="background1"/>
          </w:tcPr>
          <w:p w14:paraId="68668704"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123,2</w:t>
            </w:r>
          </w:p>
        </w:tc>
      </w:tr>
      <w:tr w:rsidR="003D3533" w:rsidRPr="00A52173" w14:paraId="46AFBC4F"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38ADA26"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0DFB422"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w tym w wieku 60+</w:t>
            </w:r>
          </w:p>
        </w:tc>
        <w:tc>
          <w:tcPr>
            <w:tcW w:w="7942" w:type="dxa"/>
            <w:gridSpan w:val="5"/>
            <w:shd w:val="clear" w:color="auto" w:fill="FFFFFF" w:themeFill="background1"/>
          </w:tcPr>
          <w:p w14:paraId="710E2509"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9,2</w:t>
            </w:r>
          </w:p>
        </w:tc>
      </w:tr>
      <w:tr w:rsidR="003D3533" w:rsidRPr="00A52173" w14:paraId="08BB556D" w14:textId="77777777" w:rsidTr="00E86509">
        <w:trPr>
          <w:trHeight w:val="191"/>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ED80E38"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r w:rsidRPr="00A73D3B">
              <w:rPr>
                <w:rFonts w:ascii="Times New Roman" w:eastAsia="Times New Roman" w:hAnsi="Times New Roman"/>
                <w:color w:val="auto"/>
                <w:lang w:eastAsia="pl-PL"/>
              </w:rPr>
              <w:t xml:space="preserve">Osoby pobierające renty </w:t>
            </w:r>
            <w:r w:rsidRPr="00A73D3B">
              <w:rPr>
                <w:rFonts w:ascii="Times New Roman" w:eastAsia="Times New Roman" w:hAnsi="Times New Roman"/>
                <w:color w:val="auto"/>
                <w:lang w:eastAsia="pl-PL"/>
              </w:rPr>
              <w:br/>
              <w:t xml:space="preserve">i emerytury </w:t>
            </w:r>
          </w:p>
        </w:tc>
        <w:tc>
          <w:tcPr>
            <w:tcW w:w="11911" w:type="dxa"/>
            <w:gridSpan w:val="8"/>
            <w:shd w:val="clear" w:color="auto" w:fill="9CC2E5" w:themeFill="accent1" w:themeFillTint="99"/>
          </w:tcPr>
          <w:p w14:paraId="21A66D49" w14:textId="77777777" w:rsidR="003D3533" w:rsidRPr="00A73D3B" w:rsidRDefault="003D3533" w:rsidP="00E86509">
            <w:pPr>
              <w:tabs>
                <w:tab w:val="left" w:pos="1725"/>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ZUS</w:t>
            </w:r>
          </w:p>
        </w:tc>
      </w:tr>
      <w:tr w:rsidR="003D3533" w:rsidRPr="00A52173" w14:paraId="0EEDF62D" w14:textId="77777777" w:rsidTr="00E8650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5C8EA27"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57CB8C72"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Rodzaj świadczenia</w:t>
            </w:r>
          </w:p>
        </w:tc>
        <w:tc>
          <w:tcPr>
            <w:tcW w:w="7942" w:type="dxa"/>
            <w:gridSpan w:val="5"/>
            <w:shd w:val="clear" w:color="auto" w:fill="9CC2E5" w:themeFill="accent1" w:themeFillTint="99"/>
          </w:tcPr>
          <w:p w14:paraId="36D7C6AF"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Przeciętna miesięczna liczba emerytów i rencistów (w tys.)</w:t>
            </w:r>
          </w:p>
        </w:tc>
      </w:tr>
      <w:tr w:rsidR="003D3533" w:rsidRPr="00A52173" w14:paraId="0336EAE4" w14:textId="77777777" w:rsidTr="00E86509">
        <w:trPr>
          <w:trHeight w:val="143"/>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A09E494"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4892DF80"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Emerytury</w:t>
            </w:r>
          </w:p>
        </w:tc>
        <w:tc>
          <w:tcPr>
            <w:tcW w:w="7942" w:type="dxa"/>
            <w:gridSpan w:val="5"/>
            <w:shd w:val="clear" w:color="auto" w:fill="FFFFFF" w:themeFill="background1"/>
          </w:tcPr>
          <w:p w14:paraId="45951441"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801</w:t>
            </w:r>
          </w:p>
        </w:tc>
      </w:tr>
      <w:tr w:rsidR="003D3533" w:rsidRPr="00A52173" w14:paraId="33C8EAB6" w14:textId="77777777" w:rsidTr="00E8650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CDDE82B"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820B46F"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Renty z tytułu niezdolności do pracy</w:t>
            </w:r>
          </w:p>
        </w:tc>
        <w:tc>
          <w:tcPr>
            <w:tcW w:w="7942" w:type="dxa"/>
            <w:gridSpan w:val="5"/>
            <w:shd w:val="clear" w:color="auto" w:fill="FFFFFF" w:themeFill="background1"/>
          </w:tcPr>
          <w:p w14:paraId="39B6C5A4"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77</w:t>
            </w:r>
          </w:p>
        </w:tc>
      </w:tr>
      <w:tr w:rsidR="003D3533" w:rsidRPr="00A52173" w14:paraId="016BCF03"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DE1228E"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00F784A5"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Renty rodzinne</w:t>
            </w:r>
          </w:p>
        </w:tc>
        <w:tc>
          <w:tcPr>
            <w:tcW w:w="7942" w:type="dxa"/>
            <w:gridSpan w:val="5"/>
            <w:shd w:val="clear" w:color="auto" w:fill="FFFFFF" w:themeFill="background1"/>
          </w:tcPr>
          <w:p w14:paraId="32A8665D"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139</w:t>
            </w:r>
          </w:p>
        </w:tc>
      </w:tr>
      <w:tr w:rsidR="003D3533" w:rsidRPr="00A52173" w14:paraId="7A8DF41F"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FF1612C"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0A29A43A" w14:textId="77777777" w:rsidR="003D3533" w:rsidRPr="00A73D3B" w:rsidRDefault="003D3533" w:rsidP="00E86509">
            <w:pPr>
              <w:tabs>
                <w:tab w:val="left" w:pos="1507"/>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KRUS</w:t>
            </w:r>
          </w:p>
        </w:tc>
      </w:tr>
      <w:tr w:rsidR="003D3533" w:rsidRPr="00A52173" w14:paraId="2BF1541E" w14:textId="77777777" w:rsidTr="00E86509">
        <w:trPr>
          <w:trHeight w:val="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2DB4C2A"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2205A753"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Rodzaj świadczenia</w:t>
            </w:r>
          </w:p>
        </w:tc>
        <w:tc>
          <w:tcPr>
            <w:tcW w:w="7942" w:type="dxa"/>
            <w:gridSpan w:val="5"/>
            <w:shd w:val="clear" w:color="auto" w:fill="9CC2E5" w:themeFill="accent1" w:themeFillTint="99"/>
          </w:tcPr>
          <w:p w14:paraId="4DF0DA3E"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Przeciętna miesięczna liczba emerytów i rencistów (w tys.)</w:t>
            </w:r>
          </w:p>
        </w:tc>
      </w:tr>
      <w:tr w:rsidR="003D3533" w:rsidRPr="00A52173" w14:paraId="0561FE8F"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434C356"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57369C2C" w14:textId="77777777" w:rsidR="003D3533" w:rsidRPr="00A154D9"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Emerytury</w:t>
            </w:r>
          </w:p>
        </w:tc>
        <w:tc>
          <w:tcPr>
            <w:tcW w:w="7942" w:type="dxa"/>
            <w:gridSpan w:val="5"/>
            <w:shd w:val="clear" w:color="auto" w:fill="FFFFFF" w:themeFill="background1"/>
          </w:tcPr>
          <w:p w14:paraId="65122D55"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146</w:t>
            </w:r>
          </w:p>
        </w:tc>
      </w:tr>
      <w:tr w:rsidR="003D3533" w:rsidRPr="00A52173" w14:paraId="20229EFB"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B6F5DE9"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A7282B2" w14:textId="77777777" w:rsidR="003D3533" w:rsidRPr="00A154D9"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Renty z tytułu niezdolności do pracy</w:t>
            </w:r>
          </w:p>
        </w:tc>
        <w:tc>
          <w:tcPr>
            <w:tcW w:w="7942" w:type="dxa"/>
            <w:gridSpan w:val="5"/>
            <w:shd w:val="clear" w:color="auto" w:fill="FFFFFF" w:themeFill="background1"/>
          </w:tcPr>
          <w:p w14:paraId="360CB258"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25</w:t>
            </w:r>
          </w:p>
        </w:tc>
      </w:tr>
      <w:tr w:rsidR="003D3533" w:rsidRPr="00A52173" w14:paraId="69BA62FB"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B39C1D2"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21CD8FCD" w14:textId="77777777" w:rsidR="003D3533" w:rsidRPr="00A154D9"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Renty rodzinne</w:t>
            </w:r>
          </w:p>
        </w:tc>
        <w:tc>
          <w:tcPr>
            <w:tcW w:w="7942" w:type="dxa"/>
            <w:gridSpan w:val="5"/>
            <w:shd w:val="clear" w:color="auto" w:fill="FFFFFF" w:themeFill="background1"/>
          </w:tcPr>
          <w:p w14:paraId="66125E59"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7</w:t>
            </w:r>
          </w:p>
        </w:tc>
      </w:tr>
      <w:tr w:rsidR="003D3533" w:rsidRPr="00A52173" w14:paraId="3A9D6CBA"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2E74318B" w14:textId="77777777" w:rsidR="003D3533" w:rsidRPr="00A73D3B" w:rsidRDefault="003D3533" w:rsidP="00E86509">
            <w:pPr>
              <w:spacing w:after="0" w:line="240" w:lineRule="auto"/>
              <w:jc w:val="center"/>
              <w:rPr>
                <w:rFonts w:ascii="Times New Roman" w:hAnsi="Times New Roman"/>
                <w:color w:val="auto"/>
              </w:rPr>
            </w:pPr>
            <w:r w:rsidRPr="00A73D3B">
              <w:rPr>
                <w:rFonts w:ascii="Times New Roman" w:hAnsi="Times New Roman"/>
                <w:color w:val="auto"/>
              </w:rPr>
              <w:t>SYTUACJA DOCHODOWA, WARUNKI BYTU, W TYM WARUNKI MIESZKANIOWE – DANE ZA 2019 R,</w:t>
            </w:r>
          </w:p>
        </w:tc>
      </w:tr>
      <w:tr w:rsidR="003D3533" w:rsidRPr="00A52173" w14:paraId="305CBCBE"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FFFFFF" w:themeFill="background1"/>
          </w:tcPr>
          <w:p w14:paraId="4460DD22" w14:textId="77777777" w:rsidR="003D3533" w:rsidRPr="00A73D3B" w:rsidRDefault="003D3533" w:rsidP="00E86509">
            <w:pPr>
              <w:spacing w:after="0" w:line="240" w:lineRule="auto"/>
              <w:rPr>
                <w:rFonts w:ascii="Times New Roman" w:hAnsi="Times New Roman"/>
                <w:b w:val="0"/>
                <w:color w:val="auto"/>
              </w:rPr>
            </w:pPr>
            <w:r w:rsidRPr="00A73D3B">
              <w:rPr>
                <w:rFonts w:ascii="Times New Roman" w:hAnsi="Times New Roman"/>
                <w:b w:val="0"/>
                <w:color w:val="auto"/>
              </w:rPr>
              <w:lastRenderedPageBreak/>
              <w:t>Sytuacja dochodowa osób starszych jest zróżnicowana. W 2019 r. wyłącznie z zasiłków utrzymywało się ponad 6,5 tys. osób w wieku 60+. Seniorzy w przeważającym stopniu mieszkają samodzielnie. Warunki lokalowe osób starszych w większości przypadków są dobre. Mieszkania wyposażone w c.o.,  łazienkę, wc, bieżącą wodę, kanalizację. W lokalach znajduje się podstawowy sprzęt gospodarstwa domowego.</w:t>
            </w:r>
          </w:p>
          <w:p w14:paraId="531038B8" w14:textId="77777777" w:rsidR="003D3533" w:rsidRPr="00A73D3B" w:rsidRDefault="003D3533" w:rsidP="00E86509">
            <w:pPr>
              <w:spacing w:after="0" w:line="240" w:lineRule="auto"/>
              <w:rPr>
                <w:rFonts w:ascii="Times New Roman" w:hAnsi="Times New Roman"/>
                <w:b w:val="0"/>
                <w:color w:val="auto"/>
              </w:rPr>
            </w:pPr>
          </w:p>
        </w:tc>
      </w:tr>
      <w:tr w:rsidR="003D3533" w:rsidRPr="00A52173" w14:paraId="3449959A"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70C18CF4" w14:textId="77777777" w:rsidR="003D3533" w:rsidRPr="00A73D3B" w:rsidRDefault="003D3533" w:rsidP="00E86509">
            <w:pPr>
              <w:spacing w:after="0" w:line="240" w:lineRule="auto"/>
              <w:jc w:val="center"/>
              <w:rPr>
                <w:rFonts w:ascii="Times New Roman" w:hAnsi="Times New Roman"/>
                <w:color w:val="auto"/>
              </w:rPr>
            </w:pPr>
          </w:p>
          <w:p w14:paraId="4C4954DE" w14:textId="77777777" w:rsidR="003D3533" w:rsidRPr="00A73D3B" w:rsidRDefault="003D3533" w:rsidP="00E86509">
            <w:pPr>
              <w:spacing w:after="0" w:line="240" w:lineRule="auto"/>
              <w:jc w:val="center"/>
              <w:rPr>
                <w:rFonts w:ascii="Times New Roman" w:hAnsi="Times New Roman"/>
                <w:color w:val="auto"/>
              </w:rPr>
            </w:pPr>
            <w:r w:rsidRPr="00A73D3B">
              <w:rPr>
                <w:rFonts w:ascii="Times New Roman" w:hAnsi="Times New Roman"/>
                <w:color w:val="auto"/>
              </w:rPr>
              <w:t>USŁUGI SPOŁECZNE DLA OSÓB STARSZYCH / INFRASTRUKTURA POMOCY SPOLECZNEJ – DANE ZA 2019 R.</w:t>
            </w:r>
          </w:p>
        </w:tc>
      </w:tr>
      <w:tr w:rsidR="003D3533" w:rsidRPr="00A52173" w14:paraId="700C3BC1"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5FCFD54"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r w:rsidRPr="00A73D3B">
              <w:rPr>
                <w:rFonts w:ascii="Times New Roman" w:eastAsia="Times New Roman" w:hAnsi="Times New Roman"/>
                <w:color w:val="auto"/>
                <w:lang w:eastAsia="pl-PL"/>
              </w:rPr>
              <w:t>Instytucje pomocy społecznej, w tym:</w:t>
            </w:r>
          </w:p>
        </w:tc>
        <w:tc>
          <w:tcPr>
            <w:tcW w:w="3066" w:type="dxa"/>
            <w:shd w:val="clear" w:color="auto" w:fill="9CC2E5" w:themeFill="accent1" w:themeFillTint="99"/>
          </w:tcPr>
          <w:p w14:paraId="558F44D3"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A73D3B">
              <w:rPr>
                <w:rFonts w:ascii="Times New Roman" w:hAnsi="Times New Roman"/>
                <w:b/>
                <w:color w:val="auto"/>
              </w:rPr>
              <w:t>Rodzaj placówki</w:t>
            </w:r>
          </w:p>
        </w:tc>
        <w:tc>
          <w:tcPr>
            <w:tcW w:w="2948" w:type="dxa"/>
            <w:gridSpan w:val="3"/>
            <w:shd w:val="clear" w:color="auto" w:fill="9CC2E5" w:themeFill="accent1" w:themeFillTint="99"/>
          </w:tcPr>
          <w:p w14:paraId="74502D2A"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A73D3B">
              <w:rPr>
                <w:rFonts w:ascii="Times New Roman" w:hAnsi="Times New Roman"/>
                <w:b/>
                <w:color w:val="auto"/>
              </w:rPr>
              <w:t>Liczba placówek</w:t>
            </w:r>
          </w:p>
        </w:tc>
        <w:tc>
          <w:tcPr>
            <w:tcW w:w="2948" w:type="dxa"/>
            <w:gridSpan w:val="3"/>
            <w:shd w:val="clear" w:color="auto" w:fill="9CC2E5" w:themeFill="accent1" w:themeFillTint="99"/>
          </w:tcPr>
          <w:p w14:paraId="42E18E48"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A73D3B">
              <w:rPr>
                <w:rFonts w:ascii="Times New Roman" w:hAnsi="Times New Roman"/>
                <w:b/>
                <w:color w:val="auto"/>
              </w:rPr>
              <w:t>Liczba miejsc dla osób starszych</w:t>
            </w:r>
          </w:p>
        </w:tc>
        <w:tc>
          <w:tcPr>
            <w:tcW w:w="2949" w:type="dxa"/>
            <w:shd w:val="clear" w:color="auto" w:fill="9CC2E5" w:themeFill="accent1" w:themeFillTint="99"/>
          </w:tcPr>
          <w:p w14:paraId="621C3AE5"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Liczba korzystających osób starszych</w:t>
            </w:r>
          </w:p>
        </w:tc>
      </w:tr>
      <w:tr w:rsidR="003D3533" w:rsidRPr="00A52173" w14:paraId="7E0392C4"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05D4FC7"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tcPr>
          <w:p w14:paraId="36CA5817"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Ośrodki wsparcia ogółem</w:t>
            </w:r>
          </w:p>
        </w:tc>
        <w:tc>
          <w:tcPr>
            <w:tcW w:w="2948" w:type="dxa"/>
            <w:gridSpan w:val="3"/>
          </w:tcPr>
          <w:p w14:paraId="0BA2392F"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709</w:t>
            </w:r>
          </w:p>
        </w:tc>
        <w:tc>
          <w:tcPr>
            <w:tcW w:w="2948" w:type="dxa"/>
            <w:gridSpan w:val="3"/>
          </w:tcPr>
          <w:p w14:paraId="697876D8"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25 672</w:t>
            </w:r>
          </w:p>
        </w:tc>
        <w:tc>
          <w:tcPr>
            <w:tcW w:w="2949" w:type="dxa"/>
          </w:tcPr>
          <w:p w14:paraId="4D743434"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19 683</w:t>
            </w:r>
          </w:p>
        </w:tc>
      </w:tr>
      <w:tr w:rsidR="003D3533" w:rsidRPr="00A52173" w14:paraId="3F23FA6C"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A226E46"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11911" w:type="dxa"/>
            <w:gridSpan w:val="8"/>
            <w:shd w:val="clear" w:color="auto" w:fill="9CC2E5" w:themeFill="accent1" w:themeFillTint="99"/>
          </w:tcPr>
          <w:p w14:paraId="45ED640C"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highlight w:val="yellow"/>
              </w:rPr>
            </w:pPr>
            <w:r w:rsidRPr="00A73D3B">
              <w:rPr>
                <w:rFonts w:ascii="Times New Roman" w:hAnsi="Times New Roman"/>
                <w:color w:val="auto"/>
              </w:rPr>
              <w:t>w tym:</w:t>
            </w:r>
          </w:p>
        </w:tc>
      </w:tr>
      <w:tr w:rsidR="003D3533" w:rsidRPr="00A52173" w14:paraId="11A39195"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24AE7CF"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EABE396"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Środowiskowe Domy Samopomocy</w:t>
            </w:r>
          </w:p>
        </w:tc>
        <w:tc>
          <w:tcPr>
            <w:tcW w:w="2948" w:type="dxa"/>
            <w:gridSpan w:val="3"/>
            <w:shd w:val="clear" w:color="auto" w:fill="FFFFFF" w:themeFill="background1"/>
          </w:tcPr>
          <w:p w14:paraId="5346E734"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74</w:t>
            </w:r>
          </w:p>
        </w:tc>
        <w:tc>
          <w:tcPr>
            <w:tcW w:w="2948" w:type="dxa"/>
            <w:gridSpan w:val="3"/>
            <w:shd w:val="clear" w:color="auto" w:fill="FFFFFF" w:themeFill="background1"/>
          </w:tcPr>
          <w:p w14:paraId="62209D84"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2 657</w:t>
            </w:r>
          </w:p>
        </w:tc>
        <w:tc>
          <w:tcPr>
            <w:tcW w:w="2949" w:type="dxa"/>
            <w:shd w:val="clear" w:color="auto" w:fill="FFFFFF" w:themeFill="background1"/>
          </w:tcPr>
          <w:p w14:paraId="1847B2D0"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2 617 (ogółem)</w:t>
            </w:r>
          </w:p>
        </w:tc>
      </w:tr>
      <w:tr w:rsidR="003D3533" w:rsidRPr="00A52173" w14:paraId="1A1FEF9D"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B14C790"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7738AF42"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Dzienne Domy Pomocy</w:t>
            </w:r>
          </w:p>
        </w:tc>
        <w:tc>
          <w:tcPr>
            <w:tcW w:w="2948" w:type="dxa"/>
            <w:gridSpan w:val="3"/>
            <w:shd w:val="clear" w:color="auto" w:fill="FFFFFF" w:themeFill="background1"/>
          </w:tcPr>
          <w:p w14:paraId="54A86FE9"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19</w:t>
            </w:r>
          </w:p>
        </w:tc>
        <w:tc>
          <w:tcPr>
            <w:tcW w:w="2948" w:type="dxa"/>
            <w:gridSpan w:val="3"/>
            <w:shd w:val="clear" w:color="auto" w:fill="FFFFFF" w:themeFill="background1"/>
          </w:tcPr>
          <w:p w14:paraId="5CDA1E13"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1 306</w:t>
            </w:r>
          </w:p>
        </w:tc>
        <w:tc>
          <w:tcPr>
            <w:tcW w:w="2949" w:type="dxa"/>
            <w:shd w:val="clear" w:color="auto" w:fill="FFFFFF" w:themeFill="background1"/>
          </w:tcPr>
          <w:p w14:paraId="36C0B657"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1 435 (ogółem)</w:t>
            </w:r>
          </w:p>
        </w:tc>
      </w:tr>
      <w:tr w:rsidR="003D3533" w:rsidRPr="00A52173" w14:paraId="650F279E"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63822DD"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429E6767"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Noclegownie, schroniska i domy dla osób bezdomnych</w:t>
            </w:r>
          </w:p>
        </w:tc>
        <w:tc>
          <w:tcPr>
            <w:tcW w:w="2948" w:type="dxa"/>
            <w:gridSpan w:val="3"/>
            <w:shd w:val="clear" w:color="auto" w:fill="FFFFFF" w:themeFill="background1"/>
          </w:tcPr>
          <w:p w14:paraId="51F1C291"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46</w:t>
            </w:r>
          </w:p>
        </w:tc>
        <w:tc>
          <w:tcPr>
            <w:tcW w:w="2948" w:type="dxa"/>
            <w:gridSpan w:val="3"/>
            <w:shd w:val="clear" w:color="auto" w:fill="FFFFFF" w:themeFill="background1"/>
          </w:tcPr>
          <w:p w14:paraId="42C220F3"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1 799</w:t>
            </w:r>
          </w:p>
        </w:tc>
        <w:tc>
          <w:tcPr>
            <w:tcW w:w="2949" w:type="dxa"/>
            <w:shd w:val="clear" w:color="auto" w:fill="FFFFFF" w:themeFill="background1"/>
          </w:tcPr>
          <w:p w14:paraId="2C76CFD0"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2 729 (ogółem)</w:t>
            </w:r>
          </w:p>
        </w:tc>
      </w:tr>
      <w:tr w:rsidR="003D3533" w:rsidRPr="00A52173" w14:paraId="5B604814"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16FB610"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05A8393E"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Ogrzewalnie</w:t>
            </w:r>
          </w:p>
        </w:tc>
        <w:tc>
          <w:tcPr>
            <w:tcW w:w="2948" w:type="dxa"/>
            <w:gridSpan w:val="3"/>
            <w:shd w:val="clear" w:color="auto" w:fill="FFFFFF" w:themeFill="background1"/>
          </w:tcPr>
          <w:p w14:paraId="21A8A032"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w:t>
            </w:r>
          </w:p>
        </w:tc>
        <w:tc>
          <w:tcPr>
            <w:tcW w:w="2948" w:type="dxa"/>
            <w:gridSpan w:val="3"/>
            <w:shd w:val="clear" w:color="auto" w:fill="FFFFFF" w:themeFill="background1"/>
          </w:tcPr>
          <w:p w14:paraId="5D165922"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20</w:t>
            </w:r>
          </w:p>
        </w:tc>
        <w:tc>
          <w:tcPr>
            <w:tcW w:w="2949" w:type="dxa"/>
            <w:shd w:val="clear" w:color="auto" w:fill="FFFFFF" w:themeFill="background1"/>
          </w:tcPr>
          <w:p w14:paraId="3D664551"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69 (ogółem)</w:t>
            </w:r>
          </w:p>
          <w:p w14:paraId="177E17B5"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r>
      <w:tr w:rsidR="003D3533" w:rsidRPr="00A52173" w14:paraId="2565714C"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7BA127E"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8641C7A"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Kluby Samopomocy</w:t>
            </w:r>
          </w:p>
        </w:tc>
        <w:tc>
          <w:tcPr>
            <w:tcW w:w="2948" w:type="dxa"/>
            <w:gridSpan w:val="3"/>
            <w:shd w:val="clear" w:color="auto" w:fill="FFFFFF" w:themeFill="background1"/>
          </w:tcPr>
          <w:p w14:paraId="13A550B6"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32</w:t>
            </w:r>
          </w:p>
        </w:tc>
        <w:tc>
          <w:tcPr>
            <w:tcW w:w="2948" w:type="dxa"/>
            <w:gridSpan w:val="3"/>
            <w:shd w:val="clear" w:color="auto" w:fill="FFFFFF" w:themeFill="background1"/>
          </w:tcPr>
          <w:p w14:paraId="4816082B"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1 016</w:t>
            </w:r>
          </w:p>
        </w:tc>
        <w:tc>
          <w:tcPr>
            <w:tcW w:w="2949" w:type="dxa"/>
            <w:shd w:val="clear" w:color="auto" w:fill="FFFFFF" w:themeFill="background1"/>
          </w:tcPr>
          <w:p w14:paraId="1044405A"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1 506</w:t>
            </w:r>
          </w:p>
        </w:tc>
      </w:tr>
      <w:tr w:rsidR="003D3533" w:rsidRPr="00A52173" w14:paraId="4AF1FEDC"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FB837B7"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193E4FC9"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highlight w:val="yellow"/>
              </w:rPr>
            </w:pPr>
            <w:r w:rsidRPr="00A73D3B">
              <w:rPr>
                <w:rFonts w:ascii="Times New Roman" w:hAnsi="Times New Roman"/>
                <w:color w:val="auto"/>
              </w:rPr>
              <w:t>Placówki zapewniające całodobową opiekę osobom niepełnosprawnym, przewlekle chorym lub osobom w podeszłym wieku</w:t>
            </w:r>
          </w:p>
        </w:tc>
        <w:tc>
          <w:tcPr>
            <w:tcW w:w="2948" w:type="dxa"/>
            <w:gridSpan w:val="3"/>
            <w:shd w:val="clear" w:color="auto" w:fill="FFFFFF" w:themeFill="background1"/>
          </w:tcPr>
          <w:p w14:paraId="06877F81"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124</w:t>
            </w:r>
          </w:p>
        </w:tc>
        <w:tc>
          <w:tcPr>
            <w:tcW w:w="2948" w:type="dxa"/>
            <w:gridSpan w:val="3"/>
            <w:shd w:val="clear" w:color="auto" w:fill="FFFFFF" w:themeFill="background1"/>
          </w:tcPr>
          <w:p w14:paraId="17333528"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5 358</w:t>
            </w:r>
          </w:p>
        </w:tc>
        <w:tc>
          <w:tcPr>
            <w:tcW w:w="2949" w:type="dxa"/>
            <w:shd w:val="clear" w:color="auto" w:fill="FFFFFF" w:themeFill="background1"/>
          </w:tcPr>
          <w:p w14:paraId="228B0956"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4 367</w:t>
            </w:r>
          </w:p>
        </w:tc>
      </w:tr>
      <w:tr w:rsidR="003D3533" w:rsidRPr="00A52173" w14:paraId="439305A8"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0CB16DD"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4A38E710"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Domy Pomocy Społecznej</w:t>
            </w:r>
          </w:p>
        </w:tc>
        <w:tc>
          <w:tcPr>
            <w:tcW w:w="2948" w:type="dxa"/>
            <w:gridSpan w:val="3"/>
            <w:shd w:val="clear" w:color="auto" w:fill="FFFFFF" w:themeFill="background1"/>
          </w:tcPr>
          <w:p w14:paraId="0405354C"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106</w:t>
            </w:r>
          </w:p>
        </w:tc>
        <w:tc>
          <w:tcPr>
            <w:tcW w:w="2948" w:type="dxa"/>
            <w:gridSpan w:val="3"/>
            <w:shd w:val="clear" w:color="auto" w:fill="FFFFFF" w:themeFill="background1"/>
          </w:tcPr>
          <w:p w14:paraId="56DA47F9"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10 114</w:t>
            </w:r>
          </w:p>
        </w:tc>
        <w:tc>
          <w:tcPr>
            <w:tcW w:w="2949" w:type="dxa"/>
            <w:shd w:val="clear" w:color="auto" w:fill="FFFFFF" w:themeFill="background1"/>
          </w:tcPr>
          <w:p w14:paraId="0F081179"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10 190</w:t>
            </w:r>
          </w:p>
        </w:tc>
      </w:tr>
      <w:tr w:rsidR="003D3533" w:rsidRPr="00A52173" w14:paraId="099625C5"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A4CC86F"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EB23252"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Mieszkania chronione ogółem</w:t>
            </w:r>
          </w:p>
        </w:tc>
        <w:tc>
          <w:tcPr>
            <w:tcW w:w="2948" w:type="dxa"/>
            <w:gridSpan w:val="3"/>
            <w:shd w:val="clear" w:color="auto" w:fill="FFFFFF" w:themeFill="background1"/>
          </w:tcPr>
          <w:p w14:paraId="4541787D"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52</w:t>
            </w:r>
          </w:p>
        </w:tc>
        <w:tc>
          <w:tcPr>
            <w:tcW w:w="2948" w:type="dxa"/>
            <w:gridSpan w:val="3"/>
            <w:shd w:val="clear" w:color="auto" w:fill="FFFFFF" w:themeFill="background1"/>
          </w:tcPr>
          <w:p w14:paraId="7BB82142"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198</w:t>
            </w:r>
          </w:p>
        </w:tc>
        <w:tc>
          <w:tcPr>
            <w:tcW w:w="2949" w:type="dxa"/>
            <w:shd w:val="clear" w:color="auto" w:fill="FFFFFF" w:themeFill="background1"/>
          </w:tcPr>
          <w:p w14:paraId="61E0D69D"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126 (ogółem)</w:t>
            </w:r>
          </w:p>
        </w:tc>
      </w:tr>
      <w:tr w:rsidR="003D3533" w:rsidRPr="00A52173" w14:paraId="5A69FA33"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033BD26"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3BEC38B1"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Ośrodki Interwencji Kryzysowej ogółem</w:t>
            </w:r>
          </w:p>
        </w:tc>
        <w:tc>
          <w:tcPr>
            <w:tcW w:w="2948" w:type="dxa"/>
            <w:gridSpan w:val="3"/>
            <w:shd w:val="clear" w:color="auto" w:fill="FFFFFF" w:themeFill="background1"/>
          </w:tcPr>
          <w:p w14:paraId="7047A8A1"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13</w:t>
            </w:r>
          </w:p>
        </w:tc>
        <w:tc>
          <w:tcPr>
            <w:tcW w:w="2948" w:type="dxa"/>
            <w:gridSpan w:val="3"/>
            <w:shd w:val="clear" w:color="auto" w:fill="FFFFFF" w:themeFill="background1"/>
          </w:tcPr>
          <w:p w14:paraId="081D0986"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173</w:t>
            </w:r>
          </w:p>
        </w:tc>
        <w:tc>
          <w:tcPr>
            <w:tcW w:w="2949" w:type="dxa"/>
            <w:shd w:val="clear" w:color="auto" w:fill="FFFFFF" w:themeFill="background1"/>
          </w:tcPr>
          <w:p w14:paraId="5D0315D8"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highlight w:val="yellow"/>
              </w:rPr>
            </w:pPr>
            <w:r w:rsidRPr="00A154D9">
              <w:rPr>
                <w:rFonts w:ascii="Times New Roman" w:hAnsi="Times New Roman"/>
                <w:color w:val="auto"/>
              </w:rPr>
              <w:t>10 660 (ogółem)</w:t>
            </w:r>
          </w:p>
        </w:tc>
      </w:tr>
      <w:tr w:rsidR="003D3533" w:rsidRPr="00A52173" w14:paraId="6B59F4C4"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EB06499"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401014E7"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Jednostki specjalistycznego poradnictwa</w:t>
            </w:r>
          </w:p>
        </w:tc>
        <w:tc>
          <w:tcPr>
            <w:tcW w:w="2948" w:type="dxa"/>
            <w:gridSpan w:val="3"/>
            <w:shd w:val="clear" w:color="auto" w:fill="FFFFFF" w:themeFill="background1"/>
          </w:tcPr>
          <w:p w14:paraId="43FEBB28"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88</w:t>
            </w:r>
          </w:p>
        </w:tc>
        <w:tc>
          <w:tcPr>
            <w:tcW w:w="2948" w:type="dxa"/>
            <w:gridSpan w:val="3"/>
            <w:shd w:val="clear" w:color="auto" w:fill="FFFFFF" w:themeFill="background1"/>
          </w:tcPr>
          <w:p w14:paraId="1E5ED42F"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x</w:t>
            </w:r>
          </w:p>
        </w:tc>
        <w:tc>
          <w:tcPr>
            <w:tcW w:w="2949" w:type="dxa"/>
            <w:shd w:val="clear" w:color="auto" w:fill="FFFFFF" w:themeFill="background1"/>
          </w:tcPr>
          <w:p w14:paraId="36FEE312"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44 843 (ogółem)</w:t>
            </w:r>
          </w:p>
        </w:tc>
      </w:tr>
      <w:tr w:rsidR="003D3533" w:rsidRPr="00A52173" w14:paraId="30C0474D"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E4015D6"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0B928C49"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Placówki Senior+, w tym:</w:t>
            </w:r>
          </w:p>
        </w:tc>
        <w:tc>
          <w:tcPr>
            <w:tcW w:w="8845" w:type="dxa"/>
            <w:gridSpan w:val="7"/>
            <w:shd w:val="clear" w:color="auto" w:fill="FFFFFF" w:themeFill="background1"/>
          </w:tcPr>
          <w:p w14:paraId="101C8252"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tc>
      </w:tr>
      <w:tr w:rsidR="003D3533" w:rsidRPr="00A52173" w14:paraId="652F2ECF"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B7C21B3"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4425A9DE"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Domy Dziennego Pobytu</w:t>
            </w:r>
          </w:p>
        </w:tc>
        <w:tc>
          <w:tcPr>
            <w:tcW w:w="2948" w:type="dxa"/>
            <w:gridSpan w:val="3"/>
            <w:shd w:val="clear" w:color="auto" w:fill="FFFFFF" w:themeFill="background1"/>
          </w:tcPr>
          <w:p w14:paraId="73F27B51"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35</w:t>
            </w:r>
          </w:p>
        </w:tc>
        <w:tc>
          <w:tcPr>
            <w:tcW w:w="2948" w:type="dxa"/>
            <w:gridSpan w:val="3"/>
            <w:shd w:val="clear" w:color="auto" w:fill="FFFFFF" w:themeFill="background1"/>
          </w:tcPr>
          <w:p w14:paraId="3871D22E"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899</w:t>
            </w:r>
          </w:p>
        </w:tc>
        <w:tc>
          <w:tcPr>
            <w:tcW w:w="2949" w:type="dxa"/>
            <w:shd w:val="clear" w:color="auto" w:fill="FFFFFF" w:themeFill="background1"/>
          </w:tcPr>
          <w:p w14:paraId="0198FD04"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708</w:t>
            </w:r>
          </w:p>
        </w:tc>
      </w:tr>
      <w:tr w:rsidR="003D3533" w:rsidRPr="00A52173" w14:paraId="5F541545" w14:textId="77777777" w:rsidTr="00E86509">
        <w:trPr>
          <w:trHeight w:val="85"/>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E23A96B"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19275A98" w14:textId="77777777" w:rsidR="003D3533" w:rsidRPr="00A73D3B" w:rsidRDefault="003D353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Kluby Senior+</w:t>
            </w:r>
          </w:p>
        </w:tc>
        <w:tc>
          <w:tcPr>
            <w:tcW w:w="2948" w:type="dxa"/>
            <w:gridSpan w:val="3"/>
            <w:shd w:val="clear" w:color="auto" w:fill="FFFFFF" w:themeFill="background1"/>
          </w:tcPr>
          <w:p w14:paraId="15CB4234"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77</w:t>
            </w:r>
          </w:p>
        </w:tc>
        <w:tc>
          <w:tcPr>
            <w:tcW w:w="2948" w:type="dxa"/>
            <w:gridSpan w:val="3"/>
            <w:shd w:val="clear" w:color="auto" w:fill="FFFFFF" w:themeFill="background1"/>
          </w:tcPr>
          <w:p w14:paraId="31B77538"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1 921</w:t>
            </w:r>
          </w:p>
        </w:tc>
        <w:tc>
          <w:tcPr>
            <w:tcW w:w="2949" w:type="dxa"/>
            <w:shd w:val="clear" w:color="auto" w:fill="FFFFFF" w:themeFill="background1"/>
          </w:tcPr>
          <w:p w14:paraId="6618C540" w14:textId="77777777" w:rsidR="003D3533" w:rsidRPr="00A154D9"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1 914</w:t>
            </w:r>
          </w:p>
        </w:tc>
      </w:tr>
      <w:tr w:rsidR="003D3533" w:rsidRPr="00A52173" w14:paraId="3B6FF3E7" w14:textId="77777777" w:rsidTr="00E8650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7C0DCEC" w14:textId="77777777" w:rsidR="003D3533" w:rsidRPr="00A73D3B" w:rsidRDefault="003D3533"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7CE80FF0" w14:textId="77777777" w:rsidR="003D3533" w:rsidRPr="00A73D3B" w:rsidRDefault="003D353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Hospicja stacjonarne</w:t>
            </w:r>
          </w:p>
        </w:tc>
        <w:tc>
          <w:tcPr>
            <w:tcW w:w="2948" w:type="dxa"/>
            <w:gridSpan w:val="3"/>
            <w:shd w:val="clear" w:color="auto" w:fill="FFFFFF" w:themeFill="background1"/>
          </w:tcPr>
          <w:p w14:paraId="6DB871F5"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7</w:t>
            </w:r>
          </w:p>
        </w:tc>
        <w:tc>
          <w:tcPr>
            <w:tcW w:w="2948" w:type="dxa"/>
            <w:gridSpan w:val="3"/>
            <w:shd w:val="clear" w:color="auto" w:fill="FFFFFF" w:themeFill="background1"/>
          </w:tcPr>
          <w:p w14:paraId="57F8A2F0"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61</w:t>
            </w:r>
          </w:p>
        </w:tc>
        <w:tc>
          <w:tcPr>
            <w:tcW w:w="2949" w:type="dxa"/>
            <w:shd w:val="clear" w:color="auto" w:fill="FFFFFF" w:themeFill="background1"/>
          </w:tcPr>
          <w:p w14:paraId="788FB06B" w14:textId="77777777" w:rsidR="003D3533" w:rsidRPr="00A154D9"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color w:val="auto"/>
              </w:rPr>
              <w:t>612</w:t>
            </w:r>
          </w:p>
        </w:tc>
      </w:tr>
      <w:tr w:rsidR="003D3533" w:rsidRPr="00A52173" w14:paraId="468B25CA" w14:textId="77777777" w:rsidTr="00E86509">
        <w:trPr>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0ECC8A6"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r w:rsidRPr="00A73D3B">
              <w:rPr>
                <w:rFonts w:ascii="Times New Roman" w:eastAsia="Times New Roman" w:hAnsi="Times New Roman"/>
                <w:color w:val="auto"/>
                <w:lang w:eastAsia="pl-PL"/>
              </w:rPr>
              <w:lastRenderedPageBreak/>
              <w:t>Usługi świadczone osobom starszym</w:t>
            </w:r>
          </w:p>
        </w:tc>
        <w:tc>
          <w:tcPr>
            <w:tcW w:w="3119" w:type="dxa"/>
            <w:gridSpan w:val="2"/>
            <w:shd w:val="clear" w:color="auto" w:fill="9CC2E5" w:themeFill="accent1" w:themeFillTint="99"/>
          </w:tcPr>
          <w:p w14:paraId="26DA5914"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Rodzaj usług</w:t>
            </w:r>
          </w:p>
        </w:tc>
        <w:tc>
          <w:tcPr>
            <w:tcW w:w="3685" w:type="dxa"/>
            <w:gridSpan w:val="3"/>
            <w:shd w:val="clear" w:color="auto" w:fill="9CC2E5" w:themeFill="accent1" w:themeFillTint="99"/>
          </w:tcPr>
          <w:p w14:paraId="219826C4"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Liczba osób starszych objętych pomocą</w:t>
            </w:r>
          </w:p>
        </w:tc>
        <w:tc>
          <w:tcPr>
            <w:tcW w:w="5107" w:type="dxa"/>
            <w:gridSpan w:val="3"/>
            <w:shd w:val="clear" w:color="auto" w:fill="9CC2E5" w:themeFill="accent1" w:themeFillTint="99"/>
          </w:tcPr>
          <w:p w14:paraId="6513E027" w14:textId="77777777" w:rsidR="003D3533" w:rsidRPr="00A73D3B" w:rsidRDefault="003D353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Wysokość środków przeznaczonych na usługi</w:t>
            </w:r>
          </w:p>
        </w:tc>
      </w:tr>
      <w:tr w:rsidR="003D3533" w:rsidRPr="00A52173" w14:paraId="36261828" w14:textId="77777777" w:rsidTr="00E8650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3358641" w14:textId="77777777" w:rsidR="003D3533" w:rsidRPr="00A73D3B" w:rsidRDefault="003D3533" w:rsidP="00E86509">
            <w:pPr>
              <w:spacing w:after="0" w:line="240" w:lineRule="auto"/>
              <w:rPr>
                <w:rFonts w:ascii="Times New Roman" w:eastAsia="Times New Roman" w:hAnsi="Times New Roman"/>
                <w:b w:val="0"/>
                <w:bCs w:val="0"/>
                <w:color w:val="auto"/>
                <w:lang w:eastAsia="pl-PL"/>
              </w:rPr>
            </w:pPr>
          </w:p>
        </w:tc>
        <w:tc>
          <w:tcPr>
            <w:tcW w:w="3119" w:type="dxa"/>
            <w:gridSpan w:val="2"/>
          </w:tcPr>
          <w:p w14:paraId="176C5D95" w14:textId="6475B8B4" w:rsidR="003D3533" w:rsidRPr="00A73D3B" w:rsidRDefault="00EA0495"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Usługi o</w:t>
            </w:r>
            <w:r w:rsidR="003D3533" w:rsidRPr="00A73D3B">
              <w:rPr>
                <w:rFonts w:ascii="Times New Roman" w:hAnsi="Times New Roman"/>
                <w:color w:val="auto"/>
              </w:rPr>
              <w:t>piekuńcze ogółem</w:t>
            </w:r>
          </w:p>
        </w:tc>
        <w:tc>
          <w:tcPr>
            <w:tcW w:w="3685" w:type="dxa"/>
            <w:gridSpan w:val="3"/>
          </w:tcPr>
          <w:p w14:paraId="334EDB2C"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13 285</w:t>
            </w:r>
          </w:p>
        </w:tc>
        <w:tc>
          <w:tcPr>
            <w:tcW w:w="5107" w:type="dxa"/>
            <w:gridSpan w:val="3"/>
          </w:tcPr>
          <w:p w14:paraId="733AE9BE" w14:textId="77777777" w:rsidR="003D3533" w:rsidRPr="00A73D3B" w:rsidRDefault="003D353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47 283 653,13</w:t>
            </w:r>
          </w:p>
        </w:tc>
      </w:tr>
      <w:tr w:rsidR="00A154D9" w:rsidRPr="00A52173" w14:paraId="1FBE963E" w14:textId="77777777" w:rsidTr="00E86509">
        <w:trPr>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E79935D" w14:textId="77777777" w:rsidR="00A154D9" w:rsidRPr="00A73D3B" w:rsidRDefault="00A154D9" w:rsidP="00E86509">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49175903" w14:textId="77777777" w:rsidR="00A154D9" w:rsidRPr="00A73D3B" w:rsidRDefault="00A154D9"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w tym:</w:t>
            </w:r>
          </w:p>
        </w:tc>
      </w:tr>
      <w:tr w:rsidR="00A154D9" w:rsidRPr="00A52173" w14:paraId="0D7C4AD5" w14:textId="77777777" w:rsidTr="00E8650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D968D4E" w14:textId="77777777" w:rsidR="00A154D9" w:rsidRPr="00A73D3B" w:rsidRDefault="00A154D9"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43B7DFCC" w14:textId="2D7D4654" w:rsidR="00A154D9" w:rsidRPr="00A73D3B" w:rsidRDefault="00EA0495"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A154D9" w:rsidRPr="00A73D3B">
              <w:rPr>
                <w:rFonts w:ascii="Times New Roman" w:hAnsi="Times New Roman"/>
                <w:color w:val="auto"/>
              </w:rPr>
              <w:t>pecjalistyczne</w:t>
            </w:r>
            <w:r>
              <w:rPr>
                <w:rFonts w:ascii="Times New Roman" w:hAnsi="Times New Roman"/>
                <w:color w:val="auto"/>
              </w:rPr>
              <w:t xml:space="preserve"> usługi</w:t>
            </w:r>
            <w:r w:rsidR="00A154D9" w:rsidRPr="00A73D3B">
              <w:rPr>
                <w:rFonts w:ascii="Times New Roman" w:hAnsi="Times New Roman"/>
                <w:color w:val="auto"/>
              </w:rPr>
              <w:t xml:space="preserve"> opiekuńcze</w:t>
            </w:r>
          </w:p>
        </w:tc>
        <w:tc>
          <w:tcPr>
            <w:tcW w:w="3685" w:type="dxa"/>
            <w:gridSpan w:val="3"/>
            <w:shd w:val="clear" w:color="auto" w:fill="FFFFFF" w:themeFill="background1"/>
          </w:tcPr>
          <w:p w14:paraId="001175B2" w14:textId="77777777" w:rsidR="00A154D9" w:rsidRPr="00A73D3B" w:rsidRDefault="00A154D9"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1 012</w:t>
            </w:r>
          </w:p>
        </w:tc>
        <w:tc>
          <w:tcPr>
            <w:tcW w:w="5107" w:type="dxa"/>
            <w:gridSpan w:val="3"/>
            <w:shd w:val="clear" w:color="auto" w:fill="FFFFFF" w:themeFill="background1"/>
          </w:tcPr>
          <w:p w14:paraId="38DCE650" w14:textId="77777777" w:rsidR="00A154D9" w:rsidRPr="00A73D3B" w:rsidRDefault="00A154D9"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239 820,14</w:t>
            </w:r>
          </w:p>
        </w:tc>
      </w:tr>
      <w:tr w:rsidR="00A154D9" w:rsidRPr="00A52173" w14:paraId="293D9678"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44F7E3B" w14:textId="77777777" w:rsidR="00A154D9" w:rsidRPr="00A73D3B" w:rsidRDefault="00A154D9"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28AA87C2" w14:textId="493E59D6" w:rsidR="00A154D9" w:rsidRPr="00A73D3B" w:rsidRDefault="00EA0495"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A154D9" w:rsidRPr="00A73D3B">
              <w:rPr>
                <w:rFonts w:ascii="Times New Roman" w:hAnsi="Times New Roman"/>
                <w:color w:val="auto"/>
              </w:rPr>
              <w:t xml:space="preserve">pecjalistyczne usługi </w:t>
            </w:r>
            <w:r>
              <w:rPr>
                <w:rFonts w:ascii="Times New Roman" w:hAnsi="Times New Roman"/>
                <w:color w:val="auto"/>
              </w:rPr>
              <w:t xml:space="preserve">opiekuńcze w miejscu zamieszkania </w:t>
            </w:r>
            <w:r w:rsidR="00A154D9" w:rsidRPr="00A73D3B">
              <w:rPr>
                <w:rFonts w:ascii="Times New Roman" w:hAnsi="Times New Roman"/>
                <w:color w:val="auto"/>
              </w:rPr>
              <w:t>dla osób z zaburzeniami psychicznymi</w:t>
            </w:r>
          </w:p>
        </w:tc>
        <w:tc>
          <w:tcPr>
            <w:tcW w:w="3685" w:type="dxa"/>
            <w:gridSpan w:val="3"/>
            <w:shd w:val="clear" w:color="auto" w:fill="FFFFFF" w:themeFill="background1"/>
          </w:tcPr>
          <w:p w14:paraId="3126EDBA" w14:textId="77777777" w:rsidR="00A154D9" w:rsidRPr="00A73D3B" w:rsidRDefault="00A154D9"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453</w:t>
            </w:r>
          </w:p>
        </w:tc>
        <w:tc>
          <w:tcPr>
            <w:tcW w:w="5107" w:type="dxa"/>
            <w:gridSpan w:val="3"/>
            <w:shd w:val="clear" w:color="auto" w:fill="FFFFFF" w:themeFill="background1"/>
          </w:tcPr>
          <w:p w14:paraId="3D7AC0A7" w14:textId="77777777" w:rsidR="00A154D9" w:rsidRPr="00A73D3B" w:rsidRDefault="00A154D9"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1 429 266,46</w:t>
            </w:r>
          </w:p>
        </w:tc>
      </w:tr>
      <w:tr w:rsidR="00A154D9" w:rsidRPr="00A52173" w14:paraId="021DFFF9" w14:textId="77777777" w:rsidTr="00E86509">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AC23E3B" w14:textId="77777777" w:rsidR="00A154D9" w:rsidRPr="00A73D3B" w:rsidRDefault="00A154D9" w:rsidP="00E86509">
            <w:pPr>
              <w:spacing w:after="0" w:line="240" w:lineRule="auto"/>
              <w:rPr>
                <w:rFonts w:ascii="Times New Roman" w:eastAsia="Times New Roman" w:hAnsi="Times New Roman"/>
                <w:b w:val="0"/>
                <w:bCs w:val="0"/>
                <w:color w:val="auto"/>
                <w:lang w:eastAsia="pl-PL"/>
              </w:rPr>
            </w:pPr>
            <w:r w:rsidRPr="00A73D3B">
              <w:rPr>
                <w:rFonts w:ascii="Times New Roman" w:eastAsia="Times New Roman" w:hAnsi="Times New Roman"/>
                <w:color w:val="auto"/>
                <w:lang w:eastAsia="pl-PL"/>
              </w:rPr>
              <w:t>Świadczenia pieniężne przyznane osobom starszym</w:t>
            </w:r>
          </w:p>
        </w:tc>
        <w:tc>
          <w:tcPr>
            <w:tcW w:w="3119" w:type="dxa"/>
            <w:gridSpan w:val="2"/>
            <w:shd w:val="clear" w:color="auto" w:fill="9CC2E5" w:themeFill="accent1" w:themeFillTint="99"/>
          </w:tcPr>
          <w:p w14:paraId="48DA1F98" w14:textId="77777777" w:rsidR="00A154D9" w:rsidRPr="00A73D3B" w:rsidRDefault="00A154D9"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Nazwa świadczenia</w:t>
            </w:r>
          </w:p>
        </w:tc>
        <w:tc>
          <w:tcPr>
            <w:tcW w:w="3685" w:type="dxa"/>
            <w:gridSpan w:val="3"/>
            <w:shd w:val="clear" w:color="auto" w:fill="9CC2E5" w:themeFill="accent1" w:themeFillTint="99"/>
          </w:tcPr>
          <w:p w14:paraId="72FAF2F7" w14:textId="77777777" w:rsidR="00A154D9" w:rsidRPr="00A73D3B" w:rsidRDefault="00A154D9"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Liczba osób starszych</w:t>
            </w:r>
          </w:p>
        </w:tc>
        <w:tc>
          <w:tcPr>
            <w:tcW w:w="5107" w:type="dxa"/>
            <w:gridSpan w:val="3"/>
            <w:shd w:val="clear" w:color="auto" w:fill="9CC2E5" w:themeFill="accent1" w:themeFillTint="99"/>
          </w:tcPr>
          <w:p w14:paraId="2047EB63" w14:textId="77777777" w:rsidR="00A154D9" w:rsidRPr="00A73D3B" w:rsidRDefault="00A154D9"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73D3B">
              <w:rPr>
                <w:rFonts w:ascii="Times New Roman" w:hAnsi="Times New Roman"/>
                <w:b/>
                <w:color w:val="auto"/>
              </w:rPr>
              <w:t>Kwota świadczenia</w:t>
            </w:r>
          </w:p>
        </w:tc>
      </w:tr>
      <w:tr w:rsidR="00A154D9" w:rsidRPr="00A52173" w14:paraId="036F0E8C"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3F1A01D" w14:textId="77777777" w:rsidR="00A154D9" w:rsidRPr="00A73D3B" w:rsidRDefault="00A154D9"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77985C44" w14:textId="77777777" w:rsidR="00A154D9" w:rsidRPr="00A73D3B" w:rsidRDefault="00A154D9"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Zasiłek stały</w:t>
            </w:r>
          </w:p>
        </w:tc>
        <w:tc>
          <w:tcPr>
            <w:tcW w:w="3685" w:type="dxa"/>
            <w:gridSpan w:val="3"/>
            <w:shd w:val="clear" w:color="auto" w:fill="FFFFFF" w:themeFill="background1"/>
          </w:tcPr>
          <w:p w14:paraId="2B18847B" w14:textId="77777777" w:rsidR="00A154D9" w:rsidRPr="00A73D3B" w:rsidRDefault="00A154D9"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10 569</w:t>
            </w:r>
          </w:p>
        </w:tc>
        <w:tc>
          <w:tcPr>
            <w:tcW w:w="5107" w:type="dxa"/>
            <w:gridSpan w:val="3"/>
            <w:shd w:val="clear" w:color="auto" w:fill="FFFFFF" w:themeFill="background1"/>
          </w:tcPr>
          <w:p w14:paraId="669F2C30" w14:textId="77777777" w:rsidR="00A154D9" w:rsidRPr="00A73D3B" w:rsidRDefault="00A154D9"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56 093 947,50</w:t>
            </w:r>
          </w:p>
        </w:tc>
      </w:tr>
      <w:tr w:rsidR="00A154D9" w:rsidRPr="00A52173" w14:paraId="7C7F2FA8"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68DD3EB" w14:textId="77777777" w:rsidR="00A154D9" w:rsidRPr="00A73D3B" w:rsidRDefault="00A154D9"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1A07CE04" w14:textId="77777777" w:rsidR="00A154D9" w:rsidRPr="00A73D3B" w:rsidRDefault="00A154D9"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Zasiłek okresowy</w:t>
            </w:r>
          </w:p>
        </w:tc>
        <w:tc>
          <w:tcPr>
            <w:tcW w:w="3685" w:type="dxa"/>
            <w:gridSpan w:val="3"/>
            <w:shd w:val="clear" w:color="auto" w:fill="FFFFFF" w:themeFill="background1"/>
          </w:tcPr>
          <w:p w14:paraId="38773BA8" w14:textId="77777777" w:rsidR="00A154D9" w:rsidRPr="00A73D3B" w:rsidRDefault="00A154D9"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3 198</w:t>
            </w:r>
          </w:p>
        </w:tc>
        <w:tc>
          <w:tcPr>
            <w:tcW w:w="5107" w:type="dxa"/>
            <w:gridSpan w:val="3"/>
            <w:shd w:val="clear" w:color="auto" w:fill="FFFFFF" w:themeFill="background1"/>
          </w:tcPr>
          <w:p w14:paraId="51386B74" w14:textId="77777777" w:rsidR="00A154D9" w:rsidRPr="00A73D3B" w:rsidRDefault="00A154D9"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5 065 649,56</w:t>
            </w:r>
          </w:p>
        </w:tc>
      </w:tr>
      <w:tr w:rsidR="00A154D9" w:rsidRPr="00A52173" w14:paraId="1D4B05F6"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6543D2A" w14:textId="77777777" w:rsidR="00A154D9" w:rsidRPr="00A73D3B" w:rsidRDefault="00A154D9"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58BB34EB" w14:textId="77777777" w:rsidR="00A154D9" w:rsidRPr="00A73D3B" w:rsidRDefault="00A154D9"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Zasiłek celowy</w:t>
            </w:r>
          </w:p>
        </w:tc>
        <w:tc>
          <w:tcPr>
            <w:tcW w:w="3685" w:type="dxa"/>
            <w:gridSpan w:val="3"/>
            <w:shd w:val="clear" w:color="auto" w:fill="FFFFFF" w:themeFill="background1"/>
          </w:tcPr>
          <w:p w14:paraId="20EA1236" w14:textId="77777777" w:rsidR="00A154D9" w:rsidRPr="00A73D3B" w:rsidRDefault="00A154D9"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12 404</w:t>
            </w:r>
          </w:p>
        </w:tc>
        <w:tc>
          <w:tcPr>
            <w:tcW w:w="5107" w:type="dxa"/>
            <w:gridSpan w:val="3"/>
            <w:shd w:val="clear" w:color="auto" w:fill="FFFFFF" w:themeFill="background1"/>
          </w:tcPr>
          <w:p w14:paraId="4EC9583D" w14:textId="77777777" w:rsidR="00A154D9" w:rsidRPr="00A73D3B" w:rsidRDefault="00A154D9"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13 547 745,86</w:t>
            </w:r>
          </w:p>
        </w:tc>
      </w:tr>
      <w:tr w:rsidR="00A154D9" w:rsidRPr="00A52173" w14:paraId="79823E05"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2307420" w14:textId="77777777" w:rsidR="00A154D9" w:rsidRPr="00A73D3B" w:rsidRDefault="00A154D9"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77E3CD95" w14:textId="77777777" w:rsidR="00A154D9" w:rsidRPr="00A73D3B" w:rsidRDefault="00A154D9"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Specjalny zasiłek celowy</w:t>
            </w:r>
          </w:p>
        </w:tc>
        <w:tc>
          <w:tcPr>
            <w:tcW w:w="3685" w:type="dxa"/>
            <w:gridSpan w:val="3"/>
            <w:shd w:val="clear" w:color="auto" w:fill="FFFFFF" w:themeFill="background1"/>
          </w:tcPr>
          <w:p w14:paraId="7952C4C9" w14:textId="77777777" w:rsidR="00A154D9" w:rsidRPr="00A73D3B" w:rsidRDefault="00A154D9"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9 198</w:t>
            </w:r>
          </w:p>
        </w:tc>
        <w:tc>
          <w:tcPr>
            <w:tcW w:w="5107" w:type="dxa"/>
            <w:gridSpan w:val="3"/>
            <w:shd w:val="clear" w:color="auto" w:fill="FFFFFF" w:themeFill="background1"/>
          </w:tcPr>
          <w:p w14:paraId="7754565E" w14:textId="77777777" w:rsidR="00A154D9" w:rsidRPr="00A73D3B" w:rsidRDefault="00A154D9"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7 413 565,25</w:t>
            </w:r>
          </w:p>
        </w:tc>
      </w:tr>
      <w:tr w:rsidR="00A154D9" w:rsidRPr="00A52173" w14:paraId="5D411EB2" w14:textId="77777777" w:rsidTr="00E86509">
        <w:trPr>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49238FC" w14:textId="77777777" w:rsidR="00A154D9" w:rsidRPr="00A73D3B" w:rsidRDefault="00A154D9" w:rsidP="00E86509">
            <w:pPr>
              <w:spacing w:after="0" w:line="240" w:lineRule="auto"/>
              <w:rPr>
                <w:rFonts w:ascii="Times New Roman" w:hAnsi="Times New Roman"/>
                <w:b w:val="0"/>
                <w:color w:val="auto"/>
                <w:lang w:eastAsia="pl-PL"/>
              </w:rPr>
            </w:pPr>
            <w:r w:rsidRPr="00A73D3B">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48A0D611" w14:textId="77777777" w:rsidR="00A154D9" w:rsidRPr="00A73D3B" w:rsidRDefault="00A154D9"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b/>
                <w:color w:val="auto"/>
              </w:rPr>
              <w:t>1.</w:t>
            </w:r>
            <w:r w:rsidRPr="00A73D3B">
              <w:rPr>
                <w:rFonts w:ascii="Times New Roman" w:hAnsi="Times New Roman"/>
                <w:color w:val="auto"/>
              </w:rPr>
              <w:t xml:space="preserve">Brak wykwalifikowanej kadry. Problemy ze znalezieniem pracowników wynikające z niskich płac </w:t>
            </w:r>
          </w:p>
        </w:tc>
      </w:tr>
      <w:tr w:rsidR="00A154D9" w:rsidRPr="00A52173" w14:paraId="01B7D149"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643684F" w14:textId="77777777" w:rsidR="00A154D9" w:rsidRPr="00A73D3B" w:rsidRDefault="00A154D9" w:rsidP="00E86509">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030569C8" w14:textId="77777777" w:rsidR="00A154D9" w:rsidRPr="00A73D3B" w:rsidRDefault="00A154D9"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154D9">
              <w:rPr>
                <w:rFonts w:ascii="Times New Roman" w:hAnsi="Times New Roman"/>
                <w:b/>
                <w:color w:val="auto"/>
              </w:rPr>
              <w:t>2.</w:t>
            </w:r>
            <w:r w:rsidRPr="00A73D3B">
              <w:rPr>
                <w:rFonts w:ascii="Times New Roman" w:hAnsi="Times New Roman"/>
                <w:color w:val="auto"/>
              </w:rPr>
              <w:t xml:space="preserve">Bariera komunikacyjna. Duże odległości pomiędzy miejscem zamieszkania osób wymagających pomocy i wynikające z tego trudności z dojazdem do tych osób </w:t>
            </w:r>
          </w:p>
        </w:tc>
      </w:tr>
      <w:tr w:rsidR="00A154D9" w:rsidRPr="00A52173" w14:paraId="7B37CBF9" w14:textId="77777777" w:rsidTr="00E86509">
        <w:trPr>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3E496C5" w14:textId="77777777" w:rsidR="00A154D9" w:rsidRPr="00A73D3B" w:rsidRDefault="00A154D9" w:rsidP="00E86509">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7378C559" w14:textId="77777777" w:rsidR="00A154D9" w:rsidRPr="00A73D3B" w:rsidRDefault="00A154D9"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154D9">
              <w:rPr>
                <w:rFonts w:ascii="Times New Roman" w:hAnsi="Times New Roman"/>
                <w:b/>
                <w:color w:val="auto"/>
              </w:rPr>
              <w:t>3.</w:t>
            </w:r>
            <w:r w:rsidRPr="00A73D3B">
              <w:rPr>
                <w:rFonts w:ascii="Times New Roman" w:hAnsi="Times New Roman"/>
                <w:color w:val="auto"/>
              </w:rPr>
              <w:t xml:space="preserve">Niechęć osób w świadczeniu dla nich pomocy </w:t>
            </w:r>
          </w:p>
        </w:tc>
      </w:tr>
      <w:tr w:rsidR="00A154D9" w:rsidRPr="00A52173" w14:paraId="544EB305"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698FE21" w14:textId="77777777" w:rsidR="00A154D9" w:rsidRPr="00A73D3B" w:rsidRDefault="00A154D9" w:rsidP="00E86509">
            <w:pPr>
              <w:spacing w:after="0" w:line="240" w:lineRule="auto"/>
              <w:rPr>
                <w:rFonts w:ascii="Times New Roman" w:hAnsi="Times New Roman"/>
                <w:color w:val="auto"/>
                <w:lang w:eastAsia="pl-PL"/>
              </w:rPr>
            </w:pPr>
            <w:r w:rsidRPr="00A73D3B">
              <w:rPr>
                <w:rFonts w:ascii="Times New Roman" w:hAnsi="Times New Roman"/>
                <w:color w:val="auto"/>
                <w:lang w:eastAsia="pl-PL"/>
              </w:rPr>
              <w:t>Stopień zaspokojenia potrzeb w zakresie usług opiekuńczych</w:t>
            </w:r>
          </w:p>
        </w:tc>
        <w:tc>
          <w:tcPr>
            <w:tcW w:w="11911" w:type="dxa"/>
            <w:gridSpan w:val="8"/>
            <w:shd w:val="clear" w:color="auto" w:fill="FFFFFF" w:themeFill="background1"/>
          </w:tcPr>
          <w:p w14:paraId="5659F667" w14:textId="77777777" w:rsidR="00A154D9" w:rsidRPr="00A73D3B" w:rsidRDefault="00A154D9"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73D3B">
              <w:rPr>
                <w:rFonts w:ascii="Times New Roman" w:hAnsi="Times New Roman"/>
                <w:color w:val="auto"/>
              </w:rPr>
              <w:t>Na terenie województwa mazowieckiego osób w wieku 60+ potrzebujących pomocy z uwagi na wiek, stan zdrowia, niepełnosprawność, samotność lub innych powodów nie objętych pomocą w formie usług opiekuńczych jest ponad 3600 osób. W 2019 r. objętych ww. pomocą zostało blisko 13 tys. osób, co stanowi 98,5 % złożonych wniosków. Z usług zrezygnowało ok. 1200 osób.</w:t>
            </w:r>
          </w:p>
        </w:tc>
      </w:tr>
    </w:tbl>
    <w:p w14:paraId="6A36AC58" w14:textId="77777777" w:rsidR="008524D9" w:rsidRDefault="008524D9" w:rsidP="00CB509F">
      <w:pPr>
        <w:pStyle w:val="Nagwek2"/>
        <w:rPr>
          <w:rFonts w:eastAsia="Times New Roman"/>
          <w:lang w:eastAsia="ar-SA"/>
        </w:rPr>
        <w:sectPr w:rsidR="008524D9" w:rsidSect="00080A38">
          <w:pgSz w:w="16838" w:h="11900" w:orient="landscape"/>
          <w:pgMar w:top="1380" w:right="1384" w:bottom="1386" w:left="1038" w:header="0" w:footer="567" w:gutter="0"/>
          <w:cols w:space="0" w:equalWidth="0">
            <w:col w:w="9140"/>
          </w:cols>
          <w:docGrid w:linePitch="360"/>
        </w:sectPr>
      </w:pPr>
    </w:p>
    <w:p w14:paraId="4E7E8A87" w14:textId="77777777" w:rsidR="00F31DCC" w:rsidRPr="00AF051D" w:rsidRDefault="00B25D75" w:rsidP="00AF051D">
      <w:pPr>
        <w:pStyle w:val="Nagwek2"/>
        <w:numPr>
          <w:ilvl w:val="1"/>
          <w:numId w:val="97"/>
        </w:numPr>
        <w:spacing w:before="240" w:after="240"/>
        <w:rPr>
          <w:rFonts w:eastAsia="Times New Roman" w:cs="Times New Roman"/>
          <w:sz w:val="40"/>
          <w:lang w:eastAsia="ar-SA"/>
        </w:rPr>
      </w:pPr>
      <w:bookmarkStart w:id="139" w:name="_Toc49171363"/>
      <w:r w:rsidRPr="00AF051D">
        <w:rPr>
          <w:rFonts w:eastAsia="Times New Roman" w:cs="Times New Roman"/>
          <w:sz w:val="40"/>
          <w:lang w:eastAsia="ar-SA"/>
        </w:rPr>
        <w:lastRenderedPageBreak/>
        <w:t xml:space="preserve">Województwo </w:t>
      </w:r>
      <w:r w:rsidR="005F0A32" w:rsidRPr="00AF051D">
        <w:rPr>
          <w:rFonts w:eastAsia="Times New Roman" w:cs="Times New Roman"/>
          <w:sz w:val="40"/>
          <w:lang w:eastAsia="ar-SA"/>
        </w:rPr>
        <w:t>o</w:t>
      </w:r>
      <w:r w:rsidR="00475EFA" w:rsidRPr="00AF051D">
        <w:rPr>
          <w:rFonts w:eastAsia="Times New Roman" w:cs="Times New Roman"/>
          <w:sz w:val="40"/>
          <w:lang w:eastAsia="ar-SA"/>
        </w:rPr>
        <w:t>polskie</w:t>
      </w:r>
      <w:bookmarkEnd w:id="139"/>
    </w:p>
    <w:p w14:paraId="67953FB9" w14:textId="77777777" w:rsidR="00F848D7" w:rsidRDefault="00F848D7" w:rsidP="003C1988">
      <w:pPr>
        <w:spacing w:after="0"/>
        <w:rPr>
          <w:lang w:eastAsia="ar-SA"/>
        </w:rPr>
      </w:pPr>
    </w:p>
    <w:p w14:paraId="63BA7E83" w14:textId="77777777" w:rsidR="00F848D7" w:rsidRPr="005C31A8" w:rsidRDefault="00F848D7" w:rsidP="00E7359C">
      <w:pPr>
        <w:spacing w:after="0"/>
        <w:jc w:val="both"/>
        <w:rPr>
          <w:rFonts w:ascii="Times New Roman" w:hAnsi="Times New Roman" w:cs="Times New Roman"/>
          <w:b/>
          <w:color w:val="00B0F0"/>
          <w:sz w:val="24"/>
          <w:szCs w:val="24"/>
          <w:lang w:eastAsia="ar-SA"/>
        </w:rPr>
      </w:pPr>
      <w:r w:rsidRPr="005C31A8">
        <w:rPr>
          <w:rFonts w:ascii="Times New Roman" w:hAnsi="Times New Roman" w:cs="Times New Roman"/>
          <w:b/>
          <w:color w:val="00B0F0"/>
          <w:sz w:val="24"/>
          <w:szCs w:val="24"/>
          <w:lang w:eastAsia="ar-SA"/>
        </w:rPr>
        <w:t>Dokumenty, strategie i działania na rzecz osób starszych</w:t>
      </w:r>
    </w:p>
    <w:p w14:paraId="04944D6C" w14:textId="77777777" w:rsidR="00F848D7" w:rsidRDefault="00F848D7" w:rsidP="00E7359C">
      <w:pPr>
        <w:spacing w:after="0"/>
        <w:contextualSpacing/>
        <w:jc w:val="both"/>
        <w:rPr>
          <w:rFonts w:ascii="Times New Roman" w:eastAsia="Calibri" w:hAnsi="Times New Roman" w:cs="Times New Roman"/>
          <w:b/>
          <w:sz w:val="24"/>
          <w:szCs w:val="24"/>
        </w:rPr>
      </w:pPr>
    </w:p>
    <w:p w14:paraId="486AD5F1" w14:textId="77777777" w:rsidR="00F31DCC" w:rsidRPr="005F0A32" w:rsidRDefault="00F31DCC" w:rsidP="00E7359C">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 województwie opolskim realizowanych jest wiele działań skierowanych do seniorów. Powstała odpowiednia strategia oraz programy regionalne, wspierające osoby starsze w ich codziennej aktywności społecznej, zawodowej oraz w kierunku ochrony zdrowia.</w:t>
      </w:r>
    </w:p>
    <w:p w14:paraId="459E50BF" w14:textId="77777777" w:rsidR="00F31DCC" w:rsidRPr="005F0A32" w:rsidRDefault="00F31DCC" w:rsidP="00E7359C">
      <w:pPr>
        <w:spacing w:after="0"/>
        <w:contextualSpacing/>
        <w:jc w:val="both"/>
        <w:rPr>
          <w:rFonts w:ascii="Times New Roman" w:eastAsia="Calibri" w:hAnsi="Times New Roman" w:cs="Times New Roman"/>
          <w:sz w:val="24"/>
          <w:szCs w:val="24"/>
        </w:rPr>
      </w:pPr>
    </w:p>
    <w:p w14:paraId="658C9330" w14:textId="77777777" w:rsidR="00F31DCC" w:rsidRPr="005F0A32" w:rsidRDefault="00F31DCC" w:rsidP="00E7359C">
      <w:pPr>
        <w:autoSpaceDE w:val="0"/>
        <w:autoSpaceDN w:val="0"/>
        <w:adjustRightInd w:val="0"/>
        <w:spacing w:after="0"/>
        <w:jc w:val="both"/>
        <w:rPr>
          <w:rFonts w:ascii="Times New Roman" w:eastAsia="Calibri" w:hAnsi="Times New Roman" w:cs="Times New Roman"/>
          <w:sz w:val="24"/>
          <w:szCs w:val="24"/>
          <w:lang w:eastAsia="pl-PL"/>
        </w:rPr>
      </w:pPr>
      <w:r w:rsidRPr="005F0A32">
        <w:rPr>
          <w:rFonts w:ascii="Times New Roman" w:eastAsia="Calibri" w:hAnsi="Times New Roman" w:cs="Times New Roman"/>
          <w:sz w:val="24"/>
          <w:szCs w:val="24"/>
          <w:lang w:eastAsia="pl-PL"/>
        </w:rPr>
        <w:t xml:space="preserve">W  </w:t>
      </w:r>
      <w:r w:rsidRPr="005C31A8">
        <w:rPr>
          <w:rFonts w:ascii="Times New Roman" w:eastAsia="Calibri" w:hAnsi="Times New Roman" w:cs="Times New Roman"/>
          <w:bCs/>
          <w:i/>
          <w:sz w:val="24"/>
          <w:szCs w:val="24"/>
          <w:lang w:eastAsia="pl-PL"/>
        </w:rPr>
        <w:t>Wojewódzkiej Strategii w Zakresie Polityki Społecznej na</w:t>
      </w:r>
      <w:r w:rsidRPr="005C31A8">
        <w:rPr>
          <w:rFonts w:ascii="Times New Roman" w:eastAsia="Calibri" w:hAnsi="Times New Roman" w:cs="Times New Roman"/>
          <w:i/>
          <w:sz w:val="24"/>
          <w:szCs w:val="24"/>
          <w:lang w:eastAsia="pl-PL"/>
        </w:rPr>
        <w:t xml:space="preserve"> </w:t>
      </w:r>
      <w:r w:rsidRPr="005C31A8">
        <w:rPr>
          <w:rFonts w:ascii="Times New Roman" w:eastAsia="Calibri" w:hAnsi="Times New Roman" w:cs="Times New Roman"/>
          <w:bCs/>
          <w:i/>
          <w:sz w:val="24"/>
          <w:szCs w:val="24"/>
          <w:lang w:eastAsia="pl-PL"/>
        </w:rPr>
        <w:t>lata 2016-2025</w:t>
      </w:r>
      <w:r w:rsidR="005C31A8">
        <w:rPr>
          <w:rStyle w:val="Odwoanieprzypisudolnego"/>
          <w:rFonts w:ascii="Times New Roman" w:eastAsia="Calibri" w:hAnsi="Times New Roman" w:cs="Times New Roman"/>
          <w:bCs/>
          <w:i/>
          <w:sz w:val="24"/>
          <w:szCs w:val="24"/>
          <w:lang w:eastAsia="pl-PL"/>
        </w:rPr>
        <w:footnoteReference w:id="139"/>
      </w:r>
      <w:r w:rsidR="005C31A8">
        <w:rPr>
          <w:rFonts w:ascii="Times New Roman" w:eastAsia="Calibri" w:hAnsi="Times New Roman" w:cs="Times New Roman"/>
          <w:bCs/>
          <w:sz w:val="24"/>
          <w:szCs w:val="24"/>
          <w:lang w:eastAsia="pl-PL"/>
        </w:rPr>
        <w:t xml:space="preserve">, </w:t>
      </w:r>
      <w:r w:rsidRPr="005F0A32">
        <w:rPr>
          <w:rFonts w:ascii="Times New Roman" w:eastAsia="Calibri" w:hAnsi="Times New Roman" w:cs="Times New Roman"/>
          <w:bCs/>
          <w:sz w:val="24"/>
          <w:szCs w:val="24"/>
          <w:lang w:eastAsia="pl-PL"/>
        </w:rPr>
        <w:t>w ramach</w:t>
      </w:r>
      <w:r w:rsidRPr="005F0A32">
        <w:rPr>
          <w:rFonts w:ascii="Times New Roman" w:eastAsia="Calibri" w:hAnsi="Times New Roman" w:cs="Times New Roman"/>
          <w:b/>
          <w:bCs/>
          <w:sz w:val="24"/>
          <w:szCs w:val="24"/>
          <w:lang w:eastAsia="pl-PL"/>
        </w:rPr>
        <w:t xml:space="preserve"> </w:t>
      </w:r>
      <w:r w:rsidRPr="005F0A32">
        <w:rPr>
          <w:rFonts w:ascii="Times New Roman" w:eastAsia="Calibri" w:hAnsi="Times New Roman" w:cs="Times New Roman"/>
          <w:sz w:val="24"/>
          <w:szCs w:val="24"/>
          <w:lang w:eastAsia="pl-PL"/>
        </w:rPr>
        <w:t xml:space="preserve">Celu strategicznego 2 </w:t>
      </w:r>
      <w:r w:rsidRPr="005F0A32">
        <w:rPr>
          <w:rFonts w:ascii="Times New Roman" w:eastAsia="Calibri" w:hAnsi="Times New Roman" w:cs="Times New Roman"/>
          <w:b/>
          <w:bCs/>
          <w:sz w:val="24"/>
          <w:szCs w:val="24"/>
          <w:lang w:eastAsia="pl-PL"/>
        </w:rPr>
        <w:t xml:space="preserve">- </w:t>
      </w:r>
      <w:r w:rsidRPr="005F0A32">
        <w:rPr>
          <w:rFonts w:ascii="Times New Roman" w:eastAsia="Calibri" w:hAnsi="Times New Roman" w:cs="Times New Roman"/>
          <w:sz w:val="24"/>
          <w:szCs w:val="24"/>
          <w:lang w:eastAsia="pl-PL"/>
        </w:rPr>
        <w:t xml:space="preserve">zapisany jest </w:t>
      </w:r>
      <w:r w:rsidRPr="005F0A32">
        <w:rPr>
          <w:rFonts w:ascii="Times New Roman" w:eastAsia="Calibri" w:hAnsi="Times New Roman" w:cs="Times New Roman"/>
          <w:iCs/>
          <w:sz w:val="24"/>
          <w:szCs w:val="24"/>
          <w:lang w:eastAsia="pl-PL"/>
        </w:rPr>
        <w:t>Opolski model wsparcia i aktywizacji</w:t>
      </w:r>
      <w:r w:rsidRPr="005F0A32">
        <w:rPr>
          <w:rFonts w:ascii="Times New Roman" w:eastAsia="Calibri" w:hAnsi="Times New Roman" w:cs="Times New Roman"/>
          <w:i/>
          <w:iCs/>
          <w:sz w:val="24"/>
          <w:szCs w:val="24"/>
          <w:lang w:eastAsia="pl-PL"/>
        </w:rPr>
        <w:t xml:space="preserve"> </w:t>
      </w:r>
      <w:r w:rsidRPr="005F0A32">
        <w:rPr>
          <w:rFonts w:ascii="Times New Roman" w:eastAsia="Calibri" w:hAnsi="Times New Roman" w:cs="Times New Roman"/>
          <w:iCs/>
          <w:sz w:val="24"/>
          <w:szCs w:val="24"/>
          <w:lang w:eastAsia="pl-PL"/>
        </w:rPr>
        <w:t>seniorów,</w:t>
      </w:r>
      <w:r w:rsidRPr="005F0A32">
        <w:rPr>
          <w:rFonts w:ascii="Times New Roman" w:eastAsia="Calibri" w:hAnsi="Times New Roman" w:cs="Times New Roman"/>
          <w:i/>
          <w:iCs/>
          <w:sz w:val="24"/>
          <w:szCs w:val="24"/>
          <w:lang w:eastAsia="pl-PL"/>
        </w:rPr>
        <w:t xml:space="preserve"> </w:t>
      </w:r>
      <w:r w:rsidRPr="005F0A32">
        <w:rPr>
          <w:rFonts w:ascii="Times New Roman" w:eastAsia="Calibri" w:hAnsi="Times New Roman" w:cs="Times New Roman"/>
          <w:sz w:val="24"/>
          <w:szCs w:val="24"/>
          <w:lang w:eastAsia="pl-PL"/>
        </w:rPr>
        <w:t xml:space="preserve">który szczegółowo określa działania wspierające i aktywizujące osoby starsze. Jednocześnie w ramach tego celu Strategia zakłada m. in. rozwój usług i form wsparcia taki jak np. mieszkania wspomagane, teleopieka, usługi edukacyjne, kulturalne i rekreacyjne, zwiększenie aktywności seniorów i ich udziału w życiu społeczności lokalnych, w tym utworzenie regionalnego centrum wolontariatu seniorów. </w:t>
      </w:r>
    </w:p>
    <w:p w14:paraId="5CF7968A" w14:textId="77777777" w:rsidR="00F848D7" w:rsidRDefault="00F848D7" w:rsidP="00E7359C">
      <w:pPr>
        <w:autoSpaceDE w:val="0"/>
        <w:autoSpaceDN w:val="0"/>
        <w:adjustRightInd w:val="0"/>
        <w:spacing w:after="0"/>
        <w:jc w:val="both"/>
        <w:rPr>
          <w:rFonts w:ascii="Times New Roman" w:eastAsia="Calibri" w:hAnsi="Times New Roman" w:cs="Times New Roman"/>
          <w:sz w:val="24"/>
          <w:szCs w:val="24"/>
          <w:lang w:eastAsia="pl-PL"/>
        </w:rPr>
      </w:pPr>
    </w:p>
    <w:p w14:paraId="215720E0" w14:textId="77777777" w:rsidR="00F31DCC" w:rsidRPr="005F0A32" w:rsidRDefault="00F31DCC" w:rsidP="00E7359C">
      <w:pPr>
        <w:autoSpaceDE w:val="0"/>
        <w:autoSpaceDN w:val="0"/>
        <w:adjustRightInd w:val="0"/>
        <w:spacing w:after="0"/>
        <w:jc w:val="both"/>
        <w:rPr>
          <w:rFonts w:ascii="Times New Roman" w:eastAsia="Calibri" w:hAnsi="Times New Roman" w:cs="Times New Roman"/>
          <w:bCs/>
          <w:sz w:val="24"/>
          <w:szCs w:val="24"/>
          <w:lang w:eastAsia="pl-PL"/>
        </w:rPr>
      </w:pPr>
      <w:r w:rsidRPr="005F0A32">
        <w:rPr>
          <w:rFonts w:ascii="Times New Roman" w:eastAsia="Calibri" w:hAnsi="Times New Roman" w:cs="Times New Roman"/>
          <w:sz w:val="24"/>
          <w:szCs w:val="24"/>
          <w:lang w:eastAsia="pl-PL"/>
        </w:rPr>
        <w:t xml:space="preserve">W ramach realizacji założeń </w:t>
      </w:r>
      <w:r w:rsidRPr="005F0A32">
        <w:rPr>
          <w:rFonts w:ascii="Times New Roman" w:eastAsia="Calibri" w:hAnsi="Times New Roman" w:cs="Times New Roman"/>
          <w:bCs/>
          <w:sz w:val="24"/>
          <w:szCs w:val="24"/>
          <w:lang w:eastAsia="pl-PL"/>
        </w:rPr>
        <w:t xml:space="preserve">Wojewódzkiej Strategii wprowadzono m. in. dwa programy </w:t>
      </w:r>
      <w:r w:rsidRPr="005F0A32">
        <w:rPr>
          <w:rFonts w:ascii="Times New Roman" w:eastAsia="Calibri" w:hAnsi="Times New Roman" w:cs="Times New Roman"/>
          <w:bCs/>
          <w:sz w:val="24"/>
          <w:szCs w:val="24"/>
          <w:lang w:eastAsia="pl-PL"/>
        </w:rPr>
        <w:br/>
        <w:t xml:space="preserve">z zakresu wsparcia społecznego osób z zaburzeniami psychicznymi, wchodzące w skład Regionalnego Programu Zdrowia Psychicznego na lata 2018 – 2022: </w:t>
      </w:r>
    </w:p>
    <w:p w14:paraId="2694E4B4" w14:textId="77777777" w:rsidR="00F31DCC" w:rsidRPr="005F0A32" w:rsidRDefault="00F31DCC" w:rsidP="008C71A9">
      <w:pPr>
        <w:numPr>
          <w:ilvl w:val="0"/>
          <w:numId w:val="111"/>
        </w:numPr>
        <w:autoSpaceDE w:val="0"/>
        <w:autoSpaceDN w:val="0"/>
        <w:adjustRightInd w:val="0"/>
        <w:spacing w:after="0"/>
        <w:ind w:left="360"/>
        <w:contextualSpacing/>
        <w:jc w:val="both"/>
        <w:rPr>
          <w:rFonts w:ascii="Times New Roman" w:eastAsia="Calibri" w:hAnsi="Times New Roman" w:cs="Times New Roman"/>
          <w:sz w:val="24"/>
          <w:szCs w:val="24"/>
          <w:lang w:eastAsia="pl-PL"/>
        </w:rPr>
      </w:pPr>
      <w:r w:rsidRPr="005F0A32">
        <w:rPr>
          <w:rFonts w:ascii="Times New Roman" w:eastAsia="Calibri" w:hAnsi="Times New Roman" w:cs="Times New Roman"/>
          <w:sz w:val="24"/>
          <w:szCs w:val="24"/>
          <w:lang w:eastAsia="pl-PL"/>
        </w:rPr>
        <w:t xml:space="preserve">Wojewódzki program poszerzania, zróżnicowania i unowocześniania pomocy </w:t>
      </w:r>
      <w:r w:rsidRPr="005F0A32">
        <w:rPr>
          <w:rFonts w:ascii="Times New Roman" w:eastAsia="Calibri" w:hAnsi="Times New Roman" w:cs="Times New Roman"/>
          <w:sz w:val="24"/>
          <w:szCs w:val="24"/>
          <w:lang w:eastAsia="pl-PL"/>
        </w:rPr>
        <w:br/>
        <w:t xml:space="preserve">i oparcia społecznego dla osób z zaburzeniami psychicznymi w zakresie pomocy </w:t>
      </w:r>
      <w:r w:rsidRPr="005F0A32">
        <w:rPr>
          <w:rFonts w:ascii="Times New Roman" w:eastAsia="Calibri" w:hAnsi="Times New Roman" w:cs="Times New Roman"/>
          <w:sz w:val="24"/>
          <w:szCs w:val="24"/>
          <w:lang w:eastAsia="pl-PL"/>
        </w:rPr>
        <w:br/>
        <w:t>i oparcia społecznego,</w:t>
      </w:r>
    </w:p>
    <w:p w14:paraId="39169120" w14:textId="77777777" w:rsidR="00F848D7" w:rsidRDefault="00F31DCC" w:rsidP="008C71A9">
      <w:pPr>
        <w:numPr>
          <w:ilvl w:val="0"/>
          <w:numId w:val="111"/>
        </w:numPr>
        <w:autoSpaceDE w:val="0"/>
        <w:autoSpaceDN w:val="0"/>
        <w:adjustRightInd w:val="0"/>
        <w:spacing w:after="0"/>
        <w:ind w:left="360"/>
        <w:contextualSpacing/>
        <w:jc w:val="both"/>
        <w:rPr>
          <w:rFonts w:ascii="Times New Roman" w:eastAsia="Calibri" w:hAnsi="Times New Roman" w:cs="Times New Roman"/>
          <w:sz w:val="24"/>
          <w:szCs w:val="24"/>
          <w:lang w:eastAsia="pl-PL"/>
        </w:rPr>
      </w:pPr>
      <w:r w:rsidRPr="005F0A32">
        <w:rPr>
          <w:rFonts w:ascii="Times New Roman" w:eastAsia="Calibri" w:hAnsi="Times New Roman" w:cs="Times New Roman"/>
          <w:sz w:val="24"/>
          <w:szCs w:val="24"/>
          <w:lang w:eastAsia="pl-PL"/>
        </w:rPr>
        <w:t>Wojewódzki program rozwoju zróżnicowanych form wspieranego i wspomaganego zatrudnienia oraz przedsiębiorczości społecznej dostosowanej do potrzeb osób niepełnosprawnych, w tym z zaburzeniami psychicznymi.</w:t>
      </w:r>
    </w:p>
    <w:p w14:paraId="31CA5A42" w14:textId="77777777" w:rsidR="005C31A8" w:rsidRPr="005C31A8" w:rsidRDefault="005C31A8" w:rsidP="00E7359C">
      <w:pPr>
        <w:autoSpaceDE w:val="0"/>
        <w:autoSpaceDN w:val="0"/>
        <w:adjustRightInd w:val="0"/>
        <w:spacing w:after="0"/>
        <w:ind w:left="360"/>
        <w:contextualSpacing/>
        <w:jc w:val="both"/>
        <w:rPr>
          <w:rFonts w:ascii="Times New Roman" w:eastAsia="Calibri" w:hAnsi="Times New Roman" w:cs="Times New Roman"/>
          <w:sz w:val="24"/>
          <w:szCs w:val="24"/>
          <w:lang w:eastAsia="pl-PL"/>
        </w:rPr>
      </w:pPr>
    </w:p>
    <w:p w14:paraId="3AF56374" w14:textId="77777777" w:rsidR="00F31DCC" w:rsidRPr="005F0A32" w:rsidRDefault="00F31DCC" w:rsidP="00E7359C">
      <w:pPr>
        <w:autoSpaceDE w:val="0"/>
        <w:autoSpaceDN w:val="0"/>
        <w:adjustRightInd w:val="0"/>
        <w:spacing w:after="0"/>
        <w:jc w:val="both"/>
        <w:rPr>
          <w:rFonts w:ascii="Times New Roman" w:eastAsia="Calibri" w:hAnsi="Times New Roman" w:cs="Times New Roman"/>
          <w:b/>
          <w:sz w:val="24"/>
          <w:szCs w:val="24"/>
        </w:rPr>
      </w:pPr>
      <w:r w:rsidRPr="005F0A32">
        <w:rPr>
          <w:rFonts w:ascii="Times New Roman" w:eastAsia="Calibri" w:hAnsi="Times New Roman" w:cs="Times New Roman"/>
          <w:b/>
          <w:bCs/>
          <w:sz w:val="24"/>
          <w:szCs w:val="24"/>
        </w:rPr>
        <w:t>Program Specjalnej Strefy</w:t>
      </w:r>
      <w:r w:rsidRPr="005F0A32">
        <w:rPr>
          <w:rFonts w:ascii="Times New Roman" w:eastAsia="Calibri" w:hAnsi="Times New Roman" w:cs="Times New Roman"/>
          <w:b/>
          <w:sz w:val="24"/>
          <w:szCs w:val="24"/>
        </w:rPr>
        <w:t xml:space="preserve"> </w:t>
      </w:r>
      <w:r w:rsidRPr="005F0A32">
        <w:rPr>
          <w:rFonts w:ascii="Times New Roman" w:eastAsia="Calibri" w:hAnsi="Times New Roman" w:cs="Times New Roman"/>
          <w:b/>
          <w:bCs/>
          <w:sz w:val="24"/>
          <w:szCs w:val="24"/>
        </w:rPr>
        <w:t>Demograficznej w woj</w:t>
      </w:r>
      <w:r w:rsidR="005C31A8">
        <w:rPr>
          <w:rFonts w:ascii="Times New Roman" w:eastAsia="Calibri" w:hAnsi="Times New Roman" w:cs="Times New Roman"/>
          <w:b/>
          <w:bCs/>
          <w:sz w:val="24"/>
          <w:szCs w:val="24"/>
        </w:rPr>
        <w:t xml:space="preserve">ewództwie opolskim do 2020 r. </w:t>
      </w:r>
      <w:r w:rsidRPr="005F0A32">
        <w:rPr>
          <w:rFonts w:ascii="Times New Roman" w:eastAsia="Calibri" w:hAnsi="Times New Roman" w:cs="Times New Roman"/>
          <w:b/>
          <w:bCs/>
          <w:sz w:val="24"/>
          <w:szCs w:val="24"/>
        </w:rPr>
        <w:t>„Opolskie dla rodziny”</w:t>
      </w:r>
      <w:r w:rsidRPr="005F0A32">
        <w:rPr>
          <w:rFonts w:ascii="Times New Roman" w:eastAsia="Calibri" w:hAnsi="Times New Roman" w:cs="Times New Roman"/>
          <w:b/>
          <w:sz w:val="24"/>
          <w:szCs w:val="24"/>
        </w:rPr>
        <w:t>.</w:t>
      </w:r>
    </w:p>
    <w:p w14:paraId="72F52BEF" w14:textId="77777777" w:rsidR="00F31DCC" w:rsidRPr="00F848D7" w:rsidRDefault="00F31DCC" w:rsidP="00E7359C">
      <w:pPr>
        <w:autoSpaceDE w:val="0"/>
        <w:autoSpaceDN w:val="0"/>
        <w:adjustRightInd w:val="0"/>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Program tworzą 4 pakiety działań w obszarach: dla lepszej pracy, dla uczących się, dla rodziców, dla seniorów. Dotychczas wygenerował on wiele cennych inicjatyw, przedsięwzięć </w:t>
      </w:r>
      <w:r w:rsidRPr="005F0A32">
        <w:rPr>
          <w:rFonts w:ascii="Times New Roman" w:eastAsia="Calibri" w:hAnsi="Times New Roman" w:cs="Times New Roman"/>
          <w:sz w:val="24"/>
          <w:szCs w:val="24"/>
        </w:rPr>
        <w:br/>
        <w:t>i projektów. Jego najważniejszym efektem jest konsekwentna realizacja aktywnej polityki prorodzinnej i pro senioralnej w regionie.</w:t>
      </w:r>
      <w:r w:rsidR="00F848D7">
        <w:rPr>
          <w:rFonts w:ascii="Times New Roman" w:eastAsia="Calibri" w:hAnsi="Times New Roman" w:cs="Times New Roman"/>
          <w:sz w:val="24"/>
          <w:szCs w:val="24"/>
        </w:rPr>
        <w:t xml:space="preserve"> </w:t>
      </w:r>
      <w:r w:rsidR="00F848D7">
        <w:rPr>
          <w:rFonts w:ascii="Times New Roman" w:eastAsia="MS Mincho" w:hAnsi="Times New Roman" w:cs="Times New Roman"/>
          <w:sz w:val="24"/>
          <w:szCs w:val="24"/>
        </w:rPr>
        <w:t>W 2019 r.</w:t>
      </w:r>
      <w:r w:rsidRPr="005F0A32">
        <w:rPr>
          <w:rFonts w:ascii="Times New Roman" w:eastAsia="MS Mincho" w:hAnsi="Times New Roman" w:cs="Times New Roman"/>
          <w:sz w:val="24"/>
          <w:szCs w:val="24"/>
        </w:rPr>
        <w:t xml:space="preserve"> w ramach Programu OdR w obszarze dedykowanym seniorom wydatkowano 337 mln zł</w:t>
      </w:r>
      <w:r w:rsidRPr="005F0A32">
        <w:rPr>
          <w:rFonts w:ascii="Times New Roman" w:eastAsia="MS Mincho" w:hAnsi="Times New Roman" w:cs="Times New Roman"/>
          <w:sz w:val="24"/>
          <w:szCs w:val="24"/>
          <w:vertAlign w:val="superscript"/>
        </w:rPr>
        <w:footnoteReference w:id="140"/>
      </w:r>
      <w:r w:rsidRPr="005F0A32">
        <w:rPr>
          <w:rFonts w:ascii="Times New Roman" w:eastAsia="MS Mincho" w:hAnsi="Times New Roman" w:cs="Times New Roman"/>
          <w:sz w:val="24"/>
          <w:szCs w:val="24"/>
        </w:rPr>
        <w:t xml:space="preserve"> (wkład UE 246 mln zł RPO WO 2014-2020) na usługi zdrowotne i społeczne:</w:t>
      </w:r>
    </w:p>
    <w:p w14:paraId="42A36503" w14:textId="77777777" w:rsidR="00F31DCC" w:rsidRPr="005F0A32" w:rsidRDefault="00F31DCC" w:rsidP="008C71A9">
      <w:pPr>
        <w:numPr>
          <w:ilvl w:val="0"/>
          <w:numId w:val="112"/>
        </w:numPr>
        <w:spacing w:after="0"/>
        <w:ind w:left="360"/>
        <w:contextualSpacing/>
        <w:jc w:val="both"/>
        <w:rPr>
          <w:rFonts w:ascii="Times New Roman" w:eastAsia="MS Mincho" w:hAnsi="Times New Roman" w:cs="Times New Roman"/>
          <w:sz w:val="24"/>
          <w:szCs w:val="24"/>
        </w:rPr>
      </w:pPr>
      <w:r w:rsidRPr="005F0A32">
        <w:rPr>
          <w:rFonts w:ascii="Times New Roman" w:eastAsia="MS Mincho" w:hAnsi="Times New Roman" w:cs="Times New Roman"/>
          <w:sz w:val="24"/>
          <w:szCs w:val="24"/>
        </w:rPr>
        <w:t>7 031 osób objęto bezpłatnym programem profilaktyki nowotworu jelita grubego;</w:t>
      </w:r>
    </w:p>
    <w:p w14:paraId="1167013B" w14:textId="77777777" w:rsidR="00F31DCC" w:rsidRPr="005F0A32" w:rsidRDefault="00F31DCC" w:rsidP="008C71A9">
      <w:pPr>
        <w:numPr>
          <w:ilvl w:val="0"/>
          <w:numId w:val="112"/>
        </w:numPr>
        <w:spacing w:after="0"/>
        <w:ind w:left="360"/>
        <w:contextualSpacing/>
        <w:jc w:val="both"/>
        <w:rPr>
          <w:rFonts w:ascii="Times New Roman" w:eastAsia="MS Mincho" w:hAnsi="Times New Roman" w:cs="Times New Roman"/>
          <w:sz w:val="24"/>
          <w:szCs w:val="24"/>
        </w:rPr>
      </w:pPr>
      <w:r w:rsidRPr="005F0A32">
        <w:rPr>
          <w:rFonts w:ascii="Times New Roman" w:eastAsia="MS Mincho" w:hAnsi="Times New Roman" w:cs="Times New Roman"/>
          <w:sz w:val="24"/>
          <w:szCs w:val="24"/>
        </w:rPr>
        <w:t>90 641 osób objęto bezpłatną pomocą zdrowotną mającą na celu zmniejszenie nadwagi i otyłości oraz ryzyka zagrożenia cukrzycą;</w:t>
      </w:r>
    </w:p>
    <w:p w14:paraId="37A6DF71" w14:textId="77777777" w:rsidR="00F31DCC" w:rsidRPr="005F0A32" w:rsidRDefault="00F31DCC" w:rsidP="008C71A9">
      <w:pPr>
        <w:numPr>
          <w:ilvl w:val="0"/>
          <w:numId w:val="112"/>
        </w:numPr>
        <w:spacing w:after="0"/>
        <w:ind w:left="360"/>
        <w:contextualSpacing/>
        <w:jc w:val="both"/>
        <w:rPr>
          <w:rFonts w:ascii="Times New Roman" w:eastAsia="MS Mincho" w:hAnsi="Times New Roman" w:cs="Times New Roman"/>
          <w:sz w:val="24"/>
          <w:szCs w:val="24"/>
        </w:rPr>
      </w:pPr>
      <w:r w:rsidRPr="005F0A32">
        <w:rPr>
          <w:rFonts w:ascii="Times New Roman" w:eastAsia="MS Mincho" w:hAnsi="Times New Roman" w:cs="Times New Roman"/>
          <w:sz w:val="24"/>
          <w:szCs w:val="24"/>
        </w:rPr>
        <w:t>7 345 osób starszych objęto wsparciem w zakresie opieki zdrowotnej, w tym teleopieką medyczną: 4</w:t>
      </w:r>
      <w:r w:rsidR="005C31A8">
        <w:rPr>
          <w:rFonts w:ascii="Times New Roman" w:eastAsia="MS Mincho" w:hAnsi="Times New Roman" w:cs="Times New Roman"/>
          <w:sz w:val="24"/>
          <w:szCs w:val="24"/>
        </w:rPr>
        <w:t xml:space="preserve"> </w:t>
      </w:r>
      <w:r w:rsidRPr="005F0A32">
        <w:rPr>
          <w:rFonts w:ascii="Times New Roman" w:eastAsia="MS Mincho" w:hAnsi="Times New Roman" w:cs="Times New Roman"/>
          <w:sz w:val="24"/>
          <w:szCs w:val="24"/>
        </w:rPr>
        <w:t>437 osób;</w:t>
      </w:r>
    </w:p>
    <w:p w14:paraId="17D6D5EF" w14:textId="77777777" w:rsidR="00F31DCC" w:rsidRPr="005F0A32" w:rsidRDefault="00F31DCC" w:rsidP="008C71A9">
      <w:pPr>
        <w:numPr>
          <w:ilvl w:val="0"/>
          <w:numId w:val="112"/>
        </w:numPr>
        <w:spacing w:after="0"/>
        <w:ind w:left="360"/>
        <w:contextualSpacing/>
        <w:jc w:val="both"/>
        <w:rPr>
          <w:rFonts w:ascii="Times New Roman" w:eastAsia="MS Mincho" w:hAnsi="Times New Roman" w:cs="Times New Roman"/>
          <w:sz w:val="24"/>
          <w:szCs w:val="24"/>
        </w:rPr>
      </w:pPr>
      <w:r w:rsidRPr="005F0A32">
        <w:rPr>
          <w:rFonts w:ascii="Times New Roman" w:eastAsia="MS Mincho" w:hAnsi="Times New Roman" w:cs="Times New Roman"/>
          <w:sz w:val="24"/>
          <w:szCs w:val="24"/>
        </w:rPr>
        <w:t>540 opiekunów osób starszych i niesamodzielnych przygotowano do pracy;</w:t>
      </w:r>
    </w:p>
    <w:p w14:paraId="27D9EA2C" w14:textId="77777777" w:rsidR="00F31DCC" w:rsidRPr="00F848D7" w:rsidRDefault="00F31DCC" w:rsidP="008C71A9">
      <w:pPr>
        <w:numPr>
          <w:ilvl w:val="0"/>
          <w:numId w:val="112"/>
        </w:numPr>
        <w:spacing w:after="0"/>
        <w:ind w:left="360"/>
        <w:contextualSpacing/>
        <w:jc w:val="both"/>
        <w:rPr>
          <w:rFonts w:ascii="Times New Roman" w:eastAsia="MS Mincho" w:hAnsi="Times New Roman" w:cs="Times New Roman"/>
          <w:sz w:val="24"/>
          <w:szCs w:val="24"/>
        </w:rPr>
      </w:pPr>
      <w:r w:rsidRPr="005F0A32">
        <w:rPr>
          <w:rFonts w:ascii="Times New Roman" w:eastAsia="MS Mincho" w:hAnsi="Times New Roman" w:cs="Times New Roman"/>
          <w:sz w:val="24"/>
          <w:szCs w:val="24"/>
        </w:rPr>
        <w:lastRenderedPageBreak/>
        <w:t>728 miejsc opieki zapewniono osobom starszych i zależnych, czyli:</w:t>
      </w:r>
      <w:r w:rsidR="00F848D7">
        <w:rPr>
          <w:rFonts w:ascii="Times New Roman" w:eastAsia="MS Mincho" w:hAnsi="Times New Roman" w:cs="Times New Roman"/>
          <w:sz w:val="24"/>
          <w:szCs w:val="24"/>
        </w:rPr>
        <w:t xml:space="preserve"> </w:t>
      </w:r>
      <w:r w:rsidRPr="00F848D7">
        <w:rPr>
          <w:rFonts w:ascii="Times New Roman" w:eastAsia="MS Mincho" w:hAnsi="Times New Roman" w:cs="Times New Roman"/>
          <w:sz w:val="24"/>
          <w:szCs w:val="24"/>
        </w:rPr>
        <w:t>316 miejsc w całodobowych domach opieki,</w:t>
      </w:r>
      <w:r w:rsidR="00F848D7">
        <w:rPr>
          <w:rFonts w:ascii="Times New Roman" w:eastAsia="MS Mincho" w:hAnsi="Times New Roman" w:cs="Times New Roman"/>
          <w:sz w:val="24"/>
          <w:szCs w:val="24"/>
        </w:rPr>
        <w:t xml:space="preserve"> </w:t>
      </w:r>
      <w:r w:rsidRPr="00F848D7">
        <w:rPr>
          <w:rFonts w:ascii="Times New Roman" w:eastAsia="MS Mincho" w:hAnsi="Times New Roman" w:cs="Times New Roman"/>
          <w:sz w:val="24"/>
          <w:szCs w:val="24"/>
        </w:rPr>
        <w:t>185 miejsc w dziennych domach opieki,</w:t>
      </w:r>
      <w:r w:rsidR="00F848D7">
        <w:rPr>
          <w:rFonts w:ascii="Times New Roman" w:eastAsia="MS Mincho" w:hAnsi="Times New Roman" w:cs="Times New Roman"/>
          <w:sz w:val="24"/>
          <w:szCs w:val="24"/>
        </w:rPr>
        <w:t xml:space="preserve"> </w:t>
      </w:r>
      <w:r w:rsidRPr="00F848D7">
        <w:rPr>
          <w:rFonts w:ascii="Times New Roman" w:eastAsia="MS Mincho" w:hAnsi="Times New Roman" w:cs="Times New Roman"/>
          <w:sz w:val="24"/>
          <w:szCs w:val="24"/>
        </w:rPr>
        <w:t>155 miejsc w mieszkaniach wspieranych.</w:t>
      </w:r>
    </w:p>
    <w:p w14:paraId="6DF9643C" w14:textId="77777777" w:rsidR="00F31DCC" w:rsidRPr="005F0A32" w:rsidRDefault="00F31DCC" w:rsidP="00E7359C">
      <w:pPr>
        <w:spacing w:after="0"/>
        <w:ind w:left="851"/>
        <w:contextualSpacing/>
        <w:jc w:val="both"/>
        <w:rPr>
          <w:rFonts w:ascii="Times New Roman" w:eastAsia="MS Mincho" w:hAnsi="Times New Roman" w:cs="Times New Roman"/>
          <w:sz w:val="24"/>
          <w:szCs w:val="24"/>
        </w:rPr>
      </w:pPr>
    </w:p>
    <w:p w14:paraId="1387523A" w14:textId="77777777" w:rsidR="00F31DCC" w:rsidRPr="005F0A32" w:rsidRDefault="00F31DCC" w:rsidP="00E7359C">
      <w:pPr>
        <w:autoSpaceDE w:val="0"/>
        <w:autoSpaceDN w:val="0"/>
        <w:adjustRightInd w:val="0"/>
        <w:spacing w:after="0"/>
        <w:jc w:val="both"/>
        <w:rPr>
          <w:rFonts w:ascii="Times New Roman" w:eastAsia="Calibri" w:hAnsi="Times New Roman" w:cs="Times New Roman"/>
          <w:b/>
          <w:sz w:val="24"/>
          <w:szCs w:val="24"/>
        </w:rPr>
      </w:pPr>
      <w:r w:rsidRPr="005F0A32">
        <w:rPr>
          <w:rFonts w:ascii="Times New Roman" w:eastAsia="Calibri" w:hAnsi="Times New Roman" w:cs="Times New Roman"/>
          <w:b/>
          <w:sz w:val="24"/>
          <w:szCs w:val="24"/>
        </w:rPr>
        <w:t>Opolska Karta Rodziny i Seniora.</w:t>
      </w:r>
    </w:p>
    <w:p w14:paraId="496A3B6F" w14:textId="77777777" w:rsidR="00F31DCC" w:rsidRPr="005F0A32" w:rsidRDefault="00F31DCC" w:rsidP="00E7359C">
      <w:pPr>
        <w:autoSpaceDE w:val="0"/>
        <w:autoSpaceDN w:val="0"/>
        <w:adjustRightInd w:val="0"/>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Ważną inicjatywą realizowaną w regionie z myślą o osobach starszych jest Opolska Karta Rodziny i Seniora (OKRIS). To jedno z najbardziej rozpoznawalnych narzędzi Programu Opolskie dla Rodziny. Działa od maja 2014 r. bezpośrednio wspierając opolskie rodziny, osoby sprawujące opiekę nad osobą zależną oraz osoby powyżej 60 roku życia. Celem wprowadzenia inicjatywy jest przede wszystkim chęć wspólnego działania na rzecz budowy przyjaznego</w:t>
      </w:r>
      <w:r w:rsidR="00F848D7">
        <w:rPr>
          <w:rFonts w:ascii="Times New Roman" w:eastAsia="Calibri" w:hAnsi="Times New Roman" w:cs="Times New Roman"/>
          <w:sz w:val="24"/>
          <w:szCs w:val="24"/>
        </w:rPr>
        <w:t xml:space="preserve"> klimatu dla rodzin i seniorów </w:t>
      </w:r>
      <w:r w:rsidRPr="005F0A32">
        <w:rPr>
          <w:rFonts w:ascii="Times New Roman" w:eastAsia="Calibri" w:hAnsi="Times New Roman" w:cs="Times New Roman"/>
          <w:sz w:val="24"/>
          <w:szCs w:val="24"/>
        </w:rPr>
        <w:t>w regionie poprzez wprowadzenie systemu powszechnych zniżek oraz ulg zarówno w instytucjach podległych jednostkom samorządowym, jak również w podmiotach prywatnych. W inicjatywie uczestniczą niemal wszystkie gminy z terenu województwa opolski</w:t>
      </w:r>
      <w:r w:rsidR="005C31A8">
        <w:rPr>
          <w:rFonts w:ascii="Times New Roman" w:eastAsia="Calibri" w:hAnsi="Times New Roman" w:cs="Times New Roman"/>
          <w:sz w:val="24"/>
          <w:szCs w:val="24"/>
        </w:rPr>
        <w:t>ego (68 gmin na 71). W 2019 r.</w:t>
      </w:r>
      <w:r w:rsidRPr="005F0A32">
        <w:rPr>
          <w:rFonts w:ascii="Times New Roman" w:eastAsia="Calibri" w:hAnsi="Times New Roman" w:cs="Times New Roman"/>
          <w:sz w:val="24"/>
          <w:szCs w:val="24"/>
        </w:rPr>
        <w:t xml:space="preserve"> do OKRiS przyłączyło się kolejnych 13 partnerów, co w sumie daje liczbę 217 partnerów, głównie prywatnych firm oferujących posiadaczom karty atrakcyjne zniżki na usługi i produkty. Wysokość zniżki to najczęściej 10-20 %.</w:t>
      </w:r>
    </w:p>
    <w:p w14:paraId="0B76EC4A" w14:textId="77777777" w:rsidR="00F848D7" w:rsidRDefault="00F848D7" w:rsidP="00E7359C">
      <w:pPr>
        <w:autoSpaceDE w:val="0"/>
        <w:autoSpaceDN w:val="0"/>
        <w:adjustRightInd w:val="0"/>
        <w:spacing w:after="0"/>
        <w:jc w:val="both"/>
        <w:rPr>
          <w:rFonts w:ascii="Times New Roman" w:eastAsia="Calibri" w:hAnsi="Times New Roman" w:cs="Times New Roman"/>
          <w:sz w:val="24"/>
          <w:szCs w:val="24"/>
        </w:rPr>
      </w:pPr>
    </w:p>
    <w:p w14:paraId="6C5399FD" w14:textId="77777777" w:rsidR="00F31DCC" w:rsidRPr="005F0A32" w:rsidRDefault="00F848D7" w:rsidP="00E7359C">
      <w:pPr>
        <w:autoSpaceDE w:val="0"/>
        <w:autoSpaceDN w:val="0"/>
        <w:adjustRightInd w:val="0"/>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Na dzień 31 grudnia 2019 r.</w:t>
      </w:r>
      <w:r w:rsidR="00F31DCC" w:rsidRPr="005F0A32">
        <w:rPr>
          <w:rFonts w:ascii="Times New Roman" w:eastAsia="Calibri" w:hAnsi="Times New Roman" w:cs="Times New Roman"/>
          <w:sz w:val="24"/>
          <w:szCs w:val="24"/>
        </w:rPr>
        <w:t xml:space="preserve"> rozpatrzono</w:t>
      </w:r>
      <w:r w:rsidR="00B7259D">
        <w:rPr>
          <w:rFonts w:ascii="Times New Roman" w:eastAsia="Calibri" w:hAnsi="Times New Roman" w:cs="Times New Roman"/>
          <w:sz w:val="24"/>
          <w:szCs w:val="24"/>
        </w:rPr>
        <w:t xml:space="preserve"> w sumie, począwszy od 2014 r.</w:t>
      </w:r>
      <w:r w:rsidR="00F31DCC" w:rsidRPr="005F0A32">
        <w:rPr>
          <w:rFonts w:ascii="Times New Roman" w:eastAsia="Calibri" w:hAnsi="Times New Roman" w:cs="Times New Roman"/>
          <w:sz w:val="24"/>
          <w:szCs w:val="24"/>
        </w:rPr>
        <w:t>, ponad 39 tys. wniosków, w efekcie wydając uprawnionym mieszkańcom województwa ponad 85 tys. sztuk kart. Seniorzy w tym okresie złożyli ponad 22 tys. wniosków. Stanowią oni prawie 55% wszystkich użytkowników Karty.</w:t>
      </w:r>
      <w:r>
        <w:rPr>
          <w:rFonts w:ascii="Times New Roman" w:eastAsia="Calibri" w:hAnsi="Times New Roman" w:cs="Times New Roman"/>
          <w:sz w:val="24"/>
          <w:szCs w:val="24"/>
        </w:rPr>
        <w:t xml:space="preserve"> W samym 2019 r. </w:t>
      </w:r>
      <w:r w:rsidR="00F31DCC" w:rsidRPr="005F0A32">
        <w:rPr>
          <w:rFonts w:ascii="Times New Roman" w:eastAsia="Calibri" w:hAnsi="Times New Roman" w:cs="Times New Roman"/>
          <w:sz w:val="24"/>
          <w:szCs w:val="24"/>
        </w:rPr>
        <w:t>rozpatrzono 7 767 wniosków i wydano 17 869 kart. Ponad 6 tys. były to wnioski złożone przez seniorów.</w:t>
      </w:r>
    </w:p>
    <w:p w14:paraId="5E476735" w14:textId="77777777" w:rsidR="00F31DCC" w:rsidRPr="005F0A32" w:rsidRDefault="00F31DCC" w:rsidP="00E7359C">
      <w:pPr>
        <w:autoSpaceDE w:val="0"/>
        <w:autoSpaceDN w:val="0"/>
        <w:adjustRightInd w:val="0"/>
        <w:spacing w:after="0"/>
        <w:jc w:val="both"/>
        <w:rPr>
          <w:rFonts w:ascii="Times New Roman" w:eastAsia="Calibri" w:hAnsi="Times New Roman" w:cs="Times New Roman"/>
          <w:color w:val="FF0000"/>
          <w:sz w:val="24"/>
          <w:szCs w:val="24"/>
        </w:rPr>
      </w:pPr>
    </w:p>
    <w:p w14:paraId="744F5676" w14:textId="77777777" w:rsidR="00F31DCC" w:rsidRPr="006F1645" w:rsidRDefault="00F31DCC" w:rsidP="00E7359C">
      <w:pPr>
        <w:spacing w:after="0"/>
        <w:contextualSpacing/>
        <w:jc w:val="both"/>
        <w:rPr>
          <w:rFonts w:ascii="Times New Roman" w:eastAsia="Calibri" w:hAnsi="Times New Roman" w:cs="Times New Roman"/>
          <w:b/>
          <w:sz w:val="24"/>
          <w:szCs w:val="24"/>
        </w:rPr>
      </w:pPr>
      <w:r w:rsidRPr="005F0A32">
        <w:rPr>
          <w:rFonts w:ascii="Times New Roman" w:eastAsia="Calibri" w:hAnsi="Times New Roman" w:cs="Times New Roman"/>
          <w:b/>
          <w:sz w:val="24"/>
          <w:szCs w:val="24"/>
        </w:rPr>
        <w:t xml:space="preserve">Regionalny Program Operacyjny Województwa Opolskiego – projekt partnerski: </w:t>
      </w:r>
      <w:r w:rsidRPr="005F0A32">
        <w:rPr>
          <w:rFonts w:ascii="Times New Roman" w:eastAsia="Calibri" w:hAnsi="Times New Roman" w:cs="Times New Roman"/>
          <w:b/>
          <w:sz w:val="24"/>
          <w:szCs w:val="24"/>
        </w:rPr>
        <w:br/>
        <w:t>Nie-Sami-Dzielni – rozwój usług społecznych oraz wspierających osoby niesamodzielne (okres realizacji: gru</w:t>
      </w:r>
      <w:r w:rsidR="006F1645">
        <w:rPr>
          <w:rFonts w:ascii="Times New Roman" w:eastAsia="Calibri" w:hAnsi="Times New Roman" w:cs="Times New Roman"/>
          <w:b/>
          <w:sz w:val="24"/>
          <w:szCs w:val="24"/>
        </w:rPr>
        <w:t xml:space="preserve">dzień 2016 – styczeń 2020 r.). </w:t>
      </w:r>
      <w:r w:rsidRPr="005F0A32">
        <w:rPr>
          <w:rFonts w:ascii="Times New Roman" w:eastAsia="Calibri" w:hAnsi="Times New Roman" w:cs="Times New Roman"/>
          <w:sz w:val="24"/>
          <w:szCs w:val="24"/>
        </w:rPr>
        <w:t xml:space="preserve">Projekt zakładał: </w:t>
      </w:r>
    </w:p>
    <w:p w14:paraId="22B4D086" w14:textId="77777777" w:rsidR="00F31DCC" w:rsidRPr="005F0A32" w:rsidRDefault="00F31DCC" w:rsidP="008C71A9">
      <w:pPr>
        <w:numPr>
          <w:ilvl w:val="0"/>
          <w:numId w:val="113"/>
        </w:numPr>
        <w:tabs>
          <w:tab w:val="left" w:pos="709"/>
        </w:tabs>
        <w:spacing w:after="0"/>
        <w:ind w:left="360" w:right="141"/>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 xml:space="preserve">zapewnienie wysokiej jakości wsparcia, świadczonego w ramach usług asystenckich (wyłącznie dla osób niesamodzielnych z niepełnosprawnością oraz rodzin z dziećmi </w:t>
      </w:r>
      <w:r w:rsidRPr="005F0A32">
        <w:rPr>
          <w:rFonts w:ascii="Times New Roman" w:eastAsia="Times New Roman" w:hAnsi="Times New Roman" w:cs="Times New Roman"/>
          <w:sz w:val="24"/>
          <w:szCs w:val="24"/>
          <w:lang w:eastAsia="pl-PL"/>
        </w:rPr>
        <w:br/>
        <w:t xml:space="preserve">z niepełnosprawnością), </w:t>
      </w:r>
    </w:p>
    <w:p w14:paraId="0DB06EA3" w14:textId="77777777" w:rsidR="00F31DCC" w:rsidRPr="005F0A32" w:rsidRDefault="00F31DCC" w:rsidP="008C71A9">
      <w:pPr>
        <w:numPr>
          <w:ilvl w:val="0"/>
          <w:numId w:val="113"/>
        </w:numPr>
        <w:tabs>
          <w:tab w:val="left" w:pos="709"/>
        </w:tabs>
        <w:spacing w:after="0"/>
        <w:ind w:left="360" w:right="141"/>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 xml:space="preserve">utrzymanie miejsc świadczenia usług społecznych przez okres nie dłuższy niż 3 lata, </w:t>
      </w:r>
    </w:p>
    <w:p w14:paraId="44912168" w14:textId="77777777" w:rsidR="00F31DCC" w:rsidRPr="005F0A32" w:rsidRDefault="00F31DCC" w:rsidP="008C71A9">
      <w:pPr>
        <w:numPr>
          <w:ilvl w:val="0"/>
          <w:numId w:val="113"/>
        </w:numPr>
        <w:tabs>
          <w:tab w:val="left" w:pos="709"/>
        </w:tabs>
        <w:spacing w:after="0"/>
        <w:ind w:left="360" w:right="141"/>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 xml:space="preserve">świadczenie usług opiekuńczych dla osób niesamodzielnych, w tym wsparcie ich deinstytucjonalizacji, </w:t>
      </w:r>
    </w:p>
    <w:p w14:paraId="0EBB637B" w14:textId="77777777" w:rsidR="00F31DCC" w:rsidRPr="005F0A32" w:rsidRDefault="00F31DCC" w:rsidP="008C71A9">
      <w:pPr>
        <w:numPr>
          <w:ilvl w:val="0"/>
          <w:numId w:val="113"/>
        </w:numPr>
        <w:tabs>
          <w:tab w:val="left" w:pos="709"/>
        </w:tabs>
        <w:spacing w:after="0"/>
        <w:ind w:left="360" w:right="141"/>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 xml:space="preserve">wzrost liczby miejsc świadczenia usług opiekuńczych i asystenckich oraz </w:t>
      </w:r>
    </w:p>
    <w:p w14:paraId="45E43136" w14:textId="77777777" w:rsidR="00F31DCC" w:rsidRPr="005F0A32" w:rsidRDefault="00F31DCC" w:rsidP="008C71A9">
      <w:pPr>
        <w:numPr>
          <w:ilvl w:val="0"/>
          <w:numId w:val="113"/>
        </w:numPr>
        <w:tabs>
          <w:tab w:val="left" w:pos="709"/>
        </w:tabs>
        <w:spacing w:after="0"/>
        <w:ind w:left="360" w:right="141"/>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 xml:space="preserve">zwiększenie liczby asystentów, a także </w:t>
      </w:r>
    </w:p>
    <w:p w14:paraId="5E40C20D" w14:textId="77777777" w:rsidR="00F31DCC" w:rsidRPr="005F0A32" w:rsidRDefault="00F31DCC" w:rsidP="008C71A9">
      <w:pPr>
        <w:numPr>
          <w:ilvl w:val="0"/>
          <w:numId w:val="113"/>
        </w:numPr>
        <w:tabs>
          <w:tab w:val="left" w:pos="709"/>
        </w:tabs>
        <w:spacing w:after="0"/>
        <w:ind w:left="360" w:right="141"/>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zachowanie trwałości nowoutworzonych miejsc świadczenia usług opiekuńczych.</w:t>
      </w:r>
    </w:p>
    <w:p w14:paraId="756159F7" w14:textId="77777777" w:rsidR="00F31DCC" w:rsidRPr="00B7259D" w:rsidRDefault="00F31DCC" w:rsidP="008C71A9">
      <w:pPr>
        <w:pStyle w:val="Akapitzlist"/>
        <w:numPr>
          <w:ilvl w:val="0"/>
          <w:numId w:val="113"/>
        </w:numPr>
        <w:spacing w:after="0"/>
        <w:ind w:left="360"/>
        <w:jc w:val="both"/>
        <w:rPr>
          <w:rFonts w:ascii="Times New Roman" w:eastAsia="Times New Roman" w:hAnsi="Times New Roman" w:cs="Times New Roman"/>
          <w:bCs/>
          <w:sz w:val="24"/>
          <w:szCs w:val="24"/>
          <w:lang w:eastAsia="pl-PL"/>
        </w:rPr>
      </w:pPr>
      <w:r w:rsidRPr="00B7259D">
        <w:rPr>
          <w:rFonts w:ascii="Times New Roman" w:eastAsia="Times New Roman" w:hAnsi="Times New Roman" w:cs="Times New Roman"/>
          <w:bCs/>
          <w:sz w:val="24"/>
          <w:szCs w:val="24"/>
          <w:lang w:eastAsia="pl-PL"/>
        </w:rPr>
        <w:t>W latach 2017-2019:</w:t>
      </w:r>
    </w:p>
    <w:p w14:paraId="32C5527D" w14:textId="77777777" w:rsidR="00F31DCC" w:rsidRPr="005F0A32" w:rsidRDefault="00F31DCC" w:rsidP="008C71A9">
      <w:pPr>
        <w:numPr>
          <w:ilvl w:val="0"/>
          <w:numId w:val="113"/>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zwiększono zatrudnienie kadry (wśród Partnerów), świadczącej usługi na rzecz osób niesamodzielnych, starszych i niepełnosprawnych (o 43 osoby);</w:t>
      </w:r>
    </w:p>
    <w:p w14:paraId="56FA65B1" w14:textId="77777777" w:rsidR="00F31DCC" w:rsidRPr="005F0A32" w:rsidRDefault="00F31DCC" w:rsidP="008C71A9">
      <w:pPr>
        <w:numPr>
          <w:ilvl w:val="0"/>
          <w:numId w:val="113"/>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zwiększono zatrudnienie (wśród Partnerów) asystentów osób niesamodzielnych </w:t>
      </w:r>
      <w:r w:rsidRPr="005F0A32">
        <w:rPr>
          <w:rFonts w:ascii="Times New Roman" w:eastAsia="Calibri" w:hAnsi="Times New Roman" w:cs="Times New Roman"/>
          <w:sz w:val="24"/>
          <w:szCs w:val="24"/>
        </w:rPr>
        <w:br/>
        <w:t>(o 7 osób);</w:t>
      </w:r>
    </w:p>
    <w:p w14:paraId="5F1C20CC" w14:textId="77777777" w:rsidR="00F31DCC" w:rsidRPr="005F0A32" w:rsidRDefault="00F31DCC" w:rsidP="008C71A9">
      <w:pPr>
        <w:numPr>
          <w:ilvl w:val="0"/>
          <w:numId w:val="113"/>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wprowadzono w województwie usługę teleopieki dla 36 osób starszych;</w:t>
      </w:r>
    </w:p>
    <w:p w14:paraId="552328B8" w14:textId="77777777" w:rsidR="00F31DCC" w:rsidRPr="005F0A32" w:rsidRDefault="00F31DCC" w:rsidP="008C71A9">
      <w:pPr>
        <w:numPr>
          <w:ilvl w:val="0"/>
          <w:numId w:val="113"/>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lastRenderedPageBreak/>
        <w:t xml:space="preserve">prowadzono działania wspierające aktywność społeczną osób starszych (warsztaty teatralne </w:t>
      </w:r>
      <w:r w:rsidRPr="005F0A32">
        <w:rPr>
          <w:rFonts w:ascii="Times New Roman" w:eastAsia="Calibri" w:hAnsi="Times New Roman" w:cs="Times New Roman"/>
          <w:sz w:val="24"/>
          <w:szCs w:val="24"/>
        </w:rPr>
        <w:br/>
        <w:t>i muzyczne dla 32 osób, aktywizacja ruchowa oraz relaksacyjno-pobudzająca osób korzystających z Dziennego Domu Pobytu w Głubczycach – dla 20 osób);</w:t>
      </w:r>
    </w:p>
    <w:p w14:paraId="40DE094A" w14:textId="77777777" w:rsidR="00F31DCC" w:rsidRPr="005F0A32" w:rsidRDefault="00F31DCC" w:rsidP="008C71A9">
      <w:pPr>
        <w:numPr>
          <w:ilvl w:val="0"/>
          <w:numId w:val="113"/>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zorganizowano Regionalne Dni Seniora (dla ok. 800 uczestników);</w:t>
      </w:r>
    </w:p>
    <w:p w14:paraId="21172BAF" w14:textId="77777777" w:rsidR="00F31DCC" w:rsidRPr="005F0A32" w:rsidRDefault="00F31DCC" w:rsidP="008C71A9">
      <w:pPr>
        <w:numPr>
          <w:ilvl w:val="0"/>
          <w:numId w:val="113"/>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zorganizowano terapię zajęciową, terapię ruchem i żywieniem dla osób laryngektomowanych prowadzona w formie 2 turnusów 10 dniowych dla 8 osób prowadzona przez Stowarzyszenie Ambasada Sukcesu oraz Hipoterapia dla osób niepełnosprawnych prowadzona przez Ludowy Klub Jeździecki „Ostroga”;</w:t>
      </w:r>
    </w:p>
    <w:p w14:paraId="10F39D36" w14:textId="77777777" w:rsidR="00F31DCC" w:rsidRPr="005F0A32" w:rsidRDefault="00F31DCC" w:rsidP="008C71A9">
      <w:pPr>
        <w:numPr>
          <w:ilvl w:val="0"/>
          <w:numId w:val="113"/>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zorganizowano spotkanie integracyjne dla osób niesamodzielnych i ich otoczenia w Gminnym Ośrodku Sportu i Rekreacji w Zakrzowie w grudniu 2019 r. (udział wzięło 600 osób z całego województwa);</w:t>
      </w:r>
    </w:p>
    <w:p w14:paraId="6CE2E2C7" w14:textId="77777777" w:rsidR="00F31DCC" w:rsidRPr="005F0A32" w:rsidRDefault="00F31DCC" w:rsidP="008C71A9">
      <w:pPr>
        <w:numPr>
          <w:ilvl w:val="0"/>
          <w:numId w:val="113"/>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uruchomiono Ośrodek Wsparcia Dziennego dla osób z zespołem otępiennym (na 11 miejsc) - w ramach Dziennego Domu Pobytu nr 3 w Kędzierzynie-Koźlu;</w:t>
      </w:r>
    </w:p>
    <w:p w14:paraId="5722D50B" w14:textId="77777777" w:rsidR="00F31DCC" w:rsidRPr="005F0A32" w:rsidRDefault="00F31DCC" w:rsidP="008C71A9">
      <w:pPr>
        <w:numPr>
          <w:ilvl w:val="0"/>
          <w:numId w:val="113"/>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color w:val="000000"/>
          <w:sz w:val="24"/>
          <w:szCs w:val="24"/>
        </w:rPr>
        <w:t xml:space="preserve">wydano i </w:t>
      </w:r>
      <w:r w:rsidRPr="005F0A32">
        <w:rPr>
          <w:rFonts w:ascii="Times New Roman" w:eastAsia="Calibri" w:hAnsi="Times New Roman" w:cs="Times New Roman"/>
          <w:sz w:val="24"/>
          <w:szCs w:val="24"/>
        </w:rPr>
        <w:t>przekazano cztery numery kwartalnika SENIOR w nakładzie 500 szt. do wszystkich instytucji, organizacji pozarządowych w woj. opolskim, ministerstwa i departamentów zajmujących się osobami starszymi. Publikacja posiada numer ISNN w Bibliotece Narodowej,</w:t>
      </w:r>
    </w:p>
    <w:p w14:paraId="6E53DE6F" w14:textId="77777777" w:rsidR="00F31DCC" w:rsidRPr="005F0A32" w:rsidRDefault="00F31DCC" w:rsidP="008C71A9">
      <w:pPr>
        <w:numPr>
          <w:ilvl w:val="0"/>
          <w:numId w:val="113"/>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n</w:t>
      </w:r>
      <w:r w:rsidRPr="005F0A32">
        <w:rPr>
          <w:rFonts w:ascii="Times New Roman" w:eastAsia="Calibri" w:hAnsi="Times New Roman" w:cs="Times New Roman"/>
          <w:color w:val="000000"/>
          <w:sz w:val="24"/>
          <w:szCs w:val="24"/>
        </w:rPr>
        <w:t>apisano, opracowano i przygotowano do druku publikację w formie książki pn. „Zasoby osób starszych w budowaniu kapitału Śląska Opolskiego”, druk książki w nakładzie 500 egz. wykonany zostanie w 2020 r.</w:t>
      </w:r>
    </w:p>
    <w:p w14:paraId="2289478E" w14:textId="77777777" w:rsidR="00F31DCC" w:rsidRPr="005F0A32" w:rsidRDefault="00F31DCC" w:rsidP="00E7359C">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 2019 r. na realizację projektu wydatkowano 1 240 tys. zł (łączny koszt projektu – 4 542 tys. zł.).</w:t>
      </w:r>
    </w:p>
    <w:p w14:paraId="078AD68D" w14:textId="77777777" w:rsidR="00F31DCC" w:rsidRPr="005F0A32" w:rsidRDefault="00F31DCC" w:rsidP="00E7359C">
      <w:pPr>
        <w:autoSpaceDE w:val="0"/>
        <w:autoSpaceDN w:val="0"/>
        <w:adjustRightInd w:val="0"/>
        <w:spacing w:after="0"/>
        <w:jc w:val="both"/>
        <w:rPr>
          <w:rFonts w:ascii="Times New Roman" w:eastAsia="Calibri" w:hAnsi="Times New Roman" w:cs="Times New Roman"/>
          <w:b/>
          <w:color w:val="FF0000"/>
          <w:sz w:val="24"/>
          <w:szCs w:val="24"/>
        </w:rPr>
      </w:pPr>
    </w:p>
    <w:p w14:paraId="74558908" w14:textId="77777777" w:rsidR="00F31DCC" w:rsidRPr="005F0A32" w:rsidRDefault="00F31DCC" w:rsidP="00E7359C">
      <w:pPr>
        <w:autoSpaceDE w:val="0"/>
        <w:autoSpaceDN w:val="0"/>
        <w:adjustRightInd w:val="0"/>
        <w:spacing w:after="0"/>
        <w:jc w:val="both"/>
        <w:rPr>
          <w:rFonts w:ascii="Times New Roman" w:eastAsia="Calibri" w:hAnsi="Times New Roman" w:cs="Times New Roman"/>
          <w:b/>
          <w:bCs/>
          <w:sz w:val="24"/>
          <w:szCs w:val="24"/>
        </w:rPr>
      </w:pPr>
      <w:r w:rsidRPr="005F0A32">
        <w:rPr>
          <w:rFonts w:ascii="Times New Roman" w:eastAsia="Calibri" w:hAnsi="Times New Roman" w:cs="Times New Roman"/>
          <w:b/>
          <w:bCs/>
          <w:sz w:val="24"/>
          <w:szCs w:val="24"/>
        </w:rPr>
        <w:t>Projekt partnerski „Opolski senior – zapewnienie wsparcia osobom niesamodzielnym oraz ich opiekunom”.</w:t>
      </w:r>
    </w:p>
    <w:p w14:paraId="1076DF63" w14:textId="77777777" w:rsidR="00F31DCC" w:rsidRPr="005F0A32" w:rsidRDefault="00F31DCC" w:rsidP="00E7359C">
      <w:pPr>
        <w:autoSpaceDE w:val="0"/>
        <w:autoSpaceDN w:val="0"/>
        <w:adjustRightInd w:val="0"/>
        <w:spacing w:after="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Partnerami projektu są Regionalny Ośrodek Polityki Społecznej w Opolu oraz Towarzystwo Dobroczynne Niemców na Śląsku.</w:t>
      </w:r>
      <w:r w:rsidRPr="005F0A32">
        <w:rPr>
          <w:rFonts w:ascii="Times New Roman" w:eastAsia="Times New Roman" w:hAnsi="Times New Roman" w:cs="Times New Roman"/>
          <w:sz w:val="24"/>
          <w:szCs w:val="24"/>
          <w:lang w:eastAsia="pl-PL"/>
        </w:rPr>
        <w:t xml:space="preserve"> </w:t>
      </w:r>
      <w:r w:rsidRPr="005F0A32">
        <w:rPr>
          <w:rFonts w:ascii="Times New Roman" w:eastAsia="Calibri" w:hAnsi="Times New Roman" w:cs="Times New Roman"/>
          <w:bCs/>
          <w:sz w:val="24"/>
          <w:szCs w:val="24"/>
        </w:rPr>
        <w:t>Realizacja projektu w okresie kwiecień 2019 r. – październik 2023 r.</w:t>
      </w:r>
      <w:r w:rsidRPr="005F0A32">
        <w:rPr>
          <w:rFonts w:ascii="Times New Roman" w:eastAsia="Times New Roman" w:hAnsi="Times New Roman" w:cs="Times New Roman"/>
          <w:sz w:val="24"/>
          <w:szCs w:val="24"/>
          <w:lang w:eastAsia="pl-PL"/>
        </w:rPr>
        <w:t xml:space="preserve"> </w:t>
      </w:r>
      <w:r w:rsidR="006F1645">
        <w:rPr>
          <w:rFonts w:ascii="Times New Roman" w:eastAsia="Calibri" w:hAnsi="Times New Roman" w:cs="Times New Roman"/>
          <w:bCs/>
          <w:sz w:val="24"/>
          <w:szCs w:val="24"/>
        </w:rPr>
        <w:t>W 2019 r.</w:t>
      </w:r>
      <w:r w:rsidRPr="005F0A32">
        <w:rPr>
          <w:rFonts w:ascii="Times New Roman" w:eastAsia="Calibri" w:hAnsi="Times New Roman" w:cs="Times New Roman"/>
          <w:bCs/>
          <w:sz w:val="24"/>
          <w:szCs w:val="24"/>
        </w:rPr>
        <w:t xml:space="preserve"> wyłoniono wykonawcę do trzech zadań rea</w:t>
      </w:r>
      <w:r w:rsidR="00B7259D">
        <w:rPr>
          <w:rFonts w:ascii="Times New Roman" w:eastAsia="Calibri" w:hAnsi="Times New Roman" w:cs="Times New Roman"/>
          <w:bCs/>
          <w:sz w:val="24"/>
          <w:szCs w:val="24"/>
        </w:rPr>
        <w:t xml:space="preserve">lizowanych przez Partnera ROPS </w:t>
      </w:r>
      <w:r w:rsidRPr="005F0A32">
        <w:rPr>
          <w:rFonts w:ascii="Times New Roman" w:eastAsia="Calibri" w:hAnsi="Times New Roman" w:cs="Times New Roman"/>
          <w:bCs/>
          <w:sz w:val="24"/>
          <w:szCs w:val="24"/>
        </w:rPr>
        <w:t>w Opolu i zadania te zostały zrealizowane zgodnie z założeniem projektu, tj.:</w:t>
      </w:r>
    </w:p>
    <w:p w14:paraId="3B648699" w14:textId="77777777" w:rsidR="00F31DCC" w:rsidRPr="005F0A32" w:rsidRDefault="00F31DCC" w:rsidP="00E7359C">
      <w:pPr>
        <w:numPr>
          <w:ilvl w:val="0"/>
          <w:numId w:val="20"/>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aktywizacja kulturalna seniorów - warsztaty stacjonarne – organizacja i przeprowadzenie warsztatów kulturalnych dla seniorów w grupach: teatralnej i wokalnej – odbyły się 32 warsztaty, w każdym uczestniczyło 12 osób;</w:t>
      </w:r>
    </w:p>
    <w:p w14:paraId="1A8C66D0" w14:textId="77777777" w:rsidR="00F31DCC" w:rsidRPr="005F0A32" w:rsidRDefault="00F31DCC" w:rsidP="00E7359C">
      <w:pPr>
        <w:numPr>
          <w:ilvl w:val="0"/>
          <w:numId w:val="20"/>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aktywizacja kulturalna seniorów - terapia zajęciowa w miejscu pobytu osób niesamodzielnych - w ramach zadania przewiduje się zastosowanie tzw. aktywizacji kulturalnej w instytucjach typu Domy Dziennego Pobytu, Ośrodki Kultury, Świetlice, Stowarzyszenia Seniorów, Kluby Seniora, które świadczą usługi w ciągu dnia dla Se</w:t>
      </w:r>
      <w:r w:rsidR="00B7259D">
        <w:rPr>
          <w:rFonts w:ascii="Times New Roman" w:eastAsia="Calibri" w:hAnsi="Times New Roman" w:cs="Times New Roman"/>
          <w:bCs/>
          <w:sz w:val="24"/>
          <w:szCs w:val="24"/>
        </w:rPr>
        <w:t xml:space="preserve">niorów i osób niesamodzielnych </w:t>
      </w:r>
      <w:r w:rsidRPr="005F0A32">
        <w:rPr>
          <w:rFonts w:ascii="Times New Roman" w:eastAsia="Calibri" w:hAnsi="Times New Roman" w:cs="Times New Roman"/>
          <w:bCs/>
          <w:sz w:val="24"/>
          <w:szCs w:val="24"/>
        </w:rPr>
        <w:t>w województwie opolskim w ramach tzw. terapii zajęciowej w miejscu pobytu dziennego tych osób – przeprowadzono 16 terapii zajęciowej, w której udział wzięło 407 osób;</w:t>
      </w:r>
    </w:p>
    <w:p w14:paraId="1750FB21" w14:textId="77777777" w:rsidR="00F31DCC" w:rsidRPr="005F0A32" w:rsidRDefault="00F31DCC" w:rsidP="00E7359C">
      <w:pPr>
        <w:numPr>
          <w:ilvl w:val="0"/>
          <w:numId w:val="20"/>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 xml:space="preserve">aktywizacja kulturalna seniorów w ośrodkach kulturalnych - zadanie przewiduje udział osób starszych i niesamodzielnych w spektaklach teatralnych w ośrodkach kulturalnych. W ramach zadania zaplanowano udział max 160 osób w spektaklu. </w:t>
      </w:r>
    </w:p>
    <w:p w14:paraId="18BED1FE" w14:textId="77777777" w:rsidR="00B7259D" w:rsidRDefault="00B7259D" w:rsidP="00E7359C">
      <w:pPr>
        <w:autoSpaceDE w:val="0"/>
        <w:autoSpaceDN w:val="0"/>
        <w:adjustRightInd w:val="0"/>
        <w:spacing w:after="0"/>
        <w:jc w:val="both"/>
        <w:rPr>
          <w:rFonts w:ascii="Times New Roman" w:eastAsia="Calibri" w:hAnsi="Times New Roman" w:cs="Times New Roman"/>
          <w:bCs/>
          <w:sz w:val="24"/>
          <w:szCs w:val="24"/>
        </w:rPr>
      </w:pPr>
    </w:p>
    <w:p w14:paraId="6B8ACF2B" w14:textId="77777777" w:rsidR="00F31DCC" w:rsidRPr="005F0A32" w:rsidRDefault="00F31DCC" w:rsidP="00E7359C">
      <w:pPr>
        <w:autoSpaceDE w:val="0"/>
        <w:autoSpaceDN w:val="0"/>
        <w:adjustRightInd w:val="0"/>
        <w:spacing w:after="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lastRenderedPageBreak/>
        <w:t>Zapewniano transport dla uczestników projektu z całego województwa autokarami, busami, samochodami specjalnie przystosowanymi do przewozu osób niepełnosprawnych – w 8 spektaklach udział wzięło 1 137 osób. W 2019 r. koszt projektu wyniósł 339 tys. zł.</w:t>
      </w:r>
    </w:p>
    <w:p w14:paraId="473A92EA" w14:textId="77777777" w:rsidR="00F31DCC" w:rsidRPr="005F0A32" w:rsidRDefault="00F31DCC" w:rsidP="00E7359C">
      <w:pPr>
        <w:autoSpaceDE w:val="0"/>
        <w:autoSpaceDN w:val="0"/>
        <w:adjustRightInd w:val="0"/>
        <w:spacing w:after="0"/>
        <w:jc w:val="both"/>
        <w:rPr>
          <w:rFonts w:ascii="Times New Roman" w:eastAsia="Calibri" w:hAnsi="Times New Roman" w:cs="Times New Roman"/>
          <w:bCs/>
          <w:sz w:val="24"/>
          <w:szCs w:val="24"/>
        </w:rPr>
      </w:pPr>
    </w:p>
    <w:p w14:paraId="2D23033C" w14:textId="77777777" w:rsidR="00F31DCC" w:rsidRPr="005F0A32" w:rsidRDefault="00F31DCC" w:rsidP="00E7359C">
      <w:pPr>
        <w:autoSpaceDE w:val="0"/>
        <w:autoSpaceDN w:val="0"/>
        <w:adjustRightInd w:val="0"/>
        <w:spacing w:after="0"/>
        <w:jc w:val="both"/>
        <w:rPr>
          <w:rFonts w:ascii="Times New Roman" w:eastAsia="Calibri" w:hAnsi="Times New Roman" w:cs="Times New Roman"/>
          <w:b/>
          <w:bCs/>
          <w:sz w:val="24"/>
          <w:szCs w:val="24"/>
        </w:rPr>
      </w:pPr>
      <w:r w:rsidRPr="005F0A32">
        <w:rPr>
          <w:rFonts w:ascii="Times New Roman" w:eastAsia="Calibri" w:hAnsi="Times New Roman" w:cs="Times New Roman"/>
          <w:b/>
          <w:bCs/>
          <w:sz w:val="24"/>
          <w:szCs w:val="24"/>
        </w:rPr>
        <w:t xml:space="preserve">„Niezależne życie – wypracowanie standardu i przeprowadzenie pilotażu w zakresie usług mieszkalnictwa wspomaganego dla osób z chorobami neurologicznymi, w tym </w:t>
      </w:r>
      <w:r w:rsidRPr="005F0A32">
        <w:rPr>
          <w:rFonts w:ascii="Times New Roman" w:eastAsia="Calibri" w:hAnsi="Times New Roman" w:cs="Times New Roman"/>
          <w:b/>
          <w:bCs/>
          <w:sz w:val="24"/>
          <w:szCs w:val="24"/>
        </w:rPr>
        <w:br/>
        <w:t xml:space="preserve">z chorobą Alzheimera i chorobą Parkinsona oraz osób starszych”. </w:t>
      </w:r>
    </w:p>
    <w:p w14:paraId="333FE1AD" w14:textId="77777777" w:rsidR="00F31DCC" w:rsidRPr="005F0A32" w:rsidRDefault="00F31DCC" w:rsidP="00E7359C">
      <w:pPr>
        <w:autoSpaceDE w:val="0"/>
        <w:autoSpaceDN w:val="0"/>
        <w:adjustRightInd w:val="0"/>
        <w:spacing w:after="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 xml:space="preserve">Jest to partnerski projekt Samorządu Województwa Opolskiego i Samorządu Województwa Łódzkiego, bezpośrednio dedykowany osobom niesamodzielnym, (Działanie 2.8 Rozwój usług społecznych świadczonych w środowisku lokalnym, Oś priorytetowa Efektywne polityki publiczne dla rynku pracy, gospodarki i edukacji PO WER 2014-2020). </w:t>
      </w:r>
    </w:p>
    <w:p w14:paraId="34C16B43" w14:textId="77777777" w:rsidR="00B7259D" w:rsidRDefault="00B7259D" w:rsidP="00E7359C">
      <w:pPr>
        <w:autoSpaceDE w:val="0"/>
        <w:autoSpaceDN w:val="0"/>
        <w:adjustRightInd w:val="0"/>
        <w:spacing w:after="0"/>
        <w:jc w:val="both"/>
        <w:rPr>
          <w:rFonts w:ascii="Times New Roman" w:eastAsia="Calibri" w:hAnsi="Times New Roman" w:cs="Times New Roman"/>
          <w:bCs/>
          <w:sz w:val="24"/>
          <w:szCs w:val="24"/>
        </w:rPr>
      </w:pPr>
    </w:p>
    <w:p w14:paraId="7B3CB2C4" w14:textId="77777777" w:rsidR="00F31DCC" w:rsidRPr="005F0A32" w:rsidRDefault="00F31DCC" w:rsidP="00E7359C">
      <w:pPr>
        <w:autoSpaceDE w:val="0"/>
        <w:autoSpaceDN w:val="0"/>
        <w:adjustRightInd w:val="0"/>
        <w:spacing w:after="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 xml:space="preserve">Celem projektu jest wypracowanie rozwiązań umożliwiających niezależne życie osobom </w:t>
      </w:r>
      <w:r w:rsidRPr="005F0A32">
        <w:rPr>
          <w:rFonts w:ascii="Times New Roman" w:eastAsia="Calibri" w:hAnsi="Times New Roman" w:cs="Times New Roman"/>
          <w:bCs/>
          <w:sz w:val="24"/>
          <w:szCs w:val="24"/>
        </w:rPr>
        <w:br/>
        <w:t xml:space="preserve">z chorobami neurologicznymi, w tym z chorobą Alzheimera i chorobą Parkinsona. Zakłada opracowanie modelowego rozwiązania z zakresu mieszkalnictwa wspomaganego dla osób </w:t>
      </w:r>
      <w:r w:rsidRPr="005F0A32">
        <w:rPr>
          <w:rFonts w:ascii="Times New Roman" w:eastAsia="Calibri" w:hAnsi="Times New Roman" w:cs="Times New Roman"/>
          <w:bCs/>
          <w:sz w:val="24"/>
          <w:szCs w:val="24"/>
        </w:rPr>
        <w:br/>
        <w:t>z chorobami neurologicznymi, przeprowadzenie pilotażu oraz wdrożenie wypracowanego standardu na terenie 5 gmin (2 w woj. łódzkim i 3 w woj. opolskim).</w:t>
      </w:r>
      <w:r w:rsidR="00B7259D">
        <w:rPr>
          <w:rFonts w:ascii="Times New Roman" w:eastAsia="Calibri" w:hAnsi="Times New Roman" w:cs="Times New Roman"/>
          <w:bCs/>
          <w:sz w:val="24"/>
          <w:szCs w:val="24"/>
        </w:rPr>
        <w:t xml:space="preserve"> </w:t>
      </w:r>
      <w:r w:rsidRPr="005F0A32">
        <w:rPr>
          <w:rFonts w:ascii="Times New Roman" w:eastAsia="Calibri" w:hAnsi="Times New Roman" w:cs="Times New Roman"/>
          <w:bCs/>
          <w:sz w:val="24"/>
          <w:szCs w:val="24"/>
        </w:rPr>
        <w:t>W 2019 r.:</w:t>
      </w:r>
    </w:p>
    <w:p w14:paraId="62A309B4" w14:textId="77777777" w:rsidR="00F31DCC" w:rsidRPr="005F0A32" w:rsidRDefault="00F31DCC" w:rsidP="008C71A9">
      <w:pPr>
        <w:numPr>
          <w:ilvl w:val="0"/>
          <w:numId w:val="114"/>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zawarto porozumienia o przystąpieniu i realizacji projektu z gminami: Brzeg, Paczków i Biała;</w:t>
      </w:r>
    </w:p>
    <w:p w14:paraId="23B82C03" w14:textId="77777777" w:rsidR="00F31DCC" w:rsidRPr="005F0A32" w:rsidRDefault="00F31DCC" w:rsidP="008C71A9">
      <w:pPr>
        <w:numPr>
          <w:ilvl w:val="0"/>
          <w:numId w:val="114"/>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ogłoszono i rozstrzygnięto otwarty konkurs ofert dla organizacji pozarządowej i innych uprawnionych podmiotów na prowadzenie mieszkań wspomaganych w gminach (rekrutacja mieszkańców, zatrudnienie pracowników, prowadzenie usług wspierających pobyt i aktywność mieszkańców;</w:t>
      </w:r>
    </w:p>
    <w:p w14:paraId="6B7D3EF6" w14:textId="77777777" w:rsidR="00F31DCC" w:rsidRPr="005F0A32" w:rsidRDefault="00F31DCC" w:rsidP="008C71A9">
      <w:pPr>
        <w:numPr>
          <w:ilvl w:val="0"/>
          <w:numId w:val="114"/>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opracowano, wspólnie z gminami - zasady działania  mieszkań wspomaganych, w tym ich funkcjonowania (regulaminy i sposób organizacji);</w:t>
      </w:r>
    </w:p>
    <w:p w14:paraId="3EE55555" w14:textId="77777777" w:rsidR="00F31DCC" w:rsidRPr="005F0A32" w:rsidRDefault="00F31DCC" w:rsidP="008C71A9">
      <w:pPr>
        <w:numPr>
          <w:ilvl w:val="0"/>
          <w:numId w:val="114"/>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zrealizowano specjalistyczne szkolenie 160 godzinne dla personelu mieszkań wspomaganych;</w:t>
      </w:r>
    </w:p>
    <w:p w14:paraId="7F07825B" w14:textId="77777777" w:rsidR="00F31DCC" w:rsidRPr="005F0A32" w:rsidRDefault="00F31DCC" w:rsidP="008C71A9">
      <w:pPr>
        <w:numPr>
          <w:ilvl w:val="0"/>
          <w:numId w:val="114"/>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prowadzony był stały nadzór merytoryczny nad realizacją poszczególnych etapów utworzenia mieszkań w gminach, w tym adaptacji i wyposażenia mieszkań;</w:t>
      </w:r>
    </w:p>
    <w:p w14:paraId="5E20CD26" w14:textId="77777777" w:rsidR="00F31DCC" w:rsidRPr="005F0A32" w:rsidRDefault="00F31DCC" w:rsidP="008C71A9">
      <w:pPr>
        <w:numPr>
          <w:ilvl w:val="0"/>
          <w:numId w:val="114"/>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przeprowadzono postępowanie związane z organizacją w gminach – uczestnikach projektu gminnych spotkań dotyczących wdrażanego Modelu, w tym uroczystego otwarcia utworzonych mieszkań wspomaganych, które odbyły się w styczniu br.</w:t>
      </w:r>
    </w:p>
    <w:p w14:paraId="2B6B20D1" w14:textId="77777777" w:rsidR="00B7259D" w:rsidRDefault="00B7259D" w:rsidP="00E7359C">
      <w:pPr>
        <w:autoSpaceDE w:val="0"/>
        <w:autoSpaceDN w:val="0"/>
        <w:adjustRightInd w:val="0"/>
        <w:spacing w:after="0"/>
        <w:jc w:val="both"/>
        <w:rPr>
          <w:rFonts w:ascii="Times New Roman" w:eastAsia="Calibri" w:hAnsi="Times New Roman" w:cs="Times New Roman"/>
          <w:bCs/>
          <w:sz w:val="24"/>
          <w:szCs w:val="24"/>
        </w:rPr>
      </w:pPr>
    </w:p>
    <w:p w14:paraId="47D6CEFD" w14:textId="77777777" w:rsidR="00F31DCC" w:rsidRPr="005F0A32" w:rsidRDefault="00F31DCC" w:rsidP="00E7359C">
      <w:pPr>
        <w:autoSpaceDE w:val="0"/>
        <w:autoSpaceDN w:val="0"/>
        <w:adjustRightInd w:val="0"/>
        <w:spacing w:after="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Projekt realizowany jest w okresie od kwietnia 2018 r. do marca 2022 r., a jego łączna wartość wynosi 3 272 tys. zł. W 2018 r. wydatkowano na jego realizację 126 tys. zł.</w:t>
      </w:r>
    </w:p>
    <w:p w14:paraId="16CF8A51" w14:textId="77777777" w:rsidR="00F31DCC" w:rsidRPr="005F0A32" w:rsidRDefault="00F31DCC" w:rsidP="00E7359C">
      <w:pPr>
        <w:autoSpaceDE w:val="0"/>
        <w:autoSpaceDN w:val="0"/>
        <w:adjustRightInd w:val="0"/>
        <w:spacing w:after="0"/>
        <w:jc w:val="both"/>
        <w:rPr>
          <w:rFonts w:ascii="Times New Roman" w:eastAsia="Calibri" w:hAnsi="Times New Roman" w:cs="Times New Roman"/>
          <w:bCs/>
          <w:color w:val="FF0000"/>
          <w:sz w:val="24"/>
          <w:szCs w:val="24"/>
        </w:rPr>
      </w:pPr>
    </w:p>
    <w:p w14:paraId="32FA0710" w14:textId="77777777" w:rsidR="00F31DCC" w:rsidRPr="005F0A32" w:rsidRDefault="00F31DCC" w:rsidP="00E7359C">
      <w:pPr>
        <w:autoSpaceDE w:val="0"/>
        <w:autoSpaceDN w:val="0"/>
        <w:adjustRightInd w:val="0"/>
        <w:spacing w:after="0"/>
        <w:jc w:val="both"/>
        <w:rPr>
          <w:rFonts w:ascii="Times New Roman" w:eastAsia="Calibri" w:hAnsi="Times New Roman" w:cs="Times New Roman"/>
          <w:b/>
          <w:bCs/>
          <w:sz w:val="24"/>
          <w:szCs w:val="24"/>
        </w:rPr>
      </w:pPr>
      <w:r w:rsidRPr="005F0A32">
        <w:rPr>
          <w:rFonts w:ascii="Times New Roman" w:eastAsia="Calibri" w:hAnsi="Times New Roman" w:cs="Times New Roman"/>
          <w:b/>
          <w:bCs/>
          <w:sz w:val="24"/>
          <w:szCs w:val="24"/>
        </w:rPr>
        <w:t>Projekt partnerski „KOOPERACJE 3D - model wielosektorowej współpracy na rzecz wsparcia osób i rodzin”, realizowany w ramach Programu Operacyjnego Wiedza Edukacja Rozwój, Oś priorytetowa II. Efektywne polityki publiczne dla rynku pracy, gospodarki i edukacji. Działanie 2.5  Skuteczna pomoc społeczna.</w:t>
      </w:r>
    </w:p>
    <w:p w14:paraId="3CEDCF26" w14:textId="77777777" w:rsidR="00B7259D" w:rsidRDefault="00B7259D" w:rsidP="00E7359C">
      <w:pPr>
        <w:autoSpaceDE w:val="0"/>
        <w:autoSpaceDN w:val="0"/>
        <w:adjustRightInd w:val="0"/>
        <w:spacing w:after="0"/>
        <w:jc w:val="both"/>
        <w:rPr>
          <w:rFonts w:ascii="Times New Roman" w:eastAsia="Calibri" w:hAnsi="Times New Roman" w:cs="Times New Roman"/>
          <w:bCs/>
          <w:sz w:val="24"/>
          <w:szCs w:val="24"/>
        </w:rPr>
      </w:pPr>
    </w:p>
    <w:p w14:paraId="0A30B295" w14:textId="77777777" w:rsidR="00F31DCC" w:rsidRPr="005F0A32" w:rsidRDefault="00F31DCC" w:rsidP="00E7359C">
      <w:pPr>
        <w:autoSpaceDE w:val="0"/>
        <w:autoSpaceDN w:val="0"/>
        <w:adjustRightInd w:val="0"/>
        <w:spacing w:after="0"/>
        <w:jc w:val="both"/>
        <w:rPr>
          <w:rFonts w:ascii="Times New Roman" w:eastAsia="Calibri" w:hAnsi="Times New Roman" w:cs="Times New Roman"/>
          <w:sz w:val="24"/>
          <w:szCs w:val="24"/>
        </w:rPr>
      </w:pPr>
      <w:r w:rsidRPr="005F0A32">
        <w:rPr>
          <w:rFonts w:ascii="Times New Roman" w:eastAsia="Calibri" w:hAnsi="Times New Roman" w:cs="Times New Roman"/>
          <w:bCs/>
          <w:sz w:val="24"/>
          <w:szCs w:val="24"/>
        </w:rPr>
        <w:t xml:space="preserve">Celem głównym projektu jest zwiększenie kooperacji oraz poprawa współpracy pomiędzy instytucjami pomocy i integracji społecznej a podmiotami innych polityk sektorowych istotnych z punku widzenia włączenia społ. i zwalczania ubóstwa m.in. pomocy społecznej, edukacji, </w:t>
      </w:r>
      <w:r w:rsidRPr="005F0A32">
        <w:rPr>
          <w:rFonts w:ascii="Times New Roman" w:eastAsia="Calibri" w:hAnsi="Times New Roman" w:cs="Times New Roman"/>
          <w:bCs/>
          <w:sz w:val="24"/>
          <w:szCs w:val="24"/>
        </w:rPr>
        <w:lastRenderedPageBreak/>
        <w:t>zdrowia, sądownictwa, policji.</w:t>
      </w:r>
      <w:r w:rsidRPr="005F0A32">
        <w:rPr>
          <w:rFonts w:ascii="Times New Roman" w:eastAsia="Calibri" w:hAnsi="Times New Roman" w:cs="Times New Roman"/>
          <w:sz w:val="24"/>
          <w:szCs w:val="24"/>
        </w:rPr>
        <w:t xml:space="preserve"> </w:t>
      </w:r>
      <w:r w:rsidRPr="005F0A32">
        <w:rPr>
          <w:rFonts w:ascii="Times New Roman" w:eastAsia="Calibri" w:hAnsi="Times New Roman" w:cs="Times New Roman"/>
          <w:bCs/>
          <w:sz w:val="24"/>
          <w:szCs w:val="24"/>
        </w:rPr>
        <w:t xml:space="preserve">Model będzie wypracowany i testowany na terenie 4 województw: śląskie, opolskie, łódzkie, małopolskie (łącznie w 30 powiatach i 20 gminach powyżej 20 tys. mieszkańców). </w:t>
      </w:r>
    </w:p>
    <w:p w14:paraId="093FC670" w14:textId="77777777" w:rsidR="00B7259D" w:rsidRDefault="00B7259D" w:rsidP="00E7359C">
      <w:pPr>
        <w:autoSpaceDE w:val="0"/>
        <w:autoSpaceDN w:val="0"/>
        <w:adjustRightInd w:val="0"/>
        <w:spacing w:after="0"/>
        <w:jc w:val="both"/>
        <w:rPr>
          <w:rFonts w:ascii="Times New Roman" w:eastAsia="Calibri" w:hAnsi="Times New Roman" w:cs="Times New Roman"/>
          <w:bCs/>
          <w:sz w:val="24"/>
          <w:szCs w:val="24"/>
        </w:rPr>
      </w:pPr>
    </w:p>
    <w:p w14:paraId="6EAC7506" w14:textId="77777777" w:rsidR="00F31DCC" w:rsidRPr="005F0A32" w:rsidRDefault="00F31DCC" w:rsidP="00E7359C">
      <w:pPr>
        <w:autoSpaceDE w:val="0"/>
        <w:autoSpaceDN w:val="0"/>
        <w:adjustRightInd w:val="0"/>
        <w:spacing w:after="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Rezultaty osiągnięte w ramach zadań projektu w 2019 r.:</w:t>
      </w:r>
    </w:p>
    <w:p w14:paraId="69126C2D" w14:textId="77777777" w:rsidR="00F31DCC" w:rsidRPr="005F0A32" w:rsidRDefault="00F31DCC" w:rsidP="008C71A9">
      <w:pPr>
        <w:numPr>
          <w:ilvl w:val="0"/>
          <w:numId w:val="115"/>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zakończono opracowywanie przez ekspertów makroregionalnych z 4 województw Modelu Kooperacji dla miast pow. 20 tys. ludności;</w:t>
      </w:r>
    </w:p>
    <w:p w14:paraId="02CCE413" w14:textId="77777777" w:rsidR="00F31DCC" w:rsidRPr="005F0A32" w:rsidRDefault="00F31DCC" w:rsidP="008C71A9">
      <w:pPr>
        <w:numPr>
          <w:ilvl w:val="0"/>
          <w:numId w:val="115"/>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 xml:space="preserve">powołano regionalny Zespół ekspertów ds. opracowania Modelu (zawarto umowy </w:t>
      </w:r>
      <w:r w:rsidRPr="005F0A32">
        <w:rPr>
          <w:rFonts w:ascii="Times New Roman" w:eastAsia="Calibri" w:hAnsi="Times New Roman" w:cs="Times New Roman"/>
          <w:bCs/>
          <w:sz w:val="24"/>
          <w:szCs w:val="24"/>
        </w:rPr>
        <w:br/>
        <w:t>z Ekspertami; w 2018 r. odbyło się łącznie 10 spotkań roboczych zespołu ekspertów w Opolu oraz  6 spotkań ekspertów z makroregionu (woj. opolskie, ś</w:t>
      </w:r>
      <w:r w:rsidR="004E530A">
        <w:rPr>
          <w:rFonts w:ascii="Times New Roman" w:eastAsia="Calibri" w:hAnsi="Times New Roman" w:cs="Times New Roman"/>
          <w:bCs/>
          <w:sz w:val="24"/>
          <w:szCs w:val="24"/>
        </w:rPr>
        <w:t xml:space="preserve">ląskie, małopolskie i łódzkie) </w:t>
      </w:r>
      <w:r w:rsidRPr="005F0A32">
        <w:rPr>
          <w:rFonts w:ascii="Times New Roman" w:eastAsia="Calibri" w:hAnsi="Times New Roman" w:cs="Times New Roman"/>
          <w:bCs/>
          <w:sz w:val="24"/>
          <w:szCs w:val="24"/>
        </w:rPr>
        <w:t xml:space="preserve">w siedzibie Lidera w Katowicach; </w:t>
      </w:r>
    </w:p>
    <w:p w14:paraId="09566BB2" w14:textId="77777777" w:rsidR="00F31DCC" w:rsidRPr="005F0A32" w:rsidRDefault="00F31DCC" w:rsidP="008C71A9">
      <w:pPr>
        <w:numPr>
          <w:ilvl w:val="0"/>
          <w:numId w:val="115"/>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przeprowadzono konsultacje Modelu, w tym spotkanie konsultacyjne w Opolu;</w:t>
      </w:r>
    </w:p>
    <w:p w14:paraId="536E4762" w14:textId="77777777" w:rsidR="00F31DCC" w:rsidRPr="005F0A32" w:rsidRDefault="00F31DCC" w:rsidP="008C71A9">
      <w:pPr>
        <w:numPr>
          <w:ilvl w:val="0"/>
          <w:numId w:val="115"/>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przeprowadzono szkolenia międzysektorowe z warsztatami  dla przedstawicieli instytucji pomocy i integracji społecznej i innych polityk sektorowych z terenu województwa opolskiego dla 24 grup tj. 350 osób;</w:t>
      </w:r>
    </w:p>
    <w:p w14:paraId="48B56284" w14:textId="77777777" w:rsidR="00F31DCC" w:rsidRPr="005F0A32" w:rsidRDefault="00F31DCC" w:rsidP="008C71A9">
      <w:pPr>
        <w:numPr>
          <w:ilvl w:val="0"/>
          <w:numId w:val="115"/>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wyłoniono Animatora – moderatora w Fazie pilotażu Modelu kooperacji, którego zadaniem jest miedzy innymi organizacja spotkań animujących zawiązywanie partnerstw, konsultacje, wsparcie  potencjalnych parterów kooperacji itp., zawarto umowę na świadczenie usług do września 2020 r.;</w:t>
      </w:r>
    </w:p>
    <w:p w14:paraId="71915065" w14:textId="77777777" w:rsidR="00F31DCC" w:rsidRPr="005F0A32" w:rsidRDefault="00F31DCC" w:rsidP="008C71A9">
      <w:pPr>
        <w:numPr>
          <w:ilvl w:val="0"/>
          <w:numId w:val="115"/>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 xml:space="preserve">przeprowadzono spotkania inicjująco-formalizujące Partnerskie Zespoły Kooperacyjne </w:t>
      </w:r>
      <w:r w:rsidRPr="005F0A32">
        <w:rPr>
          <w:rFonts w:ascii="Times New Roman" w:eastAsia="Calibri" w:hAnsi="Times New Roman" w:cs="Times New Roman"/>
          <w:bCs/>
          <w:sz w:val="24"/>
          <w:szCs w:val="24"/>
        </w:rPr>
        <w:br/>
        <w:t>w Brzegu i Kędzierzynie-Koźlu z kadrą kierowniczą z różnych instytucji polityk sektorowych - kooperantów projektu;</w:t>
      </w:r>
    </w:p>
    <w:p w14:paraId="6EC628DA" w14:textId="77777777" w:rsidR="00F31DCC" w:rsidRPr="005F0A32" w:rsidRDefault="00F31DCC" w:rsidP="008C71A9">
      <w:pPr>
        <w:numPr>
          <w:ilvl w:val="0"/>
          <w:numId w:val="115"/>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realizowane były usługi coachingowe dla pracowników soc</w:t>
      </w:r>
      <w:r w:rsidR="004E530A">
        <w:rPr>
          <w:rFonts w:ascii="Times New Roman" w:eastAsia="Calibri" w:hAnsi="Times New Roman" w:cs="Times New Roman"/>
          <w:bCs/>
          <w:sz w:val="24"/>
          <w:szCs w:val="24"/>
        </w:rPr>
        <w:t xml:space="preserve">jalnych w ramach PZK w gminach </w:t>
      </w:r>
      <w:r w:rsidRPr="005F0A32">
        <w:rPr>
          <w:rFonts w:ascii="Times New Roman" w:eastAsia="Calibri" w:hAnsi="Times New Roman" w:cs="Times New Roman"/>
          <w:bCs/>
          <w:sz w:val="24"/>
          <w:szCs w:val="24"/>
        </w:rPr>
        <w:t>i powiatach uczestniczących w projekcie;</w:t>
      </w:r>
    </w:p>
    <w:p w14:paraId="431A1E45" w14:textId="77777777" w:rsidR="00F31DCC" w:rsidRPr="005F0A32" w:rsidRDefault="00F31DCC" w:rsidP="008C71A9">
      <w:pPr>
        <w:numPr>
          <w:ilvl w:val="0"/>
          <w:numId w:val="115"/>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zapewniono wsparcie uczestnikom projektu w formie usług doradczych Eksperta ds. Modelu;</w:t>
      </w:r>
    </w:p>
    <w:p w14:paraId="5C080645" w14:textId="77777777" w:rsidR="00F31DCC" w:rsidRPr="005F0A32" w:rsidRDefault="00F31DCC" w:rsidP="008C71A9">
      <w:pPr>
        <w:numPr>
          <w:ilvl w:val="0"/>
          <w:numId w:val="115"/>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odbyły się też spotkania PZK (kadra kierownicza) oraz – zgodnie z zapisami Modelu - spotkania Zadaniowych Zespołów Kooperacyjnych (pracownicy operacyjni kooperantów PZK);</w:t>
      </w:r>
    </w:p>
    <w:p w14:paraId="3AE570AA" w14:textId="77777777" w:rsidR="00F31DCC" w:rsidRPr="005F0A32" w:rsidRDefault="00F31DCC" w:rsidP="008C71A9">
      <w:pPr>
        <w:numPr>
          <w:ilvl w:val="0"/>
          <w:numId w:val="115"/>
        </w:numPr>
        <w:autoSpaceDE w:val="0"/>
        <w:autoSpaceDN w:val="0"/>
        <w:adjustRightInd w:val="0"/>
        <w:spacing w:after="0"/>
        <w:ind w:left="36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wyłoniono wykonawcę Warsztatów kooperacyjnych dla uczestników projektu;</w:t>
      </w:r>
    </w:p>
    <w:p w14:paraId="0F1FFD4E" w14:textId="77777777" w:rsidR="00F31DCC" w:rsidRPr="005F0A32" w:rsidRDefault="00F31DCC" w:rsidP="008C71A9">
      <w:pPr>
        <w:numPr>
          <w:ilvl w:val="0"/>
          <w:numId w:val="115"/>
        </w:numPr>
        <w:autoSpaceDE w:val="0"/>
        <w:autoSpaceDN w:val="0"/>
        <w:adjustRightInd w:val="0"/>
        <w:spacing w:after="0"/>
        <w:ind w:left="360"/>
        <w:jc w:val="both"/>
        <w:rPr>
          <w:rFonts w:ascii="Times New Roman" w:eastAsia="Calibri" w:hAnsi="Times New Roman" w:cs="Times New Roman"/>
          <w:bCs/>
          <w:color w:val="FF0000"/>
          <w:sz w:val="24"/>
          <w:szCs w:val="24"/>
        </w:rPr>
      </w:pPr>
      <w:r w:rsidRPr="005F0A32">
        <w:rPr>
          <w:rFonts w:ascii="Times New Roman" w:eastAsia="Calibri" w:hAnsi="Times New Roman" w:cs="Times New Roman"/>
          <w:bCs/>
          <w:sz w:val="24"/>
          <w:szCs w:val="24"/>
        </w:rPr>
        <w:t>zorganizowano pierwszy wyjazdowy warsztatowy dla uczestników PZK/ZZK łącznie dla 50 osób w listopadzie 2019 r. oraz drugi wyjazd w styczniu 2020 r.</w:t>
      </w:r>
      <w:r w:rsidRPr="005F0A32">
        <w:rPr>
          <w:rFonts w:ascii="Times New Roman" w:eastAsia="Calibri" w:hAnsi="Times New Roman" w:cs="Times New Roman"/>
          <w:sz w:val="24"/>
          <w:szCs w:val="24"/>
        </w:rPr>
        <w:tab/>
      </w:r>
    </w:p>
    <w:p w14:paraId="5945611E" w14:textId="77777777" w:rsidR="00F31DCC" w:rsidRPr="00B7259D" w:rsidRDefault="00F31DCC" w:rsidP="008C71A9">
      <w:pPr>
        <w:pStyle w:val="Akapitzlist"/>
        <w:numPr>
          <w:ilvl w:val="0"/>
          <w:numId w:val="115"/>
        </w:numPr>
        <w:autoSpaceDE w:val="0"/>
        <w:autoSpaceDN w:val="0"/>
        <w:adjustRightInd w:val="0"/>
        <w:spacing w:after="0"/>
        <w:ind w:left="360"/>
        <w:jc w:val="both"/>
        <w:rPr>
          <w:rFonts w:ascii="Times New Roman" w:eastAsia="Calibri" w:hAnsi="Times New Roman" w:cs="Times New Roman"/>
          <w:bCs/>
          <w:sz w:val="24"/>
          <w:szCs w:val="24"/>
        </w:rPr>
      </w:pPr>
      <w:r w:rsidRPr="00B7259D">
        <w:rPr>
          <w:rFonts w:ascii="Times New Roman" w:eastAsia="Calibri" w:hAnsi="Times New Roman" w:cs="Times New Roman"/>
          <w:bCs/>
          <w:sz w:val="24"/>
          <w:szCs w:val="24"/>
        </w:rPr>
        <w:t xml:space="preserve">Projekt jest realizowany od kwietnia 2018 r. do marca 2021 r., a jego łączna wartość wynosi </w:t>
      </w:r>
      <w:r w:rsidRPr="00B7259D">
        <w:rPr>
          <w:rFonts w:ascii="Times New Roman" w:eastAsia="Calibri" w:hAnsi="Times New Roman" w:cs="Times New Roman"/>
          <w:bCs/>
          <w:sz w:val="24"/>
          <w:szCs w:val="24"/>
        </w:rPr>
        <w:br/>
        <w:t>9 967 tys. zł. W 2019 r. wydatkowano 398 tys. zł.</w:t>
      </w:r>
    </w:p>
    <w:p w14:paraId="55AB9630" w14:textId="77777777" w:rsidR="00F31DCC" w:rsidRPr="005F0A32" w:rsidRDefault="00F31DCC" w:rsidP="00E7359C">
      <w:pPr>
        <w:autoSpaceDE w:val="0"/>
        <w:autoSpaceDN w:val="0"/>
        <w:adjustRightInd w:val="0"/>
        <w:spacing w:after="0"/>
        <w:jc w:val="both"/>
        <w:rPr>
          <w:rFonts w:ascii="Times New Roman" w:eastAsia="Calibri" w:hAnsi="Times New Roman" w:cs="Times New Roman"/>
          <w:bCs/>
          <w:sz w:val="24"/>
          <w:szCs w:val="24"/>
        </w:rPr>
      </w:pPr>
    </w:p>
    <w:p w14:paraId="32AD848F" w14:textId="77777777" w:rsidR="00F31DCC" w:rsidRPr="005F0A32" w:rsidRDefault="00F31DCC" w:rsidP="00E7359C">
      <w:pPr>
        <w:autoSpaceDE w:val="0"/>
        <w:autoSpaceDN w:val="0"/>
        <w:adjustRightInd w:val="0"/>
        <w:spacing w:after="0"/>
        <w:jc w:val="both"/>
        <w:rPr>
          <w:rFonts w:ascii="Times New Roman" w:eastAsia="Calibri" w:hAnsi="Times New Roman" w:cs="Times New Roman"/>
          <w:b/>
          <w:bCs/>
          <w:sz w:val="24"/>
          <w:szCs w:val="24"/>
        </w:rPr>
      </w:pPr>
      <w:r w:rsidRPr="005F0A32">
        <w:rPr>
          <w:rFonts w:ascii="Times New Roman" w:eastAsia="Calibri" w:hAnsi="Times New Roman" w:cs="Times New Roman"/>
          <w:b/>
          <w:bCs/>
          <w:sz w:val="24"/>
          <w:szCs w:val="24"/>
        </w:rPr>
        <w:t>Projekt Inwestycja w poprawę wykształcenia kadr zatrudnionych w instytucjach</w:t>
      </w:r>
      <w:r w:rsidR="004E530A">
        <w:rPr>
          <w:rFonts w:ascii="Times New Roman" w:eastAsia="Calibri" w:hAnsi="Times New Roman" w:cs="Times New Roman"/>
          <w:b/>
          <w:bCs/>
          <w:sz w:val="24"/>
          <w:szCs w:val="24"/>
        </w:rPr>
        <w:t xml:space="preserve"> pomocy i integracji społecznej</w:t>
      </w:r>
    </w:p>
    <w:p w14:paraId="45C3229D" w14:textId="77777777" w:rsidR="00F31DCC" w:rsidRPr="005F0A32" w:rsidRDefault="00F31DCC" w:rsidP="00E7359C">
      <w:pPr>
        <w:autoSpaceDE w:val="0"/>
        <w:autoSpaceDN w:val="0"/>
        <w:adjustRightInd w:val="0"/>
        <w:spacing w:after="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 xml:space="preserve">Celem projektu jest uzyskanie przez pracowników instytucji pomocy i integracji społecznej (186 osób) specjalizacji II. stopnia w zawodzie pracownik socjalny w zakresie przygotowania specjalistycznego na kierunku praca socjalna z osobami starszymi. Tematyka specjalizacji obejmuje m.in. szczegółowe metody pracy socjalnej z osobami starszymi, problematykę starości w ujęciu interdyscyplinarnym, hospitalizację instytucji działających w obszarze pracy socjalnej z osobami starszymi. Okres realizacji projektu: listopad 2017 r. – październik 2019 r. Rezultatem tego projektu było przystąpienie 85 osób do egzaminu  przed Centralną Komisją Egzaminacyjną </w:t>
      </w:r>
      <w:r w:rsidR="004E530A">
        <w:rPr>
          <w:rFonts w:ascii="Times New Roman" w:eastAsia="Calibri" w:hAnsi="Times New Roman" w:cs="Times New Roman"/>
          <w:bCs/>
          <w:sz w:val="24"/>
          <w:szCs w:val="24"/>
        </w:rPr>
        <w:lastRenderedPageBreak/>
        <w:t xml:space="preserve">w Warszawie </w:t>
      </w:r>
      <w:r w:rsidRPr="005F0A32">
        <w:rPr>
          <w:rFonts w:ascii="Times New Roman" w:eastAsia="Calibri" w:hAnsi="Times New Roman" w:cs="Times New Roman"/>
          <w:bCs/>
          <w:sz w:val="24"/>
          <w:szCs w:val="24"/>
        </w:rPr>
        <w:t>z czego 83 osoby pozytywnie zdały egzamin.</w:t>
      </w:r>
      <w:r w:rsidRPr="005F0A32">
        <w:rPr>
          <w:rFonts w:ascii="Times New Roman" w:eastAsia="Times New Roman" w:hAnsi="Times New Roman" w:cs="Times New Roman"/>
          <w:sz w:val="24"/>
          <w:szCs w:val="24"/>
          <w:lang w:eastAsia="pl-PL"/>
        </w:rPr>
        <w:t xml:space="preserve"> </w:t>
      </w:r>
      <w:r w:rsidRPr="005F0A32">
        <w:rPr>
          <w:rFonts w:ascii="Times New Roman" w:eastAsia="Calibri" w:hAnsi="Times New Roman" w:cs="Times New Roman"/>
          <w:bCs/>
          <w:sz w:val="24"/>
          <w:szCs w:val="24"/>
        </w:rPr>
        <w:t>W 2019 r. koszt projektu wyniósł 413 tys. zł.</w:t>
      </w:r>
    </w:p>
    <w:p w14:paraId="6A13B182" w14:textId="77777777" w:rsidR="00F31DCC" w:rsidRPr="005F0A32" w:rsidRDefault="00F31DCC" w:rsidP="00E7359C">
      <w:pPr>
        <w:autoSpaceDE w:val="0"/>
        <w:autoSpaceDN w:val="0"/>
        <w:adjustRightInd w:val="0"/>
        <w:spacing w:after="0"/>
        <w:jc w:val="both"/>
        <w:rPr>
          <w:rFonts w:ascii="Times New Roman" w:eastAsia="Calibri" w:hAnsi="Times New Roman" w:cs="Times New Roman"/>
          <w:color w:val="FF0000"/>
          <w:sz w:val="24"/>
          <w:szCs w:val="24"/>
        </w:rPr>
      </w:pPr>
    </w:p>
    <w:p w14:paraId="108DA537" w14:textId="77777777" w:rsidR="00F31DCC" w:rsidRPr="005F0A32" w:rsidRDefault="00F31DCC" w:rsidP="00E7359C">
      <w:pPr>
        <w:autoSpaceDE w:val="0"/>
        <w:autoSpaceDN w:val="0"/>
        <w:adjustRightInd w:val="0"/>
        <w:spacing w:after="0"/>
        <w:jc w:val="both"/>
        <w:rPr>
          <w:rFonts w:ascii="Times New Roman" w:eastAsia="Calibri" w:hAnsi="Times New Roman" w:cs="Times New Roman"/>
          <w:b/>
          <w:bCs/>
          <w:sz w:val="24"/>
          <w:szCs w:val="24"/>
        </w:rPr>
      </w:pPr>
      <w:r w:rsidRPr="005F0A32">
        <w:rPr>
          <w:rFonts w:ascii="Times New Roman" w:eastAsia="Calibri" w:hAnsi="Times New Roman" w:cs="Times New Roman"/>
          <w:b/>
          <w:bCs/>
          <w:sz w:val="24"/>
          <w:szCs w:val="24"/>
        </w:rPr>
        <w:t xml:space="preserve">Program </w:t>
      </w:r>
      <w:r w:rsidR="004E530A">
        <w:rPr>
          <w:rFonts w:ascii="Times New Roman" w:eastAsia="Calibri" w:hAnsi="Times New Roman" w:cs="Times New Roman"/>
          <w:b/>
          <w:bCs/>
          <w:sz w:val="24"/>
          <w:szCs w:val="24"/>
        </w:rPr>
        <w:t>Senior+</w:t>
      </w:r>
      <w:r w:rsidRPr="005F0A32">
        <w:rPr>
          <w:rFonts w:ascii="Times New Roman" w:eastAsia="Calibri" w:hAnsi="Times New Roman" w:cs="Times New Roman"/>
          <w:b/>
          <w:bCs/>
          <w:sz w:val="24"/>
          <w:szCs w:val="24"/>
          <w:vertAlign w:val="superscript"/>
        </w:rPr>
        <w:footnoteReference w:id="141"/>
      </w:r>
    </w:p>
    <w:p w14:paraId="2507F26B" w14:textId="77777777" w:rsidR="00F31DCC" w:rsidRPr="005F0A32" w:rsidRDefault="00F31DCC" w:rsidP="00E7359C">
      <w:pPr>
        <w:autoSpaceDE w:val="0"/>
        <w:autoSpaceDN w:val="0"/>
        <w:adjustRightInd w:val="0"/>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W województwie opolskim funkcjonuje: 6 Domów dziennego Pobytu Senior + oraz  </w:t>
      </w:r>
      <w:r w:rsidRPr="005F0A32">
        <w:rPr>
          <w:rFonts w:ascii="Times New Roman" w:eastAsia="Calibri" w:hAnsi="Times New Roman" w:cs="Times New Roman"/>
          <w:sz w:val="24"/>
          <w:szCs w:val="24"/>
        </w:rPr>
        <w:br/>
        <w:t>15 Klubów Senior+ w gminach: Głogówek, Niemodlin, Polska Cerekiew. Pokój, Dąbrowa, Strzelce Opolskie, Nysa, Prudnik, Olesno, Kietrz, Reńska Wieś, Dąbrowa, Łambinowice, Skoroszyce, Głuchołazy, Biała, Branice, Lewin Brzeski oraz w powiecie namysłowskim. Liczba miejsc wynosi: 147 w Domach oraz 390 w Klubach.</w:t>
      </w:r>
    </w:p>
    <w:p w14:paraId="3CEBB8A1" w14:textId="77777777" w:rsidR="004E530A" w:rsidRDefault="004E530A" w:rsidP="00E7359C">
      <w:pPr>
        <w:autoSpaceDE w:val="0"/>
        <w:autoSpaceDN w:val="0"/>
        <w:adjustRightInd w:val="0"/>
        <w:spacing w:after="0"/>
        <w:jc w:val="both"/>
        <w:rPr>
          <w:rFonts w:ascii="Times New Roman" w:eastAsia="Calibri" w:hAnsi="Times New Roman" w:cs="Times New Roman"/>
          <w:sz w:val="24"/>
          <w:szCs w:val="24"/>
        </w:rPr>
      </w:pPr>
    </w:p>
    <w:p w14:paraId="3A16D673" w14:textId="77777777" w:rsidR="00F31DCC" w:rsidRPr="005F0A32" w:rsidRDefault="00F31DCC" w:rsidP="00E7359C">
      <w:pPr>
        <w:autoSpaceDE w:val="0"/>
        <w:autoSpaceDN w:val="0"/>
        <w:adjustRightInd w:val="0"/>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W 2019 r. powstały: 1 Dom Senior+ w gminie Głuchołazy oraz 6 Klubów Senior+ </w:t>
      </w:r>
      <w:r w:rsidRPr="005F0A32">
        <w:rPr>
          <w:rFonts w:ascii="Times New Roman" w:eastAsia="Calibri" w:hAnsi="Times New Roman" w:cs="Times New Roman"/>
          <w:sz w:val="24"/>
          <w:szCs w:val="24"/>
        </w:rPr>
        <w:br/>
        <w:t xml:space="preserve">w gminach: Nysa, Skoroszyce, Biała, Branice, Dąbrowa i Lewin Brzeski. </w:t>
      </w:r>
    </w:p>
    <w:p w14:paraId="192DCB14" w14:textId="77777777" w:rsidR="00F31DCC" w:rsidRPr="005F0A32" w:rsidRDefault="00F31DCC" w:rsidP="00E7359C">
      <w:pPr>
        <w:spacing w:after="0"/>
        <w:contextualSpacing/>
        <w:jc w:val="both"/>
        <w:rPr>
          <w:rFonts w:ascii="Times New Roman" w:eastAsia="Calibri" w:hAnsi="Times New Roman" w:cs="Times New Roman"/>
          <w:b/>
          <w:sz w:val="24"/>
          <w:szCs w:val="24"/>
          <w:u w:val="single"/>
        </w:rPr>
      </w:pPr>
    </w:p>
    <w:p w14:paraId="0CD474D1" w14:textId="77777777" w:rsidR="00F31DCC" w:rsidRPr="005F0A32" w:rsidRDefault="00F31DCC" w:rsidP="00E7359C">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 2019 r. pracownicy Miejskiego Ośrodka Pomocy Rodzinie w Opolu realizowali szereg zadań pomocy społecznej w ramach autorskich projektów socjalnych, mających na celu między innymi integrację międzypokoleniową oraz przeciwdziałanie wykluczeniu społecznemu osób starszych. Wszystkie projekty zostały zrealizowane w ramach środków pochodzących spoza budżetu miasta. Projekty, którymi objęto największą liczbę beneficjentów to m.in.:</w:t>
      </w:r>
    </w:p>
    <w:p w14:paraId="4D923264"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„Wolontariat 50+ „ Senior dla seniora”,</w:t>
      </w:r>
    </w:p>
    <w:p w14:paraId="7CA41691"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„Warsztaty Kulinarne”,</w:t>
      </w:r>
    </w:p>
    <w:p w14:paraId="3E02BCA0"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„Integracja Międzypokoleniowa - duży i mały”</w:t>
      </w:r>
    </w:p>
    <w:p w14:paraId="0A0B1B06"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„Bezpieczny Senior”,</w:t>
      </w:r>
    </w:p>
    <w:p w14:paraId="671860F0"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„V Ekologiczny Festyn Rodzinny”,</w:t>
      </w:r>
    </w:p>
    <w:p w14:paraId="2D4BB406"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„Integracja seniorów z miasta Kluczborka i z miasta Opola” – cykl wspólnych przedsięwzięć,</w:t>
      </w:r>
    </w:p>
    <w:p w14:paraId="4C46260B"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„Światowy Dzień Inwalidy”,</w:t>
      </w:r>
    </w:p>
    <w:p w14:paraId="3A2E41FF"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Bliżej Rodziny,</w:t>
      </w:r>
    </w:p>
    <w:p w14:paraId="1BA6B0DA"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Festyn Rodzinny z okazji Dnia Rodzicielstwa Zastępczego,</w:t>
      </w:r>
    </w:p>
    <w:p w14:paraId="64DB4D2C"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Olimpiada Senioralna,</w:t>
      </w:r>
    </w:p>
    <w:p w14:paraId="4C2C70BE"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Dni Seniora,</w:t>
      </w:r>
    </w:p>
    <w:p w14:paraId="5FEE081B"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Dni Niepełnosprawnych,</w:t>
      </w:r>
    </w:p>
    <w:p w14:paraId="49B9E0E7"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Projekt „Kiermasz”- w ramach integracji międzypokoleniowej,</w:t>
      </w:r>
    </w:p>
    <w:p w14:paraId="7AF5E9BD"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Projekt „Szafa” – bezpłatna wymiana przedmiotów,</w:t>
      </w:r>
    </w:p>
    <w:p w14:paraId="4714E01C" w14:textId="77777777" w:rsidR="00F31DCC" w:rsidRPr="005F0A32" w:rsidRDefault="00F31DCC" w:rsidP="008C71A9">
      <w:pPr>
        <w:numPr>
          <w:ilvl w:val="0"/>
          <w:numId w:val="116"/>
        </w:numPr>
        <w:spacing w:after="0"/>
        <w:ind w:left="36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Projekt „Prezenty od Mikołaja”.</w:t>
      </w:r>
    </w:p>
    <w:p w14:paraId="06E6741B" w14:textId="77777777" w:rsidR="00F31DCC" w:rsidRPr="005F0A32" w:rsidRDefault="00F31DCC" w:rsidP="00E7359C">
      <w:pPr>
        <w:spacing w:after="0"/>
        <w:ind w:left="720"/>
        <w:contextualSpacing/>
        <w:jc w:val="both"/>
        <w:rPr>
          <w:rFonts w:ascii="Times New Roman" w:eastAsia="Calibri" w:hAnsi="Times New Roman" w:cs="Times New Roman"/>
          <w:sz w:val="24"/>
          <w:szCs w:val="24"/>
          <w:u w:val="single"/>
        </w:rPr>
      </w:pPr>
    </w:p>
    <w:p w14:paraId="5200F2CB" w14:textId="77777777" w:rsidR="00F31DCC" w:rsidRPr="005F0A32" w:rsidRDefault="00F31DCC" w:rsidP="00E7359C">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System wsparcia osób w podeszłym wieku i niesamodzielnych obejmuje wiele innych instytucji i podmiotów, w tym administracji rządowej oraz działających w samorządzie terytorialnym, wśród organizacji pozarządowych, a także w sektorze komercyjnym. </w:t>
      </w:r>
    </w:p>
    <w:p w14:paraId="096F3E6D" w14:textId="77777777" w:rsidR="004E530A" w:rsidRDefault="004E530A" w:rsidP="00E7359C">
      <w:pPr>
        <w:spacing w:after="0"/>
        <w:contextualSpacing/>
        <w:jc w:val="both"/>
        <w:rPr>
          <w:rFonts w:ascii="Times New Roman" w:eastAsia="Calibri" w:hAnsi="Times New Roman" w:cs="Times New Roman"/>
          <w:sz w:val="24"/>
          <w:szCs w:val="24"/>
        </w:rPr>
      </w:pPr>
    </w:p>
    <w:p w14:paraId="0BBA8590" w14:textId="77777777" w:rsidR="00F31DCC" w:rsidRPr="005F0A32" w:rsidRDefault="00F31DCC" w:rsidP="00E7359C">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W strukturze pomocy społecznej udzielają wsparcia (wskazane w karcie województwa): domy pomocy społecznej, placówki całodobowej opieki, w tym z miejscami krótkookresowego pobytu, dzienne domy pomocy, kluby seniora, a ponad 3,6 tys. osób objętych jest usługami </w:t>
      </w:r>
      <w:r w:rsidRPr="005F0A32">
        <w:rPr>
          <w:rFonts w:ascii="Times New Roman" w:eastAsia="Calibri" w:hAnsi="Times New Roman" w:cs="Times New Roman"/>
          <w:sz w:val="24"/>
          <w:szCs w:val="24"/>
        </w:rPr>
        <w:lastRenderedPageBreak/>
        <w:t>opiekuńczymi. Wielu starszych mieszkańców regionu korzysta także z oferty uniwersytetów III wieku oraz różnych środowiskowych form wsparcia, finansowanych przez gminy (Koperta życia, Karta Rodziny i Seniora, udział w imprezach integracyjnych, możliwość wypożyczania sprzętu rehabilitacyjnego, czy wsparcie w formie teleopieki). Powstają również (choć na razie liczba tych instytucji jest znikoma) punkty/centra informacji senioralnej, centra wolontariatu, mieszkania wspomaga</w:t>
      </w:r>
      <w:r w:rsidR="004E530A">
        <w:rPr>
          <w:rFonts w:ascii="Times New Roman" w:eastAsia="Calibri" w:hAnsi="Times New Roman" w:cs="Times New Roman"/>
          <w:sz w:val="24"/>
          <w:szCs w:val="24"/>
        </w:rPr>
        <w:t xml:space="preserve">ne/serwisowane, rady seniorów. </w:t>
      </w:r>
      <w:r w:rsidRPr="005F0A32">
        <w:rPr>
          <w:rFonts w:ascii="Times New Roman" w:eastAsia="Calibri" w:hAnsi="Times New Roman" w:cs="Times New Roman"/>
          <w:sz w:val="24"/>
          <w:szCs w:val="24"/>
        </w:rPr>
        <w:t>W części samorządów (Opole, Nysa, Kluczbork, Kędzierzyn-Koźle, Gogolin, Strzelce Opolskie) polityka senioralna jest częścią przyjętych przez rady gminy strategii i programów.</w:t>
      </w:r>
    </w:p>
    <w:p w14:paraId="0DA28E01" w14:textId="77777777" w:rsidR="004E530A" w:rsidRDefault="004E530A" w:rsidP="00E7359C">
      <w:pPr>
        <w:spacing w:after="0"/>
        <w:contextualSpacing/>
        <w:jc w:val="both"/>
        <w:rPr>
          <w:rFonts w:ascii="Times New Roman" w:eastAsia="Calibri" w:hAnsi="Times New Roman" w:cs="Times New Roman"/>
          <w:sz w:val="24"/>
          <w:szCs w:val="24"/>
        </w:rPr>
      </w:pPr>
    </w:p>
    <w:p w14:paraId="302E61AE" w14:textId="77777777" w:rsidR="00F31DCC" w:rsidRPr="005F0A32" w:rsidRDefault="00F31DCC" w:rsidP="00E7359C">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Spośród wielu organizacji non-profit działających na rzecz osób niesamodzielnych, wiodącą rolę odgrywa Caritas Diecezji Opolskiej, obejmując wsparciem ok. 45 tys. starszych </w:t>
      </w:r>
      <w:r w:rsidRPr="005F0A32">
        <w:rPr>
          <w:rFonts w:ascii="Times New Roman" w:eastAsia="Calibri" w:hAnsi="Times New Roman" w:cs="Times New Roman"/>
          <w:sz w:val="24"/>
          <w:szCs w:val="24"/>
        </w:rPr>
        <w:br/>
        <w:t>i niesamodzielnych mieszkańców województwa.</w:t>
      </w:r>
    </w:p>
    <w:p w14:paraId="7E661537" w14:textId="77777777" w:rsidR="00F31DCC" w:rsidRPr="005F0A32" w:rsidRDefault="00F31DCC" w:rsidP="00E7359C">
      <w:pPr>
        <w:spacing w:after="0"/>
        <w:contextualSpacing/>
        <w:jc w:val="both"/>
        <w:rPr>
          <w:rFonts w:ascii="Times New Roman" w:eastAsia="Calibri" w:hAnsi="Times New Roman" w:cs="Times New Roman"/>
          <w:sz w:val="24"/>
          <w:szCs w:val="24"/>
        </w:rPr>
      </w:pPr>
    </w:p>
    <w:p w14:paraId="2D48EA59" w14:textId="77777777" w:rsidR="004E530A" w:rsidRPr="00A77DEB" w:rsidRDefault="004E530A" w:rsidP="00E7359C">
      <w:pPr>
        <w:spacing w:after="0"/>
        <w:jc w:val="both"/>
        <w:rPr>
          <w:rFonts w:ascii="Times New Roman" w:hAnsi="Times New Roman" w:cs="Times New Roman"/>
          <w:sz w:val="24"/>
          <w:szCs w:val="24"/>
        </w:rPr>
      </w:pPr>
      <w:r w:rsidRPr="00A77DEB">
        <w:rPr>
          <w:rFonts w:ascii="Times New Roman" w:hAnsi="Times New Roman" w:cs="Times New Roman"/>
          <w:b/>
          <w:sz w:val="24"/>
          <w:szCs w:val="24"/>
        </w:rPr>
        <w:t xml:space="preserve">Przykłady dobrych praktyk na poziomie </w:t>
      </w:r>
      <w:r>
        <w:rPr>
          <w:rFonts w:ascii="Times New Roman" w:hAnsi="Times New Roman" w:cs="Times New Roman"/>
          <w:b/>
          <w:sz w:val="24"/>
          <w:szCs w:val="24"/>
        </w:rPr>
        <w:t>lokalnym</w:t>
      </w:r>
    </w:p>
    <w:p w14:paraId="61532C7A" w14:textId="77777777" w:rsidR="00F31DCC" w:rsidRPr="005F0A32" w:rsidRDefault="00F31DCC" w:rsidP="00E7359C">
      <w:pPr>
        <w:spacing w:after="0"/>
        <w:contextualSpacing/>
        <w:jc w:val="both"/>
        <w:rPr>
          <w:rFonts w:ascii="Times New Roman" w:eastAsia="Calibri" w:hAnsi="Times New Roman" w:cs="Times New Roman"/>
          <w:b/>
          <w:sz w:val="24"/>
          <w:szCs w:val="24"/>
        </w:rPr>
      </w:pPr>
    </w:p>
    <w:p w14:paraId="4EDE1D7C" w14:textId="77777777" w:rsidR="00F31DCC" w:rsidRPr="004E530A" w:rsidRDefault="00F31DCC" w:rsidP="008C71A9">
      <w:pPr>
        <w:pStyle w:val="Akapitzlist"/>
        <w:numPr>
          <w:ilvl w:val="0"/>
          <w:numId w:val="117"/>
        </w:numPr>
        <w:spacing w:after="0"/>
        <w:ind w:left="360"/>
        <w:jc w:val="both"/>
        <w:rPr>
          <w:rFonts w:ascii="Times New Roman" w:eastAsia="Calibri" w:hAnsi="Times New Roman" w:cs="Times New Roman"/>
          <w:sz w:val="24"/>
          <w:szCs w:val="24"/>
        </w:rPr>
      </w:pPr>
      <w:r w:rsidRPr="004E530A">
        <w:rPr>
          <w:rFonts w:ascii="Times New Roman" w:eastAsia="Calibri" w:hAnsi="Times New Roman" w:cs="Times New Roman"/>
          <w:sz w:val="24"/>
          <w:szCs w:val="24"/>
        </w:rPr>
        <w:t>Powiat opolski:</w:t>
      </w:r>
    </w:p>
    <w:p w14:paraId="3A1DFDBB" w14:textId="77777777" w:rsidR="00F31DCC" w:rsidRPr="005F0A32" w:rsidRDefault="00F31DCC" w:rsidP="008C71A9">
      <w:pPr>
        <w:numPr>
          <w:ilvl w:val="0"/>
          <w:numId w:val="118"/>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pilotażowy program ,,Aktywny Samorząd”. W 2019 r. powiat opolski realizował pilotażowy program ,,Aktywny Samorząd”, którego celem głównym było wyeliminowanie lub zmniejszenie barier ograniczających uczestnictwo osób niepełnosprawnych, w tym osób starszych, w życiu społecznym, zawodowym  i dostępie do edukacji,</w:t>
      </w:r>
    </w:p>
    <w:p w14:paraId="2B9BC70D" w14:textId="0715AB5C" w:rsidR="00F31DCC" w:rsidRPr="005F0A32" w:rsidRDefault="00F31DCC" w:rsidP="008C71A9">
      <w:pPr>
        <w:numPr>
          <w:ilvl w:val="0"/>
          <w:numId w:val="118"/>
        </w:numPr>
        <w:spacing w:after="0"/>
        <w:ind w:left="643"/>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udział w programie „Opieka wytchnieniowa” - edycja 2019, w ramach </w:t>
      </w:r>
      <w:r w:rsidR="0045156C" w:rsidRPr="008439B2">
        <w:rPr>
          <w:rFonts w:ascii="Times New Roman" w:hAnsi="Times New Roman" w:cs="Times New Roman"/>
          <w:sz w:val="24"/>
          <w:szCs w:val="24"/>
        </w:rPr>
        <w:t>Funduszu Solidarnościowego</w:t>
      </w:r>
      <w:r w:rsidR="0045156C">
        <w:rPr>
          <w:rFonts w:ascii="Times New Roman" w:hAnsi="Times New Roman" w:cs="Times New Roman"/>
          <w:sz w:val="24"/>
          <w:szCs w:val="24"/>
        </w:rPr>
        <w:t xml:space="preserve"> </w:t>
      </w:r>
      <w:r w:rsidR="0045156C" w:rsidRPr="0045156C">
        <w:rPr>
          <w:rFonts w:ascii="Times New Roman" w:hAnsi="Times New Roman" w:cs="Times New Roman"/>
          <w:sz w:val="24"/>
          <w:szCs w:val="24"/>
        </w:rPr>
        <w:t>(</w:t>
      </w:r>
      <w:r w:rsidR="0045156C" w:rsidRPr="0045156C">
        <w:rPr>
          <w:rFonts w:ascii="Times New Roman" w:hAnsi="Times New Roman" w:cs="Times New Roman"/>
          <w:color w:val="000000"/>
          <w:sz w:val="24"/>
          <w:szCs w:val="24"/>
        </w:rPr>
        <w:t>do 21 grudnia 2019 r. był to Solidarnościowy Fundusz Wsparcia Osób Niepełnosprawnych)</w:t>
      </w:r>
      <w:r w:rsidRPr="005F0A32">
        <w:rPr>
          <w:rFonts w:ascii="Times New Roman" w:eastAsia="Calibri" w:hAnsi="Times New Roman" w:cs="Times New Roman"/>
          <w:sz w:val="24"/>
          <w:szCs w:val="24"/>
        </w:rPr>
        <w:t>. Program  adresowany do członków rodzin lub opiekunów sprawujących bezpośrednią opiekę m.in. nad osobami ze znacznym stopniem niepełnosprawności przez umożliwienie im uzyskania doraźnej pomocy w formie opieki wytchnieniowej (Tułowice),</w:t>
      </w:r>
    </w:p>
    <w:p w14:paraId="12300894" w14:textId="77777777" w:rsidR="00F31DCC" w:rsidRPr="005F0A32" w:rsidRDefault="00F31DCC" w:rsidP="008C71A9">
      <w:pPr>
        <w:numPr>
          <w:ilvl w:val="0"/>
          <w:numId w:val="118"/>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realizacja projektu „Opolski senior – zapewnienie wsparcia osobom niesamodzielnym oraz ich opiekunom” . Na przykład na terenie Gminy Turawa realizowany był przez Towarzystwo Społeczno-Kulturalne na Śląsku Opolskim. Celem projektu ww. zwiększenie dostępu do usług społecznych świadczonych w województwie opolskim (w tym w Gminie Turawa) na rzecz osób niesamodzielnych, starszych lub niepełnosprawnych oraz do usług wspierających ww. osoby, które pozwolą przeciwdziałać ich marginalizacji i wykluczeniu społecznemu. W ramach przedmiotowego projektu prowadzony jest między innymi Klub Seniora w Zawadzie, utworzony został portal opolskisenior.pl, realizowane są usługi sąsiedzkie dla seniorów oraz Mobilne Biuro Obsługi Seniora;</w:t>
      </w:r>
    </w:p>
    <w:p w14:paraId="57C5DAD9" w14:textId="77777777" w:rsidR="00F31DCC" w:rsidRPr="005F0A32" w:rsidRDefault="00F31DCC" w:rsidP="008C71A9">
      <w:pPr>
        <w:numPr>
          <w:ilvl w:val="0"/>
          <w:numId w:val="118"/>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realizacja rządowego programu „Opieka 75+", w którego ramach w Gminie Turawa zostały dofinansowane  usługi opiekuńcze dla osób powyżej 75 roku życia,</w:t>
      </w:r>
    </w:p>
    <w:p w14:paraId="5C69A2CD" w14:textId="77777777" w:rsidR="00F31DCC" w:rsidRPr="005F0A32" w:rsidRDefault="00F31DCC" w:rsidP="008C71A9">
      <w:pPr>
        <w:numPr>
          <w:ilvl w:val="0"/>
          <w:numId w:val="118"/>
        </w:numPr>
        <w:spacing w:after="0"/>
        <w:ind w:left="643"/>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zapewnienie udziału 20 seniorom z gminy Tułowice w zajęciach Uniwersytetu Trzeciego Wieku, który działa na terenie Miasta Niemodlin. Oferta skierowana jest do mieszkańców gminy Niemodlin i Tułowic.</w:t>
      </w:r>
    </w:p>
    <w:p w14:paraId="5B9788DC" w14:textId="77777777" w:rsidR="00F31DCC" w:rsidRPr="005F0A32" w:rsidRDefault="00F31DCC" w:rsidP="00E7359C">
      <w:pPr>
        <w:spacing w:after="0"/>
        <w:ind w:left="1788"/>
        <w:jc w:val="both"/>
        <w:rPr>
          <w:rFonts w:ascii="Times New Roman" w:eastAsia="Calibri" w:hAnsi="Times New Roman" w:cs="Times New Roman"/>
          <w:sz w:val="24"/>
          <w:szCs w:val="24"/>
        </w:rPr>
      </w:pPr>
    </w:p>
    <w:p w14:paraId="5F6A3976" w14:textId="77777777" w:rsidR="00F31DCC" w:rsidRPr="004E530A" w:rsidRDefault="00F31DCC" w:rsidP="008C71A9">
      <w:pPr>
        <w:pStyle w:val="Akapitzlist"/>
        <w:numPr>
          <w:ilvl w:val="0"/>
          <w:numId w:val="119"/>
        </w:numPr>
        <w:spacing w:after="0"/>
        <w:ind w:left="360"/>
        <w:jc w:val="both"/>
        <w:rPr>
          <w:rFonts w:ascii="Times New Roman" w:eastAsia="Calibri" w:hAnsi="Times New Roman" w:cs="Times New Roman"/>
          <w:sz w:val="24"/>
          <w:szCs w:val="24"/>
        </w:rPr>
      </w:pPr>
      <w:r w:rsidRPr="004E530A">
        <w:rPr>
          <w:rFonts w:ascii="Times New Roman" w:eastAsia="Calibri" w:hAnsi="Times New Roman" w:cs="Times New Roman"/>
          <w:sz w:val="24"/>
          <w:szCs w:val="24"/>
        </w:rPr>
        <w:t>Powiat strzelecki:</w:t>
      </w:r>
    </w:p>
    <w:p w14:paraId="092B4008" w14:textId="77777777" w:rsidR="00F31DCC" w:rsidRPr="005F0A32" w:rsidRDefault="00F31DCC" w:rsidP="008C71A9">
      <w:pPr>
        <w:numPr>
          <w:ilvl w:val="0"/>
          <w:numId w:val="120"/>
        </w:numPr>
        <w:spacing w:after="0"/>
        <w:ind w:left="643"/>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lastRenderedPageBreak/>
        <w:t>kontynuacja Akcji Bezpieczny Senior – w formie spotkania Powiatowego Rzecznika Konsumentów w Strzelcach Opolskich z seniorami. Do akcji włącza się również Komenda Powiatowa Policji w Strzelcach Opolskich oraz Powiatowe Centrum Pomocy Rodzinie;</w:t>
      </w:r>
    </w:p>
    <w:p w14:paraId="5B44366A" w14:textId="77777777" w:rsidR="00F31DCC" w:rsidRPr="005F0A32" w:rsidRDefault="00F31DCC" w:rsidP="008C71A9">
      <w:pPr>
        <w:numPr>
          <w:ilvl w:val="0"/>
          <w:numId w:val="120"/>
        </w:numPr>
        <w:spacing w:after="0"/>
        <w:ind w:left="643"/>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organizacja VI edycji akcji Biała Sobota w Powiecie Strzeleckim Celem akcji zdrowotno – profilaktycznej było wsparcie mieszkańców Powiatu Strzeleckiego w dostępie do specjalistów z zakresu kardiologii, endokrynologii, urologii, dermatologii, reumatologii oraz ortopedii.  W trakcie akcji profilaktycznej odbywały się bezpłatne konsultacje u w/w specjalistów oraz bezpłatne badania laboratoryjne kwalifikujące do skorzystania </w:t>
      </w:r>
      <w:r w:rsidRPr="005F0A32">
        <w:rPr>
          <w:rFonts w:ascii="Times New Roman" w:eastAsia="Calibri" w:hAnsi="Times New Roman" w:cs="Times New Roman"/>
          <w:sz w:val="24"/>
          <w:szCs w:val="24"/>
        </w:rPr>
        <w:br/>
        <w:t>z powyższych konsultacji. Organizatorem akcji był Zarząd Powiatu Strzeleckiego;</w:t>
      </w:r>
    </w:p>
    <w:p w14:paraId="62E87399" w14:textId="77777777" w:rsidR="00F31DCC" w:rsidRPr="005F0A32" w:rsidRDefault="00F31DCC" w:rsidP="008C71A9">
      <w:pPr>
        <w:numPr>
          <w:ilvl w:val="0"/>
          <w:numId w:val="120"/>
        </w:numPr>
        <w:spacing w:after="0"/>
        <w:ind w:left="643"/>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„Aktywność fizyczna w wodzie dla seniora 60+”,</w:t>
      </w:r>
      <w:r w:rsidRPr="005F0A32">
        <w:rPr>
          <w:rFonts w:ascii="Times New Roman" w:eastAsia="Times New Roman" w:hAnsi="Times New Roman" w:cs="Times New Roman"/>
          <w:sz w:val="24"/>
          <w:szCs w:val="24"/>
          <w:lang w:eastAsia="pl-PL"/>
        </w:rPr>
        <w:t xml:space="preserve"> </w:t>
      </w:r>
      <w:r w:rsidRPr="005F0A32">
        <w:rPr>
          <w:rFonts w:ascii="Times New Roman" w:eastAsia="Calibri" w:hAnsi="Times New Roman" w:cs="Times New Roman"/>
          <w:sz w:val="24"/>
          <w:szCs w:val="24"/>
        </w:rPr>
        <w:t>zajęcia na krytej pływalni przez okres 3 miesięcy 2 razy w tygodniu po 1 godzinie dla dwóch grup; każdorazowo w zajęciach uczestniczyło ok. 40 osób.</w:t>
      </w:r>
    </w:p>
    <w:p w14:paraId="0AA78E6D" w14:textId="77777777" w:rsidR="00F31DCC" w:rsidRPr="005F0A32" w:rsidRDefault="00F31DCC" w:rsidP="00E7359C">
      <w:pPr>
        <w:spacing w:after="0"/>
        <w:jc w:val="both"/>
        <w:rPr>
          <w:rFonts w:ascii="Times New Roman" w:eastAsia="Calibri" w:hAnsi="Times New Roman" w:cs="Times New Roman"/>
          <w:sz w:val="24"/>
          <w:szCs w:val="24"/>
        </w:rPr>
      </w:pPr>
    </w:p>
    <w:p w14:paraId="590F96E8" w14:textId="77777777" w:rsidR="00F31DCC" w:rsidRPr="004E530A" w:rsidRDefault="00F31DCC" w:rsidP="008C71A9">
      <w:pPr>
        <w:pStyle w:val="Akapitzlist"/>
        <w:numPr>
          <w:ilvl w:val="0"/>
          <w:numId w:val="119"/>
        </w:numPr>
        <w:spacing w:after="0"/>
        <w:ind w:left="360"/>
        <w:jc w:val="both"/>
        <w:rPr>
          <w:rFonts w:ascii="Times New Roman" w:eastAsia="Calibri" w:hAnsi="Times New Roman" w:cs="Times New Roman"/>
          <w:sz w:val="24"/>
          <w:szCs w:val="24"/>
        </w:rPr>
      </w:pPr>
      <w:r w:rsidRPr="004E530A">
        <w:rPr>
          <w:rFonts w:ascii="Times New Roman" w:eastAsia="Calibri" w:hAnsi="Times New Roman" w:cs="Times New Roman"/>
          <w:sz w:val="24"/>
          <w:szCs w:val="24"/>
        </w:rPr>
        <w:t>Powiat krapkowicki:</w:t>
      </w:r>
    </w:p>
    <w:p w14:paraId="461D1BAC" w14:textId="77777777" w:rsidR="00F31DCC" w:rsidRPr="005F0A32" w:rsidRDefault="00F31DCC" w:rsidP="008C71A9">
      <w:pPr>
        <w:numPr>
          <w:ilvl w:val="0"/>
          <w:numId w:val="121"/>
        </w:numPr>
        <w:spacing w:after="0"/>
        <w:ind w:left="643"/>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koordynacja projektu realizowanego przez Dom Pomocy Społecznej „Anna” </w:t>
      </w:r>
      <w:r w:rsidRPr="005F0A32">
        <w:rPr>
          <w:rFonts w:ascii="Times New Roman" w:eastAsia="Calibri" w:hAnsi="Times New Roman" w:cs="Times New Roman"/>
          <w:sz w:val="24"/>
          <w:szCs w:val="24"/>
        </w:rPr>
        <w:br/>
        <w:t>w Krapkowicach, pn. „Usługi zdrowotne dla osób starszych w Powiecie Krapkowickim” dofinansowany w ramach Regionalnego Programu Operacyjnego  Województwa Opolskiego na lata 2014-2020. W ramach projektu stworzony został Mobilny Punkt Rehabilitacyjny jako wyjście naprzeciw potrzebom osób niesamodzielnych poprzez udzielenie specjalistycznego wsparcia m.in. w drodze usamodzielnienia się, podtrzymania stanu zdrowia, poprawy samopoczucia. W ramach zadania zatrudnionych zostało 3 fizjoterapeutów w pełnym wymiarze czasu pracy. Rehabilitacja prowadzona był</w:t>
      </w:r>
      <w:r w:rsidR="004E530A">
        <w:rPr>
          <w:rFonts w:ascii="Times New Roman" w:eastAsia="Calibri" w:hAnsi="Times New Roman" w:cs="Times New Roman"/>
          <w:sz w:val="24"/>
          <w:szCs w:val="24"/>
        </w:rPr>
        <w:t xml:space="preserve">a w warunkach niestacjonarnych </w:t>
      </w:r>
      <w:r w:rsidRPr="005F0A32">
        <w:rPr>
          <w:rFonts w:ascii="Times New Roman" w:eastAsia="Calibri" w:hAnsi="Times New Roman" w:cs="Times New Roman"/>
          <w:sz w:val="24"/>
          <w:szCs w:val="24"/>
        </w:rPr>
        <w:t>tj. w miejscu zamieszkania osoby niesamodzielnej oraz stacjonarnych w siedzibie DPS „Anna”. W ramach zadania zakupione zostały m.in. tabli</w:t>
      </w:r>
      <w:r w:rsidR="004E530A">
        <w:rPr>
          <w:rFonts w:ascii="Times New Roman" w:eastAsia="Calibri" w:hAnsi="Times New Roman" w:cs="Times New Roman"/>
          <w:sz w:val="24"/>
          <w:szCs w:val="24"/>
        </w:rPr>
        <w:t xml:space="preserve">ca do ćwiczeń manualnych dłoni </w:t>
      </w:r>
      <w:r w:rsidRPr="005F0A32">
        <w:rPr>
          <w:rFonts w:ascii="Times New Roman" w:eastAsia="Calibri" w:hAnsi="Times New Roman" w:cs="Times New Roman"/>
          <w:sz w:val="24"/>
          <w:szCs w:val="24"/>
        </w:rPr>
        <w:t>z oporem, ergometr poziomy, materace, urządzenie Neuroathome z oprogramowaniem, rotor do terapii kończyn górnych i dolnych, urządzenie do terapii w podwieszeniu, stół do masażu i terapii w podwieszeniu i przybory do rehabilitacji. Odremontowane zostało pomieszczenie do rehabilitacji. Ponadto w siedzibie DPS „Anna” powstała sala doświadczania świata. Sala stanowi wyodrębnione pomieszczenie wyposażone w różnego rodzaju urządzenia stymulujące rozwój zmysłów. Uczestnicy projektu mieli możliwość skorzystania z zajęć wyjazdowych w grocie solnej, które odbywały się w Zespole Rehabilitacyjno - Wypoczynkowym w Kamieniu Śląskim;</w:t>
      </w:r>
    </w:p>
    <w:p w14:paraId="65BB63B5" w14:textId="77777777" w:rsidR="00F31DCC" w:rsidRPr="005F0A32" w:rsidRDefault="00F31DCC" w:rsidP="008C71A9">
      <w:pPr>
        <w:numPr>
          <w:ilvl w:val="0"/>
          <w:numId w:val="121"/>
        </w:numPr>
        <w:spacing w:after="0"/>
        <w:ind w:left="643"/>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 celu poprawy jakości świadczonych usług opieki n</w:t>
      </w:r>
      <w:r w:rsidR="006F1645">
        <w:rPr>
          <w:rFonts w:ascii="Times New Roman" w:eastAsia="Calibri" w:hAnsi="Times New Roman" w:cs="Times New Roman"/>
          <w:sz w:val="24"/>
          <w:szCs w:val="24"/>
        </w:rPr>
        <w:t>ad osobami starszymi w 2019 r.</w:t>
      </w:r>
      <w:r w:rsidRPr="005F0A32">
        <w:rPr>
          <w:rFonts w:ascii="Times New Roman" w:eastAsia="Calibri" w:hAnsi="Times New Roman" w:cs="Times New Roman"/>
          <w:sz w:val="24"/>
          <w:szCs w:val="24"/>
        </w:rPr>
        <w:t xml:space="preserve"> Powiat krapkowicki zakupił samochód osobowy typu mikrobus (9-cio osobowy) do przewozu osób niepełnosprawnych, dostosowany do przewozu 2 osób poruszających się na wózkach inwalidzkich;</w:t>
      </w:r>
    </w:p>
    <w:p w14:paraId="60ED08DE" w14:textId="77777777" w:rsidR="00F31DCC" w:rsidRPr="005F0A32" w:rsidRDefault="00F31DCC" w:rsidP="008C71A9">
      <w:pPr>
        <w:numPr>
          <w:ilvl w:val="0"/>
          <w:numId w:val="121"/>
        </w:numPr>
        <w:spacing w:after="0"/>
        <w:ind w:left="643"/>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dofinasowanie zadań publi</w:t>
      </w:r>
      <w:r w:rsidR="006F1645">
        <w:rPr>
          <w:rFonts w:ascii="Times New Roman" w:eastAsia="Calibri" w:hAnsi="Times New Roman" w:cs="Times New Roman"/>
          <w:sz w:val="24"/>
          <w:szCs w:val="24"/>
        </w:rPr>
        <w:t>cznych realizowanych w 2019 r.</w:t>
      </w:r>
      <w:r w:rsidRPr="005F0A32">
        <w:rPr>
          <w:rFonts w:ascii="Times New Roman" w:eastAsia="Calibri" w:hAnsi="Times New Roman" w:cs="Times New Roman"/>
          <w:sz w:val="24"/>
          <w:szCs w:val="24"/>
        </w:rPr>
        <w:t xml:space="preserve"> przez organizacje pozarządowe na rzecz osób w wieku emerytalnym o zasięgu powiatowym, które otrzymały na ten cel dotację ze środków Powiatu Krapkowickiego, np. Stowarzyszenie dla Obrowca – My seniorzy piękny ogród zasadzimy, Towarzystwo Społeczno - Kulturalne Niemców na Śląsku Opolskim – „Razem lepiej" integracja seniorów poprzez poznawanie lokalnej historii.</w:t>
      </w:r>
    </w:p>
    <w:p w14:paraId="007A1EFE" w14:textId="77777777" w:rsidR="00F31DCC" w:rsidRPr="005F0A32" w:rsidRDefault="00F31DCC" w:rsidP="00E7359C">
      <w:pPr>
        <w:spacing w:after="0"/>
        <w:ind w:left="2148"/>
        <w:jc w:val="both"/>
        <w:rPr>
          <w:rFonts w:ascii="Times New Roman" w:eastAsia="Calibri" w:hAnsi="Times New Roman" w:cs="Times New Roman"/>
          <w:sz w:val="24"/>
          <w:szCs w:val="24"/>
        </w:rPr>
      </w:pPr>
    </w:p>
    <w:p w14:paraId="6803B0CA" w14:textId="77777777" w:rsidR="00F31DCC" w:rsidRPr="004E530A" w:rsidRDefault="00F31DCC" w:rsidP="008C71A9">
      <w:pPr>
        <w:pStyle w:val="Akapitzlist"/>
        <w:numPr>
          <w:ilvl w:val="0"/>
          <w:numId w:val="122"/>
        </w:numPr>
        <w:spacing w:after="0"/>
        <w:ind w:left="360"/>
        <w:jc w:val="both"/>
        <w:rPr>
          <w:rFonts w:ascii="Times New Roman" w:eastAsia="Calibri" w:hAnsi="Times New Roman" w:cs="Times New Roman"/>
          <w:sz w:val="24"/>
          <w:szCs w:val="24"/>
        </w:rPr>
      </w:pPr>
      <w:r w:rsidRPr="004E530A">
        <w:rPr>
          <w:rFonts w:ascii="Times New Roman" w:eastAsia="Calibri" w:hAnsi="Times New Roman" w:cs="Times New Roman"/>
          <w:sz w:val="24"/>
          <w:szCs w:val="24"/>
        </w:rPr>
        <w:t>Gmina Opole:</w:t>
      </w:r>
    </w:p>
    <w:p w14:paraId="70A23044" w14:textId="77777777" w:rsidR="00F31DCC" w:rsidRPr="005F0A32" w:rsidRDefault="00F31DCC" w:rsidP="008C71A9">
      <w:pPr>
        <w:numPr>
          <w:ilvl w:val="0"/>
          <w:numId w:val="123"/>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lastRenderedPageBreak/>
        <w:t>Strategia rozwiązywania problemów społecznych Miasta Opola na lata 2016 – 2020, która zakłada m.in. działania zmierzające na rzecz osób starszych , w tym  likwidację barier architektonicznych, opanowanie przez seniorów podstawowych umiejętności w zakresie korzystania ze sprzętu komputerowego i oprogramowania oraz różnego rodzaju aplikacji zwiększających ich bezpieczeństwo i komfort życia oraz  działania służące rozwojowi nowoczesnych, specjalistycznych usług i placówek dedykowanych osobom starszym;</w:t>
      </w:r>
    </w:p>
    <w:p w14:paraId="192281D0" w14:textId="77777777" w:rsidR="00F31DCC" w:rsidRPr="005F0A32" w:rsidRDefault="00F31DCC" w:rsidP="008C71A9">
      <w:pPr>
        <w:numPr>
          <w:ilvl w:val="0"/>
          <w:numId w:val="123"/>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,,Strategia działania Rady Seniorów Miasta Opola“ w której wskazano, że do głównych celów działalności Rady zalicza się zaistnienie w powszechnej świadomości społeczności Miasta Opola Rady Seniorów, jej roli i zakresu działalności, zwiększenie ilości seniorów korzystających z rozwiązań podnoszących bezpieczeństwo </w:t>
      </w:r>
      <w:r w:rsidR="00883109">
        <w:rPr>
          <w:rFonts w:ascii="Times New Roman" w:eastAsia="Calibri" w:hAnsi="Times New Roman" w:cs="Times New Roman"/>
          <w:sz w:val="24"/>
          <w:szCs w:val="24"/>
        </w:rPr>
        <w:t xml:space="preserve">w sytuacjach zagrożenia życia, </w:t>
      </w:r>
      <w:r w:rsidRPr="005F0A32">
        <w:rPr>
          <w:rFonts w:ascii="Times New Roman" w:eastAsia="Calibri" w:hAnsi="Times New Roman" w:cs="Times New Roman"/>
          <w:sz w:val="24"/>
          <w:szCs w:val="24"/>
        </w:rPr>
        <w:t>a także zintegrowanie działań organizacji i instytucji na</w:t>
      </w:r>
      <w:r w:rsidR="00883109">
        <w:rPr>
          <w:rFonts w:ascii="Times New Roman" w:eastAsia="Calibri" w:hAnsi="Times New Roman" w:cs="Times New Roman"/>
          <w:sz w:val="24"/>
          <w:szCs w:val="24"/>
        </w:rPr>
        <w:t xml:space="preserve"> rzecz środowiska senioralnego </w:t>
      </w:r>
      <w:r w:rsidRPr="005F0A32">
        <w:rPr>
          <w:rFonts w:ascii="Times New Roman" w:eastAsia="Calibri" w:hAnsi="Times New Roman" w:cs="Times New Roman"/>
          <w:sz w:val="24"/>
          <w:szCs w:val="24"/>
        </w:rPr>
        <w:t>w Opolu,</w:t>
      </w:r>
    </w:p>
    <w:p w14:paraId="5BDACB9F" w14:textId="77777777" w:rsidR="00883109" w:rsidRDefault="00F31DCC" w:rsidP="008C71A9">
      <w:pPr>
        <w:numPr>
          <w:ilvl w:val="0"/>
          <w:numId w:val="123"/>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Program Polityki Senioralnej Miasta Opola na lata 2018-2022 „Opole Seniorom”, to skoordynowany system działań, realizowanych we współpracy ze środowiskiem lokalnym, którego celem jest samodzielne i godne życie starszych mieszkańców miasta. Bezpośrednim adresatem Programu są seniorzy - osoby które ukończyły 60 lat i zamieszkują w Opolu. Cele szczegółowe:</w:t>
      </w:r>
      <w:r w:rsidR="00883109">
        <w:rPr>
          <w:rFonts w:ascii="Times New Roman" w:eastAsia="Calibri" w:hAnsi="Times New Roman" w:cs="Times New Roman"/>
          <w:sz w:val="24"/>
          <w:szCs w:val="24"/>
        </w:rPr>
        <w:t xml:space="preserve"> </w:t>
      </w:r>
      <w:r w:rsidRPr="00883109">
        <w:rPr>
          <w:rFonts w:ascii="Times New Roman" w:eastAsia="Calibri" w:hAnsi="Times New Roman" w:cs="Times New Roman"/>
          <w:sz w:val="24"/>
          <w:szCs w:val="24"/>
        </w:rPr>
        <w:t>aktywizacja i integracja środowiska senioralnego Miasta Opola,</w:t>
      </w:r>
      <w:r w:rsidR="00883109">
        <w:rPr>
          <w:rFonts w:ascii="Times New Roman" w:eastAsia="Calibri" w:hAnsi="Times New Roman" w:cs="Times New Roman"/>
          <w:sz w:val="24"/>
          <w:szCs w:val="24"/>
        </w:rPr>
        <w:t xml:space="preserve"> </w:t>
      </w:r>
      <w:r w:rsidRPr="00883109">
        <w:rPr>
          <w:rFonts w:ascii="Times New Roman" w:eastAsia="Calibri" w:hAnsi="Times New Roman" w:cs="Times New Roman"/>
          <w:sz w:val="24"/>
          <w:szCs w:val="24"/>
        </w:rPr>
        <w:t>prowadzenie Centrum Informacyjno- Edukacyjnego „Senior w Opolu”,</w:t>
      </w:r>
      <w:r w:rsidR="00883109">
        <w:rPr>
          <w:rFonts w:ascii="Times New Roman" w:eastAsia="Calibri" w:hAnsi="Times New Roman" w:cs="Times New Roman"/>
          <w:sz w:val="24"/>
          <w:szCs w:val="24"/>
        </w:rPr>
        <w:t xml:space="preserve"> </w:t>
      </w:r>
      <w:r w:rsidRPr="00883109">
        <w:rPr>
          <w:rFonts w:ascii="Times New Roman" w:eastAsia="Calibri" w:hAnsi="Times New Roman" w:cs="Times New Roman"/>
          <w:sz w:val="24"/>
          <w:szCs w:val="24"/>
        </w:rPr>
        <w:t>utrzymanie samodzielności seniorów w środowisku zamieszkania,</w:t>
      </w:r>
      <w:r w:rsidR="00883109">
        <w:rPr>
          <w:rFonts w:ascii="Times New Roman" w:eastAsia="Calibri" w:hAnsi="Times New Roman" w:cs="Times New Roman"/>
          <w:sz w:val="24"/>
          <w:szCs w:val="24"/>
        </w:rPr>
        <w:t xml:space="preserve"> </w:t>
      </w:r>
      <w:r w:rsidRPr="00883109">
        <w:rPr>
          <w:rFonts w:ascii="Times New Roman" w:eastAsia="Calibri" w:hAnsi="Times New Roman" w:cs="Times New Roman"/>
          <w:sz w:val="24"/>
          <w:szCs w:val="24"/>
        </w:rPr>
        <w:t xml:space="preserve">zwiększenie dostępności osób starszych do systemu opieki zdrowotnej, rehabilitacji </w:t>
      </w:r>
      <w:r w:rsidRPr="00883109">
        <w:rPr>
          <w:rFonts w:ascii="Times New Roman" w:eastAsia="Calibri" w:hAnsi="Times New Roman" w:cs="Times New Roman"/>
          <w:sz w:val="24"/>
          <w:szCs w:val="24"/>
        </w:rPr>
        <w:br/>
        <w:t>i profilaktyki,</w:t>
      </w:r>
      <w:r w:rsidR="00883109">
        <w:rPr>
          <w:rFonts w:ascii="Times New Roman" w:eastAsia="Calibri" w:hAnsi="Times New Roman" w:cs="Times New Roman"/>
          <w:sz w:val="24"/>
          <w:szCs w:val="24"/>
        </w:rPr>
        <w:t xml:space="preserve"> </w:t>
      </w:r>
      <w:r w:rsidRPr="00883109">
        <w:rPr>
          <w:rFonts w:ascii="Times New Roman" w:eastAsia="Calibri" w:hAnsi="Times New Roman" w:cs="Times New Roman"/>
          <w:sz w:val="24"/>
          <w:szCs w:val="24"/>
        </w:rPr>
        <w:t>przełamywanie stereotypowego postrzegania osób starszych i wzmocnienie pozytywnego wizerunku seniorów.</w:t>
      </w:r>
    </w:p>
    <w:p w14:paraId="73C28267" w14:textId="77777777" w:rsidR="00883109" w:rsidRDefault="00F31DCC" w:rsidP="008C71A9">
      <w:pPr>
        <w:numPr>
          <w:ilvl w:val="0"/>
          <w:numId w:val="123"/>
        </w:numPr>
        <w:spacing w:after="0"/>
        <w:ind w:left="643"/>
        <w:contextualSpacing/>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Program „Opolska Rodzina”</w:t>
      </w:r>
      <w:r w:rsidRPr="00883109">
        <w:rPr>
          <w:rFonts w:ascii="Times New Roman" w:eastAsia="Times New Roman" w:hAnsi="Times New Roman" w:cs="Times New Roman"/>
          <w:sz w:val="24"/>
          <w:szCs w:val="24"/>
          <w:lang w:eastAsia="pl-PL"/>
        </w:rPr>
        <w:t xml:space="preserve">, którego </w:t>
      </w:r>
      <w:r w:rsidRPr="00883109">
        <w:rPr>
          <w:rFonts w:ascii="Times New Roman" w:eastAsia="Calibri" w:hAnsi="Times New Roman" w:cs="Times New Roman"/>
          <w:sz w:val="24"/>
          <w:szCs w:val="24"/>
        </w:rPr>
        <w:t xml:space="preserve">celem jest promowanie wartości rodzinnych </w:t>
      </w:r>
      <w:r w:rsidRPr="00883109">
        <w:rPr>
          <w:rFonts w:ascii="Times New Roman" w:eastAsia="Calibri" w:hAnsi="Times New Roman" w:cs="Times New Roman"/>
          <w:sz w:val="24"/>
          <w:szCs w:val="24"/>
        </w:rPr>
        <w:br/>
        <w:t>w społeczności lokalnej oraz kształtowanie wśród mieszkańców Miasta Opola właściwych postaw i zachowań, sprzyjających szeroko rozumianej integracji z osobami niepełnosprawnymi. Program przyczyni się również do wspierania rodziny w wypełnianiu podstawowych funkcji, tworzenia odpowiednich warunków do życia i rozwoju dziecka oraz samodzielnego, godnego i aktywnego życia seniorów oraz osób niepełnosprawnych.</w:t>
      </w:r>
      <w:r w:rsidRPr="00883109">
        <w:rPr>
          <w:rFonts w:ascii="Times New Roman" w:eastAsia="Times New Roman" w:hAnsi="Times New Roman" w:cs="Times New Roman"/>
          <w:sz w:val="24"/>
          <w:szCs w:val="24"/>
          <w:lang w:eastAsia="pl-PL"/>
        </w:rPr>
        <w:t xml:space="preserve"> </w:t>
      </w:r>
      <w:r w:rsidRPr="00883109">
        <w:rPr>
          <w:rFonts w:ascii="Times New Roman" w:eastAsia="Calibri" w:hAnsi="Times New Roman" w:cs="Times New Roman"/>
          <w:sz w:val="24"/>
          <w:szCs w:val="24"/>
        </w:rPr>
        <w:t>Partnerami programu są firmy, instytucje i organizacje, które podpisały porozumienie z Miastem Opole na świadczenie usług dla uczestników programu „Opolska Rodzina” oferując zniżki dla posiadaczy Karty ,,Opolska Rodzina" oraz Karty ,,Opolski Senior";</w:t>
      </w:r>
    </w:p>
    <w:p w14:paraId="08119BFD" w14:textId="77777777" w:rsidR="00F31DCC" w:rsidRPr="00883109" w:rsidRDefault="00F31DCC" w:rsidP="008C71A9">
      <w:pPr>
        <w:numPr>
          <w:ilvl w:val="0"/>
          <w:numId w:val="123"/>
        </w:numPr>
        <w:spacing w:after="0"/>
        <w:ind w:left="643"/>
        <w:contextualSpacing/>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 xml:space="preserve">działalność Centrum Informacyjno – Edukacyjnego „Senior w Opolu”, popularyzującego i dystrybuującego informacje o wydarzeniach kulturalno – oświatowych oraz rekreacyjno -sportowych, dedykowanych seniorom w Mieście Opolu. </w:t>
      </w:r>
      <w:r w:rsidR="006F1645">
        <w:rPr>
          <w:rFonts w:ascii="Times New Roman" w:eastAsia="MS ??" w:hAnsi="Times New Roman" w:cs="Times New Roman"/>
          <w:sz w:val="24"/>
          <w:szCs w:val="24"/>
          <w:lang w:eastAsia="pl-PL"/>
        </w:rPr>
        <w:t>W 2019 r.</w:t>
      </w:r>
      <w:r w:rsidRPr="00883109">
        <w:rPr>
          <w:rFonts w:ascii="Times New Roman" w:eastAsia="MS ??" w:hAnsi="Times New Roman" w:cs="Times New Roman"/>
          <w:sz w:val="24"/>
          <w:szCs w:val="24"/>
          <w:lang w:eastAsia="pl-PL"/>
        </w:rPr>
        <w:t xml:space="preserve"> Centrum Informacyjno-Edukacyjne „Senior w Opolu” odpowiadało za:</w:t>
      </w:r>
      <w:r w:rsidR="00883109">
        <w:rPr>
          <w:rFonts w:ascii="Times New Roman" w:eastAsia="Calibri" w:hAnsi="Times New Roman" w:cs="Times New Roman"/>
          <w:sz w:val="24"/>
          <w:szCs w:val="24"/>
        </w:rPr>
        <w:t xml:space="preserve"> </w:t>
      </w:r>
      <w:r w:rsidRPr="00883109">
        <w:rPr>
          <w:rFonts w:ascii="Times New Roman" w:eastAsia="MS ??" w:hAnsi="Times New Roman" w:cs="Times New Roman"/>
          <w:sz w:val="24"/>
          <w:szCs w:val="24"/>
          <w:lang w:eastAsia="pl-PL"/>
        </w:rPr>
        <w:t xml:space="preserve">prowadzenie strony internetowej </w:t>
      </w:r>
      <w:hyperlink r:id="rId35" w:tgtFrame="_top" w:history="1">
        <w:r w:rsidRPr="00883109">
          <w:rPr>
            <w:rFonts w:ascii="Times New Roman" w:eastAsia="MS ??" w:hAnsi="Times New Roman" w:cs="Times New Roman"/>
            <w:sz w:val="24"/>
            <w:szCs w:val="24"/>
            <w:u w:val="single"/>
            <w:lang w:eastAsia="pl-PL"/>
          </w:rPr>
          <w:t>www.seniorwopolu.pl</w:t>
        </w:r>
      </w:hyperlink>
      <w:r w:rsidRPr="00883109">
        <w:rPr>
          <w:rFonts w:ascii="Times New Roman" w:eastAsia="MS ??" w:hAnsi="Times New Roman" w:cs="Times New Roman"/>
          <w:sz w:val="24"/>
          <w:szCs w:val="24"/>
          <w:lang w:eastAsia="pl-PL"/>
        </w:rPr>
        <w:t>, gdzie zamieszczane są informacje i aktualności dla seniorów,</w:t>
      </w:r>
      <w:r w:rsidR="00883109">
        <w:rPr>
          <w:rFonts w:ascii="Times New Roman" w:eastAsia="Calibri" w:hAnsi="Times New Roman" w:cs="Times New Roman"/>
          <w:sz w:val="24"/>
          <w:szCs w:val="24"/>
        </w:rPr>
        <w:t xml:space="preserve"> </w:t>
      </w:r>
      <w:r w:rsidRPr="00883109">
        <w:rPr>
          <w:rFonts w:ascii="Times New Roman" w:eastAsia="MS ??" w:hAnsi="Times New Roman" w:cs="Times New Roman"/>
          <w:sz w:val="24"/>
          <w:szCs w:val="24"/>
          <w:lang w:eastAsia="pl-PL"/>
        </w:rPr>
        <w:t>koordynowanie prac związanych z wydawaniem dodatku do periodyku „Nowa Trybuna Opolska” − „Senior w Opolu”,</w:t>
      </w:r>
      <w:r w:rsidR="00883109">
        <w:rPr>
          <w:rFonts w:ascii="Times New Roman" w:eastAsia="Calibri" w:hAnsi="Times New Roman" w:cs="Times New Roman"/>
          <w:sz w:val="24"/>
          <w:szCs w:val="24"/>
        </w:rPr>
        <w:t xml:space="preserve"> </w:t>
      </w:r>
      <w:r w:rsidRPr="00883109">
        <w:rPr>
          <w:rFonts w:ascii="Times New Roman" w:eastAsia="MS ??" w:hAnsi="Times New Roman" w:cs="Times New Roman"/>
          <w:sz w:val="24"/>
          <w:szCs w:val="24"/>
          <w:lang w:eastAsia="pl-PL"/>
        </w:rPr>
        <w:t>koordynowanie dystrybucji „Kopert Życia”,</w:t>
      </w:r>
      <w:r w:rsidR="00883109">
        <w:rPr>
          <w:rFonts w:ascii="Times New Roman" w:eastAsia="Calibri" w:hAnsi="Times New Roman" w:cs="Times New Roman"/>
          <w:sz w:val="24"/>
          <w:szCs w:val="24"/>
        </w:rPr>
        <w:t xml:space="preserve"> </w:t>
      </w:r>
      <w:r w:rsidRPr="00883109">
        <w:rPr>
          <w:rFonts w:ascii="Times New Roman" w:eastAsia="MS ??" w:hAnsi="Times New Roman" w:cs="Times New Roman"/>
          <w:sz w:val="24"/>
          <w:szCs w:val="24"/>
          <w:lang w:eastAsia="pl-PL"/>
        </w:rPr>
        <w:t>wydawanie Ka</w:t>
      </w:r>
      <w:r w:rsidR="006F1645">
        <w:rPr>
          <w:rFonts w:ascii="Times New Roman" w:eastAsia="MS ??" w:hAnsi="Times New Roman" w:cs="Times New Roman"/>
          <w:sz w:val="24"/>
          <w:szCs w:val="24"/>
          <w:lang w:eastAsia="pl-PL"/>
        </w:rPr>
        <w:t>rt „Opolski Senior" - (2019 r.</w:t>
      </w:r>
      <w:r w:rsidRPr="00883109">
        <w:rPr>
          <w:rFonts w:ascii="Times New Roman" w:eastAsia="MS ??" w:hAnsi="Times New Roman" w:cs="Times New Roman"/>
          <w:sz w:val="24"/>
          <w:szCs w:val="24"/>
          <w:lang w:eastAsia="pl-PL"/>
        </w:rPr>
        <w:t xml:space="preserve"> wydano zostało 3</w:t>
      </w:r>
      <w:r w:rsidR="006F1645">
        <w:rPr>
          <w:rFonts w:ascii="Times New Roman" w:eastAsia="MS ??" w:hAnsi="Times New Roman" w:cs="Times New Roman"/>
          <w:sz w:val="24"/>
          <w:szCs w:val="24"/>
          <w:lang w:eastAsia="pl-PL"/>
        </w:rPr>
        <w:t xml:space="preserve"> </w:t>
      </w:r>
      <w:r w:rsidRPr="00883109">
        <w:rPr>
          <w:rFonts w:ascii="Times New Roman" w:eastAsia="MS ??" w:hAnsi="Times New Roman" w:cs="Times New Roman"/>
          <w:sz w:val="24"/>
          <w:szCs w:val="24"/>
          <w:lang w:eastAsia="pl-PL"/>
        </w:rPr>
        <w:t>720 Kart Opolski Senior,</w:t>
      </w:r>
      <w:r w:rsidR="00883109">
        <w:rPr>
          <w:rFonts w:ascii="Times New Roman" w:eastAsia="Calibri" w:hAnsi="Times New Roman" w:cs="Times New Roman"/>
          <w:sz w:val="24"/>
          <w:szCs w:val="24"/>
        </w:rPr>
        <w:t xml:space="preserve"> </w:t>
      </w:r>
      <w:r w:rsidRPr="00883109">
        <w:rPr>
          <w:rFonts w:ascii="Times New Roman" w:eastAsia="MS ??" w:hAnsi="Times New Roman" w:cs="Times New Roman"/>
          <w:sz w:val="24"/>
          <w:szCs w:val="24"/>
          <w:lang w:eastAsia="pl-PL"/>
        </w:rPr>
        <w:t>współpracę z Opolską Radą Seniorów,</w:t>
      </w:r>
      <w:r w:rsidR="00883109">
        <w:rPr>
          <w:rFonts w:ascii="Times New Roman" w:eastAsia="Calibri" w:hAnsi="Times New Roman" w:cs="Times New Roman"/>
          <w:sz w:val="24"/>
          <w:szCs w:val="24"/>
        </w:rPr>
        <w:t xml:space="preserve"> </w:t>
      </w:r>
      <w:r w:rsidRPr="00883109">
        <w:rPr>
          <w:rFonts w:ascii="Times New Roman" w:eastAsia="MS ??" w:hAnsi="Times New Roman" w:cs="Times New Roman"/>
          <w:sz w:val="24"/>
          <w:szCs w:val="24"/>
          <w:lang w:eastAsia="pl-PL"/>
        </w:rPr>
        <w:t>wspieranie działalności Klubów Seniora.</w:t>
      </w:r>
    </w:p>
    <w:p w14:paraId="2699E20C" w14:textId="77777777" w:rsidR="00F31DCC" w:rsidRPr="005F0A32" w:rsidRDefault="00F31DCC" w:rsidP="00E7359C">
      <w:pPr>
        <w:spacing w:after="0"/>
        <w:jc w:val="both"/>
        <w:rPr>
          <w:rFonts w:ascii="Times New Roman" w:eastAsia="Calibri" w:hAnsi="Times New Roman" w:cs="Times New Roman"/>
          <w:sz w:val="24"/>
          <w:szCs w:val="24"/>
          <w:u w:val="single"/>
        </w:rPr>
      </w:pPr>
    </w:p>
    <w:p w14:paraId="7881B57B" w14:textId="77777777" w:rsidR="00F31DCC" w:rsidRPr="00883109" w:rsidRDefault="00F31DCC" w:rsidP="008C71A9">
      <w:pPr>
        <w:pStyle w:val="Akapitzlist"/>
        <w:numPr>
          <w:ilvl w:val="0"/>
          <w:numId w:val="124"/>
        </w:numPr>
        <w:spacing w:after="0"/>
        <w:ind w:left="360"/>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Gmina Gogolin:</w:t>
      </w:r>
    </w:p>
    <w:p w14:paraId="231C28B2" w14:textId="77777777" w:rsidR="00883109" w:rsidRDefault="00F31DCC" w:rsidP="008C71A9">
      <w:pPr>
        <w:pStyle w:val="Akapitzlist"/>
        <w:numPr>
          <w:ilvl w:val="0"/>
          <w:numId w:val="125"/>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lastRenderedPageBreak/>
        <w:t>„Koperta na jesień życia” – akcja społeczna skierowana do osób przewlekle chorych, starszych, samotnych;</w:t>
      </w:r>
    </w:p>
    <w:p w14:paraId="0A51F5A1" w14:textId="77777777" w:rsidR="00883109" w:rsidRDefault="00F31DCC" w:rsidP="008C71A9">
      <w:pPr>
        <w:pStyle w:val="Akapitzlist"/>
        <w:numPr>
          <w:ilvl w:val="0"/>
          <w:numId w:val="125"/>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wypożyczalnia sprzętu rehabilitacyjnego - osoby wymagające, ze względu na stan zdrowia sprzętu pomocniczego lub rehabilitacyjnego mogą go bezpłatnie wypożyczać;</w:t>
      </w:r>
    </w:p>
    <w:p w14:paraId="0548E77A" w14:textId="77777777" w:rsidR="00883109" w:rsidRDefault="00F31DCC" w:rsidP="008C71A9">
      <w:pPr>
        <w:pStyle w:val="Akapitzlist"/>
        <w:numPr>
          <w:ilvl w:val="0"/>
          <w:numId w:val="125"/>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 xml:space="preserve">Opolska Karta Rodziny i Seniora – jest jednym z narzędzi uruchomionych w ramach Programu Specjalnej Strefy Demograficznej w województwie opolskim, posiadacze karty, </w:t>
      </w:r>
      <w:r w:rsidRPr="00883109">
        <w:rPr>
          <w:rFonts w:ascii="Times New Roman" w:eastAsia="Calibri" w:hAnsi="Times New Roman" w:cs="Times New Roman"/>
          <w:sz w:val="24"/>
          <w:szCs w:val="24"/>
        </w:rPr>
        <w:br/>
        <w:t>w tym seniorzy, którzy ukończyli 60 rok życia, mogą korzystać z rabatów na usługi oferowane przez partnerów programu;</w:t>
      </w:r>
    </w:p>
    <w:p w14:paraId="58E4D975" w14:textId="77777777" w:rsidR="00883109" w:rsidRDefault="00F31DCC" w:rsidP="008C71A9">
      <w:pPr>
        <w:pStyle w:val="Akapitzlist"/>
        <w:numPr>
          <w:ilvl w:val="0"/>
          <w:numId w:val="125"/>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zapewnianie dowozu do placówek służby zdrowia osób, które nie są w stanie samodzielnie się do nich dostać, wykorzystując własne uprawnienia i zasoby;</w:t>
      </w:r>
    </w:p>
    <w:p w14:paraId="5E7748CD" w14:textId="77777777" w:rsidR="00883109" w:rsidRDefault="00F31DCC" w:rsidP="008C71A9">
      <w:pPr>
        <w:pStyle w:val="Akapitzlist"/>
        <w:numPr>
          <w:ilvl w:val="0"/>
          <w:numId w:val="125"/>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 xml:space="preserve">Centrum Aktywizacji i Wsparcia Fizycznego Dzieci i Młodzieży i Opiekunów Osób Niepełnosprawnych oraz Osób w wieku 50+ w Gogolinie. Placówka świadczy usługi </w:t>
      </w:r>
      <w:r w:rsidRPr="00883109">
        <w:rPr>
          <w:rFonts w:ascii="Times New Roman" w:eastAsia="Calibri" w:hAnsi="Times New Roman" w:cs="Times New Roman"/>
          <w:sz w:val="24"/>
          <w:szCs w:val="24"/>
        </w:rPr>
        <w:br/>
        <w:t>w zakresie rehabilitacji, między innymi osób starszych;</w:t>
      </w:r>
    </w:p>
    <w:p w14:paraId="2130BE83" w14:textId="77777777" w:rsidR="00883109" w:rsidRDefault="00F31DCC" w:rsidP="008C71A9">
      <w:pPr>
        <w:pStyle w:val="Akapitzlist"/>
        <w:numPr>
          <w:ilvl w:val="0"/>
          <w:numId w:val="125"/>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Gminny Ośrodek Zdrowia w Gogolinie zorganizował w ramach październikowej kampanii poświęconej profilaktyce nowotworowej przewóz mieszkanek gminy na badania mammograficzne do Opolskiego Centrum Onkologii;</w:t>
      </w:r>
    </w:p>
    <w:p w14:paraId="6609597D" w14:textId="77777777" w:rsidR="00F31DCC" w:rsidRPr="00883109" w:rsidRDefault="00F31DCC" w:rsidP="008C71A9">
      <w:pPr>
        <w:pStyle w:val="Akapitzlist"/>
        <w:numPr>
          <w:ilvl w:val="0"/>
          <w:numId w:val="125"/>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 xml:space="preserve">Gminny Ośrodek Zdrowia realizuje  program „Ruch, zdrowa dieta, edukacja </w:t>
      </w:r>
      <w:r w:rsidRPr="00883109">
        <w:rPr>
          <w:rFonts w:ascii="Times New Roman" w:eastAsia="Calibri" w:hAnsi="Times New Roman" w:cs="Times New Roman"/>
          <w:sz w:val="24"/>
          <w:szCs w:val="24"/>
        </w:rPr>
        <w:br/>
        <w:t>i opieka krokiem do szczęśliwej i pogodnej jesieni życia”, współfinansowany przez Unię Europejską ze środków Europejskiego Funduszu Społecznego w ramach Regionalnego Programu Operacyjnego Województwa Opolskiego 2014-2020. Głównym celem projektu jest zwiększenie świadomości i wzrost aktywności społecznej osób starszych z terenu Gminy Gogolin, w tym osób z niepełnosprawnościami oraz zagrożonych i dotkniętych ubóstwem, poprzez szerzenie dostępu do oferty profilaktyki zdro</w:t>
      </w:r>
      <w:r w:rsidR="00883109">
        <w:rPr>
          <w:rFonts w:ascii="Times New Roman" w:eastAsia="Calibri" w:hAnsi="Times New Roman" w:cs="Times New Roman"/>
          <w:sz w:val="24"/>
          <w:szCs w:val="24"/>
        </w:rPr>
        <w:t xml:space="preserve">wotnej oraz promocji aktywnego </w:t>
      </w:r>
      <w:r w:rsidRPr="00883109">
        <w:rPr>
          <w:rFonts w:ascii="Times New Roman" w:eastAsia="Calibri" w:hAnsi="Times New Roman" w:cs="Times New Roman"/>
          <w:sz w:val="24"/>
          <w:szCs w:val="24"/>
        </w:rPr>
        <w:t>i zdrowego stylu życia seniorów. W projekcie mogły wziąć udział kobiety powyżej 60 roku życia i mężczyźni w wieku powyżej 65 roku życia. W ramach projektu seniorzy mogli skorzystać z: bezpłatnych badań przesiewowych, warsztatów i porad dietetycznych,</w:t>
      </w:r>
      <w:r w:rsidR="00883109">
        <w:rPr>
          <w:rFonts w:ascii="Times New Roman" w:eastAsia="Calibri" w:hAnsi="Times New Roman" w:cs="Times New Roman"/>
          <w:sz w:val="24"/>
          <w:szCs w:val="24"/>
        </w:rPr>
        <w:t xml:space="preserve"> </w:t>
      </w:r>
      <w:r w:rsidRPr="00883109">
        <w:rPr>
          <w:rFonts w:ascii="Times New Roman" w:eastAsia="Calibri" w:hAnsi="Times New Roman" w:cs="Times New Roman"/>
          <w:sz w:val="24"/>
          <w:szCs w:val="24"/>
        </w:rPr>
        <w:t>bezpłatnych szczepień przeciwko grypie,</w:t>
      </w:r>
      <w:r w:rsidR="00883109">
        <w:rPr>
          <w:rFonts w:ascii="Times New Roman" w:eastAsia="Calibri" w:hAnsi="Times New Roman" w:cs="Times New Roman"/>
          <w:sz w:val="24"/>
          <w:szCs w:val="24"/>
        </w:rPr>
        <w:t xml:space="preserve"> </w:t>
      </w:r>
      <w:r w:rsidRPr="00883109">
        <w:rPr>
          <w:rFonts w:ascii="Times New Roman" w:eastAsia="Calibri" w:hAnsi="Times New Roman" w:cs="Times New Roman"/>
          <w:sz w:val="24"/>
          <w:szCs w:val="24"/>
        </w:rPr>
        <w:t>warsztatów gimnastycznych w rehabilitantem,</w:t>
      </w:r>
      <w:r w:rsidR="00883109">
        <w:rPr>
          <w:rFonts w:ascii="Times New Roman" w:eastAsia="Calibri" w:hAnsi="Times New Roman" w:cs="Times New Roman"/>
          <w:sz w:val="24"/>
          <w:szCs w:val="24"/>
        </w:rPr>
        <w:t xml:space="preserve"> </w:t>
      </w:r>
      <w:r w:rsidRPr="00883109">
        <w:rPr>
          <w:rFonts w:ascii="Times New Roman" w:eastAsia="Calibri" w:hAnsi="Times New Roman" w:cs="Times New Roman"/>
          <w:sz w:val="24"/>
          <w:szCs w:val="24"/>
        </w:rPr>
        <w:t>zajęć aqua aerobic na basenie.</w:t>
      </w:r>
    </w:p>
    <w:p w14:paraId="0FBB0F91" w14:textId="77777777" w:rsidR="00F31DCC" w:rsidRPr="005F0A32" w:rsidRDefault="00F31DCC" w:rsidP="00E7359C">
      <w:pPr>
        <w:spacing w:after="0"/>
        <w:ind w:left="1418"/>
        <w:contextualSpacing/>
        <w:jc w:val="both"/>
        <w:rPr>
          <w:rFonts w:ascii="Times New Roman" w:eastAsia="Calibri" w:hAnsi="Times New Roman" w:cs="Times New Roman"/>
          <w:sz w:val="24"/>
          <w:szCs w:val="24"/>
        </w:rPr>
      </w:pPr>
    </w:p>
    <w:p w14:paraId="1650EA85" w14:textId="77777777" w:rsidR="00F31DCC" w:rsidRPr="00883109" w:rsidRDefault="00F31DCC" w:rsidP="008C71A9">
      <w:pPr>
        <w:pStyle w:val="Akapitzlist"/>
        <w:numPr>
          <w:ilvl w:val="0"/>
          <w:numId w:val="124"/>
        </w:numPr>
        <w:spacing w:after="0"/>
        <w:ind w:left="360"/>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Gmina Kędzierzyn – Koźle:</w:t>
      </w:r>
    </w:p>
    <w:p w14:paraId="3941B6AD" w14:textId="77777777" w:rsidR="00883109" w:rsidRDefault="00F31DCC" w:rsidP="008C71A9">
      <w:pPr>
        <w:pStyle w:val="Akapitzlist"/>
        <w:numPr>
          <w:ilvl w:val="0"/>
          <w:numId w:val="126"/>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 xml:space="preserve">Strategia „Polityka senioralna w Gminie Kędzierzyn-Koźle na lata 2019-2023”, która </w:t>
      </w:r>
      <w:r w:rsidRPr="00883109">
        <w:rPr>
          <w:rFonts w:ascii="Times New Roman" w:eastAsia="Calibri" w:hAnsi="Times New Roman" w:cs="Times New Roman"/>
          <w:sz w:val="24"/>
          <w:szCs w:val="24"/>
        </w:rPr>
        <w:br/>
        <w:t>w sposób całościowy odnosi się do sytuacji seniorów oraz do wyzwania, jakim jest nieuchronne starzenie się populacji Gminy. Strategia kreuje miejską politykę o charakterze horyzontalnym, łączącą różnego typu działania w sferze pomocy społecznej, edukacji, kultury, sportu i rekreacji, ochrony zdrowia, aktywizacji społecznej i samoorganizacji adresowane do jasno sprecyzowanego beneficjenta czy adresata – seniora. Realizując zadania w różnych obszarach polityki społecznej ma</w:t>
      </w:r>
      <w:r w:rsidR="00883109">
        <w:rPr>
          <w:rFonts w:ascii="Times New Roman" w:eastAsia="Calibri" w:hAnsi="Times New Roman" w:cs="Times New Roman"/>
          <w:sz w:val="24"/>
          <w:szCs w:val="24"/>
        </w:rPr>
        <w:t xml:space="preserve"> zapewnić mu możliwość godnego </w:t>
      </w:r>
      <w:r w:rsidRPr="00883109">
        <w:rPr>
          <w:rFonts w:ascii="Times New Roman" w:eastAsia="Calibri" w:hAnsi="Times New Roman" w:cs="Times New Roman"/>
          <w:sz w:val="24"/>
          <w:szCs w:val="24"/>
        </w:rPr>
        <w:t>i aktywnego starzenia się;</w:t>
      </w:r>
    </w:p>
    <w:p w14:paraId="2909D3D4" w14:textId="77777777" w:rsidR="00883109" w:rsidRDefault="00F31DCC" w:rsidP="008C71A9">
      <w:pPr>
        <w:pStyle w:val="Akapitzlist"/>
        <w:numPr>
          <w:ilvl w:val="0"/>
          <w:numId w:val="126"/>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 xml:space="preserve">organizacja VI Ogólnopolskiej Konferencji Naukowo-Metodycznej pod Patronatem Prezydenta Miasta Kędzierzyn-Koźle „Kompleksowe wsparcie seniorów w środowisku lokalnym”. Celem konferencji było podjęcie dyskusji na temat wyzwań jakie niesie za sobą proces starzenia się społeczeństwa, tak bardzo dostrzegalny zarówno w danych statystycznych, jak i w środowiskach lokalnych, na osiedlach, w rodzinach. Podczas konferencji zwrócono uwagę na znaczenie całościowej i rzetelnej diagnozy stanu zdrowia </w:t>
      </w:r>
      <w:r w:rsidRPr="00883109">
        <w:rPr>
          <w:rFonts w:ascii="Times New Roman" w:eastAsia="Calibri" w:hAnsi="Times New Roman" w:cs="Times New Roman"/>
          <w:sz w:val="24"/>
          <w:szCs w:val="24"/>
        </w:rPr>
        <w:lastRenderedPageBreak/>
        <w:t>seniora oraz na rolę aktywizacji społecznej osób starszych stanowiącej niezbędny element kompleksowego wsparcia seniorów.;</w:t>
      </w:r>
    </w:p>
    <w:p w14:paraId="791042B4" w14:textId="77777777" w:rsidR="00883109" w:rsidRDefault="00F31DCC" w:rsidP="008C71A9">
      <w:pPr>
        <w:pStyle w:val="Akapitzlist"/>
        <w:numPr>
          <w:ilvl w:val="0"/>
          <w:numId w:val="126"/>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projekt „Aktywny senior polsko-czeskiego pogranicza”, współfinansowany przez Unię Europejską ze środków Europejskiego</w:t>
      </w:r>
      <w:r w:rsidR="006F1645">
        <w:rPr>
          <w:rFonts w:ascii="Times New Roman" w:eastAsia="Calibri" w:hAnsi="Times New Roman" w:cs="Times New Roman"/>
          <w:sz w:val="24"/>
          <w:szCs w:val="24"/>
        </w:rPr>
        <w:t xml:space="preserve"> Funduszu Rozwoju Regionalnego </w:t>
      </w:r>
      <w:r w:rsidRPr="00883109">
        <w:rPr>
          <w:rFonts w:ascii="Times New Roman" w:eastAsia="Calibri" w:hAnsi="Times New Roman" w:cs="Times New Roman"/>
          <w:sz w:val="24"/>
          <w:szCs w:val="24"/>
        </w:rPr>
        <w:t>w ramach Programu Współpracy Transgranicznej 2014 - 2020 Interreg V-A Republika Czeska – Polska. Realizowany jest przez trzech partnerów polskich: Gminę Świdnica, Gminę Kłodzko, Gminę Kędzierzyn-Koźle oraz trzech partnerów czeskich: Miasto Trutnov, Miasto Ceska Skalica,  Miasto Nachod. Celem projektu jest utworzenie i rozwój transgranicznej sieci współpracy samorządów lokalnych, ich jednostek oraz organizacji pozarządowych pracujących na rzecz seniorów. Projekt ma wykreować wśród seniorów postawy: aktywności, otwartości na nowe znajomości, otaczający świat oraz dodać odwagi osobom starszym i zachęcić je do zaangażowania  się w życie lokalnej społeczności;</w:t>
      </w:r>
    </w:p>
    <w:p w14:paraId="7FDBF9A9" w14:textId="77777777" w:rsidR="00883109" w:rsidRDefault="00F31DCC" w:rsidP="008C71A9">
      <w:pPr>
        <w:pStyle w:val="Akapitzlist"/>
        <w:numPr>
          <w:ilvl w:val="0"/>
          <w:numId w:val="126"/>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projekt „Transgraniczna integracja międzypokoleniowa”, współfinasowany przez Unię Europejską ze środków Europejskiego Funduszu Rozwoju Regionalnego w ramach Programu Współpracy Transgranicznej Interreg V-A Republika Czeska-Polska. Jego celem jest utworzenie transgranicznej i międzypokoleniowej współpracy juniorów i seniorów, rozwój transgranicznej sieci współpracy samorządów lokalnych, ich jednostek oraz organizacji pozarządowych pracujących na rzecz seniorów. To projekt realizowany w partnerstwie z 6 innymi gminami- miastami oprócz Kędzierzyna-Koźle są to: Kłodzko – partner wiodący, Świdnica, Czeska Skalica, Nachod i Hronov.</w:t>
      </w:r>
    </w:p>
    <w:p w14:paraId="3505B56B" w14:textId="77777777" w:rsidR="00883109" w:rsidRDefault="00F31DCC" w:rsidP="008C71A9">
      <w:pPr>
        <w:pStyle w:val="Akapitzlist"/>
        <w:numPr>
          <w:ilvl w:val="0"/>
          <w:numId w:val="126"/>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 xml:space="preserve">VI Turniej Szachowy Instytucji Pomocy Społecznej 2019 pod patronatem Prezydenta Miasta Kędzierzyn-Koźle dofinansowywany ze środków Państwowego Funduszu Rehabilitacji Osób Niepełnosprawnych. Turniejowi przyświecały poniższe </w:t>
      </w:r>
      <w:r w:rsidR="006F1645">
        <w:rPr>
          <w:rFonts w:ascii="Times New Roman" w:eastAsia="Calibri" w:hAnsi="Times New Roman" w:cs="Times New Roman"/>
          <w:sz w:val="24"/>
          <w:szCs w:val="24"/>
        </w:rPr>
        <w:t xml:space="preserve">idee i cele: popularyzacja gry </w:t>
      </w:r>
      <w:r w:rsidRPr="00883109">
        <w:rPr>
          <w:rFonts w:ascii="Times New Roman" w:eastAsia="Calibri" w:hAnsi="Times New Roman" w:cs="Times New Roman"/>
          <w:sz w:val="24"/>
          <w:szCs w:val="24"/>
        </w:rPr>
        <w:t>w szachy wśród osób starszych i niepełnosprawnych,</w:t>
      </w:r>
      <w:r w:rsidR="006F1645">
        <w:rPr>
          <w:rFonts w:ascii="Times New Roman" w:eastAsia="Calibri" w:hAnsi="Times New Roman" w:cs="Times New Roman"/>
          <w:sz w:val="24"/>
          <w:szCs w:val="24"/>
        </w:rPr>
        <w:t xml:space="preserve"> trening sprawności  umysłowej </w:t>
      </w:r>
      <w:r w:rsidRPr="00883109">
        <w:rPr>
          <w:rFonts w:ascii="Times New Roman" w:eastAsia="Calibri" w:hAnsi="Times New Roman" w:cs="Times New Roman"/>
          <w:sz w:val="24"/>
          <w:szCs w:val="24"/>
        </w:rPr>
        <w:t>i koncentracji, współtworzenie atmosfery rywalizacji i współzawodnictwa sportowego, zaspakajanie potrzeb  psychicznych wyższego rzę</w:t>
      </w:r>
      <w:r w:rsidR="006F1645">
        <w:rPr>
          <w:rFonts w:ascii="Times New Roman" w:eastAsia="Calibri" w:hAnsi="Times New Roman" w:cs="Times New Roman"/>
          <w:sz w:val="24"/>
          <w:szCs w:val="24"/>
        </w:rPr>
        <w:t xml:space="preserve">du, krzewienie idei integracji </w:t>
      </w:r>
      <w:r w:rsidRPr="00883109">
        <w:rPr>
          <w:rFonts w:ascii="Times New Roman" w:eastAsia="Calibri" w:hAnsi="Times New Roman" w:cs="Times New Roman"/>
          <w:sz w:val="24"/>
          <w:szCs w:val="24"/>
        </w:rPr>
        <w:t>i wolontariatu, propagowanie aktywnego sposobu sp</w:t>
      </w:r>
      <w:r w:rsidR="006F1645">
        <w:rPr>
          <w:rFonts w:ascii="Times New Roman" w:eastAsia="Calibri" w:hAnsi="Times New Roman" w:cs="Times New Roman"/>
          <w:sz w:val="24"/>
          <w:szCs w:val="24"/>
        </w:rPr>
        <w:t xml:space="preserve">ędzania wolnego osób starszych </w:t>
      </w:r>
      <w:r w:rsidRPr="00883109">
        <w:rPr>
          <w:rFonts w:ascii="Times New Roman" w:eastAsia="Calibri" w:hAnsi="Times New Roman" w:cs="Times New Roman"/>
          <w:sz w:val="24"/>
          <w:szCs w:val="24"/>
        </w:rPr>
        <w:t>i niepełnosprawnych;</w:t>
      </w:r>
    </w:p>
    <w:p w14:paraId="370D8870" w14:textId="77777777" w:rsidR="00883109" w:rsidRDefault="00F31DCC" w:rsidP="008C71A9">
      <w:pPr>
        <w:pStyle w:val="Akapitzlist"/>
        <w:numPr>
          <w:ilvl w:val="0"/>
          <w:numId w:val="126"/>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XII Miejskie Obchody Dni Seniora;</w:t>
      </w:r>
    </w:p>
    <w:p w14:paraId="1D37FDDE" w14:textId="77777777" w:rsidR="00883109" w:rsidRDefault="00F31DCC" w:rsidP="008C71A9">
      <w:pPr>
        <w:pStyle w:val="Akapitzlist"/>
        <w:numPr>
          <w:ilvl w:val="0"/>
          <w:numId w:val="126"/>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w 2019 r. wydano 241 kart Gmina Kędzierzyn-Koźle dla Seniora. Dzięki kartom seniorzy mogli korzystać z ulg i przywilejów im przysługujących np.: bilety zniżkowe do kina, na basen, wypożyczenia książek w bibliotekach;</w:t>
      </w:r>
    </w:p>
    <w:p w14:paraId="0812E493" w14:textId="77777777" w:rsidR="00DD2DA3" w:rsidRDefault="00F31DCC" w:rsidP="008C71A9">
      <w:pPr>
        <w:pStyle w:val="Akapitzlist"/>
        <w:numPr>
          <w:ilvl w:val="0"/>
          <w:numId w:val="126"/>
        </w:numPr>
        <w:spacing w:after="0"/>
        <w:ind w:left="643"/>
        <w:jc w:val="both"/>
        <w:rPr>
          <w:rFonts w:ascii="Times New Roman" w:eastAsia="Calibri" w:hAnsi="Times New Roman" w:cs="Times New Roman"/>
          <w:sz w:val="24"/>
          <w:szCs w:val="24"/>
        </w:rPr>
      </w:pPr>
      <w:r w:rsidRPr="00883109">
        <w:rPr>
          <w:rFonts w:ascii="Times New Roman" w:eastAsia="Calibri" w:hAnsi="Times New Roman" w:cs="Times New Roman"/>
          <w:sz w:val="24"/>
          <w:szCs w:val="24"/>
        </w:rPr>
        <w:t>projekty socjalne realizowane w dom</w:t>
      </w:r>
      <w:r w:rsidR="00F15643">
        <w:rPr>
          <w:rFonts w:ascii="Times New Roman" w:eastAsia="Calibri" w:hAnsi="Times New Roman" w:cs="Times New Roman"/>
          <w:sz w:val="24"/>
          <w:szCs w:val="24"/>
        </w:rPr>
        <w:t>ach dziennego pobytu w 2019 r.</w:t>
      </w:r>
      <w:r w:rsidRPr="00883109">
        <w:rPr>
          <w:rFonts w:ascii="Times New Roman" w:eastAsia="Calibri" w:hAnsi="Times New Roman" w:cs="Times New Roman"/>
          <w:sz w:val="24"/>
          <w:szCs w:val="24"/>
        </w:rPr>
        <w:t xml:space="preserve">, </w:t>
      </w:r>
      <w:r w:rsidRPr="00883109">
        <w:rPr>
          <w:rFonts w:ascii="Times New Roman" w:eastAsia="Calibri" w:hAnsi="Times New Roman" w:cs="Times New Roman"/>
          <w:sz w:val="24"/>
          <w:szCs w:val="24"/>
        </w:rPr>
        <w:br/>
        <w:t>w tym m. in.:</w:t>
      </w:r>
      <w:r w:rsidR="00DD2DA3">
        <w:rPr>
          <w:rFonts w:ascii="Times New Roman" w:eastAsia="Calibri" w:hAnsi="Times New Roman" w:cs="Times New Roman"/>
          <w:sz w:val="24"/>
          <w:szCs w:val="24"/>
        </w:rPr>
        <w:t xml:space="preserve"> </w:t>
      </w:r>
    </w:p>
    <w:p w14:paraId="57D79459" w14:textId="77777777" w:rsidR="00DD2DA3" w:rsidRDefault="00DD2DA3" w:rsidP="00E7359C">
      <w:pPr>
        <w:spacing w:after="0"/>
        <w:jc w:val="both"/>
        <w:rPr>
          <w:rFonts w:ascii="Times New Roman" w:eastAsia="Calibri" w:hAnsi="Times New Roman" w:cs="Times New Roman"/>
          <w:sz w:val="24"/>
          <w:szCs w:val="24"/>
        </w:rPr>
      </w:pPr>
    </w:p>
    <w:p w14:paraId="0462F5F9" w14:textId="77777777" w:rsidR="00F31DCC" w:rsidRPr="00DD2DA3" w:rsidRDefault="00F31DCC" w:rsidP="00E7359C">
      <w:pPr>
        <w:spacing w:after="0"/>
        <w:jc w:val="both"/>
        <w:rPr>
          <w:rFonts w:ascii="Times New Roman" w:eastAsia="Calibri" w:hAnsi="Times New Roman" w:cs="Times New Roman"/>
          <w:sz w:val="24"/>
          <w:szCs w:val="24"/>
        </w:rPr>
      </w:pPr>
      <w:r w:rsidRPr="00DD2DA3">
        <w:rPr>
          <w:rFonts w:ascii="Times New Roman" w:eastAsia="Calibri" w:hAnsi="Times New Roman" w:cs="Times New Roman"/>
          <w:sz w:val="24"/>
          <w:szCs w:val="24"/>
        </w:rPr>
        <w:t>„Rejs statkiem po Odrze” - Dom Dziennego Pobytu nr 4 „Wrzos” zorganizował wycieczkę edukacyjno – rekreacyjną”. W wycieczce udział wzięli seniorzy korzystający z usług Domów Dziennego Pobytu działających na terenie miasta Kędzierzyn – Koźle,</w:t>
      </w:r>
    </w:p>
    <w:p w14:paraId="63830A8D" w14:textId="77777777" w:rsidR="00DD2DA3" w:rsidRDefault="00DD2DA3" w:rsidP="00E7359C">
      <w:pPr>
        <w:spacing w:after="0"/>
        <w:contextualSpacing/>
        <w:jc w:val="both"/>
        <w:rPr>
          <w:rFonts w:ascii="Times New Roman" w:eastAsia="Calibri" w:hAnsi="Times New Roman" w:cs="Times New Roman"/>
          <w:sz w:val="24"/>
          <w:szCs w:val="24"/>
        </w:rPr>
      </w:pPr>
    </w:p>
    <w:p w14:paraId="3538ACCC" w14:textId="77777777" w:rsidR="00F31DCC" w:rsidRPr="005F0A32" w:rsidRDefault="00F31DCC" w:rsidP="00E7359C">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„Babciu, dziadku naucz mnie” projekt, który obejmuje różnorodną aktywność </w:t>
      </w:r>
      <w:r w:rsidRPr="005F0A32">
        <w:rPr>
          <w:rFonts w:ascii="Times New Roman" w:eastAsia="Calibri" w:hAnsi="Times New Roman" w:cs="Times New Roman"/>
          <w:sz w:val="24"/>
          <w:szCs w:val="24"/>
        </w:rPr>
        <w:br/>
        <w:t>w zależności od potrzeb, możliwości i stanu zdrowia uczestników,</w:t>
      </w:r>
    </w:p>
    <w:p w14:paraId="5A49E553" w14:textId="77777777" w:rsidR="00DD2DA3" w:rsidRDefault="00DD2DA3" w:rsidP="00E7359C">
      <w:pPr>
        <w:spacing w:after="0"/>
        <w:contextualSpacing/>
        <w:jc w:val="both"/>
        <w:rPr>
          <w:rFonts w:ascii="Times New Roman" w:eastAsia="Calibri" w:hAnsi="Times New Roman" w:cs="Times New Roman"/>
          <w:sz w:val="24"/>
          <w:szCs w:val="24"/>
        </w:rPr>
      </w:pPr>
    </w:p>
    <w:p w14:paraId="5FEF8B79" w14:textId="77777777" w:rsidR="00F31DCC" w:rsidRPr="005F0A32" w:rsidRDefault="00F31DCC" w:rsidP="00E7359C">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„Ile wezmę sam tyle Tobie dam” - w projekcie biorą udział trzy instytucje </w:t>
      </w:r>
      <w:r w:rsidRPr="005F0A32">
        <w:rPr>
          <w:rFonts w:ascii="Times New Roman" w:eastAsia="Calibri" w:hAnsi="Times New Roman" w:cs="Times New Roman"/>
          <w:sz w:val="24"/>
          <w:szCs w:val="24"/>
        </w:rPr>
        <w:br/>
        <w:t xml:space="preserve">z osiedla Pogorzelec w Kędzierzynie-Koźlu : seniorzy z Domu Dziennego Pobytu Nr 5 „Nasz </w:t>
      </w:r>
      <w:r w:rsidRPr="005F0A32">
        <w:rPr>
          <w:rFonts w:ascii="Times New Roman" w:eastAsia="Calibri" w:hAnsi="Times New Roman" w:cs="Times New Roman"/>
          <w:sz w:val="24"/>
          <w:szCs w:val="24"/>
        </w:rPr>
        <w:lastRenderedPageBreak/>
        <w:t xml:space="preserve">Dom”, przedszkolaki z Publicznego Przedszkola Nr 11 i </w:t>
      </w:r>
      <w:r w:rsidR="00DD2DA3">
        <w:rPr>
          <w:rFonts w:ascii="Times New Roman" w:eastAsia="Calibri" w:hAnsi="Times New Roman" w:cs="Times New Roman"/>
          <w:sz w:val="24"/>
          <w:szCs w:val="24"/>
        </w:rPr>
        <w:t xml:space="preserve">uczniowie </w:t>
      </w:r>
      <w:r w:rsidRPr="005F0A32">
        <w:rPr>
          <w:rFonts w:ascii="Times New Roman" w:eastAsia="Calibri" w:hAnsi="Times New Roman" w:cs="Times New Roman"/>
          <w:sz w:val="24"/>
          <w:szCs w:val="24"/>
        </w:rPr>
        <w:t>z Publicznej Szkoły Podstawowej Nr 5. Celami  przedsięwzięcia są: integracja międzypokoleniowa, podnoszenie jakości pracy instytucji edukacyjnych i pomocy społecznej, propagowanie dobrych praktyk i uczenia się przez całe życie,</w:t>
      </w:r>
    </w:p>
    <w:p w14:paraId="03C6977F" w14:textId="77777777" w:rsidR="00DD2DA3" w:rsidRDefault="00DD2DA3" w:rsidP="00E7359C">
      <w:pPr>
        <w:spacing w:after="0"/>
        <w:contextualSpacing/>
        <w:jc w:val="both"/>
        <w:rPr>
          <w:rFonts w:ascii="Times New Roman" w:eastAsia="Calibri" w:hAnsi="Times New Roman" w:cs="Times New Roman"/>
          <w:sz w:val="24"/>
          <w:szCs w:val="24"/>
        </w:rPr>
      </w:pPr>
    </w:p>
    <w:p w14:paraId="74AEA43F" w14:textId="77777777" w:rsidR="00F31DCC" w:rsidRPr="005F0A32" w:rsidRDefault="00F31DCC" w:rsidP="00E7359C">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„Od garnuszka do serduszka” projekt</w:t>
      </w:r>
      <w:r w:rsidRPr="005F0A32">
        <w:rPr>
          <w:rFonts w:ascii="Times New Roman" w:eastAsia="Times New Roman" w:hAnsi="Times New Roman" w:cs="Times New Roman"/>
          <w:bCs/>
          <w:sz w:val="24"/>
          <w:szCs w:val="24"/>
          <w:lang w:eastAsia="ar-SA"/>
        </w:rPr>
        <w:t xml:space="preserve"> </w:t>
      </w:r>
      <w:r w:rsidRPr="005F0A32">
        <w:rPr>
          <w:rFonts w:ascii="Times New Roman" w:eastAsia="Calibri" w:hAnsi="Times New Roman" w:cs="Times New Roman"/>
          <w:bCs/>
          <w:sz w:val="24"/>
          <w:szCs w:val="24"/>
        </w:rPr>
        <w:t xml:space="preserve">o charakterze kulinarnym i integracyjnym miał na celu wspólne przygotowywanie </w:t>
      </w:r>
      <w:r w:rsidR="00DD2DA3">
        <w:rPr>
          <w:rFonts w:ascii="Times New Roman" w:eastAsia="Calibri" w:hAnsi="Times New Roman" w:cs="Times New Roman"/>
          <w:bCs/>
          <w:sz w:val="24"/>
          <w:szCs w:val="24"/>
        </w:rPr>
        <w:t xml:space="preserve">posiłków, deserów przez dzieci </w:t>
      </w:r>
      <w:r w:rsidRPr="005F0A32">
        <w:rPr>
          <w:rFonts w:ascii="Times New Roman" w:eastAsia="Calibri" w:hAnsi="Times New Roman" w:cs="Times New Roman"/>
          <w:bCs/>
          <w:sz w:val="24"/>
          <w:szCs w:val="24"/>
        </w:rPr>
        <w:t>z Domu Dziecka  w Koźlu i seniorów z Domu Dziennego Pobytu Nr 4 „</w:t>
      </w:r>
      <w:r w:rsidRPr="005F0A32">
        <w:rPr>
          <w:rFonts w:ascii="Times New Roman" w:eastAsia="Calibri" w:hAnsi="Times New Roman" w:cs="Times New Roman"/>
          <w:bCs/>
          <w:iCs/>
          <w:sz w:val="24"/>
          <w:szCs w:val="24"/>
        </w:rPr>
        <w:t>Wrzos”</w:t>
      </w:r>
      <w:r w:rsidRPr="005F0A32">
        <w:rPr>
          <w:rFonts w:ascii="Times New Roman" w:eastAsia="Calibri" w:hAnsi="Times New Roman" w:cs="Times New Roman"/>
          <w:bCs/>
          <w:sz w:val="24"/>
          <w:szCs w:val="24"/>
        </w:rPr>
        <w:t>. Program swym działaniem obejmował spotkania kulinarne, które miały za zadanie ukazywać prawidłowe relacje międzypokoleniowe, na przykładzie relacji „babcia/dziadek – wnuczek”,</w:t>
      </w:r>
    </w:p>
    <w:p w14:paraId="6ADFFF2B" w14:textId="77777777" w:rsidR="00DD2DA3" w:rsidRDefault="00DD2DA3" w:rsidP="00E7359C">
      <w:pPr>
        <w:spacing w:after="0"/>
        <w:contextualSpacing/>
        <w:jc w:val="both"/>
        <w:rPr>
          <w:rFonts w:ascii="Times New Roman" w:eastAsia="Calibri" w:hAnsi="Times New Roman" w:cs="Times New Roman"/>
          <w:sz w:val="24"/>
          <w:szCs w:val="24"/>
        </w:rPr>
      </w:pPr>
    </w:p>
    <w:p w14:paraId="2E4CFF3F" w14:textId="77777777" w:rsidR="00F31DCC" w:rsidRPr="005F0A32" w:rsidRDefault="00F31DCC" w:rsidP="00E7359C">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„Jesteśmy sobie potrzebni” – to projekt</w:t>
      </w:r>
      <w:r w:rsidR="00DD2DA3">
        <w:rPr>
          <w:rFonts w:ascii="Times New Roman" w:eastAsia="Calibri" w:hAnsi="Times New Roman" w:cs="Times New Roman"/>
          <w:sz w:val="24"/>
          <w:szCs w:val="24"/>
        </w:rPr>
        <w:t xml:space="preserve"> oparty na współpracy seniorów </w:t>
      </w:r>
      <w:r w:rsidRPr="005F0A32">
        <w:rPr>
          <w:rFonts w:ascii="Times New Roman" w:eastAsia="Calibri" w:hAnsi="Times New Roman" w:cs="Times New Roman"/>
          <w:sz w:val="24"/>
          <w:szCs w:val="24"/>
        </w:rPr>
        <w:t>z Domu Dziennego Pobytu Nr 1 „Pod Brzozą” i Schroniska dla Bezdomnych Zwierząt w Kędzierzynie- Koźlu,</w:t>
      </w:r>
    </w:p>
    <w:p w14:paraId="5AE8D9A5" w14:textId="77777777" w:rsidR="00F31DCC" w:rsidRPr="005F0A32" w:rsidRDefault="00F31DCC" w:rsidP="00E7359C">
      <w:pPr>
        <w:spacing w:after="0"/>
        <w:contextualSpacing/>
        <w:jc w:val="both"/>
        <w:rPr>
          <w:rFonts w:ascii="Times New Roman" w:eastAsia="Calibri" w:hAnsi="Times New Roman" w:cs="Times New Roman"/>
          <w:b/>
          <w:sz w:val="24"/>
          <w:szCs w:val="24"/>
        </w:rPr>
      </w:pPr>
    </w:p>
    <w:p w14:paraId="31F26CE7" w14:textId="77777777" w:rsidR="00DD2DA3" w:rsidRPr="00F15643" w:rsidRDefault="00DD2DA3" w:rsidP="00E7359C">
      <w:pPr>
        <w:jc w:val="both"/>
        <w:rPr>
          <w:rFonts w:ascii="Times New Roman" w:hAnsi="Times New Roman" w:cs="Times New Roman"/>
          <w:b/>
          <w:color w:val="00B0F0"/>
          <w:sz w:val="24"/>
          <w:szCs w:val="24"/>
        </w:rPr>
      </w:pPr>
      <w:r w:rsidRPr="00F15643">
        <w:rPr>
          <w:rFonts w:ascii="Times New Roman" w:hAnsi="Times New Roman" w:cs="Times New Roman"/>
          <w:b/>
          <w:color w:val="00B0F0"/>
          <w:sz w:val="24"/>
          <w:szCs w:val="24"/>
        </w:rPr>
        <w:t>Przykłady innowacyjnych rozwiązań w ramach polityki senioralnej</w:t>
      </w:r>
    </w:p>
    <w:p w14:paraId="3C48AB37" w14:textId="77777777" w:rsidR="00DD2DA3" w:rsidRPr="00DD2DA3" w:rsidRDefault="00F31DCC" w:rsidP="008C71A9">
      <w:pPr>
        <w:pStyle w:val="Akapitzlist"/>
        <w:numPr>
          <w:ilvl w:val="0"/>
          <w:numId w:val="124"/>
        </w:numPr>
        <w:spacing w:after="0"/>
        <w:ind w:left="360"/>
        <w:jc w:val="both"/>
        <w:rPr>
          <w:rFonts w:ascii="Times New Roman" w:eastAsia="Calibri" w:hAnsi="Times New Roman" w:cs="Times New Roman"/>
          <w:b/>
          <w:color w:val="FF0000"/>
          <w:sz w:val="24"/>
          <w:szCs w:val="24"/>
        </w:rPr>
      </w:pPr>
      <w:r w:rsidRPr="00DD2DA3">
        <w:rPr>
          <w:rFonts w:ascii="Times New Roman" w:eastAsia="Calibri" w:hAnsi="Times New Roman" w:cs="Times New Roman"/>
          <w:sz w:val="24"/>
          <w:szCs w:val="24"/>
        </w:rPr>
        <w:t xml:space="preserve">projekt realizowany na terenie Powiatu Krapkowickiego w  Domu Pomocy Społecznej „Anna” w Krapkowicach, pn. „Usługi zdrowotne dla osób starszych w Powiecie Krapkowickim” dofinansowany w ramach Regionalnego Programu Operacyjnego  Województwa Opolskiego na lata 2014-2020. W ramach projektu stworzony został Mobilny Punkt Rehabilitacyjny jako wyjście naprzeciw potrzebom osób niesamodzielnych poprzez udzielenie specjalistycznego wsparcia m.in. w drodze usamodzielnienia się, podtrzymania stanu </w:t>
      </w:r>
      <w:r w:rsidR="00DD2DA3">
        <w:rPr>
          <w:rFonts w:ascii="Times New Roman" w:eastAsia="Calibri" w:hAnsi="Times New Roman" w:cs="Times New Roman"/>
          <w:sz w:val="24"/>
          <w:szCs w:val="24"/>
        </w:rPr>
        <w:t xml:space="preserve">zdrowia, poprawy samopoczucia. </w:t>
      </w:r>
      <w:r w:rsidRPr="00DD2DA3">
        <w:rPr>
          <w:rFonts w:ascii="Times New Roman" w:eastAsia="Calibri" w:hAnsi="Times New Roman" w:cs="Times New Roman"/>
          <w:sz w:val="24"/>
          <w:szCs w:val="24"/>
        </w:rPr>
        <w:t>W ramach zadania zatrudnionych zostało 3 fizjoterapeutów w pełnym wymiarze czasu pracy. Rehabilitacja prowadzona była w warunkach niestacjonarnych tj. w miejscu zamieszkania osoby niesamodzielnej oraz stacjonarnych w siedzibie DPS „Anna”,</w:t>
      </w:r>
    </w:p>
    <w:p w14:paraId="4ADD39E4" w14:textId="77777777" w:rsidR="00F31DCC" w:rsidRPr="00DD2DA3" w:rsidRDefault="00F31DCC" w:rsidP="008C71A9">
      <w:pPr>
        <w:pStyle w:val="Akapitzlist"/>
        <w:numPr>
          <w:ilvl w:val="0"/>
          <w:numId w:val="124"/>
        </w:numPr>
        <w:spacing w:after="0"/>
        <w:ind w:left="360"/>
        <w:jc w:val="both"/>
        <w:rPr>
          <w:rFonts w:ascii="Times New Roman" w:eastAsia="Calibri" w:hAnsi="Times New Roman" w:cs="Times New Roman"/>
          <w:b/>
          <w:color w:val="FF0000"/>
          <w:sz w:val="24"/>
          <w:szCs w:val="24"/>
        </w:rPr>
      </w:pPr>
      <w:r w:rsidRPr="00DD2DA3">
        <w:rPr>
          <w:rFonts w:ascii="Times New Roman" w:eastAsia="Calibri" w:hAnsi="Times New Roman" w:cs="Times New Roman"/>
          <w:sz w:val="24"/>
          <w:szCs w:val="24"/>
        </w:rPr>
        <w:t>„E - porada dla seniorów i ich opiekunów”. Na stronie internetowej www.mops-kkozle.pl znajduje się zakładka „E-PORADA dla seniorów i ich opiekunów”. Za pomocą tejże zakładk</w:t>
      </w:r>
      <w:r w:rsidR="00DD2DA3">
        <w:rPr>
          <w:rFonts w:ascii="Times New Roman" w:eastAsia="Calibri" w:hAnsi="Times New Roman" w:cs="Times New Roman"/>
          <w:sz w:val="24"/>
          <w:szCs w:val="24"/>
        </w:rPr>
        <w:t xml:space="preserve">i </w:t>
      </w:r>
      <w:r w:rsidRPr="00DD2DA3">
        <w:rPr>
          <w:rFonts w:ascii="Times New Roman" w:eastAsia="Calibri" w:hAnsi="Times New Roman" w:cs="Times New Roman"/>
          <w:sz w:val="24"/>
          <w:szCs w:val="24"/>
        </w:rPr>
        <w:t>i znajdującego się formularza kontaktowego seniorzy mogą uzyskać porady w zakresie pomocy społecznej. Odpowiedzi są udzielane przez specjalistów pracy socjalnej drogą elektroniczną.</w:t>
      </w:r>
    </w:p>
    <w:p w14:paraId="2402C2A9" w14:textId="77777777" w:rsidR="00DD2DA3" w:rsidRPr="00DD2DA3" w:rsidRDefault="00DD2DA3" w:rsidP="00E7359C">
      <w:pPr>
        <w:pStyle w:val="Akapitzlist"/>
        <w:spacing w:after="0"/>
        <w:ind w:left="360"/>
        <w:jc w:val="both"/>
        <w:rPr>
          <w:rFonts w:ascii="Times New Roman" w:eastAsia="Calibri" w:hAnsi="Times New Roman" w:cs="Times New Roman"/>
          <w:b/>
          <w:color w:val="FF0000"/>
          <w:sz w:val="24"/>
          <w:szCs w:val="24"/>
        </w:rPr>
      </w:pPr>
    </w:p>
    <w:p w14:paraId="18F29747" w14:textId="77777777" w:rsidR="00DD2DA3" w:rsidRPr="00DD2DA3" w:rsidRDefault="00DD2DA3" w:rsidP="00E7359C">
      <w:pPr>
        <w:spacing w:after="0"/>
        <w:jc w:val="both"/>
        <w:rPr>
          <w:rFonts w:ascii="Times New Roman" w:hAnsi="Times New Roman" w:cs="Times New Roman"/>
          <w:b/>
          <w:i/>
          <w:sz w:val="24"/>
          <w:szCs w:val="24"/>
        </w:rPr>
      </w:pPr>
      <w:r w:rsidRPr="00DD2DA3">
        <w:rPr>
          <w:rFonts w:ascii="Times New Roman" w:hAnsi="Times New Roman" w:cs="Times New Roman"/>
          <w:b/>
          <w:sz w:val="24"/>
          <w:szCs w:val="24"/>
        </w:rPr>
        <w:t xml:space="preserve">Realizacja działań wynikających z przyjętego przez Radę Ministrów dokumentu pt. „Polityka społeczna wobec osób starszych 2030. Bezpieczeństwo – Uczestnictwo – Solidarność” </w:t>
      </w:r>
    </w:p>
    <w:p w14:paraId="2DA23604" w14:textId="77777777" w:rsidR="00F31DCC" w:rsidRPr="005F0A32" w:rsidRDefault="00F31DCC" w:rsidP="00E7359C">
      <w:pPr>
        <w:spacing w:after="0"/>
        <w:jc w:val="both"/>
        <w:rPr>
          <w:rFonts w:ascii="Times New Roman" w:eastAsia="Calibri" w:hAnsi="Times New Roman" w:cs="Times New Roman"/>
          <w:sz w:val="24"/>
          <w:szCs w:val="24"/>
        </w:rPr>
      </w:pPr>
    </w:p>
    <w:p w14:paraId="42FF0C46" w14:textId="77777777" w:rsidR="00F31DCC" w:rsidRPr="005F0A32" w:rsidRDefault="00F31DCC" w:rsidP="00E7359C">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W większości gmin w województwie opolskim realizowane są różnego rodzaju przedsięwzięcia dla osób w zaawansowanym wieku w większym lub mniejszym zakresie. Prowadzona polityka senioralna oraz podejmowanie inicjatyw w obszarze kultury, edukacji oraz opieki nad seniorami w ramach dobrych praktyk, odbywa się – przy ścisłej współpracy samorządów terytorialnych oraz lokalnych organizacji pozarządowych, nieformalnych grup zrzeszających osoby o wspólnych zainteresowaniach, czy też osób zrzeszających się w celu realizowania określonych inicjatyw – poprzez wymianę doświadczeń, wspieranie i tworzenie projektów międzypokoleniowych oraz kampanii edukacyjnych. W uchwalanych przez jednostki samorządu terytorialnego strategiach dotyczących problemów społecznych uwzględnia się </w:t>
      </w:r>
      <w:r w:rsidRPr="005F0A32">
        <w:rPr>
          <w:rFonts w:ascii="Times New Roman" w:eastAsia="Calibri" w:hAnsi="Times New Roman" w:cs="Times New Roman"/>
          <w:sz w:val="24"/>
          <w:szCs w:val="24"/>
        </w:rPr>
        <w:lastRenderedPageBreak/>
        <w:t xml:space="preserve">potrzeby seniorów, w tym przede wszystkim ich bezpieczeństwo i  aktywność, w wielu sferach życia m.in.: zawodowej, społecznej, obywatelskiej, edukacyjnej, kulturalnej, zdrowotnej oraz rekreacyjno – sportowej. </w:t>
      </w:r>
    </w:p>
    <w:p w14:paraId="4D86A495" w14:textId="77777777" w:rsidR="00DD2DA3" w:rsidRDefault="00DD2DA3" w:rsidP="00E7359C">
      <w:pPr>
        <w:spacing w:after="0"/>
        <w:jc w:val="both"/>
        <w:rPr>
          <w:rFonts w:ascii="Times New Roman" w:eastAsia="Calibri" w:hAnsi="Times New Roman" w:cs="Times New Roman"/>
          <w:sz w:val="24"/>
          <w:szCs w:val="24"/>
        </w:rPr>
      </w:pPr>
    </w:p>
    <w:p w14:paraId="4164C916" w14:textId="77777777" w:rsidR="00F31DCC" w:rsidRPr="005F0A32" w:rsidRDefault="00F31DCC" w:rsidP="00E7359C">
      <w:pPr>
        <w:spacing w:after="0"/>
        <w:jc w:val="both"/>
        <w:rPr>
          <w:rFonts w:ascii="Times New Roman" w:eastAsia="Calibri" w:hAnsi="Times New Roman" w:cs="Times New Roman"/>
          <w:i/>
          <w:sz w:val="24"/>
          <w:szCs w:val="24"/>
        </w:rPr>
      </w:pPr>
      <w:r w:rsidRPr="005F0A32">
        <w:rPr>
          <w:rFonts w:ascii="Times New Roman" w:eastAsia="Calibri" w:hAnsi="Times New Roman" w:cs="Times New Roman"/>
          <w:sz w:val="24"/>
          <w:szCs w:val="24"/>
        </w:rPr>
        <w:t xml:space="preserve">Realizacja polityki społecznej na rzecz osób starszych oraz kierowane do nich programy oraz inicjatywy w województwie opolskim, opisane powyżej w piśmie, są odzwierciedleniem rekomendacji, zaleceń i postanowień sformułowanych w dokumentach pn. </w:t>
      </w:r>
      <w:r w:rsidRPr="005F0A32">
        <w:rPr>
          <w:rFonts w:ascii="Times New Roman" w:eastAsia="Calibri" w:hAnsi="Times New Roman" w:cs="Times New Roman"/>
          <w:i/>
          <w:sz w:val="24"/>
          <w:szCs w:val="24"/>
        </w:rPr>
        <w:t>Informacja</w:t>
      </w:r>
      <w:r w:rsidRPr="005F0A32">
        <w:rPr>
          <w:rFonts w:ascii="Times New Roman" w:eastAsia="Calibri" w:hAnsi="Times New Roman" w:cs="Times New Roman"/>
          <w:sz w:val="24"/>
          <w:szCs w:val="24"/>
        </w:rPr>
        <w:t xml:space="preserve"> </w:t>
      </w:r>
      <w:r w:rsidRPr="005F0A32">
        <w:rPr>
          <w:rFonts w:ascii="Times New Roman" w:eastAsia="Calibri" w:hAnsi="Times New Roman" w:cs="Times New Roman"/>
          <w:i/>
          <w:sz w:val="24"/>
          <w:szCs w:val="24"/>
        </w:rPr>
        <w:t xml:space="preserve">o sytuacji osób starszych za 2018 r. </w:t>
      </w:r>
      <w:r w:rsidRPr="005F0A32">
        <w:rPr>
          <w:rFonts w:ascii="Times New Roman" w:eastAsia="Calibri" w:hAnsi="Times New Roman" w:cs="Times New Roman"/>
          <w:sz w:val="24"/>
          <w:szCs w:val="24"/>
        </w:rPr>
        <w:t>oraz</w:t>
      </w:r>
      <w:r w:rsidRPr="005F0A32">
        <w:rPr>
          <w:rFonts w:ascii="Times New Roman" w:eastAsia="Calibri" w:hAnsi="Times New Roman" w:cs="Times New Roman"/>
          <w:i/>
          <w:sz w:val="24"/>
          <w:szCs w:val="24"/>
        </w:rPr>
        <w:t xml:space="preserve"> Polityka społeczna wobec osób starszych 2030. Bezpieczeństwo – Uczestnictwo – Solidarność.</w:t>
      </w:r>
    </w:p>
    <w:p w14:paraId="52832C7B" w14:textId="77777777" w:rsidR="00DD2DA3" w:rsidRDefault="00DD2DA3" w:rsidP="00E7359C">
      <w:pPr>
        <w:spacing w:after="0"/>
        <w:jc w:val="both"/>
        <w:rPr>
          <w:rFonts w:ascii="Times New Roman" w:eastAsia="Calibri" w:hAnsi="Times New Roman" w:cs="Times New Roman"/>
          <w:sz w:val="24"/>
          <w:szCs w:val="24"/>
        </w:rPr>
      </w:pPr>
    </w:p>
    <w:p w14:paraId="0D4E3C36" w14:textId="77777777" w:rsidR="00F31DCC" w:rsidRPr="005F0A32" w:rsidRDefault="00F31DCC" w:rsidP="00E7359C">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Poszczególne samorządy na bieżącą monitorują sytuację społeczności lokalnej, prowadzone są obserwacje pod kątem zachodzących zmian w strukturze wiekowej ludności, w tym także prowadzone są analizy pod kątem konieczności zapewnienia osobom w wieku senioralnym odpowiednich warunków umożliwiających im godne spędzenie starości. Oprócz realizowanych różnego rodzaju wydarzeń kulturalno-rozrywkowych, sportowych, czy też edukacyjnych, które mają jak najdłużej utrzymać osoby w sprawności umysłowej i fizycznej prowadzone są również dzi</w:t>
      </w:r>
      <w:r w:rsidR="004854E3">
        <w:rPr>
          <w:rFonts w:ascii="Times New Roman" w:eastAsia="Calibri" w:hAnsi="Times New Roman" w:cs="Times New Roman"/>
          <w:sz w:val="24"/>
          <w:szCs w:val="24"/>
        </w:rPr>
        <w:t xml:space="preserve">ałania </w:t>
      </w:r>
      <w:r w:rsidRPr="005F0A32">
        <w:rPr>
          <w:rFonts w:ascii="Times New Roman" w:eastAsia="Calibri" w:hAnsi="Times New Roman" w:cs="Times New Roman"/>
          <w:sz w:val="24"/>
          <w:szCs w:val="24"/>
        </w:rPr>
        <w:t>w kierunku zapewnienia osobom w podeszłym wieku, które ze względu na pogarszającą się sprawność  i stan zdrowia nie mogą już same funkcjonować w środowisku, opieki w formie usług opiekuńczych w miejscu zamieszkania, usług w dziennych domach pomocy, czy też całodobowej opieki w domach pomocy społecznej lub poprzez informowanie o placówkach zapewniających całodobową opiekę, jeżeli osoby wyrażają wolę skorzystania z tego rodzaju usług.</w:t>
      </w:r>
    </w:p>
    <w:p w14:paraId="0D6888B6" w14:textId="77777777" w:rsidR="004854E3" w:rsidRDefault="004854E3" w:rsidP="00E7359C">
      <w:pPr>
        <w:spacing w:after="0"/>
        <w:jc w:val="both"/>
        <w:rPr>
          <w:rFonts w:ascii="Times New Roman" w:eastAsia="Calibri" w:hAnsi="Times New Roman" w:cs="Times New Roman"/>
          <w:sz w:val="24"/>
          <w:szCs w:val="24"/>
        </w:rPr>
      </w:pPr>
    </w:p>
    <w:p w14:paraId="7E515E38" w14:textId="77777777" w:rsidR="00F31DCC" w:rsidRPr="005F0A32" w:rsidRDefault="00F31DCC" w:rsidP="00E7359C">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Przejawem realizowania rekomendacji sformułowanych w ww. dokumentach jest niewątpliwie rozwijająca się sieć Dziennych Domów i Klubów „Senior +”, które cieszą się dużym zainteresowaniem lokalnej społeczności. Osoby starsze mogą w tych placówkach </w:t>
      </w:r>
      <w:r w:rsidR="004854E3">
        <w:rPr>
          <w:rFonts w:ascii="Times New Roman" w:eastAsia="Calibri" w:hAnsi="Times New Roman" w:cs="Times New Roman"/>
          <w:sz w:val="24"/>
          <w:szCs w:val="24"/>
        </w:rPr>
        <w:t xml:space="preserve">rozwijać swoje pasje, aktywnie </w:t>
      </w:r>
      <w:r w:rsidRPr="005F0A32">
        <w:rPr>
          <w:rFonts w:ascii="Times New Roman" w:eastAsia="Calibri" w:hAnsi="Times New Roman" w:cs="Times New Roman"/>
          <w:sz w:val="24"/>
          <w:szCs w:val="24"/>
        </w:rPr>
        <w:t>w gronie rówieśników spędzać wolny czas poprzez udział w różnego rodzaju organizowanych wycieczkach, zajęciach sportowo-rekreacyjnych, kulturalnych, stają się aktywnymi członkami w życiu gminy. Wspomniane placówki, są także doskonałym miejscem dla osób, które wymagają także większego wsparcia z uwagi na pogarszający się stan zdrowia, ale mimo chorób nadal chcą przebywać wśród osób aktywnych, a przez to same w pewien sposób opóźniają proces starzenia się, poprzez uczestnictwo w zajęciach aktywizujących i rehabilitacyjnych.</w:t>
      </w:r>
    </w:p>
    <w:p w14:paraId="12987BB7" w14:textId="77777777" w:rsidR="004854E3" w:rsidRDefault="004854E3" w:rsidP="00E7359C">
      <w:pPr>
        <w:spacing w:after="0"/>
        <w:jc w:val="both"/>
        <w:rPr>
          <w:rFonts w:ascii="Times New Roman" w:eastAsia="Calibri" w:hAnsi="Times New Roman" w:cs="Times New Roman"/>
          <w:sz w:val="24"/>
          <w:szCs w:val="24"/>
        </w:rPr>
      </w:pPr>
    </w:p>
    <w:p w14:paraId="7ECEC836" w14:textId="77777777" w:rsidR="00F31DCC" w:rsidRPr="005F0A32" w:rsidRDefault="00F31DCC" w:rsidP="00E7359C">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Pozytywnym zjawiskiem jest także zwiększająca się liczba gmin uczestniczących </w:t>
      </w:r>
      <w:r w:rsidRPr="005F0A32">
        <w:rPr>
          <w:rFonts w:ascii="Times New Roman" w:eastAsia="Calibri" w:hAnsi="Times New Roman" w:cs="Times New Roman"/>
          <w:sz w:val="24"/>
          <w:szCs w:val="24"/>
        </w:rPr>
        <w:br/>
        <w:t xml:space="preserve">w Programie „Opieka 75+”, dzięki czemu osobom wymagającym opieki poprawia się jakość </w:t>
      </w:r>
      <w:r w:rsidRPr="005F0A32">
        <w:rPr>
          <w:rFonts w:ascii="Times New Roman" w:eastAsia="Calibri" w:hAnsi="Times New Roman" w:cs="Times New Roman"/>
          <w:sz w:val="24"/>
          <w:szCs w:val="24"/>
        </w:rPr>
        <w:br/>
        <w:t>i poziom życia, a przez to także możliwość jak najdłuższego pozostania w swoim środowisku, gdzie osoby starsze czują się najlepiej.</w:t>
      </w:r>
    </w:p>
    <w:p w14:paraId="5DE3AA50" w14:textId="77777777" w:rsidR="004854E3" w:rsidRDefault="004854E3" w:rsidP="00E7359C">
      <w:pPr>
        <w:spacing w:after="0"/>
        <w:jc w:val="both"/>
        <w:rPr>
          <w:rFonts w:ascii="Times New Roman" w:eastAsia="Calibri" w:hAnsi="Times New Roman" w:cs="Times New Roman"/>
          <w:sz w:val="24"/>
          <w:szCs w:val="24"/>
        </w:rPr>
      </w:pPr>
    </w:p>
    <w:p w14:paraId="0209B215" w14:textId="77777777" w:rsidR="00F31DCC" w:rsidRPr="005F0A32" w:rsidRDefault="00F31DCC" w:rsidP="00E7359C">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Realizując cele</w:t>
      </w:r>
      <w:r w:rsidRPr="005F0A32">
        <w:rPr>
          <w:rFonts w:ascii="Times New Roman" w:eastAsia="Times New Roman" w:hAnsi="Times New Roman" w:cs="Times New Roman"/>
          <w:sz w:val="24"/>
          <w:szCs w:val="24"/>
          <w:lang w:eastAsia="pl-PL"/>
        </w:rPr>
        <w:t xml:space="preserve"> zawarte w </w:t>
      </w:r>
      <w:r w:rsidRPr="005F0A32">
        <w:rPr>
          <w:rFonts w:ascii="Times New Roman" w:eastAsia="Calibri" w:hAnsi="Times New Roman" w:cs="Times New Roman"/>
          <w:sz w:val="24"/>
          <w:szCs w:val="24"/>
        </w:rPr>
        <w:t xml:space="preserve">Polityce społecznej wobec osób starszych 2030. Bezpieczeństwo – Uczestnictwo – Solidarność Wojewoda Opolski opracował wojewódzki program podniesienia świadomości seniorów w obszarze przeciwdziałania zagrożeniom na lata </w:t>
      </w:r>
      <w:r w:rsidR="004854E3">
        <w:rPr>
          <w:rFonts w:ascii="Times New Roman" w:eastAsia="Calibri" w:hAnsi="Times New Roman" w:cs="Times New Roman"/>
          <w:sz w:val="24"/>
          <w:szCs w:val="24"/>
        </w:rPr>
        <w:t xml:space="preserve">2018 – 2020 „Świadomy </w:t>
      </w:r>
      <w:r w:rsidRPr="005F0A32">
        <w:rPr>
          <w:rFonts w:ascii="Times New Roman" w:eastAsia="Calibri" w:hAnsi="Times New Roman" w:cs="Times New Roman"/>
          <w:sz w:val="24"/>
          <w:szCs w:val="24"/>
        </w:rPr>
        <w:t>i bezpieczny Senior” finansowany w całości z budżetu Wojewody. Celem programu jest podniesienie poziomu bezpieczeństwa i świadomości seniorów w zakresie zagrożeń oraz zmniejszenie ilości przestępstw popełnianych na osobach starszych, poprzez prop</w:t>
      </w:r>
      <w:r w:rsidR="004854E3">
        <w:rPr>
          <w:rFonts w:ascii="Times New Roman" w:eastAsia="Calibri" w:hAnsi="Times New Roman" w:cs="Times New Roman"/>
          <w:sz w:val="24"/>
          <w:szCs w:val="24"/>
        </w:rPr>
        <w:t xml:space="preserve">agowanie </w:t>
      </w:r>
      <w:r w:rsidR="004854E3">
        <w:rPr>
          <w:rFonts w:ascii="Times New Roman" w:eastAsia="Calibri" w:hAnsi="Times New Roman" w:cs="Times New Roman"/>
          <w:sz w:val="24"/>
          <w:szCs w:val="24"/>
        </w:rPr>
        <w:lastRenderedPageBreak/>
        <w:t xml:space="preserve">bezpiecznych zachowań </w:t>
      </w:r>
      <w:r w:rsidRPr="005F0A32">
        <w:rPr>
          <w:rFonts w:ascii="Times New Roman" w:eastAsia="Calibri" w:hAnsi="Times New Roman" w:cs="Times New Roman"/>
          <w:sz w:val="24"/>
          <w:szCs w:val="24"/>
        </w:rPr>
        <w:t xml:space="preserve">i zapoznanie z mechanizmami działania przestępców. Adresatami programu są: seniorzy województwa opolskiego, dzieci i wnukowie, uczniowie szkół, pielęgniarki środowiskowe, pracownicy jednostek pomocy społecznej, pracownicy instytucji użyteczności publicznej (ZUS, Poczta Polska, PKP), pracownicy placówek bankowych. W ramach programu zrealizowano zadania dotyczące m. in.: </w:t>
      </w:r>
    </w:p>
    <w:p w14:paraId="49017C23" w14:textId="77777777" w:rsidR="00F15643" w:rsidRDefault="00F31DCC" w:rsidP="008C71A9">
      <w:pPr>
        <w:numPr>
          <w:ilvl w:val="0"/>
          <w:numId w:val="127"/>
        </w:numPr>
        <w:spacing w:after="0"/>
        <w:ind w:left="36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opracowania, wydania oraz materiałów edukacyjnych w formie plakatów (3</w:t>
      </w:r>
      <w:r w:rsidR="00F15643">
        <w:rPr>
          <w:rFonts w:ascii="Times New Roman" w:eastAsia="Calibri" w:hAnsi="Times New Roman" w:cs="Times New Roman"/>
          <w:sz w:val="24"/>
          <w:szCs w:val="24"/>
        </w:rPr>
        <w:t xml:space="preserve"> </w:t>
      </w:r>
      <w:r w:rsidRPr="005F0A32">
        <w:rPr>
          <w:rFonts w:ascii="Times New Roman" w:eastAsia="Calibri" w:hAnsi="Times New Roman" w:cs="Times New Roman"/>
          <w:sz w:val="24"/>
          <w:szCs w:val="24"/>
        </w:rPr>
        <w:t>000 szt.), kalendarzy ( 2</w:t>
      </w:r>
      <w:r w:rsidR="00F15643">
        <w:rPr>
          <w:rFonts w:ascii="Times New Roman" w:eastAsia="Calibri" w:hAnsi="Times New Roman" w:cs="Times New Roman"/>
          <w:sz w:val="24"/>
          <w:szCs w:val="24"/>
        </w:rPr>
        <w:t xml:space="preserve"> </w:t>
      </w:r>
      <w:r w:rsidRPr="005F0A32">
        <w:rPr>
          <w:rFonts w:ascii="Times New Roman" w:eastAsia="Calibri" w:hAnsi="Times New Roman" w:cs="Times New Roman"/>
          <w:sz w:val="24"/>
          <w:szCs w:val="24"/>
        </w:rPr>
        <w:t>600 szt.), opasek odblaskowych (2</w:t>
      </w:r>
      <w:r w:rsidR="00F15643">
        <w:rPr>
          <w:rFonts w:ascii="Times New Roman" w:eastAsia="Calibri" w:hAnsi="Times New Roman" w:cs="Times New Roman"/>
          <w:sz w:val="24"/>
          <w:szCs w:val="24"/>
        </w:rPr>
        <w:t xml:space="preserve"> </w:t>
      </w:r>
      <w:r w:rsidRPr="005F0A32">
        <w:rPr>
          <w:rFonts w:ascii="Times New Roman" w:eastAsia="Calibri" w:hAnsi="Times New Roman" w:cs="Times New Roman"/>
          <w:sz w:val="24"/>
          <w:szCs w:val="24"/>
        </w:rPr>
        <w:t>500 szt.), lupek (4</w:t>
      </w:r>
      <w:r w:rsidR="00F15643">
        <w:rPr>
          <w:rFonts w:ascii="Times New Roman" w:eastAsia="Calibri" w:hAnsi="Times New Roman" w:cs="Times New Roman"/>
          <w:sz w:val="24"/>
          <w:szCs w:val="24"/>
        </w:rPr>
        <w:t xml:space="preserve"> </w:t>
      </w:r>
    </w:p>
    <w:p w14:paraId="59042082" w14:textId="77777777" w:rsidR="00F31DCC" w:rsidRPr="005F0A32" w:rsidRDefault="00F31DCC" w:rsidP="008C71A9">
      <w:pPr>
        <w:numPr>
          <w:ilvl w:val="0"/>
          <w:numId w:val="127"/>
        </w:numPr>
        <w:spacing w:after="0"/>
        <w:ind w:left="36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500 szt.), etui na kartę zbliżeniową (2</w:t>
      </w:r>
      <w:r w:rsidR="00F15643">
        <w:rPr>
          <w:rFonts w:ascii="Times New Roman" w:eastAsia="Calibri" w:hAnsi="Times New Roman" w:cs="Times New Roman"/>
          <w:sz w:val="24"/>
          <w:szCs w:val="24"/>
        </w:rPr>
        <w:t xml:space="preserve"> </w:t>
      </w:r>
      <w:r w:rsidRPr="005F0A32">
        <w:rPr>
          <w:rFonts w:ascii="Times New Roman" w:eastAsia="Calibri" w:hAnsi="Times New Roman" w:cs="Times New Roman"/>
          <w:sz w:val="24"/>
          <w:szCs w:val="24"/>
        </w:rPr>
        <w:t xml:space="preserve">350 szt.), </w:t>
      </w:r>
    </w:p>
    <w:p w14:paraId="0E600B3F" w14:textId="77777777" w:rsidR="00F31DCC" w:rsidRPr="005F0A32" w:rsidRDefault="00F31DCC" w:rsidP="008C71A9">
      <w:pPr>
        <w:numPr>
          <w:ilvl w:val="0"/>
          <w:numId w:val="127"/>
        </w:numPr>
        <w:spacing w:after="0"/>
        <w:ind w:left="36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przeprowadzania szkoleń dla: pracowników pomocy społecznej i pielęgniarek, seniorów województwa opolskiego, pracowników banków – kasjerów,</w:t>
      </w:r>
    </w:p>
    <w:p w14:paraId="159C3892" w14:textId="77777777" w:rsidR="00F31DCC" w:rsidRPr="005F0A32" w:rsidRDefault="00F31DCC" w:rsidP="008C71A9">
      <w:pPr>
        <w:numPr>
          <w:ilvl w:val="0"/>
          <w:numId w:val="127"/>
        </w:numPr>
        <w:spacing w:after="0"/>
        <w:ind w:left="36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organizowania debaty informacyjno – ewaluacyjne na Uniwersytecie III Wieku.</w:t>
      </w:r>
    </w:p>
    <w:p w14:paraId="2532F3DC" w14:textId="77777777" w:rsidR="004854E3" w:rsidRDefault="004854E3" w:rsidP="00E7359C">
      <w:pPr>
        <w:spacing w:after="0"/>
        <w:jc w:val="both"/>
        <w:rPr>
          <w:rFonts w:ascii="Times New Roman" w:eastAsia="Calibri" w:hAnsi="Times New Roman" w:cs="Times New Roman"/>
          <w:sz w:val="24"/>
          <w:szCs w:val="24"/>
        </w:rPr>
      </w:pPr>
    </w:p>
    <w:p w14:paraId="2EC208F4" w14:textId="77777777" w:rsidR="00F31DCC" w:rsidRPr="005F0A32" w:rsidRDefault="00F31DCC" w:rsidP="00E7359C">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Niewątpliwie, zarówno dla administracji rządowej jak i samorządowej dużym wyzwaniem nadal będą zachodzące zmiany w strukturze wiekowej społeczności, tj. udziale osób aktywnych zawodowo w stosunku do osób w wieku poprodukcyjnym i przedprodukcyjnym, co wiąże się z koniecznością dostosowania szeroko rozumianej polityki społecznej, w każdym aspekcie m. in. w zakresie obowiązującego prawa, gospodarki, rynku pracy, zabezpieczenia społecznego i zdrowia, tak aby zabezpieczyć byt osób które z uwagi na wiek zakończyły swoją aktywność zawodową, zaś z drugiej strony podjęcie działań mających na celu zatrzymanie ob</w:t>
      </w:r>
      <w:r w:rsidR="004854E3">
        <w:rPr>
          <w:rFonts w:ascii="Times New Roman" w:eastAsia="Calibri" w:hAnsi="Times New Roman" w:cs="Times New Roman"/>
          <w:sz w:val="24"/>
          <w:szCs w:val="24"/>
        </w:rPr>
        <w:t xml:space="preserve">ecnego trendu demograficznego, </w:t>
      </w:r>
      <w:r w:rsidRPr="005F0A32">
        <w:rPr>
          <w:rFonts w:ascii="Times New Roman" w:eastAsia="Calibri" w:hAnsi="Times New Roman" w:cs="Times New Roman"/>
          <w:sz w:val="24"/>
          <w:szCs w:val="24"/>
        </w:rPr>
        <w:t>a w perspektywie kilkunastu lat doprowadzenie do odwrócenia obec</w:t>
      </w:r>
      <w:r w:rsidR="004854E3">
        <w:rPr>
          <w:rFonts w:ascii="Times New Roman" w:eastAsia="Calibri" w:hAnsi="Times New Roman" w:cs="Times New Roman"/>
          <w:sz w:val="24"/>
          <w:szCs w:val="24"/>
        </w:rPr>
        <w:t xml:space="preserve">nych tendencji wynikających </w:t>
      </w:r>
      <w:r w:rsidRPr="005F0A32">
        <w:rPr>
          <w:rFonts w:ascii="Times New Roman" w:eastAsia="Calibri" w:hAnsi="Times New Roman" w:cs="Times New Roman"/>
          <w:sz w:val="24"/>
          <w:szCs w:val="24"/>
        </w:rPr>
        <w:t>z niskiego przyrostu naturalnego. Podejmowane inicjatywy powinny kompleksowo rozwiązywać problemy społeczno-demograficzne. Nie można koncentrować się tylko na wybranych grupach wiekowych, ale traktować całość jak jeden organizm, w którym wszystkie jego części muszą rozwijać się i działać równomiernie, co daje gwarancję równomiernego rozwoju społecznego.</w:t>
      </w:r>
    </w:p>
    <w:p w14:paraId="64DE3DCC" w14:textId="77777777" w:rsidR="00F31DCC" w:rsidRPr="00F31DCC" w:rsidRDefault="00F31DCC" w:rsidP="00E7359C">
      <w:pPr>
        <w:jc w:val="both"/>
        <w:rPr>
          <w:lang w:eastAsia="ar-SA"/>
        </w:rPr>
      </w:pPr>
    </w:p>
    <w:p w14:paraId="3CF5AE0D" w14:textId="77777777" w:rsidR="004854E3" w:rsidRDefault="004854E3" w:rsidP="00CB509F">
      <w:pPr>
        <w:pStyle w:val="Nagwek2"/>
        <w:rPr>
          <w:rFonts w:eastAsia="Times New Roman"/>
          <w:lang w:eastAsia="ar-SA"/>
        </w:rPr>
        <w:sectPr w:rsidR="004854E3" w:rsidSect="00080A38">
          <w:pgSz w:w="11900" w:h="16838"/>
          <w:pgMar w:top="1384" w:right="1386" w:bottom="1038" w:left="1380" w:header="0" w:footer="567" w:gutter="0"/>
          <w:cols w:space="0" w:equalWidth="0">
            <w:col w:w="9140"/>
          </w:cols>
          <w:docGrid w:linePitch="360"/>
        </w:sectPr>
      </w:pPr>
    </w:p>
    <w:p w14:paraId="3822F4A0" w14:textId="13945A63" w:rsidR="005F20F3" w:rsidRPr="005F20F3" w:rsidRDefault="005F20F3" w:rsidP="005F20F3">
      <w:pPr>
        <w:pStyle w:val="Legenda"/>
        <w:keepNext/>
        <w:rPr>
          <w:rFonts w:ascii="Times New Roman" w:hAnsi="Times New Roman" w:cs="Times New Roman"/>
          <w:b/>
          <w:i w:val="0"/>
          <w:sz w:val="24"/>
        </w:rPr>
      </w:pPr>
      <w:bookmarkStart w:id="140" w:name="_Toc49171437"/>
      <w:r w:rsidRPr="005F20F3">
        <w:rPr>
          <w:rFonts w:ascii="Times New Roman" w:hAnsi="Times New Roman" w:cs="Times New Roman"/>
          <w:b/>
          <w:i w:val="0"/>
          <w:sz w:val="24"/>
        </w:rPr>
        <w:lastRenderedPageBreak/>
        <w:t xml:space="preserve">Tabela </w:t>
      </w:r>
      <w:r w:rsidRPr="005F20F3">
        <w:rPr>
          <w:rFonts w:ascii="Times New Roman" w:hAnsi="Times New Roman" w:cs="Times New Roman"/>
          <w:b/>
          <w:i w:val="0"/>
          <w:sz w:val="24"/>
        </w:rPr>
        <w:fldChar w:fldCharType="begin"/>
      </w:r>
      <w:r w:rsidRPr="005F20F3">
        <w:rPr>
          <w:rFonts w:ascii="Times New Roman" w:hAnsi="Times New Roman" w:cs="Times New Roman"/>
          <w:b/>
          <w:i w:val="0"/>
          <w:sz w:val="24"/>
        </w:rPr>
        <w:instrText xml:space="preserve"> SEQ Tabela \* ARABIC </w:instrText>
      </w:r>
      <w:r w:rsidRPr="005F20F3">
        <w:rPr>
          <w:rFonts w:ascii="Times New Roman" w:hAnsi="Times New Roman" w:cs="Times New Roman"/>
          <w:b/>
          <w:i w:val="0"/>
          <w:sz w:val="24"/>
        </w:rPr>
        <w:fldChar w:fldCharType="separate"/>
      </w:r>
      <w:r w:rsidR="00C154C9">
        <w:rPr>
          <w:rFonts w:ascii="Times New Roman" w:hAnsi="Times New Roman" w:cs="Times New Roman"/>
          <w:b/>
          <w:i w:val="0"/>
          <w:noProof/>
          <w:sz w:val="24"/>
        </w:rPr>
        <w:t>62</w:t>
      </w:r>
      <w:r w:rsidRPr="005F20F3">
        <w:rPr>
          <w:rFonts w:ascii="Times New Roman" w:hAnsi="Times New Roman" w:cs="Times New Roman"/>
          <w:b/>
          <w:i w:val="0"/>
          <w:sz w:val="24"/>
        </w:rPr>
        <w:fldChar w:fldCharType="end"/>
      </w:r>
      <w:r w:rsidRPr="005F20F3">
        <w:rPr>
          <w:rFonts w:ascii="Times New Roman" w:hAnsi="Times New Roman" w:cs="Times New Roman"/>
          <w:b/>
          <w:i w:val="0"/>
          <w:sz w:val="24"/>
        </w:rPr>
        <w:t xml:space="preserve"> Karta województwa opolskiego</w:t>
      </w:r>
      <w:bookmarkEnd w:id="140"/>
    </w:p>
    <w:tbl>
      <w:tblPr>
        <w:tblStyle w:val="Tabelasiatki6kolorowaakcent11"/>
        <w:tblpPr w:leftFromText="142" w:rightFromText="142" w:vertAnchor="text" w:horzAnchor="margin" w:tblpXSpec="center" w:tblpY="1"/>
        <w:tblOverlap w:val="never"/>
        <w:tblW w:w="14741"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9C096B" w:rsidRPr="009C096B" w14:paraId="5C7CF046" w14:textId="77777777" w:rsidTr="00E86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bottom w:val="none" w:sz="0" w:space="0" w:color="auto"/>
            </w:tcBorders>
            <w:shd w:val="clear" w:color="auto" w:fill="9CC2E5" w:themeFill="accent1" w:themeFillTint="99"/>
          </w:tcPr>
          <w:p w14:paraId="300F780A" w14:textId="77777777" w:rsidR="004854E3" w:rsidRPr="009C096B" w:rsidRDefault="004854E3" w:rsidP="00E86509">
            <w:pPr>
              <w:spacing w:after="0" w:line="240" w:lineRule="auto"/>
              <w:jc w:val="center"/>
              <w:rPr>
                <w:rFonts w:ascii="Times New Roman" w:hAnsi="Times New Roman" w:cs="Times New Roman"/>
                <w:color w:val="auto"/>
              </w:rPr>
            </w:pPr>
            <w:r w:rsidRPr="009C096B">
              <w:rPr>
                <w:rFonts w:ascii="Times New Roman" w:hAnsi="Times New Roman" w:cs="Times New Roman"/>
                <w:color w:val="auto"/>
              </w:rPr>
              <w:t>WOJEWÓDZTWO OPOLSKIE</w:t>
            </w:r>
          </w:p>
        </w:tc>
      </w:tr>
      <w:tr w:rsidR="009C096B" w:rsidRPr="009C096B" w14:paraId="410FAB94" w14:textId="77777777" w:rsidTr="00E8650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01A82B3" w14:textId="77777777" w:rsidR="004854E3" w:rsidRPr="009C096B" w:rsidRDefault="004854E3" w:rsidP="00E86509">
            <w:pPr>
              <w:spacing w:after="0" w:line="240" w:lineRule="auto"/>
              <w:rPr>
                <w:rFonts w:ascii="Times New Roman" w:hAnsi="Times New Roman" w:cs="Times New Roman"/>
                <w:color w:val="auto"/>
              </w:rPr>
            </w:pPr>
            <w:r w:rsidRPr="009C096B">
              <w:rPr>
                <w:rFonts w:ascii="Times New Roman" w:hAnsi="Times New Roman" w:cs="Times New Roman"/>
                <w:color w:val="auto"/>
              </w:rPr>
              <w:t>Informacja o regionie</w:t>
            </w:r>
          </w:p>
        </w:tc>
        <w:tc>
          <w:tcPr>
            <w:tcW w:w="3969" w:type="dxa"/>
            <w:gridSpan w:val="3"/>
            <w:shd w:val="clear" w:color="auto" w:fill="9CC2E5" w:themeFill="accent1" w:themeFillTint="99"/>
          </w:tcPr>
          <w:p w14:paraId="5414DBA0"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Liczba gmin</w:t>
            </w:r>
          </w:p>
        </w:tc>
        <w:tc>
          <w:tcPr>
            <w:tcW w:w="7942" w:type="dxa"/>
            <w:gridSpan w:val="5"/>
            <w:shd w:val="clear" w:color="auto" w:fill="FFFFFF" w:themeFill="background1"/>
          </w:tcPr>
          <w:p w14:paraId="3F3A77B8"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71 (w tym miasto na prawach powiaty)</w:t>
            </w:r>
          </w:p>
        </w:tc>
      </w:tr>
      <w:tr w:rsidR="009C096B" w:rsidRPr="009C096B" w14:paraId="189F5CC2" w14:textId="77777777" w:rsidTr="00E86509">
        <w:trPr>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1362F86" w14:textId="77777777" w:rsidR="004854E3" w:rsidRPr="009C096B" w:rsidRDefault="004854E3" w:rsidP="00E86509">
            <w:pPr>
              <w:spacing w:after="0" w:line="240" w:lineRule="auto"/>
              <w:rPr>
                <w:rFonts w:ascii="Times New Roman" w:hAnsi="Times New Roman" w:cs="Times New Roman"/>
                <w:color w:val="auto"/>
              </w:rPr>
            </w:pPr>
          </w:p>
        </w:tc>
        <w:tc>
          <w:tcPr>
            <w:tcW w:w="3969" w:type="dxa"/>
            <w:gridSpan w:val="3"/>
            <w:shd w:val="clear" w:color="auto" w:fill="9CC2E5" w:themeFill="accent1" w:themeFillTint="99"/>
          </w:tcPr>
          <w:p w14:paraId="66C9EA97"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Liczba powiatów</w:t>
            </w:r>
          </w:p>
        </w:tc>
        <w:tc>
          <w:tcPr>
            <w:tcW w:w="7942" w:type="dxa"/>
            <w:gridSpan w:val="5"/>
            <w:shd w:val="clear" w:color="auto" w:fill="FFFFFF" w:themeFill="background1"/>
          </w:tcPr>
          <w:p w14:paraId="6B39848F"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11</w:t>
            </w:r>
          </w:p>
        </w:tc>
      </w:tr>
      <w:tr w:rsidR="009C096B" w:rsidRPr="009C096B" w14:paraId="0160DF2D" w14:textId="77777777" w:rsidTr="00E8650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4B64D3A" w14:textId="77777777" w:rsidR="004854E3" w:rsidRPr="009C096B" w:rsidRDefault="004854E3" w:rsidP="00E86509">
            <w:pPr>
              <w:spacing w:after="0" w:line="240" w:lineRule="auto"/>
              <w:rPr>
                <w:rFonts w:ascii="Times New Roman" w:hAnsi="Times New Roman" w:cs="Times New Roman"/>
                <w:color w:val="auto"/>
              </w:rPr>
            </w:pPr>
          </w:p>
        </w:tc>
        <w:tc>
          <w:tcPr>
            <w:tcW w:w="3969" w:type="dxa"/>
            <w:gridSpan w:val="3"/>
            <w:shd w:val="clear" w:color="auto" w:fill="9CC2E5" w:themeFill="accent1" w:themeFillTint="99"/>
          </w:tcPr>
          <w:p w14:paraId="50BD803D"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Powierzchnia</w:t>
            </w:r>
          </w:p>
        </w:tc>
        <w:tc>
          <w:tcPr>
            <w:tcW w:w="7942" w:type="dxa"/>
            <w:gridSpan w:val="5"/>
            <w:shd w:val="clear" w:color="auto" w:fill="FFFFFF" w:themeFill="background1"/>
          </w:tcPr>
          <w:p w14:paraId="10ED79A8"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9412</w:t>
            </w:r>
          </w:p>
        </w:tc>
      </w:tr>
      <w:tr w:rsidR="009C096B" w:rsidRPr="009C096B" w14:paraId="4FF685D7"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7C5E7D36" w14:textId="77777777" w:rsidR="004854E3" w:rsidRPr="009C096B" w:rsidRDefault="004854E3" w:rsidP="00E86509">
            <w:pPr>
              <w:spacing w:after="0" w:line="240" w:lineRule="auto"/>
              <w:jc w:val="center"/>
              <w:rPr>
                <w:rFonts w:ascii="Times New Roman" w:hAnsi="Times New Roman" w:cs="Times New Roman"/>
                <w:b w:val="0"/>
                <w:color w:val="auto"/>
              </w:rPr>
            </w:pPr>
            <w:r w:rsidRPr="009C096B">
              <w:rPr>
                <w:rFonts w:ascii="Times New Roman" w:hAnsi="Times New Roman" w:cs="Times New Roman"/>
                <w:color w:val="auto"/>
              </w:rPr>
              <w:t>DEMOGRAFIA</w:t>
            </w:r>
          </w:p>
        </w:tc>
      </w:tr>
      <w:tr w:rsidR="009C096B" w:rsidRPr="009C096B" w14:paraId="3B6C80FA"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F796CD6" w14:textId="77777777" w:rsidR="004854E3" w:rsidRPr="009C096B" w:rsidRDefault="004854E3" w:rsidP="00E86509">
            <w:pPr>
              <w:spacing w:after="0" w:line="240" w:lineRule="auto"/>
              <w:jc w:val="center"/>
              <w:rPr>
                <w:rFonts w:ascii="Times New Roman" w:hAnsi="Times New Roman" w:cs="Times New Roman"/>
                <w:b w:val="0"/>
                <w:color w:val="auto"/>
                <w:lang w:eastAsia="pl-PL"/>
              </w:rPr>
            </w:pPr>
            <w:r w:rsidRPr="009C096B">
              <w:rPr>
                <w:rFonts w:ascii="Times New Roman" w:hAnsi="Times New Roman" w:cs="Times New Roman"/>
                <w:color w:val="auto"/>
                <w:lang w:eastAsia="pl-PL"/>
              </w:rPr>
              <w:t>Treść</w:t>
            </w:r>
          </w:p>
        </w:tc>
        <w:tc>
          <w:tcPr>
            <w:tcW w:w="3969" w:type="dxa"/>
            <w:gridSpan w:val="3"/>
            <w:shd w:val="clear" w:color="auto" w:fill="9CC2E5" w:themeFill="accent1" w:themeFillTint="99"/>
          </w:tcPr>
          <w:p w14:paraId="30511E84"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2017 r.</w:t>
            </w:r>
          </w:p>
        </w:tc>
        <w:tc>
          <w:tcPr>
            <w:tcW w:w="3969" w:type="dxa"/>
            <w:gridSpan w:val="3"/>
            <w:shd w:val="clear" w:color="auto" w:fill="9CC2E5" w:themeFill="accent1" w:themeFillTint="99"/>
          </w:tcPr>
          <w:p w14:paraId="330C8073"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2018 r.</w:t>
            </w:r>
          </w:p>
        </w:tc>
        <w:tc>
          <w:tcPr>
            <w:tcW w:w="3973" w:type="dxa"/>
            <w:gridSpan w:val="2"/>
            <w:shd w:val="clear" w:color="auto" w:fill="9CC2E5" w:themeFill="accent1" w:themeFillTint="99"/>
          </w:tcPr>
          <w:p w14:paraId="01A89519"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2019 r.</w:t>
            </w:r>
          </w:p>
        </w:tc>
      </w:tr>
      <w:tr w:rsidR="009C096B" w:rsidRPr="009C096B" w14:paraId="0CFAB29F"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C9CC6B2"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Populacja ogółem</w:t>
            </w:r>
          </w:p>
        </w:tc>
        <w:tc>
          <w:tcPr>
            <w:tcW w:w="3969" w:type="dxa"/>
            <w:gridSpan w:val="3"/>
          </w:tcPr>
          <w:p w14:paraId="357F71BB"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990 069</w:t>
            </w:r>
          </w:p>
        </w:tc>
        <w:tc>
          <w:tcPr>
            <w:tcW w:w="3969" w:type="dxa"/>
            <w:gridSpan w:val="3"/>
          </w:tcPr>
          <w:p w14:paraId="753AEF51"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986 506</w:t>
            </w:r>
          </w:p>
        </w:tc>
        <w:tc>
          <w:tcPr>
            <w:tcW w:w="3973" w:type="dxa"/>
            <w:gridSpan w:val="2"/>
          </w:tcPr>
          <w:p w14:paraId="70FBF534"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982 626</w:t>
            </w:r>
          </w:p>
        </w:tc>
      </w:tr>
      <w:tr w:rsidR="009C096B" w:rsidRPr="009C096B" w14:paraId="77D2C0C2"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08A33271" w14:textId="77777777" w:rsidR="004854E3" w:rsidRPr="009C096B" w:rsidRDefault="004854E3" w:rsidP="00E86509">
            <w:pPr>
              <w:spacing w:after="0" w:line="240" w:lineRule="auto"/>
              <w:rPr>
                <w:rFonts w:ascii="Times New Roman" w:hAnsi="Times New Roman" w:cs="Times New Roman"/>
                <w:color w:val="auto"/>
              </w:rPr>
            </w:pPr>
            <w:r w:rsidRPr="009C096B">
              <w:rPr>
                <w:rFonts w:ascii="Times New Roman" w:hAnsi="Times New Roman" w:cs="Times New Roman"/>
                <w:color w:val="auto"/>
                <w:lang w:eastAsia="pl-PL"/>
              </w:rPr>
              <w:t>w tym:</w:t>
            </w:r>
          </w:p>
        </w:tc>
      </w:tr>
      <w:tr w:rsidR="009C096B" w:rsidRPr="009C096B" w14:paraId="6F5423C4"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B39DD04" w14:textId="77777777" w:rsidR="004854E3" w:rsidRPr="009C096B" w:rsidRDefault="004854E3" w:rsidP="00E86509">
            <w:pPr>
              <w:spacing w:after="0" w:line="240" w:lineRule="auto"/>
              <w:rPr>
                <w:rFonts w:ascii="Times New Roman" w:hAnsi="Times New Roman" w:cs="Times New Roman"/>
                <w:color w:val="auto"/>
              </w:rPr>
            </w:pPr>
            <w:r w:rsidRPr="009C096B">
              <w:rPr>
                <w:rFonts w:ascii="Times New Roman" w:hAnsi="Times New Roman" w:cs="Times New Roman"/>
                <w:color w:val="auto"/>
                <w:lang w:eastAsia="pl-PL"/>
              </w:rPr>
              <w:t>w wieku 60 lat i więcej</w:t>
            </w:r>
          </w:p>
        </w:tc>
        <w:tc>
          <w:tcPr>
            <w:tcW w:w="3969" w:type="dxa"/>
            <w:gridSpan w:val="3"/>
            <w:shd w:val="clear" w:color="auto" w:fill="FFFFFF" w:themeFill="background1"/>
          </w:tcPr>
          <w:p w14:paraId="25E0DD1D"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246 346</w:t>
            </w:r>
          </w:p>
        </w:tc>
        <w:tc>
          <w:tcPr>
            <w:tcW w:w="3969" w:type="dxa"/>
            <w:gridSpan w:val="3"/>
            <w:shd w:val="clear" w:color="auto" w:fill="FFFFFF" w:themeFill="background1"/>
          </w:tcPr>
          <w:p w14:paraId="3E8F6259"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252 255</w:t>
            </w:r>
          </w:p>
        </w:tc>
        <w:tc>
          <w:tcPr>
            <w:tcW w:w="3973" w:type="dxa"/>
            <w:gridSpan w:val="2"/>
            <w:shd w:val="clear" w:color="auto" w:fill="FFFFFF" w:themeFill="background1"/>
          </w:tcPr>
          <w:p w14:paraId="1DBCCEBE"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258 056</w:t>
            </w:r>
          </w:p>
        </w:tc>
      </w:tr>
      <w:tr w:rsidR="009C096B" w:rsidRPr="009C096B" w14:paraId="6AECF071"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9ED00C1"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60–64 lata</w:t>
            </w:r>
          </w:p>
        </w:tc>
        <w:tc>
          <w:tcPr>
            <w:tcW w:w="3969" w:type="dxa"/>
            <w:gridSpan w:val="3"/>
            <w:shd w:val="clear" w:color="auto" w:fill="FFFFFF" w:themeFill="background1"/>
          </w:tcPr>
          <w:p w14:paraId="6442AAFA"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71 694</w:t>
            </w:r>
          </w:p>
        </w:tc>
        <w:tc>
          <w:tcPr>
            <w:tcW w:w="3969" w:type="dxa"/>
            <w:gridSpan w:val="3"/>
            <w:shd w:val="clear" w:color="auto" w:fill="FFFFFF" w:themeFill="background1"/>
          </w:tcPr>
          <w:p w14:paraId="6CA621DE"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72 504</w:t>
            </w:r>
          </w:p>
        </w:tc>
        <w:tc>
          <w:tcPr>
            <w:tcW w:w="3973" w:type="dxa"/>
            <w:gridSpan w:val="2"/>
            <w:shd w:val="clear" w:color="auto" w:fill="FFFFFF" w:themeFill="background1"/>
          </w:tcPr>
          <w:p w14:paraId="3C6E34D0"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72 866</w:t>
            </w:r>
          </w:p>
        </w:tc>
      </w:tr>
      <w:tr w:rsidR="009C096B" w:rsidRPr="009C096B" w14:paraId="36A63EA4"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ED119EF"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65–69</w:t>
            </w:r>
          </w:p>
        </w:tc>
        <w:tc>
          <w:tcPr>
            <w:tcW w:w="3969" w:type="dxa"/>
            <w:gridSpan w:val="3"/>
            <w:shd w:val="clear" w:color="auto" w:fill="FFFFFF" w:themeFill="background1"/>
          </w:tcPr>
          <w:p w14:paraId="56DCBB77"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61 311</w:t>
            </w:r>
          </w:p>
        </w:tc>
        <w:tc>
          <w:tcPr>
            <w:tcW w:w="3969" w:type="dxa"/>
            <w:gridSpan w:val="3"/>
            <w:shd w:val="clear" w:color="auto" w:fill="FFFFFF" w:themeFill="background1"/>
          </w:tcPr>
          <w:p w14:paraId="6D10B5AB"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62 788</w:t>
            </w:r>
          </w:p>
        </w:tc>
        <w:tc>
          <w:tcPr>
            <w:tcW w:w="3973" w:type="dxa"/>
            <w:gridSpan w:val="2"/>
            <w:shd w:val="clear" w:color="auto" w:fill="FFFFFF" w:themeFill="background1"/>
          </w:tcPr>
          <w:p w14:paraId="35166179"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64 012</w:t>
            </w:r>
          </w:p>
        </w:tc>
      </w:tr>
      <w:tr w:rsidR="009C096B" w:rsidRPr="009C096B" w14:paraId="7CCA7C4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2BDF1B2"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70–74</w:t>
            </w:r>
          </w:p>
        </w:tc>
        <w:tc>
          <w:tcPr>
            <w:tcW w:w="3969" w:type="dxa"/>
            <w:gridSpan w:val="3"/>
            <w:shd w:val="clear" w:color="auto" w:fill="FFFFFF" w:themeFill="background1"/>
          </w:tcPr>
          <w:p w14:paraId="6BEE0484"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35 316</w:t>
            </w:r>
          </w:p>
        </w:tc>
        <w:tc>
          <w:tcPr>
            <w:tcW w:w="3969" w:type="dxa"/>
            <w:gridSpan w:val="3"/>
            <w:shd w:val="clear" w:color="auto" w:fill="FFFFFF" w:themeFill="background1"/>
          </w:tcPr>
          <w:p w14:paraId="25302767"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39 233</w:t>
            </w:r>
          </w:p>
        </w:tc>
        <w:tc>
          <w:tcPr>
            <w:tcW w:w="3973" w:type="dxa"/>
            <w:gridSpan w:val="2"/>
            <w:shd w:val="clear" w:color="auto" w:fill="FFFFFF" w:themeFill="background1"/>
          </w:tcPr>
          <w:p w14:paraId="4364602D"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43 371</w:t>
            </w:r>
          </w:p>
        </w:tc>
      </w:tr>
      <w:tr w:rsidR="009C096B" w:rsidRPr="009C096B" w14:paraId="753B9363"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F0FB3FE"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75–79</w:t>
            </w:r>
          </w:p>
        </w:tc>
        <w:tc>
          <w:tcPr>
            <w:tcW w:w="3969" w:type="dxa"/>
            <w:gridSpan w:val="3"/>
            <w:shd w:val="clear" w:color="auto" w:fill="FFFFFF" w:themeFill="background1"/>
          </w:tcPr>
          <w:p w14:paraId="18791AA0"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32 725</w:t>
            </w:r>
          </w:p>
        </w:tc>
        <w:tc>
          <w:tcPr>
            <w:tcW w:w="3969" w:type="dxa"/>
            <w:gridSpan w:val="3"/>
            <w:shd w:val="clear" w:color="auto" w:fill="FFFFFF" w:themeFill="background1"/>
          </w:tcPr>
          <w:p w14:paraId="78FF2FA2"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30 834</w:t>
            </w:r>
          </w:p>
        </w:tc>
        <w:tc>
          <w:tcPr>
            <w:tcW w:w="3973" w:type="dxa"/>
            <w:gridSpan w:val="2"/>
            <w:shd w:val="clear" w:color="auto" w:fill="FFFFFF" w:themeFill="background1"/>
          </w:tcPr>
          <w:p w14:paraId="70D34CF0"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29 171</w:t>
            </w:r>
          </w:p>
        </w:tc>
      </w:tr>
      <w:tr w:rsidR="009C096B" w:rsidRPr="009C096B" w14:paraId="41A60028"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9923514"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80–84</w:t>
            </w:r>
          </w:p>
        </w:tc>
        <w:tc>
          <w:tcPr>
            <w:tcW w:w="3969" w:type="dxa"/>
            <w:gridSpan w:val="3"/>
            <w:shd w:val="clear" w:color="auto" w:fill="FFFFFF" w:themeFill="background1"/>
          </w:tcPr>
          <w:p w14:paraId="490AFA56"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25 637</w:t>
            </w:r>
          </w:p>
        </w:tc>
        <w:tc>
          <w:tcPr>
            <w:tcW w:w="3969" w:type="dxa"/>
            <w:gridSpan w:val="3"/>
            <w:shd w:val="clear" w:color="auto" w:fill="FFFFFF" w:themeFill="background1"/>
          </w:tcPr>
          <w:p w14:paraId="45328651"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26 232</w:t>
            </w:r>
          </w:p>
        </w:tc>
        <w:tc>
          <w:tcPr>
            <w:tcW w:w="3973" w:type="dxa"/>
            <w:gridSpan w:val="2"/>
            <w:shd w:val="clear" w:color="auto" w:fill="FFFFFF" w:themeFill="background1"/>
          </w:tcPr>
          <w:p w14:paraId="3E57996F"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26 744</w:t>
            </w:r>
          </w:p>
        </w:tc>
      </w:tr>
      <w:tr w:rsidR="009C096B" w:rsidRPr="009C096B" w14:paraId="3A935D20"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860C74A"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85 lat i więcej</w:t>
            </w:r>
          </w:p>
        </w:tc>
        <w:tc>
          <w:tcPr>
            <w:tcW w:w="3969" w:type="dxa"/>
            <w:gridSpan w:val="3"/>
            <w:shd w:val="clear" w:color="auto" w:fill="FFFFFF" w:themeFill="background1"/>
          </w:tcPr>
          <w:p w14:paraId="53CA23AB"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19 663</w:t>
            </w:r>
          </w:p>
        </w:tc>
        <w:tc>
          <w:tcPr>
            <w:tcW w:w="3969" w:type="dxa"/>
            <w:gridSpan w:val="3"/>
            <w:shd w:val="clear" w:color="auto" w:fill="FFFFFF" w:themeFill="background1"/>
          </w:tcPr>
          <w:p w14:paraId="0CC74365"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20 664</w:t>
            </w:r>
          </w:p>
        </w:tc>
        <w:tc>
          <w:tcPr>
            <w:tcW w:w="3973" w:type="dxa"/>
            <w:gridSpan w:val="2"/>
            <w:shd w:val="clear" w:color="auto" w:fill="FFFFFF" w:themeFill="background1"/>
          </w:tcPr>
          <w:p w14:paraId="53713F39"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21 892</w:t>
            </w:r>
          </w:p>
        </w:tc>
      </w:tr>
      <w:tr w:rsidR="009C096B" w:rsidRPr="009C096B" w14:paraId="607346A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2687249"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Przeciętne dalsze trwanie życia</w:t>
            </w:r>
          </w:p>
        </w:tc>
        <w:tc>
          <w:tcPr>
            <w:tcW w:w="3969" w:type="dxa"/>
            <w:gridSpan w:val="3"/>
            <w:shd w:val="clear" w:color="auto" w:fill="FFFFFF" w:themeFill="background1"/>
          </w:tcPr>
          <w:p w14:paraId="3BF5364F"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3969" w:type="dxa"/>
            <w:gridSpan w:val="3"/>
            <w:shd w:val="clear" w:color="auto" w:fill="FFFFFF" w:themeFill="background1"/>
          </w:tcPr>
          <w:p w14:paraId="49313BBB"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3973" w:type="dxa"/>
            <w:gridSpan w:val="2"/>
            <w:shd w:val="clear" w:color="auto" w:fill="FFFFFF" w:themeFill="background1"/>
          </w:tcPr>
          <w:p w14:paraId="00CD5645"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9C096B" w:rsidRPr="009C096B" w14:paraId="5175980D"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16AF167" w14:textId="77777777" w:rsidR="004854E3" w:rsidRPr="009C096B" w:rsidRDefault="004854E3" w:rsidP="00E86509">
            <w:pPr>
              <w:spacing w:after="0" w:line="240" w:lineRule="auto"/>
              <w:ind w:firstLine="426"/>
              <w:rPr>
                <w:rFonts w:ascii="Times New Roman" w:hAnsi="Times New Roman" w:cs="Times New Roman"/>
                <w:color w:val="auto"/>
                <w:lang w:eastAsia="pl-PL"/>
              </w:rPr>
            </w:pPr>
            <w:r w:rsidRPr="009C096B">
              <w:rPr>
                <w:rFonts w:ascii="Times New Roman" w:hAnsi="Times New Roman" w:cs="Times New Roman"/>
                <w:color w:val="auto"/>
                <w:lang w:eastAsia="pl-PL"/>
              </w:rPr>
              <w:t>mężczyźni</w:t>
            </w:r>
          </w:p>
        </w:tc>
        <w:tc>
          <w:tcPr>
            <w:tcW w:w="3969" w:type="dxa"/>
            <w:gridSpan w:val="3"/>
            <w:shd w:val="clear" w:color="auto" w:fill="FFFFFF" w:themeFill="background1"/>
          </w:tcPr>
          <w:p w14:paraId="3EBBD535"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74,1</w:t>
            </w:r>
          </w:p>
        </w:tc>
        <w:tc>
          <w:tcPr>
            <w:tcW w:w="3969" w:type="dxa"/>
            <w:gridSpan w:val="3"/>
            <w:shd w:val="clear" w:color="auto" w:fill="FFFFFF" w:themeFill="background1"/>
          </w:tcPr>
          <w:p w14:paraId="46EF3575"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74,6</w:t>
            </w:r>
          </w:p>
        </w:tc>
        <w:tc>
          <w:tcPr>
            <w:tcW w:w="3973" w:type="dxa"/>
            <w:gridSpan w:val="2"/>
            <w:shd w:val="clear" w:color="auto" w:fill="FFFFFF" w:themeFill="background1"/>
          </w:tcPr>
          <w:p w14:paraId="61E2B639"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w:t>
            </w:r>
          </w:p>
        </w:tc>
      </w:tr>
      <w:tr w:rsidR="009C096B" w:rsidRPr="009C096B" w14:paraId="04D1A2C4"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757016B" w14:textId="77777777" w:rsidR="004854E3" w:rsidRPr="009C096B" w:rsidRDefault="004854E3" w:rsidP="00E86509">
            <w:pPr>
              <w:spacing w:after="0" w:line="240" w:lineRule="auto"/>
              <w:ind w:firstLine="426"/>
              <w:rPr>
                <w:rFonts w:ascii="Times New Roman" w:hAnsi="Times New Roman" w:cs="Times New Roman"/>
                <w:color w:val="auto"/>
                <w:lang w:eastAsia="pl-PL"/>
              </w:rPr>
            </w:pPr>
            <w:r w:rsidRPr="009C096B">
              <w:rPr>
                <w:rFonts w:ascii="Times New Roman" w:hAnsi="Times New Roman" w:cs="Times New Roman"/>
                <w:color w:val="auto"/>
                <w:lang w:eastAsia="pl-PL"/>
              </w:rPr>
              <w:t>kobiety</w:t>
            </w:r>
          </w:p>
        </w:tc>
        <w:tc>
          <w:tcPr>
            <w:tcW w:w="3969" w:type="dxa"/>
            <w:gridSpan w:val="3"/>
            <w:shd w:val="clear" w:color="auto" w:fill="FFFFFF" w:themeFill="background1"/>
          </w:tcPr>
          <w:p w14:paraId="4FDE1F6A"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81,6</w:t>
            </w:r>
          </w:p>
        </w:tc>
        <w:tc>
          <w:tcPr>
            <w:tcW w:w="3969" w:type="dxa"/>
            <w:gridSpan w:val="3"/>
            <w:shd w:val="clear" w:color="auto" w:fill="FFFFFF" w:themeFill="background1"/>
          </w:tcPr>
          <w:p w14:paraId="17681288"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81,8</w:t>
            </w:r>
          </w:p>
        </w:tc>
        <w:tc>
          <w:tcPr>
            <w:tcW w:w="3973" w:type="dxa"/>
            <w:gridSpan w:val="2"/>
            <w:shd w:val="clear" w:color="auto" w:fill="FFFFFF" w:themeFill="background1"/>
          </w:tcPr>
          <w:p w14:paraId="0E9BA9E6"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w:t>
            </w:r>
          </w:p>
        </w:tc>
      </w:tr>
      <w:tr w:rsidR="009C096B" w:rsidRPr="009C096B" w14:paraId="48B7ED10"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95DF43E"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Współczynnik feminizacji</w:t>
            </w:r>
          </w:p>
        </w:tc>
        <w:tc>
          <w:tcPr>
            <w:tcW w:w="3969" w:type="dxa"/>
            <w:gridSpan w:val="3"/>
            <w:shd w:val="clear" w:color="auto" w:fill="FFFFFF" w:themeFill="background1"/>
          </w:tcPr>
          <w:p w14:paraId="246FF3D3"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107</w:t>
            </w:r>
          </w:p>
        </w:tc>
        <w:tc>
          <w:tcPr>
            <w:tcW w:w="3969" w:type="dxa"/>
            <w:gridSpan w:val="3"/>
            <w:shd w:val="clear" w:color="auto" w:fill="FFFFFF" w:themeFill="background1"/>
          </w:tcPr>
          <w:p w14:paraId="75E99E85"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107</w:t>
            </w:r>
          </w:p>
        </w:tc>
        <w:tc>
          <w:tcPr>
            <w:tcW w:w="3973" w:type="dxa"/>
            <w:gridSpan w:val="2"/>
            <w:shd w:val="clear" w:color="auto" w:fill="FFFFFF" w:themeFill="background1"/>
          </w:tcPr>
          <w:p w14:paraId="1E734F5A"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107</w:t>
            </w:r>
          </w:p>
        </w:tc>
      </w:tr>
      <w:tr w:rsidR="009C096B" w:rsidRPr="009C096B" w14:paraId="23101477"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30E4F96"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Współczynnik obciążenia demograficznego osobami starszymi</w:t>
            </w:r>
          </w:p>
        </w:tc>
        <w:tc>
          <w:tcPr>
            <w:tcW w:w="3969" w:type="dxa"/>
            <w:gridSpan w:val="3"/>
            <w:shd w:val="clear" w:color="auto" w:fill="FFFFFF" w:themeFill="background1"/>
          </w:tcPr>
          <w:p w14:paraId="670FFFFC"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24,9</w:t>
            </w:r>
          </w:p>
        </w:tc>
        <w:tc>
          <w:tcPr>
            <w:tcW w:w="3969" w:type="dxa"/>
            <w:gridSpan w:val="3"/>
            <w:shd w:val="clear" w:color="auto" w:fill="FFFFFF" w:themeFill="background1"/>
          </w:tcPr>
          <w:p w14:paraId="6BDC6639"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25,6</w:t>
            </w:r>
          </w:p>
        </w:tc>
        <w:tc>
          <w:tcPr>
            <w:tcW w:w="3973" w:type="dxa"/>
            <w:gridSpan w:val="2"/>
            <w:shd w:val="clear" w:color="auto" w:fill="FFFFFF" w:themeFill="background1"/>
          </w:tcPr>
          <w:p w14:paraId="014A8655"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26,3</w:t>
            </w:r>
          </w:p>
        </w:tc>
      </w:tr>
      <w:tr w:rsidR="009C096B" w:rsidRPr="009C096B" w14:paraId="0317AFAD"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AEDEBCE"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Współczynnik zgonów</w:t>
            </w:r>
          </w:p>
        </w:tc>
        <w:tc>
          <w:tcPr>
            <w:tcW w:w="3969" w:type="dxa"/>
            <w:gridSpan w:val="3"/>
            <w:shd w:val="clear" w:color="auto" w:fill="FFFFFF" w:themeFill="background1"/>
          </w:tcPr>
          <w:p w14:paraId="547C0342"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11,0</w:t>
            </w:r>
          </w:p>
        </w:tc>
        <w:tc>
          <w:tcPr>
            <w:tcW w:w="3969" w:type="dxa"/>
            <w:gridSpan w:val="3"/>
            <w:shd w:val="clear" w:color="auto" w:fill="FFFFFF" w:themeFill="background1"/>
          </w:tcPr>
          <w:p w14:paraId="3495CCCD"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10,9</w:t>
            </w:r>
          </w:p>
        </w:tc>
        <w:tc>
          <w:tcPr>
            <w:tcW w:w="3973" w:type="dxa"/>
            <w:gridSpan w:val="2"/>
            <w:shd w:val="clear" w:color="auto" w:fill="FFFFFF" w:themeFill="background1"/>
          </w:tcPr>
          <w:p w14:paraId="71DE956F"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10,9</w:t>
            </w:r>
          </w:p>
        </w:tc>
      </w:tr>
      <w:tr w:rsidR="009C096B" w:rsidRPr="009C096B" w14:paraId="65386A49"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EBB2623" w14:textId="77777777" w:rsidR="004854E3" w:rsidRPr="009C096B" w:rsidRDefault="004854E3" w:rsidP="00E86509">
            <w:pPr>
              <w:spacing w:after="0" w:line="240" w:lineRule="auto"/>
              <w:jc w:val="center"/>
              <w:rPr>
                <w:rFonts w:ascii="Times New Roman" w:hAnsi="Times New Roman" w:cs="Times New Roman"/>
                <w:color w:val="auto"/>
              </w:rPr>
            </w:pPr>
            <w:r w:rsidRPr="009C096B">
              <w:rPr>
                <w:rFonts w:ascii="Times New Roman" w:hAnsi="Times New Roman" w:cs="Times New Roman"/>
                <w:color w:val="auto"/>
              </w:rPr>
              <w:t>SYTUACJA RODZINNA I STRUKTURA GOSPODARSTW DOMOWYCH</w:t>
            </w:r>
          </w:p>
          <w:p w14:paraId="2CB2DF97" w14:textId="77777777" w:rsidR="004854E3" w:rsidRPr="009C096B" w:rsidRDefault="004854E3" w:rsidP="00E86509">
            <w:pPr>
              <w:spacing w:after="0" w:line="240" w:lineRule="auto"/>
              <w:jc w:val="center"/>
              <w:rPr>
                <w:rFonts w:ascii="Times New Roman" w:hAnsi="Times New Roman" w:cs="Times New Roman"/>
                <w:color w:val="auto"/>
              </w:rPr>
            </w:pPr>
            <w:r w:rsidRPr="009C096B">
              <w:rPr>
                <w:rFonts w:ascii="Times New Roman" w:hAnsi="Times New Roman" w:cs="Times New Roman"/>
                <w:color w:val="auto"/>
              </w:rPr>
              <w:t>*Dane GUS i Urzędu Statystycznego w Opolu.</w:t>
            </w:r>
          </w:p>
        </w:tc>
      </w:tr>
      <w:tr w:rsidR="009C096B" w:rsidRPr="009C096B" w14:paraId="707D5A06"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Pr>
          <w:p w14:paraId="405268D5"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xml:space="preserve">W końcu 2019 r. ludność województwa opolskiego liczyła 982,6 tys. osób (w tym 507,5 tys. kobiet), tj. mniej o 3,9 tys. (o 0,4%) niż w poprzednim roku oraz o 34,6 tys. (o 3,4%) w porównaniu z 2010 r. Populacja województwa, podobnie jak przed rokiem, stanowiła 2,6% ogólnej liczby ludności kraju i pod względem liczebności zajmowała ostatnią pozycję wśród województw. W przypadku ludności w wieku 60 i więcej lat, na koniec 2019 r. odnotowano </w:t>
            </w:r>
            <w:r w:rsidRPr="009C096B">
              <w:rPr>
                <w:rFonts w:ascii="Times New Roman" w:hAnsi="Times New Roman" w:cs="Times New Roman"/>
                <w:b w:val="0"/>
                <w:color w:val="auto"/>
              </w:rPr>
              <w:br/>
              <w:t xml:space="preserve">w województwie opolskim wzrost jej liczebności do poziomu 258,1 tys. osób. (w tym 148,9 tys. kobiet) zarówno wobec poprzedniego roku, jak i 2010 r. (odpowiednio: o 5,8 tys., tj. o 2,3% i o 54,2 tys., tj. o 26,6%). Udział osób z tej grupy wieku w ogólnej liczbie ludności województwa ukształtował się na poziomie </w:t>
            </w:r>
            <w:r w:rsidRPr="009C096B">
              <w:rPr>
                <w:rFonts w:ascii="Times New Roman" w:hAnsi="Times New Roman" w:cs="Times New Roman"/>
                <w:b w:val="0"/>
                <w:color w:val="auto"/>
              </w:rPr>
              <w:lastRenderedPageBreak/>
              <w:t>26,3%. W strukturze ludności według płci w końcu grudnia 2019 r.  w województwie opolskim przeważały, podobnie jak w poprzednich latach, kobiety, których udział nie zmienił się w skali roku i wyniósł 51,6% (w 2010 r. –  51,7%).</w:t>
            </w:r>
          </w:p>
          <w:p w14:paraId="348C85F3"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Przeciętne gospodarstwo domowe liczyło 2,77 osoby (w kraju – 2,64). Liczba osób w gospodarstwie zwiększyła się o 3,7% w porównaniu z 2017 r., natomiast zmniejszyła o 4,5% w relacji do 2010 r. (w kraju obniżyła się odpowiednio: o 0,8% i o 8,7%).</w:t>
            </w:r>
          </w:p>
          <w:p w14:paraId="0DFB9B90"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xml:space="preserve">Region należy do województw, w których od lat ubywa mieszkańców (ogółem), a społeczeństwo dotyka proces starzenia się (niekorzystne zmiany </w:t>
            </w:r>
            <w:r w:rsidRPr="009C096B">
              <w:rPr>
                <w:rFonts w:ascii="Times New Roman" w:hAnsi="Times New Roman" w:cs="Times New Roman"/>
                <w:b w:val="0"/>
                <w:color w:val="auto"/>
              </w:rPr>
              <w:br/>
              <w:t>w strukturze wiekowej ludności), czego dowodzą m.in. wzrastające wartości: współczynnika obciążenia demograficznego osobami starszymi (26,6 os.), współczynnika starości demograficznej (18,8%), indeksu starości (140 os.) czy mediany wieku (43,1 lat). Niekorzystne trendy demograficzne w regionie wzmacniają także: ujemny przyrost naturalny(-2,2‰) i ujemne saldo migracji (-1,5‰). Analizując proces starzenia się społeczeństwa warto odnieść się także do wskaźnika wsparcia międzypokoleniowego, który w obecnej sytuacji zyskuje na znaczeniu. W 2019 r. jego wartość dla regionu wyniosła 10 os. (dla kraju 11 os.) – oznacza to trend wzrostowy w stosunku do lat poprzednich. Istotny w analizowanym kontekście jest również fakt, że dzięki poprawie jakości życia i zwiększeniu dostępności do specjalistycznych usług medycznych Polacy żyją coraz dłużej. W 2018 r. przeciętne trwanie życia w Polsce wynosiło 73,8 lat dla mężczyzn i 81,7 lat dla kobiet, a w województwie opolskim 74,7 dla mężczyzn i 81,8 lat dla kobiet. Dłuższe przeciętne trwanie życia w regionie widoczne jest również dla starszych grup ludności. W przypadku mężczyzn w wieku 60 lat wyniosło 19,5 lat, dla kobiet 24,3 lat (średnia dla kraju kolejno: 19,1 i 24,2 lat), dla mężczyzn w wieku 65 lat – 16,1 lat, a dla kobiet 20,2 lat (średnia dla Polski kolejno: 15,8 i 20,1 lat).</w:t>
            </w:r>
          </w:p>
          <w:p w14:paraId="088BA674"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Według danych Narodowego Spisu Powszechnego Ludności i Mieszkań w 2011 r. w województwie opolskim było 353,7 tys. gospodarstw domowych, które tworzyło 1</w:t>
            </w:r>
            <w:r w:rsidR="00F15643" w:rsidRPr="009C096B">
              <w:rPr>
                <w:rFonts w:ascii="Times New Roman" w:hAnsi="Times New Roman" w:cs="Times New Roman"/>
                <w:b w:val="0"/>
                <w:color w:val="auto"/>
              </w:rPr>
              <w:t xml:space="preserve"> </w:t>
            </w:r>
            <w:r w:rsidRPr="009C096B">
              <w:rPr>
                <w:rFonts w:ascii="Times New Roman" w:hAnsi="Times New Roman" w:cs="Times New Roman"/>
                <w:b w:val="0"/>
                <w:color w:val="auto"/>
              </w:rPr>
              <w:t xml:space="preserve">010,6 tys. osób. Stanowiły one 2,6% ogółu gospodarstw domowych w kraju. Ponad połowa gospodarstw domowych w województwie była </w:t>
            </w:r>
            <w:r w:rsidRPr="009C096B">
              <w:rPr>
                <w:rFonts w:ascii="Times New Roman" w:hAnsi="Times New Roman" w:cs="Times New Roman"/>
                <w:b w:val="0"/>
                <w:color w:val="auto"/>
              </w:rPr>
              <w:br/>
              <w:t xml:space="preserve">w miastach (58,5%). Wśród wszystkich gospodarstw domowych zarówno w województwie oraz w miastach i na wsi przeważały gospodarstwa jednorodzinne, ale największą dynamikę zmian w relacji do 2002 r. odnotowano dla gospodarstw trzy i więcej rodzinnych (wzrost odpowiednio: o 178,8%, </w:t>
            </w:r>
            <w:r w:rsidRPr="009C096B">
              <w:rPr>
                <w:rFonts w:ascii="Times New Roman" w:hAnsi="Times New Roman" w:cs="Times New Roman"/>
                <w:b w:val="0"/>
                <w:color w:val="auto"/>
              </w:rPr>
              <w:br/>
              <w:t>o 88,4% i o 221,4%). Biorąc pod uwagę liczbę osób tworzących gospodarstwo domowe, w 2011 r. w województwie oraz w miastach najwięcej odnotowano gospodarstw 2–osobowych (odpowiednio: 26,2% i 28,5%), na wsi dominowały gospodarstwa skupiające 5 i więcej osób (23,1%). Na wsi również najliczniej występowały gospodarstwa 5 i więcej osobowe (25,3%). W porównaniu z 2002 r. wystąpiły istotne zmiany w strukturze gospodarstw domowych pod względem ich wielkości. Zarówno w województwie, miastach i na wsi ubyło gospodarstw 1–osobowych, a przybyło 2–osobowych. W relacji do 2002 r. odsetek gospodarstw 2–osobowych zwiększył się odpowiednio: o 3,5, o 4,1 i o 2,5 p. proc. Największy spadek zanotowano wśród gospodarstw 4–osobowych (o 15,0%), a ich udział w strukturze gospodarstw w województwie w relacji do 2002 r. obniżył się o 2,0 p. proc. (w miastach o 2,9 p. proc., nawsi o 0,8 p. proc.). Uwzględniając grupy pokoleniowe, w województwie opolskim w 2011 r. gospodarstwa domowe najczęściej tworzyły osoby młode i w średnim wieku (tj. w wieku 0–29 i 30–59 lat). Gospodarstwa takie stanowiły 35,1% ogółu gospodarstw domowych w województwie i skupiały 46,3% ogółu ludności gospodarstw (w kraju odpowiednio: 35,7% i 47,5%). W przekroju miast i wsi również dominowały gospodarstwa z osobami młodymi i w średnim wieku. Gospodarstw mieszanych posiadających w swoim składzie osoby starsze, czyli w wieku 60 lat i więcej było w województwie 38,4 tys. (10,8% ogółu gospodarstw), a składających się wyłącznie z osób starszych 67,8 tys. (19,2%).</w:t>
            </w:r>
          </w:p>
        </w:tc>
      </w:tr>
      <w:tr w:rsidR="009C096B" w:rsidRPr="009C096B" w14:paraId="00807814"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13F386A1" w14:textId="77777777" w:rsidR="004854E3" w:rsidRPr="009C096B" w:rsidRDefault="004854E3" w:rsidP="00E86509">
            <w:pPr>
              <w:spacing w:after="0" w:line="240" w:lineRule="auto"/>
              <w:jc w:val="center"/>
              <w:rPr>
                <w:rFonts w:ascii="Times New Roman" w:hAnsi="Times New Roman" w:cs="Times New Roman"/>
                <w:color w:val="auto"/>
              </w:rPr>
            </w:pPr>
            <w:r w:rsidRPr="009C096B">
              <w:rPr>
                <w:rFonts w:ascii="Times New Roman" w:hAnsi="Times New Roman" w:cs="Times New Roman"/>
                <w:color w:val="auto"/>
              </w:rPr>
              <w:lastRenderedPageBreak/>
              <w:t>SYTUACJA OSÓB NIEPEŁNOSPRAWNYCH I ICH OPIEKUNÓW</w:t>
            </w:r>
          </w:p>
        </w:tc>
      </w:tr>
      <w:tr w:rsidR="009C096B" w:rsidRPr="009C096B" w14:paraId="5D3465CE"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Pr>
          <w:p w14:paraId="5B8B4379"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W województwie opolskim:</w:t>
            </w:r>
          </w:p>
          <w:p w14:paraId="08A8593F"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funkcjonuje 13 zakładów pracy chronionej,</w:t>
            </w:r>
          </w:p>
          <w:p w14:paraId="3D746E20"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funkcjonują 4 zakłady aktywności zawodowej,</w:t>
            </w:r>
          </w:p>
          <w:p w14:paraId="36B189DB"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funkcjonuje 8 organizatorów turnusów rehabilitacyjnych,</w:t>
            </w:r>
          </w:p>
          <w:p w14:paraId="5402744B"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funkcjonuje 7 ośrodków przyjmujących turnusy rehabilitacyjne,</w:t>
            </w:r>
          </w:p>
          <w:p w14:paraId="7D344400"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lastRenderedPageBreak/>
              <w:t>- funkcjonuje 15 warsztatów terapii zajęciowej,</w:t>
            </w:r>
          </w:p>
          <w:p w14:paraId="59219D46"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funkcjonuje 1 wojewódzki oraz 11 powiatowych zespołów do spraw orzekania o niepełnosprawności,</w:t>
            </w:r>
          </w:p>
          <w:p w14:paraId="799B6835"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- 1588 osoby niepełnosprawne zatrudnione są w zakładach pracy chronionej,</w:t>
            </w:r>
          </w:p>
          <w:p w14:paraId="59F9BB07"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- 112 osób niepełnosprawnych zatrudnionych jest w zakładach aktywności zawodowej,</w:t>
            </w:r>
          </w:p>
          <w:p w14:paraId="5C88EC75"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- 1608 osób niepełnosprawnych zarejestrowanych jest w powiatowych urzędach pracy jako bezrobotni,</w:t>
            </w:r>
          </w:p>
          <w:p w14:paraId="0BE43A72"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- 156 osób niepełnosprawnych zarejestrowanych jest w powiatowych urzędach pracy jako poszukujący pracy niepozostający w zatrudnieniu,</w:t>
            </w:r>
          </w:p>
          <w:p w14:paraId="4DA2D725"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- 597 decyzji wydał wojewódzki zespół do spraw orzekania o niepełnosprawności,</w:t>
            </w:r>
          </w:p>
          <w:p w14:paraId="7B2474F7"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- 7653 decyzji wydały powiatowe zespoły do spraw orzekania o niepełnosprawności.</w:t>
            </w:r>
          </w:p>
          <w:p w14:paraId="40A80F5B"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Dorosła osoba z niepełnosprawnościami i jej opiekun może otrzymać wsparcie w formie:</w:t>
            </w:r>
          </w:p>
          <w:p w14:paraId="0A61F7FE"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renty socjalnej – 1</w:t>
            </w:r>
            <w:r w:rsidR="00F15643" w:rsidRPr="009C096B">
              <w:rPr>
                <w:rFonts w:ascii="Times New Roman" w:hAnsi="Times New Roman" w:cs="Times New Roman"/>
                <w:b w:val="0"/>
                <w:color w:val="auto"/>
              </w:rPr>
              <w:t xml:space="preserve"> </w:t>
            </w:r>
            <w:r w:rsidRPr="009C096B">
              <w:rPr>
                <w:rFonts w:ascii="Times New Roman" w:hAnsi="Times New Roman" w:cs="Times New Roman"/>
                <w:b w:val="0"/>
                <w:color w:val="auto"/>
              </w:rPr>
              <w:t>100 złotych brutto.</w:t>
            </w:r>
          </w:p>
          <w:p w14:paraId="6B738E42"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zasiłku pielęgnacyjnego – 184,42 złote,</w:t>
            </w:r>
          </w:p>
          <w:p w14:paraId="4B2562A7"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zasiłku stałego do kwoty 645 złotych ,</w:t>
            </w:r>
          </w:p>
          <w:p w14:paraId="74467110"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zasiłku okresowego – 418 złotych,</w:t>
            </w:r>
          </w:p>
          <w:p w14:paraId="4D6C6F31"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specjalnego zasiłku celowego – 701 złotych  dla osoby samotnie gospodarującej,</w:t>
            </w:r>
          </w:p>
          <w:p w14:paraId="53F298B8"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zasiłku mieszkaniowego – około 200 złotych (w zależności od gminy),</w:t>
            </w:r>
          </w:p>
          <w:p w14:paraId="1CD9B698"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specjalnego zasiłku opiekuńczego lub zasiłku dla opiekuna – 846,42 złote brutto (w tym opłacona przez Państwo składka na ubezpieczenie opiekuna).</w:t>
            </w:r>
          </w:p>
          <w:p w14:paraId="673EA056"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W województwie opolskim w 2019 r.:</w:t>
            </w:r>
          </w:p>
          <w:p w14:paraId="6899E924"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z powodu niepełnosprawności pomocą społeczną objęto 7</w:t>
            </w:r>
            <w:r w:rsidR="00F15643" w:rsidRPr="009C096B">
              <w:rPr>
                <w:rFonts w:ascii="Times New Roman" w:hAnsi="Times New Roman" w:cs="Times New Roman"/>
                <w:b w:val="0"/>
                <w:color w:val="auto"/>
              </w:rPr>
              <w:t xml:space="preserve"> </w:t>
            </w:r>
            <w:r w:rsidRPr="009C096B">
              <w:rPr>
                <w:rFonts w:ascii="Times New Roman" w:hAnsi="Times New Roman" w:cs="Times New Roman"/>
                <w:b w:val="0"/>
                <w:color w:val="auto"/>
              </w:rPr>
              <w:t>471 rodzin, łącznie ponad 13 tyś. osób,</w:t>
            </w:r>
          </w:p>
          <w:p w14:paraId="73920B7A"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przyznano 3183 zasiłków dla opiekuna osoby niepełnosprawnej w łącznej kwocie 1.957.760 zł,</w:t>
            </w:r>
          </w:p>
          <w:p w14:paraId="44CF3BC2"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opłacono 1 688 składek na ubezpieczenia emerytalne i rentowe opłacane za osoby pobierające zasiłek dla opiekuna, w łącznej kwocie 281.004 zł</w:t>
            </w:r>
          </w:p>
        </w:tc>
      </w:tr>
      <w:tr w:rsidR="009C096B" w:rsidRPr="009C096B" w14:paraId="304BF52A"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E3271FE" w14:textId="77777777" w:rsidR="004854E3" w:rsidRPr="009C096B" w:rsidRDefault="004854E3" w:rsidP="00E86509">
            <w:pPr>
              <w:spacing w:after="0" w:line="240" w:lineRule="auto"/>
              <w:jc w:val="center"/>
              <w:rPr>
                <w:rFonts w:ascii="Times New Roman" w:hAnsi="Times New Roman" w:cs="Times New Roman"/>
                <w:color w:val="auto"/>
              </w:rPr>
            </w:pPr>
            <w:r w:rsidRPr="009C096B">
              <w:rPr>
                <w:rFonts w:ascii="Times New Roman" w:hAnsi="Times New Roman" w:cs="Times New Roman"/>
                <w:color w:val="auto"/>
              </w:rPr>
              <w:lastRenderedPageBreak/>
              <w:t>STAN ZDROWIA OSÓB STARSZYCH / INFRASTRUKTURA SŁUŻBY ZDROWIA - DANE ZA 2019 r.</w:t>
            </w:r>
          </w:p>
        </w:tc>
      </w:tr>
      <w:tr w:rsidR="009C096B" w:rsidRPr="009C096B" w14:paraId="1C92B8A7" w14:textId="77777777" w:rsidTr="00E86509">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D092891"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hAnsi="Times New Roman" w:cs="Times New Roman"/>
                <w:color w:val="auto"/>
                <w:lang w:eastAsia="pl-PL"/>
              </w:rPr>
              <w:t xml:space="preserve">Dominujące schorzenia osób starszych </w:t>
            </w:r>
          </w:p>
        </w:tc>
        <w:tc>
          <w:tcPr>
            <w:tcW w:w="7938" w:type="dxa"/>
            <w:gridSpan w:val="6"/>
            <w:shd w:val="clear" w:color="auto" w:fill="9CC2E5" w:themeFill="accent1" w:themeFillTint="99"/>
          </w:tcPr>
          <w:p w14:paraId="13663A7D"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Nazwa</w:t>
            </w:r>
          </w:p>
        </w:tc>
        <w:tc>
          <w:tcPr>
            <w:tcW w:w="3973" w:type="dxa"/>
            <w:gridSpan w:val="2"/>
            <w:shd w:val="clear" w:color="auto" w:fill="9CC2E5" w:themeFill="accent1" w:themeFillTint="99"/>
          </w:tcPr>
          <w:p w14:paraId="53DE91F8"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Liczba osób starszych</w:t>
            </w:r>
          </w:p>
        </w:tc>
      </w:tr>
      <w:tr w:rsidR="009C096B" w:rsidRPr="009C096B" w14:paraId="215D91D4"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43C2A52D"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1D478644"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1.</w:t>
            </w:r>
            <w:r w:rsidRPr="009C096B">
              <w:rPr>
                <w:rFonts w:ascii="Times New Roman" w:hAnsi="Times New Roman" w:cs="Times New Roman"/>
                <w:color w:val="auto"/>
              </w:rPr>
              <w:t xml:space="preserve"> choroby układu krążenia</w:t>
            </w:r>
          </w:p>
        </w:tc>
        <w:tc>
          <w:tcPr>
            <w:tcW w:w="3973" w:type="dxa"/>
            <w:gridSpan w:val="2"/>
            <w:shd w:val="clear" w:color="auto" w:fill="FFFFFF" w:themeFill="background1"/>
          </w:tcPr>
          <w:p w14:paraId="5BF6AD27"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76</w:t>
            </w:r>
            <w:r w:rsidR="00F15643" w:rsidRPr="009C096B">
              <w:rPr>
                <w:rFonts w:ascii="Times New Roman" w:hAnsi="Times New Roman" w:cs="Times New Roman"/>
                <w:color w:val="auto"/>
              </w:rPr>
              <w:t xml:space="preserve"> </w:t>
            </w:r>
            <w:r w:rsidRPr="009C096B">
              <w:rPr>
                <w:rFonts w:ascii="Times New Roman" w:hAnsi="Times New Roman" w:cs="Times New Roman"/>
                <w:color w:val="auto"/>
              </w:rPr>
              <w:t>763</w:t>
            </w:r>
          </w:p>
        </w:tc>
      </w:tr>
      <w:tr w:rsidR="009C096B" w:rsidRPr="009C096B" w14:paraId="6D0D27E8"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DB031A2"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0B6CCF7F"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2.</w:t>
            </w:r>
            <w:r w:rsidRPr="009C096B">
              <w:rPr>
                <w:rFonts w:ascii="Times New Roman" w:hAnsi="Times New Roman" w:cs="Times New Roman"/>
                <w:color w:val="auto"/>
              </w:rPr>
              <w:t>choroby układu mięśniowo – kostnego i tkanki łącznej</w:t>
            </w:r>
          </w:p>
        </w:tc>
        <w:tc>
          <w:tcPr>
            <w:tcW w:w="3973" w:type="dxa"/>
            <w:gridSpan w:val="2"/>
            <w:shd w:val="clear" w:color="auto" w:fill="FFFFFF" w:themeFill="background1"/>
          </w:tcPr>
          <w:p w14:paraId="68610517"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25</w:t>
            </w:r>
            <w:r w:rsidR="00F15643" w:rsidRPr="009C096B">
              <w:rPr>
                <w:rFonts w:ascii="Times New Roman" w:hAnsi="Times New Roman" w:cs="Times New Roman"/>
                <w:color w:val="auto"/>
              </w:rPr>
              <w:t xml:space="preserve"> </w:t>
            </w:r>
            <w:r w:rsidRPr="009C096B">
              <w:rPr>
                <w:rFonts w:ascii="Times New Roman" w:hAnsi="Times New Roman" w:cs="Times New Roman"/>
                <w:color w:val="auto"/>
              </w:rPr>
              <w:t>584</w:t>
            </w:r>
          </w:p>
        </w:tc>
      </w:tr>
      <w:tr w:rsidR="009C096B" w:rsidRPr="009C096B" w14:paraId="0026FA2E"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CC0E658"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7F518991"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3.</w:t>
            </w:r>
            <w:r w:rsidRPr="009C096B">
              <w:rPr>
                <w:rFonts w:ascii="Times New Roman" w:hAnsi="Times New Roman" w:cs="Times New Roman"/>
                <w:color w:val="auto"/>
              </w:rPr>
              <w:t>cukrzyca</w:t>
            </w:r>
          </w:p>
        </w:tc>
        <w:tc>
          <w:tcPr>
            <w:tcW w:w="3973" w:type="dxa"/>
            <w:gridSpan w:val="2"/>
            <w:shd w:val="clear" w:color="auto" w:fill="FFFFFF" w:themeFill="background1"/>
          </w:tcPr>
          <w:p w14:paraId="76178A71"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21</w:t>
            </w:r>
            <w:r w:rsidR="00F15643" w:rsidRPr="009C096B">
              <w:rPr>
                <w:rFonts w:ascii="Times New Roman" w:hAnsi="Times New Roman" w:cs="Times New Roman"/>
                <w:color w:val="auto"/>
              </w:rPr>
              <w:t xml:space="preserve"> </w:t>
            </w:r>
            <w:r w:rsidRPr="009C096B">
              <w:rPr>
                <w:rFonts w:ascii="Times New Roman" w:hAnsi="Times New Roman" w:cs="Times New Roman"/>
                <w:color w:val="auto"/>
              </w:rPr>
              <w:t>154</w:t>
            </w:r>
          </w:p>
        </w:tc>
      </w:tr>
      <w:tr w:rsidR="009C096B" w:rsidRPr="009C096B" w14:paraId="64BBA57C"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586431"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44088F75"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4</w:t>
            </w:r>
            <w:r w:rsidRPr="009C096B">
              <w:rPr>
                <w:rFonts w:ascii="Times New Roman" w:hAnsi="Times New Roman" w:cs="Times New Roman"/>
                <w:color w:val="auto"/>
              </w:rPr>
              <w:t>.przewlekłe choroby układu trawiennego</w:t>
            </w:r>
          </w:p>
        </w:tc>
        <w:tc>
          <w:tcPr>
            <w:tcW w:w="3973" w:type="dxa"/>
            <w:gridSpan w:val="2"/>
            <w:shd w:val="clear" w:color="auto" w:fill="FFFFFF" w:themeFill="background1"/>
          </w:tcPr>
          <w:p w14:paraId="177453B3"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10</w:t>
            </w:r>
            <w:r w:rsidR="00F15643" w:rsidRPr="009C096B">
              <w:rPr>
                <w:rFonts w:ascii="Times New Roman" w:hAnsi="Times New Roman" w:cs="Times New Roman"/>
                <w:color w:val="auto"/>
              </w:rPr>
              <w:t xml:space="preserve"> </w:t>
            </w:r>
            <w:r w:rsidRPr="009C096B">
              <w:rPr>
                <w:rFonts w:ascii="Times New Roman" w:hAnsi="Times New Roman" w:cs="Times New Roman"/>
                <w:color w:val="auto"/>
              </w:rPr>
              <w:t>885</w:t>
            </w:r>
          </w:p>
        </w:tc>
      </w:tr>
      <w:tr w:rsidR="009C096B" w:rsidRPr="009C096B" w14:paraId="23C1D789"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DC86D60"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5D18C1DB"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5.</w:t>
            </w:r>
            <w:r w:rsidRPr="009C096B">
              <w:rPr>
                <w:rFonts w:ascii="Times New Roman" w:hAnsi="Times New Roman" w:cs="Times New Roman"/>
                <w:color w:val="auto"/>
              </w:rPr>
              <w:t>przewlekły nieżyt oskrzeli, dychawica oskrzelowa</w:t>
            </w:r>
          </w:p>
        </w:tc>
        <w:tc>
          <w:tcPr>
            <w:tcW w:w="3973" w:type="dxa"/>
            <w:gridSpan w:val="2"/>
            <w:shd w:val="clear" w:color="auto" w:fill="FFFFFF" w:themeFill="background1"/>
          </w:tcPr>
          <w:p w14:paraId="19D1E16D"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8</w:t>
            </w:r>
            <w:r w:rsidR="00F15643" w:rsidRPr="009C096B">
              <w:rPr>
                <w:rFonts w:ascii="Times New Roman" w:hAnsi="Times New Roman" w:cs="Times New Roman"/>
                <w:color w:val="auto"/>
              </w:rPr>
              <w:t xml:space="preserve"> </w:t>
            </w:r>
            <w:r w:rsidRPr="009C096B">
              <w:rPr>
                <w:rFonts w:ascii="Times New Roman" w:hAnsi="Times New Roman" w:cs="Times New Roman"/>
                <w:color w:val="auto"/>
              </w:rPr>
              <w:t>103</w:t>
            </w:r>
          </w:p>
        </w:tc>
      </w:tr>
      <w:tr w:rsidR="009C096B" w:rsidRPr="009C096B" w14:paraId="11D2F138"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E765A71"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hAnsi="Times New Roman" w:cs="Times New Roman"/>
                <w:color w:val="auto"/>
                <w:lang w:eastAsia="pl-PL"/>
              </w:rPr>
              <w:t>Liczba osób starszych objętych czynną opieką lekarza POZ</w:t>
            </w:r>
          </w:p>
        </w:tc>
        <w:tc>
          <w:tcPr>
            <w:tcW w:w="11911" w:type="dxa"/>
            <w:gridSpan w:val="8"/>
            <w:shd w:val="clear" w:color="auto" w:fill="FFFFFF" w:themeFill="background1"/>
          </w:tcPr>
          <w:p w14:paraId="7D787950"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117</w:t>
            </w:r>
            <w:r w:rsidR="00F15643" w:rsidRPr="009C096B">
              <w:rPr>
                <w:rFonts w:ascii="Times New Roman" w:hAnsi="Times New Roman" w:cs="Times New Roman"/>
                <w:color w:val="auto"/>
              </w:rPr>
              <w:t xml:space="preserve"> </w:t>
            </w:r>
            <w:r w:rsidRPr="009C096B">
              <w:rPr>
                <w:rFonts w:ascii="Times New Roman" w:hAnsi="Times New Roman" w:cs="Times New Roman"/>
                <w:color w:val="auto"/>
              </w:rPr>
              <w:t>605</w:t>
            </w:r>
          </w:p>
        </w:tc>
      </w:tr>
      <w:tr w:rsidR="009C096B" w:rsidRPr="009C096B" w14:paraId="7E05FD3F" w14:textId="77777777" w:rsidTr="00E8650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47CAE42"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hAnsi="Times New Roman" w:cs="Times New Roman"/>
                <w:color w:val="auto"/>
                <w:lang w:eastAsia="pl-PL"/>
              </w:rPr>
              <w:t>Najczęstsze przyczyny hospitalizacji osób starszych</w:t>
            </w:r>
          </w:p>
        </w:tc>
        <w:tc>
          <w:tcPr>
            <w:tcW w:w="7938" w:type="dxa"/>
            <w:gridSpan w:val="6"/>
            <w:shd w:val="clear" w:color="auto" w:fill="9CC2E5" w:themeFill="accent1" w:themeFillTint="99"/>
          </w:tcPr>
          <w:p w14:paraId="1E360DAB"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Przyczyna</w:t>
            </w:r>
          </w:p>
        </w:tc>
        <w:tc>
          <w:tcPr>
            <w:tcW w:w="3973" w:type="dxa"/>
            <w:gridSpan w:val="2"/>
            <w:shd w:val="clear" w:color="auto" w:fill="9CC2E5" w:themeFill="accent1" w:themeFillTint="99"/>
          </w:tcPr>
          <w:p w14:paraId="1AB71DFC"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Liczba osób starszych</w:t>
            </w:r>
          </w:p>
        </w:tc>
      </w:tr>
      <w:tr w:rsidR="009C096B" w:rsidRPr="009C096B" w14:paraId="7A0406D5"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6D15CA3"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68DBB1B4"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1.</w:t>
            </w:r>
            <w:r w:rsidRPr="009C096B">
              <w:rPr>
                <w:rFonts w:ascii="Times New Roman" w:hAnsi="Times New Roman" w:cs="Times New Roman"/>
                <w:color w:val="auto"/>
              </w:rPr>
              <w:t>Samoistne (pierwotne) nadciśnienie.</w:t>
            </w:r>
          </w:p>
        </w:tc>
        <w:tc>
          <w:tcPr>
            <w:tcW w:w="3973" w:type="dxa"/>
            <w:gridSpan w:val="2"/>
            <w:shd w:val="clear" w:color="auto" w:fill="FFFFFF" w:themeFill="background1"/>
          </w:tcPr>
          <w:p w14:paraId="4F3D3416"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67</w:t>
            </w:r>
            <w:r w:rsidR="001C52F8" w:rsidRPr="009C096B">
              <w:rPr>
                <w:rFonts w:ascii="Times New Roman" w:hAnsi="Times New Roman" w:cs="Times New Roman"/>
                <w:color w:val="auto"/>
              </w:rPr>
              <w:t xml:space="preserve"> </w:t>
            </w:r>
            <w:r w:rsidRPr="009C096B">
              <w:rPr>
                <w:rFonts w:ascii="Times New Roman" w:hAnsi="Times New Roman" w:cs="Times New Roman"/>
                <w:color w:val="auto"/>
              </w:rPr>
              <w:t>656</w:t>
            </w:r>
          </w:p>
        </w:tc>
      </w:tr>
      <w:tr w:rsidR="009C096B" w:rsidRPr="009C096B" w14:paraId="4E20359D"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787073A"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622CFAA2"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2.</w:t>
            </w:r>
            <w:r w:rsidRPr="009C096B">
              <w:rPr>
                <w:rFonts w:ascii="Times New Roman" w:hAnsi="Times New Roman" w:cs="Times New Roman"/>
                <w:color w:val="auto"/>
              </w:rPr>
              <w:t>Osoby stykające się ze służbą zdrowia w celu uzyskania konsultacji i porad innych niż sklasyfikowane gdzie indziej.</w:t>
            </w:r>
          </w:p>
        </w:tc>
        <w:tc>
          <w:tcPr>
            <w:tcW w:w="3973" w:type="dxa"/>
            <w:gridSpan w:val="2"/>
            <w:shd w:val="clear" w:color="auto" w:fill="FFFFFF" w:themeFill="background1"/>
          </w:tcPr>
          <w:p w14:paraId="72980C63"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29</w:t>
            </w:r>
            <w:r w:rsidR="001C52F8" w:rsidRPr="009C096B">
              <w:rPr>
                <w:rFonts w:ascii="Times New Roman" w:hAnsi="Times New Roman" w:cs="Times New Roman"/>
                <w:color w:val="auto"/>
              </w:rPr>
              <w:t xml:space="preserve"> </w:t>
            </w:r>
            <w:r w:rsidRPr="009C096B">
              <w:rPr>
                <w:rFonts w:ascii="Times New Roman" w:hAnsi="Times New Roman" w:cs="Times New Roman"/>
                <w:color w:val="auto"/>
              </w:rPr>
              <w:t>359</w:t>
            </w:r>
          </w:p>
        </w:tc>
      </w:tr>
      <w:tr w:rsidR="009C096B" w:rsidRPr="009C096B" w14:paraId="73DF93FA"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4B5A76B"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07E4967B"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3.</w:t>
            </w:r>
            <w:r w:rsidRPr="009C096B">
              <w:rPr>
                <w:rFonts w:ascii="Times New Roman" w:hAnsi="Times New Roman" w:cs="Times New Roman"/>
                <w:color w:val="auto"/>
              </w:rPr>
              <w:t>Obserwacja medyczna i ocena przypadków podejrzanych o chorobę lub stany podobne.</w:t>
            </w:r>
          </w:p>
        </w:tc>
        <w:tc>
          <w:tcPr>
            <w:tcW w:w="3973" w:type="dxa"/>
            <w:gridSpan w:val="2"/>
            <w:shd w:val="clear" w:color="auto" w:fill="FFFFFF" w:themeFill="background1"/>
          </w:tcPr>
          <w:p w14:paraId="676DA1A8"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28</w:t>
            </w:r>
            <w:r w:rsidR="001C52F8" w:rsidRPr="009C096B">
              <w:rPr>
                <w:rFonts w:ascii="Times New Roman" w:hAnsi="Times New Roman" w:cs="Times New Roman"/>
                <w:color w:val="auto"/>
              </w:rPr>
              <w:t xml:space="preserve"> </w:t>
            </w:r>
            <w:r w:rsidRPr="009C096B">
              <w:rPr>
                <w:rFonts w:ascii="Times New Roman" w:hAnsi="Times New Roman" w:cs="Times New Roman"/>
                <w:color w:val="auto"/>
              </w:rPr>
              <w:t>998</w:t>
            </w:r>
          </w:p>
        </w:tc>
      </w:tr>
      <w:tr w:rsidR="009C096B" w:rsidRPr="009C096B" w14:paraId="7A98FAFA"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33CD7E0"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3032A888"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4.</w:t>
            </w:r>
            <w:r w:rsidRPr="009C096B">
              <w:rPr>
                <w:rFonts w:ascii="Times New Roman" w:hAnsi="Times New Roman" w:cs="Times New Roman"/>
                <w:color w:val="auto"/>
              </w:rPr>
              <w:t>Cukrzyca insulinoniezależna.</w:t>
            </w:r>
          </w:p>
        </w:tc>
        <w:tc>
          <w:tcPr>
            <w:tcW w:w="3973" w:type="dxa"/>
            <w:gridSpan w:val="2"/>
            <w:shd w:val="clear" w:color="auto" w:fill="FFFFFF" w:themeFill="background1"/>
          </w:tcPr>
          <w:p w14:paraId="2278426C"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27</w:t>
            </w:r>
            <w:r w:rsidR="001C52F8" w:rsidRPr="009C096B">
              <w:rPr>
                <w:rFonts w:ascii="Times New Roman" w:hAnsi="Times New Roman" w:cs="Times New Roman"/>
                <w:color w:val="auto"/>
              </w:rPr>
              <w:t xml:space="preserve"> </w:t>
            </w:r>
            <w:r w:rsidRPr="009C096B">
              <w:rPr>
                <w:rFonts w:ascii="Times New Roman" w:hAnsi="Times New Roman" w:cs="Times New Roman"/>
                <w:color w:val="auto"/>
              </w:rPr>
              <w:t>937</w:t>
            </w:r>
          </w:p>
        </w:tc>
      </w:tr>
      <w:tr w:rsidR="009C096B" w:rsidRPr="009C096B" w14:paraId="0C0E6E25"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9E14F8A"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33B551C0"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5.</w:t>
            </w:r>
            <w:r w:rsidRPr="009C096B">
              <w:rPr>
                <w:rFonts w:ascii="Times New Roman" w:hAnsi="Times New Roman" w:cs="Times New Roman"/>
                <w:color w:val="auto"/>
              </w:rPr>
              <w:t>Przewlekła choroba niedokrwienna serca.</w:t>
            </w:r>
          </w:p>
        </w:tc>
        <w:tc>
          <w:tcPr>
            <w:tcW w:w="3973" w:type="dxa"/>
            <w:gridSpan w:val="2"/>
            <w:shd w:val="clear" w:color="auto" w:fill="FFFFFF" w:themeFill="background1"/>
          </w:tcPr>
          <w:p w14:paraId="4E0E0CD0"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18</w:t>
            </w:r>
            <w:r w:rsidR="001C52F8" w:rsidRPr="009C096B">
              <w:rPr>
                <w:rFonts w:ascii="Times New Roman" w:hAnsi="Times New Roman" w:cs="Times New Roman"/>
                <w:color w:val="auto"/>
              </w:rPr>
              <w:t xml:space="preserve"> </w:t>
            </w:r>
            <w:r w:rsidRPr="009C096B">
              <w:rPr>
                <w:rFonts w:ascii="Times New Roman" w:hAnsi="Times New Roman" w:cs="Times New Roman"/>
                <w:color w:val="auto"/>
              </w:rPr>
              <w:t>197</w:t>
            </w:r>
          </w:p>
        </w:tc>
      </w:tr>
      <w:tr w:rsidR="009C096B" w:rsidRPr="009C096B" w14:paraId="051E3375"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0A4281B" w14:textId="77777777" w:rsidR="004854E3" w:rsidRPr="009C096B" w:rsidRDefault="004854E3" w:rsidP="00E86509">
            <w:pPr>
              <w:spacing w:after="0" w:line="240" w:lineRule="auto"/>
              <w:rPr>
                <w:rFonts w:ascii="Times New Roman" w:hAnsi="Times New Roman" w:cs="Times New Roman"/>
                <w:b w:val="0"/>
                <w:bCs w:val="0"/>
                <w:color w:val="auto"/>
              </w:rPr>
            </w:pPr>
            <w:r w:rsidRPr="009C096B">
              <w:rPr>
                <w:rFonts w:ascii="Times New Roman" w:hAnsi="Times New Roman" w:cs="Times New Roman"/>
                <w:color w:val="auto"/>
                <w:lang w:eastAsia="pl-PL"/>
              </w:rPr>
              <w:t>Infrastruktura służby zdrowia</w:t>
            </w:r>
          </w:p>
        </w:tc>
        <w:tc>
          <w:tcPr>
            <w:tcW w:w="3969" w:type="dxa"/>
            <w:gridSpan w:val="3"/>
            <w:shd w:val="clear" w:color="auto" w:fill="9CC2E5" w:themeFill="accent1" w:themeFillTint="99"/>
          </w:tcPr>
          <w:p w14:paraId="54A36328"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9C096B">
              <w:rPr>
                <w:rFonts w:ascii="Times New Roman" w:hAnsi="Times New Roman" w:cs="Times New Roman"/>
                <w:b/>
                <w:color w:val="auto"/>
              </w:rPr>
              <w:t>Rodzaj placówki</w:t>
            </w:r>
          </w:p>
        </w:tc>
        <w:tc>
          <w:tcPr>
            <w:tcW w:w="3969" w:type="dxa"/>
            <w:gridSpan w:val="3"/>
            <w:shd w:val="clear" w:color="auto" w:fill="9CC2E5" w:themeFill="accent1" w:themeFillTint="99"/>
          </w:tcPr>
          <w:p w14:paraId="1B1FDD16"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Liczba placówek</w:t>
            </w:r>
          </w:p>
        </w:tc>
        <w:tc>
          <w:tcPr>
            <w:tcW w:w="3973" w:type="dxa"/>
            <w:gridSpan w:val="2"/>
            <w:shd w:val="clear" w:color="auto" w:fill="9CC2E5" w:themeFill="accent1" w:themeFillTint="99"/>
          </w:tcPr>
          <w:p w14:paraId="30714985"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Liczba łóżek dla osób starszych</w:t>
            </w:r>
          </w:p>
        </w:tc>
      </w:tr>
      <w:tr w:rsidR="009C096B" w:rsidRPr="009C096B" w14:paraId="4FCBF1E8"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A8D58F" w14:textId="77777777" w:rsidR="004854E3" w:rsidRPr="009C096B" w:rsidRDefault="004854E3"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5215C8C8"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Oddział / pododdział geriatryczny</w:t>
            </w:r>
          </w:p>
        </w:tc>
        <w:tc>
          <w:tcPr>
            <w:tcW w:w="3969" w:type="dxa"/>
            <w:gridSpan w:val="3"/>
            <w:shd w:val="clear" w:color="auto" w:fill="FFFFFF" w:themeFill="background1"/>
          </w:tcPr>
          <w:p w14:paraId="28C487FC"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w:t>
            </w:r>
          </w:p>
        </w:tc>
        <w:tc>
          <w:tcPr>
            <w:tcW w:w="3973" w:type="dxa"/>
            <w:gridSpan w:val="2"/>
            <w:shd w:val="clear" w:color="auto" w:fill="FFFFFF" w:themeFill="background1"/>
          </w:tcPr>
          <w:p w14:paraId="16A19488"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56</w:t>
            </w:r>
          </w:p>
        </w:tc>
      </w:tr>
      <w:tr w:rsidR="009C096B" w:rsidRPr="009C096B" w14:paraId="316100FC"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E0C3C94" w14:textId="77777777" w:rsidR="004854E3" w:rsidRPr="009C096B" w:rsidRDefault="004854E3"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167CD7CE"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Poradnia geriatryczna</w:t>
            </w:r>
          </w:p>
        </w:tc>
        <w:tc>
          <w:tcPr>
            <w:tcW w:w="3969" w:type="dxa"/>
            <w:gridSpan w:val="3"/>
            <w:shd w:val="clear" w:color="auto" w:fill="FFFFFF" w:themeFill="background1"/>
          </w:tcPr>
          <w:p w14:paraId="4E6FABBD"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6</w:t>
            </w:r>
          </w:p>
        </w:tc>
        <w:tc>
          <w:tcPr>
            <w:tcW w:w="3973" w:type="dxa"/>
            <w:gridSpan w:val="2"/>
            <w:shd w:val="clear" w:color="auto" w:fill="FFFFFF" w:themeFill="background1"/>
          </w:tcPr>
          <w:p w14:paraId="2D1C4A74"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Nie dotyczy</w:t>
            </w:r>
          </w:p>
        </w:tc>
      </w:tr>
      <w:tr w:rsidR="009C096B" w:rsidRPr="009C096B" w14:paraId="6BD8B95D"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16F89E7" w14:textId="77777777" w:rsidR="004854E3" w:rsidRPr="009C096B" w:rsidRDefault="004854E3"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5F0A5243"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Zakład opiekuńczo-leczniczy</w:t>
            </w:r>
          </w:p>
        </w:tc>
        <w:tc>
          <w:tcPr>
            <w:tcW w:w="3969" w:type="dxa"/>
            <w:gridSpan w:val="3"/>
            <w:shd w:val="clear" w:color="auto" w:fill="FFFFFF" w:themeFill="background1"/>
          </w:tcPr>
          <w:p w14:paraId="2A02AB2F"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20</w:t>
            </w:r>
          </w:p>
        </w:tc>
        <w:tc>
          <w:tcPr>
            <w:tcW w:w="3973" w:type="dxa"/>
            <w:gridSpan w:val="2"/>
            <w:shd w:val="clear" w:color="auto" w:fill="FFFFFF" w:themeFill="background1"/>
          </w:tcPr>
          <w:p w14:paraId="436DF18E"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w:t>
            </w:r>
          </w:p>
        </w:tc>
      </w:tr>
      <w:tr w:rsidR="009C096B" w:rsidRPr="009C096B" w14:paraId="48BC0E4C"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44C0A63" w14:textId="77777777" w:rsidR="004854E3" w:rsidRPr="009C096B" w:rsidRDefault="004854E3"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24375D7F"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Zakład pielęgnacyjno-opiekuńczy</w:t>
            </w:r>
          </w:p>
        </w:tc>
        <w:tc>
          <w:tcPr>
            <w:tcW w:w="3969" w:type="dxa"/>
            <w:gridSpan w:val="3"/>
            <w:shd w:val="clear" w:color="auto" w:fill="FFFFFF" w:themeFill="background1"/>
          </w:tcPr>
          <w:p w14:paraId="7B0A8968"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w:t>
            </w:r>
          </w:p>
        </w:tc>
        <w:tc>
          <w:tcPr>
            <w:tcW w:w="3973" w:type="dxa"/>
            <w:gridSpan w:val="2"/>
            <w:shd w:val="clear" w:color="auto" w:fill="FFFFFF" w:themeFill="background1"/>
          </w:tcPr>
          <w:p w14:paraId="5E46446E"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w:t>
            </w:r>
          </w:p>
        </w:tc>
      </w:tr>
      <w:tr w:rsidR="009C096B" w:rsidRPr="009C096B" w14:paraId="673A8BEF"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17D4762" w14:textId="77777777" w:rsidR="004854E3" w:rsidRPr="009C096B" w:rsidRDefault="004854E3"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6E286945"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Hospicja stacjonarne</w:t>
            </w:r>
          </w:p>
        </w:tc>
        <w:tc>
          <w:tcPr>
            <w:tcW w:w="3969" w:type="dxa"/>
            <w:gridSpan w:val="3"/>
            <w:shd w:val="clear" w:color="auto" w:fill="FFFFFF" w:themeFill="background1"/>
          </w:tcPr>
          <w:p w14:paraId="1F5B60D9"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4</w:t>
            </w:r>
          </w:p>
        </w:tc>
        <w:tc>
          <w:tcPr>
            <w:tcW w:w="3973" w:type="dxa"/>
            <w:gridSpan w:val="2"/>
            <w:shd w:val="clear" w:color="auto" w:fill="FFFFFF" w:themeFill="background1"/>
          </w:tcPr>
          <w:p w14:paraId="0F9F2426"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w:t>
            </w:r>
          </w:p>
        </w:tc>
      </w:tr>
      <w:tr w:rsidR="009C096B" w:rsidRPr="009C096B" w14:paraId="01F6305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C1750A0" w14:textId="77777777" w:rsidR="004854E3" w:rsidRPr="009C096B" w:rsidRDefault="004854E3"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357CED2E"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Hospicja domowe</w:t>
            </w:r>
          </w:p>
        </w:tc>
        <w:tc>
          <w:tcPr>
            <w:tcW w:w="3969" w:type="dxa"/>
            <w:gridSpan w:val="3"/>
            <w:shd w:val="clear" w:color="auto" w:fill="FFFFFF" w:themeFill="background1"/>
          </w:tcPr>
          <w:p w14:paraId="14A3DC80"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11</w:t>
            </w:r>
          </w:p>
        </w:tc>
        <w:tc>
          <w:tcPr>
            <w:tcW w:w="3973" w:type="dxa"/>
            <w:gridSpan w:val="2"/>
            <w:shd w:val="clear" w:color="auto" w:fill="FFFFFF" w:themeFill="background1"/>
          </w:tcPr>
          <w:p w14:paraId="6D4EC55B"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w:t>
            </w:r>
          </w:p>
        </w:tc>
      </w:tr>
      <w:tr w:rsidR="009C096B" w:rsidRPr="009C096B" w14:paraId="1581C7B4"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CAA46CF" w14:textId="77777777" w:rsidR="004854E3" w:rsidRPr="009C096B" w:rsidRDefault="004854E3"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0B6B6A0B"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Oddział opieki paliatywnej</w:t>
            </w:r>
          </w:p>
        </w:tc>
        <w:tc>
          <w:tcPr>
            <w:tcW w:w="3969" w:type="dxa"/>
            <w:gridSpan w:val="3"/>
            <w:shd w:val="clear" w:color="auto" w:fill="FFFFFF" w:themeFill="background1"/>
          </w:tcPr>
          <w:p w14:paraId="32CFCF42"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w:t>
            </w:r>
          </w:p>
        </w:tc>
        <w:tc>
          <w:tcPr>
            <w:tcW w:w="3973" w:type="dxa"/>
            <w:gridSpan w:val="2"/>
            <w:shd w:val="clear" w:color="auto" w:fill="FFFFFF" w:themeFill="background1"/>
          </w:tcPr>
          <w:p w14:paraId="694EF7B5"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w:t>
            </w:r>
          </w:p>
        </w:tc>
      </w:tr>
      <w:tr w:rsidR="009C096B" w:rsidRPr="009C096B" w14:paraId="18186DE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ED6FBEA" w14:textId="77777777" w:rsidR="004854E3" w:rsidRPr="009C096B" w:rsidRDefault="004854E3" w:rsidP="00E86509">
            <w:pPr>
              <w:tabs>
                <w:tab w:val="left" w:pos="1206"/>
              </w:tabs>
              <w:spacing w:after="0" w:line="240" w:lineRule="auto"/>
              <w:rPr>
                <w:rFonts w:ascii="Times New Roman" w:hAnsi="Times New Roman" w:cs="Times New Roman"/>
                <w:color w:val="auto"/>
              </w:rPr>
            </w:pPr>
            <w:r w:rsidRPr="009C096B">
              <w:rPr>
                <w:rFonts w:ascii="Times New Roman" w:hAnsi="Times New Roman" w:cs="Times New Roman"/>
                <w:color w:val="auto"/>
              </w:rPr>
              <w:t>Kadry medyczne</w:t>
            </w:r>
          </w:p>
        </w:tc>
        <w:tc>
          <w:tcPr>
            <w:tcW w:w="7938" w:type="dxa"/>
            <w:gridSpan w:val="6"/>
            <w:shd w:val="clear" w:color="auto" w:fill="9CC2E5" w:themeFill="accent1" w:themeFillTint="99"/>
          </w:tcPr>
          <w:p w14:paraId="088B0A57" w14:textId="77777777" w:rsidR="004854E3" w:rsidRPr="009C096B" w:rsidRDefault="004854E3" w:rsidP="00E86509">
            <w:pPr>
              <w:tabs>
                <w:tab w:val="left" w:pos="120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Lekarze</w:t>
            </w:r>
          </w:p>
        </w:tc>
        <w:tc>
          <w:tcPr>
            <w:tcW w:w="3973" w:type="dxa"/>
            <w:gridSpan w:val="2"/>
            <w:shd w:val="clear" w:color="auto" w:fill="9CC2E5" w:themeFill="accent1" w:themeFillTint="99"/>
          </w:tcPr>
          <w:p w14:paraId="59186646"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Liczba lekarzy</w:t>
            </w:r>
          </w:p>
        </w:tc>
      </w:tr>
      <w:tr w:rsidR="009C096B" w:rsidRPr="009C096B" w14:paraId="5A5E7E77"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C3C6ADD"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34DC927A" w14:textId="77777777" w:rsidR="004854E3" w:rsidRPr="008457FA" w:rsidRDefault="004854E3" w:rsidP="00E86509">
            <w:pPr>
              <w:tabs>
                <w:tab w:val="left" w:pos="120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Geriatrzy</w:t>
            </w:r>
          </w:p>
        </w:tc>
        <w:tc>
          <w:tcPr>
            <w:tcW w:w="3973" w:type="dxa"/>
            <w:gridSpan w:val="2"/>
            <w:shd w:val="clear" w:color="auto" w:fill="FFFFFF" w:themeFill="background1"/>
          </w:tcPr>
          <w:p w14:paraId="0CEC2545" w14:textId="77777777" w:rsidR="004854E3" w:rsidRPr="008457FA"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6</w:t>
            </w:r>
          </w:p>
        </w:tc>
      </w:tr>
      <w:tr w:rsidR="009C096B" w:rsidRPr="009C096B" w14:paraId="2C8CE792"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626701F"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3BA84DBF" w14:textId="77777777" w:rsidR="004854E3" w:rsidRPr="008457FA"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w trakcie specjalizacji z geriatrii</w:t>
            </w:r>
          </w:p>
        </w:tc>
        <w:tc>
          <w:tcPr>
            <w:tcW w:w="3973" w:type="dxa"/>
            <w:gridSpan w:val="2"/>
            <w:shd w:val="clear" w:color="auto" w:fill="FFFFFF" w:themeFill="background1"/>
          </w:tcPr>
          <w:p w14:paraId="42BB7539" w14:textId="77777777" w:rsidR="004854E3" w:rsidRPr="008457FA"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w:t>
            </w:r>
          </w:p>
        </w:tc>
      </w:tr>
      <w:tr w:rsidR="009C096B" w:rsidRPr="009C096B" w14:paraId="7A2DC107"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49C9A0A"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9CC2E5" w:themeFill="accent1" w:themeFillTint="99"/>
          </w:tcPr>
          <w:p w14:paraId="76CE4ED7"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 xml:space="preserve">Pielęgniarki ze specjalizacją lub ukończonym kursem kwalifikacyjnym </w:t>
            </w:r>
            <w:r w:rsidRPr="009C096B">
              <w:rPr>
                <w:rFonts w:ascii="Times New Roman" w:hAnsi="Times New Roman" w:cs="Times New Roman"/>
                <w:b/>
                <w:color w:val="auto"/>
              </w:rPr>
              <w:br/>
              <w:t>w zakresie:</w:t>
            </w:r>
          </w:p>
        </w:tc>
        <w:tc>
          <w:tcPr>
            <w:tcW w:w="3973" w:type="dxa"/>
            <w:gridSpan w:val="2"/>
            <w:shd w:val="clear" w:color="auto" w:fill="9CC2E5" w:themeFill="accent1" w:themeFillTint="99"/>
          </w:tcPr>
          <w:p w14:paraId="63B38CCF"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Liczba pielęgniarek</w:t>
            </w:r>
          </w:p>
        </w:tc>
      </w:tr>
      <w:tr w:rsidR="009C096B" w:rsidRPr="009C096B" w14:paraId="0AFB292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85335F5"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3B49E121"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Geriatrii</w:t>
            </w:r>
          </w:p>
        </w:tc>
        <w:tc>
          <w:tcPr>
            <w:tcW w:w="3973" w:type="dxa"/>
            <w:gridSpan w:val="2"/>
            <w:shd w:val="clear" w:color="auto" w:fill="FFFFFF" w:themeFill="background1"/>
          </w:tcPr>
          <w:p w14:paraId="1C4E82C3"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67</w:t>
            </w:r>
          </w:p>
        </w:tc>
      </w:tr>
      <w:tr w:rsidR="009C096B" w:rsidRPr="009C096B" w14:paraId="2A4925DA"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066FE2E"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6A322750"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Opieki długoterminowej</w:t>
            </w:r>
          </w:p>
        </w:tc>
        <w:tc>
          <w:tcPr>
            <w:tcW w:w="3973" w:type="dxa"/>
            <w:gridSpan w:val="2"/>
            <w:shd w:val="clear" w:color="auto" w:fill="FFFFFF" w:themeFill="background1"/>
          </w:tcPr>
          <w:p w14:paraId="211B2AE4"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93</w:t>
            </w:r>
          </w:p>
        </w:tc>
      </w:tr>
      <w:tr w:rsidR="009C096B" w:rsidRPr="009C096B" w14:paraId="7D4551A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33DD870"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06A51C07"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Opieki paliatywnej</w:t>
            </w:r>
          </w:p>
        </w:tc>
        <w:tc>
          <w:tcPr>
            <w:tcW w:w="3973" w:type="dxa"/>
            <w:gridSpan w:val="2"/>
            <w:shd w:val="clear" w:color="auto" w:fill="FFFFFF" w:themeFill="background1"/>
          </w:tcPr>
          <w:p w14:paraId="0730FC22"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36</w:t>
            </w:r>
          </w:p>
        </w:tc>
      </w:tr>
      <w:tr w:rsidR="009C096B" w:rsidRPr="009C096B" w14:paraId="71425284"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75B7C4A"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hAnsi="Times New Roman" w:cs="Times New Roman"/>
                <w:color w:val="auto"/>
                <w:lang w:eastAsia="pl-PL"/>
              </w:rPr>
              <w:t>Najczęstsze przyczyny zgonów osób starszych</w:t>
            </w:r>
          </w:p>
        </w:tc>
        <w:tc>
          <w:tcPr>
            <w:tcW w:w="7938" w:type="dxa"/>
            <w:gridSpan w:val="6"/>
            <w:shd w:val="clear" w:color="auto" w:fill="9CC2E5" w:themeFill="accent1" w:themeFillTint="99"/>
          </w:tcPr>
          <w:p w14:paraId="3BBC1B4B"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Nazwa</w:t>
            </w:r>
          </w:p>
        </w:tc>
        <w:tc>
          <w:tcPr>
            <w:tcW w:w="3973" w:type="dxa"/>
            <w:gridSpan w:val="2"/>
            <w:shd w:val="clear" w:color="auto" w:fill="9CC2E5" w:themeFill="accent1" w:themeFillTint="99"/>
          </w:tcPr>
          <w:p w14:paraId="3A6FE21D"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Liczba osób starszych</w:t>
            </w:r>
          </w:p>
        </w:tc>
      </w:tr>
      <w:tr w:rsidR="009C096B" w:rsidRPr="009C096B" w14:paraId="1FB44555"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86485F2"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63734F48"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1.</w:t>
            </w:r>
            <w:r w:rsidRPr="009C096B">
              <w:rPr>
                <w:rFonts w:ascii="Times New Roman" w:hAnsi="Times New Roman" w:cs="Times New Roman"/>
                <w:color w:val="auto"/>
              </w:rPr>
              <w:t xml:space="preserve"> Choroby układu krążenia</w:t>
            </w:r>
          </w:p>
        </w:tc>
        <w:tc>
          <w:tcPr>
            <w:tcW w:w="3973" w:type="dxa"/>
            <w:gridSpan w:val="2"/>
            <w:shd w:val="clear" w:color="auto" w:fill="FFFFFF" w:themeFill="background1"/>
          </w:tcPr>
          <w:p w14:paraId="59B56A1A"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4</w:t>
            </w:r>
            <w:r w:rsidR="001C52F8" w:rsidRPr="009C096B">
              <w:rPr>
                <w:rFonts w:ascii="Times New Roman" w:hAnsi="Times New Roman" w:cs="Times New Roman"/>
                <w:color w:val="auto"/>
              </w:rPr>
              <w:t xml:space="preserve"> </w:t>
            </w:r>
            <w:r w:rsidRPr="009C096B">
              <w:rPr>
                <w:rFonts w:ascii="Times New Roman" w:hAnsi="Times New Roman" w:cs="Times New Roman"/>
                <w:color w:val="auto"/>
              </w:rPr>
              <w:t>437</w:t>
            </w:r>
          </w:p>
        </w:tc>
      </w:tr>
      <w:tr w:rsidR="009C096B" w:rsidRPr="009C096B" w14:paraId="144F6839"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1D49835"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33E00A49"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2.</w:t>
            </w:r>
            <w:r w:rsidRPr="009C096B">
              <w:rPr>
                <w:rFonts w:ascii="Times New Roman" w:hAnsi="Times New Roman" w:cs="Times New Roman"/>
                <w:color w:val="auto"/>
              </w:rPr>
              <w:t xml:space="preserve"> Nowotwory</w:t>
            </w:r>
          </w:p>
        </w:tc>
        <w:tc>
          <w:tcPr>
            <w:tcW w:w="3973" w:type="dxa"/>
            <w:gridSpan w:val="2"/>
            <w:shd w:val="clear" w:color="auto" w:fill="FFFFFF" w:themeFill="background1"/>
          </w:tcPr>
          <w:p w14:paraId="34F774FA"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color w:val="auto"/>
              </w:rPr>
              <w:t>2</w:t>
            </w:r>
            <w:r w:rsidR="001C52F8" w:rsidRPr="009C096B">
              <w:rPr>
                <w:rFonts w:ascii="Times New Roman" w:hAnsi="Times New Roman" w:cs="Times New Roman"/>
                <w:color w:val="auto"/>
              </w:rPr>
              <w:t xml:space="preserve"> </w:t>
            </w:r>
            <w:r w:rsidRPr="009C096B">
              <w:rPr>
                <w:rFonts w:ascii="Times New Roman" w:hAnsi="Times New Roman" w:cs="Times New Roman"/>
                <w:color w:val="auto"/>
              </w:rPr>
              <w:t>328</w:t>
            </w:r>
          </w:p>
        </w:tc>
      </w:tr>
      <w:tr w:rsidR="009C096B" w:rsidRPr="009C096B" w14:paraId="2276E46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55E1E89"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46C640B7"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3.</w:t>
            </w:r>
            <w:r w:rsidRPr="009C096B">
              <w:rPr>
                <w:rFonts w:ascii="Times New Roman" w:hAnsi="Times New Roman" w:cs="Times New Roman"/>
                <w:color w:val="auto"/>
              </w:rPr>
              <w:t xml:space="preserve"> Objawy, cechy chorobowe oraz nieprawidłowe wyniki badań klinicznych </w:t>
            </w:r>
            <w:r w:rsidRPr="009C096B">
              <w:rPr>
                <w:rFonts w:ascii="Times New Roman" w:hAnsi="Times New Roman" w:cs="Times New Roman"/>
                <w:color w:val="auto"/>
              </w:rPr>
              <w:br/>
              <w:t>i laboratoryjnych, gdzie indziej niesklasyfikowane</w:t>
            </w:r>
          </w:p>
        </w:tc>
        <w:tc>
          <w:tcPr>
            <w:tcW w:w="3973" w:type="dxa"/>
            <w:gridSpan w:val="2"/>
            <w:shd w:val="clear" w:color="auto" w:fill="FFFFFF" w:themeFill="background1"/>
          </w:tcPr>
          <w:p w14:paraId="3EAD893E"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color w:val="auto"/>
              </w:rPr>
              <w:t>549</w:t>
            </w:r>
          </w:p>
        </w:tc>
      </w:tr>
      <w:tr w:rsidR="009C096B" w:rsidRPr="009C096B" w14:paraId="77F5B844"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625AEFE"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2EB7231C"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4.</w:t>
            </w:r>
            <w:r w:rsidRPr="009C096B">
              <w:rPr>
                <w:rFonts w:ascii="Times New Roman" w:hAnsi="Times New Roman" w:cs="Times New Roman"/>
                <w:color w:val="auto"/>
              </w:rPr>
              <w:t xml:space="preserve"> Choroby układu oddechowego</w:t>
            </w:r>
          </w:p>
        </w:tc>
        <w:tc>
          <w:tcPr>
            <w:tcW w:w="3973" w:type="dxa"/>
            <w:gridSpan w:val="2"/>
            <w:shd w:val="clear" w:color="auto" w:fill="FFFFFF" w:themeFill="background1"/>
          </w:tcPr>
          <w:p w14:paraId="42CAC509"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color w:val="auto"/>
              </w:rPr>
              <w:t>468</w:t>
            </w:r>
          </w:p>
        </w:tc>
      </w:tr>
      <w:tr w:rsidR="009C096B" w:rsidRPr="009C096B" w14:paraId="0C1BC142"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8AB0C47"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4502D822"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5.</w:t>
            </w:r>
            <w:r w:rsidRPr="009C096B">
              <w:rPr>
                <w:rFonts w:ascii="Times New Roman" w:hAnsi="Times New Roman" w:cs="Times New Roman"/>
                <w:color w:val="auto"/>
              </w:rPr>
              <w:t xml:space="preserve"> Choroby układu trawiennego</w:t>
            </w:r>
          </w:p>
        </w:tc>
        <w:tc>
          <w:tcPr>
            <w:tcW w:w="3973" w:type="dxa"/>
            <w:gridSpan w:val="2"/>
            <w:shd w:val="clear" w:color="auto" w:fill="FFFFFF" w:themeFill="background1"/>
          </w:tcPr>
          <w:p w14:paraId="192A701D"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color w:val="auto"/>
              </w:rPr>
              <w:t>349</w:t>
            </w:r>
          </w:p>
        </w:tc>
      </w:tr>
      <w:tr w:rsidR="009C096B" w:rsidRPr="009C096B" w14:paraId="3EF12DDA" w14:textId="77777777" w:rsidTr="00E86509">
        <w:trPr>
          <w:trHeight w:val="25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FD1C7B6"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hAnsi="Times New Roman" w:cs="Times New Roman"/>
                <w:color w:val="auto"/>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4DE75693" w14:textId="77777777" w:rsidR="004854E3" w:rsidRPr="009C096B" w:rsidRDefault="004854E3" w:rsidP="00E86509">
            <w:pPr>
              <w:tabs>
                <w:tab w:val="left" w:pos="129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1.</w:t>
            </w:r>
            <w:r w:rsidRPr="009C096B">
              <w:rPr>
                <w:rFonts w:ascii="Times New Roman" w:hAnsi="Times New Roman" w:cs="Times New Roman"/>
                <w:color w:val="auto"/>
              </w:rPr>
              <w:t xml:space="preserve"> Mała liczba  lekarzy o specjalizacji geriatria.</w:t>
            </w:r>
          </w:p>
        </w:tc>
      </w:tr>
      <w:tr w:rsidR="009C096B" w:rsidRPr="009C096B" w14:paraId="1C865F5A" w14:textId="77777777" w:rsidTr="00E8650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578E5FA"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11911" w:type="dxa"/>
            <w:gridSpan w:val="8"/>
            <w:shd w:val="clear" w:color="auto" w:fill="FFFFFF" w:themeFill="background1"/>
          </w:tcPr>
          <w:p w14:paraId="4A1B833C"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2.</w:t>
            </w:r>
            <w:r w:rsidRPr="009C096B">
              <w:rPr>
                <w:rFonts w:ascii="Times New Roman" w:hAnsi="Times New Roman" w:cs="Times New Roman"/>
                <w:color w:val="auto"/>
              </w:rPr>
              <w:t xml:space="preserve"> Mała liczba poradni geriatrycznych. </w:t>
            </w:r>
          </w:p>
        </w:tc>
      </w:tr>
      <w:tr w:rsidR="009C096B" w:rsidRPr="009C096B" w14:paraId="264C9780" w14:textId="77777777" w:rsidTr="00E86509">
        <w:trPr>
          <w:trHeight w:val="25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A04CF44"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11911" w:type="dxa"/>
            <w:gridSpan w:val="8"/>
            <w:shd w:val="clear" w:color="auto" w:fill="FFFFFF" w:themeFill="background1"/>
          </w:tcPr>
          <w:p w14:paraId="55906028"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b/>
                <w:color w:val="auto"/>
              </w:rPr>
              <w:t>3</w:t>
            </w:r>
            <w:r w:rsidRPr="009C096B">
              <w:rPr>
                <w:rFonts w:ascii="Times New Roman" w:hAnsi="Times New Roman" w:cs="Times New Roman"/>
                <w:color w:val="auto"/>
              </w:rPr>
              <w:t>.Długi czas oczekiwania na pobyt w zakładzie opiekuńczo – leczniczym.</w:t>
            </w:r>
          </w:p>
          <w:p w14:paraId="1EC5D36C"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9C096B" w:rsidRPr="009C096B" w14:paraId="78FE26A7"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635CC4FE" w14:textId="77777777" w:rsidR="004854E3" w:rsidRPr="009C096B" w:rsidRDefault="004854E3" w:rsidP="00E86509">
            <w:pPr>
              <w:spacing w:after="0" w:line="240" w:lineRule="auto"/>
              <w:jc w:val="center"/>
              <w:rPr>
                <w:rFonts w:ascii="Times New Roman" w:hAnsi="Times New Roman" w:cs="Times New Roman"/>
                <w:color w:val="auto"/>
              </w:rPr>
            </w:pPr>
            <w:r w:rsidRPr="009C096B">
              <w:rPr>
                <w:rFonts w:ascii="Times New Roman" w:hAnsi="Times New Roman" w:cs="Times New Roman"/>
                <w:color w:val="auto"/>
                <w:lang w:eastAsia="pl-PL"/>
              </w:rPr>
              <w:lastRenderedPageBreak/>
              <w:t>AKTYWNOŚĆ EKONOMICZNA OSÓB STARSZYCH – DANE ZA 2019 R.</w:t>
            </w:r>
          </w:p>
        </w:tc>
      </w:tr>
      <w:tr w:rsidR="009C096B" w:rsidRPr="009C096B" w14:paraId="608D3148"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6799" w:type="dxa"/>
            <w:gridSpan w:val="4"/>
            <w:shd w:val="clear" w:color="auto" w:fill="9CC2E5" w:themeFill="accent1" w:themeFillTint="99"/>
          </w:tcPr>
          <w:p w14:paraId="491DC177" w14:textId="77777777" w:rsidR="004854E3" w:rsidRPr="009C096B" w:rsidRDefault="004854E3" w:rsidP="00E86509">
            <w:pPr>
              <w:spacing w:after="0" w:line="240" w:lineRule="auto"/>
              <w:jc w:val="center"/>
              <w:rPr>
                <w:rFonts w:ascii="Times New Roman" w:hAnsi="Times New Roman" w:cs="Times New Roman"/>
                <w:color w:val="auto"/>
              </w:rPr>
            </w:pPr>
            <w:r w:rsidRPr="009C096B">
              <w:rPr>
                <w:rFonts w:ascii="Times New Roman" w:hAnsi="Times New Roman" w:cs="Times New Roman"/>
                <w:color w:val="auto"/>
              </w:rPr>
              <w:t>Podział</w:t>
            </w:r>
          </w:p>
        </w:tc>
        <w:tc>
          <w:tcPr>
            <w:tcW w:w="7942" w:type="dxa"/>
            <w:gridSpan w:val="5"/>
            <w:shd w:val="clear" w:color="auto" w:fill="9CC2E5" w:themeFill="accent1" w:themeFillTint="99"/>
          </w:tcPr>
          <w:p w14:paraId="1593C22F"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Liczba</w:t>
            </w:r>
          </w:p>
        </w:tc>
      </w:tr>
      <w:tr w:rsidR="009C096B" w:rsidRPr="009C096B" w14:paraId="528E9A05"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3A87771"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hAnsi="Times New Roman" w:cs="Times New Roman"/>
                <w:color w:val="auto"/>
                <w:lang w:eastAsia="pl-PL"/>
              </w:rPr>
              <w:t>Osoby aktywne zawodowo razem (w tys.)</w:t>
            </w:r>
          </w:p>
        </w:tc>
        <w:tc>
          <w:tcPr>
            <w:tcW w:w="3969" w:type="dxa"/>
            <w:gridSpan w:val="3"/>
            <w:shd w:val="clear" w:color="auto" w:fill="FFFFFF" w:themeFill="background1"/>
          </w:tcPr>
          <w:p w14:paraId="10FAED31"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ogółem</w:t>
            </w:r>
          </w:p>
        </w:tc>
        <w:tc>
          <w:tcPr>
            <w:tcW w:w="7942" w:type="dxa"/>
            <w:gridSpan w:val="5"/>
            <w:shd w:val="clear" w:color="auto" w:fill="FFFFFF" w:themeFill="background1"/>
          </w:tcPr>
          <w:p w14:paraId="056A1AB1"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400</w:t>
            </w:r>
          </w:p>
        </w:tc>
      </w:tr>
      <w:tr w:rsidR="009C096B" w:rsidRPr="009C096B" w14:paraId="4F643AC9"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3B7819D"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3969" w:type="dxa"/>
            <w:gridSpan w:val="3"/>
            <w:shd w:val="clear" w:color="auto" w:fill="FFFFFF" w:themeFill="background1"/>
          </w:tcPr>
          <w:p w14:paraId="71F44F08"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w tym w wieku 60+</w:t>
            </w:r>
          </w:p>
        </w:tc>
        <w:tc>
          <w:tcPr>
            <w:tcW w:w="7942" w:type="dxa"/>
            <w:gridSpan w:val="5"/>
            <w:shd w:val="clear" w:color="auto" w:fill="FFFFFF" w:themeFill="background1"/>
          </w:tcPr>
          <w:p w14:paraId="4488CE6E"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29</w:t>
            </w:r>
          </w:p>
        </w:tc>
      </w:tr>
      <w:tr w:rsidR="009C096B" w:rsidRPr="009C096B" w14:paraId="0483CDDD"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3300F47"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hAnsi="Times New Roman" w:cs="Times New Roman"/>
                <w:color w:val="auto"/>
                <w:lang w:eastAsia="pl-PL"/>
              </w:rPr>
              <w:t xml:space="preserve">Osoby aktywne zawodowo </w:t>
            </w:r>
            <w:r w:rsidRPr="009C096B">
              <w:rPr>
                <w:rFonts w:ascii="Times New Roman" w:hAnsi="Times New Roman" w:cs="Times New Roman"/>
                <w:color w:val="auto"/>
                <w:lang w:eastAsia="pl-PL"/>
              </w:rPr>
              <w:br/>
              <w:t>– pracujący (w tys.)</w:t>
            </w:r>
          </w:p>
        </w:tc>
        <w:tc>
          <w:tcPr>
            <w:tcW w:w="3969" w:type="dxa"/>
            <w:gridSpan w:val="3"/>
            <w:shd w:val="clear" w:color="auto" w:fill="FFFFFF" w:themeFill="background1"/>
          </w:tcPr>
          <w:p w14:paraId="75C703F6"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Ogółem</w:t>
            </w:r>
          </w:p>
        </w:tc>
        <w:tc>
          <w:tcPr>
            <w:tcW w:w="7942" w:type="dxa"/>
            <w:gridSpan w:val="5"/>
            <w:shd w:val="clear" w:color="auto" w:fill="FFFFFF" w:themeFill="background1"/>
          </w:tcPr>
          <w:p w14:paraId="6EEFE728"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384</w:t>
            </w:r>
          </w:p>
        </w:tc>
      </w:tr>
      <w:tr w:rsidR="009C096B" w:rsidRPr="009C096B" w14:paraId="7A24201E"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F7D5327"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3969" w:type="dxa"/>
            <w:gridSpan w:val="3"/>
            <w:shd w:val="clear" w:color="auto" w:fill="FFFFFF" w:themeFill="background1"/>
          </w:tcPr>
          <w:p w14:paraId="15EBDE08"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w tym w wieku 60+</w:t>
            </w:r>
          </w:p>
        </w:tc>
        <w:tc>
          <w:tcPr>
            <w:tcW w:w="7942" w:type="dxa"/>
            <w:gridSpan w:val="5"/>
            <w:shd w:val="clear" w:color="auto" w:fill="FFFFFF" w:themeFill="background1"/>
          </w:tcPr>
          <w:p w14:paraId="14B18ABD"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28</w:t>
            </w:r>
          </w:p>
        </w:tc>
      </w:tr>
      <w:tr w:rsidR="009C096B" w:rsidRPr="009C096B" w14:paraId="6AEB8DD4"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6F10639"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hAnsi="Times New Roman" w:cs="Times New Roman"/>
                <w:color w:val="auto"/>
                <w:lang w:eastAsia="pl-PL"/>
              </w:rPr>
              <w:t>Osoby bierne zawodowo (w tys.)</w:t>
            </w:r>
          </w:p>
        </w:tc>
        <w:tc>
          <w:tcPr>
            <w:tcW w:w="3969" w:type="dxa"/>
            <w:gridSpan w:val="3"/>
            <w:shd w:val="clear" w:color="auto" w:fill="FFFFFF" w:themeFill="background1"/>
          </w:tcPr>
          <w:p w14:paraId="7788A520"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ogółem</w:t>
            </w:r>
          </w:p>
        </w:tc>
        <w:tc>
          <w:tcPr>
            <w:tcW w:w="7942" w:type="dxa"/>
            <w:gridSpan w:val="5"/>
            <w:shd w:val="clear" w:color="auto" w:fill="FFFFFF" w:themeFill="background1"/>
          </w:tcPr>
          <w:p w14:paraId="5033B675"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332</w:t>
            </w:r>
          </w:p>
        </w:tc>
      </w:tr>
      <w:tr w:rsidR="009C096B" w:rsidRPr="009C096B" w14:paraId="27DFC0BE"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9ACEA5C"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3969" w:type="dxa"/>
            <w:gridSpan w:val="3"/>
            <w:shd w:val="clear" w:color="auto" w:fill="FFFFFF" w:themeFill="background1"/>
          </w:tcPr>
          <w:p w14:paraId="29A7BE70"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w tym w wieku 60+</w:t>
            </w:r>
          </w:p>
        </w:tc>
        <w:tc>
          <w:tcPr>
            <w:tcW w:w="7942" w:type="dxa"/>
            <w:gridSpan w:val="5"/>
            <w:shd w:val="clear" w:color="auto" w:fill="FFFFFF" w:themeFill="background1"/>
          </w:tcPr>
          <w:p w14:paraId="2341A18F"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210</w:t>
            </w:r>
          </w:p>
        </w:tc>
      </w:tr>
      <w:tr w:rsidR="009C096B" w:rsidRPr="009C096B" w14:paraId="3E83CFB0"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DF2120A"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hAnsi="Times New Roman" w:cs="Times New Roman"/>
                <w:color w:val="auto"/>
                <w:lang w:eastAsia="pl-PL"/>
              </w:rPr>
              <w:t>Współczynnik aktywności zawodowej %</w:t>
            </w:r>
          </w:p>
        </w:tc>
        <w:tc>
          <w:tcPr>
            <w:tcW w:w="3969" w:type="dxa"/>
            <w:gridSpan w:val="3"/>
            <w:shd w:val="clear" w:color="auto" w:fill="FFFFFF" w:themeFill="background1"/>
          </w:tcPr>
          <w:p w14:paraId="5AAADB61"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Ogółem</w:t>
            </w:r>
          </w:p>
        </w:tc>
        <w:tc>
          <w:tcPr>
            <w:tcW w:w="7942" w:type="dxa"/>
            <w:gridSpan w:val="5"/>
            <w:shd w:val="clear" w:color="auto" w:fill="FFFFFF" w:themeFill="background1"/>
          </w:tcPr>
          <w:p w14:paraId="67AEF898"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54,6</w:t>
            </w:r>
          </w:p>
        </w:tc>
      </w:tr>
      <w:tr w:rsidR="009C096B" w:rsidRPr="009C096B" w14:paraId="0C717E62"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1C35F10"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3969" w:type="dxa"/>
            <w:gridSpan w:val="3"/>
            <w:shd w:val="clear" w:color="auto" w:fill="FFFFFF" w:themeFill="background1"/>
          </w:tcPr>
          <w:p w14:paraId="1F22D7A2"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w tym w wieku 60+</w:t>
            </w:r>
          </w:p>
        </w:tc>
        <w:tc>
          <w:tcPr>
            <w:tcW w:w="7942" w:type="dxa"/>
            <w:gridSpan w:val="5"/>
            <w:shd w:val="clear" w:color="auto" w:fill="FFFFFF" w:themeFill="background1"/>
          </w:tcPr>
          <w:p w14:paraId="16B72E22"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12,1</w:t>
            </w:r>
          </w:p>
        </w:tc>
      </w:tr>
      <w:tr w:rsidR="009C096B" w:rsidRPr="009C096B" w14:paraId="47D7C5AC" w14:textId="77777777" w:rsidTr="00E8650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90A39A2"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hAnsi="Times New Roman" w:cs="Times New Roman"/>
                <w:color w:val="auto"/>
                <w:lang w:eastAsia="pl-PL"/>
              </w:rPr>
              <w:t>Wskaźnik zatrudnienia %</w:t>
            </w:r>
          </w:p>
        </w:tc>
        <w:tc>
          <w:tcPr>
            <w:tcW w:w="3969" w:type="dxa"/>
            <w:gridSpan w:val="3"/>
            <w:shd w:val="clear" w:color="auto" w:fill="FFFFFF" w:themeFill="background1"/>
          </w:tcPr>
          <w:p w14:paraId="1851F95C"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ogółem</w:t>
            </w:r>
          </w:p>
        </w:tc>
        <w:tc>
          <w:tcPr>
            <w:tcW w:w="7942" w:type="dxa"/>
            <w:gridSpan w:val="5"/>
            <w:shd w:val="clear" w:color="auto" w:fill="FFFFFF" w:themeFill="background1"/>
          </w:tcPr>
          <w:p w14:paraId="1BD7FB7E"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52,5</w:t>
            </w:r>
          </w:p>
        </w:tc>
      </w:tr>
      <w:tr w:rsidR="009C096B" w:rsidRPr="009C096B" w14:paraId="3D6142F6" w14:textId="77777777" w:rsidTr="00E86509">
        <w:trPr>
          <w:trHeight w:val="6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BC73A77" w14:textId="77777777" w:rsidR="004854E3" w:rsidRPr="009C096B" w:rsidRDefault="004854E3" w:rsidP="00E86509">
            <w:pPr>
              <w:spacing w:after="0" w:line="240" w:lineRule="auto"/>
              <w:rPr>
                <w:rFonts w:ascii="Times New Roman" w:hAnsi="Times New Roman" w:cs="Times New Roman"/>
                <w:b w:val="0"/>
                <w:color w:val="auto"/>
                <w:lang w:eastAsia="pl-PL"/>
              </w:rPr>
            </w:pPr>
          </w:p>
        </w:tc>
        <w:tc>
          <w:tcPr>
            <w:tcW w:w="3969" w:type="dxa"/>
            <w:gridSpan w:val="3"/>
            <w:shd w:val="clear" w:color="auto" w:fill="FFFFFF" w:themeFill="background1"/>
          </w:tcPr>
          <w:p w14:paraId="651ABF0B"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w tym w wieku 60+</w:t>
            </w:r>
          </w:p>
        </w:tc>
        <w:tc>
          <w:tcPr>
            <w:tcW w:w="7942" w:type="dxa"/>
            <w:gridSpan w:val="5"/>
            <w:shd w:val="clear" w:color="auto" w:fill="FFFFFF" w:themeFill="background1"/>
          </w:tcPr>
          <w:p w14:paraId="4E2004B4"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11,7</w:t>
            </w:r>
          </w:p>
        </w:tc>
      </w:tr>
      <w:tr w:rsidR="009C096B" w:rsidRPr="009C096B" w14:paraId="73783ED5" w14:textId="77777777" w:rsidTr="00E8650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7529B7A"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eastAsia="Times New Roman" w:hAnsi="Times New Roman" w:cs="Times New Roman"/>
                <w:color w:val="auto"/>
                <w:lang w:eastAsia="pl-PL"/>
              </w:rPr>
              <w:t xml:space="preserve">Osoby bierne zawodowo  w wieku 60 lat i więcej według wybranych przyczyn bierności </w:t>
            </w:r>
            <w:r w:rsidRPr="009C096B">
              <w:rPr>
                <w:rFonts w:ascii="Times New Roman" w:eastAsia="Times New Roman" w:hAnsi="Times New Roman" w:cs="Times New Roman"/>
                <w:color w:val="auto"/>
                <w:lang w:eastAsia="pl-PL"/>
              </w:rPr>
              <w:br/>
              <w:t>(w tys.)</w:t>
            </w:r>
          </w:p>
        </w:tc>
        <w:tc>
          <w:tcPr>
            <w:tcW w:w="3969" w:type="dxa"/>
            <w:gridSpan w:val="3"/>
            <w:shd w:val="clear" w:color="auto" w:fill="FFFFFF" w:themeFill="background1"/>
          </w:tcPr>
          <w:p w14:paraId="1723756F"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ogółem</w:t>
            </w:r>
          </w:p>
        </w:tc>
        <w:tc>
          <w:tcPr>
            <w:tcW w:w="7942" w:type="dxa"/>
            <w:gridSpan w:val="5"/>
            <w:shd w:val="clear" w:color="auto" w:fill="FFFFFF" w:themeFill="background1"/>
          </w:tcPr>
          <w:p w14:paraId="465CDC32"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210</w:t>
            </w:r>
          </w:p>
        </w:tc>
      </w:tr>
      <w:tr w:rsidR="009C096B" w:rsidRPr="009C096B" w14:paraId="41EB9980"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70F54F5"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11911" w:type="dxa"/>
            <w:gridSpan w:val="8"/>
            <w:shd w:val="clear" w:color="auto" w:fill="9CC2E5" w:themeFill="accent1" w:themeFillTint="99"/>
          </w:tcPr>
          <w:p w14:paraId="523B2447"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w tym:</w:t>
            </w:r>
          </w:p>
        </w:tc>
      </w:tr>
      <w:tr w:rsidR="009C096B" w:rsidRPr="009C096B" w14:paraId="2676B7B4"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66C97F3"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0F0DED98"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pl-PL"/>
              </w:rPr>
            </w:pPr>
            <w:r w:rsidRPr="009C096B">
              <w:rPr>
                <w:rFonts w:ascii="Times New Roman" w:eastAsia="Times New Roman" w:hAnsi="Times New Roman" w:cs="Times New Roman"/>
                <w:color w:val="auto"/>
                <w:lang w:eastAsia="pl-PL"/>
              </w:rPr>
              <w:t>osoby nieposzukujące pracy - razem</w:t>
            </w:r>
          </w:p>
        </w:tc>
        <w:tc>
          <w:tcPr>
            <w:tcW w:w="7942" w:type="dxa"/>
            <w:gridSpan w:val="5"/>
            <w:shd w:val="clear" w:color="auto" w:fill="FFFFFF" w:themeFill="background1"/>
          </w:tcPr>
          <w:p w14:paraId="2460890F"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9C096B" w:rsidRPr="009C096B" w14:paraId="637E4C14"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3723129"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3ED4B149"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eastAsia="Times New Roman" w:hAnsi="Times New Roman" w:cs="Times New Roman"/>
                <w:color w:val="auto"/>
                <w:lang w:eastAsia="pl-PL"/>
              </w:rPr>
              <w:t>osoby nieposzukujące pracy - emerytura</w:t>
            </w:r>
          </w:p>
        </w:tc>
        <w:tc>
          <w:tcPr>
            <w:tcW w:w="7942" w:type="dxa"/>
            <w:gridSpan w:val="5"/>
            <w:shd w:val="clear" w:color="auto" w:fill="FFFFFF" w:themeFill="background1"/>
          </w:tcPr>
          <w:p w14:paraId="00A20AA0"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9C096B" w:rsidRPr="009C096B" w14:paraId="0D4AE03A"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F397EB1"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5BBE5964"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eastAsia="Times New Roman" w:hAnsi="Times New Roman" w:cs="Times New Roman"/>
                <w:color w:val="auto"/>
                <w:lang w:eastAsia="pl-PL"/>
              </w:rPr>
              <w:t>osoby nieposzukujące pracy - choroba, niepełnosprawność</w:t>
            </w:r>
          </w:p>
        </w:tc>
        <w:tc>
          <w:tcPr>
            <w:tcW w:w="7942" w:type="dxa"/>
            <w:gridSpan w:val="5"/>
            <w:shd w:val="clear" w:color="auto" w:fill="FFFFFF" w:themeFill="background1"/>
          </w:tcPr>
          <w:p w14:paraId="30782C5E"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9C096B" w:rsidRPr="009C096B" w14:paraId="44EDAE64" w14:textId="77777777" w:rsidTr="00E86509">
        <w:trPr>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C88CEE4"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r w:rsidRPr="009C096B">
              <w:rPr>
                <w:rFonts w:ascii="Times New Roman" w:eastAsia="Times New Roman" w:hAnsi="Times New Roman" w:cs="Times New Roman"/>
                <w:color w:val="auto"/>
                <w:lang w:eastAsia="pl-PL"/>
              </w:rPr>
              <w:t>Osoby bezrobotne zarejestrowane w urzędach pracy (w tys.)</w:t>
            </w:r>
          </w:p>
        </w:tc>
        <w:tc>
          <w:tcPr>
            <w:tcW w:w="3969" w:type="dxa"/>
            <w:gridSpan w:val="3"/>
            <w:shd w:val="clear" w:color="auto" w:fill="FFFFFF" w:themeFill="background1"/>
          </w:tcPr>
          <w:p w14:paraId="7775AEAE"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ogółem</w:t>
            </w:r>
          </w:p>
        </w:tc>
        <w:tc>
          <w:tcPr>
            <w:tcW w:w="7942" w:type="dxa"/>
            <w:gridSpan w:val="5"/>
            <w:shd w:val="clear" w:color="auto" w:fill="FFFFFF" w:themeFill="background1"/>
          </w:tcPr>
          <w:p w14:paraId="78BB4FB4"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20,9</w:t>
            </w:r>
          </w:p>
        </w:tc>
      </w:tr>
      <w:tr w:rsidR="009C096B" w:rsidRPr="009C096B" w14:paraId="48359F98"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D4811DC"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00E21578"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w tym w wieku 60+</w:t>
            </w:r>
          </w:p>
        </w:tc>
        <w:tc>
          <w:tcPr>
            <w:tcW w:w="7942" w:type="dxa"/>
            <w:gridSpan w:val="5"/>
            <w:shd w:val="clear" w:color="auto" w:fill="FFFFFF" w:themeFill="background1"/>
          </w:tcPr>
          <w:p w14:paraId="7C5E4979" w14:textId="1EFD09BE" w:rsidR="004854E3" w:rsidRPr="009C096B" w:rsidRDefault="00B254FF"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1,7</w:t>
            </w:r>
          </w:p>
        </w:tc>
      </w:tr>
      <w:tr w:rsidR="009C096B" w:rsidRPr="009C096B" w14:paraId="65DC9615" w14:textId="77777777" w:rsidTr="00E86509">
        <w:trPr>
          <w:trHeight w:val="191"/>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C385A2B"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r w:rsidRPr="009C096B">
              <w:rPr>
                <w:rFonts w:ascii="Times New Roman" w:eastAsia="Times New Roman" w:hAnsi="Times New Roman" w:cs="Times New Roman"/>
                <w:color w:val="auto"/>
                <w:lang w:eastAsia="pl-PL"/>
              </w:rPr>
              <w:t xml:space="preserve">Osoby pobierające renty </w:t>
            </w:r>
            <w:r w:rsidRPr="009C096B">
              <w:rPr>
                <w:rFonts w:ascii="Times New Roman" w:eastAsia="Times New Roman" w:hAnsi="Times New Roman" w:cs="Times New Roman"/>
                <w:color w:val="auto"/>
                <w:lang w:eastAsia="pl-PL"/>
              </w:rPr>
              <w:br/>
              <w:t xml:space="preserve">i emerytury </w:t>
            </w:r>
          </w:p>
        </w:tc>
        <w:tc>
          <w:tcPr>
            <w:tcW w:w="11911" w:type="dxa"/>
            <w:gridSpan w:val="8"/>
            <w:shd w:val="clear" w:color="auto" w:fill="9CC2E5" w:themeFill="accent1" w:themeFillTint="99"/>
          </w:tcPr>
          <w:p w14:paraId="28E7F632" w14:textId="77777777" w:rsidR="004854E3" w:rsidRPr="009C096B" w:rsidRDefault="004854E3" w:rsidP="00E86509">
            <w:pPr>
              <w:tabs>
                <w:tab w:val="left" w:pos="1725"/>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ZUS</w:t>
            </w:r>
          </w:p>
        </w:tc>
      </w:tr>
      <w:tr w:rsidR="009C096B" w:rsidRPr="009C096B" w14:paraId="67B8E952" w14:textId="77777777" w:rsidTr="00E8650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A768D20"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9CC2E5" w:themeFill="accent1" w:themeFillTint="99"/>
          </w:tcPr>
          <w:p w14:paraId="1110FB3D"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Rodzaj świadczenia</w:t>
            </w:r>
          </w:p>
        </w:tc>
        <w:tc>
          <w:tcPr>
            <w:tcW w:w="7942" w:type="dxa"/>
            <w:gridSpan w:val="5"/>
            <w:shd w:val="clear" w:color="auto" w:fill="9CC2E5" w:themeFill="accent1" w:themeFillTint="99"/>
          </w:tcPr>
          <w:p w14:paraId="53831B3E"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Przeciętna miesięczna liczba emerytów i rencistów (w tys.)</w:t>
            </w:r>
          </w:p>
        </w:tc>
      </w:tr>
      <w:tr w:rsidR="009C096B" w:rsidRPr="009C096B" w14:paraId="122CAD55" w14:textId="77777777" w:rsidTr="00E86509">
        <w:trPr>
          <w:trHeight w:val="143"/>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BDBD9CA"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7C3EDC8B"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Emerytury</w:t>
            </w:r>
          </w:p>
        </w:tc>
        <w:tc>
          <w:tcPr>
            <w:tcW w:w="7942" w:type="dxa"/>
            <w:gridSpan w:val="5"/>
            <w:shd w:val="clear" w:color="auto" w:fill="FFFFFF" w:themeFill="background1"/>
          </w:tcPr>
          <w:p w14:paraId="129FA940"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143 915</w:t>
            </w:r>
          </w:p>
        </w:tc>
      </w:tr>
      <w:tr w:rsidR="009C096B" w:rsidRPr="009C096B" w14:paraId="61A8AFBD" w14:textId="77777777" w:rsidTr="00E8650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7024861"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0D9F9B6A"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Renty z tytułu niezdolności do pracy</w:t>
            </w:r>
          </w:p>
        </w:tc>
        <w:tc>
          <w:tcPr>
            <w:tcW w:w="7942" w:type="dxa"/>
            <w:gridSpan w:val="5"/>
            <w:shd w:val="clear" w:color="auto" w:fill="FFFFFF" w:themeFill="background1"/>
          </w:tcPr>
          <w:p w14:paraId="3F19F3BF"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11 054</w:t>
            </w:r>
          </w:p>
        </w:tc>
      </w:tr>
      <w:tr w:rsidR="009C096B" w:rsidRPr="009C096B" w14:paraId="22777EDF"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F6ADF32"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62014C77"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Renty rodzinne</w:t>
            </w:r>
          </w:p>
        </w:tc>
        <w:tc>
          <w:tcPr>
            <w:tcW w:w="7942" w:type="dxa"/>
            <w:gridSpan w:val="5"/>
            <w:shd w:val="clear" w:color="auto" w:fill="FFFFFF" w:themeFill="background1"/>
          </w:tcPr>
          <w:p w14:paraId="66DF601F"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32 031</w:t>
            </w:r>
          </w:p>
        </w:tc>
      </w:tr>
      <w:tr w:rsidR="009C096B" w:rsidRPr="009C096B" w14:paraId="55A13D14"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D4B0348"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11911" w:type="dxa"/>
            <w:gridSpan w:val="8"/>
            <w:shd w:val="clear" w:color="auto" w:fill="9CC2E5" w:themeFill="accent1" w:themeFillTint="99"/>
          </w:tcPr>
          <w:p w14:paraId="21C9CBEE" w14:textId="77777777" w:rsidR="004854E3" w:rsidRPr="009C096B" w:rsidRDefault="004854E3" w:rsidP="00E86509">
            <w:pPr>
              <w:tabs>
                <w:tab w:val="left" w:pos="1507"/>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KRUS</w:t>
            </w:r>
          </w:p>
        </w:tc>
      </w:tr>
      <w:tr w:rsidR="009C096B" w:rsidRPr="009C096B" w14:paraId="0D0A67F0" w14:textId="77777777" w:rsidTr="00E86509">
        <w:trPr>
          <w:trHeight w:val="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5B11D61"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9CC2E5" w:themeFill="accent1" w:themeFillTint="99"/>
          </w:tcPr>
          <w:p w14:paraId="16C0E869"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Rodzaj świadczenia</w:t>
            </w:r>
          </w:p>
        </w:tc>
        <w:tc>
          <w:tcPr>
            <w:tcW w:w="7942" w:type="dxa"/>
            <w:gridSpan w:val="5"/>
            <w:shd w:val="clear" w:color="auto" w:fill="9CC2E5" w:themeFill="accent1" w:themeFillTint="99"/>
          </w:tcPr>
          <w:p w14:paraId="01A0B347"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Przeciętna miesięczna liczba emerytów i rencistów (w tys.)</w:t>
            </w:r>
          </w:p>
        </w:tc>
      </w:tr>
      <w:tr w:rsidR="009C096B" w:rsidRPr="009C096B" w14:paraId="4B1C9CE9"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3421E0E"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7A87E972"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Emerytury</w:t>
            </w:r>
          </w:p>
        </w:tc>
        <w:tc>
          <w:tcPr>
            <w:tcW w:w="7942" w:type="dxa"/>
            <w:gridSpan w:val="5"/>
            <w:shd w:val="clear" w:color="auto" w:fill="FFFFFF" w:themeFill="background1"/>
          </w:tcPr>
          <w:p w14:paraId="4B13A137"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19 822</w:t>
            </w:r>
          </w:p>
        </w:tc>
      </w:tr>
      <w:tr w:rsidR="009C096B" w:rsidRPr="009C096B" w14:paraId="71A527FE"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3BC7FFF"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11871BF4"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Renty z tytułu niezdolności do pracy</w:t>
            </w:r>
          </w:p>
        </w:tc>
        <w:tc>
          <w:tcPr>
            <w:tcW w:w="7942" w:type="dxa"/>
            <w:gridSpan w:val="5"/>
            <w:shd w:val="clear" w:color="auto" w:fill="FFFFFF" w:themeFill="background1"/>
          </w:tcPr>
          <w:p w14:paraId="0748099B"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2 474</w:t>
            </w:r>
          </w:p>
        </w:tc>
      </w:tr>
      <w:tr w:rsidR="009C096B" w:rsidRPr="009C096B" w14:paraId="17555272"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7FC2D50"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50634195"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Renty rodzinne</w:t>
            </w:r>
          </w:p>
        </w:tc>
        <w:tc>
          <w:tcPr>
            <w:tcW w:w="7942" w:type="dxa"/>
            <w:gridSpan w:val="5"/>
            <w:shd w:val="clear" w:color="auto" w:fill="FFFFFF" w:themeFill="background1"/>
          </w:tcPr>
          <w:p w14:paraId="0AD7E413"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744</w:t>
            </w:r>
          </w:p>
        </w:tc>
      </w:tr>
      <w:tr w:rsidR="009C096B" w:rsidRPr="009C096B" w14:paraId="5E3AE65E"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F4892F7" w14:textId="77777777" w:rsidR="004854E3" w:rsidRPr="009C096B" w:rsidRDefault="004854E3" w:rsidP="00E86509">
            <w:pPr>
              <w:spacing w:after="0" w:line="240" w:lineRule="auto"/>
              <w:jc w:val="center"/>
              <w:rPr>
                <w:rFonts w:ascii="Times New Roman" w:hAnsi="Times New Roman" w:cs="Times New Roman"/>
                <w:color w:val="auto"/>
              </w:rPr>
            </w:pPr>
            <w:r w:rsidRPr="009C096B">
              <w:rPr>
                <w:rFonts w:ascii="Times New Roman" w:hAnsi="Times New Roman" w:cs="Times New Roman"/>
                <w:color w:val="auto"/>
              </w:rPr>
              <w:t>SYTUACJA DOCHODOWA, WARUNKI BYTU, W TYM WARUNKI MIESZKANIOWE – DANE ZA 2019 R.</w:t>
            </w:r>
          </w:p>
        </w:tc>
      </w:tr>
      <w:tr w:rsidR="009C096B" w:rsidRPr="009C096B" w14:paraId="4CCB60AA"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FFFFFF" w:themeFill="background1"/>
          </w:tcPr>
          <w:p w14:paraId="14A49FC8"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lastRenderedPageBreak/>
              <w:t>W 2018 r. poprawiła się sytuacja materialna gospodarstw domowych, ale skala zmiany była mniejsza niż przed rokiem. Gospodarstwa domowe osiągały wyższe dochody, natomiast ich wydatki obniżyły się, w związku z tym wzrosła nadwyżka dochodów nad wydatkami. Przeciętny miesięczny dochód rozporządzalny na 1 osobę ukształtował się na poziomie 1</w:t>
            </w:r>
            <w:r w:rsidR="001C52F8" w:rsidRPr="009C096B">
              <w:rPr>
                <w:rFonts w:ascii="Times New Roman" w:hAnsi="Times New Roman" w:cs="Times New Roman"/>
                <w:b w:val="0"/>
                <w:color w:val="auto"/>
              </w:rPr>
              <w:t xml:space="preserve"> </w:t>
            </w:r>
            <w:r w:rsidRPr="009C096B">
              <w:rPr>
                <w:rFonts w:ascii="Times New Roman" w:hAnsi="Times New Roman" w:cs="Times New Roman"/>
                <w:b w:val="0"/>
                <w:color w:val="auto"/>
              </w:rPr>
              <w:t>589,30 zł, tj. o 5,2% wyższym w porównaniu z 2017 r.</w:t>
            </w:r>
          </w:p>
          <w:p w14:paraId="0A928A42"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xml:space="preserve">W 2018 r. przeciętne miesięczne wydatki gospodarstwa domowego na 1 osobę w województwie opolskim wynosiły 1189,77 zł i zmniejszyły się o 3,8% </w:t>
            </w:r>
            <w:r w:rsidRPr="009C096B">
              <w:rPr>
                <w:rFonts w:ascii="Times New Roman" w:hAnsi="Times New Roman" w:cs="Times New Roman"/>
                <w:b w:val="0"/>
                <w:color w:val="auto"/>
              </w:rPr>
              <w:br/>
              <w:t>(o 46,94 zł) wobec ub. roku, ale wzrosły o 16,2% (o 166,10 zł) w stosunku do 2010 r. Wydatki te były nieznacznie wyższe, tj. o 0,2% (o 2,91 zł) od średnich notowanych w kraju. W kraju przeciętne miesięczne wydatki wzrosły o 0,9% (o 10,42 zł) w relacji do 2017 r., a w porównaniu z 2010 r. – o 18,9% (o 188,91 zł). W 2018 r. przeciętne miesięczne wydatki na 1 osobę w województwie stanowiły 74,9% dochodu rozporządzalnego, a w 2017 r. – 81,9% (w kraju odpowiednio: 70,1% i 73,6%).</w:t>
            </w:r>
          </w:p>
          <w:p w14:paraId="32CECE35"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 xml:space="preserve">W 2018 r. gospodarstwa domowe przeznaczały 94,5% wszystkich swoich wydatków na zakup towarów i usług konsumpcyjnych. Podobnie jak w latach ubiegłych najwyższy udział w strukturze wydatków ogółem gospodarstw domowych miały wydatki na żywność i napoje bezalkoholowe – 24,3% (w kraju – 24,8%). Kolejną znaczącą grupą wydatków były opłaty ponoszone przez gospodarstwa z tytułu użytkowania mieszkania lub domu i za korzystanie </w:t>
            </w:r>
            <w:r w:rsidRPr="009C096B">
              <w:rPr>
                <w:rFonts w:ascii="Times New Roman" w:hAnsi="Times New Roman" w:cs="Times New Roman"/>
                <w:b w:val="0"/>
                <w:color w:val="auto"/>
              </w:rPr>
              <w:br/>
              <w:t>z nośników energii – 16,2% (w kraju – 18,3%), a w dalszej kolejności wydatki na transport, które stanowiły 9,1% (w kraju– 10,5%). W porównaniu z 2017 r. spadek odnotowano m.in. w wydatkach na odzież i obuwie (o 20,8%), w zakresie łączności (o 17,2%) oraz zdrowia (o 15,6%).</w:t>
            </w:r>
          </w:p>
          <w:p w14:paraId="42C9A4FD" w14:textId="77777777" w:rsidR="004854E3" w:rsidRPr="009C096B" w:rsidRDefault="004854E3" w:rsidP="00E86509">
            <w:pPr>
              <w:spacing w:after="0" w:line="240" w:lineRule="auto"/>
              <w:rPr>
                <w:rFonts w:ascii="Times New Roman" w:hAnsi="Times New Roman" w:cs="Times New Roman"/>
                <w:b w:val="0"/>
                <w:color w:val="auto"/>
              </w:rPr>
            </w:pPr>
            <w:r w:rsidRPr="009C096B">
              <w:rPr>
                <w:rFonts w:ascii="Times New Roman" w:hAnsi="Times New Roman" w:cs="Times New Roman"/>
                <w:b w:val="0"/>
                <w:color w:val="auto"/>
              </w:rPr>
              <w:t>Analizując liczbę mieszkań w zasobach mieszkaniowych na 1000 ludności  obserwuje się coroczny wzrost z 356 w 2016 r. do 362 w 2018 r., natomiast mieszkania oddane do użytkowania na 1000 ludności utrzymują się na tym samym poziomie od 2016 r., wynosząc - 2.</w:t>
            </w:r>
          </w:p>
        </w:tc>
      </w:tr>
      <w:tr w:rsidR="009C096B" w:rsidRPr="009C096B" w14:paraId="3C406B9D"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1484309" w14:textId="77777777" w:rsidR="004854E3" w:rsidRPr="009C096B" w:rsidRDefault="004854E3" w:rsidP="00E86509">
            <w:pPr>
              <w:spacing w:after="0" w:line="240" w:lineRule="auto"/>
              <w:jc w:val="center"/>
              <w:rPr>
                <w:rFonts w:ascii="Times New Roman" w:hAnsi="Times New Roman" w:cs="Times New Roman"/>
                <w:color w:val="auto"/>
              </w:rPr>
            </w:pPr>
            <w:r w:rsidRPr="009C096B">
              <w:rPr>
                <w:rFonts w:ascii="Times New Roman" w:hAnsi="Times New Roman" w:cs="Times New Roman"/>
                <w:color w:val="auto"/>
              </w:rPr>
              <w:t>USŁUGI SPOŁECZNE DLA OSÓB STARSZYCH / INFRASTRUKTURA POMOCY SPOLECZNEJ – DANE ZA 2019 R.</w:t>
            </w:r>
          </w:p>
        </w:tc>
      </w:tr>
      <w:tr w:rsidR="009C096B" w:rsidRPr="009C096B" w14:paraId="60E5C61D"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E6D3A7C"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r w:rsidRPr="009C096B">
              <w:rPr>
                <w:rFonts w:ascii="Times New Roman" w:eastAsia="Times New Roman" w:hAnsi="Times New Roman" w:cs="Times New Roman"/>
                <w:color w:val="auto"/>
                <w:lang w:eastAsia="pl-PL"/>
              </w:rPr>
              <w:t>Instytucje pomocy społecznej, w tym:</w:t>
            </w:r>
          </w:p>
        </w:tc>
        <w:tc>
          <w:tcPr>
            <w:tcW w:w="3066" w:type="dxa"/>
            <w:shd w:val="clear" w:color="auto" w:fill="9CC2E5" w:themeFill="accent1" w:themeFillTint="99"/>
          </w:tcPr>
          <w:p w14:paraId="0F694F5D"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9C096B">
              <w:rPr>
                <w:rFonts w:ascii="Times New Roman" w:hAnsi="Times New Roman" w:cs="Times New Roman"/>
                <w:b/>
                <w:color w:val="auto"/>
              </w:rPr>
              <w:t>Rodzaj placówki</w:t>
            </w:r>
          </w:p>
        </w:tc>
        <w:tc>
          <w:tcPr>
            <w:tcW w:w="2948" w:type="dxa"/>
            <w:gridSpan w:val="3"/>
            <w:shd w:val="clear" w:color="auto" w:fill="9CC2E5" w:themeFill="accent1" w:themeFillTint="99"/>
          </w:tcPr>
          <w:p w14:paraId="56164B9F"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9C096B">
              <w:rPr>
                <w:rFonts w:ascii="Times New Roman" w:hAnsi="Times New Roman" w:cs="Times New Roman"/>
                <w:b/>
                <w:color w:val="auto"/>
              </w:rPr>
              <w:t>Liczba placówek</w:t>
            </w:r>
          </w:p>
        </w:tc>
        <w:tc>
          <w:tcPr>
            <w:tcW w:w="2948" w:type="dxa"/>
            <w:gridSpan w:val="3"/>
            <w:shd w:val="clear" w:color="auto" w:fill="9CC2E5" w:themeFill="accent1" w:themeFillTint="99"/>
          </w:tcPr>
          <w:p w14:paraId="305FEC61"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9C096B">
              <w:rPr>
                <w:rFonts w:ascii="Times New Roman" w:hAnsi="Times New Roman" w:cs="Times New Roman"/>
                <w:b/>
                <w:color w:val="auto"/>
              </w:rPr>
              <w:t>Liczba miejsc dla osób starszych</w:t>
            </w:r>
          </w:p>
        </w:tc>
        <w:tc>
          <w:tcPr>
            <w:tcW w:w="2949" w:type="dxa"/>
            <w:shd w:val="clear" w:color="auto" w:fill="9CC2E5" w:themeFill="accent1" w:themeFillTint="99"/>
          </w:tcPr>
          <w:p w14:paraId="6AFC0201"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Liczba korzystających osób starszych</w:t>
            </w:r>
          </w:p>
        </w:tc>
      </w:tr>
      <w:tr w:rsidR="009C096B" w:rsidRPr="009C096B" w14:paraId="6786BF95"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9EE3A26"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7339A80E"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Ośrodki wsparcia ogółem</w:t>
            </w:r>
          </w:p>
        </w:tc>
        <w:tc>
          <w:tcPr>
            <w:tcW w:w="2948" w:type="dxa"/>
            <w:gridSpan w:val="3"/>
            <w:shd w:val="clear" w:color="auto" w:fill="FFFFFF" w:themeFill="background1"/>
          </w:tcPr>
          <w:p w14:paraId="05F122A4"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244</w:t>
            </w:r>
          </w:p>
        </w:tc>
        <w:tc>
          <w:tcPr>
            <w:tcW w:w="2948" w:type="dxa"/>
            <w:gridSpan w:val="3"/>
            <w:shd w:val="clear" w:color="auto" w:fill="FFFFFF" w:themeFill="background1"/>
          </w:tcPr>
          <w:p w14:paraId="0ECAA34E"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2949" w:type="dxa"/>
            <w:shd w:val="clear" w:color="auto" w:fill="FFFFFF" w:themeFill="background1"/>
          </w:tcPr>
          <w:p w14:paraId="0EE7A3E2"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9C096B" w:rsidRPr="009C096B" w14:paraId="5EB92E28"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770B6F5"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11911" w:type="dxa"/>
            <w:gridSpan w:val="8"/>
            <w:shd w:val="clear" w:color="auto" w:fill="FFFFFF" w:themeFill="background1"/>
          </w:tcPr>
          <w:p w14:paraId="7A27AA32" w14:textId="77777777" w:rsidR="004854E3" w:rsidRPr="001539E9"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 tym:</w:t>
            </w:r>
          </w:p>
        </w:tc>
      </w:tr>
      <w:tr w:rsidR="009C096B" w:rsidRPr="009C096B" w14:paraId="13915A2D"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12CA740"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2918F940"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Środowiskowe Domy Samopomocy</w:t>
            </w:r>
          </w:p>
        </w:tc>
        <w:tc>
          <w:tcPr>
            <w:tcW w:w="2948" w:type="dxa"/>
            <w:gridSpan w:val="3"/>
            <w:shd w:val="clear" w:color="auto" w:fill="FFFFFF" w:themeFill="background1"/>
          </w:tcPr>
          <w:p w14:paraId="3E1ECC2A"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13</w:t>
            </w:r>
          </w:p>
        </w:tc>
        <w:tc>
          <w:tcPr>
            <w:tcW w:w="2948" w:type="dxa"/>
            <w:gridSpan w:val="3"/>
            <w:shd w:val="clear" w:color="auto" w:fill="FFFFFF" w:themeFill="background1"/>
          </w:tcPr>
          <w:p w14:paraId="3E8B4A47"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 z ogólnej liczby miejsc</w:t>
            </w:r>
          </w:p>
        </w:tc>
        <w:tc>
          <w:tcPr>
            <w:tcW w:w="2949" w:type="dxa"/>
            <w:shd w:val="clear" w:color="auto" w:fill="FFFFFF" w:themeFill="background1"/>
          </w:tcPr>
          <w:p w14:paraId="00AD4DE1"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207</w:t>
            </w:r>
          </w:p>
        </w:tc>
      </w:tr>
      <w:tr w:rsidR="009C096B" w:rsidRPr="009C096B" w14:paraId="69403829"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A3D34FC"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29267536"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Dzienne Domy Pomocy</w:t>
            </w:r>
          </w:p>
        </w:tc>
        <w:tc>
          <w:tcPr>
            <w:tcW w:w="2948" w:type="dxa"/>
            <w:gridSpan w:val="3"/>
            <w:shd w:val="clear" w:color="auto" w:fill="FFFFFF" w:themeFill="background1"/>
          </w:tcPr>
          <w:p w14:paraId="436B69B1"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21</w:t>
            </w:r>
          </w:p>
        </w:tc>
        <w:tc>
          <w:tcPr>
            <w:tcW w:w="2948" w:type="dxa"/>
            <w:gridSpan w:val="3"/>
            <w:shd w:val="clear" w:color="auto" w:fill="FFFFFF" w:themeFill="background1"/>
          </w:tcPr>
          <w:p w14:paraId="0AC2734F"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2949" w:type="dxa"/>
            <w:shd w:val="clear" w:color="auto" w:fill="FFFFFF" w:themeFill="background1"/>
          </w:tcPr>
          <w:p w14:paraId="60CE6687"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w:t>
            </w:r>
            <w:r w:rsidR="001C52F8" w:rsidRPr="001539E9">
              <w:rPr>
                <w:rFonts w:ascii="Times New Roman" w:hAnsi="Times New Roman" w:cs="Times New Roman"/>
                <w:color w:val="auto"/>
              </w:rPr>
              <w:t xml:space="preserve"> </w:t>
            </w:r>
            <w:r w:rsidRPr="001539E9">
              <w:rPr>
                <w:rFonts w:ascii="Times New Roman" w:hAnsi="Times New Roman" w:cs="Times New Roman"/>
                <w:color w:val="auto"/>
              </w:rPr>
              <w:t>043</w:t>
            </w:r>
          </w:p>
        </w:tc>
      </w:tr>
      <w:tr w:rsidR="009C096B" w:rsidRPr="009C096B" w14:paraId="51DD47AF"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FB7650B"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19AC4345"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Noclegownie, schroniska i domy dla osób bezdomnych</w:t>
            </w:r>
          </w:p>
        </w:tc>
        <w:tc>
          <w:tcPr>
            <w:tcW w:w="2948" w:type="dxa"/>
            <w:gridSpan w:val="3"/>
            <w:shd w:val="clear" w:color="auto" w:fill="FFFFFF" w:themeFill="background1"/>
          </w:tcPr>
          <w:p w14:paraId="009D739B"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14</w:t>
            </w:r>
          </w:p>
        </w:tc>
        <w:tc>
          <w:tcPr>
            <w:tcW w:w="2948" w:type="dxa"/>
            <w:gridSpan w:val="3"/>
            <w:shd w:val="clear" w:color="auto" w:fill="FFFFFF" w:themeFill="background1"/>
          </w:tcPr>
          <w:p w14:paraId="3368A400"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 z ogólnej liczby miejsc</w:t>
            </w:r>
          </w:p>
        </w:tc>
        <w:tc>
          <w:tcPr>
            <w:tcW w:w="2949" w:type="dxa"/>
            <w:shd w:val="clear" w:color="auto" w:fill="FFFFFF" w:themeFill="background1"/>
          </w:tcPr>
          <w:p w14:paraId="506871A9"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90</w:t>
            </w:r>
          </w:p>
        </w:tc>
      </w:tr>
      <w:tr w:rsidR="009C096B" w:rsidRPr="009C096B" w14:paraId="6C2A5548"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113DA4B"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61AA414A"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Ogrzewalnie</w:t>
            </w:r>
          </w:p>
        </w:tc>
        <w:tc>
          <w:tcPr>
            <w:tcW w:w="2948" w:type="dxa"/>
            <w:gridSpan w:val="3"/>
            <w:shd w:val="clear" w:color="auto" w:fill="FFFFFF" w:themeFill="background1"/>
          </w:tcPr>
          <w:p w14:paraId="5B97B01D"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w:t>
            </w:r>
          </w:p>
        </w:tc>
        <w:tc>
          <w:tcPr>
            <w:tcW w:w="2948" w:type="dxa"/>
            <w:gridSpan w:val="3"/>
            <w:shd w:val="clear" w:color="auto" w:fill="FFFFFF" w:themeFill="background1"/>
          </w:tcPr>
          <w:p w14:paraId="654C2884"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 z ogólnej liczby miejsc</w:t>
            </w:r>
          </w:p>
        </w:tc>
        <w:tc>
          <w:tcPr>
            <w:tcW w:w="2949" w:type="dxa"/>
            <w:shd w:val="clear" w:color="auto" w:fill="FFFFFF" w:themeFill="background1"/>
          </w:tcPr>
          <w:p w14:paraId="35BB43F1"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w:t>
            </w:r>
          </w:p>
        </w:tc>
      </w:tr>
      <w:tr w:rsidR="009C096B" w:rsidRPr="009C096B" w14:paraId="4E538CD4"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F16981A"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10D5FB7C"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Kluby Samopomocy</w:t>
            </w:r>
          </w:p>
        </w:tc>
        <w:tc>
          <w:tcPr>
            <w:tcW w:w="2948" w:type="dxa"/>
            <w:gridSpan w:val="3"/>
            <w:shd w:val="clear" w:color="auto" w:fill="FFFFFF" w:themeFill="background1"/>
          </w:tcPr>
          <w:p w14:paraId="7C1D75F2"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w:t>
            </w:r>
          </w:p>
        </w:tc>
        <w:tc>
          <w:tcPr>
            <w:tcW w:w="2948" w:type="dxa"/>
            <w:gridSpan w:val="3"/>
            <w:shd w:val="clear" w:color="auto" w:fill="FFFFFF" w:themeFill="background1"/>
          </w:tcPr>
          <w:p w14:paraId="1142C412"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 z ogólnej liczby miejsc</w:t>
            </w:r>
          </w:p>
        </w:tc>
        <w:tc>
          <w:tcPr>
            <w:tcW w:w="2949" w:type="dxa"/>
            <w:shd w:val="clear" w:color="auto" w:fill="FFFFFF" w:themeFill="background1"/>
          </w:tcPr>
          <w:p w14:paraId="4968A375"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25</w:t>
            </w:r>
          </w:p>
        </w:tc>
      </w:tr>
      <w:tr w:rsidR="009C096B" w:rsidRPr="009C096B" w14:paraId="455BC887"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64E8C3C"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3E66D73A"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eastAsia="Calibri" w:hAnsi="Times New Roman" w:cs="Times New Roman"/>
                <w:color w:val="auto"/>
              </w:rPr>
              <w:t>Placówki zapewniające całodobową opiekę osobom niepełnosprawnym, przewlekle chorym lub osobom w podeszłym wieku</w:t>
            </w:r>
          </w:p>
        </w:tc>
        <w:tc>
          <w:tcPr>
            <w:tcW w:w="2948" w:type="dxa"/>
            <w:gridSpan w:val="3"/>
            <w:shd w:val="clear" w:color="auto" w:fill="FFFFFF" w:themeFill="background1"/>
          </w:tcPr>
          <w:p w14:paraId="0A5BA89C"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23</w:t>
            </w:r>
          </w:p>
        </w:tc>
        <w:tc>
          <w:tcPr>
            <w:tcW w:w="2948" w:type="dxa"/>
            <w:gridSpan w:val="3"/>
            <w:shd w:val="clear" w:color="auto" w:fill="FFFFFF" w:themeFill="background1"/>
          </w:tcPr>
          <w:p w14:paraId="796028A8"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 z ogólnej liczby miejsc</w:t>
            </w:r>
          </w:p>
        </w:tc>
        <w:tc>
          <w:tcPr>
            <w:tcW w:w="2949" w:type="dxa"/>
            <w:shd w:val="clear" w:color="auto" w:fill="FFFFFF" w:themeFill="background1"/>
          </w:tcPr>
          <w:p w14:paraId="7904B9E0"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816</w:t>
            </w:r>
          </w:p>
        </w:tc>
      </w:tr>
      <w:tr w:rsidR="009C096B" w:rsidRPr="009C096B" w14:paraId="6687739E"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D28AA26"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4C145C1B"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Domy Pomocy Społecznej</w:t>
            </w:r>
          </w:p>
        </w:tc>
        <w:tc>
          <w:tcPr>
            <w:tcW w:w="2948" w:type="dxa"/>
            <w:gridSpan w:val="3"/>
            <w:shd w:val="clear" w:color="auto" w:fill="FFFFFF" w:themeFill="background1"/>
          </w:tcPr>
          <w:p w14:paraId="441E4BA7"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29</w:t>
            </w:r>
          </w:p>
        </w:tc>
        <w:tc>
          <w:tcPr>
            <w:tcW w:w="2948" w:type="dxa"/>
            <w:gridSpan w:val="3"/>
            <w:shd w:val="clear" w:color="auto" w:fill="FFFFFF" w:themeFill="background1"/>
          </w:tcPr>
          <w:p w14:paraId="59492952"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742</w:t>
            </w:r>
          </w:p>
        </w:tc>
        <w:tc>
          <w:tcPr>
            <w:tcW w:w="2949" w:type="dxa"/>
            <w:shd w:val="clear" w:color="auto" w:fill="FFFFFF" w:themeFill="background1"/>
          </w:tcPr>
          <w:p w14:paraId="66C31EF4"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1</w:t>
            </w:r>
            <w:r w:rsidR="001C52F8" w:rsidRPr="001539E9">
              <w:rPr>
                <w:rFonts w:ascii="Times New Roman" w:hAnsi="Times New Roman" w:cs="Times New Roman"/>
                <w:color w:val="auto"/>
              </w:rPr>
              <w:t xml:space="preserve"> </w:t>
            </w:r>
            <w:r w:rsidRPr="001539E9">
              <w:rPr>
                <w:rFonts w:ascii="Times New Roman" w:hAnsi="Times New Roman" w:cs="Times New Roman"/>
                <w:color w:val="auto"/>
              </w:rPr>
              <w:t>528*wg stanu na dzień 31.12.2019 r. / osoby powyżej 65 r. ż.</w:t>
            </w:r>
          </w:p>
        </w:tc>
      </w:tr>
      <w:tr w:rsidR="009C096B" w:rsidRPr="009C096B" w14:paraId="77F17D1A"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56B73B3"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36428B2C"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Mieszkania chronione ogółem</w:t>
            </w:r>
          </w:p>
        </w:tc>
        <w:tc>
          <w:tcPr>
            <w:tcW w:w="2948" w:type="dxa"/>
            <w:gridSpan w:val="3"/>
            <w:shd w:val="clear" w:color="auto" w:fill="FFFFFF" w:themeFill="background1"/>
          </w:tcPr>
          <w:p w14:paraId="31E1D540"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99</w:t>
            </w:r>
          </w:p>
        </w:tc>
        <w:tc>
          <w:tcPr>
            <w:tcW w:w="2948" w:type="dxa"/>
            <w:gridSpan w:val="3"/>
            <w:shd w:val="clear" w:color="auto" w:fill="FFFFFF" w:themeFill="background1"/>
          </w:tcPr>
          <w:p w14:paraId="3FBECFEB"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 z ogólnej liczby miejsc</w:t>
            </w:r>
          </w:p>
        </w:tc>
        <w:tc>
          <w:tcPr>
            <w:tcW w:w="2949" w:type="dxa"/>
            <w:shd w:val="clear" w:color="auto" w:fill="FFFFFF" w:themeFill="background1"/>
          </w:tcPr>
          <w:p w14:paraId="163B31C8"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79</w:t>
            </w:r>
          </w:p>
        </w:tc>
      </w:tr>
      <w:tr w:rsidR="009C096B" w:rsidRPr="009C096B" w14:paraId="1D6CFBFF"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659382C"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27CCAEDA"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Ośrodki Interwencji Kryzysowej ogółem</w:t>
            </w:r>
          </w:p>
        </w:tc>
        <w:tc>
          <w:tcPr>
            <w:tcW w:w="2948" w:type="dxa"/>
            <w:gridSpan w:val="3"/>
            <w:shd w:val="clear" w:color="auto" w:fill="FFFFFF" w:themeFill="background1"/>
          </w:tcPr>
          <w:p w14:paraId="725CA3E1"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6</w:t>
            </w:r>
          </w:p>
        </w:tc>
        <w:tc>
          <w:tcPr>
            <w:tcW w:w="2948" w:type="dxa"/>
            <w:gridSpan w:val="3"/>
            <w:shd w:val="clear" w:color="auto" w:fill="FFFFFF" w:themeFill="background1"/>
          </w:tcPr>
          <w:p w14:paraId="6707E1E7"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Nie dotyczy</w:t>
            </w:r>
          </w:p>
        </w:tc>
        <w:tc>
          <w:tcPr>
            <w:tcW w:w="2949" w:type="dxa"/>
            <w:shd w:val="clear" w:color="auto" w:fill="FFFFFF" w:themeFill="background1"/>
          </w:tcPr>
          <w:p w14:paraId="34723BCD"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393</w:t>
            </w:r>
          </w:p>
        </w:tc>
      </w:tr>
      <w:tr w:rsidR="009C096B" w:rsidRPr="009C096B" w14:paraId="6EF63E50"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90C14EA"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5F8B4673"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Jednostki specjalistycznego poradnictwa</w:t>
            </w:r>
          </w:p>
        </w:tc>
        <w:tc>
          <w:tcPr>
            <w:tcW w:w="2948" w:type="dxa"/>
            <w:gridSpan w:val="3"/>
            <w:shd w:val="clear" w:color="auto" w:fill="FFFFFF" w:themeFill="background1"/>
          </w:tcPr>
          <w:p w14:paraId="7D1A83EA"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10</w:t>
            </w:r>
          </w:p>
        </w:tc>
        <w:tc>
          <w:tcPr>
            <w:tcW w:w="2948" w:type="dxa"/>
            <w:gridSpan w:val="3"/>
            <w:shd w:val="clear" w:color="auto" w:fill="FFFFFF" w:themeFill="background1"/>
          </w:tcPr>
          <w:p w14:paraId="7D43958D"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Nie dotyczy</w:t>
            </w:r>
          </w:p>
        </w:tc>
        <w:tc>
          <w:tcPr>
            <w:tcW w:w="2949" w:type="dxa"/>
            <w:shd w:val="clear" w:color="auto" w:fill="FFFFFF" w:themeFill="background1"/>
          </w:tcPr>
          <w:p w14:paraId="24CD31A5"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2</w:t>
            </w:r>
            <w:r w:rsidR="001C52F8" w:rsidRPr="001539E9">
              <w:rPr>
                <w:rFonts w:ascii="Times New Roman" w:hAnsi="Times New Roman" w:cs="Times New Roman"/>
                <w:color w:val="auto"/>
              </w:rPr>
              <w:t xml:space="preserve"> </w:t>
            </w:r>
            <w:r w:rsidRPr="001539E9">
              <w:rPr>
                <w:rFonts w:ascii="Times New Roman" w:hAnsi="Times New Roman" w:cs="Times New Roman"/>
                <w:color w:val="auto"/>
              </w:rPr>
              <w:t>893</w:t>
            </w:r>
          </w:p>
        </w:tc>
      </w:tr>
      <w:tr w:rsidR="009C096B" w:rsidRPr="009C096B" w14:paraId="37D45EA3"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F467A5E"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6DD13A6B"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Placówki Senior+, w tym:</w:t>
            </w:r>
          </w:p>
        </w:tc>
        <w:tc>
          <w:tcPr>
            <w:tcW w:w="8845" w:type="dxa"/>
            <w:gridSpan w:val="7"/>
            <w:shd w:val="clear" w:color="auto" w:fill="FFFFFF" w:themeFill="background1"/>
          </w:tcPr>
          <w:p w14:paraId="0EBB05A6" w14:textId="77777777" w:rsidR="004854E3" w:rsidRPr="001539E9" w:rsidRDefault="004854E3" w:rsidP="00E86509">
            <w:pPr>
              <w:tabs>
                <w:tab w:val="left" w:pos="1545"/>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9C096B" w:rsidRPr="009C096B" w14:paraId="00B5D31E"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93F68EE"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40A96ADF"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Domy Dziennego Pobytu</w:t>
            </w:r>
          </w:p>
        </w:tc>
        <w:tc>
          <w:tcPr>
            <w:tcW w:w="2948" w:type="dxa"/>
            <w:gridSpan w:val="3"/>
            <w:shd w:val="clear" w:color="auto" w:fill="FFFFFF" w:themeFill="background1"/>
          </w:tcPr>
          <w:p w14:paraId="3E75C2E1"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6</w:t>
            </w:r>
          </w:p>
        </w:tc>
        <w:tc>
          <w:tcPr>
            <w:tcW w:w="2948" w:type="dxa"/>
            <w:gridSpan w:val="3"/>
            <w:shd w:val="clear" w:color="auto" w:fill="FFFFFF" w:themeFill="background1"/>
          </w:tcPr>
          <w:p w14:paraId="46C211B9"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147</w:t>
            </w:r>
          </w:p>
        </w:tc>
        <w:tc>
          <w:tcPr>
            <w:tcW w:w="2949" w:type="dxa"/>
            <w:shd w:val="clear" w:color="auto" w:fill="FFFFFF" w:themeFill="background1"/>
          </w:tcPr>
          <w:p w14:paraId="1E2EB3D6"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165</w:t>
            </w:r>
          </w:p>
        </w:tc>
      </w:tr>
      <w:tr w:rsidR="009C096B" w:rsidRPr="009C096B" w14:paraId="60AA8DF3" w14:textId="77777777" w:rsidTr="00E86509">
        <w:trPr>
          <w:trHeight w:val="85"/>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A70C61E"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336D4AC9"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Kluby Senior+</w:t>
            </w:r>
          </w:p>
        </w:tc>
        <w:tc>
          <w:tcPr>
            <w:tcW w:w="2948" w:type="dxa"/>
            <w:gridSpan w:val="3"/>
            <w:shd w:val="clear" w:color="auto" w:fill="FFFFFF" w:themeFill="background1"/>
          </w:tcPr>
          <w:p w14:paraId="02DAD6D1"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15</w:t>
            </w:r>
          </w:p>
        </w:tc>
        <w:tc>
          <w:tcPr>
            <w:tcW w:w="2948" w:type="dxa"/>
            <w:gridSpan w:val="3"/>
            <w:shd w:val="clear" w:color="auto" w:fill="FFFFFF" w:themeFill="background1"/>
          </w:tcPr>
          <w:p w14:paraId="206FC294"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390</w:t>
            </w:r>
          </w:p>
        </w:tc>
        <w:tc>
          <w:tcPr>
            <w:tcW w:w="2949" w:type="dxa"/>
            <w:shd w:val="clear" w:color="auto" w:fill="FFFFFF" w:themeFill="background1"/>
          </w:tcPr>
          <w:p w14:paraId="7A887983" w14:textId="77777777" w:rsidR="004854E3" w:rsidRPr="001539E9"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433</w:t>
            </w:r>
          </w:p>
        </w:tc>
      </w:tr>
      <w:tr w:rsidR="009C096B" w:rsidRPr="009C096B" w14:paraId="5F4D62C0"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A148AC2" w14:textId="77777777" w:rsidR="004854E3" w:rsidRPr="009C096B" w:rsidRDefault="004854E3"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511BE208"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Hospicja stacjonarne</w:t>
            </w:r>
          </w:p>
        </w:tc>
        <w:tc>
          <w:tcPr>
            <w:tcW w:w="2948" w:type="dxa"/>
            <w:gridSpan w:val="3"/>
            <w:shd w:val="clear" w:color="auto" w:fill="FFFFFF" w:themeFill="background1"/>
          </w:tcPr>
          <w:p w14:paraId="35BB3788"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4</w:t>
            </w:r>
          </w:p>
        </w:tc>
        <w:tc>
          <w:tcPr>
            <w:tcW w:w="2948" w:type="dxa"/>
            <w:gridSpan w:val="3"/>
            <w:shd w:val="clear" w:color="auto" w:fill="FFFFFF" w:themeFill="background1"/>
          </w:tcPr>
          <w:p w14:paraId="6A4E2216"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Wg potrzeb z ogólnej liczby miejsc</w:t>
            </w:r>
          </w:p>
        </w:tc>
        <w:tc>
          <w:tcPr>
            <w:tcW w:w="2949" w:type="dxa"/>
            <w:shd w:val="clear" w:color="auto" w:fill="FFFFFF" w:themeFill="background1"/>
          </w:tcPr>
          <w:p w14:paraId="527EA359" w14:textId="77777777" w:rsidR="004854E3" w:rsidRPr="001539E9"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1539E9">
              <w:rPr>
                <w:rFonts w:ascii="Times New Roman" w:hAnsi="Times New Roman" w:cs="Times New Roman"/>
                <w:color w:val="auto"/>
              </w:rPr>
              <w:t>Brak danych</w:t>
            </w:r>
          </w:p>
        </w:tc>
      </w:tr>
      <w:tr w:rsidR="009C096B" w:rsidRPr="009C096B" w14:paraId="0C1F5D44" w14:textId="77777777" w:rsidTr="00E86509">
        <w:trPr>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6D23C4A"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r w:rsidRPr="009C096B">
              <w:rPr>
                <w:rFonts w:ascii="Times New Roman" w:eastAsia="Times New Roman" w:hAnsi="Times New Roman" w:cs="Times New Roman"/>
                <w:color w:val="auto"/>
                <w:lang w:eastAsia="pl-PL"/>
              </w:rPr>
              <w:t>Usługi świadczone osobom starszym</w:t>
            </w:r>
          </w:p>
        </w:tc>
        <w:tc>
          <w:tcPr>
            <w:tcW w:w="3119" w:type="dxa"/>
            <w:gridSpan w:val="2"/>
            <w:shd w:val="clear" w:color="auto" w:fill="9CC2E5" w:themeFill="accent1" w:themeFillTint="99"/>
          </w:tcPr>
          <w:p w14:paraId="3A5FA2DF"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Rodzaj usług</w:t>
            </w:r>
          </w:p>
        </w:tc>
        <w:tc>
          <w:tcPr>
            <w:tcW w:w="3685" w:type="dxa"/>
            <w:gridSpan w:val="3"/>
            <w:shd w:val="clear" w:color="auto" w:fill="9CC2E5" w:themeFill="accent1" w:themeFillTint="99"/>
          </w:tcPr>
          <w:p w14:paraId="01F82380"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Liczba osób starszych objętych pomocą</w:t>
            </w:r>
          </w:p>
        </w:tc>
        <w:tc>
          <w:tcPr>
            <w:tcW w:w="5107" w:type="dxa"/>
            <w:gridSpan w:val="3"/>
            <w:shd w:val="clear" w:color="auto" w:fill="9CC2E5" w:themeFill="accent1" w:themeFillTint="99"/>
          </w:tcPr>
          <w:p w14:paraId="27769ADA"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Wysokość środków przeznaczonych na usługi</w:t>
            </w:r>
          </w:p>
        </w:tc>
      </w:tr>
      <w:tr w:rsidR="009C096B" w:rsidRPr="009C096B" w14:paraId="0C7E22CF" w14:textId="77777777" w:rsidTr="00EA0495">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A49A96F"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auto"/>
          </w:tcPr>
          <w:p w14:paraId="66F5D5D9" w14:textId="6AF738B0" w:rsidR="004854E3" w:rsidRPr="009C096B" w:rsidRDefault="00EA0495"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Usługi o</w:t>
            </w:r>
            <w:r w:rsidR="004854E3" w:rsidRPr="009C096B">
              <w:rPr>
                <w:rFonts w:ascii="Times New Roman" w:hAnsi="Times New Roman" w:cs="Times New Roman"/>
                <w:color w:val="auto"/>
              </w:rPr>
              <w:t>piekuńcze ogółem</w:t>
            </w:r>
          </w:p>
        </w:tc>
        <w:tc>
          <w:tcPr>
            <w:tcW w:w="3685" w:type="dxa"/>
            <w:gridSpan w:val="3"/>
            <w:shd w:val="clear" w:color="auto" w:fill="auto"/>
          </w:tcPr>
          <w:p w14:paraId="0019CD76"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3</w:t>
            </w:r>
            <w:r w:rsidR="001C52F8" w:rsidRPr="009C096B">
              <w:rPr>
                <w:rFonts w:ascii="Times New Roman" w:hAnsi="Times New Roman" w:cs="Times New Roman"/>
                <w:color w:val="auto"/>
              </w:rPr>
              <w:t xml:space="preserve"> </w:t>
            </w:r>
            <w:r w:rsidRPr="009C096B">
              <w:rPr>
                <w:rFonts w:ascii="Times New Roman" w:hAnsi="Times New Roman" w:cs="Times New Roman"/>
                <w:color w:val="auto"/>
              </w:rPr>
              <w:t>170</w:t>
            </w:r>
          </w:p>
        </w:tc>
        <w:tc>
          <w:tcPr>
            <w:tcW w:w="5107" w:type="dxa"/>
            <w:gridSpan w:val="3"/>
            <w:shd w:val="clear" w:color="auto" w:fill="auto"/>
          </w:tcPr>
          <w:p w14:paraId="78EBE35B" w14:textId="77777777" w:rsidR="004854E3" w:rsidRPr="009C096B" w:rsidRDefault="001C52F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 xml:space="preserve">19 </w:t>
            </w:r>
            <w:r w:rsidR="004854E3" w:rsidRPr="009C096B">
              <w:rPr>
                <w:rFonts w:ascii="Times New Roman" w:hAnsi="Times New Roman" w:cs="Times New Roman"/>
                <w:color w:val="auto"/>
              </w:rPr>
              <w:t>246 576,45 zł</w:t>
            </w:r>
          </w:p>
        </w:tc>
      </w:tr>
      <w:tr w:rsidR="001539E9" w:rsidRPr="009C096B" w14:paraId="2EB28004" w14:textId="77777777" w:rsidTr="00E86509">
        <w:trPr>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E0A0CFB" w14:textId="77777777" w:rsidR="001539E9" w:rsidRPr="009C096B" w:rsidRDefault="001539E9" w:rsidP="00E86509">
            <w:pPr>
              <w:spacing w:after="0" w:line="240" w:lineRule="auto"/>
              <w:rPr>
                <w:rFonts w:ascii="Times New Roman" w:eastAsia="Times New Roman" w:hAnsi="Times New Roman" w:cs="Times New Roman"/>
                <w:b w:val="0"/>
                <w:bCs w:val="0"/>
                <w:color w:val="auto"/>
                <w:lang w:eastAsia="pl-PL"/>
              </w:rPr>
            </w:pPr>
          </w:p>
        </w:tc>
        <w:tc>
          <w:tcPr>
            <w:tcW w:w="11911" w:type="dxa"/>
            <w:gridSpan w:val="8"/>
            <w:shd w:val="clear" w:color="auto" w:fill="9CC2E5" w:themeFill="accent1" w:themeFillTint="99"/>
          </w:tcPr>
          <w:p w14:paraId="42A0D259" w14:textId="77777777" w:rsidR="001539E9" w:rsidRPr="009C096B" w:rsidRDefault="001539E9"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w tym:</w:t>
            </w:r>
          </w:p>
        </w:tc>
      </w:tr>
      <w:tr w:rsidR="009C096B" w:rsidRPr="009C096B" w14:paraId="6F5FC284" w14:textId="77777777" w:rsidTr="00E8650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0E5F192"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607138E4" w14:textId="1CE7191E" w:rsidR="004854E3" w:rsidRPr="009C096B" w:rsidRDefault="00EA0495"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s</w:t>
            </w:r>
            <w:r w:rsidR="004854E3" w:rsidRPr="009C096B">
              <w:rPr>
                <w:rFonts w:ascii="Times New Roman" w:hAnsi="Times New Roman" w:cs="Times New Roman"/>
                <w:color w:val="auto"/>
              </w:rPr>
              <w:t xml:space="preserve">pecjalistyczne </w:t>
            </w:r>
            <w:r>
              <w:rPr>
                <w:rFonts w:ascii="Times New Roman" w:hAnsi="Times New Roman" w:cs="Times New Roman"/>
                <w:color w:val="auto"/>
              </w:rPr>
              <w:t xml:space="preserve">usługi </w:t>
            </w:r>
            <w:r w:rsidR="004854E3" w:rsidRPr="009C096B">
              <w:rPr>
                <w:rFonts w:ascii="Times New Roman" w:hAnsi="Times New Roman" w:cs="Times New Roman"/>
                <w:color w:val="auto"/>
              </w:rPr>
              <w:t>opiekuńcze</w:t>
            </w:r>
          </w:p>
        </w:tc>
        <w:tc>
          <w:tcPr>
            <w:tcW w:w="3685" w:type="dxa"/>
            <w:gridSpan w:val="3"/>
            <w:shd w:val="clear" w:color="auto" w:fill="FFFFFF" w:themeFill="background1"/>
          </w:tcPr>
          <w:p w14:paraId="72A06E46"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170</w:t>
            </w:r>
          </w:p>
        </w:tc>
        <w:tc>
          <w:tcPr>
            <w:tcW w:w="5107" w:type="dxa"/>
            <w:gridSpan w:val="3"/>
            <w:shd w:val="clear" w:color="auto" w:fill="FFFFFF" w:themeFill="background1"/>
          </w:tcPr>
          <w:p w14:paraId="0FB35F68" w14:textId="77777777" w:rsidR="004854E3" w:rsidRPr="009C096B" w:rsidRDefault="001C52F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 xml:space="preserve">600 </w:t>
            </w:r>
            <w:r w:rsidR="004854E3" w:rsidRPr="009C096B">
              <w:rPr>
                <w:rFonts w:ascii="Times New Roman" w:hAnsi="Times New Roman" w:cs="Times New Roman"/>
                <w:color w:val="auto"/>
              </w:rPr>
              <w:t>644,65 zł</w:t>
            </w:r>
          </w:p>
        </w:tc>
      </w:tr>
      <w:tr w:rsidR="009C096B" w:rsidRPr="009C096B" w14:paraId="25FA8C45"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7B62276"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3154E0E9" w14:textId="18D4776B" w:rsidR="004854E3" w:rsidRPr="009C096B" w:rsidRDefault="00EA0495"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s</w:t>
            </w:r>
            <w:r w:rsidR="004854E3" w:rsidRPr="009C096B">
              <w:rPr>
                <w:rFonts w:ascii="Times New Roman" w:hAnsi="Times New Roman" w:cs="Times New Roman"/>
                <w:color w:val="auto"/>
              </w:rPr>
              <w:t xml:space="preserve">pecjalistyczne usługi </w:t>
            </w:r>
            <w:r>
              <w:rPr>
                <w:rFonts w:ascii="Times New Roman" w:hAnsi="Times New Roman" w:cs="Times New Roman"/>
                <w:color w:val="auto"/>
              </w:rPr>
              <w:t xml:space="preserve">opiekuńcze w miejscu zamieszkania </w:t>
            </w:r>
            <w:r w:rsidR="004854E3" w:rsidRPr="009C096B">
              <w:rPr>
                <w:rFonts w:ascii="Times New Roman" w:hAnsi="Times New Roman" w:cs="Times New Roman"/>
                <w:color w:val="auto"/>
              </w:rPr>
              <w:t>dla osób z zaburzeniami psychicznymi</w:t>
            </w:r>
          </w:p>
        </w:tc>
        <w:tc>
          <w:tcPr>
            <w:tcW w:w="3685" w:type="dxa"/>
            <w:gridSpan w:val="3"/>
            <w:shd w:val="clear" w:color="auto" w:fill="FFFFFF" w:themeFill="background1"/>
          </w:tcPr>
          <w:p w14:paraId="20450E88"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125</w:t>
            </w:r>
          </w:p>
        </w:tc>
        <w:tc>
          <w:tcPr>
            <w:tcW w:w="5107" w:type="dxa"/>
            <w:gridSpan w:val="3"/>
            <w:shd w:val="clear" w:color="auto" w:fill="FFFFFF" w:themeFill="background1"/>
          </w:tcPr>
          <w:p w14:paraId="144B409D" w14:textId="77777777" w:rsidR="004854E3" w:rsidRPr="009C096B" w:rsidRDefault="001C52F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 xml:space="preserve">1 257 </w:t>
            </w:r>
            <w:r w:rsidR="004854E3" w:rsidRPr="009C096B">
              <w:rPr>
                <w:rFonts w:ascii="Times New Roman" w:hAnsi="Times New Roman" w:cs="Times New Roman"/>
                <w:color w:val="auto"/>
              </w:rPr>
              <w:t>830,03 zł</w:t>
            </w:r>
          </w:p>
        </w:tc>
      </w:tr>
      <w:tr w:rsidR="009C096B" w:rsidRPr="009C096B" w14:paraId="06ED851D" w14:textId="77777777" w:rsidTr="00E86509">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7E4069D"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r w:rsidRPr="009C096B">
              <w:rPr>
                <w:rFonts w:ascii="Times New Roman" w:eastAsia="Times New Roman" w:hAnsi="Times New Roman" w:cs="Times New Roman"/>
                <w:color w:val="auto"/>
                <w:lang w:eastAsia="pl-PL"/>
              </w:rPr>
              <w:t>Świadczenia pieniężne przyznane osobom starszym</w:t>
            </w:r>
          </w:p>
        </w:tc>
        <w:tc>
          <w:tcPr>
            <w:tcW w:w="3119" w:type="dxa"/>
            <w:gridSpan w:val="2"/>
            <w:shd w:val="clear" w:color="auto" w:fill="9CC2E5" w:themeFill="accent1" w:themeFillTint="99"/>
          </w:tcPr>
          <w:p w14:paraId="21DE7CD2"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Nazwa świadczenia</w:t>
            </w:r>
          </w:p>
        </w:tc>
        <w:tc>
          <w:tcPr>
            <w:tcW w:w="3685" w:type="dxa"/>
            <w:gridSpan w:val="3"/>
            <w:shd w:val="clear" w:color="auto" w:fill="9CC2E5" w:themeFill="accent1" w:themeFillTint="99"/>
          </w:tcPr>
          <w:p w14:paraId="6F673836"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Liczba osób starszych</w:t>
            </w:r>
          </w:p>
        </w:tc>
        <w:tc>
          <w:tcPr>
            <w:tcW w:w="5107" w:type="dxa"/>
            <w:gridSpan w:val="3"/>
            <w:shd w:val="clear" w:color="auto" w:fill="9CC2E5" w:themeFill="accent1" w:themeFillTint="99"/>
          </w:tcPr>
          <w:p w14:paraId="65E46B19"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C096B">
              <w:rPr>
                <w:rFonts w:ascii="Times New Roman" w:hAnsi="Times New Roman" w:cs="Times New Roman"/>
                <w:b/>
                <w:color w:val="auto"/>
              </w:rPr>
              <w:t>Kwota świadczenia</w:t>
            </w:r>
          </w:p>
        </w:tc>
      </w:tr>
      <w:tr w:rsidR="009C096B" w:rsidRPr="009C096B" w14:paraId="5FFB4A05"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11853A5"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7D4DBDED"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Zasiłek stały</w:t>
            </w:r>
          </w:p>
        </w:tc>
        <w:tc>
          <w:tcPr>
            <w:tcW w:w="3685" w:type="dxa"/>
            <w:gridSpan w:val="3"/>
            <w:shd w:val="clear" w:color="auto" w:fill="FFFFFF" w:themeFill="background1"/>
          </w:tcPr>
          <w:p w14:paraId="2A7C16E6"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w:t>
            </w:r>
            <w:r w:rsidR="001C52F8" w:rsidRPr="009C096B">
              <w:rPr>
                <w:rFonts w:ascii="Times New Roman" w:hAnsi="Times New Roman" w:cs="Times New Roman"/>
                <w:color w:val="auto"/>
              </w:rPr>
              <w:t xml:space="preserve"> </w:t>
            </w:r>
            <w:r w:rsidRPr="009C096B">
              <w:rPr>
                <w:rFonts w:ascii="Times New Roman" w:hAnsi="Times New Roman" w:cs="Times New Roman"/>
                <w:color w:val="auto"/>
              </w:rPr>
              <w:t>298</w:t>
            </w:r>
          </w:p>
        </w:tc>
        <w:tc>
          <w:tcPr>
            <w:tcW w:w="5107" w:type="dxa"/>
            <w:gridSpan w:val="3"/>
            <w:shd w:val="clear" w:color="auto" w:fill="FFFFFF" w:themeFill="background1"/>
          </w:tcPr>
          <w:p w14:paraId="75873B4F" w14:textId="77777777" w:rsidR="004854E3" w:rsidRPr="009C096B" w:rsidRDefault="001C52F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 xml:space="preserve">6 824 </w:t>
            </w:r>
            <w:r w:rsidR="004854E3" w:rsidRPr="009C096B">
              <w:rPr>
                <w:rFonts w:ascii="Times New Roman" w:hAnsi="Times New Roman" w:cs="Times New Roman"/>
                <w:color w:val="auto"/>
              </w:rPr>
              <w:t>738,84 zł</w:t>
            </w:r>
          </w:p>
        </w:tc>
      </w:tr>
      <w:tr w:rsidR="009C096B" w:rsidRPr="009C096B" w14:paraId="058D5E75"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65399A0"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103979FA"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Zasiłek okresowy</w:t>
            </w:r>
          </w:p>
        </w:tc>
        <w:tc>
          <w:tcPr>
            <w:tcW w:w="3685" w:type="dxa"/>
            <w:gridSpan w:val="3"/>
            <w:shd w:val="clear" w:color="auto" w:fill="FFFFFF" w:themeFill="background1"/>
          </w:tcPr>
          <w:p w14:paraId="0809200D"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842</w:t>
            </w:r>
          </w:p>
        </w:tc>
        <w:tc>
          <w:tcPr>
            <w:tcW w:w="5107" w:type="dxa"/>
            <w:gridSpan w:val="3"/>
            <w:shd w:val="clear" w:color="auto" w:fill="FFFFFF" w:themeFill="background1"/>
          </w:tcPr>
          <w:p w14:paraId="611F36FC" w14:textId="77777777" w:rsidR="004854E3" w:rsidRPr="009C096B" w:rsidRDefault="001C52F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 xml:space="preserve">1 838 </w:t>
            </w:r>
            <w:r w:rsidR="004854E3" w:rsidRPr="009C096B">
              <w:rPr>
                <w:rFonts w:ascii="Times New Roman" w:hAnsi="Times New Roman" w:cs="Times New Roman"/>
                <w:color w:val="auto"/>
              </w:rPr>
              <w:t>768,21 zł</w:t>
            </w:r>
          </w:p>
        </w:tc>
      </w:tr>
      <w:tr w:rsidR="009C096B" w:rsidRPr="009C096B" w14:paraId="13F4F3E0"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B6D5A1D"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4D26D96F"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Zasiłek celowy</w:t>
            </w:r>
          </w:p>
        </w:tc>
        <w:tc>
          <w:tcPr>
            <w:tcW w:w="3685" w:type="dxa"/>
            <w:gridSpan w:val="3"/>
            <w:shd w:val="clear" w:color="auto" w:fill="FFFFFF" w:themeFill="background1"/>
          </w:tcPr>
          <w:p w14:paraId="66705B6D" w14:textId="77777777" w:rsidR="004854E3" w:rsidRPr="009C096B" w:rsidRDefault="004854E3"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w:t>
            </w:r>
            <w:r w:rsidR="001C52F8" w:rsidRPr="009C096B">
              <w:rPr>
                <w:rFonts w:ascii="Times New Roman" w:hAnsi="Times New Roman" w:cs="Times New Roman"/>
                <w:color w:val="auto"/>
              </w:rPr>
              <w:t xml:space="preserve"> </w:t>
            </w:r>
            <w:r w:rsidRPr="009C096B">
              <w:rPr>
                <w:rFonts w:ascii="Times New Roman" w:hAnsi="Times New Roman" w:cs="Times New Roman"/>
                <w:color w:val="auto"/>
              </w:rPr>
              <w:t>760</w:t>
            </w:r>
          </w:p>
        </w:tc>
        <w:tc>
          <w:tcPr>
            <w:tcW w:w="5107" w:type="dxa"/>
            <w:gridSpan w:val="3"/>
            <w:shd w:val="clear" w:color="auto" w:fill="FFFFFF" w:themeFill="background1"/>
          </w:tcPr>
          <w:p w14:paraId="7F705835" w14:textId="77777777" w:rsidR="004854E3" w:rsidRPr="009C096B" w:rsidRDefault="001C52F8"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 xml:space="preserve">2 232 </w:t>
            </w:r>
            <w:r w:rsidR="004854E3" w:rsidRPr="009C096B">
              <w:rPr>
                <w:rFonts w:ascii="Times New Roman" w:hAnsi="Times New Roman" w:cs="Times New Roman"/>
                <w:color w:val="auto"/>
              </w:rPr>
              <w:t>859,35 zł</w:t>
            </w:r>
          </w:p>
        </w:tc>
      </w:tr>
      <w:tr w:rsidR="009C096B" w:rsidRPr="009C096B" w14:paraId="71D8050D"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73C8D5A" w14:textId="77777777" w:rsidR="004854E3" w:rsidRPr="009C096B" w:rsidRDefault="004854E3"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29077948"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Specjalny zasiłek celowy</w:t>
            </w:r>
          </w:p>
        </w:tc>
        <w:tc>
          <w:tcPr>
            <w:tcW w:w="3685" w:type="dxa"/>
            <w:gridSpan w:val="3"/>
            <w:shd w:val="clear" w:color="auto" w:fill="FFFFFF" w:themeFill="background1"/>
          </w:tcPr>
          <w:p w14:paraId="1EC492DA" w14:textId="77777777" w:rsidR="004854E3" w:rsidRPr="009C096B" w:rsidRDefault="004854E3"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1</w:t>
            </w:r>
            <w:r w:rsidR="001C52F8" w:rsidRPr="009C096B">
              <w:rPr>
                <w:rFonts w:ascii="Times New Roman" w:hAnsi="Times New Roman" w:cs="Times New Roman"/>
                <w:color w:val="auto"/>
              </w:rPr>
              <w:t xml:space="preserve"> </w:t>
            </w:r>
            <w:r w:rsidRPr="009C096B">
              <w:rPr>
                <w:rFonts w:ascii="Times New Roman" w:hAnsi="Times New Roman" w:cs="Times New Roman"/>
                <w:color w:val="auto"/>
              </w:rPr>
              <w:t>730</w:t>
            </w:r>
          </w:p>
        </w:tc>
        <w:tc>
          <w:tcPr>
            <w:tcW w:w="5107" w:type="dxa"/>
            <w:gridSpan w:val="3"/>
            <w:shd w:val="clear" w:color="auto" w:fill="FFFFFF" w:themeFill="background1"/>
          </w:tcPr>
          <w:p w14:paraId="76428AE9" w14:textId="77777777" w:rsidR="004854E3" w:rsidRPr="009C096B" w:rsidRDefault="001C52F8"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 xml:space="preserve">1 096 </w:t>
            </w:r>
            <w:r w:rsidR="004854E3" w:rsidRPr="009C096B">
              <w:rPr>
                <w:rFonts w:ascii="Times New Roman" w:hAnsi="Times New Roman" w:cs="Times New Roman"/>
                <w:color w:val="auto"/>
              </w:rPr>
              <w:t>126,79 zł</w:t>
            </w:r>
          </w:p>
        </w:tc>
      </w:tr>
      <w:tr w:rsidR="009C096B" w:rsidRPr="009C096B" w14:paraId="3392B883" w14:textId="77777777" w:rsidTr="00E86509">
        <w:trPr>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746C008" w14:textId="77777777" w:rsidR="004854E3" w:rsidRPr="009C096B" w:rsidRDefault="004854E3" w:rsidP="00E86509">
            <w:pPr>
              <w:spacing w:after="0" w:line="240" w:lineRule="auto"/>
              <w:rPr>
                <w:rFonts w:ascii="Times New Roman" w:hAnsi="Times New Roman" w:cs="Times New Roman"/>
                <w:b w:val="0"/>
                <w:color w:val="auto"/>
                <w:lang w:eastAsia="pl-PL"/>
              </w:rPr>
            </w:pPr>
            <w:r w:rsidRPr="009C096B">
              <w:rPr>
                <w:rFonts w:ascii="Times New Roman" w:hAnsi="Times New Roman" w:cs="Times New Roman"/>
                <w:color w:val="auto"/>
                <w:lang w:eastAsia="pl-PL"/>
              </w:rPr>
              <w:t xml:space="preserve">Największe problemy/niedogodności w świadczeniu opieki nad osobami starszymi (np. </w:t>
            </w:r>
            <w:r w:rsidRPr="009C096B">
              <w:rPr>
                <w:rFonts w:ascii="Times New Roman" w:hAnsi="Times New Roman" w:cs="Times New Roman"/>
                <w:color w:val="auto"/>
                <w:lang w:eastAsia="pl-PL"/>
              </w:rPr>
              <w:lastRenderedPageBreak/>
              <w:t>zasoby kadrowe, rzeczowe, finansowe itp.)</w:t>
            </w:r>
          </w:p>
        </w:tc>
        <w:tc>
          <w:tcPr>
            <w:tcW w:w="11911" w:type="dxa"/>
            <w:gridSpan w:val="8"/>
            <w:shd w:val="clear" w:color="auto" w:fill="FFFFFF" w:themeFill="background1"/>
          </w:tcPr>
          <w:p w14:paraId="4041B392"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b/>
                <w:color w:val="auto"/>
              </w:rPr>
              <w:lastRenderedPageBreak/>
              <w:t>1.</w:t>
            </w:r>
            <w:r w:rsidRPr="009C096B">
              <w:rPr>
                <w:rFonts w:ascii="Times New Roman" w:hAnsi="Times New Roman" w:cs="Times New Roman"/>
                <w:color w:val="auto"/>
              </w:rPr>
              <w:t xml:space="preserve">  Zasoby kadrowe - szczególnie brak pracowników socjalnych, opiekunek, dodatkowo pielęgniarek i opiekunów w Domach Pomocy Społecznej m.in. z powodu niskich płac.</w:t>
            </w:r>
          </w:p>
        </w:tc>
      </w:tr>
      <w:tr w:rsidR="009C096B" w:rsidRPr="009C096B" w14:paraId="3BB2A3A6"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EBD5694" w14:textId="77777777" w:rsidR="004854E3" w:rsidRPr="009C096B" w:rsidRDefault="004854E3" w:rsidP="00E86509">
            <w:pPr>
              <w:spacing w:after="0" w:line="240" w:lineRule="auto"/>
              <w:rPr>
                <w:rFonts w:ascii="Times New Roman" w:hAnsi="Times New Roman" w:cs="Times New Roman"/>
                <w:color w:val="auto"/>
                <w:lang w:eastAsia="pl-PL"/>
              </w:rPr>
            </w:pPr>
          </w:p>
        </w:tc>
        <w:tc>
          <w:tcPr>
            <w:tcW w:w="11911" w:type="dxa"/>
            <w:gridSpan w:val="8"/>
            <w:shd w:val="clear" w:color="auto" w:fill="FFFFFF" w:themeFill="background1"/>
          </w:tcPr>
          <w:p w14:paraId="60AF2F33"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b/>
                <w:color w:val="auto"/>
              </w:rPr>
              <w:t>2</w:t>
            </w:r>
            <w:r w:rsidRPr="009C096B">
              <w:rPr>
                <w:rFonts w:ascii="Times New Roman" w:hAnsi="Times New Roman" w:cs="Times New Roman"/>
                <w:color w:val="auto"/>
              </w:rPr>
              <w:t xml:space="preserve">.Brak kompatybilności w zapisach ustawowych - niespójność przepisów prawnych w granicach potrąceń tj.: na podstawie  art. 61 ust. 2 </w:t>
            </w:r>
            <w:r w:rsidRPr="009C096B">
              <w:rPr>
                <w:rFonts w:ascii="Times New Roman" w:hAnsi="Times New Roman" w:cs="Times New Roman"/>
                <w:i/>
                <w:color w:val="auto"/>
              </w:rPr>
              <w:t xml:space="preserve">ustawy o pomocy społecznej </w:t>
            </w:r>
            <w:r w:rsidRPr="009C096B">
              <w:rPr>
                <w:rFonts w:ascii="Times New Roman" w:hAnsi="Times New Roman" w:cs="Times New Roman"/>
                <w:color w:val="auto"/>
              </w:rPr>
              <w:t xml:space="preserve">mieszkaniec DPS wnosi opłatę za pobyt w domu nie więcej niż 70% swojego dochodu, natomiast ZUS dokonuje potrąceń (na wniosek dyrektora placówki ) ze świadczeń emerytalno-rentowych dla osób przebywających w domach </w:t>
            </w:r>
            <w:r w:rsidRPr="009C096B">
              <w:rPr>
                <w:rFonts w:ascii="Times New Roman" w:hAnsi="Times New Roman" w:cs="Times New Roman"/>
                <w:color w:val="auto"/>
              </w:rPr>
              <w:lastRenderedPageBreak/>
              <w:t xml:space="preserve">pomocy społecznej w wysokości  określonej kwotowo we wniosku jednak maksymalnie do 65% miesięcznej kwoty świadczenia brutto, zgodnie z art. 139 ust. 1 pkt 10 w związku z art. 140 ust. 4 pkt 3 i ust. 7 </w:t>
            </w:r>
            <w:r w:rsidRPr="009C096B">
              <w:rPr>
                <w:rFonts w:ascii="Times New Roman" w:hAnsi="Times New Roman" w:cs="Times New Roman"/>
                <w:i/>
                <w:color w:val="auto"/>
              </w:rPr>
              <w:t xml:space="preserve">ustawy </w:t>
            </w:r>
            <w:r w:rsidRPr="009C096B">
              <w:rPr>
                <w:rFonts w:ascii="Times New Roman" w:hAnsi="Times New Roman" w:cs="Times New Roman"/>
                <w:i/>
                <w:color w:val="auto"/>
              </w:rPr>
              <w:br/>
              <w:t>o emeryturach i rentach z Funduszu Ubezpieczeń Społecznych</w:t>
            </w:r>
            <w:r w:rsidR="001C52F8" w:rsidRPr="009C096B">
              <w:rPr>
                <w:rFonts w:ascii="Times New Roman" w:hAnsi="Times New Roman" w:cs="Times New Roman"/>
                <w:i/>
                <w:color w:val="auto"/>
              </w:rPr>
              <w:t>.</w:t>
            </w:r>
          </w:p>
        </w:tc>
      </w:tr>
      <w:tr w:rsidR="009C096B" w:rsidRPr="009C096B" w14:paraId="5F71F3E9" w14:textId="77777777" w:rsidTr="00E86509">
        <w:trPr>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F3CF544" w14:textId="77777777" w:rsidR="004854E3" w:rsidRPr="009C096B" w:rsidRDefault="004854E3" w:rsidP="00E86509">
            <w:pPr>
              <w:spacing w:after="0" w:line="240" w:lineRule="auto"/>
              <w:rPr>
                <w:rFonts w:ascii="Times New Roman" w:hAnsi="Times New Roman" w:cs="Times New Roman"/>
                <w:color w:val="auto"/>
                <w:lang w:eastAsia="pl-PL"/>
              </w:rPr>
            </w:pPr>
          </w:p>
        </w:tc>
        <w:tc>
          <w:tcPr>
            <w:tcW w:w="11911" w:type="dxa"/>
            <w:gridSpan w:val="8"/>
            <w:shd w:val="clear" w:color="auto" w:fill="FFFFFF" w:themeFill="background1"/>
          </w:tcPr>
          <w:p w14:paraId="709A02FF"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b/>
                <w:color w:val="auto"/>
              </w:rPr>
              <w:t>3.</w:t>
            </w:r>
            <w:r w:rsidRPr="009C096B">
              <w:rPr>
                <w:rFonts w:ascii="Times New Roman" w:hAnsi="Times New Roman" w:cs="Times New Roman"/>
                <w:color w:val="auto"/>
              </w:rPr>
              <w:t xml:space="preserve"> Coraz cięższe stany zdrowia podopiecznych objętych opieką zmuszają o wykonywania usługi przez dwie opiekunki jednocześnie, co powoduje konieczność poniesienia podwójnej opłaty przez podopiecznego, na które Ci nie wyrażają zgody. W efekcie czego następuje przeciążenie opiekunki a także zagrożenie nie wykonania usługi w sposób należyty. Ograniczone zasoby finansowe  Gminy i rosnące koszty zatrudnienia uniemożliwiają zwiększanie ilości personelu.</w:t>
            </w:r>
          </w:p>
        </w:tc>
      </w:tr>
      <w:tr w:rsidR="009C096B" w:rsidRPr="009C096B" w14:paraId="53FCC01D"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1A7147A" w14:textId="77777777" w:rsidR="004854E3" w:rsidRPr="009C096B" w:rsidRDefault="004854E3" w:rsidP="00E86509">
            <w:pPr>
              <w:spacing w:after="0" w:line="240" w:lineRule="auto"/>
              <w:rPr>
                <w:rFonts w:ascii="Times New Roman" w:hAnsi="Times New Roman" w:cs="Times New Roman"/>
                <w:color w:val="auto"/>
                <w:lang w:eastAsia="pl-PL"/>
              </w:rPr>
            </w:pPr>
          </w:p>
        </w:tc>
        <w:tc>
          <w:tcPr>
            <w:tcW w:w="11911" w:type="dxa"/>
            <w:gridSpan w:val="8"/>
            <w:shd w:val="clear" w:color="auto" w:fill="FFFFFF" w:themeFill="background1"/>
          </w:tcPr>
          <w:p w14:paraId="71C95632"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auto"/>
              </w:rPr>
            </w:pPr>
            <w:r w:rsidRPr="008457FA">
              <w:rPr>
                <w:rFonts w:ascii="Times New Roman" w:hAnsi="Times New Roman" w:cs="Times New Roman"/>
                <w:b/>
                <w:color w:val="auto"/>
              </w:rPr>
              <w:t>4.</w:t>
            </w:r>
            <w:r w:rsidRPr="009C096B">
              <w:rPr>
                <w:rFonts w:ascii="Times New Roman" w:hAnsi="Times New Roman" w:cs="Times New Roman"/>
                <w:color w:val="auto"/>
              </w:rPr>
              <w:t xml:space="preserve"> </w:t>
            </w:r>
            <w:r w:rsidRPr="009C096B">
              <w:rPr>
                <w:rFonts w:ascii="Times New Roman" w:eastAsia="Calibri" w:hAnsi="Times New Roman" w:cs="Times New Roman"/>
                <w:color w:val="auto"/>
              </w:rPr>
              <w:t xml:space="preserve">Systematycznie rosnąca liczba osób bezwzględnie wymagających opieki (osoby leżące, samotne). Szpitale wypisują do domu osoby leżące, zależne, mim iż, osoba jest samotna, niemająca wstępnych i zstępnych, przez co Ośrodek Pomocy Społecznej zobligowany jest objąć opieką taką osobę, aż do momentu umieszczenia jej w DPS lub ZOL. W związku </w:t>
            </w:r>
            <w:r w:rsidRPr="009C096B">
              <w:rPr>
                <w:rFonts w:ascii="Times New Roman" w:eastAsia="Calibri" w:hAnsi="Times New Roman" w:cs="Times New Roman"/>
                <w:color w:val="auto"/>
              </w:rPr>
              <w:br/>
              <w:t xml:space="preserve">z powyższym, niewystarczającą opieką jest przyznanie 1 lub 2 godzin dziennie, należy przyznać 4 godziny i więcej dziennie, przez co systematycznie brakuje personelu do wykonywania rosnących zadań. Rodziny osób starszych, pomimo zamieszkiwania w jednym mieście nie angażują się w opiekę nad rodzicami czy też dziadkami oczekując, że zadanie to </w:t>
            </w:r>
            <w:r w:rsidRPr="009C096B">
              <w:rPr>
                <w:rFonts w:ascii="Times New Roman" w:eastAsia="Calibri" w:hAnsi="Times New Roman" w:cs="Times New Roman"/>
                <w:color w:val="auto"/>
              </w:rPr>
              <w:br/>
              <w:t xml:space="preserve">w całości przejmie pomoc społeczna. Podobne oczekiwania a wręcz żądania przedstawiają rodziny- dzieci mieszkające za granicą przy czym nie angażują swoich zasobów finansowych w zapewnienie np. opiekunki prywatnej.  </w:t>
            </w:r>
          </w:p>
        </w:tc>
      </w:tr>
      <w:tr w:rsidR="009C096B" w:rsidRPr="009C096B" w14:paraId="29EE6D77" w14:textId="77777777" w:rsidTr="00E86509">
        <w:trPr>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262ED6E" w14:textId="77777777" w:rsidR="004854E3" w:rsidRPr="009C096B" w:rsidRDefault="004854E3" w:rsidP="00E86509">
            <w:pPr>
              <w:spacing w:after="0" w:line="240" w:lineRule="auto"/>
              <w:rPr>
                <w:rFonts w:ascii="Times New Roman" w:hAnsi="Times New Roman" w:cs="Times New Roman"/>
                <w:color w:val="auto"/>
                <w:lang w:eastAsia="pl-PL"/>
              </w:rPr>
            </w:pPr>
          </w:p>
        </w:tc>
        <w:tc>
          <w:tcPr>
            <w:tcW w:w="11911" w:type="dxa"/>
            <w:gridSpan w:val="8"/>
            <w:shd w:val="clear" w:color="auto" w:fill="FFFFFF" w:themeFill="background1"/>
          </w:tcPr>
          <w:p w14:paraId="483B6715" w14:textId="77777777" w:rsidR="004854E3" w:rsidRPr="009C096B" w:rsidRDefault="004854E3"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b/>
                <w:color w:val="auto"/>
              </w:rPr>
              <w:t>5.</w:t>
            </w:r>
            <w:r w:rsidRPr="009C096B">
              <w:rPr>
                <w:rFonts w:ascii="Times New Roman" w:hAnsi="Times New Roman" w:cs="Times New Roman"/>
                <w:color w:val="auto"/>
              </w:rPr>
              <w:t xml:space="preserve">  Coraz cięższe stany zdrowia podopiecznych objętych opieką zmuszają o wykonywania usługi przez dwie opiekunki jednocześnie, co powoduje konieczność poniesienia podwójnej opłaty przez podopiecznego, na które Ci nie wyrażają zgody. W efekcie czego następuje przeciążenie opiekunki a także zagrożenie nie wykonania usługi w sposób należyty. Ograniczone zasoby finansowe  gmin i rosnące koszty zatrudnienia uniemożliwiają zwiększanie ilości personelu.</w:t>
            </w:r>
          </w:p>
        </w:tc>
      </w:tr>
      <w:tr w:rsidR="009C096B" w:rsidRPr="009C096B" w14:paraId="4FD7980E"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tcPr>
          <w:p w14:paraId="3AEA4A18" w14:textId="77777777" w:rsidR="004854E3" w:rsidRPr="009C096B" w:rsidRDefault="004854E3" w:rsidP="00E86509">
            <w:pPr>
              <w:spacing w:after="0" w:line="240" w:lineRule="auto"/>
              <w:rPr>
                <w:rFonts w:ascii="Times New Roman" w:hAnsi="Times New Roman" w:cs="Times New Roman"/>
                <w:color w:val="auto"/>
                <w:lang w:eastAsia="pl-PL"/>
              </w:rPr>
            </w:pPr>
            <w:r w:rsidRPr="009C096B">
              <w:rPr>
                <w:rFonts w:ascii="Times New Roman" w:hAnsi="Times New Roman" w:cs="Times New Roman"/>
                <w:color w:val="auto"/>
                <w:lang w:eastAsia="pl-PL"/>
              </w:rPr>
              <w:t>Stopień zaspokojenia potrzeb w zakresie usług opiekuńczych</w:t>
            </w:r>
          </w:p>
        </w:tc>
        <w:tc>
          <w:tcPr>
            <w:tcW w:w="11911" w:type="dxa"/>
            <w:gridSpan w:val="8"/>
            <w:shd w:val="clear" w:color="auto" w:fill="FFFFFF" w:themeFill="background1"/>
          </w:tcPr>
          <w:p w14:paraId="492948B8" w14:textId="77777777" w:rsidR="004854E3" w:rsidRPr="009C096B" w:rsidRDefault="004854E3"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096B">
              <w:rPr>
                <w:rFonts w:ascii="Times New Roman" w:hAnsi="Times New Roman" w:cs="Times New Roman"/>
                <w:color w:val="auto"/>
              </w:rPr>
              <w:t>Usługi opiekuńcze zaspakajane są na bieżąco wg zgłaszanych potrzeb. Usługi opiekuńcze dla osób starszych nie były świadczone w 10 gminach województwa z powodu  braku zapotrzebowania na tego typu usługi. W wielu gminach województwa funkcjonują Stacje Caritas, które świadczą usługi pielęgniarskie, pielęgnacyjne w domach, jak również wypożyczają sprzęt rehabilitacyjny osobom potrzebującym.</w:t>
            </w:r>
          </w:p>
        </w:tc>
      </w:tr>
    </w:tbl>
    <w:p w14:paraId="1CF1296E" w14:textId="77777777" w:rsidR="004854E3" w:rsidRDefault="004854E3" w:rsidP="00CB509F">
      <w:pPr>
        <w:pStyle w:val="Nagwek2"/>
        <w:rPr>
          <w:rFonts w:eastAsia="Times New Roman"/>
          <w:lang w:eastAsia="ar-SA"/>
        </w:rPr>
        <w:sectPr w:rsidR="004854E3" w:rsidSect="00DB6308">
          <w:pgSz w:w="16838" w:h="11900" w:orient="landscape"/>
          <w:pgMar w:top="1380" w:right="1384" w:bottom="1386" w:left="1038" w:header="0" w:footer="567" w:gutter="0"/>
          <w:cols w:space="0" w:equalWidth="0">
            <w:col w:w="9140"/>
          </w:cols>
          <w:docGrid w:linePitch="360"/>
        </w:sectPr>
      </w:pPr>
    </w:p>
    <w:p w14:paraId="6ACF1A5B" w14:textId="77777777" w:rsidR="004854E3" w:rsidRPr="00AF051D" w:rsidRDefault="00B25D75" w:rsidP="00AF051D">
      <w:pPr>
        <w:pStyle w:val="Nagwek2"/>
        <w:numPr>
          <w:ilvl w:val="1"/>
          <w:numId w:val="97"/>
        </w:numPr>
        <w:spacing w:before="240" w:after="240"/>
        <w:rPr>
          <w:rFonts w:eastAsia="Times New Roman" w:cs="Times New Roman"/>
          <w:sz w:val="40"/>
          <w:lang w:eastAsia="ar-SA"/>
        </w:rPr>
      </w:pPr>
      <w:bookmarkStart w:id="141" w:name="_Toc49171364"/>
      <w:r w:rsidRPr="00AF051D">
        <w:rPr>
          <w:rFonts w:eastAsia="Times New Roman" w:cs="Times New Roman"/>
          <w:sz w:val="40"/>
          <w:lang w:eastAsia="ar-SA"/>
        </w:rPr>
        <w:lastRenderedPageBreak/>
        <w:t xml:space="preserve">Województwo </w:t>
      </w:r>
      <w:r w:rsidR="005F0A32" w:rsidRPr="00AF051D">
        <w:rPr>
          <w:rFonts w:eastAsia="Times New Roman" w:cs="Times New Roman"/>
          <w:sz w:val="40"/>
          <w:lang w:eastAsia="ar-SA"/>
        </w:rPr>
        <w:t>p</w:t>
      </w:r>
      <w:r w:rsidR="00475EFA" w:rsidRPr="00AF051D">
        <w:rPr>
          <w:rFonts w:eastAsia="Times New Roman" w:cs="Times New Roman"/>
          <w:sz w:val="40"/>
          <w:lang w:eastAsia="ar-SA"/>
        </w:rPr>
        <w:t>odkarpackie</w:t>
      </w:r>
      <w:bookmarkEnd w:id="141"/>
    </w:p>
    <w:p w14:paraId="2632F425" w14:textId="77777777" w:rsidR="004854E3" w:rsidRPr="00183D5C" w:rsidRDefault="004854E3" w:rsidP="00E7359C">
      <w:pPr>
        <w:spacing w:after="0"/>
        <w:jc w:val="both"/>
        <w:rPr>
          <w:rFonts w:ascii="Times New Roman" w:hAnsi="Times New Roman" w:cs="Times New Roman"/>
          <w:b/>
          <w:color w:val="00B0F0"/>
          <w:sz w:val="24"/>
          <w:szCs w:val="24"/>
          <w:lang w:eastAsia="ar-SA"/>
        </w:rPr>
      </w:pPr>
      <w:r w:rsidRPr="00183D5C">
        <w:rPr>
          <w:rFonts w:ascii="Times New Roman" w:hAnsi="Times New Roman" w:cs="Times New Roman"/>
          <w:b/>
          <w:color w:val="00B0F0"/>
          <w:sz w:val="24"/>
          <w:szCs w:val="24"/>
          <w:lang w:eastAsia="ar-SA"/>
        </w:rPr>
        <w:t>Dokumenty, strategie i działania na rzecz osób starszych</w:t>
      </w:r>
    </w:p>
    <w:p w14:paraId="0BCCF641" w14:textId="77777777" w:rsidR="004854E3" w:rsidRDefault="004854E3" w:rsidP="00E7359C">
      <w:pPr>
        <w:spacing w:after="0"/>
        <w:contextualSpacing/>
        <w:jc w:val="both"/>
        <w:rPr>
          <w:rFonts w:ascii="Times New Roman" w:eastAsia="Times New Roman" w:hAnsi="Times New Roman" w:cs="Times New Roman"/>
          <w:b/>
          <w:sz w:val="24"/>
          <w:szCs w:val="24"/>
          <w:lang w:eastAsia="pl-PL"/>
        </w:rPr>
      </w:pPr>
    </w:p>
    <w:p w14:paraId="510FC1AD" w14:textId="77777777" w:rsidR="00C72FA4" w:rsidRPr="005F0A32" w:rsidRDefault="00C72FA4" w:rsidP="00E7359C">
      <w:pPr>
        <w:spacing w:after="0"/>
        <w:contextualSpacing/>
        <w:jc w:val="both"/>
        <w:rPr>
          <w:rFonts w:ascii="Times New Roman" w:eastAsia="Times New Roman" w:hAnsi="Times New Roman" w:cs="Times New Roman"/>
          <w:sz w:val="24"/>
          <w:szCs w:val="24"/>
          <w:lang w:eastAsia="pl-PL"/>
        </w:rPr>
      </w:pPr>
      <w:r w:rsidRPr="005F0A32">
        <w:rPr>
          <w:rFonts w:ascii="Times New Roman" w:hAnsi="Times New Roman" w:cs="Times New Roman"/>
          <w:sz w:val="24"/>
          <w:szCs w:val="24"/>
        </w:rPr>
        <w:t xml:space="preserve">W ramach budżetu Wojewody Podkarpackiego realizowany był </w:t>
      </w:r>
      <w:r w:rsidRPr="005F0A32">
        <w:rPr>
          <w:rFonts w:ascii="Times New Roman" w:hAnsi="Times New Roman" w:cs="Times New Roman"/>
          <w:i/>
          <w:sz w:val="24"/>
          <w:szCs w:val="24"/>
        </w:rPr>
        <w:t>Program z obszaru wsparcia działań innowacyjnych skierowanych do środowisk zagrożonych bezradnością w sprawach opiekuńczo-wychowawczych lub mających na celu aktywizację osób starszych w 2019 roku.</w:t>
      </w:r>
      <w:r w:rsidRPr="005F0A32">
        <w:rPr>
          <w:rFonts w:ascii="Times New Roman" w:eastAsia="Times New Roman" w:hAnsi="Times New Roman" w:cs="Times New Roman"/>
          <w:sz w:val="24"/>
          <w:szCs w:val="24"/>
          <w:lang w:eastAsia="pl-PL"/>
        </w:rPr>
        <w:t xml:space="preserve"> </w:t>
      </w:r>
    </w:p>
    <w:p w14:paraId="6485EE2D" w14:textId="77777777" w:rsidR="00C72FA4" w:rsidRPr="005F0A32" w:rsidRDefault="00C72FA4" w:rsidP="00E7359C">
      <w:pPr>
        <w:spacing w:after="0"/>
        <w:contextualSpacing/>
        <w:jc w:val="both"/>
        <w:rPr>
          <w:rFonts w:ascii="Times New Roman" w:hAnsi="Times New Roman" w:cs="Times New Roman"/>
          <w:sz w:val="24"/>
          <w:szCs w:val="24"/>
        </w:rPr>
      </w:pPr>
      <w:r w:rsidRPr="005F0A32">
        <w:rPr>
          <w:rFonts w:ascii="Times New Roman" w:hAnsi="Times New Roman" w:cs="Times New Roman"/>
          <w:color w:val="131518"/>
          <w:sz w:val="24"/>
          <w:szCs w:val="24"/>
          <w:shd w:val="clear" w:color="auto" w:fill="FFFFFF"/>
        </w:rPr>
        <w:t xml:space="preserve">Dofinansowanie z programu było przeznaczone na realizację zadań socjoterapeutycznych, zakup pomocy niezbędnych do realizacji zadań określonych w ofercie, wspieranie działań innowacyjnych w zakresie spędzania wolnego czasu, zapewnienie warunków do udziału </w:t>
      </w:r>
      <w:r w:rsidRPr="005F0A32">
        <w:rPr>
          <w:rFonts w:ascii="Times New Roman" w:hAnsi="Times New Roman" w:cs="Times New Roman"/>
          <w:color w:val="131518"/>
          <w:sz w:val="24"/>
          <w:szCs w:val="24"/>
          <w:shd w:val="clear" w:color="auto" w:fill="FFFFFF"/>
        </w:rPr>
        <w:br/>
        <w:t xml:space="preserve">w życiu społecznym, a także obejmowało działania motywujące osoby starsze do podjęcia aktywności, m.in. fizycznej, artystycznej i intelektualnej. Z budżetu Wojewody </w:t>
      </w:r>
      <w:r w:rsidRPr="005F0A32">
        <w:rPr>
          <w:rFonts w:ascii="Times New Roman" w:hAnsi="Times New Roman" w:cs="Times New Roman"/>
          <w:sz w:val="24"/>
          <w:szCs w:val="24"/>
        </w:rPr>
        <w:t>Podkarpackiego wsparcie otrzymało 13 projektów skierowanych do osób starszych, na kwotę 262 tys. zł. W projektach dedykowanych do seniorów przedstawiciele organizacji pozarządowych prowadzili różnorodne zajęcia: sporto</w:t>
      </w:r>
      <w:r w:rsidR="00BB5AFD">
        <w:rPr>
          <w:rFonts w:ascii="Times New Roman" w:hAnsi="Times New Roman" w:cs="Times New Roman"/>
          <w:sz w:val="24"/>
          <w:szCs w:val="24"/>
        </w:rPr>
        <w:t xml:space="preserve">we i rehabilitacyjne, pomagali </w:t>
      </w:r>
      <w:r w:rsidRPr="005F0A32">
        <w:rPr>
          <w:rFonts w:ascii="Times New Roman" w:hAnsi="Times New Roman" w:cs="Times New Roman"/>
          <w:sz w:val="24"/>
          <w:szCs w:val="24"/>
        </w:rPr>
        <w:t>w przeprowadzeniu szkoleń i warsztatów: artystycznych, kulinarnych, komputerowych, nauki języków obcych, a także sprawowali opiekę nad seniorami podczas zajęć</w:t>
      </w:r>
      <w:r w:rsidR="00183D5C">
        <w:rPr>
          <w:rStyle w:val="Odwoanieprzypisudolnego"/>
          <w:rFonts w:ascii="Times New Roman" w:hAnsi="Times New Roman" w:cs="Times New Roman"/>
          <w:sz w:val="24"/>
          <w:szCs w:val="24"/>
        </w:rPr>
        <w:footnoteReference w:id="142"/>
      </w:r>
      <w:r w:rsidRPr="005F0A32">
        <w:rPr>
          <w:rFonts w:ascii="Times New Roman" w:hAnsi="Times New Roman" w:cs="Times New Roman"/>
          <w:sz w:val="24"/>
          <w:szCs w:val="24"/>
        </w:rPr>
        <w:t>.</w:t>
      </w:r>
      <w:r w:rsidRPr="005F0A32">
        <w:rPr>
          <w:rFonts w:ascii="Times New Roman" w:hAnsi="Times New Roman" w:cs="Times New Roman"/>
          <w:color w:val="131518"/>
          <w:sz w:val="24"/>
          <w:szCs w:val="24"/>
          <w:shd w:val="clear" w:color="auto" w:fill="FFFFFF"/>
        </w:rPr>
        <w:t xml:space="preserve"> </w:t>
      </w:r>
    </w:p>
    <w:p w14:paraId="010F1682" w14:textId="77777777" w:rsidR="00BB5AFD" w:rsidRDefault="00BB5AFD" w:rsidP="00E7359C">
      <w:pPr>
        <w:spacing w:after="0"/>
        <w:contextualSpacing/>
        <w:jc w:val="both"/>
        <w:rPr>
          <w:rFonts w:ascii="Times New Roman" w:eastAsia="Times New Roman" w:hAnsi="Times New Roman" w:cs="Times New Roman"/>
          <w:sz w:val="24"/>
          <w:szCs w:val="24"/>
          <w:lang w:eastAsia="pl-PL"/>
        </w:rPr>
      </w:pPr>
    </w:p>
    <w:p w14:paraId="3ADF2AC1" w14:textId="77777777" w:rsidR="00C72FA4" w:rsidRPr="005F0A32" w:rsidRDefault="00C72FA4" w:rsidP="00E7359C">
      <w:pPr>
        <w:spacing w:after="0"/>
        <w:contextualSpacing/>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Marszałek Województwa Podkarpackiego realizując regionalną politykę publiczną podejmował działania na rzecz seniorów w ramach Wojewódzkiego Programu Pomocy Społecznej na lata 2016-2023. W Programie tym, celem op</w:t>
      </w:r>
      <w:r w:rsidR="00BB5AFD">
        <w:rPr>
          <w:rFonts w:ascii="Times New Roman" w:eastAsia="Times New Roman" w:hAnsi="Times New Roman" w:cs="Times New Roman"/>
          <w:sz w:val="24"/>
          <w:szCs w:val="24"/>
          <w:lang w:eastAsia="pl-PL"/>
        </w:rPr>
        <w:t>eracyjnym Nr 3 jest zwiększenie</w:t>
      </w:r>
      <w:r w:rsidRPr="005F0A32">
        <w:rPr>
          <w:rFonts w:ascii="Times New Roman" w:eastAsia="Times New Roman" w:hAnsi="Times New Roman" w:cs="Times New Roman"/>
          <w:sz w:val="24"/>
          <w:szCs w:val="24"/>
          <w:lang w:eastAsia="pl-PL"/>
        </w:rPr>
        <w:t>i rozwój oferty świadczeń pomocy społecznej dla seniorów</w:t>
      </w:r>
      <w:r w:rsidR="00183D5C">
        <w:rPr>
          <w:rStyle w:val="Odwoanieprzypisudolnego"/>
          <w:rFonts w:ascii="Times New Roman" w:eastAsia="Times New Roman" w:hAnsi="Times New Roman" w:cs="Times New Roman"/>
          <w:sz w:val="24"/>
          <w:szCs w:val="24"/>
          <w:lang w:eastAsia="pl-PL"/>
        </w:rPr>
        <w:footnoteReference w:id="143"/>
      </w:r>
      <w:r w:rsidRPr="005F0A32">
        <w:rPr>
          <w:rFonts w:ascii="Times New Roman" w:eastAsia="Times New Roman" w:hAnsi="Times New Roman" w:cs="Times New Roman"/>
          <w:sz w:val="24"/>
          <w:szCs w:val="24"/>
          <w:lang w:eastAsia="pl-PL"/>
        </w:rPr>
        <w:t xml:space="preserve">. </w:t>
      </w:r>
    </w:p>
    <w:p w14:paraId="1E780A6E" w14:textId="77777777" w:rsidR="00BB5AFD" w:rsidRDefault="00BB5AFD" w:rsidP="00E7359C">
      <w:pPr>
        <w:spacing w:after="0"/>
        <w:contextualSpacing/>
        <w:jc w:val="both"/>
        <w:rPr>
          <w:rFonts w:ascii="Times New Roman" w:eastAsia="Times New Roman" w:hAnsi="Times New Roman" w:cs="Times New Roman"/>
          <w:sz w:val="24"/>
          <w:szCs w:val="24"/>
          <w:lang w:eastAsia="pl-PL"/>
        </w:rPr>
      </w:pPr>
    </w:p>
    <w:p w14:paraId="7E34D481" w14:textId="77777777" w:rsidR="00C72FA4" w:rsidRDefault="00C72FA4" w:rsidP="00E7359C">
      <w:pPr>
        <w:spacing w:after="0"/>
        <w:contextualSpacing/>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Ponadto, Marszałek Województwa Podkarpackiego w 2019 r. podejmował działania ukierunkowane na powołanie Delegatury Regionalnej Obywatelskiego Parlamentu Seniorów oraz opracowania projektu Regulaminu Podkarpackiej Rady Seniorów przy Marszałku Województwa Podkarpackiego.</w:t>
      </w:r>
    </w:p>
    <w:p w14:paraId="4BC9620E" w14:textId="77777777" w:rsidR="00A94CFB" w:rsidRDefault="00A94CFB" w:rsidP="00E7359C">
      <w:pPr>
        <w:spacing w:after="0"/>
        <w:contextualSpacing/>
        <w:jc w:val="both"/>
        <w:rPr>
          <w:rFonts w:ascii="Times New Roman" w:eastAsia="Times New Roman" w:hAnsi="Times New Roman" w:cs="Times New Roman"/>
          <w:sz w:val="24"/>
          <w:szCs w:val="24"/>
          <w:lang w:eastAsia="pl-PL"/>
        </w:rPr>
      </w:pPr>
    </w:p>
    <w:p w14:paraId="07C3A368" w14:textId="77777777" w:rsidR="00A94CFB" w:rsidRPr="005F0A32" w:rsidRDefault="00A94CFB" w:rsidP="00E7359C">
      <w:pPr>
        <w:spacing w:after="0"/>
        <w:contextualSpacing/>
        <w:jc w:val="both"/>
        <w:rPr>
          <w:rFonts w:ascii="Times New Roman" w:hAnsi="Times New Roman" w:cs="Times New Roman"/>
          <w:sz w:val="24"/>
          <w:szCs w:val="24"/>
        </w:rPr>
      </w:pPr>
    </w:p>
    <w:p w14:paraId="77608AF8" w14:textId="77777777" w:rsidR="00A94CFB" w:rsidRPr="005F0A32" w:rsidRDefault="00A94CFB" w:rsidP="00E7359C">
      <w:pPr>
        <w:pStyle w:val="NormalnyWeb"/>
        <w:spacing w:after="0"/>
        <w:contextualSpacing/>
        <w:jc w:val="both"/>
        <w:rPr>
          <w:rFonts w:eastAsia="+mn-ea"/>
          <w:b/>
          <w:color w:val="000000"/>
          <w:kern w:val="24"/>
        </w:rPr>
      </w:pPr>
      <w:r>
        <w:rPr>
          <w:rFonts w:eastAsia="+mn-ea"/>
          <w:b/>
          <w:color w:val="000000"/>
          <w:kern w:val="24"/>
        </w:rPr>
        <w:t>Program</w:t>
      </w:r>
      <w:r w:rsidRPr="005F0A32">
        <w:rPr>
          <w:rFonts w:eastAsia="+mn-ea"/>
          <w:b/>
          <w:color w:val="000000"/>
          <w:kern w:val="24"/>
        </w:rPr>
        <w:t xml:space="preserve"> Senior+ - Edycja 2019</w:t>
      </w:r>
    </w:p>
    <w:p w14:paraId="4DC04327" w14:textId="77777777" w:rsidR="00A94CFB" w:rsidRDefault="00A94CFB" w:rsidP="00E7359C">
      <w:pPr>
        <w:pStyle w:val="NormalnyWeb"/>
        <w:spacing w:after="0"/>
        <w:contextualSpacing/>
        <w:jc w:val="both"/>
        <w:rPr>
          <w:rFonts w:eastAsia="+mn-ea"/>
          <w:color w:val="000000"/>
          <w:kern w:val="24"/>
        </w:rPr>
      </w:pPr>
      <w:r w:rsidRPr="005F0A32">
        <w:rPr>
          <w:rFonts w:eastAsia="+mn-ea"/>
          <w:color w:val="000000"/>
          <w:kern w:val="24"/>
        </w:rPr>
        <w:t xml:space="preserve">Począwszy od roku 2015 na Podkarpaciu z powodzeniem realizowany jest w/w Program Wieloletni na lata 2015-2020 dedykowany osobom starszym. </w:t>
      </w:r>
      <w:r>
        <w:rPr>
          <w:rFonts w:eastAsia="+mn-ea"/>
          <w:color w:val="000000"/>
          <w:kern w:val="24"/>
        </w:rPr>
        <w:t>Tylko</w:t>
      </w:r>
      <w:r w:rsidRPr="005F0A32">
        <w:rPr>
          <w:rFonts w:eastAsia="+mn-ea"/>
          <w:color w:val="000000"/>
          <w:kern w:val="24"/>
        </w:rPr>
        <w:t xml:space="preserve"> w ciągu ostatnich dwóch lat powstało 30 nowych dziennych Domów/Klubów Senior+ w tym, w edycji programu „Senior +” 2018 r. powstało 14 jednostek na 305 miejsc, a w 2019 r. - 18 n</w:t>
      </w:r>
      <w:r>
        <w:rPr>
          <w:rFonts w:eastAsia="+mn-ea"/>
          <w:color w:val="000000"/>
          <w:kern w:val="24"/>
        </w:rPr>
        <w:t xml:space="preserve">owych jednostek z 442 miejscami do dyspozycji Seniorów. </w:t>
      </w:r>
    </w:p>
    <w:p w14:paraId="63DD2122" w14:textId="77777777" w:rsidR="00A94CFB" w:rsidRDefault="00A94CFB" w:rsidP="00E7359C">
      <w:pPr>
        <w:pStyle w:val="NormalnyWeb"/>
        <w:spacing w:after="0"/>
        <w:contextualSpacing/>
        <w:jc w:val="both"/>
        <w:rPr>
          <w:b/>
        </w:rPr>
      </w:pPr>
    </w:p>
    <w:p w14:paraId="354CF9C2" w14:textId="77777777" w:rsidR="00A94CFB" w:rsidRPr="00A30D9A" w:rsidRDefault="00A94CFB" w:rsidP="00E7359C">
      <w:pPr>
        <w:pStyle w:val="NormalnyWeb"/>
        <w:spacing w:after="0"/>
        <w:contextualSpacing/>
        <w:jc w:val="both"/>
        <w:rPr>
          <w:rFonts w:eastAsia="+mn-ea"/>
          <w:bCs/>
          <w:color w:val="000000"/>
          <w:kern w:val="24"/>
        </w:rPr>
      </w:pPr>
      <w:r w:rsidRPr="005F0A32">
        <w:rPr>
          <w:b/>
        </w:rPr>
        <w:t>„Usługi opiekuńcze dla osób niepełnosprawnych”</w:t>
      </w:r>
    </w:p>
    <w:p w14:paraId="65164A3C" w14:textId="77777777" w:rsidR="00A94CFB" w:rsidRDefault="00A94CFB" w:rsidP="00E7359C">
      <w:pPr>
        <w:spacing w:after="0"/>
        <w:contextualSpacing/>
        <w:jc w:val="both"/>
        <w:rPr>
          <w:rFonts w:ascii="Times New Roman" w:hAnsi="Times New Roman" w:cs="Times New Roman"/>
          <w:sz w:val="24"/>
          <w:szCs w:val="24"/>
        </w:rPr>
      </w:pPr>
      <w:r w:rsidRPr="005F0A32">
        <w:rPr>
          <w:rFonts w:ascii="Times New Roman" w:eastAsia="Calibri" w:hAnsi="Times New Roman" w:cs="Times New Roman"/>
          <w:sz w:val="24"/>
          <w:szCs w:val="24"/>
          <w:lang w:eastAsia="pl-PL"/>
        </w:rPr>
        <w:t xml:space="preserve">Celem Programu było wsparcie społeczne w formie usług opiekuńczych, w tym specjalistycznych usług opiekuńczych osób niepełnosprawnych w wieku do 75 r.ż. </w:t>
      </w:r>
      <w:r w:rsidRPr="005F0A32">
        <w:rPr>
          <w:rFonts w:ascii="Times New Roman" w:eastAsia="Calibri" w:hAnsi="Times New Roman" w:cs="Times New Roman"/>
          <w:sz w:val="24"/>
          <w:szCs w:val="24"/>
          <w:lang w:eastAsia="pl-PL"/>
        </w:rPr>
        <w:br/>
        <w:t xml:space="preserve">z orzeczeniem o znacznym stopniu niepełnosprawności, </w:t>
      </w:r>
      <w:r w:rsidRPr="005F0A32">
        <w:rPr>
          <w:rFonts w:ascii="Times New Roman" w:eastAsia="Calibri" w:hAnsi="Times New Roman" w:cs="Times New Roman"/>
          <w:sz w:val="24"/>
          <w:szCs w:val="24"/>
        </w:rPr>
        <w:t xml:space="preserve">jak również z orzeczeniem lekarza </w:t>
      </w:r>
      <w:r w:rsidRPr="005F0A32">
        <w:rPr>
          <w:rFonts w:ascii="Times New Roman" w:eastAsia="Calibri" w:hAnsi="Times New Roman" w:cs="Times New Roman"/>
          <w:sz w:val="24"/>
          <w:szCs w:val="24"/>
        </w:rPr>
        <w:lastRenderedPageBreak/>
        <w:t xml:space="preserve">orzecznika Zakładu Ubezpieczeń Społecznych o całkowitej niezdolności do pracy </w:t>
      </w:r>
      <w:r w:rsidRPr="005F0A32">
        <w:rPr>
          <w:rFonts w:ascii="Times New Roman" w:eastAsia="Calibri" w:hAnsi="Times New Roman" w:cs="Times New Roman"/>
          <w:sz w:val="24"/>
          <w:szCs w:val="24"/>
        </w:rPr>
        <w:br/>
        <w:t>i niezdolności do samodzielnej egzystencji lub orzeczeniem o niezdolności do samodzielnej egzystencji wydane na podstawie przepisów ustawy o emeryturach i rentach z Funduszu Ubezpieczeń Społecznych</w:t>
      </w:r>
      <w:r w:rsidRPr="005F0A32">
        <w:rPr>
          <w:rFonts w:ascii="Times New Roman" w:eastAsia="Calibri" w:hAnsi="Times New Roman" w:cs="Times New Roman"/>
          <w:sz w:val="24"/>
          <w:szCs w:val="24"/>
          <w:lang w:eastAsia="pl-PL"/>
        </w:rPr>
        <w:t xml:space="preserve"> oraz dzieci do 16 r.ż.</w:t>
      </w:r>
      <w:r w:rsidRPr="005F0A32">
        <w:rPr>
          <w:rFonts w:ascii="Times New Roman" w:eastAsia="Calibri" w:hAnsi="Times New Roman" w:cs="Times New Roman"/>
          <w:sz w:val="24"/>
          <w:szCs w:val="24"/>
        </w:rPr>
        <w:t xml:space="preserve"> z orzeczeniem o niepełnosprawności</w:t>
      </w:r>
      <w:r>
        <w:rPr>
          <w:rFonts w:ascii="Times New Roman" w:eastAsia="Calibri" w:hAnsi="Times New Roman" w:cs="Times New Roman"/>
          <w:sz w:val="24"/>
          <w:szCs w:val="24"/>
        </w:rPr>
        <w:t xml:space="preserve"> ze szczególnymi wskazaniami. </w:t>
      </w:r>
      <w:r w:rsidRPr="005F0A32">
        <w:rPr>
          <w:rFonts w:ascii="Times New Roman" w:eastAsia="Calibri" w:hAnsi="Times New Roman" w:cs="Times New Roman"/>
          <w:sz w:val="24"/>
          <w:szCs w:val="24"/>
        </w:rPr>
        <w:t>W 2019 r. ww. Program realizowały 22 gminy z tere</w:t>
      </w:r>
      <w:r>
        <w:rPr>
          <w:rFonts w:ascii="Times New Roman" w:eastAsia="Calibri" w:hAnsi="Times New Roman" w:cs="Times New Roman"/>
          <w:sz w:val="24"/>
          <w:szCs w:val="24"/>
        </w:rPr>
        <w:t xml:space="preserve">nu województwa podkarpackiego, </w:t>
      </w:r>
      <w:r w:rsidRPr="005F0A32">
        <w:rPr>
          <w:rFonts w:ascii="Times New Roman" w:eastAsia="Calibri" w:hAnsi="Times New Roman" w:cs="Times New Roman"/>
          <w:sz w:val="24"/>
          <w:szCs w:val="24"/>
        </w:rPr>
        <w:t xml:space="preserve">tj.: </w:t>
      </w:r>
      <w:r w:rsidRPr="005F0A32">
        <w:rPr>
          <w:rFonts w:ascii="Times New Roman" w:eastAsia="Calibri" w:hAnsi="Times New Roman" w:cs="Times New Roman"/>
          <w:sz w:val="24"/>
          <w:szCs w:val="24"/>
          <w:lang w:eastAsia="pl-PL"/>
        </w:rPr>
        <w:t xml:space="preserve">Gmina Świlcza, Gmina Przeworsk, Miasto i Gmina Ropczyce, Miasto i Gmina Lesko, Gmina Harasiuki, Gmina Białobrzegi, Gmina Hyżne, Miasto i Gmina Sokołów Małopolski, Gmina Wiązownica, Gmina Majdan Królewski, Miasto i Gmina Nowa Dęba, Gmina Jeżowe, Miasto Sanok, Miasto Dębica, Gmina Adamówka, Gmina Grodzisko Dolne, Gmina Krzywcza, Miasto Rzeszów, Miasto Tarnobrzeg, Miasto Jasło, Miasto i Gmina Zaklików, Miasto Stalowa Wola. </w:t>
      </w:r>
      <w:r w:rsidRPr="005F0A32">
        <w:rPr>
          <w:rFonts w:ascii="Times New Roman" w:hAnsi="Times New Roman" w:cs="Times New Roman"/>
          <w:sz w:val="24"/>
          <w:szCs w:val="24"/>
        </w:rPr>
        <w:t>W 2019 r. liczba uczestników ww. Programu w wieku od 16 r.ż. do 75 r.ż. z orzeczeniem o znacznym stopniu niepełnosprawności wyniosła 249 osób.</w:t>
      </w:r>
    </w:p>
    <w:p w14:paraId="232AD9EF" w14:textId="77777777" w:rsidR="00A94CFB" w:rsidRPr="005F0A32" w:rsidRDefault="00A94CFB" w:rsidP="00E7359C">
      <w:pPr>
        <w:widowControl w:val="0"/>
        <w:autoSpaceDE w:val="0"/>
        <w:autoSpaceDN w:val="0"/>
        <w:spacing w:after="0"/>
        <w:contextualSpacing/>
        <w:jc w:val="both"/>
        <w:rPr>
          <w:rFonts w:ascii="Times New Roman" w:hAnsi="Times New Roman" w:cs="Times New Roman"/>
          <w:sz w:val="24"/>
          <w:szCs w:val="24"/>
        </w:rPr>
      </w:pPr>
    </w:p>
    <w:p w14:paraId="3DF75C26" w14:textId="77777777" w:rsidR="00A94CFB" w:rsidRPr="005F0A32" w:rsidRDefault="00A94CFB" w:rsidP="00E7359C">
      <w:pPr>
        <w:spacing w:after="0"/>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Program Opieka 75+</w:t>
      </w:r>
    </w:p>
    <w:p w14:paraId="5596EBBB" w14:textId="77777777" w:rsidR="00A94CFB" w:rsidRPr="005F0A32" w:rsidRDefault="00A94CFB" w:rsidP="00E7359C">
      <w:pPr>
        <w:spacing w:after="0"/>
        <w:contextualSpacing/>
        <w:jc w:val="both"/>
        <w:rPr>
          <w:rFonts w:ascii="Times New Roman" w:eastAsia="Times New Roman" w:hAnsi="Times New Roman" w:cs="Times New Roman"/>
          <w:color w:val="00000A"/>
          <w:sz w:val="24"/>
          <w:szCs w:val="24"/>
          <w:lang w:eastAsia="pl-PL"/>
        </w:rPr>
      </w:pPr>
      <w:r w:rsidRPr="005F0A32">
        <w:rPr>
          <w:rFonts w:ascii="Times New Roman" w:eastAsia="Times New Roman" w:hAnsi="Times New Roman" w:cs="Times New Roman"/>
          <w:color w:val="00000A"/>
          <w:sz w:val="24"/>
          <w:szCs w:val="24"/>
          <w:lang w:eastAsia="pl-PL"/>
        </w:rPr>
        <w:t>W 2019 r. na realizację usług opiekuńczych w ramach Programu „Opieka 75+” gminy województwa podkarpackiego wydatkowały środki w łącznej wysokości 1 114 958,27 zł, w tym 547 167,38 zł pochodzące z budżetu państwa (udział środków z dotacji w realizowanym zadaniu wynosił 49,08%). Beneficjentami Programu było 244 mieszkańców Podkarpacia w wieku 75 lat i więcej (241 osób otrzymało pomoc w formie usług opiekuńczych oraz 3 osoby – w formie specjalistycznych usług opiekuńczych). Dzięki wsparciu z budżetu państwa zwiększono dostępność usług opiekuńczych dla mieszkańców województwa – 121 osób po raz pierwszy skorzystało z usług opiekuńczych w miejscu zamieszkania, w tym 3 osoby ze specjalistycznych usług opiekuńczych.</w:t>
      </w:r>
    </w:p>
    <w:p w14:paraId="19DE3B2E" w14:textId="77777777" w:rsidR="00A94CFB" w:rsidRDefault="00A94CFB" w:rsidP="00E7359C">
      <w:pPr>
        <w:spacing w:after="0"/>
        <w:contextualSpacing/>
        <w:jc w:val="both"/>
        <w:rPr>
          <w:rFonts w:ascii="Times New Roman" w:eastAsia="Times New Roman" w:hAnsi="Times New Roman" w:cs="Times New Roman"/>
          <w:color w:val="00000A"/>
          <w:sz w:val="24"/>
          <w:szCs w:val="24"/>
          <w:lang w:eastAsia="pl-PL"/>
        </w:rPr>
      </w:pPr>
    </w:p>
    <w:p w14:paraId="7D9109CE" w14:textId="77777777" w:rsidR="00A94CFB" w:rsidRDefault="00A94CFB" w:rsidP="00E7359C">
      <w:pPr>
        <w:spacing w:after="0"/>
        <w:contextualSpacing/>
        <w:jc w:val="both"/>
        <w:rPr>
          <w:rFonts w:ascii="Times New Roman" w:eastAsia="Times New Roman" w:hAnsi="Times New Roman" w:cs="Times New Roman"/>
          <w:color w:val="00000A"/>
          <w:sz w:val="24"/>
          <w:szCs w:val="24"/>
          <w:lang w:eastAsia="pl-PL"/>
        </w:rPr>
      </w:pPr>
      <w:r w:rsidRPr="005F0A32">
        <w:rPr>
          <w:rFonts w:ascii="Times New Roman" w:eastAsia="Times New Roman" w:hAnsi="Times New Roman" w:cs="Times New Roman"/>
          <w:color w:val="00000A"/>
          <w:sz w:val="24"/>
          <w:szCs w:val="24"/>
          <w:lang w:eastAsia="pl-PL"/>
        </w:rPr>
        <w:t xml:space="preserve">Dzięki dodatkowemu wsparciu środkami budżetu państwa jednostki mogły zabezpieczyć podstawową opiekę nie tylko nowym świadczeniobiorcom, ale także zwiększyć wymiar usług już świadczonych, czy też kontynuować pomoc osobom, które otrzymały usługi w ramach Programu w roku 2018. Poprawiło to nie tylko komfort życia, ale także bezpieczeństwo osób starszych. Dla wielu z nich skorzystanie z usług opiekuńczych stanowiło jedyną możliwość pozostania w środowisku własnego zamieszkania i opóźnienia momentu, w którym konieczne będzie zapewnienie im stałej opieki instytucjonalnej. Dzięki realizacji tego Programu osoby </w:t>
      </w:r>
      <w:r w:rsidRPr="005F0A32">
        <w:rPr>
          <w:rFonts w:ascii="Times New Roman" w:eastAsia="Times New Roman" w:hAnsi="Times New Roman" w:cs="Times New Roman"/>
          <w:color w:val="00000A"/>
          <w:sz w:val="24"/>
          <w:szCs w:val="24"/>
          <w:lang w:eastAsia="pl-PL"/>
        </w:rPr>
        <w:br/>
        <w:t xml:space="preserve">w wieku 75 lat i więcej otrzymały nie tylko pomoc i wsparcie – adekwatne do wieku i stanu zdrowia – w codziennych czynnościach domowych, ale także miały możliwość spotkania </w:t>
      </w:r>
      <w:r w:rsidRPr="005F0A32">
        <w:rPr>
          <w:rFonts w:ascii="Times New Roman" w:eastAsia="Times New Roman" w:hAnsi="Times New Roman" w:cs="Times New Roman"/>
          <w:color w:val="00000A"/>
          <w:sz w:val="24"/>
          <w:szCs w:val="24"/>
          <w:lang w:eastAsia="pl-PL"/>
        </w:rPr>
        <w:br/>
        <w:t>z osobą zaprzyjaźnioną.</w:t>
      </w:r>
    </w:p>
    <w:p w14:paraId="40322995" w14:textId="77777777" w:rsidR="00C72FA4" w:rsidRPr="005F0A32" w:rsidRDefault="00C72FA4" w:rsidP="00E7359C">
      <w:pPr>
        <w:spacing w:after="0"/>
        <w:contextualSpacing/>
        <w:jc w:val="both"/>
        <w:rPr>
          <w:rFonts w:ascii="Times New Roman" w:eastAsia="Times New Roman" w:hAnsi="Times New Roman" w:cs="Times New Roman"/>
          <w:sz w:val="24"/>
          <w:szCs w:val="24"/>
          <w:lang w:eastAsia="pl-PL"/>
        </w:rPr>
      </w:pPr>
    </w:p>
    <w:p w14:paraId="5F721BCF" w14:textId="77777777" w:rsidR="00BB5AFD" w:rsidRPr="00183D5C" w:rsidRDefault="00BB5AFD" w:rsidP="00E7359C">
      <w:pPr>
        <w:spacing w:after="0"/>
        <w:jc w:val="both"/>
        <w:rPr>
          <w:rFonts w:ascii="Times New Roman" w:hAnsi="Times New Roman" w:cs="Times New Roman"/>
          <w:color w:val="00B0F0"/>
          <w:sz w:val="24"/>
          <w:szCs w:val="24"/>
        </w:rPr>
      </w:pPr>
      <w:r w:rsidRPr="00183D5C">
        <w:rPr>
          <w:rFonts w:ascii="Times New Roman" w:hAnsi="Times New Roman" w:cs="Times New Roman"/>
          <w:b/>
          <w:color w:val="00B0F0"/>
          <w:sz w:val="24"/>
          <w:szCs w:val="24"/>
        </w:rPr>
        <w:t>Przykłady dobrych praktyk na poziomie lokalnym</w:t>
      </w:r>
    </w:p>
    <w:p w14:paraId="37A1B682" w14:textId="77777777" w:rsidR="00BB5AFD" w:rsidRDefault="00BB5AFD" w:rsidP="00E7359C">
      <w:pPr>
        <w:spacing w:after="0"/>
        <w:contextualSpacing/>
        <w:jc w:val="both"/>
        <w:rPr>
          <w:rFonts w:ascii="Times New Roman" w:eastAsia="Times New Roman" w:hAnsi="Times New Roman" w:cs="Times New Roman"/>
          <w:b/>
          <w:sz w:val="24"/>
          <w:szCs w:val="24"/>
          <w:lang w:eastAsia="pl-PL"/>
        </w:rPr>
      </w:pPr>
    </w:p>
    <w:p w14:paraId="51E358B1" w14:textId="77777777" w:rsidR="00C72FA4" w:rsidRPr="00BB5AFD" w:rsidRDefault="00C72FA4" w:rsidP="008C71A9">
      <w:pPr>
        <w:pStyle w:val="Akapitzlist"/>
        <w:numPr>
          <w:ilvl w:val="0"/>
          <w:numId w:val="128"/>
        </w:numPr>
        <w:spacing w:after="0"/>
        <w:ind w:left="360"/>
        <w:jc w:val="both"/>
        <w:rPr>
          <w:rFonts w:ascii="Times New Roman" w:hAnsi="Times New Roman" w:cs="Times New Roman"/>
          <w:sz w:val="24"/>
          <w:szCs w:val="24"/>
          <w:lang w:eastAsia="pl-PL"/>
        </w:rPr>
      </w:pPr>
      <w:r w:rsidRPr="00BB5AFD">
        <w:rPr>
          <w:rFonts w:ascii="Times New Roman" w:hAnsi="Times New Roman" w:cs="Times New Roman"/>
          <w:sz w:val="24"/>
          <w:szCs w:val="24"/>
          <w:lang w:eastAsia="pl-PL"/>
        </w:rPr>
        <w:t>Rzeszów miasto na prawach powiatu.</w:t>
      </w:r>
    </w:p>
    <w:p w14:paraId="19CE525F" w14:textId="77777777" w:rsidR="00C72FA4" w:rsidRPr="00BB5AFD" w:rsidRDefault="00C72FA4" w:rsidP="008C71A9">
      <w:pPr>
        <w:pStyle w:val="Akapitzlist"/>
        <w:numPr>
          <w:ilvl w:val="0"/>
          <w:numId w:val="129"/>
        </w:numPr>
        <w:spacing w:after="0"/>
        <w:ind w:left="643"/>
        <w:jc w:val="both"/>
        <w:rPr>
          <w:rFonts w:ascii="Times New Roman" w:eastAsia="Times New Roman" w:hAnsi="Times New Roman" w:cs="Times New Roman"/>
          <w:sz w:val="24"/>
          <w:szCs w:val="24"/>
          <w:lang w:eastAsia="pl-PL"/>
        </w:rPr>
      </w:pPr>
      <w:r w:rsidRPr="00BB5AFD">
        <w:rPr>
          <w:rFonts w:ascii="Times New Roman" w:eastAsia="Times New Roman" w:hAnsi="Times New Roman" w:cs="Times New Roman"/>
          <w:b/>
          <w:bCs/>
          <w:i/>
          <w:sz w:val="24"/>
          <w:szCs w:val="24"/>
          <w:lang w:eastAsia="pl-PL"/>
        </w:rPr>
        <w:t xml:space="preserve">Senioralia Rzeszowskie „Senior w Mieście” </w:t>
      </w:r>
      <w:r w:rsidRPr="00BB5AFD">
        <w:rPr>
          <w:rFonts w:ascii="Times New Roman" w:eastAsia="Times New Roman" w:hAnsi="Times New Roman" w:cs="Times New Roman"/>
          <w:b/>
          <w:bCs/>
          <w:sz w:val="24"/>
          <w:szCs w:val="24"/>
          <w:lang w:eastAsia="pl-PL"/>
        </w:rPr>
        <w:t xml:space="preserve">– </w:t>
      </w:r>
      <w:r w:rsidRPr="00BB5AFD">
        <w:rPr>
          <w:rFonts w:ascii="Times New Roman" w:eastAsia="Times New Roman" w:hAnsi="Times New Roman" w:cs="Times New Roman"/>
          <w:bCs/>
          <w:sz w:val="24"/>
          <w:szCs w:val="24"/>
          <w:lang w:eastAsia="pl-PL"/>
        </w:rPr>
        <w:t xml:space="preserve">to </w:t>
      </w:r>
      <w:r w:rsidRPr="00BB5AFD">
        <w:rPr>
          <w:rFonts w:ascii="Times New Roman" w:eastAsia="Times New Roman" w:hAnsi="Times New Roman" w:cs="Times New Roman"/>
          <w:sz w:val="24"/>
          <w:szCs w:val="24"/>
          <w:lang w:eastAsia="pl-PL"/>
        </w:rPr>
        <w:t xml:space="preserve">sztandarowy projekt gminy miejskiej Rzeszów, realizowany na rzecz integracji międzypokoleniowej, organizowany pod hasłem: „Senior w Mieście”. Jest to cykl imprez i wydarzeń, odbywający się we wrześniu. Swoją ofertę dla seniorów prezentują wówczas instytucje miejskie, takie jak Rzeszowski Dom Kultury, Teatr MASKA, Muzeum Dobranocek im. Wojciecha Jamy, organizacje pozarządowe (m.in. Towarzystwo Przyjaciół Rzeszowa, Europejskie Stowarzyszenie Aktywności Ruchowej 50+, Akademia Karate Tradycyjnego, Fundacja APROBATA), </w:t>
      </w:r>
      <w:r w:rsidRPr="00BB5AFD">
        <w:rPr>
          <w:rFonts w:ascii="Times New Roman" w:eastAsia="Times New Roman" w:hAnsi="Times New Roman" w:cs="Times New Roman"/>
          <w:sz w:val="24"/>
          <w:szCs w:val="24"/>
          <w:lang w:eastAsia="pl-PL"/>
        </w:rPr>
        <w:lastRenderedPageBreak/>
        <w:t>Rzeszowskie Centrum Wolontariatu 50+, Uniwersytety Trzeciego Wieku oraz podmioty prywatne, w tym również te, które udzielają zniżek w ramach Ogólnopolskiej Karty Seniora.</w:t>
      </w:r>
      <w:r w:rsidR="00BB5AFD">
        <w:rPr>
          <w:rFonts w:ascii="Times New Roman" w:eastAsia="Times New Roman" w:hAnsi="Times New Roman" w:cs="Times New Roman"/>
          <w:sz w:val="24"/>
          <w:szCs w:val="24"/>
          <w:lang w:eastAsia="pl-PL"/>
        </w:rPr>
        <w:t xml:space="preserve"> </w:t>
      </w:r>
      <w:r w:rsidRPr="00BB5AFD">
        <w:rPr>
          <w:rFonts w:ascii="Times New Roman" w:hAnsi="Times New Roman" w:cs="Times New Roman"/>
          <w:sz w:val="24"/>
          <w:szCs w:val="24"/>
        </w:rPr>
        <w:t>Informacja na temat projektu znajduje się na st</w:t>
      </w:r>
      <w:r w:rsidR="00183D5C">
        <w:rPr>
          <w:rFonts w:ascii="Times New Roman" w:hAnsi="Times New Roman" w:cs="Times New Roman"/>
          <w:sz w:val="24"/>
          <w:szCs w:val="24"/>
        </w:rPr>
        <w:t>ronie Urzędu Miasta w Rzeszowie</w:t>
      </w:r>
      <w:r w:rsidR="00183D5C">
        <w:rPr>
          <w:rStyle w:val="Odwoanieprzypisudolnego"/>
          <w:rFonts w:ascii="Times New Roman" w:hAnsi="Times New Roman" w:cs="Times New Roman"/>
          <w:sz w:val="24"/>
          <w:szCs w:val="24"/>
        </w:rPr>
        <w:footnoteReference w:id="144"/>
      </w:r>
      <w:r w:rsidR="00183D5C">
        <w:rPr>
          <w:rFonts w:ascii="Times New Roman" w:hAnsi="Times New Roman" w:cs="Times New Roman"/>
          <w:sz w:val="24"/>
          <w:szCs w:val="24"/>
        </w:rPr>
        <w:t>.</w:t>
      </w:r>
      <w:r w:rsidR="00183D5C" w:rsidRPr="00BB5AFD">
        <w:rPr>
          <w:rFonts w:ascii="Times New Roman" w:eastAsia="Times New Roman" w:hAnsi="Times New Roman" w:cs="Times New Roman"/>
          <w:sz w:val="24"/>
          <w:szCs w:val="24"/>
          <w:lang w:eastAsia="pl-PL"/>
        </w:rPr>
        <w:t xml:space="preserve"> </w:t>
      </w:r>
    </w:p>
    <w:p w14:paraId="1B3AD8B6" w14:textId="77777777" w:rsidR="00C72FA4" w:rsidRPr="005F0A32" w:rsidRDefault="00C72FA4" w:rsidP="00E7359C">
      <w:pPr>
        <w:spacing w:after="0"/>
        <w:contextualSpacing/>
        <w:jc w:val="both"/>
        <w:rPr>
          <w:rFonts w:ascii="Times New Roman" w:eastAsia="Times New Roman" w:hAnsi="Times New Roman" w:cs="Times New Roman"/>
          <w:sz w:val="24"/>
          <w:szCs w:val="24"/>
          <w:u w:val="single"/>
          <w:lang w:eastAsia="pl-PL"/>
        </w:rPr>
      </w:pPr>
    </w:p>
    <w:p w14:paraId="3B987B8F" w14:textId="77777777" w:rsidR="00C72FA4" w:rsidRPr="00BB5AFD" w:rsidRDefault="00BB5AFD" w:rsidP="008C71A9">
      <w:pPr>
        <w:pStyle w:val="Akapitzlist"/>
        <w:numPr>
          <w:ilvl w:val="0"/>
          <w:numId w:val="130"/>
        </w:numPr>
        <w:spacing w:after="0"/>
        <w:ind w:left="360"/>
        <w:jc w:val="both"/>
        <w:rPr>
          <w:rFonts w:ascii="Times New Roman" w:eastAsia="Times New Roman" w:hAnsi="Times New Roman" w:cs="Times New Roman"/>
          <w:sz w:val="24"/>
          <w:szCs w:val="24"/>
          <w:lang w:eastAsia="pl-PL"/>
        </w:rPr>
      </w:pPr>
      <w:r w:rsidRPr="00BB5AFD">
        <w:rPr>
          <w:rFonts w:ascii="Times New Roman" w:eastAsia="Times New Roman" w:hAnsi="Times New Roman" w:cs="Times New Roman"/>
          <w:sz w:val="24"/>
          <w:szCs w:val="24"/>
          <w:lang w:eastAsia="pl-PL"/>
        </w:rPr>
        <w:t>Powiat Lubaczowski</w:t>
      </w:r>
    </w:p>
    <w:p w14:paraId="63C8F4B0" w14:textId="77777777" w:rsidR="00C72FA4" w:rsidRPr="00BB5AFD" w:rsidRDefault="00C72FA4" w:rsidP="008C71A9">
      <w:pPr>
        <w:pStyle w:val="Akapitzlist"/>
        <w:numPr>
          <w:ilvl w:val="0"/>
          <w:numId w:val="129"/>
        </w:numPr>
        <w:spacing w:after="0"/>
        <w:ind w:left="643"/>
        <w:jc w:val="both"/>
        <w:rPr>
          <w:rFonts w:ascii="Times New Roman" w:eastAsia="Times New Roman" w:hAnsi="Times New Roman" w:cs="Times New Roman"/>
          <w:sz w:val="24"/>
          <w:szCs w:val="24"/>
          <w:lang w:eastAsia="pl-PL"/>
        </w:rPr>
      </w:pPr>
      <w:r w:rsidRPr="00BB5AFD">
        <w:rPr>
          <w:rFonts w:ascii="Times New Roman" w:eastAsia="Times New Roman" w:hAnsi="Times New Roman" w:cs="Times New Roman"/>
          <w:sz w:val="24"/>
          <w:szCs w:val="24"/>
          <w:lang w:eastAsia="pl-PL"/>
        </w:rPr>
        <w:t xml:space="preserve">W lutym 2019 r. we współpracy z parafią pw. Św. Stanisława BM w Lubaczowie zorganizowano </w:t>
      </w:r>
      <w:r w:rsidRPr="00BB5AFD">
        <w:rPr>
          <w:rFonts w:ascii="Times New Roman" w:eastAsia="Times New Roman" w:hAnsi="Times New Roman" w:cs="Times New Roman"/>
          <w:i/>
          <w:sz w:val="24"/>
          <w:szCs w:val="24"/>
          <w:lang w:eastAsia="pl-PL"/>
        </w:rPr>
        <w:t xml:space="preserve">obchody </w:t>
      </w:r>
      <w:r w:rsidRPr="00BB5AFD">
        <w:rPr>
          <w:rFonts w:ascii="Times New Roman" w:eastAsia="Times New Roman" w:hAnsi="Times New Roman" w:cs="Times New Roman"/>
          <w:b/>
          <w:i/>
          <w:sz w:val="24"/>
          <w:szCs w:val="24"/>
          <w:lang w:eastAsia="pl-PL"/>
        </w:rPr>
        <w:t>Światowego Dnia Chorego w Konkatedrze w Lubaczowie</w:t>
      </w:r>
      <w:r w:rsidRPr="00BB5AFD">
        <w:rPr>
          <w:rFonts w:ascii="Times New Roman" w:eastAsia="Times New Roman" w:hAnsi="Times New Roman" w:cs="Times New Roman"/>
          <w:sz w:val="24"/>
          <w:szCs w:val="24"/>
          <w:lang w:eastAsia="pl-PL"/>
        </w:rPr>
        <w:t xml:space="preserve">. </w:t>
      </w:r>
      <w:r w:rsidRPr="00BB5AFD">
        <w:rPr>
          <w:rFonts w:ascii="Times New Roman" w:eastAsia="Times New Roman" w:hAnsi="Times New Roman" w:cs="Times New Roman"/>
          <w:sz w:val="24"/>
          <w:szCs w:val="24"/>
          <w:lang w:eastAsia="pl-PL"/>
        </w:rPr>
        <w:br/>
        <w:t>W obchodach wzięli udział mieszkańcy Domów Pomocy Społecznej, uczestnicy Środowiskowych Domów Samopomocy i Warsztatu Terapii Zajęciowej w Oleszycach, podopieczni Specjalnego Ośrodka Szkolno-Wychowawczego w Lubaczowie i Ośrodka Rehabilitacyjno-Edukacyjno-Wychowawczego w Oleszycach, przedstawiciele Związku Niewidomych w Lubaczowie oraz zaproszeni goście.</w:t>
      </w:r>
      <w:r w:rsidRPr="00BB5AFD">
        <w:rPr>
          <w:rFonts w:ascii="Times New Roman" w:hAnsi="Times New Roman" w:cs="Times New Roman"/>
          <w:color w:val="003051"/>
          <w:sz w:val="24"/>
          <w:szCs w:val="24"/>
          <w:shd w:val="clear" w:color="auto" w:fill="FFFFFF"/>
        </w:rPr>
        <w:t xml:space="preserve"> </w:t>
      </w:r>
      <w:r w:rsidRPr="00BB5AFD">
        <w:rPr>
          <w:rFonts w:ascii="Times New Roman" w:eastAsia="Times New Roman" w:hAnsi="Times New Roman" w:cs="Times New Roman"/>
          <w:sz w:val="24"/>
          <w:szCs w:val="24"/>
          <w:lang w:eastAsia="pl-PL"/>
        </w:rPr>
        <w:t>Po Mszy Świętej odbyło się spotkanie integracyjne wszystkich uczestników obchodów. Swoją twórczość zaprezentowali mieszkańcy  Domu Pomocy Społecznej z Wielkic</w:t>
      </w:r>
      <w:r w:rsidR="00BB5AFD">
        <w:rPr>
          <w:rFonts w:ascii="Times New Roman" w:eastAsia="Times New Roman" w:hAnsi="Times New Roman" w:cs="Times New Roman"/>
          <w:sz w:val="24"/>
          <w:szCs w:val="24"/>
          <w:lang w:eastAsia="pl-PL"/>
        </w:rPr>
        <w:t xml:space="preserve">h Oczu, Domu Pomocy Społecznej </w:t>
      </w:r>
      <w:r w:rsidRPr="00BB5AFD">
        <w:rPr>
          <w:rFonts w:ascii="Times New Roman" w:eastAsia="Times New Roman" w:hAnsi="Times New Roman" w:cs="Times New Roman"/>
          <w:sz w:val="24"/>
          <w:szCs w:val="24"/>
          <w:lang w:eastAsia="pl-PL"/>
        </w:rPr>
        <w:t xml:space="preserve">z Lubaczowa, Domu Pomocy Społecznej z Rudy Różanieckiej oraz uczestnicy Środowiskowego Dom Samopomocy z Horyńca Zdroju. Łącznie w obchodach uczestniczyło ok. 180 osób, w tym ok. 80 osób starszych. </w:t>
      </w:r>
      <w:r w:rsidRPr="00BB5AFD">
        <w:rPr>
          <w:rFonts w:ascii="Times New Roman" w:hAnsi="Times New Roman" w:cs="Times New Roman"/>
          <w:sz w:val="24"/>
          <w:szCs w:val="24"/>
        </w:rPr>
        <w:t>Informacja na temat projektu znajduje s</w:t>
      </w:r>
      <w:r w:rsidR="00183D5C">
        <w:rPr>
          <w:rFonts w:ascii="Times New Roman" w:hAnsi="Times New Roman" w:cs="Times New Roman"/>
          <w:sz w:val="24"/>
          <w:szCs w:val="24"/>
        </w:rPr>
        <w:t>ię na stronie PCPR w Lubaczowie</w:t>
      </w:r>
      <w:r w:rsidR="00183D5C">
        <w:rPr>
          <w:rStyle w:val="Odwoanieprzypisudolnego"/>
          <w:rFonts w:ascii="Times New Roman" w:hAnsi="Times New Roman" w:cs="Times New Roman"/>
          <w:sz w:val="24"/>
          <w:szCs w:val="24"/>
        </w:rPr>
        <w:footnoteReference w:id="145"/>
      </w:r>
      <w:r w:rsidR="00183D5C">
        <w:rPr>
          <w:rFonts w:ascii="Times New Roman" w:hAnsi="Times New Roman" w:cs="Times New Roman"/>
          <w:sz w:val="24"/>
          <w:szCs w:val="24"/>
        </w:rPr>
        <w:t>.</w:t>
      </w:r>
    </w:p>
    <w:p w14:paraId="2F5FF8AD" w14:textId="77777777" w:rsidR="00C72FA4" w:rsidRPr="00BB5AFD" w:rsidRDefault="00C72FA4" w:rsidP="00E7359C">
      <w:pPr>
        <w:spacing w:after="0"/>
        <w:contextualSpacing/>
        <w:jc w:val="both"/>
        <w:rPr>
          <w:rFonts w:ascii="Times New Roman" w:eastAsia="Times New Roman" w:hAnsi="Times New Roman" w:cs="Times New Roman"/>
          <w:sz w:val="24"/>
          <w:szCs w:val="24"/>
          <w:lang w:eastAsia="pl-PL"/>
        </w:rPr>
      </w:pPr>
    </w:p>
    <w:p w14:paraId="0FD3DE8A" w14:textId="77777777" w:rsidR="00C72FA4" w:rsidRPr="00BB5AFD" w:rsidRDefault="00BB5AFD" w:rsidP="008C71A9">
      <w:pPr>
        <w:pStyle w:val="Akapitzlist"/>
        <w:numPr>
          <w:ilvl w:val="0"/>
          <w:numId w:val="73"/>
        </w:numPr>
        <w:spacing w:after="0"/>
        <w:jc w:val="both"/>
        <w:rPr>
          <w:rFonts w:ascii="Times New Roman" w:eastAsia="Times New Roman" w:hAnsi="Times New Roman" w:cs="Times New Roman"/>
          <w:sz w:val="24"/>
          <w:szCs w:val="24"/>
          <w:lang w:eastAsia="pl-PL"/>
        </w:rPr>
      </w:pPr>
      <w:r w:rsidRPr="00BB5AFD">
        <w:rPr>
          <w:rFonts w:ascii="Times New Roman" w:eastAsia="Times New Roman" w:hAnsi="Times New Roman" w:cs="Times New Roman"/>
          <w:sz w:val="24"/>
          <w:szCs w:val="24"/>
          <w:lang w:eastAsia="pl-PL"/>
        </w:rPr>
        <w:t>Powiat Niżański</w:t>
      </w:r>
    </w:p>
    <w:p w14:paraId="4E0D17DE" w14:textId="77777777" w:rsidR="00BB5AFD" w:rsidRDefault="00C72FA4" w:rsidP="008C71A9">
      <w:pPr>
        <w:pStyle w:val="Akapitzlist"/>
        <w:numPr>
          <w:ilvl w:val="0"/>
          <w:numId w:val="129"/>
        </w:numPr>
        <w:spacing w:after="0"/>
        <w:ind w:left="643"/>
        <w:jc w:val="both"/>
        <w:rPr>
          <w:rFonts w:ascii="Times New Roman" w:hAnsi="Times New Roman" w:cs="Times New Roman"/>
          <w:sz w:val="24"/>
          <w:szCs w:val="24"/>
          <w:lang w:eastAsia="pl-PL"/>
        </w:rPr>
      </w:pPr>
      <w:r w:rsidRPr="00BB5AFD">
        <w:rPr>
          <w:rFonts w:ascii="Times New Roman" w:hAnsi="Times New Roman" w:cs="Times New Roman"/>
          <w:b/>
          <w:sz w:val="24"/>
          <w:szCs w:val="24"/>
          <w:lang w:eastAsia="pl-PL"/>
        </w:rPr>
        <w:t>Projekt „Aktywny senior”</w:t>
      </w:r>
      <w:r w:rsidRPr="00BB5AFD">
        <w:rPr>
          <w:rFonts w:ascii="Times New Roman" w:hAnsi="Times New Roman" w:cs="Times New Roman"/>
          <w:sz w:val="24"/>
          <w:szCs w:val="24"/>
          <w:lang w:eastAsia="pl-PL"/>
        </w:rPr>
        <w:t xml:space="preserve"> realizowany był w 2019 r. przez Stowarzyszenie „Niżańskie Centrum Rozwoju” w Racławicach. Jego celem było zwiększenie różnorodności i poprawa jakości oferty edukacyjnej dla osób starszych z terenu powiatu niżańskiego oraz zwiększenie aktywności osób starszych poprzez edukację i aktywność społeczną w okresie realizacji projektu. Grupę docelową stanowili seniorzy (osoby, które ukończyły 60 rok życia) zamieszkujący powiat niżański, w szczególności osoby należące do jednego z 4 Kół Terenowych Polskiego Związku Emerytów, Rencistów</w:t>
      </w:r>
      <w:r w:rsidR="00BB5AFD">
        <w:rPr>
          <w:rFonts w:ascii="Times New Roman" w:hAnsi="Times New Roman" w:cs="Times New Roman"/>
          <w:sz w:val="24"/>
          <w:szCs w:val="24"/>
          <w:lang w:eastAsia="pl-PL"/>
        </w:rPr>
        <w:t xml:space="preserve"> i Inwalidów, Oddział Rejonowy </w:t>
      </w:r>
      <w:r w:rsidRPr="00BB5AFD">
        <w:rPr>
          <w:rFonts w:ascii="Times New Roman" w:hAnsi="Times New Roman" w:cs="Times New Roman"/>
          <w:sz w:val="24"/>
          <w:szCs w:val="24"/>
          <w:lang w:eastAsia="pl-PL"/>
        </w:rPr>
        <w:t>w Rudniku nad Sanem (Nisko, Rudnik nad Sanem, Ulanów, Krzeszów).</w:t>
      </w:r>
      <w:r w:rsidR="00BB5AFD">
        <w:rPr>
          <w:rFonts w:ascii="Times New Roman" w:hAnsi="Times New Roman" w:cs="Times New Roman"/>
          <w:sz w:val="24"/>
          <w:szCs w:val="24"/>
          <w:lang w:eastAsia="pl-PL"/>
        </w:rPr>
        <w:t xml:space="preserve"> </w:t>
      </w:r>
      <w:r w:rsidRPr="00BB5AFD">
        <w:rPr>
          <w:rFonts w:ascii="Times New Roman" w:hAnsi="Times New Roman" w:cs="Times New Roman"/>
          <w:sz w:val="24"/>
          <w:szCs w:val="24"/>
          <w:lang w:eastAsia="pl-PL"/>
        </w:rPr>
        <w:t xml:space="preserve">W ramach projektu, na który Stowarzyszenie pozyskało 134.102 zł, zrealizowane zostały działania z zakresu: edukacji lokalno-regionalnej (spotkanie edukacyjno-lokalne z kulturą flisacką w Ulanowie, spotkanie edukacyjno-lokalne „Nad Błękitnym Sanem” w Krzeszowie, wyjazd edukacyjno-regionalny do Jarosławia i Przeworska), kulturalnej (warsztaty śpiewu, występy seniorów, spotkanie edukacyjno-kulturalne w Nisku, wyjazdy edukacyjne do filharmonii/teatru/operetki), prozdrowotnej i na rzecz opieki nad osobami starszymi (szkolenie z zakresu pomocy osobom starszym, pomoc osobom starszym przez seniorów-wolontariuszy, spotkania edukacyjne z lekarzem/pielęgniarką z zakresu zdrowia, spotkania edukacyjne z ratownikiem, zajęcia gimnastyczne, wyjazdy edukacyjno-zdrowotne do Solca-Zdrój i okolic), turystycznej (Klub Turysty, wyjazd edukacyjno-turystyczny Szlakiem Piastowskich Grodów), z zakresu funkcjonowania we współczesnym świecie (zajęcia z języka angielskiego, warsztaty artystyczno-manualne, </w:t>
      </w:r>
      <w:r w:rsidRPr="00BB5AFD">
        <w:rPr>
          <w:rFonts w:ascii="Times New Roman" w:hAnsi="Times New Roman" w:cs="Times New Roman"/>
          <w:sz w:val="24"/>
          <w:szCs w:val="24"/>
          <w:lang w:eastAsia="pl-PL"/>
        </w:rPr>
        <w:lastRenderedPageBreak/>
        <w:t>warsztaty dekoracji stołów, warsztaty fotograficzne, wydanie kalendarza, spotkanie podsumowujące).</w:t>
      </w:r>
    </w:p>
    <w:p w14:paraId="67598147" w14:textId="77777777" w:rsidR="00C72FA4" w:rsidRPr="00BB5AFD" w:rsidRDefault="00C72FA4" w:rsidP="008C71A9">
      <w:pPr>
        <w:pStyle w:val="Akapitzlist"/>
        <w:numPr>
          <w:ilvl w:val="0"/>
          <w:numId w:val="129"/>
        </w:numPr>
        <w:spacing w:after="0"/>
        <w:ind w:left="643"/>
        <w:jc w:val="both"/>
        <w:rPr>
          <w:rFonts w:ascii="Times New Roman" w:hAnsi="Times New Roman" w:cs="Times New Roman"/>
          <w:sz w:val="24"/>
          <w:szCs w:val="24"/>
          <w:lang w:eastAsia="pl-PL"/>
        </w:rPr>
      </w:pPr>
      <w:r w:rsidRPr="00BB5AFD">
        <w:rPr>
          <w:rFonts w:ascii="Times New Roman" w:hAnsi="Times New Roman" w:cs="Times New Roman"/>
          <w:b/>
          <w:sz w:val="24"/>
          <w:szCs w:val="24"/>
          <w:lang w:eastAsia="pl-PL"/>
        </w:rPr>
        <w:t>Projekt „Gminna Sieć Wsparcia Seniorów”</w:t>
      </w:r>
      <w:r w:rsidRPr="00BB5AFD">
        <w:rPr>
          <w:rFonts w:ascii="Times New Roman" w:hAnsi="Times New Roman" w:cs="Times New Roman"/>
          <w:sz w:val="24"/>
          <w:szCs w:val="24"/>
          <w:lang w:eastAsia="pl-PL"/>
        </w:rPr>
        <w:t xml:space="preserve"> realizowany był w 2019 r. przez Stowarzyszenie Podkarpacka Strefa Edukacji i Kultury „Wstęp Wolny” w Ulanowie. Projekt adresowany był do 45 mieszkańców Gminy Ulanów, którzy ukończyli 60 lat. Jego celem była poprawa jakości życia osób starszych, wzbudzanie ich aktywności s</w:t>
      </w:r>
      <w:r w:rsidR="00BB5AFD">
        <w:rPr>
          <w:rFonts w:ascii="Times New Roman" w:hAnsi="Times New Roman" w:cs="Times New Roman"/>
          <w:sz w:val="24"/>
          <w:szCs w:val="24"/>
          <w:lang w:eastAsia="pl-PL"/>
        </w:rPr>
        <w:t xml:space="preserve">połecznej i chęci uczestnictwa </w:t>
      </w:r>
      <w:r w:rsidRPr="00BB5AFD">
        <w:rPr>
          <w:rFonts w:ascii="Times New Roman" w:hAnsi="Times New Roman" w:cs="Times New Roman"/>
          <w:sz w:val="24"/>
          <w:szCs w:val="24"/>
          <w:lang w:eastAsia="pl-PL"/>
        </w:rPr>
        <w:t>w życiu publicznym oraz niesienie pomocy innym, niezbyt samodzielnym seniorom.</w:t>
      </w:r>
      <w:r w:rsidR="00BB5AFD">
        <w:rPr>
          <w:rFonts w:ascii="Times New Roman" w:hAnsi="Times New Roman" w:cs="Times New Roman"/>
          <w:sz w:val="24"/>
          <w:szCs w:val="24"/>
          <w:lang w:eastAsia="pl-PL"/>
        </w:rPr>
        <w:t xml:space="preserve"> </w:t>
      </w:r>
      <w:r w:rsidRPr="00BB5AFD">
        <w:rPr>
          <w:rFonts w:ascii="Times New Roman" w:hAnsi="Times New Roman" w:cs="Times New Roman"/>
          <w:sz w:val="24"/>
          <w:szCs w:val="24"/>
          <w:lang w:eastAsia="pl-PL"/>
        </w:rPr>
        <w:t xml:space="preserve">W ramach projektu, na który Stowarzyszenie pozyskało 94.057 zł, można wymienić główne działania: cykl warsztatów „Kultura regionu” (zachowanie tradycji lokalnych, poznanie miejsc związanych z kulturą ludową regionu z wycieczką do Skansenu w Sanoku), cykl zajęć sportowych ogólnorozwojowych (aerobik, rekreacja taneczna, wyjazdy na basen z instruktorem dla seniorów), wycieczki turystyczno – krajoznawcze (w tym 3-dniowa „Zakopane dla seniorów”), szkolenie wyjazdowe dla chętnych i otwartych na nowe wyzwania (z wizytą studyjną), działalność Sieci Wsparcia oraz prowadzenie Caffe Senior (z punktem informacyjno – konsultacyjnym dla wszystkich seniorów z Gminy Ulanów).   </w:t>
      </w:r>
      <w:r w:rsidRPr="00BB5AFD">
        <w:rPr>
          <w:rFonts w:ascii="Times New Roman" w:hAnsi="Times New Roman" w:cs="Times New Roman"/>
          <w:sz w:val="24"/>
          <w:szCs w:val="24"/>
        </w:rPr>
        <w:t>Informacja na temat projektu znajduje się na stronie Powiatu Niżańskieg</w:t>
      </w:r>
      <w:r w:rsidR="00183D5C">
        <w:rPr>
          <w:rFonts w:ascii="Times New Roman" w:hAnsi="Times New Roman" w:cs="Times New Roman"/>
          <w:sz w:val="24"/>
          <w:szCs w:val="24"/>
        </w:rPr>
        <w:t>o</w:t>
      </w:r>
      <w:r w:rsidR="00183D5C">
        <w:rPr>
          <w:rStyle w:val="Odwoanieprzypisudolnego"/>
          <w:rFonts w:ascii="Times New Roman" w:hAnsi="Times New Roman" w:cs="Times New Roman"/>
          <w:sz w:val="24"/>
          <w:szCs w:val="24"/>
        </w:rPr>
        <w:footnoteReference w:id="146"/>
      </w:r>
      <w:r w:rsidR="00183D5C">
        <w:rPr>
          <w:rFonts w:ascii="Times New Roman" w:hAnsi="Times New Roman" w:cs="Times New Roman"/>
          <w:sz w:val="24"/>
          <w:szCs w:val="24"/>
        </w:rPr>
        <w:t>.</w:t>
      </w:r>
      <w:r w:rsidR="00183D5C" w:rsidRPr="00BB5AFD">
        <w:rPr>
          <w:rFonts w:ascii="Times New Roman" w:hAnsi="Times New Roman" w:cs="Times New Roman"/>
          <w:sz w:val="24"/>
          <w:szCs w:val="24"/>
          <w:lang w:eastAsia="pl-PL"/>
        </w:rPr>
        <w:t xml:space="preserve"> </w:t>
      </w:r>
    </w:p>
    <w:p w14:paraId="6FC174A1" w14:textId="77777777" w:rsidR="00C72FA4" w:rsidRPr="005F0A32" w:rsidRDefault="00C72FA4" w:rsidP="00E7359C">
      <w:pPr>
        <w:spacing w:after="0"/>
        <w:contextualSpacing/>
        <w:jc w:val="both"/>
        <w:rPr>
          <w:rFonts w:ascii="Times New Roman" w:hAnsi="Times New Roman" w:cs="Times New Roman"/>
          <w:sz w:val="24"/>
          <w:szCs w:val="24"/>
          <w:u w:val="single"/>
        </w:rPr>
      </w:pPr>
    </w:p>
    <w:p w14:paraId="6BA43DA5" w14:textId="77777777" w:rsidR="00C72FA4" w:rsidRPr="00BB5AFD" w:rsidRDefault="00BB5AFD" w:rsidP="008C71A9">
      <w:pPr>
        <w:pStyle w:val="Akapitzlist"/>
        <w:numPr>
          <w:ilvl w:val="0"/>
          <w:numId w:val="73"/>
        </w:numPr>
        <w:spacing w:after="0"/>
        <w:jc w:val="both"/>
        <w:rPr>
          <w:rFonts w:ascii="Times New Roman" w:hAnsi="Times New Roman" w:cs="Times New Roman"/>
          <w:sz w:val="24"/>
          <w:szCs w:val="24"/>
        </w:rPr>
      </w:pPr>
      <w:r w:rsidRPr="00BB5AFD">
        <w:rPr>
          <w:rFonts w:ascii="Times New Roman" w:hAnsi="Times New Roman" w:cs="Times New Roman"/>
          <w:sz w:val="24"/>
          <w:szCs w:val="24"/>
        </w:rPr>
        <w:t>Gmina Krasne</w:t>
      </w:r>
    </w:p>
    <w:p w14:paraId="16DDD835" w14:textId="77777777" w:rsidR="00C72FA4" w:rsidRPr="00BB5AFD" w:rsidRDefault="00C72FA4" w:rsidP="008C71A9">
      <w:pPr>
        <w:pStyle w:val="Akapitzlist"/>
        <w:numPr>
          <w:ilvl w:val="0"/>
          <w:numId w:val="131"/>
        </w:numPr>
        <w:spacing w:after="0"/>
        <w:ind w:left="643"/>
        <w:jc w:val="both"/>
        <w:rPr>
          <w:rFonts w:ascii="Times New Roman" w:hAnsi="Times New Roman" w:cs="Times New Roman"/>
          <w:sz w:val="24"/>
          <w:szCs w:val="24"/>
        </w:rPr>
      </w:pPr>
      <w:r w:rsidRPr="00BB5AFD">
        <w:rPr>
          <w:rFonts w:ascii="Times New Roman" w:hAnsi="Times New Roman" w:cs="Times New Roman"/>
          <w:sz w:val="24"/>
          <w:szCs w:val="24"/>
        </w:rPr>
        <w:t xml:space="preserve">Zadanie publiczne pt. </w:t>
      </w:r>
      <w:r w:rsidRPr="00BB5AFD">
        <w:rPr>
          <w:rFonts w:ascii="Times New Roman" w:hAnsi="Times New Roman" w:cs="Times New Roman"/>
          <w:b/>
          <w:sz w:val="24"/>
          <w:szCs w:val="24"/>
        </w:rPr>
        <w:t>„Seniorzy aktywni lokalnie”</w:t>
      </w:r>
      <w:r w:rsidRPr="00BB5AFD">
        <w:rPr>
          <w:rFonts w:ascii="Times New Roman" w:hAnsi="Times New Roman" w:cs="Times New Roman"/>
          <w:sz w:val="24"/>
          <w:szCs w:val="24"/>
        </w:rPr>
        <w:t xml:space="preserve"> zrealizowane przez Fundację Rozwoju „Dobre Życie”. Polegało na organizacji w dniu 22 października 2019 r. debaty dla seniorów, ich rodzin i sąsiadów z terenu gminy Krasne. Na spotkanie, pod hasłem „Blisko mieszkamy wspólnie działamy”, przybyło 70 osób, z czego ponad </w:t>
      </w:r>
      <w:r w:rsidR="00BB5AFD">
        <w:rPr>
          <w:rFonts w:ascii="Times New Roman" w:hAnsi="Times New Roman" w:cs="Times New Roman"/>
          <w:sz w:val="24"/>
          <w:szCs w:val="24"/>
        </w:rPr>
        <w:t xml:space="preserve">40 stanowiły osoby </w:t>
      </w:r>
      <w:r w:rsidRPr="00BB5AFD">
        <w:rPr>
          <w:rFonts w:ascii="Times New Roman" w:hAnsi="Times New Roman" w:cs="Times New Roman"/>
          <w:sz w:val="24"/>
          <w:szCs w:val="24"/>
        </w:rPr>
        <w:t>w wieku 60+. Uczestnicy spotkania dyskutowali o potrzebach i sytuacji seniorów w gminie Krasne, a wnioski zawarte zostały w raporcie ewaluacyjnym. Całkowity koszt realizacji zadania wyniósł 2 305,00 zł, w tym dotacja 1 240,00 zł (c</w:t>
      </w:r>
      <w:r w:rsidR="00183D5C">
        <w:rPr>
          <w:rFonts w:ascii="Times New Roman" w:hAnsi="Times New Roman" w:cs="Times New Roman"/>
          <w:sz w:val="24"/>
          <w:szCs w:val="24"/>
        </w:rPr>
        <w:t>o stanowi 54% wartości zadania)</w:t>
      </w:r>
      <w:r w:rsidR="00183D5C">
        <w:rPr>
          <w:rStyle w:val="Odwoanieprzypisudolnego"/>
          <w:rFonts w:ascii="Times New Roman" w:hAnsi="Times New Roman" w:cs="Times New Roman"/>
          <w:sz w:val="24"/>
          <w:szCs w:val="24"/>
        </w:rPr>
        <w:footnoteReference w:id="147"/>
      </w:r>
      <w:r w:rsidR="00183D5C">
        <w:rPr>
          <w:rFonts w:ascii="Times New Roman" w:hAnsi="Times New Roman" w:cs="Times New Roman"/>
          <w:sz w:val="24"/>
          <w:szCs w:val="24"/>
        </w:rPr>
        <w:t>.</w:t>
      </w:r>
    </w:p>
    <w:p w14:paraId="57BC2712" w14:textId="77777777" w:rsidR="00C72FA4" w:rsidRPr="00BB5AFD" w:rsidRDefault="00C72FA4" w:rsidP="00E7359C">
      <w:pPr>
        <w:spacing w:after="0"/>
        <w:contextualSpacing/>
        <w:jc w:val="both"/>
        <w:rPr>
          <w:rFonts w:ascii="Times New Roman" w:eastAsia="Times New Roman" w:hAnsi="Times New Roman" w:cs="Times New Roman"/>
          <w:sz w:val="24"/>
          <w:szCs w:val="24"/>
          <w:lang w:eastAsia="pl-PL"/>
        </w:rPr>
      </w:pPr>
    </w:p>
    <w:p w14:paraId="6833B1C2" w14:textId="77777777" w:rsidR="00C72FA4" w:rsidRPr="00BB5AFD" w:rsidRDefault="00BB5AFD" w:rsidP="008C71A9">
      <w:pPr>
        <w:pStyle w:val="Akapitzlist"/>
        <w:numPr>
          <w:ilvl w:val="0"/>
          <w:numId w:val="132"/>
        </w:numPr>
        <w:spacing w:after="0"/>
        <w:ind w:left="360"/>
        <w:jc w:val="both"/>
        <w:rPr>
          <w:rFonts w:ascii="Times New Roman" w:eastAsia="Times New Roman" w:hAnsi="Times New Roman" w:cs="Times New Roman"/>
          <w:sz w:val="24"/>
          <w:szCs w:val="24"/>
          <w:lang w:eastAsia="pl-PL"/>
        </w:rPr>
      </w:pPr>
      <w:r w:rsidRPr="00BB5AFD">
        <w:rPr>
          <w:rFonts w:ascii="Times New Roman" w:eastAsia="Times New Roman" w:hAnsi="Times New Roman" w:cs="Times New Roman"/>
          <w:sz w:val="24"/>
          <w:szCs w:val="24"/>
          <w:lang w:eastAsia="pl-PL"/>
        </w:rPr>
        <w:t>Gmina Boguchwała</w:t>
      </w:r>
    </w:p>
    <w:p w14:paraId="22373F9D" w14:textId="77777777" w:rsidR="00C72FA4" w:rsidRPr="00A909F7" w:rsidRDefault="00C72FA4" w:rsidP="008C71A9">
      <w:pPr>
        <w:pStyle w:val="Akapitzlist"/>
        <w:numPr>
          <w:ilvl w:val="0"/>
          <w:numId w:val="394"/>
        </w:numPr>
        <w:spacing w:after="0"/>
        <w:ind w:left="643"/>
        <w:jc w:val="both"/>
        <w:rPr>
          <w:rFonts w:ascii="Times New Roman" w:eastAsia="Times New Roman" w:hAnsi="Times New Roman" w:cs="Times New Roman"/>
          <w:sz w:val="24"/>
          <w:szCs w:val="24"/>
          <w:lang w:eastAsia="pl-PL"/>
        </w:rPr>
      </w:pPr>
      <w:r w:rsidRPr="00A909F7">
        <w:rPr>
          <w:rFonts w:ascii="Times New Roman" w:eastAsia="Times New Roman" w:hAnsi="Times New Roman" w:cs="Times New Roman"/>
          <w:sz w:val="24"/>
          <w:szCs w:val="24"/>
          <w:lang w:eastAsia="pl-PL"/>
        </w:rPr>
        <w:t xml:space="preserve">Realizacja </w:t>
      </w:r>
      <w:r w:rsidRPr="00A909F7">
        <w:rPr>
          <w:rFonts w:ascii="Times New Roman" w:eastAsia="Times New Roman" w:hAnsi="Times New Roman" w:cs="Times New Roman"/>
          <w:b/>
          <w:i/>
          <w:sz w:val="24"/>
          <w:szCs w:val="24"/>
          <w:lang w:eastAsia="pl-PL"/>
        </w:rPr>
        <w:t>„Programu rehabilitacji mieszkańców Gminy Boguchwała”</w:t>
      </w:r>
      <w:r w:rsidRPr="00A909F7">
        <w:rPr>
          <w:rFonts w:ascii="Times New Roman" w:eastAsia="Times New Roman" w:hAnsi="Times New Roman" w:cs="Times New Roman"/>
          <w:sz w:val="24"/>
          <w:szCs w:val="24"/>
          <w:lang w:eastAsia="pl-PL"/>
        </w:rPr>
        <w:t xml:space="preserve"> w okresie od lipca do grudnia 2019 r. W ramach tego programu osoby po 60 roku życia, po konsultacji lekarskiej, kierowane były na zabiegi rehabilitacyjne w zakresie masażu, galwanizacji, jonoforezy, elektrostymulacji, prądów DD, prądów IN, UD, Mgt, Sollux, Laser, krioterapii. Każdy uczestniczący w projekcie kierowany był na mini</w:t>
      </w:r>
      <w:r w:rsidR="00A909F7">
        <w:rPr>
          <w:rFonts w:ascii="Times New Roman" w:eastAsia="Times New Roman" w:hAnsi="Times New Roman" w:cs="Times New Roman"/>
          <w:sz w:val="24"/>
          <w:szCs w:val="24"/>
          <w:lang w:eastAsia="pl-PL"/>
        </w:rPr>
        <w:t xml:space="preserve">mum 10 – dniowy cykl zabiegów, </w:t>
      </w:r>
      <w:r w:rsidRPr="00A909F7">
        <w:rPr>
          <w:rFonts w:ascii="Times New Roman" w:eastAsia="Times New Roman" w:hAnsi="Times New Roman" w:cs="Times New Roman"/>
          <w:sz w:val="24"/>
          <w:szCs w:val="24"/>
          <w:lang w:eastAsia="pl-PL"/>
        </w:rPr>
        <w:t>z pomocy skorzystało blisko 60 osób, wykonano 563 pakiety</w:t>
      </w:r>
      <w:r w:rsidR="00183D5C">
        <w:rPr>
          <w:rStyle w:val="Odwoanieprzypisudolnego"/>
          <w:rFonts w:ascii="Times New Roman" w:eastAsia="Times New Roman" w:hAnsi="Times New Roman" w:cs="Times New Roman"/>
          <w:sz w:val="24"/>
          <w:szCs w:val="24"/>
          <w:lang w:eastAsia="pl-PL"/>
        </w:rPr>
        <w:footnoteReference w:id="148"/>
      </w:r>
      <w:r w:rsidRPr="00A909F7">
        <w:rPr>
          <w:rFonts w:ascii="Times New Roman" w:eastAsia="Times New Roman" w:hAnsi="Times New Roman" w:cs="Times New Roman"/>
          <w:sz w:val="24"/>
          <w:szCs w:val="24"/>
          <w:lang w:eastAsia="pl-PL"/>
        </w:rPr>
        <w:t xml:space="preserve">. </w:t>
      </w:r>
    </w:p>
    <w:p w14:paraId="3C901F3C" w14:textId="77777777" w:rsidR="00C72FA4" w:rsidRPr="005F0A32" w:rsidRDefault="00C72FA4" w:rsidP="00E7359C">
      <w:pPr>
        <w:spacing w:after="0"/>
        <w:contextualSpacing/>
        <w:jc w:val="both"/>
        <w:rPr>
          <w:rFonts w:ascii="Times New Roman" w:eastAsia="Times New Roman" w:hAnsi="Times New Roman" w:cs="Times New Roman"/>
          <w:sz w:val="24"/>
          <w:szCs w:val="24"/>
          <w:lang w:eastAsia="pl-PL"/>
        </w:rPr>
      </w:pPr>
    </w:p>
    <w:p w14:paraId="000B194B" w14:textId="77777777" w:rsidR="00C72FA4" w:rsidRPr="00A909F7" w:rsidRDefault="00C72FA4" w:rsidP="008C71A9">
      <w:pPr>
        <w:pStyle w:val="Akapitzlist"/>
        <w:numPr>
          <w:ilvl w:val="0"/>
          <w:numId w:val="133"/>
        </w:numPr>
        <w:spacing w:after="0"/>
        <w:ind w:left="360"/>
        <w:jc w:val="both"/>
        <w:rPr>
          <w:rFonts w:ascii="Times New Roman" w:eastAsia="Times New Roman" w:hAnsi="Times New Roman" w:cs="Times New Roman"/>
          <w:sz w:val="24"/>
          <w:szCs w:val="24"/>
          <w:lang w:eastAsia="pl-PL"/>
        </w:rPr>
      </w:pPr>
      <w:r w:rsidRPr="00A909F7">
        <w:rPr>
          <w:rFonts w:ascii="Times New Roman" w:eastAsia="Times New Roman" w:hAnsi="Times New Roman" w:cs="Times New Roman"/>
          <w:sz w:val="24"/>
          <w:szCs w:val="24"/>
          <w:lang w:eastAsia="pl-PL"/>
        </w:rPr>
        <w:t xml:space="preserve">Gmina Dębica </w:t>
      </w:r>
    </w:p>
    <w:p w14:paraId="44D5F337" w14:textId="77777777" w:rsidR="00C72FA4" w:rsidRPr="000A1AAA" w:rsidRDefault="00C72FA4" w:rsidP="008C71A9">
      <w:pPr>
        <w:pStyle w:val="Akapitzlist"/>
        <w:numPr>
          <w:ilvl w:val="0"/>
          <w:numId w:val="394"/>
        </w:numPr>
        <w:spacing w:after="0"/>
        <w:ind w:left="360"/>
        <w:jc w:val="both"/>
        <w:rPr>
          <w:rFonts w:ascii="Times New Roman" w:eastAsia="Times New Roman" w:hAnsi="Times New Roman" w:cs="Times New Roman"/>
          <w:sz w:val="24"/>
          <w:szCs w:val="24"/>
          <w:lang w:eastAsia="pl-PL"/>
        </w:rPr>
      </w:pPr>
      <w:r w:rsidRPr="000A1AAA">
        <w:rPr>
          <w:rFonts w:ascii="Times New Roman" w:eastAsia="Times New Roman" w:hAnsi="Times New Roman" w:cs="Times New Roman"/>
          <w:sz w:val="24"/>
          <w:szCs w:val="24"/>
          <w:lang w:eastAsia="pl-PL"/>
        </w:rPr>
        <w:t xml:space="preserve">Realizacja projektu </w:t>
      </w:r>
      <w:r w:rsidRPr="000A1AAA">
        <w:rPr>
          <w:rFonts w:ascii="Times New Roman" w:eastAsia="Times New Roman" w:hAnsi="Times New Roman" w:cs="Times New Roman"/>
          <w:b/>
          <w:i/>
          <w:sz w:val="24"/>
          <w:szCs w:val="24"/>
          <w:lang w:eastAsia="pl-PL"/>
        </w:rPr>
        <w:t>„Seniorzy w akcji – Słodkie tajemnice”</w:t>
      </w:r>
      <w:r w:rsidRPr="000A1AAA">
        <w:rPr>
          <w:rFonts w:ascii="Times New Roman" w:eastAsia="Times New Roman" w:hAnsi="Times New Roman" w:cs="Times New Roman"/>
          <w:sz w:val="24"/>
          <w:szCs w:val="24"/>
          <w:lang w:eastAsia="pl-PL"/>
        </w:rPr>
        <w:t xml:space="preserve"> miała na celu aktywizację tej grupy społecznej, kreowanie twórczych i aktywnych postaw, rozwijanie zainteresowań oraz </w:t>
      </w:r>
      <w:r w:rsidRPr="000A1AAA">
        <w:rPr>
          <w:rFonts w:ascii="Times New Roman" w:eastAsia="Times New Roman" w:hAnsi="Times New Roman" w:cs="Times New Roman"/>
          <w:sz w:val="24"/>
          <w:szCs w:val="24"/>
          <w:lang w:eastAsia="pl-PL"/>
        </w:rPr>
        <w:lastRenderedPageBreak/>
        <w:t xml:space="preserve">zagospodarowanie wolnego czasu. Pośrednim celem projektu było przywrócenie wiedzy </w:t>
      </w:r>
      <w:r w:rsidRPr="000A1AAA">
        <w:rPr>
          <w:rFonts w:ascii="Times New Roman" w:eastAsia="Times New Roman" w:hAnsi="Times New Roman" w:cs="Times New Roman"/>
          <w:sz w:val="24"/>
          <w:szCs w:val="24"/>
          <w:lang w:eastAsia="pl-PL"/>
        </w:rPr>
        <w:br/>
        <w:t>o tradycjach pszczelarskich oraz zastosowaniu produktów pszczelarskich w profilaktyce zdrowotnej, codziennym życiu i działalności artystycznej. W projekcie wzięło udział 40 beneficjentów, jego realizatorem było działające przy Gminnym Ośrodku Pomocy Społecznej w Dębicy Stowarzyszenie Inicjatyw Społecznych „Nowe Możliwości”</w:t>
      </w:r>
      <w:r w:rsidR="008628FD">
        <w:rPr>
          <w:rStyle w:val="Odwoanieprzypisudolnego"/>
          <w:rFonts w:ascii="Times New Roman" w:eastAsia="Times New Roman" w:hAnsi="Times New Roman" w:cs="Times New Roman"/>
          <w:sz w:val="24"/>
          <w:szCs w:val="24"/>
          <w:lang w:eastAsia="pl-PL"/>
        </w:rPr>
        <w:footnoteReference w:id="149"/>
      </w:r>
      <w:r w:rsidRPr="000A1AAA">
        <w:rPr>
          <w:rFonts w:ascii="Times New Roman" w:eastAsia="Times New Roman" w:hAnsi="Times New Roman" w:cs="Times New Roman"/>
          <w:sz w:val="24"/>
          <w:szCs w:val="24"/>
          <w:lang w:eastAsia="pl-PL"/>
        </w:rPr>
        <w:t>.</w:t>
      </w:r>
      <w:r w:rsidR="000A1AAA">
        <w:rPr>
          <w:rFonts w:ascii="Times New Roman" w:eastAsia="Times New Roman" w:hAnsi="Times New Roman" w:cs="Times New Roman"/>
          <w:sz w:val="24"/>
          <w:szCs w:val="24"/>
          <w:lang w:eastAsia="pl-PL"/>
        </w:rPr>
        <w:t xml:space="preserve"> </w:t>
      </w:r>
    </w:p>
    <w:p w14:paraId="5EE05BD2" w14:textId="77777777" w:rsidR="00C72FA4" w:rsidRPr="005F0A32" w:rsidRDefault="00C72FA4" w:rsidP="00E7359C">
      <w:pPr>
        <w:spacing w:after="0"/>
        <w:contextualSpacing/>
        <w:jc w:val="both"/>
        <w:rPr>
          <w:rFonts w:ascii="Times New Roman" w:eastAsia="Times New Roman" w:hAnsi="Times New Roman" w:cs="Times New Roman"/>
          <w:sz w:val="24"/>
          <w:szCs w:val="24"/>
          <w:lang w:eastAsia="pl-PL"/>
        </w:rPr>
      </w:pPr>
    </w:p>
    <w:p w14:paraId="602F82C5" w14:textId="77777777" w:rsidR="00C72FA4" w:rsidRPr="000A1AAA" w:rsidRDefault="00C72FA4" w:rsidP="008C71A9">
      <w:pPr>
        <w:pStyle w:val="Akapitzlist"/>
        <w:numPr>
          <w:ilvl w:val="0"/>
          <w:numId w:val="134"/>
        </w:numPr>
        <w:spacing w:after="0"/>
        <w:ind w:left="360"/>
        <w:jc w:val="both"/>
        <w:rPr>
          <w:rFonts w:ascii="Times New Roman" w:eastAsia="Times New Roman" w:hAnsi="Times New Roman" w:cs="Times New Roman"/>
          <w:sz w:val="24"/>
          <w:szCs w:val="24"/>
          <w:lang w:eastAsia="pl-PL"/>
        </w:rPr>
      </w:pPr>
      <w:r w:rsidRPr="000A1AAA">
        <w:rPr>
          <w:rFonts w:ascii="Times New Roman" w:eastAsia="Times New Roman" w:hAnsi="Times New Roman" w:cs="Times New Roman"/>
          <w:sz w:val="24"/>
          <w:szCs w:val="24"/>
          <w:lang w:eastAsia="pl-PL"/>
        </w:rPr>
        <w:t xml:space="preserve">Gmina Miasto Dębica </w:t>
      </w:r>
    </w:p>
    <w:p w14:paraId="19B8A698" w14:textId="77777777" w:rsidR="00C72FA4" w:rsidRPr="000A1AAA" w:rsidRDefault="00C72FA4" w:rsidP="008C71A9">
      <w:pPr>
        <w:pStyle w:val="Akapitzlist"/>
        <w:numPr>
          <w:ilvl w:val="0"/>
          <w:numId w:val="394"/>
        </w:numPr>
        <w:spacing w:after="0"/>
        <w:ind w:left="360"/>
        <w:jc w:val="both"/>
        <w:rPr>
          <w:rFonts w:ascii="Times New Roman" w:eastAsia="Times New Roman" w:hAnsi="Times New Roman" w:cs="Times New Roman"/>
          <w:sz w:val="24"/>
          <w:szCs w:val="24"/>
          <w:lang w:eastAsia="pl-PL"/>
        </w:rPr>
      </w:pPr>
      <w:r w:rsidRPr="000A1AAA">
        <w:rPr>
          <w:rFonts w:ascii="Times New Roman" w:eastAsia="Times New Roman" w:hAnsi="Times New Roman" w:cs="Times New Roman"/>
          <w:sz w:val="24"/>
          <w:szCs w:val="24"/>
          <w:lang w:eastAsia="pl-PL"/>
        </w:rPr>
        <w:t xml:space="preserve">Projekt </w:t>
      </w:r>
      <w:r w:rsidRPr="000A1AAA">
        <w:rPr>
          <w:rFonts w:ascii="Times New Roman" w:eastAsia="Times New Roman" w:hAnsi="Times New Roman" w:cs="Times New Roman"/>
          <w:b/>
          <w:i/>
          <w:sz w:val="24"/>
          <w:szCs w:val="24"/>
          <w:lang w:eastAsia="pl-PL"/>
        </w:rPr>
        <w:t>„Zdrowy Senior”</w:t>
      </w:r>
      <w:r w:rsidRPr="000A1AAA">
        <w:rPr>
          <w:rFonts w:ascii="Times New Roman" w:eastAsia="Times New Roman" w:hAnsi="Times New Roman" w:cs="Times New Roman"/>
          <w:sz w:val="24"/>
          <w:szCs w:val="24"/>
          <w:lang w:eastAsia="pl-PL"/>
        </w:rPr>
        <w:t xml:space="preserve"> był odpowiedzią na potrzeby i zainteresowania osób uczęszczających na zajęcia do Dziennego Domu „Senior+” oraz Domu Seniora,</w:t>
      </w:r>
      <w:r w:rsidRPr="000A1AAA">
        <w:rPr>
          <w:rFonts w:ascii="Times New Roman" w:eastAsia="Times New Roman" w:hAnsi="Times New Roman" w:cs="Times New Roman"/>
          <w:sz w:val="24"/>
          <w:szCs w:val="24"/>
          <w:lang w:eastAsia="pl-PL"/>
        </w:rPr>
        <w:br/>
        <w:t>będących w strukturach Miejskiego Ośrodka Pomocy Społecznej w Dębicy. Jego realizacja odbywała się w okresie od maja do października 2019 r., uczestniczyło w nim 70 osób. Projekt zakładał naukę i realizację zajęć ruchowych – Nordic Walking, dostosowanych do możliwości uczestników Ośrodków Wsparcia, prowadzenie warsztatów kulinarnych, mających na celu nabycie przez seniorów nowych nawyków żywieniowych. Inauguracja projektu, wraz z pierwszymi warsztatami dietetycznymi oraz nauką chodzenia z kijkami odbyła się na terenie obiektu Grand Chotowa w Chotowej w dniu 28</w:t>
      </w:r>
      <w:r w:rsidR="008628FD">
        <w:rPr>
          <w:rFonts w:ascii="Times New Roman" w:eastAsia="Times New Roman" w:hAnsi="Times New Roman" w:cs="Times New Roman"/>
          <w:sz w:val="24"/>
          <w:szCs w:val="24"/>
          <w:lang w:eastAsia="pl-PL"/>
        </w:rPr>
        <w:t>.05.2019 r.</w:t>
      </w:r>
      <w:r w:rsidR="008628FD">
        <w:rPr>
          <w:rStyle w:val="Odwoanieprzypisudolnego"/>
          <w:rFonts w:ascii="Times New Roman" w:eastAsia="Times New Roman" w:hAnsi="Times New Roman" w:cs="Times New Roman"/>
          <w:sz w:val="24"/>
          <w:szCs w:val="24"/>
          <w:lang w:eastAsia="pl-PL"/>
        </w:rPr>
        <w:footnoteReference w:id="150"/>
      </w:r>
      <w:r w:rsidR="008628FD">
        <w:rPr>
          <w:rFonts w:ascii="Times New Roman" w:eastAsia="Times New Roman" w:hAnsi="Times New Roman" w:cs="Times New Roman"/>
          <w:sz w:val="24"/>
          <w:szCs w:val="24"/>
          <w:lang w:eastAsia="pl-PL"/>
        </w:rPr>
        <w:t>.</w:t>
      </w:r>
    </w:p>
    <w:p w14:paraId="5BDBE5B1" w14:textId="77777777" w:rsidR="00C72FA4" w:rsidRPr="005F0A32" w:rsidRDefault="00C72FA4" w:rsidP="00E7359C">
      <w:pPr>
        <w:spacing w:after="0"/>
        <w:contextualSpacing/>
        <w:jc w:val="both"/>
        <w:rPr>
          <w:rFonts w:ascii="Times New Roman" w:eastAsia="Times New Roman" w:hAnsi="Times New Roman" w:cs="Times New Roman"/>
          <w:sz w:val="24"/>
          <w:szCs w:val="24"/>
          <w:lang w:eastAsia="pl-PL"/>
        </w:rPr>
      </w:pPr>
    </w:p>
    <w:p w14:paraId="1E07944A" w14:textId="77777777" w:rsidR="00C72FA4" w:rsidRPr="00A94CFB" w:rsidRDefault="000A1AAA" w:rsidP="00E7359C">
      <w:pPr>
        <w:jc w:val="both"/>
        <w:rPr>
          <w:rFonts w:ascii="Times New Roman" w:hAnsi="Times New Roman" w:cs="Times New Roman"/>
          <w:b/>
          <w:color w:val="00B0F0"/>
          <w:sz w:val="24"/>
          <w:szCs w:val="24"/>
        </w:rPr>
      </w:pPr>
      <w:r w:rsidRPr="00A94CFB">
        <w:rPr>
          <w:rFonts w:ascii="Times New Roman" w:hAnsi="Times New Roman" w:cs="Times New Roman"/>
          <w:b/>
          <w:color w:val="00B0F0"/>
          <w:sz w:val="24"/>
          <w:szCs w:val="24"/>
        </w:rPr>
        <w:t>Przykłady innowacyjnych rozwiązań w ramach polityki senioralnej</w:t>
      </w:r>
    </w:p>
    <w:p w14:paraId="23D09E52" w14:textId="77777777" w:rsidR="00C72FA4" w:rsidRPr="000A1AAA" w:rsidRDefault="000A1AAA" w:rsidP="008C71A9">
      <w:pPr>
        <w:pStyle w:val="Akapitzlist"/>
        <w:numPr>
          <w:ilvl w:val="0"/>
          <w:numId w:val="135"/>
        </w:numPr>
        <w:spacing w:after="0"/>
        <w:ind w:left="360"/>
        <w:jc w:val="both"/>
        <w:rPr>
          <w:rFonts w:ascii="Times New Roman" w:eastAsia="Times New Roman" w:hAnsi="Times New Roman" w:cs="Times New Roman"/>
          <w:sz w:val="24"/>
          <w:szCs w:val="24"/>
          <w:lang w:eastAsia="pl-PL"/>
        </w:rPr>
      </w:pPr>
      <w:r w:rsidRPr="000A1AAA">
        <w:rPr>
          <w:rFonts w:ascii="Times New Roman" w:eastAsia="Times New Roman" w:hAnsi="Times New Roman" w:cs="Times New Roman"/>
          <w:sz w:val="24"/>
          <w:szCs w:val="24"/>
          <w:lang w:eastAsia="pl-PL"/>
        </w:rPr>
        <w:t>Gmina Medyka</w:t>
      </w:r>
    </w:p>
    <w:p w14:paraId="1556758D" w14:textId="77777777" w:rsidR="00C72FA4" w:rsidRPr="005F0A32" w:rsidRDefault="00C72FA4" w:rsidP="00E7359C">
      <w:pPr>
        <w:autoSpaceDE w:val="0"/>
        <w:autoSpaceDN w:val="0"/>
        <w:adjustRightInd w:val="0"/>
        <w:spacing w:after="0"/>
        <w:contextualSpacing/>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ar-SA"/>
        </w:rPr>
        <w:t xml:space="preserve">W 2019 r. wszystkim osobom starszym na terenie gminy Medyka w ramach Akcji </w:t>
      </w:r>
      <w:r w:rsidRPr="005F0A32">
        <w:rPr>
          <w:rFonts w:ascii="Times New Roman" w:eastAsia="Times New Roman" w:hAnsi="Times New Roman" w:cs="Times New Roman"/>
          <w:b/>
          <w:i/>
          <w:sz w:val="24"/>
          <w:szCs w:val="24"/>
          <w:lang w:eastAsia="ar-SA"/>
        </w:rPr>
        <w:t xml:space="preserve">„Koperta Życia” </w:t>
      </w:r>
      <w:r w:rsidRPr="005F0A32">
        <w:rPr>
          <w:rFonts w:ascii="Times New Roman" w:eastAsia="Times New Roman" w:hAnsi="Times New Roman" w:cs="Times New Roman"/>
          <w:sz w:val="24"/>
          <w:szCs w:val="24"/>
          <w:lang w:eastAsia="ar-SA"/>
        </w:rPr>
        <w:t>zostały przekazane Karty informacyjne - Koperty Życia. Koperty zostały zakupione przez powiat przemyski z inicjatywy Powiatowego Centrum Pomocy Rodzinie i ośrodków pomocy społecznej z powiatu przemyskiego.</w:t>
      </w:r>
      <w:r w:rsidRPr="005F0A32">
        <w:rPr>
          <w:rFonts w:ascii="Times New Roman" w:eastAsia="Times New Roman" w:hAnsi="Times New Roman" w:cs="Times New Roman"/>
          <w:sz w:val="24"/>
          <w:szCs w:val="24"/>
          <w:lang w:eastAsia="pl-PL"/>
        </w:rPr>
        <w:t xml:space="preserve"> Akcja miała na celu zabezpieczenie pomocy dla osób starszych, w sytuacjach nagłego zagrożenia zdrowia i życia, poprzez wprowadzenie kart</w:t>
      </w:r>
    </w:p>
    <w:p w14:paraId="30E859D2" w14:textId="77777777" w:rsidR="00C72FA4" w:rsidRPr="005F0A32" w:rsidRDefault="00C72FA4" w:rsidP="00E7359C">
      <w:pPr>
        <w:suppressAutoHyphens/>
        <w:spacing w:after="0"/>
        <w:contextualSpacing/>
        <w:jc w:val="both"/>
        <w:rPr>
          <w:rFonts w:ascii="Times New Roman" w:eastAsia="Times New Roman" w:hAnsi="Times New Roman" w:cs="Times New Roman"/>
          <w:sz w:val="24"/>
          <w:szCs w:val="24"/>
          <w:lang w:eastAsia="pl-PL"/>
        </w:rPr>
      </w:pPr>
      <w:r w:rsidRPr="005F0A32">
        <w:rPr>
          <w:rFonts w:ascii="Times New Roman" w:eastAsia="Times New Roman" w:hAnsi="Times New Roman" w:cs="Times New Roman"/>
          <w:sz w:val="24"/>
          <w:szCs w:val="24"/>
          <w:lang w:eastAsia="pl-PL"/>
        </w:rPr>
        <w:t xml:space="preserve">informacyjnych. Karty z informacjami o stanie zdrowia, uczuleniach i przyjmowanych lekach oraz kontakcie z rodziną i ewentualnym zabezpieczeniu zwierząt domowych, dostępne były dla służb pomocowych. </w:t>
      </w:r>
    </w:p>
    <w:p w14:paraId="5CCA9E96" w14:textId="77777777" w:rsidR="00C72FA4" w:rsidRPr="005F0A32" w:rsidRDefault="00C72FA4" w:rsidP="00E7359C">
      <w:pPr>
        <w:suppressAutoHyphens/>
        <w:spacing w:after="0"/>
        <w:contextualSpacing/>
        <w:jc w:val="both"/>
        <w:rPr>
          <w:rFonts w:ascii="Times New Roman" w:eastAsia="Times New Roman" w:hAnsi="Times New Roman" w:cs="Times New Roman"/>
          <w:sz w:val="24"/>
          <w:szCs w:val="24"/>
          <w:lang w:eastAsia="pl-PL"/>
        </w:rPr>
      </w:pPr>
    </w:p>
    <w:p w14:paraId="6432BD67" w14:textId="77777777" w:rsidR="00C72FA4" w:rsidRPr="000A1AAA" w:rsidRDefault="000A1AAA" w:rsidP="008C71A9">
      <w:pPr>
        <w:pStyle w:val="Akapitzlist"/>
        <w:numPr>
          <w:ilvl w:val="0"/>
          <w:numId w:val="136"/>
        </w:numPr>
        <w:suppressAutoHyphens/>
        <w:spacing w:after="0"/>
        <w:ind w:left="360"/>
        <w:jc w:val="both"/>
        <w:rPr>
          <w:rFonts w:ascii="Times New Roman" w:eastAsia="Times New Roman" w:hAnsi="Times New Roman" w:cs="Times New Roman"/>
          <w:sz w:val="24"/>
          <w:szCs w:val="24"/>
          <w:lang w:eastAsia="pl-PL"/>
        </w:rPr>
      </w:pPr>
      <w:r w:rsidRPr="000A1AAA">
        <w:rPr>
          <w:rFonts w:ascii="Times New Roman" w:eastAsia="Times New Roman" w:hAnsi="Times New Roman" w:cs="Times New Roman"/>
          <w:sz w:val="24"/>
          <w:szCs w:val="24"/>
          <w:lang w:eastAsia="pl-PL"/>
        </w:rPr>
        <w:t>Gmina Błażowa</w:t>
      </w:r>
    </w:p>
    <w:p w14:paraId="0998FB41" w14:textId="77777777" w:rsidR="000A1AAA" w:rsidRDefault="00C72FA4" w:rsidP="00E7359C">
      <w:pPr>
        <w:suppressAutoHyphens/>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Gmina Błażowa we współpracy z Fundacją Rozwoju Społeczno-Gospodarczego „Interwencja” w ramach projektu unijnego </w:t>
      </w:r>
      <w:r w:rsidRPr="005F0A32">
        <w:rPr>
          <w:rFonts w:ascii="Times New Roman" w:hAnsi="Times New Roman" w:cs="Times New Roman"/>
          <w:b/>
          <w:i/>
          <w:sz w:val="24"/>
          <w:szCs w:val="24"/>
        </w:rPr>
        <w:t>„Opieka bez barier”</w:t>
      </w:r>
      <w:r w:rsidRPr="005F0A32">
        <w:rPr>
          <w:rFonts w:ascii="Times New Roman" w:hAnsi="Times New Roman" w:cs="Times New Roman"/>
          <w:sz w:val="24"/>
          <w:szCs w:val="24"/>
        </w:rPr>
        <w:t xml:space="preserve"> objęła pomocą w formie usług opiekuńczych 18 osób starszych z terenu gminy Błażowa. Osoby te zostały wyposażone również w innowacyjne opaski telemetryczne monitorujące par</w:t>
      </w:r>
      <w:r w:rsidR="000A1AAA">
        <w:rPr>
          <w:rFonts w:ascii="Times New Roman" w:hAnsi="Times New Roman" w:cs="Times New Roman"/>
          <w:sz w:val="24"/>
          <w:szCs w:val="24"/>
        </w:rPr>
        <w:t>ametry życiowe z funkcją S.O.S.</w:t>
      </w:r>
    </w:p>
    <w:p w14:paraId="4CEB9021" w14:textId="77777777" w:rsidR="000A1AAA" w:rsidRDefault="000A1AAA" w:rsidP="00E7359C">
      <w:pPr>
        <w:suppressAutoHyphens/>
        <w:spacing w:after="0"/>
        <w:contextualSpacing/>
        <w:jc w:val="both"/>
        <w:rPr>
          <w:rFonts w:ascii="Times New Roman" w:hAnsi="Times New Roman" w:cs="Times New Roman"/>
          <w:sz w:val="24"/>
          <w:szCs w:val="24"/>
        </w:rPr>
      </w:pPr>
    </w:p>
    <w:p w14:paraId="04051F94" w14:textId="77777777" w:rsidR="00C72FA4" w:rsidRPr="000A1AAA" w:rsidRDefault="000A1AAA" w:rsidP="008C71A9">
      <w:pPr>
        <w:pStyle w:val="Akapitzlist"/>
        <w:numPr>
          <w:ilvl w:val="0"/>
          <w:numId w:val="136"/>
        </w:numPr>
        <w:suppressAutoHyphens/>
        <w:spacing w:after="0"/>
        <w:ind w:left="360"/>
        <w:jc w:val="both"/>
        <w:rPr>
          <w:rFonts w:ascii="Times New Roman" w:hAnsi="Times New Roman" w:cs="Times New Roman"/>
          <w:sz w:val="24"/>
          <w:szCs w:val="24"/>
        </w:rPr>
      </w:pPr>
      <w:r w:rsidRPr="000A1AAA">
        <w:rPr>
          <w:rFonts w:ascii="Times New Roman" w:eastAsia="Times New Roman" w:hAnsi="Times New Roman" w:cs="Times New Roman"/>
          <w:sz w:val="24"/>
          <w:szCs w:val="24"/>
          <w:lang w:eastAsia="pl-PL"/>
        </w:rPr>
        <w:t>Gmina Krasne</w:t>
      </w:r>
    </w:p>
    <w:p w14:paraId="53991F38" w14:textId="77777777" w:rsidR="00C72FA4" w:rsidRPr="005F0A32" w:rsidRDefault="00C72FA4" w:rsidP="00E7359C">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W ramach projektu pn. </w:t>
      </w:r>
      <w:r w:rsidRPr="005F0A32">
        <w:rPr>
          <w:rFonts w:ascii="Times New Roman" w:hAnsi="Times New Roman" w:cs="Times New Roman"/>
          <w:b/>
          <w:bCs/>
          <w:i/>
          <w:sz w:val="24"/>
          <w:szCs w:val="24"/>
        </w:rPr>
        <w:t>„Złota jesień – każdy z nas będzie seniorem”</w:t>
      </w:r>
      <w:r w:rsidRPr="005F0A32">
        <w:rPr>
          <w:rFonts w:ascii="Times New Roman" w:hAnsi="Times New Roman" w:cs="Times New Roman"/>
          <w:bCs/>
          <w:sz w:val="24"/>
          <w:szCs w:val="24"/>
        </w:rPr>
        <w:t xml:space="preserve"> </w:t>
      </w:r>
      <w:r w:rsidRPr="005F0A32">
        <w:rPr>
          <w:rFonts w:ascii="Times New Roman" w:hAnsi="Times New Roman" w:cs="Times New Roman"/>
          <w:sz w:val="24"/>
          <w:szCs w:val="24"/>
        </w:rPr>
        <w:t>w gminie Krasne usługą teleopieki w 2019 r. objęto 40 seniorów. Usługa, świadczona była przy użyciu technik teleinformatycznych, poprzez zastosowanie opasek życia, telefonicznych systemów SOS, czujników gazu i dymu.</w:t>
      </w:r>
    </w:p>
    <w:p w14:paraId="344F98DC" w14:textId="77777777" w:rsidR="00C72FA4" w:rsidRPr="005F0A32" w:rsidRDefault="00C72FA4" w:rsidP="00E7359C">
      <w:pPr>
        <w:spacing w:after="0"/>
        <w:contextualSpacing/>
        <w:jc w:val="both"/>
        <w:rPr>
          <w:rFonts w:ascii="Times New Roman" w:hAnsi="Times New Roman" w:cs="Times New Roman"/>
          <w:sz w:val="24"/>
          <w:szCs w:val="24"/>
        </w:rPr>
      </w:pPr>
    </w:p>
    <w:p w14:paraId="6CA810E0" w14:textId="77777777" w:rsidR="00C72FA4" w:rsidRPr="009C461F" w:rsidRDefault="000A1AAA" w:rsidP="008C71A9">
      <w:pPr>
        <w:pStyle w:val="Akapitzlist"/>
        <w:numPr>
          <w:ilvl w:val="0"/>
          <w:numId w:val="137"/>
        </w:numPr>
        <w:spacing w:after="0"/>
        <w:ind w:left="360"/>
        <w:jc w:val="both"/>
        <w:rPr>
          <w:rFonts w:ascii="Times New Roman" w:hAnsi="Times New Roman" w:cs="Times New Roman"/>
          <w:sz w:val="24"/>
          <w:szCs w:val="24"/>
        </w:rPr>
      </w:pPr>
      <w:r w:rsidRPr="009C461F">
        <w:rPr>
          <w:rFonts w:ascii="Times New Roman" w:hAnsi="Times New Roman" w:cs="Times New Roman"/>
          <w:sz w:val="24"/>
          <w:szCs w:val="24"/>
        </w:rPr>
        <w:t>Gmina Tyrawa Wołoska</w:t>
      </w:r>
    </w:p>
    <w:p w14:paraId="069C633B" w14:textId="77777777" w:rsidR="00C72FA4" w:rsidRPr="005F0A32" w:rsidRDefault="00C72FA4" w:rsidP="00E7359C">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lastRenderedPageBreak/>
        <w:t xml:space="preserve">W Dziennym Domu Pobytu z siedzibą w Rakowej, uczestnicy mają do dyspozycji pokój relaksacyjny z łóżkiem wodnym. Pomieszczenie zostało odpowiednio zaaranżowane </w:t>
      </w:r>
      <w:r w:rsidRPr="005F0A32">
        <w:rPr>
          <w:rFonts w:ascii="Times New Roman" w:hAnsi="Times New Roman" w:cs="Times New Roman"/>
          <w:sz w:val="24"/>
          <w:szCs w:val="24"/>
        </w:rPr>
        <w:br/>
        <w:t>i oświetlone; pensjonariusze słuchają muzyki relaksacyjnej o odpowiedniej częstotliwości HZ niwelującej stres i napięcie psychiczne, pozwalające zapomnieć o problemach życia codziennego.</w:t>
      </w:r>
    </w:p>
    <w:p w14:paraId="389779AB" w14:textId="77777777" w:rsidR="00C72FA4" w:rsidRPr="005F0A32" w:rsidRDefault="00C72FA4" w:rsidP="00E7359C">
      <w:pPr>
        <w:spacing w:after="0"/>
        <w:contextualSpacing/>
        <w:jc w:val="both"/>
        <w:rPr>
          <w:rFonts w:ascii="Times New Roman" w:hAnsi="Times New Roman" w:cs="Times New Roman"/>
          <w:sz w:val="24"/>
          <w:szCs w:val="24"/>
        </w:rPr>
      </w:pPr>
    </w:p>
    <w:p w14:paraId="2623678B" w14:textId="77777777" w:rsidR="00C72FA4" w:rsidRPr="00212B4F" w:rsidRDefault="00C72FA4" w:rsidP="00E7359C">
      <w:pPr>
        <w:spacing w:after="0"/>
        <w:contextualSpacing/>
        <w:jc w:val="both"/>
        <w:rPr>
          <w:rFonts w:ascii="Times New Roman" w:eastAsia="Times New Roman" w:hAnsi="Times New Roman" w:cs="Times New Roman"/>
          <w:b/>
          <w:i/>
          <w:color w:val="00B0F0"/>
          <w:sz w:val="24"/>
          <w:szCs w:val="24"/>
          <w:lang w:eastAsia="pl-PL"/>
        </w:rPr>
      </w:pPr>
      <w:r w:rsidRPr="00212B4F">
        <w:rPr>
          <w:rFonts w:ascii="Times New Roman" w:eastAsia="Times New Roman" w:hAnsi="Times New Roman" w:cs="Times New Roman"/>
          <w:b/>
          <w:color w:val="00B0F0"/>
          <w:sz w:val="24"/>
          <w:szCs w:val="24"/>
          <w:lang w:eastAsia="pl-PL"/>
        </w:rPr>
        <w:t xml:space="preserve">Działania podjęte w 2019 r. wspierające realizację celów wskazanych w </w:t>
      </w:r>
      <w:r w:rsidRPr="00212B4F">
        <w:rPr>
          <w:rFonts w:ascii="Times New Roman" w:eastAsia="Times New Roman" w:hAnsi="Times New Roman" w:cs="Times New Roman"/>
          <w:b/>
          <w:i/>
          <w:color w:val="00B0F0"/>
          <w:sz w:val="24"/>
          <w:szCs w:val="24"/>
          <w:lang w:eastAsia="pl-PL"/>
        </w:rPr>
        <w:t xml:space="preserve">Informacji </w:t>
      </w:r>
      <w:r w:rsidRPr="00212B4F">
        <w:rPr>
          <w:rFonts w:ascii="Times New Roman" w:eastAsia="Times New Roman" w:hAnsi="Times New Roman" w:cs="Times New Roman"/>
          <w:b/>
          <w:i/>
          <w:color w:val="00B0F0"/>
          <w:sz w:val="24"/>
          <w:szCs w:val="24"/>
          <w:lang w:eastAsia="pl-PL"/>
        </w:rPr>
        <w:br/>
        <w:t>o sytuacji osób starszych w Polsce za 2018 r.</w:t>
      </w:r>
    </w:p>
    <w:p w14:paraId="374811D8" w14:textId="77777777" w:rsidR="009C461F" w:rsidRPr="005F0A32" w:rsidRDefault="009C461F" w:rsidP="00E7359C">
      <w:pPr>
        <w:spacing w:after="0"/>
        <w:contextualSpacing/>
        <w:jc w:val="both"/>
        <w:rPr>
          <w:rFonts w:ascii="Times New Roman" w:eastAsia="Times New Roman" w:hAnsi="Times New Roman" w:cs="Times New Roman"/>
          <w:b/>
          <w:sz w:val="24"/>
          <w:szCs w:val="24"/>
          <w:lang w:eastAsia="pl-PL"/>
        </w:rPr>
      </w:pPr>
    </w:p>
    <w:p w14:paraId="62E156D8" w14:textId="77777777" w:rsidR="00C72FA4" w:rsidRDefault="00C72FA4" w:rsidP="00E7359C">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Polityka społeczna wobec osób starszych jest kontynuacją procesu przygotowania całego społeczeństwa do skutków zachodzących obecnie zmian demograficznych, w tym wynikających ze starzenia się populacji oraz zmian struktury rodzin i gospodarstw domowych, wzrostu społecznych problemów osamotnienia seniorów oraz zwiększenia liczby osób niesamodzielnych. Jednostki samorządu terytorialnego województwa podkarpackiego wychodząc naprzeciw oczekiwaniom i potrzebom osób starszych, realizują rekomendacje zawarte w dokumencie pn. </w:t>
      </w:r>
      <w:r w:rsidRPr="005F0A32">
        <w:rPr>
          <w:rFonts w:ascii="Times New Roman" w:hAnsi="Times New Roman" w:cs="Times New Roman"/>
          <w:i/>
          <w:sz w:val="24"/>
          <w:szCs w:val="24"/>
        </w:rPr>
        <w:t xml:space="preserve">Informacja o sytuacji osób starszych </w:t>
      </w:r>
      <w:r w:rsidR="00212B4F">
        <w:rPr>
          <w:rFonts w:ascii="Times New Roman" w:hAnsi="Times New Roman" w:cs="Times New Roman"/>
          <w:i/>
          <w:sz w:val="24"/>
          <w:szCs w:val="24"/>
        </w:rPr>
        <w:t xml:space="preserve">w Polsce </w:t>
      </w:r>
      <w:r w:rsidRPr="005F0A32">
        <w:rPr>
          <w:rFonts w:ascii="Times New Roman" w:hAnsi="Times New Roman" w:cs="Times New Roman"/>
          <w:i/>
          <w:sz w:val="24"/>
          <w:szCs w:val="24"/>
        </w:rPr>
        <w:t>za 2018 r.</w:t>
      </w:r>
      <w:r w:rsidRPr="005F0A32">
        <w:rPr>
          <w:rFonts w:ascii="Times New Roman" w:hAnsi="Times New Roman" w:cs="Times New Roman"/>
          <w:sz w:val="24"/>
          <w:szCs w:val="24"/>
        </w:rPr>
        <w:t>, podejmując działania w następujących obszarach:</w:t>
      </w:r>
    </w:p>
    <w:p w14:paraId="79CD9254" w14:textId="77777777" w:rsidR="00CF2922" w:rsidRPr="005F0A32" w:rsidRDefault="00CF2922" w:rsidP="00E7359C">
      <w:pPr>
        <w:spacing w:after="0"/>
        <w:contextualSpacing/>
        <w:jc w:val="both"/>
        <w:rPr>
          <w:rFonts w:ascii="Times New Roman" w:hAnsi="Times New Roman" w:cs="Times New Roman"/>
          <w:sz w:val="24"/>
          <w:szCs w:val="24"/>
        </w:rPr>
      </w:pPr>
    </w:p>
    <w:p w14:paraId="5E739600" w14:textId="77777777" w:rsidR="00C72FA4" w:rsidRPr="00212B4F" w:rsidRDefault="00C72FA4" w:rsidP="008C71A9">
      <w:pPr>
        <w:pStyle w:val="Akapitzlist"/>
        <w:numPr>
          <w:ilvl w:val="0"/>
          <w:numId w:val="137"/>
        </w:numPr>
        <w:spacing w:after="0"/>
        <w:ind w:left="360"/>
        <w:jc w:val="both"/>
        <w:rPr>
          <w:rFonts w:ascii="Times New Roman" w:eastAsia="Times New Roman" w:hAnsi="Times New Roman" w:cs="Times New Roman"/>
          <w:sz w:val="24"/>
          <w:szCs w:val="24"/>
          <w:lang w:eastAsia="pl-PL"/>
        </w:rPr>
      </w:pPr>
      <w:r w:rsidRPr="00212B4F">
        <w:rPr>
          <w:rFonts w:ascii="Times New Roman" w:eastAsia="Times New Roman" w:hAnsi="Times New Roman" w:cs="Times New Roman"/>
          <w:sz w:val="24"/>
          <w:szCs w:val="24"/>
          <w:lang w:eastAsia="pl-PL"/>
        </w:rPr>
        <w:t>Obszar I. Profilaktyka i promocja zdrowia, bezpiecz</w:t>
      </w:r>
      <w:r w:rsidR="00212B4F" w:rsidRPr="00212B4F">
        <w:rPr>
          <w:rFonts w:ascii="Times New Roman" w:eastAsia="Times New Roman" w:hAnsi="Times New Roman" w:cs="Times New Roman"/>
          <w:sz w:val="24"/>
          <w:szCs w:val="24"/>
          <w:lang w:eastAsia="pl-PL"/>
        </w:rPr>
        <w:t>eństwa oraz aktywnego starzenia</w:t>
      </w:r>
    </w:p>
    <w:p w14:paraId="134E7703" w14:textId="77777777" w:rsidR="00212B4F" w:rsidRDefault="00C72FA4" w:rsidP="00E7359C">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W ramach tego obszaru organizowano kampanie na rzecz promocji zdrowia, profilaktyki chorób wieku starszego oraz podniesienia świadomości w zakresie skutków zachowań ryzykownych. Ponadto, kontynuowano działania mające na celu poprawienie bezpieczeństwa ekonomicznego starszych mieszkańców, poprzez wyp</w:t>
      </w:r>
      <w:r w:rsidR="00212B4F">
        <w:rPr>
          <w:rFonts w:ascii="Times New Roman" w:hAnsi="Times New Roman" w:cs="Times New Roman"/>
          <w:sz w:val="24"/>
          <w:szCs w:val="24"/>
        </w:rPr>
        <w:t xml:space="preserve">łacanie świadczeń pieniężnych, </w:t>
      </w:r>
      <w:r w:rsidRPr="005F0A32">
        <w:rPr>
          <w:rFonts w:ascii="Times New Roman" w:hAnsi="Times New Roman" w:cs="Times New Roman"/>
          <w:sz w:val="24"/>
          <w:szCs w:val="24"/>
        </w:rPr>
        <w:t>o których mowa w ustawie o pomocy społecznej. Wdrażano szereg projektów mających poprawić bezpieczeństwo seniorów, np. „Teleopieka”, „Informator Seniora”, „Koperta życia”, szkolenia pn. „Bezpieczny senior”. Ponadto, gminy realizowały programy zdrowotne i akcje skierowane na rzecz mieszkańców, w formie np. bezpłatny</w:t>
      </w:r>
      <w:r w:rsidR="00212B4F">
        <w:rPr>
          <w:rFonts w:ascii="Times New Roman" w:hAnsi="Times New Roman" w:cs="Times New Roman"/>
          <w:sz w:val="24"/>
          <w:szCs w:val="24"/>
        </w:rPr>
        <w:t xml:space="preserve">ch szczepień profilaktycznych. </w:t>
      </w:r>
      <w:r w:rsidRPr="005F0A32">
        <w:rPr>
          <w:rFonts w:ascii="Times New Roman" w:hAnsi="Times New Roman" w:cs="Times New Roman"/>
          <w:sz w:val="24"/>
          <w:szCs w:val="24"/>
        </w:rPr>
        <w:t>Według sprawozdań z zakresu zdrowia publicznego zł</w:t>
      </w:r>
      <w:r w:rsidR="00212B4F">
        <w:rPr>
          <w:rFonts w:ascii="Times New Roman" w:hAnsi="Times New Roman" w:cs="Times New Roman"/>
          <w:sz w:val="24"/>
          <w:szCs w:val="24"/>
        </w:rPr>
        <w:t xml:space="preserve">ożonych przez JST województwa, </w:t>
      </w:r>
      <w:r w:rsidRPr="005F0A32">
        <w:rPr>
          <w:rFonts w:ascii="Times New Roman" w:hAnsi="Times New Roman" w:cs="Times New Roman"/>
          <w:sz w:val="24"/>
          <w:szCs w:val="24"/>
        </w:rPr>
        <w:t>w 2019 r. podjętych zostało 39 inicjatyw dedykowanych osobom starszym realizujących 5 Cel operacyjny Narodowego Programu Zdrowia na la</w:t>
      </w:r>
      <w:r w:rsidR="00212B4F">
        <w:rPr>
          <w:rFonts w:ascii="Times New Roman" w:hAnsi="Times New Roman" w:cs="Times New Roman"/>
          <w:sz w:val="24"/>
          <w:szCs w:val="24"/>
        </w:rPr>
        <w:t xml:space="preserve">ta 2016-2020 Promocja zdrowego </w:t>
      </w:r>
      <w:r w:rsidRPr="005F0A32">
        <w:rPr>
          <w:rFonts w:ascii="Times New Roman" w:hAnsi="Times New Roman" w:cs="Times New Roman"/>
          <w:sz w:val="24"/>
          <w:szCs w:val="24"/>
        </w:rPr>
        <w:t>i aktywnego starzenia się. Ponadto, JST województwa realizowały w 2019 r. 5 programów polityki zdrowotnej dotyczących szczepień osób starszych przeciwko grypie.</w:t>
      </w:r>
    </w:p>
    <w:p w14:paraId="44386EFA" w14:textId="77777777" w:rsidR="00212B4F" w:rsidRDefault="00212B4F" w:rsidP="00E7359C">
      <w:pPr>
        <w:spacing w:after="0"/>
        <w:contextualSpacing/>
        <w:jc w:val="both"/>
        <w:rPr>
          <w:rFonts w:ascii="Times New Roman" w:hAnsi="Times New Roman" w:cs="Times New Roman"/>
          <w:sz w:val="24"/>
          <w:szCs w:val="24"/>
        </w:rPr>
      </w:pPr>
    </w:p>
    <w:p w14:paraId="44065233" w14:textId="77777777" w:rsidR="00C72FA4" w:rsidRPr="00212B4F" w:rsidRDefault="00C72FA4" w:rsidP="008C71A9">
      <w:pPr>
        <w:pStyle w:val="Akapitzlist"/>
        <w:numPr>
          <w:ilvl w:val="0"/>
          <w:numId w:val="137"/>
        </w:numPr>
        <w:spacing w:after="0"/>
        <w:ind w:left="360"/>
        <w:jc w:val="both"/>
        <w:rPr>
          <w:rFonts w:ascii="Times New Roman" w:hAnsi="Times New Roman" w:cs="Times New Roman"/>
          <w:sz w:val="24"/>
          <w:szCs w:val="24"/>
        </w:rPr>
      </w:pPr>
      <w:r w:rsidRPr="00212B4F">
        <w:rPr>
          <w:rFonts w:ascii="Times New Roman" w:eastAsia="Times New Roman" w:hAnsi="Times New Roman" w:cs="Times New Roman"/>
          <w:sz w:val="24"/>
          <w:szCs w:val="24"/>
          <w:lang w:eastAsia="pl-PL"/>
        </w:rPr>
        <w:t>Obszar II. Usługi świadczone w miejscu zamieszkania i</w:t>
      </w:r>
      <w:r w:rsidR="003F1DAB">
        <w:rPr>
          <w:rFonts w:ascii="Times New Roman" w:eastAsia="Times New Roman" w:hAnsi="Times New Roman" w:cs="Times New Roman"/>
          <w:sz w:val="24"/>
          <w:szCs w:val="24"/>
          <w:lang w:eastAsia="pl-PL"/>
        </w:rPr>
        <w:t xml:space="preserve"> w placówkach dziennego pobytu, </w:t>
      </w:r>
      <w:r w:rsidRPr="00212B4F">
        <w:rPr>
          <w:rFonts w:ascii="Times New Roman" w:eastAsia="Times New Roman" w:hAnsi="Times New Roman" w:cs="Times New Roman"/>
          <w:sz w:val="24"/>
          <w:szCs w:val="24"/>
          <w:lang w:eastAsia="pl-PL"/>
        </w:rPr>
        <w:t>w tym także integracji usług realizowanych przy zwiększonym udziale sektora niepublicznego oraz sektora ekonomii społecz</w:t>
      </w:r>
      <w:r w:rsidR="00212B4F" w:rsidRPr="00212B4F">
        <w:rPr>
          <w:rFonts w:ascii="Times New Roman" w:eastAsia="Times New Roman" w:hAnsi="Times New Roman" w:cs="Times New Roman"/>
          <w:sz w:val="24"/>
          <w:szCs w:val="24"/>
          <w:lang w:eastAsia="pl-PL"/>
        </w:rPr>
        <w:t>nej i solidarnej</w:t>
      </w:r>
    </w:p>
    <w:p w14:paraId="418C3F27" w14:textId="77777777" w:rsidR="00C72FA4" w:rsidRDefault="00C72FA4" w:rsidP="00E7359C">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W ramach tego obszaru działania kierowano przede wszystkim do osamotnionych osób starszych, starając się przeciwdziałać negatywnym skutkom tego zjawiska, m.in. poprzez usługi oferowane w ośrodkach wsparcia (zaspokajanie podstawowych potrzeb życiowych, towarzyskich i kulturalnych oraz zapewnienie kontaktów społecznych) oraz poradnictwo psychologiczne w miejscu zamieszkania seniorów. Ponadto, ośrodki pomocy społecznej realizowały określone w ustawie o pomocy społecznej usługi opiekuńcze oraz specjalistyczne usługi opiekuńcze, które były wykonywane w miejscu zamieszkania osób starszych.</w:t>
      </w:r>
    </w:p>
    <w:p w14:paraId="3C5F7FBA" w14:textId="77777777" w:rsidR="00CF2922" w:rsidRPr="005F0A32" w:rsidRDefault="00CF2922" w:rsidP="00E7359C">
      <w:pPr>
        <w:spacing w:after="0"/>
        <w:contextualSpacing/>
        <w:jc w:val="both"/>
        <w:rPr>
          <w:rFonts w:ascii="Times New Roman" w:hAnsi="Times New Roman" w:cs="Times New Roman"/>
          <w:sz w:val="24"/>
          <w:szCs w:val="24"/>
        </w:rPr>
      </w:pPr>
    </w:p>
    <w:p w14:paraId="36B3E421" w14:textId="77777777" w:rsidR="00C72FA4" w:rsidRPr="003F1DAB" w:rsidRDefault="00C72FA4" w:rsidP="008C71A9">
      <w:pPr>
        <w:pStyle w:val="Akapitzlist"/>
        <w:numPr>
          <w:ilvl w:val="0"/>
          <w:numId w:val="137"/>
        </w:numPr>
        <w:spacing w:after="0"/>
        <w:ind w:left="360"/>
        <w:jc w:val="both"/>
        <w:rPr>
          <w:rFonts w:ascii="Times New Roman" w:eastAsia="Times New Roman" w:hAnsi="Times New Roman" w:cs="Times New Roman"/>
          <w:sz w:val="24"/>
          <w:szCs w:val="24"/>
          <w:lang w:eastAsia="pl-PL"/>
        </w:rPr>
      </w:pPr>
      <w:r w:rsidRPr="003F1DAB">
        <w:rPr>
          <w:rFonts w:ascii="Times New Roman" w:eastAsia="Times New Roman" w:hAnsi="Times New Roman" w:cs="Times New Roman"/>
          <w:sz w:val="24"/>
          <w:szCs w:val="24"/>
          <w:lang w:eastAsia="pl-PL"/>
        </w:rPr>
        <w:t xml:space="preserve">Obszar III. Wsparcie opiekunów </w:t>
      </w:r>
      <w:r w:rsidR="00212B4F" w:rsidRPr="003F1DAB">
        <w:rPr>
          <w:rFonts w:ascii="Times New Roman" w:eastAsia="Times New Roman" w:hAnsi="Times New Roman" w:cs="Times New Roman"/>
          <w:sz w:val="24"/>
          <w:szCs w:val="24"/>
          <w:lang w:eastAsia="pl-PL"/>
        </w:rPr>
        <w:t>niesamodzielnych osób starszych</w:t>
      </w:r>
    </w:p>
    <w:p w14:paraId="2E438C7F" w14:textId="77777777" w:rsidR="00C72FA4" w:rsidRDefault="00C72FA4" w:rsidP="00E7359C">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lastRenderedPageBreak/>
        <w:t xml:space="preserve">W ramach tego obszaru podejmowano działania na rzecz opiekunów osób starszych poprzez realizację programów w zakresie poradnictwa psychologicznego i dietetycznego, szkoleń </w:t>
      </w:r>
      <w:r w:rsidRPr="005F0A32">
        <w:rPr>
          <w:rFonts w:ascii="Times New Roman" w:hAnsi="Times New Roman" w:cs="Times New Roman"/>
          <w:sz w:val="24"/>
          <w:szCs w:val="24"/>
        </w:rPr>
        <w:br/>
        <w:t xml:space="preserve">w zakresie pielęgnacji, rehabilitacji, udzielania pierwszej pomocy. Ponadto, osoby starsze korzystają z usług udzielanych przez opiekunów w miejscu zamieszkania. Opiekunowie osób starszych korzystają natomiast ze świadczeń opiekuńczych: specjalnych zasiłków opiekuńczych, świadczenia pielęgnacyjnego lub zasiłku dla opiekuna. Wsparciem dla opiekunów osób niepełnosprawnych jest Program „Opieka wytchnieniowa”, który realizowany był w 11 gminach województwa. </w:t>
      </w:r>
    </w:p>
    <w:p w14:paraId="7071BB0D" w14:textId="77777777" w:rsidR="00CF2922" w:rsidRPr="005F0A32" w:rsidRDefault="00CF2922" w:rsidP="00E7359C">
      <w:pPr>
        <w:spacing w:after="0"/>
        <w:contextualSpacing/>
        <w:jc w:val="both"/>
        <w:rPr>
          <w:rFonts w:ascii="Times New Roman" w:hAnsi="Times New Roman" w:cs="Times New Roman"/>
          <w:sz w:val="24"/>
          <w:szCs w:val="24"/>
        </w:rPr>
      </w:pPr>
    </w:p>
    <w:p w14:paraId="5621D689" w14:textId="77777777" w:rsidR="00C72FA4" w:rsidRPr="003F1DAB" w:rsidRDefault="00C72FA4" w:rsidP="008C71A9">
      <w:pPr>
        <w:pStyle w:val="Akapitzlist"/>
        <w:numPr>
          <w:ilvl w:val="0"/>
          <w:numId w:val="137"/>
        </w:numPr>
        <w:spacing w:after="0"/>
        <w:ind w:left="360"/>
        <w:jc w:val="both"/>
        <w:rPr>
          <w:rFonts w:ascii="Times New Roman" w:eastAsia="Times New Roman" w:hAnsi="Times New Roman" w:cs="Times New Roman"/>
          <w:sz w:val="24"/>
          <w:szCs w:val="24"/>
          <w:lang w:eastAsia="pl-PL"/>
        </w:rPr>
      </w:pPr>
      <w:r w:rsidRPr="003F1DAB">
        <w:rPr>
          <w:rFonts w:ascii="Times New Roman" w:eastAsia="Times New Roman" w:hAnsi="Times New Roman" w:cs="Times New Roman"/>
          <w:sz w:val="24"/>
          <w:szCs w:val="24"/>
          <w:lang w:eastAsia="pl-PL"/>
        </w:rPr>
        <w:t>Obszar IV. Akty</w:t>
      </w:r>
      <w:r w:rsidR="00212B4F" w:rsidRPr="003F1DAB">
        <w:rPr>
          <w:rFonts w:ascii="Times New Roman" w:eastAsia="Times New Roman" w:hAnsi="Times New Roman" w:cs="Times New Roman"/>
          <w:sz w:val="24"/>
          <w:szCs w:val="24"/>
          <w:lang w:eastAsia="pl-PL"/>
        </w:rPr>
        <w:t>wizacja i partycypacja seniorów</w:t>
      </w:r>
    </w:p>
    <w:p w14:paraId="6B302680" w14:textId="77777777" w:rsidR="00C72FA4" w:rsidRDefault="00C72FA4" w:rsidP="00E7359C">
      <w:pPr>
        <w:spacing w:after="0"/>
        <w:contextualSpacing/>
        <w:jc w:val="both"/>
        <w:rPr>
          <w:rFonts w:ascii="Times New Roman" w:eastAsia="Calibri" w:hAnsi="Times New Roman" w:cs="Times New Roman"/>
          <w:sz w:val="24"/>
          <w:szCs w:val="24"/>
        </w:rPr>
      </w:pPr>
      <w:r w:rsidRPr="005F0A32">
        <w:rPr>
          <w:rFonts w:ascii="Times New Roman" w:hAnsi="Times New Roman" w:cs="Times New Roman"/>
          <w:sz w:val="24"/>
          <w:szCs w:val="24"/>
        </w:rPr>
        <w:t xml:space="preserve">Kontynuowano działania z zakresu aktywnego starzenia się poprzez podejmowanie przedsięwzięć aktywizujących i angażujących osoby starsze. </w:t>
      </w:r>
      <w:r w:rsidRPr="005F0A32">
        <w:rPr>
          <w:rFonts w:ascii="Times New Roman" w:eastAsia="Calibri" w:hAnsi="Times New Roman" w:cs="Times New Roman"/>
          <w:sz w:val="24"/>
          <w:szCs w:val="24"/>
        </w:rPr>
        <w:t>Wśród oferty skierowanej do seniorów największą popularnością cieszyły się Koła Gospodyń Wiejskich, Związki Emerytów i Rencistów, Uniwersytety Trzeciego Wieku oraz Kluby Seniora. Ponadto, w coraz większej liczbie gmin zaczynają funkcjonować Rady Seniorów</w:t>
      </w:r>
      <w:r w:rsidRPr="005F0A32">
        <w:rPr>
          <w:rFonts w:ascii="Times New Roman" w:hAnsi="Times New Roman" w:cs="Times New Roman"/>
          <w:sz w:val="24"/>
          <w:szCs w:val="24"/>
        </w:rPr>
        <w:t>. Na terenie województwa podkarpackiego w 2019 r. funkcjonowało 23 Rady Seniorów. Organizacje</w:t>
      </w:r>
      <w:r w:rsidRPr="005F0A32">
        <w:rPr>
          <w:rFonts w:ascii="Times New Roman" w:eastAsia="Calibri" w:hAnsi="Times New Roman" w:cs="Times New Roman"/>
          <w:sz w:val="24"/>
          <w:szCs w:val="24"/>
        </w:rPr>
        <w:t xml:space="preserve"> społeczne działające na rzecz osób starszych, tj. stowarzyszenia, zespoły śpiewacze, akademie seniora, skupiają osoby starsze i organizują: wycieczki krajoznawcze, pomoc prawną, spotkania tematyczne, warsztaty, zajęcia rekreacyjno-sportowe, konferencje, lekcje nauki języków obcych, zajęcia komputerowe itp. </w:t>
      </w:r>
    </w:p>
    <w:p w14:paraId="3141E972" w14:textId="77777777" w:rsidR="00CF2922" w:rsidRPr="005F0A32" w:rsidRDefault="00CF2922" w:rsidP="00E7359C">
      <w:pPr>
        <w:spacing w:after="0"/>
        <w:contextualSpacing/>
        <w:jc w:val="both"/>
        <w:rPr>
          <w:rFonts w:ascii="Times New Roman" w:eastAsia="Calibri" w:hAnsi="Times New Roman" w:cs="Times New Roman"/>
          <w:sz w:val="24"/>
          <w:szCs w:val="24"/>
        </w:rPr>
      </w:pPr>
    </w:p>
    <w:p w14:paraId="48A59873" w14:textId="77777777" w:rsidR="00C72FA4" w:rsidRPr="003F1DAB" w:rsidRDefault="00C72FA4" w:rsidP="008C71A9">
      <w:pPr>
        <w:pStyle w:val="Akapitzlist"/>
        <w:numPr>
          <w:ilvl w:val="0"/>
          <w:numId w:val="137"/>
        </w:numPr>
        <w:spacing w:after="0"/>
        <w:ind w:left="360"/>
        <w:jc w:val="both"/>
        <w:rPr>
          <w:rFonts w:ascii="Times New Roman" w:eastAsia="Times New Roman" w:hAnsi="Times New Roman" w:cs="Times New Roman"/>
          <w:sz w:val="24"/>
          <w:szCs w:val="24"/>
          <w:lang w:eastAsia="pl-PL"/>
        </w:rPr>
      </w:pPr>
      <w:r w:rsidRPr="003F1DAB">
        <w:rPr>
          <w:rFonts w:ascii="Times New Roman" w:eastAsia="Times New Roman" w:hAnsi="Times New Roman" w:cs="Times New Roman"/>
          <w:sz w:val="24"/>
          <w:szCs w:val="24"/>
          <w:lang w:eastAsia="pl-PL"/>
        </w:rPr>
        <w:t>Obszar V. Dostępność i przeciwdziałanie wszelkim formom wykluczenia osób starszych.</w:t>
      </w:r>
    </w:p>
    <w:p w14:paraId="13D64C0C" w14:textId="77777777" w:rsidR="00C72FA4" w:rsidRPr="005F0A32" w:rsidRDefault="00C72FA4" w:rsidP="00E7359C">
      <w:pPr>
        <w:spacing w:after="0"/>
        <w:contextualSpacing/>
        <w:jc w:val="both"/>
        <w:rPr>
          <w:rFonts w:ascii="Times New Roman" w:hAnsi="Times New Roman" w:cs="Times New Roman"/>
          <w:sz w:val="24"/>
          <w:szCs w:val="24"/>
        </w:rPr>
      </w:pPr>
      <w:r w:rsidRPr="005F0A32">
        <w:rPr>
          <w:rFonts w:ascii="Times New Roman" w:eastAsia="Times New Roman" w:hAnsi="Times New Roman" w:cs="Times New Roman"/>
          <w:sz w:val="24"/>
          <w:szCs w:val="24"/>
          <w:lang w:eastAsia="pl-PL"/>
        </w:rPr>
        <w:t>Podejmowano działania mające na celu przeciwdziałanie dyskryminacji ze względu na wiek oraz p</w:t>
      </w:r>
      <w:r w:rsidRPr="005F0A32">
        <w:rPr>
          <w:rFonts w:ascii="Times New Roman" w:hAnsi="Times New Roman" w:cs="Times New Roman"/>
          <w:sz w:val="24"/>
          <w:szCs w:val="24"/>
        </w:rPr>
        <w:t xml:space="preserve">romowanie pozytywnego wizerunku starzenia się oraz starości, w tym informowanie młodego pokolenia o naturalnych procesach starzenia. </w:t>
      </w:r>
    </w:p>
    <w:p w14:paraId="1F301ACA" w14:textId="77777777" w:rsidR="00C72FA4" w:rsidRPr="005F0A32" w:rsidRDefault="00C72FA4" w:rsidP="00E7359C">
      <w:pPr>
        <w:spacing w:after="0"/>
        <w:contextualSpacing/>
        <w:jc w:val="both"/>
        <w:rPr>
          <w:rFonts w:ascii="Times New Roman" w:hAnsi="Times New Roman" w:cs="Times New Roman"/>
          <w:sz w:val="24"/>
          <w:szCs w:val="24"/>
        </w:rPr>
      </w:pPr>
    </w:p>
    <w:p w14:paraId="1380743A" w14:textId="77777777" w:rsidR="00CF2922" w:rsidRPr="003F1DAB" w:rsidRDefault="00CF2922" w:rsidP="00E7359C">
      <w:pPr>
        <w:spacing w:after="0"/>
        <w:jc w:val="both"/>
        <w:rPr>
          <w:rFonts w:ascii="Times New Roman" w:hAnsi="Times New Roman" w:cs="Times New Roman"/>
          <w:b/>
          <w:i/>
          <w:color w:val="00B0F0"/>
          <w:sz w:val="24"/>
          <w:szCs w:val="24"/>
        </w:rPr>
      </w:pPr>
      <w:r w:rsidRPr="003F1DAB">
        <w:rPr>
          <w:rFonts w:ascii="Times New Roman" w:hAnsi="Times New Roman" w:cs="Times New Roman"/>
          <w:b/>
          <w:color w:val="00B0F0"/>
          <w:sz w:val="24"/>
          <w:szCs w:val="24"/>
        </w:rPr>
        <w:t>Realizacja działań wynikających z przyjętego prze</w:t>
      </w:r>
      <w:r w:rsidR="003F1DAB">
        <w:rPr>
          <w:rFonts w:ascii="Times New Roman" w:hAnsi="Times New Roman" w:cs="Times New Roman"/>
          <w:b/>
          <w:color w:val="00B0F0"/>
          <w:sz w:val="24"/>
          <w:szCs w:val="24"/>
        </w:rPr>
        <w:t>z Radę Ministrów dokumentu pt. </w:t>
      </w:r>
      <w:r w:rsidRPr="003F1DAB">
        <w:rPr>
          <w:rFonts w:ascii="Times New Roman" w:hAnsi="Times New Roman" w:cs="Times New Roman"/>
          <w:b/>
          <w:i/>
          <w:color w:val="00B0F0"/>
          <w:sz w:val="24"/>
          <w:szCs w:val="24"/>
        </w:rPr>
        <w:t>Polityka społeczna wobec osób starszych 2030. Bezpieczeństw</w:t>
      </w:r>
      <w:r w:rsidR="003F1DAB" w:rsidRPr="003F1DAB">
        <w:rPr>
          <w:rFonts w:ascii="Times New Roman" w:hAnsi="Times New Roman" w:cs="Times New Roman"/>
          <w:b/>
          <w:i/>
          <w:color w:val="00B0F0"/>
          <w:sz w:val="24"/>
          <w:szCs w:val="24"/>
        </w:rPr>
        <w:t>o – Uczestnictwo – Solidarność</w:t>
      </w:r>
    </w:p>
    <w:p w14:paraId="41F79B6E" w14:textId="77777777" w:rsidR="00CF2922" w:rsidRDefault="00CF2922" w:rsidP="00E7359C">
      <w:pPr>
        <w:spacing w:after="0"/>
        <w:contextualSpacing/>
        <w:jc w:val="both"/>
        <w:rPr>
          <w:rFonts w:ascii="Times New Roman" w:eastAsia="Times New Roman" w:hAnsi="Times New Roman" w:cs="Times New Roman"/>
          <w:b/>
          <w:sz w:val="24"/>
          <w:szCs w:val="24"/>
          <w:lang w:eastAsia="pl-PL"/>
        </w:rPr>
      </w:pPr>
    </w:p>
    <w:p w14:paraId="531293F1" w14:textId="77777777" w:rsidR="00C72FA4" w:rsidRDefault="00C72FA4" w:rsidP="00E7359C">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Jednostki samorządu terytorialnego województwa podkarpackiego w ramach zaplanowanych prac, realizowały działania wynikające z ww. dokumentu, kierując je zarówno do aktywnych osób starszych jak i do osób niesamodzielnych w podeszłym wieku. </w:t>
      </w:r>
    </w:p>
    <w:p w14:paraId="0AC25B3F" w14:textId="77777777" w:rsidR="00A30D9A" w:rsidRDefault="00A30D9A" w:rsidP="00E7359C">
      <w:pPr>
        <w:pStyle w:val="NormalnyWeb"/>
        <w:spacing w:after="0"/>
        <w:contextualSpacing/>
        <w:jc w:val="both"/>
        <w:rPr>
          <w:b/>
        </w:rPr>
      </w:pPr>
    </w:p>
    <w:p w14:paraId="5D33396E" w14:textId="77777777" w:rsidR="00C72FA4" w:rsidRPr="00A30D9A" w:rsidRDefault="00C72FA4" w:rsidP="00E7359C">
      <w:pPr>
        <w:pStyle w:val="NormalnyWeb"/>
        <w:spacing w:after="0"/>
        <w:contextualSpacing/>
        <w:jc w:val="both"/>
        <w:rPr>
          <w:rFonts w:eastAsia="+mn-ea"/>
          <w:bCs/>
          <w:color w:val="000000"/>
          <w:kern w:val="24"/>
        </w:rPr>
      </w:pPr>
      <w:r w:rsidRPr="005F0A32">
        <w:rPr>
          <w:b/>
        </w:rPr>
        <w:t>„Usługi opiekuńcze dla osób niepełnosprawnych”</w:t>
      </w:r>
    </w:p>
    <w:p w14:paraId="112F1DFC" w14:textId="77777777" w:rsidR="00C72FA4" w:rsidRDefault="00C72FA4" w:rsidP="00E7359C">
      <w:pPr>
        <w:spacing w:after="0"/>
        <w:contextualSpacing/>
        <w:jc w:val="both"/>
        <w:rPr>
          <w:rFonts w:ascii="Times New Roman" w:hAnsi="Times New Roman" w:cs="Times New Roman"/>
          <w:sz w:val="24"/>
          <w:szCs w:val="24"/>
        </w:rPr>
      </w:pPr>
      <w:r w:rsidRPr="005F0A32">
        <w:rPr>
          <w:rFonts w:ascii="Times New Roman" w:eastAsia="Calibri" w:hAnsi="Times New Roman" w:cs="Times New Roman"/>
          <w:sz w:val="24"/>
          <w:szCs w:val="24"/>
          <w:lang w:eastAsia="pl-PL"/>
        </w:rPr>
        <w:t xml:space="preserve">Celem Programu było wsparcie społeczne w formie usług opiekuńczych, w tym specjalistycznych usług opiekuńczych osób niepełnosprawnych w wieku do 75 r.ż. </w:t>
      </w:r>
      <w:r w:rsidRPr="005F0A32">
        <w:rPr>
          <w:rFonts w:ascii="Times New Roman" w:eastAsia="Calibri" w:hAnsi="Times New Roman" w:cs="Times New Roman"/>
          <w:sz w:val="24"/>
          <w:szCs w:val="24"/>
          <w:lang w:eastAsia="pl-PL"/>
        </w:rPr>
        <w:br/>
        <w:t xml:space="preserve">z orzeczeniem o znacznym stopniu niepełnosprawności, </w:t>
      </w:r>
      <w:r w:rsidRPr="005F0A32">
        <w:rPr>
          <w:rFonts w:ascii="Times New Roman" w:eastAsia="Calibri" w:hAnsi="Times New Roman" w:cs="Times New Roman"/>
          <w:sz w:val="24"/>
          <w:szCs w:val="24"/>
        </w:rPr>
        <w:t xml:space="preserve">jak również z orzeczeniem lekarza orzecznika Zakładu Ubezpieczeń Społecznych o całkowitej niezdolności do pracy </w:t>
      </w:r>
      <w:r w:rsidRPr="005F0A32">
        <w:rPr>
          <w:rFonts w:ascii="Times New Roman" w:eastAsia="Calibri" w:hAnsi="Times New Roman" w:cs="Times New Roman"/>
          <w:sz w:val="24"/>
          <w:szCs w:val="24"/>
        </w:rPr>
        <w:br/>
        <w:t>i niezdolności do samodzielnej egzystencji lub orzeczeniem o niezdolności do samodzielnej egzystencji wydane na podstawie przepisów ustawy o emeryturach i rentach z Funduszu Ubezpieczeń Społecznych</w:t>
      </w:r>
      <w:r w:rsidRPr="005F0A32">
        <w:rPr>
          <w:rFonts w:ascii="Times New Roman" w:eastAsia="Calibri" w:hAnsi="Times New Roman" w:cs="Times New Roman"/>
          <w:sz w:val="24"/>
          <w:szCs w:val="24"/>
          <w:lang w:eastAsia="pl-PL"/>
        </w:rPr>
        <w:t xml:space="preserve"> oraz dzieci do 16 r.ż.</w:t>
      </w:r>
      <w:r w:rsidRPr="005F0A32">
        <w:rPr>
          <w:rFonts w:ascii="Times New Roman" w:eastAsia="Calibri" w:hAnsi="Times New Roman" w:cs="Times New Roman"/>
          <w:sz w:val="24"/>
          <w:szCs w:val="24"/>
        </w:rPr>
        <w:t xml:space="preserve"> z orzeczeniem o niepełnosprawności</w:t>
      </w:r>
      <w:r w:rsidR="00A30D9A">
        <w:rPr>
          <w:rFonts w:ascii="Times New Roman" w:eastAsia="Calibri" w:hAnsi="Times New Roman" w:cs="Times New Roman"/>
          <w:sz w:val="24"/>
          <w:szCs w:val="24"/>
        </w:rPr>
        <w:t xml:space="preserve"> ze szczególnymi wskazaniami. </w:t>
      </w:r>
      <w:r w:rsidRPr="005F0A32">
        <w:rPr>
          <w:rFonts w:ascii="Times New Roman" w:eastAsia="Calibri" w:hAnsi="Times New Roman" w:cs="Times New Roman"/>
          <w:sz w:val="24"/>
          <w:szCs w:val="24"/>
        </w:rPr>
        <w:t>W 2019 r. ww. Program realizowały 22 gminy z tere</w:t>
      </w:r>
      <w:r w:rsidR="00A30D9A">
        <w:rPr>
          <w:rFonts w:ascii="Times New Roman" w:eastAsia="Calibri" w:hAnsi="Times New Roman" w:cs="Times New Roman"/>
          <w:sz w:val="24"/>
          <w:szCs w:val="24"/>
        </w:rPr>
        <w:t xml:space="preserve">nu województwa podkarpackiego, </w:t>
      </w:r>
      <w:r w:rsidRPr="005F0A32">
        <w:rPr>
          <w:rFonts w:ascii="Times New Roman" w:eastAsia="Calibri" w:hAnsi="Times New Roman" w:cs="Times New Roman"/>
          <w:sz w:val="24"/>
          <w:szCs w:val="24"/>
        </w:rPr>
        <w:t xml:space="preserve">tj.: </w:t>
      </w:r>
      <w:r w:rsidRPr="005F0A32">
        <w:rPr>
          <w:rFonts w:ascii="Times New Roman" w:eastAsia="Calibri" w:hAnsi="Times New Roman" w:cs="Times New Roman"/>
          <w:sz w:val="24"/>
          <w:szCs w:val="24"/>
          <w:lang w:eastAsia="pl-PL"/>
        </w:rPr>
        <w:t xml:space="preserve">Gmina Świlcza, Gmina Przeworsk, Miasto i Gmina Ropczyce, Miasto i Gmina Lesko, Gmina Harasiuki, Gmina Białobrzegi, Gmina Hyżne, Miasto i Gmina Sokołów Małopolski, Gmina Wiązownica, Gmina Majdan Królewski, Miasto i Gmina </w:t>
      </w:r>
      <w:r w:rsidRPr="005F0A32">
        <w:rPr>
          <w:rFonts w:ascii="Times New Roman" w:eastAsia="Calibri" w:hAnsi="Times New Roman" w:cs="Times New Roman"/>
          <w:sz w:val="24"/>
          <w:szCs w:val="24"/>
          <w:lang w:eastAsia="pl-PL"/>
        </w:rPr>
        <w:lastRenderedPageBreak/>
        <w:t xml:space="preserve">Nowa Dęba, Gmina Jeżowe, Miasto Sanok, Miasto Dębica, Gmina Adamówka, Gmina Grodzisko Dolne, Gmina Krzywcza, Miasto Rzeszów, Miasto Tarnobrzeg, Miasto Jasło, Miasto i Gmina Zaklików, Miasto Stalowa Wola. </w:t>
      </w:r>
      <w:r w:rsidRPr="005F0A32">
        <w:rPr>
          <w:rFonts w:ascii="Times New Roman" w:hAnsi="Times New Roman" w:cs="Times New Roman"/>
          <w:sz w:val="24"/>
          <w:szCs w:val="24"/>
        </w:rPr>
        <w:t>W 2019 r. liczba uczestników ww. Programu w wieku od 16 r.ż. do 75 r.ż. z orzeczeniem o znacznym stopniu niepełnosprawności wyniosła 249 osób.</w:t>
      </w:r>
    </w:p>
    <w:p w14:paraId="579E0B09" w14:textId="77777777" w:rsidR="00A30D9A" w:rsidRPr="005F0A32" w:rsidRDefault="00A30D9A" w:rsidP="00E7359C">
      <w:pPr>
        <w:spacing w:after="0"/>
        <w:contextualSpacing/>
        <w:jc w:val="both"/>
        <w:rPr>
          <w:rFonts w:ascii="Times New Roman" w:eastAsia="Calibri" w:hAnsi="Times New Roman" w:cs="Times New Roman"/>
          <w:sz w:val="24"/>
          <w:szCs w:val="24"/>
        </w:rPr>
      </w:pPr>
    </w:p>
    <w:p w14:paraId="651A44D7" w14:textId="77777777" w:rsidR="00C72FA4" w:rsidRPr="005F0A32" w:rsidRDefault="00C72FA4" w:rsidP="00E7359C">
      <w:pPr>
        <w:widowControl w:val="0"/>
        <w:autoSpaceDE w:val="0"/>
        <w:autoSpaceDN w:val="0"/>
        <w:spacing w:after="0"/>
        <w:contextualSpacing/>
        <w:jc w:val="both"/>
        <w:rPr>
          <w:rFonts w:ascii="Times New Roman" w:hAnsi="Times New Roman" w:cs="Times New Roman"/>
          <w:sz w:val="24"/>
          <w:szCs w:val="24"/>
        </w:rPr>
      </w:pPr>
      <w:r w:rsidRPr="005F0A32">
        <w:rPr>
          <w:rFonts w:ascii="Times New Roman" w:hAnsi="Times New Roman" w:cs="Times New Roman"/>
          <w:b/>
          <w:sz w:val="24"/>
          <w:szCs w:val="24"/>
        </w:rPr>
        <w:t>„Opieka wytchnieniowa”</w:t>
      </w:r>
    </w:p>
    <w:p w14:paraId="3BCFCD83" w14:textId="77777777" w:rsidR="00C72FA4" w:rsidRPr="005F0A32" w:rsidRDefault="00C72FA4" w:rsidP="00E7359C">
      <w:pPr>
        <w:widowControl w:val="0"/>
        <w:autoSpaceDE w:val="0"/>
        <w:autoSpaceDN w:val="0"/>
        <w:spacing w:after="0"/>
        <w:contextualSpacing/>
        <w:jc w:val="both"/>
        <w:rPr>
          <w:rFonts w:ascii="Times New Roman" w:eastAsia="Calibri" w:hAnsi="Times New Roman" w:cs="Times New Roman"/>
          <w:sz w:val="24"/>
          <w:szCs w:val="24"/>
        </w:rPr>
      </w:pPr>
      <w:r w:rsidRPr="005F0A32">
        <w:rPr>
          <w:rFonts w:ascii="Times New Roman" w:hAnsi="Times New Roman" w:cs="Times New Roman"/>
          <w:sz w:val="24"/>
          <w:szCs w:val="24"/>
        </w:rPr>
        <w:t>W 2019 r. powyższy Program skierowany był, m.in. do osób</w:t>
      </w:r>
      <w:r w:rsidRPr="005F0A32">
        <w:rPr>
          <w:rFonts w:ascii="Times New Roman" w:eastAsia="Times New Roman" w:hAnsi="Times New Roman" w:cs="Times New Roman"/>
          <w:sz w:val="24"/>
          <w:szCs w:val="24"/>
        </w:rPr>
        <w:t xml:space="preserve"> ze znacz</w:t>
      </w:r>
      <w:r w:rsidRPr="005F0A32">
        <w:rPr>
          <w:rFonts w:ascii="Times New Roman" w:hAnsi="Times New Roman" w:cs="Times New Roman"/>
          <w:sz w:val="24"/>
          <w:szCs w:val="24"/>
        </w:rPr>
        <w:t xml:space="preserve">nym stopniem niepełnosprawności, których członkowie rodzin lub opiekunowie sprawujący </w:t>
      </w:r>
      <w:r w:rsidRPr="005F0A32">
        <w:rPr>
          <w:rFonts w:ascii="Times New Roman" w:hAnsi="Times New Roman" w:cs="Times New Roman"/>
          <w:color w:val="000000"/>
          <w:sz w:val="24"/>
          <w:szCs w:val="24"/>
        </w:rPr>
        <w:t>bezpośrednią opiekę, wymagają wsparcia w postaci doraźnej, krótkotrwałej przerwy w sprawowaniu opieki oraz podniesienia swoich umiejętności i wiedzy w zakresie opieki nad tymi osobami.</w:t>
      </w:r>
      <w:r w:rsidRPr="005F0A32">
        <w:rPr>
          <w:rFonts w:ascii="Times New Roman" w:eastAsia="Calibri" w:hAnsi="Times New Roman" w:cs="Times New Roman"/>
          <w:sz w:val="24"/>
          <w:szCs w:val="24"/>
        </w:rPr>
        <w:t xml:space="preserve"> </w:t>
      </w:r>
    </w:p>
    <w:p w14:paraId="2E0BF987" w14:textId="77777777" w:rsidR="00A30D9A" w:rsidRDefault="00C72FA4" w:rsidP="00E7359C">
      <w:pPr>
        <w:widowControl w:val="0"/>
        <w:autoSpaceDE w:val="0"/>
        <w:autoSpaceDN w:val="0"/>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W 2019 r. ww. Program realizowało 11 gmin z terenu województwa podkarpackiego, </w:t>
      </w:r>
      <w:r w:rsidRPr="005F0A32">
        <w:rPr>
          <w:rFonts w:ascii="Times New Roman" w:eastAsia="Calibri" w:hAnsi="Times New Roman" w:cs="Times New Roman"/>
          <w:sz w:val="24"/>
          <w:szCs w:val="24"/>
        </w:rPr>
        <w:br/>
        <w:t>tj.: Miasto Tarnobrzeg, Gmina Besko, Gmina Dukla, Gmina Jasło, Gmina Miasto Jasło, Gmina i Miasto Kańczuga, Gmina i Miasto Miejsce Piastowe, Gmina i Miasto Ropczyce, Gmina Świlcza, Gmina Trzebownisko, Gmina Wojaszówka. Liczba dorosłych uczestników Programu w 2019 r. wyniosła 68 osób.</w:t>
      </w:r>
    </w:p>
    <w:p w14:paraId="1C7068D7" w14:textId="77777777" w:rsidR="00C72FA4" w:rsidRPr="005F0A32" w:rsidRDefault="00C72FA4" w:rsidP="00E7359C">
      <w:pPr>
        <w:widowControl w:val="0"/>
        <w:autoSpaceDE w:val="0"/>
        <w:autoSpaceDN w:val="0"/>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 </w:t>
      </w:r>
    </w:p>
    <w:p w14:paraId="1F72CDCF" w14:textId="77777777" w:rsidR="00C72FA4" w:rsidRPr="005F0A32" w:rsidRDefault="00C72FA4" w:rsidP="00E7359C">
      <w:pPr>
        <w:widowControl w:val="0"/>
        <w:autoSpaceDE w:val="0"/>
        <w:autoSpaceDN w:val="0"/>
        <w:spacing w:after="0"/>
        <w:contextualSpacing/>
        <w:jc w:val="both"/>
        <w:rPr>
          <w:rFonts w:ascii="Times New Roman" w:hAnsi="Times New Roman" w:cs="Times New Roman"/>
          <w:b/>
          <w:sz w:val="24"/>
          <w:szCs w:val="24"/>
        </w:rPr>
      </w:pPr>
      <w:r w:rsidRPr="005F0A32">
        <w:rPr>
          <w:rFonts w:ascii="Times New Roman" w:hAnsi="Times New Roman" w:cs="Times New Roman"/>
          <w:b/>
          <w:sz w:val="24"/>
          <w:szCs w:val="24"/>
        </w:rPr>
        <w:t>„Asystent osobisty osoby niepełnosprawnej”</w:t>
      </w:r>
    </w:p>
    <w:p w14:paraId="124E3F8A" w14:textId="77777777" w:rsidR="00C72FA4" w:rsidRDefault="00C72FA4" w:rsidP="00E7359C">
      <w:pPr>
        <w:widowControl w:val="0"/>
        <w:autoSpaceDE w:val="0"/>
        <w:autoSpaceDN w:val="0"/>
        <w:spacing w:after="0"/>
        <w:contextualSpacing/>
        <w:jc w:val="both"/>
        <w:rPr>
          <w:rFonts w:ascii="Times New Roman" w:eastAsia="Calibri" w:hAnsi="Times New Roman" w:cs="Times New Roman"/>
          <w:sz w:val="24"/>
          <w:szCs w:val="24"/>
        </w:rPr>
      </w:pPr>
      <w:r w:rsidRPr="005F0A32">
        <w:rPr>
          <w:rFonts w:ascii="Times New Roman" w:hAnsi="Times New Roman" w:cs="Times New Roman"/>
          <w:sz w:val="24"/>
          <w:szCs w:val="24"/>
        </w:rPr>
        <w:t xml:space="preserve">Program „Asystent osobisty osoby niepełnosprawnej” polega na realizacji usługi asystenta </w:t>
      </w:r>
      <w:r w:rsidRPr="005F0A32">
        <w:rPr>
          <w:rFonts w:ascii="Times New Roman" w:hAnsi="Times New Roman" w:cs="Times New Roman"/>
          <w:sz w:val="24"/>
          <w:szCs w:val="24"/>
        </w:rPr>
        <w:br/>
        <w:t xml:space="preserve">w wykonywaniu codziennych czynności oraz funkcjonowaniu w życiu społecznym, osób niepełnosprawnych posiadających orzeczenie o znacznym lub umiarkowanym stopniu niepełnosprawności. </w:t>
      </w:r>
      <w:r w:rsidRPr="005F0A32">
        <w:rPr>
          <w:rFonts w:ascii="Times New Roman" w:eastAsia="Calibri" w:hAnsi="Times New Roman" w:cs="Times New Roman"/>
          <w:sz w:val="24"/>
          <w:szCs w:val="24"/>
        </w:rPr>
        <w:t>W 2019 r. ww. Program realizowała Gmina Miasto Jasło.</w:t>
      </w:r>
      <w:r w:rsidRPr="005F0A32">
        <w:rPr>
          <w:rFonts w:ascii="Times New Roman" w:hAnsi="Times New Roman" w:cs="Times New Roman"/>
          <w:sz w:val="24"/>
          <w:szCs w:val="24"/>
        </w:rPr>
        <w:t xml:space="preserve"> </w:t>
      </w:r>
      <w:r w:rsidRPr="005F0A32">
        <w:rPr>
          <w:rFonts w:ascii="Times New Roman" w:eastAsia="Calibri" w:hAnsi="Times New Roman" w:cs="Times New Roman"/>
          <w:sz w:val="24"/>
          <w:szCs w:val="24"/>
        </w:rPr>
        <w:t xml:space="preserve">Liczba dorosłych uczestników Programu w 2019 r. wyniosła 3 osoby. </w:t>
      </w:r>
    </w:p>
    <w:p w14:paraId="5EE85398" w14:textId="77777777" w:rsidR="003F1DAB" w:rsidRPr="005F0A32" w:rsidRDefault="003F1DAB" w:rsidP="00E7359C">
      <w:pPr>
        <w:spacing w:after="0"/>
        <w:contextualSpacing/>
        <w:jc w:val="both"/>
        <w:rPr>
          <w:rFonts w:ascii="Times New Roman" w:eastAsia="Times New Roman" w:hAnsi="Times New Roman" w:cs="Times New Roman"/>
          <w:color w:val="00000A"/>
          <w:sz w:val="24"/>
          <w:szCs w:val="24"/>
          <w:lang w:eastAsia="pl-PL"/>
        </w:rPr>
      </w:pPr>
    </w:p>
    <w:p w14:paraId="11DBCC7B" w14:textId="77777777" w:rsidR="00C72FA4" w:rsidRPr="005F0A32" w:rsidRDefault="00C72FA4" w:rsidP="00E7359C">
      <w:pPr>
        <w:spacing w:after="0"/>
        <w:contextualSpacing/>
        <w:jc w:val="both"/>
        <w:rPr>
          <w:rFonts w:ascii="Times New Roman" w:eastAsia="Calibri" w:hAnsi="Times New Roman" w:cs="Times New Roman"/>
          <w:b/>
          <w:sz w:val="24"/>
          <w:szCs w:val="24"/>
        </w:rPr>
      </w:pPr>
      <w:r w:rsidRPr="005F0A32">
        <w:rPr>
          <w:rFonts w:ascii="Times New Roman" w:eastAsia="Calibri" w:hAnsi="Times New Roman" w:cs="Times New Roman"/>
          <w:b/>
          <w:sz w:val="24"/>
          <w:szCs w:val="24"/>
        </w:rPr>
        <w:t>Przec</w:t>
      </w:r>
      <w:r w:rsidR="00A30D9A">
        <w:rPr>
          <w:rFonts w:ascii="Times New Roman" w:eastAsia="Calibri" w:hAnsi="Times New Roman" w:cs="Times New Roman"/>
          <w:b/>
          <w:sz w:val="24"/>
          <w:szCs w:val="24"/>
        </w:rPr>
        <w:t>iwdziałanie przemocy w rodzinie</w:t>
      </w:r>
    </w:p>
    <w:p w14:paraId="3840517E" w14:textId="77777777" w:rsidR="00C72FA4" w:rsidRPr="005F0A32" w:rsidRDefault="00C72FA4" w:rsidP="00E7359C">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W ramach realizacji zadań wynikających z ustawy o przeciwdziałaniu przemocy w rodzinie oraz realizacji niektórych zadań wynikających z Krajowego Programu Przeciwdziałania Przemocy w Rodzinie na lata 2014-2020, PUW w Rzeszowie przeprowadził analizę dot. skali zjawiska przemocy w rodzinie. W wyniku ww. badania ustalono, że na terenie województwa podkarpackiego przemocy w rodzinie doświadczają ogółem 10.062 osoby. W tej grupie mieszczą się również osoby starsze powyżej 65 roku życia, tj. 919 kobiet (9 %) oraz 297 mężczyzn (3 %).</w:t>
      </w:r>
    </w:p>
    <w:p w14:paraId="16831B34" w14:textId="77777777" w:rsidR="00A30D9A" w:rsidRDefault="00A30D9A" w:rsidP="00E7359C">
      <w:pPr>
        <w:spacing w:after="0"/>
        <w:contextualSpacing/>
        <w:jc w:val="both"/>
        <w:rPr>
          <w:rFonts w:ascii="Times New Roman" w:hAnsi="Times New Roman" w:cs="Times New Roman"/>
          <w:sz w:val="24"/>
          <w:szCs w:val="24"/>
        </w:rPr>
      </w:pPr>
    </w:p>
    <w:p w14:paraId="3EB757DB" w14:textId="77777777" w:rsidR="00C72FA4" w:rsidRPr="005F0A32" w:rsidRDefault="00C72FA4" w:rsidP="00E7359C">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W ramach Programu Osłonowego „Wspieranie jedn</w:t>
      </w:r>
      <w:r w:rsidR="00A30D9A">
        <w:rPr>
          <w:rFonts w:ascii="Times New Roman" w:hAnsi="Times New Roman" w:cs="Times New Roman"/>
          <w:sz w:val="24"/>
          <w:szCs w:val="24"/>
        </w:rPr>
        <w:t xml:space="preserve">ostek samorządu terytorialnego </w:t>
      </w:r>
      <w:r w:rsidRPr="005F0A32">
        <w:rPr>
          <w:rFonts w:ascii="Times New Roman" w:hAnsi="Times New Roman" w:cs="Times New Roman"/>
          <w:sz w:val="24"/>
          <w:szCs w:val="24"/>
        </w:rPr>
        <w:t>w tworzeniu systemu przeciwdziałania przemocy w rodzinie” edycja 2019, Minister Rodziny, Pracy i Polityki Społecznej przyznał dla województwa podkarpackiego środki finansowe na realizację projektów, w tym znalazł się 1 projekt skierowany częściowo do osób starszych. Gmina Kamień opracowała projekt pn. „Gmina Ka</w:t>
      </w:r>
      <w:r w:rsidR="00A30D9A">
        <w:rPr>
          <w:rFonts w:ascii="Times New Roman" w:hAnsi="Times New Roman" w:cs="Times New Roman"/>
          <w:sz w:val="24"/>
          <w:szCs w:val="24"/>
        </w:rPr>
        <w:t xml:space="preserve">mień aktywnie przeciw przemocy </w:t>
      </w:r>
      <w:r w:rsidRPr="005F0A32">
        <w:rPr>
          <w:rFonts w:ascii="Times New Roman" w:hAnsi="Times New Roman" w:cs="Times New Roman"/>
          <w:sz w:val="24"/>
          <w:szCs w:val="24"/>
        </w:rPr>
        <w:t>w rodzinie”, w ramach którego dla osób powyżej 65 roku życia - uczestników Domu Seniora w Nowym Kamieniu i Domu Opieki w Kamieniu – zaplanowano spotkania prowadzone przez prawnika i policjanta.</w:t>
      </w:r>
    </w:p>
    <w:p w14:paraId="1AB24EB8" w14:textId="77777777" w:rsidR="005D2A2C" w:rsidRDefault="005D2A2C" w:rsidP="003C1988">
      <w:pPr>
        <w:spacing w:after="0"/>
        <w:rPr>
          <w:rFonts w:ascii="Times New Roman" w:hAnsi="Times New Roman" w:cs="Times New Roman"/>
          <w:sz w:val="24"/>
          <w:szCs w:val="24"/>
          <w:lang w:eastAsia="ar-SA"/>
        </w:rPr>
        <w:sectPr w:rsidR="005D2A2C" w:rsidSect="00DB6308">
          <w:pgSz w:w="11900" w:h="16838"/>
          <w:pgMar w:top="1384" w:right="1386" w:bottom="1038" w:left="1380" w:header="0" w:footer="567" w:gutter="0"/>
          <w:cols w:space="0" w:equalWidth="0">
            <w:col w:w="9140"/>
          </w:cols>
          <w:docGrid w:linePitch="360"/>
        </w:sectPr>
      </w:pPr>
    </w:p>
    <w:p w14:paraId="45829A5F" w14:textId="39CEB1B6" w:rsidR="004D48DD" w:rsidRPr="004D48DD" w:rsidRDefault="004D48DD" w:rsidP="004D48DD">
      <w:pPr>
        <w:pStyle w:val="Legenda"/>
        <w:keepNext/>
        <w:rPr>
          <w:rFonts w:ascii="Times New Roman" w:hAnsi="Times New Roman" w:cs="Times New Roman"/>
          <w:b/>
          <w:i w:val="0"/>
          <w:sz w:val="24"/>
        </w:rPr>
      </w:pPr>
      <w:bookmarkStart w:id="142" w:name="_Toc49171438"/>
      <w:r w:rsidRPr="004D48DD">
        <w:rPr>
          <w:rFonts w:ascii="Times New Roman" w:hAnsi="Times New Roman" w:cs="Times New Roman"/>
          <w:b/>
          <w:i w:val="0"/>
          <w:sz w:val="24"/>
        </w:rPr>
        <w:lastRenderedPageBreak/>
        <w:t xml:space="preserve">Tabela </w:t>
      </w:r>
      <w:r w:rsidRPr="004D48DD">
        <w:rPr>
          <w:rFonts w:ascii="Times New Roman" w:hAnsi="Times New Roman" w:cs="Times New Roman"/>
          <w:b/>
          <w:i w:val="0"/>
          <w:sz w:val="24"/>
        </w:rPr>
        <w:fldChar w:fldCharType="begin"/>
      </w:r>
      <w:r w:rsidRPr="004D48DD">
        <w:rPr>
          <w:rFonts w:ascii="Times New Roman" w:hAnsi="Times New Roman" w:cs="Times New Roman"/>
          <w:b/>
          <w:i w:val="0"/>
          <w:sz w:val="24"/>
        </w:rPr>
        <w:instrText xml:space="preserve"> SEQ Tabela \* ARABIC </w:instrText>
      </w:r>
      <w:r w:rsidRPr="004D48DD">
        <w:rPr>
          <w:rFonts w:ascii="Times New Roman" w:hAnsi="Times New Roman" w:cs="Times New Roman"/>
          <w:b/>
          <w:i w:val="0"/>
          <w:sz w:val="24"/>
        </w:rPr>
        <w:fldChar w:fldCharType="separate"/>
      </w:r>
      <w:r w:rsidR="00C154C9">
        <w:rPr>
          <w:rFonts w:ascii="Times New Roman" w:hAnsi="Times New Roman" w:cs="Times New Roman"/>
          <w:b/>
          <w:i w:val="0"/>
          <w:noProof/>
          <w:sz w:val="24"/>
        </w:rPr>
        <w:t>63</w:t>
      </w:r>
      <w:r w:rsidRPr="004D48DD">
        <w:rPr>
          <w:rFonts w:ascii="Times New Roman" w:hAnsi="Times New Roman" w:cs="Times New Roman"/>
          <w:b/>
          <w:i w:val="0"/>
          <w:sz w:val="24"/>
        </w:rPr>
        <w:fldChar w:fldCharType="end"/>
      </w:r>
      <w:r w:rsidRPr="004D48DD">
        <w:rPr>
          <w:rFonts w:ascii="Times New Roman" w:hAnsi="Times New Roman" w:cs="Times New Roman"/>
          <w:b/>
          <w:i w:val="0"/>
          <w:sz w:val="24"/>
        </w:rPr>
        <w:t xml:space="preserve"> Karta województwa podkarpackiego</w:t>
      </w:r>
      <w:bookmarkEnd w:id="142"/>
    </w:p>
    <w:tbl>
      <w:tblPr>
        <w:tblStyle w:val="Tabelasiatki6kolorowaakcent11"/>
        <w:tblpPr w:leftFromText="142" w:rightFromText="142" w:vertAnchor="text" w:horzAnchor="margin" w:tblpXSpec="center" w:tblpY="1"/>
        <w:tblOverlap w:val="never"/>
        <w:tblW w:w="14567"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30"/>
        <w:gridCol w:w="3066"/>
        <w:gridCol w:w="53"/>
        <w:gridCol w:w="850"/>
        <w:gridCol w:w="2045"/>
        <w:gridCol w:w="790"/>
        <w:gridCol w:w="1134"/>
        <w:gridCol w:w="1024"/>
        <w:gridCol w:w="2775"/>
      </w:tblGrid>
      <w:tr w:rsidR="008457FA" w:rsidRPr="008457FA" w14:paraId="5ED11219" w14:textId="77777777" w:rsidTr="00E86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gridSpan w:val="9"/>
            <w:tcBorders>
              <w:bottom w:val="none" w:sz="0" w:space="0" w:color="auto"/>
            </w:tcBorders>
            <w:shd w:val="clear" w:color="auto" w:fill="9CC2E5" w:themeFill="accent1" w:themeFillTint="99"/>
          </w:tcPr>
          <w:p w14:paraId="3E690AD3" w14:textId="77777777" w:rsidR="005D2A2C" w:rsidRPr="008457FA" w:rsidRDefault="005D2A2C" w:rsidP="00E86509">
            <w:pPr>
              <w:spacing w:after="0" w:line="240" w:lineRule="auto"/>
              <w:jc w:val="center"/>
              <w:rPr>
                <w:rFonts w:ascii="Times New Roman" w:hAnsi="Times New Roman" w:cs="Times New Roman"/>
                <w:color w:val="auto"/>
              </w:rPr>
            </w:pPr>
            <w:r w:rsidRPr="008457FA">
              <w:rPr>
                <w:rFonts w:ascii="Times New Roman" w:hAnsi="Times New Roman" w:cs="Times New Roman"/>
                <w:color w:val="auto"/>
              </w:rPr>
              <w:t>WOJEWÓDZTWO PODKARPACKIE</w:t>
            </w:r>
          </w:p>
        </w:tc>
      </w:tr>
      <w:tr w:rsidR="008457FA" w:rsidRPr="008457FA" w14:paraId="2315683D" w14:textId="77777777" w:rsidTr="00E8650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5B033EF" w14:textId="77777777" w:rsidR="005D2A2C" w:rsidRPr="008457FA" w:rsidRDefault="005D2A2C" w:rsidP="00E86509">
            <w:pPr>
              <w:spacing w:after="0" w:line="240" w:lineRule="auto"/>
              <w:rPr>
                <w:rFonts w:ascii="Times New Roman" w:hAnsi="Times New Roman" w:cs="Times New Roman"/>
                <w:color w:val="auto"/>
              </w:rPr>
            </w:pPr>
            <w:r w:rsidRPr="008457FA">
              <w:rPr>
                <w:rFonts w:ascii="Times New Roman" w:hAnsi="Times New Roman" w:cs="Times New Roman"/>
                <w:color w:val="auto"/>
              </w:rPr>
              <w:t>Informacja o regionie</w:t>
            </w:r>
          </w:p>
        </w:tc>
        <w:tc>
          <w:tcPr>
            <w:tcW w:w="3969" w:type="dxa"/>
            <w:gridSpan w:val="3"/>
            <w:shd w:val="clear" w:color="auto" w:fill="9CC2E5" w:themeFill="accent1" w:themeFillTint="99"/>
          </w:tcPr>
          <w:p w14:paraId="23C50C0D"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gmin</w:t>
            </w:r>
          </w:p>
        </w:tc>
        <w:tc>
          <w:tcPr>
            <w:tcW w:w="7768" w:type="dxa"/>
            <w:gridSpan w:val="5"/>
            <w:shd w:val="clear" w:color="auto" w:fill="FFFFFF" w:themeFill="background1"/>
          </w:tcPr>
          <w:p w14:paraId="596C195A"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160</w:t>
            </w:r>
          </w:p>
        </w:tc>
      </w:tr>
      <w:tr w:rsidR="008457FA" w:rsidRPr="008457FA" w14:paraId="4D10344F" w14:textId="77777777" w:rsidTr="00E86509">
        <w:trPr>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74CBE23" w14:textId="77777777" w:rsidR="005D2A2C" w:rsidRPr="008457FA" w:rsidRDefault="005D2A2C" w:rsidP="00E86509">
            <w:pPr>
              <w:spacing w:after="0" w:line="240" w:lineRule="auto"/>
              <w:rPr>
                <w:rFonts w:ascii="Times New Roman" w:hAnsi="Times New Roman" w:cs="Times New Roman"/>
                <w:color w:val="auto"/>
              </w:rPr>
            </w:pPr>
          </w:p>
        </w:tc>
        <w:tc>
          <w:tcPr>
            <w:tcW w:w="3969" w:type="dxa"/>
            <w:gridSpan w:val="3"/>
            <w:shd w:val="clear" w:color="auto" w:fill="9CC2E5" w:themeFill="accent1" w:themeFillTint="99"/>
          </w:tcPr>
          <w:p w14:paraId="2626ED41"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powiatów</w:t>
            </w:r>
          </w:p>
        </w:tc>
        <w:tc>
          <w:tcPr>
            <w:tcW w:w="7768" w:type="dxa"/>
            <w:gridSpan w:val="5"/>
            <w:shd w:val="clear" w:color="auto" w:fill="FFFFFF" w:themeFill="background1"/>
          </w:tcPr>
          <w:p w14:paraId="3E68945B"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21 (+ 4 miasta na prawach powiatu)</w:t>
            </w:r>
          </w:p>
        </w:tc>
      </w:tr>
      <w:tr w:rsidR="008457FA" w:rsidRPr="008457FA" w14:paraId="5AE8957B" w14:textId="77777777" w:rsidTr="00E8650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1B39EF5" w14:textId="77777777" w:rsidR="005D2A2C" w:rsidRPr="008457FA" w:rsidRDefault="005D2A2C" w:rsidP="00E86509">
            <w:pPr>
              <w:spacing w:after="0" w:line="240" w:lineRule="auto"/>
              <w:rPr>
                <w:rFonts w:ascii="Times New Roman" w:hAnsi="Times New Roman" w:cs="Times New Roman"/>
                <w:color w:val="auto"/>
              </w:rPr>
            </w:pPr>
          </w:p>
        </w:tc>
        <w:tc>
          <w:tcPr>
            <w:tcW w:w="3969" w:type="dxa"/>
            <w:gridSpan w:val="3"/>
            <w:shd w:val="clear" w:color="auto" w:fill="9CC2E5" w:themeFill="accent1" w:themeFillTint="99"/>
          </w:tcPr>
          <w:p w14:paraId="62E5D1D4"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Powierzchnia</w:t>
            </w:r>
          </w:p>
        </w:tc>
        <w:tc>
          <w:tcPr>
            <w:tcW w:w="7768" w:type="dxa"/>
            <w:gridSpan w:val="5"/>
            <w:shd w:val="clear" w:color="auto" w:fill="FFFFFF" w:themeFill="background1"/>
          </w:tcPr>
          <w:p w14:paraId="25AF8E08" w14:textId="77777777" w:rsidR="005D2A2C" w:rsidRPr="008457FA" w:rsidRDefault="00A94CF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vertAlign w:val="superscript"/>
              </w:rPr>
            </w:pPr>
            <w:r w:rsidRPr="008457FA">
              <w:rPr>
                <w:rFonts w:ascii="Times New Roman" w:hAnsi="Times New Roman" w:cs="Times New Roman"/>
                <w:color w:val="auto"/>
              </w:rPr>
              <w:t xml:space="preserve">17 </w:t>
            </w:r>
            <w:r w:rsidR="005D2A2C" w:rsidRPr="008457FA">
              <w:rPr>
                <w:rFonts w:ascii="Times New Roman" w:hAnsi="Times New Roman" w:cs="Times New Roman"/>
                <w:color w:val="auto"/>
              </w:rPr>
              <w:t>846 km</w:t>
            </w:r>
            <w:r w:rsidR="005D2A2C" w:rsidRPr="008457FA">
              <w:rPr>
                <w:rFonts w:ascii="Times New Roman" w:hAnsi="Times New Roman" w:cs="Times New Roman"/>
                <w:color w:val="auto"/>
                <w:vertAlign w:val="superscript"/>
              </w:rPr>
              <w:t>2</w:t>
            </w:r>
          </w:p>
        </w:tc>
      </w:tr>
      <w:tr w:rsidR="008457FA" w:rsidRPr="008457FA" w14:paraId="5F752131" w14:textId="77777777" w:rsidTr="00E86509">
        <w:tc>
          <w:tcPr>
            <w:cnfStyle w:val="001000000000" w:firstRow="0" w:lastRow="0" w:firstColumn="1" w:lastColumn="0" w:oddVBand="0" w:evenVBand="0" w:oddHBand="0" w:evenHBand="0" w:firstRowFirstColumn="0" w:firstRowLastColumn="0" w:lastRowFirstColumn="0" w:lastRowLastColumn="0"/>
            <w:tcW w:w="14567" w:type="dxa"/>
            <w:gridSpan w:val="9"/>
            <w:shd w:val="clear" w:color="auto" w:fill="9CC2E5" w:themeFill="accent1" w:themeFillTint="99"/>
          </w:tcPr>
          <w:p w14:paraId="27BB81F3" w14:textId="77777777" w:rsidR="005D2A2C" w:rsidRPr="008457FA" w:rsidRDefault="005D2A2C" w:rsidP="00E86509">
            <w:pPr>
              <w:spacing w:after="0" w:line="240" w:lineRule="auto"/>
              <w:jc w:val="center"/>
              <w:rPr>
                <w:rFonts w:ascii="Times New Roman" w:hAnsi="Times New Roman" w:cs="Times New Roman"/>
                <w:b w:val="0"/>
                <w:color w:val="auto"/>
              </w:rPr>
            </w:pPr>
            <w:r w:rsidRPr="008457FA">
              <w:rPr>
                <w:rFonts w:ascii="Times New Roman" w:hAnsi="Times New Roman" w:cs="Times New Roman"/>
                <w:color w:val="auto"/>
              </w:rPr>
              <w:t>DEMOGRAFIA</w:t>
            </w:r>
          </w:p>
        </w:tc>
      </w:tr>
      <w:tr w:rsidR="008457FA" w:rsidRPr="008457FA" w14:paraId="29EAC8A2"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B872D71" w14:textId="77777777" w:rsidR="005D2A2C" w:rsidRPr="008457FA" w:rsidRDefault="005D2A2C" w:rsidP="00E86509">
            <w:pPr>
              <w:spacing w:after="0" w:line="240" w:lineRule="auto"/>
              <w:jc w:val="center"/>
              <w:rPr>
                <w:rFonts w:ascii="Times New Roman" w:hAnsi="Times New Roman" w:cs="Times New Roman"/>
                <w:b w:val="0"/>
                <w:color w:val="auto"/>
                <w:lang w:eastAsia="pl-PL"/>
              </w:rPr>
            </w:pPr>
            <w:r w:rsidRPr="008457FA">
              <w:rPr>
                <w:rFonts w:ascii="Times New Roman" w:hAnsi="Times New Roman" w:cs="Times New Roman"/>
                <w:color w:val="auto"/>
                <w:lang w:eastAsia="pl-PL"/>
              </w:rPr>
              <w:t>Treść</w:t>
            </w:r>
          </w:p>
        </w:tc>
        <w:tc>
          <w:tcPr>
            <w:tcW w:w="3969" w:type="dxa"/>
            <w:gridSpan w:val="3"/>
            <w:shd w:val="clear" w:color="auto" w:fill="9CC2E5" w:themeFill="accent1" w:themeFillTint="99"/>
          </w:tcPr>
          <w:p w14:paraId="7BE71D51"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2017 r.</w:t>
            </w:r>
          </w:p>
        </w:tc>
        <w:tc>
          <w:tcPr>
            <w:tcW w:w="3969" w:type="dxa"/>
            <w:gridSpan w:val="3"/>
            <w:shd w:val="clear" w:color="auto" w:fill="9CC2E5" w:themeFill="accent1" w:themeFillTint="99"/>
          </w:tcPr>
          <w:p w14:paraId="6C5CA163"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2018 r.</w:t>
            </w:r>
          </w:p>
        </w:tc>
        <w:tc>
          <w:tcPr>
            <w:tcW w:w="3799" w:type="dxa"/>
            <w:gridSpan w:val="2"/>
            <w:shd w:val="clear" w:color="auto" w:fill="9CC2E5" w:themeFill="accent1" w:themeFillTint="99"/>
          </w:tcPr>
          <w:p w14:paraId="38A841A2"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2019 r.</w:t>
            </w:r>
          </w:p>
        </w:tc>
      </w:tr>
      <w:tr w:rsidR="008457FA" w:rsidRPr="008457FA" w14:paraId="38A175F3"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F1FAE18"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Populacja ogółem</w:t>
            </w:r>
          </w:p>
        </w:tc>
        <w:tc>
          <w:tcPr>
            <w:tcW w:w="3969" w:type="dxa"/>
            <w:gridSpan w:val="3"/>
          </w:tcPr>
          <w:p w14:paraId="6D668DE1"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2 129 </w:t>
            </w:r>
            <w:r w:rsidR="005D2A2C" w:rsidRPr="008457FA">
              <w:rPr>
                <w:rFonts w:ascii="Times New Roman" w:hAnsi="Times New Roman" w:cs="Times New Roman"/>
                <w:color w:val="auto"/>
              </w:rPr>
              <w:t>138</w:t>
            </w:r>
          </w:p>
        </w:tc>
        <w:tc>
          <w:tcPr>
            <w:tcW w:w="3969" w:type="dxa"/>
            <w:gridSpan w:val="3"/>
          </w:tcPr>
          <w:p w14:paraId="125DF5AA"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2 129 </w:t>
            </w:r>
            <w:r w:rsidR="005D2A2C" w:rsidRPr="008457FA">
              <w:rPr>
                <w:rFonts w:ascii="Times New Roman" w:hAnsi="Times New Roman" w:cs="Times New Roman"/>
                <w:color w:val="auto"/>
              </w:rPr>
              <w:t>015</w:t>
            </w:r>
          </w:p>
        </w:tc>
        <w:tc>
          <w:tcPr>
            <w:tcW w:w="3799" w:type="dxa"/>
            <w:gridSpan w:val="2"/>
          </w:tcPr>
          <w:p w14:paraId="39A6373A"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2 127 </w:t>
            </w:r>
            <w:r w:rsidR="005D2A2C" w:rsidRPr="008457FA">
              <w:rPr>
                <w:rFonts w:ascii="Times New Roman" w:hAnsi="Times New Roman" w:cs="Times New Roman"/>
                <w:color w:val="auto"/>
              </w:rPr>
              <w:t>164</w:t>
            </w:r>
          </w:p>
        </w:tc>
      </w:tr>
      <w:tr w:rsidR="008457FA" w:rsidRPr="008457FA" w14:paraId="41C49B1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gridSpan w:val="9"/>
            <w:shd w:val="clear" w:color="auto" w:fill="9CC2E5" w:themeFill="accent1" w:themeFillTint="99"/>
          </w:tcPr>
          <w:p w14:paraId="2536C8DD" w14:textId="77777777" w:rsidR="005D2A2C" w:rsidRPr="008457FA" w:rsidRDefault="005D2A2C" w:rsidP="00E86509">
            <w:pPr>
              <w:spacing w:after="0" w:line="240" w:lineRule="auto"/>
              <w:rPr>
                <w:rFonts w:ascii="Times New Roman" w:hAnsi="Times New Roman" w:cs="Times New Roman"/>
                <w:color w:val="auto"/>
              </w:rPr>
            </w:pPr>
            <w:r w:rsidRPr="008457FA">
              <w:rPr>
                <w:rFonts w:ascii="Times New Roman" w:hAnsi="Times New Roman" w:cs="Times New Roman"/>
                <w:color w:val="auto"/>
                <w:lang w:eastAsia="pl-PL"/>
              </w:rPr>
              <w:t>w tym:</w:t>
            </w:r>
          </w:p>
        </w:tc>
      </w:tr>
      <w:tr w:rsidR="008457FA" w:rsidRPr="008457FA" w14:paraId="28F82FE6"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E7F25F7" w14:textId="77777777" w:rsidR="005D2A2C" w:rsidRPr="008457FA" w:rsidRDefault="005D2A2C" w:rsidP="00E86509">
            <w:pPr>
              <w:spacing w:after="0" w:line="240" w:lineRule="auto"/>
              <w:rPr>
                <w:rFonts w:ascii="Times New Roman" w:hAnsi="Times New Roman" w:cs="Times New Roman"/>
                <w:color w:val="auto"/>
              </w:rPr>
            </w:pPr>
            <w:r w:rsidRPr="008457FA">
              <w:rPr>
                <w:rFonts w:ascii="Times New Roman" w:hAnsi="Times New Roman" w:cs="Times New Roman"/>
                <w:color w:val="auto"/>
                <w:lang w:eastAsia="pl-PL"/>
              </w:rPr>
              <w:t>w wieku 60 lat i więcej</w:t>
            </w:r>
          </w:p>
        </w:tc>
        <w:tc>
          <w:tcPr>
            <w:tcW w:w="3969" w:type="dxa"/>
            <w:gridSpan w:val="3"/>
            <w:shd w:val="clear" w:color="auto" w:fill="FFFFFF" w:themeFill="background1"/>
          </w:tcPr>
          <w:p w14:paraId="5EE02F53"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3969" w:type="dxa"/>
            <w:gridSpan w:val="3"/>
            <w:shd w:val="clear" w:color="auto" w:fill="FFFFFF" w:themeFill="background1"/>
          </w:tcPr>
          <w:p w14:paraId="59845EA3"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c>
          <w:tcPr>
            <w:tcW w:w="3799" w:type="dxa"/>
            <w:gridSpan w:val="2"/>
            <w:shd w:val="clear" w:color="auto" w:fill="FFFFFF" w:themeFill="background1"/>
          </w:tcPr>
          <w:p w14:paraId="462F8B1A"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8457FA" w:rsidRPr="008457FA" w14:paraId="2AD70C8D"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4526105"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60–64 lata</w:t>
            </w:r>
          </w:p>
        </w:tc>
        <w:tc>
          <w:tcPr>
            <w:tcW w:w="3969" w:type="dxa"/>
            <w:gridSpan w:val="3"/>
            <w:shd w:val="clear" w:color="auto" w:fill="FFFFFF" w:themeFill="background1"/>
          </w:tcPr>
          <w:p w14:paraId="7760EE2E" w14:textId="77777777" w:rsidR="005D2A2C" w:rsidRPr="008457FA" w:rsidRDefault="00A94CF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138 </w:t>
            </w:r>
            <w:r w:rsidR="005D2A2C" w:rsidRPr="008457FA">
              <w:rPr>
                <w:rFonts w:ascii="Times New Roman" w:hAnsi="Times New Roman" w:cs="Times New Roman"/>
                <w:color w:val="auto"/>
              </w:rPr>
              <w:t>988</w:t>
            </w:r>
          </w:p>
        </w:tc>
        <w:tc>
          <w:tcPr>
            <w:tcW w:w="3969" w:type="dxa"/>
            <w:gridSpan w:val="3"/>
            <w:shd w:val="clear" w:color="auto" w:fill="FFFFFF" w:themeFill="background1"/>
          </w:tcPr>
          <w:p w14:paraId="5C9E5418" w14:textId="77777777" w:rsidR="005D2A2C" w:rsidRPr="008457FA" w:rsidRDefault="00A94CF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140 </w:t>
            </w:r>
            <w:r w:rsidR="005D2A2C" w:rsidRPr="008457FA">
              <w:rPr>
                <w:rFonts w:ascii="Times New Roman" w:hAnsi="Times New Roman" w:cs="Times New Roman"/>
                <w:color w:val="auto"/>
              </w:rPr>
              <w:t>274</w:t>
            </w:r>
          </w:p>
        </w:tc>
        <w:tc>
          <w:tcPr>
            <w:tcW w:w="3799" w:type="dxa"/>
            <w:gridSpan w:val="2"/>
            <w:shd w:val="clear" w:color="auto" w:fill="FFFFFF" w:themeFill="background1"/>
          </w:tcPr>
          <w:p w14:paraId="410D0073" w14:textId="77777777" w:rsidR="005D2A2C" w:rsidRPr="008457FA" w:rsidRDefault="00A94CF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141 </w:t>
            </w:r>
            <w:r w:rsidR="005D2A2C" w:rsidRPr="008457FA">
              <w:rPr>
                <w:rFonts w:ascii="Times New Roman" w:hAnsi="Times New Roman" w:cs="Times New Roman"/>
                <w:color w:val="auto"/>
              </w:rPr>
              <w:t>422</w:t>
            </w:r>
          </w:p>
        </w:tc>
      </w:tr>
      <w:tr w:rsidR="008457FA" w:rsidRPr="008457FA" w14:paraId="1169609A"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7094FB9"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65–69</w:t>
            </w:r>
          </w:p>
        </w:tc>
        <w:tc>
          <w:tcPr>
            <w:tcW w:w="3969" w:type="dxa"/>
            <w:gridSpan w:val="3"/>
            <w:shd w:val="clear" w:color="auto" w:fill="FFFFFF" w:themeFill="background1"/>
          </w:tcPr>
          <w:p w14:paraId="5B441F28"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116 </w:t>
            </w:r>
            <w:r w:rsidR="005D2A2C" w:rsidRPr="008457FA">
              <w:rPr>
                <w:rFonts w:ascii="Times New Roman" w:hAnsi="Times New Roman" w:cs="Times New Roman"/>
                <w:color w:val="auto"/>
              </w:rPr>
              <w:t>115</w:t>
            </w:r>
          </w:p>
        </w:tc>
        <w:tc>
          <w:tcPr>
            <w:tcW w:w="3969" w:type="dxa"/>
            <w:gridSpan w:val="3"/>
            <w:shd w:val="clear" w:color="auto" w:fill="FFFFFF" w:themeFill="background1"/>
          </w:tcPr>
          <w:p w14:paraId="5F6C2F26"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119 </w:t>
            </w:r>
            <w:r w:rsidR="005D2A2C" w:rsidRPr="008457FA">
              <w:rPr>
                <w:rFonts w:ascii="Times New Roman" w:hAnsi="Times New Roman" w:cs="Times New Roman"/>
                <w:color w:val="auto"/>
              </w:rPr>
              <w:t>724</w:t>
            </w:r>
          </w:p>
        </w:tc>
        <w:tc>
          <w:tcPr>
            <w:tcW w:w="3799" w:type="dxa"/>
            <w:gridSpan w:val="2"/>
            <w:shd w:val="clear" w:color="auto" w:fill="FFFFFF" w:themeFill="background1"/>
          </w:tcPr>
          <w:p w14:paraId="5459BB0A"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122 </w:t>
            </w:r>
            <w:r w:rsidR="005D2A2C" w:rsidRPr="008457FA">
              <w:rPr>
                <w:rFonts w:ascii="Times New Roman" w:hAnsi="Times New Roman" w:cs="Times New Roman"/>
                <w:color w:val="auto"/>
              </w:rPr>
              <w:t>991</w:t>
            </w:r>
          </w:p>
        </w:tc>
      </w:tr>
      <w:tr w:rsidR="008457FA" w:rsidRPr="008457FA" w14:paraId="58EB10F9"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2ABB1FD"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70–74</w:t>
            </w:r>
          </w:p>
        </w:tc>
        <w:tc>
          <w:tcPr>
            <w:tcW w:w="3969" w:type="dxa"/>
            <w:gridSpan w:val="3"/>
            <w:shd w:val="clear" w:color="auto" w:fill="FFFFFF" w:themeFill="background1"/>
          </w:tcPr>
          <w:p w14:paraId="5FD7F9AB" w14:textId="77777777" w:rsidR="005D2A2C" w:rsidRPr="008457FA" w:rsidRDefault="00A94CF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73 </w:t>
            </w:r>
            <w:r w:rsidR="005D2A2C" w:rsidRPr="008457FA">
              <w:rPr>
                <w:rFonts w:ascii="Times New Roman" w:hAnsi="Times New Roman" w:cs="Times New Roman"/>
                <w:color w:val="auto"/>
              </w:rPr>
              <w:t>586</w:t>
            </w:r>
          </w:p>
        </w:tc>
        <w:tc>
          <w:tcPr>
            <w:tcW w:w="3969" w:type="dxa"/>
            <w:gridSpan w:val="3"/>
            <w:shd w:val="clear" w:color="auto" w:fill="FFFFFF" w:themeFill="background1"/>
          </w:tcPr>
          <w:p w14:paraId="7B920F40" w14:textId="77777777" w:rsidR="005D2A2C" w:rsidRPr="008457FA" w:rsidRDefault="00A94CF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81 </w:t>
            </w:r>
            <w:r w:rsidR="005D2A2C" w:rsidRPr="008457FA">
              <w:rPr>
                <w:rFonts w:ascii="Times New Roman" w:hAnsi="Times New Roman" w:cs="Times New Roman"/>
                <w:color w:val="auto"/>
              </w:rPr>
              <w:t>242</w:t>
            </w:r>
          </w:p>
        </w:tc>
        <w:tc>
          <w:tcPr>
            <w:tcW w:w="3799" w:type="dxa"/>
            <w:gridSpan w:val="2"/>
            <w:shd w:val="clear" w:color="auto" w:fill="FFFFFF" w:themeFill="background1"/>
          </w:tcPr>
          <w:p w14:paraId="2D600D4D" w14:textId="77777777" w:rsidR="005D2A2C" w:rsidRPr="008457FA" w:rsidRDefault="00A94CF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87 </w:t>
            </w:r>
            <w:r w:rsidR="005D2A2C" w:rsidRPr="008457FA">
              <w:rPr>
                <w:rFonts w:ascii="Times New Roman" w:hAnsi="Times New Roman" w:cs="Times New Roman"/>
                <w:color w:val="auto"/>
              </w:rPr>
              <w:t>993</w:t>
            </w:r>
          </w:p>
        </w:tc>
      </w:tr>
      <w:tr w:rsidR="008457FA" w:rsidRPr="008457FA" w14:paraId="0E71165A"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CF6FDAB"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75–79</w:t>
            </w:r>
          </w:p>
        </w:tc>
        <w:tc>
          <w:tcPr>
            <w:tcW w:w="3969" w:type="dxa"/>
            <w:gridSpan w:val="3"/>
            <w:shd w:val="clear" w:color="auto" w:fill="FFFFFF" w:themeFill="background1"/>
          </w:tcPr>
          <w:p w14:paraId="3A6E6176"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58 </w:t>
            </w:r>
            <w:r w:rsidR="005D2A2C" w:rsidRPr="008457FA">
              <w:rPr>
                <w:rFonts w:ascii="Times New Roman" w:hAnsi="Times New Roman" w:cs="Times New Roman"/>
                <w:color w:val="auto"/>
              </w:rPr>
              <w:t>381</w:t>
            </w:r>
          </w:p>
        </w:tc>
        <w:tc>
          <w:tcPr>
            <w:tcW w:w="3969" w:type="dxa"/>
            <w:gridSpan w:val="3"/>
            <w:shd w:val="clear" w:color="auto" w:fill="FFFFFF" w:themeFill="background1"/>
          </w:tcPr>
          <w:p w14:paraId="379DCBA0"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56 </w:t>
            </w:r>
            <w:r w:rsidR="005D2A2C" w:rsidRPr="008457FA">
              <w:rPr>
                <w:rFonts w:ascii="Times New Roman" w:hAnsi="Times New Roman" w:cs="Times New Roman"/>
                <w:color w:val="auto"/>
              </w:rPr>
              <w:t>196</w:t>
            </w:r>
          </w:p>
        </w:tc>
        <w:tc>
          <w:tcPr>
            <w:tcW w:w="3799" w:type="dxa"/>
            <w:gridSpan w:val="2"/>
            <w:shd w:val="clear" w:color="auto" w:fill="FFFFFF" w:themeFill="background1"/>
          </w:tcPr>
          <w:p w14:paraId="3B999836"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55 </w:t>
            </w:r>
            <w:r w:rsidR="005D2A2C" w:rsidRPr="008457FA">
              <w:rPr>
                <w:rFonts w:ascii="Times New Roman" w:hAnsi="Times New Roman" w:cs="Times New Roman"/>
                <w:color w:val="auto"/>
              </w:rPr>
              <w:t>666</w:t>
            </w:r>
          </w:p>
        </w:tc>
      </w:tr>
      <w:tr w:rsidR="008457FA" w:rsidRPr="008457FA" w14:paraId="1B3A9D2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3734028"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80–84</w:t>
            </w:r>
          </w:p>
        </w:tc>
        <w:tc>
          <w:tcPr>
            <w:tcW w:w="3969" w:type="dxa"/>
            <w:gridSpan w:val="3"/>
            <w:shd w:val="clear" w:color="auto" w:fill="FFFFFF" w:themeFill="background1"/>
          </w:tcPr>
          <w:p w14:paraId="1771009F" w14:textId="77777777" w:rsidR="005D2A2C" w:rsidRPr="008457FA" w:rsidRDefault="00A94CF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48 </w:t>
            </w:r>
            <w:r w:rsidR="005D2A2C" w:rsidRPr="008457FA">
              <w:rPr>
                <w:rFonts w:ascii="Times New Roman" w:hAnsi="Times New Roman" w:cs="Times New Roman"/>
                <w:color w:val="auto"/>
              </w:rPr>
              <w:t>744</w:t>
            </w:r>
          </w:p>
        </w:tc>
        <w:tc>
          <w:tcPr>
            <w:tcW w:w="3969" w:type="dxa"/>
            <w:gridSpan w:val="3"/>
            <w:shd w:val="clear" w:color="auto" w:fill="FFFFFF" w:themeFill="background1"/>
          </w:tcPr>
          <w:p w14:paraId="65318F2E" w14:textId="77777777" w:rsidR="005D2A2C" w:rsidRPr="008457FA" w:rsidRDefault="00A94CF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48 </w:t>
            </w:r>
            <w:r w:rsidR="005D2A2C" w:rsidRPr="008457FA">
              <w:rPr>
                <w:rFonts w:ascii="Times New Roman" w:hAnsi="Times New Roman" w:cs="Times New Roman"/>
                <w:color w:val="auto"/>
              </w:rPr>
              <w:t>937</w:t>
            </w:r>
          </w:p>
        </w:tc>
        <w:tc>
          <w:tcPr>
            <w:tcW w:w="3799" w:type="dxa"/>
            <w:gridSpan w:val="2"/>
            <w:shd w:val="clear" w:color="auto" w:fill="FFFFFF" w:themeFill="background1"/>
          </w:tcPr>
          <w:p w14:paraId="394EB320" w14:textId="77777777" w:rsidR="005D2A2C" w:rsidRPr="008457FA" w:rsidRDefault="00A94CF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49 </w:t>
            </w:r>
            <w:r w:rsidR="005D2A2C" w:rsidRPr="008457FA">
              <w:rPr>
                <w:rFonts w:ascii="Times New Roman" w:hAnsi="Times New Roman" w:cs="Times New Roman"/>
                <w:color w:val="auto"/>
              </w:rPr>
              <w:t>009</w:t>
            </w:r>
          </w:p>
        </w:tc>
      </w:tr>
      <w:tr w:rsidR="008457FA" w:rsidRPr="008457FA" w14:paraId="67B9B242"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2ACBD49"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85 lat i więcej</w:t>
            </w:r>
          </w:p>
        </w:tc>
        <w:tc>
          <w:tcPr>
            <w:tcW w:w="3969" w:type="dxa"/>
            <w:gridSpan w:val="3"/>
            <w:shd w:val="clear" w:color="auto" w:fill="FFFFFF" w:themeFill="background1"/>
          </w:tcPr>
          <w:p w14:paraId="27E66F9D"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41 </w:t>
            </w:r>
            <w:r w:rsidR="005D2A2C" w:rsidRPr="008457FA">
              <w:rPr>
                <w:rFonts w:ascii="Times New Roman" w:hAnsi="Times New Roman" w:cs="Times New Roman"/>
                <w:color w:val="auto"/>
              </w:rPr>
              <w:t>436</w:t>
            </w:r>
          </w:p>
        </w:tc>
        <w:tc>
          <w:tcPr>
            <w:tcW w:w="3969" w:type="dxa"/>
            <w:gridSpan w:val="3"/>
            <w:shd w:val="clear" w:color="auto" w:fill="FFFFFF" w:themeFill="background1"/>
          </w:tcPr>
          <w:p w14:paraId="4E54A88F"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43 </w:t>
            </w:r>
            <w:r w:rsidR="005D2A2C" w:rsidRPr="008457FA">
              <w:rPr>
                <w:rFonts w:ascii="Times New Roman" w:hAnsi="Times New Roman" w:cs="Times New Roman"/>
                <w:color w:val="auto"/>
              </w:rPr>
              <w:t>043</w:t>
            </w:r>
          </w:p>
        </w:tc>
        <w:tc>
          <w:tcPr>
            <w:tcW w:w="3799" w:type="dxa"/>
            <w:gridSpan w:val="2"/>
            <w:shd w:val="clear" w:color="auto" w:fill="FFFFFF" w:themeFill="background1"/>
          </w:tcPr>
          <w:p w14:paraId="20D35D94" w14:textId="77777777" w:rsidR="005D2A2C" w:rsidRPr="008457FA" w:rsidRDefault="00A94CF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44 </w:t>
            </w:r>
            <w:r w:rsidR="005D2A2C" w:rsidRPr="008457FA">
              <w:rPr>
                <w:rFonts w:ascii="Times New Roman" w:hAnsi="Times New Roman" w:cs="Times New Roman"/>
                <w:color w:val="auto"/>
              </w:rPr>
              <w:t>509</w:t>
            </w:r>
          </w:p>
        </w:tc>
      </w:tr>
      <w:tr w:rsidR="008457FA" w:rsidRPr="008457FA" w14:paraId="14446D36"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9F8705B"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Przeciętne dalsze trwanie życia</w:t>
            </w:r>
          </w:p>
        </w:tc>
        <w:tc>
          <w:tcPr>
            <w:tcW w:w="3969" w:type="dxa"/>
            <w:gridSpan w:val="3"/>
            <w:shd w:val="clear" w:color="auto" w:fill="FFFFFF" w:themeFill="background1"/>
          </w:tcPr>
          <w:p w14:paraId="2AFB3FDB"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Mężczyźni – 75,6</w:t>
            </w:r>
          </w:p>
          <w:p w14:paraId="03CD8483"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Kobiety - -83,1</w:t>
            </w:r>
          </w:p>
        </w:tc>
        <w:tc>
          <w:tcPr>
            <w:tcW w:w="3969" w:type="dxa"/>
            <w:gridSpan w:val="3"/>
            <w:shd w:val="clear" w:color="auto" w:fill="FFFFFF" w:themeFill="background1"/>
          </w:tcPr>
          <w:p w14:paraId="7E6141CB"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Mężczyźni – 75,6</w:t>
            </w:r>
          </w:p>
          <w:p w14:paraId="74260F64"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Kobiety – 83,2</w:t>
            </w:r>
          </w:p>
        </w:tc>
        <w:tc>
          <w:tcPr>
            <w:tcW w:w="3799" w:type="dxa"/>
            <w:gridSpan w:val="2"/>
            <w:shd w:val="clear" w:color="auto" w:fill="FFFFFF" w:themeFill="background1"/>
          </w:tcPr>
          <w:p w14:paraId="732958E6"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Brak danych</w:t>
            </w:r>
          </w:p>
        </w:tc>
      </w:tr>
      <w:tr w:rsidR="008457FA" w:rsidRPr="008457FA" w14:paraId="03B1D829"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01E7B9F"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Współczynnik feminizacji</w:t>
            </w:r>
          </w:p>
        </w:tc>
        <w:tc>
          <w:tcPr>
            <w:tcW w:w="3969" w:type="dxa"/>
            <w:gridSpan w:val="3"/>
            <w:shd w:val="clear" w:color="auto" w:fill="FFFFFF" w:themeFill="background1"/>
          </w:tcPr>
          <w:p w14:paraId="4C7955C8"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104</w:t>
            </w:r>
          </w:p>
        </w:tc>
        <w:tc>
          <w:tcPr>
            <w:tcW w:w="3969" w:type="dxa"/>
            <w:gridSpan w:val="3"/>
            <w:shd w:val="clear" w:color="auto" w:fill="FFFFFF" w:themeFill="background1"/>
          </w:tcPr>
          <w:p w14:paraId="65DCBD62"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104</w:t>
            </w:r>
          </w:p>
        </w:tc>
        <w:tc>
          <w:tcPr>
            <w:tcW w:w="3799" w:type="dxa"/>
            <w:gridSpan w:val="2"/>
            <w:shd w:val="clear" w:color="auto" w:fill="FFFFFF" w:themeFill="background1"/>
          </w:tcPr>
          <w:p w14:paraId="605A4FBC"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Brak danych</w:t>
            </w:r>
          </w:p>
        </w:tc>
      </w:tr>
      <w:tr w:rsidR="008457FA" w:rsidRPr="008457FA" w14:paraId="1B0441AD"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8BE4FD8"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Współczynnik obciążenia demograficznego osobami starszymi</w:t>
            </w:r>
          </w:p>
        </w:tc>
        <w:tc>
          <w:tcPr>
            <w:tcW w:w="3969" w:type="dxa"/>
            <w:gridSpan w:val="3"/>
            <w:shd w:val="clear" w:color="auto" w:fill="FFFFFF" w:themeFill="background1"/>
          </w:tcPr>
          <w:p w14:paraId="1809FF17"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23,0</w:t>
            </w:r>
          </w:p>
        </w:tc>
        <w:tc>
          <w:tcPr>
            <w:tcW w:w="3969" w:type="dxa"/>
            <w:gridSpan w:val="3"/>
            <w:shd w:val="clear" w:color="auto" w:fill="FFFFFF" w:themeFill="background1"/>
          </w:tcPr>
          <w:p w14:paraId="528BE53A"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24,0</w:t>
            </w:r>
          </w:p>
        </w:tc>
        <w:tc>
          <w:tcPr>
            <w:tcW w:w="3799" w:type="dxa"/>
            <w:gridSpan w:val="2"/>
            <w:shd w:val="clear" w:color="auto" w:fill="FFFFFF" w:themeFill="background1"/>
          </w:tcPr>
          <w:p w14:paraId="5BE5D409"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Brak danych</w:t>
            </w:r>
          </w:p>
        </w:tc>
      </w:tr>
      <w:tr w:rsidR="008457FA" w:rsidRPr="008457FA" w14:paraId="6A1663BB"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D584C9D"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Współczynnik zgonów</w:t>
            </w:r>
          </w:p>
        </w:tc>
        <w:tc>
          <w:tcPr>
            <w:tcW w:w="3969" w:type="dxa"/>
            <w:gridSpan w:val="3"/>
            <w:shd w:val="clear" w:color="auto" w:fill="FFFFFF" w:themeFill="background1"/>
          </w:tcPr>
          <w:p w14:paraId="0F7FD072"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9,08</w:t>
            </w:r>
          </w:p>
        </w:tc>
        <w:tc>
          <w:tcPr>
            <w:tcW w:w="3969" w:type="dxa"/>
            <w:gridSpan w:val="3"/>
            <w:shd w:val="clear" w:color="auto" w:fill="FFFFFF" w:themeFill="background1"/>
          </w:tcPr>
          <w:p w14:paraId="356C5BBD"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9,22</w:t>
            </w:r>
          </w:p>
        </w:tc>
        <w:tc>
          <w:tcPr>
            <w:tcW w:w="3799" w:type="dxa"/>
            <w:gridSpan w:val="2"/>
            <w:shd w:val="clear" w:color="auto" w:fill="FFFFFF" w:themeFill="background1"/>
          </w:tcPr>
          <w:p w14:paraId="19082F97"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9,41</w:t>
            </w:r>
          </w:p>
        </w:tc>
      </w:tr>
      <w:tr w:rsidR="008457FA" w:rsidRPr="008457FA" w14:paraId="3FEC94DC"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gridSpan w:val="9"/>
            <w:shd w:val="clear" w:color="auto" w:fill="9CC2E5" w:themeFill="accent1" w:themeFillTint="99"/>
          </w:tcPr>
          <w:p w14:paraId="77FCFFC1" w14:textId="77777777" w:rsidR="005D2A2C" w:rsidRPr="008457FA" w:rsidRDefault="005D2A2C" w:rsidP="00E86509">
            <w:pPr>
              <w:spacing w:after="0" w:line="240" w:lineRule="auto"/>
              <w:jc w:val="center"/>
              <w:rPr>
                <w:rFonts w:ascii="Times New Roman" w:hAnsi="Times New Roman" w:cs="Times New Roman"/>
                <w:color w:val="auto"/>
              </w:rPr>
            </w:pPr>
            <w:r w:rsidRPr="008457FA">
              <w:rPr>
                <w:rFonts w:ascii="Times New Roman" w:hAnsi="Times New Roman" w:cs="Times New Roman"/>
                <w:color w:val="auto"/>
              </w:rPr>
              <w:t>SYTUACJA RODZINNA I STRUKTURA GOSPODARSTW DOMOWYCH</w:t>
            </w:r>
          </w:p>
        </w:tc>
      </w:tr>
      <w:tr w:rsidR="008457FA" w:rsidRPr="008457FA" w14:paraId="33DBE914" w14:textId="77777777" w:rsidTr="00E86509">
        <w:tc>
          <w:tcPr>
            <w:cnfStyle w:val="001000000000" w:firstRow="0" w:lastRow="0" w:firstColumn="1" w:lastColumn="0" w:oddVBand="0" w:evenVBand="0" w:oddHBand="0" w:evenHBand="0" w:firstRowFirstColumn="0" w:firstRowLastColumn="0" w:lastRowFirstColumn="0" w:lastRowLastColumn="0"/>
            <w:tcW w:w="14567" w:type="dxa"/>
            <w:gridSpan w:val="9"/>
          </w:tcPr>
          <w:p w14:paraId="72179E9A" w14:textId="77777777" w:rsidR="005D2A2C" w:rsidRPr="008457FA" w:rsidRDefault="005D2A2C" w:rsidP="00E86509">
            <w:pPr>
              <w:spacing w:after="0" w:line="240" w:lineRule="auto"/>
              <w:rPr>
                <w:rFonts w:ascii="Times New Roman" w:eastAsia="Times New Roman" w:hAnsi="Times New Roman" w:cs="Times New Roman"/>
                <w:b w:val="0"/>
                <w:color w:val="auto"/>
                <w:lang w:eastAsia="pl-PL"/>
              </w:rPr>
            </w:pPr>
            <w:r w:rsidRPr="008457FA">
              <w:rPr>
                <w:rFonts w:ascii="Times New Roman" w:eastAsia="Times New Roman" w:hAnsi="Times New Roman" w:cs="Times New Roman"/>
                <w:b w:val="0"/>
                <w:color w:val="auto"/>
                <w:lang w:eastAsia="pl-PL"/>
              </w:rPr>
              <w:t xml:space="preserve">Prowadzone badania wskazują na pogłębianie się procesu starzenia społeczeństwa w woj. podkarpackim podobnie jak w całym kraju. </w:t>
            </w:r>
            <w:r w:rsidRPr="008457FA">
              <w:rPr>
                <w:rFonts w:ascii="Times New Roman" w:eastAsia="Times New Roman" w:hAnsi="Times New Roman" w:cs="Times New Roman"/>
                <w:b w:val="0"/>
                <w:color w:val="auto"/>
                <w:lang w:eastAsia="pl-PL"/>
              </w:rPr>
              <w:br/>
              <w:t xml:space="preserve">W najbliższym dziesięcioleciu będzie wzrastała liczba osób w wieku 60 - 79 lat, bowiem w wiek ten będą wchodziły osoby z boomu demograficznego z przełomu lat pięćdziesiątych i sześćdziesiątych. </w:t>
            </w:r>
            <w:r w:rsidRPr="008457FA">
              <w:rPr>
                <w:rFonts w:ascii="Times New Roman" w:hAnsi="Times New Roman" w:cs="Times New Roman"/>
                <w:b w:val="0"/>
                <w:color w:val="auto"/>
              </w:rPr>
              <w:t xml:space="preserve">Jak pokazują statystyki w ostatnich latach w strukturze gospodarstw domowych na terenie woj. podkarpackiego nastąpiło zmniejszenie odsetka gospodarstw cztero- i więcej osobowych, zwiększył się natomiast odsetek gospodarstw 2-osobowych oraz jednoosobowych. Wzrost liczby gospodarstw jednoosobowych może być konsekwencją wczesnego usamodzielniania się ekonomicznego ludzi młodych oraz odkładania decyzji o małżeństwie na rzecz kariery zawodowej. Biorąc pod uwagę liczbę osób tworzących gospodarstwa domowe, sytuacja w miastach i na wsi jest zróżnicowana. W miastach częściej występują gospodarstwa jedno i dwuosobowe, zaś na wsi przeważają gospodarstwa czteroosobowe i większe. Podobnie jak w całej Polsce, w województwie podkarpackim w strukturze ludności wg. stanu cywilnego największą grupę stanowią osoby pozostające w związku małżeńskim. Wśród osób po 60 roku życia w </w:t>
            </w:r>
            <w:r w:rsidRPr="008457FA">
              <w:rPr>
                <w:rFonts w:ascii="Times New Roman" w:hAnsi="Times New Roman" w:cs="Times New Roman"/>
                <w:b w:val="0"/>
                <w:color w:val="auto"/>
              </w:rPr>
              <w:lastRenderedPageBreak/>
              <w:t>małżeństwie żyje prawie 80 % mężczyzn i ok. 40 % kobiet. Wśród osób po 80 roku ok. 2/3 to osoby owdowiałe, w przeważającej ilości to kobiety, co wynika z faktu wyższej umieralności mężczyzn.</w:t>
            </w:r>
          </w:p>
          <w:p w14:paraId="0F2C5C41" w14:textId="77777777" w:rsidR="005D2A2C" w:rsidRPr="008457FA" w:rsidRDefault="005D2A2C" w:rsidP="00E86509">
            <w:pPr>
              <w:spacing w:after="0" w:line="240" w:lineRule="auto"/>
              <w:rPr>
                <w:rFonts w:ascii="Times New Roman" w:hAnsi="Times New Roman" w:cs="Times New Roman"/>
                <w:b w:val="0"/>
                <w:color w:val="auto"/>
              </w:rPr>
            </w:pPr>
          </w:p>
        </w:tc>
      </w:tr>
      <w:tr w:rsidR="008457FA" w:rsidRPr="008457FA" w14:paraId="32DA4D71"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gridSpan w:val="9"/>
            <w:shd w:val="clear" w:color="auto" w:fill="9CC2E5" w:themeFill="accent1" w:themeFillTint="99"/>
          </w:tcPr>
          <w:p w14:paraId="16897857" w14:textId="77777777" w:rsidR="005D2A2C" w:rsidRPr="008457FA" w:rsidRDefault="005D2A2C" w:rsidP="00E86509">
            <w:pPr>
              <w:spacing w:after="0" w:line="240" w:lineRule="auto"/>
              <w:jc w:val="center"/>
              <w:rPr>
                <w:rFonts w:ascii="Times New Roman" w:hAnsi="Times New Roman" w:cs="Times New Roman"/>
                <w:color w:val="auto"/>
              </w:rPr>
            </w:pPr>
            <w:r w:rsidRPr="008457FA">
              <w:rPr>
                <w:rFonts w:ascii="Times New Roman" w:hAnsi="Times New Roman" w:cs="Times New Roman"/>
                <w:color w:val="auto"/>
              </w:rPr>
              <w:lastRenderedPageBreak/>
              <w:t>SYTUACJA OSÓB NIEPEŁNOSPRAWNYCH I ICH OPIEKUNÓW</w:t>
            </w:r>
          </w:p>
        </w:tc>
      </w:tr>
      <w:tr w:rsidR="008457FA" w:rsidRPr="008457FA" w14:paraId="67AEAA83" w14:textId="77777777" w:rsidTr="00E86509">
        <w:tc>
          <w:tcPr>
            <w:cnfStyle w:val="001000000000" w:firstRow="0" w:lastRow="0" w:firstColumn="1" w:lastColumn="0" w:oddVBand="0" w:evenVBand="0" w:oddHBand="0" w:evenHBand="0" w:firstRowFirstColumn="0" w:firstRowLastColumn="0" w:lastRowFirstColumn="0" w:lastRowLastColumn="0"/>
            <w:tcW w:w="14567" w:type="dxa"/>
            <w:gridSpan w:val="9"/>
          </w:tcPr>
          <w:p w14:paraId="7BD9A57D" w14:textId="77777777" w:rsidR="005D2A2C" w:rsidRPr="008457FA" w:rsidRDefault="005D2A2C" w:rsidP="00E86509">
            <w:pPr>
              <w:spacing w:after="0" w:line="240" w:lineRule="auto"/>
              <w:rPr>
                <w:rFonts w:ascii="Times New Roman" w:eastAsia="Times New Roman" w:hAnsi="Times New Roman" w:cs="Times New Roman"/>
                <w:b w:val="0"/>
                <w:color w:val="auto"/>
                <w:lang w:eastAsia="pl-PL"/>
              </w:rPr>
            </w:pPr>
            <w:r w:rsidRPr="008457FA">
              <w:rPr>
                <w:rFonts w:ascii="Times New Roman" w:hAnsi="Times New Roman" w:cs="Times New Roman"/>
                <w:b w:val="0"/>
                <w:color w:val="auto"/>
              </w:rPr>
              <w:t xml:space="preserve">Pojęcie niepełnosprawności wciąż nie jest jednolicie definiowane przez badaczy, chociaż stanowi ważny obszar badawczy w naukach medycznych, socjologicznych, psychologicznych, teologicznych i pedagogicznych. Z terminem tym wiąże się szereg pojęć bliskoznacznych, takich jak: inwalidztwo, uszkodzenie, upośledzenie, defekt, niezdolność do pracy, ułomność, kalectwo. Niepełnosprawność nie jest wyłącznie problemem jednostki, ale poprzez sieć powiązań stanowi sytuację, w której uczestniczy jej najbliższe otoczenie. Ważnym problemem, </w:t>
            </w:r>
            <w:r w:rsidRPr="008457FA">
              <w:rPr>
                <w:rFonts w:ascii="Times New Roman" w:hAnsi="Times New Roman" w:cs="Times New Roman"/>
                <w:b w:val="0"/>
                <w:color w:val="auto"/>
              </w:rPr>
              <w:br/>
              <w:t xml:space="preserve">z którym muszą uporać się rodziny osób niepełnosprawnych jest przystosowanie domu i otoczenia do potrzeb osoby niepełnosprawnej. </w:t>
            </w:r>
            <w:r w:rsidRPr="008457FA">
              <w:rPr>
                <w:rFonts w:ascii="Times New Roman" w:hAnsi="Times New Roman" w:cs="Times New Roman"/>
                <w:b w:val="0"/>
                <w:color w:val="auto"/>
              </w:rPr>
              <w:br/>
            </w:r>
            <w:r w:rsidRPr="008457FA">
              <w:rPr>
                <w:rFonts w:ascii="Times New Roman" w:hAnsi="Times New Roman" w:cs="Times New Roman"/>
                <w:b w:val="0"/>
                <w:color w:val="auto"/>
                <w:shd w:val="clear" w:color="auto" w:fill="FFFFFF" w:themeFill="background1"/>
              </w:rPr>
              <w:t>W ujęciu społecznym problem marginalizacji i wykluczenia niepełnosprawnych leży po stronie społeczeństwa</w:t>
            </w:r>
            <w:r w:rsidRPr="008457FA">
              <w:rPr>
                <w:rFonts w:ascii="Times New Roman" w:hAnsi="Times New Roman" w:cs="Times New Roman"/>
                <w:b w:val="0"/>
                <w:color w:val="auto"/>
              </w:rPr>
              <w:t>, które nie dostosowało się do funkcjonowania z takimi osobami. Wiele osób niepełnosprawnych, żyjąc w otoczeniu pozbawionym barier architektonicznych, może samodzielnie radzić sobie w codziennych potrzebach, a pomoc najbliższej rodziny zostaje wówczas ograniczona do minimum. Do najczęściej podejmowanych prac należy przystosowanie łazienki, poszerzenie drzwi, niwelowanie progów oraz przystosowanie kuchni tak, by osoba niepełnosprawna nie tylko sama mogła przygotować sobie posiłek, ale by również mogła pomóc najbliższym. Wymagającym i kluczowym zadaniem dla integracji osoby niepełnosprawnej ze społeczeństwem jest wykonanie podjazdów czy wind, dzięki którym niepełnosprawni sami mogą w dowolnym czasie wyjść z domu i nawiązać kontakty z otoczeniem. Możliwość samodzielnego poruszania się otwiera perspektywę edukacji oraz pracy, nie mówiąc o psychicznym komforcie osoby, która staje się niezależna i wolna.</w:t>
            </w:r>
          </w:p>
        </w:tc>
      </w:tr>
      <w:tr w:rsidR="008457FA" w:rsidRPr="008457FA" w14:paraId="7DDC4812"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567" w:type="dxa"/>
            <w:gridSpan w:val="9"/>
            <w:shd w:val="clear" w:color="auto" w:fill="9CC2E5" w:themeFill="accent1" w:themeFillTint="99"/>
          </w:tcPr>
          <w:p w14:paraId="32D05867" w14:textId="77777777" w:rsidR="005D2A2C" w:rsidRPr="008457FA" w:rsidRDefault="005D2A2C" w:rsidP="00E86509">
            <w:pPr>
              <w:spacing w:after="0" w:line="240" w:lineRule="auto"/>
              <w:jc w:val="center"/>
              <w:rPr>
                <w:rFonts w:ascii="Times New Roman" w:hAnsi="Times New Roman" w:cs="Times New Roman"/>
                <w:color w:val="auto"/>
              </w:rPr>
            </w:pPr>
            <w:r w:rsidRPr="008457FA">
              <w:rPr>
                <w:rFonts w:ascii="Times New Roman" w:hAnsi="Times New Roman" w:cs="Times New Roman"/>
                <w:color w:val="auto"/>
              </w:rPr>
              <w:t>STAN ZDROWIA OSÓB STARSZYCH / INFRASTRUKTURA SŁUŻBY ZDROWIA - DANE ZA 2019 r.</w:t>
            </w:r>
          </w:p>
        </w:tc>
      </w:tr>
      <w:tr w:rsidR="008457FA" w:rsidRPr="008457FA" w14:paraId="1FECEB22" w14:textId="77777777" w:rsidTr="00E86509">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6C5E6E2" w14:textId="77777777" w:rsidR="005D2A2C" w:rsidRPr="008457FA" w:rsidRDefault="005D2A2C" w:rsidP="00E86509">
            <w:pPr>
              <w:spacing w:after="0" w:line="240" w:lineRule="auto"/>
              <w:rPr>
                <w:rFonts w:ascii="Times New Roman" w:hAnsi="Times New Roman" w:cs="Times New Roman"/>
                <w:bCs w:val="0"/>
                <w:color w:val="auto"/>
                <w:lang w:eastAsia="pl-PL"/>
              </w:rPr>
            </w:pPr>
            <w:r w:rsidRPr="008457FA">
              <w:rPr>
                <w:rFonts w:ascii="Times New Roman" w:hAnsi="Times New Roman" w:cs="Times New Roman"/>
                <w:color w:val="auto"/>
                <w:lang w:eastAsia="pl-PL"/>
              </w:rPr>
              <w:t xml:space="preserve">Dominujące schorzenia osób starszych </w:t>
            </w:r>
          </w:p>
          <w:p w14:paraId="713727D1" w14:textId="77777777" w:rsidR="005D2A2C" w:rsidRPr="008457FA" w:rsidRDefault="005D2A2C" w:rsidP="00E86509">
            <w:pPr>
              <w:spacing w:after="0" w:line="240" w:lineRule="auto"/>
              <w:rPr>
                <w:rFonts w:ascii="Times New Roman" w:hAnsi="Times New Roman" w:cs="Times New Roman"/>
                <w:b w:val="0"/>
                <w:color w:val="auto"/>
                <w:lang w:eastAsia="pl-PL"/>
              </w:rPr>
            </w:pPr>
          </w:p>
          <w:p w14:paraId="6BFF7436" w14:textId="77777777" w:rsidR="005D2A2C" w:rsidRPr="008457FA" w:rsidRDefault="005D2A2C" w:rsidP="00E86509">
            <w:pPr>
              <w:spacing w:after="0" w:line="240" w:lineRule="auto"/>
              <w:rPr>
                <w:rFonts w:ascii="Times New Roman" w:hAnsi="Times New Roman" w:cs="Times New Roman"/>
                <w:b w:val="0"/>
                <w:color w:val="auto"/>
                <w:lang w:eastAsia="pl-PL"/>
              </w:rPr>
            </w:pPr>
          </w:p>
          <w:p w14:paraId="421A1C0D" w14:textId="77777777" w:rsidR="005D2A2C" w:rsidRPr="008457FA" w:rsidRDefault="005D2A2C" w:rsidP="00E86509">
            <w:pPr>
              <w:spacing w:after="0" w:line="240" w:lineRule="auto"/>
              <w:rPr>
                <w:rFonts w:ascii="Times New Roman" w:hAnsi="Times New Roman" w:cs="Times New Roman"/>
                <w:b w:val="0"/>
                <w:color w:val="auto"/>
                <w:lang w:eastAsia="pl-PL"/>
              </w:rPr>
            </w:pPr>
          </w:p>
          <w:p w14:paraId="7EB2EFDE" w14:textId="77777777" w:rsidR="005D2A2C" w:rsidRPr="008457FA" w:rsidRDefault="005D2A2C" w:rsidP="00E86509">
            <w:pPr>
              <w:spacing w:after="0" w:line="240" w:lineRule="auto"/>
              <w:rPr>
                <w:rFonts w:ascii="Times New Roman" w:hAnsi="Times New Roman" w:cs="Times New Roman"/>
                <w:b w:val="0"/>
                <w:color w:val="auto"/>
                <w:lang w:eastAsia="pl-PL"/>
              </w:rPr>
            </w:pPr>
          </w:p>
          <w:p w14:paraId="31A90CFD" w14:textId="77777777" w:rsidR="005D2A2C" w:rsidRPr="008457FA" w:rsidRDefault="005D2A2C" w:rsidP="00E86509">
            <w:pPr>
              <w:spacing w:after="0" w:line="240" w:lineRule="auto"/>
              <w:rPr>
                <w:rFonts w:ascii="Times New Roman" w:hAnsi="Times New Roman" w:cs="Times New Roman"/>
                <w:b w:val="0"/>
                <w:color w:val="auto"/>
                <w:lang w:eastAsia="pl-PL"/>
              </w:rPr>
            </w:pPr>
          </w:p>
          <w:p w14:paraId="3D640AC5" w14:textId="77777777" w:rsidR="005D2A2C" w:rsidRPr="008457FA" w:rsidRDefault="005D2A2C" w:rsidP="00E86509">
            <w:pPr>
              <w:spacing w:after="0" w:line="240" w:lineRule="auto"/>
              <w:rPr>
                <w:rFonts w:ascii="Times New Roman" w:hAnsi="Times New Roman" w:cs="Times New Roman"/>
                <w:b w:val="0"/>
                <w:color w:val="auto"/>
                <w:lang w:eastAsia="pl-PL"/>
              </w:rPr>
            </w:pPr>
          </w:p>
          <w:p w14:paraId="41FDFEA2"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9CC2E5" w:themeFill="accent1" w:themeFillTint="99"/>
          </w:tcPr>
          <w:p w14:paraId="481E693D"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Nazwa</w:t>
            </w:r>
          </w:p>
        </w:tc>
        <w:tc>
          <w:tcPr>
            <w:tcW w:w="3799" w:type="dxa"/>
            <w:gridSpan w:val="2"/>
            <w:shd w:val="clear" w:color="auto" w:fill="9CC2E5" w:themeFill="accent1" w:themeFillTint="99"/>
          </w:tcPr>
          <w:p w14:paraId="51B82193"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osób starszych</w:t>
            </w:r>
          </w:p>
        </w:tc>
      </w:tr>
      <w:tr w:rsidR="008457FA" w:rsidRPr="008457FA" w14:paraId="28F164C9"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5F052BF3"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6473F6BF"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b/>
                <w:color w:val="auto"/>
              </w:rPr>
              <w:t>1.</w:t>
            </w:r>
            <w:r w:rsidR="009C1D71">
              <w:rPr>
                <w:rFonts w:ascii="Times New Roman" w:hAnsi="Times New Roman" w:cs="Times New Roman"/>
                <w:color w:val="auto"/>
              </w:rPr>
              <w:t xml:space="preserve"> </w:t>
            </w:r>
            <w:r w:rsidRPr="008457FA">
              <w:rPr>
                <w:rFonts w:ascii="Times New Roman" w:hAnsi="Times New Roman" w:cs="Times New Roman"/>
                <w:color w:val="auto"/>
              </w:rPr>
              <w:t>Choroby układu krążenia ( I00-I99 ).</w:t>
            </w:r>
            <w:r w:rsidRPr="008457FA">
              <w:rPr>
                <w:rFonts w:ascii="Times New Roman" w:hAnsi="Times New Roman" w:cs="Times New Roman"/>
                <w:color w:val="auto"/>
              </w:rPr>
              <w:br/>
              <w:t>Najczęstsze: I10 samoistne (pierwotne) nadciśnienie: 166</w:t>
            </w:r>
            <w:r w:rsidR="00A94CFB" w:rsidRPr="008457FA">
              <w:rPr>
                <w:rFonts w:ascii="Times New Roman" w:hAnsi="Times New Roman" w:cs="Times New Roman"/>
                <w:color w:val="auto"/>
              </w:rPr>
              <w:t xml:space="preserve"> </w:t>
            </w:r>
            <w:r w:rsidRPr="008457FA">
              <w:rPr>
                <w:rFonts w:ascii="Times New Roman" w:hAnsi="Times New Roman" w:cs="Times New Roman"/>
                <w:color w:val="auto"/>
              </w:rPr>
              <w:t>742 os. 60+; I11 choroba nadciśnieniowa z zajęciem serca: 53</w:t>
            </w:r>
            <w:r w:rsidR="00A94CFB" w:rsidRPr="008457FA">
              <w:rPr>
                <w:rFonts w:ascii="Times New Roman" w:hAnsi="Times New Roman" w:cs="Times New Roman"/>
                <w:color w:val="auto"/>
              </w:rPr>
              <w:t xml:space="preserve"> </w:t>
            </w:r>
            <w:r w:rsidRPr="008457FA">
              <w:rPr>
                <w:rFonts w:ascii="Times New Roman" w:hAnsi="Times New Roman" w:cs="Times New Roman"/>
                <w:color w:val="auto"/>
              </w:rPr>
              <w:t>304 os. 60+; I25 przewlekła choroba niedokrwienna serca: 31</w:t>
            </w:r>
            <w:r w:rsidR="00A94CFB" w:rsidRPr="008457FA">
              <w:rPr>
                <w:rFonts w:ascii="Times New Roman" w:hAnsi="Times New Roman" w:cs="Times New Roman"/>
                <w:color w:val="auto"/>
              </w:rPr>
              <w:t xml:space="preserve"> </w:t>
            </w:r>
            <w:r w:rsidRPr="008457FA">
              <w:rPr>
                <w:rFonts w:ascii="Times New Roman" w:hAnsi="Times New Roman" w:cs="Times New Roman"/>
                <w:color w:val="auto"/>
              </w:rPr>
              <w:t xml:space="preserve">408 os. 60+; </w:t>
            </w:r>
          </w:p>
        </w:tc>
        <w:tc>
          <w:tcPr>
            <w:tcW w:w="3799" w:type="dxa"/>
            <w:gridSpan w:val="2"/>
            <w:shd w:val="clear" w:color="auto" w:fill="FFFFFF" w:themeFill="background1"/>
          </w:tcPr>
          <w:p w14:paraId="4FCDE5B0"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258 892</w:t>
            </w:r>
          </w:p>
        </w:tc>
      </w:tr>
      <w:tr w:rsidR="008457FA" w:rsidRPr="008457FA" w14:paraId="017F3EA6"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FB4304F"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4EAE36DE"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b/>
                <w:color w:val="auto"/>
              </w:rPr>
              <w:t>2.</w:t>
            </w:r>
            <w:r w:rsidRPr="008457FA">
              <w:rPr>
                <w:rFonts w:ascii="Times New Roman" w:hAnsi="Times New Roman" w:cs="Times New Roman"/>
                <w:color w:val="auto"/>
              </w:rPr>
              <w:t xml:space="preserve"> Choroby układu oddechowego (J00-J99).</w:t>
            </w:r>
            <w:r w:rsidRPr="008457FA">
              <w:rPr>
                <w:rFonts w:ascii="Times New Roman" w:hAnsi="Times New Roman" w:cs="Times New Roman"/>
                <w:color w:val="auto"/>
              </w:rPr>
              <w:br/>
              <w:t>Najczęstsze: J06 Ostre zakażenie górnych dróg oddechowych o umiejscowieniu mnogim lub nieokreślonym: 43</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873 os. 60+; J20 Ostre zapalenie oskrzeli: 27</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063 os. 60+; J00 Ostre zapalenie nosa i gardła (przeziębienie): 19</w:t>
            </w:r>
            <w:r w:rsidR="00370EBA" w:rsidRPr="008457FA">
              <w:rPr>
                <w:rFonts w:ascii="Times New Roman" w:hAnsi="Times New Roman" w:cs="Times New Roman"/>
                <w:color w:val="auto"/>
              </w:rPr>
              <w:t xml:space="preserve"> 597 os. 60+;</w:t>
            </w:r>
          </w:p>
        </w:tc>
        <w:tc>
          <w:tcPr>
            <w:tcW w:w="3799" w:type="dxa"/>
            <w:gridSpan w:val="2"/>
            <w:shd w:val="clear" w:color="auto" w:fill="FFFFFF" w:themeFill="background1"/>
          </w:tcPr>
          <w:p w14:paraId="0C7BB945"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131 937</w:t>
            </w:r>
          </w:p>
        </w:tc>
      </w:tr>
      <w:tr w:rsidR="008457FA" w:rsidRPr="008457FA" w14:paraId="7CD73FDC"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9930AB9"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690F1952"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b/>
                <w:color w:val="auto"/>
              </w:rPr>
              <w:t>3.</w:t>
            </w:r>
            <w:r w:rsidRPr="008457FA">
              <w:rPr>
                <w:rFonts w:ascii="Times New Roman" w:hAnsi="Times New Roman" w:cs="Times New Roman"/>
                <w:color w:val="auto"/>
              </w:rPr>
              <w:t xml:space="preserve"> Choroby układu kostno-stawowego, mięśniowego i tkanki łącznej (M00-M99).</w:t>
            </w:r>
            <w:r w:rsidRPr="008457FA">
              <w:rPr>
                <w:rFonts w:ascii="Times New Roman" w:hAnsi="Times New Roman" w:cs="Times New Roman"/>
                <w:color w:val="auto"/>
              </w:rPr>
              <w:br/>
              <w:t>Najczęstsze: M47 Zmiany zwyrodnieniowe kręgosłupa: 33</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806 os. 60+; M15 Zwyrodnienia wielostawowe: 25</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553 os. 60+; M54 Bóle grzbietu: 16</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 xml:space="preserve">194 os. 60+; </w:t>
            </w:r>
          </w:p>
        </w:tc>
        <w:tc>
          <w:tcPr>
            <w:tcW w:w="3799" w:type="dxa"/>
            <w:gridSpan w:val="2"/>
            <w:shd w:val="clear" w:color="auto" w:fill="FFFFFF" w:themeFill="background1"/>
          </w:tcPr>
          <w:p w14:paraId="034B5A63"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121 687</w:t>
            </w:r>
          </w:p>
        </w:tc>
      </w:tr>
      <w:tr w:rsidR="008457FA" w:rsidRPr="008457FA" w14:paraId="2918EC28"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8B9C818"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3A3E2426"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b/>
                <w:color w:val="auto"/>
              </w:rPr>
              <w:t>4.</w:t>
            </w:r>
            <w:r w:rsidRPr="008457FA">
              <w:rPr>
                <w:rFonts w:ascii="Times New Roman" w:hAnsi="Times New Roman" w:cs="Times New Roman"/>
                <w:color w:val="auto"/>
              </w:rPr>
              <w:t xml:space="preserve"> Zaburzenia wydzielania wewn., stanu odżywienia i przemiany metabolicznej (E00-E90). Najczęstsze: E11 Cukrzyca insulinoniezależna: 48</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336 os. 60+; E78 Zaburzenia przemian lipidów i inne lipidemie: 28</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459 os. 60+; E03 Inne postacie niedoczynności tarczycy: 11</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341 os. 60+;</w:t>
            </w:r>
          </w:p>
        </w:tc>
        <w:tc>
          <w:tcPr>
            <w:tcW w:w="3799" w:type="dxa"/>
            <w:gridSpan w:val="2"/>
            <w:shd w:val="clear" w:color="auto" w:fill="FFFFFF" w:themeFill="background1"/>
          </w:tcPr>
          <w:p w14:paraId="7CFDA110"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94 205</w:t>
            </w:r>
          </w:p>
        </w:tc>
      </w:tr>
      <w:tr w:rsidR="008457FA" w:rsidRPr="008457FA" w14:paraId="1F6F3443"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C28926C"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7B86158B"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b/>
                <w:color w:val="auto"/>
              </w:rPr>
              <w:t>5.</w:t>
            </w:r>
            <w:r w:rsidRPr="008457FA">
              <w:rPr>
                <w:rFonts w:ascii="Times New Roman" w:hAnsi="Times New Roman" w:cs="Times New Roman"/>
                <w:color w:val="auto"/>
              </w:rPr>
              <w:t xml:space="preserve"> Choroby układu nerwowego (G00-G99).</w:t>
            </w:r>
            <w:r w:rsidRPr="008457FA">
              <w:rPr>
                <w:rFonts w:ascii="Times New Roman" w:hAnsi="Times New Roman" w:cs="Times New Roman"/>
                <w:color w:val="auto"/>
              </w:rPr>
              <w:br/>
              <w:t>Najczęstsze: G54 Zaburzenia korzeni rdzeniowych i splotów nerwowych: 33</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480 os. 60+;</w:t>
            </w:r>
          </w:p>
        </w:tc>
        <w:tc>
          <w:tcPr>
            <w:tcW w:w="3799" w:type="dxa"/>
            <w:gridSpan w:val="2"/>
            <w:shd w:val="clear" w:color="auto" w:fill="FFFFFF" w:themeFill="background1"/>
          </w:tcPr>
          <w:p w14:paraId="61F56D4E"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53 706</w:t>
            </w:r>
          </w:p>
        </w:tc>
      </w:tr>
      <w:tr w:rsidR="008457FA" w:rsidRPr="008457FA" w14:paraId="65BE2855"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834A989" w14:textId="77777777" w:rsidR="005D2A2C" w:rsidRPr="008457FA" w:rsidRDefault="005D2A2C" w:rsidP="00E86509">
            <w:pPr>
              <w:spacing w:after="0" w:line="240" w:lineRule="auto"/>
              <w:rPr>
                <w:rFonts w:ascii="Times New Roman" w:hAnsi="Times New Roman" w:cs="Times New Roman"/>
                <w:b w:val="0"/>
                <w:color w:val="auto"/>
                <w:lang w:eastAsia="pl-PL"/>
              </w:rPr>
            </w:pPr>
            <w:r w:rsidRPr="008457FA">
              <w:rPr>
                <w:rFonts w:ascii="Times New Roman" w:hAnsi="Times New Roman" w:cs="Times New Roman"/>
                <w:color w:val="auto"/>
                <w:lang w:eastAsia="pl-PL"/>
              </w:rPr>
              <w:t xml:space="preserve">Liczba osób starszych objętych czynną opieką lekarza POZ </w:t>
            </w:r>
          </w:p>
        </w:tc>
        <w:tc>
          <w:tcPr>
            <w:tcW w:w="11737" w:type="dxa"/>
            <w:gridSpan w:val="8"/>
            <w:shd w:val="clear" w:color="auto" w:fill="FFFFFF" w:themeFill="background1"/>
          </w:tcPr>
          <w:p w14:paraId="6758B346"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p w14:paraId="50E281B6"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b/>
                <w:color w:val="auto"/>
              </w:rPr>
              <w:t>Ok. 300 tys. osób 60+</w:t>
            </w:r>
          </w:p>
          <w:p w14:paraId="1C96F192"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8457FA" w:rsidRPr="008457FA" w14:paraId="5DB6560A" w14:textId="77777777" w:rsidTr="00E8650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B1E2ADB" w14:textId="77777777" w:rsidR="005D2A2C" w:rsidRPr="008457FA" w:rsidRDefault="005D2A2C" w:rsidP="00E86509">
            <w:pPr>
              <w:spacing w:after="0" w:line="240" w:lineRule="auto"/>
              <w:rPr>
                <w:rFonts w:ascii="Times New Roman" w:hAnsi="Times New Roman" w:cs="Times New Roman"/>
                <w:b w:val="0"/>
                <w:color w:val="auto"/>
                <w:lang w:eastAsia="pl-PL"/>
              </w:rPr>
            </w:pPr>
            <w:r w:rsidRPr="008457FA">
              <w:rPr>
                <w:rFonts w:ascii="Times New Roman" w:hAnsi="Times New Roman" w:cs="Times New Roman"/>
                <w:color w:val="auto"/>
                <w:lang w:eastAsia="pl-PL"/>
              </w:rPr>
              <w:t xml:space="preserve">Najczęstsze przyczyny hospitalizacji osób starszych </w:t>
            </w:r>
          </w:p>
        </w:tc>
        <w:tc>
          <w:tcPr>
            <w:tcW w:w="7938" w:type="dxa"/>
            <w:gridSpan w:val="6"/>
            <w:shd w:val="clear" w:color="auto" w:fill="9CC2E5" w:themeFill="accent1" w:themeFillTint="99"/>
          </w:tcPr>
          <w:p w14:paraId="5F5EF590"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Przyczyna</w:t>
            </w:r>
          </w:p>
        </w:tc>
        <w:tc>
          <w:tcPr>
            <w:tcW w:w="3799" w:type="dxa"/>
            <w:gridSpan w:val="2"/>
            <w:shd w:val="clear" w:color="auto" w:fill="9CC2E5" w:themeFill="accent1" w:themeFillTint="99"/>
          </w:tcPr>
          <w:p w14:paraId="58FF85A1"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osób starszych</w:t>
            </w:r>
          </w:p>
        </w:tc>
      </w:tr>
      <w:tr w:rsidR="008457FA" w:rsidRPr="008457FA" w14:paraId="22CEE81F"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70FB4B2"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7093DC30"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b/>
                <w:color w:val="auto"/>
              </w:rPr>
              <w:t>1</w:t>
            </w:r>
            <w:r w:rsidRPr="009C1D71">
              <w:rPr>
                <w:rFonts w:ascii="Times New Roman" w:hAnsi="Times New Roman" w:cs="Times New Roman"/>
                <w:b/>
                <w:bCs/>
                <w:color w:val="auto"/>
                <w:lang w:eastAsia="pl-PL"/>
              </w:rPr>
              <w:t>.</w:t>
            </w:r>
            <w:r w:rsidRPr="008457FA">
              <w:rPr>
                <w:rFonts w:ascii="Times New Roman" w:hAnsi="Times New Roman" w:cs="Times New Roman"/>
                <w:b/>
                <w:bCs/>
                <w:color w:val="auto"/>
                <w:lang w:eastAsia="pl-PL"/>
              </w:rPr>
              <w:t xml:space="preserve"> </w:t>
            </w:r>
            <w:r w:rsidRPr="008457FA">
              <w:rPr>
                <w:rFonts w:ascii="Times New Roman" w:hAnsi="Times New Roman" w:cs="Times New Roman"/>
                <w:color w:val="auto"/>
              </w:rPr>
              <w:t>Choroby układu krążenia (I00-I99).</w:t>
            </w:r>
            <w:r w:rsidRPr="008457FA">
              <w:rPr>
                <w:rFonts w:ascii="Times New Roman" w:hAnsi="Times New Roman" w:cs="Times New Roman"/>
                <w:color w:val="auto"/>
              </w:rPr>
              <w:br/>
              <w:t>Najczęstsze: I10 samoistne (pierwotne) nadciśnienie: 6</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342 os. 60+; I48 migotanie i trzepotanie przedsionków: 5</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558 os. 60+; I25 przewlekła choroba niedokrwienna serca: 5</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345 os. 60+; I63 zawał mózgu: 3</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 xml:space="preserve">431 os. 60+; </w:t>
            </w:r>
          </w:p>
        </w:tc>
        <w:tc>
          <w:tcPr>
            <w:tcW w:w="3799" w:type="dxa"/>
            <w:gridSpan w:val="2"/>
            <w:shd w:val="clear" w:color="auto" w:fill="FFFFFF" w:themeFill="background1"/>
          </w:tcPr>
          <w:p w14:paraId="7373213C"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46 769</w:t>
            </w:r>
          </w:p>
        </w:tc>
      </w:tr>
      <w:tr w:rsidR="008457FA" w:rsidRPr="008457FA" w14:paraId="2F4A48A8"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6ABA155"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3159434C"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b/>
                <w:color w:val="auto"/>
              </w:rPr>
              <w:t>2.</w:t>
            </w:r>
            <w:r w:rsidRPr="008457FA">
              <w:rPr>
                <w:rFonts w:ascii="Times New Roman" w:hAnsi="Times New Roman" w:cs="Times New Roman"/>
                <w:color w:val="auto"/>
              </w:rPr>
              <w:t xml:space="preserve"> Urazy, zatrucia i inne określone skutki działania cz</w:t>
            </w:r>
            <w:r w:rsidR="00370EBA" w:rsidRPr="008457FA">
              <w:rPr>
                <w:rFonts w:ascii="Times New Roman" w:hAnsi="Times New Roman" w:cs="Times New Roman"/>
                <w:color w:val="auto"/>
              </w:rPr>
              <w:t xml:space="preserve">ynników zewnętrznych (S00-T98). </w:t>
            </w:r>
            <w:r w:rsidRPr="008457FA">
              <w:rPr>
                <w:rFonts w:ascii="Times New Roman" w:hAnsi="Times New Roman" w:cs="Times New Roman"/>
                <w:color w:val="auto"/>
              </w:rPr>
              <w:t>Najczęstsze: S52 Złamanie przedramienia: 2</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238 os. 60+; S72 Złamanie kości udowej: 2</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026 os. 60+; S01 Otwarta rana głowy: 2</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017 os. 60+</w:t>
            </w:r>
            <w:r w:rsidR="00370EBA" w:rsidRPr="008457FA">
              <w:rPr>
                <w:rFonts w:ascii="Times New Roman" w:hAnsi="Times New Roman" w:cs="Times New Roman"/>
                <w:color w:val="auto"/>
              </w:rPr>
              <w:t>; S00 Powierzchowny uraz głowy:</w:t>
            </w:r>
            <w:r w:rsidRPr="008457FA">
              <w:rPr>
                <w:rFonts w:ascii="Times New Roman" w:hAnsi="Times New Roman" w:cs="Times New Roman"/>
                <w:color w:val="auto"/>
              </w:rPr>
              <w:t>1</w:t>
            </w:r>
            <w:r w:rsidR="00370EBA" w:rsidRPr="008457FA">
              <w:rPr>
                <w:rFonts w:ascii="Times New Roman" w:hAnsi="Times New Roman" w:cs="Times New Roman"/>
                <w:color w:val="auto"/>
              </w:rPr>
              <w:t xml:space="preserve"> </w:t>
            </w:r>
            <w:r w:rsidRPr="008457FA">
              <w:rPr>
                <w:rFonts w:ascii="Times New Roman" w:hAnsi="Times New Roman" w:cs="Times New Roman"/>
                <w:color w:val="auto"/>
              </w:rPr>
              <w:t xml:space="preserve">827 os. 60+; </w:t>
            </w:r>
          </w:p>
        </w:tc>
        <w:tc>
          <w:tcPr>
            <w:tcW w:w="3799" w:type="dxa"/>
            <w:gridSpan w:val="2"/>
            <w:shd w:val="clear" w:color="auto" w:fill="FFFFFF" w:themeFill="background1"/>
          </w:tcPr>
          <w:p w14:paraId="4877998B"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30 155</w:t>
            </w:r>
          </w:p>
        </w:tc>
      </w:tr>
      <w:tr w:rsidR="008457FA" w:rsidRPr="008457FA" w14:paraId="19689D1C"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FD222BB"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4B8B47A2"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b/>
                <w:color w:val="auto"/>
              </w:rPr>
              <w:t>3.</w:t>
            </w:r>
            <w:r w:rsidRPr="008457FA">
              <w:rPr>
                <w:rFonts w:ascii="Times New Roman" w:hAnsi="Times New Roman" w:cs="Times New Roman"/>
                <w:color w:val="auto"/>
              </w:rPr>
              <w:t xml:space="preserve"> Choroby oka i przydatków oka (H00-H59).</w:t>
            </w:r>
            <w:r w:rsidRPr="008457FA">
              <w:rPr>
                <w:rFonts w:ascii="Times New Roman" w:hAnsi="Times New Roman" w:cs="Times New Roman"/>
                <w:color w:val="auto"/>
              </w:rPr>
              <w:br/>
              <w:t>Najczęstsze: H25 zaćma starcza: 11</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286 os. 60+; H26 inne postacie zaćmy: 4</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276 os. 60+; H35 inne zaburzenia siatkówki: 2</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426 os. 60+; H10 zapalenie spojówek: 821 os. 60+; H02 inne zaburzenia powiek: 739 os. 60+;.</w:t>
            </w:r>
          </w:p>
        </w:tc>
        <w:tc>
          <w:tcPr>
            <w:tcW w:w="3799" w:type="dxa"/>
            <w:gridSpan w:val="2"/>
            <w:shd w:val="clear" w:color="auto" w:fill="FFFFFF" w:themeFill="background1"/>
          </w:tcPr>
          <w:p w14:paraId="3947FAAD"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19 506</w:t>
            </w:r>
          </w:p>
        </w:tc>
      </w:tr>
      <w:tr w:rsidR="008457FA" w:rsidRPr="008457FA" w14:paraId="69396927"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D6001FA"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4738C69C"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b/>
                <w:color w:val="auto"/>
              </w:rPr>
              <w:t>4.</w:t>
            </w:r>
            <w:r w:rsidRPr="008457FA">
              <w:rPr>
                <w:rFonts w:ascii="Times New Roman" w:hAnsi="Times New Roman" w:cs="Times New Roman"/>
                <w:color w:val="auto"/>
              </w:rPr>
              <w:t xml:space="preserve"> Nowotwory (C00-D48).</w:t>
            </w:r>
            <w:r w:rsidRPr="008457FA">
              <w:rPr>
                <w:rFonts w:ascii="Times New Roman" w:hAnsi="Times New Roman" w:cs="Times New Roman"/>
                <w:color w:val="auto"/>
              </w:rPr>
              <w:br/>
              <w:t>Najczęstsze: C61 nowotwór złośliwy gruczołu krokowego: 1</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421 os. 60+; C34 nowotwór złośliwy oskrzela i płuca: 1</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186 os. 60+; C67 nowotwór złośliwy pęcherza moczowego: 1</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069 os. 60+; C50 nowotwór złośliwy sutka: 823 os. 60+; C18 nowotwór złośliwy jelita grubego: 714 os. 60+;</w:t>
            </w:r>
          </w:p>
        </w:tc>
        <w:tc>
          <w:tcPr>
            <w:tcW w:w="3799" w:type="dxa"/>
            <w:gridSpan w:val="2"/>
            <w:shd w:val="clear" w:color="auto" w:fill="FFFFFF" w:themeFill="background1"/>
          </w:tcPr>
          <w:p w14:paraId="68283300"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16 589</w:t>
            </w:r>
          </w:p>
        </w:tc>
      </w:tr>
      <w:tr w:rsidR="008457FA" w:rsidRPr="008457FA" w14:paraId="2C40412F"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A83FB6C"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14513A8D"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b/>
                <w:color w:val="auto"/>
              </w:rPr>
              <w:t>5.</w:t>
            </w:r>
            <w:r w:rsidRPr="008457FA">
              <w:rPr>
                <w:rFonts w:ascii="Times New Roman" w:hAnsi="Times New Roman" w:cs="Times New Roman"/>
                <w:color w:val="auto"/>
              </w:rPr>
              <w:t xml:space="preserve"> Choroby układu trawiennego (K00-K93).</w:t>
            </w:r>
            <w:r w:rsidRPr="008457FA">
              <w:rPr>
                <w:rFonts w:ascii="Times New Roman" w:hAnsi="Times New Roman" w:cs="Times New Roman"/>
                <w:color w:val="auto"/>
              </w:rPr>
              <w:br/>
              <w:t>Najczęstsze: K80 kamica żółciowa: 2477 os. 60+; K29 zapalenie żołądka i dwunastnicy: 1</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851 os. 60+; K57 choroba uchyłkowa jelit: 1</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837 os. 60+; K40 przepuklina pachwinowa: 1</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786 os. 60+; K52 inne niezakaźne zapalenie żołądkowo-jelitowe i jelita grubego: 1</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014 os. 60+;</w:t>
            </w:r>
          </w:p>
        </w:tc>
        <w:tc>
          <w:tcPr>
            <w:tcW w:w="3799" w:type="dxa"/>
            <w:gridSpan w:val="2"/>
            <w:shd w:val="clear" w:color="auto" w:fill="FFFFFF" w:themeFill="background1"/>
          </w:tcPr>
          <w:p w14:paraId="0B3FDE4F"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16 583</w:t>
            </w:r>
          </w:p>
        </w:tc>
      </w:tr>
      <w:tr w:rsidR="008457FA" w:rsidRPr="008457FA" w14:paraId="566CEE6D"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81182AA" w14:textId="77777777" w:rsidR="005D2A2C" w:rsidRPr="008457FA" w:rsidRDefault="005D2A2C" w:rsidP="00E86509">
            <w:pPr>
              <w:spacing w:after="0" w:line="240" w:lineRule="auto"/>
              <w:rPr>
                <w:rFonts w:ascii="Times New Roman" w:hAnsi="Times New Roman" w:cs="Times New Roman"/>
                <w:b w:val="0"/>
                <w:bCs w:val="0"/>
                <w:color w:val="auto"/>
              </w:rPr>
            </w:pPr>
            <w:r w:rsidRPr="008457FA">
              <w:rPr>
                <w:rFonts w:ascii="Times New Roman" w:hAnsi="Times New Roman" w:cs="Times New Roman"/>
                <w:color w:val="auto"/>
                <w:lang w:eastAsia="pl-PL"/>
              </w:rPr>
              <w:t>Infrastruktura służby zdrowia</w:t>
            </w:r>
          </w:p>
        </w:tc>
        <w:tc>
          <w:tcPr>
            <w:tcW w:w="3969" w:type="dxa"/>
            <w:gridSpan w:val="3"/>
            <w:shd w:val="clear" w:color="auto" w:fill="9CC2E5" w:themeFill="accent1" w:themeFillTint="99"/>
          </w:tcPr>
          <w:p w14:paraId="12CE7E64"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8457FA">
              <w:rPr>
                <w:rFonts w:ascii="Times New Roman" w:hAnsi="Times New Roman" w:cs="Times New Roman"/>
                <w:b/>
                <w:color w:val="auto"/>
              </w:rPr>
              <w:t>Rodzaj placówki</w:t>
            </w:r>
          </w:p>
        </w:tc>
        <w:tc>
          <w:tcPr>
            <w:tcW w:w="3969" w:type="dxa"/>
            <w:gridSpan w:val="3"/>
            <w:shd w:val="clear" w:color="auto" w:fill="9CC2E5" w:themeFill="accent1" w:themeFillTint="99"/>
          </w:tcPr>
          <w:p w14:paraId="16D37283"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placówek</w:t>
            </w:r>
          </w:p>
        </w:tc>
        <w:tc>
          <w:tcPr>
            <w:tcW w:w="3799" w:type="dxa"/>
            <w:gridSpan w:val="2"/>
            <w:shd w:val="clear" w:color="auto" w:fill="9CC2E5" w:themeFill="accent1" w:themeFillTint="99"/>
          </w:tcPr>
          <w:p w14:paraId="48DCB733"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łóżek dla osób starszych</w:t>
            </w:r>
          </w:p>
        </w:tc>
      </w:tr>
      <w:tr w:rsidR="008457FA" w:rsidRPr="008457FA" w14:paraId="78F1B0AF"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C03AFB4" w14:textId="77777777" w:rsidR="005D2A2C" w:rsidRPr="008457FA" w:rsidRDefault="005D2A2C"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247859A5"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Oddziałów / pododdziałów geriatrycznych</w:t>
            </w:r>
          </w:p>
        </w:tc>
        <w:tc>
          <w:tcPr>
            <w:tcW w:w="3969" w:type="dxa"/>
            <w:gridSpan w:val="3"/>
            <w:shd w:val="clear" w:color="auto" w:fill="FFFFFF" w:themeFill="background1"/>
          </w:tcPr>
          <w:p w14:paraId="3813CCD5" w14:textId="77777777" w:rsidR="005D2A2C" w:rsidRPr="009C1D71"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6 (3 oddziały geriatryczne, 1 pododdział geriatryczny, 2 oddz. psychogeriatryczne)</w:t>
            </w:r>
          </w:p>
        </w:tc>
        <w:tc>
          <w:tcPr>
            <w:tcW w:w="3799" w:type="dxa"/>
            <w:gridSpan w:val="2"/>
            <w:shd w:val="clear" w:color="auto" w:fill="FFFFFF" w:themeFill="background1"/>
          </w:tcPr>
          <w:p w14:paraId="6AA5E290" w14:textId="77777777" w:rsidR="005D2A2C" w:rsidRPr="009C1D71"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125 (61+b.d.+64)</w:t>
            </w:r>
          </w:p>
        </w:tc>
      </w:tr>
      <w:tr w:rsidR="008457FA" w:rsidRPr="008457FA" w14:paraId="1826A376"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B142BDF" w14:textId="77777777" w:rsidR="005D2A2C" w:rsidRPr="008457FA" w:rsidRDefault="005D2A2C"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7FE4056A"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Poradni geriatrycznych</w:t>
            </w:r>
          </w:p>
        </w:tc>
        <w:tc>
          <w:tcPr>
            <w:tcW w:w="3969" w:type="dxa"/>
            <w:gridSpan w:val="3"/>
            <w:shd w:val="clear" w:color="auto" w:fill="FFFFFF" w:themeFill="background1"/>
          </w:tcPr>
          <w:p w14:paraId="69B0BA00" w14:textId="77777777" w:rsidR="005D2A2C" w:rsidRPr="009C1D71"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2</w:t>
            </w:r>
          </w:p>
        </w:tc>
        <w:tc>
          <w:tcPr>
            <w:tcW w:w="3799" w:type="dxa"/>
            <w:gridSpan w:val="2"/>
            <w:shd w:val="clear" w:color="auto" w:fill="FFFFFF" w:themeFill="background1"/>
          </w:tcPr>
          <w:p w14:paraId="3BDC9400" w14:textId="77777777" w:rsidR="005D2A2C" w:rsidRPr="009C1D71"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8457FA" w:rsidRPr="008457FA" w14:paraId="2A1D9308"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D59A915" w14:textId="77777777" w:rsidR="005D2A2C" w:rsidRPr="008457FA" w:rsidRDefault="005D2A2C"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13B83B7C"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Zakładów opiekuńczo-leczniczych</w:t>
            </w:r>
          </w:p>
        </w:tc>
        <w:tc>
          <w:tcPr>
            <w:tcW w:w="3969" w:type="dxa"/>
            <w:gridSpan w:val="3"/>
            <w:shd w:val="clear" w:color="auto" w:fill="FFFFFF" w:themeFill="background1"/>
          </w:tcPr>
          <w:p w14:paraId="1DCEC802" w14:textId="77777777" w:rsidR="005D2A2C" w:rsidRPr="009C1D71"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26 (24 dla dorosłych+1 dla dzieci+ 1 psychiatr. dorośli)</w:t>
            </w:r>
          </w:p>
        </w:tc>
        <w:tc>
          <w:tcPr>
            <w:tcW w:w="3799" w:type="dxa"/>
            <w:gridSpan w:val="2"/>
            <w:shd w:val="clear" w:color="auto" w:fill="FFFFFF" w:themeFill="background1"/>
          </w:tcPr>
          <w:p w14:paraId="20DBC4E7" w14:textId="77777777" w:rsidR="005D2A2C" w:rsidRPr="009C1D71"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1</w:t>
            </w:r>
            <w:r w:rsidR="00A62D94" w:rsidRPr="009C1D71">
              <w:rPr>
                <w:rFonts w:ascii="Times New Roman" w:hAnsi="Times New Roman" w:cs="Times New Roman"/>
                <w:color w:val="auto"/>
              </w:rPr>
              <w:t xml:space="preserve"> </w:t>
            </w:r>
            <w:r w:rsidRPr="009C1D71">
              <w:rPr>
                <w:rFonts w:ascii="Times New Roman" w:hAnsi="Times New Roman" w:cs="Times New Roman"/>
                <w:color w:val="auto"/>
              </w:rPr>
              <w:t>612  (1</w:t>
            </w:r>
            <w:r w:rsidR="00A62D94" w:rsidRPr="009C1D71">
              <w:rPr>
                <w:rFonts w:ascii="Times New Roman" w:hAnsi="Times New Roman" w:cs="Times New Roman"/>
                <w:color w:val="auto"/>
              </w:rPr>
              <w:t xml:space="preserve"> </w:t>
            </w:r>
            <w:r w:rsidRPr="009C1D71">
              <w:rPr>
                <w:rFonts w:ascii="Times New Roman" w:hAnsi="Times New Roman" w:cs="Times New Roman"/>
                <w:color w:val="auto"/>
              </w:rPr>
              <w:t>425 +6+181)</w:t>
            </w:r>
          </w:p>
        </w:tc>
      </w:tr>
      <w:tr w:rsidR="008457FA" w:rsidRPr="008457FA" w14:paraId="5100307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B9E6DD3" w14:textId="77777777" w:rsidR="005D2A2C" w:rsidRPr="008457FA" w:rsidRDefault="005D2A2C"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17E82247"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Zakładów pielęgnacyjno-opiekuńczych</w:t>
            </w:r>
          </w:p>
        </w:tc>
        <w:tc>
          <w:tcPr>
            <w:tcW w:w="3969" w:type="dxa"/>
            <w:gridSpan w:val="3"/>
            <w:shd w:val="clear" w:color="auto" w:fill="FFFFFF" w:themeFill="background1"/>
          </w:tcPr>
          <w:p w14:paraId="3F77C37A" w14:textId="77777777" w:rsidR="005D2A2C" w:rsidRPr="009C1D71"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15</w:t>
            </w:r>
          </w:p>
        </w:tc>
        <w:tc>
          <w:tcPr>
            <w:tcW w:w="3799" w:type="dxa"/>
            <w:gridSpan w:val="2"/>
            <w:shd w:val="clear" w:color="auto" w:fill="FFFFFF" w:themeFill="background1"/>
          </w:tcPr>
          <w:p w14:paraId="7092F64F" w14:textId="77777777" w:rsidR="005D2A2C" w:rsidRPr="009C1D71"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720</w:t>
            </w:r>
          </w:p>
        </w:tc>
      </w:tr>
      <w:tr w:rsidR="008457FA" w:rsidRPr="008457FA" w14:paraId="6DD72761"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F50BB39" w14:textId="77777777" w:rsidR="005D2A2C" w:rsidRPr="008457FA" w:rsidRDefault="005D2A2C"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272B39B3"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Hospicjów stacjonarnych</w:t>
            </w:r>
          </w:p>
        </w:tc>
        <w:tc>
          <w:tcPr>
            <w:tcW w:w="3969" w:type="dxa"/>
            <w:gridSpan w:val="3"/>
            <w:shd w:val="clear" w:color="auto" w:fill="FFFFFF" w:themeFill="background1"/>
          </w:tcPr>
          <w:p w14:paraId="40514026" w14:textId="77777777" w:rsidR="005D2A2C" w:rsidRPr="009C1D71"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13</w:t>
            </w:r>
          </w:p>
        </w:tc>
        <w:tc>
          <w:tcPr>
            <w:tcW w:w="3799" w:type="dxa"/>
            <w:gridSpan w:val="2"/>
            <w:shd w:val="clear" w:color="auto" w:fill="FFFFFF" w:themeFill="background1"/>
          </w:tcPr>
          <w:p w14:paraId="0816CD85" w14:textId="77777777" w:rsidR="005D2A2C" w:rsidRPr="009C1D71"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293</w:t>
            </w:r>
          </w:p>
        </w:tc>
      </w:tr>
      <w:tr w:rsidR="008457FA" w:rsidRPr="008457FA" w14:paraId="3E21C984"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0E99B0" w14:textId="77777777" w:rsidR="005D2A2C" w:rsidRPr="008457FA" w:rsidRDefault="005D2A2C"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352AF30B"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Hospicjów domowych</w:t>
            </w:r>
          </w:p>
        </w:tc>
        <w:tc>
          <w:tcPr>
            <w:tcW w:w="3969" w:type="dxa"/>
            <w:gridSpan w:val="3"/>
            <w:shd w:val="clear" w:color="auto" w:fill="FFFFFF" w:themeFill="background1"/>
          </w:tcPr>
          <w:p w14:paraId="4BBABB72" w14:textId="77777777" w:rsidR="005D2A2C" w:rsidRPr="009C1D71"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37</w:t>
            </w:r>
          </w:p>
        </w:tc>
        <w:tc>
          <w:tcPr>
            <w:tcW w:w="3799" w:type="dxa"/>
            <w:gridSpan w:val="2"/>
            <w:shd w:val="clear" w:color="auto" w:fill="FFFFFF" w:themeFill="background1"/>
          </w:tcPr>
          <w:p w14:paraId="55B5E512" w14:textId="77777777" w:rsidR="005D2A2C" w:rsidRPr="009C1D71"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2575 objętych opieką</w:t>
            </w:r>
          </w:p>
        </w:tc>
      </w:tr>
      <w:tr w:rsidR="008457FA" w:rsidRPr="008457FA" w14:paraId="534FE849"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13CAEF6" w14:textId="77777777" w:rsidR="005D2A2C" w:rsidRPr="008457FA" w:rsidRDefault="005D2A2C" w:rsidP="00E86509">
            <w:pPr>
              <w:spacing w:after="0" w:line="240" w:lineRule="auto"/>
              <w:rPr>
                <w:rFonts w:ascii="Times New Roman" w:hAnsi="Times New Roman" w:cs="Times New Roman"/>
                <w:color w:val="auto"/>
                <w:lang w:eastAsia="pl-PL"/>
              </w:rPr>
            </w:pPr>
          </w:p>
        </w:tc>
        <w:tc>
          <w:tcPr>
            <w:tcW w:w="3969" w:type="dxa"/>
            <w:gridSpan w:val="3"/>
            <w:shd w:val="clear" w:color="auto" w:fill="FFFFFF" w:themeFill="background1"/>
          </w:tcPr>
          <w:p w14:paraId="0010DD53"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Oddziałów opieki paliatywnej</w:t>
            </w:r>
          </w:p>
        </w:tc>
        <w:tc>
          <w:tcPr>
            <w:tcW w:w="3969" w:type="dxa"/>
            <w:gridSpan w:val="3"/>
            <w:shd w:val="clear" w:color="auto" w:fill="FFFFFF" w:themeFill="background1"/>
          </w:tcPr>
          <w:p w14:paraId="22077758" w14:textId="77777777" w:rsidR="005D2A2C" w:rsidRPr="009C1D71"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4</w:t>
            </w:r>
          </w:p>
        </w:tc>
        <w:tc>
          <w:tcPr>
            <w:tcW w:w="3799" w:type="dxa"/>
            <w:gridSpan w:val="2"/>
            <w:shd w:val="clear" w:color="auto" w:fill="FFFFFF" w:themeFill="background1"/>
          </w:tcPr>
          <w:p w14:paraId="137A3BAC" w14:textId="77777777" w:rsidR="005D2A2C" w:rsidRPr="009C1D71"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71</w:t>
            </w:r>
          </w:p>
        </w:tc>
      </w:tr>
      <w:tr w:rsidR="008457FA" w:rsidRPr="008457FA" w14:paraId="3964E74A" w14:textId="77777777" w:rsidTr="00E86509">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B8F1834" w14:textId="77777777" w:rsidR="005D2A2C" w:rsidRPr="008457FA" w:rsidRDefault="005D2A2C" w:rsidP="00E86509">
            <w:pPr>
              <w:tabs>
                <w:tab w:val="left" w:pos="1206"/>
              </w:tabs>
              <w:spacing w:after="0" w:line="240" w:lineRule="auto"/>
              <w:rPr>
                <w:rFonts w:ascii="Times New Roman" w:hAnsi="Times New Roman" w:cs="Times New Roman"/>
                <w:color w:val="auto"/>
              </w:rPr>
            </w:pPr>
            <w:r w:rsidRPr="008457FA">
              <w:rPr>
                <w:rFonts w:ascii="Times New Roman" w:hAnsi="Times New Roman" w:cs="Times New Roman"/>
                <w:color w:val="auto"/>
              </w:rPr>
              <w:t>Kadry medyczne</w:t>
            </w:r>
          </w:p>
        </w:tc>
        <w:tc>
          <w:tcPr>
            <w:tcW w:w="7938" w:type="dxa"/>
            <w:gridSpan w:val="6"/>
            <w:shd w:val="clear" w:color="auto" w:fill="9CC2E5" w:themeFill="accent1" w:themeFillTint="99"/>
          </w:tcPr>
          <w:p w14:paraId="7BA05B01" w14:textId="77777777" w:rsidR="005D2A2C" w:rsidRPr="008457FA" w:rsidRDefault="005D2A2C" w:rsidP="00E86509">
            <w:pPr>
              <w:tabs>
                <w:tab w:val="left" w:pos="120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Lekarze</w:t>
            </w:r>
          </w:p>
        </w:tc>
        <w:tc>
          <w:tcPr>
            <w:tcW w:w="3799" w:type="dxa"/>
            <w:gridSpan w:val="2"/>
            <w:shd w:val="clear" w:color="auto" w:fill="9CC2E5" w:themeFill="accent1" w:themeFillTint="99"/>
          </w:tcPr>
          <w:p w14:paraId="51D02694"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lekarzy</w:t>
            </w:r>
          </w:p>
        </w:tc>
      </w:tr>
      <w:tr w:rsidR="008457FA" w:rsidRPr="008457FA" w14:paraId="32C17A32"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F09CE75"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664250C4" w14:textId="77777777" w:rsidR="005D2A2C" w:rsidRPr="008457FA" w:rsidRDefault="005D2A2C" w:rsidP="00E86509">
            <w:pPr>
              <w:tabs>
                <w:tab w:val="left" w:pos="120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Geriatrzy</w:t>
            </w:r>
          </w:p>
        </w:tc>
        <w:tc>
          <w:tcPr>
            <w:tcW w:w="3799" w:type="dxa"/>
            <w:gridSpan w:val="2"/>
            <w:shd w:val="clear" w:color="auto" w:fill="FFFFFF" w:themeFill="background1"/>
          </w:tcPr>
          <w:p w14:paraId="19216F8F"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8</w:t>
            </w:r>
          </w:p>
        </w:tc>
      </w:tr>
      <w:tr w:rsidR="008457FA" w:rsidRPr="008457FA" w14:paraId="609CFE19"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379A150"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2C2E490A"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w trakcie specjalizacji z geriatrii</w:t>
            </w:r>
          </w:p>
        </w:tc>
        <w:tc>
          <w:tcPr>
            <w:tcW w:w="3799" w:type="dxa"/>
            <w:gridSpan w:val="2"/>
            <w:shd w:val="clear" w:color="auto" w:fill="FFFFFF" w:themeFill="background1"/>
          </w:tcPr>
          <w:p w14:paraId="06B4C959"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14</w:t>
            </w:r>
          </w:p>
        </w:tc>
      </w:tr>
      <w:tr w:rsidR="008457FA" w:rsidRPr="008457FA" w14:paraId="14C72A6A"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1CCE9B7"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9CC2E5" w:themeFill="accent1" w:themeFillTint="99"/>
          </w:tcPr>
          <w:p w14:paraId="2D2EC2C9"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 xml:space="preserve">Pielęgniarki ze specjalizacją lub ukończonym kursem kwalifikacyjnym </w:t>
            </w:r>
            <w:r w:rsidRPr="008457FA">
              <w:rPr>
                <w:rFonts w:ascii="Times New Roman" w:hAnsi="Times New Roman" w:cs="Times New Roman"/>
                <w:b/>
                <w:color w:val="auto"/>
              </w:rPr>
              <w:br/>
              <w:t>w zakresie:</w:t>
            </w:r>
          </w:p>
        </w:tc>
        <w:tc>
          <w:tcPr>
            <w:tcW w:w="3799" w:type="dxa"/>
            <w:gridSpan w:val="2"/>
            <w:shd w:val="clear" w:color="auto" w:fill="9CC2E5" w:themeFill="accent1" w:themeFillTint="99"/>
          </w:tcPr>
          <w:p w14:paraId="75F3606D"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pielęgniarek</w:t>
            </w:r>
          </w:p>
        </w:tc>
      </w:tr>
      <w:tr w:rsidR="008457FA" w:rsidRPr="008457FA" w14:paraId="2989262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7B2DEE1"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641D2452"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Geriatrii</w:t>
            </w:r>
          </w:p>
        </w:tc>
        <w:tc>
          <w:tcPr>
            <w:tcW w:w="3799" w:type="dxa"/>
            <w:gridSpan w:val="2"/>
            <w:shd w:val="clear" w:color="auto" w:fill="FFFFFF" w:themeFill="background1"/>
          </w:tcPr>
          <w:p w14:paraId="4D073BAC" w14:textId="77777777" w:rsidR="005D2A2C" w:rsidRPr="009C1D71"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151</w:t>
            </w:r>
          </w:p>
        </w:tc>
      </w:tr>
      <w:tr w:rsidR="008457FA" w:rsidRPr="008457FA" w14:paraId="6FE4CE00"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D8A6D62"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129304B2"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Opieki długoterminowej</w:t>
            </w:r>
          </w:p>
        </w:tc>
        <w:tc>
          <w:tcPr>
            <w:tcW w:w="3799" w:type="dxa"/>
            <w:gridSpan w:val="2"/>
            <w:shd w:val="clear" w:color="auto" w:fill="FFFFFF" w:themeFill="background1"/>
          </w:tcPr>
          <w:p w14:paraId="2D27EE11" w14:textId="77777777" w:rsidR="005D2A2C" w:rsidRPr="009C1D71"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928</w:t>
            </w:r>
          </w:p>
        </w:tc>
      </w:tr>
      <w:tr w:rsidR="008457FA" w:rsidRPr="008457FA" w14:paraId="07FAA1D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7BFCF4F"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5480E689"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Opieki paliatywnej</w:t>
            </w:r>
          </w:p>
        </w:tc>
        <w:tc>
          <w:tcPr>
            <w:tcW w:w="3799" w:type="dxa"/>
            <w:gridSpan w:val="2"/>
            <w:shd w:val="clear" w:color="auto" w:fill="FFFFFF" w:themeFill="background1"/>
          </w:tcPr>
          <w:p w14:paraId="7018F1A1" w14:textId="77777777" w:rsidR="005D2A2C" w:rsidRPr="009C1D71"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color w:val="auto"/>
              </w:rPr>
              <w:t>248</w:t>
            </w:r>
          </w:p>
        </w:tc>
      </w:tr>
      <w:tr w:rsidR="008457FA" w:rsidRPr="008457FA" w14:paraId="2ECE4A05"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520057B"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Najczęstsze przyczyny zgonów osób starszych</w:t>
            </w:r>
          </w:p>
          <w:p w14:paraId="287F1EFF" w14:textId="77777777" w:rsidR="005D2A2C" w:rsidRPr="008457FA" w:rsidRDefault="005D2A2C" w:rsidP="00E86509">
            <w:pPr>
              <w:spacing w:after="0" w:line="240" w:lineRule="auto"/>
              <w:rPr>
                <w:rFonts w:ascii="Times New Roman" w:hAnsi="Times New Roman" w:cs="Times New Roman"/>
                <w:b w:val="0"/>
                <w:color w:val="auto"/>
                <w:lang w:eastAsia="pl-PL"/>
              </w:rPr>
            </w:pPr>
            <w:r w:rsidRPr="008457FA">
              <w:rPr>
                <w:rFonts w:ascii="Times New Roman" w:hAnsi="Times New Roman" w:cs="Times New Roman"/>
                <w:color w:val="auto"/>
                <w:lang w:eastAsia="pl-PL"/>
              </w:rPr>
              <w:t>(dane z GUS za 2018r.)</w:t>
            </w:r>
          </w:p>
        </w:tc>
        <w:tc>
          <w:tcPr>
            <w:tcW w:w="7938" w:type="dxa"/>
            <w:gridSpan w:val="6"/>
            <w:shd w:val="clear" w:color="auto" w:fill="9CC2E5" w:themeFill="accent1" w:themeFillTint="99"/>
          </w:tcPr>
          <w:p w14:paraId="2FD4D1E9"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Nazwa</w:t>
            </w:r>
          </w:p>
        </w:tc>
        <w:tc>
          <w:tcPr>
            <w:tcW w:w="3799" w:type="dxa"/>
            <w:gridSpan w:val="2"/>
            <w:shd w:val="clear" w:color="auto" w:fill="9CC2E5" w:themeFill="accent1" w:themeFillTint="99"/>
          </w:tcPr>
          <w:p w14:paraId="1285B71B"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osób starszych</w:t>
            </w:r>
          </w:p>
        </w:tc>
      </w:tr>
      <w:tr w:rsidR="008457FA" w:rsidRPr="008457FA" w14:paraId="3844A9D0"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AFA7909" w14:textId="77777777" w:rsidR="005D2A2C" w:rsidRPr="008457FA" w:rsidRDefault="005D2A2C" w:rsidP="00E86509">
            <w:pPr>
              <w:spacing w:after="0" w:line="240" w:lineRule="auto"/>
              <w:rPr>
                <w:rFonts w:ascii="Times New Roman" w:hAnsi="Times New Roman" w:cs="Times New Roman"/>
                <w:color w:val="auto"/>
                <w:lang w:eastAsia="pl-PL"/>
              </w:rPr>
            </w:pPr>
          </w:p>
        </w:tc>
        <w:tc>
          <w:tcPr>
            <w:tcW w:w="7938" w:type="dxa"/>
            <w:gridSpan w:val="6"/>
            <w:shd w:val="clear" w:color="auto" w:fill="FFFFFF" w:themeFill="background1"/>
          </w:tcPr>
          <w:tbl>
            <w:tblPr>
              <w:tblStyle w:val="Tabelasiatki6kolorowaakcent11"/>
              <w:tblpPr w:leftFromText="141" w:rightFromText="141" w:vertAnchor="text" w:tblpXSpec="center" w:tblpY="1"/>
              <w:tblOverlap w:val="never"/>
              <w:tblW w:w="14850" w:type="dxa"/>
              <w:jc w:val="center"/>
              <w:tblLayout w:type="fixed"/>
              <w:tblLook w:val="04A0" w:firstRow="1" w:lastRow="0" w:firstColumn="1" w:lastColumn="0" w:noHBand="0" w:noVBand="1"/>
            </w:tblPr>
            <w:tblGrid>
              <w:gridCol w:w="14850"/>
            </w:tblGrid>
            <w:tr w:rsidR="005D2A2C" w:rsidRPr="008457FA" w14:paraId="0882319C" w14:textId="77777777" w:rsidTr="008E4D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938" w:type="dxa"/>
                  <w:vAlign w:val="center"/>
                </w:tcPr>
                <w:p w14:paraId="3602123B" w14:textId="77777777" w:rsidR="005D2A2C" w:rsidRPr="008457FA" w:rsidRDefault="005D2A2C" w:rsidP="00E86509">
                  <w:pPr>
                    <w:spacing w:after="0" w:line="240" w:lineRule="auto"/>
                    <w:rPr>
                      <w:rFonts w:ascii="Times New Roman" w:hAnsi="Times New Roman" w:cs="Times New Roman"/>
                      <w:color w:val="auto"/>
                    </w:rPr>
                  </w:pPr>
                  <w:r w:rsidRPr="008457FA">
                    <w:rPr>
                      <w:rFonts w:ascii="Times New Roman" w:hAnsi="Times New Roman" w:cs="Times New Roman"/>
                      <w:color w:val="auto"/>
                    </w:rPr>
                    <w:t>Zgony osób 60+ stanowią 85,6% wszystkich zgonów  w woj. (16814/19636)</w:t>
                  </w:r>
                </w:p>
              </w:tc>
            </w:tr>
          </w:tbl>
          <w:p w14:paraId="05B5EECA"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p>
        </w:tc>
        <w:tc>
          <w:tcPr>
            <w:tcW w:w="3799" w:type="dxa"/>
            <w:gridSpan w:val="2"/>
            <w:shd w:val="clear" w:color="auto" w:fill="FFFFFF" w:themeFill="background1"/>
          </w:tcPr>
          <w:p w14:paraId="2F9668F1" w14:textId="77777777" w:rsidR="005D2A2C" w:rsidRPr="009C1D71"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C1D71">
              <w:rPr>
                <w:rFonts w:ascii="Times New Roman" w:hAnsi="Times New Roman" w:cs="Times New Roman"/>
                <w:bCs/>
                <w:color w:val="auto"/>
              </w:rPr>
              <w:t>16</w:t>
            </w:r>
            <w:r w:rsidR="00A62D94" w:rsidRPr="009C1D71">
              <w:rPr>
                <w:rFonts w:ascii="Times New Roman" w:hAnsi="Times New Roman" w:cs="Times New Roman"/>
                <w:bCs/>
                <w:color w:val="auto"/>
              </w:rPr>
              <w:t xml:space="preserve"> </w:t>
            </w:r>
            <w:r w:rsidRPr="009C1D71">
              <w:rPr>
                <w:rFonts w:ascii="Times New Roman" w:hAnsi="Times New Roman" w:cs="Times New Roman"/>
                <w:bCs/>
                <w:color w:val="auto"/>
              </w:rPr>
              <w:t>814</w:t>
            </w:r>
          </w:p>
        </w:tc>
      </w:tr>
      <w:tr w:rsidR="008457FA" w:rsidRPr="008457FA" w14:paraId="43038111"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D33563F"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758085E0"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t>1.</w:t>
            </w:r>
            <w:r w:rsidRPr="008457FA">
              <w:rPr>
                <w:rFonts w:ascii="Times New Roman" w:hAnsi="Times New Roman" w:cs="Times New Roman"/>
                <w:color w:val="auto"/>
              </w:rPr>
              <w:t xml:space="preserve"> Zgony z powodu chorób układu krążenia (I00-I99).</w:t>
            </w:r>
            <w:r w:rsidRPr="008457FA">
              <w:rPr>
                <w:rFonts w:ascii="Times New Roman" w:hAnsi="Times New Roman" w:cs="Times New Roman"/>
                <w:color w:val="auto"/>
              </w:rPr>
              <w:br/>
              <w:t>Zgony z powodu chorób ukł. krążenia osób 60+: Razem 7</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921 (mężczyźni 3354, kobiety 4</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567). Stanowią 47,1% wszystkich zg. w grupie 60+ (7</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921/16</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814).</w:t>
            </w:r>
            <w:r w:rsidRPr="008457FA">
              <w:rPr>
                <w:rFonts w:ascii="Times New Roman" w:hAnsi="Times New Roman" w:cs="Times New Roman"/>
                <w:color w:val="auto"/>
              </w:rPr>
              <w:br/>
              <w:t>Najczęstsze przyczyny</w:t>
            </w:r>
            <w:r w:rsidRPr="008457FA">
              <w:rPr>
                <w:rFonts w:ascii="Times New Roman" w:hAnsi="Times New Roman" w:cs="Times New Roman"/>
                <w:color w:val="auto"/>
              </w:rPr>
              <w:br/>
            </w:r>
            <w:r w:rsidRPr="008457FA">
              <w:rPr>
                <w:rFonts w:ascii="Times New Roman" w:hAnsi="Times New Roman" w:cs="Times New Roman"/>
                <w:b/>
                <w:color w:val="auto"/>
              </w:rPr>
              <w:t>dla mężczyzn 60+:</w:t>
            </w:r>
            <w:r w:rsidRPr="008457FA">
              <w:rPr>
                <w:rFonts w:ascii="Times New Roman" w:hAnsi="Times New Roman" w:cs="Times New Roman"/>
                <w:color w:val="auto"/>
              </w:rPr>
              <w:t xml:space="preserve"> (I26-I51) inne choroby serca 1</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097 osób (co stanowi 32,7% wszystkich zg. na ch. układu krążenia mężczyzn 60+), (I20-I25) choroba niedokrwienna serca 790 (23,6%), I70 miażdżyca 658 (19,5%), (I60-I69) choroby naczyń mózgowych 5066 (15,1%).</w:t>
            </w:r>
            <w:r w:rsidRPr="008457FA">
              <w:rPr>
                <w:rFonts w:ascii="Times New Roman" w:hAnsi="Times New Roman" w:cs="Times New Roman"/>
                <w:color w:val="auto"/>
              </w:rPr>
              <w:br/>
            </w:r>
            <w:r w:rsidRPr="008457FA">
              <w:rPr>
                <w:rFonts w:ascii="Times New Roman" w:hAnsi="Times New Roman" w:cs="Times New Roman"/>
                <w:b/>
                <w:color w:val="auto"/>
              </w:rPr>
              <w:t>dla kobiet 60+:</w:t>
            </w:r>
            <w:r w:rsidRPr="008457FA">
              <w:rPr>
                <w:rFonts w:ascii="Times New Roman" w:hAnsi="Times New Roman" w:cs="Times New Roman"/>
                <w:color w:val="auto"/>
              </w:rPr>
              <w:t xml:space="preserve"> (I26-I51) inne choroby serca 1</w:t>
            </w:r>
            <w:r w:rsidR="00A62D94" w:rsidRPr="008457FA">
              <w:rPr>
                <w:rFonts w:ascii="Times New Roman" w:hAnsi="Times New Roman" w:cs="Times New Roman"/>
                <w:color w:val="auto"/>
              </w:rPr>
              <w:t xml:space="preserve"> </w:t>
            </w:r>
            <w:r w:rsidRPr="008457FA">
              <w:rPr>
                <w:rFonts w:ascii="Times New Roman" w:hAnsi="Times New Roman" w:cs="Times New Roman"/>
                <w:color w:val="auto"/>
              </w:rPr>
              <w:t>536 osób (co stanowi 33,6% wszystkich zg. na ch. układu krążenia kobiet 60+), (I20-I25) choroba niedokrwienna serca 790 (33,6%), I70 miażdżyca 1021 (22,4%),  (I20-I25) choroba niedokrwienna serca 936 (20,5%)790 (23,6%), (I60-I69) choroby naczyń mózgowych 680 (14,9%).</w:t>
            </w:r>
          </w:p>
        </w:tc>
        <w:tc>
          <w:tcPr>
            <w:tcW w:w="3799" w:type="dxa"/>
            <w:gridSpan w:val="2"/>
            <w:shd w:val="clear" w:color="auto" w:fill="FFFFFF" w:themeFill="background1"/>
            <w:vAlign w:val="center"/>
          </w:tcPr>
          <w:p w14:paraId="5E9CDE28" w14:textId="77777777" w:rsidR="005D2A2C" w:rsidRPr="009C1D71"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9C1D71">
              <w:rPr>
                <w:rFonts w:ascii="Times New Roman" w:hAnsi="Times New Roman" w:cs="Times New Roman"/>
                <w:bCs/>
                <w:color w:val="auto"/>
              </w:rPr>
              <w:t>7</w:t>
            </w:r>
            <w:r w:rsidR="00A62D94" w:rsidRPr="009C1D71">
              <w:rPr>
                <w:rFonts w:ascii="Times New Roman" w:hAnsi="Times New Roman" w:cs="Times New Roman"/>
                <w:bCs/>
                <w:color w:val="auto"/>
              </w:rPr>
              <w:t xml:space="preserve"> </w:t>
            </w:r>
            <w:r w:rsidRPr="009C1D71">
              <w:rPr>
                <w:rFonts w:ascii="Times New Roman" w:hAnsi="Times New Roman" w:cs="Times New Roman"/>
                <w:bCs/>
                <w:color w:val="auto"/>
              </w:rPr>
              <w:t>921</w:t>
            </w:r>
          </w:p>
        </w:tc>
      </w:tr>
      <w:tr w:rsidR="008457FA" w:rsidRPr="008457FA" w14:paraId="1007DC6A" w14:textId="77777777" w:rsidTr="00E86509">
        <w:trPr>
          <w:cnfStyle w:val="000000100000" w:firstRow="0" w:lastRow="0" w:firstColumn="0" w:lastColumn="0" w:oddVBand="0" w:evenVBand="0" w:oddHBand="1" w:evenHBand="0" w:firstRowFirstColumn="0" w:firstRowLastColumn="0" w:lastRowFirstColumn="0" w:lastRowLastColumn="0"/>
          <w:trHeight w:val="3036"/>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87B4F86"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7938" w:type="dxa"/>
            <w:gridSpan w:val="6"/>
            <w:shd w:val="clear" w:color="auto" w:fill="FFFFFF" w:themeFill="background1"/>
          </w:tcPr>
          <w:p w14:paraId="2DA6CC87"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t>2.</w:t>
            </w:r>
            <w:r w:rsidRPr="008457FA">
              <w:rPr>
                <w:rFonts w:ascii="Times New Roman" w:hAnsi="Times New Roman" w:cs="Times New Roman"/>
                <w:color w:val="auto"/>
              </w:rPr>
              <w:t xml:space="preserve"> Nowotwory (C00-D48).</w:t>
            </w:r>
            <w:r w:rsidRPr="008457FA">
              <w:rPr>
                <w:rFonts w:ascii="Times New Roman" w:hAnsi="Times New Roman" w:cs="Times New Roman"/>
                <w:color w:val="auto"/>
              </w:rPr>
              <w:br/>
              <w:t>Zgony z powodu nowotworów osób 60+: Razem 4</w:t>
            </w:r>
            <w:r w:rsidR="008E37CE" w:rsidRPr="008457FA">
              <w:rPr>
                <w:rFonts w:ascii="Times New Roman" w:hAnsi="Times New Roman" w:cs="Times New Roman"/>
                <w:color w:val="auto"/>
              </w:rPr>
              <w:t xml:space="preserve"> </w:t>
            </w:r>
            <w:r w:rsidRPr="008457FA">
              <w:rPr>
                <w:rFonts w:ascii="Times New Roman" w:hAnsi="Times New Roman" w:cs="Times New Roman"/>
                <w:color w:val="auto"/>
              </w:rPr>
              <w:t>272 (mężczyźni 2</w:t>
            </w:r>
            <w:r w:rsidR="008E37CE" w:rsidRPr="008457FA">
              <w:rPr>
                <w:rFonts w:ascii="Times New Roman" w:hAnsi="Times New Roman" w:cs="Times New Roman"/>
                <w:color w:val="auto"/>
              </w:rPr>
              <w:t xml:space="preserve"> </w:t>
            </w:r>
            <w:r w:rsidRPr="008457FA">
              <w:rPr>
                <w:rFonts w:ascii="Times New Roman" w:hAnsi="Times New Roman" w:cs="Times New Roman"/>
                <w:color w:val="auto"/>
              </w:rPr>
              <w:t>457 kobiety 1815). Stanowią 25,4% wszystkich zg. w grupie 60+ (4</w:t>
            </w:r>
            <w:r w:rsidR="008E37CE" w:rsidRPr="008457FA">
              <w:rPr>
                <w:rFonts w:ascii="Times New Roman" w:hAnsi="Times New Roman" w:cs="Times New Roman"/>
                <w:color w:val="auto"/>
              </w:rPr>
              <w:t xml:space="preserve"> </w:t>
            </w:r>
            <w:r w:rsidRPr="008457FA">
              <w:rPr>
                <w:rFonts w:ascii="Times New Roman" w:hAnsi="Times New Roman" w:cs="Times New Roman"/>
                <w:color w:val="auto"/>
              </w:rPr>
              <w:t>272/16</w:t>
            </w:r>
            <w:r w:rsidR="008E37CE" w:rsidRPr="008457FA">
              <w:rPr>
                <w:rFonts w:ascii="Times New Roman" w:hAnsi="Times New Roman" w:cs="Times New Roman"/>
                <w:color w:val="auto"/>
              </w:rPr>
              <w:t xml:space="preserve"> </w:t>
            </w:r>
            <w:r w:rsidRPr="008457FA">
              <w:rPr>
                <w:rFonts w:ascii="Times New Roman" w:hAnsi="Times New Roman" w:cs="Times New Roman"/>
                <w:color w:val="auto"/>
              </w:rPr>
              <w:t>814).</w:t>
            </w:r>
            <w:r w:rsidRPr="008457FA">
              <w:rPr>
                <w:rFonts w:ascii="Times New Roman" w:hAnsi="Times New Roman" w:cs="Times New Roman"/>
                <w:color w:val="auto"/>
              </w:rPr>
              <w:br/>
              <w:t>Najczęstsze przyczyny:</w:t>
            </w:r>
            <w:r w:rsidRPr="008457FA">
              <w:rPr>
                <w:rFonts w:ascii="Times New Roman" w:hAnsi="Times New Roman" w:cs="Times New Roman"/>
                <w:color w:val="auto"/>
              </w:rPr>
              <w:br/>
            </w:r>
            <w:r w:rsidRPr="008457FA">
              <w:rPr>
                <w:rFonts w:ascii="Times New Roman" w:hAnsi="Times New Roman" w:cs="Times New Roman"/>
                <w:b/>
                <w:color w:val="auto"/>
              </w:rPr>
              <w:t>dla mężczyzn 60+:</w:t>
            </w:r>
            <w:r w:rsidRPr="008457FA">
              <w:rPr>
                <w:rFonts w:ascii="Times New Roman" w:hAnsi="Times New Roman" w:cs="Times New Roman"/>
                <w:color w:val="auto"/>
              </w:rPr>
              <w:t xml:space="preserve"> (C33-C34) nowotwów złośliwy tchawicy, oskrzeli i płuc 573 mężczyzn (co stanowi 23,3% wszystkich zg na nowotw. mężczyzn 60+), (C18-C21) nowotwory złośliwe okrężnicy i odbytu 321 (13,1%), C61 prostata 280 (11,4%).</w:t>
            </w:r>
            <w:r w:rsidRPr="008457FA">
              <w:rPr>
                <w:rFonts w:ascii="Times New Roman" w:hAnsi="Times New Roman" w:cs="Times New Roman"/>
                <w:color w:val="auto"/>
              </w:rPr>
              <w:br/>
            </w:r>
            <w:r w:rsidRPr="008457FA">
              <w:rPr>
                <w:rFonts w:ascii="Times New Roman" w:hAnsi="Times New Roman" w:cs="Times New Roman"/>
                <w:b/>
                <w:color w:val="auto"/>
              </w:rPr>
              <w:t>dla kobiet 60+:</w:t>
            </w:r>
            <w:r w:rsidRPr="008457FA">
              <w:rPr>
                <w:rFonts w:ascii="Times New Roman" w:hAnsi="Times New Roman" w:cs="Times New Roman"/>
                <w:color w:val="auto"/>
              </w:rPr>
              <w:t xml:space="preserve"> Gr. pozsotałe now. (m.in. jelito cienkie, pęcherzyk żółciowy, skóra, tkanki miękkie, tarczyca) 280 kobiet (co stanowi 15,4% wszystkich zg. na nowotw. kobiet 60+), (C33-C34) nowotwór złośliwy tchawicy, oskrzeli i płuc 224 (12,2%), C50 sutek 209 (12,3%), nowotwory złośliwe okrężnicy i odbytu 195 (10,1%), C56 jajnik 112 (6,2%)</w:t>
            </w:r>
          </w:p>
        </w:tc>
        <w:tc>
          <w:tcPr>
            <w:tcW w:w="3799" w:type="dxa"/>
            <w:gridSpan w:val="2"/>
            <w:shd w:val="clear" w:color="auto" w:fill="FFFFFF" w:themeFill="background1"/>
            <w:vAlign w:val="center"/>
          </w:tcPr>
          <w:p w14:paraId="730132D4" w14:textId="77777777" w:rsidR="005D2A2C" w:rsidRPr="009C1D71"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9C1D71">
              <w:rPr>
                <w:rFonts w:ascii="Times New Roman" w:hAnsi="Times New Roman" w:cs="Times New Roman"/>
                <w:bCs/>
                <w:color w:val="auto"/>
              </w:rPr>
              <w:t>4</w:t>
            </w:r>
            <w:r w:rsidR="009C1D71">
              <w:rPr>
                <w:rFonts w:ascii="Times New Roman" w:hAnsi="Times New Roman" w:cs="Times New Roman"/>
                <w:bCs/>
                <w:color w:val="auto"/>
              </w:rPr>
              <w:t xml:space="preserve"> </w:t>
            </w:r>
            <w:r w:rsidRPr="009C1D71">
              <w:rPr>
                <w:rFonts w:ascii="Times New Roman" w:hAnsi="Times New Roman" w:cs="Times New Roman"/>
                <w:bCs/>
                <w:color w:val="auto"/>
              </w:rPr>
              <w:t>272</w:t>
            </w:r>
          </w:p>
        </w:tc>
      </w:tr>
      <w:tr w:rsidR="008457FA" w:rsidRPr="008457FA" w14:paraId="5C2DF255" w14:textId="77777777" w:rsidTr="00E86509">
        <w:trPr>
          <w:trHeight w:val="25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89F897B" w14:textId="77777777" w:rsidR="005D2A2C" w:rsidRPr="008457FA" w:rsidRDefault="005D2A2C" w:rsidP="00E86509">
            <w:pPr>
              <w:spacing w:after="0" w:line="240" w:lineRule="auto"/>
              <w:rPr>
                <w:rFonts w:ascii="Times New Roman" w:hAnsi="Times New Roman" w:cs="Times New Roman"/>
                <w:bCs w:val="0"/>
                <w:color w:val="auto"/>
                <w:lang w:eastAsia="pl-PL"/>
              </w:rPr>
            </w:pPr>
            <w:r w:rsidRPr="008457FA">
              <w:rPr>
                <w:rFonts w:ascii="Times New Roman" w:hAnsi="Times New Roman" w:cs="Times New Roman"/>
                <w:color w:val="auto"/>
                <w:lang w:eastAsia="pl-PL"/>
              </w:rPr>
              <w:t>Największe problemy/niedogodności w świadczeniu opieki nad osobami starszymi (np. zasoby kadrowe, rzeczowe, finansowe itp.)</w:t>
            </w:r>
          </w:p>
          <w:p w14:paraId="3B69E549" w14:textId="77777777" w:rsidR="005D2A2C" w:rsidRPr="008457FA" w:rsidRDefault="005D2A2C" w:rsidP="00E86509">
            <w:pPr>
              <w:spacing w:after="0" w:line="240" w:lineRule="auto"/>
              <w:rPr>
                <w:rFonts w:ascii="Times New Roman" w:hAnsi="Times New Roman" w:cs="Times New Roman"/>
                <w:b w:val="0"/>
                <w:color w:val="auto"/>
                <w:lang w:eastAsia="pl-PL"/>
              </w:rPr>
            </w:pPr>
          </w:p>
          <w:p w14:paraId="688E04CC"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11737" w:type="dxa"/>
            <w:gridSpan w:val="8"/>
            <w:shd w:val="clear" w:color="auto" w:fill="FFFFFF" w:themeFill="background1"/>
          </w:tcPr>
          <w:p w14:paraId="2B5AF9CD" w14:textId="77777777" w:rsidR="005D2A2C" w:rsidRPr="008457FA" w:rsidRDefault="005D2A2C" w:rsidP="00E86509">
            <w:pPr>
              <w:tabs>
                <w:tab w:val="left" w:pos="129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t>1.</w:t>
            </w:r>
            <w:r w:rsidRPr="008457FA">
              <w:rPr>
                <w:rFonts w:ascii="Times New Roman" w:hAnsi="Times New Roman" w:cs="Times New Roman"/>
                <w:color w:val="auto"/>
              </w:rPr>
              <w:t xml:space="preserve"> Niska dostępność do lekarzy specjalistów, badań specjalistycznych i szczepionek. Długi czas oczekiwania na wizytę, czy objęcie opieką długoterminową zarówno stacjonarną, jak i domową. Z kolei przejście do sektora prywatnego jest ograniczane z powodów finansowych osoby starszej. Osoby starsze z terenu podkarpacia są jedną z najniżej uposażonych grup społecznych pod względem zabezpieczenia emerytalno-rentowego ze względu na znaczny udział populacji rolniczej.</w:t>
            </w:r>
          </w:p>
        </w:tc>
      </w:tr>
      <w:tr w:rsidR="008457FA" w:rsidRPr="008457FA" w14:paraId="44422763" w14:textId="77777777" w:rsidTr="00E8650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9B67DF2"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11737" w:type="dxa"/>
            <w:gridSpan w:val="8"/>
            <w:shd w:val="clear" w:color="auto" w:fill="FFFFFF" w:themeFill="background1"/>
          </w:tcPr>
          <w:p w14:paraId="190A894E"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t>2.</w:t>
            </w:r>
            <w:r w:rsidRPr="008457FA">
              <w:rPr>
                <w:rFonts w:ascii="Times New Roman" w:hAnsi="Times New Roman" w:cs="Times New Roman"/>
                <w:color w:val="auto"/>
              </w:rPr>
              <w:t xml:space="preserve"> Ze względu na starzenie się społeczeństwa, potrzeby rehabilitacyjne wciąż rosną. Zwiększona liczba chorych wymagających rehabilitacji poudarowej, pozawałowej, jak również ortopedycznej, przekłada się na duże zapotrzebowanie na dobrze wykwalifikowaną kadrę fizjoterapeutów. Aktywizacja osób starszych, zwłaszcza w aspekcie zapobiegania urazom jest niezwykle potrzebna. Prewencja urazów przynosi wymierne korzyści, ograniczając wydatki związane z powikłaniami, kosztami hospitalizacji i farmakoterapii pacjentów.</w:t>
            </w:r>
          </w:p>
        </w:tc>
      </w:tr>
      <w:tr w:rsidR="008457FA" w:rsidRPr="008457FA" w14:paraId="002093D0" w14:textId="77777777" w:rsidTr="00E86509">
        <w:trPr>
          <w:trHeight w:val="25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8EDE7B1"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11737" w:type="dxa"/>
            <w:gridSpan w:val="8"/>
            <w:shd w:val="clear" w:color="auto" w:fill="FFFFFF" w:themeFill="background1"/>
          </w:tcPr>
          <w:p w14:paraId="19DE4C44"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t>3</w:t>
            </w:r>
            <w:r w:rsidRPr="008457FA">
              <w:rPr>
                <w:rFonts w:ascii="Times New Roman" w:hAnsi="Times New Roman" w:cs="Times New Roman"/>
                <w:color w:val="auto"/>
              </w:rPr>
              <w:t>. Zwiększona liczba pacjentów w starszym wieku przekłada się na zwiększone zapotrzebowanie na lekarzy specjalistów z zakresu geriatrii i innych chorób przewlekłych. Drugą grupą zawodową stanowiącą podstawę opieki nad osobami starszymi są pielęgniarki, zwłaszcza pielęgniarki ze specjalizacją geriatryczną, rodzinną, zachowawczą oraz z opieki paliatywnej i długoterminowej. Niestety starzenie się kadr pielęgniarek i położnych oraz deficyt w tej grupie zawodowej to najbardziej zauważalny problem systemu opieki zdrowotnej.</w:t>
            </w:r>
          </w:p>
        </w:tc>
      </w:tr>
      <w:tr w:rsidR="008457FA" w:rsidRPr="008457FA" w14:paraId="68F7D015" w14:textId="77777777" w:rsidTr="00E8650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CD3547F"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11737" w:type="dxa"/>
            <w:gridSpan w:val="8"/>
            <w:shd w:val="clear" w:color="auto" w:fill="FFFFFF" w:themeFill="background1"/>
          </w:tcPr>
          <w:p w14:paraId="525D8658"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t>4.</w:t>
            </w:r>
            <w:r w:rsidRPr="008457FA">
              <w:rPr>
                <w:rFonts w:ascii="Times New Roman" w:hAnsi="Times New Roman" w:cs="Times New Roman"/>
                <w:color w:val="auto"/>
              </w:rPr>
              <w:t xml:space="preserve">  Zjawisko wielochorobowości, a co za tym idzie wielolekowości tworzą tzw. spiralę chorób i terapii, czyli błędne koło, w którym zwiększająca się liczba schorzeń wymusza leczenie u coraz większej liczby specjalistów. Zasadne więc wydaje się zwiększenie specjalistów z zakresu geriatrii, którzy podeszliby do problemów zdrowotnych osób starszych w sposób kompleksowy.</w:t>
            </w:r>
          </w:p>
        </w:tc>
      </w:tr>
      <w:tr w:rsidR="008457FA" w:rsidRPr="008457FA" w14:paraId="2A763B40" w14:textId="77777777" w:rsidTr="00E86509">
        <w:trPr>
          <w:trHeight w:val="25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5F6A7F9" w14:textId="77777777" w:rsidR="005D2A2C" w:rsidRPr="008457FA" w:rsidRDefault="005D2A2C" w:rsidP="00E86509">
            <w:pPr>
              <w:spacing w:after="0" w:line="240" w:lineRule="auto"/>
              <w:rPr>
                <w:rFonts w:ascii="Times New Roman" w:hAnsi="Times New Roman" w:cs="Times New Roman"/>
                <w:b w:val="0"/>
                <w:color w:val="auto"/>
                <w:lang w:eastAsia="pl-PL"/>
              </w:rPr>
            </w:pPr>
          </w:p>
          <w:p w14:paraId="6296B5F9"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11737" w:type="dxa"/>
            <w:gridSpan w:val="8"/>
            <w:shd w:val="clear" w:color="auto" w:fill="FFFFFF" w:themeFill="background1"/>
          </w:tcPr>
          <w:p w14:paraId="4AD00C57"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t>5.</w:t>
            </w:r>
            <w:r w:rsidRPr="008457FA">
              <w:rPr>
                <w:rFonts w:ascii="Times New Roman" w:hAnsi="Times New Roman" w:cs="Times New Roman"/>
                <w:color w:val="auto"/>
              </w:rPr>
              <w:t xml:space="preserve">  Szacuje się, że znaczna część osób starszych samotnych czy przebywających w placówkach opieki długoterminowej przejawia objawy depresyjne. Bardzo poważnym problemem są również choroby neurodegeneracyjne mózgu. Wsparcie osób starszych w przypadku pojawienia się zaburzeń psychicznych przyczyni się do ich sprawniejszego funkcjonowania w społeczeństwie. Jednakże brak jest placówek zapewniających kompleksową opiekę dla tej grupy osób starszych.</w:t>
            </w:r>
          </w:p>
        </w:tc>
      </w:tr>
      <w:tr w:rsidR="008457FA" w:rsidRPr="008457FA" w14:paraId="6A2A5D81"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4567" w:type="dxa"/>
            <w:gridSpan w:val="9"/>
            <w:shd w:val="clear" w:color="auto" w:fill="9CC2E5" w:themeFill="accent1" w:themeFillTint="99"/>
          </w:tcPr>
          <w:p w14:paraId="14CBD155" w14:textId="77777777" w:rsidR="005D2A2C" w:rsidRPr="008457FA" w:rsidRDefault="005D2A2C" w:rsidP="00E86509">
            <w:pPr>
              <w:spacing w:after="0" w:line="240" w:lineRule="auto"/>
              <w:jc w:val="center"/>
              <w:rPr>
                <w:rFonts w:ascii="Times New Roman" w:hAnsi="Times New Roman" w:cs="Times New Roman"/>
                <w:color w:val="auto"/>
              </w:rPr>
            </w:pPr>
            <w:r w:rsidRPr="008457FA">
              <w:rPr>
                <w:rFonts w:ascii="Times New Roman" w:hAnsi="Times New Roman" w:cs="Times New Roman"/>
                <w:color w:val="auto"/>
                <w:lang w:eastAsia="pl-PL"/>
              </w:rPr>
              <w:t>AKTYWNOŚĆ EKONOMICZNA OSÓB STARSZYCH – DANE ZA 2019 R.</w:t>
            </w:r>
          </w:p>
        </w:tc>
      </w:tr>
      <w:tr w:rsidR="008457FA" w:rsidRPr="008457FA" w14:paraId="3E89C6DC"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6799" w:type="dxa"/>
            <w:gridSpan w:val="4"/>
            <w:shd w:val="clear" w:color="auto" w:fill="9CC2E5" w:themeFill="accent1" w:themeFillTint="99"/>
          </w:tcPr>
          <w:p w14:paraId="7651FD78" w14:textId="77777777" w:rsidR="005D2A2C" w:rsidRPr="008457FA" w:rsidRDefault="005D2A2C" w:rsidP="00E86509">
            <w:pPr>
              <w:spacing w:after="0" w:line="240" w:lineRule="auto"/>
              <w:jc w:val="center"/>
              <w:rPr>
                <w:rFonts w:ascii="Times New Roman" w:hAnsi="Times New Roman" w:cs="Times New Roman"/>
                <w:color w:val="auto"/>
              </w:rPr>
            </w:pPr>
            <w:r w:rsidRPr="008457FA">
              <w:rPr>
                <w:rFonts w:ascii="Times New Roman" w:hAnsi="Times New Roman" w:cs="Times New Roman"/>
                <w:color w:val="auto"/>
              </w:rPr>
              <w:lastRenderedPageBreak/>
              <w:t>Podział</w:t>
            </w:r>
          </w:p>
        </w:tc>
        <w:tc>
          <w:tcPr>
            <w:tcW w:w="7768" w:type="dxa"/>
            <w:gridSpan w:val="5"/>
            <w:shd w:val="clear" w:color="auto" w:fill="9CC2E5" w:themeFill="accent1" w:themeFillTint="99"/>
          </w:tcPr>
          <w:p w14:paraId="4275DC1B"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w:t>
            </w:r>
          </w:p>
        </w:tc>
      </w:tr>
      <w:tr w:rsidR="008457FA" w:rsidRPr="008457FA" w14:paraId="7F791C15"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69EB199" w14:textId="77777777" w:rsidR="005D2A2C" w:rsidRPr="008457FA" w:rsidRDefault="005D2A2C" w:rsidP="00E86509">
            <w:pPr>
              <w:spacing w:after="0" w:line="240" w:lineRule="auto"/>
              <w:rPr>
                <w:rFonts w:ascii="Times New Roman" w:hAnsi="Times New Roman" w:cs="Times New Roman"/>
                <w:b w:val="0"/>
                <w:color w:val="auto"/>
                <w:lang w:eastAsia="pl-PL"/>
              </w:rPr>
            </w:pPr>
            <w:r w:rsidRPr="008457FA">
              <w:rPr>
                <w:rFonts w:ascii="Times New Roman" w:hAnsi="Times New Roman" w:cs="Times New Roman"/>
                <w:color w:val="auto"/>
                <w:lang w:eastAsia="pl-PL"/>
              </w:rPr>
              <w:t>Osoby aktywne zawodowo razem (w tys.)</w:t>
            </w:r>
          </w:p>
        </w:tc>
        <w:tc>
          <w:tcPr>
            <w:tcW w:w="3969" w:type="dxa"/>
            <w:gridSpan w:val="3"/>
            <w:shd w:val="clear" w:color="auto" w:fill="FFFFFF" w:themeFill="background1"/>
          </w:tcPr>
          <w:p w14:paraId="511025F4"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ogółem</w:t>
            </w:r>
          </w:p>
        </w:tc>
        <w:tc>
          <w:tcPr>
            <w:tcW w:w="7768" w:type="dxa"/>
            <w:gridSpan w:val="5"/>
            <w:shd w:val="clear" w:color="auto" w:fill="FFFFFF" w:themeFill="background1"/>
          </w:tcPr>
          <w:p w14:paraId="738CE6A4"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877</w:t>
            </w:r>
          </w:p>
        </w:tc>
      </w:tr>
      <w:tr w:rsidR="008457FA" w:rsidRPr="008457FA" w14:paraId="45A32507"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437513B"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3969" w:type="dxa"/>
            <w:gridSpan w:val="3"/>
            <w:shd w:val="clear" w:color="auto" w:fill="FFFFFF" w:themeFill="background1"/>
          </w:tcPr>
          <w:p w14:paraId="39342B29"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w tym w wieku 55 lat i więcej</w:t>
            </w:r>
          </w:p>
        </w:tc>
        <w:tc>
          <w:tcPr>
            <w:tcW w:w="7768" w:type="dxa"/>
            <w:gridSpan w:val="5"/>
            <w:shd w:val="clear" w:color="auto" w:fill="FFFFFF" w:themeFill="background1"/>
          </w:tcPr>
          <w:p w14:paraId="21689EDC"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145</w:t>
            </w:r>
          </w:p>
        </w:tc>
      </w:tr>
      <w:tr w:rsidR="008457FA" w:rsidRPr="008457FA" w14:paraId="4ED1F7A6"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ED065D8" w14:textId="77777777" w:rsidR="005D2A2C" w:rsidRPr="008457FA" w:rsidRDefault="005D2A2C" w:rsidP="00E86509">
            <w:pPr>
              <w:spacing w:after="0" w:line="240" w:lineRule="auto"/>
              <w:rPr>
                <w:rFonts w:ascii="Times New Roman" w:hAnsi="Times New Roman" w:cs="Times New Roman"/>
                <w:b w:val="0"/>
                <w:color w:val="auto"/>
                <w:lang w:eastAsia="pl-PL"/>
              </w:rPr>
            </w:pPr>
            <w:r w:rsidRPr="008457FA">
              <w:rPr>
                <w:rFonts w:ascii="Times New Roman" w:hAnsi="Times New Roman" w:cs="Times New Roman"/>
                <w:color w:val="auto"/>
                <w:lang w:eastAsia="pl-PL"/>
              </w:rPr>
              <w:t xml:space="preserve">Osoby aktywne zawodowo </w:t>
            </w:r>
            <w:r w:rsidRPr="008457FA">
              <w:rPr>
                <w:rFonts w:ascii="Times New Roman" w:hAnsi="Times New Roman" w:cs="Times New Roman"/>
                <w:color w:val="auto"/>
                <w:lang w:eastAsia="pl-PL"/>
              </w:rPr>
              <w:br/>
              <w:t>– pracujący (w tys.)</w:t>
            </w:r>
          </w:p>
        </w:tc>
        <w:tc>
          <w:tcPr>
            <w:tcW w:w="3969" w:type="dxa"/>
            <w:gridSpan w:val="3"/>
            <w:shd w:val="clear" w:color="auto" w:fill="FFFFFF" w:themeFill="background1"/>
          </w:tcPr>
          <w:p w14:paraId="3BDFE350"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Ogółem</w:t>
            </w:r>
          </w:p>
        </w:tc>
        <w:tc>
          <w:tcPr>
            <w:tcW w:w="7768" w:type="dxa"/>
            <w:gridSpan w:val="5"/>
            <w:shd w:val="clear" w:color="auto" w:fill="FFFFFF" w:themeFill="background1"/>
          </w:tcPr>
          <w:p w14:paraId="172057B8"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832</w:t>
            </w:r>
          </w:p>
        </w:tc>
      </w:tr>
      <w:tr w:rsidR="008457FA" w:rsidRPr="008457FA" w14:paraId="25CFF49B"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81671EB"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3969" w:type="dxa"/>
            <w:gridSpan w:val="3"/>
            <w:shd w:val="clear" w:color="auto" w:fill="FFFFFF" w:themeFill="background1"/>
          </w:tcPr>
          <w:p w14:paraId="401D43AD"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w tym w wieku 55 lat i więcej</w:t>
            </w:r>
          </w:p>
        </w:tc>
        <w:tc>
          <w:tcPr>
            <w:tcW w:w="7768" w:type="dxa"/>
            <w:gridSpan w:val="5"/>
            <w:shd w:val="clear" w:color="auto" w:fill="FFFFFF" w:themeFill="background1"/>
          </w:tcPr>
          <w:p w14:paraId="3DBA0EA0"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142</w:t>
            </w:r>
          </w:p>
        </w:tc>
      </w:tr>
      <w:tr w:rsidR="008457FA" w:rsidRPr="008457FA" w14:paraId="35CC28C0"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5E7A80A" w14:textId="77777777" w:rsidR="005D2A2C" w:rsidRPr="008457FA" w:rsidRDefault="005D2A2C" w:rsidP="00E86509">
            <w:pPr>
              <w:spacing w:after="0" w:line="240" w:lineRule="auto"/>
              <w:rPr>
                <w:rFonts w:ascii="Times New Roman" w:hAnsi="Times New Roman" w:cs="Times New Roman"/>
                <w:b w:val="0"/>
                <w:color w:val="auto"/>
                <w:lang w:eastAsia="pl-PL"/>
              </w:rPr>
            </w:pPr>
            <w:r w:rsidRPr="008457FA">
              <w:rPr>
                <w:rFonts w:ascii="Times New Roman" w:hAnsi="Times New Roman" w:cs="Times New Roman"/>
                <w:color w:val="auto"/>
                <w:lang w:eastAsia="pl-PL"/>
              </w:rPr>
              <w:t>Osoby bierne zawodowo (w tys.)</w:t>
            </w:r>
          </w:p>
        </w:tc>
        <w:tc>
          <w:tcPr>
            <w:tcW w:w="3969" w:type="dxa"/>
            <w:gridSpan w:val="3"/>
            <w:shd w:val="clear" w:color="auto" w:fill="FFFFFF" w:themeFill="background1"/>
          </w:tcPr>
          <w:p w14:paraId="13265749"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ogółem</w:t>
            </w:r>
          </w:p>
        </w:tc>
        <w:tc>
          <w:tcPr>
            <w:tcW w:w="7768" w:type="dxa"/>
            <w:gridSpan w:val="5"/>
            <w:shd w:val="clear" w:color="auto" w:fill="FFFFFF" w:themeFill="background1"/>
          </w:tcPr>
          <w:p w14:paraId="40EF4238"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743</w:t>
            </w:r>
          </w:p>
        </w:tc>
      </w:tr>
      <w:tr w:rsidR="008457FA" w:rsidRPr="008457FA" w14:paraId="669EA800"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4440F62"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3969" w:type="dxa"/>
            <w:gridSpan w:val="3"/>
            <w:shd w:val="clear" w:color="auto" w:fill="FFFFFF" w:themeFill="background1"/>
          </w:tcPr>
          <w:p w14:paraId="720F274C"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w tym w wieku 55 lat i więcej</w:t>
            </w:r>
          </w:p>
        </w:tc>
        <w:tc>
          <w:tcPr>
            <w:tcW w:w="7768" w:type="dxa"/>
            <w:gridSpan w:val="5"/>
            <w:shd w:val="clear" w:color="auto" w:fill="FFFFFF" w:themeFill="background1"/>
          </w:tcPr>
          <w:p w14:paraId="4A6382D3"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455</w:t>
            </w:r>
          </w:p>
        </w:tc>
      </w:tr>
      <w:tr w:rsidR="008457FA" w:rsidRPr="008457FA" w14:paraId="0081D1C8"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F9FEF8C" w14:textId="77777777" w:rsidR="005D2A2C" w:rsidRPr="008457FA" w:rsidRDefault="005D2A2C" w:rsidP="00E86509">
            <w:pPr>
              <w:spacing w:after="0" w:line="240" w:lineRule="auto"/>
              <w:rPr>
                <w:rFonts w:ascii="Times New Roman" w:hAnsi="Times New Roman" w:cs="Times New Roman"/>
                <w:b w:val="0"/>
                <w:color w:val="auto"/>
                <w:lang w:eastAsia="pl-PL"/>
              </w:rPr>
            </w:pPr>
            <w:r w:rsidRPr="008457FA">
              <w:rPr>
                <w:rFonts w:ascii="Times New Roman" w:hAnsi="Times New Roman" w:cs="Times New Roman"/>
                <w:color w:val="auto"/>
                <w:lang w:eastAsia="pl-PL"/>
              </w:rPr>
              <w:t>Współczynnik aktywności zawodowej %</w:t>
            </w:r>
          </w:p>
        </w:tc>
        <w:tc>
          <w:tcPr>
            <w:tcW w:w="3969" w:type="dxa"/>
            <w:gridSpan w:val="3"/>
            <w:shd w:val="clear" w:color="auto" w:fill="FFFFFF" w:themeFill="background1"/>
          </w:tcPr>
          <w:p w14:paraId="65B5CF1C"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Ogółem</w:t>
            </w:r>
          </w:p>
        </w:tc>
        <w:tc>
          <w:tcPr>
            <w:tcW w:w="7768" w:type="dxa"/>
            <w:gridSpan w:val="5"/>
            <w:shd w:val="clear" w:color="auto" w:fill="FFFFFF" w:themeFill="background1"/>
          </w:tcPr>
          <w:p w14:paraId="0AD74BC1"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54,1</w:t>
            </w:r>
          </w:p>
        </w:tc>
      </w:tr>
      <w:tr w:rsidR="008457FA" w:rsidRPr="008457FA" w14:paraId="25932924"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F598EA5"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3969" w:type="dxa"/>
            <w:gridSpan w:val="3"/>
            <w:shd w:val="clear" w:color="auto" w:fill="FFFFFF" w:themeFill="background1"/>
          </w:tcPr>
          <w:p w14:paraId="79C21121"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w tym w wieku 55 lat i więcej</w:t>
            </w:r>
          </w:p>
        </w:tc>
        <w:tc>
          <w:tcPr>
            <w:tcW w:w="7768" w:type="dxa"/>
            <w:gridSpan w:val="5"/>
            <w:shd w:val="clear" w:color="auto" w:fill="FFFFFF" w:themeFill="background1"/>
          </w:tcPr>
          <w:p w14:paraId="25180561"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24,1</w:t>
            </w:r>
          </w:p>
        </w:tc>
      </w:tr>
      <w:tr w:rsidR="008457FA" w:rsidRPr="008457FA" w14:paraId="2C3B0B27" w14:textId="77777777" w:rsidTr="00E8650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99E07D2" w14:textId="77777777" w:rsidR="005D2A2C" w:rsidRPr="008457FA" w:rsidRDefault="005D2A2C" w:rsidP="00E86509">
            <w:pPr>
              <w:spacing w:after="0" w:line="240" w:lineRule="auto"/>
              <w:rPr>
                <w:rFonts w:ascii="Times New Roman" w:hAnsi="Times New Roman" w:cs="Times New Roman"/>
                <w:b w:val="0"/>
                <w:color w:val="auto"/>
                <w:lang w:eastAsia="pl-PL"/>
              </w:rPr>
            </w:pPr>
            <w:r w:rsidRPr="008457FA">
              <w:rPr>
                <w:rFonts w:ascii="Times New Roman" w:hAnsi="Times New Roman" w:cs="Times New Roman"/>
                <w:color w:val="auto"/>
                <w:lang w:eastAsia="pl-PL"/>
              </w:rPr>
              <w:t>Wskaźnik zatrudnienia %</w:t>
            </w:r>
          </w:p>
        </w:tc>
        <w:tc>
          <w:tcPr>
            <w:tcW w:w="3969" w:type="dxa"/>
            <w:gridSpan w:val="3"/>
            <w:shd w:val="clear" w:color="auto" w:fill="FFFFFF" w:themeFill="background1"/>
          </w:tcPr>
          <w:p w14:paraId="5E9ED08A"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ogółem</w:t>
            </w:r>
          </w:p>
        </w:tc>
        <w:tc>
          <w:tcPr>
            <w:tcW w:w="7768" w:type="dxa"/>
            <w:gridSpan w:val="5"/>
            <w:shd w:val="clear" w:color="auto" w:fill="FFFFFF" w:themeFill="background1"/>
          </w:tcPr>
          <w:p w14:paraId="0DB32264"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51,4</w:t>
            </w:r>
          </w:p>
        </w:tc>
      </w:tr>
      <w:tr w:rsidR="008457FA" w:rsidRPr="008457FA" w14:paraId="658B3663"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027B32D" w14:textId="77777777" w:rsidR="005D2A2C" w:rsidRPr="008457FA" w:rsidRDefault="005D2A2C" w:rsidP="00E86509">
            <w:pPr>
              <w:spacing w:after="0" w:line="240" w:lineRule="auto"/>
              <w:rPr>
                <w:rFonts w:ascii="Times New Roman" w:hAnsi="Times New Roman" w:cs="Times New Roman"/>
                <w:b w:val="0"/>
                <w:color w:val="auto"/>
                <w:lang w:eastAsia="pl-PL"/>
              </w:rPr>
            </w:pPr>
          </w:p>
        </w:tc>
        <w:tc>
          <w:tcPr>
            <w:tcW w:w="3969" w:type="dxa"/>
            <w:gridSpan w:val="3"/>
            <w:shd w:val="clear" w:color="auto" w:fill="FFFFFF" w:themeFill="background1"/>
          </w:tcPr>
          <w:p w14:paraId="3E11C7A6"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w tym w wieku 55 lat i więcej</w:t>
            </w:r>
          </w:p>
        </w:tc>
        <w:tc>
          <w:tcPr>
            <w:tcW w:w="7768" w:type="dxa"/>
            <w:gridSpan w:val="5"/>
            <w:shd w:val="clear" w:color="auto" w:fill="FFFFFF" w:themeFill="background1"/>
          </w:tcPr>
          <w:p w14:paraId="4B250059"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23,6</w:t>
            </w:r>
          </w:p>
        </w:tc>
      </w:tr>
      <w:tr w:rsidR="008457FA" w:rsidRPr="008457FA" w14:paraId="68FE2A3F" w14:textId="77777777" w:rsidTr="00E8650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8B26EED" w14:textId="77777777" w:rsidR="005D2A2C" w:rsidRPr="008457FA" w:rsidRDefault="005D2A2C" w:rsidP="00E86509">
            <w:pPr>
              <w:spacing w:after="0" w:line="240" w:lineRule="auto"/>
              <w:rPr>
                <w:rFonts w:ascii="Times New Roman" w:hAnsi="Times New Roman" w:cs="Times New Roman"/>
                <w:b w:val="0"/>
                <w:color w:val="auto"/>
                <w:lang w:eastAsia="pl-PL"/>
              </w:rPr>
            </w:pPr>
            <w:r w:rsidRPr="008457FA">
              <w:rPr>
                <w:rFonts w:ascii="Times New Roman" w:eastAsia="Times New Roman" w:hAnsi="Times New Roman" w:cs="Times New Roman"/>
                <w:color w:val="auto"/>
                <w:lang w:eastAsia="pl-PL"/>
              </w:rPr>
              <w:t xml:space="preserve">Osoby bierne zawodowo w wieku 55 lat i więcej według wybranych przyczyn bierności </w:t>
            </w:r>
            <w:r w:rsidRPr="008457FA">
              <w:rPr>
                <w:rFonts w:ascii="Times New Roman" w:eastAsia="Times New Roman" w:hAnsi="Times New Roman" w:cs="Times New Roman"/>
                <w:color w:val="auto"/>
                <w:lang w:eastAsia="pl-PL"/>
              </w:rPr>
              <w:br/>
              <w:t>(w tys.)</w:t>
            </w:r>
          </w:p>
        </w:tc>
        <w:tc>
          <w:tcPr>
            <w:tcW w:w="3969" w:type="dxa"/>
            <w:gridSpan w:val="3"/>
            <w:shd w:val="clear" w:color="auto" w:fill="FFFFFF" w:themeFill="background1"/>
          </w:tcPr>
          <w:p w14:paraId="60563058"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ogółem</w:t>
            </w:r>
          </w:p>
        </w:tc>
        <w:tc>
          <w:tcPr>
            <w:tcW w:w="7768" w:type="dxa"/>
            <w:gridSpan w:val="5"/>
            <w:shd w:val="clear" w:color="auto" w:fill="FFFFFF" w:themeFill="background1"/>
          </w:tcPr>
          <w:p w14:paraId="65898D4A"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743</w:t>
            </w:r>
          </w:p>
        </w:tc>
      </w:tr>
      <w:tr w:rsidR="008457FA" w:rsidRPr="008457FA" w14:paraId="1A4DC5A3"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9A78EF8"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11737" w:type="dxa"/>
            <w:gridSpan w:val="8"/>
            <w:shd w:val="clear" w:color="auto" w:fill="9CC2E5" w:themeFill="accent1" w:themeFillTint="99"/>
          </w:tcPr>
          <w:p w14:paraId="2C24C95D"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w tym:</w:t>
            </w:r>
          </w:p>
        </w:tc>
      </w:tr>
      <w:tr w:rsidR="008457FA" w:rsidRPr="008457FA" w14:paraId="70976B0A"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4A3B151"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06D645A0"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pl-PL"/>
              </w:rPr>
            </w:pPr>
            <w:r w:rsidRPr="008457FA">
              <w:rPr>
                <w:rFonts w:ascii="Times New Roman" w:eastAsia="Times New Roman" w:hAnsi="Times New Roman" w:cs="Times New Roman"/>
                <w:color w:val="auto"/>
                <w:lang w:eastAsia="pl-PL"/>
              </w:rPr>
              <w:t>osoby nieposzukujące pracy - razem</w:t>
            </w:r>
          </w:p>
        </w:tc>
        <w:tc>
          <w:tcPr>
            <w:tcW w:w="7768" w:type="dxa"/>
            <w:gridSpan w:val="5"/>
            <w:shd w:val="clear" w:color="auto" w:fill="FFFFFF" w:themeFill="background1"/>
          </w:tcPr>
          <w:p w14:paraId="6539AC64"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738</w:t>
            </w:r>
          </w:p>
        </w:tc>
      </w:tr>
      <w:tr w:rsidR="008457FA" w:rsidRPr="008457FA" w14:paraId="45F4B2F6"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BF2625A"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1CB4237D"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eastAsia="Times New Roman" w:hAnsi="Times New Roman" w:cs="Times New Roman"/>
                <w:color w:val="auto"/>
                <w:lang w:eastAsia="pl-PL"/>
              </w:rPr>
              <w:t>osoby nieposzukujące pracy - emerytura</w:t>
            </w:r>
          </w:p>
        </w:tc>
        <w:tc>
          <w:tcPr>
            <w:tcW w:w="7768" w:type="dxa"/>
            <w:gridSpan w:val="5"/>
            <w:shd w:val="clear" w:color="auto" w:fill="FFFFFF" w:themeFill="background1"/>
          </w:tcPr>
          <w:p w14:paraId="45C23193"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377</w:t>
            </w:r>
          </w:p>
        </w:tc>
      </w:tr>
      <w:tr w:rsidR="008457FA" w:rsidRPr="008457FA" w14:paraId="07868191"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7826A0C"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412B30AA"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eastAsia="Times New Roman" w:hAnsi="Times New Roman" w:cs="Times New Roman"/>
                <w:color w:val="auto"/>
                <w:lang w:eastAsia="pl-PL"/>
              </w:rPr>
              <w:t>osoby nieposzukujące pracy - choroba, niepełnosprawność</w:t>
            </w:r>
          </w:p>
        </w:tc>
        <w:tc>
          <w:tcPr>
            <w:tcW w:w="7768" w:type="dxa"/>
            <w:gridSpan w:val="5"/>
            <w:shd w:val="clear" w:color="auto" w:fill="FFFFFF" w:themeFill="background1"/>
          </w:tcPr>
          <w:p w14:paraId="30F6CF96"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96</w:t>
            </w:r>
          </w:p>
        </w:tc>
      </w:tr>
      <w:tr w:rsidR="008457FA" w:rsidRPr="008457FA" w14:paraId="745B36AD" w14:textId="77777777" w:rsidTr="00E86509">
        <w:trPr>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E254382"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r w:rsidRPr="008457FA">
              <w:rPr>
                <w:rFonts w:ascii="Times New Roman" w:eastAsia="Times New Roman" w:hAnsi="Times New Roman" w:cs="Times New Roman"/>
                <w:color w:val="auto"/>
                <w:lang w:eastAsia="pl-PL"/>
              </w:rPr>
              <w:t>Osoby bezrobotne zarejestrowane w urzędach pracy (w tys.)</w:t>
            </w:r>
          </w:p>
        </w:tc>
        <w:tc>
          <w:tcPr>
            <w:tcW w:w="3969" w:type="dxa"/>
            <w:gridSpan w:val="3"/>
            <w:shd w:val="clear" w:color="auto" w:fill="FFFFFF" w:themeFill="background1"/>
          </w:tcPr>
          <w:p w14:paraId="069BB609"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ogółem</w:t>
            </w:r>
          </w:p>
        </w:tc>
        <w:tc>
          <w:tcPr>
            <w:tcW w:w="7768" w:type="dxa"/>
            <w:gridSpan w:val="5"/>
            <w:shd w:val="clear" w:color="auto" w:fill="FFFFFF" w:themeFill="background1"/>
          </w:tcPr>
          <w:p w14:paraId="1EA328A6"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75,5</w:t>
            </w:r>
          </w:p>
        </w:tc>
      </w:tr>
      <w:tr w:rsidR="008457FA" w:rsidRPr="008457FA" w14:paraId="1DB7E457"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A4D8AE6"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3BD683BB"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w tym w wieku 60+</w:t>
            </w:r>
          </w:p>
        </w:tc>
        <w:tc>
          <w:tcPr>
            <w:tcW w:w="7768" w:type="dxa"/>
            <w:gridSpan w:val="5"/>
            <w:shd w:val="clear" w:color="auto" w:fill="FFFFFF" w:themeFill="background1"/>
          </w:tcPr>
          <w:p w14:paraId="2F885F2C" w14:textId="1DE51BA9" w:rsidR="005D2A2C" w:rsidRPr="008457FA" w:rsidRDefault="00071004"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3,9</w:t>
            </w:r>
          </w:p>
        </w:tc>
      </w:tr>
      <w:tr w:rsidR="008457FA" w:rsidRPr="008457FA" w14:paraId="7A5DEF1C" w14:textId="77777777" w:rsidTr="00E86509">
        <w:trPr>
          <w:trHeight w:val="191"/>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2BFB0C7"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r w:rsidRPr="008457FA">
              <w:rPr>
                <w:rFonts w:ascii="Times New Roman" w:eastAsia="Times New Roman" w:hAnsi="Times New Roman" w:cs="Times New Roman"/>
                <w:color w:val="auto"/>
                <w:lang w:eastAsia="pl-PL"/>
              </w:rPr>
              <w:t xml:space="preserve">Osoby pobierające renty </w:t>
            </w:r>
            <w:r w:rsidRPr="008457FA">
              <w:rPr>
                <w:rFonts w:ascii="Times New Roman" w:eastAsia="Times New Roman" w:hAnsi="Times New Roman" w:cs="Times New Roman"/>
                <w:color w:val="auto"/>
                <w:lang w:eastAsia="pl-PL"/>
              </w:rPr>
              <w:br/>
              <w:t xml:space="preserve">i emerytury </w:t>
            </w:r>
          </w:p>
        </w:tc>
        <w:tc>
          <w:tcPr>
            <w:tcW w:w="11737" w:type="dxa"/>
            <w:gridSpan w:val="8"/>
            <w:shd w:val="clear" w:color="auto" w:fill="9CC2E5" w:themeFill="accent1" w:themeFillTint="99"/>
          </w:tcPr>
          <w:p w14:paraId="7EED8D98" w14:textId="77777777" w:rsidR="005D2A2C" w:rsidRPr="008457FA" w:rsidRDefault="005D2A2C" w:rsidP="00E86509">
            <w:pPr>
              <w:tabs>
                <w:tab w:val="left" w:pos="1725"/>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ZUS</w:t>
            </w:r>
          </w:p>
        </w:tc>
      </w:tr>
      <w:tr w:rsidR="008457FA" w:rsidRPr="008457FA" w14:paraId="2FE239FD" w14:textId="77777777" w:rsidTr="00E8650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0AAFEC9"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9CC2E5" w:themeFill="accent1" w:themeFillTint="99"/>
          </w:tcPr>
          <w:p w14:paraId="3AFD1101"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Rodzaj świadczenia</w:t>
            </w:r>
          </w:p>
        </w:tc>
        <w:tc>
          <w:tcPr>
            <w:tcW w:w="7768" w:type="dxa"/>
            <w:gridSpan w:val="5"/>
            <w:shd w:val="clear" w:color="auto" w:fill="9CC2E5" w:themeFill="accent1" w:themeFillTint="99"/>
          </w:tcPr>
          <w:p w14:paraId="19821EBF"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Przeciętna miesięczna liczba emerytów i rencistów (w tys.)</w:t>
            </w:r>
          </w:p>
        </w:tc>
      </w:tr>
      <w:tr w:rsidR="008457FA" w:rsidRPr="008457FA" w14:paraId="627244A8" w14:textId="77777777" w:rsidTr="00E86509">
        <w:trPr>
          <w:trHeight w:val="143"/>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4D76605"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26718FC1"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Emerytury</w:t>
            </w:r>
          </w:p>
        </w:tc>
        <w:tc>
          <w:tcPr>
            <w:tcW w:w="7768" w:type="dxa"/>
            <w:gridSpan w:val="5"/>
            <w:shd w:val="clear" w:color="auto" w:fill="FFFFFF" w:themeFill="background1"/>
          </w:tcPr>
          <w:p w14:paraId="6DA4B2F5" w14:textId="77777777" w:rsidR="005D2A2C" w:rsidRPr="008457FA" w:rsidRDefault="008E37CE"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288 </w:t>
            </w:r>
            <w:r w:rsidR="005D2A2C" w:rsidRPr="008457FA">
              <w:rPr>
                <w:rFonts w:ascii="Times New Roman" w:hAnsi="Times New Roman" w:cs="Times New Roman"/>
                <w:color w:val="auto"/>
              </w:rPr>
              <w:t>920</w:t>
            </w:r>
          </w:p>
        </w:tc>
      </w:tr>
      <w:tr w:rsidR="008457FA" w:rsidRPr="008457FA" w14:paraId="672A16C9" w14:textId="77777777" w:rsidTr="00E8650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4C0D159"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042C27E4"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Renty z tytułu niezdolności do pracy</w:t>
            </w:r>
          </w:p>
        </w:tc>
        <w:tc>
          <w:tcPr>
            <w:tcW w:w="7768" w:type="dxa"/>
            <w:gridSpan w:val="5"/>
            <w:shd w:val="clear" w:color="auto" w:fill="FFFFFF" w:themeFill="background1"/>
          </w:tcPr>
          <w:p w14:paraId="2D03002A" w14:textId="77777777" w:rsidR="005D2A2C" w:rsidRPr="008457FA" w:rsidRDefault="008E37CE"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20 </w:t>
            </w:r>
            <w:r w:rsidR="005D2A2C" w:rsidRPr="008457FA">
              <w:rPr>
                <w:rFonts w:ascii="Times New Roman" w:hAnsi="Times New Roman" w:cs="Times New Roman"/>
                <w:color w:val="auto"/>
              </w:rPr>
              <w:t>932</w:t>
            </w:r>
          </w:p>
        </w:tc>
      </w:tr>
      <w:tr w:rsidR="008457FA" w:rsidRPr="008457FA" w14:paraId="6448F7A1"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4B8FA74"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576D2163"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Renty rodzinne</w:t>
            </w:r>
          </w:p>
        </w:tc>
        <w:tc>
          <w:tcPr>
            <w:tcW w:w="7768" w:type="dxa"/>
            <w:gridSpan w:val="5"/>
            <w:shd w:val="clear" w:color="auto" w:fill="FFFFFF" w:themeFill="background1"/>
          </w:tcPr>
          <w:p w14:paraId="10A6A65D" w14:textId="77777777" w:rsidR="005D2A2C" w:rsidRPr="008457FA" w:rsidRDefault="008E37CE"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49 </w:t>
            </w:r>
            <w:r w:rsidR="005D2A2C" w:rsidRPr="008457FA">
              <w:rPr>
                <w:rFonts w:ascii="Times New Roman" w:hAnsi="Times New Roman" w:cs="Times New Roman"/>
                <w:color w:val="auto"/>
              </w:rPr>
              <w:t>610</w:t>
            </w:r>
          </w:p>
        </w:tc>
      </w:tr>
      <w:tr w:rsidR="008457FA" w:rsidRPr="008457FA" w14:paraId="5EA5EB24"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E50BE04"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11737" w:type="dxa"/>
            <w:gridSpan w:val="8"/>
            <w:shd w:val="clear" w:color="auto" w:fill="9CC2E5" w:themeFill="accent1" w:themeFillTint="99"/>
          </w:tcPr>
          <w:p w14:paraId="5A969A2F" w14:textId="77777777" w:rsidR="005D2A2C" w:rsidRPr="008457FA" w:rsidRDefault="005D2A2C" w:rsidP="00E86509">
            <w:pPr>
              <w:tabs>
                <w:tab w:val="left" w:pos="1507"/>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highlight w:val="yellow"/>
              </w:rPr>
            </w:pPr>
            <w:r w:rsidRPr="008457FA">
              <w:rPr>
                <w:rFonts w:ascii="Times New Roman" w:hAnsi="Times New Roman" w:cs="Times New Roman"/>
                <w:b/>
                <w:color w:val="auto"/>
              </w:rPr>
              <w:t>KRUS</w:t>
            </w:r>
          </w:p>
        </w:tc>
      </w:tr>
      <w:tr w:rsidR="008457FA" w:rsidRPr="008457FA" w14:paraId="5F140F5D" w14:textId="77777777" w:rsidTr="00E86509">
        <w:trPr>
          <w:trHeight w:val="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E3ABDC4"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9CC2E5" w:themeFill="accent1" w:themeFillTint="99"/>
          </w:tcPr>
          <w:p w14:paraId="4E8EBB14"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Rodzaj świadczenia</w:t>
            </w:r>
          </w:p>
        </w:tc>
        <w:tc>
          <w:tcPr>
            <w:tcW w:w="7768" w:type="dxa"/>
            <w:gridSpan w:val="5"/>
            <w:shd w:val="clear" w:color="auto" w:fill="9CC2E5" w:themeFill="accent1" w:themeFillTint="99"/>
          </w:tcPr>
          <w:p w14:paraId="54ABD4EB"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Przeciętna miesięczna liczba emerytów i rencistów (w tys.)</w:t>
            </w:r>
          </w:p>
        </w:tc>
      </w:tr>
      <w:tr w:rsidR="008457FA" w:rsidRPr="008457FA" w14:paraId="2100BB01"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F9E5461"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1817CECE"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Emerytury</w:t>
            </w:r>
          </w:p>
        </w:tc>
        <w:tc>
          <w:tcPr>
            <w:tcW w:w="7768" w:type="dxa"/>
            <w:gridSpan w:val="5"/>
            <w:shd w:val="clear" w:color="auto" w:fill="FFFFFF" w:themeFill="background1"/>
          </w:tcPr>
          <w:p w14:paraId="646565D6" w14:textId="77777777" w:rsidR="005D2A2C" w:rsidRPr="008457FA" w:rsidRDefault="0083241F"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49,96</w:t>
            </w:r>
          </w:p>
        </w:tc>
      </w:tr>
      <w:tr w:rsidR="008457FA" w:rsidRPr="008457FA" w14:paraId="2909A728"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412DD4C"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52C06E78"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Renty z tytułu niezdolności do pracy</w:t>
            </w:r>
          </w:p>
        </w:tc>
        <w:tc>
          <w:tcPr>
            <w:tcW w:w="7768" w:type="dxa"/>
            <w:gridSpan w:val="5"/>
            <w:shd w:val="clear" w:color="auto" w:fill="FFFFFF" w:themeFill="background1"/>
          </w:tcPr>
          <w:p w14:paraId="3B5AE4D6" w14:textId="77777777" w:rsidR="005D2A2C" w:rsidRPr="008457FA" w:rsidRDefault="0083241F"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6,98</w:t>
            </w:r>
          </w:p>
        </w:tc>
      </w:tr>
      <w:tr w:rsidR="008457FA" w:rsidRPr="008457FA" w14:paraId="51AF47EB"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5E72F5"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969" w:type="dxa"/>
            <w:gridSpan w:val="3"/>
            <w:shd w:val="clear" w:color="auto" w:fill="FFFFFF" w:themeFill="background1"/>
          </w:tcPr>
          <w:p w14:paraId="2C6D2182"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Renty rodzinne</w:t>
            </w:r>
          </w:p>
        </w:tc>
        <w:tc>
          <w:tcPr>
            <w:tcW w:w="7768" w:type="dxa"/>
            <w:gridSpan w:val="5"/>
            <w:shd w:val="clear" w:color="auto" w:fill="FFFFFF" w:themeFill="background1"/>
          </w:tcPr>
          <w:p w14:paraId="71AB3F7B" w14:textId="77777777" w:rsidR="005D2A2C" w:rsidRPr="008457FA" w:rsidRDefault="0083241F"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0,80</w:t>
            </w:r>
          </w:p>
        </w:tc>
      </w:tr>
      <w:tr w:rsidR="008457FA" w:rsidRPr="008457FA" w14:paraId="24BE2B64"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567" w:type="dxa"/>
            <w:gridSpan w:val="9"/>
            <w:shd w:val="clear" w:color="auto" w:fill="9CC2E5" w:themeFill="accent1" w:themeFillTint="99"/>
          </w:tcPr>
          <w:p w14:paraId="4C66F47D" w14:textId="77777777" w:rsidR="005D2A2C" w:rsidRPr="008457FA" w:rsidRDefault="005D2A2C" w:rsidP="00E86509">
            <w:pPr>
              <w:spacing w:after="0" w:line="240" w:lineRule="auto"/>
              <w:jc w:val="center"/>
              <w:rPr>
                <w:rFonts w:ascii="Times New Roman" w:hAnsi="Times New Roman" w:cs="Times New Roman"/>
                <w:color w:val="auto"/>
              </w:rPr>
            </w:pPr>
            <w:r w:rsidRPr="008457FA">
              <w:rPr>
                <w:rFonts w:ascii="Times New Roman" w:hAnsi="Times New Roman" w:cs="Times New Roman"/>
                <w:color w:val="auto"/>
              </w:rPr>
              <w:t>SYTUACJA DOCHODOWA, WARUNKI BYTU, W TYM WARUNKI MIESZKANIOWE – DANE ZA 2019 R,</w:t>
            </w:r>
          </w:p>
        </w:tc>
      </w:tr>
      <w:tr w:rsidR="008457FA" w:rsidRPr="008457FA" w14:paraId="65513A59"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567" w:type="dxa"/>
            <w:gridSpan w:val="9"/>
            <w:shd w:val="clear" w:color="auto" w:fill="FFFFFF" w:themeFill="background1"/>
          </w:tcPr>
          <w:p w14:paraId="2E9355D9" w14:textId="77777777" w:rsidR="005D2A2C" w:rsidRPr="008457FA" w:rsidRDefault="005D2A2C" w:rsidP="00E86509">
            <w:pPr>
              <w:spacing w:after="0" w:line="240" w:lineRule="auto"/>
              <w:rPr>
                <w:rFonts w:ascii="Times New Roman" w:hAnsi="Times New Roman" w:cs="Times New Roman"/>
                <w:b w:val="0"/>
                <w:color w:val="auto"/>
              </w:rPr>
            </w:pPr>
            <w:r w:rsidRPr="008457FA">
              <w:rPr>
                <w:rFonts w:ascii="Times New Roman" w:eastAsia="Calibri" w:hAnsi="Times New Roman" w:cs="Times New Roman"/>
                <w:b w:val="0"/>
                <w:color w:val="auto"/>
              </w:rPr>
              <w:lastRenderedPageBreak/>
              <w:t>Świadczenia otrzymywane przez osoby w wieku 60+ to głównie emerytury i renty z Zakładu Ubezpieczeń Społecznych oraz Kasy Rolniczego Ubezpieczenia Społecznego.</w:t>
            </w:r>
            <w:r w:rsidRPr="008457FA">
              <w:rPr>
                <w:rFonts w:ascii="Times New Roman" w:hAnsi="Times New Roman" w:cs="Times New Roman"/>
                <w:b w:val="0"/>
                <w:color w:val="auto"/>
              </w:rPr>
              <w:t xml:space="preserve"> Osoby starsze i niepełnosprawne, które nie posiadają żadnego dochodu, pobierają zasiłki stałe z ośrodka pomocy społecznej. Niepomyślna sytuacja seniorów spowodowana jest zarówno samą wysokością dochodów, jak i występowaniem silnego zróżnicowania wysokości świadczeń tych otrzymywanych z ZUS i KRUS, jak i dochodów zależnie od płci.</w:t>
            </w:r>
            <w:r w:rsidRPr="008457FA">
              <w:rPr>
                <w:rFonts w:ascii="Times New Roman" w:eastAsia="Times New Roman" w:hAnsi="Times New Roman" w:cs="Times New Roman"/>
                <w:b w:val="0"/>
                <w:color w:val="auto"/>
                <w:lang w:eastAsia="pl-PL"/>
              </w:rPr>
              <w:t xml:space="preserve"> </w:t>
            </w:r>
            <w:r w:rsidRPr="008457FA">
              <w:rPr>
                <w:rFonts w:ascii="Times New Roman" w:hAnsi="Times New Roman" w:cs="Times New Roman"/>
                <w:b w:val="0"/>
                <w:color w:val="auto"/>
              </w:rPr>
              <w:t xml:space="preserve">W relatywnie najgorszej sytuacji znajdują się jednoosobowe gospodarstwa domowe. Charakteryzują się one z reguły niskim poziomem dochodu rozporządzalnego, co przy wysokich kosztach stałych związanych na przykład z eksploatacją mieszkania, stanowi znaczne obciążenie dla budżetów. </w:t>
            </w:r>
            <w:r w:rsidRPr="008457FA">
              <w:rPr>
                <w:rFonts w:ascii="Times New Roman" w:eastAsia="Calibri" w:hAnsi="Times New Roman" w:cs="Times New Roman"/>
                <w:b w:val="0"/>
                <w:color w:val="auto"/>
              </w:rPr>
              <w:t xml:space="preserve">Największe obciążenia finansowe osób starszych są związane z utrzymaniem dobrego stanu zdrowia, tj.: zakupem lekarstw i środków opatrunkowych, dojazdem do placówek służby zdrowia oraz ewentualnym sfinansowaniem wizyt prywatnych lub rehabilitacji. Równie wysokie wydatki są ponoszone w związku z zakupem żywności oraz z utrzymaniem domów lub mieszkań, tj.: dokonaniem opłat za media, opłaceniem podatków, zakupem opału. W przeważającej części osoby po 60 roku życia nie wykazują aktywności ekonomicznej. Spowodowane jest to brakiem miejsc pracy dla osób będących na emeryturze lub rencie. Niewielki odsetek osób starszych pracuje zawodowo, w większości są to prace dorywcze. Ponadto, część z nich pracuje we własnych gospodarstwach rolnych. Warunki mieszkaniowe seniorów są przeciętne, głównie zależą od środowiska, w którym dana osoba żyła dotychczas. </w:t>
            </w:r>
            <w:r w:rsidRPr="008457FA">
              <w:rPr>
                <w:rFonts w:ascii="Times New Roman" w:hAnsi="Times New Roman" w:cs="Times New Roman"/>
                <w:b w:val="0"/>
                <w:color w:val="auto"/>
              </w:rPr>
              <w:t xml:space="preserve">Wyposażenie gospodarstw domowych jest konsekwencją warunków mieszkaniowych. Niestety, </w:t>
            </w:r>
            <w:r w:rsidRPr="008457FA">
              <w:rPr>
                <w:rFonts w:ascii="Times New Roman" w:eastAsia="Times New Roman" w:hAnsi="Times New Roman" w:cs="Times New Roman"/>
                <w:b w:val="0"/>
                <w:color w:val="auto"/>
                <w:lang w:eastAsia="pl-PL"/>
              </w:rPr>
              <w:t>nie można precyzyjne ustalić danych dotyczących sytuacji mieszkaniowej osób w wieku 65 lat i więcej. Wynika to, po pierwsze, z braku danych statystycznych w tym zakresie, a po drugie –z faktu, że znaczna część osób starszych zamieszkuje wspólnie z osobami należącymi do innych pokoleń. Generalnie można jednak stwierdzić, że poziom wyposażenia mieszkań w podstawowe instalacje jest coraz wyższy i obserwowana tendencja poprawy wyposażenia mieszkań w media odnosi się także do mieszkań zajmowanych przez osoby starsze.</w:t>
            </w:r>
          </w:p>
        </w:tc>
      </w:tr>
      <w:tr w:rsidR="008457FA" w:rsidRPr="008457FA" w14:paraId="266E28AF"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567" w:type="dxa"/>
            <w:gridSpan w:val="9"/>
            <w:shd w:val="clear" w:color="auto" w:fill="9CC2E5" w:themeFill="accent1" w:themeFillTint="99"/>
          </w:tcPr>
          <w:p w14:paraId="78386456" w14:textId="77777777" w:rsidR="005D2A2C" w:rsidRPr="008457FA" w:rsidRDefault="005D2A2C" w:rsidP="00E86509">
            <w:pPr>
              <w:spacing w:after="0" w:line="240" w:lineRule="auto"/>
              <w:jc w:val="center"/>
              <w:rPr>
                <w:rFonts w:ascii="Times New Roman" w:hAnsi="Times New Roman" w:cs="Times New Roman"/>
                <w:color w:val="auto"/>
              </w:rPr>
            </w:pPr>
            <w:r w:rsidRPr="008457FA">
              <w:rPr>
                <w:rFonts w:ascii="Times New Roman" w:hAnsi="Times New Roman" w:cs="Times New Roman"/>
                <w:color w:val="auto"/>
              </w:rPr>
              <w:t>USŁUGI SPOŁECZNE DLA OSÓB STARSZYCH / INFRASTRUKTURA POMOCY SPOLECZNEJ – DANE ZA 2019 R.</w:t>
            </w:r>
          </w:p>
        </w:tc>
      </w:tr>
      <w:tr w:rsidR="008457FA" w:rsidRPr="008457FA" w14:paraId="004A5A2C"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B1B9BB6"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r w:rsidRPr="008457FA">
              <w:rPr>
                <w:rFonts w:ascii="Times New Roman" w:eastAsia="Times New Roman" w:hAnsi="Times New Roman" w:cs="Times New Roman"/>
                <w:color w:val="auto"/>
                <w:lang w:eastAsia="pl-PL"/>
              </w:rPr>
              <w:t>Instytucje pomocy społecznej, w tym:</w:t>
            </w:r>
          </w:p>
        </w:tc>
        <w:tc>
          <w:tcPr>
            <w:tcW w:w="3066" w:type="dxa"/>
            <w:shd w:val="clear" w:color="auto" w:fill="9CC2E5" w:themeFill="accent1" w:themeFillTint="99"/>
          </w:tcPr>
          <w:p w14:paraId="1D3182AA"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8457FA">
              <w:rPr>
                <w:rFonts w:ascii="Times New Roman" w:hAnsi="Times New Roman" w:cs="Times New Roman"/>
                <w:b/>
                <w:color w:val="auto"/>
              </w:rPr>
              <w:t>Rodzaj placówki</w:t>
            </w:r>
          </w:p>
        </w:tc>
        <w:tc>
          <w:tcPr>
            <w:tcW w:w="2948" w:type="dxa"/>
            <w:gridSpan w:val="3"/>
            <w:shd w:val="clear" w:color="auto" w:fill="9CC2E5" w:themeFill="accent1" w:themeFillTint="99"/>
          </w:tcPr>
          <w:p w14:paraId="0F6E7CD1"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8457FA">
              <w:rPr>
                <w:rFonts w:ascii="Times New Roman" w:hAnsi="Times New Roman" w:cs="Times New Roman"/>
                <w:b/>
                <w:color w:val="auto"/>
              </w:rPr>
              <w:t>Liczba placówek</w:t>
            </w:r>
          </w:p>
        </w:tc>
        <w:tc>
          <w:tcPr>
            <w:tcW w:w="2948" w:type="dxa"/>
            <w:gridSpan w:val="3"/>
            <w:shd w:val="clear" w:color="auto" w:fill="9CC2E5" w:themeFill="accent1" w:themeFillTint="99"/>
          </w:tcPr>
          <w:p w14:paraId="1CB7153A"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8457FA">
              <w:rPr>
                <w:rFonts w:ascii="Times New Roman" w:hAnsi="Times New Roman" w:cs="Times New Roman"/>
                <w:b/>
                <w:color w:val="auto"/>
              </w:rPr>
              <w:t>Liczba miejsc dla osób starszych</w:t>
            </w:r>
          </w:p>
        </w:tc>
        <w:tc>
          <w:tcPr>
            <w:tcW w:w="2775" w:type="dxa"/>
            <w:shd w:val="clear" w:color="auto" w:fill="9CC2E5" w:themeFill="accent1" w:themeFillTint="99"/>
          </w:tcPr>
          <w:p w14:paraId="36B6077F"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korzystających osób starszych</w:t>
            </w:r>
          </w:p>
        </w:tc>
      </w:tr>
      <w:tr w:rsidR="008457FA" w:rsidRPr="008457FA" w14:paraId="4D688CD2"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F7204F4"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1434DC9C"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Ośrodki wsparcia ogółem</w:t>
            </w:r>
          </w:p>
        </w:tc>
        <w:tc>
          <w:tcPr>
            <w:tcW w:w="2948" w:type="dxa"/>
            <w:gridSpan w:val="3"/>
            <w:shd w:val="clear" w:color="auto" w:fill="FFFFFF" w:themeFill="background1"/>
          </w:tcPr>
          <w:p w14:paraId="4B0017F9"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p>
        </w:tc>
        <w:tc>
          <w:tcPr>
            <w:tcW w:w="2948" w:type="dxa"/>
            <w:gridSpan w:val="3"/>
            <w:shd w:val="clear" w:color="auto" w:fill="FFFFFF" w:themeFill="background1"/>
          </w:tcPr>
          <w:p w14:paraId="5DA49A59"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p>
        </w:tc>
        <w:tc>
          <w:tcPr>
            <w:tcW w:w="2775" w:type="dxa"/>
            <w:shd w:val="clear" w:color="auto" w:fill="FFFFFF" w:themeFill="background1"/>
          </w:tcPr>
          <w:p w14:paraId="0EC241F2"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p>
        </w:tc>
      </w:tr>
      <w:tr w:rsidR="008457FA" w:rsidRPr="008457FA" w14:paraId="3E769D13"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EEF3F10"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11737" w:type="dxa"/>
            <w:gridSpan w:val="8"/>
            <w:shd w:val="clear" w:color="auto" w:fill="FFFFFF" w:themeFill="background1"/>
          </w:tcPr>
          <w:p w14:paraId="7B531C6E"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color w:val="auto"/>
              </w:rPr>
              <w:t>w tym:</w:t>
            </w:r>
          </w:p>
        </w:tc>
      </w:tr>
      <w:tr w:rsidR="008457FA" w:rsidRPr="008457FA" w14:paraId="7C95B688"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774B825"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03C93FE8"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Środowiskowe Domy Samopomocy</w:t>
            </w:r>
          </w:p>
        </w:tc>
        <w:tc>
          <w:tcPr>
            <w:tcW w:w="2948" w:type="dxa"/>
            <w:gridSpan w:val="3"/>
            <w:shd w:val="clear" w:color="auto" w:fill="FFFFFF" w:themeFill="background1"/>
          </w:tcPr>
          <w:p w14:paraId="5AA5604D"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69</w:t>
            </w:r>
          </w:p>
        </w:tc>
        <w:tc>
          <w:tcPr>
            <w:tcW w:w="2948" w:type="dxa"/>
            <w:gridSpan w:val="3"/>
            <w:shd w:val="clear" w:color="auto" w:fill="FFFFFF" w:themeFill="background1"/>
          </w:tcPr>
          <w:p w14:paraId="156C4C95" w14:textId="77777777" w:rsidR="005D2A2C" w:rsidRPr="00AB0E9E" w:rsidRDefault="008E37CE"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 xml:space="preserve">2 </w:t>
            </w:r>
            <w:r w:rsidR="005D2A2C" w:rsidRPr="00AB0E9E">
              <w:rPr>
                <w:rFonts w:ascii="Times New Roman" w:hAnsi="Times New Roman" w:cs="Times New Roman"/>
                <w:color w:val="auto"/>
              </w:rPr>
              <w:t>654</w:t>
            </w:r>
          </w:p>
          <w:p w14:paraId="76C2A51A"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miejsca statutowe</w:t>
            </w:r>
          </w:p>
        </w:tc>
        <w:tc>
          <w:tcPr>
            <w:tcW w:w="2775" w:type="dxa"/>
            <w:shd w:val="clear" w:color="auto" w:fill="FFFFFF" w:themeFill="background1"/>
          </w:tcPr>
          <w:p w14:paraId="2444C065"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542</w:t>
            </w:r>
          </w:p>
        </w:tc>
      </w:tr>
      <w:tr w:rsidR="008457FA" w:rsidRPr="008457FA" w14:paraId="691173DA"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688896D"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0F0CE48E"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Dzienne Domy Pomocy</w:t>
            </w:r>
          </w:p>
        </w:tc>
        <w:tc>
          <w:tcPr>
            <w:tcW w:w="2948" w:type="dxa"/>
            <w:gridSpan w:val="3"/>
            <w:shd w:val="clear" w:color="auto" w:fill="FFFFFF" w:themeFill="background1"/>
          </w:tcPr>
          <w:p w14:paraId="7CA8D9C6"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8</w:t>
            </w:r>
          </w:p>
        </w:tc>
        <w:tc>
          <w:tcPr>
            <w:tcW w:w="2948" w:type="dxa"/>
            <w:gridSpan w:val="3"/>
            <w:shd w:val="clear" w:color="auto" w:fill="FFFFFF" w:themeFill="background1"/>
          </w:tcPr>
          <w:p w14:paraId="74B777FD"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214</w:t>
            </w:r>
          </w:p>
        </w:tc>
        <w:tc>
          <w:tcPr>
            <w:tcW w:w="2775" w:type="dxa"/>
            <w:shd w:val="clear" w:color="auto" w:fill="FFFFFF" w:themeFill="background1"/>
          </w:tcPr>
          <w:p w14:paraId="3D8316E0"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227</w:t>
            </w:r>
          </w:p>
        </w:tc>
      </w:tr>
      <w:tr w:rsidR="008457FA" w:rsidRPr="008457FA" w14:paraId="6BA05EE7"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D966249"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6D458087"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Noclegownie, schroniska i domy dla osób bezdomnych</w:t>
            </w:r>
          </w:p>
        </w:tc>
        <w:tc>
          <w:tcPr>
            <w:tcW w:w="2948" w:type="dxa"/>
            <w:gridSpan w:val="3"/>
            <w:shd w:val="clear" w:color="auto" w:fill="FFFFFF" w:themeFill="background1"/>
          </w:tcPr>
          <w:p w14:paraId="1E60BE78"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23</w:t>
            </w:r>
          </w:p>
        </w:tc>
        <w:tc>
          <w:tcPr>
            <w:tcW w:w="2948" w:type="dxa"/>
            <w:gridSpan w:val="3"/>
            <w:shd w:val="clear" w:color="auto" w:fill="FFFFFF" w:themeFill="background1"/>
          </w:tcPr>
          <w:p w14:paraId="0077CC27"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839</w:t>
            </w:r>
          </w:p>
          <w:p w14:paraId="0EDF9D62"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miejsca statutowe</w:t>
            </w:r>
          </w:p>
        </w:tc>
        <w:tc>
          <w:tcPr>
            <w:tcW w:w="2775" w:type="dxa"/>
            <w:shd w:val="clear" w:color="auto" w:fill="FFFFFF" w:themeFill="background1"/>
          </w:tcPr>
          <w:p w14:paraId="33A56855"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532</w:t>
            </w:r>
          </w:p>
        </w:tc>
      </w:tr>
      <w:tr w:rsidR="008457FA" w:rsidRPr="008457FA" w14:paraId="5C177D6A"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265BA32"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13A4CC2F"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Ogrzewalnie</w:t>
            </w:r>
          </w:p>
        </w:tc>
        <w:tc>
          <w:tcPr>
            <w:tcW w:w="2948" w:type="dxa"/>
            <w:gridSpan w:val="3"/>
            <w:shd w:val="clear" w:color="auto" w:fill="FFFFFF" w:themeFill="background1"/>
          </w:tcPr>
          <w:p w14:paraId="3439ED83"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3</w:t>
            </w:r>
          </w:p>
        </w:tc>
        <w:tc>
          <w:tcPr>
            <w:tcW w:w="2948" w:type="dxa"/>
            <w:gridSpan w:val="3"/>
            <w:shd w:val="clear" w:color="auto" w:fill="FFFFFF" w:themeFill="background1"/>
          </w:tcPr>
          <w:p w14:paraId="2D597B2E"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25</w:t>
            </w:r>
          </w:p>
          <w:p w14:paraId="5CD75D37"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miejsca statutowe</w:t>
            </w:r>
          </w:p>
        </w:tc>
        <w:tc>
          <w:tcPr>
            <w:tcW w:w="2775" w:type="dxa"/>
            <w:shd w:val="clear" w:color="auto" w:fill="FFFFFF" w:themeFill="background1"/>
          </w:tcPr>
          <w:p w14:paraId="4D1FE816"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68</w:t>
            </w:r>
          </w:p>
        </w:tc>
      </w:tr>
      <w:tr w:rsidR="008457FA" w:rsidRPr="008457FA" w14:paraId="26FD6AE3"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C333B28"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2471135F"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Kluby Samopomocy</w:t>
            </w:r>
          </w:p>
        </w:tc>
        <w:tc>
          <w:tcPr>
            <w:tcW w:w="2948" w:type="dxa"/>
            <w:gridSpan w:val="3"/>
            <w:shd w:val="clear" w:color="auto" w:fill="FFFFFF" w:themeFill="background1"/>
          </w:tcPr>
          <w:p w14:paraId="2100F2F0"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1</w:t>
            </w:r>
          </w:p>
        </w:tc>
        <w:tc>
          <w:tcPr>
            <w:tcW w:w="2948" w:type="dxa"/>
            <w:gridSpan w:val="3"/>
            <w:shd w:val="clear" w:color="auto" w:fill="FFFFFF" w:themeFill="background1"/>
          </w:tcPr>
          <w:p w14:paraId="3C74A958"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27</w:t>
            </w:r>
          </w:p>
          <w:p w14:paraId="62916BBC"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miejsca statutowe</w:t>
            </w:r>
          </w:p>
        </w:tc>
        <w:tc>
          <w:tcPr>
            <w:tcW w:w="2775" w:type="dxa"/>
            <w:shd w:val="clear" w:color="auto" w:fill="FFFFFF" w:themeFill="background1"/>
          </w:tcPr>
          <w:p w14:paraId="7FDEF22B"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brak danych</w:t>
            </w:r>
          </w:p>
        </w:tc>
      </w:tr>
      <w:tr w:rsidR="008457FA" w:rsidRPr="008457FA" w14:paraId="5FDD9842"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2FA4554"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36429091"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eastAsia="Calibri" w:hAnsi="Times New Roman" w:cs="Times New Roman"/>
                <w:color w:val="auto"/>
              </w:rPr>
              <w:t>Placówki zapewniające całodobową opiekę osobom niepełnosprawnym, przewlekle chorym lub osobom w podeszłym wieku</w:t>
            </w:r>
          </w:p>
        </w:tc>
        <w:tc>
          <w:tcPr>
            <w:tcW w:w="2948" w:type="dxa"/>
            <w:gridSpan w:val="3"/>
            <w:shd w:val="clear" w:color="auto" w:fill="FFFFFF" w:themeFill="background1"/>
          </w:tcPr>
          <w:p w14:paraId="32B0D77A"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10</w:t>
            </w:r>
          </w:p>
        </w:tc>
        <w:tc>
          <w:tcPr>
            <w:tcW w:w="2948" w:type="dxa"/>
            <w:gridSpan w:val="3"/>
            <w:shd w:val="clear" w:color="auto" w:fill="FFFFFF" w:themeFill="background1"/>
          </w:tcPr>
          <w:p w14:paraId="45474421"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383</w:t>
            </w:r>
          </w:p>
          <w:p w14:paraId="5A0D738A"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liczba miejsc ogółem</w:t>
            </w:r>
          </w:p>
        </w:tc>
        <w:tc>
          <w:tcPr>
            <w:tcW w:w="2775" w:type="dxa"/>
            <w:shd w:val="clear" w:color="auto" w:fill="FFFFFF" w:themeFill="background1"/>
          </w:tcPr>
          <w:p w14:paraId="51164EE5"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brak danych</w:t>
            </w:r>
          </w:p>
        </w:tc>
      </w:tr>
      <w:tr w:rsidR="008457FA" w:rsidRPr="008457FA" w14:paraId="3131EAFD"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326F97C"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193DFE43"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Domy Pomocy Społecznej</w:t>
            </w:r>
          </w:p>
        </w:tc>
        <w:tc>
          <w:tcPr>
            <w:tcW w:w="2948" w:type="dxa"/>
            <w:gridSpan w:val="3"/>
            <w:shd w:val="clear" w:color="auto" w:fill="FFFFFF" w:themeFill="background1"/>
          </w:tcPr>
          <w:p w14:paraId="7A501F9C"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51</w:t>
            </w:r>
          </w:p>
        </w:tc>
        <w:tc>
          <w:tcPr>
            <w:tcW w:w="2948" w:type="dxa"/>
            <w:gridSpan w:val="3"/>
            <w:shd w:val="clear" w:color="auto" w:fill="FFFFFF" w:themeFill="background1"/>
          </w:tcPr>
          <w:p w14:paraId="6ED9AA9D" w14:textId="77777777" w:rsidR="005D2A2C" w:rsidRPr="00AB0E9E" w:rsidRDefault="008E37CE"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 xml:space="preserve">4 </w:t>
            </w:r>
            <w:r w:rsidR="005D2A2C" w:rsidRPr="00AB0E9E">
              <w:rPr>
                <w:rFonts w:ascii="Times New Roman" w:hAnsi="Times New Roman" w:cs="Times New Roman"/>
                <w:color w:val="auto"/>
              </w:rPr>
              <w:t>840</w:t>
            </w:r>
          </w:p>
          <w:p w14:paraId="2F734E7C"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lastRenderedPageBreak/>
              <w:t>liczba miejsc ogółem</w:t>
            </w:r>
          </w:p>
        </w:tc>
        <w:tc>
          <w:tcPr>
            <w:tcW w:w="2775" w:type="dxa"/>
            <w:shd w:val="clear" w:color="auto" w:fill="FFFFFF" w:themeFill="background1"/>
          </w:tcPr>
          <w:p w14:paraId="7596B1DA" w14:textId="77777777" w:rsidR="005D2A2C" w:rsidRPr="00AB0E9E" w:rsidRDefault="008E37CE"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lastRenderedPageBreak/>
              <w:t xml:space="preserve">2 </w:t>
            </w:r>
            <w:r w:rsidR="005D2A2C" w:rsidRPr="00AB0E9E">
              <w:rPr>
                <w:rFonts w:ascii="Times New Roman" w:hAnsi="Times New Roman" w:cs="Times New Roman"/>
                <w:color w:val="auto"/>
              </w:rPr>
              <w:t>976</w:t>
            </w:r>
          </w:p>
        </w:tc>
      </w:tr>
      <w:tr w:rsidR="008457FA" w:rsidRPr="008457FA" w14:paraId="5BBB1E89"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310A9E0"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1151D889"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Mieszkania chronione ogółem</w:t>
            </w:r>
          </w:p>
        </w:tc>
        <w:tc>
          <w:tcPr>
            <w:tcW w:w="2948" w:type="dxa"/>
            <w:gridSpan w:val="3"/>
            <w:shd w:val="clear" w:color="auto" w:fill="FFFFFF" w:themeFill="background1"/>
          </w:tcPr>
          <w:p w14:paraId="0BECB14D"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30</w:t>
            </w:r>
          </w:p>
        </w:tc>
        <w:tc>
          <w:tcPr>
            <w:tcW w:w="2948" w:type="dxa"/>
            <w:gridSpan w:val="3"/>
            <w:shd w:val="clear" w:color="auto" w:fill="FFFFFF" w:themeFill="background1"/>
          </w:tcPr>
          <w:p w14:paraId="125A8CED"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86</w:t>
            </w:r>
          </w:p>
          <w:p w14:paraId="36DD0B2F"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liczba miejsc ogółem</w:t>
            </w:r>
          </w:p>
        </w:tc>
        <w:tc>
          <w:tcPr>
            <w:tcW w:w="2775" w:type="dxa"/>
            <w:shd w:val="clear" w:color="auto" w:fill="FFFFFF" w:themeFill="background1"/>
          </w:tcPr>
          <w:p w14:paraId="5902CE8F"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10</w:t>
            </w:r>
          </w:p>
        </w:tc>
      </w:tr>
      <w:tr w:rsidR="008457FA" w:rsidRPr="008457FA" w14:paraId="5543E962"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48F5EC3"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7B333561"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Ośrodki Interwencji Kryzysowej ogółem</w:t>
            </w:r>
          </w:p>
        </w:tc>
        <w:tc>
          <w:tcPr>
            <w:tcW w:w="2948" w:type="dxa"/>
            <w:gridSpan w:val="3"/>
            <w:shd w:val="clear" w:color="auto" w:fill="FFFFFF" w:themeFill="background1"/>
          </w:tcPr>
          <w:p w14:paraId="7693C292"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20</w:t>
            </w:r>
          </w:p>
          <w:p w14:paraId="1D9C5074"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(w tym 5 Punktów Interwencji Kryzysowej)</w:t>
            </w:r>
          </w:p>
        </w:tc>
        <w:tc>
          <w:tcPr>
            <w:tcW w:w="2948" w:type="dxa"/>
            <w:gridSpan w:val="3"/>
            <w:shd w:val="clear" w:color="auto" w:fill="FFFFFF" w:themeFill="background1"/>
          </w:tcPr>
          <w:p w14:paraId="10C73DE5"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109</w:t>
            </w:r>
          </w:p>
          <w:p w14:paraId="469E462B"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liczba miejsc ogółem</w:t>
            </w:r>
          </w:p>
        </w:tc>
        <w:tc>
          <w:tcPr>
            <w:tcW w:w="2775" w:type="dxa"/>
            <w:shd w:val="clear" w:color="auto" w:fill="FFFFFF" w:themeFill="background1"/>
          </w:tcPr>
          <w:p w14:paraId="40F6C081"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59</w:t>
            </w:r>
          </w:p>
        </w:tc>
      </w:tr>
      <w:tr w:rsidR="008457FA" w:rsidRPr="008457FA" w14:paraId="7070B6BF"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95D2A3F"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762A7DF6"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Jednostki specjalistycznego poradnictwa</w:t>
            </w:r>
          </w:p>
        </w:tc>
        <w:tc>
          <w:tcPr>
            <w:tcW w:w="2948" w:type="dxa"/>
            <w:gridSpan w:val="3"/>
            <w:shd w:val="clear" w:color="auto" w:fill="FFFFFF" w:themeFill="background1"/>
          </w:tcPr>
          <w:p w14:paraId="572F46B8"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45</w:t>
            </w:r>
          </w:p>
        </w:tc>
        <w:tc>
          <w:tcPr>
            <w:tcW w:w="2948" w:type="dxa"/>
            <w:gridSpan w:val="3"/>
            <w:shd w:val="clear" w:color="auto" w:fill="FFFFFF" w:themeFill="background1"/>
          </w:tcPr>
          <w:p w14:paraId="4BB8E087"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nie dotyczy</w:t>
            </w:r>
          </w:p>
        </w:tc>
        <w:tc>
          <w:tcPr>
            <w:tcW w:w="2775" w:type="dxa"/>
            <w:shd w:val="clear" w:color="auto" w:fill="FFFFFF" w:themeFill="background1"/>
          </w:tcPr>
          <w:p w14:paraId="0E8A7329"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841</w:t>
            </w:r>
          </w:p>
        </w:tc>
      </w:tr>
      <w:tr w:rsidR="008457FA" w:rsidRPr="008457FA" w14:paraId="58FB9B9F"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D5B776D"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49016724"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Placówki Senior+, w tym:</w:t>
            </w:r>
          </w:p>
        </w:tc>
        <w:tc>
          <w:tcPr>
            <w:tcW w:w="8671" w:type="dxa"/>
            <w:gridSpan w:val="7"/>
            <w:shd w:val="clear" w:color="auto" w:fill="FFFFFF" w:themeFill="background1"/>
          </w:tcPr>
          <w:p w14:paraId="55DEA20C"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52</w:t>
            </w:r>
          </w:p>
        </w:tc>
      </w:tr>
      <w:tr w:rsidR="008457FA" w:rsidRPr="008457FA" w14:paraId="6AB5B5C1"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78E06DE"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2EAA3FE7"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Domy Dziennego Pobytu</w:t>
            </w:r>
          </w:p>
        </w:tc>
        <w:tc>
          <w:tcPr>
            <w:tcW w:w="2948" w:type="dxa"/>
            <w:gridSpan w:val="3"/>
            <w:shd w:val="clear" w:color="auto" w:fill="FFFFFF" w:themeFill="background1"/>
          </w:tcPr>
          <w:p w14:paraId="54623ECF"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27</w:t>
            </w:r>
          </w:p>
        </w:tc>
        <w:tc>
          <w:tcPr>
            <w:tcW w:w="2948" w:type="dxa"/>
            <w:gridSpan w:val="3"/>
            <w:shd w:val="clear" w:color="auto" w:fill="FFFFFF" w:themeFill="background1"/>
          </w:tcPr>
          <w:p w14:paraId="58106663"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640</w:t>
            </w:r>
          </w:p>
        </w:tc>
        <w:tc>
          <w:tcPr>
            <w:tcW w:w="2775" w:type="dxa"/>
            <w:shd w:val="clear" w:color="auto" w:fill="FFFFFF" w:themeFill="background1"/>
          </w:tcPr>
          <w:p w14:paraId="0834BFFB"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669</w:t>
            </w:r>
          </w:p>
        </w:tc>
      </w:tr>
      <w:tr w:rsidR="008457FA" w:rsidRPr="008457FA" w14:paraId="329CE813" w14:textId="77777777" w:rsidTr="00E86509">
        <w:trPr>
          <w:trHeight w:val="85"/>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80AA872"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2BECF681"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Kluby Senior+</w:t>
            </w:r>
          </w:p>
        </w:tc>
        <w:tc>
          <w:tcPr>
            <w:tcW w:w="2948" w:type="dxa"/>
            <w:gridSpan w:val="3"/>
            <w:shd w:val="clear" w:color="auto" w:fill="FFFFFF" w:themeFill="background1"/>
          </w:tcPr>
          <w:p w14:paraId="3CB98B94"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25</w:t>
            </w:r>
          </w:p>
        </w:tc>
        <w:tc>
          <w:tcPr>
            <w:tcW w:w="2948" w:type="dxa"/>
            <w:gridSpan w:val="3"/>
            <w:shd w:val="clear" w:color="auto" w:fill="FFFFFF" w:themeFill="background1"/>
          </w:tcPr>
          <w:p w14:paraId="352C8901"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612</w:t>
            </w:r>
          </w:p>
        </w:tc>
        <w:tc>
          <w:tcPr>
            <w:tcW w:w="2775" w:type="dxa"/>
            <w:shd w:val="clear" w:color="auto" w:fill="FFFFFF" w:themeFill="background1"/>
          </w:tcPr>
          <w:p w14:paraId="0890B5D9" w14:textId="77777777" w:rsidR="005D2A2C" w:rsidRPr="00AB0E9E"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706</w:t>
            </w:r>
          </w:p>
        </w:tc>
      </w:tr>
      <w:tr w:rsidR="008457FA" w:rsidRPr="008457FA" w14:paraId="1C635038"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87FFB1E" w14:textId="77777777" w:rsidR="005D2A2C" w:rsidRPr="008457FA" w:rsidRDefault="005D2A2C" w:rsidP="00E86509">
            <w:pPr>
              <w:spacing w:after="0" w:line="240" w:lineRule="auto"/>
              <w:rPr>
                <w:rFonts w:ascii="Times New Roman" w:eastAsia="Times New Roman" w:hAnsi="Times New Roman" w:cs="Times New Roman"/>
                <w:color w:val="auto"/>
                <w:lang w:eastAsia="pl-PL"/>
              </w:rPr>
            </w:pPr>
          </w:p>
        </w:tc>
        <w:tc>
          <w:tcPr>
            <w:tcW w:w="3066" w:type="dxa"/>
            <w:shd w:val="clear" w:color="auto" w:fill="FFFFFF" w:themeFill="background1"/>
          </w:tcPr>
          <w:p w14:paraId="70D17C0C"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Hospicja stacjonarne</w:t>
            </w:r>
          </w:p>
        </w:tc>
        <w:tc>
          <w:tcPr>
            <w:tcW w:w="2948" w:type="dxa"/>
            <w:gridSpan w:val="3"/>
            <w:shd w:val="clear" w:color="auto" w:fill="FFFFFF" w:themeFill="background1"/>
          </w:tcPr>
          <w:p w14:paraId="2F90C382"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13</w:t>
            </w:r>
          </w:p>
        </w:tc>
        <w:tc>
          <w:tcPr>
            <w:tcW w:w="2948" w:type="dxa"/>
            <w:gridSpan w:val="3"/>
            <w:shd w:val="clear" w:color="auto" w:fill="FFFFFF" w:themeFill="background1"/>
          </w:tcPr>
          <w:p w14:paraId="5FA92279"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293</w:t>
            </w:r>
          </w:p>
          <w:p w14:paraId="769C6A66"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liczba miejsc ogółem</w:t>
            </w:r>
          </w:p>
        </w:tc>
        <w:tc>
          <w:tcPr>
            <w:tcW w:w="2775" w:type="dxa"/>
            <w:shd w:val="clear" w:color="auto" w:fill="FFFFFF" w:themeFill="background1"/>
          </w:tcPr>
          <w:p w14:paraId="69AAC137"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1</w:t>
            </w:r>
            <w:r w:rsidR="008E37CE" w:rsidRPr="00AB0E9E">
              <w:rPr>
                <w:rFonts w:ascii="Times New Roman" w:hAnsi="Times New Roman" w:cs="Times New Roman"/>
                <w:color w:val="auto"/>
              </w:rPr>
              <w:t xml:space="preserve"> </w:t>
            </w:r>
            <w:r w:rsidRPr="00AB0E9E">
              <w:rPr>
                <w:rFonts w:ascii="Times New Roman" w:hAnsi="Times New Roman" w:cs="Times New Roman"/>
                <w:color w:val="auto"/>
              </w:rPr>
              <w:t>996</w:t>
            </w:r>
          </w:p>
          <w:p w14:paraId="56C3460D" w14:textId="77777777" w:rsidR="005D2A2C" w:rsidRPr="00AB0E9E"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color w:val="auto"/>
              </w:rPr>
              <w:t>(sprawozdanie MZ 29, bez podziału na grupy wiekowe)</w:t>
            </w:r>
          </w:p>
        </w:tc>
      </w:tr>
      <w:tr w:rsidR="008457FA" w:rsidRPr="008457FA" w14:paraId="1D8C7448" w14:textId="77777777" w:rsidTr="00E86509">
        <w:trPr>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909329C"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r w:rsidRPr="008457FA">
              <w:rPr>
                <w:rFonts w:ascii="Times New Roman" w:eastAsia="Times New Roman" w:hAnsi="Times New Roman" w:cs="Times New Roman"/>
                <w:color w:val="auto"/>
                <w:lang w:eastAsia="pl-PL"/>
              </w:rPr>
              <w:t>Usługi świadczone osobom starszym</w:t>
            </w:r>
          </w:p>
        </w:tc>
        <w:tc>
          <w:tcPr>
            <w:tcW w:w="3119" w:type="dxa"/>
            <w:gridSpan w:val="2"/>
            <w:shd w:val="clear" w:color="auto" w:fill="9CC2E5" w:themeFill="accent1" w:themeFillTint="99"/>
          </w:tcPr>
          <w:p w14:paraId="60E76256"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Rodzaj usług</w:t>
            </w:r>
          </w:p>
        </w:tc>
        <w:tc>
          <w:tcPr>
            <w:tcW w:w="3685" w:type="dxa"/>
            <w:gridSpan w:val="3"/>
            <w:shd w:val="clear" w:color="auto" w:fill="9CC2E5" w:themeFill="accent1" w:themeFillTint="99"/>
          </w:tcPr>
          <w:p w14:paraId="27B46B04"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osób starszych objętych pomocą</w:t>
            </w:r>
          </w:p>
        </w:tc>
        <w:tc>
          <w:tcPr>
            <w:tcW w:w="4933" w:type="dxa"/>
            <w:gridSpan w:val="3"/>
            <w:shd w:val="clear" w:color="auto" w:fill="9CC2E5" w:themeFill="accent1" w:themeFillTint="99"/>
          </w:tcPr>
          <w:p w14:paraId="4F7A2FE6"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Wysokość środków przeznaczonych na usługi</w:t>
            </w:r>
          </w:p>
        </w:tc>
      </w:tr>
      <w:tr w:rsidR="008457FA" w:rsidRPr="008457FA" w14:paraId="28647AAD" w14:textId="77777777" w:rsidTr="00E8650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055ACF3"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tcPr>
          <w:p w14:paraId="61D8A1FE" w14:textId="1A231CAD" w:rsidR="005D2A2C" w:rsidRPr="008457FA" w:rsidRDefault="00FA251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Usługi o</w:t>
            </w:r>
            <w:r w:rsidR="005D2A2C" w:rsidRPr="008457FA">
              <w:rPr>
                <w:rFonts w:ascii="Times New Roman" w:hAnsi="Times New Roman" w:cs="Times New Roman"/>
                <w:color w:val="auto"/>
              </w:rPr>
              <w:t>piekuńcze ogółem</w:t>
            </w:r>
          </w:p>
        </w:tc>
        <w:tc>
          <w:tcPr>
            <w:tcW w:w="3685" w:type="dxa"/>
            <w:gridSpan w:val="3"/>
          </w:tcPr>
          <w:p w14:paraId="4ECB848F"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4.902</w:t>
            </w:r>
          </w:p>
        </w:tc>
        <w:tc>
          <w:tcPr>
            <w:tcW w:w="4933" w:type="dxa"/>
            <w:gridSpan w:val="3"/>
          </w:tcPr>
          <w:p w14:paraId="70A94261" w14:textId="77777777" w:rsidR="005D2A2C" w:rsidRPr="008457FA" w:rsidRDefault="008E37CE"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40 516 </w:t>
            </w:r>
            <w:r w:rsidR="005D2A2C" w:rsidRPr="008457FA">
              <w:rPr>
                <w:rFonts w:ascii="Times New Roman" w:hAnsi="Times New Roman" w:cs="Times New Roman"/>
                <w:color w:val="auto"/>
              </w:rPr>
              <w:t>859 zł</w:t>
            </w:r>
          </w:p>
        </w:tc>
      </w:tr>
      <w:tr w:rsidR="00AB0E9E" w:rsidRPr="008457FA" w14:paraId="23A340DE" w14:textId="77777777" w:rsidTr="00E86509">
        <w:trPr>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1C30701" w14:textId="77777777" w:rsidR="00AB0E9E" w:rsidRPr="008457FA" w:rsidRDefault="00AB0E9E" w:rsidP="00E86509">
            <w:pPr>
              <w:spacing w:after="0" w:line="240" w:lineRule="auto"/>
              <w:rPr>
                <w:rFonts w:ascii="Times New Roman" w:eastAsia="Times New Roman" w:hAnsi="Times New Roman" w:cs="Times New Roman"/>
                <w:b w:val="0"/>
                <w:bCs w:val="0"/>
                <w:color w:val="auto"/>
                <w:lang w:eastAsia="pl-PL"/>
              </w:rPr>
            </w:pPr>
          </w:p>
        </w:tc>
        <w:tc>
          <w:tcPr>
            <w:tcW w:w="11737" w:type="dxa"/>
            <w:gridSpan w:val="8"/>
            <w:shd w:val="clear" w:color="auto" w:fill="9CC2E5" w:themeFill="accent1" w:themeFillTint="99"/>
          </w:tcPr>
          <w:p w14:paraId="21F08822" w14:textId="77777777" w:rsidR="00AB0E9E" w:rsidRPr="008457FA" w:rsidRDefault="00AB0E9E"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w tym:</w:t>
            </w:r>
          </w:p>
        </w:tc>
      </w:tr>
      <w:tr w:rsidR="008457FA" w:rsidRPr="008457FA" w14:paraId="791C1A10" w14:textId="77777777" w:rsidTr="00E8650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8FC472F"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1143BB4E" w14:textId="0ED529F2" w:rsidR="005D2A2C" w:rsidRPr="008457FA" w:rsidRDefault="00FA2510"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s</w:t>
            </w:r>
            <w:r w:rsidR="005D2A2C" w:rsidRPr="008457FA">
              <w:rPr>
                <w:rFonts w:ascii="Times New Roman" w:hAnsi="Times New Roman" w:cs="Times New Roman"/>
                <w:color w:val="auto"/>
              </w:rPr>
              <w:t xml:space="preserve">pecjalistyczne </w:t>
            </w:r>
            <w:r>
              <w:rPr>
                <w:rFonts w:ascii="Times New Roman" w:hAnsi="Times New Roman" w:cs="Times New Roman"/>
                <w:color w:val="auto"/>
              </w:rPr>
              <w:t xml:space="preserve">usługi </w:t>
            </w:r>
            <w:r w:rsidR="005D2A2C" w:rsidRPr="008457FA">
              <w:rPr>
                <w:rFonts w:ascii="Times New Roman" w:hAnsi="Times New Roman" w:cs="Times New Roman"/>
                <w:color w:val="auto"/>
              </w:rPr>
              <w:t>opiekuńcze</w:t>
            </w:r>
          </w:p>
        </w:tc>
        <w:tc>
          <w:tcPr>
            <w:tcW w:w="3685" w:type="dxa"/>
            <w:gridSpan w:val="3"/>
            <w:shd w:val="clear" w:color="auto" w:fill="FFFFFF" w:themeFill="background1"/>
          </w:tcPr>
          <w:p w14:paraId="6E756205"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77</w:t>
            </w:r>
          </w:p>
        </w:tc>
        <w:tc>
          <w:tcPr>
            <w:tcW w:w="4933" w:type="dxa"/>
            <w:gridSpan w:val="3"/>
            <w:shd w:val="clear" w:color="auto" w:fill="FFFFFF" w:themeFill="background1"/>
          </w:tcPr>
          <w:p w14:paraId="283E4CFC" w14:textId="77777777" w:rsidR="005D2A2C" w:rsidRPr="008457FA" w:rsidRDefault="008E37CE"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490 </w:t>
            </w:r>
            <w:r w:rsidR="005D2A2C" w:rsidRPr="008457FA">
              <w:rPr>
                <w:rFonts w:ascii="Times New Roman" w:hAnsi="Times New Roman" w:cs="Times New Roman"/>
                <w:color w:val="auto"/>
              </w:rPr>
              <w:t>387 zł</w:t>
            </w:r>
          </w:p>
        </w:tc>
      </w:tr>
      <w:tr w:rsidR="008457FA" w:rsidRPr="008457FA" w14:paraId="23F84A82"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620D2B2"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743FCC4E" w14:textId="4DC25914" w:rsidR="005D2A2C" w:rsidRPr="008457FA" w:rsidRDefault="00FA2510"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s</w:t>
            </w:r>
            <w:r w:rsidR="005D2A2C" w:rsidRPr="008457FA">
              <w:rPr>
                <w:rFonts w:ascii="Times New Roman" w:hAnsi="Times New Roman" w:cs="Times New Roman"/>
                <w:color w:val="auto"/>
              </w:rPr>
              <w:t xml:space="preserve">pecjalistyczne usługi </w:t>
            </w:r>
            <w:r>
              <w:rPr>
                <w:rFonts w:ascii="Times New Roman" w:hAnsi="Times New Roman" w:cs="Times New Roman"/>
                <w:color w:val="auto"/>
              </w:rPr>
              <w:t xml:space="preserve">opiekuńcze w miejscu zamieszkania </w:t>
            </w:r>
            <w:r w:rsidR="005D2A2C" w:rsidRPr="008457FA">
              <w:rPr>
                <w:rFonts w:ascii="Times New Roman" w:hAnsi="Times New Roman" w:cs="Times New Roman"/>
                <w:color w:val="auto"/>
              </w:rPr>
              <w:t>dla osób z zaburzeniami psychicznymi</w:t>
            </w:r>
          </w:p>
        </w:tc>
        <w:tc>
          <w:tcPr>
            <w:tcW w:w="3685" w:type="dxa"/>
            <w:gridSpan w:val="3"/>
            <w:shd w:val="clear" w:color="auto" w:fill="FFFFFF" w:themeFill="background1"/>
          </w:tcPr>
          <w:p w14:paraId="4E8DBDC7" w14:textId="77777777" w:rsidR="005D2A2C" w:rsidRPr="008457FA" w:rsidRDefault="005D2A2C"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354</w:t>
            </w:r>
          </w:p>
        </w:tc>
        <w:tc>
          <w:tcPr>
            <w:tcW w:w="4933" w:type="dxa"/>
            <w:gridSpan w:val="3"/>
            <w:shd w:val="clear" w:color="auto" w:fill="FFFFFF" w:themeFill="background1"/>
          </w:tcPr>
          <w:p w14:paraId="2EB6556F" w14:textId="77777777" w:rsidR="005D2A2C" w:rsidRPr="008457FA" w:rsidRDefault="008E37CE"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3 126 </w:t>
            </w:r>
            <w:r w:rsidR="005D2A2C" w:rsidRPr="008457FA">
              <w:rPr>
                <w:rFonts w:ascii="Times New Roman" w:hAnsi="Times New Roman" w:cs="Times New Roman"/>
                <w:color w:val="auto"/>
              </w:rPr>
              <w:t>610 zł</w:t>
            </w:r>
          </w:p>
        </w:tc>
      </w:tr>
      <w:tr w:rsidR="008457FA" w:rsidRPr="008457FA" w14:paraId="1FCA1030" w14:textId="77777777" w:rsidTr="00E86509">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74F2623"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r w:rsidRPr="008457FA">
              <w:rPr>
                <w:rFonts w:ascii="Times New Roman" w:eastAsia="Times New Roman" w:hAnsi="Times New Roman" w:cs="Times New Roman"/>
                <w:color w:val="auto"/>
                <w:lang w:eastAsia="pl-PL"/>
              </w:rPr>
              <w:t>Świadczenia pieniężne przyznane osobom starszym</w:t>
            </w:r>
          </w:p>
        </w:tc>
        <w:tc>
          <w:tcPr>
            <w:tcW w:w="3119" w:type="dxa"/>
            <w:gridSpan w:val="2"/>
            <w:shd w:val="clear" w:color="auto" w:fill="9CC2E5" w:themeFill="accent1" w:themeFillTint="99"/>
          </w:tcPr>
          <w:p w14:paraId="0276B614"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Nazwa świadczenia</w:t>
            </w:r>
          </w:p>
        </w:tc>
        <w:tc>
          <w:tcPr>
            <w:tcW w:w="3685" w:type="dxa"/>
            <w:gridSpan w:val="3"/>
            <w:shd w:val="clear" w:color="auto" w:fill="9CC2E5" w:themeFill="accent1" w:themeFillTint="99"/>
          </w:tcPr>
          <w:p w14:paraId="1F33DAEF"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Liczba osób starszych</w:t>
            </w:r>
          </w:p>
        </w:tc>
        <w:tc>
          <w:tcPr>
            <w:tcW w:w="4933" w:type="dxa"/>
            <w:gridSpan w:val="3"/>
            <w:shd w:val="clear" w:color="auto" w:fill="9CC2E5" w:themeFill="accent1" w:themeFillTint="99"/>
          </w:tcPr>
          <w:p w14:paraId="2362C91D" w14:textId="77777777" w:rsidR="005D2A2C" w:rsidRPr="008457FA" w:rsidRDefault="005D2A2C"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8457FA">
              <w:rPr>
                <w:rFonts w:ascii="Times New Roman" w:hAnsi="Times New Roman" w:cs="Times New Roman"/>
                <w:b/>
                <w:color w:val="auto"/>
              </w:rPr>
              <w:t>Kwota świadczenia</w:t>
            </w:r>
          </w:p>
        </w:tc>
      </w:tr>
      <w:tr w:rsidR="008457FA" w:rsidRPr="008457FA" w14:paraId="6693E8AE"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5DBD330"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7D41926E"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Zasiłek stały</w:t>
            </w:r>
          </w:p>
        </w:tc>
        <w:tc>
          <w:tcPr>
            <w:tcW w:w="3685" w:type="dxa"/>
            <w:gridSpan w:val="3"/>
            <w:shd w:val="clear" w:color="auto" w:fill="FFFFFF" w:themeFill="background1"/>
          </w:tcPr>
          <w:p w14:paraId="579B766D" w14:textId="77777777" w:rsidR="005D2A2C" w:rsidRPr="008457FA" w:rsidRDefault="008E37CE"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3 </w:t>
            </w:r>
            <w:r w:rsidR="005D2A2C" w:rsidRPr="008457FA">
              <w:rPr>
                <w:rFonts w:ascii="Times New Roman" w:hAnsi="Times New Roman" w:cs="Times New Roman"/>
                <w:color w:val="auto"/>
              </w:rPr>
              <w:t>234</w:t>
            </w:r>
          </w:p>
        </w:tc>
        <w:tc>
          <w:tcPr>
            <w:tcW w:w="4933" w:type="dxa"/>
            <w:gridSpan w:val="3"/>
            <w:shd w:val="clear" w:color="auto" w:fill="FFFFFF" w:themeFill="background1"/>
          </w:tcPr>
          <w:p w14:paraId="021B262B" w14:textId="77777777" w:rsidR="005D2A2C" w:rsidRPr="008457FA" w:rsidRDefault="008E37CE"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17 885 </w:t>
            </w:r>
            <w:r w:rsidR="005D2A2C" w:rsidRPr="008457FA">
              <w:rPr>
                <w:rFonts w:ascii="Times New Roman" w:hAnsi="Times New Roman" w:cs="Times New Roman"/>
                <w:color w:val="auto"/>
              </w:rPr>
              <w:t>201 zł</w:t>
            </w:r>
          </w:p>
        </w:tc>
      </w:tr>
      <w:tr w:rsidR="008457FA" w:rsidRPr="008457FA" w14:paraId="33D63967"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35249BB"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16E378B5"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Zasiłek okresowy</w:t>
            </w:r>
          </w:p>
        </w:tc>
        <w:tc>
          <w:tcPr>
            <w:tcW w:w="3685" w:type="dxa"/>
            <w:gridSpan w:val="3"/>
            <w:shd w:val="clear" w:color="auto" w:fill="FFFFFF" w:themeFill="background1"/>
          </w:tcPr>
          <w:p w14:paraId="2F9A6F34" w14:textId="77777777" w:rsidR="005D2A2C" w:rsidRPr="008457FA" w:rsidRDefault="008E37CE"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2 </w:t>
            </w:r>
            <w:r w:rsidR="005D2A2C" w:rsidRPr="008457FA">
              <w:rPr>
                <w:rFonts w:ascii="Times New Roman" w:hAnsi="Times New Roman" w:cs="Times New Roman"/>
                <w:color w:val="auto"/>
              </w:rPr>
              <w:t>217</w:t>
            </w:r>
          </w:p>
        </w:tc>
        <w:tc>
          <w:tcPr>
            <w:tcW w:w="4933" w:type="dxa"/>
            <w:gridSpan w:val="3"/>
            <w:shd w:val="clear" w:color="auto" w:fill="FFFFFF" w:themeFill="background1"/>
          </w:tcPr>
          <w:p w14:paraId="52A8E140" w14:textId="77777777" w:rsidR="005D2A2C" w:rsidRPr="008457FA" w:rsidRDefault="008E37CE"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4 332 </w:t>
            </w:r>
            <w:r w:rsidR="005D2A2C" w:rsidRPr="008457FA">
              <w:rPr>
                <w:rFonts w:ascii="Times New Roman" w:hAnsi="Times New Roman" w:cs="Times New Roman"/>
                <w:color w:val="auto"/>
              </w:rPr>
              <w:t>387 zł</w:t>
            </w:r>
          </w:p>
        </w:tc>
      </w:tr>
      <w:tr w:rsidR="008457FA" w:rsidRPr="008457FA" w14:paraId="0370FB2D"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C650680"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0AB72D6D"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Zasiłek celowy</w:t>
            </w:r>
          </w:p>
        </w:tc>
        <w:tc>
          <w:tcPr>
            <w:tcW w:w="3685" w:type="dxa"/>
            <w:gridSpan w:val="3"/>
            <w:shd w:val="clear" w:color="auto" w:fill="FFFFFF" w:themeFill="background1"/>
          </w:tcPr>
          <w:p w14:paraId="305668AB" w14:textId="77777777" w:rsidR="005D2A2C" w:rsidRPr="008457FA" w:rsidRDefault="008E37CE"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3 </w:t>
            </w:r>
            <w:r w:rsidR="005D2A2C" w:rsidRPr="008457FA">
              <w:rPr>
                <w:rFonts w:ascii="Times New Roman" w:hAnsi="Times New Roman" w:cs="Times New Roman"/>
                <w:color w:val="auto"/>
              </w:rPr>
              <w:t>330</w:t>
            </w:r>
          </w:p>
        </w:tc>
        <w:tc>
          <w:tcPr>
            <w:tcW w:w="4933" w:type="dxa"/>
            <w:gridSpan w:val="3"/>
            <w:shd w:val="clear" w:color="auto" w:fill="FFFFFF" w:themeFill="background1"/>
          </w:tcPr>
          <w:p w14:paraId="7DFA3931" w14:textId="77777777" w:rsidR="005D2A2C" w:rsidRPr="008457FA" w:rsidRDefault="008E37CE"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2 786 </w:t>
            </w:r>
            <w:r w:rsidR="005D2A2C" w:rsidRPr="008457FA">
              <w:rPr>
                <w:rFonts w:ascii="Times New Roman" w:hAnsi="Times New Roman" w:cs="Times New Roman"/>
                <w:color w:val="auto"/>
              </w:rPr>
              <w:t>695 zł</w:t>
            </w:r>
          </w:p>
        </w:tc>
      </w:tr>
      <w:tr w:rsidR="008457FA" w:rsidRPr="008457FA" w14:paraId="61CE5E91"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0608FE4" w14:textId="77777777" w:rsidR="005D2A2C" w:rsidRPr="008457FA" w:rsidRDefault="005D2A2C" w:rsidP="00E86509">
            <w:pPr>
              <w:spacing w:after="0" w:line="240" w:lineRule="auto"/>
              <w:rPr>
                <w:rFonts w:ascii="Times New Roman" w:eastAsia="Times New Roman" w:hAnsi="Times New Roman" w:cs="Times New Roman"/>
                <w:b w:val="0"/>
                <w:bCs w:val="0"/>
                <w:color w:val="auto"/>
                <w:lang w:eastAsia="pl-PL"/>
              </w:rPr>
            </w:pPr>
          </w:p>
        </w:tc>
        <w:tc>
          <w:tcPr>
            <w:tcW w:w="3119" w:type="dxa"/>
            <w:gridSpan w:val="2"/>
            <w:shd w:val="clear" w:color="auto" w:fill="FFFFFF" w:themeFill="background1"/>
          </w:tcPr>
          <w:p w14:paraId="337CED8E"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Specjalny zasiłek celowy</w:t>
            </w:r>
          </w:p>
        </w:tc>
        <w:tc>
          <w:tcPr>
            <w:tcW w:w="3685" w:type="dxa"/>
            <w:gridSpan w:val="3"/>
            <w:shd w:val="clear" w:color="auto" w:fill="FFFFFF" w:themeFill="background1"/>
          </w:tcPr>
          <w:p w14:paraId="5AB21E40" w14:textId="77777777" w:rsidR="005D2A2C" w:rsidRPr="008457FA" w:rsidRDefault="008E37CE"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4 </w:t>
            </w:r>
            <w:r w:rsidR="005D2A2C" w:rsidRPr="008457FA">
              <w:rPr>
                <w:rFonts w:ascii="Times New Roman" w:hAnsi="Times New Roman" w:cs="Times New Roman"/>
                <w:color w:val="auto"/>
              </w:rPr>
              <w:t>061</w:t>
            </w:r>
          </w:p>
        </w:tc>
        <w:tc>
          <w:tcPr>
            <w:tcW w:w="4933" w:type="dxa"/>
            <w:gridSpan w:val="3"/>
            <w:shd w:val="clear" w:color="auto" w:fill="FFFFFF" w:themeFill="background1"/>
          </w:tcPr>
          <w:p w14:paraId="7E3F69E4" w14:textId="77777777" w:rsidR="005D2A2C" w:rsidRPr="008457FA" w:rsidRDefault="008E37CE"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 xml:space="preserve">2 </w:t>
            </w:r>
            <w:r w:rsidR="005D2A2C" w:rsidRPr="008457FA">
              <w:rPr>
                <w:rFonts w:ascii="Times New Roman" w:hAnsi="Times New Roman" w:cs="Times New Roman"/>
                <w:color w:val="auto"/>
              </w:rPr>
              <w:t>8</w:t>
            </w:r>
            <w:r w:rsidRPr="008457FA">
              <w:rPr>
                <w:rFonts w:ascii="Times New Roman" w:hAnsi="Times New Roman" w:cs="Times New Roman"/>
                <w:color w:val="auto"/>
              </w:rPr>
              <w:t xml:space="preserve">31 </w:t>
            </w:r>
            <w:r w:rsidR="005D2A2C" w:rsidRPr="008457FA">
              <w:rPr>
                <w:rFonts w:ascii="Times New Roman" w:hAnsi="Times New Roman" w:cs="Times New Roman"/>
                <w:color w:val="auto"/>
              </w:rPr>
              <w:t>642 zł</w:t>
            </w:r>
          </w:p>
        </w:tc>
      </w:tr>
      <w:tr w:rsidR="008457FA" w:rsidRPr="008457FA" w14:paraId="326E3CFC" w14:textId="77777777" w:rsidTr="00E86509">
        <w:trPr>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50EBB90" w14:textId="77777777" w:rsidR="005D2A2C" w:rsidRPr="008457FA" w:rsidRDefault="005D2A2C" w:rsidP="00E86509">
            <w:pPr>
              <w:spacing w:after="0" w:line="240" w:lineRule="auto"/>
              <w:rPr>
                <w:rFonts w:ascii="Times New Roman" w:hAnsi="Times New Roman" w:cs="Times New Roman"/>
                <w:b w:val="0"/>
                <w:color w:val="auto"/>
                <w:lang w:eastAsia="pl-PL"/>
              </w:rPr>
            </w:pPr>
            <w:r w:rsidRPr="008457FA">
              <w:rPr>
                <w:rFonts w:ascii="Times New Roman" w:hAnsi="Times New Roman" w:cs="Times New Roman"/>
                <w:color w:val="auto"/>
                <w:lang w:eastAsia="pl-PL"/>
              </w:rPr>
              <w:t xml:space="preserve">Największe problemy/niedogodności w świadczeniu opieki nad osobami starszymi (np. </w:t>
            </w:r>
            <w:r w:rsidRPr="008457FA">
              <w:rPr>
                <w:rFonts w:ascii="Times New Roman" w:hAnsi="Times New Roman" w:cs="Times New Roman"/>
                <w:color w:val="auto"/>
                <w:lang w:eastAsia="pl-PL"/>
              </w:rPr>
              <w:lastRenderedPageBreak/>
              <w:t>zasoby kadrowe, rzeczowe, finansowe itp.)</w:t>
            </w:r>
          </w:p>
        </w:tc>
        <w:tc>
          <w:tcPr>
            <w:tcW w:w="11737" w:type="dxa"/>
            <w:gridSpan w:val="8"/>
            <w:shd w:val="clear" w:color="auto" w:fill="FFFFFF" w:themeFill="background1"/>
          </w:tcPr>
          <w:p w14:paraId="613E69D0"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lastRenderedPageBreak/>
              <w:t>1.</w:t>
            </w:r>
            <w:r w:rsidRPr="008457FA">
              <w:rPr>
                <w:rFonts w:ascii="Times New Roman" w:eastAsia="Calibri" w:hAnsi="Times New Roman" w:cs="Times New Roman"/>
                <w:color w:val="auto"/>
              </w:rPr>
              <w:t xml:space="preserve"> W przypadku gmin wiejskich - rozległe, słabo zurbanizowane tereny, niedostatecznie rozwinięta infrastruktura drogowa i sieć połączeń komunikacyjnych, trudny dojazd do klienta, długi czas przemieszczania się opiekunów między klientami, którym świadczone są usługi opiekuńcze.</w:t>
            </w:r>
          </w:p>
        </w:tc>
      </w:tr>
      <w:tr w:rsidR="008457FA" w:rsidRPr="008457FA" w14:paraId="5C4739E6"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A266304" w14:textId="77777777" w:rsidR="005D2A2C" w:rsidRPr="008457FA" w:rsidRDefault="005D2A2C" w:rsidP="00E86509">
            <w:pPr>
              <w:spacing w:after="0" w:line="240" w:lineRule="auto"/>
              <w:rPr>
                <w:rFonts w:ascii="Times New Roman" w:hAnsi="Times New Roman" w:cs="Times New Roman"/>
                <w:color w:val="auto"/>
                <w:lang w:eastAsia="pl-PL"/>
              </w:rPr>
            </w:pPr>
          </w:p>
        </w:tc>
        <w:tc>
          <w:tcPr>
            <w:tcW w:w="11737" w:type="dxa"/>
            <w:gridSpan w:val="8"/>
            <w:shd w:val="clear" w:color="auto" w:fill="FFFFFF" w:themeFill="background1"/>
          </w:tcPr>
          <w:p w14:paraId="3DB177A1"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t>2.</w:t>
            </w:r>
            <w:r w:rsidRPr="008457FA">
              <w:rPr>
                <w:rFonts w:ascii="Times New Roman" w:hAnsi="Times New Roman" w:cs="Times New Roman"/>
                <w:color w:val="auto"/>
              </w:rPr>
              <w:t xml:space="preserve"> Osoby starsze, samotnie zamieszkujące w gminach wiejskich, często rezygnują z leczenia specjalistycznego z uwagi na utrudniony dostęp do placówek służby zdrowia, lekarzy specjalistów, w tym lekarzy geriatrów, długi czas oczekiwania na wizyty </w:t>
            </w:r>
            <w:r w:rsidRPr="008457FA">
              <w:rPr>
                <w:rFonts w:ascii="Times New Roman" w:hAnsi="Times New Roman" w:cs="Times New Roman"/>
                <w:color w:val="auto"/>
              </w:rPr>
              <w:lastRenderedPageBreak/>
              <w:t>u specjalistów, brak placówek/gabinetów świadczących usługi rehabilitacyjne, mają ograniczony dostęp do pielęgniarek środowiskowych.</w:t>
            </w:r>
          </w:p>
        </w:tc>
      </w:tr>
      <w:tr w:rsidR="008457FA" w:rsidRPr="008457FA" w14:paraId="72A6029B" w14:textId="77777777" w:rsidTr="00E86509">
        <w:trPr>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385014D" w14:textId="77777777" w:rsidR="005D2A2C" w:rsidRPr="008457FA" w:rsidRDefault="005D2A2C" w:rsidP="00E86509">
            <w:pPr>
              <w:spacing w:after="0" w:line="240" w:lineRule="auto"/>
              <w:rPr>
                <w:rFonts w:ascii="Times New Roman" w:hAnsi="Times New Roman" w:cs="Times New Roman"/>
                <w:color w:val="auto"/>
                <w:lang w:eastAsia="pl-PL"/>
              </w:rPr>
            </w:pPr>
          </w:p>
        </w:tc>
        <w:tc>
          <w:tcPr>
            <w:tcW w:w="11737" w:type="dxa"/>
            <w:gridSpan w:val="8"/>
            <w:shd w:val="clear" w:color="auto" w:fill="FFFFFF" w:themeFill="background1"/>
          </w:tcPr>
          <w:p w14:paraId="108FAB29"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t>3.</w:t>
            </w:r>
            <w:r w:rsidRPr="008457FA">
              <w:rPr>
                <w:rFonts w:ascii="Times New Roman" w:eastAsia="Calibri" w:hAnsi="Times New Roman" w:cs="Times New Roman"/>
                <w:color w:val="auto"/>
              </w:rPr>
              <w:t xml:space="preserve"> Brak takich placówek jak dzienne domy pobytu, kluby seniora lub ograniczona ilość miejsc.</w:t>
            </w:r>
          </w:p>
        </w:tc>
      </w:tr>
      <w:tr w:rsidR="008457FA" w:rsidRPr="008457FA" w14:paraId="02B146E0"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5BEF5C8" w14:textId="77777777" w:rsidR="005D2A2C" w:rsidRPr="008457FA" w:rsidRDefault="005D2A2C" w:rsidP="00E86509">
            <w:pPr>
              <w:spacing w:after="0" w:line="240" w:lineRule="auto"/>
              <w:rPr>
                <w:rFonts w:ascii="Times New Roman" w:hAnsi="Times New Roman" w:cs="Times New Roman"/>
                <w:color w:val="auto"/>
                <w:lang w:eastAsia="pl-PL"/>
              </w:rPr>
            </w:pPr>
          </w:p>
        </w:tc>
        <w:tc>
          <w:tcPr>
            <w:tcW w:w="11737" w:type="dxa"/>
            <w:gridSpan w:val="8"/>
            <w:shd w:val="clear" w:color="auto" w:fill="FFFFFF" w:themeFill="background1"/>
          </w:tcPr>
          <w:p w14:paraId="69E7F510"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t>4</w:t>
            </w:r>
            <w:r w:rsidRPr="008457FA">
              <w:rPr>
                <w:rFonts w:ascii="Times New Roman" w:hAnsi="Times New Roman" w:cs="Times New Roman"/>
                <w:color w:val="auto"/>
              </w:rPr>
              <w:t>.</w:t>
            </w:r>
            <w:r w:rsidRPr="008457FA">
              <w:rPr>
                <w:rFonts w:ascii="Times New Roman" w:eastAsia="Calibri" w:hAnsi="Times New Roman" w:cs="Times New Roman"/>
                <w:color w:val="auto"/>
              </w:rPr>
              <w:t xml:space="preserve"> Brak środków finansowych na zatrudnienie w dziennych domach pomocy takich specjalistów jak fizjoterapeuta, pielęgniarka.</w:t>
            </w:r>
          </w:p>
        </w:tc>
      </w:tr>
      <w:tr w:rsidR="008457FA" w:rsidRPr="008457FA" w14:paraId="0D890EB3" w14:textId="77777777" w:rsidTr="00E86509">
        <w:trPr>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5F8AD9B" w14:textId="77777777" w:rsidR="005D2A2C" w:rsidRPr="008457FA" w:rsidRDefault="005D2A2C" w:rsidP="00E86509">
            <w:pPr>
              <w:spacing w:after="0" w:line="240" w:lineRule="auto"/>
              <w:rPr>
                <w:rFonts w:ascii="Times New Roman" w:hAnsi="Times New Roman" w:cs="Times New Roman"/>
                <w:color w:val="auto"/>
                <w:lang w:eastAsia="pl-PL"/>
              </w:rPr>
            </w:pPr>
          </w:p>
        </w:tc>
        <w:tc>
          <w:tcPr>
            <w:tcW w:w="11737" w:type="dxa"/>
            <w:gridSpan w:val="8"/>
            <w:shd w:val="clear" w:color="auto" w:fill="FFFFFF" w:themeFill="background1"/>
          </w:tcPr>
          <w:p w14:paraId="1028EFED" w14:textId="77777777" w:rsidR="005D2A2C" w:rsidRPr="008457FA" w:rsidRDefault="005D2A2C"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AB0E9E">
              <w:rPr>
                <w:rFonts w:ascii="Times New Roman" w:hAnsi="Times New Roman" w:cs="Times New Roman"/>
                <w:b/>
                <w:color w:val="auto"/>
              </w:rPr>
              <w:t>5.</w:t>
            </w:r>
            <w:r w:rsidRPr="008457FA">
              <w:rPr>
                <w:rFonts w:ascii="Times New Roman" w:eastAsia="Calibri" w:hAnsi="Times New Roman" w:cs="Times New Roman"/>
                <w:color w:val="auto"/>
              </w:rPr>
              <w:t xml:space="preserve"> Brak całodobowych placówek zapewniających opiekę osobom przewlekle chorym, a w przypadku funkcjonujących zakładów opiekuńczo-leczniczych brak wolnych miejsc, czas oczekiwania na przyjęcie około 1 roku.</w:t>
            </w:r>
          </w:p>
        </w:tc>
      </w:tr>
      <w:tr w:rsidR="008457FA" w:rsidRPr="008457FA" w14:paraId="20E55B02"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E0593F6" w14:textId="77777777" w:rsidR="005D2A2C" w:rsidRPr="008457FA" w:rsidRDefault="005D2A2C" w:rsidP="00E86509">
            <w:pPr>
              <w:spacing w:after="0" w:line="240" w:lineRule="auto"/>
              <w:rPr>
                <w:rFonts w:ascii="Times New Roman" w:hAnsi="Times New Roman" w:cs="Times New Roman"/>
                <w:color w:val="auto"/>
                <w:lang w:eastAsia="pl-PL"/>
              </w:rPr>
            </w:pPr>
            <w:r w:rsidRPr="008457FA">
              <w:rPr>
                <w:rFonts w:ascii="Times New Roman" w:hAnsi="Times New Roman" w:cs="Times New Roman"/>
                <w:color w:val="auto"/>
                <w:lang w:eastAsia="pl-PL"/>
              </w:rPr>
              <w:t>Stopień zaspokojenia potrzeb w zakresie usług opiekuńczych</w:t>
            </w:r>
          </w:p>
        </w:tc>
        <w:tc>
          <w:tcPr>
            <w:tcW w:w="11737" w:type="dxa"/>
            <w:gridSpan w:val="8"/>
            <w:shd w:val="clear" w:color="auto" w:fill="FFFFFF" w:themeFill="background1"/>
          </w:tcPr>
          <w:p w14:paraId="170A2148"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Na terenie województwa podkarpackiego na 160 wszystkich gmin 147 świadczy usługi opiekuńcze (dane ze sprawozd</w:t>
            </w:r>
            <w:r w:rsidR="00BC02D8" w:rsidRPr="008457FA">
              <w:rPr>
                <w:rFonts w:ascii="Times New Roman" w:hAnsi="Times New Roman" w:cs="Times New Roman"/>
                <w:color w:val="auto"/>
              </w:rPr>
              <w:t>ania resortowego MRPiPS-03 za</w:t>
            </w:r>
            <w:r w:rsidRPr="008457FA">
              <w:rPr>
                <w:rFonts w:ascii="Times New Roman" w:hAnsi="Times New Roman" w:cs="Times New Roman"/>
                <w:color w:val="auto"/>
              </w:rPr>
              <w:t xml:space="preserve"> 2019</w:t>
            </w:r>
            <w:r w:rsidR="00BC02D8" w:rsidRPr="008457FA">
              <w:rPr>
                <w:rFonts w:ascii="Times New Roman" w:hAnsi="Times New Roman" w:cs="Times New Roman"/>
                <w:color w:val="auto"/>
              </w:rPr>
              <w:t xml:space="preserve"> r.</w:t>
            </w:r>
            <w:r w:rsidRPr="008457FA">
              <w:rPr>
                <w:rFonts w:ascii="Times New Roman" w:hAnsi="Times New Roman" w:cs="Times New Roman"/>
                <w:color w:val="auto"/>
              </w:rPr>
              <w:t xml:space="preserve">). Gminy te deklarują, iż wszystkie osoby, które zgłaszały potrzebę udzielenia pomocy w formie usług opiekuńczych, zostały objęte takim wsparciem. Niemniej jednak kilka jednostek wskazało, że z uwagi na trudności finansowe usługi zostały przyznane w mniejszej ilości godzin niż wskazywały na to faktycznie stwierdzone potrzeby. Z analizy wyjaśnień 13 gmin, w których nie są realizowane usługi opiekuńcze wynika, na ich terenie nie występują takie potrzeby. Jednocześnie gminy te deklarują dobre i bieżące rozpoznanie sytuacji osób starszych, w tym samotnych, dysponują wiedzą zarówno o ich ilości, jak i potrzebach. Podkreślić należy, że są to gminy głównie wiejskie, </w:t>
            </w:r>
            <w:r w:rsidRPr="008457FA">
              <w:rPr>
                <w:rFonts w:ascii="Times New Roman" w:hAnsi="Times New Roman" w:cs="Times New Roman"/>
                <w:color w:val="auto"/>
              </w:rPr>
              <w:br/>
              <w:t xml:space="preserve">o stosunkowo niewielkiej liczbie ludności, w których dominują wielopokoleniowe gospodarstwa domowe. W rodzinach tych silnie przestrzegana jest zasada, że opieka nad starszymi osobami, to rola dzieci i wnuków, a przede wszystkim tych dziedziczących majątek. Osoby zobowiązane do pomocy, często pomimo swoich problemów, chcą opiekować się najbliższymi, w wielu przypadkach korzystając z takich świadczeń jak: specjalny zasiłek opiekuńczy czy zasiłek dla opiekuna. Z kilkuletniej obserwacji pracowników socjalnych wynika, iż osoby starsze samotne, częściowo samodzielne, potrzebujące wsparcia w cięższych pracach domowych (np. mycie okien, większe zakupy czy przygotowywanie opału) nie wyrażają zgody na przyznanie im usług opiekuńczych, natomiast chętnie korzystają w tym zakresie z pomocy i życzliwości sąsiadów. Ponadto w ocenie pracowników ośrodków pomocy społecznej, coraz więcej osób starszych jest zainteresowanych jest specjalistycznym i kompleksowym wsparciem oferowanym przez ośrodki wsparcia – dzienne domy pobytu. </w:t>
            </w:r>
          </w:p>
          <w:p w14:paraId="7AAB839F" w14:textId="77777777" w:rsidR="005D2A2C" w:rsidRPr="008457FA" w:rsidRDefault="005D2A2C"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8457FA">
              <w:rPr>
                <w:rFonts w:ascii="Times New Roman" w:hAnsi="Times New Roman" w:cs="Times New Roman"/>
                <w:color w:val="auto"/>
              </w:rPr>
              <w:t>Nadmienić należy, iż w 2019 r. w ramach edycji programu „Opieka 75+” do jego realizacji przystąpiło 36 gmin z terenu województwa podkarpackiego. Biorąc pod uwagę powyższe ustalenia można przyjąć, iż na terenie województwa podkarpackiego stopień zaspokojenia potrzeb w zakresie usług opiekuńczych jest zadowalający.</w:t>
            </w:r>
          </w:p>
        </w:tc>
      </w:tr>
    </w:tbl>
    <w:p w14:paraId="19E1131A" w14:textId="77777777" w:rsidR="005D2A2C" w:rsidRDefault="005D2A2C" w:rsidP="008C71A9">
      <w:pPr>
        <w:pStyle w:val="Nagwek2"/>
        <w:numPr>
          <w:ilvl w:val="1"/>
          <w:numId w:val="97"/>
        </w:numPr>
        <w:rPr>
          <w:rFonts w:eastAsia="Times New Roman"/>
          <w:lang w:eastAsia="ar-SA"/>
        </w:rPr>
        <w:sectPr w:rsidR="005D2A2C" w:rsidSect="00DB6308">
          <w:pgSz w:w="16838" w:h="11900" w:orient="landscape"/>
          <w:pgMar w:top="1380" w:right="1384" w:bottom="1386" w:left="1038" w:header="0" w:footer="567" w:gutter="0"/>
          <w:cols w:space="0" w:equalWidth="0">
            <w:col w:w="9140"/>
          </w:cols>
          <w:docGrid w:linePitch="360"/>
        </w:sectPr>
      </w:pPr>
    </w:p>
    <w:p w14:paraId="6AA688D6" w14:textId="77777777" w:rsidR="00A70893" w:rsidRPr="00AF051D" w:rsidRDefault="00B25D75" w:rsidP="00AF051D">
      <w:pPr>
        <w:pStyle w:val="Nagwek2"/>
        <w:numPr>
          <w:ilvl w:val="1"/>
          <w:numId w:val="97"/>
        </w:numPr>
        <w:spacing w:before="240" w:after="240"/>
        <w:rPr>
          <w:rFonts w:eastAsia="Times New Roman" w:cs="Times New Roman"/>
          <w:sz w:val="40"/>
          <w:lang w:eastAsia="ar-SA"/>
        </w:rPr>
      </w:pPr>
      <w:bookmarkStart w:id="143" w:name="_Toc49171365"/>
      <w:r w:rsidRPr="00AF051D">
        <w:rPr>
          <w:rFonts w:eastAsia="Times New Roman" w:cs="Times New Roman"/>
          <w:sz w:val="40"/>
          <w:lang w:eastAsia="ar-SA"/>
        </w:rPr>
        <w:lastRenderedPageBreak/>
        <w:t xml:space="preserve">Województwo </w:t>
      </w:r>
      <w:r w:rsidR="005F0A32" w:rsidRPr="00AF051D">
        <w:rPr>
          <w:rFonts w:eastAsia="Times New Roman" w:cs="Times New Roman"/>
          <w:sz w:val="40"/>
          <w:lang w:eastAsia="ar-SA"/>
        </w:rPr>
        <w:t>p</w:t>
      </w:r>
      <w:r w:rsidR="00475EFA" w:rsidRPr="00AF051D">
        <w:rPr>
          <w:rFonts w:eastAsia="Times New Roman" w:cs="Times New Roman"/>
          <w:sz w:val="40"/>
          <w:lang w:eastAsia="ar-SA"/>
        </w:rPr>
        <w:t>odlaskie</w:t>
      </w:r>
      <w:bookmarkEnd w:id="143"/>
    </w:p>
    <w:p w14:paraId="11DC6305" w14:textId="77777777" w:rsidR="00A70893" w:rsidRPr="00DE7628" w:rsidRDefault="00A70893" w:rsidP="00E7359C">
      <w:pPr>
        <w:spacing w:after="0"/>
        <w:jc w:val="both"/>
        <w:rPr>
          <w:rFonts w:ascii="Times New Roman" w:hAnsi="Times New Roman" w:cs="Times New Roman"/>
          <w:b/>
          <w:sz w:val="24"/>
          <w:szCs w:val="24"/>
          <w:lang w:eastAsia="ar-SA"/>
        </w:rPr>
      </w:pPr>
      <w:r>
        <w:rPr>
          <w:rFonts w:ascii="Times New Roman" w:hAnsi="Times New Roman" w:cs="Times New Roman"/>
          <w:b/>
          <w:sz w:val="24"/>
          <w:szCs w:val="24"/>
          <w:lang w:eastAsia="ar-SA"/>
        </w:rPr>
        <w:t xml:space="preserve">Dokumenty, </w:t>
      </w:r>
      <w:r w:rsidRPr="00DE7628">
        <w:rPr>
          <w:rFonts w:ascii="Times New Roman" w:hAnsi="Times New Roman" w:cs="Times New Roman"/>
          <w:b/>
          <w:sz w:val="24"/>
          <w:szCs w:val="24"/>
          <w:lang w:eastAsia="ar-SA"/>
        </w:rPr>
        <w:t>strategi</w:t>
      </w:r>
      <w:r>
        <w:rPr>
          <w:rFonts w:ascii="Times New Roman" w:hAnsi="Times New Roman" w:cs="Times New Roman"/>
          <w:b/>
          <w:sz w:val="24"/>
          <w:szCs w:val="24"/>
          <w:lang w:eastAsia="ar-SA"/>
        </w:rPr>
        <w:t xml:space="preserve">e i </w:t>
      </w:r>
      <w:r w:rsidRPr="00DE7628">
        <w:rPr>
          <w:rFonts w:ascii="Times New Roman" w:hAnsi="Times New Roman" w:cs="Times New Roman"/>
          <w:b/>
          <w:sz w:val="24"/>
          <w:szCs w:val="24"/>
          <w:lang w:eastAsia="ar-SA"/>
        </w:rPr>
        <w:t>działania na rzecz osób starszych</w:t>
      </w:r>
    </w:p>
    <w:p w14:paraId="4ECF7229" w14:textId="77777777" w:rsidR="008E4D81" w:rsidRDefault="008E4D81" w:rsidP="00E7359C">
      <w:pPr>
        <w:spacing w:after="0"/>
        <w:jc w:val="both"/>
        <w:rPr>
          <w:lang w:eastAsia="ar-SA"/>
        </w:rPr>
      </w:pPr>
    </w:p>
    <w:p w14:paraId="075B6358" w14:textId="77777777" w:rsidR="00C72FA4" w:rsidRPr="00A70893" w:rsidRDefault="00C72FA4" w:rsidP="008C71A9">
      <w:pPr>
        <w:pStyle w:val="Akapitzlist"/>
        <w:numPr>
          <w:ilvl w:val="0"/>
          <w:numId w:val="137"/>
        </w:numPr>
        <w:spacing w:after="0"/>
        <w:ind w:left="360"/>
        <w:jc w:val="both"/>
        <w:rPr>
          <w:rFonts w:ascii="Times New Roman" w:hAnsi="Times New Roman" w:cs="Times New Roman"/>
          <w:sz w:val="24"/>
          <w:szCs w:val="24"/>
        </w:rPr>
      </w:pPr>
      <w:r w:rsidRPr="00A70893">
        <w:rPr>
          <w:rFonts w:ascii="Times New Roman" w:hAnsi="Times New Roman" w:cs="Times New Roman"/>
          <w:sz w:val="24"/>
          <w:szCs w:val="24"/>
        </w:rPr>
        <w:t>uchwałą Nr XVIII/213/2020 z dnia 27.04.2020 r. Sejmik Województwa Podlaskiego przyjął Strategię Rozwoju Województwa Podlaskiego 2030 -  to najważniejszy dokument, który wyznacza kierunki polityki regionalnej województwa podlaskiego</w:t>
      </w:r>
      <w:r w:rsidR="00BC02D8">
        <w:rPr>
          <w:rStyle w:val="Odwoanieprzypisudolnego"/>
          <w:rFonts w:ascii="Times New Roman" w:hAnsi="Times New Roman" w:cs="Times New Roman"/>
          <w:sz w:val="24"/>
          <w:szCs w:val="24"/>
        </w:rPr>
        <w:footnoteReference w:id="151"/>
      </w:r>
    </w:p>
    <w:p w14:paraId="57FECF47" w14:textId="77777777" w:rsidR="00C72FA4" w:rsidRPr="00A70893" w:rsidRDefault="00C72FA4" w:rsidP="008C71A9">
      <w:pPr>
        <w:pStyle w:val="Akapitzlist"/>
        <w:numPr>
          <w:ilvl w:val="0"/>
          <w:numId w:val="137"/>
        </w:numPr>
        <w:spacing w:after="0"/>
        <w:ind w:left="360"/>
        <w:jc w:val="both"/>
        <w:rPr>
          <w:rFonts w:ascii="Times New Roman" w:hAnsi="Times New Roman" w:cs="Times New Roman"/>
          <w:sz w:val="24"/>
          <w:szCs w:val="24"/>
        </w:rPr>
      </w:pPr>
      <w:r w:rsidRPr="00A70893">
        <w:rPr>
          <w:rFonts w:ascii="Times New Roman" w:hAnsi="Times New Roman" w:cs="Times New Roman"/>
          <w:sz w:val="24"/>
          <w:szCs w:val="24"/>
        </w:rPr>
        <w:t>poprzednio obowiązywała  Strategia Rozwoju Województwa Podlaskiego do roku 2020, przyjęta uchwałą Nr XXXI/374/13 z dnia 9.09.2013 r.</w:t>
      </w:r>
      <w:r w:rsidR="00BC02D8">
        <w:rPr>
          <w:rStyle w:val="Odwoanieprzypisudolnego"/>
          <w:rFonts w:ascii="Times New Roman" w:hAnsi="Times New Roman" w:cs="Times New Roman"/>
          <w:sz w:val="24"/>
          <w:szCs w:val="24"/>
        </w:rPr>
        <w:footnoteReference w:id="152"/>
      </w:r>
      <w:r w:rsidRPr="00A70893">
        <w:rPr>
          <w:rFonts w:ascii="Times New Roman" w:hAnsi="Times New Roman" w:cs="Times New Roman"/>
          <w:sz w:val="24"/>
          <w:szCs w:val="24"/>
        </w:rPr>
        <w:t xml:space="preserve"> </w:t>
      </w:r>
    </w:p>
    <w:p w14:paraId="6562CC5A" w14:textId="77777777" w:rsidR="00C72FA4" w:rsidRPr="00A70893" w:rsidRDefault="00C72FA4" w:rsidP="008C71A9">
      <w:pPr>
        <w:pStyle w:val="Akapitzlist"/>
        <w:numPr>
          <w:ilvl w:val="0"/>
          <w:numId w:val="137"/>
        </w:numPr>
        <w:spacing w:after="0"/>
        <w:ind w:left="360"/>
        <w:jc w:val="both"/>
        <w:rPr>
          <w:rFonts w:ascii="Times New Roman" w:hAnsi="Times New Roman" w:cs="Times New Roman"/>
          <w:sz w:val="24"/>
          <w:szCs w:val="24"/>
        </w:rPr>
      </w:pPr>
      <w:r w:rsidRPr="00A70893">
        <w:rPr>
          <w:rFonts w:ascii="Times New Roman" w:hAnsi="Times New Roman" w:cs="Times New Roman"/>
          <w:sz w:val="24"/>
          <w:szCs w:val="24"/>
        </w:rPr>
        <w:t>uchwałą Nr XLV/534/14 z dnia 6.11.2014 r. Sejmik Województwa Podlaskiego przyjął Strategię Polityki Społecznej Wojew</w:t>
      </w:r>
      <w:r w:rsidR="00BC02D8">
        <w:rPr>
          <w:rFonts w:ascii="Times New Roman" w:hAnsi="Times New Roman" w:cs="Times New Roman"/>
          <w:sz w:val="24"/>
          <w:szCs w:val="24"/>
        </w:rPr>
        <w:t>ództwa Podlaskiego do roku 2020</w:t>
      </w:r>
      <w:r w:rsidR="00BC02D8">
        <w:rPr>
          <w:rStyle w:val="Odwoanieprzypisudolnego"/>
          <w:rFonts w:ascii="Times New Roman" w:hAnsi="Times New Roman" w:cs="Times New Roman"/>
          <w:sz w:val="24"/>
          <w:szCs w:val="24"/>
        </w:rPr>
        <w:footnoteReference w:id="153"/>
      </w:r>
    </w:p>
    <w:p w14:paraId="1A4698AD" w14:textId="77777777" w:rsidR="00C72FA4" w:rsidRPr="00BC02D8" w:rsidRDefault="00C72FA4" w:rsidP="008C71A9">
      <w:pPr>
        <w:pStyle w:val="Akapitzlist"/>
        <w:numPr>
          <w:ilvl w:val="0"/>
          <w:numId w:val="137"/>
        </w:numPr>
        <w:spacing w:after="0"/>
        <w:ind w:left="360"/>
        <w:jc w:val="both"/>
        <w:rPr>
          <w:rFonts w:ascii="Times New Roman" w:hAnsi="Times New Roman" w:cs="Times New Roman"/>
          <w:sz w:val="24"/>
          <w:szCs w:val="24"/>
        </w:rPr>
      </w:pPr>
      <w:r w:rsidRPr="00A70893">
        <w:rPr>
          <w:rFonts w:ascii="Times New Roman" w:hAnsi="Times New Roman" w:cs="Times New Roman"/>
          <w:sz w:val="24"/>
          <w:szCs w:val="24"/>
        </w:rPr>
        <w:t>uchwałą Nr XXVII/244/16 z dnia 29.08.2016 r. Sejmik Województwa Podlaskiego przyjął Program na rzecz osób starszych w województwie podlaskim na lata 2016 - 2020</w:t>
      </w:r>
      <w:r w:rsidR="00BC02D8">
        <w:rPr>
          <w:rStyle w:val="Odwoanieprzypisudolnego"/>
          <w:rFonts w:ascii="Times New Roman" w:hAnsi="Times New Roman" w:cs="Times New Roman"/>
          <w:sz w:val="24"/>
          <w:szCs w:val="24"/>
        </w:rPr>
        <w:footnoteReference w:id="154"/>
      </w:r>
      <w:r w:rsidRPr="00BC02D8">
        <w:rPr>
          <w:rFonts w:ascii="Times New Roman" w:hAnsi="Times New Roman" w:cs="Times New Roman"/>
          <w:i/>
          <w:sz w:val="24"/>
          <w:szCs w:val="24"/>
        </w:rPr>
        <w:t xml:space="preserve">  </w:t>
      </w:r>
    </w:p>
    <w:p w14:paraId="215BE19E" w14:textId="77777777" w:rsidR="00C72FA4" w:rsidRPr="00A70893" w:rsidRDefault="00C72FA4" w:rsidP="008C71A9">
      <w:pPr>
        <w:pStyle w:val="Akapitzlist"/>
        <w:numPr>
          <w:ilvl w:val="0"/>
          <w:numId w:val="137"/>
        </w:numPr>
        <w:spacing w:after="0"/>
        <w:ind w:left="360"/>
        <w:jc w:val="both"/>
        <w:rPr>
          <w:rFonts w:ascii="Times New Roman" w:hAnsi="Times New Roman" w:cs="Times New Roman"/>
          <w:sz w:val="24"/>
          <w:szCs w:val="24"/>
        </w:rPr>
      </w:pPr>
      <w:r w:rsidRPr="00A70893">
        <w:rPr>
          <w:rFonts w:ascii="Times New Roman" w:hAnsi="Times New Roman" w:cs="Times New Roman"/>
          <w:sz w:val="24"/>
          <w:szCs w:val="24"/>
        </w:rPr>
        <w:t>uchwałą Nr VIII/85/19 z dnia 24.04.2019 r. Sejmik Województwa Podlaskiego przyjął  Program na Rzecz Poprawy Warunków Życia Społecznego i Zawodowego Osób z Niepełnosprawnością w Województwie Podlaskim na lata 2019 - 2023</w:t>
      </w:r>
      <w:r w:rsidR="00BC02D8">
        <w:rPr>
          <w:rStyle w:val="Odwoanieprzypisudolnego"/>
          <w:rFonts w:ascii="Times New Roman" w:hAnsi="Times New Roman" w:cs="Times New Roman"/>
          <w:sz w:val="24"/>
          <w:szCs w:val="24"/>
        </w:rPr>
        <w:footnoteReference w:id="155"/>
      </w:r>
    </w:p>
    <w:p w14:paraId="5CEB29C9" w14:textId="77777777" w:rsidR="00C72FA4" w:rsidRPr="00A70893" w:rsidRDefault="00C72FA4" w:rsidP="008C71A9">
      <w:pPr>
        <w:pStyle w:val="Akapitzlist"/>
        <w:numPr>
          <w:ilvl w:val="0"/>
          <w:numId w:val="137"/>
        </w:numPr>
        <w:spacing w:after="0"/>
        <w:ind w:left="360"/>
        <w:jc w:val="both"/>
        <w:rPr>
          <w:rFonts w:ascii="Times New Roman" w:hAnsi="Times New Roman" w:cs="Times New Roman"/>
          <w:sz w:val="24"/>
          <w:szCs w:val="24"/>
        </w:rPr>
      </w:pPr>
      <w:r w:rsidRPr="00A70893">
        <w:rPr>
          <w:rFonts w:ascii="Times New Roman" w:hAnsi="Times New Roman" w:cs="Times New Roman"/>
          <w:sz w:val="24"/>
          <w:szCs w:val="24"/>
        </w:rPr>
        <w:t>uchwałą Nr VIII/83/19 z dnia 24.04.2019 r. Sejmik Województwa Podlaskiego przyjął Program Pomocy Społecznej i Przeciwdziałania Wykluczeniu Społecznemu w Województwie Podlaskim na lata 2019 - 2013</w:t>
      </w:r>
      <w:r w:rsidR="00BC02D8">
        <w:rPr>
          <w:rStyle w:val="Odwoanieprzypisudolnego"/>
          <w:rFonts w:ascii="Times New Roman" w:hAnsi="Times New Roman" w:cs="Times New Roman"/>
          <w:sz w:val="24"/>
          <w:szCs w:val="24"/>
        </w:rPr>
        <w:footnoteReference w:id="156"/>
      </w:r>
    </w:p>
    <w:p w14:paraId="44AEF77C" w14:textId="77777777" w:rsidR="00C72FA4" w:rsidRPr="005F0A32" w:rsidRDefault="00C72FA4" w:rsidP="00E7359C">
      <w:pPr>
        <w:spacing w:after="0"/>
        <w:jc w:val="both"/>
        <w:rPr>
          <w:rFonts w:ascii="Times New Roman" w:hAnsi="Times New Roman" w:cs="Times New Roman"/>
          <w:b/>
          <w:i/>
          <w:sz w:val="24"/>
          <w:szCs w:val="24"/>
        </w:rPr>
      </w:pPr>
    </w:p>
    <w:p w14:paraId="0759265E" w14:textId="77777777" w:rsidR="00C72FA4" w:rsidRPr="00080469" w:rsidRDefault="00080469" w:rsidP="00E7359C">
      <w:pPr>
        <w:spacing w:after="0"/>
        <w:jc w:val="both"/>
        <w:rPr>
          <w:rFonts w:ascii="Times New Roman" w:hAnsi="Times New Roman" w:cs="Times New Roman"/>
          <w:sz w:val="24"/>
          <w:szCs w:val="24"/>
        </w:rPr>
      </w:pPr>
      <w:r>
        <w:rPr>
          <w:rFonts w:ascii="Times New Roman" w:hAnsi="Times New Roman" w:cs="Times New Roman"/>
          <w:sz w:val="24"/>
          <w:szCs w:val="24"/>
        </w:rPr>
        <w:t xml:space="preserve">W </w:t>
      </w:r>
      <w:r w:rsidR="00A70893" w:rsidRPr="00080469">
        <w:rPr>
          <w:rFonts w:ascii="Times New Roman" w:hAnsi="Times New Roman" w:cs="Times New Roman"/>
          <w:sz w:val="24"/>
          <w:szCs w:val="24"/>
        </w:rPr>
        <w:t>2019 r.</w:t>
      </w:r>
      <w:r w:rsidR="00C72FA4" w:rsidRPr="00080469">
        <w:rPr>
          <w:rFonts w:ascii="Times New Roman" w:hAnsi="Times New Roman" w:cs="Times New Roman"/>
          <w:sz w:val="24"/>
          <w:szCs w:val="24"/>
        </w:rPr>
        <w:t xml:space="preserve"> Miasto Białystok realizowało </w:t>
      </w:r>
      <w:r w:rsidR="00C72FA4" w:rsidRPr="00080469">
        <w:rPr>
          <w:rFonts w:ascii="Times New Roman" w:hAnsi="Times New Roman" w:cs="Times New Roman"/>
          <w:b/>
          <w:sz w:val="24"/>
          <w:szCs w:val="24"/>
        </w:rPr>
        <w:t>Program „Karta Aktywnego Seniora”.</w:t>
      </w:r>
      <w:r w:rsidR="00C72FA4" w:rsidRPr="00080469">
        <w:rPr>
          <w:rFonts w:ascii="Times New Roman" w:hAnsi="Times New Roman" w:cs="Times New Roman"/>
          <w:sz w:val="24"/>
          <w:szCs w:val="24"/>
        </w:rPr>
        <w:t xml:space="preserve"> Program realizowany przez Miasto Białystok od dnia 01.06.2015 r. jest skierowany do osób, które ukończyły 60 rok życia oraz zamieszkują na terenie Miasta Białegostoku. W 2019 r. Kartę wydano 2 623 seniorom, natomiast od początku trwan</w:t>
      </w:r>
      <w:r w:rsidR="00BC02D8">
        <w:rPr>
          <w:rFonts w:ascii="Times New Roman" w:hAnsi="Times New Roman" w:cs="Times New Roman"/>
          <w:sz w:val="24"/>
          <w:szCs w:val="24"/>
        </w:rPr>
        <w:t xml:space="preserve">ia Programu do grudnia 2019 r. </w:t>
      </w:r>
      <w:r w:rsidR="00C72FA4" w:rsidRPr="00080469">
        <w:rPr>
          <w:rFonts w:ascii="Times New Roman" w:hAnsi="Times New Roman" w:cs="Times New Roman"/>
          <w:sz w:val="24"/>
          <w:szCs w:val="24"/>
        </w:rPr>
        <w:t>przystąpiło do niego</w:t>
      </w:r>
      <w:r w:rsidR="00C72FA4" w:rsidRPr="00080469">
        <w:rPr>
          <w:rFonts w:ascii="Times New Roman" w:hAnsi="Times New Roman" w:cs="Times New Roman"/>
          <w:b/>
          <w:sz w:val="24"/>
          <w:szCs w:val="24"/>
        </w:rPr>
        <w:t xml:space="preserve"> </w:t>
      </w:r>
      <w:r w:rsidR="00C72FA4" w:rsidRPr="00080469">
        <w:rPr>
          <w:rFonts w:ascii="Times New Roman" w:hAnsi="Times New Roman" w:cs="Times New Roman"/>
          <w:sz w:val="24"/>
          <w:szCs w:val="24"/>
        </w:rPr>
        <w:t>w</w:t>
      </w:r>
      <w:r w:rsidR="00C72FA4" w:rsidRPr="00080469">
        <w:rPr>
          <w:rFonts w:ascii="Times New Roman" w:hAnsi="Times New Roman" w:cs="Times New Roman"/>
          <w:b/>
          <w:sz w:val="24"/>
          <w:szCs w:val="24"/>
        </w:rPr>
        <w:t xml:space="preserve"> </w:t>
      </w:r>
      <w:r w:rsidR="00C72FA4" w:rsidRPr="00080469">
        <w:rPr>
          <w:rFonts w:ascii="Times New Roman" w:hAnsi="Times New Roman" w:cs="Times New Roman"/>
          <w:sz w:val="24"/>
          <w:szCs w:val="24"/>
        </w:rPr>
        <w:t xml:space="preserve">sumie 15 437 osób. Program „Karta Aktywnego Seniora” posiada swoją zakładkę na głównej stronie portalu miejskiego </w:t>
      </w:r>
      <w:hyperlink r:id="rId36" w:history="1">
        <w:r w:rsidR="00C72FA4" w:rsidRPr="00080469">
          <w:rPr>
            <w:rStyle w:val="Hipercze"/>
            <w:rFonts w:ascii="Times New Roman" w:hAnsi="Times New Roman" w:cs="Times New Roman"/>
            <w:sz w:val="24"/>
            <w:szCs w:val="24"/>
          </w:rPr>
          <w:t>www.bialystok.pl</w:t>
        </w:r>
      </w:hyperlink>
      <w:r w:rsidR="00C72FA4" w:rsidRPr="00080469">
        <w:rPr>
          <w:rFonts w:ascii="Times New Roman" w:hAnsi="Times New Roman" w:cs="Times New Roman"/>
          <w:sz w:val="24"/>
          <w:szCs w:val="24"/>
        </w:rPr>
        <w:t xml:space="preserve">. </w:t>
      </w:r>
      <w:r w:rsidR="002C25A0" w:rsidRPr="00080469">
        <w:rPr>
          <w:rFonts w:ascii="Times New Roman" w:hAnsi="Times New Roman" w:cs="Times New Roman"/>
          <w:sz w:val="24"/>
          <w:szCs w:val="24"/>
        </w:rPr>
        <w:t xml:space="preserve">Zawiera ona informacje </w:t>
      </w:r>
      <w:r w:rsidR="00C72FA4" w:rsidRPr="00080469">
        <w:rPr>
          <w:rFonts w:ascii="Times New Roman" w:hAnsi="Times New Roman" w:cs="Times New Roman"/>
          <w:sz w:val="24"/>
          <w:szCs w:val="24"/>
        </w:rPr>
        <w:t>o  Programie, k</w:t>
      </w:r>
      <w:r w:rsidR="002C25A0" w:rsidRPr="00080469">
        <w:rPr>
          <w:rFonts w:ascii="Times New Roman" w:hAnsi="Times New Roman" w:cs="Times New Roman"/>
          <w:sz w:val="24"/>
          <w:szCs w:val="24"/>
        </w:rPr>
        <w:t xml:space="preserve">orzyści dla seniorów wynikające </w:t>
      </w:r>
      <w:r w:rsidR="00C72FA4" w:rsidRPr="00080469">
        <w:rPr>
          <w:rFonts w:ascii="Times New Roman" w:hAnsi="Times New Roman" w:cs="Times New Roman"/>
          <w:sz w:val="24"/>
          <w:szCs w:val="24"/>
        </w:rPr>
        <w:t>z przystąpienia do Programu, zasad</w:t>
      </w:r>
      <w:r w:rsidR="002C25A0" w:rsidRPr="00080469">
        <w:rPr>
          <w:rFonts w:ascii="Times New Roman" w:hAnsi="Times New Roman" w:cs="Times New Roman"/>
          <w:sz w:val="24"/>
          <w:szCs w:val="24"/>
        </w:rPr>
        <w:t xml:space="preserve">y przystąpienia, informacje dla </w:t>
      </w:r>
      <w:r w:rsidR="00C72FA4" w:rsidRPr="00080469">
        <w:rPr>
          <w:rFonts w:ascii="Times New Roman" w:hAnsi="Times New Roman" w:cs="Times New Roman"/>
          <w:sz w:val="24"/>
          <w:szCs w:val="24"/>
        </w:rPr>
        <w:t>potencjalnych partnerów o możl</w:t>
      </w:r>
      <w:r w:rsidR="002C25A0" w:rsidRPr="00080469">
        <w:rPr>
          <w:rFonts w:ascii="Times New Roman" w:hAnsi="Times New Roman" w:cs="Times New Roman"/>
          <w:sz w:val="24"/>
          <w:szCs w:val="24"/>
        </w:rPr>
        <w:t>iwościach przystąpienia do Programu oraz listę partnerów. W 2019 r.</w:t>
      </w:r>
      <w:r w:rsidR="00C72FA4" w:rsidRPr="00080469">
        <w:rPr>
          <w:rFonts w:ascii="Times New Roman" w:hAnsi="Times New Roman" w:cs="Times New Roman"/>
          <w:sz w:val="24"/>
          <w:szCs w:val="24"/>
        </w:rPr>
        <w:t xml:space="preserve"> cele Programu realizowane by</w:t>
      </w:r>
      <w:r w:rsidR="002C25A0" w:rsidRPr="00080469">
        <w:rPr>
          <w:rFonts w:ascii="Times New Roman" w:hAnsi="Times New Roman" w:cs="Times New Roman"/>
          <w:sz w:val="24"/>
          <w:szCs w:val="24"/>
        </w:rPr>
        <w:t xml:space="preserve">ły przez opracowanie, promocję </w:t>
      </w:r>
      <w:r w:rsidR="00C72FA4" w:rsidRPr="00080469">
        <w:rPr>
          <w:rFonts w:ascii="Times New Roman" w:hAnsi="Times New Roman" w:cs="Times New Roman"/>
          <w:sz w:val="24"/>
          <w:szCs w:val="24"/>
        </w:rPr>
        <w:t>i koordynację systemu ulg, preferencji i świadczeń udzielanych beneficjentom przez:</w:t>
      </w:r>
      <w:r w:rsidR="002C25A0" w:rsidRPr="00080469">
        <w:rPr>
          <w:rFonts w:ascii="Times New Roman" w:hAnsi="Times New Roman" w:cs="Times New Roman"/>
          <w:sz w:val="24"/>
          <w:szCs w:val="24"/>
        </w:rPr>
        <w:t xml:space="preserve"> </w:t>
      </w:r>
      <w:r w:rsidR="00C72FA4" w:rsidRPr="00080469">
        <w:rPr>
          <w:rFonts w:ascii="Times New Roman" w:hAnsi="Times New Roman" w:cs="Times New Roman"/>
          <w:sz w:val="24"/>
          <w:szCs w:val="24"/>
        </w:rPr>
        <w:t xml:space="preserve">gminne jednostki </w:t>
      </w:r>
      <w:r w:rsidR="002C25A0" w:rsidRPr="00080469">
        <w:rPr>
          <w:rFonts w:ascii="Times New Roman" w:hAnsi="Times New Roman" w:cs="Times New Roman"/>
          <w:sz w:val="24"/>
          <w:szCs w:val="24"/>
        </w:rPr>
        <w:t xml:space="preserve">organizacyjne Miasta Białystok, </w:t>
      </w:r>
      <w:r w:rsidR="00C72FA4" w:rsidRPr="00080469">
        <w:rPr>
          <w:rFonts w:ascii="Times New Roman" w:hAnsi="Times New Roman" w:cs="Times New Roman"/>
          <w:sz w:val="24"/>
          <w:szCs w:val="24"/>
        </w:rPr>
        <w:t>spółki prawa handlowego ze 100 % udziałem Miasta Białystok,</w:t>
      </w:r>
      <w:r w:rsidR="002C25A0" w:rsidRPr="00080469">
        <w:rPr>
          <w:rFonts w:ascii="Times New Roman" w:hAnsi="Times New Roman" w:cs="Times New Roman"/>
          <w:sz w:val="24"/>
          <w:szCs w:val="24"/>
        </w:rPr>
        <w:t xml:space="preserve"> </w:t>
      </w:r>
      <w:r w:rsidR="00C72FA4" w:rsidRPr="00080469">
        <w:rPr>
          <w:rFonts w:ascii="Times New Roman" w:hAnsi="Times New Roman" w:cs="Times New Roman"/>
          <w:sz w:val="24"/>
          <w:szCs w:val="24"/>
        </w:rPr>
        <w:t>inne jednostki i instytucje publiczne oraz organiz</w:t>
      </w:r>
      <w:r>
        <w:rPr>
          <w:rFonts w:ascii="Times New Roman" w:hAnsi="Times New Roman" w:cs="Times New Roman"/>
          <w:sz w:val="24"/>
          <w:szCs w:val="24"/>
        </w:rPr>
        <w:t xml:space="preserve">acje pozarządowe, a także firmy </w:t>
      </w:r>
      <w:r w:rsidR="00C72FA4" w:rsidRPr="00080469">
        <w:rPr>
          <w:rFonts w:ascii="Times New Roman" w:hAnsi="Times New Roman" w:cs="Times New Roman"/>
          <w:sz w:val="24"/>
          <w:szCs w:val="24"/>
        </w:rPr>
        <w:t>i przedsiębiorców prowadzących działalność gospodarczą na terenie Miasta Białystok                  i poza nim, które uzyskały status partnera Programu.</w:t>
      </w:r>
    </w:p>
    <w:p w14:paraId="0221A138" w14:textId="77777777" w:rsidR="00080469" w:rsidRDefault="002C25A0" w:rsidP="00E7359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5F32963E" w14:textId="77777777" w:rsidR="00C72FA4" w:rsidRPr="005F0A32" w:rsidRDefault="00C72FA4"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W ramach realizacji założeń Karty Aktywnego Seniora w 2019 roku seniorzy mogli kupić bilety wstępu do miejskich instytucji kultury, takich jak: Białostocki Ośrodek Kultury, Białostocki </w:t>
      </w:r>
      <w:r w:rsidRPr="005F0A32">
        <w:rPr>
          <w:rFonts w:ascii="Times New Roman" w:hAnsi="Times New Roman" w:cs="Times New Roman"/>
          <w:sz w:val="24"/>
          <w:szCs w:val="24"/>
        </w:rPr>
        <w:lastRenderedPageBreak/>
        <w:t>Teatr Lalek, Muzeum Wojska, Galerii Arsenał, Galerii im. Ślendzińskich, a także Białostockiego Ośrodka Sportu i Rekreacji z 50% zniżką oraz skorzystać w niższych cenach                z usług firm i przedsiębiorców, którzy uzyskali statu</w:t>
      </w:r>
      <w:r w:rsidR="00BC02D8">
        <w:rPr>
          <w:rFonts w:ascii="Times New Roman" w:hAnsi="Times New Roman" w:cs="Times New Roman"/>
          <w:sz w:val="24"/>
          <w:szCs w:val="24"/>
        </w:rPr>
        <w:t>s partnera Programu. W 2019 r.</w:t>
      </w:r>
      <w:r w:rsidRPr="005F0A32">
        <w:rPr>
          <w:rFonts w:ascii="Times New Roman" w:hAnsi="Times New Roman" w:cs="Times New Roman"/>
          <w:sz w:val="24"/>
          <w:szCs w:val="24"/>
        </w:rPr>
        <w:t xml:space="preserve"> partnerami programu poza jednostkami miejskimi było 47 firm i przedsiębiorców. Seniorzy kupili w sumie 34 524 bilety wstępu do ww. instytucji miejskich, korzystając w ten sposób z ulg na łączną kwotę 276 296,10 zł.</w:t>
      </w:r>
    </w:p>
    <w:p w14:paraId="32BAAB82" w14:textId="77777777" w:rsidR="0003542C" w:rsidRDefault="0003542C" w:rsidP="00E7359C">
      <w:pPr>
        <w:spacing w:after="0"/>
        <w:jc w:val="both"/>
        <w:rPr>
          <w:rFonts w:ascii="Times New Roman" w:hAnsi="Times New Roman" w:cs="Times New Roman"/>
          <w:sz w:val="24"/>
          <w:szCs w:val="24"/>
        </w:rPr>
      </w:pPr>
    </w:p>
    <w:p w14:paraId="3E5262AF" w14:textId="77777777" w:rsidR="00C72FA4" w:rsidRPr="005F0A32" w:rsidRDefault="00C72FA4"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Ponadto w ramach Karty Aktywnego Seniora os</w:t>
      </w:r>
      <w:r w:rsidR="0003542C">
        <w:rPr>
          <w:rFonts w:ascii="Times New Roman" w:hAnsi="Times New Roman" w:cs="Times New Roman"/>
          <w:sz w:val="24"/>
          <w:szCs w:val="24"/>
        </w:rPr>
        <w:t xml:space="preserve">oby, które osiągnęły dochód </w:t>
      </w:r>
      <w:r w:rsidRPr="005F0A32">
        <w:rPr>
          <w:rFonts w:ascii="Times New Roman" w:hAnsi="Times New Roman" w:cs="Times New Roman"/>
          <w:sz w:val="24"/>
          <w:szCs w:val="24"/>
        </w:rPr>
        <w:t>w wysokości niższej od kryterium dochodowego obowiązują</w:t>
      </w:r>
      <w:r w:rsidR="0003542C">
        <w:rPr>
          <w:rFonts w:ascii="Times New Roman" w:hAnsi="Times New Roman" w:cs="Times New Roman"/>
          <w:sz w:val="24"/>
          <w:szCs w:val="24"/>
        </w:rPr>
        <w:t>cego przy udzielaniu świadczeń</w:t>
      </w:r>
      <w:r w:rsidRPr="005F0A32">
        <w:rPr>
          <w:rFonts w:ascii="Times New Roman" w:hAnsi="Times New Roman" w:cs="Times New Roman"/>
          <w:sz w:val="24"/>
          <w:szCs w:val="24"/>
        </w:rPr>
        <w:t xml:space="preserve"> z pomocy społecznej, mogły ubiegać się o bilet specjalny seniora, który uprawni</w:t>
      </w:r>
      <w:r w:rsidR="0003542C">
        <w:rPr>
          <w:rFonts w:ascii="Times New Roman" w:hAnsi="Times New Roman" w:cs="Times New Roman"/>
          <w:sz w:val="24"/>
          <w:szCs w:val="24"/>
        </w:rPr>
        <w:t xml:space="preserve">a do </w:t>
      </w:r>
      <w:r w:rsidRPr="005F0A32">
        <w:rPr>
          <w:rFonts w:ascii="Times New Roman" w:hAnsi="Times New Roman" w:cs="Times New Roman"/>
          <w:sz w:val="24"/>
          <w:szCs w:val="24"/>
        </w:rPr>
        <w:t>przejazdów Białostocką Komunikacją Miejską. Bilet roczny w cenie 120,00 zł nabyło</w:t>
      </w:r>
      <w:r w:rsidR="0003542C">
        <w:rPr>
          <w:rFonts w:ascii="Times New Roman" w:hAnsi="Times New Roman" w:cs="Times New Roman"/>
          <w:sz w:val="24"/>
          <w:szCs w:val="24"/>
        </w:rPr>
        <w:t xml:space="preserve"> w 2019 r.</w:t>
      </w:r>
      <w:r w:rsidRPr="005F0A32">
        <w:rPr>
          <w:rFonts w:ascii="Times New Roman" w:hAnsi="Times New Roman" w:cs="Times New Roman"/>
          <w:sz w:val="24"/>
          <w:szCs w:val="24"/>
        </w:rPr>
        <w:t xml:space="preserve"> 143 seniorów.</w:t>
      </w:r>
    </w:p>
    <w:p w14:paraId="79A09FD9" w14:textId="77777777" w:rsidR="0003542C" w:rsidRDefault="0003542C" w:rsidP="00E7359C">
      <w:pPr>
        <w:tabs>
          <w:tab w:val="left" w:pos="709"/>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22214497" w14:textId="77777777" w:rsidR="0003542C" w:rsidRDefault="00C72FA4" w:rsidP="00E7359C">
      <w:pPr>
        <w:tabs>
          <w:tab w:val="left" w:pos="709"/>
        </w:tabs>
        <w:spacing w:after="0"/>
        <w:jc w:val="both"/>
        <w:rPr>
          <w:rFonts w:ascii="Times New Roman" w:hAnsi="Times New Roman" w:cs="Times New Roman"/>
          <w:sz w:val="24"/>
          <w:szCs w:val="24"/>
        </w:rPr>
      </w:pPr>
      <w:r w:rsidRPr="005F0A32">
        <w:rPr>
          <w:rFonts w:ascii="Times New Roman" w:hAnsi="Times New Roman" w:cs="Times New Roman"/>
          <w:sz w:val="24"/>
          <w:szCs w:val="24"/>
        </w:rPr>
        <w:t>Dodatkowo osoby, które ukończyły 70 rok życia mogły korzystać z bezpłatnych przejazdów Białostocką Komunikacją Miejską na podstawie dokumentu potwierdzającego tożsamość i wiek podróżnego, natomiast emeryci - z 50% ulgi na zakup biletu na podstawie legitymacji emer</w:t>
      </w:r>
      <w:r w:rsidR="0003542C">
        <w:rPr>
          <w:rFonts w:ascii="Times New Roman" w:hAnsi="Times New Roman" w:cs="Times New Roman"/>
          <w:sz w:val="24"/>
          <w:szCs w:val="24"/>
        </w:rPr>
        <w:t>yta oraz dowodu osobistego.</w:t>
      </w:r>
    </w:p>
    <w:p w14:paraId="715118F6" w14:textId="77777777" w:rsidR="0003542C" w:rsidRDefault="0003542C" w:rsidP="00E7359C">
      <w:pPr>
        <w:tabs>
          <w:tab w:val="left" w:pos="709"/>
        </w:tabs>
        <w:spacing w:after="0"/>
        <w:jc w:val="both"/>
        <w:rPr>
          <w:rFonts w:ascii="Times New Roman" w:hAnsi="Times New Roman" w:cs="Times New Roman"/>
          <w:sz w:val="24"/>
          <w:szCs w:val="24"/>
        </w:rPr>
      </w:pPr>
    </w:p>
    <w:p w14:paraId="4F3799D7" w14:textId="77777777" w:rsidR="00C72FA4" w:rsidRPr="005F0A32" w:rsidRDefault="00C72FA4" w:rsidP="00E7359C">
      <w:pPr>
        <w:tabs>
          <w:tab w:val="left" w:pos="709"/>
        </w:tabs>
        <w:spacing w:after="0"/>
        <w:jc w:val="both"/>
        <w:rPr>
          <w:rFonts w:ascii="Times New Roman" w:hAnsi="Times New Roman" w:cs="Times New Roman"/>
          <w:sz w:val="24"/>
          <w:szCs w:val="24"/>
        </w:rPr>
      </w:pPr>
      <w:r w:rsidRPr="005F0A32">
        <w:rPr>
          <w:rFonts w:ascii="Times New Roman" w:hAnsi="Times New Roman" w:cs="Times New Roman"/>
          <w:sz w:val="24"/>
          <w:szCs w:val="24"/>
        </w:rPr>
        <w:t>Osoby niepełnosprawne, w tym także niepe</w:t>
      </w:r>
      <w:r w:rsidR="00BC02D8">
        <w:rPr>
          <w:rFonts w:ascii="Times New Roman" w:hAnsi="Times New Roman" w:cs="Times New Roman"/>
          <w:sz w:val="24"/>
          <w:szCs w:val="24"/>
        </w:rPr>
        <w:t>łnosprawni seniorzy, w 2019 r.</w:t>
      </w:r>
      <w:r w:rsidRPr="005F0A32">
        <w:rPr>
          <w:rFonts w:ascii="Times New Roman" w:hAnsi="Times New Roman" w:cs="Times New Roman"/>
          <w:sz w:val="24"/>
          <w:szCs w:val="24"/>
        </w:rPr>
        <w:t xml:space="preserve"> mogli również korzystać ze specjalnych usług przewozowych świadczonych przez Białostocką Komunikację Miejską. Z przejazdów mikrobusami mogły korzystać wszystkie osoby niepełnosprawne, szczególnie osoby poruszające się na wózkach inwalidzkich. Wszystkie kursy odbywały się w dni powszednie w godz. 6.00–22.00. Takie usługi mogły być także świadczone w weekendy i święta, w zależności od potrzeb i możliwości przewozowych.</w:t>
      </w:r>
    </w:p>
    <w:p w14:paraId="2315AC57" w14:textId="77777777" w:rsidR="0003542C" w:rsidRDefault="0003542C" w:rsidP="00E7359C">
      <w:pPr>
        <w:pStyle w:val="NormalnyWeb"/>
        <w:spacing w:after="0"/>
        <w:jc w:val="both"/>
      </w:pPr>
    </w:p>
    <w:p w14:paraId="11815A47" w14:textId="77777777" w:rsidR="00600C38" w:rsidRDefault="00C72FA4" w:rsidP="00E7359C">
      <w:pPr>
        <w:pStyle w:val="NormalnyWeb"/>
        <w:spacing w:after="0"/>
        <w:jc w:val="both"/>
      </w:pPr>
      <w:r w:rsidRPr="005F0A32">
        <w:t>Jednym z istotnych celów Programu „Karta Aktywnego Seniora”, od początku jego trwania, jest poprawa jakości życia seniorów, promocja zdr</w:t>
      </w:r>
      <w:r w:rsidR="00BC02D8">
        <w:t>owia i profilaktyka. W 2019 r.</w:t>
      </w:r>
      <w:r w:rsidRPr="005F0A32">
        <w:t xml:space="preserve"> Stowarzyszenie „Pro Salute” we współpracy z Wydziałem Nauk o Zdrowiu Uniwersytetu Medycznego w Białymstoku na podstawie umowy dotacyjnej z Miastem Białystok realizowało kolejne edycje Uniwersytetu Zdrowego Seniora i Uniwersytetu Profilaktyki Psychogeriatrycznej. </w:t>
      </w:r>
    </w:p>
    <w:p w14:paraId="2A711303" w14:textId="77777777" w:rsidR="00600C38" w:rsidRDefault="00600C38" w:rsidP="00E7359C">
      <w:pPr>
        <w:pStyle w:val="NormalnyWeb"/>
        <w:spacing w:after="0"/>
        <w:jc w:val="both"/>
      </w:pPr>
    </w:p>
    <w:p w14:paraId="4EF31CED" w14:textId="77777777" w:rsidR="00C72FA4" w:rsidRPr="005F0A32" w:rsidRDefault="00C72FA4" w:rsidP="00E7359C">
      <w:pPr>
        <w:pStyle w:val="NormalnyWeb"/>
        <w:spacing w:after="0"/>
        <w:jc w:val="both"/>
      </w:pPr>
      <w:r w:rsidRPr="005F0A32">
        <w:rPr>
          <w:b/>
          <w:bCs/>
        </w:rPr>
        <w:t>Uniwersytet Zdrowego Seniora</w:t>
      </w:r>
      <w:r w:rsidRPr="005F0A32">
        <w:rPr>
          <w:b/>
        </w:rPr>
        <w:t xml:space="preserve"> to projekt</w:t>
      </w:r>
      <w:r w:rsidRPr="005F0A32">
        <w:t xml:space="preserve"> prozdrowotny skierowany do mieszkańców Białegostoku w wieku 60 lat i więcej. Uczestnikami UZS było 50 seniorów. Zajęcia odbywały się 2 razy w miesiącu przez cały rok akademicki. Program zajęć UZS wykorzystywał następujące metody dydaktyczne: </w:t>
      </w:r>
    </w:p>
    <w:p w14:paraId="5FA98AD6" w14:textId="77777777" w:rsidR="00B155A4" w:rsidRDefault="00C72FA4" w:rsidP="008C71A9">
      <w:pPr>
        <w:pStyle w:val="Akapitzlist"/>
        <w:numPr>
          <w:ilvl w:val="0"/>
          <w:numId w:val="137"/>
        </w:numPr>
        <w:spacing w:after="0"/>
        <w:ind w:left="360"/>
        <w:jc w:val="both"/>
        <w:rPr>
          <w:rFonts w:ascii="Times New Roman" w:hAnsi="Times New Roman" w:cs="Times New Roman"/>
          <w:sz w:val="24"/>
          <w:szCs w:val="24"/>
        </w:rPr>
      </w:pPr>
      <w:r w:rsidRPr="00600C38">
        <w:rPr>
          <w:rFonts w:ascii="Times New Roman" w:hAnsi="Times New Roman" w:cs="Times New Roman"/>
          <w:sz w:val="24"/>
          <w:szCs w:val="24"/>
        </w:rPr>
        <w:t>wykłady specjalistów z różnych dziedzin nauk medycznych i nauk o zdrowiu, mające na celu poszerzanie wiedzy w zakresie wykorzystywania najnowszych osiągnięć nauki i techniki w rozwiązywaniu kluczowych problemów zdrowo</w:t>
      </w:r>
      <w:r w:rsidR="00B155A4">
        <w:rPr>
          <w:rFonts w:ascii="Times New Roman" w:hAnsi="Times New Roman" w:cs="Times New Roman"/>
          <w:sz w:val="24"/>
          <w:szCs w:val="24"/>
        </w:rPr>
        <w:t>tnych u ludzi w podeszłym wieku,</w:t>
      </w:r>
    </w:p>
    <w:p w14:paraId="06400C50" w14:textId="77777777" w:rsidR="00B155A4" w:rsidRDefault="00C72FA4" w:rsidP="008C71A9">
      <w:pPr>
        <w:pStyle w:val="Akapitzlist"/>
        <w:numPr>
          <w:ilvl w:val="0"/>
          <w:numId w:val="137"/>
        </w:numPr>
        <w:spacing w:after="0"/>
        <w:ind w:left="360"/>
        <w:jc w:val="both"/>
        <w:rPr>
          <w:rFonts w:ascii="Times New Roman" w:hAnsi="Times New Roman" w:cs="Times New Roman"/>
          <w:sz w:val="24"/>
          <w:szCs w:val="24"/>
        </w:rPr>
      </w:pPr>
      <w:r w:rsidRPr="00B155A4">
        <w:rPr>
          <w:rFonts w:ascii="Times New Roman" w:hAnsi="Times New Roman" w:cs="Times New Roman"/>
          <w:sz w:val="24"/>
          <w:szCs w:val="24"/>
        </w:rPr>
        <w:t>zajęcia praktyczne tj. ćwiczenia w pracowniach umiejętności i pracowniach specjalistycznych,</w:t>
      </w:r>
    </w:p>
    <w:p w14:paraId="622500FF" w14:textId="77777777" w:rsidR="00B155A4" w:rsidRDefault="00C72FA4" w:rsidP="008C71A9">
      <w:pPr>
        <w:pStyle w:val="Akapitzlist"/>
        <w:numPr>
          <w:ilvl w:val="0"/>
          <w:numId w:val="137"/>
        </w:numPr>
        <w:spacing w:after="0"/>
        <w:ind w:left="360"/>
        <w:jc w:val="both"/>
        <w:rPr>
          <w:rFonts w:ascii="Times New Roman" w:hAnsi="Times New Roman" w:cs="Times New Roman"/>
          <w:sz w:val="24"/>
          <w:szCs w:val="24"/>
        </w:rPr>
      </w:pPr>
      <w:r w:rsidRPr="00B155A4">
        <w:rPr>
          <w:rFonts w:ascii="Times New Roman" w:hAnsi="Times New Roman" w:cs="Times New Roman"/>
          <w:sz w:val="24"/>
          <w:szCs w:val="24"/>
        </w:rPr>
        <w:t>zajęcia z podstaw informatyki i obsługi internetu,</w:t>
      </w:r>
    </w:p>
    <w:p w14:paraId="40A42FB9" w14:textId="77777777" w:rsidR="00B155A4" w:rsidRDefault="00C72FA4" w:rsidP="008C71A9">
      <w:pPr>
        <w:pStyle w:val="Akapitzlist"/>
        <w:numPr>
          <w:ilvl w:val="0"/>
          <w:numId w:val="137"/>
        </w:numPr>
        <w:spacing w:after="0"/>
        <w:ind w:left="360"/>
        <w:jc w:val="both"/>
        <w:rPr>
          <w:rFonts w:ascii="Times New Roman" w:hAnsi="Times New Roman" w:cs="Times New Roman"/>
          <w:sz w:val="24"/>
          <w:szCs w:val="24"/>
        </w:rPr>
      </w:pPr>
      <w:r w:rsidRPr="00B155A4">
        <w:rPr>
          <w:rFonts w:ascii="Times New Roman" w:hAnsi="Times New Roman" w:cs="Times New Roman"/>
          <w:sz w:val="24"/>
          <w:szCs w:val="24"/>
        </w:rPr>
        <w:t>zajęcia aktywizujące ruchowo, akcje promujące zdrowy styl życia, mające na celu poszerzanie wiedzy o możliwościach poprawy jakości życia ludzi w podeszłym wieku,</w:t>
      </w:r>
    </w:p>
    <w:p w14:paraId="75C7940F" w14:textId="77777777" w:rsidR="00B155A4" w:rsidRDefault="00C72FA4" w:rsidP="008C71A9">
      <w:pPr>
        <w:pStyle w:val="Akapitzlist"/>
        <w:numPr>
          <w:ilvl w:val="0"/>
          <w:numId w:val="137"/>
        </w:numPr>
        <w:spacing w:after="0"/>
        <w:ind w:left="360"/>
        <w:jc w:val="both"/>
        <w:rPr>
          <w:rFonts w:ascii="Times New Roman" w:hAnsi="Times New Roman" w:cs="Times New Roman"/>
          <w:sz w:val="24"/>
          <w:szCs w:val="24"/>
        </w:rPr>
      </w:pPr>
      <w:r w:rsidRPr="00B155A4">
        <w:rPr>
          <w:rFonts w:ascii="Times New Roman" w:hAnsi="Times New Roman" w:cs="Times New Roman"/>
          <w:sz w:val="24"/>
          <w:szCs w:val="24"/>
        </w:rPr>
        <w:t xml:space="preserve">dyskusje, </w:t>
      </w:r>
    </w:p>
    <w:p w14:paraId="04880B13" w14:textId="77777777" w:rsidR="00B155A4" w:rsidRDefault="00C72FA4" w:rsidP="008C71A9">
      <w:pPr>
        <w:pStyle w:val="Akapitzlist"/>
        <w:numPr>
          <w:ilvl w:val="0"/>
          <w:numId w:val="137"/>
        </w:numPr>
        <w:spacing w:after="0"/>
        <w:ind w:left="360"/>
        <w:jc w:val="both"/>
        <w:rPr>
          <w:rFonts w:ascii="Times New Roman" w:hAnsi="Times New Roman" w:cs="Times New Roman"/>
          <w:sz w:val="24"/>
          <w:szCs w:val="24"/>
        </w:rPr>
      </w:pPr>
      <w:r w:rsidRPr="00B155A4">
        <w:rPr>
          <w:rFonts w:ascii="Times New Roman" w:hAnsi="Times New Roman" w:cs="Times New Roman"/>
          <w:sz w:val="24"/>
          <w:szCs w:val="24"/>
        </w:rPr>
        <w:lastRenderedPageBreak/>
        <w:t>zajęcia fakultatywne, a także inne formy zajęć.</w:t>
      </w:r>
    </w:p>
    <w:p w14:paraId="721D82AF" w14:textId="77777777" w:rsidR="00B155A4" w:rsidRDefault="00B155A4" w:rsidP="00E7359C">
      <w:pPr>
        <w:spacing w:after="0"/>
        <w:jc w:val="both"/>
        <w:rPr>
          <w:rFonts w:ascii="Times New Roman" w:hAnsi="Times New Roman" w:cs="Times New Roman"/>
          <w:sz w:val="24"/>
          <w:szCs w:val="24"/>
        </w:rPr>
      </w:pPr>
    </w:p>
    <w:p w14:paraId="712B68E9" w14:textId="77777777" w:rsidR="00B155A4" w:rsidRDefault="00C72FA4" w:rsidP="00E7359C">
      <w:pPr>
        <w:spacing w:after="0"/>
        <w:jc w:val="both"/>
        <w:rPr>
          <w:rFonts w:ascii="Times New Roman" w:hAnsi="Times New Roman" w:cs="Times New Roman"/>
          <w:sz w:val="24"/>
          <w:szCs w:val="24"/>
        </w:rPr>
      </w:pPr>
      <w:r w:rsidRPr="00B155A4">
        <w:rPr>
          <w:rFonts w:ascii="Times New Roman" w:hAnsi="Times New Roman" w:cs="Times New Roman"/>
          <w:sz w:val="24"/>
          <w:szCs w:val="24"/>
        </w:rPr>
        <w:t xml:space="preserve">W ramach wykładów prowadzonych przez kadrę akademicką Uniwersytetu Medycznego w Białymstoku słuchacze otrzymali m.in. podstawowe informacje o chorobach neurologicznych wieku starszego, bezpieczeństwie farmakoterapii seniorów, stosowaniu suplementów diety w wieku podeszłym, kompleksowych informacji na temat udaru mózgu. </w:t>
      </w:r>
      <w:r w:rsidRPr="005F0A32">
        <w:rPr>
          <w:rFonts w:ascii="Times New Roman" w:hAnsi="Times New Roman" w:cs="Times New Roman"/>
          <w:sz w:val="24"/>
          <w:szCs w:val="24"/>
        </w:rPr>
        <w:t>Podczas zajęć praktyc</w:t>
      </w:r>
      <w:r w:rsidR="00B155A4">
        <w:rPr>
          <w:rFonts w:ascii="Times New Roman" w:hAnsi="Times New Roman" w:cs="Times New Roman"/>
          <w:sz w:val="24"/>
          <w:szCs w:val="24"/>
        </w:rPr>
        <w:t xml:space="preserve">znych seniorzy uczyli się m.in. </w:t>
      </w:r>
      <w:r w:rsidRPr="005F0A32">
        <w:rPr>
          <w:rFonts w:ascii="Times New Roman" w:hAnsi="Times New Roman" w:cs="Times New Roman"/>
          <w:sz w:val="24"/>
          <w:szCs w:val="24"/>
        </w:rPr>
        <w:t>prawidłowego pom</w:t>
      </w:r>
      <w:r w:rsidR="00B155A4">
        <w:rPr>
          <w:rFonts w:ascii="Times New Roman" w:hAnsi="Times New Roman" w:cs="Times New Roman"/>
          <w:sz w:val="24"/>
          <w:szCs w:val="24"/>
        </w:rPr>
        <w:t xml:space="preserve">iaru poziomu glikemii we krwi, pomiaru ciśnienia tętniczego, </w:t>
      </w:r>
      <w:r w:rsidRPr="005F0A32">
        <w:rPr>
          <w:rFonts w:ascii="Times New Roman" w:hAnsi="Times New Roman" w:cs="Times New Roman"/>
          <w:sz w:val="24"/>
          <w:szCs w:val="24"/>
        </w:rPr>
        <w:t>podstawowych zasa</w:t>
      </w:r>
      <w:r w:rsidR="00B155A4">
        <w:rPr>
          <w:rFonts w:ascii="Times New Roman" w:hAnsi="Times New Roman" w:cs="Times New Roman"/>
          <w:sz w:val="24"/>
          <w:szCs w:val="24"/>
        </w:rPr>
        <w:t xml:space="preserve">d udzielania pierwszej pomocy. </w:t>
      </w:r>
    </w:p>
    <w:p w14:paraId="29649DDE" w14:textId="77777777" w:rsidR="00B155A4" w:rsidRDefault="00B155A4" w:rsidP="00E7359C">
      <w:pPr>
        <w:spacing w:after="0"/>
        <w:jc w:val="both"/>
        <w:rPr>
          <w:rFonts w:ascii="Times New Roman" w:hAnsi="Times New Roman" w:cs="Times New Roman"/>
          <w:sz w:val="24"/>
          <w:szCs w:val="24"/>
        </w:rPr>
      </w:pPr>
    </w:p>
    <w:p w14:paraId="140924CB" w14:textId="77777777" w:rsidR="00D00E9E" w:rsidRDefault="00C72FA4"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W ramach zajęć fakultatywnych odbywała się m.i</w:t>
      </w:r>
      <w:r w:rsidR="00B155A4">
        <w:rPr>
          <w:rFonts w:ascii="Times New Roman" w:hAnsi="Times New Roman" w:cs="Times New Roman"/>
          <w:sz w:val="24"/>
          <w:szCs w:val="24"/>
        </w:rPr>
        <w:t>n. nauka prawidłowego chodzenia</w:t>
      </w:r>
      <w:r w:rsidRPr="005F0A32">
        <w:rPr>
          <w:rFonts w:ascii="Times New Roman" w:hAnsi="Times New Roman" w:cs="Times New Roman"/>
          <w:sz w:val="24"/>
          <w:szCs w:val="24"/>
        </w:rPr>
        <w:t xml:space="preserve"> z kijkami (Nordic Walking), nauka podstawowych zasad pielęgnacji osoby niepełnosprawnej, obłożnie chorej,</w:t>
      </w:r>
      <w:r w:rsidR="00B155A4">
        <w:rPr>
          <w:rFonts w:ascii="Times New Roman" w:hAnsi="Times New Roman" w:cs="Times New Roman"/>
          <w:sz w:val="24"/>
          <w:szCs w:val="24"/>
        </w:rPr>
        <w:t xml:space="preserve"> a także wnuczka i prawnuczka. </w:t>
      </w:r>
      <w:r w:rsidRPr="005F0A32">
        <w:rPr>
          <w:rFonts w:ascii="Times New Roman" w:hAnsi="Times New Roman" w:cs="Times New Roman"/>
          <w:sz w:val="24"/>
          <w:szCs w:val="24"/>
        </w:rPr>
        <w:t>W celu zapewnienia kontynuacji nauki</w:t>
      </w:r>
      <w:r w:rsidR="00D00E9E">
        <w:rPr>
          <w:rFonts w:ascii="Times New Roman" w:hAnsi="Times New Roman" w:cs="Times New Roman"/>
          <w:sz w:val="24"/>
          <w:szCs w:val="24"/>
        </w:rPr>
        <w:t xml:space="preserve"> </w:t>
      </w:r>
      <w:r w:rsidRPr="005F0A32">
        <w:rPr>
          <w:rFonts w:ascii="Times New Roman" w:hAnsi="Times New Roman" w:cs="Times New Roman"/>
          <w:sz w:val="24"/>
          <w:szCs w:val="24"/>
        </w:rPr>
        <w:t xml:space="preserve">zaproponowano seniorom uczestnictwo w </w:t>
      </w:r>
      <w:r w:rsidRPr="005F0A32">
        <w:rPr>
          <w:rFonts w:ascii="Times New Roman" w:hAnsi="Times New Roman" w:cs="Times New Roman"/>
          <w:bCs/>
          <w:sz w:val="24"/>
          <w:szCs w:val="24"/>
        </w:rPr>
        <w:t>"Uniwersytecie Profilaktyki Psychogeriatrycznej"</w:t>
      </w:r>
      <w:r w:rsidRPr="005F0A32">
        <w:rPr>
          <w:rFonts w:ascii="Times New Roman" w:hAnsi="Times New Roman" w:cs="Times New Roman"/>
          <w:sz w:val="24"/>
          <w:szCs w:val="24"/>
        </w:rPr>
        <w:t xml:space="preserve">. Jego adresatami byli absolwenci Uniwersytetu Zdrowego Seniora z poprzedniego roku akademickiego. Uczestnikami UPP było maksymalnie 50 seniorów. Zajęcia odbywały się raz w tygodniu w semestrze letnim </w:t>
      </w:r>
      <w:r w:rsidR="00D00E9E">
        <w:rPr>
          <w:rFonts w:ascii="Times New Roman" w:hAnsi="Times New Roman" w:cs="Times New Roman"/>
          <w:sz w:val="24"/>
          <w:szCs w:val="24"/>
        </w:rPr>
        <w:t xml:space="preserve">roku akademickiego. </w:t>
      </w:r>
    </w:p>
    <w:p w14:paraId="3DD53CBD" w14:textId="77777777" w:rsidR="00D00E9E" w:rsidRDefault="00D00E9E" w:rsidP="00E7359C">
      <w:pPr>
        <w:spacing w:after="0"/>
        <w:jc w:val="both"/>
        <w:rPr>
          <w:rFonts w:ascii="Times New Roman" w:hAnsi="Times New Roman" w:cs="Times New Roman"/>
          <w:sz w:val="24"/>
          <w:szCs w:val="24"/>
        </w:rPr>
      </w:pPr>
    </w:p>
    <w:p w14:paraId="3887F2F5" w14:textId="77777777" w:rsidR="00C72FA4" w:rsidRPr="005F0A32" w:rsidRDefault="00C72FA4"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Program zajęć UPP oparty był na wykładach specjalistów z zakresu psychiatrii, psychologii, geriatrii i nauk o zdrowiu, mających na celu poszerzanie wiedzy w zakresie wykorzystywania najnowszych osiągnięć nauki i techniki w rozwiązywaniu kluczowych problemów zdrowia psychicznego u ludzi w podeszłym wieku. </w:t>
      </w:r>
    </w:p>
    <w:p w14:paraId="528061BE" w14:textId="77777777" w:rsidR="00D00E9E" w:rsidRDefault="00D00E9E" w:rsidP="00E7359C">
      <w:pPr>
        <w:spacing w:after="0"/>
        <w:jc w:val="both"/>
        <w:rPr>
          <w:rFonts w:ascii="Times New Roman" w:hAnsi="Times New Roman" w:cs="Times New Roman"/>
          <w:sz w:val="24"/>
          <w:szCs w:val="24"/>
        </w:rPr>
      </w:pPr>
    </w:p>
    <w:p w14:paraId="22328D78" w14:textId="77777777" w:rsidR="00C72FA4" w:rsidRPr="005F0A32" w:rsidRDefault="00C72FA4"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W ramach wykładów prowadzonych przez kadrę akademicką Uniwersytetu Medycznego w Białymstoku słuchacze otrzymali podstawowe informacje na temat zasad leczenia i profilaktyki poszczególnych grup chorób psych</w:t>
      </w:r>
      <w:r w:rsidR="00D00E9E">
        <w:rPr>
          <w:rFonts w:ascii="Times New Roman" w:hAnsi="Times New Roman" w:cs="Times New Roman"/>
          <w:sz w:val="24"/>
          <w:szCs w:val="24"/>
        </w:rPr>
        <w:t xml:space="preserve">icznych okresu starości, m.in.: zaburzeń otępiennych, zaburzeń depresyjnych, zaburzeń lękowych, zaburzeń psychotycznych, </w:t>
      </w:r>
      <w:r w:rsidRPr="005F0A32">
        <w:rPr>
          <w:rFonts w:ascii="Times New Roman" w:hAnsi="Times New Roman" w:cs="Times New Roman"/>
          <w:sz w:val="24"/>
          <w:szCs w:val="24"/>
        </w:rPr>
        <w:t xml:space="preserve">uzależnień (od alkoholu, od leków) etc. </w:t>
      </w:r>
    </w:p>
    <w:p w14:paraId="0869E719" w14:textId="77777777" w:rsidR="00C72FA4" w:rsidRPr="005F0A32" w:rsidRDefault="00C72FA4" w:rsidP="00E7359C">
      <w:pPr>
        <w:spacing w:after="0"/>
        <w:jc w:val="both"/>
        <w:rPr>
          <w:rFonts w:ascii="Times New Roman" w:hAnsi="Times New Roman" w:cs="Times New Roman"/>
          <w:sz w:val="24"/>
          <w:szCs w:val="24"/>
        </w:rPr>
      </w:pPr>
    </w:p>
    <w:p w14:paraId="61D36DE4" w14:textId="77777777" w:rsidR="00C72FA4" w:rsidRPr="00D00E9E" w:rsidRDefault="00C72FA4" w:rsidP="00E7359C">
      <w:pPr>
        <w:pStyle w:val="NormalnyWeb"/>
        <w:tabs>
          <w:tab w:val="left" w:pos="851"/>
        </w:tabs>
        <w:spacing w:after="0"/>
        <w:jc w:val="both"/>
        <w:rPr>
          <w:shd w:val="clear" w:color="auto" w:fill="FFFFFF"/>
        </w:rPr>
      </w:pPr>
      <w:r w:rsidRPr="00D00E9E">
        <w:t>Regionalny Ośrodek Polityki Społecznej</w:t>
      </w:r>
      <w:r w:rsidR="00D00E9E">
        <w:rPr>
          <w:b/>
          <w:i/>
        </w:rPr>
        <w:t xml:space="preserve"> </w:t>
      </w:r>
      <w:r w:rsidR="00D00E9E" w:rsidRPr="00D00E9E">
        <w:t>r</w:t>
      </w:r>
      <w:r w:rsidRPr="005F0A32">
        <w:t>ealizował  w 2019 r. inicjatywy na rzecz osób starszych:</w:t>
      </w:r>
    </w:p>
    <w:p w14:paraId="072BAC6F" w14:textId="77777777" w:rsidR="00922B10" w:rsidRDefault="00C72FA4" w:rsidP="008C71A9">
      <w:pPr>
        <w:pStyle w:val="Akapitzlist"/>
        <w:numPr>
          <w:ilvl w:val="0"/>
          <w:numId w:val="138"/>
        </w:numPr>
        <w:suppressAutoHyphens/>
        <w:spacing w:after="0"/>
        <w:ind w:left="360"/>
        <w:jc w:val="both"/>
        <w:rPr>
          <w:rFonts w:ascii="Times New Roman" w:hAnsi="Times New Roman" w:cs="Times New Roman"/>
          <w:sz w:val="24"/>
          <w:szCs w:val="24"/>
        </w:rPr>
      </w:pPr>
      <w:r w:rsidRPr="00D00E9E">
        <w:rPr>
          <w:rFonts w:ascii="Times New Roman" w:hAnsi="Times New Roman" w:cs="Times New Roman"/>
          <w:b/>
          <w:sz w:val="24"/>
          <w:szCs w:val="24"/>
        </w:rPr>
        <w:t>„Światowy Dzień Inwalidy”</w:t>
      </w:r>
      <w:r w:rsidRPr="00D00E9E">
        <w:rPr>
          <w:rFonts w:ascii="Times New Roman" w:hAnsi="Times New Roman" w:cs="Times New Roman"/>
          <w:sz w:val="24"/>
          <w:szCs w:val="24"/>
        </w:rPr>
        <w:t xml:space="preserve"> - zorganizowany przez Zarząd Oddziału Okręgowego Polskiego Związku Emerytów, Rencistów i Inwalidów oraz Regionalny Ośrodek Polityki Społecznej w Białymstoku w dniu 8 maja 2019 r. pod hasłem: „Niepełnosprawni – różne potrzeby, równe prawa”. W obchodach Światowego Dnia Inwalidy wzięło udział kilkadziesiąt osób starszych i niepełnosprawnych z województwa podlaskiego, </w:t>
      </w:r>
    </w:p>
    <w:p w14:paraId="3182C151" w14:textId="77777777" w:rsidR="00922B10" w:rsidRDefault="00C72FA4" w:rsidP="008C71A9">
      <w:pPr>
        <w:pStyle w:val="Akapitzlist"/>
        <w:numPr>
          <w:ilvl w:val="0"/>
          <w:numId w:val="138"/>
        </w:numPr>
        <w:suppressAutoHyphens/>
        <w:spacing w:after="0"/>
        <w:ind w:left="360"/>
        <w:jc w:val="both"/>
        <w:rPr>
          <w:rFonts w:ascii="Times New Roman" w:hAnsi="Times New Roman" w:cs="Times New Roman"/>
          <w:sz w:val="24"/>
          <w:szCs w:val="24"/>
        </w:rPr>
      </w:pPr>
      <w:r w:rsidRPr="00922B10">
        <w:rPr>
          <w:rFonts w:ascii="Times New Roman" w:hAnsi="Times New Roman" w:cs="Times New Roman"/>
          <w:b/>
          <w:sz w:val="24"/>
          <w:szCs w:val="24"/>
        </w:rPr>
        <w:t>Warsztaty Edukacyjno – Informacyjne dla Seniorów</w:t>
      </w:r>
      <w:r w:rsidRPr="00922B10">
        <w:rPr>
          <w:rFonts w:ascii="Times New Roman" w:hAnsi="Times New Roman" w:cs="Times New Roman"/>
          <w:sz w:val="24"/>
          <w:szCs w:val="24"/>
        </w:rPr>
        <w:t xml:space="preserve"> - zorganizowane przez Zarząd Okręgowy Polskiego Związku Emerytów, Rencistów i Inwalidów, Oddział w Białymstoku we współpracy z Regionalnym Ośrodkiem Polityki Społecznej w  Białymstoku w dniu 19 listopada 2019 r. w kawiarni „W starym kinie” w Białymstoku. Podczas spotkania wygłoszono prelekcje na temat: „Łagodnych zaburzeń pamięci i funkcji poznawczych osób starszych” oraz „Najnowszych osiągnięć w wykrywaniu i leczeniu nowotworów”. Po wykładach odbyły się konsultacje indywidualne dla seniorów biorących udział w warsztatach. W spotkaniu wzięło udział ok. 20 osób starszych,</w:t>
      </w:r>
    </w:p>
    <w:p w14:paraId="003F139A" w14:textId="77777777" w:rsidR="00C72FA4" w:rsidRPr="00922B10" w:rsidRDefault="00C72FA4" w:rsidP="008C71A9">
      <w:pPr>
        <w:pStyle w:val="Akapitzlist"/>
        <w:numPr>
          <w:ilvl w:val="0"/>
          <w:numId w:val="138"/>
        </w:numPr>
        <w:suppressAutoHyphens/>
        <w:spacing w:after="0"/>
        <w:ind w:left="360"/>
        <w:jc w:val="both"/>
        <w:rPr>
          <w:rFonts w:ascii="Times New Roman" w:hAnsi="Times New Roman" w:cs="Times New Roman"/>
          <w:sz w:val="24"/>
          <w:szCs w:val="24"/>
        </w:rPr>
      </w:pPr>
      <w:r w:rsidRPr="00922B10">
        <w:rPr>
          <w:rFonts w:ascii="Times New Roman" w:hAnsi="Times New Roman" w:cs="Times New Roman"/>
          <w:sz w:val="24"/>
          <w:szCs w:val="24"/>
        </w:rPr>
        <w:t xml:space="preserve">działania przeciwdziałające izolacji i samotności ludzi starszych zagrożonych wykluczeniem społecznym </w:t>
      </w:r>
      <w:r w:rsidRPr="00922B10">
        <w:rPr>
          <w:rFonts w:ascii="Times New Roman" w:hAnsi="Times New Roman" w:cs="Times New Roman"/>
          <w:b/>
          <w:bCs/>
          <w:sz w:val="24"/>
          <w:szCs w:val="24"/>
        </w:rPr>
        <w:t xml:space="preserve">– </w:t>
      </w:r>
      <w:r w:rsidRPr="00922B10">
        <w:rPr>
          <w:rFonts w:ascii="Times New Roman" w:hAnsi="Times New Roman" w:cs="Times New Roman"/>
          <w:sz w:val="24"/>
          <w:szCs w:val="24"/>
        </w:rPr>
        <w:t xml:space="preserve">zakup artykułów spożywczych i przekazanie 16 paczek </w:t>
      </w:r>
      <w:r w:rsidRPr="00922B10">
        <w:rPr>
          <w:rFonts w:ascii="Times New Roman" w:hAnsi="Times New Roman" w:cs="Times New Roman"/>
          <w:sz w:val="24"/>
          <w:szCs w:val="24"/>
        </w:rPr>
        <w:lastRenderedPageBreak/>
        <w:t>najstarszym ubogim emerytom z terenu województwa podlaskiego we współpracy Regionalnego Ośrodka Polityki Społecznej w Białymstoku z Zarządem Okręgowym Polskiego Związku Emerytów, Rencistów i Inwalidów, Oddział w Białymstoku.</w:t>
      </w:r>
    </w:p>
    <w:p w14:paraId="0EDF9FE3" w14:textId="77777777" w:rsidR="00C72FA4" w:rsidRPr="005F0A32" w:rsidRDefault="00C72FA4" w:rsidP="00E7359C">
      <w:pPr>
        <w:pStyle w:val="NormalnyWeb"/>
        <w:tabs>
          <w:tab w:val="left" w:pos="851"/>
        </w:tabs>
        <w:spacing w:after="0"/>
        <w:jc w:val="both"/>
      </w:pPr>
    </w:p>
    <w:p w14:paraId="34058FFF" w14:textId="77777777" w:rsidR="00956D08" w:rsidRDefault="00C72FA4" w:rsidP="00E7359C">
      <w:pPr>
        <w:pStyle w:val="NormalnyWeb"/>
        <w:shd w:val="clear" w:color="auto" w:fill="FFFFFF"/>
        <w:tabs>
          <w:tab w:val="left" w:pos="709"/>
        </w:tabs>
        <w:spacing w:after="0"/>
        <w:jc w:val="both"/>
      </w:pPr>
      <w:r w:rsidRPr="005F0A32">
        <w:t xml:space="preserve">W 2019 r. </w:t>
      </w:r>
      <w:r w:rsidR="00922B10" w:rsidRPr="00922B10">
        <w:t xml:space="preserve">Komenda Wojewódzka Policji w Białymstoku kontynuowała </w:t>
      </w:r>
      <w:r w:rsidRPr="005F0A32">
        <w:t>realizację autorskiego wojewódzkiego programu profilaktycznego</w:t>
      </w:r>
      <w:r w:rsidRPr="005F0A32">
        <w:rPr>
          <w:b/>
        </w:rPr>
        <w:t xml:space="preserve"> </w:t>
      </w:r>
      <w:r w:rsidRPr="005F0A32">
        <w:t>pn.</w:t>
      </w:r>
      <w:r w:rsidRPr="005F0A32">
        <w:rPr>
          <w:b/>
        </w:rPr>
        <w:t xml:space="preserve"> „poMOC, a nie przeMOC!”</w:t>
      </w:r>
      <w:r w:rsidRPr="005F0A32">
        <w:t xml:space="preserve"> dotyczącego przeciwdziałania przemocy w rodzinie wobec osób starszych, schorowanych i niepełnosprawnych. W ramach tego programu zostały zrealizowane inicjatywy:</w:t>
      </w:r>
    </w:p>
    <w:p w14:paraId="54720B40" w14:textId="77777777" w:rsidR="00956D08" w:rsidRDefault="00956D08" w:rsidP="008C71A9">
      <w:pPr>
        <w:pStyle w:val="NormalnyWeb"/>
        <w:numPr>
          <w:ilvl w:val="0"/>
          <w:numId w:val="139"/>
        </w:numPr>
        <w:shd w:val="clear" w:color="auto" w:fill="FFFFFF"/>
        <w:tabs>
          <w:tab w:val="left" w:pos="709"/>
        </w:tabs>
        <w:spacing w:after="0"/>
        <w:ind w:left="360"/>
        <w:jc w:val="both"/>
      </w:pPr>
      <w:r>
        <w:t xml:space="preserve">w </w:t>
      </w:r>
      <w:r w:rsidR="00513838">
        <w:t xml:space="preserve">styczniu 2019 r. </w:t>
      </w:r>
      <w:r w:rsidR="00C72FA4" w:rsidRPr="005F0A32">
        <w:t xml:space="preserve">odbyło się </w:t>
      </w:r>
      <w:r w:rsidR="00922B10">
        <w:t xml:space="preserve">także </w:t>
      </w:r>
      <w:r w:rsidR="00C72FA4" w:rsidRPr="005F0A32">
        <w:t>spotkanie policjantów Wydziału Prewencji Komendy Miejskiej Policji w Białymstoku, Powiatowego Rzecznika Konsumentów, pracowników Urzędu Komunikacji Elektronicznej delegatury w Białymstoku z seniorami w Klubie Seniora „Obok Nas”. Poruszone zostały na nim tematy bezpiecznego podpisywania umów, składania reklamacji oraz problem oszustw dokonywanych na seniorach metodami m.in. na wnuczka, policjanta czy na hydraulika. Przedstawiono także zasady działania Krajowej Mapy Zagrożeń Bezpieczeństwa oraz Aplikacji Moja Komenda,</w:t>
      </w:r>
    </w:p>
    <w:p w14:paraId="36266B98" w14:textId="77777777" w:rsidR="00956D08" w:rsidRDefault="00956D08" w:rsidP="008C71A9">
      <w:pPr>
        <w:pStyle w:val="NormalnyWeb"/>
        <w:numPr>
          <w:ilvl w:val="0"/>
          <w:numId w:val="139"/>
        </w:numPr>
        <w:shd w:val="clear" w:color="auto" w:fill="FFFFFF"/>
        <w:tabs>
          <w:tab w:val="left" w:pos="709"/>
        </w:tabs>
        <w:spacing w:after="0"/>
        <w:ind w:left="360"/>
        <w:jc w:val="both"/>
      </w:pPr>
      <w:r>
        <w:t xml:space="preserve">w </w:t>
      </w:r>
      <w:r w:rsidR="00C72FA4" w:rsidRPr="00956D08">
        <w:t xml:space="preserve">okresie od kwietnia do października 2019 </w:t>
      </w:r>
      <w:r w:rsidR="00513838">
        <w:t xml:space="preserve">r. </w:t>
      </w:r>
      <w:r w:rsidR="00C72FA4" w:rsidRPr="00956D08">
        <w:t xml:space="preserve">realizowano projekt pn. </w:t>
      </w:r>
      <w:r w:rsidR="00C72FA4" w:rsidRPr="00956D08">
        <w:rPr>
          <w:b/>
          <w:bCs/>
        </w:rPr>
        <w:t>„Senior na czasie”</w:t>
      </w:r>
      <w:r w:rsidR="00C72FA4" w:rsidRPr="00956D08">
        <w:t>,</w:t>
      </w:r>
      <w:r w:rsidR="00C72FA4" w:rsidRPr="00956D08">
        <w:rPr>
          <w:b/>
          <w:bCs/>
        </w:rPr>
        <w:t xml:space="preserve"> </w:t>
      </w:r>
      <w:r w:rsidR="00C72FA4" w:rsidRPr="00956D08">
        <w:t>przy współpracy z Narodowym Bankiem Polskim Oddział w Białymstoku oraz Hufcem ZHP Białystok. Głównym jego celem był wzrost wiedzy i świadomości dotyczącej bezpieczeństwa, w tym transakcji finansowych seniorów oraz poprawnym zarządzaniem budżetem domowym. Swoim zasięgiem objął on 300 uczestników w wieku 60+ z miasta Białystok oraz z miejscowości Mońki, Łomża i Czarna Białostocka,</w:t>
      </w:r>
    </w:p>
    <w:p w14:paraId="7AFA7BC9" w14:textId="77777777" w:rsidR="00956D08" w:rsidRDefault="00956D08" w:rsidP="008C71A9">
      <w:pPr>
        <w:pStyle w:val="NormalnyWeb"/>
        <w:numPr>
          <w:ilvl w:val="0"/>
          <w:numId w:val="139"/>
        </w:numPr>
        <w:shd w:val="clear" w:color="auto" w:fill="FFFFFF"/>
        <w:tabs>
          <w:tab w:val="left" w:pos="709"/>
        </w:tabs>
        <w:spacing w:after="0"/>
        <w:ind w:left="360"/>
        <w:jc w:val="both"/>
      </w:pPr>
      <w:r>
        <w:t xml:space="preserve">w </w:t>
      </w:r>
      <w:r w:rsidR="00513838">
        <w:t>maju 2019 r.</w:t>
      </w:r>
      <w:r w:rsidR="00C72FA4" w:rsidRPr="00956D08">
        <w:t xml:space="preserve"> w Komendzie Wojewódzkiej Policji w Białymstoku odbyła się narada szkoleniowa policjantów specjalizujących się w przeciwdziałaniu przemocy w rodzinie. W spotkaniu uczestniczyli mundurowi z komend miejskich i powiatowych województwa podlaskiego,</w:t>
      </w:r>
    </w:p>
    <w:p w14:paraId="766BB87D" w14:textId="77777777" w:rsidR="00956D08" w:rsidRDefault="00956D08" w:rsidP="008C71A9">
      <w:pPr>
        <w:pStyle w:val="NormalnyWeb"/>
        <w:numPr>
          <w:ilvl w:val="0"/>
          <w:numId w:val="139"/>
        </w:numPr>
        <w:shd w:val="clear" w:color="auto" w:fill="FFFFFF"/>
        <w:tabs>
          <w:tab w:val="left" w:pos="709"/>
        </w:tabs>
        <w:spacing w:after="0"/>
        <w:ind w:left="360"/>
        <w:jc w:val="both"/>
      </w:pPr>
      <w:r>
        <w:t>we</w:t>
      </w:r>
      <w:r w:rsidR="00922B10" w:rsidRPr="00956D08">
        <w:t xml:space="preserve"> </w:t>
      </w:r>
      <w:r w:rsidR="00513838">
        <w:t>wrześniu 2019 r.</w:t>
      </w:r>
      <w:r w:rsidR="00C72FA4" w:rsidRPr="00956D08">
        <w:t xml:space="preserve"> w Łomży i w Suwałkach, zainaugurowana została kampania na rzecz bezpieczeństwa osób starszych pn. </w:t>
      </w:r>
      <w:r w:rsidR="00C72FA4" w:rsidRPr="00956D08">
        <w:rPr>
          <w:b/>
          <w:bCs/>
        </w:rPr>
        <w:t xml:space="preserve">"Pomóż się odnaleźć", </w:t>
      </w:r>
      <w:r w:rsidR="00C72FA4" w:rsidRPr="00956D08">
        <w:t>której celem było zapobieganie zaginięciom osób starszych, schorowanych i niepełnosprawnych często dotkniętych przemocą w rodzinie poprzez zaniedbanie. Inauguracji inicjatywy towarzyszyła premiera spotu społecznego pod tą samą nazwą. Kampania została przygotowana przez policjantów z Wydziału Prewencji Komendy Wojewódzkiej Policji w Białymstoku </w:t>
      </w:r>
      <w:r w:rsidR="00C72FA4" w:rsidRPr="00956D08">
        <w:rPr>
          <w:highlight w:val="white"/>
        </w:rPr>
        <w:t>we współpracy z Grupą Ratowniczą Stowarzyszenia Pomocy Rodzinom „Nadzieja” w Łomży, Oddziałem Wojewódzkim w Białymstoku Polskiego Stowarzyszenia Diabetyków, Nadleśnictwem Łomża i Komendą Miejską Policji w Łomży</w:t>
      </w:r>
      <w:r w:rsidR="00C72FA4" w:rsidRPr="00956D08">
        <w:t>,</w:t>
      </w:r>
    </w:p>
    <w:p w14:paraId="1D9197F6" w14:textId="77777777" w:rsidR="00C72FA4" w:rsidRPr="00956D08" w:rsidRDefault="00956D08" w:rsidP="008C71A9">
      <w:pPr>
        <w:pStyle w:val="NormalnyWeb"/>
        <w:numPr>
          <w:ilvl w:val="0"/>
          <w:numId w:val="139"/>
        </w:numPr>
        <w:shd w:val="clear" w:color="auto" w:fill="FFFFFF"/>
        <w:tabs>
          <w:tab w:val="left" w:pos="709"/>
        </w:tabs>
        <w:spacing w:after="0"/>
        <w:ind w:left="360"/>
        <w:jc w:val="both"/>
      </w:pPr>
      <w:r>
        <w:t xml:space="preserve">w </w:t>
      </w:r>
      <w:r w:rsidR="00513838">
        <w:t xml:space="preserve">listopadzie 2019 r. </w:t>
      </w:r>
      <w:r w:rsidR="00C72FA4" w:rsidRPr="00956D08">
        <w:t xml:space="preserve">w Hajnówce, miała miejsce konferencja, zorganizowana przy współpracy Wydziału Prewencji Komendy Wojewódzkiej Policji w Białymstoku </w:t>
      </w:r>
      <w:r w:rsidR="00C72FA4" w:rsidRPr="00956D08">
        <w:br/>
        <w:t xml:space="preserve">i Powiatowego Centrum Pomocy Rodzinie w Hajnówce. Przedstawione zostały na niej sposoby rozpoznawania zjawiska przemocy w rodzinie, a ratownik ze stowarzyszenia „Nadzieja”, zaprezentował aplikację </w:t>
      </w:r>
      <w:r w:rsidR="00C72FA4" w:rsidRPr="00956D08">
        <w:rPr>
          <w:b/>
          <w:bCs/>
        </w:rPr>
        <w:t>„Senior alert”</w:t>
      </w:r>
      <w:r w:rsidR="00C72FA4" w:rsidRPr="00956D08">
        <w:t>, uruchamianą w sytuacjach zaginięć osób starszych. W spotkaniu wzięli udział pracownicy socjalni i członkowie zespołów interdyscyplinarnych oraz seniorzy.</w:t>
      </w:r>
    </w:p>
    <w:p w14:paraId="757F7847" w14:textId="77777777" w:rsidR="00956D08" w:rsidRDefault="00956D08" w:rsidP="00E7359C">
      <w:pPr>
        <w:suppressAutoHyphens/>
        <w:spacing w:after="0"/>
        <w:jc w:val="both"/>
        <w:rPr>
          <w:rFonts w:ascii="Times New Roman" w:hAnsi="Times New Roman" w:cs="Times New Roman"/>
          <w:sz w:val="24"/>
          <w:szCs w:val="24"/>
        </w:rPr>
      </w:pPr>
      <w:r>
        <w:rPr>
          <w:rFonts w:ascii="Times New Roman" w:hAnsi="Times New Roman" w:cs="Times New Roman"/>
          <w:sz w:val="24"/>
          <w:szCs w:val="24"/>
        </w:rPr>
        <w:t>Kontynuowany był także program profilaktyczny</w:t>
      </w:r>
      <w:r w:rsidR="00C72FA4" w:rsidRPr="005F0A32">
        <w:rPr>
          <w:rFonts w:ascii="Times New Roman" w:hAnsi="Times New Roman" w:cs="Times New Roman"/>
          <w:sz w:val="24"/>
          <w:szCs w:val="24"/>
        </w:rPr>
        <w:t xml:space="preserve"> </w:t>
      </w:r>
      <w:r w:rsidR="00C72FA4" w:rsidRPr="005F0A32">
        <w:rPr>
          <w:rFonts w:ascii="Times New Roman" w:hAnsi="Times New Roman" w:cs="Times New Roman"/>
          <w:b/>
          <w:bCs/>
          <w:sz w:val="24"/>
          <w:szCs w:val="24"/>
        </w:rPr>
        <w:t>„Bezpieczny Senior”</w:t>
      </w:r>
      <w:r>
        <w:rPr>
          <w:rFonts w:ascii="Times New Roman" w:hAnsi="Times New Roman" w:cs="Times New Roman"/>
          <w:sz w:val="24"/>
          <w:szCs w:val="24"/>
        </w:rPr>
        <w:t>, rozpoczęty w 2018 r</w:t>
      </w:r>
      <w:r w:rsidR="00C72FA4" w:rsidRPr="005F0A32">
        <w:rPr>
          <w:rFonts w:ascii="Times New Roman" w:hAnsi="Times New Roman" w:cs="Times New Roman"/>
          <w:sz w:val="24"/>
          <w:szCs w:val="24"/>
        </w:rPr>
        <w:t xml:space="preserve">. </w:t>
      </w:r>
      <w:r>
        <w:rPr>
          <w:rFonts w:ascii="Times New Roman" w:hAnsi="Times New Roman" w:cs="Times New Roman"/>
          <w:sz w:val="24"/>
          <w:szCs w:val="24"/>
        </w:rPr>
        <w:t>Program został</w:t>
      </w:r>
      <w:r w:rsidR="00C72FA4" w:rsidRPr="005F0A32">
        <w:rPr>
          <w:rFonts w:ascii="Times New Roman" w:hAnsi="Times New Roman" w:cs="Times New Roman"/>
          <w:sz w:val="24"/>
          <w:szCs w:val="24"/>
        </w:rPr>
        <w:t xml:space="preserve"> opracowany przez Komendę Miejską Policji w Białymstoku przy współpracy z Urzędem Miasta Białystok i Bankiem Pocztowym oraz ROPS, MOPS, PSP, Zakładem </w:t>
      </w:r>
      <w:r w:rsidR="00C72FA4" w:rsidRPr="005F0A32">
        <w:rPr>
          <w:rFonts w:ascii="Times New Roman" w:hAnsi="Times New Roman" w:cs="Times New Roman"/>
          <w:sz w:val="24"/>
          <w:szCs w:val="24"/>
        </w:rPr>
        <w:lastRenderedPageBreak/>
        <w:t>Ubezpieczeń Społecznych w Białymstoku i Ośrodkiem dla Osób Pokrzywdzonych Przestępstwem w Białymstoku.</w:t>
      </w:r>
    </w:p>
    <w:p w14:paraId="363639AC" w14:textId="77777777" w:rsidR="00956D08" w:rsidRDefault="00956D08" w:rsidP="00E7359C">
      <w:pPr>
        <w:suppressAutoHyphens/>
        <w:spacing w:after="0"/>
        <w:jc w:val="both"/>
        <w:rPr>
          <w:rFonts w:ascii="Times New Roman" w:hAnsi="Times New Roman" w:cs="Times New Roman"/>
          <w:sz w:val="24"/>
          <w:szCs w:val="24"/>
        </w:rPr>
      </w:pPr>
    </w:p>
    <w:p w14:paraId="594F5B51" w14:textId="77777777" w:rsidR="00C72FA4" w:rsidRPr="005F0A32" w:rsidRDefault="00C72FA4" w:rsidP="00E7359C">
      <w:pPr>
        <w:suppressAutoHyphens/>
        <w:spacing w:after="0"/>
        <w:jc w:val="both"/>
        <w:rPr>
          <w:rFonts w:ascii="Times New Roman" w:hAnsi="Times New Roman" w:cs="Times New Roman"/>
          <w:sz w:val="24"/>
          <w:szCs w:val="24"/>
        </w:rPr>
      </w:pPr>
      <w:r w:rsidRPr="005F0A32">
        <w:rPr>
          <w:rFonts w:ascii="Times New Roman" w:hAnsi="Times New Roman" w:cs="Times New Roman"/>
          <w:sz w:val="24"/>
          <w:szCs w:val="24"/>
        </w:rPr>
        <w:t>Poza wyżej wymienionymi, jednostki garnizonu podlaskiego, podejmowały dodatkowe działania profilaktyczne we wskazanej tematyce:</w:t>
      </w:r>
    </w:p>
    <w:p w14:paraId="546F187A" w14:textId="77777777" w:rsidR="00316B5B" w:rsidRDefault="00C72FA4" w:rsidP="008C71A9">
      <w:pPr>
        <w:pStyle w:val="Akapitzlist"/>
        <w:numPr>
          <w:ilvl w:val="0"/>
          <w:numId w:val="140"/>
        </w:numPr>
        <w:suppressAutoHyphens/>
        <w:spacing w:after="0"/>
        <w:ind w:left="360"/>
        <w:jc w:val="both"/>
        <w:rPr>
          <w:rFonts w:ascii="Times New Roman" w:hAnsi="Times New Roman" w:cs="Times New Roman"/>
          <w:sz w:val="24"/>
          <w:szCs w:val="24"/>
        </w:rPr>
      </w:pPr>
      <w:r w:rsidRPr="00956D08">
        <w:rPr>
          <w:rFonts w:ascii="Times New Roman" w:hAnsi="Times New Roman" w:cs="Times New Roman"/>
          <w:sz w:val="24"/>
          <w:szCs w:val="24"/>
        </w:rPr>
        <w:t>przeprowadzono szkolenia pn.</w:t>
      </w:r>
      <w:r w:rsidRPr="00956D08">
        <w:rPr>
          <w:rFonts w:ascii="Times New Roman" w:hAnsi="Times New Roman" w:cs="Times New Roman"/>
          <w:b/>
          <w:bCs/>
          <w:sz w:val="24"/>
          <w:szCs w:val="24"/>
        </w:rPr>
        <w:t xml:space="preserve"> „Uważaj na oszustów – pamiętaj o bezpieczeństwie”, </w:t>
      </w:r>
      <w:r w:rsidRPr="00956D08">
        <w:rPr>
          <w:rFonts w:ascii="Times New Roman" w:hAnsi="Times New Roman" w:cs="Times New Roman"/>
          <w:sz w:val="24"/>
          <w:szCs w:val="24"/>
        </w:rPr>
        <w:t>zorganizowane przez Komendę Powiatową Policji w Wysokiem Mazowieckiem wspólnie z Urzędem Gminy w Kuleszach Kościelnych,</w:t>
      </w:r>
    </w:p>
    <w:p w14:paraId="450AE94B" w14:textId="77777777" w:rsidR="00316B5B" w:rsidRDefault="00C72FA4" w:rsidP="008C71A9">
      <w:pPr>
        <w:pStyle w:val="Akapitzlist"/>
        <w:numPr>
          <w:ilvl w:val="0"/>
          <w:numId w:val="140"/>
        </w:numPr>
        <w:suppressAutoHyphens/>
        <w:spacing w:after="0"/>
        <w:ind w:left="360"/>
        <w:jc w:val="both"/>
        <w:rPr>
          <w:rFonts w:ascii="Times New Roman" w:hAnsi="Times New Roman" w:cs="Times New Roman"/>
          <w:sz w:val="24"/>
          <w:szCs w:val="24"/>
        </w:rPr>
      </w:pPr>
      <w:r w:rsidRPr="00316B5B">
        <w:rPr>
          <w:rFonts w:ascii="Times New Roman" w:hAnsi="Times New Roman" w:cs="Times New Roman"/>
          <w:sz w:val="24"/>
          <w:szCs w:val="24"/>
        </w:rPr>
        <w:t xml:space="preserve">odbyły się działania – </w:t>
      </w:r>
      <w:r w:rsidRPr="00316B5B">
        <w:rPr>
          <w:rFonts w:ascii="Times New Roman" w:hAnsi="Times New Roman" w:cs="Times New Roman"/>
          <w:b/>
          <w:bCs/>
          <w:sz w:val="24"/>
          <w:szCs w:val="24"/>
        </w:rPr>
        <w:t>„Bezpieczeństwo finansowe seniorów”</w:t>
      </w:r>
      <w:r w:rsidRPr="00316B5B">
        <w:rPr>
          <w:rFonts w:ascii="Times New Roman" w:hAnsi="Times New Roman" w:cs="Times New Roman"/>
          <w:sz w:val="24"/>
          <w:szCs w:val="24"/>
        </w:rPr>
        <w:t xml:space="preserve"> realizowane przez Komendę Powiatową Policji w Siemiatyczach skierowane do osób starszych, przy zaangażowaniu Uniwersytetu III Wieku w Siemiatyczach, Klubu Literackiego w Siemiatyczach oraz klubów osiedlowych i spółdzielni mieszkaniowych,</w:t>
      </w:r>
    </w:p>
    <w:p w14:paraId="4EA4CE71" w14:textId="77777777" w:rsidR="00316B5B" w:rsidRPr="00316B5B" w:rsidRDefault="00C72FA4" w:rsidP="008C71A9">
      <w:pPr>
        <w:pStyle w:val="Akapitzlist"/>
        <w:numPr>
          <w:ilvl w:val="0"/>
          <w:numId w:val="140"/>
        </w:numPr>
        <w:suppressAutoHyphens/>
        <w:spacing w:after="0"/>
        <w:ind w:left="360"/>
        <w:jc w:val="both"/>
        <w:rPr>
          <w:rFonts w:ascii="Times New Roman" w:hAnsi="Times New Roman" w:cs="Times New Roman"/>
          <w:sz w:val="24"/>
          <w:szCs w:val="24"/>
        </w:rPr>
      </w:pPr>
      <w:r w:rsidRPr="00316B5B">
        <w:rPr>
          <w:rFonts w:ascii="Times New Roman" w:hAnsi="Times New Roman" w:cs="Times New Roman"/>
          <w:sz w:val="24"/>
          <w:szCs w:val="24"/>
        </w:rPr>
        <w:t xml:space="preserve">miała miejsce inicjatywa pn. </w:t>
      </w:r>
      <w:r w:rsidRPr="00316B5B">
        <w:rPr>
          <w:rFonts w:ascii="Times New Roman" w:hAnsi="Times New Roman" w:cs="Times New Roman"/>
          <w:b/>
          <w:bCs/>
          <w:sz w:val="24"/>
          <w:szCs w:val="24"/>
        </w:rPr>
        <w:t xml:space="preserve">„Przemoc boli niezależnie od wieku” </w:t>
      </w:r>
      <w:r w:rsidRPr="00316B5B">
        <w:rPr>
          <w:rFonts w:ascii="Times New Roman" w:hAnsi="Times New Roman" w:cs="Times New Roman"/>
          <w:sz w:val="24"/>
          <w:szCs w:val="24"/>
        </w:rPr>
        <w:t>przeprowadzona przez Komendę Powiatową Policji w Kolnie wraz ze Starostwem Powiatowym w Kolnie, w której udział wzięli seniorzy i pielęgniarki z powiatu kolneńskiego. Uczestnicy wzięli również udział w grze miejskiej</w:t>
      </w:r>
      <w:r w:rsidRPr="00316B5B">
        <w:rPr>
          <w:rFonts w:ascii="Times New Roman" w:hAnsi="Times New Roman" w:cs="Times New Roman"/>
          <w:i/>
          <w:iCs/>
          <w:sz w:val="24"/>
          <w:szCs w:val="24"/>
        </w:rPr>
        <w:t xml:space="preserve"> </w:t>
      </w:r>
      <w:r w:rsidRPr="00316B5B">
        <w:rPr>
          <w:rFonts w:ascii="Times New Roman" w:hAnsi="Times New Roman" w:cs="Times New Roman"/>
          <w:bCs/>
          <w:i/>
          <w:iCs/>
          <w:sz w:val="24"/>
          <w:szCs w:val="24"/>
        </w:rPr>
        <w:t>„Pełen</w:t>
      </w:r>
      <w:r w:rsidRPr="00316B5B">
        <w:rPr>
          <w:rFonts w:ascii="Times New Roman" w:hAnsi="Times New Roman" w:cs="Times New Roman"/>
          <w:b/>
          <w:i/>
          <w:iCs/>
          <w:sz w:val="24"/>
          <w:szCs w:val="24"/>
        </w:rPr>
        <w:t xml:space="preserve"> </w:t>
      </w:r>
      <w:r w:rsidRPr="00316B5B">
        <w:rPr>
          <w:rFonts w:ascii="Times New Roman" w:hAnsi="Times New Roman" w:cs="Times New Roman"/>
          <w:bCs/>
          <w:i/>
          <w:iCs/>
          <w:sz w:val="24"/>
          <w:szCs w:val="24"/>
        </w:rPr>
        <w:t>historii i kultury kolneński pociąg do szukania i czytania”,</w:t>
      </w:r>
    </w:p>
    <w:p w14:paraId="2390A9FB" w14:textId="77777777" w:rsidR="00316B5B" w:rsidRPr="00316B5B" w:rsidRDefault="00C72FA4" w:rsidP="008C71A9">
      <w:pPr>
        <w:pStyle w:val="Akapitzlist"/>
        <w:numPr>
          <w:ilvl w:val="0"/>
          <w:numId w:val="140"/>
        </w:numPr>
        <w:suppressAutoHyphens/>
        <w:spacing w:after="0"/>
        <w:ind w:left="360"/>
        <w:jc w:val="both"/>
        <w:rPr>
          <w:rFonts w:ascii="Times New Roman" w:hAnsi="Times New Roman" w:cs="Times New Roman"/>
          <w:sz w:val="24"/>
          <w:szCs w:val="24"/>
        </w:rPr>
      </w:pPr>
      <w:r w:rsidRPr="00316B5B">
        <w:rPr>
          <w:rFonts w:ascii="Times New Roman" w:hAnsi="Times New Roman" w:cs="Times New Roman"/>
          <w:sz w:val="24"/>
          <w:szCs w:val="24"/>
        </w:rPr>
        <w:t xml:space="preserve">Komenda Powiatowa Policji w Sejnach wraz z partnerami - MOPS, Nadleśnictwo „Pomorze” oraz Sanepid – zorganizowała </w:t>
      </w:r>
      <w:r w:rsidRPr="00316B5B">
        <w:rPr>
          <w:rFonts w:ascii="Times New Roman" w:hAnsi="Times New Roman" w:cs="Times New Roman"/>
          <w:bCs/>
          <w:sz w:val="24"/>
          <w:szCs w:val="24"/>
        </w:rPr>
        <w:t xml:space="preserve">konferencję w ramach obchodów „Dnia Seniora” oraz „Międzynarodowego Dnia Osób Starszych” pod hasłem </w:t>
      </w:r>
      <w:r w:rsidRPr="00316B5B">
        <w:rPr>
          <w:rFonts w:ascii="Times New Roman" w:hAnsi="Times New Roman" w:cs="Times New Roman"/>
          <w:b/>
          <w:sz w:val="24"/>
          <w:szCs w:val="24"/>
        </w:rPr>
        <w:t>„Bezpieczni – zdrowi – odporni na</w:t>
      </w:r>
      <w:r w:rsidRPr="00316B5B">
        <w:rPr>
          <w:rFonts w:ascii="Times New Roman" w:hAnsi="Times New Roman" w:cs="Times New Roman"/>
          <w:bCs/>
          <w:sz w:val="24"/>
          <w:szCs w:val="24"/>
        </w:rPr>
        <w:t xml:space="preserve"> </w:t>
      </w:r>
      <w:r w:rsidRPr="00316B5B">
        <w:rPr>
          <w:rFonts w:ascii="Times New Roman" w:hAnsi="Times New Roman" w:cs="Times New Roman"/>
          <w:b/>
          <w:sz w:val="24"/>
          <w:szCs w:val="24"/>
        </w:rPr>
        <w:t>zagrożenia”</w:t>
      </w:r>
      <w:r w:rsidRPr="00316B5B">
        <w:rPr>
          <w:rFonts w:ascii="Times New Roman" w:hAnsi="Times New Roman" w:cs="Times New Roman"/>
          <w:bCs/>
          <w:sz w:val="24"/>
          <w:szCs w:val="24"/>
        </w:rPr>
        <w:t>,</w:t>
      </w:r>
    </w:p>
    <w:p w14:paraId="7FD5CF5B" w14:textId="77777777" w:rsidR="00316B5B" w:rsidRDefault="00C72FA4" w:rsidP="008C71A9">
      <w:pPr>
        <w:pStyle w:val="Akapitzlist"/>
        <w:numPr>
          <w:ilvl w:val="0"/>
          <w:numId w:val="140"/>
        </w:numPr>
        <w:suppressAutoHyphens/>
        <w:spacing w:after="0"/>
        <w:ind w:left="360"/>
        <w:jc w:val="both"/>
        <w:rPr>
          <w:rFonts w:ascii="Times New Roman" w:hAnsi="Times New Roman" w:cs="Times New Roman"/>
          <w:sz w:val="24"/>
          <w:szCs w:val="24"/>
        </w:rPr>
      </w:pPr>
      <w:r w:rsidRPr="00316B5B">
        <w:rPr>
          <w:rFonts w:ascii="Times New Roman" w:hAnsi="Times New Roman" w:cs="Times New Roman"/>
          <w:sz w:val="24"/>
          <w:szCs w:val="24"/>
        </w:rPr>
        <w:t xml:space="preserve">odbyły się działania – </w:t>
      </w:r>
      <w:r w:rsidRPr="00316B5B">
        <w:rPr>
          <w:rFonts w:ascii="Times New Roman" w:hAnsi="Times New Roman" w:cs="Times New Roman"/>
          <w:b/>
          <w:bCs/>
          <w:sz w:val="24"/>
          <w:szCs w:val="24"/>
        </w:rPr>
        <w:t>„Bezpieczne zakupy – prawa konsumenckie”</w:t>
      </w:r>
      <w:r w:rsidRPr="00316B5B">
        <w:rPr>
          <w:rFonts w:ascii="Times New Roman" w:hAnsi="Times New Roman" w:cs="Times New Roman"/>
          <w:sz w:val="24"/>
          <w:szCs w:val="24"/>
        </w:rPr>
        <w:t xml:space="preserve"> przeprowadzone przez Komendę Powiatową Policji w Siemiatyczach, do których dołączyły się Uniwersytet III Wieku w Siemiatyczach oraz Klub Literacki w Siemiatyczach,</w:t>
      </w:r>
    </w:p>
    <w:p w14:paraId="4880D9B5" w14:textId="77777777" w:rsidR="00316B5B" w:rsidRDefault="00C72FA4" w:rsidP="008C71A9">
      <w:pPr>
        <w:pStyle w:val="Akapitzlist"/>
        <w:numPr>
          <w:ilvl w:val="0"/>
          <w:numId w:val="140"/>
        </w:numPr>
        <w:suppressAutoHyphens/>
        <w:spacing w:after="0"/>
        <w:ind w:left="360"/>
        <w:jc w:val="both"/>
        <w:rPr>
          <w:rFonts w:ascii="Times New Roman" w:hAnsi="Times New Roman" w:cs="Times New Roman"/>
          <w:sz w:val="24"/>
          <w:szCs w:val="24"/>
        </w:rPr>
      </w:pPr>
      <w:r w:rsidRPr="00316B5B">
        <w:rPr>
          <w:rFonts w:ascii="Times New Roman" w:hAnsi="Times New Roman" w:cs="Times New Roman"/>
          <w:sz w:val="24"/>
          <w:szCs w:val="24"/>
        </w:rPr>
        <w:t xml:space="preserve">Komenda Miejska Policji w Suwałkach wraz z Urzędem Miasta zorganizowała akcję </w:t>
      </w:r>
      <w:r w:rsidRPr="00316B5B">
        <w:rPr>
          <w:rFonts w:ascii="Times New Roman" w:hAnsi="Times New Roman" w:cs="Times New Roman"/>
          <w:b/>
          <w:bCs/>
          <w:sz w:val="24"/>
          <w:szCs w:val="24"/>
        </w:rPr>
        <w:t>„Szanuj i Ciebie czeka starość”</w:t>
      </w:r>
      <w:r w:rsidRPr="00316B5B">
        <w:rPr>
          <w:rFonts w:ascii="Times New Roman" w:hAnsi="Times New Roman" w:cs="Times New Roman"/>
          <w:sz w:val="24"/>
          <w:szCs w:val="24"/>
        </w:rPr>
        <w:t>, w której uczestniczyli uczniowie miasta Suwałki,</w:t>
      </w:r>
    </w:p>
    <w:p w14:paraId="122CD424" w14:textId="77777777" w:rsidR="00C72FA4" w:rsidRPr="00316B5B" w:rsidRDefault="00C72FA4" w:rsidP="008C71A9">
      <w:pPr>
        <w:pStyle w:val="Akapitzlist"/>
        <w:numPr>
          <w:ilvl w:val="0"/>
          <w:numId w:val="140"/>
        </w:numPr>
        <w:suppressAutoHyphens/>
        <w:spacing w:after="0"/>
        <w:ind w:left="360"/>
        <w:jc w:val="both"/>
        <w:rPr>
          <w:rFonts w:ascii="Times New Roman" w:hAnsi="Times New Roman" w:cs="Times New Roman"/>
          <w:sz w:val="24"/>
          <w:szCs w:val="24"/>
        </w:rPr>
      </w:pPr>
      <w:r w:rsidRPr="00316B5B">
        <w:rPr>
          <w:rFonts w:ascii="Times New Roman" w:hAnsi="Times New Roman" w:cs="Times New Roman"/>
          <w:sz w:val="24"/>
          <w:szCs w:val="24"/>
        </w:rPr>
        <w:t xml:space="preserve">odbyły się obchody </w:t>
      </w:r>
      <w:r w:rsidRPr="00316B5B">
        <w:rPr>
          <w:rFonts w:ascii="Times New Roman" w:hAnsi="Times New Roman" w:cs="Times New Roman"/>
          <w:b/>
          <w:bCs/>
          <w:sz w:val="24"/>
          <w:szCs w:val="24"/>
        </w:rPr>
        <w:t>Dnia Babci i Dnia Dziadka</w:t>
      </w:r>
      <w:r w:rsidRPr="00316B5B">
        <w:rPr>
          <w:rFonts w:ascii="Times New Roman" w:hAnsi="Times New Roman" w:cs="Times New Roman"/>
          <w:sz w:val="24"/>
          <w:szCs w:val="24"/>
        </w:rPr>
        <w:t xml:space="preserve"> na terenie wszystkich jednostek </w:t>
      </w:r>
      <w:r w:rsidRPr="00316B5B">
        <w:rPr>
          <w:rFonts w:ascii="Times New Roman" w:hAnsi="Times New Roman" w:cs="Times New Roman"/>
          <w:sz w:val="24"/>
          <w:szCs w:val="24"/>
        </w:rPr>
        <w:br/>
        <w:t>z udziałem osób starszych i dzieci przy współpracy urzędów miast i gmin.  Przypomniano na nich seniorom o zasadach bezpieczeństwa w sytuacji zagrożenia.</w:t>
      </w:r>
    </w:p>
    <w:p w14:paraId="5CD32552" w14:textId="77777777" w:rsidR="00316B5B" w:rsidRDefault="00316B5B" w:rsidP="00E7359C">
      <w:pPr>
        <w:tabs>
          <w:tab w:val="left" w:pos="284"/>
        </w:tabs>
        <w:spacing w:after="0"/>
        <w:jc w:val="both"/>
        <w:rPr>
          <w:rFonts w:ascii="Times New Roman" w:hAnsi="Times New Roman" w:cs="Times New Roman"/>
          <w:sz w:val="24"/>
          <w:szCs w:val="24"/>
        </w:rPr>
      </w:pPr>
    </w:p>
    <w:p w14:paraId="2B4B9621" w14:textId="77777777" w:rsidR="00C72FA4" w:rsidRPr="005F0A32" w:rsidRDefault="00C72FA4" w:rsidP="00E7359C">
      <w:pPr>
        <w:tabs>
          <w:tab w:val="left" w:pos="284"/>
        </w:tabs>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Jako uzupełnienie powyższych działań, na terenie całego woj. podlaskiego przeprowadzono przedsięwzięcia: </w:t>
      </w:r>
    </w:p>
    <w:p w14:paraId="0DCB3394" w14:textId="77777777" w:rsidR="00316B5B" w:rsidRDefault="00C72FA4" w:rsidP="008C71A9">
      <w:pPr>
        <w:pStyle w:val="Akapitzlist"/>
        <w:numPr>
          <w:ilvl w:val="0"/>
          <w:numId w:val="141"/>
        </w:numPr>
        <w:tabs>
          <w:tab w:val="left" w:pos="284"/>
          <w:tab w:val="left" w:pos="720"/>
        </w:tabs>
        <w:spacing w:after="0"/>
        <w:ind w:left="360"/>
        <w:jc w:val="both"/>
        <w:rPr>
          <w:rFonts w:ascii="Times New Roman" w:hAnsi="Times New Roman" w:cs="Times New Roman"/>
          <w:sz w:val="24"/>
          <w:szCs w:val="24"/>
        </w:rPr>
      </w:pPr>
      <w:r w:rsidRPr="00316B5B">
        <w:rPr>
          <w:rFonts w:ascii="Times New Roman" w:hAnsi="Times New Roman" w:cs="Times New Roman"/>
          <w:sz w:val="24"/>
          <w:szCs w:val="24"/>
        </w:rPr>
        <w:t>akcje informacyjno – edukacyjne dotyczące ochrony mienia, bezpieczeństwa osób starszych na drodze, podczas których przekazywano treści ostrzegawcze, jak również rozpowszechniano tematyczne materiały profilaktyczne,</w:t>
      </w:r>
    </w:p>
    <w:p w14:paraId="47866219" w14:textId="77777777" w:rsidR="00316B5B" w:rsidRDefault="00C72FA4" w:rsidP="008C71A9">
      <w:pPr>
        <w:pStyle w:val="Akapitzlist"/>
        <w:numPr>
          <w:ilvl w:val="0"/>
          <w:numId w:val="141"/>
        </w:numPr>
        <w:tabs>
          <w:tab w:val="left" w:pos="284"/>
          <w:tab w:val="left" w:pos="720"/>
        </w:tabs>
        <w:spacing w:after="0"/>
        <w:ind w:left="360"/>
        <w:jc w:val="both"/>
        <w:rPr>
          <w:rFonts w:ascii="Times New Roman" w:hAnsi="Times New Roman" w:cs="Times New Roman"/>
          <w:sz w:val="24"/>
          <w:szCs w:val="24"/>
        </w:rPr>
      </w:pPr>
      <w:r w:rsidRPr="00316B5B">
        <w:rPr>
          <w:rFonts w:ascii="Times New Roman" w:hAnsi="Times New Roman" w:cs="Times New Roman"/>
          <w:sz w:val="24"/>
          <w:szCs w:val="24"/>
        </w:rPr>
        <w:t>prelekcje, spotkania z seniorami, m.in. w klubach osiedlowych, domach pomocy społecznej, organizacjach pozarządowych zrzeszających seniorów, celem przekazania ostrzeżeń na temat czujności oraz dbałości o ich bezpieczeństwo,</w:t>
      </w:r>
    </w:p>
    <w:p w14:paraId="096E2ECE" w14:textId="77777777" w:rsidR="00C72FA4" w:rsidRPr="00316B5B" w:rsidRDefault="00C72FA4" w:rsidP="008C71A9">
      <w:pPr>
        <w:pStyle w:val="Akapitzlist"/>
        <w:numPr>
          <w:ilvl w:val="0"/>
          <w:numId w:val="141"/>
        </w:numPr>
        <w:tabs>
          <w:tab w:val="left" w:pos="284"/>
          <w:tab w:val="left" w:pos="720"/>
        </w:tabs>
        <w:spacing w:after="0"/>
        <w:ind w:left="360"/>
        <w:jc w:val="both"/>
        <w:rPr>
          <w:rFonts w:ascii="Times New Roman" w:hAnsi="Times New Roman" w:cs="Times New Roman"/>
          <w:sz w:val="24"/>
          <w:szCs w:val="24"/>
        </w:rPr>
      </w:pPr>
      <w:r w:rsidRPr="00316B5B">
        <w:rPr>
          <w:rFonts w:ascii="Times New Roman" w:hAnsi="Times New Roman" w:cs="Times New Roman"/>
          <w:sz w:val="24"/>
          <w:szCs w:val="24"/>
        </w:rPr>
        <w:t>kontynuowano współpracę z przedstawicielami banków celem przekazania apeli</w:t>
      </w:r>
      <w:r w:rsidRPr="00316B5B">
        <w:rPr>
          <w:rFonts w:ascii="Times New Roman" w:hAnsi="Times New Roman" w:cs="Times New Roman"/>
          <w:sz w:val="24"/>
          <w:szCs w:val="24"/>
        </w:rPr>
        <w:br/>
        <w:t>i ostrzeżeń na temat czujności podczas wypłacania środków pieniężnych przez seniorów.</w:t>
      </w:r>
    </w:p>
    <w:p w14:paraId="63064084" w14:textId="77777777" w:rsidR="00C72FA4" w:rsidRPr="005F0A32" w:rsidRDefault="00C72FA4" w:rsidP="00E7359C">
      <w:pPr>
        <w:spacing w:after="0"/>
        <w:jc w:val="both"/>
        <w:rPr>
          <w:rFonts w:ascii="Times New Roman" w:hAnsi="Times New Roman" w:cs="Times New Roman"/>
          <w:sz w:val="24"/>
          <w:szCs w:val="24"/>
        </w:rPr>
      </w:pPr>
    </w:p>
    <w:p w14:paraId="01E60430" w14:textId="77777777" w:rsidR="00C72FA4" w:rsidRPr="005F0A32" w:rsidRDefault="00316B5B" w:rsidP="00E7359C">
      <w:pPr>
        <w:pStyle w:val="NormalnyWeb"/>
        <w:tabs>
          <w:tab w:val="left" w:pos="851"/>
        </w:tabs>
        <w:spacing w:after="0"/>
        <w:jc w:val="both"/>
      </w:pPr>
      <w:r>
        <w:t xml:space="preserve">W 2019 r. </w:t>
      </w:r>
      <w:r w:rsidR="00C72FA4" w:rsidRPr="005F0A32">
        <w:t>po raz kolejny przeprowadzono bezpłatne szczepienia w ramach „</w:t>
      </w:r>
      <w:r w:rsidR="00C72FA4" w:rsidRPr="005F0A32">
        <w:rPr>
          <w:b/>
        </w:rPr>
        <w:t>Programu szczepień ochronnych przeciwko grypie dla mieszkańców Białegostoku po 60 roku życia na lata 2017-2020”.</w:t>
      </w:r>
      <w:r w:rsidR="00C72FA4" w:rsidRPr="005F0A32">
        <w:t xml:space="preserve"> Na szczepienia seniorzy mogli się zgłosić do 6 podmiotów działalności </w:t>
      </w:r>
      <w:r w:rsidR="00C72FA4" w:rsidRPr="005F0A32">
        <w:lastRenderedPageBreak/>
        <w:t>leczniczej, wyłonionych w otwart</w:t>
      </w:r>
      <w:r w:rsidR="00513838">
        <w:t xml:space="preserve">ym konkursie ofert. W 2019 r. </w:t>
      </w:r>
      <w:r w:rsidR="00C72FA4" w:rsidRPr="005F0A32">
        <w:t xml:space="preserve">z programu skorzystało 3 910 osób. </w:t>
      </w:r>
    </w:p>
    <w:p w14:paraId="703B5F0E" w14:textId="77777777" w:rsidR="00C72FA4" w:rsidRPr="005F0A32" w:rsidRDefault="00C72FA4" w:rsidP="00E7359C">
      <w:pPr>
        <w:pStyle w:val="NormalnyWeb"/>
        <w:tabs>
          <w:tab w:val="left" w:pos="851"/>
        </w:tabs>
        <w:spacing w:after="0"/>
        <w:jc w:val="both"/>
      </w:pPr>
    </w:p>
    <w:p w14:paraId="30BA9014" w14:textId="77777777" w:rsidR="00C72FA4" w:rsidRPr="005F0A32" w:rsidRDefault="00316B5B" w:rsidP="00E7359C">
      <w:pPr>
        <w:pStyle w:val="NormalnyWeb"/>
        <w:tabs>
          <w:tab w:val="left" w:pos="851"/>
        </w:tabs>
        <w:spacing w:after="0"/>
        <w:jc w:val="both"/>
        <w:rPr>
          <w:shd w:val="clear" w:color="auto" w:fill="FFFFFF"/>
        </w:rPr>
      </w:pPr>
      <w:r>
        <w:rPr>
          <w:shd w:val="clear" w:color="auto" w:fill="FFFFFF"/>
        </w:rPr>
        <w:t>W 2019 r.</w:t>
      </w:r>
      <w:r w:rsidR="00C72FA4" w:rsidRPr="005F0A32">
        <w:rPr>
          <w:shd w:val="clear" w:color="auto" w:fill="FFFFFF"/>
        </w:rPr>
        <w:t xml:space="preserve"> do mieszkańców Białegostoku trafiały </w:t>
      </w:r>
      <w:r w:rsidR="00C72FA4" w:rsidRPr="005F0A32">
        <w:rPr>
          <w:b/>
          <w:shd w:val="clear" w:color="auto" w:fill="FFFFFF"/>
        </w:rPr>
        <w:t>„Pudełka życia”.</w:t>
      </w:r>
      <w:r w:rsidR="00C72FA4" w:rsidRPr="005F0A32">
        <w:rPr>
          <w:shd w:val="clear" w:color="auto" w:fill="FFFFFF"/>
        </w:rPr>
        <w:t xml:space="preserve"> Jest to inicjatywa Urzędu Miejskiego w Białymstoku, mająca ułatwić niesienie pomocy ludziom starszym, samotnym, niepełnosprawnym w sytuacjach, kiedy ich zdrowie lub życie jest zagrożone. W latach poprzednich Miasto  Białys</w:t>
      </w:r>
      <w:r w:rsidR="00513838">
        <w:rPr>
          <w:shd w:val="clear" w:color="auto" w:fill="FFFFFF"/>
        </w:rPr>
        <w:t>tok rozdysponowało łącznie 9 tys.</w:t>
      </w:r>
      <w:r w:rsidR="00C72FA4" w:rsidRPr="005F0A32">
        <w:rPr>
          <w:shd w:val="clear" w:color="auto" w:fill="FFFFFF"/>
        </w:rPr>
        <w:t xml:space="preserve"> „Pudełe</w:t>
      </w:r>
      <w:r w:rsidR="00513838">
        <w:rPr>
          <w:shd w:val="clear" w:color="auto" w:fill="FFFFFF"/>
        </w:rPr>
        <w:t>k życia”, zaś w 2019 r.</w:t>
      </w:r>
      <w:r w:rsidR="00C72FA4" w:rsidRPr="005F0A32">
        <w:rPr>
          <w:shd w:val="clear" w:color="auto" w:fill="FFFFFF"/>
        </w:rPr>
        <w:t xml:space="preserve"> zamówiono kolejne 5 000 pudełek. P</w:t>
      </w:r>
      <w:r w:rsidR="00B12973">
        <w:rPr>
          <w:shd w:val="clear" w:color="auto" w:fill="FFFFFF"/>
        </w:rPr>
        <w:t xml:space="preserve">udełka rozdawane są bezpłatnie. </w:t>
      </w:r>
      <w:r w:rsidR="00C72FA4" w:rsidRPr="005F0A32">
        <w:rPr>
          <w:shd w:val="clear" w:color="auto" w:fill="FFFFFF"/>
        </w:rPr>
        <w:t>„Pudełka życia” są to okrągłe, czerwone pudełka wewnątrz których znajduje się magnes i karta informacyjna, którą trzeba wypełnić. Jest tam miejsce na informacje o przebytych chorobach i alergiach, zażywanych lekach, najważniejsze numery telefonów do bliskich. Można także wpisać dyspozycje, co ratownicy mają zrobić z domowymi zwierzętami, komu przekazać klucze do mieszkania oraz włożyć wypisy ze szpitali. Następnie wystarczy przykleić magnes do zewnętrznych drzwi np. lodówki, a pudełko schować do środka. Informacje zawarte w karcie zostaną wykorzystane przez służby ratunkowe w sytuacji, kiedy zajdzie konieczność przeprowadzenia sprawnej akcji ratunkowej.</w:t>
      </w:r>
    </w:p>
    <w:p w14:paraId="003620B8" w14:textId="77777777" w:rsidR="00B12973" w:rsidRDefault="00B12973" w:rsidP="00E7359C">
      <w:pPr>
        <w:pStyle w:val="NormalnyWeb"/>
        <w:spacing w:after="0"/>
        <w:jc w:val="both"/>
      </w:pPr>
    </w:p>
    <w:p w14:paraId="3791D0F7" w14:textId="77777777" w:rsidR="00C72FA4" w:rsidRPr="005F0A32" w:rsidRDefault="00C72FA4" w:rsidP="00E7359C">
      <w:pPr>
        <w:pStyle w:val="NormalnyWeb"/>
        <w:spacing w:after="0"/>
        <w:jc w:val="both"/>
      </w:pPr>
      <w:r w:rsidRPr="00B12973">
        <w:t>W</w:t>
      </w:r>
      <w:r w:rsidRPr="005F0A32">
        <w:rPr>
          <w:b/>
        </w:rPr>
        <w:t xml:space="preserve"> Centrum Aktywności Społecznej</w:t>
      </w:r>
      <w:r w:rsidRPr="005F0A32">
        <w:t xml:space="preserve"> mieszczącym się w budynku przy ul. Św. Rocha 3 w Białymstoku organizacje działające na rzecz seniorów, wykorzystując sale szkoleniowe, hol wystawienniczy, salę konferencyjną i salę do zajęć ruchowych prowadziły działania aktywi</w:t>
      </w:r>
      <w:r w:rsidR="00B12973">
        <w:t xml:space="preserve">zujące seniorów. W 2019 r. </w:t>
      </w:r>
      <w:r w:rsidRPr="005F0A32">
        <w:t>odbyło się łącznie 1 028 spotkań z udziałem seniorów w różnych formach m.in.: zajęcia nauki języków obcych, warsztaty taneczne, wokalne, malarskie, jogi, wernisaże, spotkania zespołu redakcyjnego dziennikarzy. W CAS aktywnie działało 5 organizacji seniorskich, 19 sekcji Uniwersytetu Trzeciego Wieku, 3 sekcje Stowarzyszenia Akademia Plus 50, 2 sekcje Stowarzyszenia Szukamy Polski oraz 2 grupy mieszkańców – seniorów – Kabaret Seniorów „Zakręceni” i zespół wokalny „Cantus Vitae”.</w:t>
      </w:r>
      <w:r w:rsidR="00B12973">
        <w:t xml:space="preserve"> </w:t>
      </w:r>
      <w:r w:rsidRPr="005F0A32">
        <w:t>W siedzibie Centrum Aktywności Społecznej działał również Punkt Informacji dla Seniorów utworzony w 2018 r. z inicjatywy Podlaskiej Redakcji Seniora i  Stowarzyszenia „Szukamy Polski”, przy wsparciu finansowym Miasta Białystok. Punkt jest otwarty od poniedziałku do piątku w godz. 11.00-14.00, udziela informacji i zachęca starszych mieszkańców Białegostoku do uczestnictwa w wydarzeniach edukacyjnych, kulturalnych i sportowych adresowanych do seniorów.</w:t>
      </w:r>
    </w:p>
    <w:p w14:paraId="700A6E51" w14:textId="77777777" w:rsidR="00B12973" w:rsidRDefault="00B12973" w:rsidP="00E7359C">
      <w:pPr>
        <w:spacing w:after="0"/>
        <w:jc w:val="both"/>
        <w:rPr>
          <w:rFonts w:ascii="Times New Roman" w:eastAsia="Calibri" w:hAnsi="Times New Roman" w:cs="Times New Roman"/>
          <w:b/>
          <w:i/>
          <w:sz w:val="24"/>
          <w:szCs w:val="24"/>
        </w:rPr>
      </w:pPr>
    </w:p>
    <w:p w14:paraId="5B3718CD" w14:textId="77777777" w:rsidR="00C72FA4" w:rsidRPr="005F0A32" w:rsidRDefault="00C72FA4"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W </w:t>
      </w:r>
      <w:r w:rsidR="00B12973">
        <w:rPr>
          <w:rFonts w:ascii="Times New Roman" w:hAnsi="Times New Roman" w:cs="Times New Roman"/>
          <w:sz w:val="24"/>
          <w:szCs w:val="24"/>
        </w:rPr>
        <w:t xml:space="preserve">Suwałkach, w </w:t>
      </w:r>
      <w:r w:rsidRPr="005F0A32">
        <w:rPr>
          <w:rFonts w:ascii="Times New Roman" w:hAnsi="Times New Roman" w:cs="Times New Roman"/>
          <w:sz w:val="24"/>
          <w:szCs w:val="24"/>
        </w:rPr>
        <w:t>ramach współpracy z organiza</w:t>
      </w:r>
      <w:r w:rsidR="00B12973">
        <w:rPr>
          <w:rFonts w:ascii="Times New Roman" w:hAnsi="Times New Roman" w:cs="Times New Roman"/>
          <w:sz w:val="24"/>
          <w:szCs w:val="24"/>
        </w:rPr>
        <w:t xml:space="preserve">cjami pozarządowymi, </w:t>
      </w:r>
      <w:r w:rsidRPr="005F0A32">
        <w:rPr>
          <w:rFonts w:ascii="Times New Roman" w:hAnsi="Times New Roman" w:cs="Times New Roman"/>
          <w:sz w:val="24"/>
          <w:szCs w:val="24"/>
        </w:rPr>
        <w:t>zrealizowano następujące działania:</w:t>
      </w:r>
    </w:p>
    <w:p w14:paraId="6BBF6895" w14:textId="77777777" w:rsidR="00826E73" w:rsidRDefault="00C72FA4" w:rsidP="008C71A9">
      <w:pPr>
        <w:pStyle w:val="Akapitzlist"/>
        <w:numPr>
          <w:ilvl w:val="0"/>
          <w:numId w:val="142"/>
        </w:numPr>
        <w:spacing w:after="0"/>
        <w:ind w:left="360"/>
        <w:jc w:val="both"/>
        <w:rPr>
          <w:rFonts w:ascii="Times New Roman" w:hAnsi="Times New Roman" w:cs="Times New Roman"/>
          <w:sz w:val="24"/>
          <w:szCs w:val="24"/>
        </w:rPr>
      </w:pPr>
      <w:r w:rsidRPr="00826E73">
        <w:rPr>
          <w:rFonts w:ascii="Times New Roman" w:hAnsi="Times New Roman" w:cs="Times New Roman"/>
          <w:b/>
          <w:sz w:val="24"/>
          <w:szCs w:val="24"/>
        </w:rPr>
        <w:t>„II Edycja Wyborów Miss i Mistera Trzeciej Młodości”</w:t>
      </w:r>
      <w:r w:rsidRPr="00826E73">
        <w:rPr>
          <w:rFonts w:ascii="Times New Roman" w:hAnsi="Times New Roman" w:cs="Times New Roman"/>
          <w:sz w:val="24"/>
          <w:szCs w:val="24"/>
        </w:rPr>
        <w:t xml:space="preserve"> – gala realizowana przez Stowarzyszenie Seniorzy z Pasją „Horyzont”. Celem Wyborów była aktywizacja osób starszych i pobudzenie ich do aktywności scenicznej i teatralnej. Na scenie zaprezentowała się grupa 12 uczestników, którzy walczyli o miano Miss, Mistera Trzeciej Młodości. Kandydaci prezentowali się w kategoriach: strój poranny lub nocny, strój sportowy, strój z lat 70 – tych, strój wieczorowy. Na widowni zasiadło ok 300 seniorów</w:t>
      </w:r>
      <w:r w:rsidR="00513838">
        <w:rPr>
          <w:rStyle w:val="Odwoanieprzypisudolnego"/>
          <w:rFonts w:ascii="Times New Roman" w:hAnsi="Times New Roman" w:cs="Times New Roman"/>
          <w:sz w:val="24"/>
          <w:szCs w:val="24"/>
        </w:rPr>
        <w:footnoteReference w:id="157"/>
      </w:r>
      <w:r w:rsidRPr="00826E73">
        <w:rPr>
          <w:rFonts w:ascii="Times New Roman" w:hAnsi="Times New Roman" w:cs="Times New Roman"/>
          <w:sz w:val="24"/>
          <w:szCs w:val="24"/>
        </w:rPr>
        <w:t xml:space="preserve"> </w:t>
      </w:r>
    </w:p>
    <w:p w14:paraId="291BFC7D" w14:textId="77777777" w:rsidR="00826E73" w:rsidRDefault="00C72FA4" w:rsidP="008C71A9">
      <w:pPr>
        <w:pStyle w:val="Akapitzlist"/>
        <w:numPr>
          <w:ilvl w:val="0"/>
          <w:numId w:val="142"/>
        </w:numPr>
        <w:spacing w:after="0"/>
        <w:ind w:left="360"/>
        <w:jc w:val="both"/>
        <w:rPr>
          <w:rFonts w:ascii="Times New Roman" w:hAnsi="Times New Roman" w:cs="Times New Roman"/>
          <w:sz w:val="24"/>
          <w:szCs w:val="24"/>
        </w:rPr>
      </w:pPr>
      <w:r w:rsidRPr="00826E73">
        <w:rPr>
          <w:rFonts w:ascii="Times New Roman" w:hAnsi="Times New Roman" w:cs="Times New Roman"/>
          <w:b/>
          <w:sz w:val="24"/>
          <w:szCs w:val="24"/>
        </w:rPr>
        <w:t xml:space="preserve">„Wiek seniora a wigor juniora” </w:t>
      </w:r>
      <w:r w:rsidRPr="00826E73">
        <w:rPr>
          <w:rFonts w:ascii="Times New Roman" w:hAnsi="Times New Roman" w:cs="Times New Roman"/>
          <w:sz w:val="24"/>
          <w:szCs w:val="24"/>
        </w:rPr>
        <w:t xml:space="preserve">- zadanie realizowane rokrocznie przez Stowarzyszenie Przyjaciół Domu Pomocy Społecznej „Kalina” w Suwałkach. Zadanie podzielone było na dwa etapy. W pierwszym został przeprowadzony „XVII Integracyjny Bieg Uliczny”, w </w:t>
      </w:r>
      <w:r w:rsidRPr="00826E73">
        <w:rPr>
          <w:rFonts w:ascii="Times New Roman" w:hAnsi="Times New Roman" w:cs="Times New Roman"/>
          <w:sz w:val="24"/>
          <w:szCs w:val="24"/>
        </w:rPr>
        <w:lastRenderedPageBreak/>
        <w:t>drugim „XVI Międzynarodowe Animacje Teatralne”. Łącznie w przedsięwzięciu uczestniczyło 260 osób z makroregionu północno-wschodniego Polski, głównie uczestnicy warsztatów terapii zajęciowej, środowiskowych domów samopomocy oraz domów pom</w:t>
      </w:r>
      <w:r w:rsidR="00513838">
        <w:rPr>
          <w:rFonts w:ascii="Times New Roman" w:hAnsi="Times New Roman" w:cs="Times New Roman"/>
          <w:sz w:val="24"/>
          <w:szCs w:val="24"/>
        </w:rPr>
        <w:t>ocy społecznej i klubów seniora</w:t>
      </w:r>
      <w:r w:rsidR="00513838">
        <w:rPr>
          <w:rStyle w:val="Odwoanieprzypisudolnego"/>
          <w:rFonts w:ascii="Times New Roman" w:hAnsi="Times New Roman" w:cs="Times New Roman"/>
          <w:sz w:val="24"/>
          <w:szCs w:val="24"/>
        </w:rPr>
        <w:footnoteReference w:id="158"/>
      </w:r>
    </w:p>
    <w:p w14:paraId="31B211AA" w14:textId="77777777" w:rsidR="00826E73" w:rsidRDefault="00C72FA4" w:rsidP="008C71A9">
      <w:pPr>
        <w:pStyle w:val="Akapitzlist"/>
        <w:numPr>
          <w:ilvl w:val="0"/>
          <w:numId w:val="142"/>
        </w:numPr>
        <w:spacing w:after="0"/>
        <w:ind w:left="360"/>
        <w:jc w:val="both"/>
        <w:rPr>
          <w:rFonts w:ascii="Times New Roman" w:hAnsi="Times New Roman" w:cs="Times New Roman"/>
          <w:sz w:val="24"/>
          <w:szCs w:val="24"/>
        </w:rPr>
      </w:pPr>
      <w:r w:rsidRPr="00826E73">
        <w:rPr>
          <w:rFonts w:ascii="Times New Roman" w:hAnsi="Times New Roman" w:cs="Times New Roman"/>
          <w:b/>
          <w:sz w:val="24"/>
          <w:szCs w:val="24"/>
        </w:rPr>
        <w:t>„Stylowy Senior”</w:t>
      </w:r>
      <w:r w:rsidRPr="00826E73">
        <w:rPr>
          <w:rFonts w:ascii="Times New Roman" w:hAnsi="Times New Roman" w:cs="Times New Roman"/>
          <w:sz w:val="24"/>
          <w:szCs w:val="24"/>
        </w:rPr>
        <w:t xml:space="preserve"> - zadanie realizowane przez Stowarzyszenie Seniorzy z Pasją „Horyzont”. Został zrealizowany pokaz mody, w którym na scenie prezentowali się członkowie Stowarzyszenia. Pokaz mody podzielony był na cztery kategorie: stroje sportowe, stroje codzienne, stroje koktajlowe, stroje wieczorowe. W przedsięwzięciu wzięło udział około 80 uc</w:t>
      </w:r>
      <w:r w:rsidR="00513838">
        <w:rPr>
          <w:rFonts w:ascii="Times New Roman" w:hAnsi="Times New Roman" w:cs="Times New Roman"/>
          <w:sz w:val="24"/>
          <w:szCs w:val="24"/>
        </w:rPr>
        <w:t>zestników</w:t>
      </w:r>
      <w:r w:rsidR="00513838">
        <w:rPr>
          <w:rStyle w:val="Odwoanieprzypisudolnego"/>
          <w:rFonts w:ascii="Times New Roman" w:hAnsi="Times New Roman" w:cs="Times New Roman"/>
          <w:sz w:val="24"/>
          <w:szCs w:val="24"/>
        </w:rPr>
        <w:footnoteReference w:id="159"/>
      </w:r>
    </w:p>
    <w:p w14:paraId="175C80D3" w14:textId="77777777" w:rsidR="00826E73" w:rsidRDefault="00C72FA4" w:rsidP="008C71A9">
      <w:pPr>
        <w:pStyle w:val="Akapitzlist"/>
        <w:numPr>
          <w:ilvl w:val="0"/>
          <w:numId w:val="142"/>
        </w:numPr>
        <w:spacing w:after="0"/>
        <w:ind w:left="360"/>
        <w:jc w:val="both"/>
        <w:rPr>
          <w:rFonts w:ascii="Times New Roman" w:hAnsi="Times New Roman" w:cs="Times New Roman"/>
          <w:sz w:val="24"/>
          <w:szCs w:val="24"/>
        </w:rPr>
      </w:pPr>
      <w:r w:rsidRPr="00826E73">
        <w:rPr>
          <w:rFonts w:ascii="Times New Roman" w:hAnsi="Times New Roman" w:cs="Times New Roman"/>
          <w:b/>
          <w:sz w:val="24"/>
          <w:szCs w:val="24"/>
        </w:rPr>
        <w:t>„Suwałki Marsz! – rozwój i wspieranie aktywności fizycznej seniorów”</w:t>
      </w:r>
      <w:r w:rsidRPr="00826E73">
        <w:rPr>
          <w:rFonts w:ascii="Times New Roman" w:hAnsi="Times New Roman" w:cs="Times New Roman"/>
          <w:sz w:val="24"/>
          <w:szCs w:val="24"/>
        </w:rPr>
        <w:t xml:space="preserve"> - zadanie realizowane przez Stowarzyszenie Lokalne Salezjańskiej Organizacji Sportowej </w:t>
      </w:r>
      <w:r w:rsidRPr="00826E73">
        <w:rPr>
          <w:rFonts w:ascii="Times New Roman" w:hAnsi="Times New Roman" w:cs="Times New Roman"/>
          <w:sz w:val="24"/>
          <w:szCs w:val="24"/>
        </w:rPr>
        <w:br/>
        <w:t xml:space="preserve">„SL SALOS”. W ramach wydarzenia RESO 10,5 – Miejskie Święto Biegania odbył </w:t>
      </w:r>
      <w:r w:rsidRPr="00826E73">
        <w:rPr>
          <w:rFonts w:ascii="Times New Roman" w:hAnsi="Times New Roman" w:cs="Times New Roman"/>
          <w:sz w:val="24"/>
          <w:szCs w:val="24"/>
        </w:rPr>
        <w:br/>
        <w:t xml:space="preserve">się Suwalski Marsz! – marsz Nordic Walking dla suwalskich seniorów na dystansie 1 km. </w:t>
      </w:r>
      <w:r w:rsidRPr="00826E73">
        <w:rPr>
          <w:rFonts w:ascii="Times New Roman" w:hAnsi="Times New Roman" w:cs="Times New Roman"/>
          <w:sz w:val="24"/>
          <w:szCs w:val="24"/>
        </w:rPr>
        <w:br/>
        <w:t>W przedsięwzięciu u</w:t>
      </w:r>
      <w:r w:rsidR="00513838">
        <w:rPr>
          <w:rFonts w:ascii="Times New Roman" w:hAnsi="Times New Roman" w:cs="Times New Roman"/>
          <w:sz w:val="24"/>
          <w:szCs w:val="24"/>
        </w:rPr>
        <w:t>dział wzięła grupa 80 seniorów</w:t>
      </w:r>
      <w:r w:rsidR="00513838">
        <w:rPr>
          <w:rStyle w:val="Odwoanieprzypisudolnego"/>
          <w:rFonts w:ascii="Times New Roman" w:hAnsi="Times New Roman" w:cs="Times New Roman"/>
          <w:sz w:val="24"/>
          <w:szCs w:val="24"/>
        </w:rPr>
        <w:footnoteReference w:id="160"/>
      </w:r>
    </w:p>
    <w:p w14:paraId="52C6DEDD" w14:textId="77777777" w:rsidR="00826E73" w:rsidRDefault="00C72FA4" w:rsidP="008C71A9">
      <w:pPr>
        <w:pStyle w:val="Akapitzlist"/>
        <w:numPr>
          <w:ilvl w:val="0"/>
          <w:numId w:val="142"/>
        </w:numPr>
        <w:spacing w:after="0"/>
        <w:ind w:left="360"/>
        <w:jc w:val="both"/>
        <w:rPr>
          <w:rFonts w:ascii="Times New Roman" w:hAnsi="Times New Roman" w:cs="Times New Roman"/>
          <w:sz w:val="24"/>
          <w:szCs w:val="24"/>
        </w:rPr>
      </w:pPr>
      <w:r w:rsidRPr="00826E73">
        <w:rPr>
          <w:rFonts w:ascii="Times New Roman" w:hAnsi="Times New Roman" w:cs="Times New Roman"/>
          <w:b/>
          <w:sz w:val="24"/>
          <w:szCs w:val="24"/>
        </w:rPr>
        <w:t>„Zdrowy Senior”</w:t>
      </w:r>
      <w:r w:rsidRPr="00826E73">
        <w:rPr>
          <w:rFonts w:ascii="Times New Roman" w:hAnsi="Times New Roman" w:cs="Times New Roman"/>
          <w:sz w:val="24"/>
          <w:szCs w:val="24"/>
        </w:rPr>
        <w:t xml:space="preserve"> - zadanie realizowane przez Polski Związek Emerytów, Rencistów i Inwalidów. Spotkanie plenerowe połączone z prelekcją lekarza na temat nadciśnienia i cukrzycy. W przedsięwzięciu wzięła udział grupa</w:t>
      </w:r>
      <w:r w:rsidR="00513838">
        <w:rPr>
          <w:rFonts w:ascii="Times New Roman" w:hAnsi="Times New Roman" w:cs="Times New Roman"/>
          <w:sz w:val="24"/>
          <w:szCs w:val="24"/>
        </w:rPr>
        <w:t xml:space="preserve"> 74 seniorów mieszkańców Suwałk</w:t>
      </w:r>
      <w:r w:rsidR="00513838">
        <w:rPr>
          <w:rStyle w:val="Odwoanieprzypisudolnego"/>
          <w:rFonts w:ascii="Times New Roman" w:hAnsi="Times New Roman" w:cs="Times New Roman"/>
          <w:sz w:val="24"/>
          <w:szCs w:val="24"/>
        </w:rPr>
        <w:footnoteReference w:id="161"/>
      </w:r>
    </w:p>
    <w:p w14:paraId="3260B7AD" w14:textId="77777777" w:rsidR="00826E73" w:rsidRDefault="00C72FA4" w:rsidP="008C71A9">
      <w:pPr>
        <w:pStyle w:val="Akapitzlist"/>
        <w:numPr>
          <w:ilvl w:val="0"/>
          <w:numId w:val="142"/>
        </w:numPr>
        <w:spacing w:after="0"/>
        <w:ind w:left="360"/>
        <w:jc w:val="both"/>
        <w:rPr>
          <w:rFonts w:ascii="Times New Roman" w:hAnsi="Times New Roman" w:cs="Times New Roman"/>
          <w:sz w:val="24"/>
          <w:szCs w:val="24"/>
        </w:rPr>
      </w:pPr>
      <w:r w:rsidRPr="00826E73">
        <w:rPr>
          <w:rFonts w:ascii="Times New Roman" w:hAnsi="Times New Roman" w:cs="Times New Roman"/>
          <w:b/>
          <w:sz w:val="24"/>
          <w:szCs w:val="24"/>
        </w:rPr>
        <w:t>„Witamy lato na sportowo”</w:t>
      </w:r>
      <w:r w:rsidRPr="00826E73">
        <w:rPr>
          <w:rFonts w:ascii="Times New Roman" w:hAnsi="Times New Roman" w:cs="Times New Roman"/>
          <w:sz w:val="24"/>
          <w:szCs w:val="24"/>
        </w:rPr>
        <w:t xml:space="preserve"> - zadanie realizowane przez Polski Związek Emerytów, Rencistów i Inwalidów Oddział w Suwałkach. Spotkanie sportowo-rekreacyjne, gdzie seniorzy brali udział w konkurencjach sportowych. W spotkaniu wzię</w:t>
      </w:r>
      <w:r w:rsidR="00513838">
        <w:rPr>
          <w:rFonts w:ascii="Times New Roman" w:hAnsi="Times New Roman" w:cs="Times New Roman"/>
          <w:sz w:val="24"/>
          <w:szCs w:val="24"/>
        </w:rPr>
        <w:t>ło udział 65 seniorów z Suwałk</w:t>
      </w:r>
      <w:r w:rsidR="00513838">
        <w:rPr>
          <w:rStyle w:val="Odwoanieprzypisudolnego"/>
          <w:rFonts w:ascii="Times New Roman" w:hAnsi="Times New Roman" w:cs="Times New Roman"/>
          <w:sz w:val="24"/>
          <w:szCs w:val="24"/>
        </w:rPr>
        <w:footnoteReference w:id="162"/>
      </w:r>
    </w:p>
    <w:p w14:paraId="43733732" w14:textId="77777777" w:rsidR="00826E73" w:rsidRDefault="00C72FA4" w:rsidP="008C71A9">
      <w:pPr>
        <w:pStyle w:val="Akapitzlist"/>
        <w:numPr>
          <w:ilvl w:val="0"/>
          <w:numId w:val="142"/>
        </w:numPr>
        <w:spacing w:after="0"/>
        <w:ind w:left="360"/>
        <w:jc w:val="both"/>
        <w:rPr>
          <w:rFonts w:ascii="Times New Roman" w:hAnsi="Times New Roman" w:cs="Times New Roman"/>
          <w:sz w:val="24"/>
          <w:szCs w:val="24"/>
        </w:rPr>
      </w:pPr>
      <w:r w:rsidRPr="00826E73">
        <w:rPr>
          <w:rFonts w:ascii="Times New Roman" w:hAnsi="Times New Roman" w:cs="Times New Roman"/>
          <w:b/>
          <w:sz w:val="24"/>
          <w:szCs w:val="24"/>
        </w:rPr>
        <w:t>„Seniorska Wiara Aktywnie Działa”</w:t>
      </w:r>
      <w:r w:rsidRPr="00826E73">
        <w:rPr>
          <w:rFonts w:ascii="Times New Roman" w:hAnsi="Times New Roman" w:cs="Times New Roman"/>
          <w:sz w:val="24"/>
          <w:szCs w:val="24"/>
        </w:rPr>
        <w:t xml:space="preserve"> - zadanie realizowane przez Stowarzyszenie Seniorzy z Pasją HORYZONT. Piknik sportowo-rekreacyjny, gdzie seniorzy brali udział w konkurencjach sportowych. W pikniku wzi</w:t>
      </w:r>
      <w:r w:rsidR="00513838">
        <w:rPr>
          <w:rFonts w:ascii="Times New Roman" w:hAnsi="Times New Roman" w:cs="Times New Roman"/>
          <w:sz w:val="24"/>
          <w:szCs w:val="24"/>
        </w:rPr>
        <w:t>ęło udział 57 seniorów z Suwałk</w:t>
      </w:r>
      <w:r w:rsidR="00513838">
        <w:rPr>
          <w:rStyle w:val="Odwoanieprzypisudolnego"/>
          <w:rFonts w:ascii="Times New Roman" w:hAnsi="Times New Roman" w:cs="Times New Roman"/>
          <w:sz w:val="24"/>
          <w:szCs w:val="24"/>
        </w:rPr>
        <w:footnoteReference w:id="163"/>
      </w:r>
    </w:p>
    <w:p w14:paraId="361960B7" w14:textId="77777777" w:rsidR="00826E73" w:rsidRDefault="00C72FA4" w:rsidP="008C71A9">
      <w:pPr>
        <w:pStyle w:val="Akapitzlist"/>
        <w:numPr>
          <w:ilvl w:val="0"/>
          <w:numId w:val="142"/>
        </w:numPr>
        <w:spacing w:after="0"/>
        <w:ind w:left="360"/>
        <w:jc w:val="both"/>
        <w:rPr>
          <w:rFonts w:ascii="Times New Roman" w:hAnsi="Times New Roman" w:cs="Times New Roman"/>
          <w:sz w:val="24"/>
          <w:szCs w:val="24"/>
        </w:rPr>
      </w:pPr>
      <w:r w:rsidRPr="00826E73">
        <w:rPr>
          <w:rFonts w:ascii="Times New Roman" w:hAnsi="Times New Roman" w:cs="Times New Roman"/>
          <w:b/>
          <w:sz w:val="24"/>
          <w:szCs w:val="24"/>
        </w:rPr>
        <w:t>„Biuletyn Złoty Wiek”</w:t>
      </w:r>
      <w:r w:rsidRPr="00826E73">
        <w:rPr>
          <w:rFonts w:ascii="Times New Roman" w:hAnsi="Times New Roman" w:cs="Times New Roman"/>
          <w:sz w:val="24"/>
          <w:szCs w:val="24"/>
        </w:rPr>
        <w:t xml:space="preserve"> - zadanie realizowane przez Stowarzyszenie Uniwersytet Trzeciego Wieku. Zadanie polegało na wydrukowaniu biuletynu i przekazaniu go sympatykom Stowarzyszenia, tj. seniorom z Suwałk (wydrukowano 250 egzemplarzy) </w:t>
      </w:r>
    </w:p>
    <w:p w14:paraId="06A0275F" w14:textId="77777777" w:rsidR="00826E73" w:rsidRDefault="00C72FA4" w:rsidP="008C71A9">
      <w:pPr>
        <w:pStyle w:val="Akapitzlist"/>
        <w:numPr>
          <w:ilvl w:val="0"/>
          <w:numId w:val="142"/>
        </w:numPr>
        <w:spacing w:after="0"/>
        <w:ind w:left="360"/>
        <w:jc w:val="both"/>
        <w:rPr>
          <w:rStyle w:val="editable-pre-wrapped"/>
          <w:rFonts w:ascii="Times New Roman" w:hAnsi="Times New Roman" w:cs="Times New Roman"/>
          <w:sz w:val="24"/>
          <w:szCs w:val="24"/>
        </w:rPr>
      </w:pPr>
      <w:r w:rsidRPr="00826E73">
        <w:rPr>
          <w:rFonts w:ascii="Times New Roman" w:hAnsi="Times New Roman" w:cs="Times New Roman"/>
          <w:b/>
          <w:sz w:val="24"/>
          <w:szCs w:val="24"/>
        </w:rPr>
        <w:t>„Międzypokoleniowa wzajemność oddziaływań - młodzi aktywni - aktywni seniorzy”</w:t>
      </w:r>
      <w:r w:rsidRPr="00826E73">
        <w:rPr>
          <w:rFonts w:ascii="Times New Roman" w:hAnsi="Times New Roman" w:cs="Times New Roman"/>
          <w:sz w:val="24"/>
          <w:szCs w:val="24"/>
        </w:rPr>
        <w:t xml:space="preserve"> -zadanie realizowane przez Związek Harcerstwa Polskiego Chorągiew Białostocka. Polegało ono na prowadzeniu </w:t>
      </w:r>
      <w:r w:rsidRPr="00826E73">
        <w:rPr>
          <w:rStyle w:val="editable-pre-wrapped"/>
          <w:rFonts w:ascii="Times New Roman" w:hAnsi="Times New Roman" w:cs="Times New Roman"/>
          <w:sz w:val="24"/>
          <w:szCs w:val="24"/>
        </w:rPr>
        <w:t xml:space="preserve">warsztatów asertywności oraz nawiązaniu współpracy i spotkaniu </w:t>
      </w:r>
      <w:r w:rsidRPr="00826E73">
        <w:rPr>
          <w:rStyle w:val="editable-pre-wrapped"/>
          <w:rFonts w:ascii="Times New Roman" w:hAnsi="Times New Roman" w:cs="Times New Roman"/>
          <w:sz w:val="24"/>
          <w:szCs w:val="24"/>
        </w:rPr>
        <w:br/>
        <w:t>z suwalskimi seniorami.</w:t>
      </w:r>
      <w:r w:rsidRPr="00826E73">
        <w:rPr>
          <w:rFonts w:ascii="Times New Roman" w:hAnsi="Times New Roman" w:cs="Times New Roman"/>
          <w:sz w:val="24"/>
          <w:szCs w:val="24"/>
        </w:rPr>
        <w:t xml:space="preserve"> </w:t>
      </w:r>
      <w:r w:rsidRPr="00826E73">
        <w:rPr>
          <w:rStyle w:val="editable-pre-wrapped"/>
          <w:rFonts w:ascii="Times New Roman" w:hAnsi="Times New Roman" w:cs="Times New Roman"/>
          <w:sz w:val="24"/>
          <w:szCs w:val="24"/>
        </w:rPr>
        <w:t xml:space="preserve">Młodzi ludzie pomagali seniorom przy obsłudze sprzętów elektronicznych, zapoznaniu się z funkcjonowaniem mediów społecznościowych. </w:t>
      </w:r>
      <w:r w:rsidRPr="00826E73">
        <w:rPr>
          <w:rStyle w:val="editable-pre-wrapped"/>
          <w:rFonts w:ascii="Times New Roman" w:hAnsi="Times New Roman" w:cs="Times New Roman"/>
          <w:sz w:val="24"/>
          <w:szCs w:val="24"/>
        </w:rPr>
        <w:br/>
        <w:t>W zadaniu wzi</w:t>
      </w:r>
      <w:r w:rsidR="00513838">
        <w:rPr>
          <w:rStyle w:val="editable-pre-wrapped"/>
          <w:rFonts w:ascii="Times New Roman" w:hAnsi="Times New Roman" w:cs="Times New Roman"/>
          <w:sz w:val="24"/>
          <w:szCs w:val="24"/>
        </w:rPr>
        <w:t>ęło udział 52 seniorów z Suwałk</w:t>
      </w:r>
      <w:r w:rsidR="00513838">
        <w:rPr>
          <w:rStyle w:val="Odwoanieprzypisudolnego"/>
          <w:rFonts w:ascii="Times New Roman" w:hAnsi="Times New Roman" w:cs="Times New Roman"/>
          <w:sz w:val="24"/>
          <w:szCs w:val="24"/>
        </w:rPr>
        <w:footnoteReference w:id="164"/>
      </w:r>
    </w:p>
    <w:p w14:paraId="491327A6" w14:textId="77777777" w:rsidR="00826E73" w:rsidRDefault="00C72FA4" w:rsidP="008C71A9">
      <w:pPr>
        <w:pStyle w:val="Akapitzlist"/>
        <w:numPr>
          <w:ilvl w:val="0"/>
          <w:numId w:val="142"/>
        </w:numPr>
        <w:spacing w:after="0"/>
        <w:ind w:left="360"/>
        <w:jc w:val="both"/>
        <w:rPr>
          <w:rFonts w:ascii="Times New Roman" w:hAnsi="Times New Roman" w:cs="Times New Roman"/>
          <w:sz w:val="24"/>
          <w:szCs w:val="24"/>
        </w:rPr>
      </w:pPr>
      <w:r w:rsidRPr="00826E73">
        <w:rPr>
          <w:rFonts w:ascii="Times New Roman" w:hAnsi="Times New Roman" w:cs="Times New Roman"/>
          <w:b/>
          <w:sz w:val="24"/>
          <w:szCs w:val="24"/>
        </w:rPr>
        <w:t>„MAT w Pogodnych Suwałkach czyli historia szczęścia Suwalczan zachowana w pamięci”</w:t>
      </w:r>
      <w:r w:rsidRPr="00826E73">
        <w:rPr>
          <w:rFonts w:ascii="Times New Roman" w:hAnsi="Times New Roman" w:cs="Times New Roman"/>
          <w:sz w:val="24"/>
          <w:szCs w:val="24"/>
        </w:rPr>
        <w:t xml:space="preserve">- Stowarzyszenie Suwalskie Starszaki przeprowadziło zadanie obejmujące cykl pięciu warsztatów połączonych z koncertami nawiązujących do piosenki ludowej, utworów rozrywkowych, utworów z lat minionych. Ponadto zaprezentowano 2 wystawy: „Portrety małżeńskie Suwalczan” połączoną z wieczorem wspomnień oraz wystawę </w:t>
      </w:r>
      <w:r w:rsidRPr="00826E73">
        <w:rPr>
          <w:rFonts w:ascii="Times New Roman" w:hAnsi="Times New Roman" w:cs="Times New Roman"/>
          <w:sz w:val="24"/>
          <w:szCs w:val="24"/>
        </w:rPr>
        <w:br/>
      </w:r>
      <w:r w:rsidRPr="00826E73">
        <w:rPr>
          <w:rFonts w:ascii="Times New Roman" w:hAnsi="Times New Roman" w:cs="Times New Roman"/>
          <w:sz w:val="24"/>
          <w:szCs w:val="24"/>
        </w:rPr>
        <w:lastRenderedPageBreak/>
        <w:t>pn.: „Suwalscy seniorzy w akcji”. Wskazane działania zintegrowały środowiska senioralne, włączono do nich seniorów  niezrzeszonych, którzy z chęcią podjęli edukację muzyczno-wokalną, nawiązali nowe znajomości oraz przekonali się, że można żyć aktywnie. Ogólna liczba odbiorców wyniosła - 600 seniorów</w:t>
      </w:r>
    </w:p>
    <w:p w14:paraId="7EE4F7B9" w14:textId="77777777" w:rsidR="00513838" w:rsidRDefault="00C72FA4" w:rsidP="008C71A9">
      <w:pPr>
        <w:pStyle w:val="Akapitzlist"/>
        <w:numPr>
          <w:ilvl w:val="0"/>
          <w:numId w:val="142"/>
        </w:numPr>
        <w:spacing w:after="0"/>
        <w:ind w:left="360"/>
        <w:jc w:val="both"/>
        <w:rPr>
          <w:rFonts w:ascii="Times New Roman" w:hAnsi="Times New Roman" w:cs="Times New Roman"/>
          <w:sz w:val="24"/>
          <w:szCs w:val="24"/>
        </w:rPr>
      </w:pPr>
      <w:r w:rsidRPr="00513838">
        <w:rPr>
          <w:rFonts w:ascii="Times New Roman" w:hAnsi="Times New Roman" w:cs="Times New Roman"/>
          <w:b/>
          <w:sz w:val="24"/>
          <w:szCs w:val="24"/>
        </w:rPr>
        <w:t>„Pasja Horyzontu – mieszkańcom Suwałk”</w:t>
      </w:r>
      <w:r w:rsidRPr="00513838">
        <w:rPr>
          <w:rFonts w:ascii="Times New Roman" w:hAnsi="Times New Roman" w:cs="Times New Roman"/>
          <w:sz w:val="24"/>
          <w:szCs w:val="24"/>
        </w:rPr>
        <w:t xml:space="preserve"> - Stowarzyszenie Seniorzy z Pasją „Horyzont” w ramach realizacji zadania zleconego przez Miasto Suwałki w konkursie ofert zorganizowało cykl pięciu koncertów dla seniorów o różnej tematyce. Seniorzy byli również zaangażowani jako wykonawcy. Odbyły się koncerty: „Być Kobietą” – koncert z okazji Dnia Kobiet, majowy koncert Pieśni Maryjnych,  „Sto lat Niepodległości Suwałk”, „Pięć lat minęło” – jubileusz 5-lecia Zespołu Ocean Życia, listopadowy Przegląd Pieśni Patriotycznych. W sumie w dzia</w:t>
      </w:r>
      <w:r w:rsidR="00513838">
        <w:rPr>
          <w:rFonts w:ascii="Times New Roman" w:hAnsi="Times New Roman" w:cs="Times New Roman"/>
          <w:sz w:val="24"/>
          <w:szCs w:val="24"/>
        </w:rPr>
        <w:t>łaniach udział wzięło 1 300 osób</w:t>
      </w:r>
      <w:r w:rsidR="00513838">
        <w:rPr>
          <w:rStyle w:val="Odwoanieprzypisudolnego"/>
          <w:rFonts w:ascii="Times New Roman" w:hAnsi="Times New Roman" w:cs="Times New Roman"/>
          <w:sz w:val="24"/>
          <w:szCs w:val="24"/>
        </w:rPr>
        <w:footnoteReference w:id="165"/>
      </w:r>
    </w:p>
    <w:p w14:paraId="31006E0B" w14:textId="77777777" w:rsidR="00826E73" w:rsidRPr="00513838" w:rsidRDefault="00C72FA4" w:rsidP="008C71A9">
      <w:pPr>
        <w:pStyle w:val="Akapitzlist"/>
        <w:numPr>
          <w:ilvl w:val="0"/>
          <w:numId w:val="142"/>
        </w:numPr>
        <w:spacing w:after="0"/>
        <w:ind w:left="360"/>
        <w:jc w:val="both"/>
        <w:rPr>
          <w:rFonts w:ascii="Times New Roman" w:hAnsi="Times New Roman" w:cs="Times New Roman"/>
          <w:sz w:val="24"/>
          <w:szCs w:val="24"/>
        </w:rPr>
      </w:pPr>
      <w:r w:rsidRPr="00513838">
        <w:rPr>
          <w:rFonts w:ascii="Times New Roman" w:hAnsi="Times New Roman" w:cs="Times New Roman"/>
          <w:sz w:val="24"/>
          <w:szCs w:val="24"/>
        </w:rPr>
        <w:t>„</w:t>
      </w:r>
      <w:r w:rsidRPr="00513838">
        <w:rPr>
          <w:rFonts w:ascii="Times New Roman" w:hAnsi="Times New Roman" w:cs="Times New Roman"/>
          <w:b/>
          <w:sz w:val="24"/>
          <w:szCs w:val="24"/>
        </w:rPr>
        <w:t xml:space="preserve">Romantycy pogranicza” </w:t>
      </w:r>
      <w:r w:rsidRPr="00513838">
        <w:rPr>
          <w:rFonts w:ascii="Times New Roman" w:hAnsi="Times New Roman" w:cs="Times New Roman"/>
          <w:sz w:val="24"/>
          <w:szCs w:val="24"/>
        </w:rPr>
        <w:t>koncert z okazji dwudziestej rocznicy pobytu na Suwalszczyźnie Jana Pawła II – Papieża Polaka - zadanie zostało zrealizowane przez Stowarzyszenie Miłośników Muzyki „Viva Musica”. Odbył się uroczysty koncert  złożony z ośmiu pieśni zebranych w dziele „Śpiewnik Domowy” Stanisława Moniuszki, tym samym zaprezentowano dorobek artystyczny wybitnego kompozytora pogranicza polsko-litewsko-białoruskiego. Koncert był dedykowany osobie św. Jana Pawła II. Odbiorcami było 788 seniorów.</w:t>
      </w:r>
    </w:p>
    <w:p w14:paraId="788A5CF5" w14:textId="77777777" w:rsidR="00C72FA4" w:rsidRDefault="00C72FA4" w:rsidP="008C71A9">
      <w:pPr>
        <w:pStyle w:val="Akapitzlist"/>
        <w:numPr>
          <w:ilvl w:val="0"/>
          <w:numId w:val="142"/>
        </w:numPr>
        <w:spacing w:after="0"/>
        <w:ind w:left="360"/>
        <w:jc w:val="both"/>
        <w:rPr>
          <w:rFonts w:ascii="Times New Roman" w:hAnsi="Times New Roman" w:cs="Times New Roman"/>
          <w:sz w:val="24"/>
          <w:szCs w:val="24"/>
        </w:rPr>
      </w:pPr>
      <w:r w:rsidRPr="00826E73">
        <w:rPr>
          <w:rFonts w:ascii="Times New Roman" w:hAnsi="Times New Roman" w:cs="Times New Roman"/>
          <w:b/>
          <w:sz w:val="24"/>
          <w:szCs w:val="24"/>
        </w:rPr>
        <w:t>„Z Kiepurą na Chłodnej”</w:t>
      </w:r>
      <w:r w:rsidRPr="00826E73">
        <w:rPr>
          <w:rFonts w:ascii="Times New Roman" w:hAnsi="Times New Roman" w:cs="Times New Roman"/>
          <w:sz w:val="24"/>
          <w:szCs w:val="24"/>
        </w:rPr>
        <w:t xml:space="preserve"> - propozycja zadania z dziedziny kultury złożona przez Fundację Art-sos miała na celu dostarczenie starszym odbiorcom koncertów o wysokiej jakości artystycznej. W trakcie trwania zadania przez pięć dni rozbrzmiewała muzyka instrumentalna i wokalna w wykonaniu profesjonalnych muzyków. Odbyło się pięć koncertów, w których w sumie uczestniczyło 770 seniorów.</w:t>
      </w:r>
    </w:p>
    <w:p w14:paraId="6F1D0F59" w14:textId="77777777" w:rsidR="00826E73" w:rsidRDefault="00826E73" w:rsidP="00E7359C">
      <w:pPr>
        <w:spacing w:after="0"/>
        <w:jc w:val="both"/>
        <w:rPr>
          <w:rFonts w:ascii="Times New Roman" w:hAnsi="Times New Roman" w:cs="Times New Roman"/>
          <w:sz w:val="24"/>
          <w:szCs w:val="24"/>
        </w:rPr>
      </w:pPr>
    </w:p>
    <w:p w14:paraId="48E2BC59" w14:textId="77777777" w:rsidR="00826E73" w:rsidRPr="00826E73" w:rsidRDefault="00826E73" w:rsidP="00E7359C">
      <w:pPr>
        <w:spacing w:after="0"/>
        <w:jc w:val="both"/>
        <w:rPr>
          <w:rFonts w:ascii="Times New Roman" w:hAnsi="Times New Roman" w:cs="Times New Roman"/>
          <w:sz w:val="24"/>
          <w:szCs w:val="24"/>
        </w:rPr>
      </w:pPr>
      <w:r w:rsidRPr="00826E73">
        <w:rPr>
          <w:rFonts w:ascii="Times New Roman" w:hAnsi="Times New Roman" w:cs="Times New Roman"/>
          <w:sz w:val="24"/>
          <w:szCs w:val="24"/>
        </w:rPr>
        <w:t>W Łomży zrealizowano następujące działania:</w:t>
      </w:r>
    </w:p>
    <w:p w14:paraId="3D607547" w14:textId="77777777" w:rsidR="00826E73" w:rsidRPr="00826E73" w:rsidRDefault="00C72FA4" w:rsidP="008C71A9">
      <w:pPr>
        <w:pStyle w:val="Akapitzlist"/>
        <w:numPr>
          <w:ilvl w:val="0"/>
          <w:numId w:val="143"/>
        </w:numPr>
        <w:spacing w:after="0"/>
        <w:ind w:left="360"/>
        <w:jc w:val="both"/>
        <w:rPr>
          <w:rFonts w:ascii="Times New Roman" w:hAnsi="Times New Roman" w:cs="Times New Roman"/>
          <w:b/>
          <w:i/>
          <w:sz w:val="24"/>
          <w:szCs w:val="24"/>
        </w:rPr>
      </w:pPr>
      <w:r w:rsidRPr="00826E73">
        <w:rPr>
          <w:rFonts w:ascii="Times New Roman" w:hAnsi="Times New Roman" w:cs="Times New Roman"/>
          <w:b/>
          <w:bCs/>
          <w:sz w:val="24"/>
          <w:szCs w:val="24"/>
        </w:rPr>
        <w:t xml:space="preserve">„Nestoralia” </w:t>
      </w:r>
      <w:r w:rsidRPr="00826E73">
        <w:rPr>
          <w:rFonts w:ascii="Times New Roman" w:hAnsi="Times New Roman" w:cs="Times New Roman"/>
          <w:sz w:val="24"/>
          <w:szCs w:val="24"/>
        </w:rPr>
        <w:t>czyli festyn rodzinny poświęcony najstarszym mieszkańcom Miasta Łomża - 04.06.2019 r. Wydarzenie wpisało się w Tydzień Kultury Studenckiej.</w:t>
      </w:r>
      <w:r w:rsidRPr="00826E73">
        <w:rPr>
          <w:rFonts w:ascii="Times New Roman" w:hAnsi="Times New Roman" w:cs="Times New Roman"/>
          <w:b/>
          <w:bCs/>
          <w:sz w:val="24"/>
          <w:szCs w:val="24"/>
        </w:rPr>
        <w:t xml:space="preserve"> </w:t>
      </w:r>
      <w:r w:rsidRPr="00826E73">
        <w:rPr>
          <w:rFonts w:ascii="Times New Roman" w:hAnsi="Times New Roman" w:cs="Times New Roman"/>
          <w:sz w:val="24"/>
          <w:szCs w:val="24"/>
        </w:rPr>
        <w:t>W programie imprezy znalazły się m.in. występy zespołu Maryna z Klubu Seniora, występy Seniorów z Dziennego Domu „Senior+” w Łomży, dyskoteka z zespołem Tabor. Dla Nestorów przygotowano również zajęcia ruchowe w postaci fitness i zumby</w:t>
      </w:r>
      <w:r w:rsidR="00D265BB">
        <w:rPr>
          <w:rStyle w:val="Odwoanieprzypisudolnego"/>
          <w:rFonts w:ascii="Times New Roman" w:hAnsi="Times New Roman" w:cs="Times New Roman"/>
          <w:sz w:val="24"/>
          <w:szCs w:val="24"/>
        </w:rPr>
        <w:footnoteReference w:id="166"/>
      </w:r>
    </w:p>
    <w:p w14:paraId="3880018E" w14:textId="77777777" w:rsidR="00826E73" w:rsidRPr="00826E73" w:rsidRDefault="00C72FA4" w:rsidP="008C71A9">
      <w:pPr>
        <w:pStyle w:val="Akapitzlist"/>
        <w:numPr>
          <w:ilvl w:val="0"/>
          <w:numId w:val="143"/>
        </w:numPr>
        <w:spacing w:after="0"/>
        <w:ind w:left="360"/>
        <w:jc w:val="both"/>
        <w:rPr>
          <w:rFonts w:ascii="Times New Roman" w:hAnsi="Times New Roman" w:cs="Times New Roman"/>
          <w:b/>
          <w:i/>
          <w:sz w:val="24"/>
          <w:szCs w:val="24"/>
        </w:rPr>
      </w:pPr>
      <w:r w:rsidRPr="00826E73">
        <w:rPr>
          <w:rFonts w:ascii="Times New Roman" w:hAnsi="Times New Roman" w:cs="Times New Roman"/>
          <w:b/>
          <w:bCs/>
          <w:sz w:val="24"/>
          <w:szCs w:val="24"/>
        </w:rPr>
        <w:t>„Senioriada”</w:t>
      </w:r>
      <w:r w:rsidRPr="00826E73">
        <w:rPr>
          <w:rFonts w:ascii="Times New Roman" w:hAnsi="Times New Roman" w:cs="Times New Roman"/>
          <w:sz w:val="24"/>
          <w:szCs w:val="24"/>
        </w:rPr>
        <w:t xml:space="preserve"> czyli święto łomżyńskich seniorów, odbyła się 12.09.2019 r. na Starym Rynku w Łomży</w:t>
      </w:r>
      <w:r w:rsidRPr="00826E73">
        <w:rPr>
          <w:rFonts w:ascii="Times New Roman" w:hAnsi="Times New Roman" w:cs="Times New Roman"/>
          <w:b/>
          <w:bCs/>
          <w:sz w:val="24"/>
          <w:szCs w:val="24"/>
        </w:rPr>
        <w:t xml:space="preserve">. </w:t>
      </w:r>
      <w:r w:rsidRPr="00826E73">
        <w:rPr>
          <w:rFonts w:ascii="Times New Roman" w:hAnsi="Times New Roman" w:cs="Times New Roman"/>
          <w:sz w:val="24"/>
          <w:szCs w:val="24"/>
        </w:rPr>
        <w:t xml:space="preserve">Wypełniły ją: prezentacja twórczości osób starszych, zabawa przy muzyce, trening ciała i umysłu, a także porady zdrowotne i badania profilaktyczne. Na seniorów czekał poczęstunek i orzeźwiająca woda </w:t>
      </w:r>
      <w:bookmarkStart w:id="144" w:name="_Hlk42851290"/>
      <w:r w:rsidRPr="00826E73">
        <w:rPr>
          <w:rFonts w:ascii="Times New Roman" w:hAnsi="Times New Roman" w:cs="Times New Roman"/>
          <w:sz w:val="24"/>
          <w:szCs w:val="24"/>
        </w:rPr>
        <w:t>z łomżyńskiego wodociągu</w:t>
      </w:r>
      <w:bookmarkEnd w:id="144"/>
      <w:r w:rsidR="00D265BB">
        <w:rPr>
          <w:rStyle w:val="Odwoanieprzypisudolnego"/>
          <w:rFonts w:ascii="Times New Roman" w:hAnsi="Times New Roman" w:cs="Times New Roman"/>
          <w:sz w:val="24"/>
          <w:szCs w:val="24"/>
        </w:rPr>
        <w:footnoteReference w:id="167"/>
      </w:r>
    </w:p>
    <w:p w14:paraId="21C8797B" w14:textId="77777777" w:rsidR="00826E73" w:rsidRPr="00826E73" w:rsidRDefault="00C72FA4" w:rsidP="008C71A9">
      <w:pPr>
        <w:pStyle w:val="Akapitzlist"/>
        <w:numPr>
          <w:ilvl w:val="0"/>
          <w:numId w:val="143"/>
        </w:numPr>
        <w:spacing w:after="0"/>
        <w:ind w:left="360"/>
        <w:jc w:val="both"/>
        <w:rPr>
          <w:rFonts w:ascii="Times New Roman" w:hAnsi="Times New Roman" w:cs="Times New Roman"/>
          <w:b/>
          <w:i/>
          <w:sz w:val="24"/>
          <w:szCs w:val="24"/>
        </w:rPr>
      </w:pPr>
      <w:r w:rsidRPr="00826E73">
        <w:rPr>
          <w:rFonts w:ascii="Times New Roman" w:hAnsi="Times New Roman" w:cs="Times New Roman"/>
          <w:b/>
          <w:bCs/>
          <w:sz w:val="24"/>
          <w:szCs w:val="24"/>
        </w:rPr>
        <w:t>Forum Seniora</w:t>
      </w:r>
      <w:r w:rsidRPr="00826E73">
        <w:rPr>
          <w:rFonts w:ascii="Times New Roman" w:hAnsi="Times New Roman" w:cs="Times New Roman"/>
          <w:sz w:val="24"/>
          <w:szCs w:val="24"/>
        </w:rPr>
        <w:t xml:space="preserve"> - 11.10.2019</w:t>
      </w:r>
      <w:r w:rsidR="00D265BB">
        <w:rPr>
          <w:rFonts w:ascii="Times New Roman" w:hAnsi="Times New Roman" w:cs="Times New Roman"/>
          <w:sz w:val="24"/>
          <w:szCs w:val="24"/>
        </w:rPr>
        <w:t xml:space="preserve"> </w:t>
      </w:r>
      <w:r w:rsidRPr="00826E73">
        <w:rPr>
          <w:rFonts w:ascii="Times New Roman" w:hAnsi="Times New Roman" w:cs="Times New Roman"/>
          <w:sz w:val="24"/>
          <w:szCs w:val="24"/>
        </w:rPr>
        <w:t>r., Hotel Belfort w Piątnicy. W ramach wydarzenia seniorzy mogli wysłuchać wykładów poświęconych bezpiec</w:t>
      </w:r>
      <w:r w:rsidR="00D265BB">
        <w:rPr>
          <w:rFonts w:ascii="Times New Roman" w:hAnsi="Times New Roman" w:cs="Times New Roman"/>
          <w:sz w:val="24"/>
          <w:szCs w:val="24"/>
        </w:rPr>
        <w:t>zeństwu osób starszych z Łomży</w:t>
      </w:r>
      <w:r w:rsidR="00D265BB">
        <w:rPr>
          <w:rStyle w:val="Odwoanieprzypisudolnego"/>
          <w:rFonts w:ascii="Times New Roman" w:hAnsi="Times New Roman" w:cs="Times New Roman"/>
          <w:sz w:val="24"/>
          <w:szCs w:val="24"/>
        </w:rPr>
        <w:footnoteReference w:id="168"/>
      </w:r>
    </w:p>
    <w:p w14:paraId="22E935CF" w14:textId="77777777" w:rsidR="00C72FA4" w:rsidRPr="00826E73" w:rsidRDefault="00C72FA4" w:rsidP="008C71A9">
      <w:pPr>
        <w:pStyle w:val="Akapitzlist"/>
        <w:numPr>
          <w:ilvl w:val="0"/>
          <w:numId w:val="143"/>
        </w:numPr>
        <w:spacing w:after="0"/>
        <w:ind w:left="360"/>
        <w:jc w:val="both"/>
        <w:rPr>
          <w:rFonts w:ascii="Times New Roman" w:hAnsi="Times New Roman" w:cs="Times New Roman"/>
          <w:b/>
          <w:i/>
          <w:sz w:val="24"/>
          <w:szCs w:val="24"/>
        </w:rPr>
      </w:pPr>
      <w:r w:rsidRPr="00826E73">
        <w:rPr>
          <w:rFonts w:ascii="Times New Roman" w:hAnsi="Times New Roman" w:cs="Times New Roman"/>
          <w:b/>
          <w:bCs/>
          <w:sz w:val="24"/>
          <w:szCs w:val="24"/>
        </w:rPr>
        <w:t>“ABC zdrowego Seniora 2019”</w:t>
      </w:r>
      <w:r w:rsidRPr="00826E73">
        <w:rPr>
          <w:rFonts w:ascii="Times New Roman" w:hAnsi="Times New Roman" w:cs="Times New Roman"/>
          <w:sz w:val="24"/>
          <w:szCs w:val="24"/>
        </w:rPr>
        <w:t xml:space="preserve">- zadanie publiczne współfinansowane ze środków Miasta Łomża i Zarządu Województwa Podlaskiego </w:t>
      </w:r>
      <w:r w:rsidRPr="00826E73">
        <w:rPr>
          <w:rFonts w:ascii="Times New Roman" w:eastAsia="Calibri" w:hAnsi="Times New Roman" w:cs="Times New Roman"/>
          <w:sz w:val="24"/>
          <w:szCs w:val="24"/>
        </w:rPr>
        <w:t>realizowane przez Fundację "Czas Lokalny" – maj - grudzień 2019 r. Klub Seniora w Łomży.</w:t>
      </w:r>
      <w:r w:rsidR="00826E73" w:rsidRPr="00826E73">
        <w:rPr>
          <w:rFonts w:ascii="Times New Roman" w:eastAsia="Calibri" w:hAnsi="Times New Roman" w:cs="Times New Roman"/>
          <w:sz w:val="24"/>
          <w:szCs w:val="24"/>
        </w:rPr>
        <w:t xml:space="preserve"> </w:t>
      </w:r>
      <w:r w:rsidRPr="00826E73">
        <w:rPr>
          <w:rFonts w:ascii="Times New Roman" w:eastAsia="Calibri" w:hAnsi="Times New Roman" w:cs="Times New Roman"/>
          <w:sz w:val="24"/>
          <w:szCs w:val="24"/>
        </w:rPr>
        <w:t xml:space="preserve">Cykl spotkań poświęconych Seniorom </w:t>
      </w:r>
      <w:r w:rsidRPr="00826E73">
        <w:rPr>
          <w:rFonts w:ascii="Times New Roman" w:eastAsia="Calibri" w:hAnsi="Times New Roman" w:cs="Times New Roman"/>
          <w:sz w:val="24"/>
          <w:szCs w:val="24"/>
        </w:rPr>
        <w:lastRenderedPageBreak/>
        <w:t>obejmował:</w:t>
      </w:r>
      <w:r w:rsidR="00826E73" w:rsidRPr="00826E73">
        <w:rPr>
          <w:rFonts w:ascii="Times New Roman" w:eastAsia="Calibri" w:hAnsi="Times New Roman" w:cs="Times New Roman"/>
          <w:sz w:val="24"/>
          <w:szCs w:val="24"/>
        </w:rPr>
        <w:t xml:space="preserve"> </w:t>
      </w:r>
      <w:r w:rsidRPr="00826E73">
        <w:rPr>
          <w:rFonts w:ascii="Times New Roman" w:eastAsia="Calibri" w:hAnsi="Times New Roman" w:cs="Times New Roman"/>
          <w:sz w:val="24"/>
          <w:szCs w:val="24"/>
        </w:rPr>
        <w:t>spotkania edukacyjne, porady dietetyczne, badania ciśnienia, cukru i testy na HCV,</w:t>
      </w:r>
      <w:r w:rsidR="00826E73" w:rsidRPr="00826E73">
        <w:rPr>
          <w:rFonts w:ascii="Times New Roman" w:eastAsia="Calibri" w:hAnsi="Times New Roman" w:cs="Times New Roman"/>
          <w:sz w:val="24"/>
          <w:szCs w:val="24"/>
        </w:rPr>
        <w:t xml:space="preserve"> </w:t>
      </w:r>
      <w:r w:rsidRPr="00826E73">
        <w:rPr>
          <w:rFonts w:ascii="Times New Roman" w:eastAsia="Calibri" w:hAnsi="Times New Roman" w:cs="Times New Roman"/>
          <w:sz w:val="24"/>
          <w:szCs w:val="24"/>
        </w:rPr>
        <w:t>zajęcia ruchowe:  gimnastyka, siłownia na świeżym powietrzu,</w:t>
      </w:r>
      <w:r w:rsidR="00826E73" w:rsidRPr="00826E73">
        <w:rPr>
          <w:rFonts w:ascii="Times New Roman" w:eastAsia="Calibri" w:hAnsi="Times New Roman" w:cs="Times New Roman"/>
          <w:sz w:val="24"/>
          <w:szCs w:val="24"/>
        </w:rPr>
        <w:t xml:space="preserve"> </w:t>
      </w:r>
      <w:r w:rsidRPr="00826E73">
        <w:rPr>
          <w:rFonts w:ascii="Times New Roman" w:eastAsia="Calibri" w:hAnsi="Times New Roman" w:cs="Times New Roman"/>
          <w:sz w:val="24"/>
          <w:szCs w:val="24"/>
        </w:rPr>
        <w:t>warsztaty kulinarne.</w:t>
      </w:r>
    </w:p>
    <w:p w14:paraId="67C1FCAC" w14:textId="77777777" w:rsidR="00C72FA4" w:rsidRPr="005F0A32" w:rsidRDefault="00C72FA4" w:rsidP="00E7359C">
      <w:pPr>
        <w:spacing w:after="0"/>
        <w:jc w:val="both"/>
        <w:rPr>
          <w:rFonts w:ascii="Times New Roman" w:hAnsi="Times New Roman" w:cs="Times New Roman"/>
          <w:sz w:val="24"/>
          <w:szCs w:val="24"/>
        </w:rPr>
      </w:pPr>
    </w:p>
    <w:p w14:paraId="18072E59" w14:textId="77777777" w:rsidR="00C72FA4" w:rsidRPr="00826E73" w:rsidRDefault="00826E73" w:rsidP="00E7359C">
      <w:pPr>
        <w:spacing w:after="0"/>
        <w:jc w:val="both"/>
        <w:rPr>
          <w:rFonts w:ascii="Times New Roman" w:hAnsi="Times New Roman" w:cs="Times New Roman"/>
          <w:b/>
          <w:i/>
          <w:sz w:val="24"/>
          <w:szCs w:val="24"/>
        </w:rPr>
      </w:pPr>
      <w:r w:rsidRPr="00826E73">
        <w:rPr>
          <w:rFonts w:ascii="Times New Roman" w:hAnsi="Times New Roman" w:cs="Times New Roman"/>
          <w:sz w:val="24"/>
          <w:szCs w:val="24"/>
        </w:rPr>
        <w:t>Gmina Czyże r</w:t>
      </w:r>
      <w:r w:rsidR="00C72FA4" w:rsidRPr="00826E73">
        <w:rPr>
          <w:rFonts w:ascii="Times New Roman" w:hAnsi="Times New Roman" w:cs="Times New Roman"/>
          <w:sz w:val="24"/>
          <w:szCs w:val="24"/>
        </w:rPr>
        <w:t>ealizowała</w:t>
      </w:r>
      <w:r w:rsidR="00C72FA4" w:rsidRPr="005F0A32">
        <w:rPr>
          <w:rFonts w:ascii="Times New Roman" w:hAnsi="Times New Roman" w:cs="Times New Roman"/>
          <w:sz w:val="24"/>
          <w:szCs w:val="24"/>
        </w:rPr>
        <w:t xml:space="preserve"> projekt </w:t>
      </w:r>
      <w:r w:rsidR="00C72FA4" w:rsidRPr="005F0A32">
        <w:rPr>
          <w:rFonts w:ascii="Times New Roman" w:hAnsi="Times New Roman" w:cs="Times New Roman"/>
          <w:b/>
          <w:sz w:val="24"/>
          <w:szCs w:val="24"/>
        </w:rPr>
        <w:t xml:space="preserve">„Gmina Czyże bez przemocy </w:t>
      </w:r>
      <w:r w:rsidR="00C72FA4" w:rsidRPr="005F0A32">
        <w:rPr>
          <w:rFonts w:ascii="Times New Roman" w:hAnsi="Times New Roman" w:cs="Times New Roman"/>
          <w:sz w:val="24"/>
          <w:szCs w:val="24"/>
        </w:rPr>
        <w:t>–</w:t>
      </w:r>
      <w:r w:rsidR="00C72FA4" w:rsidRPr="005F0A32">
        <w:rPr>
          <w:rFonts w:ascii="Times New Roman" w:hAnsi="Times New Roman" w:cs="Times New Roman"/>
          <w:b/>
          <w:sz w:val="24"/>
          <w:szCs w:val="24"/>
        </w:rPr>
        <w:t xml:space="preserve"> bezpieczny senior”</w:t>
      </w:r>
      <w:r w:rsidR="00E35E6B">
        <w:rPr>
          <w:rFonts w:ascii="Times New Roman" w:hAnsi="Times New Roman" w:cs="Times New Roman"/>
          <w:b/>
          <w:sz w:val="24"/>
          <w:szCs w:val="24"/>
        </w:rPr>
        <w:t>,</w:t>
      </w:r>
      <w:r w:rsidR="00E35E6B">
        <w:rPr>
          <w:rFonts w:ascii="Times New Roman" w:hAnsi="Times New Roman" w:cs="Times New Roman"/>
          <w:sz w:val="24"/>
          <w:szCs w:val="24"/>
        </w:rPr>
        <w:t xml:space="preserve"> współfinansowany </w:t>
      </w:r>
      <w:r w:rsidR="00C72FA4" w:rsidRPr="005F0A32">
        <w:rPr>
          <w:rFonts w:ascii="Times New Roman" w:hAnsi="Times New Roman" w:cs="Times New Roman"/>
          <w:sz w:val="24"/>
          <w:szCs w:val="24"/>
        </w:rPr>
        <w:t>przez Ministra Rodziny, Pracy i Polityki Społecznej w ramach Programu Osłonowego „Wspieranie Jednostek Samorządu Terytorialnego w Tworzeniu Systemu Przeciwdziałania Przemocy w Rodzinie”- edycja 2019. W ramach projektu realizowano następujące działania skierowane do seniorów (wiek 60 i 60 plus): Działanie 1: „Zespół interdyscyplinarny wobec przemocy w stosunku do seniorów”. Profesjonalne szkolenie dla członków zespołu interdyscyplinarnego i GKRPA</w:t>
      </w:r>
      <w:r w:rsidR="00E35E6B">
        <w:rPr>
          <w:rFonts w:ascii="Times New Roman" w:hAnsi="Times New Roman" w:cs="Times New Roman"/>
          <w:sz w:val="24"/>
          <w:szCs w:val="24"/>
        </w:rPr>
        <w:t xml:space="preserve"> </w:t>
      </w:r>
      <w:r w:rsidR="00C72FA4" w:rsidRPr="005F0A32">
        <w:rPr>
          <w:rFonts w:ascii="Times New Roman" w:hAnsi="Times New Roman" w:cs="Times New Roman"/>
          <w:sz w:val="24"/>
          <w:szCs w:val="24"/>
        </w:rPr>
        <w:t xml:space="preserve">w Czyżach ukierunkowane na przeciwdziałanie przemocy wobec osób starszych oraz problemu uzależnienia. Działanie 2: Warsztaty 1) Bezpieczny senior – spotkanie z przedstawicielem policji mające na celu zapoznanie seniorów z zagrożeniami oraz z zasadami, których należy przestrzegać by uchronić się przed oszustami 2) Uważny senior – spotkanie z przedstawicielem Państwowej Straży Pożarnej 3) Zdrowy senior – spotkanie z dietetykiem 4) Sprawny senior – spotkanie z rehabilitantem/ fizjoterapeutą 5) Atrakcyjny senior - spotkania z fryzjerem i wizażystą w ramach warsztatów kreowania własnego wizerunku. Podczas zajęć seniorzy poznali nowe techniki makijażu i sposoby ich wykonania, uzyskali porady w zakresie stylizacji fryzur, doboru kolorów. Kosmetyczka opowiedziała jak dbać o wygląd w każdym wieku. Uczestnicy przeszli tzw. metamorfozę, która została uwieczniona na zdjęciach 6) Kreatywny senior – warsztaty plastyczne. Spotkania podczas którego seniorzy zachęceni byli do wspólnego tworzenia, wykonywania określonych prac plastycznych i artystycznych, które były zarazem okazją do wspólnej rozmowy, wspominania, opowiadania ważnych dla siebie historii. Działanie 3. Lokalna kampania dotycząca przemocy wobec osób starszych - skierowana do lokalnej społeczności i instytucji działających na terenie gminy mająca zwrócić uwagę na problematykę przemocy, podnieść świadomość nt. skutków przemocy w rodzinie a także wyczulić na akty przemocy wobec starszych.       </w:t>
      </w:r>
    </w:p>
    <w:p w14:paraId="6689DA55" w14:textId="77777777" w:rsidR="00C72FA4" w:rsidRPr="005F0A32" w:rsidRDefault="00C72FA4" w:rsidP="00E7359C">
      <w:pPr>
        <w:spacing w:after="0"/>
        <w:jc w:val="both"/>
        <w:rPr>
          <w:rFonts w:ascii="Times New Roman" w:hAnsi="Times New Roman" w:cs="Times New Roman"/>
          <w:sz w:val="24"/>
          <w:szCs w:val="24"/>
        </w:rPr>
      </w:pPr>
    </w:p>
    <w:p w14:paraId="5189CC17" w14:textId="77777777" w:rsidR="00C72FA4" w:rsidRPr="00E35E6B" w:rsidRDefault="00E35E6B" w:rsidP="00E7359C">
      <w:pPr>
        <w:spacing w:after="0"/>
        <w:jc w:val="both"/>
        <w:rPr>
          <w:rFonts w:ascii="Times New Roman" w:hAnsi="Times New Roman" w:cs="Times New Roman"/>
          <w:b/>
          <w:i/>
          <w:sz w:val="24"/>
          <w:szCs w:val="24"/>
        </w:rPr>
      </w:pPr>
      <w:r w:rsidRPr="00E35E6B">
        <w:rPr>
          <w:rFonts w:ascii="Times New Roman" w:hAnsi="Times New Roman" w:cs="Times New Roman"/>
          <w:sz w:val="24"/>
          <w:szCs w:val="24"/>
        </w:rPr>
        <w:t>Gmina Drohiczyn r</w:t>
      </w:r>
      <w:r w:rsidR="00C72FA4" w:rsidRPr="00E35E6B">
        <w:rPr>
          <w:rFonts w:ascii="Times New Roman" w:hAnsi="Times New Roman" w:cs="Times New Roman"/>
          <w:sz w:val="24"/>
          <w:szCs w:val="24"/>
        </w:rPr>
        <w:t>ealizowała</w:t>
      </w:r>
      <w:r w:rsidR="00C72FA4" w:rsidRPr="005F0A32">
        <w:rPr>
          <w:rFonts w:ascii="Times New Roman" w:hAnsi="Times New Roman" w:cs="Times New Roman"/>
          <w:sz w:val="24"/>
          <w:szCs w:val="24"/>
        </w:rPr>
        <w:t xml:space="preserve"> projekt </w:t>
      </w:r>
      <w:r w:rsidR="00C72FA4" w:rsidRPr="005F0A32">
        <w:rPr>
          <w:rFonts w:ascii="Times New Roman" w:hAnsi="Times New Roman" w:cs="Times New Roman"/>
          <w:b/>
          <w:sz w:val="24"/>
          <w:szCs w:val="24"/>
        </w:rPr>
        <w:t xml:space="preserve">„Aktywny i samodzielny Senior – wsparcie i aktywizacja osób 60+” </w:t>
      </w:r>
      <w:r w:rsidR="00C72FA4" w:rsidRPr="005F0A32">
        <w:rPr>
          <w:rFonts w:ascii="Times New Roman" w:hAnsi="Times New Roman" w:cs="Times New Roman"/>
          <w:sz w:val="24"/>
          <w:szCs w:val="24"/>
        </w:rPr>
        <w:t xml:space="preserve">– współfinansowany ze środków Europejskiego Funduszu Społecznego w ramach Regionalnego Programu Operacyjnego Województwa Podlaskiego na lata 2014-2020, Oś Priorytetowa IX Rozwój lokalny, Działania 9.1.Rewitaliazacja społeczna i kształtowanie kapitału społecznego. Projekt miał na celu wsparcie aktywności seniorów – opiekę i aktywizację osób niesamodzielnych w lokalnej społeczności poprzez zwiększenie o 15 liczby miejsc w istniejącym Klubie Seniora działającym przy MGOPS w Drohiczynie. Ponadto od 01.11.2019 r. rozpoczęto realizację kolejnego projektu </w:t>
      </w:r>
      <w:r w:rsidR="00C72FA4" w:rsidRPr="005F0A32">
        <w:rPr>
          <w:rFonts w:ascii="Times New Roman" w:hAnsi="Times New Roman" w:cs="Times New Roman"/>
          <w:b/>
          <w:sz w:val="24"/>
          <w:szCs w:val="24"/>
        </w:rPr>
        <w:t>„Senior na Czasie”</w:t>
      </w:r>
      <w:r w:rsidR="00C72FA4" w:rsidRPr="005F0A32">
        <w:rPr>
          <w:rFonts w:ascii="Times New Roman" w:hAnsi="Times New Roman" w:cs="Times New Roman"/>
          <w:sz w:val="24"/>
          <w:szCs w:val="24"/>
        </w:rPr>
        <w:t xml:space="preserve"> i rozszerzono liczbę miejsc o kolejne 20 osób.</w:t>
      </w:r>
      <w:r>
        <w:rPr>
          <w:rFonts w:ascii="Times New Roman" w:hAnsi="Times New Roman" w:cs="Times New Roman"/>
          <w:b/>
          <w:i/>
          <w:sz w:val="24"/>
          <w:szCs w:val="24"/>
        </w:rPr>
        <w:t xml:space="preserve"> </w:t>
      </w:r>
      <w:r w:rsidR="00C72FA4" w:rsidRPr="005F0A32">
        <w:rPr>
          <w:rFonts w:ascii="Times New Roman" w:hAnsi="Times New Roman" w:cs="Times New Roman"/>
          <w:sz w:val="24"/>
          <w:szCs w:val="24"/>
        </w:rPr>
        <w:t xml:space="preserve">Natomiast w okresie od maja do grudnia 2019 r. Środowiskowy Dom Samopomocy realizował projekt pn.: </w:t>
      </w:r>
      <w:r w:rsidR="00C72FA4" w:rsidRPr="005F0A32">
        <w:rPr>
          <w:rFonts w:ascii="Times New Roman" w:hAnsi="Times New Roman" w:cs="Times New Roman"/>
          <w:b/>
          <w:sz w:val="24"/>
          <w:szCs w:val="24"/>
        </w:rPr>
        <w:t>„Chodź pomaluj mój świat”</w:t>
      </w:r>
      <w:r w:rsidR="00C72FA4" w:rsidRPr="005F0A32">
        <w:rPr>
          <w:rFonts w:ascii="Times New Roman" w:hAnsi="Times New Roman" w:cs="Times New Roman"/>
          <w:sz w:val="24"/>
          <w:szCs w:val="24"/>
        </w:rPr>
        <w:t xml:space="preserve"> - wsparcie terapeutyczne uczestników zajęć w Środowiskowym Domu Samopomocy w Putkowicach Nadolnych, współfinasowany przez Ministerstwo Rodziny, Pracy i Polityki Społecznej w ramach Programu „Od zależności do samodzielności” – edycja 2019.</w:t>
      </w:r>
    </w:p>
    <w:p w14:paraId="2E6766B3" w14:textId="77777777" w:rsidR="00C72FA4" w:rsidRPr="005F0A32" w:rsidRDefault="00C72FA4" w:rsidP="00E7359C">
      <w:pPr>
        <w:spacing w:after="0"/>
        <w:jc w:val="both"/>
        <w:rPr>
          <w:rFonts w:ascii="Times New Roman" w:hAnsi="Times New Roman" w:cs="Times New Roman"/>
          <w:sz w:val="24"/>
          <w:szCs w:val="24"/>
        </w:rPr>
      </w:pPr>
    </w:p>
    <w:p w14:paraId="4FDB9A6C" w14:textId="77777777" w:rsidR="00C72FA4" w:rsidRPr="005F0A32" w:rsidRDefault="00C72FA4" w:rsidP="00E7359C">
      <w:pPr>
        <w:autoSpaceDE w:val="0"/>
        <w:autoSpaceDN w:val="0"/>
        <w:adjustRightInd w:val="0"/>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Miasto Grajewo realizowało program pn. </w:t>
      </w:r>
      <w:r w:rsidRPr="005F0A32">
        <w:rPr>
          <w:rFonts w:ascii="Times New Roman" w:hAnsi="Times New Roman" w:cs="Times New Roman"/>
          <w:b/>
          <w:sz w:val="24"/>
          <w:szCs w:val="24"/>
        </w:rPr>
        <w:t>„Grajewska Karta Seniora”</w:t>
      </w:r>
      <w:r w:rsidRPr="005F0A32">
        <w:rPr>
          <w:rFonts w:ascii="Times New Roman" w:hAnsi="Times New Roman" w:cs="Times New Roman"/>
          <w:sz w:val="24"/>
          <w:szCs w:val="24"/>
        </w:rPr>
        <w:t xml:space="preserve">, skierowany do osób, które ukończyły 60 lat oraz zamieszkują na terenie miasta Grajewo. Karta uprawnia do 50% zniżki od obowiązujących cen karnetów lub biletów jednorazowych za korzystanie z oferty </w:t>
      </w:r>
      <w:r w:rsidRPr="005F0A32">
        <w:rPr>
          <w:rFonts w:ascii="Times New Roman" w:hAnsi="Times New Roman" w:cs="Times New Roman"/>
          <w:sz w:val="24"/>
          <w:szCs w:val="24"/>
        </w:rPr>
        <w:lastRenderedPageBreak/>
        <w:t>Grajewskiego Centrum Kultury (m. in. na seanse filmowe, a także imprezy, których organizatorem i inicjatorem jest GCK) oraz Miejskiego Ośrodka Sportu i Rekreacji w Grajewie, w t</w:t>
      </w:r>
      <w:r w:rsidR="00D265BB">
        <w:rPr>
          <w:rFonts w:ascii="Times New Roman" w:hAnsi="Times New Roman" w:cs="Times New Roman"/>
          <w:sz w:val="24"/>
          <w:szCs w:val="24"/>
        </w:rPr>
        <w:t>ym również na basen. W 2019 r.</w:t>
      </w:r>
      <w:r w:rsidRPr="005F0A32">
        <w:rPr>
          <w:rFonts w:ascii="Times New Roman" w:hAnsi="Times New Roman" w:cs="Times New Roman"/>
          <w:sz w:val="24"/>
          <w:szCs w:val="24"/>
        </w:rPr>
        <w:t xml:space="preserve"> wydano 182 karty seniora.</w:t>
      </w:r>
    </w:p>
    <w:p w14:paraId="36C00052" w14:textId="77777777" w:rsidR="00E35E6B" w:rsidRPr="00D265BB" w:rsidRDefault="00E35E6B" w:rsidP="00E7359C">
      <w:pPr>
        <w:spacing w:after="0"/>
        <w:jc w:val="both"/>
        <w:rPr>
          <w:rFonts w:ascii="Times New Roman" w:hAnsi="Times New Roman" w:cs="Times New Roman"/>
          <w:color w:val="00B0F0"/>
          <w:sz w:val="24"/>
          <w:szCs w:val="24"/>
        </w:rPr>
      </w:pPr>
      <w:r w:rsidRPr="00D265BB">
        <w:rPr>
          <w:rFonts w:ascii="Times New Roman" w:hAnsi="Times New Roman" w:cs="Times New Roman"/>
          <w:b/>
          <w:color w:val="00B0F0"/>
          <w:sz w:val="24"/>
          <w:szCs w:val="24"/>
        </w:rPr>
        <w:t>Przykłady dobrych praktyk na poziomie lokalnym</w:t>
      </w:r>
    </w:p>
    <w:p w14:paraId="7ED91085" w14:textId="77777777" w:rsidR="00E35E6B" w:rsidRDefault="00E35E6B" w:rsidP="00E7359C">
      <w:pPr>
        <w:spacing w:after="0"/>
        <w:jc w:val="both"/>
        <w:rPr>
          <w:rFonts w:ascii="Times New Roman" w:hAnsi="Times New Roman" w:cs="Times New Roman"/>
          <w:b/>
          <w:i/>
          <w:sz w:val="24"/>
          <w:szCs w:val="24"/>
          <w:u w:val="single"/>
        </w:rPr>
      </w:pPr>
    </w:p>
    <w:p w14:paraId="685BAA23" w14:textId="77777777" w:rsidR="00C72FA4" w:rsidRPr="00E35E6B" w:rsidRDefault="00C72FA4" w:rsidP="00E7359C">
      <w:pPr>
        <w:spacing w:after="0"/>
        <w:jc w:val="both"/>
        <w:rPr>
          <w:rFonts w:ascii="Times New Roman" w:hAnsi="Times New Roman" w:cs="Times New Roman"/>
          <w:sz w:val="24"/>
          <w:szCs w:val="24"/>
        </w:rPr>
      </w:pPr>
      <w:r w:rsidRPr="00E35E6B">
        <w:rPr>
          <w:rFonts w:ascii="Times New Roman" w:hAnsi="Times New Roman" w:cs="Times New Roman"/>
          <w:sz w:val="24"/>
          <w:szCs w:val="24"/>
        </w:rPr>
        <w:t>Miasto Białystok</w:t>
      </w:r>
    </w:p>
    <w:p w14:paraId="1F9AE93E" w14:textId="77777777" w:rsidR="00C72FA4" w:rsidRPr="00E35E6B" w:rsidRDefault="00C72FA4" w:rsidP="008C71A9">
      <w:pPr>
        <w:pStyle w:val="Akapitzlist"/>
        <w:numPr>
          <w:ilvl w:val="0"/>
          <w:numId w:val="144"/>
        </w:numPr>
        <w:spacing w:after="0"/>
        <w:ind w:left="360"/>
        <w:jc w:val="both"/>
        <w:rPr>
          <w:rFonts w:ascii="Times New Roman" w:hAnsi="Times New Roman" w:cs="Times New Roman"/>
          <w:sz w:val="24"/>
          <w:szCs w:val="24"/>
        </w:rPr>
      </w:pPr>
      <w:r w:rsidRPr="00E35E6B">
        <w:rPr>
          <w:rFonts w:ascii="Times New Roman" w:hAnsi="Times New Roman" w:cs="Times New Roman"/>
          <w:sz w:val="24"/>
          <w:szCs w:val="24"/>
        </w:rPr>
        <w:t xml:space="preserve">W okresie od 01.07.2019 r. do 31.12.2019 r. realizowane było zadanie publiczne pn.: </w:t>
      </w:r>
      <w:r w:rsidRPr="00E35E6B">
        <w:rPr>
          <w:rFonts w:ascii="Times New Roman" w:hAnsi="Times New Roman" w:cs="Times New Roman"/>
          <w:b/>
          <w:sz w:val="24"/>
          <w:szCs w:val="24"/>
        </w:rPr>
        <w:t>„Zwiększenie poczucia bezpieczeństwa seniorów w miejscu ich zamieszkania poprzez wsparcie w formie konsultacji i drobnych napraw technicznych w 2019 roku”.</w:t>
      </w:r>
      <w:r w:rsidRPr="00E35E6B">
        <w:rPr>
          <w:rFonts w:ascii="Times New Roman" w:hAnsi="Times New Roman" w:cs="Times New Roman"/>
          <w:sz w:val="24"/>
          <w:szCs w:val="24"/>
        </w:rPr>
        <w:t xml:space="preserve"> Zadanie było współfinansowane przez Miasto Białystok oraz realizowane przez  Fundację „Spe Salvi”, która wygrała otwarty konkurs ofert.</w:t>
      </w:r>
      <w:r w:rsidR="00E35E6B">
        <w:rPr>
          <w:rFonts w:ascii="Times New Roman" w:hAnsi="Times New Roman" w:cs="Times New Roman"/>
          <w:sz w:val="24"/>
          <w:szCs w:val="24"/>
        </w:rPr>
        <w:t xml:space="preserve"> </w:t>
      </w:r>
      <w:r w:rsidRPr="00E35E6B">
        <w:rPr>
          <w:rFonts w:ascii="Times New Roman" w:hAnsi="Times New Roman" w:cs="Times New Roman"/>
          <w:sz w:val="24"/>
          <w:szCs w:val="24"/>
        </w:rPr>
        <w:t>Zadanie skierowane było do mieszkańców Białegostoku – osób starszych w wieku 65 lat i więcej, przede wszystkim mieszkających samotnie, dysponujących niskimi dochodami, niepełnosprawnych lub długotrwale chorych. Celem zadania było zwiększenie poziomu bezpieczeństwa osobistego seniorów poprzez udzielenie bezpłatnego wsparcia w formie konsultacji i drobnych napraw technicznych, ograniczających wystąpienie zagrożenia dla zdrowia z powodu niesprawności instalacji, sprzętów i urządzeń domowych. Z takiej pomocy „złotej rączki” s</w:t>
      </w:r>
      <w:r w:rsidR="00D265BB">
        <w:rPr>
          <w:rFonts w:ascii="Times New Roman" w:hAnsi="Times New Roman" w:cs="Times New Roman"/>
          <w:sz w:val="24"/>
          <w:szCs w:val="24"/>
        </w:rPr>
        <w:t xml:space="preserve">eniorzy skorzystali w 2019 r. </w:t>
      </w:r>
      <w:r w:rsidRPr="00E35E6B">
        <w:rPr>
          <w:rFonts w:ascii="Times New Roman" w:hAnsi="Times New Roman" w:cs="Times New Roman"/>
          <w:sz w:val="24"/>
          <w:szCs w:val="24"/>
        </w:rPr>
        <w:t xml:space="preserve">290 razy. </w:t>
      </w:r>
    </w:p>
    <w:p w14:paraId="14F2B1EA" w14:textId="77777777" w:rsidR="00C72FA4" w:rsidRPr="005F0A32" w:rsidRDefault="00C72FA4" w:rsidP="00E7359C">
      <w:pPr>
        <w:spacing w:after="0"/>
        <w:jc w:val="both"/>
        <w:rPr>
          <w:rFonts w:ascii="Times New Roman" w:hAnsi="Times New Roman" w:cs="Times New Roman"/>
          <w:b/>
          <w:i/>
          <w:sz w:val="24"/>
          <w:szCs w:val="24"/>
        </w:rPr>
      </w:pPr>
    </w:p>
    <w:p w14:paraId="3DA00EF0" w14:textId="77777777" w:rsidR="00C72FA4" w:rsidRPr="00E35E6B" w:rsidRDefault="00C72FA4" w:rsidP="00E7359C">
      <w:pPr>
        <w:spacing w:after="0"/>
        <w:jc w:val="both"/>
        <w:rPr>
          <w:rFonts w:ascii="Times New Roman" w:hAnsi="Times New Roman" w:cs="Times New Roman"/>
          <w:sz w:val="24"/>
          <w:szCs w:val="24"/>
        </w:rPr>
      </w:pPr>
      <w:r w:rsidRPr="00E35E6B">
        <w:rPr>
          <w:rFonts w:ascii="Times New Roman" w:hAnsi="Times New Roman" w:cs="Times New Roman"/>
          <w:sz w:val="24"/>
          <w:szCs w:val="24"/>
        </w:rPr>
        <w:t>Miasto Suwałki</w:t>
      </w:r>
    </w:p>
    <w:p w14:paraId="4069D81E" w14:textId="77777777" w:rsidR="00E35E6B" w:rsidRDefault="00C72FA4" w:rsidP="008C71A9">
      <w:pPr>
        <w:pStyle w:val="Akapitzlist"/>
        <w:numPr>
          <w:ilvl w:val="0"/>
          <w:numId w:val="144"/>
        </w:numPr>
        <w:spacing w:after="0"/>
        <w:ind w:left="360"/>
        <w:jc w:val="both"/>
        <w:rPr>
          <w:rFonts w:ascii="Times New Roman" w:hAnsi="Times New Roman" w:cs="Times New Roman"/>
          <w:sz w:val="24"/>
          <w:szCs w:val="24"/>
        </w:rPr>
      </w:pPr>
      <w:r w:rsidRPr="00E35E6B">
        <w:rPr>
          <w:rFonts w:ascii="Times New Roman" w:hAnsi="Times New Roman" w:cs="Times New Roman"/>
          <w:sz w:val="24"/>
          <w:szCs w:val="24"/>
        </w:rPr>
        <w:t xml:space="preserve">Od maja 2019 r. w Mieście Suwałki ruszył Program </w:t>
      </w:r>
      <w:r w:rsidRPr="00E35E6B">
        <w:rPr>
          <w:rFonts w:ascii="Times New Roman" w:hAnsi="Times New Roman" w:cs="Times New Roman"/>
          <w:b/>
          <w:sz w:val="24"/>
          <w:szCs w:val="24"/>
        </w:rPr>
        <w:t>„Złota Rączka”</w:t>
      </w:r>
      <w:r w:rsidRPr="00E35E6B">
        <w:rPr>
          <w:rFonts w:ascii="Times New Roman" w:hAnsi="Times New Roman" w:cs="Times New Roman"/>
          <w:sz w:val="24"/>
          <w:szCs w:val="24"/>
        </w:rPr>
        <w:t xml:space="preserve"> dla seniorów. Program dedykowany jest mieszkańcom Suwałk w wieku powyżej 70 lat, samotnie zamieszkującym lub w wieku powyżej 60 lat z orzeczonym umiarkowanym lub znacznym stopniem niepełnosprawności. Program zapewnia nieodpłatną pomoc seniorom w drobnych naprawach np.: wymiana żarówek, gniazdek elektrycznych, uszczelek przeciekających w kranach itp. Miasto Suwałki powierzyło realizację zadania organizacjom pozarządowym: Stowarzyszeniu Kulturalnemu Kostroma i Suwalskiemu Stowarzyszeniu Mangi, Anime, Fantastyki i RPG "Mroczne Bractwo". W 2019 r. wykonano 1</w:t>
      </w:r>
      <w:r w:rsidR="00D265BB">
        <w:rPr>
          <w:rFonts w:ascii="Times New Roman" w:hAnsi="Times New Roman" w:cs="Times New Roman"/>
          <w:sz w:val="24"/>
          <w:szCs w:val="24"/>
        </w:rPr>
        <w:t xml:space="preserve"> 190 usług</w:t>
      </w:r>
      <w:r w:rsidR="00D265BB">
        <w:rPr>
          <w:rStyle w:val="Odwoanieprzypisudolnego"/>
          <w:rFonts w:ascii="Times New Roman" w:hAnsi="Times New Roman" w:cs="Times New Roman"/>
          <w:sz w:val="24"/>
          <w:szCs w:val="24"/>
        </w:rPr>
        <w:footnoteReference w:id="169"/>
      </w:r>
    </w:p>
    <w:p w14:paraId="3794C2F4" w14:textId="77777777" w:rsidR="00E7228A" w:rsidRDefault="00C72FA4" w:rsidP="008C71A9">
      <w:pPr>
        <w:pStyle w:val="Akapitzlist"/>
        <w:numPr>
          <w:ilvl w:val="0"/>
          <w:numId w:val="144"/>
        </w:numPr>
        <w:spacing w:after="0"/>
        <w:ind w:left="360"/>
        <w:jc w:val="both"/>
        <w:rPr>
          <w:rFonts w:ascii="Times New Roman" w:hAnsi="Times New Roman" w:cs="Times New Roman"/>
          <w:sz w:val="24"/>
          <w:szCs w:val="24"/>
        </w:rPr>
      </w:pPr>
      <w:r w:rsidRPr="00E35E6B">
        <w:rPr>
          <w:rFonts w:ascii="Times New Roman" w:hAnsi="Times New Roman" w:cs="Times New Roman"/>
          <w:sz w:val="24"/>
          <w:szCs w:val="24"/>
        </w:rPr>
        <w:t xml:space="preserve">w 2019 r. Miasto Suwałki  realizowało </w:t>
      </w:r>
      <w:r w:rsidRPr="00E35E6B">
        <w:rPr>
          <w:rFonts w:ascii="Times New Roman" w:hAnsi="Times New Roman" w:cs="Times New Roman"/>
          <w:b/>
          <w:sz w:val="24"/>
          <w:szCs w:val="24"/>
        </w:rPr>
        <w:t>„Dobrostan bio-psycho-społeczny seniora”</w:t>
      </w:r>
      <w:r w:rsidRPr="00E35E6B">
        <w:rPr>
          <w:rFonts w:ascii="Times New Roman" w:hAnsi="Times New Roman" w:cs="Times New Roman"/>
          <w:sz w:val="24"/>
          <w:szCs w:val="24"/>
        </w:rPr>
        <w:t xml:space="preserve"> – zadanie z zakresu zdrowia publicznego polegające na przeprowadzeniu 8 spotkań edukacyjno – informacyjnych dla seniorów. Beneficjenci mieli możliwość nabycia wiedzy, kształtowania umiejętności i postaw sprzyjających dobrostanowi fizycznemu, psychicznemu i społecznemu seniorów. W każdym ze spotkań wzięła udział grupa około 40-45 seniorów. Zadanie realizowane przez niepubliczny podmiot medyczny,</w:t>
      </w:r>
    </w:p>
    <w:p w14:paraId="6107CC20" w14:textId="77777777" w:rsidR="00C72FA4" w:rsidRPr="00E7228A" w:rsidRDefault="00C72FA4" w:rsidP="008C71A9">
      <w:pPr>
        <w:pStyle w:val="Akapitzlist"/>
        <w:numPr>
          <w:ilvl w:val="0"/>
          <w:numId w:val="144"/>
        </w:numPr>
        <w:spacing w:after="0"/>
        <w:ind w:left="360"/>
        <w:jc w:val="both"/>
        <w:rPr>
          <w:rFonts w:ascii="Times New Roman" w:hAnsi="Times New Roman" w:cs="Times New Roman"/>
          <w:sz w:val="24"/>
          <w:szCs w:val="24"/>
        </w:rPr>
      </w:pPr>
      <w:r w:rsidRPr="00E7228A">
        <w:rPr>
          <w:rFonts w:ascii="Times New Roman" w:hAnsi="Times New Roman" w:cs="Times New Roman"/>
          <w:sz w:val="24"/>
          <w:szCs w:val="24"/>
        </w:rPr>
        <w:t>bezpłatne szczepienia seniorów przeciwko grypie – Miasto Suwałki sfinansowało szczepienia przeciwko grypie dla osób powyżej 65 roku życia, z których skorzystało 1</w:t>
      </w:r>
      <w:r w:rsidR="00D265BB">
        <w:rPr>
          <w:rFonts w:ascii="Times New Roman" w:hAnsi="Times New Roman" w:cs="Times New Roman"/>
          <w:sz w:val="24"/>
          <w:szCs w:val="24"/>
        </w:rPr>
        <w:t xml:space="preserve"> </w:t>
      </w:r>
      <w:r w:rsidRPr="00E7228A">
        <w:rPr>
          <w:rFonts w:ascii="Times New Roman" w:hAnsi="Times New Roman" w:cs="Times New Roman"/>
          <w:sz w:val="24"/>
          <w:szCs w:val="24"/>
        </w:rPr>
        <w:t>160 seniorów posiadających Suwalską Kartę Mieszkańca.</w:t>
      </w:r>
    </w:p>
    <w:p w14:paraId="032EDE64" w14:textId="77777777" w:rsidR="00C72FA4" w:rsidRPr="005F0A32" w:rsidRDefault="00C72FA4" w:rsidP="00E7359C">
      <w:pPr>
        <w:pStyle w:val="Akapitzlist"/>
        <w:tabs>
          <w:tab w:val="left" w:pos="284"/>
        </w:tabs>
        <w:spacing w:after="0"/>
        <w:ind w:left="0"/>
        <w:jc w:val="both"/>
        <w:rPr>
          <w:rFonts w:ascii="Times New Roman" w:hAnsi="Times New Roman" w:cs="Times New Roman"/>
          <w:sz w:val="24"/>
          <w:szCs w:val="24"/>
        </w:rPr>
      </w:pPr>
    </w:p>
    <w:p w14:paraId="381651FC" w14:textId="77777777" w:rsidR="00C72FA4" w:rsidRPr="00E7228A" w:rsidRDefault="00C72FA4" w:rsidP="00E7359C">
      <w:pPr>
        <w:pStyle w:val="Akapitzlist"/>
        <w:tabs>
          <w:tab w:val="left" w:pos="284"/>
        </w:tabs>
        <w:spacing w:after="0"/>
        <w:ind w:left="0"/>
        <w:jc w:val="both"/>
        <w:rPr>
          <w:rFonts w:ascii="Times New Roman" w:hAnsi="Times New Roman" w:cs="Times New Roman"/>
          <w:sz w:val="24"/>
          <w:szCs w:val="24"/>
        </w:rPr>
      </w:pPr>
      <w:r w:rsidRPr="00E7228A">
        <w:rPr>
          <w:rFonts w:ascii="Times New Roman" w:hAnsi="Times New Roman" w:cs="Times New Roman"/>
          <w:sz w:val="24"/>
          <w:szCs w:val="24"/>
        </w:rPr>
        <w:t>Miasto Augustów</w:t>
      </w:r>
    </w:p>
    <w:p w14:paraId="4B53F81B" w14:textId="77777777" w:rsidR="00E7228A" w:rsidRDefault="00C72FA4" w:rsidP="008C71A9">
      <w:pPr>
        <w:pStyle w:val="Akapitzlist"/>
        <w:numPr>
          <w:ilvl w:val="0"/>
          <w:numId w:val="145"/>
        </w:numPr>
        <w:spacing w:after="0"/>
        <w:ind w:left="360"/>
        <w:jc w:val="both"/>
        <w:rPr>
          <w:rFonts w:ascii="Times New Roman" w:hAnsi="Times New Roman" w:cs="Times New Roman"/>
          <w:sz w:val="24"/>
          <w:szCs w:val="24"/>
        </w:rPr>
      </w:pPr>
      <w:r w:rsidRPr="00E7228A">
        <w:rPr>
          <w:rFonts w:ascii="Times New Roman" w:hAnsi="Times New Roman" w:cs="Times New Roman"/>
          <w:sz w:val="24"/>
          <w:szCs w:val="24"/>
        </w:rPr>
        <w:t>W ramach zadania publicznego pn. „</w:t>
      </w:r>
      <w:r w:rsidRPr="00E7228A">
        <w:rPr>
          <w:rFonts w:ascii="Times New Roman" w:hAnsi="Times New Roman" w:cs="Times New Roman"/>
          <w:b/>
          <w:sz w:val="24"/>
          <w:szCs w:val="24"/>
        </w:rPr>
        <w:t>Wigor juniora w wieku seniora 2019”</w:t>
      </w:r>
      <w:r w:rsidRPr="00E7228A">
        <w:rPr>
          <w:rFonts w:ascii="Times New Roman" w:hAnsi="Times New Roman" w:cs="Times New Roman"/>
          <w:sz w:val="24"/>
          <w:szCs w:val="24"/>
        </w:rPr>
        <w:t xml:space="preserve">, realizowanego przez Stowarzyszenie na Rzecz Pomocy Społecznej w Augustowie, zostały przeprowadzone różnorodne zajęcia, które przyczyniły się do wzrostu aktywności społecznej starszych mieszkańców. Przeprowadzono takie zajęcia jak: zajęcia sportowe, zajęcia </w:t>
      </w:r>
      <w:r w:rsidRPr="00E7228A">
        <w:rPr>
          <w:rFonts w:ascii="Times New Roman" w:hAnsi="Times New Roman" w:cs="Times New Roman"/>
          <w:sz w:val="24"/>
          <w:szCs w:val="24"/>
        </w:rPr>
        <w:br/>
      </w:r>
      <w:r w:rsidRPr="00E7228A">
        <w:rPr>
          <w:rFonts w:ascii="Times New Roman" w:hAnsi="Times New Roman" w:cs="Times New Roman"/>
          <w:sz w:val="24"/>
          <w:szCs w:val="24"/>
        </w:rPr>
        <w:lastRenderedPageBreak/>
        <w:t xml:space="preserve">z terapii tańcem, warsztaty kulinarne, jednodniowy wyjazd do </w:t>
      </w:r>
      <w:r w:rsidR="00E7228A">
        <w:rPr>
          <w:rFonts w:ascii="Times New Roman" w:hAnsi="Times New Roman" w:cs="Times New Roman"/>
          <w:sz w:val="24"/>
          <w:szCs w:val="24"/>
        </w:rPr>
        <w:t xml:space="preserve">Filharmonii i Opery Podlaskiej </w:t>
      </w:r>
      <w:r w:rsidRPr="00E7228A">
        <w:rPr>
          <w:rFonts w:ascii="Times New Roman" w:hAnsi="Times New Roman" w:cs="Times New Roman"/>
          <w:sz w:val="24"/>
          <w:szCs w:val="24"/>
        </w:rPr>
        <w:t>w Białymstoku, warsztaty z treningu pamięci, warsztaty terap</w:t>
      </w:r>
      <w:r w:rsidR="00E7228A">
        <w:rPr>
          <w:rFonts w:ascii="Times New Roman" w:hAnsi="Times New Roman" w:cs="Times New Roman"/>
          <w:sz w:val="24"/>
          <w:szCs w:val="24"/>
        </w:rPr>
        <w:t xml:space="preserve">ii zajęciowej, seansy filmowe. </w:t>
      </w:r>
      <w:r w:rsidRPr="00E7228A">
        <w:rPr>
          <w:rFonts w:ascii="Times New Roman" w:hAnsi="Times New Roman" w:cs="Times New Roman"/>
          <w:sz w:val="24"/>
          <w:szCs w:val="24"/>
        </w:rPr>
        <w:t xml:space="preserve">W projekcie wzięło udział 95 osób. </w:t>
      </w:r>
    </w:p>
    <w:p w14:paraId="6F620031" w14:textId="77777777" w:rsidR="00C72FA4" w:rsidRPr="00E7228A" w:rsidRDefault="00C72FA4" w:rsidP="008C71A9">
      <w:pPr>
        <w:pStyle w:val="Akapitzlist"/>
        <w:numPr>
          <w:ilvl w:val="0"/>
          <w:numId w:val="145"/>
        </w:numPr>
        <w:spacing w:after="0"/>
        <w:ind w:left="360"/>
        <w:jc w:val="both"/>
        <w:rPr>
          <w:rFonts w:ascii="Times New Roman" w:hAnsi="Times New Roman" w:cs="Times New Roman"/>
          <w:sz w:val="24"/>
          <w:szCs w:val="24"/>
        </w:rPr>
      </w:pPr>
      <w:r w:rsidRPr="00E7228A">
        <w:rPr>
          <w:rFonts w:ascii="Times New Roman" w:hAnsi="Times New Roman" w:cs="Times New Roman"/>
          <w:sz w:val="24"/>
          <w:szCs w:val="24"/>
        </w:rPr>
        <w:t xml:space="preserve">Natomiast rezultatem realizacji zadania publicznego pn. </w:t>
      </w:r>
      <w:r w:rsidRPr="00E7228A">
        <w:rPr>
          <w:rFonts w:ascii="Times New Roman" w:hAnsi="Times New Roman" w:cs="Times New Roman"/>
          <w:b/>
          <w:sz w:val="24"/>
          <w:szCs w:val="24"/>
        </w:rPr>
        <w:t>,,Dla zdrowia i urody”</w:t>
      </w:r>
      <w:r w:rsidRPr="00E7228A">
        <w:rPr>
          <w:rFonts w:ascii="Times New Roman" w:hAnsi="Times New Roman" w:cs="Times New Roman"/>
          <w:sz w:val="24"/>
          <w:szCs w:val="24"/>
        </w:rPr>
        <w:t xml:space="preserve"> były przeprowadzone dla 35 seniorów zajęcia z dietetykiem,  kosmetyczką i z fryzjerem. Celem realizacji zadania było podniesienie poziomu wiedzy na temat dbania o własny wygląd zewnętrzny i zdrowie, nabycie umiejętności właściwej pielęgnacji urody, tuszowania jej mankamentów, polepszenie swojego wizerunku i przede wszystkim stanu zdrowia poprzez zastosowanie właściwej dla wieku i kondycji zbilansowanej zdrowej diety. Projekt został zrealizowany przez Augustowskie Stowarzyszenie Aktywni Seniorzy.</w:t>
      </w:r>
    </w:p>
    <w:p w14:paraId="1DAE5695" w14:textId="77777777" w:rsidR="00C72FA4" w:rsidRPr="005F0A32" w:rsidRDefault="00C72FA4" w:rsidP="00E7359C">
      <w:pPr>
        <w:spacing w:after="0"/>
        <w:ind w:firstLine="708"/>
        <w:jc w:val="both"/>
        <w:rPr>
          <w:rFonts w:ascii="Times New Roman" w:hAnsi="Times New Roman" w:cs="Times New Roman"/>
          <w:sz w:val="24"/>
          <w:szCs w:val="24"/>
        </w:rPr>
      </w:pPr>
    </w:p>
    <w:p w14:paraId="443C527E" w14:textId="77777777" w:rsidR="00C72FA4" w:rsidRPr="00E7228A" w:rsidRDefault="00C72FA4" w:rsidP="00E7359C">
      <w:pPr>
        <w:spacing w:after="0"/>
        <w:jc w:val="both"/>
        <w:rPr>
          <w:rFonts w:ascii="Times New Roman" w:hAnsi="Times New Roman" w:cs="Times New Roman"/>
          <w:sz w:val="24"/>
          <w:szCs w:val="24"/>
        </w:rPr>
      </w:pPr>
      <w:r w:rsidRPr="00E7228A">
        <w:rPr>
          <w:rFonts w:ascii="Times New Roman" w:hAnsi="Times New Roman" w:cs="Times New Roman"/>
          <w:sz w:val="24"/>
          <w:szCs w:val="24"/>
        </w:rPr>
        <w:t>Miasto Bielsk Podlaski</w:t>
      </w:r>
    </w:p>
    <w:p w14:paraId="593586BC" w14:textId="77777777" w:rsidR="00E7228A" w:rsidRDefault="00C72FA4" w:rsidP="008C71A9">
      <w:pPr>
        <w:pStyle w:val="Akapitzlist"/>
        <w:numPr>
          <w:ilvl w:val="0"/>
          <w:numId w:val="146"/>
        </w:numPr>
        <w:spacing w:after="0"/>
        <w:ind w:left="360"/>
        <w:jc w:val="both"/>
        <w:rPr>
          <w:rStyle w:val="e24kjd"/>
          <w:rFonts w:ascii="Times New Roman" w:hAnsi="Times New Roman" w:cs="Times New Roman"/>
          <w:sz w:val="24"/>
          <w:szCs w:val="24"/>
        </w:rPr>
      </w:pPr>
      <w:r w:rsidRPr="00E7228A">
        <w:rPr>
          <w:rFonts w:ascii="Times New Roman" w:hAnsi="Times New Roman" w:cs="Times New Roman"/>
          <w:sz w:val="24"/>
          <w:szCs w:val="24"/>
        </w:rPr>
        <w:t xml:space="preserve">W 2019 r. w ramach projektu obywatelskiego przez Urząd Miasta Bielsk Podlaski był realizowany projekt </w:t>
      </w:r>
      <w:r w:rsidRPr="00E7228A">
        <w:rPr>
          <w:rFonts w:ascii="Times New Roman" w:hAnsi="Times New Roman" w:cs="Times New Roman"/>
          <w:b/>
          <w:sz w:val="24"/>
          <w:szCs w:val="24"/>
        </w:rPr>
        <w:t>„Koperta życia dla seniora”.</w:t>
      </w:r>
      <w:r w:rsidRPr="00E7228A">
        <w:rPr>
          <w:rFonts w:ascii="Times New Roman" w:hAnsi="Times New Roman" w:cs="Times New Roman"/>
          <w:sz w:val="24"/>
          <w:szCs w:val="24"/>
        </w:rPr>
        <w:t xml:space="preserve"> W przeciągu ubiegłego roku wydano mieszkańcom miasta Bielsk Podlaski w wieku 60+ ok. 1500 kopert życia. Pomysłodawcą projektu była Miejska Rada Seniorów w Bielsku Podlaskim. Dystrybucją kopert zajmował się Urząd Miasta Bielsk Podlaski, Miejska Rada Seniorów w Bielsku Podlaskim, Miejski Ośrodek Pomocy Społecznej w Bielsku Podlaskim oraz publiczne i niepubliczne zakłady opieki zdrowotnej działające na terenie miasta. Celem koperty życia jest pomoc osobom starszym, przewlekle chorym i niepełnosprawnym, samotnie mieszkającym </w:t>
      </w:r>
      <w:r w:rsidRPr="00E7228A">
        <w:rPr>
          <w:rStyle w:val="e24kjd"/>
          <w:rFonts w:ascii="Times New Roman" w:hAnsi="Times New Roman" w:cs="Times New Roman"/>
          <w:sz w:val="24"/>
          <w:szCs w:val="24"/>
        </w:rPr>
        <w:t>które ze względu na swój stan zdrowia nie zawsze są w stanie udzielić pełnej informacji służbom ratowniczym.</w:t>
      </w:r>
      <w:r w:rsidR="00E7228A">
        <w:rPr>
          <w:rStyle w:val="e24kjd"/>
          <w:rFonts w:ascii="Times New Roman" w:hAnsi="Times New Roman" w:cs="Times New Roman"/>
          <w:sz w:val="24"/>
          <w:szCs w:val="24"/>
        </w:rPr>
        <w:t xml:space="preserve"> </w:t>
      </w:r>
      <w:r w:rsidRPr="00E7228A">
        <w:rPr>
          <w:rStyle w:val="e24kjd"/>
          <w:rFonts w:ascii="Times New Roman" w:hAnsi="Times New Roman" w:cs="Times New Roman"/>
          <w:sz w:val="24"/>
          <w:szCs w:val="24"/>
        </w:rPr>
        <w:t>Informację  zamieszczono na stroni</w:t>
      </w:r>
      <w:r w:rsidR="00D265BB">
        <w:rPr>
          <w:rStyle w:val="e24kjd"/>
          <w:rFonts w:ascii="Times New Roman" w:hAnsi="Times New Roman" w:cs="Times New Roman"/>
          <w:sz w:val="24"/>
          <w:szCs w:val="24"/>
        </w:rPr>
        <w:t>e Urzędu Miasta Bielsk Podlaski</w:t>
      </w:r>
      <w:r w:rsidR="00D265BB">
        <w:rPr>
          <w:rStyle w:val="Odwoanieprzypisudolnego"/>
          <w:rFonts w:ascii="Times New Roman" w:hAnsi="Times New Roman" w:cs="Times New Roman"/>
          <w:sz w:val="24"/>
          <w:szCs w:val="24"/>
        </w:rPr>
        <w:footnoteReference w:id="170"/>
      </w:r>
    </w:p>
    <w:p w14:paraId="757EC7C4" w14:textId="77777777" w:rsidR="00C72FA4" w:rsidRPr="00E7228A" w:rsidRDefault="00C72FA4" w:rsidP="008C71A9">
      <w:pPr>
        <w:pStyle w:val="Akapitzlist"/>
        <w:numPr>
          <w:ilvl w:val="0"/>
          <w:numId w:val="146"/>
        </w:numPr>
        <w:spacing w:after="0"/>
        <w:ind w:left="360"/>
        <w:jc w:val="both"/>
        <w:rPr>
          <w:rStyle w:val="Hipercze"/>
          <w:rFonts w:ascii="Times New Roman" w:hAnsi="Times New Roman" w:cs="Times New Roman"/>
          <w:color w:val="auto"/>
          <w:sz w:val="24"/>
          <w:szCs w:val="24"/>
          <w:u w:val="none"/>
        </w:rPr>
      </w:pPr>
      <w:r w:rsidRPr="00E7228A">
        <w:rPr>
          <w:rFonts w:ascii="Times New Roman" w:hAnsi="Times New Roman" w:cs="Times New Roman"/>
          <w:sz w:val="24"/>
          <w:szCs w:val="24"/>
        </w:rPr>
        <w:t xml:space="preserve">Ponadto w 2019 r. był kontynuowany </w:t>
      </w:r>
      <w:r w:rsidRPr="00E7228A">
        <w:rPr>
          <w:rFonts w:ascii="Times New Roman" w:hAnsi="Times New Roman" w:cs="Times New Roman"/>
          <w:b/>
          <w:sz w:val="24"/>
          <w:szCs w:val="24"/>
        </w:rPr>
        <w:t>„Program szczepień profilaktycznych przeciwko grypie dla mieszkańców Bielska Podlaskiego po 60 roku życia na lata 2018-2020”</w:t>
      </w:r>
      <w:r w:rsidRPr="00E7228A">
        <w:rPr>
          <w:rFonts w:ascii="Times New Roman" w:hAnsi="Times New Roman" w:cs="Times New Roman"/>
          <w:sz w:val="24"/>
          <w:szCs w:val="24"/>
        </w:rPr>
        <w:t xml:space="preserve">, Program został przyjęty uchwałą Nr XLVII/389/18 Rady Miasta Bielsk Podlaski 27 sierpnia 2018 r. Celem realizacji ww. programu szczepień jest zapobieganie zachorowaniom na grypę i zmniejszenie powikłań pogrypowych stanowiącym bezpośrednie zagrożenie życia mieszkańców miasta Bielsk Podlaski w populacji po 60 roku życia. W 2019 r. przeciwko grypie zostało zaszczepionych 807 mieszkańców miasta w wieku 60 + (urodzonych w roku 1959 i wcześniej). </w:t>
      </w:r>
      <w:r w:rsidRPr="00E7228A">
        <w:rPr>
          <w:rStyle w:val="e24kjd"/>
          <w:rFonts w:ascii="Times New Roman" w:hAnsi="Times New Roman" w:cs="Times New Roman"/>
          <w:sz w:val="24"/>
          <w:szCs w:val="24"/>
        </w:rPr>
        <w:t>Informację zamieszczono na stronie</w:t>
      </w:r>
      <w:r w:rsidR="00D265BB">
        <w:rPr>
          <w:rStyle w:val="e24kjd"/>
          <w:rFonts w:ascii="Times New Roman" w:hAnsi="Times New Roman" w:cs="Times New Roman"/>
          <w:sz w:val="24"/>
          <w:szCs w:val="24"/>
        </w:rPr>
        <w:t xml:space="preserve"> Urzędu Miasta Bielsk Podlaski</w:t>
      </w:r>
      <w:r w:rsidR="00D265BB">
        <w:rPr>
          <w:rStyle w:val="Odwoanieprzypisudolnego"/>
          <w:rFonts w:ascii="Times New Roman" w:hAnsi="Times New Roman" w:cs="Times New Roman"/>
          <w:sz w:val="24"/>
          <w:szCs w:val="24"/>
        </w:rPr>
        <w:footnoteReference w:id="171"/>
      </w:r>
    </w:p>
    <w:p w14:paraId="1BC29281" w14:textId="77777777" w:rsidR="00C72FA4" w:rsidRPr="005F0A32" w:rsidRDefault="00C72FA4" w:rsidP="00E7359C">
      <w:pPr>
        <w:spacing w:after="0"/>
        <w:ind w:firstLine="708"/>
        <w:jc w:val="both"/>
        <w:rPr>
          <w:rStyle w:val="Hipercze"/>
          <w:rFonts w:ascii="Times New Roman" w:hAnsi="Times New Roman" w:cs="Times New Roman"/>
          <w:sz w:val="24"/>
          <w:szCs w:val="24"/>
        </w:rPr>
      </w:pPr>
    </w:p>
    <w:p w14:paraId="127B32B6" w14:textId="77777777" w:rsidR="00E7228A" w:rsidRPr="00E7228A" w:rsidRDefault="00C72FA4" w:rsidP="00E7359C">
      <w:pPr>
        <w:spacing w:after="0"/>
        <w:jc w:val="both"/>
        <w:rPr>
          <w:rFonts w:ascii="Times New Roman" w:hAnsi="Times New Roman" w:cs="Times New Roman"/>
          <w:sz w:val="24"/>
          <w:szCs w:val="24"/>
        </w:rPr>
      </w:pPr>
      <w:r w:rsidRPr="00E7228A">
        <w:rPr>
          <w:rStyle w:val="Hipercze"/>
          <w:rFonts w:ascii="Times New Roman" w:hAnsi="Times New Roman" w:cs="Times New Roman"/>
          <w:color w:val="auto"/>
          <w:sz w:val="24"/>
          <w:szCs w:val="24"/>
          <w:u w:val="none"/>
        </w:rPr>
        <w:t>Powiat Sokólski</w:t>
      </w:r>
    </w:p>
    <w:p w14:paraId="1B552D69" w14:textId="77777777" w:rsidR="00E7228A" w:rsidRPr="00E7228A" w:rsidRDefault="00C72FA4" w:rsidP="008C71A9">
      <w:pPr>
        <w:pStyle w:val="Akapitzlist"/>
        <w:numPr>
          <w:ilvl w:val="0"/>
          <w:numId w:val="147"/>
        </w:numPr>
        <w:spacing w:after="0"/>
        <w:ind w:left="360"/>
        <w:jc w:val="both"/>
        <w:rPr>
          <w:rFonts w:ascii="Times New Roman" w:hAnsi="Times New Roman" w:cs="Times New Roman"/>
          <w:sz w:val="24"/>
          <w:szCs w:val="24"/>
        </w:rPr>
      </w:pPr>
      <w:r w:rsidRPr="00E7228A">
        <w:rPr>
          <w:rFonts w:ascii="Times New Roman" w:hAnsi="Times New Roman" w:cs="Times New Roman"/>
          <w:sz w:val="24"/>
          <w:szCs w:val="24"/>
        </w:rPr>
        <w:t xml:space="preserve">Powiat Sokólski pozyskał środki finansowe na realizację projektu pt.: </w:t>
      </w:r>
      <w:r w:rsidRPr="00E7228A">
        <w:rPr>
          <w:rFonts w:ascii="Times New Roman" w:hAnsi="Times New Roman" w:cs="Times New Roman"/>
          <w:b/>
          <w:sz w:val="24"/>
          <w:szCs w:val="24"/>
        </w:rPr>
        <w:t>„Zintegrowany program rozwoju systemu kształcenia ustawicznego zorientowanego na jakość i potrzeby regionalnej gospodarki”</w:t>
      </w:r>
      <w:r w:rsidRPr="00E7228A">
        <w:rPr>
          <w:rFonts w:ascii="Times New Roman" w:hAnsi="Times New Roman" w:cs="Times New Roman"/>
          <w:sz w:val="24"/>
          <w:szCs w:val="24"/>
        </w:rPr>
        <w:t xml:space="preserve"> współfinansowanego ze środków Europejskiego Funduszu Społecznego w ramach Regionalnego Programu Operacyjnego Województwa Podlaskiego na lata 2014-2020, Osi Priorytetowej III Kompetencje i kwalifikacje, Działanie 3.2 Kształtowanie i rozwój kompetencji kadr regionu. Poddziałanie 3.2.1 Pozaszkolne formy kształcenia dorosłych, Poddziałanie 3.2.2 Rozwój kompetencji językowych, technologii informacyjnych i komunikacyjnych (TIK) oraz wsparcie wybranych form kształcenia ustawicznego zgodnie z potrzebami regionalnej gospodarki. W 2019 r. w ramach </w:t>
      </w:r>
      <w:r w:rsidRPr="00E7228A">
        <w:rPr>
          <w:rFonts w:ascii="Times New Roman" w:hAnsi="Times New Roman" w:cs="Times New Roman"/>
          <w:sz w:val="24"/>
          <w:szCs w:val="24"/>
        </w:rPr>
        <w:lastRenderedPageBreak/>
        <w:t>poddziałania 3.2.1 - 209 osób z terenu powiatu sokólskiego, w wieku 60+ ukończyło szkolenia komputerowe lub językowe (145 kobiet i 64 mężczyzn),</w:t>
      </w:r>
    </w:p>
    <w:p w14:paraId="2DBBDEF3" w14:textId="77777777" w:rsidR="00C72FA4" w:rsidRPr="00E7228A" w:rsidRDefault="00C72FA4" w:rsidP="008C71A9">
      <w:pPr>
        <w:pStyle w:val="Akapitzlist"/>
        <w:numPr>
          <w:ilvl w:val="0"/>
          <w:numId w:val="147"/>
        </w:numPr>
        <w:spacing w:after="0"/>
        <w:ind w:left="360"/>
        <w:jc w:val="both"/>
        <w:rPr>
          <w:rFonts w:ascii="Times New Roman" w:hAnsi="Times New Roman" w:cs="Times New Roman"/>
          <w:sz w:val="24"/>
          <w:szCs w:val="24"/>
        </w:rPr>
      </w:pPr>
      <w:r w:rsidRPr="00E7228A">
        <w:rPr>
          <w:rFonts w:ascii="Times New Roman" w:hAnsi="Times New Roman" w:cs="Times New Roman"/>
          <w:sz w:val="24"/>
          <w:szCs w:val="24"/>
        </w:rPr>
        <w:t xml:space="preserve">Związek Emerytów, Rencistów i Inwalidów w Sokółce realizował projekt </w:t>
      </w:r>
      <w:r w:rsidRPr="00E7228A">
        <w:rPr>
          <w:rFonts w:ascii="Times New Roman" w:hAnsi="Times New Roman" w:cs="Times New Roman"/>
          <w:b/>
          <w:sz w:val="24"/>
          <w:szCs w:val="24"/>
        </w:rPr>
        <w:t>,,Kreatywne Seniorki – cykl spotkań rękodzielniczych”</w:t>
      </w:r>
      <w:r w:rsidRPr="00E7228A">
        <w:rPr>
          <w:rFonts w:ascii="Times New Roman" w:hAnsi="Times New Roman" w:cs="Times New Roman"/>
          <w:sz w:val="24"/>
          <w:szCs w:val="24"/>
        </w:rPr>
        <w:t>.  Podczas spotkań w ramach projektu uczestnicy (15 osób) tworzyli prace artystyczne z symbolami narodowymi -  szydełkowanie, malowanie, rękodzieło. Projekt służył nie tylko poszerzaniu wiedzy ale także integracji i zacieśnieniu więzów społecznych. Działania realizowane w projekcie skierowane były przede wszystkim do seniorów, którzy mieli możliwość uczestnictwa w spotkaniach rękodzielniczych i podzielenia się swoją wiedzą i doświadczeniem. Inicjatywa zakończona</w:t>
      </w:r>
      <w:r w:rsidR="00D265BB">
        <w:rPr>
          <w:rFonts w:ascii="Times New Roman" w:hAnsi="Times New Roman" w:cs="Times New Roman"/>
          <w:sz w:val="24"/>
          <w:szCs w:val="24"/>
        </w:rPr>
        <w:t xml:space="preserve"> była wystawą stworzonych prac</w:t>
      </w:r>
      <w:r w:rsidR="00D265BB">
        <w:rPr>
          <w:rStyle w:val="Odwoanieprzypisudolnego"/>
          <w:rFonts w:ascii="Times New Roman" w:hAnsi="Times New Roman" w:cs="Times New Roman"/>
          <w:sz w:val="24"/>
          <w:szCs w:val="24"/>
        </w:rPr>
        <w:footnoteReference w:id="172"/>
      </w:r>
      <w:r w:rsidR="00D265BB">
        <w:rPr>
          <w:rFonts w:ascii="Times New Roman" w:hAnsi="Times New Roman" w:cs="Times New Roman"/>
          <w:sz w:val="24"/>
          <w:szCs w:val="24"/>
        </w:rPr>
        <w:t>.</w:t>
      </w:r>
    </w:p>
    <w:p w14:paraId="1B64E6E6" w14:textId="77777777" w:rsidR="00C72FA4" w:rsidRPr="005F0A32" w:rsidRDefault="00C72FA4" w:rsidP="00E7359C">
      <w:pPr>
        <w:pStyle w:val="Standard"/>
        <w:spacing w:line="276" w:lineRule="auto"/>
        <w:jc w:val="both"/>
        <w:rPr>
          <w:rFonts w:ascii="Times New Roman" w:eastAsia="Times New Roman" w:hAnsi="Times New Roman" w:cs="Times New Roman"/>
          <w:kern w:val="0"/>
          <w:lang w:eastAsia="pl-PL" w:bidi="ar-SA"/>
        </w:rPr>
      </w:pPr>
    </w:p>
    <w:p w14:paraId="08FAB823" w14:textId="77777777" w:rsidR="00C72FA4" w:rsidRPr="00E7228A" w:rsidRDefault="00C72FA4" w:rsidP="00E7359C">
      <w:pPr>
        <w:pStyle w:val="Standard"/>
        <w:spacing w:line="276" w:lineRule="auto"/>
        <w:jc w:val="both"/>
        <w:rPr>
          <w:rFonts w:ascii="Times New Roman" w:hAnsi="Times New Roman" w:cs="Times New Roman"/>
          <w:bCs/>
        </w:rPr>
      </w:pPr>
      <w:r w:rsidRPr="00E7228A">
        <w:rPr>
          <w:rFonts w:ascii="Times New Roman" w:eastAsia="Times New Roman" w:hAnsi="Times New Roman" w:cs="Times New Roman"/>
          <w:kern w:val="0"/>
          <w:lang w:eastAsia="pl-PL" w:bidi="ar-SA"/>
        </w:rPr>
        <w:t>Powiat Hajnowski</w:t>
      </w:r>
    </w:p>
    <w:p w14:paraId="1576BB22" w14:textId="77777777" w:rsidR="00C72FA4" w:rsidRPr="00654580" w:rsidRDefault="00C72FA4" w:rsidP="008C71A9">
      <w:pPr>
        <w:pStyle w:val="Standard"/>
        <w:numPr>
          <w:ilvl w:val="0"/>
          <w:numId w:val="148"/>
        </w:numPr>
        <w:spacing w:line="276" w:lineRule="auto"/>
        <w:ind w:left="360"/>
        <w:jc w:val="both"/>
        <w:rPr>
          <w:rFonts w:ascii="Times New Roman" w:hAnsi="Times New Roman" w:cs="Times New Roman"/>
        </w:rPr>
      </w:pPr>
      <w:r w:rsidRPr="005F0A32">
        <w:rPr>
          <w:rFonts w:ascii="Times New Roman" w:hAnsi="Times New Roman" w:cs="Times New Roman"/>
          <w:bCs/>
        </w:rPr>
        <w:t>Powiatowe Centrum Pomocy Rodzinie zorganizowało konferencję </w:t>
      </w:r>
      <w:r w:rsidRPr="005F0A32">
        <w:rPr>
          <w:rFonts w:ascii="Times New Roman" w:hAnsi="Times New Roman" w:cs="Times New Roman"/>
          <w:b/>
          <w:bCs/>
        </w:rPr>
        <w:t>„Bezpieczeństwo osób starszych i niepełnosprawnych”</w:t>
      </w:r>
      <w:r w:rsidRPr="005F0A32">
        <w:rPr>
          <w:rFonts w:ascii="Times New Roman" w:hAnsi="Times New Roman" w:cs="Times New Roman"/>
          <w:bCs/>
        </w:rPr>
        <w:t>. W dniu 22.11.2019 r. zaprezentowano następujące bloki tematyczne:</w:t>
      </w:r>
      <w:r w:rsidR="00654580">
        <w:rPr>
          <w:rFonts w:ascii="Times New Roman" w:hAnsi="Times New Roman" w:cs="Times New Roman"/>
          <w:bCs/>
        </w:rPr>
        <w:t xml:space="preserve"> </w:t>
      </w:r>
      <w:r w:rsidRPr="00654580">
        <w:rPr>
          <w:rFonts w:ascii="Times New Roman" w:hAnsi="Times New Roman" w:cs="Times New Roman"/>
        </w:rPr>
        <w:t>Projekt „poMOC, a nie przeMOC!" Przeciwdziałanie przemocy w rodzinie wobec osób starszych, schorowanych i niepełnosprawnych - perspektywa prawna i psychologiczna,</w:t>
      </w:r>
      <w:r w:rsidR="00654580">
        <w:rPr>
          <w:rFonts w:ascii="Times New Roman" w:hAnsi="Times New Roman" w:cs="Times New Roman"/>
        </w:rPr>
        <w:t xml:space="preserve"> a także </w:t>
      </w:r>
      <w:r w:rsidRPr="00654580">
        <w:rPr>
          <w:rFonts w:ascii="Times New Roman" w:hAnsi="Times New Roman" w:cs="Times New Roman"/>
        </w:rPr>
        <w:t>Projekt „Senior Alert +”, którego jednym z głównych celów jest bezpieczeństwo w miejscach publicznych ze szczególnym uwzględnieniem tworzenia lokalnych systemów bezpieczeństwa. W konferencji uczestniczyło 60 osób</w:t>
      </w:r>
      <w:r w:rsidR="00D265BB">
        <w:rPr>
          <w:rStyle w:val="Odwoanieprzypisudolnego"/>
          <w:rFonts w:ascii="Times New Roman" w:hAnsi="Times New Roman" w:cs="Times New Roman"/>
        </w:rPr>
        <w:footnoteReference w:id="173"/>
      </w:r>
      <w:r w:rsidRPr="00654580">
        <w:rPr>
          <w:rFonts w:ascii="Times New Roman" w:hAnsi="Times New Roman" w:cs="Times New Roman"/>
        </w:rPr>
        <w:t xml:space="preserve">. </w:t>
      </w:r>
    </w:p>
    <w:p w14:paraId="06F5C579" w14:textId="77777777" w:rsidR="00C72FA4" w:rsidRPr="005F0A32" w:rsidRDefault="00C72FA4" w:rsidP="00E7359C">
      <w:pPr>
        <w:shd w:val="clear" w:color="auto" w:fill="FFFFFF"/>
        <w:spacing w:after="0"/>
        <w:jc w:val="both"/>
        <w:rPr>
          <w:rFonts w:ascii="Times New Roman" w:hAnsi="Times New Roman" w:cs="Times New Roman"/>
          <w:sz w:val="24"/>
          <w:szCs w:val="24"/>
          <w:lang w:val="de-DE"/>
        </w:rPr>
      </w:pPr>
    </w:p>
    <w:p w14:paraId="1DA55653" w14:textId="77777777" w:rsidR="00C72FA4" w:rsidRPr="00654580" w:rsidRDefault="00C72FA4" w:rsidP="00E7359C">
      <w:pPr>
        <w:shd w:val="clear" w:color="auto" w:fill="FFFFFF"/>
        <w:spacing w:after="0"/>
        <w:jc w:val="both"/>
        <w:rPr>
          <w:rFonts w:ascii="Times New Roman" w:hAnsi="Times New Roman" w:cs="Times New Roman"/>
          <w:sz w:val="24"/>
          <w:szCs w:val="24"/>
          <w:lang w:val="de-DE"/>
        </w:rPr>
      </w:pPr>
      <w:r w:rsidRPr="00654580">
        <w:rPr>
          <w:rFonts w:ascii="Times New Roman" w:hAnsi="Times New Roman" w:cs="Times New Roman"/>
          <w:sz w:val="24"/>
          <w:szCs w:val="24"/>
          <w:lang w:val="de-DE"/>
        </w:rPr>
        <w:t>Gmina Suwałki</w:t>
      </w:r>
    </w:p>
    <w:p w14:paraId="6AED7DCC" w14:textId="77777777" w:rsidR="00C72FA4" w:rsidRPr="00654580" w:rsidRDefault="00C72FA4" w:rsidP="008C71A9">
      <w:pPr>
        <w:pStyle w:val="Akapitzlist"/>
        <w:numPr>
          <w:ilvl w:val="0"/>
          <w:numId w:val="148"/>
        </w:numPr>
        <w:spacing w:after="0"/>
        <w:ind w:left="360"/>
        <w:jc w:val="both"/>
        <w:rPr>
          <w:rFonts w:ascii="Times New Roman" w:hAnsi="Times New Roman" w:cs="Times New Roman"/>
          <w:sz w:val="24"/>
          <w:szCs w:val="24"/>
        </w:rPr>
      </w:pPr>
      <w:r w:rsidRPr="00654580">
        <w:rPr>
          <w:rFonts w:ascii="Times New Roman" w:hAnsi="Times New Roman" w:cs="Times New Roman"/>
          <w:sz w:val="24"/>
          <w:szCs w:val="24"/>
        </w:rPr>
        <w:t xml:space="preserve">W okresie od 21.09.2019 r. do 30.06.2020 r. realizowano autorski projekt pn. </w:t>
      </w:r>
      <w:r w:rsidRPr="00654580">
        <w:rPr>
          <w:rFonts w:ascii="Times New Roman" w:hAnsi="Times New Roman" w:cs="Times New Roman"/>
          <w:b/>
          <w:sz w:val="24"/>
          <w:szCs w:val="24"/>
        </w:rPr>
        <w:t>„Niezłe Ziółka – pracownia zielarska we wsi Sobolewo”</w:t>
      </w:r>
      <w:r w:rsidRPr="00654580">
        <w:rPr>
          <w:rFonts w:ascii="Times New Roman" w:hAnsi="Times New Roman" w:cs="Times New Roman"/>
          <w:sz w:val="24"/>
          <w:szCs w:val="24"/>
        </w:rPr>
        <w:t>, który otrzymał dofinansowanie z Polsko –Amerykańskiej Fundacji Wolności i Towarzystwa Inicjatyw Twórczych „ę”. Głównym celem projektu było wykorzystanie zielarstwa w życiu codziennym z naciskiem na wartości zdrowotne, zachowanie sprawności i witalności. Natomiast pośrednim celem projektu było kultywowanie i podtrzymywanie tradycji zielarskich, które niegdyś znane były w każdym wiejskim domu. W projekcie uczestniczyło 17 seniorów</w:t>
      </w:r>
      <w:r w:rsidR="006D311C">
        <w:rPr>
          <w:rStyle w:val="Odwoanieprzypisudolnego"/>
          <w:rFonts w:ascii="Times New Roman" w:hAnsi="Times New Roman" w:cs="Times New Roman"/>
          <w:sz w:val="24"/>
          <w:szCs w:val="24"/>
        </w:rPr>
        <w:footnoteReference w:id="174"/>
      </w:r>
      <w:r w:rsidRPr="00654580">
        <w:rPr>
          <w:rFonts w:ascii="Times New Roman" w:hAnsi="Times New Roman" w:cs="Times New Roman"/>
          <w:sz w:val="24"/>
          <w:szCs w:val="24"/>
        </w:rPr>
        <w:t xml:space="preserve">. </w:t>
      </w:r>
    </w:p>
    <w:p w14:paraId="33FFFE89" w14:textId="77777777" w:rsidR="00C72FA4" w:rsidRPr="005F0A32" w:rsidRDefault="00C72FA4" w:rsidP="00E7359C">
      <w:pPr>
        <w:spacing w:after="0"/>
        <w:jc w:val="both"/>
        <w:rPr>
          <w:rFonts w:ascii="Times New Roman" w:hAnsi="Times New Roman" w:cs="Times New Roman"/>
          <w:sz w:val="24"/>
          <w:szCs w:val="24"/>
        </w:rPr>
      </w:pPr>
    </w:p>
    <w:p w14:paraId="7ED49852" w14:textId="77777777" w:rsidR="00C72FA4" w:rsidRPr="00654580" w:rsidRDefault="00C72FA4" w:rsidP="00E7359C">
      <w:pPr>
        <w:spacing w:after="0"/>
        <w:jc w:val="both"/>
        <w:rPr>
          <w:rFonts w:ascii="Times New Roman" w:hAnsi="Times New Roman" w:cs="Times New Roman"/>
          <w:sz w:val="24"/>
          <w:szCs w:val="24"/>
        </w:rPr>
      </w:pPr>
      <w:r w:rsidRPr="00654580">
        <w:rPr>
          <w:rFonts w:ascii="Times New Roman" w:hAnsi="Times New Roman" w:cs="Times New Roman"/>
          <w:sz w:val="24"/>
          <w:szCs w:val="24"/>
        </w:rPr>
        <w:t>Gmina Brańsk</w:t>
      </w:r>
    </w:p>
    <w:p w14:paraId="3CE477BA" w14:textId="77777777" w:rsidR="00C72FA4" w:rsidRPr="00654580" w:rsidRDefault="00C72FA4" w:rsidP="008C71A9">
      <w:pPr>
        <w:pStyle w:val="Akapitzlist"/>
        <w:numPr>
          <w:ilvl w:val="0"/>
          <w:numId w:val="148"/>
        </w:numPr>
        <w:spacing w:after="0"/>
        <w:ind w:left="360"/>
        <w:jc w:val="both"/>
        <w:rPr>
          <w:rFonts w:ascii="Times New Roman" w:hAnsi="Times New Roman" w:cs="Times New Roman"/>
          <w:b/>
          <w:sz w:val="24"/>
          <w:szCs w:val="24"/>
        </w:rPr>
      </w:pPr>
      <w:r w:rsidRPr="00654580">
        <w:rPr>
          <w:rFonts w:ascii="Times New Roman" w:hAnsi="Times New Roman" w:cs="Times New Roman"/>
          <w:b/>
          <w:sz w:val="24"/>
          <w:szCs w:val="24"/>
        </w:rPr>
        <w:t>Warsztaty baristyczne w ramach projektu „Integracja KGW”.</w:t>
      </w:r>
      <w:r w:rsidR="00654580">
        <w:rPr>
          <w:rFonts w:ascii="Times New Roman" w:hAnsi="Times New Roman" w:cs="Times New Roman"/>
          <w:b/>
          <w:sz w:val="24"/>
          <w:szCs w:val="24"/>
        </w:rPr>
        <w:t xml:space="preserve"> </w:t>
      </w:r>
      <w:r w:rsidRPr="00654580">
        <w:rPr>
          <w:rFonts w:ascii="Times New Roman" w:hAnsi="Times New Roman" w:cs="Times New Roman"/>
          <w:sz w:val="24"/>
          <w:szCs w:val="24"/>
        </w:rPr>
        <w:t xml:space="preserve">Współpracując z Kołami Gospodyń Wiejskich z terenu Gminy Brańsk w dniu 27.08.2019 r.  zorganizowane zostały warsztaty baristyczne realizowane w ramach projektu ,,Integracja KGW’’. Warsztaty dofinansowane zostały ze środków programu ,,Działaj Lokalnie’’ Polsko-Amerykańskiej Fundacji Wolności realizowanego przez Akademię Rozwoju Filantropii w Polsce oraz Ośrodka Działaj Lokalnie przy LGD Brama na Bagna. </w:t>
      </w:r>
    </w:p>
    <w:p w14:paraId="23D1F0D1" w14:textId="77777777" w:rsidR="00C72FA4" w:rsidRPr="005F0A32" w:rsidRDefault="00C72FA4" w:rsidP="00E7359C">
      <w:pPr>
        <w:pStyle w:val="Akapitzlist"/>
        <w:spacing w:after="0"/>
        <w:ind w:left="0" w:firstLine="696"/>
        <w:jc w:val="both"/>
        <w:rPr>
          <w:rFonts w:ascii="Times New Roman" w:hAnsi="Times New Roman" w:cs="Times New Roman"/>
          <w:b/>
          <w:sz w:val="24"/>
          <w:szCs w:val="24"/>
          <w:u w:val="single"/>
        </w:rPr>
      </w:pPr>
    </w:p>
    <w:p w14:paraId="48103806" w14:textId="77777777" w:rsidR="00C72FA4" w:rsidRPr="00654580" w:rsidRDefault="00C72FA4" w:rsidP="00E7359C">
      <w:pPr>
        <w:spacing w:after="0"/>
        <w:jc w:val="both"/>
        <w:rPr>
          <w:rFonts w:ascii="Times New Roman" w:hAnsi="Times New Roman" w:cs="Times New Roman"/>
          <w:sz w:val="24"/>
          <w:szCs w:val="24"/>
        </w:rPr>
      </w:pPr>
      <w:r w:rsidRPr="00654580">
        <w:rPr>
          <w:rFonts w:ascii="Times New Roman" w:hAnsi="Times New Roman" w:cs="Times New Roman"/>
          <w:sz w:val="24"/>
          <w:szCs w:val="24"/>
        </w:rPr>
        <w:t>Gmina Stawiski</w:t>
      </w:r>
    </w:p>
    <w:p w14:paraId="31421D91" w14:textId="77777777" w:rsidR="00C72FA4" w:rsidRPr="00654580" w:rsidRDefault="00C72FA4" w:rsidP="008C71A9">
      <w:pPr>
        <w:pStyle w:val="Akapitzlist"/>
        <w:numPr>
          <w:ilvl w:val="0"/>
          <w:numId w:val="148"/>
        </w:numPr>
        <w:autoSpaceDE w:val="0"/>
        <w:autoSpaceDN w:val="0"/>
        <w:adjustRightInd w:val="0"/>
        <w:spacing w:after="0"/>
        <w:ind w:left="360"/>
        <w:jc w:val="both"/>
        <w:rPr>
          <w:rFonts w:ascii="Times New Roman" w:hAnsi="Times New Roman" w:cs="Times New Roman"/>
          <w:sz w:val="24"/>
          <w:szCs w:val="24"/>
        </w:rPr>
      </w:pPr>
      <w:r w:rsidRPr="00654580">
        <w:rPr>
          <w:rFonts w:ascii="Times New Roman" w:hAnsi="Times New Roman" w:cs="Times New Roman"/>
          <w:sz w:val="24"/>
          <w:szCs w:val="24"/>
        </w:rPr>
        <w:t xml:space="preserve">Przykładem dobrej praktyki - na poziomie gminy –  jest realizacja, od miesiąca listopada 2019 r., projektu (współfinansowanego ze środków UE) pn. </w:t>
      </w:r>
      <w:r w:rsidRPr="00654580">
        <w:rPr>
          <w:rFonts w:ascii="Times New Roman" w:hAnsi="Times New Roman" w:cs="Times New Roman"/>
          <w:b/>
          <w:sz w:val="24"/>
          <w:szCs w:val="24"/>
        </w:rPr>
        <w:t xml:space="preserve">„Sąsiedzkie usługi </w:t>
      </w:r>
      <w:r w:rsidRPr="00654580">
        <w:rPr>
          <w:rFonts w:ascii="Times New Roman" w:hAnsi="Times New Roman" w:cs="Times New Roman"/>
          <w:b/>
          <w:sz w:val="24"/>
          <w:szCs w:val="24"/>
        </w:rPr>
        <w:lastRenderedPageBreak/>
        <w:t>opiekuńcze”</w:t>
      </w:r>
      <w:r w:rsidRPr="00654580">
        <w:rPr>
          <w:rFonts w:ascii="Times New Roman" w:hAnsi="Times New Roman" w:cs="Times New Roman"/>
          <w:sz w:val="24"/>
          <w:szCs w:val="24"/>
        </w:rPr>
        <w:t xml:space="preserve">, skierowanego do 12 osób starszych, samotnych, niesamodzielnych                                  i niepełnosprawnych mieszkańców gminy Stawiski. </w:t>
      </w:r>
    </w:p>
    <w:p w14:paraId="5074FFEB" w14:textId="77777777" w:rsidR="00C72FA4" w:rsidRPr="005F0A32" w:rsidRDefault="00C72FA4" w:rsidP="00E7359C">
      <w:pPr>
        <w:spacing w:after="0"/>
        <w:jc w:val="both"/>
        <w:rPr>
          <w:rFonts w:ascii="Times New Roman" w:hAnsi="Times New Roman" w:cs="Times New Roman"/>
          <w:b/>
          <w:i/>
          <w:sz w:val="24"/>
          <w:szCs w:val="24"/>
          <w:u w:val="single"/>
        </w:rPr>
      </w:pPr>
    </w:p>
    <w:p w14:paraId="338AB5B6" w14:textId="77777777" w:rsidR="00C72FA4" w:rsidRPr="00654580" w:rsidRDefault="00654580" w:rsidP="00E7359C">
      <w:pPr>
        <w:jc w:val="both"/>
        <w:rPr>
          <w:rFonts w:ascii="Times New Roman" w:hAnsi="Times New Roman" w:cs="Times New Roman"/>
          <w:b/>
          <w:sz w:val="24"/>
          <w:szCs w:val="24"/>
        </w:rPr>
      </w:pPr>
      <w:r w:rsidRPr="00F27A8A">
        <w:rPr>
          <w:rFonts w:ascii="Times New Roman" w:hAnsi="Times New Roman" w:cs="Times New Roman"/>
          <w:b/>
          <w:sz w:val="24"/>
          <w:szCs w:val="24"/>
        </w:rPr>
        <w:t>Przykłady innowacyjnych rozwiązań</w:t>
      </w:r>
      <w:r>
        <w:rPr>
          <w:rFonts w:ascii="Times New Roman" w:hAnsi="Times New Roman" w:cs="Times New Roman"/>
          <w:b/>
          <w:sz w:val="24"/>
          <w:szCs w:val="24"/>
        </w:rPr>
        <w:t xml:space="preserve"> w ramach polityki senioralnej</w:t>
      </w:r>
    </w:p>
    <w:p w14:paraId="6B69CAB3" w14:textId="77777777" w:rsidR="00C72FA4" w:rsidRPr="005F0A32" w:rsidRDefault="00C72FA4"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Samorząd województwa wspierał realizację zadań skierowanych do grupy seniorów poprzez udzielenie dotacji podmiotom wyłonionym w otwartym konkursie ofert na wykonanie zadań publicznych.</w:t>
      </w:r>
      <w:r w:rsidRPr="005F0A32">
        <w:rPr>
          <w:rFonts w:ascii="Times New Roman" w:hAnsi="Times New Roman" w:cs="Times New Roman"/>
          <w:b/>
          <w:sz w:val="24"/>
          <w:szCs w:val="24"/>
        </w:rPr>
        <w:t xml:space="preserve"> </w:t>
      </w:r>
      <w:r w:rsidRPr="005F0A32">
        <w:rPr>
          <w:rFonts w:ascii="Times New Roman" w:hAnsi="Times New Roman" w:cs="Times New Roman"/>
          <w:sz w:val="24"/>
          <w:szCs w:val="24"/>
        </w:rPr>
        <w:t>Były to następujące projekty:</w:t>
      </w:r>
    </w:p>
    <w:p w14:paraId="54922F16" w14:textId="77777777" w:rsidR="00654580" w:rsidRDefault="00C72FA4" w:rsidP="008C71A9">
      <w:pPr>
        <w:pStyle w:val="Akapitzlist"/>
        <w:numPr>
          <w:ilvl w:val="0"/>
          <w:numId w:val="148"/>
        </w:numPr>
        <w:suppressAutoHyphens/>
        <w:spacing w:after="0"/>
        <w:ind w:left="360"/>
        <w:jc w:val="both"/>
        <w:rPr>
          <w:rFonts w:ascii="Times New Roman" w:hAnsi="Times New Roman" w:cs="Times New Roman"/>
          <w:sz w:val="24"/>
          <w:szCs w:val="24"/>
        </w:rPr>
      </w:pPr>
      <w:r w:rsidRPr="00654580">
        <w:rPr>
          <w:rFonts w:ascii="Times New Roman" w:hAnsi="Times New Roman" w:cs="Times New Roman"/>
          <w:b/>
          <w:sz w:val="24"/>
          <w:szCs w:val="24"/>
          <w:highlight w:val="white"/>
        </w:rPr>
        <w:t>„V</w:t>
      </w:r>
      <w:r w:rsidRPr="00654580">
        <w:rPr>
          <w:rFonts w:ascii="Times New Roman" w:hAnsi="Times New Roman" w:cs="Times New Roman"/>
          <w:b/>
          <w:sz w:val="24"/>
          <w:szCs w:val="24"/>
        </w:rPr>
        <w:t>ademecum Świadomego Diabetyka”</w:t>
      </w:r>
      <w:r w:rsidRPr="00654580">
        <w:rPr>
          <w:rFonts w:ascii="Times New Roman" w:hAnsi="Times New Roman" w:cs="Times New Roman"/>
          <w:sz w:val="24"/>
          <w:szCs w:val="24"/>
        </w:rPr>
        <w:t xml:space="preserve"> – </w:t>
      </w:r>
      <w:r w:rsidRPr="00654580">
        <w:rPr>
          <w:rFonts w:ascii="Times New Roman" w:hAnsi="Times New Roman" w:cs="Times New Roman"/>
          <w:sz w:val="24"/>
          <w:szCs w:val="24"/>
          <w:highlight w:val="white"/>
        </w:rPr>
        <w:t>druk i dystrybucja 3</w:t>
      </w:r>
      <w:r w:rsidR="006D311C">
        <w:rPr>
          <w:rFonts w:ascii="Times New Roman" w:hAnsi="Times New Roman" w:cs="Times New Roman"/>
          <w:sz w:val="24"/>
          <w:szCs w:val="24"/>
          <w:highlight w:val="white"/>
        </w:rPr>
        <w:t xml:space="preserve"> </w:t>
      </w:r>
      <w:r w:rsidRPr="00654580">
        <w:rPr>
          <w:rFonts w:ascii="Times New Roman" w:hAnsi="Times New Roman" w:cs="Times New Roman"/>
          <w:sz w:val="24"/>
          <w:szCs w:val="24"/>
          <w:highlight w:val="white"/>
        </w:rPr>
        <w:t xml:space="preserve">311 egzemplarzy gazety, która ma na celu działania edukacyjne, promocję zdrowia i rozpowszechnianie zdrowego stylu życia u osób starszych. Projekt był realizowany przez </w:t>
      </w:r>
      <w:r w:rsidRPr="00654580">
        <w:rPr>
          <w:rFonts w:ascii="Times New Roman" w:hAnsi="Times New Roman" w:cs="Times New Roman"/>
          <w:sz w:val="24"/>
          <w:szCs w:val="24"/>
        </w:rPr>
        <w:t>Fundację Cukrzyca a Zdrowie,</w:t>
      </w:r>
    </w:p>
    <w:p w14:paraId="072534CA" w14:textId="77777777" w:rsidR="00654580" w:rsidRDefault="00C72FA4" w:rsidP="008C71A9">
      <w:pPr>
        <w:pStyle w:val="Akapitzlist"/>
        <w:numPr>
          <w:ilvl w:val="0"/>
          <w:numId w:val="148"/>
        </w:numPr>
        <w:suppressAutoHyphens/>
        <w:spacing w:after="0"/>
        <w:ind w:left="360"/>
        <w:jc w:val="both"/>
        <w:rPr>
          <w:rFonts w:ascii="Times New Roman" w:hAnsi="Times New Roman" w:cs="Times New Roman"/>
          <w:sz w:val="24"/>
          <w:szCs w:val="24"/>
        </w:rPr>
      </w:pPr>
      <w:r w:rsidRPr="00654580">
        <w:rPr>
          <w:rFonts w:ascii="Times New Roman" w:hAnsi="Times New Roman" w:cs="Times New Roman"/>
          <w:b/>
          <w:sz w:val="24"/>
          <w:szCs w:val="24"/>
        </w:rPr>
        <w:t>„Edukacja i Tradycja za Stołem II”</w:t>
      </w:r>
      <w:r w:rsidRPr="00654580">
        <w:rPr>
          <w:rFonts w:ascii="Times New Roman" w:hAnsi="Times New Roman" w:cs="Times New Roman"/>
          <w:sz w:val="24"/>
          <w:szCs w:val="24"/>
        </w:rPr>
        <w:t xml:space="preserve"> – zrealizowany przez Polskie Stowarzyszenie Diabetyków Oddział Wojewódzki w Białymstoku w którym wzięło udział 441 mieszkańców województwa podlaskiego powyżej 65 r.ż. Projekt miał na celu przybliżenie seniorom zagrożenia wynikającego z rozwoju chorób cywilizacyjnych związanych z nieprawidłowymi nawykami żywieniowymi i jakością żywności,</w:t>
      </w:r>
    </w:p>
    <w:p w14:paraId="3966DC09" w14:textId="77777777" w:rsidR="00654580" w:rsidRDefault="00C72FA4" w:rsidP="008C71A9">
      <w:pPr>
        <w:pStyle w:val="Akapitzlist"/>
        <w:numPr>
          <w:ilvl w:val="0"/>
          <w:numId w:val="148"/>
        </w:numPr>
        <w:suppressAutoHyphens/>
        <w:spacing w:after="0"/>
        <w:ind w:left="360"/>
        <w:jc w:val="both"/>
        <w:rPr>
          <w:rFonts w:ascii="Times New Roman" w:hAnsi="Times New Roman" w:cs="Times New Roman"/>
          <w:sz w:val="24"/>
          <w:szCs w:val="24"/>
        </w:rPr>
      </w:pPr>
      <w:r w:rsidRPr="00654580">
        <w:rPr>
          <w:rFonts w:ascii="Times New Roman" w:hAnsi="Times New Roman" w:cs="Times New Roman"/>
          <w:b/>
          <w:sz w:val="24"/>
          <w:szCs w:val="24"/>
        </w:rPr>
        <w:t>„Aby mieć serce jak dzwon – Ruszaj się – Na pomoc woła twój układ krążenia – Lokalne Centrum Samopomocy Seniorów”</w:t>
      </w:r>
      <w:r w:rsidRPr="00654580">
        <w:rPr>
          <w:rFonts w:ascii="Times New Roman" w:hAnsi="Times New Roman" w:cs="Times New Roman"/>
          <w:sz w:val="24"/>
          <w:szCs w:val="24"/>
        </w:rPr>
        <w:t xml:space="preserve"> –  projekt zrealizowany przez Stowarzyszenie Na Rzecz Rozwoju Cywilizacyjnego "Ściana Wschodnia" w Sejnach, który miał na celu zwiększenie dostępności do świadczeń edukacji zdrowotnej i badań profilaktycznych dla seniorów powiatu sejneńskiego i okolic,</w:t>
      </w:r>
    </w:p>
    <w:p w14:paraId="3A141704" w14:textId="77777777" w:rsidR="00654580" w:rsidRDefault="00C72FA4" w:rsidP="008C71A9">
      <w:pPr>
        <w:pStyle w:val="Akapitzlist"/>
        <w:numPr>
          <w:ilvl w:val="0"/>
          <w:numId w:val="148"/>
        </w:numPr>
        <w:suppressAutoHyphens/>
        <w:spacing w:after="0"/>
        <w:ind w:left="360"/>
        <w:jc w:val="both"/>
        <w:rPr>
          <w:rFonts w:ascii="Times New Roman" w:hAnsi="Times New Roman" w:cs="Times New Roman"/>
          <w:sz w:val="24"/>
          <w:szCs w:val="24"/>
        </w:rPr>
      </w:pPr>
      <w:r w:rsidRPr="00654580">
        <w:rPr>
          <w:rFonts w:ascii="Times New Roman" w:hAnsi="Times New Roman" w:cs="Times New Roman"/>
          <w:b/>
          <w:sz w:val="24"/>
          <w:szCs w:val="24"/>
        </w:rPr>
        <w:t xml:space="preserve">„ABC Zdrowego Seniora 2019” </w:t>
      </w:r>
      <w:r w:rsidRPr="00654580">
        <w:rPr>
          <w:rFonts w:ascii="Times New Roman" w:hAnsi="Times New Roman" w:cs="Times New Roman"/>
          <w:sz w:val="24"/>
          <w:szCs w:val="24"/>
        </w:rPr>
        <w:t>– zrealizowany przez Fundację "Czas Lokalny"</w:t>
      </w:r>
      <w:r w:rsidRPr="00654580">
        <w:rPr>
          <w:rFonts w:ascii="Times New Roman" w:hAnsi="Times New Roman" w:cs="Times New Roman"/>
          <w:sz w:val="24"/>
          <w:szCs w:val="24"/>
          <w:highlight w:val="white"/>
        </w:rPr>
        <w:t>. W trakcie jego realizacji około 1</w:t>
      </w:r>
      <w:r w:rsidR="006D311C">
        <w:rPr>
          <w:rFonts w:ascii="Times New Roman" w:hAnsi="Times New Roman" w:cs="Times New Roman"/>
          <w:sz w:val="24"/>
          <w:szCs w:val="24"/>
          <w:highlight w:val="white"/>
        </w:rPr>
        <w:t xml:space="preserve"> </w:t>
      </w:r>
      <w:r w:rsidRPr="00654580">
        <w:rPr>
          <w:rFonts w:ascii="Times New Roman" w:hAnsi="Times New Roman" w:cs="Times New Roman"/>
          <w:sz w:val="24"/>
          <w:szCs w:val="24"/>
          <w:highlight w:val="white"/>
        </w:rPr>
        <w:t>500 seniorów z Łomży i powiatu łomżyńskiego skorzystało z zajęć teoretycznych i praktycznych na temat budowy i  starzenia się narządu ruchu oraz konsekwencji zaniedbań badań profilaktycznych i braku aktywności fizycznej</w:t>
      </w:r>
      <w:r w:rsidRPr="00654580">
        <w:rPr>
          <w:rFonts w:ascii="Times New Roman" w:hAnsi="Times New Roman" w:cs="Times New Roman"/>
          <w:sz w:val="24"/>
          <w:szCs w:val="24"/>
        </w:rPr>
        <w:t>,</w:t>
      </w:r>
    </w:p>
    <w:p w14:paraId="2FC3D4D0" w14:textId="77777777" w:rsidR="00654580" w:rsidRPr="00654580" w:rsidRDefault="00C72FA4" w:rsidP="008C71A9">
      <w:pPr>
        <w:pStyle w:val="Akapitzlist"/>
        <w:numPr>
          <w:ilvl w:val="0"/>
          <w:numId w:val="148"/>
        </w:numPr>
        <w:suppressAutoHyphens/>
        <w:spacing w:after="0"/>
        <w:ind w:left="360"/>
        <w:jc w:val="both"/>
        <w:rPr>
          <w:rStyle w:val="czeinternetowe"/>
          <w:rFonts w:ascii="Times New Roman" w:hAnsi="Times New Roman" w:cs="Times New Roman"/>
          <w:color w:val="auto"/>
          <w:sz w:val="24"/>
          <w:szCs w:val="24"/>
          <w:u w:val="none"/>
        </w:rPr>
      </w:pPr>
      <w:r w:rsidRPr="00654580">
        <w:rPr>
          <w:rFonts w:ascii="Times New Roman" w:hAnsi="Times New Roman" w:cs="Times New Roman"/>
          <w:b/>
          <w:sz w:val="24"/>
          <w:szCs w:val="24"/>
        </w:rPr>
        <w:t>„Pytanie do specjalisty”</w:t>
      </w:r>
      <w:r w:rsidRPr="00654580">
        <w:rPr>
          <w:rFonts w:ascii="Times New Roman" w:hAnsi="Times New Roman" w:cs="Times New Roman"/>
          <w:sz w:val="24"/>
          <w:szCs w:val="24"/>
        </w:rPr>
        <w:t xml:space="preserve"> – cykl audycji radiowych z zakresu edukacji i promocji zdrowia zrealizowany przez zespół redakcyjny radia ORTHODOXIA, Wyprodukowano i wyemitowano 15 audycji pt. </w:t>
      </w:r>
      <w:r w:rsidRPr="00654580">
        <w:rPr>
          <w:rFonts w:ascii="Times New Roman" w:hAnsi="Times New Roman" w:cs="Times New Roman"/>
          <w:sz w:val="24"/>
          <w:szCs w:val="24"/>
          <w:highlight w:val="white"/>
        </w:rPr>
        <w:t>1.Udar mózgu, 2.Czynniki ryzyka udaru mózgu, 3. Choroba zwyrodnieniowa kręgosłupa, 4.Dieta w wieku podeszłym, 5.Nadwaga i  otyłość w wieku podeszłym, 6.Wady wzroku wieku podeszłego, 7.Zaćma, 8.Jaskra, 9. Nadciśnienie tętnicze, 10.Cukrzyca, 11.Choroby prostaty, 12.Choroba nowotworowa - czynniki ryzyka, 13.Choroba Parkinsona, 14.Choroba Alzheimera, 15. Zaburzenia psychiczne w wieku podeszłym. Tematy audycji dodatkowych: 1. Europejski Tydzień Profilaktyki Nowotworów Głowy i Szyi, 2. ONCOweek - cykl wydarzeń promujący profilaktykę przeciwnowotworową, 3. Cud stworzenia</w:t>
      </w:r>
      <w:r w:rsidR="006D311C">
        <w:rPr>
          <w:rStyle w:val="Odwoanieprzypisudolnego"/>
          <w:rFonts w:ascii="Times New Roman" w:hAnsi="Times New Roman" w:cs="Times New Roman"/>
          <w:sz w:val="24"/>
          <w:szCs w:val="24"/>
          <w:highlight w:val="white"/>
        </w:rPr>
        <w:footnoteReference w:id="175"/>
      </w:r>
    </w:p>
    <w:p w14:paraId="06C7F9AC" w14:textId="77777777" w:rsidR="00C72FA4" w:rsidRPr="006D311C" w:rsidRDefault="00C72FA4" w:rsidP="008C71A9">
      <w:pPr>
        <w:pStyle w:val="Akapitzlist"/>
        <w:numPr>
          <w:ilvl w:val="0"/>
          <w:numId w:val="148"/>
        </w:numPr>
        <w:suppressAutoHyphens/>
        <w:spacing w:after="0"/>
        <w:ind w:left="360"/>
        <w:jc w:val="both"/>
        <w:rPr>
          <w:rFonts w:ascii="Times New Roman" w:hAnsi="Times New Roman" w:cs="Times New Roman"/>
          <w:sz w:val="24"/>
          <w:szCs w:val="24"/>
        </w:rPr>
      </w:pPr>
      <w:r w:rsidRPr="00654580">
        <w:rPr>
          <w:rFonts w:ascii="Times New Roman" w:hAnsi="Times New Roman" w:cs="Times New Roman"/>
          <w:b/>
          <w:sz w:val="24"/>
          <w:szCs w:val="24"/>
        </w:rPr>
        <w:t>„Podlaskie Zdrowie Od Stóp do Głów 2019”</w:t>
      </w:r>
      <w:r w:rsidRPr="00654580">
        <w:rPr>
          <w:rFonts w:ascii="Times New Roman" w:hAnsi="Times New Roman" w:cs="Times New Roman"/>
          <w:sz w:val="24"/>
          <w:szCs w:val="24"/>
        </w:rPr>
        <w:t xml:space="preserve"> – cykl filmów edukacyjno-informacyjnych, które były realizowane przez Stowarzyszenie Szukamy Polski</w:t>
      </w:r>
      <w:r w:rsidRPr="00654580">
        <w:rPr>
          <w:rFonts w:ascii="Times New Roman" w:hAnsi="Times New Roman" w:cs="Times New Roman"/>
          <w:bCs/>
          <w:sz w:val="24"/>
          <w:szCs w:val="24"/>
          <w:highlight w:val="white"/>
        </w:rPr>
        <w:t xml:space="preserve">. </w:t>
      </w:r>
      <w:r w:rsidRPr="00654580">
        <w:rPr>
          <w:rFonts w:ascii="Times New Roman" w:hAnsi="Times New Roman" w:cs="Times New Roman"/>
          <w:sz w:val="24"/>
          <w:szCs w:val="24"/>
          <w:highlight w:val="white"/>
        </w:rPr>
        <w:t xml:space="preserve">Filmy są opublikowane na portalach społecznościowych o zasięgu ogólnopolskim a także na Wrotach Podlasia i stronie </w:t>
      </w:r>
      <w:hyperlink r:id="rId37" w:history="1">
        <w:r w:rsidRPr="00654580">
          <w:rPr>
            <w:rStyle w:val="Hipercze"/>
            <w:rFonts w:ascii="Times New Roman" w:hAnsi="Times New Roman" w:cs="Times New Roman"/>
            <w:sz w:val="24"/>
            <w:szCs w:val="24"/>
          </w:rPr>
          <w:t>https://podlaskisenior.pl/</w:t>
        </w:r>
      </w:hyperlink>
      <w:r w:rsidRPr="00654580">
        <w:rPr>
          <w:rFonts w:ascii="Times New Roman" w:hAnsi="Times New Roman" w:cs="Times New Roman"/>
          <w:sz w:val="24"/>
          <w:szCs w:val="24"/>
          <w:highlight w:val="white"/>
        </w:rPr>
        <w:t xml:space="preserve">  Tematy poruszane podczas poszczególnych filmów to: otyłość i choroby metaboliczne u seniorów, choroby nowotworowe, dieta, zdrowie psychiczne, choroby wi</w:t>
      </w:r>
      <w:r w:rsidR="006D311C">
        <w:rPr>
          <w:rFonts w:ascii="Times New Roman" w:hAnsi="Times New Roman" w:cs="Times New Roman"/>
          <w:sz w:val="24"/>
          <w:szCs w:val="24"/>
          <w:highlight w:val="white"/>
        </w:rPr>
        <w:t>eku podeszłego</w:t>
      </w:r>
      <w:r w:rsidR="006D311C">
        <w:rPr>
          <w:rStyle w:val="Odwoanieprzypisudolnego"/>
          <w:rFonts w:ascii="Times New Roman" w:hAnsi="Times New Roman" w:cs="Times New Roman"/>
          <w:sz w:val="24"/>
          <w:szCs w:val="24"/>
          <w:highlight w:val="white"/>
        </w:rPr>
        <w:footnoteReference w:id="176"/>
      </w:r>
      <w:r w:rsidR="006D311C">
        <w:rPr>
          <w:rFonts w:ascii="Times New Roman" w:hAnsi="Times New Roman" w:cs="Times New Roman"/>
          <w:sz w:val="24"/>
          <w:szCs w:val="24"/>
          <w:highlight w:val="white"/>
        </w:rPr>
        <w:t xml:space="preserve">. </w:t>
      </w:r>
    </w:p>
    <w:p w14:paraId="40C1E140" w14:textId="77777777" w:rsidR="00C72FA4" w:rsidRPr="005F0A32" w:rsidRDefault="00C72FA4"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lastRenderedPageBreak/>
        <w:t xml:space="preserve">Projekt „SAS” w ramach Regionalnego Programu Operacyjnego Województwa Podlaskiego na lata 2014-2020, dotyczący rozwoju usług społecznych i zdrowotnych na rzecz osób zagrożonych wykluczeniem społecznym. Program </w:t>
      </w:r>
      <w:r w:rsidR="00E31574">
        <w:rPr>
          <w:rFonts w:ascii="Times New Roman" w:hAnsi="Times New Roman" w:cs="Times New Roman"/>
          <w:sz w:val="24"/>
          <w:szCs w:val="24"/>
        </w:rPr>
        <w:t xml:space="preserve">realizowany będzie do kwietnia </w:t>
      </w:r>
      <w:r w:rsidRPr="005F0A32">
        <w:rPr>
          <w:rFonts w:ascii="Times New Roman" w:hAnsi="Times New Roman" w:cs="Times New Roman"/>
          <w:sz w:val="24"/>
          <w:szCs w:val="24"/>
        </w:rPr>
        <w:t>2022 r., beneficjentami programu są osoby zamieszkujące na terenie miast Sejny, mające ukończone 60 lat, dotknięte z różnych powodów wykluczeniem społecznym. W ramach projektu 10 osób korzysta z usług asystenckich i 15 osób z usług opiekuńczych oraz 20 osób objętych jest wsparciem w ramach działającego Klubu Seniora.</w:t>
      </w:r>
    </w:p>
    <w:p w14:paraId="68EB1CB4" w14:textId="77777777" w:rsidR="00C72FA4" w:rsidRPr="005F0A32" w:rsidRDefault="00C72FA4" w:rsidP="00E7359C">
      <w:pPr>
        <w:spacing w:after="0"/>
        <w:jc w:val="both"/>
        <w:rPr>
          <w:rFonts w:ascii="Times New Roman" w:hAnsi="Times New Roman" w:cs="Times New Roman"/>
          <w:b/>
          <w:i/>
          <w:sz w:val="24"/>
          <w:szCs w:val="24"/>
          <w:u w:val="single"/>
        </w:rPr>
      </w:pPr>
    </w:p>
    <w:p w14:paraId="1EB91809" w14:textId="77777777" w:rsidR="00E31574" w:rsidRPr="006D311C" w:rsidRDefault="00E31574" w:rsidP="00E7359C">
      <w:pPr>
        <w:spacing w:after="0"/>
        <w:jc w:val="both"/>
        <w:rPr>
          <w:rFonts w:ascii="Times New Roman" w:hAnsi="Times New Roman" w:cs="Times New Roman"/>
          <w:b/>
          <w:i/>
          <w:color w:val="00B0F0"/>
          <w:sz w:val="24"/>
          <w:szCs w:val="24"/>
        </w:rPr>
      </w:pPr>
      <w:r w:rsidRPr="006D311C">
        <w:rPr>
          <w:rFonts w:ascii="Times New Roman" w:hAnsi="Times New Roman" w:cs="Times New Roman"/>
          <w:b/>
          <w:color w:val="00B0F0"/>
          <w:sz w:val="24"/>
          <w:szCs w:val="24"/>
        </w:rPr>
        <w:t>Realizacja działań wynikających z przyjętego prze</w:t>
      </w:r>
      <w:r w:rsidR="006D311C">
        <w:rPr>
          <w:rFonts w:ascii="Times New Roman" w:hAnsi="Times New Roman" w:cs="Times New Roman"/>
          <w:b/>
          <w:color w:val="00B0F0"/>
          <w:sz w:val="24"/>
          <w:szCs w:val="24"/>
        </w:rPr>
        <w:t>z Radę Ministrów dokumentu pt. </w:t>
      </w:r>
      <w:r w:rsidRPr="006D311C">
        <w:rPr>
          <w:rFonts w:ascii="Times New Roman" w:hAnsi="Times New Roman" w:cs="Times New Roman"/>
          <w:b/>
          <w:i/>
          <w:color w:val="00B0F0"/>
          <w:sz w:val="24"/>
          <w:szCs w:val="24"/>
        </w:rPr>
        <w:t xml:space="preserve">Polityka społeczna wobec osób starszych 2030. Bezpieczeństwo – </w:t>
      </w:r>
      <w:r w:rsidR="006D311C" w:rsidRPr="006D311C">
        <w:rPr>
          <w:rFonts w:ascii="Times New Roman" w:hAnsi="Times New Roman" w:cs="Times New Roman"/>
          <w:b/>
          <w:i/>
          <w:color w:val="00B0F0"/>
          <w:sz w:val="24"/>
          <w:szCs w:val="24"/>
        </w:rPr>
        <w:t>Uczestnictwo – Solidarność</w:t>
      </w:r>
    </w:p>
    <w:p w14:paraId="3DDBC14D" w14:textId="77777777" w:rsidR="00E31574" w:rsidRDefault="00E31574" w:rsidP="00E7359C">
      <w:pPr>
        <w:spacing w:after="0"/>
        <w:jc w:val="both"/>
        <w:rPr>
          <w:rFonts w:ascii="Times New Roman" w:hAnsi="Times New Roman" w:cs="Times New Roman"/>
          <w:b/>
          <w:i/>
          <w:sz w:val="24"/>
          <w:szCs w:val="24"/>
          <w:u w:val="single"/>
        </w:rPr>
      </w:pPr>
    </w:p>
    <w:p w14:paraId="32936B02"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kontynuowanie działań z zakresu zapewnienia osobom starszym o najniższych dochodach bezpieczeństwa ekonomicznego poprzez realizację pomocy w postaci zasiłków celowych, specjalnych zasiłków celowych, wsparcie w zakresie zmniejszenia wydatków poniesionych na leki, pomoc żywnościową w ramach Programu Operacyjnego Pomoc Żywnościowa,</w:t>
      </w:r>
    </w:p>
    <w:p w14:paraId="5C7D02DE"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promocja zdrowia i profilaktyki chorób wieku starszego, w tym rozwój oferty edukacyjnej dla osób starszych w zakresie, prowadzenia zdrowego i aktywnego trybu życia, podniesienia świadomości w zakresie skutków zachowań ryzykownych oraz upowszechnianie wykorzystania nowych rozwiązań technologicznych np. w ramach zajęć w Dziennych Domach Senior +,  Klubach Seniora,</w:t>
      </w:r>
    </w:p>
    <w:p w14:paraId="42E3E201"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uwzględnienie w działaniach kierowanych do osób starszych problemu osamotnienia i samotności oraz przeciwdziałanie negatywnym, indywidualnym i społecznym skutkom tych zjawisk np. w ramach zajęć prowadzonych w Dziennych Domach Senior + , Klubach Seniora, Środowiskowych Domach Samopomocy, Domach Pomocy Społecznej,</w:t>
      </w:r>
    </w:p>
    <w:p w14:paraId="3B6214A9"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 xml:space="preserve">realizacja działań mających na celu zwiększenie skuteczności funkcjonowania pomocy społecznej oraz rozwój zróżnicowanych usług świadczonych lokalnie, w miejscu zamieszkania oraz w ośrodkach wsparcia, w tym unowocześnienie i usprawnienie istniejących rozwiązań na rzecz włączenia społecznego i przeciwdziałania ubóstwa poprzez realizację usług opiekuńczych w miejscu zamieszkania w ramach realizacji Programu „Opieka 75+” oraz działania w Dziennych Domach Senior +, Klubach Seniora, </w:t>
      </w:r>
    </w:p>
    <w:p w14:paraId="3CBF5822"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świadczenie usług opiekuńczych dla osób starszych, przewlekle chorych, niesamodzielnych w ramach działalności ośrodków pomocy społecznej mających na celu pomoc w zaspokajaniu codziennych potrzeb życiowych,</w:t>
      </w:r>
    </w:p>
    <w:p w14:paraId="13A4E7CC"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zapewnienie całodobowej opieki poprzez kierowanie osób niezdolnych do samodzielnego funkcjonowania w środowisku do domów pomocy społecznej,</w:t>
      </w:r>
    </w:p>
    <w:p w14:paraId="385D2F9D"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 xml:space="preserve">wsparcie finansowe opiekunom osób całkowicie niezdolnych do pracy i samodzielnej egzystencji (zasiłek dla opiekuna, specjalny zasiłek opiekuńczy), </w:t>
      </w:r>
    </w:p>
    <w:p w14:paraId="69F85DD8"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lastRenderedPageBreak/>
        <w:t xml:space="preserve">udzielanie pomocy specjalistycznej w formie pracy socjalnej, poradnictwa specjalistycznego, psychologicznego, prawnego, </w:t>
      </w:r>
    </w:p>
    <w:p w14:paraId="78351011"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podejmowanie działań interwencyjnych w zakresie przemocy,</w:t>
      </w:r>
    </w:p>
    <w:p w14:paraId="26B64BE5"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pobudzanie aktywności społecznej seniorów pop</w:t>
      </w:r>
      <w:r w:rsidR="00E31574">
        <w:rPr>
          <w:rFonts w:ascii="Times New Roman" w:hAnsi="Times New Roman" w:cs="Times New Roman"/>
          <w:sz w:val="24"/>
          <w:szCs w:val="24"/>
        </w:rPr>
        <w:t xml:space="preserve">rzez realizowanie, gromadzenie </w:t>
      </w:r>
      <w:r w:rsidRPr="00E31574">
        <w:rPr>
          <w:rFonts w:ascii="Times New Roman" w:hAnsi="Times New Roman" w:cs="Times New Roman"/>
          <w:sz w:val="24"/>
          <w:szCs w:val="24"/>
        </w:rPr>
        <w:t>i multiplikowanie dobrych praktyk, a także promowanie współpracy, w tym finansowej pomiędzy samorządami oraz lokalnymi organizacjami pożytku publicznego – w celu rozszerzenia oferowanych usług z obszaru polityki społecznej wobec osób starszych realizowane w porozumieniu z lokalnymi organizacjami pozarządowymi np. poprzez udział seniorów w kursach, szkoleniach, konferencjach, projektach, organizację wspólnych inicjatyw,</w:t>
      </w:r>
    </w:p>
    <w:p w14:paraId="3A8A6370"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kontynuowanie działań z zakresu aktywnego starzenia się i podejścia międzypokoleniowego, w tym inicjowanie i podejmowanie przedsięwzięć z zakresu aktywizacji i zaangażowania osób starszych, mających na celu wykorzystanie zasobów tej grupy społecznej dla gospodarki Polski i podkreślenia roli, jaką osoby starsze odgrywają w życiu zawodowym i społecznym poprzez zaangażowanie w działania świetlic socjoterapeutycznych, przedszkoli i żłobków,</w:t>
      </w:r>
    </w:p>
    <w:p w14:paraId="6A1591F5"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wsparcie tworzenia Rad Seniorów, jako organów opiniodawczo – doradczych dla władz samorządowych ważnych z punktu widzenia partycypacji seniorów w kreowaniu lokalnej polityki społecznej wobec osób starszych oraz współpracę z działającymi Radami Seniorów,</w:t>
      </w:r>
    </w:p>
    <w:p w14:paraId="588D4EC7"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inicjowanie i prowadzenie we współpracy samorządów, organizacji pozarządowych, przedsiębiorców – kampanii społecznych, programów, a także akcji promujących pozytywny wizerunek starzenia się oraz starości, w tym także międzyp</w:t>
      </w:r>
      <w:r w:rsidR="00E31574">
        <w:rPr>
          <w:rFonts w:ascii="Times New Roman" w:hAnsi="Times New Roman" w:cs="Times New Roman"/>
          <w:sz w:val="24"/>
          <w:szCs w:val="24"/>
        </w:rPr>
        <w:t xml:space="preserve">okoleniową wymianę myśli, dóbr </w:t>
      </w:r>
      <w:r w:rsidRPr="00E31574">
        <w:rPr>
          <w:rFonts w:ascii="Times New Roman" w:hAnsi="Times New Roman" w:cs="Times New Roman"/>
          <w:sz w:val="24"/>
          <w:szCs w:val="24"/>
        </w:rPr>
        <w:t>i usług, a także informowanie młodego pokolenia o naturalnych procesach starości i potrzebach występujących na tym etapie życia realizowane przez organizacje skupiające seniorów,</w:t>
      </w:r>
    </w:p>
    <w:p w14:paraId="4013FBEA"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 xml:space="preserve">kontynuowanie przez administrację rządową i samorządową współpracy w obszarze realizacji zadań z zakresu aktywności społecznej, kulturalnej, edukacyjnej oraz sportowej osób starszych, a także promowanie integracji międzypokoleniowej i wolontariatu osób starszych – w ramach otwartych konkursów ofert poprzez działalność organizacji skupiających seniorów,   </w:t>
      </w:r>
    </w:p>
    <w:p w14:paraId="59B40EC2"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kształtowanie pozytywnego postrze</w:t>
      </w:r>
      <w:r w:rsidR="00E31574">
        <w:rPr>
          <w:rFonts w:ascii="Times New Roman" w:hAnsi="Times New Roman" w:cs="Times New Roman"/>
          <w:sz w:val="24"/>
          <w:szCs w:val="24"/>
        </w:rPr>
        <w:t>gania starości w społeczeństwie,</w:t>
      </w:r>
    </w:p>
    <w:p w14:paraId="6BA6FEA4"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uczestnictwo w życiu społecznym oraz wspieranie wszelkich form aktywności obywatelskiej, społecznej, kulturalnej, artystycznej, sportowej i religijnej,</w:t>
      </w:r>
    </w:p>
    <w:p w14:paraId="0083D570"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tworzenie warunków umożliwiających wykorzystanie potencjału osób starszych jako aktywnych uczestników życia gospodarczego i rynku pracy, dostosowanych do ich możliwości psychofizycznych oraz sytuacji rodzinnej,</w:t>
      </w:r>
    </w:p>
    <w:p w14:paraId="5C9FE6E7"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promocja zdrowia, profilaktyki chorób, dostęp do diagnostyki, leczenia  i rehabilitacji,</w:t>
      </w:r>
    </w:p>
    <w:p w14:paraId="7D6A151D"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zwiększenie bezpieczeństwa fizycznego – przeciwdziałanie przemocy i zaniedbaniom wobec osób starszych,</w:t>
      </w:r>
    </w:p>
    <w:p w14:paraId="69B90619" w14:textId="77777777" w:rsid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tworzenie warunków do solidarności i integracji międzypokoleniowej,</w:t>
      </w:r>
    </w:p>
    <w:p w14:paraId="7A2BE3FD" w14:textId="77777777" w:rsidR="00C72FA4" w:rsidRPr="00E31574" w:rsidRDefault="00C72FA4" w:rsidP="008C71A9">
      <w:pPr>
        <w:pStyle w:val="Akapitzlist"/>
        <w:numPr>
          <w:ilvl w:val="0"/>
          <w:numId w:val="149"/>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działania na rzecz edukacji dla starości (kadry opiekuńcze i medyczne), do starości (całe społeczeństwo), przez starość (od najmłodszego pokolenia) oraz edukację w starości (osoby starsze).</w:t>
      </w:r>
    </w:p>
    <w:p w14:paraId="00D66B3B" w14:textId="77777777" w:rsidR="00E31574" w:rsidRDefault="00E31574" w:rsidP="00E7359C">
      <w:pPr>
        <w:spacing w:after="0"/>
        <w:jc w:val="both"/>
        <w:rPr>
          <w:rFonts w:ascii="Times New Roman" w:hAnsi="Times New Roman" w:cs="Times New Roman"/>
          <w:sz w:val="24"/>
          <w:szCs w:val="24"/>
        </w:rPr>
      </w:pPr>
    </w:p>
    <w:p w14:paraId="3CDC75E6" w14:textId="77777777" w:rsidR="00C72FA4" w:rsidRPr="005F0A32" w:rsidRDefault="00C72FA4"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lastRenderedPageBreak/>
        <w:t xml:space="preserve">Ww. działania były  realizowane w ramach działalności Dziennych Domów Senior+, Klubów Senior +, Związków Emerytów i Rencistów, Uniwersytetów Trzeciego Wieku, Klubów Seniora, Spółdzielni Socjalnych oraz współpracę z organizacjami pozarządowymi głównie w zakresie problemów zdrowotnych dotyczących osób niepełnosprawnych i starszych. </w:t>
      </w:r>
    </w:p>
    <w:p w14:paraId="70A3CC9F" w14:textId="77777777" w:rsidR="00E31574" w:rsidRDefault="00E31574" w:rsidP="00E7359C">
      <w:pPr>
        <w:spacing w:after="0"/>
        <w:jc w:val="both"/>
        <w:rPr>
          <w:rFonts w:ascii="Times New Roman" w:hAnsi="Times New Roman" w:cs="Times New Roman"/>
          <w:sz w:val="24"/>
          <w:szCs w:val="24"/>
        </w:rPr>
      </w:pPr>
    </w:p>
    <w:p w14:paraId="56EDF3C9" w14:textId="77777777" w:rsidR="00E31574" w:rsidRDefault="00C72FA4"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Ponadto w ramach działań podejmo</w:t>
      </w:r>
      <w:r w:rsidR="00E31574">
        <w:rPr>
          <w:rFonts w:ascii="Times New Roman" w:hAnsi="Times New Roman" w:cs="Times New Roman"/>
          <w:sz w:val="24"/>
          <w:szCs w:val="24"/>
        </w:rPr>
        <w:t>wanych na rzecz osób starszych:</w:t>
      </w:r>
    </w:p>
    <w:p w14:paraId="01AE41F6" w14:textId="77777777" w:rsidR="00C72FA4" w:rsidRPr="00E31574" w:rsidRDefault="00C72FA4" w:rsidP="008C71A9">
      <w:pPr>
        <w:pStyle w:val="Akapitzlist"/>
        <w:numPr>
          <w:ilvl w:val="0"/>
          <w:numId w:val="150"/>
        </w:numPr>
        <w:spacing w:after="0"/>
        <w:ind w:left="360"/>
        <w:jc w:val="both"/>
        <w:rPr>
          <w:rFonts w:ascii="Times New Roman" w:hAnsi="Times New Roman" w:cs="Times New Roman"/>
          <w:sz w:val="24"/>
          <w:szCs w:val="24"/>
        </w:rPr>
      </w:pPr>
      <w:r w:rsidRPr="00E31574">
        <w:rPr>
          <w:rFonts w:ascii="Times New Roman" w:hAnsi="Times New Roman" w:cs="Times New Roman"/>
          <w:sz w:val="24"/>
          <w:szCs w:val="24"/>
        </w:rPr>
        <w:t>ośrodki pomocy społecznej:</w:t>
      </w:r>
    </w:p>
    <w:p w14:paraId="152528FA" w14:textId="77777777" w:rsidR="00DB1BC8" w:rsidRDefault="00C72FA4" w:rsidP="008C71A9">
      <w:pPr>
        <w:pStyle w:val="Akapitzlist"/>
        <w:numPr>
          <w:ilvl w:val="0"/>
          <w:numId w:val="394"/>
        </w:numPr>
        <w:spacing w:after="0"/>
        <w:ind w:left="643"/>
        <w:jc w:val="both"/>
        <w:rPr>
          <w:rFonts w:ascii="Times New Roman" w:hAnsi="Times New Roman" w:cs="Times New Roman"/>
          <w:sz w:val="24"/>
          <w:szCs w:val="24"/>
        </w:rPr>
      </w:pPr>
      <w:r w:rsidRPr="00DB1BC8">
        <w:rPr>
          <w:rFonts w:ascii="Times New Roman" w:hAnsi="Times New Roman" w:cs="Times New Roman"/>
          <w:sz w:val="24"/>
          <w:szCs w:val="24"/>
        </w:rPr>
        <w:t>informowały  o należnych świadczeniach z pomocy społecznej, tj. specjalnych zasiłkach opiekuńczych osobom, które rezygnują lub nie podejmują pracy w związku z koniecznością sprawowania opieki i pielęgnacji nad najbliższym członkiem rodziny, zasiłkach pielęgnacyjnych, zasiłkach dla opiekunów, zasiłkach stałych, okresowych i celowych,</w:t>
      </w:r>
    </w:p>
    <w:p w14:paraId="4DA1B18C" w14:textId="77777777" w:rsidR="00DB1BC8" w:rsidRDefault="00C72FA4" w:rsidP="008C71A9">
      <w:pPr>
        <w:pStyle w:val="Akapitzlist"/>
        <w:numPr>
          <w:ilvl w:val="0"/>
          <w:numId w:val="394"/>
        </w:numPr>
        <w:spacing w:after="0"/>
        <w:ind w:left="643"/>
        <w:jc w:val="both"/>
        <w:rPr>
          <w:rFonts w:ascii="Times New Roman" w:hAnsi="Times New Roman" w:cs="Times New Roman"/>
          <w:sz w:val="24"/>
          <w:szCs w:val="24"/>
        </w:rPr>
      </w:pPr>
      <w:r w:rsidRPr="00DB1BC8">
        <w:rPr>
          <w:rFonts w:ascii="Times New Roman" w:hAnsi="Times New Roman" w:cs="Times New Roman"/>
          <w:sz w:val="24"/>
          <w:szCs w:val="24"/>
        </w:rPr>
        <w:t>udzielały wsparcia i pomocy w ramach pracy socjalnej świadczonej przez pracowników socjalnych,</w:t>
      </w:r>
    </w:p>
    <w:p w14:paraId="4F253794" w14:textId="77777777" w:rsidR="00DB1BC8" w:rsidRDefault="00C72FA4" w:rsidP="008C71A9">
      <w:pPr>
        <w:pStyle w:val="Akapitzlist"/>
        <w:numPr>
          <w:ilvl w:val="0"/>
          <w:numId w:val="394"/>
        </w:numPr>
        <w:spacing w:after="0"/>
        <w:ind w:left="643"/>
        <w:jc w:val="both"/>
        <w:rPr>
          <w:rFonts w:ascii="Times New Roman" w:hAnsi="Times New Roman" w:cs="Times New Roman"/>
          <w:sz w:val="24"/>
          <w:szCs w:val="24"/>
        </w:rPr>
      </w:pPr>
      <w:r w:rsidRPr="00DB1BC8">
        <w:rPr>
          <w:rFonts w:ascii="Times New Roman" w:hAnsi="Times New Roman" w:cs="Times New Roman"/>
          <w:sz w:val="24"/>
          <w:szCs w:val="24"/>
        </w:rPr>
        <w:t>udzielały pomocy w formie żywności w ramach programu Operacyjnego Pomoc Żywnościowa 2014-2020 współfinansowanego z Europejskiego Funduszu Pomocy Najbardziej Potrzebującym,</w:t>
      </w:r>
    </w:p>
    <w:p w14:paraId="61D1FBEF" w14:textId="77777777" w:rsidR="00C72FA4" w:rsidRPr="00DB1BC8" w:rsidRDefault="00C72FA4" w:rsidP="008C71A9">
      <w:pPr>
        <w:pStyle w:val="Akapitzlist"/>
        <w:numPr>
          <w:ilvl w:val="0"/>
          <w:numId w:val="394"/>
        </w:numPr>
        <w:spacing w:after="0"/>
        <w:ind w:left="643"/>
        <w:jc w:val="both"/>
        <w:rPr>
          <w:rFonts w:ascii="Times New Roman" w:hAnsi="Times New Roman" w:cs="Times New Roman"/>
          <w:sz w:val="24"/>
          <w:szCs w:val="24"/>
        </w:rPr>
      </w:pPr>
      <w:r w:rsidRPr="00DB1BC8">
        <w:rPr>
          <w:rFonts w:ascii="Times New Roman" w:hAnsi="Times New Roman" w:cs="Times New Roman"/>
          <w:sz w:val="24"/>
          <w:szCs w:val="24"/>
        </w:rPr>
        <w:t>świadczyły pomoc przy wypełnianiu wniosków i kompletowaniu dokumentów w sprawie uzyskania pomocy pieniężnej z Urzędu do Spraw Kombatantów i Osób Represjonowanych oraz stopnia niepełnosprawności,</w:t>
      </w:r>
    </w:p>
    <w:p w14:paraId="4FBAF17D" w14:textId="77777777" w:rsidR="00C72FA4" w:rsidRPr="00DB1BC8" w:rsidRDefault="00C72FA4" w:rsidP="008C71A9">
      <w:pPr>
        <w:pStyle w:val="Akapitzlist"/>
        <w:numPr>
          <w:ilvl w:val="0"/>
          <w:numId w:val="150"/>
        </w:numPr>
        <w:spacing w:after="0"/>
        <w:ind w:left="360"/>
        <w:jc w:val="both"/>
        <w:rPr>
          <w:rFonts w:ascii="Times New Roman" w:hAnsi="Times New Roman" w:cs="Times New Roman"/>
          <w:sz w:val="24"/>
          <w:szCs w:val="24"/>
        </w:rPr>
      </w:pPr>
      <w:r w:rsidRPr="00DB1BC8">
        <w:rPr>
          <w:rFonts w:ascii="Times New Roman" w:hAnsi="Times New Roman" w:cs="Times New Roman"/>
          <w:sz w:val="24"/>
          <w:szCs w:val="24"/>
        </w:rPr>
        <w:t>powiatowe centra pomocy rodzinie:</w:t>
      </w:r>
    </w:p>
    <w:p w14:paraId="51CF374E" w14:textId="77777777" w:rsidR="00C72FA4" w:rsidRPr="00DB1BC8" w:rsidRDefault="00C72FA4" w:rsidP="008C71A9">
      <w:pPr>
        <w:pStyle w:val="Akapitzlist"/>
        <w:numPr>
          <w:ilvl w:val="0"/>
          <w:numId w:val="151"/>
        </w:numPr>
        <w:spacing w:after="0"/>
        <w:ind w:left="360"/>
        <w:jc w:val="both"/>
        <w:rPr>
          <w:rFonts w:ascii="Times New Roman" w:hAnsi="Times New Roman" w:cs="Times New Roman"/>
          <w:sz w:val="24"/>
          <w:szCs w:val="24"/>
        </w:rPr>
      </w:pPr>
      <w:r w:rsidRPr="00DB1BC8">
        <w:rPr>
          <w:rFonts w:ascii="Times New Roman" w:hAnsi="Times New Roman" w:cs="Times New Roman"/>
          <w:sz w:val="24"/>
          <w:szCs w:val="24"/>
        </w:rPr>
        <w:t xml:space="preserve">informowały o formach wsparcia w zakresie: dofinansowywania do uczestnictwa </w:t>
      </w:r>
      <w:r w:rsidRPr="00DB1BC8">
        <w:rPr>
          <w:rFonts w:ascii="Times New Roman" w:hAnsi="Times New Roman" w:cs="Times New Roman"/>
          <w:sz w:val="24"/>
          <w:szCs w:val="24"/>
        </w:rPr>
        <w:br/>
        <w:t>w turnusach rehabilitacyjnych, do zaopatrzenia w sprzęt rehabilitacyjny, przedmioty ortopedyczne i środki pomocnicze, dofinansowywania sportu, kultury, rekreacji i turystyki, likwidacji barier architektonicznych, technicznych i w komunikowaniu się w miejscu zamieszkania osoby niepełnosprawnej, dofinansowania kosztów działania Warsztatów Terapii Zajęciowej,</w:t>
      </w:r>
    </w:p>
    <w:p w14:paraId="15897E96" w14:textId="77777777" w:rsidR="00DB1BC8" w:rsidRDefault="00C72FA4" w:rsidP="008C71A9">
      <w:pPr>
        <w:pStyle w:val="Akapitzlist"/>
        <w:numPr>
          <w:ilvl w:val="0"/>
          <w:numId w:val="150"/>
        </w:numPr>
        <w:spacing w:after="0"/>
        <w:ind w:left="360"/>
        <w:jc w:val="both"/>
        <w:rPr>
          <w:rFonts w:ascii="Times New Roman" w:hAnsi="Times New Roman" w:cs="Times New Roman"/>
          <w:sz w:val="24"/>
          <w:szCs w:val="24"/>
        </w:rPr>
      </w:pPr>
      <w:r w:rsidRPr="00DB1BC8">
        <w:rPr>
          <w:rFonts w:ascii="Times New Roman" w:hAnsi="Times New Roman" w:cs="Times New Roman"/>
          <w:sz w:val="24"/>
          <w:szCs w:val="24"/>
        </w:rPr>
        <w:t>miasta, gminy, powiaty:</w:t>
      </w:r>
    </w:p>
    <w:p w14:paraId="56C9EC66" w14:textId="77777777" w:rsidR="00C72FA4" w:rsidRPr="00DB1BC8" w:rsidRDefault="00C72FA4" w:rsidP="008C71A9">
      <w:pPr>
        <w:pStyle w:val="Akapitzlist"/>
        <w:numPr>
          <w:ilvl w:val="0"/>
          <w:numId w:val="151"/>
        </w:numPr>
        <w:spacing w:after="0"/>
        <w:ind w:left="643"/>
        <w:jc w:val="both"/>
        <w:rPr>
          <w:rFonts w:ascii="Times New Roman" w:hAnsi="Times New Roman" w:cs="Times New Roman"/>
          <w:sz w:val="24"/>
          <w:szCs w:val="24"/>
        </w:rPr>
      </w:pPr>
      <w:r w:rsidRPr="00DB1BC8">
        <w:rPr>
          <w:rFonts w:ascii="Times New Roman" w:hAnsi="Times New Roman" w:cs="Times New Roman"/>
          <w:sz w:val="24"/>
          <w:szCs w:val="24"/>
        </w:rPr>
        <w:t>organizowały pikniki, festyny, imprezy kulturalno – integracyjne, spotkania, konferencje, zajęcia komputerowe, rehabilitacyjno – ruchowe, pływackie, warsztatowe itp.</w:t>
      </w:r>
    </w:p>
    <w:p w14:paraId="1B7EEFD4" w14:textId="77777777" w:rsidR="00DB1BC8" w:rsidRDefault="00DB1BC8" w:rsidP="003C1988">
      <w:pPr>
        <w:rPr>
          <w:lang w:eastAsia="ar-SA"/>
        </w:rPr>
        <w:sectPr w:rsidR="00DB1BC8" w:rsidSect="00DB6308">
          <w:pgSz w:w="11900" w:h="16838"/>
          <w:pgMar w:top="1384" w:right="1386" w:bottom="1038" w:left="1380" w:header="0" w:footer="567" w:gutter="0"/>
          <w:cols w:space="0" w:equalWidth="0">
            <w:col w:w="9140"/>
          </w:cols>
          <w:docGrid w:linePitch="360"/>
        </w:sectPr>
      </w:pPr>
    </w:p>
    <w:p w14:paraId="6FC36BA2" w14:textId="077DDCC2" w:rsidR="004D48DD" w:rsidRPr="004D48DD" w:rsidRDefault="004D48DD" w:rsidP="004D48DD">
      <w:pPr>
        <w:pStyle w:val="Legenda"/>
        <w:keepNext/>
        <w:rPr>
          <w:rFonts w:ascii="Times New Roman" w:hAnsi="Times New Roman" w:cs="Times New Roman"/>
          <w:b/>
          <w:i w:val="0"/>
          <w:sz w:val="24"/>
        </w:rPr>
      </w:pPr>
      <w:bookmarkStart w:id="145" w:name="_Toc49171439"/>
      <w:r w:rsidRPr="004D48DD">
        <w:rPr>
          <w:rFonts w:ascii="Times New Roman" w:hAnsi="Times New Roman" w:cs="Times New Roman"/>
          <w:b/>
          <w:i w:val="0"/>
          <w:sz w:val="24"/>
        </w:rPr>
        <w:lastRenderedPageBreak/>
        <w:t xml:space="preserve">Tabela </w:t>
      </w:r>
      <w:r w:rsidRPr="004D48DD">
        <w:rPr>
          <w:rFonts w:ascii="Times New Roman" w:hAnsi="Times New Roman" w:cs="Times New Roman"/>
          <w:b/>
          <w:i w:val="0"/>
          <w:sz w:val="24"/>
        </w:rPr>
        <w:fldChar w:fldCharType="begin"/>
      </w:r>
      <w:r w:rsidRPr="004D48DD">
        <w:rPr>
          <w:rFonts w:ascii="Times New Roman" w:hAnsi="Times New Roman" w:cs="Times New Roman"/>
          <w:b/>
          <w:i w:val="0"/>
          <w:sz w:val="24"/>
        </w:rPr>
        <w:instrText xml:space="preserve"> SEQ Tabela \* ARABIC </w:instrText>
      </w:r>
      <w:r w:rsidRPr="004D48DD">
        <w:rPr>
          <w:rFonts w:ascii="Times New Roman" w:hAnsi="Times New Roman" w:cs="Times New Roman"/>
          <w:b/>
          <w:i w:val="0"/>
          <w:sz w:val="24"/>
        </w:rPr>
        <w:fldChar w:fldCharType="separate"/>
      </w:r>
      <w:r w:rsidR="00C154C9">
        <w:rPr>
          <w:rFonts w:ascii="Times New Roman" w:hAnsi="Times New Roman" w:cs="Times New Roman"/>
          <w:b/>
          <w:i w:val="0"/>
          <w:noProof/>
          <w:sz w:val="24"/>
        </w:rPr>
        <w:t>64</w:t>
      </w:r>
      <w:r w:rsidRPr="004D48DD">
        <w:rPr>
          <w:rFonts w:ascii="Times New Roman" w:hAnsi="Times New Roman" w:cs="Times New Roman"/>
          <w:b/>
          <w:i w:val="0"/>
          <w:sz w:val="24"/>
        </w:rPr>
        <w:fldChar w:fldCharType="end"/>
      </w:r>
      <w:r w:rsidRPr="004D48DD">
        <w:rPr>
          <w:rFonts w:ascii="Times New Roman" w:hAnsi="Times New Roman" w:cs="Times New Roman"/>
          <w:b/>
          <w:i w:val="0"/>
          <w:sz w:val="24"/>
        </w:rPr>
        <w:t xml:space="preserve"> Karta województwa podlaskiego</w:t>
      </w:r>
      <w:bookmarkEnd w:id="145"/>
    </w:p>
    <w:tbl>
      <w:tblPr>
        <w:tblStyle w:val="Tabelasiatki6kolorowaakcent11"/>
        <w:tblpPr w:leftFromText="142" w:rightFromText="142" w:vertAnchor="text" w:horzAnchor="margin" w:tblpXSpec="center" w:tblpY="1"/>
        <w:tblOverlap w:val="never"/>
        <w:tblW w:w="14741" w:type="dxa"/>
        <w:tblBorders>
          <w:top w:val="single" w:sz="12" w:space="0" w:color="9CC2E5" w:themeColor="accent1" w:themeTint="99"/>
          <w:left w:val="single" w:sz="12" w:space="0" w:color="9CC2E5" w:themeColor="accent1" w:themeTint="99"/>
          <w:bottom w:val="single" w:sz="12" w:space="0" w:color="9CC2E5" w:themeColor="accent1" w:themeTint="99"/>
          <w:right w:val="single" w:sz="12" w:space="0" w:color="9CC2E5" w:themeColor="accent1" w:themeTint="99"/>
          <w:insideH w:val="single" w:sz="12" w:space="0" w:color="9CC2E5" w:themeColor="accent1" w:themeTint="99"/>
          <w:insideV w:val="single" w:sz="12" w:space="0" w:color="9CC2E5" w:themeColor="accent1" w:themeTint="99"/>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E925C7" w:rsidRPr="00A52173" w14:paraId="59E84BF9" w14:textId="77777777" w:rsidTr="00E86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7051AF7" w14:textId="77777777" w:rsidR="00E925C7" w:rsidRPr="0099213E" w:rsidRDefault="00E925C7" w:rsidP="00E86509">
            <w:pPr>
              <w:spacing w:after="0" w:line="240" w:lineRule="auto"/>
              <w:jc w:val="center"/>
              <w:rPr>
                <w:rFonts w:ascii="Times New Roman" w:hAnsi="Times New Roman" w:cs="Times New Roman"/>
                <w:color w:val="auto"/>
              </w:rPr>
            </w:pPr>
            <w:r w:rsidRPr="0099213E">
              <w:rPr>
                <w:rFonts w:ascii="Times New Roman" w:hAnsi="Times New Roman" w:cs="Times New Roman"/>
                <w:color w:val="auto"/>
              </w:rPr>
              <w:t>WOJEWÓDZTWO PODLASKIE</w:t>
            </w:r>
          </w:p>
        </w:tc>
      </w:tr>
      <w:tr w:rsidR="00E925C7" w:rsidRPr="00A52173" w14:paraId="2C18A12F" w14:textId="77777777" w:rsidTr="000902E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FB76BEB" w14:textId="77777777" w:rsidR="00E925C7" w:rsidRPr="0099213E" w:rsidRDefault="00E925C7" w:rsidP="00E86509">
            <w:pPr>
              <w:spacing w:after="0" w:line="240" w:lineRule="auto"/>
              <w:rPr>
                <w:rFonts w:ascii="Times New Roman" w:hAnsi="Times New Roman" w:cs="Times New Roman"/>
                <w:color w:val="auto"/>
              </w:rPr>
            </w:pPr>
            <w:r w:rsidRPr="0099213E">
              <w:rPr>
                <w:rFonts w:ascii="Times New Roman" w:hAnsi="Times New Roman" w:cs="Times New Roman"/>
                <w:color w:val="auto"/>
              </w:rPr>
              <w:t>Informacja o regionie</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AB3F5C0" w14:textId="77777777" w:rsidR="00E925C7" w:rsidRPr="0099213E" w:rsidRDefault="00E925C7"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Liczba gmin</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4E7CFB8"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118</w:t>
            </w:r>
          </w:p>
        </w:tc>
      </w:tr>
      <w:tr w:rsidR="00E925C7" w:rsidRPr="00A52173" w14:paraId="429EE8F3" w14:textId="77777777" w:rsidTr="000902E0">
        <w:trPr>
          <w:trHeight w:val="11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7EC4BA9" w14:textId="77777777" w:rsidR="00E925C7" w:rsidRPr="0099213E" w:rsidRDefault="00E925C7" w:rsidP="00E86509">
            <w:pPr>
              <w:spacing w:after="0" w:line="240" w:lineRule="auto"/>
              <w:rPr>
                <w:rFonts w:ascii="Times New Roman" w:hAnsi="Times New Roman" w:cs="Times New Roman"/>
                <w:color w:val="auto"/>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F1F6617" w14:textId="77777777" w:rsidR="00E925C7" w:rsidRPr="0099213E" w:rsidRDefault="00E925C7"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Liczba powiatów</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29C5614"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14 powiatów i 3 miasta na prawach powiatu</w:t>
            </w:r>
          </w:p>
        </w:tc>
      </w:tr>
      <w:tr w:rsidR="00E925C7" w:rsidRPr="00A52173" w14:paraId="4ACCC9DF" w14:textId="77777777" w:rsidTr="000902E0">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55B8825" w14:textId="77777777" w:rsidR="00E925C7" w:rsidRPr="0099213E" w:rsidRDefault="00E925C7" w:rsidP="00E86509">
            <w:pPr>
              <w:spacing w:after="0" w:line="240" w:lineRule="auto"/>
              <w:rPr>
                <w:rFonts w:ascii="Times New Roman" w:hAnsi="Times New Roman" w:cs="Times New Roman"/>
                <w:color w:val="auto"/>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382EA6E" w14:textId="77777777" w:rsidR="00E925C7" w:rsidRPr="0099213E" w:rsidRDefault="00E925C7"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Powierzchnia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0684285"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20</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187,0 km</w:t>
            </w:r>
            <w:r w:rsidRPr="0099213E">
              <w:rPr>
                <w:rFonts w:ascii="Times New Roman" w:hAnsi="Times New Roman" w:cs="Times New Roman"/>
                <w:color w:val="auto"/>
                <w:vertAlign w:val="superscript"/>
              </w:rPr>
              <w:t>2</w:t>
            </w:r>
          </w:p>
        </w:tc>
      </w:tr>
      <w:tr w:rsidR="00E925C7" w:rsidRPr="00A52173" w14:paraId="3E1D2105"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D695CE2" w14:textId="77777777" w:rsidR="00E925C7" w:rsidRPr="0099213E" w:rsidRDefault="00E925C7" w:rsidP="00E86509">
            <w:pPr>
              <w:spacing w:after="0" w:line="240" w:lineRule="auto"/>
              <w:jc w:val="center"/>
              <w:rPr>
                <w:rFonts w:ascii="Times New Roman" w:hAnsi="Times New Roman" w:cs="Times New Roman"/>
                <w:b w:val="0"/>
                <w:color w:val="auto"/>
              </w:rPr>
            </w:pPr>
            <w:r w:rsidRPr="0099213E">
              <w:rPr>
                <w:rFonts w:ascii="Times New Roman" w:hAnsi="Times New Roman" w:cs="Times New Roman"/>
                <w:color w:val="auto"/>
              </w:rPr>
              <w:t>DEMOGRAFIA</w:t>
            </w:r>
          </w:p>
        </w:tc>
      </w:tr>
      <w:tr w:rsidR="00E925C7" w:rsidRPr="00A52173" w14:paraId="3881D98D"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E888B43" w14:textId="77777777" w:rsidR="00E925C7" w:rsidRPr="0099213E" w:rsidRDefault="00E925C7" w:rsidP="00E86509">
            <w:pPr>
              <w:spacing w:after="0" w:line="240" w:lineRule="auto"/>
              <w:jc w:val="center"/>
              <w:rPr>
                <w:rFonts w:ascii="Times New Roman" w:hAnsi="Times New Roman" w:cs="Times New Roman"/>
                <w:b w:val="0"/>
                <w:color w:val="auto"/>
                <w:lang w:eastAsia="pl-PL"/>
              </w:rPr>
            </w:pPr>
            <w:r w:rsidRPr="0099213E">
              <w:rPr>
                <w:rFonts w:ascii="Times New Roman" w:hAnsi="Times New Roman" w:cs="Times New Roman"/>
                <w:color w:val="auto"/>
                <w:lang w:eastAsia="pl-PL"/>
              </w:rPr>
              <w:t>Treść</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753905C"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2017 r.</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BD5FF8D"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2018 r.</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BB98DCE"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2019 r.</w:t>
            </w:r>
          </w:p>
        </w:tc>
      </w:tr>
      <w:tr w:rsidR="00E925C7" w:rsidRPr="00A52173" w14:paraId="3B19964B"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883B529" w14:textId="77777777" w:rsidR="00E925C7" w:rsidRPr="0099213E" w:rsidRDefault="00E925C7" w:rsidP="00E86509">
            <w:pPr>
              <w:spacing w:after="0" w:line="240" w:lineRule="auto"/>
              <w:rPr>
                <w:rFonts w:ascii="Times New Roman" w:hAnsi="Times New Roman" w:cs="Times New Roman"/>
                <w:color w:val="auto"/>
                <w:lang w:eastAsia="pl-PL"/>
              </w:rPr>
            </w:pPr>
            <w:r w:rsidRPr="0099213E">
              <w:rPr>
                <w:rFonts w:ascii="Times New Roman" w:hAnsi="Times New Roman" w:cs="Times New Roman"/>
                <w:color w:val="auto"/>
                <w:lang w:eastAsia="pl-PL"/>
              </w:rPr>
              <w:t>Populacja ogółem</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1FC9D5EA"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auto"/>
              </w:rPr>
            </w:pPr>
            <w:r w:rsidRPr="0099213E">
              <w:rPr>
                <w:rFonts w:ascii="Times New Roman" w:hAnsi="Times New Roman" w:cs="Times New Roman"/>
                <w:color w:val="auto"/>
              </w:rPr>
              <w:t>1</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184</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548</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1D203AB1"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w:t>
            </w:r>
            <w:r w:rsidR="00911382" w:rsidRPr="0099213E">
              <w:rPr>
                <w:rFonts w:ascii="Times New Roman" w:hAnsi="Times New Roman" w:cs="Times New Roman"/>
                <w:color w:val="auto"/>
              </w:rPr>
              <w:t xml:space="preserve"> </w:t>
            </w:r>
            <w:r w:rsidRPr="0099213E">
              <w:rPr>
                <w:rFonts w:ascii="Times New Roman" w:hAnsi="Times New Roman" w:cs="Times New Roman"/>
                <w:color w:val="auto"/>
              </w:rPr>
              <w:t>181</w:t>
            </w:r>
            <w:r w:rsidR="00911382" w:rsidRPr="0099213E">
              <w:rPr>
                <w:rFonts w:ascii="Times New Roman" w:hAnsi="Times New Roman" w:cs="Times New Roman"/>
                <w:color w:val="auto"/>
              </w:rPr>
              <w:t xml:space="preserve"> </w:t>
            </w:r>
            <w:r w:rsidRPr="0099213E">
              <w:rPr>
                <w:rFonts w:ascii="Times New Roman" w:hAnsi="Times New Roman" w:cs="Times New Roman"/>
                <w:color w:val="auto"/>
              </w:rPr>
              <w:t>533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7878531E"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178</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353</w:t>
            </w:r>
          </w:p>
        </w:tc>
      </w:tr>
      <w:tr w:rsidR="00E925C7" w:rsidRPr="00A52173" w14:paraId="37F5E25C"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FA78067" w14:textId="77777777" w:rsidR="00E925C7" w:rsidRPr="0099213E" w:rsidRDefault="00E925C7" w:rsidP="00E86509">
            <w:pPr>
              <w:spacing w:after="0" w:line="240" w:lineRule="auto"/>
              <w:rPr>
                <w:rFonts w:ascii="Times New Roman" w:hAnsi="Times New Roman" w:cs="Times New Roman"/>
                <w:color w:val="auto"/>
              </w:rPr>
            </w:pPr>
            <w:r w:rsidRPr="0099213E">
              <w:rPr>
                <w:rFonts w:ascii="Times New Roman" w:hAnsi="Times New Roman" w:cs="Times New Roman"/>
                <w:color w:val="auto"/>
                <w:lang w:eastAsia="pl-PL"/>
              </w:rPr>
              <w:t>w tym:</w:t>
            </w:r>
          </w:p>
        </w:tc>
      </w:tr>
      <w:tr w:rsidR="00E925C7" w:rsidRPr="00A52173" w14:paraId="76642CA2"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EF9AF52" w14:textId="77777777" w:rsidR="00E925C7" w:rsidRPr="0099213E" w:rsidRDefault="00E925C7" w:rsidP="00E86509">
            <w:pPr>
              <w:spacing w:after="0" w:line="240" w:lineRule="auto"/>
              <w:rPr>
                <w:rFonts w:ascii="Times New Roman" w:hAnsi="Times New Roman" w:cs="Times New Roman"/>
                <w:color w:val="auto"/>
              </w:rPr>
            </w:pPr>
            <w:r w:rsidRPr="0099213E">
              <w:rPr>
                <w:rFonts w:ascii="Times New Roman" w:hAnsi="Times New Roman" w:cs="Times New Roman"/>
                <w:color w:val="auto"/>
                <w:lang w:eastAsia="pl-PL"/>
              </w:rPr>
              <w:t>w wieku 60 lat i więcej</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BC7DD10"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280</w:t>
            </w:r>
            <w:r w:rsidR="003C5F4F" w:rsidRPr="0099213E">
              <w:rPr>
                <w:rFonts w:ascii="Times New Roman" w:hAnsi="Times New Roman" w:cs="Times New Roman"/>
                <w:color w:val="auto"/>
              </w:rPr>
              <w:t xml:space="preserve"> </w:t>
            </w:r>
            <w:r w:rsidRPr="0099213E">
              <w:rPr>
                <w:rFonts w:ascii="Times New Roman" w:hAnsi="Times New Roman" w:cs="Times New Roman"/>
                <w:color w:val="auto"/>
              </w:rPr>
              <w:t>643</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D78ADD1"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287</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083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9B10045"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99213E">
              <w:rPr>
                <w:rFonts w:ascii="Times New Roman" w:hAnsi="Times New Roman" w:cs="Times New Roman"/>
                <w:bCs/>
                <w:color w:val="auto"/>
              </w:rPr>
              <w:t>293</w:t>
            </w:r>
            <w:r w:rsidR="006D311C" w:rsidRPr="0099213E">
              <w:rPr>
                <w:rFonts w:ascii="Times New Roman" w:hAnsi="Times New Roman" w:cs="Times New Roman"/>
                <w:bCs/>
                <w:color w:val="auto"/>
              </w:rPr>
              <w:t xml:space="preserve"> </w:t>
            </w:r>
            <w:r w:rsidRPr="0099213E">
              <w:rPr>
                <w:rFonts w:ascii="Times New Roman" w:hAnsi="Times New Roman" w:cs="Times New Roman"/>
                <w:bCs/>
                <w:color w:val="auto"/>
              </w:rPr>
              <w:t>820</w:t>
            </w:r>
          </w:p>
        </w:tc>
      </w:tr>
      <w:tr w:rsidR="00E925C7" w:rsidRPr="00A52173" w14:paraId="04857037" w14:textId="77777777" w:rsidTr="00E86509">
        <w:trPr>
          <w:cnfStyle w:val="000000100000" w:firstRow="0" w:lastRow="0" w:firstColumn="0" w:lastColumn="0" w:oddVBand="0" w:evenVBand="0" w:oddHBand="1"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C112D52" w14:textId="77777777" w:rsidR="00E925C7" w:rsidRPr="0099213E" w:rsidRDefault="00E925C7" w:rsidP="00E86509">
            <w:pPr>
              <w:spacing w:after="0" w:line="240" w:lineRule="auto"/>
              <w:rPr>
                <w:rFonts w:ascii="Times New Roman" w:hAnsi="Times New Roman" w:cs="Times New Roman"/>
                <w:color w:val="auto"/>
                <w:lang w:eastAsia="pl-PL"/>
              </w:rPr>
            </w:pPr>
            <w:r w:rsidRPr="0099213E">
              <w:rPr>
                <w:rFonts w:ascii="Times New Roman" w:hAnsi="Times New Roman" w:cs="Times New Roman"/>
                <w:color w:val="auto"/>
                <w:lang w:eastAsia="pl-PL"/>
              </w:rPr>
              <w:t>60–64 lata</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A04A757"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80</w:t>
            </w:r>
            <w:r w:rsidR="003C5F4F" w:rsidRPr="0099213E">
              <w:rPr>
                <w:rFonts w:ascii="Times New Roman" w:hAnsi="Times New Roman" w:cs="Times New Roman"/>
                <w:color w:val="auto"/>
              </w:rPr>
              <w:t xml:space="preserve"> </w:t>
            </w:r>
            <w:r w:rsidRPr="0099213E">
              <w:rPr>
                <w:rFonts w:ascii="Times New Roman" w:hAnsi="Times New Roman" w:cs="Times New Roman"/>
                <w:color w:val="auto"/>
              </w:rPr>
              <w:t>662</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F947485"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82</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753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D46E9D5"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rPr>
            </w:pPr>
            <w:r w:rsidRPr="0099213E">
              <w:rPr>
                <w:rFonts w:ascii="Times New Roman" w:hAnsi="Times New Roman" w:cs="Times New Roman"/>
                <w:bCs/>
                <w:color w:val="auto"/>
              </w:rPr>
              <w:t>84</w:t>
            </w:r>
            <w:r w:rsidR="006D311C" w:rsidRPr="0099213E">
              <w:rPr>
                <w:rFonts w:ascii="Times New Roman" w:hAnsi="Times New Roman" w:cs="Times New Roman"/>
                <w:bCs/>
                <w:color w:val="auto"/>
              </w:rPr>
              <w:t xml:space="preserve"> </w:t>
            </w:r>
            <w:r w:rsidRPr="0099213E">
              <w:rPr>
                <w:rFonts w:ascii="Times New Roman" w:hAnsi="Times New Roman" w:cs="Times New Roman"/>
                <w:bCs/>
                <w:color w:val="auto"/>
              </w:rPr>
              <w:t>201</w:t>
            </w:r>
          </w:p>
        </w:tc>
      </w:tr>
      <w:tr w:rsidR="00E925C7" w:rsidRPr="00A52173" w14:paraId="10E5535E"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E2EADAC" w14:textId="77777777" w:rsidR="00E925C7" w:rsidRPr="0099213E" w:rsidRDefault="00E925C7" w:rsidP="00E86509">
            <w:pPr>
              <w:spacing w:after="0" w:line="240" w:lineRule="auto"/>
              <w:rPr>
                <w:rFonts w:ascii="Times New Roman" w:hAnsi="Times New Roman" w:cs="Times New Roman"/>
                <w:color w:val="auto"/>
                <w:lang w:eastAsia="pl-PL"/>
              </w:rPr>
            </w:pPr>
            <w:r w:rsidRPr="0099213E">
              <w:rPr>
                <w:rFonts w:ascii="Times New Roman" w:hAnsi="Times New Roman" w:cs="Times New Roman"/>
                <w:color w:val="auto"/>
                <w:lang w:eastAsia="pl-PL"/>
              </w:rPr>
              <w:t>65–69</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FC96219"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64</w:t>
            </w:r>
            <w:r w:rsidR="003C5F4F" w:rsidRPr="0099213E">
              <w:rPr>
                <w:rFonts w:ascii="Times New Roman" w:hAnsi="Times New Roman" w:cs="Times New Roman"/>
                <w:color w:val="auto"/>
              </w:rPr>
              <w:t xml:space="preserve"> </w:t>
            </w:r>
            <w:r w:rsidRPr="0099213E">
              <w:rPr>
                <w:rFonts w:ascii="Times New Roman" w:hAnsi="Times New Roman" w:cs="Times New Roman"/>
                <w:color w:val="auto"/>
              </w:rPr>
              <w:t>146</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BC51EEA"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65</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670</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43FDBF0"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rPr>
            </w:pPr>
            <w:r w:rsidRPr="0099213E">
              <w:rPr>
                <w:rFonts w:ascii="Times New Roman" w:hAnsi="Times New Roman" w:cs="Times New Roman"/>
                <w:bCs/>
                <w:color w:val="auto"/>
              </w:rPr>
              <w:t>67</w:t>
            </w:r>
            <w:r w:rsidR="006D311C" w:rsidRPr="0099213E">
              <w:rPr>
                <w:rFonts w:ascii="Times New Roman" w:hAnsi="Times New Roman" w:cs="Times New Roman"/>
                <w:bCs/>
                <w:color w:val="auto"/>
              </w:rPr>
              <w:t xml:space="preserve"> </w:t>
            </w:r>
            <w:r w:rsidRPr="0099213E">
              <w:rPr>
                <w:rFonts w:ascii="Times New Roman" w:hAnsi="Times New Roman" w:cs="Times New Roman"/>
                <w:bCs/>
                <w:color w:val="auto"/>
              </w:rPr>
              <w:t>632</w:t>
            </w:r>
          </w:p>
        </w:tc>
      </w:tr>
      <w:tr w:rsidR="00E925C7" w:rsidRPr="00A52173" w14:paraId="347DB42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8BBF412" w14:textId="77777777" w:rsidR="00E925C7" w:rsidRPr="0099213E" w:rsidRDefault="00E925C7" w:rsidP="00E86509">
            <w:pPr>
              <w:spacing w:after="0" w:line="240" w:lineRule="auto"/>
              <w:rPr>
                <w:rFonts w:ascii="Times New Roman" w:hAnsi="Times New Roman" w:cs="Times New Roman"/>
                <w:color w:val="auto"/>
                <w:lang w:eastAsia="pl-PL"/>
              </w:rPr>
            </w:pPr>
            <w:r w:rsidRPr="0099213E">
              <w:rPr>
                <w:rFonts w:ascii="Times New Roman" w:hAnsi="Times New Roman" w:cs="Times New Roman"/>
                <w:color w:val="auto"/>
                <w:lang w:eastAsia="pl-PL"/>
              </w:rPr>
              <w:t>70–74</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D8F35D8"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41</w:t>
            </w:r>
            <w:r w:rsidR="003C5F4F" w:rsidRPr="0099213E">
              <w:rPr>
                <w:rFonts w:ascii="Times New Roman" w:hAnsi="Times New Roman" w:cs="Times New Roman"/>
                <w:color w:val="auto"/>
              </w:rPr>
              <w:t xml:space="preserve"> </w:t>
            </w:r>
            <w:r w:rsidRPr="0099213E">
              <w:rPr>
                <w:rFonts w:ascii="Times New Roman" w:hAnsi="Times New Roman" w:cs="Times New Roman"/>
                <w:color w:val="auto"/>
              </w:rPr>
              <w:t>481</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A11A179"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44</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764</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16C5822"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48</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387</w:t>
            </w:r>
          </w:p>
        </w:tc>
      </w:tr>
      <w:tr w:rsidR="00E925C7" w:rsidRPr="00A52173" w14:paraId="27543301"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575A8B7" w14:textId="77777777" w:rsidR="00E925C7" w:rsidRPr="0099213E" w:rsidRDefault="00E925C7" w:rsidP="00E86509">
            <w:pPr>
              <w:spacing w:after="0" w:line="240" w:lineRule="auto"/>
              <w:rPr>
                <w:rFonts w:ascii="Times New Roman" w:hAnsi="Times New Roman" w:cs="Times New Roman"/>
                <w:color w:val="auto"/>
                <w:lang w:eastAsia="pl-PL"/>
              </w:rPr>
            </w:pPr>
            <w:r w:rsidRPr="0099213E">
              <w:rPr>
                <w:rFonts w:ascii="Times New Roman" w:hAnsi="Times New Roman" w:cs="Times New Roman"/>
                <w:color w:val="auto"/>
                <w:lang w:eastAsia="pl-PL"/>
              </w:rPr>
              <w:t>75–79</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DD66AAF"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36</w:t>
            </w:r>
            <w:r w:rsidR="003C5F4F" w:rsidRPr="0099213E">
              <w:rPr>
                <w:rFonts w:ascii="Times New Roman" w:hAnsi="Times New Roman" w:cs="Times New Roman"/>
                <w:color w:val="auto"/>
              </w:rPr>
              <w:t xml:space="preserve"> </w:t>
            </w:r>
            <w:r w:rsidRPr="0099213E">
              <w:rPr>
                <w:rFonts w:ascii="Times New Roman" w:hAnsi="Times New Roman" w:cs="Times New Roman"/>
                <w:color w:val="auto"/>
              </w:rPr>
              <w:t>165</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5C77079"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35</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237</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F32B4F1"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34</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415</w:t>
            </w:r>
          </w:p>
        </w:tc>
      </w:tr>
      <w:tr w:rsidR="00E925C7" w:rsidRPr="00A52173" w14:paraId="4C3E01E2"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43582B4" w14:textId="77777777" w:rsidR="00E925C7" w:rsidRPr="0099213E" w:rsidRDefault="00E925C7" w:rsidP="00E86509">
            <w:pPr>
              <w:spacing w:after="0" w:line="240" w:lineRule="auto"/>
              <w:rPr>
                <w:rFonts w:ascii="Times New Roman" w:hAnsi="Times New Roman" w:cs="Times New Roman"/>
                <w:color w:val="auto"/>
                <w:lang w:eastAsia="pl-PL"/>
              </w:rPr>
            </w:pPr>
            <w:r w:rsidRPr="0099213E">
              <w:rPr>
                <w:rFonts w:ascii="Times New Roman" w:hAnsi="Times New Roman" w:cs="Times New Roman"/>
                <w:color w:val="auto"/>
                <w:lang w:eastAsia="pl-PL"/>
              </w:rPr>
              <w:t>80–84</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3E42F52"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29</w:t>
            </w:r>
            <w:r w:rsidR="003C5F4F" w:rsidRPr="0099213E">
              <w:rPr>
                <w:rFonts w:ascii="Times New Roman" w:hAnsi="Times New Roman" w:cs="Times New Roman"/>
                <w:color w:val="auto"/>
              </w:rPr>
              <w:t xml:space="preserve"> </w:t>
            </w:r>
            <w:r w:rsidRPr="0099213E">
              <w:rPr>
                <w:rFonts w:ascii="Times New Roman" w:hAnsi="Times New Roman" w:cs="Times New Roman"/>
                <w:color w:val="auto"/>
              </w:rPr>
              <w:t>399</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3F84744"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29</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504</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6D2B387"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29</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549</w:t>
            </w:r>
          </w:p>
        </w:tc>
      </w:tr>
      <w:tr w:rsidR="00E925C7" w:rsidRPr="00A52173" w14:paraId="45C78511"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1DB0BA7" w14:textId="77777777" w:rsidR="00E925C7" w:rsidRPr="0099213E" w:rsidRDefault="00E925C7" w:rsidP="00E86509">
            <w:pPr>
              <w:spacing w:after="0" w:line="240" w:lineRule="auto"/>
              <w:rPr>
                <w:rFonts w:ascii="Times New Roman" w:hAnsi="Times New Roman" w:cs="Times New Roman"/>
                <w:color w:val="auto"/>
                <w:lang w:eastAsia="pl-PL"/>
              </w:rPr>
            </w:pPr>
            <w:r w:rsidRPr="0099213E">
              <w:rPr>
                <w:rFonts w:ascii="Times New Roman" w:hAnsi="Times New Roman" w:cs="Times New Roman"/>
                <w:color w:val="auto"/>
                <w:lang w:eastAsia="pl-PL"/>
              </w:rPr>
              <w:t>85 lat i więcej</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B5AC342"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28</w:t>
            </w:r>
            <w:r w:rsidR="003C5F4F" w:rsidRPr="0099213E">
              <w:rPr>
                <w:rFonts w:ascii="Times New Roman" w:hAnsi="Times New Roman" w:cs="Times New Roman"/>
                <w:color w:val="auto"/>
              </w:rPr>
              <w:t xml:space="preserve"> </w:t>
            </w:r>
            <w:r w:rsidRPr="0099213E">
              <w:rPr>
                <w:rFonts w:ascii="Times New Roman" w:hAnsi="Times New Roman" w:cs="Times New Roman"/>
                <w:color w:val="auto"/>
              </w:rPr>
              <w:t>790</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401A0A7"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29</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155</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D7D2A2A"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29</w:t>
            </w:r>
            <w:r w:rsidR="006D311C" w:rsidRPr="0099213E">
              <w:rPr>
                <w:rFonts w:ascii="Times New Roman" w:hAnsi="Times New Roman" w:cs="Times New Roman"/>
                <w:color w:val="auto"/>
              </w:rPr>
              <w:t xml:space="preserve"> </w:t>
            </w:r>
            <w:r w:rsidRPr="0099213E">
              <w:rPr>
                <w:rFonts w:ascii="Times New Roman" w:hAnsi="Times New Roman" w:cs="Times New Roman"/>
                <w:color w:val="auto"/>
              </w:rPr>
              <w:t>636</w:t>
            </w:r>
          </w:p>
        </w:tc>
      </w:tr>
      <w:tr w:rsidR="00E925C7" w:rsidRPr="00A52173" w14:paraId="09763B59"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248C81A" w14:textId="77777777" w:rsidR="00E925C7" w:rsidRPr="0099213E" w:rsidRDefault="00E925C7" w:rsidP="00E86509">
            <w:pPr>
              <w:spacing w:after="0" w:line="240" w:lineRule="auto"/>
              <w:rPr>
                <w:rFonts w:ascii="Times New Roman" w:hAnsi="Times New Roman" w:cs="Times New Roman"/>
                <w:bCs w:val="0"/>
                <w:color w:val="auto"/>
                <w:lang w:eastAsia="pl-PL"/>
              </w:rPr>
            </w:pPr>
            <w:r w:rsidRPr="0099213E">
              <w:rPr>
                <w:rFonts w:ascii="Times New Roman" w:hAnsi="Times New Roman" w:cs="Times New Roman"/>
                <w:color w:val="auto"/>
                <w:lang w:eastAsia="pl-PL"/>
              </w:rPr>
              <w:t>Przeciętne dalsze trwanie życia</w:t>
            </w:r>
          </w:p>
          <w:p w14:paraId="0D3148A4" w14:textId="77777777" w:rsidR="00E925C7" w:rsidRPr="0099213E" w:rsidRDefault="00E925C7" w:rsidP="00E86509">
            <w:pPr>
              <w:spacing w:after="0" w:line="240" w:lineRule="auto"/>
              <w:rPr>
                <w:rFonts w:ascii="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6BC8216"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Noworodek płci męskiej - 74,24</w:t>
            </w:r>
          </w:p>
          <w:p w14:paraId="78D75CE8"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Noworodek płci żeńskiej - 82,85</w:t>
            </w:r>
          </w:p>
          <w:p w14:paraId="79142517"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Mężczyzna w wieku 60 lat - 19,65</w:t>
            </w:r>
          </w:p>
          <w:p w14:paraId="14DFEA74"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Kobieta w wieku 60 - 25,12</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D322ACC"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Noworodek płci męskiej - 74,08</w:t>
            </w:r>
          </w:p>
          <w:p w14:paraId="38A0B8F7"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Noworodek płci żeńskiej - 82,68</w:t>
            </w:r>
          </w:p>
          <w:p w14:paraId="08E4A218"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Mężczyzna w wieku 60 lat - 19,39</w:t>
            </w:r>
          </w:p>
          <w:p w14:paraId="462B1556"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Kobieta w wieku 60 - 24,99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DDE5AEE"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Noworodek płci męskiej - 74,29</w:t>
            </w:r>
          </w:p>
          <w:p w14:paraId="565362BB"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Noworodek płci żeńskiej -  83,14</w:t>
            </w:r>
          </w:p>
          <w:p w14:paraId="57FF8CF4"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Mężczyzna w wieku 60 lat - 19,62</w:t>
            </w:r>
          </w:p>
          <w:p w14:paraId="01CF5180"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Kobieta w wieku 60 - 25,33</w:t>
            </w:r>
          </w:p>
        </w:tc>
      </w:tr>
      <w:tr w:rsidR="00E925C7" w:rsidRPr="00A52173" w14:paraId="4309A276"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7CF8061" w14:textId="77777777" w:rsidR="00E925C7" w:rsidRPr="0099213E" w:rsidRDefault="00E925C7" w:rsidP="00E86509">
            <w:pPr>
              <w:spacing w:after="0" w:line="240" w:lineRule="auto"/>
              <w:rPr>
                <w:rFonts w:ascii="Times New Roman" w:hAnsi="Times New Roman" w:cs="Times New Roman"/>
                <w:color w:val="auto"/>
                <w:lang w:eastAsia="pl-PL"/>
              </w:rPr>
            </w:pPr>
            <w:r w:rsidRPr="0099213E">
              <w:rPr>
                <w:rFonts w:ascii="Times New Roman" w:hAnsi="Times New Roman" w:cs="Times New Roman"/>
                <w:color w:val="auto"/>
                <w:lang w:eastAsia="pl-PL"/>
              </w:rPr>
              <w:t>Współczynnik feminizacji</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E7CD8CE"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105,1</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6961DAE"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105,2</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FD7F4E"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105,2</w:t>
            </w:r>
          </w:p>
        </w:tc>
      </w:tr>
      <w:tr w:rsidR="00E925C7" w:rsidRPr="00A52173" w14:paraId="28432B8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3AA5B83" w14:textId="77777777" w:rsidR="00E925C7" w:rsidRPr="0099213E" w:rsidRDefault="00E925C7" w:rsidP="00E86509">
            <w:pPr>
              <w:spacing w:after="0" w:line="240" w:lineRule="auto"/>
              <w:rPr>
                <w:rFonts w:ascii="Times New Roman" w:hAnsi="Times New Roman" w:cs="Times New Roman"/>
                <w:color w:val="auto"/>
                <w:lang w:eastAsia="pl-PL"/>
              </w:rPr>
            </w:pPr>
            <w:r w:rsidRPr="0099213E">
              <w:rPr>
                <w:rFonts w:ascii="Times New Roman" w:hAnsi="Times New Roman" w:cs="Times New Roman"/>
                <w:color w:val="auto"/>
                <w:lang w:eastAsia="pl-PL"/>
              </w:rPr>
              <w:t>Współczynnik obciążenia demograficznego osobami starszymi</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98597D8"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24,6</w:t>
            </w:r>
          </w:p>
          <w:p w14:paraId="351EF87C"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02F7DAD"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25,4</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8F4F40B" w14:textId="77777777" w:rsidR="00E925C7" w:rsidRPr="0099213E" w:rsidRDefault="00E925C7"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26,3</w:t>
            </w:r>
          </w:p>
        </w:tc>
      </w:tr>
      <w:tr w:rsidR="00E925C7" w:rsidRPr="00A52173" w14:paraId="3D0FBC55"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3EABB7B" w14:textId="77777777" w:rsidR="00E925C7" w:rsidRPr="0099213E" w:rsidRDefault="00E925C7" w:rsidP="00E86509">
            <w:pPr>
              <w:spacing w:after="0" w:line="240" w:lineRule="auto"/>
              <w:rPr>
                <w:rFonts w:ascii="Times New Roman" w:hAnsi="Times New Roman" w:cs="Times New Roman"/>
                <w:color w:val="auto"/>
                <w:lang w:eastAsia="pl-PL"/>
              </w:rPr>
            </w:pPr>
            <w:r w:rsidRPr="0099213E">
              <w:rPr>
                <w:rFonts w:ascii="Times New Roman" w:hAnsi="Times New Roman" w:cs="Times New Roman"/>
                <w:color w:val="auto"/>
                <w:lang w:eastAsia="pl-PL"/>
              </w:rPr>
              <w:t>Współczynnik zgonów</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F272FCE"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w:t>
            </w:r>
            <w:r w:rsidR="003C5F4F" w:rsidRPr="0099213E">
              <w:rPr>
                <w:rFonts w:ascii="Times New Roman" w:hAnsi="Times New Roman" w:cs="Times New Roman"/>
                <w:color w:val="auto"/>
              </w:rPr>
              <w:t xml:space="preserve"> </w:t>
            </w:r>
            <w:r w:rsidRPr="0099213E">
              <w:rPr>
                <w:rFonts w:ascii="Times New Roman" w:hAnsi="Times New Roman" w:cs="Times New Roman"/>
                <w:color w:val="auto"/>
              </w:rPr>
              <w:t>056,9</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D61CEAC"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w:t>
            </w:r>
            <w:r w:rsidR="003C5F4F" w:rsidRPr="0099213E">
              <w:rPr>
                <w:rFonts w:ascii="Times New Roman" w:hAnsi="Times New Roman" w:cs="Times New Roman"/>
                <w:color w:val="auto"/>
              </w:rPr>
              <w:t xml:space="preserve"> </w:t>
            </w:r>
            <w:r w:rsidRPr="0099213E">
              <w:rPr>
                <w:rFonts w:ascii="Times New Roman" w:hAnsi="Times New Roman" w:cs="Times New Roman"/>
                <w:color w:val="auto"/>
              </w:rPr>
              <w:t>096,6</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C427859"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w:t>
            </w:r>
            <w:r w:rsidR="003C5F4F" w:rsidRPr="0099213E">
              <w:rPr>
                <w:rFonts w:ascii="Times New Roman" w:hAnsi="Times New Roman" w:cs="Times New Roman"/>
                <w:color w:val="auto"/>
              </w:rPr>
              <w:t xml:space="preserve"> </w:t>
            </w:r>
            <w:r w:rsidRPr="0099213E">
              <w:rPr>
                <w:rFonts w:ascii="Times New Roman" w:hAnsi="Times New Roman" w:cs="Times New Roman"/>
                <w:color w:val="auto"/>
              </w:rPr>
              <w:t>059,9</w:t>
            </w:r>
          </w:p>
        </w:tc>
      </w:tr>
      <w:tr w:rsidR="00E925C7" w:rsidRPr="00A52173" w14:paraId="135FD8B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FB8E618" w14:textId="77777777" w:rsidR="00E925C7" w:rsidRPr="0099213E" w:rsidRDefault="00E925C7" w:rsidP="00E86509">
            <w:pPr>
              <w:spacing w:after="0" w:line="240" w:lineRule="auto"/>
              <w:jc w:val="center"/>
              <w:rPr>
                <w:rFonts w:ascii="Times New Roman" w:hAnsi="Times New Roman" w:cs="Times New Roman"/>
                <w:color w:val="auto"/>
              </w:rPr>
            </w:pPr>
            <w:r w:rsidRPr="0099213E">
              <w:rPr>
                <w:rFonts w:ascii="Times New Roman" w:hAnsi="Times New Roman" w:cs="Times New Roman"/>
                <w:color w:val="auto"/>
              </w:rPr>
              <w:t>SYTUACJA RODZINNA I STRUKTURA GOSPODARSTW DOMOWYCH</w:t>
            </w:r>
          </w:p>
        </w:tc>
      </w:tr>
      <w:tr w:rsidR="00E925C7" w:rsidRPr="00A52173" w14:paraId="07D2F40B"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5F09046C" w14:textId="77777777" w:rsidR="00E925C7" w:rsidRPr="0099213E" w:rsidRDefault="00E925C7" w:rsidP="00E86509">
            <w:pPr>
              <w:autoSpaceDE w:val="0"/>
              <w:autoSpaceDN w:val="0"/>
              <w:adjustRightInd w:val="0"/>
              <w:spacing w:after="0" w:line="240" w:lineRule="auto"/>
              <w:rPr>
                <w:rFonts w:ascii="Times New Roman" w:hAnsi="Times New Roman" w:cs="Times New Roman"/>
                <w:b w:val="0"/>
                <w:color w:val="auto"/>
              </w:rPr>
            </w:pPr>
            <w:r w:rsidRPr="0099213E">
              <w:rPr>
                <w:rFonts w:ascii="Times New Roman" w:hAnsi="Times New Roman" w:cs="Times New Roman"/>
                <w:b w:val="0"/>
                <w:color w:val="auto"/>
              </w:rPr>
              <w:t>Według danych uzyskanych z Narodowego Spisu Powszechnego Ludności i Mieszkań, w końcu marca 2011 r. w województwie podlaskim było 417,0 tys. gospodarstw domowych. Wśród tych gospodarstw 178,5 tys. było z osobami w wieku 60 lat i więcej, z czego 115,8 tys. z jedną osobą w tym wieku, a 62,7 tys. z dwiema lub więcej osobami w wieku senioralnym. W skład gospodarstw domowych w 2011 r. wchodziło 1</w:t>
            </w:r>
            <w:r w:rsidR="003C5F4F" w:rsidRPr="0099213E">
              <w:rPr>
                <w:rFonts w:ascii="Times New Roman" w:hAnsi="Times New Roman" w:cs="Times New Roman"/>
                <w:b w:val="0"/>
                <w:color w:val="auto"/>
              </w:rPr>
              <w:t xml:space="preserve"> </w:t>
            </w:r>
            <w:r w:rsidRPr="0099213E">
              <w:rPr>
                <w:rFonts w:ascii="Times New Roman" w:hAnsi="Times New Roman" w:cs="Times New Roman"/>
                <w:b w:val="0"/>
                <w:color w:val="auto"/>
              </w:rPr>
              <w:t>196,7 tys. osób.</w:t>
            </w:r>
          </w:p>
          <w:p w14:paraId="77FB8251" w14:textId="77777777" w:rsidR="00E925C7" w:rsidRPr="0099213E" w:rsidRDefault="00E925C7" w:rsidP="00E86509">
            <w:pPr>
              <w:autoSpaceDE w:val="0"/>
              <w:autoSpaceDN w:val="0"/>
              <w:adjustRightInd w:val="0"/>
              <w:spacing w:after="0" w:line="240" w:lineRule="auto"/>
              <w:rPr>
                <w:rFonts w:ascii="Times New Roman" w:hAnsi="Times New Roman" w:cs="Times New Roman"/>
                <w:b w:val="0"/>
                <w:color w:val="auto"/>
              </w:rPr>
            </w:pPr>
            <w:r w:rsidRPr="0099213E">
              <w:rPr>
                <w:rFonts w:ascii="Times New Roman" w:hAnsi="Times New Roman" w:cs="Times New Roman"/>
                <w:b w:val="0"/>
                <w:color w:val="auto"/>
              </w:rPr>
              <w:t>Analizując strukturę gospodarstw domowych w 2011 r. pod względem ich wielkości, można zauważyć, że jedną czwartą populacji stanowiły gospodarstwa dwuosobowe. W miastach dominujące grupy tworzyły gospodarstwa dwuosobowe (26,9%) oraz jednoosobowe (25,4%). Odmiennie sytuacja w tym zakresie kształtowała się na wsi, gdzie gospodarstwa przynajmniej pięcioosobowe stanowiły aż 25,8% ogółu gospodarstw domowych i były najliczniejszą grupą.</w:t>
            </w:r>
          </w:p>
          <w:p w14:paraId="06C34A86" w14:textId="77777777" w:rsidR="00E925C7" w:rsidRPr="0099213E" w:rsidRDefault="00E925C7" w:rsidP="00E86509">
            <w:pPr>
              <w:autoSpaceDE w:val="0"/>
              <w:autoSpaceDN w:val="0"/>
              <w:adjustRightInd w:val="0"/>
              <w:spacing w:after="0" w:line="240" w:lineRule="auto"/>
              <w:rPr>
                <w:rFonts w:ascii="Times New Roman" w:hAnsi="Times New Roman" w:cs="Times New Roman"/>
                <w:b w:val="0"/>
                <w:color w:val="auto"/>
              </w:rPr>
            </w:pPr>
            <w:r w:rsidRPr="0099213E">
              <w:rPr>
                <w:rFonts w:ascii="Times New Roman" w:hAnsi="Times New Roman" w:cs="Times New Roman"/>
                <w:b w:val="0"/>
                <w:color w:val="auto"/>
              </w:rPr>
              <w:lastRenderedPageBreak/>
              <w:t>Według wyników spisu, w 2011 r. w województwie podlaskim przeciętna liczba osób w gospodarstwie domowym wynosiła 2,87, przy czym na terenach miejskich ukształtowała się na poziomie 2,65, a na wsi – 3,28.</w:t>
            </w:r>
          </w:p>
          <w:p w14:paraId="0D0EBC24" w14:textId="77777777" w:rsidR="00E925C7" w:rsidRPr="0099213E" w:rsidRDefault="00E925C7" w:rsidP="00E86509">
            <w:pPr>
              <w:autoSpaceDE w:val="0"/>
              <w:autoSpaceDN w:val="0"/>
              <w:adjustRightInd w:val="0"/>
              <w:spacing w:after="0" w:line="240" w:lineRule="auto"/>
              <w:rPr>
                <w:rFonts w:ascii="Times New Roman" w:hAnsi="Times New Roman" w:cs="Times New Roman"/>
                <w:b w:val="0"/>
                <w:color w:val="auto"/>
              </w:rPr>
            </w:pPr>
            <w:r w:rsidRPr="0099213E">
              <w:rPr>
                <w:rFonts w:ascii="Times New Roman" w:hAnsi="Times New Roman" w:cs="Times New Roman"/>
                <w:b w:val="0"/>
                <w:color w:val="auto"/>
              </w:rPr>
              <w:t>Liczba rodzin w województwie podlaskim w 2011 r. kształtowała się na poziomie 330,3 tys., a w ich skład wchodziło 1</w:t>
            </w:r>
            <w:r w:rsidR="003C5F4F" w:rsidRPr="0099213E">
              <w:rPr>
                <w:rFonts w:ascii="Times New Roman" w:hAnsi="Times New Roman" w:cs="Times New Roman"/>
                <w:b w:val="0"/>
                <w:color w:val="auto"/>
              </w:rPr>
              <w:t xml:space="preserve"> </w:t>
            </w:r>
            <w:r w:rsidRPr="0099213E">
              <w:rPr>
                <w:rFonts w:ascii="Times New Roman" w:hAnsi="Times New Roman" w:cs="Times New Roman"/>
                <w:b w:val="0"/>
                <w:color w:val="auto"/>
              </w:rPr>
              <w:t>057,0 tys. osób. Wśród ogółu rodzin przeważały małżeństwa, których udział wynosił 75,4%. Matki z dziećmi stanowiły 19,6% ogólnej zbiorowości rodzin w województwie, ojcowie z dziećmi tworzyli 3,3% rodzin, a partnerzy – 1,8%.</w:t>
            </w:r>
          </w:p>
          <w:p w14:paraId="0954732B" w14:textId="77777777" w:rsidR="00E925C7" w:rsidRPr="0099213E" w:rsidRDefault="00E925C7" w:rsidP="00E86509">
            <w:pPr>
              <w:spacing w:after="0" w:line="240" w:lineRule="auto"/>
              <w:rPr>
                <w:rFonts w:ascii="Times New Roman" w:hAnsi="Times New Roman" w:cs="Times New Roman"/>
                <w:b w:val="0"/>
                <w:color w:val="auto"/>
              </w:rPr>
            </w:pPr>
          </w:p>
        </w:tc>
      </w:tr>
      <w:tr w:rsidR="00E925C7" w:rsidRPr="00A52173" w14:paraId="7F8D39E9"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2E8FF0C" w14:textId="77777777" w:rsidR="00E925C7" w:rsidRPr="0099213E" w:rsidRDefault="00E925C7" w:rsidP="00E86509">
            <w:pPr>
              <w:spacing w:after="0" w:line="240" w:lineRule="auto"/>
              <w:jc w:val="center"/>
              <w:rPr>
                <w:rFonts w:ascii="Times New Roman" w:hAnsi="Times New Roman" w:cs="Times New Roman"/>
                <w:color w:val="auto"/>
              </w:rPr>
            </w:pPr>
            <w:r w:rsidRPr="0099213E">
              <w:rPr>
                <w:rFonts w:ascii="Times New Roman" w:hAnsi="Times New Roman" w:cs="Times New Roman"/>
                <w:color w:val="auto"/>
              </w:rPr>
              <w:lastRenderedPageBreak/>
              <w:t>SYTUACJA OSÓB NIEPEŁNOSPRAWNYCH I ICH OPIEKUNÓW</w:t>
            </w:r>
          </w:p>
        </w:tc>
      </w:tr>
      <w:tr w:rsidR="00E925C7" w:rsidRPr="00A52173" w14:paraId="3DAF7CB6"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06BE4B60" w14:textId="44D2895C" w:rsidR="00E925C7" w:rsidRPr="0099213E" w:rsidRDefault="00E925C7" w:rsidP="00E86509">
            <w:pPr>
              <w:autoSpaceDE w:val="0"/>
              <w:autoSpaceDN w:val="0"/>
              <w:adjustRightInd w:val="0"/>
              <w:spacing w:after="0" w:line="240" w:lineRule="auto"/>
              <w:rPr>
                <w:rFonts w:ascii="Times New Roman" w:hAnsi="Times New Roman" w:cs="Times New Roman"/>
                <w:b w:val="0"/>
                <w:color w:val="auto"/>
              </w:rPr>
            </w:pPr>
            <w:r w:rsidRPr="0099213E">
              <w:rPr>
                <w:rFonts w:ascii="Times New Roman" w:hAnsi="Times New Roman" w:cs="Times New Roman"/>
                <w:b w:val="0"/>
                <w:color w:val="auto"/>
              </w:rPr>
              <w:t>Według wyników spisu, w 2011 r. wśród mieszkańców województwa podlaskiego zanotowano 131,8 tys. osób niepełnosprawnych, co stanowiło 11,0% ogólnej populacji ludności. Wśród niepełnosprawnych było 84,2 tys. osób niepełnosprawnych prawnie oraz 47,5 tys. osób niepełnosprawnych tylko biologicznie, tzn. nieposiadających orzeczenia prawnego, natomiast odczuwających ograniczenia sprawności. Wśród ogółu niepełnosprawnych przeważały kobiety, które stanowiły 53,8% omawianej zbiorowości. Analizując strukturę osób niepełnosprawnych według posiadanego stopnia niepełnosprawności należy zauważyć, iż dominowały osoby o umiarkowanym stopniu niepełnosprawności – 34,7%, osób o znacznym stopniu niepełnosprawności było</w:t>
            </w:r>
            <w:r w:rsidR="007922E4">
              <w:rPr>
                <w:rFonts w:ascii="Times New Roman" w:hAnsi="Times New Roman" w:cs="Times New Roman"/>
                <w:b w:val="0"/>
                <w:color w:val="auto"/>
              </w:rPr>
              <w:t xml:space="preserve"> 33,2%, natomiast lekkim 25,2%.</w:t>
            </w:r>
          </w:p>
          <w:p w14:paraId="3761CAD7" w14:textId="4D4C3DB8" w:rsidR="00E925C7" w:rsidRPr="0099213E" w:rsidRDefault="00E925C7" w:rsidP="007922E4">
            <w:pPr>
              <w:autoSpaceDE w:val="0"/>
              <w:autoSpaceDN w:val="0"/>
              <w:adjustRightInd w:val="0"/>
              <w:spacing w:after="0" w:line="240" w:lineRule="auto"/>
              <w:rPr>
                <w:rFonts w:ascii="Times New Roman" w:hAnsi="Times New Roman" w:cs="Times New Roman"/>
                <w:b w:val="0"/>
                <w:color w:val="auto"/>
              </w:rPr>
            </w:pPr>
            <w:r w:rsidRPr="0099213E">
              <w:rPr>
                <w:rFonts w:ascii="Times New Roman" w:hAnsi="Times New Roman" w:cs="Times New Roman"/>
                <w:b w:val="0"/>
                <w:color w:val="auto"/>
              </w:rPr>
              <w:t>W 2011 r. wśród ogółu ludności w wieku przedprodukcyjnym niepełnosprawni stanowili zaledwie 2,3%. W kolejnych grupach wiekowych udział niepełnosprawnych wzrastał. W populacji osób w wieku produkcyjnym wyniósł on 7,6%, przy czym w wieku mobilnym ukształtował się na poziomie 3,5%, natomiast w wieku niemobilnym na poziomie 14,7%. Największe nasilenie niepełnosprawności zaobserwowano wśród ludności w wieku poprodukcyjnym, gdzie 32,3% osób było niepełnosprawn</w:t>
            </w:r>
            <w:r w:rsidR="007922E4">
              <w:rPr>
                <w:rFonts w:ascii="Times New Roman" w:hAnsi="Times New Roman" w:cs="Times New Roman"/>
                <w:b w:val="0"/>
                <w:color w:val="auto"/>
              </w:rPr>
              <w:t>ych (prawnie lub biologicznie).</w:t>
            </w:r>
          </w:p>
        </w:tc>
      </w:tr>
      <w:tr w:rsidR="00E925C7" w:rsidRPr="00A52173" w14:paraId="6EECA516"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0502D75" w14:textId="77777777" w:rsidR="00E925C7" w:rsidRPr="0099213E" w:rsidRDefault="00E925C7" w:rsidP="00E86509">
            <w:pPr>
              <w:spacing w:after="0" w:line="240" w:lineRule="auto"/>
              <w:jc w:val="center"/>
              <w:rPr>
                <w:rFonts w:ascii="Times New Roman" w:hAnsi="Times New Roman" w:cs="Times New Roman"/>
                <w:color w:val="auto"/>
              </w:rPr>
            </w:pPr>
            <w:r w:rsidRPr="0099213E">
              <w:rPr>
                <w:rFonts w:ascii="Times New Roman" w:hAnsi="Times New Roman" w:cs="Times New Roman"/>
                <w:color w:val="auto"/>
              </w:rPr>
              <w:t>STAN ZDROWIA OSÓB STARSZYCH / INFRASTRUKTURA SŁUŻBY ZDROWIA - DANE ZA 2019 r.</w:t>
            </w:r>
          </w:p>
        </w:tc>
      </w:tr>
      <w:tr w:rsidR="00E925C7" w:rsidRPr="00A52173" w14:paraId="03A636D8" w14:textId="77777777" w:rsidTr="00E86509">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786370E" w14:textId="0D58C44B" w:rsidR="00E925C7" w:rsidRPr="0099213E" w:rsidRDefault="00E925C7" w:rsidP="00E86509">
            <w:pPr>
              <w:spacing w:after="0" w:line="240" w:lineRule="auto"/>
              <w:rPr>
                <w:rFonts w:ascii="Times New Roman" w:hAnsi="Times New Roman" w:cs="Times New Roman"/>
                <w:b w:val="0"/>
                <w:color w:val="auto"/>
                <w:lang w:eastAsia="pl-PL"/>
              </w:rPr>
            </w:pPr>
            <w:r w:rsidRPr="0099213E">
              <w:rPr>
                <w:rFonts w:ascii="Times New Roman" w:hAnsi="Times New Roman" w:cs="Times New Roman"/>
                <w:color w:val="auto"/>
                <w:lang w:eastAsia="pl-PL"/>
              </w:rPr>
              <w:t>Domin</w:t>
            </w:r>
            <w:r w:rsidR="007922E4">
              <w:rPr>
                <w:rFonts w:ascii="Times New Roman" w:hAnsi="Times New Roman" w:cs="Times New Roman"/>
                <w:color w:val="auto"/>
                <w:lang w:eastAsia="pl-PL"/>
              </w:rPr>
              <w:t>ujące schorzenia osób starszych</w:t>
            </w:r>
            <w:r w:rsidR="007922E4">
              <w:rPr>
                <w:rStyle w:val="Odwoanieprzypisudolnego"/>
                <w:rFonts w:ascii="Times New Roman" w:hAnsi="Times New Roman" w:cs="Times New Roman"/>
                <w:color w:val="auto"/>
                <w:lang w:eastAsia="pl-PL"/>
              </w:rPr>
              <w:footnoteReference w:id="177"/>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2FAC384"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Nazwa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92B77F8" w14:textId="77777777" w:rsidR="00E925C7" w:rsidRPr="0099213E" w:rsidRDefault="00E925C7"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Liczba osób starszych</w:t>
            </w:r>
          </w:p>
        </w:tc>
      </w:tr>
      <w:tr w:rsidR="007922E4" w:rsidRPr="00A52173" w14:paraId="6FE4FCF7"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extDirection w:val="btLr"/>
          </w:tcPr>
          <w:p w14:paraId="1A92B677" w14:textId="77777777" w:rsidR="007922E4" w:rsidRPr="0099213E" w:rsidRDefault="007922E4" w:rsidP="007922E4">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96EBD57" w14:textId="6A929047" w:rsidR="007922E4" w:rsidRPr="0099213E" w:rsidRDefault="007922E4" w:rsidP="007922E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576CB">
              <w:rPr>
                <w:rFonts w:ascii="Times New Roman" w:hAnsi="Times New Roman" w:cs="Times New Roman"/>
                <w:b/>
                <w:color w:val="auto"/>
              </w:rPr>
              <w:t>1.</w:t>
            </w:r>
            <w:r>
              <w:rPr>
                <w:rFonts w:ascii="Times New Roman" w:hAnsi="Times New Roman" w:cs="Times New Roman"/>
                <w:color w:val="auto"/>
              </w:rPr>
              <w:t xml:space="preserve"> Choroby układu krążenia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862585E" w14:textId="13B5DB7F" w:rsidR="007922E4" w:rsidRPr="0099213E" w:rsidRDefault="007922E4" w:rsidP="007922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4 545</w:t>
            </w:r>
          </w:p>
        </w:tc>
      </w:tr>
      <w:tr w:rsidR="007922E4" w:rsidRPr="00A52173" w14:paraId="7B2AC8A8"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EC98272" w14:textId="77777777" w:rsidR="007922E4" w:rsidRPr="0099213E" w:rsidRDefault="007922E4" w:rsidP="007922E4">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39E2CD9" w14:textId="488F5FB9" w:rsidR="007922E4" w:rsidRPr="0099213E" w:rsidRDefault="007922E4" w:rsidP="007922E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576CB">
              <w:rPr>
                <w:rFonts w:ascii="Times New Roman" w:hAnsi="Times New Roman" w:cs="Times New Roman"/>
                <w:b/>
                <w:color w:val="auto"/>
              </w:rPr>
              <w:t>2.</w:t>
            </w:r>
            <w:r>
              <w:rPr>
                <w:rFonts w:ascii="Times New Roman" w:hAnsi="Times New Roman" w:cs="Times New Roman"/>
                <w:color w:val="auto"/>
              </w:rPr>
              <w:t xml:space="preserve"> Choroba nadciśnieniowa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62B6E13" w14:textId="3F58240F" w:rsidR="007922E4" w:rsidRPr="0099213E" w:rsidRDefault="007922E4" w:rsidP="007922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3 393</w:t>
            </w:r>
          </w:p>
        </w:tc>
      </w:tr>
      <w:tr w:rsidR="007922E4" w:rsidRPr="00A52173" w14:paraId="1805A11A"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360DBAE" w14:textId="77777777" w:rsidR="007922E4" w:rsidRPr="0099213E" w:rsidRDefault="007922E4" w:rsidP="007922E4">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5D8656C" w14:textId="21EE2010" w:rsidR="007922E4" w:rsidRPr="0099213E" w:rsidRDefault="007922E4" w:rsidP="007922E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576CB">
              <w:rPr>
                <w:rFonts w:ascii="Times New Roman" w:hAnsi="Times New Roman" w:cs="Times New Roman"/>
                <w:b/>
                <w:color w:val="auto"/>
              </w:rPr>
              <w:t>3.</w:t>
            </w:r>
            <w:r>
              <w:rPr>
                <w:rFonts w:ascii="Times New Roman" w:hAnsi="Times New Roman" w:cs="Times New Roman"/>
                <w:color w:val="auto"/>
              </w:rPr>
              <w:t xml:space="preserve"> Choroby układu mięśniowo-kostnego i tkanki łącznej</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9B7B773" w14:textId="4750C488" w:rsidR="007922E4" w:rsidRPr="0099213E" w:rsidRDefault="007922E4" w:rsidP="007922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1 860</w:t>
            </w:r>
          </w:p>
        </w:tc>
      </w:tr>
      <w:tr w:rsidR="007922E4" w:rsidRPr="00A52173" w14:paraId="62545712"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B0232B2" w14:textId="77777777" w:rsidR="007922E4" w:rsidRPr="0099213E" w:rsidRDefault="007922E4" w:rsidP="007922E4">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E5F9EC0" w14:textId="7F203D9F" w:rsidR="007922E4" w:rsidRPr="0099213E" w:rsidRDefault="007922E4" w:rsidP="007922E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576CB">
              <w:rPr>
                <w:rFonts w:ascii="Times New Roman" w:hAnsi="Times New Roman" w:cs="Times New Roman"/>
                <w:b/>
                <w:color w:val="auto"/>
              </w:rPr>
              <w:t>4.</w:t>
            </w:r>
            <w:r>
              <w:rPr>
                <w:rFonts w:ascii="Times New Roman" w:hAnsi="Times New Roman" w:cs="Times New Roman"/>
                <w:color w:val="auto"/>
              </w:rPr>
              <w:t xml:space="preserve"> Cukrzyca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559D530" w14:textId="12E8EFA1" w:rsidR="007922E4" w:rsidRPr="0099213E" w:rsidRDefault="007922E4" w:rsidP="007922E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909</w:t>
            </w:r>
          </w:p>
        </w:tc>
      </w:tr>
      <w:tr w:rsidR="007922E4" w:rsidRPr="00A52173" w14:paraId="5F63303C"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89D3610" w14:textId="77777777" w:rsidR="007922E4" w:rsidRPr="0099213E" w:rsidRDefault="007922E4" w:rsidP="007922E4">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22FEC90" w14:textId="3DA04E89" w:rsidR="007922E4" w:rsidRPr="0099213E" w:rsidRDefault="007922E4" w:rsidP="007922E4">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576CB">
              <w:rPr>
                <w:rFonts w:ascii="Times New Roman" w:hAnsi="Times New Roman" w:cs="Times New Roman"/>
                <w:b/>
                <w:color w:val="auto"/>
              </w:rPr>
              <w:t>5.</w:t>
            </w:r>
            <w:r>
              <w:rPr>
                <w:rFonts w:ascii="Times New Roman" w:hAnsi="Times New Roman" w:cs="Times New Roman"/>
                <w:color w:val="auto"/>
              </w:rPr>
              <w:t xml:space="preserve"> Choroby obwodowego układu nerwowego</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393279B" w14:textId="49F1A2EE" w:rsidR="007922E4" w:rsidRPr="0099213E" w:rsidRDefault="007922E4" w:rsidP="007922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631</w:t>
            </w:r>
          </w:p>
        </w:tc>
      </w:tr>
      <w:tr w:rsidR="007922E4" w:rsidRPr="00A52173" w14:paraId="0072CF25"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B3E6036" w14:textId="77777777" w:rsidR="007922E4" w:rsidRPr="0099213E" w:rsidRDefault="007922E4" w:rsidP="007922E4">
            <w:pPr>
              <w:spacing w:after="0" w:line="240" w:lineRule="auto"/>
              <w:rPr>
                <w:rFonts w:ascii="Times New Roman" w:hAnsi="Times New Roman" w:cs="Times New Roman"/>
                <w:b w:val="0"/>
                <w:color w:val="auto"/>
                <w:lang w:eastAsia="pl-PL"/>
              </w:rPr>
            </w:pPr>
            <w:r w:rsidRPr="0099213E">
              <w:rPr>
                <w:rFonts w:ascii="Times New Roman" w:hAnsi="Times New Roman" w:cs="Times New Roman"/>
                <w:color w:val="auto"/>
                <w:lang w:eastAsia="pl-PL"/>
              </w:rPr>
              <w:t>Liczba osób starszych objętych czynną opieką lekarza POZ</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2FDDF78" w14:textId="77777777" w:rsidR="007922E4" w:rsidRPr="0099213E" w:rsidRDefault="007922E4" w:rsidP="007922E4">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1 807,2 tys.- liczba porad udzielonych w ramach POZ osobom w wieku 65 lat i więcej</w:t>
            </w:r>
          </w:p>
        </w:tc>
      </w:tr>
      <w:tr w:rsidR="007922E4" w:rsidRPr="00A52173" w14:paraId="2C5B24C7" w14:textId="77777777" w:rsidTr="00E8650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F817C08" w14:textId="4A36BC2A" w:rsidR="007922E4" w:rsidRPr="0099213E" w:rsidRDefault="007922E4" w:rsidP="007922E4">
            <w:pPr>
              <w:spacing w:after="0" w:line="240" w:lineRule="auto"/>
              <w:rPr>
                <w:rFonts w:ascii="Times New Roman" w:hAnsi="Times New Roman" w:cs="Times New Roman"/>
                <w:b w:val="0"/>
                <w:color w:val="auto"/>
                <w:lang w:eastAsia="pl-PL"/>
              </w:rPr>
            </w:pPr>
            <w:r w:rsidRPr="0099213E">
              <w:rPr>
                <w:rFonts w:ascii="Times New Roman" w:hAnsi="Times New Roman" w:cs="Times New Roman"/>
                <w:color w:val="auto"/>
                <w:lang w:eastAsia="pl-PL"/>
              </w:rPr>
              <w:t>Najczęstsze przyczyny hospitalizacji osób starszych</w:t>
            </w:r>
            <w:r w:rsidR="00D576CB">
              <w:rPr>
                <w:rStyle w:val="Odwoanieprzypisudolnego"/>
                <w:rFonts w:ascii="Times New Roman" w:hAnsi="Times New Roman" w:cs="Times New Roman"/>
                <w:color w:val="auto"/>
                <w:lang w:eastAsia="pl-PL"/>
              </w:rPr>
              <w:footnoteReference w:id="178"/>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5802496" w14:textId="77777777" w:rsidR="007922E4" w:rsidRPr="0099213E" w:rsidRDefault="007922E4" w:rsidP="007922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Przyczyna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0086018" w14:textId="77777777" w:rsidR="007922E4" w:rsidRPr="0099213E" w:rsidRDefault="007922E4" w:rsidP="007922E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Liczba osób starszych</w:t>
            </w:r>
          </w:p>
        </w:tc>
      </w:tr>
      <w:tr w:rsidR="00D576CB" w:rsidRPr="00A52173" w14:paraId="449837FD"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F9EB8A4"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71E36F5" w14:textId="4A132A92"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576CB">
              <w:rPr>
                <w:rFonts w:ascii="Times New Roman" w:hAnsi="Times New Roman" w:cs="Times New Roman"/>
                <w:b/>
                <w:color w:val="auto"/>
              </w:rPr>
              <w:t>1.</w:t>
            </w:r>
            <w:r>
              <w:rPr>
                <w:rFonts w:ascii="Times New Roman" w:hAnsi="Times New Roman" w:cs="Times New Roman"/>
                <w:color w:val="auto"/>
              </w:rPr>
              <w:t xml:space="preserve"> Niewydolność  serca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D2F2480" w14:textId="5C54F42F"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9 414</w:t>
            </w:r>
          </w:p>
        </w:tc>
      </w:tr>
      <w:tr w:rsidR="00D576CB" w:rsidRPr="00A52173" w14:paraId="4020E1E3"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EA8B78F"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996A9D6" w14:textId="71109572"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576CB">
              <w:rPr>
                <w:rFonts w:ascii="Times New Roman" w:hAnsi="Times New Roman" w:cs="Times New Roman"/>
                <w:b/>
                <w:color w:val="auto"/>
              </w:rPr>
              <w:t>2.</w:t>
            </w:r>
            <w:r>
              <w:rPr>
                <w:rFonts w:ascii="Times New Roman" w:hAnsi="Times New Roman" w:cs="Times New Roman"/>
                <w:color w:val="auto"/>
              </w:rPr>
              <w:t xml:space="preserve"> Inna opieka medyczna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3FE5C1F" w14:textId="24422F20"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4 160</w:t>
            </w:r>
          </w:p>
        </w:tc>
      </w:tr>
      <w:tr w:rsidR="00D576CB" w:rsidRPr="00A52173" w14:paraId="6AC43A9C"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8868606"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D075BC" w14:textId="29926D41"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576CB">
              <w:rPr>
                <w:rFonts w:ascii="Times New Roman" w:hAnsi="Times New Roman" w:cs="Times New Roman"/>
                <w:b/>
                <w:color w:val="auto"/>
              </w:rPr>
              <w:t>3.</w:t>
            </w:r>
            <w:r>
              <w:rPr>
                <w:rFonts w:ascii="Times New Roman" w:hAnsi="Times New Roman" w:cs="Times New Roman"/>
                <w:color w:val="auto"/>
              </w:rPr>
              <w:t xml:space="preserve"> Przewlekła choroba niedokrwienna serca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7419A2B" w14:textId="71761314"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2 902</w:t>
            </w:r>
          </w:p>
        </w:tc>
      </w:tr>
      <w:tr w:rsidR="00D576CB" w:rsidRPr="00A52173" w14:paraId="3D24FE03"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5096E75"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5DF34AD" w14:textId="685F2F20"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D576CB">
              <w:rPr>
                <w:rFonts w:ascii="Times New Roman" w:hAnsi="Times New Roman" w:cs="Times New Roman"/>
                <w:b/>
                <w:color w:val="auto"/>
              </w:rPr>
              <w:t>4.</w:t>
            </w:r>
            <w:r>
              <w:rPr>
                <w:rFonts w:ascii="Times New Roman" w:hAnsi="Times New Roman" w:cs="Times New Roman"/>
                <w:color w:val="auto"/>
              </w:rPr>
              <w:t xml:space="preserve"> Choroba zwyrodnieniowa stawów kolanowych</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EF4B732" w14:textId="269FD17E"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2 062</w:t>
            </w:r>
          </w:p>
        </w:tc>
      </w:tr>
      <w:tr w:rsidR="00D576CB" w:rsidRPr="00A52173" w14:paraId="34D92F86"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F3194E0"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C2942C5" w14:textId="24226B11"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D576CB">
              <w:rPr>
                <w:rFonts w:ascii="Times New Roman" w:hAnsi="Times New Roman" w:cs="Times New Roman"/>
                <w:b/>
                <w:color w:val="auto"/>
              </w:rPr>
              <w:t>5.</w:t>
            </w:r>
            <w:r>
              <w:rPr>
                <w:rFonts w:ascii="Times New Roman" w:hAnsi="Times New Roman" w:cs="Times New Roman"/>
                <w:color w:val="auto"/>
              </w:rPr>
              <w:t xml:space="preserve"> Migotanie i trzepotanie przedsionków</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5F360E7" w14:textId="57723F05"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1 848</w:t>
            </w:r>
          </w:p>
        </w:tc>
      </w:tr>
      <w:tr w:rsidR="00D576CB" w:rsidRPr="00A52173" w14:paraId="705E52D8"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B00E49A" w14:textId="77777777" w:rsidR="00D576CB" w:rsidRPr="0099213E" w:rsidRDefault="00D576CB" w:rsidP="00D576CB">
            <w:pPr>
              <w:spacing w:after="0" w:line="240" w:lineRule="auto"/>
              <w:rPr>
                <w:rFonts w:ascii="Times New Roman" w:hAnsi="Times New Roman" w:cs="Times New Roman"/>
                <w:b w:val="0"/>
                <w:bCs w:val="0"/>
                <w:color w:val="auto"/>
              </w:rPr>
            </w:pPr>
            <w:r w:rsidRPr="0099213E">
              <w:rPr>
                <w:rFonts w:ascii="Times New Roman" w:hAnsi="Times New Roman" w:cs="Times New Roman"/>
                <w:color w:val="auto"/>
                <w:lang w:eastAsia="pl-PL"/>
              </w:rPr>
              <w:t>Infrastruktura służby zdrowia</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C4E8EE9"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99213E">
              <w:rPr>
                <w:rFonts w:ascii="Times New Roman" w:hAnsi="Times New Roman" w:cs="Times New Roman"/>
                <w:b/>
                <w:color w:val="auto"/>
              </w:rPr>
              <w:t>Rodzaj placówki</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CCD4581"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Liczba placówek</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9F03CEE"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Liczba łóżek dla osób starszych</w:t>
            </w:r>
          </w:p>
        </w:tc>
      </w:tr>
      <w:tr w:rsidR="00D576CB" w:rsidRPr="00A52173" w14:paraId="54D62526"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D9D273F" w14:textId="77777777" w:rsidR="00D576CB" w:rsidRPr="0099213E" w:rsidRDefault="00D576CB" w:rsidP="00D576CB">
            <w:pPr>
              <w:spacing w:after="0" w:line="240" w:lineRule="auto"/>
              <w:rPr>
                <w:rFonts w:ascii="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0F7829D"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Oddziałów / pododdziałów geriatrycznych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25A9C12"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92252FB"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17</w:t>
            </w:r>
          </w:p>
        </w:tc>
      </w:tr>
      <w:tr w:rsidR="00D576CB" w:rsidRPr="00A52173" w14:paraId="42F16D5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65C04F6" w14:textId="77777777" w:rsidR="00D576CB" w:rsidRPr="0099213E" w:rsidRDefault="00D576CB" w:rsidP="00D576CB">
            <w:pPr>
              <w:spacing w:after="0" w:line="240" w:lineRule="auto"/>
              <w:rPr>
                <w:rFonts w:ascii="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3372943"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Poradni geriatrycznych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636A549"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96FD955"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Nie dotyczy</w:t>
            </w:r>
          </w:p>
        </w:tc>
      </w:tr>
      <w:tr w:rsidR="00D576CB" w:rsidRPr="00A52173" w14:paraId="49D18E5D" w14:textId="77777777" w:rsidTr="00E86509">
        <w:trPr>
          <w:trHeight w:val="5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2FD80AC" w14:textId="77777777" w:rsidR="00D576CB" w:rsidRPr="0099213E" w:rsidRDefault="00D576CB" w:rsidP="00D576CB">
            <w:pPr>
              <w:spacing w:after="0" w:line="240" w:lineRule="auto"/>
              <w:rPr>
                <w:rFonts w:ascii="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23E11F1"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Zakładów opiekuńczo-leczniczych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242FAA7"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15</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E96CA0A"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373</w:t>
            </w:r>
          </w:p>
        </w:tc>
      </w:tr>
      <w:tr w:rsidR="00D576CB" w:rsidRPr="00A52173" w14:paraId="1EF80A59"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74F707D" w14:textId="77777777" w:rsidR="00D576CB" w:rsidRPr="0099213E" w:rsidRDefault="00D576CB" w:rsidP="00D576CB">
            <w:pPr>
              <w:spacing w:after="0" w:line="240" w:lineRule="auto"/>
              <w:rPr>
                <w:rFonts w:ascii="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D9B11B4"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Zakładów pielęgnacyjno-opiekuńczych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102D2E7"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11</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4619759"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448</w:t>
            </w:r>
          </w:p>
        </w:tc>
      </w:tr>
      <w:tr w:rsidR="00D576CB" w:rsidRPr="00A52173" w14:paraId="58B5BCC4"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CB1CA15" w14:textId="77777777" w:rsidR="00D576CB" w:rsidRPr="0099213E" w:rsidRDefault="00D576CB" w:rsidP="00D576CB">
            <w:pPr>
              <w:spacing w:after="0" w:line="240" w:lineRule="auto"/>
              <w:rPr>
                <w:rFonts w:ascii="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BA241A0"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Hospicjów stacjonarnych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ABC613A"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7EAE091"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119</w:t>
            </w:r>
          </w:p>
        </w:tc>
      </w:tr>
      <w:tr w:rsidR="00D576CB" w:rsidRPr="00A52173" w14:paraId="69E5D0D0"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F179DD8" w14:textId="77777777" w:rsidR="00D576CB" w:rsidRPr="0099213E" w:rsidRDefault="00D576CB" w:rsidP="00D576CB">
            <w:pPr>
              <w:spacing w:after="0" w:line="240" w:lineRule="auto"/>
              <w:rPr>
                <w:rFonts w:ascii="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80F3DDC"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Hospicjów domowych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BC50B52"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21</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1501FEF"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Nie dotyczy</w:t>
            </w:r>
          </w:p>
        </w:tc>
      </w:tr>
      <w:tr w:rsidR="00D576CB" w:rsidRPr="00A52173" w14:paraId="13833490"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088B639" w14:textId="77777777" w:rsidR="00D576CB" w:rsidRPr="0099213E" w:rsidRDefault="00D576CB" w:rsidP="00D576CB">
            <w:pPr>
              <w:spacing w:after="0" w:line="240" w:lineRule="auto"/>
              <w:rPr>
                <w:rFonts w:ascii="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7C36973"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Oddziałów opieki paliatywnej</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EB111DA"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0</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A06D76D"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0</w:t>
            </w:r>
          </w:p>
        </w:tc>
      </w:tr>
      <w:tr w:rsidR="00D576CB" w:rsidRPr="00A52173" w14:paraId="58017C6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B842220" w14:textId="77777777" w:rsidR="00D576CB" w:rsidRPr="0099213E" w:rsidRDefault="00D576CB" w:rsidP="00D576CB">
            <w:pPr>
              <w:tabs>
                <w:tab w:val="left" w:pos="1206"/>
              </w:tabs>
              <w:spacing w:after="0" w:line="240" w:lineRule="auto"/>
              <w:rPr>
                <w:rFonts w:ascii="Times New Roman" w:hAnsi="Times New Roman" w:cs="Times New Roman"/>
                <w:color w:val="auto"/>
              </w:rPr>
            </w:pPr>
            <w:r w:rsidRPr="0099213E">
              <w:rPr>
                <w:rFonts w:ascii="Times New Roman" w:hAnsi="Times New Roman" w:cs="Times New Roman"/>
                <w:color w:val="auto"/>
              </w:rPr>
              <w:t>Kadry medyczne</w:t>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71DE6BE" w14:textId="77777777" w:rsidR="00D576CB" w:rsidRPr="0099213E" w:rsidRDefault="00D576CB" w:rsidP="00D576CB">
            <w:pPr>
              <w:tabs>
                <w:tab w:val="left" w:pos="120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Lekarze</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129B495"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Liczba lekarzy</w:t>
            </w:r>
          </w:p>
        </w:tc>
      </w:tr>
      <w:tr w:rsidR="00D576CB" w:rsidRPr="00A52173" w14:paraId="2164F7E6"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C0DCE03"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8A52015" w14:textId="77777777" w:rsidR="00D576CB" w:rsidRPr="0099213E" w:rsidRDefault="00D576CB" w:rsidP="00D576CB">
            <w:pPr>
              <w:tabs>
                <w:tab w:val="left" w:pos="120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Geriatrzy</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1CC9B0D"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5 w 2018 r. (ze specjalizacją II stopnia lub z tytułem specjalisty)</w:t>
            </w:r>
          </w:p>
        </w:tc>
      </w:tr>
      <w:tr w:rsidR="00D576CB" w:rsidRPr="00A52173" w14:paraId="3757480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986F28C"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913B3FD"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w trakcie specjalizacji z geriatrii</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3EC9D31"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7</w:t>
            </w:r>
          </w:p>
        </w:tc>
      </w:tr>
      <w:tr w:rsidR="00D576CB" w:rsidRPr="00A52173" w14:paraId="1019C1A4"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A74001A"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F34B612"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 xml:space="preserve">Pielęgniarki ze specjalizacją lub ukończonym kursem kwalifikacyjnym </w:t>
            </w:r>
            <w:r w:rsidRPr="0099213E">
              <w:rPr>
                <w:rFonts w:ascii="Times New Roman" w:hAnsi="Times New Roman" w:cs="Times New Roman"/>
                <w:b/>
                <w:color w:val="auto"/>
              </w:rPr>
              <w:br/>
              <w:t>w zakresie:</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4399519"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Liczba pielęgniarek</w:t>
            </w:r>
          </w:p>
        </w:tc>
      </w:tr>
      <w:tr w:rsidR="00D576CB" w:rsidRPr="00A52173" w14:paraId="1D59B361"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7267716"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9B35DE9"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Geriatrii</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1268218"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46</w:t>
            </w:r>
          </w:p>
        </w:tc>
      </w:tr>
      <w:tr w:rsidR="00D576CB" w:rsidRPr="00A52173" w14:paraId="47844706"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5434FDB"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25B4033"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Opieki długoterminowej</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1BAD4D9"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254</w:t>
            </w:r>
          </w:p>
        </w:tc>
      </w:tr>
      <w:tr w:rsidR="00D576CB" w:rsidRPr="00A52173" w14:paraId="04C5A1F7"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8A581E1"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0746044"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Opieki paliatywnej</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B9DEE23"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86</w:t>
            </w:r>
          </w:p>
        </w:tc>
      </w:tr>
      <w:tr w:rsidR="00D576CB" w:rsidRPr="00A52173" w14:paraId="1F72B733"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CE32DC4" w14:textId="77777777" w:rsidR="00D576CB" w:rsidRPr="0099213E" w:rsidRDefault="00D576CB" w:rsidP="00D576CB">
            <w:pPr>
              <w:spacing w:after="0" w:line="240" w:lineRule="auto"/>
              <w:rPr>
                <w:rFonts w:ascii="Times New Roman" w:hAnsi="Times New Roman" w:cs="Times New Roman"/>
                <w:b w:val="0"/>
                <w:color w:val="auto"/>
                <w:lang w:eastAsia="pl-PL"/>
              </w:rPr>
            </w:pPr>
            <w:r w:rsidRPr="0099213E">
              <w:rPr>
                <w:rFonts w:ascii="Times New Roman" w:hAnsi="Times New Roman" w:cs="Times New Roman"/>
                <w:color w:val="auto"/>
                <w:lang w:eastAsia="pl-PL"/>
              </w:rPr>
              <w:t>Najczęstsze przyczyny zgonów osób starszych</w:t>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25F720D"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Nazwa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2A718E4"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Liczba osób starszych</w:t>
            </w:r>
          </w:p>
        </w:tc>
      </w:tr>
      <w:tr w:rsidR="00D576CB" w:rsidRPr="00A52173" w14:paraId="05EBB95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EEAE73D"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4B5BC1D"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1.</w:t>
            </w:r>
            <w:r w:rsidRPr="0099213E">
              <w:rPr>
                <w:rFonts w:ascii="Times New Roman" w:hAnsi="Times New Roman" w:cs="Times New Roman"/>
                <w:color w:val="auto"/>
              </w:rPr>
              <w:t xml:space="preserve"> Choroby układu krążenia </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AFEA424"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5 333 w 2018 r.</w:t>
            </w:r>
          </w:p>
        </w:tc>
      </w:tr>
      <w:tr w:rsidR="00D576CB" w:rsidRPr="00A52173" w14:paraId="5E592CB9"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F331F25"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3E99AC"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2.</w:t>
            </w:r>
            <w:r w:rsidRPr="0099213E">
              <w:rPr>
                <w:rFonts w:ascii="Times New Roman" w:hAnsi="Times New Roman" w:cs="Times New Roman"/>
                <w:color w:val="auto"/>
              </w:rPr>
              <w:t xml:space="preserve"> Nowotwory</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9A1D0C"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2 593 w 2018 r.</w:t>
            </w:r>
          </w:p>
        </w:tc>
      </w:tr>
      <w:tr w:rsidR="00D576CB" w:rsidRPr="00A52173" w14:paraId="76459928"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E15AD78"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0AC9C86"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3.</w:t>
            </w:r>
            <w:r w:rsidRPr="0099213E">
              <w:rPr>
                <w:rFonts w:ascii="Times New Roman" w:hAnsi="Times New Roman" w:cs="Times New Roman"/>
                <w:color w:val="auto"/>
              </w:rPr>
              <w:t xml:space="preserve"> Choroby układu oddechowego</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8FDA8E8"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908 w 2018 r.</w:t>
            </w:r>
          </w:p>
        </w:tc>
      </w:tr>
      <w:tr w:rsidR="00D576CB" w:rsidRPr="00A52173" w14:paraId="63FC460F"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7117B4E"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4B44F35"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4.</w:t>
            </w:r>
            <w:r w:rsidRPr="0099213E">
              <w:rPr>
                <w:rFonts w:ascii="Times New Roman" w:hAnsi="Times New Roman" w:cs="Times New Roman"/>
                <w:color w:val="auto"/>
              </w:rPr>
              <w:t xml:space="preserve"> Objawy, cechy chorobowe oraz nieprawidłowe wyniki badań klinicznych i laboratoryjnych, gdzie indziej niesklasyfikowane</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44F5F00"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868 w 2018 r.</w:t>
            </w:r>
          </w:p>
        </w:tc>
      </w:tr>
      <w:tr w:rsidR="00D576CB" w:rsidRPr="00A52173" w14:paraId="1A16DB0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0189D17"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B4F6DEC"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5.</w:t>
            </w:r>
            <w:r w:rsidRPr="0099213E">
              <w:rPr>
                <w:rFonts w:ascii="Times New Roman" w:hAnsi="Times New Roman" w:cs="Times New Roman"/>
                <w:color w:val="auto"/>
              </w:rPr>
              <w:t xml:space="preserve"> Zewnętrzne przyczyny zachorowania i zgonu</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138C629"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383 w 2018 r.</w:t>
            </w:r>
          </w:p>
        </w:tc>
      </w:tr>
      <w:tr w:rsidR="00D576CB" w:rsidRPr="00A52173" w14:paraId="262CCB7F" w14:textId="77777777" w:rsidTr="00E86509">
        <w:trPr>
          <w:trHeight w:val="253"/>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9DE587D" w14:textId="77777777" w:rsidR="00D576CB" w:rsidRPr="0099213E" w:rsidRDefault="00D576CB" w:rsidP="00D576CB">
            <w:pPr>
              <w:spacing w:after="0" w:line="240" w:lineRule="auto"/>
              <w:rPr>
                <w:rFonts w:ascii="Times New Roman" w:hAnsi="Times New Roman" w:cs="Times New Roman"/>
                <w:b w:val="0"/>
                <w:color w:val="auto"/>
                <w:lang w:eastAsia="pl-PL"/>
              </w:rPr>
            </w:pPr>
            <w:r w:rsidRPr="0099213E">
              <w:rPr>
                <w:rFonts w:ascii="Times New Roman" w:hAnsi="Times New Roman" w:cs="Times New Roman"/>
                <w:color w:val="auto"/>
                <w:lang w:eastAsia="pl-PL"/>
              </w:rPr>
              <w:t>Największe problemy/niedogodności w świadczeniu opieki nad osobami starszymi (np. zasoby kadrowe, rzeczowe, finansowe itp.)</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1F59A49" w14:textId="77777777" w:rsidR="00D576CB" w:rsidRPr="0099213E" w:rsidRDefault="00D576CB" w:rsidP="00D576CB">
            <w:pPr>
              <w:tabs>
                <w:tab w:val="left" w:pos="129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 xml:space="preserve">nie stwierdzono </w:t>
            </w:r>
          </w:p>
        </w:tc>
      </w:tr>
      <w:tr w:rsidR="00D576CB" w:rsidRPr="00A52173" w14:paraId="2E37EB06"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F878CF9" w14:textId="77777777" w:rsidR="00D576CB" w:rsidRPr="0099213E" w:rsidRDefault="00D576CB" w:rsidP="00D576CB">
            <w:pPr>
              <w:spacing w:after="0" w:line="240" w:lineRule="auto"/>
              <w:jc w:val="center"/>
              <w:rPr>
                <w:rFonts w:ascii="Times New Roman" w:hAnsi="Times New Roman" w:cs="Times New Roman"/>
                <w:color w:val="auto"/>
              </w:rPr>
            </w:pPr>
            <w:r w:rsidRPr="0099213E">
              <w:rPr>
                <w:rFonts w:ascii="Times New Roman" w:hAnsi="Times New Roman" w:cs="Times New Roman"/>
                <w:color w:val="auto"/>
                <w:lang w:eastAsia="pl-PL"/>
              </w:rPr>
              <w:lastRenderedPageBreak/>
              <w:t>AKTYWNOŚĆ EKONOMICZNA OSÓB STARSZYCH – DANE ZA 2019 R.</w:t>
            </w:r>
          </w:p>
        </w:tc>
      </w:tr>
      <w:tr w:rsidR="00D576CB" w:rsidRPr="00A52173" w14:paraId="1252B148"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6799"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240125B" w14:textId="77777777" w:rsidR="00D576CB" w:rsidRPr="0099213E" w:rsidRDefault="00D576CB" w:rsidP="00D576CB">
            <w:pPr>
              <w:spacing w:after="0" w:line="240" w:lineRule="auto"/>
              <w:jc w:val="center"/>
              <w:rPr>
                <w:rFonts w:ascii="Times New Roman" w:hAnsi="Times New Roman" w:cs="Times New Roman"/>
                <w:color w:val="auto"/>
              </w:rPr>
            </w:pPr>
            <w:r w:rsidRPr="0099213E">
              <w:rPr>
                <w:rFonts w:ascii="Times New Roman" w:hAnsi="Times New Roman" w:cs="Times New Roman"/>
                <w:color w:val="auto"/>
              </w:rPr>
              <w:t>Podział</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F0D0A58"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Liczba</w:t>
            </w:r>
          </w:p>
        </w:tc>
      </w:tr>
      <w:tr w:rsidR="00D576CB" w:rsidRPr="00A52173" w14:paraId="063045B6"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967CC6F" w14:textId="77777777" w:rsidR="00D576CB" w:rsidRPr="0099213E" w:rsidRDefault="00D576CB" w:rsidP="00D576CB">
            <w:pPr>
              <w:spacing w:after="0" w:line="240" w:lineRule="auto"/>
              <w:rPr>
                <w:rFonts w:ascii="Times New Roman" w:hAnsi="Times New Roman" w:cs="Times New Roman"/>
                <w:b w:val="0"/>
                <w:color w:val="auto"/>
                <w:lang w:eastAsia="pl-PL"/>
              </w:rPr>
            </w:pPr>
            <w:r w:rsidRPr="0099213E">
              <w:rPr>
                <w:rFonts w:ascii="Times New Roman" w:hAnsi="Times New Roman" w:cs="Times New Roman"/>
                <w:color w:val="auto"/>
                <w:lang w:eastAsia="pl-PL"/>
              </w:rPr>
              <w:t>Osoby aktywne zawodowo razem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E1A776B"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8642D73"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498</w:t>
            </w:r>
          </w:p>
        </w:tc>
      </w:tr>
      <w:tr w:rsidR="00D576CB" w:rsidRPr="00A52173" w14:paraId="7A14D837"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4EEFBB0"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F3A34A0"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701C5F9"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34</w:t>
            </w:r>
          </w:p>
        </w:tc>
      </w:tr>
      <w:tr w:rsidR="00D576CB" w:rsidRPr="00A52173" w14:paraId="50A18854"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CB7B25D" w14:textId="77777777" w:rsidR="00D576CB" w:rsidRPr="0099213E" w:rsidRDefault="00D576CB" w:rsidP="00D576CB">
            <w:pPr>
              <w:spacing w:after="0" w:line="240" w:lineRule="auto"/>
              <w:rPr>
                <w:rFonts w:ascii="Times New Roman" w:hAnsi="Times New Roman" w:cs="Times New Roman"/>
                <w:b w:val="0"/>
                <w:color w:val="auto"/>
                <w:lang w:eastAsia="pl-PL"/>
              </w:rPr>
            </w:pPr>
            <w:r w:rsidRPr="0099213E">
              <w:rPr>
                <w:rFonts w:ascii="Times New Roman" w:hAnsi="Times New Roman" w:cs="Times New Roman"/>
                <w:color w:val="auto"/>
                <w:lang w:eastAsia="pl-PL"/>
              </w:rPr>
              <w:t xml:space="preserve">Osoby aktywne zawodowo </w:t>
            </w:r>
            <w:r w:rsidRPr="0099213E">
              <w:rPr>
                <w:rFonts w:ascii="Times New Roman" w:hAnsi="Times New Roman" w:cs="Times New Roman"/>
                <w:color w:val="auto"/>
                <w:lang w:eastAsia="pl-PL"/>
              </w:rPr>
              <w:br/>
              <w:t>– pracujący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E426157"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39D325A"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483</w:t>
            </w:r>
          </w:p>
        </w:tc>
      </w:tr>
      <w:tr w:rsidR="00D576CB" w:rsidRPr="00A52173" w14:paraId="4DDCDBEC"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FF7CBFD"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059A212"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9AB5B5D"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33</w:t>
            </w:r>
          </w:p>
        </w:tc>
      </w:tr>
      <w:tr w:rsidR="00D576CB" w:rsidRPr="00A52173" w14:paraId="146E8D90"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CEDBE1C" w14:textId="77777777" w:rsidR="00D576CB" w:rsidRPr="0099213E" w:rsidRDefault="00D576CB" w:rsidP="00D576CB">
            <w:pPr>
              <w:spacing w:after="0" w:line="240" w:lineRule="auto"/>
              <w:rPr>
                <w:rFonts w:ascii="Times New Roman" w:hAnsi="Times New Roman" w:cs="Times New Roman"/>
                <w:b w:val="0"/>
                <w:color w:val="auto"/>
                <w:lang w:eastAsia="pl-PL"/>
              </w:rPr>
            </w:pPr>
            <w:r w:rsidRPr="0099213E">
              <w:rPr>
                <w:rFonts w:ascii="Times New Roman" w:hAnsi="Times New Roman" w:cs="Times New Roman"/>
                <w:color w:val="auto"/>
                <w:lang w:eastAsia="pl-PL"/>
              </w:rPr>
              <w:t>Osoby bierne zawodowo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7A2F5B0"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1B83FA7"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395</w:t>
            </w:r>
          </w:p>
        </w:tc>
      </w:tr>
      <w:tr w:rsidR="00D576CB" w:rsidRPr="00A52173" w14:paraId="5ABE7C96"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0398103"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9174DAB"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E0B8372"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242</w:t>
            </w:r>
          </w:p>
        </w:tc>
      </w:tr>
      <w:tr w:rsidR="00D576CB" w:rsidRPr="00A52173" w14:paraId="07778A2B"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8BE6DF8" w14:textId="77777777" w:rsidR="00D576CB" w:rsidRPr="0099213E" w:rsidRDefault="00D576CB" w:rsidP="00D576CB">
            <w:pPr>
              <w:spacing w:after="0" w:line="240" w:lineRule="auto"/>
              <w:rPr>
                <w:rFonts w:ascii="Times New Roman" w:hAnsi="Times New Roman" w:cs="Times New Roman"/>
                <w:b w:val="0"/>
                <w:color w:val="auto"/>
                <w:lang w:eastAsia="pl-PL"/>
              </w:rPr>
            </w:pPr>
            <w:r w:rsidRPr="0099213E">
              <w:rPr>
                <w:rFonts w:ascii="Times New Roman" w:hAnsi="Times New Roman" w:cs="Times New Roman"/>
                <w:color w:val="auto"/>
                <w:lang w:eastAsia="pl-PL"/>
              </w:rPr>
              <w:t>Współczynnik aktywności zawodowej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C8D9704"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EE738B6"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55,8</w:t>
            </w:r>
          </w:p>
        </w:tc>
      </w:tr>
      <w:tr w:rsidR="00D576CB" w:rsidRPr="00A52173" w14:paraId="0C85DFCB"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FFC4467"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BD8E069"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A25F071"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12,3</w:t>
            </w:r>
          </w:p>
        </w:tc>
      </w:tr>
      <w:tr w:rsidR="00D576CB" w:rsidRPr="00A52173" w14:paraId="02DE684E" w14:textId="77777777" w:rsidTr="00E8650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6E71FD4" w14:textId="77777777" w:rsidR="00D576CB" w:rsidRPr="0099213E" w:rsidRDefault="00D576CB" w:rsidP="00D576CB">
            <w:pPr>
              <w:spacing w:after="0" w:line="240" w:lineRule="auto"/>
              <w:rPr>
                <w:rFonts w:ascii="Times New Roman" w:hAnsi="Times New Roman" w:cs="Times New Roman"/>
                <w:b w:val="0"/>
                <w:color w:val="auto"/>
                <w:lang w:eastAsia="pl-PL"/>
              </w:rPr>
            </w:pPr>
            <w:r w:rsidRPr="0099213E">
              <w:rPr>
                <w:rFonts w:ascii="Times New Roman" w:hAnsi="Times New Roman" w:cs="Times New Roman"/>
                <w:color w:val="auto"/>
                <w:lang w:eastAsia="pl-PL"/>
              </w:rPr>
              <w:t>Wskaźnik zatrudnienia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BCBA84"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24C4420"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54,1</w:t>
            </w:r>
          </w:p>
        </w:tc>
      </w:tr>
      <w:tr w:rsidR="00D576CB" w:rsidRPr="00A52173" w14:paraId="24134536"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954224C" w14:textId="77777777" w:rsidR="00D576CB" w:rsidRPr="0099213E" w:rsidRDefault="00D576CB" w:rsidP="00D576CB">
            <w:pPr>
              <w:spacing w:after="0" w:line="240" w:lineRule="auto"/>
              <w:rPr>
                <w:rFonts w:ascii="Times New Roman" w:hAnsi="Times New Roman" w:cs="Times New Roman"/>
                <w:b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BB48CAA"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8851212"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12,0</w:t>
            </w:r>
          </w:p>
        </w:tc>
      </w:tr>
      <w:tr w:rsidR="00D576CB" w:rsidRPr="00A52173" w14:paraId="05386884" w14:textId="77777777" w:rsidTr="00E8650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252E816" w14:textId="77777777" w:rsidR="00D576CB" w:rsidRPr="0099213E" w:rsidRDefault="00D576CB" w:rsidP="00D576CB">
            <w:pPr>
              <w:spacing w:after="0" w:line="240" w:lineRule="auto"/>
              <w:rPr>
                <w:rFonts w:ascii="Times New Roman" w:hAnsi="Times New Roman" w:cs="Times New Roman"/>
                <w:b w:val="0"/>
                <w:color w:val="auto"/>
                <w:lang w:eastAsia="pl-PL"/>
              </w:rPr>
            </w:pPr>
            <w:r w:rsidRPr="0099213E">
              <w:rPr>
                <w:rFonts w:ascii="Times New Roman" w:eastAsia="Times New Roman" w:hAnsi="Times New Roman" w:cs="Times New Roman"/>
                <w:color w:val="auto"/>
                <w:lang w:eastAsia="pl-PL"/>
              </w:rPr>
              <w:t xml:space="preserve">Osoby bierne zawodowo  w wieku 60 lat i więcej według wybranych przyczyn bierności </w:t>
            </w:r>
            <w:r w:rsidRPr="0099213E">
              <w:rPr>
                <w:rFonts w:ascii="Times New Roman" w:eastAsia="Times New Roman" w:hAnsi="Times New Roman" w:cs="Times New Roman"/>
                <w:color w:val="auto"/>
                <w:lang w:eastAsia="pl-PL"/>
              </w:rPr>
              <w:br/>
              <w:t>(w tys.)</w:t>
            </w:r>
            <w:r w:rsidRPr="0099213E">
              <w:rPr>
                <w:rFonts w:ascii="Times New Roman" w:hAnsi="Times New Roman" w:cs="Times New Roman"/>
                <w:color w:val="auto"/>
                <w:lang w:eastAsia="pl-PL"/>
              </w:rPr>
              <w:t>*</w:t>
            </w:r>
            <w:r w:rsidRPr="0099213E">
              <w:rPr>
                <w:rStyle w:val="Odwoanieprzypisudolnego"/>
                <w:rFonts w:ascii="Times New Roman" w:hAnsi="Times New Roman" w:cs="Times New Roman"/>
                <w:color w:val="auto"/>
                <w:lang w:eastAsia="pl-PL"/>
              </w:rPr>
              <w:footnoteReference w:id="179"/>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19E41B4"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F4B4238"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242</w:t>
            </w:r>
          </w:p>
        </w:tc>
      </w:tr>
      <w:tr w:rsidR="00D576CB" w:rsidRPr="00A52173" w14:paraId="2E2E1F4E"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00E4154"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DED2842"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w tym:</w:t>
            </w:r>
          </w:p>
        </w:tc>
      </w:tr>
      <w:tr w:rsidR="00D576CB" w:rsidRPr="00A52173" w14:paraId="5DE1F9A9"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A73B712"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4430F2D"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pl-PL"/>
              </w:rPr>
            </w:pPr>
            <w:r w:rsidRPr="0099213E">
              <w:rPr>
                <w:rFonts w:ascii="Times New Roman" w:eastAsia="Times New Roman" w:hAnsi="Times New Roman" w:cs="Times New Roman"/>
                <w:color w:val="auto"/>
                <w:lang w:eastAsia="pl-PL"/>
              </w:rPr>
              <w:t>osoby nieposzukujące pracy - razem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BA9D876"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242</w:t>
            </w:r>
          </w:p>
        </w:tc>
      </w:tr>
      <w:tr w:rsidR="00D576CB" w:rsidRPr="00A52173" w14:paraId="2E30A0EF"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133BD95"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8FCDA43"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eastAsia="Times New Roman" w:hAnsi="Times New Roman" w:cs="Times New Roman"/>
                <w:color w:val="auto"/>
                <w:lang w:eastAsia="pl-PL"/>
              </w:rPr>
              <w:t>osoby nieposzukujące pracy - emerytura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74E3414"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218</w:t>
            </w:r>
          </w:p>
        </w:tc>
      </w:tr>
      <w:tr w:rsidR="00D576CB" w:rsidRPr="00A52173" w14:paraId="6ED83BFF"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A9AB71C"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C6F6F2F"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eastAsia="Times New Roman" w:hAnsi="Times New Roman" w:cs="Times New Roman"/>
                <w:color w:val="auto"/>
                <w:lang w:eastAsia="pl-PL"/>
              </w:rPr>
              <w:t>osoby nieposzukujące pracy - choroba, niepełnosprawność</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A0938E4"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eastAsia="Times New Roman" w:hAnsi="Times New Roman" w:cs="Times New Roman"/>
                <w:color w:val="auto"/>
                <w:lang w:eastAsia="pl-PL"/>
              </w:rPr>
              <w:t>15</w:t>
            </w:r>
          </w:p>
        </w:tc>
      </w:tr>
      <w:tr w:rsidR="00D576CB" w:rsidRPr="00A52173" w14:paraId="31C1AA13" w14:textId="77777777" w:rsidTr="00E86509">
        <w:trPr>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882962D"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r w:rsidRPr="0099213E">
              <w:rPr>
                <w:rFonts w:ascii="Times New Roman" w:eastAsia="Times New Roman" w:hAnsi="Times New Roman" w:cs="Times New Roman"/>
                <w:color w:val="auto"/>
                <w:lang w:eastAsia="pl-PL"/>
              </w:rPr>
              <w:t>Osoby bezrobotne zarejestrowane w urzędach pracy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4C835F5"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FCACA59"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33,3</w:t>
            </w:r>
          </w:p>
        </w:tc>
      </w:tr>
      <w:tr w:rsidR="00D576CB" w:rsidRPr="00A52173" w14:paraId="5F18B754"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DA66A66"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44CC08B"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F836725"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2,5</w:t>
            </w:r>
          </w:p>
        </w:tc>
      </w:tr>
      <w:tr w:rsidR="00D576CB" w:rsidRPr="00A52173" w14:paraId="5575397C" w14:textId="77777777" w:rsidTr="00E86509">
        <w:trPr>
          <w:trHeight w:val="191"/>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23DF6E5"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r w:rsidRPr="0099213E">
              <w:rPr>
                <w:rFonts w:ascii="Times New Roman" w:eastAsia="Times New Roman" w:hAnsi="Times New Roman" w:cs="Times New Roman"/>
                <w:color w:val="auto"/>
                <w:lang w:eastAsia="pl-PL"/>
              </w:rPr>
              <w:t xml:space="preserve">Osoby pobierające renty </w:t>
            </w:r>
            <w:r w:rsidRPr="0099213E">
              <w:rPr>
                <w:rFonts w:ascii="Times New Roman" w:eastAsia="Times New Roman" w:hAnsi="Times New Roman" w:cs="Times New Roman"/>
                <w:color w:val="auto"/>
                <w:lang w:eastAsia="pl-PL"/>
              </w:rPr>
              <w:br/>
              <w:t xml:space="preserve">i emerytury </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E357FD1" w14:textId="77777777" w:rsidR="00D576CB" w:rsidRPr="0099213E" w:rsidRDefault="00D576CB" w:rsidP="00D576CB">
            <w:pPr>
              <w:tabs>
                <w:tab w:val="left" w:pos="1725"/>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ZUS</w:t>
            </w:r>
          </w:p>
        </w:tc>
      </w:tr>
      <w:tr w:rsidR="00D576CB" w:rsidRPr="00A52173" w14:paraId="57DB8BEB" w14:textId="77777777" w:rsidTr="00E86509">
        <w:trPr>
          <w:cnfStyle w:val="000000100000" w:firstRow="0" w:lastRow="0" w:firstColumn="0" w:lastColumn="0" w:oddVBand="0" w:evenVBand="0" w:oddHBand="1"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D2B2B9B"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C349FD1"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Rodzaj świadczenia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9E3EBD8"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Przeciętna miesięczna liczba emerytów i rencistów (w tys.)</w:t>
            </w:r>
          </w:p>
        </w:tc>
      </w:tr>
      <w:tr w:rsidR="00D576CB" w:rsidRPr="00A52173" w14:paraId="3E5BBF1B" w14:textId="77777777" w:rsidTr="00E86509">
        <w:trPr>
          <w:trHeight w:val="143"/>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C939708"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515CD85"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Emerytury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07A4953"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148,5</w:t>
            </w:r>
          </w:p>
        </w:tc>
      </w:tr>
      <w:tr w:rsidR="00D576CB" w:rsidRPr="00A52173" w14:paraId="2B1E23D7" w14:textId="77777777" w:rsidTr="00E8650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0BF535C"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6EDE77C"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Renty z tytułu niezdolności do pracy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FD64B94"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16,5</w:t>
            </w:r>
          </w:p>
        </w:tc>
      </w:tr>
      <w:tr w:rsidR="00D576CB" w:rsidRPr="00A52173" w14:paraId="27CDF507"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E51B5FD"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FBF7E4E"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Renty rodzinne</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05D568B"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25,0</w:t>
            </w:r>
          </w:p>
        </w:tc>
      </w:tr>
      <w:tr w:rsidR="00D576CB" w:rsidRPr="00A52173" w14:paraId="4F4C60CD"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33DE1EA"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81095B8" w14:textId="77777777" w:rsidR="00D576CB" w:rsidRPr="0099213E" w:rsidRDefault="00D576CB" w:rsidP="00D576CB">
            <w:pPr>
              <w:tabs>
                <w:tab w:val="left" w:pos="1507"/>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KRUS</w:t>
            </w:r>
          </w:p>
        </w:tc>
      </w:tr>
      <w:tr w:rsidR="00D576CB" w:rsidRPr="00A52173" w14:paraId="1DDD758B" w14:textId="77777777" w:rsidTr="00E86509">
        <w:trPr>
          <w:trHeight w:val="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02A71B6"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75939C5"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Rodzaj świadczenia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50A0E8F"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Przeciętna miesięczna liczba emerytów i rencistów (w tys.)</w:t>
            </w:r>
          </w:p>
        </w:tc>
      </w:tr>
      <w:tr w:rsidR="00D576CB" w:rsidRPr="00A52173" w14:paraId="5634D695"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3F3170F"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FC871D1"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Emerytury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7C330D3"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66,2</w:t>
            </w:r>
          </w:p>
        </w:tc>
      </w:tr>
      <w:tr w:rsidR="00D576CB" w:rsidRPr="00A52173" w14:paraId="39A7BE60"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418FA5B"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D4941F0"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Renty z tytułu niezdolności do pracy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E735599"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11,6</w:t>
            </w:r>
          </w:p>
        </w:tc>
      </w:tr>
      <w:tr w:rsidR="00D576CB" w:rsidRPr="00A52173" w14:paraId="209481BB"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33F4303"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CFAB7A2"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Renty rodzinne</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963B146"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3,0</w:t>
            </w:r>
          </w:p>
        </w:tc>
      </w:tr>
      <w:tr w:rsidR="00D576CB" w:rsidRPr="00A52173" w14:paraId="7B7EC873"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C41985B" w14:textId="77777777" w:rsidR="00D576CB" w:rsidRPr="0099213E" w:rsidRDefault="00D576CB" w:rsidP="00D576CB">
            <w:pPr>
              <w:spacing w:after="0" w:line="240" w:lineRule="auto"/>
              <w:jc w:val="center"/>
              <w:rPr>
                <w:rFonts w:ascii="Times New Roman" w:hAnsi="Times New Roman" w:cs="Times New Roman"/>
                <w:color w:val="auto"/>
              </w:rPr>
            </w:pPr>
            <w:r w:rsidRPr="0099213E">
              <w:rPr>
                <w:rFonts w:ascii="Times New Roman" w:hAnsi="Times New Roman" w:cs="Times New Roman"/>
                <w:color w:val="auto"/>
              </w:rPr>
              <w:t>SYTUACJA DOCHODOWA, WARUNKI BYTU, W TYM WARUNKI MIESZKANIOWE – DANE ZA 2018 R (dane na podstawie wyników Badania Budżetów Gospodarstw Domowych)</w:t>
            </w:r>
          </w:p>
        </w:tc>
      </w:tr>
      <w:tr w:rsidR="00D576CB" w:rsidRPr="00A52173" w14:paraId="1469F2BE"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9DCEB79" w14:textId="77777777" w:rsidR="00D576CB" w:rsidRPr="0099213E" w:rsidRDefault="00D576CB" w:rsidP="00D576CB">
            <w:pPr>
              <w:spacing w:after="0" w:line="240" w:lineRule="auto"/>
              <w:rPr>
                <w:rFonts w:ascii="Times New Roman" w:hAnsi="Times New Roman" w:cs="Times New Roman"/>
                <w:b w:val="0"/>
                <w:color w:val="auto"/>
              </w:rPr>
            </w:pPr>
            <w:r w:rsidRPr="0099213E">
              <w:rPr>
                <w:rFonts w:ascii="Times New Roman" w:hAnsi="Times New Roman" w:cs="Times New Roman"/>
                <w:b w:val="0"/>
                <w:color w:val="auto"/>
              </w:rPr>
              <w:t xml:space="preserve">W 2018 r. w województwie podlaskim nastąpił wzrost zarówno dochodów, jak i wydatków gospodarstw domowych w ujęciu rocznym, ale skala zmiany wydatków była większa niż dochodów. Oznacza to, że nadwyżka dochodów nad wydatkami zmalała w odniesieniu do poprzedniego roku. Mimo to gospodarstwa domowe oceniały swoją sytuację materialną jako lepszą niż przed rokiem. </w:t>
            </w:r>
          </w:p>
          <w:p w14:paraId="3B425900" w14:textId="77777777" w:rsidR="00D576CB" w:rsidRPr="0099213E" w:rsidRDefault="00D576CB" w:rsidP="00D576CB">
            <w:pPr>
              <w:spacing w:after="0" w:line="240" w:lineRule="auto"/>
              <w:rPr>
                <w:rFonts w:ascii="Times New Roman" w:hAnsi="Times New Roman" w:cs="Times New Roman"/>
                <w:b w:val="0"/>
                <w:color w:val="auto"/>
              </w:rPr>
            </w:pPr>
            <w:r w:rsidRPr="0099213E">
              <w:rPr>
                <w:rFonts w:ascii="Times New Roman" w:hAnsi="Times New Roman" w:cs="Times New Roman"/>
                <w:b w:val="0"/>
                <w:color w:val="auto"/>
              </w:rPr>
              <w:t xml:space="preserve">W 2018 r. w województwie podlaskim przeciętny miesięczny dochód rozporządzalny przypadający na 1 osobę w gospodarstwach domowych wyniósł 1 596,76 zł i był o 96,70 zł niższy niż średnio w kraju. W analizowanym roku Podlaskie zajmowało pod tym względem 11. miejsce w Polsce. </w:t>
            </w:r>
          </w:p>
          <w:p w14:paraId="7B5D18E2" w14:textId="77777777" w:rsidR="00D576CB" w:rsidRPr="0099213E" w:rsidRDefault="00D576CB" w:rsidP="00D576CB">
            <w:pPr>
              <w:spacing w:after="0" w:line="240" w:lineRule="auto"/>
              <w:rPr>
                <w:rFonts w:ascii="Times New Roman" w:hAnsi="Times New Roman" w:cs="Times New Roman"/>
                <w:b w:val="0"/>
                <w:color w:val="auto"/>
              </w:rPr>
            </w:pPr>
            <w:r w:rsidRPr="0099213E">
              <w:rPr>
                <w:rFonts w:ascii="Times New Roman" w:hAnsi="Times New Roman" w:cs="Times New Roman"/>
                <w:b w:val="0"/>
                <w:color w:val="auto"/>
              </w:rPr>
              <w:t>Na dochód rozporządzalny gospodarstwa domowego składają się przede wszystkim dochody z pracy najemnej oraz dochody ze świadczeń społecznych. W 2018 r. w województwie podlaskim ich udział w dochodzie rozporządzalnym wyniósł odpowiednio 43,5% i 31,1%</w:t>
            </w:r>
          </w:p>
          <w:p w14:paraId="3D9085AC" w14:textId="77777777" w:rsidR="00D576CB" w:rsidRPr="0099213E" w:rsidRDefault="00D576CB" w:rsidP="00D576CB">
            <w:pPr>
              <w:spacing w:after="0" w:line="240" w:lineRule="auto"/>
              <w:rPr>
                <w:rFonts w:ascii="Times New Roman" w:hAnsi="Times New Roman" w:cs="Times New Roman"/>
                <w:b w:val="0"/>
                <w:color w:val="auto"/>
              </w:rPr>
            </w:pPr>
            <w:r w:rsidRPr="0099213E">
              <w:rPr>
                <w:rFonts w:ascii="Times New Roman" w:hAnsi="Times New Roman" w:cs="Times New Roman"/>
                <w:b w:val="0"/>
                <w:color w:val="auto"/>
              </w:rPr>
              <w:t xml:space="preserve">Przeciętne miesięczne wydatki na 1 osobę w gospodarstwach domowych w województwie podlaskim w 2018 r. wyniosły 1 066,10 zł i były o 120,76 zł niższe niż średnio w kraju. Pod względem wysokości przeciętnych wydatków w analizowanym roku województwo podlaskie znalazło się na 12. miejscu w kraju </w:t>
            </w:r>
          </w:p>
          <w:p w14:paraId="6C64DCCA" w14:textId="77777777" w:rsidR="00D576CB" w:rsidRPr="0099213E" w:rsidRDefault="00D576CB" w:rsidP="00D576CB">
            <w:pPr>
              <w:spacing w:after="0" w:line="240" w:lineRule="auto"/>
              <w:rPr>
                <w:rFonts w:ascii="Times New Roman" w:hAnsi="Times New Roman" w:cs="Times New Roman"/>
                <w:b w:val="0"/>
                <w:color w:val="auto"/>
              </w:rPr>
            </w:pPr>
            <w:r w:rsidRPr="0099213E">
              <w:rPr>
                <w:rFonts w:ascii="Times New Roman" w:hAnsi="Times New Roman" w:cs="Times New Roman"/>
                <w:b w:val="0"/>
                <w:color w:val="auto"/>
              </w:rPr>
              <w:t>W 2018 r. w województwie podlaskim swoją sytuację materialną jako bardzo dobrą oceniło 16,2% gospodarstw domowych, a jako raczej dobrą – 24,5%, (w poprzednim roku było to odpowiednio – 12,1% i 21,1%). W ciągu roku odsetek oceniających sytuację swego gospodarstwa pozytywnie zwiększył się o 7,6 p. proc. (w kraju o 6,8 p. proc.). Udział gospodarstw określających swoją sytuację materialną jako przeciętną wyniósł 51,7% i w porównaniu z 2017 r. zmniejszył się o 3,5 p. proc. (w kraju o 3,7 p. proc.).</w:t>
            </w:r>
          </w:p>
          <w:p w14:paraId="74773242" w14:textId="77777777" w:rsidR="00D576CB" w:rsidRPr="0099213E" w:rsidRDefault="00D576CB" w:rsidP="00D576CB">
            <w:pPr>
              <w:spacing w:after="0" w:line="240" w:lineRule="auto"/>
              <w:rPr>
                <w:rFonts w:ascii="Times New Roman" w:hAnsi="Times New Roman" w:cs="Times New Roman"/>
                <w:b w:val="0"/>
                <w:color w:val="auto"/>
              </w:rPr>
            </w:pPr>
            <w:r w:rsidRPr="0099213E">
              <w:rPr>
                <w:rFonts w:ascii="Times New Roman" w:hAnsi="Times New Roman" w:cs="Times New Roman"/>
                <w:b w:val="0"/>
                <w:color w:val="auto"/>
              </w:rPr>
              <w:t>W omawianym roku w województwie podlaskim odsetek gospodarstw postrzegających swoją sytuację jako raczej złą ukształtował się na poziomie 5,9%, a oceniających ją jako złą – na poziomie 1,7%. Rok wcześniej grupy te stanowiły odpowiednio 7,7% i 4,0% ogółu gospodarstw. W 2018 r. udział gospodarstw domowych oceniających swoją sytuację materialną negatywnie był o 4,1 p. proc. (w kraju o 3,1 p. proc.) niższy od zanotowanego przed rokiem.</w:t>
            </w:r>
          </w:p>
          <w:p w14:paraId="1BCFF801" w14:textId="77777777" w:rsidR="00D576CB" w:rsidRPr="0099213E" w:rsidRDefault="00D576CB" w:rsidP="00D576CB">
            <w:pPr>
              <w:spacing w:after="0" w:line="240" w:lineRule="auto"/>
              <w:rPr>
                <w:rFonts w:ascii="Times New Roman" w:hAnsi="Times New Roman" w:cs="Times New Roman"/>
                <w:color w:val="auto"/>
              </w:rPr>
            </w:pPr>
            <w:r w:rsidRPr="0099213E">
              <w:rPr>
                <w:rFonts w:ascii="Times New Roman" w:hAnsi="Times New Roman" w:cs="Times New Roman"/>
                <w:b w:val="0"/>
                <w:color w:val="auto"/>
              </w:rPr>
              <w:t>W województwie podlaskim, pomimo wzrostu wydatków przy niższym wzroście dochodów gospodarstw domowych, w 2018 r. odnotowano spadek stopy ubóstwa ustawowego do poziomu 15,9% (w 2017 r. – 16,6%) oraz ubóstwa relatywnego do poziomu 20,8% (przed rokiem – 22,4%). Wzrosła natomiast stopa ubóstwa skrajnego do poziomu 7,5% (rok wcześniej – 7,2%).</w:t>
            </w:r>
          </w:p>
        </w:tc>
      </w:tr>
      <w:tr w:rsidR="00D576CB" w:rsidRPr="00A52173" w14:paraId="6245205E"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F92153A" w14:textId="77777777" w:rsidR="00D576CB" w:rsidRPr="0099213E" w:rsidRDefault="00D576CB" w:rsidP="00D576CB">
            <w:pPr>
              <w:spacing w:after="0" w:line="240" w:lineRule="auto"/>
              <w:jc w:val="center"/>
              <w:rPr>
                <w:rFonts w:ascii="Times New Roman" w:hAnsi="Times New Roman" w:cs="Times New Roman"/>
                <w:color w:val="auto"/>
              </w:rPr>
            </w:pPr>
            <w:r w:rsidRPr="0099213E">
              <w:rPr>
                <w:rFonts w:ascii="Times New Roman" w:hAnsi="Times New Roman" w:cs="Times New Roman"/>
                <w:color w:val="auto"/>
              </w:rPr>
              <w:t>USŁUGI SPOŁECZNE DLA OSÓB STARSZYCH / INFRASTRUKTURA POMOCY SPOLECZNEJ – DANE ZA 2019 R.</w:t>
            </w:r>
          </w:p>
        </w:tc>
      </w:tr>
      <w:tr w:rsidR="00D576CB" w:rsidRPr="00A52173" w14:paraId="69D5EA28"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0F7AF3C"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r w:rsidRPr="0099213E">
              <w:rPr>
                <w:rFonts w:ascii="Times New Roman" w:eastAsia="Times New Roman" w:hAnsi="Times New Roman" w:cs="Times New Roman"/>
                <w:color w:val="auto"/>
                <w:lang w:eastAsia="pl-PL"/>
              </w:rPr>
              <w:t>Instytucje pomocy społecznej, w tym:</w:t>
            </w: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90A58A8"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99213E">
              <w:rPr>
                <w:rFonts w:ascii="Times New Roman" w:hAnsi="Times New Roman" w:cs="Times New Roman"/>
                <w:b/>
                <w:color w:val="auto"/>
              </w:rPr>
              <w:t>Rodzaj placówki</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CF7DFEC"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99213E">
              <w:rPr>
                <w:rFonts w:ascii="Times New Roman" w:hAnsi="Times New Roman" w:cs="Times New Roman"/>
                <w:b/>
                <w:color w:val="auto"/>
              </w:rPr>
              <w:t>Liczba placówek</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C565817"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99213E">
              <w:rPr>
                <w:rFonts w:ascii="Times New Roman" w:hAnsi="Times New Roman" w:cs="Times New Roman"/>
                <w:b/>
                <w:color w:val="auto"/>
              </w:rPr>
              <w:t>Liczba miejsc dla osób starszych</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77E7833"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Liczba korzystających osób starszych</w:t>
            </w:r>
          </w:p>
        </w:tc>
      </w:tr>
      <w:tr w:rsidR="00D576CB" w:rsidRPr="00A52173" w14:paraId="50EABC4B"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E84F21F"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5D497730"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Ośrodki wsparcia ogółem</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666E43CD"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 xml:space="preserve">30 </w:t>
            </w:r>
            <w:r w:rsidRPr="0099213E">
              <w:rPr>
                <w:rFonts w:ascii="Times New Roman" w:hAnsi="Times New Roman" w:cs="Times New Roman"/>
                <w:color w:val="auto"/>
              </w:rPr>
              <w:t>(ŚDS, DDP, Schronisko)</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2F2C07BC"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1 098</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47317F3A"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357</w:t>
            </w:r>
          </w:p>
        </w:tc>
      </w:tr>
      <w:tr w:rsidR="00D576CB" w:rsidRPr="00A52173" w14:paraId="7EE7D014"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8467C7C"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32288D3"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color w:val="auto"/>
              </w:rPr>
              <w:t>w tym:</w:t>
            </w:r>
          </w:p>
        </w:tc>
      </w:tr>
      <w:tr w:rsidR="00D576CB" w:rsidRPr="00A52173" w14:paraId="3C34CA18"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E268FC5"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8663FD3"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Środowiskowe Domy Samopomocy</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5AB5187"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23</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86373A5"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854 (liczba wszystkich miejsc)</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A586558"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165</w:t>
            </w:r>
          </w:p>
        </w:tc>
      </w:tr>
      <w:tr w:rsidR="00D576CB" w:rsidRPr="00A52173" w14:paraId="7AD5AD0B"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039CE7D"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4B36E18"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Dzienne Domy Pomocy</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2938303"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015B9F7"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70</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C8C3B90"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64</w:t>
            </w:r>
          </w:p>
        </w:tc>
      </w:tr>
      <w:tr w:rsidR="00D576CB" w:rsidRPr="00A52173" w14:paraId="40EABE19"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25C85DD"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2886DB0"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Noclegownie, schroniska i domy dla osób bezdomnych</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6E4E343"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15 (10 noclegowni i 5 schronisk)</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5EF5184"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453 (liczba wszystkich miejsc w noclegowni - 279 i schronisku - 174)</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916F611"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128</w:t>
            </w:r>
          </w:p>
        </w:tc>
      </w:tr>
      <w:tr w:rsidR="00D576CB" w:rsidRPr="00A52173" w14:paraId="3AF68A53"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88B8958"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C20BAA6"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Ogrzewalnie</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EA56FA9"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B97BE3"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70 (liczba wszystkich miejsc)</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5D296F8"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25</w:t>
            </w:r>
          </w:p>
        </w:tc>
      </w:tr>
      <w:tr w:rsidR="00D576CB" w:rsidRPr="00A52173" w14:paraId="05B6FA0A"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F257104"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A6D5847"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Kluby Samopomocy</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FE093FA"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0</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599C525"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0</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2D08CA"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0</w:t>
            </w:r>
          </w:p>
        </w:tc>
      </w:tr>
      <w:tr w:rsidR="00D576CB" w:rsidRPr="00A52173" w14:paraId="7EE9F1A0"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7A2FE24"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2FC80E0"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eastAsia="Calibri" w:hAnsi="Times New Roman" w:cs="Times New Roman"/>
                <w:color w:val="auto"/>
              </w:rPr>
              <w:t>Placówki zapewniające całodobową opiekę osobom niepełnosprawnym, przewlekle chorym lub osobom w podeszłym wieku</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BE8C407"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21</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BB5124A"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765 (liczba wszystkich miejsc)</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C8B813E"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Brak danych</w:t>
            </w:r>
          </w:p>
        </w:tc>
      </w:tr>
      <w:tr w:rsidR="00D576CB" w:rsidRPr="00A52173" w14:paraId="0F606A19"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FE7799D"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E316ADB"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Domy Pomocy Społecznej</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8DD1FE9"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22</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61E0B02"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2 362 ( liczba wszystkich miejsc)</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9990BA4"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1 089</w:t>
            </w:r>
          </w:p>
        </w:tc>
      </w:tr>
      <w:tr w:rsidR="00D576CB" w:rsidRPr="00A52173" w14:paraId="1C807320"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0D2FA8E"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8E2D947"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Mieszkania chronione ogółem</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1B63B67"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19</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711D613"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55 (liczba wszystkich miejsc)</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24E9A41"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Brak danych</w:t>
            </w:r>
          </w:p>
        </w:tc>
      </w:tr>
      <w:tr w:rsidR="00D576CB" w:rsidRPr="00A52173" w14:paraId="6A0D4CE6"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6CD5F5C"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FCFF08A"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Ośrodki Interwencji Kryzysowej ogółem</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74BA6BD"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5</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C487ADF"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41 (liczba wszystkich miejsc)</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39EB187"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Brak danych</w:t>
            </w:r>
          </w:p>
        </w:tc>
      </w:tr>
      <w:tr w:rsidR="00D576CB" w:rsidRPr="00A52173" w14:paraId="3A610C12"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B4C10FD"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0346FEF"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Jednostki specjalistycznego poradnictwa</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6B6FC3E"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4F796E3"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184 (liczba wszystkich miejsc)</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9645D6E"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Brak danych</w:t>
            </w:r>
          </w:p>
        </w:tc>
      </w:tr>
      <w:tr w:rsidR="00D576CB" w:rsidRPr="00A52173" w14:paraId="67D56C2A"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A9A1873"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4A8B20B"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Placówki Senior+, w tym:</w:t>
            </w:r>
          </w:p>
        </w:tc>
        <w:tc>
          <w:tcPr>
            <w:tcW w:w="8845"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6C327A9"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p>
        </w:tc>
      </w:tr>
      <w:tr w:rsidR="00D576CB" w:rsidRPr="00A52173" w14:paraId="0870CDD2"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1A36512"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46926E6"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Domy Dziennego Pobytu</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1062AB7"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4A14F5F"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125 (liczba wszystkich miejsc)</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B6EE5C1"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158</w:t>
            </w:r>
          </w:p>
        </w:tc>
      </w:tr>
      <w:tr w:rsidR="00D576CB" w:rsidRPr="00A52173" w14:paraId="10C5515B" w14:textId="77777777" w:rsidTr="00E86509">
        <w:trPr>
          <w:trHeight w:val="85"/>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A94A74F"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3E3807A"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Kluby Senior+</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9C4AF0C"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31</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97C3A52"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610 (liczba wszystkich miejsc)</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DD64943"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351</w:t>
            </w:r>
          </w:p>
        </w:tc>
      </w:tr>
      <w:tr w:rsidR="00D576CB" w:rsidRPr="00A52173" w14:paraId="20FB4CD3"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CCEC481" w14:textId="77777777" w:rsidR="00D576CB" w:rsidRPr="0099213E" w:rsidRDefault="00D576CB" w:rsidP="00D576CB">
            <w:pPr>
              <w:spacing w:after="0" w:line="240" w:lineRule="auto"/>
              <w:rPr>
                <w:rFonts w:ascii="Times New Roman" w:eastAsia="Times New Roman" w:hAnsi="Times New Roman" w:cs="Times New Roman"/>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3558EC3"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Hospicja stacjonarne</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4529919"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4</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FC807C9"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Brak danych</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7DF6A3D"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Brak danych</w:t>
            </w:r>
          </w:p>
        </w:tc>
      </w:tr>
      <w:tr w:rsidR="00D576CB" w:rsidRPr="00A52173" w14:paraId="6F5CF3E7" w14:textId="77777777" w:rsidTr="00E86509">
        <w:trPr>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3BF0A00"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r w:rsidRPr="0099213E">
              <w:rPr>
                <w:rFonts w:ascii="Times New Roman" w:eastAsia="Times New Roman" w:hAnsi="Times New Roman" w:cs="Times New Roman"/>
                <w:color w:val="auto"/>
                <w:lang w:eastAsia="pl-PL"/>
              </w:rPr>
              <w:t>Usługi świadczone osobom starszym</w:t>
            </w: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2EF898D"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Rodzaj usług</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A7CC11D"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Liczba osób starszych objętych pomocą</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F0935AD"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Wysokość środków przeznaczonych na usługi</w:t>
            </w:r>
          </w:p>
        </w:tc>
      </w:tr>
      <w:tr w:rsidR="00D576CB" w:rsidRPr="00A52173" w14:paraId="0EE4F40D" w14:textId="77777777" w:rsidTr="00830E78">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C05DEC0"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683F5313" w14:textId="19D7B00A" w:rsidR="00D576CB" w:rsidRPr="0099213E" w:rsidRDefault="00EE322D"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Usługi o</w:t>
            </w:r>
            <w:r w:rsidR="00D576CB" w:rsidRPr="0099213E">
              <w:rPr>
                <w:rFonts w:ascii="Times New Roman" w:hAnsi="Times New Roman" w:cs="Times New Roman"/>
                <w:color w:val="auto"/>
              </w:rPr>
              <w:t>piekuńcze ogółem (w tym ze środków własnych)</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6062EC3F"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2 001</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4E0E1FC0"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15 985 999</w:t>
            </w:r>
          </w:p>
        </w:tc>
      </w:tr>
      <w:tr w:rsidR="00D576CB" w:rsidRPr="00A52173" w14:paraId="48959FCB" w14:textId="77777777" w:rsidTr="00E86509">
        <w:trPr>
          <w:trHeight w:val="118"/>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0734E66"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29350F5"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w tym:</w:t>
            </w:r>
          </w:p>
        </w:tc>
      </w:tr>
      <w:tr w:rsidR="00D576CB" w:rsidRPr="00A52173" w14:paraId="1D5C6B9D" w14:textId="77777777" w:rsidTr="00E8650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F201D6B"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E155035" w14:textId="658FCF01" w:rsidR="00D576CB" w:rsidRPr="0099213E" w:rsidRDefault="00EE322D"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s</w:t>
            </w:r>
            <w:r w:rsidR="00D576CB" w:rsidRPr="0099213E">
              <w:rPr>
                <w:rFonts w:ascii="Times New Roman" w:hAnsi="Times New Roman" w:cs="Times New Roman"/>
                <w:color w:val="auto"/>
              </w:rPr>
              <w:t xml:space="preserve">pecjalistyczne </w:t>
            </w:r>
            <w:r>
              <w:rPr>
                <w:rFonts w:ascii="Times New Roman" w:hAnsi="Times New Roman" w:cs="Times New Roman"/>
                <w:color w:val="auto"/>
              </w:rPr>
              <w:t xml:space="preserve">usługi </w:t>
            </w:r>
            <w:r w:rsidR="00D576CB" w:rsidRPr="0099213E">
              <w:rPr>
                <w:rFonts w:ascii="Times New Roman" w:hAnsi="Times New Roman" w:cs="Times New Roman"/>
                <w:color w:val="auto"/>
              </w:rPr>
              <w:t>opiekuńcze</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2B30641"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28</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903AEF8"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113 504</w:t>
            </w:r>
          </w:p>
        </w:tc>
      </w:tr>
      <w:tr w:rsidR="00D576CB" w:rsidRPr="00A52173" w14:paraId="4063C4A0"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D9921E6"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6B679C6" w14:textId="4EB36D70" w:rsidR="00D576CB" w:rsidRPr="0099213E" w:rsidRDefault="00EE322D"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s</w:t>
            </w:r>
            <w:r w:rsidR="00D576CB" w:rsidRPr="0099213E">
              <w:rPr>
                <w:rFonts w:ascii="Times New Roman" w:hAnsi="Times New Roman" w:cs="Times New Roman"/>
                <w:color w:val="auto"/>
              </w:rPr>
              <w:t xml:space="preserve">pecjalistyczne usługi </w:t>
            </w:r>
            <w:r>
              <w:rPr>
                <w:rFonts w:ascii="Times New Roman" w:hAnsi="Times New Roman" w:cs="Times New Roman"/>
                <w:color w:val="auto"/>
              </w:rPr>
              <w:t xml:space="preserve">opiekuńcze w miejscu zamieszkania </w:t>
            </w:r>
            <w:r w:rsidR="00D576CB" w:rsidRPr="0099213E">
              <w:rPr>
                <w:rFonts w:ascii="Times New Roman" w:hAnsi="Times New Roman" w:cs="Times New Roman"/>
                <w:color w:val="auto"/>
              </w:rPr>
              <w:t>dla osób z zaburzeniami psychicznymi</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16A9FA2"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121</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27AE9B0"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1 529 879</w:t>
            </w:r>
          </w:p>
        </w:tc>
      </w:tr>
      <w:tr w:rsidR="00D576CB" w:rsidRPr="00A52173" w14:paraId="04C84F24" w14:textId="77777777" w:rsidTr="00E86509">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E7B171A"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r w:rsidRPr="0099213E">
              <w:rPr>
                <w:rFonts w:ascii="Times New Roman" w:eastAsia="Times New Roman" w:hAnsi="Times New Roman" w:cs="Times New Roman"/>
                <w:color w:val="auto"/>
                <w:lang w:eastAsia="pl-PL"/>
              </w:rPr>
              <w:t>Świadczenia pieniężne przyznane osobom starszym</w:t>
            </w: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3321D48"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Nazwa świadczenia</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49A2F05"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Liczba osób starszych</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A0AA0D0"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99213E">
              <w:rPr>
                <w:rFonts w:ascii="Times New Roman" w:hAnsi="Times New Roman" w:cs="Times New Roman"/>
                <w:b/>
                <w:color w:val="auto"/>
              </w:rPr>
              <w:t>Kwota świadczenia</w:t>
            </w:r>
          </w:p>
        </w:tc>
      </w:tr>
      <w:tr w:rsidR="00D576CB" w:rsidRPr="00A52173" w14:paraId="5F9FCC3F"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390CA0F"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4A45AD8"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Zasiłek stały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03DEF8E"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1 690</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31BE153"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8 925 403</w:t>
            </w:r>
          </w:p>
        </w:tc>
      </w:tr>
      <w:tr w:rsidR="00D576CB" w:rsidRPr="00A52173" w14:paraId="63A03DC0"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06B7558"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5815D08"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Zasiłek okresowy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EDAA7E3"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1 540</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567A135"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2 132 206</w:t>
            </w:r>
          </w:p>
        </w:tc>
      </w:tr>
      <w:tr w:rsidR="00D576CB" w:rsidRPr="00A52173" w14:paraId="5EE04222"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56DE43E"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3D9CACF"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Zasiłek celowy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5462816"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2 037</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F7CB95F" w14:textId="77777777" w:rsidR="00D576CB" w:rsidRPr="0099213E" w:rsidRDefault="00D576CB" w:rsidP="00D576C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1 602 455</w:t>
            </w:r>
          </w:p>
        </w:tc>
      </w:tr>
      <w:tr w:rsidR="00D576CB" w:rsidRPr="00A52173" w14:paraId="3261A9D5"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C55FD46" w14:textId="77777777" w:rsidR="00D576CB" w:rsidRPr="0099213E" w:rsidRDefault="00D576CB" w:rsidP="00D576CB">
            <w:pPr>
              <w:spacing w:after="0" w:line="240" w:lineRule="auto"/>
              <w:rPr>
                <w:rFonts w:ascii="Times New Roman" w:eastAsia="Times New Roman" w:hAnsi="Times New Roman" w:cs="Times New Roman"/>
                <w:b w:val="0"/>
                <w:bCs w:val="0"/>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9E247FC"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Specjalny zasiłek celowy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8F07B6B"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1 527</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CBB8ECA" w14:textId="77777777" w:rsidR="00D576CB" w:rsidRPr="0099213E" w:rsidRDefault="00D576CB" w:rsidP="00D576C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color w:val="auto"/>
              </w:rPr>
              <w:t>1 067 698</w:t>
            </w:r>
          </w:p>
        </w:tc>
      </w:tr>
      <w:tr w:rsidR="00D576CB" w:rsidRPr="00A52173" w14:paraId="3C55AEE5" w14:textId="77777777" w:rsidTr="00E86509">
        <w:trPr>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7BD3109" w14:textId="77777777" w:rsidR="00D576CB" w:rsidRPr="0099213E" w:rsidRDefault="00D576CB" w:rsidP="00D576CB">
            <w:pPr>
              <w:spacing w:after="0" w:line="240" w:lineRule="auto"/>
              <w:rPr>
                <w:rFonts w:ascii="Times New Roman" w:hAnsi="Times New Roman" w:cs="Times New Roman"/>
                <w:b w:val="0"/>
                <w:color w:val="auto"/>
                <w:lang w:eastAsia="pl-PL"/>
              </w:rPr>
            </w:pPr>
            <w:r w:rsidRPr="0099213E">
              <w:rPr>
                <w:rFonts w:ascii="Times New Roman" w:hAnsi="Times New Roman" w:cs="Times New Roman"/>
                <w:color w:val="auto"/>
                <w:lang w:eastAsia="pl-PL"/>
              </w:rPr>
              <w:t>Największe problemy/niedogodności w świadczeniu opieki nad osobami starszymi (np. zasoby kadrowe, rzeczowe, finansowe itp.)</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00F0C3F"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1.</w:t>
            </w:r>
            <w:r w:rsidRPr="0099213E">
              <w:rPr>
                <w:rFonts w:ascii="Times New Roman" w:hAnsi="Times New Roman" w:cs="Times New Roman"/>
                <w:color w:val="auto"/>
              </w:rPr>
              <w:t>Brak środków finansowych.</w:t>
            </w:r>
          </w:p>
        </w:tc>
      </w:tr>
      <w:tr w:rsidR="00D576CB" w:rsidRPr="00A52173" w14:paraId="78E6F355"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E235125" w14:textId="77777777" w:rsidR="00D576CB" w:rsidRPr="0099213E" w:rsidRDefault="00D576CB" w:rsidP="00D576CB">
            <w:pPr>
              <w:spacing w:after="0" w:line="240" w:lineRule="auto"/>
              <w:rPr>
                <w:rFonts w:ascii="Times New Roman" w:hAnsi="Times New Roman" w:cs="Times New Roman"/>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ECDCFE"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2.</w:t>
            </w:r>
            <w:r w:rsidRPr="0099213E">
              <w:rPr>
                <w:rFonts w:ascii="Times New Roman" w:hAnsi="Times New Roman" w:cs="Times New Roman"/>
                <w:color w:val="auto"/>
              </w:rPr>
              <w:t xml:space="preserve"> Brak zasobów kadrowych (brak wykwalifikowanej kadry, trudności w znalezieniu osób do pracy).</w:t>
            </w:r>
          </w:p>
        </w:tc>
      </w:tr>
      <w:tr w:rsidR="00D576CB" w:rsidRPr="00A52173" w14:paraId="0ABA8EF1" w14:textId="77777777" w:rsidTr="00E86509">
        <w:trPr>
          <w:trHeight w:val="44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F11F5D8" w14:textId="77777777" w:rsidR="00D576CB" w:rsidRPr="0099213E" w:rsidRDefault="00D576CB" w:rsidP="00D576CB">
            <w:pPr>
              <w:spacing w:after="0" w:line="240" w:lineRule="auto"/>
              <w:rPr>
                <w:rFonts w:ascii="Times New Roman" w:hAnsi="Times New Roman" w:cs="Times New Roman"/>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F1143F2"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3.</w:t>
            </w:r>
            <w:r w:rsidRPr="0099213E">
              <w:rPr>
                <w:rFonts w:ascii="Times New Roman" w:hAnsi="Times New Roman" w:cs="Times New Roman"/>
                <w:color w:val="auto"/>
              </w:rPr>
              <w:t xml:space="preserve"> Brak wyspecjalizowanych instytucji/osób świadczących całodobową opiekę osobom starszym, samotnym.</w:t>
            </w:r>
          </w:p>
          <w:p w14:paraId="54688B02"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4.</w:t>
            </w:r>
            <w:r w:rsidRPr="0099213E">
              <w:rPr>
                <w:rFonts w:ascii="Times New Roman" w:hAnsi="Times New Roman" w:cs="Times New Roman"/>
                <w:color w:val="auto"/>
              </w:rPr>
              <w:t xml:space="preserve"> Mała liczba podmiotów świadczących usługi opiekuńcze.</w:t>
            </w:r>
          </w:p>
          <w:p w14:paraId="49A99B60" w14:textId="77777777" w:rsidR="00D576CB" w:rsidRPr="0099213E" w:rsidRDefault="00D576CB" w:rsidP="00D576C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5.</w:t>
            </w:r>
            <w:r w:rsidRPr="0099213E">
              <w:rPr>
                <w:rFonts w:ascii="Times New Roman" w:hAnsi="Times New Roman" w:cs="Times New Roman"/>
                <w:color w:val="auto"/>
              </w:rPr>
              <w:t xml:space="preserve"> Niskie wynagrodzenia osób świadczących usługi opiekuńcze.</w:t>
            </w:r>
          </w:p>
        </w:tc>
      </w:tr>
      <w:tr w:rsidR="00D576CB" w:rsidRPr="00A52173" w14:paraId="6138EE66"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20A5798" w14:textId="77777777" w:rsidR="00D576CB" w:rsidRPr="0099213E" w:rsidRDefault="00D576CB" w:rsidP="00D576CB">
            <w:pPr>
              <w:spacing w:after="0" w:line="240" w:lineRule="auto"/>
              <w:rPr>
                <w:rFonts w:ascii="Times New Roman" w:hAnsi="Times New Roman" w:cs="Times New Roman"/>
                <w:color w:val="auto"/>
                <w:lang w:eastAsia="pl-PL"/>
              </w:rPr>
            </w:pPr>
            <w:r w:rsidRPr="0099213E">
              <w:rPr>
                <w:rFonts w:ascii="Times New Roman" w:hAnsi="Times New Roman" w:cs="Times New Roman"/>
                <w:color w:val="auto"/>
                <w:lang w:eastAsia="pl-PL"/>
              </w:rPr>
              <w:t xml:space="preserve">Stopień zaspokojenia </w:t>
            </w:r>
            <w:r w:rsidRPr="0099213E">
              <w:rPr>
                <w:rFonts w:ascii="Times New Roman" w:hAnsi="Times New Roman" w:cs="Times New Roman"/>
                <w:color w:val="auto"/>
                <w:shd w:val="clear" w:color="auto" w:fill="9CC2E5" w:themeFill="accent1" w:themeFillTint="99"/>
                <w:lang w:eastAsia="pl-PL"/>
              </w:rPr>
              <w:t>potrzeb w zakresie usług opiekuńczych</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1CF23DB"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1.</w:t>
            </w:r>
            <w:r w:rsidRPr="0099213E">
              <w:rPr>
                <w:rFonts w:ascii="Times New Roman" w:hAnsi="Times New Roman" w:cs="Times New Roman"/>
                <w:color w:val="auto"/>
              </w:rPr>
              <w:t xml:space="preserve">Usługi opiekuńcze w miejscu zamieszkania są tańsze od usług stacjonarnych. Przez co dają możliwość objęcia nimi większej liczby osób potrzebujących, nie są też ograniczone możliwościami lokalowymi.  </w:t>
            </w:r>
          </w:p>
          <w:p w14:paraId="129F66E5"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2.</w:t>
            </w:r>
            <w:r w:rsidRPr="0099213E">
              <w:rPr>
                <w:rFonts w:ascii="Times New Roman" w:hAnsi="Times New Roman" w:cs="Times New Roman"/>
                <w:color w:val="auto"/>
              </w:rPr>
              <w:t>Obseruje się stały wzrost zainteresowania tą formą pomocy. Każdego roku osoby najstarsze są największą grupą odbiorców usług opiekuńczych.</w:t>
            </w:r>
          </w:p>
          <w:p w14:paraId="083B2CF9" w14:textId="77777777" w:rsidR="00D576CB" w:rsidRPr="0099213E" w:rsidRDefault="00D576CB" w:rsidP="00D576C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99213E">
              <w:rPr>
                <w:rFonts w:ascii="Times New Roman" w:hAnsi="Times New Roman" w:cs="Times New Roman"/>
                <w:b/>
                <w:color w:val="auto"/>
              </w:rPr>
              <w:t>3.</w:t>
            </w:r>
            <w:r w:rsidRPr="0099213E">
              <w:rPr>
                <w:rFonts w:ascii="Times New Roman" w:hAnsi="Times New Roman" w:cs="Times New Roman"/>
                <w:color w:val="auto"/>
              </w:rPr>
              <w:t xml:space="preserve"> Usługi opiekuńcze zapewniane są wszystkim potrzebującym, zgodnie ze zgłoszonymi potrzebami. </w:t>
            </w:r>
          </w:p>
        </w:tc>
      </w:tr>
    </w:tbl>
    <w:p w14:paraId="601EA3C2" w14:textId="77777777" w:rsidR="00DB1BC8" w:rsidRDefault="00DB1BC8" w:rsidP="008C71A9">
      <w:pPr>
        <w:pStyle w:val="Nagwek2"/>
        <w:numPr>
          <w:ilvl w:val="1"/>
          <w:numId w:val="97"/>
        </w:numPr>
        <w:rPr>
          <w:rFonts w:eastAsia="Times New Roman"/>
          <w:lang w:eastAsia="ar-SA"/>
        </w:rPr>
        <w:sectPr w:rsidR="00DB1BC8" w:rsidSect="00DB6308">
          <w:pgSz w:w="16838" w:h="11900" w:orient="landscape"/>
          <w:pgMar w:top="1380" w:right="1384" w:bottom="1386" w:left="1038" w:header="0" w:footer="567" w:gutter="0"/>
          <w:cols w:space="0" w:equalWidth="0">
            <w:col w:w="9140"/>
          </w:cols>
          <w:docGrid w:linePitch="360"/>
        </w:sectPr>
      </w:pPr>
    </w:p>
    <w:p w14:paraId="127D281D" w14:textId="77777777" w:rsidR="00510B2E" w:rsidRPr="00AF051D" w:rsidRDefault="00B25D75" w:rsidP="00AF051D">
      <w:pPr>
        <w:pStyle w:val="Nagwek2"/>
        <w:numPr>
          <w:ilvl w:val="1"/>
          <w:numId w:val="97"/>
        </w:numPr>
        <w:spacing w:before="240" w:after="240"/>
        <w:rPr>
          <w:rFonts w:eastAsia="Times New Roman" w:cs="Times New Roman"/>
          <w:sz w:val="40"/>
          <w:lang w:eastAsia="ar-SA"/>
        </w:rPr>
      </w:pPr>
      <w:bookmarkStart w:id="146" w:name="_Toc49171366"/>
      <w:r w:rsidRPr="00AF051D">
        <w:rPr>
          <w:rFonts w:eastAsia="Times New Roman" w:cs="Times New Roman"/>
          <w:sz w:val="40"/>
          <w:lang w:eastAsia="ar-SA"/>
        </w:rPr>
        <w:lastRenderedPageBreak/>
        <w:t xml:space="preserve">Województwo </w:t>
      </w:r>
      <w:r w:rsidR="005F0A32" w:rsidRPr="00AF051D">
        <w:rPr>
          <w:rFonts w:eastAsia="Times New Roman" w:cs="Times New Roman"/>
          <w:sz w:val="40"/>
          <w:lang w:eastAsia="ar-SA"/>
        </w:rPr>
        <w:t>p</w:t>
      </w:r>
      <w:r w:rsidR="00475EFA" w:rsidRPr="00AF051D">
        <w:rPr>
          <w:rFonts w:eastAsia="Times New Roman" w:cs="Times New Roman"/>
          <w:sz w:val="40"/>
          <w:lang w:eastAsia="ar-SA"/>
        </w:rPr>
        <w:t>omorskie</w:t>
      </w:r>
      <w:bookmarkEnd w:id="146"/>
    </w:p>
    <w:p w14:paraId="6678A3D2" w14:textId="77777777" w:rsidR="00510B2E" w:rsidRPr="00AF051D" w:rsidRDefault="00510B2E" w:rsidP="00E7359C">
      <w:pPr>
        <w:spacing w:after="0"/>
        <w:jc w:val="both"/>
        <w:rPr>
          <w:rFonts w:ascii="Times New Roman" w:hAnsi="Times New Roman" w:cs="Times New Roman"/>
          <w:b/>
          <w:color w:val="00B0F0"/>
          <w:sz w:val="24"/>
          <w:szCs w:val="24"/>
          <w:lang w:eastAsia="ar-SA"/>
        </w:rPr>
      </w:pPr>
      <w:r w:rsidRPr="00AF051D">
        <w:rPr>
          <w:rFonts w:ascii="Times New Roman" w:hAnsi="Times New Roman" w:cs="Times New Roman"/>
          <w:b/>
          <w:color w:val="00B0F0"/>
          <w:sz w:val="24"/>
          <w:szCs w:val="24"/>
          <w:lang w:eastAsia="ar-SA"/>
        </w:rPr>
        <w:t>Dokumenty, strategie i działania na rzecz osób starszych</w:t>
      </w:r>
    </w:p>
    <w:p w14:paraId="3D318D79" w14:textId="77777777" w:rsidR="00CC3B5A" w:rsidRPr="005F0A32" w:rsidRDefault="00CC3B5A" w:rsidP="00E7359C">
      <w:pPr>
        <w:spacing w:after="0"/>
        <w:jc w:val="both"/>
        <w:rPr>
          <w:rFonts w:ascii="Times New Roman" w:hAnsi="Times New Roman" w:cs="Times New Roman"/>
          <w:b/>
          <w:sz w:val="24"/>
          <w:szCs w:val="24"/>
        </w:rPr>
      </w:pPr>
    </w:p>
    <w:p w14:paraId="310D4129" w14:textId="77777777" w:rsidR="00CC3B5A" w:rsidRPr="005F0A32" w:rsidRDefault="00CC3B5A" w:rsidP="00E7359C">
      <w:pPr>
        <w:pStyle w:val="NormalnyWeb"/>
        <w:spacing w:after="0"/>
        <w:jc w:val="both"/>
      </w:pPr>
      <w:r w:rsidRPr="005F0A32">
        <w:t>Regionalny Program Operacyjny Województwa Pomorskiego na lata 2014-2020 (RPO WP 2014-2020)</w:t>
      </w:r>
      <w:r w:rsidR="003D508A">
        <w:rPr>
          <w:rStyle w:val="Odwoanieprzypisudolnego"/>
        </w:rPr>
        <w:footnoteReference w:id="180"/>
      </w:r>
      <w:r w:rsidRPr="005F0A32">
        <w:t xml:space="preserve"> to program, którego celem jest podjęcie wyzwań rozwojowych stojących przed województwem pomorskim w sferze gospodarczej, edukacji, aktywności zawodowej i społecznej, wykorzystania specyficznych potencjałów poszczególnych obszarów, systemu transp</w:t>
      </w:r>
      <w:r w:rsidR="000C663F">
        <w:t xml:space="preserve">ortowego, energii i środowiska. </w:t>
      </w:r>
      <w:r w:rsidRPr="005F0A32">
        <w:t>RPO pozwala podmiotom na otrzymanie dofinansowania na działania na rzecz seniorów, m.in. poprzez projekty ukierunkowane na zwiększenie dostępu do zdeinstytucjonalizowanych, spersonalizowanych i zintegrowanych usług społecznych, świadczonych w lokalnej społeczności, skierowanych do osób potrzebujących wsparcia w codziennym funkcjonowaniu, w szczególności do seniorów, osób z niepełnosprawnościami i z chorobami przewlekłymi oraz ich opiekunów w oparciu o diagnozę sytuacji problemowej.</w:t>
      </w:r>
    </w:p>
    <w:p w14:paraId="64899271" w14:textId="77777777" w:rsidR="000C663F" w:rsidRDefault="000C663F" w:rsidP="00E7359C">
      <w:pPr>
        <w:autoSpaceDE w:val="0"/>
        <w:autoSpaceDN w:val="0"/>
        <w:adjustRightInd w:val="0"/>
        <w:spacing w:after="0"/>
        <w:jc w:val="both"/>
        <w:rPr>
          <w:rFonts w:ascii="Times New Roman" w:hAnsi="Times New Roman" w:cs="Times New Roman"/>
          <w:b/>
          <w:sz w:val="24"/>
          <w:szCs w:val="24"/>
        </w:rPr>
      </w:pPr>
    </w:p>
    <w:p w14:paraId="0CC3DD02" w14:textId="77777777" w:rsidR="00CC3B5A" w:rsidRPr="005F0A32" w:rsidRDefault="003D508A" w:rsidP="00E7359C">
      <w:pPr>
        <w:autoSpaceDE w:val="0"/>
        <w:autoSpaceDN w:val="0"/>
        <w:adjustRightInd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Program </w:t>
      </w:r>
      <w:r w:rsidR="00CC3B5A" w:rsidRPr="005F0A32">
        <w:rPr>
          <w:rFonts w:ascii="Times New Roman" w:hAnsi="Times New Roman" w:cs="Times New Roman"/>
          <w:b/>
          <w:sz w:val="24"/>
          <w:szCs w:val="24"/>
        </w:rPr>
        <w:t>Seni</w:t>
      </w:r>
      <w:r>
        <w:rPr>
          <w:rFonts w:ascii="Times New Roman" w:hAnsi="Times New Roman" w:cs="Times New Roman"/>
          <w:b/>
          <w:sz w:val="24"/>
          <w:szCs w:val="24"/>
        </w:rPr>
        <w:t>or +</w:t>
      </w:r>
    </w:p>
    <w:p w14:paraId="5102550A" w14:textId="77777777" w:rsidR="00CC3B5A" w:rsidRPr="005F0A32" w:rsidRDefault="00CC3B5A" w:rsidP="00E7359C">
      <w:pPr>
        <w:autoSpaceDE w:val="0"/>
        <w:autoSpaceDN w:val="0"/>
        <w:adjustRightInd w:val="0"/>
        <w:spacing w:after="0"/>
        <w:jc w:val="both"/>
        <w:rPr>
          <w:rFonts w:ascii="Times New Roman" w:hAnsi="Times New Roman" w:cs="Times New Roman"/>
          <w:sz w:val="24"/>
          <w:szCs w:val="24"/>
        </w:rPr>
      </w:pPr>
      <w:r w:rsidRPr="005F0A32">
        <w:rPr>
          <w:rFonts w:ascii="Times New Roman" w:hAnsi="Times New Roman" w:cs="Times New Roman"/>
          <w:sz w:val="24"/>
          <w:szCs w:val="24"/>
        </w:rPr>
        <w:t>Wieloletni Program „Senior +” wspiera seniorów nieaktywnych zawodowo poprzez dofinansowanie jednostek samorządu terytorialnego. W województwie pomorskim utworzono 14 Dziennych Domów oraz 14 Kluby „Senior +” (stan za 2019 r).</w:t>
      </w:r>
    </w:p>
    <w:p w14:paraId="61854D21" w14:textId="77777777" w:rsidR="00CC3B5A" w:rsidRPr="005F0A32" w:rsidRDefault="00CC3B5A" w:rsidP="003C1988">
      <w:pPr>
        <w:autoSpaceDE w:val="0"/>
        <w:autoSpaceDN w:val="0"/>
        <w:adjustRightInd w:val="0"/>
        <w:spacing w:after="0"/>
        <w:rPr>
          <w:rFonts w:ascii="Times New Roman" w:hAnsi="Times New Roman" w:cs="Times New Roman"/>
          <w:sz w:val="24"/>
          <w:szCs w:val="24"/>
        </w:rPr>
      </w:pPr>
    </w:p>
    <w:p w14:paraId="51ECC56D" w14:textId="77777777" w:rsidR="00CC3B5A" w:rsidRPr="005F0A32" w:rsidRDefault="00CC3B5A" w:rsidP="003C1988">
      <w:pPr>
        <w:spacing w:after="0"/>
        <w:rPr>
          <w:rFonts w:ascii="Times New Roman" w:hAnsi="Times New Roman" w:cs="Times New Roman"/>
          <w:sz w:val="24"/>
          <w:szCs w:val="24"/>
        </w:rPr>
      </w:pPr>
      <w:r w:rsidRPr="005F0A32">
        <w:rPr>
          <w:rFonts w:ascii="Times New Roman" w:hAnsi="Times New Roman" w:cs="Times New Roman"/>
          <w:sz w:val="24"/>
          <w:szCs w:val="24"/>
        </w:rPr>
        <w:t xml:space="preserve">Wykaz Klubów i Dziennych Domów „Senior +” – stan na dzień 31.12.2019 </w:t>
      </w:r>
    </w:p>
    <w:tbl>
      <w:tblPr>
        <w:tblW w:w="9072" w:type="dxa"/>
        <w:tblInd w:w="-5"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680"/>
        <w:gridCol w:w="2340"/>
        <w:gridCol w:w="6052"/>
      </w:tblGrid>
      <w:tr w:rsidR="00CC3B5A" w:rsidRPr="0099213E" w14:paraId="5F5906BA" w14:textId="77777777" w:rsidTr="0099213E">
        <w:trPr>
          <w:trHeight w:val="432"/>
        </w:trPr>
        <w:tc>
          <w:tcPr>
            <w:tcW w:w="680" w:type="dxa"/>
            <w:shd w:val="clear" w:color="auto" w:fill="9CC2E5" w:themeFill="accent1" w:themeFillTint="99"/>
            <w:vAlign w:val="center"/>
            <w:hideMark/>
          </w:tcPr>
          <w:p w14:paraId="035EC9A8" w14:textId="77777777" w:rsidR="00CC3B5A" w:rsidRPr="0099213E" w:rsidRDefault="00CC3B5A" w:rsidP="0099213E">
            <w:pPr>
              <w:spacing w:after="0" w:line="240" w:lineRule="auto"/>
              <w:jc w:val="center"/>
              <w:rPr>
                <w:rFonts w:ascii="Times New Roman" w:eastAsia="Times New Roman" w:hAnsi="Times New Roman" w:cs="Times New Roman"/>
                <w:b/>
                <w:bCs/>
                <w:lang w:eastAsia="pl-PL"/>
              </w:rPr>
            </w:pPr>
            <w:r w:rsidRPr="0099213E">
              <w:rPr>
                <w:rFonts w:ascii="Times New Roman" w:eastAsia="Times New Roman" w:hAnsi="Times New Roman" w:cs="Times New Roman"/>
                <w:b/>
                <w:bCs/>
                <w:lang w:eastAsia="pl-PL"/>
              </w:rPr>
              <w:t>Lp.</w:t>
            </w:r>
          </w:p>
        </w:tc>
        <w:tc>
          <w:tcPr>
            <w:tcW w:w="2340" w:type="dxa"/>
            <w:shd w:val="clear" w:color="auto" w:fill="9CC2E5" w:themeFill="accent1" w:themeFillTint="99"/>
            <w:vAlign w:val="center"/>
            <w:hideMark/>
          </w:tcPr>
          <w:p w14:paraId="666AEA73" w14:textId="77777777" w:rsidR="00CC3B5A" w:rsidRPr="0099213E" w:rsidRDefault="00CC3B5A" w:rsidP="0099213E">
            <w:pPr>
              <w:spacing w:after="0" w:line="240" w:lineRule="auto"/>
              <w:jc w:val="center"/>
              <w:rPr>
                <w:rFonts w:ascii="Times New Roman" w:eastAsia="Times New Roman" w:hAnsi="Times New Roman" w:cs="Times New Roman"/>
                <w:b/>
                <w:bCs/>
                <w:lang w:eastAsia="pl-PL"/>
              </w:rPr>
            </w:pPr>
            <w:r w:rsidRPr="0099213E">
              <w:rPr>
                <w:rFonts w:ascii="Times New Roman" w:eastAsia="Times New Roman" w:hAnsi="Times New Roman" w:cs="Times New Roman"/>
                <w:b/>
                <w:bCs/>
                <w:lang w:eastAsia="pl-PL"/>
              </w:rPr>
              <w:t>Gmina</w:t>
            </w:r>
          </w:p>
        </w:tc>
        <w:tc>
          <w:tcPr>
            <w:tcW w:w="6052" w:type="dxa"/>
            <w:shd w:val="clear" w:color="auto" w:fill="9CC2E5" w:themeFill="accent1" w:themeFillTint="99"/>
            <w:vAlign w:val="center"/>
            <w:hideMark/>
          </w:tcPr>
          <w:p w14:paraId="2EB1355D" w14:textId="77777777" w:rsidR="00CC3B5A" w:rsidRPr="0099213E" w:rsidRDefault="00CC3B5A" w:rsidP="0099213E">
            <w:pPr>
              <w:spacing w:after="0" w:line="240" w:lineRule="auto"/>
              <w:jc w:val="center"/>
              <w:rPr>
                <w:rFonts w:ascii="Times New Roman" w:eastAsia="Times New Roman" w:hAnsi="Times New Roman" w:cs="Times New Roman"/>
                <w:b/>
                <w:bCs/>
                <w:lang w:eastAsia="pl-PL"/>
              </w:rPr>
            </w:pPr>
            <w:r w:rsidRPr="0099213E">
              <w:rPr>
                <w:rFonts w:ascii="Times New Roman" w:eastAsia="Times New Roman" w:hAnsi="Times New Roman" w:cs="Times New Roman"/>
                <w:b/>
                <w:bCs/>
                <w:lang w:eastAsia="pl-PL"/>
              </w:rPr>
              <w:t>Nazwa placówki</w:t>
            </w:r>
          </w:p>
        </w:tc>
      </w:tr>
      <w:tr w:rsidR="00CC3B5A" w:rsidRPr="0099213E" w14:paraId="16A37C02" w14:textId="77777777" w:rsidTr="0099213E">
        <w:trPr>
          <w:trHeight w:val="300"/>
        </w:trPr>
        <w:tc>
          <w:tcPr>
            <w:tcW w:w="680" w:type="dxa"/>
            <w:shd w:val="clear" w:color="auto" w:fill="9CC2E5" w:themeFill="accent1" w:themeFillTint="99"/>
            <w:vAlign w:val="center"/>
            <w:hideMark/>
          </w:tcPr>
          <w:p w14:paraId="7563F48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w:t>
            </w:r>
          </w:p>
        </w:tc>
        <w:tc>
          <w:tcPr>
            <w:tcW w:w="2340" w:type="dxa"/>
            <w:shd w:val="clear" w:color="000000" w:fill="FFFFFF"/>
            <w:vAlign w:val="center"/>
            <w:hideMark/>
          </w:tcPr>
          <w:p w14:paraId="16A8823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Czarna Dąbrówka</w:t>
            </w:r>
          </w:p>
        </w:tc>
        <w:tc>
          <w:tcPr>
            <w:tcW w:w="6052" w:type="dxa"/>
            <w:shd w:val="clear" w:color="000000" w:fill="FFFFFF"/>
            <w:vAlign w:val="center"/>
            <w:hideMark/>
          </w:tcPr>
          <w:p w14:paraId="5997264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6D290877" w14:textId="77777777" w:rsidTr="0099213E">
        <w:trPr>
          <w:trHeight w:val="300"/>
        </w:trPr>
        <w:tc>
          <w:tcPr>
            <w:tcW w:w="680" w:type="dxa"/>
            <w:shd w:val="clear" w:color="auto" w:fill="9CC2E5" w:themeFill="accent1" w:themeFillTint="99"/>
            <w:vAlign w:val="center"/>
            <w:hideMark/>
          </w:tcPr>
          <w:p w14:paraId="18D91DE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2.</w:t>
            </w:r>
          </w:p>
        </w:tc>
        <w:tc>
          <w:tcPr>
            <w:tcW w:w="2340" w:type="dxa"/>
            <w:shd w:val="clear" w:color="000000" w:fill="FFFFFF"/>
            <w:vAlign w:val="center"/>
            <w:hideMark/>
          </w:tcPr>
          <w:p w14:paraId="5C5C5A0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Człuchów</w:t>
            </w:r>
          </w:p>
        </w:tc>
        <w:tc>
          <w:tcPr>
            <w:tcW w:w="6052" w:type="dxa"/>
            <w:shd w:val="clear" w:color="000000" w:fill="FFFFFF"/>
            <w:vAlign w:val="center"/>
            <w:hideMark/>
          </w:tcPr>
          <w:p w14:paraId="5DF723E6"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6D3C0D6A" w14:textId="77777777" w:rsidTr="0099213E">
        <w:trPr>
          <w:trHeight w:val="300"/>
        </w:trPr>
        <w:tc>
          <w:tcPr>
            <w:tcW w:w="680" w:type="dxa"/>
            <w:shd w:val="clear" w:color="auto" w:fill="9CC2E5" w:themeFill="accent1" w:themeFillTint="99"/>
            <w:vAlign w:val="center"/>
            <w:hideMark/>
          </w:tcPr>
          <w:p w14:paraId="5A36BC3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3.</w:t>
            </w:r>
          </w:p>
        </w:tc>
        <w:tc>
          <w:tcPr>
            <w:tcW w:w="2340" w:type="dxa"/>
            <w:shd w:val="clear" w:color="000000" w:fill="FFFFFF"/>
            <w:vAlign w:val="center"/>
            <w:hideMark/>
          </w:tcPr>
          <w:p w14:paraId="00E01F2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Kolbudy</w:t>
            </w:r>
          </w:p>
        </w:tc>
        <w:tc>
          <w:tcPr>
            <w:tcW w:w="6052" w:type="dxa"/>
            <w:shd w:val="clear" w:color="000000" w:fill="FFFFFF"/>
            <w:vAlign w:val="center"/>
            <w:hideMark/>
          </w:tcPr>
          <w:p w14:paraId="31177DA6"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5EE235F7" w14:textId="77777777" w:rsidTr="0099213E">
        <w:trPr>
          <w:trHeight w:val="300"/>
        </w:trPr>
        <w:tc>
          <w:tcPr>
            <w:tcW w:w="680" w:type="dxa"/>
            <w:shd w:val="clear" w:color="auto" w:fill="9CC2E5" w:themeFill="accent1" w:themeFillTint="99"/>
            <w:vAlign w:val="center"/>
            <w:hideMark/>
          </w:tcPr>
          <w:p w14:paraId="33DB851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4.</w:t>
            </w:r>
          </w:p>
        </w:tc>
        <w:tc>
          <w:tcPr>
            <w:tcW w:w="2340" w:type="dxa"/>
            <w:shd w:val="clear" w:color="000000" w:fill="FFFFFF"/>
            <w:vAlign w:val="center"/>
            <w:hideMark/>
          </w:tcPr>
          <w:p w14:paraId="078EBDD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Pelplin</w:t>
            </w:r>
          </w:p>
        </w:tc>
        <w:tc>
          <w:tcPr>
            <w:tcW w:w="6052" w:type="dxa"/>
            <w:shd w:val="clear" w:color="000000" w:fill="FFFFFF"/>
            <w:vAlign w:val="center"/>
            <w:hideMark/>
          </w:tcPr>
          <w:p w14:paraId="0A14E6A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7795553E" w14:textId="77777777" w:rsidTr="0099213E">
        <w:trPr>
          <w:trHeight w:val="300"/>
        </w:trPr>
        <w:tc>
          <w:tcPr>
            <w:tcW w:w="680" w:type="dxa"/>
            <w:shd w:val="clear" w:color="auto" w:fill="9CC2E5" w:themeFill="accent1" w:themeFillTint="99"/>
            <w:vAlign w:val="center"/>
            <w:hideMark/>
          </w:tcPr>
          <w:p w14:paraId="273D2AA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5.</w:t>
            </w:r>
          </w:p>
        </w:tc>
        <w:tc>
          <w:tcPr>
            <w:tcW w:w="2340" w:type="dxa"/>
            <w:shd w:val="clear" w:color="000000" w:fill="FFFFFF"/>
            <w:vAlign w:val="center"/>
            <w:hideMark/>
          </w:tcPr>
          <w:p w14:paraId="709963E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Pelplin</w:t>
            </w:r>
          </w:p>
        </w:tc>
        <w:tc>
          <w:tcPr>
            <w:tcW w:w="6052" w:type="dxa"/>
            <w:shd w:val="clear" w:color="000000" w:fill="FFFFFF"/>
            <w:vAlign w:val="center"/>
            <w:hideMark/>
          </w:tcPr>
          <w:p w14:paraId="4799EFE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380D0086" w14:textId="77777777" w:rsidTr="0099213E">
        <w:trPr>
          <w:trHeight w:val="300"/>
        </w:trPr>
        <w:tc>
          <w:tcPr>
            <w:tcW w:w="680" w:type="dxa"/>
            <w:shd w:val="clear" w:color="auto" w:fill="9CC2E5" w:themeFill="accent1" w:themeFillTint="99"/>
            <w:vAlign w:val="center"/>
            <w:hideMark/>
          </w:tcPr>
          <w:p w14:paraId="36F4340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6.</w:t>
            </w:r>
          </w:p>
        </w:tc>
        <w:tc>
          <w:tcPr>
            <w:tcW w:w="2340" w:type="dxa"/>
            <w:shd w:val="clear" w:color="000000" w:fill="FFFFFF"/>
            <w:vAlign w:val="center"/>
            <w:hideMark/>
          </w:tcPr>
          <w:p w14:paraId="517D620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Nowy Dwór Gdański</w:t>
            </w:r>
          </w:p>
        </w:tc>
        <w:tc>
          <w:tcPr>
            <w:tcW w:w="6052" w:type="dxa"/>
            <w:shd w:val="clear" w:color="000000" w:fill="FFFFFF"/>
            <w:vAlign w:val="center"/>
            <w:hideMark/>
          </w:tcPr>
          <w:p w14:paraId="5226DD8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5E6BA496" w14:textId="77777777" w:rsidTr="0099213E">
        <w:trPr>
          <w:trHeight w:val="300"/>
        </w:trPr>
        <w:tc>
          <w:tcPr>
            <w:tcW w:w="680" w:type="dxa"/>
            <w:shd w:val="clear" w:color="auto" w:fill="9CC2E5" w:themeFill="accent1" w:themeFillTint="99"/>
            <w:vAlign w:val="center"/>
            <w:hideMark/>
          </w:tcPr>
          <w:p w14:paraId="65D9D9E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7.</w:t>
            </w:r>
          </w:p>
        </w:tc>
        <w:tc>
          <w:tcPr>
            <w:tcW w:w="2340" w:type="dxa"/>
            <w:shd w:val="clear" w:color="000000" w:fill="FFFFFF"/>
            <w:vAlign w:val="center"/>
            <w:hideMark/>
          </w:tcPr>
          <w:p w14:paraId="7189B98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Przywidz</w:t>
            </w:r>
          </w:p>
        </w:tc>
        <w:tc>
          <w:tcPr>
            <w:tcW w:w="6052" w:type="dxa"/>
            <w:shd w:val="clear" w:color="000000" w:fill="FFFFFF"/>
            <w:vAlign w:val="center"/>
            <w:hideMark/>
          </w:tcPr>
          <w:p w14:paraId="4BA0445E"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7056B633" w14:textId="77777777" w:rsidTr="0099213E">
        <w:trPr>
          <w:trHeight w:val="300"/>
        </w:trPr>
        <w:tc>
          <w:tcPr>
            <w:tcW w:w="680" w:type="dxa"/>
            <w:shd w:val="clear" w:color="auto" w:fill="9CC2E5" w:themeFill="accent1" w:themeFillTint="99"/>
            <w:vAlign w:val="center"/>
            <w:hideMark/>
          </w:tcPr>
          <w:p w14:paraId="6295F18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8.</w:t>
            </w:r>
          </w:p>
        </w:tc>
        <w:tc>
          <w:tcPr>
            <w:tcW w:w="2340" w:type="dxa"/>
            <w:shd w:val="clear" w:color="000000" w:fill="FFFFFF"/>
            <w:vAlign w:val="center"/>
            <w:hideMark/>
          </w:tcPr>
          <w:p w14:paraId="2D6066A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Sadlinki</w:t>
            </w:r>
          </w:p>
        </w:tc>
        <w:tc>
          <w:tcPr>
            <w:tcW w:w="6052" w:type="dxa"/>
            <w:shd w:val="clear" w:color="000000" w:fill="FFFFFF"/>
            <w:vAlign w:val="center"/>
            <w:hideMark/>
          </w:tcPr>
          <w:p w14:paraId="664E992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678360B3" w14:textId="77777777" w:rsidTr="0099213E">
        <w:trPr>
          <w:trHeight w:val="300"/>
        </w:trPr>
        <w:tc>
          <w:tcPr>
            <w:tcW w:w="680" w:type="dxa"/>
            <w:shd w:val="clear" w:color="auto" w:fill="9CC2E5" w:themeFill="accent1" w:themeFillTint="99"/>
            <w:vAlign w:val="center"/>
            <w:hideMark/>
          </w:tcPr>
          <w:p w14:paraId="4998A97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9.</w:t>
            </w:r>
          </w:p>
        </w:tc>
        <w:tc>
          <w:tcPr>
            <w:tcW w:w="2340" w:type="dxa"/>
            <w:shd w:val="clear" w:color="000000" w:fill="FFFFFF"/>
            <w:vAlign w:val="center"/>
            <w:hideMark/>
          </w:tcPr>
          <w:p w14:paraId="00AA9D58"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Rzeczenica</w:t>
            </w:r>
          </w:p>
        </w:tc>
        <w:tc>
          <w:tcPr>
            <w:tcW w:w="6052" w:type="dxa"/>
            <w:shd w:val="clear" w:color="000000" w:fill="FFFFFF"/>
            <w:vAlign w:val="center"/>
            <w:hideMark/>
          </w:tcPr>
          <w:p w14:paraId="2C62DB4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01B59B27" w14:textId="77777777" w:rsidTr="0099213E">
        <w:trPr>
          <w:trHeight w:val="300"/>
        </w:trPr>
        <w:tc>
          <w:tcPr>
            <w:tcW w:w="680" w:type="dxa"/>
            <w:shd w:val="clear" w:color="auto" w:fill="9CC2E5" w:themeFill="accent1" w:themeFillTint="99"/>
            <w:vAlign w:val="center"/>
            <w:hideMark/>
          </w:tcPr>
          <w:p w14:paraId="3621AEE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10.</w:t>
            </w:r>
          </w:p>
        </w:tc>
        <w:tc>
          <w:tcPr>
            <w:tcW w:w="2340" w:type="dxa"/>
            <w:shd w:val="clear" w:color="000000" w:fill="FFFFFF"/>
            <w:vAlign w:val="center"/>
            <w:hideMark/>
          </w:tcPr>
          <w:p w14:paraId="4540678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Kolbudy</w:t>
            </w:r>
          </w:p>
        </w:tc>
        <w:tc>
          <w:tcPr>
            <w:tcW w:w="6052" w:type="dxa"/>
            <w:shd w:val="clear" w:color="000000" w:fill="FFFFFF"/>
            <w:vAlign w:val="center"/>
            <w:hideMark/>
          </w:tcPr>
          <w:p w14:paraId="52CF9C8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6B65D762" w14:textId="77777777" w:rsidTr="0099213E">
        <w:trPr>
          <w:trHeight w:val="300"/>
        </w:trPr>
        <w:tc>
          <w:tcPr>
            <w:tcW w:w="680" w:type="dxa"/>
            <w:shd w:val="clear" w:color="auto" w:fill="9CC2E5" w:themeFill="accent1" w:themeFillTint="99"/>
            <w:vAlign w:val="center"/>
            <w:hideMark/>
          </w:tcPr>
          <w:p w14:paraId="2F0DD70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11.</w:t>
            </w:r>
          </w:p>
        </w:tc>
        <w:tc>
          <w:tcPr>
            <w:tcW w:w="2340" w:type="dxa"/>
            <w:shd w:val="clear" w:color="000000" w:fill="FFFFFF"/>
            <w:vAlign w:val="center"/>
            <w:hideMark/>
          </w:tcPr>
          <w:p w14:paraId="40FFC3D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Słupsk</w:t>
            </w:r>
          </w:p>
        </w:tc>
        <w:tc>
          <w:tcPr>
            <w:tcW w:w="6052" w:type="dxa"/>
            <w:shd w:val="clear" w:color="000000" w:fill="FFFFFF"/>
            <w:vAlign w:val="center"/>
            <w:hideMark/>
          </w:tcPr>
          <w:p w14:paraId="2F0845A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584AABD7" w14:textId="77777777" w:rsidTr="0099213E">
        <w:trPr>
          <w:trHeight w:val="300"/>
        </w:trPr>
        <w:tc>
          <w:tcPr>
            <w:tcW w:w="680" w:type="dxa"/>
            <w:shd w:val="clear" w:color="auto" w:fill="9CC2E5" w:themeFill="accent1" w:themeFillTint="99"/>
            <w:vAlign w:val="center"/>
            <w:hideMark/>
          </w:tcPr>
          <w:p w14:paraId="3D04CD2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12.</w:t>
            </w:r>
          </w:p>
        </w:tc>
        <w:tc>
          <w:tcPr>
            <w:tcW w:w="2340" w:type="dxa"/>
            <w:shd w:val="clear" w:color="000000" w:fill="FFFFFF"/>
            <w:vAlign w:val="center"/>
            <w:hideMark/>
          </w:tcPr>
          <w:p w14:paraId="7C3E2EA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Koczała</w:t>
            </w:r>
          </w:p>
        </w:tc>
        <w:tc>
          <w:tcPr>
            <w:tcW w:w="6052" w:type="dxa"/>
            <w:shd w:val="clear" w:color="000000" w:fill="FFFFFF"/>
            <w:vAlign w:val="center"/>
            <w:hideMark/>
          </w:tcPr>
          <w:p w14:paraId="789070F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5887D22B" w14:textId="77777777" w:rsidTr="0099213E">
        <w:trPr>
          <w:trHeight w:val="300"/>
        </w:trPr>
        <w:tc>
          <w:tcPr>
            <w:tcW w:w="680" w:type="dxa"/>
            <w:shd w:val="clear" w:color="auto" w:fill="9CC2E5" w:themeFill="accent1" w:themeFillTint="99"/>
            <w:vAlign w:val="center"/>
            <w:hideMark/>
          </w:tcPr>
          <w:p w14:paraId="43AF378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13.</w:t>
            </w:r>
          </w:p>
        </w:tc>
        <w:tc>
          <w:tcPr>
            <w:tcW w:w="2340" w:type="dxa"/>
            <w:shd w:val="clear" w:color="000000" w:fill="FFFFFF"/>
            <w:vAlign w:val="center"/>
            <w:hideMark/>
          </w:tcPr>
          <w:p w14:paraId="33F27A3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Morzeszczyn</w:t>
            </w:r>
          </w:p>
        </w:tc>
        <w:tc>
          <w:tcPr>
            <w:tcW w:w="6052" w:type="dxa"/>
            <w:shd w:val="clear" w:color="000000" w:fill="FFFFFF"/>
            <w:vAlign w:val="center"/>
            <w:hideMark/>
          </w:tcPr>
          <w:p w14:paraId="78470B4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7FD3103A" w14:textId="77777777" w:rsidTr="0099213E">
        <w:trPr>
          <w:trHeight w:val="300"/>
        </w:trPr>
        <w:tc>
          <w:tcPr>
            <w:tcW w:w="680" w:type="dxa"/>
            <w:shd w:val="clear" w:color="auto" w:fill="9CC2E5" w:themeFill="accent1" w:themeFillTint="99"/>
            <w:vAlign w:val="center"/>
            <w:hideMark/>
          </w:tcPr>
          <w:p w14:paraId="6D96AAB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14.</w:t>
            </w:r>
          </w:p>
        </w:tc>
        <w:tc>
          <w:tcPr>
            <w:tcW w:w="2340" w:type="dxa"/>
            <w:shd w:val="clear" w:color="000000" w:fill="FFFFFF"/>
            <w:vAlign w:val="center"/>
            <w:hideMark/>
          </w:tcPr>
          <w:p w14:paraId="4820FCC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Sztum </w:t>
            </w:r>
          </w:p>
        </w:tc>
        <w:tc>
          <w:tcPr>
            <w:tcW w:w="6052" w:type="dxa"/>
            <w:shd w:val="clear" w:color="000000" w:fill="FFFFFF"/>
            <w:vAlign w:val="center"/>
            <w:hideMark/>
          </w:tcPr>
          <w:p w14:paraId="348F7D9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34E09FF4" w14:textId="77777777" w:rsidTr="0099213E">
        <w:trPr>
          <w:trHeight w:val="300"/>
        </w:trPr>
        <w:tc>
          <w:tcPr>
            <w:tcW w:w="680" w:type="dxa"/>
            <w:shd w:val="clear" w:color="auto" w:fill="9CC2E5" w:themeFill="accent1" w:themeFillTint="99"/>
            <w:vAlign w:val="center"/>
            <w:hideMark/>
          </w:tcPr>
          <w:p w14:paraId="5F228E9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15.</w:t>
            </w:r>
          </w:p>
        </w:tc>
        <w:tc>
          <w:tcPr>
            <w:tcW w:w="2340" w:type="dxa"/>
            <w:shd w:val="clear" w:color="000000" w:fill="FFFFFF"/>
            <w:noWrap/>
            <w:vAlign w:val="center"/>
            <w:hideMark/>
          </w:tcPr>
          <w:p w14:paraId="4BC5D528"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Chmielno</w:t>
            </w:r>
          </w:p>
        </w:tc>
        <w:tc>
          <w:tcPr>
            <w:tcW w:w="6052" w:type="dxa"/>
            <w:shd w:val="clear" w:color="000000" w:fill="FFFFFF"/>
            <w:noWrap/>
            <w:vAlign w:val="bottom"/>
            <w:hideMark/>
          </w:tcPr>
          <w:p w14:paraId="7F8F3B3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55F0AED1" w14:textId="77777777" w:rsidTr="0099213E">
        <w:trPr>
          <w:trHeight w:val="300"/>
        </w:trPr>
        <w:tc>
          <w:tcPr>
            <w:tcW w:w="680" w:type="dxa"/>
            <w:shd w:val="clear" w:color="auto" w:fill="9CC2E5" w:themeFill="accent1" w:themeFillTint="99"/>
            <w:vAlign w:val="center"/>
            <w:hideMark/>
          </w:tcPr>
          <w:p w14:paraId="286512C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16.</w:t>
            </w:r>
          </w:p>
        </w:tc>
        <w:tc>
          <w:tcPr>
            <w:tcW w:w="2340" w:type="dxa"/>
            <w:shd w:val="clear" w:color="000000" w:fill="FFFFFF"/>
            <w:vAlign w:val="center"/>
            <w:hideMark/>
          </w:tcPr>
          <w:p w14:paraId="488F476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Reda</w:t>
            </w:r>
          </w:p>
        </w:tc>
        <w:tc>
          <w:tcPr>
            <w:tcW w:w="6052" w:type="dxa"/>
            <w:shd w:val="clear" w:color="000000" w:fill="FFFFFF"/>
            <w:vAlign w:val="center"/>
            <w:hideMark/>
          </w:tcPr>
          <w:p w14:paraId="3BB2D05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71F964DE" w14:textId="77777777" w:rsidTr="0099213E">
        <w:trPr>
          <w:trHeight w:val="300"/>
        </w:trPr>
        <w:tc>
          <w:tcPr>
            <w:tcW w:w="680" w:type="dxa"/>
            <w:shd w:val="clear" w:color="auto" w:fill="9CC2E5" w:themeFill="accent1" w:themeFillTint="99"/>
            <w:vAlign w:val="center"/>
            <w:hideMark/>
          </w:tcPr>
          <w:p w14:paraId="0D6F6DC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17.</w:t>
            </w:r>
          </w:p>
        </w:tc>
        <w:tc>
          <w:tcPr>
            <w:tcW w:w="2340" w:type="dxa"/>
            <w:shd w:val="clear" w:color="000000" w:fill="FFFFFF"/>
            <w:noWrap/>
            <w:vAlign w:val="center"/>
            <w:hideMark/>
          </w:tcPr>
          <w:p w14:paraId="06D2593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Wicko</w:t>
            </w:r>
          </w:p>
        </w:tc>
        <w:tc>
          <w:tcPr>
            <w:tcW w:w="6052" w:type="dxa"/>
            <w:shd w:val="clear" w:color="000000" w:fill="FFFFFF"/>
            <w:noWrap/>
            <w:vAlign w:val="bottom"/>
            <w:hideMark/>
          </w:tcPr>
          <w:p w14:paraId="4EB4324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71512C12" w14:textId="77777777" w:rsidTr="0099213E">
        <w:trPr>
          <w:trHeight w:val="300"/>
        </w:trPr>
        <w:tc>
          <w:tcPr>
            <w:tcW w:w="680" w:type="dxa"/>
            <w:shd w:val="clear" w:color="auto" w:fill="9CC2E5" w:themeFill="accent1" w:themeFillTint="99"/>
            <w:vAlign w:val="center"/>
            <w:hideMark/>
          </w:tcPr>
          <w:p w14:paraId="079F96C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18.</w:t>
            </w:r>
          </w:p>
        </w:tc>
        <w:tc>
          <w:tcPr>
            <w:tcW w:w="2340" w:type="dxa"/>
            <w:shd w:val="clear" w:color="000000" w:fill="FFFFFF"/>
            <w:vAlign w:val="center"/>
            <w:hideMark/>
          </w:tcPr>
          <w:p w14:paraId="1067389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Tczew</w:t>
            </w:r>
          </w:p>
        </w:tc>
        <w:tc>
          <w:tcPr>
            <w:tcW w:w="6052" w:type="dxa"/>
            <w:shd w:val="clear" w:color="000000" w:fill="FFFFFF"/>
            <w:vAlign w:val="center"/>
            <w:hideMark/>
          </w:tcPr>
          <w:p w14:paraId="62F1CCF8"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5690D3BF" w14:textId="77777777" w:rsidTr="0099213E">
        <w:trPr>
          <w:trHeight w:val="300"/>
        </w:trPr>
        <w:tc>
          <w:tcPr>
            <w:tcW w:w="680" w:type="dxa"/>
            <w:shd w:val="clear" w:color="auto" w:fill="9CC2E5" w:themeFill="accent1" w:themeFillTint="99"/>
            <w:vAlign w:val="center"/>
            <w:hideMark/>
          </w:tcPr>
          <w:p w14:paraId="5214908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19.</w:t>
            </w:r>
          </w:p>
        </w:tc>
        <w:tc>
          <w:tcPr>
            <w:tcW w:w="2340" w:type="dxa"/>
            <w:shd w:val="clear" w:color="000000" w:fill="FFFFFF"/>
            <w:noWrap/>
            <w:vAlign w:val="center"/>
            <w:hideMark/>
          </w:tcPr>
          <w:p w14:paraId="79FA14C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Skarszewy</w:t>
            </w:r>
          </w:p>
        </w:tc>
        <w:tc>
          <w:tcPr>
            <w:tcW w:w="6052" w:type="dxa"/>
            <w:shd w:val="clear" w:color="000000" w:fill="FFFFFF"/>
            <w:noWrap/>
            <w:hideMark/>
          </w:tcPr>
          <w:p w14:paraId="09FD541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28239BB9" w14:textId="77777777" w:rsidTr="0099213E">
        <w:trPr>
          <w:trHeight w:val="300"/>
        </w:trPr>
        <w:tc>
          <w:tcPr>
            <w:tcW w:w="680" w:type="dxa"/>
            <w:shd w:val="clear" w:color="auto" w:fill="9CC2E5" w:themeFill="accent1" w:themeFillTint="99"/>
            <w:vAlign w:val="center"/>
            <w:hideMark/>
          </w:tcPr>
          <w:p w14:paraId="0D181FD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lastRenderedPageBreak/>
              <w:t>20.</w:t>
            </w:r>
          </w:p>
        </w:tc>
        <w:tc>
          <w:tcPr>
            <w:tcW w:w="2340" w:type="dxa"/>
            <w:shd w:val="clear" w:color="000000" w:fill="FFFFFF"/>
            <w:vAlign w:val="center"/>
            <w:hideMark/>
          </w:tcPr>
          <w:p w14:paraId="718AC36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Dzierzgoń</w:t>
            </w:r>
          </w:p>
        </w:tc>
        <w:tc>
          <w:tcPr>
            <w:tcW w:w="6052" w:type="dxa"/>
            <w:shd w:val="clear" w:color="000000" w:fill="FFFFFF"/>
            <w:vAlign w:val="center"/>
            <w:hideMark/>
          </w:tcPr>
          <w:p w14:paraId="73769AF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51E06791" w14:textId="77777777" w:rsidTr="0099213E">
        <w:trPr>
          <w:trHeight w:val="300"/>
        </w:trPr>
        <w:tc>
          <w:tcPr>
            <w:tcW w:w="680" w:type="dxa"/>
            <w:shd w:val="clear" w:color="auto" w:fill="9CC2E5" w:themeFill="accent1" w:themeFillTint="99"/>
            <w:vAlign w:val="center"/>
            <w:hideMark/>
          </w:tcPr>
          <w:p w14:paraId="7919BF4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21.</w:t>
            </w:r>
          </w:p>
        </w:tc>
        <w:tc>
          <w:tcPr>
            <w:tcW w:w="2340" w:type="dxa"/>
            <w:shd w:val="clear" w:color="000000" w:fill="FFFFFF"/>
            <w:noWrap/>
            <w:vAlign w:val="center"/>
            <w:hideMark/>
          </w:tcPr>
          <w:p w14:paraId="6BCBF40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Gdynia</w:t>
            </w:r>
          </w:p>
        </w:tc>
        <w:tc>
          <w:tcPr>
            <w:tcW w:w="6052" w:type="dxa"/>
            <w:shd w:val="clear" w:color="000000" w:fill="FFFFFF"/>
            <w:noWrap/>
            <w:vAlign w:val="bottom"/>
            <w:hideMark/>
          </w:tcPr>
          <w:p w14:paraId="0A5DF72E"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42D55D41" w14:textId="77777777" w:rsidTr="0099213E">
        <w:trPr>
          <w:trHeight w:val="300"/>
        </w:trPr>
        <w:tc>
          <w:tcPr>
            <w:tcW w:w="680" w:type="dxa"/>
            <w:shd w:val="clear" w:color="auto" w:fill="9CC2E5" w:themeFill="accent1" w:themeFillTint="99"/>
            <w:vAlign w:val="center"/>
            <w:hideMark/>
          </w:tcPr>
          <w:p w14:paraId="28F206E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22.</w:t>
            </w:r>
          </w:p>
        </w:tc>
        <w:tc>
          <w:tcPr>
            <w:tcW w:w="2340" w:type="dxa"/>
            <w:shd w:val="clear" w:color="000000" w:fill="FFFFFF"/>
            <w:vAlign w:val="center"/>
            <w:hideMark/>
          </w:tcPr>
          <w:p w14:paraId="6800CFD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Smołdzino</w:t>
            </w:r>
          </w:p>
        </w:tc>
        <w:tc>
          <w:tcPr>
            <w:tcW w:w="6052" w:type="dxa"/>
            <w:shd w:val="clear" w:color="000000" w:fill="FFFFFF"/>
            <w:vAlign w:val="center"/>
            <w:hideMark/>
          </w:tcPr>
          <w:p w14:paraId="023192B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0F24BB0F" w14:textId="77777777" w:rsidTr="0099213E">
        <w:trPr>
          <w:trHeight w:val="300"/>
        </w:trPr>
        <w:tc>
          <w:tcPr>
            <w:tcW w:w="680" w:type="dxa"/>
            <w:shd w:val="clear" w:color="auto" w:fill="9CC2E5" w:themeFill="accent1" w:themeFillTint="99"/>
            <w:vAlign w:val="center"/>
            <w:hideMark/>
          </w:tcPr>
          <w:p w14:paraId="0E674F0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23.</w:t>
            </w:r>
          </w:p>
        </w:tc>
        <w:tc>
          <w:tcPr>
            <w:tcW w:w="2340" w:type="dxa"/>
            <w:shd w:val="clear" w:color="000000" w:fill="FFFFFF"/>
            <w:vAlign w:val="center"/>
            <w:hideMark/>
          </w:tcPr>
          <w:p w14:paraId="2C4E68F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Mikołajki Pomorskie</w:t>
            </w:r>
          </w:p>
        </w:tc>
        <w:tc>
          <w:tcPr>
            <w:tcW w:w="6052" w:type="dxa"/>
            <w:shd w:val="clear" w:color="000000" w:fill="FFFFFF"/>
            <w:vAlign w:val="center"/>
            <w:hideMark/>
          </w:tcPr>
          <w:p w14:paraId="571D03B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05CCEF43" w14:textId="77777777" w:rsidTr="0099213E">
        <w:trPr>
          <w:trHeight w:val="300"/>
        </w:trPr>
        <w:tc>
          <w:tcPr>
            <w:tcW w:w="680" w:type="dxa"/>
            <w:shd w:val="clear" w:color="auto" w:fill="9CC2E5" w:themeFill="accent1" w:themeFillTint="99"/>
            <w:vAlign w:val="center"/>
            <w:hideMark/>
          </w:tcPr>
          <w:p w14:paraId="0F28E2A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24.</w:t>
            </w:r>
          </w:p>
        </w:tc>
        <w:tc>
          <w:tcPr>
            <w:tcW w:w="2340" w:type="dxa"/>
            <w:shd w:val="clear" w:color="000000" w:fill="FFFFFF"/>
            <w:noWrap/>
            <w:vAlign w:val="center"/>
            <w:hideMark/>
          </w:tcPr>
          <w:p w14:paraId="2E8CD17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Linia</w:t>
            </w:r>
          </w:p>
        </w:tc>
        <w:tc>
          <w:tcPr>
            <w:tcW w:w="6052" w:type="dxa"/>
            <w:shd w:val="clear" w:color="000000" w:fill="FFFFFF"/>
            <w:noWrap/>
            <w:vAlign w:val="center"/>
            <w:hideMark/>
          </w:tcPr>
          <w:p w14:paraId="6B4D0BD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Klub Senior+ </w:t>
            </w:r>
          </w:p>
        </w:tc>
      </w:tr>
      <w:tr w:rsidR="00CC3B5A" w:rsidRPr="0099213E" w14:paraId="16B83A90" w14:textId="77777777" w:rsidTr="0099213E">
        <w:trPr>
          <w:trHeight w:val="300"/>
        </w:trPr>
        <w:tc>
          <w:tcPr>
            <w:tcW w:w="680" w:type="dxa"/>
            <w:shd w:val="clear" w:color="auto" w:fill="9CC2E5" w:themeFill="accent1" w:themeFillTint="99"/>
            <w:vAlign w:val="center"/>
            <w:hideMark/>
          </w:tcPr>
          <w:p w14:paraId="2203860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w:t>
            </w:r>
          </w:p>
        </w:tc>
        <w:tc>
          <w:tcPr>
            <w:tcW w:w="2340" w:type="dxa"/>
            <w:shd w:val="clear" w:color="DDEBF7" w:fill="FFFFFF"/>
            <w:vAlign w:val="center"/>
            <w:hideMark/>
          </w:tcPr>
          <w:p w14:paraId="7C398638"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Miejska Kościerzyna </w:t>
            </w:r>
          </w:p>
        </w:tc>
        <w:tc>
          <w:tcPr>
            <w:tcW w:w="6052" w:type="dxa"/>
            <w:shd w:val="clear" w:color="000000" w:fill="FFFFFF"/>
            <w:vAlign w:val="center"/>
            <w:hideMark/>
          </w:tcPr>
          <w:p w14:paraId="45DEFDB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6D3B1FFD" w14:textId="77777777" w:rsidTr="0099213E">
        <w:trPr>
          <w:trHeight w:val="300"/>
        </w:trPr>
        <w:tc>
          <w:tcPr>
            <w:tcW w:w="680" w:type="dxa"/>
            <w:shd w:val="clear" w:color="auto" w:fill="9CC2E5" w:themeFill="accent1" w:themeFillTint="99"/>
            <w:vAlign w:val="center"/>
            <w:hideMark/>
          </w:tcPr>
          <w:p w14:paraId="34AB5B1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2.</w:t>
            </w:r>
          </w:p>
        </w:tc>
        <w:tc>
          <w:tcPr>
            <w:tcW w:w="2340" w:type="dxa"/>
            <w:shd w:val="clear" w:color="000000" w:fill="FFFFFF"/>
            <w:vAlign w:val="center"/>
            <w:hideMark/>
          </w:tcPr>
          <w:p w14:paraId="2CD149D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Pelplin</w:t>
            </w:r>
          </w:p>
        </w:tc>
        <w:tc>
          <w:tcPr>
            <w:tcW w:w="6052" w:type="dxa"/>
            <w:shd w:val="clear" w:color="000000" w:fill="FFFFFF"/>
            <w:vAlign w:val="center"/>
            <w:hideMark/>
          </w:tcPr>
          <w:p w14:paraId="740B369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395116C3" w14:textId="77777777" w:rsidTr="0099213E">
        <w:trPr>
          <w:trHeight w:val="300"/>
        </w:trPr>
        <w:tc>
          <w:tcPr>
            <w:tcW w:w="680" w:type="dxa"/>
            <w:shd w:val="clear" w:color="auto" w:fill="9CC2E5" w:themeFill="accent1" w:themeFillTint="99"/>
            <w:vAlign w:val="center"/>
            <w:hideMark/>
          </w:tcPr>
          <w:p w14:paraId="10472FF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3.</w:t>
            </w:r>
          </w:p>
        </w:tc>
        <w:tc>
          <w:tcPr>
            <w:tcW w:w="2340" w:type="dxa"/>
            <w:shd w:val="clear" w:color="DDEBF7" w:fill="FFFFFF"/>
            <w:vAlign w:val="center"/>
            <w:hideMark/>
          </w:tcPr>
          <w:p w14:paraId="1607BE5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Czersk</w:t>
            </w:r>
          </w:p>
        </w:tc>
        <w:tc>
          <w:tcPr>
            <w:tcW w:w="6052" w:type="dxa"/>
            <w:shd w:val="clear" w:color="000000" w:fill="FFFFFF"/>
            <w:vAlign w:val="center"/>
            <w:hideMark/>
          </w:tcPr>
          <w:p w14:paraId="421EF95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799E1EE3" w14:textId="77777777" w:rsidTr="0099213E">
        <w:trPr>
          <w:trHeight w:val="300"/>
        </w:trPr>
        <w:tc>
          <w:tcPr>
            <w:tcW w:w="680" w:type="dxa"/>
            <w:shd w:val="clear" w:color="auto" w:fill="9CC2E5" w:themeFill="accent1" w:themeFillTint="99"/>
            <w:vAlign w:val="center"/>
            <w:hideMark/>
          </w:tcPr>
          <w:p w14:paraId="76E31698"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4.</w:t>
            </w:r>
          </w:p>
        </w:tc>
        <w:tc>
          <w:tcPr>
            <w:tcW w:w="2340" w:type="dxa"/>
            <w:shd w:val="clear" w:color="000000" w:fill="FFFFFF"/>
            <w:vAlign w:val="center"/>
            <w:hideMark/>
          </w:tcPr>
          <w:p w14:paraId="00E6CAA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Tuchomie</w:t>
            </w:r>
          </w:p>
        </w:tc>
        <w:tc>
          <w:tcPr>
            <w:tcW w:w="6052" w:type="dxa"/>
            <w:shd w:val="clear" w:color="000000" w:fill="FFFFFF"/>
            <w:vAlign w:val="center"/>
            <w:hideMark/>
          </w:tcPr>
          <w:p w14:paraId="30F9C8EE"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339E9379" w14:textId="77777777" w:rsidTr="0099213E">
        <w:trPr>
          <w:trHeight w:val="300"/>
        </w:trPr>
        <w:tc>
          <w:tcPr>
            <w:tcW w:w="680" w:type="dxa"/>
            <w:shd w:val="clear" w:color="auto" w:fill="9CC2E5" w:themeFill="accent1" w:themeFillTint="99"/>
            <w:vAlign w:val="center"/>
            <w:hideMark/>
          </w:tcPr>
          <w:p w14:paraId="4213DA4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5.</w:t>
            </w:r>
          </w:p>
        </w:tc>
        <w:tc>
          <w:tcPr>
            <w:tcW w:w="2340" w:type="dxa"/>
            <w:shd w:val="clear" w:color="DDEBF7" w:fill="FFFFFF"/>
            <w:vAlign w:val="center"/>
            <w:hideMark/>
          </w:tcPr>
          <w:p w14:paraId="0EAA602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Puck</w:t>
            </w:r>
          </w:p>
        </w:tc>
        <w:tc>
          <w:tcPr>
            <w:tcW w:w="6052" w:type="dxa"/>
            <w:shd w:val="clear" w:color="000000" w:fill="FFFFFF"/>
            <w:vAlign w:val="center"/>
            <w:hideMark/>
          </w:tcPr>
          <w:p w14:paraId="3937FAD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0B3B3AF8" w14:textId="77777777" w:rsidTr="0099213E">
        <w:trPr>
          <w:trHeight w:val="300"/>
        </w:trPr>
        <w:tc>
          <w:tcPr>
            <w:tcW w:w="680" w:type="dxa"/>
            <w:shd w:val="clear" w:color="auto" w:fill="9CC2E5" w:themeFill="accent1" w:themeFillTint="99"/>
            <w:vAlign w:val="center"/>
            <w:hideMark/>
          </w:tcPr>
          <w:p w14:paraId="658C577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6.</w:t>
            </w:r>
          </w:p>
        </w:tc>
        <w:tc>
          <w:tcPr>
            <w:tcW w:w="2340" w:type="dxa"/>
            <w:shd w:val="clear" w:color="000000" w:fill="FFFFFF"/>
            <w:vAlign w:val="center"/>
            <w:hideMark/>
          </w:tcPr>
          <w:p w14:paraId="5404F14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Stara Kiszewa</w:t>
            </w:r>
          </w:p>
        </w:tc>
        <w:tc>
          <w:tcPr>
            <w:tcW w:w="6052" w:type="dxa"/>
            <w:shd w:val="clear" w:color="000000" w:fill="FFFFFF"/>
            <w:vAlign w:val="center"/>
            <w:hideMark/>
          </w:tcPr>
          <w:p w14:paraId="5CAA458E"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4CB51C9F" w14:textId="77777777" w:rsidTr="0099213E">
        <w:trPr>
          <w:trHeight w:val="300"/>
        </w:trPr>
        <w:tc>
          <w:tcPr>
            <w:tcW w:w="680" w:type="dxa"/>
            <w:shd w:val="clear" w:color="auto" w:fill="9CC2E5" w:themeFill="accent1" w:themeFillTint="99"/>
            <w:vAlign w:val="center"/>
            <w:hideMark/>
          </w:tcPr>
          <w:p w14:paraId="7A520286"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7.</w:t>
            </w:r>
          </w:p>
        </w:tc>
        <w:tc>
          <w:tcPr>
            <w:tcW w:w="2340" w:type="dxa"/>
            <w:shd w:val="clear" w:color="DDEBF7" w:fill="FFFFFF"/>
            <w:vAlign w:val="center"/>
            <w:hideMark/>
          </w:tcPr>
          <w:p w14:paraId="3737C4FE"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Gdańsk</w:t>
            </w:r>
          </w:p>
        </w:tc>
        <w:tc>
          <w:tcPr>
            <w:tcW w:w="6052" w:type="dxa"/>
            <w:shd w:val="clear" w:color="000000" w:fill="FFFFFF"/>
            <w:vAlign w:val="center"/>
            <w:hideMark/>
          </w:tcPr>
          <w:p w14:paraId="718D16E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5413AB3D" w14:textId="77777777" w:rsidTr="0099213E">
        <w:trPr>
          <w:trHeight w:val="300"/>
        </w:trPr>
        <w:tc>
          <w:tcPr>
            <w:tcW w:w="680" w:type="dxa"/>
            <w:shd w:val="clear" w:color="auto" w:fill="9CC2E5" w:themeFill="accent1" w:themeFillTint="99"/>
            <w:vAlign w:val="center"/>
            <w:hideMark/>
          </w:tcPr>
          <w:p w14:paraId="5B17E54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8.</w:t>
            </w:r>
          </w:p>
        </w:tc>
        <w:tc>
          <w:tcPr>
            <w:tcW w:w="2340" w:type="dxa"/>
            <w:shd w:val="clear" w:color="000000" w:fill="FFFFFF"/>
            <w:vAlign w:val="center"/>
            <w:hideMark/>
          </w:tcPr>
          <w:p w14:paraId="3EC4267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Pelplin</w:t>
            </w:r>
          </w:p>
        </w:tc>
        <w:tc>
          <w:tcPr>
            <w:tcW w:w="6052" w:type="dxa"/>
            <w:shd w:val="clear" w:color="000000" w:fill="FFFFFF"/>
            <w:vAlign w:val="center"/>
            <w:hideMark/>
          </w:tcPr>
          <w:p w14:paraId="06039FB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6398ED0A" w14:textId="77777777" w:rsidTr="0099213E">
        <w:trPr>
          <w:trHeight w:val="300"/>
        </w:trPr>
        <w:tc>
          <w:tcPr>
            <w:tcW w:w="680" w:type="dxa"/>
            <w:shd w:val="clear" w:color="auto" w:fill="9CC2E5" w:themeFill="accent1" w:themeFillTint="99"/>
            <w:vAlign w:val="center"/>
            <w:hideMark/>
          </w:tcPr>
          <w:p w14:paraId="119D28FE"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9.</w:t>
            </w:r>
          </w:p>
        </w:tc>
        <w:tc>
          <w:tcPr>
            <w:tcW w:w="2340" w:type="dxa"/>
            <w:shd w:val="clear" w:color="DDEBF7" w:fill="FFFFFF"/>
            <w:noWrap/>
            <w:vAlign w:val="center"/>
            <w:hideMark/>
          </w:tcPr>
          <w:p w14:paraId="553A45F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Gdańsk</w:t>
            </w:r>
          </w:p>
        </w:tc>
        <w:tc>
          <w:tcPr>
            <w:tcW w:w="6052" w:type="dxa"/>
            <w:shd w:val="clear" w:color="000000" w:fill="FFFFFF"/>
            <w:hideMark/>
          </w:tcPr>
          <w:p w14:paraId="379B806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319861D9" w14:textId="77777777" w:rsidTr="0099213E">
        <w:trPr>
          <w:trHeight w:val="300"/>
        </w:trPr>
        <w:tc>
          <w:tcPr>
            <w:tcW w:w="680" w:type="dxa"/>
            <w:shd w:val="clear" w:color="auto" w:fill="9CC2E5" w:themeFill="accent1" w:themeFillTint="99"/>
            <w:vAlign w:val="center"/>
            <w:hideMark/>
          </w:tcPr>
          <w:p w14:paraId="7CCA96B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10.</w:t>
            </w:r>
          </w:p>
        </w:tc>
        <w:tc>
          <w:tcPr>
            <w:tcW w:w="2340" w:type="dxa"/>
            <w:shd w:val="clear" w:color="000000" w:fill="FFFFFF"/>
            <w:noWrap/>
            <w:vAlign w:val="center"/>
            <w:hideMark/>
          </w:tcPr>
          <w:p w14:paraId="03059F0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Ryjewo</w:t>
            </w:r>
          </w:p>
        </w:tc>
        <w:tc>
          <w:tcPr>
            <w:tcW w:w="6052" w:type="dxa"/>
            <w:shd w:val="clear" w:color="000000" w:fill="FFFFFF"/>
            <w:noWrap/>
            <w:vAlign w:val="bottom"/>
            <w:hideMark/>
          </w:tcPr>
          <w:p w14:paraId="09B2F61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59B05E73" w14:textId="77777777" w:rsidTr="0099213E">
        <w:trPr>
          <w:trHeight w:val="300"/>
        </w:trPr>
        <w:tc>
          <w:tcPr>
            <w:tcW w:w="680" w:type="dxa"/>
            <w:shd w:val="clear" w:color="auto" w:fill="9CC2E5" w:themeFill="accent1" w:themeFillTint="99"/>
            <w:vAlign w:val="center"/>
            <w:hideMark/>
          </w:tcPr>
          <w:p w14:paraId="3DEE8BD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11.</w:t>
            </w:r>
          </w:p>
        </w:tc>
        <w:tc>
          <w:tcPr>
            <w:tcW w:w="2340" w:type="dxa"/>
            <w:shd w:val="clear" w:color="DDEBF7" w:fill="FFFFFF"/>
            <w:noWrap/>
            <w:vAlign w:val="center"/>
            <w:hideMark/>
          </w:tcPr>
          <w:p w14:paraId="0378067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Dzierzgoń</w:t>
            </w:r>
          </w:p>
        </w:tc>
        <w:tc>
          <w:tcPr>
            <w:tcW w:w="6052" w:type="dxa"/>
            <w:shd w:val="clear" w:color="000000" w:fill="FFFFFF"/>
            <w:noWrap/>
            <w:vAlign w:val="bottom"/>
            <w:hideMark/>
          </w:tcPr>
          <w:p w14:paraId="2E9D0AB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466F00B1" w14:textId="77777777" w:rsidTr="0099213E">
        <w:trPr>
          <w:trHeight w:val="300"/>
        </w:trPr>
        <w:tc>
          <w:tcPr>
            <w:tcW w:w="680" w:type="dxa"/>
            <w:shd w:val="clear" w:color="auto" w:fill="9CC2E5" w:themeFill="accent1" w:themeFillTint="99"/>
            <w:vAlign w:val="center"/>
            <w:hideMark/>
          </w:tcPr>
          <w:p w14:paraId="5E24516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12.</w:t>
            </w:r>
          </w:p>
        </w:tc>
        <w:tc>
          <w:tcPr>
            <w:tcW w:w="2340" w:type="dxa"/>
            <w:shd w:val="clear" w:color="000000" w:fill="FFFFFF"/>
            <w:vAlign w:val="center"/>
            <w:hideMark/>
          </w:tcPr>
          <w:p w14:paraId="3254687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Starogard Gdański</w:t>
            </w:r>
          </w:p>
        </w:tc>
        <w:tc>
          <w:tcPr>
            <w:tcW w:w="6052" w:type="dxa"/>
            <w:shd w:val="clear" w:color="000000" w:fill="FFFFFF"/>
            <w:vAlign w:val="center"/>
            <w:hideMark/>
          </w:tcPr>
          <w:p w14:paraId="6B37601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346CB432" w14:textId="77777777" w:rsidTr="0099213E">
        <w:trPr>
          <w:trHeight w:val="300"/>
        </w:trPr>
        <w:tc>
          <w:tcPr>
            <w:tcW w:w="680" w:type="dxa"/>
            <w:shd w:val="clear" w:color="auto" w:fill="9CC2E5" w:themeFill="accent1" w:themeFillTint="99"/>
            <w:vAlign w:val="center"/>
            <w:hideMark/>
          </w:tcPr>
          <w:p w14:paraId="2B7A5D2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13.</w:t>
            </w:r>
          </w:p>
        </w:tc>
        <w:tc>
          <w:tcPr>
            <w:tcW w:w="2340" w:type="dxa"/>
            <w:shd w:val="clear" w:color="DDEBF7" w:fill="FFFFFF"/>
            <w:noWrap/>
            <w:vAlign w:val="center"/>
            <w:hideMark/>
          </w:tcPr>
          <w:p w14:paraId="10541BE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Skarszewy</w:t>
            </w:r>
          </w:p>
        </w:tc>
        <w:tc>
          <w:tcPr>
            <w:tcW w:w="6052" w:type="dxa"/>
            <w:shd w:val="clear" w:color="000000" w:fill="FFFFFF"/>
            <w:vAlign w:val="center"/>
            <w:hideMark/>
          </w:tcPr>
          <w:p w14:paraId="05C0118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r w:rsidR="00CC3B5A" w:rsidRPr="0099213E" w14:paraId="4A32276F" w14:textId="77777777" w:rsidTr="0099213E">
        <w:trPr>
          <w:trHeight w:val="300"/>
        </w:trPr>
        <w:tc>
          <w:tcPr>
            <w:tcW w:w="680" w:type="dxa"/>
            <w:shd w:val="clear" w:color="auto" w:fill="9CC2E5" w:themeFill="accent1" w:themeFillTint="99"/>
            <w:vAlign w:val="center"/>
            <w:hideMark/>
          </w:tcPr>
          <w:p w14:paraId="4949A15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14.</w:t>
            </w:r>
          </w:p>
        </w:tc>
        <w:tc>
          <w:tcPr>
            <w:tcW w:w="2340" w:type="dxa"/>
            <w:shd w:val="clear" w:color="000000" w:fill="FFFFFF"/>
            <w:vAlign w:val="center"/>
            <w:hideMark/>
          </w:tcPr>
          <w:p w14:paraId="28BEF21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Kwidzyn</w:t>
            </w:r>
          </w:p>
        </w:tc>
        <w:tc>
          <w:tcPr>
            <w:tcW w:w="6052" w:type="dxa"/>
            <w:shd w:val="clear" w:color="000000" w:fill="FFFFFF"/>
            <w:vAlign w:val="center"/>
            <w:hideMark/>
          </w:tcPr>
          <w:p w14:paraId="4059A59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 xml:space="preserve">Dzienny Dom Senior + </w:t>
            </w:r>
          </w:p>
        </w:tc>
      </w:tr>
    </w:tbl>
    <w:p w14:paraId="011FB328" w14:textId="77777777" w:rsidR="00CC3B5A" w:rsidRPr="005F0A32" w:rsidRDefault="00CC3B5A" w:rsidP="003C1988">
      <w:pPr>
        <w:spacing w:after="0"/>
        <w:rPr>
          <w:rFonts w:ascii="Times New Roman" w:hAnsi="Times New Roman" w:cs="Times New Roman"/>
          <w:b/>
          <w:sz w:val="24"/>
          <w:szCs w:val="24"/>
        </w:rPr>
      </w:pPr>
    </w:p>
    <w:p w14:paraId="3828B33D" w14:textId="77777777" w:rsidR="00CC3B5A" w:rsidRPr="005F0A32" w:rsidRDefault="00CC3B5A" w:rsidP="00E7359C">
      <w:pPr>
        <w:spacing w:after="0"/>
        <w:jc w:val="both"/>
        <w:rPr>
          <w:rFonts w:ascii="Times New Roman" w:hAnsi="Times New Roman" w:cs="Times New Roman"/>
          <w:b/>
          <w:sz w:val="24"/>
          <w:szCs w:val="24"/>
        </w:rPr>
      </w:pPr>
      <w:r w:rsidRPr="005F0A32">
        <w:rPr>
          <w:rFonts w:ascii="Times New Roman" w:hAnsi="Times New Roman" w:cs="Times New Roman"/>
          <w:b/>
          <w:sz w:val="24"/>
          <w:szCs w:val="24"/>
        </w:rPr>
        <w:t xml:space="preserve">Rady seniorów </w:t>
      </w:r>
    </w:p>
    <w:p w14:paraId="0C70FD5C" w14:textId="77777777" w:rsidR="00CC3B5A" w:rsidRPr="005F0A32" w:rsidRDefault="00CC3B5A" w:rsidP="00E7359C">
      <w:pPr>
        <w:tabs>
          <w:tab w:val="left" w:pos="567"/>
        </w:tabs>
        <w:spacing w:after="0"/>
        <w:jc w:val="both"/>
        <w:rPr>
          <w:rFonts w:ascii="Times New Roman" w:hAnsi="Times New Roman" w:cs="Times New Roman"/>
          <w:color w:val="000000"/>
          <w:sz w:val="24"/>
          <w:szCs w:val="24"/>
        </w:rPr>
      </w:pPr>
      <w:r w:rsidRPr="005F0A32">
        <w:rPr>
          <w:rFonts w:ascii="Times New Roman" w:hAnsi="Times New Roman" w:cs="Times New Roman"/>
          <w:color w:val="000000"/>
          <w:sz w:val="24"/>
          <w:szCs w:val="24"/>
        </w:rPr>
        <w:t>W 2019 r. w województwie pomorskim liczba gmin posiadających Radę Seniorów wzrosła do 35 (28,5% gmin). Podobnie jak w poprzednich okresach sprawozda</w:t>
      </w:r>
      <w:r w:rsidR="003D508A">
        <w:rPr>
          <w:rFonts w:ascii="Times New Roman" w:hAnsi="Times New Roman" w:cs="Times New Roman"/>
          <w:color w:val="000000"/>
          <w:sz w:val="24"/>
          <w:szCs w:val="24"/>
        </w:rPr>
        <w:t>wczych, na dzień 31.12.2019 r.</w:t>
      </w:r>
      <w:r w:rsidRPr="005F0A32">
        <w:rPr>
          <w:rFonts w:ascii="Times New Roman" w:hAnsi="Times New Roman" w:cs="Times New Roman"/>
          <w:color w:val="000000"/>
          <w:sz w:val="24"/>
          <w:szCs w:val="24"/>
        </w:rPr>
        <w:t xml:space="preserve"> największy odsetek Rad Seniorów posiadają miasta na prawach powiatu,</w:t>
      </w:r>
      <w:r w:rsidR="000C663F">
        <w:rPr>
          <w:rFonts w:ascii="Times New Roman" w:hAnsi="Times New Roman" w:cs="Times New Roman"/>
          <w:color w:val="000000"/>
          <w:sz w:val="24"/>
          <w:szCs w:val="24"/>
        </w:rPr>
        <w:t xml:space="preserve"> najmniejszy – gminy wiejskie. </w:t>
      </w:r>
      <w:r w:rsidRPr="005F0A32">
        <w:rPr>
          <w:rFonts w:ascii="Times New Roman" w:hAnsi="Times New Roman" w:cs="Times New Roman"/>
          <w:color w:val="000000"/>
          <w:sz w:val="24"/>
          <w:szCs w:val="24"/>
        </w:rPr>
        <w:t>Liderem w zakresie obywatelskości Seniorów jest powiat słupski, gdzie 60% gmin utworzyło gminną Radę Seniorów.</w:t>
      </w:r>
    </w:p>
    <w:p w14:paraId="65B47B53" w14:textId="77777777" w:rsidR="00CC3B5A" w:rsidRPr="005F0A32" w:rsidRDefault="00CC3B5A" w:rsidP="003C1988">
      <w:pPr>
        <w:tabs>
          <w:tab w:val="left" w:pos="567"/>
        </w:tabs>
        <w:spacing w:after="0"/>
        <w:rPr>
          <w:rFonts w:ascii="Times New Roman" w:hAnsi="Times New Roman" w:cs="Times New Roman"/>
          <w:color w:val="000000"/>
          <w:sz w:val="24"/>
          <w:szCs w:val="24"/>
        </w:rPr>
      </w:pPr>
    </w:p>
    <w:p w14:paraId="57EC153D" w14:textId="77777777" w:rsidR="00CC3B5A" w:rsidRPr="005F0A32" w:rsidRDefault="00CC3B5A" w:rsidP="003C1988">
      <w:pPr>
        <w:tabs>
          <w:tab w:val="left" w:pos="567"/>
        </w:tabs>
        <w:spacing w:after="0"/>
        <w:rPr>
          <w:rFonts w:ascii="Times New Roman" w:hAnsi="Times New Roman" w:cs="Times New Roman"/>
          <w:color w:val="000000"/>
          <w:sz w:val="24"/>
          <w:szCs w:val="24"/>
        </w:rPr>
      </w:pPr>
      <w:r w:rsidRPr="005F0A32">
        <w:rPr>
          <w:rFonts w:ascii="Times New Roman" w:hAnsi="Times New Roman" w:cs="Times New Roman"/>
          <w:color w:val="000000"/>
          <w:sz w:val="24"/>
          <w:szCs w:val="24"/>
        </w:rPr>
        <w:t xml:space="preserve">Wykaz gminnych rad seniorów – stan na dzień 31.12.2019 </w:t>
      </w:r>
      <w:r w:rsidR="003D508A">
        <w:rPr>
          <w:rFonts w:ascii="Times New Roman" w:hAnsi="Times New Roman" w:cs="Times New Roman"/>
          <w:color w:val="000000"/>
          <w:sz w:val="24"/>
          <w:szCs w:val="24"/>
        </w:rPr>
        <w:t xml:space="preserve">r. </w:t>
      </w:r>
      <w:r w:rsidRPr="005F0A32">
        <w:rPr>
          <w:rFonts w:ascii="Times New Roman" w:hAnsi="Times New Roman" w:cs="Times New Roman"/>
          <w:color w:val="000000"/>
          <w:sz w:val="24"/>
          <w:szCs w:val="24"/>
        </w:rPr>
        <w:t>(opracowanie własne):</w:t>
      </w:r>
    </w:p>
    <w:tbl>
      <w:tblPr>
        <w:tblW w:w="9072" w:type="dxa"/>
        <w:tblInd w:w="-5"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CellMar>
          <w:left w:w="70" w:type="dxa"/>
          <w:right w:w="70" w:type="dxa"/>
        </w:tblCellMar>
        <w:tblLook w:val="04A0" w:firstRow="1" w:lastRow="0" w:firstColumn="1" w:lastColumn="0" w:noHBand="0" w:noVBand="1"/>
      </w:tblPr>
      <w:tblGrid>
        <w:gridCol w:w="614"/>
        <w:gridCol w:w="1367"/>
        <w:gridCol w:w="3406"/>
        <w:gridCol w:w="3685"/>
      </w:tblGrid>
      <w:tr w:rsidR="00CC3B5A" w:rsidRPr="0099213E" w14:paraId="0AC5F22E" w14:textId="77777777" w:rsidTr="003D1B50">
        <w:trPr>
          <w:trHeight w:val="397"/>
        </w:trPr>
        <w:tc>
          <w:tcPr>
            <w:tcW w:w="614" w:type="dxa"/>
            <w:shd w:val="clear" w:color="auto" w:fill="9CC2E5" w:themeFill="accent1" w:themeFillTint="99"/>
            <w:noWrap/>
            <w:vAlign w:val="bottom"/>
            <w:hideMark/>
          </w:tcPr>
          <w:p w14:paraId="16F7A931" w14:textId="77777777" w:rsidR="00CC3B5A" w:rsidRPr="0099213E" w:rsidRDefault="00CC3B5A" w:rsidP="0099213E">
            <w:pPr>
              <w:spacing w:after="0" w:line="240" w:lineRule="auto"/>
              <w:jc w:val="center"/>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L.p.</w:t>
            </w:r>
          </w:p>
        </w:tc>
        <w:tc>
          <w:tcPr>
            <w:tcW w:w="1367" w:type="dxa"/>
            <w:shd w:val="clear" w:color="auto" w:fill="9CC2E5" w:themeFill="accent1" w:themeFillTint="99"/>
            <w:noWrap/>
            <w:vAlign w:val="bottom"/>
            <w:hideMark/>
          </w:tcPr>
          <w:p w14:paraId="36228316" w14:textId="77777777" w:rsidR="00CC3B5A" w:rsidRPr="0099213E" w:rsidRDefault="00CC3B5A" w:rsidP="0099213E">
            <w:pPr>
              <w:spacing w:after="0" w:line="240" w:lineRule="auto"/>
              <w:jc w:val="center"/>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Powiat</w:t>
            </w:r>
          </w:p>
        </w:tc>
        <w:tc>
          <w:tcPr>
            <w:tcW w:w="7091" w:type="dxa"/>
            <w:gridSpan w:val="2"/>
            <w:shd w:val="clear" w:color="auto" w:fill="9CC2E5" w:themeFill="accent1" w:themeFillTint="99"/>
            <w:noWrap/>
            <w:vAlign w:val="bottom"/>
            <w:hideMark/>
          </w:tcPr>
          <w:p w14:paraId="650BA501" w14:textId="77777777" w:rsidR="00CC3B5A" w:rsidRPr="0099213E" w:rsidRDefault="00CC3B5A" w:rsidP="0099213E">
            <w:pPr>
              <w:spacing w:after="0" w:line="240" w:lineRule="auto"/>
              <w:jc w:val="center"/>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Gmina</w:t>
            </w:r>
          </w:p>
        </w:tc>
      </w:tr>
      <w:tr w:rsidR="00CC3B5A" w:rsidRPr="0099213E" w14:paraId="0647EEF0" w14:textId="77777777" w:rsidTr="003D1B50">
        <w:trPr>
          <w:trHeight w:val="397"/>
        </w:trPr>
        <w:tc>
          <w:tcPr>
            <w:tcW w:w="614" w:type="dxa"/>
            <w:shd w:val="clear" w:color="auto" w:fill="9CC2E5" w:themeFill="accent1" w:themeFillTint="99"/>
            <w:noWrap/>
            <w:vAlign w:val="bottom"/>
            <w:hideMark/>
          </w:tcPr>
          <w:p w14:paraId="66E887E1"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1.</w:t>
            </w:r>
          </w:p>
        </w:tc>
        <w:tc>
          <w:tcPr>
            <w:tcW w:w="1367" w:type="dxa"/>
            <w:shd w:val="clear" w:color="000000" w:fill="FFFFFF"/>
            <w:noWrap/>
            <w:vAlign w:val="bottom"/>
            <w:hideMark/>
          </w:tcPr>
          <w:p w14:paraId="01B1B34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bytowski</w:t>
            </w:r>
          </w:p>
        </w:tc>
        <w:tc>
          <w:tcPr>
            <w:tcW w:w="3406" w:type="dxa"/>
            <w:shd w:val="clear" w:color="000000" w:fill="FFFFFF"/>
            <w:noWrap/>
            <w:vAlign w:val="bottom"/>
            <w:hideMark/>
          </w:tcPr>
          <w:p w14:paraId="1937A44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Bytów</w:t>
            </w:r>
          </w:p>
        </w:tc>
        <w:tc>
          <w:tcPr>
            <w:tcW w:w="3685" w:type="dxa"/>
            <w:shd w:val="clear" w:color="000000" w:fill="FFFFFF"/>
            <w:noWrap/>
            <w:vAlign w:val="bottom"/>
            <w:hideMark/>
          </w:tcPr>
          <w:p w14:paraId="06A515F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miejsko-wiejska</w:t>
            </w:r>
          </w:p>
        </w:tc>
      </w:tr>
      <w:tr w:rsidR="00CC3B5A" w:rsidRPr="0099213E" w14:paraId="5EE55685" w14:textId="77777777" w:rsidTr="003D1B50">
        <w:trPr>
          <w:trHeight w:val="397"/>
        </w:trPr>
        <w:tc>
          <w:tcPr>
            <w:tcW w:w="614" w:type="dxa"/>
            <w:shd w:val="clear" w:color="auto" w:fill="9CC2E5" w:themeFill="accent1" w:themeFillTint="99"/>
            <w:noWrap/>
            <w:vAlign w:val="bottom"/>
            <w:hideMark/>
          </w:tcPr>
          <w:p w14:paraId="10A610A2"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2.</w:t>
            </w:r>
          </w:p>
        </w:tc>
        <w:tc>
          <w:tcPr>
            <w:tcW w:w="1367" w:type="dxa"/>
            <w:shd w:val="clear" w:color="000000" w:fill="FFFFFF"/>
            <w:noWrap/>
            <w:vAlign w:val="bottom"/>
            <w:hideMark/>
          </w:tcPr>
          <w:p w14:paraId="4DD8C71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bytowski</w:t>
            </w:r>
          </w:p>
        </w:tc>
        <w:tc>
          <w:tcPr>
            <w:tcW w:w="3406" w:type="dxa"/>
            <w:shd w:val="clear" w:color="000000" w:fill="FFFFFF"/>
            <w:noWrap/>
            <w:vAlign w:val="bottom"/>
            <w:hideMark/>
          </w:tcPr>
          <w:p w14:paraId="105B2FC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Tuchomie</w:t>
            </w:r>
          </w:p>
        </w:tc>
        <w:tc>
          <w:tcPr>
            <w:tcW w:w="3685" w:type="dxa"/>
            <w:shd w:val="clear" w:color="000000" w:fill="FFFFFF"/>
            <w:noWrap/>
            <w:vAlign w:val="bottom"/>
            <w:hideMark/>
          </w:tcPr>
          <w:p w14:paraId="1543A388"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wiejska</w:t>
            </w:r>
          </w:p>
        </w:tc>
      </w:tr>
      <w:tr w:rsidR="00CC3B5A" w:rsidRPr="0099213E" w14:paraId="39B249F2" w14:textId="77777777" w:rsidTr="003D1B50">
        <w:trPr>
          <w:trHeight w:val="397"/>
        </w:trPr>
        <w:tc>
          <w:tcPr>
            <w:tcW w:w="614" w:type="dxa"/>
            <w:shd w:val="clear" w:color="auto" w:fill="9CC2E5" w:themeFill="accent1" w:themeFillTint="99"/>
            <w:noWrap/>
            <w:vAlign w:val="bottom"/>
            <w:hideMark/>
          </w:tcPr>
          <w:p w14:paraId="1F351C69"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3.</w:t>
            </w:r>
          </w:p>
        </w:tc>
        <w:tc>
          <w:tcPr>
            <w:tcW w:w="1367" w:type="dxa"/>
            <w:shd w:val="clear" w:color="000000" w:fill="FFFFFF"/>
            <w:noWrap/>
            <w:vAlign w:val="bottom"/>
            <w:hideMark/>
          </w:tcPr>
          <w:p w14:paraId="538FB7C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chojnicki</w:t>
            </w:r>
          </w:p>
        </w:tc>
        <w:tc>
          <w:tcPr>
            <w:tcW w:w="3406" w:type="dxa"/>
            <w:shd w:val="clear" w:color="000000" w:fill="FFFFFF"/>
            <w:noWrap/>
            <w:vAlign w:val="bottom"/>
            <w:hideMark/>
          </w:tcPr>
          <w:p w14:paraId="4B8AC3C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Chojnice</w:t>
            </w:r>
          </w:p>
        </w:tc>
        <w:tc>
          <w:tcPr>
            <w:tcW w:w="3685" w:type="dxa"/>
            <w:shd w:val="clear" w:color="000000" w:fill="FFFFFF"/>
            <w:noWrap/>
            <w:vAlign w:val="bottom"/>
            <w:hideMark/>
          </w:tcPr>
          <w:p w14:paraId="2586A69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4A624F67" w14:textId="77777777" w:rsidTr="003D1B50">
        <w:trPr>
          <w:trHeight w:val="397"/>
        </w:trPr>
        <w:tc>
          <w:tcPr>
            <w:tcW w:w="614" w:type="dxa"/>
            <w:shd w:val="clear" w:color="auto" w:fill="9CC2E5" w:themeFill="accent1" w:themeFillTint="99"/>
            <w:noWrap/>
            <w:vAlign w:val="bottom"/>
            <w:hideMark/>
          </w:tcPr>
          <w:p w14:paraId="07CBA741"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4.</w:t>
            </w:r>
          </w:p>
        </w:tc>
        <w:tc>
          <w:tcPr>
            <w:tcW w:w="1367" w:type="dxa"/>
            <w:shd w:val="clear" w:color="000000" w:fill="FFFFFF"/>
            <w:noWrap/>
            <w:vAlign w:val="bottom"/>
            <w:hideMark/>
          </w:tcPr>
          <w:p w14:paraId="2ADC100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chojnicki</w:t>
            </w:r>
          </w:p>
        </w:tc>
        <w:tc>
          <w:tcPr>
            <w:tcW w:w="3406" w:type="dxa"/>
            <w:shd w:val="clear" w:color="000000" w:fill="FFFFFF"/>
            <w:noWrap/>
            <w:vAlign w:val="bottom"/>
            <w:hideMark/>
          </w:tcPr>
          <w:p w14:paraId="575FA4D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Czersk</w:t>
            </w:r>
          </w:p>
        </w:tc>
        <w:tc>
          <w:tcPr>
            <w:tcW w:w="3685" w:type="dxa"/>
            <w:shd w:val="clear" w:color="000000" w:fill="FFFFFF"/>
            <w:noWrap/>
            <w:vAlign w:val="bottom"/>
            <w:hideMark/>
          </w:tcPr>
          <w:p w14:paraId="0B43FD8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miejsko-wiejska</w:t>
            </w:r>
          </w:p>
        </w:tc>
      </w:tr>
      <w:tr w:rsidR="00CC3B5A" w:rsidRPr="0099213E" w14:paraId="54BE5170" w14:textId="77777777" w:rsidTr="003D1B50">
        <w:trPr>
          <w:trHeight w:val="397"/>
        </w:trPr>
        <w:tc>
          <w:tcPr>
            <w:tcW w:w="614" w:type="dxa"/>
            <w:shd w:val="clear" w:color="auto" w:fill="9CC2E5" w:themeFill="accent1" w:themeFillTint="99"/>
            <w:noWrap/>
            <w:vAlign w:val="bottom"/>
            <w:hideMark/>
          </w:tcPr>
          <w:p w14:paraId="388D0C11"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5.</w:t>
            </w:r>
          </w:p>
        </w:tc>
        <w:tc>
          <w:tcPr>
            <w:tcW w:w="1367" w:type="dxa"/>
            <w:shd w:val="clear" w:color="000000" w:fill="FFFFFF"/>
            <w:noWrap/>
            <w:vAlign w:val="bottom"/>
            <w:hideMark/>
          </w:tcPr>
          <w:p w14:paraId="1614C65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człuchowski</w:t>
            </w:r>
          </w:p>
        </w:tc>
        <w:tc>
          <w:tcPr>
            <w:tcW w:w="3406" w:type="dxa"/>
            <w:shd w:val="clear" w:color="000000" w:fill="FFFFFF"/>
            <w:noWrap/>
            <w:vAlign w:val="bottom"/>
            <w:hideMark/>
          </w:tcPr>
          <w:p w14:paraId="360A9DA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Czarne</w:t>
            </w:r>
          </w:p>
        </w:tc>
        <w:tc>
          <w:tcPr>
            <w:tcW w:w="3685" w:type="dxa"/>
            <w:shd w:val="clear" w:color="000000" w:fill="FFFFFF"/>
            <w:noWrap/>
            <w:vAlign w:val="bottom"/>
            <w:hideMark/>
          </w:tcPr>
          <w:p w14:paraId="504DD3A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miejsko-wiejska</w:t>
            </w:r>
          </w:p>
        </w:tc>
      </w:tr>
      <w:tr w:rsidR="00CC3B5A" w:rsidRPr="0099213E" w14:paraId="493C3937" w14:textId="77777777" w:rsidTr="003D1B50">
        <w:trPr>
          <w:trHeight w:val="397"/>
        </w:trPr>
        <w:tc>
          <w:tcPr>
            <w:tcW w:w="614" w:type="dxa"/>
            <w:shd w:val="clear" w:color="auto" w:fill="9CC2E5" w:themeFill="accent1" w:themeFillTint="99"/>
            <w:noWrap/>
            <w:vAlign w:val="bottom"/>
            <w:hideMark/>
          </w:tcPr>
          <w:p w14:paraId="24471B5E"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6.</w:t>
            </w:r>
          </w:p>
        </w:tc>
        <w:tc>
          <w:tcPr>
            <w:tcW w:w="1367" w:type="dxa"/>
            <w:shd w:val="clear" w:color="000000" w:fill="FFFFFF"/>
            <w:noWrap/>
            <w:vAlign w:val="bottom"/>
            <w:hideMark/>
          </w:tcPr>
          <w:p w14:paraId="56F1AB48"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człuchowski</w:t>
            </w:r>
          </w:p>
        </w:tc>
        <w:tc>
          <w:tcPr>
            <w:tcW w:w="3406" w:type="dxa"/>
            <w:shd w:val="clear" w:color="000000" w:fill="FFFFFF"/>
            <w:noWrap/>
            <w:vAlign w:val="bottom"/>
            <w:hideMark/>
          </w:tcPr>
          <w:p w14:paraId="1044C39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Człuchów</w:t>
            </w:r>
          </w:p>
        </w:tc>
        <w:tc>
          <w:tcPr>
            <w:tcW w:w="3685" w:type="dxa"/>
            <w:shd w:val="clear" w:color="000000" w:fill="FFFFFF"/>
            <w:noWrap/>
            <w:vAlign w:val="bottom"/>
            <w:hideMark/>
          </w:tcPr>
          <w:p w14:paraId="39108146"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16BE44C9" w14:textId="77777777" w:rsidTr="003D1B50">
        <w:trPr>
          <w:trHeight w:val="397"/>
        </w:trPr>
        <w:tc>
          <w:tcPr>
            <w:tcW w:w="614" w:type="dxa"/>
            <w:shd w:val="clear" w:color="auto" w:fill="9CC2E5" w:themeFill="accent1" w:themeFillTint="99"/>
            <w:noWrap/>
            <w:vAlign w:val="bottom"/>
            <w:hideMark/>
          </w:tcPr>
          <w:p w14:paraId="266BC434"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7.</w:t>
            </w:r>
          </w:p>
        </w:tc>
        <w:tc>
          <w:tcPr>
            <w:tcW w:w="1367" w:type="dxa"/>
            <w:shd w:val="clear" w:color="000000" w:fill="FFFFFF"/>
            <w:noWrap/>
            <w:vAlign w:val="bottom"/>
            <w:hideMark/>
          </w:tcPr>
          <w:p w14:paraId="0F52D4D6"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człuchowski</w:t>
            </w:r>
          </w:p>
        </w:tc>
        <w:tc>
          <w:tcPr>
            <w:tcW w:w="3406" w:type="dxa"/>
            <w:shd w:val="clear" w:color="000000" w:fill="FFFFFF"/>
            <w:noWrap/>
            <w:vAlign w:val="bottom"/>
            <w:hideMark/>
          </w:tcPr>
          <w:p w14:paraId="77BBD65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Debrzno</w:t>
            </w:r>
          </w:p>
        </w:tc>
        <w:tc>
          <w:tcPr>
            <w:tcW w:w="3685" w:type="dxa"/>
            <w:shd w:val="clear" w:color="000000" w:fill="FFFFFF"/>
            <w:noWrap/>
            <w:vAlign w:val="bottom"/>
            <w:hideMark/>
          </w:tcPr>
          <w:p w14:paraId="7C1A446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miejsko-wiejska</w:t>
            </w:r>
          </w:p>
        </w:tc>
      </w:tr>
      <w:tr w:rsidR="00CC3B5A" w:rsidRPr="0099213E" w14:paraId="522E46D1" w14:textId="77777777" w:rsidTr="003D1B50">
        <w:trPr>
          <w:trHeight w:val="397"/>
        </w:trPr>
        <w:tc>
          <w:tcPr>
            <w:tcW w:w="614" w:type="dxa"/>
            <w:shd w:val="clear" w:color="auto" w:fill="9CC2E5" w:themeFill="accent1" w:themeFillTint="99"/>
            <w:noWrap/>
            <w:vAlign w:val="bottom"/>
            <w:hideMark/>
          </w:tcPr>
          <w:p w14:paraId="1C619D20"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8.</w:t>
            </w:r>
          </w:p>
        </w:tc>
        <w:tc>
          <w:tcPr>
            <w:tcW w:w="1367" w:type="dxa"/>
            <w:shd w:val="clear" w:color="000000" w:fill="FFFFFF"/>
            <w:noWrap/>
            <w:vAlign w:val="bottom"/>
            <w:hideMark/>
          </w:tcPr>
          <w:p w14:paraId="67D5A0C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Gdańsk</w:t>
            </w:r>
          </w:p>
        </w:tc>
        <w:tc>
          <w:tcPr>
            <w:tcW w:w="3406" w:type="dxa"/>
            <w:shd w:val="clear" w:color="000000" w:fill="FFFFFF"/>
            <w:noWrap/>
            <w:vAlign w:val="bottom"/>
            <w:hideMark/>
          </w:tcPr>
          <w:p w14:paraId="0984D49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 Gdańsk</w:t>
            </w:r>
          </w:p>
        </w:tc>
        <w:tc>
          <w:tcPr>
            <w:tcW w:w="3685" w:type="dxa"/>
            <w:shd w:val="clear" w:color="000000" w:fill="FFFFFF"/>
            <w:noWrap/>
            <w:vAlign w:val="bottom"/>
            <w:hideMark/>
          </w:tcPr>
          <w:p w14:paraId="47DBB15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2C9E6001" w14:textId="77777777" w:rsidTr="003D1B50">
        <w:trPr>
          <w:trHeight w:val="397"/>
        </w:trPr>
        <w:tc>
          <w:tcPr>
            <w:tcW w:w="614" w:type="dxa"/>
            <w:shd w:val="clear" w:color="auto" w:fill="9CC2E5" w:themeFill="accent1" w:themeFillTint="99"/>
            <w:noWrap/>
            <w:vAlign w:val="bottom"/>
            <w:hideMark/>
          </w:tcPr>
          <w:p w14:paraId="545FAA53"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9.</w:t>
            </w:r>
          </w:p>
        </w:tc>
        <w:tc>
          <w:tcPr>
            <w:tcW w:w="1367" w:type="dxa"/>
            <w:shd w:val="clear" w:color="000000" w:fill="FFFFFF"/>
            <w:noWrap/>
            <w:vAlign w:val="bottom"/>
            <w:hideMark/>
          </w:tcPr>
          <w:p w14:paraId="7516094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gdański</w:t>
            </w:r>
          </w:p>
        </w:tc>
        <w:tc>
          <w:tcPr>
            <w:tcW w:w="3406" w:type="dxa"/>
            <w:shd w:val="clear" w:color="000000" w:fill="FFFFFF"/>
            <w:noWrap/>
            <w:vAlign w:val="bottom"/>
            <w:hideMark/>
          </w:tcPr>
          <w:p w14:paraId="696F659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Kolbudy</w:t>
            </w:r>
          </w:p>
        </w:tc>
        <w:tc>
          <w:tcPr>
            <w:tcW w:w="3685" w:type="dxa"/>
            <w:shd w:val="clear" w:color="000000" w:fill="FFFFFF"/>
            <w:noWrap/>
            <w:vAlign w:val="bottom"/>
            <w:hideMark/>
          </w:tcPr>
          <w:p w14:paraId="7199996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wiejska</w:t>
            </w:r>
          </w:p>
        </w:tc>
      </w:tr>
      <w:tr w:rsidR="00CC3B5A" w:rsidRPr="0099213E" w14:paraId="2EB25D5D" w14:textId="77777777" w:rsidTr="003D1B50">
        <w:trPr>
          <w:trHeight w:val="397"/>
        </w:trPr>
        <w:tc>
          <w:tcPr>
            <w:tcW w:w="614" w:type="dxa"/>
            <w:shd w:val="clear" w:color="auto" w:fill="9CC2E5" w:themeFill="accent1" w:themeFillTint="99"/>
            <w:noWrap/>
            <w:vAlign w:val="bottom"/>
            <w:hideMark/>
          </w:tcPr>
          <w:p w14:paraId="52D5D5B6"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10.</w:t>
            </w:r>
          </w:p>
        </w:tc>
        <w:tc>
          <w:tcPr>
            <w:tcW w:w="1367" w:type="dxa"/>
            <w:shd w:val="clear" w:color="000000" w:fill="FFFFFF"/>
            <w:noWrap/>
            <w:vAlign w:val="bottom"/>
            <w:hideMark/>
          </w:tcPr>
          <w:p w14:paraId="70748EA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gdański</w:t>
            </w:r>
          </w:p>
        </w:tc>
        <w:tc>
          <w:tcPr>
            <w:tcW w:w="3406" w:type="dxa"/>
            <w:shd w:val="clear" w:color="000000" w:fill="FFFFFF"/>
            <w:noWrap/>
            <w:vAlign w:val="bottom"/>
            <w:hideMark/>
          </w:tcPr>
          <w:p w14:paraId="4292110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Pruszcz Gdański</w:t>
            </w:r>
          </w:p>
        </w:tc>
        <w:tc>
          <w:tcPr>
            <w:tcW w:w="3685" w:type="dxa"/>
            <w:shd w:val="clear" w:color="000000" w:fill="FFFFFF"/>
            <w:noWrap/>
            <w:vAlign w:val="bottom"/>
            <w:hideMark/>
          </w:tcPr>
          <w:p w14:paraId="78A3604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59C89BAA" w14:textId="77777777" w:rsidTr="003D1B50">
        <w:trPr>
          <w:trHeight w:val="397"/>
        </w:trPr>
        <w:tc>
          <w:tcPr>
            <w:tcW w:w="614" w:type="dxa"/>
            <w:shd w:val="clear" w:color="auto" w:fill="9CC2E5" w:themeFill="accent1" w:themeFillTint="99"/>
            <w:noWrap/>
            <w:vAlign w:val="bottom"/>
            <w:hideMark/>
          </w:tcPr>
          <w:p w14:paraId="0BB48823"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11.</w:t>
            </w:r>
          </w:p>
        </w:tc>
        <w:tc>
          <w:tcPr>
            <w:tcW w:w="1367" w:type="dxa"/>
            <w:shd w:val="clear" w:color="000000" w:fill="FFFFFF"/>
            <w:noWrap/>
            <w:vAlign w:val="bottom"/>
            <w:hideMark/>
          </w:tcPr>
          <w:p w14:paraId="27D767E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gdański</w:t>
            </w:r>
          </w:p>
        </w:tc>
        <w:tc>
          <w:tcPr>
            <w:tcW w:w="3406" w:type="dxa"/>
            <w:shd w:val="clear" w:color="000000" w:fill="FFFFFF"/>
            <w:noWrap/>
            <w:vAlign w:val="bottom"/>
            <w:hideMark/>
          </w:tcPr>
          <w:p w14:paraId="0DB9E3C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Pszczółki</w:t>
            </w:r>
          </w:p>
        </w:tc>
        <w:tc>
          <w:tcPr>
            <w:tcW w:w="3685" w:type="dxa"/>
            <w:shd w:val="clear" w:color="000000" w:fill="FFFFFF"/>
            <w:noWrap/>
            <w:vAlign w:val="bottom"/>
            <w:hideMark/>
          </w:tcPr>
          <w:p w14:paraId="2F653C5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wiejska</w:t>
            </w:r>
          </w:p>
        </w:tc>
      </w:tr>
      <w:tr w:rsidR="00CC3B5A" w:rsidRPr="0099213E" w14:paraId="671042C7" w14:textId="77777777" w:rsidTr="003D1B50">
        <w:trPr>
          <w:trHeight w:val="397"/>
        </w:trPr>
        <w:tc>
          <w:tcPr>
            <w:tcW w:w="614" w:type="dxa"/>
            <w:shd w:val="clear" w:color="auto" w:fill="9CC2E5" w:themeFill="accent1" w:themeFillTint="99"/>
            <w:noWrap/>
            <w:vAlign w:val="bottom"/>
            <w:hideMark/>
          </w:tcPr>
          <w:p w14:paraId="00089C3B"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lastRenderedPageBreak/>
              <w:t>12.</w:t>
            </w:r>
          </w:p>
        </w:tc>
        <w:tc>
          <w:tcPr>
            <w:tcW w:w="1367" w:type="dxa"/>
            <w:shd w:val="clear" w:color="000000" w:fill="FFFFFF"/>
            <w:noWrap/>
            <w:vAlign w:val="bottom"/>
            <w:hideMark/>
          </w:tcPr>
          <w:p w14:paraId="655E443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gdański</w:t>
            </w:r>
          </w:p>
        </w:tc>
        <w:tc>
          <w:tcPr>
            <w:tcW w:w="3406" w:type="dxa"/>
            <w:shd w:val="clear" w:color="000000" w:fill="FFFFFF"/>
            <w:noWrap/>
            <w:vAlign w:val="bottom"/>
            <w:hideMark/>
          </w:tcPr>
          <w:p w14:paraId="6C6D034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Trąbki Wielkie</w:t>
            </w:r>
          </w:p>
        </w:tc>
        <w:tc>
          <w:tcPr>
            <w:tcW w:w="3685" w:type="dxa"/>
            <w:shd w:val="clear" w:color="000000" w:fill="FFFFFF"/>
            <w:noWrap/>
            <w:vAlign w:val="bottom"/>
            <w:hideMark/>
          </w:tcPr>
          <w:p w14:paraId="2D245CFE"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wiejska</w:t>
            </w:r>
          </w:p>
        </w:tc>
      </w:tr>
      <w:tr w:rsidR="00CC3B5A" w:rsidRPr="0099213E" w14:paraId="22A8D5C1" w14:textId="77777777" w:rsidTr="003D1B50">
        <w:trPr>
          <w:trHeight w:val="397"/>
        </w:trPr>
        <w:tc>
          <w:tcPr>
            <w:tcW w:w="614" w:type="dxa"/>
            <w:shd w:val="clear" w:color="auto" w:fill="9CC2E5" w:themeFill="accent1" w:themeFillTint="99"/>
            <w:noWrap/>
            <w:vAlign w:val="bottom"/>
            <w:hideMark/>
          </w:tcPr>
          <w:p w14:paraId="75DEC992"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13.</w:t>
            </w:r>
          </w:p>
        </w:tc>
        <w:tc>
          <w:tcPr>
            <w:tcW w:w="1367" w:type="dxa"/>
            <w:shd w:val="clear" w:color="000000" w:fill="FFFFFF"/>
            <w:noWrap/>
            <w:vAlign w:val="bottom"/>
            <w:hideMark/>
          </w:tcPr>
          <w:p w14:paraId="7EE7DAD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Gdynia</w:t>
            </w:r>
          </w:p>
        </w:tc>
        <w:tc>
          <w:tcPr>
            <w:tcW w:w="3406" w:type="dxa"/>
            <w:shd w:val="clear" w:color="000000" w:fill="FFFFFF"/>
            <w:noWrap/>
            <w:vAlign w:val="bottom"/>
            <w:hideMark/>
          </w:tcPr>
          <w:p w14:paraId="1FC3BDEE"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 Gdynia</w:t>
            </w:r>
          </w:p>
        </w:tc>
        <w:tc>
          <w:tcPr>
            <w:tcW w:w="3685" w:type="dxa"/>
            <w:shd w:val="clear" w:color="000000" w:fill="FFFFFF"/>
            <w:noWrap/>
            <w:vAlign w:val="bottom"/>
            <w:hideMark/>
          </w:tcPr>
          <w:p w14:paraId="335A1A1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44B3BD18" w14:textId="77777777" w:rsidTr="003D1B50">
        <w:trPr>
          <w:trHeight w:val="397"/>
        </w:trPr>
        <w:tc>
          <w:tcPr>
            <w:tcW w:w="614" w:type="dxa"/>
            <w:shd w:val="clear" w:color="auto" w:fill="9CC2E5" w:themeFill="accent1" w:themeFillTint="99"/>
            <w:noWrap/>
            <w:vAlign w:val="bottom"/>
            <w:hideMark/>
          </w:tcPr>
          <w:p w14:paraId="421D1352"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14.</w:t>
            </w:r>
          </w:p>
        </w:tc>
        <w:tc>
          <w:tcPr>
            <w:tcW w:w="1367" w:type="dxa"/>
            <w:shd w:val="clear" w:color="000000" w:fill="FFFFFF"/>
            <w:noWrap/>
            <w:vAlign w:val="bottom"/>
            <w:hideMark/>
          </w:tcPr>
          <w:p w14:paraId="707B123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kościerski</w:t>
            </w:r>
          </w:p>
        </w:tc>
        <w:tc>
          <w:tcPr>
            <w:tcW w:w="3406" w:type="dxa"/>
            <w:shd w:val="clear" w:color="000000" w:fill="FFFFFF"/>
            <w:noWrap/>
            <w:vAlign w:val="bottom"/>
            <w:hideMark/>
          </w:tcPr>
          <w:p w14:paraId="3C75E71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Karsin</w:t>
            </w:r>
          </w:p>
        </w:tc>
        <w:tc>
          <w:tcPr>
            <w:tcW w:w="3685" w:type="dxa"/>
            <w:shd w:val="clear" w:color="000000" w:fill="FFFFFF"/>
            <w:noWrap/>
            <w:vAlign w:val="bottom"/>
            <w:hideMark/>
          </w:tcPr>
          <w:p w14:paraId="122F895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wiejska</w:t>
            </w:r>
          </w:p>
        </w:tc>
      </w:tr>
      <w:tr w:rsidR="00CC3B5A" w:rsidRPr="0099213E" w14:paraId="4518B56A" w14:textId="77777777" w:rsidTr="003D1B50">
        <w:trPr>
          <w:trHeight w:val="397"/>
        </w:trPr>
        <w:tc>
          <w:tcPr>
            <w:tcW w:w="614" w:type="dxa"/>
            <w:shd w:val="clear" w:color="auto" w:fill="9CC2E5" w:themeFill="accent1" w:themeFillTint="99"/>
            <w:noWrap/>
            <w:vAlign w:val="bottom"/>
            <w:hideMark/>
          </w:tcPr>
          <w:p w14:paraId="3E6A254D"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15.</w:t>
            </w:r>
          </w:p>
        </w:tc>
        <w:tc>
          <w:tcPr>
            <w:tcW w:w="1367" w:type="dxa"/>
            <w:shd w:val="clear" w:color="000000" w:fill="FFFFFF"/>
            <w:noWrap/>
            <w:vAlign w:val="bottom"/>
            <w:hideMark/>
          </w:tcPr>
          <w:p w14:paraId="0925BDD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kościerski</w:t>
            </w:r>
          </w:p>
        </w:tc>
        <w:tc>
          <w:tcPr>
            <w:tcW w:w="3406" w:type="dxa"/>
            <w:shd w:val="clear" w:color="000000" w:fill="FFFFFF"/>
            <w:noWrap/>
            <w:vAlign w:val="bottom"/>
            <w:hideMark/>
          </w:tcPr>
          <w:p w14:paraId="07EF88F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Kościerzyna</w:t>
            </w:r>
          </w:p>
        </w:tc>
        <w:tc>
          <w:tcPr>
            <w:tcW w:w="3685" w:type="dxa"/>
            <w:shd w:val="clear" w:color="000000" w:fill="FFFFFF"/>
            <w:noWrap/>
            <w:vAlign w:val="bottom"/>
            <w:hideMark/>
          </w:tcPr>
          <w:p w14:paraId="0B6537C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0F4D874F" w14:textId="77777777" w:rsidTr="003D1B50">
        <w:trPr>
          <w:trHeight w:val="397"/>
        </w:trPr>
        <w:tc>
          <w:tcPr>
            <w:tcW w:w="614" w:type="dxa"/>
            <w:shd w:val="clear" w:color="auto" w:fill="9CC2E5" w:themeFill="accent1" w:themeFillTint="99"/>
            <w:noWrap/>
            <w:vAlign w:val="bottom"/>
            <w:hideMark/>
          </w:tcPr>
          <w:p w14:paraId="5FF4763A"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16.</w:t>
            </w:r>
          </w:p>
        </w:tc>
        <w:tc>
          <w:tcPr>
            <w:tcW w:w="1367" w:type="dxa"/>
            <w:shd w:val="clear" w:color="000000" w:fill="FFFFFF"/>
            <w:noWrap/>
            <w:vAlign w:val="bottom"/>
            <w:hideMark/>
          </w:tcPr>
          <w:p w14:paraId="40687D4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kwidzyński</w:t>
            </w:r>
          </w:p>
        </w:tc>
        <w:tc>
          <w:tcPr>
            <w:tcW w:w="3406" w:type="dxa"/>
            <w:shd w:val="clear" w:color="000000" w:fill="FFFFFF"/>
            <w:noWrap/>
            <w:vAlign w:val="bottom"/>
            <w:hideMark/>
          </w:tcPr>
          <w:p w14:paraId="039B612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Kwidzyn</w:t>
            </w:r>
          </w:p>
        </w:tc>
        <w:tc>
          <w:tcPr>
            <w:tcW w:w="3685" w:type="dxa"/>
            <w:shd w:val="clear" w:color="000000" w:fill="FFFFFF"/>
            <w:noWrap/>
            <w:vAlign w:val="bottom"/>
            <w:hideMark/>
          </w:tcPr>
          <w:p w14:paraId="7AEA731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1AEE7FF9" w14:textId="77777777" w:rsidTr="003D1B50">
        <w:trPr>
          <w:trHeight w:val="397"/>
        </w:trPr>
        <w:tc>
          <w:tcPr>
            <w:tcW w:w="614" w:type="dxa"/>
            <w:shd w:val="clear" w:color="auto" w:fill="9CC2E5" w:themeFill="accent1" w:themeFillTint="99"/>
            <w:noWrap/>
            <w:vAlign w:val="bottom"/>
            <w:hideMark/>
          </w:tcPr>
          <w:p w14:paraId="2C4C884A"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17.</w:t>
            </w:r>
          </w:p>
        </w:tc>
        <w:tc>
          <w:tcPr>
            <w:tcW w:w="1367" w:type="dxa"/>
            <w:shd w:val="clear" w:color="000000" w:fill="FFFFFF"/>
            <w:noWrap/>
            <w:vAlign w:val="bottom"/>
            <w:hideMark/>
          </w:tcPr>
          <w:p w14:paraId="0F15474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lęborski</w:t>
            </w:r>
          </w:p>
        </w:tc>
        <w:tc>
          <w:tcPr>
            <w:tcW w:w="3406" w:type="dxa"/>
            <w:shd w:val="clear" w:color="000000" w:fill="FFFFFF"/>
            <w:noWrap/>
            <w:vAlign w:val="bottom"/>
            <w:hideMark/>
          </w:tcPr>
          <w:p w14:paraId="3E5BC10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Lębork</w:t>
            </w:r>
          </w:p>
        </w:tc>
        <w:tc>
          <w:tcPr>
            <w:tcW w:w="3685" w:type="dxa"/>
            <w:shd w:val="clear" w:color="000000" w:fill="FFFFFF"/>
            <w:noWrap/>
            <w:vAlign w:val="bottom"/>
            <w:hideMark/>
          </w:tcPr>
          <w:p w14:paraId="61086A9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001781F5" w14:textId="77777777" w:rsidTr="003D1B50">
        <w:trPr>
          <w:trHeight w:val="397"/>
        </w:trPr>
        <w:tc>
          <w:tcPr>
            <w:tcW w:w="614" w:type="dxa"/>
            <w:shd w:val="clear" w:color="auto" w:fill="9CC2E5" w:themeFill="accent1" w:themeFillTint="99"/>
            <w:noWrap/>
            <w:vAlign w:val="bottom"/>
            <w:hideMark/>
          </w:tcPr>
          <w:p w14:paraId="4AB027C2"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18.</w:t>
            </w:r>
          </w:p>
        </w:tc>
        <w:tc>
          <w:tcPr>
            <w:tcW w:w="1367" w:type="dxa"/>
            <w:shd w:val="clear" w:color="000000" w:fill="FFFFFF"/>
            <w:noWrap/>
            <w:vAlign w:val="bottom"/>
            <w:hideMark/>
          </w:tcPr>
          <w:p w14:paraId="62F20F1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lęborski</w:t>
            </w:r>
          </w:p>
        </w:tc>
        <w:tc>
          <w:tcPr>
            <w:tcW w:w="3406" w:type="dxa"/>
            <w:shd w:val="clear" w:color="000000" w:fill="FFFFFF"/>
            <w:noWrap/>
            <w:vAlign w:val="bottom"/>
            <w:hideMark/>
          </w:tcPr>
          <w:p w14:paraId="7B391E5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Łeba</w:t>
            </w:r>
          </w:p>
        </w:tc>
        <w:tc>
          <w:tcPr>
            <w:tcW w:w="3685" w:type="dxa"/>
            <w:shd w:val="clear" w:color="000000" w:fill="FFFFFF"/>
            <w:noWrap/>
            <w:vAlign w:val="bottom"/>
            <w:hideMark/>
          </w:tcPr>
          <w:p w14:paraId="594D287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0CB1535B" w14:textId="77777777" w:rsidTr="003D1B50">
        <w:trPr>
          <w:trHeight w:val="397"/>
        </w:trPr>
        <w:tc>
          <w:tcPr>
            <w:tcW w:w="614" w:type="dxa"/>
            <w:shd w:val="clear" w:color="auto" w:fill="9CC2E5" w:themeFill="accent1" w:themeFillTint="99"/>
            <w:noWrap/>
            <w:vAlign w:val="bottom"/>
            <w:hideMark/>
          </w:tcPr>
          <w:p w14:paraId="20E1441C"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19.</w:t>
            </w:r>
          </w:p>
        </w:tc>
        <w:tc>
          <w:tcPr>
            <w:tcW w:w="1367" w:type="dxa"/>
            <w:shd w:val="clear" w:color="000000" w:fill="FFFFFF"/>
            <w:noWrap/>
            <w:vAlign w:val="bottom"/>
            <w:hideMark/>
          </w:tcPr>
          <w:p w14:paraId="7CFEB12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malborski</w:t>
            </w:r>
          </w:p>
        </w:tc>
        <w:tc>
          <w:tcPr>
            <w:tcW w:w="3406" w:type="dxa"/>
            <w:shd w:val="clear" w:color="000000" w:fill="FFFFFF"/>
            <w:noWrap/>
            <w:vAlign w:val="bottom"/>
            <w:hideMark/>
          </w:tcPr>
          <w:p w14:paraId="51DFEC0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Malbork</w:t>
            </w:r>
          </w:p>
        </w:tc>
        <w:tc>
          <w:tcPr>
            <w:tcW w:w="3685" w:type="dxa"/>
            <w:shd w:val="clear" w:color="000000" w:fill="FFFFFF"/>
            <w:noWrap/>
            <w:vAlign w:val="bottom"/>
            <w:hideMark/>
          </w:tcPr>
          <w:p w14:paraId="166DC87E"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15C3C2A8" w14:textId="77777777" w:rsidTr="003D1B50">
        <w:trPr>
          <w:trHeight w:val="397"/>
        </w:trPr>
        <w:tc>
          <w:tcPr>
            <w:tcW w:w="614" w:type="dxa"/>
            <w:shd w:val="clear" w:color="auto" w:fill="9CC2E5" w:themeFill="accent1" w:themeFillTint="99"/>
            <w:noWrap/>
            <w:vAlign w:val="bottom"/>
            <w:hideMark/>
          </w:tcPr>
          <w:p w14:paraId="09D78BC6"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20.</w:t>
            </w:r>
          </w:p>
        </w:tc>
        <w:tc>
          <w:tcPr>
            <w:tcW w:w="1367" w:type="dxa"/>
            <w:shd w:val="clear" w:color="000000" w:fill="FFFFFF"/>
            <w:noWrap/>
            <w:vAlign w:val="bottom"/>
            <w:hideMark/>
          </w:tcPr>
          <w:p w14:paraId="2D19E9D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pucki</w:t>
            </w:r>
          </w:p>
        </w:tc>
        <w:tc>
          <w:tcPr>
            <w:tcW w:w="3406" w:type="dxa"/>
            <w:shd w:val="clear" w:color="000000" w:fill="FFFFFF"/>
            <w:noWrap/>
            <w:vAlign w:val="bottom"/>
            <w:hideMark/>
          </w:tcPr>
          <w:p w14:paraId="562DD9A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Puck</w:t>
            </w:r>
          </w:p>
        </w:tc>
        <w:tc>
          <w:tcPr>
            <w:tcW w:w="3685" w:type="dxa"/>
            <w:shd w:val="clear" w:color="000000" w:fill="FFFFFF"/>
            <w:noWrap/>
            <w:vAlign w:val="bottom"/>
            <w:hideMark/>
          </w:tcPr>
          <w:p w14:paraId="38043DC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18AA7AA4" w14:textId="77777777" w:rsidTr="003D1B50">
        <w:trPr>
          <w:trHeight w:val="397"/>
        </w:trPr>
        <w:tc>
          <w:tcPr>
            <w:tcW w:w="614" w:type="dxa"/>
            <w:shd w:val="clear" w:color="auto" w:fill="9CC2E5" w:themeFill="accent1" w:themeFillTint="99"/>
            <w:noWrap/>
            <w:vAlign w:val="bottom"/>
            <w:hideMark/>
          </w:tcPr>
          <w:p w14:paraId="120F7110"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21.</w:t>
            </w:r>
          </w:p>
        </w:tc>
        <w:tc>
          <w:tcPr>
            <w:tcW w:w="1367" w:type="dxa"/>
            <w:shd w:val="clear" w:color="000000" w:fill="FFFFFF"/>
            <w:noWrap/>
            <w:vAlign w:val="bottom"/>
            <w:hideMark/>
          </w:tcPr>
          <w:p w14:paraId="757137F8"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Słupsk</w:t>
            </w:r>
          </w:p>
        </w:tc>
        <w:tc>
          <w:tcPr>
            <w:tcW w:w="3406" w:type="dxa"/>
            <w:shd w:val="clear" w:color="000000" w:fill="FFFFFF"/>
            <w:noWrap/>
            <w:vAlign w:val="bottom"/>
            <w:hideMark/>
          </w:tcPr>
          <w:p w14:paraId="137D180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 Słupsk</w:t>
            </w:r>
          </w:p>
        </w:tc>
        <w:tc>
          <w:tcPr>
            <w:tcW w:w="3685" w:type="dxa"/>
            <w:shd w:val="clear" w:color="000000" w:fill="FFFFFF"/>
            <w:noWrap/>
            <w:vAlign w:val="bottom"/>
            <w:hideMark/>
          </w:tcPr>
          <w:p w14:paraId="410FDD5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7409A1B5" w14:textId="77777777" w:rsidTr="003D1B50">
        <w:trPr>
          <w:trHeight w:val="397"/>
        </w:trPr>
        <w:tc>
          <w:tcPr>
            <w:tcW w:w="614" w:type="dxa"/>
            <w:shd w:val="clear" w:color="auto" w:fill="9CC2E5" w:themeFill="accent1" w:themeFillTint="99"/>
            <w:noWrap/>
            <w:vAlign w:val="bottom"/>
            <w:hideMark/>
          </w:tcPr>
          <w:p w14:paraId="5F2FB5F9"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22.</w:t>
            </w:r>
          </w:p>
        </w:tc>
        <w:tc>
          <w:tcPr>
            <w:tcW w:w="1367" w:type="dxa"/>
            <w:shd w:val="clear" w:color="000000" w:fill="FFFFFF"/>
            <w:noWrap/>
            <w:vAlign w:val="bottom"/>
            <w:hideMark/>
          </w:tcPr>
          <w:p w14:paraId="44650DD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słupski</w:t>
            </w:r>
          </w:p>
        </w:tc>
        <w:tc>
          <w:tcPr>
            <w:tcW w:w="3406" w:type="dxa"/>
            <w:shd w:val="clear" w:color="000000" w:fill="FFFFFF"/>
            <w:noWrap/>
            <w:vAlign w:val="bottom"/>
            <w:hideMark/>
          </w:tcPr>
          <w:p w14:paraId="73D0B8A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Damnica</w:t>
            </w:r>
          </w:p>
        </w:tc>
        <w:tc>
          <w:tcPr>
            <w:tcW w:w="3685" w:type="dxa"/>
            <w:shd w:val="clear" w:color="000000" w:fill="FFFFFF"/>
            <w:noWrap/>
            <w:vAlign w:val="bottom"/>
            <w:hideMark/>
          </w:tcPr>
          <w:p w14:paraId="2949172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wiejska</w:t>
            </w:r>
          </w:p>
        </w:tc>
      </w:tr>
      <w:tr w:rsidR="00CC3B5A" w:rsidRPr="0099213E" w14:paraId="1025D63E" w14:textId="77777777" w:rsidTr="003D1B50">
        <w:trPr>
          <w:trHeight w:val="397"/>
        </w:trPr>
        <w:tc>
          <w:tcPr>
            <w:tcW w:w="614" w:type="dxa"/>
            <w:shd w:val="clear" w:color="auto" w:fill="9CC2E5" w:themeFill="accent1" w:themeFillTint="99"/>
            <w:noWrap/>
            <w:vAlign w:val="bottom"/>
            <w:hideMark/>
          </w:tcPr>
          <w:p w14:paraId="308D9098"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23.</w:t>
            </w:r>
          </w:p>
        </w:tc>
        <w:tc>
          <w:tcPr>
            <w:tcW w:w="1367" w:type="dxa"/>
            <w:shd w:val="clear" w:color="000000" w:fill="FFFFFF"/>
            <w:noWrap/>
            <w:vAlign w:val="bottom"/>
            <w:hideMark/>
          </w:tcPr>
          <w:p w14:paraId="41F0EA2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słupski</w:t>
            </w:r>
          </w:p>
        </w:tc>
        <w:tc>
          <w:tcPr>
            <w:tcW w:w="3406" w:type="dxa"/>
            <w:shd w:val="clear" w:color="000000" w:fill="FFFFFF"/>
            <w:noWrap/>
            <w:vAlign w:val="bottom"/>
            <w:hideMark/>
          </w:tcPr>
          <w:p w14:paraId="52542A0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Główczyce</w:t>
            </w:r>
          </w:p>
        </w:tc>
        <w:tc>
          <w:tcPr>
            <w:tcW w:w="3685" w:type="dxa"/>
            <w:shd w:val="clear" w:color="000000" w:fill="FFFFFF"/>
            <w:noWrap/>
            <w:vAlign w:val="bottom"/>
            <w:hideMark/>
          </w:tcPr>
          <w:p w14:paraId="01DCD6B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wiejska</w:t>
            </w:r>
          </w:p>
        </w:tc>
      </w:tr>
      <w:tr w:rsidR="00CC3B5A" w:rsidRPr="0099213E" w14:paraId="044F9FB6" w14:textId="77777777" w:rsidTr="003D1B50">
        <w:trPr>
          <w:trHeight w:val="397"/>
        </w:trPr>
        <w:tc>
          <w:tcPr>
            <w:tcW w:w="614" w:type="dxa"/>
            <w:shd w:val="clear" w:color="auto" w:fill="9CC2E5" w:themeFill="accent1" w:themeFillTint="99"/>
            <w:noWrap/>
            <w:vAlign w:val="bottom"/>
            <w:hideMark/>
          </w:tcPr>
          <w:p w14:paraId="1698BF00"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24.</w:t>
            </w:r>
          </w:p>
        </w:tc>
        <w:tc>
          <w:tcPr>
            <w:tcW w:w="1367" w:type="dxa"/>
            <w:shd w:val="clear" w:color="000000" w:fill="FFFFFF"/>
            <w:noWrap/>
            <w:vAlign w:val="bottom"/>
            <w:hideMark/>
          </w:tcPr>
          <w:p w14:paraId="7CE42F8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słupski</w:t>
            </w:r>
          </w:p>
        </w:tc>
        <w:tc>
          <w:tcPr>
            <w:tcW w:w="3406" w:type="dxa"/>
            <w:shd w:val="clear" w:color="000000" w:fill="FFFFFF"/>
            <w:noWrap/>
            <w:vAlign w:val="bottom"/>
            <w:hideMark/>
          </w:tcPr>
          <w:p w14:paraId="58FF2CC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Kępice</w:t>
            </w:r>
          </w:p>
        </w:tc>
        <w:tc>
          <w:tcPr>
            <w:tcW w:w="3685" w:type="dxa"/>
            <w:shd w:val="clear" w:color="000000" w:fill="FFFFFF"/>
            <w:noWrap/>
            <w:vAlign w:val="bottom"/>
            <w:hideMark/>
          </w:tcPr>
          <w:p w14:paraId="50666C25"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miejsko-wiejska</w:t>
            </w:r>
          </w:p>
        </w:tc>
      </w:tr>
      <w:tr w:rsidR="00CC3B5A" w:rsidRPr="0099213E" w14:paraId="4C11A7A0" w14:textId="77777777" w:rsidTr="003D1B50">
        <w:trPr>
          <w:trHeight w:val="397"/>
        </w:trPr>
        <w:tc>
          <w:tcPr>
            <w:tcW w:w="614" w:type="dxa"/>
            <w:shd w:val="clear" w:color="auto" w:fill="9CC2E5" w:themeFill="accent1" w:themeFillTint="99"/>
            <w:noWrap/>
            <w:vAlign w:val="bottom"/>
            <w:hideMark/>
          </w:tcPr>
          <w:p w14:paraId="7DAEBB8A"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25.</w:t>
            </w:r>
          </w:p>
        </w:tc>
        <w:tc>
          <w:tcPr>
            <w:tcW w:w="1367" w:type="dxa"/>
            <w:shd w:val="clear" w:color="000000" w:fill="FFFFFF"/>
            <w:noWrap/>
            <w:vAlign w:val="bottom"/>
            <w:hideMark/>
          </w:tcPr>
          <w:p w14:paraId="335DA6B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słupski</w:t>
            </w:r>
          </w:p>
        </w:tc>
        <w:tc>
          <w:tcPr>
            <w:tcW w:w="3406" w:type="dxa"/>
            <w:shd w:val="clear" w:color="000000" w:fill="FFFFFF"/>
            <w:noWrap/>
            <w:vAlign w:val="bottom"/>
            <w:hideMark/>
          </w:tcPr>
          <w:p w14:paraId="2AD10DC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Kobylnica</w:t>
            </w:r>
          </w:p>
        </w:tc>
        <w:tc>
          <w:tcPr>
            <w:tcW w:w="3685" w:type="dxa"/>
            <w:shd w:val="clear" w:color="000000" w:fill="FFFFFF"/>
            <w:noWrap/>
            <w:vAlign w:val="bottom"/>
            <w:hideMark/>
          </w:tcPr>
          <w:p w14:paraId="310947B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wiejska</w:t>
            </w:r>
          </w:p>
        </w:tc>
      </w:tr>
      <w:tr w:rsidR="00CC3B5A" w:rsidRPr="0099213E" w14:paraId="3AED7C3D" w14:textId="77777777" w:rsidTr="003D1B50">
        <w:trPr>
          <w:trHeight w:val="397"/>
        </w:trPr>
        <w:tc>
          <w:tcPr>
            <w:tcW w:w="614" w:type="dxa"/>
            <w:shd w:val="clear" w:color="auto" w:fill="9CC2E5" w:themeFill="accent1" w:themeFillTint="99"/>
            <w:noWrap/>
            <w:vAlign w:val="bottom"/>
            <w:hideMark/>
          </w:tcPr>
          <w:p w14:paraId="5C588508"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26.</w:t>
            </w:r>
          </w:p>
        </w:tc>
        <w:tc>
          <w:tcPr>
            <w:tcW w:w="1367" w:type="dxa"/>
            <w:shd w:val="clear" w:color="000000" w:fill="FFFFFF"/>
            <w:noWrap/>
            <w:vAlign w:val="bottom"/>
            <w:hideMark/>
          </w:tcPr>
          <w:p w14:paraId="4AF470E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słupski</w:t>
            </w:r>
          </w:p>
        </w:tc>
        <w:tc>
          <w:tcPr>
            <w:tcW w:w="3406" w:type="dxa"/>
            <w:shd w:val="clear" w:color="000000" w:fill="FFFFFF"/>
            <w:noWrap/>
            <w:vAlign w:val="bottom"/>
            <w:hideMark/>
          </w:tcPr>
          <w:p w14:paraId="1E9D18F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Potęgowo</w:t>
            </w:r>
          </w:p>
        </w:tc>
        <w:tc>
          <w:tcPr>
            <w:tcW w:w="3685" w:type="dxa"/>
            <w:shd w:val="clear" w:color="000000" w:fill="FFFFFF"/>
            <w:noWrap/>
            <w:vAlign w:val="bottom"/>
            <w:hideMark/>
          </w:tcPr>
          <w:p w14:paraId="0BD30EDA"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wiejska</w:t>
            </w:r>
          </w:p>
        </w:tc>
      </w:tr>
      <w:tr w:rsidR="00CC3B5A" w:rsidRPr="0099213E" w14:paraId="561FADCA" w14:textId="77777777" w:rsidTr="003D1B50">
        <w:trPr>
          <w:trHeight w:val="397"/>
        </w:trPr>
        <w:tc>
          <w:tcPr>
            <w:tcW w:w="614" w:type="dxa"/>
            <w:shd w:val="clear" w:color="auto" w:fill="9CC2E5" w:themeFill="accent1" w:themeFillTint="99"/>
            <w:noWrap/>
            <w:vAlign w:val="bottom"/>
            <w:hideMark/>
          </w:tcPr>
          <w:p w14:paraId="43C40F18"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27.</w:t>
            </w:r>
          </w:p>
        </w:tc>
        <w:tc>
          <w:tcPr>
            <w:tcW w:w="1367" w:type="dxa"/>
            <w:shd w:val="clear" w:color="000000" w:fill="FFFFFF"/>
            <w:noWrap/>
            <w:vAlign w:val="bottom"/>
            <w:hideMark/>
          </w:tcPr>
          <w:p w14:paraId="5383EAE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słupski</w:t>
            </w:r>
          </w:p>
        </w:tc>
        <w:tc>
          <w:tcPr>
            <w:tcW w:w="3406" w:type="dxa"/>
            <w:shd w:val="clear" w:color="000000" w:fill="FFFFFF"/>
            <w:noWrap/>
            <w:vAlign w:val="bottom"/>
            <w:hideMark/>
          </w:tcPr>
          <w:p w14:paraId="06D6877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Ustka</w:t>
            </w:r>
          </w:p>
        </w:tc>
        <w:tc>
          <w:tcPr>
            <w:tcW w:w="3685" w:type="dxa"/>
            <w:shd w:val="clear" w:color="000000" w:fill="FFFFFF"/>
            <w:noWrap/>
            <w:vAlign w:val="bottom"/>
            <w:hideMark/>
          </w:tcPr>
          <w:p w14:paraId="6F16BB6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wiejska</w:t>
            </w:r>
          </w:p>
        </w:tc>
      </w:tr>
      <w:tr w:rsidR="00CC3B5A" w:rsidRPr="0099213E" w14:paraId="25CD3E3F" w14:textId="77777777" w:rsidTr="003D1B50">
        <w:trPr>
          <w:trHeight w:val="397"/>
        </w:trPr>
        <w:tc>
          <w:tcPr>
            <w:tcW w:w="614" w:type="dxa"/>
            <w:shd w:val="clear" w:color="auto" w:fill="9CC2E5" w:themeFill="accent1" w:themeFillTint="99"/>
            <w:noWrap/>
            <w:vAlign w:val="bottom"/>
            <w:hideMark/>
          </w:tcPr>
          <w:p w14:paraId="185AFCB8"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28.</w:t>
            </w:r>
          </w:p>
        </w:tc>
        <w:tc>
          <w:tcPr>
            <w:tcW w:w="1367" w:type="dxa"/>
            <w:shd w:val="clear" w:color="000000" w:fill="FFFFFF"/>
            <w:noWrap/>
            <w:vAlign w:val="bottom"/>
            <w:hideMark/>
          </w:tcPr>
          <w:p w14:paraId="759DEC9E"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Sopot</w:t>
            </w:r>
          </w:p>
        </w:tc>
        <w:tc>
          <w:tcPr>
            <w:tcW w:w="3406" w:type="dxa"/>
            <w:shd w:val="clear" w:color="000000" w:fill="FFFFFF"/>
            <w:noWrap/>
            <w:vAlign w:val="bottom"/>
            <w:hideMark/>
          </w:tcPr>
          <w:p w14:paraId="468B5811"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 Sopot</w:t>
            </w:r>
          </w:p>
        </w:tc>
        <w:tc>
          <w:tcPr>
            <w:tcW w:w="3685" w:type="dxa"/>
            <w:shd w:val="clear" w:color="000000" w:fill="FFFFFF"/>
            <w:noWrap/>
            <w:vAlign w:val="bottom"/>
            <w:hideMark/>
          </w:tcPr>
          <w:p w14:paraId="6ABE68F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7EB70D2F" w14:textId="77777777" w:rsidTr="003D1B50">
        <w:trPr>
          <w:trHeight w:val="397"/>
        </w:trPr>
        <w:tc>
          <w:tcPr>
            <w:tcW w:w="614" w:type="dxa"/>
            <w:shd w:val="clear" w:color="auto" w:fill="9CC2E5" w:themeFill="accent1" w:themeFillTint="99"/>
            <w:noWrap/>
            <w:vAlign w:val="bottom"/>
            <w:hideMark/>
          </w:tcPr>
          <w:p w14:paraId="4DD9B60D"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29.</w:t>
            </w:r>
          </w:p>
        </w:tc>
        <w:tc>
          <w:tcPr>
            <w:tcW w:w="1367" w:type="dxa"/>
            <w:shd w:val="clear" w:color="000000" w:fill="FFFFFF"/>
            <w:noWrap/>
            <w:vAlign w:val="bottom"/>
            <w:hideMark/>
          </w:tcPr>
          <w:p w14:paraId="3429EF4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starogardzki</w:t>
            </w:r>
          </w:p>
        </w:tc>
        <w:tc>
          <w:tcPr>
            <w:tcW w:w="3406" w:type="dxa"/>
            <w:shd w:val="clear" w:color="000000" w:fill="FFFFFF"/>
            <w:noWrap/>
            <w:vAlign w:val="bottom"/>
            <w:hideMark/>
          </w:tcPr>
          <w:p w14:paraId="47CD7FD6"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Starogard Gdański</w:t>
            </w:r>
          </w:p>
        </w:tc>
        <w:tc>
          <w:tcPr>
            <w:tcW w:w="3685" w:type="dxa"/>
            <w:shd w:val="clear" w:color="000000" w:fill="FFFFFF"/>
            <w:noWrap/>
            <w:vAlign w:val="bottom"/>
            <w:hideMark/>
          </w:tcPr>
          <w:p w14:paraId="31AE170D"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1BD5F6A8" w14:textId="77777777" w:rsidTr="003D1B50">
        <w:trPr>
          <w:trHeight w:val="397"/>
        </w:trPr>
        <w:tc>
          <w:tcPr>
            <w:tcW w:w="614" w:type="dxa"/>
            <w:shd w:val="clear" w:color="auto" w:fill="9CC2E5" w:themeFill="accent1" w:themeFillTint="99"/>
            <w:noWrap/>
            <w:vAlign w:val="bottom"/>
            <w:hideMark/>
          </w:tcPr>
          <w:p w14:paraId="4F81BE82"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30.</w:t>
            </w:r>
          </w:p>
        </w:tc>
        <w:tc>
          <w:tcPr>
            <w:tcW w:w="1367" w:type="dxa"/>
            <w:shd w:val="clear" w:color="000000" w:fill="FFFFFF"/>
            <w:noWrap/>
            <w:vAlign w:val="bottom"/>
            <w:hideMark/>
          </w:tcPr>
          <w:p w14:paraId="3F76539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sztumski</w:t>
            </w:r>
          </w:p>
        </w:tc>
        <w:tc>
          <w:tcPr>
            <w:tcW w:w="3406" w:type="dxa"/>
            <w:shd w:val="clear" w:color="000000" w:fill="FFFFFF"/>
            <w:noWrap/>
            <w:vAlign w:val="bottom"/>
            <w:hideMark/>
          </w:tcPr>
          <w:p w14:paraId="3970F9C8"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Dzierzgoń</w:t>
            </w:r>
          </w:p>
        </w:tc>
        <w:tc>
          <w:tcPr>
            <w:tcW w:w="3685" w:type="dxa"/>
            <w:shd w:val="clear" w:color="000000" w:fill="FFFFFF"/>
            <w:noWrap/>
            <w:vAlign w:val="bottom"/>
            <w:hideMark/>
          </w:tcPr>
          <w:p w14:paraId="3E2B3D28"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miejsko-wiejska</w:t>
            </w:r>
          </w:p>
        </w:tc>
      </w:tr>
      <w:tr w:rsidR="00CC3B5A" w:rsidRPr="0099213E" w14:paraId="447F51FC" w14:textId="77777777" w:rsidTr="003D1B50">
        <w:trPr>
          <w:trHeight w:val="397"/>
        </w:trPr>
        <w:tc>
          <w:tcPr>
            <w:tcW w:w="614" w:type="dxa"/>
            <w:shd w:val="clear" w:color="auto" w:fill="9CC2E5" w:themeFill="accent1" w:themeFillTint="99"/>
            <w:noWrap/>
            <w:vAlign w:val="bottom"/>
            <w:hideMark/>
          </w:tcPr>
          <w:p w14:paraId="7A645DAD"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31.</w:t>
            </w:r>
          </w:p>
        </w:tc>
        <w:tc>
          <w:tcPr>
            <w:tcW w:w="1367" w:type="dxa"/>
            <w:shd w:val="clear" w:color="000000" w:fill="FFFFFF"/>
            <w:noWrap/>
            <w:vAlign w:val="bottom"/>
            <w:hideMark/>
          </w:tcPr>
          <w:p w14:paraId="776A9D1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tczewski</w:t>
            </w:r>
          </w:p>
        </w:tc>
        <w:tc>
          <w:tcPr>
            <w:tcW w:w="3406" w:type="dxa"/>
            <w:shd w:val="clear" w:color="000000" w:fill="FFFFFF"/>
            <w:noWrap/>
            <w:vAlign w:val="bottom"/>
            <w:hideMark/>
          </w:tcPr>
          <w:p w14:paraId="5019AD9C"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Gniew</w:t>
            </w:r>
          </w:p>
        </w:tc>
        <w:tc>
          <w:tcPr>
            <w:tcW w:w="3685" w:type="dxa"/>
            <w:shd w:val="clear" w:color="000000" w:fill="FFFFFF"/>
            <w:noWrap/>
            <w:vAlign w:val="bottom"/>
            <w:hideMark/>
          </w:tcPr>
          <w:p w14:paraId="0426184F"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miejsko-wiejska</w:t>
            </w:r>
          </w:p>
        </w:tc>
      </w:tr>
      <w:tr w:rsidR="00CC3B5A" w:rsidRPr="0099213E" w14:paraId="4FA46A13" w14:textId="77777777" w:rsidTr="003D1B50">
        <w:trPr>
          <w:trHeight w:val="397"/>
        </w:trPr>
        <w:tc>
          <w:tcPr>
            <w:tcW w:w="614" w:type="dxa"/>
            <w:shd w:val="clear" w:color="auto" w:fill="9CC2E5" w:themeFill="accent1" w:themeFillTint="99"/>
            <w:noWrap/>
            <w:vAlign w:val="bottom"/>
            <w:hideMark/>
          </w:tcPr>
          <w:p w14:paraId="63790EBB"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32.</w:t>
            </w:r>
          </w:p>
        </w:tc>
        <w:tc>
          <w:tcPr>
            <w:tcW w:w="1367" w:type="dxa"/>
            <w:shd w:val="clear" w:color="000000" w:fill="FFFFFF"/>
            <w:noWrap/>
            <w:vAlign w:val="bottom"/>
            <w:hideMark/>
          </w:tcPr>
          <w:p w14:paraId="36370223"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tczewski</w:t>
            </w:r>
          </w:p>
        </w:tc>
        <w:tc>
          <w:tcPr>
            <w:tcW w:w="3406" w:type="dxa"/>
            <w:shd w:val="clear" w:color="000000" w:fill="FFFFFF"/>
            <w:noWrap/>
            <w:vAlign w:val="bottom"/>
            <w:hideMark/>
          </w:tcPr>
          <w:p w14:paraId="7759C94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Pelplin</w:t>
            </w:r>
          </w:p>
        </w:tc>
        <w:tc>
          <w:tcPr>
            <w:tcW w:w="3685" w:type="dxa"/>
            <w:shd w:val="clear" w:color="000000" w:fill="FFFFFF"/>
            <w:noWrap/>
            <w:vAlign w:val="bottom"/>
            <w:hideMark/>
          </w:tcPr>
          <w:p w14:paraId="4A8AF34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miejsko-wiejska</w:t>
            </w:r>
          </w:p>
        </w:tc>
      </w:tr>
      <w:tr w:rsidR="00CC3B5A" w:rsidRPr="0099213E" w14:paraId="04C3724C" w14:textId="77777777" w:rsidTr="003D1B50">
        <w:trPr>
          <w:trHeight w:val="397"/>
        </w:trPr>
        <w:tc>
          <w:tcPr>
            <w:tcW w:w="614" w:type="dxa"/>
            <w:shd w:val="clear" w:color="auto" w:fill="9CC2E5" w:themeFill="accent1" w:themeFillTint="99"/>
            <w:noWrap/>
            <w:vAlign w:val="bottom"/>
            <w:hideMark/>
          </w:tcPr>
          <w:p w14:paraId="71862EF8"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33.</w:t>
            </w:r>
          </w:p>
        </w:tc>
        <w:tc>
          <w:tcPr>
            <w:tcW w:w="1367" w:type="dxa"/>
            <w:shd w:val="clear" w:color="000000" w:fill="FFFFFF"/>
            <w:noWrap/>
            <w:vAlign w:val="bottom"/>
            <w:hideMark/>
          </w:tcPr>
          <w:p w14:paraId="43C4D8A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wejherowski</w:t>
            </w:r>
          </w:p>
        </w:tc>
        <w:tc>
          <w:tcPr>
            <w:tcW w:w="3406" w:type="dxa"/>
            <w:shd w:val="clear" w:color="000000" w:fill="FFFFFF"/>
            <w:noWrap/>
            <w:vAlign w:val="bottom"/>
            <w:hideMark/>
          </w:tcPr>
          <w:p w14:paraId="71B8628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Choczewo</w:t>
            </w:r>
          </w:p>
        </w:tc>
        <w:tc>
          <w:tcPr>
            <w:tcW w:w="3685" w:type="dxa"/>
            <w:shd w:val="clear" w:color="000000" w:fill="FFFFFF"/>
            <w:noWrap/>
            <w:vAlign w:val="bottom"/>
            <w:hideMark/>
          </w:tcPr>
          <w:p w14:paraId="49A9739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wiejska</w:t>
            </w:r>
          </w:p>
        </w:tc>
      </w:tr>
      <w:tr w:rsidR="00CC3B5A" w:rsidRPr="0099213E" w14:paraId="6E9411C3" w14:textId="77777777" w:rsidTr="003D1B50">
        <w:trPr>
          <w:trHeight w:val="397"/>
        </w:trPr>
        <w:tc>
          <w:tcPr>
            <w:tcW w:w="614" w:type="dxa"/>
            <w:shd w:val="clear" w:color="auto" w:fill="9CC2E5" w:themeFill="accent1" w:themeFillTint="99"/>
            <w:noWrap/>
            <w:vAlign w:val="bottom"/>
            <w:hideMark/>
          </w:tcPr>
          <w:p w14:paraId="5904814F"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34.</w:t>
            </w:r>
          </w:p>
        </w:tc>
        <w:tc>
          <w:tcPr>
            <w:tcW w:w="1367" w:type="dxa"/>
            <w:shd w:val="clear" w:color="000000" w:fill="FFFFFF"/>
            <w:noWrap/>
            <w:vAlign w:val="bottom"/>
            <w:hideMark/>
          </w:tcPr>
          <w:p w14:paraId="1CE19A47"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wejherowski</w:t>
            </w:r>
          </w:p>
        </w:tc>
        <w:tc>
          <w:tcPr>
            <w:tcW w:w="3406" w:type="dxa"/>
            <w:shd w:val="clear" w:color="000000" w:fill="FFFFFF"/>
            <w:noWrap/>
            <w:vAlign w:val="bottom"/>
            <w:hideMark/>
          </w:tcPr>
          <w:p w14:paraId="15E862D2"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Rumia</w:t>
            </w:r>
          </w:p>
        </w:tc>
        <w:tc>
          <w:tcPr>
            <w:tcW w:w="3685" w:type="dxa"/>
            <w:shd w:val="clear" w:color="000000" w:fill="FFFFFF"/>
            <w:noWrap/>
            <w:vAlign w:val="bottom"/>
            <w:hideMark/>
          </w:tcPr>
          <w:p w14:paraId="0F23E1A4"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r w:rsidR="00CC3B5A" w:rsidRPr="0099213E" w14:paraId="03482220" w14:textId="77777777" w:rsidTr="003D1B50">
        <w:trPr>
          <w:trHeight w:val="397"/>
        </w:trPr>
        <w:tc>
          <w:tcPr>
            <w:tcW w:w="614" w:type="dxa"/>
            <w:shd w:val="clear" w:color="auto" w:fill="9CC2E5" w:themeFill="accent1" w:themeFillTint="99"/>
            <w:noWrap/>
            <w:vAlign w:val="bottom"/>
            <w:hideMark/>
          </w:tcPr>
          <w:p w14:paraId="417A6717" w14:textId="77777777" w:rsidR="00CC3B5A" w:rsidRPr="0099213E" w:rsidRDefault="00CC3B5A" w:rsidP="0099213E">
            <w:pPr>
              <w:spacing w:after="0" w:line="240" w:lineRule="auto"/>
              <w:rPr>
                <w:rFonts w:ascii="Times New Roman" w:eastAsia="Times New Roman" w:hAnsi="Times New Roman" w:cs="Times New Roman"/>
                <w:b/>
                <w:color w:val="000000"/>
                <w:lang w:eastAsia="pl-PL"/>
              </w:rPr>
            </w:pPr>
            <w:r w:rsidRPr="0099213E">
              <w:rPr>
                <w:rFonts w:ascii="Times New Roman" w:eastAsia="Times New Roman" w:hAnsi="Times New Roman" w:cs="Times New Roman"/>
                <w:b/>
                <w:color w:val="000000"/>
                <w:lang w:eastAsia="pl-PL"/>
              </w:rPr>
              <w:t>35.</w:t>
            </w:r>
          </w:p>
        </w:tc>
        <w:tc>
          <w:tcPr>
            <w:tcW w:w="1367" w:type="dxa"/>
            <w:shd w:val="clear" w:color="000000" w:fill="FFFFFF"/>
            <w:noWrap/>
            <w:vAlign w:val="bottom"/>
            <w:hideMark/>
          </w:tcPr>
          <w:p w14:paraId="0FD1C3F0"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wejherowski</w:t>
            </w:r>
          </w:p>
        </w:tc>
        <w:tc>
          <w:tcPr>
            <w:tcW w:w="3406" w:type="dxa"/>
            <w:shd w:val="clear" w:color="000000" w:fill="FFFFFF"/>
            <w:noWrap/>
            <w:vAlign w:val="bottom"/>
            <w:hideMark/>
          </w:tcPr>
          <w:p w14:paraId="7D5674D9"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Wejherowo</w:t>
            </w:r>
          </w:p>
        </w:tc>
        <w:tc>
          <w:tcPr>
            <w:tcW w:w="3685" w:type="dxa"/>
            <w:shd w:val="clear" w:color="000000" w:fill="FFFFFF"/>
            <w:noWrap/>
            <w:vAlign w:val="bottom"/>
            <w:hideMark/>
          </w:tcPr>
          <w:p w14:paraId="78CD9E8B" w14:textId="77777777" w:rsidR="00CC3B5A" w:rsidRPr="0099213E" w:rsidRDefault="00CC3B5A" w:rsidP="0099213E">
            <w:pPr>
              <w:spacing w:after="0" w:line="240" w:lineRule="auto"/>
              <w:rPr>
                <w:rFonts w:ascii="Times New Roman" w:eastAsia="Times New Roman" w:hAnsi="Times New Roman" w:cs="Times New Roman"/>
                <w:color w:val="000000"/>
                <w:lang w:eastAsia="pl-PL"/>
              </w:rPr>
            </w:pPr>
            <w:r w:rsidRPr="0099213E">
              <w:rPr>
                <w:rFonts w:ascii="Times New Roman" w:eastAsia="Times New Roman" w:hAnsi="Times New Roman" w:cs="Times New Roman"/>
                <w:color w:val="000000"/>
                <w:lang w:eastAsia="pl-PL"/>
              </w:rPr>
              <w:t>miejska</w:t>
            </w:r>
          </w:p>
        </w:tc>
      </w:tr>
    </w:tbl>
    <w:p w14:paraId="0151E132" w14:textId="77777777" w:rsidR="00CC3B5A" w:rsidRPr="005F0A32" w:rsidRDefault="00CC3B5A" w:rsidP="003C1988">
      <w:pPr>
        <w:pStyle w:val="Akapitzlist"/>
        <w:spacing w:after="0"/>
        <w:ind w:left="0"/>
        <w:rPr>
          <w:rFonts w:ascii="Times New Roman" w:hAnsi="Times New Roman" w:cs="Times New Roman"/>
          <w:b/>
          <w:sz w:val="24"/>
          <w:szCs w:val="24"/>
        </w:rPr>
      </w:pPr>
    </w:p>
    <w:p w14:paraId="3D38FE27" w14:textId="77777777" w:rsidR="003D508A" w:rsidRPr="003D508A" w:rsidRDefault="003D508A" w:rsidP="00E7359C">
      <w:pPr>
        <w:autoSpaceDE w:val="0"/>
        <w:autoSpaceDN w:val="0"/>
        <w:adjustRightInd w:val="0"/>
        <w:spacing w:after="0"/>
        <w:jc w:val="both"/>
        <w:rPr>
          <w:rFonts w:ascii="Times New Roman" w:hAnsi="Times New Roman" w:cs="Times New Roman"/>
          <w:b/>
          <w:sz w:val="24"/>
          <w:szCs w:val="24"/>
        </w:rPr>
      </w:pPr>
      <w:r w:rsidRPr="003D508A">
        <w:rPr>
          <w:rFonts w:ascii="Times New Roman" w:hAnsi="Times New Roman" w:cs="Times New Roman"/>
          <w:b/>
          <w:sz w:val="24"/>
          <w:szCs w:val="24"/>
        </w:rPr>
        <w:t xml:space="preserve">Uniwersytety III Wieku </w:t>
      </w:r>
    </w:p>
    <w:p w14:paraId="4E7AF77A" w14:textId="77777777" w:rsidR="00CC3B5A" w:rsidRPr="005F0A32" w:rsidRDefault="00CC3B5A" w:rsidP="00E7359C">
      <w:pPr>
        <w:autoSpaceDE w:val="0"/>
        <w:autoSpaceDN w:val="0"/>
        <w:adjustRightInd w:val="0"/>
        <w:spacing w:after="0"/>
        <w:jc w:val="both"/>
        <w:rPr>
          <w:rFonts w:ascii="Times New Roman" w:hAnsi="Times New Roman" w:cs="Times New Roman"/>
          <w:sz w:val="24"/>
          <w:szCs w:val="24"/>
        </w:rPr>
      </w:pPr>
      <w:r w:rsidRPr="005F0A32">
        <w:rPr>
          <w:rFonts w:ascii="Times New Roman" w:hAnsi="Times New Roman" w:cs="Times New Roman"/>
          <w:sz w:val="24"/>
          <w:szCs w:val="24"/>
        </w:rPr>
        <w:t>Dużą rolę w kształtowaniu i rozwijaniu działań edukacyjnyc</w:t>
      </w:r>
      <w:r w:rsidR="003D508A">
        <w:rPr>
          <w:rFonts w:ascii="Times New Roman" w:hAnsi="Times New Roman" w:cs="Times New Roman"/>
          <w:sz w:val="24"/>
          <w:szCs w:val="24"/>
        </w:rPr>
        <w:t xml:space="preserve">h, kulturalnych i społecznych w </w:t>
      </w:r>
      <w:r w:rsidRPr="005F0A32">
        <w:rPr>
          <w:rFonts w:ascii="Times New Roman" w:hAnsi="Times New Roman" w:cs="Times New Roman"/>
          <w:sz w:val="24"/>
          <w:szCs w:val="24"/>
        </w:rPr>
        <w:t>życiu seniorów mają Uniwersytety Trzeciego Wieku. W Województwie pomorskim powołano 44 UTW.</w:t>
      </w:r>
      <w:r w:rsidR="003D508A">
        <w:rPr>
          <w:rFonts w:ascii="Times New Roman" w:hAnsi="Times New Roman" w:cs="Times New Roman"/>
          <w:sz w:val="24"/>
          <w:szCs w:val="24"/>
        </w:rPr>
        <w:t xml:space="preserve"> </w:t>
      </w:r>
      <w:r w:rsidRPr="005F0A32">
        <w:rPr>
          <w:rFonts w:ascii="Times New Roman" w:hAnsi="Times New Roman" w:cs="Times New Roman"/>
          <w:sz w:val="24"/>
          <w:szCs w:val="24"/>
        </w:rPr>
        <w:t>Liczba działających Uniwersytetów Trzeciego Wieku w województwie pomorskim w podziale na powiaty (opracowanie własne):</w:t>
      </w:r>
    </w:p>
    <w:p w14:paraId="5E74DDD5" w14:textId="77777777" w:rsidR="00CC3B5A" w:rsidRPr="005F0A32" w:rsidRDefault="00CC3B5A" w:rsidP="003C1988">
      <w:pPr>
        <w:autoSpaceDE w:val="0"/>
        <w:autoSpaceDN w:val="0"/>
        <w:adjustRightInd w:val="0"/>
        <w:spacing w:after="0"/>
        <w:rPr>
          <w:rFonts w:ascii="Times New Roman" w:hAnsi="Times New Roman" w:cs="Times New Roman"/>
          <w:sz w:val="24"/>
          <w:szCs w:val="24"/>
        </w:rPr>
      </w:pPr>
    </w:p>
    <w:tbl>
      <w:tblPr>
        <w:tblStyle w:val="Tabela-Siatka"/>
        <w:tblW w:w="0" w:type="auto"/>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ook w:val="04A0" w:firstRow="1" w:lastRow="0" w:firstColumn="1" w:lastColumn="0" w:noHBand="0" w:noVBand="1"/>
      </w:tblPr>
      <w:tblGrid>
        <w:gridCol w:w="4106"/>
        <w:gridCol w:w="4961"/>
      </w:tblGrid>
      <w:tr w:rsidR="00CC3B5A" w:rsidRPr="003D1B50" w14:paraId="4DB7673A" w14:textId="77777777" w:rsidTr="003D1B50">
        <w:tc>
          <w:tcPr>
            <w:tcW w:w="4106" w:type="dxa"/>
            <w:shd w:val="clear" w:color="auto" w:fill="9CC2E5" w:themeFill="accent1" w:themeFillTint="99"/>
          </w:tcPr>
          <w:p w14:paraId="446F1E67" w14:textId="77777777" w:rsidR="00CC3B5A" w:rsidRPr="003D1B50" w:rsidRDefault="00CC3B5A" w:rsidP="003D1B50">
            <w:pPr>
              <w:autoSpaceDE w:val="0"/>
              <w:autoSpaceDN w:val="0"/>
              <w:adjustRightInd w:val="0"/>
              <w:spacing w:after="0" w:line="240" w:lineRule="auto"/>
              <w:jc w:val="center"/>
              <w:rPr>
                <w:rFonts w:ascii="Times New Roman" w:hAnsi="Times New Roman" w:cs="Times New Roman"/>
                <w:b/>
              </w:rPr>
            </w:pPr>
            <w:r w:rsidRPr="003D1B50">
              <w:rPr>
                <w:rFonts w:ascii="Times New Roman" w:hAnsi="Times New Roman" w:cs="Times New Roman"/>
                <w:b/>
              </w:rPr>
              <w:t>Powiat</w:t>
            </w:r>
          </w:p>
        </w:tc>
        <w:tc>
          <w:tcPr>
            <w:tcW w:w="4961" w:type="dxa"/>
            <w:shd w:val="clear" w:color="auto" w:fill="9CC2E5" w:themeFill="accent1" w:themeFillTint="99"/>
          </w:tcPr>
          <w:p w14:paraId="75EE3014" w14:textId="77777777" w:rsidR="00CC3B5A" w:rsidRPr="003D1B50" w:rsidRDefault="00CC3B5A" w:rsidP="003D1B50">
            <w:pPr>
              <w:autoSpaceDE w:val="0"/>
              <w:autoSpaceDN w:val="0"/>
              <w:adjustRightInd w:val="0"/>
              <w:spacing w:after="0" w:line="240" w:lineRule="auto"/>
              <w:jc w:val="center"/>
              <w:rPr>
                <w:rFonts w:ascii="Times New Roman" w:hAnsi="Times New Roman" w:cs="Times New Roman"/>
                <w:b/>
              </w:rPr>
            </w:pPr>
            <w:r w:rsidRPr="003D1B50">
              <w:rPr>
                <w:rFonts w:ascii="Times New Roman" w:hAnsi="Times New Roman" w:cs="Times New Roman"/>
                <w:b/>
              </w:rPr>
              <w:t>Liczba UTW</w:t>
            </w:r>
          </w:p>
        </w:tc>
      </w:tr>
      <w:tr w:rsidR="00CC3B5A" w:rsidRPr="003D1B50" w14:paraId="2D3C1C88" w14:textId="77777777" w:rsidTr="003D1B50">
        <w:tc>
          <w:tcPr>
            <w:tcW w:w="4106" w:type="dxa"/>
          </w:tcPr>
          <w:p w14:paraId="0FFFEE92"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bytowski</w:t>
            </w:r>
          </w:p>
        </w:tc>
        <w:tc>
          <w:tcPr>
            <w:tcW w:w="4961" w:type="dxa"/>
          </w:tcPr>
          <w:p w14:paraId="687009FD"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2</w:t>
            </w:r>
          </w:p>
        </w:tc>
      </w:tr>
      <w:tr w:rsidR="00CC3B5A" w:rsidRPr="003D1B50" w14:paraId="3C221CF5" w14:textId="77777777" w:rsidTr="003D1B50">
        <w:tc>
          <w:tcPr>
            <w:tcW w:w="4106" w:type="dxa"/>
          </w:tcPr>
          <w:p w14:paraId="761F5D47"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chojnicki</w:t>
            </w:r>
          </w:p>
        </w:tc>
        <w:tc>
          <w:tcPr>
            <w:tcW w:w="4961" w:type="dxa"/>
          </w:tcPr>
          <w:p w14:paraId="2C4A5EC3"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2</w:t>
            </w:r>
          </w:p>
        </w:tc>
      </w:tr>
      <w:tr w:rsidR="00CC3B5A" w:rsidRPr="003D1B50" w14:paraId="5A3E5BF9" w14:textId="77777777" w:rsidTr="003D1B50">
        <w:tc>
          <w:tcPr>
            <w:tcW w:w="4106" w:type="dxa"/>
          </w:tcPr>
          <w:p w14:paraId="03BDACBD"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człuchowski</w:t>
            </w:r>
          </w:p>
        </w:tc>
        <w:tc>
          <w:tcPr>
            <w:tcW w:w="4961" w:type="dxa"/>
          </w:tcPr>
          <w:p w14:paraId="1E9877F3"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1</w:t>
            </w:r>
          </w:p>
        </w:tc>
      </w:tr>
      <w:tr w:rsidR="00CC3B5A" w:rsidRPr="003D1B50" w14:paraId="0FA03818" w14:textId="77777777" w:rsidTr="003D1B50">
        <w:tc>
          <w:tcPr>
            <w:tcW w:w="4106" w:type="dxa"/>
          </w:tcPr>
          <w:p w14:paraId="255B503A"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M. Gdańsk</w:t>
            </w:r>
          </w:p>
        </w:tc>
        <w:tc>
          <w:tcPr>
            <w:tcW w:w="4961" w:type="dxa"/>
          </w:tcPr>
          <w:p w14:paraId="3B2182B5"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8</w:t>
            </w:r>
          </w:p>
        </w:tc>
      </w:tr>
      <w:tr w:rsidR="00CC3B5A" w:rsidRPr="003D1B50" w14:paraId="38C7C9BC" w14:textId="77777777" w:rsidTr="003D1B50">
        <w:tc>
          <w:tcPr>
            <w:tcW w:w="4106" w:type="dxa"/>
          </w:tcPr>
          <w:p w14:paraId="10949822"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gdański</w:t>
            </w:r>
          </w:p>
        </w:tc>
        <w:tc>
          <w:tcPr>
            <w:tcW w:w="4961" w:type="dxa"/>
          </w:tcPr>
          <w:p w14:paraId="2F9D18A9"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2</w:t>
            </w:r>
          </w:p>
        </w:tc>
      </w:tr>
      <w:tr w:rsidR="00CC3B5A" w:rsidRPr="003D1B50" w14:paraId="23389B5C" w14:textId="77777777" w:rsidTr="003D1B50">
        <w:tc>
          <w:tcPr>
            <w:tcW w:w="4106" w:type="dxa"/>
          </w:tcPr>
          <w:p w14:paraId="63930FEE"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M. Gdynia</w:t>
            </w:r>
          </w:p>
        </w:tc>
        <w:tc>
          <w:tcPr>
            <w:tcW w:w="4961" w:type="dxa"/>
          </w:tcPr>
          <w:p w14:paraId="1BD7071D"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4</w:t>
            </w:r>
          </w:p>
        </w:tc>
      </w:tr>
      <w:tr w:rsidR="00CC3B5A" w:rsidRPr="003D1B50" w14:paraId="1705B26C" w14:textId="77777777" w:rsidTr="003D1B50">
        <w:tc>
          <w:tcPr>
            <w:tcW w:w="4106" w:type="dxa"/>
          </w:tcPr>
          <w:p w14:paraId="4DACD843"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lastRenderedPageBreak/>
              <w:t>kartuski</w:t>
            </w:r>
          </w:p>
        </w:tc>
        <w:tc>
          <w:tcPr>
            <w:tcW w:w="4961" w:type="dxa"/>
          </w:tcPr>
          <w:p w14:paraId="7AF152E2"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2</w:t>
            </w:r>
          </w:p>
        </w:tc>
      </w:tr>
      <w:tr w:rsidR="00CC3B5A" w:rsidRPr="003D1B50" w14:paraId="2EDB9448" w14:textId="77777777" w:rsidTr="003D1B50">
        <w:trPr>
          <w:trHeight w:val="306"/>
        </w:trPr>
        <w:tc>
          <w:tcPr>
            <w:tcW w:w="4106" w:type="dxa"/>
          </w:tcPr>
          <w:p w14:paraId="509A98B3"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kościerski</w:t>
            </w:r>
          </w:p>
        </w:tc>
        <w:tc>
          <w:tcPr>
            <w:tcW w:w="4961" w:type="dxa"/>
          </w:tcPr>
          <w:p w14:paraId="55E0DF19"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1</w:t>
            </w:r>
          </w:p>
        </w:tc>
      </w:tr>
      <w:tr w:rsidR="00CC3B5A" w:rsidRPr="003D1B50" w14:paraId="1563B288" w14:textId="77777777" w:rsidTr="003D1B50">
        <w:trPr>
          <w:trHeight w:val="306"/>
        </w:trPr>
        <w:tc>
          <w:tcPr>
            <w:tcW w:w="4106" w:type="dxa"/>
          </w:tcPr>
          <w:p w14:paraId="38D44B99"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kwidzyński</w:t>
            </w:r>
          </w:p>
        </w:tc>
        <w:tc>
          <w:tcPr>
            <w:tcW w:w="4961" w:type="dxa"/>
          </w:tcPr>
          <w:p w14:paraId="43650453"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1</w:t>
            </w:r>
          </w:p>
        </w:tc>
      </w:tr>
      <w:tr w:rsidR="00CC3B5A" w:rsidRPr="003D1B50" w14:paraId="354C728A" w14:textId="77777777" w:rsidTr="003D1B50">
        <w:trPr>
          <w:trHeight w:val="306"/>
        </w:trPr>
        <w:tc>
          <w:tcPr>
            <w:tcW w:w="4106" w:type="dxa"/>
          </w:tcPr>
          <w:p w14:paraId="2CC4BEBC"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lęborski</w:t>
            </w:r>
          </w:p>
        </w:tc>
        <w:tc>
          <w:tcPr>
            <w:tcW w:w="4961" w:type="dxa"/>
          </w:tcPr>
          <w:p w14:paraId="12D5F609"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2</w:t>
            </w:r>
          </w:p>
        </w:tc>
      </w:tr>
      <w:tr w:rsidR="00CC3B5A" w:rsidRPr="003D1B50" w14:paraId="5A7E1E6B" w14:textId="77777777" w:rsidTr="003D1B50">
        <w:trPr>
          <w:trHeight w:val="306"/>
        </w:trPr>
        <w:tc>
          <w:tcPr>
            <w:tcW w:w="4106" w:type="dxa"/>
          </w:tcPr>
          <w:p w14:paraId="50D2E59C"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malborski</w:t>
            </w:r>
          </w:p>
        </w:tc>
        <w:tc>
          <w:tcPr>
            <w:tcW w:w="4961" w:type="dxa"/>
          </w:tcPr>
          <w:p w14:paraId="45BF6478"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1</w:t>
            </w:r>
          </w:p>
        </w:tc>
      </w:tr>
      <w:tr w:rsidR="00CC3B5A" w:rsidRPr="003D1B50" w14:paraId="20ADB4F7" w14:textId="77777777" w:rsidTr="003D1B50">
        <w:trPr>
          <w:trHeight w:val="306"/>
        </w:trPr>
        <w:tc>
          <w:tcPr>
            <w:tcW w:w="4106" w:type="dxa"/>
          </w:tcPr>
          <w:p w14:paraId="3361CC02"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pucki</w:t>
            </w:r>
          </w:p>
        </w:tc>
        <w:tc>
          <w:tcPr>
            <w:tcW w:w="4961" w:type="dxa"/>
          </w:tcPr>
          <w:p w14:paraId="49DC3A19"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1</w:t>
            </w:r>
          </w:p>
        </w:tc>
      </w:tr>
      <w:tr w:rsidR="00CC3B5A" w:rsidRPr="003D1B50" w14:paraId="518FED61" w14:textId="77777777" w:rsidTr="003D1B50">
        <w:trPr>
          <w:trHeight w:val="306"/>
        </w:trPr>
        <w:tc>
          <w:tcPr>
            <w:tcW w:w="4106" w:type="dxa"/>
          </w:tcPr>
          <w:p w14:paraId="43042014"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M. Słupsk</w:t>
            </w:r>
          </w:p>
        </w:tc>
        <w:tc>
          <w:tcPr>
            <w:tcW w:w="4961" w:type="dxa"/>
          </w:tcPr>
          <w:p w14:paraId="104F6986"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2</w:t>
            </w:r>
          </w:p>
        </w:tc>
      </w:tr>
      <w:tr w:rsidR="00CC3B5A" w:rsidRPr="003D1B50" w14:paraId="41210DFD" w14:textId="77777777" w:rsidTr="003D1B50">
        <w:trPr>
          <w:trHeight w:val="306"/>
        </w:trPr>
        <w:tc>
          <w:tcPr>
            <w:tcW w:w="4106" w:type="dxa"/>
          </w:tcPr>
          <w:p w14:paraId="199288D1"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słupski</w:t>
            </w:r>
          </w:p>
        </w:tc>
        <w:tc>
          <w:tcPr>
            <w:tcW w:w="4961" w:type="dxa"/>
          </w:tcPr>
          <w:p w14:paraId="259786F4"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3</w:t>
            </w:r>
          </w:p>
        </w:tc>
      </w:tr>
      <w:tr w:rsidR="00CC3B5A" w:rsidRPr="003D1B50" w14:paraId="1A97F19E" w14:textId="77777777" w:rsidTr="003D1B50">
        <w:trPr>
          <w:trHeight w:val="306"/>
        </w:trPr>
        <w:tc>
          <w:tcPr>
            <w:tcW w:w="4106" w:type="dxa"/>
          </w:tcPr>
          <w:p w14:paraId="2C228A76"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M. Sopot</w:t>
            </w:r>
          </w:p>
        </w:tc>
        <w:tc>
          <w:tcPr>
            <w:tcW w:w="4961" w:type="dxa"/>
          </w:tcPr>
          <w:p w14:paraId="4426ABC1"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3</w:t>
            </w:r>
          </w:p>
        </w:tc>
      </w:tr>
      <w:tr w:rsidR="00CC3B5A" w:rsidRPr="003D1B50" w14:paraId="588046A2" w14:textId="77777777" w:rsidTr="003D1B50">
        <w:trPr>
          <w:trHeight w:val="306"/>
        </w:trPr>
        <w:tc>
          <w:tcPr>
            <w:tcW w:w="4106" w:type="dxa"/>
          </w:tcPr>
          <w:p w14:paraId="521D0075"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starogardzki</w:t>
            </w:r>
          </w:p>
        </w:tc>
        <w:tc>
          <w:tcPr>
            <w:tcW w:w="4961" w:type="dxa"/>
          </w:tcPr>
          <w:p w14:paraId="3DA75BF9"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1</w:t>
            </w:r>
          </w:p>
        </w:tc>
      </w:tr>
      <w:tr w:rsidR="00CC3B5A" w:rsidRPr="003D1B50" w14:paraId="52257E2D" w14:textId="77777777" w:rsidTr="003D1B50">
        <w:trPr>
          <w:trHeight w:val="306"/>
        </w:trPr>
        <w:tc>
          <w:tcPr>
            <w:tcW w:w="4106" w:type="dxa"/>
          </w:tcPr>
          <w:p w14:paraId="4C229343"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sztumski</w:t>
            </w:r>
          </w:p>
        </w:tc>
        <w:tc>
          <w:tcPr>
            <w:tcW w:w="4961" w:type="dxa"/>
          </w:tcPr>
          <w:p w14:paraId="65784615"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1</w:t>
            </w:r>
          </w:p>
        </w:tc>
      </w:tr>
      <w:tr w:rsidR="00CC3B5A" w:rsidRPr="003D1B50" w14:paraId="67CFFC29" w14:textId="77777777" w:rsidTr="003D1B50">
        <w:trPr>
          <w:trHeight w:val="306"/>
        </w:trPr>
        <w:tc>
          <w:tcPr>
            <w:tcW w:w="4106" w:type="dxa"/>
          </w:tcPr>
          <w:p w14:paraId="0366696E"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tczewski</w:t>
            </w:r>
          </w:p>
        </w:tc>
        <w:tc>
          <w:tcPr>
            <w:tcW w:w="4961" w:type="dxa"/>
          </w:tcPr>
          <w:p w14:paraId="0AE755B7"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3</w:t>
            </w:r>
          </w:p>
        </w:tc>
      </w:tr>
      <w:tr w:rsidR="00CC3B5A" w:rsidRPr="003D1B50" w14:paraId="50D79B68" w14:textId="77777777" w:rsidTr="003D1B50">
        <w:trPr>
          <w:trHeight w:val="306"/>
        </w:trPr>
        <w:tc>
          <w:tcPr>
            <w:tcW w:w="4106" w:type="dxa"/>
          </w:tcPr>
          <w:p w14:paraId="310990F4"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wejherowski</w:t>
            </w:r>
          </w:p>
        </w:tc>
        <w:tc>
          <w:tcPr>
            <w:tcW w:w="4961" w:type="dxa"/>
          </w:tcPr>
          <w:p w14:paraId="570AB53C" w14:textId="77777777" w:rsidR="00CC3B5A" w:rsidRPr="003D1B50" w:rsidRDefault="00CC3B5A" w:rsidP="003D1B50">
            <w:pPr>
              <w:autoSpaceDE w:val="0"/>
              <w:autoSpaceDN w:val="0"/>
              <w:adjustRightInd w:val="0"/>
              <w:spacing w:after="0" w:line="240" w:lineRule="auto"/>
              <w:rPr>
                <w:rFonts w:ascii="Times New Roman" w:hAnsi="Times New Roman" w:cs="Times New Roman"/>
              </w:rPr>
            </w:pPr>
            <w:r w:rsidRPr="003D1B50">
              <w:rPr>
                <w:rFonts w:ascii="Times New Roman" w:hAnsi="Times New Roman" w:cs="Times New Roman"/>
              </w:rPr>
              <w:t>4</w:t>
            </w:r>
          </w:p>
        </w:tc>
      </w:tr>
    </w:tbl>
    <w:p w14:paraId="7A71D219" w14:textId="77777777" w:rsidR="00CC3B5A" w:rsidRPr="005F0A32" w:rsidRDefault="00CC3B5A" w:rsidP="003C1988">
      <w:pPr>
        <w:pStyle w:val="Akapitzlist"/>
        <w:spacing w:after="0"/>
        <w:ind w:left="0"/>
        <w:rPr>
          <w:rFonts w:ascii="Times New Roman" w:hAnsi="Times New Roman" w:cs="Times New Roman"/>
          <w:b/>
          <w:sz w:val="24"/>
          <w:szCs w:val="24"/>
        </w:rPr>
      </w:pPr>
    </w:p>
    <w:p w14:paraId="7B9609CE" w14:textId="77777777" w:rsidR="00694F2D" w:rsidRPr="003D508A" w:rsidRDefault="00694F2D" w:rsidP="00E7359C">
      <w:pPr>
        <w:spacing w:after="0"/>
        <w:jc w:val="both"/>
        <w:rPr>
          <w:rFonts w:ascii="Times New Roman" w:hAnsi="Times New Roman" w:cs="Times New Roman"/>
          <w:color w:val="00B0F0"/>
          <w:sz w:val="24"/>
          <w:szCs w:val="24"/>
        </w:rPr>
      </w:pPr>
      <w:r w:rsidRPr="003D508A">
        <w:rPr>
          <w:rFonts w:ascii="Times New Roman" w:hAnsi="Times New Roman" w:cs="Times New Roman"/>
          <w:b/>
          <w:color w:val="00B0F0"/>
          <w:sz w:val="24"/>
          <w:szCs w:val="24"/>
        </w:rPr>
        <w:t>Przykłady dobrych praktyk na poziomie lokalnym</w:t>
      </w:r>
    </w:p>
    <w:p w14:paraId="46032670" w14:textId="77777777" w:rsidR="00CC3B5A" w:rsidRPr="005F0A32" w:rsidRDefault="00CC3B5A" w:rsidP="00E7359C">
      <w:pPr>
        <w:spacing w:after="0"/>
        <w:jc w:val="both"/>
        <w:rPr>
          <w:rFonts w:ascii="Times New Roman" w:eastAsia="Calibri" w:hAnsi="Times New Roman" w:cs="Times New Roman"/>
          <w:b/>
          <w:bCs/>
          <w:color w:val="000000"/>
          <w:kern w:val="1"/>
          <w:sz w:val="24"/>
          <w:szCs w:val="24"/>
          <w:lang w:eastAsia="pl-PL"/>
        </w:rPr>
      </w:pPr>
    </w:p>
    <w:p w14:paraId="01E6613F" w14:textId="77777777" w:rsidR="00694F2D" w:rsidRPr="00694F2D" w:rsidRDefault="00694F2D" w:rsidP="00E7359C">
      <w:pPr>
        <w:spacing w:after="0"/>
        <w:jc w:val="both"/>
        <w:rPr>
          <w:rFonts w:ascii="Times New Roman" w:eastAsia="Calibri" w:hAnsi="Times New Roman" w:cs="Times New Roman"/>
          <w:bCs/>
          <w:color w:val="000000"/>
          <w:kern w:val="1"/>
          <w:sz w:val="24"/>
          <w:szCs w:val="24"/>
          <w:lang w:eastAsia="pl-PL"/>
        </w:rPr>
      </w:pPr>
      <w:r w:rsidRPr="00694F2D">
        <w:rPr>
          <w:rFonts w:ascii="Times New Roman" w:eastAsia="Calibri" w:hAnsi="Times New Roman" w:cs="Times New Roman"/>
          <w:bCs/>
          <w:color w:val="000000"/>
          <w:kern w:val="1"/>
          <w:sz w:val="24"/>
          <w:szCs w:val="24"/>
          <w:lang w:eastAsia="pl-PL"/>
        </w:rPr>
        <w:t>Gmina Szemud</w:t>
      </w:r>
    </w:p>
    <w:p w14:paraId="7E2D5718" w14:textId="77777777" w:rsidR="00694F2D" w:rsidRPr="00694F2D" w:rsidRDefault="00CC3B5A" w:rsidP="008C71A9">
      <w:pPr>
        <w:pStyle w:val="Akapitzlist"/>
        <w:numPr>
          <w:ilvl w:val="0"/>
          <w:numId w:val="150"/>
        </w:numPr>
        <w:spacing w:after="0"/>
        <w:ind w:left="360"/>
        <w:jc w:val="both"/>
        <w:rPr>
          <w:rFonts w:ascii="Times New Roman" w:eastAsia="Calibri" w:hAnsi="Times New Roman" w:cs="Times New Roman"/>
          <w:b/>
          <w:bCs/>
          <w:color w:val="000000"/>
          <w:kern w:val="1"/>
          <w:sz w:val="24"/>
          <w:szCs w:val="24"/>
          <w:lang w:eastAsia="pl-PL"/>
        </w:rPr>
      </w:pPr>
      <w:r w:rsidRPr="00694F2D">
        <w:rPr>
          <w:rFonts w:ascii="Times New Roman" w:eastAsia="Calibri" w:hAnsi="Times New Roman" w:cs="Times New Roman"/>
          <w:b/>
          <w:bCs/>
          <w:color w:val="000000"/>
          <w:kern w:val="1"/>
          <w:sz w:val="24"/>
          <w:szCs w:val="24"/>
          <w:lang w:eastAsia="pl-PL"/>
        </w:rPr>
        <w:t>kampania społeczna „Szacunek należy się każdemu – niezależnie od wieku”</w:t>
      </w:r>
      <w:r w:rsidR="00694F2D">
        <w:rPr>
          <w:rFonts w:ascii="Times New Roman" w:eastAsia="Calibri" w:hAnsi="Times New Roman" w:cs="Times New Roman"/>
          <w:b/>
          <w:bCs/>
          <w:color w:val="000000"/>
          <w:kern w:val="1"/>
          <w:sz w:val="24"/>
          <w:szCs w:val="24"/>
          <w:lang w:eastAsia="pl-PL"/>
        </w:rPr>
        <w:t xml:space="preserve">. </w:t>
      </w:r>
      <w:r w:rsidRPr="00694F2D">
        <w:rPr>
          <w:rFonts w:ascii="Times New Roman" w:eastAsia="Calibri" w:hAnsi="Times New Roman" w:cs="Times New Roman"/>
          <w:bCs/>
          <w:color w:val="000000"/>
          <w:kern w:val="1"/>
          <w:sz w:val="24"/>
          <w:szCs w:val="24"/>
          <w:lang w:eastAsia="pl-PL"/>
        </w:rPr>
        <w:t>Kampania miała na celu zwrócenie uwagi na problem stosowania przemocy wobec osób starszych. Realizatorem kampanii był Gminny Zespół Interdyscyplinarny ds. Przeciwdziałania Przemocy w Rodzinie w Gminie Szemud i Gminny Ośrodek Pomocy Społecznej w Szemudzie. W ramach kampanii przeprowadzono szkolenie skierowane do wszystkich członków Zespołu Interdyscyplinarnego oraz przeprowadzono akcję informacyjną. Przekazano ulotki informacyjne do ośrodka zdrowia w Szemudzie, Komisariatu Policji w Szemudzie oraz szkół znajdujących się na terenie Gminy Szemud.</w:t>
      </w:r>
    </w:p>
    <w:p w14:paraId="2C73302E" w14:textId="77777777" w:rsidR="00A13299" w:rsidRDefault="00A13299" w:rsidP="00E7359C">
      <w:pPr>
        <w:spacing w:after="0"/>
        <w:jc w:val="both"/>
        <w:rPr>
          <w:rFonts w:ascii="Times New Roman" w:eastAsia="Calibri" w:hAnsi="Times New Roman" w:cs="Times New Roman"/>
          <w:b/>
          <w:bCs/>
          <w:color w:val="000000"/>
          <w:kern w:val="1"/>
          <w:sz w:val="24"/>
          <w:szCs w:val="24"/>
          <w:lang w:eastAsia="pl-PL"/>
        </w:rPr>
      </w:pPr>
    </w:p>
    <w:p w14:paraId="5A0C13E0" w14:textId="77777777" w:rsidR="00A13299" w:rsidRPr="00A13299" w:rsidRDefault="00A13299" w:rsidP="00E7359C">
      <w:pPr>
        <w:spacing w:after="0"/>
        <w:jc w:val="both"/>
        <w:rPr>
          <w:rFonts w:ascii="Times New Roman" w:eastAsia="Calibri" w:hAnsi="Times New Roman" w:cs="Times New Roman"/>
          <w:b/>
          <w:bCs/>
          <w:color w:val="000000"/>
          <w:kern w:val="1"/>
          <w:sz w:val="24"/>
          <w:szCs w:val="24"/>
          <w:lang w:eastAsia="pl-PL"/>
        </w:rPr>
      </w:pPr>
      <w:r w:rsidRPr="00694F2D">
        <w:rPr>
          <w:rFonts w:ascii="Times New Roman" w:eastAsia="Calibri" w:hAnsi="Times New Roman" w:cs="Times New Roman"/>
          <w:bCs/>
          <w:color w:val="000000"/>
          <w:kern w:val="1"/>
          <w:sz w:val="24"/>
          <w:szCs w:val="24"/>
          <w:lang w:eastAsia="pl-PL"/>
        </w:rPr>
        <w:t>Miasto Gdańsk:</w:t>
      </w:r>
    </w:p>
    <w:p w14:paraId="1C6356F0" w14:textId="77777777" w:rsidR="00A13299" w:rsidRPr="00A13299" w:rsidRDefault="00CC3B5A" w:rsidP="008C71A9">
      <w:pPr>
        <w:pStyle w:val="Akapitzlist"/>
        <w:numPr>
          <w:ilvl w:val="0"/>
          <w:numId w:val="150"/>
        </w:numPr>
        <w:spacing w:after="0"/>
        <w:ind w:left="360"/>
        <w:jc w:val="both"/>
        <w:rPr>
          <w:rStyle w:val="Hipercze"/>
          <w:rFonts w:ascii="Times New Roman" w:eastAsia="Calibri" w:hAnsi="Times New Roman" w:cs="Times New Roman"/>
          <w:b/>
          <w:bCs/>
          <w:color w:val="000000"/>
          <w:kern w:val="1"/>
          <w:sz w:val="24"/>
          <w:szCs w:val="24"/>
          <w:u w:val="none"/>
          <w:lang w:eastAsia="pl-PL"/>
        </w:rPr>
      </w:pPr>
      <w:r w:rsidRPr="00694F2D">
        <w:rPr>
          <w:rFonts w:ascii="Times New Roman" w:eastAsia="Calibri" w:hAnsi="Times New Roman" w:cs="Times New Roman"/>
          <w:bCs/>
          <w:color w:val="000000"/>
          <w:kern w:val="1"/>
          <w:sz w:val="24"/>
          <w:szCs w:val="24"/>
          <w:lang w:eastAsia="pl-PL"/>
        </w:rPr>
        <w:t>Gdańs</w:t>
      </w:r>
      <w:r w:rsidR="00694F2D" w:rsidRPr="00694F2D">
        <w:rPr>
          <w:rFonts w:ascii="Times New Roman" w:eastAsia="Calibri" w:hAnsi="Times New Roman" w:cs="Times New Roman"/>
          <w:bCs/>
          <w:color w:val="000000"/>
          <w:kern w:val="1"/>
          <w:sz w:val="24"/>
          <w:szCs w:val="24"/>
          <w:lang w:eastAsia="pl-PL"/>
        </w:rPr>
        <w:t xml:space="preserve">kie Centrum Równego Traktowania. </w:t>
      </w:r>
      <w:r w:rsidRPr="00694F2D">
        <w:rPr>
          <w:rFonts w:ascii="Times New Roman" w:eastAsia="Calibri" w:hAnsi="Times New Roman" w:cs="Times New Roman"/>
          <w:bCs/>
          <w:color w:val="000000"/>
          <w:kern w:val="1"/>
          <w:sz w:val="24"/>
          <w:szCs w:val="24"/>
          <w:lang w:eastAsia="pl-PL"/>
        </w:rPr>
        <w:t>W ramach zlecenia realizacji zadania publicznego dotyczącego wspierania osób doświadczających dyskryminacji lub zagrożonych nią, Miasto zleciło prowadzenie Gdańskiego Centrum Równego Traktowania (GCRT), które oferowało kompleksowe wsparcie psychologiczne, informacyjno-prawne oraz asystenckie osobom dyskryminowanym, również ze względu na starszy wiek. W ramach GCRT odbyło się siedem grup wsparcia dla seniorów i seniorek, skupionych wokół  trudności w kontaktach z instytucjami publicznymi (w szczególności łamania prawa równego dostępu do usług medycznych) i nękania przez sąsiadów. Z indywidualnej pomocy skorzystały 2 osoby, których przypadek zakwalifikowano jako dyskryminację ze względu na wiek</w:t>
      </w:r>
      <w:r w:rsidR="003D508A">
        <w:rPr>
          <w:rStyle w:val="Odwoanieprzypisudolnego"/>
          <w:rFonts w:ascii="Times New Roman" w:eastAsia="Calibri" w:hAnsi="Times New Roman" w:cs="Times New Roman"/>
          <w:bCs/>
          <w:color w:val="000000"/>
          <w:kern w:val="1"/>
          <w:sz w:val="24"/>
          <w:szCs w:val="24"/>
          <w:lang w:eastAsia="pl-PL"/>
        </w:rPr>
        <w:footnoteReference w:id="181"/>
      </w:r>
      <w:r w:rsidRPr="00694F2D">
        <w:rPr>
          <w:rFonts w:ascii="Times New Roman" w:eastAsia="Calibri" w:hAnsi="Times New Roman" w:cs="Times New Roman"/>
          <w:bCs/>
          <w:color w:val="000000"/>
          <w:kern w:val="1"/>
          <w:sz w:val="24"/>
          <w:szCs w:val="24"/>
          <w:lang w:eastAsia="pl-PL"/>
        </w:rPr>
        <w:t>.</w:t>
      </w:r>
    </w:p>
    <w:p w14:paraId="2A0AF182" w14:textId="77777777" w:rsidR="00CC3B5A" w:rsidRPr="00A13299" w:rsidRDefault="00CC3B5A" w:rsidP="008C71A9">
      <w:pPr>
        <w:pStyle w:val="Akapitzlist"/>
        <w:numPr>
          <w:ilvl w:val="0"/>
          <w:numId w:val="150"/>
        </w:numPr>
        <w:spacing w:after="0"/>
        <w:ind w:left="360"/>
        <w:jc w:val="both"/>
        <w:rPr>
          <w:rFonts w:ascii="Times New Roman" w:eastAsia="Calibri" w:hAnsi="Times New Roman" w:cs="Times New Roman"/>
          <w:b/>
          <w:bCs/>
          <w:color w:val="000000"/>
          <w:kern w:val="1"/>
          <w:sz w:val="24"/>
          <w:szCs w:val="24"/>
          <w:lang w:eastAsia="pl-PL"/>
        </w:rPr>
      </w:pPr>
      <w:r w:rsidRPr="00A13299">
        <w:rPr>
          <w:rFonts w:ascii="Times New Roman" w:eastAsia="Calibri" w:hAnsi="Times New Roman" w:cs="Times New Roman"/>
          <w:b/>
          <w:bCs/>
          <w:color w:val="000000"/>
          <w:kern w:val="1"/>
          <w:sz w:val="24"/>
          <w:szCs w:val="24"/>
          <w:lang w:eastAsia="pl-PL"/>
        </w:rPr>
        <w:t xml:space="preserve"> „GreenSAM” - “Green Silver Age Mobility” </w:t>
      </w:r>
      <w:r w:rsidRPr="00A13299">
        <w:rPr>
          <w:rFonts w:ascii="Times New Roman" w:eastAsia="Calibri" w:hAnsi="Times New Roman" w:cs="Times New Roman"/>
          <w:bCs/>
          <w:color w:val="000000"/>
          <w:kern w:val="1"/>
          <w:sz w:val="24"/>
          <w:szCs w:val="24"/>
          <w:lang w:eastAsia="pl-PL"/>
        </w:rPr>
        <w:t xml:space="preserve">„Zielona Mobilność w Srebrnym Wieku” to europejski projekt z myślą o podniesieniu poziomu mobilności aktywnej seniorów. Gdańsk odpowiadając na wyzwania i pojawiąjące się potrzeby, przystąpił do projektu z nadzieją na zwiększenie aktywności mobilnej oraz bezpieczeństwa drogowego seniorów. Działania związane z realizacją projektu dotyczą popularyzacji aktywności osób starszych w przestrzeni miasta, poprzez większy udział seniorów w korzystaniu z rowerów jako formy </w:t>
      </w:r>
      <w:r w:rsidRPr="00A13299">
        <w:rPr>
          <w:rFonts w:ascii="Times New Roman" w:eastAsia="Calibri" w:hAnsi="Times New Roman" w:cs="Times New Roman"/>
          <w:bCs/>
          <w:color w:val="000000"/>
          <w:kern w:val="1"/>
          <w:sz w:val="24"/>
          <w:szCs w:val="24"/>
          <w:lang w:eastAsia="pl-PL"/>
        </w:rPr>
        <w:lastRenderedPageBreak/>
        <w:t xml:space="preserve">transportu i rekreacji oraz szukanie rozwiązań ułatwiających osobom starszym poruszanie się po mieście. Jednym z najważniejszych celów projektu "GreenSAM" jest utworzenie Zespołu ds. aktywnej mobilności, w skład którego wejdą zarówno eksperci, ale również reprezentanci podmiotów zrzeszających seniorów. Zespół stanie się ciałem doradczym,  opracowującym zalecenia, opinie i rekomendacje na tematy związane z aktywną mobilnością w „srebrnym wieku", które następnie będą mogły być przedstawiane Radzie Miasta Gdańska oraz innym grupom interesariuszy. W ramach projektu zostaną również podjęte kroki, w celu określenia barier w zakresie mobilności aktywnej seniorów, poprawy bezpieczeństwa w ruchu ulicznym oraz promocję jazdy na rowerze wśród starszych mieszkańców miasta. </w:t>
      </w:r>
    </w:p>
    <w:p w14:paraId="00DFC42C" w14:textId="77777777" w:rsidR="00CC3B5A" w:rsidRPr="005F0A32" w:rsidRDefault="00CC3B5A" w:rsidP="00E7359C">
      <w:pPr>
        <w:spacing w:after="0"/>
        <w:ind w:firstLine="708"/>
        <w:jc w:val="both"/>
        <w:rPr>
          <w:rFonts w:ascii="Times New Roman" w:eastAsia="Calibri" w:hAnsi="Times New Roman" w:cs="Times New Roman"/>
          <w:b/>
          <w:bCs/>
          <w:color w:val="000000"/>
          <w:kern w:val="1"/>
          <w:sz w:val="24"/>
          <w:szCs w:val="24"/>
          <w:lang w:eastAsia="pl-PL"/>
        </w:rPr>
      </w:pPr>
    </w:p>
    <w:p w14:paraId="23758B73" w14:textId="77777777" w:rsidR="00A13299" w:rsidRPr="00A13299" w:rsidRDefault="00A13299" w:rsidP="00E7359C">
      <w:pPr>
        <w:pStyle w:val="NormalnyWeb"/>
        <w:spacing w:after="0"/>
        <w:jc w:val="both"/>
        <w:rPr>
          <w:rStyle w:val="Pogrubienie"/>
          <w:b w:val="0"/>
        </w:rPr>
      </w:pPr>
      <w:r w:rsidRPr="00A13299">
        <w:rPr>
          <w:rStyle w:val="Pogrubienie"/>
          <w:b w:val="0"/>
        </w:rPr>
        <w:t>Miasto Sopot</w:t>
      </w:r>
      <w:r w:rsidR="00CC3B5A" w:rsidRPr="00A13299">
        <w:rPr>
          <w:rStyle w:val="Pogrubienie"/>
          <w:b w:val="0"/>
        </w:rPr>
        <w:t xml:space="preserve"> </w:t>
      </w:r>
    </w:p>
    <w:p w14:paraId="6F738ED8" w14:textId="77777777" w:rsidR="00CC3B5A" w:rsidRPr="00A13299" w:rsidRDefault="00CC3B5A" w:rsidP="008C71A9">
      <w:pPr>
        <w:pStyle w:val="NormalnyWeb"/>
        <w:numPr>
          <w:ilvl w:val="0"/>
          <w:numId w:val="152"/>
        </w:numPr>
        <w:spacing w:after="0"/>
        <w:ind w:left="360"/>
        <w:jc w:val="both"/>
        <w:rPr>
          <w:b/>
          <w:bCs/>
        </w:rPr>
      </w:pPr>
      <w:r w:rsidRPr="005F0A32">
        <w:rPr>
          <w:rStyle w:val="Pogrubienie"/>
        </w:rPr>
        <w:t>Centrum Geriatrii – wielowymiarowa opieka</w:t>
      </w:r>
      <w:r w:rsidR="00A13299">
        <w:rPr>
          <w:rStyle w:val="Pogrubienie"/>
        </w:rPr>
        <w:t xml:space="preserve">. </w:t>
      </w:r>
      <w:r w:rsidRPr="005F0A32">
        <w:t>Utworzenie Centrum Opieki Geriatrycznej zapewni osobom starszym zamieszkującym teren województwa pomorskiego łatwy dostęp do usług z zakresu geriatrii, psychogeriatrii i rehabilitacji, wyeliminuje tym samym konieczność przemieszczania się poza teren województwa celem uzyskania specjalistycznej opieki medycznej.</w:t>
      </w:r>
      <w:r w:rsidR="00A13299">
        <w:rPr>
          <w:b/>
          <w:bCs/>
        </w:rPr>
        <w:t xml:space="preserve"> </w:t>
      </w:r>
      <w:r w:rsidRPr="005F0A32">
        <w:t>Jakość opieki zdrowotnej będzie wysoka dzięki kompleksowości i ciągłości procesu terapeutycznego w ramach wysokospecjalistycznego ośrodka geriatrycznego oferującego lecznictwo ambulatoryjne, szpitalne (w trybie stacjonarnym i dziennym), poradnictwo rodzinne, psychologiczne, usługi teleopieki. Nie będzie zatem konieczne przenoszenie pacjenta między placówkami. Zlokalizowanie w Centrum wielu poradni specjalistycznych (m.in. psychogeriatrycznej, neurologicznej, rehabilitacyjnej) pozwoli na interdyscyplinarną opiekę nad pacjentem.</w:t>
      </w:r>
      <w:r w:rsidR="00A13299">
        <w:rPr>
          <w:b/>
          <w:bCs/>
        </w:rPr>
        <w:t xml:space="preserve"> </w:t>
      </w:r>
      <w:r w:rsidRPr="005F0A32">
        <w:t>Centrum zapewni możliwość wykonywania odpowiednich badań lekarskich na specjalistycznym nowoczesnym sprzęcie co będzie miało istotny wpływ na szybkie postawienie diagnozy i wprowadzenie odpowiedniego leczenia zmierzającego do utrzymania seniorów w dobrej kondycji zdrowotnej, podnosząc tym samym skuteczność i jakość podejmowanych działań diagnostycznych.</w:t>
      </w:r>
      <w:r w:rsidR="00A13299">
        <w:rPr>
          <w:b/>
          <w:bCs/>
        </w:rPr>
        <w:t xml:space="preserve"> </w:t>
      </w:r>
      <w:r w:rsidRPr="005F0A32">
        <w:t>Wprowadzenie w ramach projektu możliwości konsultacji lekarskich on-line znacznie usprawni opiekę nad osobami starszymi, ich rodzinom i opiekunom. Teleopieka wpłynie na bezpieczeństwo zdrowotne seniorów, co niewątpliwie zwiększy również poziom zadowolenia pacjentów oraz opiekujących się nimi osób. Szybka reakcja na zgłaszane dolegliwości w początkowej fazie choroby może wyeliminować konieczność dalszego kosztownego leczenia.</w:t>
      </w:r>
    </w:p>
    <w:p w14:paraId="3F3BF888" w14:textId="77777777" w:rsidR="00CC3B5A" w:rsidRPr="005F0A32" w:rsidRDefault="00CC3B5A" w:rsidP="00E7359C">
      <w:pPr>
        <w:spacing w:after="0"/>
        <w:jc w:val="both"/>
        <w:rPr>
          <w:rFonts w:ascii="Times New Roman" w:eastAsia="Calibri" w:hAnsi="Times New Roman" w:cs="Times New Roman"/>
          <w:b/>
          <w:bCs/>
          <w:color w:val="000000"/>
          <w:kern w:val="1"/>
          <w:sz w:val="24"/>
          <w:szCs w:val="24"/>
          <w:lang w:eastAsia="pl-PL"/>
        </w:rPr>
      </w:pPr>
    </w:p>
    <w:p w14:paraId="7ABA459B" w14:textId="77777777" w:rsidR="00A13299" w:rsidRPr="00A13299" w:rsidRDefault="00A13299" w:rsidP="00E7359C">
      <w:pPr>
        <w:spacing w:after="0"/>
        <w:jc w:val="both"/>
        <w:rPr>
          <w:rFonts w:ascii="Times New Roman" w:eastAsia="Calibri" w:hAnsi="Times New Roman" w:cs="Times New Roman"/>
          <w:bCs/>
          <w:color w:val="000000"/>
          <w:kern w:val="1"/>
          <w:sz w:val="24"/>
          <w:szCs w:val="24"/>
          <w:lang w:eastAsia="pl-PL"/>
        </w:rPr>
      </w:pPr>
      <w:r w:rsidRPr="00A13299">
        <w:rPr>
          <w:rFonts w:ascii="Times New Roman" w:eastAsia="Calibri" w:hAnsi="Times New Roman" w:cs="Times New Roman"/>
          <w:bCs/>
          <w:color w:val="000000"/>
          <w:kern w:val="1"/>
          <w:sz w:val="24"/>
          <w:szCs w:val="24"/>
          <w:lang w:eastAsia="pl-PL"/>
        </w:rPr>
        <w:t>Miasto Słupsk</w:t>
      </w:r>
    </w:p>
    <w:p w14:paraId="570D4118" w14:textId="77777777" w:rsidR="00431A80" w:rsidRDefault="00CC3B5A" w:rsidP="008C71A9">
      <w:pPr>
        <w:pStyle w:val="Akapitzlist"/>
        <w:numPr>
          <w:ilvl w:val="0"/>
          <w:numId w:val="152"/>
        </w:numPr>
        <w:spacing w:after="0"/>
        <w:ind w:left="360"/>
        <w:jc w:val="both"/>
        <w:rPr>
          <w:rFonts w:ascii="Times New Roman" w:eastAsia="Calibri" w:hAnsi="Times New Roman" w:cs="Times New Roman"/>
          <w:b/>
          <w:bCs/>
          <w:color w:val="000000"/>
          <w:kern w:val="1"/>
          <w:sz w:val="24"/>
          <w:szCs w:val="24"/>
          <w:lang w:eastAsia="pl-PL"/>
        </w:rPr>
      </w:pPr>
      <w:r w:rsidRPr="00A13299">
        <w:rPr>
          <w:rFonts w:ascii="Times New Roman" w:eastAsia="Calibri" w:hAnsi="Times New Roman" w:cs="Times New Roman"/>
          <w:b/>
          <w:bCs/>
          <w:color w:val="000000"/>
          <w:kern w:val="1"/>
          <w:sz w:val="24"/>
          <w:szCs w:val="24"/>
          <w:lang w:eastAsia="pl-PL"/>
        </w:rPr>
        <w:t>„Akademia Aktywnego Seniora”</w:t>
      </w:r>
      <w:r w:rsidR="00A13299">
        <w:rPr>
          <w:rFonts w:ascii="Times New Roman" w:eastAsia="Calibri" w:hAnsi="Times New Roman" w:cs="Times New Roman"/>
          <w:b/>
          <w:bCs/>
          <w:color w:val="000000"/>
          <w:kern w:val="1"/>
          <w:sz w:val="24"/>
          <w:szCs w:val="24"/>
          <w:lang w:eastAsia="pl-PL"/>
        </w:rPr>
        <w:t xml:space="preserve">. </w:t>
      </w:r>
      <w:r w:rsidRPr="00A13299">
        <w:rPr>
          <w:rFonts w:ascii="Times New Roman" w:eastAsia="Calibri" w:hAnsi="Times New Roman" w:cs="Times New Roman"/>
          <w:color w:val="000000"/>
          <w:kern w:val="1"/>
          <w:sz w:val="24"/>
          <w:szCs w:val="24"/>
          <w:lang w:eastAsia="pl-PL"/>
        </w:rPr>
        <w:t xml:space="preserve">Program realizowany przez Uniwersytet Trzeciego Wieku w Słupsku wraz z Związkiem Żołnierzy Wojska Polskiego. Celem projektu była m.in. integracja seniorów, zwiększenie poczucia własnej wartości, wzrost działań wolontarystycznych podejmowanych przez słupskich seniorów, stworzenie seniorom warunków aktywnego dbania o swoją kondycję fizyczną.  Zorganizowano m.in: </w:t>
      </w:r>
      <w:r w:rsidR="00A13299">
        <w:rPr>
          <w:rFonts w:ascii="Times New Roman" w:eastAsia="Calibri" w:hAnsi="Times New Roman" w:cs="Times New Roman"/>
          <w:color w:val="000000"/>
          <w:kern w:val="1"/>
          <w:sz w:val="24"/>
          <w:szCs w:val="24"/>
          <w:lang w:eastAsia="pl-PL"/>
        </w:rPr>
        <w:t>cyk</w:t>
      </w:r>
      <w:r w:rsidRPr="00A13299">
        <w:rPr>
          <w:rFonts w:ascii="Times New Roman" w:eastAsia="Calibri" w:hAnsi="Times New Roman" w:cs="Times New Roman"/>
          <w:color w:val="000000"/>
          <w:kern w:val="1"/>
          <w:sz w:val="24"/>
          <w:szCs w:val="24"/>
          <w:lang w:eastAsia="pl-PL"/>
        </w:rPr>
        <w:t>l 7 wykładów ogólnych, w których uczestniczyły 1</w:t>
      </w:r>
      <w:r w:rsidR="003D508A">
        <w:rPr>
          <w:rFonts w:ascii="Times New Roman" w:eastAsia="Calibri" w:hAnsi="Times New Roman" w:cs="Times New Roman"/>
          <w:color w:val="000000"/>
          <w:kern w:val="1"/>
          <w:sz w:val="24"/>
          <w:szCs w:val="24"/>
          <w:lang w:eastAsia="pl-PL"/>
        </w:rPr>
        <w:t xml:space="preserve"> </w:t>
      </w:r>
      <w:r w:rsidRPr="00A13299">
        <w:rPr>
          <w:rFonts w:ascii="Times New Roman" w:eastAsia="Calibri" w:hAnsi="Times New Roman" w:cs="Times New Roman"/>
          <w:color w:val="000000"/>
          <w:kern w:val="1"/>
          <w:sz w:val="24"/>
          <w:szCs w:val="24"/>
          <w:lang w:eastAsia="pl-PL"/>
        </w:rPr>
        <w:t>072 osoby,</w:t>
      </w:r>
      <w:r w:rsidR="00A13299">
        <w:rPr>
          <w:rFonts w:ascii="Times New Roman" w:eastAsia="Calibri" w:hAnsi="Times New Roman" w:cs="Times New Roman"/>
          <w:color w:val="000000"/>
          <w:kern w:val="1"/>
          <w:sz w:val="24"/>
          <w:szCs w:val="24"/>
          <w:lang w:eastAsia="pl-PL"/>
        </w:rPr>
        <w:t xml:space="preserve"> </w:t>
      </w:r>
      <w:r w:rsidRPr="00A13299">
        <w:rPr>
          <w:rFonts w:ascii="Times New Roman" w:eastAsia="Calibri" w:hAnsi="Times New Roman" w:cs="Times New Roman"/>
          <w:color w:val="000000"/>
          <w:kern w:val="1"/>
          <w:sz w:val="24"/>
          <w:szCs w:val="24"/>
          <w:lang w:eastAsia="pl-PL"/>
        </w:rPr>
        <w:t>6 warsztatów gastronomicznych,  w których udział wzięły 72 osoby,</w:t>
      </w:r>
      <w:r w:rsidR="00A13299">
        <w:rPr>
          <w:rFonts w:ascii="Times New Roman" w:eastAsia="Calibri" w:hAnsi="Times New Roman" w:cs="Times New Roman"/>
          <w:color w:val="000000"/>
          <w:kern w:val="1"/>
          <w:sz w:val="24"/>
          <w:szCs w:val="24"/>
          <w:lang w:eastAsia="pl-PL"/>
        </w:rPr>
        <w:t xml:space="preserve"> </w:t>
      </w:r>
      <w:r w:rsidRPr="00A13299">
        <w:rPr>
          <w:rFonts w:ascii="Times New Roman" w:eastAsia="Calibri" w:hAnsi="Times New Roman" w:cs="Times New Roman"/>
          <w:color w:val="000000"/>
          <w:kern w:val="1"/>
          <w:sz w:val="24"/>
          <w:szCs w:val="24"/>
          <w:lang w:eastAsia="pl-PL"/>
        </w:rPr>
        <w:t>7 warsztatów zielarskich,  w których udział wzięło 15 osób,</w:t>
      </w:r>
      <w:r w:rsidR="00A13299">
        <w:rPr>
          <w:rFonts w:ascii="Times New Roman" w:eastAsia="Calibri" w:hAnsi="Times New Roman" w:cs="Times New Roman"/>
          <w:color w:val="000000"/>
          <w:kern w:val="1"/>
          <w:sz w:val="24"/>
          <w:szCs w:val="24"/>
          <w:lang w:eastAsia="pl-PL"/>
        </w:rPr>
        <w:t xml:space="preserve"> </w:t>
      </w:r>
      <w:r w:rsidRPr="00A13299">
        <w:rPr>
          <w:rFonts w:ascii="Times New Roman" w:eastAsia="Calibri" w:hAnsi="Times New Roman" w:cs="Times New Roman"/>
          <w:color w:val="000000"/>
          <w:kern w:val="1"/>
          <w:sz w:val="24"/>
          <w:szCs w:val="24"/>
          <w:lang w:eastAsia="pl-PL"/>
        </w:rPr>
        <w:t>4 warsztaty rękodzielnicze, w których uczestniczyło 45 osób,</w:t>
      </w:r>
      <w:r w:rsidR="00A13299">
        <w:rPr>
          <w:rFonts w:ascii="Times New Roman" w:eastAsia="Calibri" w:hAnsi="Times New Roman" w:cs="Times New Roman"/>
          <w:color w:val="000000"/>
          <w:kern w:val="1"/>
          <w:sz w:val="24"/>
          <w:szCs w:val="24"/>
          <w:lang w:eastAsia="pl-PL"/>
        </w:rPr>
        <w:t xml:space="preserve"> </w:t>
      </w:r>
      <w:r w:rsidRPr="00A13299">
        <w:rPr>
          <w:rFonts w:ascii="Times New Roman" w:eastAsia="Calibri" w:hAnsi="Times New Roman" w:cs="Times New Roman"/>
          <w:color w:val="000000"/>
          <w:kern w:val="1"/>
          <w:sz w:val="24"/>
          <w:szCs w:val="24"/>
          <w:lang w:eastAsia="pl-PL"/>
        </w:rPr>
        <w:t xml:space="preserve">3 rajdy nordic-walking, </w:t>
      </w:r>
      <w:r w:rsidRPr="00A13299">
        <w:rPr>
          <w:rFonts w:ascii="Times New Roman" w:eastAsia="Calibri" w:hAnsi="Times New Roman" w:cs="Times New Roman"/>
          <w:color w:val="000000"/>
          <w:kern w:val="1"/>
          <w:sz w:val="24"/>
          <w:szCs w:val="24"/>
          <w:lang w:eastAsia="pl-PL"/>
        </w:rPr>
        <w:lastRenderedPageBreak/>
        <w:t>w których udział wzięło 95 uczestników,</w:t>
      </w:r>
      <w:r w:rsidR="00A13299">
        <w:rPr>
          <w:rFonts w:ascii="Times New Roman" w:eastAsia="Calibri" w:hAnsi="Times New Roman" w:cs="Times New Roman"/>
          <w:color w:val="000000"/>
          <w:kern w:val="1"/>
          <w:sz w:val="24"/>
          <w:szCs w:val="24"/>
          <w:lang w:eastAsia="pl-PL"/>
        </w:rPr>
        <w:t xml:space="preserve"> </w:t>
      </w:r>
      <w:r w:rsidRPr="00A13299">
        <w:rPr>
          <w:rFonts w:ascii="Times New Roman" w:eastAsia="Calibri" w:hAnsi="Times New Roman" w:cs="Times New Roman"/>
          <w:color w:val="000000"/>
          <w:kern w:val="1"/>
          <w:sz w:val="24"/>
          <w:szCs w:val="24"/>
          <w:lang w:eastAsia="pl-PL"/>
        </w:rPr>
        <w:t>zajęcia rehabilitacji ruchowej – przeprowadzono 12 godzinnych spotkań dla grupy 20 osób,</w:t>
      </w:r>
      <w:r w:rsidR="00A13299">
        <w:rPr>
          <w:rFonts w:ascii="Times New Roman" w:eastAsia="Calibri" w:hAnsi="Times New Roman" w:cs="Times New Roman"/>
          <w:color w:val="000000"/>
          <w:kern w:val="1"/>
          <w:sz w:val="24"/>
          <w:szCs w:val="24"/>
          <w:lang w:eastAsia="pl-PL"/>
        </w:rPr>
        <w:t xml:space="preserve"> </w:t>
      </w:r>
      <w:r w:rsidRPr="00A13299">
        <w:rPr>
          <w:rFonts w:ascii="Times New Roman" w:eastAsia="Calibri" w:hAnsi="Times New Roman" w:cs="Times New Roman"/>
          <w:color w:val="000000"/>
          <w:kern w:val="1"/>
          <w:sz w:val="24"/>
          <w:szCs w:val="24"/>
          <w:lang w:eastAsia="pl-PL"/>
        </w:rPr>
        <w:t>piknik, w którym uczestniczyło 350 seniorów</w:t>
      </w:r>
      <w:r w:rsidR="003D508A">
        <w:rPr>
          <w:rStyle w:val="Odwoanieprzypisudolnego"/>
          <w:rFonts w:ascii="Times New Roman" w:eastAsia="Calibri" w:hAnsi="Times New Roman" w:cs="Times New Roman"/>
          <w:color w:val="000000"/>
          <w:kern w:val="1"/>
          <w:sz w:val="24"/>
          <w:szCs w:val="24"/>
          <w:lang w:eastAsia="pl-PL"/>
        </w:rPr>
        <w:footnoteReference w:id="182"/>
      </w:r>
      <w:r w:rsidRPr="00A13299">
        <w:rPr>
          <w:rFonts w:ascii="Times New Roman" w:eastAsia="Calibri" w:hAnsi="Times New Roman" w:cs="Times New Roman"/>
          <w:color w:val="000000"/>
          <w:kern w:val="1"/>
          <w:sz w:val="24"/>
          <w:szCs w:val="24"/>
          <w:lang w:eastAsia="pl-PL"/>
        </w:rPr>
        <w:t>.</w:t>
      </w:r>
      <w:r w:rsidR="00A13299">
        <w:rPr>
          <w:rFonts w:ascii="Times New Roman" w:eastAsia="Calibri" w:hAnsi="Times New Roman" w:cs="Times New Roman"/>
          <w:color w:val="000000"/>
          <w:kern w:val="1"/>
          <w:sz w:val="24"/>
          <w:szCs w:val="24"/>
          <w:lang w:eastAsia="pl-PL"/>
        </w:rPr>
        <w:t xml:space="preserve"> </w:t>
      </w:r>
    </w:p>
    <w:p w14:paraId="3287243D" w14:textId="77777777" w:rsidR="00431A80" w:rsidRPr="00431A80" w:rsidRDefault="00CC3B5A" w:rsidP="008C71A9">
      <w:pPr>
        <w:pStyle w:val="Akapitzlist"/>
        <w:numPr>
          <w:ilvl w:val="0"/>
          <w:numId w:val="152"/>
        </w:numPr>
        <w:spacing w:after="0"/>
        <w:ind w:left="360"/>
        <w:jc w:val="both"/>
        <w:rPr>
          <w:rFonts w:ascii="Times New Roman" w:eastAsia="Calibri" w:hAnsi="Times New Roman" w:cs="Times New Roman"/>
          <w:b/>
          <w:bCs/>
          <w:color w:val="000000"/>
          <w:kern w:val="1"/>
          <w:sz w:val="24"/>
          <w:szCs w:val="24"/>
          <w:lang w:eastAsia="pl-PL"/>
        </w:rPr>
      </w:pPr>
      <w:r w:rsidRPr="00431A80">
        <w:rPr>
          <w:rFonts w:ascii="Times New Roman" w:hAnsi="Times New Roman" w:cs="Times New Roman"/>
          <w:b/>
          <w:sz w:val="24"/>
          <w:szCs w:val="24"/>
        </w:rPr>
        <w:t>Projekt „Fachman”, Działalność Klubu Aktywności i Wsparcia Osób Niepełnosprawnych KAWON</w:t>
      </w:r>
      <w:r w:rsidR="00431A80">
        <w:rPr>
          <w:rFonts w:ascii="Times New Roman" w:eastAsia="Calibri" w:hAnsi="Times New Roman" w:cs="Times New Roman"/>
          <w:b/>
          <w:bCs/>
          <w:color w:val="000000"/>
          <w:kern w:val="1"/>
          <w:sz w:val="24"/>
          <w:szCs w:val="24"/>
          <w:lang w:eastAsia="pl-PL"/>
        </w:rPr>
        <w:t xml:space="preserve">. </w:t>
      </w:r>
      <w:r w:rsidR="00431A80">
        <w:rPr>
          <w:rFonts w:ascii="Times New Roman" w:hAnsi="Times New Roman" w:cs="Times New Roman"/>
          <w:sz w:val="24"/>
          <w:szCs w:val="24"/>
        </w:rPr>
        <w:t xml:space="preserve">W 2019 r. </w:t>
      </w:r>
      <w:r w:rsidRPr="00431A80">
        <w:rPr>
          <w:rFonts w:ascii="Times New Roman" w:hAnsi="Times New Roman" w:cs="Times New Roman"/>
          <w:sz w:val="24"/>
          <w:szCs w:val="24"/>
        </w:rPr>
        <w:t>w Mieście Słupsk zapoczątkowano realizację  projektu „Fachman”, który był dedykowany mieszkańcom w wieku 60+, nieaktywnym zawodowo, samotnym, z niepełnosprawnościami. Przy wsparciu Urzędu Miejskiego, Fundacja PiON prowadziła działalność w zakresie świadczenia drobnych napraw w miejscu zamieszkania seniorów. W ramach programu wykonano 540 usług, z których skorzystało 460 osób.</w:t>
      </w:r>
      <w:r w:rsidR="00431A80">
        <w:rPr>
          <w:rFonts w:ascii="Times New Roman" w:eastAsia="Calibri" w:hAnsi="Times New Roman" w:cs="Times New Roman"/>
          <w:b/>
          <w:bCs/>
          <w:color w:val="000000"/>
          <w:kern w:val="1"/>
          <w:sz w:val="24"/>
          <w:szCs w:val="24"/>
          <w:lang w:eastAsia="pl-PL"/>
        </w:rPr>
        <w:t xml:space="preserve"> </w:t>
      </w:r>
      <w:r w:rsidRPr="00431A80">
        <w:rPr>
          <w:rFonts w:ascii="Times New Roman" w:hAnsi="Times New Roman" w:cs="Times New Roman"/>
          <w:sz w:val="24"/>
          <w:szCs w:val="24"/>
        </w:rPr>
        <w:t>Działalność Klubu Aktywności i Wsparcia Osób Niepełnosprawnych KAWON, który skupia osoby w wieku 60+. W 2019</w:t>
      </w:r>
      <w:r w:rsidR="000C6F7D">
        <w:rPr>
          <w:rFonts w:ascii="Times New Roman" w:hAnsi="Times New Roman" w:cs="Times New Roman"/>
          <w:sz w:val="24"/>
          <w:szCs w:val="24"/>
        </w:rPr>
        <w:t xml:space="preserve"> r.</w:t>
      </w:r>
      <w:r w:rsidRPr="00431A80">
        <w:rPr>
          <w:rFonts w:ascii="Times New Roman" w:hAnsi="Times New Roman" w:cs="Times New Roman"/>
          <w:sz w:val="24"/>
          <w:szCs w:val="24"/>
        </w:rPr>
        <w:t xml:space="preserve"> liczba członków klubu wynosiła 28 osób z orzeczonym stopniem niepełnosprawności z terenu miasta Słupska. Wśród uczestników, 25 osób (88%) z grupy stanowią kobiety, 3 (12%) osoby to mężczyźni. Jest to specyficzna grupa odbiorców, gdyż obejmuje zarówno problemy wynikające z niepełnosprawności, jak też problemy dotyczące osób </w:t>
      </w:r>
      <w:r w:rsidR="000C6F7D">
        <w:rPr>
          <w:rFonts w:ascii="Times New Roman" w:hAnsi="Times New Roman" w:cs="Times New Roman"/>
          <w:sz w:val="24"/>
          <w:szCs w:val="24"/>
        </w:rPr>
        <w:t>w wieku senioralnym. W 2019 r.</w:t>
      </w:r>
      <w:r w:rsidRPr="00431A80">
        <w:rPr>
          <w:rFonts w:ascii="Times New Roman" w:hAnsi="Times New Roman" w:cs="Times New Roman"/>
          <w:sz w:val="24"/>
          <w:szCs w:val="24"/>
        </w:rPr>
        <w:t xml:space="preserve"> klub Kawon wdrożył w życie dwa projekty:„Otworzyć zamknięte drzwi” finansowany ze środków PFRON – w ramach projektu członkowie klubu Kawon mogli bezpłatnie uczestniczyć w wielu zajęciach animacyjnych, rekreacyjnych, manualnych, artystycznych</w:t>
      </w:r>
      <w:r w:rsidR="00431A80">
        <w:rPr>
          <w:rFonts w:ascii="Times New Roman" w:hAnsi="Times New Roman" w:cs="Times New Roman"/>
          <w:sz w:val="24"/>
          <w:szCs w:val="24"/>
        </w:rPr>
        <w:t xml:space="preserve">, kulturalnych i integracyjnych, a także </w:t>
      </w:r>
      <w:r w:rsidRPr="00431A80">
        <w:rPr>
          <w:rFonts w:ascii="Times New Roman" w:hAnsi="Times New Roman" w:cs="Times New Roman"/>
          <w:sz w:val="24"/>
          <w:szCs w:val="24"/>
        </w:rPr>
        <w:t>Projekt „Z niepełnosprawnością w Plecaku” zrealizowany ze środków Wojewody Pomorskiego, w ramach którego zorganizowane zostały działania środowiskowo-integracyjne. Uczestniczyło w nich  28 klubowiczów Kawon</w:t>
      </w:r>
      <w:r w:rsidR="003D508A">
        <w:rPr>
          <w:rStyle w:val="Odwoanieprzypisudolnego"/>
          <w:rFonts w:ascii="Times New Roman" w:hAnsi="Times New Roman" w:cs="Times New Roman"/>
          <w:sz w:val="24"/>
          <w:szCs w:val="24"/>
        </w:rPr>
        <w:footnoteReference w:id="183"/>
      </w:r>
      <w:r w:rsidR="003D508A">
        <w:rPr>
          <w:rFonts w:ascii="Times New Roman" w:hAnsi="Times New Roman" w:cs="Times New Roman"/>
          <w:sz w:val="24"/>
          <w:szCs w:val="24"/>
        </w:rPr>
        <w:t>.</w:t>
      </w:r>
    </w:p>
    <w:p w14:paraId="05860EEE" w14:textId="77777777" w:rsidR="00CC3B5A" w:rsidRPr="00431A80" w:rsidRDefault="00CC3B5A" w:rsidP="00E7359C">
      <w:pPr>
        <w:spacing w:after="0"/>
        <w:jc w:val="both"/>
        <w:rPr>
          <w:rFonts w:ascii="Times New Roman" w:hAnsi="Times New Roman" w:cs="Times New Roman"/>
          <w:sz w:val="24"/>
          <w:szCs w:val="24"/>
        </w:rPr>
      </w:pPr>
    </w:p>
    <w:p w14:paraId="02F780FA" w14:textId="77777777" w:rsidR="00431A80" w:rsidRPr="00431A80" w:rsidRDefault="00431A80" w:rsidP="00E7359C">
      <w:pPr>
        <w:spacing w:after="0"/>
        <w:jc w:val="both"/>
        <w:rPr>
          <w:rFonts w:ascii="Times New Roman" w:hAnsi="Times New Roman" w:cs="Times New Roman"/>
          <w:sz w:val="24"/>
          <w:szCs w:val="24"/>
        </w:rPr>
      </w:pPr>
      <w:r w:rsidRPr="00431A80">
        <w:rPr>
          <w:rFonts w:ascii="Times New Roman" w:hAnsi="Times New Roman" w:cs="Times New Roman"/>
          <w:sz w:val="24"/>
          <w:szCs w:val="24"/>
        </w:rPr>
        <w:t>Gmina Kobylnica</w:t>
      </w:r>
    </w:p>
    <w:p w14:paraId="6C1BB95B" w14:textId="77777777" w:rsidR="00431A80" w:rsidRPr="00715E22" w:rsidRDefault="00CC3B5A" w:rsidP="008C71A9">
      <w:pPr>
        <w:pStyle w:val="Akapitzlist"/>
        <w:numPr>
          <w:ilvl w:val="0"/>
          <w:numId w:val="153"/>
        </w:numPr>
        <w:spacing w:after="0"/>
        <w:ind w:left="360"/>
        <w:jc w:val="both"/>
        <w:rPr>
          <w:rFonts w:ascii="Times New Roman" w:hAnsi="Times New Roman" w:cs="Times New Roman"/>
          <w:sz w:val="24"/>
          <w:szCs w:val="24"/>
        </w:rPr>
      </w:pPr>
      <w:r w:rsidRPr="00431A80">
        <w:rPr>
          <w:rFonts w:ascii="Times New Roman" w:hAnsi="Times New Roman" w:cs="Times New Roman"/>
          <w:b/>
          <w:sz w:val="24"/>
          <w:szCs w:val="24"/>
        </w:rPr>
        <w:t>Program „Srebrna Sieć”</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Jest to projekt umożliwiający 250 osobom niesamodzielnym, zagrożonym wykluczeniem społecznym i ubóstwem w wieku 60+ oraz ich opiekunom faktycznym (140 osobom) dostęp do wysokiej jakości zindywidualizowanych usług społecznych. Umowę partnerską w sprawie realizacji projektu pod nazwą „Srebrna Sieć</w:t>
      </w:r>
      <w:r w:rsidR="000C6F7D">
        <w:rPr>
          <w:rFonts w:ascii="Times New Roman" w:hAnsi="Times New Roman" w:cs="Times New Roman"/>
          <w:sz w:val="24"/>
          <w:szCs w:val="24"/>
        </w:rPr>
        <w:t>” podpisano 9 sierpnia 2018 r.</w:t>
      </w:r>
      <w:r w:rsidRPr="00431A80">
        <w:rPr>
          <w:rFonts w:ascii="Times New Roman" w:hAnsi="Times New Roman" w:cs="Times New Roman"/>
          <w:sz w:val="24"/>
          <w:szCs w:val="24"/>
        </w:rPr>
        <w:t xml:space="preserve"> w Urzędzie Gminy Kobylnica. Wolę poparcia dla działań wyraziła Gmina Damnica, Gmina Główczyce, Gmina Kępice, Gmina Słupsk, Gmina Ustka, Gmina Potęgowo, Gmina Tuchomie, Powiat Słupski oraz Fundacja „Niesiemy Pomoc”.</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Projekt zakłada  następujące formy wsparcia:</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świadczenie zdalnych usług opiekuńczych – teleopieka,</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świadczenie sąsiedzkich usług opiekuńczych,</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świadczenie usług rehabilitacji domowej,</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prowadzenie szkoleń i warsztatów z zakresu pielęgnacji i profilaktyki,</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prowadzenie wypożyczalni sprzętu rehabilitacyjnego,</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prowadzenie telefonicznego poradnictwa senioralnego,</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promocja usług wzajemnych i wolontariatu senioralnego,</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animacja środowiska seniorów,</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wzmocnienie Rad Senioralnych.</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Projekt umożliwia osobom w wieku 60+ i ich opiekunom dostęp do wysokiej jakości szkoleń i zajęć profilaktycznych o charakterze profilaktycznym. Na terenie gmin realizujących projekt powstały Punkty Świadczenia usług Opiekuńczych i Punkty Usług Wzajemnych Wolontariatu Senioralnego. W strukturach Powiatowego Centrum Pomocy Rodzinie w Słupsku działa wypożyczalnia sprzętu rehabilitacyjnego oraz Punkt Poradniczo – Informacyjny „Srebrny Telefon”.</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Wydatki związane z realizacją Pr</w:t>
      </w:r>
      <w:r w:rsidR="000C6F7D">
        <w:rPr>
          <w:rFonts w:ascii="Times New Roman" w:hAnsi="Times New Roman" w:cs="Times New Roman"/>
          <w:sz w:val="24"/>
          <w:szCs w:val="24"/>
        </w:rPr>
        <w:t xml:space="preserve">ojektu w 2019 roku wyniosły 232 </w:t>
      </w:r>
      <w:r w:rsidRPr="00431A80">
        <w:rPr>
          <w:rFonts w:ascii="Times New Roman" w:hAnsi="Times New Roman" w:cs="Times New Roman"/>
          <w:sz w:val="24"/>
          <w:szCs w:val="24"/>
        </w:rPr>
        <w:t>925,73 zł, z czego:</w:t>
      </w:r>
      <w:r w:rsidR="00431A80">
        <w:rPr>
          <w:rFonts w:ascii="Times New Roman" w:hAnsi="Times New Roman" w:cs="Times New Roman"/>
          <w:sz w:val="24"/>
          <w:szCs w:val="24"/>
        </w:rPr>
        <w:t xml:space="preserve"> </w:t>
      </w:r>
      <w:r w:rsidR="000C6F7D">
        <w:rPr>
          <w:rFonts w:ascii="Times New Roman" w:hAnsi="Times New Roman" w:cs="Times New Roman"/>
          <w:sz w:val="24"/>
          <w:szCs w:val="24"/>
        </w:rPr>
        <w:t xml:space="preserve">208 </w:t>
      </w:r>
      <w:r w:rsidRPr="00431A80">
        <w:rPr>
          <w:rFonts w:ascii="Times New Roman" w:hAnsi="Times New Roman" w:cs="Times New Roman"/>
          <w:sz w:val="24"/>
          <w:szCs w:val="24"/>
        </w:rPr>
        <w:t>407,25 zł to środki z Europejskiego Funduszu Społecznego,</w:t>
      </w:r>
      <w:r w:rsidR="00431A80">
        <w:rPr>
          <w:rFonts w:ascii="Times New Roman" w:hAnsi="Times New Roman" w:cs="Times New Roman"/>
          <w:sz w:val="24"/>
          <w:szCs w:val="24"/>
        </w:rPr>
        <w:t xml:space="preserve"> a </w:t>
      </w:r>
      <w:r w:rsidR="000C6F7D">
        <w:rPr>
          <w:rFonts w:ascii="Times New Roman" w:hAnsi="Times New Roman" w:cs="Times New Roman"/>
          <w:sz w:val="24"/>
          <w:szCs w:val="24"/>
        </w:rPr>
        <w:t xml:space="preserve">25 </w:t>
      </w:r>
      <w:r w:rsidRPr="00431A80">
        <w:rPr>
          <w:rFonts w:ascii="Times New Roman" w:hAnsi="Times New Roman" w:cs="Times New Roman"/>
          <w:sz w:val="24"/>
          <w:szCs w:val="24"/>
        </w:rPr>
        <w:t xml:space="preserve">518,48 zł to środki z </w:t>
      </w:r>
      <w:r w:rsidRPr="00431A80">
        <w:rPr>
          <w:rFonts w:ascii="Times New Roman" w:hAnsi="Times New Roman" w:cs="Times New Roman"/>
          <w:sz w:val="24"/>
          <w:szCs w:val="24"/>
        </w:rPr>
        <w:lastRenderedPageBreak/>
        <w:t>Budżetu Państwa.</w:t>
      </w:r>
      <w:r w:rsidR="00431A80">
        <w:rPr>
          <w:rFonts w:ascii="Times New Roman" w:hAnsi="Times New Roman" w:cs="Times New Roman"/>
          <w:sz w:val="24"/>
          <w:szCs w:val="24"/>
        </w:rPr>
        <w:t xml:space="preserve"> </w:t>
      </w:r>
      <w:r w:rsidRPr="00431A80">
        <w:rPr>
          <w:rFonts w:ascii="Times New Roman" w:hAnsi="Times New Roman" w:cs="Times New Roman"/>
          <w:sz w:val="24"/>
          <w:szCs w:val="24"/>
        </w:rPr>
        <w:t xml:space="preserve">W ramach Programu </w:t>
      </w:r>
      <w:r w:rsidR="00431A80">
        <w:rPr>
          <w:rFonts w:ascii="Times New Roman" w:hAnsi="Times New Roman" w:cs="Times New Roman"/>
          <w:sz w:val="24"/>
          <w:szCs w:val="24"/>
        </w:rPr>
        <w:t xml:space="preserve">w </w:t>
      </w:r>
      <w:r w:rsidRPr="00431A80">
        <w:rPr>
          <w:rFonts w:ascii="Times New Roman" w:hAnsi="Times New Roman" w:cs="Times New Roman"/>
          <w:sz w:val="24"/>
          <w:szCs w:val="24"/>
        </w:rPr>
        <w:t xml:space="preserve">2019 </w:t>
      </w:r>
      <w:r w:rsidR="00431A80">
        <w:rPr>
          <w:rFonts w:ascii="Times New Roman" w:hAnsi="Times New Roman" w:cs="Times New Roman"/>
          <w:sz w:val="24"/>
          <w:szCs w:val="24"/>
        </w:rPr>
        <w:t xml:space="preserve">r. </w:t>
      </w:r>
      <w:r w:rsidRPr="00431A80">
        <w:rPr>
          <w:rFonts w:ascii="Times New Roman" w:hAnsi="Times New Roman" w:cs="Times New Roman"/>
          <w:sz w:val="24"/>
          <w:szCs w:val="24"/>
        </w:rPr>
        <w:t xml:space="preserve">zrealizowano: usługi teleopieki dla 45 osób, usługi rehabilitacji dla 9 osób (łącznie 90 godz.), sąsiedzkie usługi opiekuńcze dla 6 seniorów (łącznie 834 godz.), wolontariat senioralny (5 wolontariuszy w wieku 60+). </w:t>
      </w:r>
      <w:r w:rsidRPr="00715E22">
        <w:rPr>
          <w:rFonts w:ascii="Times New Roman" w:hAnsi="Times New Roman" w:cs="Times New Roman"/>
          <w:sz w:val="24"/>
          <w:szCs w:val="24"/>
        </w:rPr>
        <w:t>Obecnie Gmina Kobylnica  przygotowuje się do kontynuacji ww.</w:t>
      </w:r>
      <w:r w:rsidR="00715E22">
        <w:rPr>
          <w:rFonts w:ascii="Times New Roman" w:hAnsi="Times New Roman" w:cs="Times New Roman"/>
          <w:sz w:val="24"/>
          <w:szCs w:val="24"/>
        </w:rPr>
        <w:t xml:space="preserve"> Programu pn. „Srebrna Sieć II”</w:t>
      </w:r>
      <w:r w:rsidR="000C6F7D">
        <w:rPr>
          <w:rStyle w:val="Odwoanieprzypisudolnego"/>
          <w:rFonts w:ascii="Times New Roman" w:hAnsi="Times New Roman" w:cs="Times New Roman"/>
          <w:sz w:val="24"/>
          <w:szCs w:val="24"/>
        </w:rPr>
        <w:footnoteReference w:id="184"/>
      </w:r>
      <w:r w:rsidR="000C6F7D">
        <w:t>.</w:t>
      </w:r>
      <w:r w:rsidR="000C6F7D" w:rsidRPr="00715E22">
        <w:rPr>
          <w:rFonts w:ascii="Times New Roman" w:hAnsi="Times New Roman" w:cs="Times New Roman"/>
          <w:sz w:val="24"/>
          <w:szCs w:val="24"/>
        </w:rPr>
        <w:t xml:space="preserve"> </w:t>
      </w:r>
    </w:p>
    <w:p w14:paraId="7EA2BD49" w14:textId="77777777" w:rsidR="00CC3B5A" w:rsidRPr="005F0A32" w:rsidRDefault="00CC3B5A" w:rsidP="00E7359C">
      <w:pPr>
        <w:spacing w:after="0"/>
        <w:jc w:val="both"/>
        <w:rPr>
          <w:rFonts w:ascii="Times New Roman" w:hAnsi="Times New Roman" w:cs="Times New Roman"/>
          <w:sz w:val="24"/>
          <w:szCs w:val="24"/>
        </w:rPr>
      </w:pPr>
    </w:p>
    <w:p w14:paraId="44449992" w14:textId="77777777" w:rsidR="00715E22" w:rsidRPr="00715E22" w:rsidRDefault="00CC3B5A" w:rsidP="00E7359C">
      <w:pPr>
        <w:spacing w:after="0"/>
        <w:jc w:val="both"/>
        <w:rPr>
          <w:rFonts w:ascii="Times New Roman" w:hAnsi="Times New Roman" w:cs="Times New Roman"/>
          <w:sz w:val="24"/>
          <w:szCs w:val="24"/>
        </w:rPr>
      </w:pPr>
      <w:r w:rsidRPr="00715E22">
        <w:rPr>
          <w:rFonts w:ascii="Times New Roman" w:hAnsi="Times New Roman" w:cs="Times New Roman"/>
          <w:sz w:val="24"/>
          <w:szCs w:val="24"/>
        </w:rPr>
        <w:t>G</w:t>
      </w:r>
      <w:r w:rsidR="00715E22">
        <w:rPr>
          <w:rFonts w:ascii="Times New Roman" w:hAnsi="Times New Roman" w:cs="Times New Roman"/>
          <w:sz w:val="24"/>
          <w:szCs w:val="24"/>
        </w:rPr>
        <w:t>mina Trąbki Wielkie</w:t>
      </w:r>
    </w:p>
    <w:p w14:paraId="16C46037" w14:textId="77777777" w:rsidR="00CC3B5A" w:rsidRPr="00715E22" w:rsidRDefault="00CC3B5A" w:rsidP="008C71A9">
      <w:pPr>
        <w:pStyle w:val="Akapitzlist"/>
        <w:numPr>
          <w:ilvl w:val="0"/>
          <w:numId w:val="153"/>
        </w:numPr>
        <w:spacing w:after="0"/>
        <w:ind w:left="360"/>
        <w:jc w:val="both"/>
        <w:rPr>
          <w:rFonts w:ascii="Times New Roman" w:eastAsia="Times New Roman" w:hAnsi="Times New Roman" w:cs="Times New Roman"/>
          <w:b/>
          <w:sz w:val="24"/>
          <w:szCs w:val="24"/>
        </w:rPr>
      </w:pPr>
      <w:r w:rsidRPr="00715E22">
        <w:rPr>
          <w:rFonts w:ascii="Times New Roman" w:eastAsia="Times New Roman" w:hAnsi="Times New Roman" w:cs="Times New Roman"/>
          <w:b/>
          <w:sz w:val="24"/>
          <w:szCs w:val="24"/>
        </w:rPr>
        <w:t>,,Ostatni Mówią w Trąbkach Wielkich''</w:t>
      </w:r>
      <w:r w:rsidR="00715E22" w:rsidRPr="00715E22">
        <w:rPr>
          <w:rFonts w:ascii="Times New Roman" w:eastAsia="Times New Roman" w:hAnsi="Times New Roman" w:cs="Times New Roman"/>
          <w:b/>
          <w:sz w:val="24"/>
          <w:szCs w:val="24"/>
        </w:rPr>
        <w:t xml:space="preserve">. </w:t>
      </w:r>
      <w:r w:rsidRPr="00715E22">
        <w:rPr>
          <w:rFonts w:ascii="Times New Roman" w:eastAsia="Times New Roman" w:hAnsi="Times New Roman" w:cs="Times New Roman"/>
          <w:sz w:val="24"/>
          <w:szCs w:val="24"/>
        </w:rPr>
        <w:t xml:space="preserve">Innowacyjnym rozwiązaniem, jakie zostało zastosowane w gminie Trąbki Wielkie z myślą o seniorach, jest ekranizacja wspomnień, przeżyć osób starszych w okresie przed i międzywojennym, a także ich dalszych losów. Patronat  nad tym wydarzeniem objął Wójt Gminy we współpracy z Gminnym Ośrodkiem Sportu i Rekreacji w Trąbkach Wielkich. </w:t>
      </w:r>
      <w:r w:rsidR="00715E22" w:rsidRPr="00715E22">
        <w:rPr>
          <w:rFonts w:ascii="Times New Roman" w:eastAsia="Times New Roman" w:hAnsi="Times New Roman" w:cs="Times New Roman"/>
          <w:sz w:val="24"/>
          <w:szCs w:val="24"/>
        </w:rPr>
        <w:t>W 2019 r.</w:t>
      </w:r>
      <w:r w:rsidRPr="00715E22">
        <w:rPr>
          <w:rFonts w:ascii="Times New Roman" w:eastAsia="Times New Roman" w:hAnsi="Times New Roman" w:cs="Times New Roman"/>
          <w:sz w:val="24"/>
          <w:szCs w:val="24"/>
        </w:rPr>
        <w:t xml:space="preserve"> został wyemitowany kolejny cykl wspomnień, który składał się z czterech różnych wypowiedzi pełnych wzruszeń i przeżyć. W tej sposób po raz kolejny seniorzy mogli podzielić się swoimi wspomnieniami z czasów wojny, o których często nawet najbliższa rodzina nie miała pojęcia. Taka forma upamiętnienia wspomnień jest bardzo cenna dla kolejnych pokoleń. </w:t>
      </w:r>
    </w:p>
    <w:p w14:paraId="06ABE039" w14:textId="77777777" w:rsidR="00CC3B5A" w:rsidRPr="005F0A32" w:rsidRDefault="00CC3B5A" w:rsidP="00E7359C">
      <w:pPr>
        <w:spacing w:after="0"/>
        <w:jc w:val="both"/>
        <w:rPr>
          <w:rFonts w:ascii="Times New Roman" w:hAnsi="Times New Roman" w:cs="Times New Roman"/>
          <w:b/>
          <w:sz w:val="24"/>
          <w:szCs w:val="24"/>
        </w:rPr>
      </w:pPr>
    </w:p>
    <w:p w14:paraId="0AC58DB4" w14:textId="77777777" w:rsidR="00715E22" w:rsidRDefault="00CC3B5A" w:rsidP="00E7359C">
      <w:pPr>
        <w:spacing w:after="0"/>
        <w:jc w:val="both"/>
        <w:rPr>
          <w:rFonts w:ascii="Times New Roman" w:hAnsi="Times New Roman" w:cs="Times New Roman"/>
          <w:b/>
          <w:sz w:val="24"/>
          <w:szCs w:val="24"/>
        </w:rPr>
      </w:pPr>
      <w:r w:rsidRPr="005F0A32">
        <w:rPr>
          <w:rFonts w:ascii="Times New Roman" w:hAnsi="Times New Roman" w:cs="Times New Roman"/>
          <w:b/>
          <w:sz w:val="24"/>
          <w:szCs w:val="24"/>
        </w:rPr>
        <w:t>Gmina Sier</w:t>
      </w:r>
      <w:r w:rsidR="00715E22">
        <w:rPr>
          <w:rFonts w:ascii="Times New Roman" w:hAnsi="Times New Roman" w:cs="Times New Roman"/>
          <w:b/>
          <w:sz w:val="24"/>
          <w:szCs w:val="24"/>
        </w:rPr>
        <w:t>akowice</w:t>
      </w:r>
    </w:p>
    <w:p w14:paraId="57D9DF32" w14:textId="77777777" w:rsidR="00CC3B5A" w:rsidRPr="00715E22" w:rsidRDefault="00715E22" w:rsidP="008C71A9">
      <w:pPr>
        <w:pStyle w:val="Akapitzlist"/>
        <w:numPr>
          <w:ilvl w:val="0"/>
          <w:numId w:val="153"/>
        </w:numPr>
        <w:spacing w:after="0"/>
        <w:ind w:left="360"/>
        <w:jc w:val="both"/>
        <w:rPr>
          <w:rFonts w:ascii="Times New Roman" w:hAnsi="Times New Roman" w:cs="Times New Roman"/>
          <w:b/>
          <w:sz w:val="24"/>
          <w:szCs w:val="24"/>
        </w:rPr>
      </w:pPr>
      <w:r>
        <w:rPr>
          <w:rFonts w:ascii="Times New Roman" w:hAnsi="Times New Roman" w:cs="Times New Roman"/>
          <w:b/>
          <w:sz w:val="24"/>
          <w:szCs w:val="24"/>
        </w:rPr>
        <w:t xml:space="preserve">„Pamiętam o Tobie”. </w:t>
      </w:r>
      <w:r w:rsidR="00CC3B5A" w:rsidRPr="00715E22">
        <w:rPr>
          <w:rFonts w:ascii="Times New Roman" w:hAnsi="Times New Roman" w:cs="Times New Roman"/>
          <w:sz w:val="24"/>
          <w:szCs w:val="24"/>
        </w:rPr>
        <w:t>Projekt ”Pamiętam o Tobie” zrealizowano w okresie od stycznia do grudnia 2019 r. na terenie gminy Sierakowice. Realizatorem projektu był Gminny Ośrodek Pomocy Społecznej w Sierakowicach. Głównym celem projektu było zminimalizowanie osamotnienia osób starszych, samotnych w wieku powyżej 70 roku życia, wzmocnienie poczucia, że nie są sami, że nie są zapomniani przez instytucje. Celem pracy na rzecz seniorów było dążenie do poprawy jakości życia i do godnego starzenia się poprzez aktywizację społeczną. Rekrutacji uczestników projektu dokonał pracownik socjalny pełniący funkcję koordynatora projektu. Realizowane na terenie gminy przedsięwzięcie ukierunkowane było na wzrost aktywności seniorów i przeciwdziałanie ich marginalizacji społecznej. Wizyty pracowników socjalnych w miejscu zamieszkania odbywały się w dniu urodzin uczestnika projektu. Podczas wizyt uczestnikom został wręczony upominek a także przedstawiono informacje o działaniach, które realizowane są na rzecz seniorów na terenie gminy Sierakowice. Łącznie w 2019 r. projekt obejmował 24 osoby samotne. Większość uczestników projektu była bardzo mile zaskoczona, że ktoś o nich pamięta. Realizacja projektu przyczyniła się do poprawienia nastroju uczestnika projektu i wzrostu poczucia bycia potrzebnym dla innych oraz podtrzymania tradycji i zwyczajów</w:t>
      </w:r>
      <w:r w:rsidR="000C6F7D">
        <w:rPr>
          <w:rFonts w:ascii="Times New Roman" w:hAnsi="Times New Roman" w:cs="Times New Roman"/>
          <w:sz w:val="24"/>
          <w:szCs w:val="24"/>
        </w:rPr>
        <w:t>. Wydatki poniesione w 2019 r.</w:t>
      </w:r>
      <w:r w:rsidR="00CC3B5A" w:rsidRPr="00715E22">
        <w:rPr>
          <w:rFonts w:ascii="Times New Roman" w:hAnsi="Times New Roman" w:cs="Times New Roman"/>
          <w:sz w:val="24"/>
          <w:szCs w:val="24"/>
        </w:rPr>
        <w:t xml:space="preserve"> na realizację projektu wyniosły 901,75 zł.</w:t>
      </w:r>
    </w:p>
    <w:p w14:paraId="5C5472D4" w14:textId="77777777" w:rsidR="00CC3B5A" w:rsidRPr="002D5038" w:rsidRDefault="00CC3B5A" w:rsidP="00E7359C">
      <w:pPr>
        <w:spacing w:after="0"/>
        <w:jc w:val="both"/>
        <w:rPr>
          <w:rFonts w:ascii="Times New Roman" w:hAnsi="Times New Roman" w:cs="Times New Roman"/>
          <w:sz w:val="24"/>
          <w:szCs w:val="24"/>
        </w:rPr>
      </w:pPr>
    </w:p>
    <w:p w14:paraId="2EC61DE9" w14:textId="77777777" w:rsidR="00715E22" w:rsidRPr="002D5038" w:rsidRDefault="00715E22" w:rsidP="00E7359C">
      <w:pPr>
        <w:spacing w:after="0"/>
        <w:jc w:val="both"/>
        <w:rPr>
          <w:rFonts w:ascii="Times New Roman" w:hAnsi="Times New Roman" w:cs="Times New Roman"/>
          <w:sz w:val="24"/>
          <w:szCs w:val="24"/>
        </w:rPr>
      </w:pPr>
      <w:r w:rsidRPr="002D5038">
        <w:rPr>
          <w:rFonts w:ascii="Times New Roman" w:hAnsi="Times New Roman" w:cs="Times New Roman"/>
          <w:sz w:val="24"/>
          <w:szCs w:val="24"/>
        </w:rPr>
        <w:t>Gmina Kosakowo</w:t>
      </w:r>
    </w:p>
    <w:p w14:paraId="017646E5" w14:textId="2074C956" w:rsidR="002D5038" w:rsidRPr="002D5038" w:rsidRDefault="00CC3B5A" w:rsidP="008C71A9">
      <w:pPr>
        <w:pStyle w:val="Akapitzlist"/>
        <w:numPr>
          <w:ilvl w:val="0"/>
          <w:numId w:val="153"/>
        </w:numPr>
        <w:spacing w:after="0"/>
        <w:ind w:left="360"/>
        <w:jc w:val="both"/>
        <w:rPr>
          <w:rStyle w:val="Hipercze"/>
          <w:rFonts w:ascii="Times New Roman" w:hAnsi="Times New Roman" w:cs="Times New Roman"/>
          <w:b/>
          <w:color w:val="auto"/>
          <w:sz w:val="24"/>
          <w:szCs w:val="24"/>
          <w:u w:val="none"/>
        </w:rPr>
      </w:pPr>
      <w:r w:rsidRPr="002D5038">
        <w:rPr>
          <w:rFonts w:ascii="Times New Roman" w:hAnsi="Times New Roman" w:cs="Times New Roman"/>
          <w:b/>
          <w:sz w:val="24"/>
          <w:szCs w:val="24"/>
        </w:rPr>
        <w:t>Fundacja Fly</w:t>
      </w:r>
      <w:r w:rsidR="002D5038">
        <w:rPr>
          <w:rFonts w:ascii="Times New Roman" w:hAnsi="Times New Roman" w:cs="Times New Roman"/>
          <w:b/>
          <w:sz w:val="24"/>
          <w:szCs w:val="24"/>
        </w:rPr>
        <w:t xml:space="preserve">. </w:t>
      </w:r>
      <w:r w:rsidRPr="002D5038">
        <w:rPr>
          <w:rFonts w:ascii="Times New Roman" w:hAnsi="Times New Roman" w:cs="Times New Roman"/>
          <w:sz w:val="24"/>
          <w:szCs w:val="24"/>
        </w:rPr>
        <w:t xml:space="preserve">W okresie od 15.03.2019 do 31.12.2019 koordynacja działań na rzecz osób starszych: aktywizacja osób starszych przez przygotowanie i realizację oferty zajęć w oparciu o wolontariat, przeciwdziałanie wykluczeniu osób starszych, integrację międzypokoleniową, prowadzenie zajęć sportowych, rozwijających zainteresowania. 88 </w:t>
      </w:r>
      <w:r w:rsidRPr="002D5038">
        <w:rPr>
          <w:rFonts w:ascii="Times New Roman" w:hAnsi="Times New Roman" w:cs="Times New Roman"/>
          <w:sz w:val="24"/>
          <w:szCs w:val="24"/>
        </w:rPr>
        <w:lastRenderedPageBreak/>
        <w:t xml:space="preserve">godzin zajęć </w:t>
      </w:r>
      <w:r w:rsidR="00CD52E9">
        <w:rPr>
          <w:rFonts w:ascii="Times New Roman" w:hAnsi="Times New Roman" w:cs="Times New Roman"/>
          <w:sz w:val="24"/>
          <w:szCs w:val="24"/>
        </w:rPr>
        <w:t xml:space="preserve">miesięcznie (decoupage, druty i </w:t>
      </w:r>
      <w:r w:rsidRPr="002D5038">
        <w:rPr>
          <w:rFonts w:ascii="Times New Roman" w:hAnsi="Times New Roman" w:cs="Times New Roman"/>
          <w:sz w:val="24"/>
          <w:szCs w:val="24"/>
        </w:rPr>
        <w:t>szydełko, gimnastyka kręgosłupa, gry planszowe, koloroterapia, języki obce, rękodzieło, stretching, basen, nordic walking)</w:t>
      </w:r>
      <w:r w:rsidR="000C6F7D">
        <w:rPr>
          <w:rStyle w:val="Odwoanieprzypisudolnego"/>
          <w:rFonts w:ascii="Times New Roman" w:hAnsi="Times New Roman" w:cs="Times New Roman"/>
          <w:sz w:val="24"/>
          <w:szCs w:val="24"/>
        </w:rPr>
        <w:footnoteReference w:id="185"/>
      </w:r>
      <w:r w:rsidRPr="002D5038">
        <w:rPr>
          <w:rFonts w:ascii="Times New Roman" w:hAnsi="Times New Roman" w:cs="Times New Roman"/>
          <w:sz w:val="24"/>
          <w:szCs w:val="24"/>
        </w:rPr>
        <w:t>.</w:t>
      </w:r>
      <w:r w:rsidR="002D5038">
        <w:rPr>
          <w:rFonts w:ascii="Times New Roman" w:hAnsi="Times New Roman" w:cs="Times New Roman"/>
          <w:sz w:val="24"/>
          <w:szCs w:val="24"/>
        </w:rPr>
        <w:t xml:space="preserve"> </w:t>
      </w:r>
    </w:p>
    <w:p w14:paraId="318A6B1A" w14:textId="77777777" w:rsidR="00CC3B5A" w:rsidRPr="005F0A32" w:rsidRDefault="00CC3B5A" w:rsidP="00E7359C">
      <w:pPr>
        <w:pStyle w:val="Akapitzlist"/>
        <w:spacing w:after="0"/>
        <w:ind w:left="0"/>
        <w:jc w:val="both"/>
        <w:rPr>
          <w:rFonts w:ascii="Times New Roman" w:hAnsi="Times New Roman" w:cs="Times New Roman"/>
          <w:sz w:val="24"/>
          <w:szCs w:val="24"/>
        </w:rPr>
      </w:pPr>
    </w:p>
    <w:p w14:paraId="263B88DC" w14:textId="77777777" w:rsidR="002D5038" w:rsidRPr="002D5038" w:rsidRDefault="002D5038" w:rsidP="00E7359C">
      <w:pPr>
        <w:spacing w:after="0"/>
        <w:jc w:val="both"/>
        <w:rPr>
          <w:rFonts w:ascii="Times New Roman" w:hAnsi="Times New Roman" w:cs="Times New Roman"/>
          <w:sz w:val="24"/>
          <w:szCs w:val="24"/>
        </w:rPr>
      </w:pPr>
      <w:r w:rsidRPr="002D5038">
        <w:rPr>
          <w:rFonts w:ascii="Times New Roman" w:hAnsi="Times New Roman" w:cs="Times New Roman"/>
          <w:sz w:val="24"/>
          <w:szCs w:val="24"/>
        </w:rPr>
        <w:t>Miasto Gdynia</w:t>
      </w:r>
    </w:p>
    <w:p w14:paraId="54FE18AE" w14:textId="77777777" w:rsidR="00CC3B5A" w:rsidRPr="000C6F7D" w:rsidRDefault="00CC3B5A" w:rsidP="008C71A9">
      <w:pPr>
        <w:pStyle w:val="Akapitzlist"/>
        <w:numPr>
          <w:ilvl w:val="0"/>
          <w:numId w:val="153"/>
        </w:numPr>
        <w:spacing w:after="0"/>
        <w:ind w:left="360"/>
        <w:jc w:val="both"/>
        <w:rPr>
          <w:rFonts w:ascii="Times New Roman" w:hAnsi="Times New Roman" w:cs="Times New Roman"/>
          <w:sz w:val="24"/>
          <w:szCs w:val="24"/>
        </w:rPr>
      </w:pPr>
      <w:r w:rsidRPr="002D5038">
        <w:rPr>
          <w:rFonts w:ascii="Times New Roman" w:hAnsi="Times New Roman" w:cs="Times New Roman"/>
          <w:b/>
          <w:sz w:val="24"/>
          <w:szCs w:val="24"/>
        </w:rPr>
        <w:t>Kampania społeczna STOP!</w:t>
      </w:r>
      <w:r w:rsidR="002D5038" w:rsidRPr="002D5038">
        <w:rPr>
          <w:rFonts w:ascii="Times New Roman" w:hAnsi="Times New Roman" w:cs="Times New Roman"/>
          <w:sz w:val="24"/>
          <w:szCs w:val="24"/>
        </w:rPr>
        <w:t>, r</w:t>
      </w:r>
      <w:r w:rsidRPr="002D5038">
        <w:rPr>
          <w:rFonts w:ascii="Times New Roman" w:hAnsi="Times New Roman" w:cs="Times New Roman"/>
          <w:sz w:val="24"/>
          <w:szCs w:val="24"/>
        </w:rPr>
        <w:t>ealizowana przez gdyński samorząd i Komendę Miejską Policji, ma na celu ograniczenie zorganizowanej przemocy wobec seniorów – oszustw dokonywanych metodą „na wnuczka”. W jej ramach do seniorów trafiają materiały informacyjno–edukacyjne, w których przedstawiane są metody, jakimi posługują się osoby wyłudzające pieniądze, ale przede wszystkim sposoby obrony przed oszustami.  W ramach kampanii materiały pojawiają się w mediach, na stronach internetowych zarówno miasta Gdynia, jak i mi</w:t>
      </w:r>
      <w:r w:rsidR="002D5038">
        <w:rPr>
          <w:rFonts w:ascii="Times New Roman" w:hAnsi="Times New Roman" w:cs="Times New Roman"/>
          <w:sz w:val="24"/>
          <w:szCs w:val="24"/>
        </w:rPr>
        <w:t xml:space="preserve">ejskich jednostek – </w:t>
      </w:r>
      <w:r w:rsidRPr="002D5038">
        <w:rPr>
          <w:rFonts w:ascii="Times New Roman" w:hAnsi="Times New Roman" w:cs="Times New Roman"/>
          <w:sz w:val="24"/>
          <w:szCs w:val="24"/>
        </w:rPr>
        <w:t>z naciskiem na Centrum Aktywności Seniora. Teksty udostępniane są na profilach prowadzonych przez miasto i miejskie jednostki na portalach społecznościowych</w:t>
      </w:r>
      <w:r w:rsidR="000C6F7D">
        <w:rPr>
          <w:rStyle w:val="Odwoanieprzypisudolnego"/>
          <w:rFonts w:ascii="Times New Roman" w:hAnsi="Times New Roman" w:cs="Times New Roman"/>
          <w:sz w:val="24"/>
          <w:szCs w:val="24"/>
        </w:rPr>
        <w:footnoteReference w:id="186"/>
      </w:r>
      <w:r w:rsidR="000C6F7D">
        <w:rPr>
          <w:rFonts w:ascii="Times New Roman" w:hAnsi="Times New Roman" w:cs="Times New Roman"/>
          <w:sz w:val="24"/>
          <w:szCs w:val="24"/>
        </w:rPr>
        <w:t>.</w:t>
      </w:r>
    </w:p>
    <w:p w14:paraId="3305A89C" w14:textId="77777777" w:rsidR="002D5038" w:rsidRPr="002D5038" w:rsidRDefault="002D5038" w:rsidP="00E7359C">
      <w:pPr>
        <w:spacing w:after="0"/>
        <w:jc w:val="both"/>
        <w:rPr>
          <w:rFonts w:ascii="Times New Roman" w:hAnsi="Times New Roman" w:cs="Times New Roman"/>
          <w:sz w:val="24"/>
          <w:szCs w:val="24"/>
        </w:rPr>
      </w:pPr>
      <w:r w:rsidRPr="002D5038">
        <w:rPr>
          <w:rFonts w:ascii="Times New Roman" w:hAnsi="Times New Roman" w:cs="Times New Roman"/>
          <w:sz w:val="24"/>
          <w:szCs w:val="24"/>
        </w:rPr>
        <w:t>Gmina Ustka</w:t>
      </w:r>
    </w:p>
    <w:p w14:paraId="7B223F49" w14:textId="77777777" w:rsidR="00CC3B5A" w:rsidRPr="002D5038" w:rsidRDefault="00CC3B5A" w:rsidP="008C71A9">
      <w:pPr>
        <w:pStyle w:val="Akapitzlist"/>
        <w:numPr>
          <w:ilvl w:val="0"/>
          <w:numId w:val="153"/>
        </w:numPr>
        <w:spacing w:after="0"/>
        <w:ind w:left="360"/>
        <w:jc w:val="both"/>
        <w:rPr>
          <w:rFonts w:ascii="Times New Roman" w:hAnsi="Times New Roman" w:cs="Times New Roman"/>
          <w:sz w:val="24"/>
          <w:szCs w:val="24"/>
        </w:rPr>
      </w:pPr>
      <w:r w:rsidRPr="002D5038">
        <w:rPr>
          <w:rFonts w:ascii="Times New Roman" w:hAnsi="Times New Roman" w:cs="Times New Roman"/>
          <w:b/>
          <w:sz w:val="24"/>
          <w:szCs w:val="24"/>
        </w:rPr>
        <w:t>bezpłatne przejazdy</w:t>
      </w:r>
      <w:r w:rsidR="002D5038">
        <w:rPr>
          <w:rFonts w:ascii="Times New Roman" w:hAnsi="Times New Roman" w:cs="Times New Roman"/>
          <w:sz w:val="24"/>
          <w:szCs w:val="24"/>
        </w:rPr>
        <w:t xml:space="preserve">. </w:t>
      </w:r>
      <w:r w:rsidRPr="002D5038">
        <w:rPr>
          <w:rFonts w:ascii="Times New Roman" w:hAnsi="Times New Roman" w:cs="Times New Roman"/>
          <w:sz w:val="24"/>
          <w:szCs w:val="24"/>
        </w:rPr>
        <w:t>Seniorzy, którzy ukończyli 70 rok życia mogą korzystać z czterech przejazdów w miesiącu za złotówkę na terenie Gminy Ustka oraz na trasie Słupsk Ustka. Do Programu przystąpiło 3 przewoźników, z którymi podpisane zostały poroz</w:t>
      </w:r>
      <w:r w:rsidR="000C6F7D">
        <w:rPr>
          <w:rFonts w:ascii="Times New Roman" w:hAnsi="Times New Roman" w:cs="Times New Roman"/>
          <w:sz w:val="24"/>
          <w:szCs w:val="24"/>
        </w:rPr>
        <w:t>umienia o współpracy na 2019 r. W całym 2019 r.</w:t>
      </w:r>
      <w:r w:rsidRPr="002D5038">
        <w:rPr>
          <w:rFonts w:ascii="Times New Roman" w:hAnsi="Times New Roman" w:cs="Times New Roman"/>
          <w:sz w:val="24"/>
          <w:szCs w:val="24"/>
        </w:rPr>
        <w:t xml:space="preserve"> wydano 167 biletów dla Seniorów. Koszt poni</w:t>
      </w:r>
      <w:r w:rsidR="000C6F7D">
        <w:rPr>
          <w:rFonts w:ascii="Times New Roman" w:hAnsi="Times New Roman" w:cs="Times New Roman"/>
          <w:sz w:val="24"/>
          <w:szCs w:val="24"/>
        </w:rPr>
        <w:t xml:space="preserve">esiony przez Gminę Ustka to 18 </w:t>
      </w:r>
      <w:r w:rsidRPr="002D5038">
        <w:rPr>
          <w:rFonts w:ascii="Times New Roman" w:hAnsi="Times New Roman" w:cs="Times New Roman"/>
          <w:sz w:val="24"/>
          <w:szCs w:val="24"/>
        </w:rPr>
        <w:t>984,10 zł. Jest bardzo duże zainteresowanie ze strony Seniorów w/w formą dofinansowania.</w:t>
      </w:r>
    </w:p>
    <w:p w14:paraId="6BE2D2D2" w14:textId="77777777" w:rsidR="00CC3B5A" w:rsidRPr="005F0A32" w:rsidRDefault="00CC3B5A" w:rsidP="00E7359C">
      <w:pPr>
        <w:spacing w:after="0"/>
        <w:jc w:val="both"/>
        <w:rPr>
          <w:rFonts w:ascii="Times New Roman" w:hAnsi="Times New Roman" w:cs="Times New Roman"/>
          <w:sz w:val="24"/>
          <w:szCs w:val="24"/>
        </w:rPr>
      </w:pPr>
    </w:p>
    <w:p w14:paraId="77BEB381" w14:textId="77777777" w:rsidR="00CC3B5A" w:rsidRPr="002D5038" w:rsidRDefault="002D5038" w:rsidP="00E7359C">
      <w:pPr>
        <w:jc w:val="both"/>
        <w:rPr>
          <w:rFonts w:ascii="Times New Roman" w:hAnsi="Times New Roman" w:cs="Times New Roman"/>
          <w:b/>
          <w:sz w:val="24"/>
          <w:szCs w:val="24"/>
        </w:rPr>
      </w:pPr>
      <w:r w:rsidRPr="00F27A8A">
        <w:rPr>
          <w:rFonts w:ascii="Times New Roman" w:hAnsi="Times New Roman" w:cs="Times New Roman"/>
          <w:b/>
          <w:sz w:val="24"/>
          <w:szCs w:val="24"/>
        </w:rPr>
        <w:t>Przykłady innowacyjnych rozwiązań</w:t>
      </w:r>
      <w:r>
        <w:rPr>
          <w:rFonts w:ascii="Times New Roman" w:hAnsi="Times New Roman" w:cs="Times New Roman"/>
          <w:b/>
          <w:sz w:val="24"/>
          <w:szCs w:val="24"/>
        </w:rPr>
        <w:t xml:space="preserve"> w ramach polityki senioralnej</w:t>
      </w:r>
    </w:p>
    <w:p w14:paraId="69F94762" w14:textId="77777777" w:rsidR="002D5038" w:rsidRDefault="00CC3B5A" w:rsidP="00E7359C">
      <w:pPr>
        <w:spacing w:after="0"/>
        <w:jc w:val="both"/>
        <w:rPr>
          <w:rFonts w:ascii="Times New Roman" w:hAnsi="Times New Roman" w:cs="Times New Roman"/>
          <w:sz w:val="24"/>
          <w:szCs w:val="24"/>
        </w:rPr>
      </w:pPr>
      <w:r w:rsidRPr="00753D91">
        <w:rPr>
          <w:rFonts w:ascii="Times New Roman" w:hAnsi="Times New Roman" w:cs="Times New Roman"/>
          <w:b/>
          <w:sz w:val="24"/>
          <w:szCs w:val="24"/>
        </w:rPr>
        <w:t>Tele</w:t>
      </w:r>
      <w:r w:rsidR="002D5038" w:rsidRPr="00753D91">
        <w:rPr>
          <w:rFonts w:ascii="Times New Roman" w:hAnsi="Times New Roman" w:cs="Times New Roman"/>
          <w:b/>
          <w:sz w:val="24"/>
          <w:szCs w:val="24"/>
        </w:rPr>
        <w:t xml:space="preserve">opieka domowa. </w:t>
      </w:r>
      <w:r w:rsidRPr="00753D91">
        <w:rPr>
          <w:rFonts w:ascii="Times New Roman" w:hAnsi="Times New Roman" w:cs="Times New Roman"/>
          <w:sz w:val="24"/>
          <w:szCs w:val="24"/>
        </w:rPr>
        <w:t>Jest ona rozwiązaniem, które staje się coraz powszechniejsze w gminach województwa pomorskiego. Jest to całe instrumentarium wsparcia opieki realizowanej nad niesamodzielnymi (częściowo lub całkowicie) i samodzielnymi osobami starszymi w ich środowisku domowym. Jest integralną częścią opieki środowiskowej, postrzeganej za najbardziej zgodną z preferencjami opiekuńczymi osób starszych.</w:t>
      </w:r>
      <w:r w:rsidR="002D5038" w:rsidRPr="00753D91">
        <w:rPr>
          <w:rFonts w:ascii="Times New Roman" w:hAnsi="Times New Roman" w:cs="Times New Roman"/>
          <w:sz w:val="24"/>
          <w:szCs w:val="24"/>
        </w:rPr>
        <w:t xml:space="preserve"> </w:t>
      </w:r>
      <w:r w:rsidRPr="00753D91">
        <w:rPr>
          <w:rFonts w:ascii="Times New Roman" w:hAnsi="Times New Roman" w:cs="Times New Roman"/>
          <w:sz w:val="24"/>
          <w:szCs w:val="24"/>
        </w:rPr>
        <w:t>Dzięki rozwiązaniom i narzędziom technologii informacyjno-komunikacyjnych (ICT), teleopieka wspiera i wydłuża okres niezależności i pozostawania seniora w jego własnym domu. Umożliwia szybkie reagowanie na potrzeby zgłaszane przez podopiecznych (zapewnienie dostarczenia niezbędnych usług) oraz podejmowanie interwencji niezależnie od zgłoszenia (w przypadku zaobserwowania gwałtownych zmian w zachowaniu osób objętych opieką lub wystąpienia zdarzeń niebezpiecznych w ich otoczeniu). Inaczej niż telemedycyna, teleopieka nie odnosi się do sfery opieki zdrowotnej. Wpisuje się w obszar aktywności zapewniających przede wszystkim opiekę socjalno-bytową.</w:t>
      </w:r>
    </w:p>
    <w:p w14:paraId="1B346D9E" w14:textId="77777777" w:rsidR="00753D91" w:rsidRPr="00753D91" w:rsidRDefault="00753D91" w:rsidP="00E7359C">
      <w:pPr>
        <w:spacing w:after="0"/>
        <w:jc w:val="both"/>
        <w:rPr>
          <w:rFonts w:ascii="Times New Roman" w:hAnsi="Times New Roman" w:cs="Times New Roman"/>
          <w:b/>
          <w:sz w:val="24"/>
          <w:szCs w:val="24"/>
        </w:rPr>
      </w:pPr>
    </w:p>
    <w:p w14:paraId="455E1945" w14:textId="77777777" w:rsidR="002D5038" w:rsidRPr="00753D91" w:rsidRDefault="00CC3B5A" w:rsidP="00E7359C">
      <w:pPr>
        <w:spacing w:after="0"/>
        <w:jc w:val="both"/>
        <w:rPr>
          <w:rFonts w:ascii="Times New Roman" w:hAnsi="Times New Roman" w:cs="Times New Roman"/>
          <w:b/>
          <w:sz w:val="24"/>
          <w:szCs w:val="24"/>
        </w:rPr>
      </w:pPr>
      <w:r w:rsidRPr="00753D91">
        <w:rPr>
          <w:rFonts w:ascii="Times New Roman" w:hAnsi="Times New Roman" w:cs="Times New Roman"/>
          <w:b/>
          <w:sz w:val="24"/>
          <w:szCs w:val="24"/>
        </w:rPr>
        <w:t>„Pudełko życia”, „Koperta życia”</w:t>
      </w:r>
      <w:r w:rsidR="002D5038" w:rsidRPr="00753D91">
        <w:rPr>
          <w:rFonts w:ascii="Times New Roman" w:hAnsi="Times New Roman" w:cs="Times New Roman"/>
          <w:b/>
          <w:sz w:val="24"/>
          <w:szCs w:val="24"/>
        </w:rPr>
        <w:t xml:space="preserve">. </w:t>
      </w:r>
      <w:r w:rsidRPr="00753D91">
        <w:rPr>
          <w:rFonts w:ascii="Times New Roman" w:hAnsi="Times New Roman" w:cs="Times New Roman"/>
          <w:sz w:val="24"/>
          <w:szCs w:val="24"/>
        </w:rPr>
        <w:t xml:space="preserve">Kolejne rozwiązanie stosowane coraz powszechniej w zakresie wspierania seniorów oraz osób niepełnosprawnych. Jest to zestaw, który jest bezpłatnie przekazywany zainteresowanym, składa się z plastikowego pojemnika (lub koperty), oznaczonego specjalnym nadrukiem, karty informacyjnej oraz dwóch naklejek do umieszczenia </w:t>
      </w:r>
      <w:r w:rsidRPr="00753D91">
        <w:rPr>
          <w:rFonts w:ascii="Times New Roman" w:hAnsi="Times New Roman" w:cs="Times New Roman"/>
          <w:sz w:val="24"/>
          <w:szCs w:val="24"/>
        </w:rPr>
        <w:lastRenderedPageBreak/>
        <w:t>na lodówce i wewnętrznej stronie drzwi wejściowych do mieszkania. Oznaczenie pozwala służbom zlokalizować pudełko. W pojemniku służby ratownicze znajdą informacje, takie jak: kontakt do rodziny, zdiagnozowane choroby i uczulenia, nazwy leków przypisanych na stałe przez lekarza oraz wskazanie miejsca, w którym senior przechowuję pełną dokumentację medyczną.</w:t>
      </w:r>
      <w:r w:rsidR="002D5038" w:rsidRPr="00753D91">
        <w:rPr>
          <w:rFonts w:ascii="Times New Roman" w:hAnsi="Times New Roman" w:cs="Times New Roman"/>
          <w:sz w:val="24"/>
          <w:szCs w:val="24"/>
        </w:rPr>
        <w:t xml:space="preserve"> </w:t>
      </w:r>
      <w:r w:rsidRPr="00753D91">
        <w:rPr>
          <w:rFonts w:ascii="Times New Roman" w:hAnsi="Times New Roman" w:cs="Times New Roman"/>
          <w:sz w:val="24"/>
          <w:szCs w:val="24"/>
        </w:rPr>
        <w:t>Przejrzysty system przechowywania informacji medycznej pozwala na szybsze i łatwiejsze udzielanie pomocy, a co za tym idzie – rośnie szansa na efektywne działania ratujące życie i zdrowie poszkodowanych. Głównym celem projektu jest ułatwienie niesienia pomocy wspomnianym mieszkańcom w sytuacji zagrożenia ich zdrowia lub życia</w:t>
      </w:r>
    </w:p>
    <w:p w14:paraId="45FC41DC" w14:textId="77777777" w:rsidR="00753D91" w:rsidRDefault="00753D91" w:rsidP="00E7359C">
      <w:pPr>
        <w:spacing w:after="0"/>
        <w:jc w:val="both"/>
        <w:rPr>
          <w:rFonts w:ascii="Times New Roman" w:hAnsi="Times New Roman" w:cs="Times New Roman"/>
          <w:b/>
          <w:sz w:val="24"/>
          <w:szCs w:val="24"/>
        </w:rPr>
      </w:pPr>
    </w:p>
    <w:p w14:paraId="79776DEF" w14:textId="74EA8FE1" w:rsidR="00CC3B5A" w:rsidRPr="00753D91" w:rsidRDefault="00CC3B5A" w:rsidP="00E7359C">
      <w:pPr>
        <w:spacing w:after="0"/>
        <w:jc w:val="both"/>
        <w:rPr>
          <w:rFonts w:ascii="Times New Roman" w:hAnsi="Times New Roman" w:cs="Times New Roman"/>
          <w:b/>
          <w:sz w:val="24"/>
          <w:szCs w:val="24"/>
        </w:rPr>
      </w:pPr>
      <w:r w:rsidRPr="00753D91">
        <w:rPr>
          <w:rFonts w:ascii="Times New Roman" w:hAnsi="Times New Roman" w:cs="Times New Roman"/>
          <w:b/>
          <w:sz w:val="24"/>
          <w:szCs w:val="24"/>
        </w:rPr>
        <w:t>Powiat wejherowski: Organizacja debaty pn. „Współczesn</w:t>
      </w:r>
      <w:r w:rsidR="002D5038" w:rsidRPr="00753D91">
        <w:rPr>
          <w:rFonts w:ascii="Times New Roman" w:hAnsi="Times New Roman" w:cs="Times New Roman"/>
          <w:b/>
          <w:sz w:val="24"/>
          <w:szCs w:val="24"/>
        </w:rPr>
        <w:t xml:space="preserve">e zagrożenia w </w:t>
      </w:r>
      <w:r w:rsidR="00CD52E9" w:rsidRPr="00753D91">
        <w:rPr>
          <w:rFonts w:ascii="Times New Roman" w:hAnsi="Times New Roman" w:cs="Times New Roman"/>
          <w:b/>
          <w:sz w:val="24"/>
          <w:szCs w:val="24"/>
        </w:rPr>
        <w:t>cyberprzestrzeni</w:t>
      </w:r>
      <w:r w:rsidR="002D5038" w:rsidRPr="00753D91">
        <w:rPr>
          <w:rFonts w:ascii="Times New Roman" w:hAnsi="Times New Roman" w:cs="Times New Roman"/>
          <w:b/>
          <w:sz w:val="24"/>
          <w:szCs w:val="24"/>
        </w:rPr>
        <w:t xml:space="preserve">”. </w:t>
      </w:r>
      <w:r w:rsidRPr="00753D91">
        <w:rPr>
          <w:rFonts w:ascii="Times New Roman" w:hAnsi="Times New Roman" w:cs="Times New Roman"/>
          <w:sz w:val="24"/>
          <w:szCs w:val="24"/>
        </w:rPr>
        <w:t>Skierowana m. in. do seniorów słuchaczy Uniwersytetu III wieku. W ramach prowadzonego panelu Powiatowy Rzecznik Konsumentów szczególną uwagę Seniorów skierował na kwestie umów zawieranych na różnorakich pokazach, wskazując i omawiając zasady i warunki odstąpienia od tego rodzajów umów.</w:t>
      </w:r>
    </w:p>
    <w:p w14:paraId="75C161EE" w14:textId="77777777" w:rsidR="00753D91" w:rsidRDefault="00753D91" w:rsidP="00E7359C">
      <w:pPr>
        <w:pStyle w:val="Akapitzlist"/>
        <w:spacing w:after="0"/>
        <w:ind w:left="0"/>
        <w:jc w:val="both"/>
        <w:rPr>
          <w:rFonts w:ascii="Times New Roman" w:hAnsi="Times New Roman" w:cs="Times New Roman"/>
          <w:sz w:val="24"/>
          <w:szCs w:val="24"/>
        </w:rPr>
      </w:pPr>
    </w:p>
    <w:p w14:paraId="16D6EE43" w14:textId="77777777" w:rsidR="00CC3B5A" w:rsidRPr="005F0A32" w:rsidRDefault="00CC3B5A" w:rsidP="00E7359C">
      <w:pPr>
        <w:pStyle w:val="Akapitzlist"/>
        <w:spacing w:after="0"/>
        <w:ind w:left="0"/>
        <w:jc w:val="both"/>
        <w:rPr>
          <w:rFonts w:ascii="Times New Roman" w:hAnsi="Times New Roman" w:cs="Times New Roman"/>
          <w:sz w:val="24"/>
          <w:szCs w:val="24"/>
        </w:rPr>
      </w:pPr>
      <w:r w:rsidRPr="005F0A32">
        <w:rPr>
          <w:rFonts w:ascii="Times New Roman" w:hAnsi="Times New Roman" w:cs="Times New Roman"/>
          <w:sz w:val="24"/>
          <w:szCs w:val="24"/>
        </w:rPr>
        <w:t>Zaawansowanie procesu starzenia się ludności w powiatach województwa pomorskiego jest zróżnicowane. Od wielu lat w województwie pomorskim udziela się pomocy i wsparcia osobom starszym. W 2019</w:t>
      </w:r>
      <w:r w:rsidR="000C6F7D">
        <w:rPr>
          <w:rFonts w:ascii="Times New Roman" w:hAnsi="Times New Roman" w:cs="Times New Roman"/>
          <w:sz w:val="24"/>
          <w:szCs w:val="24"/>
        </w:rPr>
        <w:t xml:space="preserve"> r.</w:t>
      </w:r>
      <w:r w:rsidRPr="005F0A32">
        <w:rPr>
          <w:rFonts w:ascii="Times New Roman" w:hAnsi="Times New Roman" w:cs="Times New Roman"/>
          <w:sz w:val="24"/>
          <w:szCs w:val="24"/>
        </w:rPr>
        <w:t xml:space="preserve"> szczególny nacisk nałożono na: współpracę interdyscyplinarną na rzecz seniorów: pracowników socjalnych, przedstawicieli samorządów, Policji, służby zdrowia; organizację wydarzeń mających na celu integrację pokoleń; tworzenie środowisk samopomocowych; rozszerzanie usług realizowanych w miejscu zamieszkania; edukację prozdrowotną seniorów.</w:t>
      </w:r>
    </w:p>
    <w:p w14:paraId="4E7F2B20" w14:textId="77777777" w:rsidR="00753D91" w:rsidRDefault="00753D91" w:rsidP="00E7359C">
      <w:pPr>
        <w:spacing w:after="0"/>
        <w:jc w:val="both"/>
        <w:rPr>
          <w:rFonts w:ascii="Times New Roman" w:hAnsi="Times New Roman" w:cs="Times New Roman"/>
          <w:sz w:val="24"/>
          <w:szCs w:val="24"/>
        </w:rPr>
      </w:pPr>
    </w:p>
    <w:p w14:paraId="7FA63999" w14:textId="77777777" w:rsidR="00CC3B5A" w:rsidRDefault="00CC3B5A" w:rsidP="00E7359C">
      <w:pPr>
        <w:spacing w:after="0"/>
        <w:jc w:val="both"/>
        <w:rPr>
          <w:rFonts w:ascii="Times New Roman" w:hAnsi="Times New Roman" w:cs="Times New Roman"/>
          <w:sz w:val="24"/>
          <w:szCs w:val="24"/>
        </w:rPr>
      </w:pPr>
      <w:r w:rsidRPr="005F0A32">
        <w:rPr>
          <w:rFonts w:ascii="Times New Roman" w:hAnsi="Times New Roman" w:cs="Times New Roman"/>
          <w:sz w:val="24"/>
          <w:szCs w:val="24"/>
        </w:rPr>
        <w:t>W dalszym ciągu zachodzi jednak konieczność poszerzenia infrastruktury służącej seniorom ukierunkowanej na zaspokojenie ich podstawowych potrzeb życiowych, zdrowotnych, kulturalnych oraz wsparcie niezależności i samodzielności. Należy powiększyć ilość różnych usług społecznych dla osób w podeszłym wieku i przygotować specjalistów do pracy z seniorami.</w:t>
      </w:r>
    </w:p>
    <w:p w14:paraId="26FC8DA8" w14:textId="77777777" w:rsidR="00753D91" w:rsidRDefault="00753D91" w:rsidP="003C1988">
      <w:pPr>
        <w:spacing w:after="0"/>
        <w:rPr>
          <w:rFonts w:ascii="Times New Roman" w:hAnsi="Times New Roman" w:cs="Times New Roman"/>
          <w:sz w:val="24"/>
          <w:szCs w:val="24"/>
        </w:rPr>
        <w:sectPr w:rsidR="00753D91" w:rsidSect="00DB6308">
          <w:pgSz w:w="11900" w:h="16838"/>
          <w:pgMar w:top="1384" w:right="1386" w:bottom="1038" w:left="1380" w:header="0" w:footer="567" w:gutter="0"/>
          <w:cols w:space="0" w:equalWidth="0">
            <w:col w:w="9140"/>
          </w:cols>
          <w:docGrid w:linePitch="360"/>
        </w:sectPr>
      </w:pPr>
    </w:p>
    <w:p w14:paraId="41D32F3D" w14:textId="5939FBCC" w:rsidR="004D48DD" w:rsidRPr="004D48DD" w:rsidRDefault="004D48DD" w:rsidP="004D48DD">
      <w:pPr>
        <w:pStyle w:val="Legenda"/>
        <w:keepNext/>
        <w:rPr>
          <w:rFonts w:ascii="Times New Roman" w:hAnsi="Times New Roman" w:cs="Times New Roman"/>
          <w:b/>
          <w:i w:val="0"/>
          <w:sz w:val="24"/>
        </w:rPr>
      </w:pPr>
      <w:bookmarkStart w:id="147" w:name="_Toc49171440"/>
      <w:r w:rsidRPr="004D48DD">
        <w:rPr>
          <w:rFonts w:ascii="Times New Roman" w:hAnsi="Times New Roman" w:cs="Times New Roman"/>
          <w:b/>
          <w:i w:val="0"/>
          <w:sz w:val="24"/>
        </w:rPr>
        <w:lastRenderedPageBreak/>
        <w:t xml:space="preserve">Tabela </w:t>
      </w:r>
      <w:r w:rsidRPr="004D48DD">
        <w:rPr>
          <w:rFonts w:ascii="Times New Roman" w:hAnsi="Times New Roman" w:cs="Times New Roman"/>
          <w:b/>
          <w:i w:val="0"/>
          <w:sz w:val="24"/>
        </w:rPr>
        <w:fldChar w:fldCharType="begin"/>
      </w:r>
      <w:r w:rsidRPr="004D48DD">
        <w:rPr>
          <w:rFonts w:ascii="Times New Roman" w:hAnsi="Times New Roman" w:cs="Times New Roman"/>
          <w:b/>
          <w:i w:val="0"/>
          <w:sz w:val="24"/>
        </w:rPr>
        <w:instrText xml:space="preserve"> SEQ Tabela \* ARABIC </w:instrText>
      </w:r>
      <w:r w:rsidRPr="004D48DD">
        <w:rPr>
          <w:rFonts w:ascii="Times New Roman" w:hAnsi="Times New Roman" w:cs="Times New Roman"/>
          <w:b/>
          <w:i w:val="0"/>
          <w:sz w:val="24"/>
        </w:rPr>
        <w:fldChar w:fldCharType="separate"/>
      </w:r>
      <w:r w:rsidR="00C154C9">
        <w:rPr>
          <w:rFonts w:ascii="Times New Roman" w:hAnsi="Times New Roman" w:cs="Times New Roman"/>
          <w:b/>
          <w:i w:val="0"/>
          <w:noProof/>
          <w:sz w:val="24"/>
        </w:rPr>
        <w:t>65</w:t>
      </w:r>
      <w:r w:rsidRPr="004D48DD">
        <w:rPr>
          <w:rFonts w:ascii="Times New Roman" w:hAnsi="Times New Roman" w:cs="Times New Roman"/>
          <w:b/>
          <w:i w:val="0"/>
          <w:sz w:val="24"/>
        </w:rPr>
        <w:fldChar w:fldCharType="end"/>
      </w:r>
      <w:r w:rsidRPr="004D48DD">
        <w:rPr>
          <w:rFonts w:ascii="Times New Roman" w:hAnsi="Times New Roman" w:cs="Times New Roman"/>
          <w:b/>
          <w:i w:val="0"/>
          <w:sz w:val="24"/>
        </w:rPr>
        <w:t xml:space="preserve"> Karta województwa pomorskiego</w:t>
      </w:r>
      <w:bookmarkEnd w:id="147"/>
    </w:p>
    <w:tbl>
      <w:tblPr>
        <w:tblStyle w:val="Tabelasiatki6kolorowaakcent1"/>
        <w:tblpPr w:leftFromText="142" w:rightFromText="142" w:vertAnchor="text" w:horzAnchor="margin" w:tblpXSpec="center" w:tblpY="1"/>
        <w:tblOverlap w:val="never"/>
        <w:tblW w:w="14741"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A52173" w:rsidRPr="00A52173" w14:paraId="5C2A823C" w14:textId="77777777" w:rsidTr="00E86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bottom w:val="none" w:sz="0" w:space="0" w:color="auto"/>
            </w:tcBorders>
            <w:shd w:val="clear" w:color="auto" w:fill="9CC2E5" w:themeFill="accent1" w:themeFillTint="99"/>
          </w:tcPr>
          <w:p w14:paraId="5DC7FC64" w14:textId="77777777" w:rsidR="00753D91" w:rsidRPr="003D1B50" w:rsidRDefault="00753D91" w:rsidP="00E86509">
            <w:pPr>
              <w:spacing w:after="0" w:line="240" w:lineRule="auto"/>
              <w:jc w:val="center"/>
              <w:rPr>
                <w:rFonts w:ascii="Times New Roman" w:hAnsi="Times New Roman"/>
                <w:color w:val="auto"/>
              </w:rPr>
            </w:pPr>
            <w:r w:rsidRPr="003D1B50">
              <w:rPr>
                <w:rFonts w:ascii="Times New Roman" w:hAnsi="Times New Roman"/>
                <w:color w:val="auto"/>
              </w:rPr>
              <w:t>WOJEWÓDZTWO POMORSKIE</w:t>
            </w:r>
          </w:p>
        </w:tc>
      </w:tr>
      <w:tr w:rsidR="00A52173" w:rsidRPr="00A52173" w14:paraId="6435D2BB" w14:textId="77777777" w:rsidTr="00E8650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5D325F1" w14:textId="77777777" w:rsidR="00753D91" w:rsidRPr="003D1B50" w:rsidRDefault="00753D91" w:rsidP="00E86509">
            <w:pPr>
              <w:spacing w:after="0" w:line="240" w:lineRule="auto"/>
              <w:rPr>
                <w:rFonts w:ascii="Times New Roman" w:hAnsi="Times New Roman"/>
                <w:color w:val="auto"/>
              </w:rPr>
            </w:pPr>
            <w:r w:rsidRPr="003D1B50">
              <w:rPr>
                <w:rFonts w:ascii="Times New Roman" w:hAnsi="Times New Roman"/>
                <w:color w:val="auto"/>
              </w:rPr>
              <w:t>Informacja o regionie</w:t>
            </w:r>
          </w:p>
        </w:tc>
        <w:tc>
          <w:tcPr>
            <w:tcW w:w="3969" w:type="dxa"/>
            <w:gridSpan w:val="3"/>
            <w:shd w:val="clear" w:color="auto" w:fill="9CC2E5" w:themeFill="accent1" w:themeFillTint="99"/>
          </w:tcPr>
          <w:p w14:paraId="706368D6"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gmin</w:t>
            </w:r>
          </w:p>
        </w:tc>
        <w:tc>
          <w:tcPr>
            <w:tcW w:w="7942" w:type="dxa"/>
            <w:gridSpan w:val="5"/>
            <w:shd w:val="clear" w:color="auto" w:fill="FFFFFF" w:themeFill="background1"/>
          </w:tcPr>
          <w:p w14:paraId="30B9D53A"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123</w:t>
            </w:r>
          </w:p>
        </w:tc>
      </w:tr>
      <w:tr w:rsidR="00A52173" w:rsidRPr="00A52173" w14:paraId="38CCDACF" w14:textId="77777777" w:rsidTr="00E86509">
        <w:trPr>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FE246C4" w14:textId="77777777" w:rsidR="00753D91" w:rsidRPr="003D1B50" w:rsidRDefault="00753D91" w:rsidP="00E86509">
            <w:pPr>
              <w:spacing w:after="0" w:line="240" w:lineRule="auto"/>
              <w:rPr>
                <w:rFonts w:ascii="Times New Roman" w:hAnsi="Times New Roman"/>
                <w:color w:val="auto"/>
              </w:rPr>
            </w:pPr>
          </w:p>
        </w:tc>
        <w:tc>
          <w:tcPr>
            <w:tcW w:w="3969" w:type="dxa"/>
            <w:gridSpan w:val="3"/>
            <w:shd w:val="clear" w:color="auto" w:fill="9CC2E5" w:themeFill="accent1" w:themeFillTint="99"/>
          </w:tcPr>
          <w:p w14:paraId="26C1D08E"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powiatów</w:t>
            </w:r>
          </w:p>
        </w:tc>
        <w:tc>
          <w:tcPr>
            <w:tcW w:w="7942" w:type="dxa"/>
            <w:gridSpan w:val="5"/>
            <w:shd w:val="clear" w:color="auto" w:fill="FFFFFF" w:themeFill="background1"/>
          </w:tcPr>
          <w:p w14:paraId="746A9B18"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16</w:t>
            </w:r>
          </w:p>
        </w:tc>
      </w:tr>
      <w:tr w:rsidR="00A52173" w:rsidRPr="00A52173" w14:paraId="7C7A60DE" w14:textId="77777777" w:rsidTr="00E8650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5F3110A" w14:textId="77777777" w:rsidR="00753D91" w:rsidRPr="003D1B50" w:rsidRDefault="00753D91" w:rsidP="00E86509">
            <w:pPr>
              <w:spacing w:after="0" w:line="240" w:lineRule="auto"/>
              <w:rPr>
                <w:rFonts w:ascii="Times New Roman" w:hAnsi="Times New Roman"/>
                <w:color w:val="auto"/>
              </w:rPr>
            </w:pPr>
          </w:p>
        </w:tc>
        <w:tc>
          <w:tcPr>
            <w:tcW w:w="3969" w:type="dxa"/>
            <w:gridSpan w:val="3"/>
            <w:shd w:val="clear" w:color="auto" w:fill="9CC2E5" w:themeFill="accent1" w:themeFillTint="99"/>
          </w:tcPr>
          <w:p w14:paraId="78E17E4D"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Powierzchnia</w:t>
            </w:r>
          </w:p>
        </w:tc>
        <w:tc>
          <w:tcPr>
            <w:tcW w:w="7942" w:type="dxa"/>
            <w:gridSpan w:val="5"/>
            <w:shd w:val="clear" w:color="auto" w:fill="FFFFFF" w:themeFill="background1"/>
          </w:tcPr>
          <w:p w14:paraId="7DB74FB9"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18 321 km</w:t>
            </w:r>
            <w:r w:rsidRPr="003D1B50">
              <w:rPr>
                <w:rFonts w:ascii="Times New Roman" w:hAnsi="Times New Roman"/>
                <w:color w:val="auto"/>
                <w:vertAlign w:val="superscript"/>
              </w:rPr>
              <w:t>2</w:t>
            </w:r>
          </w:p>
        </w:tc>
      </w:tr>
      <w:tr w:rsidR="00A52173" w:rsidRPr="00A52173" w14:paraId="0CFB5D1A"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7DE31DCE" w14:textId="77777777" w:rsidR="00753D91" w:rsidRPr="003D1B50" w:rsidRDefault="00753D91" w:rsidP="00E86509">
            <w:pPr>
              <w:spacing w:after="0" w:line="240" w:lineRule="auto"/>
              <w:jc w:val="center"/>
              <w:rPr>
                <w:rFonts w:ascii="Times New Roman" w:hAnsi="Times New Roman"/>
                <w:b w:val="0"/>
                <w:color w:val="auto"/>
              </w:rPr>
            </w:pPr>
            <w:r w:rsidRPr="003D1B50">
              <w:rPr>
                <w:rFonts w:ascii="Times New Roman" w:hAnsi="Times New Roman"/>
                <w:color w:val="auto"/>
              </w:rPr>
              <w:t>DEMOGRAFIA</w:t>
            </w:r>
          </w:p>
        </w:tc>
      </w:tr>
      <w:tr w:rsidR="00A52173" w:rsidRPr="00A52173" w14:paraId="7F9D4D4A"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22F6C43" w14:textId="77777777" w:rsidR="00753D91" w:rsidRPr="003D1B50" w:rsidRDefault="00753D91" w:rsidP="00E86509">
            <w:pPr>
              <w:spacing w:after="0" w:line="240" w:lineRule="auto"/>
              <w:jc w:val="center"/>
              <w:rPr>
                <w:rFonts w:ascii="Times New Roman" w:hAnsi="Times New Roman"/>
                <w:b w:val="0"/>
                <w:color w:val="auto"/>
                <w:lang w:eastAsia="pl-PL"/>
              </w:rPr>
            </w:pPr>
            <w:r w:rsidRPr="003D1B50">
              <w:rPr>
                <w:rFonts w:ascii="Times New Roman" w:hAnsi="Times New Roman"/>
                <w:color w:val="auto"/>
                <w:lang w:eastAsia="pl-PL"/>
              </w:rPr>
              <w:t>Treść</w:t>
            </w:r>
          </w:p>
        </w:tc>
        <w:tc>
          <w:tcPr>
            <w:tcW w:w="3969" w:type="dxa"/>
            <w:gridSpan w:val="3"/>
            <w:shd w:val="clear" w:color="auto" w:fill="9CC2E5" w:themeFill="accent1" w:themeFillTint="99"/>
          </w:tcPr>
          <w:p w14:paraId="10591A90"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2017 r.</w:t>
            </w:r>
          </w:p>
        </w:tc>
        <w:tc>
          <w:tcPr>
            <w:tcW w:w="3969" w:type="dxa"/>
            <w:gridSpan w:val="3"/>
            <w:shd w:val="clear" w:color="auto" w:fill="9CC2E5" w:themeFill="accent1" w:themeFillTint="99"/>
          </w:tcPr>
          <w:p w14:paraId="455CC015"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2018 r.</w:t>
            </w:r>
          </w:p>
        </w:tc>
        <w:tc>
          <w:tcPr>
            <w:tcW w:w="3973" w:type="dxa"/>
            <w:gridSpan w:val="2"/>
            <w:shd w:val="clear" w:color="auto" w:fill="9CC2E5" w:themeFill="accent1" w:themeFillTint="99"/>
          </w:tcPr>
          <w:p w14:paraId="1241C132"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2019 r.</w:t>
            </w:r>
          </w:p>
        </w:tc>
      </w:tr>
      <w:tr w:rsidR="00A52173" w:rsidRPr="00A52173" w14:paraId="08057E98" w14:textId="77777777" w:rsidTr="00E86509">
        <w:tc>
          <w:tcPr>
            <w:cnfStyle w:val="001000000000" w:firstRow="0" w:lastRow="0" w:firstColumn="1" w:lastColumn="0" w:oddVBand="0" w:evenVBand="0" w:oddHBand="0" w:evenHBand="0" w:firstRowFirstColumn="0" w:firstRowLastColumn="0" w:lastRowFirstColumn="0" w:lastRowLastColumn="0"/>
            <w:tcW w:w="2830" w:type="dxa"/>
          </w:tcPr>
          <w:p w14:paraId="50AAFD94"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Populacja ogółem</w:t>
            </w:r>
          </w:p>
        </w:tc>
        <w:tc>
          <w:tcPr>
            <w:tcW w:w="3969" w:type="dxa"/>
            <w:gridSpan w:val="3"/>
          </w:tcPr>
          <w:p w14:paraId="4ACEED9B"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2 324 251</w:t>
            </w:r>
          </w:p>
        </w:tc>
        <w:tc>
          <w:tcPr>
            <w:tcW w:w="3969" w:type="dxa"/>
            <w:gridSpan w:val="3"/>
          </w:tcPr>
          <w:p w14:paraId="7F7E4126"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2 333 523</w:t>
            </w:r>
          </w:p>
        </w:tc>
        <w:tc>
          <w:tcPr>
            <w:tcW w:w="3973" w:type="dxa"/>
            <w:gridSpan w:val="2"/>
          </w:tcPr>
          <w:p w14:paraId="299659F3"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2 343 928</w:t>
            </w:r>
          </w:p>
        </w:tc>
      </w:tr>
      <w:tr w:rsidR="00A52173" w:rsidRPr="00A52173" w14:paraId="1A487E2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55D6535A" w14:textId="77777777" w:rsidR="00753D91" w:rsidRPr="003D1B50" w:rsidRDefault="00753D91" w:rsidP="00E86509">
            <w:pPr>
              <w:spacing w:after="0" w:line="240" w:lineRule="auto"/>
              <w:rPr>
                <w:rFonts w:ascii="Times New Roman" w:hAnsi="Times New Roman"/>
                <w:color w:val="auto"/>
              </w:rPr>
            </w:pPr>
            <w:r w:rsidRPr="003D1B50">
              <w:rPr>
                <w:rFonts w:ascii="Times New Roman" w:hAnsi="Times New Roman"/>
                <w:color w:val="auto"/>
                <w:lang w:eastAsia="pl-PL"/>
              </w:rPr>
              <w:t>w tym:</w:t>
            </w:r>
          </w:p>
        </w:tc>
      </w:tr>
      <w:tr w:rsidR="00A52173" w:rsidRPr="00A52173" w14:paraId="4DF8E02A" w14:textId="77777777" w:rsidTr="00E86509">
        <w:tc>
          <w:tcPr>
            <w:cnfStyle w:val="001000000000" w:firstRow="0" w:lastRow="0" w:firstColumn="1" w:lastColumn="0" w:oddVBand="0" w:evenVBand="0" w:oddHBand="0" w:evenHBand="0" w:firstRowFirstColumn="0" w:firstRowLastColumn="0" w:lastRowFirstColumn="0" w:lastRowLastColumn="0"/>
            <w:tcW w:w="2830" w:type="dxa"/>
          </w:tcPr>
          <w:p w14:paraId="6A1BC168" w14:textId="77777777" w:rsidR="00753D91" w:rsidRPr="003D1B50" w:rsidRDefault="00753D91" w:rsidP="00E86509">
            <w:pPr>
              <w:spacing w:after="0" w:line="240" w:lineRule="auto"/>
              <w:rPr>
                <w:rFonts w:ascii="Times New Roman" w:hAnsi="Times New Roman"/>
                <w:color w:val="auto"/>
              </w:rPr>
            </w:pPr>
            <w:r w:rsidRPr="003D1B50">
              <w:rPr>
                <w:rFonts w:ascii="Times New Roman" w:hAnsi="Times New Roman"/>
                <w:color w:val="auto"/>
                <w:lang w:eastAsia="pl-PL"/>
              </w:rPr>
              <w:t>w wieku 60 lat i więcej</w:t>
            </w:r>
          </w:p>
        </w:tc>
        <w:tc>
          <w:tcPr>
            <w:tcW w:w="3969" w:type="dxa"/>
            <w:gridSpan w:val="3"/>
            <w:shd w:val="clear" w:color="auto" w:fill="FFFFFF" w:themeFill="background1"/>
          </w:tcPr>
          <w:p w14:paraId="45D79191"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529 936</w:t>
            </w:r>
          </w:p>
        </w:tc>
        <w:tc>
          <w:tcPr>
            <w:tcW w:w="3969" w:type="dxa"/>
            <w:gridSpan w:val="3"/>
            <w:shd w:val="clear" w:color="auto" w:fill="FFFFFF" w:themeFill="background1"/>
          </w:tcPr>
          <w:p w14:paraId="79F838E5"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543 692</w:t>
            </w:r>
          </w:p>
        </w:tc>
        <w:tc>
          <w:tcPr>
            <w:tcW w:w="3973" w:type="dxa"/>
            <w:gridSpan w:val="2"/>
            <w:shd w:val="clear" w:color="auto" w:fill="FFFFFF" w:themeFill="background1"/>
          </w:tcPr>
          <w:p w14:paraId="42ABA57F"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556 262</w:t>
            </w:r>
          </w:p>
        </w:tc>
      </w:tr>
      <w:tr w:rsidR="00A52173" w:rsidRPr="00A52173" w14:paraId="6DE0DDF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FBC7BBB"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60–64 lata</w:t>
            </w:r>
          </w:p>
        </w:tc>
        <w:tc>
          <w:tcPr>
            <w:tcW w:w="3969" w:type="dxa"/>
            <w:gridSpan w:val="3"/>
            <w:shd w:val="clear" w:color="auto" w:fill="FFFFFF" w:themeFill="background1"/>
          </w:tcPr>
          <w:p w14:paraId="5CE391EB"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161 724</w:t>
            </w:r>
          </w:p>
        </w:tc>
        <w:tc>
          <w:tcPr>
            <w:tcW w:w="3969" w:type="dxa"/>
            <w:gridSpan w:val="3"/>
            <w:shd w:val="clear" w:color="auto" w:fill="FFFFFF" w:themeFill="background1"/>
          </w:tcPr>
          <w:p w14:paraId="2161CE2C"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161 657</w:t>
            </w:r>
          </w:p>
        </w:tc>
        <w:tc>
          <w:tcPr>
            <w:tcW w:w="3973" w:type="dxa"/>
            <w:gridSpan w:val="2"/>
            <w:shd w:val="clear" w:color="auto" w:fill="FFFFFF" w:themeFill="background1"/>
          </w:tcPr>
          <w:p w14:paraId="402F33BE"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159 786</w:t>
            </w:r>
          </w:p>
        </w:tc>
      </w:tr>
      <w:tr w:rsidR="00A52173" w:rsidRPr="00A52173" w14:paraId="78FEA2A8" w14:textId="77777777" w:rsidTr="00E86509">
        <w:tc>
          <w:tcPr>
            <w:cnfStyle w:val="001000000000" w:firstRow="0" w:lastRow="0" w:firstColumn="1" w:lastColumn="0" w:oddVBand="0" w:evenVBand="0" w:oddHBand="0" w:evenHBand="0" w:firstRowFirstColumn="0" w:firstRowLastColumn="0" w:lastRowFirstColumn="0" w:lastRowLastColumn="0"/>
            <w:tcW w:w="2830" w:type="dxa"/>
          </w:tcPr>
          <w:p w14:paraId="66B0DDD8"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65–69</w:t>
            </w:r>
          </w:p>
        </w:tc>
        <w:tc>
          <w:tcPr>
            <w:tcW w:w="3969" w:type="dxa"/>
            <w:gridSpan w:val="3"/>
            <w:shd w:val="clear" w:color="auto" w:fill="FFFFFF" w:themeFill="background1"/>
          </w:tcPr>
          <w:p w14:paraId="2A3B8475"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139 950</w:t>
            </w:r>
          </w:p>
        </w:tc>
        <w:tc>
          <w:tcPr>
            <w:tcW w:w="3969" w:type="dxa"/>
            <w:gridSpan w:val="3"/>
            <w:shd w:val="clear" w:color="auto" w:fill="FFFFFF" w:themeFill="background1"/>
          </w:tcPr>
          <w:p w14:paraId="48553FF0"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142 953</w:t>
            </w:r>
          </w:p>
        </w:tc>
        <w:tc>
          <w:tcPr>
            <w:tcW w:w="3973" w:type="dxa"/>
            <w:gridSpan w:val="2"/>
            <w:shd w:val="clear" w:color="auto" w:fill="FFFFFF" w:themeFill="background1"/>
          </w:tcPr>
          <w:p w14:paraId="0982C650"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145 566</w:t>
            </w:r>
          </w:p>
        </w:tc>
      </w:tr>
      <w:tr w:rsidR="00A52173" w:rsidRPr="00A52173" w14:paraId="3A92C2E5"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BB2FEB1"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70–74</w:t>
            </w:r>
          </w:p>
        </w:tc>
        <w:tc>
          <w:tcPr>
            <w:tcW w:w="3969" w:type="dxa"/>
            <w:gridSpan w:val="3"/>
            <w:shd w:val="clear" w:color="auto" w:fill="FFFFFF" w:themeFill="background1"/>
          </w:tcPr>
          <w:p w14:paraId="7CE1A949"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79 676</w:t>
            </w:r>
          </w:p>
        </w:tc>
        <w:tc>
          <w:tcPr>
            <w:tcW w:w="3969" w:type="dxa"/>
            <w:gridSpan w:val="3"/>
            <w:shd w:val="clear" w:color="auto" w:fill="FFFFFF" w:themeFill="background1"/>
          </w:tcPr>
          <w:p w14:paraId="78283F51"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89 736</w:t>
            </w:r>
          </w:p>
        </w:tc>
        <w:tc>
          <w:tcPr>
            <w:tcW w:w="3973" w:type="dxa"/>
            <w:gridSpan w:val="2"/>
            <w:shd w:val="clear" w:color="auto" w:fill="FFFFFF" w:themeFill="background1"/>
          </w:tcPr>
          <w:p w14:paraId="3B11F28C"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101 376</w:t>
            </w:r>
          </w:p>
        </w:tc>
      </w:tr>
      <w:tr w:rsidR="00A52173" w:rsidRPr="00A52173" w14:paraId="424A977B" w14:textId="77777777" w:rsidTr="00E86509">
        <w:tc>
          <w:tcPr>
            <w:cnfStyle w:val="001000000000" w:firstRow="0" w:lastRow="0" w:firstColumn="1" w:lastColumn="0" w:oddVBand="0" w:evenVBand="0" w:oddHBand="0" w:evenHBand="0" w:firstRowFirstColumn="0" w:firstRowLastColumn="0" w:lastRowFirstColumn="0" w:lastRowLastColumn="0"/>
            <w:tcW w:w="2830" w:type="dxa"/>
          </w:tcPr>
          <w:p w14:paraId="2B4BA375"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75–79</w:t>
            </w:r>
          </w:p>
        </w:tc>
        <w:tc>
          <w:tcPr>
            <w:tcW w:w="3969" w:type="dxa"/>
            <w:gridSpan w:val="3"/>
            <w:shd w:val="clear" w:color="auto" w:fill="FFFFFF" w:themeFill="background1"/>
          </w:tcPr>
          <w:p w14:paraId="0FCA984C"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60 192</w:t>
            </w:r>
          </w:p>
        </w:tc>
        <w:tc>
          <w:tcPr>
            <w:tcW w:w="3969" w:type="dxa"/>
            <w:gridSpan w:val="3"/>
            <w:shd w:val="clear" w:color="auto" w:fill="FFFFFF" w:themeFill="background1"/>
          </w:tcPr>
          <w:p w14:paraId="6A415873"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59 212</w:t>
            </w:r>
          </w:p>
        </w:tc>
        <w:tc>
          <w:tcPr>
            <w:tcW w:w="3973" w:type="dxa"/>
            <w:gridSpan w:val="2"/>
            <w:shd w:val="clear" w:color="auto" w:fill="FFFFFF" w:themeFill="background1"/>
          </w:tcPr>
          <w:p w14:paraId="67EB207F"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57 473</w:t>
            </w:r>
          </w:p>
        </w:tc>
      </w:tr>
      <w:tr w:rsidR="00A52173" w:rsidRPr="00A52173" w14:paraId="705AE399"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2A22060"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80–84</w:t>
            </w:r>
          </w:p>
        </w:tc>
        <w:tc>
          <w:tcPr>
            <w:tcW w:w="3969" w:type="dxa"/>
            <w:gridSpan w:val="3"/>
            <w:shd w:val="clear" w:color="auto" w:fill="FFFFFF" w:themeFill="background1"/>
          </w:tcPr>
          <w:p w14:paraId="60C0E2C8"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47 723</w:t>
            </w:r>
          </w:p>
        </w:tc>
        <w:tc>
          <w:tcPr>
            <w:tcW w:w="3969" w:type="dxa"/>
            <w:gridSpan w:val="3"/>
            <w:shd w:val="clear" w:color="auto" w:fill="FFFFFF" w:themeFill="background1"/>
          </w:tcPr>
          <w:p w14:paraId="62C8FFAD"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48 164</w:t>
            </w:r>
          </w:p>
        </w:tc>
        <w:tc>
          <w:tcPr>
            <w:tcW w:w="3973" w:type="dxa"/>
            <w:gridSpan w:val="2"/>
            <w:shd w:val="clear" w:color="auto" w:fill="FFFFFF" w:themeFill="background1"/>
          </w:tcPr>
          <w:p w14:paraId="540574B3"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48 343</w:t>
            </w:r>
          </w:p>
        </w:tc>
      </w:tr>
      <w:tr w:rsidR="00A52173" w:rsidRPr="00A52173" w14:paraId="1B9970E2" w14:textId="77777777" w:rsidTr="00E86509">
        <w:tc>
          <w:tcPr>
            <w:cnfStyle w:val="001000000000" w:firstRow="0" w:lastRow="0" w:firstColumn="1" w:lastColumn="0" w:oddVBand="0" w:evenVBand="0" w:oddHBand="0" w:evenHBand="0" w:firstRowFirstColumn="0" w:firstRowLastColumn="0" w:lastRowFirstColumn="0" w:lastRowLastColumn="0"/>
            <w:tcW w:w="2830" w:type="dxa"/>
          </w:tcPr>
          <w:p w14:paraId="69DA45FD"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85 lat i więcej</w:t>
            </w:r>
          </w:p>
        </w:tc>
        <w:tc>
          <w:tcPr>
            <w:tcW w:w="3969" w:type="dxa"/>
            <w:gridSpan w:val="3"/>
            <w:shd w:val="clear" w:color="auto" w:fill="FFFFFF" w:themeFill="background1"/>
          </w:tcPr>
          <w:p w14:paraId="75BBD9D7"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40 671</w:t>
            </w:r>
          </w:p>
        </w:tc>
        <w:tc>
          <w:tcPr>
            <w:tcW w:w="3969" w:type="dxa"/>
            <w:gridSpan w:val="3"/>
            <w:shd w:val="clear" w:color="auto" w:fill="FFFFFF" w:themeFill="background1"/>
          </w:tcPr>
          <w:p w14:paraId="42A112A1"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41 970</w:t>
            </w:r>
          </w:p>
        </w:tc>
        <w:tc>
          <w:tcPr>
            <w:tcW w:w="3973" w:type="dxa"/>
            <w:gridSpan w:val="2"/>
            <w:shd w:val="clear" w:color="auto" w:fill="FFFFFF" w:themeFill="background1"/>
          </w:tcPr>
          <w:p w14:paraId="38547857"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43 718</w:t>
            </w:r>
          </w:p>
        </w:tc>
      </w:tr>
      <w:tr w:rsidR="00A52173" w:rsidRPr="00A52173" w14:paraId="1A441BBD"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88C4852"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Przeciętne dalsze trwanie życia</w:t>
            </w:r>
          </w:p>
        </w:tc>
        <w:tc>
          <w:tcPr>
            <w:tcW w:w="3969" w:type="dxa"/>
            <w:gridSpan w:val="3"/>
            <w:shd w:val="clear" w:color="auto" w:fill="FFFFFF" w:themeFill="background1"/>
          </w:tcPr>
          <w:p w14:paraId="68BF50CC"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kobiety -  84,1</w:t>
            </w:r>
            <w:r w:rsidRPr="003D1B50">
              <w:rPr>
                <w:rFonts w:ascii="Times New Roman" w:hAnsi="Times New Roman"/>
                <w:color w:val="auto"/>
              </w:rPr>
              <w:br/>
              <w:t>mężczyźni -  79,5</w:t>
            </w:r>
          </w:p>
        </w:tc>
        <w:tc>
          <w:tcPr>
            <w:tcW w:w="3969" w:type="dxa"/>
            <w:gridSpan w:val="3"/>
            <w:shd w:val="clear" w:color="auto" w:fill="FFFFFF" w:themeFill="background1"/>
          </w:tcPr>
          <w:p w14:paraId="0E8B883D"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kobiety - 81,6</w:t>
            </w:r>
            <w:r w:rsidRPr="003D1B50">
              <w:rPr>
                <w:rFonts w:ascii="Times New Roman" w:hAnsi="Times New Roman"/>
                <w:color w:val="auto"/>
              </w:rPr>
              <w:br/>
              <w:t>mężczyźni - 74,8</w:t>
            </w:r>
          </w:p>
        </w:tc>
        <w:tc>
          <w:tcPr>
            <w:tcW w:w="3973" w:type="dxa"/>
            <w:gridSpan w:val="2"/>
            <w:shd w:val="clear" w:color="auto" w:fill="FFFFFF" w:themeFill="background1"/>
          </w:tcPr>
          <w:p w14:paraId="19F655BE" w14:textId="4BD3C5F9" w:rsidR="00753D91" w:rsidRPr="003D1B50" w:rsidRDefault="002737B9"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kobiety - 81,8</w:t>
            </w:r>
            <w:r w:rsidRPr="003D1B50">
              <w:rPr>
                <w:rFonts w:ascii="Times New Roman" w:hAnsi="Times New Roman"/>
                <w:color w:val="auto"/>
              </w:rPr>
              <w:br/>
              <w:t>mężczyźni - 74,8</w:t>
            </w:r>
          </w:p>
        </w:tc>
      </w:tr>
      <w:tr w:rsidR="00A52173" w:rsidRPr="00A52173" w14:paraId="112C1CBB" w14:textId="77777777" w:rsidTr="00E86509">
        <w:tc>
          <w:tcPr>
            <w:cnfStyle w:val="001000000000" w:firstRow="0" w:lastRow="0" w:firstColumn="1" w:lastColumn="0" w:oddVBand="0" w:evenVBand="0" w:oddHBand="0" w:evenHBand="0" w:firstRowFirstColumn="0" w:firstRowLastColumn="0" w:lastRowFirstColumn="0" w:lastRowLastColumn="0"/>
            <w:tcW w:w="2830" w:type="dxa"/>
          </w:tcPr>
          <w:p w14:paraId="41E8E09A"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Współczynnik feminizacji</w:t>
            </w:r>
          </w:p>
        </w:tc>
        <w:tc>
          <w:tcPr>
            <w:tcW w:w="3969" w:type="dxa"/>
            <w:gridSpan w:val="3"/>
            <w:shd w:val="clear" w:color="auto" w:fill="FFFFFF" w:themeFill="background1"/>
          </w:tcPr>
          <w:p w14:paraId="1DFD3D9A"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105</w:t>
            </w:r>
          </w:p>
        </w:tc>
        <w:tc>
          <w:tcPr>
            <w:tcW w:w="3969" w:type="dxa"/>
            <w:gridSpan w:val="3"/>
            <w:shd w:val="clear" w:color="auto" w:fill="FFFFFF" w:themeFill="background1"/>
          </w:tcPr>
          <w:p w14:paraId="173105A1"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105</w:t>
            </w:r>
          </w:p>
        </w:tc>
        <w:tc>
          <w:tcPr>
            <w:tcW w:w="3973" w:type="dxa"/>
            <w:gridSpan w:val="2"/>
            <w:shd w:val="clear" w:color="auto" w:fill="FFFFFF" w:themeFill="background1"/>
          </w:tcPr>
          <w:p w14:paraId="4EB1AC4E"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105</w:t>
            </w:r>
          </w:p>
        </w:tc>
      </w:tr>
      <w:tr w:rsidR="00A52173" w:rsidRPr="00A52173" w14:paraId="577C435F" w14:textId="77777777" w:rsidTr="00E8650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830" w:type="dxa"/>
          </w:tcPr>
          <w:p w14:paraId="6456F717"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Współczynnik obciążenia demograficznego osobami starszymi</w:t>
            </w:r>
          </w:p>
        </w:tc>
        <w:tc>
          <w:tcPr>
            <w:tcW w:w="3969" w:type="dxa"/>
            <w:gridSpan w:val="3"/>
            <w:shd w:val="clear" w:color="auto" w:fill="FFFFFF" w:themeFill="background1"/>
          </w:tcPr>
          <w:p w14:paraId="7752204B" w14:textId="6582D680" w:rsidR="00753D91" w:rsidRPr="003D1B50" w:rsidRDefault="0038543F"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23,4</w:t>
            </w:r>
            <w:r w:rsidR="00753D91" w:rsidRPr="003D1B50">
              <w:rPr>
                <w:rFonts w:ascii="Times New Roman" w:hAnsi="Times New Roman"/>
                <w:color w:val="auto"/>
              </w:rPr>
              <w:t>%</w:t>
            </w:r>
          </w:p>
        </w:tc>
        <w:tc>
          <w:tcPr>
            <w:tcW w:w="3969" w:type="dxa"/>
            <w:gridSpan w:val="3"/>
            <w:shd w:val="clear" w:color="auto" w:fill="FFFFFF" w:themeFill="background1"/>
          </w:tcPr>
          <w:p w14:paraId="24ADCF84" w14:textId="3E56024C" w:rsidR="00753D91" w:rsidRPr="003D1B50" w:rsidRDefault="0038543F"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24,5</w:t>
            </w:r>
            <w:r w:rsidR="00753D91" w:rsidRPr="003D1B50">
              <w:rPr>
                <w:rFonts w:ascii="Times New Roman" w:hAnsi="Times New Roman"/>
                <w:color w:val="auto"/>
              </w:rPr>
              <w:t>%</w:t>
            </w:r>
          </w:p>
        </w:tc>
        <w:tc>
          <w:tcPr>
            <w:tcW w:w="3973" w:type="dxa"/>
            <w:gridSpan w:val="2"/>
            <w:shd w:val="clear" w:color="auto" w:fill="FFFFFF" w:themeFill="background1"/>
          </w:tcPr>
          <w:p w14:paraId="3AFEAE94" w14:textId="56E58FCE" w:rsidR="00753D91" w:rsidRPr="003D1B50" w:rsidRDefault="002737B9"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33B08">
              <w:rPr>
                <w:rFonts w:ascii="Times New Roman" w:hAnsi="Times New Roman"/>
                <w:color w:val="auto"/>
              </w:rPr>
              <w:t>25,5</w:t>
            </w:r>
          </w:p>
        </w:tc>
      </w:tr>
      <w:tr w:rsidR="00A52173" w:rsidRPr="00A52173" w14:paraId="19BAF14D" w14:textId="77777777" w:rsidTr="00E86509">
        <w:tc>
          <w:tcPr>
            <w:cnfStyle w:val="001000000000" w:firstRow="0" w:lastRow="0" w:firstColumn="1" w:lastColumn="0" w:oddVBand="0" w:evenVBand="0" w:oddHBand="0" w:evenHBand="0" w:firstRowFirstColumn="0" w:firstRowLastColumn="0" w:lastRowFirstColumn="0" w:lastRowLastColumn="0"/>
            <w:tcW w:w="2830" w:type="dxa"/>
          </w:tcPr>
          <w:p w14:paraId="55318B05"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Współczynnik zgonów</w:t>
            </w:r>
          </w:p>
        </w:tc>
        <w:tc>
          <w:tcPr>
            <w:tcW w:w="3969" w:type="dxa"/>
            <w:gridSpan w:val="3"/>
            <w:shd w:val="clear" w:color="auto" w:fill="FFFFFF" w:themeFill="background1"/>
          </w:tcPr>
          <w:p w14:paraId="68AF3427"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9,3</w:t>
            </w:r>
          </w:p>
        </w:tc>
        <w:tc>
          <w:tcPr>
            <w:tcW w:w="3969" w:type="dxa"/>
            <w:gridSpan w:val="3"/>
            <w:shd w:val="clear" w:color="auto" w:fill="FFFFFF" w:themeFill="background1"/>
          </w:tcPr>
          <w:p w14:paraId="2470A73E"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9,3</w:t>
            </w:r>
          </w:p>
        </w:tc>
        <w:tc>
          <w:tcPr>
            <w:tcW w:w="3973" w:type="dxa"/>
            <w:gridSpan w:val="2"/>
            <w:shd w:val="clear" w:color="auto" w:fill="FFFFFF" w:themeFill="background1"/>
          </w:tcPr>
          <w:p w14:paraId="10CCBEA8" w14:textId="50250236" w:rsidR="00753D91" w:rsidRPr="003D1B50" w:rsidRDefault="002737B9"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9,6</w:t>
            </w:r>
          </w:p>
        </w:tc>
      </w:tr>
      <w:tr w:rsidR="00A52173" w:rsidRPr="00A52173" w14:paraId="125B1334"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3C7C847" w14:textId="77777777" w:rsidR="00753D91" w:rsidRPr="003D1B50" w:rsidRDefault="00753D91" w:rsidP="00E86509">
            <w:pPr>
              <w:spacing w:after="0" w:line="240" w:lineRule="auto"/>
              <w:jc w:val="center"/>
              <w:rPr>
                <w:rFonts w:ascii="Times New Roman" w:hAnsi="Times New Roman"/>
                <w:color w:val="auto"/>
              </w:rPr>
            </w:pPr>
            <w:r w:rsidRPr="003D1B50">
              <w:rPr>
                <w:rFonts w:ascii="Times New Roman" w:hAnsi="Times New Roman"/>
                <w:color w:val="auto"/>
              </w:rPr>
              <w:t>SYTUACJA RODZINNA I STRUKTURA GOSPODARSTW DOMOWYCH</w:t>
            </w:r>
          </w:p>
        </w:tc>
      </w:tr>
      <w:tr w:rsidR="00A52173" w:rsidRPr="00A52173" w14:paraId="5061F1F7"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Pr>
          <w:p w14:paraId="4AFC6956" w14:textId="77777777" w:rsidR="00753D91" w:rsidRPr="003D1B50" w:rsidRDefault="00753D91" w:rsidP="00E86509">
            <w:pPr>
              <w:spacing w:after="0" w:line="240" w:lineRule="auto"/>
              <w:rPr>
                <w:rFonts w:ascii="Times New Roman" w:hAnsi="Times New Roman"/>
                <w:b w:val="0"/>
                <w:bCs w:val="0"/>
                <w:color w:val="auto"/>
              </w:rPr>
            </w:pPr>
            <w:r w:rsidRPr="003D1B50">
              <w:rPr>
                <w:rFonts w:ascii="Times New Roman" w:hAnsi="Times New Roman"/>
                <w:b w:val="0"/>
                <w:color w:val="auto"/>
              </w:rPr>
              <w:t xml:space="preserve">Znaczna część osób korzystających z pomocy OPS to osoby starsze i niepełnosprawne. Przeważają osoby samotne bez bliskiej rodziny, jednoosobowe gospodarstwa domowe. Rodziny osób objętych pomocą nie są w stanie we własnym zakresie zapewnić należytej pomocy osobom potrzebującym, zazwyczaj wynika to z ich aktywności zawodowej, braku dodatkowych środków finansowych, złym stanem własnego zdrowia, odległym zamieszkaniem. </w:t>
            </w:r>
            <w:r w:rsidRPr="003D1B50">
              <w:rPr>
                <w:rFonts w:ascii="Times New Roman" w:hAnsi="Times New Roman"/>
                <w:b w:val="0"/>
                <w:bCs w:val="0"/>
                <w:color w:val="auto"/>
              </w:rPr>
              <w:t>Wśród rodzin seniorów liczne są bezdzietne małżeństwa lub  małżeństwa z dziećmi zamieszkującymi za granicą lub w dalszej odległości od rodziców, bez możliwości świadczenia bezpośredniej pomocy.</w:t>
            </w:r>
          </w:p>
        </w:tc>
      </w:tr>
      <w:tr w:rsidR="00A52173" w:rsidRPr="00A52173" w14:paraId="1F93412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588C75E2" w14:textId="77777777" w:rsidR="00753D91" w:rsidRPr="003D1B50" w:rsidRDefault="00753D91" w:rsidP="00E86509">
            <w:pPr>
              <w:spacing w:after="0" w:line="240" w:lineRule="auto"/>
              <w:jc w:val="center"/>
              <w:rPr>
                <w:rFonts w:ascii="Times New Roman" w:hAnsi="Times New Roman"/>
                <w:color w:val="auto"/>
              </w:rPr>
            </w:pPr>
            <w:r w:rsidRPr="003D1B50">
              <w:rPr>
                <w:rFonts w:ascii="Times New Roman" w:hAnsi="Times New Roman"/>
                <w:color w:val="auto"/>
              </w:rPr>
              <w:t>SYTUACJA OSÓB NIEPEŁNOSPRAWNYCH I ICH OPIEKUNÓW</w:t>
            </w:r>
          </w:p>
        </w:tc>
      </w:tr>
      <w:tr w:rsidR="00A52173" w:rsidRPr="00A52173" w14:paraId="6486AF11"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Pr>
          <w:p w14:paraId="6F3878FF" w14:textId="77777777" w:rsidR="00753D91" w:rsidRPr="003D1B50" w:rsidRDefault="00753D91" w:rsidP="00E86509">
            <w:pPr>
              <w:spacing w:after="0" w:line="240" w:lineRule="auto"/>
              <w:rPr>
                <w:rFonts w:ascii="Times New Roman" w:eastAsia="Times New Roman" w:hAnsi="Times New Roman"/>
                <w:b w:val="0"/>
                <w:color w:val="auto"/>
              </w:rPr>
            </w:pPr>
            <w:r w:rsidRPr="003D1B50">
              <w:rPr>
                <w:rFonts w:ascii="Times New Roman" w:hAnsi="Times New Roman"/>
                <w:b w:val="0"/>
                <w:color w:val="auto"/>
              </w:rPr>
              <w:t xml:space="preserve">Wszystkie osoby niepełnosprawne wymagające wsparcia otrzymują je np. w postaci usług opiekuńczych lub specjalistycznych usług opiekuńczych. Osoby wymagające całodobowej opieki kierowane są do gminnych ośrodków wsparcia lub do domów pomocy społecznej. Na bieżąco monitorowane są również środowiska, w których członek rodziny rezygnuje z zatrudnienia z uwagi na konieczność zapewnienia opieki osobie jej wymagającej. Coraz mniej opiekunów </w:t>
            </w:r>
            <w:r w:rsidRPr="003D1B50">
              <w:rPr>
                <w:rFonts w:ascii="Times New Roman" w:hAnsi="Times New Roman"/>
                <w:b w:val="0"/>
                <w:color w:val="auto"/>
              </w:rPr>
              <w:lastRenderedPageBreak/>
              <w:t xml:space="preserve">korzysta z zasiłku dla opiekuna z uwagi na kryteria dochodowe. Szczególnym wyzwaniem pozostają wymagają klienci, u których występują zaburzenia psychiczne. Dużą popularnością cieszą się </w:t>
            </w:r>
            <w:r w:rsidRPr="003D1B50">
              <w:rPr>
                <w:rFonts w:ascii="Times New Roman" w:hAnsi="Times New Roman"/>
                <w:b w:val="0"/>
                <w:bCs w:val="0"/>
                <w:color w:val="auto"/>
              </w:rPr>
              <w:t>formy wsparcia dziennego – ŚDS, DDPS, Kluby samopomocy. R</w:t>
            </w:r>
            <w:r w:rsidRPr="003D1B50">
              <w:rPr>
                <w:rFonts w:ascii="Times New Roman" w:eastAsia="Times New Roman" w:hAnsi="Times New Roman"/>
                <w:b w:val="0"/>
                <w:color w:val="auto"/>
              </w:rPr>
              <w:t xml:space="preserve">ealizowane są wnioski na zaopatrzenia w przedmioty ortopedyczne i środki pomocnicze refundowane ze środków PFRON, a także dofinansowania udziału w turnusie rehabilitacyjnym. Osoby powyżej 60 r. ż. podejmowały aktywizację w oparciu o Indywidualne Programy Integracji Społeczno-Zawodowej i korzystały </w:t>
            </w:r>
            <w:r w:rsidRPr="003D1B50">
              <w:rPr>
                <w:rFonts w:ascii="Times New Roman" w:eastAsia="Times New Roman" w:hAnsi="Times New Roman"/>
                <w:b w:val="0"/>
                <w:color w:val="auto"/>
              </w:rPr>
              <w:br/>
              <w:t>z doradztwa osób niepełnosprawnych, zajęć aktywizujących w klubie oraz wsparcia psychologicznego.</w:t>
            </w:r>
          </w:p>
        </w:tc>
      </w:tr>
      <w:tr w:rsidR="00A52173" w:rsidRPr="00A52173" w14:paraId="2B2E2CEA"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1DF716B0" w14:textId="77777777" w:rsidR="00753D91" w:rsidRPr="003D1B50" w:rsidRDefault="00753D91" w:rsidP="00E86509">
            <w:pPr>
              <w:spacing w:after="0" w:line="240" w:lineRule="auto"/>
              <w:jc w:val="center"/>
              <w:rPr>
                <w:rFonts w:ascii="Times New Roman" w:hAnsi="Times New Roman"/>
                <w:color w:val="auto"/>
              </w:rPr>
            </w:pPr>
            <w:r w:rsidRPr="003D1B50">
              <w:rPr>
                <w:rFonts w:ascii="Times New Roman" w:hAnsi="Times New Roman"/>
                <w:color w:val="auto"/>
              </w:rPr>
              <w:lastRenderedPageBreak/>
              <w:t>STAN ZDROWIA OSÓB STARSZYCH / INFRASTRUKTURA SŁUŻBY ZDROWIA - DANE ZA 2019 r.</w:t>
            </w:r>
          </w:p>
        </w:tc>
      </w:tr>
      <w:tr w:rsidR="00A52173" w:rsidRPr="00A52173" w14:paraId="3CC6ECA9" w14:textId="77777777" w:rsidTr="00E86509">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57DD1B8"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hAnsi="Times New Roman"/>
                <w:color w:val="auto"/>
                <w:lang w:eastAsia="pl-PL"/>
              </w:rPr>
              <w:t xml:space="preserve">Dominujące schorzenia osób starszych </w:t>
            </w:r>
          </w:p>
        </w:tc>
        <w:tc>
          <w:tcPr>
            <w:tcW w:w="7938" w:type="dxa"/>
            <w:gridSpan w:val="6"/>
            <w:shd w:val="clear" w:color="auto" w:fill="9CC2E5" w:themeFill="accent1" w:themeFillTint="99"/>
          </w:tcPr>
          <w:p w14:paraId="66E348F9"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Nazwa</w:t>
            </w:r>
          </w:p>
        </w:tc>
        <w:tc>
          <w:tcPr>
            <w:tcW w:w="3973" w:type="dxa"/>
            <w:gridSpan w:val="2"/>
            <w:shd w:val="clear" w:color="auto" w:fill="9CC2E5" w:themeFill="accent1" w:themeFillTint="99"/>
          </w:tcPr>
          <w:p w14:paraId="38735D16"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osób starszych</w:t>
            </w:r>
          </w:p>
        </w:tc>
      </w:tr>
      <w:tr w:rsidR="00A52173" w:rsidRPr="00A52173" w14:paraId="45BC97E4"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3671D6CD"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84A5448"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b/>
                <w:color w:val="auto"/>
              </w:rPr>
              <w:t>1.</w:t>
            </w:r>
            <w:r w:rsidRPr="003D1B50">
              <w:rPr>
                <w:rFonts w:ascii="Times New Roman" w:hAnsi="Times New Roman"/>
                <w:color w:val="auto"/>
              </w:rPr>
              <w:t xml:space="preserve"> Choroby układu krążenia</w:t>
            </w:r>
          </w:p>
        </w:tc>
        <w:tc>
          <w:tcPr>
            <w:tcW w:w="3973" w:type="dxa"/>
            <w:gridSpan w:val="2"/>
            <w:shd w:val="clear" w:color="auto" w:fill="FFFFFF" w:themeFill="background1"/>
          </w:tcPr>
          <w:p w14:paraId="669037E1"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109</w:t>
            </w:r>
            <w:r w:rsidR="00AF6E57" w:rsidRPr="003D1B50">
              <w:rPr>
                <w:rFonts w:ascii="Times New Roman" w:hAnsi="Times New Roman"/>
                <w:color w:val="auto"/>
              </w:rPr>
              <w:t xml:space="preserve"> </w:t>
            </w:r>
            <w:r w:rsidRPr="003D1B50">
              <w:rPr>
                <w:rFonts w:ascii="Times New Roman" w:hAnsi="Times New Roman"/>
                <w:color w:val="auto"/>
              </w:rPr>
              <w:t>977</w:t>
            </w:r>
          </w:p>
        </w:tc>
      </w:tr>
      <w:tr w:rsidR="00A52173" w:rsidRPr="00A52173" w14:paraId="1131A83F"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F1BE7E8"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C9CA692"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b/>
                <w:color w:val="auto"/>
              </w:rPr>
              <w:t>2.</w:t>
            </w:r>
            <w:r w:rsidRPr="003D1B50">
              <w:rPr>
                <w:rFonts w:ascii="Times New Roman" w:hAnsi="Times New Roman"/>
                <w:color w:val="auto"/>
              </w:rPr>
              <w:t xml:space="preserve"> Cukrzyca</w:t>
            </w:r>
          </w:p>
        </w:tc>
        <w:tc>
          <w:tcPr>
            <w:tcW w:w="3973" w:type="dxa"/>
            <w:gridSpan w:val="2"/>
            <w:shd w:val="clear" w:color="auto" w:fill="FFFFFF" w:themeFill="background1"/>
          </w:tcPr>
          <w:p w14:paraId="40AEE91C"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29</w:t>
            </w:r>
            <w:r w:rsidR="00AF6E57" w:rsidRPr="003D1B50">
              <w:rPr>
                <w:rFonts w:ascii="Times New Roman" w:hAnsi="Times New Roman"/>
                <w:color w:val="auto"/>
              </w:rPr>
              <w:t xml:space="preserve"> </w:t>
            </w:r>
            <w:r w:rsidRPr="003D1B50">
              <w:rPr>
                <w:rFonts w:ascii="Times New Roman" w:hAnsi="Times New Roman"/>
                <w:color w:val="auto"/>
              </w:rPr>
              <w:t>185</w:t>
            </w:r>
          </w:p>
        </w:tc>
      </w:tr>
      <w:tr w:rsidR="00A52173" w:rsidRPr="00A52173" w14:paraId="0A7B98FA"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91040E5"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F965A06"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b/>
                <w:color w:val="auto"/>
              </w:rPr>
              <w:t>3.</w:t>
            </w:r>
            <w:r w:rsidRPr="003D1B50">
              <w:rPr>
                <w:rFonts w:ascii="Times New Roman" w:hAnsi="Times New Roman"/>
                <w:color w:val="auto"/>
              </w:rPr>
              <w:t>Choroby przewlekłe układu trawiennego</w:t>
            </w:r>
          </w:p>
        </w:tc>
        <w:tc>
          <w:tcPr>
            <w:tcW w:w="3973" w:type="dxa"/>
            <w:gridSpan w:val="2"/>
            <w:shd w:val="clear" w:color="auto" w:fill="FFFFFF" w:themeFill="background1"/>
          </w:tcPr>
          <w:p w14:paraId="060860F0"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19</w:t>
            </w:r>
            <w:r w:rsidR="00AF6E57" w:rsidRPr="003D1B50">
              <w:rPr>
                <w:rFonts w:ascii="Times New Roman" w:hAnsi="Times New Roman"/>
                <w:color w:val="auto"/>
              </w:rPr>
              <w:t xml:space="preserve"> </w:t>
            </w:r>
            <w:r w:rsidRPr="003D1B50">
              <w:rPr>
                <w:rFonts w:ascii="Times New Roman" w:hAnsi="Times New Roman"/>
                <w:color w:val="auto"/>
              </w:rPr>
              <w:t>456</w:t>
            </w:r>
          </w:p>
        </w:tc>
      </w:tr>
      <w:tr w:rsidR="00A52173" w:rsidRPr="00A52173" w14:paraId="703B98F6"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2A874BB"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392EF77"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b/>
                <w:color w:val="auto"/>
              </w:rPr>
              <w:t>4.</w:t>
            </w:r>
            <w:r w:rsidRPr="003D1B50">
              <w:rPr>
                <w:rFonts w:ascii="Times New Roman" w:hAnsi="Times New Roman"/>
                <w:color w:val="auto"/>
              </w:rPr>
              <w:t>Choroby obwodowego układu nerwowego</w:t>
            </w:r>
          </w:p>
        </w:tc>
        <w:tc>
          <w:tcPr>
            <w:tcW w:w="3973" w:type="dxa"/>
            <w:gridSpan w:val="2"/>
            <w:shd w:val="clear" w:color="auto" w:fill="FFFFFF" w:themeFill="background1"/>
          </w:tcPr>
          <w:p w14:paraId="46F997A6"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14</w:t>
            </w:r>
            <w:r w:rsidR="00AF6E57" w:rsidRPr="003D1B50">
              <w:rPr>
                <w:rFonts w:ascii="Times New Roman" w:hAnsi="Times New Roman"/>
                <w:color w:val="auto"/>
              </w:rPr>
              <w:t xml:space="preserve"> </w:t>
            </w:r>
            <w:r w:rsidRPr="003D1B50">
              <w:rPr>
                <w:rFonts w:ascii="Times New Roman" w:hAnsi="Times New Roman"/>
                <w:color w:val="auto"/>
              </w:rPr>
              <w:t>427</w:t>
            </w:r>
          </w:p>
        </w:tc>
      </w:tr>
      <w:tr w:rsidR="00A52173" w:rsidRPr="00A52173" w14:paraId="296C469E"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9681785"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95B106C"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b/>
                <w:color w:val="auto"/>
              </w:rPr>
              <w:t>5.</w:t>
            </w:r>
            <w:r w:rsidRPr="003D1B50">
              <w:rPr>
                <w:rFonts w:ascii="Times New Roman" w:hAnsi="Times New Roman"/>
                <w:color w:val="auto"/>
              </w:rPr>
              <w:t xml:space="preserve"> Choroby układu oddechowego</w:t>
            </w:r>
          </w:p>
        </w:tc>
        <w:tc>
          <w:tcPr>
            <w:tcW w:w="3973" w:type="dxa"/>
            <w:gridSpan w:val="2"/>
            <w:shd w:val="clear" w:color="auto" w:fill="FFFFFF" w:themeFill="background1"/>
          </w:tcPr>
          <w:p w14:paraId="6591E788"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14</w:t>
            </w:r>
            <w:r w:rsidR="00AF6E57" w:rsidRPr="003D1B50">
              <w:rPr>
                <w:rFonts w:ascii="Times New Roman" w:hAnsi="Times New Roman"/>
                <w:color w:val="auto"/>
              </w:rPr>
              <w:t xml:space="preserve"> </w:t>
            </w:r>
            <w:r w:rsidRPr="003D1B50">
              <w:rPr>
                <w:rFonts w:ascii="Times New Roman" w:hAnsi="Times New Roman"/>
                <w:color w:val="auto"/>
              </w:rPr>
              <w:t>378</w:t>
            </w:r>
          </w:p>
        </w:tc>
      </w:tr>
      <w:tr w:rsidR="00A52173" w:rsidRPr="00A52173" w14:paraId="2DDF8A6D" w14:textId="77777777" w:rsidTr="00E86509">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9DDD8B1"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hAnsi="Times New Roman"/>
                <w:color w:val="auto"/>
                <w:lang w:eastAsia="pl-PL"/>
              </w:rPr>
              <w:t>Liczba osób starszych objętych czynną opieką lekarza POZ</w:t>
            </w:r>
          </w:p>
        </w:tc>
        <w:tc>
          <w:tcPr>
            <w:tcW w:w="11911" w:type="dxa"/>
            <w:gridSpan w:val="8"/>
            <w:shd w:val="clear" w:color="auto" w:fill="FFFFFF" w:themeFill="background1"/>
          </w:tcPr>
          <w:p w14:paraId="0ECEC81C" w14:textId="67464EF3" w:rsidR="00753D91" w:rsidRPr="003D1B50" w:rsidRDefault="0038543F"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b</w:t>
            </w:r>
            <w:r w:rsidR="00753D91" w:rsidRPr="003D1B50">
              <w:rPr>
                <w:rFonts w:ascii="Times New Roman" w:hAnsi="Times New Roman"/>
                <w:color w:val="auto"/>
              </w:rPr>
              <w:t>rak danych</w:t>
            </w:r>
          </w:p>
        </w:tc>
      </w:tr>
      <w:tr w:rsidR="00A52173" w:rsidRPr="00A52173" w14:paraId="0096501A" w14:textId="77777777" w:rsidTr="00E8650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3CE5089"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hAnsi="Times New Roman"/>
                <w:color w:val="auto"/>
                <w:lang w:eastAsia="pl-PL"/>
              </w:rPr>
              <w:t>Najczęstsze przyczyny hospitalizacji osób starszych</w:t>
            </w:r>
          </w:p>
        </w:tc>
        <w:tc>
          <w:tcPr>
            <w:tcW w:w="7938" w:type="dxa"/>
            <w:gridSpan w:val="6"/>
            <w:shd w:val="clear" w:color="auto" w:fill="9CC2E5" w:themeFill="accent1" w:themeFillTint="99"/>
          </w:tcPr>
          <w:p w14:paraId="4CF488E9"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Przyczyna</w:t>
            </w:r>
          </w:p>
        </w:tc>
        <w:tc>
          <w:tcPr>
            <w:tcW w:w="3973" w:type="dxa"/>
            <w:gridSpan w:val="2"/>
            <w:shd w:val="clear" w:color="auto" w:fill="9CC2E5" w:themeFill="accent1" w:themeFillTint="99"/>
          </w:tcPr>
          <w:p w14:paraId="5C353746"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osób starszych</w:t>
            </w:r>
          </w:p>
        </w:tc>
      </w:tr>
      <w:tr w:rsidR="00A52173" w:rsidRPr="00A52173" w14:paraId="3AC8127B"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18B967E"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319173A"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b/>
                <w:color w:val="auto"/>
              </w:rPr>
              <w:t>1.</w:t>
            </w:r>
            <w:r w:rsidRPr="003D1B50">
              <w:rPr>
                <w:rFonts w:ascii="Times New Roman" w:hAnsi="Times New Roman"/>
                <w:color w:val="auto"/>
              </w:rPr>
              <w:t xml:space="preserve"> Niewydolność krążeniowo-oddechowa</w:t>
            </w:r>
          </w:p>
        </w:tc>
        <w:tc>
          <w:tcPr>
            <w:tcW w:w="3973" w:type="dxa"/>
            <w:gridSpan w:val="2"/>
            <w:shd w:val="clear" w:color="auto" w:fill="FFFFFF" w:themeFill="background1"/>
          </w:tcPr>
          <w:p w14:paraId="749CB491"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brak danych</w:t>
            </w:r>
          </w:p>
        </w:tc>
      </w:tr>
      <w:tr w:rsidR="00A52173" w:rsidRPr="00A52173" w14:paraId="773D765F"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879CBEE"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3913BBB"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b/>
                <w:color w:val="auto"/>
              </w:rPr>
              <w:t>2.</w:t>
            </w:r>
            <w:r w:rsidRPr="003D1B50">
              <w:rPr>
                <w:rFonts w:ascii="Times New Roman" w:hAnsi="Times New Roman"/>
                <w:color w:val="auto"/>
              </w:rPr>
              <w:t xml:space="preserve"> Nowotwory</w:t>
            </w:r>
          </w:p>
        </w:tc>
        <w:tc>
          <w:tcPr>
            <w:tcW w:w="3973" w:type="dxa"/>
            <w:gridSpan w:val="2"/>
            <w:shd w:val="clear" w:color="auto" w:fill="FFFFFF" w:themeFill="background1"/>
          </w:tcPr>
          <w:p w14:paraId="55AD5FB5"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brak danych</w:t>
            </w:r>
          </w:p>
        </w:tc>
      </w:tr>
      <w:tr w:rsidR="00A52173" w:rsidRPr="00A52173" w14:paraId="1DC8C50F"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BF30FA1"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6AB435F"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b/>
                <w:color w:val="auto"/>
              </w:rPr>
              <w:t>3.</w:t>
            </w:r>
            <w:r w:rsidRPr="003D1B50">
              <w:rPr>
                <w:rFonts w:ascii="Times New Roman" w:hAnsi="Times New Roman"/>
                <w:color w:val="auto"/>
              </w:rPr>
              <w:t xml:space="preserve"> Cukrzyca</w:t>
            </w:r>
          </w:p>
        </w:tc>
        <w:tc>
          <w:tcPr>
            <w:tcW w:w="3973" w:type="dxa"/>
            <w:gridSpan w:val="2"/>
            <w:shd w:val="clear" w:color="auto" w:fill="FFFFFF" w:themeFill="background1"/>
          </w:tcPr>
          <w:p w14:paraId="7344499B"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brak danych</w:t>
            </w:r>
          </w:p>
        </w:tc>
      </w:tr>
      <w:tr w:rsidR="00A52173" w:rsidRPr="00A52173" w14:paraId="3F13A3BA"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A3C8CC4" w14:textId="77777777" w:rsidR="00753D91" w:rsidRPr="003D1B50" w:rsidRDefault="00753D91" w:rsidP="00E86509">
            <w:pPr>
              <w:spacing w:after="0" w:line="240" w:lineRule="auto"/>
              <w:rPr>
                <w:rFonts w:ascii="Times New Roman" w:hAnsi="Times New Roman"/>
                <w:b w:val="0"/>
                <w:bCs w:val="0"/>
                <w:color w:val="auto"/>
              </w:rPr>
            </w:pPr>
            <w:r w:rsidRPr="003D1B50">
              <w:rPr>
                <w:rFonts w:ascii="Times New Roman" w:hAnsi="Times New Roman"/>
                <w:color w:val="auto"/>
                <w:lang w:eastAsia="pl-PL"/>
              </w:rPr>
              <w:t>Infrastruktura służby zdrowia</w:t>
            </w:r>
          </w:p>
        </w:tc>
        <w:tc>
          <w:tcPr>
            <w:tcW w:w="3969" w:type="dxa"/>
            <w:gridSpan w:val="3"/>
            <w:shd w:val="clear" w:color="auto" w:fill="9CC2E5" w:themeFill="accent1" w:themeFillTint="99"/>
          </w:tcPr>
          <w:p w14:paraId="3FF11D82"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3D1B50">
              <w:rPr>
                <w:rFonts w:ascii="Times New Roman" w:hAnsi="Times New Roman"/>
                <w:b/>
                <w:color w:val="auto"/>
              </w:rPr>
              <w:t>Rodzaj placówki</w:t>
            </w:r>
          </w:p>
        </w:tc>
        <w:tc>
          <w:tcPr>
            <w:tcW w:w="3969" w:type="dxa"/>
            <w:gridSpan w:val="3"/>
            <w:shd w:val="clear" w:color="auto" w:fill="9CC2E5" w:themeFill="accent1" w:themeFillTint="99"/>
          </w:tcPr>
          <w:p w14:paraId="2005EA0E"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placówek</w:t>
            </w:r>
          </w:p>
        </w:tc>
        <w:tc>
          <w:tcPr>
            <w:tcW w:w="3973" w:type="dxa"/>
            <w:gridSpan w:val="2"/>
            <w:shd w:val="clear" w:color="auto" w:fill="9CC2E5" w:themeFill="accent1" w:themeFillTint="99"/>
          </w:tcPr>
          <w:p w14:paraId="1DF0EF28"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łóżek dla osób starszych</w:t>
            </w:r>
          </w:p>
        </w:tc>
      </w:tr>
      <w:tr w:rsidR="00A52173" w:rsidRPr="00A52173" w14:paraId="63852163"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F7CFA5F" w14:textId="77777777" w:rsidR="00753D91" w:rsidRPr="003D1B50" w:rsidRDefault="00753D91"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289E0C9E"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Oddziałów / pododdziałów geriatrycznych</w:t>
            </w:r>
          </w:p>
        </w:tc>
        <w:tc>
          <w:tcPr>
            <w:tcW w:w="3969" w:type="dxa"/>
            <w:gridSpan w:val="3"/>
            <w:shd w:val="clear" w:color="auto" w:fill="FFFFFF" w:themeFill="background1"/>
          </w:tcPr>
          <w:p w14:paraId="5256D7D9"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3</w:t>
            </w:r>
          </w:p>
        </w:tc>
        <w:tc>
          <w:tcPr>
            <w:tcW w:w="3973" w:type="dxa"/>
            <w:gridSpan w:val="2"/>
            <w:shd w:val="clear" w:color="auto" w:fill="FFFFFF" w:themeFill="background1"/>
          </w:tcPr>
          <w:p w14:paraId="68A3807D"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55</w:t>
            </w:r>
          </w:p>
        </w:tc>
      </w:tr>
      <w:tr w:rsidR="00A52173" w:rsidRPr="00A52173" w14:paraId="3D61F819"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55EB4FA" w14:textId="77777777" w:rsidR="00753D91" w:rsidRPr="003D1B50" w:rsidRDefault="00753D91"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1D517E6A"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Poradni geriatrycznych</w:t>
            </w:r>
          </w:p>
        </w:tc>
        <w:tc>
          <w:tcPr>
            <w:tcW w:w="3969" w:type="dxa"/>
            <w:gridSpan w:val="3"/>
            <w:shd w:val="clear" w:color="auto" w:fill="FFFFFF" w:themeFill="background1"/>
          </w:tcPr>
          <w:p w14:paraId="5A6B66B2"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42</w:t>
            </w:r>
          </w:p>
        </w:tc>
        <w:tc>
          <w:tcPr>
            <w:tcW w:w="3973" w:type="dxa"/>
            <w:gridSpan w:val="2"/>
            <w:shd w:val="clear" w:color="auto" w:fill="FFFFFF" w:themeFill="background1"/>
          </w:tcPr>
          <w:p w14:paraId="654FB1B9"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brak danych</w:t>
            </w:r>
          </w:p>
        </w:tc>
      </w:tr>
      <w:tr w:rsidR="00A52173" w:rsidRPr="00A52173" w14:paraId="0A72C8BD"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77B484" w14:textId="77777777" w:rsidR="00753D91" w:rsidRPr="003D1B50" w:rsidRDefault="00753D91"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75551932"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Zakładów opiekuńczo-leczniczych</w:t>
            </w:r>
          </w:p>
        </w:tc>
        <w:tc>
          <w:tcPr>
            <w:tcW w:w="3969" w:type="dxa"/>
            <w:gridSpan w:val="3"/>
            <w:shd w:val="clear" w:color="auto" w:fill="FFFFFF" w:themeFill="background1"/>
          </w:tcPr>
          <w:p w14:paraId="5CB48D12"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27</w:t>
            </w:r>
          </w:p>
        </w:tc>
        <w:tc>
          <w:tcPr>
            <w:tcW w:w="3973" w:type="dxa"/>
            <w:gridSpan w:val="2"/>
            <w:shd w:val="clear" w:color="auto" w:fill="FFFFFF" w:themeFill="background1"/>
          </w:tcPr>
          <w:p w14:paraId="1594D9C3"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w:t>
            </w:r>
            <w:r w:rsidR="00AF6E57" w:rsidRPr="003D1B50">
              <w:rPr>
                <w:rFonts w:ascii="Times New Roman" w:hAnsi="Times New Roman"/>
                <w:color w:val="auto"/>
              </w:rPr>
              <w:t xml:space="preserve"> </w:t>
            </w:r>
            <w:r w:rsidRPr="003D1B50">
              <w:rPr>
                <w:rFonts w:ascii="Times New Roman" w:hAnsi="Times New Roman"/>
                <w:color w:val="auto"/>
              </w:rPr>
              <w:t>266</w:t>
            </w:r>
          </w:p>
        </w:tc>
      </w:tr>
      <w:tr w:rsidR="00A52173" w:rsidRPr="00A52173" w14:paraId="452A48B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08BA54B" w14:textId="77777777" w:rsidR="00753D91" w:rsidRPr="003D1B50" w:rsidRDefault="00753D91"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385115A6"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Zakładów pielęgnacyjno-opiekuńczych</w:t>
            </w:r>
          </w:p>
        </w:tc>
        <w:tc>
          <w:tcPr>
            <w:tcW w:w="3969" w:type="dxa"/>
            <w:gridSpan w:val="3"/>
            <w:shd w:val="clear" w:color="auto" w:fill="FFFFFF" w:themeFill="background1"/>
          </w:tcPr>
          <w:p w14:paraId="19B84E42"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w:t>
            </w:r>
          </w:p>
        </w:tc>
        <w:tc>
          <w:tcPr>
            <w:tcW w:w="3973" w:type="dxa"/>
            <w:gridSpan w:val="2"/>
            <w:shd w:val="clear" w:color="auto" w:fill="FFFFFF" w:themeFill="background1"/>
          </w:tcPr>
          <w:p w14:paraId="4E9F025B"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122</w:t>
            </w:r>
          </w:p>
        </w:tc>
      </w:tr>
      <w:tr w:rsidR="00A52173" w:rsidRPr="00A52173" w14:paraId="6E9A5BF6"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2350873" w14:textId="77777777" w:rsidR="00753D91" w:rsidRPr="003D1B50" w:rsidRDefault="00753D91"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4791E770"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Hospicjów stacjonarnych</w:t>
            </w:r>
          </w:p>
        </w:tc>
        <w:tc>
          <w:tcPr>
            <w:tcW w:w="3969" w:type="dxa"/>
            <w:gridSpan w:val="3"/>
            <w:shd w:val="clear" w:color="auto" w:fill="FFFFFF" w:themeFill="background1"/>
          </w:tcPr>
          <w:p w14:paraId="43688E5A"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10</w:t>
            </w:r>
          </w:p>
        </w:tc>
        <w:tc>
          <w:tcPr>
            <w:tcW w:w="3973" w:type="dxa"/>
            <w:gridSpan w:val="2"/>
            <w:shd w:val="clear" w:color="auto" w:fill="FFFFFF" w:themeFill="background1"/>
          </w:tcPr>
          <w:p w14:paraId="1D29FB4C"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178</w:t>
            </w:r>
          </w:p>
        </w:tc>
      </w:tr>
      <w:tr w:rsidR="00A52173" w:rsidRPr="00A52173" w14:paraId="61D7F075"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2C6E5E7" w14:textId="77777777" w:rsidR="00753D91" w:rsidRPr="003D1B50" w:rsidRDefault="00753D91"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136E9A60"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Hospicjów domowych</w:t>
            </w:r>
          </w:p>
        </w:tc>
        <w:tc>
          <w:tcPr>
            <w:tcW w:w="3969" w:type="dxa"/>
            <w:gridSpan w:val="3"/>
            <w:shd w:val="clear" w:color="auto" w:fill="FFFFFF" w:themeFill="background1"/>
          </w:tcPr>
          <w:p w14:paraId="152504FB"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29</w:t>
            </w:r>
          </w:p>
        </w:tc>
        <w:tc>
          <w:tcPr>
            <w:tcW w:w="3973" w:type="dxa"/>
            <w:gridSpan w:val="2"/>
            <w:shd w:val="clear" w:color="auto" w:fill="FFFFFF" w:themeFill="background1"/>
          </w:tcPr>
          <w:p w14:paraId="483CDC30"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w:t>
            </w:r>
            <w:r w:rsidR="00AF6E57" w:rsidRPr="003D1B50">
              <w:rPr>
                <w:rFonts w:ascii="Times New Roman" w:hAnsi="Times New Roman"/>
                <w:color w:val="auto"/>
              </w:rPr>
              <w:t xml:space="preserve"> </w:t>
            </w:r>
            <w:r w:rsidRPr="003D1B50">
              <w:rPr>
                <w:rFonts w:ascii="Times New Roman" w:hAnsi="Times New Roman"/>
                <w:color w:val="auto"/>
              </w:rPr>
              <w:t>196</w:t>
            </w:r>
          </w:p>
        </w:tc>
      </w:tr>
      <w:tr w:rsidR="00A52173" w:rsidRPr="00A52173" w14:paraId="68CC3D3F"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4309C3C" w14:textId="77777777" w:rsidR="00753D91" w:rsidRPr="003D1B50" w:rsidRDefault="00753D91" w:rsidP="00E86509">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47E67A92"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Oddziałów opieki paliatywnej</w:t>
            </w:r>
          </w:p>
        </w:tc>
        <w:tc>
          <w:tcPr>
            <w:tcW w:w="3969" w:type="dxa"/>
            <w:gridSpan w:val="3"/>
            <w:shd w:val="clear" w:color="auto" w:fill="FFFFFF" w:themeFill="background1"/>
          </w:tcPr>
          <w:p w14:paraId="6FF90588"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w:t>
            </w:r>
          </w:p>
        </w:tc>
        <w:tc>
          <w:tcPr>
            <w:tcW w:w="3973" w:type="dxa"/>
            <w:gridSpan w:val="2"/>
            <w:shd w:val="clear" w:color="auto" w:fill="FFFFFF" w:themeFill="background1"/>
          </w:tcPr>
          <w:p w14:paraId="3F563216"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9</w:t>
            </w:r>
          </w:p>
        </w:tc>
      </w:tr>
      <w:tr w:rsidR="00A52173" w:rsidRPr="00A52173" w14:paraId="54926AF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E56901F" w14:textId="77777777" w:rsidR="00753D91" w:rsidRPr="003D1B50" w:rsidRDefault="00753D91" w:rsidP="00E86509">
            <w:pPr>
              <w:tabs>
                <w:tab w:val="left" w:pos="1206"/>
              </w:tabs>
              <w:spacing w:after="0" w:line="240" w:lineRule="auto"/>
              <w:rPr>
                <w:rFonts w:ascii="Times New Roman" w:hAnsi="Times New Roman"/>
                <w:color w:val="auto"/>
              </w:rPr>
            </w:pPr>
            <w:r w:rsidRPr="003D1B50">
              <w:rPr>
                <w:rFonts w:ascii="Times New Roman" w:hAnsi="Times New Roman"/>
                <w:color w:val="auto"/>
              </w:rPr>
              <w:t>Kadry medyczne</w:t>
            </w:r>
          </w:p>
        </w:tc>
        <w:tc>
          <w:tcPr>
            <w:tcW w:w="7938" w:type="dxa"/>
            <w:gridSpan w:val="6"/>
            <w:shd w:val="clear" w:color="auto" w:fill="9CC2E5" w:themeFill="accent1" w:themeFillTint="99"/>
          </w:tcPr>
          <w:p w14:paraId="59E3E73A" w14:textId="77777777" w:rsidR="00753D91" w:rsidRPr="003D1B50" w:rsidRDefault="00753D91" w:rsidP="00E86509">
            <w:pPr>
              <w:tabs>
                <w:tab w:val="left" w:pos="120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Lekarze</w:t>
            </w:r>
          </w:p>
        </w:tc>
        <w:tc>
          <w:tcPr>
            <w:tcW w:w="3973" w:type="dxa"/>
            <w:gridSpan w:val="2"/>
            <w:shd w:val="clear" w:color="auto" w:fill="9CC2E5" w:themeFill="accent1" w:themeFillTint="99"/>
          </w:tcPr>
          <w:p w14:paraId="172A808D"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lekarzy</w:t>
            </w:r>
          </w:p>
        </w:tc>
      </w:tr>
      <w:tr w:rsidR="00A52173" w:rsidRPr="00A52173" w14:paraId="7459566C"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01DE24B"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57F0DF1" w14:textId="77777777" w:rsidR="00753D91" w:rsidRPr="003D1B50" w:rsidRDefault="00753D91" w:rsidP="00E86509">
            <w:pPr>
              <w:tabs>
                <w:tab w:val="left" w:pos="120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Geriatrzy</w:t>
            </w:r>
          </w:p>
        </w:tc>
        <w:tc>
          <w:tcPr>
            <w:tcW w:w="3973" w:type="dxa"/>
            <w:gridSpan w:val="2"/>
            <w:shd w:val="clear" w:color="auto" w:fill="FFFFFF" w:themeFill="background1"/>
          </w:tcPr>
          <w:p w14:paraId="5646C751"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5</w:t>
            </w:r>
          </w:p>
        </w:tc>
      </w:tr>
      <w:tr w:rsidR="00A52173" w:rsidRPr="00A52173" w14:paraId="66D114D8"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25571EF"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300ABAD"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w trakcie specjalizacji z geriatrii</w:t>
            </w:r>
          </w:p>
        </w:tc>
        <w:tc>
          <w:tcPr>
            <w:tcW w:w="3973" w:type="dxa"/>
            <w:gridSpan w:val="2"/>
            <w:shd w:val="clear" w:color="auto" w:fill="FFFFFF" w:themeFill="background1"/>
          </w:tcPr>
          <w:p w14:paraId="0BC6DB20"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w:t>
            </w:r>
          </w:p>
        </w:tc>
      </w:tr>
      <w:tr w:rsidR="00A52173" w:rsidRPr="00A52173" w14:paraId="427BDF01"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E198179"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9CC2E5" w:themeFill="accent1" w:themeFillTint="99"/>
          </w:tcPr>
          <w:p w14:paraId="33890B73"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 xml:space="preserve">Pielęgniarki ze specjalizacją lub ukończonym kursem kwalifikacyjnym </w:t>
            </w:r>
            <w:r w:rsidRPr="003D1B50">
              <w:rPr>
                <w:rFonts w:ascii="Times New Roman" w:hAnsi="Times New Roman"/>
                <w:b/>
                <w:color w:val="auto"/>
              </w:rPr>
              <w:br/>
              <w:t>w zakresie:</w:t>
            </w:r>
          </w:p>
        </w:tc>
        <w:tc>
          <w:tcPr>
            <w:tcW w:w="3973" w:type="dxa"/>
            <w:gridSpan w:val="2"/>
            <w:shd w:val="clear" w:color="auto" w:fill="9CC2E5" w:themeFill="accent1" w:themeFillTint="99"/>
          </w:tcPr>
          <w:p w14:paraId="2B89046F"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pielęgniarek</w:t>
            </w:r>
          </w:p>
        </w:tc>
      </w:tr>
      <w:tr w:rsidR="00A52173" w:rsidRPr="00A52173" w14:paraId="61839F7C"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5270A8C"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5CC66E3"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Geriatrii</w:t>
            </w:r>
          </w:p>
        </w:tc>
        <w:tc>
          <w:tcPr>
            <w:tcW w:w="3973" w:type="dxa"/>
            <w:gridSpan w:val="2"/>
            <w:shd w:val="clear" w:color="auto" w:fill="FFFFFF" w:themeFill="background1"/>
          </w:tcPr>
          <w:p w14:paraId="6D93FDFC"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3D1B50">
              <w:rPr>
                <w:rFonts w:ascii="Times New Roman" w:hAnsi="Times New Roman"/>
                <w:bCs/>
                <w:color w:val="auto"/>
              </w:rPr>
              <w:t>121</w:t>
            </w:r>
          </w:p>
        </w:tc>
      </w:tr>
      <w:tr w:rsidR="00A52173" w:rsidRPr="00A52173" w14:paraId="20B94F8B"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18A4A77"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tcPr>
          <w:p w14:paraId="015778B9"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Opieki długoterminowej</w:t>
            </w:r>
          </w:p>
        </w:tc>
        <w:tc>
          <w:tcPr>
            <w:tcW w:w="3973" w:type="dxa"/>
            <w:gridSpan w:val="2"/>
          </w:tcPr>
          <w:p w14:paraId="13BEFB3F"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3D1B50">
              <w:rPr>
                <w:rFonts w:ascii="Times New Roman" w:hAnsi="Times New Roman"/>
                <w:bCs/>
                <w:color w:val="auto"/>
              </w:rPr>
              <w:t>212</w:t>
            </w:r>
          </w:p>
        </w:tc>
      </w:tr>
      <w:tr w:rsidR="00A52173" w:rsidRPr="00A52173" w14:paraId="22830648"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02D5A8F"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tcPr>
          <w:p w14:paraId="66F7CD9E"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Opieki paliatywnej</w:t>
            </w:r>
          </w:p>
        </w:tc>
        <w:tc>
          <w:tcPr>
            <w:tcW w:w="3973" w:type="dxa"/>
            <w:gridSpan w:val="2"/>
          </w:tcPr>
          <w:p w14:paraId="4B98084B"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3D1B50">
              <w:rPr>
                <w:rFonts w:ascii="Times New Roman" w:hAnsi="Times New Roman"/>
                <w:bCs/>
                <w:color w:val="auto"/>
              </w:rPr>
              <w:t>106</w:t>
            </w:r>
          </w:p>
        </w:tc>
      </w:tr>
      <w:tr w:rsidR="00A52173" w:rsidRPr="00A52173" w14:paraId="7BF92D14"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794B440"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hAnsi="Times New Roman"/>
                <w:color w:val="auto"/>
                <w:lang w:eastAsia="pl-PL"/>
              </w:rPr>
              <w:t>Najczęstsze przyczyny zgonów osób starszych</w:t>
            </w:r>
          </w:p>
        </w:tc>
        <w:tc>
          <w:tcPr>
            <w:tcW w:w="7938" w:type="dxa"/>
            <w:gridSpan w:val="6"/>
            <w:shd w:val="clear" w:color="auto" w:fill="9CC2E5" w:themeFill="accent1" w:themeFillTint="99"/>
          </w:tcPr>
          <w:p w14:paraId="3ED3C8A7"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Nazwa</w:t>
            </w:r>
          </w:p>
        </w:tc>
        <w:tc>
          <w:tcPr>
            <w:tcW w:w="3973" w:type="dxa"/>
            <w:gridSpan w:val="2"/>
            <w:shd w:val="clear" w:color="auto" w:fill="9CC2E5" w:themeFill="accent1" w:themeFillTint="99"/>
          </w:tcPr>
          <w:p w14:paraId="5DC57A7E"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osób starszych</w:t>
            </w:r>
          </w:p>
        </w:tc>
      </w:tr>
      <w:tr w:rsidR="00A52173" w:rsidRPr="00A52173" w14:paraId="01B0C1A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1435B64"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015E05F"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b/>
                <w:color w:val="auto"/>
              </w:rPr>
              <w:t>1.</w:t>
            </w:r>
            <w:r w:rsidRPr="003D1B50">
              <w:rPr>
                <w:rFonts w:ascii="Times New Roman" w:hAnsi="Times New Roman"/>
                <w:color w:val="auto"/>
              </w:rPr>
              <w:t xml:space="preserve"> Nowotwór złośliwy niedokładnie określony</w:t>
            </w:r>
          </w:p>
        </w:tc>
        <w:tc>
          <w:tcPr>
            <w:tcW w:w="3973" w:type="dxa"/>
            <w:gridSpan w:val="2"/>
            <w:shd w:val="clear" w:color="auto" w:fill="FFFFFF" w:themeFill="background1"/>
          </w:tcPr>
          <w:p w14:paraId="524D7C92"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brak danych</w:t>
            </w:r>
          </w:p>
        </w:tc>
      </w:tr>
      <w:tr w:rsidR="00A52173" w:rsidRPr="00A52173" w14:paraId="39C2C7DB"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5014076"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C12DC31"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b/>
                <w:color w:val="auto"/>
              </w:rPr>
              <w:t>2.</w:t>
            </w:r>
            <w:r w:rsidRPr="003D1B50">
              <w:rPr>
                <w:rFonts w:ascii="Times New Roman" w:hAnsi="Times New Roman"/>
                <w:color w:val="auto"/>
              </w:rPr>
              <w:t xml:space="preserve"> Niewydolność serca</w:t>
            </w:r>
          </w:p>
        </w:tc>
        <w:tc>
          <w:tcPr>
            <w:tcW w:w="3973" w:type="dxa"/>
            <w:gridSpan w:val="2"/>
            <w:shd w:val="clear" w:color="auto" w:fill="FFFFFF" w:themeFill="background1"/>
          </w:tcPr>
          <w:p w14:paraId="0A960ECF"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brak danych</w:t>
            </w:r>
          </w:p>
        </w:tc>
      </w:tr>
      <w:tr w:rsidR="00A52173" w:rsidRPr="00A52173" w14:paraId="327A21D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07A004B" w14:textId="77777777" w:rsidR="00753D91" w:rsidRPr="003D1B50" w:rsidRDefault="00753D91" w:rsidP="00E8650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369E7A7"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b/>
                <w:color w:val="auto"/>
              </w:rPr>
              <w:t>3.</w:t>
            </w:r>
            <w:r w:rsidRPr="003D1B50">
              <w:rPr>
                <w:rFonts w:ascii="Times New Roman" w:hAnsi="Times New Roman"/>
                <w:color w:val="auto"/>
              </w:rPr>
              <w:t xml:space="preserve"> Starość</w:t>
            </w:r>
          </w:p>
        </w:tc>
        <w:tc>
          <w:tcPr>
            <w:tcW w:w="3973" w:type="dxa"/>
            <w:gridSpan w:val="2"/>
            <w:shd w:val="clear" w:color="auto" w:fill="FFFFFF" w:themeFill="background1"/>
          </w:tcPr>
          <w:p w14:paraId="70E8EA87"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brak danych</w:t>
            </w:r>
          </w:p>
        </w:tc>
      </w:tr>
      <w:tr w:rsidR="00A52173" w:rsidRPr="00A52173" w14:paraId="78826581" w14:textId="77777777" w:rsidTr="00E86509">
        <w:trPr>
          <w:trHeight w:val="25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2705AF8"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7B5EA239" w14:textId="77777777" w:rsidR="00753D91" w:rsidRPr="003D1B50" w:rsidRDefault="00753D91" w:rsidP="00E86509">
            <w:pPr>
              <w:pStyle w:val="Akapitzlist"/>
              <w:numPr>
                <w:ilvl w:val="0"/>
                <w:numId w:val="154"/>
              </w:numPr>
              <w:tabs>
                <w:tab w:val="left" w:pos="1290"/>
              </w:tabs>
              <w:spacing w:after="0" w:line="240" w:lineRule="auto"/>
              <w:ind w:left="322"/>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Niewystarczająca liczba osób posiadających odpowiednie kwalifikacje do pracy z osobami starszymi.</w:t>
            </w:r>
          </w:p>
        </w:tc>
      </w:tr>
      <w:tr w:rsidR="00A52173" w:rsidRPr="00A52173" w14:paraId="30460789" w14:textId="77777777" w:rsidTr="00E8650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D7D0F5B" w14:textId="77777777" w:rsidR="00753D91" w:rsidRPr="003D1B50" w:rsidRDefault="00753D91" w:rsidP="00E86509">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01C2FBE4" w14:textId="77777777" w:rsidR="00753D91" w:rsidRPr="003D1B50" w:rsidRDefault="00753D91" w:rsidP="00E86509">
            <w:pPr>
              <w:pStyle w:val="Akapitzlist"/>
              <w:numPr>
                <w:ilvl w:val="0"/>
                <w:numId w:val="154"/>
              </w:numPr>
              <w:spacing w:after="0" w:line="240" w:lineRule="auto"/>
              <w:ind w:left="322"/>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Niskie wynagrodzenia dla opiekunów skutkujące brakiem zainteresowania tą formą i ograniczonymi zasobami kadrowymi.</w:t>
            </w:r>
          </w:p>
        </w:tc>
      </w:tr>
      <w:tr w:rsidR="00A52173" w:rsidRPr="00A52173" w14:paraId="3CABD28A"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099BE4F9" w14:textId="77777777" w:rsidR="00753D91" w:rsidRPr="003D1B50" w:rsidRDefault="00753D91" w:rsidP="00E86509">
            <w:pPr>
              <w:spacing w:after="0" w:line="240" w:lineRule="auto"/>
              <w:jc w:val="center"/>
              <w:rPr>
                <w:rFonts w:ascii="Times New Roman" w:hAnsi="Times New Roman"/>
                <w:color w:val="auto"/>
              </w:rPr>
            </w:pPr>
            <w:r w:rsidRPr="003D1B50">
              <w:rPr>
                <w:rFonts w:ascii="Times New Roman" w:hAnsi="Times New Roman"/>
                <w:color w:val="auto"/>
                <w:lang w:eastAsia="pl-PL"/>
              </w:rPr>
              <w:t>AKTYWNOŚĆ EKONOMICZNA OSÓB STARSZYCH – DANE ZA III kwartał 2019 R.</w:t>
            </w:r>
          </w:p>
        </w:tc>
      </w:tr>
      <w:tr w:rsidR="00A52173" w:rsidRPr="00A52173" w14:paraId="06C19CAC"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6799" w:type="dxa"/>
            <w:gridSpan w:val="4"/>
            <w:shd w:val="clear" w:color="auto" w:fill="9CC2E5" w:themeFill="accent1" w:themeFillTint="99"/>
          </w:tcPr>
          <w:p w14:paraId="26B8C6CF" w14:textId="77777777" w:rsidR="00753D91" w:rsidRPr="003D1B50" w:rsidRDefault="00753D91" w:rsidP="00E86509">
            <w:pPr>
              <w:spacing w:after="0" w:line="240" w:lineRule="auto"/>
              <w:jc w:val="center"/>
              <w:rPr>
                <w:rFonts w:ascii="Times New Roman" w:hAnsi="Times New Roman"/>
                <w:color w:val="auto"/>
              </w:rPr>
            </w:pPr>
            <w:r w:rsidRPr="003D1B50">
              <w:rPr>
                <w:rFonts w:ascii="Times New Roman" w:hAnsi="Times New Roman"/>
                <w:color w:val="auto"/>
              </w:rPr>
              <w:t>Podział</w:t>
            </w:r>
          </w:p>
        </w:tc>
        <w:tc>
          <w:tcPr>
            <w:tcW w:w="7942" w:type="dxa"/>
            <w:gridSpan w:val="5"/>
            <w:shd w:val="clear" w:color="auto" w:fill="9CC2E5" w:themeFill="accent1" w:themeFillTint="99"/>
          </w:tcPr>
          <w:p w14:paraId="19AFC267"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w:t>
            </w:r>
          </w:p>
        </w:tc>
      </w:tr>
      <w:tr w:rsidR="00A52173" w:rsidRPr="00A52173" w14:paraId="7DC3028B"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CA42F40"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hAnsi="Times New Roman"/>
                <w:color w:val="auto"/>
                <w:lang w:eastAsia="pl-PL"/>
              </w:rPr>
              <w:t>Osoby aktywne zawodowo razem (w tys.)</w:t>
            </w:r>
          </w:p>
        </w:tc>
        <w:tc>
          <w:tcPr>
            <w:tcW w:w="3969" w:type="dxa"/>
            <w:gridSpan w:val="3"/>
            <w:shd w:val="clear" w:color="auto" w:fill="FFFFFF" w:themeFill="background1"/>
          </w:tcPr>
          <w:p w14:paraId="51B59000"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ogółem</w:t>
            </w:r>
          </w:p>
        </w:tc>
        <w:tc>
          <w:tcPr>
            <w:tcW w:w="7942" w:type="dxa"/>
            <w:gridSpan w:val="5"/>
            <w:shd w:val="clear" w:color="auto" w:fill="FFFFFF" w:themeFill="background1"/>
          </w:tcPr>
          <w:p w14:paraId="3D624377"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1 058</w:t>
            </w:r>
          </w:p>
        </w:tc>
      </w:tr>
      <w:tr w:rsidR="00A52173" w:rsidRPr="00A52173" w14:paraId="75FC60F0"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D45984A" w14:textId="77777777" w:rsidR="00753D91" w:rsidRPr="003D1B50" w:rsidRDefault="00753D91" w:rsidP="00E86509">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31F02A39"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w tym w wieku 55+</w:t>
            </w:r>
          </w:p>
        </w:tc>
        <w:tc>
          <w:tcPr>
            <w:tcW w:w="7942" w:type="dxa"/>
            <w:gridSpan w:val="5"/>
            <w:shd w:val="clear" w:color="auto" w:fill="FFFFFF" w:themeFill="background1"/>
          </w:tcPr>
          <w:p w14:paraId="6590904A"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184</w:t>
            </w:r>
          </w:p>
        </w:tc>
      </w:tr>
      <w:tr w:rsidR="00A52173" w:rsidRPr="00A52173" w14:paraId="5F1C3545" w14:textId="77777777" w:rsidTr="00E86509">
        <w:trPr>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E1FD344"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hAnsi="Times New Roman"/>
                <w:color w:val="auto"/>
                <w:lang w:eastAsia="pl-PL"/>
              </w:rPr>
              <w:t xml:space="preserve">Osoby aktywne zawodowo </w:t>
            </w:r>
            <w:r w:rsidRPr="003D1B50">
              <w:rPr>
                <w:rFonts w:ascii="Times New Roman" w:hAnsi="Times New Roman"/>
                <w:color w:val="auto"/>
                <w:lang w:eastAsia="pl-PL"/>
              </w:rPr>
              <w:br/>
              <w:t>– pracujący (w tys.)</w:t>
            </w:r>
          </w:p>
        </w:tc>
        <w:tc>
          <w:tcPr>
            <w:tcW w:w="3969" w:type="dxa"/>
            <w:gridSpan w:val="3"/>
            <w:shd w:val="clear" w:color="auto" w:fill="FFFFFF" w:themeFill="background1"/>
          </w:tcPr>
          <w:p w14:paraId="55F8D01D"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Ogółem</w:t>
            </w:r>
          </w:p>
        </w:tc>
        <w:tc>
          <w:tcPr>
            <w:tcW w:w="7942" w:type="dxa"/>
            <w:gridSpan w:val="5"/>
            <w:shd w:val="clear" w:color="auto" w:fill="FFFFFF" w:themeFill="background1"/>
          </w:tcPr>
          <w:p w14:paraId="4554BE7A"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1 029</w:t>
            </w:r>
          </w:p>
        </w:tc>
      </w:tr>
      <w:tr w:rsidR="00A52173" w:rsidRPr="00A52173" w14:paraId="140CD0D3"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83487EF" w14:textId="77777777" w:rsidR="00753D91" w:rsidRPr="003D1B50" w:rsidRDefault="00753D91" w:rsidP="00E86509">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724FBCEE"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w tym w wieku 55+</w:t>
            </w:r>
          </w:p>
        </w:tc>
        <w:tc>
          <w:tcPr>
            <w:tcW w:w="7942" w:type="dxa"/>
            <w:gridSpan w:val="5"/>
            <w:shd w:val="clear" w:color="auto" w:fill="FFFFFF" w:themeFill="background1"/>
          </w:tcPr>
          <w:p w14:paraId="780FDFE2"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183</w:t>
            </w:r>
          </w:p>
        </w:tc>
      </w:tr>
      <w:tr w:rsidR="00A52173" w:rsidRPr="00A52173" w14:paraId="1F51DC7A"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AB3DB89"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hAnsi="Times New Roman"/>
                <w:color w:val="auto"/>
                <w:lang w:eastAsia="pl-PL"/>
              </w:rPr>
              <w:t>Osoby bierne zawodowo (w tys.)</w:t>
            </w:r>
          </w:p>
        </w:tc>
        <w:tc>
          <w:tcPr>
            <w:tcW w:w="3969" w:type="dxa"/>
            <w:gridSpan w:val="3"/>
            <w:shd w:val="clear" w:color="auto" w:fill="FFFFFF" w:themeFill="background1"/>
          </w:tcPr>
          <w:p w14:paraId="70F9E90A"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Ogółem</w:t>
            </w:r>
          </w:p>
        </w:tc>
        <w:tc>
          <w:tcPr>
            <w:tcW w:w="7942" w:type="dxa"/>
            <w:gridSpan w:val="5"/>
            <w:shd w:val="clear" w:color="auto" w:fill="FFFFFF" w:themeFill="background1"/>
          </w:tcPr>
          <w:p w14:paraId="3E6E0F68"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745</w:t>
            </w:r>
          </w:p>
        </w:tc>
      </w:tr>
      <w:tr w:rsidR="00A52173" w:rsidRPr="00A52173" w14:paraId="10374F41"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2840A0A" w14:textId="77777777" w:rsidR="00753D91" w:rsidRPr="003D1B50" w:rsidRDefault="00753D91" w:rsidP="00E86509">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3E81F3AE"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w tym w wieku 55+</w:t>
            </w:r>
          </w:p>
        </w:tc>
        <w:tc>
          <w:tcPr>
            <w:tcW w:w="7942" w:type="dxa"/>
            <w:gridSpan w:val="5"/>
            <w:shd w:val="clear" w:color="auto" w:fill="FFFFFF" w:themeFill="background1"/>
          </w:tcPr>
          <w:p w14:paraId="1A6E3015"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483</w:t>
            </w:r>
          </w:p>
        </w:tc>
      </w:tr>
      <w:tr w:rsidR="00A52173" w:rsidRPr="00A52173" w14:paraId="7445D6FF" w14:textId="77777777" w:rsidTr="00E86509">
        <w:trPr>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4E817E0"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hAnsi="Times New Roman"/>
                <w:color w:val="auto"/>
                <w:lang w:eastAsia="pl-PL"/>
              </w:rPr>
              <w:t>Współczynnik aktywności zawodowej %</w:t>
            </w:r>
          </w:p>
        </w:tc>
        <w:tc>
          <w:tcPr>
            <w:tcW w:w="3969" w:type="dxa"/>
            <w:gridSpan w:val="3"/>
            <w:shd w:val="clear" w:color="auto" w:fill="FFFFFF" w:themeFill="background1"/>
          </w:tcPr>
          <w:p w14:paraId="46E8CD1B"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Ogółem</w:t>
            </w:r>
          </w:p>
        </w:tc>
        <w:tc>
          <w:tcPr>
            <w:tcW w:w="7942" w:type="dxa"/>
            <w:gridSpan w:val="5"/>
            <w:shd w:val="clear" w:color="auto" w:fill="FFFFFF" w:themeFill="background1"/>
          </w:tcPr>
          <w:p w14:paraId="6C1171C1"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58,7 %</w:t>
            </w:r>
          </w:p>
        </w:tc>
      </w:tr>
      <w:tr w:rsidR="00A52173" w:rsidRPr="00A52173" w14:paraId="3535DBEC"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655E568" w14:textId="77777777" w:rsidR="00753D91" w:rsidRPr="003D1B50" w:rsidRDefault="00753D91" w:rsidP="00E86509">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184E887F"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w tym w wieku 55+</w:t>
            </w:r>
          </w:p>
        </w:tc>
        <w:tc>
          <w:tcPr>
            <w:tcW w:w="7942" w:type="dxa"/>
            <w:gridSpan w:val="5"/>
            <w:shd w:val="clear" w:color="auto" w:fill="FFFFFF" w:themeFill="background1"/>
          </w:tcPr>
          <w:p w14:paraId="17D72F14"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27,9 %</w:t>
            </w:r>
          </w:p>
        </w:tc>
      </w:tr>
      <w:tr w:rsidR="00A52173" w:rsidRPr="00A52173" w14:paraId="448615E9" w14:textId="77777777" w:rsidTr="00E86509">
        <w:trPr>
          <w:trHeight w:val="143"/>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E42B56A"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hAnsi="Times New Roman"/>
                <w:color w:val="auto"/>
                <w:lang w:eastAsia="pl-PL"/>
              </w:rPr>
              <w:t>Wskaźnik zatrudnienia %</w:t>
            </w:r>
          </w:p>
        </w:tc>
        <w:tc>
          <w:tcPr>
            <w:tcW w:w="3969" w:type="dxa"/>
            <w:gridSpan w:val="3"/>
            <w:shd w:val="clear" w:color="auto" w:fill="FFFFFF" w:themeFill="background1"/>
          </w:tcPr>
          <w:p w14:paraId="103684B1"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ogółem</w:t>
            </w:r>
          </w:p>
        </w:tc>
        <w:tc>
          <w:tcPr>
            <w:tcW w:w="7942" w:type="dxa"/>
            <w:gridSpan w:val="5"/>
            <w:shd w:val="clear" w:color="auto" w:fill="FFFFFF" w:themeFill="background1"/>
          </w:tcPr>
          <w:p w14:paraId="168D4468"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57,1 %</w:t>
            </w:r>
          </w:p>
        </w:tc>
      </w:tr>
      <w:tr w:rsidR="00A52173" w:rsidRPr="00A52173" w14:paraId="789267FA" w14:textId="77777777" w:rsidTr="00E8650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7035419" w14:textId="77777777" w:rsidR="00753D91" w:rsidRPr="003D1B50" w:rsidRDefault="00753D91" w:rsidP="00E86509">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05BE35BA"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w tym w wieku 55+</w:t>
            </w:r>
          </w:p>
        </w:tc>
        <w:tc>
          <w:tcPr>
            <w:tcW w:w="7942" w:type="dxa"/>
            <w:gridSpan w:val="5"/>
            <w:shd w:val="clear" w:color="auto" w:fill="FFFFFF" w:themeFill="background1"/>
          </w:tcPr>
          <w:p w14:paraId="6D1FD099"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27,4 %</w:t>
            </w:r>
          </w:p>
        </w:tc>
      </w:tr>
      <w:tr w:rsidR="00A52173" w:rsidRPr="00A52173" w14:paraId="5B9A784F" w14:textId="77777777" w:rsidTr="00E86509">
        <w:trPr>
          <w:trHeight w:val="282"/>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3ABDF54"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eastAsia="Times New Roman" w:hAnsi="Times New Roman"/>
                <w:color w:val="auto"/>
                <w:lang w:eastAsia="pl-PL"/>
              </w:rPr>
              <w:t xml:space="preserve">Osoby bierne zawodowo  w wieku 60 lat i więcej według wybranych przyczyn bierności </w:t>
            </w:r>
            <w:r w:rsidRPr="003D1B50">
              <w:rPr>
                <w:rFonts w:ascii="Times New Roman" w:eastAsia="Times New Roman" w:hAnsi="Times New Roman"/>
                <w:color w:val="auto"/>
                <w:lang w:eastAsia="pl-PL"/>
              </w:rPr>
              <w:br/>
              <w:t>(w tys.)</w:t>
            </w:r>
          </w:p>
        </w:tc>
        <w:tc>
          <w:tcPr>
            <w:tcW w:w="3969" w:type="dxa"/>
            <w:gridSpan w:val="3"/>
            <w:shd w:val="clear" w:color="auto" w:fill="FFFFFF" w:themeFill="background1"/>
          </w:tcPr>
          <w:p w14:paraId="13A35696"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ogółem</w:t>
            </w:r>
          </w:p>
        </w:tc>
        <w:tc>
          <w:tcPr>
            <w:tcW w:w="7942" w:type="dxa"/>
            <w:gridSpan w:val="5"/>
            <w:shd w:val="clear" w:color="auto" w:fill="FFFFFF" w:themeFill="background1"/>
          </w:tcPr>
          <w:p w14:paraId="7C3D6D63"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483 (w wieku 55+)</w:t>
            </w:r>
          </w:p>
        </w:tc>
      </w:tr>
      <w:tr w:rsidR="00A52173" w:rsidRPr="00A52173" w14:paraId="6C20A211"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0064697"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1BCEEB2B"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w tym:</w:t>
            </w:r>
          </w:p>
        </w:tc>
      </w:tr>
      <w:tr w:rsidR="00A52173" w:rsidRPr="00A52173" w14:paraId="1B838D7D"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AF65106"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68F2DEC"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pl-PL"/>
              </w:rPr>
            </w:pPr>
            <w:r w:rsidRPr="003D1B50">
              <w:rPr>
                <w:rFonts w:ascii="Times New Roman" w:eastAsia="Times New Roman" w:hAnsi="Times New Roman"/>
                <w:color w:val="auto"/>
                <w:lang w:eastAsia="pl-PL"/>
              </w:rPr>
              <w:t>osoby nieposzukujące pracy - razem</w:t>
            </w:r>
          </w:p>
        </w:tc>
        <w:tc>
          <w:tcPr>
            <w:tcW w:w="7942" w:type="dxa"/>
            <w:gridSpan w:val="5"/>
            <w:shd w:val="clear" w:color="auto" w:fill="FFFFFF" w:themeFill="background1"/>
          </w:tcPr>
          <w:p w14:paraId="0DE168F1"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brak danych</w:t>
            </w:r>
          </w:p>
        </w:tc>
      </w:tr>
      <w:tr w:rsidR="00A52173" w:rsidRPr="00A52173" w14:paraId="58F47F96"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0D7C722"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0FF2B36"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eastAsia="Times New Roman" w:hAnsi="Times New Roman"/>
                <w:color w:val="auto"/>
                <w:lang w:eastAsia="pl-PL"/>
              </w:rPr>
              <w:t>osoby nieposzukujące pracy - emerytura</w:t>
            </w:r>
          </w:p>
        </w:tc>
        <w:tc>
          <w:tcPr>
            <w:tcW w:w="7942" w:type="dxa"/>
            <w:gridSpan w:val="5"/>
            <w:shd w:val="clear" w:color="auto" w:fill="FFFFFF" w:themeFill="background1"/>
          </w:tcPr>
          <w:p w14:paraId="28297183"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brak danych</w:t>
            </w:r>
          </w:p>
        </w:tc>
      </w:tr>
      <w:tr w:rsidR="00A52173" w:rsidRPr="00A52173" w14:paraId="2978ACF6"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6CF84E5"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522A1224"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eastAsia="Times New Roman" w:hAnsi="Times New Roman"/>
                <w:color w:val="auto"/>
                <w:lang w:eastAsia="pl-PL"/>
              </w:rPr>
              <w:t>osoby nieposzukujące pracy - choroba, niepełnosprawność</w:t>
            </w:r>
          </w:p>
        </w:tc>
        <w:tc>
          <w:tcPr>
            <w:tcW w:w="7942" w:type="dxa"/>
            <w:gridSpan w:val="5"/>
            <w:shd w:val="clear" w:color="auto" w:fill="FFFFFF" w:themeFill="background1"/>
          </w:tcPr>
          <w:p w14:paraId="3306DDD3"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brak danych</w:t>
            </w:r>
          </w:p>
        </w:tc>
      </w:tr>
      <w:tr w:rsidR="00A52173" w:rsidRPr="00A52173" w14:paraId="385D7576"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59033E2"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r w:rsidRPr="003D1B50">
              <w:rPr>
                <w:rFonts w:ascii="Times New Roman" w:eastAsia="Times New Roman" w:hAnsi="Times New Roman"/>
                <w:color w:val="auto"/>
                <w:lang w:eastAsia="pl-PL"/>
              </w:rPr>
              <w:t>Osoby bezrobotne zarejestrowane w urzędach pracy (w tys.)</w:t>
            </w:r>
          </w:p>
        </w:tc>
        <w:tc>
          <w:tcPr>
            <w:tcW w:w="3969" w:type="dxa"/>
            <w:gridSpan w:val="3"/>
            <w:shd w:val="clear" w:color="auto" w:fill="FFFFFF" w:themeFill="background1"/>
          </w:tcPr>
          <w:p w14:paraId="582328C3"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ogółem</w:t>
            </w:r>
          </w:p>
        </w:tc>
        <w:tc>
          <w:tcPr>
            <w:tcW w:w="7942" w:type="dxa"/>
            <w:gridSpan w:val="5"/>
            <w:shd w:val="clear" w:color="auto" w:fill="FFFFFF" w:themeFill="background1"/>
          </w:tcPr>
          <w:p w14:paraId="57DF9B80" w14:textId="6BD1373C" w:rsidR="00753D91" w:rsidRPr="003D1B50" w:rsidRDefault="00000C86"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41,8</w:t>
            </w:r>
          </w:p>
        </w:tc>
      </w:tr>
      <w:tr w:rsidR="00A52173" w:rsidRPr="00A52173" w14:paraId="59A1AFEE"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4700249"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0814A33C" w14:textId="590D03BB" w:rsidR="00753D91" w:rsidRPr="003D1B50" w:rsidRDefault="00753D91" w:rsidP="00000C86">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 xml:space="preserve">w tym w wieku </w:t>
            </w:r>
            <w:r w:rsidR="00000C86">
              <w:rPr>
                <w:rFonts w:ascii="Times New Roman" w:hAnsi="Times New Roman"/>
                <w:color w:val="auto"/>
              </w:rPr>
              <w:t>60+</w:t>
            </w:r>
          </w:p>
        </w:tc>
        <w:tc>
          <w:tcPr>
            <w:tcW w:w="7942" w:type="dxa"/>
            <w:gridSpan w:val="5"/>
            <w:shd w:val="clear" w:color="auto" w:fill="FFFFFF" w:themeFill="background1"/>
          </w:tcPr>
          <w:p w14:paraId="1AC6D9E4" w14:textId="1A5D0253" w:rsidR="00753D91" w:rsidRPr="003D1B50" w:rsidRDefault="00000C86"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2,6</w:t>
            </w:r>
          </w:p>
        </w:tc>
      </w:tr>
      <w:tr w:rsidR="00A52173" w:rsidRPr="00A52173" w14:paraId="474A9300" w14:textId="77777777" w:rsidTr="00E86509">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AE72ED4"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r w:rsidRPr="003D1B50">
              <w:rPr>
                <w:rFonts w:ascii="Times New Roman" w:eastAsia="Times New Roman" w:hAnsi="Times New Roman"/>
                <w:color w:val="auto"/>
                <w:lang w:eastAsia="pl-PL"/>
              </w:rPr>
              <w:t xml:space="preserve">Osoby pobierające renty </w:t>
            </w:r>
            <w:r w:rsidRPr="003D1B50">
              <w:rPr>
                <w:rFonts w:ascii="Times New Roman" w:eastAsia="Times New Roman" w:hAnsi="Times New Roman"/>
                <w:color w:val="auto"/>
                <w:lang w:eastAsia="pl-PL"/>
              </w:rPr>
              <w:br/>
              <w:t xml:space="preserve">i emerytury </w:t>
            </w:r>
          </w:p>
        </w:tc>
        <w:tc>
          <w:tcPr>
            <w:tcW w:w="11911" w:type="dxa"/>
            <w:gridSpan w:val="8"/>
            <w:shd w:val="clear" w:color="auto" w:fill="9CC2E5" w:themeFill="accent1" w:themeFillTint="99"/>
          </w:tcPr>
          <w:p w14:paraId="01FC4E0A" w14:textId="77777777" w:rsidR="00753D91" w:rsidRPr="003D1B50" w:rsidRDefault="00753D91" w:rsidP="00E86509">
            <w:pPr>
              <w:tabs>
                <w:tab w:val="left" w:pos="1725"/>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ZUS</w:t>
            </w:r>
          </w:p>
        </w:tc>
      </w:tr>
      <w:tr w:rsidR="00A52173" w:rsidRPr="00A52173" w14:paraId="4C388BB3" w14:textId="77777777" w:rsidTr="00E86509">
        <w:trPr>
          <w:trHeight w:val="18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2F637C7"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0AC6906F"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Rodzaj świadczenia</w:t>
            </w:r>
          </w:p>
        </w:tc>
        <w:tc>
          <w:tcPr>
            <w:tcW w:w="7942" w:type="dxa"/>
            <w:gridSpan w:val="5"/>
            <w:shd w:val="clear" w:color="auto" w:fill="9CC2E5" w:themeFill="accent1" w:themeFillTint="99"/>
          </w:tcPr>
          <w:p w14:paraId="7E9F9C35"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Przeciętna miesięczna liczba emerytów i rencistów (w tys.)</w:t>
            </w:r>
          </w:p>
        </w:tc>
      </w:tr>
      <w:tr w:rsidR="00A52173" w:rsidRPr="00A52173" w14:paraId="66B82C2B" w14:textId="77777777" w:rsidTr="00E8650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05421FA"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26A84665"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Emerytury</w:t>
            </w:r>
          </w:p>
        </w:tc>
        <w:tc>
          <w:tcPr>
            <w:tcW w:w="7942" w:type="dxa"/>
            <w:gridSpan w:val="5"/>
            <w:shd w:val="clear" w:color="auto" w:fill="FFFFFF" w:themeFill="background1"/>
          </w:tcPr>
          <w:p w14:paraId="20A14A9D"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333,7</w:t>
            </w:r>
          </w:p>
        </w:tc>
      </w:tr>
      <w:tr w:rsidR="00A52173" w:rsidRPr="00A52173" w14:paraId="134C1EC5"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283643C"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45A919E1"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Renty z tytułu niezdolności do pracy</w:t>
            </w:r>
          </w:p>
        </w:tc>
        <w:tc>
          <w:tcPr>
            <w:tcW w:w="7942" w:type="dxa"/>
            <w:gridSpan w:val="5"/>
            <w:shd w:val="clear" w:color="auto" w:fill="FFFFFF" w:themeFill="background1"/>
          </w:tcPr>
          <w:p w14:paraId="03529C8A"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37,9</w:t>
            </w:r>
          </w:p>
        </w:tc>
      </w:tr>
      <w:tr w:rsidR="00A52173" w:rsidRPr="00A52173" w14:paraId="48B6D2FE" w14:textId="77777777" w:rsidTr="00E8650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A452DBA"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7AF83852"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Renty rodzinne</w:t>
            </w:r>
          </w:p>
        </w:tc>
        <w:tc>
          <w:tcPr>
            <w:tcW w:w="7942" w:type="dxa"/>
            <w:gridSpan w:val="5"/>
            <w:shd w:val="clear" w:color="auto" w:fill="FFFFFF" w:themeFill="background1"/>
          </w:tcPr>
          <w:p w14:paraId="1F959661"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71,8</w:t>
            </w:r>
          </w:p>
        </w:tc>
      </w:tr>
      <w:tr w:rsidR="00A52173" w:rsidRPr="00A52173" w14:paraId="29085ADF"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8C92641"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47CD4622" w14:textId="77777777" w:rsidR="00753D91" w:rsidRPr="003D1B50" w:rsidRDefault="00753D91" w:rsidP="00E86509">
            <w:pPr>
              <w:tabs>
                <w:tab w:val="left" w:pos="1507"/>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KRUS</w:t>
            </w:r>
          </w:p>
        </w:tc>
      </w:tr>
      <w:tr w:rsidR="00A52173" w:rsidRPr="00A52173" w14:paraId="5EE2D280" w14:textId="77777777" w:rsidTr="00E86509">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092F2A8"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6073E21C"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Rodzaj świadczenia</w:t>
            </w:r>
          </w:p>
        </w:tc>
        <w:tc>
          <w:tcPr>
            <w:tcW w:w="7942" w:type="dxa"/>
            <w:gridSpan w:val="5"/>
            <w:shd w:val="clear" w:color="auto" w:fill="9CC2E5" w:themeFill="accent1" w:themeFillTint="99"/>
          </w:tcPr>
          <w:p w14:paraId="58B62629"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Przeciętna miesięczna liczba emerytów i rencistów (w tys.)</w:t>
            </w:r>
          </w:p>
        </w:tc>
      </w:tr>
      <w:tr w:rsidR="00A52173" w:rsidRPr="00A52173" w14:paraId="6BBDDF98"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EB27003"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5E7FF210"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Emerytury</w:t>
            </w:r>
          </w:p>
        </w:tc>
        <w:tc>
          <w:tcPr>
            <w:tcW w:w="7942" w:type="dxa"/>
            <w:gridSpan w:val="5"/>
            <w:shd w:val="clear" w:color="auto" w:fill="FFFFFF" w:themeFill="background1"/>
          </w:tcPr>
          <w:p w14:paraId="6D763AE2"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26,7</w:t>
            </w:r>
          </w:p>
        </w:tc>
      </w:tr>
      <w:tr w:rsidR="00A52173" w:rsidRPr="00A52173" w14:paraId="2B028EDB"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E37AED8"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693B9292"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Renty z tytułu niezdolności do pracy</w:t>
            </w:r>
          </w:p>
        </w:tc>
        <w:tc>
          <w:tcPr>
            <w:tcW w:w="7942" w:type="dxa"/>
            <w:gridSpan w:val="5"/>
            <w:shd w:val="clear" w:color="auto" w:fill="FFFFFF" w:themeFill="background1"/>
          </w:tcPr>
          <w:p w14:paraId="2D72DFDB"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7,8</w:t>
            </w:r>
          </w:p>
        </w:tc>
      </w:tr>
      <w:tr w:rsidR="00A52173" w:rsidRPr="00A52173" w14:paraId="7AED8B9F"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C2F272D"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57FEA4FD"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Renty rodzinne</w:t>
            </w:r>
          </w:p>
        </w:tc>
        <w:tc>
          <w:tcPr>
            <w:tcW w:w="7942" w:type="dxa"/>
            <w:gridSpan w:val="5"/>
            <w:shd w:val="clear" w:color="auto" w:fill="FFFFFF" w:themeFill="background1"/>
          </w:tcPr>
          <w:p w14:paraId="5F0C6E3A"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1,6</w:t>
            </w:r>
          </w:p>
        </w:tc>
      </w:tr>
      <w:tr w:rsidR="00A52173" w:rsidRPr="00A52173" w14:paraId="06A6EF42"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061249D4" w14:textId="77777777" w:rsidR="00753D91" w:rsidRPr="003D1B50" w:rsidRDefault="00753D91" w:rsidP="00E86509">
            <w:pPr>
              <w:spacing w:after="0" w:line="240" w:lineRule="auto"/>
              <w:jc w:val="center"/>
              <w:rPr>
                <w:rFonts w:ascii="Times New Roman" w:hAnsi="Times New Roman"/>
                <w:color w:val="auto"/>
              </w:rPr>
            </w:pPr>
            <w:r w:rsidRPr="003D1B50">
              <w:rPr>
                <w:rFonts w:ascii="Times New Roman" w:hAnsi="Times New Roman"/>
                <w:color w:val="auto"/>
              </w:rPr>
              <w:t>SYTUACJA DOCHODOWA, WARUNKI BYTU, W TYM WARUNKI MIESZKANIOWE – DANE ZA 2019 R,</w:t>
            </w:r>
          </w:p>
        </w:tc>
      </w:tr>
      <w:tr w:rsidR="00A52173" w:rsidRPr="00A52173" w14:paraId="16D70395"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tcPr>
          <w:p w14:paraId="4D357504" w14:textId="77777777" w:rsidR="00753D91" w:rsidRPr="003D1B50" w:rsidRDefault="00753D91" w:rsidP="00E86509">
            <w:pPr>
              <w:spacing w:after="0" w:line="240" w:lineRule="auto"/>
              <w:rPr>
                <w:rFonts w:ascii="Times New Roman" w:hAnsi="Times New Roman"/>
                <w:b w:val="0"/>
                <w:color w:val="auto"/>
              </w:rPr>
            </w:pPr>
            <w:r w:rsidRPr="003D1B50">
              <w:rPr>
                <w:rFonts w:ascii="Times New Roman" w:hAnsi="Times New Roman"/>
                <w:b w:val="0"/>
                <w:color w:val="auto"/>
              </w:rPr>
              <w:t>Zdecydowana większość osób objętych pomocą posiada własne środki finansowe, źródłem utrzymania seniorów są emerytury, renty, renty rodzinne wraz  </w:t>
            </w:r>
            <w:r w:rsidRPr="003D1B50">
              <w:rPr>
                <w:rFonts w:ascii="Times New Roman" w:hAnsi="Times New Roman"/>
                <w:b w:val="0"/>
                <w:color w:val="auto"/>
              </w:rPr>
              <w:br/>
              <w:t xml:space="preserve">z dodatkami. Część osób otrzymuje też pomoc w postaci świadczeń uzupełniających dla osób niepełnosprawnych z ZUS, a także świadczenia pieniężne oraz niepieniężne z Ośrodków Pomocy Społecznej. Osoby starsze i niepełnosprawne korzystające z pomocy mają zwykle zabezpieczoną sytuację mieszkaniową i zapewnione odpowiednie warunki bytowe. Dominuje właścicielska i komunalna forma własności, w mniejszym stopniu najem lokali. </w:t>
            </w:r>
            <w:r w:rsidRPr="003D1B50">
              <w:rPr>
                <w:rFonts w:ascii="Times New Roman" w:hAnsi="Times New Roman"/>
                <w:b w:val="0"/>
                <w:bCs w:val="0"/>
                <w:color w:val="auto"/>
              </w:rPr>
              <w:t>Dosyć często infrastruktura budynków nie pozwala na swobodne poruszanie się – bariery architektoniczne.</w:t>
            </w:r>
          </w:p>
        </w:tc>
      </w:tr>
      <w:tr w:rsidR="00A52173" w:rsidRPr="00A52173" w14:paraId="12071C75"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51B11889" w14:textId="77777777" w:rsidR="00753D91" w:rsidRPr="00010F36" w:rsidRDefault="00753D91" w:rsidP="00E86509">
            <w:pPr>
              <w:spacing w:after="0" w:line="240" w:lineRule="auto"/>
              <w:jc w:val="center"/>
              <w:rPr>
                <w:rFonts w:ascii="Times New Roman" w:hAnsi="Times New Roman"/>
                <w:color w:val="auto"/>
              </w:rPr>
            </w:pPr>
            <w:r w:rsidRPr="00010F36">
              <w:rPr>
                <w:rFonts w:ascii="Times New Roman" w:hAnsi="Times New Roman"/>
                <w:color w:val="auto"/>
              </w:rPr>
              <w:t>USŁUGI SPOŁECZNE DLA OSÓB STARSZYCH / INFRASTRUKTURA POMOCY SPOLECZNEJ – DANE ZA 2019 R.</w:t>
            </w:r>
          </w:p>
        </w:tc>
      </w:tr>
      <w:tr w:rsidR="00A52173" w:rsidRPr="00A52173" w14:paraId="1673CE5A"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5DB826E"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r w:rsidRPr="003D1B50">
              <w:rPr>
                <w:rFonts w:ascii="Times New Roman" w:eastAsia="Times New Roman" w:hAnsi="Times New Roman"/>
                <w:color w:val="auto"/>
                <w:lang w:eastAsia="pl-PL"/>
              </w:rPr>
              <w:t>Instytucje pomocy społecznej, w tym:</w:t>
            </w:r>
          </w:p>
        </w:tc>
        <w:tc>
          <w:tcPr>
            <w:tcW w:w="3066" w:type="dxa"/>
            <w:shd w:val="clear" w:color="auto" w:fill="9CC2E5" w:themeFill="accent1" w:themeFillTint="99"/>
          </w:tcPr>
          <w:p w14:paraId="41278C34"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3D1B50">
              <w:rPr>
                <w:rFonts w:ascii="Times New Roman" w:hAnsi="Times New Roman"/>
                <w:b/>
                <w:color w:val="auto"/>
              </w:rPr>
              <w:t>Rodzaj placówki</w:t>
            </w:r>
          </w:p>
        </w:tc>
        <w:tc>
          <w:tcPr>
            <w:tcW w:w="2948" w:type="dxa"/>
            <w:gridSpan w:val="3"/>
            <w:shd w:val="clear" w:color="auto" w:fill="9CC2E5" w:themeFill="accent1" w:themeFillTint="99"/>
          </w:tcPr>
          <w:p w14:paraId="253A835B"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3D1B50">
              <w:rPr>
                <w:rFonts w:ascii="Times New Roman" w:hAnsi="Times New Roman"/>
                <w:b/>
                <w:color w:val="auto"/>
              </w:rPr>
              <w:t>Liczba placówek</w:t>
            </w:r>
          </w:p>
        </w:tc>
        <w:tc>
          <w:tcPr>
            <w:tcW w:w="2948" w:type="dxa"/>
            <w:gridSpan w:val="3"/>
            <w:shd w:val="clear" w:color="auto" w:fill="9CC2E5" w:themeFill="accent1" w:themeFillTint="99"/>
          </w:tcPr>
          <w:p w14:paraId="50CDF314"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3D1B50">
              <w:rPr>
                <w:rFonts w:ascii="Times New Roman" w:hAnsi="Times New Roman"/>
                <w:b/>
                <w:color w:val="auto"/>
              </w:rPr>
              <w:t>Liczba miejsc dla osób starszych</w:t>
            </w:r>
          </w:p>
        </w:tc>
        <w:tc>
          <w:tcPr>
            <w:tcW w:w="2949" w:type="dxa"/>
            <w:shd w:val="clear" w:color="auto" w:fill="9CC2E5" w:themeFill="accent1" w:themeFillTint="99"/>
          </w:tcPr>
          <w:p w14:paraId="07F328E0"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korzystających osób starszych</w:t>
            </w:r>
          </w:p>
        </w:tc>
      </w:tr>
      <w:tr w:rsidR="00A52173" w:rsidRPr="00A52173" w14:paraId="39C07CD4"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3C01647"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B239BDA"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Ośrodki wsparcia ogółem</w:t>
            </w:r>
          </w:p>
        </w:tc>
        <w:tc>
          <w:tcPr>
            <w:tcW w:w="2948" w:type="dxa"/>
            <w:gridSpan w:val="3"/>
            <w:shd w:val="clear" w:color="auto" w:fill="FFFFFF" w:themeFill="background1"/>
          </w:tcPr>
          <w:p w14:paraId="101ECFFE" w14:textId="77777777" w:rsidR="00753D91" w:rsidRPr="00010F36" w:rsidRDefault="00753D91" w:rsidP="007A66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452</w:t>
            </w:r>
          </w:p>
        </w:tc>
        <w:tc>
          <w:tcPr>
            <w:tcW w:w="2948" w:type="dxa"/>
            <w:gridSpan w:val="3"/>
            <w:shd w:val="clear" w:color="auto" w:fill="FFFFFF" w:themeFill="background1"/>
          </w:tcPr>
          <w:p w14:paraId="091DF5EE" w14:textId="77777777" w:rsidR="00753D91" w:rsidRPr="00010F36" w:rsidRDefault="00753D91" w:rsidP="007A66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10 143</w:t>
            </w:r>
          </w:p>
        </w:tc>
        <w:tc>
          <w:tcPr>
            <w:tcW w:w="2949" w:type="dxa"/>
            <w:shd w:val="clear" w:color="auto" w:fill="FFFFFF" w:themeFill="background1"/>
          </w:tcPr>
          <w:p w14:paraId="5D7056D8" w14:textId="77777777" w:rsidR="00753D91" w:rsidRPr="00010F36" w:rsidRDefault="00753D91" w:rsidP="007A660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14 056</w:t>
            </w:r>
          </w:p>
        </w:tc>
      </w:tr>
      <w:tr w:rsidR="00A52173" w:rsidRPr="00A52173" w14:paraId="296984C9"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8819B1F"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11911" w:type="dxa"/>
            <w:gridSpan w:val="8"/>
            <w:shd w:val="clear" w:color="auto" w:fill="9CC2E5" w:themeFill="accent1" w:themeFillTint="99"/>
          </w:tcPr>
          <w:p w14:paraId="0F28C064"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color w:val="auto"/>
              </w:rPr>
              <w:t>w tym:</w:t>
            </w:r>
          </w:p>
        </w:tc>
      </w:tr>
      <w:tr w:rsidR="00A52173" w:rsidRPr="00A52173" w14:paraId="3EB15E7B"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017DF4C"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3EDE3D01"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Środowiskowe Domy Samopomocy</w:t>
            </w:r>
          </w:p>
        </w:tc>
        <w:tc>
          <w:tcPr>
            <w:tcW w:w="2948" w:type="dxa"/>
            <w:gridSpan w:val="3"/>
            <w:shd w:val="clear" w:color="auto" w:fill="FFFFFF" w:themeFill="background1"/>
            <w:vAlign w:val="center"/>
          </w:tcPr>
          <w:p w14:paraId="6ED71365"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71</w:t>
            </w:r>
          </w:p>
        </w:tc>
        <w:tc>
          <w:tcPr>
            <w:tcW w:w="2948" w:type="dxa"/>
            <w:gridSpan w:val="3"/>
            <w:shd w:val="clear" w:color="auto" w:fill="FFFFFF" w:themeFill="background1"/>
            <w:vAlign w:val="center"/>
          </w:tcPr>
          <w:p w14:paraId="4C100732"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614</w:t>
            </w:r>
          </w:p>
        </w:tc>
        <w:tc>
          <w:tcPr>
            <w:tcW w:w="2949" w:type="dxa"/>
            <w:shd w:val="clear" w:color="auto" w:fill="FFFFFF" w:themeFill="background1"/>
            <w:vAlign w:val="center"/>
          </w:tcPr>
          <w:p w14:paraId="1DF0EC99"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445</w:t>
            </w:r>
          </w:p>
        </w:tc>
      </w:tr>
      <w:tr w:rsidR="00A52173" w:rsidRPr="00A52173" w14:paraId="561691A5"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58277AA"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9358C92"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Dzienne Domy Pomocy</w:t>
            </w:r>
          </w:p>
        </w:tc>
        <w:tc>
          <w:tcPr>
            <w:tcW w:w="2948" w:type="dxa"/>
            <w:gridSpan w:val="3"/>
            <w:shd w:val="clear" w:color="auto" w:fill="FFFFFF" w:themeFill="background1"/>
            <w:vAlign w:val="center"/>
          </w:tcPr>
          <w:p w14:paraId="465EB8BF"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27</w:t>
            </w:r>
          </w:p>
        </w:tc>
        <w:tc>
          <w:tcPr>
            <w:tcW w:w="2948" w:type="dxa"/>
            <w:gridSpan w:val="3"/>
            <w:shd w:val="clear" w:color="auto" w:fill="FFFFFF" w:themeFill="background1"/>
            <w:vAlign w:val="center"/>
          </w:tcPr>
          <w:p w14:paraId="3AE24CF5"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467</w:t>
            </w:r>
          </w:p>
        </w:tc>
        <w:tc>
          <w:tcPr>
            <w:tcW w:w="2949" w:type="dxa"/>
            <w:shd w:val="clear" w:color="auto" w:fill="FFFFFF" w:themeFill="background1"/>
            <w:vAlign w:val="center"/>
          </w:tcPr>
          <w:p w14:paraId="16AF171E"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578</w:t>
            </w:r>
          </w:p>
        </w:tc>
      </w:tr>
      <w:tr w:rsidR="00A52173" w:rsidRPr="00A52173" w14:paraId="2FAA0951"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ADE462D"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7C370103"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Noclegownie, schroniska i domy dla osób bezdomnych</w:t>
            </w:r>
          </w:p>
        </w:tc>
        <w:tc>
          <w:tcPr>
            <w:tcW w:w="2948" w:type="dxa"/>
            <w:gridSpan w:val="3"/>
            <w:shd w:val="clear" w:color="auto" w:fill="FFFFFF" w:themeFill="background1"/>
            <w:vAlign w:val="center"/>
          </w:tcPr>
          <w:p w14:paraId="652EDA08"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39</w:t>
            </w:r>
          </w:p>
        </w:tc>
        <w:tc>
          <w:tcPr>
            <w:tcW w:w="2948" w:type="dxa"/>
            <w:gridSpan w:val="3"/>
            <w:shd w:val="clear" w:color="auto" w:fill="FFFFFF" w:themeFill="background1"/>
            <w:vAlign w:val="center"/>
          </w:tcPr>
          <w:p w14:paraId="516F4E2E"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865</w:t>
            </w:r>
          </w:p>
        </w:tc>
        <w:tc>
          <w:tcPr>
            <w:tcW w:w="2949" w:type="dxa"/>
            <w:shd w:val="clear" w:color="auto" w:fill="FFFFFF" w:themeFill="background1"/>
            <w:vAlign w:val="center"/>
          </w:tcPr>
          <w:p w14:paraId="36171C6B"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815</w:t>
            </w:r>
          </w:p>
        </w:tc>
      </w:tr>
      <w:tr w:rsidR="00A52173" w:rsidRPr="00A52173" w14:paraId="0E1A4CE7"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934371A"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332AFA5"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Ogrzewalnie</w:t>
            </w:r>
          </w:p>
        </w:tc>
        <w:tc>
          <w:tcPr>
            <w:tcW w:w="2948" w:type="dxa"/>
            <w:gridSpan w:val="3"/>
            <w:shd w:val="clear" w:color="auto" w:fill="FFFFFF" w:themeFill="background1"/>
            <w:vAlign w:val="center"/>
          </w:tcPr>
          <w:p w14:paraId="5A89268E"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8</w:t>
            </w:r>
          </w:p>
        </w:tc>
        <w:tc>
          <w:tcPr>
            <w:tcW w:w="2948" w:type="dxa"/>
            <w:gridSpan w:val="3"/>
            <w:shd w:val="clear" w:color="auto" w:fill="FFFFFF" w:themeFill="background1"/>
            <w:vAlign w:val="center"/>
          </w:tcPr>
          <w:p w14:paraId="5A98F8B7"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57</w:t>
            </w:r>
          </w:p>
        </w:tc>
        <w:tc>
          <w:tcPr>
            <w:tcW w:w="2949" w:type="dxa"/>
            <w:shd w:val="clear" w:color="auto" w:fill="FFFFFF" w:themeFill="background1"/>
            <w:vAlign w:val="center"/>
          </w:tcPr>
          <w:p w14:paraId="398A6A3C"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38</w:t>
            </w:r>
          </w:p>
        </w:tc>
      </w:tr>
      <w:tr w:rsidR="00A52173" w:rsidRPr="00A52173" w14:paraId="2F219EE8"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204E9E0"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318CF371"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Kluby Samopomocy</w:t>
            </w:r>
          </w:p>
        </w:tc>
        <w:tc>
          <w:tcPr>
            <w:tcW w:w="2948" w:type="dxa"/>
            <w:gridSpan w:val="3"/>
            <w:shd w:val="clear" w:color="auto" w:fill="FFFFFF" w:themeFill="background1"/>
            <w:vAlign w:val="center"/>
          </w:tcPr>
          <w:p w14:paraId="07641151"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28</w:t>
            </w:r>
          </w:p>
        </w:tc>
        <w:tc>
          <w:tcPr>
            <w:tcW w:w="2948" w:type="dxa"/>
            <w:gridSpan w:val="3"/>
            <w:shd w:val="clear" w:color="auto" w:fill="FFFFFF" w:themeFill="background1"/>
            <w:vAlign w:val="center"/>
          </w:tcPr>
          <w:p w14:paraId="24F90D0B"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163</w:t>
            </w:r>
          </w:p>
        </w:tc>
        <w:tc>
          <w:tcPr>
            <w:tcW w:w="2949" w:type="dxa"/>
            <w:shd w:val="clear" w:color="auto" w:fill="FFFFFF" w:themeFill="background1"/>
            <w:vAlign w:val="center"/>
          </w:tcPr>
          <w:p w14:paraId="017636D1"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220</w:t>
            </w:r>
          </w:p>
        </w:tc>
      </w:tr>
      <w:tr w:rsidR="00A52173" w:rsidRPr="00A52173" w14:paraId="759CEF6D"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7D9FFDA"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41391DCF"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 xml:space="preserve">Placówki zapewniające całodobową opiekę osobom niepełnosprawnym, przewlekle </w:t>
            </w:r>
            <w:r w:rsidRPr="003D1B50">
              <w:rPr>
                <w:rFonts w:ascii="Times New Roman" w:hAnsi="Times New Roman"/>
                <w:color w:val="auto"/>
              </w:rPr>
              <w:lastRenderedPageBreak/>
              <w:t>chorym lub osobom w podeszłym wieku</w:t>
            </w:r>
          </w:p>
        </w:tc>
        <w:tc>
          <w:tcPr>
            <w:tcW w:w="2948" w:type="dxa"/>
            <w:gridSpan w:val="3"/>
            <w:shd w:val="clear" w:color="auto" w:fill="FFFFFF" w:themeFill="background1"/>
            <w:vAlign w:val="center"/>
          </w:tcPr>
          <w:p w14:paraId="473954A2"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lastRenderedPageBreak/>
              <w:t>80</w:t>
            </w:r>
          </w:p>
        </w:tc>
        <w:tc>
          <w:tcPr>
            <w:tcW w:w="2948" w:type="dxa"/>
            <w:gridSpan w:val="3"/>
            <w:shd w:val="clear" w:color="auto" w:fill="FFFFFF" w:themeFill="background1"/>
            <w:vAlign w:val="center"/>
          </w:tcPr>
          <w:p w14:paraId="7D709ACC"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2 674</w:t>
            </w:r>
          </w:p>
        </w:tc>
        <w:tc>
          <w:tcPr>
            <w:tcW w:w="2949" w:type="dxa"/>
            <w:shd w:val="clear" w:color="auto" w:fill="FFFFFF" w:themeFill="background1"/>
            <w:vAlign w:val="center"/>
          </w:tcPr>
          <w:p w14:paraId="63EF7D0B"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2 126</w:t>
            </w:r>
          </w:p>
        </w:tc>
      </w:tr>
      <w:tr w:rsidR="00A52173" w:rsidRPr="00A52173" w14:paraId="00E5617B"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09A2009"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3CBC16D"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Domy Pomocy Społecznej</w:t>
            </w:r>
          </w:p>
        </w:tc>
        <w:tc>
          <w:tcPr>
            <w:tcW w:w="2948" w:type="dxa"/>
            <w:gridSpan w:val="3"/>
            <w:shd w:val="clear" w:color="auto" w:fill="FFFFFF" w:themeFill="background1"/>
            <w:vAlign w:val="center"/>
          </w:tcPr>
          <w:p w14:paraId="4AC8495D"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42</w:t>
            </w:r>
          </w:p>
        </w:tc>
        <w:tc>
          <w:tcPr>
            <w:tcW w:w="2948" w:type="dxa"/>
            <w:gridSpan w:val="3"/>
            <w:shd w:val="clear" w:color="auto" w:fill="FFFFFF" w:themeFill="background1"/>
            <w:vAlign w:val="center"/>
          </w:tcPr>
          <w:p w14:paraId="00B35BAA"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4 148</w:t>
            </w:r>
          </w:p>
        </w:tc>
        <w:tc>
          <w:tcPr>
            <w:tcW w:w="2949" w:type="dxa"/>
            <w:shd w:val="clear" w:color="auto" w:fill="FFFFFF" w:themeFill="background1"/>
            <w:vAlign w:val="center"/>
          </w:tcPr>
          <w:p w14:paraId="7BD04B4A"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4 094</w:t>
            </w:r>
          </w:p>
        </w:tc>
      </w:tr>
      <w:tr w:rsidR="00A52173" w:rsidRPr="00A52173" w14:paraId="2E03937D"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AD9539E"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7E69CD7B"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Mieszkania chronione ogółem</w:t>
            </w:r>
          </w:p>
        </w:tc>
        <w:tc>
          <w:tcPr>
            <w:tcW w:w="2948" w:type="dxa"/>
            <w:gridSpan w:val="3"/>
            <w:shd w:val="clear" w:color="auto" w:fill="FFFFFF" w:themeFill="background1"/>
            <w:vAlign w:val="center"/>
          </w:tcPr>
          <w:p w14:paraId="3BFCE171"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59</w:t>
            </w:r>
          </w:p>
        </w:tc>
        <w:tc>
          <w:tcPr>
            <w:tcW w:w="2948" w:type="dxa"/>
            <w:gridSpan w:val="3"/>
            <w:shd w:val="clear" w:color="auto" w:fill="FFFFFF" w:themeFill="background1"/>
            <w:vAlign w:val="center"/>
          </w:tcPr>
          <w:p w14:paraId="6F618C55"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84</w:t>
            </w:r>
          </w:p>
        </w:tc>
        <w:tc>
          <w:tcPr>
            <w:tcW w:w="2949" w:type="dxa"/>
            <w:shd w:val="clear" w:color="auto" w:fill="FFFFFF" w:themeFill="background1"/>
            <w:vAlign w:val="center"/>
          </w:tcPr>
          <w:p w14:paraId="0C518262"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38</w:t>
            </w:r>
          </w:p>
        </w:tc>
      </w:tr>
      <w:tr w:rsidR="00A52173" w:rsidRPr="00A52173" w14:paraId="1AD18B6E"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A3DEA7D"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1459B393"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Ośrodki Interwencji Kryzysowej ogółem</w:t>
            </w:r>
          </w:p>
        </w:tc>
        <w:tc>
          <w:tcPr>
            <w:tcW w:w="2948" w:type="dxa"/>
            <w:gridSpan w:val="3"/>
            <w:shd w:val="clear" w:color="auto" w:fill="FFFFFF" w:themeFill="background1"/>
            <w:vAlign w:val="center"/>
          </w:tcPr>
          <w:p w14:paraId="504AD309"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10</w:t>
            </w:r>
          </w:p>
        </w:tc>
        <w:tc>
          <w:tcPr>
            <w:tcW w:w="2948" w:type="dxa"/>
            <w:gridSpan w:val="3"/>
            <w:shd w:val="clear" w:color="auto" w:fill="FFFFFF" w:themeFill="background1"/>
            <w:vAlign w:val="center"/>
          </w:tcPr>
          <w:p w14:paraId="618EE8CB"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w:t>
            </w:r>
          </w:p>
        </w:tc>
        <w:tc>
          <w:tcPr>
            <w:tcW w:w="2949" w:type="dxa"/>
            <w:shd w:val="clear" w:color="auto" w:fill="FFFFFF" w:themeFill="background1"/>
            <w:vAlign w:val="center"/>
          </w:tcPr>
          <w:p w14:paraId="42859C7F"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39</w:t>
            </w:r>
          </w:p>
        </w:tc>
      </w:tr>
      <w:tr w:rsidR="00A52173" w:rsidRPr="00A52173" w14:paraId="3311D09D"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3DEC5E3"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445A87E1"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Jednostki specjalistycznego poradnictwa</w:t>
            </w:r>
          </w:p>
        </w:tc>
        <w:tc>
          <w:tcPr>
            <w:tcW w:w="2948" w:type="dxa"/>
            <w:gridSpan w:val="3"/>
            <w:shd w:val="clear" w:color="auto" w:fill="FFFFFF" w:themeFill="background1"/>
            <w:vAlign w:val="center"/>
          </w:tcPr>
          <w:p w14:paraId="601BAAAA"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15</w:t>
            </w:r>
          </w:p>
        </w:tc>
        <w:tc>
          <w:tcPr>
            <w:tcW w:w="2948" w:type="dxa"/>
            <w:gridSpan w:val="3"/>
            <w:shd w:val="clear" w:color="auto" w:fill="FFFFFF" w:themeFill="background1"/>
            <w:vAlign w:val="center"/>
          </w:tcPr>
          <w:p w14:paraId="206F1320"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w:t>
            </w:r>
          </w:p>
        </w:tc>
        <w:tc>
          <w:tcPr>
            <w:tcW w:w="2949" w:type="dxa"/>
            <w:shd w:val="clear" w:color="auto" w:fill="FFFFFF" w:themeFill="background1"/>
            <w:vAlign w:val="center"/>
          </w:tcPr>
          <w:p w14:paraId="603D8485"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auto"/>
              </w:rPr>
            </w:pPr>
            <w:r w:rsidRPr="00010F36">
              <w:rPr>
                <w:rFonts w:ascii="Times New Roman" w:hAnsi="Times New Roman"/>
                <w:bCs/>
                <w:color w:val="auto"/>
              </w:rPr>
              <w:t>2 051</w:t>
            </w:r>
          </w:p>
        </w:tc>
      </w:tr>
      <w:tr w:rsidR="00A52173" w:rsidRPr="00A52173" w14:paraId="36E46437"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B2C5CD9"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3FF2A834"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Placówki Senior+, w tym:</w:t>
            </w:r>
          </w:p>
        </w:tc>
        <w:tc>
          <w:tcPr>
            <w:tcW w:w="8845" w:type="dxa"/>
            <w:gridSpan w:val="7"/>
            <w:shd w:val="clear" w:color="auto" w:fill="FFFFFF" w:themeFill="background1"/>
          </w:tcPr>
          <w:p w14:paraId="5B2BB5A5"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r>
      <w:tr w:rsidR="00A52173" w:rsidRPr="00A52173" w14:paraId="06E8BFCD"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E573AF"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793FB61"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Domy Dziennego Pobytu</w:t>
            </w:r>
          </w:p>
        </w:tc>
        <w:tc>
          <w:tcPr>
            <w:tcW w:w="2948" w:type="dxa"/>
            <w:gridSpan w:val="3"/>
            <w:shd w:val="clear" w:color="auto" w:fill="FFFFFF" w:themeFill="background1"/>
          </w:tcPr>
          <w:p w14:paraId="331FAD5A"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14</w:t>
            </w:r>
          </w:p>
        </w:tc>
        <w:tc>
          <w:tcPr>
            <w:tcW w:w="2948" w:type="dxa"/>
            <w:gridSpan w:val="3"/>
            <w:shd w:val="clear" w:color="auto" w:fill="FFFFFF" w:themeFill="background1"/>
          </w:tcPr>
          <w:p w14:paraId="614A2BDC"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300</w:t>
            </w:r>
          </w:p>
        </w:tc>
        <w:tc>
          <w:tcPr>
            <w:tcW w:w="2949" w:type="dxa"/>
            <w:shd w:val="clear" w:color="auto" w:fill="FFFFFF" w:themeFill="background1"/>
          </w:tcPr>
          <w:p w14:paraId="758192C7"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383</w:t>
            </w:r>
          </w:p>
        </w:tc>
      </w:tr>
      <w:tr w:rsidR="00A52173" w:rsidRPr="00A52173" w14:paraId="29A7457E" w14:textId="77777777" w:rsidTr="00E86509">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A12D758"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FDC0377"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Kluby Senior+</w:t>
            </w:r>
          </w:p>
        </w:tc>
        <w:tc>
          <w:tcPr>
            <w:tcW w:w="2948" w:type="dxa"/>
            <w:gridSpan w:val="3"/>
            <w:shd w:val="clear" w:color="auto" w:fill="FFFFFF" w:themeFill="background1"/>
          </w:tcPr>
          <w:p w14:paraId="267DC46C"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24</w:t>
            </w:r>
          </w:p>
        </w:tc>
        <w:tc>
          <w:tcPr>
            <w:tcW w:w="2948" w:type="dxa"/>
            <w:gridSpan w:val="3"/>
            <w:shd w:val="clear" w:color="auto" w:fill="FFFFFF" w:themeFill="background1"/>
          </w:tcPr>
          <w:p w14:paraId="41E5350E"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490</w:t>
            </w:r>
          </w:p>
        </w:tc>
        <w:tc>
          <w:tcPr>
            <w:tcW w:w="2949" w:type="dxa"/>
            <w:shd w:val="clear" w:color="auto" w:fill="FFFFFF" w:themeFill="background1"/>
          </w:tcPr>
          <w:p w14:paraId="1131416A" w14:textId="77777777" w:rsidR="00753D91" w:rsidRPr="00010F36"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719</w:t>
            </w:r>
          </w:p>
        </w:tc>
      </w:tr>
      <w:tr w:rsidR="00A52173" w:rsidRPr="00A52173" w14:paraId="24852902"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121BF47" w14:textId="77777777" w:rsidR="00753D91" w:rsidRPr="003D1B50" w:rsidRDefault="00753D91" w:rsidP="00E86509">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6B3CBBA"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Hospicja stacjonarne</w:t>
            </w:r>
          </w:p>
        </w:tc>
        <w:tc>
          <w:tcPr>
            <w:tcW w:w="2948" w:type="dxa"/>
            <w:gridSpan w:val="3"/>
            <w:shd w:val="clear" w:color="auto" w:fill="FFFFFF" w:themeFill="background1"/>
          </w:tcPr>
          <w:p w14:paraId="4A9B7C9B"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10</w:t>
            </w:r>
          </w:p>
        </w:tc>
        <w:tc>
          <w:tcPr>
            <w:tcW w:w="2948" w:type="dxa"/>
            <w:gridSpan w:val="3"/>
            <w:shd w:val="clear" w:color="auto" w:fill="FFFFFF" w:themeFill="background1"/>
          </w:tcPr>
          <w:p w14:paraId="4A081E93"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178</w:t>
            </w:r>
          </w:p>
        </w:tc>
        <w:tc>
          <w:tcPr>
            <w:tcW w:w="2949" w:type="dxa"/>
            <w:shd w:val="clear" w:color="auto" w:fill="FFFFFF" w:themeFill="background1"/>
          </w:tcPr>
          <w:p w14:paraId="3489C632"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2</w:t>
            </w:r>
            <w:r w:rsidR="00010F36">
              <w:rPr>
                <w:rFonts w:ascii="Times New Roman" w:hAnsi="Times New Roman"/>
                <w:color w:val="auto"/>
              </w:rPr>
              <w:t xml:space="preserve"> </w:t>
            </w:r>
            <w:r w:rsidRPr="00010F36">
              <w:rPr>
                <w:rFonts w:ascii="Times New Roman" w:hAnsi="Times New Roman"/>
                <w:color w:val="auto"/>
              </w:rPr>
              <w:t>393</w:t>
            </w:r>
          </w:p>
        </w:tc>
      </w:tr>
      <w:tr w:rsidR="00A52173" w:rsidRPr="00A52173" w14:paraId="6F403B15" w14:textId="77777777" w:rsidTr="00E86509">
        <w:trPr>
          <w:cnfStyle w:val="000000100000" w:firstRow="0" w:lastRow="0" w:firstColumn="0" w:lastColumn="0" w:oddVBand="0" w:evenVBand="0" w:oddHBand="1" w:evenHBand="0" w:firstRowFirstColumn="0" w:firstRowLastColumn="0" w:lastRowFirstColumn="0" w:lastRowLastColumn="0"/>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382F816"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r w:rsidRPr="003D1B50">
              <w:rPr>
                <w:rFonts w:ascii="Times New Roman" w:eastAsia="Times New Roman" w:hAnsi="Times New Roman"/>
                <w:color w:val="auto"/>
                <w:lang w:eastAsia="pl-PL"/>
              </w:rPr>
              <w:t>Usługi świadczone osobom starszym</w:t>
            </w:r>
          </w:p>
        </w:tc>
        <w:tc>
          <w:tcPr>
            <w:tcW w:w="3119" w:type="dxa"/>
            <w:gridSpan w:val="2"/>
            <w:shd w:val="clear" w:color="auto" w:fill="9CC2E5" w:themeFill="accent1" w:themeFillTint="99"/>
          </w:tcPr>
          <w:p w14:paraId="72742CF8"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Rodzaj usług</w:t>
            </w:r>
          </w:p>
        </w:tc>
        <w:tc>
          <w:tcPr>
            <w:tcW w:w="3685" w:type="dxa"/>
            <w:gridSpan w:val="3"/>
            <w:shd w:val="clear" w:color="auto" w:fill="9CC2E5" w:themeFill="accent1" w:themeFillTint="99"/>
          </w:tcPr>
          <w:p w14:paraId="6DEE2326"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osób starszych objętych pomocą</w:t>
            </w:r>
          </w:p>
        </w:tc>
        <w:tc>
          <w:tcPr>
            <w:tcW w:w="5107" w:type="dxa"/>
            <w:gridSpan w:val="3"/>
            <w:shd w:val="clear" w:color="auto" w:fill="9CC2E5" w:themeFill="accent1" w:themeFillTint="99"/>
          </w:tcPr>
          <w:p w14:paraId="63C748C9"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Wysokość środków przeznaczonych na usługi</w:t>
            </w:r>
          </w:p>
        </w:tc>
      </w:tr>
      <w:tr w:rsidR="00A52173" w:rsidRPr="00A52173" w14:paraId="213369EF" w14:textId="77777777" w:rsidTr="00E86509">
        <w:trPr>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E277C55"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1BD98B58" w14:textId="6F4D615E" w:rsidR="00753D91" w:rsidRPr="00010F36" w:rsidRDefault="00EE322D"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Usługi o</w:t>
            </w:r>
            <w:r w:rsidR="00753D91" w:rsidRPr="00010F36">
              <w:rPr>
                <w:rFonts w:ascii="Times New Roman" w:hAnsi="Times New Roman"/>
                <w:color w:val="auto"/>
              </w:rPr>
              <w:t>piekuńcze ogółem</w:t>
            </w:r>
          </w:p>
        </w:tc>
        <w:tc>
          <w:tcPr>
            <w:tcW w:w="3685" w:type="dxa"/>
            <w:gridSpan w:val="3"/>
            <w:shd w:val="clear" w:color="auto" w:fill="FFFFFF" w:themeFill="background1"/>
            <w:vAlign w:val="center"/>
          </w:tcPr>
          <w:p w14:paraId="03C366DF"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6 403</w:t>
            </w:r>
          </w:p>
        </w:tc>
        <w:tc>
          <w:tcPr>
            <w:tcW w:w="5107" w:type="dxa"/>
            <w:gridSpan w:val="3"/>
            <w:shd w:val="clear" w:color="auto" w:fill="FFFFFF" w:themeFill="background1"/>
            <w:vAlign w:val="center"/>
          </w:tcPr>
          <w:p w14:paraId="7A4E1974" w14:textId="77777777" w:rsidR="00753D91" w:rsidRPr="00010F36"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010F36">
              <w:rPr>
                <w:rFonts w:ascii="Times New Roman" w:hAnsi="Times New Roman"/>
                <w:color w:val="auto"/>
              </w:rPr>
              <w:t>46 143 272 zł</w:t>
            </w:r>
          </w:p>
        </w:tc>
      </w:tr>
      <w:tr w:rsidR="00010F36" w:rsidRPr="00A52173" w14:paraId="60973C06" w14:textId="77777777" w:rsidTr="00E8650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C73B3CA" w14:textId="77777777" w:rsidR="00010F36" w:rsidRPr="003D1B50" w:rsidRDefault="00010F36" w:rsidP="00E86509">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0DC52E8B" w14:textId="77777777" w:rsidR="00010F36" w:rsidRPr="003D1B50" w:rsidRDefault="00010F36"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w tym:</w:t>
            </w:r>
          </w:p>
        </w:tc>
      </w:tr>
      <w:tr w:rsidR="00A52173" w:rsidRPr="00A52173" w14:paraId="58BE64F5" w14:textId="77777777" w:rsidTr="00E86509">
        <w:trPr>
          <w:trHeight w:val="118"/>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4E68E7E"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3BF54939" w14:textId="1906E106" w:rsidR="00753D91" w:rsidRPr="003D1B50" w:rsidRDefault="00EE322D"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753D91" w:rsidRPr="003D1B50">
              <w:rPr>
                <w:rFonts w:ascii="Times New Roman" w:hAnsi="Times New Roman"/>
                <w:color w:val="auto"/>
              </w:rPr>
              <w:t xml:space="preserve">pecjalistyczne </w:t>
            </w:r>
            <w:r>
              <w:rPr>
                <w:rFonts w:ascii="Times New Roman" w:hAnsi="Times New Roman"/>
                <w:color w:val="auto"/>
              </w:rPr>
              <w:t xml:space="preserve">usługi </w:t>
            </w:r>
            <w:r w:rsidR="00753D91" w:rsidRPr="003D1B50">
              <w:rPr>
                <w:rFonts w:ascii="Times New Roman" w:hAnsi="Times New Roman"/>
                <w:color w:val="auto"/>
              </w:rPr>
              <w:t>opiekuńcze</w:t>
            </w:r>
          </w:p>
        </w:tc>
        <w:tc>
          <w:tcPr>
            <w:tcW w:w="3685" w:type="dxa"/>
            <w:gridSpan w:val="3"/>
            <w:shd w:val="clear" w:color="auto" w:fill="FFFFFF" w:themeFill="background1"/>
            <w:vAlign w:val="center"/>
          </w:tcPr>
          <w:p w14:paraId="4C06D431"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181</w:t>
            </w:r>
          </w:p>
        </w:tc>
        <w:tc>
          <w:tcPr>
            <w:tcW w:w="5107" w:type="dxa"/>
            <w:gridSpan w:val="3"/>
            <w:shd w:val="clear" w:color="auto" w:fill="FFFFFF" w:themeFill="background1"/>
            <w:vAlign w:val="center"/>
          </w:tcPr>
          <w:p w14:paraId="3D073664"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1 208 602 zł</w:t>
            </w:r>
          </w:p>
        </w:tc>
      </w:tr>
      <w:tr w:rsidR="00A52173" w:rsidRPr="00A52173" w14:paraId="5A2006CF" w14:textId="77777777" w:rsidTr="00E86509">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B33E18C"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306089D5" w14:textId="70B3085E" w:rsidR="00753D91" w:rsidRPr="003D1B50" w:rsidRDefault="00EE322D"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753D91" w:rsidRPr="003D1B50">
              <w:rPr>
                <w:rFonts w:ascii="Times New Roman" w:hAnsi="Times New Roman"/>
                <w:color w:val="auto"/>
              </w:rPr>
              <w:t>pecjalistyczne usługi</w:t>
            </w:r>
            <w:r>
              <w:rPr>
                <w:rFonts w:ascii="Times New Roman" w:hAnsi="Times New Roman"/>
                <w:color w:val="auto"/>
              </w:rPr>
              <w:t xml:space="preserve"> opiekuńcze w miejscu zamieszkania</w:t>
            </w:r>
            <w:r w:rsidR="00753D91" w:rsidRPr="003D1B50">
              <w:rPr>
                <w:rFonts w:ascii="Times New Roman" w:hAnsi="Times New Roman"/>
                <w:color w:val="auto"/>
              </w:rPr>
              <w:t xml:space="preserve"> dla osób z zaburzeniami psychicznymi</w:t>
            </w:r>
          </w:p>
        </w:tc>
        <w:tc>
          <w:tcPr>
            <w:tcW w:w="3685" w:type="dxa"/>
            <w:gridSpan w:val="3"/>
            <w:shd w:val="clear" w:color="auto" w:fill="FFFFFF" w:themeFill="background1"/>
            <w:vAlign w:val="center"/>
          </w:tcPr>
          <w:p w14:paraId="02947F48"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373</w:t>
            </w:r>
          </w:p>
        </w:tc>
        <w:tc>
          <w:tcPr>
            <w:tcW w:w="5107" w:type="dxa"/>
            <w:gridSpan w:val="3"/>
            <w:shd w:val="clear" w:color="auto" w:fill="FFFFFF" w:themeFill="background1"/>
            <w:vAlign w:val="center"/>
          </w:tcPr>
          <w:p w14:paraId="15E3AAE6"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6 201 977 zł</w:t>
            </w:r>
          </w:p>
        </w:tc>
      </w:tr>
      <w:tr w:rsidR="00A52173" w:rsidRPr="00A52173" w14:paraId="1EB873A9" w14:textId="77777777" w:rsidTr="00E86509">
        <w:trPr>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9B20818"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r w:rsidRPr="003D1B50">
              <w:rPr>
                <w:rFonts w:ascii="Times New Roman" w:eastAsia="Times New Roman" w:hAnsi="Times New Roman"/>
                <w:color w:val="auto"/>
                <w:lang w:eastAsia="pl-PL"/>
              </w:rPr>
              <w:t>Świadczenia pieniężne przyznane osobom starszym</w:t>
            </w:r>
          </w:p>
        </w:tc>
        <w:tc>
          <w:tcPr>
            <w:tcW w:w="3119" w:type="dxa"/>
            <w:gridSpan w:val="2"/>
            <w:shd w:val="clear" w:color="auto" w:fill="9CC2E5" w:themeFill="accent1" w:themeFillTint="99"/>
          </w:tcPr>
          <w:p w14:paraId="5DED52D7"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Nazwa świadczenia</w:t>
            </w:r>
          </w:p>
        </w:tc>
        <w:tc>
          <w:tcPr>
            <w:tcW w:w="3685" w:type="dxa"/>
            <w:gridSpan w:val="3"/>
            <w:shd w:val="clear" w:color="auto" w:fill="9CC2E5" w:themeFill="accent1" w:themeFillTint="99"/>
          </w:tcPr>
          <w:p w14:paraId="748FDEF0"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Liczba osób starszych</w:t>
            </w:r>
          </w:p>
        </w:tc>
        <w:tc>
          <w:tcPr>
            <w:tcW w:w="5107" w:type="dxa"/>
            <w:gridSpan w:val="3"/>
            <w:shd w:val="clear" w:color="auto" w:fill="9CC2E5" w:themeFill="accent1" w:themeFillTint="99"/>
          </w:tcPr>
          <w:p w14:paraId="4E689F6A"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D1B50">
              <w:rPr>
                <w:rFonts w:ascii="Times New Roman" w:hAnsi="Times New Roman"/>
                <w:b/>
                <w:color w:val="auto"/>
              </w:rPr>
              <w:t>Kwota świadczenia</w:t>
            </w:r>
          </w:p>
        </w:tc>
      </w:tr>
      <w:tr w:rsidR="00A52173" w:rsidRPr="00A52173" w14:paraId="54DC70FE"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539DF2E"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3833B7CF"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Zasiłek stały</w:t>
            </w:r>
          </w:p>
        </w:tc>
        <w:tc>
          <w:tcPr>
            <w:tcW w:w="3685" w:type="dxa"/>
            <w:gridSpan w:val="3"/>
            <w:shd w:val="clear" w:color="auto" w:fill="FFFFFF" w:themeFill="background1"/>
            <w:vAlign w:val="center"/>
          </w:tcPr>
          <w:p w14:paraId="331F60B5"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4 527</w:t>
            </w:r>
          </w:p>
        </w:tc>
        <w:tc>
          <w:tcPr>
            <w:tcW w:w="5107" w:type="dxa"/>
            <w:gridSpan w:val="3"/>
            <w:shd w:val="clear" w:color="auto" w:fill="FFFFFF" w:themeFill="background1"/>
            <w:vAlign w:val="center"/>
          </w:tcPr>
          <w:p w14:paraId="55CDD7CB"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25 132 506 zł</w:t>
            </w:r>
          </w:p>
        </w:tc>
      </w:tr>
      <w:tr w:rsidR="00A52173" w:rsidRPr="00A52173" w14:paraId="6FC1A440"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7E7AFD8"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7E51B6B3"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Zasiłek okresowy</w:t>
            </w:r>
          </w:p>
        </w:tc>
        <w:tc>
          <w:tcPr>
            <w:tcW w:w="3685" w:type="dxa"/>
            <w:gridSpan w:val="3"/>
            <w:shd w:val="clear" w:color="auto" w:fill="FFFFFF" w:themeFill="background1"/>
            <w:vAlign w:val="center"/>
          </w:tcPr>
          <w:p w14:paraId="1FDAEAF0"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1 116</w:t>
            </w:r>
          </w:p>
        </w:tc>
        <w:tc>
          <w:tcPr>
            <w:tcW w:w="5107" w:type="dxa"/>
            <w:gridSpan w:val="3"/>
            <w:shd w:val="clear" w:color="auto" w:fill="FFFFFF" w:themeFill="background1"/>
            <w:vAlign w:val="center"/>
          </w:tcPr>
          <w:p w14:paraId="2C73C10C"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2 104 262 zł</w:t>
            </w:r>
          </w:p>
        </w:tc>
      </w:tr>
      <w:tr w:rsidR="00A52173" w:rsidRPr="00A52173" w14:paraId="6359E8F3"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C7229C"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5C87A225" w14:textId="77777777" w:rsidR="00753D91" w:rsidRPr="003D1B50" w:rsidRDefault="00753D91"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Zasiłek celowy</w:t>
            </w:r>
          </w:p>
        </w:tc>
        <w:tc>
          <w:tcPr>
            <w:tcW w:w="3685" w:type="dxa"/>
            <w:gridSpan w:val="3"/>
            <w:shd w:val="clear" w:color="auto" w:fill="FFFFFF" w:themeFill="background1"/>
            <w:vAlign w:val="center"/>
          </w:tcPr>
          <w:p w14:paraId="5A645FCC"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4 605</w:t>
            </w:r>
          </w:p>
        </w:tc>
        <w:tc>
          <w:tcPr>
            <w:tcW w:w="5107" w:type="dxa"/>
            <w:gridSpan w:val="3"/>
            <w:shd w:val="clear" w:color="auto" w:fill="FFFFFF" w:themeFill="background1"/>
            <w:vAlign w:val="center"/>
          </w:tcPr>
          <w:p w14:paraId="57BC06B3" w14:textId="77777777" w:rsidR="00753D91" w:rsidRPr="003D1B50" w:rsidRDefault="00753D91"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5 244 590 zł</w:t>
            </w:r>
          </w:p>
        </w:tc>
      </w:tr>
      <w:tr w:rsidR="00A52173" w:rsidRPr="00A52173" w14:paraId="2043BEF1"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B4AB003" w14:textId="77777777" w:rsidR="00753D91" w:rsidRPr="003D1B50" w:rsidRDefault="00753D91" w:rsidP="00E86509">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4B4F0E9F" w14:textId="77777777" w:rsidR="00753D91" w:rsidRPr="003D1B50" w:rsidRDefault="00753D91"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Specjalny zasiłek celowy</w:t>
            </w:r>
          </w:p>
        </w:tc>
        <w:tc>
          <w:tcPr>
            <w:tcW w:w="3685" w:type="dxa"/>
            <w:gridSpan w:val="3"/>
            <w:shd w:val="clear" w:color="auto" w:fill="FFFFFF" w:themeFill="background1"/>
            <w:vAlign w:val="center"/>
          </w:tcPr>
          <w:p w14:paraId="32F0D80F"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3 006</w:t>
            </w:r>
          </w:p>
        </w:tc>
        <w:tc>
          <w:tcPr>
            <w:tcW w:w="5107" w:type="dxa"/>
            <w:gridSpan w:val="3"/>
            <w:shd w:val="clear" w:color="auto" w:fill="FFFFFF" w:themeFill="background1"/>
            <w:vAlign w:val="center"/>
          </w:tcPr>
          <w:p w14:paraId="5C9D794F" w14:textId="77777777" w:rsidR="00753D91" w:rsidRPr="003D1B50" w:rsidRDefault="00753D91"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D1B50">
              <w:rPr>
                <w:rFonts w:ascii="Times New Roman" w:hAnsi="Times New Roman"/>
                <w:color w:val="auto"/>
              </w:rPr>
              <w:t>1 811 980 zł</w:t>
            </w:r>
          </w:p>
        </w:tc>
      </w:tr>
      <w:tr w:rsidR="00A52173" w:rsidRPr="00A52173" w14:paraId="179F7C09" w14:textId="77777777" w:rsidTr="00E86509">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200E4F6" w14:textId="77777777" w:rsidR="00753D91" w:rsidRPr="003D1B50" w:rsidRDefault="00753D91" w:rsidP="00E86509">
            <w:pPr>
              <w:spacing w:after="0" w:line="240" w:lineRule="auto"/>
              <w:rPr>
                <w:rFonts w:ascii="Times New Roman" w:hAnsi="Times New Roman"/>
                <w:b w:val="0"/>
                <w:color w:val="auto"/>
                <w:lang w:eastAsia="pl-PL"/>
              </w:rPr>
            </w:pPr>
            <w:r w:rsidRPr="003D1B50">
              <w:rPr>
                <w:rFonts w:ascii="Times New Roman" w:hAnsi="Times New Roman"/>
                <w:color w:val="auto"/>
                <w:lang w:eastAsia="pl-PL"/>
              </w:rPr>
              <w:t xml:space="preserve">Największe problemy/niedogodności w świadczeniu opieki nad osobami starszymi (np. </w:t>
            </w:r>
            <w:r w:rsidRPr="003D1B50">
              <w:rPr>
                <w:rFonts w:ascii="Times New Roman" w:hAnsi="Times New Roman"/>
                <w:color w:val="auto"/>
                <w:lang w:eastAsia="pl-PL"/>
              </w:rPr>
              <w:lastRenderedPageBreak/>
              <w:t>zasoby kadrowe, rzeczowe, finansowe itp.)</w:t>
            </w:r>
          </w:p>
        </w:tc>
        <w:tc>
          <w:tcPr>
            <w:tcW w:w="11911" w:type="dxa"/>
            <w:gridSpan w:val="8"/>
            <w:shd w:val="clear" w:color="auto" w:fill="FFFFFF" w:themeFill="background1"/>
          </w:tcPr>
          <w:p w14:paraId="575CA129" w14:textId="77777777" w:rsidR="00753D91" w:rsidRPr="003D1B50" w:rsidRDefault="00753D91" w:rsidP="00E86509">
            <w:pPr>
              <w:pStyle w:val="Standard"/>
              <w:numPr>
                <w:ilvl w:val="0"/>
                <w:numId w:val="395"/>
              </w:numPr>
              <w:autoSpaceDE w:val="0"/>
              <w:snapToGrid w:val="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rPr>
            </w:pPr>
            <w:r w:rsidRPr="003D1B50">
              <w:rPr>
                <w:rFonts w:ascii="Times New Roman" w:hAnsi="Times New Roman" w:cs="Times New Roman"/>
                <w:color w:val="auto"/>
                <w:sz w:val="22"/>
                <w:szCs w:val="22"/>
              </w:rPr>
              <w:lastRenderedPageBreak/>
              <w:t>Niewystarczające zasoby instytucjonalne wsparcia dziennego i całodobowego na rzecz osób starszych, w tym osób bezdomnych wymagających usług całodobowych, w tym medycznych</w:t>
            </w:r>
          </w:p>
        </w:tc>
      </w:tr>
      <w:tr w:rsidR="00A52173" w:rsidRPr="00A52173" w14:paraId="3E1AC715" w14:textId="77777777" w:rsidTr="00E86509">
        <w:trPr>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C662C73" w14:textId="77777777" w:rsidR="00753D91" w:rsidRPr="003D1B50" w:rsidRDefault="00753D91" w:rsidP="00E86509">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56C4270B" w14:textId="77777777" w:rsidR="00753D91" w:rsidRPr="003D1B50" w:rsidRDefault="00753D91" w:rsidP="00E86509">
            <w:pPr>
              <w:pStyle w:val="Standard"/>
              <w:numPr>
                <w:ilvl w:val="0"/>
                <w:numId w:val="395"/>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3D1B50">
              <w:rPr>
                <w:rFonts w:ascii="Times New Roman" w:hAnsi="Times New Roman" w:cs="Times New Roman"/>
                <w:color w:val="auto"/>
                <w:sz w:val="22"/>
                <w:szCs w:val="22"/>
              </w:rPr>
              <w:t>Niewystarczające ilości kandydatów na opiekunów prawnych dla osób całkowicie oraz kuratorów dla osób częściowo ubezwłasnowolnionych</w:t>
            </w:r>
          </w:p>
        </w:tc>
      </w:tr>
      <w:tr w:rsidR="00A52173" w:rsidRPr="00A52173" w14:paraId="13EDDE3A"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45454A9" w14:textId="77777777" w:rsidR="00753D91" w:rsidRPr="003D1B50" w:rsidRDefault="00753D91" w:rsidP="00E86509">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52409DAD" w14:textId="77777777" w:rsidR="00753D91" w:rsidRPr="003D1B50" w:rsidRDefault="00753D91" w:rsidP="00E86509">
            <w:pPr>
              <w:pStyle w:val="Standard"/>
              <w:numPr>
                <w:ilvl w:val="0"/>
                <w:numId w:val="39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rPr>
            </w:pPr>
            <w:r w:rsidRPr="003D1B50">
              <w:rPr>
                <w:rFonts w:ascii="Times New Roman" w:hAnsi="Times New Roman" w:cs="Times New Roman"/>
                <w:color w:val="auto"/>
                <w:sz w:val="22"/>
                <w:szCs w:val="22"/>
              </w:rPr>
              <w:t>Mała dostępność do lekarzy o specjalizacji geriatrycznej, poradnictwa geriatrycznego</w:t>
            </w:r>
          </w:p>
        </w:tc>
      </w:tr>
      <w:tr w:rsidR="00A52173" w:rsidRPr="00A52173" w14:paraId="71F8915F" w14:textId="77777777" w:rsidTr="00E86509">
        <w:trPr>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7730B86" w14:textId="77777777" w:rsidR="00753D91" w:rsidRPr="003D1B50" w:rsidRDefault="00753D91" w:rsidP="00E86509">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038DCCDB" w14:textId="77777777" w:rsidR="00753D91" w:rsidRPr="003D1B50" w:rsidRDefault="00753D91" w:rsidP="00E86509">
            <w:pPr>
              <w:pStyle w:val="Standard"/>
              <w:numPr>
                <w:ilvl w:val="0"/>
                <w:numId w:val="395"/>
              </w:numPr>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3D1B50">
              <w:rPr>
                <w:rFonts w:ascii="Times New Roman" w:hAnsi="Times New Roman" w:cs="Times New Roman"/>
                <w:color w:val="auto"/>
                <w:sz w:val="22"/>
                <w:szCs w:val="22"/>
              </w:rPr>
              <w:t>Brak podmiotów zewnętrznych do świadczenia usług opiekuńczych</w:t>
            </w:r>
          </w:p>
        </w:tc>
      </w:tr>
      <w:tr w:rsidR="00A52173" w:rsidRPr="00A52173" w14:paraId="42F7CE45"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7EDE2F8" w14:textId="77777777" w:rsidR="00753D91" w:rsidRPr="003D1B50" w:rsidRDefault="00753D91" w:rsidP="00E86509">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2C292EDE" w14:textId="77777777" w:rsidR="00753D91" w:rsidRPr="003D1B50" w:rsidRDefault="00753D91" w:rsidP="00E86509">
            <w:pPr>
              <w:pStyle w:val="Standard"/>
              <w:numPr>
                <w:ilvl w:val="0"/>
                <w:numId w:val="395"/>
              </w:numPr>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2"/>
                <w:szCs w:val="22"/>
              </w:rPr>
            </w:pPr>
            <w:r w:rsidRPr="003D1B50">
              <w:rPr>
                <w:rFonts w:ascii="Times New Roman" w:hAnsi="Times New Roman" w:cs="Times New Roman"/>
                <w:color w:val="auto"/>
                <w:sz w:val="22"/>
                <w:szCs w:val="22"/>
              </w:rPr>
              <w:t>Brak infrastruktury autobusowej, kolejowej – gminy wiejskie o dużej powierzchni i dużych odległościach pomiędzy miejscowościami, brak zasobów OPS do finansowania dojazdów</w:t>
            </w:r>
          </w:p>
        </w:tc>
      </w:tr>
      <w:tr w:rsidR="00A52173" w:rsidRPr="00A52173" w14:paraId="304F0937" w14:textId="77777777" w:rsidTr="00E86509">
        <w:trPr>
          <w:trHeight w:val="442"/>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7B0FBD1" w14:textId="77777777" w:rsidR="00753D91" w:rsidRPr="003D1B50" w:rsidRDefault="00753D91" w:rsidP="00E86509">
            <w:pPr>
              <w:spacing w:after="0" w:line="240" w:lineRule="auto"/>
              <w:rPr>
                <w:rFonts w:ascii="Times New Roman" w:hAnsi="Times New Roman"/>
                <w:color w:val="auto"/>
                <w:lang w:eastAsia="pl-PL"/>
              </w:rPr>
            </w:pPr>
            <w:r w:rsidRPr="003D1B50">
              <w:rPr>
                <w:rFonts w:ascii="Times New Roman" w:hAnsi="Times New Roman"/>
                <w:color w:val="auto"/>
                <w:lang w:eastAsia="pl-PL"/>
              </w:rPr>
              <w:t>Stopień zaspokojenia potrzeb w zakresie usług opiekuńczych</w:t>
            </w:r>
          </w:p>
        </w:tc>
        <w:tc>
          <w:tcPr>
            <w:tcW w:w="11911" w:type="dxa"/>
            <w:gridSpan w:val="8"/>
            <w:shd w:val="clear" w:color="auto" w:fill="FFFFFF" w:themeFill="background1"/>
          </w:tcPr>
          <w:p w14:paraId="1BB95719" w14:textId="77777777" w:rsidR="00753D91" w:rsidRPr="003D1B50" w:rsidRDefault="00753D91" w:rsidP="00E86509">
            <w:pPr>
              <w:pStyle w:val="Standard"/>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2"/>
                <w:szCs w:val="22"/>
              </w:rPr>
            </w:pPr>
            <w:r w:rsidRPr="003D1B50">
              <w:rPr>
                <w:rFonts w:ascii="Times New Roman" w:hAnsi="Times New Roman" w:cs="Times New Roman"/>
                <w:color w:val="auto"/>
                <w:sz w:val="22"/>
                <w:szCs w:val="22"/>
              </w:rPr>
              <w:t>Potrzeby w zakresie usług opiekuńczych w województwie pomorskim są zaspokajane na bieżąco.</w:t>
            </w:r>
          </w:p>
        </w:tc>
      </w:tr>
    </w:tbl>
    <w:p w14:paraId="6321401F" w14:textId="77777777" w:rsidR="00753D91" w:rsidRDefault="00753D91" w:rsidP="008C71A9">
      <w:pPr>
        <w:pStyle w:val="Nagwek2"/>
        <w:numPr>
          <w:ilvl w:val="1"/>
          <w:numId w:val="97"/>
        </w:numPr>
        <w:spacing w:before="0"/>
        <w:rPr>
          <w:rFonts w:eastAsia="Times New Roman" w:cs="Times New Roman"/>
          <w:sz w:val="24"/>
          <w:szCs w:val="24"/>
          <w:lang w:eastAsia="ar-SA"/>
        </w:rPr>
        <w:sectPr w:rsidR="00753D91" w:rsidSect="00DB6308">
          <w:pgSz w:w="16838" w:h="11900" w:orient="landscape"/>
          <w:pgMar w:top="1380" w:right="1384" w:bottom="1386" w:left="1038" w:header="0" w:footer="567" w:gutter="0"/>
          <w:cols w:space="0" w:equalWidth="0">
            <w:col w:w="9140"/>
          </w:cols>
          <w:docGrid w:linePitch="360"/>
        </w:sectPr>
      </w:pPr>
    </w:p>
    <w:p w14:paraId="0DA5C77F" w14:textId="77777777" w:rsidR="00AB1786" w:rsidRPr="00AF051D" w:rsidRDefault="00B25D75" w:rsidP="00AF051D">
      <w:pPr>
        <w:pStyle w:val="Nagwek2"/>
        <w:numPr>
          <w:ilvl w:val="1"/>
          <w:numId w:val="97"/>
        </w:numPr>
        <w:spacing w:before="240" w:after="240"/>
        <w:rPr>
          <w:rFonts w:eastAsia="Times New Roman" w:cs="Times New Roman"/>
          <w:sz w:val="40"/>
          <w:lang w:eastAsia="ar-SA"/>
        </w:rPr>
      </w:pPr>
      <w:bookmarkStart w:id="148" w:name="_Toc49171367"/>
      <w:r w:rsidRPr="00AF051D">
        <w:rPr>
          <w:rFonts w:eastAsia="Times New Roman" w:cs="Times New Roman"/>
          <w:sz w:val="40"/>
          <w:lang w:eastAsia="ar-SA"/>
        </w:rPr>
        <w:lastRenderedPageBreak/>
        <w:t xml:space="preserve">Województwo </w:t>
      </w:r>
      <w:r w:rsidR="005F0A32" w:rsidRPr="00AF051D">
        <w:rPr>
          <w:rFonts w:eastAsia="Times New Roman" w:cs="Times New Roman"/>
          <w:sz w:val="40"/>
          <w:lang w:eastAsia="ar-SA"/>
        </w:rPr>
        <w:t>ś</w:t>
      </w:r>
      <w:r w:rsidR="00475EFA" w:rsidRPr="00AF051D">
        <w:rPr>
          <w:rFonts w:eastAsia="Times New Roman" w:cs="Times New Roman"/>
          <w:sz w:val="40"/>
          <w:lang w:eastAsia="ar-SA"/>
        </w:rPr>
        <w:t>ląskie</w:t>
      </w:r>
      <w:bookmarkEnd w:id="148"/>
    </w:p>
    <w:p w14:paraId="2BE30BA2" w14:textId="77777777" w:rsidR="00E729E7" w:rsidRPr="00AF6E57" w:rsidRDefault="00E729E7" w:rsidP="000D7CDE">
      <w:pPr>
        <w:spacing w:after="0"/>
        <w:jc w:val="both"/>
        <w:rPr>
          <w:rFonts w:ascii="Times New Roman" w:hAnsi="Times New Roman" w:cs="Times New Roman"/>
          <w:b/>
          <w:color w:val="00B0F0"/>
          <w:sz w:val="24"/>
          <w:szCs w:val="24"/>
          <w:lang w:eastAsia="ar-SA"/>
        </w:rPr>
      </w:pPr>
      <w:r w:rsidRPr="00AF6E57">
        <w:rPr>
          <w:rFonts w:ascii="Times New Roman" w:hAnsi="Times New Roman" w:cs="Times New Roman"/>
          <w:b/>
          <w:color w:val="00B0F0"/>
          <w:sz w:val="24"/>
          <w:szCs w:val="24"/>
          <w:lang w:eastAsia="ar-SA"/>
        </w:rPr>
        <w:t>Dokumenty, strategie i działania na rzecz osób starszych</w:t>
      </w:r>
    </w:p>
    <w:p w14:paraId="40421E0B" w14:textId="77777777" w:rsidR="00E729E7" w:rsidRPr="00E729E7" w:rsidRDefault="00E729E7" w:rsidP="000D7CDE">
      <w:pPr>
        <w:spacing w:after="0"/>
        <w:jc w:val="both"/>
        <w:rPr>
          <w:rFonts w:ascii="Times New Roman" w:hAnsi="Times New Roman" w:cs="Times New Roman"/>
          <w:b/>
          <w:bCs/>
          <w:sz w:val="24"/>
          <w:szCs w:val="24"/>
        </w:rPr>
      </w:pPr>
    </w:p>
    <w:p w14:paraId="43875DD1" w14:textId="77777777" w:rsidR="00AB1786" w:rsidRPr="00E729E7" w:rsidRDefault="00AF6E57" w:rsidP="000D7CDE">
      <w:pPr>
        <w:spacing w:after="0"/>
        <w:jc w:val="both"/>
        <w:rPr>
          <w:rFonts w:ascii="Times New Roman" w:hAnsi="Times New Roman" w:cs="Times New Roman"/>
          <w:b/>
          <w:bCs/>
          <w:i/>
          <w:iCs/>
          <w:sz w:val="24"/>
          <w:szCs w:val="24"/>
        </w:rPr>
      </w:pPr>
      <w:r w:rsidRPr="00AF6E57">
        <w:rPr>
          <w:rFonts w:ascii="Times New Roman" w:hAnsi="Times New Roman" w:cs="Times New Roman"/>
          <w:bCs/>
          <w:sz w:val="24"/>
          <w:szCs w:val="24"/>
        </w:rPr>
        <w:t>W</w:t>
      </w:r>
      <w:r>
        <w:rPr>
          <w:rFonts w:ascii="Times New Roman" w:hAnsi="Times New Roman" w:cs="Times New Roman"/>
          <w:b/>
          <w:bCs/>
          <w:sz w:val="24"/>
          <w:szCs w:val="24"/>
        </w:rPr>
        <w:t xml:space="preserve"> „Strategii</w:t>
      </w:r>
      <w:r w:rsidR="00AB1786" w:rsidRPr="00E729E7">
        <w:rPr>
          <w:rFonts w:ascii="Times New Roman" w:hAnsi="Times New Roman" w:cs="Times New Roman"/>
          <w:b/>
          <w:bCs/>
          <w:sz w:val="24"/>
          <w:szCs w:val="24"/>
        </w:rPr>
        <w:t xml:space="preserve"> Polityki Społecznej Województwa Śląskiego na lata 2006-2020. Aktualizacja 2015”, </w:t>
      </w:r>
      <w:r w:rsidRPr="00AF6E57">
        <w:rPr>
          <w:rFonts w:ascii="Times New Roman" w:hAnsi="Times New Roman" w:cs="Times New Roman"/>
          <w:i/>
          <w:sz w:val="24"/>
          <w:szCs w:val="24"/>
        </w:rPr>
        <w:t>przyjętej</w:t>
      </w:r>
      <w:r w:rsidR="00AB1786" w:rsidRPr="00AF6E57">
        <w:rPr>
          <w:rFonts w:ascii="Times New Roman" w:hAnsi="Times New Roman" w:cs="Times New Roman"/>
          <w:i/>
          <w:sz w:val="24"/>
          <w:szCs w:val="24"/>
        </w:rPr>
        <w:t xml:space="preserve"> Uchwałą nr V/11/6/2015 Sejmiku Województwa Śląskie</w:t>
      </w:r>
      <w:r w:rsidRPr="00AF6E57">
        <w:rPr>
          <w:rFonts w:ascii="Times New Roman" w:hAnsi="Times New Roman" w:cs="Times New Roman"/>
          <w:i/>
          <w:sz w:val="24"/>
          <w:szCs w:val="24"/>
        </w:rPr>
        <w:t xml:space="preserve">go z dnia 31 sierpnia 2015 r. </w:t>
      </w:r>
      <w:r w:rsidR="00AB1786" w:rsidRPr="00E729E7">
        <w:rPr>
          <w:rFonts w:ascii="Times New Roman" w:eastAsia="Calibri" w:hAnsi="Times New Roman" w:cs="Times New Roman"/>
          <w:sz w:val="24"/>
          <w:szCs w:val="24"/>
        </w:rPr>
        <w:t xml:space="preserve">zawarto cel strategiczny poświęcony problematyce osób starszych: </w:t>
      </w:r>
      <w:r w:rsidR="00AB1786" w:rsidRPr="00E729E7">
        <w:rPr>
          <w:rFonts w:ascii="Times New Roman" w:eastAsia="Calibri" w:hAnsi="Times New Roman" w:cs="Times New Roman"/>
          <w:i/>
          <w:sz w:val="24"/>
          <w:szCs w:val="24"/>
        </w:rPr>
        <w:t>Tworzenie warunków do pełnego uczestnictwa osób starszych w życiu społecznym, w tym zawodowym</w:t>
      </w:r>
      <w:r w:rsidR="00AB1786" w:rsidRPr="00E729E7">
        <w:rPr>
          <w:rFonts w:ascii="Times New Roman" w:eastAsia="Calibri" w:hAnsi="Times New Roman" w:cs="Times New Roman"/>
          <w:sz w:val="24"/>
          <w:szCs w:val="24"/>
        </w:rPr>
        <w:t xml:space="preserve"> wraz z następującymi kierunkami działań i działaniami:</w:t>
      </w:r>
    </w:p>
    <w:p w14:paraId="3B270241" w14:textId="77777777" w:rsidR="00AD2619" w:rsidRPr="00AD2619" w:rsidRDefault="00AB1786" w:rsidP="008C71A9">
      <w:pPr>
        <w:pStyle w:val="Akapitzlist"/>
        <w:numPr>
          <w:ilvl w:val="0"/>
          <w:numId w:val="153"/>
        </w:numPr>
        <w:spacing w:after="0"/>
        <w:ind w:left="360"/>
        <w:jc w:val="both"/>
        <w:rPr>
          <w:rFonts w:ascii="Times New Roman" w:eastAsia="Calibri" w:hAnsi="Times New Roman" w:cs="Times New Roman"/>
          <w:i/>
          <w:sz w:val="24"/>
          <w:szCs w:val="24"/>
        </w:rPr>
      </w:pPr>
      <w:r w:rsidRPr="00E729E7">
        <w:rPr>
          <w:rFonts w:ascii="Times New Roman" w:eastAsia="Calibri" w:hAnsi="Times New Roman" w:cs="Times New Roman"/>
          <w:i/>
          <w:sz w:val="24"/>
          <w:szCs w:val="24"/>
        </w:rPr>
        <w:t>Wspieranie i wzmacnianie potencjału osób starszych o</w:t>
      </w:r>
      <w:r w:rsidR="00E729E7">
        <w:rPr>
          <w:rFonts w:ascii="Times New Roman" w:eastAsia="Calibri" w:hAnsi="Times New Roman" w:cs="Times New Roman"/>
          <w:i/>
          <w:sz w:val="24"/>
          <w:szCs w:val="24"/>
        </w:rPr>
        <w:t>raz aktywnego ich uczestnictwa</w:t>
      </w:r>
      <w:r w:rsidRPr="00E729E7">
        <w:rPr>
          <w:rFonts w:ascii="Times New Roman" w:eastAsia="Calibri" w:hAnsi="Times New Roman" w:cs="Times New Roman"/>
          <w:i/>
          <w:sz w:val="24"/>
          <w:szCs w:val="24"/>
        </w:rPr>
        <w:t xml:space="preserve">  w życiu społecznym: </w:t>
      </w:r>
      <w:r w:rsidRPr="00E729E7">
        <w:rPr>
          <w:rFonts w:ascii="Times New Roman" w:eastAsia="Calibri" w:hAnsi="Times New Roman" w:cs="Times New Roman"/>
          <w:sz w:val="24"/>
          <w:szCs w:val="24"/>
        </w:rPr>
        <w:t>Wspieranie rozwiązań zwiększających motywację seniorów do aktywności fizycznej i wyboru zachowań prozdrowotnych; Inicjowanie działań na rzecz rozwoju wolontariatu oraz aktywności obywatelskiej osób starszych; Propagowanie idei uczenia się przez całe życie i wspieranie innowacyjnych rozwiązań na rzecz rozwoju kapitału ludzkiego i społecznego osób starszych; Wspieranie inicjatyw przyspieszających rozwój „srebrnej gospodarki”; Utworzenie Regionalnej Księgi Dobrych Praktyk w zakresie polityki gerontospołecznej;</w:t>
      </w:r>
      <w:r w:rsidRPr="00E729E7">
        <w:rPr>
          <w:rFonts w:ascii="Times New Roman" w:eastAsia="Calibri" w:hAnsi="Times New Roman" w:cs="Times New Roman"/>
          <w:i/>
          <w:sz w:val="24"/>
          <w:szCs w:val="24"/>
        </w:rPr>
        <w:t xml:space="preserve"> </w:t>
      </w:r>
      <w:r w:rsidRPr="00E729E7">
        <w:rPr>
          <w:rFonts w:ascii="Times New Roman" w:eastAsia="Calibri" w:hAnsi="Times New Roman" w:cs="Times New Roman"/>
          <w:sz w:val="24"/>
          <w:szCs w:val="24"/>
        </w:rPr>
        <w:t>Powołanie rady ekspertów/ rady ds. polityki senioralnej przy marszałku jako organu doradczego, konsultacyjnego i inicjatywnego w sprawach dotyczących osób starszych.</w:t>
      </w:r>
    </w:p>
    <w:p w14:paraId="628E3D98" w14:textId="77777777" w:rsidR="00AD2619" w:rsidRPr="00AD2619" w:rsidRDefault="00AB1786" w:rsidP="008C71A9">
      <w:pPr>
        <w:pStyle w:val="Akapitzlist"/>
        <w:numPr>
          <w:ilvl w:val="0"/>
          <w:numId w:val="153"/>
        </w:numPr>
        <w:spacing w:after="0"/>
        <w:ind w:left="360"/>
        <w:jc w:val="both"/>
        <w:rPr>
          <w:rFonts w:ascii="Times New Roman" w:eastAsia="Calibri" w:hAnsi="Times New Roman" w:cs="Times New Roman"/>
          <w:i/>
          <w:sz w:val="24"/>
          <w:szCs w:val="24"/>
        </w:rPr>
      </w:pPr>
      <w:r w:rsidRPr="00AD2619">
        <w:rPr>
          <w:rFonts w:ascii="Times New Roman" w:eastAsia="Calibri" w:hAnsi="Times New Roman" w:cs="Times New Roman"/>
          <w:i/>
          <w:sz w:val="24"/>
          <w:szCs w:val="24"/>
        </w:rPr>
        <w:t xml:space="preserve">Identyfikacja, łagodzenie, zapobieganie i przeciwdziałanie barierom utrudniającym pełnoprawne życie osób starszych w społeczeństwie: </w:t>
      </w:r>
      <w:r w:rsidRPr="00AD2619">
        <w:rPr>
          <w:rFonts w:ascii="Times New Roman" w:eastAsia="Calibri" w:hAnsi="Times New Roman" w:cs="Times New Roman"/>
          <w:sz w:val="24"/>
          <w:szCs w:val="24"/>
        </w:rPr>
        <w:t>Diagnozowanie i monitorowanie ograniczeń psychospołecznych, ekonomicznych i zdrowotnych w funkcjonowaniu osób starszych;</w:t>
      </w:r>
      <w:r w:rsidRPr="00AD2619">
        <w:rPr>
          <w:rFonts w:ascii="Times New Roman" w:eastAsia="Calibri" w:hAnsi="Times New Roman" w:cs="Times New Roman"/>
          <w:i/>
          <w:sz w:val="24"/>
          <w:szCs w:val="24"/>
        </w:rPr>
        <w:t xml:space="preserve"> </w:t>
      </w:r>
      <w:r w:rsidRPr="00AD2619">
        <w:rPr>
          <w:rFonts w:ascii="Times New Roman" w:eastAsia="Calibri" w:hAnsi="Times New Roman" w:cs="Times New Roman"/>
          <w:sz w:val="24"/>
          <w:szCs w:val="24"/>
        </w:rPr>
        <w:t>Stworzenie systemu informacji przestrzennej poprawiającego dostępność do informacji przydatnych osobom starszym;</w:t>
      </w:r>
      <w:r w:rsidRPr="00AD2619">
        <w:rPr>
          <w:rFonts w:ascii="Times New Roman" w:eastAsia="Calibri" w:hAnsi="Times New Roman" w:cs="Times New Roman"/>
          <w:i/>
          <w:sz w:val="24"/>
          <w:szCs w:val="24"/>
        </w:rPr>
        <w:t xml:space="preserve"> </w:t>
      </w:r>
      <w:r w:rsidRPr="00AD2619">
        <w:rPr>
          <w:rFonts w:ascii="Times New Roman" w:eastAsia="Calibri" w:hAnsi="Times New Roman" w:cs="Times New Roman"/>
          <w:sz w:val="24"/>
          <w:szCs w:val="24"/>
        </w:rPr>
        <w:t>Wspieranie działań na rzecz zmniejszenia wykluczenia cyfrowego osób starszych; Inspirowanie działań na rzecz włączenia miast województwa śląskiego do Światowej Sieci Miast Przyjaznych Osobom Starszym WHO oraz Europejskiej Sieci Zdrowych Miast WHO.</w:t>
      </w:r>
    </w:p>
    <w:p w14:paraId="05DDE316" w14:textId="77777777" w:rsidR="00AD2619" w:rsidRPr="00AD2619" w:rsidRDefault="00AB1786" w:rsidP="008C71A9">
      <w:pPr>
        <w:pStyle w:val="Akapitzlist"/>
        <w:numPr>
          <w:ilvl w:val="0"/>
          <w:numId w:val="153"/>
        </w:numPr>
        <w:spacing w:after="0"/>
        <w:ind w:left="360"/>
        <w:jc w:val="both"/>
        <w:rPr>
          <w:rFonts w:ascii="Times New Roman" w:eastAsia="Calibri" w:hAnsi="Times New Roman" w:cs="Times New Roman"/>
          <w:i/>
          <w:sz w:val="24"/>
          <w:szCs w:val="24"/>
        </w:rPr>
      </w:pPr>
      <w:r w:rsidRPr="00AD2619">
        <w:rPr>
          <w:rFonts w:ascii="Times New Roman" w:eastAsia="Calibri" w:hAnsi="Times New Roman" w:cs="Times New Roman"/>
          <w:i/>
          <w:sz w:val="24"/>
          <w:szCs w:val="24"/>
        </w:rPr>
        <w:t xml:space="preserve">Kształtowanie wizerunku osób starszych i poprawa relacji międzygeneracyjnych: </w:t>
      </w:r>
      <w:r w:rsidRPr="00AD2619">
        <w:rPr>
          <w:rFonts w:ascii="Times New Roman" w:eastAsia="Calibri" w:hAnsi="Times New Roman" w:cs="Times New Roman"/>
          <w:sz w:val="24"/>
          <w:szCs w:val="24"/>
        </w:rPr>
        <w:t>Prowadzenie kampanii społecznych upowszechniających wizerunek osób starszych a także starości jako naturalnego, zróżnicowanego i wartościowego etapu życia; Stymulowanie oraz upowszechnianie inicjatyw służących poprawie relacji międzypokoleniowych                 i przeciwdziałaniu ageizmowi;</w:t>
      </w:r>
      <w:r w:rsidRPr="00AD2619">
        <w:rPr>
          <w:rFonts w:ascii="Times New Roman" w:eastAsia="Calibri" w:hAnsi="Times New Roman" w:cs="Times New Roman"/>
          <w:i/>
          <w:sz w:val="24"/>
          <w:szCs w:val="24"/>
        </w:rPr>
        <w:t xml:space="preserve"> </w:t>
      </w:r>
      <w:r w:rsidRPr="00AD2619">
        <w:rPr>
          <w:rFonts w:ascii="Times New Roman" w:eastAsia="Calibri" w:hAnsi="Times New Roman" w:cs="Times New Roman"/>
          <w:sz w:val="24"/>
          <w:szCs w:val="24"/>
        </w:rPr>
        <w:t>Wspieranie wychowania do starości.</w:t>
      </w:r>
    </w:p>
    <w:p w14:paraId="2C5D87EE" w14:textId="77777777" w:rsidR="00AB1786" w:rsidRPr="00AD2619" w:rsidRDefault="00AB1786" w:rsidP="008C71A9">
      <w:pPr>
        <w:pStyle w:val="Akapitzlist"/>
        <w:numPr>
          <w:ilvl w:val="0"/>
          <w:numId w:val="153"/>
        </w:numPr>
        <w:spacing w:after="0"/>
        <w:ind w:left="360"/>
        <w:jc w:val="both"/>
        <w:rPr>
          <w:rFonts w:ascii="Times New Roman" w:eastAsia="Calibri" w:hAnsi="Times New Roman" w:cs="Times New Roman"/>
          <w:i/>
          <w:sz w:val="24"/>
          <w:szCs w:val="24"/>
        </w:rPr>
      </w:pPr>
      <w:r w:rsidRPr="00AD2619">
        <w:rPr>
          <w:rFonts w:ascii="Times New Roman" w:eastAsia="Calibri" w:hAnsi="Times New Roman" w:cs="Times New Roman"/>
          <w:i/>
          <w:sz w:val="24"/>
          <w:szCs w:val="24"/>
        </w:rPr>
        <w:t xml:space="preserve">Dostosowanie systemu wsparcia do potrzeb starzejącego się społeczeństwa: </w:t>
      </w:r>
      <w:r w:rsidRPr="00AD2619">
        <w:rPr>
          <w:rFonts w:ascii="Times New Roman" w:eastAsia="Calibri" w:hAnsi="Times New Roman" w:cs="Times New Roman"/>
          <w:sz w:val="24"/>
          <w:szCs w:val="24"/>
        </w:rPr>
        <w:t>Inicjowanie działań na rzecz powstawania klastra gerontologicznego; Upowszechnianie - w oparciu      o koprodukcję - wspólnych aktywności pozwalających w nowatorski sposób rozwiązywać problemy osób starszych w środowisku zamieszkania;</w:t>
      </w:r>
      <w:r w:rsidRPr="00AD2619">
        <w:rPr>
          <w:rFonts w:ascii="Times New Roman" w:eastAsia="Calibri" w:hAnsi="Times New Roman" w:cs="Times New Roman"/>
          <w:i/>
          <w:sz w:val="24"/>
          <w:szCs w:val="24"/>
        </w:rPr>
        <w:t xml:space="preserve"> </w:t>
      </w:r>
      <w:r w:rsidRPr="00AD2619">
        <w:rPr>
          <w:rFonts w:ascii="Times New Roman" w:eastAsia="Calibri" w:hAnsi="Times New Roman" w:cs="Times New Roman"/>
          <w:sz w:val="24"/>
          <w:szCs w:val="24"/>
        </w:rPr>
        <w:t>Opracowywanie i wspieranie programów wspomagania opiekunów rodzinnych i opiekunów nieformalnych; Poprawa dostępu do technik wspomagających osoby starsze i upowszechnianie teleopieki;</w:t>
      </w:r>
      <w:r w:rsidRPr="00AD2619">
        <w:rPr>
          <w:rFonts w:ascii="Times New Roman" w:eastAsia="Calibri" w:hAnsi="Times New Roman" w:cs="Times New Roman"/>
          <w:i/>
          <w:sz w:val="24"/>
          <w:szCs w:val="24"/>
        </w:rPr>
        <w:t xml:space="preserve"> </w:t>
      </w:r>
      <w:r w:rsidRPr="00AD2619">
        <w:rPr>
          <w:rFonts w:ascii="Times New Roman" w:eastAsia="Calibri" w:hAnsi="Times New Roman" w:cs="Times New Roman"/>
          <w:sz w:val="24"/>
          <w:szCs w:val="24"/>
        </w:rPr>
        <w:t>Podnoszenie jakości usług opiekuńczo-pielęgnacyjnych poprzez wspieranie rozwoju profesjonalnej kadry zajmującej się opieką nad seniorami.</w:t>
      </w:r>
    </w:p>
    <w:p w14:paraId="1B346D23" w14:textId="77777777" w:rsidR="00AD2619" w:rsidRDefault="00AD2619" w:rsidP="000D7CDE">
      <w:pPr>
        <w:spacing w:after="0"/>
        <w:jc w:val="both"/>
        <w:rPr>
          <w:rFonts w:ascii="Times New Roman" w:eastAsia="Calibri" w:hAnsi="Times New Roman" w:cs="Times New Roman"/>
          <w:sz w:val="24"/>
          <w:szCs w:val="24"/>
        </w:rPr>
      </w:pPr>
    </w:p>
    <w:p w14:paraId="454B899E" w14:textId="77777777" w:rsidR="00AB1786" w:rsidRPr="005F0A32" w:rsidRDefault="00AB1786" w:rsidP="000D7CDE">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Ponadto, z prowadzeniem polityki senioralnej związany jest cel strategiczny </w:t>
      </w:r>
      <w:r w:rsidRPr="005F0A32">
        <w:rPr>
          <w:rFonts w:ascii="Times New Roman" w:eastAsia="Calibri" w:hAnsi="Times New Roman" w:cs="Times New Roman"/>
          <w:i/>
          <w:sz w:val="24"/>
          <w:szCs w:val="24"/>
        </w:rPr>
        <w:t>Poprawa warunków</w:t>
      </w:r>
      <w:r w:rsidR="00AD2619">
        <w:rPr>
          <w:rFonts w:ascii="Times New Roman" w:eastAsia="Calibri" w:hAnsi="Times New Roman" w:cs="Times New Roman"/>
          <w:i/>
          <w:sz w:val="24"/>
          <w:szCs w:val="24"/>
        </w:rPr>
        <w:t xml:space="preserve"> </w:t>
      </w:r>
      <w:r w:rsidRPr="005F0A32">
        <w:rPr>
          <w:rFonts w:ascii="Times New Roman" w:eastAsia="Calibri" w:hAnsi="Times New Roman" w:cs="Times New Roman"/>
          <w:i/>
          <w:sz w:val="24"/>
          <w:szCs w:val="24"/>
        </w:rPr>
        <w:t xml:space="preserve">i jakości życia osób zagrożonych wykluczeniem społecznym i społecznie </w:t>
      </w:r>
      <w:r w:rsidRPr="005F0A32">
        <w:rPr>
          <w:rFonts w:ascii="Times New Roman" w:eastAsia="Calibri" w:hAnsi="Times New Roman" w:cs="Times New Roman"/>
          <w:i/>
          <w:sz w:val="24"/>
          <w:szCs w:val="24"/>
        </w:rPr>
        <w:lastRenderedPageBreak/>
        <w:t xml:space="preserve">wykluczonych, </w:t>
      </w:r>
      <w:r w:rsidRPr="005F0A32">
        <w:rPr>
          <w:rFonts w:ascii="Times New Roman" w:eastAsia="Calibri" w:hAnsi="Times New Roman" w:cs="Times New Roman"/>
          <w:sz w:val="24"/>
          <w:szCs w:val="24"/>
        </w:rPr>
        <w:t xml:space="preserve">w tym kierunek działań </w:t>
      </w:r>
      <w:r w:rsidRPr="005F0A32">
        <w:rPr>
          <w:rFonts w:ascii="Times New Roman" w:eastAsia="Calibri" w:hAnsi="Times New Roman" w:cs="Times New Roman"/>
          <w:i/>
          <w:sz w:val="24"/>
          <w:szCs w:val="24"/>
        </w:rPr>
        <w:t>Wyrównywanie szans w dostępie do systemu ochrony zdrowia w podregionach oraz zapewnienie jednolitego standardu bezpieczeństwa zdrowotnego w województwie śląskim</w:t>
      </w:r>
      <w:r w:rsidRPr="005F0A32">
        <w:rPr>
          <w:rFonts w:ascii="Times New Roman" w:eastAsia="Calibri" w:hAnsi="Times New Roman" w:cs="Times New Roman"/>
          <w:sz w:val="24"/>
          <w:szCs w:val="24"/>
        </w:rPr>
        <w:t xml:space="preserve"> wraz z następującymi działaniami:</w:t>
      </w:r>
      <w:r w:rsidRPr="005F0A32">
        <w:rPr>
          <w:rFonts w:ascii="Times New Roman" w:eastAsia="Calibri" w:hAnsi="Times New Roman" w:cs="Times New Roman"/>
          <w:b/>
          <w:sz w:val="24"/>
          <w:szCs w:val="24"/>
        </w:rPr>
        <w:t xml:space="preserve"> </w:t>
      </w:r>
      <w:r w:rsidRPr="005F0A32">
        <w:rPr>
          <w:rFonts w:ascii="Times New Roman" w:eastAsia="Calibri" w:hAnsi="Times New Roman" w:cs="Times New Roman"/>
          <w:sz w:val="24"/>
          <w:szCs w:val="24"/>
        </w:rPr>
        <w:t xml:space="preserve">Realizacja programów profilaktyki niesprawności wynikającej    z wieku senioralnego oraz profilaktyki dla szczególnych grup: dzieci i młodzieży (żywienie, wady postawy, zaburzenia refrakcji i akomodacji oka, cukrzyca, alergie, otyłość, stomatologia, szczepienia HPV), dorosłych (choroby cywilizacyjne, zaburzenia psychiczne, gruźlica), Tworzenie specjalistycznej infrastruktury opartej o zasoby lekarzy i </w:t>
      </w:r>
      <w:r w:rsidR="00AD2619">
        <w:rPr>
          <w:rFonts w:ascii="Times New Roman" w:eastAsia="Calibri" w:hAnsi="Times New Roman" w:cs="Times New Roman"/>
          <w:sz w:val="24"/>
          <w:szCs w:val="24"/>
        </w:rPr>
        <w:t>pielęgniarek wyspecjalizowanych</w:t>
      </w:r>
      <w:r w:rsidRPr="005F0A32">
        <w:rPr>
          <w:rFonts w:ascii="Times New Roman" w:eastAsia="Calibri" w:hAnsi="Times New Roman" w:cs="Times New Roman"/>
          <w:sz w:val="24"/>
          <w:szCs w:val="24"/>
        </w:rPr>
        <w:t xml:space="preserve"> z geriatrii, Promowanie wyboru specjalizacji geriatrycznej wśród lekarzy.</w:t>
      </w:r>
    </w:p>
    <w:p w14:paraId="7DEB4B2F" w14:textId="77777777" w:rsidR="00AD2619" w:rsidRDefault="00AD2619" w:rsidP="000D7CDE">
      <w:pPr>
        <w:spacing w:after="0"/>
        <w:jc w:val="both"/>
        <w:rPr>
          <w:rFonts w:ascii="Times New Roman" w:eastAsia="Calibri" w:hAnsi="Times New Roman" w:cs="Times New Roman"/>
          <w:sz w:val="24"/>
          <w:szCs w:val="24"/>
        </w:rPr>
      </w:pPr>
    </w:p>
    <w:p w14:paraId="46B053A4" w14:textId="77777777" w:rsidR="00AB1786" w:rsidRPr="005F0A32" w:rsidRDefault="00AB1786" w:rsidP="000D7CDE">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Dodatkowo w dokumencie strategicznym zostały ujęte obszary priorytetowe dla polityki społecznej, w tym polityki senioralnej, wśród których znalazły się:</w:t>
      </w:r>
    </w:p>
    <w:p w14:paraId="7585A74C" w14:textId="77777777" w:rsidR="00AD2619" w:rsidRDefault="00AB1786" w:rsidP="008C71A9">
      <w:pPr>
        <w:pStyle w:val="Akapitzlist"/>
        <w:numPr>
          <w:ilvl w:val="0"/>
          <w:numId w:val="155"/>
        </w:numPr>
        <w:spacing w:after="0"/>
        <w:ind w:left="360"/>
        <w:jc w:val="both"/>
        <w:rPr>
          <w:rFonts w:ascii="Times New Roman" w:eastAsia="Calibri" w:hAnsi="Times New Roman" w:cs="Times New Roman"/>
          <w:sz w:val="24"/>
          <w:szCs w:val="24"/>
        </w:rPr>
      </w:pPr>
      <w:r w:rsidRPr="00AD2619">
        <w:rPr>
          <w:rFonts w:ascii="Times New Roman" w:eastAsia="Calibri" w:hAnsi="Times New Roman" w:cs="Times New Roman"/>
          <w:sz w:val="24"/>
          <w:szCs w:val="24"/>
        </w:rPr>
        <w:t>Wspieranie seniorów w ich podmiotowym i aktywnym uczestnictwie w życiu społecznym,   w tym w aktywności zawodowej. Tworzenie warunków do prawidłowego funkcjonowania osób starszych w środowisku zamieszkania.</w:t>
      </w:r>
    </w:p>
    <w:p w14:paraId="236FFDF4" w14:textId="77777777" w:rsidR="00AD2619" w:rsidRDefault="00AB1786" w:rsidP="008C71A9">
      <w:pPr>
        <w:pStyle w:val="Akapitzlist"/>
        <w:numPr>
          <w:ilvl w:val="0"/>
          <w:numId w:val="155"/>
        </w:numPr>
        <w:spacing w:after="0"/>
        <w:ind w:left="360"/>
        <w:jc w:val="both"/>
        <w:rPr>
          <w:rFonts w:ascii="Times New Roman" w:eastAsia="Calibri" w:hAnsi="Times New Roman" w:cs="Times New Roman"/>
          <w:sz w:val="24"/>
          <w:szCs w:val="24"/>
        </w:rPr>
      </w:pPr>
      <w:r w:rsidRPr="00AD2619">
        <w:rPr>
          <w:rFonts w:ascii="Times New Roman" w:eastAsia="Calibri" w:hAnsi="Times New Roman" w:cs="Times New Roman"/>
          <w:sz w:val="24"/>
          <w:szCs w:val="24"/>
        </w:rPr>
        <w:t xml:space="preserve">Wspieranie rodzin w pełnieniu ich funkcji, w tym w zapewnieniu opieki nad osobami zależnymi. </w:t>
      </w:r>
    </w:p>
    <w:p w14:paraId="1A6E507C" w14:textId="77777777" w:rsidR="00AD2619" w:rsidRDefault="00AB1786" w:rsidP="008C71A9">
      <w:pPr>
        <w:pStyle w:val="Akapitzlist"/>
        <w:numPr>
          <w:ilvl w:val="0"/>
          <w:numId w:val="155"/>
        </w:numPr>
        <w:spacing w:after="0"/>
        <w:ind w:left="360"/>
        <w:jc w:val="both"/>
        <w:rPr>
          <w:rFonts w:ascii="Times New Roman" w:eastAsia="Calibri" w:hAnsi="Times New Roman" w:cs="Times New Roman"/>
          <w:sz w:val="24"/>
          <w:szCs w:val="24"/>
        </w:rPr>
      </w:pPr>
      <w:r w:rsidRPr="00AD2619">
        <w:rPr>
          <w:rFonts w:ascii="Times New Roman" w:eastAsia="Calibri" w:hAnsi="Times New Roman" w:cs="Times New Roman"/>
          <w:sz w:val="24"/>
          <w:szCs w:val="24"/>
        </w:rPr>
        <w:t>Wzmacnianie regionalnego wymiaru polityki pronatalistycznej. Podejmowanie działań łagodzących konsekwencje negatywnych zmian demograficznych.</w:t>
      </w:r>
    </w:p>
    <w:p w14:paraId="15126C88" w14:textId="77777777" w:rsidR="00AB1786" w:rsidRPr="00AD2619" w:rsidRDefault="00AB1786" w:rsidP="008C71A9">
      <w:pPr>
        <w:pStyle w:val="Akapitzlist"/>
        <w:numPr>
          <w:ilvl w:val="0"/>
          <w:numId w:val="155"/>
        </w:numPr>
        <w:spacing w:after="0"/>
        <w:ind w:left="360"/>
        <w:jc w:val="both"/>
        <w:rPr>
          <w:rFonts w:ascii="Times New Roman" w:eastAsia="Calibri" w:hAnsi="Times New Roman" w:cs="Times New Roman"/>
          <w:sz w:val="24"/>
          <w:szCs w:val="24"/>
        </w:rPr>
      </w:pPr>
      <w:r w:rsidRPr="00AD2619">
        <w:rPr>
          <w:rFonts w:ascii="Times New Roman" w:eastAsia="Calibri" w:hAnsi="Times New Roman" w:cs="Times New Roman"/>
          <w:sz w:val="24"/>
          <w:szCs w:val="24"/>
        </w:rPr>
        <w:t>Podejmowanie działań na rzecz promocji, profilaktyki i edukacji zdrowotnej.</w:t>
      </w:r>
    </w:p>
    <w:p w14:paraId="7EDA5BD1" w14:textId="77777777" w:rsidR="00AD2619" w:rsidRDefault="00AD2619" w:rsidP="000D7CDE">
      <w:pPr>
        <w:spacing w:after="0"/>
        <w:jc w:val="both"/>
        <w:rPr>
          <w:rFonts w:ascii="Times New Roman" w:eastAsia="Calibri" w:hAnsi="Times New Roman" w:cs="Times New Roman"/>
          <w:sz w:val="24"/>
          <w:szCs w:val="24"/>
        </w:rPr>
      </w:pPr>
    </w:p>
    <w:p w14:paraId="1A016CE5" w14:textId="77777777" w:rsidR="00AB1786" w:rsidRPr="00AD2619" w:rsidRDefault="00AB1786" w:rsidP="000D7CDE">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w:t>
      </w:r>
      <w:r w:rsidR="00AD2619">
        <w:rPr>
          <w:rFonts w:ascii="Times New Roman" w:eastAsia="Calibri" w:hAnsi="Times New Roman" w:cs="Times New Roman"/>
          <w:sz w:val="24"/>
          <w:szCs w:val="24"/>
        </w:rPr>
        <w:t xml:space="preserve"> 2019 r. </w:t>
      </w:r>
      <w:r w:rsidRPr="005F0A32">
        <w:rPr>
          <w:rFonts w:ascii="Times New Roman" w:eastAsia="Calibri" w:hAnsi="Times New Roman" w:cs="Times New Roman"/>
          <w:sz w:val="24"/>
          <w:szCs w:val="24"/>
        </w:rPr>
        <w:t>kontynuowano prace nad ak</w:t>
      </w:r>
      <w:r w:rsidR="00AF6E57">
        <w:rPr>
          <w:rFonts w:ascii="Times New Roman" w:eastAsia="Calibri" w:hAnsi="Times New Roman" w:cs="Times New Roman"/>
          <w:sz w:val="24"/>
          <w:szCs w:val="24"/>
        </w:rPr>
        <w:t>tualizacją dokumentu Strategii</w:t>
      </w:r>
      <w:r w:rsidR="00AF6E57">
        <w:rPr>
          <w:rStyle w:val="Odwoanieprzypisudolnego"/>
          <w:rFonts w:ascii="Times New Roman" w:eastAsia="Calibri" w:hAnsi="Times New Roman" w:cs="Times New Roman"/>
          <w:sz w:val="24"/>
          <w:szCs w:val="24"/>
        </w:rPr>
        <w:footnoteReference w:id="187"/>
      </w:r>
      <w:r w:rsidR="00AF6E57">
        <w:rPr>
          <w:rFonts w:ascii="Times New Roman" w:eastAsia="Calibri" w:hAnsi="Times New Roman" w:cs="Times New Roman"/>
          <w:sz w:val="24"/>
          <w:szCs w:val="24"/>
        </w:rPr>
        <w:t>.</w:t>
      </w:r>
      <w:r w:rsidR="00AF6E57" w:rsidRPr="00AD2619">
        <w:rPr>
          <w:rFonts w:ascii="Times New Roman" w:eastAsia="Calibri" w:hAnsi="Times New Roman" w:cs="Times New Roman"/>
          <w:sz w:val="24"/>
          <w:szCs w:val="24"/>
        </w:rPr>
        <w:t xml:space="preserve"> </w:t>
      </w:r>
    </w:p>
    <w:p w14:paraId="43BB4C5B" w14:textId="77777777" w:rsidR="00AB1786" w:rsidRPr="005F0A32" w:rsidRDefault="00AB1786" w:rsidP="000D7CDE">
      <w:pPr>
        <w:spacing w:after="0"/>
        <w:ind w:left="720"/>
        <w:jc w:val="both"/>
        <w:rPr>
          <w:rFonts w:ascii="Times New Roman" w:eastAsia="Calibri" w:hAnsi="Times New Roman" w:cs="Times New Roman"/>
          <w:sz w:val="24"/>
          <w:szCs w:val="24"/>
        </w:rPr>
      </w:pPr>
    </w:p>
    <w:p w14:paraId="036D1D9F" w14:textId="77777777" w:rsidR="00AB1786" w:rsidRPr="00AD2619" w:rsidRDefault="00AB1786" w:rsidP="000D7CDE">
      <w:pPr>
        <w:spacing w:after="0"/>
        <w:jc w:val="both"/>
        <w:rPr>
          <w:rFonts w:ascii="Times New Roman" w:hAnsi="Times New Roman" w:cs="Times New Roman"/>
          <w:b/>
          <w:bCs/>
          <w:sz w:val="24"/>
          <w:szCs w:val="24"/>
        </w:rPr>
      </w:pPr>
      <w:r w:rsidRPr="00AD2619">
        <w:rPr>
          <w:rFonts w:ascii="Times New Roman" w:hAnsi="Times New Roman" w:cs="Times New Roman"/>
          <w:b/>
          <w:bCs/>
          <w:sz w:val="24"/>
          <w:szCs w:val="24"/>
        </w:rPr>
        <w:t xml:space="preserve">„Śląskie. Wyzwania demograficzne – Koncepcja polityki przeciwdziałania negatywnym zmianom demograficznym, depopulacji i starzeniu się społeczeństwa w województwie śląskim”. </w:t>
      </w:r>
      <w:r w:rsidRPr="00AD2619">
        <w:rPr>
          <w:rFonts w:ascii="Times New Roman" w:hAnsi="Times New Roman" w:cs="Times New Roman"/>
          <w:sz w:val="24"/>
          <w:szCs w:val="24"/>
        </w:rPr>
        <w:t xml:space="preserve">Dokument przyjęty w dniu 19 września 2017 roku </w:t>
      </w:r>
      <w:r w:rsidRPr="00517C93">
        <w:rPr>
          <w:rFonts w:ascii="Times New Roman" w:hAnsi="Times New Roman" w:cs="Times New Roman"/>
          <w:i/>
          <w:sz w:val="24"/>
          <w:szCs w:val="24"/>
        </w:rPr>
        <w:t>uchwałą nr 1893/217/V/2017 Zarządu Województwa Śląskiego</w:t>
      </w:r>
      <w:r w:rsidRPr="00AD2619">
        <w:rPr>
          <w:rFonts w:ascii="Times New Roman" w:hAnsi="Times New Roman" w:cs="Times New Roman"/>
          <w:sz w:val="24"/>
          <w:szCs w:val="24"/>
        </w:rPr>
        <w:t>. Zawiera on m.in. charakterystykę województwa śląskiego   w ujęciu demograficznym, obszary wsparcia i cele oraz listę projektów przewidzianych do realizacji w zakresie przyjętej polityki</w:t>
      </w:r>
      <w:r w:rsidR="00AF6E57">
        <w:rPr>
          <w:rStyle w:val="Odwoanieprzypisudolnego"/>
          <w:rFonts w:ascii="Times New Roman" w:hAnsi="Times New Roman" w:cs="Times New Roman"/>
          <w:sz w:val="24"/>
          <w:szCs w:val="24"/>
        </w:rPr>
        <w:footnoteReference w:id="188"/>
      </w:r>
      <w:r w:rsidRPr="00AD2619">
        <w:rPr>
          <w:rFonts w:ascii="Times New Roman" w:hAnsi="Times New Roman" w:cs="Times New Roman"/>
          <w:sz w:val="24"/>
          <w:szCs w:val="24"/>
        </w:rPr>
        <w:t xml:space="preserve">. </w:t>
      </w:r>
    </w:p>
    <w:p w14:paraId="0C161915" w14:textId="77777777" w:rsidR="00AB1786" w:rsidRPr="005F0A32" w:rsidRDefault="00AB1786" w:rsidP="000D7CDE">
      <w:pPr>
        <w:pStyle w:val="Akapitzlist"/>
        <w:spacing w:after="0"/>
        <w:ind w:left="360"/>
        <w:jc w:val="both"/>
        <w:rPr>
          <w:rFonts w:ascii="Times New Roman" w:hAnsi="Times New Roman" w:cs="Times New Roman"/>
          <w:sz w:val="24"/>
          <w:szCs w:val="24"/>
        </w:rPr>
      </w:pPr>
    </w:p>
    <w:p w14:paraId="46CCF692" w14:textId="77777777" w:rsidR="00AB1786" w:rsidRPr="00AD2619" w:rsidRDefault="00517C93" w:rsidP="000D7CDE">
      <w:pPr>
        <w:spacing w:after="0"/>
        <w:jc w:val="both"/>
        <w:rPr>
          <w:rFonts w:ascii="Times New Roman" w:hAnsi="Times New Roman" w:cs="Times New Roman"/>
          <w:sz w:val="24"/>
          <w:szCs w:val="24"/>
        </w:rPr>
      </w:pPr>
      <w:r w:rsidRPr="00517C93">
        <w:rPr>
          <w:rFonts w:ascii="Times New Roman" w:hAnsi="Times New Roman" w:cs="Times New Roman"/>
          <w:bCs/>
          <w:sz w:val="24"/>
          <w:szCs w:val="24"/>
        </w:rPr>
        <w:t>W dokumencie</w:t>
      </w:r>
      <w:r>
        <w:rPr>
          <w:rFonts w:ascii="Times New Roman" w:hAnsi="Times New Roman" w:cs="Times New Roman"/>
          <w:b/>
          <w:bCs/>
          <w:sz w:val="24"/>
          <w:szCs w:val="24"/>
        </w:rPr>
        <w:t xml:space="preserve"> </w:t>
      </w:r>
      <w:r w:rsidR="00AB1786" w:rsidRPr="00AD2619">
        <w:rPr>
          <w:rFonts w:ascii="Times New Roman" w:hAnsi="Times New Roman" w:cs="Times New Roman"/>
          <w:b/>
          <w:bCs/>
          <w:sz w:val="24"/>
          <w:szCs w:val="24"/>
        </w:rPr>
        <w:t>Kierunek Śląskie 3.0 Program Rozwoju Wewnętrznego Województwa Śląskiego do 2030</w:t>
      </w:r>
      <w:r w:rsidR="00AB1786" w:rsidRPr="00AD2619">
        <w:rPr>
          <w:rFonts w:ascii="Times New Roman" w:hAnsi="Times New Roman" w:cs="Times New Roman"/>
          <w:sz w:val="24"/>
          <w:szCs w:val="24"/>
        </w:rPr>
        <w:t xml:space="preserve">, który został przyjęty </w:t>
      </w:r>
      <w:r w:rsidR="00AB1786" w:rsidRPr="00517C93">
        <w:rPr>
          <w:rFonts w:ascii="Times New Roman" w:hAnsi="Times New Roman" w:cs="Times New Roman"/>
          <w:i/>
          <w:sz w:val="24"/>
          <w:szCs w:val="24"/>
        </w:rPr>
        <w:t>Uchwałą Zarządu nr 108/168/V/2017 z dnia 23 stycznia 2017 r.</w:t>
      </w:r>
      <w:r w:rsidR="00AB1786" w:rsidRPr="00AD2619">
        <w:rPr>
          <w:rFonts w:ascii="Times New Roman" w:hAnsi="Times New Roman" w:cs="Times New Roman"/>
          <w:sz w:val="24"/>
          <w:szCs w:val="24"/>
        </w:rPr>
        <w:t xml:space="preserve"> </w:t>
      </w:r>
      <w:r w:rsidR="00AB1786" w:rsidRPr="00AD2619">
        <w:rPr>
          <w:rFonts w:ascii="Times New Roman" w:eastAsia="Calibri" w:hAnsi="Times New Roman" w:cs="Times New Roman"/>
          <w:sz w:val="24"/>
          <w:szCs w:val="24"/>
        </w:rPr>
        <w:t xml:space="preserve">określono obszar tematyczny: </w:t>
      </w:r>
      <w:r w:rsidR="00AB1786" w:rsidRPr="00AD2619">
        <w:rPr>
          <w:rFonts w:ascii="Times New Roman" w:eastAsia="Calibri" w:hAnsi="Times New Roman" w:cs="Times New Roman"/>
          <w:i/>
          <w:sz w:val="24"/>
          <w:szCs w:val="24"/>
        </w:rPr>
        <w:t>Kompetencje zawodowe, aktywność obywatelska i innowacje społeczne</w:t>
      </w:r>
      <w:r w:rsidR="00AB1786" w:rsidRPr="00AD2619">
        <w:rPr>
          <w:rFonts w:ascii="Times New Roman" w:eastAsia="Calibri" w:hAnsi="Times New Roman" w:cs="Times New Roman"/>
          <w:sz w:val="24"/>
          <w:szCs w:val="24"/>
        </w:rPr>
        <w:t xml:space="preserve">, a w nim kierunek działania: </w:t>
      </w:r>
      <w:r w:rsidR="00AB1786" w:rsidRPr="00AD2619">
        <w:rPr>
          <w:rFonts w:ascii="Times New Roman" w:eastAsia="Calibri" w:hAnsi="Times New Roman" w:cs="Times New Roman"/>
          <w:i/>
          <w:sz w:val="24"/>
          <w:szCs w:val="24"/>
        </w:rPr>
        <w:t xml:space="preserve">Wsparcie i promocja zdrowego stylu życia. </w:t>
      </w:r>
      <w:r w:rsidR="00AB1786" w:rsidRPr="00AD2619">
        <w:rPr>
          <w:rFonts w:ascii="Times New Roman" w:eastAsia="Calibri" w:hAnsi="Times New Roman" w:cs="Times New Roman"/>
          <w:sz w:val="24"/>
          <w:szCs w:val="24"/>
        </w:rPr>
        <w:t xml:space="preserve">W ramach tego kierunku planuje się realizację działań na rzecz seniorów, zmierzających do podniesienia jakości życia osób starszych poprzez zwiększenie podaży i dostępności usług zdrowotnych i opiekuńczych oraz tworzenie i popularyzację działań umożliwiających aktywne starzenie się (np. w zakresie kultury czy edukacji). Ponadto wspierane będą inicjatywy nakierowane na rozwój usług czasu wolnego i infrastruktury rekreacyjnej. Powyższe działania będą wdrażane w postaci tzw. projektu inicjalnego, finansowanego w zasadniczej części ze </w:t>
      </w:r>
      <w:r w:rsidR="00AB1786" w:rsidRPr="00AD2619">
        <w:rPr>
          <w:rFonts w:ascii="Times New Roman" w:eastAsia="Calibri" w:hAnsi="Times New Roman" w:cs="Times New Roman"/>
          <w:sz w:val="24"/>
          <w:szCs w:val="24"/>
        </w:rPr>
        <w:lastRenderedPageBreak/>
        <w:t>środków budżetu Samorządu Województwa Śląskiego i realizowanego przez Samorząd Województwa/ samorządy lokalne</w:t>
      </w:r>
      <w:r w:rsidR="00AF6E57">
        <w:rPr>
          <w:rFonts w:ascii="Times New Roman" w:eastAsia="Calibri" w:hAnsi="Times New Roman" w:cs="Times New Roman"/>
          <w:sz w:val="24"/>
          <w:szCs w:val="24"/>
        </w:rPr>
        <w:t xml:space="preserve"> oraz organizacje pozarządowe</w:t>
      </w:r>
      <w:r w:rsidR="00AF6E57">
        <w:rPr>
          <w:rStyle w:val="Odwoanieprzypisudolnego"/>
          <w:rFonts w:ascii="Times New Roman" w:eastAsia="Calibri" w:hAnsi="Times New Roman" w:cs="Times New Roman"/>
          <w:sz w:val="24"/>
          <w:szCs w:val="24"/>
        </w:rPr>
        <w:footnoteReference w:id="189"/>
      </w:r>
      <w:r w:rsidR="00AF6E57">
        <w:rPr>
          <w:rFonts w:ascii="Times New Roman" w:eastAsia="Calibri" w:hAnsi="Times New Roman" w:cs="Times New Roman"/>
          <w:sz w:val="24"/>
          <w:szCs w:val="24"/>
        </w:rPr>
        <w:t>.</w:t>
      </w:r>
      <w:r w:rsidR="00AF6E57" w:rsidRPr="00AD2619">
        <w:rPr>
          <w:rFonts w:ascii="Times New Roman" w:hAnsi="Times New Roman" w:cs="Times New Roman"/>
          <w:sz w:val="24"/>
          <w:szCs w:val="24"/>
        </w:rPr>
        <w:t xml:space="preserve"> </w:t>
      </w:r>
    </w:p>
    <w:p w14:paraId="401C24DE" w14:textId="77777777" w:rsidR="00AB1786" w:rsidRPr="005F0A32" w:rsidRDefault="00AB1786" w:rsidP="000D7CDE">
      <w:pPr>
        <w:pStyle w:val="Akapitzlist"/>
        <w:spacing w:after="0"/>
        <w:ind w:left="360"/>
        <w:jc w:val="both"/>
        <w:rPr>
          <w:rFonts w:ascii="Times New Roman" w:hAnsi="Times New Roman" w:cs="Times New Roman"/>
          <w:sz w:val="24"/>
          <w:szCs w:val="24"/>
        </w:rPr>
      </w:pPr>
    </w:p>
    <w:p w14:paraId="12BF2CB9" w14:textId="77777777" w:rsidR="00AB1786" w:rsidRPr="00534179" w:rsidRDefault="00AB1786" w:rsidP="000D7CDE">
      <w:pPr>
        <w:spacing w:after="0"/>
        <w:jc w:val="both"/>
        <w:rPr>
          <w:rFonts w:ascii="Times New Roman" w:hAnsi="Times New Roman" w:cs="Times New Roman"/>
          <w:b/>
          <w:bCs/>
          <w:sz w:val="24"/>
          <w:szCs w:val="24"/>
        </w:rPr>
      </w:pPr>
      <w:r w:rsidRPr="00534179">
        <w:rPr>
          <w:rFonts w:ascii="Times New Roman" w:hAnsi="Times New Roman" w:cs="Times New Roman"/>
          <w:b/>
          <w:bCs/>
          <w:sz w:val="24"/>
          <w:szCs w:val="24"/>
        </w:rPr>
        <w:t xml:space="preserve">„Program przeciwdziałania ubóstwu i wykluczeniu społecznemu w województwie śląskim na lata 2018-2023” </w:t>
      </w:r>
      <w:r w:rsidRPr="00534179">
        <w:rPr>
          <w:rFonts w:ascii="Times New Roman" w:hAnsi="Times New Roman" w:cs="Times New Roman"/>
          <w:sz w:val="24"/>
          <w:szCs w:val="24"/>
        </w:rPr>
        <w:t>został opracowany jako program operacyjny do „Strategii Polityki Społecznej Województwa Śląskiego na lata 2006-2020. Aktualizacja 2015”. Program został przyjęty w dniu 1</w:t>
      </w:r>
      <w:r w:rsidR="00517C93">
        <w:rPr>
          <w:rFonts w:ascii="Times New Roman" w:hAnsi="Times New Roman" w:cs="Times New Roman"/>
          <w:sz w:val="24"/>
          <w:szCs w:val="24"/>
        </w:rPr>
        <w:t>0 kwietnia  2018 r.</w:t>
      </w:r>
      <w:r w:rsidRPr="00534179">
        <w:rPr>
          <w:rFonts w:ascii="Times New Roman" w:hAnsi="Times New Roman" w:cs="Times New Roman"/>
          <w:sz w:val="24"/>
          <w:szCs w:val="24"/>
        </w:rPr>
        <w:t xml:space="preserve"> </w:t>
      </w:r>
      <w:r w:rsidRPr="00517C93">
        <w:rPr>
          <w:rFonts w:ascii="Times New Roman" w:hAnsi="Times New Roman" w:cs="Times New Roman"/>
          <w:i/>
          <w:sz w:val="24"/>
          <w:szCs w:val="24"/>
        </w:rPr>
        <w:t>uchwałą nr 816/252/V/2018 Zarządu Województwa Śląskiego.</w:t>
      </w:r>
      <w:r w:rsidRPr="00534179">
        <w:rPr>
          <w:rFonts w:ascii="Times New Roman" w:hAnsi="Times New Roman" w:cs="Times New Roman"/>
          <w:sz w:val="24"/>
          <w:szCs w:val="24"/>
        </w:rPr>
        <w:t xml:space="preserve"> W powyższym dokumencie zawarto cel operacyjny poświęcony problematyce osób starszych: </w:t>
      </w:r>
      <w:r w:rsidRPr="00534179">
        <w:rPr>
          <w:rFonts w:ascii="Times New Roman" w:hAnsi="Times New Roman" w:cs="Times New Roman"/>
          <w:i/>
          <w:iCs/>
          <w:sz w:val="24"/>
          <w:szCs w:val="24"/>
        </w:rPr>
        <w:t xml:space="preserve">Tworzenie warunków do pełnego uczestnictwa osób starszych w życiu społecznym, gospodarczym i zawodowym poprzez łagodzenie i przeciwdziałanie barierom ograniczającym ich aktywność. Wzmacnianie dostępu do adekwatnej opieki osób niesamodzielnych </w:t>
      </w:r>
      <w:r w:rsidRPr="00534179">
        <w:rPr>
          <w:rFonts w:ascii="Times New Roman" w:hAnsi="Times New Roman" w:cs="Times New Roman"/>
          <w:sz w:val="24"/>
          <w:szCs w:val="24"/>
        </w:rPr>
        <w:t>oraz następujące działania: Współpraca ze Śląską Radą ds. Seniorów jako organem konsultacyjnym w sprawach dotyczących osób starszych;  Zwiększenie dostępu seniorów do rynku dóbr i usług, dostosowanego do potrzeb starzejącego się społeczeństwa; Promocja wizerunku osób starszych jako pełnoprawnych i wartościowych członków społeczeństwa; Diagnozowanie i monitorowanie wsparcia oferowanego seniorom na poziomie lokalnym; Prowadzenie analiz dotyczących problemów osób starszych i niepełnosprawnych</w:t>
      </w:r>
      <w:r w:rsidR="00AF6E57">
        <w:rPr>
          <w:rStyle w:val="Odwoanieprzypisudolnego"/>
          <w:rFonts w:ascii="Times New Roman" w:hAnsi="Times New Roman" w:cs="Times New Roman"/>
          <w:sz w:val="24"/>
          <w:szCs w:val="24"/>
        </w:rPr>
        <w:footnoteReference w:id="190"/>
      </w:r>
      <w:r w:rsidRPr="00534179">
        <w:rPr>
          <w:rFonts w:ascii="Times New Roman" w:hAnsi="Times New Roman" w:cs="Times New Roman"/>
          <w:sz w:val="24"/>
          <w:szCs w:val="24"/>
        </w:rPr>
        <w:t xml:space="preserve">. </w:t>
      </w:r>
      <w:r w:rsidR="00AF6E57">
        <w:rPr>
          <w:rFonts w:ascii="Times New Roman" w:hAnsi="Times New Roman" w:cs="Times New Roman"/>
          <w:sz w:val="24"/>
          <w:szCs w:val="24"/>
        </w:rPr>
        <w:t xml:space="preserve">W 2019 r. </w:t>
      </w:r>
      <w:r w:rsidRPr="00534179">
        <w:rPr>
          <w:rFonts w:ascii="Times New Roman" w:hAnsi="Times New Roman" w:cs="Times New Roman"/>
          <w:sz w:val="24"/>
          <w:szCs w:val="24"/>
        </w:rPr>
        <w:t xml:space="preserve">opracowano </w:t>
      </w:r>
      <w:r w:rsidR="00517C93">
        <w:rPr>
          <w:rFonts w:ascii="Times New Roman" w:hAnsi="Times New Roman" w:cs="Times New Roman"/>
          <w:sz w:val="24"/>
          <w:szCs w:val="24"/>
        </w:rPr>
        <w:t>raport monitoringowy za 2018 r.</w:t>
      </w:r>
      <w:r w:rsidR="00AF6E57">
        <w:rPr>
          <w:rStyle w:val="Odwoanieprzypisudolnego"/>
          <w:rFonts w:ascii="Times New Roman" w:hAnsi="Times New Roman" w:cs="Times New Roman"/>
          <w:sz w:val="24"/>
          <w:szCs w:val="24"/>
        </w:rPr>
        <w:footnoteReference w:id="191"/>
      </w:r>
      <w:r w:rsidR="00AF6E57">
        <w:rPr>
          <w:rFonts w:ascii="Times New Roman" w:hAnsi="Times New Roman" w:cs="Times New Roman"/>
          <w:sz w:val="24"/>
          <w:szCs w:val="24"/>
        </w:rPr>
        <w:t>.</w:t>
      </w:r>
    </w:p>
    <w:p w14:paraId="4B23610A" w14:textId="77777777" w:rsidR="00AB1786" w:rsidRPr="005F0A32" w:rsidRDefault="00AB1786" w:rsidP="000D7CDE">
      <w:pPr>
        <w:pStyle w:val="Akapitzlist"/>
        <w:spacing w:after="0"/>
        <w:ind w:left="360"/>
        <w:jc w:val="both"/>
        <w:rPr>
          <w:rFonts w:ascii="Times New Roman" w:hAnsi="Times New Roman" w:cs="Times New Roman"/>
          <w:b/>
          <w:bCs/>
          <w:sz w:val="24"/>
          <w:szCs w:val="24"/>
        </w:rPr>
      </w:pPr>
    </w:p>
    <w:p w14:paraId="274EA070" w14:textId="77777777" w:rsidR="00AB1786" w:rsidRPr="00534179" w:rsidRDefault="00AB1786" w:rsidP="000D7CDE">
      <w:pPr>
        <w:spacing w:after="0"/>
        <w:jc w:val="both"/>
        <w:rPr>
          <w:rStyle w:val="Hipercze"/>
          <w:rFonts w:ascii="Times New Roman" w:eastAsia="Lucida Sans Unicode" w:hAnsi="Times New Roman" w:cs="Times New Roman"/>
          <w:sz w:val="24"/>
          <w:szCs w:val="24"/>
        </w:rPr>
      </w:pPr>
      <w:r w:rsidRPr="00534179">
        <w:rPr>
          <w:rFonts w:ascii="Times New Roman" w:hAnsi="Times New Roman" w:cs="Times New Roman"/>
          <w:b/>
          <w:bCs/>
          <w:sz w:val="24"/>
          <w:szCs w:val="24"/>
        </w:rPr>
        <w:t xml:space="preserve">Projekt „Śląskie dla </w:t>
      </w:r>
      <w:r w:rsidR="00517C93">
        <w:rPr>
          <w:rFonts w:ascii="Times New Roman" w:hAnsi="Times New Roman" w:cs="Times New Roman"/>
          <w:b/>
          <w:bCs/>
          <w:sz w:val="24"/>
          <w:szCs w:val="24"/>
        </w:rPr>
        <w:t>seniora – Śląska Karta Seniora”</w:t>
      </w:r>
      <w:r w:rsidRPr="00534179">
        <w:rPr>
          <w:rFonts w:ascii="Times New Roman" w:hAnsi="Times New Roman" w:cs="Times New Roman"/>
          <w:sz w:val="24"/>
          <w:szCs w:val="24"/>
        </w:rPr>
        <w:t xml:space="preserve"> to oferta specjalnych usług, ulg oraz szczególnych uprawnień pozwalających na udostępnienie zasobów instytucji kultury, rekreacji i edukacji na terenie Województwa Śląskiego w celu dodatkowego wsparcia osób, które ukończyły 60 roku życia. Usługi realizowane w ramach Śląskiej Karty Seniora są oferowane przez partnerów projektu m. in. podmioty powią</w:t>
      </w:r>
      <w:r w:rsidR="00534179">
        <w:rPr>
          <w:rFonts w:ascii="Times New Roman" w:hAnsi="Times New Roman" w:cs="Times New Roman"/>
          <w:sz w:val="24"/>
          <w:szCs w:val="24"/>
        </w:rPr>
        <w:t>zane strukturalnie i kapitałowo</w:t>
      </w:r>
      <w:r w:rsidRPr="00534179">
        <w:rPr>
          <w:rFonts w:ascii="Times New Roman" w:hAnsi="Times New Roman" w:cs="Times New Roman"/>
          <w:sz w:val="24"/>
          <w:szCs w:val="24"/>
        </w:rPr>
        <w:t xml:space="preserve"> z Województwem Śląskim, partnerów z sektora prywatnego i jednostek samor</w:t>
      </w:r>
      <w:r w:rsidR="00517C93">
        <w:rPr>
          <w:rFonts w:ascii="Times New Roman" w:hAnsi="Times New Roman" w:cs="Times New Roman"/>
          <w:sz w:val="24"/>
          <w:szCs w:val="24"/>
        </w:rPr>
        <w:t>ządu terytorialnego. W 2019 r.</w:t>
      </w:r>
      <w:r w:rsidRPr="00534179">
        <w:rPr>
          <w:rFonts w:ascii="Times New Roman" w:hAnsi="Times New Roman" w:cs="Times New Roman"/>
          <w:sz w:val="24"/>
          <w:szCs w:val="24"/>
        </w:rPr>
        <w:t xml:space="preserve"> do przedsięwzięcia przystąpiło 20 nowych partnerów (łącznie 134) świadczących specjalną ofertę dla seniorów. Podjęto także działania zmierzające do zintegrowania kart rabatowych dedykowanych seniorom, celem stworzenia jednolitego systemu rabatowego na terenie województwa. Z danych zgromadzonych p</w:t>
      </w:r>
      <w:r w:rsidR="00517C93">
        <w:rPr>
          <w:rFonts w:ascii="Times New Roman" w:hAnsi="Times New Roman" w:cs="Times New Roman"/>
          <w:sz w:val="24"/>
          <w:szCs w:val="24"/>
        </w:rPr>
        <w:t>rzez ROPS wynika, że w 2019 r.</w:t>
      </w:r>
      <w:r w:rsidRPr="00534179">
        <w:rPr>
          <w:rFonts w:ascii="Times New Roman" w:hAnsi="Times New Roman" w:cs="Times New Roman"/>
          <w:sz w:val="24"/>
          <w:szCs w:val="24"/>
        </w:rPr>
        <w:t xml:space="preserve"> z projektu skorzystały łącznie 96 064 osoby. Największym zainteresowaniem seniorów cieszyła się oferta Muzeum Górnictwa Węglo</w:t>
      </w:r>
      <w:r w:rsidR="00534179">
        <w:rPr>
          <w:rFonts w:ascii="Times New Roman" w:hAnsi="Times New Roman" w:cs="Times New Roman"/>
          <w:sz w:val="24"/>
          <w:szCs w:val="24"/>
        </w:rPr>
        <w:t>wego w Zabrzu, Muzeum Śląskiego</w:t>
      </w:r>
      <w:r w:rsidRPr="00534179">
        <w:rPr>
          <w:rFonts w:ascii="Times New Roman" w:hAnsi="Times New Roman" w:cs="Times New Roman"/>
          <w:sz w:val="24"/>
          <w:szCs w:val="24"/>
        </w:rPr>
        <w:t xml:space="preserve"> w Katowicach oraz Instytucji Filmowej SILESIA FILM w Katowicach. Grupą uprawnioną do korzystania ze Śląskiej Karty Seniora są osoby, które ukończyły 60 rok życia. Dokumentem legitymacyjnym umożliwiającym skorzystanie z uprawnień oferowanych w projekcie jest dowód osobisty</w:t>
      </w:r>
      <w:r w:rsidR="00517C93">
        <w:rPr>
          <w:rStyle w:val="Odwoanieprzypisudolnego"/>
          <w:rFonts w:ascii="Times New Roman" w:hAnsi="Times New Roman" w:cs="Times New Roman"/>
          <w:sz w:val="24"/>
          <w:szCs w:val="24"/>
        </w:rPr>
        <w:footnoteReference w:id="192"/>
      </w:r>
      <w:r w:rsidRPr="00534179">
        <w:rPr>
          <w:rFonts w:ascii="Times New Roman" w:hAnsi="Times New Roman" w:cs="Times New Roman"/>
          <w:sz w:val="24"/>
          <w:szCs w:val="24"/>
        </w:rPr>
        <w:t xml:space="preserve">. </w:t>
      </w:r>
    </w:p>
    <w:p w14:paraId="0E6DC06F" w14:textId="77777777" w:rsidR="00AB1786" w:rsidRPr="005F0A32" w:rsidRDefault="00AB1786" w:rsidP="000D7CDE">
      <w:pPr>
        <w:pStyle w:val="Akapitzlist"/>
        <w:spacing w:after="0"/>
        <w:ind w:left="360"/>
        <w:jc w:val="both"/>
        <w:rPr>
          <w:rFonts w:ascii="Times New Roman" w:hAnsi="Times New Roman" w:cs="Times New Roman"/>
          <w:color w:val="0563C1"/>
          <w:sz w:val="24"/>
          <w:szCs w:val="24"/>
          <w:u w:val="single"/>
        </w:rPr>
      </w:pPr>
    </w:p>
    <w:p w14:paraId="237C0A57" w14:textId="77777777" w:rsidR="00AB1786" w:rsidRPr="00534179" w:rsidRDefault="00AB1786" w:rsidP="000D7CDE">
      <w:pPr>
        <w:spacing w:after="0"/>
        <w:jc w:val="both"/>
        <w:rPr>
          <w:rFonts w:ascii="Times New Roman" w:hAnsi="Times New Roman" w:cs="Times New Roman"/>
          <w:i/>
          <w:iCs/>
          <w:sz w:val="24"/>
          <w:szCs w:val="24"/>
        </w:rPr>
      </w:pPr>
      <w:r w:rsidRPr="00534179">
        <w:rPr>
          <w:rFonts w:ascii="Times New Roman" w:hAnsi="Times New Roman" w:cs="Times New Roman"/>
          <w:sz w:val="24"/>
          <w:szCs w:val="24"/>
        </w:rPr>
        <w:t>W związku z potrzebą zdiagnozowania sytuacji osób starszych w województwie śląs</w:t>
      </w:r>
      <w:r w:rsidR="00517C93">
        <w:rPr>
          <w:rFonts w:ascii="Times New Roman" w:hAnsi="Times New Roman" w:cs="Times New Roman"/>
          <w:sz w:val="24"/>
          <w:szCs w:val="24"/>
        </w:rPr>
        <w:t>kim ROPS zrealizował w 2019 r.</w:t>
      </w:r>
      <w:r w:rsidRPr="00534179">
        <w:rPr>
          <w:rFonts w:ascii="Times New Roman" w:hAnsi="Times New Roman" w:cs="Times New Roman"/>
          <w:sz w:val="24"/>
          <w:szCs w:val="24"/>
        </w:rPr>
        <w:t xml:space="preserve"> badanie ankietowe pn. </w:t>
      </w:r>
      <w:r w:rsidRPr="00517C93">
        <w:rPr>
          <w:rFonts w:ascii="Times New Roman" w:hAnsi="Times New Roman" w:cs="Times New Roman"/>
          <w:b/>
          <w:sz w:val="24"/>
          <w:szCs w:val="24"/>
        </w:rPr>
        <w:t>„Wspieranie seniorów w gminach województwa śląskiego w 2018 roku”</w:t>
      </w:r>
      <w:r w:rsidRPr="00534179">
        <w:rPr>
          <w:rFonts w:ascii="Times New Roman" w:hAnsi="Times New Roman" w:cs="Times New Roman"/>
          <w:sz w:val="24"/>
          <w:szCs w:val="24"/>
        </w:rPr>
        <w:t>. Celem badania była analiza rodzaju i zakresu wsparcia oferowanego seniorom w gminach w</w:t>
      </w:r>
      <w:r w:rsidR="00517C93">
        <w:rPr>
          <w:rFonts w:ascii="Times New Roman" w:hAnsi="Times New Roman" w:cs="Times New Roman"/>
          <w:sz w:val="24"/>
          <w:szCs w:val="24"/>
        </w:rPr>
        <w:t>ojewództwa śląskiego w 2018 r.</w:t>
      </w:r>
      <w:r w:rsidRPr="00534179">
        <w:rPr>
          <w:rFonts w:ascii="Times New Roman" w:hAnsi="Times New Roman" w:cs="Times New Roman"/>
          <w:sz w:val="24"/>
          <w:szCs w:val="24"/>
        </w:rPr>
        <w:t xml:space="preserve"> oraz porównanie uzyskan</w:t>
      </w:r>
      <w:r w:rsidR="00517C93">
        <w:rPr>
          <w:rFonts w:ascii="Times New Roman" w:hAnsi="Times New Roman" w:cs="Times New Roman"/>
          <w:sz w:val="24"/>
          <w:szCs w:val="24"/>
        </w:rPr>
        <w:t>ych wyników z danymi za 2017 r</w:t>
      </w:r>
      <w:r w:rsidRPr="00534179">
        <w:rPr>
          <w:rFonts w:ascii="Times New Roman" w:hAnsi="Times New Roman" w:cs="Times New Roman"/>
          <w:sz w:val="24"/>
          <w:szCs w:val="24"/>
        </w:rPr>
        <w:t xml:space="preserve">. Do udziału w badaniu zostali zaproszeni przedstawiciele urzędów miast i gmin województwa śląskiego. Przedmiotem badania były działania adresowane bezpośrednio </w:t>
      </w:r>
      <w:r w:rsidRPr="00534179">
        <w:rPr>
          <w:rFonts w:ascii="Times New Roman" w:hAnsi="Times New Roman" w:cs="Times New Roman"/>
          <w:sz w:val="24"/>
          <w:szCs w:val="24"/>
        </w:rPr>
        <w:lastRenderedPageBreak/>
        <w:t>do osób starszych, a także inicjatywy związane z rozwojem lokalnej polityki senioralnej, służące kształtowaniu dogodnych warunków do aktywnego i zdrowego starzenia się. Badanie objęło pięć obszarów tematycznych, tj. lokalną politykę senioralną, ofertę instytucjonalną dla seniorów, inicjatywy na rzecz osób stars</w:t>
      </w:r>
      <w:r w:rsidR="009F3360">
        <w:rPr>
          <w:rFonts w:ascii="Times New Roman" w:hAnsi="Times New Roman" w:cs="Times New Roman"/>
          <w:sz w:val="24"/>
          <w:szCs w:val="24"/>
        </w:rPr>
        <w:t>zych, dobre praktyki w 2018 r.</w:t>
      </w:r>
      <w:r w:rsidRPr="00534179">
        <w:rPr>
          <w:rFonts w:ascii="Times New Roman" w:hAnsi="Times New Roman" w:cs="Times New Roman"/>
          <w:sz w:val="24"/>
          <w:szCs w:val="24"/>
        </w:rPr>
        <w:t xml:space="preserve"> oraz planowane działania w 2019</w:t>
      </w:r>
      <w:r w:rsidR="009F3360">
        <w:rPr>
          <w:rFonts w:ascii="Times New Roman" w:hAnsi="Times New Roman" w:cs="Times New Roman"/>
          <w:sz w:val="24"/>
          <w:szCs w:val="24"/>
        </w:rPr>
        <w:t xml:space="preserve"> r.</w:t>
      </w:r>
      <w:r w:rsidR="009F3360">
        <w:rPr>
          <w:rStyle w:val="Odwoanieprzypisudolnego"/>
          <w:rFonts w:ascii="Times New Roman" w:hAnsi="Times New Roman" w:cs="Times New Roman"/>
          <w:sz w:val="24"/>
          <w:szCs w:val="24"/>
        </w:rPr>
        <w:footnoteReference w:id="193"/>
      </w:r>
      <w:r w:rsidR="009F3360">
        <w:rPr>
          <w:rFonts w:ascii="Times New Roman" w:hAnsi="Times New Roman" w:cs="Times New Roman"/>
          <w:sz w:val="24"/>
          <w:szCs w:val="24"/>
        </w:rPr>
        <w:t>.</w:t>
      </w:r>
    </w:p>
    <w:p w14:paraId="68A55EEE" w14:textId="77777777" w:rsidR="00AB1786" w:rsidRPr="005F0A32" w:rsidRDefault="00AB1786" w:rsidP="000D7CDE">
      <w:pPr>
        <w:pStyle w:val="Akapitzlist"/>
        <w:spacing w:after="0"/>
        <w:ind w:left="360"/>
        <w:jc w:val="both"/>
        <w:rPr>
          <w:rFonts w:ascii="Times New Roman" w:hAnsi="Times New Roman" w:cs="Times New Roman"/>
          <w:i/>
          <w:iCs/>
          <w:sz w:val="24"/>
          <w:szCs w:val="24"/>
        </w:rPr>
      </w:pPr>
    </w:p>
    <w:p w14:paraId="2B37BA90" w14:textId="77777777" w:rsidR="009F3360" w:rsidRDefault="00AB1786" w:rsidP="000D7CDE">
      <w:pPr>
        <w:spacing w:after="0"/>
        <w:jc w:val="both"/>
        <w:rPr>
          <w:rFonts w:ascii="Times New Roman" w:hAnsi="Times New Roman" w:cs="Times New Roman"/>
          <w:sz w:val="24"/>
          <w:szCs w:val="24"/>
        </w:rPr>
      </w:pPr>
      <w:r w:rsidRPr="00534179">
        <w:rPr>
          <w:rFonts w:ascii="Times New Roman" w:hAnsi="Times New Roman" w:cs="Times New Roman"/>
          <w:b/>
          <w:bCs/>
          <w:sz w:val="24"/>
          <w:szCs w:val="24"/>
        </w:rPr>
        <w:t>Opracowanie „Diagnoza i monitoring wybranych problemów społecznych</w:t>
      </w:r>
      <w:r w:rsidRPr="00534179">
        <w:rPr>
          <w:rFonts w:ascii="Times New Roman" w:hAnsi="Times New Roman" w:cs="Times New Roman"/>
          <w:b/>
          <w:bCs/>
          <w:sz w:val="24"/>
          <w:szCs w:val="24"/>
        </w:rPr>
        <w:br/>
        <w:t>w województwie śląskim – edycja 2019”.</w:t>
      </w:r>
      <w:r w:rsidRPr="00534179">
        <w:rPr>
          <w:rFonts w:ascii="Times New Roman" w:hAnsi="Times New Roman" w:cs="Times New Roman"/>
          <w:sz w:val="24"/>
          <w:szCs w:val="24"/>
        </w:rPr>
        <w:t xml:space="preserve"> Materiał obejmuje swym  zakresem  tematycznym problemy  społeczne  występujące w  województwie śląskim w największej skali oraz takie, których skala jest  mniejsza,  ale  ich  skutki  mają  duże znaczenie  dla  poszczególnych  osób, rodzin lub  też  całych zbiorowości.  W ram</w:t>
      </w:r>
      <w:r w:rsidR="009F3360">
        <w:rPr>
          <w:rFonts w:ascii="Times New Roman" w:hAnsi="Times New Roman" w:cs="Times New Roman"/>
          <w:sz w:val="24"/>
          <w:szCs w:val="24"/>
        </w:rPr>
        <w:t>ach przeprowadzonych w 2019 r.</w:t>
      </w:r>
      <w:r w:rsidRPr="00534179">
        <w:rPr>
          <w:rFonts w:ascii="Times New Roman" w:hAnsi="Times New Roman" w:cs="Times New Roman"/>
          <w:sz w:val="24"/>
          <w:szCs w:val="24"/>
        </w:rPr>
        <w:t xml:space="preserve"> analiz dotyczących problemów osób starszych zaktualizowano dane do dwóch podrozdziałów dotyczące osób starszych: niepełnosprawność i zaawansowany wiek</w:t>
      </w:r>
      <w:r w:rsidR="009F3360">
        <w:rPr>
          <w:rStyle w:val="Odwoanieprzypisudolnego"/>
          <w:rFonts w:ascii="Times New Roman" w:hAnsi="Times New Roman" w:cs="Times New Roman"/>
          <w:sz w:val="24"/>
          <w:szCs w:val="24"/>
        </w:rPr>
        <w:footnoteReference w:id="194"/>
      </w:r>
      <w:r w:rsidRPr="00534179">
        <w:rPr>
          <w:rFonts w:ascii="Times New Roman" w:hAnsi="Times New Roman" w:cs="Times New Roman"/>
          <w:sz w:val="24"/>
          <w:szCs w:val="24"/>
        </w:rPr>
        <w:t xml:space="preserve">. </w:t>
      </w:r>
    </w:p>
    <w:p w14:paraId="13FCE195" w14:textId="77777777" w:rsidR="009F3360" w:rsidRDefault="009F3360" w:rsidP="000D7CDE">
      <w:pPr>
        <w:spacing w:after="0"/>
        <w:jc w:val="both"/>
        <w:rPr>
          <w:rFonts w:ascii="Times New Roman" w:hAnsi="Times New Roman" w:cs="Times New Roman"/>
          <w:sz w:val="24"/>
          <w:szCs w:val="24"/>
        </w:rPr>
      </w:pPr>
    </w:p>
    <w:p w14:paraId="6766DE9A" w14:textId="77777777" w:rsidR="00AB1786" w:rsidRPr="00534179" w:rsidRDefault="00AB1786" w:rsidP="000D7CDE">
      <w:pPr>
        <w:spacing w:after="0"/>
        <w:jc w:val="both"/>
        <w:rPr>
          <w:rFonts w:ascii="Times New Roman" w:hAnsi="Times New Roman" w:cs="Times New Roman"/>
          <w:sz w:val="24"/>
          <w:szCs w:val="24"/>
        </w:rPr>
      </w:pPr>
      <w:r w:rsidRPr="00534179">
        <w:rPr>
          <w:rFonts w:ascii="Times New Roman" w:hAnsi="Times New Roman" w:cs="Times New Roman"/>
          <w:b/>
          <w:bCs/>
          <w:sz w:val="24"/>
          <w:szCs w:val="24"/>
        </w:rPr>
        <w:t>Pilotażowy program małych grantów</w:t>
      </w:r>
      <w:r w:rsidRPr="00534179">
        <w:rPr>
          <w:rFonts w:ascii="Times New Roman" w:hAnsi="Times New Roman" w:cs="Times New Roman"/>
          <w:sz w:val="24"/>
          <w:szCs w:val="24"/>
        </w:rPr>
        <w:t xml:space="preserve"> dla organizacji senioralnych i działającyc</w:t>
      </w:r>
      <w:r w:rsidR="009F3360">
        <w:rPr>
          <w:rFonts w:ascii="Times New Roman" w:hAnsi="Times New Roman" w:cs="Times New Roman"/>
          <w:sz w:val="24"/>
          <w:szCs w:val="24"/>
        </w:rPr>
        <w:t>h na rzecz seniorów. W 2019 r.</w:t>
      </w:r>
      <w:r w:rsidRPr="00534179">
        <w:rPr>
          <w:rFonts w:ascii="Times New Roman" w:hAnsi="Times New Roman" w:cs="Times New Roman"/>
          <w:sz w:val="24"/>
          <w:szCs w:val="24"/>
        </w:rPr>
        <w:t xml:space="preserve"> dofinansowano podmioty promujące m.in. wolontariat seniorów, ich aktywność fizyczną i kulturalną oraz wsparcie terapeutyczne. Dofinasowanie 32 organizacji seniorskich na łączną kwotę 150 000,00 zł</w:t>
      </w:r>
      <w:r w:rsidR="009F3360">
        <w:rPr>
          <w:rStyle w:val="Odwoanieprzypisudolnego"/>
          <w:rFonts w:ascii="Times New Roman" w:hAnsi="Times New Roman" w:cs="Times New Roman"/>
          <w:sz w:val="24"/>
          <w:szCs w:val="24"/>
        </w:rPr>
        <w:footnoteReference w:id="195"/>
      </w:r>
      <w:r w:rsidRPr="00534179">
        <w:rPr>
          <w:rFonts w:ascii="Times New Roman" w:hAnsi="Times New Roman" w:cs="Times New Roman"/>
          <w:sz w:val="24"/>
          <w:szCs w:val="24"/>
        </w:rPr>
        <w:t xml:space="preserve">. </w:t>
      </w:r>
    </w:p>
    <w:p w14:paraId="7076B31A" w14:textId="77777777" w:rsidR="00AB1786" w:rsidRPr="005F0A32" w:rsidRDefault="00AB1786" w:rsidP="000D7CDE">
      <w:pPr>
        <w:pStyle w:val="Akapitzlist"/>
        <w:spacing w:after="0"/>
        <w:ind w:left="0"/>
        <w:jc w:val="both"/>
        <w:rPr>
          <w:rFonts w:ascii="Times New Roman" w:hAnsi="Times New Roman" w:cs="Times New Roman"/>
          <w:b/>
          <w:bCs/>
          <w:sz w:val="24"/>
          <w:szCs w:val="24"/>
        </w:rPr>
      </w:pPr>
    </w:p>
    <w:p w14:paraId="14C1E1A3" w14:textId="77777777" w:rsidR="00B3717B" w:rsidRPr="009F3360" w:rsidRDefault="00B3717B" w:rsidP="000D7CDE">
      <w:pPr>
        <w:spacing w:after="0"/>
        <w:jc w:val="both"/>
        <w:rPr>
          <w:rFonts w:ascii="Times New Roman" w:hAnsi="Times New Roman" w:cs="Times New Roman"/>
          <w:color w:val="00B0F0"/>
          <w:sz w:val="24"/>
          <w:szCs w:val="24"/>
        </w:rPr>
      </w:pPr>
      <w:r w:rsidRPr="009F3360">
        <w:rPr>
          <w:rFonts w:ascii="Times New Roman" w:hAnsi="Times New Roman" w:cs="Times New Roman"/>
          <w:b/>
          <w:color w:val="00B0F0"/>
          <w:sz w:val="24"/>
          <w:szCs w:val="24"/>
        </w:rPr>
        <w:t>Przykłady dobrych praktyk na poziomie lokalnym</w:t>
      </w:r>
    </w:p>
    <w:p w14:paraId="6CF9E0FC" w14:textId="77777777" w:rsidR="00AB1786" w:rsidRPr="00317682" w:rsidRDefault="00AB1786" w:rsidP="000D7CDE">
      <w:pPr>
        <w:pStyle w:val="NormalnyWeb"/>
        <w:spacing w:after="0"/>
        <w:jc w:val="both"/>
      </w:pPr>
    </w:p>
    <w:p w14:paraId="49391B48" w14:textId="77777777" w:rsidR="00AB1786" w:rsidRPr="00317682" w:rsidRDefault="00AB1786" w:rsidP="000D7CDE">
      <w:pPr>
        <w:pStyle w:val="Tekstpodstawowy"/>
        <w:spacing w:after="0" w:line="276" w:lineRule="auto"/>
        <w:jc w:val="both"/>
        <w:rPr>
          <w:rFonts w:ascii="Times New Roman" w:hAnsi="Times New Roman" w:cs="Times New Roman"/>
        </w:rPr>
      </w:pPr>
      <w:r w:rsidRPr="00317682">
        <w:rPr>
          <w:rFonts w:ascii="Times New Roman" w:hAnsi="Times New Roman" w:cs="Times New Roman"/>
        </w:rPr>
        <w:t xml:space="preserve">Powiat bielski </w:t>
      </w:r>
    </w:p>
    <w:p w14:paraId="2ED87D30" w14:textId="77777777" w:rsidR="00317682" w:rsidRDefault="00AB1786" w:rsidP="008C71A9">
      <w:pPr>
        <w:pStyle w:val="Tekstpodstawowy"/>
        <w:numPr>
          <w:ilvl w:val="0"/>
          <w:numId w:val="156"/>
        </w:numPr>
        <w:spacing w:after="0" w:line="276" w:lineRule="auto"/>
        <w:ind w:left="360"/>
        <w:jc w:val="both"/>
        <w:rPr>
          <w:rFonts w:ascii="Times New Roman" w:hAnsi="Times New Roman" w:cs="Times New Roman"/>
        </w:rPr>
      </w:pPr>
      <w:r w:rsidRPr="005F0A32">
        <w:rPr>
          <w:rFonts w:ascii="Times New Roman" w:hAnsi="Times New Roman" w:cs="Times New Roman"/>
        </w:rPr>
        <w:t>Od stycznia 2018 r. rozpoczęto realizację partnerskiego projektu współfinansowanego ze środków Unii Europejskiej pn. "Powiat bielski. Partnerstwo, Aktywizacja, Integracja. Edycja 2". Celem głównym projektu jest wzrost poziomu aktywności społeczno-zawodowej mieszkańców powiatu bielskiego, ze szczególnym uwzględnieniem osób niepełnosprawnych, w tym w wieku senioralnym. W ramach projektu w 2019 r. wsparciem objęto 21 osób w wieku 60+. W ramach projektu przy ul. Legionów 54 w Bielsku-Białej powstało Centrum Aktywizacji i Integracji, w którym odbywają się zajęcia dzienne. Uczestnicy mają zapewniony transport na zajęcia oraz ciepły posiłek. Projekt zapewnia wsparcie poprzez realizację usług asystenckich, pracy socjalnej, rehabilitacji społecznej i zawodowej</w:t>
      </w:r>
      <w:r w:rsidR="009F3360">
        <w:rPr>
          <w:rStyle w:val="Odwoanieprzypisudolnego"/>
          <w:rFonts w:ascii="Times New Roman" w:hAnsi="Times New Roman" w:cs="Times New Roman"/>
        </w:rPr>
        <w:footnoteReference w:id="196"/>
      </w:r>
      <w:r w:rsidRPr="005F0A32">
        <w:rPr>
          <w:rFonts w:ascii="Times New Roman" w:hAnsi="Times New Roman" w:cs="Times New Roman"/>
        </w:rPr>
        <w:t xml:space="preserve">. </w:t>
      </w:r>
    </w:p>
    <w:p w14:paraId="424760B8" w14:textId="7947953B" w:rsidR="00317682" w:rsidRDefault="00AB1786" w:rsidP="008C71A9">
      <w:pPr>
        <w:pStyle w:val="Tekstpodstawowy"/>
        <w:numPr>
          <w:ilvl w:val="0"/>
          <w:numId w:val="156"/>
        </w:numPr>
        <w:spacing w:after="0" w:line="276" w:lineRule="auto"/>
        <w:ind w:left="360"/>
        <w:jc w:val="both"/>
        <w:rPr>
          <w:rFonts w:ascii="Times New Roman" w:hAnsi="Times New Roman" w:cs="Times New Roman"/>
        </w:rPr>
      </w:pPr>
      <w:r w:rsidRPr="00317682">
        <w:rPr>
          <w:rFonts w:ascii="Times New Roman" w:hAnsi="Times New Roman" w:cs="Times New Roman"/>
        </w:rPr>
        <w:t>Powia</w:t>
      </w:r>
      <w:r w:rsidR="00317682">
        <w:rPr>
          <w:rFonts w:ascii="Times New Roman" w:hAnsi="Times New Roman" w:cs="Times New Roman"/>
        </w:rPr>
        <w:t>t bielski przystąpił w 2019 r.</w:t>
      </w:r>
      <w:r w:rsidRPr="00317682">
        <w:rPr>
          <w:rFonts w:ascii="Times New Roman" w:hAnsi="Times New Roman" w:cs="Times New Roman"/>
        </w:rPr>
        <w:t xml:space="preserve"> do resortowego Programu Ministra Rodziny, Pracy              i Polityki Społecznej Opieka wytchnieniowa edycja 2019 współfinansowanego ze środków </w:t>
      </w:r>
      <w:r w:rsidR="0045156C" w:rsidRPr="008439B2">
        <w:rPr>
          <w:rFonts w:ascii="Times New Roman" w:hAnsi="Times New Roman" w:cs="Times New Roman"/>
        </w:rPr>
        <w:t>Funduszu Solidarnościowego</w:t>
      </w:r>
      <w:r w:rsidR="0045156C">
        <w:rPr>
          <w:rFonts w:ascii="Times New Roman" w:hAnsi="Times New Roman" w:cs="Times New Roman"/>
        </w:rPr>
        <w:t xml:space="preserve"> </w:t>
      </w:r>
      <w:r w:rsidR="0045156C" w:rsidRPr="0045156C">
        <w:rPr>
          <w:rFonts w:ascii="Times New Roman" w:hAnsi="Times New Roman" w:cs="Times New Roman"/>
        </w:rPr>
        <w:t>(</w:t>
      </w:r>
      <w:r w:rsidR="0045156C" w:rsidRPr="0045156C">
        <w:rPr>
          <w:rFonts w:ascii="Times New Roman" w:hAnsi="Times New Roman" w:cs="Times New Roman"/>
          <w:color w:val="000000"/>
        </w:rPr>
        <w:t>do 21 grudnia 2019 r. był to Solidarnościowy Fundusz Wsparcia Osób Niepełnosprawnych)</w:t>
      </w:r>
      <w:r w:rsidRPr="00317682">
        <w:rPr>
          <w:rFonts w:ascii="Times New Roman" w:hAnsi="Times New Roman" w:cs="Times New Roman"/>
        </w:rPr>
        <w:t xml:space="preserve">. Działania w ramach w/w programu realizowano od 24.10.2019 r. do 18.12.2019 r. Celem głównym Programu było wsparcie członków rodzin lub opiekunów sprawujących bezpośrednią opiekę nad min. osobami ze znacznym stopniem niepełnosprawności. Osoby otrzymały wsparcie możliwość skorzystania ze specjalistycznego poradnictwa (psychologicznego lub terapeutycznego) oraz wsparcie w </w:t>
      </w:r>
      <w:r w:rsidRPr="00317682">
        <w:rPr>
          <w:rFonts w:ascii="Times New Roman" w:hAnsi="Times New Roman" w:cs="Times New Roman"/>
        </w:rPr>
        <w:lastRenderedPageBreak/>
        <w:t xml:space="preserve">zakresie nauki pielęgnacji/rehabilitacji i dietetyki. Ze wsparcia w w/w programie skorzystały 3 osoby 60+. </w:t>
      </w:r>
    </w:p>
    <w:p w14:paraId="47565B38" w14:textId="77777777" w:rsidR="00317682" w:rsidRDefault="00AB1786" w:rsidP="008C71A9">
      <w:pPr>
        <w:pStyle w:val="Tekstpodstawowy"/>
        <w:numPr>
          <w:ilvl w:val="0"/>
          <w:numId w:val="156"/>
        </w:numPr>
        <w:spacing w:after="0" w:line="276" w:lineRule="auto"/>
        <w:ind w:left="360"/>
        <w:jc w:val="both"/>
        <w:rPr>
          <w:rFonts w:ascii="Times New Roman" w:hAnsi="Times New Roman" w:cs="Times New Roman"/>
        </w:rPr>
      </w:pPr>
      <w:r w:rsidRPr="00317682">
        <w:rPr>
          <w:rFonts w:ascii="Times New Roman" w:hAnsi="Times New Roman" w:cs="Times New Roman"/>
        </w:rPr>
        <w:t xml:space="preserve">Osoby w wieku powyżej 60 roku życia uczestniczyły w realizacji Programu korekcyjno-edukacyjnego dla sprawców przemocy. </w:t>
      </w:r>
    </w:p>
    <w:p w14:paraId="56F64E28" w14:textId="77777777" w:rsidR="00317682" w:rsidRDefault="00AB1786" w:rsidP="008C71A9">
      <w:pPr>
        <w:pStyle w:val="Tekstpodstawowy"/>
        <w:numPr>
          <w:ilvl w:val="0"/>
          <w:numId w:val="156"/>
        </w:numPr>
        <w:spacing w:after="0" w:line="276" w:lineRule="auto"/>
        <w:ind w:left="360"/>
        <w:jc w:val="both"/>
        <w:rPr>
          <w:rFonts w:ascii="Times New Roman" w:hAnsi="Times New Roman" w:cs="Times New Roman"/>
        </w:rPr>
      </w:pPr>
      <w:r w:rsidRPr="00317682">
        <w:rPr>
          <w:rFonts w:ascii="Times New Roman" w:hAnsi="Times New Roman" w:cs="Times New Roman"/>
        </w:rPr>
        <w:t>Wsparciem w formie usług informacyjnych w ramach realizacji Programu "Aktywny Samorząd" objęto w 2019</w:t>
      </w:r>
      <w:r w:rsidR="009F3360">
        <w:rPr>
          <w:rFonts w:ascii="Times New Roman" w:hAnsi="Times New Roman" w:cs="Times New Roman"/>
        </w:rPr>
        <w:t xml:space="preserve"> r.</w:t>
      </w:r>
      <w:r w:rsidRPr="00317682">
        <w:rPr>
          <w:rFonts w:ascii="Times New Roman" w:hAnsi="Times New Roman" w:cs="Times New Roman"/>
        </w:rPr>
        <w:t xml:space="preserve"> 18 osób 60+. </w:t>
      </w:r>
    </w:p>
    <w:p w14:paraId="42213411" w14:textId="77777777" w:rsidR="00AB1786" w:rsidRPr="009F3360" w:rsidRDefault="00AB1786" w:rsidP="008C71A9">
      <w:pPr>
        <w:pStyle w:val="Tekstpodstawowy"/>
        <w:numPr>
          <w:ilvl w:val="0"/>
          <w:numId w:val="156"/>
        </w:numPr>
        <w:spacing w:after="0" w:line="276" w:lineRule="auto"/>
        <w:ind w:left="360"/>
        <w:jc w:val="both"/>
        <w:rPr>
          <w:rFonts w:ascii="Times New Roman" w:hAnsi="Times New Roman" w:cs="Times New Roman"/>
        </w:rPr>
      </w:pPr>
      <w:r w:rsidRPr="00317682">
        <w:rPr>
          <w:rFonts w:ascii="Times New Roman" w:hAnsi="Times New Roman" w:cs="Times New Roman"/>
        </w:rPr>
        <w:t xml:space="preserve">Osoby niepełnosprawne, w tym osoby powyżej 60 roku życia mogą ubiegać </w:t>
      </w:r>
      <w:r w:rsidR="00317682">
        <w:rPr>
          <w:rFonts w:ascii="Times New Roman" w:hAnsi="Times New Roman" w:cs="Times New Roman"/>
        </w:rPr>
        <w:t xml:space="preserve">się                           o </w:t>
      </w:r>
      <w:r w:rsidRPr="00317682">
        <w:rPr>
          <w:rFonts w:ascii="Times New Roman" w:hAnsi="Times New Roman" w:cs="Times New Roman"/>
        </w:rPr>
        <w:t>dofinansowanie ze środków Państwowego Funduszu Rehabilitacji Osób Niepełnosprawnych do zakupu przedmiotów ortopedycznych i środków pomocniczych, sprzętu rehabilitacyjnego, likwidacji barier funkcjonalnych, jak również do</w:t>
      </w:r>
      <w:r w:rsidR="009F3360">
        <w:rPr>
          <w:rFonts w:ascii="Times New Roman" w:hAnsi="Times New Roman" w:cs="Times New Roman"/>
        </w:rPr>
        <w:t xml:space="preserve"> turnusów rehabilitacyjnych. W </w:t>
      </w:r>
      <w:r w:rsidRPr="00317682">
        <w:rPr>
          <w:rFonts w:ascii="Times New Roman" w:hAnsi="Times New Roman" w:cs="Times New Roman"/>
        </w:rPr>
        <w:t xml:space="preserve">2019 </w:t>
      </w:r>
      <w:r w:rsidR="009F3360">
        <w:rPr>
          <w:rFonts w:ascii="Times New Roman" w:hAnsi="Times New Roman" w:cs="Times New Roman"/>
        </w:rPr>
        <w:t xml:space="preserve">r. </w:t>
      </w:r>
      <w:r w:rsidRPr="00317682">
        <w:rPr>
          <w:rFonts w:ascii="Times New Roman" w:hAnsi="Times New Roman" w:cs="Times New Roman"/>
        </w:rPr>
        <w:t>z dofinansowania do turnusó</w:t>
      </w:r>
      <w:r w:rsidR="00317682">
        <w:rPr>
          <w:rFonts w:ascii="Times New Roman" w:hAnsi="Times New Roman" w:cs="Times New Roman"/>
        </w:rPr>
        <w:t xml:space="preserve">w rehabilitacyjnych skorzystało </w:t>
      </w:r>
      <w:r w:rsidR="009F3360">
        <w:rPr>
          <w:rFonts w:ascii="Times New Roman" w:hAnsi="Times New Roman" w:cs="Times New Roman"/>
        </w:rPr>
        <w:t>230 seniorów</w:t>
      </w:r>
      <w:r w:rsidR="009F3360">
        <w:rPr>
          <w:rStyle w:val="Odwoanieprzypisudolnego"/>
          <w:rFonts w:ascii="Times New Roman" w:hAnsi="Times New Roman" w:cs="Times New Roman"/>
        </w:rPr>
        <w:footnoteReference w:id="197"/>
      </w:r>
      <w:r w:rsidR="009F3360">
        <w:rPr>
          <w:rFonts w:ascii="Times New Roman" w:hAnsi="Times New Roman" w:cs="Times New Roman"/>
        </w:rPr>
        <w:t xml:space="preserve">, </w:t>
      </w:r>
      <w:r w:rsidRPr="00317682">
        <w:rPr>
          <w:rFonts w:ascii="Times New Roman" w:hAnsi="Times New Roman" w:cs="Times New Roman"/>
        </w:rPr>
        <w:t>a z dofinansowania do środków ortopedycznych i pomocniczych oraz likwidacji barier architektonicznych skorzystało 617 osób</w:t>
      </w:r>
      <w:r w:rsidR="009F3360">
        <w:rPr>
          <w:rStyle w:val="Odwoanieprzypisudolnego"/>
          <w:rFonts w:ascii="Times New Roman" w:hAnsi="Times New Roman" w:cs="Times New Roman"/>
        </w:rPr>
        <w:footnoteReference w:id="198"/>
      </w:r>
      <w:r w:rsidRPr="00317682">
        <w:rPr>
          <w:rFonts w:ascii="Times New Roman" w:hAnsi="Times New Roman" w:cs="Times New Roman"/>
        </w:rPr>
        <w:t>.</w:t>
      </w:r>
    </w:p>
    <w:p w14:paraId="0ED73A5C" w14:textId="77777777" w:rsidR="00317682" w:rsidRDefault="00317682" w:rsidP="000D7CDE">
      <w:pPr>
        <w:pStyle w:val="Tekstpodstawowy"/>
        <w:tabs>
          <w:tab w:val="left" w:pos="0"/>
        </w:tabs>
        <w:spacing w:after="0" w:line="276" w:lineRule="auto"/>
        <w:jc w:val="both"/>
        <w:rPr>
          <w:rFonts w:ascii="Times New Roman" w:hAnsi="Times New Roman" w:cs="Times New Roman"/>
        </w:rPr>
      </w:pPr>
    </w:p>
    <w:p w14:paraId="71E68827" w14:textId="77777777" w:rsidR="00317682" w:rsidRPr="00317682" w:rsidRDefault="00317682" w:rsidP="000D7CDE">
      <w:pPr>
        <w:pStyle w:val="Tekstpodstawowy"/>
        <w:tabs>
          <w:tab w:val="left" w:pos="0"/>
        </w:tabs>
        <w:spacing w:after="0" w:line="276" w:lineRule="auto"/>
        <w:jc w:val="both"/>
        <w:rPr>
          <w:rFonts w:ascii="Times New Roman" w:eastAsia="SimSun" w:hAnsi="Times New Roman" w:cs="Times New Roman"/>
        </w:rPr>
      </w:pPr>
      <w:r w:rsidRPr="00317682">
        <w:rPr>
          <w:rFonts w:ascii="Times New Roman" w:eastAsia="SimSun" w:hAnsi="Times New Roman" w:cs="Times New Roman"/>
          <w:bCs/>
        </w:rPr>
        <w:t>Bytom</w:t>
      </w:r>
    </w:p>
    <w:p w14:paraId="34022ADE" w14:textId="77777777" w:rsidR="009D6248" w:rsidRPr="009D6248" w:rsidRDefault="00AB1786" w:rsidP="008C71A9">
      <w:pPr>
        <w:pStyle w:val="Tekstpodstawowy"/>
        <w:numPr>
          <w:ilvl w:val="0"/>
          <w:numId w:val="157"/>
        </w:numPr>
        <w:tabs>
          <w:tab w:val="left" w:pos="0"/>
        </w:tabs>
        <w:spacing w:after="0" w:line="276" w:lineRule="auto"/>
        <w:ind w:left="360"/>
        <w:jc w:val="both"/>
        <w:rPr>
          <w:rFonts w:ascii="Times New Roman" w:hAnsi="Times New Roman" w:cs="Times New Roman"/>
        </w:rPr>
      </w:pPr>
      <w:r w:rsidRPr="009D6248">
        <w:rPr>
          <w:rFonts w:ascii="Times New Roman" w:eastAsia="SimSun" w:hAnsi="Times New Roman" w:cs="Times New Roman"/>
        </w:rPr>
        <w:t>W ramach zadań realizowanych przez jednostki organizacyjne pomocy społecznej, nadzorowane przez Wydział Polityki Społecznej, w październiku 2019 r. odbył się VII Bytomski Maskowy Bal Seniora pod patronatem Prezydenta Miasta Bytomia. 2. Mając na uwadze promowanie i wyróżnienie aktywnych seniorów, z inicjatywy Bytomskiej Rady Seniorów i pod patronatem Prezydenta Miasta Bytomia, zorganizowano wybory Bytomskiego Seniora Roku 2019. 3. W ramach BCW miało miejsce szereg przedsięwzięć m. in.: - VI Bytomski Konkurs Wielkanocny, integracja Seniorów i Młodzieży, kultywowanie tradycji wielkanocnych, ilość beneficjentów z BCW: 18 osób, DPS dla Dorosłych, Stowarzyszenie Bytomska Radość Życia, ul. Dworcowa 7, Bytom</w:t>
      </w:r>
      <w:r w:rsidR="009D6248">
        <w:rPr>
          <w:rStyle w:val="Odwoanieprzypisudolnego"/>
          <w:rFonts w:ascii="Times New Roman" w:eastAsia="SimSun" w:hAnsi="Times New Roman" w:cs="Times New Roman"/>
        </w:rPr>
        <w:footnoteReference w:id="199"/>
      </w:r>
      <w:r w:rsidRPr="009D6248">
        <w:rPr>
          <w:rFonts w:ascii="Times New Roman" w:eastAsia="SimSun" w:hAnsi="Times New Roman" w:cs="Times New Roman"/>
        </w:rPr>
        <w:t xml:space="preserve">, </w:t>
      </w:r>
    </w:p>
    <w:p w14:paraId="5233534D" w14:textId="77777777" w:rsidR="005A4405" w:rsidRPr="009D6248" w:rsidRDefault="00AB1786" w:rsidP="008C71A9">
      <w:pPr>
        <w:pStyle w:val="Tekstpodstawowy"/>
        <w:numPr>
          <w:ilvl w:val="0"/>
          <w:numId w:val="157"/>
        </w:numPr>
        <w:tabs>
          <w:tab w:val="left" w:pos="0"/>
        </w:tabs>
        <w:spacing w:after="0" w:line="276" w:lineRule="auto"/>
        <w:ind w:left="360"/>
        <w:jc w:val="both"/>
        <w:rPr>
          <w:rFonts w:ascii="Times New Roman" w:hAnsi="Times New Roman" w:cs="Times New Roman"/>
        </w:rPr>
      </w:pPr>
      <w:r w:rsidRPr="009D6248">
        <w:rPr>
          <w:rFonts w:ascii="Times New Roman" w:eastAsia="SimSun" w:hAnsi="Times New Roman" w:cs="Times New Roman"/>
        </w:rPr>
        <w:t>Piknik letni w ogrodzie DDP3, integracja Seniorów z Dziennych Domów Pomocy nr 1 i 3, ilość beneficjentów z BCW: 60 osób, BCW, ul</w:t>
      </w:r>
      <w:r w:rsidR="009D6248">
        <w:rPr>
          <w:rFonts w:ascii="Times New Roman" w:eastAsia="SimSun" w:hAnsi="Times New Roman" w:cs="Times New Roman"/>
        </w:rPr>
        <w:t>. Pasteura 4, Bytom</w:t>
      </w:r>
      <w:r w:rsidR="009D6248">
        <w:rPr>
          <w:rStyle w:val="Odwoanieprzypisudolnego"/>
          <w:rFonts w:ascii="Times New Roman" w:eastAsia="SimSun" w:hAnsi="Times New Roman" w:cs="Times New Roman"/>
        </w:rPr>
        <w:footnoteReference w:id="200"/>
      </w:r>
      <w:r w:rsidR="009D6248">
        <w:rPr>
          <w:rFonts w:ascii="Times New Roman" w:eastAsia="SimSun" w:hAnsi="Times New Roman" w:cs="Times New Roman"/>
        </w:rPr>
        <w:t xml:space="preserve">, </w:t>
      </w:r>
    </w:p>
    <w:p w14:paraId="160F83D9" w14:textId="77777777" w:rsidR="00AB1786" w:rsidRPr="005A4405" w:rsidRDefault="00AB1786" w:rsidP="008C71A9">
      <w:pPr>
        <w:pStyle w:val="Tekstpodstawowy"/>
        <w:numPr>
          <w:ilvl w:val="0"/>
          <w:numId w:val="157"/>
        </w:numPr>
        <w:tabs>
          <w:tab w:val="left" w:pos="0"/>
        </w:tabs>
        <w:spacing w:after="0" w:line="276" w:lineRule="auto"/>
        <w:ind w:left="360"/>
        <w:jc w:val="both"/>
        <w:rPr>
          <w:rFonts w:ascii="Times New Roman" w:hAnsi="Times New Roman" w:cs="Times New Roman"/>
        </w:rPr>
      </w:pPr>
      <w:r w:rsidRPr="005A4405">
        <w:rPr>
          <w:rFonts w:ascii="Times New Roman" w:eastAsia="SimSun" w:hAnsi="Times New Roman" w:cs="Times New Roman"/>
        </w:rPr>
        <w:t>Lato z wigorem -integracja Seniorów z Dziennych Domów Pomocy nr 2 I Senior Wigor, ilość beneficjentów z BCW: 30 osób, BCW, ul. Orzegowska 20 a, Bytom</w:t>
      </w:r>
      <w:r w:rsidR="009D6248">
        <w:rPr>
          <w:rStyle w:val="Odwoanieprzypisudolnego"/>
          <w:rFonts w:ascii="Times New Roman" w:eastAsia="SimSun" w:hAnsi="Times New Roman" w:cs="Times New Roman"/>
        </w:rPr>
        <w:footnoteReference w:id="201"/>
      </w:r>
      <w:r w:rsidRPr="005A4405">
        <w:rPr>
          <w:rFonts w:ascii="Times New Roman" w:eastAsia="SimSun" w:hAnsi="Times New Roman" w:cs="Times New Roman"/>
        </w:rPr>
        <w:t xml:space="preserve">, </w:t>
      </w:r>
    </w:p>
    <w:p w14:paraId="6C41CB42" w14:textId="77777777" w:rsidR="005A4405" w:rsidRDefault="009D6248" w:rsidP="008C71A9">
      <w:pPr>
        <w:pStyle w:val="Tekstpodstawowy"/>
        <w:numPr>
          <w:ilvl w:val="0"/>
          <w:numId w:val="158"/>
        </w:numPr>
        <w:tabs>
          <w:tab w:val="left" w:pos="0"/>
        </w:tabs>
        <w:spacing w:after="0" w:line="276" w:lineRule="auto"/>
        <w:ind w:left="360"/>
        <w:jc w:val="both"/>
        <w:rPr>
          <w:rFonts w:ascii="Times New Roman" w:eastAsia="SimSun" w:hAnsi="Times New Roman" w:cs="Times New Roman"/>
        </w:rPr>
      </w:pPr>
      <w:r>
        <w:rPr>
          <w:rFonts w:ascii="Times New Roman" w:eastAsia="SimSun" w:hAnsi="Times New Roman" w:cs="Times New Roman"/>
          <w:color w:val="1F2DA8"/>
        </w:rPr>
        <w:t>\</w:t>
      </w:r>
      <w:r w:rsidR="00AB1786" w:rsidRPr="005F0A32">
        <w:rPr>
          <w:rFonts w:ascii="Times New Roman" w:eastAsia="SimSun" w:hAnsi="Times New Roman" w:cs="Times New Roman"/>
        </w:rPr>
        <w:t>Zwiększenie możliwości równowagi statycznej i dynamicznej, prewencji upadków                            z wykorzystaniem wirtualnej rzeczywistości oraz platform do oceny równowagi statycznej. cel: zmniejszenie ilości upadków, zwiększenie równowagi, polepszenie kondycji psychomotorycznej oraz zwiększenie satysfakcji z własnej sprawności, ilość beneficjentów z BCW: 30 osób, BCW+Wydział Lekarski i Nauk o Zdrowiu Uniwersytetu Jana Kochanowskiego, pl. Szpitaln</w:t>
      </w:r>
      <w:r>
        <w:rPr>
          <w:rFonts w:ascii="Times New Roman" w:eastAsia="SimSun" w:hAnsi="Times New Roman" w:cs="Times New Roman"/>
        </w:rPr>
        <w:t>y 1, ul. Orzegowska 20a, Bytom</w:t>
      </w:r>
      <w:r>
        <w:rPr>
          <w:rStyle w:val="Odwoanieprzypisudolnego"/>
          <w:rFonts w:ascii="Times New Roman" w:eastAsia="SimSun" w:hAnsi="Times New Roman" w:cs="Times New Roman"/>
        </w:rPr>
        <w:footnoteReference w:id="202"/>
      </w:r>
      <w:r>
        <w:rPr>
          <w:rFonts w:ascii="Times New Roman" w:eastAsia="SimSun" w:hAnsi="Times New Roman" w:cs="Times New Roman"/>
        </w:rPr>
        <w:t>,</w:t>
      </w:r>
    </w:p>
    <w:p w14:paraId="331FA25B" w14:textId="77777777" w:rsidR="005A4405" w:rsidRPr="005A4405" w:rsidRDefault="00AB1786" w:rsidP="008C71A9">
      <w:pPr>
        <w:pStyle w:val="Tekstpodstawowy"/>
        <w:numPr>
          <w:ilvl w:val="0"/>
          <w:numId w:val="158"/>
        </w:numPr>
        <w:tabs>
          <w:tab w:val="left" w:pos="0"/>
        </w:tabs>
        <w:spacing w:after="0" w:line="276" w:lineRule="auto"/>
        <w:ind w:left="360"/>
        <w:jc w:val="both"/>
        <w:rPr>
          <w:rFonts w:ascii="Times New Roman" w:hAnsi="Times New Roman" w:cs="Times New Roman"/>
        </w:rPr>
      </w:pPr>
      <w:r w:rsidRPr="005A4405">
        <w:rPr>
          <w:rFonts w:ascii="Times New Roman" w:eastAsia="SimSun" w:hAnsi="Times New Roman" w:cs="Times New Roman"/>
        </w:rPr>
        <w:t>VI Olimpiada Sportowa, propagowanie zdrowego stylu życia, integracja osób niepełnosprawnych, ilość beneficjentów z BCW: 20 osób, DPS dla Dorosłych, Stowarzyszenie Bytomska Radość Życia, Hala na Skarpie, ul. Frycza-</w:t>
      </w:r>
      <w:r w:rsidRPr="005A4405">
        <w:rPr>
          <w:rFonts w:ascii="Times New Roman" w:eastAsia="SimSun" w:hAnsi="Times New Roman" w:cs="Times New Roman"/>
        </w:rPr>
        <w:lastRenderedPageBreak/>
        <w:t>Modrzewskiego5a,Bytom</w:t>
      </w:r>
      <w:r w:rsidR="009D6248">
        <w:rPr>
          <w:rStyle w:val="Odwoanieprzypisudolnego"/>
          <w:rFonts w:ascii="Times New Roman" w:eastAsia="SimSun" w:hAnsi="Times New Roman" w:cs="Times New Roman"/>
        </w:rPr>
        <w:footnoteReference w:id="203"/>
      </w:r>
      <w:r w:rsidRPr="005A4405">
        <w:rPr>
          <w:rFonts w:ascii="Times New Roman" w:eastAsia="SimSun" w:hAnsi="Times New Roman" w:cs="Times New Roman"/>
        </w:rPr>
        <w:t xml:space="preserve">, </w:t>
      </w:r>
    </w:p>
    <w:p w14:paraId="5FA44ECE" w14:textId="77777777" w:rsidR="00755085" w:rsidRPr="00755085" w:rsidRDefault="00AB1786" w:rsidP="008C71A9">
      <w:pPr>
        <w:pStyle w:val="Tekstpodstawowy"/>
        <w:numPr>
          <w:ilvl w:val="0"/>
          <w:numId w:val="158"/>
        </w:numPr>
        <w:tabs>
          <w:tab w:val="left" w:pos="0"/>
        </w:tabs>
        <w:spacing w:after="0" w:line="276" w:lineRule="auto"/>
        <w:ind w:left="360"/>
        <w:jc w:val="both"/>
        <w:rPr>
          <w:rFonts w:ascii="Times New Roman" w:hAnsi="Times New Roman" w:cs="Times New Roman"/>
        </w:rPr>
      </w:pPr>
      <w:r w:rsidRPr="005A4405">
        <w:rPr>
          <w:rFonts w:ascii="Times New Roman" w:eastAsia="SimSun" w:hAnsi="Times New Roman" w:cs="Times New Roman"/>
        </w:rPr>
        <w:t>Warsztaty artystyczne z p. Garym Marshallem- Stevensem, integracja Seniorów, nabywanie umiejętności wyrażania własnych emocji, ilość beneficjentów z BCW: 10 osób, Centrum Sztuki Współczenej Kronika, DDP nr 1, ul. Piłsudskiego 69, Bytom</w:t>
      </w:r>
      <w:r w:rsidR="009D6248">
        <w:rPr>
          <w:rStyle w:val="Odwoanieprzypisudolnego"/>
          <w:rFonts w:ascii="Times New Roman" w:eastAsia="SimSun" w:hAnsi="Times New Roman" w:cs="Times New Roman"/>
        </w:rPr>
        <w:footnoteReference w:id="204"/>
      </w:r>
      <w:r w:rsidRPr="005A4405">
        <w:rPr>
          <w:rFonts w:ascii="Times New Roman" w:eastAsia="SimSun" w:hAnsi="Times New Roman" w:cs="Times New Roman"/>
        </w:rPr>
        <w:t xml:space="preserve">, </w:t>
      </w:r>
    </w:p>
    <w:p w14:paraId="3D701532" w14:textId="1D815F41" w:rsidR="009D6248" w:rsidRPr="009D6248" w:rsidRDefault="00AB1786" w:rsidP="008C71A9">
      <w:pPr>
        <w:pStyle w:val="Tekstpodstawowy"/>
        <w:numPr>
          <w:ilvl w:val="0"/>
          <w:numId w:val="158"/>
        </w:numPr>
        <w:tabs>
          <w:tab w:val="left" w:pos="0"/>
        </w:tabs>
        <w:spacing w:after="0" w:line="276" w:lineRule="auto"/>
        <w:ind w:left="360"/>
        <w:jc w:val="both"/>
        <w:rPr>
          <w:rFonts w:ascii="Times New Roman" w:hAnsi="Times New Roman" w:cs="Times New Roman"/>
        </w:rPr>
      </w:pPr>
      <w:r w:rsidRPr="005A4405">
        <w:rPr>
          <w:rFonts w:ascii="Times New Roman" w:eastAsia="SimSun" w:hAnsi="Times New Roman" w:cs="Times New Roman"/>
        </w:rPr>
        <w:t>V Bytomska Senioriada, integracja Seniorów, propgowaniezdrowego</w:t>
      </w:r>
      <w:r w:rsidR="00CD52E9">
        <w:rPr>
          <w:rFonts w:ascii="Times New Roman" w:eastAsia="SimSun" w:hAnsi="Times New Roman" w:cs="Times New Roman"/>
        </w:rPr>
        <w:t xml:space="preserve"> stylu życia, profilaktyka chorób</w:t>
      </w:r>
      <w:r w:rsidRPr="005A4405">
        <w:rPr>
          <w:rFonts w:ascii="Times New Roman" w:eastAsia="SimSun" w:hAnsi="Times New Roman" w:cs="Times New Roman"/>
        </w:rPr>
        <w:t xml:space="preserve"> wieku senioralnego, ilość beneficjentów z BCW: 40 osób; Miasto Bytom oraz Współorganizatorzy, Pl. Karin Stanek 1, Bytom</w:t>
      </w:r>
      <w:r w:rsidR="009D6248">
        <w:rPr>
          <w:rStyle w:val="Odwoanieprzypisudolnego"/>
          <w:rFonts w:ascii="Times New Roman" w:eastAsia="SimSun" w:hAnsi="Times New Roman" w:cs="Times New Roman"/>
        </w:rPr>
        <w:footnoteReference w:id="205"/>
      </w:r>
      <w:r w:rsidRPr="005A4405">
        <w:rPr>
          <w:rFonts w:ascii="Times New Roman" w:eastAsia="SimSun" w:hAnsi="Times New Roman" w:cs="Times New Roman"/>
        </w:rPr>
        <w:t xml:space="preserve">, </w:t>
      </w:r>
    </w:p>
    <w:p w14:paraId="0FE9E945" w14:textId="77777777" w:rsidR="00AB1786" w:rsidRPr="005A4405" w:rsidRDefault="00AB1786" w:rsidP="008C71A9">
      <w:pPr>
        <w:pStyle w:val="Tekstpodstawowy"/>
        <w:numPr>
          <w:ilvl w:val="0"/>
          <w:numId w:val="158"/>
        </w:numPr>
        <w:tabs>
          <w:tab w:val="left" w:pos="0"/>
        </w:tabs>
        <w:spacing w:after="0" w:line="276" w:lineRule="auto"/>
        <w:ind w:left="360"/>
        <w:jc w:val="both"/>
        <w:rPr>
          <w:rFonts w:ascii="Times New Roman" w:hAnsi="Times New Roman" w:cs="Times New Roman"/>
        </w:rPr>
      </w:pPr>
      <w:r w:rsidRPr="005A4405">
        <w:rPr>
          <w:rFonts w:ascii="Times New Roman" w:eastAsia="SimSun" w:hAnsi="Times New Roman" w:cs="Times New Roman"/>
        </w:rPr>
        <w:t>Bytomska Rada Seniorów rekomenduje m.in. następujące dobre praktyki: - zorganizowanie (wspólnie z Bytomskim Ośrodkiem Promocji Zdrowia) trzech konferencji na temat zdrowia seniora: „Zdrowie psychiczne seniora”, „Cukrzyca zagrożeniem zdrowia współczesnego człowieka”, „Zdrowie seniora”. Do udziału w konferencji zapraszamy młodzież szkół średnich. Promowanie seniorów z pasją, organizacja spotkań z seniorami na temat praw pacjenta, wspólne wyjścia do opery, teatru, NOSPR. Kontynuacja przedsięwzięcia pod nazwą Koperta Życia. Miasto Bytom włączyło się w realizację przedsięwzięcia zainicjowanego przez Rzecznika Praw Obywatelskich, Marszałka Województwa Śląskiego oraz Komendanta Wojewódzkiego Policji w Katowicach. Celem akcji jest pomoc osobom starszym, schorowanym, samotnym i niepełnosprawnym, które ze względu na stan zdrowia nie zawsze są w stanie udzielić pełnej informacji służbom podejmującym interwencję, tj.: służbom medycznym, policji, straży miejskiej, straży pożarnej czy służbom socjalnym.</w:t>
      </w:r>
    </w:p>
    <w:p w14:paraId="1BA6C832" w14:textId="77777777" w:rsidR="00AB1786" w:rsidRPr="005F0A32" w:rsidRDefault="00AB1786" w:rsidP="000D7CDE">
      <w:pPr>
        <w:pStyle w:val="Tekstpodstawowy"/>
        <w:spacing w:after="0" w:line="276" w:lineRule="auto"/>
        <w:jc w:val="both"/>
        <w:rPr>
          <w:rFonts w:ascii="Times New Roman" w:hAnsi="Times New Roman" w:cs="Times New Roman"/>
        </w:rPr>
      </w:pPr>
    </w:p>
    <w:p w14:paraId="685AEE9E" w14:textId="77777777" w:rsidR="00755085" w:rsidRPr="00755085" w:rsidRDefault="00755085" w:rsidP="000D7CDE">
      <w:pPr>
        <w:pStyle w:val="Tekstpodstawowy"/>
        <w:spacing w:after="0" w:line="276" w:lineRule="auto"/>
        <w:jc w:val="both"/>
        <w:rPr>
          <w:rFonts w:ascii="Times New Roman" w:hAnsi="Times New Roman" w:cs="Times New Roman"/>
        </w:rPr>
      </w:pPr>
      <w:r>
        <w:rPr>
          <w:rFonts w:ascii="Times New Roman" w:hAnsi="Times New Roman" w:cs="Times New Roman"/>
        </w:rPr>
        <w:t>Częstochowa</w:t>
      </w:r>
    </w:p>
    <w:p w14:paraId="0381160B" w14:textId="77777777" w:rsidR="00755085" w:rsidRDefault="00AB1786" w:rsidP="008C71A9">
      <w:pPr>
        <w:pStyle w:val="Tekstpodstawowy"/>
        <w:numPr>
          <w:ilvl w:val="0"/>
          <w:numId w:val="159"/>
        </w:numPr>
        <w:spacing w:after="0" w:line="276" w:lineRule="auto"/>
        <w:ind w:left="360"/>
        <w:jc w:val="both"/>
        <w:rPr>
          <w:rFonts w:ascii="Times New Roman" w:hAnsi="Times New Roman" w:cs="Times New Roman"/>
        </w:rPr>
      </w:pPr>
      <w:r w:rsidRPr="005F0A32">
        <w:rPr>
          <w:rFonts w:ascii="Times New Roman" w:hAnsi="Times New Roman" w:cs="Times New Roman"/>
        </w:rPr>
        <w:t xml:space="preserve">Biuro Obsługi Seniora miejsce stworzone z myślą o mieszkańcach miasta w wieku senioralnym; mieści się w budynku Urzędu Miasta przy ul. Śląskiej 11/13. </w:t>
      </w:r>
    </w:p>
    <w:p w14:paraId="0A375407" w14:textId="77777777" w:rsidR="00755085" w:rsidRDefault="00AB1786" w:rsidP="008C71A9">
      <w:pPr>
        <w:pStyle w:val="Tekstpodstawowy"/>
        <w:numPr>
          <w:ilvl w:val="0"/>
          <w:numId w:val="159"/>
        </w:numPr>
        <w:spacing w:after="0" w:line="276" w:lineRule="auto"/>
        <w:ind w:left="360"/>
        <w:jc w:val="both"/>
        <w:rPr>
          <w:rFonts w:ascii="Times New Roman" w:hAnsi="Times New Roman" w:cs="Times New Roman"/>
        </w:rPr>
      </w:pPr>
      <w:r w:rsidRPr="00755085">
        <w:rPr>
          <w:rFonts w:ascii="Times New Roman" w:hAnsi="Times New Roman" w:cs="Times New Roman"/>
        </w:rPr>
        <w:t xml:space="preserve">Bilet miejski dla seniora emerytki powyżej 60 roku życia </w:t>
      </w:r>
      <w:r w:rsidR="00B81D5F">
        <w:rPr>
          <w:rFonts w:ascii="Times New Roman" w:hAnsi="Times New Roman" w:cs="Times New Roman"/>
        </w:rPr>
        <w:t>–</w:t>
      </w:r>
      <w:r w:rsidRPr="00755085">
        <w:rPr>
          <w:rFonts w:ascii="Times New Roman" w:hAnsi="Times New Roman" w:cs="Times New Roman"/>
        </w:rPr>
        <w:t xml:space="preserve"> 8</w:t>
      </w:r>
      <w:r w:rsidR="00B81D5F">
        <w:rPr>
          <w:rFonts w:ascii="Times New Roman" w:hAnsi="Times New Roman" w:cs="Times New Roman"/>
        </w:rPr>
        <w:t xml:space="preserve"> </w:t>
      </w:r>
      <w:r w:rsidRPr="00755085">
        <w:rPr>
          <w:rFonts w:ascii="Times New Roman" w:hAnsi="Times New Roman" w:cs="Times New Roman"/>
        </w:rPr>
        <w:t>478 biletów i emeryci powyżej 65 roku życia 1</w:t>
      </w:r>
      <w:r w:rsidR="00B81D5F">
        <w:rPr>
          <w:rFonts w:ascii="Times New Roman" w:hAnsi="Times New Roman" w:cs="Times New Roman"/>
        </w:rPr>
        <w:t xml:space="preserve"> </w:t>
      </w:r>
      <w:r w:rsidRPr="00755085">
        <w:rPr>
          <w:rFonts w:ascii="Times New Roman" w:hAnsi="Times New Roman" w:cs="Times New Roman"/>
        </w:rPr>
        <w:t xml:space="preserve">365 biletów. </w:t>
      </w:r>
    </w:p>
    <w:p w14:paraId="079F5495" w14:textId="77777777" w:rsidR="00755085" w:rsidRDefault="00AB1786" w:rsidP="008C71A9">
      <w:pPr>
        <w:pStyle w:val="Tekstpodstawowy"/>
        <w:numPr>
          <w:ilvl w:val="0"/>
          <w:numId w:val="159"/>
        </w:numPr>
        <w:spacing w:after="0" w:line="276" w:lineRule="auto"/>
        <w:ind w:left="360"/>
        <w:jc w:val="both"/>
        <w:rPr>
          <w:rFonts w:ascii="Times New Roman" w:hAnsi="Times New Roman" w:cs="Times New Roman"/>
        </w:rPr>
      </w:pPr>
      <w:r w:rsidRPr="00755085">
        <w:rPr>
          <w:rFonts w:ascii="Times New Roman" w:hAnsi="Times New Roman" w:cs="Times New Roman"/>
        </w:rPr>
        <w:t xml:space="preserve">Projekt Bezpiecznie we własnym domu, usługi teleopiekuńcze w miejscu zamieszkania. Grupą docelową projektu jest 200 osób nie w pełni samodzielnych z Częstochowy  z ograniczoną strefą samodzielności (wiek, niepełnosprawność).Technologia teleinformatyczna połączona z pracą profesjonalnego Centrum Alarmowego 24 godziny. Aplikacja alarmowa na smartfony "Czuj się bezpiecznie "- prosta w obsłudze, forma bezpłatna. Aplikację można pobrać ze strony </w:t>
      </w:r>
      <w:r w:rsidRPr="00755085">
        <w:rPr>
          <w:rFonts w:ascii="Times New Roman" w:hAnsi="Times New Roman" w:cs="Times New Roman"/>
          <w:color w:val="0000FF"/>
        </w:rPr>
        <w:t>www.czestochowa.pl</w:t>
      </w:r>
      <w:r w:rsidRPr="00755085">
        <w:rPr>
          <w:rFonts w:ascii="Times New Roman" w:hAnsi="Times New Roman" w:cs="Times New Roman"/>
        </w:rPr>
        <w:t>  (baner Czuj się bezpiecznie).</w:t>
      </w:r>
    </w:p>
    <w:p w14:paraId="067C88E9" w14:textId="77777777" w:rsidR="00755085" w:rsidRDefault="00AB1786" w:rsidP="008C71A9">
      <w:pPr>
        <w:pStyle w:val="Tekstpodstawowy"/>
        <w:numPr>
          <w:ilvl w:val="0"/>
          <w:numId w:val="159"/>
        </w:numPr>
        <w:spacing w:after="0" w:line="276" w:lineRule="auto"/>
        <w:ind w:left="360"/>
        <w:jc w:val="both"/>
        <w:rPr>
          <w:rFonts w:ascii="Times New Roman" w:hAnsi="Times New Roman" w:cs="Times New Roman"/>
        </w:rPr>
      </w:pPr>
      <w:r w:rsidRPr="00755085">
        <w:rPr>
          <w:rFonts w:ascii="Times New Roman" w:hAnsi="Times New Roman" w:cs="Times New Roman"/>
        </w:rPr>
        <w:t>Dzienne Domy Senior+: w Częstochowie działają 2 takie domy przy ul. Rapackiego 3/5 (prowadzony przez Caritas Archidiecezji Częstochowskiej); w 2019 r. wsparciem objęto 36 osób) oraz przy ul. Marysia 93 (prowadzony przez Towarzystwo Przyjaciół Dzieci Oddział Okręgowy       w Częstochowie) - wsparciem objęto 41 osób.</w:t>
      </w:r>
    </w:p>
    <w:p w14:paraId="729D0FA2" w14:textId="77777777" w:rsidR="00755085" w:rsidRDefault="00AB1786" w:rsidP="008C71A9">
      <w:pPr>
        <w:pStyle w:val="Tekstpodstawowy"/>
        <w:numPr>
          <w:ilvl w:val="0"/>
          <w:numId w:val="159"/>
        </w:numPr>
        <w:spacing w:after="0" w:line="276" w:lineRule="auto"/>
        <w:ind w:left="360"/>
        <w:jc w:val="both"/>
        <w:rPr>
          <w:rFonts w:ascii="Times New Roman" w:hAnsi="Times New Roman" w:cs="Times New Roman"/>
        </w:rPr>
      </w:pPr>
      <w:r w:rsidRPr="00755085">
        <w:rPr>
          <w:rFonts w:ascii="Times New Roman" w:hAnsi="Times New Roman" w:cs="Times New Roman"/>
        </w:rPr>
        <w:t>Częstochowskie Centrum Aktywności Seniorów celem jest koordynacja działań na rzecz seniorów. W ramach  działalności CCAS prowadzi Dzienny Domu Pomocy Społecznej                   w Częstochowie przy ul. Staszica 10 wsparciem  objęto 34 osoby.  W jego ramach działa punkt informacyjny dla seniorów oraz  udostępniania informacji na stronie internetowej</w:t>
      </w:r>
      <w:r w:rsidR="00755085">
        <w:rPr>
          <w:rFonts w:ascii="Times New Roman" w:hAnsi="Times New Roman" w:cs="Times New Roman"/>
        </w:rPr>
        <w:t xml:space="preserve"> </w:t>
      </w:r>
      <w:r w:rsidRPr="00755085">
        <w:rPr>
          <w:rFonts w:ascii="Times New Roman" w:hAnsi="Times New Roman" w:cs="Times New Roman"/>
          <w:color w:val="0000FF"/>
        </w:rPr>
        <w:t>ttp://www.ccas.com.pl/. </w:t>
      </w:r>
    </w:p>
    <w:p w14:paraId="0E6DB483" w14:textId="77777777" w:rsidR="00755085" w:rsidRDefault="00AB1786" w:rsidP="008C71A9">
      <w:pPr>
        <w:pStyle w:val="Tekstpodstawowy"/>
        <w:numPr>
          <w:ilvl w:val="0"/>
          <w:numId w:val="159"/>
        </w:numPr>
        <w:spacing w:after="0" w:line="276" w:lineRule="auto"/>
        <w:ind w:left="360"/>
        <w:jc w:val="both"/>
        <w:rPr>
          <w:rFonts w:ascii="Times New Roman" w:hAnsi="Times New Roman" w:cs="Times New Roman"/>
        </w:rPr>
      </w:pPr>
      <w:r w:rsidRPr="00755085">
        <w:rPr>
          <w:rFonts w:ascii="Times New Roman" w:hAnsi="Times New Roman" w:cs="Times New Roman"/>
        </w:rPr>
        <w:lastRenderedPageBreak/>
        <w:t>Koperta życia, której celem jest umieszczenie wszystkich ważnych informacji o sytuacji zdrowotnej i rodzinnej  w  jednym miejscu, niezbędnych do wsparcia osób starszych w sytuacji wystąpienia zagrożenia zdrowia i życia podczas udzielania pomocy przez różnego</w:t>
      </w:r>
      <w:r w:rsidR="00755085">
        <w:rPr>
          <w:rFonts w:ascii="Times New Roman" w:hAnsi="Times New Roman" w:cs="Times New Roman"/>
        </w:rPr>
        <w:t xml:space="preserve"> </w:t>
      </w:r>
      <w:r w:rsidRPr="00755085">
        <w:rPr>
          <w:rFonts w:ascii="Times New Roman" w:hAnsi="Times New Roman" w:cs="Times New Roman"/>
        </w:rPr>
        <w:t>rodzaju służby medyczne. Nie prowadzona jest ewidencja ilościowa.</w:t>
      </w:r>
    </w:p>
    <w:p w14:paraId="21B2C668" w14:textId="77777777" w:rsidR="00755085" w:rsidRDefault="00AB1786" w:rsidP="008C71A9">
      <w:pPr>
        <w:pStyle w:val="Tekstpodstawowy"/>
        <w:numPr>
          <w:ilvl w:val="0"/>
          <w:numId w:val="159"/>
        </w:numPr>
        <w:spacing w:after="0" w:line="276" w:lineRule="auto"/>
        <w:ind w:left="360"/>
        <w:jc w:val="both"/>
        <w:rPr>
          <w:rFonts w:ascii="Times New Roman" w:hAnsi="Times New Roman" w:cs="Times New Roman"/>
        </w:rPr>
      </w:pPr>
      <w:r w:rsidRPr="00755085">
        <w:rPr>
          <w:rFonts w:ascii="Times New Roman" w:hAnsi="Times New Roman" w:cs="Times New Roman"/>
        </w:rPr>
        <w:t>Uniwersytety Trzeciego Wieku formuła działalności edukacyjnej na potrzeby seniorów. Na terenie miasta działają 4 Uniwersytety: przy Wydziale Zarządzania Politechniki Częstochowskiej, przy Alei Armii Krajowej 19 B, przy Uniwersytecie Humanistyczno-Przyrodniczym im. Jana Długosza w Częstochowie ul.  Waszyngtona 4/8, Stowarzyszenie Częstochowski Uniwersytet Trzeciego Wieku ul. Jasnogórska 8, Uniwersytet Trzeciego Wieku Akadami Polonijnej ul. Puławskiego 4/6. Ł</w:t>
      </w:r>
      <w:r w:rsidR="00755085">
        <w:rPr>
          <w:rFonts w:ascii="Times New Roman" w:hAnsi="Times New Roman" w:cs="Times New Roman"/>
        </w:rPr>
        <w:t xml:space="preserve">ączna liczba studentów seniorów </w:t>
      </w:r>
      <w:r w:rsidRPr="00755085">
        <w:rPr>
          <w:rFonts w:ascii="Times New Roman" w:hAnsi="Times New Roman" w:cs="Times New Roman"/>
        </w:rPr>
        <w:t>- ok. 2000.</w:t>
      </w:r>
    </w:p>
    <w:p w14:paraId="62723BD3" w14:textId="77777777" w:rsidR="00755085" w:rsidRDefault="00AB1786" w:rsidP="008C71A9">
      <w:pPr>
        <w:pStyle w:val="Tekstpodstawowy"/>
        <w:numPr>
          <w:ilvl w:val="0"/>
          <w:numId w:val="159"/>
        </w:numPr>
        <w:spacing w:after="0" w:line="276" w:lineRule="auto"/>
        <w:ind w:left="360"/>
        <w:jc w:val="both"/>
        <w:rPr>
          <w:rFonts w:ascii="Times New Roman" w:hAnsi="Times New Roman" w:cs="Times New Roman"/>
        </w:rPr>
      </w:pPr>
      <w:r w:rsidRPr="00755085">
        <w:rPr>
          <w:rFonts w:ascii="Times New Roman" w:hAnsi="Times New Roman" w:cs="Times New Roman"/>
        </w:rPr>
        <w:t>Miejska Rada Seniorów: głównym  celem jest służenie osobom starszym poprzez reprezentowanie ich interesów wobec władz miasta, zapobieganie,  przełamywanie marginalizacji seniorów. W 2019</w:t>
      </w:r>
      <w:r w:rsidR="00B81D5F">
        <w:rPr>
          <w:rFonts w:ascii="Times New Roman" w:hAnsi="Times New Roman" w:cs="Times New Roman"/>
        </w:rPr>
        <w:t xml:space="preserve"> r.</w:t>
      </w:r>
      <w:r w:rsidRPr="00755085">
        <w:rPr>
          <w:rFonts w:ascii="Times New Roman" w:hAnsi="Times New Roman" w:cs="Times New Roman"/>
        </w:rPr>
        <w:t xml:space="preserve"> odbyło się 7 posiedzeń MRS.</w:t>
      </w:r>
    </w:p>
    <w:p w14:paraId="536E08C2" w14:textId="77777777" w:rsidR="00755085" w:rsidRDefault="00AB1786" w:rsidP="008C71A9">
      <w:pPr>
        <w:pStyle w:val="Tekstpodstawowy"/>
        <w:numPr>
          <w:ilvl w:val="0"/>
          <w:numId w:val="159"/>
        </w:numPr>
        <w:spacing w:after="0" w:line="276" w:lineRule="auto"/>
        <w:ind w:left="360"/>
        <w:jc w:val="both"/>
        <w:rPr>
          <w:rFonts w:ascii="Times New Roman" w:hAnsi="Times New Roman" w:cs="Times New Roman"/>
        </w:rPr>
      </w:pPr>
      <w:r w:rsidRPr="00755085">
        <w:rPr>
          <w:rFonts w:ascii="Times New Roman" w:hAnsi="Times New Roman" w:cs="Times New Roman"/>
        </w:rPr>
        <w:t xml:space="preserve">Karta seniora założeniem projektu jest udostępnienie częstochowskim seniorom oferty zniżek, rabatów i promocji, celem zachęcenia ich do aktywizacji. Projekt jest przeznaczony dla osób w wieku 60+. Senior może skorzystać z promocji przygotowanych przez 89 Partnerów Projektu. W bazie są: kawiarnie, instytucje kultury, obiekty sportowe i rekreacyjne, usługi medyczne, rehabilitacyjne. Informacja o działaniach na rzecz Seniorów zamieszczana jest na Portalu Polityki Społecznej UM Częstochowy </w:t>
      </w:r>
      <w:hyperlink r:id="rId38" w:history="1">
        <w:r w:rsidR="00755085" w:rsidRPr="0025079F">
          <w:rPr>
            <w:rStyle w:val="Hipercze"/>
            <w:rFonts w:ascii="Times New Roman" w:hAnsi="Times New Roman" w:cs="Times New Roman"/>
          </w:rPr>
          <w:t>http://www.pps.czes</w:t>
        </w:r>
      </w:hyperlink>
      <w:r w:rsidR="00755085">
        <w:rPr>
          <w:rFonts w:ascii="Times New Roman" w:hAnsi="Times New Roman" w:cs="Times New Roman"/>
          <w:color w:val="0000FF"/>
        </w:rPr>
        <w:t xml:space="preserve"> </w:t>
      </w:r>
      <w:r w:rsidRPr="00755085">
        <w:rPr>
          <w:rFonts w:ascii="Times New Roman" w:hAnsi="Times New Roman" w:cs="Times New Roman"/>
          <w:color w:val="0000FF"/>
        </w:rPr>
        <w:t>tochowa.pl</w:t>
      </w:r>
      <w:r w:rsidRPr="00755085">
        <w:rPr>
          <w:rFonts w:ascii="Times New Roman" w:hAnsi="Times New Roman" w:cs="Times New Roman"/>
        </w:rPr>
        <w:t xml:space="preserve">/ oraz na stronach - Dzienne Domy Senioralne: CCAS </w:t>
      </w:r>
      <w:hyperlink r:id="rId39" w:history="1">
        <w:r w:rsidRPr="00755085">
          <w:rPr>
            <w:rStyle w:val="Hipercze"/>
            <w:rFonts w:ascii="Times New Roman" w:hAnsi="Times New Roman" w:cs="Times New Roman"/>
          </w:rPr>
          <w:t>www.ccas.com.pl</w:t>
        </w:r>
      </w:hyperlink>
      <w:r w:rsidRPr="00755085">
        <w:rPr>
          <w:rFonts w:ascii="Times New Roman" w:hAnsi="Times New Roman" w:cs="Times New Roman"/>
        </w:rPr>
        <w:t xml:space="preserve">, </w:t>
      </w:r>
      <w:r w:rsidRPr="00755085">
        <w:rPr>
          <w:rFonts w:ascii="Times New Roman" w:hAnsi="Times New Roman" w:cs="Times New Roman"/>
          <w:color w:val="1F2DA8"/>
        </w:rPr>
        <w:t>www.tpdoo.org</w:t>
      </w:r>
      <w:r w:rsidRPr="00755085">
        <w:rPr>
          <w:rFonts w:ascii="Times New Roman" w:hAnsi="Times New Roman" w:cs="Times New Roman"/>
        </w:rPr>
        <w:t xml:space="preserve">, </w:t>
      </w:r>
      <w:hyperlink r:id="rId40" w:history="1">
        <w:r w:rsidRPr="00755085">
          <w:rPr>
            <w:rStyle w:val="Hipercze"/>
            <w:rFonts w:ascii="Times New Roman" w:hAnsi="Times New Roman" w:cs="Times New Roman"/>
          </w:rPr>
          <w:t>www.caritas.czest.pl/caritas-i-seniorzy/</w:t>
        </w:r>
      </w:hyperlink>
    </w:p>
    <w:p w14:paraId="3F52E506" w14:textId="77777777" w:rsidR="00AB1786" w:rsidRPr="00755085" w:rsidRDefault="00AB1786" w:rsidP="008C71A9">
      <w:pPr>
        <w:pStyle w:val="Tekstpodstawowy"/>
        <w:numPr>
          <w:ilvl w:val="0"/>
          <w:numId w:val="159"/>
        </w:numPr>
        <w:spacing w:after="0" w:line="276" w:lineRule="auto"/>
        <w:ind w:left="360"/>
        <w:jc w:val="both"/>
        <w:rPr>
          <w:rFonts w:ascii="Times New Roman" w:hAnsi="Times New Roman" w:cs="Times New Roman"/>
        </w:rPr>
      </w:pPr>
      <w:r w:rsidRPr="00755085">
        <w:rPr>
          <w:rFonts w:ascii="Times New Roman" w:hAnsi="Times New Roman" w:cs="Times New Roman"/>
        </w:rPr>
        <w:t xml:space="preserve">Programy zdrowotne: Program profilaktyki dla osób trzeciego i czwartego wieku, którego celem jest profilaktyka chorób przewlekłych oraz wdrożenie wczesnego leczenia - 277 osób. Rehabilitacja i wspierania aktywności osób z dysfunkcja ruchu - 677 osób. "Pogodna Jesień - starzej się zdrowiej" bezpłatne zajęcia z zakresu bezpłatnych zajęć ruchowych w tym Senioralia. Udział wzięło 12 000 osób. </w:t>
      </w:r>
    </w:p>
    <w:p w14:paraId="6A28FC41" w14:textId="77777777" w:rsidR="00AB1786" w:rsidRPr="005F0A32" w:rsidRDefault="00AB1786" w:rsidP="000D7CDE">
      <w:pPr>
        <w:pStyle w:val="Tekstpodstawowy"/>
        <w:spacing w:after="0" w:line="276" w:lineRule="auto"/>
        <w:ind w:left="426"/>
        <w:jc w:val="both"/>
        <w:rPr>
          <w:rFonts w:ascii="Times New Roman" w:hAnsi="Times New Roman" w:cs="Times New Roman"/>
        </w:rPr>
      </w:pPr>
    </w:p>
    <w:p w14:paraId="41624B17" w14:textId="77777777" w:rsidR="00755085" w:rsidRDefault="00755085" w:rsidP="000D7CDE">
      <w:pPr>
        <w:pStyle w:val="Tekstpodstawowy"/>
        <w:spacing w:after="0" w:line="276" w:lineRule="auto"/>
        <w:jc w:val="both"/>
        <w:rPr>
          <w:rFonts w:ascii="Times New Roman" w:hAnsi="Times New Roman" w:cs="Times New Roman"/>
          <w:b/>
        </w:rPr>
      </w:pPr>
      <w:r>
        <w:rPr>
          <w:rFonts w:ascii="Times New Roman" w:hAnsi="Times New Roman" w:cs="Times New Roman"/>
          <w:b/>
        </w:rPr>
        <w:t>Chorzów</w:t>
      </w:r>
    </w:p>
    <w:p w14:paraId="72E78665" w14:textId="77777777" w:rsidR="00AB1786" w:rsidRPr="005F0A32" w:rsidRDefault="00AB1786" w:rsidP="008C71A9">
      <w:pPr>
        <w:pStyle w:val="Tekstpodstawowy"/>
        <w:numPr>
          <w:ilvl w:val="0"/>
          <w:numId w:val="160"/>
        </w:numPr>
        <w:spacing w:after="0" w:line="276" w:lineRule="auto"/>
        <w:ind w:left="360"/>
        <w:jc w:val="both"/>
        <w:rPr>
          <w:rFonts w:ascii="Times New Roman" w:hAnsi="Times New Roman" w:cs="Times New Roman"/>
        </w:rPr>
      </w:pPr>
      <w:r w:rsidRPr="005F0A32">
        <w:rPr>
          <w:rFonts w:ascii="Times New Roman" w:hAnsi="Times New Roman" w:cs="Times New Roman"/>
        </w:rPr>
        <w:t xml:space="preserve">PROGRAM 60+ 1. Celem programu jest udostępnienie osobom w wieku 60+ zróżnicowanej i możliwie jak najbogatszej oferty objętej rabatem w wielkości od 5% do 50% na usługi i zakupy partnerów programu przedsiębiorców i instytucji. Liczba beneficjentów programu, czyli osób zamieszkałych na terenie Chorzowa i spełniających kryterium wiekowe, to około 10 tys. (tyle osób posiada kartę Programu 60+ uprawniającą do skorzystania ze zniżek). W 2019 r. organizatorem działania był Wydział Promocji i Aktywizacji Społecznej (Referat Aktywizacji Społecznej). Lokalizacja działań Chorzów oraz lokalizacja partnerów programu (m.in. Świętochłowice, Katowice, Nowy Sącz) 5. Informacje o partnerach programu i ich ofercie w formie elektronicznego katalogu na stronie </w:t>
      </w:r>
      <w:r w:rsidRPr="005F0A32">
        <w:rPr>
          <w:rFonts w:ascii="Times New Roman" w:hAnsi="Times New Roman" w:cs="Times New Roman"/>
          <w:color w:val="0000FF"/>
        </w:rPr>
        <w:t>www.centrumchorzow.eu.</w:t>
      </w:r>
      <w:r w:rsidRPr="005F0A32">
        <w:rPr>
          <w:rFonts w:ascii="Times New Roman" w:hAnsi="Times New Roman" w:cs="Times New Roman"/>
        </w:rPr>
        <w:t xml:space="preserve"> W ramach Programu Chorzów 60+ zorganizowane zostały dwa plebiscyty: Aktywny 60+ i Firma Przyjazna Seniorom. Zwycięzcy         w tych kategoriach otrzymali laury na dorocznej Gali Programu Chorzów 60+ CHORZOWSKA STREFA WOLONATARIATU 1. Cel działań Aktywizacja osób powyżej 60. roku życia w celu uruchomienia ich potencjału dawania, pomocy innym, wsparcia potrzebujących. 2. Liczba beneficjentów: podopieczni i pacjenci placówek opiekuńczych i medycznych, w których chorzowscy wolontariusze seniorzy </w:t>
      </w:r>
      <w:r w:rsidRPr="005F0A32">
        <w:rPr>
          <w:rFonts w:ascii="Times New Roman" w:hAnsi="Times New Roman" w:cs="Times New Roman"/>
        </w:rPr>
        <w:lastRenderedPageBreak/>
        <w:t xml:space="preserve">świadczą swoją pomoc to ok. 500 osób; liczba wolontariuszy aktywnych: 50 osób. 3. W 2019 r. organizatorem działania był Wydział Promocji i Aktywizacji Społecznej (Referat Aktywizacji Społecznej) 4. Lokalizacja działań SP ZOZ Zespół Szpitali Miejskich w Chorzowie, ul. Strzelców Bytomskich 11 oraz Truchana 7 Dom Pomocy Społecznej "Nadzieja', Chorzów, ul. Wandy 64 Dom Pomocy Społecznej "Republika", Chorzów,                      ul. Michałowicka 4 Dom Polskiego Czerwonego Krzyża, Chorzów, Plac Piastowski 19/5. Gdzie można znaleźć informacje na ten temat W 2019 r. informacje o działaniach dla seniorów w ramach Chorzowskiej Strefy Wolontariatu można było znaleźć na profilu FB Centrum Integracji Międzypokoleniowej, FB Chorzowska Strefa Wolontariatu, na stronie </w:t>
      </w:r>
      <w:hyperlink r:id="rId41" w:history="1">
        <w:r w:rsidRPr="005F0A32">
          <w:rPr>
            <w:rStyle w:val="Hipercze"/>
            <w:rFonts w:ascii="Times New Roman" w:hAnsi="Times New Roman" w:cs="Times New Roman"/>
          </w:rPr>
          <w:t>www.centrum.chorzow.eu</w:t>
        </w:r>
      </w:hyperlink>
    </w:p>
    <w:p w14:paraId="371BD71D" w14:textId="77777777" w:rsidR="00AB1786" w:rsidRPr="005F0A32" w:rsidRDefault="00AB1786" w:rsidP="000D7CDE">
      <w:pPr>
        <w:pStyle w:val="Tekstpodstawowy"/>
        <w:spacing w:after="0" w:line="276" w:lineRule="auto"/>
        <w:ind w:left="426"/>
        <w:jc w:val="both"/>
        <w:rPr>
          <w:rFonts w:ascii="Times New Roman" w:hAnsi="Times New Roman" w:cs="Times New Roman"/>
          <w:b/>
        </w:rPr>
      </w:pPr>
    </w:p>
    <w:p w14:paraId="42184847" w14:textId="77777777" w:rsidR="00AB1786" w:rsidRPr="009D6248" w:rsidRDefault="00D026D7" w:rsidP="000D7CDE">
      <w:pPr>
        <w:pStyle w:val="Tekstpodstawowy"/>
        <w:spacing w:after="0" w:line="276" w:lineRule="auto"/>
        <w:jc w:val="both"/>
        <w:rPr>
          <w:rFonts w:ascii="Times New Roman" w:hAnsi="Times New Roman" w:cs="Times New Roman"/>
          <w:b/>
        </w:rPr>
      </w:pPr>
      <w:r w:rsidRPr="009D6248">
        <w:rPr>
          <w:rFonts w:ascii="Times New Roman" w:hAnsi="Times New Roman" w:cs="Times New Roman"/>
          <w:b/>
        </w:rPr>
        <w:t>Gliwice</w:t>
      </w:r>
      <w:r w:rsidR="00AB1786" w:rsidRPr="009D6248">
        <w:rPr>
          <w:rFonts w:ascii="Times New Roman" w:hAnsi="Times New Roman" w:cs="Times New Roman"/>
          <w:b/>
        </w:rPr>
        <w:t xml:space="preserve"> </w:t>
      </w:r>
    </w:p>
    <w:p w14:paraId="3899B657" w14:textId="77777777" w:rsidR="00AB1786" w:rsidRPr="005F0A32" w:rsidRDefault="00AB1786" w:rsidP="000D7CDE">
      <w:pPr>
        <w:pStyle w:val="Tekstpodstawowy"/>
        <w:spacing w:after="0" w:line="276" w:lineRule="auto"/>
        <w:jc w:val="both"/>
        <w:rPr>
          <w:rFonts w:ascii="Times New Roman" w:hAnsi="Times New Roman" w:cs="Times New Roman"/>
        </w:rPr>
      </w:pPr>
      <w:r w:rsidRPr="005F0A32">
        <w:rPr>
          <w:rFonts w:ascii="Times New Roman" w:hAnsi="Times New Roman" w:cs="Times New Roman"/>
        </w:rPr>
        <w:t>Celem podejmowanych przez Miasto Gliwice działań jest aktywizacja fizyczna, społeczna</w:t>
      </w:r>
      <w:r w:rsidR="00D026D7">
        <w:rPr>
          <w:rFonts w:ascii="Times New Roman" w:hAnsi="Times New Roman" w:cs="Times New Roman"/>
        </w:rPr>
        <w:t xml:space="preserve"> </w:t>
      </w:r>
      <w:r w:rsidRPr="005F0A32">
        <w:rPr>
          <w:rFonts w:ascii="Times New Roman" w:hAnsi="Times New Roman" w:cs="Times New Roman"/>
        </w:rPr>
        <w:t xml:space="preserve">i zdrowotna seniorów. Organizatorem było Miasto Gliwice. Zrealizowane zadania: </w:t>
      </w:r>
    </w:p>
    <w:p w14:paraId="7BF50CAE" w14:textId="77777777" w:rsidR="00D026D7" w:rsidRDefault="00D026D7" w:rsidP="008C71A9">
      <w:pPr>
        <w:pStyle w:val="Tekstpodstawowy"/>
        <w:numPr>
          <w:ilvl w:val="0"/>
          <w:numId w:val="160"/>
        </w:numPr>
        <w:spacing w:after="0" w:line="276" w:lineRule="auto"/>
        <w:ind w:left="723"/>
        <w:jc w:val="both"/>
        <w:rPr>
          <w:rFonts w:ascii="Times New Roman" w:hAnsi="Times New Roman" w:cs="Times New Roman"/>
        </w:rPr>
      </w:pPr>
      <w:r>
        <w:rPr>
          <w:rFonts w:ascii="Times New Roman" w:hAnsi="Times New Roman" w:cs="Times New Roman"/>
        </w:rPr>
        <w:t>P</w:t>
      </w:r>
      <w:r w:rsidR="00AB1786" w:rsidRPr="005F0A32">
        <w:rPr>
          <w:rFonts w:ascii="Times New Roman" w:hAnsi="Times New Roman" w:cs="Times New Roman"/>
        </w:rPr>
        <w:t>omocna dłoń - warsztaty dla opiekunów osób starszych i niesamodzielnych związane z opieką nad osobami przewlekle chorym, w których wzięło udział 36 osób.</w:t>
      </w:r>
    </w:p>
    <w:p w14:paraId="02F470B1" w14:textId="77777777" w:rsidR="00D026D7" w:rsidRDefault="00AB1786" w:rsidP="008C71A9">
      <w:pPr>
        <w:pStyle w:val="Tekstpodstawowy"/>
        <w:numPr>
          <w:ilvl w:val="0"/>
          <w:numId w:val="160"/>
        </w:numPr>
        <w:spacing w:after="0" w:line="276" w:lineRule="auto"/>
        <w:ind w:left="723"/>
        <w:jc w:val="both"/>
        <w:rPr>
          <w:rFonts w:ascii="Times New Roman" w:hAnsi="Times New Roman" w:cs="Times New Roman"/>
        </w:rPr>
      </w:pPr>
      <w:r w:rsidRPr="00D026D7">
        <w:rPr>
          <w:rFonts w:ascii="Times New Roman" w:hAnsi="Times New Roman" w:cs="Times New Roman"/>
        </w:rPr>
        <w:t>Rodzinny Piknik Seniora - akcja plenerowa z licznymi atrakcjami dla seniorów w obszarze zdrowia, edukacji i rozrywki. Uczestniczyło w niej ok. 800 osób.</w:t>
      </w:r>
    </w:p>
    <w:p w14:paraId="7693E4FA" w14:textId="77777777" w:rsidR="00D026D7" w:rsidRDefault="00AB1786" w:rsidP="008C71A9">
      <w:pPr>
        <w:pStyle w:val="Tekstpodstawowy"/>
        <w:numPr>
          <w:ilvl w:val="0"/>
          <w:numId w:val="160"/>
        </w:numPr>
        <w:spacing w:after="0" w:line="276" w:lineRule="auto"/>
        <w:ind w:left="723"/>
        <w:jc w:val="both"/>
        <w:rPr>
          <w:rFonts w:ascii="Times New Roman" w:hAnsi="Times New Roman" w:cs="Times New Roman"/>
        </w:rPr>
      </w:pPr>
      <w:r w:rsidRPr="00D026D7">
        <w:rPr>
          <w:rFonts w:ascii="Times New Roman" w:hAnsi="Times New Roman" w:cs="Times New Roman"/>
        </w:rPr>
        <w:t xml:space="preserve">Aqua aerobik , z którego skorzystało 336 seniorów. </w:t>
      </w:r>
    </w:p>
    <w:p w14:paraId="22C4513F" w14:textId="77777777" w:rsidR="00D026D7" w:rsidRDefault="00AB1786" w:rsidP="008C71A9">
      <w:pPr>
        <w:pStyle w:val="Tekstpodstawowy"/>
        <w:numPr>
          <w:ilvl w:val="0"/>
          <w:numId w:val="160"/>
        </w:numPr>
        <w:spacing w:after="0" w:line="276" w:lineRule="auto"/>
        <w:ind w:left="723"/>
        <w:jc w:val="both"/>
        <w:rPr>
          <w:rFonts w:ascii="Times New Roman" w:hAnsi="Times New Roman" w:cs="Times New Roman"/>
        </w:rPr>
      </w:pPr>
      <w:r w:rsidRPr="00D026D7">
        <w:rPr>
          <w:rFonts w:ascii="Times New Roman" w:hAnsi="Times New Roman" w:cs="Times New Roman"/>
        </w:rPr>
        <w:t>Tai-CHi - - udział 120 seniorów.</w:t>
      </w:r>
    </w:p>
    <w:p w14:paraId="606DA332" w14:textId="77777777" w:rsidR="00D026D7" w:rsidRDefault="00AB1786" w:rsidP="008C71A9">
      <w:pPr>
        <w:pStyle w:val="Tekstpodstawowy"/>
        <w:numPr>
          <w:ilvl w:val="0"/>
          <w:numId w:val="160"/>
        </w:numPr>
        <w:spacing w:after="0" w:line="276" w:lineRule="auto"/>
        <w:ind w:left="723"/>
        <w:jc w:val="both"/>
        <w:rPr>
          <w:rFonts w:ascii="Times New Roman" w:hAnsi="Times New Roman" w:cs="Times New Roman"/>
        </w:rPr>
      </w:pPr>
      <w:r w:rsidRPr="00D026D7">
        <w:rPr>
          <w:rFonts w:ascii="Times New Roman" w:hAnsi="Times New Roman" w:cs="Times New Roman"/>
        </w:rPr>
        <w:t xml:space="preserve">Kawiarenka Zdrowia- bezpłatne prelekcje zdrowotne połączonych z występem artystycznym. Omówione tematy: cukrzyca, choroby serca, zakrzepica żył, depresja, bezpieczne opalanie, uzależnienia i schorzenia narządu ruchu, udział 630 osób. </w:t>
      </w:r>
    </w:p>
    <w:p w14:paraId="691A8FAD" w14:textId="77777777" w:rsidR="00D026D7" w:rsidRDefault="00AB1786" w:rsidP="008C71A9">
      <w:pPr>
        <w:pStyle w:val="Tekstpodstawowy"/>
        <w:numPr>
          <w:ilvl w:val="0"/>
          <w:numId w:val="160"/>
        </w:numPr>
        <w:spacing w:after="0" w:line="276" w:lineRule="auto"/>
        <w:ind w:left="723"/>
        <w:jc w:val="both"/>
        <w:rPr>
          <w:rFonts w:ascii="Times New Roman" w:hAnsi="Times New Roman" w:cs="Times New Roman"/>
        </w:rPr>
      </w:pPr>
      <w:r w:rsidRPr="00D026D7">
        <w:rPr>
          <w:rFonts w:ascii="Times New Roman" w:hAnsi="Times New Roman" w:cs="Times New Roman"/>
        </w:rPr>
        <w:t xml:space="preserve">Gliwicki Dzień dla Zdrowia to akcja badań i konsultacji, w której seniorzy uczestniczą najliczniej    i wyniosła 395 osób. </w:t>
      </w:r>
    </w:p>
    <w:p w14:paraId="3B06C9DF" w14:textId="77777777" w:rsidR="00D026D7" w:rsidRDefault="00AB1786" w:rsidP="008C71A9">
      <w:pPr>
        <w:pStyle w:val="Tekstpodstawowy"/>
        <w:numPr>
          <w:ilvl w:val="0"/>
          <w:numId w:val="160"/>
        </w:numPr>
        <w:spacing w:after="0" w:line="276" w:lineRule="auto"/>
        <w:ind w:left="723"/>
        <w:jc w:val="both"/>
        <w:rPr>
          <w:rFonts w:ascii="Times New Roman" w:hAnsi="Times New Roman" w:cs="Times New Roman"/>
        </w:rPr>
      </w:pPr>
      <w:r w:rsidRPr="00D026D7">
        <w:rPr>
          <w:rFonts w:ascii="Times New Roman" w:hAnsi="Times New Roman" w:cs="Times New Roman"/>
        </w:rPr>
        <w:t>Ćwiczenia gimnastyczne w ramach Gliwickiego Budż</w:t>
      </w:r>
      <w:r w:rsidR="00D026D7">
        <w:rPr>
          <w:rFonts w:ascii="Times New Roman" w:hAnsi="Times New Roman" w:cs="Times New Roman"/>
        </w:rPr>
        <w:t>etu Obywatelskiego dla osób 60+</w:t>
      </w:r>
      <w:r w:rsidRPr="00D026D7">
        <w:rPr>
          <w:rFonts w:ascii="Times New Roman" w:hAnsi="Times New Roman" w:cs="Times New Roman"/>
        </w:rPr>
        <w:t xml:space="preserve">, liczba uczestników: 105 osób. </w:t>
      </w:r>
    </w:p>
    <w:p w14:paraId="0E7B4AAE" w14:textId="77777777" w:rsidR="00B81D5F" w:rsidRPr="00D026D7" w:rsidRDefault="00AB1786" w:rsidP="008C71A9">
      <w:pPr>
        <w:pStyle w:val="Tekstpodstawowy"/>
        <w:numPr>
          <w:ilvl w:val="0"/>
          <w:numId w:val="160"/>
        </w:numPr>
        <w:spacing w:after="0" w:line="276" w:lineRule="auto"/>
        <w:ind w:left="723"/>
        <w:jc w:val="both"/>
        <w:rPr>
          <w:rFonts w:ascii="Times New Roman" w:hAnsi="Times New Roman" w:cs="Times New Roman"/>
        </w:rPr>
      </w:pPr>
      <w:r w:rsidRPr="00D026D7">
        <w:rPr>
          <w:rFonts w:ascii="Times New Roman" w:hAnsi="Times New Roman" w:cs="Times New Roman"/>
        </w:rPr>
        <w:t>Inicjatywy podejmowane przez miejskie jednostki m.in: warsztaty z zakresu psychologii , podróżnicze "Cudze chwalicie, swego nie znacie, Dyskusyjny Klub Książki, Klub Brydżowy , Komputer bez barier warsztaty z zakresu edukacji medialnej i cyfrowej, warsztaty z rękodzieła, warsztaty teatralne pod nazwą "Teatr od kuchni", Zespół Muzyczny SEniorów itp. Organizatorami zajęć były: Miejska Biblioteka Publiczna, Gliwickie Centrum Organizacji Pozarządowych, Teatr Miejski Gliwice. Brak danych dot. liczby uczestników. Działania Miasta Gliwice zostały zaprezentowane w materiale filmowym</w:t>
      </w:r>
      <w:r w:rsidR="00B81D5F">
        <w:rPr>
          <w:rStyle w:val="Odwoanieprzypisudolnego"/>
          <w:rFonts w:ascii="Times New Roman" w:hAnsi="Times New Roman" w:cs="Times New Roman"/>
        </w:rPr>
        <w:footnoteReference w:id="206"/>
      </w:r>
      <w:r w:rsidR="00B81D5F">
        <w:rPr>
          <w:rFonts w:ascii="Times New Roman" w:hAnsi="Times New Roman" w:cs="Times New Roman"/>
        </w:rPr>
        <w:t>.</w:t>
      </w:r>
    </w:p>
    <w:p w14:paraId="2AECA072" w14:textId="77777777" w:rsidR="00AB1786" w:rsidRPr="005F0A32" w:rsidRDefault="00AB1786" w:rsidP="000D7CDE">
      <w:pPr>
        <w:pStyle w:val="Tekstpodstawowy"/>
        <w:spacing w:after="0" w:line="276" w:lineRule="auto"/>
        <w:ind w:left="723"/>
        <w:jc w:val="both"/>
        <w:rPr>
          <w:rFonts w:ascii="Times New Roman" w:hAnsi="Times New Roman" w:cs="Times New Roman"/>
        </w:rPr>
      </w:pPr>
      <w:r w:rsidRPr="00D026D7">
        <w:rPr>
          <w:rFonts w:ascii="Times New Roman" w:hAnsi="Times New Roman" w:cs="Times New Roman"/>
        </w:rPr>
        <w:t xml:space="preserve"> </w:t>
      </w:r>
    </w:p>
    <w:p w14:paraId="52D407D6" w14:textId="77777777" w:rsidR="00D026D7" w:rsidRPr="00B81D5F" w:rsidRDefault="00AB1786" w:rsidP="000D7CDE">
      <w:pPr>
        <w:pStyle w:val="Tekstpodstawowy"/>
        <w:spacing w:after="0" w:line="276" w:lineRule="auto"/>
        <w:jc w:val="both"/>
        <w:rPr>
          <w:rFonts w:ascii="Times New Roman" w:hAnsi="Times New Roman" w:cs="Times New Roman"/>
          <w:b/>
        </w:rPr>
      </w:pPr>
      <w:r w:rsidRPr="00B81D5F">
        <w:rPr>
          <w:rFonts w:ascii="Times New Roman" w:hAnsi="Times New Roman" w:cs="Times New Roman"/>
          <w:b/>
        </w:rPr>
        <w:t>Powiat wodzisławski</w:t>
      </w:r>
    </w:p>
    <w:p w14:paraId="2B3D6F17" w14:textId="77777777" w:rsidR="00B876D5" w:rsidRPr="00B876D5" w:rsidRDefault="00AB1786" w:rsidP="008C71A9">
      <w:pPr>
        <w:pStyle w:val="Tekstpodstawowy"/>
        <w:numPr>
          <w:ilvl w:val="0"/>
          <w:numId w:val="161"/>
        </w:numPr>
        <w:spacing w:after="0" w:line="276" w:lineRule="auto"/>
        <w:ind w:left="723"/>
        <w:jc w:val="both"/>
        <w:rPr>
          <w:rFonts w:ascii="Times New Roman" w:hAnsi="Times New Roman" w:cs="Times New Roman"/>
        </w:rPr>
      </w:pPr>
      <w:r w:rsidRPr="005F0A32">
        <w:rPr>
          <w:rFonts w:ascii="Times New Roman" w:hAnsi="Times New Roman" w:cs="Times New Roman"/>
        </w:rPr>
        <w:t xml:space="preserve">Dom Pomocy Społecznej im. Papieża Jana Pawła II zapewnia całodobową opiekę </w:t>
      </w:r>
      <w:r w:rsidRPr="005F0A32">
        <w:rPr>
          <w:rFonts w:ascii="Times New Roman" w:hAnsi="Times New Roman" w:cs="Times New Roman"/>
        </w:rPr>
        <w:lastRenderedPageBreak/>
        <w:t>osobom w podeszłym wieku oraz osobom niepełnosprawnym fizycznie. Przeznaczony dla 218 mieszkańców i prowadzony jest przez Powiat Wodzisławski na terenie gminy Gorzyce</w:t>
      </w:r>
      <w:r w:rsidR="00B81D5F">
        <w:rPr>
          <w:rStyle w:val="Odwoanieprzypisudolnego"/>
          <w:rFonts w:ascii="Times New Roman" w:hAnsi="Times New Roman" w:cs="Times New Roman"/>
        </w:rPr>
        <w:footnoteReference w:id="207"/>
      </w:r>
      <w:r w:rsidRPr="005F0A32">
        <w:rPr>
          <w:rFonts w:ascii="Times New Roman" w:hAnsi="Times New Roman" w:cs="Times New Roman"/>
        </w:rPr>
        <w:t xml:space="preserve">. </w:t>
      </w:r>
    </w:p>
    <w:p w14:paraId="6EDB90BB" w14:textId="77777777" w:rsidR="00B876D5" w:rsidRDefault="00AB1786" w:rsidP="008C71A9">
      <w:pPr>
        <w:pStyle w:val="Tekstpodstawowy"/>
        <w:numPr>
          <w:ilvl w:val="0"/>
          <w:numId w:val="161"/>
        </w:numPr>
        <w:spacing w:after="0" w:line="276" w:lineRule="auto"/>
        <w:ind w:left="723"/>
        <w:jc w:val="both"/>
        <w:rPr>
          <w:rFonts w:ascii="Times New Roman" w:hAnsi="Times New Roman" w:cs="Times New Roman"/>
        </w:rPr>
      </w:pPr>
      <w:r w:rsidRPr="005F0A32">
        <w:rPr>
          <w:rFonts w:ascii="Times New Roman" w:hAnsi="Times New Roman" w:cs="Times New Roman"/>
        </w:rPr>
        <w:t>Dom Pomocy Społecznej Zgromadzenia Sióstr Opatrzności Bożej przeznaczony jest dla dzieci, młodzieży oraz dorosłych niepełnosprawnych intelektualnie. Dom przeznaczony jest dla 56 pensjonariuszek. Dom zapewnia podopiecznym całodobową opiekę i wsparcie. Prowadzony na zlecenie Powiatu Wodzisławskiego na jego terenie</w:t>
      </w:r>
      <w:r w:rsidR="00B81D5F">
        <w:rPr>
          <w:rStyle w:val="Odwoanieprzypisudolnego"/>
          <w:rFonts w:ascii="Times New Roman" w:hAnsi="Times New Roman" w:cs="Times New Roman"/>
        </w:rPr>
        <w:footnoteReference w:id="208"/>
      </w:r>
      <w:r w:rsidRPr="005F0A32">
        <w:rPr>
          <w:rFonts w:ascii="Times New Roman" w:hAnsi="Times New Roman" w:cs="Times New Roman"/>
        </w:rPr>
        <w:t xml:space="preserve">. </w:t>
      </w:r>
    </w:p>
    <w:p w14:paraId="784C4BCB" w14:textId="77777777" w:rsidR="001D51D8" w:rsidRDefault="00AB1786" w:rsidP="008C71A9">
      <w:pPr>
        <w:pStyle w:val="Tekstpodstawowy"/>
        <w:numPr>
          <w:ilvl w:val="0"/>
          <w:numId w:val="161"/>
        </w:numPr>
        <w:spacing w:after="0" w:line="276" w:lineRule="auto"/>
        <w:ind w:left="723"/>
        <w:jc w:val="both"/>
        <w:rPr>
          <w:rFonts w:ascii="Times New Roman" w:hAnsi="Times New Roman" w:cs="Times New Roman"/>
        </w:rPr>
      </w:pPr>
      <w:r w:rsidRPr="005F0A32">
        <w:rPr>
          <w:rFonts w:ascii="Times New Roman" w:hAnsi="Times New Roman" w:cs="Times New Roman"/>
        </w:rPr>
        <w:t xml:space="preserve">Projekt "Pokonajmy samotność Cieszmy się życiem!" realizowany jest od 01.04.2019 </w:t>
      </w:r>
      <w:r w:rsidR="00B876D5">
        <w:rPr>
          <w:rFonts w:ascii="Times New Roman" w:hAnsi="Times New Roman" w:cs="Times New Roman"/>
        </w:rPr>
        <w:t xml:space="preserve">r. do 31.10.2021 r. W 2019 r. </w:t>
      </w:r>
      <w:r w:rsidRPr="005F0A32">
        <w:rPr>
          <w:rFonts w:ascii="Times New Roman" w:hAnsi="Times New Roman" w:cs="Times New Roman"/>
        </w:rPr>
        <w:t>w projekcie realizowane były następujące formy wsparcia: Dzienny Dom Pomocy przeznaczony docelowo dla 45 osób z terenu Powiatu Wodzisławskiego, które zagrożone są ubóstwem lub wykluczeniem społecznym, pozostających w domu oraz niekorzystających z form opieki stałej lub czasowej. Projekt realizowany jest przez PCPR Wodzisław Śl. na terenie powiatu wodzisławskiego</w:t>
      </w:r>
      <w:r w:rsidR="009B3EB2">
        <w:rPr>
          <w:rFonts w:ascii="Times New Roman" w:hAnsi="Times New Roman" w:cs="Times New Roman"/>
        </w:rPr>
        <w:t>.</w:t>
      </w:r>
      <w:r w:rsidRPr="005F0A32">
        <w:rPr>
          <w:rFonts w:ascii="Times New Roman" w:hAnsi="Times New Roman" w:cs="Times New Roman"/>
        </w:rPr>
        <w:t xml:space="preserve"> </w:t>
      </w:r>
    </w:p>
    <w:p w14:paraId="2204A050" w14:textId="77777777" w:rsidR="001D51D8" w:rsidRDefault="00AB1786" w:rsidP="008C71A9">
      <w:pPr>
        <w:pStyle w:val="Tekstpodstawowy"/>
        <w:numPr>
          <w:ilvl w:val="0"/>
          <w:numId w:val="161"/>
        </w:numPr>
        <w:spacing w:after="0" w:line="276" w:lineRule="auto"/>
        <w:ind w:left="723"/>
        <w:jc w:val="both"/>
        <w:rPr>
          <w:rFonts w:ascii="Times New Roman" w:hAnsi="Times New Roman" w:cs="Times New Roman"/>
        </w:rPr>
      </w:pPr>
      <w:r w:rsidRPr="005F0A32">
        <w:rPr>
          <w:rFonts w:ascii="Times New Roman" w:hAnsi="Times New Roman" w:cs="Times New Roman"/>
        </w:rPr>
        <w:t>Teleopieka - specjalne telefony z opaską SOS, osoby mają możliwość wezwania pomocy w chwili nagłego zagrożenia, powiadomienia bliskich czy uzyskania innego rodzaju wsparcia w sytuacjach kryzysowych. Z tej formy głównie korzystają seniorzy oraz osoby narażone na brak możliwości samodzielnego funkcjonowania w środowisku z terenu powiatu wodzisławskiego - 36 osób. Każdy uczestnik ma również swojego opiekuna, który wspiera go w czynnościach życia codziennego. Oprócz tego teleoperatorzy i psychologowie z Centrum Teleopieki utrzymują stały kontakt z podopiecznymi prowadząc rozmowy wspierające, a uczestnicy monitorowani są przez 24 godziny na dobę we wszystkie dni tygodnia. Teleopieka działa w miejscu zamieszkania beneficjenta</w:t>
      </w:r>
      <w:r w:rsidR="009B3EB2">
        <w:rPr>
          <w:rStyle w:val="Odwoanieprzypisudolnego"/>
          <w:rFonts w:ascii="Times New Roman" w:hAnsi="Times New Roman" w:cs="Times New Roman"/>
        </w:rPr>
        <w:footnoteReference w:id="209"/>
      </w:r>
      <w:r w:rsidRPr="005F0A32">
        <w:rPr>
          <w:rFonts w:ascii="Times New Roman" w:hAnsi="Times New Roman" w:cs="Times New Roman"/>
        </w:rPr>
        <w:t xml:space="preserve">. </w:t>
      </w:r>
    </w:p>
    <w:p w14:paraId="2686D064" w14:textId="77777777" w:rsidR="00AB1786" w:rsidRPr="005F0A32" w:rsidRDefault="00AB1786" w:rsidP="008C71A9">
      <w:pPr>
        <w:pStyle w:val="Tekstpodstawowy"/>
        <w:numPr>
          <w:ilvl w:val="0"/>
          <w:numId w:val="161"/>
        </w:numPr>
        <w:spacing w:after="0" w:line="276" w:lineRule="auto"/>
        <w:ind w:left="723"/>
        <w:jc w:val="both"/>
        <w:rPr>
          <w:rFonts w:ascii="Times New Roman" w:hAnsi="Times New Roman" w:cs="Times New Roman"/>
        </w:rPr>
      </w:pPr>
      <w:r w:rsidRPr="005F0A32">
        <w:rPr>
          <w:rFonts w:ascii="Times New Roman" w:hAnsi="Times New Roman" w:cs="Times New Roman"/>
        </w:rPr>
        <w:t>Projekt Oaza aktywności realizowany przez PCPR w Wodzisławiu Śl. współfinansowany ze środków Unii Europejskiej od 01.04.2019 do 31.12.2020 r. W ramach działań środowiskowych utworzono Międzypokoleniowy Klub Wolontariusza,z którego skorzystało 18 osób w ramach warsztatów dla seniorów z zakresu obsługi komputera i innych urządzeń oraz korzystania z internetu. Projekt prowadzony był na terenie powiatu wodzisławskiego</w:t>
      </w:r>
      <w:r w:rsidR="009B3EB2">
        <w:rPr>
          <w:rStyle w:val="Odwoanieprzypisudolnego"/>
          <w:rFonts w:ascii="Times New Roman" w:hAnsi="Times New Roman" w:cs="Times New Roman"/>
        </w:rPr>
        <w:footnoteReference w:id="210"/>
      </w:r>
      <w:r w:rsidRPr="005F0A32">
        <w:rPr>
          <w:rFonts w:ascii="Times New Roman" w:hAnsi="Times New Roman" w:cs="Times New Roman"/>
        </w:rPr>
        <w:t xml:space="preserve">. </w:t>
      </w:r>
    </w:p>
    <w:p w14:paraId="1CF55011" w14:textId="77777777" w:rsidR="00AB1786" w:rsidRPr="005F0A32" w:rsidRDefault="00AB1786" w:rsidP="000D7CDE">
      <w:pPr>
        <w:pStyle w:val="Tekstpodstawowy"/>
        <w:spacing w:after="0" w:line="276" w:lineRule="auto"/>
        <w:jc w:val="both"/>
        <w:rPr>
          <w:rFonts w:ascii="Times New Roman" w:hAnsi="Times New Roman" w:cs="Times New Roman"/>
        </w:rPr>
      </w:pPr>
    </w:p>
    <w:p w14:paraId="0A0D5773" w14:textId="77777777" w:rsidR="001D51D8" w:rsidRDefault="001D51D8" w:rsidP="000D7CDE">
      <w:pPr>
        <w:pStyle w:val="Tekstpodstawowy"/>
        <w:spacing w:after="0" w:line="276" w:lineRule="auto"/>
        <w:jc w:val="both"/>
        <w:rPr>
          <w:rFonts w:ascii="Times New Roman" w:hAnsi="Times New Roman" w:cs="Times New Roman"/>
        </w:rPr>
      </w:pPr>
      <w:r>
        <w:rPr>
          <w:rFonts w:ascii="Times New Roman" w:hAnsi="Times New Roman" w:cs="Times New Roman"/>
          <w:b/>
        </w:rPr>
        <w:t>Mikołów</w:t>
      </w:r>
    </w:p>
    <w:p w14:paraId="3CE07DE4" w14:textId="77777777" w:rsidR="008F0FA0" w:rsidRDefault="00AB1786" w:rsidP="008C71A9">
      <w:pPr>
        <w:pStyle w:val="Tekstpodstawowy"/>
        <w:numPr>
          <w:ilvl w:val="0"/>
          <w:numId w:val="162"/>
        </w:numPr>
        <w:spacing w:after="0" w:line="276" w:lineRule="auto"/>
        <w:ind w:left="360"/>
        <w:jc w:val="both"/>
        <w:rPr>
          <w:rFonts w:ascii="Times New Roman" w:hAnsi="Times New Roman" w:cs="Times New Roman"/>
        </w:rPr>
      </w:pPr>
      <w:r w:rsidRPr="005F0A32">
        <w:rPr>
          <w:rFonts w:ascii="Times New Roman" w:hAnsi="Times New Roman" w:cs="Times New Roman"/>
        </w:rPr>
        <w:t>Wspieranie i organizowanie działalności Rady Seniorów w Mikołowie. (rada liczy 11 osób, jest ciałem doradczym, inicjatywnym i opiniotwórczym p</w:t>
      </w:r>
      <w:r w:rsidR="008F0FA0">
        <w:rPr>
          <w:rFonts w:ascii="Times New Roman" w:hAnsi="Times New Roman" w:cs="Times New Roman"/>
        </w:rPr>
        <w:t>rzy Burmistrzu Miasta Mikołów).</w:t>
      </w:r>
    </w:p>
    <w:p w14:paraId="0B4A66A1" w14:textId="77777777" w:rsidR="008F0FA0" w:rsidRDefault="00AB1786" w:rsidP="008C71A9">
      <w:pPr>
        <w:pStyle w:val="Tekstpodstawowy"/>
        <w:numPr>
          <w:ilvl w:val="0"/>
          <w:numId w:val="162"/>
        </w:numPr>
        <w:spacing w:after="0" w:line="276" w:lineRule="auto"/>
        <w:ind w:left="360"/>
        <w:jc w:val="both"/>
        <w:rPr>
          <w:rFonts w:ascii="Times New Roman" w:hAnsi="Times New Roman" w:cs="Times New Roman"/>
        </w:rPr>
      </w:pPr>
      <w:r w:rsidRPr="005F0A32">
        <w:rPr>
          <w:rFonts w:ascii="Times New Roman" w:hAnsi="Times New Roman" w:cs="Times New Roman"/>
        </w:rPr>
        <w:t>Realizacja programu Mikołów - dla Seniorów, w r</w:t>
      </w:r>
      <w:r w:rsidR="008F0FA0">
        <w:rPr>
          <w:rFonts w:ascii="Times New Roman" w:hAnsi="Times New Roman" w:cs="Times New Roman"/>
        </w:rPr>
        <w:t>amach którego odbywają się:</w:t>
      </w:r>
    </w:p>
    <w:p w14:paraId="404FD6F3" w14:textId="77777777" w:rsidR="008F0FA0" w:rsidRDefault="00AB1786" w:rsidP="008C71A9">
      <w:pPr>
        <w:pStyle w:val="Tekstpodstawowy"/>
        <w:numPr>
          <w:ilvl w:val="0"/>
          <w:numId w:val="151"/>
        </w:numPr>
        <w:spacing w:after="0" w:line="276" w:lineRule="auto"/>
        <w:ind w:left="643"/>
        <w:jc w:val="both"/>
        <w:rPr>
          <w:rFonts w:ascii="Times New Roman" w:hAnsi="Times New Roman" w:cs="Times New Roman"/>
        </w:rPr>
      </w:pPr>
      <w:r w:rsidRPr="005F0A32">
        <w:rPr>
          <w:rFonts w:ascii="Times New Roman" w:hAnsi="Times New Roman" w:cs="Times New Roman"/>
        </w:rPr>
        <w:t>Lokalna edycja programu Ogólnopolska Karta Seniora (cel: aktywizacja osób starszych, wydano w 2019 r. 870 kart sen</w:t>
      </w:r>
      <w:r w:rsidR="009B3EB2">
        <w:rPr>
          <w:rFonts w:ascii="Times New Roman" w:hAnsi="Times New Roman" w:cs="Times New Roman"/>
        </w:rPr>
        <w:t>iora, organizator Gmina Mikołów</w:t>
      </w:r>
      <w:r w:rsidR="009B3EB2">
        <w:rPr>
          <w:rStyle w:val="Odwoanieprzypisudolnego"/>
          <w:rFonts w:ascii="Times New Roman" w:hAnsi="Times New Roman" w:cs="Times New Roman"/>
        </w:rPr>
        <w:footnoteReference w:id="211"/>
      </w:r>
      <w:r w:rsidR="008F0FA0">
        <w:rPr>
          <w:rFonts w:ascii="Times New Roman" w:hAnsi="Times New Roman" w:cs="Times New Roman"/>
        </w:rPr>
        <w:t>)</w:t>
      </w:r>
    </w:p>
    <w:p w14:paraId="51F6056A" w14:textId="77777777" w:rsidR="009B3EB2" w:rsidRDefault="00AB1786" w:rsidP="008C71A9">
      <w:pPr>
        <w:pStyle w:val="Tekstpodstawowy"/>
        <w:numPr>
          <w:ilvl w:val="0"/>
          <w:numId w:val="151"/>
        </w:numPr>
        <w:spacing w:after="0" w:line="276" w:lineRule="auto"/>
        <w:ind w:left="643"/>
        <w:jc w:val="both"/>
        <w:rPr>
          <w:rFonts w:ascii="Times New Roman" w:hAnsi="Times New Roman" w:cs="Times New Roman"/>
        </w:rPr>
      </w:pPr>
      <w:r w:rsidRPr="009B3EB2">
        <w:rPr>
          <w:rFonts w:ascii="Times New Roman" w:hAnsi="Times New Roman" w:cs="Times New Roman"/>
        </w:rPr>
        <w:t>Program FitSenior : dwa razy w tygodniu ćwiczenia ogólnokondycyjne dla osób starszych, w każdy czwartek zajęcia jogi dla seniorów oraz w piątki lekcje tańca towarzyskieg</w:t>
      </w:r>
      <w:r w:rsidR="008F0FA0" w:rsidRPr="009B3EB2">
        <w:rPr>
          <w:rFonts w:ascii="Times New Roman" w:hAnsi="Times New Roman" w:cs="Times New Roman"/>
        </w:rPr>
        <w:t xml:space="preserve">o </w:t>
      </w:r>
      <w:r w:rsidRPr="009B3EB2">
        <w:rPr>
          <w:rFonts w:ascii="Times New Roman" w:hAnsi="Times New Roman" w:cs="Times New Roman"/>
        </w:rPr>
        <w:t xml:space="preserve">(zajęcia bezpłatne) (cel: aktywizacja osób starszych, działania </w:t>
      </w:r>
      <w:r w:rsidRPr="009B3EB2">
        <w:rPr>
          <w:rFonts w:ascii="Times New Roman" w:hAnsi="Times New Roman" w:cs="Times New Roman"/>
        </w:rPr>
        <w:lastRenderedPageBreak/>
        <w:t>prozdr</w:t>
      </w:r>
      <w:r w:rsidR="008F0FA0" w:rsidRPr="009B3EB2">
        <w:rPr>
          <w:rFonts w:ascii="Times New Roman" w:hAnsi="Times New Roman" w:cs="Times New Roman"/>
        </w:rPr>
        <w:t xml:space="preserve">owotne, regularnie – tygodniowo </w:t>
      </w:r>
      <w:r w:rsidRPr="009B3EB2">
        <w:rPr>
          <w:rFonts w:ascii="Times New Roman" w:hAnsi="Times New Roman" w:cs="Times New Roman"/>
        </w:rPr>
        <w:t>w zajęciach udział bierze ok 120 osób. Organizator MOSiR Mikołów, MDK Mikołów</w:t>
      </w:r>
    </w:p>
    <w:p w14:paraId="663A84E1" w14:textId="77777777" w:rsidR="008F0FA0" w:rsidRPr="009B3EB2" w:rsidRDefault="00AB1786" w:rsidP="008C71A9">
      <w:pPr>
        <w:pStyle w:val="Tekstpodstawowy"/>
        <w:numPr>
          <w:ilvl w:val="0"/>
          <w:numId w:val="151"/>
        </w:numPr>
        <w:spacing w:after="0" w:line="276" w:lineRule="auto"/>
        <w:ind w:left="643"/>
        <w:jc w:val="both"/>
        <w:rPr>
          <w:rFonts w:ascii="Times New Roman" w:hAnsi="Times New Roman" w:cs="Times New Roman"/>
        </w:rPr>
      </w:pPr>
      <w:r w:rsidRPr="009B3EB2">
        <w:rPr>
          <w:rFonts w:ascii="Times New Roman" w:hAnsi="Times New Roman" w:cs="Times New Roman"/>
        </w:rPr>
        <w:t>Comiesięczne wieczorki taneczne dla seniorów</w:t>
      </w:r>
      <w:r w:rsidR="008F0FA0" w:rsidRPr="009B3EB2">
        <w:rPr>
          <w:rFonts w:ascii="Times New Roman" w:hAnsi="Times New Roman" w:cs="Times New Roman"/>
        </w:rPr>
        <w:t xml:space="preserve"> </w:t>
      </w:r>
      <w:r w:rsidRPr="009B3EB2">
        <w:rPr>
          <w:rFonts w:ascii="Times New Roman" w:hAnsi="Times New Roman" w:cs="Times New Roman"/>
        </w:rPr>
        <w:t>w Miejskim Domu Kultury. (cel: aktywizacja i integracja osób starszych, w wieczorkach tanecznych udział bierze co miesiąc ok</w:t>
      </w:r>
      <w:r w:rsidR="009B3EB2">
        <w:rPr>
          <w:rFonts w:ascii="Times New Roman" w:hAnsi="Times New Roman" w:cs="Times New Roman"/>
        </w:rPr>
        <w:t>.</w:t>
      </w:r>
      <w:r w:rsidRPr="009B3EB2">
        <w:rPr>
          <w:rFonts w:ascii="Times New Roman" w:hAnsi="Times New Roman" w:cs="Times New Roman"/>
        </w:rPr>
        <w:t xml:space="preserve"> 200 osób. </w:t>
      </w:r>
    </w:p>
    <w:p w14:paraId="6E088F9D" w14:textId="77777777" w:rsidR="00992D30" w:rsidRDefault="00AB1786" w:rsidP="008C71A9">
      <w:pPr>
        <w:pStyle w:val="Tekstpodstawowy"/>
        <w:numPr>
          <w:ilvl w:val="0"/>
          <w:numId w:val="151"/>
        </w:numPr>
        <w:spacing w:after="0" w:line="276" w:lineRule="auto"/>
        <w:ind w:left="643"/>
        <w:jc w:val="both"/>
        <w:rPr>
          <w:rFonts w:ascii="Times New Roman" w:hAnsi="Times New Roman" w:cs="Times New Roman"/>
        </w:rPr>
      </w:pPr>
      <w:r w:rsidRPr="005F0A32">
        <w:rPr>
          <w:rFonts w:ascii="Times New Roman" w:hAnsi="Times New Roman" w:cs="Times New Roman"/>
        </w:rPr>
        <w:t>Zajęcia aktywizujące dla seniorów w ramach projektu Atrakcyjny Senior , odbywające się w sołectwach gminy Mikołów Bujakowie, Mokrem, Borowej Wsi, Śmiłowicach i Paniowach, obejmujące zajęcia spo</w:t>
      </w:r>
      <w:r w:rsidR="008F0FA0">
        <w:rPr>
          <w:rFonts w:ascii="Times New Roman" w:hAnsi="Times New Roman" w:cs="Times New Roman"/>
        </w:rPr>
        <w:t>rtowe treningi pamięci, zajęcia</w:t>
      </w:r>
      <w:r w:rsidRPr="005F0A32">
        <w:rPr>
          <w:rFonts w:ascii="Times New Roman" w:hAnsi="Times New Roman" w:cs="Times New Roman"/>
        </w:rPr>
        <w:t xml:space="preserve"> z autoprezentacji, bezpieczeństwa, wyjazdy rekreacyjne oraz spotkania integracyjne. (zajęcia bezpłatne). Cel: aktywizacja osób starszych, w projekcie udział wzięło ok 140 osób, organizator Gmina Mikołów</w:t>
      </w:r>
      <w:r w:rsidR="009B3EB2">
        <w:rPr>
          <w:rFonts w:ascii="Times New Roman" w:hAnsi="Times New Roman" w:cs="Times New Roman"/>
        </w:rPr>
        <w:t xml:space="preserve"> oraz Fundacja Zakątek Pokoleń.</w:t>
      </w:r>
    </w:p>
    <w:p w14:paraId="597A7F1B" w14:textId="77777777" w:rsidR="00992D30" w:rsidRDefault="00AB1786" w:rsidP="008C71A9">
      <w:pPr>
        <w:pStyle w:val="Tekstpodstawowy"/>
        <w:numPr>
          <w:ilvl w:val="0"/>
          <w:numId w:val="151"/>
        </w:numPr>
        <w:spacing w:after="0" w:line="276" w:lineRule="auto"/>
        <w:ind w:left="643"/>
        <w:jc w:val="both"/>
        <w:rPr>
          <w:rFonts w:ascii="Times New Roman" w:hAnsi="Times New Roman" w:cs="Times New Roman"/>
        </w:rPr>
      </w:pPr>
      <w:r w:rsidRPr="005F0A32">
        <w:rPr>
          <w:rFonts w:ascii="Times New Roman" w:hAnsi="Times New Roman" w:cs="Times New Roman"/>
        </w:rPr>
        <w:t>Utworzenie Klubu Seniora SPA Senior na osiedlu Mickiewicza 12.</w:t>
      </w:r>
      <w:r w:rsidR="00992D30">
        <w:rPr>
          <w:rFonts w:ascii="Times New Roman" w:hAnsi="Times New Roman" w:cs="Times New Roman"/>
        </w:rPr>
        <w:t xml:space="preserve"> </w:t>
      </w:r>
    </w:p>
    <w:p w14:paraId="4B6B1F6D" w14:textId="77777777" w:rsidR="00992D30" w:rsidRDefault="00AB1786" w:rsidP="008C71A9">
      <w:pPr>
        <w:pStyle w:val="Tekstpodstawowy"/>
        <w:numPr>
          <w:ilvl w:val="0"/>
          <w:numId w:val="151"/>
        </w:numPr>
        <w:spacing w:after="0" w:line="276" w:lineRule="auto"/>
        <w:ind w:left="643"/>
        <w:jc w:val="both"/>
        <w:rPr>
          <w:rFonts w:ascii="Times New Roman" w:hAnsi="Times New Roman" w:cs="Times New Roman"/>
        </w:rPr>
      </w:pPr>
      <w:r w:rsidRPr="005F0A32">
        <w:rPr>
          <w:rFonts w:ascii="Times New Roman" w:hAnsi="Times New Roman" w:cs="Times New Roman"/>
        </w:rPr>
        <w:t>Współpraca</w:t>
      </w:r>
      <w:r w:rsidR="008F0FA0">
        <w:rPr>
          <w:rFonts w:ascii="Times New Roman" w:hAnsi="Times New Roman" w:cs="Times New Roman"/>
        </w:rPr>
        <w:t xml:space="preserve"> </w:t>
      </w:r>
      <w:r w:rsidRPr="005F0A32">
        <w:rPr>
          <w:rFonts w:ascii="Times New Roman" w:hAnsi="Times New Roman" w:cs="Times New Roman"/>
        </w:rPr>
        <w:t xml:space="preserve">i wsparcie organizacji senioralnych działających na terenie miasta. </w:t>
      </w:r>
    </w:p>
    <w:p w14:paraId="67A172A9" w14:textId="77777777" w:rsidR="009B3EB2" w:rsidRDefault="00AB1786" w:rsidP="008C71A9">
      <w:pPr>
        <w:pStyle w:val="Tekstpodstawowy"/>
        <w:numPr>
          <w:ilvl w:val="0"/>
          <w:numId w:val="151"/>
        </w:numPr>
        <w:spacing w:after="0" w:line="276" w:lineRule="auto"/>
        <w:ind w:left="643"/>
        <w:jc w:val="both"/>
        <w:rPr>
          <w:rFonts w:ascii="Times New Roman" w:hAnsi="Times New Roman" w:cs="Times New Roman"/>
        </w:rPr>
      </w:pPr>
      <w:r w:rsidRPr="009B3EB2">
        <w:rPr>
          <w:rFonts w:ascii="Times New Roman" w:hAnsi="Times New Roman" w:cs="Times New Roman"/>
        </w:rPr>
        <w:t>Realizacja we współpracy</w:t>
      </w:r>
      <w:r w:rsidR="008F0FA0" w:rsidRPr="009B3EB2">
        <w:rPr>
          <w:rFonts w:ascii="Times New Roman" w:hAnsi="Times New Roman" w:cs="Times New Roman"/>
        </w:rPr>
        <w:t xml:space="preserve"> </w:t>
      </w:r>
      <w:r w:rsidRPr="009B3EB2">
        <w:rPr>
          <w:rFonts w:ascii="Times New Roman" w:hAnsi="Times New Roman" w:cs="Times New Roman"/>
        </w:rPr>
        <w:t>z Komendą Powiatową Policji w Mikołowie szkoleń i spotkań dotyczących bezpieczeństwa osób starszych. cel: wzmocnienie bezpieczeństwa osób starszych. W spotkaniach udział wzięło ok</w:t>
      </w:r>
      <w:r w:rsidR="00657ABE">
        <w:rPr>
          <w:rFonts w:ascii="Times New Roman" w:hAnsi="Times New Roman" w:cs="Times New Roman"/>
        </w:rPr>
        <w:t>.</w:t>
      </w:r>
      <w:r w:rsidRPr="009B3EB2">
        <w:rPr>
          <w:rFonts w:ascii="Times New Roman" w:hAnsi="Times New Roman" w:cs="Times New Roman"/>
        </w:rPr>
        <w:t xml:space="preserve"> 300 osób, organizator Gmina Mikołów i KPP Mikołów, </w:t>
      </w:r>
    </w:p>
    <w:p w14:paraId="37B8A3F9" w14:textId="77777777" w:rsidR="00992D30" w:rsidRPr="009B3EB2" w:rsidRDefault="00AB1786" w:rsidP="008C71A9">
      <w:pPr>
        <w:pStyle w:val="Tekstpodstawowy"/>
        <w:numPr>
          <w:ilvl w:val="0"/>
          <w:numId w:val="151"/>
        </w:numPr>
        <w:spacing w:after="0" w:line="276" w:lineRule="auto"/>
        <w:ind w:left="643"/>
        <w:jc w:val="both"/>
        <w:rPr>
          <w:rFonts w:ascii="Times New Roman" w:hAnsi="Times New Roman" w:cs="Times New Roman"/>
        </w:rPr>
      </w:pPr>
      <w:r w:rsidRPr="009B3EB2">
        <w:rPr>
          <w:rFonts w:ascii="Times New Roman" w:hAnsi="Times New Roman" w:cs="Times New Roman"/>
        </w:rPr>
        <w:t xml:space="preserve">Organizacja II Mikołowskiego Przeglądu Twórczości Senioralnej - SeniorMania. Cel: aktywizacja i integracja osób starszych, promocja pozytywnego wizerunku osób starszych. W wydarzeniu wzięło udział ok. 300 osób. Organizator : Gmina Mikołów, MDK Mikołów, </w:t>
      </w:r>
    </w:p>
    <w:p w14:paraId="4177547C" w14:textId="77777777" w:rsidR="00992D30" w:rsidRDefault="00AB1786" w:rsidP="008C71A9">
      <w:pPr>
        <w:pStyle w:val="Tekstpodstawowy"/>
        <w:numPr>
          <w:ilvl w:val="0"/>
          <w:numId w:val="151"/>
        </w:numPr>
        <w:spacing w:after="0" w:line="276" w:lineRule="auto"/>
        <w:ind w:left="643"/>
        <w:jc w:val="both"/>
        <w:rPr>
          <w:rFonts w:ascii="Times New Roman" w:hAnsi="Times New Roman" w:cs="Times New Roman"/>
        </w:rPr>
      </w:pPr>
      <w:r w:rsidRPr="005F0A32">
        <w:rPr>
          <w:rFonts w:ascii="Times New Roman" w:hAnsi="Times New Roman" w:cs="Times New Roman"/>
        </w:rPr>
        <w:t>Organizacja V Mikołowskich Dni Seniora - 3 dni obchodów. cel: aktywizacja i integracja osób starszych, promocja pozytywnego wizerunku osób starszych. W wydarzeniu wzięło udział ok</w:t>
      </w:r>
      <w:r w:rsidR="00657ABE">
        <w:rPr>
          <w:rFonts w:ascii="Times New Roman" w:hAnsi="Times New Roman" w:cs="Times New Roman"/>
        </w:rPr>
        <w:t>.</w:t>
      </w:r>
      <w:r w:rsidRPr="005F0A32">
        <w:rPr>
          <w:rFonts w:ascii="Times New Roman" w:hAnsi="Times New Roman" w:cs="Times New Roman"/>
        </w:rPr>
        <w:t xml:space="preserve"> 800 osób. Organizator : Gmina Mikołów, MDK Mikołów, </w:t>
      </w:r>
    </w:p>
    <w:p w14:paraId="19F0E866" w14:textId="77777777" w:rsidR="00AB1786" w:rsidRPr="00992D30" w:rsidRDefault="00AB1786" w:rsidP="008C71A9">
      <w:pPr>
        <w:pStyle w:val="Tekstpodstawowy"/>
        <w:numPr>
          <w:ilvl w:val="0"/>
          <w:numId w:val="151"/>
        </w:numPr>
        <w:spacing w:after="0" w:line="276" w:lineRule="auto"/>
        <w:ind w:left="643"/>
        <w:jc w:val="both"/>
        <w:rPr>
          <w:rFonts w:ascii="Times New Roman" w:hAnsi="Times New Roman" w:cs="Times New Roman"/>
        </w:rPr>
      </w:pPr>
      <w:r w:rsidRPr="00992D30">
        <w:rPr>
          <w:rFonts w:ascii="Times New Roman" w:hAnsi="Times New Roman" w:cs="Times New Roman"/>
        </w:rPr>
        <w:t>Organizacja konkursu literackiego dla seniorów Srebrne pióro. cel: aktywizacja i integracja osób starszych, promocja pozytywnego wizerunku osób starszych. W wydarzeniu wzięło udział ok 30 osób). Organizato</w:t>
      </w:r>
      <w:r w:rsidR="009B3EB2">
        <w:rPr>
          <w:rFonts w:ascii="Times New Roman" w:hAnsi="Times New Roman" w:cs="Times New Roman"/>
        </w:rPr>
        <w:t>r : Gmina Mikołów, MBP Mikołów</w:t>
      </w:r>
    </w:p>
    <w:p w14:paraId="4A10523E" w14:textId="77777777" w:rsidR="00992D30" w:rsidRPr="00992D30" w:rsidRDefault="00992D30" w:rsidP="000D7CDE">
      <w:pPr>
        <w:pStyle w:val="Tekstpodstawowy"/>
        <w:tabs>
          <w:tab w:val="left" w:pos="0"/>
        </w:tabs>
        <w:spacing w:after="0" w:line="276" w:lineRule="auto"/>
        <w:jc w:val="both"/>
        <w:rPr>
          <w:rFonts w:ascii="Times New Roman" w:hAnsi="Times New Roman" w:cs="Times New Roman"/>
        </w:rPr>
      </w:pPr>
    </w:p>
    <w:p w14:paraId="6F2FEF69" w14:textId="77777777" w:rsidR="00992D30" w:rsidRPr="00657ABE" w:rsidRDefault="00AB1786" w:rsidP="000D7CDE">
      <w:pPr>
        <w:pStyle w:val="Tekstpodstawowy"/>
        <w:tabs>
          <w:tab w:val="left" w:pos="0"/>
        </w:tabs>
        <w:spacing w:after="0" w:line="276" w:lineRule="auto"/>
        <w:jc w:val="both"/>
        <w:rPr>
          <w:rFonts w:ascii="Times New Roman" w:hAnsi="Times New Roman" w:cs="Times New Roman"/>
          <w:b/>
        </w:rPr>
      </w:pPr>
      <w:r w:rsidRPr="00657ABE">
        <w:rPr>
          <w:rFonts w:ascii="Times New Roman" w:hAnsi="Times New Roman" w:cs="Times New Roman"/>
          <w:b/>
        </w:rPr>
        <w:t>Ruda Śląska</w:t>
      </w:r>
    </w:p>
    <w:p w14:paraId="1D0075A6" w14:textId="77777777" w:rsidR="00F015DA" w:rsidRDefault="00AB1786" w:rsidP="008C71A9">
      <w:pPr>
        <w:pStyle w:val="Tekstpodstawowy"/>
        <w:numPr>
          <w:ilvl w:val="0"/>
          <w:numId w:val="163"/>
        </w:numPr>
        <w:tabs>
          <w:tab w:val="left" w:pos="0"/>
        </w:tabs>
        <w:spacing w:after="0" w:line="276" w:lineRule="auto"/>
        <w:ind w:left="360"/>
        <w:jc w:val="both"/>
        <w:rPr>
          <w:rFonts w:ascii="Times New Roman" w:hAnsi="Times New Roman" w:cs="Times New Roman"/>
        </w:rPr>
      </w:pPr>
      <w:r w:rsidRPr="005F0A32">
        <w:rPr>
          <w:rFonts w:ascii="Times New Roman" w:hAnsi="Times New Roman" w:cs="Times New Roman"/>
        </w:rPr>
        <w:t>Funkcjonowanie Rady Seniorów, jako organu opiniotwórczo - doradczego dla władz samorządowych ważnych z punktu widzenia partycypacji seniorów w kreowaniu lokalnej polityki społecznej wo</w:t>
      </w:r>
      <w:r w:rsidR="00F015DA">
        <w:rPr>
          <w:rFonts w:ascii="Times New Roman" w:hAnsi="Times New Roman" w:cs="Times New Roman"/>
        </w:rPr>
        <w:t xml:space="preserve">bec osób starszych. W 2019 r. </w:t>
      </w:r>
      <w:r w:rsidRPr="005F0A32">
        <w:rPr>
          <w:rFonts w:ascii="Times New Roman" w:hAnsi="Times New Roman" w:cs="Times New Roman"/>
        </w:rPr>
        <w:t xml:space="preserve">liczba członków: 20, organizator Miasto Ruda Śląska, lokalizacja działań: teren Miasta Ruda Śląska, </w:t>
      </w:r>
    </w:p>
    <w:p w14:paraId="35AE275D" w14:textId="77777777" w:rsidR="00F015DA" w:rsidRDefault="00AB1786" w:rsidP="008C71A9">
      <w:pPr>
        <w:pStyle w:val="Tekstpodstawowy"/>
        <w:numPr>
          <w:ilvl w:val="0"/>
          <w:numId w:val="163"/>
        </w:numPr>
        <w:tabs>
          <w:tab w:val="left" w:pos="0"/>
        </w:tabs>
        <w:spacing w:after="0" w:line="276" w:lineRule="auto"/>
        <w:ind w:left="360"/>
        <w:jc w:val="both"/>
        <w:rPr>
          <w:rFonts w:ascii="Times New Roman" w:hAnsi="Times New Roman" w:cs="Times New Roman"/>
        </w:rPr>
      </w:pPr>
      <w:r w:rsidRPr="005F0A32">
        <w:rPr>
          <w:rFonts w:ascii="Times New Roman" w:hAnsi="Times New Roman" w:cs="Times New Roman"/>
        </w:rPr>
        <w:t xml:space="preserve">Program społeczny skierowany do seniorów pn. "Aktywizacja osób starszych" - zadanie publiczne realizowane ze środków Miasta przez organizacje pozarządowe. W ramach programu zakłada się realizację następujących celów: aktywizacja społeczna osób starszych (wzmacnianie zaangażowania społecznego seniorów), przeciwdziałanie wykluczeniu społecznemu osób starszych poprzez: podniesienie kompetencji korzystania z nowoczesnych technologii, organizację działań wspierających pełniejsze uczestnictwo seniorów w życiu społecznym, działania na rzecz integracji międzypokoleniowej oraz zwiększenie oferty zajęć kulturowych, prozdrowotnych, hobbystycznych, edukacyjnych, dostosowanych </w:t>
      </w:r>
      <w:r w:rsidR="00F015DA">
        <w:rPr>
          <w:rFonts w:ascii="Times New Roman" w:hAnsi="Times New Roman" w:cs="Times New Roman"/>
        </w:rPr>
        <w:t>do potrzeb seniorów. W 2019 r.</w:t>
      </w:r>
      <w:r w:rsidRPr="005F0A32">
        <w:rPr>
          <w:rFonts w:ascii="Times New Roman" w:hAnsi="Times New Roman" w:cs="Times New Roman"/>
        </w:rPr>
        <w:t xml:space="preserve"> liczba beneficjentów: 2</w:t>
      </w:r>
      <w:r w:rsidR="00F015DA">
        <w:rPr>
          <w:rFonts w:ascii="Times New Roman" w:hAnsi="Times New Roman" w:cs="Times New Roman"/>
        </w:rPr>
        <w:t xml:space="preserve"> </w:t>
      </w:r>
      <w:r w:rsidRPr="005F0A32">
        <w:rPr>
          <w:rFonts w:ascii="Times New Roman" w:hAnsi="Times New Roman" w:cs="Times New Roman"/>
        </w:rPr>
        <w:t xml:space="preserve">603, organizatorem działań były organizacje pozarządowe, lokalizacja działań: teren Miasta Ruda Śląska, </w:t>
      </w:r>
    </w:p>
    <w:p w14:paraId="7528EE41" w14:textId="77777777" w:rsidR="00F015DA" w:rsidRDefault="00AB1786" w:rsidP="008C71A9">
      <w:pPr>
        <w:pStyle w:val="Tekstpodstawowy"/>
        <w:numPr>
          <w:ilvl w:val="0"/>
          <w:numId w:val="163"/>
        </w:numPr>
        <w:tabs>
          <w:tab w:val="left" w:pos="0"/>
        </w:tabs>
        <w:spacing w:after="0" w:line="276" w:lineRule="auto"/>
        <w:ind w:left="360"/>
        <w:jc w:val="both"/>
        <w:rPr>
          <w:rFonts w:ascii="Times New Roman" w:hAnsi="Times New Roman" w:cs="Times New Roman"/>
        </w:rPr>
      </w:pPr>
      <w:r w:rsidRPr="005F0A32">
        <w:rPr>
          <w:rFonts w:ascii="Times New Roman" w:hAnsi="Times New Roman" w:cs="Times New Roman"/>
        </w:rPr>
        <w:t xml:space="preserve">Realizacja Programu "Rudzka Karta Seniora 60+"`. Program skierowany jest do osób, które ukończyły 60 rok życia i zamieszkują na terenie Miasta Ruda Śląska. Wniosek o wydanie </w:t>
      </w:r>
      <w:r w:rsidRPr="005F0A32">
        <w:rPr>
          <w:rFonts w:ascii="Times New Roman" w:hAnsi="Times New Roman" w:cs="Times New Roman"/>
        </w:rPr>
        <w:lastRenderedPageBreak/>
        <w:t>Karty można składać  w Wydziale Zdrowia i Spraw Społecznych Urzędu Miasta Ruda Śląska, który jest koordynatorem Programu.  Informacja na temat "Rudzkiej Karty Seniora 60+" wraz z wykazem zniżek oraz potrzebnymi drukami znajduje się na stronie internetowej</w:t>
      </w:r>
      <w:r w:rsidRPr="005F0A32">
        <w:rPr>
          <w:rFonts w:ascii="Times New Roman" w:hAnsi="Times New Roman" w:cs="Times New Roman"/>
          <w:color w:val="1F2DA8"/>
        </w:rPr>
        <w:t xml:space="preserve"> www.rudaslaska.pl</w:t>
      </w:r>
      <w:r w:rsidR="00F015DA">
        <w:rPr>
          <w:rFonts w:ascii="Times New Roman" w:hAnsi="Times New Roman" w:cs="Times New Roman"/>
        </w:rPr>
        <w:t>.  W 2019 r.</w:t>
      </w:r>
      <w:r w:rsidRPr="005F0A32">
        <w:rPr>
          <w:rFonts w:ascii="Times New Roman" w:hAnsi="Times New Roman" w:cs="Times New Roman"/>
        </w:rPr>
        <w:t xml:space="preserve"> wydano 1</w:t>
      </w:r>
      <w:r w:rsidR="00F015DA">
        <w:rPr>
          <w:rFonts w:ascii="Times New Roman" w:hAnsi="Times New Roman" w:cs="Times New Roman"/>
        </w:rPr>
        <w:t xml:space="preserve"> </w:t>
      </w:r>
      <w:r w:rsidRPr="005F0A32">
        <w:rPr>
          <w:rFonts w:ascii="Times New Roman" w:hAnsi="Times New Roman" w:cs="Times New Roman"/>
        </w:rPr>
        <w:t xml:space="preserve">299 kart. </w:t>
      </w:r>
    </w:p>
    <w:p w14:paraId="3E491ACA" w14:textId="77777777" w:rsidR="00F015DA" w:rsidRDefault="00AB1786" w:rsidP="008C71A9">
      <w:pPr>
        <w:pStyle w:val="Tekstpodstawowy"/>
        <w:numPr>
          <w:ilvl w:val="0"/>
          <w:numId w:val="163"/>
        </w:numPr>
        <w:tabs>
          <w:tab w:val="left" w:pos="0"/>
        </w:tabs>
        <w:spacing w:after="0" w:line="276" w:lineRule="auto"/>
        <w:ind w:left="360"/>
        <w:jc w:val="both"/>
        <w:rPr>
          <w:rFonts w:ascii="Times New Roman" w:hAnsi="Times New Roman" w:cs="Times New Roman"/>
        </w:rPr>
      </w:pPr>
      <w:r w:rsidRPr="005F0A32">
        <w:rPr>
          <w:rFonts w:ascii="Times New Roman" w:hAnsi="Times New Roman" w:cs="Times New Roman"/>
        </w:rPr>
        <w:t>Realizacja Programu "Dzwonię i jadę". W 2019</w:t>
      </w:r>
      <w:r w:rsidR="00F015DA">
        <w:rPr>
          <w:rFonts w:ascii="Times New Roman" w:hAnsi="Times New Roman" w:cs="Times New Roman"/>
        </w:rPr>
        <w:t xml:space="preserve"> r.</w:t>
      </w:r>
      <w:r w:rsidRPr="005F0A32">
        <w:rPr>
          <w:rFonts w:ascii="Times New Roman" w:hAnsi="Times New Roman" w:cs="Times New Roman"/>
        </w:rPr>
        <w:t xml:space="preserve"> Program zrealizowała Fundacja Aktywni My. Miasto przeznaczyło na ten cel 100 tys. zł Z bezpłatnego transportu można było skorzystać na terenie Rudy Śląskiej od poniedziałku do piątku w godz. od 7.00 do 16.00. Potrzebę przewiezienia należało zgłosić nie później niż na 2 dni przed wyznaczonym terminem transportu pod numer telefonu 661 217 743     w godz. od 8.00 do 14.00 lub drogą elektroniczną na adres: </w:t>
      </w:r>
      <w:hyperlink r:id="rId42" w:history="1">
        <w:r w:rsidR="00F015DA" w:rsidRPr="0025079F">
          <w:rPr>
            <w:rStyle w:val="Hipercze"/>
            <w:rFonts w:ascii="Times New Roman" w:hAnsi="Times New Roman" w:cs="Times New Roman"/>
          </w:rPr>
          <w:t>kontakt@fundacjaaktywnimy.pl</w:t>
        </w:r>
      </w:hyperlink>
      <w:r w:rsidRPr="005F0A32">
        <w:rPr>
          <w:rFonts w:ascii="Times New Roman" w:hAnsi="Times New Roman" w:cs="Times New Roman"/>
          <w:color w:val="0000FF"/>
        </w:rPr>
        <w:t>.</w:t>
      </w:r>
      <w:r w:rsidR="00F015DA">
        <w:rPr>
          <w:rFonts w:ascii="Times New Roman" w:hAnsi="Times New Roman" w:cs="Times New Roman"/>
        </w:rPr>
        <w:t xml:space="preserve"> </w:t>
      </w:r>
      <w:r w:rsidRPr="005F0A32">
        <w:rPr>
          <w:rFonts w:ascii="Times New Roman" w:hAnsi="Times New Roman" w:cs="Times New Roman"/>
        </w:rPr>
        <w:t>Z transportu mógł skorzystać każdy rudzianin, który ukończył 70. rok życia lub mieszkańcy miasta po 60. roku życia, ale z aktualnym orzeczeniem o niepełnosprawności. W okresie wakacyjnym (lipiec i sierpień) działalność była zawieszona</w:t>
      </w:r>
      <w:r w:rsidR="00657ABE">
        <w:rPr>
          <w:rStyle w:val="Odwoanieprzypisudolnego"/>
          <w:rFonts w:ascii="Times New Roman" w:hAnsi="Times New Roman" w:cs="Times New Roman"/>
        </w:rPr>
        <w:footnoteReference w:id="212"/>
      </w:r>
      <w:r w:rsidRPr="005F0A32">
        <w:rPr>
          <w:rFonts w:ascii="Times New Roman" w:hAnsi="Times New Roman" w:cs="Times New Roman"/>
        </w:rPr>
        <w:t xml:space="preserve">. </w:t>
      </w:r>
      <w:r w:rsidR="00F015DA">
        <w:rPr>
          <w:rFonts w:ascii="Times New Roman" w:hAnsi="Times New Roman" w:cs="Times New Roman"/>
        </w:rPr>
        <w:t>W 2019 r.</w:t>
      </w:r>
      <w:r w:rsidRPr="005F0A32">
        <w:rPr>
          <w:rFonts w:ascii="Times New Roman" w:hAnsi="Times New Roman" w:cs="Times New Roman"/>
        </w:rPr>
        <w:t xml:space="preserve"> z tej formy pomocy skorzystało około 2 tys. osób. </w:t>
      </w:r>
    </w:p>
    <w:p w14:paraId="159595DF" w14:textId="77777777" w:rsidR="00AB1786" w:rsidRPr="005F0A32" w:rsidRDefault="00AB1786" w:rsidP="008C71A9">
      <w:pPr>
        <w:pStyle w:val="Tekstpodstawowy"/>
        <w:numPr>
          <w:ilvl w:val="0"/>
          <w:numId w:val="163"/>
        </w:numPr>
        <w:tabs>
          <w:tab w:val="left" w:pos="0"/>
        </w:tabs>
        <w:spacing w:after="0" w:line="276" w:lineRule="auto"/>
        <w:ind w:left="360"/>
        <w:jc w:val="both"/>
        <w:rPr>
          <w:rFonts w:ascii="Times New Roman" w:hAnsi="Times New Roman" w:cs="Times New Roman"/>
        </w:rPr>
      </w:pPr>
      <w:r w:rsidRPr="005F0A32">
        <w:rPr>
          <w:rFonts w:ascii="Times New Roman" w:hAnsi="Times New Roman" w:cs="Times New Roman"/>
        </w:rPr>
        <w:t>Działalność Uniwersytetu Trzeciego Wieku, która ma na celu zachowanie i zwiększenie intelektualnej, psychicznej i fizycznej sprawności członków Stowarzyszenia, prowadzenie edukacji w różnych dziedzinach nauki w formie wykładów, seminariów, psychicznej i fizycznej sprawności członków Stowarzyszenia, propagowanie komunikacji społecznej, rozwój indywidualnych zainteresowań, inspirowanie wszelkich działań na rzecz osób niepełnosprawnych. W 2019 r</w:t>
      </w:r>
      <w:r w:rsidR="00F015DA">
        <w:rPr>
          <w:rFonts w:ascii="Times New Roman" w:hAnsi="Times New Roman" w:cs="Times New Roman"/>
        </w:rPr>
        <w:t>.</w:t>
      </w:r>
      <w:r w:rsidRPr="005F0A32">
        <w:rPr>
          <w:rFonts w:ascii="Times New Roman" w:hAnsi="Times New Roman" w:cs="Times New Roman"/>
        </w:rPr>
        <w:t xml:space="preserve"> z tej formy wsparcia skorzystało 180 osób. Uniwersytet Trzeciego Wieku jest organizacją pozarządową, posiadającą osobowość prawną. Środki na działalność zdobywane są poprzez składki słuchaczy oraz udział w konkursach. Bogata oferta programowa powoduje stały wzrost członków Stowarzyszenia. Lokalizacja: 41-709 Ruda Śląska ul. Tołstoja 13. Kontakt:</w:t>
      </w:r>
      <w:r w:rsidRPr="005F0A32">
        <w:rPr>
          <w:rFonts w:ascii="Times New Roman" w:hAnsi="Times New Roman" w:cs="Times New Roman"/>
          <w:color w:val="0000FF"/>
        </w:rPr>
        <w:t xml:space="preserve"> utwrudasl@tlen.pl.</w:t>
      </w:r>
    </w:p>
    <w:p w14:paraId="26A3415D" w14:textId="77777777" w:rsidR="00F015DA" w:rsidRDefault="00F015DA" w:rsidP="000D7CDE">
      <w:pPr>
        <w:pStyle w:val="Tekstpodstawowy"/>
        <w:spacing w:after="0" w:line="276" w:lineRule="auto"/>
        <w:jc w:val="both"/>
        <w:rPr>
          <w:rFonts w:ascii="Times New Roman" w:hAnsi="Times New Roman" w:cs="Times New Roman"/>
        </w:rPr>
      </w:pPr>
    </w:p>
    <w:p w14:paraId="600F4CD9" w14:textId="77777777" w:rsidR="00F015DA" w:rsidRPr="00657ABE" w:rsidRDefault="00F015DA" w:rsidP="000D7CDE">
      <w:pPr>
        <w:pStyle w:val="Tekstpodstawowy"/>
        <w:spacing w:after="0" w:line="276" w:lineRule="auto"/>
        <w:jc w:val="both"/>
        <w:rPr>
          <w:rFonts w:ascii="Times New Roman" w:hAnsi="Times New Roman" w:cs="Times New Roman"/>
          <w:b/>
        </w:rPr>
      </w:pPr>
      <w:r w:rsidRPr="00657ABE">
        <w:rPr>
          <w:rFonts w:ascii="Times New Roman" w:hAnsi="Times New Roman" w:cs="Times New Roman"/>
          <w:b/>
        </w:rPr>
        <w:t>Suszec</w:t>
      </w:r>
      <w:r w:rsidR="00AB1786" w:rsidRPr="00657ABE">
        <w:rPr>
          <w:rFonts w:ascii="Times New Roman" w:hAnsi="Times New Roman" w:cs="Times New Roman"/>
          <w:b/>
        </w:rPr>
        <w:t xml:space="preserve"> </w:t>
      </w:r>
    </w:p>
    <w:p w14:paraId="46040649" w14:textId="77777777" w:rsidR="006D65C7" w:rsidRDefault="00AB1786" w:rsidP="008C71A9">
      <w:pPr>
        <w:pStyle w:val="Tekstpodstawowy"/>
        <w:numPr>
          <w:ilvl w:val="0"/>
          <w:numId w:val="164"/>
        </w:numPr>
        <w:spacing w:after="0" w:line="276" w:lineRule="auto"/>
        <w:ind w:left="360"/>
        <w:jc w:val="both"/>
        <w:rPr>
          <w:rFonts w:ascii="Times New Roman" w:hAnsi="Times New Roman" w:cs="Times New Roman"/>
        </w:rPr>
      </w:pPr>
      <w:r w:rsidRPr="005F0A32">
        <w:rPr>
          <w:rFonts w:ascii="Times New Roman" w:hAnsi="Times New Roman" w:cs="Times New Roman"/>
        </w:rPr>
        <w:t xml:space="preserve">Program zdrowotny "Program profilaktyki chodu wieku 55+", którego celem była profilaktyka zdrowotna, organizatorem programu była Gmina Suszec, realizatorem Prywatna Praktyka Rehabilitacyjna - Jarosław Gumiński, liczba beneficjentów 50 osób-BIP Gmina Suszec. </w:t>
      </w:r>
    </w:p>
    <w:p w14:paraId="2371F61D" w14:textId="77777777" w:rsidR="006D65C7" w:rsidRDefault="00AB1786" w:rsidP="008C71A9">
      <w:pPr>
        <w:pStyle w:val="Tekstpodstawowy"/>
        <w:numPr>
          <w:ilvl w:val="0"/>
          <w:numId w:val="164"/>
        </w:numPr>
        <w:spacing w:after="0" w:line="276" w:lineRule="auto"/>
        <w:ind w:left="360"/>
        <w:jc w:val="both"/>
        <w:rPr>
          <w:rFonts w:ascii="Times New Roman" w:hAnsi="Times New Roman" w:cs="Times New Roman"/>
        </w:rPr>
      </w:pPr>
      <w:r w:rsidRPr="005F0A32">
        <w:rPr>
          <w:rFonts w:ascii="Times New Roman" w:hAnsi="Times New Roman" w:cs="Times New Roman"/>
        </w:rPr>
        <w:t>Projekt "Kurs na sztukę" skierowany do mieszkańców gminy nieaktywnych zawodowo, oraz powyżej 50 roku życia realizowany przez GOK Suszec, liczba beneficjentów 190 osób, cel działania aktywizacja społeczno-kulturalna seniorów, zajęcia odbywaja się w budynku GOK             w Suszcu w remizo-świetlicach w Rudziczce, Mizerowie i Kryrach, w salce sołeckiej przy SP w Kobielicach, w salkach parafialnych przy kościele w Radostowicach, informacja na temat organizowanych zajęć są rozpowszechniane za pomocą lokalnej prasy oraz na stronie internetowej GOK w Suszcu.</w:t>
      </w:r>
    </w:p>
    <w:p w14:paraId="65FB76F9" w14:textId="77777777" w:rsidR="006D65C7" w:rsidRDefault="00AB1786" w:rsidP="008C71A9">
      <w:pPr>
        <w:pStyle w:val="Tekstpodstawowy"/>
        <w:numPr>
          <w:ilvl w:val="0"/>
          <w:numId w:val="164"/>
        </w:numPr>
        <w:spacing w:after="0" w:line="276" w:lineRule="auto"/>
        <w:ind w:left="360"/>
        <w:jc w:val="both"/>
        <w:rPr>
          <w:rFonts w:ascii="Times New Roman" w:hAnsi="Times New Roman" w:cs="Times New Roman"/>
        </w:rPr>
      </w:pPr>
      <w:r w:rsidRPr="005F0A32">
        <w:rPr>
          <w:rFonts w:ascii="Times New Roman" w:hAnsi="Times New Roman" w:cs="Times New Roman"/>
        </w:rPr>
        <w:t>Zespoły śpiewacze "Mizerowianki"( próby  w remizo-świetlicy</w:t>
      </w:r>
      <w:r w:rsidR="006D65C7">
        <w:rPr>
          <w:rFonts w:ascii="Times New Roman" w:hAnsi="Times New Roman" w:cs="Times New Roman"/>
        </w:rPr>
        <w:t xml:space="preserve"> </w:t>
      </w:r>
      <w:r w:rsidRPr="005F0A32">
        <w:rPr>
          <w:rFonts w:ascii="Times New Roman" w:hAnsi="Times New Roman" w:cs="Times New Roman"/>
        </w:rPr>
        <w:t xml:space="preserve">w Mizerowie, "Radostowianki " (próby w SP w Radostowicach) i "Pogodna Jesień" (próby w GOK w Suszcu) do zespołów należy 50 osób. </w:t>
      </w:r>
    </w:p>
    <w:p w14:paraId="7B101063" w14:textId="77777777" w:rsidR="006D65C7" w:rsidRDefault="00AB1786" w:rsidP="008C71A9">
      <w:pPr>
        <w:pStyle w:val="Tekstpodstawowy"/>
        <w:numPr>
          <w:ilvl w:val="0"/>
          <w:numId w:val="164"/>
        </w:numPr>
        <w:spacing w:after="0" w:line="276" w:lineRule="auto"/>
        <w:ind w:left="360"/>
        <w:jc w:val="both"/>
        <w:rPr>
          <w:rFonts w:ascii="Times New Roman" w:hAnsi="Times New Roman" w:cs="Times New Roman"/>
        </w:rPr>
      </w:pPr>
      <w:r w:rsidRPr="005F0A32">
        <w:rPr>
          <w:rFonts w:ascii="Times New Roman" w:hAnsi="Times New Roman" w:cs="Times New Roman"/>
        </w:rPr>
        <w:t xml:space="preserve">Cykl zajęć rękodzielniczy dla seniorów "Aktywny Senior 55+" dla 30 osób, informacja na stronie internetowej GOK. </w:t>
      </w:r>
    </w:p>
    <w:p w14:paraId="32518F51" w14:textId="77777777" w:rsidR="006D65C7" w:rsidRDefault="00AB1786" w:rsidP="008C71A9">
      <w:pPr>
        <w:pStyle w:val="Tekstpodstawowy"/>
        <w:numPr>
          <w:ilvl w:val="0"/>
          <w:numId w:val="164"/>
        </w:numPr>
        <w:spacing w:after="0" w:line="276" w:lineRule="auto"/>
        <w:ind w:left="360"/>
        <w:jc w:val="both"/>
        <w:rPr>
          <w:rFonts w:ascii="Times New Roman" w:hAnsi="Times New Roman" w:cs="Times New Roman"/>
        </w:rPr>
      </w:pPr>
      <w:r w:rsidRPr="005F0A32">
        <w:rPr>
          <w:rFonts w:ascii="Times New Roman" w:hAnsi="Times New Roman" w:cs="Times New Roman"/>
        </w:rPr>
        <w:t xml:space="preserve">Kurs komputerowy "Podstawy obsługi komputera" dla osób 55+, głównie seniorów- </w:t>
      </w:r>
      <w:r w:rsidRPr="005F0A32">
        <w:rPr>
          <w:rFonts w:ascii="Times New Roman" w:hAnsi="Times New Roman" w:cs="Times New Roman"/>
        </w:rPr>
        <w:lastRenderedPageBreak/>
        <w:t xml:space="preserve">realizator GBP w Suszcu, liczba beneficjentów 17 osób. </w:t>
      </w:r>
    </w:p>
    <w:p w14:paraId="7DF3D8E2" w14:textId="77777777" w:rsidR="006D65C7" w:rsidRDefault="00AB1786" w:rsidP="008C71A9">
      <w:pPr>
        <w:pStyle w:val="Tekstpodstawowy"/>
        <w:numPr>
          <w:ilvl w:val="0"/>
          <w:numId w:val="164"/>
        </w:numPr>
        <w:spacing w:after="0" w:line="276" w:lineRule="auto"/>
        <w:ind w:left="360"/>
        <w:jc w:val="both"/>
        <w:rPr>
          <w:rFonts w:ascii="Times New Roman" w:hAnsi="Times New Roman" w:cs="Times New Roman"/>
        </w:rPr>
      </w:pPr>
      <w:r w:rsidRPr="005F0A32">
        <w:rPr>
          <w:rFonts w:ascii="Times New Roman" w:hAnsi="Times New Roman" w:cs="Times New Roman"/>
        </w:rPr>
        <w:t xml:space="preserve">Projekt " O finansach... w bibliotece-6 edycja", realizowany z NBP przez GBP w Suszcu, udział wzięło 12 seniorów. </w:t>
      </w:r>
    </w:p>
    <w:p w14:paraId="0ED45ABA" w14:textId="77777777" w:rsidR="006D65C7" w:rsidRDefault="00AB1786" w:rsidP="008C71A9">
      <w:pPr>
        <w:pStyle w:val="Tekstpodstawowy"/>
        <w:numPr>
          <w:ilvl w:val="0"/>
          <w:numId w:val="164"/>
        </w:numPr>
        <w:spacing w:after="0" w:line="276" w:lineRule="auto"/>
        <w:ind w:left="360"/>
        <w:jc w:val="both"/>
        <w:rPr>
          <w:rFonts w:ascii="Times New Roman" w:hAnsi="Times New Roman" w:cs="Times New Roman"/>
        </w:rPr>
      </w:pPr>
      <w:r w:rsidRPr="005F0A32">
        <w:rPr>
          <w:rFonts w:ascii="Times New Roman" w:hAnsi="Times New Roman" w:cs="Times New Roman"/>
        </w:rPr>
        <w:t>Na terenie gminy działają również Koła Gospodyń Wiejskich w Rudziczce i Suszcu.</w:t>
      </w:r>
    </w:p>
    <w:p w14:paraId="03A95888" w14:textId="77777777" w:rsidR="00AB1786" w:rsidRPr="005F0A32" w:rsidRDefault="00AB1786" w:rsidP="000D7CDE">
      <w:pPr>
        <w:pStyle w:val="Tekstpodstawowy"/>
        <w:spacing w:after="0" w:line="276" w:lineRule="auto"/>
        <w:jc w:val="both"/>
        <w:rPr>
          <w:rFonts w:ascii="Times New Roman" w:hAnsi="Times New Roman" w:cs="Times New Roman"/>
          <w:color w:val="000000"/>
        </w:rPr>
      </w:pPr>
    </w:p>
    <w:p w14:paraId="12B60D69" w14:textId="77777777" w:rsidR="006D65C7" w:rsidRPr="00D910F7" w:rsidRDefault="006D65C7" w:rsidP="000D7CDE">
      <w:pPr>
        <w:pStyle w:val="Tekstpodstawowy"/>
        <w:spacing w:after="0" w:line="276" w:lineRule="auto"/>
        <w:jc w:val="both"/>
        <w:rPr>
          <w:rFonts w:ascii="Times New Roman" w:eastAsia="SimSun" w:hAnsi="Times New Roman" w:cs="Times New Roman"/>
          <w:color w:val="000000"/>
        </w:rPr>
      </w:pPr>
      <w:r w:rsidRPr="00D910F7">
        <w:rPr>
          <w:rFonts w:ascii="Times New Roman" w:eastAsia="SimSun" w:hAnsi="Times New Roman" w:cs="Times New Roman"/>
          <w:bCs/>
          <w:color w:val="000000"/>
        </w:rPr>
        <w:t>Gierałtowice</w:t>
      </w:r>
    </w:p>
    <w:p w14:paraId="6D2D2ADE" w14:textId="77777777" w:rsidR="00D910F7" w:rsidRPr="00D910F7" w:rsidRDefault="00AB1786" w:rsidP="008C71A9">
      <w:pPr>
        <w:pStyle w:val="Tekstpodstawowy"/>
        <w:numPr>
          <w:ilvl w:val="0"/>
          <w:numId w:val="165"/>
        </w:numPr>
        <w:spacing w:after="0" w:line="276" w:lineRule="auto"/>
        <w:ind w:left="360"/>
        <w:jc w:val="both"/>
        <w:rPr>
          <w:rFonts w:ascii="Times New Roman" w:hAnsi="Times New Roman" w:cs="Times New Roman"/>
          <w:color w:val="000000"/>
        </w:rPr>
      </w:pPr>
      <w:r w:rsidRPr="005F0A32">
        <w:rPr>
          <w:rFonts w:ascii="Times New Roman" w:eastAsia="SimSun" w:hAnsi="Times New Roman" w:cs="Times New Roman"/>
          <w:color w:val="000000"/>
        </w:rPr>
        <w:t xml:space="preserve">w 2019 r. zostało podpisane porozumienie z Fundacją "Zakątek Pokoleń" w ramach realizacji usług społecznych dla seniorów. Wsparciem Fundacji "Zakątek Pokoleń" zostało objętych 131 seniorów (60+). Poprzez świadczenie usług asystenckich i opiekuńczych 24 osoby starsze o ograniczonej samodzielności miały zapewnioną profesjonalną opiekę i bezpieczeństwo, pomoc w prowadzeniu gospodarstwa domowego oraz możliwość aktywizacji społecznej adekwatnej do ich możliwości. </w:t>
      </w:r>
      <w:r w:rsidRPr="00D910F7">
        <w:rPr>
          <w:rFonts w:ascii="Times New Roman" w:eastAsia="SimSun" w:hAnsi="Times New Roman" w:cs="Times New Roman"/>
          <w:color w:val="000000"/>
        </w:rPr>
        <w:t>W ramach działalności Fundacji "Zakątek Pokoleń" odbyły się warsztaty nt. zdrowego odżywi</w:t>
      </w:r>
      <w:r w:rsidR="00D910F7" w:rsidRPr="00D910F7">
        <w:rPr>
          <w:rFonts w:ascii="Times New Roman" w:eastAsia="SimSun" w:hAnsi="Times New Roman" w:cs="Times New Roman"/>
          <w:color w:val="000000"/>
        </w:rPr>
        <w:t xml:space="preserve">ania. </w:t>
      </w:r>
    </w:p>
    <w:p w14:paraId="78D2698D" w14:textId="77777777" w:rsidR="00AB1786" w:rsidRPr="00D910F7" w:rsidRDefault="00D910F7" w:rsidP="008C71A9">
      <w:pPr>
        <w:pStyle w:val="Tekstpodstawowy"/>
        <w:numPr>
          <w:ilvl w:val="0"/>
          <w:numId w:val="165"/>
        </w:numPr>
        <w:spacing w:after="0" w:line="276" w:lineRule="auto"/>
        <w:ind w:left="360"/>
        <w:jc w:val="both"/>
        <w:rPr>
          <w:rFonts w:ascii="Times New Roman" w:hAnsi="Times New Roman" w:cs="Times New Roman"/>
          <w:color w:val="000000"/>
        </w:rPr>
      </w:pPr>
      <w:r w:rsidRPr="00D910F7">
        <w:rPr>
          <w:rFonts w:ascii="Times New Roman" w:eastAsia="SimSun" w:hAnsi="Times New Roman" w:cs="Times New Roman"/>
          <w:color w:val="000000"/>
        </w:rPr>
        <w:t xml:space="preserve">W 2019 </w:t>
      </w:r>
      <w:r>
        <w:rPr>
          <w:rFonts w:ascii="Times New Roman" w:eastAsia="SimSun" w:hAnsi="Times New Roman" w:cs="Times New Roman"/>
          <w:color w:val="000000"/>
        </w:rPr>
        <w:t xml:space="preserve">r. </w:t>
      </w:r>
      <w:r w:rsidRPr="00D910F7">
        <w:rPr>
          <w:rFonts w:ascii="Times New Roman" w:eastAsia="SimSun" w:hAnsi="Times New Roman" w:cs="Times New Roman"/>
          <w:color w:val="000000"/>
        </w:rPr>
        <w:t>zorganizowano</w:t>
      </w:r>
      <w:r w:rsidR="00AB1786" w:rsidRPr="00D910F7">
        <w:rPr>
          <w:rFonts w:ascii="Times New Roman" w:eastAsia="SimSun" w:hAnsi="Times New Roman" w:cs="Times New Roman"/>
          <w:color w:val="000000"/>
        </w:rPr>
        <w:t xml:space="preserve"> I Gierałtowicki Dzień Seniora w którym uczestniczyło 150 osób starszych, co wpłynęło na integrację wewnątrz i międzypokoleniową. Informacje na st</w:t>
      </w:r>
      <w:r w:rsidR="00657ABE">
        <w:rPr>
          <w:rFonts w:ascii="Times New Roman" w:eastAsia="SimSun" w:hAnsi="Times New Roman" w:cs="Times New Roman"/>
          <w:color w:val="000000"/>
        </w:rPr>
        <w:t>ronie Urzędu Gminy Gierałtowice</w:t>
      </w:r>
      <w:r w:rsidR="00657ABE">
        <w:rPr>
          <w:rStyle w:val="Odwoanieprzypisudolnego"/>
          <w:rFonts w:ascii="Times New Roman" w:eastAsia="SimSun" w:hAnsi="Times New Roman" w:cs="Times New Roman"/>
          <w:color w:val="000000"/>
        </w:rPr>
        <w:footnoteReference w:id="213"/>
      </w:r>
      <w:r w:rsidR="00657ABE">
        <w:rPr>
          <w:rFonts w:ascii="Times New Roman" w:eastAsia="SimSun" w:hAnsi="Times New Roman" w:cs="Times New Roman"/>
          <w:color w:val="000000"/>
        </w:rPr>
        <w:t>.</w:t>
      </w:r>
    </w:p>
    <w:p w14:paraId="3B283D6F" w14:textId="77777777" w:rsidR="00AB1786" w:rsidRPr="005F0A32" w:rsidRDefault="00AB1786" w:rsidP="000D7CDE">
      <w:pPr>
        <w:pStyle w:val="Tekstpodstawowy"/>
        <w:spacing w:after="0" w:line="276" w:lineRule="auto"/>
        <w:jc w:val="both"/>
        <w:rPr>
          <w:rFonts w:ascii="Times New Roman" w:hAnsi="Times New Roman" w:cs="Times New Roman"/>
          <w:color w:val="000000"/>
        </w:rPr>
      </w:pPr>
    </w:p>
    <w:p w14:paraId="11C9A4DE" w14:textId="77777777" w:rsidR="00D910F7" w:rsidRPr="00D910F7" w:rsidRDefault="00AB1786" w:rsidP="000D7CDE">
      <w:pPr>
        <w:pStyle w:val="Tekstpodstawowy"/>
        <w:spacing w:after="0" w:line="276" w:lineRule="auto"/>
        <w:jc w:val="both"/>
        <w:rPr>
          <w:rFonts w:ascii="Times New Roman" w:eastAsia="SimSun" w:hAnsi="Times New Roman" w:cs="Times New Roman"/>
          <w:color w:val="000000"/>
        </w:rPr>
      </w:pPr>
      <w:r w:rsidRPr="00D910F7">
        <w:rPr>
          <w:rFonts w:ascii="Times New Roman" w:eastAsia="SimSun" w:hAnsi="Times New Roman" w:cs="Times New Roman"/>
          <w:bCs/>
          <w:color w:val="000000"/>
        </w:rPr>
        <w:t>Kalety</w:t>
      </w:r>
    </w:p>
    <w:p w14:paraId="7FC68E72" w14:textId="77777777" w:rsidR="00D910F7" w:rsidRPr="00D910F7" w:rsidRDefault="00AB1786" w:rsidP="008C71A9">
      <w:pPr>
        <w:pStyle w:val="Tekstpodstawowy"/>
        <w:numPr>
          <w:ilvl w:val="0"/>
          <w:numId w:val="166"/>
        </w:numPr>
        <w:spacing w:after="0" w:line="276" w:lineRule="auto"/>
        <w:ind w:left="360"/>
        <w:jc w:val="both"/>
        <w:rPr>
          <w:rFonts w:ascii="Times New Roman" w:hAnsi="Times New Roman" w:cs="Times New Roman"/>
          <w:color w:val="000000"/>
        </w:rPr>
      </w:pPr>
      <w:r w:rsidRPr="005F0A32">
        <w:rPr>
          <w:rFonts w:ascii="Times New Roman" w:eastAsia="SimSun" w:hAnsi="Times New Roman" w:cs="Times New Roman"/>
          <w:color w:val="000000"/>
        </w:rPr>
        <w:t>Aktywizacja osób starszych, liczba 60 osób, miejsce Klub Seniora organizator Gmina Kalety działania - zajęcia i spotkania w Miejskim Domu Kultury, informacji na stronie miasta</w:t>
      </w:r>
      <w:r w:rsidR="00657ABE">
        <w:rPr>
          <w:rStyle w:val="Odwoanieprzypisudolnego"/>
          <w:rFonts w:ascii="Times New Roman" w:eastAsia="SimSun" w:hAnsi="Times New Roman" w:cs="Times New Roman"/>
          <w:color w:val="000000"/>
        </w:rPr>
        <w:footnoteReference w:id="214"/>
      </w:r>
      <w:r w:rsidRPr="005F0A32">
        <w:rPr>
          <w:rFonts w:ascii="Times New Roman" w:eastAsia="SimSun" w:hAnsi="Times New Roman" w:cs="Times New Roman"/>
          <w:color w:val="000000"/>
        </w:rPr>
        <w:t xml:space="preserve">, </w:t>
      </w:r>
    </w:p>
    <w:p w14:paraId="7F539549" w14:textId="77777777" w:rsidR="00D910F7" w:rsidRPr="00D910F7" w:rsidRDefault="00AB1786" w:rsidP="008C71A9">
      <w:pPr>
        <w:pStyle w:val="Tekstpodstawowy"/>
        <w:numPr>
          <w:ilvl w:val="0"/>
          <w:numId w:val="166"/>
        </w:numPr>
        <w:spacing w:after="0" w:line="276" w:lineRule="auto"/>
        <w:ind w:left="360"/>
        <w:jc w:val="both"/>
        <w:rPr>
          <w:rFonts w:ascii="Times New Roman" w:hAnsi="Times New Roman" w:cs="Times New Roman"/>
          <w:color w:val="000000"/>
        </w:rPr>
      </w:pPr>
      <w:r w:rsidRPr="005F0A32">
        <w:rPr>
          <w:rFonts w:ascii="Times New Roman" w:eastAsia="SimSun" w:hAnsi="Times New Roman" w:cs="Times New Roman"/>
          <w:color w:val="000000"/>
        </w:rPr>
        <w:t xml:space="preserve">Aktywizacja i integracja osób starszych w Dziennym Domu Senior + 22 osoby, lokalizacja w budynku MDK w Kaletach, </w:t>
      </w:r>
    </w:p>
    <w:p w14:paraId="449304AF" w14:textId="77777777" w:rsidR="00AB1786" w:rsidRPr="005F0A32" w:rsidRDefault="00AB1786" w:rsidP="008C71A9">
      <w:pPr>
        <w:pStyle w:val="Tekstpodstawowy"/>
        <w:numPr>
          <w:ilvl w:val="0"/>
          <w:numId w:val="166"/>
        </w:numPr>
        <w:spacing w:after="0" w:line="276" w:lineRule="auto"/>
        <w:ind w:left="360"/>
        <w:jc w:val="both"/>
        <w:rPr>
          <w:rFonts w:ascii="Times New Roman" w:hAnsi="Times New Roman" w:cs="Times New Roman"/>
          <w:color w:val="000000"/>
        </w:rPr>
      </w:pPr>
      <w:r w:rsidRPr="005F0A32">
        <w:rPr>
          <w:rFonts w:ascii="Times New Roman" w:eastAsia="SimSun" w:hAnsi="Times New Roman" w:cs="Times New Roman"/>
          <w:color w:val="000000"/>
        </w:rPr>
        <w:t xml:space="preserve">Wsparcie w formie usług opiekuńczych dla 18 osób starszych organizator MOPS Kalety, teren działania - miejsce zamieszkania podopiecznych, </w:t>
      </w:r>
    </w:p>
    <w:p w14:paraId="57278E75" w14:textId="77777777" w:rsidR="00AB1786" w:rsidRPr="005F0A32" w:rsidRDefault="00AB1786" w:rsidP="000D7CDE">
      <w:pPr>
        <w:pStyle w:val="Tekstpodstawowy"/>
        <w:spacing w:after="0" w:line="276" w:lineRule="auto"/>
        <w:jc w:val="both"/>
        <w:rPr>
          <w:rFonts w:ascii="Times New Roman" w:hAnsi="Times New Roman" w:cs="Times New Roman"/>
        </w:rPr>
      </w:pPr>
    </w:p>
    <w:p w14:paraId="2390F306" w14:textId="77777777" w:rsidR="00AB1786" w:rsidRPr="005F0A32" w:rsidRDefault="00AB1786" w:rsidP="000D7CDE">
      <w:pPr>
        <w:pStyle w:val="Tekstpodstawowy"/>
        <w:spacing w:after="0" w:line="276" w:lineRule="auto"/>
        <w:jc w:val="both"/>
        <w:rPr>
          <w:rFonts w:ascii="Times New Roman" w:hAnsi="Times New Roman" w:cs="Times New Roman"/>
          <w:color w:val="000000"/>
        </w:rPr>
      </w:pPr>
      <w:r w:rsidRPr="004965A4">
        <w:rPr>
          <w:rFonts w:ascii="Times New Roman" w:hAnsi="Times New Roman" w:cs="Times New Roman"/>
          <w:color w:val="000000"/>
        </w:rPr>
        <w:t>Pakiet usług socjalnych dla osób starszych of</w:t>
      </w:r>
      <w:r w:rsidR="004965A4" w:rsidRPr="004965A4">
        <w:rPr>
          <w:rFonts w:ascii="Times New Roman" w:hAnsi="Times New Roman" w:cs="Times New Roman"/>
          <w:color w:val="000000"/>
        </w:rPr>
        <w:t>erowany przez instytucje pomocy</w:t>
      </w:r>
      <w:r w:rsidRPr="004965A4">
        <w:rPr>
          <w:rFonts w:ascii="Times New Roman" w:hAnsi="Times New Roman" w:cs="Times New Roman"/>
          <w:color w:val="000000"/>
        </w:rPr>
        <w:t>i integracji społecznej na terenie województwa śląskiego :</w:t>
      </w:r>
    </w:p>
    <w:p w14:paraId="0AC802D4"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rPr>
      </w:pPr>
      <w:r w:rsidRPr="004965A4">
        <w:rPr>
          <w:rFonts w:ascii="Times New Roman" w:hAnsi="Times New Roman" w:cs="Times New Roman"/>
        </w:rPr>
        <w:t>praca socjalna, z której skorzystało 24 366 osób powyżej 60 roku życia,</w:t>
      </w:r>
    </w:p>
    <w:p w14:paraId="362123BB"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rPr>
      </w:pPr>
      <w:r w:rsidRPr="004965A4">
        <w:rPr>
          <w:rFonts w:ascii="Times New Roman" w:hAnsi="Times New Roman" w:cs="Times New Roman"/>
        </w:rPr>
        <w:t>usługi bytowe: mieszkaniowe, żywieniowe, pomoc rzeczowa (np. niezbędne ubranie, remonty, naprawy), z których skorzystało 10 449 osób starszych,</w:t>
      </w:r>
    </w:p>
    <w:p w14:paraId="306496EC"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rPr>
      </w:pPr>
      <w:r w:rsidRPr="004965A4">
        <w:rPr>
          <w:rFonts w:ascii="Times New Roman" w:hAnsi="Times New Roman" w:cs="Times New Roman"/>
        </w:rPr>
        <w:t>interwencja kryzysowa – profesjonalne wsparcie 7 315 osób starszych pomocą psychologiczną, prawną oraz w grupach wsparcia,</w:t>
      </w:r>
    </w:p>
    <w:p w14:paraId="1DFEBB58"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rPr>
      </w:pPr>
      <w:r w:rsidRPr="004965A4">
        <w:rPr>
          <w:rFonts w:ascii="Times New Roman" w:hAnsi="Times New Roman" w:cs="Times New Roman"/>
        </w:rPr>
        <w:t>usługi integracyjne, w tym integracja społeczna i międzypokoleniowa, w której uczestniczyło 31 080 osób starszych,</w:t>
      </w:r>
    </w:p>
    <w:p w14:paraId="5065F01E"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rPr>
      </w:pPr>
      <w:r w:rsidRPr="004965A4">
        <w:rPr>
          <w:rFonts w:ascii="Times New Roman" w:hAnsi="Times New Roman" w:cs="Times New Roman"/>
        </w:rPr>
        <w:t>rzecznictwo: występowano w imieniu / na rzecz istotnych spraw 1 801 osób starszych,</w:t>
      </w:r>
    </w:p>
    <w:p w14:paraId="71B97DDF"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rPr>
      </w:pPr>
      <w:r w:rsidRPr="004965A4">
        <w:rPr>
          <w:rFonts w:ascii="Times New Roman" w:hAnsi="Times New Roman" w:cs="Times New Roman"/>
        </w:rPr>
        <w:t>usługi prozdrowotne i rehabilitacyjne to oferta umożliwiająca utrzymanie bądź polepszenie ogólnego stanu psychofizycznego, w tym zajęcia usprawniające, usługi geriatryczne</w:t>
      </w:r>
      <w:r w:rsidRPr="004965A4">
        <w:rPr>
          <w:rFonts w:ascii="Times New Roman" w:hAnsi="Times New Roman" w:cs="Times New Roman"/>
        </w:rPr>
        <w:br/>
        <w:t>i rehabilitacyjne, z której skorzystało 59 143 osoby starsze,</w:t>
      </w:r>
    </w:p>
    <w:p w14:paraId="741EBF15"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rPr>
      </w:pPr>
      <w:r w:rsidRPr="004965A4">
        <w:rPr>
          <w:rFonts w:ascii="Times New Roman" w:hAnsi="Times New Roman" w:cs="Times New Roman"/>
        </w:rPr>
        <w:t>usługi informacyjne poprzez dostęp do informacji o uprawnieniach, zasobach i usługach</w:t>
      </w:r>
      <w:r w:rsidRPr="004965A4">
        <w:rPr>
          <w:rFonts w:ascii="Times New Roman" w:hAnsi="Times New Roman" w:cs="Times New Roman"/>
        </w:rPr>
        <w:br/>
        <w:t>z wykorzystaniem różnych technik i metod informacyjnych uzyskało 25 418 osób starszych,</w:t>
      </w:r>
    </w:p>
    <w:p w14:paraId="5A957832"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rPr>
      </w:pPr>
      <w:r w:rsidRPr="004965A4">
        <w:rPr>
          <w:rFonts w:ascii="Times New Roman" w:hAnsi="Times New Roman" w:cs="Times New Roman"/>
        </w:rPr>
        <w:t>mediacje – pomoc uzyskało 348 osób starszych,</w:t>
      </w:r>
    </w:p>
    <w:p w14:paraId="333101D6"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rPr>
      </w:pPr>
      <w:r w:rsidRPr="004965A4">
        <w:rPr>
          <w:rFonts w:ascii="Times New Roman" w:hAnsi="Times New Roman" w:cs="Times New Roman"/>
        </w:rPr>
        <w:t xml:space="preserve">usługi aktywizujące to zróżnicowana oferta umożliwiająca aktywne uczestnictwo w życiu </w:t>
      </w:r>
      <w:r w:rsidRPr="004965A4">
        <w:rPr>
          <w:rFonts w:ascii="Times New Roman" w:hAnsi="Times New Roman" w:cs="Times New Roman"/>
        </w:rPr>
        <w:lastRenderedPageBreak/>
        <w:t>społecznym, a w tym: usługi edukacyjne - biblioteczne, w których uczestniczyły 117 osób starszych,</w:t>
      </w:r>
    </w:p>
    <w:p w14:paraId="7A204941"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rPr>
      </w:pPr>
      <w:r w:rsidRPr="004965A4">
        <w:rPr>
          <w:rFonts w:ascii="Times New Roman" w:hAnsi="Times New Roman" w:cs="Times New Roman"/>
        </w:rPr>
        <w:t>nieodpłatna pomoc prawna, z której skorzystało 1 464 osoby starsze,</w:t>
      </w:r>
    </w:p>
    <w:p w14:paraId="43A72CA3"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color w:val="000000"/>
        </w:rPr>
      </w:pPr>
      <w:r w:rsidRPr="004965A4">
        <w:rPr>
          <w:rFonts w:ascii="Times New Roman" w:hAnsi="Times New Roman" w:cs="Times New Roman"/>
          <w:color w:val="000000"/>
        </w:rPr>
        <w:t xml:space="preserve">edukacja ekologiczna, z której skorzystało 8 927 osób starszych, </w:t>
      </w:r>
    </w:p>
    <w:p w14:paraId="7F6843F3"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color w:val="000000"/>
        </w:rPr>
      </w:pPr>
      <w:r w:rsidRPr="004965A4">
        <w:rPr>
          <w:rFonts w:ascii="Times New Roman" w:hAnsi="Times New Roman" w:cs="Times New Roman"/>
          <w:color w:val="000000"/>
        </w:rPr>
        <w:t>skorzystanie z łaźni – pomoc uzyskało 15 osób starszych,</w:t>
      </w:r>
    </w:p>
    <w:p w14:paraId="5E03C034"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color w:val="000000"/>
        </w:rPr>
      </w:pPr>
      <w:r w:rsidRPr="004965A4">
        <w:rPr>
          <w:rFonts w:ascii="Times New Roman" w:hAnsi="Times New Roman" w:cs="Times New Roman"/>
          <w:color w:val="000000"/>
        </w:rPr>
        <w:t>usługi edukacyjne, w tym prozdrowotne - pomoc uzyskało 70 osób starszych,</w:t>
      </w:r>
    </w:p>
    <w:p w14:paraId="50F17FB4"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color w:val="000000"/>
        </w:rPr>
      </w:pPr>
      <w:r w:rsidRPr="004965A4">
        <w:rPr>
          <w:rFonts w:ascii="Times New Roman" w:hAnsi="Times New Roman" w:cs="Times New Roman"/>
          <w:color w:val="000000"/>
        </w:rPr>
        <w:t>usługi kulturalno – oświatowe - pomoc uzyskało 137 osób starszych,</w:t>
      </w:r>
    </w:p>
    <w:p w14:paraId="5BBCFD0C"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color w:val="000000"/>
        </w:rPr>
      </w:pPr>
      <w:r w:rsidRPr="004965A4">
        <w:rPr>
          <w:rFonts w:ascii="Times New Roman" w:hAnsi="Times New Roman" w:cs="Times New Roman"/>
          <w:color w:val="000000"/>
        </w:rPr>
        <w:t>usługi sportowo – rekreacyjne - pomoc uzyskało 108 osób starszych,</w:t>
      </w:r>
    </w:p>
    <w:p w14:paraId="7C449B55"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color w:val="000000"/>
        </w:rPr>
      </w:pPr>
      <w:r w:rsidRPr="004965A4">
        <w:rPr>
          <w:rFonts w:ascii="Times New Roman" w:hAnsi="Times New Roman" w:cs="Times New Roman"/>
          <w:color w:val="000000"/>
        </w:rPr>
        <w:t>usługi w formie terapii zajęciowej - pomoc uzyskało 15 osób starszych,</w:t>
      </w:r>
    </w:p>
    <w:p w14:paraId="6F08143F"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color w:val="000000"/>
        </w:rPr>
      </w:pPr>
      <w:r w:rsidRPr="004965A4">
        <w:rPr>
          <w:rFonts w:ascii="Times New Roman" w:hAnsi="Times New Roman" w:cs="Times New Roman"/>
          <w:color w:val="000000"/>
        </w:rPr>
        <w:t>usługi aktywizujące to zróżnicowana oferta umożliwiająca aktywne uczestnictwo w życiu społecznym, w których uczestniczyło 117 osób starszych,</w:t>
      </w:r>
    </w:p>
    <w:p w14:paraId="23FDA535" w14:textId="77777777" w:rsidR="00AB1786" w:rsidRPr="004965A4" w:rsidRDefault="00AB1786" w:rsidP="000D7CDE">
      <w:pPr>
        <w:pStyle w:val="Tekstpodstawowy"/>
        <w:numPr>
          <w:ilvl w:val="0"/>
          <w:numId w:val="21"/>
        </w:numPr>
        <w:spacing w:after="0" w:line="276" w:lineRule="auto"/>
        <w:ind w:left="360"/>
        <w:jc w:val="both"/>
        <w:rPr>
          <w:rFonts w:ascii="Times New Roman" w:hAnsi="Times New Roman" w:cs="Times New Roman"/>
          <w:color w:val="000000"/>
        </w:rPr>
      </w:pPr>
      <w:r w:rsidRPr="004965A4">
        <w:rPr>
          <w:rFonts w:ascii="Times New Roman" w:hAnsi="Times New Roman" w:cs="Times New Roman"/>
          <w:color w:val="000000"/>
        </w:rPr>
        <w:t>Nieodpłatna pomoc prawna, z której skorzystały 1 464 osoby starsze.</w:t>
      </w:r>
    </w:p>
    <w:p w14:paraId="54B7A085" w14:textId="77777777" w:rsidR="00AB1786" w:rsidRPr="005F0A32" w:rsidRDefault="00AB1786" w:rsidP="000D7CDE">
      <w:pPr>
        <w:pStyle w:val="Tekstpodstawowy"/>
        <w:spacing w:after="0" w:line="276" w:lineRule="auto"/>
        <w:jc w:val="both"/>
        <w:rPr>
          <w:rFonts w:ascii="Times New Roman" w:hAnsi="Times New Roman" w:cs="Times New Roman"/>
        </w:rPr>
      </w:pPr>
    </w:p>
    <w:p w14:paraId="2395E5FC" w14:textId="77777777" w:rsidR="00AB1786" w:rsidRPr="005F0A32" w:rsidRDefault="00AB1786" w:rsidP="000D7CDE">
      <w:pPr>
        <w:spacing w:after="0"/>
        <w:jc w:val="both"/>
        <w:rPr>
          <w:rFonts w:ascii="Times New Roman" w:eastAsia="Calibri" w:hAnsi="Times New Roman" w:cs="Times New Roman"/>
          <w:color w:val="000000"/>
          <w:sz w:val="24"/>
          <w:szCs w:val="24"/>
        </w:rPr>
      </w:pPr>
      <w:r w:rsidRPr="005F0A32">
        <w:rPr>
          <w:rFonts w:ascii="Times New Roman" w:eastAsia="Calibri" w:hAnsi="Times New Roman" w:cs="Times New Roman"/>
          <w:sz w:val="24"/>
          <w:szCs w:val="24"/>
        </w:rPr>
        <w:t>Wyzwaniem</w:t>
      </w:r>
      <w:r w:rsidRPr="005F0A32">
        <w:rPr>
          <w:rFonts w:ascii="Times New Roman" w:eastAsia="Calibri" w:hAnsi="Times New Roman" w:cs="Times New Roman"/>
          <w:color w:val="000000"/>
          <w:sz w:val="24"/>
          <w:szCs w:val="24"/>
        </w:rPr>
        <w:t xml:space="preserve"> dla realizacji działań w zakresie polityki senioralnej przez województwo śląskie stał się proces starzenia się społeczeństwa. Jej celem jest tworzenie podstaw do pełnego uczestnictwa osób starszych w życiu społecznym oraz budowanie regionu przyjaznego seniorom     i aktywnemu starzeniu się. </w:t>
      </w:r>
    </w:p>
    <w:p w14:paraId="48A4BBF4" w14:textId="77777777" w:rsidR="004965A4" w:rsidRDefault="004965A4" w:rsidP="000D7CDE">
      <w:pPr>
        <w:pStyle w:val="Tekstpodstawowy"/>
        <w:spacing w:after="0" w:line="276" w:lineRule="auto"/>
        <w:jc w:val="both"/>
        <w:rPr>
          <w:rFonts w:ascii="Times New Roman" w:hAnsi="Times New Roman" w:cs="Times New Roman"/>
        </w:rPr>
      </w:pPr>
    </w:p>
    <w:p w14:paraId="72CB5D73" w14:textId="77777777" w:rsidR="00AB1786" w:rsidRPr="005F0A32" w:rsidRDefault="00AB1786" w:rsidP="000D7CDE">
      <w:pPr>
        <w:pStyle w:val="Tekstpodstawowy"/>
        <w:spacing w:after="0" w:line="276" w:lineRule="auto"/>
        <w:jc w:val="both"/>
        <w:rPr>
          <w:rFonts w:ascii="Times New Roman" w:hAnsi="Times New Roman" w:cs="Times New Roman"/>
        </w:rPr>
      </w:pPr>
      <w:r w:rsidRPr="005F0A32">
        <w:rPr>
          <w:rFonts w:ascii="Times New Roman" w:hAnsi="Times New Roman" w:cs="Times New Roman"/>
        </w:rPr>
        <w:t xml:space="preserve">Biorąc pod uwagę znane powszechnie prognozy dotyczące starzenia się polskiego społeczeństwa, aktywizacja osób starszych jest kluczowa dla sprawnego i dobrego funkcjonowania społeczności lokalnych. Dotychczas podejmowane działania kierowane do najstarszych mieszkańców (realizowane między innymi przez liczne uniwersytety trzeciego wieku) koncentrują się przede wszystkim na upowszechnianiu aktywności sportowej lub kulturalnej seniorów, pomijając często jeden z najważniejszych obszarów, jakim jest aktywność obywatelska. </w:t>
      </w:r>
    </w:p>
    <w:p w14:paraId="7ECCEE7F" w14:textId="77777777" w:rsidR="00AB1786" w:rsidRPr="005F0A32" w:rsidRDefault="00AB1786" w:rsidP="000D7CDE">
      <w:pPr>
        <w:spacing w:after="0"/>
        <w:jc w:val="both"/>
        <w:rPr>
          <w:rFonts w:ascii="Times New Roman" w:hAnsi="Times New Roman" w:cs="Times New Roman"/>
          <w:sz w:val="24"/>
          <w:szCs w:val="24"/>
        </w:rPr>
      </w:pPr>
    </w:p>
    <w:p w14:paraId="16E689BB" w14:textId="77777777" w:rsidR="004965A4" w:rsidRPr="00657ABE" w:rsidRDefault="004965A4" w:rsidP="000D7CDE">
      <w:pPr>
        <w:spacing w:after="0"/>
        <w:jc w:val="both"/>
        <w:rPr>
          <w:rFonts w:ascii="Times New Roman" w:hAnsi="Times New Roman" w:cs="Times New Roman"/>
          <w:b/>
          <w:i/>
          <w:color w:val="00B0F0"/>
          <w:sz w:val="24"/>
          <w:szCs w:val="24"/>
        </w:rPr>
      </w:pPr>
      <w:r w:rsidRPr="00657ABE">
        <w:rPr>
          <w:rFonts w:ascii="Times New Roman" w:hAnsi="Times New Roman" w:cs="Times New Roman"/>
          <w:b/>
          <w:color w:val="00B0F0"/>
          <w:sz w:val="24"/>
          <w:szCs w:val="24"/>
        </w:rPr>
        <w:t>Realizacja działań wynikających z przyjętego prze</w:t>
      </w:r>
      <w:r w:rsidR="00657ABE">
        <w:rPr>
          <w:rFonts w:ascii="Times New Roman" w:hAnsi="Times New Roman" w:cs="Times New Roman"/>
          <w:b/>
          <w:color w:val="00B0F0"/>
          <w:sz w:val="24"/>
          <w:szCs w:val="24"/>
        </w:rPr>
        <w:t>z Radę Ministrów dokumentu pt. </w:t>
      </w:r>
      <w:r w:rsidRPr="00657ABE">
        <w:rPr>
          <w:rFonts w:ascii="Times New Roman" w:hAnsi="Times New Roman" w:cs="Times New Roman"/>
          <w:b/>
          <w:i/>
          <w:color w:val="00B0F0"/>
          <w:sz w:val="24"/>
          <w:szCs w:val="24"/>
        </w:rPr>
        <w:t>Polityka społeczna wobec osób starszych 2030. Bezpieczeństw</w:t>
      </w:r>
      <w:r w:rsidR="00657ABE" w:rsidRPr="00657ABE">
        <w:rPr>
          <w:rFonts w:ascii="Times New Roman" w:hAnsi="Times New Roman" w:cs="Times New Roman"/>
          <w:b/>
          <w:i/>
          <w:color w:val="00B0F0"/>
          <w:sz w:val="24"/>
          <w:szCs w:val="24"/>
        </w:rPr>
        <w:t>o – Uczestnictwo – Solidarność</w:t>
      </w:r>
    </w:p>
    <w:p w14:paraId="253E8DB2" w14:textId="77777777" w:rsidR="00B3717B" w:rsidRPr="005F0A32" w:rsidRDefault="00B3717B" w:rsidP="000D7CDE">
      <w:pPr>
        <w:pStyle w:val="Akapitzlist"/>
        <w:spacing w:after="0"/>
        <w:ind w:left="360"/>
        <w:jc w:val="both"/>
        <w:rPr>
          <w:rFonts w:ascii="Times New Roman" w:hAnsi="Times New Roman" w:cs="Times New Roman"/>
          <w:b/>
          <w:bCs/>
          <w:sz w:val="24"/>
          <w:szCs w:val="24"/>
        </w:rPr>
      </w:pPr>
    </w:p>
    <w:p w14:paraId="6BCEB96E" w14:textId="77777777" w:rsidR="00B3717B" w:rsidRPr="00534179" w:rsidRDefault="00B3717B" w:rsidP="000D7CDE">
      <w:pPr>
        <w:spacing w:after="0"/>
        <w:jc w:val="both"/>
        <w:rPr>
          <w:rFonts w:ascii="Times New Roman" w:hAnsi="Times New Roman" w:cs="Times New Roman"/>
          <w:b/>
          <w:bCs/>
          <w:sz w:val="24"/>
          <w:szCs w:val="24"/>
        </w:rPr>
      </w:pPr>
      <w:r w:rsidRPr="00534179">
        <w:rPr>
          <w:rFonts w:ascii="Times New Roman" w:hAnsi="Times New Roman" w:cs="Times New Roman"/>
          <w:b/>
          <w:bCs/>
          <w:sz w:val="24"/>
          <w:szCs w:val="24"/>
        </w:rPr>
        <w:t xml:space="preserve">Śląska Rada ds. Seniorów II kadencji. </w:t>
      </w:r>
      <w:r w:rsidRPr="00534179">
        <w:rPr>
          <w:rFonts w:ascii="Times New Roman" w:hAnsi="Times New Roman" w:cs="Times New Roman"/>
          <w:sz w:val="24"/>
          <w:szCs w:val="24"/>
        </w:rPr>
        <w:t>Została powołana Zarządzeniem Marszałka Województwa Śląskiego nr 50/19 z dn</w:t>
      </w:r>
      <w:r>
        <w:rPr>
          <w:rFonts w:ascii="Times New Roman" w:hAnsi="Times New Roman" w:cs="Times New Roman"/>
          <w:sz w:val="24"/>
          <w:szCs w:val="24"/>
        </w:rPr>
        <w:t xml:space="preserve">ia 23 kwietnia 2019 r. </w:t>
      </w:r>
      <w:r w:rsidRPr="00534179">
        <w:rPr>
          <w:rFonts w:ascii="Times New Roman" w:hAnsi="Times New Roman" w:cs="Times New Roman"/>
          <w:sz w:val="24"/>
          <w:szCs w:val="24"/>
        </w:rPr>
        <w:t xml:space="preserve"> Rada jest</w:t>
      </w:r>
      <w:r w:rsidRPr="00534179">
        <w:rPr>
          <w:rFonts w:ascii="Times New Roman" w:hAnsi="Times New Roman" w:cs="Times New Roman"/>
          <w:b/>
          <w:bCs/>
          <w:sz w:val="24"/>
          <w:szCs w:val="24"/>
        </w:rPr>
        <w:t xml:space="preserve"> </w:t>
      </w:r>
      <w:r w:rsidRPr="00534179">
        <w:rPr>
          <w:rFonts w:ascii="Times New Roman" w:hAnsi="Times New Roman" w:cs="Times New Roman"/>
          <w:sz w:val="24"/>
          <w:szCs w:val="24"/>
        </w:rPr>
        <w:t>organem opiniodawczym i doradczym składający się z 22 członków, przedstawicieli środowisk senioralnych, działających społecznie przy Marszałku Województwa Śląskiego w celu wzmocnienia i rozwoju regionalnej polityki senioralnej. Jej działania zmierzają do integrowania środowisk osób starszych, tworzenia płaszczyzny wymiany dobrych praktyk, informowania oraz wspierania środowisk seniorów oraz budowania przestrzeni społecznej przyjaznej najst</w:t>
      </w:r>
      <w:r w:rsidR="00657ABE">
        <w:rPr>
          <w:rFonts w:ascii="Times New Roman" w:hAnsi="Times New Roman" w:cs="Times New Roman"/>
          <w:sz w:val="24"/>
          <w:szCs w:val="24"/>
        </w:rPr>
        <w:t xml:space="preserve">arszym mieszkańcom. W 2019 r. </w:t>
      </w:r>
      <w:r w:rsidRPr="00534179">
        <w:rPr>
          <w:rFonts w:ascii="Times New Roman" w:hAnsi="Times New Roman" w:cs="Times New Roman"/>
          <w:sz w:val="24"/>
          <w:szCs w:val="24"/>
        </w:rPr>
        <w:t xml:space="preserve">odbyły się cztery posiedzenia Rady ds. Seniorów. </w:t>
      </w:r>
      <w:r w:rsidRPr="00534179">
        <w:rPr>
          <w:rFonts w:ascii="Times New Roman" w:hAnsi="Times New Roman" w:cs="Times New Roman"/>
          <w:color w:val="000000"/>
          <w:sz w:val="24"/>
          <w:szCs w:val="24"/>
        </w:rPr>
        <w:t xml:space="preserve">Członkowie Rady realizowali jej zadania także przez udział w spotkaniach i wydarzeniach dotyczących polityki senioralnej, pracę w gremiach zajmujących się wspieraniem osób starszych, konsultowanie propozycji przedsięwzięć kierowanych dla seniorów itp. </w:t>
      </w:r>
    </w:p>
    <w:p w14:paraId="74ACB402" w14:textId="77777777" w:rsidR="00B3717B" w:rsidRPr="005F0A32" w:rsidRDefault="00B3717B" w:rsidP="000D7CDE">
      <w:pPr>
        <w:pStyle w:val="Akapitzlist"/>
        <w:spacing w:after="0"/>
        <w:ind w:left="360"/>
        <w:jc w:val="both"/>
        <w:rPr>
          <w:rFonts w:ascii="Times New Roman" w:hAnsi="Times New Roman" w:cs="Times New Roman"/>
          <w:b/>
          <w:bCs/>
          <w:sz w:val="24"/>
          <w:szCs w:val="24"/>
        </w:rPr>
      </w:pPr>
    </w:p>
    <w:p w14:paraId="2082A518" w14:textId="77777777" w:rsidR="00B3717B" w:rsidRPr="00534179" w:rsidRDefault="00B3717B" w:rsidP="000D7CDE">
      <w:pPr>
        <w:spacing w:after="0"/>
        <w:jc w:val="both"/>
        <w:rPr>
          <w:rFonts w:ascii="Times New Roman" w:hAnsi="Times New Roman" w:cs="Times New Roman"/>
          <w:sz w:val="24"/>
          <w:szCs w:val="24"/>
        </w:rPr>
      </w:pPr>
      <w:r w:rsidRPr="00534179">
        <w:rPr>
          <w:rFonts w:ascii="Times New Roman" w:hAnsi="Times New Roman" w:cs="Times New Roman"/>
          <w:b/>
          <w:bCs/>
          <w:sz w:val="24"/>
          <w:szCs w:val="24"/>
        </w:rPr>
        <w:t xml:space="preserve">Strona internetowa seniorzy.slaskie.pl </w:t>
      </w:r>
      <w:r>
        <w:rPr>
          <w:rFonts w:ascii="Times New Roman" w:hAnsi="Times New Roman" w:cs="Times New Roman"/>
          <w:sz w:val="24"/>
          <w:szCs w:val="24"/>
        </w:rPr>
        <w:t>W 2019 r.</w:t>
      </w:r>
      <w:r w:rsidRPr="00534179">
        <w:rPr>
          <w:rFonts w:ascii="Times New Roman" w:hAnsi="Times New Roman" w:cs="Times New Roman"/>
          <w:sz w:val="24"/>
          <w:szCs w:val="24"/>
        </w:rPr>
        <w:t xml:space="preserve"> kontynuowano prowadzenie strony internetowej seniorzy.slaskie.pl zawierającej m.in.: najważniejsze i najświeższe aktualności     o </w:t>
      </w:r>
      <w:r w:rsidRPr="00534179">
        <w:rPr>
          <w:rFonts w:ascii="Times New Roman" w:hAnsi="Times New Roman" w:cs="Times New Roman"/>
          <w:sz w:val="24"/>
          <w:szCs w:val="24"/>
        </w:rPr>
        <w:lastRenderedPageBreak/>
        <w:t xml:space="preserve">wydarzeniach w regionie, poradniki dla seniorów, ofertę partnerów Śląskiej Karty Seniora, materiały składające się na pakiet Koperty Życia, informacje o Śląskiej Radzie ds. Seniorów. Ponadto w celu poszerzenia grona odbiorców prowadzono również fanpage projektu </w:t>
      </w:r>
      <w:r w:rsidRPr="00534179">
        <w:rPr>
          <w:rFonts w:ascii="Times New Roman" w:hAnsi="Times New Roman" w:cs="Times New Roman"/>
          <w:i/>
          <w:sz w:val="24"/>
          <w:szCs w:val="24"/>
        </w:rPr>
        <w:t>Śląskie dla Seniora</w:t>
      </w:r>
      <w:r w:rsidRPr="00534179">
        <w:rPr>
          <w:rFonts w:ascii="Times New Roman" w:hAnsi="Times New Roman" w:cs="Times New Roman"/>
          <w:sz w:val="24"/>
          <w:szCs w:val="24"/>
        </w:rPr>
        <w:t xml:space="preserve"> na Facebook’u.</w:t>
      </w:r>
    </w:p>
    <w:p w14:paraId="4F0440A4" w14:textId="77777777" w:rsidR="00B3717B" w:rsidRPr="005F0A32" w:rsidRDefault="00B3717B" w:rsidP="000D7CDE">
      <w:pPr>
        <w:pStyle w:val="Akapitzlist"/>
        <w:spacing w:after="0"/>
        <w:jc w:val="both"/>
        <w:rPr>
          <w:rFonts w:ascii="Times New Roman" w:hAnsi="Times New Roman" w:cs="Times New Roman"/>
          <w:sz w:val="24"/>
          <w:szCs w:val="24"/>
        </w:rPr>
      </w:pPr>
    </w:p>
    <w:p w14:paraId="7130B2E2" w14:textId="77777777" w:rsidR="00B3717B" w:rsidRPr="00534179" w:rsidRDefault="00B3717B" w:rsidP="000D7CDE">
      <w:pPr>
        <w:spacing w:after="0"/>
        <w:jc w:val="both"/>
        <w:rPr>
          <w:rFonts w:ascii="Times New Roman" w:hAnsi="Times New Roman" w:cs="Times New Roman"/>
          <w:b/>
          <w:bCs/>
          <w:sz w:val="24"/>
          <w:szCs w:val="24"/>
        </w:rPr>
      </w:pPr>
      <w:r w:rsidRPr="00534179">
        <w:rPr>
          <w:rFonts w:ascii="Times New Roman" w:hAnsi="Times New Roman" w:cs="Times New Roman"/>
          <w:b/>
          <w:bCs/>
          <w:sz w:val="24"/>
          <w:szCs w:val="24"/>
        </w:rPr>
        <w:t>„Koperta Życia”.</w:t>
      </w:r>
      <w:r w:rsidRPr="00534179">
        <w:rPr>
          <w:rFonts w:ascii="Times New Roman" w:hAnsi="Times New Roman" w:cs="Times New Roman"/>
          <w:sz w:val="24"/>
          <w:szCs w:val="24"/>
        </w:rPr>
        <w:t xml:space="preserve"> Jej celem jest ułatwienie ratownikom medycznym, pracownikom pomocy społecznej i innym służbom interwencyjnym dostępu do ważnych informacji medycznych mogących uratować życie osoby w podeszłym wieku. Koperta Życia składa się z ujednoliconej karty informacyjnej, w której podaje się informacje dotyczące jej właściciela m.in. dane osobowe, numer telefonu do bliskiej osoby, przebyte choroby, zażywane leki i uczulenia. Wypełnioną kartę wkłada się najczęściej do lodówki, na której umieszcza się naklejkę</w:t>
      </w:r>
      <w:r>
        <w:rPr>
          <w:rFonts w:ascii="Times New Roman" w:hAnsi="Times New Roman" w:cs="Times New Roman"/>
          <w:sz w:val="24"/>
          <w:szCs w:val="24"/>
        </w:rPr>
        <w:t xml:space="preserve"> </w:t>
      </w:r>
      <w:r w:rsidRPr="00534179">
        <w:rPr>
          <w:rFonts w:ascii="Times New Roman" w:hAnsi="Times New Roman" w:cs="Times New Roman"/>
          <w:sz w:val="24"/>
          <w:szCs w:val="24"/>
        </w:rPr>
        <w:t>z logotypem Koperty Życia. Umieszczenie karty w widocznym i dostępnym miejscu umożliwia służbom interwencyjnym szybsze udzielenie pomocy osobie poszkodowanej (np. w sytuacji, gdy jest ona nieprzytomna), dzięki dostępowi do podstawowych informacji o jej stanie zdrowia. Materiały składające się na Kopertę Życia opracowane zostały przez ekspertów, w tym przedstawicieli służb interwencyjnych mających duże doświadczenie w udzielaniu pomocy poszkodowanym. Na stronie internetowej seniorzy.slaskie.pl udostępniono wzór karty do uzupełnienia oraz naklejki, a ponadto ulotkę informacyjną i prezentację do wykorzystania przez osoby/podmioty zainteresowane przedsięwzięciem. Ponadto pakiety Koperty Życia były dystrybuowane wśród seniorów podczas wydarzeń organizowanych przez Samorząd Województwa Śląskiego.</w:t>
      </w:r>
    </w:p>
    <w:p w14:paraId="744B8A19" w14:textId="77777777" w:rsidR="00B3717B" w:rsidRDefault="00B3717B" w:rsidP="000D7CDE">
      <w:pPr>
        <w:spacing w:after="0"/>
        <w:jc w:val="both"/>
        <w:rPr>
          <w:rFonts w:ascii="Times New Roman" w:hAnsi="Times New Roman" w:cs="Times New Roman"/>
          <w:b/>
          <w:bCs/>
          <w:sz w:val="24"/>
          <w:szCs w:val="24"/>
        </w:rPr>
      </w:pPr>
    </w:p>
    <w:p w14:paraId="10FDE6FB" w14:textId="77777777" w:rsidR="00B3717B" w:rsidRPr="00B3717B" w:rsidRDefault="00B3717B" w:rsidP="000D7CDE">
      <w:pPr>
        <w:spacing w:after="0"/>
        <w:jc w:val="both"/>
        <w:rPr>
          <w:rFonts w:ascii="Times New Roman" w:hAnsi="Times New Roman" w:cs="Times New Roman"/>
          <w:sz w:val="24"/>
          <w:szCs w:val="24"/>
        </w:rPr>
      </w:pPr>
      <w:r w:rsidRPr="00B3717B">
        <w:rPr>
          <w:rFonts w:ascii="Times New Roman" w:hAnsi="Times New Roman" w:cs="Times New Roman"/>
          <w:b/>
          <w:bCs/>
          <w:sz w:val="24"/>
          <w:szCs w:val="24"/>
        </w:rPr>
        <w:t xml:space="preserve">Pierwsza edycja Wojewódzkich Targów i Konferencja Senioralna Silver Silesia. </w:t>
      </w:r>
      <w:r w:rsidRPr="00B3717B">
        <w:rPr>
          <w:rFonts w:ascii="Times New Roman" w:hAnsi="Times New Roman" w:cs="Times New Roman"/>
          <w:sz w:val="24"/>
          <w:szCs w:val="24"/>
        </w:rPr>
        <w:t>Wydarzenia objęto patronatem honorowym Ministra Rodziny, Pracy i Polityki Społecznej oraz Wojewody Śląskiego. W wydarzeniu udział wzięli eksperci, przedstawiciele rządu i władz samorządowych,  przedstawiciele środowisk senioralnych oraz profesjonaliści odpowiedzialni za politykę senioralną w środowiskach lokalnych. Wydarzeniu towarzyszyło szereg imprez dodatkowych takich jak warsztaty i porady dla seniorów oraz występy zespołów artystycznych. W wydarzeniu wzięło udział 70 wystawców i ok. 2 000 uczestników targów oraz konferencji Silver Silesia.</w:t>
      </w:r>
    </w:p>
    <w:p w14:paraId="7792F56F" w14:textId="77777777" w:rsidR="00B3717B" w:rsidRPr="005F0A32" w:rsidRDefault="00B3717B" w:rsidP="000D7CDE">
      <w:pPr>
        <w:pStyle w:val="Akapitzlist"/>
        <w:spacing w:after="0"/>
        <w:jc w:val="both"/>
        <w:rPr>
          <w:rFonts w:ascii="Times New Roman" w:hAnsi="Times New Roman" w:cs="Times New Roman"/>
          <w:b/>
          <w:bCs/>
          <w:sz w:val="24"/>
          <w:szCs w:val="24"/>
        </w:rPr>
      </w:pPr>
    </w:p>
    <w:p w14:paraId="5BDEA3C0" w14:textId="77777777" w:rsidR="004965A4" w:rsidRDefault="00B3717B" w:rsidP="000D7CDE">
      <w:pPr>
        <w:spacing w:after="0"/>
        <w:jc w:val="both"/>
        <w:rPr>
          <w:rFonts w:ascii="Times New Roman" w:hAnsi="Times New Roman" w:cs="Times New Roman"/>
          <w:sz w:val="24"/>
          <w:szCs w:val="24"/>
        </w:rPr>
        <w:sectPr w:rsidR="004965A4" w:rsidSect="00DB6308">
          <w:pgSz w:w="11900" w:h="16838"/>
          <w:pgMar w:top="1384" w:right="1386" w:bottom="1038" w:left="1380" w:header="0" w:footer="567" w:gutter="0"/>
          <w:cols w:space="0" w:equalWidth="0">
            <w:col w:w="9140"/>
          </w:cols>
          <w:docGrid w:linePitch="360"/>
        </w:sectPr>
      </w:pPr>
      <w:r w:rsidRPr="00B3717B">
        <w:rPr>
          <w:rFonts w:ascii="Times New Roman" w:hAnsi="Times New Roman" w:cs="Times New Roman"/>
          <w:b/>
          <w:bCs/>
          <w:sz w:val="24"/>
          <w:szCs w:val="24"/>
        </w:rPr>
        <w:t>Konkurs „Śląski Prometeusz 2019”.</w:t>
      </w:r>
      <w:r w:rsidRPr="00B3717B">
        <w:rPr>
          <w:rFonts w:ascii="Times New Roman" w:hAnsi="Times New Roman" w:cs="Times New Roman"/>
          <w:sz w:val="24"/>
          <w:szCs w:val="24"/>
        </w:rPr>
        <w:t xml:space="preserve"> Regionalny Ośrodek Polityki Społecznej Województwa Śląskiego zorganizował I edycję Wojewódzkiego Konkursu dla Pracowników Systemu Pomocy Społecznej i Reintegracji „Śląski Prometeusz”, którego celem było uhonorowanie wyróżniających się pracowników systemu pomocowego jak również promocja zawodów pomocowych. Konkurs przeprowadzony został w czterech kategoriach: pracownik socjalny, opiekun/asystent/pielęgniarka, terapeuta /specjalista integracji oraz pracownik obsługi. Do udziału w konkursie zgłoszono 33 pracowników systemu pomocy społecznej. Uroczysta gala wręczenia nagród o</w:t>
      </w:r>
      <w:r w:rsidR="000D7CDE">
        <w:rPr>
          <w:rFonts w:ascii="Times New Roman" w:hAnsi="Times New Roman" w:cs="Times New Roman"/>
          <w:sz w:val="24"/>
          <w:szCs w:val="24"/>
        </w:rPr>
        <w:t>dbyła się 29 listopada 2019 r.</w:t>
      </w:r>
      <w:r w:rsidRPr="00B3717B">
        <w:rPr>
          <w:rFonts w:ascii="Times New Roman" w:hAnsi="Times New Roman" w:cs="Times New Roman"/>
          <w:sz w:val="24"/>
          <w:szCs w:val="24"/>
        </w:rPr>
        <w:t xml:space="preserve"> w Bytomskim Centrum Kultury BeCeK.</w:t>
      </w:r>
    </w:p>
    <w:p w14:paraId="073CE37B" w14:textId="4F9B0BC9" w:rsidR="004D48DD" w:rsidRDefault="004D48DD" w:rsidP="004D48DD">
      <w:pPr>
        <w:pStyle w:val="Legenda"/>
        <w:keepNext/>
        <w:rPr>
          <w:rFonts w:ascii="Times New Roman" w:hAnsi="Times New Roman" w:cs="Times New Roman"/>
          <w:b/>
          <w:i w:val="0"/>
          <w:sz w:val="24"/>
          <w:szCs w:val="24"/>
        </w:rPr>
      </w:pPr>
      <w:bookmarkStart w:id="149" w:name="_Toc49171441"/>
      <w:r w:rsidRPr="004D48DD">
        <w:rPr>
          <w:rFonts w:ascii="Times New Roman" w:hAnsi="Times New Roman" w:cs="Times New Roman"/>
          <w:b/>
          <w:i w:val="0"/>
          <w:sz w:val="24"/>
          <w:szCs w:val="24"/>
        </w:rPr>
        <w:lastRenderedPageBreak/>
        <w:t xml:space="preserve">Tabela </w:t>
      </w:r>
      <w:r w:rsidRPr="004D48DD">
        <w:rPr>
          <w:rFonts w:ascii="Times New Roman" w:hAnsi="Times New Roman" w:cs="Times New Roman"/>
          <w:b/>
          <w:i w:val="0"/>
          <w:sz w:val="24"/>
          <w:szCs w:val="24"/>
        </w:rPr>
        <w:fldChar w:fldCharType="begin"/>
      </w:r>
      <w:r w:rsidRPr="004D48DD">
        <w:rPr>
          <w:rFonts w:ascii="Times New Roman" w:hAnsi="Times New Roman" w:cs="Times New Roman"/>
          <w:b/>
          <w:i w:val="0"/>
          <w:sz w:val="24"/>
          <w:szCs w:val="24"/>
        </w:rPr>
        <w:instrText xml:space="preserve"> SEQ Tabela \* ARABIC </w:instrText>
      </w:r>
      <w:r w:rsidRPr="004D48DD">
        <w:rPr>
          <w:rFonts w:ascii="Times New Roman" w:hAnsi="Times New Roman" w:cs="Times New Roman"/>
          <w:b/>
          <w:i w:val="0"/>
          <w:sz w:val="24"/>
          <w:szCs w:val="24"/>
        </w:rPr>
        <w:fldChar w:fldCharType="separate"/>
      </w:r>
      <w:r w:rsidR="00C154C9">
        <w:rPr>
          <w:rFonts w:ascii="Times New Roman" w:hAnsi="Times New Roman" w:cs="Times New Roman"/>
          <w:b/>
          <w:i w:val="0"/>
          <w:noProof/>
          <w:sz w:val="24"/>
          <w:szCs w:val="24"/>
        </w:rPr>
        <w:t>66</w:t>
      </w:r>
      <w:r w:rsidRPr="004D48DD">
        <w:rPr>
          <w:rFonts w:ascii="Times New Roman" w:hAnsi="Times New Roman" w:cs="Times New Roman"/>
          <w:b/>
          <w:i w:val="0"/>
          <w:sz w:val="24"/>
          <w:szCs w:val="24"/>
        </w:rPr>
        <w:fldChar w:fldCharType="end"/>
      </w:r>
      <w:r w:rsidRPr="004D48DD">
        <w:rPr>
          <w:rFonts w:ascii="Times New Roman" w:hAnsi="Times New Roman" w:cs="Times New Roman"/>
          <w:b/>
          <w:i w:val="0"/>
          <w:sz w:val="24"/>
          <w:szCs w:val="24"/>
        </w:rPr>
        <w:t xml:space="preserve"> Karta województwa śląskiego</w:t>
      </w:r>
      <w:bookmarkEnd w:id="149"/>
    </w:p>
    <w:tbl>
      <w:tblPr>
        <w:tblStyle w:val="Tabelasiatki6kolorowaakcent11"/>
        <w:tblpPr w:leftFromText="142" w:rightFromText="142" w:vertAnchor="text" w:horzAnchor="margin" w:tblpXSpec="center" w:tblpY="1"/>
        <w:tblOverlap w:val="never"/>
        <w:tblW w:w="14741" w:type="dxa"/>
        <w:tblBorders>
          <w:top w:val="single" w:sz="12" w:space="0" w:color="9CC2E5" w:themeColor="accent1" w:themeTint="99"/>
          <w:left w:val="single" w:sz="12" w:space="0" w:color="9CC2E5" w:themeColor="accent1" w:themeTint="99"/>
          <w:bottom w:val="single" w:sz="12" w:space="0" w:color="9CC2E5" w:themeColor="accent1" w:themeTint="99"/>
          <w:right w:val="single" w:sz="12" w:space="0" w:color="9CC2E5" w:themeColor="accent1" w:themeTint="99"/>
          <w:insideH w:val="single" w:sz="12" w:space="0" w:color="9CC2E5" w:themeColor="accent1" w:themeTint="99"/>
          <w:insideV w:val="single" w:sz="12" w:space="0" w:color="9CC2E5" w:themeColor="accent1" w:themeTint="99"/>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F62C5B" w:rsidRPr="00130DB6" w14:paraId="13FEA9A1" w14:textId="77777777" w:rsidTr="00E865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5EF9A49" w14:textId="77777777" w:rsidR="00F62C5B" w:rsidRPr="00010F36" w:rsidRDefault="00F62C5B" w:rsidP="00E86509">
            <w:pPr>
              <w:spacing w:after="0" w:line="240" w:lineRule="auto"/>
              <w:jc w:val="center"/>
              <w:rPr>
                <w:rFonts w:ascii="Times New Roman" w:hAnsi="Times New Roman" w:cs="Times New Roman"/>
                <w:b w:val="0"/>
                <w:bCs w:val="0"/>
                <w:color w:val="auto"/>
              </w:rPr>
            </w:pPr>
            <w:r w:rsidRPr="00010F36">
              <w:rPr>
                <w:rFonts w:ascii="Times New Roman" w:hAnsi="Times New Roman" w:cs="Times New Roman"/>
                <w:color w:val="auto"/>
              </w:rPr>
              <w:t>WOJEWÓDZTWO ŚLĄSKIE</w:t>
            </w:r>
          </w:p>
        </w:tc>
      </w:tr>
      <w:tr w:rsidR="00F62C5B" w:rsidRPr="00130DB6" w14:paraId="5182C78F" w14:textId="77777777" w:rsidTr="00E86509">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BBE476D" w14:textId="77777777" w:rsidR="00F62C5B" w:rsidRPr="00010F36" w:rsidRDefault="00F62C5B" w:rsidP="00E86509">
            <w:pPr>
              <w:spacing w:after="0" w:line="240" w:lineRule="auto"/>
              <w:rPr>
                <w:rFonts w:ascii="Times New Roman" w:hAnsi="Times New Roman" w:cs="Times New Roman"/>
                <w:bCs w:val="0"/>
                <w:color w:val="auto"/>
              </w:rPr>
            </w:pPr>
            <w:r w:rsidRPr="00010F36">
              <w:rPr>
                <w:rFonts w:ascii="Times New Roman" w:hAnsi="Times New Roman" w:cs="Times New Roman"/>
                <w:color w:val="auto"/>
              </w:rPr>
              <w:t>Informacja o regionie</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DC6F471"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gmin</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vAlign w:val="center"/>
          </w:tcPr>
          <w:p w14:paraId="149C76B5"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167</w:t>
            </w:r>
          </w:p>
        </w:tc>
      </w:tr>
      <w:tr w:rsidR="00F62C5B" w:rsidRPr="00130DB6" w14:paraId="457070D4" w14:textId="77777777" w:rsidTr="00E86509">
        <w:trPr>
          <w:trHeight w:val="11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12E8F92" w14:textId="77777777" w:rsidR="00F62C5B" w:rsidRPr="00010F36" w:rsidRDefault="00F62C5B" w:rsidP="00E86509">
            <w:pPr>
              <w:spacing w:after="0" w:line="240" w:lineRule="auto"/>
              <w:rPr>
                <w:rFonts w:ascii="Times New Roman" w:hAnsi="Times New Roman" w:cs="Times New Roman"/>
                <w:bCs w:val="0"/>
                <w:color w:val="auto"/>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246869E"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powiatów</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vAlign w:val="center"/>
          </w:tcPr>
          <w:p w14:paraId="36A7262E"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36</w:t>
            </w:r>
          </w:p>
        </w:tc>
      </w:tr>
      <w:tr w:rsidR="00F62C5B" w:rsidRPr="00130DB6" w14:paraId="156C8249" w14:textId="77777777" w:rsidTr="00E86509">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5A53EC0" w14:textId="77777777" w:rsidR="00F62C5B" w:rsidRPr="00010F36" w:rsidRDefault="00F62C5B" w:rsidP="00E86509">
            <w:pPr>
              <w:spacing w:after="0" w:line="240" w:lineRule="auto"/>
              <w:rPr>
                <w:rFonts w:ascii="Times New Roman" w:hAnsi="Times New Roman" w:cs="Times New Roman"/>
                <w:bCs w:val="0"/>
                <w:color w:val="auto"/>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F64F509"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Powierzchnia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vAlign w:val="center"/>
          </w:tcPr>
          <w:p w14:paraId="4F193754"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12</w:t>
            </w:r>
            <w:r w:rsidR="00657ABE" w:rsidRPr="00010F36">
              <w:rPr>
                <w:rFonts w:ascii="Times New Roman" w:hAnsi="Times New Roman" w:cs="Times New Roman"/>
                <w:color w:val="auto"/>
              </w:rPr>
              <w:t xml:space="preserve"> </w:t>
            </w:r>
            <w:r w:rsidRPr="00010F36">
              <w:rPr>
                <w:rFonts w:ascii="Times New Roman" w:hAnsi="Times New Roman" w:cs="Times New Roman"/>
                <w:color w:val="auto"/>
              </w:rPr>
              <w:t>333 km</w:t>
            </w:r>
            <w:r w:rsidRPr="00010F36">
              <w:rPr>
                <w:rFonts w:ascii="Times New Roman" w:hAnsi="Times New Roman" w:cs="Times New Roman"/>
                <w:color w:val="auto"/>
                <w:vertAlign w:val="superscript"/>
              </w:rPr>
              <w:t>2</w:t>
            </w:r>
          </w:p>
        </w:tc>
      </w:tr>
      <w:tr w:rsidR="00F62C5B" w:rsidRPr="00130DB6" w14:paraId="634698DD"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ECEEC27" w14:textId="77777777" w:rsidR="00F62C5B" w:rsidRPr="00010F36" w:rsidRDefault="00F62C5B" w:rsidP="00E86509">
            <w:pPr>
              <w:spacing w:after="0" w:line="240" w:lineRule="auto"/>
              <w:jc w:val="center"/>
              <w:rPr>
                <w:rFonts w:ascii="Times New Roman" w:hAnsi="Times New Roman" w:cs="Times New Roman"/>
                <w:bCs w:val="0"/>
                <w:color w:val="auto"/>
              </w:rPr>
            </w:pPr>
            <w:r w:rsidRPr="00010F36">
              <w:rPr>
                <w:rFonts w:ascii="Times New Roman" w:hAnsi="Times New Roman" w:cs="Times New Roman"/>
                <w:color w:val="auto"/>
              </w:rPr>
              <w:t>DEMOGRAFIA</w:t>
            </w:r>
          </w:p>
        </w:tc>
      </w:tr>
      <w:tr w:rsidR="00F62C5B" w:rsidRPr="00130DB6" w14:paraId="10D39AB6"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6634A80" w14:textId="77777777" w:rsidR="00F62C5B" w:rsidRPr="00010F36" w:rsidRDefault="00F62C5B" w:rsidP="00E86509">
            <w:pPr>
              <w:spacing w:after="0" w:line="240" w:lineRule="auto"/>
              <w:jc w:val="center"/>
              <w:rPr>
                <w:rFonts w:ascii="Times New Roman" w:hAnsi="Times New Roman" w:cs="Times New Roman"/>
                <w:bCs w:val="0"/>
                <w:color w:val="auto"/>
                <w:lang w:eastAsia="pl-PL"/>
              </w:rPr>
            </w:pPr>
            <w:r w:rsidRPr="00010F36">
              <w:rPr>
                <w:rFonts w:ascii="Times New Roman" w:hAnsi="Times New Roman" w:cs="Times New Roman"/>
                <w:color w:val="auto"/>
                <w:lang w:eastAsia="pl-PL"/>
              </w:rPr>
              <w:t>Treść</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A2DDFC6"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2017 r.</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CEE8F83"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2018 r.</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7047399"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2019 r.</w:t>
            </w:r>
          </w:p>
        </w:tc>
      </w:tr>
      <w:tr w:rsidR="00F62C5B" w:rsidRPr="00130DB6" w14:paraId="68B8FBA5"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0E301B3"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Populacja ogółem</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vAlign w:val="center"/>
          </w:tcPr>
          <w:p w14:paraId="3FC4F1BD"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4</w:t>
            </w:r>
            <w:r w:rsidR="00657ABE" w:rsidRPr="00010F36">
              <w:rPr>
                <w:rFonts w:ascii="Times New Roman" w:hAnsi="Times New Roman" w:cs="Times New Roman"/>
                <w:color w:val="auto"/>
              </w:rPr>
              <w:t xml:space="preserve"> </w:t>
            </w:r>
            <w:r w:rsidRPr="00010F36">
              <w:rPr>
                <w:rFonts w:ascii="Times New Roman" w:hAnsi="Times New Roman" w:cs="Times New Roman"/>
                <w:color w:val="auto"/>
              </w:rPr>
              <w:t>548</w:t>
            </w:r>
            <w:r w:rsidR="00657ABE" w:rsidRPr="00010F36">
              <w:rPr>
                <w:rFonts w:ascii="Times New Roman" w:hAnsi="Times New Roman" w:cs="Times New Roman"/>
                <w:color w:val="auto"/>
              </w:rPr>
              <w:t xml:space="preserve"> </w:t>
            </w:r>
            <w:r w:rsidRPr="00010F36">
              <w:rPr>
                <w:rFonts w:ascii="Times New Roman" w:hAnsi="Times New Roman" w:cs="Times New Roman"/>
                <w:color w:val="auto"/>
              </w:rPr>
              <w:t>180</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vAlign w:val="center"/>
          </w:tcPr>
          <w:p w14:paraId="017AC4F8"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4</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533</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565</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vAlign w:val="center"/>
          </w:tcPr>
          <w:p w14:paraId="5DE30162"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4</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517</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635</w:t>
            </w:r>
          </w:p>
        </w:tc>
      </w:tr>
      <w:tr w:rsidR="00F62C5B" w:rsidRPr="00130DB6" w14:paraId="1E00C3D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vAlign w:val="center"/>
          </w:tcPr>
          <w:p w14:paraId="1B9AD597" w14:textId="77777777" w:rsidR="00F62C5B" w:rsidRPr="00010F36" w:rsidRDefault="00F62C5B" w:rsidP="00E86509">
            <w:pPr>
              <w:spacing w:after="0" w:line="240" w:lineRule="auto"/>
              <w:rPr>
                <w:rFonts w:ascii="Times New Roman" w:hAnsi="Times New Roman" w:cs="Times New Roman"/>
                <w:bCs w:val="0"/>
                <w:color w:val="auto"/>
              </w:rPr>
            </w:pPr>
            <w:r w:rsidRPr="00010F36">
              <w:rPr>
                <w:rFonts w:ascii="Times New Roman" w:hAnsi="Times New Roman" w:cs="Times New Roman"/>
                <w:color w:val="auto"/>
                <w:lang w:eastAsia="pl-PL"/>
              </w:rPr>
              <w:t>w tym:</w:t>
            </w:r>
          </w:p>
        </w:tc>
      </w:tr>
      <w:tr w:rsidR="00F62C5B" w:rsidRPr="00130DB6" w14:paraId="5B78B449"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E66F677" w14:textId="77777777" w:rsidR="00F62C5B" w:rsidRPr="00010F36" w:rsidRDefault="00F62C5B" w:rsidP="00E86509">
            <w:pPr>
              <w:spacing w:after="0" w:line="240" w:lineRule="auto"/>
              <w:rPr>
                <w:rFonts w:ascii="Times New Roman" w:hAnsi="Times New Roman" w:cs="Times New Roman"/>
                <w:bCs w:val="0"/>
                <w:color w:val="auto"/>
              </w:rPr>
            </w:pPr>
            <w:r w:rsidRPr="00010F36">
              <w:rPr>
                <w:rFonts w:ascii="Times New Roman" w:hAnsi="Times New Roman" w:cs="Times New Roman"/>
                <w:color w:val="auto"/>
                <w:lang w:eastAsia="pl-PL"/>
              </w:rPr>
              <w:t>w wieku 60 lat i więcej</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6F09EC66"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w:t>
            </w:r>
            <w:r w:rsidR="00657ABE" w:rsidRPr="00010F36">
              <w:rPr>
                <w:rFonts w:ascii="Times New Roman" w:hAnsi="Times New Roman" w:cs="Times New Roman"/>
                <w:color w:val="auto"/>
              </w:rPr>
              <w:t xml:space="preserve"> </w:t>
            </w:r>
            <w:r w:rsidRPr="00010F36">
              <w:rPr>
                <w:rFonts w:ascii="Times New Roman" w:hAnsi="Times New Roman" w:cs="Times New Roman"/>
                <w:color w:val="auto"/>
              </w:rPr>
              <w:t>159</w:t>
            </w:r>
            <w:r w:rsidR="00657ABE" w:rsidRPr="00010F36">
              <w:rPr>
                <w:rFonts w:ascii="Times New Roman" w:hAnsi="Times New Roman" w:cs="Times New Roman"/>
                <w:color w:val="auto"/>
              </w:rPr>
              <w:t xml:space="preserve"> </w:t>
            </w:r>
            <w:r w:rsidRPr="00010F36">
              <w:rPr>
                <w:rFonts w:ascii="Times New Roman" w:hAnsi="Times New Roman" w:cs="Times New Roman"/>
                <w:color w:val="auto"/>
              </w:rPr>
              <w:t>806</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6ABEF598"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186</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553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AE0C1D4"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210</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440</w:t>
            </w:r>
          </w:p>
        </w:tc>
      </w:tr>
      <w:tr w:rsidR="00F62C5B" w:rsidRPr="00130DB6" w14:paraId="6F984D3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0A93F4B"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60–64 lata</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7EDF3DE"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343</w:t>
            </w:r>
            <w:r w:rsidR="00657ABE" w:rsidRPr="00010F36">
              <w:rPr>
                <w:rFonts w:ascii="Times New Roman" w:hAnsi="Times New Roman" w:cs="Times New Roman"/>
                <w:color w:val="auto"/>
              </w:rPr>
              <w:t xml:space="preserve"> </w:t>
            </w:r>
            <w:r w:rsidRPr="00010F36">
              <w:rPr>
                <w:rFonts w:ascii="Times New Roman" w:hAnsi="Times New Roman" w:cs="Times New Roman"/>
                <w:color w:val="auto"/>
              </w:rPr>
              <w:t>049</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EB15A66"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34</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4495</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4E5D139"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342</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729</w:t>
            </w:r>
          </w:p>
        </w:tc>
      </w:tr>
      <w:tr w:rsidR="00F62C5B" w:rsidRPr="00130DB6" w14:paraId="1B3F296B"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0D68108"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65–69</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0020F224"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290</w:t>
            </w:r>
            <w:r w:rsidR="00657ABE" w:rsidRPr="00010F36">
              <w:rPr>
                <w:rFonts w:ascii="Times New Roman" w:hAnsi="Times New Roman" w:cs="Times New Roman"/>
                <w:color w:val="auto"/>
              </w:rPr>
              <w:t xml:space="preserve"> </w:t>
            </w:r>
            <w:r w:rsidRPr="00010F36">
              <w:rPr>
                <w:rFonts w:ascii="Times New Roman" w:hAnsi="Times New Roman" w:cs="Times New Roman"/>
                <w:color w:val="auto"/>
              </w:rPr>
              <w:t>728</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0AF60794"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299</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069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1B8D6A99"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305</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283</w:t>
            </w:r>
          </w:p>
        </w:tc>
      </w:tr>
      <w:tr w:rsidR="00F62C5B" w:rsidRPr="00130DB6" w14:paraId="109F2C72"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124C127"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70–74</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5A12DE1B"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181</w:t>
            </w:r>
            <w:r w:rsidR="00657ABE" w:rsidRPr="00010F36">
              <w:rPr>
                <w:rFonts w:ascii="Times New Roman" w:hAnsi="Times New Roman" w:cs="Times New Roman"/>
                <w:color w:val="auto"/>
              </w:rPr>
              <w:t xml:space="preserve"> </w:t>
            </w:r>
            <w:r w:rsidRPr="00010F36">
              <w:rPr>
                <w:rFonts w:ascii="Times New Roman" w:hAnsi="Times New Roman" w:cs="Times New Roman"/>
                <w:color w:val="auto"/>
              </w:rPr>
              <w:t>152</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20DF8761"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194</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209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A595859"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209</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615</w:t>
            </w:r>
          </w:p>
        </w:tc>
      </w:tr>
      <w:tr w:rsidR="00F62C5B" w:rsidRPr="00130DB6" w14:paraId="3AE15B68"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578CA49"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75–79</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45F52730"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153</w:t>
            </w:r>
            <w:r w:rsidR="00657ABE" w:rsidRPr="00010F36">
              <w:rPr>
                <w:rFonts w:ascii="Times New Roman" w:hAnsi="Times New Roman" w:cs="Times New Roman"/>
                <w:color w:val="auto"/>
              </w:rPr>
              <w:t xml:space="preserve"> </w:t>
            </w:r>
            <w:r w:rsidRPr="00010F36">
              <w:rPr>
                <w:rFonts w:ascii="Times New Roman" w:hAnsi="Times New Roman" w:cs="Times New Roman"/>
                <w:color w:val="auto"/>
              </w:rPr>
              <w:t>355</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68ED4004"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151</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231</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70BDC2A6"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148</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414</w:t>
            </w:r>
          </w:p>
        </w:tc>
      </w:tr>
      <w:tr w:rsidR="00F62C5B" w:rsidRPr="00130DB6" w14:paraId="2CC9056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27C7D6B"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80–84</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2CE46D81"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106</w:t>
            </w:r>
            <w:r w:rsidR="00657ABE" w:rsidRPr="00010F36">
              <w:rPr>
                <w:rFonts w:ascii="Times New Roman" w:hAnsi="Times New Roman" w:cs="Times New Roman"/>
                <w:color w:val="auto"/>
              </w:rPr>
              <w:t xml:space="preserve"> </w:t>
            </w:r>
            <w:r w:rsidRPr="00010F36">
              <w:rPr>
                <w:rFonts w:ascii="Times New Roman" w:hAnsi="Times New Roman" w:cs="Times New Roman"/>
                <w:color w:val="auto"/>
              </w:rPr>
              <w:t>912</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5249BC9D"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109</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730</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71D5A933"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112</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927</w:t>
            </w:r>
          </w:p>
        </w:tc>
      </w:tr>
      <w:tr w:rsidR="00F62C5B" w:rsidRPr="00130DB6" w14:paraId="2E2EF9EC"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6E0642F"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85 lat i więcej</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597021E9"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84</w:t>
            </w:r>
            <w:r w:rsidR="00657ABE" w:rsidRPr="00010F36">
              <w:rPr>
                <w:rFonts w:ascii="Times New Roman" w:hAnsi="Times New Roman" w:cs="Times New Roman"/>
                <w:color w:val="auto"/>
              </w:rPr>
              <w:t xml:space="preserve"> </w:t>
            </w:r>
            <w:r w:rsidRPr="00010F36">
              <w:rPr>
                <w:rFonts w:ascii="Times New Roman" w:hAnsi="Times New Roman" w:cs="Times New Roman"/>
                <w:color w:val="auto"/>
              </w:rPr>
              <w:t>610</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DD1C262"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87</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819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31B022B"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91</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472</w:t>
            </w:r>
          </w:p>
        </w:tc>
      </w:tr>
      <w:tr w:rsidR="00F62C5B" w:rsidRPr="00130DB6" w14:paraId="45966BA8"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B36A574"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Przeciętne dalsze trwanie życia</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5A76415C"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05B647AF"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CE8AF35"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p>
        </w:tc>
      </w:tr>
      <w:tr w:rsidR="00F62C5B" w:rsidRPr="00130DB6" w14:paraId="7347FF49"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6ACD8FC" w14:textId="77777777" w:rsidR="00F62C5B" w:rsidRPr="00010F36" w:rsidRDefault="00F62C5B" w:rsidP="00E86509">
            <w:pPr>
              <w:spacing w:after="0" w:line="240" w:lineRule="auto"/>
              <w:ind w:left="284"/>
              <w:rPr>
                <w:rFonts w:ascii="Times New Roman" w:hAnsi="Times New Roman" w:cs="Times New Roman"/>
                <w:bCs w:val="0"/>
                <w:color w:val="auto"/>
                <w:lang w:eastAsia="pl-PL"/>
              </w:rPr>
            </w:pPr>
            <w:r w:rsidRPr="00010F36">
              <w:rPr>
                <w:rFonts w:ascii="Times New Roman" w:hAnsi="Times New Roman" w:cs="Times New Roman"/>
                <w:color w:val="auto"/>
                <w:lang w:eastAsia="pl-PL"/>
              </w:rPr>
              <w:t>mężczyźni</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200D03EE"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73,4</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2E5C86C5"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73,5</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2EAB0E15"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73,8</w:t>
            </w:r>
          </w:p>
        </w:tc>
      </w:tr>
      <w:tr w:rsidR="00F62C5B" w:rsidRPr="00130DB6" w14:paraId="66CCF8F0"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C19948C" w14:textId="77777777" w:rsidR="00F62C5B" w:rsidRPr="00010F36" w:rsidRDefault="00F62C5B" w:rsidP="00E86509">
            <w:pPr>
              <w:spacing w:after="0" w:line="240" w:lineRule="auto"/>
              <w:ind w:left="284"/>
              <w:rPr>
                <w:rFonts w:ascii="Times New Roman" w:hAnsi="Times New Roman" w:cs="Times New Roman"/>
                <w:bCs w:val="0"/>
                <w:color w:val="auto"/>
                <w:lang w:eastAsia="pl-PL"/>
              </w:rPr>
            </w:pPr>
            <w:r w:rsidRPr="00010F36">
              <w:rPr>
                <w:rFonts w:ascii="Times New Roman" w:hAnsi="Times New Roman" w:cs="Times New Roman"/>
                <w:color w:val="auto"/>
                <w:lang w:eastAsia="pl-PL"/>
              </w:rPr>
              <w:t>kobiety</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6C64909B"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80,8</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690C6AAA"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80,9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1C64EC61"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80,8</w:t>
            </w:r>
          </w:p>
        </w:tc>
      </w:tr>
      <w:tr w:rsidR="00F62C5B" w:rsidRPr="00130DB6" w14:paraId="6C596324"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076F5C3"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Współczynnik feminizacji</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4EBF2D3B"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107</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1736FFC9"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107</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3FF8335"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107</w:t>
            </w:r>
          </w:p>
        </w:tc>
      </w:tr>
      <w:tr w:rsidR="00F62C5B" w:rsidRPr="00130DB6" w14:paraId="0A0D0DF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C3D4295" w14:textId="77777777" w:rsidR="00F62C5B" w:rsidRPr="00010F36" w:rsidRDefault="00F62C5B" w:rsidP="00E86509">
            <w:pPr>
              <w:spacing w:after="0" w:line="240" w:lineRule="auto"/>
              <w:rPr>
                <w:rFonts w:ascii="Times New Roman" w:hAnsi="Times New Roman" w:cs="Times New Roman"/>
                <w:bCs w:val="0"/>
                <w:color w:val="auto"/>
              </w:rPr>
            </w:pPr>
            <w:r w:rsidRPr="00010F36">
              <w:rPr>
                <w:rFonts w:ascii="Times New Roman" w:hAnsi="Times New Roman" w:cs="Times New Roman"/>
                <w:color w:val="auto"/>
                <w:lang w:eastAsia="pl-PL"/>
              </w:rPr>
              <w:t>Współczynnik obciążenia demograficznego osobami starszymi</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15301431"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26,5</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708348E8"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27,7</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7790D374"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29,0</w:t>
            </w:r>
          </w:p>
        </w:tc>
      </w:tr>
      <w:tr w:rsidR="00F62C5B" w:rsidRPr="00130DB6" w14:paraId="7F7F470A"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1DE7EB3" w14:textId="77777777" w:rsidR="00F62C5B" w:rsidRPr="00010F36" w:rsidRDefault="00F62C5B" w:rsidP="00E86509">
            <w:pPr>
              <w:spacing w:after="0" w:line="240" w:lineRule="auto"/>
              <w:rPr>
                <w:rFonts w:ascii="Times New Roman" w:hAnsi="Times New Roman" w:cs="Times New Roman"/>
                <w:bCs w:val="0"/>
                <w:color w:val="auto"/>
              </w:rPr>
            </w:pPr>
            <w:r w:rsidRPr="00010F36">
              <w:rPr>
                <w:rFonts w:ascii="Times New Roman" w:hAnsi="Times New Roman" w:cs="Times New Roman"/>
                <w:color w:val="auto"/>
                <w:lang w:eastAsia="pl-PL"/>
              </w:rPr>
              <w:t>Współczynnik zgonów</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FAF600F"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11,3</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460500C8"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11,5</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48FBD09F"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11,4</w:t>
            </w:r>
          </w:p>
        </w:tc>
      </w:tr>
      <w:tr w:rsidR="00F62C5B" w:rsidRPr="00130DB6" w14:paraId="1FC4BB04"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0D53E52" w14:textId="77777777" w:rsidR="00F62C5B" w:rsidRPr="00010F36" w:rsidRDefault="00F62C5B" w:rsidP="00E86509">
            <w:pPr>
              <w:spacing w:after="0" w:line="240" w:lineRule="auto"/>
              <w:jc w:val="center"/>
              <w:rPr>
                <w:rFonts w:ascii="Times New Roman" w:hAnsi="Times New Roman" w:cs="Times New Roman"/>
                <w:b w:val="0"/>
                <w:bCs w:val="0"/>
                <w:color w:val="auto"/>
              </w:rPr>
            </w:pPr>
            <w:r w:rsidRPr="00010F36">
              <w:rPr>
                <w:rFonts w:ascii="Times New Roman" w:hAnsi="Times New Roman" w:cs="Times New Roman"/>
                <w:color w:val="auto"/>
              </w:rPr>
              <w:t>SYTUACJA RODZINNA I STRUKTURA GOSPODARSTW DOMOWYCH</w:t>
            </w:r>
          </w:p>
        </w:tc>
      </w:tr>
      <w:tr w:rsidR="00F62C5B" w:rsidRPr="00130DB6" w14:paraId="1C688FEC"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59473928" w14:textId="77777777" w:rsidR="00F62C5B" w:rsidRPr="00010F36" w:rsidRDefault="00F62C5B" w:rsidP="00E86509">
            <w:pPr>
              <w:spacing w:after="0" w:line="240" w:lineRule="auto"/>
              <w:rPr>
                <w:rFonts w:ascii="Times New Roman" w:hAnsi="Times New Roman" w:cs="Times New Roman"/>
                <w:bCs w:val="0"/>
                <w:color w:val="auto"/>
              </w:rPr>
            </w:pPr>
            <w:r w:rsidRPr="00010F36">
              <w:rPr>
                <w:rFonts w:ascii="Times New Roman" w:hAnsi="Times New Roman" w:cs="Times New Roman"/>
                <w:b w:val="0"/>
                <w:color w:val="auto"/>
              </w:rPr>
              <w:t>Brak danych. Dane dotyczące sytuacji rodzinnej i struktury gospodarstw domowych  możliwe będą do pozyskania po Narodowym Spisie Powszechnym Ludności i Mieszkań w 2021 roku.  Ostatni Narodowy Spis Powszechny Lud</w:t>
            </w:r>
            <w:r w:rsidR="008B5F8C" w:rsidRPr="00010F36">
              <w:rPr>
                <w:rFonts w:ascii="Times New Roman" w:hAnsi="Times New Roman" w:cs="Times New Roman"/>
                <w:b w:val="0"/>
                <w:color w:val="auto"/>
              </w:rPr>
              <w:t>ności i Mieszkań był w 2011 r</w:t>
            </w:r>
            <w:r w:rsidRPr="00010F36">
              <w:rPr>
                <w:rFonts w:ascii="Times New Roman" w:hAnsi="Times New Roman" w:cs="Times New Roman"/>
                <w:b w:val="0"/>
                <w:color w:val="auto"/>
              </w:rPr>
              <w:t>.</w:t>
            </w:r>
          </w:p>
        </w:tc>
      </w:tr>
      <w:tr w:rsidR="00F62C5B" w:rsidRPr="00130DB6" w14:paraId="4E85BFB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26602C9" w14:textId="77777777" w:rsidR="00F62C5B" w:rsidRPr="00010F36" w:rsidRDefault="00F62C5B" w:rsidP="00E86509">
            <w:pPr>
              <w:spacing w:after="0" w:line="240" w:lineRule="auto"/>
              <w:jc w:val="center"/>
              <w:rPr>
                <w:rFonts w:ascii="Times New Roman" w:hAnsi="Times New Roman" w:cs="Times New Roman"/>
                <w:b w:val="0"/>
                <w:bCs w:val="0"/>
                <w:color w:val="auto"/>
              </w:rPr>
            </w:pPr>
            <w:r w:rsidRPr="00010F36">
              <w:rPr>
                <w:rFonts w:ascii="Times New Roman" w:hAnsi="Times New Roman" w:cs="Times New Roman"/>
                <w:color w:val="auto"/>
              </w:rPr>
              <w:t>SYTUACJA OSÓB NIEPEŁNOSPRAWNYCH I ICH OPIEKUNÓW</w:t>
            </w:r>
          </w:p>
        </w:tc>
      </w:tr>
      <w:tr w:rsidR="00F62C5B" w:rsidRPr="00130DB6" w14:paraId="07506CAD"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7C19DD6C" w14:textId="77777777" w:rsidR="00F62C5B" w:rsidRPr="00010F36" w:rsidRDefault="00F62C5B" w:rsidP="00E86509">
            <w:pPr>
              <w:spacing w:after="0" w:line="240" w:lineRule="auto"/>
              <w:rPr>
                <w:rFonts w:ascii="Times New Roman" w:hAnsi="Times New Roman" w:cs="Times New Roman"/>
                <w:bCs w:val="0"/>
                <w:color w:val="auto"/>
              </w:rPr>
            </w:pPr>
            <w:r w:rsidRPr="00010F36">
              <w:rPr>
                <w:rFonts w:ascii="Times New Roman" w:hAnsi="Times New Roman" w:cs="Times New Roman"/>
                <w:b w:val="0"/>
                <w:color w:val="auto"/>
              </w:rPr>
              <w:t>Brak danych. Dane dotyczące sytuacji osób niepełnosprawnych i ich opiekunów  możliwe będą do pozyskania po Narodowym Spisie Powszechnym Lu</w:t>
            </w:r>
            <w:r w:rsidR="008B5F8C" w:rsidRPr="00010F36">
              <w:rPr>
                <w:rFonts w:ascii="Times New Roman" w:hAnsi="Times New Roman" w:cs="Times New Roman"/>
                <w:b w:val="0"/>
                <w:color w:val="auto"/>
              </w:rPr>
              <w:t>dności i Mieszkań w 2021 r</w:t>
            </w:r>
            <w:r w:rsidRPr="00010F36">
              <w:rPr>
                <w:rFonts w:ascii="Times New Roman" w:hAnsi="Times New Roman" w:cs="Times New Roman"/>
                <w:b w:val="0"/>
                <w:color w:val="auto"/>
              </w:rPr>
              <w:t>. Ostatni Narodowy Spis Powszechny Lud</w:t>
            </w:r>
            <w:r w:rsidR="008B5F8C" w:rsidRPr="00010F36">
              <w:rPr>
                <w:rFonts w:ascii="Times New Roman" w:hAnsi="Times New Roman" w:cs="Times New Roman"/>
                <w:b w:val="0"/>
                <w:color w:val="auto"/>
              </w:rPr>
              <w:t>ności i Mieszkań był w 2011 r</w:t>
            </w:r>
            <w:r w:rsidRPr="00010F36">
              <w:rPr>
                <w:rFonts w:ascii="Times New Roman" w:hAnsi="Times New Roman" w:cs="Times New Roman"/>
                <w:b w:val="0"/>
                <w:color w:val="auto"/>
              </w:rPr>
              <w:t>.</w:t>
            </w:r>
          </w:p>
        </w:tc>
      </w:tr>
      <w:tr w:rsidR="00F62C5B" w:rsidRPr="00130DB6" w14:paraId="67549BB7"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365E6D0" w14:textId="77777777" w:rsidR="00F62C5B" w:rsidRPr="00010F36" w:rsidRDefault="00F62C5B" w:rsidP="00E86509">
            <w:pPr>
              <w:spacing w:after="0" w:line="240" w:lineRule="auto"/>
              <w:jc w:val="center"/>
              <w:rPr>
                <w:rFonts w:ascii="Times New Roman" w:hAnsi="Times New Roman" w:cs="Times New Roman"/>
                <w:b w:val="0"/>
                <w:bCs w:val="0"/>
                <w:color w:val="auto"/>
              </w:rPr>
            </w:pPr>
            <w:r w:rsidRPr="00010F36">
              <w:rPr>
                <w:rFonts w:ascii="Times New Roman" w:hAnsi="Times New Roman" w:cs="Times New Roman"/>
                <w:color w:val="auto"/>
              </w:rPr>
              <w:t>STAN ZDROWIA OSÓB STARSZYCH / INFRASTRUKTURA SŁUŻBY ZDROWIA - DANE ZA 2019 r.</w:t>
            </w:r>
          </w:p>
        </w:tc>
      </w:tr>
      <w:tr w:rsidR="00F62C5B" w:rsidRPr="00130DB6" w14:paraId="2BCC78BF" w14:textId="77777777" w:rsidTr="00E86509">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3E6B9BC"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lastRenderedPageBreak/>
              <w:t>Dominujące schorzenia osób starszych (na podstawie: Dane o stanie zdrowia dorosłych objętych opieka czynną przez lekarza POZ – sprawozdanie roczne MZ-11 o działalności i pracujących w ambulatoryjnej opiece zdrowotnej)</w:t>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5703D9C"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Nazwa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DF85B1F"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osób starszych  - w wieku 65 lat i więcej (dane wstępne)</w:t>
            </w:r>
          </w:p>
        </w:tc>
      </w:tr>
      <w:tr w:rsidR="00F62C5B" w:rsidRPr="00130DB6" w14:paraId="0EB103C4"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extDirection w:val="btLr"/>
          </w:tcPr>
          <w:p w14:paraId="5E4111F9"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15B6E74" w14:textId="77777777" w:rsidR="00F62C5B" w:rsidRPr="00010F36" w:rsidRDefault="00F62C5B" w:rsidP="00E86509">
            <w:pPr>
              <w:pStyle w:val="Akapitzlist"/>
              <w:numPr>
                <w:ilvl w:val="0"/>
                <w:numId w:val="167"/>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choroby układu krążenia (ICD-10: I00-I99)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BA90852"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246</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136</w:t>
            </w:r>
          </w:p>
        </w:tc>
      </w:tr>
      <w:tr w:rsidR="00F62C5B" w:rsidRPr="00130DB6" w14:paraId="3974E596"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7EA2A3E"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D6358EA" w14:textId="77777777" w:rsidR="00F62C5B" w:rsidRPr="00010F36" w:rsidRDefault="00F62C5B" w:rsidP="00E86509">
            <w:pPr>
              <w:pStyle w:val="Akapitzlist"/>
              <w:numPr>
                <w:ilvl w:val="0"/>
                <w:numId w:val="16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cukrzyca (ICD-10: E10-E14)</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756D6A2"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72</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618</w:t>
            </w:r>
          </w:p>
        </w:tc>
      </w:tr>
      <w:tr w:rsidR="00F62C5B" w:rsidRPr="00130DB6" w14:paraId="36C4BA26"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4987213"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75D20C9" w14:textId="77777777" w:rsidR="00F62C5B" w:rsidRPr="00010F36" w:rsidRDefault="00F62C5B" w:rsidP="00E86509">
            <w:pPr>
              <w:pStyle w:val="Akapitzlist"/>
              <w:numPr>
                <w:ilvl w:val="0"/>
                <w:numId w:val="167"/>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choroby układu mięśniowo-kostnego i tkanki łącznej ((ICD-10: M00-M99)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ABFAFB6"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66</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745</w:t>
            </w:r>
          </w:p>
        </w:tc>
      </w:tr>
      <w:tr w:rsidR="00F62C5B" w:rsidRPr="00130DB6" w14:paraId="485BBF24"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4262643"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696A5BE" w14:textId="77777777" w:rsidR="00F62C5B" w:rsidRPr="00010F36" w:rsidRDefault="00F62C5B" w:rsidP="00E86509">
            <w:pPr>
              <w:pStyle w:val="Akapitzlist"/>
              <w:numPr>
                <w:ilvl w:val="0"/>
                <w:numId w:val="16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przewlekłe choroby układu trawiennego (ICD-10: K25-K93)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C6135DA"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34</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192</w:t>
            </w:r>
          </w:p>
        </w:tc>
      </w:tr>
      <w:tr w:rsidR="00F62C5B" w:rsidRPr="00130DB6" w14:paraId="5BC14C19"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2C0A4D8"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380A100" w14:textId="77777777" w:rsidR="00F62C5B" w:rsidRPr="00010F36" w:rsidRDefault="00F62C5B" w:rsidP="00E86509">
            <w:pPr>
              <w:pStyle w:val="Akapitzlist"/>
              <w:numPr>
                <w:ilvl w:val="0"/>
                <w:numId w:val="167"/>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choroby układu oddechowego – przewlekły nieżyt oskrzeli, dychawica oskrzelowa (ICD-10: J40-J47)</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8AD4F1F"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27</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748</w:t>
            </w:r>
          </w:p>
        </w:tc>
      </w:tr>
      <w:tr w:rsidR="00F62C5B" w:rsidRPr="00130DB6" w14:paraId="0BF63C79" w14:textId="77777777" w:rsidTr="00E86509">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191543E"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Liczba osób starszych objętych czynną opieką lekarza POZ</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5F599D59"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331916 (dane wstępne)</w:t>
            </w:r>
          </w:p>
        </w:tc>
      </w:tr>
      <w:tr w:rsidR="00F62C5B" w:rsidRPr="00130DB6" w14:paraId="747EBF64" w14:textId="77777777" w:rsidTr="00E8650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07A98F8"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Najczęstsze przyczyny hospitalizacji osób starszych</w:t>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A4B1F9B"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Przyczyna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F088262"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osób starszych (w wieku 65 lat i więcej)</w:t>
            </w:r>
          </w:p>
        </w:tc>
      </w:tr>
      <w:tr w:rsidR="00F62C5B" w:rsidRPr="00130DB6" w14:paraId="1526E707" w14:textId="77777777" w:rsidTr="00E86509">
        <w:trPr>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D815EB5"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1B1781" w14:textId="77777777" w:rsidR="00F62C5B" w:rsidRPr="00010F36" w:rsidRDefault="00F62C5B" w:rsidP="00E86509">
            <w:pPr>
              <w:pStyle w:val="Akapitzlist"/>
              <w:numPr>
                <w:ilvl w:val="0"/>
                <w:numId w:val="16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Choroby układu krążenia (ICD-10: I00-I99)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56169DB"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93</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724</w:t>
            </w:r>
          </w:p>
        </w:tc>
      </w:tr>
      <w:tr w:rsidR="00F62C5B" w:rsidRPr="00130DB6" w14:paraId="245B8D69"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079C3AC"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A5465F1" w14:textId="77777777" w:rsidR="00F62C5B" w:rsidRPr="00010F36" w:rsidRDefault="00F62C5B" w:rsidP="00E86509">
            <w:pPr>
              <w:pStyle w:val="Akapitzlist"/>
              <w:numPr>
                <w:ilvl w:val="0"/>
                <w:numId w:val="16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Choroby oka i przydatków oka ( ICD-10: H00-H59)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2D79AD5"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53</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964</w:t>
            </w:r>
          </w:p>
        </w:tc>
      </w:tr>
      <w:tr w:rsidR="00F62C5B" w:rsidRPr="00130DB6" w14:paraId="44C7F7F3" w14:textId="77777777" w:rsidTr="00E86509">
        <w:trPr>
          <w:trHeight w:val="6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74CB92E"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56907DC" w14:textId="77777777" w:rsidR="00F62C5B" w:rsidRPr="00010F36" w:rsidRDefault="00F62C5B" w:rsidP="00E86509">
            <w:pPr>
              <w:pStyle w:val="Akapitzlist"/>
              <w:numPr>
                <w:ilvl w:val="0"/>
                <w:numId w:val="16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Nowotwory ( ICD-10: C00-D48)</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95F36D9"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53</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521</w:t>
            </w:r>
          </w:p>
        </w:tc>
      </w:tr>
      <w:tr w:rsidR="00F62C5B" w:rsidRPr="00130DB6" w14:paraId="282DCAE0" w14:textId="77777777" w:rsidTr="00E86509">
        <w:trPr>
          <w:cnfStyle w:val="000000100000" w:firstRow="0" w:lastRow="0" w:firstColumn="0" w:lastColumn="0" w:oddVBand="0" w:evenVBand="0" w:oddHBand="1"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6800C4E"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964DCCF" w14:textId="77777777" w:rsidR="00F62C5B" w:rsidRPr="00010F36" w:rsidRDefault="00F62C5B" w:rsidP="00E86509">
            <w:pPr>
              <w:pStyle w:val="Akapitzlist"/>
              <w:numPr>
                <w:ilvl w:val="0"/>
                <w:numId w:val="16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Czynniki wpływające na stan zdrowia ( ICD-10: Z00-Z99)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D77CE2F"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46</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306</w:t>
            </w:r>
          </w:p>
        </w:tc>
      </w:tr>
      <w:tr w:rsidR="00F62C5B" w:rsidRPr="00130DB6" w14:paraId="19F6FF27"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FCCB921"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E72B4F" w14:textId="77777777" w:rsidR="00F62C5B" w:rsidRPr="00010F36" w:rsidRDefault="00F62C5B" w:rsidP="00E86509">
            <w:pPr>
              <w:pStyle w:val="Akapitzlist"/>
              <w:numPr>
                <w:ilvl w:val="0"/>
                <w:numId w:val="16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Choroby układu trawiennego ( ICD-10: K00-K93)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E756D83"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27</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246</w:t>
            </w:r>
          </w:p>
        </w:tc>
      </w:tr>
      <w:tr w:rsidR="00F62C5B" w:rsidRPr="00130DB6" w14:paraId="596C6D69"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3A7365D" w14:textId="77777777" w:rsidR="00F62C5B" w:rsidRPr="00010F36" w:rsidRDefault="00F62C5B" w:rsidP="00E86509">
            <w:pPr>
              <w:spacing w:after="0" w:line="240" w:lineRule="auto"/>
              <w:rPr>
                <w:rFonts w:ascii="Times New Roman" w:hAnsi="Times New Roman" w:cs="Times New Roman"/>
                <w:color w:val="auto"/>
              </w:rPr>
            </w:pPr>
            <w:r w:rsidRPr="00010F36">
              <w:rPr>
                <w:rFonts w:ascii="Times New Roman" w:hAnsi="Times New Roman" w:cs="Times New Roman"/>
                <w:color w:val="auto"/>
                <w:lang w:eastAsia="pl-PL"/>
              </w:rPr>
              <w:t>Infrastruktura służby zdrowia</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0DD544B"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010F36">
              <w:rPr>
                <w:rFonts w:ascii="Times New Roman" w:hAnsi="Times New Roman" w:cs="Times New Roman"/>
                <w:b/>
                <w:color w:val="auto"/>
              </w:rPr>
              <w:t>Rodzaj placówki</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5F7982A"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zakładów podmiotów leczniczych</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69551B4"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łóżek dla osób starszych</w:t>
            </w:r>
          </w:p>
        </w:tc>
      </w:tr>
      <w:tr w:rsidR="00F62C5B" w:rsidRPr="00130DB6" w14:paraId="5EFA06F2"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FAE3B46"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A24B602"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Oddziałów geriatrycznych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D6752CC"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14</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FE067C6"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331</w:t>
            </w:r>
          </w:p>
        </w:tc>
      </w:tr>
      <w:tr w:rsidR="00F62C5B" w:rsidRPr="00130DB6" w14:paraId="3F579AE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8E96109"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C3C580E"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Poradni geriatrycznych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20AFD5B"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17 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AA67807"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x</w:t>
            </w:r>
          </w:p>
        </w:tc>
      </w:tr>
      <w:tr w:rsidR="00F62C5B" w:rsidRPr="00130DB6" w14:paraId="4AFC60F5"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EDF7601"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DBEBA29"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Zakładów opiekuńczo-leczniczych (dla osób dorosłych)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8F8A0C5"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40</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53C725F"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2395 b</w:t>
            </w:r>
          </w:p>
        </w:tc>
      </w:tr>
      <w:tr w:rsidR="00F62C5B" w:rsidRPr="00130DB6" w14:paraId="4F2D5E87"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F20648E"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8BE755A"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Zakładów pielęgnacyjno-opiekuńczych (dla osób dorosłych)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DA8C866"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F1CCE91"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1418 b</w:t>
            </w:r>
          </w:p>
        </w:tc>
      </w:tr>
      <w:tr w:rsidR="00F62C5B" w:rsidRPr="00130DB6" w14:paraId="2E6EB02E"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A903052"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89A7403"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Hospicjów stacjonarnych (dla osób dorosłych)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8614FBC"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11</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83CC56C"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237 b</w:t>
            </w:r>
          </w:p>
        </w:tc>
      </w:tr>
      <w:tr w:rsidR="00F62C5B" w:rsidRPr="00130DB6" w14:paraId="0CA7A5F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769966C"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8BC9289"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Hospicjów domowych (dla osób dorosłych)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54E81C9"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51 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FD5EB10"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x</w:t>
            </w:r>
          </w:p>
        </w:tc>
      </w:tr>
      <w:tr w:rsidR="00F62C5B" w:rsidRPr="00130DB6" w14:paraId="20B41672"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697F1AB"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E1EF247"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Oddziałów opieki paliatywnej dla dorosłych - (stacjonarne i dzienne)</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44180BB"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11</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FF47833"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215 b</w:t>
            </w:r>
          </w:p>
        </w:tc>
      </w:tr>
      <w:tr w:rsidR="00F62C5B" w:rsidRPr="00130DB6" w14:paraId="6C25EC91"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7CDC5B1" w14:textId="77777777" w:rsidR="00F62C5B" w:rsidRPr="00010F36" w:rsidRDefault="00F62C5B" w:rsidP="00E86509">
            <w:pPr>
              <w:spacing w:after="0" w:line="240" w:lineRule="auto"/>
              <w:rPr>
                <w:rFonts w:ascii="Times New Roman" w:hAnsi="Times New Roman" w:cs="Times New Roman"/>
                <w:b w:val="0"/>
                <w:bCs w:val="0"/>
                <w:color w:val="auto"/>
              </w:rPr>
            </w:pPr>
            <w:r w:rsidRPr="00010F36">
              <w:rPr>
                <w:rFonts w:ascii="Times New Roman" w:hAnsi="Times New Roman" w:cs="Times New Roman"/>
                <w:b w:val="0"/>
                <w:color w:val="auto"/>
                <w:lang w:eastAsia="pl-PL"/>
              </w:rPr>
              <w:t>a dotyczy podmiotów finansowanych ze środków publicznych</w:t>
            </w:r>
          </w:p>
        </w:tc>
      </w:tr>
      <w:tr w:rsidR="00F62C5B" w:rsidRPr="00130DB6" w14:paraId="19BB3AE3"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05F16BA5" w14:textId="77777777" w:rsidR="00F62C5B" w:rsidRPr="00010F36" w:rsidRDefault="00F62C5B" w:rsidP="00E86509">
            <w:pPr>
              <w:spacing w:after="0" w:line="240" w:lineRule="auto"/>
              <w:rPr>
                <w:rFonts w:ascii="Times New Roman" w:hAnsi="Times New Roman" w:cs="Times New Roman"/>
                <w:b w:val="0"/>
                <w:bCs w:val="0"/>
                <w:color w:val="auto"/>
              </w:rPr>
            </w:pPr>
            <w:r w:rsidRPr="00010F36">
              <w:rPr>
                <w:rFonts w:ascii="Times New Roman" w:hAnsi="Times New Roman" w:cs="Times New Roman"/>
                <w:b w:val="0"/>
                <w:color w:val="auto"/>
                <w:lang w:eastAsia="pl-PL"/>
              </w:rPr>
              <w:t>b dotyczy łóżek dla pacjentów bez względu na wiek – brak wyodrębnienia łóżek dla osób starszych w danych źródłowych</w:t>
            </w:r>
          </w:p>
        </w:tc>
      </w:tr>
      <w:tr w:rsidR="00F62C5B" w:rsidRPr="00130DB6" w14:paraId="39D7E2B6"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ECED4CE" w14:textId="77777777" w:rsidR="00F62C5B" w:rsidRPr="00010F36" w:rsidRDefault="00F62C5B" w:rsidP="00E86509">
            <w:pPr>
              <w:tabs>
                <w:tab w:val="left" w:pos="1206"/>
              </w:tabs>
              <w:spacing w:after="0" w:line="240" w:lineRule="auto"/>
              <w:rPr>
                <w:rFonts w:ascii="Times New Roman" w:hAnsi="Times New Roman" w:cs="Times New Roman"/>
                <w:b w:val="0"/>
                <w:bCs w:val="0"/>
                <w:color w:val="auto"/>
              </w:rPr>
            </w:pPr>
            <w:r w:rsidRPr="00010F36">
              <w:rPr>
                <w:rFonts w:ascii="Times New Roman" w:hAnsi="Times New Roman" w:cs="Times New Roman"/>
                <w:b w:val="0"/>
                <w:color w:val="auto"/>
              </w:rPr>
              <w:t>Kadry medyczne</w:t>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FC6C179" w14:textId="77777777" w:rsidR="00F62C5B" w:rsidRPr="00010F36" w:rsidRDefault="00F62C5B" w:rsidP="00E86509">
            <w:pPr>
              <w:tabs>
                <w:tab w:val="left" w:pos="120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Lekarze</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6F9023F"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lekarzy</w:t>
            </w:r>
          </w:p>
        </w:tc>
      </w:tr>
      <w:tr w:rsidR="00F62C5B" w:rsidRPr="00130DB6" w14:paraId="66990F06"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A211FF5"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3D3CA8D" w14:textId="77777777" w:rsidR="00F62C5B" w:rsidRPr="00010F36" w:rsidRDefault="00F62C5B" w:rsidP="00E86509">
            <w:pPr>
              <w:tabs>
                <w:tab w:val="left" w:pos="120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Geriatrzy (pracujący w podmiotach wykonujących działalność leczniczą – w osobach)</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F0E672C"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43 c</w:t>
            </w:r>
          </w:p>
        </w:tc>
      </w:tr>
      <w:tr w:rsidR="00F62C5B" w:rsidRPr="00130DB6" w14:paraId="0C197565"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8E245C1"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B9AB828"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w trakcie specjalizacji z geriatrii</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997B577"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31</w:t>
            </w:r>
          </w:p>
        </w:tc>
      </w:tr>
      <w:tr w:rsidR="00F62C5B" w:rsidRPr="00130DB6" w14:paraId="4F0BC697"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7B94B07"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A80333F"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 xml:space="preserve">Pielęgniarki ze specjalizacją lub ukończonym kursem kwalifikacyjnym (pracujący w </w:t>
            </w:r>
            <w:r w:rsidRPr="00010F36">
              <w:rPr>
                <w:rFonts w:ascii="Times New Roman" w:hAnsi="Times New Roman" w:cs="Times New Roman"/>
                <w:color w:val="auto"/>
              </w:rPr>
              <w:t xml:space="preserve"> podmiotach wykonujących działalność leczniczą – w osobach)</w:t>
            </w:r>
            <w:r w:rsidRPr="00010F36">
              <w:rPr>
                <w:rFonts w:ascii="Times New Roman" w:hAnsi="Times New Roman" w:cs="Times New Roman"/>
                <w:b/>
                <w:color w:val="auto"/>
              </w:rPr>
              <w:br/>
              <w:t>w zakresie:</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33ABA5A"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pielęgniarek</w:t>
            </w:r>
          </w:p>
        </w:tc>
      </w:tr>
      <w:tr w:rsidR="00F62C5B" w:rsidRPr="00130DB6" w14:paraId="669F2B6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1CE7C07"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978E4F8"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Geriatrii</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DF4E26C"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225 c</w:t>
            </w:r>
          </w:p>
        </w:tc>
      </w:tr>
      <w:tr w:rsidR="00F62C5B" w:rsidRPr="00130DB6" w14:paraId="0992AF95"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350735F"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066C766"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Opieki długoterminowej</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1FC5D43"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989 c</w:t>
            </w:r>
          </w:p>
        </w:tc>
      </w:tr>
      <w:tr w:rsidR="00F62C5B" w:rsidRPr="00130DB6" w14:paraId="559C1F0F"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B668B3E"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7F8B87F"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Opieki paliatywnej</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CA93FC"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407 c</w:t>
            </w:r>
          </w:p>
        </w:tc>
      </w:tr>
      <w:tr w:rsidR="00F62C5B" w:rsidRPr="00130DB6" w14:paraId="4B5C368D" w14:textId="77777777" w:rsidTr="00E86509">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61606DAB" w14:textId="77777777" w:rsidR="00F62C5B" w:rsidRPr="00010F36" w:rsidRDefault="00F62C5B" w:rsidP="00E86509">
            <w:pPr>
              <w:spacing w:after="0" w:line="240" w:lineRule="auto"/>
              <w:rPr>
                <w:rFonts w:ascii="Times New Roman" w:hAnsi="Times New Roman" w:cs="Times New Roman"/>
                <w:b w:val="0"/>
                <w:bCs w:val="0"/>
                <w:color w:val="auto"/>
              </w:rPr>
            </w:pPr>
            <w:r w:rsidRPr="00010F36">
              <w:rPr>
                <w:rFonts w:ascii="Times New Roman" w:hAnsi="Times New Roman" w:cs="Times New Roman"/>
                <w:b w:val="0"/>
                <w:color w:val="auto"/>
                <w:lang w:eastAsia="pl-PL"/>
              </w:rPr>
              <w:t>c dane wstępne – opracowano na podstawie sprawozdania MZ-89 o specjalistach pracujących w podmiotach wykonujących działalność leczniczą</w:t>
            </w:r>
          </w:p>
        </w:tc>
      </w:tr>
      <w:tr w:rsidR="00F62C5B" w:rsidRPr="00130DB6" w14:paraId="68505FCE"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BA59B9C" w14:textId="77777777" w:rsidR="00F62C5B" w:rsidRPr="00010F36" w:rsidRDefault="00F62C5B" w:rsidP="00E86509">
            <w:pPr>
              <w:spacing w:after="0" w:line="240" w:lineRule="auto"/>
              <w:rPr>
                <w:rFonts w:ascii="Times New Roman" w:hAnsi="Times New Roman" w:cs="Times New Roman"/>
                <w:b w:val="0"/>
                <w:bCs w:val="0"/>
                <w:color w:val="auto"/>
                <w:lang w:eastAsia="pl-PL"/>
              </w:rPr>
            </w:pPr>
            <w:r w:rsidRPr="00010F36">
              <w:rPr>
                <w:rFonts w:ascii="Times New Roman" w:hAnsi="Times New Roman" w:cs="Times New Roman"/>
                <w:b w:val="0"/>
                <w:color w:val="auto"/>
                <w:lang w:eastAsia="pl-PL"/>
              </w:rPr>
              <w:t>Najczęstsze przyczyny zgonów osób starszych (ostatnie dostępne i publikowane dane o zgonach według przyczyn dotyczą roku 2018)</w:t>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B4F8817"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Nazwa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5249AB9"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osób starszych (w wieku 60 lat i więcej)</w:t>
            </w:r>
          </w:p>
        </w:tc>
      </w:tr>
      <w:tr w:rsidR="00F62C5B" w:rsidRPr="00130DB6" w14:paraId="18D6A31B"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E784F4E"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8874BA4" w14:textId="77777777" w:rsidR="00F62C5B" w:rsidRPr="00010F36" w:rsidRDefault="00F62C5B" w:rsidP="00E86509">
            <w:pPr>
              <w:pStyle w:val="Akapitzlist"/>
              <w:numPr>
                <w:ilvl w:val="0"/>
                <w:numId w:val="169"/>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choroby układu krążenia (ICD-10: I00- I99)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96D8010"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20</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798</w:t>
            </w:r>
          </w:p>
        </w:tc>
      </w:tr>
      <w:tr w:rsidR="00F62C5B" w:rsidRPr="00130DB6" w14:paraId="61C26F73"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D3C0C9C"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3BCB9A8" w14:textId="77777777" w:rsidR="00F62C5B" w:rsidRPr="00010F36" w:rsidRDefault="00F62C5B" w:rsidP="00E86509">
            <w:pPr>
              <w:pStyle w:val="Akapitzlist"/>
              <w:numPr>
                <w:ilvl w:val="0"/>
                <w:numId w:val="16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nowotwory ICD-10: C00-D48)</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A2B149B"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12</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246</w:t>
            </w:r>
          </w:p>
        </w:tc>
      </w:tr>
      <w:tr w:rsidR="00F62C5B" w:rsidRPr="00130DB6" w14:paraId="5D3993A0"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B3A7367"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C6A3473" w14:textId="77777777" w:rsidR="00F62C5B" w:rsidRPr="00010F36" w:rsidRDefault="00F62C5B" w:rsidP="00E86509">
            <w:pPr>
              <w:pStyle w:val="Akapitzlist"/>
              <w:numPr>
                <w:ilvl w:val="0"/>
                <w:numId w:val="169"/>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objawy, cechy chorobowe oraz nieprawidłowe wyniki badań  laboratoryjnych i klinicznych (ICD-10:  R00-R99)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16AE755"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348</w:t>
            </w:r>
          </w:p>
        </w:tc>
      </w:tr>
      <w:tr w:rsidR="00F62C5B" w:rsidRPr="00130DB6" w14:paraId="62A14F1B" w14:textId="77777777" w:rsidTr="00E865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4E1429C"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0C51A36" w14:textId="77777777" w:rsidR="00F62C5B" w:rsidRPr="00010F36" w:rsidRDefault="00F62C5B" w:rsidP="00E86509">
            <w:pPr>
              <w:pStyle w:val="Akapitzlist"/>
              <w:numPr>
                <w:ilvl w:val="0"/>
                <w:numId w:val="16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choroby układu oddechowego  (ICD-10:  J00-J99)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48B64A8"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189</w:t>
            </w:r>
          </w:p>
        </w:tc>
      </w:tr>
      <w:tr w:rsidR="00F62C5B" w:rsidRPr="00130DB6" w14:paraId="345B22E6" w14:textId="77777777" w:rsidTr="00E86509">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164A2FC" w14:textId="77777777" w:rsidR="00F62C5B" w:rsidRPr="00010F36" w:rsidRDefault="00F62C5B" w:rsidP="00E86509">
            <w:pPr>
              <w:spacing w:after="0" w:line="240" w:lineRule="auto"/>
              <w:rPr>
                <w:rFonts w:ascii="Times New Roman" w:hAnsi="Times New Roman" w:cs="Times New Roman"/>
                <w:b w:val="0"/>
                <w:bCs w:val="0"/>
                <w:color w:val="auto"/>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CCD9821"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b/>
                <w:color w:val="auto"/>
              </w:rPr>
              <w:t>5.</w:t>
            </w:r>
            <w:r w:rsidRPr="00010F36">
              <w:rPr>
                <w:rFonts w:ascii="Times New Roman" w:hAnsi="Times New Roman" w:cs="Times New Roman"/>
                <w:color w:val="auto"/>
              </w:rPr>
              <w:t xml:space="preserve">  choroby układu trawiennego (ICD-10: K00-K93)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6520A20"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830</w:t>
            </w:r>
          </w:p>
        </w:tc>
      </w:tr>
      <w:tr w:rsidR="00F62C5B" w:rsidRPr="00130DB6" w14:paraId="5D66B5F9" w14:textId="77777777" w:rsidTr="00E8650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756B104" w14:textId="77777777" w:rsidR="00F62C5B" w:rsidRPr="00010F36" w:rsidRDefault="00F62C5B" w:rsidP="00E86509">
            <w:pPr>
              <w:spacing w:after="0" w:line="240" w:lineRule="auto"/>
              <w:rPr>
                <w:rFonts w:ascii="Times New Roman" w:hAnsi="Times New Roman" w:cs="Times New Roman"/>
                <w:b w:val="0"/>
                <w:bCs w:val="0"/>
                <w:color w:val="auto"/>
                <w:lang w:eastAsia="pl-PL"/>
              </w:rPr>
            </w:pPr>
            <w:r w:rsidRPr="00010F36">
              <w:rPr>
                <w:rFonts w:ascii="Times New Roman" w:hAnsi="Times New Roman" w:cs="Times New Roman"/>
                <w:b w:val="0"/>
                <w:color w:val="auto"/>
                <w:lang w:eastAsia="pl-PL"/>
              </w:rPr>
              <w:t>Największe problemy/niedogodności w świadczeniu opieki nad osobami starszymi (np. zasoby kadrowe, rzeczowe, finansowe itp.)</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3D1A9AA" w14:textId="77777777" w:rsidR="00F62C5B" w:rsidRPr="00010F36" w:rsidRDefault="00F62C5B" w:rsidP="00E86509">
            <w:pPr>
              <w:tabs>
                <w:tab w:val="left" w:pos="1290"/>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b/>
                <w:color w:val="auto"/>
              </w:rPr>
              <w:t>1.</w:t>
            </w:r>
            <w:r w:rsidRPr="00010F36">
              <w:rPr>
                <w:rFonts w:ascii="Times New Roman" w:hAnsi="Times New Roman" w:cs="Times New Roman"/>
                <w:color w:val="auto"/>
              </w:rPr>
              <w:t>Liczba specjalistów w dziedzinie geriatrii jest niewystarczająca do potrzeb. Maleje zainteresowanie geriatrią wśród lekarzy. W województwie śląskim jest obecnie 180 specjalistów wobec liczby 76 obecnie czynnych zawodowo geriatrów (liczba specjalistów według danych samorządu zawodowego).  Docelowa rekomendowana liczba specjalistów z geriatrii to 0,39 lekarza specjalisty na 10 000 mieszkańców.</w:t>
            </w:r>
          </w:p>
        </w:tc>
      </w:tr>
      <w:tr w:rsidR="00F62C5B" w:rsidRPr="00130DB6" w14:paraId="4812677E" w14:textId="77777777" w:rsidTr="00E86509">
        <w:trPr>
          <w:trHeight w:val="326"/>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85FFBC8"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54AF7D5"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b/>
                <w:color w:val="auto"/>
              </w:rPr>
              <w:t>2.</w:t>
            </w:r>
            <w:r w:rsidRPr="00010F36">
              <w:rPr>
                <w:rFonts w:ascii="Times New Roman" w:hAnsi="Times New Roman" w:cs="Times New Roman"/>
                <w:color w:val="auto"/>
              </w:rPr>
              <w:t>Widoczny jest bardzo duży i narastający niedobór personelu pielęgniarskiego. Rośnie zapotrzebowanie na opiekunów medycznych i terapeutów zajęciowych, koniecznych dla zabezpieczenia właściwej opieki nad osobami starszymi.</w:t>
            </w:r>
          </w:p>
        </w:tc>
      </w:tr>
      <w:tr w:rsidR="00F62C5B" w:rsidRPr="00130DB6" w14:paraId="407E19C8" w14:textId="77777777" w:rsidTr="00E8650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51920B2"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00810ED"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b/>
                <w:color w:val="auto"/>
              </w:rPr>
              <w:t>3.</w:t>
            </w:r>
            <w:r w:rsidRPr="00010F36">
              <w:rPr>
                <w:rFonts w:ascii="Times New Roman" w:hAnsi="Times New Roman" w:cs="Times New Roman"/>
                <w:color w:val="auto"/>
              </w:rPr>
              <w:t>Niewsytarczający jest dostęp do pracowni badań densytometrycznych dla osób starszych w miejscowościach na obrzeżach województwa śląskiego.</w:t>
            </w:r>
          </w:p>
        </w:tc>
      </w:tr>
      <w:tr w:rsidR="00F62C5B" w:rsidRPr="00130DB6" w14:paraId="52275ABE" w14:textId="77777777" w:rsidTr="00E86509">
        <w:trPr>
          <w:trHeight w:val="25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0AFE4A6"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6E389B9"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b/>
                <w:color w:val="auto"/>
              </w:rPr>
              <w:t>4.</w:t>
            </w:r>
            <w:r w:rsidRPr="00010F36">
              <w:rPr>
                <w:rFonts w:ascii="Times New Roman" w:hAnsi="Times New Roman" w:cs="Times New Roman"/>
                <w:color w:val="auto"/>
              </w:rPr>
              <w:t xml:space="preserve"> Utrudniony dostęp dla pacjentów do uzyskania świadczeń z zakresu ambulatoryjnej opieki specjalistycznej w zakresie geriatrii.</w:t>
            </w:r>
          </w:p>
        </w:tc>
      </w:tr>
      <w:tr w:rsidR="00F62C5B" w:rsidRPr="00130DB6" w14:paraId="465A9B22" w14:textId="77777777" w:rsidTr="00E86509">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AD11160"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1946E5C"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b/>
                <w:color w:val="auto"/>
              </w:rPr>
              <w:t>5.</w:t>
            </w:r>
            <w:r w:rsidRPr="00010F36">
              <w:rPr>
                <w:rFonts w:ascii="Times New Roman" w:hAnsi="Times New Roman" w:cs="Times New Roman"/>
                <w:color w:val="auto"/>
              </w:rPr>
              <w:t xml:space="preserve"> System kontraktowania oparty o ryczałt jest nieadekwatny do potrzeb grupy chorych w zaawansowanej starości i niewystarczająco zabezpiecza opiekę i leczenie chorób z wielochorobowością i z zespołami słabości.</w:t>
            </w:r>
          </w:p>
        </w:tc>
      </w:tr>
      <w:tr w:rsidR="00F62C5B" w:rsidRPr="00130DB6" w14:paraId="62FAB0BE" w14:textId="77777777" w:rsidTr="00E86509">
        <w:trPr>
          <w:trHeight w:val="250"/>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1CFE4DC8" w14:textId="77777777" w:rsidR="00F62C5B" w:rsidRPr="00010F36" w:rsidRDefault="00F62C5B" w:rsidP="00E86509">
            <w:pPr>
              <w:spacing w:after="0" w:line="240" w:lineRule="auto"/>
              <w:rPr>
                <w:rFonts w:ascii="Times New Roman" w:hAnsi="Times New Roman" w:cs="Times New Roman"/>
                <w:b w:val="0"/>
                <w:bCs w:val="0"/>
                <w:color w:val="auto"/>
              </w:rPr>
            </w:pPr>
            <w:r w:rsidRPr="00010F36">
              <w:rPr>
                <w:rFonts w:ascii="Times New Roman" w:hAnsi="Times New Roman" w:cs="Times New Roman"/>
                <w:color w:val="auto"/>
              </w:rPr>
              <w:lastRenderedPageBreak/>
              <w:t>Źródło: Opracowano na podstawie Raportu Rocznego Konsultanta Wojewódzkiego w dziedzinie geriatrii – dr. Jarosława Derejczyka, Wydział Zdrowia ŚUW w Katowicach</w:t>
            </w:r>
          </w:p>
        </w:tc>
      </w:tr>
      <w:tr w:rsidR="00F62C5B" w:rsidRPr="00130DB6" w14:paraId="3B8A6B9F"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65B66FA" w14:textId="77777777" w:rsidR="00F62C5B" w:rsidRPr="00010F36" w:rsidRDefault="00F62C5B" w:rsidP="00E86509">
            <w:pPr>
              <w:spacing w:after="0" w:line="240" w:lineRule="auto"/>
              <w:jc w:val="center"/>
              <w:rPr>
                <w:rFonts w:ascii="Times New Roman" w:hAnsi="Times New Roman" w:cs="Times New Roman"/>
                <w:b w:val="0"/>
                <w:bCs w:val="0"/>
                <w:color w:val="auto"/>
              </w:rPr>
            </w:pPr>
            <w:r w:rsidRPr="00010F36">
              <w:rPr>
                <w:rFonts w:ascii="Times New Roman" w:hAnsi="Times New Roman" w:cs="Times New Roman"/>
                <w:color w:val="auto"/>
                <w:lang w:eastAsia="pl-PL"/>
              </w:rPr>
              <w:t>AKTYWNOŚĆ EKONOMICZNA OSÓB STARSZYCH – DANE ZA 2019 R.</w:t>
            </w:r>
          </w:p>
        </w:tc>
      </w:tr>
      <w:tr w:rsidR="00F62C5B" w:rsidRPr="00130DB6" w14:paraId="45B24FFB"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6799"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84F94B1" w14:textId="77777777" w:rsidR="00F62C5B" w:rsidRPr="00010F36" w:rsidRDefault="00F62C5B" w:rsidP="00E86509">
            <w:pPr>
              <w:spacing w:after="0" w:line="240" w:lineRule="auto"/>
              <w:jc w:val="center"/>
              <w:rPr>
                <w:rFonts w:ascii="Times New Roman" w:hAnsi="Times New Roman" w:cs="Times New Roman"/>
                <w:b w:val="0"/>
                <w:bCs w:val="0"/>
                <w:color w:val="auto"/>
              </w:rPr>
            </w:pPr>
            <w:r w:rsidRPr="00010F36">
              <w:rPr>
                <w:rFonts w:ascii="Times New Roman" w:hAnsi="Times New Roman" w:cs="Times New Roman"/>
                <w:color w:val="auto"/>
              </w:rPr>
              <w:t>Podział</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00833A7"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w:t>
            </w:r>
          </w:p>
        </w:tc>
      </w:tr>
      <w:tr w:rsidR="00F62C5B" w:rsidRPr="00130DB6" w14:paraId="0E97F3F8"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4B32081"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Osoby aktywne zawodowo razem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6F2EA47"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70127178"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911</w:t>
            </w:r>
          </w:p>
        </w:tc>
      </w:tr>
      <w:tr w:rsidR="00F62C5B" w:rsidRPr="00130DB6" w14:paraId="262000DE"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6772FCE"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571F350"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0F90191C"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112</w:t>
            </w:r>
          </w:p>
        </w:tc>
      </w:tr>
      <w:tr w:rsidR="00F62C5B" w:rsidRPr="00130DB6" w14:paraId="7C2E8DD8"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4CE193E"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 xml:space="preserve">Osoby aktywne zawodowo </w:t>
            </w:r>
            <w:r w:rsidRPr="00010F36">
              <w:rPr>
                <w:rFonts w:ascii="Times New Roman" w:hAnsi="Times New Roman" w:cs="Times New Roman"/>
                <w:color w:val="auto"/>
                <w:lang w:eastAsia="pl-PL"/>
              </w:rPr>
              <w:br/>
              <w:t>– pracujący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1AB3C22"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012ED1AD"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865</w:t>
            </w:r>
          </w:p>
        </w:tc>
      </w:tr>
      <w:tr w:rsidR="00F62C5B" w:rsidRPr="00130DB6" w14:paraId="4C1A1518"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10499EC"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891BAE4"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19BB9399"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111</w:t>
            </w:r>
          </w:p>
        </w:tc>
      </w:tr>
      <w:tr w:rsidR="00F62C5B" w:rsidRPr="00130DB6" w14:paraId="2D854E27" w14:textId="77777777" w:rsidTr="00E86509">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FA8229F"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Osoby bierne zawodowo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044ECA1"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F369F2D"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707</w:t>
            </w:r>
          </w:p>
        </w:tc>
      </w:tr>
      <w:tr w:rsidR="00F62C5B" w:rsidRPr="00130DB6" w14:paraId="6E948E8C" w14:textId="77777777" w:rsidTr="00E86509">
        <w:trPr>
          <w:trHeight w:val="22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E13E89C"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CCF9C97"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13B70056"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050</w:t>
            </w:r>
          </w:p>
        </w:tc>
      </w:tr>
      <w:tr w:rsidR="00F62C5B" w:rsidRPr="00130DB6" w14:paraId="3F121996" w14:textId="77777777" w:rsidTr="00E8650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42D909C"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Współczynnik aktywności zawodowej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311A555"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0700A6F8"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52,8</w:t>
            </w:r>
          </w:p>
        </w:tc>
      </w:tr>
      <w:tr w:rsidR="00F62C5B" w:rsidRPr="00130DB6" w14:paraId="2227B656"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46C70C0"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F2E46BF"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6D5CF4C9"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9,6</w:t>
            </w:r>
          </w:p>
        </w:tc>
      </w:tr>
      <w:tr w:rsidR="00F62C5B" w:rsidRPr="00130DB6" w14:paraId="6D323BF7" w14:textId="77777777" w:rsidTr="00E8650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88AC9B2"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Wskaźnik zatrudnienia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F68A44E"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5C741ABA"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51,5</w:t>
            </w:r>
          </w:p>
        </w:tc>
      </w:tr>
      <w:tr w:rsidR="00F62C5B" w:rsidRPr="00130DB6" w14:paraId="168154DD"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B33703C" w14:textId="77777777" w:rsidR="00F62C5B" w:rsidRPr="00010F36" w:rsidRDefault="00F62C5B" w:rsidP="00E86509">
            <w:pPr>
              <w:spacing w:after="0" w:line="240" w:lineRule="auto"/>
              <w:rPr>
                <w:rFonts w:ascii="Times New Roman" w:hAnsi="Times New Roman" w:cs="Times New Roman"/>
                <w:bCs w:val="0"/>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F65913A"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6813955"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9,6</w:t>
            </w:r>
          </w:p>
        </w:tc>
      </w:tr>
      <w:tr w:rsidR="00F62C5B" w:rsidRPr="00130DB6" w14:paraId="4103AACE" w14:textId="77777777" w:rsidTr="00E86509">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AA153BC" w14:textId="77777777" w:rsidR="00F62C5B" w:rsidRPr="00010F36" w:rsidRDefault="00F62C5B" w:rsidP="00E86509">
            <w:pPr>
              <w:spacing w:after="0" w:line="240" w:lineRule="auto"/>
              <w:rPr>
                <w:rFonts w:ascii="Times New Roman" w:hAnsi="Times New Roman" w:cs="Times New Roman"/>
                <w:bCs w:val="0"/>
                <w:color w:val="auto"/>
                <w:lang w:eastAsia="pl-PL"/>
              </w:rPr>
            </w:pPr>
            <w:r w:rsidRPr="00010F36">
              <w:rPr>
                <w:rFonts w:ascii="Times New Roman" w:eastAsia="Times New Roman" w:hAnsi="Times New Roman" w:cs="Times New Roman"/>
                <w:color w:val="auto"/>
                <w:lang w:eastAsia="pl-PL"/>
              </w:rPr>
              <w:t xml:space="preserve">Osoby bierne zawodowo  w wieku 60 lat i więcej według wybranych przyczyn bierności </w:t>
            </w:r>
            <w:r w:rsidRPr="00010F36">
              <w:rPr>
                <w:rFonts w:ascii="Times New Roman" w:eastAsia="Times New Roman" w:hAnsi="Times New Roman" w:cs="Times New Roman"/>
                <w:color w:val="auto"/>
                <w:lang w:eastAsia="pl-PL"/>
              </w:rPr>
              <w:br/>
              <w:t>(w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A164F02"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64E1AF01"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050</w:t>
            </w:r>
          </w:p>
        </w:tc>
      </w:tr>
      <w:tr w:rsidR="00F62C5B" w:rsidRPr="00130DB6" w14:paraId="39026B7D"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4BC7AD3"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vAlign w:val="center"/>
          </w:tcPr>
          <w:p w14:paraId="0DC0D044"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w tym:</w:t>
            </w:r>
          </w:p>
        </w:tc>
      </w:tr>
      <w:tr w:rsidR="00F62C5B" w:rsidRPr="00130DB6" w14:paraId="13F21374"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CE26963"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4F1BFAE"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lang w:eastAsia="pl-PL"/>
              </w:rPr>
            </w:pPr>
            <w:r w:rsidRPr="00010F36">
              <w:rPr>
                <w:rFonts w:ascii="Times New Roman" w:eastAsia="Times New Roman" w:hAnsi="Times New Roman" w:cs="Times New Roman"/>
                <w:color w:val="auto"/>
                <w:lang w:eastAsia="pl-PL"/>
              </w:rPr>
              <w:t>osoby nieposzukujące pracy - razem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495318FA"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w:t>
            </w:r>
            <w:r w:rsidR="008B5F8C" w:rsidRPr="00010F36">
              <w:rPr>
                <w:rFonts w:ascii="Times New Roman" w:hAnsi="Times New Roman" w:cs="Times New Roman"/>
                <w:color w:val="auto"/>
              </w:rPr>
              <w:t xml:space="preserve"> </w:t>
            </w:r>
            <w:r w:rsidRPr="00010F36">
              <w:rPr>
                <w:rFonts w:ascii="Times New Roman" w:hAnsi="Times New Roman" w:cs="Times New Roman"/>
                <w:color w:val="auto"/>
              </w:rPr>
              <w:t>050</w:t>
            </w:r>
          </w:p>
        </w:tc>
      </w:tr>
      <w:tr w:rsidR="00F62C5B" w:rsidRPr="00130DB6" w14:paraId="468284CE" w14:textId="77777777" w:rsidTr="00E86509">
        <w:trPr>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8E0FA71"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9F4AED1"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eastAsia="Times New Roman" w:hAnsi="Times New Roman" w:cs="Times New Roman"/>
                <w:color w:val="auto"/>
                <w:lang w:eastAsia="pl-PL"/>
              </w:rPr>
              <w:t>osoby nieposzukujące pracy - emerytura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AE38C1A"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886</w:t>
            </w:r>
          </w:p>
        </w:tc>
      </w:tr>
      <w:tr w:rsidR="00F62C5B" w:rsidRPr="00130DB6" w14:paraId="5E931198" w14:textId="77777777" w:rsidTr="00E86509">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82DB7FE"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CF846FE"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eastAsia="Times New Roman" w:hAnsi="Times New Roman" w:cs="Times New Roman"/>
                <w:color w:val="auto"/>
                <w:lang w:eastAsia="pl-PL"/>
              </w:rPr>
              <w:t>osoby nieposzukujące pracy - choroba, niepełnosprawność</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4BC84F32"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71</w:t>
            </w:r>
          </w:p>
        </w:tc>
      </w:tr>
      <w:tr w:rsidR="00F62C5B" w:rsidRPr="00130DB6" w14:paraId="3FB7B9FC"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B16EBA7"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r w:rsidRPr="00010F36">
              <w:rPr>
                <w:rFonts w:ascii="Times New Roman" w:eastAsia="Times New Roman" w:hAnsi="Times New Roman" w:cs="Times New Roman"/>
                <w:color w:val="auto"/>
                <w:lang w:eastAsia="pl-PL"/>
              </w:rPr>
              <w:t>Osoby bezrobotne zarejestrowane w urzędach pracy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95B5409"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FB3CC76"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66,5</w:t>
            </w:r>
          </w:p>
        </w:tc>
      </w:tr>
      <w:tr w:rsidR="00F62C5B" w:rsidRPr="00130DB6" w14:paraId="4C158643" w14:textId="77777777" w:rsidTr="00E86509">
        <w:trPr>
          <w:cnfStyle w:val="000000100000" w:firstRow="0" w:lastRow="0" w:firstColumn="0" w:lastColumn="0" w:oddVBand="0" w:evenVBand="0" w:oddHBand="1" w:evenHBand="0" w:firstRowFirstColumn="0" w:firstRowLastColumn="0" w:lastRowFirstColumn="0" w:lastRowLastColumn="0"/>
          <w:trHeight w:val="19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666E0B3"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3C6F8F0"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color w:val="auto"/>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348D4B8"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4,7</w:t>
            </w:r>
          </w:p>
        </w:tc>
      </w:tr>
      <w:tr w:rsidR="00F62C5B" w:rsidRPr="00130DB6" w14:paraId="4AFECB74" w14:textId="77777777" w:rsidTr="00E86509">
        <w:trPr>
          <w:trHeight w:val="189"/>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0CC9613"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r w:rsidRPr="00010F36">
              <w:rPr>
                <w:rFonts w:ascii="Times New Roman" w:eastAsia="Times New Roman" w:hAnsi="Times New Roman" w:cs="Times New Roman"/>
                <w:color w:val="auto"/>
                <w:lang w:eastAsia="pl-PL"/>
              </w:rPr>
              <w:t xml:space="preserve">Osoby pobierające renty </w:t>
            </w:r>
            <w:r w:rsidRPr="00010F36">
              <w:rPr>
                <w:rFonts w:ascii="Times New Roman" w:eastAsia="Times New Roman" w:hAnsi="Times New Roman" w:cs="Times New Roman"/>
                <w:color w:val="auto"/>
                <w:lang w:eastAsia="pl-PL"/>
              </w:rPr>
              <w:br/>
              <w:t xml:space="preserve">i emerytury </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3A639A8" w14:textId="77777777" w:rsidR="00F62C5B" w:rsidRPr="00010F36" w:rsidRDefault="00F62C5B" w:rsidP="00E86509">
            <w:pPr>
              <w:tabs>
                <w:tab w:val="left" w:pos="1725"/>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ZUS</w:t>
            </w:r>
          </w:p>
        </w:tc>
      </w:tr>
      <w:tr w:rsidR="00F62C5B" w:rsidRPr="00130DB6" w14:paraId="113DB5B7" w14:textId="77777777" w:rsidTr="00E86509">
        <w:trPr>
          <w:cnfStyle w:val="000000100000" w:firstRow="0" w:lastRow="0" w:firstColumn="0" w:lastColumn="0" w:oddVBand="0" w:evenVBand="0" w:oddHBand="1" w:evenHBand="0" w:firstRowFirstColumn="0" w:firstRowLastColumn="0" w:lastRowFirstColumn="0" w:lastRowLastColumn="0"/>
          <w:trHeight w:val="143"/>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BD010DC"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8239B17"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b/>
                <w:color w:val="auto"/>
              </w:rPr>
              <w:t>Rodzaj świadczenia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901B306"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b/>
                <w:color w:val="auto"/>
              </w:rPr>
              <w:t>Przeciętna miesięczna liczba emerytów i rencistów (w tys.)</w:t>
            </w:r>
          </w:p>
        </w:tc>
      </w:tr>
      <w:tr w:rsidR="00F62C5B" w:rsidRPr="00130DB6" w14:paraId="6ED4768A" w14:textId="77777777" w:rsidTr="00E86509">
        <w:trPr>
          <w:trHeight w:val="14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770DA5E"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F75F40F"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Emerytury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B20A7DC"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829,3</w:t>
            </w:r>
          </w:p>
        </w:tc>
      </w:tr>
      <w:tr w:rsidR="00F62C5B" w:rsidRPr="00130DB6" w14:paraId="2401352A" w14:textId="77777777" w:rsidTr="00E86509">
        <w:trPr>
          <w:cnfStyle w:val="000000100000" w:firstRow="0" w:lastRow="0" w:firstColumn="0" w:lastColumn="0" w:oddVBand="0" w:evenVBand="0" w:oddHBand="1" w:evenHBand="0" w:firstRowFirstColumn="0" w:firstRowLastColumn="0" w:lastRowFirstColumn="0" w:lastRowLastColumn="0"/>
          <w:trHeight w:val="142"/>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7D4813E"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E6F2421"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Renty z tytułu niezdolności do pracy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68C9E273"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104,8</w:t>
            </w:r>
          </w:p>
        </w:tc>
      </w:tr>
      <w:tr w:rsidR="00F62C5B" w:rsidRPr="00130DB6" w14:paraId="7CB30224"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D614880"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82731D6"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color w:val="auto"/>
              </w:rPr>
              <w:t>Renty rodzinne</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12AFC8B2"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217,3</w:t>
            </w:r>
          </w:p>
        </w:tc>
      </w:tr>
      <w:tr w:rsidR="00F62C5B" w:rsidRPr="00130DB6" w14:paraId="01E133E7" w14:textId="77777777" w:rsidTr="00E86509">
        <w:trPr>
          <w:cnfStyle w:val="000000100000" w:firstRow="0" w:lastRow="0" w:firstColumn="0" w:lastColumn="0" w:oddVBand="0" w:evenVBand="0" w:oddHBand="1" w:evenHBand="0" w:firstRowFirstColumn="0" w:firstRowLastColumn="0" w:lastRowFirstColumn="0" w:lastRowLastColumn="0"/>
          <w:trHeight w:val="81"/>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A662918"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C436E09" w14:textId="77777777" w:rsidR="00F62C5B" w:rsidRPr="00F51F0D" w:rsidRDefault="00F62C5B" w:rsidP="00E86509">
            <w:pPr>
              <w:tabs>
                <w:tab w:val="left" w:pos="1507"/>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F51F0D">
              <w:rPr>
                <w:rFonts w:ascii="Times New Roman" w:hAnsi="Times New Roman" w:cs="Times New Roman"/>
                <w:b/>
                <w:color w:val="auto"/>
              </w:rPr>
              <w:t>KRUS</w:t>
            </w:r>
          </w:p>
        </w:tc>
      </w:tr>
      <w:tr w:rsidR="00F62C5B" w:rsidRPr="00130DB6" w14:paraId="501CBFFD"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790D639"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A77101E"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b/>
                <w:color w:val="auto"/>
              </w:rPr>
              <w:t>Rodzaj świadczenia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4B21D59"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b/>
                <w:color w:val="auto"/>
              </w:rPr>
              <w:t>Przeciętna miesięczna liczba emerytów i rencistów (w tys.)</w:t>
            </w:r>
          </w:p>
        </w:tc>
      </w:tr>
      <w:tr w:rsidR="00F62C5B" w:rsidRPr="00130DB6" w14:paraId="4CF4BE33"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9FE32E2"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F31079" w14:textId="77777777" w:rsidR="00F62C5B" w:rsidRPr="004E4764"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E4764">
              <w:rPr>
                <w:rFonts w:ascii="Times New Roman" w:hAnsi="Times New Roman" w:cs="Times New Roman"/>
                <w:color w:val="auto"/>
              </w:rPr>
              <w:t>Emerytury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2CBBBEA" w14:textId="77777777" w:rsidR="00F62C5B" w:rsidRPr="004E4764"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E4764">
              <w:rPr>
                <w:rFonts w:ascii="Times New Roman" w:hAnsi="Times New Roman" w:cs="Times New Roman"/>
                <w:color w:val="auto"/>
              </w:rPr>
              <w:t>27,1</w:t>
            </w:r>
          </w:p>
        </w:tc>
      </w:tr>
      <w:tr w:rsidR="00F62C5B" w:rsidRPr="00130DB6" w14:paraId="69AA08B2"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4317B39"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9512B99" w14:textId="77777777" w:rsidR="00F62C5B" w:rsidRPr="004E4764"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E4764">
              <w:rPr>
                <w:rFonts w:ascii="Times New Roman" w:hAnsi="Times New Roman" w:cs="Times New Roman"/>
                <w:color w:val="auto"/>
              </w:rPr>
              <w:t>Renty z tytułu niezdolności do pracy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1A026A05" w14:textId="77777777" w:rsidR="00F62C5B" w:rsidRPr="004E4764"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E4764">
              <w:rPr>
                <w:rFonts w:ascii="Times New Roman" w:hAnsi="Times New Roman" w:cs="Times New Roman"/>
                <w:color w:val="auto"/>
              </w:rPr>
              <w:t>5,1</w:t>
            </w:r>
          </w:p>
        </w:tc>
      </w:tr>
      <w:tr w:rsidR="00F62C5B" w:rsidRPr="00130DB6" w14:paraId="5160A27F"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B1C8E6C"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190A571" w14:textId="77777777" w:rsidR="00F62C5B" w:rsidRPr="004E4764"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E4764">
              <w:rPr>
                <w:rFonts w:ascii="Times New Roman" w:hAnsi="Times New Roman" w:cs="Times New Roman"/>
                <w:color w:val="auto"/>
              </w:rPr>
              <w:t>Renty rodzinne</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vAlign w:val="center"/>
          </w:tcPr>
          <w:p w14:paraId="3527C295" w14:textId="77777777" w:rsidR="00F62C5B" w:rsidRPr="004E4764"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4E4764">
              <w:rPr>
                <w:rFonts w:ascii="Times New Roman" w:hAnsi="Times New Roman" w:cs="Times New Roman"/>
                <w:color w:val="auto"/>
              </w:rPr>
              <w:t>1,0</w:t>
            </w:r>
          </w:p>
        </w:tc>
      </w:tr>
      <w:tr w:rsidR="00F62C5B" w:rsidRPr="00130DB6" w14:paraId="4EAE5493"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346D036" w14:textId="77777777" w:rsidR="00F62C5B" w:rsidRPr="00010F36" w:rsidRDefault="00F62C5B" w:rsidP="00E86509">
            <w:pPr>
              <w:spacing w:after="0" w:line="240" w:lineRule="auto"/>
              <w:jc w:val="center"/>
              <w:rPr>
                <w:rFonts w:ascii="Times New Roman" w:hAnsi="Times New Roman" w:cs="Times New Roman"/>
                <w:b w:val="0"/>
                <w:bCs w:val="0"/>
                <w:color w:val="auto"/>
              </w:rPr>
            </w:pPr>
            <w:r w:rsidRPr="00010F36">
              <w:rPr>
                <w:rFonts w:ascii="Times New Roman" w:hAnsi="Times New Roman" w:cs="Times New Roman"/>
                <w:color w:val="auto"/>
              </w:rPr>
              <w:t>SYTUACJA DOCHODOWA, WARUNKI BYTU, W TYM WARUNKI MIESZKANIOWE – DANE ZA 2019 R,</w:t>
            </w:r>
          </w:p>
        </w:tc>
      </w:tr>
      <w:tr w:rsidR="00F62C5B" w:rsidRPr="00130DB6" w14:paraId="4AF4E53C" w14:textId="77777777" w:rsidTr="00E86509">
        <w:trPr>
          <w:cnfStyle w:val="000000100000" w:firstRow="0" w:lastRow="0" w:firstColumn="0" w:lastColumn="0" w:oddVBand="0" w:evenVBand="0" w:oddHBand="1" w:evenHBand="0" w:firstRowFirstColumn="0" w:firstRowLastColumn="0" w:lastRowFirstColumn="0" w:lastRowLastColumn="0"/>
          <w:trHeight w:val="872"/>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10EF64A6" w14:textId="77777777" w:rsidR="00F62C5B" w:rsidRPr="00010F36" w:rsidRDefault="00F62C5B" w:rsidP="00E86509">
            <w:pPr>
              <w:pStyle w:val="HTML-wstpniesformatowany"/>
              <w:rPr>
                <w:rFonts w:ascii="Times New Roman" w:hAnsi="Times New Roman" w:cs="Times New Roman"/>
                <w:b w:val="0"/>
                <w:bCs w:val="0"/>
                <w:color w:val="auto"/>
                <w:sz w:val="22"/>
                <w:szCs w:val="22"/>
              </w:rPr>
            </w:pPr>
            <w:r w:rsidRPr="00010F36">
              <w:rPr>
                <w:rFonts w:ascii="Times New Roman" w:hAnsi="Times New Roman" w:cs="Times New Roman"/>
                <w:b w:val="0"/>
                <w:color w:val="auto"/>
                <w:sz w:val="22"/>
                <w:szCs w:val="22"/>
              </w:rPr>
              <w:t>Zgodnie z Programem badań statystycznych s</w:t>
            </w:r>
            <w:r w:rsidR="008B5F8C" w:rsidRPr="00010F36">
              <w:rPr>
                <w:rFonts w:ascii="Times New Roman" w:hAnsi="Times New Roman" w:cs="Times New Roman"/>
                <w:b w:val="0"/>
                <w:color w:val="auto"/>
                <w:sz w:val="22"/>
                <w:szCs w:val="22"/>
              </w:rPr>
              <w:t>tatystyki publicznej na 2017 r.</w:t>
            </w:r>
            <w:r w:rsidRPr="00010F36">
              <w:rPr>
                <w:rFonts w:ascii="Times New Roman" w:hAnsi="Times New Roman" w:cs="Times New Roman"/>
                <w:b w:val="0"/>
                <w:color w:val="auto"/>
                <w:sz w:val="22"/>
                <w:szCs w:val="22"/>
              </w:rPr>
              <w:t xml:space="preserve"> wprowadzanym, corocznie na każdy kolejny rok, rozporządzeniem Rady Ministrów (załącznik do </w:t>
            </w:r>
            <w:r w:rsidRPr="00010F36">
              <w:rPr>
                <w:rFonts w:ascii="Times New Roman" w:hAnsi="Times New Roman" w:cs="Times New Roman"/>
                <w:b w:val="0"/>
                <w:i/>
                <w:color w:val="auto"/>
                <w:sz w:val="22"/>
                <w:szCs w:val="22"/>
              </w:rPr>
              <w:t>Rozporządzenia Rady Ministrów z dnia 11 października 2019 r. w sprawie programu badań statystycznych statystyki publicznej na rok 2020</w:t>
            </w:r>
            <w:r w:rsidRPr="00010F36">
              <w:rPr>
                <w:rFonts w:ascii="Times New Roman" w:hAnsi="Times New Roman" w:cs="Times New Roman"/>
                <w:b w:val="0"/>
                <w:color w:val="auto"/>
                <w:sz w:val="22"/>
                <w:szCs w:val="22"/>
              </w:rPr>
              <w:t xml:space="preserve"> - Dz. U. 2019.poz. 2366) dane za 2019 r. dotyczące budżetów gospodarstw domowych (dochody, wydatki) dostępne będą we wrześniu br.</w:t>
            </w:r>
          </w:p>
        </w:tc>
      </w:tr>
      <w:tr w:rsidR="00F62C5B" w:rsidRPr="00130DB6" w14:paraId="301B20A0"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00AF9BA" w14:textId="77777777" w:rsidR="00F62C5B" w:rsidRPr="00010F36" w:rsidRDefault="00F62C5B" w:rsidP="00E86509">
            <w:pPr>
              <w:spacing w:after="0" w:line="240" w:lineRule="auto"/>
              <w:jc w:val="center"/>
              <w:rPr>
                <w:rFonts w:ascii="Times New Roman" w:hAnsi="Times New Roman" w:cs="Times New Roman"/>
                <w:b w:val="0"/>
                <w:bCs w:val="0"/>
                <w:color w:val="auto"/>
              </w:rPr>
            </w:pPr>
            <w:r w:rsidRPr="00010F36">
              <w:rPr>
                <w:rFonts w:ascii="Times New Roman" w:hAnsi="Times New Roman" w:cs="Times New Roman"/>
                <w:color w:val="auto"/>
              </w:rPr>
              <w:t>USŁUGI SPOŁECZNE DLA OSÓB STARSZYCH / INFRASTRUKTURA POMOCY SPOLECZNEJ – DANE ZA 2019 R.</w:t>
            </w:r>
          </w:p>
        </w:tc>
      </w:tr>
      <w:tr w:rsidR="00F62C5B" w:rsidRPr="00130DB6" w14:paraId="45D2C43B"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BBF5B9D"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r w:rsidRPr="00010F36">
              <w:rPr>
                <w:rFonts w:ascii="Times New Roman" w:eastAsia="Times New Roman" w:hAnsi="Times New Roman" w:cs="Times New Roman"/>
                <w:color w:val="auto"/>
                <w:lang w:eastAsia="pl-PL"/>
              </w:rPr>
              <w:t>Instytucje pomocy społecznej, w tym:</w:t>
            </w: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72A6670"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010F36">
              <w:rPr>
                <w:rFonts w:ascii="Times New Roman" w:hAnsi="Times New Roman" w:cs="Times New Roman"/>
                <w:b/>
                <w:color w:val="auto"/>
              </w:rPr>
              <w:t>Rodzaj placówki</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0A88657"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010F36">
              <w:rPr>
                <w:rFonts w:ascii="Times New Roman" w:hAnsi="Times New Roman" w:cs="Times New Roman"/>
                <w:b/>
                <w:color w:val="auto"/>
              </w:rPr>
              <w:t>Liczba placówek</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C36A586"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auto"/>
              </w:rPr>
            </w:pPr>
            <w:r w:rsidRPr="00010F36">
              <w:rPr>
                <w:rFonts w:ascii="Times New Roman" w:hAnsi="Times New Roman" w:cs="Times New Roman"/>
                <w:b/>
                <w:color w:val="auto"/>
              </w:rPr>
              <w:t>Liczba miejsc dla osób starszych</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778F16E"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korzystających osób starszych</w:t>
            </w:r>
          </w:p>
        </w:tc>
      </w:tr>
      <w:tr w:rsidR="00F62C5B" w:rsidRPr="00130DB6" w14:paraId="5D207F3F"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1BED8E9"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51943571"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Ośrodki wsparcia ogółem</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3DD2FEE0"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752</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6288B482"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12</w:t>
            </w:r>
            <w:r w:rsidR="008B5F8C" w:rsidRPr="00F51F0D">
              <w:rPr>
                <w:rFonts w:ascii="Times New Roman" w:hAnsi="Times New Roman" w:cs="Times New Roman"/>
                <w:color w:val="auto"/>
              </w:rPr>
              <w:t xml:space="preserve"> </w:t>
            </w:r>
            <w:r w:rsidRPr="00F51F0D">
              <w:rPr>
                <w:rFonts w:ascii="Times New Roman" w:hAnsi="Times New Roman" w:cs="Times New Roman"/>
                <w:color w:val="auto"/>
              </w:rPr>
              <w:t>026</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p w14:paraId="3181D6F7"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14</w:t>
            </w:r>
            <w:r w:rsidR="008B5F8C" w:rsidRPr="00F51F0D">
              <w:rPr>
                <w:rFonts w:ascii="Times New Roman" w:hAnsi="Times New Roman" w:cs="Times New Roman"/>
                <w:color w:val="auto"/>
              </w:rPr>
              <w:t xml:space="preserve"> </w:t>
            </w:r>
            <w:r w:rsidRPr="00F51F0D">
              <w:rPr>
                <w:rFonts w:ascii="Times New Roman" w:hAnsi="Times New Roman" w:cs="Times New Roman"/>
                <w:color w:val="auto"/>
              </w:rPr>
              <w:t>895</w:t>
            </w:r>
          </w:p>
        </w:tc>
      </w:tr>
      <w:tr w:rsidR="00F62C5B" w:rsidRPr="00130DB6" w14:paraId="5401E8CE"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2BE7299"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F3F21D7"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color w:val="auto"/>
              </w:rPr>
              <w:t>w tym:</w:t>
            </w:r>
          </w:p>
        </w:tc>
      </w:tr>
      <w:tr w:rsidR="00F62C5B" w:rsidRPr="00130DB6" w14:paraId="5DE97926"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84D0D69"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F086888"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Środowiskowe Domy Samopomocy</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09F1F1F"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46</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379A986"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561</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D695B89"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413</w:t>
            </w:r>
          </w:p>
        </w:tc>
      </w:tr>
      <w:tr w:rsidR="00F62C5B" w:rsidRPr="00130DB6" w14:paraId="23675917"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0D99399"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6004AE6"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Dzienne Domy Pomocy</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44605C4"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61</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D57EA20"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w:t>
            </w:r>
            <w:r w:rsidR="008B5F8C" w:rsidRPr="00F51F0D">
              <w:rPr>
                <w:rFonts w:ascii="Times New Roman" w:hAnsi="Times New Roman" w:cs="Times New Roman"/>
                <w:color w:val="auto"/>
              </w:rPr>
              <w:t xml:space="preserve"> </w:t>
            </w:r>
            <w:r w:rsidRPr="00F51F0D">
              <w:rPr>
                <w:rFonts w:ascii="Times New Roman" w:hAnsi="Times New Roman" w:cs="Times New Roman"/>
                <w:color w:val="auto"/>
              </w:rPr>
              <w:t>508</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0BD90C3"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w:t>
            </w:r>
            <w:r w:rsidR="008B5F8C" w:rsidRPr="00F51F0D">
              <w:rPr>
                <w:rFonts w:ascii="Times New Roman" w:hAnsi="Times New Roman" w:cs="Times New Roman"/>
                <w:color w:val="auto"/>
              </w:rPr>
              <w:t xml:space="preserve"> </w:t>
            </w:r>
            <w:r w:rsidRPr="00F51F0D">
              <w:rPr>
                <w:rFonts w:ascii="Times New Roman" w:hAnsi="Times New Roman" w:cs="Times New Roman"/>
                <w:color w:val="auto"/>
              </w:rPr>
              <w:t>774</w:t>
            </w:r>
          </w:p>
        </w:tc>
      </w:tr>
      <w:tr w:rsidR="00F62C5B" w:rsidRPr="00130DB6" w14:paraId="031EF779"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ED18F70"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8788B7C"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Noclegownie, schroniska i domy dla osób bezdomnych</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38BFF0C"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64</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CC43185"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w:t>
            </w:r>
            <w:r w:rsidR="008B5F8C" w:rsidRPr="00F51F0D">
              <w:rPr>
                <w:rFonts w:ascii="Times New Roman" w:hAnsi="Times New Roman" w:cs="Times New Roman"/>
                <w:color w:val="auto"/>
              </w:rPr>
              <w:t xml:space="preserve"> </w:t>
            </w:r>
            <w:r w:rsidRPr="00F51F0D">
              <w:rPr>
                <w:rFonts w:ascii="Times New Roman" w:hAnsi="Times New Roman" w:cs="Times New Roman"/>
                <w:color w:val="auto"/>
              </w:rPr>
              <w:t>071</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DACA412"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w:t>
            </w:r>
            <w:r w:rsidR="008B5F8C" w:rsidRPr="00F51F0D">
              <w:rPr>
                <w:rFonts w:ascii="Times New Roman" w:hAnsi="Times New Roman" w:cs="Times New Roman"/>
                <w:color w:val="auto"/>
              </w:rPr>
              <w:t xml:space="preserve"> </w:t>
            </w:r>
            <w:r w:rsidRPr="00F51F0D">
              <w:rPr>
                <w:rFonts w:ascii="Times New Roman" w:hAnsi="Times New Roman" w:cs="Times New Roman"/>
                <w:color w:val="auto"/>
              </w:rPr>
              <w:t>311</w:t>
            </w:r>
          </w:p>
        </w:tc>
      </w:tr>
      <w:tr w:rsidR="00F62C5B" w:rsidRPr="00130DB6" w14:paraId="54D35BA2"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6088185"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F5DBDBD"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Ogrzewalnie</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A44ADC9"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13</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7CBE5B6"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140</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4387453"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207</w:t>
            </w:r>
          </w:p>
        </w:tc>
      </w:tr>
      <w:tr w:rsidR="00F62C5B" w:rsidRPr="00130DB6" w14:paraId="7FF14034"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B6F3AA1"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5291818"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Kluby Samopomocy</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48E0FE3"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13</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9042FAA"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287</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0A54914"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484</w:t>
            </w:r>
          </w:p>
        </w:tc>
      </w:tr>
      <w:tr w:rsidR="00F62C5B" w:rsidRPr="00130DB6" w14:paraId="602B829F"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5391714"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A3754C6"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eastAsia="Calibri" w:hAnsi="Times New Roman" w:cs="Times New Roman"/>
                <w:color w:val="auto"/>
              </w:rPr>
              <w:t>Placówki zapewniające całodobową opiekę osobom niepełnosprawnym, przewlekle chorym lub osobom w podeszłym wieku</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7BC0919"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184</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3B5BD67"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718</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E2FF089"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842</w:t>
            </w:r>
          </w:p>
        </w:tc>
      </w:tr>
      <w:tr w:rsidR="00F62C5B" w:rsidRPr="00130DB6" w14:paraId="6B3F8ADE"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03EF937"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AEB523B"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Domy Pomocy Społecznej</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0BE4B19"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99</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F53BFA3"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4</w:t>
            </w:r>
            <w:r w:rsidR="008B5F8C" w:rsidRPr="00F51F0D">
              <w:rPr>
                <w:rFonts w:ascii="Times New Roman" w:hAnsi="Times New Roman" w:cs="Times New Roman"/>
                <w:color w:val="auto"/>
              </w:rPr>
              <w:t xml:space="preserve"> </w:t>
            </w:r>
            <w:r w:rsidRPr="00F51F0D">
              <w:rPr>
                <w:rFonts w:ascii="Times New Roman" w:hAnsi="Times New Roman" w:cs="Times New Roman"/>
                <w:color w:val="auto"/>
              </w:rPr>
              <w:t>944</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AEB9853"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5</w:t>
            </w:r>
            <w:r w:rsidR="008B5F8C" w:rsidRPr="00F51F0D">
              <w:rPr>
                <w:rFonts w:ascii="Times New Roman" w:hAnsi="Times New Roman" w:cs="Times New Roman"/>
                <w:color w:val="auto"/>
              </w:rPr>
              <w:t xml:space="preserve"> </w:t>
            </w:r>
            <w:r w:rsidRPr="00F51F0D">
              <w:rPr>
                <w:rFonts w:ascii="Times New Roman" w:hAnsi="Times New Roman" w:cs="Times New Roman"/>
                <w:color w:val="auto"/>
              </w:rPr>
              <w:t>779</w:t>
            </w:r>
          </w:p>
        </w:tc>
      </w:tr>
      <w:tr w:rsidR="00F62C5B" w:rsidRPr="00130DB6" w14:paraId="451CBF45"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FBF5FA7"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C5975B"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Mieszkania chronione ogółem</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64C6A7C"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152</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C9DC43B"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224</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B7DD338"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118</w:t>
            </w:r>
          </w:p>
        </w:tc>
      </w:tr>
      <w:tr w:rsidR="00F62C5B" w:rsidRPr="00130DB6" w14:paraId="278F1BE2"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AE28F2F"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09BE519"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Ośrodki Interwencji Kryzysowej ogółem</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7B0E6FE"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19</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89A823B"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182</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A82D0C0"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712</w:t>
            </w:r>
          </w:p>
        </w:tc>
      </w:tr>
      <w:tr w:rsidR="00F62C5B" w:rsidRPr="00130DB6" w14:paraId="7A9AF55E"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82D878A"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5B59C30"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Jednostki specjalistycznego poradnictwa</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335BC38"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10</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F82A7EE"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619</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2712B67"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709</w:t>
            </w:r>
          </w:p>
        </w:tc>
      </w:tr>
      <w:tr w:rsidR="00F62C5B" w:rsidRPr="00130DB6" w14:paraId="682DEAE8" w14:textId="77777777" w:rsidTr="00E86509">
        <w:trPr>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E3131FB"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057654B"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Placówki Senior+, w tym:</w:t>
            </w:r>
          </w:p>
        </w:tc>
        <w:tc>
          <w:tcPr>
            <w:tcW w:w="8845"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3D5B281"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w:t>
            </w:r>
            <w:r w:rsidR="008B5F8C" w:rsidRPr="00F51F0D">
              <w:rPr>
                <w:rFonts w:ascii="Times New Roman" w:hAnsi="Times New Roman" w:cs="Times New Roman"/>
                <w:color w:val="auto"/>
              </w:rPr>
              <w:t xml:space="preserve"> </w:t>
            </w:r>
            <w:r w:rsidRPr="00F51F0D">
              <w:rPr>
                <w:rFonts w:ascii="Times New Roman" w:hAnsi="Times New Roman" w:cs="Times New Roman"/>
                <w:color w:val="auto"/>
              </w:rPr>
              <w:t>616</w:t>
            </w:r>
          </w:p>
        </w:tc>
      </w:tr>
      <w:tr w:rsidR="00F62C5B" w:rsidRPr="00130DB6" w14:paraId="03625D2C"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499C3C9"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9F8D960"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Domy Dziennego Pobytu</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AB80C2C"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26</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1B7B4B9"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833</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F9CF4A6"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967</w:t>
            </w:r>
          </w:p>
        </w:tc>
      </w:tr>
      <w:tr w:rsidR="00F62C5B" w:rsidRPr="00130DB6" w14:paraId="005DF1E5" w14:textId="77777777" w:rsidTr="00E86509">
        <w:trPr>
          <w:trHeight w:val="85"/>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F9D24CB"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A996858"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Kluby Senior+</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A44E7AF"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32</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0791E2E"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783</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187C358" w14:textId="77777777" w:rsidR="00F62C5B" w:rsidRPr="00F51F0D"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1</w:t>
            </w:r>
            <w:r w:rsidR="008B5F8C" w:rsidRPr="00F51F0D">
              <w:rPr>
                <w:rFonts w:ascii="Times New Roman" w:hAnsi="Times New Roman" w:cs="Times New Roman"/>
                <w:color w:val="auto"/>
              </w:rPr>
              <w:t xml:space="preserve"> </w:t>
            </w:r>
            <w:r w:rsidRPr="00F51F0D">
              <w:rPr>
                <w:rFonts w:ascii="Times New Roman" w:hAnsi="Times New Roman" w:cs="Times New Roman"/>
                <w:color w:val="auto"/>
              </w:rPr>
              <w:t>398</w:t>
            </w:r>
          </w:p>
        </w:tc>
      </w:tr>
      <w:tr w:rsidR="00F62C5B" w:rsidRPr="00130DB6" w14:paraId="1B4EB984" w14:textId="77777777" w:rsidTr="00E86509">
        <w:trPr>
          <w:cnfStyle w:val="000000100000" w:firstRow="0" w:lastRow="0" w:firstColumn="0" w:lastColumn="0" w:oddVBand="0" w:evenVBand="0" w:oddHBand="1"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F159976" w14:textId="77777777" w:rsidR="00F62C5B" w:rsidRPr="00010F36" w:rsidRDefault="00F62C5B" w:rsidP="00E86509">
            <w:pPr>
              <w:spacing w:after="0" w:line="240" w:lineRule="auto"/>
              <w:rPr>
                <w:rFonts w:ascii="Times New Roman" w:eastAsia="Times New Roman" w:hAnsi="Times New Roman" w:cs="Times New Roman"/>
                <w:b w:val="0"/>
                <w:bCs w:val="0"/>
                <w:color w:val="auto"/>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AAD1158"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Hospicja stacjonarne</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C7F3E27"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0</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8802833"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0</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792F1B0" w14:textId="77777777" w:rsidR="00F62C5B" w:rsidRPr="00F51F0D"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0</w:t>
            </w:r>
          </w:p>
        </w:tc>
      </w:tr>
      <w:tr w:rsidR="00F62C5B" w:rsidRPr="00130DB6" w14:paraId="12D1DCCC" w14:textId="77777777" w:rsidTr="00E86509">
        <w:trPr>
          <w:trHeight w:val="119"/>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62FC8DB"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r w:rsidRPr="00010F36">
              <w:rPr>
                <w:rFonts w:ascii="Times New Roman" w:eastAsia="Times New Roman" w:hAnsi="Times New Roman" w:cs="Times New Roman"/>
                <w:color w:val="auto"/>
                <w:lang w:eastAsia="pl-PL"/>
              </w:rPr>
              <w:lastRenderedPageBreak/>
              <w:t>Usługi świadczone osobom starszym</w:t>
            </w: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2395379"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Rodzaj usług</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C442199"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osób starszych objętych pomocą</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CC9BFD9"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Wysokość środków przeznaczonych na usługi</w:t>
            </w:r>
          </w:p>
        </w:tc>
      </w:tr>
      <w:tr w:rsidR="00F62C5B" w:rsidRPr="00130DB6" w14:paraId="09EA04BE" w14:textId="77777777" w:rsidTr="00553257">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810466B"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436A3536" w14:textId="7DFFBB74" w:rsidR="00F62C5B" w:rsidRPr="00010F36" w:rsidRDefault="00553257"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Usługi o</w:t>
            </w:r>
            <w:r w:rsidR="00F62C5B" w:rsidRPr="00010F36">
              <w:rPr>
                <w:rFonts w:ascii="Times New Roman" w:hAnsi="Times New Roman" w:cs="Times New Roman"/>
                <w:color w:val="auto"/>
              </w:rPr>
              <w:t>piekuńcze ogółem</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5C883740"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11</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436</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70BC7BE5"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52</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215</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345,14</w:t>
            </w:r>
          </w:p>
        </w:tc>
      </w:tr>
      <w:tr w:rsidR="00F51F0D" w:rsidRPr="00130DB6" w14:paraId="14DDBB3A" w14:textId="77777777" w:rsidTr="00E86509">
        <w:trPr>
          <w:trHeight w:val="118"/>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1C4ACEF" w14:textId="77777777" w:rsidR="00F51F0D" w:rsidRPr="00010F36" w:rsidRDefault="00F51F0D" w:rsidP="00E86509">
            <w:pPr>
              <w:spacing w:after="0" w:line="240" w:lineRule="auto"/>
              <w:rPr>
                <w:rFonts w:ascii="Times New Roman" w:eastAsia="Times New Roman" w:hAnsi="Times New Roman" w:cs="Times New Roman"/>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12B4AB5" w14:textId="77777777" w:rsidR="00F51F0D" w:rsidRPr="00010F36" w:rsidRDefault="00F51F0D"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w tym:</w:t>
            </w:r>
          </w:p>
        </w:tc>
      </w:tr>
      <w:tr w:rsidR="00F62C5B" w:rsidRPr="00130DB6" w14:paraId="48C2F924" w14:textId="77777777" w:rsidTr="00E86509">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9645FC3"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ABA7E74" w14:textId="34F70F70" w:rsidR="00F62C5B" w:rsidRPr="00010F36" w:rsidRDefault="00553257"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S</w:t>
            </w:r>
            <w:r w:rsidR="00F62C5B" w:rsidRPr="00010F36">
              <w:rPr>
                <w:rFonts w:ascii="Times New Roman" w:hAnsi="Times New Roman" w:cs="Times New Roman"/>
                <w:color w:val="auto"/>
              </w:rPr>
              <w:t>pecjalistyczne</w:t>
            </w:r>
            <w:r>
              <w:rPr>
                <w:rFonts w:ascii="Times New Roman" w:hAnsi="Times New Roman" w:cs="Times New Roman"/>
                <w:color w:val="auto"/>
              </w:rPr>
              <w:t xml:space="preserve"> usługi </w:t>
            </w:r>
            <w:r w:rsidR="00F62C5B" w:rsidRPr="00010F36">
              <w:rPr>
                <w:rFonts w:ascii="Times New Roman" w:hAnsi="Times New Roman" w:cs="Times New Roman"/>
                <w:color w:val="auto"/>
              </w:rPr>
              <w:t xml:space="preserve"> opiekuńcze</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F91EDFA"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1</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041</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C634E63"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348</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228,15</w:t>
            </w:r>
          </w:p>
        </w:tc>
      </w:tr>
      <w:tr w:rsidR="00F62C5B" w:rsidRPr="00130DB6" w14:paraId="66AD7CFD" w14:textId="77777777" w:rsidTr="00E86509">
        <w:trPr>
          <w:trHeight w:val="284"/>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ADCB75C"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0734A19" w14:textId="3BCB9794" w:rsidR="00F62C5B" w:rsidRPr="00010F36" w:rsidRDefault="00553257"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Pr>
                <w:rFonts w:ascii="Times New Roman" w:hAnsi="Times New Roman" w:cs="Times New Roman"/>
                <w:color w:val="auto"/>
              </w:rPr>
              <w:t>s</w:t>
            </w:r>
            <w:r w:rsidR="00F62C5B" w:rsidRPr="00010F36">
              <w:rPr>
                <w:rFonts w:ascii="Times New Roman" w:hAnsi="Times New Roman" w:cs="Times New Roman"/>
                <w:color w:val="auto"/>
              </w:rPr>
              <w:t>pecjalistyczne usługi</w:t>
            </w:r>
            <w:r>
              <w:rPr>
                <w:rFonts w:ascii="Times New Roman" w:hAnsi="Times New Roman" w:cs="Times New Roman"/>
                <w:color w:val="auto"/>
              </w:rPr>
              <w:t xml:space="preserve"> opiekuńcze w miejscu zamieszkania</w:t>
            </w:r>
            <w:r w:rsidR="00F62C5B" w:rsidRPr="00010F36">
              <w:rPr>
                <w:rFonts w:ascii="Times New Roman" w:hAnsi="Times New Roman" w:cs="Times New Roman"/>
                <w:color w:val="auto"/>
              </w:rPr>
              <w:t xml:space="preserve"> dla osób z zaburzeniami psychicznymi</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1EE565B"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379</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F73C086"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6</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111</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521,75</w:t>
            </w:r>
          </w:p>
        </w:tc>
      </w:tr>
      <w:tr w:rsidR="00F62C5B" w:rsidRPr="00130DB6" w14:paraId="6BAB70F9" w14:textId="77777777" w:rsidTr="00E86509">
        <w:trPr>
          <w:cnfStyle w:val="000000100000" w:firstRow="0" w:lastRow="0" w:firstColumn="0" w:lastColumn="0" w:oddVBand="0" w:evenVBand="0" w:oddHBand="1"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8A0EB79"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r w:rsidRPr="00010F36">
              <w:rPr>
                <w:rFonts w:ascii="Times New Roman" w:eastAsia="Times New Roman" w:hAnsi="Times New Roman" w:cs="Times New Roman"/>
                <w:color w:val="auto"/>
                <w:lang w:eastAsia="pl-PL"/>
              </w:rPr>
              <w:t>Świadczenia pieniężne przyznane osobom starszym</w:t>
            </w: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0765A92"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Nazwa świadczenia</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77D762C"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Liczba osób starszych</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32B3560"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rPr>
            </w:pPr>
            <w:r w:rsidRPr="00010F36">
              <w:rPr>
                <w:rFonts w:ascii="Times New Roman" w:hAnsi="Times New Roman" w:cs="Times New Roman"/>
                <w:b/>
                <w:color w:val="auto"/>
              </w:rPr>
              <w:t>Kwota świadczenia</w:t>
            </w:r>
          </w:p>
        </w:tc>
      </w:tr>
      <w:tr w:rsidR="00F62C5B" w:rsidRPr="00130DB6" w14:paraId="50EB4D67"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B19FD24"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F110B26"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Zasiłek stały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E565B4"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7</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151</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A7B8D5F"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36</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639</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217,69</w:t>
            </w:r>
          </w:p>
        </w:tc>
      </w:tr>
      <w:tr w:rsidR="00F62C5B" w:rsidRPr="00130DB6" w14:paraId="728A21A5"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E0544BA"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B2A8B61"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Zasiłek okresowy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A31F32A"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4</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400</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94A4D74"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6</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520</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678,85</w:t>
            </w:r>
          </w:p>
        </w:tc>
      </w:tr>
      <w:tr w:rsidR="00F62C5B" w:rsidRPr="00130DB6" w14:paraId="2CC1E784" w14:textId="77777777" w:rsidTr="00E86509">
        <w:trPr>
          <w:trHeight w:val="19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839B439"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8C3BD29" w14:textId="77777777" w:rsidR="00F62C5B" w:rsidRPr="00010F36" w:rsidRDefault="00F62C5B"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Zasiłek celowy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83C8831"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7</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427</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5417F6A" w14:textId="77777777" w:rsidR="00F62C5B" w:rsidRPr="00010F36" w:rsidRDefault="00F62C5B" w:rsidP="00E8650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6</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308</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002,07</w:t>
            </w:r>
          </w:p>
        </w:tc>
      </w:tr>
      <w:tr w:rsidR="00F62C5B" w:rsidRPr="00130DB6" w14:paraId="67E87312" w14:textId="77777777" w:rsidTr="00E86509">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5DB7CE9" w14:textId="77777777" w:rsidR="00F62C5B" w:rsidRPr="00010F36" w:rsidRDefault="00F62C5B" w:rsidP="00E86509">
            <w:pPr>
              <w:spacing w:after="0" w:line="240" w:lineRule="auto"/>
              <w:rPr>
                <w:rFonts w:ascii="Times New Roman" w:eastAsia="Times New Roman" w:hAnsi="Times New Roman" w:cs="Times New Roman"/>
                <w:color w:val="auto"/>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053B4D5"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Specjalny zasiłek celowy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64D4670"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4</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837</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D9428A7" w14:textId="77777777" w:rsidR="00F62C5B" w:rsidRPr="00010F36" w:rsidRDefault="00F62C5B" w:rsidP="00E8650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3</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167</w:t>
            </w:r>
            <w:r w:rsidR="008719D4" w:rsidRPr="00010F36">
              <w:rPr>
                <w:rFonts w:ascii="Times New Roman" w:hAnsi="Times New Roman" w:cs="Times New Roman"/>
                <w:color w:val="auto"/>
              </w:rPr>
              <w:t xml:space="preserve"> </w:t>
            </w:r>
            <w:r w:rsidRPr="00010F36">
              <w:rPr>
                <w:rFonts w:ascii="Times New Roman" w:hAnsi="Times New Roman" w:cs="Times New Roman"/>
                <w:color w:val="auto"/>
              </w:rPr>
              <w:t>348,84</w:t>
            </w:r>
          </w:p>
        </w:tc>
      </w:tr>
      <w:tr w:rsidR="00F51F0D" w:rsidRPr="00130DB6" w14:paraId="7B8B02BA" w14:textId="77777777" w:rsidTr="00E86509">
        <w:trPr>
          <w:trHeight w:val="235"/>
        </w:trPr>
        <w:tc>
          <w:tcPr>
            <w:cnfStyle w:val="001000000000" w:firstRow="0" w:lastRow="0" w:firstColumn="1" w:lastColumn="0" w:oddVBand="0" w:evenVBand="0" w:oddHBand="0" w:evenHBand="0" w:firstRowFirstColumn="0" w:firstRowLastColumn="0" w:lastRowFirstColumn="0" w:lastRowLastColumn="0"/>
            <w:tcW w:w="2830" w:type="dxa"/>
            <w:vMerge w:val="restart"/>
            <w:tcBorders>
              <w:top w:val="single" w:sz="8" w:space="0" w:color="4472C4" w:themeColor="accent5"/>
              <w:left w:val="single" w:sz="8" w:space="0" w:color="4472C4" w:themeColor="accent5"/>
              <w:right w:val="single" w:sz="8" w:space="0" w:color="4472C4" w:themeColor="accent5"/>
            </w:tcBorders>
            <w:shd w:val="clear" w:color="auto" w:fill="9CC2E5" w:themeFill="accent1" w:themeFillTint="99"/>
          </w:tcPr>
          <w:p w14:paraId="5B9362A9" w14:textId="77777777" w:rsidR="00F51F0D" w:rsidRPr="00010F36" w:rsidRDefault="00F51F0D" w:rsidP="00E86509">
            <w:pPr>
              <w:spacing w:after="0" w:line="240" w:lineRule="auto"/>
              <w:rPr>
                <w:rFonts w:ascii="Times New Roman" w:hAnsi="Times New Roman" w:cs="Times New Roman"/>
                <w:bCs w:val="0"/>
                <w:color w:val="auto"/>
                <w:lang w:eastAsia="pl-PL"/>
              </w:rPr>
            </w:pPr>
            <w:r w:rsidRPr="00010F36">
              <w:rPr>
                <w:rFonts w:ascii="Times New Roman" w:hAnsi="Times New Roman" w:cs="Times New Roman"/>
                <w:color w:val="auto"/>
                <w:lang w:eastAsia="pl-PL"/>
              </w:rPr>
              <w:t>Największe problemy/niedogodności w świadczeniu opieki nad osobami starszymi (np. zasoby kadrowe, rzeczowe, finansowe itp.)</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03CE787" w14:textId="77777777" w:rsidR="00F51F0D" w:rsidRPr="00010F36" w:rsidRDefault="00F51F0D" w:rsidP="00E86509">
            <w:pPr>
              <w:pStyle w:val="Akapitzlist"/>
              <w:numPr>
                <w:ilvl w:val="0"/>
                <w:numId w:val="170"/>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Ograniczony zasób finansowy</w:t>
            </w:r>
          </w:p>
        </w:tc>
      </w:tr>
      <w:tr w:rsidR="00F51F0D" w:rsidRPr="00130DB6" w14:paraId="5466B2B8" w14:textId="77777777" w:rsidTr="00E86509">
        <w:trPr>
          <w:cnfStyle w:val="000000100000" w:firstRow="0" w:lastRow="0" w:firstColumn="0" w:lastColumn="0" w:oddVBand="0" w:evenVBand="0" w:oddHBand="1" w:evenHBand="0" w:firstRowFirstColumn="0" w:firstRowLastColumn="0" w:lastRowFirstColumn="0" w:lastRowLastColumn="0"/>
          <w:trHeight w:val="243"/>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8" w:space="0" w:color="4472C4" w:themeColor="accent5"/>
              <w:right w:val="single" w:sz="8" w:space="0" w:color="4472C4" w:themeColor="accent5"/>
            </w:tcBorders>
            <w:shd w:val="clear" w:color="auto" w:fill="9CC2E5" w:themeFill="accent1" w:themeFillTint="99"/>
          </w:tcPr>
          <w:p w14:paraId="1EF48DDD" w14:textId="77777777" w:rsidR="00F51F0D" w:rsidRPr="00010F36" w:rsidRDefault="00F51F0D" w:rsidP="00E86509">
            <w:pPr>
              <w:spacing w:after="0" w:line="240" w:lineRule="auto"/>
              <w:rPr>
                <w:rFonts w:ascii="Times New Roman" w:hAnsi="Times New Roman" w:cs="Times New Roman"/>
                <w:b w:val="0"/>
                <w:bCs w:val="0"/>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6F3072B" w14:textId="77777777" w:rsidR="00F51F0D" w:rsidRPr="00010F36" w:rsidRDefault="00F51F0D" w:rsidP="00E86509">
            <w:pPr>
              <w:pStyle w:val="Akapitzlist"/>
              <w:numPr>
                <w:ilvl w:val="0"/>
                <w:numId w:val="170"/>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Ograniczony zasób kadrowy</w:t>
            </w:r>
          </w:p>
        </w:tc>
      </w:tr>
      <w:tr w:rsidR="00F51F0D" w:rsidRPr="00130DB6" w14:paraId="79CC2B2F" w14:textId="77777777" w:rsidTr="00E86509">
        <w:trPr>
          <w:trHeight w:val="335"/>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8" w:space="0" w:color="4472C4" w:themeColor="accent5"/>
              <w:right w:val="single" w:sz="8" w:space="0" w:color="4472C4" w:themeColor="accent5"/>
            </w:tcBorders>
            <w:shd w:val="clear" w:color="auto" w:fill="9CC2E5" w:themeFill="accent1" w:themeFillTint="99"/>
          </w:tcPr>
          <w:p w14:paraId="02E31C3B" w14:textId="77777777" w:rsidR="00F51F0D" w:rsidRPr="00010F36" w:rsidRDefault="00F51F0D" w:rsidP="00E86509">
            <w:pPr>
              <w:spacing w:after="0" w:line="240" w:lineRule="auto"/>
              <w:rPr>
                <w:rFonts w:ascii="Times New Roman" w:hAnsi="Times New Roman" w:cs="Times New Roman"/>
                <w:b w:val="0"/>
                <w:bCs w:val="0"/>
                <w:color w:val="auto"/>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DBEBFAD" w14:textId="77777777" w:rsidR="00F51F0D" w:rsidRPr="004E4764" w:rsidRDefault="00F51F0D" w:rsidP="00E86509">
            <w:pPr>
              <w:pStyle w:val="Akapitzlist"/>
              <w:numPr>
                <w:ilvl w:val="0"/>
                <w:numId w:val="170"/>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Duża rotacja pracowników</w:t>
            </w:r>
          </w:p>
        </w:tc>
      </w:tr>
      <w:tr w:rsidR="00F51F0D" w:rsidRPr="00130DB6" w14:paraId="5435AC65" w14:textId="77777777" w:rsidTr="00E86509">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8" w:space="0" w:color="4472C4" w:themeColor="accent5"/>
              <w:right w:val="single" w:sz="8" w:space="0" w:color="4472C4" w:themeColor="accent5"/>
            </w:tcBorders>
            <w:shd w:val="clear" w:color="auto" w:fill="9CC2E5" w:themeFill="accent1" w:themeFillTint="99"/>
          </w:tcPr>
          <w:p w14:paraId="28A1AB07" w14:textId="77777777" w:rsidR="00F51F0D" w:rsidRPr="00010F36" w:rsidRDefault="00F51F0D" w:rsidP="00E86509">
            <w:pPr>
              <w:spacing w:after="0" w:line="240" w:lineRule="auto"/>
              <w:rPr>
                <w:rFonts w:ascii="Times New Roman" w:hAnsi="Times New Roman" w:cs="Times New Roman"/>
                <w:b w:val="0"/>
                <w:bCs w:val="0"/>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D2AF63F" w14:textId="77777777" w:rsidR="00F51F0D" w:rsidRPr="004E4764" w:rsidRDefault="00F51F0D" w:rsidP="00E86509">
            <w:pPr>
              <w:pStyle w:val="Akapitzlist"/>
              <w:numPr>
                <w:ilvl w:val="0"/>
                <w:numId w:val="170"/>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F51F0D">
              <w:rPr>
                <w:rFonts w:ascii="Times New Roman" w:hAnsi="Times New Roman" w:cs="Times New Roman"/>
                <w:color w:val="auto"/>
              </w:rPr>
              <w:t>Brak wykwalifikowanych opiekunów</w:t>
            </w:r>
          </w:p>
        </w:tc>
      </w:tr>
      <w:tr w:rsidR="00F51F0D" w:rsidRPr="00130DB6" w14:paraId="51F4312B" w14:textId="77777777" w:rsidTr="00E86509">
        <w:trPr>
          <w:trHeight w:val="335"/>
        </w:trPr>
        <w:tc>
          <w:tcPr>
            <w:cnfStyle w:val="001000000000" w:firstRow="0" w:lastRow="0" w:firstColumn="1" w:lastColumn="0" w:oddVBand="0" w:evenVBand="0" w:oddHBand="0" w:evenHBand="0" w:firstRowFirstColumn="0" w:firstRowLastColumn="0" w:lastRowFirstColumn="0" w:lastRowLastColumn="0"/>
            <w:tcW w:w="2830" w:type="dxa"/>
            <w:vMerge/>
            <w:tcBorders>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A2392E8" w14:textId="77777777" w:rsidR="00F51F0D" w:rsidRPr="00010F36" w:rsidRDefault="00F51F0D" w:rsidP="00E86509">
            <w:pPr>
              <w:spacing w:after="0" w:line="240" w:lineRule="auto"/>
              <w:rPr>
                <w:rFonts w:ascii="Times New Roman" w:hAnsi="Times New Roman" w:cs="Times New Roman"/>
                <w:b w:val="0"/>
                <w:bCs w:val="0"/>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1C79D8E" w14:textId="77777777" w:rsidR="00F51F0D" w:rsidRPr="00F51F0D" w:rsidRDefault="00F51F0D" w:rsidP="00E8650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rPr>
            </w:pPr>
            <w:r w:rsidRPr="004E4764">
              <w:rPr>
                <w:rFonts w:ascii="Times New Roman" w:hAnsi="Times New Roman" w:cs="Times New Roman"/>
                <w:b/>
                <w:color w:val="auto"/>
              </w:rPr>
              <w:t>5</w:t>
            </w:r>
            <w:r>
              <w:rPr>
                <w:rFonts w:ascii="Times New Roman" w:hAnsi="Times New Roman" w:cs="Times New Roman"/>
                <w:color w:val="auto"/>
              </w:rPr>
              <w:t>. Brak infrastruktury</w:t>
            </w:r>
          </w:p>
        </w:tc>
      </w:tr>
      <w:tr w:rsidR="00F62C5B" w:rsidRPr="00130DB6" w14:paraId="6DC269FA" w14:textId="77777777" w:rsidTr="00E86509">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00F1DA2" w14:textId="77777777" w:rsidR="00F62C5B" w:rsidRPr="00010F36" w:rsidRDefault="00F62C5B" w:rsidP="00E86509">
            <w:pPr>
              <w:spacing w:after="0" w:line="240" w:lineRule="auto"/>
              <w:rPr>
                <w:rFonts w:ascii="Times New Roman" w:hAnsi="Times New Roman" w:cs="Times New Roman"/>
                <w:b w:val="0"/>
                <w:bCs w:val="0"/>
                <w:color w:val="auto"/>
                <w:lang w:eastAsia="pl-PL"/>
              </w:rPr>
            </w:pPr>
            <w:r w:rsidRPr="00010F36">
              <w:rPr>
                <w:rFonts w:ascii="Times New Roman" w:hAnsi="Times New Roman" w:cs="Times New Roman"/>
                <w:color w:val="auto"/>
                <w:lang w:eastAsia="pl-PL"/>
              </w:rPr>
              <w:t>Stopień zaspokojenia potrzeb w zakresie usług opiekuńczych</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EF08F9D" w14:textId="77777777" w:rsidR="00F62C5B" w:rsidRPr="00010F36" w:rsidRDefault="00F62C5B" w:rsidP="00E8650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rPr>
            </w:pPr>
            <w:r w:rsidRPr="00010F36">
              <w:rPr>
                <w:rFonts w:ascii="Times New Roman" w:hAnsi="Times New Roman" w:cs="Times New Roman"/>
                <w:color w:val="auto"/>
              </w:rPr>
              <w:t>W 2019 r. wszystkie osoby ubiegające się o wsparcie w formie usług opiekuńczych, specjalistycznych usług opiekuńczych i specjalistycznych usług opiekuńczych dla osób z zaburzeniami psychicznymi, spełniające przesłanki wynikające z ustawy o pomocy społecznej, taką pomoc otrzymały. Osoby wymagające usług opiekuńczych mają te usługi zapewniane i dostosowane do ich potrzeb.</w:t>
            </w:r>
          </w:p>
        </w:tc>
      </w:tr>
    </w:tbl>
    <w:p w14:paraId="5668840B" w14:textId="77777777" w:rsidR="004965A4" w:rsidRDefault="004965A4" w:rsidP="008C71A9">
      <w:pPr>
        <w:pStyle w:val="Nagwek2"/>
        <w:numPr>
          <w:ilvl w:val="1"/>
          <w:numId w:val="97"/>
        </w:numPr>
        <w:rPr>
          <w:rFonts w:eastAsia="Times New Roman"/>
          <w:lang w:eastAsia="ar-SA"/>
        </w:rPr>
        <w:sectPr w:rsidR="004965A4" w:rsidSect="00DB6308">
          <w:pgSz w:w="16838" w:h="11900" w:orient="landscape"/>
          <w:pgMar w:top="1380" w:right="1384" w:bottom="1386" w:left="1038" w:header="0" w:footer="567" w:gutter="0"/>
          <w:cols w:space="0" w:equalWidth="0">
            <w:col w:w="9140"/>
          </w:cols>
          <w:docGrid w:linePitch="360"/>
        </w:sectPr>
      </w:pPr>
    </w:p>
    <w:p w14:paraId="029E8D51" w14:textId="77777777" w:rsidR="00131231" w:rsidRPr="00AF051D" w:rsidRDefault="00B25D75" w:rsidP="003C1988">
      <w:pPr>
        <w:pStyle w:val="Nagwek2"/>
        <w:numPr>
          <w:ilvl w:val="1"/>
          <w:numId w:val="97"/>
        </w:numPr>
        <w:spacing w:before="240" w:after="240"/>
        <w:rPr>
          <w:rFonts w:eastAsia="Times New Roman" w:cs="Times New Roman"/>
          <w:sz w:val="40"/>
          <w:lang w:eastAsia="ar-SA"/>
        </w:rPr>
      </w:pPr>
      <w:bookmarkStart w:id="150" w:name="_Toc49171368"/>
      <w:r w:rsidRPr="00AF051D">
        <w:rPr>
          <w:rFonts w:eastAsia="Times New Roman" w:cs="Times New Roman"/>
          <w:sz w:val="40"/>
          <w:lang w:eastAsia="ar-SA"/>
        </w:rPr>
        <w:lastRenderedPageBreak/>
        <w:t xml:space="preserve">Województwo </w:t>
      </w:r>
      <w:r w:rsidR="005F0A32" w:rsidRPr="00AF051D">
        <w:rPr>
          <w:rFonts w:eastAsia="Times New Roman" w:cs="Times New Roman"/>
          <w:sz w:val="40"/>
          <w:lang w:eastAsia="ar-SA"/>
        </w:rPr>
        <w:t>ś</w:t>
      </w:r>
      <w:r w:rsidR="00475EFA" w:rsidRPr="00AF051D">
        <w:rPr>
          <w:rFonts w:eastAsia="Times New Roman" w:cs="Times New Roman"/>
          <w:sz w:val="40"/>
          <w:lang w:eastAsia="ar-SA"/>
        </w:rPr>
        <w:t>więtokrzyskie</w:t>
      </w:r>
      <w:bookmarkEnd w:id="150"/>
    </w:p>
    <w:p w14:paraId="179FFE72" w14:textId="77777777" w:rsidR="00131231" w:rsidRPr="00131231" w:rsidRDefault="00131231" w:rsidP="000D7CDE">
      <w:pPr>
        <w:spacing w:after="0"/>
        <w:jc w:val="both"/>
        <w:rPr>
          <w:rFonts w:ascii="Times New Roman" w:hAnsi="Times New Roman" w:cs="Times New Roman"/>
          <w:b/>
          <w:color w:val="00B0F0"/>
          <w:sz w:val="24"/>
          <w:szCs w:val="24"/>
          <w:lang w:eastAsia="ar-SA"/>
        </w:rPr>
      </w:pPr>
      <w:r w:rsidRPr="00131231">
        <w:rPr>
          <w:rFonts w:ascii="Times New Roman" w:hAnsi="Times New Roman" w:cs="Times New Roman"/>
          <w:b/>
          <w:color w:val="00B0F0"/>
          <w:sz w:val="24"/>
          <w:szCs w:val="24"/>
          <w:lang w:eastAsia="ar-SA"/>
        </w:rPr>
        <w:t>Dokumenty, strategie i działania na rzecz osób starszych</w:t>
      </w:r>
    </w:p>
    <w:p w14:paraId="6FF120B9" w14:textId="77777777" w:rsidR="00131231" w:rsidRPr="00131231" w:rsidRDefault="00131231" w:rsidP="000D7CDE">
      <w:pPr>
        <w:spacing w:after="0"/>
        <w:jc w:val="both"/>
        <w:rPr>
          <w:rFonts w:ascii="Times New Roman" w:hAnsi="Times New Roman" w:cs="Times New Roman"/>
          <w:b/>
          <w:sz w:val="24"/>
          <w:szCs w:val="24"/>
          <w:lang w:eastAsia="ar-SA"/>
        </w:rPr>
      </w:pPr>
    </w:p>
    <w:p w14:paraId="10814ABA" w14:textId="2C465269" w:rsidR="00AB1786" w:rsidRPr="005F0A32" w:rsidRDefault="00AB1786" w:rsidP="000D7CDE">
      <w:pPr>
        <w:spacing w:after="0"/>
        <w:jc w:val="both"/>
        <w:rPr>
          <w:rFonts w:ascii="Times New Roman" w:hAnsi="Times New Roman" w:cs="Times New Roman"/>
          <w:bCs/>
          <w:sz w:val="24"/>
          <w:szCs w:val="24"/>
        </w:rPr>
      </w:pPr>
      <w:r w:rsidRPr="005F0A32">
        <w:rPr>
          <w:rFonts w:ascii="Times New Roman" w:hAnsi="Times New Roman" w:cs="Times New Roman"/>
          <w:bCs/>
          <w:sz w:val="24"/>
          <w:szCs w:val="24"/>
        </w:rPr>
        <w:t xml:space="preserve">W Województwie Świętokrzyskim w 2019 </w:t>
      </w:r>
      <w:r w:rsidR="008719D4">
        <w:rPr>
          <w:rFonts w:ascii="Times New Roman" w:hAnsi="Times New Roman" w:cs="Times New Roman"/>
          <w:bCs/>
          <w:sz w:val="24"/>
          <w:szCs w:val="24"/>
        </w:rPr>
        <w:t xml:space="preserve">r. </w:t>
      </w:r>
      <w:r w:rsidRPr="005F0A32">
        <w:rPr>
          <w:rFonts w:ascii="Times New Roman" w:hAnsi="Times New Roman" w:cs="Times New Roman"/>
          <w:bCs/>
          <w:sz w:val="24"/>
          <w:szCs w:val="24"/>
        </w:rPr>
        <w:t xml:space="preserve">odnotowano 24 654 osób niepełnosprawnych posiadających ważne orzeczenie o stopniu niepełnosprawności w wieku 60 lat i więcej. Poniższe zestawienie tabelaryczne dotyczy schorzeń ze względu na jakie osoby zainteresowane uzyskały orzeczenie o stopniu niepełnosprawności zgodnie z §32 ust 2 </w:t>
      </w:r>
      <w:r w:rsidRPr="00131231">
        <w:rPr>
          <w:rFonts w:ascii="Times New Roman" w:hAnsi="Times New Roman" w:cs="Times New Roman"/>
          <w:bCs/>
          <w:i/>
          <w:sz w:val="24"/>
          <w:szCs w:val="24"/>
        </w:rPr>
        <w:t xml:space="preserve">Rozporządzenia Ministra Gospodarki, Pracy i Polityki Społecznej z dnia 15 lipca 2003 r. </w:t>
      </w:r>
      <w:r w:rsidRPr="00131231">
        <w:rPr>
          <w:rFonts w:ascii="Times New Roman" w:hAnsi="Times New Roman" w:cs="Times New Roman"/>
          <w:bCs/>
          <w:i/>
          <w:sz w:val="24"/>
          <w:szCs w:val="24"/>
        </w:rPr>
        <w:br/>
        <w:t>w sprawie orzekania o niepełnosprawności i stopniu niepełnosprawności</w:t>
      </w:r>
      <w:r w:rsidRPr="005F0A32">
        <w:rPr>
          <w:rFonts w:ascii="Times New Roman" w:hAnsi="Times New Roman" w:cs="Times New Roman"/>
          <w:bCs/>
          <w:sz w:val="24"/>
          <w:szCs w:val="24"/>
        </w:rPr>
        <w:t xml:space="preserve"> (j. t. Dz. U. z 2018 r. poz. 2027 z </w:t>
      </w:r>
      <w:r w:rsidR="00E83F81" w:rsidRPr="005F0A32">
        <w:rPr>
          <w:rFonts w:ascii="Times New Roman" w:hAnsi="Times New Roman" w:cs="Times New Roman"/>
          <w:bCs/>
          <w:sz w:val="24"/>
          <w:szCs w:val="24"/>
        </w:rPr>
        <w:t>późn</w:t>
      </w:r>
      <w:r w:rsidRPr="005F0A32">
        <w:rPr>
          <w:rFonts w:ascii="Times New Roman" w:hAnsi="Times New Roman" w:cs="Times New Roman"/>
          <w:bCs/>
          <w:sz w:val="24"/>
          <w:szCs w:val="24"/>
        </w:rPr>
        <w:t xml:space="preserve">. zm.). </w:t>
      </w:r>
    </w:p>
    <w:p w14:paraId="4B1C7C3D" w14:textId="77777777" w:rsidR="00AB1786" w:rsidRPr="005F0A32" w:rsidRDefault="00AB1786" w:rsidP="000D7CDE">
      <w:pPr>
        <w:spacing w:after="0"/>
        <w:ind w:firstLine="1"/>
        <w:jc w:val="both"/>
        <w:rPr>
          <w:rFonts w:ascii="Times New Roman" w:hAnsi="Times New Roman" w:cs="Times New Roman"/>
          <w:bCs/>
          <w:sz w:val="24"/>
          <w:szCs w:val="24"/>
        </w:rPr>
      </w:pPr>
      <w:r w:rsidRPr="005F0A32">
        <w:rPr>
          <w:rFonts w:ascii="Times New Roman" w:hAnsi="Times New Roman" w:cs="Times New Roman"/>
          <w:bCs/>
          <w:sz w:val="24"/>
          <w:szCs w:val="24"/>
        </w:rPr>
        <w:t xml:space="preserve">Na podstawie poniższego zestawienia wywnioskować można, iż najczęstszą przyczyną ubiegania się o wydanie orzeczenia o stopniu niepełnosprawności w roku 2019 przez osoby </w:t>
      </w:r>
      <w:r w:rsidRPr="005F0A32">
        <w:rPr>
          <w:rFonts w:ascii="Times New Roman" w:hAnsi="Times New Roman" w:cs="Times New Roman"/>
          <w:bCs/>
          <w:sz w:val="24"/>
          <w:szCs w:val="24"/>
        </w:rPr>
        <w:br/>
        <w:t>w wieku 60 lat i więcej były schorzenia narządu ruchu 7</w:t>
      </w:r>
      <w:r w:rsidR="00131231">
        <w:rPr>
          <w:rFonts w:ascii="Times New Roman" w:hAnsi="Times New Roman" w:cs="Times New Roman"/>
          <w:bCs/>
          <w:sz w:val="24"/>
          <w:szCs w:val="24"/>
        </w:rPr>
        <w:t xml:space="preserve"> </w:t>
      </w:r>
      <w:r w:rsidRPr="005F0A32">
        <w:rPr>
          <w:rFonts w:ascii="Times New Roman" w:hAnsi="Times New Roman" w:cs="Times New Roman"/>
          <w:bCs/>
          <w:sz w:val="24"/>
          <w:szCs w:val="24"/>
        </w:rPr>
        <w:t>998 osób (symbol przyczyny niepełnosprawności 05-R) oraz schorzenia układu oddechowego i krążenia 6</w:t>
      </w:r>
      <w:r w:rsidR="00131231">
        <w:rPr>
          <w:rFonts w:ascii="Times New Roman" w:hAnsi="Times New Roman" w:cs="Times New Roman"/>
          <w:bCs/>
          <w:sz w:val="24"/>
          <w:szCs w:val="24"/>
        </w:rPr>
        <w:t xml:space="preserve"> </w:t>
      </w:r>
      <w:r w:rsidRPr="005F0A32">
        <w:rPr>
          <w:rFonts w:ascii="Times New Roman" w:hAnsi="Times New Roman" w:cs="Times New Roman"/>
          <w:bCs/>
          <w:sz w:val="24"/>
          <w:szCs w:val="24"/>
        </w:rPr>
        <w:t xml:space="preserve">157 </w:t>
      </w:r>
      <w:r w:rsidRPr="005F0A32">
        <w:rPr>
          <w:rFonts w:ascii="Times New Roman" w:hAnsi="Times New Roman" w:cs="Times New Roman"/>
          <w:bCs/>
          <w:sz w:val="24"/>
          <w:szCs w:val="24"/>
        </w:rPr>
        <w:br/>
        <w:t>(symbol przyczyny niepełnosprawności 07-S).</w:t>
      </w:r>
    </w:p>
    <w:p w14:paraId="1ED7129E" w14:textId="77777777" w:rsidR="00AB1786" w:rsidRPr="005F0A32" w:rsidRDefault="00AB1786" w:rsidP="000D7CDE">
      <w:pPr>
        <w:spacing w:after="0"/>
        <w:ind w:firstLine="1"/>
        <w:jc w:val="both"/>
        <w:rPr>
          <w:rFonts w:ascii="Times New Roman" w:hAnsi="Times New Roman" w:cs="Times New Roman"/>
          <w:bCs/>
          <w:sz w:val="24"/>
          <w:szCs w:val="24"/>
        </w:rPr>
      </w:pPr>
      <w:r w:rsidRPr="005F0A32">
        <w:rPr>
          <w:rFonts w:ascii="Times New Roman" w:hAnsi="Times New Roman" w:cs="Times New Roman"/>
          <w:bCs/>
          <w:sz w:val="24"/>
          <w:szCs w:val="24"/>
        </w:rPr>
        <w:t xml:space="preserve"> </w:t>
      </w:r>
    </w:p>
    <w:p w14:paraId="3BF204CD"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Wojewódzki program wyrównywania szans osób niepełnosprawnych i przeciwdziałania ich wykluczeniu społecznemu oraz pomocy w realizacji zadań na rzecz zatrudniania osób niepełnosprawnych na lata 2014-2020 wyznacza obszary, w jakich powinny być realizowane działania na rzecz środowiska osób niepełnosprawnych. </w:t>
      </w:r>
    </w:p>
    <w:p w14:paraId="4EAEF84D"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Działania podejmowana w ramach Programu zmierzają do: </w:t>
      </w:r>
    </w:p>
    <w:p w14:paraId="297874EC" w14:textId="77777777" w:rsidR="00AB1786" w:rsidRPr="005F0A32" w:rsidRDefault="00AB1786" w:rsidP="000D7CDE">
      <w:pPr>
        <w:numPr>
          <w:ilvl w:val="0"/>
          <w:numId w:val="24"/>
        </w:numPr>
        <w:spacing w:after="0"/>
        <w:ind w:left="720" w:hanging="357"/>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aktywizacji osób niepełnosprawnych w życiu zawodowym, społecznym, kulturalnym, </w:t>
      </w:r>
    </w:p>
    <w:p w14:paraId="0D2A3823" w14:textId="77777777" w:rsidR="00AB1786" w:rsidRPr="005F0A32" w:rsidRDefault="00AB1786" w:rsidP="000D7CDE">
      <w:pPr>
        <w:numPr>
          <w:ilvl w:val="0"/>
          <w:numId w:val="24"/>
        </w:num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zmiany panujących społecznych negatywnych stereotypów na temat osób niepełnosprawnych,  </w:t>
      </w:r>
    </w:p>
    <w:p w14:paraId="27B8453F" w14:textId="77777777" w:rsidR="00AB1786" w:rsidRPr="005F0A32" w:rsidRDefault="00AB1786" w:rsidP="000D7CDE">
      <w:pPr>
        <w:numPr>
          <w:ilvl w:val="0"/>
          <w:numId w:val="24"/>
        </w:num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podnoszenia świadomości osób niepełnosprawnych w zakresie przysługujących im praw,  </w:t>
      </w:r>
    </w:p>
    <w:p w14:paraId="63455402" w14:textId="77777777" w:rsidR="00AB1786"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wymagają ścisłej współpracy i zaangażowania podmiotów publicznych i niepublicznych wszystkich szczebli życia społecznego przy jednoczesnej maksymalizacji wykorzystania nakładów finansowych na realizację zadań.</w:t>
      </w:r>
    </w:p>
    <w:p w14:paraId="75B4AD8F" w14:textId="77777777" w:rsidR="00131231" w:rsidRPr="005F0A32" w:rsidRDefault="00131231" w:rsidP="000D7CDE">
      <w:pPr>
        <w:spacing w:after="0"/>
        <w:jc w:val="both"/>
        <w:rPr>
          <w:rFonts w:ascii="Times New Roman" w:hAnsi="Times New Roman" w:cs="Times New Roman"/>
          <w:sz w:val="24"/>
          <w:szCs w:val="24"/>
        </w:rPr>
      </w:pPr>
    </w:p>
    <w:p w14:paraId="2F73492D" w14:textId="77777777" w:rsidR="00AB1786" w:rsidRDefault="00AB1786" w:rsidP="000D7CDE">
      <w:pPr>
        <w:spacing w:after="0"/>
        <w:ind w:firstLine="1"/>
        <w:jc w:val="both"/>
        <w:rPr>
          <w:rFonts w:ascii="Times New Roman" w:hAnsi="Times New Roman" w:cs="Times New Roman"/>
          <w:sz w:val="24"/>
          <w:szCs w:val="24"/>
        </w:rPr>
      </w:pPr>
      <w:r w:rsidRPr="005F0A32">
        <w:rPr>
          <w:rFonts w:ascii="Times New Roman" w:hAnsi="Times New Roman" w:cs="Times New Roman"/>
          <w:sz w:val="24"/>
          <w:szCs w:val="24"/>
        </w:rPr>
        <w:t xml:space="preserve">Wojewódzki program wyrównywania szans osób niepełnosprawnych i przeciwdziałania ich wykluczeniu społecznemu oraz pomocy w realizacji zadań na rzecz zatrudniania osób niepełnosprawnych na lata 2014-2020 jest finansowany z następujących  źródeł: 1) środków Państwowego Funduszu Rehabilitacji Osób Niepełnosprawnych przyznawanych samorządom powiatowym i samorządowi województwa, 2) funduszy unijnych. 3) środków z budżetu państwa na ogólnopolskie programy wspierające osoby niepełnosprawne, 4) budżetów lokalnych samorządów. </w:t>
      </w:r>
    </w:p>
    <w:p w14:paraId="74CB117F" w14:textId="77777777" w:rsidR="00131231" w:rsidRPr="005F0A32" w:rsidRDefault="00131231" w:rsidP="000D7CDE">
      <w:pPr>
        <w:spacing w:after="0"/>
        <w:ind w:firstLine="1"/>
        <w:jc w:val="both"/>
        <w:rPr>
          <w:rFonts w:ascii="Times New Roman" w:hAnsi="Times New Roman" w:cs="Times New Roman"/>
          <w:sz w:val="24"/>
          <w:szCs w:val="24"/>
        </w:rPr>
      </w:pPr>
    </w:p>
    <w:p w14:paraId="2D6B2049" w14:textId="77777777" w:rsidR="00AB1786" w:rsidRPr="005F0A32" w:rsidRDefault="00AB1786" w:rsidP="000D7CDE">
      <w:pPr>
        <w:spacing w:after="0"/>
        <w:ind w:firstLine="1"/>
        <w:jc w:val="both"/>
        <w:rPr>
          <w:rFonts w:ascii="Times New Roman" w:hAnsi="Times New Roman" w:cs="Times New Roman"/>
          <w:sz w:val="24"/>
          <w:szCs w:val="24"/>
        </w:rPr>
      </w:pPr>
      <w:r w:rsidRPr="005F0A32">
        <w:rPr>
          <w:rFonts w:ascii="Times New Roman" w:hAnsi="Times New Roman" w:cs="Times New Roman"/>
          <w:sz w:val="24"/>
          <w:szCs w:val="24"/>
        </w:rPr>
        <w:t xml:space="preserve">Elementem towarzyszącym wdrażaniu Programu jest jego monitorowanie i coroczna ocena realizacji. Zbieranie i analizowanie ilościowych i jakościowych danych na temat poszczególnych działań realizowanych w ramach celów pośrednich, pozwoli na bieżące </w:t>
      </w:r>
      <w:r w:rsidRPr="005F0A32">
        <w:rPr>
          <w:rFonts w:ascii="Times New Roman" w:hAnsi="Times New Roman" w:cs="Times New Roman"/>
          <w:sz w:val="24"/>
          <w:szCs w:val="24"/>
        </w:rPr>
        <w:lastRenderedPageBreak/>
        <w:t>śledzenie stopnia ich wykonania oraz wprowadzanie ewentualnych korekt lub zmian. Ocena programu zostanie dokonana w oparciu o zasadę współpracy z zainteresowanymi partnerami</w:t>
      </w:r>
      <w:r w:rsidRPr="005F0A32">
        <w:rPr>
          <w:rFonts w:ascii="Times New Roman" w:hAnsi="Times New Roman" w:cs="Times New Roman"/>
          <w:b/>
          <w:sz w:val="24"/>
          <w:szCs w:val="24"/>
        </w:rPr>
        <w:t>.</w:t>
      </w:r>
    </w:p>
    <w:p w14:paraId="01C260C6" w14:textId="77777777" w:rsidR="00AB1786" w:rsidRPr="005F0A32" w:rsidRDefault="00AB1786" w:rsidP="000D7CDE">
      <w:pPr>
        <w:spacing w:after="0"/>
        <w:ind w:firstLine="1"/>
        <w:jc w:val="both"/>
        <w:rPr>
          <w:rFonts w:ascii="Times New Roman" w:hAnsi="Times New Roman" w:cs="Times New Roman"/>
          <w:sz w:val="24"/>
          <w:szCs w:val="24"/>
        </w:rPr>
      </w:pPr>
      <w:r w:rsidRPr="005F0A32">
        <w:rPr>
          <w:rFonts w:ascii="Times New Roman" w:hAnsi="Times New Roman" w:cs="Times New Roman"/>
          <w:sz w:val="24"/>
          <w:szCs w:val="24"/>
        </w:rPr>
        <w:t xml:space="preserve">Działania związane z informacją i promocją programu należą do kompetencji Samorządu Województwa Świętokrzyskiego – Regionalnego Ośrodka Polityki Społecznej. </w:t>
      </w:r>
    </w:p>
    <w:p w14:paraId="19072DA6" w14:textId="77777777" w:rsidR="00AB1786" w:rsidRPr="005F0A32" w:rsidRDefault="00AB1786" w:rsidP="000D7CDE">
      <w:pPr>
        <w:spacing w:after="0"/>
        <w:ind w:firstLine="1"/>
        <w:jc w:val="both"/>
        <w:rPr>
          <w:rFonts w:ascii="Times New Roman" w:hAnsi="Times New Roman" w:cs="Times New Roman"/>
          <w:sz w:val="24"/>
          <w:szCs w:val="24"/>
        </w:rPr>
      </w:pPr>
      <w:r w:rsidRPr="005F0A32">
        <w:rPr>
          <w:rFonts w:ascii="Times New Roman" w:hAnsi="Times New Roman" w:cs="Times New Roman"/>
          <w:sz w:val="24"/>
          <w:szCs w:val="24"/>
        </w:rPr>
        <w:t xml:space="preserve">Działania te są podejmowane we współpracy z instytucjami pomocy i integracji społecznej szczebla powiatowego, gminnego, a także z organizacjami pozarządowymi. Miały one na celu upowszechnienie oraz dostarczenie wiedzy na temat możliwości realizowania założonych </w:t>
      </w:r>
      <w:r w:rsidRPr="005F0A32">
        <w:rPr>
          <w:rFonts w:ascii="Times New Roman" w:hAnsi="Times New Roman" w:cs="Times New Roman"/>
          <w:sz w:val="24"/>
          <w:szCs w:val="24"/>
        </w:rPr>
        <w:br/>
        <w:t xml:space="preserve">w programie celów.  </w:t>
      </w:r>
    </w:p>
    <w:p w14:paraId="436F091B" w14:textId="77777777" w:rsidR="00131231" w:rsidRDefault="00131231" w:rsidP="000D7CDE">
      <w:pPr>
        <w:spacing w:after="0"/>
        <w:jc w:val="both"/>
        <w:rPr>
          <w:rFonts w:ascii="Times New Roman" w:hAnsi="Times New Roman" w:cs="Times New Roman"/>
          <w:sz w:val="24"/>
          <w:szCs w:val="24"/>
        </w:rPr>
      </w:pPr>
    </w:p>
    <w:p w14:paraId="15BD2C73"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Instrumenty działań promocyjnych: </w:t>
      </w:r>
    </w:p>
    <w:p w14:paraId="155EF0E0" w14:textId="77777777" w:rsidR="00AB1786" w:rsidRPr="005F0A32" w:rsidRDefault="00AB1786" w:rsidP="000D7CDE">
      <w:pPr>
        <w:numPr>
          <w:ilvl w:val="0"/>
          <w:numId w:val="24"/>
        </w:numPr>
        <w:spacing w:after="0"/>
        <w:ind w:left="284" w:hanging="284"/>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Prowadzenie konsultacji społecznych,  </w:t>
      </w:r>
    </w:p>
    <w:p w14:paraId="764B8495" w14:textId="77777777" w:rsidR="00AB1786" w:rsidRPr="005F0A32" w:rsidRDefault="00AB1786" w:rsidP="000D7CDE">
      <w:pPr>
        <w:numPr>
          <w:ilvl w:val="0"/>
          <w:numId w:val="24"/>
        </w:numPr>
        <w:spacing w:after="0"/>
        <w:ind w:left="284" w:hanging="284"/>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Powołanie Zespołu ds. konsultacji projektu Programu,  </w:t>
      </w:r>
    </w:p>
    <w:p w14:paraId="4A2A45B5" w14:textId="77777777" w:rsidR="00AB1786" w:rsidRPr="005F0A32" w:rsidRDefault="00AB1786" w:rsidP="000D7CDE">
      <w:pPr>
        <w:numPr>
          <w:ilvl w:val="0"/>
          <w:numId w:val="24"/>
        </w:numPr>
        <w:spacing w:after="0"/>
        <w:ind w:left="284" w:hanging="284"/>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Opiniowanie projektu Programu przez Wojewódzką Społeczną Radę ds. Osób Niepełnosprawnych, </w:t>
      </w:r>
    </w:p>
    <w:p w14:paraId="52C11B14" w14:textId="77777777" w:rsidR="00AB1786" w:rsidRPr="005F0A32" w:rsidRDefault="00AB1786" w:rsidP="000D7CDE">
      <w:pPr>
        <w:numPr>
          <w:ilvl w:val="0"/>
          <w:numId w:val="24"/>
        </w:numPr>
        <w:spacing w:after="0"/>
        <w:ind w:left="284" w:hanging="284"/>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umieszczenie Programu na stronie internetowej oraz BIP Urzędu Marszałkowskiego Województwa Świętokrzyskiego,  </w:t>
      </w:r>
    </w:p>
    <w:p w14:paraId="55389E70" w14:textId="77777777" w:rsidR="00AB1786" w:rsidRPr="005F0A32" w:rsidRDefault="00AB1786" w:rsidP="000D7CDE">
      <w:pPr>
        <w:numPr>
          <w:ilvl w:val="0"/>
          <w:numId w:val="24"/>
        </w:numPr>
        <w:spacing w:after="0"/>
        <w:ind w:left="284" w:hanging="284"/>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Konferencje i seminaria tematyczne,  </w:t>
      </w:r>
    </w:p>
    <w:p w14:paraId="78231629" w14:textId="77777777" w:rsidR="00AB1786" w:rsidRPr="005F0A32" w:rsidRDefault="00AB1786" w:rsidP="000D7CDE">
      <w:pPr>
        <w:numPr>
          <w:ilvl w:val="0"/>
          <w:numId w:val="24"/>
        </w:numPr>
        <w:spacing w:after="0"/>
        <w:ind w:left="284" w:hanging="284"/>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Współpraca z mediami w kierunku upowszechniania dobrych praktyk. </w:t>
      </w:r>
    </w:p>
    <w:p w14:paraId="75161D2D" w14:textId="77777777" w:rsidR="00131231" w:rsidRDefault="00131231" w:rsidP="000D7CDE">
      <w:pPr>
        <w:spacing w:after="0"/>
        <w:ind w:firstLine="1"/>
        <w:jc w:val="both"/>
        <w:rPr>
          <w:rFonts w:ascii="Times New Roman" w:hAnsi="Times New Roman" w:cs="Times New Roman"/>
          <w:sz w:val="24"/>
          <w:szCs w:val="24"/>
        </w:rPr>
      </w:pPr>
    </w:p>
    <w:p w14:paraId="6C6A31F8" w14:textId="77777777" w:rsidR="00AB1786" w:rsidRPr="005F0A32" w:rsidRDefault="00AB1786" w:rsidP="000D7CDE">
      <w:pPr>
        <w:spacing w:after="0"/>
        <w:ind w:firstLine="1"/>
        <w:jc w:val="both"/>
        <w:rPr>
          <w:rFonts w:ascii="Times New Roman" w:hAnsi="Times New Roman" w:cs="Times New Roman"/>
          <w:sz w:val="24"/>
          <w:szCs w:val="24"/>
        </w:rPr>
      </w:pPr>
      <w:r w:rsidRPr="00131231">
        <w:rPr>
          <w:rFonts w:ascii="Times New Roman" w:hAnsi="Times New Roman" w:cs="Times New Roman"/>
          <w:b/>
          <w:sz w:val="24"/>
          <w:szCs w:val="24"/>
        </w:rPr>
        <w:t>Wojewódzki program wyrównywania szans osób niepełnosprawnych i przeciwdziałania ich wykluczeniu społecznemu oraz pomocy w realizacji zadań na rzecz zatrudniania osób niepełnosprawnych na lata 2014-2020</w:t>
      </w:r>
      <w:r w:rsidRPr="005F0A32">
        <w:rPr>
          <w:rFonts w:ascii="Times New Roman" w:hAnsi="Times New Roman" w:cs="Times New Roman"/>
          <w:sz w:val="24"/>
          <w:szCs w:val="24"/>
        </w:rPr>
        <w:t xml:space="preserve"> jest dokumentem w szerokim stopniu korespondującym ze Strategią Polityki Społecznej Województwa Świętokrzyskiego na lata 2012-2020. Dokument określa najważniejsze kierunki działań w zakresie integracji i rehabilitacji osób niepełnosprawnych. </w:t>
      </w:r>
    </w:p>
    <w:p w14:paraId="410BE337" w14:textId="77777777" w:rsidR="00AB1786" w:rsidRDefault="00AB1786" w:rsidP="000D7CDE">
      <w:pPr>
        <w:spacing w:after="0"/>
        <w:ind w:firstLine="1"/>
        <w:jc w:val="both"/>
        <w:rPr>
          <w:rFonts w:ascii="Times New Roman" w:hAnsi="Times New Roman" w:cs="Times New Roman"/>
          <w:sz w:val="24"/>
          <w:szCs w:val="24"/>
        </w:rPr>
      </w:pPr>
      <w:r w:rsidRPr="005F0A32">
        <w:rPr>
          <w:rFonts w:ascii="Times New Roman" w:hAnsi="Times New Roman" w:cs="Times New Roman"/>
          <w:sz w:val="24"/>
          <w:szCs w:val="24"/>
        </w:rPr>
        <w:t>Realizacja  programu wpłynie na poprawę jakości i warunków życia mieszkańców regionu, którzy z uwagi na trudną sytuację życiową, nie są w stanie samodzielnie zaspokoić podstawowych potrzeb bytowych, przez co nie uczestniczą lub uczestniczą w ograniczonym zakresie w życiu rodzinnym, zawodowym i społecznym</w:t>
      </w:r>
    </w:p>
    <w:p w14:paraId="00189305" w14:textId="77777777" w:rsidR="00131231" w:rsidRPr="005F0A32" w:rsidRDefault="00131231" w:rsidP="000D7CDE">
      <w:pPr>
        <w:spacing w:after="0"/>
        <w:ind w:firstLine="1"/>
        <w:jc w:val="both"/>
        <w:rPr>
          <w:rFonts w:ascii="Times New Roman" w:hAnsi="Times New Roman" w:cs="Times New Roman"/>
          <w:sz w:val="24"/>
          <w:szCs w:val="24"/>
        </w:rPr>
      </w:pPr>
    </w:p>
    <w:p w14:paraId="49CCD8B8" w14:textId="77777777" w:rsidR="00AB1786" w:rsidRPr="005F0A32" w:rsidRDefault="00AB1786" w:rsidP="000D7CDE">
      <w:pPr>
        <w:pStyle w:val="NormalnyWeb"/>
        <w:spacing w:after="0"/>
        <w:jc w:val="both"/>
      </w:pPr>
      <w:r w:rsidRPr="005F0A32">
        <w:rPr>
          <w:rStyle w:val="Pogrubienie"/>
          <w:b w:val="0"/>
        </w:rPr>
        <w:t xml:space="preserve">Regionalny Ośrodek Polityki Społecznej w Kielcach i Caritas Diecezji Kieleckiej, realizuje projekt pn.: </w:t>
      </w:r>
      <w:r w:rsidRPr="00131231">
        <w:rPr>
          <w:rStyle w:val="Pogrubienie"/>
        </w:rPr>
        <w:t>„Standardy w zakresie mieszkalnictwa wspomaganego dla osób chorujących psychicznie po wielokrotnych pobytach w szpitalu psychiatrycznym”</w:t>
      </w:r>
      <w:r w:rsidRPr="005F0A32">
        <w:rPr>
          <w:rStyle w:val="Pogrubienie"/>
          <w:b w:val="0"/>
        </w:rPr>
        <w:t xml:space="preserve"> w ramach Programu Operacyjnego Wiedza Edukacja Rozwój 2014 – 2020 współfinansowanego ze środków  Euro</w:t>
      </w:r>
      <w:r w:rsidR="00131231">
        <w:rPr>
          <w:rStyle w:val="Pogrubienie"/>
          <w:b w:val="0"/>
        </w:rPr>
        <w:t xml:space="preserve">pejskiego Funduszu Społecznego. </w:t>
      </w:r>
      <w:r w:rsidRPr="00131231">
        <w:rPr>
          <w:rStyle w:val="Pogrubienie"/>
          <w:b w:val="0"/>
        </w:rPr>
        <w:t>Dofinansowanie</w:t>
      </w:r>
      <w:r w:rsidRPr="005F0A32">
        <w:t xml:space="preserve"> z UE</w:t>
      </w:r>
      <w:r w:rsidR="00131231">
        <w:t xml:space="preserve">  wyniosło</w:t>
      </w:r>
      <w:r w:rsidRPr="005F0A32">
        <w:t xml:space="preserve"> 10 103 705,70</w:t>
      </w:r>
      <w:r w:rsidR="00131231">
        <w:t xml:space="preserve"> </w:t>
      </w:r>
      <w:r w:rsidRPr="005F0A32">
        <w:t>zł</w:t>
      </w:r>
      <w:r w:rsidR="00131231" w:rsidRPr="00131231">
        <w:t>, o</w:t>
      </w:r>
      <w:r w:rsidRPr="00131231">
        <w:rPr>
          <w:rStyle w:val="Pogrubienie"/>
          <w:b w:val="0"/>
        </w:rPr>
        <w:t>kres realizacji projektu</w:t>
      </w:r>
      <w:r w:rsidRPr="005F0A32">
        <w:rPr>
          <w:rStyle w:val="Pogrubienie"/>
        </w:rPr>
        <w:t>:</w:t>
      </w:r>
      <w:r w:rsidRPr="005F0A32">
        <w:t xml:space="preserve"> 01 marca 2018 r. – 28 luty 2022 r.</w:t>
      </w:r>
      <w:r w:rsidR="00131231">
        <w:t xml:space="preserve"> </w:t>
      </w:r>
      <w:r w:rsidRPr="00131231">
        <w:rPr>
          <w:rStyle w:val="Pogrubienie"/>
          <w:b w:val="0"/>
        </w:rPr>
        <w:t>Celem projektu jest</w:t>
      </w:r>
      <w:r w:rsidRPr="005F0A32">
        <w:t xml:space="preserve"> wypracowanie, wdrożenie i upowszechnienie standardu w zakresie mieszkalnictwa wspomaganego dla osób chorujących psychicznie po wielokrotnych pobytach w szpitalu psychiatrycznym. Opracowany standard będzie uwzględniał specyfikę zaburzenia psychicznego, aktualny stan zdrowia psychicznego po przeprowadzeniu konsultacji </w:t>
      </w:r>
      <w:r w:rsidRPr="005F0A32">
        <w:br/>
        <w:t>z lekarzem psychiatrą, czas po okresie hospitalizacji oraz zostanie wdrożony i przetestowany na terenie 5 gmin zróżnicowanych pod względem sytuacji społeczno – gospodarczej, w tym:</w:t>
      </w:r>
    </w:p>
    <w:p w14:paraId="52A2E3A2" w14:textId="77777777" w:rsidR="00AB1786" w:rsidRPr="005F0A32" w:rsidRDefault="00AB1786" w:rsidP="000D7CDE">
      <w:pPr>
        <w:pStyle w:val="NormalnyWeb"/>
        <w:spacing w:after="0"/>
        <w:jc w:val="both"/>
      </w:pPr>
      <w:r w:rsidRPr="005F0A32">
        <w:t>3 gmin na terenie województwa lubelskiego, 1 gminy na terenie województwa podkarpackiego i 1 gminy na terenie województwa świętokrzyskiego.</w:t>
      </w:r>
    </w:p>
    <w:p w14:paraId="4E03AEB1" w14:textId="77777777" w:rsidR="00AB1786" w:rsidRPr="005F0A32" w:rsidRDefault="00AB1786" w:rsidP="000D7CDE">
      <w:pPr>
        <w:pStyle w:val="NormalnyWeb"/>
        <w:spacing w:after="0"/>
        <w:jc w:val="both"/>
      </w:pPr>
      <w:r w:rsidRPr="005F0A32">
        <w:lastRenderedPageBreak/>
        <w:t>Realizacja celu projektu wpłynie na:</w:t>
      </w:r>
      <w:r w:rsidRPr="005F0A32">
        <w:br/>
        <w:t>•    poprawę jakości usług realizowanych na rzecz osób chorujących psychicznie,</w:t>
      </w:r>
      <w:r w:rsidRPr="005F0A32">
        <w:br/>
        <w:t>•    zwiększenie dostępu do wysokiej jakości usług,</w:t>
      </w:r>
      <w:r w:rsidRPr="005F0A32">
        <w:br/>
        <w:t>•    zapobieganie ponownemu umieszczeniu osoby chorującej psychicznie w szpitalu psychiatrycznym i/lub skierowaniu do placówki opieki całodobowej (DPS, ZOL, ZOP),</w:t>
      </w:r>
      <w:r w:rsidRPr="005F0A32">
        <w:br/>
        <w:t>•    zwiększenie szans na funkcjonowanie osób chorujących psychicznie w środowisku lokalnym.</w:t>
      </w:r>
    </w:p>
    <w:p w14:paraId="7E51AB44" w14:textId="77777777" w:rsidR="00AB1786" w:rsidRPr="005F0A32" w:rsidRDefault="00AB1786" w:rsidP="000D7CDE">
      <w:pPr>
        <w:pStyle w:val="NormalnyWeb"/>
        <w:spacing w:after="0"/>
        <w:jc w:val="both"/>
      </w:pPr>
      <w:r w:rsidRPr="005F0A32">
        <w:t>Ponadto zostaną przeprowadzone działania edukacyjno – szkoleniowe dla przedstawicieli jednostek samorządu terytorialnego i NGO’s w zakresie stosowania opracowanego oraz wdrożonego standardu.</w:t>
      </w:r>
    </w:p>
    <w:p w14:paraId="1E245048" w14:textId="77777777" w:rsidR="00E943B6" w:rsidRDefault="00E943B6" w:rsidP="000D7CDE">
      <w:pPr>
        <w:pStyle w:val="Akapitzlist"/>
        <w:spacing w:after="0"/>
        <w:ind w:left="0"/>
        <w:jc w:val="both"/>
        <w:rPr>
          <w:rFonts w:ascii="Times New Roman" w:hAnsi="Times New Roman" w:cs="Times New Roman"/>
          <w:sz w:val="24"/>
          <w:szCs w:val="24"/>
        </w:rPr>
      </w:pPr>
    </w:p>
    <w:p w14:paraId="7228A84E" w14:textId="77777777" w:rsidR="00AB1786" w:rsidRDefault="00AB1786" w:rsidP="000D7CDE">
      <w:pPr>
        <w:pStyle w:val="Akapitzlist"/>
        <w:spacing w:after="0"/>
        <w:ind w:left="0"/>
        <w:jc w:val="both"/>
        <w:rPr>
          <w:rFonts w:ascii="Times New Roman" w:hAnsi="Times New Roman" w:cs="Times New Roman"/>
          <w:sz w:val="24"/>
          <w:szCs w:val="24"/>
        </w:rPr>
      </w:pPr>
      <w:r w:rsidRPr="005F0A32">
        <w:rPr>
          <w:rFonts w:ascii="Times New Roman" w:hAnsi="Times New Roman" w:cs="Times New Roman"/>
          <w:sz w:val="24"/>
          <w:szCs w:val="24"/>
        </w:rPr>
        <w:t xml:space="preserve">W województwie świętokrzyskim realizowana jest współpraca, mająca na celu rozwiązywanie wiodących problemów osób starszych, w tym integrację działań w ramach rządowych programów o charakterze społecznym i infrastrukturalnym. </w:t>
      </w:r>
    </w:p>
    <w:p w14:paraId="1CCDA37C" w14:textId="77777777" w:rsidR="00E943B6" w:rsidRDefault="00E943B6" w:rsidP="000D7CDE">
      <w:pPr>
        <w:pStyle w:val="Akapitzlist"/>
        <w:spacing w:after="0"/>
        <w:ind w:left="0"/>
        <w:jc w:val="both"/>
        <w:rPr>
          <w:rFonts w:ascii="Times New Roman" w:hAnsi="Times New Roman" w:cs="Times New Roman"/>
          <w:sz w:val="24"/>
          <w:szCs w:val="24"/>
        </w:rPr>
      </w:pPr>
    </w:p>
    <w:p w14:paraId="18059C4C" w14:textId="77777777" w:rsidR="00E943B6" w:rsidRPr="00E943B6" w:rsidRDefault="00E943B6" w:rsidP="000D7CDE">
      <w:pPr>
        <w:pStyle w:val="Akapitzlist"/>
        <w:spacing w:after="0"/>
        <w:ind w:left="0"/>
        <w:jc w:val="both"/>
        <w:rPr>
          <w:rFonts w:ascii="Times New Roman" w:hAnsi="Times New Roman" w:cs="Times New Roman"/>
          <w:b/>
          <w:sz w:val="24"/>
          <w:szCs w:val="24"/>
        </w:rPr>
      </w:pPr>
      <w:r w:rsidRPr="00E943B6">
        <w:rPr>
          <w:rFonts w:ascii="Times New Roman" w:hAnsi="Times New Roman" w:cs="Times New Roman"/>
          <w:b/>
          <w:sz w:val="24"/>
          <w:szCs w:val="24"/>
        </w:rPr>
        <w:t>Program Senior+</w:t>
      </w:r>
    </w:p>
    <w:p w14:paraId="2A49D7B1" w14:textId="77777777" w:rsidR="00131231" w:rsidRDefault="0096105C" w:rsidP="000D7CDE">
      <w:pPr>
        <w:spacing w:after="0"/>
        <w:jc w:val="both"/>
        <w:rPr>
          <w:rFonts w:ascii="Times New Roman" w:hAnsi="Times New Roman" w:cs="Times New Roman"/>
          <w:sz w:val="24"/>
          <w:szCs w:val="24"/>
        </w:rPr>
      </w:pPr>
      <w:r>
        <w:rPr>
          <w:rFonts w:ascii="Times New Roman" w:hAnsi="Times New Roman" w:cs="Times New Roman"/>
          <w:sz w:val="24"/>
          <w:szCs w:val="24"/>
        </w:rPr>
        <w:t xml:space="preserve">W 2019 r. utworzonych zostało 13 nowych placówek „Senior+” </w:t>
      </w:r>
      <w:r w:rsidR="00AB1786" w:rsidRPr="005F0A32">
        <w:rPr>
          <w:rFonts w:ascii="Times New Roman" w:hAnsi="Times New Roman" w:cs="Times New Roman"/>
          <w:sz w:val="24"/>
          <w:szCs w:val="24"/>
        </w:rPr>
        <w:t>z zapewnieniem miejsc dla 283 seniorów oraz bieżące funkcjonowanie 29 placówek „Senior” zapewniaj</w:t>
      </w:r>
      <w:r>
        <w:rPr>
          <w:rFonts w:ascii="Times New Roman" w:hAnsi="Times New Roman" w:cs="Times New Roman"/>
          <w:sz w:val="24"/>
          <w:szCs w:val="24"/>
        </w:rPr>
        <w:t xml:space="preserve">ących miejsca dla 682 seniorów. </w:t>
      </w:r>
      <w:r w:rsidR="00AB1786" w:rsidRPr="005F0A32">
        <w:rPr>
          <w:rFonts w:ascii="Times New Roman" w:hAnsi="Times New Roman" w:cs="Times New Roman"/>
          <w:sz w:val="24"/>
          <w:szCs w:val="24"/>
        </w:rPr>
        <w:t>Placówki te świadczą na rzecz seniorów usługi: socjalne, edukacyjne, kulturalno-oświatowe, sportowo-rekreacyjne, aktywności ruchowej, aktywizujące społ</w:t>
      </w:r>
      <w:r>
        <w:rPr>
          <w:rFonts w:ascii="Times New Roman" w:hAnsi="Times New Roman" w:cs="Times New Roman"/>
          <w:sz w:val="24"/>
          <w:szCs w:val="24"/>
        </w:rPr>
        <w:t>ecznie oraz terapii zajęciowej</w:t>
      </w:r>
      <w:r w:rsidR="004372A0">
        <w:rPr>
          <w:rStyle w:val="Odwoanieprzypisudolnego"/>
          <w:rFonts w:ascii="Times New Roman" w:hAnsi="Times New Roman" w:cs="Times New Roman"/>
          <w:sz w:val="24"/>
          <w:szCs w:val="24"/>
        </w:rPr>
        <w:footnoteReference w:id="215"/>
      </w:r>
      <w:r>
        <w:rPr>
          <w:rFonts w:ascii="Times New Roman" w:hAnsi="Times New Roman" w:cs="Times New Roman"/>
          <w:sz w:val="24"/>
          <w:szCs w:val="24"/>
        </w:rPr>
        <w:t xml:space="preserve">. </w:t>
      </w:r>
    </w:p>
    <w:p w14:paraId="6DE47119" w14:textId="77777777" w:rsidR="00131231" w:rsidRDefault="00131231" w:rsidP="000D7CDE">
      <w:pPr>
        <w:spacing w:after="0"/>
        <w:jc w:val="both"/>
        <w:rPr>
          <w:rFonts w:ascii="Times New Roman" w:hAnsi="Times New Roman" w:cs="Times New Roman"/>
          <w:sz w:val="24"/>
          <w:szCs w:val="24"/>
        </w:rPr>
      </w:pPr>
    </w:p>
    <w:p w14:paraId="6FD3B714" w14:textId="77777777" w:rsidR="0096105C" w:rsidRPr="00131231"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color w:val="000000"/>
          <w:sz w:val="24"/>
          <w:szCs w:val="24"/>
        </w:rPr>
        <w:t>Na terenie województwa świętokrzyskiego zgod</w:t>
      </w:r>
      <w:r w:rsidR="0096105C">
        <w:rPr>
          <w:rFonts w:ascii="Times New Roman" w:hAnsi="Times New Roman" w:cs="Times New Roman"/>
          <w:color w:val="000000"/>
          <w:sz w:val="24"/>
          <w:szCs w:val="24"/>
        </w:rPr>
        <w:t xml:space="preserve">nie z zapisami art. 5 c </w:t>
      </w:r>
      <w:r w:rsidR="0096105C" w:rsidRPr="00131231">
        <w:rPr>
          <w:rFonts w:ascii="Times New Roman" w:hAnsi="Times New Roman" w:cs="Times New Roman"/>
          <w:i/>
          <w:color w:val="000000"/>
          <w:sz w:val="24"/>
          <w:szCs w:val="24"/>
        </w:rPr>
        <w:t xml:space="preserve">ustawy </w:t>
      </w:r>
      <w:r w:rsidRPr="00131231">
        <w:rPr>
          <w:rFonts w:ascii="Times New Roman" w:hAnsi="Times New Roman" w:cs="Times New Roman"/>
          <w:i/>
          <w:color w:val="000000"/>
          <w:sz w:val="24"/>
          <w:szCs w:val="24"/>
        </w:rPr>
        <w:t>o samorządzie gminnym</w:t>
      </w:r>
      <w:r w:rsidRPr="005F0A32">
        <w:rPr>
          <w:rFonts w:ascii="Times New Roman" w:hAnsi="Times New Roman" w:cs="Times New Roman"/>
          <w:color w:val="000000"/>
          <w:sz w:val="24"/>
          <w:szCs w:val="24"/>
        </w:rPr>
        <w:t xml:space="preserve">, gminy sprzyjając solidarności międzypokoleniowej oraz tworząc warunki do pobudzania aktywności obywatelskiej osób starszych w społeczności lokalnej, powołują gminne rady seniorów. Działanie to realizowane jest na wniosek zainteresowanych środowisk. </w:t>
      </w:r>
    </w:p>
    <w:p w14:paraId="282362CB" w14:textId="77777777" w:rsidR="00AB1786" w:rsidRPr="005F0A32" w:rsidRDefault="00AB1786" w:rsidP="000D7CDE">
      <w:pPr>
        <w:tabs>
          <w:tab w:val="left" w:pos="567"/>
        </w:tabs>
        <w:spacing w:after="0"/>
        <w:jc w:val="both"/>
        <w:rPr>
          <w:rFonts w:ascii="Times New Roman" w:hAnsi="Times New Roman" w:cs="Times New Roman"/>
          <w:color w:val="000000"/>
          <w:sz w:val="24"/>
          <w:szCs w:val="24"/>
        </w:rPr>
      </w:pPr>
      <w:r w:rsidRPr="005F0A32">
        <w:rPr>
          <w:rFonts w:ascii="Times New Roman" w:hAnsi="Times New Roman" w:cs="Times New Roman"/>
          <w:color w:val="000000"/>
          <w:sz w:val="24"/>
          <w:szCs w:val="24"/>
        </w:rPr>
        <w:t xml:space="preserve">Gminne rady seniorów mają charakter konsultacyjny, doradczy i inicjatywny, głównie w kwestiach związanych z osobami starszymi i działaniami podejmowanymi na ich rzecz. Składają się z przedstawicieli osób starszych oraz przedstawicieli podmiotów działających na rzecz osób starszych, w szczególności przedstawicieli organizacji pozarządowych oraz podmiotów prowadzących uniwersytety trzeciego wieku. Koncepcje powołania gminnych rad seniorów wypracowywane są przez lokalną społeczność. Poprzedzane są one spotkaniami informacyjnymi i konsultacjami społecznymi, angażującymi mieszkańców, radnych, sołtysów, NGO, pracowników socjalnych, przedstawicieli różnych grup wiekowych, ekspertów i urzędników. Dzięki funkcji konsultacyjnej rady mają możliwość opiniowania lokalnych strategii, programów rozwoju, projektów uchwał, podejmowanych przedsięwzięć czy inwestycji. Szczególne znaczenie mają tu te, które wpłyną na jakość życia osób starszych takie jak np. samorządowe programy polityki senioralnej, projekty tzw. karty seniora, projekty tworzenia domów opieki czy rozwoju uniwersytetów trzeciego wieku. Funkcje inicjatywne rad pozwalają natomiast zgłaszać własne pomysły na działania dla osób starszych. Rady seniorów stanowią płaszczyznę wymiany informacji, formułowania idei i postulatów, poprawiających </w:t>
      </w:r>
      <w:r w:rsidRPr="005F0A32">
        <w:rPr>
          <w:rFonts w:ascii="Times New Roman" w:hAnsi="Times New Roman" w:cs="Times New Roman"/>
          <w:color w:val="000000"/>
          <w:sz w:val="24"/>
          <w:szCs w:val="24"/>
        </w:rPr>
        <w:lastRenderedPageBreak/>
        <w:t>jakość życia osób starszych, pozwalają zwrócić uwagę na problemy tej grupy społecznej. Je</w:t>
      </w:r>
      <w:r w:rsidR="0096105C">
        <w:rPr>
          <w:rFonts w:ascii="Times New Roman" w:hAnsi="Times New Roman" w:cs="Times New Roman"/>
          <w:color w:val="000000"/>
          <w:sz w:val="24"/>
          <w:szCs w:val="24"/>
        </w:rPr>
        <w:t xml:space="preserve">dnocześnie aktywizują seniorów </w:t>
      </w:r>
      <w:r w:rsidRPr="005F0A32">
        <w:rPr>
          <w:rFonts w:ascii="Times New Roman" w:hAnsi="Times New Roman" w:cs="Times New Roman"/>
          <w:color w:val="000000"/>
          <w:sz w:val="24"/>
          <w:szCs w:val="24"/>
        </w:rPr>
        <w:t>w działaniach na rzecz społeczności lokalnej i umożliwiają korzystanie z bogatego doświadczenia życiowego i wiedzy osób starszych. Dzięki działaniom członków rad realizowane są takie zadania jak: bieżąca współpraca z s</w:t>
      </w:r>
      <w:r w:rsidR="0096105C">
        <w:rPr>
          <w:rFonts w:ascii="Times New Roman" w:hAnsi="Times New Roman" w:cs="Times New Roman"/>
          <w:color w:val="000000"/>
          <w:sz w:val="24"/>
          <w:szCs w:val="24"/>
        </w:rPr>
        <w:t xml:space="preserve">amorządem lokalnym; integracja </w:t>
      </w:r>
      <w:r w:rsidRPr="005F0A32">
        <w:rPr>
          <w:rFonts w:ascii="Times New Roman" w:hAnsi="Times New Roman" w:cs="Times New Roman"/>
          <w:color w:val="000000"/>
          <w:sz w:val="24"/>
          <w:szCs w:val="24"/>
        </w:rPr>
        <w:t xml:space="preserve">i wspieranie środowiska osób starszych oraz reprezentowanie zbiorowych interesów tych osób, profilaktyka i promocja zdrowia seniorów, przełamywanie stereotypów na temat seniorów i starości oraz budowanie ich autorytetu. Ponadto zapewnienie seniorom dostępu do edukacji i kultury; zapobieganie wykluczeniu społecznemu osób starszych; podejmowanie działań mających na celu wykorzystanie potencjału seniorów oraz wydawanie opinii </w:t>
      </w:r>
      <w:r w:rsidRPr="005F0A32">
        <w:rPr>
          <w:rFonts w:ascii="Times New Roman" w:hAnsi="Times New Roman" w:cs="Times New Roman"/>
          <w:color w:val="000000"/>
          <w:sz w:val="24"/>
          <w:szCs w:val="24"/>
        </w:rPr>
        <w:br/>
        <w:t>i formułowanie wniosków służących rozwojowi działalności na rzecz osób starszych, współpraca z organizacjami i instytucjami społecznymi, działającymi na terenie gminy oraz wymiana doświadczeń z radami seniorów działającymi na terenie kraju, dążenie do odtworzenia i umocnienia międzypokoleniowych więzi społecznych, budowanie pozytywnego wizerunku osób starszych.</w:t>
      </w:r>
    </w:p>
    <w:p w14:paraId="7091C834" w14:textId="77777777" w:rsidR="00AB1786" w:rsidRPr="005F0A32" w:rsidRDefault="00AB1786" w:rsidP="000D7CDE">
      <w:pPr>
        <w:pStyle w:val="Akapitzlist"/>
        <w:keepNext/>
        <w:keepLines/>
        <w:tabs>
          <w:tab w:val="left" w:pos="567"/>
        </w:tabs>
        <w:spacing w:after="0"/>
        <w:ind w:left="0"/>
        <w:jc w:val="both"/>
        <w:rPr>
          <w:rFonts w:ascii="Times New Roman" w:hAnsi="Times New Roman" w:cs="Times New Roman"/>
          <w:color w:val="000000"/>
          <w:sz w:val="24"/>
          <w:szCs w:val="24"/>
        </w:rPr>
      </w:pPr>
    </w:p>
    <w:p w14:paraId="23BA7784" w14:textId="77777777" w:rsidR="00AB1786" w:rsidRPr="005F0A32" w:rsidRDefault="00AB1786" w:rsidP="000D7CDE">
      <w:pPr>
        <w:pStyle w:val="Akapitzlist"/>
        <w:keepNext/>
        <w:keepLines/>
        <w:spacing w:after="0"/>
        <w:ind w:left="0"/>
        <w:jc w:val="both"/>
        <w:rPr>
          <w:rFonts w:ascii="Times New Roman" w:hAnsi="Times New Roman" w:cs="Times New Roman"/>
          <w:sz w:val="24"/>
          <w:szCs w:val="24"/>
        </w:rPr>
      </w:pPr>
      <w:r w:rsidRPr="005F0A32">
        <w:rPr>
          <w:rFonts w:ascii="Times New Roman" w:hAnsi="Times New Roman" w:cs="Times New Roman"/>
          <w:sz w:val="24"/>
          <w:szCs w:val="24"/>
        </w:rPr>
        <w:t xml:space="preserve">Liczba gmin w poszczególnych województwach w których funkcjonują gminne rady seniorów powołane zgodnie z art. 5c </w:t>
      </w:r>
      <w:r w:rsidRPr="00131231">
        <w:rPr>
          <w:rFonts w:ascii="Times New Roman" w:hAnsi="Times New Roman" w:cs="Times New Roman"/>
          <w:i/>
          <w:sz w:val="24"/>
          <w:szCs w:val="24"/>
        </w:rPr>
        <w:t>ustawy o samorządzie gminnym</w:t>
      </w:r>
      <w:r w:rsidR="00131231">
        <w:rPr>
          <w:rFonts w:ascii="Times New Roman" w:hAnsi="Times New Roman" w:cs="Times New Roman"/>
          <w:i/>
          <w:sz w:val="24"/>
          <w:szCs w:val="24"/>
        </w:rPr>
        <w:t>.</w:t>
      </w:r>
    </w:p>
    <w:p w14:paraId="4387C9E9" w14:textId="77777777" w:rsidR="00AB1786" w:rsidRPr="005F0A32" w:rsidRDefault="00AB1786" w:rsidP="003C1988">
      <w:pPr>
        <w:keepNext/>
        <w:tabs>
          <w:tab w:val="left" w:pos="1995"/>
        </w:tabs>
        <w:spacing w:after="0"/>
        <w:rPr>
          <w:rFonts w:ascii="Times New Roman" w:hAnsi="Times New Roman" w:cs="Times New Roman"/>
          <w:sz w:val="24"/>
          <w:szCs w:val="24"/>
        </w:rPr>
      </w:pPr>
      <w:r w:rsidRPr="005F0A32">
        <w:rPr>
          <w:rFonts w:ascii="Times New Roman" w:hAnsi="Times New Roman" w:cs="Times New Roman"/>
          <w:sz w:val="24"/>
          <w:szCs w:val="24"/>
        </w:rPr>
        <w:tab/>
      </w:r>
    </w:p>
    <w:tbl>
      <w:tblPr>
        <w:tblW w:w="9323"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ook w:val="04A0" w:firstRow="1" w:lastRow="0" w:firstColumn="1" w:lastColumn="0" w:noHBand="0" w:noVBand="1"/>
      </w:tblPr>
      <w:tblGrid>
        <w:gridCol w:w="571"/>
        <w:gridCol w:w="1747"/>
        <w:gridCol w:w="1618"/>
        <w:gridCol w:w="2551"/>
        <w:gridCol w:w="2836"/>
      </w:tblGrid>
      <w:tr w:rsidR="00AB1786" w:rsidRPr="004E4764" w14:paraId="4050F087" w14:textId="77777777" w:rsidTr="004E4764">
        <w:tc>
          <w:tcPr>
            <w:tcW w:w="571" w:type="dxa"/>
            <w:shd w:val="clear" w:color="auto" w:fill="9CC2E5" w:themeFill="accent1" w:themeFillTint="99"/>
          </w:tcPr>
          <w:p w14:paraId="4B59CA02" w14:textId="77777777" w:rsidR="00AB1786" w:rsidRPr="004E4764" w:rsidRDefault="00AB1786" w:rsidP="004E4764">
            <w:pPr>
              <w:keepNext/>
              <w:spacing w:after="0" w:line="240" w:lineRule="auto"/>
              <w:jc w:val="center"/>
              <w:rPr>
                <w:rFonts w:ascii="Times New Roman" w:hAnsi="Times New Roman" w:cs="Times New Roman"/>
                <w:b/>
                <w:szCs w:val="24"/>
              </w:rPr>
            </w:pPr>
          </w:p>
          <w:p w14:paraId="4EA78AD0" w14:textId="77777777" w:rsidR="00AB1786" w:rsidRPr="004E4764" w:rsidRDefault="00AB1786" w:rsidP="004E4764">
            <w:pPr>
              <w:keepNext/>
              <w:spacing w:after="0" w:line="240" w:lineRule="auto"/>
              <w:jc w:val="center"/>
              <w:rPr>
                <w:rFonts w:ascii="Times New Roman" w:hAnsi="Times New Roman" w:cs="Times New Roman"/>
                <w:b/>
                <w:szCs w:val="24"/>
              </w:rPr>
            </w:pPr>
            <w:r w:rsidRPr="004E4764">
              <w:rPr>
                <w:rFonts w:ascii="Times New Roman" w:hAnsi="Times New Roman" w:cs="Times New Roman"/>
                <w:b/>
                <w:szCs w:val="24"/>
              </w:rPr>
              <w:t>Lp.</w:t>
            </w:r>
          </w:p>
        </w:tc>
        <w:tc>
          <w:tcPr>
            <w:tcW w:w="1747" w:type="dxa"/>
            <w:shd w:val="clear" w:color="auto" w:fill="9CC2E5" w:themeFill="accent1" w:themeFillTint="99"/>
          </w:tcPr>
          <w:p w14:paraId="0C853079" w14:textId="77777777" w:rsidR="00AB1786" w:rsidRPr="004E4764" w:rsidRDefault="00AB1786" w:rsidP="004E4764">
            <w:pPr>
              <w:keepNext/>
              <w:spacing w:after="0" w:line="240" w:lineRule="auto"/>
              <w:jc w:val="center"/>
              <w:rPr>
                <w:rFonts w:ascii="Times New Roman" w:hAnsi="Times New Roman" w:cs="Times New Roman"/>
                <w:b/>
                <w:szCs w:val="24"/>
              </w:rPr>
            </w:pPr>
          </w:p>
          <w:p w14:paraId="6CA13C70" w14:textId="77777777" w:rsidR="00AB1786" w:rsidRPr="004E4764" w:rsidRDefault="00AB1786" w:rsidP="004E4764">
            <w:pPr>
              <w:keepNext/>
              <w:spacing w:after="0" w:line="240" w:lineRule="auto"/>
              <w:jc w:val="center"/>
              <w:rPr>
                <w:rFonts w:ascii="Times New Roman" w:hAnsi="Times New Roman" w:cs="Times New Roman"/>
                <w:b/>
                <w:szCs w:val="24"/>
              </w:rPr>
            </w:pPr>
            <w:r w:rsidRPr="004E4764">
              <w:rPr>
                <w:rFonts w:ascii="Times New Roman" w:hAnsi="Times New Roman" w:cs="Times New Roman"/>
                <w:b/>
                <w:szCs w:val="24"/>
              </w:rPr>
              <w:t>województwo</w:t>
            </w:r>
          </w:p>
          <w:p w14:paraId="00989485" w14:textId="77777777" w:rsidR="00AB1786" w:rsidRPr="004E4764" w:rsidRDefault="00AB1786" w:rsidP="004E4764">
            <w:pPr>
              <w:keepNext/>
              <w:spacing w:after="0" w:line="240" w:lineRule="auto"/>
              <w:jc w:val="center"/>
              <w:rPr>
                <w:rFonts w:ascii="Times New Roman" w:hAnsi="Times New Roman" w:cs="Times New Roman"/>
                <w:b/>
                <w:szCs w:val="24"/>
              </w:rPr>
            </w:pPr>
          </w:p>
        </w:tc>
        <w:tc>
          <w:tcPr>
            <w:tcW w:w="1618" w:type="dxa"/>
            <w:shd w:val="clear" w:color="auto" w:fill="9CC2E5" w:themeFill="accent1" w:themeFillTint="99"/>
          </w:tcPr>
          <w:p w14:paraId="7886614B" w14:textId="77777777" w:rsidR="00AB1786" w:rsidRPr="004E4764" w:rsidRDefault="00AB1786" w:rsidP="004E4764">
            <w:pPr>
              <w:keepNext/>
              <w:spacing w:after="0" w:line="240" w:lineRule="auto"/>
              <w:jc w:val="center"/>
              <w:rPr>
                <w:rFonts w:ascii="Times New Roman" w:hAnsi="Times New Roman" w:cs="Times New Roman"/>
                <w:b/>
                <w:szCs w:val="24"/>
              </w:rPr>
            </w:pPr>
          </w:p>
          <w:p w14:paraId="564F762D" w14:textId="77777777" w:rsidR="00AB1786" w:rsidRPr="004E4764" w:rsidRDefault="00AB1786" w:rsidP="004E4764">
            <w:pPr>
              <w:keepNext/>
              <w:spacing w:after="0" w:line="240" w:lineRule="auto"/>
              <w:ind w:right="-250"/>
              <w:jc w:val="center"/>
              <w:rPr>
                <w:rFonts w:ascii="Times New Roman" w:hAnsi="Times New Roman" w:cs="Times New Roman"/>
                <w:b/>
                <w:szCs w:val="24"/>
              </w:rPr>
            </w:pPr>
            <w:r w:rsidRPr="004E4764">
              <w:rPr>
                <w:rFonts w:ascii="Times New Roman" w:hAnsi="Times New Roman" w:cs="Times New Roman"/>
                <w:b/>
                <w:szCs w:val="24"/>
              </w:rPr>
              <w:t>Liczba gmin w województwie</w:t>
            </w:r>
          </w:p>
          <w:p w14:paraId="4175925C" w14:textId="77777777" w:rsidR="00AB1786" w:rsidRPr="004E4764" w:rsidRDefault="00AB1786" w:rsidP="004E4764">
            <w:pPr>
              <w:keepNext/>
              <w:spacing w:after="0" w:line="240" w:lineRule="auto"/>
              <w:ind w:right="-250"/>
              <w:jc w:val="center"/>
              <w:rPr>
                <w:rFonts w:ascii="Times New Roman" w:hAnsi="Times New Roman" w:cs="Times New Roman"/>
                <w:b/>
                <w:szCs w:val="24"/>
              </w:rPr>
            </w:pPr>
            <w:r w:rsidRPr="004E4764">
              <w:rPr>
                <w:rFonts w:ascii="Times New Roman" w:hAnsi="Times New Roman" w:cs="Times New Roman"/>
                <w:b/>
                <w:szCs w:val="24"/>
              </w:rPr>
              <w:t>- ogółem</w:t>
            </w:r>
          </w:p>
        </w:tc>
        <w:tc>
          <w:tcPr>
            <w:tcW w:w="2551" w:type="dxa"/>
            <w:shd w:val="clear" w:color="auto" w:fill="9CC2E5" w:themeFill="accent1" w:themeFillTint="99"/>
          </w:tcPr>
          <w:p w14:paraId="567CB07B" w14:textId="77777777" w:rsidR="00AB1786" w:rsidRPr="004E4764" w:rsidRDefault="00AB1786" w:rsidP="004E4764">
            <w:pPr>
              <w:keepNext/>
              <w:spacing w:after="0" w:line="240" w:lineRule="auto"/>
              <w:jc w:val="center"/>
              <w:rPr>
                <w:rFonts w:ascii="Times New Roman" w:hAnsi="Times New Roman" w:cs="Times New Roman"/>
                <w:b/>
                <w:szCs w:val="24"/>
              </w:rPr>
            </w:pPr>
          </w:p>
          <w:p w14:paraId="088B4F74" w14:textId="77777777" w:rsidR="00AB1786" w:rsidRPr="004E4764" w:rsidRDefault="00AB1786" w:rsidP="004E4764">
            <w:pPr>
              <w:keepNext/>
              <w:spacing w:after="0" w:line="240" w:lineRule="auto"/>
              <w:ind w:left="-108"/>
              <w:jc w:val="center"/>
              <w:rPr>
                <w:rFonts w:ascii="Times New Roman" w:hAnsi="Times New Roman" w:cs="Times New Roman"/>
                <w:b/>
                <w:szCs w:val="24"/>
              </w:rPr>
            </w:pPr>
            <w:r w:rsidRPr="004E4764">
              <w:rPr>
                <w:rFonts w:ascii="Times New Roman" w:hAnsi="Times New Roman" w:cs="Times New Roman"/>
                <w:b/>
                <w:szCs w:val="24"/>
              </w:rPr>
              <w:t>Liczba gmin w których</w:t>
            </w:r>
          </w:p>
          <w:p w14:paraId="6373D6C7" w14:textId="77777777" w:rsidR="00AB1786" w:rsidRPr="004E4764" w:rsidRDefault="00AB1786" w:rsidP="004E4764">
            <w:pPr>
              <w:keepNext/>
              <w:spacing w:after="0" w:line="240" w:lineRule="auto"/>
              <w:ind w:left="-108"/>
              <w:jc w:val="center"/>
              <w:rPr>
                <w:rFonts w:ascii="Times New Roman" w:hAnsi="Times New Roman" w:cs="Times New Roman"/>
                <w:b/>
                <w:szCs w:val="24"/>
              </w:rPr>
            </w:pPr>
            <w:r w:rsidRPr="004E4764">
              <w:rPr>
                <w:rFonts w:ascii="Times New Roman" w:hAnsi="Times New Roman" w:cs="Times New Roman"/>
                <w:b/>
                <w:szCs w:val="24"/>
              </w:rPr>
              <w:t>funkcjonują gminne</w:t>
            </w:r>
          </w:p>
          <w:p w14:paraId="6E036EA0" w14:textId="77777777" w:rsidR="00AB1786" w:rsidRPr="004E4764" w:rsidRDefault="00AB1786" w:rsidP="004E4764">
            <w:pPr>
              <w:keepNext/>
              <w:spacing w:after="0" w:line="240" w:lineRule="auto"/>
              <w:ind w:left="-108"/>
              <w:jc w:val="center"/>
              <w:rPr>
                <w:rFonts w:ascii="Times New Roman" w:hAnsi="Times New Roman" w:cs="Times New Roman"/>
                <w:b/>
                <w:szCs w:val="24"/>
              </w:rPr>
            </w:pPr>
            <w:r w:rsidRPr="004E4764">
              <w:rPr>
                <w:rFonts w:ascii="Times New Roman" w:hAnsi="Times New Roman" w:cs="Times New Roman"/>
                <w:b/>
                <w:szCs w:val="24"/>
              </w:rPr>
              <w:t>rady seniorów</w:t>
            </w:r>
          </w:p>
        </w:tc>
        <w:tc>
          <w:tcPr>
            <w:tcW w:w="2836" w:type="dxa"/>
            <w:shd w:val="clear" w:color="auto" w:fill="9CC2E5" w:themeFill="accent1" w:themeFillTint="99"/>
          </w:tcPr>
          <w:p w14:paraId="14B7E444" w14:textId="77777777" w:rsidR="00AB1786" w:rsidRPr="004E4764" w:rsidRDefault="00AB1786" w:rsidP="004E4764">
            <w:pPr>
              <w:keepNext/>
              <w:spacing w:after="0" w:line="240" w:lineRule="auto"/>
              <w:ind w:left="34" w:hanging="600"/>
              <w:jc w:val="center"/>
              <w:rPr>
                <w:rFonts w:ascii="Times New Roman" w:hAnsi="Times New Roman" w:cs="Times New Roman"/>
                <w:szCs w:val="24"/>
              </w:rPr>
            </w:pPr>
          </w:p>
          <w:p w14:paraId="6DBCCD28" w14:textId="77777777" w:rsidR="00AB1786" w:rsidRPr="004E4764" w:rsidRDefault="00AB1786" w:rsidP="004E4764">
            <w:pPr>
              <w:keepNext/>
              <w:spacing w:after="0" w:line="240" w:lineRule="auto"/>
              <w:jc w:val="center"/>
              <w:rPr>
                <w:rFonts w:ascii="Times New Roman" w:hAnsi="Times New Roman" w:cs="Times New Roman"/>
                <w:b/>
                <w:szCs w:val="24"/>
              </w:rPr>
            </w:pPr>
            <w:r w:rsidRPr="004E4764">
              <w:rPr>
                <w:rFonts w:ascii="Times New Roman" w:hAnsi="Times New Roman" w:cs="Times New Roman"/>
                <w:b/>
                <w:szCs w:val="24"/>
              </w:rPr>
              <w:t>Uwagi</w:t>
            </w:r>
          </w:p>
          <w:p w14:paraId="7F176A2B" w14:textId="77777777" w:rsidR="00AB1786" w:rsidRPr="004E4764" w:rsidRDefault="00AB1786" w:rsidP="004E4764">
            <w:pPr>
              <w:keepNext/>
              <w:spacing w:after="0" w:line="240" w:lineRule="auto"/>
              <w:jc w:val="center"/>
              <w:rPr>
                <w:rFonts w:ascii="Times New Roman" w:hAnsi="Times New Roman" w:cs="Times New Roman"/>
                <w:b/>
                <w:szCs w:val="24"/>
              </w:rPr>
            </w:pPr>
            <w:r w:rsidRPr="004E4764">
              <w:rPr>
                <w:rFonts w:ascii="Times New Roman" w:hAnsi="Times New Roman" w:cs="Times New Roman"/>
                <w:b/>
                <w:szCs w:val="24"/>
              </w:rPr>
              <w:t>(wyjaśnienia)</w:t>
            </w:r>
          </w:p>
        </w:tc>
      </w:tr>
      <w:tr w:rsidR="00AB1786" w:rsidRPr="004E4764" w14:paraId="17248846" w14:textId="77777777" w:rsidTr="004E4764">
        <w:tc>
          <w:tcPr>
            <w:tcW w:w="571" w:type="dxa"/>
            <w:shd w:val="clear" w:color="auto" w:fill="9CC2E5" w:themeFill="accent1" w:themeFillTint="99"/>
          </w:tcPr>
          <w:p w14:paraId="7C283D16" w14:textId="77777777" w:rsidR="00AB1786" w:rsidRPr="004E4764" w:rsidRDefault="00AB1786" w:rsidP="004E4764">
            <w:pPr>
              <w:keepNext/>
              <w:spacing w:after="0" w:line="240" w:lineRule="auto"/>
              <w:rPr>
                <w:rFonts w:ascii="Times New Roman" w:hAnsi="Times New Roman" w:cs="Times New Roman"/>
                <w:b/>
                <w:szCs w:val="24"/>
              </w:rPr>
            </w:pPr>
          </w:p>
          <w:p w14:paraId="2EBC713A" w14:textId="77777777" w:rsidR="00AB1786" w:rsidRPr="004E4764" w:rsidRDefault="00AB1786" w:rsidP="004E4764">
            <w:pPr>
              <w:keepNext/>
              <w:spacing w:after="0" w:line="240" w:lineRule="auto"/>
              <w:rPr>
                <w:rFonts w:ascii="Times New Roman" w:hAnsi="Times New Roman" w:cs="Times New Roman"/>
                <w:b/>
                <w:szCs w:val="24"/>
              </w:rPr>
            </w:pPr>
            <w:r w:rsidRPr="004E4764">
              <w:rPr>
                <w:rFonts w:ascii="Times New Roman" w:hAnsi="Times New Roman" w:cs="Times New Roman"/>
                <w:b/>
                <w:szCs w:val="24"/>
              </w:rPr>
              <w:t>1</w:t>
            </w:r>
            <w:r w:rsidR="004E4764" w:rsidRPr="004E4764">
              <w:rPr>
                <w:rFonts w:ascii="Times New Roman" w:hAnsi="Times New Roman" w:cs="Times New Roman"/>
                <w:b/>
                <w:szCs w:val="24"/>
              </w:rPr>
              <w:t>.</w:t>
            </w:r>
          </w:p>
        </w:tc>
        <w:tc>
          <w:tcPr>
            <w:tcW w:w="1747" w:type="dxa"/>
            <w:shd w:val="clear" w:color="auto" w:fill="auto"/>
          </w:tcPr>
          <w:p w14:paraId="0E5077D8" w14:textId="77777777" w:rsidR="00AB1786" w:rsidRPr="004E4764" w:rsidRDefault="00AB1786" w:rsidP="004E4764">
            <w:pPr>
              <w:keepNext/>
              <w:spacing w:after="0" w:line="240" w:lineRule="auto"/>
              <w:jc w:val="center"/>
              <w:rPr>
                <w:rFonts w:ascii="Times New Roman" w:hAnsi="Times New Roman" w:cs="Times New Roman"/>
                <w:szCs w:val="24"/>
              </w:rPr>
            </w:pPr>
          </w:p>
          <w:p w14:paraId="40124EAB" w14:textId="77777777" w:rsidR="00AB1786" w:rsidRPr="004E4764" w:rsidRDefault="00AB1786" w:rsidP="004E4764">
            <w:pPr>
              <w:keepNext/>
              <w:spacing w:after="0" w:line="240" w:lineRule="auto"/>
              <w:jc w:val="center"/>
              <w:rPr>
                <w:rFonts w:ascii="Times New Roman" w:hAnsi="Times New Roman" w:cs="Times New Roman"/>
                <w:szCs w:val="24"/>
              </w:rPr>
            </w:pPr>
            <w:r w:rsidRPr="004E4764">
              <w:rPr>
                <w:rFonts w:ascii="Times New Roman" w:hAnsi="Times New Roman" w:cs="Times New Roman"/>
                <w:szCs w:val="24"/>
              </w:rPr>
              <w:t>świętokrzyskie</w:t>
            </w:r>
          </w:p>
        </w:tc>
        <w:tc>
          <w:tcPr>
            <w:tcW w:w="1618" w:type="dxa"/>
            <w:shd w:val="clear" w:color="auto" w:fill="auto"/>
          </w:tcPr>
          <w:p w14:paraId="1960CE9D" w14:textId="77777777" w:rsidR="00AB1786" w:rsidRPr="004E4764" w:rsidRDefault="00AB1786" w:rsidP="004E4764">
            <w:pPr>
              <w:keepNext/>
              <w:spacing w:after="0" w:line="240" w:lineRule="auto"/>
              <w:jc w:val="center"/>
              <w:rPr>
                <w:rFonts w:ascii="Times New Roman" w:hAnsi="Times New Roman" w:cs="Times New Roman"/>
                <w:szCs w:val="24"/>
              </w:rPr>
            </w:pPr>
          </w:p>
          <w:p w14:paraId="31E3245E" w14:textId="77777777" w:rsidR="00AB1786" w:rsidRPr="004E4764" w:rsidRDefault="00AB1786" w:rsidP="004E4764">
            <w:pPr>
              <w:keepNext/>
              <w:spacing w:after="0" w:line="240" w:lineRule="auto"/>
              <w:jc w:val="center"/>
              <w:rPr>
                <w:rFonts w:ascii="Times New Roman" w:hAnsi="Times New Roman" w:cs="Times New Roman"/>
                <w:szCs w:val="24"/>
              </w:rPr>
            </w:pPr>
            <w:r w:rsidRPr="004E4764">
              <w:rPr>
                <w:rFonts w:ascii="Times New Roman" w:hAnsi="Times New Roman" w:cs="Times New Roman"/>
                <w:szCs w:val="24"/>
              </w:rPr>
              <w:t>102</w:t>
            </w:r>
          </w:p>
        </w:tc>
        <w:tc>
          <w:tcPr>
            <w:tcW w:w="2551" w:type="dxa"/>
            <w:shd w:val="clear" w:color="auto" w:fill="auto"/>
          </w:tcPr>
          <w:p w14:paraId="71F700FD" w14:textId="77777777" w:rsidR="00AB1786" w:rsidRPr="004E4764" w:rsidRDefault="00AB1786" w:rsidP="004E4764">
            <w:pPr>
              <w:keepNext/>
              <w:spacing w:after="0" w:line="240" w:lineRule="auto"/>
              <w:jc w:val="center"/>
              <w:rPr>
                <w:rFonts w:ascii="Times New Roman" w:hAnsi="Times New Roman" w:cs="Times New Roman"/>
                <w:szCs w:val="24"/>
              </w:rPr>
            </w:pPr>
          </w:p>
          <w:p w14:paraId="2BEDD7C2" w14:textId="77777777" w:rsidR="00AB1786" w:rsidRPr="004E4764" w:rsidRDefault="00AB1786" w:rsidP="004E4764">
            <w:pPr>
              <w:keepNext/>
              <w:spacing w:after="0" w:line="240" w:lineRule="auto"/>
              <w:jc w:val="center"/>
              <w:rPr>
                <w:rFonts w:ascii="Times New Roman" w:hAnsi="Times New Roman" w:cs="Times New Roman"/>
                <w:szCs w:val="24"/>
              </w:rPr>
            </w:pPr>
            <w:r w:rsidRPr="004E4764">
              <w:rPr>
                <w:rFonts w:ascii="Times New Roman" w:hAnsi="Times New Roman" w:cs="Times New Roman"/>
                <w:szCs w:val="24"/>
              </w:rPr>
              <w:t>13</w:t>
            </w:r>
          </w:p>
          <w:p w14:paraId="5E7AEC0A" w14:textId="77777777" w:rsidR="00AB1786" w:rsidRPr="004E4764" w:rsidRDefault="00AB1786" w:rsidP="004E4764">
            <w:pPr>
              <w:keepNext/>
              <w:spacing w:after="0" w:line="240" w:lineRule="auto"/>
              <w:jc w:val="center"/>
              <w:rPr>
                <w:rFonts w:ascii="Times New Roman" w:hAnsi="Times New Roman" w:cs="Times New Roman"/>
                <w:szCs w:val="24"/>
              </w:rPr>
            </w:pPr>
          </w:p>
        </w:tc>
        <w:tc>
          <w:tcPr>
            <w:tcW w:w="2836" w:type="dxa"/>
            <w:shd w:val="clear" w:color="auto" w:fill="auto"/>
          </w:tcPr>
          <w:p w14:paraId="2CBE2F2C" w14:textId="77777777" w:rsidR="00AB1786" w:rsidRPr="004E4764" w:rsidRDefault="00AB1786" w:rsidP="004E4764">
            <w:pPr>
              <w:keepNext/>
              <w:spacing w:after="0" w:line="240" w:lineRule="auto"/>
              <w:jc w:val="center"/>
              <w:rPr>
                <w:rFonts w:ascii="Times New Roman" w:hAnsi="Times New Roman" w:cs="Times New Roman"/>
                <w:szCs w:val="24"/>
              </w:rPr>
            </w:pPr>
            <w:r w:rsidRPr="004E4764">
              <w:rPr>
                <w:rFonts w:ascii="Times New Roman" w:hAnsi="Times New Roman" w:cs="Times New Roman"/>
                <w:szCs w:val="24"/>
              </w:rPr>
              <w:t>Bieliny, Bliżyn, Bogoria, Busko, Kielce, Miedziana Góra, Pińczów, Sędziszów, Starachowice, Strawczyn, Suchedniów, Sandomierz, Włoszczowa</w:t>
            </w:r>
          </w:p>
        </w:tc>
      </w:tr>
    </w:tbl>
    <w:p w14:paraId="6F8C9E5F" w14:textId="77777777" w:rsidR="00AB1786" w:rsidRPr="004E4764" w:rsidRDefault="00AB1786" w:rsidP="004E4764">
      <w:pPr>
        <w:keepNext/>
        <w:keepLines/>
        <w:spacing w:after="0"/>
        <w:rPr>
          <w:rFonts w:ascii="Times New Roman" w:hAnsi="Times New Roman" w:cs="Times New Roman"/>
          <w:sz w:val="24"/>
          <w:szCs w:val="24"/>
        </w:rPr>
      </w:pPr>
    </w:p>
    <w:p w14:paraId="00A4A484" w14:textId="77777777" w:rsidR="00AB1786" w:rsidRPr="005F0A32" w:rsidRDefault="004372A0" w:rsidP="000D7CDE">
      <w:pPr>
        <w:tabs>
          <w:tab w:val="left" w:pos="567"/>
        </w:tabs>
        <w:spacing w:after="0"/>
        <w:jc w:val="both"/>
        <w:rPr>
          <w:rFonts w:ascii="Times New Roman" w:hAnsi="Times New Roman" w:cs="Times New Roman"/>
          <w:color w:val="000000"/>
          <w:sz w:val="24"/>
          <w:szCs w:val="24"/>
        </w:rPr>
      </w:pPr>
      <w:r w:rsidRPr="004372A0">
        <w:rPr>
          <w:rFonts w:ascii="Times New Roman" w:hAnsi="Times New Roman" w:cs="Times New Roman"/>
          <w:color w:val="000000"/>
          <w:sz w:val="24"/>
          <w:szCs w:val="24"/>
        </w:rPr>
        <w:t>Na terenie województwa świętokrzyskiego działają</w:t>
      </w:r>
      <w:r>
        <w:rPr>
          <w:rFonts w:ascii="Times New Roman" w:hAnsi="Times New Roman" w:cs="Times New Roman"/>
          <w:b/>
          <w:color w:val="000000"/>
          <w:sz w:val="24"/>
          <w:szCs w:val="24"/>
        </w:rPr>
        <w:t xml:space="preserve"> </w:t>
      </w:r>
      <w:r w:rsidR="00AB1786" w:rsidRPr="00C813A9">
        <w:rPr>
          <w:rFonts w:ascii="Times New Roman" w:hAnsi="Times New Roman" w:cs="Times New Roman"/>
          <w:color w:val="000000"/>
          <w:sz w:val="24"/>
          <w:szCs w:val="24"/>
        </w:rPr>
        <w:t>Woje</w:t>
      </w:r>
      <w:r w:rsidR="00C813A9">
        <w:rPr>
          <w:rFonts w:ascii="Times New Roman" w:hAnsi="Times New Roman" w:cs="Times New Roman"/>
          <w:color w:val="000000"/>
          <w:sz w:val="24"/>
          <w:szCs w:val="24"/>
        </w:rPr>
        <w:t xml:space="preserve">wódzka Społeczna Rada Seniorów oraz </w:t>
      </w:r>
      <w:r>
        <w:rPr>
          <w:rFonts w:ascii="Times New Roman" w:hAnsi="Times New Roman" w:cs="Times New Roman"/>
          <w:color w:val="000000"/>
          <w:sz w:val="24"/>
          <w:szCs w:val="24"/>
        </w:rPr>
        <w:t xml:space="preserve">Świętokrzyska Rada Seniorów, a także </w:t>
      </w:r>
      <w:r w:rsidR="00AB1786" w:rsidRPr="005F0A32">
        <w:rPr>
          <w:rFonts w:ascii="Times New Roman" w:hAnsi="Times New Roman" w:cs="Times New Roman"/>
          <w:color w:val="000000"/>
          <w:sz w:val="24"/>
          <w:szCs w:val="24"/>
        </w:rPr>
        <w:t>Rada Seniorów Powiatu Skarżyskiego.</w:t>
      </w:r>
    </w:p>
    <w:p w14:paraId="47481520" w14:textId="77777777" w:rsidR="00C813A9" w:rsidRDefault="00C813A9" w:rsidP="000D7CDE">
      <w:pPr>
        <w:tabs>
          <w:tab w:val="left" w:pos="567"/>
        </w:tabs>
        <w:spacing w:after="0"/>
        <w:jc w:val="both"/>
        <w:rPr>
          <w:rFonts w:ascii="Times New Roman" w:hAnsi="Times New Roman" w:cs="Times New Roman"/>
          <w:color w:val="000000"/>
          <w:sz w:val="24"/>
          <w:szCs w:val="24"/>
          <w:u w:val="single"/>
        </w:rPr>
      </w:pPr>
    </w:p>
    <w:p w14:paraId="335F36CE" w14:textId="77777777" w:rsidR="00AB1786" w:rsidRPr="005F0A32" w:rsidRDefault="00AB1786" w:rsidP="000D7CDE">
      <w:pPr>
        <w:tabs>
          <w:tab w:val="left" w:pos="567"/>
        </w:tabs>
        <w:spacing w:after="0"/>
        <w:jc w:val="both"/>
        <w:rPr>
          <w:rFonts w:ascii="Times New Roman" w:hAnsi="Times New Roman" w:cs="Times New Roman"/>
          <w:color w:val="000000"/>
          <w:sz w:val="24"/>
          <w:szCs w:val="24"/>
        </w:rPr>
      </w:pPr>
      <w:r w:rsidRPr="005F0A32">
        <w:rPr>
          <w:rFonts w:ascii="Times New Roman" w:hAnsi="Times New Roman" w:cs="Times New Roman"/>
          <w:color w:val="000000"/>
          <w:sz w:val="24"/>
          <w:szCs w:val="24"/>
        </w:rPr>
        <w:t>Uniwersytet</w:t>
      </w:r>
      <w:r w:rsidR="004372A0">
        <w:rPr>
          <w:rFonts w:ascii="Times New Roman" w:hAnsi="Times New Roman" w:cs="Times New Roman"/>
          <w:color w:val="000000"/>
          <w:sz w:val="24"/>
          <w:szCs w:val="24"/>
        </w:rPr>
        <w:t xml:space="preserve"> Trzeciego Wieku w Jędrzejowie oraz </w:t>
      </w:r>
      <w:r w:rsidRPr="005F0A32">
        <w:rPr>
          <w:rFonts w:ascii="Times New Roman" w:hAnsi="Times New Roman" w:cs="Times New Roman"/>
          <w:color w:val="000000"/>
          <w:sz w:val="24"/>
          <w:szCs w:val="24"/>
        </w:rPr>
        <w:t>Powiatowy Związek E</w:t>
      </w:r>
      <w:r w:rsidR="004372A0">
        <w:rPr>
          <w:rFonts w:ascii="Times New Roman" w:hAnsi="Times New Roman" w:cs="Times New Roman"/>
          <w:color w:val="000000"/>
          <w:sz w:val="24"/>
          <w:szCs w:val="24"/>
        </w:rPr>
        <w:t xml:space="preserve">merytów, Rencistów i Inwalidów prowadzą </w:t>
      </w:r>
      <w:r w:rsidRPr="005F0A32">
        <w:rPr>
          <w:rFonts w:ascii="Times New Roman" w:hAnsi="Times New Roman" w:cs="Times New Roman"/>
          <w:color w:val="000000"/>
          <w:sz w:val="24"/>
          <w:szCs w:val="24"/>
        </w:rPr>
        <w:t xml:space="preserve">działalność publiczną na rzecz ogółu osób starszych. Celem  jest podejmowanie i rozwijanie społecznych inicjatyw (naukowych, oświatowych, kulturalnych, charytatywnych, opiekuńczych, ekologicznych, dotyczących rehabilitacji osób starszych, </w:t>
      </w:r>
      <w:r w:rsidR="00C813A9">
        <w:rPr>
          <w:rFonts w:ascii="Times New Roman" w:hAnsi="Times New Roman" w:cs="Times New Roman"/>
          <w:color w:val="000000"/>
          <w:sz w:val="24"/>
          <w:szCs w:val="24"/>
        </w:rPr>
        <w:t xml:space="preserve">niepełnosprawnych, </w:t>
      </w:r>
      <w:r w:rsidRPr="005F0A32">
        <w:rPr>
          <w:rFonts w:ascii="Times New Roman" w:hAnsi="Times New Roman" w:cs="Times New Roman"/>
          <w:color w:val="000000"/>
          <w:sz w:val="24"/>
          <w:szCs w:val="24"/>
        </w:rPr>
        <w:t xml:space="preserve">a także kultury fizycznej i sportu). Powyżej wskazane gremia mają charakter konsultacyjny, inicjatywny oraz doradczy. </w:t>
      </w:r>
    </w:p>
    <w:p w14:paraId="66C65B65" w14:textId="77777777" w:rsidR="00C813A9" w:rsidRDefault="00C813A9" w:rsidP="000D7CDE">
      <w:pPr>
        <w:spacing w:after="0"/>
        <w:jc w:val="both"/>
        <w:rPr>
          <w:rFonts w:ascii="Times New Roman" w:hAnsi="Times New Roman" w:cs="Times New Roman"/>
          <w:sz w:val="24"/>
          <w:szCs w:val="24"/>
        </w:rPr>
      </w:pPr>
    </w:p>
    <w:p w14:paraId="62AD145F" w14:textId="77777777" w:rsidR="00AB1786" w:rsidRPr="00C813A9" w:rsidRDefault="00AB1786" w:rsidP="000D7CDE">
      <w:pPr>
        <w:spacing w:after="0"/>
        <w:jc w:val="both"/>
        <w:rPr>
          <w:rFonts w:ascii="Times New Roman" w:hAnsi="Times New Roman" w:cs="Times New Roman"/>
          <w:sz w:val="24"/>
          <w:szCs w:val="24"/>
        </w:rPr>
      </w:pPr>
      <w:r w:rsidRPr="00C813A9">
        <w:rPr>
          <w:rFonts w:ascii="Times New Roman" w:hAnsi="Times New Roman" w:cs="Times New Roman"/>
          <w:sz w:val="24"/>
          <w:szCs w:val="24"/>
        </w:rPr>
        <w:t xml:space="preserve">Liczba powiatów w poszczególnych województwach w których funkcjonują rady seniorów (dane przekazane przez wojewodów, stan na dzień 31 grudnia 2019 r.) </w:t>
      </w:r>
    </w:p>
    <w:p w14:paraId="24F362D2" w14:textId="77777777" w:rsidR="00AB1786" w:rsidRPr="005F0A32" w:rsidRDefault="00AB1786" w:rsidP="000D7CDE">
      <w:pPr>
        <w:pStyle w:val="Akapitzlist"/>
        <w:spacing w:after="0"/>
        <w:ind w:left="426"/>
        <w:jc w:val="both"/>
        <w:rPr>
          <w:rFonts w:ascii="Times New Roman" w:hAnsi="Times New Roman" w:cs="Times New Roman"/>
          <w:sz w:val="24"/>
          <w:szCs w:val="24"/>
        </w:rPr>
      </w:pPr>
    </w:p>
    <w:tbl>
      <w:tblPr>
        <w:tblW w:w="9323"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ook w:val="04A0" w:firstRow="1" w:lastRow="0" w:firstColumn="1" w:lastColumn="0" w:noHBand="0" w:noVBand="1"/>
      </w:tblPr>
      <w:tblGrid>
        <w:gridCol w:w="541"/>
        <w:gridCol w:w="1536"/>
        <w:gridCol w:w="2107"/>
        <w:gridCol w:w="2098"/>
        <w:gridCol w:w="3041"/>
      </w:tblGrid>
      <w:tr w:rsidR="00AB1786" w:rsidRPr="004E4764" w14:paraId="309F2529" w14:textId="77777777" w:rsidTr="004E4764">
        <w:tc>
          <w:tcPr>
            <w:tcW w:w="514" w:type="dxa"/>
            <w:shd w:val="clear" w:color="auto" w:fill="9CC2E5" w:themeFill="accent1" w:themeFillTint="99"/>
          </w:tcPr>
          <w:p w14:paraId="2822D1C1" w14:textId="77777777" w:rsidR="00AB1786" w:rsidRPr="004E4764" w:rsidRDefault="00AB1786" w:rsidP="00403F40">
            <w:pPr>
              <w:spacing w:after="0" w:line="240" w:lineRule="auto"/>
              <w:jc w:val="center"/>
              <w:rPr>
                <w:rFonts w:ascii="Times New Roman" w:hAnsi="Times New Roman" w:cs="Times New Roman"/>
                <w:b/>
                <w:szCs w:val="24"/>
              </w:rPr>
            </w:pPr>
          </w:p>
          <w:p w14:paraId="5AD5AD2E" w14:textId="77777777" w:rsidR="00AB1786" w:rsidRPr="004E4764" w:rsidRDefault="00AB1786" w:rsidP="00403F40">
            <w:pPr>
              <w:spacing w:after="0" w:line="240" w:lineRule="auto"/>
              <w:jc w:val="center"/>
              <w:rPr>
                <w:rFonts w:ascii="Times New Roman" w:hAnsi="Times New Roman" w:cs="Times New Roman"/>
                <w:b/>
                <w:szCs w:val="24"/>
              </w:rPr>
            </w:pPr>
            <w:r w:rsidRPr="004E4764">
              <w:rPr>
                <w:rFonts w:ascii="Times New Roman" w:hAnsi="Times New Roman" w:cs="Times New Roman"/>
                <w:b/>
                <w:szCs w:val="24"/>
              </w:rPr>
              <w:t>Lp.</w:t>
            </w:r>
          </w:p>
        </w:tc>
        <w:tc>
          <w:tcPr>
            <w:tcW w:w="1466" w:type="dxa"/>
            <w:shd w:val="clear" w:color="auto" w:fill="9CC2E5" w:themeFill="accent1" w:themeFillTint="99"/>
          </w:tcPr>
          <w:p w14:paraId="5261B645" w14:textId="77777777" w:rsidR="00AB1786" w:rsidRPr="004E4764" w:rsidRDefault="00AB1786" w:rsidP="00403F40">
            <w:pPr>
              <w:spacing w:after="0" w:line="240" w:lineRule="auto"/>
              <w:jc w:val="center"/>
              <w:rPr>
                <w:rFonts w:ascii="Times New Roman" w:hAnsi="Times New Roman" w:cs="Times New Roman"/>
                <w:b/>
                <w:szCs w:val="24"/>
              </w:rPr>
            </w:pPr>
          </w:p>
          <w:p w14:paraId="099A58E0" w14:textId="77777777" w:rsidR="00AB1786" w:rsidRPr="004E4764" w:rsidRDefault="00AB1786" w:rsidP="00403F40">
            <w:pPr>
              <w:spacing w:after="0" w:line="240" w:lineRule="auto"/>
              <w:jc w:val="center"/>
              <w:rPr>
                <w:rFonts w:ascii="Times New Roman" w:hAnsi="Times New Roman" w:cs="Times New Roman"/>
                <w:b/>
                <w:szCs w:val="24"/>
              </w:rPr>
            </w:pPr>
            <w:r w:rsidRPr="004E4764">
              <w:rPr>
                <w:rFonts w:ascii="Times New Roman" w:hAnsi="Times New Roman" w:cs="Times New Roman"/>
                <w:b/>
                <w:szCs w:val="24"/>
              </w:rPr>
              <w:t>województwo</w:t>
            </w:r>
          </w:p>
          <w:p w14:paraId="01503AC2" w14:textId="77777777" w:rsidR="00AB1786" w:rsidRPr="004E4764" w:rsidRDefault="00AB1786" w:rsidP="00403F40">
            <w:pPr>
              <w:spacing w:after="0" w:line="240" w:lineRule="auto"/>
              <w:jc w:val="center"/>
              <w:rPr>
                <w:rFonts w:ascii="Times New Roman" w:hAnsi="Times New Roman" w:cs="Times New Roman"/>
                <w:b/>
                <w:szCs w:val="24"/>
              </w:rPr>
            </w:pPr>
          </w:p>
        </w:tc>
        <w:tc>
          <w:tcPr>
            <w:tcW w:w="2126" w:type="dxa"/>
            <w:shd w:val="clear" w:color="auto" w:fill="9CC2E5" w:themeFill="accent1" w:themeFillTint="99"/>
          </w:tcPr>
          <w:p w14:paraId="7DEACC7C" w14:textId="77777777" w:rsidR="00AB1786" w:rsidRPr="004E4764" w:rsidRDefault="00AB1786" w:rsidP="00403F40">
            <w:pPr>
              <w:spacing w:after="0" w:line="240" w:lineRule="auto"/>
              <w:jc w:val="center"/>
              <w:rPr>
                <w:rFonts w:ascii="Times New Roman" w:hAnsi="Times New Roman" w:cs="Times New Roman"/>
                <w:b/>
                <w:szCs w:val="24"/>
              </w:rPr>
            </w:pPr>
          </w:p>
          <w:p w14:paraId="33B3B11A" w14:textId="77777777" w:rsidR="00AB1786" w:rsidRPr="004E4764" w:rsidRDefault="00AB1786" w:rsidP="00403F40">
            <w:pPr>
              <w:spacing w:after="0" w:line="240" w:lineRule="auto"/>
              <w:ind w:right="-250"/>
              <w:jc w:val="center"/>
              <w:rPr>
                <w:rFonts w:ascii="Times New Roman" w:hAnsi="Times New Roman" w:cs="Times New Roman"/>
                <w:b/>
                <w:szCs w:val="24"/>
              </w:rPr>
            </w:pPr>
            <w:r w:rsidRPr="004E4764">
              <w:rPr>
                <w:rFonts w:ascii="Times New Roman" w:hAnsi="Times New Roman" w:cs="Times New Roman"/>
                <w:b/>
                <w:szCs w:val="24"/>
              </w:rPr>
              <w:t>Liczba powiatów w województwie</w:t>
            </w:r>
          </w:p>
          <w:p w14:paraId="0F9E01CC" w14:textId="77777777" w:rsidR="00AB1786" w:rsidRPr="004E4764" w:rsidRDefault="00AB1786" w:rsidP="00403F40">
            <w:pPr>
              <w:spacing w:after="0" w:line="240" w:lineRule="auto"/>
              <w:ind w:right="-250"/>
              <w:jc w:val="center"/>
              <w:rPr>
                <w:rFonts w:ascii="Times New Roman" w:hAnsi="Times New Roman" w:cs="Times New Roman"/>
                <w:b/>
                <w:szCs w:val="24"/>
              </w:rPr>
            </w:pPr>
            <w:r w:rsidRPr="004E4764">
              <w:rPr>
                <w:rFonts w:ascii="Times New Roman" w:hAnsi="Times New Roman" w:cs="Times New Roman"/>
                <w:b/>
                <w:szCs w:val="24"/>
              </w:rPr>
              <w:t>- ogółem</w:t>
            </w:r>
          </w:p>
        </w:tc>
        <w:tc>
          <w:tcPr>
            <w:tcW w:w="2126" w:type="dxa"/>
            <w:shd w:val="clear" w:color="auto" w:fill="9CC2E5" w:themeFill="accent1" w:themeFillTint="99"/>
          </w:tcPr>
          <w:p w14:paraId="3BB7B04C" w14:textId="77777777" w:rsidR="00AB1786" w:rsidRPr="004E4764" w:rsidRDefault="00AB1786" w:rsidP="00403F40">
            <w:pPr>
              <w:spacing w:after="0" w:line="240" w:lineRule="auto"/>
              <w:jc w:val="center"/>
              <w:rPr>
                <w:rFonts w:ascii="Times New Roman" w:hAnsi="Times New Roman" w:cs="Times New Roman"/>
                <w:b/>
                <w:szCs w:val="24"/>
              </w:rPr>
            </w:pPr>
          </w:p>
          <w:p w14:paraId="10F32E80" w14:textId="77777777" w:rsidR="00AB1786" w:rsidRPr="004E4764" w:rsidRDefault="00AB1786" w:rsidP="00403F40">
            <w:pPr>
              <w:spacing w:after="0" w:line="240" w:lineRule="auto"/>
              <w:ind w:left="-108"/>
              <w:jc w:val="center"/>
              <w:rPr>
                <w:rFonts w:ascii="Times New Roman" w:hAnsi="Times New Roman" w:cs="Times New Roman"/>
                <w:b/>
                <w:szCs w:val="24"/>
              </w:rPr>
            </w:pPr>
            <w:r w:rsidRPr="004E4764">
              <w:rPr>
                <w:rFonts w:ascii="Times New Roman" w:hAnsi="Times New Roman" w:cs="Times New Roman"/>
                <w:b/>
                <w:szCs w:val="24"/>
              </w:rPr>
              <w:t>Liczba powiatów w   których  funkcjonują</w:t>
            </w:r>
          </w:p>
          <w:p w14:paraId="5C4BA4A3" w14:textId="77777777" w:rsidR="00AB1786" w:rsidRPr="004E4764" w:rsidRDefault="00AB1786" w:rsidP="00403F40">
            <w:pPr>
              <w:spacing w:after="0" w:line="240" w:lineRule="auto"/>
              <w:ind w:left="-108"/>
              <w:jc w:val="center"/>
              <w:rPr>
                <w:rFonts w:ascii="Times New Roman" w:hAnsi="Times New Roman" w:cs="Times New Roman"/>
                <w:b/>
                <w:szCs w:val="24"/>
              </w:rPr>
            </w:pPr>
            <w:r w:rsidRPr="004E4764">
              <w:rPr>
                <w:rFonts w:ascii="Times New Roman" w:hAnsi="Times New Roman" w:cs="Times New Roman"/>
                <w:b/>
                <w:szCs w:val="24"/>
              </w:rPr>
              <w:lastRenderedPageBreak/>
              <w:t>rady seniorów</w:t>
            </w:r>
          </w:p>
        </w:tc>
        <w:tc>
          <w:tcPr>
            <w:tcW w:w="3091" w:type="dxa"/>
            <w:shd w:val="clear" w:color="auto" w:fill="9CC2E5" w:themeFill="accent1" w:themeFillTint="99"/>
          </w:tcPr>
          <w:p w14:paraId="5CF7EDA2" w14:textId="77777777" w:rsidR="00AB1786" w:rsidRPr="004E4764" w:rsidRDefault="00AB1786" w:rsidP="00403F40">
            <w:pPr>
              <w:spacing w:after="0" w:line="240" w:lineRule="auto"/>
              <w:ind w:left="34" w:hanging="600"/>
              <w:jc w:val="center"/>
              <w:rPr>
                <w:rFonts w:ascii="Times New Roman" w:hAnsi="Times New Roman" w:cs="Times New Roman"/>
                <w:szCs w:val="24"/>
              </w:rPr>
            </w:pPr>
          </w:p>
          <w:p w14:paraId="2E6459B0" w14:textId="77777777" w:rsidR="00AB1786" w:rsidRPr="004E4764" w:rsidRDefault="00AB1786" w:rsidP="00403F40">
            <w:pPr>
              <w:spacing w:after="0" w:line="240" w:lineRule="auto"/>
              <w:jc w:val="center"/>
              <w:rPr>
                <w:rFonts w:ascii="Times New Roman" w:hAnsi="Times New Roman" w:cs="Times New Roman"/>
                <w:b/>
                <w:szCs w:val="24"/>
              </w:rPr>
            </w:pPr>
            <w:r w:rsidRPr="004E4764">
              <w:rPr>
                <w:rFonts w:ascii="Times New Roman" w:hAnsi="Times New Roman" w:cs="Times New Roman"/>
                <w:b/>
                <w:szCs w:val="24"/>
              </w:rPr>
              <w:t>Uwagi</w:t>
            </w:r>
          </w:p>
          <w:p w14:paraId="5AD175C0" w14:textId="77777777" w:rsidR="00AB1786" w:rsidRPr="004E4764" w:rsidRDefault="00AB1786" w:rsidP="00403F40">
            <w:pPr>
              <w:spacing w:after="0" w:line="240" w:lineRule="auto"/>
              <w:jc w:val="center"/>
              <w:rPr>
                <w:rFonts w:ascii="Times New Roman" w:hAnsi="Times New Roman" w:cs="Times New Roman"/>
                <w:b/>
                <w:szCs w:val="24"/>
              </w:rPr>
            </w:pPr>
            <w:r w:rsidRPr="004E4764">
              <w:rPr>
                <w:rFonts w:ascii="Times New Roman" w:hAnsi="Times New Roman" w:cs="Times New Roman"/>
                <w:b/>
                <w:szCs w:val="24"/>
              </w:rPr>
              <w:t>(wyjaśnienia)</w:t>
            </w:r>
          </w:p>
        </w:tc>
      </w:tr>
      <w:tr w:rsidR="00AB1786" w:rsidRPr="004E4764" w14:paraId="4C3CB07D" w14:textId="77777777" w:rsidTr="004E4764">
        <w:tc>
          <w:tcPr>
            <w:tcW w:w="514" w:type="dxa"/>
            <w:shd w:val="clear" w:color="auto" w:fill="9CC2E5" w:themeFill="accent1" w:themeFillTint="99"/>
            <w:vAlign w:val="center"/>
          </w:tcPr>
          <w:p w14:paraId="64616AA3" w14:textId="77777777" w:rsidR="00AB1786" w:rsidRPr="004E4764" w:rsidRDefault="00AB1786" w:rsidP="00403F40">
            <w:pPr>
              <w:spacing w:after="0" w:line="240" w:lineRule="auto"/>
              <w:rPr>
                <w:rFonts w:ascii="Times New Roman" w:hAnsi="Times New Roman" w:cs="Times New Roman"/>
                <w:szCs w:val="24"/>
              </w:rPr>
            </w:pPr>
            <w:r w:rsidRPr="004E4764">
              <w:rPr>
                <w:rFonts w:ascii="Times New Roman" w:hAnsi="Times New Roman" w:cs="Times New Roman"/>
                <w:szCs w:val="24"/>
              </w:rPr>
              <w:t>1</w:t>
            </w:r>
            <w:r w:rsidR="004E4764">
              <w:rPr>
                <w:rFonts w:ascii="Times New Roman" w:hAnsi="Times New Roman" w:cs="Times New Roman"/>
                <w:szCs w:val="24"/>
              </w:rPr>
              <w:t>.</w:t>
            </w:r>
          </w:p>
        </w:tc>
        <w:tc>
          <w:tcPr>
            <w:tcW w:w="1466" w:type="dxa"/>
            <w:shd w:val="clear" w:color="auto" w:fill="auto"/>
            <w:vAlign w:val="center"/>
          </w:tcPr>
          <w:p w14:paraId="0844D9C4" w14:textId="77777777" w:rsidR="00AB1786" w:rsidRPr="004E4764" w:rsidRDefault="00AB1786" w:rsidP="00403F40">
            <w:pPr>
              <w:spacing w:after="0" w:line="240" w:lineRule="auto"/>
              <w:jc w:val="center"/>
              <w:rPr>
                <w:rFonts w:ascii="Times New Roman" w:hAnsi="Times New Roman" w:cs="Times New Roman"/>
                <w:szCs w:val="24"/>
              </w:rPr>
            </w:pPr>
            <w:r w:rsidRPr="004E4764">
              <w:rPr>
                <w:rFonts w:ascii="Times New Roman" w:hAnsi="Times New Roman" w:cs="Times New Roman"/>
                <w:szCs w:val="24"/>
              </w:rPr>
              <w:t>świętokrzyskie</w:t>
            </w:r>
          </w:p>
        </w:tc>
        <w:tc>
          <w:tcPr>
            <w:tcW w:w="2126" w:type="dxa"/>
            <w:shd w:val="clear" w:color="auto" w:fill="auto"/>
            <w:vAlign w:val="center"/>
          </w:tcPr>
          <w:p w14:paraId="5462F2EB" w14:textId="77777777" w:rsidR="00AB1786" w:rsidRPr="004E4764" w:rsidRDefault="00AB1786" w:rsidP="00403F40">
            <w:pPr>
              <w:spacing w:after="0" w:line="240" w:lineRule="auto"/>
              <w:jc w:val="center"/>
              <w:rPr>
                <w:rFonts w:ascii="Times New Roman" w:hAnsi="Times New Roman" w:cs="Times New Roman"/>
                <w:szCs w:val="24"/>
              </w:rPr>
            </w:pPr>
            <w:r w:rsidRPr="004E4764">
              <w:rPr>
                <w:rFonts w:ascii="Times New Roman" w:hAnsi="Times New Roman" w:cs="Times New Roman"/>
                <w:szCs w:val="24"/>
              </w:rPr>
              <w:t>13</w:t>
            </w:r>
          </w:p>
        </w:tc>
        <w:tc>
          <w:tcPr>
            <w:tcW w:w="2126" w:type="dxa"/>
            <w:shd w:val="clear" w:color="auto" w:fill="auto"/>
            <w:vAlign w:val="center"/>
          </w:tcPr>
          <w:p w14:paraId="730DFC7B" w14:textId="77777777" w:rsidR="00AB1786" w:rsidRPr="004E4764" w:rsidRDefault="00AB1786" w:rsidP="00403F40">
            <w:pPr>
              <w:pStyle w:val="Akapitzlist"/>
              <w:spacing w:after="0" w:line="240" w:lineRule="auto"/>
              <w:jc w:val="center"/>
              <w:rPr>
                <w:rFonts w:ascii="Times New Roman" w:hAnsi="Times New Roman" w:cs="Times New Roman"/>
                <w:szCs w:val="24"/>
              </w:rPr>
            </w:pPr>
            <w:r w:rsidRPr="004E4764">
              <w:rPr>
                <w:rFonts w:ascii="Times New Roman" w:hAnsi="Times New Roman" w:cs="Times New Roman"/>
                <w:szCs w:val="24"/>
              </w:rPr>
              <w:t>1</w:t>
            </w:r>
          </w:p>
        </w:tc>
        <w:tc>
          <w:tcPr>
            <w:tcW w:w="3091" w:type="dxa"/>
            <w:shd w:val="clear" w:color="auto" w:fill="auto"/>
            <w:vAlign w:val="center"/>
          </w:tcPr>
          <w:p w14:paraId="7A9BF616" w14:textId="77777777" w:rsidR="00AB1786" w:rsidRPr="004E4764" w:rsidRDefault="00AB1786" w:rsidP="00403F40">
            <w:pPr>
              <w:spacing w:after="0" w:line="240" w:lineRule="auto"/>
              <w:jc w:val="center"/>
              <w:rPr>
                <w:rFonts w:ascii="Times New Roman" w:hAnsi="Times New Roman" w:cs="Times New Roman"/>
                <w:szCs w:val="24"/>
              </w:rPr>
            </w:pPr>
            <w:r w:rsidRPr="004E4764">
              <w:rPr>
                <w:rFonts w:ascii="Times New Roman" w:hAnsi="Times New Roman" w:cs="Times New Roman"/>
                <w:szCs w:val="24"/>
              </w:rPr>
              <w:t>Powiat Skarżyski</w:t>
            </w:r>
          </w:p>
        </w:tc>
      </w:tr>
      <w:tr w:rsidR="00AB1786" w:rsidRPr="004E4764" w14:paraId="0AA90F35" w14:textId="77777777" w:rsidTr="004E4764">
        <w:tc>
          <w:tcPr>
            <w:tcW w:w="514" w:type="dxa"/>
            <w:shd w:val="clear" w:color="auto" w:fill="9CC2E5" w:themeFill="accent1" w:themeFillTint="99"/>
            <w:vAlign w:val="center"/>
          </w:tcPr>
          <w:p w14:paraId="4F4B870C" w14:textId="77777777" w:rsidR="00AB1786" w:rsidRPr="004E4764" w:rsidRDefault="00AB1786" w:rsidP="00403F40">
            <w:pPr>
              <w:spacing w:after="0" w:line="240" w:lineRule="auto"/>
              <w:rPr>
                <w:rFonts w:ascii="Times New Roman" w:hAnsi="Times New Roman" w:cs="Times New Roman"/>
                <w:szCs w:val="24"/>
              </w:rPr>
            </w:pPr>
            <w:r w:rsidRPr="004E4764">
              <w:rPr>
                <w:rFonts w:ascii="Times New Roman" w:hAnsi="Times New Roman" w:cs="Times New Roman"/>
                <w:szCs w:val="24"/>
              </w:rPr>
              <w:t>2</w:t>
            </w:r>
            <w:r w:rsidR="004E4764">
              <w:rPr>
                <w:rFonts w:ascii="Times New Roman" w:hAnsi="Times New Roman" w:cs="Times New Roman"/>
                <w:szCs w:val="24"/>
              </w:rPr>
              <w:t>.</w:t>
            </w:r>
          </w:p>
        </w:tc>
        <w:tc>
          <w:tcPr>
            <w:tcW w:w="1466" w:type="dxa"/>
            <w:shd w:val="clear" w:color="auto" w:fill="auto"/>
            <w:vAlign w:val="center"/>
          </w:tcPr>
          <w:p w14:paraId="1F88B6D2" w14:textId="77777777" w:rsidR="00AB1786" w:rsidRPr="004E4764" w:rsidRDefault="00AB1786" w:rsidP="00403F40">
            <w:pPr>
              <w:spacing w:after="0" w:line="240" w:lineRule="auto"/>
              <w:jc w:val="center"/>
              <w:rPr>
                <w:rFonts w:ascii="Times New Roman" w:hAnsi="Times New Roman" w:cs="Times New Roman"/>
                <w:szCs w:val="24"/>
              </w:rPr>
            </w:pPr>
            <w:r w:rsidRPr="004E4764">
              <w:rPr>
                <w:rFonts w:ascii="Times New Roman" w:hAnsi="Times New Roman" w:cs="Times New Roman"/>
                <w:szCs w:val="24"/>
              </w:rPr>
              <w:t>świętokrzyskie</w:t>
            </w:r>
          </w:p>
        </w:tc>
        <w:tc>
          <w:tcPr>
            <w:tcW w:w="2126" w:type="dxa"/>
            <w:shd w:val="clear" w:color="auto" w:fill="auto"/>
            <w:vAlign w:val="center"/>
          </w:tcPr>
          <w:p w14:paraId="5ADA5980" w14:textId="77777777" w:rsidR="00AB1786" w:rsidRPr="004E4764" w:rsidRDefault="00AB1786" w:rsidP="00403F40">
            <w:pPr>
              <w:spacing w:after="0" w:line="240" w:lineRule="auto"/>
              <w:jc w:val="center"/>
              <w:rPr>
                <w:rFonts w:ascii="Times New Roman" w:hAnsi="Times New Roman" w:cs="Times New Roman"/>
                <w:szCs w:val="24"/>
              </w:rPr>
            </w:pPr>
            <w:r w:rsidRPr="004E4764">
              <w:rPr>
                <w:rFonts w:ascii="Times New Roman" w:hAnsi="Times New Roman" w:cs="Times New Roman"/>
                <w:szCs w:val="24"/>
              </w:rPr>
              <w:t>n/d</w:t>
            </w:r>
          </w:p>
        </w:tc>
        <w:tc>
          <w:tcPr>
            <w:tcW w:w="2126" w:type="dxa"/>
            <w:shd w:val="clear" w:color="auto" w:fill="auto"/>
            <w:vAlign w:val="center"/>
          </w:tcPr>
          <w:p w14:paraId="05A85AB8" w14:textId="77777777" w:rsidR="00AB1786" w:rsidRPr="004E4764" w:rsidRDefault="00AB1786" w:rsidP="00403F40">
            <w:pPr>
              <w:spacing w:after="0" w:line="240" w:lineRule="auto"/>
              <w:jc w:val="center"/>
              <w:rPr>
                <w:rFonts w:ascii="Times New Roman" w:hAnsi="Times New Roman" w:cs="Times New Roman"/>
                <w:szCs w:val="24"/>
              </w:rPr>
            </w:pPr>
            <w:r w:rsidRPr="004E4764">
              <w:rPr>
                <w:rFonts w:ascii="Times New Roman" w:hAnsi="Times New Roman" w:cs="Times New Roman"/>
                <w:szCs w:val="24"/>
              </w:rPr>
              <w:t>n/d</w:t>
            </w:r>
          </w:p>
        </w:tc>
        <w:tc>
          <w:tcPr>
            <w:tcW w:w="3091" w:type="dxa"/>
            <w:shd w:val="clear" w:color="auto" w:fill="auto"/>
            <w:vAlign w:val="center"/>
          </w:tcPr>
          <w:p w14:paraId="26AD08CE" w14:textId="77777777" w:rsidR="00AB1786" w:rsidRPr="004E4764" w:rsidRDefault="00AB1786" w:rsidP="00403F40">
            <w:pPr>
              <w:spacing w:after="0" w:line="240" w:lineRule="auto"/>
              <w:jc w:val="center"/>
              <w:rPr>
                <w:rFonts w:ascii="Times New Roman" w:hAnsi="Times New Roman" w:cs="Times New Roman"/>
                <w:szCs w:val="24"/>
              </w:rPr>
            </w:pPr>
            <w:r w:rsidRPr="004E4764">
              <w:rPr>
                <w:rFonts w:ascii="Times New Roman" w:hAnsi="Times New Roman" w:cs="Times New Roman"/>
                <w:szCs w:val="24"/>
              </w:rPr>
              <w:t>Świętokrzyska Rada Seniorów,</w:t>
            </w:r>
          </w:p>
          <w:p w14:paraId="57379702" w14:textId="77777777" w:rsidR="00AB1786" w:rsidRPr="004E4764" w:rsidRDefault="00AB1786" w:rsidP="00403F40">
            <w:pPr>
              <w:spacing w:after="0" w:line="240" w:lineRule="auto"/>
              <w:jc w:val="center"/>
              <w:rPr>
                <w:rFonts w:ascii="Times New Roman" w:hAnsi="Times New Roman" w:cs="Times New Roman"/>
                <w:szCs w:val="24"/>
              </w:rPr>
            </w:pPr>
            <w:r w:rsidRPr="004E4764">
              <w:rPr>
                <w:rFonts w:ascii="Times New Roman" w:hAnsi="Times New Roman" w:cs="Times New Roman"/>
                <w:szCs w:val="24"/>
              </w:rPr>
              <w:t>Wojewódzka Społeczna Rada Seniorów – charakter wojewódzki</w:t>
            </w:r>
          </w:p>
        </w:tc>
      </w:tr>
    </w:tbl>
    <w:p w14:paraId="12B911D0" w14:textId="77777777" w:rsidR="00AB1786" w:rsidRPr="005F0A32" w:rsidRDefault="00AB1786" w:rsidP="003C1988">
      <w:pPr>
        <w:tabs>
          <w:tab w:val="left" w:pos="567"/>
        </w:tabs>
        <w:spacing w:after="0"/>
        <w:rPr>
          <w:rFonts w:ascii="Times New Roman" w:hAnsi="Times New Roman" w:cs="Times New Roman"/>
          <w:color w:val="000000"/>
          <w:sz w:val="24"/>
          <w:szCs w:val="24"/>
        </w:rPr>
      </w:pPr>
    </w:p>
    <w:p w14:paraId="60ED1CD2" w14:textId="77777777" w:rsidR="00AB1786" w:rsidRPr="005F0A32" w:rsidRDefault="00AB1786" w:rsidP="003C1988">
      <w:pPr>
        <w:spacing w:after="0"/>
        <w:rPr>
          <w:rFonts w:ascii="Times New Roman" w:hAnsi="Times New Roman" w:cs="Times New Roman"/>
          <w:sz w:val="24"/>
          <w:szCs w:val="24"/>
        </w:rPr>
      </w:pPr>
    </w:p>
    <w:p w14:paraId="03779057" w14:textId="77777777" w:rsidR="00C813A9" w:rsidRPr="004372A0" w:rsidRDefault="00C813A9" w:rsidP="000D7CDE">
      <w:pPr>
        <w:spacing w:after="0"/>
        <w:jc w:val="both"/>
        <w:rPr>
          <w:rFonts w:ascii="Times New Roman" w:hAnsi="Times New Roman" w:cs="Times New Roman"/>
          <w:b/>
          <w:i/>
          <w:color w:val="00B0F0"/>
          <w:sz w:val="24"/>
          <w:szCs w:val="24"/>
        </w:rPr>
      </w:pPr>
      <w:r w:rsidRPr="004372A0">
        <w:rPr>
          <w:rFonts w:ascii="Times New Roman" w:hAnsi="Times New Roman" w:cs="Times New Roman"/>
          <w:b/>
          <w:color w:val="00B0F0"/>
          <w:sz w:val="24"/>
          <w:szCs w:val="24"/>
        </w:rPr>
        <w:t>Realizacja działań wynikających z przyjętego prze</w:t>
      </w:r>
      <w:r w:rsidR="00403F40">
        <w:rPr>
          <w:rFonts w:ascii="Times New Roman" w:hAnsi="Times New Roman" w:cs="Times New Roman"/>
          <w:b/>
          <w:color w:val="00B0F0"/>
          <w:sz w:val="24"/>
          <w:szCs w:val="24"/>
        </w:rPr>
        <w:t xml:space="preserve">z Radę Ministrów dokumentu </w:t>
      </w:r>
      <w:r w:rsidR="004372A0">
        <w:rPr>
          <w:rFonts w:ascii="Times New Roman" w:hAnsi="Times New Roman" w:cs="Times New Roman"/>
          <w:b/>
          <w:color w:val="00B0F0"/>
          <w:sz w:val="24"/>
          <w:szCs w:val="24"/>
        </w:rPr>
        <w:t>pt. </w:t>
      </w:r>
      <w:r w:rsidRPr="004372A0">
        <w:rPr>
          <w:rFonts w:ascii="Times New Roman" w:hAnsi="Times New Roman" w:cs="Times New Roman"/>
          <w:b/>
          <w:i/>
          <w:color w:val="00B0F0"/>
          <w:sz w:val="24"/>
          <w:szCs w:val="24"/>
        </w:rPr>
        <w:t>Polityka społeczna wobec osób starszych 2030. Bezpieczeństw</w:t>
      </w:r>
      <w:r w:rsidR="004372A0" w:rsidRPr="004372A0">
        <w:rPr>
          <w:rFonts w:ascii="Times New Roman" w:hAnsi="Times New Roman" w:cs="Times New Roman"/>
          <w:b/>
          <w:i/>
          <w:color w:val="00B0F0"/>
          <w:sz w:val="24"/>
          <w:szCs w:val="24"/>
        </w:rPr>
        <w:t>o – Uczestnictwo – Solidarność</w:t>
      </w:r>
      <w:r w:rsidRPr="004372A0">
        <w:rPr>
          <w:rFonts w:ascii="Times New Roman" w:hAnsi="Times New Roman" w:cs="Times New Roman"/>
          <w:b/>
          <w:color w:val="00B0F0"/>
          <w:sz w:val="24"/>
          <w:szCs w:val="24"/>
        </w:rPr>
        <w:t xml:space="preserve"> </w:t>
      </w:r>
    </w:p>
    <w:p w14:paraId="1CE90A3D" w14:textId="77777777" w:rsidR="00C813A9" w:rsidRDefault="00C813A9" w:rsidP="000D7CDE">
      <w:pPr>
        <w:spacing w:after="0"/>
        <w:jc w:val="both"/>
        <w:rPr>
          <w:rFonts w:ascii="Times New Roman" w:hAnsi="Times New Roman" w:cs="Times New Roman"/>
          <w:sz w:val="24"/>
          <w:szCs w:val="24"/>
        </w:rPr>
      </w:pPr>
    </w:p>
    <w:p w14:paraId="333A7537"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Priorytety dla polityki społecznej wobec osób starszych, określone w powyższych  dokumentach, realizowane w województwie świętokrzyskim to np.:</w:t>
      </w:r>
    </w:p>
    <w:p w14:paraId="64AF9B84" w14:textId="77777777" w:rsidR="00AB1786" w:rsidRPr="005F0A32" w:rsidRDefault="00AB1786" w:rsidP="008C71A9">
      <w:pPr>
        <w:numPr>
          <w:ilvl w:val="0"/>
          <w:numId w:val="171"/>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Stworzenie warunków do aktywnego starzenia się społeczeństwa, umożliwienie wydłużania okresu samodzielności i uwzględnianie w politykach publicznych podejścia międzypokoleniowego.</w:t>
      </w:r>
    </w:p>
    <w:p w14:paraId="3FEDFD4E" w14:textId="77777777" w:rsidR="00AB1786" w:rsidRPr="005F0A32" w:rsidRDefault="00AB1786" w:rsidP="008C71A9">
      <w:pPr>
        <w:numPr>
          <w:ilvl w:val="0"/>
          <w:numId w:val="171"/>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Zapewnienie osobom starszym szerokiej partycypacji społecznej.</w:t>
      </w:r>
    </w:p>
    <w:p w14:paraId="281B77D3" w14:textId="77777777" w:rsidR="00AB1786" w:rsidRPr="005F0A32" w:rsidRDefault="00AB1786" w:rsidP="008C71A9">
      <w:pPr>
        <w:numPr>
          <w:ilvl w:val="0"/>
          <w:numId w:val="171"/>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Profilaktyka zdrowotna i edukacja do i dla starości.</w:t>
      </w:r>
    </w:p>
    <w:p w14:paraId="40D08F00" w14:textId="77777777" w:rsidR="00AB1786" w:rsidRPr="005F0A32" w:rsidRDefault="00AB1786" w:rsidP="008C71A9">
      <w:pPr>
        <w:numPr>
          <w:ilvl w:val="0"/>
          <w:numId w:val="171"/>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 xml:space="preserve">Zorganizowanie sieci dostępnych usług zdrowotnych, opiekuńczych, edukacyjnych </w:t>
      </w:r>
      <w:r w:rsidRPr="005F0A32">
        <w:rPr>
          <w:rFonts w:ascii="Times New Roman" w:hAnsi="Times New Roman" w:cs="Times New Roman"/>
          <w:sz w:val="24"/>
          <w:szCs w:val="24"/>
        </w:rPr>
        <w:br/>
        <w:t>i integracyjnych.</w:t>
      </w:r>
    </w:p>
    <w:p w14:paraId="1C0AD96E" w14:textId="77777777" w:rsidR="00AB1786" w:rsidRPr="005F0A32" w:rsidRDefault="00AB1786" w:rsidP="008C71A9">
      <w:pPr>
        <w:numPr>
          <w:ilvl w:val="0"/>
          <w:numId w:val="171"/>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 xml:space="preserve">Przełamanie podziałów resortowych przy rozwiązywaniu wiodących problemów osób starszych, w tym integracja działań w ramach wszystkich rządowych programów </w:t>
      </w:r>
      <w:r w:rsidRPr="005F0A32">
        <w:rPr>
          <w:rFonts w:ascii="Times New Roman" w:hAnsi="Times New Roman" w:cs="Times New Roman"/>
          <w:sz w:val="24"/>
          <w:szCs w:val="24"/>
        </w:rPr>
        <w:br/>
        <w:t>o charakterze społecznym i infrastrukturalnym.</w:t>
      </w:r>
    </w:p>
    <w:p w14:paraId="6744100C" w14:textId="77777777" w:rsidR="00C813A9" w:rsidRDefault="00C813A9" w:rsidP="000D7CDE">
      <w:pPr>
        <w:spacing w:after="0"/>
        <w:jc w:val="both"/>
        <w:rPr>
          <w:rFonts w:ascii="Times New Roman" w:hAnsi="Times New Roman" w:cs="Times New Roman"/>
          <w:sz w:val="24"/>
          <w:szCs w:val="24"/>
        </w:rPr>
      </w:pPr>
    </w:p>
    <w:p w14:paraId="39289A51"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Priorytety te realizowane są poprzez działania lokalne, których przykładami mogą być:</w:t>
      </w:r>
    </w:p>
    <w:p w14:paraId="65B4D5DD" w14:textId="77777777" w:rsidR="00AB1786" w:rsidRPr="00C813A9" w:rsidRDefault="00AB1786" w:rsidP="008C71A9">
      <w:pPr>
        <w:pStyle w:val="Akapitzlist"/>
        <w:numPr>
          <w:ilvl w:val="0"/>
          <w:numId w:val="172"/>
        </w:numPr>
        <w:spacing w:after="0"/>
        <w:ind w:left="360"/>
        <w:jc w:val="both"/>
        <w:rPr>
          <w:rFonts w:ascii="Times New Roman" w:hAnsi="Times New Roman" w:cs="Times New Roman"/>
          <w:sz w:val="24"/>
          <w:szCs w:val="24"/>
        </w:rPr>
      </w:pPr>
      <w:r w:rsidRPr="00C813A9">
        <w:rPr>
          <w:rFonts w:ascii="Times New Roman" w:hAnsi="Times New Roman" w:cs="Times New Roman"/>
          <w:sz w:val="24"/>
          <w:szCs w:val="24"/>
        </w:rPr>
        <w:t>Na poziomie powiatowym:</w:t>
      </w:r>
    </w:p>
    <w:p w14:paraId="657D6137" w14:textId="77777777" w:rsidR="00C813A9" w:rsidRDefault="00AB1786" w:rsidP="000D7CDE">
      <w:pPr>
        <w:numPr>
          <w:ilvl w:val="0"/>
          <w:numId w:val="23"/>
        </w:numPr>
        <w:tabs>
          <w:tab w:val="left" w:pos="284"/>
        </w:tabs>
        <w:spacing w:after="0"/>
        <w:ind w:left="567" w:hanging="284"/>
        <w:jc w:val="both"/>
        <w:rPr>
          <w:rFonts w:ascii="Times New Roman" w:hAnsi="Times New Roman" w:cs="Times New Roman"/>
          <w:sz w:val="24"/>
          <w:szCs w:val="24"/>
        </w:rPr>
      </w:pPr>
      <w:r w:rsidRPr="005F0A32">
        <w:rPr>
          <w:rFonts w:ascii="Times New Roman" w:hAnsi="Times New Roman" w:cs="Times New Roman"/>
          <w:sz w:val="24"/>
          <w:szCs w:val="24"/>
        </w:rPr>
        <w:t>Określenie działań horyzontalnych w obszarze polityki senioralnej w regionalnych dokumentach strategicznych i programowych (Strategia Polityki Społecznej Województwa Świętokrzyskiego na lata 2012 – 2020, Świętokrzyski Program na Rzecz Osób Starszych do roku 2020) oraz ich monitoring.</w:t>
      </w:r>
    </w:p>
    <w:p w14:paraId="16076455" w14:textId="77777777" w:rsidR="00C813A9" w:rsidRDefault="00AB1786" w:rsidP="000D7CDE">
      <w:pPr>
        <w:numPr>
          <w:ilvl w:val="0"/>
          <w:numId w:val="23"/>
        </w:numPr>
        <w:tabs>
          <w:tab w:val="left" w:pos="284"/>
        </w:tabs>
        <w:spacing w:after="0"/>
        <w:ind w:left="567" w:hanging="284"/>
        <w:jc w:val="both"/>
        <w:rPr>
          <w:rFonts w:ascii="Times New Roman" w:hAnsi="Times New Roman" w:cs="Times New Roman"/>
          <w:sz w:val="24"/>
          <w:szCs w:val="24"/>
        </w:rPr>
      </w:pPr>
      <w:r w:rsidRPr="00C813A9">
        <w:rPr>
          <w:rFonts w:ascii="Times New Roman" w:hAnsi="Times New Roman" w:cs="Times New Roman"/>
          <w:sz w:val="24"/>
          <w:szCs w:val="24"/>
        </w:rPr>
        <w:t xml:space="preserve">Współpraca samorządu z podmiotami trzeciego sektora. Politykę Samorządu Województwa Świętokrzyskiego wobec organizacji pozarządowych wyznacza corocznie uchwalany Program Współpracy Samorządu Województwa Świętokrzyskiego </w:t>
      </w:r>
      <w:r w:rsidRPr="00C813A9">
        <w:rPr>
          <w:rFonts w:ascii="Times New Roman" w:hAnsi="Times New Roman" w:cs="Times New Roman"/>
          <w:sz w:val="24"/>
          <w:szCs w:val="24"/>
        </w:rPr>
        <w:br/>
        <w:t xml:space="preserve">z Organizacjami Pozarządowymi.  </w:t>
      </w:r>
    </w:p>
    <w:p w14:paraId="34A0D331" w14:textId="77777777" w:rsidR="00C813A9" w:rsidRDefault="00AB1786" w:rsidP="000D7CDE">
      <w:pPr>
        <w:numPr>
          <w:ilvl w:val="0"/>
          <w:numId w:val="23"/>
        </w:numPr>
        <w:tabs>
          <w:tab w:val="left" w:pos="284"/>
        </w:tabs>
        <w:spacing w:after="0"/>
        <w:ind w:left="567" w:hanging="284"/>
        <w:jc w:val="both"/>
        <w:rPr>
          <w:rFonts w:ascii="Times New Roman" w:hAnsi="Times New Roman" w:cs="Times New Roman"/>
          <w:sz w:val="24"/>
          <w:szCs w:val="24"/>
        </w:rPr>
      </w:pPr>
      <w:r w:rsidRPr="00C813A9">
        <w:rPr>
          <w:rFonts w:ascii="Times New Roman" w:hAnsi="Times New Roman" w:cs="Times New Roman"/>
          <w:sz w:val="24"/>
          <w:szCs w:val="24"/>
        </w:rPr>
        <w:t xml:space="preserve">Organizacja </w:t>
      </w:r>
      <w:r w:rsidR="00C813A9">
        <w:rPr>
          <w:rFonts w:ascii="Times New Roman" w:hAnsi="Times New Roman" w:cs="Times New Roman"/>
          <w:sz w:val="24"/>
          <w:szCs w:val="24"/>
        </w:rPr>
        <w:t>Międzynarodowych Targów Seniora</w:t>
      </w:r>
    </w:p>
    <w:p w14:paraId="18D2CF20" w14:textId="77777777" w:rsidR="00C813A9" w:rsidRDefault="00AB1786" w:rsidP="000D7CDE">
      <w:pPr>
        <w:numPr>
          <w:ilvl w:val="0"/>
          <w:numId w:val="23"/>
        </w:numPr>
        <w:tabs>
          <w:tab w:val="left" w:pos="284"/>
        </w:tabs>
        <w:spacing w:after="0"/>
        <w:ind w:left="567" w:hanging="284"/>
        <w:jc w:val="both"/>
        <w:rPr>
          <w:rFonts w:ascii="Times New Roman" w:hAnsi="Times New Roman" w:cs="Times New Roman"/>
          <w:sz w:val="24"/>
          <w:szCs w:val="24"/>
        </w:rPr>
      </w:pPr>
      <w:r w:rsidRPr="00C813A9">
        <w:rPr>
          <w:rFonts w:ascii="Times New Roman" w:hAnsi="Times New Roman" w:cs="Times New Roman"/>
          <w:sz w:val="24"/>
          <w:szCs w:val="24"/>
        </w:rPr>
        <w:t xml:space="preserve">Opracowanie „Biuletynu Świętokrzyskiego Seniora” </w:t>
      </w:r>
    </w:p>
    <w:p w14:paraId="6A60CDAC" w14:textId="77777777" w:rsidR="00AB1786" w:rsidRPr="00C813A9" w:rsidRDefault="00AB1786" w:rsidP="000D7CDE">
      <w:pPr>
        <w:numPr>
          <w:ilvl w:val="0"/>
          <w:numId w:val="23"/>
        </w:numPr>
        <w:tabs>
          <w:tab w:val="left" w:pos="284"/>
        </w:tabs>
        <w:spacing w:after="0"/>
        <w:ind w:left="567" w:hanging="284"/>
        <w:jc w:val="both"/>
        <w:rPr>
          <w:rFonts w:ascii="Times New Roman" w:hAnsi="Times New Roman" w:cs="Times New Roman"/>
          <w:sz w:val="24"/>
          <w:szCs w:val="24"/>
        </w:rPr>
      </w:pPr>
      <w:r w:rsidRPr="00C813A9">
        <w:rPr>
          <w:rFonts w:ascii="Times New Roman" w:hAnsi="Times New Roman" w:cs="Times New Roman"/>
          <w:sz w:val="24"/>
          <w:szCs w:val="24"/>
        </w:rPr>
        <w:t>Bieżąca organizacja spotkań o tematyce senioralnej w ramach współpracy międzyinstytucjonalnej.</w:t>
      </w:r>
    </w:p>
    <w:p w14:paraId="1EBF3187" w14:textId="77777777" w:rsidR="00AB1786" w:rsidRPr="00C813A9" w:rsidRDefault="00AB1786" w:rsidP="008C71A9">
      <w:pPr>
        <w:pStyle w:val="Akapitzlist"/>
        <w:numPr>
          <w:ilvl w:val="0"/>
          <w:numId w:val="173"/>
        </w:numPr>
        <w:spacing w:after="0"/>
        <w:ind w:left="360"/>
        <w:jc w:val="both"/>
        <w:rPr>
          <w:rFonts w:ascii="Times New Roman" w:hAnsi="Times New Roman" w:cs="Times New Roman"/>
          <w:sz w:val="24"/>
          <w:szCs w:val="24"/>
        </w:rPr>
      </w:pPr>
      <w:r w:rsidRPr="00C813A9">
        <w:rPr>
          <w:rFonts w:ascii="Times New Roman" w:hAnsi="Times New Roman" w:cs="Times New Roman"/>
          <w:sz w:val="24"/>
          <w:szCs w:val="24"/>
        </w:rPr>
        <w:t>Na poziomie gminnym:</w:t>
      </w:r>
    </w:p>
    <w:p w14:paraId="27DBCD0E" w14:textId="77777777" w:rsidR="00C813A9" w:rsidRDefault="00AB1786" w:rsidP="008C71A9">
      <w:pPr>
        <w:pStyle w:val="Akapitzlist"/>
        <w:numPr>
          <w:ilvl w:val="0"/>
          <w:numId w:val="174"/>
        </w:numPr>
        <w:tabs>
          <w:tab w:val="left" w:pos="284"/>
        </w:tabs>
        <w:spacing w:after="0"/>
        <w:ind w:left="643"/>
        <w:jc w:val="both"/>
        <w:rPr>
          <w:rFonts w:ascii="Times New Roman" w:hAnsi="Times New Roman" w:cs="Times New Roman"/>
          <w:sz w:val="24"/>
          <w:szCs w:val="24"/>
        </w:rPr>
      </w:pPr>
      <w:r w:rsidRPr="00C813A9">
        <w:rPr>
          <w:rFonts w:ascii="Times New Roman" w:hAnsi="Times New Roman" w:cs="Times New Roman"/>
          <w:sz w:val="24"/>
          <w:szCs w:val="24"/>
        </w:rPr>
        <w:t>udział gmin świętokrzyskich w rządowych Programach na rzecz osób starszych: Senior+, Opieka 75+;</w:t>
      </w:r>
    </w:p>
    <w:p w14:paraId="365650BA" w14:textId="77777777" w:rsidR="00C813A9" w:rsidRDefault="00AB1786" w:rsidP="008C71A9">
      <w:pPr>
        <w:pStyle w:val="Akapitzlist"/>
        <w:numPr>
          <w:ilvl w:val="0"/>
          <w:numId w:val="174"/>
        </w:numPr>
        <w:tabs>
          <w:tab w:val="left" w:pos="284"/>
        </w:tabs>
        <w:spacing w:after="0"/>
        <w:ind w:left="643"/>
        <w:jc w:val="both"/>
        <w:rPr>
          <w:rFonts w:ascii="Times New Roman" w:hAnsi="Times New Roman" w:cs="Times New Roman"/>
          <w:sz w:val="24"/>
          <w:szCs w:val="24"/>
        </w:rPr>
      </w:pPr>
      <w:r w:rsidRPr="00C813A9">
        <w:rPr>
          <w:rFonts w:ascii="Times New Roman" w:hAnsi="Times New Roman" w:cs="Times New Roman"/>
          <w:sz w:val="24"/>
          <w:szCs w:val="24"/>
        </w:rPr>
        <w:t>bezpłatne szczepienia przeciwko grypie oraz badania profilaktyczne dla seniorów;</w:t>
      </w:r>
    </w:p>
    <w:p w14:paraId="2863C3B7" w14:textId="77777777" w:rsidR="00C813A9" w:rsidRDefault="00AB1786" w:rsidP="008C71A9">
      <w:pPr>
        <w:pStyle w:val="Akapitzlist"/>
        <w:numPr>
          <w:ilvl w:val="0"/>
          <w:numId w:val="174"/>
        </w:numPr>
        <w:tabs>
          <w:tab w:val="left" w:pos="284"/>
        </w:tabs>
        <w:spacing w:after="0"/>
        <w:ind w:left="643"/>
        <w:jc w:val="both"/>
        <w:rPr>
          <w:rFonts w:ascii="Times New Roman" w:hAnsi="Times New Roman" w:cs="Times New Roman"/>
          <w:sz w:val="24"/>
          <w:szCs w:val="24"/>
        </w:rPr>
      </w:pPr>
      <w:r w:rsidRPr="00C813A9">
        <w:rPr>
          <w:rFonts w:ascii="Times New Roman" w:hAnsi="Times New Roman" w:cs="Times New Roman"/>
          <w:sz w:val="24"/>
          <w:szCs w:val="24"/>
        </w:rPr>
        <w:t>prowadzenie Uniwersytetów Trzeciego Wieku;</w:t>
      </w:r>
    </w:p>
    <w:p w14:paraId="16581CA6" w14:textId="77777777" w:rsidR="00C813A9" w:rsidRDefault="00AB1786" w:rsidP="008C71A9">
      <w:pPr>
        <w:pStyle w:val="Akapitzlist"/>
        <w:numPr>
          <w:ilvl w:val="0"/>
          <w:numId w:val="174"/>
        </w:numPr>
        <w:tabs>
          <w:tab w:val="left" w:pos="284"/>
        </w:tabs>
        <w:spacing w:after="0"/>
        <w:ind w:left="643"/>
        <w:jc w:val="both"/>
        <w:rPr>
          <w:rFonts w:ascii="Times New Roman" w:hAnsi="Times New Roman" w:cs="Times New Roman"/>
          <w:sz w:val="24"/>
          <w:szCs w:val="24"/>
        </w:rPr>
      </w:pPr>
      <w:r w:rsidRPr="00C813A9">
        <w:rPr>
          <w:rFonts w:ascii="Times New Roman" w:hAnsi="Times New Roman" w:cs="Times New Roman"/>
          <w:sz w:val="24"/>
          <w:szCs w:val="24"/>
        </w:rPr>
        <w:lastRenderedPageBreak/>
        <w:t>stosowanie tzw. „Kopert Życia”.</w:t>
      </w:r>
    </w:p>
    <w:p w14:paraId="4D4FC5A0" w14:textId="77777777" w:rsidR="00C813A9" w:rsidRDefault="00AB1786" w:rsidP="008C71A9">
      <w:pPr>
        <w:pStyle w:val="Akapitzlist"/>
        <w:numPr>
          <w:ilvl w:val="0"/>
          <w:numId w:val="174"/>
        </w:numPr>
        <w:tabs>
          <w:tab w:val="left" w:pos="284"/>
        </w:tabs>
        <w:spacing w:after="0"/>
        <w:ind w:left="643"/>
        <w:jc w:val="both"/>
        <w:rPr>
          <w:rFonts w:ascii="Times New Roman" w:hAnsi="Times New Roman" w:cs="Times New Roman"/>
          <w:sz w:val="24"/>
          <w:szCs w:val="24"/>
        </w:rPr>
      </w:pPr>
      <w:r w:rsidRPr="00C813A9">
        <w:rPr>
          <w:rFonts w:ascii="Times New Roman" w:hAnsi="Times New Roman" w:cs="Times New Roman"/>
          <w:sz w:val="24"/>
          <w:szCs w:val="24"/>
        </w:rPr>
        <w:t>dyżury społeczne członków rad seniorów;</w:t>
      </w:r>
    </w:p>
    <w:p w14:paraId="085D633F" w14:textId="77777777" w:rsidR="00C813A9" w:rsidRDefault="00AB1786" w:rsidP="008C71A9">
      <w:pPr>
        <w:pStyle w:val="Akapitzlist"/>
        <w:numPr>
          <w:ilvl w:val="0"/>
          <w:numId w:val="174"/>
        </w:numPr>
        <w:tabs>
          <w:tab w:val="left" w:pos="284"/>
        </w:tabs>
        <w:spacing w:after="0"/>
        <w:ind w:left="643"/>
        <w:jc w:val="both"/>
        <w:rPr>
          <w:rFonts w:ascii="Times New Roman" w:hAnsi="Times New Roman" w:cs="Times New Roman"/>
          <w:sz w:val="24"/>
          <w:szCs w:val="24"/>
        </w:rPr>
      </w:pPr>
      <w:r w:rsidRPr="00C813A9">
        <w:rPr>
          <w:rFonts w:ascii="Times New Roman" w:hAnsi="Times New Roman" w:cs="Times New Roman"/>
          <w:sz w:val="24"/>
          <w:szCs w:val="24"/>
        </w:rPr>
        <w:t>wdrażanie Gminnych Kart Seniora;</w:t>
      </w:r>
    </w:p>
    <w:p w14:paraId="01B50C62" w14:textId="77777777" w:rsidR="00C813A9" w:rsidRDefault="00AB1786" w:rsidP="008C71A9">
      <w:pPr>
        <w:pStyle w:val="Akapitzlist"/>
        <w:numPr>
          <w:ilvl w:val="0"/>
          <w:numId w:val="174"/>
        </w:numPr>
        <w:tabs>
          <w:tab w:val="left" w:pos="284"/>
        </w:tabs>
        <w:spacing w:after="0"/>
        <w:ind w:left="643"/>
        <w:jc w:val="both"/>
        <w:rPr>
          <w:rFonts w:ascii="Times New Roman" w:hAnsi="Times New Roman" w:cs="Times New Roman"/>
          <w:sz w:val="24"/>
          <w:szCs w:val="24"/>
        </w:rPr>
      </w:pPr>
      <w:r w:rsidRPr="00C813A9">
        <w:rPr>
          <w:rFonts w:ascii="Times New Roman" w:hAnsi="Times New Roman" w:cs="Times New Roman"/>
          <w:sz w:val="24"/>
          <w:szCs w:val="24"/>
        </w:rPr>
        <w:t>tworzenie informatorów dla osób starszych, na temat zdrowi</w:t>
      </w:r>
      <w:r w:rsidR="00C813A9">
        <w:rPr>
          <w:rFonts w:ascii="Times New Roman" w:hAnsi="Times New Roman" w:cs="Times New Roman"/>
          <w:sz w:val="24"/>
          <w:szCs w:val="24"/>
        </w:rPr>
        <w:t xml:space="preserve">a, opieki społecznej, kultury, </w:t>
      </w:r>
      <w:r w:rsidRPr="00C813A9">
        <w:rPr>
          <w:rFonts w:ascii="Times New Roman" w:hAnsi="Times New Roman" w:cs="Times New Roman"/>
          <w:sz w:val="24"/>
          <w:szCs w:val="24"/>
        </w:rPr>
        <w:t>a także pomocy prawnej, dystrybucja prasy  branżowej;</w:t>
      </w:r>
    </w:p>
    <w:p w14:paraId="19A8AA53" w14:textId="77777777" w:rsidR="00C813A9" w:rsidRDefault="00AB1786" w:rsidP="008C71A9">
      <w:pPr>
        <w:pStyle w:val="Akapitzlist"/>
        <w:numPr>
          <w:ilvl w:val="0"/>
          <w:numId w:val="174"/>
        </w:numPr>
        <w:tabs>
          <w:tab w:val="left" w:pos="284"/>
        </w:tabs>
        <w:spacing w:after="0"/>
        <w:ind w:left="643"/>
        <w:jc w:val="both"/>
        <w:rPr>
          <w:rFonts w:ascii="Times New Roman" w:hAnsi="Times New Roman" w:cs="Times New Roman"/>
          <w:sz w:val="24"/>
          <w:szCs w:val="24"/>
        </w:rPr>
      </w:pPr>
      <w:r w:rsidRPr="00C813A9">
        <w:rPr>
          <w:rFonts w:ascii="Times New Roman" w:hAnsi="Times New Roman" w:cs="Times New Roman"/>
          <w:sz w:val="24"/>
          <w:szCs w:val="24"/>
        </w:rPr>
        <w:t>konsultacje społeczne w zakresie potrzeb osób starszych;</w:t>
      </w:r>
    </w:p>
    <w:p w14:paraId="769AF7C3" w14:textId="77777777" w:rsidR="00AB1786" w:rsidRPr="00C813A9" w:rsidRDefault="00AB1786" w:rsidP="008C71A9">
      <w:pPr>
        <w:pStyle w:val="Akapitzlist"/>
        <w:numPr>
          <w:ilvl w:val="0"/>
          <w:numId w:val="174"/>
        </w:numPr>
        <w:tabs>
          <w:tab w:val="left" w:pos="284"/>
        </w:tabs>
        <w:spacing w:after="0"/>
        <w:ind w:left="643"/>
        <w:jc w:val="both"/>
        <w:rPr>
          <w:rFonts w:ascii="Times New Roman" w:hAnsi="Times New Roman" w:cs="Times New Roman"/>
          <w:sz w:val="24"/>
          <w:szCs w:val="24"/>
        </w:rPr>
      </w:pPr>
      <w:r w:rsidRPr="00C813A9">
        <w:rPr>
          <w:rFonts w:ascii="Times New Roman" w:hAnsi="Times New Roman" w:cs="Times New Roman"/>
          <w:sz w:val="24"/>
          <w:szCs w:val="24"/>
        </w:rPr>
        <w:t>realizacja działań dla seniorów o charakterze:</w:t>
      </w:r>
    </w:p>
    <w:p w14:paraId="321FDADE" w14:textId="77777777" w:rsidR="00AB1786" w:rsidRPr="005F0A32" w:rsidRDefault="00AB1786" w:rsidP="000D7CDE">
      <w:pPr>
        <w:numPr>
          <w:ilvl w:val="0"/>
          <w:numId w:val="22"/>
        </w:numPr>
        <w:spacing w:after="0"/>
        <w:ind w:left="210" w:hanging="210"/>
        <w:jc w:val="both"/>
        <w:rPr>
          <w:rFonts w:ascii="Times New Roman" w:hAnsi="Times New Roman" w:cs="Times New Roman"/>
          <w:sz w:val="24"/>
          <w:szCs w:val="24"/>
        </w:rPr>
      </w:pPr>
      <w:r w:rsidRPr="005F0A32">
        <w:rPr>
          <w:rFonts w:ascii="Times New Roman" w:hAnsi="Times New Roman" w:cs="Times New Roman"/>
          <w:sz w:val="24"/>
          <w:szCs w:val="24"/>
        </w:rPr>
        <w:t>profilaktycznym (konferencje, wykłady, warsztaty, pogadanki);</w:t>
      </w:r>
    </w:p>
    <w:p w14:paraId="0B1C4733" w14:textId="77777777" w:rsidR="00AB1786" w:rsidRPr="005F0A32" w:rsidRDefault="00AB1786" w:rsidP="000D7CDE">
      <w:pPr>
        <w:numPr>
          <w:ilvl w:val="0"/>
          <w:numId w:val="22"/>
        </w:numPr>
        <w:spacing w:after="0"/>
        <w:ind w:left="210" w:hanging="210"/>
        <w:jc w:val="both"/>
        <w:rPr>
          <w:rFonts w:ascii="Times New Roman" w:hAnsi="Times New Roman" w:cs="Times New Roman"/>
          <w:sz w:val="24"/>
          <w:szCs w:val="24"/>
        </w:rPr>
      </w:pPr>
      <w:r w:rsidRPr="005F0A32">
        <w:rPr>
          <w:rFonts w:ascii="Times New Roman" w:hAnsi="Times New Roman" w:cs="Times New Roman"/>
          <w:sz w:val="24"/>
          <w:szCs w:val="24"/>
        </w:rPr>
        <w:t>rekreacyjno-sportowym (rajdy, wyjazdy, wycieczki, zajęcia z zakresu aktywności fizycznej);</w:t>
      </w:r>
    </w:p>
    <w:p w14:paraId="56E42D1E" w14:textId="77777777" w:rsidR="00AB1786" w:rsidRPr="005F0A32" w:rsidRDefault="00AB1786" w:rsidP="000D7CDE">
      <w:pPr>
        <w:numPr>
          <w:ilvl w:val="0"/>
          <w:numId w:val="22"/>
        </w:numPr>
        <w:spacing w:after="0"/>
        <w:ind w:left="210" w:hanging="210"/>
        <w:jc w:val="both"/>
        <w:rPr>
          <w:rFonts w:ascii="Times New Roman" w:hAnsi="Times New Roman" w:cs="Times New Roman"/>
          <w:sz w:val="24"/>
          <w:szCs w:val="24"/>
        </w:rPr>
      </w:pPr>
      <w:r w:rsidRPr="005F0A32">
        <w:rPr>
          <w:rFonts w:ascii="Times New Roman" w:hAnsi="Times New Roman" w:cs="Times New Roman"/>
          <w:sz w:val="24"/>
          <w:szCs w:val="24"/>
        </w:rPr>
        <w:t>kulturalnym (wyjazdy do kina, teatru, opery, Dni Seniora, Senioralia, debaty międzypokoleniowe );</w:t>
      </w:r>
    </w:p>
    <w:p w14:paraId="0AA3BD94" w14:textId="77777777" w:rsidR="00AB1786" w:rsidRPr="005F0A32" w:rsidRDefault="00AB1786" w:rsidP="008C71A9">
      <w:pPr>
        <w:numPr>
          <w:ilvl w:val="0"/>
          <w:numId w:val="175"/>
        </w:numPr>
        <w:tabs>
          <w:tab w:val="left" w:pos="284"/>
        </w:tabs>
        <w:spacing w:after="0"/>
        <w:ind w:left="643"/>
        <w:jc w:val="both"/>
        <w:rPr>
          <w:rFonts w:ascii="Times New Roman" w:hAnsi="Times New Roman" w:cs="Times New Roman"/>
          <w:sz w:val="24"/>
          <w:szCs w:val="24"/>
        </w:rPr>
      </w:pPr>
      <w:r w:rsidRPr="005F0A32">
        <w:rPr>
          <w:rFonts w:ascii="Times New Roman" w:hAnsi="Times New Roman" w:cs="Times New Roman"/>
          <w:sz w:val="24"/>
          <w:szCs w:val="24"/>
        </w:rPr>
        <w:t>realizacja projektów RPO na rzecz osób starszych;</w:t>
      </w:r>
    </w:p>
    <w:p w14:paraId="46AC9CE6" w14:textId="77777777" w:rsidR="00AB1786" w:rsidRPr="005F0A32" w:rsidRDefault="00AB1786" w:rsidP="008C71A9">
      <w:pPr>
        <w:numPr>
          <w:ilvl w:val="0"/>
          <w:numId w:val="175"/>
        </w:numPr>
        <w:tabs>
          <w:tab w:val="left" w:pos="284"/>
        </w:tabs>
        <w:spacing w:after="0"/>
        <w:ind w:left="643"/>
        <w:jc w:val="both"/>
        <w:rPr>
          <w:rFonts w:ascii="Times New Roman" w:hAnsi="Times New Roman" w:cs="Times New Roman"/>
          <w:sz w:val="24"/>
          <w:szCs w:val="24"/>
        </w:rPr>
      </w:pPr>
      <w:r w:rsidRPr="005F0A32">
        <w:rPr>
          <w:rFonts w:ascii="Times New Roman" w:hAnsi="Times New Roman" w:cs="Times New Roman"/>
          <w:sz w:val="24"/>
          <w:szCs w:val="24"/>
        </w:rPr>
        <w:t>udział przedstawicieli gminnych rad seniorów w pracach podobnych organów na wyższym szczeblu (wojewódzkie rady seniorów);</w:t>
      </w:r>
    </w:p>
    <w:p w14:paraId="670BFDFE" w14:textId="77777777" w:rsidR="00AB1786" w:rsidRPr="005F0A32" w:rsidRDefault="00AB1786" w:rsidP="008C71A9">
      <w:pPr>
        <w:numPr>
          <w:ilvl w:val="0"/>
          <w:numId w:val="175"/>
        </w:numPr>
        <w:tabs>
          <w:tab w:val="left" w:pos="284"/>
        </w:tabs>
        <w:spacing w:after="0"/>
        <w:ind w:left="643"/>
        <w:jc w:val="both"/>
        <w:rPr>
          <w:rFonts w:ascii="Times New Roman" w:hAnsi="Times New Roman" w:cs="Times New Roman"/>
          <w:sz w:val="24"/>
          <w:szCs w:val="24"/>
        </w:rPr>
      </w:pPr>
      <w:r w:rsidRPr="005F0A32">
        <w:rPr>
          <w:rFonts w:ascii="Times New Roman" w:hAnsi="Times New Roman" w:cs="Times New Roman"/>
          <w:sz w:val="24"/>
          <w:szCs w:val="24"/>
        </w:rPr>
        <w:t xml:space="preserve">kontynuacja programu „Taksówka dla seniora” - osoby samotne z dochodem finansowym nie przekraczającym 300 % kryterium dochodowego, które ukończyły 70 lat i mają trudności w samodzielnym poruszaniu się komunikacją miejską, mogły skorzystać </w:t>
      </w:r>
      <w:r w:rsidRPr="005F0A32">
        <w:rPr>
          <w:rFonts w:ascii="Times New Roman" w:hAnsi="Times New Roman" w:cs="Times New Roman"/>
          <w:sz w:val="24"/>
          <w:szCs w:val="24"/>
        </w:rPr>
        <w:br/>
        <w:t>z bezpłatnych przejazdów dwa razy w miesiącu. Przewozy realizowane 5 dni w tygodniu (poniedziałek-piątek) w godzinach 7:00-18:00 maksymalnie do godz. 20:00. W roku 2019 z tego programu skorzystało 1342 seniorów.</w:t>
      </w:r>
    </w:p>
    <w:p w14:paraId="521BDC54" w14:textId="77777777" w:rsidR="00AB1786" w:rsidRPr="005F0A32" w:rsidRDefault="00AB1786" w:rsidP="008C71A9">
      <w:pPr>
        <w:numPr>
          <w:ilvl w:val="0"/>
          <w:numId w:val="175"/>
        </w:numPr>
        <w:tabs>
          <w:tab w:val="left" w:pos="284"/>
        </w:tabs>
        <w:spacing w:after="0"/>
        <w:ind w:left="643"/>
        <w:jc w:val="both"/>
        <w:rPr>
          <w:rFonts w:ascii="Times New Roman" w:hAnsi="Times New Roman" w:cs="Times New Roman"/>
          <w:sz w:val="24"/>
          <w:szCs w:val="24"/>
        </w:rPr>
      </w:pPr>
      <w:r w:rsidRPr="005F0A32">
        <w:rPr>
          <w:rFonts w:ascii="Times New Roman" w:hAnsi="Times New Roman" w:cs="Times New Roman"/>
          <w:sz w:val="24"/>
          <w:szCs w:val="24"/>
        </w:rPr>
        <w:t xml:space="preserve">realizacja Programu Senioralnego na lata 2018 – 2020 „Seniorzy aktywni dla Kielc – Kielce przyjazne seniorom” Uchwała Nr LVI /1262/2018 Rady Miasta Kielce z dnia </w:t>
      </w:r>
      <w:r w:rsidRPr="005F0A32">
        <w:rPr>
          <w:rFonts w:ascii="Times New Roman" w:hAnsi="Times New Roman" w:cs="Times New Roman"/>
          <w:sz w:val="24"/>
          <w:szCs w:val="24"/>
        </w:rPr>
        <w:br/>
        <w:t>17 maja 2018 r.</w:t>
      </w:r>
    </w:p>
    <w:p w14:paraId="11E0614E" w14:textId="77777777" w:rsidR="00E260BE" w:rsidRDefault="00E260BE" w:rsidP="000D7CDE">
      <w:pPr>
        <w:spacing w:after="0"/>
        <w:jc w:val="both"/>
        <w:rPr>
          <w:rFonts w:ascii="Times New Roman" w:hAnsi="Times New Roman" w:cs="Times New Roman"/>
          <w:sz w:val="24"/>
          <w:szCs w:val="24"/>
        </w:rPr>
      </w:pPr>
    </w:p>
    <w:p w14:paraId="68019831" w14:textId="34C62025" w:rsidR="00E260BE" w:rsidRDefault="00AB1786" w:rsidP="000D7CDE">
      <w:pPr>
        <w:spacing w:after="0"/>
        <w:jc w:val="both"/>
        <w:rPr>
          <w:rFonts w:ascii="Times New Roman" w:hAnsi="Times New Roman" w:cs="Times New Roman"/>
          <w:sz w:val="24"/>
          <w:szCs w:val="24"/>
        </w:rPr>
        <w:sectPr w:rsidR="00E260BE" w:rsidSect="00FC210F">
          <w:pgSz w:w="11906" w:h="16840"/>
          <w:pgMar w:top="1418" w:right="1418" w:bottom="1417" w:left="1418" w:header="708" w:footer="708" w:gutter="0"/>
          <w:cols w:space="708"/>
          <w:docGrid w:linePitch="360"/>
        </w:sectPr>
      </w:pPr>
      <w:r w:rsidRPr="005F0A32">
        <w:rPr>
          <w:rFonts w:ascii="Times New Roman" w:hAnsi="Times New Roman" w:cs="Times New Roman"/>
          <w:sz w:val="24"/>
          <w:szCs w:val="24"/>
        </w:rPr>
        <w:t>Celem długofalowym do osiągnięcia w rezultacie wdrażania określonych działań  jest poprawa wizerunku osoby starszej i akceptacja zjawiska starości w społeczeństwie, w tym naturalnych skutków zmiany proporcji między gen</w:t>
      </w:r>
      <w:r w:rsidR="00E86509">
        <w:rPr>
          <w:rFonts w:ascii="Times New Roman" w:hAnsi="Times New Roman" w:cs="Times New Roman"/>
          <w:sz w:val="24"/>
          <w:szCs w:val="24"/>
        </w:rPr>
        <w:t>eracjam</w:t>
      </w:r>
    </w:p>
    <w:p w14:paraId="3463CEC3" w14:textId="696B9821" w:rsidR="004D48DD" w:rsidRPr="004D48DD" w:rsidRDefault="004D48DD" w:rsidP="004D48DD">
      <w:pPr>
        <w:pStyle w:val="Legenda"/>
        <w:keepNext/>
        <w:rPr>
          <w:rFonts w:ascii="Times New Roman" w:hAnsi="Times New Roman" w:cs="Times New Roman"/>
          <w:b/>
          <w:i w:val="0"/>
          <w:sz w:val="24"/>
          <w:szCs w:val="24"/>
        </w:rPr>
      </w:pPr>
      <w:bookmarkStart w:id="151" w:name="_Toc49171442"/>
      <w:r w:rsidRPr="004D48DD">
        <w:rPr>
          <w:rFonts w:ascii="Times New Roman" w:hAnsi="Times New Roman" w:cs="Times New Roman"/>
          <w:b/>
          <w:i w:val="0"/>
          <w:sz w:val="24"/>
          <w:szCs w:val="24"/>
        </w:rPr>
        <w:lastRenderedPageBreak/>
        <w:t xml:space="preserve">Tabela </w:t>
      </w:r>
      <w:r w:rsidRPr="004D48DD">
        <w:rPr>
          <w:rFonts w:ascii="Times New Roman" w:hAnsi="Times New Roman" w:cs="Times New Roman"/>
          <w:b/>
          <w:i w:val="0"/>
          <w:sz w:val="24"/>
          <w:szCs w:val="24"/>
        </w:rPr>
        <w:fldChar w:fldCharType="begin"/>
      </w:r>
      <w:r w:rsidRPr="004D48DD">
        <w:rPr>
          <w:rFonts w:ascii="Times New Roman" w:hAnsi="Times New Roman" w:cs="Times New Roman"/>
          <w:b/>
          <w:i w:val="0"/>
          <w:sz w:val="24"/>
          <w:szCs w:val="24"/>
        </w:rPr>
        <w:instrText xml:space="preserve"> SEQ Tabela \* ARABIC </w:instrText>
      </w:r>
      <w:r w:rsidRPr="004D48DD">
        <w:rPr>
          <w:rFonts w:ascii="Times New Roman" w:hAnsi="Times New Roman" w:cs="Times New Roman"/>
          <w:b/>
          <w:i w:val="0"/>
          <w:sz w:val="24"/>
          <w:szCs w:val="24"/>
        </w:rPr>
        <w:fldChar w:fldCharType="separate"/>
      </w:r>
      <w:r w:rsidR="00C154C9">
        <w:rPr>
          <w:rFonts w:ascii="Times New Roman" w:hAnsi="Times New Roman" w:cs="Times New Roman"/>
          <w:b/>
          <w:i w:val="0"/>
          <w:noProof/>
          <w:sz w:val="24"/>
          <w:szCs w:val="24"/>
        </w:rPr>
        <w:t>67</w:t>
      </w:r>
      <w:r w:rsidRPr="004D48DD">
        <w:rPr>
          <w:rFonts w:ascii="Times New Roman" w:hAnsi="Times New Roman" w:cs="Times New Roman"/>
          <w:b/>
          <w:i w:val="0"/>
          <w:sz w:val="24"/>
          <w:szCs w:val="24"/>
        </w:rPr>
        <w:fldChar w:fldCharType="end"/>
      </w:r>
      <w:r w:rsidRPr="004D48DD">
        <w:rPr>
          <w:rFonts w:ascii="Times New Roman" w:hAnsi="Times New Roman" w:cs="Times New Roman"/>
          <w:b/>
          <w:i w:val="0"/>
          <w:sz w:val="24"/>
          <w:szCs w:val="24"/>
        </w:rPr>
        <w:t xml:space="preserve"> Karta województwa świętokrzyskiego</w:t>
      </w:r>
      <w:bookmarkEnd w:id="151"/>
    </w:p>
    <w:tbl>
      <w:tblPr>
        <w:tblStyle w:val="Tabelasiatki6kolorowaakcent1"/>
        <w:tblpPr w:leftFromText="141" w:rightFromText="141" w:vertAnchor="text" w:tblpXSpec="center" w:tblpY="1"/>
        <w:tblOverlap w:val="never"/>
        <w:tblW w:w="14741"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E260BE" w:rsidRPr="00A52173" w14:paraId="391B8914" w14:textId="77777777" w:rsidTr="00403F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tcBorders>
              <w:bottom w:val="none" w:sz="0" w:space="0" w:color="auto"/>
            </w:tcBorders>
            <w:shd w:val="clear" w:color="auto" w:fill="9CC2E5" w:themeFill="accent1" w:themeFillTint="99"/>
          </w:tcPr>
          <w:p w14:paraId="73FFD857" w14:textId="77777777" w:rsidR="00E260BE" w:rsidRPr="00403F40" w:rsidRDefault="00E260BE" w:rsidP="00403F40">
            <w:pPr>
              <w:spacing w:after="0" w:line="240" w:lineRule="auto"/>
              <w:jc w:val="center"/>
              <w:rPr>
                <w:rFonts w:ascii="Times New Roman" w:hAnsi="Times New Roman"/>
                <w:color w:val="auto"/>
              </w:rPr>
            </w:pPr>
            <w:r w:rsidRPr="00403F40">
              <w:rPr>
                <w:rFonts w:ascii="Times New Roman" w:hAnsi="Times New Roman"/>
                <w:color w:val="auto"/>
              </w:rPr>
              <w:t>WOJEWÓDZTWO ŚWIĘTOKRZYSKIE</w:t>
            </w:r>
          </w:p>
        </w:tc>
      </w:tr>
      <w:tr w:rsidR="00E260BE" w:rsidRPr="00A52173" w14:paraId="5D5AEC3A" w14:textId="77777777" w:rsidTr="009B7D2E">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0668753" w14:textId="77777777" w:rsidR="00E260BE" w:rsidRPr="00403F40" w:rsidRDefault="00E260BE" w:rsidP="00403F40">
            <w:pPr>
              <w:spacing w:after="0" w:line="240" w:lineRule="auto"/>
              <w:rPr>
                <w:rFonts w:ascii="Times New Roman" w:hAnsi="Times New Roman"/>
                <w:color w:val="auto"/>
              </w:rPr>
            </w:pPr>
            <w:r w:rsidRPr="00403F40">
              <w:rPr>
                <w:rFonts w:ascii="Times New Roman" w:hAnsi="Times New Roman"/>
                <w:color w:val="auto"/>
              </w:rPr>
              <w:t>Informacja o regionie</w:t>
            </w:r>
          </w:p>
        </w:tc>
        <w:tc>
          <w:tcPr>
            <w:tcW w:w="3969" w:type="dxa"/>
            <w:gridSpan w:val="3"/>
            <w:shd w:val="clear" w:color="auto" w:fill="9CC2E5" w:themeFill="accent1" w:themeFillTint="99"/>
          </w:tcPr>
          <w:p w14:paraId="28626ACC"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gmin</w:t>
            </w:r>
          </w:p>
        </w:tc>
        <w:tc>
          <w:tcPr>
            <w:tcW w:w="7942" w:type="dxa"/>
            <w:gridSpan w:val="5"/>
            <w:shd w:val="clear" w:color="auto" w:fill="FFFFFF" w:themeFill="background1"/>
          </w:tcPr>
          <w:p w14:paraId="62A7E076"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102</w:t>
            </w:r>
          </w:p>
        </w:tc>
      </w:tr>
      <w:tr w:rsidR="00E260BE" w:rsidRPr="00A52173" w14:paraId="7836992C" w14:textId="77777777" w:rsidTr="009B7D2E">
        <w:trPr>
          <w:trHeight w:val="11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425535A" w14:textId="77777777" w:rsidR="00E260BE" w:rsidRPr="00403F40" w:rsidRDefault="00E260BE" w:rsidP="00403F40">
            <w:pPr>
              <w:spacing w:after="0" w:line="240" w:lineRule="auto"/>
              <w:rPr>
                <w:rFonts w:ascii="Times New Roman" w:hAnsi="Times New Roman"/>
                <w:color w:val="auto"/>
              </w:rPr>
            </w:pPr>
          </w:p>
        </w:tc>
        <w:tc>
          <w:tcPr>
            <w:tcW w:w="3969" w:type="dxa"/>
            <w:gridSpan w:val="3"/>
            <w:shd w:val="clear" w:color="auto" w:fill="9CC2E5" w:themeFill="accent1" w:themeFillTint="99"/>
          </w:tcPr>
          <w:p w14:paraId="26FB54DA"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powiatów</w:t>
            </w:r>
          </w:p>
        </w:tc>
        <w:tc>
          <w:tcPr>
            <w:tcW w:w="7942" w:type="dxa"/>
            <w:gridSpan w:val="5"/>
            <w:shd w:val="clear" w:color="auto" w:fill="FFFFFF" w:themeFill="background1"/>
          </w:tcPr>
          <w:p w14:paraId="12F2E8AB"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13 powiatów ziemskich i 1 miasto na prawach powiatu (m.</w:t>
            </w:r>
          </w:p>
          <w:p w14:paraId="0BD4A7D0"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Kielce)</w:t>
            </w:r>
          </w:p>
        </w:tc>
      </w:tr>
      <w:tr w:rsidR="00E260BE" w:rsidRPr="00A52173" w14:paraId="278EF767" w14:textId="77777777" w:rsidTr="009B7D2E">
        <w:trPr>
          <w:cnfStyle w:val="000000100000" w:firstRow="0" w:lastRow="0" w:firstColumn="0" w:lastColumn="0" w:oddVBand="0" w:evenVBand="0" w:oddHBand="1" w:evenHBand="0" w:firstRowFirstColumn="0" w:firstRowLastColumn="0" w:lastRowFirstColumn="0" w:lastRowLastColumn="0"/>
          <w:trHeight w:val="11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19F192E" w14:textId="77777777" w:rsidR="00E260BE" w:rsidRPr="00403F40" w:rsidRDefault="00E260BE" w:rsidP="00403F40">
            <w:pPr>
              <w:spacing w:after="0" w:line="240" w:lineRule="auto"/>
              <w:rPr>
                <w:rFonts w:ascii="Times New Roman" w:hAnsi="Times New Roman"/>
                <w:color w:val="auto"/>
              </w:rPr>
            </w:pPr>
          </w:p>
        </w:tc>
        <w:tc>
          <w:tcPr>
            <w:tcW w:w="3969" w:type="dxa"/>
            <w:gridSpan w:val="3"/>
            <w:shd w:val="clear" w:color="auto" w:fill="9CC2E5" w:themeFill="accent1" w:themeFillTint="99"/>
          </w:tcPr>
          <w:p w14:paraId="2F95DEA4"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Powierzchnia</w:t>
            </w:r>
          </w:p>
        </w:tc>
        <w:tc>
          <w:tcPr>
            <w:tcW w:w="7942" w:type="dxa"/>
            <w:gridSpan w:val="5"/>
            <w:shd w:val="clear" w:color="auto" w:fill="FFFFFF" w:themeFill="background1"/>
          </w:tcPr>
          <w:p w14:paraId="238B06C2"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11711 km2</w:t>
            </w:r>
          </w:p>
        </w:tc>
      </w:tr>
      <w:tr w:rsidR="00E260BE" w:rsidRPr="00A52173" w14:paraId="06E0426D" w14:textId="77777777" w:rsidTr="00403F40">
        <w:trPr>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2B5E35D" w14:textId="77777777" w:rsidR="00E260BE" w:rsidRPr="00403F40" w:rsidRDefault="00E260BE" w:rsidP="00403F40">
            <w:pPr>
              <w:spacing w:after="0" w:line="240" w:lineRule="auto"/>
              <w:jc w:val="center"/>
              <w:rPr>
                <w:rFonts w:ascii="Times New Roman" w:hAnsi="Times New Roman"/>
                <w:b w:val="0"/>
                <w:color w:val="auto"/>
              </w:rPr>
            </w:pPr>
            <w:r w:rsidRPr="00403F40">
              <w:rPr>
                <w:rFonts w:ascii="Times New Roman" w:hAnsi="Times New Roman"/>
                <w:color w:val="auto"/>
              </w:rPr>
              <w:t>DEMOGRAFIA</w:t>
            </w:r>
          </w:p>
        </w:tc>
      </w:tr>
      <w:tr w:rsidR="00E260BE" w:rsidRPr="00A52173" w14:paraId="40C38EE2" w14:textId="77777777" w:rsidTr="00403F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46108B1" w14:textId="77777777" w:rsidR="00E260BE" w:rsidRPr="00403F40" w:rsidRDefault="00E260BE" w:rsidP="00403F40">
            <w:pPr>
              <w:spacing w:after="0" w:line="240" w:lineRule="auto"/>
              <w:jc w:val="center"/>
              <w:rPr>
                <w:rFonts w:ascii="Times New Roman" w:hAnsi="Times New Roman"/>
                <w:b w:val="0"/>
                <w:color w:val="auto"/>
                <w:lang w:eastAsia="pl-PL"/>
              </w:rPr>
            </w:pPr>
            <w:r w:rsidRPr="00403F40">
              <w:rPr>
                <w:rFonts w:ascii="Times New Roman" w:hAnsi="Times New Roman"/>
                <w:color w:val="auto"/>
                <w:lang w:eastAsia="pl-PL"/>
              </w:rPr>
              <w:t>Treść</w:t>
            </w:r>
          </w:p>
        </w:tc>
        <w:tc>
          <w:tcPr>
            <w:tcW w:w="3969" w:type="dxa"/>
            <w:gridSpan w:val="3"/>
            <w:shd w:val="clear" w:color="auto" w:fill="9CC2E5" w:themeFill="accent1" w:themeFillTint="99"/>
          </w:tcPr>
          <w:p w14:paraId="799757DF"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2017 r.</w:t>
            </w:r>
          </w:p>
        </w:tc>
        <w:tc>
          <w:tcPr>
            <w:tcW w:w="3969" w:type="dxa"/>
            <w:gridSpan w:val="3"/>
            <w:shd w:val="clear" w:color="auto" w:fill="9CC2E5" w:themeFill="accent1" w:themeFillTint="99"/>
          </w:tcPr>
          <w:p w14:paraId="3E130398"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2018 r.</w:t>
            </w:r>
          </w:p>
        </w:tc>
        <w:tc>
          <w:tcPr>
            <w:tcW w:w="3973" w:type="dxa"/>
            <w:gridSpan w:val="2"/>
            <w:shd w:val="clear" w:color="auto" w:fill="9CC2E5" w:themeFill="accent1" w:themeFillTint="99"/>
          </w:tcPr>
          <w:p w14:paraId="7A7DA22D"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2019 r.</w:t>
            </w:r>
          </w:p>
        </w:tc>
      </w:tr>
      <w:tr w:rsidR="00E260BE" w:rsidRPr="00A52173" w14:paraId="0507B35A" w14:textId="77777777" w:rsidTr="00403F40">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94D5BBB"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Populacja ogółem</w:t>
            </w:r>
          </w:p>
        </w:tc>
        <w:tc>
          <w:tcPr>
            <w:tcW w:w="3969" w:type="dxa"/>
            <w:gridSpan w:val="3"/>
          </w:tcPr>
          <w:p w14:paraId="17C4D06E"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1 247 732</w:t>
            </w:r>
          </w:p>
        </w:tc>
        <w:tc>
          <w:tcPr>
            <w:tcW w:w="3969" w:type="dxa"/>
            <w:gridSpan w:val="3"/>
          </w:tcPr>
          <w:p w14:paraId="747CC7FA"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1 241 546</w:t>
            </w:r>
          </w:p>
        </w:tc>
        <w:tc>
          <w:tcPr>
            <w:tcW w:w="3973" w:type="dxa"/>
            <w:gridSpan w:val="2"/>
          </w:tcPr>
          <w:p w14:paraId="7210AE9D"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1 233 961</w:t>
            </w:r>
          </w:p>
        </w:tc>
      </w:tr>
      <w:tr w:rsidR="00E260BE" w:rsidRPr="00A52173" w14:paraId="04D57113" w14:textId="77777777" w:rsidTr="00403F4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13782FFB" w14:textId="77777777" w:rsidR="00E260BE" w:rsidRPr="00403F40" w:rsidRDefault="00E260BE" w:rsidP="00403F40">
            <w:pPr>
              <w:spacing w:after="0" w:line="240" w:lineRule="auto"/>
              <w:rPr>
                <w:rFonts w:ascii="Times New Roman" w:hAnsi="Times New Roman"/>
                <w:color w:val="auto"/>
              </w:rPr>
            </w:pPr>
            <w:r w:rsidRPr="00403F40">
              <w:rPr>
                <w:rFonts w:ascii="Times New Roman" w:hAnsi="Times New Roman"/>
                <w:color w:val="auto"/>
                <w:lang w:eastAsia="pl-PL"/>
              </w:rPr>
              <w:t>w tym:</w:t>
            </w:r>
          </w:p>
        </w:tc>
      </w:tr>
      <w:tr w:rsidR="00E260BE" w:rsidRPr="00A52173" w14:paraId="517AFC96"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B5FA4EC" w14:textId="77777777" w:rsidR="00E260BE" w:rsidRPr="00403F40" w:rsidRDefault="00E260BE" w:rsidP="00403F40">
            <w:pPr>
              <w:spacing w:after="0" w:line="240" w:lineRule="auto"/>
              <w:rPr>
                <w:rFonts w:ascii="Times New Roman" w:hAnsi="Times New Roman"/>
                <w:color w:val="auto"/>
              </w:rPr>
            </w:pPr>
            <w:r w:rsidRPr="00403F40">
              <w:rPr>
                <w:rFonts w:ascii="Times New Roman" w:hAnsi="Times New Roman"/>
                <w:color w:val="auto"/>
                <w:lang w:eastAsia="pl-PL"/>
              </w:rPr>
              <w:t>w wieku 60 lat i więcej</w:t>
            </w:r>
          </w:p>
        </w:tc>
        <w:tc>
          <w:tcPr>
            <w:tcW w:w="3969" w:type="dxa"/>
            <w:gridSpan w:val="3"/>
            <w:shd w:val="clear" w:color="auto" w:fill="FFFFFF" w:themeFill="background1"/>
          </w:tcPr>
          <w:p w14:paraId="6F469BFE"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324 222</w:t>
            </w:r>
          </w:p>
        </w:tc>
        <w:tc>
          <w:tcPr>
            <w:tcW w:w="3969" w:type="dxa"/>
            <w:gridSpan w:val="3"/>
            <w:shd w:val="clear" w:color="auto" w:fill="FFFFFF" w:themeFill="background1"/>
          </w:tcPr>
          <w:p w14:paraId="02DB4A33"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330 893</w:t>
            </w:r>
          </w:p>
        </w:tc>
        <w:tc>
          <w:tcPr>
            <w:tcW w:w="3973" w:type="dxa"/>
            <w:gridSpan w:val="2"/>
            <w:shd w:val="clear" w:color="auto" w:fill="FFFFFF" w:themeFill="background1"/>
          </w:tcPr>
          <w:p w14:paraId="31BA41CC"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336 897</w:t>
            </w:r>
          </w:p>
        </w:tc>
      </w:tr>
      <w:tr w:rsidR="00E260BE" w:rsidRPr="00A52173" w14:paraId="263F4E1F"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638F04A"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60–64 lata</w:t>
            </w:r>
          </w:p>
        </w:tc>
        <w:tc>
          <w:tcPr>
            <w:tcW w:w="3969" w:type="dxa"/>
            <w:gridSpan w:val="3"/>
            <w:shd w:val="clear" w:color="auto" w:fill="FFFFFF" w:themeFill="background1"/>
          </w:tcPr>
          <w:p w14:paraId="01673302"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94 588</w:t>
            </w:r>
          </w:p>
        </w:tc>
        <w:tc>
          <w:tcPr>
            <w:tcW w:w="3969" w:type="dxa"/>
            <w:gridSpan w:val="3"/>
            <w:shd w:val="clear" w:color="auto" w:fill="FFFFFF" w:themeFill="background1"/>
          </w:tcPr>
          <w:p w14:paraId="6F1C8B65"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94 444</w:t>
            </w:r>
          </w:p>
        </w:tc>
        <w:tc>
          <w:tcPr>
            <w:tcW w:w="3973" w:type="dxa"/>
            <w:gridSpan w:val="2"/>
            <w:shd w:val="clear" w:color="auto" w:fill="FFFFFF" w:themeFill="background1"/>
          </w:tcPr>
          <w:p w14:paraId="351CA053"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93 911</w:t>
            </w:r>
          </w:p>
        </w:tc>
      </w:tr>
      <w:tr w:rsidR="00E260BE" w:rsidRPr="00A52173" w14:paraId="2BF263F5"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5A4B70D"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65–69</w:t>
            </w:r>
          </w:p>
        </w:tc>
        <w:tc>
          <w:tcPr>
            <w:tcW w:w="3969" w:type="dxa"/>
            <w:gridSpan w:val="3"/>
            <w:shd w:val="clear" w:color="auto" w:fill="FFFFFF" w:themeFill="background1"/>
          </w:tcPr>
          <w:p w14:paraId="7B0F6BF9"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80 383</w:t>
            </w:r>
          </w:p>
        </w:tc>
        <w:tc>
          <w:tcPr>
            <w:tcW w:w="3969" w:type="dxa"/>
            <w:gridSpan w:val="3"/>
            <w:shd w:val="clear" w:color="auto" w:fill="FFFFFF" w:themeFill="background1"/>
          </w:tcPr>
          <w:p w14:paraId="19AE3222"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82 531</w:t>
            </w:r>
          </w:p>
        </w:tc>
        <w:tc>
          <w:tcPr>
            <w:tcW w:w="3973" w:type="dxa"/>
            <w:gridSpan w:val="2"/>
            <w:shd w:val="clear" w:color="auto" w:fill="FFFFFF" w:themeFill="background1"/>
          </w:tcPr>
          <w:p w14:paraId="4AC613CC"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84 582</w:t>
            </w:r>
          </w:p>
        </w:tc>
      </w:tr>
      <w:tr w:rsidR="00E260BE" w:rsidRPr="00A52173" w14:paraId="487487BB"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CF18898"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70–74</w:t>
            </w:r>
          </w:p>
        </w:tc>
        <w:tc>
          <w:tcPr>
            <w:tcW w:w="3969" w:type="dxa"/>
            <w:gridSpan w:val="3"/>
            <w:shd w:val="clear" w:color="auto" w:fill="FFFFFF" w:themeFill="background1"/>
          </w:tcPr>
          <w:p w14:paraId="2911F9D9"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50 809</w:t>
            </w:r>
          </w:p>
        </w:tc>
        <w:tc>
          <w:tcPr>
            <w:tcW w:w="3969" w:type="dxa"/>
            <w:gridSpan w:val="3"/>
            <w:shd w:val="clear" w:color="auto" w:fill="FFFFFF" w:themeFill="background1"/>
          </w:tcPr>
          <w:p w14:paraId="31AAD060"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56 310</w:t>
            </w:r>
          </w:p>
        </w:tc>
        <w:tc>
          <w:tcPr>
            <w:tcW w:w="3973" w:type="dxa"/>
            <w:gridSpan w:val="2"/>
            <w:shd w:val="clear" w:color="auto" w:fill="FFFFFF" w:themeFill="background1"/>
          </w:tcPr>
          <w:p w14:paraId="0108C4DA"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60 771</w:t>
            </w:r>
          </w:p>
        </w:tc>
      </w:tr>
      <w:tr w:rsidR="00E260BE" w:rsidRPr="00A52173" w14:paraId="182FD4ED"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987F50A"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75–79</w:t>
            </w:r>
          </w:p>
        </w:tc>
        <w:tc>
          <w:tcPr>
            <w:tcW w:w="3969" w:type="dxa"/>
            <w:gridSpan w:val="3"/>
            <w:shd w:val="clear" w:color="auto" w:fill="FFFFFF" w:themeFill="background1"/>
          </w:tcPr>
          <w:p w14:paraId="2FD05959"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37 477</w:t>
            </w:r>
          </w:p>
        </w:tc>
        <w:tc>
          <w:tcPr>
            <w:tcW w:w="3969" w:type="dxa"/>
            <w:gridSpan w:val="3"/>
            <w:shd w:val="clear" w:color="auto" w:fill="FFFFFF" w:themeFill="background1"/>
          </w:tcPr>
          <w:p w14:paraId="67008791"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36 269</w:t>
            </w:r>
          </w:p>
        </w:tc>
        <w:tc>
          <w:tcPr>
            <w:tcW w:w="3973" w:type="dxa"/>
            <w:gridSpan w:val="2"/>
            <w:shd w:val="clear" w:color="auto" w:fill="FFFFFF" w:themeFill="background1"/>
          </w:tcPr>
          <w:p w14:paraId="1A5DB685"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35 690</w:t>
            </w:r>
          </w:p>
        </w:tc>
      </w:tr>
      <w:tr w:rsidR="00E260BE" w:rsidRPr="00A52173" w14:paraId="306FE1BE"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E083BF2"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80–84</w:t>
            </w:r>
          </w:p>
        </w:tc>
        <w:tc>
          <w:tcPr>
            <w:tcW w:w="3969" w:type="dxa"/>
            <w:gridSpan w:val="3"/>
            <w:shd w:val="clear" w:color="auto" w:fill="FFFFFF" w:themeFill="background1"/>
          </w:tcPr>
          <w:p w14:paraId="1CF0A76E"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31 904</w:t>
            </w:r>
          </w:p>
        </w:tc>
        <w:tc>
          <w:tcPr>
            <w:tcW w:w="3969" w:type="dxa"/>
            <w:gridSpan w:val="3"/>
            <w:shd w:val="clear" w:color="auto" w:fill="FFFFFF" w:themeFill="background1"/>
          </w:tcPr>
          <w:p w14:paraId="5753EBD2"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31 869</w:t>
            </w:r>
          </w:p>
          <w:p w14:paraId="498AAE5B"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3973" w:type="dxa"/>
            <w:gridSpan w:val="2"/>
            <w:shd w:val="clear" w:color="auto" w:fill="FFFFFF" w:themeFill="background1"/>
          </w:tcPr>
          <w:p w14:paraId="684FB571"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31 920</w:t>
            </w:r>
          </w:p>
          <w:p w14:paraId="54F0AED4"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r>
      <w:tr w:rsidR="00E260BE" w:rsidRPr="00A52173" w14:paraId="41C3CBA9"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F3410FC"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85 lat i więcej</w:t>
            </w:r>
          </w:p>
        </w:tc>
        <w:tc>
          <w:tcPr>
            <w:tcW w:w="3969" w:type="dxa"/>
            <w:gridSpan w:val="3"/>
            <w:shd w:val="clear" w:color="auto" w:fill="FFFFFF" w:themeFill="background1"/>
          </w:tcPr>
          <w:p w14:paraId="1B7C8105"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29 061</w:t>
            </w:r>
          </w:p>
        </w:tc>
        <w:tc>
          <w:tcPr>
            <w:tcW w:w="3969" w:type="dxa"/>
            <w:gridSpan w:val="3"/>
            <w:shd w:val="clear" w:color="auto" w:fill="FFFFFF" w:themeFill="background1"/>
          </w:tcPr>
          <w:p w14:paraId="126E5EC2"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29 470</w:t>
            </w:r>
          </w:p>
        </w:tc>
        <w:tc>
          <w:tcPr>
            <w:tcW w:w="3973" w:type="dxa"/>
            <w:gridSpan w:val="2"/>
            <w:shd w:val="clear" w:color="auto" w:fill="FFFFFF" w:themeFill="background1"/>
          </w:tcPr>
          <w:p w14:paraId="2F35E5F6"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30 256</w:t>
            </w:r>
          </w:p>
        </w:tc>
      </w:tr>
      <w:tr w:rsidR="00E260BE" w:rsidRPr="00A52173" w14:paraId="271546B8"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F68DC34"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Przeciętne dalsze trwanie życia</w:t>
            </w:r>
          </w:p>
        </w:tc>
        <w:tc>
          <w:tcPr>
            <w:tcW w:w="3969" w:type="dxa"/>
            <w:gridSpan w:val="3"/>
            <w:shd w:val="clear" w:color="auto" w:fill="FFFFFF" w:themeFill="background1"/>
          </w:tcPr>
          <w:p w14:paraId="44D46725"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3969" w:type="dxa"/>
            <w:gridSpan w:val="3"/>
            <w:shd w:val="clear" w:color="auto" w:fill="FFFFFF" w:themeFill="background1"/>
          </w:tcPr>
          <w:p w14:paraId="2385CF62"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3973" w:type="dxa"/>
            <w:gridSpan w:val="2"/>
            <w:shd w:val="clear" w:color="auto" w:fill="FFFFFF" w:themeFill="background1"/>
          </w:tcPr>
          <w:p w14:paraId="5F71AD61"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Dane dotyczące przeciętnego dalszego trwania życia za 2019 r. opublikowane zostaną przez Urząd Statystyczny w Kielcach w dniu 2020-07-30.</w:t>
            </w:r>
          </w:p>
        </w:tc>
      </w:tr>
      <w:tr w:rsidR="00E260BE" w:rsidRPr="00A52173" w14:paraId="24BACA47"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646CA92"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Współczynnik feminizacji</w:t>
            </w:r>
          </w:p>
        </w:tc>
        <w:tc>
          <w:tcPr>
            <w:tcW w:w="3969" w:type="dxa"/>
            <w:gridSpan w:val="3"/>
            <w:shd w:val="clear" w:color="auto" w:fill="FFFFFF" w:themeFill="background1"/>
          </w:tcPr>
          <w:p w14:paraId="14D6390E"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105</w:t>
            </w:r>
          </w:p>
        </w:tc>
        <w:tc>
          <w:tcPr>
            <w:tcW w:w="3969" w:type="dxa"/>
            <w:gridSpan w:val="3"/>
            <w:shd w:val="clear" w:color="auto" w:fill="FFFFFF" w:themeFill="background1"/>
          </w:tcPr>
          <w:p w14:paraId="795784DB"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105</w:t>
            </w:r>
          </w:p>
        </w:tc>
        <w:tc>
          <w:tcPr>
            <w:tcW w:w="3973" w:type="dxa"/>
            <w:gridSpan w:val="2"/>
            <w:shd w:val="clear" w:color="auto" w:fill="FFFFFF" w:themeFill="background1"/>
          </w:tcPr>
          <w:p w14:paraId="2D90BD4C"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105</w:t>
            </w:r>
          </w:p>
        </w:tc>
      </w:tr>
      <w:tr w:rsidR="00E260BE" w:rsidRPr="00A52173" w14:paraId="1E977CA6"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CEECC14"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Współczynnik obciążenia demograficznego osobami starszymi</w:t>
            </w:r>
          </w:p>
        </w:tc>
        <w:tc>
          <w:tcPr>
            <w:tcW w:w="3969" w:type="dxa"/>
            <w:gridSpan w:val="3"/>
            <w:shd w:val="clear" w:color="auto" w:fill="FFFFFF" w:themeFill="background1"/>
          </w:tcPr>
          <w:p w14:paraId="6017DD47"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27,1</w:t>
            </w:r>
          </w:p>
        </w:tc>
        <w:tc>
          <w:tcPr>
            <w:tcW w:w="3969" w:type="dxa"/>
            <w:gridSpan w:val="3"/>
            <w:shd w:val="clear" w:color="auto" w:fill="FFFFFF" w:themeFill="background1"/>
          </w:tcPr>
          <w:p w14:paraId="0E90C79C"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28,3</w:t>
            </w:r>
          </w:p>
        </w:tc>
        <w:tc>
          <w:tcPr>
            <w:tcW w:w="3973" w:type="dxa"/>
            <w:gridSpan w:val="2"/>
            <w:shd w:val="clear" w:color="auto" w:fill="FFFFFF" w:themeFill="background1"/>
          </w:tcPr>
          <w:p w14:paraId="634664D7"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29,6</w:t>
            </w:r>
          </w:p>
        </w:tc>
      </w:tr>
      <w:tr w:rsidR="00E260BE" w:rsidRPr="00A52173" w14:paraId="4BEB1EA4"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495BF67"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Współczynnik zgonów – zgony na 1000 ludności</w:t>
            </w:r>
          </w:p>
        </w:tc>
        <w:tc>
          <w:tcPr>
            <w:tcW w:w="3969" w:type="dxa"/>
            <w:gridSpan w:val="3"/>
            <w:shd w:val="clear" w:color="auto" w:fill="FFFFFF" w:themeFill="background1"/>
          </w:tcPr>
          <w:p w14:paraId="6FDC96C0"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11,47</w:t>
            </w:r>
          </w:p>
        </w:tc>
        <w:tc>
          <w:tcPr>
            <w:tcW w:w="3969" w:type="dxa"/>
            <w:gridSpan w:val="3"/>
            <w:shd w:val="clear" w:color="auto" w:fill="FFFFFF" w:themeFill="background1"/>
          </w:tcPr>
          <w:p w14:paraId="7C9036C3"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11,75</w:t>
            </w:r>
          </w:p>
        </w:tc>
        <w:tc>
          <w:tcPr>
            <w:tcW w:w="3973" w:type="dxa"/>
            <w:gridSpan w:val="2"/>
            <w:shd w:val="clear" w:color="auto" w:fill="FFFFFF" w:themeFill="background1"/>
          </w:tcPr>
          <w:p w14:paraId="4391D026"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11,71</w:t>
            </w:r>
          </w:p>
        </w:tc>
      </w:tr>
      <w:tr w:rsidR="00E260BE" w:rsidRPr="00A52173" w14:paraId="4D722D04"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6035571"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Zgony ogółem na 1000 urodzeń żywych</w:t>
            </w:r>
          </w:p>
        </w:tc>
        <w:tc>
          <w:tcPr>
            <w:tcW w:w="3969" w:type="dxa"/>
            <w:gridSpan w:val="3"/>
            <w:shd w:val="clear" w:color="auto" w:fill="FFFFFF" w:themeFill="background1"/>
          </w:tcPr>
          <w:p w14:paraId="18F19E0E"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131,3</w:t>
            </w:r>
          </w:p>
        </w:tc>
        <w:tc>
          <w:tcPr>
            <w:tcW w:w="3969" w:type="dxa"/>
            <w:gridSpan w:val="3"/>
            <w:shd w:val="clear" w:color="auto" w:fill="FFFFFF" w:themeFill="background1"/>
          </w:tcPr>
          <w:p w14:paraId="084935F0"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136,4</w:t>
            </w:r>
          </w:p>
        </w:tc>
        <w:tc>
          <w:tcPr>
            <w:tcW w:w="3973" w:type="dxa"/>
            <w:gridSpan w:val="2"/>
            <w:shd w:val="clear" w:color="auto" w:fill="FFFFFF" w:themeFill="background1"/>
          </w:tcPr>
          <w:p w14:paraId="7BA6EA29"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141,8</w:t>
            </w:r>
          </w:p>
        </w:tc>
      </w:tr>
      <w:tr w:rsidR="00E260BE" w:rsidRPr="00A52173" w14:paraId="1BBA219C" w14:textId="77777777" w:rsidTr="00403F40">
        <w:trPr>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035D1B0" w14:textId="77777777" w:rsidR="00E260BE" w:rsidRPr="00403F40" w:rsidRDefault="00E260BE" w:rsidP="00403F40">
            <w:pPr>
              <w:spacing w:after="0" w:line="240" w:lineRule="auto"/>
              <w:jc w:val="center"/>
              <w:rPr>
                <w:rFonts w:ascii="Times New Roman" w:hAnsi="Times New Roman"/>
                <w:color w:val="auto"/>
              </w:rPr>
            </w:pPr>
            <w:r w:rsidRPr="00403F40">
              <w:rPr>
                <w:rFonts w:ascii="Times New Roman" w:hAnsi="Times New Roman"/>
                <w:color w:val="auto"/>
              </w:rPr>
              <w:t>SYTUACJA RODZINNA I STRUKTURA GOSPODARSTW DOMOWYCH</w:t>
            </w:r>
          </w:p>
        </w:tc>
      </w:tr>
      <w:tr w:rsidR="00E260BE" w:rsidRPr="00A52173" w14:paraId="221C5FAB"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FFFFFF" w:themeFill="background1"/>
          </w:tcPr>
          <w:p w14:paraId="4EA81AE3" w14:textId="77777777" w:rsidR="00E260BE" w:rsidRPr="00403F40" w:rsidRDefault="00E260BE" w:rsidP="00403F40">
            <w:pPr>
              <w:spacing w:after="0" w:line="240" w:lineRule="auto"/>
              <w:rPr>
                <w:rFonts w:ascii="Times New Roman" w:hAnsi="Times New Roman"/>
                <w:b w:val="0"/>
                <w:color w:val="auto"/>
              </w:rPr>
            </w:pPr>
            <w:r w:rsidRPr="00403F40">
              <w:rPr>
                <w:rFonts w:ascii="Times New Roman" w:hAnsi="Times New Roman"/>
                <w:b w:val="0"/>
                <w:color w:val="auto"/>
              </w:rPr>
              <w:t>Rodziny w wieku 60+ na terenach miejskich są w większości 2 osobowe, dzieci zamieszkują najczęściej w tym samym mieście. W środowiskach wiejskich częściej występują są rodziny wielopokoleniowe, ale są także osoby samotne, których najbliższe osoby mieszkają w znacznej odległości.</w:t>
            </w:r>
          </w:p>
        </w:tc>
      </w:tr>
      <w:tr w:rsidR="00E260BE" w:rsidRPr="00A52173" w14:paraId="43EDFBB4" w14:textId="77777777" w:rsidTr="00403F40">
        <w:trPr>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58ED77F" w14:textId="77777777" w:rsidR="00E260BE" w:rsidRPr="00403F40" w:rsidRDefault="00E260BE" w:rsidP="00403F40">
            <w:pPr>
              <w:spacing w:after="0" w:line="240" w:lineRule="auto"/>
              <w:jc w:val="center"/>
              <w:rPr>
                <w:rFonts w:ascii="Times New Roman" w:hAnsi="Times New Roman"/>
                <w:color w:val="auto"/>
              </w:rPr>
            </w:pPr>
            <w:r w:rsidRPr="00403F40">
              <w:rPr>
                <w:rFonts w:ascii="Times New Roman" w:hAnsi="Times New Roman"/>
                <w:color w:val="auto"/>
              </w:rPr>
              <w:lastRenderedPageBreak/>
              <w:t>SYTUACJA OSÓB NIEPEŁNOSPRAWNYCH I ICH OPIEKUNÓW</w:t>
            </w:r>
          </w:p>
        </w:tc>
      </w:tr>
      <w:tr w:rsidR="00E260BE" w:rsidRPr="00A52173" w14:paraId="2D4DB706"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FFFFFF" w:themeFill="background1"/>
          </w:tcPr>
          <w:p w14:paraId="1BDDF6B1" w14:textId="77777777" w:rsidR="00E260BE" w:rsidRPr="00403F40" w:rsidRDefault="00403F40" w:rsidP="00403F40">
            <w:pPr>
              <w:spacing w:after="0" w:line="240" w:lineRule="auto"/>
              <w:rPr>
                <w:rFonts w:ascii="Times New Roman" w:hAnsi="Times New Roman"/>
                <w:b w:val="0"/>
                <w:color w:val="auto"/>
              </w:rPr>
            </w:pPr>
            <w:r>
              <w:rPr>
                <w:rFonts w:ascii="Times New Roman" w:hAnsi="Times New Roman"/>
                <w:b w:val="0"/>
                <w:color w:val="auto"/>
              </w:rPr>
              <w:t>Brak opisu</w:t>
            </w:r>
          </w:p>
        </w:tc>
      </w:tr>
      <w:tr w:rsidR="00E260BE" w:rsidRPr="00A52173" w14:paraId="71FA1F86" w14:textId="77777777" w:rsidTr="00403F40">
        <w:trPr>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1973290A" w14:textId="77777777" w:rsidR="00E260BE" w:rsidRPr="00403F40" w:rsidRDefault="00E260BE" w:rsidP="00403F40">
            <w:pPr>
              <w:spacing w:after="0" w:line="240" w:lineRule="auto"/>
              <w:jc w:val="center"/>
              <w:rPr>
                <w:rFonts w:ascii="Times New Roman" w:hAnsi="Times New Roman"/>
                <w:color w:val="auto"/>
              </w:rPr>
            </w:pPr>
            <w:r w:rsidRPr="00403F40">
              <w:rPr>
                <w:rFonts w:ascii="Times New Roman" w:hAnsi="Times New Roman"/>
                <w:color w:val="auto"/>
              </w:rPr>
              <w:t>STAN ZDROWIA OSÓB STARSZYCH / INFRASTRUKTURA SŁUŻBY ZDROWIA - DANE ZA 2019 r.</w:t>
            </w:r>
          </w:p>
        </w:tc>
      </w:tr>
      <w:tr w:rsidR="00E260BE" w:rsidRPr="00A52173" w14:paraId="7D2EF4FA" w14:textId="77777777" w:rsidTr="00403F40">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3984F0B"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hAnsi="Times New Roman"/>
                <w:color w:val="auto"/>
                <w:lang w:eastAsia="pl-PL"/>
              </w:rPr>
              <w:t xml:space="preserve">Dominujące schorzenia osób starszych </w:t>
            </w:r>
          </w:p>
        </w:tc>
        <w:tc>
          <w:tcPr>
            <w:tcW w:w="7938" w:type="dxa"/>
            <w:gridSpan w:val="6"/>
            <w:shd w:val="clear" w:color="auto" w:fill="9CC2E5" w:themeFill="accent1" w:themeFillTint="99"/>
          </w:tcPr>
          <w:p w14:paraId="251D1A1C"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Nazwa</w:t>
            </w:r>
          </w:p>
        </w:tc>
        <w:tc>
          <w:tcPr>
            <w:tcW w:w="3973" w:type="dxa"/>
            <w:gridSpan w:val="2"/>
            <w:shd w:val="clear" w:color="auto" w:fill="9CC2E5" w:themeFill="accent1" w:themeFillTint="99"/>
          </w:tcPr>
          <w:p w14:paraId="687F7817"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osób starszych</w:t>
            </w:r>
          </w:p>
        </w:tc>
      </w:tr>
      <w:tr w:rsidR="00E260BE" w:rsidRPr="00A52173" w14:paraId="29F6001B" w14:textId="77777777" w:rsidTr="009B7D2E">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0D7906DF"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770949C9"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b/>
                <w:color w:val="auto"/>
              </w:rPr>
              <w:t>1.</w:t>
            </w:r>
            <w:r w:rsidRPr="00403F40">
              <w:rPr>
                <w:rFonts w:ascii="Times New Roman" w:hAnsi="Times New Roman"/>
                <w:color w:val="auto"/>
              </w:rPr>
              <w:t xml:space="preserve"> Choroby układu krążenia </w:t>
            </w:r>
          </w:p>
        </w:tc>
        <w:tc>
          <w:tcPr>
            <w:tcW w:w="3973" w:type="dxa"/>
            <w:gridSpan w:val="2"/>
            <w:shd w:val="clear" w:color="auto" w:fill="FFFFFF" w:themeFill="background1"/>
          </w:tcPr>
          <w:p w14:paraId="3A60ADBD"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105 932</w:t>
            </w:r>
          </w:p>
        </w:tc>
      </w:tr>
      <w:tr w:rsidR="00E260BE" w:rsidRPr="00A52173" w14:paraId="7128B9A1" w14:textId="77777777" w:rsidTr="009B7D2E">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D6EDA7B"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0C09640"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b/>
                <w:color w:val="auto"/>
              </w:rPr>
              <w:t>2.</w:t>
            </w:r>
            <w:r w:rsidRPr="00403F40">
              <w:rPr>
                <w:rFonts w:ascii="Times New Roman" w:hAnsi="Times New Roman"/>
                <w:color w:val="auto"/>
              </w:rPr>
              <w:t xml:space="preserve"> Choroby układu mięśniowo – kostnego i tkanki łącznej</w:t>
            </w:r>
          </w:p>
        </w:tc>
        <w:tc>
          <w:tcPr>
            <w:tcW w:w="3973" w:type="dxa"/>
            <w:gridSpan w:val="2"/>
            <w:shd w:val="clear" w:color="auto" w:fill="FFFFFF" w:themeFill="background1"/>
          </w:tcPr>
          <w:p w14:paraId="7750C87F"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47 901</w:t>
            </w:r>
          </w:p>
        </w:tc>
      </w:tr>
      <w:tr w:rsidR="00E260BE" w:rsidRPr="00A52173" w14:paraId="634291CC" w14:textId="77777777" w:rsidTr="009B7D2E">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26646DB"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8B912A7"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b/>
                <w:color w:val="auto"/>
              </w:rPr>
              <w:t>3.</w:t>
            </w:r>
            <w:r w:rsidRPr="00403F40">
              <w:rPr>
                <w:rFonts w:ascii="Times New Roman" w:hAnsi="Times New Roman"/>
                <w:color w:val="auto"/>
              </w:rPr>
              <w:t xml:space="preserve"> Cukrzyca</w:t>
            </w:r>
          </w:p>
        </w:tc>
        <w:tc>
          <w:tcPr>
            <w:tcW w:w="3973" w:type="dxa"/>
            <w:gridSpan w:val="2"/>
            <w:shd w:val="clear" w:color="auto" w:fill="FFFFFF" w:themeFill="background1"/>
          </w:tcPr>
          <w:p w14:paraId="1F0D7B5E"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29 378</w:t>
            </w:r>
          </w:p>
        </w:tc>
      </w:tr>
      <w:tr w:rsidR="00E260BE" w:rsidRPr="00A52173" w14:paraId="7F3BD54D" w14:textId="77777777" w:rsidTr="009B7D2E">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BE03859"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3DE5DC3"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b/>
                <w:color w:val="auto"/>
              </w:rPr>
              <w:t>4.</w:t>
            </w:r>
            <w:r w:rsidRPr="00403F40">
              <w:rPr>
                <w:rFonts w:ascii="Times New Roman" w:hAnsi="Times New Roman"/>
                <w:color w:val="auto"/>
              </w:rPr>
              <w:t xml:space="preserve"> Przewlekłe choroby układu trawiennego</w:t>
            </w:r>
          </w:p>
        </w:tc>
        <w:tc>
          <w:tcPr>
            <w:tcW w:w="3973" w:type="dxa"/>
            <w:gridSpan w:val="2"/>
            <w:shd w:val="clear" w:color="auto" w:fill="FFFFFF" w:themeFill="background1"/>
          </w:tcPr>
          <w:p w14:paraId="74BFDADA"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22 828</w:t>
            </w:r>
          </w:p>
        </w:tc>
      </w:tr>
      <w:tr w:rsidR="00E260BE" w:rsidRPr="00A52173" w14:paraId="2BBFF737" w14:textId="77777777" w:rsidTr="009B7D2E">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572F1C5"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5B1E3B7"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b/>
                <w:color w:val="auto"/>
              </w:rPr>
              <w:t>5.</w:t>
            </w:r>
            <w:r w:rsidRPr="00403F40">
              <w:rPr>
                <w:rFonts w:ascii="Times New Roman" w:hAnsi="Times New Roman"/>
                <w:color w:val="auto"/>
              </w:rPr>
              <w:t xml:space="preserve"> Choroby obwodowego układu nerwowego</w:t>
            </w:r>
          </w:p>
        </w:tc>
        <w:tc>
          <w:tcPr>
            <w:tcW w:w="3973" w:type="dxa"/>
            <w:gridSpan w:val="2"/>
            <w:shd w:val="clear" w:color="auto" w:fill="FFFFFF" w:themeFill="background1"/>
          </w:tcPr>
          <w:p w14:paraId="6479B274"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19 427</w:t>
            </w:r>
          </w:p>
        </w:tc>
      </w:tr>
      <w:tr w:rsidR="00E260BE" w:rsidRPr="00A52173" w14:paraId="50AB989E"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E7BC21B"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hAnsi="Times New Roman"/>
                <w:color w:val="auto"/>
                <w:lang w:eastAsia="pl-PL"/>
              </w:rPr>
              <w:t>Liczba osób starszych objętych czynną opieką lekarza POZ</w:t>
            </w:r>
          </w:p>
        </w:tc>
        <w:tc>
          <w:tcPr>
            <w:tcW w:w="11911" w:type="dxa"/>
            <w:gridSpan w:val="8"/>
            <w:shd w:val="clear" w:color="auto" w:fill="FFFFFF" w:themeFill="background1"/>
          </w:tcPr>
          <w:p w14:paraId="6CD290CC"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p>
          <w:p w14:paraId="6509E036"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185 660</w:t>
            </w:r>
          </w:p>
          <w:p w14:paraId="46EB6C6E"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r>
      <w:tr w:rsidR="00E260BE" w:rsidRPr="00A52173" w14:paraId="375C60A4" w14:textId="77777777" w:rsidTr="00403F40">
        <w:trPr>
          <w:trHeight w:val="28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20ACB60"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hAnsi="Times New Roman"/>
                <w:color w:val="auto"/>
                <w:lang w:eastAsia="pl-PL"/>
              </w:rPr>
              <w:t>Najczęstsze przyczyny hospitalizacji osób starszych</w:t>
            </w:r>
          </w:p>
        </w:tc>
        <w:tc>
          <w:tcPr>
            <w:tcW w:w="7938" w:type="dxa"/>
            <w:gridSpan w:val="6"/>
            <w:shd w:val="clear" w:color="auto" w:fill="9CC2E5" w:themeFill="accent1" w:themeFillTint="99"/>
          </w:tcPr>
          <w:p w14:paraId="532903E1"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Przyczyna</w:t>
            </w:r>
          </w:p>
        </w:tc>
        <w:tc>
          <w:tcPr>
            <w:tcW w:w="3973" w:type="dxa"/>
            <w:gridSpan w:val="2"/>
            <w:shd w:val="clear" w:color="auto" w:fill="9CC2E5" w:themeFill="accent1" w:themeFillTint="99"/>
          </w:tcPr>
          <w:p w14:paraId="6786BF0E"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osób starszych</w:t>
            </w:r>
          </w:p>
        </w:tc>
      </w:tr>
      <w:tr w:rsidR="00E260BE" w:rsidRPr="00A52173" w14:paraId="19411DF5" w14:textId="77777777" w:rsidTr="009B7D2E">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DF44446"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EEC2352" w14:textId="77777777" w:rsidR="00E260BE" w:rsidRPr="00403F40" w:rsidRDefault="00E260BE" w:rsidP="008C71A9">
            <w:pPr>
              <w:pStyle w:val="Akapitzlist"/>
              <w:numPr>
                <w:ilvl w:val="0"/>
                <w:numId w:val="17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Choroby układu krążenia</w:t>
            </w:r>
          </w:p>
        </w:tc>
        <w:tc>
          <w:tcPr>
            <w:tcW w:w="3973" w:type="dxa"/>
            <w:gridSpan w:val="2"/>
            <w:shd w:val="clear" w:color="auto" w:fill="FFFFFF" w:themeFill="background1"/>
          </w:tcPr>
          <w:p w14:paraId="5413DE39"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danych za 2019 r</w:t>
            </w:r>
          </w:p>
        </w:tc>
      </w:tr>
      <w:tr w:rsidR="00E260BE" w:rsidRPr="00A52173" w14:paraId="55E62390" w14:textId="77777777" w:rsidTr="009B7D2E">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26ED08"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A60527A" w14:textId="77777777" w:rsidR="00E260BE" w:rsidRPr="00403F40" w:rsidRDefault="00E260BE" w:rsidP="008C71A9">
            <w:pPr>
              <w:pStyle w:val="Akapitzlist"/>
              <w:numPr>
                <w:ilvl w:val="0"/>
                <w:numId w:val="176"/>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Przewlekłe choroby układu trawiennego</w:t>
            </w:r>
          </w:p>
        </w:tc>
        <w:tc>
          <w:tcPr>
            <w:tcW w:w="3973" w:type="dxa"/>
            <w:gridSpan w:val="2"/>
            <w:shd w:val="clear" w:color="auto" w:fill="FFFFFF" w:themeFill="background1"/>
          </w:tcPr>
          <w:p w14:paraId="3C48F4DA"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danych za 2019 r</w:t>
            </w:r>
          </w:p>
        </w:tc>
      </w:tr>
      <w:tr w:rsidR="00E260BE" w:rsidRPr="00A52173" w14:paraId="7581041B" w14:textId="77777777" w:rsidTr="009B7D2E">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8EF3961"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C7937ED" w14:textId="77777777" w:rsidR="00E260BE" w:rsidRPr="00403F40" w:rsidRDefault="00E260BE" w:rsidP="008C71A9">
            <w:pPr>
              <w:pStyle w:val="Akapitzlist"/>
              <w:numPr>
                <w:ilvl w:val="0"/>
                <w:numId w:val="17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Nowotwory</w:t>
            </w:r>
          </w:p>
        </w:tc>
        <w:tc>
          <w:tcPr>
            <w:tcW w:w="3973" w:type="dxa"/>
            <w:gridSpan w:val="2"/>
            <w:shd w:val="clear" w:color="auto" w:fill="FFFFFF" w:themeFill="background1"/>
          </w:tcPr>
          <w:p w14:paraId="216331FA"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danych za 2019 r</w:t>
            </w:r>
          </w:p>
        </w:tc>
      </w:tr>
      <w:tr w:rsidR="00E260BE" w:rsidRPr="00A52173" w14:paraId="7D56EDAD" w14:textId="77777777" w:rsidTr="009B7D2E">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1877A2A"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75668EEC"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b/>
                <w:color w:val="auto"/>
              </w:rPr>
              <w:t>4.</w:t>
            </w:r>
            <w:r w:rsidRPr="00403F40">
              <w:rPr>
                <w:rFonts w:ascii="Times New Roman" w:hAnsi="Times New Roman"/>
                <w:color w:val="auto"/>
              </w:rPr>
              <w:t xml:space="preserve">    Choroby układu oddechowego</w:t>
            </w:r>
          </w:p>
        </w:tc>
        <w:tc>
          <w:tcPr>
            <w:tcW w:w="3973" w:type="dxa"/>
            <w:gridSpan w:val="2"/>
            <w:shd w:val="clear" w:color="auto" w:fill="FFFFFF" w:themeFill="background1"/>
          </w:tcPr>
          <w:p w14:paraId="7A85E2B3" w14:textId="77777777" w:rsidR="00E260BE" w:rsidRPr="00403F40" w:rsidRDefault="00E260BE" w:rsidP="00403F40">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danych za 2019 r</w:t>
            </w:r>
          </w:p>
        </w:tc>
      </w:tr>
      <w:tr w:rsidR="00E260BE" w:rsidRPr="00A52173" w14:paraId="53F67F2C"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AE90168"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27E7BA7D"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b/>
                <w:color w:val="auto"/>
              </w:rPr>
              <w:t>5.</w:t>
            </w:r>
            <w:r w:rsidRPr="00403F40">
              <w:rPr>
                <w:rFonts w:ascii="Times New Roman" w:hAnsi="Times New Roman"/>
                <w:color w:val="auto"/>
              </w:rPr>
              <w:t xml:space="preserve">    Choroby układu nerwowego </w:t>
            </w:r>
          </w:p>
        </w:tc>
        <w:tc>
          <w:tcPr>
            <w:tcW w:w="3973" w:type="dxa"/>
            <w:gridSpan w:val="2"/>
            <w:shd w:val="clear" w:color="auto" w:fill="FFFFFF" w:themeFill="background1"/>
          </w:tcPr>
          <w:p w14:paraId="7FEA20BA" w14:textId="77777777" w:rsidR="00E260BE" w:rsidRPr="00403F40" w:rsidRDefault="00E260BE" w:rsidP="00403F40">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danych za 2019 r</w:t>
            </w:r>
          </w:p>
        </w:tc>
      </w:tr>
      <w:tr w:rsidR="00E260BE" w:rsidRPr="00A52173" w14:paraId="006B4760" w14:textId="77777777" w:rsidTr="00DB3494">
        <w:trPr>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279A1B6" w14:textId="77777777" w:rsidR="00E260BE" w:rsidRPr="00403F40" w:rsidRDefault="00E260BE" w:rsidP="00403F40">
            <w:pPr>
              <w:spacing w:after="0" w:line="240" w:lineRule="auto"/>
              <w:rPr>
                <w:rFonts w:ascii="Times New Roman" w:hAnsi="Times New Roman"/>
                <w:b w:val="0"/>
                <w:bCs w:val="0"/>
                <w:color w:val="auto"/>
              </w:rPr>
            </w:pPr>
            <w:r w:rsidRPr="00403F40">
              <w:rPr>
                <w:rFonts w:ascii="Times New Roman" w:hAnsi="Times New Roman"/>
                <w:color w:val="auto"/>
                <w:lang w:eastAsia="pl-PL"/>
              </w:rPr>
              <w:t>Infrastruktura służby zdrowia</w:t>
            </w:r>
          </w:p>
        </w:tc>
        <w:tc>
          <w:tcPr>
            <w:tcW w:w="3969" w:type="dxa"/>
            <w:gridSpan w:val="3"/>
            <w:shd w:val="clear" w:color="auto" w:fill="9CC2E5" w:themeFill="accent1" w:themeFillTint="99"/>
          </w:tcPr>
          <w:p w14:paraId="7F3D9E14"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403F40">
              <w:rPr>
                <w:rFonts w:ascii="Times New Roman" w:hAnsi="Times New Roman"/>
                <w:b/>
                <w:color w:val="auto"/>
              </w:rPr>
              <w:t>Rodzaj placówki</w:t>
            </w:r>
          </w:p>
        </w:tc>
        <w:tc>
          <w:tcPr>
            <w:tcW w:w="3969" w:type="dxa"/>
            <w:gridSpan w:val="3"/>
            <w:shd w:val="clear" w:color="auto" w:fill="9CC2E5" w:themeFill="accent1" w:themeFillTint="99"/>
          </w:tcPr>
          <w:p w14:paraId="79E652BC"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placówek</w:t>
            </w:r>
          </w:p>
        </w:tc>
        <w:tc>
          <w:tcPr>
            <w:tcW w:w="3973" w:type="dxa"/>
            <w:gridSpan w:val="2"/>
            <w:shd w:val="clear" w:color="auto" w:fill="9CC2E5" w:themeFill="accent1" w:themeFillTint="99"/>
          </w:tcPr>
          <w:p w14:paraId="1400DEAD"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łóżek dla osób starszych</w:t>
            </w:r>
          </w:p>
        </w:tc>
      </w:tr>
      <w:tr w:rsidR="00E260BE" w:rsidRPr="00A52173" w14:paraId="7C8C9AAF"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E9DEE04" w14:textId="77777777" w:rsidR="00E260BE" w:rsidRPr="00403F40" w:rsidRDefault="00E260BE" w:rsidP="00403F40">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7BC0D582"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Oddziałów / pododdziałów geriatrycznych</w:t>
            </w:r>
          </w:p>
        </w:tc>
        <w:tc>
          <w:tcPr>
            <w:tcW w:w="3969" w:type="dxa"/>
            <w:gridSpan w:val="3"/>
            <w:shd w:val="clear" w:color="auto" w:fill="FFFFFF" w:themeFill="background1"/>
          </w:tcPr>
          <w:p w14:paraId="2FCBE190" w14:textId="77777777" w:rsidR="00E260BE" w:rsidRPr="00DB3494"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2</w:t>
            </w:r>
          </w:p>
        </w:tc>
        <w:tc>
          <w:tcPr>
            <w:tcW w:w="3973" w:type="dxa"/>
            <w:gridSpan w:val="2"/>
            <w:shd w:val="clear" w:color="auto" w:fill="FFFFFF" w:themeFill="background1"/>
          </w:tcPr>
          <w:p w14:paraId="3B9920D0" w14:textId="77777777" w:rsidR="00E260BE" w:rsidRPr="00DB3494"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56</w:t>
            </w:r>
          </w:p>
        </w:tc>
      </w:tr>
      <w:tr w:rsidR="00E260BE" w:rsidRPr="00A52173" w14:paraId="1A37AA05"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9172496" w14:textId="77777777" w:rsidR="00E260BE" w:rsidRPr="00403F40" w:rsidRDefault="00E260BE" w:rsidP="00403F40">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47E34F74"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Poradni geriatrycznych</w:t>
            </w:r>
          </w:p>
        </w:tc>
        <w:tc>
          <w:tcPr>
            <w:tcW w:w="3969" w:type="dxa"/>
            <w:gridSpan w:val="3"/>
            <w:shd w:val="clear" w:color="auto" w:fill="FFFFFF" w:themeFill="background1"/>
          </w:tcPr>
          <w:p w14:paraId="766C017C" w14:textId="77777777" w:rsidR="00E260BE" w:rsidRPr="00DB3494"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8</w:t>
            </w:r>
          </w:p>
        </w:tc>
        <w:tc>
          <w:tcPr>
            <w:tcW w:w="3973" w:type="dxa"/>
            <w:gridSpan w:val="2"/>
            <w:shd w:val="clear" w:color="auto" w:fill="FFFFFF" w:themeFill="background1"/>
          </w:tcPr>
          <w:p w14:paraId="2881E4EA" w14:textId="77777777" w:rsidR="00E260BE" w:rsidRPr="00DB3494"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w:t>
            </w:r>
          </w:p>
        </w:tc>
      </w:tr>
      <w:tr w:rsidR="00E260BE" w:rsidRPr="00A52173" w14:paraId="449617A6"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4824074" w14:textId="77777777" w:rsidR="00E260BE" w:rsidRPr="00403F40" w:rsidRDefault="00E260BE" w:rsidP="00403F40">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73EF9CA5"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Zakładów opiekuńczo-leczniczych</w:t>
            </w:r>
          </w:p>
        </w:tc>
        <w:tc>
          <w:tcPr>
            <w:tcW w:w="3969" w:type="dxa"/>
            <w:gridSpan w:val="3"/>
            <w:shd w:val="clear" w:color="auto" w:fill="FFFFFF" w:themeFill="background1"/>
          </w:tcPr>
          <w:p w14:paraId="4A596578" w14:textId="77777777" w:rsidR="00E260BE" w:rsidRPr="00DB3494"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18</w:t>
            </w:r>
          </w:p>
        </w:tc>
        <w:tc>
          <w:tcPr>
            <w:tcW w:w="3973" w:type="dxa"/>
            <w:gridSpan w:val="2"/>
            <w:shd w:val="clear" w:color="auto" w:fill="FFFFFF" w:themeFill="background1"/>
          </w:tcPr>
          <w:p w14:paraId="62968C6D" w14:textId="77777777" w:rsidR="00E260BE" w:rsidRPr="00DB3494"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871</w:t>
            </w:r>
          </w:p>
        </w:tc>
      </w:tr>
      <w:tr w:rsidR="00E260BE" w:rsidRPr="00A52173" w14:paraId="5BE76571"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D162447" w14:textId="77777777" w:rsidR="00E260BE" w:rsidRPr="00403F40" w:rsidRDefault="00E260BE" w:rsidP="00403F40">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657AA3FD"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Zakładów pielęgnacyjno-opiekuńczych</w:t>
            </w:r>
          </w:p>
        </w:tc>
        <w:tc>
          <w:tcPr>
            <w:tcW w:w="3969" w:type="dxa"/>
            <w:gridSpan w:val="3"/>
            <w:shd w:val="clear" w:color="auto" w:fill="FFFFFF" w:themeFill="background1"/>
          </w:tcPr>
          <w:p w14:paraId="2CF205D7" w14:textId="77777777" w:rsidR="00E260BE" w:rsidRPr="00DB3494"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3</w:t>
            </w:r>
          </w:p>
        </w:tc>
        <w:tc>
          <w:tcPr>
            <w:tcW w:w="3973" w:type="dxa"/>
            <w:gridSpan w:val="2"/>
            <w:shd w:val="clear" w:color="auto" w:fill="FFFFFF" w:themeFill="background1"/>
          </w:tcPr>
          <w:p w14:paraId="5BD6D648" w14:textId="77777777" w:rsidR="00E260BE" w:rsidRPr="00DB3494"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74</w:t>
            </w:r>
          </w:p>
        </w:tc>
      </w:tr>
      <w:tr w:rsidR="00E260BE" w:rsidRPr="00A52173" w14:paraId="3B3AF7C7"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72B7F5C" w14:textId="77777777" w:rsidR="00E260BE" w:rsidRPr="00403F40" w:rsidRDefault="00E260BE" w:rsidP="00403F40">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3AC1C80F"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Hospicjów stacjonarnych</w:t>
            </w:r>
          </w:p>
        </w:tc>
        <w:tc>
          <w:tcPr>
            <w:tcW w:w="3969" w:type="dxa"/>
            <w:gridSpan w:val="3"/>
            <w:shd w:val="clear" w:color="auto" w:fill="FFFFFF" w:themeFill="background1"/>
          </w:tcPr>
          <w:p w14:paraId="3724C6E9" w14:textId="77777777" w:rsidR="00E260BE" w:rsidRPr="00DB3494"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9</w:t>
            </w:r>
          </w:p>
        </w:tc>
        <w:tc>
          <w:tcPr>
            <w:tcW w:w="3973" w:type="dxa"/>
            <w:gridSpan w:val="2"/>
            <w:shd w:val="clear" w:color="auto" w:fill="FFFFFF" w:themeFill="background1"/>
          </w:tcPr>
          <w:p w14:paraId="18EF9BDC" w14:textId="77777777" w:rsidR="00E260BE" w:rsidRPr="00DB3494"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150</w:t>
            </w:r>
          </w:p>
        </w:tc>
      </w:tr>
      <w:tr w:rsidR="00E260BE" w:rsidRPr="00A52173" w14:paraId="343187B6"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0405140" w14:textId="77777777" w:rsidR="00E260BE" w:rsidRPr="00403F40" w:rsidRDefault="00E260BE" w:rsidP="00403F40">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1E79FACA"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Hospicjów domowych</w:t>
            </w:r>
          </w:p>
        </w:tc>
        <w:tc>
          <w:tcPr>
            <w:tcW w:w="3969" w:type="dxa"/>
            <w:gridSpan w:val="3"/>
            <w:shd w:val="clear" w:color="auto" w:fill="FFFFFF" w:themeFill="background1"/>
          </w:tcPr>
          <w:p w14:paraId="4896D87F" w14:textId="77777777" w:rsidR="00E260BE" w:rsidRPr="00DB3494"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14</w:t>
            </w:r>
          </w:p>
        </w:tc>
        <w:tc>
          <w:tcPr>
            <w:tcW w:w="3973" w:type="dxa"/>
            <w:gridSpan w:val="2"/>
            <w:shd w:val="clear" w:color="auto" w:fill="FFFFFF" w:themeFill="background1"/>
          </w:tcPr>
          <w:p w14:paraId="5DFC540E" w14:textId="77777777" w:rsidR="00E260BE" w:rsidRPr="00DB3494"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w:t>
            </w:r>
          </w:p>
        </w:tc>
      </w:tr>
      <w:tr w:rsidR="00E260BE" w:rsidRPr="00A52173" w14:paraId="4C540F59"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B3016CC" w14:textId="77777777" w:rsidR="00E260BE" w:rsidRPr="00403F40" w:rsidRDefault="00E260BE" w:rsidP="00403F40">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2EE78D77"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Oddziałów opieki paliatywnej</w:t>
            </w:r>
          </w:p>
        </w:tc>
        <w:tc>
          <w:tcPr>
            <w:tcW w:w="3969" w:type="dxa"/>
            <w:gridSpan w:val="3"/>
            <w:shd w:val="clear" w:color="auto" w:fill="FFFFFF" w:themeFill="background1"/>
          </w:tcPr>
          <w:p w14:paraId="042AE3BA" w14:textId="77777777" w:rsidR="00E260BE" w:rsidRPr="00DB3494"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3</w:t>
            </w:r>
          </w:p>
        </w:tc>
        <w:tc>
          <w:tcPr>
            <w:tcW w:w="3973" w:type="dxa"/>
            <w:gridSpan w:val="2"/>
            <w:shd w:val="clear" w:color="auto" w:fill="FFFFFF" w:themeFill="background1"/>
          </w:tcPr>
          <w:p w14:paraId="7C6F13B5" w14:textId="77777777" w:rsidR="00E260BE" w:rsidRPr="00DB3494"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DB3494">
              <w:rPr>
                <w:rFonts w:ascii="Times New Roman" w:hAnsi="Times New Roman"/>
                <w:color w:val="auto"/>
              </w:rPr>
              <w:t>53</w:t>
            </w:r>
          </w:p>
        </w:tc>
      </w:tr>
      <w:tr w:rsidR="00E260BE" w:rsidRPr="00A52173" w14:paraId="7A85193F" w14:textId="77777777" w:rsidTr="00DB3494">
        <w:trPr>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FDDA844" w14:textId="77777777" w:rsidR="00E260BE" w:rsidRPr="00403F40" w:rsidRDefault="00E260BE" w:rsidP="00403F40">
            <w:pPr>
              <w:tabs>
                <w:tab w:val="left" w:pos="1206"/>
              </w:tabs>
              <w:spacing w:after="0" w:line="240" w:lineRule="auto"/>
              <w:rPr>
                <w:rFonts w:ascii="Times New Roman" w:hAnsi="Times New Roman"/>
                <w:color w:val="auto"/>
              </w:rPr>
            </w:pPr>
            <w:r w:rsidRPr="00403F40">
              <w:rPr>
                <w:rFonts w:ascii="Times New Roman" w:hAnsi="Times New Roman"/>
                <w:color w:val="auto"/>
              </w:rPr>
              <w:t>Kadry medyczne</w:t>
            </w:r>
          </w:p>
        </w:tc>
        <w:tc>
          <w:tcPr>
            <w:tcW w:w="7938" w:type="dxa"/>
            <w:gridSpan w:val="6"/>
            <w:shd w:val="clear" w:color="auto" w:fill="9CC2E5" w:themeFill="accent1" w:themeFillTint="99"/>
          </w:tcPr>
          <w:p w14:paraId="058D17DE" w14:textId="77777777" w:rsidR="00E260BE" w:rsidRPr="00403F40" w:rsidRDefault="00E260BE" w:rsidP="00DB3494">
            <w:pPr>
              <w:tabs>
                <w:tab w:val="left" w:pos="120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Lekarze</w:t>
            </w:r>
          </w:p>
        </w:tc>
        <w:tc>
          <w:tcPr>
            <w:tcW w:w="3973" w:type="dxa"/>
            <w:gridSpan w:val="2"/>
            <w:shd w:val="clear" w:color="auto" w:fill="9CC2E5" w:themeFill="accent1" w:themeFillTint="99"/>
          </w:tcPr>
          <w:p w14:paraId="10D946FD"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lekarzy</w:t>
            </w:r>
          </w:p>
        </w:tc>
      </w:tr>
      <w:tr w:rsidR="00E260BE" w:rsidRPr="00A52173" w14:paraId="4CE97CAD"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F266EB6"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0721A73" w14:textId="77777777" w:rsidR="00E260BE" w:rsidRPr="00403F40" w:rsidRDefault="00E260BE" w:rsidP="00403F40">
            <w:pPr>
              <w:tabs>
                <w:tab w:val="left" w:pos="1206"/>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Geriatrzy</w:t>
            </w:r>
          </w:p>
        </w:tc>
        <w:tc>
          <w:tcPr>
            <w:tcW w:w="3973" w:type="dxa"/>
            <w:gridSpan w:val="2"/>
            <w:shd w:val="clear" w:color="auto" w:fill="FFFFFF" w:themeFill="background1"/>
          </w:tcPr>
          <w:p w14:paraId="146DA1EB"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w:t>
            </w:r>
          </w:p>
        </w:tc>
      </w:tr>
      <w:tr w:rsidR="00E260BE" w:rsidRPr="00A52173" w14:paraId="45F44671"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460DD8D"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32048DC"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w trakcie specjalizacji z geriatrii</w:t>
            </w:r>
          </w:p>
        </w:tc>
        <w:tc>
          <w:tcPr>
            <w:tcW w:w="3973" w:type="dxa"/>
            <w:gridSpan w:val="2"/>
            <w:shd w:val="clear" w:color="auto" w:fill="FFFFFF" w:themeFill="background1"/>
          </w:tcPr>
          <w:p w14:paraId="0897E336"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w:t>
            </w:r>
          </w:p>
        </w:tc>
      </w:tr>
      <w:tr w:rsidR="00E260BE" w:rsidRPr="00A52173" w14:paraId="0D86F436" w14:textId="77777777" w:rsidTr="00DB34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73F33E2"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9CC2E5" w:themeFill="accent1" w:themeFillTint="99"/>
          </w:tcPr>
          <w:p w14:paraId="5EB643A9"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 xml:space="preserve">Pielęgniarki ze specjalizacją lub ukończonym kursem kwalifikacyjnym </w:t>
            </w:r>
            <w:r w:rsidRPr="00403F40">
              <w:rPr>
                <w:rFonts w:ascii="Times New Roman" w:hAnsi="Times New Roman"/>
                <w:b/>
                <w:color w:val="auto"/>
              </w:rPr>
              <w:br/>
              <w:t>w zakresie:</w:t>
            </w:r>
          </w:p>
        </w:tc>
        <w:tc>
          <w:tcPr>
            <w:tcW w:w="3973" w:type="dxa"/>
            <w:gridSpan w:val="2"/>
            <w:shd w:val="clear" w:color="auto" w:fill="9CC2E5" w:themeFill="accent1" w:themeFillTint="99"/>
          </w:tcPr>
          <w:p w14:paraId="114E8D14"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pielęgniarek</w:t>
            </w:r>
          </w:p>
        </w:tc>
      </w:tr>
      <w:tr w:rsidR="00E260BE" w:rsidRPr="00A52173" w14:paraId="08134784"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D537B16"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6A5A8B3"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Geriatrii</w:t>
            </w:r>
          </w:p>
        </w:tc>
        <w:tc>
          <w:tcPr>
            <w:tcW w:w="3973" w:type="dxa"/>
            <w:gridSpan w:val="2"/>
            <w:shd w:val="clear" w:color="auto" w:fill="FFFFFF" w:themeFill="background1"/>
          </w:tcPr>
          <w:p w14:paraId="2C45AD3A"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69 ze specjalizacją, 12 z kursem</w:t>
            </w:r>
          </w:p>
        </w:tc>
      </w:tr>
      <w:tr w:rsidR="00E260BE" w:rsidRPr="00A52173" w14:paraId="7EDCC611" w14:textId="77777777" w:rsidTr="009B7D2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6AB4454"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3693F41"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Opieki długoterminowej</w:t>
            </w:r>
          </w:p>
        </w:tc>
        <w:tc>
          <w:tcPr>
            <w:tcW w:w="3973" w:type="dxa"/>
            <w:gridSpan w:val="2"/>
            <w:shd w:val="clear" w:color="auto" w:fill="FFFFFF" w:themeFill="background1"/>
          </w:tcPr>
          <w:p w14:paraId="07AC7A4E"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133 ze specjalizacją, 282 z kursem</w:t>
            </w:r>
          </w:p>
        </w:tc>
      </w:tr>
      <w:tr w:rsidR="00E260BE" w:rsidRPr="00A52173" w14:paraId="2E4B4658" w14:textId="77777777" w:rsidTr="009B7D2E">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6A7822B"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3399F8A"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Opieki paliatywnej</w:t>
            </w:r>
          </w:p>
        </w:tc>
        <w:tc>
          <w:tcPr>
            <w:tcW w:w="3973" w:type="dxa"/>
            <w:gridSpan w:val="2"/>
            <w:shd w:val="clear" w:color="auto" w:fill="FFFFFF" w:themeFill="background1"/>
          </w:tcPr>
          <w:p w14:paraId="24AA249C"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33 ze specjalizacją, 94 z kursem</w:t>
            </w:r>
          </w:p>
        </w:tc>
      </w:tr>
      <w:tr w:rsidR="00E260BE" w:rsidRPr="00A52173" w14:paraId="3FCA6980" w14:textId="77777777" w:rsidTr="003941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8D6775C"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hAnsi="Times New Roman"/>
                <w:color w:val="auto"/>
                <w:lang w:eastAsia="pl-PL"/>
              </w:rPr>
              <w:t>Najczęstsze przyczyny zgonów osób starszych</w:t>
            </w:r>
          </w:p>
        </w:tc>
        <w:tc>
          <w:tcPr>
            <w:tcW w:w="7938" w:type="dxa"/>
            <w:gridSpan w:val="6"/>
            <w:shd w:val="clear" w:color="auto" w:fill="9CC2E5" w:themeFill="accent1" w:themeFillTint="99"/>
          </w:tcPr>
          <w:p w14:paraId="76ADD2A5"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Nazwa</w:t>
            </w:r>
          </w:p>
        </w:tc>
        <w:tc>
          <w:tcPr>
            <w:tcW w:w="3973" w:type="dxa"/>
            <w:gridSpan w:val="2"/>
            <w:shd w:val="clear" w:color="auto" w:fill="9CC2E5" w:themeFill="accent1" w:themeFillTint="99"/>
          </w:tcPr>
          <w:p w14:paraId="0576F610"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osób starszych</w:t>
            </w:r>
          </w:p>
        </w:tc>
      </w:tr>
      <w:tr w:rsidR="00E260BE" w:rsidRPr="00A52173" w14:paraId="6543AC37" w14:textId="77777777" w:rsidTr="003941A0">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33E3B5A"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577BC19" w14:textId="77777777" w:rsidR="00E260BE" w:rsidRPr="00403F40" w:rsidRDefault="00E260BE" w:rsidP="008C71A9">
            <w:pPr>
              <w:pStyle w:val="Akapitzlist"/>
              <w:numPr>
                <w:ilvl w:val="0"/>
                <w:numId w:val="17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Choroby układu krążenia</w:t>
            </w:r>
          </w:p>
        </w:tc>
        <w:tc>
          <w:tcPr>
            <w:tcW w:w="3973" w:type="dxa"/>
            <w:gridSpan w:val="2"/>
            <w:shd w:val="clear" w:color="auto" w:fill="FFFFFF" w:themeFill="background1"/>
          </w:tcPr>
          <w:p w14:paraId="2D77BABD"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w:t>
            </w:r>
          </w:p>
        </w:tc>
      </w:tr>
      <w:tr w:rsidR="00E260BE" w:rsidRPr="00A52173" w14:paraId="4CFDEF08" w14:textId="77777777" w:rsidTr="003941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032A5BA"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20CB20D" w14:textId="77777777" w:rsidR="00E260BE" w:rsidRPr="00403F40" w:rsidRDefault="00E260BE" w:rsidP="008C71A9">
            <w:pPr>
              <w:pStyle w:val="Akapitzlist"/>
              <w:numPr>
                <w:ilvl w:val="0"/>
                <w:numId w:val="177"/>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Choroby układu oddechowego</w:t>
            </w:r>
          </w:p>
        </w:tc>
        <w:tc>
          <w:tcPr>
            <w:tcW w:w="3973" w:type="dxa"/>
            <w:gridSpan w:val="2"/>
            <w:shd w:val="clear" w:color="auto" w:fill="FFFFFF" w:themeFill="background1"/>
          </w:tcPr>
          <w:p w14:paraId="1C1782B4"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w:t>
            </w:r>
          </w:p>
        </w:tc>
      </w:tr>
      <w:tr w:rsidR="00E260BE" w:rsidRPr="00A52173" w14:paraId="10BCCF2A" w14:textId="77777777" w:rsidTr="003941A0">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4C7F639"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63DCD43" w14:textId="77777777" w:rsidR="00E260BE" w:rsidRPr="00403F40" w:rsidRDefault="00E260BE" w:rsidP="008C71A9">
            <w:pPr>
              <w:pStyle w:val="Akapitzlist"/>
              <w:numPr>
                <w:ilvl w:val="0"/>
                <w:numId w:val="177"/>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Choroby układu trawiennego</w:t>
            </w:r>
          </w:p>
        </w:tc>
        <w:tc>
          <w:tcPr>
            <w:tcW w:w="3973" w:type="dxa"/>
            <w:gridSpan w:val="2"/>
            <w:shd w:val="clear" w:color="auto" w:fill="FFFFFF" w:themeFill="background1"/>
          </w:tcPr>
          <w:p w14:paraId="4BF8540A"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w:t>
            </w:r>
          </w:p>
        </w:tc>
      </w:tr>
      <w:tr w:rsidR="00E260BE" w:rsidRPr="00A52173" w14:paraId="19401E02" w14:textId="77777777" w:rsidTr="003941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6643555"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D5EC4C3" w14:textId="77777777" w:rsidR="00E260BE" w:rsidRPr="00403F40" w:rsidRDefault="00E260BE" w:rsidP="008C71A9">
            <w:pPr>
              <w:pStyle w:val="Akapitzlist"/>
              <w:numPr>
                <w:ilvl w:val="0"/>
                <w:numId w:val="177"/>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Nowotwory</w:t>
            </w:r>
          </w:p>
        </w:tc>
        <w:tc>
          <w:tcPr>
            <w:tcW w:w="3973" w:type="dxa"/>
            <w:gridSpan w:val="2"/>
            <w:shd w:val="clear" w:color="auto" w:fill="FFFFFF" w:themeFill="background1"/>
          </w:tcPr>
          <w:p w14:paraId="77AF403B"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w:t>
            </w:r>
          </w:p>
        </w:tc>
      </w:tr>
      <w:tr w:rsidR="00E260BE" w:rsidRPr="00A52173" w14:paraId="4871B223" w14:textId="77777777" w:rsidTr="003941A0">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BCBEEE5" w14:textId="77777777" w:rsidR="00E260BE" w:rsidRPr="00403F40" w:rsidRDefault="00E260BE" w:rsidP="00403F40">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9989B8F"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tc>
        <w:tc>
          <w:tcPr>
            <w:tcW w:w="3973" w:type="dxa"/>
            <w:gridSpan w:val="2"/>
            <w:shd w:val="clear" w:color="auto" w:fill="FFFFFF" w:themeFill="background1"/>
          </w:tcPr>
          <w:p w14:paraId="1E94AB05"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p>
        </w:tc>
      </w:tr>
      <w:tr w:rsidR="00E260BE" w:rsidRPr="00A52173" w14:paraId="0C31D53F" w14:textId="77777777" w:rsidTr="003941A0">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CCBC1F4"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3FDC944B" w14:textId="77777777" w:rsidR="00E260BE" w:rsidRPr="00403F40" w:rsidRDefault="00E260BE" w:rsidP="008C71A9">
            <w:pPr>
              <w:pStyle w:val="Akapitzlist"/>
              <w:numPr>
                <w:ilvl w:val="0"/>
                <w:numId w:val="178"/>
              </w:numPr>
              <w:tabs>
                <w:tab w:val="left" w:pos="1290"/>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nowych miejsc w których leczeni byliby seniorzy, brak poradni geriatrycznych.</w:t>
            </w:r>
          </w:p>
        </w:tc>
      </w:tr>
      <w:tr w:rsidR="00E260BE" w:rsidRPr="00A52173" w14:paraId="2031434B" w14:textId="77777777" w:rsidTr="003941A0">
        <w:trPr>
          <w:trHeight w:val="25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ECE76C0" w14:textId="77777777" w:rsidR="00E260BE" w:rsidRPr="00403F40" w:rsidRDefault="00E260BE" w:rsidP="00403F40">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01AE8BAE" w14:textId="77777777" w:rsidR="00E260BE" w:rsidRPr="00403F40" w:rsidRDefault="00E260BE" w:rsidP="008C71A9">
            <w:pPr>
              <w:pStyle w:val="Akapitzlist"/>
              <w:numPr>
                <w:ilvl w:val="0"/>
                <w:numId w:val="178"/>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odpowiedniej liczby podmiotów zajmujących się rehabilitacją osób w podeszłym wieku, słaba dostępność do ww. usług.</w:t>
            </w:r>
          </w:p>
        </w:tc>
      </w:tr>
      <w:tr w:rsidR="00E260BE" w:rsidRPr="00A52173" w14:paraId="3F8D89D9" w14:textId="77777777" w:rsidTr="003941A0">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CEF46C1" w14:textId="77777777" w:rsidR="00E260BE" w:rsidRPr="00403F40" w:rsidRDefault="00E260BE" w:rsidP="00403F40">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227A0E91" w14:textId="77777777" w:rsidR="00E260BE" w:rsidRPr="00403F40" w:rsidRDefault="00E260BE" w:rsidP="008C71A9">
            <w:pPr>
              <w:pStyle w:val="Akapitzlist"/>
              <w:numPr>
                <w:ilvl w:val="0"/>
                <w:numId w:val="17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Mało lekarzy ze specjalizacją w dziedzinie geriatrii, którzy w umiejętny sposób zajmowaliby się i leczyli osoby starsze i niepełnosprawne w wieloma chorobami współistniejącymi.</w:t>
            </w:r>
          </w:p>
        </w:tc>
      </w:tr>
      <w:tr w:rsidR="00E260BE" w:rsidRPr="00A52173" w14:paraId="4F828A2F" w14:textId="77777777" w:rsidTr="00DB3494">
        <w:trPr>
          <w:trHeight w:val="224"/>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3EE1403" w14:textId="77777777" w:rsidR="00E260BE" w:rsidRPr="00403F40" w:rsidRDefault="00E260BE" w:rsidP="00DB3494">
            <w:pPr>
              <w:spacing w:after="0" w:line="240" w:lineRule="auto"/>
              <w:jc w:val="center"/>
              <w:rPr>
                <w:rFonts w:ascii="Times New Roman" w:hAnsi="Times New Roman"/>
                <w:color w:val="auto"/>
              </w:rPr>
            </w:pPr>
            <w:r w:rsidRPr="00403F40">
              <w:rPr>
                <w:rFonts w:ascii="Times New Roman" w:hAnsi="Times New Roman"/>
                <w:color w:val="auto"/>
                <w:lang w:eastAsia="pl-PL"/>
              </w:rPr>
              <w:t>AKTYWNOŚĆ EKONOMICZNA OSÓB STARSZYCH – DANE ZA 2019 R.</w:t>
            </w:r>
          </w:p>
        </w:tc>
      </w:tr>
      <w:tr w:rsidR="00E260BE" w:rsidRPr="00A52173" w14:paraId="5849CE00" w14:textId="77777777" w:rsidTr="00DB3494">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6799" w:type="dxa"/>
            <w:gridSpan w:val="4"/>
            <w:shd w:val="clear" w:color="auto" w:fill="9CC2E5" w:themeFill="accent1" w:themeFillTint="99"/>
          </w:tcPr>
          <w:p w14:paraId="5DFC17C5" w14:textId="77777777" w:rsidR="00E260BE" w:rsidRPr="00403F40" w:rsidRDefault="00E260BE" w:rsidP="00DB3494">
            <w:pPr>
              <w:spacing w:after="0" w:line="240" w:lineRule="auto"/>
              <w:jc w:val="center"/>
              <w:rPr>
                <w:rFonts w:ascii="Times New Roman" w:hAnsi="Times New Roman"/>
                <w:color w:val="auto"/>
              </w:rPr>
            </w:pPr>
            <w:r w:rsidRPr="00403F40">
              <w:rPr>
                <w:rFonts w:ascii="Times New Roman" w:hAnsi="Times New Roman"/>
                <w:color w:val="auto"/>
              </w:rPr>
              <w:t>Podział</w:t>
            </w:r>
          </w:p>
        </w:tc>
        <w:tc>
          <w:tcPr>
            <w:tcW w:w="7942" w:type="dxa"/>
            <w:gridSpan w:val="5"/>
            <w:shd w:val="clear" w:color="auto" w:fill="9CC2E5" w:themeFill="accent1" w:themeFillTint="99"/>
          </w:tcPr>
          <w:p w14:paraId="2B28D395"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w:t>
            </w:r>
          </w:p>
        </w:tc>
      </w:tr>
      <w:tr w:rsidR="00E260BE" w:rsidRPr="00A52173" w14:paraId="5BDCB7D9" w14:textId="77777777" w:rsidTr="009B7D2E">
        <w:trPr>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270ABCC"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hAnsi="Times New Roman"/>
                <w:color w:val="auto"/>
                <w:lang w:eastAsia="pl-PL"/>
              </w:rPr>
              <w:t>Osoby aktywne zawodowo razem (w tys.)</w:t>
            </w:r>
          </w:p>
        </w:tc>
        <w:tc>
          <w:tcPr>
            <w:tcW w:w="3969" w:type="dxa"/>
            <w:gridSpan w:val="3"/>
            <w:shd w:val="clear" w:color="auto" w:fill="FFFFFF" w:themeFill="background1"/>
          </w:tcPr>
          <w:p w14:paraId="577B63C3"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ogółem</w:t>
            </w:r>
          </w:p>
        </w:tc>
        <w:tc>
          <w:tcPr>
            <w:tcW w:w="7942" w:type="dxa"/>
            <w:gridSpan w:val="5"/>
            <w:shd w:val="clear" w:color="auto" w:fill="FFFFFF" w:themeFill="background1"/>
          </w:tcPr>
          <w:p w14:paraId="33AF0196"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533</w:t>
            </w:r>
          </w:p>
        </w:tc>
      </w:tr>
      <w:tr w:rsidR="00E260BE" w:rsidRPr="00A52173" w14:paraId="78A37931" w14:textId="77777777" w:rsidTr="009B7D2E">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D85F04D" w14:textId="77777777" w:rsidR="00E260BE" w:rsidRPr="00403F40" w:rsidRDefault="00E260BE" w:rsidP="00403F40">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56608619"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w tym w wieku 55+ *</w:t>
            </w:r>
          </w:p>
        </w:tc>
        <w:tc>
          <w:tcPr>
            <w:tcW w:w="7942" w:type="dxa"/>
            <w:gridSpan w:val="5"/>
            <w:shd w:val="clear" w:color="auto" w:fill="FFFFFF" w:themeFill="background1"/>
          </w:tcPr>
          <w:p w14:paraId="50055BE6"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101</w:t>
            </w:r>
          </w:p>
        </w:tc>
      </w:tr>
      <w:tr w:rsidR="00E260BE" w:rsidRPr="00A52173" w14:paraId="10DB8530" w14:textId="77777777" w:rsidTr="009B7D2E">
        <w:trPr>
          <w:trHeight w:val="285"/>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26D498F"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hAnsi="Times New Roman"/>
                <w:color w:val="auto"/>
                <w:lang w:eastAsia="pl-PL"/>
              </w:rPr>
              <w:t xml:space="preserve">Osoby aktywne zawodowo </w:t>
            </w:r>
            <w:r w:rsidRPr="00403F40">
              <w:rPr>
                <w:rFonts w:ascii="Times New Roman" w:hAnsi="Times New Roman"/>
                <w:color w:val="auto"/>
                <w:lang w:eastAsia="pl-PL"/>
              </w:rPr>
              <w:br/>
              <w:t>– pracujący (w tys.)</w:t>
            </w:r>
          </w:p>
        </w:tc>
        <w:tc>
          <w:tcPr>
            <w:tcW w:w="3969" w:type="dxa"/>
            <w:gridSpan w:val="3"/>
            <w:shd w:val="clear" w:color="auto" w:fill="FFFFFF" w:themeFill="background1"/>
          </w:tcPr>
          <w:p w14:paraId="25ABB710"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Ogółem</w:t>
            </w:r>
          </w:p>
        </w:tc>
        <w:tc>
          <w:tcPr>
            <w:tcW w:w="7942" w:type="dxa"/>
            <w:gridSpan w:val="5"/>
            <w:shd w:val="clear" w:color="auto" w:fill="FFFFFF" w:themeFill="background1"/>
          </w:tcPr>
          <w:p w14:paraId="479A988F"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518</w:t>
            </w:r>
          </w:p>
        </w:tc>
      </w:tr>
      <w:tr w:rsidR="00E260BE" w:rsidRPr="00A52173" w14:paraId="5F6E7B2E" w14:textId="77777777" w:rsidTr="009B7D2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09130BE" w14:textId="77777777" w:rsidR="00E260BE" w:rsidRPr="00403F40" w:rsidRDefault="00E260BE" w:rsidP="00403F40">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6D07CC9A"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w tym w wieku 55+ *</w:t>
            </w:r>
          </w:p>
        </w:tc>
        <w:tc>
          <w:tcPr>
            <w:tcW w:w="7942" w:type="dxa"/>
            <w:gridSpan w:val="5"/>
            <w:shd w:val="clear" w:color="auto" w:fill="FFFFFF" w:themeFill="background1"/>
          </w:tcPr>
          <w:p w14:paraId="5F411925"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99</w:t>
            </w:r>
          </w:p>
        </w:tc>
      </w:tr>
      <w:tr w:rsidR="00E260BE" w:rsidRPr="00A52173" w14:paraId="794333E7" w14:textId="77777777" w:rsidTr="009B7D2E">
        <w:trPr>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C786C47"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hAnsi="Times New Roman"/>
                <w:color w:val="auto"/>
                <w:lang w:eastAsia="pl-PL"/>
              </w:rPr>
              <w:t>Osoby bierne zawodowo (w tys.)</w:t>
            </w:r>
          </w:p>
        </w:tc>
        <w:tc>
          <w:tcPr>
            <w:tcW w:w="3969" w:type="dxa"/>
            <w:gridSpan w:val="3"/>
            <w:shd w:val="clear" w:color="auto" w:fill="FFFFFF" w:themeFill="background1"/>
          </w:tcPr>
          <w:p w14:paraId="22DEAE18"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ogółem</w:t>
            </w:r>
          </w:p>
        </w:tc>
        <w:tc>
          <w:tcPr>
            <w:tcW w:w="7942" w:type="dxa"/>
            <w:gridSpan w:val="5"/>
            <w:shd w:val="clear" w:color="auto" w:fill="FFFFFF" w:themeFill="background1"/>
          </w:tcPr>
          <w:p w14:paraId="53C9A170"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464</w:t>
            </w:r>
          </w:p>
        </w:tc>
      </w:tr>
      <w:tr w:rsidR="00E260BE" w:rsidRPr="00A52173" w14:paraId="65A20535" w14:textId="77777777" w:rsidTr="009B7D2E">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22B2C8A" w14:textId="77777777" w:rsidR="00E260BE" w:rsidRPr="00403F40" w:rsidRDefault="00E260BE" w:rsidP="00403F40">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6D587B47"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w tym w wieku 55+ *</w:t>
            </w:r>
          </w:p>
        </w:tc>
        <w:tc>
          <w:tcPr>
            <w:tcW w:w="7942" w:type="dxa"/>
            <w:gridSpan w:val="5"/>
            <w:shd w:val="clear" w:color="auto" w:fill="FFFFFF" w:themeFill="background1"/>
          </w:tcPr>
          <w:p w14:paraId="767E4821"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305</w:t>
            </w:r>
          </w:p>
        </w:tc>
      </w:tr>
      <w:tr w:rsidR="00E260BE" w:rsidRPr="00A52173" w14:paraId="0C362897" w14:textId="77777777" w:rsidTr="009B7D2E">
        <w:trPr>
          <w:trHeight w:val="285"/>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3AEBFC3"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hAnsi="Times New Roman"/>
                <w:color w:val="auto"/>
                <w:lang w:eastAsia="pl-PL"/>
              </w:rPr>
              <w:t>Współczynnik aktywności zawodowej %</w:t>
            </w:r>
          </w:p>
        </w:tc>
        <w:tc>
          <w:tcPr>
            <w:tcW w:w="3969" w:type="dxa"/>
            <w:gridSpan w:val="3"/>
            <w:shd w:val="clear" w:color="auto" w:fill="FFFFFF" w:themeFill="background1"/>
          </w:tcPr>
          <w:p w14:paraId="31FF58D5"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Ogółem</w:t>
            </w:r>
          </w:p>
        </w:tc>
        <w:tc>
          <w:tcPr>
            <w:tcW w:w="7942" w:type="dxa"/>
            <w:gridSpan w:val="5"/>
            <w:shd w:val="clear" w:color="auto" w:fill="FFFFFF" w:themeFill="background1"/>
          </w:tcPr>
          <w:p w14:paraId="2BFFB7AD"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53,5</w:t>
            </w:r>
          </w:p>
        </w:tc>
      </w:tr>
      <w:tr w:rsidR="00E260BE" w:rsidRPr="00A52173" w14:paraId="4E93EAC5" w14:textId="77777777" w:rsidTr="009B7D2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4BFD9F0" w14:textId="77777777" w:rsidR="00E260BE" w:rsidRPr="00403F40" w:rsidRDefault="00E260BE" w:rsidP="00403F40">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1F187EB1"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w tym w wieku 55+ *</w:t>
            </w:r>
          </w:p>
        </w:tc>
        <w:tc>
          <w:tcPr>
            <w:tcW w:w="7942" w:type="dxa"/>
            <w:gridSpan w:val="5"/>
            <w:shd w:val="clear" w:color="auto" w:fill="FFFFFF" w:themeFill="background1"/>
          </w:tcPr>
          <w:p w14:paraId="09C1101D"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24,9</w:t>
            </w:r>
          </w:p>
        </w:tc>
      </w:tr>
      <w:tr w:rsidR="00E260BE" w:rsidRPr="00A52173" w14:paraId="2835DDD7" w14:textId="77777777" w:rsidTr="009B7D2E">
        <w:trPr>
          <w:trHeight w:val="14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BA27749"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hAnsi="Times New Roman"/>
                <w:color w:val="auto"/>
                <w:lang w:eastAsia="pl-PL"/>
              </w:rPr>
              <w:t>Wskaźnik zatrudnienia %</w:t>
            </w:r>
          </w:p>
        </w:tc>
        <w:tc>
          <w:tcPr>
            <w:tcW w:w="3969" w:type="dxa"/>
            <w:gridSpan w:val="3"/>
            <w:shd w:val="clear" w:color="auto" w:fill="FFFFFF" w:themeFill="background1"/>
          </w:tcPr>
          <w:p w14:paraId="42C6FEB1"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ogółem</w:t>
            </w:r>
          </w:p>
        </w:tc>
        <w:tc>
          <w:tcPr>
            <w:tcW w:w="7942" w:type="dxa"/>
            <w:gridSpan w:val="5"/>
            <w:shd w:val="clear" w:color="auto" w:fill="FFFFFF" w:themeFill="background1"/>
          </w:tcPr>
          <w:p w14:paraId="6725979A"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52</w:t>
            </w:r>
          </w:p>
        </w:tc>
      </w:tr>
      <w:tr w:rsidR="00E260BE" w:rsidRPr="00A52173" w14:paraId="3432807C" w14:textId="77777777" w:rsidTr="009B7D2E">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58C545A" w14:textId="77777777" w:rsidR="00E260BE" w:rsidRPr="00403F40" w:rsidRDefault="00E260BE" w:rsidP="00403F40">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638CD2F7"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w tym w wieku 55+*</w:t>
            </w:r>
          </w:p>
        </w:tc>
        <w:tc>
          <w:tcPr>
            <w:tcW w:w="7942" w:type="dxa"/>
            <w:gridSpan w:val="5"/>
            <w:shd w:val="clear" w:color="auto" w:fill="FFFFFF" w:themeFill="background1"/>
          </w:tcPr>
          <w:p w14:paraId="2C863881"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24,4</w:t>
            </w:r>
          </w:p>
        </w:tc>
      </w:tr>
      <w:tr w:rsidR="00E260BE" w:rsidRPr="00A52173" w14:paraId="626ADF46" w14:textId="77777777" w:rsidTr="00403F40">
        <w:trPr>
          <w:trHeight w:val="142"/>
          <w:jc w:val="center"/>
        </w:trPr>
        <w:tc>
          <w:tcPr>
            <w:cnfStyle w:val="001000000000" w:firstRow="0" w:lastRow="0" w:firstColumn="1" w:lastColumn="0" w:oddVBand="0" w:evenVBand="0" w:oddHBand="0" w:evenHBand="0" w:firstRowFirstColumn="0" w:firstRowLastColumn="0" w:lastRowFirstColumn="0" w:lastRowLastColumn="0"/>
            <w:tcW w:w="14741" w:type="dxa"/>
            <w:gridSpan w:val="9"/>
          </w:tcPr>
          <w:p w14:paraId="1077E3CD" w14:textId="77777777" w:rsidR="00E260BE" w:rsidRPr="00403F40" w:rsidRDefault="00E260BE" w:rsidP="00403F40">
            <w:pPr>
              <w:spacing w:after="0" w:line="240" w:lineRule="auto"/>
              <w:rPr>
                <w:rFonts w:ascii="Times New Roman" w:hAnsi="Times New Roman"/>
                <w:color w:val="auto"/>
              </w:rPr>
            </w:pPr>
            <w:r w:rsidRPr="00403F40">
              <w:rPr>
                <w:rFonts w:ascii="Times New Roman" w:hAnsi="Times New Roman"/>
                <w:color w:val="auto"/>
              </w:rPr>
              <w:t>*Dane Urzędu Statystycznego w Kielcach są dostępne tylko dla kategorii „w tym w wieku 55 lat i więcej”</w:t>
            </w:r>
          </w:p>
        </w:tc>
      </w:tr>
      <w:tr w:rsidR="00E260BE" w:rsidRPr="00A52173" w14:paraId="55FE2314" w14:textId="77777777" w:rsidTr="009B7D2E">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9047C49"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eastAsia="Times New Roman" w:hAnsi="Times New Roman"/>
                <w:color w:val="auto"/>
                <w:lang w:eastAsia="pl-PL"/>
              </w:rPr>
              <w:t xml:space="preserve">Osoby bierne zawodowo  w wieku 60 lat i więcej według wybranych </w:t>
            </w:r>
            <w:r w:rsidRPr="00403F40">
              <w:rPr>
                <w:rFonts w:ascii="Times New Roman" w:eastAsia="Times New Roman" w:hAnsi="Times New Roman"/>
                <w:color w:val="auto"/>
                <w:lang w:eastAsia="pl-PL"/>
              </w:rPr>
              <w:lastRenderedPageBreak/>
              <w:t xml:space="preserve">przyczyn bierności </w:t>
            </w:r>
            <w:r w:rsidRPr="00403F40">
              <w:rPr>
                <w:rFonts w:ascii="Times New Roman" w:eastAsia="Times New Roman" w:hAnsi="Times New Roman"/>
                <w:color w:val="auto"/>
                <w:lang w:eastAsia="pl-PL"/>
              </w:rPr>
              <w:br/>
              <w:t>(w tys.)</w:t>
            </w:r>
          </w:p>
        </w:tc>
        <w:tc>
          <w:tcPr>
            <w:tcW w:w="3969" w:type="dxa"/>
            <w:gridSpan w:val="3"/>
            <w:shd w:val="clear" w:color="auto" w:fill="FFFFFF" w:themeFill="background1"/>
          </w:tcPr>
          <w:p w14:paraId="7C20E005"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lastRenderedPageBreak/>
              <w:t>ogółem</w:t>
            </w:r>
          </w:p>
        </w:tc>
        <w:tc>
          <w:tcPr>
            <w:tcW w:w="7942" w:type="dxa"/>
            <w:gridSpan w:val="5"/>
            <w:shd w:val="clear" w:color="auto" w:fill="FFFFFF" w:themeFill="background1"/>
          </w:tcPr>
          <w:p w14:paraId="143F286A"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317</w:t>
            </w:r>
          </w:p>
        </w:tc>
      </w:tr>
      <w:tr w:rsidR="00E260BE" w:rsidRPr="00A52173" w14:paraId="7289FF4F" w14:textId="77777777" w:rsidTr="00DB3494">
        <w:trPr>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194956D"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0C35444D"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w tym:</w:t>
            </w:r>
          </w:p>
        </w:tc>
      </w:tr>
      <w:tr w:rsidR="00E260BE" w:rsidRPr="00A52173" w14:paraId="0B79BFBE" w14:textId="77777777" w:rsidTr="009B7D2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3146286"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30148D04"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lang w:eastAsia="pl-PL"/>
              </w:rPr>
            </w:pPr>
            <w:r w:rsidRPr="00403F40">
              <w:rPr>
                <w:rFonts w:ascii="Times New Roman" w:eastAsia="Times New Roman" w:hAnsi="Times New Roman"/>
                <w:color w:val="auto"/>
                <w:lang w:eastAsia="pl-PL"/>
              </w:rPr>
              <w:t>osoby nieposzukujące pracy - razem</w:t>
            </w:r>
          </w:p>
        </w:tc>
        <w:tc>
          <w:tcPr>
            <w:tcW w:w="7942" w:type="dxa"/>
            <w:gridSpan w:val="5"/>
            <w:shd w:val="clear" w:color="auto" w:fill="FFFFFF" w:themeFill="background1"/>
          </w:tcPr>
          <w:p w14:paraId="1F72A03B"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danych</w:t>
            </w:r>
          </w:p>
        </w:tc>
      </w:tr>
      <w:tr w:rsidR="00E260BE" w:rsidRPr="00A52173" w14:paraId="4EB676A7" w14:textId="77777777" w:rsidTr="009B7D2E">
        <w:trPr>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8BD9A5D"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7CD7C06B"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eastAsia="Times New Roman" w:hAnsi="Times New Roman"/>
                <w:color w:val="auto"/>
                <w:lang w:eastAsia="pl-PL"/>
              </w:rPr>
              <w:t>osoby nieposzukujące pracy - emerytura</w:t>
            </w:r>
          </w:p>
        </w:tc>
        <w:tc>
          <w:tcPr>
            <w:tcW w:w="7942" w:type="dxa"/>
            <w:gridSpan w:val="5"/>
            <w:shd w:val="clear" w:color="auto" w:fill="FFFFFF" w:themeFill="background1"/>
          </w:tcPr>
          <w:p w14:paraId="7BFDB284"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danych</w:t>
            </w:r>
          </w:p>
        </w:tc>
      </w:tr>
      <w:tr w:rsidR="00E260BE" w:rsidRPr="00A52173" w14:paraId="753463B2" w14:textId="77777777" w:rsidTr="009B7D2E">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8F2B285"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21B76798"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eastAsia="Times New Roman" w:hAnsi="Times New Roman"/>
                <w:color w:val="auto"/>
                <w:lang w:eastAsia="pl-PL"/>
              </w:rPr>
              <w:t>osoby nieposzukujące pracy - choroba, niepełnosprawność</w:t>
            </w:r>
          </w:p>
        </w:tc>
        <w:tc>
          <w:tcPr>
            <w:tcW w:w="7942" w:type="dxa"/>
            <w:gridSpan w:val="5"/>
            <w:shd w:val="clear" w:color="auto" w:fill="FFFFFF" w:themeFill="background1"/>
          </w:tcPr>
          <w:p w14:paraId="140DEC71" w14:textId="77777777" w:rsidR="00E260BE" w:rsidRPr="00403F40" w:rsidRDefault="009B7D2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 xml:space="preserve">2 </w:t>
            </w:r>
            <w:r w:rsidR="00E260BE" w:rsidRPr="00403F40">
              <w:rPr>
                <w:rFonts w:ascii="Times New Roman" w:hAnsi="Times New Roman"/>
                <w:color w:val="auto"/>
              </w:rPr>
              <w:t>723</w:t>
            </w:r>
          </w:p>
        </w:tc>
      </w:tr>
      <w:tr w:rsidR="00E260BE" w:rsidRPr="00A52173" w14:paraId="56212222" w14:textId="77777777" w:rsidTr="009B7D2E">
        <w:trPr>
          <w:trHeight w:val="285"/>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5E189CA"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r w:rsidRPr="00403F40">
              <w:rPr>
                <w:rFonts w:ascii="Times New Roman" w:eastAsia="Times New Roman" w:hAnsi="Times New Roman"/>
                <w:color w:val="auto"/>
                <w:lang w:eastAsia="pl-PL"/>
              </w:rPr>
              <w:t>Osoby bezrobotne zarejestrowane w urzędach pracy (w tys.)</w:t>
            </w:r>
          </w:p>
        </w:tc>
        <w:tc>
          <w:tcPr>
            <w:tcW w:w="3969" w:type="dxa"/>
            <w:gridSpan w:val="3"/>
            <w:shd w:val="clear" w:color="auto" w:fill="FFFFFF" w:themeFill="background1"/>
          </w:tcPr>
          <w:p w14:paraId="686FFA66"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ogółem</w:t>
            </w:r>
          </w:p>
        </w:tc>
        <w:tc>
          <w:tcPr>
            <w:tcW w:w="7942" w:type="dxa"/>
            <w:gridSpan w:val="5"/>
            <w:shd w:val="clear" w:color="auto" w:fill="FFFFFF" w:themeFill="background1"/>
          </w:tcPr>
          <w:p w14:paraId="2AE60A2D" w14:textId="16D1A67F" w:rsidR="00E260BE" w:rsidRPr="00403F40" w:rsidRDefault="00000C86"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42</w:t>
            </w:r>
          </w:p>
        </w:tc>
      </w:tr>
      <w:tr w:rsidR="00E260BE" w:rsidRPr="00A52173" w14:paraId="5E301270" w14:textId="77777777" w:rsidTr="009B7D2E">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0275E9F"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165E5A9"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w tym w wieku 60+</w:t>
            </w:r>
          </w:p>
        </w:tc>
        <w:tc>
          <w:tcPr>
            <w:tcW w:w="7942" w:type="dxa"/>
            <w:gridSpan w:val="5"/>
            <w:shd w:val="clear" w:color="auto" w:fill="FFFFFF" w:themeFill="background1"/>
          </w:tcPr>
          <w:p w14:paraId="0D284D74" w14:textId="5F0C62AF" w:rsidR="00E260BE" w:rsidRPr="00403F40" w:rsidRDefault="00000C86"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2,6</w:t>
            </w:r>
          </w:p>
        </w:tc>
      </w:tr>
      <w:tr w:rsidR="00E260BE" w:rsidRPr="00A52173" w14:paraId="54F6EF07" w14:textId="77777777" w:rsidTr="00DB3494">
        <w:trPr>
          <w:trHeight w:val="191"/>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5402E79"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r w:rsidRPr="00403F40">
              <w:rPr>
                <w:rFonts w:ascii="Times New Roman" w:eastAsia="Times New Roman" w:hAnsi="Times New Roman"/>
                <w:color w:val="auto"/>
                <w:lang w:eastAsia="pl-PL"/>
              </w:rPr>
              <w:t xml:space="preserve">Osoby pobierające renty </w:t>
            </w:r>
            <w:r w:rsidRPr="00403F40">
              <w:rPr>
                <w:rFonts w:ascii="Times New Roman" w:eastAsia="Times New Roman" w:hAnsi="Times New Roman"/>
                <w:color w:val="auto"/>
                <w:lang w:eastAsia="pl-PL"/>
              </w:rPr>
              <w:br/>
              <w:t xml:space="preserve">i emerytury </w:t>
            </w:r>
          </w:p>
        </w:tc>
        <w:tc>
          <w:tcPr>
            <w:tcW w:w="11911" w:type="dxa"/>
            <w:gridSpan w:val="8"/>
            <w:shd w:val="clear" w:color="auto" w:fill="9CC2E5" w:themeFill="accent1" w:themeFillTint="99"/>
          </w:tcPr>
          <w:p w14:paraId="3A43C55A" w14:textId="77777777" w:rsidR="00E260BE" w:rsidRPr="00403F40" w:rsidRDefault="00E260BE" w:rsidP="00DB3494">
            <w:pPr>
              <w:tabs>
                <w:tab w:val="left" w:pos="1725"/>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ZUS</w:t>
            </w:r>
          </w:p>
        </w:tc>
      </w:tr>
      <w:tr w:rsidR="00E260BE" w:rsidRPr="00A52173" w14:paraId="79839571" w14:textId="77777777" w:rsidTr="00DB3494">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03CB783"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5458D981"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Rodzaj świadczenia</w:t>
            </w:r>
          </w:p>
        </w:tc>
        <w:tc>
          <w:tcPr>
            <w:tcW w:w="7942" w:type="dxa"/>
            <w:gridSpan w:val="5"/>
            <w:shd w:val="clear" w:color="auto" w:fill="9CC2E5" w:themeFill="accent1" w:themeFillTint="99"/>
          </w:tcPr>
          <w:p w14:paraId="6F9D1D8D"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Przeciętna miesięczna liczba emerytów i rencistów (w tys.) – 252,3 tys.</w:t>
            </w:r>
          </w:p>
        </w:tc>
      </w:tr>
      <w:tr w:rsidR="00E260BE" w:rsidRPr="00A52173" w14:paraId="3C2B7776" w14:textId="77777777" w:rsidTr="009B7D2E">
        <w:trPr>
          <w:trHeight w:val="143"/>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8090D8E"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E59E405"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Emerytury</w:t>
            </w:r>
          </w:p>
        </w:tc>
        <w:tc>
          <w:tcPr>
            <w:tcW w:w="7942" w:type="dxa"/>
            <w:gridSpan w:val="5"/>
            <w:shd w:val="clear" w:color="auto" w:fill="FFFFFF" w:themeFill="background1"/>
          </w:tcPr>
          <w:p w14:paraId="798D48B6" w14:textId="77777777" w:rsidR="00E260BE" w:rsidRPr="00403F40" w:rsidRDefault="004372A0"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 xml:space="preserve">189 </w:t>
            </w:r>
            <w:r w:rsidR="00E260BE" w:rsidRPr="00403F40">
              <w:rPr>
                <w:rFonts w:ascii="Times New Roman" w:hAnsi="Times New Roman"/>
                <w:color w:val="auto"/>
              </w:rPr>
              <w:t>320</w:t>
            </w:r>
          </w:p>
        </w:tc>
      </w:tr>
      <w:tr w:rsidR="00E260BE" w:rsidRPr="00A52173" w14:paraId="085F50DE" w14:textId="77777777" w:rsidTr="009B7D2E">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A92C1C1"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B200BCA"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Renty z tytułu niezdolności do pracy</w:t>
            </w:r>
          </w:p>
        </w:tc>
        <w:tc>
          <w:tcPr>
            <w:tcW w:w="7942" w:type="dxa"/>
            <w:gridSpan w:val="5"/>
            <w:shd w:val="clear" w:color="auto" w:fill="FFFFFF" w:themeFill="background1"/>
          </w:tcPr>
          <w:p w14:paraId="377115D5" w14:textId="77777777" w:rsidR="00E260BE" w:rsidRPr="00403F40" w:rsidRDefault="004372A0"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 xml:space="preserve">21 </w:t>
            </w:r>
            <w:r w:rsidR="00E260BE" w:rsidRPr="00403F40">
              <w:rPr>
                <w:rFonts w:ascii="Times New Roman" w:hAnsi="Times New Roman"/>
                <w:color w:val="auto"/>
              </w:rPr>
              <w:t>405</w:t>
            </w:r>
          </w:p>
        </w:tc>
      </w:tr>
      <w:tr w:rsidR="00E260BE" w:rsidRPr="00A52173" w14:paraId="1A478655" w14:textId="77777777" w:rsidTr="009B7D2E">
        <w:trPr>
          <w:trHeight w:val="1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BAE08E0"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6E974400"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Renty rodzinne</w:t>
            </w:r>
          </w:p>
        </w:tc>
        <w:tc>
          <w:tcPr>
            <w:tcW w:w="7942" w:type="dxa"/>
            <w:gridSpan w:val="5"/>
            <w:shd w:val="clear" w:color="auto" w:fill="FFFFFF" w:themeFill="background1"/>
          </w:tcPr>
          <w:p w14:paraId="3C18B0E8" w14:textId="77777777" w:rsidR="00E260BE" w:rsidRPr="00403F40" w:rsidRDefault="004372A0"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 xml:space="preserve">41 </w:t>
            </w:r>
            <w:r w:rsidR="00E260BE" w:rsidRPr="00403F40">
              <w:rPr>
                <w:rFonts w:ascii="Times New Roman" w:hAnsi="Times New Roman"/>
                <w:color w:val="auto"/>
              </w:rPr>
              <w:t>629</w:t>
            </w:r>
          </w:p>
        </w:tc>
      </w:tr>
      <w:tr w:rsidR="00E260BE" w:rsidRPr="00A52173" w14:paraId="0127A51F" w14:textId="77777777" w:rsidTr="00DB3494">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4F91A62"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23760196" w14:textId="77777777" w:rsidR="00E260BE" w:rsidRPr="00403F40" w:rsidRDefault="00E260BE" w:rsidP="00DB3494">
            <w:pPr>
              <w:tabs>
                <w:tab w:val="left" w:pos="1507"/>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KRUS</w:t>
            </w:r>
          </w:p>
        </w:tc>
      </w:tr>
      <w:tr w:rsidR="00E260BE" w:rsidRPr="00A52173" w14:paraId="2083F329" w14:textId="77777777" w:rsidTr="00DB3494">
        <w:trPr>
          <w:trHeight w:val="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8F650A1"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4C801D6F"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Rodzaj świadczenia</w:t>
            </w:r>
          </w:p>
        </w:tc>
        <w:tc>
          <w:tcPr>
            <w:tcW w:w="7942" w:type="dxa"/>
            <w:gridSpan w:val="5"/>
            <w:shd w:val="clear" w:color="auto" w:fill="9CC2E5" w:themeFill="accent1" w:themeFillTint="99"/>
          </w:tcPr>
          <w:p w14:paraId="69F614AC"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Przeciętna miesięczna liczba emerytów i rencistów (w tys.) – 61,4 tys.</w:t>
            </w:r>
          </w:p>
        </w:tc>
      </w:tr>
      <w:tr w:rsidR="00E260BE" w:rsidRPr="00A52173" w14:paraId="5925BA05" w14:textId="77777777" w:rsidTr="009B7D2E">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1143C39"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0056FF66"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Emerytury</w:t>
            </w:r>
          </w:p>
        </w:tc>
        <w:tc>
          <w:tcPr>
            <w:tcW w:w="7942" w:type="dxa"/>
            <w:gridSpan w:val="5"/>
            <w:shd w:val="clear" w:color="auto" w:fill="FFFFFF" w:themeFill="background1"/>
          </w:tcPr>
          <w:p w14:paraId="2490915F"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danych</w:t>
            </w:r>
          </w:p>
        </w:tc>
      </w:tr>
      <w:tr w:rsidR="00E260BE" w:rsidRPr="00A52173" w14:paraId="333F254B" w14:textId="77777777" w:rsidTr="009B7D2E">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75E315A"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39813E1"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Renty z tytułu niezdolności do pracy</w:t>
            </w:r>
          </w:p>
        </w:tc>
        <w:tc>
          <w:tcPr>
            <w:tcW w:w="7942" w:type="dxa"/>
            <w:gridSpan w:val="5"/>
            <w:shd w:val="clear" w:color="auto" w:fill="FFFFFF" w:themeFill="background1"/>
          </w:tcPr>
          <w:p w14:paraId="4C3F4B78" w14:textId="77777777" w:rsidR="00E260BE" w:rsidRPr="00403F40" w:rsidRDefault="00E260BE" w:rsidP="00DB349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danych</w:t>
            </w:r>
          </w:p>
        </w:tc>
      </w:tr>
      <w:tr w:rsidR="00E260BE" w:rsidRPr="00A52173" w14:paraId="58C9F06B" w14:textId="77777777" w:rsidTr="009B7D2E">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8867AE7"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7A259C6C"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Renty rodzinne</w:t>
            </w:r>
          </w:p>
        </w:tc>
        <w:tc>
          <w:tcPr>
            <w:tcW w:w="7942" w:type="dxa"/>
            <w:gridSpan w:val="5"/>
            <w:shd w:val="clear" w:color="auto" w:fill="FFFFFF" w:themeFill="background1"/>
          </w:tcPr>
          <w:p w14:paraId="0FEED765"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Brak danych</w:t>
            </w:r>
          </w:p>
        </w:tc>
      </w:tr>
      <w:tr w:rsidR="00E260BE" w:rsidRPr="00A52173" w14:paraId="1AC483BB" w14:textId="77777777" w:rsidTr="00DB3494">
        <w:trPr>
          <w:trHeight w:val="79"/>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56191196" w14:textId="77777777" w:rsidR="00E260BE" w:rsidRPr="00403F40" w:rsidRDefault="00E260BE" w:rsidP="00DB3494">
            <w:pPr>
              <w:spacing w:after="0" w:line="240" w:lineRule="auto"/>
              <w:jc w:val="center"/>
              <w:rPr>
                <w:rFonts w:ascii="Times New Roman" w:hAnsi="Times New Roman"/>
                <w:color w:val="auto"/>
              </w:rPr>
            </w:pPr>
            <w:r w:rsidRPr="00403F40">
              <w:rPr>
                <w:rFonts w:ascii="Times New Roman" w:hAnsi="Times New Roman"/>
                <w:color w:val="auto"/>
              </w:rPr>
              <w:t>SYTUACJA DOCHODOWA, WARUNKI BYTU, W TYM WARUNKI MIESZKANIOWE – DANE ZA 2019 R,</w:t>
            </w:r>
          </w:p>
        </w:tc>
      </w:tr>
      <w:tr w:rsidR="00E260BE" w:rsidRPr="00A52173" w14:paraId="5DD2161D" w14:textId="77777777" w:rsidTr="00403F40">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14741" w:type="dxa"/>
            <w:gridSpan w:val="9"/>
          </w:tcPr>
          <w:p w14:paraId="7FFE6769" w14:textId="77777777" w:rsidR="00E260BE" w:rsidRPr="00403F40" w:rsidRDefault="00DB3494" w:rsidP="00403F40">
            <w:pPr>
              <w:spacing w:after="0" w:line="240" w:lineRule="auto"/>
              <w:rPr>
                <w:rFonts w:ascii="Times New Roman" w:hAnsi="Times New Roman"/>
                <w:b w:val="0"/>
                <w:color w:val="auto"/>
              </w:rPr>
            </w:pPr>
            <w:r>
              <w:rPr>
                <w:rFonts w:ascii="Times New Roman" w:hAnsi="Times New Roman"/>
                <w:b w:val="0"/>
                <w:color w:val="auto"/>
              </w:rPr>
              <w:t>Brak opisu</w:t>
            </w:r>
          </w:p>
        </w:tc>
      </w:tr>
      <w:tr w:rsidR="00E260BE" w:rsidRPr="00A52173" w14:paraId="2C08E3C6" w14:textId="77777777" w:rsidTr="00DB3494">
        <w:trPr>
          <w:trHeight w:val="79"/>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5FA730D2" w14:textId="77777777" w:rsidR="00E260BE" w:rsidRPr="00403F40" w:rsidRDefault="00E260BE" w:rsidP="00DB3494">
            <w:pPr>
              <w:spacing w:after="0" w:line="240" w:lineRule="auto"/>
              <w:jc w:val="center"/>
              <w:rPr>
                <w:rFonts w:ascii="Times New Roman" w:hAnsi="Times New Roman"/>
                <w:color w:val="auto"/>
              </w:rPr>
            </w:pPr>
            <w:r w:rsidRPr="00403F40">
              <w:rPr>
                <w:rFonts w:ascii="Times New Roman" w:hAnsi="Times New Roman"/>
                <w:color w:val="auto"/>
              </w:rPr>
              <w:t>USŁUGI SPOŁECZNE DLA OSÓB STARSZYCH / INFRASTRUKTURA POMOCY SPOLECZNEJ – DANE ZA 2019 R.</w:t>
            </w:r>
          </w:p>
        </w:tc>
      </w:tr>
      <w:tr w:rsidR="00E260BE" w:rsidRPr="00A52173" w14:paraId="238B733A" w14:textId="77777777" w:rsidTr="009B7D2E">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C16E397"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r w:rsidRPr="00403F40">
              <w:rPr>
                <w:rFonts w:ascii="Times New Roman" w:eastAsia="Times New Roman" w:hAnsi="Times New Roman"/>
                <w:color w:val="auto"/>
                <w:lang w:eastAsia="pl-PL"/>
              </w:rPr>
              <w:t>Instytucje pomocy społecznej, w tym:</w:t>
            </w:r>
          </w:p>
        </w:tc>
        <w:tc>
          <w:tcPr>
            <w:tcW w:w="3066" w:type="dxa"/>
            <w:shd w:val="clear" w:color="auto" w:fill="9CC2E5" w:themeFill="accent1" w:themeFillTint="99"/>
          </w:tcPr>
          <w:p w14:paraId="45260EB1"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403F40">
              <w:rPr>
                <w:rFonts w:ascii="Times New Roman" w:hAnsi="Times New Roman"/>
                <w:b/>
                <w:color w:val="auto"/>
              </w:rPr>
              <w:t>Rodzaj placówki</w:t>
            </w:r>
          </w:p>
        </w:tc>
        <w:tc>
          <w:tcPr>
            <w:tcW w:w="2948" w:type="dxa"/>
            <w:gridSpan w:val="3"/>
            <w:shd w:val="clear" w:color="auto" w:fill="9CC2E5" w:themeFill="accent1" w:themeFillTint="99"/>
          </w:tcPr>
          <w:p w14:paraId="600E796F"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403F40">
              <w:rPr>
                <w:rFonts w:ascii="Times New Roman" w:hAnsi="Times New Roman"/>
                <w:b/>
                <w:color w:val="auto"/>
              </w:rPr>
              <w:t>Liczba placówek</w:t>
            </w:r>
          </w:p>
        </w:tc>
        <w:tc>
          <w:tcPr>
            <w:tcW w:w="2948" w:type="dxa"/>
            <w:gridSpan w:val="3"/>
            <w:shd w:val="clear" w:color="auto" w:fill="9CC2E5" w:themeFill="accent1" w:themeFillTint="99"/>
          </w:tcPr>
          <w:p w14:paraId="26558F10"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403F40">
              <w:rPr>
                <w:rFonts w:ascii="Times New Roman" w:hAnsi="Times New Roman"/>
                <w:b/>
                <w:color w:val="auto"/>
              </w:rPr>
              <w:t>Liczba miejsc dla osób starszych</w:t>
            </w:r>
          </w:p>
        </w:tc>
        <w:tc>
          <w:tcPr>
            <w:tcW w:w="2949" w:type="dxa"/>
            <w:shd w:val="clear" w:color="auto" w:fill="9CC2E5" w:themeFill="accent1" w:themeFillTint="99"/>
          </w:tcPr>
          <w:p w14:paraId="3B5E1654" w14:textId="77777777" w:rsidR="00E260BE" w:rsidRPr="00403F40" w:rsidRDefault="00E260BE" w:rsidP="00DB349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korzystających osób starszych</w:t>
            </w:r>
          </w:p>
        </w:tc>
      </w:tr>
      <w:tr w:rsidR="00E260BE" w:rsidRPr="00A52173" w14:paraId="07A68940" w14:textId="77777777" w:rsidTr="009B7D2E">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7D04253"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tcPr>
          <w:p w14:paraId="4B8D4437"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Ośrodki wsparcia ogółem</w:t>
            </w:r>
          </w:p>
        </w:tc>
        <w:tc>
          <w:tcPr>
            <w:tcW w:w="2948" w:type="dxa"/>
            <w:gridSpan w:val="3"/>
          </w:tcPr>
          <w:p w14:paraId="057ED890"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151</w:t>
            </w:r>
          </w:p>
        </w:tc>
        <w:tc>
          <w:tcPr>
            <w:tcW w:w="2948" w:type="dxa"/>
            <w:gridSpan w:val="3"/>
          </w:tcPr>
          <w:p w14:paraId="6E46B2F9"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6 808</w:t>
            </w:r>
          </w:p>
        </w:tc>
        <w:tc>
          <w:tcPr>
            <w:tcW w:w="2949" w:type="dxa"/>
          </w:tcPr>
          <w:p w14:paraId="294CF02C"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8 679</w:t>
            </w:r>
          </w:p>
        </w:tc>
      </w:tr>
      <w:tr w:rsidR="00E260BE" w:rsidRPr="00A52173" w14:paraId="35FD7A37" w14:textId="77777777" w:rsidTr="009B7D2E">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AEC17BF"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11911" w:type="dxa"/>
            <w:gridSpan w:val="8"/>
            <w:shd w:val="clear" w:color="auto" w:fill="9CC2E5" w:themeFill="accent1" w:themeFillTint="99"/>
          </w:tcPr>
          <w:p w14:paraId="6E57B667"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color w:val="auto"/>
              </w:rPr>
              <w:t>w tym:</w:t>
            </w:r>
          </w:p>
        </w:tc>
      </w:tr>
      <w:tr w:rsidR="00E260BE" w:rsidRPr="00A52173" w14:paraId="3643A4D8" w14:textId="77777777" w:rsidTr="009B7D2E">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8465FEE"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1EDB0009"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Środowiskowe Domy Samopomocy</w:t>
            </w:r>
          </w:p>
        </w:tc>
        <w:tc>
          <w:tcPr>
            <w:tcW w:w="2948" w:type="dxa"/>
            <w:gridSpan w:val="3"/>
            <w:shd w:val="clear" w:color="auto" w:fill="FFFFFF" w:themeFill="background1"/>
          </w:tcPr>
          <w:p w14:paraId="529D1330"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38</w:t>
            </w:r>
          </w:p>
        </w:tc>
        <w:tc>
          <w:tcPr>
            <w:tcW w:w="2948" w:type="dxa"/>
            <w:gridSpan w:val="3"/>
            <w:shd w:val="clear" w:color="auto" w:fill="FFFFFF" w:themeFill="background1"/>
          </w:tcPr>
          <w:p w14:paraId="6EF601EF"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1 116</w:t>
            </w:r>
          </w:p>
        </w:tc>
        <w:tc>
          <w:tcPr>
            <w:tcW w:w="2949" w:type="dxa"/>
            <w:shd w:val="clear" w:color="auto" w:fill="FFFFFF" w:themeFill="background1"/>
          </w:tcPr>
          <w:p w14:paraId="6EB5246F"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516</w:t>
            </w:r>
          </w:p>
        </w:tc>
      </w:tr>
      <w:tr w:rsidR="00E260BE" w:rsidRPr="00A52173" w14:paraId="3625A9E2" w14:textId="77777777" w:rsidTr="009B7D2E">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C17C94F"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1792C98C"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Dzienne Domy Pomocy</w:t>
            </w:r>
          </w:p>
        </w:tc>
        <w:tc>
          <w:tcPr>
            <w:tcW w:w="2948" w:type="dxa"/>
            <w:gridSpan w:val="3"/>
            <w:shd w:val="clear" w:color="auto" w:fill="FFFFFF" w:themeFill="background1"/>
          </w:tcPr>
          <w:p w14:paraId="754ABE46"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3</w:t>
            </w:r>
          </w:p>
        </w:tc>
        <w:tc>
          <w:tcPr>
            <w:tcW w:w="2948" w:type="dxa"/>
            <w:gridSpan w:val="3"/>
            <w:shd w:val="clear" w:color="auto" w:fill="FFFFFF" w:themeFill="background1"/>
          </w:tcPr>
          <w:p w14:paraId="4F726908"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85</w:t>
            </w:r>
          </w:p>
        </w:tc>
        <w:tc>
          <w:tcPr>
            <w:tcW w:w="2949" w:type="dxa"/>
            <w:shd w:val="clear" w:color="auto" w:fill="FFFFFF" w:themeFill="background1"/>
          </w:tcPr>
          <w:p w14:paraId="73343D6E"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99</w:t>
            </w:r>
          </w:p>
        </w:tc>
      </w:tr>
      <w:tr w:rsidR="00E260BE" w:rsidRPr="00A52173" w14:paraId="2D6C18E4" w14:textId="77777777" w:rsidTr="009B7D2E">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DF325EE"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4030BB4"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Noclegownie, schroniska i domy dla osób bezdomnych</w:t>
            </w:r>
          </w:p>
        </w:tc>
        <w:tc>
          <w:tcPr>
            <w:tcW w:w="2948" w:type="dxa"/>
            <w:gridSpan w:val="3"/>
            <w:shd w:val="clear" w:color="auto" w:fill="FFFFFF" w:themeFill="background1"/>
          </w:tcPr>
          <w:p w14:paraId="13E4D5FB"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15</w:t>
            </w:r>
          </w:p>
        </w:tc>
        <w:tc>
          <w:tcPr>
            <w:tcW w:w="2948" w:type="dxa"/>
            <w:gridSpan w:val="3"/>
            <w:shd w:val="clear" w:color="auto" w:fill="FFFFFF" w:themeFill="background1"/>
          </w:tcPr>
          <w:p w14:paraId="4CF1ACA4"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398</w:t>
            </w:r>
          </w:p>
        </w:tc>
        <w:tc>
          <w:tcPr>
            <w:tcW w:w="2949" w:type="dxa"/>
            <w:shd w:val="clear" w:color="auto" w:fill="FFFFFF" w:themeFill="background1"/>
          </w:tcPr>
          <w:p w14:paraId="6E78DABB"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279</w:t>
            </w:r>
          </w:p>
        </w:tc>
      </w:tr>
      <w:tr w:rsidR="00E260BE" w:rsidRPr="00A52173" w14:paraId="2B2F7912" w14:textId="77777777" w:rsidTr="009B7D2E">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703BE78"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5AEBAB0"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Ogrzewalnie</w:t>
            </w:r>
          </w:p>
        </w:tc>
        <w:tc>
          <w:tcPr>
            <w:tcW w:w="2948" w:type="dxa"/>
            <w:gridSpan w:val="3"/>
            <w:shd w:val="clear" w:color="auto" w:fill="FFFFFF" w:themeFill="background1"/>
          </w:tcPr>
          <w:p w14:paraId="2B3CDB83"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3</w:t>
            </w:r>
          </w:p>
        </w:tc>
        <w:tc>
          <w:tcPr>
            <w:tcW w:w="2948" w:type="dxa"/>
            <w:gridSpan w:val="3"/>
            <w:shd w:val="clear" w:color="auto" w:fill="FFFFFF" w:themeFill="background1"/>
          </w:tcPr>
          <w:p w14:paraId="58BE07CE"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60</w:t>
            </w:r>
          </w:p>
        </w:tc>
        <w:tc>
          <w:tcPr>
            <w:tcW w:w="2949" w:type="dxa"/>
            <w:shd w:val="clear" w:color="auto" w:fill="FFFFFF" w:themeFill="background1"/>
          </w:tcPr>
          <w:p w14:paraId="0D3E542A"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295</w:t>
            </w:r>
          </w:p>
        </w:tc>
      </w:tr>
      <w:tr w:rsidR="00E260BE" w:rsidRPr="00A52173" w14:paraId="222D22B9" w14:textId="77777777" w:rsidTr="009B7D2E">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74468A7"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766FA296"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Kluby Samopomocy</w:t>
            </w:r>
          </w:p>
        </w:tc>
        <w:tc>
          <w:tcPr>
            <w:tcW w:w="2948" w:type="dxa"/>
            <w:gridSpan w:val="3"/>
            <w:shd w:val="clear" w:color="auto" w:fill="FFFFFF" w:themeFill="background1"/>
          </w:tcPr>
          <w:p w14:paraId="33BD3F1E"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16</w:t>
            </w:r>
          </w:p>
        </w:tc>
        <w:tc>
          <w:tcPr>
            <w:tcW w:w="2948" w:type="dxa"/>
            <w:gridSpan w:val="3"/>
            <w:shd w:val="clear" w:color="auto" w:fill="FFFFFF" w:themeFill="background1"/>
          </w:tcPr>
          <w:p w14:paraId="7E2B27A7"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457</w:t>
            </w:r>
          </w:p>
        </w:tc>
        <w:tc>
          <w:tcPr>
            <w:tcW w:w="2949" w:type="dxa"/>
            <w:shd w:val="clear" w:color="auto" w:fill="FFFFFF" w:themeFill="background1"/>
          </w:tcPr>
          <w:p w14:paraId="589D35FD"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3 315</w:t>
            </w:r>
          </w:p>
        </w:tc>
      </w:tr>
      <w:tr w:rsidR="00E260BE" w:rsidRPr="00A52173" w14:paraId="5FF88911" w14:textId="77777777" w:rsidTr="009B7D2E">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899D7B1"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00F47BE5"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 xml:space="preserve">Placówki zapewniające całodobową opiekę osobom niepełnosprawnym, przewlekle </w:t>
            </w:r>
            <w:r w:rsidRPr="00403F40">
              <w:rPr>
                <w:rFonts w:ascii="Times New Roman" w:hAnsi="Times New Roman"/>
                <w:color w:val="auto"/>
              </w:rPr>
              <w:lastRenderedPageBreak/>
              <w:t>chorym lub osobom w podeszłym wieku</w:t>
            </w:r>
          </w:p>
        </w:tc>
        <w:tc>
          <w:tcPr>
            <w:tcW w:w="2948" w:type="dxa"/>
            <w:gridSpan w:val="3"/>
            <w:shd w:val="clear" w:color="auto" w:fill="FFFFFF" w:themeFill="background1"/>
          </w:tcPr>
          <w:p w14:paraId="3E41A475"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lastRenderedPageBreak/>
              <w:t>16</w:t>
            </w:r>
          </w:p>
        </w:tc>
        <w:tc>
          <w:tcPr>
            <w:tcW w:w="2948" w:type="dxa"/>
            <w:gridSpan w:val="3"/>
            <w:shd w:val="clear" w:color="auto" w:fill="FFFFFF" w:themeFill="background1"/>
          </w:tcPr>
          <w:p w14:paraId="774EF30B"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664</w:t>
            </w:r>
          </w:p>
        </w:tc>
        <w:tc>
          <w:tcPr>
            <w:tcW w:w="2949" w:type="dxa"/>
            <w:shd w:val="clear" w:color="auto" w:fill="FFFFFF" w:themeFill="background1"/>
          </w:tcPr>
          <w:p w14:paraId="2ACEF0CC"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630</w:t>
            </w:r>
          </w:p>
        </w:tc>
      </w:tr>
      <w:tr w:rsidR="00E260BE" w:rsidRPr="00A52173" w14:paraId="0AA18C0E" w14:textId="77777777" w:rsidTr="009B7D2E">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CAF2B8A"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47262938"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Domy Pomocy Społecznej</w:t>
            </w:r>
          </w:p>
        </w:tc>
        <w:tc>
          <w:tcPr>
            <w:tcW w:w="2948" w:type="dxa"/>
            <w:gridSpan w:val="3"/>
            <w:shd w:val="clear" w:color="auto" w:fill="FFFFFF" w:themeFill="background1"/>
          </w:tcPr>
          <w:p w14:paraId="1E082C40"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43</w:t>
            </w:r>
          </w:p>
        </w:tc>
        <w:tc>
          <w:tcPr>
            <w:tcW w:w="2948" w:type="dxa"/>
            <w:gridSpan w:val="3"/>
            <w:shd w:val="clear" w:color="auto" w:fill="FFFFFF" w:themeFill="background1"/>
          </w:tcPr>
          <w:p w14:paraId="3A966419"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3 846</w:t>
            </w:r>
          </w:p>
        </w:tc>
        <w:tc>
          <w:tcPr>
            <w:tcW w:w="2949" w:type="dxa"/>
            <w:shd w:val="clear" w:color="auto" w:fill="FFFFFF" w:themeFill="background1"/>
          </w:tcPr>
          <w:p w14:paraId="368AEC8C"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3 440</w:t>
            </w:r>
          </w:p>
        </w:tc>
      </w:tr>
      <w:tr w:rsidR="00E260BE" w:rsidRPr="00A52173" w14:paraId="0070606E" w14:textId="77777777" w:rsidTr="009B7D2E">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86BCB7"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3602AB32"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Mieszkania chronione ogółem</w:t>
            </w:r>
          </w:p>
        </w:tc>
        <w:tc>
          <w:tcPr>
            <w:tcW w:w="2948" w:type="dxa"/>
            <w:gridSpan w:val="3"/>
            <w:shd w:val="clear" w:color="auto" w:fill="FFFFFF" w:themeFill="background1"/>
          </w:tcPr>
          <w:p w14:paraId="1F6E7A9A"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17</w:t>
            </w:r>
          </w:p>
        </w:tc>
        <w:tc>
          <w:tcPr>
            <w:tcW w:w="2948" w:type="dxa"/>
            <w:gridSpan w:val="3"/>
            <w:shd w:val="clear" w:color="auto" w:fill="FFFFFF" w:themeFill="background1"/>
          </w:tcPr>
          <w:p w14:paraId="6C622CD3"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182</w:t>
            </w:r>
          </w:p>
        </w:tc>
        <w:tc>
          <w:tcPr>
            <w:tcW w:w="2949" w:type="dxa"/>
            <w:shd w:val="clear" w:color="auto" w:fill="FFFFFF" w:themeFill="background1"/>
          </w:tcPr>
          <w:p w14:paraId="0D5E946A"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105</w:t>
            </w:r>
          </w:p>
        </w:tc>
      </w:tr>
      <w:tr w:rsidR="00E260BE" w:rsidRPr="00A52173" w14:paraId="6801AE91" w14:textId="77777777" w:rsidTr="009B7D2E">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301F18"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3B25D255"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Ośrodki Interwencji Kryzysowej ogółem</w:t>
            </w:r>
          </w:p>
        </w:tc>
        <w:tc>
          <w:tcPr>
            <w:tcW w:w="2948" w:type="dxa"/>
            <w:gridSpan w:val="3"/>
            <w:shd w:val="clear" w:color="auto" w:fill="FFFFFF" w:themeFill="background1"/>
          </w:tcPr>
          <w:p w14:paraId="3502DA93"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6 (dla wszystkich)</w:t>
            </w:r>
          </w:p>
        </w:tc>
        <w:tc>
          <w:tcPr>
            <w:tcW w:w="2948" w:type="dxa"/>
            <w:gridSpan w:val="3"/>
            <w:shd w:val="clear" w:color="auto" w:fill="FFFFFF" w:themeFill="background1"/>
          </w:tcPr>
          <w:p w14:paraId="49880F1F"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Tego typu dane nie są gromadzone</w:t>
            </w:r>
          </w:p>
        </w:tc>
        <w:tc>
          <w:tcPr>
            <w:tcW w:w="2949" w:type="dxa"/>
            <w:shd w:val="clear" w:color="auto" w:fill="FFFFFF" w:themeFill="background1"/>
          </w:tcPr>
          <w:p w14:paraId="03B8EA50"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Tego typu dane nie są gromadzone</w:t>
            </w:r>
          </w:p>
        </w:tc>
      </w:tr>
      <w:tr w:rsidR="00E260BE" w:rsidRPr="00A52173" w14:paraId="7373CF88" w14:textId="77777777" w:rsidTr="009B7D2E">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392D0A9"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25BB105"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Jednostki specjalistycznego poradnictwa</w:t>
            </w:r>
          </w:p>
        </w:tc>
        <w:tc>
          <w:tcPr>
            <w:tcW w:w="2948" w:type="dxa"/>
            <w:gridSpan w:val="3"/>
            <w:shd w:val="clear" w:color="auto" w:fill="FFFFFF" w:themeFill="background1"/>
          </w:tcPr>
          <w:p w14:paraId="22A2ED8D"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33 (dla wszystkich)</w:t>
            </w:r>
          </w:p>
        </w:tc>
        <w:tc>
          <w:tcPr>
            <w:tcW w:w="2948" w:type="dxa"/>
            <w:gridSpan w:val="3"/>
            <w:shd w:val="clear" w:color="auto" w:fill="FFFFFF" w:themeFill="background1"/>
          </w:tcPr>
          <w:p w14:paraId="5F8000CE"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Tego typu dane nie są gromadzone</w:t>
            </w:r>
          </w:p>
        </w:tc>
        <w:tc>
          <w:tcPr>
            <w:tcW w:w="2949" w:type="dxa"/>
            <w:shd w:val="clear" w:color="auto" w:fill="FFFFFF" w:themeFill="background1"/>
          </w:tcPr>
          <w:p w14:paraId="4CABBCB8"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Tego typu dane nie są gromadzone</w:t>
            </w:r>
          </w:p>
        </w:tc>
      </w:tr>
      <w:tr w:rsidR="00E260BE" w:rsidRPr="00A52173" w14:paraId="7614F4F7" w14:textId="77777777" w:rsidTr="009B7D2E">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B7099CC"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09C908F8"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Placówki Senior+, w tym:</w:t>
            </w:r>
          </w:p>
        </w:tc>
        <w:tc>
          <w:tcPr>
            <w:tcW w:w="8845" w:type="dxa"/>
            <w:gridSpan w:val="7"/>
            <w:shd w:val="clear" w:color="auto" w:fill="FFFFFF" w:themeFill="background1"/>
          </w:tcPr>
          <w:p w14:paraId="0069CE1E"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tc>
      </w:tr>
      <w:tr w:rsidR="00E260BE" w:rsidRPr="00A52173" w14:paraId="1DD2CFD6" w14:textId="77777777" w:rsidTr="009B7D2E">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D069E0C"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1E9ED08"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Domy Dziennego Pobytu</w:t>
            </w:r>
          </w:p>
        </w:tc>
        <w:tc>
          <w:tcPr>
            <w:tcW w:w="2948" w:type="dxa"/>
            <w:gridSpan w:val="3"/>
            <w:shd w:val="clear" w:color="auto" w:fill="FFFFFF" w:themeFill="background1"/>
          </w:tcPr>
          <w:p w14:paraId="26370800"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12</w:t>
            </w:r>
          </w:p>
        </w:tc>
        <w:tc>
          <w:tcPr>
            <w:tcW w:w="2948" w:type="dxa"/>
            <w:gridSpan w:val="3"/>
            <w:shd w:val="clear" w:color="auto" w:fill="FFFFFF" w:themeFill="background1"/>
          </w:tcPr>
          <w:p w14:paraId="283AB567"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278</w:t>
            </w:r>
          </w:p>
        </w:tc>
        <w:tc>
          <w:tcPr>
            <w:tcW w:w="2949" w:type="dxa"/>
            <w:shd w:val="clear" w:color="auto" w:fill="FFFFFF" w:themeFill="background1"/>
          </w:tcPr>
          <w:p w14:paraId="6F4DFC3E"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237</w:t>
            </w:r>
          </w:p>
        </w:tc>
      </w:tr>
      <w:tr w:rsidR="00E260BE" w:rsidRPr="00A52173" w14:paraId="3774551B" w14:textId="77777777" w:rsidTr="009B7D2E">
        <w:trPr>
          <w:trHeight w:val="85"/>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B7BFB37"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1E6148D8"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Kluby Senior+</w:t>
            </w:r>
          </w:p>
        </w:tc>
        <w:tc>
          <w:tcPr>
            <w:tcW w:w="2948" w:type="dxa"/>
            <w:gridSpan w:val="3"/>
            <w:shd w:val="clear" w:color="auto" w:fill="FFFFFF" w:themeFill="background1"/>
          </w:tcPr>
          <w:p w14:paraId="15345479"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30</w:t>
            </w:r>
          </w:p>
        </w:tc>
        <w:tc>
          <w:tcPr>
            <w:tcW w:w="2948" w:type="dxa"/>
            <w:gridSpan w:val="3"/>
            <w:shd w:val="clear" w:color="auto" w:fill="FFFFFF" w:themeFill="background1"/>
          </w:tcPr>
          <w:p w14:paraId="13995CCF"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687</w:t>
            </w:r>
          </w:p>
        </w:tc>
        <w:tc>
          <w:tcPr>
            <w:tcW w:w="2949" w:type="dxa"/>
            <w:shd w:val="clear" w:color="auto" w:fill="FFFFFF" w:themeFill="background1"/>
          </w:tcPr>
          <w:p w14:paraId="7D8A232C" w14:textId="77777777" w:rsidR="00E260BE" w:rsidRPr="009B7D2E"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1248</w:t>
            </w:r>
          </w:p>
        </w:tc>
      </w:tr>
      <w:tr w:rsidR="00E260BE" w:rsidRPr="00A52173" w14:paraId="06A995F4" w14:textId="77777777" w:rsidTr="009B7D2E">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4F1CC0C" w14:textId="77777777" w:rsidR="00E260BE" w:rsidRPr="00403F40" w:rsidRDefault="00E260BE" w:rsidP="00403F40">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4B2D96AA"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Hospicja stacjonarne</w:t>
            </w:r>
          </w:p>
        </w:tc>
        <w:tc>
          <w:tcPr>
            <w:tcW w:w="2948" w:type="dxa"/>
            <w:gridSpan w:val="3"/>
            <w:shd w:val="clear" w:color="auto" w:fill="FFFFFF" w:themeFill="background1"/>
          </w:tcPr>
          <w:p w14:paraId="2EF9DB57"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9</w:t>
            </w:r>
          </w:p>
        </w:tc>
        <w:tc>
          <w:tcPr>
            <w:tcW w:w="2948" w:type="dxa"/>
            <w:gridSpan w:val="3"/>
            <w:shd w:val="clear" w:color="auto" w:fill="FFFFFF" w:themeFill="background1"/>
          </w:tcPr>
          <w:p w14:paraId="42605B71"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150</w:t>
            </w:r>
          </w:p>
        </w:tc>
        <w:tc>
          <w:tcPr>
            <w:tcW w:w="2949" w:type="dxa"/>
            <w:shd w:val="clear" w:color="auto" w:fill="FFFFFF" w:themeFill="background1"/>
          </w:tcPr>
          <w:p w14:paraId="05A0D8CB" w14:textId="77777777" w:rsidR="00E260BE" w:rsidRPr="009B7D2E"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color w:val="auto"/>
              </w:rPr>
              <w:t>1 375</w:t>
            </w:r>
          </w:p>
        </w:tc>
      </w:tr>
      <w:tr w:rsidR="00E260BE" w:rsidRPr="00A52173" w14:paraId="065E5F5E" w14:textId="77777777" w:rsidTr="009B7D2E">
        <w:trPr>
          <w:trHeight w:val="119"/>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2EA5994"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r w:rsidRPr="00403F40">
              <w:rPr>
                <w:rFonts w:ascii="Times New Roman" w:eastAsia="Times New Roman" w:hAnsi="Times New Roman"/>
                <w:color w:val="auto"/>
                <w:lang w:eastAsia="pl-PL"/>
              </w:rPr>
              <w:t>Usługi świadczone osobom starszym</w:t>
            </w:r>
          </w:p>
        </w:tc>
        <w:tc>
          <w:tcPr>
            <w:tcW w:w="3119" w:type="dxa"/>
            <w:gridSpan w:val="2"/>
            <w:shd w:val="clear" w:color="auto" w:fill="9CC2E5" w:themeFill="accent1" w:themeFillTint="99"/>
          </w:tcPr>
          <w:p w14:paraId="637B557C" w14:textId="77777777" w:rsidR="00E260BE" w:rsidRPr="00403F40"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Rodzaj usług</w:t>
            </w:r>
          </w:p>
        </w:tc>
        <w:tc>
          <w:tcPr>
            <w:tcW w:w="3685" w:type="dxa"/>
            <w:gridSpan w:val="3"/>
            <w:shd w:val="clear" w:color="auto" w:fill="9CC2E5" w:themeFill="accent1" w:themeFillTint="99"/>
          </w:tcPr>
          <w:p w14:paraId="0D8B6445" w14:textId="77777777" w:rsidR="00E260BE" w:rsidRPr="00403F40"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osób starszych objętych pomocą</w:t>
            </w:r>
          </w:p>
        </w:tc>
        <w:tc>
          <w:tcPr>
            <w:tcW w:w="5107" w:type="dxa"/>
            <w:gridSpan w:val="3"/>
            <w:shd w:val="clear" w:color="auto" w:fill="9CC2E5" w:themeFill="accent1" w:themeFillTint="99"/>
          </w:tcPr>
          <w:p w14:paraId="379265F6" w14:textId="77777777" w:rsidR="00E260BE" w:rsidRPr="00403F40"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Wysokość środków przeznaczonych na usługi</w:t>
            </w:r>
          </w:p>
        </w:tc>
      </w:tr>
      <w:tr w:rsidR="00E260BE" w:rsidRPr="00A52173" w14:paraId="6F75CCDF" w14:textId="77777777" w:rsidTr="0055325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D7D5A2F"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119" w:type="dxa"/>
            <w:gridSpan w:val="2"/>
            <w:shd w:val="clear" w:color="auto" w:fill="auto"/>
          </w:tcPr>
          <w:p w14:paraId="7CF9B063" w14:textId="01441136" w:rsidR="00E260BE" w:rsidRPr="00403F40" w:rsidRDefault="00553257"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Usługi o</w:t>
            </w:r>
            <w:r w:rsidR="00E260BE" w:rsidRPr="00403F40">
              <w:rPr>
                <w:rFonts w:ascii="Times New Roman" w:hAnsi="Times New Roman"/>
                <w:color w:val="auto"/>
              </w:rPr>
              <w:t>piekuńcze ogółem</w:t>
            </w:r>
          </w:p>
        </w:tc>
        <w:tc>
          <w:tcPr>
            <w:tcW w:w="3685" w:type="dxa"/>
            <w:gridSpan w:val="3"/>
            <w:shd w:val="clear" w:color="auto" w:fill="auto"/>
          </w:tcPr>
          <w:p w14:paraId="11F0B4C9" w14:textId="77777777" w:rsidR="00E260BE" w:rsidRPr="00403F40"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4</w:t>
            </w:r>
            <w:r w:rsidR="00546D47" w:rsidRPr="00403F40">
              <w:rPr>
                <w:rFonts w:ascii="Times New Roman" w:hAnsi="Times New Roman"/>
                <w:color w:val="auto"/>
              </w:rPr>
              <w:t xml:space="preserve"> </w:t>
            </w:r>
            <w:r w:rsidRPr="00403F40">
              <w:rPr>
                <w:rFonts w:ascii="Times New Roman" w:hAnsi="Times New Roman"/>
                <w:color w:val="auto"/>
              </w:rPr>
              <w:t>214</w:t>
            </w:r>
          </w:p>
        </w:tc>
        <w:tc>
          <w:tcPr>
            <w:tcW w:w="5107" w:type="dxa"/>
            <w:gridSpan w:val="3"/>
            <w:shd w:val="clear" w:color="auto" w:fill="auto"/>
          </w:tcPr>
          <w:p w14:paraId="5A544F5F" w14:textId="77777777" w:rsidR="00E260BE" w:rsidRPr="00403F40"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35 041 624</w:t>
            </w:r>
          </w:p>
        </w:tc>
      </w:tr>
      <w:tr w:rsidR="009B7D2E" w:rsidRPr="00A52173" w14:paraId="50FC13C2" w14:textId="77777777" w:rsidTr="009B7D2E">
        <w:trPr>
          <w:trHeight w:val="118"/>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5416D4B" w14:textId="77777777" w:rsidR="009B7D2E" w:rsidRPr="00403F40" w:rsidRDefault="009B7D2E" w:rsidP="00403F40">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0A0A877A" w14:textId="77777777" w:rsidR="009B7D2E" w:rsidRPr="00403F40" w:rsidRDefault="009B7D2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w tym:</w:t>
            </w:r>
          </w:p>
        </w:tc>
      </w:tr>
      <w:tr w:rsidR="00E260BE" w:rsidRPr="00A52173" w14:paraId="1FFC1A76" w14:textId="77777777" w:rsidTr="0055325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18EDB68"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119" w:type="dxa"/>
            <w:gridSpan w:val="2"/>
            <w:shd w:val="clear" w:color="auto" w:fill="auto"/>
          </w:tcPr>
          <w:p w14:paraId="10840E22" w14:textId="223A93FB" w:rsidR="00E260BE" w:rsidRPr="00403F40" w:rsidRDefault="00553257"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E260BE" w:rsidRPr="00403F40">
              <w:rPr>
                <w:rFonts w:ascii="Times New Roman" w:hAnsi="Times New Roman"/>
                <w:color w:val="auto"/>
              </w:rPr>
              <w:t xml:space="preserve">pecjalistyczne </w:t>
            </w:r>
            <w:r>
              <w:rPr>
                <w:rFonts w:ascii="Times New Roman" w:hAnsi="Times New Roman"/>
                <w:color w:val="auto"/>
              </w:rPr>
              <w:t xml:space="preserve">usługi </w:t>
            </w:r>
            <w:r w:rsidR="00E260BE" w:rsidRPr="00403F40">
              <w:rPr>
                <w:rFonts w:ascii="Times New Roman" w:hAnsi="Times New Roman"/>
                <w:color w:val="auto"/>
              </w:rPr>
              <w:t>opiekuńcze</w:t>
            </w:r>
          </w:p>
        </w:tc>
        <w:tc>
          <w:tcPr>
            <w:tcW w:w="3685" w:type="dxa"/>
            <w:gridSpan w:val="3"/>
            <w:shd w:val="clear" w:color="auto" w:fill="FFFFFF" w:themeFill="background1"/>
          </w:tcPr>
          <w:p w14:paraId="351EF0D0" w14:textId="77777777" w:rsidR="00E260BE" w:rsidRPr="00403F40"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285</w:t>
            </w:r>
          </w:p>
        </w:tc>
        <w:tc>
          <w:tcPr>
            <w:tcW w:w="5107" w:type="dxa"/>
            <w:gridSpan w:val="3"/>
            <w:shd w:val="clear" w:color="auto" w:fill="FFFFFF" w:themeFill="background1"/>
          </w:tcPr>
          <w:p w14:paraId="7F0939D2" w14:textId="77777777" w:rsidR="00E260BE" w:rsidRPr="00403F40"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1 386 326</w:t>
            </w:r>
          </w:p>
        </w:tc>
      </w:tr>
      <w:tr w:rsidR="00E260BE" w:rsidRPr="00A52173" w14:paraId="46090FC9" w14:textId="77777777" w:rsidTr="009B7D2E">
        <w:trPr>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58FED5F"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1D921A73" w14:textId="5137D943" w:rsidR="00E260BE" w:rsidRPr="00403F40" w:rsidRDefault="00553257"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E260BE" w:rsidRPr="00403F40">
              <w:rPr>
                <w:rFonts w:ascii="Times New Roman" w:hAnsi="Times New Roman"/>
                <w:color w:val="auto"/>
              </w:rPr>
              <w:t xml:space="preserve">pecjalistyczne usługi </w:t>
            </w:r>
            <w:r>
              <w:rPr>
                <w:rFonts w:ascii="Times New Roman" w:hAnsi="Times New Roman"/>
                <w:color w:val="auto"/>
              </w:rPr>
              <w:t xml:space="preserve">opiekuńcze w miejscu zamieszkania </w:t>
            </w:r>
            <w:r w:rsidR="00E260BE" w:rsidRPr="00403F40">
              <w:rPr>
                <w:rFonts w:ascii="Times New Roman" w:hAnsi="Times New Roman"/>
                <w:color w:val="auto"/>
              </w:rPr>
              <w:t>dla osób z zaburzeniami psychicznymi</w:t>
            </w:r>
          </w:p>
        </w:tc>
        <w:tc>
          <w:tcPr>
            <w:tcW w:w="3685" w:type="dxa"/>
            <w:gridSpan w:val="3"/>
            <w:shd w:val="clear" w:color="auto" w:fill="FFFFFF" w:themeFill="background1"/>
          </w:tcPr>
          <w:p w14:paraId="090D6574" w14:textId="77777777" w:rsidR="00E260BE" w:rsidRPr="00403F40"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633</w:t>
            </w:r>
          </w:p>
        </w:tc>
        <w:tc>
          <w:tcPr>
            <w:tcW w:w="5107" w:type="dxa"/>
            <w:gridSpan w:val="3"/>
            <w:shd w:val="clear" w:color="auto" w:fill="FFFFFF" w:themeFill="background1"/>
          </w:tcPr>
          <w:p w14:paraId="61F9C50B" w14:textId="77777777" w:rsidR="00E260BE" w:rsidRPr="00403F40"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3 978 835</w:t>
            </w:r>
          </w:p>
        </w:tc>
      </w:tr>
      <w:tr w:rsidR="00E260BE" w:rsidRPr="00A52173" w14:paraId="2DFA0A6F" w14:textId="77777777" w:rsidTr="009B7D2E">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4AF7539"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r w:rsidRPr="00403F40">
              <w:rPr>
                <w:rFonts w:ascii="Times New Roman" w:eastAsia="Times New Roman" w:hAnsi="Times New Roman"/>
                <w:color w:val="auto"/>
                <w:lang w:eastAsia="pl-PL"/>
              </w:rPr>
              <w:t>Świadczenia pieniężne przyznane osobom starszym</w:t>
            </w:r>
          </w:p>
        </w:tc>
        <w:tc>
          <w:tcPr>
            <w:tcW w:w="3119" w:type="dxa"/>
            <w:gridSpan w:val="2"/>
            <w:shd w:val="clear" w:color="auto" w:fill="9CC2E5" w:themeFill="accent1" w:themeFillTint="99"/>
          </w:tcPr>
          <w:p w14:paraId="3A30F86E" w14:textId="77777777" w:rsidR="00E260BE" w:rsidRPr="00403F40"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Nazwa świadczenia</w:t>
            </w:r>
          </w:p>
        </w:tc>
        <w:tc>
          <w:tcPr>
            <w:tcW w:w="3685" w:type="dxa"/>
            <w:gridSpan w:val="3"/>
            <w:shd w:val="clear" w:color="auto" w:fill="9CC2E5" w:themeFill="accent1" w:themeFillTint="99"/>
          </w:tcPr>
          <w:p w14:paraId="03B75CF2" w14:textId="77777777" w:rsidR="00E260BE" w:rsidRPr="00403F40"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Liczba osób starszych</w:t>
            </w:r>
          </w:p>
        </w:tc>
        <w:tc>
          <w:tcPr>
            <w:tcW w:w="5107" w:type="dxa"/>
            <w:gridSpan w:val="3"/>
            <w:shd w:val="clear" w:color="auto" w:fill="9CC2E5" w:themeFill="accent1" w:themeFillTint="99"/>
          </w:tcPr>
          <w:p w14:paraId="2C75603F" w14:textId="77777777" w:rsidR="00E260BE" w:rsidRPr="00403F40"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403F40">
              <w:rPr>
                <w:rFonts w:ascii="Times New Roman" w:hAnsi="Times New Roman"/>
                <w:b/>
                <w:color w:val="auto"/>
              </w:rPr>
              <w:t>Kwota świadczenia</w:t>
            </w:r>
          </w:p>
        </w:tc>
      </w:tr>
      <w:tr w:rsidR="00E260BE" w:rsidRPr="00A52173" w14:paraId="62272A2D" w14:textId="77777777" w:rsidTr="009B7D2E">
        <w:trPr>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C6F0AFB"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7B052409"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Zasiłek stały</w:t>
            </w:r>
          </w:p>
        </w:tc>
        <w:tc>
          <w:tcPr>
            <w:tcW w:w="3685" w:type="dxa"/>
            <w:gridSpan w:val="3"/>
            <w:shd w:val="clear" w:color="auto" w:fill="FFFFFF" w:themeFill="background1"/>
          </w:tcPr>
          <w:p w14:paraId="0F4459FE" w14:textId="77777777" w:rsidR="00E260BE" w:rsidRPr="00403F40"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2 979</w:t>
            </w:r>
          </w:p>
        </w:tc>
        <w:tc>
          <w:tcPr>
            <w:tcW w:w="5107" w:type="dxa"/>
            <w:gridSpan w:val="3"/>
            <w:shd w:val="clear" w:color="auto" w:fill="FFFFFF" w:themeFill="background1"/>
          </w:tcPr>
          <w:p w14:paraId="4C3D2E54" w14:textId="77777777" w:rsidR="00E260BE" w:rsidRPr="00403F40"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16 618 434</w:t>
            </w:r>
          </w:p>
        </w:tc>
      </w:tr>
      <w:tr w:rsidR="00E260BE" w:rsidRPr="00A52173" w14:paraId="14FE9F7B" w14:textId="77777777" w:rsidTr="009B7D2E">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389DC23"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2ACEF1C0"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Zasiłek okresowy</w:t>
            </w:r>
          </w:p>
        </w:tc>
        <w:tc>
          <w:tcPr>
            <w:tcW w:w="3685" w:type="dxa"/>
            <w:gridSpan w:val="3"/>
            <w:shd w:val="clear" w:color="auto" w:fill="FFFFFF" w:themeFill="background1"/>
          </w:tcPr>
          <w:p w14:paraId="601D0DB8" w14:textId="77777777" w:rsidR="00E260BE" w:rsidRPr="00403F40"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1 121</w:t>
            </w:r>
          </w:p>
        </w:tc>
        <w:tc>
          <w:tcPr>
            <w:tcW w:w="5107" w:type="dxa"/>
            <w:gridSpan w:val="3"/>
            <w:shd w:val="clear" w:color="auto" w:fill="FFFFFF" w:themeFill="background1"/>
          </w:tcPr>
          <w:p w14:paraId="55A423CF" w14:textId="77777777" w:rsidR="00E260BE" w:rsidRPr="00403F40"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2 006 493</w:t>
            </w:r>
          </w:p>
        </w:tc>
      </w:tr>
      <w:tr w:rsidR="00E260BE" w:rsidRPr="00A52173" w14:paraId="6A5D2279" w14:textId="77777777" w:rsidTr="009B7D2E">
        <w:trPr>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738FF03"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309BDAF3"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Zasiłek celowy</w:t>
            </w:r>
          </w:p>
        </w:tc>
        <w:tc>
          <w:tcPr>
            <w:tcW w:w="3685" w:type="dxa"/>
            <w:gridSpan w:val="3"/>
            <w:shd w:val="clear" w:color="auto" w:fill="FFFFFF" w:themeFill="background1"/>
          </w:tcPr>
          <w:p w14:paraId="662B7358" w14:textId="77777777" w:rsidR="00E260BE" w:rsidRPr="00403F40"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2 368</w:t>
            </w:r>
          </w:p>
        </w:tc>
        <w:tc>
          <w:tcPr>
            <w:tcW w:w="5107" w:type="dxa"/>
            <w:gridSpan w:val="3"/>
            <w:shd w:val="clear" w:color="auto" w:fill="FFFFFF" w:themeFill="background1"/>
          </w:tcPr>
          <w:p w14:paraId="2BF4D35B" w14:textId="77777777" w:rsidR="00E260BE" w:rsidRPr="00403F40" w:rsidRDefault="00E260BE" w:rsidP="009B7D2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1 419 004</w:t>
            </w:r>
          </w:p>
        </w:tc>
      </w:tr>
      <w:tr w:rsidR="00E260BE" w:rsidRPr="00A52173" w14:paraId="28B021B7" w14:textId="77777777" w:rsidTr="009B7D2E">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20062B0" w14:textId="77777777" w:rsidR="00E260BE" w:rsidRPr="00403F40" w:rsidRDefault="00E260BE" w:rsidP="00403F40">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33D6AE8A" w14:textId="77777777" w:rsidR="00E260BE" w:rsidRPr="00403F40" w:rsidRDefault="00E260BE"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Specjalny zasiłek celowy</w:t>
            </w:r>
          </w:p>
        </w:tc>
        <w:tc>
          <w:tcPr>
            <w:tcW w:w="3685" w:type="dxa"/>
            <w:gridSpan w:val="3"/>
            <w:shd w:val="clear" w:color="auto" w:fill="FFFFFF" w:themeFill="background1"/>
          </w:tcPr>
          <w:p w14:paraId="4DF2AB3D" w14:textId="77777777" w:rsidR="00E260BE" w:rsidRPr="00403F40"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2 772</w:t>
            </w:r>
          </w:p>
        </w:tc>
        <w:tc>
          <w:tcPr>
            <w:tcW w:w="5107" w:type="dxa"/>
            <w:gridSpan w:val="3"/>
            <w:shd w:val="clear" w:color="auto" w:fill="FFFFFF" w:themeFill="background1"/>
          </w:tcPr>
          <w:p w14:paraId="71A02B75" w14:textId="77777777" w:rsidR="00E260BE" w:rsidRPr="00403F40" w:rsidRDefault="00E260BE" w:rsidP="009B7D2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1 436 799</w:t>
            </w:r>
          </w:p>
        </w:tc>
      </w:tr>
      <w:tr w:rsidR="00E260BE" w:rsidRPr="00A52173" w14:paraId="5D3FC3CE" w14:textId="77777777" w:rsidTr="009B7D2E">
        <w:trPr>
          <w:trHeight w:val="44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80A26DA" w14:textId="77777777" w:rsidR="00E260BE" w:rsidRPr="00403F40" w:rsidRDefault="00E260BE" w:rsidP="00403F40">
            <w:pPr>
              <w:spacing w:after="0" w:line="240" w:lineRule="auto"/>
              <w:rPr>
                <w:rFonts w:ascii="Times New Roman" w:hAnsi="Times New Roman"/>
                <w:b w:val="0"/>
                <w:color w:val="auto"/>
                <w:lang w:eastAsia="pl-PL"/>
              </w:rPr>
            </w:pPr>
            <w:r w:rsidRPr="00403F40">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0881239C" w14:textId="77777777" w:rsidR="00E260BE" w:rsidRPr="00403F40" w:rsidRDefault="00E260BE"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b/>
                <w:color w:val="auto"/>
              </w:rPr>
              <w:t>1.</w:t>
            </w:r>
            <w:r w:rsidRPr="00403F40">
              <w:rPr>
                <w:rFonts w:ascii="Times New Roman" w:eastAsia="Times New Roman" w:hAnsi="Times New Roman"/>
                <w:color w:val="auto"/>
                <w:lang w:eastAsia="pl-PL"/>
              </w:rPr>
              <w:t xml:space="preserve"> Ograniczone środki na zabezpieczenie opieki dla osób samotnych starszych i niepełnosprawnych przebywających we własnych domach.</w:t>
            </w:r>
          </w:p>
        </w:tc>
      </w:tr>
      <w:tr w:rsidR="00E260BE" w:rsidRPr="00A52173" w14:paraId="743D2F8B" w14:textId="77777777" w:rsidTr="009B7D2E">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478F26" w14:textId="77777777" w:rsidR="00E260BE" w:rsidRPr="00403F40" w:rsidRDefault="00E260BE" w:rsidP="00403F40">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3E4B926D" w14:textId="77777777" w:rsidR="00E260BE" w:rsidRPr="00403F40" w:rsidRDefault="00DC6520"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9B7D2E">
              <w:rPr>
                <w:rFonts w:ascii="Times New Roman" w:hAnsi="Times New Roman"/>
                <w:b/>
                <w:color w:val="auto"/>
              </w:rPr>
              <w:t>2.</w:t>
            </w:r>
            <w:r w:rsidRPr="00403F40">
              <w:rPr>
                <w:rFonts w:ascii="Times New Roman" w:hAnsi="Times New Roman"/>
                <w:color w:val="auto"/>
              </w:rPr>
              <w:t xml:space="preserve">Brak odpowiednio przeszkolonej kadry i brak chętnych do świadczenia usług. Niedostateczna w stosunku do potrzeb liczba rehabilitantów i fizjoterapeutów. Przybywa osób z różnymi schorzeniami wymagającymi rehabilitacji ruchowej. Ograniczeniem w pozyskaniu dodatkowych pracowników są zapisy w rozporządzeniu o specjalistycznych usługach opiekuńczych dotyczące konieczności udokumentowania doświadczenia w pracy z osobami z zaburzeniami psychicznymi w odpowiednich placówkach. </w:t>
            </w:r>
            <w:r w:rsidRPr="00403F40">
              <w:rPr>
                <w:rFonts w:ascii="Times New Roman" w:hAnsi="Times New Roman"/>
                <w:color w:val="auto"/>
              </w:rPr>
              <w:lastRenderedPageBreak/>
              <w:t>Ogranicza to możliwość zatrudnienia rehabilitantów, którzy mają odpowiednie kwalifikacje, natomiast nie mają tego udokumentowanego doświadczenia.</w:t>
            </w:r>
          </w:p>
        </w:tc>
      </w:tr>
      <w:tr w:rsidR="00E260BE" w:rsidRPr="00A52173" w14:paraId="543B3FC3" w14:textId="77777777" w:rsidTr="009B7D2E">
        <w:trPr>
          <w:trHeight w:val="4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A55E06E" w14:textId="77777777" w:rsidR="00E260BE" w:rsidRPr="00403F40" w:rsidRDefault="00E260BE" w:rsidP="00403F40">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7B8FBC64" w14:textId="77777777" w:rsidR="00E260BE" w:rsidRPr="00403F40" w:rsidRDefault="00E900E1" w:rsidP="00403F40">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9B7D2E">
              <w:rPr>
                <w:rFonts w:ascii="Times New Roman" w:hAnsi="Times New Roman"/>
                <w:b/>
                <w:color w:val="auto"/>
              </w:rPr>
              <w:t>3.</w:t>
            </w:r>
            <w:r w:rsidRPr="00403F40">
              <w:rPr>
                <w:rFonts w:ascii="Times New Roman" w:hAnsi="Times New Roman"/>
                <w:color w:val="auto"/>
              </w:rPr>
              <w:t xml:space="preserve"> roszczeniowa postawa klientów objętych usługami oraz roszczeniowa postawa ze strony ich rodzin</w:t>
            </w:r>
            <w:r w:rsidR="00AE4628" w:rsidRPr="00403F40">
              <w:rPr>
                <w:rFonts w:ascii="Times New Roman" w:hAnsi="Times New Roman"/>
                <w:color w:val="auto"/>
              </w:rPr>
              <w:t>.</w:t>
            </w:r>
          </w:p>
        </w:tc>
      </w:tr>
      <w:tr w:rsidR="00E260BE" w:rsidRPr="00A52173" w14:paraId="4EC41251" w14:textId="77777777" w:rsidTr="009B7D2E">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00A0A5D" w14:textId="77777777" w:rsidR="00E260BE" w:rsidRPr="00403F40" w:rsidRDefault="00E260BE" w:rsidP="00403F40">
            <w:pPr>
              <w:spacing w:after="0" w:line="240" w:lineRule="auto"/>
              <w:rPr>
                <w:rFonts w:ascii="Times New Roman" w:hAnsi="Times New Roman"/>
                <w:color w:val="auto"/>
                <w:lang w:eastAsia="pl-PL"/>
              </w:rPr>
            </w:pPr>
            <w:r w:rsidRPr="00403F40">
              <w:rPr>
                <w:rFonts w:ascii="Times New Roman" w:hAnsi="Times New Roman"/>
                <w:color w:val="auto"/>
                <w:lang w:eastAsia="pl-PL"/>
              </w:rPr>
              <w:t>Stopień zaspokojenia potrzeb w zakresie usług opiekuńczych</w:t>
            </w:r>
          </w:p>
        </w:tc>
        <w:tc>
          <w:tcPr>
            <w:tcW w:w="11911" w:type="dxa"/>
            <w:gridSpan w:val="8"/>
            <w:shd w:val="clear" w:color="auto" w:fill="FFFFFF" w:themeFill="background1"/>
          </w:tcPr>
          <w:p w14:paraId="1C3C4231" w14:textId="77777777" w:rsidR="00E260BE" w:rsidRPr="00403F40" w:rsidRDefault="00282DC9" w:rsidP="00403F40">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403F40">
              <w:rPr>
                <w:rFonts w:ascii="Times New Roman" w:hAnsi="Times New Roman"/>
                <w:color w:val="auto"/>
              </w:rPr>
              <w:t xml:space="preserve">W jednej gminie oferowane przez OPS usługi opiekuńcze zaspokajają w około 40% rzeczywiste potrzeby na świadczenia tej formy pomocy. wskazany jest większy wymiar tego rodzaju pomocy, jednak zatrudnienie kolejnej opiekunki nie mieści się w możliwościach finansowych gminy. W 4 ośrodkach pomocy społecznej usługi nie był świadczone, ze względu na brak wniosków o taką pomoc. W pozostałych ośrodkach usługi są świadczone zgodnie z zapotrzebowaniem. Nie było decyzji odmownych na tą formę pomocy.  </w:t>
            </w:r>
          </w:p>
        </w:tc>
      </w:tr>
    </w:tbl>
    <w:p w14:paraId="52FF7D99" w14:textId="77777777" w:rsidR="00E260BE" w:rsidRDefault="00E260BE" w:rsidP="008C71A9">
      <w:pPr>
        <w:pStyle w:val="Nagwek2"/>
        <w:numPr>
          <w:ilvl w:val="1"/>
          <w:numId w:val="97"/>
        </w:numPr>
        <w:spacing w:before="0"/>
        <w:rPr>
          <w:rFonts w:eastAsia="Times New Roman" w:cs="Times New Roman"/>
          <w:sz w:val="24"/>
          <w:szCs w:val="24"/>
          <w:lang w:eastAsia="ar-SA"/>
        </w:rPr>
        <w:sectPr w:rsidR="00E260BE" w:rsidSect="00E260BE">
          <w:pgSz w:w="16840" w:h="11906" w:orient="landscape"/>
          <w:pgMar w:top="1418" w:right="1418" w:bottom="1418" w:left="1417" w:header="708" w:footer="708" w:gutter="0"/>
          <w:cols w:space="708"/>
          <w:docGrid w:linePitch="360"/>
        </w:sectPr>
      </w:pPr>
    </w:p>
    <w:p w14:paraId="2E823E0F" w14:textId="77777777" w:rsidR="00AB1786" w:rsidRPr="00AF051D" w:rsidRDefault="00B25D75" w:rsidP="00AF051D">
      <w:pPr>
        <w:pStyle w:val="Nagwek2"/>
        <w:numPr>
          <w:ilvl w:val="1"/>
          <w:numId w:val="97"/>
        </w:numPr>
        <w:spacing w:before="240" w:after="240"/>
        <w:rPr>
          <w:rFonts w:eastAsia="Times New Roman" w:cs="Times New Roman"/>
          <w:sz w:val="40"/>
          <w:lang w:eastAsia="ar-SA"/>
        </w:rPr>
      </w:pPr>
      <w:bookmarkStart w:id="152" w:name="_Toc49171369"/>
      <w:r w:rsidRPr="00AF051D">
        <w:rPr>
          <w:rFonts w:eastAsia="Times New Roman" w:cs="Times New Roman"/>
          <w:sz w:val="40"/>
          <w:lang w:eastAsia="ar-SA"/>
        </w:rPr>
        <w:lastRenderedPageBreak/>
        <w:t xml:space="preserve">Województwo </w:t>
      </w:r>
      <w:r w:rsidR="005F0A32" w:rsidRPr="00AF051D">
        <w:rPr>
          <w:rFonts w:eastAsia="Times New Roman" w:cs="Times New Roman"/>
          <w:sz w:val="40"/>
          <w:lang w:eastAsia="ar-SA"/>
        </w:rPr>
        <w:t>warmińsko-m</w:t>
      </w:r>
      <w:r w:rsidR="00475EFA" w:rsidRPr="00AF051D">
        <w:rPr>
          <w:rFonts w:eastAsia="Times New Roman" w:cs="Times New Roman"/>
          <w:sz w:val="40"/>
          <w:lang w:eastAsia="ar-SA"/>
        </w:rPr>
        <w:t>azurskie</w:t>
      </w:r>
      <w:bookmarkEnd w:id="152"/>
    </w:p>
    <w:p w14:paraId="5593995E" w14:textId="77777777" w:rsidR="00521797" w:rsidRPr="00546D47" w:rsidRDefault="00521797" w:rsidP="000D7CDE">
      <w:pPr>
        <w:spacing w:after="0"/>
        <w:jc w:val="both"/>
        <w:rPr>
          <w:rFonts w:ascii="Times New Roman" w:hAnsi="Times New Roman" w:cs="Times New Roman"/>
          <w:b/>
          <w:color w:val="00B0F0"/>
          <w:sz w:val="24"/>
          <w:szCs w:val="24"/>
          <w:lang w:eastAsia="ar-SA"/>
        </w:rPr>
      </w:pPr>
      <w:r w:rsidRPr="00546D47">
        <w:rPr>
          <w:rFonts w:ascii="Times New Roman" w:hAnsi="Times New Roman" w:cs="Times New Roman"/>
          <w:b/>
          <w:color w:val="00B0F0"/>
          <w:sz w:val="24"/>
          <w:szCs w:val="24"/>
          <w:lang w:eastAsia="ar-SA"/>
        </w:rPr>
        <w:t>Dokumenty, strategie i działania na rzecz osób starszych</w:t>
      </w:r>
    </w:p>
    <w:p w14:paraId="1A6F95C6" w14:textId="77777777" w:rsidR="00521797" w:rsidRDefault="00521797" w:rsidP="000D7CDE">
      <w:pPr>
        <w:tabs>
          <w:tab w:val="left" w:pos="284"/>
        </w:tabs>
        <w:spacing w:after="0"/>
        <w:contextualSpacing/>
        <w:jc w:val="both"/>
        <w:rPr>
          <w:rFonts w:ascii="Times New Roman" w:hAnsi="Times New Roman" w:cs="Times New Roman"/>
          <w:sz w:val="24"/>
          <w:szCs w:val="24"/>
          <w:u w:val="single"/>
        </w:rPr>
      </w:pPr>
    </w:p>
    <w:p w14:paraId="45D1929D" w14:textId="77777777" w:rsidR="00B55CC9" w:rsidRPr="005F0A32" w:rsidRDefault="00546D47" w:rsidP="000D7CDE">
      <w:pPr>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 xml:space="preserve">Na terenie województwa warmińsko-mazurskiego obowiązuje </w:t>
      </w:r>
      <w:r w:rsidR="00AB1786" w:rsidRPr="005F0A32">
        <w:rPr>
          <w:rFonts w:ascii="Times New Roman" w:hAnsi="Times New Roman" w:cs="Times New Roman"/>
          <w:sz w:val="24"/>
          <w:szCs w:val="24"/>
        </w:rPr>
        <w:t>Program „Polityka senioralna województwa warmińsko-mazurskiego na lata 2014-2020”</w:t>
      </w:r>
      <w:r>
        <w:rPr>
          <w:rStyle w:val="Odwoanieprzypisudolnego"/>
          <w:rFonts w:ascii="Times New Roman" w:hAnsi="Times New Roman" w:cs="Times New Roman"/>
          <w:sz w:val="24"/>
          <w:szCs w:val="24"/>
        </w:rPr>
        <w:footnoteReference w:id="216"/>
      </w:r>
      <w:r>
        <w:rPr>
          <w:rFonts w:ascii="Times New Roman" w:hAnsi="Times New Roman" w:cs="Times New Roman"/>
          <w:sz w:val="24"/>
          <w:szCs w:val="24"/>
        </w:rPr>
        <w:t xml:space="preserve">. Przygotowany został również </w:t>
      </w:r>
      <w:r w:rsidR="00AB1786" w:rsidRPr="005F0A32">
        <w:rPr>
          <w:rFonts w:ascii="Times New Roman" w:hAnsi="Times New Roman" w:cs="Times New Roman"/>
          <w:sz w:val="24"/>
          <w:szCs w:val="24"/>
        </w:rPr>
        <w:t>Raport z monitoringu wdrażania w latach 2017-2018 programu „Polityka senioralna województwa warmińsko-mazurskiego na lata 2014-2020”</w:t>
      </w:r>
      <w:r>
        <w:rPr>
          <w:rStyle w:val="Odwoanieprzypisudolnego"/>
          <w:rFonts w:ascii="Times New Roman" w:hAnsi="Times New Roman" w:cs="Times New Roman"/>
          <w:sz w:val="24"/>
          <w:szCs w:val="24"/>
        </w:rPr>
        <w:footnoteReference w:id="217"/>
      </w:r>
      <w:r w:rsidR="00B55CC9">
        <w:rPr>
          <w:rFonts w:ascii="Times New Roman" w:hAnsi="Times New Roman" w:cs="Times New Roman"/>
          <w:sz w:val="24"/>
          <w:szCs w:val="24"/>
        </w:rPr>
        <w:t xml:space="preserve">, </w:t>
      </w:r>
      <w:r w:rsidR="00B55CC9" w:rsidRPr="00B55CC9">
        <w:rPr>
          <w:rFonts w:ascii="Times New Roman" w:hAnsi="Times New Roman" w:cs="Times New Roman"/>
          <w:sz w:val="24"/>
          <w:szCs w:val="24"/>
        </w:rPr>
        <w:t>Program współpracy Samorządu Województwa Warmińsko-Mazurskiego z organizacjami pozarządowymi oraz podmiotami wymienionymi w art. 3 ust. 3 ustawy o działalności pożytku publicznego i o wolontariacie na 2019</w:t>
      </w:r>
      <w:r w:rsidR="00B55CC9">
        <w:rPr>
          <w:rFonts w:ascii="Times New Roman" w:hAnsi="Times New Roman" w:cs="Times New Roman"/>
          <w:sz w:val="24"/>
          <w:szCs w:val="24"/>
        </w:rPr>
        <w:t xml:space="preserve"> r.</w:t>
      </w:r>
      <w:r w:rsidR="00B55CC9">
        <w:rPr>
          <w:rStyle w:val="Odwoanieprzypisudolnego"/>
          <w:rFonts w:ascii="Times New Roman" w:hAnsi="Times New Roman" w:cs="Times New Roman"/>
          <w:sz w:val="24"/>
          <w:szCs w:val="24"/>
        </w:rPr>
        <w:footnoteReference w:id="218"/>
      </w:r>
      <w:r w:rsidR="00B55CC9">
        <w:rPr>
          <w:rFonts w:ascii="Times New Roman" w:hAnsi="Times New Roman" w:cs="Times New Roman"/>
          <w:sz w:val="24"/>
          <w:szCs w:val="24"/>
        </w:rPr>
        <w:t xml:space="preserve">, </w:t>
      </w:r>
      <w:r w:rsidR="00B55CC9" w:rsidRPr="005F0A32">
        <w:rPr>
          <w:rFonts w:ascii="Times New Roman" w:hAnsi="Times New Roman" w:cs="Times New Roman"/>
          <w:sz w:val="24"/>
          <w:szCs w:val="24"/>
        </w:rPr>
        <w:t>Sprawozdanie z Programu współpracy Samorządu Woj</w:t>
      </w:r>
      <w:r w:rsidR="00B55CC9">
        <w:rPr>
          <w:rFonts w:ascii="Times New Roman" w:hAnsi="Times New Roman" w:cs="Times New Roman"/>
          <w:sz w:val="24"/>
          <w:szCs w:val="24"/>
        </w:rPr>
        <w:t xml:space="preserve">ewództwa Warmińsko-Mazurskiego </w:t>
      </w:r>
      <w:r w:rsidR="00B55CC9" w:rsidRPr="005F0A32">
        <w:rPr>
          <w:rFonts w:ascii="Times New Roman" w:hAnsi="Times New Roman" w:cs="Times New Roman"/>
          <w:sz w:val="24"/>
          <w:szCs w:val="24"/>
        </w:rPr>
        <w:t>z organizacjami pozarządowymi oraz podmiotami wymie</w:t>
      </w:r>
      <w:r w:rsidR="00B55CC9">
        <w:rPr>
          <w:rFonts w:ascii="Times New Roman" w:hAnsi="Times New Roman" w:cs="Times New Roman"/>
          <w:sz w:val="24"/>
          <w:szCs w:val="24"/>
        </w:rPr>
        <w:t xml:space="preserve">nionymi w art. 3 ust. 3 </w:t>
      </w:r>
      <w:r w:rsidR="00B55CC9" w:rsidRPr="00B55CC9">
        <w:rPr>
          <w:rFonts w:ascii="Times New Roman" w:hAnsi="Times New Roman" w:cs="Times New Roman"/>
          <w:i/>
          <w:sz w:val="24"/>
          <w:szCs w:val="24"/>
        </w:rPr>
        <w:t>ustawy o działalności pożytku publicznego i o wolontariacie</w:t>
      </w:r>
      <w:r w:rsidR="00B55CC9">
        <w:rPr>
          <w:rFonts w:ascii="Times New Roman" w:hAnsi="Times New Roman" w:cs="Times New Roman"/>
          <w:sz w:val="24"/>
          <w:szCs w:val="24"/>
        </w:rPr>
        <w:t xml:space="preserve"> na</w:t>
      </w:r>
      <w:r w:rsidR="00B55CC9" w:rsidRPr="005F0A32">
        <w:rPr>
          <w:rFonts w:ascii="Times New Roman" w:hAnsi="Times New Roman" w:cs="Times New Roman"/>
          <w:sz w:val="24"/>
          <w:szCs w:val="24"/>
        </w:rPr>
        <w:t xml:space="preserve"> 2019</w:t>
      </w:r>
      <w:r w:rsidR="00B55CC9">
        <w:rPr>
          <w:rFonts w:ascii="Times New Roman" w:hAnsi="Times New Roman" w:cs="Times New Roman"/>
          <w:sz w:val="24"/>
          <w:szCs w:val="24"/>
        </w:rPr>
        <w:t xml:space="preserve"> r.</w:t>
      </w:r>
      <w:r w:rsidR="00B55CC9">
        <w:rPr>
          <w:rStyle w:val="Odwoanieprzypisudolnego"/>
          <w:rFonts w:ascii="Times New Roman" w:hAnsi="Times New Roman" w:cs="Times New Roman"/>
          <w:sz w:val="24"/>
          <w:szCs w:val="24"/>
        </w:rPr>
        <w:footnoteReference w:id="219"/>
      </w:r>
      <w:r w:rsidR="00B55CC9" w:rsidRPr="005F0A32">
        <w:rPr>
          <w:rFonts w:ascii="Times New Roman" w:hAnsi="Times New Roman" w:cs="Times New Roman"/>
          <w:sz w:val="24"/>
          <w:szCs w:val="24"/>
        </w:rPr>
        <w:t>.</w:t>
      </w:r>
    </w:p>
    <w:p w14:paraId="13F26808" w14:textId="77777777" w:rsidR="00AB1786" w:rsidRPr="005F0A32" w:rsidRDefault="00AB1786" w:rsidP="000D7CDE">
      <w:pPr>
        <w:pStyle w:val="Akapitzlist"/>
        <w:tabs>
          <w:tab w:val="left" w:pos="284"/>
        </w:tabs>
        <w:spacing w:after="0"/>
        <w:ind w:left="0"/>
        <w:jc w:val="both"/>
        <w:rPr>
          <w:rFonts w:ascii="Times New Roman" w:hAnsi="Times New Roman" w:cs="Times New Roman"/>
          <w:sz w:val="24"/>
          <w:szCs w:val="24"/>
          <w:u w:val="single"/>
        </w:rPr>
      </w:pPr>
    </w:p>
    <w:p w14:paraId="558DA9F6"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Wojewoda Warmińsko-Mazurski w drodze otwartego konkursu ofert dla organizacji, </w:t>
      </w:r>
      <w:r w:rsidRPr="005F0A32">
        <w:rPr>
          <w:rFonts w:ascii="Times New Roman" w:hAnsi="Times New Roman" w:cs="Times New Roman"/>
          <w:sz w:val="24"/>
          <w:szCs w:val="24"/>
        </w:rPr>
        <w:br/>
        <w:t xml:space="preserve">o których mowa w art. 3 ust. 2 </w:t>
      </w:r>
      <w:r w:rsidRPr="00546D47">
        <w:rPr>
          <w:rFonts w:ascii="Times New Roman" w:hAnsi="Times New Roman" w:cs="Times New Roman"/>
          <w:i/>
          <w:sz w:val="24"/>
          <w:szCs w:val="24"/>
        </w:rPr>
        <w:t>ustawy z dnia 24 kwietnia 2003 r. o działalności pożytku publicznego i o wolontariacie</w:t>
      </w:r>
      <w:r w:rsidRPr="005F0A32">
        <w:rPr>
          <w:rFonts w:ascii="Times New Roman" w:hAnsi="Times New Roman" w:cs="Times New Roman"/>
          <w:sz w:val="24"/>
          <w:szCs w:val="24"/>
        </w:rPr>
        <w:t xml:space="preserve"> oraz podmiotów wymienionych w art. 3 ust. 3 tej ustawy, prowadzących działalność w zakresie pomocy społecznej (zgodnie z art. 25 ustawy z dnia 12 marca 2004 r. o pomocy społecznej), </w:t>
      </w:r>
      <w:r w:rsidRPr="005F0A32">
        <w:rPr>
          <w:rFonts w:ascii="Times New Roman" w:hAnsi="Times New Roman" w:cs="Times New Roman"/>
          <w:bCs/>
          <w:sz w:val="24"/>
          <w:szCs w:val="24"/>
        </w:rPr>
        <w:t>w 2019</w:t>
      </w:r>
      <w:r w:rsidR="00521797">
        <w:rPr>
          <w:rFonts w:ascii="Times New Roman" w:hAnsi="Times New Roman" w:cs="Times New Roman"/>
          <w:bCs/>
          <w:sz w:val="24"/>
          <w:szCs w:val="24"/>
        </w:rPr>
        <w:t xml:space="preserve"> r.</w:t>
      </w:r>
      <w:r w:rsidRPr="005F0A32">
        <w:rPr>
          <w:rFonts w:ascii="Times New Roman" w:hAnsi="Times New Roman" w:cs="Times New Roman"/>
          <w:sz w:val="24"/>
          <w:szCs w:val="24"/>
        </w:rPr>
        <w:t xml:space="preserve"> przekazał środki na realizację działań </w:t>
      </w:r>
      <w:r w:rsidRPr="005F0A32">
        <w:rPr>
          <w:rFonts w:ascii="Times New Roman" w:hAnsi="Times New Roman" w:cs="Times New Roman"/>
          <w:sz w:val="24"/>
          <w:szCs w:val="24"/>
        </w:rPr>
        <w:br/>
        <w:t xml:space="preserve">w ramach konkursu pn. </w:t>
      </w:r>
      <w:r w:rsidRPr="00546D47">
        <w:rPr>
          <w:rFonts w:ascii="Times New Roman" w:hAnsi="Times New Roman" w:cs="Times New Roman"/>
          <w:b/>
          <w:sz w:val="24"/>
          <w:szCs w:val="24"/>
        </w:rPr>
        <w:t>„Aktywizacja i przeciwdziałanie marginalizacji osób starszych”</w:t>
      </w:r>
      <w:r w:rsidR="00546D47">
        <w:rPr>
          <w:rFonts w:ascii="Times New Roman" w:hAnsi="Times New Roman" w:cs="Times New Roman"/>
          <w:sz w:val="24"/>
          <w:szCs w:val="24"/>
        </w:rPr>
        <w:t xml:space="preserve">. </w:t>
      </w:r>
      <w:r w:rsidRPr="005F0A32">
        <w:rPr>
          <w:rFonts w:ascii="Times New Roman" w:hAnsi="Times New Roman" w:cs="Times New Roman"/>
          <w:sz w:val="24"/>
          <w:szCs w:val="24"/>
        </w:rPr>
        <w:t xml:space="preserve">W ramach środków przeznaczonych na realizację ww. zadania rozdysponowano na podmioty uprawnione środki w łącznej wysokości </w:t>
      </w:r>
      <w:r w:rsidR="00521797">
        <w:rPr>
          <w:rFonts w:ascii="Times New Roman" w:hAnsi="Times New Roman" w:cs="Times New Roman"/>
          <w:bCs/>
          <w:sz w:val="24"/>
          <w:szCs w:val="24"/>
        </w:rPr>
        <w:t xml:space="preserve">197 </w:t>
      </w:r>
      <w:r w:rsidRPr="005F0A32">
        <w:rPr>
          <w:rFonts w:ascii="Times New Roman" w:hAnsi="Times New Roman" w:cs="Times New Roman"/>
          <w:bCs/>
          <w:sz w:val="24"/>
          <w:szCs w:val="24"/>
        </w:rPr>
        <w:t>270,00 zł</w:t>
      </w:r>
      <w:r w:rsidRPr="005F0A32">
        <w:rPr>
          <w:rFonts w:ascii="Times New Roman" w:hAnsi="Times New Roman" w:cs="Times New Roman"/>
          <w:sz w:val="24"/>
          <w:szCs w:val="24"/>
        </w:rPr>
        <w:t xml:space="preserve">, na realizację </w:t>
      </w:r>
      <w:r w:rsidRPr="005F0A32">
        <w:rPr>
          <w:rFonts w:ascii="Times New Roman" w:hAnsi="Times New Roman" w:cs="Times New Roman"/>
          <w:bCs/>
          <w:sz w:val="24"/>
          <w:szCs w:val="24"/>
        </w:rPr>
        <w:t>9 projektów</w:t>
      </w:r>
      <w:r w:rsidRPr="005F0A32">
        <w:rPr>
          <w:rFonts w:ascii="Times New Roman" w:hAnsi="Times New Roman" w:cs="Times New Roman"/>
          <w:sz w:val="24"/>
          <w:szCs w:val="24"/>
        </w:rPr>
        <w:t xml:space="preserve">, z których wydatkowana została kwota </w:t>
      </w:r>
      <w:r w:rsidR="00521797">
        <w:rPr>
          <w:rFonts w:ascii="Times New Roman" w:hAnsi="Times New Roman" w:cs="Times New Roman"/>
          <w:bCs/>
          <w:sz w:val="24"/>
          <w:szCs w:val="24"/>
        </w:rPr>
        <w:t xml:space="preserve">197 </w:t>
      </w:r>
      <w:r w:rsidRPr="005F0A32">
        <w:rPr>
          <w:rFonts w:ascii="Times New Roman" w:hAnsi="Times New Roman" w:cs="Times New Roman"/>
          <w:bCs/>
          <w:sz w:val="24"/>
          <w:szCs w:val="24"/>
        </w:rPr>
        <w:t>093,19 zł.</w:t>
      </w:r>
      <w:r w:rsidR="00521797">
        <w:rPr>
          <w:rFonts w:ascii="Times New Roman" w:hAnsi="Times New Roman" w:cs="Times New Roman"/>
          <w:sz w:val="24"/>
          <w:szCs w:val="24"/>
        </w:rPr>
        <w:t xml:space="preserve"> </w:t>
      </w:r>
      <w:r w:rsidRPr="005F0A32">
        <w:rPr>
          <w:rFonts w:ascii="Times New Roman" w:hAnsi="Times New Roman" w:cs="Times New Roman"/>
          <w:sz w:val="24"/>
          <w:szCs w:val="24"/>
        </w:rPr>
        <w:t>Głównymi założeniami ww. konkursu było:</w:t>
      </w:r>
    </w:p>
    <w:p w14:paraId="36BE1EE8" w14:textId="77777777" w:rsidR="00AB1786" w:rsidRPr="005F0A32" w:rsidRDefault="00AB1786" w:rsidP="008C71A9">
      <w:pPr>
        <w:numPr>
          <w:ilvl w:val="0"/>
          <w:numId w:val="179"/>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Podniesienie aktywności i świadomości społecznej osób starszych, poprzez poszerzenie oferty kulturalnej i edukacyjnej oraz poprawę jej jakości.</w:t>
      </w:r>
    </w:p>
    <w:p w14:paraId="36B46A45" w14:textId="77777777" w:rsidR="00AB1786" w:rsidRPr="005F0A32" w:rsidRDefault="00AB1786" w:rsidP="008C71A9">
      <w:pPr>
        <w:numPr>
          <w:ilvl w:val="0"/>
          <w:numId w:val="179"/>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Zmniejszenie stopnia marginalizacji seniorów w sferze społecznej, poprzez kreowanie pozytywnego wizerunku osoby starszej i przełamywanie stereotypów dotyczących starości, funkcjonujących nie tylko wśród młodszego pokolenia, lecz również samych seniorów.</w:t>
      </w:r>
    </w:p>
    <w:p w14:paraId="425DB78D" w14:textId="77777777" w:rsidR="00AB1786" w:rsidRPr="005F0A32" w:rsidRDefault="00AB1786" w:rsidP="008C71A9">
      <w:pPr>
        <w:numPr>
          <w:ilvl w:val="0"/>
          <w:numId w:val="179"/>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Wzrost poczucia własnejwartości, aspiracji, lepszego rozpoznawania własnych możliwości rozwojowych przez seniorów.</w:t>
      </w:r>
    </w:p>
    <w:p w14:paraId="205777F0"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Przedmiotowe cele zostały osiągnięte w wymiarze określonym w złożonych ofertach.</w:t>
      </w:r>
    </w:p>
    <w:p w14:paraId="56A0F240" w14:textId="77777777" w:rsidR="00AB1786" w:rsidRDefault="00AB1786" w:rsidP="000D7CDE">
      <w:pPr>
        <w:pStyle w:val="Akapitzlist"/>
        <w:tabs>
          <w:tab w:val="left" w:pos="284"/>
        </w:tabs>
        <w:spacing w:after="0"/>
        <w:ind w:left="0"/>
        <w:jc w:val="both"/>
        <w:rPr>
          <w:rFonts w:ascii="Times New Roman" w:hAnsi="Times New Roman" w:cs="Times New Roman"/>
          <w:sz w:val="24"/>
          <w:szCs w:val="24"/>
          <w:u w:val="single"/>
        </w:rPr>
      </w:pPr>
    </w:p>
    <w:p w14:paraId="777A66B3" w14:textId="77777777" w:rsidR="00546D47" w:rsidRPr="00546D47" w:rsidRDefault="00546D47" w:rsidP="000D7CDE">
      <w:pPr>
        <w:pStyle w:val="Akapitzlist"/>
        <w:tabs>
          <w:tab w:val="left" w:pos="284"/>
        </w:tabs>
        <w:spacing w:after="0"/>
        <w:ind w:left="0"/>
        <w:jc w:val="both"/>
        <w:rPr>
          <w:rFonts w:ascii="Times New Roman" w:hAnsi="Times New Roman" w:cs="Times New Roman"/>
          <w:b/>
          <w:sz w:val="24"/>
          <w:szCs w:val="24"/>
        </w:rPr>
      </w:pPr>
      <w:r w:rsidRPr="00546D47">
        <w:rPr>
          <w:rFonts w:ascii="Times New Roman" w:hAnsi="Times New Roman" w:cs="Times New Roman"/>
          <w:b/>
          <w:sz w:val="24"/>
          <w:szCs w:val="24"/>
        </w:rPr>
        <w:t>Program Senior+</w:t>
      </w:r>
    </w:p>
    <w:p w14:paraId="2DC2DEFC"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lastRenderedPageBreak/>
        <w:t xml:space="preserve">W 2019 r. w województwie warmińsko-mazurskim realizowany był </w:t>
      </w:r>
      <w:r w:rsidRPr="005F0A32">
        <w:rPr>
          <w:rFonts w:ascii="Times New Roman" w:hAnsi="Times New Roman" w:cs="Times New Roman"/>
          <w:i/>
          <w:sz w:val="24"/>
          <w:szCs w:val="24"/>
        </w:rPr>
        <w:t xml:space="preserve">Program wieloletni „Senior+” na lata 2015-2020, edycja 2019, </w:t>
      </w:r>
      <w:r w:rsidRPr="005F0A32">
        <w:rPr>
          <w:rFonts w:ascii="Times New Roman" w:hAnsi="Times New Roman" w:cs="Times New Roman"/>
          <w:iCs/>
          <w:sz w:val="24"/>
          <w:szCs w:val="24"/>
        </w:rPr>
        <w:t>w ramach którego</w:t>
      </w:r>
      <w:r w:rsidRPr="005F0A32">
        <w:rPr>
          <w:rFonts w:ascii="Times New Roman" w:hAnsi="Times New Roman" w:cs="Times New Roman"/>
          <w:sz w:val="24"/>
          <w:szCs w:val="24"/>
        </w:rPr>
        <w:t xml:space="preserve"> dofinansowanie w łącznej wysokości </w:t>
      </w:r>
      <w:r w:rsidRPr="005F0A32">
        <w:rPr>
          <w:rFonts w:ascii="Times New Roman" w:eastAsia="Times New Roman" w:hAnsi="Times New Roman" w:cs="Times New Roman"/>
          <w:sz w:val="24"/>
          <w:szCs w:val="24"/>
          <w:lang w:eastAsia="pl-PL"/>
        </w:rPr>
        <w:t xml:space="preserve">3 938 032,00 zł </w:t>
      </w:r>
      <w:r w:rsidRPr="005F0A32">
        <w:rPr>
          <w:rFonts w:ascii="Times New Roman" w:hAnsi="Times New Roman" w:cs="Times New Roman"/>
          <w:sz w:val="24"/>
          <w:szCs w:val="24"/>
        </w:rPr>
        <w:t xml:space="preserve">otrzymały 33 projekty, w tym: </w:t>
      </w:r>
    </w:p>
    <w:p w14:paraId="27F12A10" w14:textId="77777777" w:rsidR="00AB1786" w:rsidRPr="005F0A32" w:rsidRDefault="00AB1786" w:rsidP="008C71A9">
      <w:pPr>
        <w:pStyle w:val="Akapitzlist"/>
        <w:numPr>
          <w:ilvl w:val="0"/>
          <w:numId w:val="180"/>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15 ofert dotyczyło Modułu I – Utworzenie i wyposażenie placówki „Senior+”,</w:t>
      </w:r>
    </w:p>
    <w:p w14:paraId="69E76A59" w14:textId="77777777" w:rsidR="00AB1786" w:rsidRPr="005F0A32" w:rsidRDefault="00AB1786" w:rsidP="008C71A9">
      <w:pPr>
        <w:pStyle w:val="Akapitzlist"/>
        <w:numPr>
          <w:ilvl w:val="0"/>
          <w:numId w:val="180"/>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18 ofert dotyczyło Modułu II – Zapewnienie funkcjonowania placówek „Senior+”.</w:t>
      </w:r>
    </w:p>
    <w:p w14:paraId="6DE7BD8F" w14:textId="77777777" w:rsidR="00AB1786" w:rsidRPr="005F0A32" w:rsidRDefault="00AB1786" w:rsidP="000D7CDE">
      <w:pPr>
        <w:pStyle w:val="Akapitzlist"/>
        <w:spacing w:after="0"/>
        <w:ind w:left="0"/>
        <w:jc w:val="both"/>
        <w:rPr>
          <w:rFonts w:ascii="Times New Roman" w:hAnsi="Times New Roman" w:cs="Times New Roman"/>
          <w:sz w:val="24"/>
          <w:szCs w:val="24"/>
        </w:rPr>
      </w:pPr>
      <w:r w:rsidRPr="005F0A32">
        <w:rPr>
          <w:rFonts w:ascii="Times New Roman" w:hAnsi="Times New Roman" w:cs="Times New Roman"/>
          <w:sz w:val="24"/>
          <w:szCs w:val="24"/>
        </w:rPr>
        <w:t xml:space="preserve">W ramach modułu I ww. Programu, powstały 2 Dzienne Domy Senior+ oraz 13 Klubów Senior+, łącznie na </w:t>
      </w:r>
      <w:r w:rsidRPr="00B55CC9">
        <w:rPr>
          <w:rFonts w:ascii="Times New Roman" w:hAnsi="Times New Roman" w:cs="Times New Roman"/>
          <w:sz w:val="24"/>
          <w:szCs w:val="24"/>
        </w:rPr>
        <w:t xml:space="preserve">307 miejsc, </w:t>
      </w:r>
      <w:r w:rsidRPr="005F0A32">
        <w:rPr>
          <w:rFonts w:ascii="Times New Roman" w:hAnsi="Times New Roman" w:cs="Times New Roman"/>
          <w:sz w:val="24"/>
          <w:szCs w:val="24"/>
        </w:rPr>
        <w:t>w tym:</w:t>
      </w:r>
    </w:p>
    <w:p w14:paraId="6E5FFFFF" w14:textId="77777777" w:rsidR="00521797" w:rsidRDefault="00AB1786" w:rsidP="008C71A9">
      <w:pPr>
        <w:pStyle w:val="Akapitzlist"/>
        <w:numPr>
          <w:ilvl w:val="0"/>
          <w:numId w:val="181"/>
        </w:numPr>
        <w:spacing w:after="0"/>
        <w:ind w:left="360"/>
        <w:jc w:val="both"/>
        <w:rPr>
          <w:rFonts w:ascii="Times New Roman" w:hAnsi="Times New Roman" w:cs="Times New Roman"/>
          <w:sz w:val="24"/>
          <w:szCs w:val="24"/>
        </w:rPr>
      </w:pPr>
      <w:r w:rsidRPr="00521797">
        <w:rPr>
          <w:rFonts w:ascii="Times New Roman" w:hAnsi="Times New Roman" w:cs="Times New Roman"/>
          <w:sz w:val="24"/>
          <w:szCs w:val="24"/>
        </w:rPr>
        <w:t>2 Dzienne Domy „Senior+” na 26 miejsc,</w:t>
      </w:r>
    </w:p>
    <w:p w14:paraId="73ECCCF3" w14:textId="77777777" w:rsidR="00AB1786" w:rsidRPr="00521797" w:rsidRDefault="00AB1786" w:rsidP="008C71A9">
      <w:pPr>
        <w:pStyle w:val="Akapitzlist"/>
        <w:numPr>
          <w:ilvl w:val="0"/>
          <w:numId w:val="181"/>
        </w:numPr>
        <w:spacing w:after="0"/>
        <w:ind w:left="360"/>
        <w:jc w:val="both"/>
        <w:rPr>
          <w:rFonts w:ascii="Times New Roman" w:hAnsi="Times New Roman" w:cs="Times New Roman"/>
          <w:sz w:val="24"/>
          <w:szCs w:val="24"/>
        </w:rPr>
      </w:pPr>
      <w:r w:rsidRPr="00521797">
        <w:rPr>
          <w:rFonts w:ascii="Times New Roman" w:hAnsi="Times New Roman" w:cs="Times New Roman"/>
          <w:sz w:val="24"/>
          <w:szCs w:val="24"/>
        </w:rPr>
        <w:t>13 Klubów „Senior+” na 281  miejsc.</w:t>
      </w:r>
    </w:p>
    <w:p w14:paraId="5E7F7518" w14:textId="77777777" w:rsidR="00AB1786" w:rsidRPr="005F0A32" w:rsidRDefault="00AB1786" w:rsidP="000D7CDE">
      <w:pPr>
        <w:pStyle w:val="Akapitzlist"/>
        <w:spacing w:after="0"/>
        <w:ind w:left="0"/>
        <w:jc w:val="both"/>
        <w:rPr>
          <w:rFonts w:ascii="Times New Roman" w:hAnsi="Times New Roman" w:cs="Times New Roman"/>
          <w:sz w:val="24"/>
          <w:szCs w:val="24"/>
        </w:rPr>
      </w:pPr>
      <w:r w:rsidRPr="005F0A32">
        <w:rPr>
          <w:rFonts w:ascii="Times New Roman" w:hAnsi="Times New Roman" w:cs="Times New Roman"/>
          <w:sz w:val="24"/>
          <w:szCs w:val="24"/>
        </w:rPr>
        <w:t xml:space="preserve">W ramach modułu II dofinansowano bieżące funkcjonowanie 18 placówek na </w:t>
      </w:r>
      <w:r w:rsidRPr="00B55CC9">
        <w:rPr>
          <w:rFonts w:ascii="Times New Roman" w:hAnsi="Times New Roman" w:cs="Times New Roman"/>
          <w:sz w:val="24"/>
          <w:szCs w:val="24"/>
        </w:rPr>
        <w:t>434 miejsca,</w:t>
      </w:r>
      <w:r w:rsidRPr="005F0A32">
        <w:rPr>
          <w:rFonts w:ascii="Times New Roman" w:hAnsi="Times New Roman" w:cs="Times New Roman"/>
          <w:sz w:val="24"/>
          <w:szCs w:val="24"/>
        </w:rPr>
        <w:t xml:space="preserve"> </w:t>
      </w:r>
      <w:r w:rsidRPr="005F0A32">
        <w:rPr>
          <w:rFonts w:ascii="Times New Roman" w:hAnsi="Times New Roman" w:cs="Times New Roman"/>
          <w:sz w:val="24"/>
          <w:szCs w:val="24"/>
        </w:rPr>
        <w:br/>
        <w:t>w tym:</w:t>
      </w:r>
    </w:p>
    <w:p w14:paraId="5ABC0C6F" w14:textId="77777777" w:rsidR="00521797" w:rsidRDefault="00AB1786" w:rsidP="008C71A9">
      <w:pPr>
        <w:pStyle w:val="Akapitzlist"/>
        <w:numPr>
          <w:ilvl w:val="0"/>
          <w:numId w:val="182"/>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8 Dziennych Domów „Senior+” na 257 miejsc,</w:t>
      </w:r>
    </w:p>
    <w:p w14:paraId="7B35DBAE" w14:textId="77777777" w:rsidR="00AB1786" w:rsidRPr="00521797" w:rsidRDefault="00AB1786" w:rsidP="008C71A9">
      <w:pPr>
        <w:pStyle w:val="Akapitzlist"/>
        <w:numPr>
          <w:ilvl w:val="0"/>
          <w:numId w:val="182"/>
        </w:numPr>
        <w:spacing w:after="0"/>
        <w:ind w:left="360"/>
        <w:jc w:val="both"/>
        <w:rPr>
          <w:rFonts w:ascii="Times New Roman" w:hAnsi="Times New Roman" w:cs="Times New Roman"/>
          <w:sz w:val="24"/>
          <w:szCs w:val="24"/>
        </w:rPr>
      </w:pPr>
      <w:r w:rsidRPr="00521797">
        <w:rPr>
          <w:rFonts w:ascii="Times New Roman" w:hAnsi="Times New Roman" w:cs="Times New Roman"/>
          <w:sz w:val="24"/>
          <w:szCs w:val="24"/>
        </w:rPr>
        <w:t>10 Klubów „Senior+ na 177 miejsc.</w:t>
      </w:r>
    </w:p>
    <w:p w14:paraId="5C39AEDA" w14:textId="77777777" w:rsidR="00AB1786" w:rsidRPr="005F0A32" w:rsidRDefault="00AB1786" w:rsidP="000D7CDE">
      <w:pPr>
        <w:pStyle w:val="Akapitzlist"/>
        <w:tabs>
          <w:tab w:val="left" w:pos="284"/>
        </w:tabs>
        <w:spacing w:after="0"/>
        <w:ind w:left="0"/>
        <w:jc w:val="both"/>
        <w:rPr>
          <w:rFonts w:ascii="Times New Roman" w:hAnsi="Times New Roman" w:cs="Times New Roman"/>
          <w:sz w:val="24"/>
          <w:szCs w:val="24"/>
          <w:u w:val="single"/>
        </w:rPr>
      </w:pPr>
    </w:p>
    <w:p w14:paraId="2BF5B8CA" w14:textId="77777777" w:rsidR="00AB1786" w:rsidRPr="005F0A32" w:rsidRDefault="00AB1786" w:rsidP="000D7CDE">
      <w:pPr>
        <w:tabs>
          <w:tab w:val="left" w:pos="0"/>
          <w:tab w:val="left" w:pos="426"/>
        </w:tabs>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Samorząd Województwa Warmińsko-Mazurskiego realizował wiele programów na rzecz osób starszych, w tym m.in.:</w:t>
      </w:r>
    </w:p>
    <w:p w14:paraId="0CBEDDD3" w14:textId="77777777" w:rsidR="006A6EFE" w:rsidRDefault="00AB1786" w:rsidP="008C71A9">
      <w:pPr>
        <w:pStyle w:val="Akapitzlist"/>
        <w:numPr>
          <w:ilvl w:val="0"/>
          <w:numId w:val="183"/>
        </w:numPr>
        <w:tabs>
          <w:tab w:val="left" w:pos="0"/>
          <w:tab w:val="left" w:pos="284"/>
        </w:tabs>
        <w:spacing w:after="0"/>
        <w:ind w:left="360"/>
        <w:jc w:val="both"/>
        <w:rPr>
          <w:rFonts w:ascii="Times New Roman" w:hAnsi="Times New Roman" w:cs="Times New Roman"/>
          <w:sz w:val="24"/>
          <w:szCs w:val="24"/>
        </w:rPr>
      </w:pPr>
      <w:r w:rsidRPr="00521797">
        <w:rPr>
          <w:rFonts w:ascii="Times New Roman" w:hAnsi="Times New Roman" w:cs="Times New Roman"/>
          <w:sz w:val="24"/>
          <w:szCs w:val="24"/>
        </w:rPr>
        <w:t xml:space="preserve">Regionalny Program Operacyjny Województwa Warmińsko-Mazurskiego na lata 2014-2020. W ramach Działania 10.7 „Aktywne i zdrowe starzenie się” ww. Programu, </w:t>
      </w:r>
      <w:r w:rsidRPr="00521797">
        <w:rPr>
          <w:rFonts w:ascii="Times New Roman" w:hAnsi="Times New Roman" w:cs="Times New Roman"/>
          <w:sz w:val="24"/>
          <w:szCs w:val="24"/>
        </w:rPr>
        <w:br/>
        <w:t>w 2019 r. wsparciem objęto ponad 13 000 aktywnych zawodowo mieszkańców województwa, ze szczególnym uwzględnieniem osób powyżej 50 roku życia. Wsparcie realizowane było poprzez objęcie w</w:t>
      </w:r>
      <w:r w:rsidR="006A6EFE">
        <w:rPr>
          <w:rFonts w:ascii="Times New Roman" w:hAnsi="Times New Roman" w:cs="Times New Roman"/>
          <w:sz w:val="24"/>
          <w:szCs w:val="24"/>
        </w:rPr>
        <w:t>w. osób programami zdrowotnymi.</w:t>
      </w:r>
    </w:p>
    <w:p w14:paraId="1150A339" w14:textId="77777777" w:rsidR="008B6F3B" w:rsidRPr="008B6F3B" w:rsidRDefault="00AB1786" w:rsidP="008C71A9">
      <w:pPr>
        <w:pStyle w:val="Akapitzlist"/>
        <w:numPr>
          <w:ilvl w:val="0"/>
          <w:numId w:val="183"/>
        </w:numPr>
        <w:tabs>
          <w:tab w:val="left" w:pos="0"/>
          <w:tab w:val="left" w:pos="284"/>
        </w:tabs>
        <w:spacing w:after="0"/>
        <w:ind w:left="360"/>
        <w:jc w:val="both"/>
        <w:rPr>
          <w:rFonts w:ascii="Times New Roman" w:hAnsi="Times New Roman" w:cs="Times New Roman"/>
          <w:sz w:val="24"/>
          <w:szCs w:val="24"/>
        </w:rPr>
      </w:pPr>
      <w:r w:rsidRPr="008B6F3B">
        <w:rPr>
          <w:rFonts w:ascii="Times New Roman" w:hAnsi="Times New Roman" w:cs="Times New Roman"/>
          <w:sz w:val="24"/>
          <w:szCs w:val="24"/>
        </w:rPr>
        <w:t>Program „Polityka senioralna województwa warmińsko-mazurskiego na lata 2014-2020”</w:t>
      </w:r>
    </w:p>
    <w:p w14:paraId="5D9284B1" w14:textId="77777777" w:rsidR="008B6F3B" w:rsidRDefault="008B6F3B" w:rsidP="000D7CDE">
      <w:pPr>
        <w:tabs>
          <w:tab w:val="left" w:pos="0"/>
          <w:tab w:val="left" w:pos="284"/>
        </w:tabs>
        <w:spacing w:after="0"/>
        <w:jc w:val="both"/>
        <w:rPr>
          <w:rFonts w:ascii="Times New Roman" w:hAnsi="Times New Roman" w:cs="Times New Roman"/>
          <w:sz w:val="24"/>
          <w:szCs w:val="24"/>
        </w:rPr>
      </w:pPr>
    </w:p>
    <w:p w14:paraId="58F962F9" w14:textId="77777777" w:rsidR="00AB1786" w:rsidRPr="008B6F3B" w:rsidRDefault="006A6EFE" w:rsidP="000D7CDE">
      <w:pPr>
        <w:tabs>
          <w:tab w:val="left" w:pos="0"/>
          <w:tab w:val="left" w:pos="284"/>
        </w:tabs>
        <w:spacing w:after="0"/>
        <w:jc w:val="both"/>
        <w:rPr>
          <w:rFonts w:ascii="Times New Roman" w:hAnsi="Times New Roman" w:cs="Times New Roman"/>
          <w:sz w:val="24"/>
          <w:szCs w:val="24"/>
        </w:rPr>
      </w:pPr>
      <w:r w:rsidRPr="008B6F3B">
        <w:rPr>
          <w:rFonts w:ascii="Times New Roman" w:hAnsi="Times New Roman" w:cs="Times New Roman"/>
          <w:sz w:val="24"/>
          <w:szCs w:val="24"/>
        </w:rPr>
        <w:t>Z</w:t>
      </w:r>
      <w:r w:rsidR="00AB1786" w:rsidRPr="008B6F3B">
        <w:rPr>
          <w:rFonts w:ascii="Times New Roman" w:hAnsi="Times New Roman" w:cs="Times New Roman"/>
          <w:sz w:val="24"/>
          <w:szCs w:val="24"/>
        </w:rPr>
        <w:t xml:space="preserve">agadnienia dotyczące aktywizacji osób starszych uwzględnione zostały w rocznym </w:t>
      </w:r>
      <w:r w:rsidR="00AB1786" w:rsidRPr="008B6F3B">
        <w:rPr>
          <w:rFonts w:ascii="Times New Roman" w:hAnsi="Times New Roman" w:cs="Times New Roman"/>
          <w:b/>
          <w:sz w:val="24"/>
          <w:szCs w:val="24"/>
        </w:rPr>
        <w:t>Programie współpracy Samorządu Woj</w:t>
      </w:r>
      <w:r w:rsidRPr="008B6F3B">
        <w:rPr>
          <w:rFonts w:ascii="Times New Roman" w:hAnsi="Times New Roman" w:cs="Times New Roman"/>
          <w:b/>
          <w:sz w:val="24"/>
          <w:szCs w:val="24"/>
        </w:rPr>
        <w:t xml:space="preserve">ewództwa Warmińsko-Mazurskiego </w:t>
      </w:r>
      <w:r w:rsidR="00AB1786" w:rsidRPr="008B6F3B">
        <w:rPr>
          <w:rFonts w:ascii="Times New Roman" w:hAnsi="Times New Roman" w:cs="Times New Roman"/>
          <w:b/>
          <w:sz w:val="24"/>
          <w:szCs w:val="24"/>
        </w:rPr>
        <w:t>z organizacjami pozarządowymi oraz podmiotami wymienionymi w art. 3 ust. 3 ustawy o działalności pożytku publi</w:t>
      </w:r>
      <w:r w:rsidR="00B55CC9" w:rsidRPr="008B6F3B">
        <w:rPr>
          <w:rFonts w:ascii="Times New Roman" w:hAnsi="Times New Roman" w:cs="Times New Roman"/>
          <w:b/>
          <w:sz w:val="24"/>
          <w:szCs w:val="24"/>
        </w:rPr>
        <w:t xml:space="preserve">cznego i o wolontariacie na </w:t>
      </w:r>
      <w:r w:rsidR="00AB1786" w:rsidRPr="008B6F3B">
        <w:rPr>
          <w:rFonts w:ascii="Times New Roman" w:hAnsi="Times New Roman" w:cs="Times New Roman"/>
          <w:b/>
          <w:sz w:val="24"/>
          <w:szCs w:val="24"/>
        </w:rPr>
        <w:t>2019</w:t>
      </w:r>
      <w:r w:rsidR="00B55CC9" w:rsidRPr="008B6F3B">
        <w:rPr>
          <w:rFonts w:ascii="Times New Roman" w:hAnsi="Times New Roman" w:cs="Times New Roman"/>
          <w:b/>
          <w:sz w:val="24"/>
          <w:szCs w:val="24"/>
        </w:rPr>
        <w:t xml:space="preserve"> r.</w:t>
      </w:r>
      <w:r w:rsidR="00AB1786" w:rsidRPr="008B6F3B">
        <w:rPr>
          <w:rFonts w:ascii="Times New Roman" w:hAnsi="Times New Roman" w:cs="Times New Roman"/>
          <w:sz w:val="24"/>
          <w:szCs w:val="24"/>
        </w:rPr>
        <w:t xml:space="preserve">, przyjętym </w:t>
      </w:r>
      <w:r w:rsidR="00AB1786" w:rsidRPr="008B6F3B">
        <w:rPr>
          <w:rFonts w:ascii="Times New Roman" w:hAnsi="Times New Roman" w:cs="Times New Roman"/>
          <w:i/>
          <w:sz w:val="24"/>
          <w:szCs w:val="24"/>
        </w:rPr>
        <w:t>Uchwałą Nr II/32/18 Sejmiku Województwa Warmińsko-Mazurskiego z dnia 4 grudnia 2018 r</w:t>
      </w:r>
      <w:r w:rsidR="00AB1786" w:rsidRPr="008B6F3B">
        <w:rPr>
          <w:rFonts w:ascii="Times New Roman" w:hAnsi="Times New Roman" w:cs="Times New Roman"/>
          <w:sz w:val="24"/>
          <w:szCs w:val="24"/>
        </w:rPr>
        <w:t xml:space="preserve">., m.in. w obszarze pomocy społecznej, edukacji, profilaktyki i promocji zdrowia publicznego, kultury i ochrony dziedzictwa kulturowego oraz rozwoju kultury fizycznej. Jednym z najnowszych priorytetów współpracy z organizacjami pozarządowymi, ujętymi w ww. Programie na wniosek organizacji seniorskich, był Priorytet XIV Działalność na rzecz osób w wieku emerytalnym. Prezentuje on zadania skierowane do osób w wieku emerytalnym, mieszkańców naszego regionu, które szczegółowo opisane są w innych priorytetach współpracy. Celem ogólnym realizowanym w powyższym zakresie zadań było: zwiększenie aktywnego udziału osób w wieku emerytalnym w życiu społecznym, kulturalnym oraz edukacyjnym. Osiągnięte wskaźniki dotyczyły działalności na rzecz osób w wieku emerytalnym: </w:t>
      </w:r>
    </w:p>
    <w:p w14:paraId="7256E124" w14:textId="77777777" w:rsidR="004F1B90" w:rsidRDefault="00AB1786" w:rsidP="008C71A9">
      <w:pPr>
        <w:pStyle w:val="Akapitzlist"/>
        <w:numPr>
          <w:ilvl w:val="0"/>
          <w:numId w:val="184"/>
        </w:numPr>
        <w:tabs>
          <w:tab w:val="left" w:pos="284"/>
        </w:tabs>
        <w:spacing w:after="0"/>
        <w:ind w:left="643"/>
        <w:jc w:val="both"/>
        <w:rPr>
          <w:rFonts w:ascii="Times New Roman" w:hAnsi="Times New Roman" w:cs="Times New Roman"/>
          <w:sz w:val="24"/>
          <w:szCs w:val="24"/>
        </w:rPr>
      </w:pPr>
      <w:r w:rsidRPr="004F1B90">
        <w:rPr>
          <w:rFonts w:ascii="Times New Roman" w:hAnsi="Times New Roman" w:cs="Times New Roman"/>
          <w:sz w:val="24"/>
          <w:szCs w:val="24"/>
        </w:rPr>
        <w:t>W zakresie rozwoju kultury fizycznej zlecono realizację</w:t>
      </w:r>
      <w:r w:rsidR="004F1B90">
        <w:rPr>
          <w:rFonts w:ascii="Times New Roman" w:hAnsi="Times New Roman" w:cs="Times New Roman"/>
          <w:sz w:val="24"/>
          <w:szCs w:val="24"/>
        </w:rPr>
        <w:t xml:space="preserve"> 6 zadań z zakresu propagowania </w:t>
      </w:r>
      <w:r w:rsidRPr="004F1B90">
        <w:rPr>
          <w:rFonts w:ascii="Times New Roman" w:hAnsi="Times New Roman" w:cs="Times New Roman"/>
          <w:sz w:val="24"/>
          <w:szCs w:val="24"/>
        </w:rPr>
        <w:t xml:space="preserve">i promowania aktywności fizycznej osób starszych, w których uczestniczyło łącznie 490 osób (łączna kwota dotacji: 120 000 zł). </w:t>
      </w:r>
    </w:p>
    <w:p w14:paraId="0A08177F" w14:textId="77777777" w:rsidR="004F1B90" w:rsidRDefault="004F1B90" w:rsidP="008C71A9">
      <w:pPr>
        <w:pStyle w:val="Akapitzlist"/>
        <w:numPr>
          <w:ilvl w:val="0"/>
          <w:numId w:val="184"/>
        </w:numPr>
        <w:tabs>
          <w:tab w:val="left" w:pos="284"/>
        </w:tabs>
        <w:spacing w:after="0"/>
        <w:ind w:left="643"/>
        <w:jc w:val="both"/>
        <w:rPr>
          <w:rFonts w:ascii="Times New Roman" w:hAnsi="Times New Roman" w:cs="Times New Roman"/>
          <w:sz w:val="24"/>
          <w:szCs w:val="24"/>
        </w:rPr>
      </w:pPr>
      <w:r w:rsidRPr="004F1B90">
        <w:rPr>
          <w:rFonts w:ascii="Times New Roman" w:hAnsi="Times New Roman" w:cs="Times New Roman"/>
          <w:sz w:val="24"/>
          <w:szCs w:val="24"/>
        </w:rPr>
        <w:t xml:space="preserve">W </w:t>
      </w:r>
      <w:r w:rsidR="00AB1786" w:rsidRPr="004F1B90">
        <w:rPr>
          <w:rFonts w:ascii="Times New Roman" w:hAnsi="Times New Roman" w:cs="Times New Roman"/>
          <w:sz w:val="24"/>
          <w:szCs w:val="24"/>
        </w:rPr>
        <w:t xml:space="preserve">zakresie edukacji, profilaktyki i promocji zdrowia publicznego zrealizowano </w:t>
      </w:r>
      <w:r w:rsidR="00AB1786" w:rsidRPr="004F1B90">
        <w:rPr>
          <w:rFonts w:ascii="Times New Roman" w:hAnsi="Times New Roman" w:cs="Times New Roman"/>
          <w:sz w:val="24"/>
          <w:szCs w:val="24"/>
        </w:rPr>
        <w:br/>
        <w:t xml:space="preserve">4 zadania dotyczące zwiększenia świadomości społeczeństwa w zakresie problematyki </w:t>
      </w:r>
      <w:r w:rsidR="00AB1786" w:rsidRPr="004F1B90">
        <w:rPr>
          <w:rFonts w:ascii="Times New Roman" w:hAnsi="Times New Roman" w:cs="Times New Roman"/>
          <w:sz w:val="24"/>
          <w:szCs w:val="24"/>
        </w:rPr>
        <w:lastRenderedPageBreak/>
        <w:t>zdrowego starzenia się, w których uczestniczyło łącznie 235 osób (łączna kwota dotacji: 16 170 zł).</w:t>
      </w:r>
    </w:p>
    <w:p w14:paraId="737A0886" w14:textId="77777777" w:rsidR="004F1B90" w:rsidRDefault="004F1B90" w:rsidP="008C71A9">
      <w:pPr>
        <w:pStyle w:val="Akapitzlist"/>
        <w:numPr>
          <w:ilvl w:val="0"/>
          <w:numId w:val="184"/>
        </w:numPr>
        <w:tabs>
          <w:tab w:val="left" w:pos="284"/>
        </w:tabs>
        <w:spacing w:after="0"/>
        <w:ind w:left="643"/>
        <w:jc w:val="both"/>
        <w:rPr>
          <w:rFonts w:ascii="Times New Roman" w:hAnsi="Times New Roman" w:cs="Times New Roman"/>
          <w:sz w:val="24"/>
          <w:szCs w:val="24"/>
        </w:rPr>
      </w:pPr>
      <w:r>
        <w:rPr>
          <w:rFonts w:ascii="Times New Roman" w:hAnsi="Times New Roman" w:cs="Times New Roman"/>
          <w:sz w:val="24"/>
          <w:szCs w:val="24"/>
        </w:rPr>
        <w:t xml:space="preserve">W </w:t>
      </w:r>
      <w:r w:rsidR="00AB1786" w:rsidRPr="004F1B90">
        <w:rPr>
          <w:rFonts w:ascii="Times New Roman" w:hAnsi="Times New Roman" w:cs="Times New Roman"/>
          <w:sz w:val="24"/>
          <w:szCs w:val="24"/>
        </w:rPr>
        <w:t>zakresie pomocy społecznej zlecono 7 zadań, w których uczestniczyło 965 osób; zadania dotyczyły: wspierania aktywno</w:t>
      </w:r>
      <w:r w:rsidR="006A6EFE" w:rsidRPr="004F1B90">
        <w:rPr>
          <w:rFonts w:ascii="Times New Roman" w:hAnsi="Times New Roman" w:cs="Times New Roman"/>
          <w:sz w:val="24"/>
          <w:szCs w:val="24"/>
        </w:rPr>
        <w:t xml:space="preserve">ści społecznej osób starszych, </w:t>
      </w:r>
      <w:r w:rsidR="00AB1786" w:rsidRPr="004F1B90">
        <w:rPr>
          <w:rFonts w:ascii="Times New Roman" w:hAnsi="Times New Roman" w:cs="Times New Roman"/>
          <w:sz w:val="24"/>
          <w:szCs w:val="24"/>
        </w:rPr>
        <w:t xml:space="preserve">ze szczególnym uwzględnieniem terenów wiejskich, wzmacniania i promowania integracji międzypokoleniowej, organizacji w Olsztynie w pierwszej dekadzie października, jednodniowej XII wojewódzkiej konferencji z okazji Międzynarodowego Dnia Osób Starszych, obchodzonego 1 października każdego roku (łączna kwota dotacji: 80 000 zł). W ramach zadań zleconych: dofinansowano działalność Wojewódzkich Rzeczników Praw Osób Starszych, zrealizowano warsztaty/kursy aktywizujące seniorów, w tym m.in. szkolenia z zakresu wolontariatu dla seniorów, zorganizowano imprezy integrujące środowiska osób starszych oraz spotkania budujące solidarność międzypokoleniową, promowano pozytywny wizerunek seniorów.  </w:t>
      </w:r>
    </w:p>
    <w:p w14:paraId="2BA5EF06" w14:textId="77777777" w:rsidR="004F1B90" w:rsidRDefault="004F1B90" w:rsidP="008C71A9">
      <w:pPr>
        <w:pStyle w:val="Akapitzlist"/>
        <w:numPr>
          <w:ilvl w:val="0"/>
          <w:numId w:val="184"/>
        </w:numPr>
        <w:tabs>
          <w:tab w:val="left" w:pos="284"/>
        </w:tabs>
        <w:spacing w:after="0"/>
        <w:ind w:left="643"/>
        <w:jc w:val="both"/>
        <w:rPr>
          <w:rFonts w:ascii="Times New Roman" w:hAnsi="Times New Roman" w:cs="Times New Roman"/>
          <w:sz w:val="24"/>
          <w:szCs w:val="24"/>
        </w:rPr>
      </w:pPr>
      <w:r>
        <w:rPr>
          <w:rFonts w:ascii="Times New Roman" w:hAnsi="Times New Roman" w:cs="Times New Roman"/>
          <w:sz w:val="24"/>
          <w:szCs w:val="24"/>
        </w:rPr>
        <w:t xml:space="preserve">W </w:t>
      </w:r>
      <w:r w:rsidR="00AB1786" w:rsidRPr="004F1B90">
        <w:rPr>
          <w:rFonts w:ascii="Times New Roman" w:hAnsi="Times New Roman" w:cs="Times New Roman"/>
          <w:sz w:val="24"/>
          <w:szCs w:val="24"/>
        </w:rPr>
        <w:t xml:space="preserve">zakresie kultury i ochrony dziedzictwa kulturowego zlecono 4 zadania, </w:t>
      </w:r>
      <w:r w:rsidR="00AB1786" w:rsidRPr="004F1B90">
        <w:rPr>
          <w:rFonts w:ascii="Times New Roman" w:hAnsi="Times New Roman" w:cs="Times New Roman"/>
          <w:sz w:val="24"/>
          <w:szCs w:val="24"/>
        </w:rPr>
        <w:br/>
        <w:t>w których uczestniczyło łącznie 1 806 osób (łączna kwota dotacji: 21 360 zł).</w:t>
      </w:r>
    </w:p>
    <w:p w14:paraId="17CF73DA" w14:textId="77777777" w:rsidR="004F1B90" w:rsidRDefault="004F1B90" w:rsidP="008C71A9">
      <w:pPr>
        <w:pStyle w:val="Akapitzlist"/>
        <w:numPr>
          <w:ilvl w:val="0"/>
          <w:numId w:val="184"/>
        </w:numPr>
        <w:tabs>
          <w:tab w:val="left" w:pos="284"/>
        </w:tabs>
        <w:spacing w:after="0"/>
        <w:ind w:left="643"/>
        <w:jc w:val="both"/>
        <w:rPr>
          <w:rFonts w:ascii="Times New Roman" w:hAnsi="Times New Roman" w:cs="Times New Roman"/>
          <w:sz w:val="24"/>
          <w:szCs w:val="24"/>
        </w:rPr>
      </w:pPr>
      <w:r>
        <w:rPr>
          <w:rFonts w:ascii="Times New Roman" w:hAnsi="Times New Roman" w:cs="Times New Roman"/>
          <w:sz w:val="24"/>
          <w:szCs w:val="24"/>
        </w:rPr>
        <w:t xml:space="preserve">W </w:t>
      </w:r>
      <w:r w:rsidR="00AB1786" w:rsidRPr="004F1B90">
        <w:rPr>
          <w:rFonts w:ascii="Times New Roman" w:hAnsi="Times New Roman" w:cs="Times New Roman"/>
          <w:sz w:val="24"/>
          <w:szCs w:val="24"/>
        </w:rPr>
        <w:t xml:space="preserve">zakresie współpracy międzynarodowej zrealizowano 1 zadanie, w którym uczestniczyło  ok. 100 osób (kwota dotacji: 10 000 zł). </w:t>
      </w:r>
    </w:p>
    <w:p w14:paraId="0C9C2E4B" w14:textId="77777777" w:rsidR="00AB1786" w:rsidRPr="004F1B90" w:rsidRDefault="004F1B90" w:rsidP="008C71A9">
      <w:pPr>
        <w:pStyle w:val="Akapitzlist"/>
        <w:numPr>
          <w:ilvl w:val="0"/>
          <w:numId w:val="184"/>
        </w:numPr>
        <w:tabs>
          <w:tab w:val="left" w:pos="284"/>
        </w:tabs>
        <w:spacing w:after="0"/>
        <w:ind w:left="643"/>
        <w:jc w:val="both"/>
        <w:rPr>
          <w:rFonts w:ascii="Times New Roman" w:hAnsi="Times New Roman" w:cs="Times New Roman"/>
          <w:sz w:val="24"/>
          <w:szCs w:val="24"/>
        </w:rPr>
      </w:pPr>
      <w:r>
        <w:rPr>
          <w:rFonts w:ascii="Times New Roman" w:hAnsi="Times New Roman" w:cs="Times New Roman"/>
          <w:sz w:val="24"/>
          <w:szCs w:val="24"/>
        </w:rPr>
        <w:t xml:space="preserve">W </w:t>
      </w:r>
      <w:r w:rsidR="00AB1786" w:rsidRPr="004F1B90">
        <w:rPr>
          <w:rFonts w:ascii="Times New Roman" w:hAnsi="Times New Roman" w:cs="Times New Roman"/>
          <w:sz w:val="24"/>
          <w:szCs w:val="24"/>
        </w:rPr>
        <w:t xml:space="preserve">zakresie rozwoju sektora pozarządowego województwa warmińsko-mazurskiego zlecono  1 zadanie, w których uczestniczyło ok. 100 osób (kwota dotacji: 10 000 zł). </w:t>
      </w:r>
    </w:p>
    <w:p w14:paraId="5EA89A48" w14:textId="77777777" w:rsidR="004F1B90" w:rsidRDefault="004F1B90" w:rsidP="000D7CDE">
      <w:pPr>
        <w:tabs>
          <w:tab w:val="left" w:pos="426"/>
        </w:tabs>
        <w:spacing w:after="0"/>
        <w:contextualSpacing/>
        <w:jc w:val="both"/>
        <w:rPr>
          <w:rFonts w:ascii="Times New Roman" w:hAnsi="Times New Roman" w:cs="Times New Roman"/>
          <w:sz w:val="24"/>
          <w:szCs w:val="24"/>
        </w:rPr>
      </w:pPr>
    </w:p>
    <w:p w14:paraId="0533AE5A" w14:textId="77777777" w:rsidR="00AB1786" w:rsidRPr="005F0A32" w:rsidRDefault="00AB1786" w:rsidP="000D7CDE">
      <w:pPr>
        <w:tabs>
          <w:tab w:val="left" w:pos="426"/>
        </w:tabs>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Łącznie zrealizowano 23 zadania bezpośredni</w:t>
      </w:r>
      <w:r w:rsidR="004F1B90">
        <w:rPr>
          <w:rFonts w:ascii="Times New Roman" w:hAnsi="Times New Roman" w:cs="Times New Roman"/>
          <w:sz w:val="24"/>
          <w:szCs w:val="24"/>
        </w:rPr>
        <w:t xml:space="preserve">o dedykowane seniorom (również </w:t>
      </w:r>
      <w:r w:rsidRPr="005F0A32">
        <w:rPr>
          <w:rFonts w:ascii="Times New Roman" w:hAnsi="Times New Roman" w:cs="Times New Roman"/>
          <w:sz w:val="24"/>
          <w:szCs w:val="24"/>
        </w:rPr>
        <w:t xml:space="preserve">w zakresie integracji międzypokoleniowej), w których wzięło udział ok. 3 696 osób. Kwota udzielonych dotacji to: 257 530 zł. Należy przy tym podkreślić, że seniorzy brali udział również w innych zadaniach zlecanych przez Samorząd Województwa Warmińsko-Mazurskiego kierowanych do mieszkańców regionu. </w:t>
      </w:r>
    </w:p>
    <w:p w14:paraId="2AB45F47" w14:textId="77777777" w:rsidR="006A6EFE" w:rsidRDefault="006A6EFE" w:rsidP="000D7CDE">
      <w:pPr>
        <w:spacing w:after="0"/>
        <w:jc w:val="both"/>
        <w:rPr>
          <w:rFonts w:ascii="Times New Roman" w:hAnsi="Times New Roman" w:cs="Times New Roman"/>
          <w:sz w:val="24"/>
          <w:szCs w:val="24"/>
        </w:rPr>
      </w:pPr>
    </w:p>
    <w:p w14:paraId="64B8038D" w14:textId="77777777" w:rsidR="00AB1786" w:rsidRPr="005F0A32" w:rsidRDefault="006A6EFE" w:rsidP="000D7CDE">
      <w:pPr>
        <w:spacing w:after="0"/>
        <w:jc w:val="both"/>
        <w:rPr>
          <w:rFonts w:ascii="Times New Roman" w:hAnsi="Times New Roman" w:cs="Times New Roman"/>
          <w:sz w:val="24"/>
          <w:szCs w:val="24"/>
        </w:rPr>
      </w:pPr>
      <w:r>
        <w:rPr>
          <w:rFonts w:ascii="Times New Roman" w:hAnsi="Times New Roman" w:cs="Times New Roman"/>
          <w:sz w:val="24"/>
          <w:szCs w:val="24"/>
        </w:rPr>
        <w:t>W</w:t>
      </w:r>
      <w:r w:rsidR="00AB1786" w:rsidRPr="005F0A32">
        <w:rPr>
          <w:rFonts w:ascii="Times New Roman" w:hAnsi="Times New Roman" w:cs="Times New Roman"/>
          <w:sz w:val="24"/>
          <w:szCs w:val="24"/>
        </w:rPr>
        <w:t xml:space="preserve"> grudniu 2019 r. Zarząd Województwa Warmińsko-Mazurskiego przyjął Raport</w:t>
      </w:r>
      <w:r w:rsidR="008905FF">
        <w:rPr>
          <w:rFonts w:ascii="Times New Roman" w:hAnsi="Times New Roman" w:cs="Times New Roman"/>
          <w:sz w:val="24"/>
          <w:szCs w:val="24"/>
        </w:rPr>
        <w:t xml:space="preserve"> </w:t>
      </w:r>
      <w:r w:rsidR="00AB1786" w:rsidRPr="005F0A32">
        <w:rPr>
          <w:rFonts w:ascii="Times New Roman" w:hAnsi="Times New Roman" w:cs="Times New Roman"/>
          <w:sz w:val="24"/>
          <w:szCs w:val="24"/>
        </w:rPr>
        <w:t xml:space="preserve">z monitoringu wdrażania w latach 2017-2018 Programu „Polityka senioralna województwa warmińsko-mazurskiego na lata 2014-2020”. Dokument przedstawia działania podejmowane na rzecz seniorów w zakresie </w:t>
      </w:r>
      <w:r w:rsidR="004F1B90">
        <w:rPr>
          <w:rFonts w:ascii="Times New Roman" w:hAnsi="Times New Roman" w:cs="Times New Roman"/>
          <w:sz w:val="24"/>
          <w:szCs w:val="24"/>
        </w:rPr>
        <w:t xml:space="preserve">ochrony zdrowia, infrastruktury </w:t>
      </w:r>
      <w:r w:rsidR="00AB1786" w:rsidRPr="005F0A32">
        <w:rPr>
          <w:rFonts w:ascii="Times New Roman" w:hAnsi="Times New Roman" w:cs="Times New Roman"/>
          <w:sz w:val="24"/>
          <w:szCs w:val="24"/>
        </w:rPr>
        <w:t>i usług socjalnych, aktywności społecznej, kulturalnej, edukac</w:t>
      </w:r>
      <w:r w:rsidR="004F1B90">
        <w:rPr>
          <w:rFonts w:ascii="Times New Roman" w:hAnsi="Times New Roman" w:cs="Times New Roman"/>
          <w:sz w:val="24"/>
          <w:szCs w:val="24"/>
        </w:rPr>
        <w:t xml:space="preserve">yjnej oraz zawodowej, </w:t>
      </w:r>
      <w:r w:rsidR="00AB1786" w:rsidRPr="005F0A32">
        <w:rPr>
          <w:rFonts w:ascii="Times New Roman" w:hAnsi="Times New Roman" w:cs="Times New Roman"/>
          <w:sz w:val="24"/>
          <w:szCs w:val="24"/>
        </w:rPr>
        <w:t>a także turystyki, sportu i rekreacji. Został opracowany na podstawie informacji otrzymanych z samorządów gminnych i powiatowych, jednostek organizacyjnych pomocy i integracji społecznej, instytucji ochrony zdrowia, rynku pracy, policji, straży miejskiej, uczelni wyższych, szkół policealnych, uniwersytetów i akademii trzeciego wieku, a także regionalnych mediów i organizacji pozarządowych. Raport przygotowany w szerokiej współpracy z wieloma instytucjami i podmiotami ma służyć wdrażaniu skutecznych i zintegrowanych rozwiązań na rzecz seniorów, a także być wsparciem przy planowaniu zadań finansowanych ze środków publicznych. Działania  podejmowane w ramach ww. Programu mają wpływ na zwiększenie udziału osób starszych w życiu publicznym, społecznym, gospodarczym i kulturalnym Regionu. Przyczyniają się tym samym do rozwoju społeczeństwa obywatelskiego, sprzyjają również integracji i współpracy podmiotów publicznych oraz pozarządowych.</w:t>
      </w:r>
    </w:p>
    <w:p w14:paraId="026D337C" w14:textId="77777777" w:rsidR="00FA0FF8" w:rsidRDefault="00FA0FF8" w:rsidP="000D7CDE">
      <w:pPr>
        <w:tabs>
          <w:tab w:val="left" w:pos="284"/>
        </w:tabs>
        <w:spacing w:after="0"/>
        <w:jc w:val="both"/>
        <w:rPr>
          <w:rFonts w:ascii="Times New Roman" w:hAnsi="Times New Roman" w:cs="Times New Roman"/>
          <w:sz w:val="24"/>
          <w:szCs w:val="24"/>
        </w:rPr>
      </w:pPr>
    </w:p>
    <w:p w14:paraId="325CC7CE" w14:textId="77777777" w:rsidR="00AB1786" w:rsidRPr="005F0A32" w:rsidRDefault="00AB1786" w:rsidP="000D7CDE">
      <w:pPr>
        <w:pStyle w:val="Akapitzlist"/>
        <w:tabs>
          <w:tab w:val="left" w:pos="284"/>
        </w:tabs>
        <w:spacing w:after="0"/>
        <w:ind w:left="0"/>
        <w:jc w:val="both"/>
        <w:rPr>
          <w:rFonts w:ascii="Times New Roman" w:hAnsi="Times New Roman" w:cs="Times New Roman"/>
          <w:sz w:val="24"/>
          <w:szCs w:val="24"/>
          <w:u w:val="single"/>
        </w:rPr>
      </w:pPr>
    </w:p>
    <w:p w14:paraId="2C6A06AD" w14:textId="77777777" w:rsidR="00AB1786" w:rsidRPr="005F0A32" w:rsidRDefault="00AB1786" w:rsidP="000D7CDE">
      <w:pPr>
        <w:tabs>
          <w:tab w:val="left" w:pos="993"/>
        </w:tabs>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lastRenderedPageBreak/>
        <w:t xml:space="preserve">13 czerwca 2019 r. w Olsztynie odbyła się </w:t>
      </w:r>
      <w:r w:rsidRPr="008B6F3B">
        <w:rPr>
          <w:rFonts w:ascii="Times New Roman" w:hAnsi="Times New Roman" w:cs="Times New Roman"/>
          <w:b/>
          <w:sz w:val="24"/>
          <w:szCs w:val="24"/>
        </w:rPr>
        <w:t>Wojewódzka konferencja z okazji Światowego Dnia Praw Osób Starszych pt. „Perspektywy tworzenia rzeczywistości przyjaznej seniorom”.</w:t>
      </w:r>
      <w:r w:rsidRPr="005F0A32">
        <w:rPr>
          <w:rFonts w:ascii="Times New Roman" w:hAnsi="Times New Roman" w:cs="Times New Roman"/>
          <w:b/>
          <w:sz w:val="24"/>
          <w:szCs w:val="24"/>
        </w:rPr>
        <w:t xml:space="preserve"> </w:t>
      </w:r>
      <w:r w:rsidRPr="005F0A32">
        <w:rPr>
          <w:rFonts w:ascii="Times New Roman" w:eastAsia="Times New Roman" w:hAnsi="Times New Roman" w:cs="Times New Roman"/>
          <w:sz w:val="24"/>
          <w:szCs w:val="24"/>
          <w:lang w:eastAsia="pl-PL"/>
        </w:rPr>
        <w:t xml:space="preserve">Wśród licznych gości byli </w:t>
      </w:r>
      <w:r w:rsidRPr="005F0A32">
        <w:rPr>
          <w:rFonts w:ascii="Times New Roman" w:hAnsi="Times New Roman" w:cs="Times New Roman"/>
          <w:sz w:val="24"/>
          <w:szCs w:val="24"/>
        </w:rPr>
        <w:t>seniorzy z województwa warmińsko-mazurskiego oraz przedstawiciele uniwersytetów i akademii trzeciego wieku, przedstawiciele lokalnych samorządów, jednostek organizacyjnych pomocy i integracji społecznej, instytucji oświaty, kultury i edukacji, rynku pracy, ochrony zdrowia, a także organizacji pozarządowych, w tym działających na rzecz osób starszych (łącznie ok.150 osób),</w:t>
      </w:r>
    </w:p>
    <w:p w14:paraId="7A8EE759" w14:textId="77777777" w:rsidR="004F1B90" w:rsidRDefault="004F1B90" w:rsidP="000D7CDE">
      <w:pPr>
        <w:tabs>
          <w:tab w:val="left" w:pos="993"/>
        </w:tabs>
        <w:spacing w:after="0"/>
        <w:ind w:left="142" w:hanging="142"/>
        <w:contextualSpacing/>
        <w:jc w:val="both"/>
        <w:rPr>
          <w:rFonts w:ascii="Times New Roman" w:hAnsi="Times New Roman" w:cs="Times New Roman"/>
          <w:sz w:val="24"/>
          <w:szCs w:val="24"/>
        </w:rPr>
      </w:pPr>
    </w:p>
    <w:p w14:paraId="574E2CA1" w14:textId="77777777" w:rsidR="00AB1786" w:rsidRPr="005F0A32" w:rsidRDefault="00AB1786" w:rsidP="000D7CDE">
      <w:pPr>
        <w:tabs>
          <w:tab w:val="left" w:pos="993"/>
        </w:tabs>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4 października 2019 r. w Olsztynie odbyła się </w:t>
      </w:r>
      <w:r w:rsidRPr="008B6F3B">
        <w:rPr>
          <w:rFonts w:ascii="Times New Roman" w:hAnsi="Times New Roman" w:cs="Times New Roman"/>
          <w:b/>
          <w:sz w:val="24"/>
          <w:szCs w:val="24"/>
        </w:rPr>
        <w:t xml:space="preserve">XII </w:t>
      </w:r>
      <w:r w:rsidR="004F1B90" w:rsidRPr="008B6F3B">
        <w:rPr>
          <w:rFonts w:ascii="Times New Roman" w:hAnsi="Times New Roman" w:cs="Times New Roman"/>
          <w:b/>
          <w:sz w:val="24"/>
          <w:szCs w:val="24"/>
        </w:rPr>
        <w:t xml:space="preserve">Wojewódzka konferencja z okazji </w:t>
      </w:r>
      <w:r w:rsidRPr="008B6F3B">
        <w:rPr>
          <w:rFonts w:ascii="Times New Roman" w:hAnsi="Times New Roman" w:cs="Times New Roman"/>
          <w:b/>
          <w:sz w:val="24"/>
          <w:szCs w:val="24"/>
        </w:rPr>
        <w:t xml:space="preserve">Międzynarodowego Dnia Osób Starszych pt. „Działania na rzecz równości osób starszych </w:t>
      </w:r>
      <w:r w:rsidRPr="008B6F3B">
        <w:rPr>
          <w:rFonts w:ascii="Times New Roman" w:hAnsi="Times New Roman" w:cs="Times New Roman"/>
          <w:b/>
          <w:sz w:val="24"/>
          <w:szCs w:val="24"/>
        </w:rPr>
        <w:br/>
        <w:t>w rozwoju kulturalnym i ekonomicznym społeczeństw”.</w:t>
      </w:r>
      <w:r w:rsidRPr="005F0A32">
        <w:rPr>
          <w:rFonts w:ascii="Times New Roman" w:hAnsi="Times New Roman" w:cs="Times New Roman"/>
          <w:sz w:val="24"/>
          <w:szCs w:val="24"/>
        </w:rPr>
        <w:t xml:space="preserve"> Organizatorem konferencji była Federacja Uniwersytetów Trzeciego Wieku Warmii i Mazur w ramach zadania zleconego przez Samorząd Województwa Warmińsko-Mazurskiego. W konferencji uczestniczyli głównie przedstawiciele uniwersytetów i akademii trzeciego wieku oraz innych organizacji </w:t>
      </w:r>
      <w:r w:rsidRPr="005F0A32">
        <w:rPr>
          <w:rFonts w:ascii="Times New Roman" w:hAnsi="Times New Roman" w:cs="Times New Roman"/>
          <w:sz w:val="24"/>
          <w:szCs w:val="24"/>
        </w:rPr>
        <w:br/>
        <w:t xml:space="preserve">i środowisk seniorskich (łącznie ok. 100 osób). </w:t>
      </w:r>
    </w:p>
    <w:p w14:paraId="6D12FA85" w14:textId="77777777" w:rsidR="00AB1786" w:rsidRPr="005F0A32" w:rsidRDefault="00AB1786" w:rsidP="000D7CDE">
      <w:pPr>
        <w:pStyle w:val="Akapitzlist"/>
        <w:tabs>
          <w:tab w:val="left" w:pos="284"/>
        </w:tabs>
        <w:spacing w:after="0"/>
        <w:ind w:left="0"/>
        <w:jc w:val="both"/>
        <w:rPr>
          <w:rFonts w:ascii="Times New Roman" w:hAnsi="Times New Roman" w:cs="Times New Roman"/>
          <w:sz w:val="24"/>
          <w:szCs w:val="24"/>
          <w:u w:val="single"/>
        </w:rPr>
      </w:pPr>
    </w:p>
    <w:p w14:paraId="0C21BEF3"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Na terenie województwa warmińsko-mazurskiego działalność prowadziło wiele nieformalnych grup, klubów, zespołów artystycznych i kół zainteresowań dla osób starszych. Najbardziej powszechną i zorganizowaną formą aktywi</w:t>
      </w:r>
      <w:r w:rsidR="00B72365">
        <w:rPr>
          <w:rFonts w:ascii="Times New Roman" w:hAnsi="Times New Roman" w:cs="Times New Roman"/>
          <w:sz w:val="24"/>
          <w:szCs w:val="24"/>
        </w:rPr>
        <w:t xml:space="preserve">zacji seniorów są Uniwersytety </w:t>
      </w:r>
      <w:r w:rsidRPr="005F0A32">
        <w:rPr>
          <w:rFonts w:ascii="Times New Roman" w:hAnsi="Times New Roman" w:cs="Times New Roman"/>
          <w:sz w:val="24"/>
          <w:szCs w:val="24"/>
        </w:rPr>
        <w:t>i Akademie Trzeciego Wieku. Prowadzono  w nich głównie zajęcia edukacyjne w formie wykładów, seminariów, konferencji, dyskusji, warsztatów, szkoleń itp., z zakresu psychologii, ochrony zdrowia, sztuki, historii, medycyny, zagadnień społecznych, technologii IT, nauki języków obcych oraz zajęcia informatyczne/komputerowe. Organizowane były również warsztaty artystyczne, zajęcia z kultury fizycznej i rehabilitacji zdrowotnej, zajęcia sportowe, taneczne, muzyczne, rękodzielnicze, ceramiczne, spotkania kulturalne, turystyczno-krajoznawcze i inne.</w:t>
      </w:r>
    </w:p>
    <w:p w14:paraId="05A722DC" w14:textId="77777777" w:rsidR="00AB1786" w:rsidRPr="005F0A32" w:rsidRDefault="00AB1786" w:rsidP="000D7CDE">
      <w:pPr>
        <w:autoSpaceDE w:val="0"/>
        <w:autoSpaceDN w:val="0"/>
        <w:adjustRightInd w:val="0"/>
        <w:spacing w:after="0"/>
        <w:jc w:val="both"/>
        <w:rPr>
          <w:rFonts w:ascii="Times New Roman" w:hAnsi="Times New Roman" w:cs="Times New Roman"/>
          <w:sz w:val="24"/>
          <w:szCs w:val="24"/>
        </w:rPr>
      </w:pPr>
      <w:r w:rsidRPr="005F0A32">
        <w:rPr>
          <w:rFonts w:ascii="Times New Roman" w:hAnsi="Times New Roman" w:cs="Times New Roman"/>
          <w:sz w:val="24"/>
          <w:szCs w:val="24"/>
        </w:rPr>
        <w:t>Fundamentalne znaczenie dla tworzenia środowisk przyjaznych seniorom ma także rzecznictwo interesów tej grupy społecznej. W naszym regionie w 2019 r. kontynuowane ono było m.in. poprzez działalność Rzeczników P</w:t>
      </w:r>
      <w:r w:rsidR="00B72365">
        <w:rPr>
          <w:rFonts w:ascii="Times New Roman" w:hAnsi="Times New Roman" w:cs="Times New Roman"/>
          <w:sz w:val="24"/>
          <w:szCs w:val="24"/>
        </w:rPr>
        <w:t xml:space="preserve">raw Osób Starszych, prowadzoną </w:t>
      </w:r>
      <w:r w:rsidRPr="005F0A32">
        <w:rPr>
          <w:rFonts w:ascii="Times New Roman" w:hAnsi="Times New Roman" w:cs="Times New Roman"/>
          <w:sz w:val="24"/>
          <w:szCs w:val="24"/>
        </w:rPr>
        <w:t>w subregionach: olsztyńskim i ełckim, przy wsparciu finansowym Samorządu Województwa Warmińsko-Mazurskiego.</w:t>
      </w:r>
    </w:p>
    <w:p w14:paraId="77F0F655" w14:textId="77777777" w:rsidR="00B72365" w:rsidRDefault="00B72365" w:rsidP="000D7CDE">
      <w:pPr>
        <w:autoSpaceDE w:val="0"/>
        <w:autoSpaceDN w:val="0"/>
        <w:adjustRightInd w:val="0"/>
        <w:spacing w:after="0"/>
        <w:jc w:val="both"/>
        <w:rPr>
          <w:rFonts w:ascii="Times New Roman" w:hAnsi="Times New Roman" w:cs="Times New Roman"/>
          <w:sz w:val="24"/>
          <w:szCs w:val="24"/>
        </w:rPr>
      </w:pPr>
    </w:p>
    <w:p w14:paraId="722725B8" w14:textId="77777777" w:rsidR="00AB1786" w:rsidRPr="005F0A32" w:rsidRDefault="00AB1786" w:rsidP="000D7CDE">
      <w:pPr>
        <w:autoSpaceDE w:val="0"/>
        <w:autoSpaceDN w:val="0"/>
        <w:adjustRightInd w:val="0"/>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Ponadto, lokalne interesy środowisk osób starszych w naszym regionie reprezentowało </w:t>
      </w:r>
      <w:r w:rsidRPr="005F0A32">
        <w:rPr>
          <w:rFonts w:ascii="Times New Roman" w:hAnsi="Times New Roman" w:cs="Times New Roman"/>
          <w:sz w:val="24"/>
          <w:szCs w:val="24"/>
        </w:rPr>
        <w:br/>
        <w:t>17 gminnych rad seniorów, które w 2019 r. prowadziły działalność w Elblągu, Olsztynie, Ełku, Kętrzynie, Mrągowie, Olecku, Orzyszu, Nidzicy, Działdowie, Iławie, Lubawie, Nowym Mieście Lubawskim, Lidzbarku Warmińskim, Kor</w:t>
      </w:r>
      <w:r w:rsidR="008B6F3B">
        <w:rPr>
          <w:rFonts w:ascii="Times New Roman" w:hAnsi="Times New Roman" w:cs="Times New Roman"/>
          <w:sz w:val="24"/>
          <w:szCs w:val="24"/>
        </w:rPr>
        <w:t xml:space="preserve">szach, Giżycku (2) i Wydminach. </w:t>
      </w:r>
      <w:r w:rsidRPr="005F0A32">
        <w:rPr>
          <w:rFonts w:ascii="Times New Roman" w:hAnsi="Times New Roman" w:cs="Times New Roman"/>
          <w:sz w:val="24"/>
          <w:szCs w:val="24"/>
        </w:rPr>
        <w:t xml:space="preserve">Inną formacją, mającą krajowy zasięg działania jest Obywatelski Parlament Seniorów, </w:t>
      </w:r>
      <w:r w:rsidRPr="005F0A32">
        <w:rPr>
          <w:rFonts w:ascii="Times New Roman" w:hAnsi="Times New Roman" w:cs="Times New Roman"/>
          <w:sz w:val="24"/>
          <w:szCs w:val="24"/>
        </w:rPr>
        <w:br/>
        <w:t xml:space="preserve">w którym województwo warmińsko-mazurskie reprezentowane jest przez kilkunastu delegatów z naszego regionu. </w:t>
      </w:r>
    </w:p>
    <w:p w14:paraId="62DEF402" w14:textId="77777777" w:rsidR="008B6F3B" w:rsidRDefault="008B6F3B" w:rsidP="000D7CDE">
      <w:pPr>
        <w:tabs>
          <w:tab w:val="left" w:pos="0"/>
          <w:tab w:val="left" w:pos="426"/>
        </w:tabs>
        <w:spacing w:after="0"/>
        <w:contextualSpacing/>
        <w:jc w:val="both"/>
        <w:rPr>
          <w:rFonts w:ascii="Times New Roman" w:hAnsi="Times New Roman" w:cs="Times New Roman"/>
          <w:sz w:val="24"/>
          <w:szCs w:val="24"/>
        </w:rPr>
      </w:pPr>
    </w:p>
    <w:p w14:paraId="1E43EDC9" w14:textId="77777777" w:rsidR="00AB1786" w:rsidRPr="005F0A32" w:rsidRDefault="00AB1786" w:rsidP="000D7CDE">
      <w:pPr>
        <w:tabs>
          <w:tab w:val="left" w:pos="0"/>
          <w:tab w:val="left" w:pos="426"/>
        </w:tabs>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W województwie osobom starszym świadczono usługi opiekuńcze zaliczane do świadczeń niepieniężnych z systemu pomocy społecznej, które obejmowały m.in. pomoc w zaspokajaniu codziennych potrzeb życiowych, opiekę higieniczną i pielęgnację. W 2019 r. liczba osób, które skorzystały z usług opiekuńczych ogółem wyniosła 6 151 (wzrost o 429 osób względem 2018 r.). Spośród wszystkich osób korzystających z usług opiekuńczych 5 523 osoby to podopieczni </w:t>
      </w:r>
      <w:r w:rsidRPr="005F0A32">
        <w:rPr>
          <w:rFonts w:ascii="Times New Roman" w:hAnsi="Times New Roman" w:cs="Times New Roman"/>
          <w:sz w:val="24"/>
          <w:szCs w:val="24"/>
        </w:rPr>
        <w:lastRenderedPageBreak/>
        <w:t>będący w wieku poprodukcyjnym (90%). W 2019</w:t>
      </w:r>
      <w:r w:rsidR="008B6F3B">
        <w:rPr>
          <w:rFonts w:ascii="Times New Roman" w:hAnsi="Times New Roman" w:cs="Times New Roman"/>
          <w:sz w:val="24"/>
          <w:szCs w:val="24"/>
        </w:rPr>
        <w:t xml:space="preserve"> r.</w:t>
      </w:r>
      <w:r w:rsidRPr="005F0A32">
        <w:rPr>
          <w:rFonts w:ascii="Times New Roman" w:hAnsi="Times New Roman" w:cs="Times New Roman"/>
          <w:sz w:val="24"/>
          <w:szCs w:val="24"/>
        </w:rPr>
        <w:t xml:space="preserve"> dwadzieścia pięć samorządów gminnych zleciło realizację usług opiekuńczych o łącznej wartości przekazanych dotacji ponad 20 191 tys. zł. Zawarto w tym celu umowy z 28 podmiotami trzeciego sektora. W kontekście zachodzących przemian demograficznych, skutkujących starzeniem się społeczeństwa, w kolejnych latach należy spodziewać się wzrostu zapotrzebowania na usługi opiekuńcze.  </w:t>
      </w:r>
    </w:p>
    <w:p w14:paraId="2F05F191" w14:textId="77777777" w:rsidR="00AB1786" w:rsidRPr="005F0A32" w:rsidRDefault="00AB1786" w:rsidP="000D7CDE">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W naszym regionie funkcjonowały ponadto podmioty ekonomii społecznej działające na rzecz osób starszych. Z danych z monitoringu prowadzonego przez Regionalny Ośrodek Polityki Społecznej wynika, iż na koniec 2019 r. na Warmii i Mazurach działało aktywnie siedemdziesiąt pięć spółdzielni socjalnych. Jedenaście z nich świadczyło usługi opiekuńcze na rzecz osób starszych.</w:t>
      </w:r>
    </w:p>
    <w:p w14:paraId="12110E56" w14:textId="77777777" w:rsidR="00AB1786" w:rsidRPr="005F0A32" w:rsidRDefault="00AB1786" w:rsidP="000D7CDE">
      <w:pPr>
        <w:spacing w:after="0"/>
        <w:jc w:val="both"/>
        <w:rPr>
          <w:rFonts w:ascii="Times New Roman" w:hAnsi="Times New Roman" w:cs="Times New Roman"/>
          <w:sz w:val="24"/>
          <w:szCs w:val="24"/>
        </w:rPr>
      </w:pPr>
    </w:p>
    <w:p w14:paraId="335FB7BC" w14:textId="77777777" w:rsidR="00B72365" w:rsidRPr="008B6F3B" w:rsidRDefault="00B72365" w:rsidP="000D7CDE">
      <w:pPr>
        <w:spacing w:after="0"/>
        <w:jc w:val="both"/>
        <w:rPr>
          <w:rFonts w:ascii="Times New Roman" w:hAnsi="Times New Roman" w:cs="Times New Roman"/>
          <w:color w:val="00B0F0"/>
          <w:sz w:val="24"/>
          <w:szCs w:val="24"/>
        </w:rPr>
      </w:pPr>
      <w:r w:rsidRPr="008B6F3B">
        <w:rPr>
          <w:rFonts w:ascii="Times New Roman" w:hAnsi="Times New Roman" w:cs="Times New Roman"/>
          <w:b/>
          <w:color w:val="00B0F0"/>
          <w:sz w:val="24"/>
          <w:szCs w:val="24"/>
        </w:rPr>
        <w:t>Przykłady dobrych praktyk na poziomie lokalnym</w:t>
      </w:r>
    </w:p>
    <w:p w14:paraId="7A186D80" w14:textId="77777777" w:rsidR="00B72365" w:rsidRDefault="00B72365" w:rsidP="000D7CDE">
      <w:pPr>
        <w:pStyle w:val="Akapitzlist"/>
        <w:spacing w:after="0"/>
        <w:ind w:left="0"/>
        <w:jc w:val="both"/>
        <w:rPr>
          <w:rFonts w:ascii="Times New Roman" w:hAnsi="Times New Roman" w:cs="Times New Roman"/>
          <w:sz w:val="24"/>
          <w:szCs w:val="24"/>
          <w:u w:val="single"/>
        </w:rPr>
      </w:pPr>
    </w:p>
    <w:p w14:paraId="162DCF46" w14:textId="77777777" w:rsidR="00AB1786" w:rsidRPr="008B6F3B" w:rsidRDefault="00AB1786" w:rsidP="000D7CDE">
      <w:pPr>
        <w:pStyle w:val="Akapitzlist"/>
        <w:spacing w:after="0"/>
        <w:ind w:left="0"/>
        <w:jc w:val="both"/>
        <w:rPr>
          <w:rFonts w:ascii="Times New Roman" w:hAnsi="Times New Roman" w:cs="Times New Roman"/>
          <w:b/>
          <w:sz w:val="24"/>
          <w:szCs w:val="24"/>
        </w:rPr>
      </w:pPr>
      <w:r w:rsidRPr="008B6F3B">
        <w:rPr>
          <w:rFonts w:ascii="Times New Roman" w:hAnsi="Times New Roman" w:cs="Times New Roman"/>
          <w:b/>
          <w:sz w:val="24"/>
          <w:szCs w:val="24"/>
        </w:rPr>
        <w:t>Miasto Elbląg – miasto na prawach powiatu</w:t>
      </w:r>
    </w:p>
    <w:p w14:paraId="767568FF" w14:textId="77777777" w:rsidR="00B72365" w:rsidRDefault="00AB1786" w:rsidP="008C71A9">
      <w:pPr>
        <w:pStyle w:val="Akapitzlist"/>
        <w:numPr>
          <w:ilvl w:val="0"/>
          <w:numId w:val="185"/>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 xml:space="preserve">Lato w Bibliotece Elbląskiej im. C. Norwida – gdzie seniorom oferowano bezpłatne zajęcia i wykłady. Od czerwca do sierpnia w każdy czwartek odbywały się cotygodniowe spotkania z różnymi wykładowcami, pn. „Kuchnie różnych regionów - dieta śródziemnomorska”, w każdym spotkaniu uczestniczyło ok. 100 osób. </w:t>
      </w:r>
    </w:p>
    <w:p w14:paraId="114A042A" w14:textId="77777777" w:rsidR="00AB1786" w:rsidRPr="00B72365" w:rsidRDefault="00AB1786" w:rsidP="008C71A9">
      <w:pPr>
        <w:pStyle w:val="Akapitzlist"/>
        <w:numPr>
          <w:ilvl w:val="0"/>
          <w:numId w:val="185"/>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 xml:space="preserve">Kampania prozdrowotna pn. „Kierunek Zdrowie”. W 2019 r. po raz czwarty odbyła się kampania prozdrowotna, w ramach której: </w:t>
      </w:r>
    </w:p>
    <w:p w14:paraId="5F8E66BE" w14:textId="77777777" w:rsidR="00B72365" w:rsidRDefault="00AB1786" w:rsidP="008C71A9">
      <w:pPr>
        <w:pStyle w:val="Akapitzlist"/>
        <w:numPr>
          <w:ilvl w:val="0"/>
          <w:numId w:val="186"/>
        </w:numPr>
        <w:spacing w:after="0"/>
        <w:ind w:left="643"/>
        <w:jc w:val="both"/>
        <w:rPr>
          <w:rFonts w:ascii="Times New Roman" w:hAnsi="Times New Roman" w:cs="Times New Roman"/>
          <w:sz w:val="24"/>
          <w:szCs w:val="24"/>
        </w:rPr>
      </w:pPr>
      <w:r w:rsidRPr="00B72365">
        <w:rPr>
          <w:rFonts w:ascii="Times New Roman" w:hAnsi="Times New Roman" w:cs="Times New Roman"/>
          <w:sz w:val="24"/>
          <w:szCs w:val="24"/>
        </w:rPr>
        <w:t xml:space="preserve">wiosną w Centrum Biznesu odbyło się 8 spotkań poświęconych tematyce zdrowia, były to spotkania skierowane na ruch i gimnastykę, a uczestniczyło w nich ponad 500 osób, </w:t>
      </w:r>
    </w:p>
    <w:p w14:paraId="75087CA8" w14:textId="77777777" w:rsidR="00AB1786" w:rsidRPr="00B72365" w:rsidRDefault="00AB1786" w:rsidP="008C71A9">
      <w:pPr>
        <w:pStyle w:val="Akapitzlist"/>
        <w:numPr>
          <w:ilvl w:val="0"/>
          <w:numId w:val="186"/>
        </w:numPr>
        <w:spacing w:after="0"/>
        <w:ind w:left="643"/>
        <w:jc w:val="both"/>
        <w:rPr>
          <w:rFonts w:ascii="Times New Roman" w:hAnsi="Times New Roman" w:cs="Times New Roman"/>
          <w:sz w:val="24"/>
          <w:szCs w:val="24"/>
        </w:rPr>
      </w:pPr>
      <w:r w:rsidRPr="00B72365">
        <w:rPr>
          <w:rFonts w:ascii="Times New Roman" w:hAnsi="Times New Roman" w:cs="Times New Roman"/>
          <w:sz w:val="24"/>
          <w:szCs w:val="24"/>
        </w:rPr>
        <w:t xml:space="preserve">jesienią w Ratuszu Staromiejskim odbyło się 6 wykładów poświęconych zdrowej diecie, uczestniczyło w nich ok. 150 osób. </w:t>
      </w:r>
    </w:p>
    <w:p w14:paraId="61A33FFA" w14:textId="77777777" w:rsidR="00B72365" w:rsidRDefault="00AB1786" w:rsidP="008C71A9">
      <w:pPr>
        <w:pStyle w:val="Akapitzlist"/>
        <w:numPr>
          <w:ilvl w:val="0"/>
          <w:numId w:val="187"/>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 xml:space="preserve">VII Przegląd Zespołów Seniorskich „Co nam w duszy gra” w Centrum Spotkań Europejskich „Światowid” w Elblągu, podczas którego odbyła się prezentacja dorobku artystycznego zespołów seniorskich. W Przeglądzie udział wzięły 24 zespoły, </w:t>
      </w:r>
      <w:r w:rsidRPr="00B72365">
        <w:rPr>
          <w:rFonts w:ascii="Times New Roman" w:hAnsi="Times New Roman" w:cs="Times New Roman"/>
          <w:sz w:val="24"/>
          <w:szCs w:val="24"/>
        </w:rPr>
        <w:br/>
        <w:t xml:space="preserve">a uczestniczyło w nim 300 osób. </w:t>
      </w:r>
    </w:p>
    <w:p w14:paraId="4EDA38E7" w14:textId="77777777" w:rsidR="00B72365" w:rsidRDefault="00AB1786" w:rsidP="008C71A9">
      <w:pPr>
        <w:pStyle w:val="Akapitzlist"/>
        <w:numPr>
          <w:ilvl w:val="0"/>
          <w:numId w:val="187"/>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 xml:space="preserve">W Centrum Spotkań Europejskich „Światowid” organizowane są Targi Seniora. Jest </w:t>
      </w:r>
      <w:r w:rsidRPr="00B72365">
        <w:rPr>
          <w:rFonts w:ascii="Times New Roman" w:hAnsi="Times New Roman" w:cs="Times New Roman"/>
          <w:sz w:val="24"/>
          <w:szCs w:val="24"/>
        </w:rPr>
        <w:br/>
        <w:t xml:space="preserve">to wydarzenie wystawiennicze o charakterze kulturalno-edukacyjnym, skierowane </w:t>
      </w:r>
      <w:r w:rsidRPr="00B72365">
        <w:rPr>
          <w:rFonts w:ascii="Times New Roman" w:hAnsi="Times New Roman" w:cs="Times New Roman"/>
          <w:sz w:val="24"/>
          <w:szCs w:val="24"/>
        </w:rPr>
        <w:br/>
        <w:t xml:space="preserve">do seniorów z województwa warmińsko-mazurskiego oraz ich rodzin. Targi poświęcone są prezentacji i promocji instytucji, firm i działań kierowanych do seniorów. Prezentowane dziedziny to: zdrowie, sport i rekreacja, kulinaria, uroda i styl, kultura i nauka, prawo </w:t>
      </w:r>
      <w:r w:rsidRPr="00B72365">
        <w:rPr>
          <w:rFonts w:ascii="Times New Roman" w:hAnsi="Times New Roman" w:cs="Times New Roman"/>
          <w:sz w:val="24"/>
          <w:szCs w:val="24"/>
        </w:rPr>
        <w:br/>
        <w:t xml:space="preserve">i finanse, pasje i zainteresowania, nowe technologie i multimedia. W Targach uczestniczyło ok. 500 osób. </w:t>
      </w:r>
    </w:p>
    <w:p w14:paraId="24C5E304" w14:textId="77777777" w:rsidR="00AB1786" w:rsidRPr="00B72365" w:rsidRDefault="00AB1786" w:rsidP="008C71A9">
      <w:pPr>
        <w:pStyle w:val="Akapitzlist"/>
        <w:numPr>
          <w:ilvl w:val="0"/>
          <w:numId w:val="187"/>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Co roku organizowana jest „Senioriada”, w której uczestniczy ok. 500 osób.</w:t>
      </w:r>
    </w:p>
    <w:p w14:paraId="56A2D5E9" w14:textId="77777777" w:rsidR="00B72365" w:rsidRPr="005F0A32" w:rsidRDefault="00B72365" w:rsidP="000D7CDE">
      <w:pPr>
        <w:spacing w:after="0"/>
        <w:jc w:val="both"/>
        <w:rPr>
          <w:rFonts w:ascii="Times New Roman" w:hAnsi="Times New Roman" w:cs="Times New Roman"/>
          <w:sz w:val="24"/>
          <w:szCs w:val="24"/>
        </w:rPr>
      </w:pPr>
    </w:p>
    <w:p w14:paraId="3FF53418" w14:textId="77777777" w:rsidR="00AB1786" w:rsidRPr="008B6F3B" w:rsidRDefault="00AB1786" w:rsidP="000D7CDE">
      <w:pPr>
        <w:pStyle w:val="Akapitzlist"/>
        <w:spacing w:after="0"/>
        <w:ind w:left="0"/>
        <w:jc w:val="both"/>
        <w:rPr>
          <w:rFonts w:ascii="Times New Roman" w:hAnsi="Times New Roman" w:cs="Times New Roman"/>
          <w:b/>
          <w:sz w:val="24"/>
          <w:szCs w:val="24"/>
        </w:rPr>
      </w:pPr>
      <w:r w:rsidRPr="008B6F3B">
        <w:rPr>
          <w:rFonts w:ascii="Times New Roman" w:hAnsi="Times New Roman" w:cs="Times New Roman"/>
          <w:b/>
          <w:sz w:val="24"/>
          <w:szCs w:val="24"/>
        </w:rPr>
        <w:t>Miasto Kętrzyn</w:t>
      </w:r>
    </w:p>
    <w:p w14:paraId="3CDC5E80" w14:textId="77777777" w:rsidR="00B72365" w:rsidRDefault="00AB1786" w:rsidP="008C71A9">
      <w:pPr>
        <w:pStyle w:val="Akapitzlist"/>
        <w:numPr>
          <w:ilvl w:val="0"/>
          <w:numId w:val="188"/>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 xml:space="preserve">Debata społeczna pt. „Czy w swoim mieście czuję się bezpiecznie?”, zorganizowana </w:t>
      </w:r>
      <w:r w:rsidRPr="00B72365">
        <w:rPr>
          <w:rFonts w:ascii="Times New Roman" w:hAnsi="Times New Roman" w:cs="Times New Roman"/>
          <w:sz w:val="24"/>
          <w:szCs w:val="24"/>
        </w:rPr>
        <w:br/>
        <w:t xml:space="preserve">w dniu 21 lutego 2019 r. i skierowana do osób starszych z terenu miasta Kętrzyn. Celem debaty było podniesienie świadomości lokalnej społeczności na problemy seniorów. Organizatorami wydarzenia byli:  Klub Integracji Społecznej, Miejski Ośrodek Pomocy </w:t>
      </w:r>
      <w:r w:rsidRPr="00B72365">
        <w:rPr>
          <w:rFonts w:ascii="Times New Roman" w:hAnsi="Times New Roman" w:cs="Times New Roman"/>
          <w:sz w:val="24"/>
          <w:szCs w:val="24"/>
        </w:rPr>
        <w:lastRenderedPageBreak/>
        <w:t xml:space="preserve">Społecznej w Kętrzynie oraz Kętrzyńska Rada Seniora. Debata odbyła się w Kętrzyńskim Centrum Kultury i wzięło w niej udział ok. 110 osób. </w:t>
      </w:r>
    </w:p>
    <w:p w14:paraId="6D222FE9" w14:textId="77777777" w:rsidR="00B72365" w:rsidRDefault="00AB1786" w:rsidP="008C71A9">
      <w:pPr>
        <w:pStyle w:val="Akapitzlist"/>
        <w:numPr>
          <w:ilvl w:val="0"/>
          <w:numId w:val="188"/>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 xml:space="preserve">Spotkanie edukacyjne, dotyczące problemu uzależnień i przemocy wśród osób starszych, zorganizowane w dniu 26 marca 2019 r. przez Klub Integracji Społecznej w Kętrzynie. </w:t>
      </w:r>
      <w:r w:rsidRPr="00B72365">
        <w:rPr>
          <w:rFonts w:ascii="Times New Roman" w:hAnsi="Times New Roman" w:cs="Times New Roman"/>
          <w:sz w:val="24"/>
          <w:szCs w:val="24"/>
        </w:rPr>
        <w:br/>
        <w:t xml:space="preserve">W spotkaniu w formie warsztatów wzięło udział 10 osób. </w:t>
      </w:r>
    </w:p>
    <w:p w14:paraId="5394EE90" w14:textId="77777777" w:rsidR="00AB1786" w:rsidRPr="00B72365" w:rsidRDefault="00AB1786" w:rsidP="008C71A9">
      <w:pPr>
        <w:pStyle w:val="Akapitzlist"/>
        <w:numPr>
          <w:ilvl w:val="0"/>
          <w:numId w:val="188"/>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 xml:space="preserve">„Seniorada”, czyli spotkanie sportowe o charakterze integracyjnym osób starszych z terenu miasta Kętrzyn, zorganizowane 25 maja 2019 r. przez Kętrzyńską Radę Seniora. </w:t>
      </w:r>
      <w:r w:rsidRPr="00B72365">
        <w:rPr>
          <w:rFonts w:ascii="Times New Roman" w:hAnsi="Times New Roman" w:cs="Times New Roman"/>
          <w:sz w:val="24"/>
          <w:szCs w:val="24"/>
        </w:rPr>
        <w:br/>
        <w:t>W wydarzeniu udział wzięło ok. 200 osób.</w:t>
      </w:r>
    </w:p>
    <w:p w14:paraId="1390D9F7" w14:textId="77777777" w:rsidR="00AB1786" w:rsidRPr="00B72365" w:rsidRDefault="00AB1786" w:rsidP="000D7CDE">
      <w:pPr>
        <w:spacing w:after="0"/>
        <w:jc w:val="both"/>
        <w:rPr>
          <w:rFonts w:ascii="Times New Roman" w:hAnsi="Times New Roman" w:cs="Times New Roman"/>
          <w:sz w:val="24"/>
          <w:szCs w:val="24"/>
        </w:rPr>
      </w:pPr>
    </w:p>
    <w:p w14:paraId="37068F6E" w14:textId="77777777" w:rsidR="00AB1786" w:rsidRPr="008B6F3B" w:rsidRDefault="00B72365" w:rsidP="000D7CDE">
      <w:pPr>
        <w:pStyle w:val="Akapitzlist"/>
        <w:spacing w:after="0"/>
        <w:ind w:left="0"/>
        <w:jc w:val="both"/>
        <w:rPr>
          <w:rFonts w:ascii="Times New Roman" w:hAnsi="Times New Roman" w:cs="Times New Roman"/>
          <w:b/>
          <w:sz w:val="24"/>
          <w:szCs w:val="24"/>
        </w:rPr>
      </w:pPr>
      <w:r w:rsidRPr="008B6F3B">
        <w:rPr>
          <w:rFonts w:ascii="Times New Roman" w:hAnsi="Times New Roman" w:cs="Times New Roman"/>
          <w:b/>
          <w:sz w:val="24"/>
          <w:szCs w:val="24"/>
        </w:rPr>
        <w:t>Gmina Orneta</w:t>
      </w:r>
    </w:p>
    <w:p w14:paraId="11B9395E" w14:textId="77777777" w:rsidR="00B72365" w:rsidRDefault="00AB1786" w:rsidP="008C71A9">
      <w:pPr>
        <w:pStyle w:val="Akapitzlist"/>
        <w:numPr>
          <w:ilvl w:val="0"/>
          <w:numId w:val="189"/>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 xml:space="preserve">„Bajkowy Bal Młodości” - organizowany przez młodzież, w którym uczestniczyło ok. 100 osób, w tym młodzież, dorośli oraz seniorzy. Celem inicjatywy jest przełamanie barier międzypokoleniowych, uczenie odpowiedzialności, nabywanie nowych kompetencji, wspólna zabawa w przebraniach. W 2019 r. odbyła się druga edycja - informacje na stronie MDK w Ornecie. </w:t>
      </w:r>
    </w:p>
    <w:p w14:paraId="09DA8CCA" w14:textId="77777777" w:rsidR="00B72365" w:rsidRDefault="00AB1786" w:rsidP="008C71A9">
      <w:pPr>
        <w:pStyle w:val="Akapitzlist"/>
        <w:numPr>
          <w:ilvl w:val="0"/>
          <w:numId w:val="189"/>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 xml:space="preserve">Warsztaty „My Wam, Wy Nam” – to warsztaty gdzie młodzież uczy starszych posługiwania się komputerem, telefonem i języka angielskiego, zaś seniorzy uczą młodzież szycia maskotek, wykonywania bransoletek - informacje na stronie MDK Orneta. Liczba uczestników ok. 20, działania realizowane w MDK w Ornecie - informacje na stronie MDK Orneta. </w:t>
      </w:r>
    </w:p>
    <w:p w14:paraId="2057D95B" w14:textId="77777777" w:rsidR="00B72365" w:rsidRDefault="00AB1786" w:rsidP="008C71A9">
      <w:pPr>
        <w:pStyle w:val="Akapitzlist"/>
        <w:numPr>
          <w:ilvl w:val="0"/>
          <w:numId w:val="189"/>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 xml:space="preserve">Projekt „Dawna Moda Nowy styl” – to projekt wielopokoleniowy, w którym uczestniczyła babcia, mama, wnuczka, gdzie uczestnicy poznali tajniki projektowania strojów, ale przede wszystkim wzmocnili relacje międzypokoleniowe. Projekt realizowany w ramach Programu Bardzo Młoda Kultura, dofinansowany z NCK. Projekt Ziołowe świetlice - projekt wielopokoleniowy, który czerpał z wiedzy i doświadczenia ludzi starszych - realizowany ramach programu Bardzo Młoda Kultura dofinansowany z NCK. </w:t>
      </w:r>
    </w:p>
    <w:p w14:paraId="653A45D5" w14:textId="77777777" w:rsidR="00AB1786" w:rsidRPr="00B72365" w:rsidRDefault="00AB1786" w:rsidP="008C71A9">
      <w:pPr>
        <w:pStyle w:val="Akapitzlist"/>
        <w:numPr>
          <w:ilvl w:val="0"/>
          <w:numId w:val="189"/>
        </w:numPr>
        <w:spacing w:after="0"/>
        <w:ind w:left="360"/>
        <w:jc w:val="both"/>
        <w:rPr>
          <w:rFonts w:ascii="Times New Roman" w:hAnsi="Times New Roman" w:cs="Times New Roman"/>
          <w:sz w:val="24"/>
          <w:szCs w:val="24"/>
        </w:rPr>
      </w:pPr>
      <w:r w:rsidRPr="00B72365">
        <w:rPr>
          <w:rFonts w:ascii="Times New Roman" w:hAnsi="Times New Roman" w:cs="Times New Roman"/>
          <w:sz w:val="24"/>
          <w:szCs w:val="24"/>
        </w:rPr>
        <w:t>Zwiedzanie Miasta Gdańsk i Muzeum Solidarności – zorganizowane przez Związek emerytów i rencistów Aktywny Emeryt, VII Noc Świętojańska – zorganizowana przez Stowarzyszenie Rozwoju Miasta i Gminy Ornecianie, wernisaże i wystawy w Galerii Art-Nova - bezpłatne przez cały rok, dla całej społeczności Ornety, w tym również oferta skierowana dla osób starszych, Dzień dziedzictwa Ornety, występy zespołów lokalnych UTW, stoisko wystawiennicze - prezentacja rękodzieła, wiklina papierowa, przetworów -  Związek emerytów i rencistów i in</w:t>
      </w:r>
      <w:r w:rsidR="009B5AE0">
        <w:rPr>
          <w:rFonts w:ascii="Times New Roman" w:hAnsi="Times New Roman" w:cs="Times New Roman"/>
          <w:sz w:val="24"/>
          <w:szCs w:val="24"/>
        </w:rPr>
        <w:t>walidów koło terenowe w Ornecie</w:t>
      </w:r>
      <w:r w:rsidR="009B5AE0">
        <w:rPr>
          <w:rStyle w:val="Odwoanieprzypisudolnego"/>
          <w:rFonts w:ascii="Times New Roman" w:hAnsi="Times New Roman" w:cs="Times New Roman"/>
          <w:sz w:val="24"/>
          <w:szCs w:val="24"/>
        </w:rPr>
        <w:footnoteReference w:id="220"/>
      </w:r>
      <w:r w:rsidR="009B5AE0">
        <w:rPr>
          <w:rFonts w:ascii="Times New Roman" w:hAnsi="Times New Roman" w:cs="Times New Roman"/>
          <w:sz w:val="24"/>
          <w:szCs w:val="24"/>
        </w:rPr>
        <w:t xml:space="preserve">. </w:t>
      </w:r>
      <w:r w:rsidRPr="00B72365">
        <w:rPr>
          <w:rFonts w:ascii="Times New Roman" w:hAnsi="Times New Roman" w:cs="Times New Roman"/>
          <w:sz w:val="24"/>
          <w:szCs w:val="24"/>
        </w:rPr>
        <w:t>Biblioteka Publiczna Miasta i Gminy Orneta - ekspozycja w oknie biblioteki z okazji Dnia Książki i Praw Autorskich, propagowanie czytelnictwa wśród dorosłych, ukazanie warto</w:t>
      </w:r>
      <w:r w:rsidR="00E70D90">
        <w:rPr>
          <w:rFonts w:ascii="Times New Roman" w:hAnsi="Times New Roman" w:cs="Times New Roman"/>
          <w:sz w:val="24"/>
          <w:szCs w:val="24"/>
        </w:rPr>
        <w:t xml:space="preserve">ści książki i czytania. Zagraj </w:t>
      </w:r>
      <w:r w:rsidRPr="00B72365">
        <w:rPr>
          <w:rFonts w:ascii="Times New Roman" w:hAnsi="Times New Roman" w:cs="Times New Roman"/>
          <w:sz w:val="24"/>
          <w:szCs w:val="24"/>
        </w:rPr>
        <w:t>z nami seniorami, gry planszowe, rozwijanie logicznego myślenia, ćwiczenie pamięci i miłe spędzenie czasu w bibliotece, „Dzień Rodziny” w szkołach, integracja społeczna z dziećmi. Zdrowy tryb życia dla seniora pogadanka z uczestnikami zajęć z aerobiku dla dorosłych.</w:t>
      </w:r>
    </w:p>
    <w:p w14:paraId="0795EB0D" w14:textId="77777777" w:rsidR="00AB1786" w:rsidRDefault="00AB1786" w:rsidP="000D7CDE">
      <w:pPr>
        <w:spacing w:after="0"/>
        <w:jc w:val="both"/>
        <w:rPr>
          <w:rFonts w:ascii="Times New Roman" w:hAnsi="Times New Roman" w:cs="Times New Roman"/>
          <w:sz w:val="24"/>
          <w:szCs w:val="24"/>
        </w:rPr>
      </w:pPr>
    </w:p>
    <w:p w14:paraId="1D671011" w14:textId="77777777" w:rsidR="009B5AE0" w:rsidRPr="005F0A32" w:rsidRDefault="009B5AE0" w:rsidP="000D7CDE">
      <w:pPr>
        <w:spacing w:after="0"/>
        <w:jc w:val="both"/>
        <w:rPr>
          <w:rFonts w:ascii="Times New Roman" w:hAnsi="Times New Roman" w:cs="Times New Roman"/>
          <w:sz w:val="24"/>
          <w:szCs w:val="24"/>
        </w:rPr>
      </w:pPr>
    </w:p>
    <w:p w14:paraId="15E01473" w14:textId="77777777" w:rsidR="00AB1786" w:rsidRPr="008B6F3B" w:rsidRDefault="00E70D90" w:rsidP="000D7CDE">
      <w:pPr>
        <w:pStyle w:val="Akapitzlist"/>
        <w:spacing w:after="0"/>
        <w:ind w:left="0"/>
        <w:jc w:val="both"/>
        <w:rPr>
          <w:rFonts w:ascii="Times New Roman" w:hAnsi="Times New Roman" w:cs="Times New Roman"/>
          <w:b/>
          <w:sz w:val="24"/>
          <w:szCs w:val="24"/>
        </w:rPr>
      </w:pPr>
      <w:r w:rsidRPr="008B6F3B">
        <w:rPr>
          <w:rFonts w:ascii="Times New Roman" w:hAnsi="Times New Roman" w:cs="Times New Roman"/>
          <w:b/>
          <w:sz w:val="24"/>
          <w:szCs w:val="24"/>
        </w:rPr>
        <w:t>Gmina Łukta</w:t>
      </w:r>
    </w:p>
    <w:p w14:paraId="507D4310" w14:textId="77777777" w:rsidR="00E70D90" w:rsidRDefault="00AB1786" w:rsidP="008C71A9">
      <w:pPr>
        <w:pStyle w:val="Akapitzlist"/>
        <w:numPr>
          <w:ilvl w:val="0"/>
          <w:numId w:val="190"/>
        </w:numPr>
        <w:spacing w:after="0"/>
        <w:ind w:left="360"/>
        <w:jc w:val="both"/>
        <w:rPr>
          <w:rFonts w:ascii="Times New Roman" w:hAnsi="Times New Roman" w:cs="Times New Roman"/>
          <w:sz w:val="24"/>
          <w:szCs w:val="24"/>
        </w:rPr>
      </w:pPr>
      <w:r w:rsidRPr="00E70D90">
        <w:rPr>
          <w:rFonts w:ascii="Times New Roman" w:hAnsi="Times New Roman" w:cs="Times New Roman"/>
          <w:sz w:val="24"/>
          <w:szCs w:val="24"/>
        </w:rPr>
        <w:lastRenderedPageBreak/>
        <w:t xml:space="preserve">Gminny Ośrodek Kultury w Łukcie prowadzi zajęcia w których udział biorą głównie osoby starsze: chór - 16 osób, zajęcia fitness - 10 osób, joga - 15 osób. </w:t>
      </w:r>
    </w:p>
    <w:p w14:paraId="70829AFF" w14:textId="77777777" w:rsidR="00AB1786" w:rsidRPr="00E70D90" w:rsidRDefault="00AB1786" w:rsidP="008C71A9">
      <w:pPr>
        <w:pStyle w:val="Akapitzlist"/>
        <w:numPr>
          <w:ilvl w:val="0"/>
          <w:numId w:val="190"/>
        </w:numPr>
        <w:spacing w:after="0"/>
        <w:ind w:left="360"/>
        <w:jc w:val="both"/>
        <w:rPr>
          <w:rFonts w:ascii="Times New Roman" w:hAnsi="Times New Roman" w:cs="Times New Roman"/>
          <w:sz w:val="24"/>
          <w:szCs w:val="24"/>
        </w:rPr>
      </w:pPr>
      <w:r w:rsidRPr="00E70D90">
        <w:rPr>
          <w:rFonts w:ascii="Times New Roman" w:hAnsi="Times New Roman" w:cs="Times New Roman"/>
          <w:sz w:val="24"/>
          <w:szCs w:val="24"/>
        </w:rPr>
        <w:t xml:space="preserve">Biblioteka Publiczna w Łucie - w celu zwiększenia zasięgu czytelnictwa, raz w miesiącu pracownik biblioteki dowozi książki do świetlicy w Ględach i Zajączkowie, a po drodze </w:t>
      </w:r>
      <w:r w:rsidRPr="00E70D90">
        <w:rPr>
          <w:rFonts w:ascii="Times New Roman" w:hAnsi="Times New Roman" w:cs="Times New Roman"/>
          <w:sz w:val="24"/>
          <w:szCs w:val="24"/>
        </w:rPr>
        <w:br/>
        <w:t xml:space="preserve">do czytelników w Mostkowie. Z takiego udogodnienia chętnie korzystają seniorzy, którzy mają utrudniony dostęp do biblioteki. W roku 2019 w ramach Objazdowej Biblioteki wypożyczono 856 książek 20 czytelnikom. Biblioteka jest miejscem działania stałych klubów. Od stycznia 2012 r. prowadzony jest Dyskusyjny Klub Książki dla dorosłych, który skupia grupę ludzi lubiącą czytać i rozmawiać o książkach. Obecnie klub zrzesza </w:t>
      </w:r>
      <w:r w:rsidRPr="00E70D90">
        <w:rPr>
          <w:rFonts w:ascii="Times New Roman" w:hAnsi="Times New Roman" w:cs="Times New Roman"/>
          <w:sz w:val="24"/>
          <w:szCs w:val="24"/>
        </w:rPr>
        <w:br/>
        <w:t xml:space="preserve">12 stałych uczestników (głównie osoby starsze), Dyskusyjny Klub Filmowy - dorośli członkowie klubu spotykają się w bibliotece, żeby obejrzeć projekcje filmów (szczególnie ekranizacje przeczytanych książek oraz filmy nagrodzone na festiwalach filmowych). </w:t>
      </w:r>
      <w:r w:rsidRPr="00E70D90">
        <w:rPr>
          <w:rFonts w:ascii="Times New Roman" w:hAnsi="Times New Roman" w:cs="Times New Roman"/>
          <w:sz w:val="24"/>
          <w:szCs w:val="24"/>
        </w:rPr>
        <w:br/>
        <w:t xml:space="preserve">W celu pozyskania przez bibliotekę nowych czytelników i rozszerzenia oferty kulturalnej biblioteka napisała projekt pn. „Otwarci na świat czytelnicy w biblio(akcji)” i otrzymała </w:t>
      </w:r>
      <w:r w:rsidRPr="00E70D90">
        <w:rPr>
          <w:rFonts w:ascii="Times New Roman" w:hAnsi="Times New Roman" w:cs="Times New Roman"/>
          <w:sz w:val="24"/>
          <w:szCs w:val="24"/>
        </w:rPr>
        <w:br/>
        <w:t xml:space="preserve">z Ministerstwa Kultury i Dziedzictwa Narodowego dofinansowanie na jego realizację </w:t>
      </w:r>
      <w:r w:rsidRPr="00E70D90">
        <w:rPr>
          <w:rFonts w:ascii="Times New Roman" w:hAnsi="Times New Roman" w:cs="Times New Roman"/>
          <w:sz w:val="24"/>
          <w:szCs w:val="24"/>
        </w:rPr>
        <w:br/>
        <w:t xml:space="preserve">w wysokości 12 950 zł, przy wkładzie własnym 3237 zł. Projekt był skierowany </w:t>
      </w:r>
      <w:r w:rsidRPr="00E70D90">
        <w:rPr>
          <w:rFonts w:ascii="Times New Roman" w:hAnsi="Times New Roman" w:cs="Times New Roman"/>
          <w:sz w:val="24"/>
          <w:szCs w:val="24"/>
        </w:rPr>
        <w:br/>
        <w:t>do wszystkich grup wiekowych, w tym także osób starszych. W ramach projektu odbyły się 4 spotkania autorskie z reporterami, podróżnikami i dziennikarzami, 4 spektakle Teatru przy Stoliku (2 z udziałem olsztyńskich aktorów i 2 wystawione przez 13 czytelników biblioteki), 5 warsztatów teatralnych dla dorosłych z aktorką Ireną Telesz-Burczyk. Zaplanowane działania były nastawione na pozyskanie nieaktywnych kulturowo mieszkańców gminy, co miało wpłynąć na wzrost liczby odwiedzin, poziom czytelnictwa oraz wzrost liczby chętnych do udziału w działaniach biblioteki, w tym przede wszystkim osób starszych. W projekcie wzięło udział 727 uczestników w 21 wydarzeniach kulturalnych. W sumie w 2019 r. zorganizowano 66 imprez kulturalnych, w których aktywny udział biorą osoby starsze.</w:t>
      </w:r>
    </w:p>
    <w:p w14:paraId="5D810ED6" w14:textId="77777777" w:rsidR="00AB1786" w:rsidRPr="005F0A32" w:rsidRDefault="00AB1786" w:rsidP="000D7CDE">
      <w:pPr>
        <w:spacing w:after="0"/>
        <w:jc w:val="both"/>
        <w:rPr>
          <w:rFonts w:ascii="Times New Roman" w:hAnsi="Times New Roman" w:cs="Times New Roman"/>
          <w:b/>
          <w:bCs/>
          <w:sz w:val="24"/>
          <w:szCs w:val="24"/>
        </w:rPr>
      </w:pPr>
    </w:p>
    <w:p w14:paraId="3B231EA7" w14:textId="77777777" w:rsidR="00E70D90" w:rsidRPr="009B5AE0" w:rsidRDefault="00E70D90" w:rsidP="000D7CDE">
      <w:pPr>
        <w:jc w:val="both"/>
        <w:rPr>
          <w:rFonts w:ascii="Times New Roman" w:hAnsi="Times New Roman" w:cs="Times New Roman"/>
          <w:b/>
          <w:color w:val="00B0F0"/>
          <w:sz w:val="24"/>
          <w:szCs w:val="24"/>
        </w:rPr>
      </w:pPr>
      <w:r w:rsidRPr="009B5AE0">
        <w:rPr>
          <w:rFonts w:ascii="Times New Roman" w:hAnsi="Times New Roman" w:cs="Times New Roman"/>
          <w:b/>
          <w:color w:val="00B0F0"/>
          <w:sz w:val="24"/>
          <w:szCs w:val="24"/>
        </w:rPr>
        <w:t>Przykłady innowacyjnych rozwiązań w ramach polityki senioralnej</w:t>
      </w:r>
    </w:p>
    <w:p w14:paraId="4D5BD09F"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W 2019 r. w województwie warmińsko-mazurskim kontynuowano rozpoczęte rok wcześniej uruchamianie usług teleopiekuńczych. Dzięki partnerskiej współpracy Samorządu Województwa z samorządami gminnymi, usługi teleopiekuńcze w latach 2018-2019 uruchomiło łącznie 51 gmin, obejmując tym samym wsparciem łącznie 1008 osób starszych. </w:t>
      </w:r>
    </w:p>
    <w:p w14:paraId="565F4970"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Samorząd Województwa Warmińsko-Mazurskiego przeznaczył na ten cel łącznie 301 209 zł, co stanowiło nie więcej niż 50% kosztów uruchomienia usług w ww. gminach. Samorząd Województwa przekazywał dofinansowanie wyłącznie na uruchomienie usług teleopiekuńczych. W kolejnych latach gminy będą finansowały to zadanie z własnych budżetów. Celem takiego działania jest umożliwienie uruchomienia usług teleopiekuńczych </w:t>
      </w:r>
      <w:r w:rsidRPr="005F0A32">
        <w:rPr>
          <w:rFonts w:ascii="Times New Roman" w:hAnsi="Times New Roman" w:cs="Times New Roman"/>
          <w:sz w:val="24"/>
          <w:szCs w:val="24"/>
        </w:rPr>
        <w:br/>
        <w:t>w jak największej liczbie gmin regionu.</w:t>
      </w:r>
    </w:p>
    <w:p w14:paraId="20913A30" w14:textId="77777777" w:rsidR="00AB1786" w:rsidRPr="00E70D90" w:rsidRDefault="00AB1786" w:rsidP="000D7CDE">
      <w:pPr>
        <w:tabs>
          <w:tab w:val="left" w:pos="0"/>
        </w:tabs>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 xml:space="preserve"> </w:t>
      </w:r>
    </w:p>
    <w:p w14:paraId="7E71F782" w14:textId="77777777" w:rsidR="00AB1786" w:rsidRPr="005F0A32" w:rsidRDefault="00AB1786" w:rsidP="000D7CDE">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Odbiorcami usług opiekuńczych w formie teleopieki w latach 2018-2019  były przede wszystkim osoby w wieku powyżej 80 r.ż. (46,43%) oraz w wieku 70-80 lat (32,24 %).</w:t>
      </w:r>
      <w:r w:rsidRPr="005F0A32">
        <w:rPr>
          <w:rFonts w:ascii="Times New Roman" w:hAnsi="Times New Roman" w:cs="Times New Roman"/>
          <w:b/>
          <w:color w:val="538135"/>
          <w:sz w:val="24"/>
          <w:szCs w:val="24"/>
          <w:lang w:eastAsia="pl-PL"/>
        </w:rPr>
        <w:t xml:space="preserve"> </w:t>
      </w:r>
      <w:r w:rsidRPr="005F0A32">
        <w:rPr>
          <w:rFonts w:ascii="Times New Roman" w:hAnsi="Times New Roman" w:cs="Times New Roman"/>
          <w:sz w:val="24"/>
          <w:szCs w:val="24"/>
        </w:rPr>
        <w:t>Kobiety</w:t>
      </w:r>
      <w:r w:rsidRPr="005F0A32">
        <w:rPr>
          <w:rFonts w:ascii="Times New Roman" w:hAnsi="Times New Roman" w:cs="Times New Roman"/>
          <w:b/>
          <w:color w:val="538135"/>
          <w:sz w:val="24"/>
          <w:szCs w:val="24"/>
          <w:lang w:eastAsia="pl-PL"/>
        </w:rPr>
        <w:t xml:space="preserve"> </w:t>
      </w:r>
      <w:r w:rsidRPr="005F0A32">
        <w:rPr>
          <w:rFonts w:ascii="Times New Roman" w:hAnsi="Times New Roman" w:cs="Times New Roman"/>
          <w:sz w:val="24"/>
          <w:szCs w:val="24"/>
        </w:rPr>
        <w:t xml:space="preserve">stanowiły niemal 80% wszystkich seniorów objętych teleopieką. Usługami teleopiekuńczymi zostały objęte przede wszystkim osoby mieszkające samotnie, które stanowiły niemal 90% </w:t>
      </w:r>
      <w:r w:rsidRPr="005F0A32">
        <w:rPr>
          <w:rFonts w:ascii="Times New Roman" w:hAnsi="Times New Roman" w:cs="Times New Roman"/>
          <w:sz w:val="24"/>
          <w:szCs w:val="24"/>
        </w:rPr>
        <w:lastRenderedPageBreak/>
        <w:t>seniorów korzystających z tej formy pomocy. Osoby starsze, które zdecydowały się na skorzystanie z usług teleopiekuńczych doceniają korzyści wynikające ze stosowania tego typu nowoczesnych rozwiązań – w większości gmin seniorzy chętnie korzystali z zaproponowanej formy wsparcia, co pozwala sformułować wniosek, że należy kontynuować realizację tego rodzaju usług. Z rozmów przeprowadzanych z seniorami, którzy za pomocą tzw. przycisku życia kontaktowali się z Centrum Operacyjno-Alarmowym wykreował się katalog potrzeb niebędących potrzebami ratującymi życie, ale jak się okazuje ważnymi z ich punktu widzenia i mającymi wpływ na jakość życia i poczucie bezpieczeństwa seniorów. Były to głównie:</w:t>
      </w:r>
    </w:p>
    <w:p w14:paraId="75313FA4" w14:textId="77777777" w:rsidR="00AB1786" w:rsidRPr="005F0A32" w:rsidRDefault="00AB1786" w:rsidP="008C71A9">
      <w:pPr>
        <w:numPr>
          <w:ilvl w:val="0"/>
          <w:numId w:val="191"/>
        </w:numPr>
        <w:spacing w:after="0"/>
        <w:ind w:left="360"/>
        <w:contextualSpacing/>
        <w:jc w:val="both"/>
        <w:rPr>
          <w:rFonts w:ascii="Times New Roman" w:hAnsi="Times New Roman" w:cs="Times New Roman"/>
          <w:sz w:val="24"/>
          <w:szCs w:val="24"/>
        </w:rPr>
      </w:pPr>
      <w:r w:rsidRPr="005F0A32">
        <w:rPr>
          <w:rFonts w:ascii="Times New Roman" w:hAnsi="Times New Roman" w:cs="Times New Roman"/>
          <w:sz w:val="24"/>
          <w:szCs w:val="24"/>
        </w:rPr>
        <w:t>zgłoszenia awarii telefonu, zmiany numeru telefonu dedykowanego do usług teleopieki, prośba o dodanie nowej osoby do kontaktu,</w:t>
      </w:r>
    </w:p>
    <w:p w14:paraId="7D637BDF" w14:textId="77777777" w:rsidR="00AB1786" w:rsidRPr="005F0A32" w:rsidRDefault="00AB1786" w:rsidP="008C71A9">
      <w:pPr>
        <w:numPr>
          <w:ilvl w:val="0"/>
          <w:numId w:val="191"/>
        </w:numPr>
        <w:spacing w:after="0"/>
        <w:ind w:left="360"/>
        <w:contextualSpacing/>
        <w:jc w:val="both"/>
        <w:rPr>
          <w:rFonts w:ascii="Times New Roman" w:hAnsi="Times New Roman" w:cs="Times New Roman"/>
          <w:sz w:val="24"/>
          <w:szCs w:val="24"/>
        </w:rPr>
      </w:pPr>
      <w:r w:rsidRPr="005F0A32">
        <w:rPr>
          <w:rFonts w:ascii="Times New Roman" w:hAnsi="Times New Roman" w:cs="Times New Roman"/>
          <w:sz w:val="24"/>
          <w:szCs w:val="24"/>
        </w:rPr>
        <w:t>potrzeby około-medyczne, np. zamówienie karetki transportowej, konsultacje w sprawie zażywania leków, porady medyczne, umówienie wizyty u lekarza, zakup i dostarczenie leków, odnowienie recepty,</w:t>
      </w:r>
    </w:p>
    <w:p w14:paraId="6C941F9B" w14:textId="77777777" w:rsidR="00AB1786" w:rsidRPr="005F0A32" w:rsidRDefault="00AB1786" w:rsidP="008C71A9">
      <w:pPr>
        <w:numPr>
          <w:ilvl w:val="0"/>
          <w:numId w:val="191"/>
        </w:numPr>
        <w:spacing w:after="0"/>
        <w:ind w:left="360"/>
        <w:contextualSpacing/>
        <w:jc w:val="both"/>
        <w:rPr>
          <w:rFonts w:ascii="Times New Roman" w:hAnsi="Times New Roman" w:cs="Times New Roman"/>
          <w:sz w:val="24"/>
          <w:szCs w:val="24"/>
        </w:rPr>
      </w:pPr>
      <w:r w:rsidRPr="005F0A32">
        <w:rPr>
          <w:rFonts w:ascii="Times New Roman" w:hAnsi="Times New Roman" w:cs="Times New Roman"/>
          <w:sz w:val="24"/>
          <w:szCs w:val="24"/>
        </w:rPr>
        <w:t>prośby o pomoc w codziennych sprawach – np. zgaszenie lampki nocnej, poszukiwanie kontaktu do rodziny spoza miasta, pytania typu: „gdzie można załatwić ....?”, „kto mógłby mi pomóc w ....?”,</w:t>
      </w:r>
    </w:p>
    <w:p w14:paraId="098D786B" w14:textId="77777777" w:rsidR="00AB1786" w:rsidRPr="005F0A32" w:rsidRDefault="00AB1786" w:rsidP="008C71A9">
      <w:pPr>
        <w:numPr>
          <w:ilvl w:val="0"/>
          <w:numId w:val="191"/>
        </w:numPr>
        <w:spacing w:after="0"/>
        <w:ind w:left="360"/>
        <w:contextualSpacing/>
        <w:jc w:val="both"/>
        <w:rPr>
          <w:rFonts w:ascii="Times New Roman" w:hAnsi="Times New Roman" w:cs="Times New Roman"/>
          <w:sz w:val="24"/>
          <w:szCs w:val="24"/>
        </w:rPr>
      </w:pPr>
      <w:r w:rsidRPr="005F0A32">
        <w:rPr>
          <w:rFonts w:ascii="Times New Roman" w:hAnsi="Times New Roman" w:cs="Times New Roman"/>
          <w:sz w:val="24"/>
          <w:szCs w:val="24"/>
        </w:rPr>
        <w:t>prośby o pomoc w zażegnaniu awantury domowej, uskarżanie się na sąsiadów.</w:t>
      </w:r>
    </w:p>
    <w:p w14:paraId="13516522" w14:textId="77777777" w:rsidR="00E70D90" w:rsidRDefault="00E70D90" w:rsidP="000D7CDE">
      <w:pPr>
        <w:spacing w:after="0"/>
        <w:contextualSpacing/>
        <w:jc w:val="both"/>
        <w:rPr>
          <w:rFonts w:ascii="Times New Roman" w:hAnsi="Times New Roman" w:cs="Times New Roman"/>
          <w:sz w:val="24"/>
          <w:szCs w:val="24"/>
        </w:rPr>
      </w:pPr>
    </w:p>
    <w:p w14:paraId="34A18F09" w14:textId="77777777" w:rsidR="00AB1786" w:rsidRPr="005F0A32" w:rsidRDefault="00AB1786" w:rsidP="000D7CDE">
      <w:pPr>
        <w:spacing w:after="0"/>
        <w:contextualSpacing/>
        <w:jc w:val="both"/>
        <w:rPr>
          <w:rFonts w:ascii="Times New Roman" w:hAnsi="Times New Roman" w:cs="Times New Roman"/>
          <w:sz w:val="24"/>
          <w:szCs w:val="24"/>
        </w:rPr>
      </w:pPr>
      <w:r w:rsidRPr="005F0A32">
        <w:rPr>
          <w:rFonts w:ascii="Times New Roman" w:hAnsi="Times New Roman" w:cs="Times New Roman"/>
          <w:sz w:val="24"/>
          <w:szCs w:val="24"/>
        </w:rPr>
        <w:t>Wskazane powyżej potrzeby powinny być brane pod uwagę przy budowaniu systemowego wsparcia seniorów i katalogu usług dla tej grupy społecznej, przez wszystkie instytucje                    i podmioty z</w:t>
      </w:r>
      <w:r w:rsidR="00E70D90">
        <w:rPr>
          <w:rFonts w:ascii="Times New Roman" w:hAnsi="Times New Roman" w:cs="Times New Roman"/>
          <w:sz w:val="24"/>
          <w:szCs w:val="24"/>
        </w:rPr>
        <w:t xml:space="preserve">ajmujące się osobami starszymi. </w:t>
      </w:r>
      <w:r w:rsidRPr="005F0A32">
        <w:rPr>
          <w:rFonts w:ascii="Times New Roman" w:hAnsi="Times New Roman" w:cs="Times New Roman"/>
          <w:sz w:val="24"/>
          <w:szCs w:val="24"/>
        </w:rPr>
        <w:t>W odpowiedzi na zainteresowanie usługami teleopiekuńczymi, Samorząd Województwa Warmińsko-Mazurskiego  w 2020 r. udzielił wsparcia finansowego kolejnym 7 gminom.</w:t>
      </w:r>
    </w:p>
    <w:p w14:paraId="34F92343" w14:textId="77777777" w:rsidR="00AB1786" w:rsidRPr="005F0A32" w:rsidRDefault="00AB1786" w:rsidP="000D7CDE">
      <w:pPr>
        <w:spacing w:after="0"/>
        <w:contextualSpacing/>
        <w:jc w:val="both"/>
        <w:rPr>
          <w:rFonts w:ascii="Times New Roman" w:hAnsi="Times New Roman" w:cs="Times New Roman"/>
          <w:sz w:val="24"/>
          <w:szCs w:val="24"/>
        </w:rPr>
      </w:pPr>
    </w:p>
    <w:p w14:paraId="54CA96C2" w14:textId="77777777" w:rsidR="00AB1786" w:rsidRPr="005F0A32" w:rsidRDefault="009B5AE0" w:rsidP="000D7CDE">
      <w:pPr>
        <w:tabs>
          <w:tab w:val="left" w:pos="284"/>
        </w:tabs>
        <w:spacing w:after="0"/>
        <w:jc w:val="both"/>
        <w:rPr>
          <w:rFonts w:ascii="Times New Roman" w:hAnsi="Times New Roman" w:cs="Times New Roman"/>
          <w:sz w:val="24"/>
          <w:szCs w:val="24"/>
        </w:rPr>
      </w:pPr>
      <w:r>
        <w:rPr>
          <w:rFonts w:ascii="Times New Roman" w:hAnsi="Times New Roman" w:cs="Times New Roman"/>
          <w:sz w:val="24"/>
          <w:szCs w:val="24"/>
        </w:rPr>
        <w:t xml:space="preserve">Opracowane zostało również </w:t>
      </w:r>
      <w:r w:rsidR="00AB1786" w:rsidRPr="005F0A32">
        <w:rPr>
          <w:rFonts w:ascii="Times New Roman" w:hAnsi="Times New Roman" w:cs="Times New Roman"/>
          <w:sz w:val="24"/>
          <w:szCs w:val="24"/>
        </w:rPr>
        <w:t>Sprawozdanie z realizacji usług opiekuńczych w formie teleopieki w województwie warmińsko-mazurskim w latach 2018-2019</w:t>
      </w:r>
      <w:r>
        <w:rPr>
          <w:rStyle w:val="Odwoanieprzypisudolnego"/>
          <w:rFonts w:ascii="Times New Roman" w:hAnsi="Times New Roman" w:cs="Times New Roman"/>
          <w:sz w:val="24"/>
          <w:szCs w:val="24"/>
        </w:rPr>
        <w:footnoteReference w:id="221"/>
      </w:r>
      <w:r w:rsidR="00AB1786" w:rsidRPr="005F0A32">
        <w:rPr>
          <w:rFonts w:ascii="Times New Roman" w:hAnsi="Times New Roman" w:cs="Times New Roman"/>
          <w:sz w:val="24"/>
          <w:szCs w:val="24"/>
        </w:rPr>
        <w:t xml:space="preserve">. </w:t>
      </w:r>
    </w:p>
    <w:p w14:paraId="7B066D02" w14:textId="77777777" w:rsidR="00AB1786" w:rsidRPr="005F0A32" w:rsidRDefault="00AB1786" w:rsidP="000D7CDE">
      <w:pPr>
        <w:spacing w:after="0"/>
        <w:jc w:val="both"/>
        <w:rPr>
          <w:rFonts w:ascii="Times New Roman" w:hAnsi="Times New Roman" w:cs="Times New Roman"/>
          <w:b/>
          <w:bCs/>
          <w:sz w:val="24"/>
          <w:szCs w:val="24"/>
        </w:rPr>
      </w:pPr>
    </w:p>
    <w:p w14:paraId="4090F271" w14:textId="77777777" w:rsidR="00E70D90" w:rsidRPr="009B5AE0" w:rsidRDefault="00E70D90" w:rsidP="000D7CDE">
      <w:pPr>
        <w:spacing w:after="0"/>
        <w:jc w:val="both"/>
        <w:rPr>
          <w:rFonts w:ascii="Times New Roman" w:hAnsi="Times New Roman" w:cs="Times New Roman"/>
          <w:b/>
          <w:i/>
          <w:color w:val="00B0F0"/>
          <w:sz w:val="24"/>
          <w:szCs w:val="24"/>
        </w:rPr>
      </w:pPr>
      <w:r w:rsidRPr="009B5AE0">
        <w:rPr>
          <w:rFonts w:ascii="Times New Roman" w:hAnsi="Times New Roman" w:cs="Times New Roman"/>
          <w:b/>
          <w:color w:val="00B0F0"/>
          <w:sz w:val="24"/>
          <w:szCs w:val="24"/>
        </w:rPr>
        <w:t>Realizacja działań wynikających z przyjętego prze</w:t>
      </w:r>
      <w:r w:rsidR="009B5AE0">
        <w:rPr>
          <w:rFonts w:ascii="Times New Roman" w:hAnsi="Times New Roman" w:cs="Times New Roman"/>
          <w:b/>
          <w:color w:val="00B0F0"/>
          <w:sz w:val="24"/>
          <w:szCs w:val="24"/>
        </w:rPr>
        <w:t>z Radę Ministrów dokumentu pt. </w:t>
      </w:r>
      <w:r w:rsidRPr="009B5AE0">
        <w:rPr>
          <w:rFonts w:ascii="Times New Roman" w:hAnsi="Times New Roman" w:cs="Times New Roman"/>
          <w:b/>
          <w:i/>
          <w:color w:val="00B0F0"/>
          <w:sz w:val="24"/>
          <w:szCs w:val="24"/>
        </w:rPr>
        <w:t>Polityka społeczna wobec osób starszych 2030. Bezpieczeństw</w:t>
      </w:r>
      <w:r w:rsidR="009B5AE0" w:rsidRPr="009B5AE0">
        <w:rPr>
          <w:rFonts w:ascii="Times New Roman" w:hAnsi="Times New Roman" w:cs="Times New Roman"/>
          <w:b/>
          <w:i/>
          <w:color w:val="00B0F0"/>
          <w:sz w:val="24"/>
          <w:szCs w:val="24"/>
        </w:rPr>
        <w:t>o – Uczestnictwo – Solidarność</w:t>
      </w:r>
    </w:p>
    <w:p w14:paraId="13B1B7B0" w14:textId="77777777" w:rsidR="00E70D90" w:rsidRDefault="00E70D90" w:rsidP="000D7CDE">
      <w:pPr>
        <w:spacing w:after="0"/>
        <w:jc w:val="both"/>
        <w:rPr>
          <w:rFonts w:ascii="Times New Roman" w:hAnsi="Times New Roman" w:cs="Times New Roman"/>
          <w:sz w:val="24"/>
          <w:szCs w:val="24"/>
        </w:rPr>
      </w:pPr>
    </w:p>
    <w:p w14:paraId="23E09E3A" w14:textId="77777777" w:rsidR="00AB1786" w:rsidRPr="00E70D90" w:rsidRDefault="00AB1786" w:rsidP="000D7CDE">
      <w:pPr>
        <w:spacing w:after="0"/>
        <w:jc w:val="both"/>
        <w:rPr>
          <w:rFonts w:ascii="Times New Roman" w:hAnsi="Times New Roman" w:cs="Times New Roman"/>
          <w:sz w:val="24"/>
          <w:szCs w:val="24"/>
        </w:rPr>
      </w:pPr>
      <w:r w:rsidRPr="00E70D90">
        <w:rPr>
          <w:rFonts w:ascii="Times New Roman" w:hAnsi="Times New Roman" w:cs="Times New Roman"/>
          <w:sz w:val="24"/>
          <w:szCs w:val="24"/>
        </w:rPr>
        <w:t>Działanie Federacji Uniwersytetów Trzeciego Wieku Warmii i Mazur w Olsztynie – aktualnie Federacja zrzesza 24 UTW z terenu woje</w:t>
      </w:r>
      <w:r w:rsidR="00E70D90">
        <w:rPr>
          <w:rFonts w:ascii="Times New Roman" w:hAnsi="Times New Roman" w:cs="Times New Roman"/>
          <w:sz w:val="24"/>
          <w:szCs w:val="24"/>
        </w:rPr>
        <w:t xml:space="preserve">wództwa warmińsko-mazurskiego. </w:t>
      </w:r>
      <w:r w:rsidRPr="00E70D90">
        <w:rPr>
          <w:rFonts w:ascii="Times New Roman" w:hAnsi="Times New Roman" w:cs="Times New Roman"/>
          <w:sz w:val="24"/>
          <w:szCs w:val="24"/>
        </w:rPr>
        <w:t>W województwie działają obecnie 42 uniwersytety trzeciego wieku, z których większość nie posiada osobowości prawnej (utworzone przy bibliotekach gminnych, MOPS, klubach emerytów i rencistów itp.). Część UTW zrzeszona jest w ramach tzw. „Porozumienia UTW”, również nie posiadają osobowości prawnej. Federacja jest organizacją non profit,</w:t>
      </w:r>
      <w:r w:rsidRPr="00E70D90">
        <w:rPr>
          <w:rFonts w:ascii="Times New Roman" w:hAnsi="Times New Roman" w:cs="Times New Roman"/>
          <w:i/>
          <w:color w:val="FF0000"/>
          <w:sz w:val="24"/>
          <w:szCs w:val="24"/>
        </w:rPr>
        <w:t xml:space="preserve"> </w:t>
      </w:r>
      <w:r w:rsidRPr="00E70D90">
        <w:rPr>
          <w:rFonts w:ascii="Times New Roman" w:hAnsi="Times New Roman" w:cs="Times New Roman"/>
          <w:sz w:val="24"/>
          <w:szCs w:val="24"/>
        </w:rPr>
        <w:t>utrzymującą się ze składek jej członków. Członkowie organów statutowych Federacji działają  na zasadach  wolontariatu  nie otrzymuj</w:t>
      </w:r>
      <w:r w:rsidR="009B5AE0">
        <w:rPr>
          <w:rFonts w:ascii="Times New Roman" w:hAnsi="Times New Roman" w:cs="Times New Roman"/>
          <w:sz w:val="24"/>
          <w:szCs w:val="24"/>
        </w:rPr>
        <w:t>ąc żadnego wynagrodzenia. W</w:t>
      </w:r>
      <w:r w:rsidRPr="00E70D90">
        <w:rPr>
          <w:rFonts w:ascii="Times New Roman" w:hAnsi="Times New Roman" w:cs="Times New Roman"/>
          <w:sz w:val="24"/>
          <w:szCs w:val="24"/>
        </w:rPr>
        <w:t xml:space="preserve"> 2019 </w:t>
      </w:r>
      <w:r w:rsidR="009B5AE0">
        <w:rPr>
          <w:rFonts w:ascii="Times New Roman" w:hAnsi="Times New Roman" w:cs="Times New Roman"/>
          <w:sz w:val="24"/>
          <w:szCs w:val="24"/>
        </w:rPr>
        <w:t xml:space="preserve">r. </w:t>
      </w:r>
      <w:r w:rsidRPr="00E70D90">
        <w:rPr>
          <w:rFonts w:ascii="Times New Roman" w:hAnsi="Times New Roman" w:cs="Times New Roman"/>
          <w:sz w:val="24"/>
          <w:szCs w:val="24"/>
        </w:rPr>
        <w:t>Federacja liczyła 3</w:t>
      </w:r>
      <w:r w:rsidR="009B5AE0">
        <w:rPr>
          <w:rFonts w:ascii="Times New Roman" w:hAnsi="Times New Roman" w:cs="Times New Roman"/>
          <w:sz w:val="24"/>
          <w:szCs w:val="24"/>
        </w:rPr>
        <w:t xml:space="preserve"> </w:t>
      </w:r>
      <w:r w:rsidRPr="00E70D90">
        <w:rPr>
          <w:rFonts w:ascii="Times New Roman" w:hAnsi="Times New Roman" w:cs="Times New Roman"/>
          <w:sz w:val="24"/>
          <w:szCs w:val="24"/>
        </w:rPr>
        <w:t>250 członków na co dzień uczes</w:t>
      </w:r>
      <w:r w:rsidR="00E70D90">
        <w:rPr>
          <w:rFonts w:ascii="Times New Roman" w:hAnsi="Times New Roman" w:cs="Times New Roman"/>
          <w:sz w:val="24"/>
          <w:szCs w:val="24"/>
        </w:rPr>
        <w:t xml:space="preserve">tniczących w życiu senioralnym </w:t>
      </w:r>
      <w:r w:rsidRPr="00E70D90">
        <w:rPr>
          <w:rFonts w:ascii="Times New Roman" w:hAnsi="Times New Roman" w:cs="Times New Roman"/>
          <w:sz w:val="24"/>
          <w:szCs w:val="24"/>
        </w:rPr>
        <w:t xml:space="preserve">w swoich uniwersytetach. Zaznaczyć należy, że </w:t>
      </w:r>
      <w:r w:rsidRPr="00E70D90">
        <w:rPr>
          <w:rFonts w:ascii="Times New Roman" w:hAnsi="Times New Roman" w:cs="Times New Roman"/>
          <w:sz w:val="24"/>
          <w:szCs w:val="24"/>
        </w:rPr>
        <w:lastRenderedPageBreak/>
        <w:t>Federacja UTW W i M nie otrzymuje żadnego wsparcia na swoją działalność z instytucji państ</w:t>
      </w:r>
      <w:r w:rsidR="009B5AE0">
        <w:rPr>
          <w:rFonts w:ascii="Times New Roman" w:hAnsi="Times New Roman" w:cs="Times New Roman"/>
          <w:sz w:val="24"/>
          <w:szCs w:val="24"/>
        </w:rPr>
        <w:t>wowych jak i samorządowych.</w:t>
      </w:r>
      <w:r w:rsidRPr="00E70D90">
        <w:rPr>
          <w:rFonts w:ascii="Times New Roman" w:hAnsi="Times New Roman" w:cs="Times New Roman"/>
          <w:sz w:val="24"/>
          <w:szCs w:val="24"/>
        </w:rPr>
        <w:t>2019</w:t>
      </w:r>
      <w:r w:rsidR="009B5AE0">
        <w:rPr>
          <w:rFonts w:ascii="Times New Roman" w:hAnsi="Times New Roman" w:cs="Times New Roman"/>
          <w:sz w:val="24"/>
          <w:szCs w:val="24"/>
        </w:rPr>
        <w:t xml:space="preserve"> r.</w:t>
      </w:r>
      <w:r w:rsidRPr="00E70D90">
        <w:rPr>
          <w:rFonts w:ascii="Times New Roman" w:hAnsi="Times New Roman" w:cs="Times New Roman"/>
          <w:sz w:val="24"/>
          <w:szCs w:val="24"/>
        </w:rPr>
        <w:t xml:space="preserve"> był kolejnym w realizacji planów wspierających aktywność społeczną, kulturalną czy edukacyjną. Wymienić tu należy:</w:t>
      </w:r>
    </w:p>
    <w:p w14:paraId="7B22CEE3" w14:textId="77777777" w:rsidR="00E70D90" w:rsidRDefault="00AB1786" w:rsidP="008C71A9">
      <w:pPr>
        <w:pStyle w:val="Akapitzlist"/>
        <w:numPr>
          <w:ilvl w:val="0"/>
          <w:numId w:val="192"/>
        </w:numPr>
        <w:spacing w:after="0"/>
        <w:ind w:left="360"/>
        <w:jc w:val="both"/>
        <w:rPr>
          <w:rFonts w:ascii="Times New Roman" w:hAnsi="Times New Roman" w:cs="Times New Roman"/>
          <w:sz w:val="24"/>
          <w:szCs w:val="24"/>
        </w:rPr>
      </w:pPr>
      <w:r w:rsidRPr="00E70D90">
        <w:rPr>
          <w:rFonts w:ascii="Times New Roman" w:hAnsi="Times New Roman" w:cs="Times New Roman"/>
          <w:sz w:val="24"/>
          <w:szCs w:val="24"/>
        </w:rPr>
        <w:t>realizację projektu PO WER w ramach którego uczestnicy ( liderzy-edukatorzy) -  48 osób z 22 UTW przynależnych do Federacji, uczestniczyło w mobilności w Wiedniu. Uczestnicy projektu nabyli doświadczenia w działaniu mobilnym, poznali nowe innowacyjne  metody kształcenia osób starszych,</w:t>
      </w:r>
    </w:p>
    <w:p w14:paraId="0167E709" w14:textId="77777777" w:rsidR="00E70D90" w:rsidRDefault="00AB1786" w:rsidP="008C71A9">
      <w:pPr>
        <w:pStyle w:val="Akapitzlist"/>
        <w:numPr>
          <w:ilvl w:val="0"/>
          <w:numId w:val="192"/>
        </w:numPr>
        <w:spacing w:after="0"/>
        <w:ind w:left="360"/>
        <w:jc w:val="both"/>
        <w:rPr>
          <w:rFonts w:ascii="Times New Roman" w:hAnsi="Times New Roman" w:cs="Times New Roman"/>
          <w:sz w:val="24"/>
          <w:szCs w:val="24"/>
        </w:rPr>
      </w:pPr>
      <w:r w:rsidRPr="00E70D90">
        <w:rPr>
          <w:rFonts w:ascii="Times New Roman" w:hAnsi="Times New Roman" w:cs="Times New Roman"/>
          <w:sz w:val="24"/>
          <w:szCs w:val="24"/>
        </w:rPr>
        <w:t>Federacja po raz kolejny była organizatorem „Szkoły Liderów”, w trakcie której starano się przekazać liderom uczestniczącym w szkoleniu w jaki sposób należy podnosić swoje kompetencje i zdobywać środki na działalność organizacji z różnych źródeł. W szkoleniu udział wzięło 39 osób reprezentujących UTW z całego województwa warmińsko-mazurskiego,</w:t>
      </w:r>
    </w:p>
    <w:p w14:paraId="0A16EE75" w14:textId="77777777" w:rsidR="00E70D90" w:rsidRDefault="00AB1786" w:rsidP="008C71A9">
      <w:pPr>
        <w:pStyle w:val="Akapitzlist"/>
        <w:numPr>
          <w:ilvl w:val="0"/>
          <w:numId w:val="192"/>
        </w:numPr>
        <w:spacing w:after="0"/>
        <w:ind w:left="360"/>
        <w:jc w:val="both"/>
        <w:rPr>
          <w:rFonts w:ascii="Times New Roman" w:hAnsi="Times New Roman" w:cs="Times New Roman"/>
          <w:sz w:val="24"/>
          <w:szCs w:val="24"/>
        </w:rPr>
      </w:pPr>
      <w:r w:rsidRPr="00E70D90">
        <w:rPr>
          <w:rFonts w:ascii="Times New Roman" w:hAnsi="Times New Roman" w:cs="Times New Roman"/>
          <w:sz w:val="24"/>
          <w:szCs w:val="24"/>
        </w:rPr>
        <w:t xml:space="preserve">w 2019 </w:t>
      </w:r>
      <w:r w:rsidR="00E70D90">
        <w:rPr>
          <w:rFonts w:ascii="Times New Roman" w:hAnsi="Times New Roman" w:cs="Times New Roman"/>
          <w:sz w:val="24"/>
          <w:szCs w:val="24"/>
        </w:rPr>
        <w:t xml:space="preserve">r. </w:t>
      </w:r>
      <w:r w:rsidRPr="00E70D90">
        <w:rPr>
          <w:rFonts w:ascii="Times New Roman" w:hAnsi="Times New Roman" w:cs="Times New Roman"/>
          <w:sz w:val="24"/>
          <w:szCs w:val="24"/>
        </w:rPr>
        <w:t>Federacja brała udział w kontynuowaniu projektu realizowanego przez Uniwersytet Warmińsko-Mazurski w ramach, którego 1</w:t>
      </w:r>
      <w:r w:rsidR="009B5AE0">
        <w:rPr>
          <w:rFonts w:ascii="Times New Roman" w:hAnsi="Times New Roman" w:cs="Times New Roman"/>
          <w:sz w:val="24"/>
          <w:szCs w:val="24"/>
        </w:rPr>
        <w:t xml:space="preserve"> </w:t>
      </w:r>
      <w:r w:rsidRPr="00E70D90">
        <w:rPr>
          <w:rFonts w:ascii="Times New Roman" w:hAnsi="Times New Roman" w:cs="Times New Roman"/>
          <w:sz w:val="24"/>
          <w:szCs w:val="24"/>
        </w:rPr>
        <w:t>500 słuchaczy z 13 UTW uczestniczyło  w zajęciach na Uniwersytecie,</w:t>
      </w:r>
    </w:p>
    <w:p w14:paraId="2CC6BC19" w14:textId="77777777" w:rsidR="00E70D90" w:rsidRDefault="00AB1786" w:rsidP="008C71A9">
      <w:pPr>
        <w:pStyle w:val="Akapitzlist"/>
        <w:numPr>
          <w:ilvl w:val="0"/>
          <w:numId w:val="192"/>
        </w:numPr>
        <w:spacing w:after="0"/>
        <w:ind w:left="360"/>
        <w:jc w:val="both"/>
        <w:rPr>
          <w:rFonts w:ascii="Times New Roman" w:hAnsi="Times New Roman" w:cs="Times New Roman"/>
          <w:sz w:val="24"/>
          <w:szCs w:val="24"/>
        </w:rPr>
      </w:pPr>
      <w:r w:rsidRPr="00E70D90">
        <w:rPr>
          <w:rFonts w:ascii="Times New Roman" w:hAnsi="Times New Roman" w:cs="Times New Roman"/>
          <w:sz w:val="24"/>
          <w:szCs w:val="24"/>
        </w:rPr>
        <w:t>w październiku 2019 r. Federacja była organizatorem Wojewódzkiej Konferencji</w:t>
      </w:r>
      <w:r w:rsidR="00E70D90">
        <w:rPr>
          <w:rFonts w:ascii="Times New Roman" w:hAnsi="Times New Roman" w:cs="Times New Roman"/>
          <w:sz w:val="24"/>
          <w:szCs w:val="24"/>
        </w:rPr>
        <w:t xml:space="preserve"> </w:t>
      </w:r>
      <w:r w:rsidRPr="00E70D90">
        <w:rPr>
          <w:rFonts w:ascii="Times New Roman" w:hAnsi="Times New Roman" w:cs="Times New Roman"/>
          <w:sz w:val="24"/>
          <w:szCs w:val="24"/>
        </w:rPr>
        <w:t>z okazji Międzynarodowego Dnia Osób Starszych, która odbyła się pod patronatem Marszałka  Województwa. Uczestniczyli w niej przedstaw</w:t>
      </w:r>
      <w:r w:rsidR="00E70D90">
        <w:rPr>
          <w:rFonts w:ascii="Times New Roman" w:hAnsi="Times New Roman" w:cs="Times New Roman"/>
          <w:sz w:val="24"/>
          <w:szCs w:val="24"/>
        </w:rPr>
        <w:t xml:space="preserve">iciele organizacji Seniorskich </w:t>
      </w:r>
      <w:r w:rsidRPr="00E70D90">
        <w:rPr>
          <w:rFonts w:ascii="Times New Roman" w:hAnsi="Times New Roman" w:cs="Times New Roman"/>
          <w:sz w:val="24"/>
          <w:szCs w:val="24"/>
        </w:rPr>
        <w:t>z kraju i zagranicy (Austrii, Litwy). Ogółem w konferencji uczestniczyło 130 osób, przedstawicieli wszystkich UTW z województwa,</w:t>
      </w:r>
    </w:p>
    <w:p w14:paraId="5F2AD5E5" w14:textId="77777777" w:rsidR="00E70D90" w:rsidRDefault="00AB1786" w:rsidP="008C71A9">
      <w:pPr>
        <w:pStyle w:val="Akapitzlist"/>
        <w:numPr>
          <w:ilvl w:val="0"/>
          <w:numId w:val="192"/>
        </w:numPr>
        <w:spacing w:after="0"/>
        <w:ind w:left="360"/>
        <w:jc w:val="both"/>
        <w:rPr>
          <w:rFonts w:ascii="Times New Roman" w:hAnsi="Times New Roman" w:cs="Times New Roman"/>
          <w:sz w:val="24"/>
          <w:szCs w:val="24"/>
        </w:rPr>
      </w:pPr>
      <w:r w:rsidRPr="00E70D90">
        <w:rPr>
          <w:rFonts w:ascii="Times New Roman" w:hAnsi="Times New Roman" w:cs="Times New Roman"/>
          <w:sz w:val="24"/>
          <w:szCs w:val="24"/>
        </w:rPr>
        <w:t>kontynuowano współpracę z Polsko-Austriackim Stowarzyszeniem Przyjaciół, Kultury „Galizien” w Wiedniu. Owocem tej współpracy jest realizacja kolejnego projektu Erasmus plus „Edukacja Dorosłych”, w ramach którego w roku 2019/2020  kolejna grupa przedstawicieli UTW wzięła  udział w szkoleniach. Zakładanym celem było poznanie innowacyjnych metod szkolenia, nauczania, nabycie umiejętności edukacyjnych, poprzez kontakt z kulturą i historią innego narodu, wzrost świadomości europejskiej i poczucia obywatelstwa zjednoczonej Europy oraz promowanie tych postaw w codziennym działaniu,</w:t>
      </w:r>
    </w:p>
    <w:p w14:paraId="095CAD57" w14:textId="77777777" w:rsidR="00E70D90" w:rsidRDefault="00AB1786" w:rsidP="008C71A9">
      <w:pPr>
        <w:pStyle w:val="Akapitzlist"/>
        <w:numPr>
          <w:ilvl w:val="0"/>
          <w:numId w:val="192"/>
        </w:numPr>
        <w:spacing w:after="0"/>
        <w:ind w:left="360"/>
        <w:jc w:val="both"/>
        <w:rPr>
          <w:rFonts w:ascii="Times New Roman" w:hAnsi="Times New Roman" w:cs="Times New Roman"/>
          <w:sz w:val="24"/>
          <w:szCs w:val="24"/>
        </w:rPr>
      </w:pPr>
      <w:r w:rsidRPr="00E70D90">
        <w:rPr>
          <w:rFonts w:ascii="Times New Roman" w:hAnsi="Times New Roman" w:cs="Times New Roman"/>
          <w:sz w:val="24"/>
          <w:szCs w:val="24"/>
        </w:rPr>
        <w:t xml:space="preserve">w roku ubiegłym rozpoczęto współpracę z Litewskim Uniwersytetem Trzeciego Wieku </w:t>
      </w:r>
      <w:r w:rsidRPr="00E70D90">
        <w:rPr>
          <w:rFonts w:ascii="Times New Roman" w:hAnsi="Times New Roman" w:cs="Times New Roman"/>
          <w:sz w:val="24"/>
          <w:szCs w:val="24"/>
        </w:rPr>
        <w:br/>
        <w:t>w Poniewieżu. Przedstawiciele tego UTW brali udział w podsumowaniu realizacji projektu PO WER w październiku ub. Roku. Mieli okazję uczestniczyć w zajęciach organizowanych przez Jarocką Akademię Trzec</w:t>
      </w:r>
      <w:r w:rsidR="00E70D90">
        <w:rPr>
          <w:rFonts w:ascii="Times New Roman" w:hAnsi="Times New Roman" w:cs="Times New Roman"/>
          <w:sz w:val="24"/>
          <w:szCs w:val="24"/>
        </w:rPr>
        <w:t xml:space="preserve">iego Wieku  w Olsztynie i  UTW </w:t>
      </w:r>
      <w:r w:rsidRPr="00E70D90">
        <w:rPr>
          <w:rFonts w:ascii="Times New Roman" w:hAnsi="Times New Roman" w:cs="Times New Roman"/>
          <w:sz w:val="24"/>
          <w:szCs w:val="24"/>
        </w:rPr>
        <w:t>w Kętrzynie Ełku, Ostródzie. Rezultatem pobytu przedstawicielek z Poniewieża jest podpisanie stałej współpracy i wymiany doświadczeń z Federacją,</w:t>
      </w:r>
    </w:p>
    <w:p w14:paraId="4372970E" w14:textId="77777777" w:rsidR="00AB1786" w:rsidRPr="00E70D90" w:rsidRDefault="00AB1786" w:rsidP="008C71A9">
      <w:pPr>
        <w:pStyle w:val="Akapitzlist"/>
        <w:numPr>
          <w:ilvl w:val="0"/>
          <w:numId w:val="192"/>
        </w:numPr>
        <w:spacing w:after="0"/>
        <w:ind w:left="360"/>
        <w:jc w:val="both"/>
        <w:rPr>
          <w:rFonts w:ascii="Times New Roman" w:hAnsi="Times New Roman" w:cs="Times New Roman"/>
          <w:sz w:val="24"/>
          <w:szCs w:val="24"/>
        </w:rPr>
      </w:pPr>
      <w:r w:rsidRPr="00E70D90">
        <w:rPr>
          <w:rFonts w:ascii="Times New Roman" w:hAnsi="Times New Roman" w:cs="Times New Roman"/>
          <w:sz w:val="24"/>
          <w:szCs w:val="24"/>
        </w:rPr>
        <w:t xml:space="preserve">Federacja UTW WiM w partnerstwie z Olsztyńską Szkołą Wyższą uczestniczy w realizacji projektu podnoszącego umiejętności w zakresie ITI jak i lektoratu języka angielskiego. W projekcie tym uczestniczy 45 członków UTW z województwa. </w:t>
      </w:r>
    </w:p>
    <w:p w14:paraId="1E19D39F" w14:textId="77777777" w:rsidR="00AB1786" w:rsidRPr="005F0A32" w:rsidRDefault="00AB1786" w:rsidP="003C1988">
      <w:pPr>
        <w:spacing w:after="0"/>
        <w:rPr>
          <w:rFonts w:ascii="Times New Roman" w:hAnsi="Times New Roman" w:cs="Times New Roman"/>
          <w:b/>
          <w:bCs/>
          <w:sz w:val="24"/>
          <w:szCs w:val="24"/>
        </w:rPr>
      </w:pPr>
    </w:p>
    <w:p w14:paraId="5FD844F0" w14:textId="77777777" w:rsidR="00E70D90" w:rsidRDefault="00E70D90" w:rsidP="003C1988">
      <w:pPr>
        <w:spacing w:after="0"/>
        <w:rPr>
          <w:rFonts w:ascii="Times New Roman" w:hAnsi="Times New Roman" w:cs="Times New Roman"/>
          <w:sz w:val="24"/>
          <w:szCs w:val="24"/>
          <w:lang w:eastAsia="ar-SA"/>
        </w:rPr>
        <w:sectPr w:rsidR="00E70D90" w:rsidSect="00FC210F">
          <w:pgSz w:w="11906" w:h="16840"/>
          <w:pgMar w:top="1418" w:right="1418" w:bottom="1417" w:left="1418" w:header="708" w:footer="708" w:gutter="0"/>
          <w:cols w:space="708"/>
          <w:docGrid w:linePitch="360"/>
        </w:sectPr>
      </w:pPr>
    </w:p>
    <w:p w14:paraId="668E38A3" w14:textId="01F73C9B" w:rsidR="004D48DD" w:rsidRPr="004D48DD" w:rsidRDefault="004D48DD" w:rsidP="004D48DD">
      <w:pPr>
        <w:pStyle w:val="Legenda"/>
        <w:keepNext/>
        <w:rPr>
          <w:rFonts w:ascii="Times New Roman" w:hAnsi="Times New Roman" w:cs="Times New Roman"/>
          <w:b/>
          <w:i w:val="0"/>
          <w:sz w:val="24"/>
        </w:rPr>
      </w:pPr>
      <w:bookmarkStart w:id="153" w:name="_Toc49171443"/>
      <w:r w:rsidRPr="004D48DD">
        <w:rPr>
          <w:rFonts w:ascii="Times New Roman" w:hAnsi="Times New Roman" w:cs="Times New Roman"/>
          <w:b/>
          <w:i w:val="0"/>
          <w:sz w:val="24"/>
        </w:rPr>
        <w:lastRenderedPageBreak/>
        <w:t xml:space="preserve">Tabela </w:t>
      </w:r>
      <w:r w:rsidRPr="004D48DD">
        <w:rPr>
          <w:rFonts w:ascii="Times New Roman" w:hAnsi="Times New Roman" w:cs="Times New Roman"/>
          <w:b/>
          <w:i w:val="0"/>
          <w:sz w:val="24"/>
        </w:rPr>
        <w:fldChar w:fldCharType="begin"/>
      </w:r>
      <w:r w:rsidRPr="004D48DD">
        <w:rPr>
          <w:rFonts w:ascii="Times New Roman" w:hAnsi="Times New Roman" w:cs="Times New Roman"/>
          <w:b/>
          <w:i w:val="0"/>
          <w:sz w:val="24"/>
        </w:rPr>
        <w:instrText xml:space="preserve"> SEQ Tabela \* ARABIC </w:instrText>
      </w:r>
      <w:r w:rsidRPr="004D48DD">
        <w:rPr>
          <w:rFonts w:ascii="Times New Roman" w:hAnsi="Times New Roman" w:cs="Times New Roman"/>
          <w:b/>
          <w:i w:val="0"/>
          <w:sz w:val="24"/>
        </w:rPr>
        <w:fldChar w:fldCharType="separate"/>
      </w:r>
      <w:r w:rsidR="00C154C9">
        <w:rPr>
          <w:rFonts w:ascii="Times New Roman" w:hAnsi="Times New Roman" w:cs="Times New Roman"/>
          <w:b/>
          <w:i w:val="0"/>
          <w:noProof/>
          <w:sz w:val="24"/>
        </w:rPr>
        <w:t>68</w:t>
      </w:r>
      <w:r w:rsidRPr="004D48DD">
        <w:rPr>
          <w:rFonts w:ascii="Times New Roman" w:hAnsi="Times New Roman" w:cs="Times New Roman"/>
          <w:b/>
          <w:i w:val="0"/>
          <w:sz w:val="24"/>
        </w:rPr>
        <w:fldChar w:fldCharType="end"/>
      </w:r>
      <w:r w:rsidRPr="004D48DD">
        <w:rPr>
          <w:rFonts w:ascii="Times New Roman" w:hAnsi="Times New Roman" w:cs="Times New Roman"/>
          <w:b/>
          <w:i w:val="0"/>
          <w:sz w:val="24"/>
        </w:rPr>
        <w:t xml:space="preserve"> Karta województwa warmińsko-mazurskiego</w:t>
      </w:r>
      <w:bookmarkEnd w:id="153"/>
    </w:p>
    <w:tbl>
      <w:tblPr>
        <w:tblpPr w:leftFromText="141" w:rightFromText="141" w:vertAnchor="text" w:tblpXSpec="center" w:tblpY="1"/>
        <w:tblOverlap w:val="never"/>
        <w:tblW w:w="14741" w:type="dxa"/>
        <w:jc w:val="center"/>
        <w:tblBorders>
          <w:top w:val="single" w:sz="12" w:space="0" w:color="9CC2E5"/>
          <w:left w:val="single" w:sz="12" w:space="0" w:color="9CC2E5"/>
          <w:bottom w:val="single" w:sz="12" w:space="0" w:color="9CC2E5"/>
          <w:right w:val="single" w:sz="12" w:space="0" w:color="9CC2E5"/>
          <w:insideH w:val="single" w:sz="12" w:space="0" w:color="9CC2E5"/>
          <w:insideV w:val="single" w:sz="12" w:space="0" w:color="9CC2E5"/>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9B7D2E" w:rsidRPr="009B7D2E" w14:paraId="50EB824E" w14:textId="77777777" w:rsidTr="009B7D2E">
        <w:trPr>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91FB83A" w14:textId="77777777" w:rsidR="00393951" w:rsidRPr="009B7D2E" w:rsidRDefault="00393951" w:rsidP="009B7D2E">
            <w:pPr>
              <w:spacing w:after="0" w:line="240" w:lineRule="auto"/>
              <w:jc w:val="center"/>
              <w:rPr>
                <w:rFonts w:ascii="Times New Roman" w:hAnsi="Times New Roman" w:cs="Times New Roman"/>
                <w:b/>
                <w:bCs/>
              </w:rPr>
            </w:pPr>
            <w:r w:rsidRPr="009B7D2E">
              <w:rPr>
                <w:rFonts w:ascii="Times New Roman" w:hAnsi="Times New Roman" w:cs="Times New Roman"/>
                <w:b/>
                <w:bCs/>
              </w:rPr>
              <w:t>WOJEWÓDZTWO WARMIŃSKO-MAZURSKIE</w:t>
            </w:r>
          </w:p>
        </w:tc>
      </w:tr>
      <w:tr w:rsidR="009B7D2E" w:rsidRPr="009B7D2E" w14:paraId="6ECAADC0" w14:textId="77777777" w:rsidTr="00317D75">
        <w:trPr>
          <w:trHeight w:val="113"/>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5F2C047" w14:textId="77777777" w:rsidR="00393951" w:rsidRPr="009B7D2E" w:rsidRDefault="00393951" w:rsidP="009B7D2E">
            <w:pPr>
              <w:spacing w:after="0" w:line="240" w:lineRule="auto"/>
              <w:rPr>
                <w:rFonts w:ascii="Times New Roman" w:hAnsi="Times New Roman" w:cs="Times New Roman"/>
                <w:b/>
                <w:bCs/>
              </w:rPr>
            </w:pPr>
            <w:r w:rsidRPr="009B7D2E">
              <w:rPr>
                <w:rFonts w:ascii="Times New Roman" w:hAnsi="Times New Roman" w:cs="Times New Roman"/>
                <w:b/>
                <w:bCs/>
              </w:rPr>
              <w:t>Informacja o regionie</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CC74ABE" w14:textId="77777777" w:rsidR="00393951" w:rsidRPr="009B7D2E" w:rsidRDefault="00393951" w:rsidP="009B7D2E">
            <w:pPr>
              <w:spacing w:after="0" w:line="240" w:lineRule="auto"/>
              <w:rPr>
                <w:rFonts w:ascii="Times New Roman" w:hAnsi="Times New Roman" w:cs="Times New Roman"/>
                <w:b/>
              </w:rPr>
            </w:pPr>
            <w:r w:rsidRPr="009B7D2E">
              <w:rPr>
                <w:rFonts w:ascii="Times New Roman" w:hAnsi="Times New Roman" w:cs="Times New Roman"/>
                <w:b/>
              </w:rPr>
              <w:t>Liczba gmin</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48B4B0C"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116</w:t>
            </w:r>
          </w:p>
        </w:tc>
      </w:tr>
      <w:tr w:rsidR="009B7D2E" w:rsidRPr="009B7D2E" w14:paraId="71B218ED" w14:textId="77777777" w:rsidTr="00317D75">
        <w:trPr>
          <w:trHeight w:val="112"/>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07886E6" w14:textId="77777777" w:rsidR="00393951" w:rsidRPr="009B7D2E" w:rsidRDefault="00393951" w:rsidP="009B7D2E">
            <w:pPr>
              <w:spacing w:after="0" w:line="240" w:lineRule="auto"/>
              <w:rPr>
                <w:rFonts w:ascii="Times New Roman" w:hAnsi="Times New Roman" w:cs="Times New Roman"/>
                <w:b/>
                <w:bCs/>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ADC11FA" w14:textId="77777777" w:rsidR="00393951" w:rsidRPr="009B7D2E" w:rsidRDefault="00393951" w:rsidP="009B7D2E">
            <w:pPr>
              <w:spacing w:after="0" w:line="240" w:lineRule="auto"/>
              <w:rPr>
                <w:rFonts w:ascii="Times New Roman" w:hAnsi="Times New Roman" w:cs="Times New Roman"/>
                <w:b/>
              </w:rPr>
            </w:pPr>
            <w:r w:rsidRPr="009B7D2E">
              <w:rPr>
                <w:rFonts w:ascii="Times New Roman" w:hAnsi="Times New Roman" w:cs="Times New Roman"/>
                <w:b/>
              </w:rPr>
              <w:t>Liczba powiatów</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7AA775D"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19+2 miasta na prawach powiatu</w:t>
            </w:r>
          </w:p>
        </w:tc>
      </w:tr>
      <w:tr w:rsidR="009B7D2E" w:rsidRPr="009B7D2E" w14:paraId="6910DC36" w14:textId="77777777" w:rsidTr="00317D75">
        <w:trPr>
          <w:trHeight w:val="112"/>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8733CC0" w14:textId="77777777" w:rsidR="00393951" w:rsidRPr="009B7D2E" w:rsidRDefault="00393951" w:rsidP="009B7D2E">
            <w:pPr>
              <w:spacing w:after="0" w:line="240" w:lineRule="auto"/>
              <w:rPr>
                <w:rFonts w:ascii="Times New Roman" w:hAnsi="Times New Roman" w:cs="Times New Roman"/>
                <w:b/>
                <w:bCs/>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7EE66F1" w14:textId="77777777" w:rsidR="00393951" w:rsidRPr="009B7D2E" w:rsidRDefault="00393951" w:rsidP="009B7D2E">
            <w:pPr>
              <w:spacing w:after="0" w:line="240" w:lineRule="auto"/>
              <w:rPr>
                <w:rFonts w:ascii="Times New Roman" w:hAnsi="Times New Roman" w:cs="Times New Roman"/>
                <w:b/>
              </w:rPr>
            </w:pPr>
            <w:r w:rsidRPr="009B7D2E">
              <w:rPr>
                <w:rFonts w:ascii="Times New Roman" w:hAnsi="Times New Roman" w:cs="Times New Roman"/>
                <w:b/>
              </w:rPr>
              <w:t>Powierzchnia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FF0198B"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 xml:space="preserve">24 173 km </w:t>
            </w:r>
            <w:r w:rsidRPr="009B7D2E">
              <w:rPr>
                <w:rFonts w:ascii="Times New Roman" w:hAnsi="Times New Roman" w:cs="Times New Roman"/>
                <w:vertAlign w:val="superscript"/>
              </w:rPr>
              <w:t>2</w:t>
            </w:r>
          </w:p>
        </w:tc>
      </w:tr>
      <w:tr w:rsidR="009B7D2E" w:rsidRPr="009B7D2E" w14:paraId="22B29CF8" w14:textId="77777777" w:rsidTr="009B7D2E">
        <w:trPr>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6DCE10D" w14:textId="77777777" w:rsidR="00393951" w:rsidRPr="009B7D2E" w:rsidRDefault="00393951" w:rsidP="009B7D2E">
            <w:pPr>
              <w:spacing w:after="0" w:line="240" w:lineRule="auto"/>
              <w:jc w:val="center"/>
              <w:rPr>
                <w:rFonts w:ascii="Times New Roman" w:hAnsi="Times New Roman" w:cs="Times New Roman"/>
                <w:bCs/>
              </w:rPr>
            </w:pPr>
            <w:r w:rsidRPr="009B7D2E">
              <w:rPr>
                <w:rFonts w:ascii="Times New Roman" w:hAnsi="Times New Roman" w:cs="Times New Roman"/>
                <w:b/>
                <w:bCs/>
              </w:rPr>
              <w:t>DEMOGRAFIA</w:t>
            </w:r>
          </w:p>
        </w:tc>
      </w:tr>
      <w:tr w:rsidR="009B7D2E" w:rsidRPr="009B7D2E" w14:paraId="6900C03C" w14:textId="77777777" w:rsidTr="009B7D2E">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93CA97D" w14:textId="77777777" w:rsidR="00393951" w:rsidRPr="009B7D2E" w:rsidRDefault="00393951" w:rsidP="009B7D2E">
            <w:pPr>
              <w:spacing w:after="0" w:line="240" w:lineRule="auto"/>
              <w:jc w:val="center"/>
              <w:rPr>
                <w:rFonts w:ascii="Times New Roman" w:hAnsi="Times New Roman" w:cs="Times New Roman"/>
                <w:bCs/>
                <w:lang w:eastAsia="pl-PL"/>
              </w:rPr>
            </w:pPr>
            <w:r w:rsidRPr="009B7D2E">
              <w:rPr>
                <w:rFonts w:ascii="Times New Roman" w:hAnsi="Times New Roman" w:cs="Times New Roman"/>
                <w:b/>
                <w:bCs/>
                <w:lang w:eastAsia="pl-PL"/>
              </w:rPr>
              <w:t>Treść</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73F009E" w14:textId="77777777" w:rsidR="00393951" w:rsidRPr="009B7D2E" w:rsidRDefault="00393951" w:rsidP="009B7D2E">
            <w:pPr>
              <w:spacing w:after="0" w:line="240" w:lineRule="auto"/>
              <w:jc w:val="center"/>
              <w:rPr>
                <w:rFonts w:ascii="Times New Roman" w:hAnsi="Times New Roman" w:cs="Times New Roman"/>
                <w:b/>
              </w:rPr>
            </w:pPr>
            <w:r w:rsidRPr="009B7D2E">
              <w:rPr>
                <w:rFonts w:ascii="Times New Roman" w:hAnsi="Times New Roman" w:cs="Times New Roman"/>
                <w:b/>
              </w:rPr>
              <w:t>2017 r.</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7078FED" w14:textId="77777777" w:rsidR="00393951" w:rsidRPr="009B7D2E" w:rsidRDefault="00393951" w:rsidP="009B7D2E">
            <w:pPr>
              <w:spacing w:after="0" w:line="240" w:lineRule="auto"/>
              <w:jc w:val="center"/>
              <w:rPr>
                <w:rFonts w:ascii="Times New Roman" w:hAnsi="Times New Roman" w:cs="Times New Roman"/>
                <w:b/>
              </w:rPr>
            </w:pPr>
            <w:r w:rsidRPr="009B7D2E">
              <w:rPr>
                <w:rFonts w:ascii="Times New Roman" w:hAnsi="Times New Roman" w:cs="Times New Roman"/>
                <w:b/>
              </w:rPr>
              <w:t>2018 r.</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82971D4" w14:textId="77777777" w:rsidR="00393951" w:rsidRPr="009B7D2E" w:rsidRDefault="00393951" w:rsidP="009B7D2E">
            <w:pPr>
              <w:spacing w:after="0" w:line="240" w:lineRule="auto"/>
              <w:jc w:val="center"/>
              <w:rPr>
                <w:rFonts w:ascii="Times New Roman" w:hAnsi="Times New Roman" w:cs="Times New Roman"/>
                <w:b/>
              </w:rPr>
            </w:pPr>
            <w:r w:rsidRPr="009B7D2E">
              <w:rPr>
                <w:rFonts w:ascii="Times New Roman" w:hAnsi="Times New Roman" w:cs="Times New Roman"/>
                <w:b/>
              </w:rPr>
              <w:t>2019 r.</w:t>
            </w:r>
          </w:p>
        </w:tc>
      </w:tr>
      <w:tr w:rsidR="009B7D2E" w:rsidRPr="009B7D2E" w14:paraId="6E54B08A" w14:textId="77777777" w:rsidTr="009B7D2E">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CDB9F21"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Populacja ogółem</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70748CF4"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w:t>
            </w:r>
            <w:r w:rsidR="009B5AE0" w:rsidRPr="009B7D2E">
              <w:rPr>
                <w:rFonts w:ascii="Times New Roman" w:hAnsi="Times New Roman" w:cs="Times New Roman"/>
              </w:rPr>
              <w:t xml:space="preserve"> </w:t>
            </w:r>
            <w:r w:rsidRPr="009B7D2E">
              <w:rPr>
                <w:rFonts w:ascii="Times New Roman" w:hAnsi="Times New Roman" w:cs="Times New Roman"/>
              </w:rPr>
              <w:t>433</w:t>
            </w:r>
            <w:r w:rsidR="009B5AE0" w:rsidRPr="009B7D2E">
              <w:rPr>
                <w:rFonts w:ascii="Times New Roman" w:hAnsi="Times New Roman" w:cs="Times New Roman"/>
              </w:rPr>
              <w:t xml:space="preserve"> </w:t>
            </w:r>
            <w:r w:rsidRPr="009B7D2E">
              <w:rPr>
                <w:rFonts w:ascii="Times New Roman" w:hAnsi="Times New Roman" w:cs="Times New Roman"/>
              </w:rPr>
              <w:t>945</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42504FEC"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w:t>
            </w:r>
            <w:r w:rsidR="009B5AE0" w:rsidRPr="009B7D2E">
              <w:rPr>
                <w:rFonts w:ascii="Times New Roman" w:hAnsi="Times New Roman" w:cs="Times New Roman"/>
              </w:rPr>
              <w:t xml:space="preserve"> </w:t>
            </w:r>
            <w:r w:rsidRPr="009B7D2E">
              <w:rPr>
                <w:rFonts w:ascii="Times New Roman" w:hAnsi="Times New Roman" w:cs="Times New Roman"/>
              </w:rPr>
              <w:t>428</w:t>
            </w:r>
            <w:r w:rsidR="009B5AE0" w:rsidRPr="009B7D2E">
              <w:rPr>
                <w:rFonts w:ascii="Times New Roman" w:hAnsi="Times New Roman" w:cs="Times New Roman"/>
              </w:rPr>
              <w:t xml:space="preserve"> </w:t>
            </w:r>
            <w:r w:rsidRPr="009B7D2E">
              <w:rPr>
                <w:rFonts w:ascii="Times New Roman" w:hAnsi="Times New Roman" w:cs="Times New Roman"/>
              </w:rPr>
              <w:t>983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1E16DE23"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w:t>
            </w:r>
            <w:r w:rsidR="009B5AE0" w:rsidRPr="009B7D2E">
              <w:rPr>
                <w:rFonts w:ascii="Times New Roman" w:hAnsi="Times New Roman" w:cs="Times New Roman"/>
              </w:rPr>
              <w:t xml:space="preserve"> </w:t>
            </w:r>
            <w:r w:rsidRPr="009B7D2E">
              <w:rPr>
                <w:rFonts w:ascii="Times New Roman" w:hAnsi="Times New Roman" w:cs="Times New Roman"/>
              </w:rPr>
              <w:t>422</w:t>
            </w:r>
            <w:r w:rsidR="009B5AE0" w:rsidRPr="009B7D2E">
              <w:rPr>
                <w:rFonts w:ascii="Times New Roman" w:hAnsi="Times New Roman" w:cs="Times New Roman"/>
              </w:rPr>
              <w:t xml:space="preserve"> </w:t>
            </w:r>
            <w:r w:rsidRPr="009B7D2E">
              <w:rPr>
                <w:rFonts w:ascii="Times New Roman" w:hAnsi="Times New Roman" w:cs="Times New Roman"/>
              </w:rPr>
              <w:t>737</w:t>
            </w:r>
          </w:p>
        </w:tc>
      </w:tr>
      <w:tr w:rsidR="009B7D2E" w:rsidRPr="009B7D2E" w14:paraId="6B8FA6E2" w14:textId="77777777" w:rsidTr="009B7D2E">
        <w:trPr>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2059771" w14:textId="77777777" w:rsidR="00393951" w:rsidRPr="009B7D2E" w:rsidRDefault="00393951" w:rsidP="009B7D2E">
            <w:pPr>
              <w:spacing w:after="0" w:line="240" w:lineRule="auto"/>
              <w:rPr>
                <w:rFonts w:ascii="Times New Roman" w:hAnsi="Times New Roman" w:cs="Times New Roman"/>
                <w:b/>
                <w:bCs/>
              </w:rPr>
            </w:pPr>
            <w:r w:rsidRPr="009B7D2E">
              <w:rPr>
                <w:rFonts w:ascii="Times New Roman" w:hAnsi="Times New Roman" w:cs="Times New Roman"/>
                <w:b/>
                <w:bCs/>
                <w:lang w:eastAsia="pl-PL"/>
              </w:rPr>
              <w:t>w tym:</w:t>
            </w:r>
          </w:p>
        </w:tc>
      </w:tr>
      <w:tr w:rsidR="009B7D2E" w:rsidRPr="009B7D2E" w14:paraId="0EF5001D"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1022E55" w14:textId="77777777" w:rsidR="00393951" w:rsidRPr="009B7D2E" w:rsidRDefault="00393951" w:rsidP="009B7D2E">
            <w:pPr>
              <w:spacing w:after="0" w:line="240" w:lineRule="auto"/>
              <w:rPr>
                <w:rFonts w:ascii="Times New Roman" w:hAnsi="Times New Roman" w:cs="Times New Roman"/>
                <w:b/>
                <w:bCs/>
              </w:rPr>
            </w:pPr>
            <w:r w:rsidRPr="009B7D2E">
              <w:rPr>
                <w:rFonts w:ascii="Times New Roman" w:hAnsi="Times New Roman" w:cs="Times New Roman"/>
                <w:b/>
                <w:bCs/>
                <w:lang w:eastAsia="pl-PL"/>
              </w:rPr>
              <w:t>w wieku 60 lat i więcej</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BB81AAA"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323</w:t>
            </w:r>
            <w:r w:rsidR="009B5AE0" w:rsidRPr="009B7D2E">
              <w:rPr>
                <w:rFonts w:ascii="Times New Roman" w:hAnsi="Times New Roman" w:cs="Times New Roman"/>
              </w:rPr>
              <w:t xml:space="preserve"> </w:t>
            </w:r>
            <w:r w:rsidRPr="009B7D2E">
              <w:rPr>
                <w:rFonts w:ascii="Times New Roman" w:hAnsi="Times New Roman" w:cs="Times New Roman"/>
              </w:rPr>
              <w:t>708</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0E3D6E7"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333</w:t>
            </w:r>
            <w:r w:rsidR="009B5AE0" w:rsidRPr="009B7D2E">
              <w:rPr>
                <w:rFonts w:ascii="Times New Roman" w:hAnsi="Times New Roman" w:cs="Times New Roman"/>
              </w:rPr>
              <w:t xml:space="preserve"> </w:t>
            </w:r>
            <w:r w:rsidRPr="009B7D2E">
              <w:rPr>
                <w:rFonts w:ascii="Times New Roman" w:hAnsi="Times New Roman" w:cs="Times New Roman"/>
              </w:rPr>
              <w:t>364</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FB85DD7"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342</w:t>
            </w:r>
            <w:r w:rsidR="009B5AE0" w:rsidRPr="009B7D2E">
              <w:rPr>
                <w:rFonts w:ascii="Times New Roman" w:hAnsi="Times New Roman" w:cs="Times New Roman"/>
              </w:rPr>
              <w:t xml:space="preserve"> </w:t>
            </w:r>
            <w:r w:rsidRPr="009B7D2E">
              <w:rPr>
                <w:rFonts w:ascii="Times New Roman" w:hAnsi="Times New Roman" w:cs="Times New Roman"/>
              </w:rPr>
              <w:t>518</w:t>
            </w:r>
          </w:p>
        </w:tc>
      </w:tr>
      <w:tr w:rsidR="009B7D2E" w:rsidRPr="009B7D2E" w14:paraId="1612D803"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8120783"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60–64 lata</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6B72886"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104</w:t>
            </w:r>
            <w:r w:rsidR="009B5AE0" w:rsidRPr="009B7D2E">
              <w:rPr>
                <w:rFonts w:ascii="Times New Roman" w:hAnsi="Times New Roman" w:cs="Times New Roman"/>
              </w:rPr>
              <w:t xml:space="preserve"> </w:t>
            </w:r>
            <w:r w:rsidRPr="009B7D2E">
              <w:rPr>
                <w:rFonts w:ascii="Times New Roman" w:hAnsi="Times New Roman" w:cs="Times New Roman"/>
              </w:rPr>
              <w:t>449</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B9A60CB"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105</w:t>
            </w:r>
            <w:r w:rsidR="009B5AE0" w:rsidRPr="009B7D2E">
              <w:rPr>
                <w:rFonts w:ascii="Times New Roman" w:hAnsi="Times New Roman" w:cs="Times New Roman"/>
              </w:rPr>
              <w:t xml:space="preserve"> </w:t>
            </w:r>
            <w:r w:rsidRPr="009B7D2E">
              <w:rPr>
                <w:rFonts w:ascii="Times New Roman" w:hAnsi="Times New Roman" w:cs="Times New Roman"/>
              </w:rPr>
              <w:t>907</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C80037E"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106</w:t>
            </w:r>
            <w:r w:rsidR="009B5AE0" w:rsidRPr="009B7D2E">
              <w:rPr>
                <w:rFonts w:ascii="Times New Roman" w:hAnsi="Times New Roman" w:cs="Times New Roman"/>
              </w:rPr>
              <w:t xml:space="preserve"> </w:t>
            </w:r>
            <w:r w:rsidRPr="009B7D2E">
              <w:rPr>
                <w:rFonts w:ascii="Times New Roman" w:hAnsi="Times New Roman" w:cs="Times New Roman"/>
              </w:rPr>
              <w:t>485</w:t>
            </w:r>
          </w:p>
        </w:tc>
      </w:tr>
      <w:tr w:rsidR="009B7D2E" w:rsidRPr="009B7D2E" w14:paraId="6E337781"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BF59965"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65–69</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80A9B45"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84</w:t>
            </w:r>
            <w:r w:rsidR="009B5AE0" w:rsidRPr="009B7D2E">
              <w:rPr>
                <w:rFonts w:ascii="Times New Roman" w:hAnsi="Times New Roman" w:cs="Times New Roman"/>
              </w:rPr>
              <w:t xml:space="preserve"> </w:t>
            </w:r>
            <w:r w:rsidRPr="009B7D2E">
              <w:rPr>
                <w:rFonts w:ascii="Times New Roman" w:hAnsi="Times New Roman" w:cs="Times New Roman"/>
              </w:rPr>
              <w:t>597</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9F38F57"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87</w:t>
            </w:r>
            <w:r w:rsidR="009B5AE0" w:rsidRPr="009B7D2E">
              <w:rPr>
                <w:rFonts w:ascii="Times New Roman" w:hAnsi="Times New Roman" w:cs="Times New Roman"/>
              </w:rPr>
              <w:t xml:space="preserve"> </w:t>
            </w:r>
            <w:r w:rsidRPr="009B7D2E">
              <w:rPr>
                <w:rFonts w:ascii="Times New Roman" w:hAnsi="Times New Roman" w:cs="Times New Roman"/>
              </w:rPr>
              <w:t>299</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FCEDE4F"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89</w:t>
            </w:r>
            <w:r w:rsidR="009B5AE0" w:rsidRPr="009B7D2E">
              <w:rPr>
                <w:rFonts w:ascii="Times New Roman" w:hAnsi="Times New Roman" w:cs="Times New Roman"/>
              </w:rPr>
              <w:t xml:space="preserve"> </w:t>
            </w:r>
            <w:r w:rsidRPr="009B7D2E">
              <w:rPr>
                <w:rFonts w:ascii="Times New Roman" w:hAnsi="Times New Roman" w:cs="Times New Roman"/>
              </w:rPr>
              <w:t>359</w:t>
            </w:r>
          </w:p>
        </w:tc>
      </w:tr>
      <w:tr w:rsidR="009B7D2E" w:rsidRPr="009B7D2E" w14:paraId="6BEC913E"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77C84FA"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70–74</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F064111"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45</w:t>
            </w:r>
            <w:r w:rsidR="009B5AE0" w:rsidRPr="009B7D2E">
              <w:rPr>
                <w:rFonts w:ascii="Times New Roman" w:hAnsi="Times New Roman" w:cs="Times New Roman"/>
              </w:rPr>
              <w:t xml:space="preserve"> </w:t>
            </w:r>
            <w:r w:rsidRPr="009B7D2E">
              <w:rPr>
                <w:rFonts w:ascii="Times New Roman" w:hAnsi="Times New Roman" w:cs="Times New Roman"/>
              </w:rPr>
              <w:t>216</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DFADF45"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51</w:t>
            </w:r>
            <w:r w:rsidR="009B5AE0" w:rsidRPr="009B7D2E">
              <w:rPr>
                <w:rFonts w:ascii="Times New Roman" w:hAnsi="Times New Roman" w:cs="Times New Roman"/>
              </w:rPr>
              <w:t xml:space="preserve"> </w:t>
            </w:r>
            <w:r w:rsidRPr="009B7D2E">
              <w:rPr>
                <w:rFonts w:ascii="Times New Roman" w:hAnsi="Times New Roman" w:cs="Times New Roman"/>
              </w:rPr>
              <w:t>511</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C545FD1"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58</w:t>
            </w:r>
            <w:r w:rsidR="009B5AE0" w:rsidRPr="009B7D2E">
              <w:rPr>
                <w:rFonts w:ascii="Times New Roman" w:hAnsi="Times New Roman" w:cs="Times New Roman"/>
              </w:rPr>
              <w:t xml:space="preserve"> </w:t>
            </w:r>
            <w:r w:rsidRPr="009B7D2E">
              <w:rPr>
                <w:rFonts w:ascii="Times New Roman" w:hAnsi="Times New Roman" w:cs="Times New Roman"/>
              </w:rPr>
              <w:t>592</w:t>
            </w:r>
          </w:p>
        </w:tc>
      </w:tr>
      <w:tr w:rsidR="009B7D2E" w:rsidRPr="009B7D2E" w14:paraId="25ED2137"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D8CD9D4"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75–79</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F8D7FD8"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35</w:t>
            </w:r>
            <w:r w:rsidR="009B5AE0" w:rsidRPr="009B7D2E">
              <w:rPr>
                <w:rFonts w:ascii="Times New Roman" w:hAnsi="Times New Roman" w:cs="Times New Roman"/>
              </w:rPr>
              <w:t xml:space="preserve"> </w:t>
            </w:r>
            <w:r w:rsidRPr="009B7D2E">
              <w:rPr>
                <w:rFonts w:ascii="Times New Roman" w:hAnsi="Times New Roman" w:cs="Times New Roman"/>
              </w:rPr>
              <w:t>520</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26E559E"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34</w:t>
            </w:r>
            <w:r w:rsidR="009B5AE0" w:rsidRPr="009B7D2E">
              <w:rPr>
                <w:rFonts w:ascii="Times New Roman" w:hAnsi="Times New Roman" w:cs="Times New Roman"/>
              </w:rPr>
              <w:t xml:space="preserve"> </w:t>
            </w:r>
            <w:r w:rsidRPr="009B7D2E">
              <w:rPr>
                <w:rFonts w:ascii="Times New Roman" w:hAnsi="Times New Roman" w:cs="Times New Roman"/>
              </w:rPr>
              <w:t>068</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DD74133"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32</w:t>
            </w:r>
            <w:r w:rsidR="009B5AE0" w:rsidRPr="009B7D2E">
              <w:rPr>
                <w:rFonts w:ascii="Times New Roman" w:hAnsi="Times New Roman" w:cs="Times New Roman"/>
              </w:rPr>
              <w:t xml:space="preserve"> </w:t>
            </w:r>
            <w:r w:rsidRPr="009B7D2E">
              <w:rPr>
                <w:rFonts w:ascii="Times New Roman" w:hAnsi="Times New Roman" w:cs="Times New Roman"/>
              </w:rPr>
              <w:t>792</w:t>
            </w:r>
          </w:p>
        </w:tc>
      </w:tr>
      <w:tr w:rsidR="009B7D2E" w:rsidRPr="009B7D2E" w14:paraId="13E5FC04"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52003BD"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80–84</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83C2B73"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28</w:t>
            </w:r>
            <w:r w:rsidR="009B5AE0" w:rsidRPr="009B7D2E">
              <w:rPr>
                <w:rFonts w:ascii="Times New Roman" w:hAnsi="Times New Roman" w:cs="Times New Roman"/>
              </w:rPr>
              <w:t xml:space="preserve"> </w:t>
            </w:r>
            <w:r w:rsidRPr="009B7D2E">
              <w:rPr>
                <w:rFonts w:ascii="Times New Roman" w:hAnsi="Times New Roman" w:cs="Times New Roman"/>
              </w:rPr>
              <w:t>683</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75BA0B0"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28</w:t>
            </w:r>
            <w:r w:rsidR="009B5AE0" w:rsidRPr="009B7D2E">
              <w:rPr>
                <w:rFonts w:ascii="Times New Roman" w:hAnsi="Times New Roman" w:cs="Times New Roman"/>
              </w:rPr>
              <w:t xml:space="preserve"> </w:t>
            </w:r>
            <w:r w:rsidRPr="009B7D2E">
              <w:rPr>
                <w:rFonts w:ascii="Times New Roman" w:hAnsi="Times New Roman" w:cs="Times New Roman"/>
              </w:rPr>
              <w:t>821</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1304578"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28</w:t>
            </w:r>
            <w:r w:rsidR="009B5AE0" w:rsidRPr="009B7D2E">
              <w:rPr>
                <w:rFonts w:ascii="Times New Roman" w:hAnsi="Times New Roman" w:cs="Times New Roman"/>
              </w:rPr>
              <w:t xml:space="preserve"> </w:t>
            </w:r>
            <w:r w:rsidRPr="009B7D2E">
              <w:rPr>
                <w:rFonts w:ascii="Times New Roman" w:hAnsi="Times New Roman" w:cs="Times New Roman"/>
              </w:rPr>
              <w:t>828</w:t>
            </w:r>
          </w:p>
        </w:tc>
      </w:tr>
      <w:tr w:rsidR="009B7D2E" w:rsidRPr="009B7D2E" w14:paraId="4E2F7CB6"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901DCBF"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85 lat i więcej</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77E8D89"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25</w:t>
            </w:r>
            <w:r w:rsidR="009B5AE0" w:rsidRPr="009B7D2E">
              <w:rPr>
                <w:rFonts w:ascii="Times New Roman" w:hAnsi="Times New Roman" w:cs="Times New Roman"/>
              </w:rPr>
              <w:t xml:space="preserve"> </w:t>
            </w:r>
            <w:r w:rsidRPr="009B7D2E">
              <w:rPr>
                <w:rFonts w:ascii="Times New Roman" w:hAnsi="Times New Roman" w:cs="Times New Roman"/>
              </w:rPr>
              <w:t>243</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D08AE3E"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25</w:t>
            </w:r>
            <w:r w:rsidR="009B5AE0" w:rsidRPr="009B7D2E">
              <w:rPr>
                <w:rFonts w:ascii="Times New Roman" w:hAnsi="Times New Roman" w:cs="Times New Roman"/>
              </w:rPr>
              <w:t xml:space="preserve"> </w:t>
            </w:r>
            <w:r w:rsidRPr="009B7D2E">
              <w:rPr>
                <w:rFonts w:ascii="Times New Roman" w:hAnsi="Times New Roman" w:cs="Times New Roman"/>
              </w:rPr>
              <w:t>758</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1114276"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26</w:t>
            </w:r>
            <w:r w:rsidR="009B5AE0" w:rsidRPr="009B7D2E">
              <w:rPr>
                <w:rFonts w:ascii="Times New Roman" w:hAnsi="Times New Roman" w:cs="Times New Roman"/>
              </w:rPr>
              <w:t xml:space="preserve"> </w:t>
            </w:r>
            <w:r w:rsidRPr="009B7D2E">
              <w:rPr>
                <w:rFonts w:ascii="Times New Roman" w:hAnsi="Times New Roman" w:cs="Times New Roman"/>
              </w:rPr>
              <w:t>329</w:t>
            </w:r>
          </w:p>
        </w:tc>
      </w:tr>
      <w:tr w:rsidR="00AB0DC7" w:rsidRPr="009B7D2E" w14:paraId="4F65FA0E" w14:textId="77777777" w:rsidTr="00AB0DC7">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ED035C6" w14:textId="77777777" w:rsidR="00AB0DC7" w:rsidRPr="009B7D2E" w:rsidRDefault="00AB0DC7"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Przeciętne dalsze trwanie życia</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99189F3" w14:textId="2BC3A469" w:rsidR="00AB0DC7" w:rsidRPr="009B7D2E" w:rsidRDefault="00AB0DC7" w:rsidP="009B7D2E">
            <w:pPr>
              <w:spacing w:after="0" w:line="240" w:lineRule="auto"/>
              <w:jc w:val="center"/>
              <w:rPr>
                <w:rFonts w:ascii="Times New Roman" w:hAnsi="Times New Roman" w:cs="Times New Roman"/>
              </w:rPr>
            </w:pPr>
          </w:p>
        </w:tc>
      </w:tr>
      <w:tr w:rsidR="009B7D2E" w:rsidRPr="009B7D2E" w14:paraId="459DE5BC"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636CF91"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 xml:space="preserve">Mężczyźni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FC5B768"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73,0</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F19E06D"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72,5</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EC3B905" w14:textId="3956EF6B" w:rsidR="00393951" w:rsidRPr="009B7D2E" w:rsidRDefault="00AB0DC7" w:rsidP="009B7D2E">
            <w:pPr>
              <w:spacing w:after="0" w:line="240" w:lineRule="auto"/>
              <w:jc w:val="center"/>
              <w:rPr>
                <w:rFonts w:ascii="Times New Roman" w:hAnsi="Times New Roman" w:cs="Times New Roman"/>
              </w:rPr>
            </w:pPr>
            <w:r>
              <w:rPr>
                <w:rFonts w:ascii="Times New Roman" w:hAnsi="Times New Roman" w:cs="Times New Roman"/>
              </w:rPr>
              <w:t>73,0</w:t>
            </w:r>
          </w:p>
        </w:tc>
      </w:tr>
      <w:tr w:rsidR="009B7D2E" w:rsidRPr="009B7D2E" w14:paraId="6D7025B8"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5832CDF"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 xml:space="preserve">Kobiety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45D3D1B"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81,4</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FE0356"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81,6</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6D2BB81" w14:textId="4969FAC9" w:rsidR="00393951" w:rsidRPr="009B7D2E" w:rsidRDefault="00AB0DC7" w:rsidP="009B7D2E">
            <w:pPr>
              <w:spacing w:after="0" w:line="240" w:lineRule="auto"/>
              <w:jc w:val="center"/>
              <w:rPr>
                <w:rFonts w:ascii="Times New Roman" w:hAnsi="Times New Roman" w:cs="Times New Roman"/>
              </w:rPr>
            </w:pPr>
            <w:r>
              <w:rPr>
                <w:rFonts w:ascii="Times New Roman" w:hAnsi="Times New Roman" w:cs="Times New Roman"/>
              </w:rPr>
              <w:t>81,2</w:t>
            </w:r>
          </w:p>
        </w:tc>
      </w:tr>
      <w:tr w:rsidR="009B7D2E" w:rsidRPr="009B7D2E" w14:paraId="31CC6423"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263E63B"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 xml:space="preserve">Współczynnik feminizacji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D840594"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104</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CD6D5AF"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104</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8D08007"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104</w:t>
            </w:r>
          </w:p>
        </w:tc>
      </w:tr>
      <w:tr w:rsidR="009B7D2E" w:rsidRPr="009B7D2E" w14:paraId="0F66DE8B"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92A5328"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 xml:space="preserve">Współczynnik obciążenia demograficznego osobami starszymi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7C4E11A"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22,0</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6FC656F"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23,2</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CC15A2"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24,4</w:t>
            </w:r>
          </w:p>
        </w:tc>
      </w:tr>
      <w:tr w:rsidR="009B7D2E" w:rsidRPr="009B7D2E" w14:paraId="6B60B4A0"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874232E"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 xml:space="preserve">Współczynnik zgonów (zgony na 1000 ludności )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A768DC1"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10,05</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128EA45"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10,46</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9B04C02"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10,44</w:t>
            </w:r>
          </w:p>
        </w:tc>
      </w:tr>
      <w:tr w:rsidR="009B7D2E" w:rsidRPr="009B7D2E" w14:paraId="74786E0E" w14:textId="77777777" w:rsidTr="009B7D2E">
        <w:trPr>
          <w:trHeight w:val="543"/>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7FE5E66" w14:textId="77777777" w:rsidR="00393951" w:rsidRPr="009B7D2E" w:rsidRDefault="00393951" w:rsidP="009B7D2E">
            <w:pPr>
              <w:spacing w:after="0" w:line="240" w:lineRule="auto"/>
              <w:jc w:val="center"/>
              <w:rPr>
                <w:rFonts w:ascii="Times New Roman" w:hAnsi="Times New Roman" w:cs="Times New Roman"/>
                <w:b/>
                <w:bCs/>
              </w:rPr>
            </w:pPr>
            <w:r w:rsidRPr="009B7D2E">
              <w:rPr>
                <w:rFonts w:ascii="Times New Roman" w:hAnsi="Times New Roman" w:cs="Times New Roman"/>
                <w:b/>
                <w:bCs/>
              </w:rPr>
              <w:t>SYTUACJA RODZINNA I STRUKTURA GOSPODARSTW DOMOWYCH</w:t>
            </w:r>
          </w:p>
        </w:tc>
      </w:tr>
      <w:tr w:rsidR="009B7D2E" w:rsidRPr="009B7D2E" w14:paraId="1A61E364" w14:textId="77777777" w:rsidTr="009B7D2E">
        <w:trPr>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4B230ACB" w14:textId="77777777" w:rsidR="00393951" w:rsidRPr="009B7D2E" w:rsidRDefault="009B7D2E" w:rsidP="009B7D2E">
            <w:pPr>
              <w:spacing w:after="0" w:line="240" w:lineRule="auto"/>
              <w:rPr>
                <w:rFonts w:ascii="Times New Roman" w:hAnsi="Times New Roman" w:cs="Times New Roman"/>
                <w:bCs/>
              </w:rPr>
            </w:pPr>
            <w:r w:rsidRPr="009B7D2E">
              <w:rPr>
                <w:rFonts w:ascii="Times New Roman" w:hAnsi="Times New Roman" w:cs="Times New Roman"/>
                <w:bCs/>
              </w:rPr>
              <w:t>Brak opisu</w:t>
            </w:r>
          </w:p>
        </w:tc>
      </w:tr>
      <w:tr w:rsidR="009B7D2E" w:rsidRPr="009B7D2E" w14:paraId="6C2FF5C5" w14:textId="77777777" w:rsidTr="009B7D2E">
        <w:trPr>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85D3E68" w14:textId="77777777" w:rsidR="00393951" w:rsidRPr="009B7D2E" w:rsidRDefault="00393951" w:rsidP="009B7D2E">
            <w:pPr>
              <w:spacing w:after="0" w:line="240" w:lineRule="auto"/>
              <w:jc w:val="center"/>
              <w:rPr>
                <w:rFonts w:ascii="Times New Roman" w:hAnsi="Times New Roman" w:cs="Times New Roman"/>
                <w:b/>
                <w:bCs/>
              </w:rPr>
            </w:pPr>
            <w:r w:rsidRPr="009B7D2E">
              <w:rPr>
                <w:rFonts w:ascii="Times New Roman" w:hAnsi="Times New Roman" w:cs="Times New Roman"/>
                <w:b/>
                <w:bCs/>
              </w:rPr>
              <w:t>SYTUACJA OSÓB NIEPEŁNOSPRAWNYCH I ICH OPIEKUNÓW</w:t>
            </w:r>
          </w:p>
        </w:tc>
      </w:tr>
      <w:tr w:rsidR="009B7D2E" w:rsidRPr="009B7D2E" w14:paraId="69009D7E" w14:textId="77777777" w:rsidTr="00C24DA4">
        <w:trPr>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6F4662E" w14:textId="77777777" w:rsidR="00393951" w:rsidRPr="009B7D2E" w:rsidRDefault="00393951" w:rsidP="009B7D2E">
            <w:pPr>
              <w:spacing w:after="0" w:line="240" w:lineRule="auto"/>
              <w:rPr>
                <w:rFonts w:ascii="Times New Roman" w:hAnsi="Times New Roman" w:cs="Times New Roman"/>
                <w:bCs/>
              </w:rPr>
            </w:pPr>
            <w:r w:rsidRPr="009B7D2E">
              <w:rPr>
                <w:rFonts w:ascii="Times New Roman" w:hAnsi="Times New Roman" w:cs="Times New Roman"/>
                <w:bCs/>
              </w:rPr>
              <w:t>Brak danych</w:t>
            </w:r>
          </w:p>
        </w:tc>
      </w:tr>
      <w:tr w:rsidR="009B7D2E" w:rsidRPr="009B7D2E" w14:paraId="37F07D3F" w14:textId="77777777" w:rsidTr="009B7D2E">
        <w:trPr>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7A6E01C" w14:textId="77777777" w:rsidR="00393951" w:rsidRPr="009B7D2E" w:rsidRDefault="00393951" w:rsidP="009B7D2E">
            <w:pPr>
              <w:spacing w:after="0" w:line="240" w:lineRule="auto"/>
              <w:jc w:val="center"/>
              <w:rPr>
                <w:rFonts w:ascii="Times New Roman" w:hAnsi="Times New Roman" w:cs="Times New Roman"/>
                <w:b/>
                <w:bCs/>
              </w:rPr>
            </w:pPr>
            <w:r w:rsidRPr="009B7D2E">
              <w:rPr>
                <w:rFonts w:ascii="Times New Roman" w:hAnsi="Times New Roman" w:cs="Times New Roman"/>
                <w:b/>
                <w:bCs/>
              </w:rPr>
              <w:t>STAN ZDROWIA OSÓB STARSZYCH / INFRASTRUKTURA SŁUŻBY ZDROWIA - DANE ZA 2019 r.</w:t>
            </w:r>
          </w:p>
        </w:tc>
      </w:tr>
      <w:tr w:rsidR="009B7D2E" w:rsidRPr="009B7D2E" w14:paraId="4573312A" w14:textId="77777777" w:rsidTr="009B7D2E">
        <w:trPr>
          <w:trHeight w:val="283"/>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001A305" w14:textId="77777777" w:rsidR="00393951" w:rsidRPr="009B7D2E" w:rsidRDefault="00393951" w:rsidP="009B7D2E">
            <w:pPr>
              <w:spacing w:after="0" w:line="240" w:lineRule="auto"/>
              <w:rPr>
                <w:rFonts w:ascii="Times New Roman" w:hAnsi="Times New Roman" w:cs="Times New Roman"/>
                <w:bCs/>
                <w:lang w:eastAsia="pl-PL"/>
              </w:rPr>
            </w:pPr>
            <w:r w:rsidRPr="009B7D2E">
              <w:rPr>
                <w:rFonts w:ascii="Times New Roman" w:hAnsi="Times New Roman" w:cs="Times New Roman"/>
                <w:b/>
                <w:bCs/>
                <w:lang w:eastAsia="pl-PL"/>
              </w:rPr>
              <w:lastRenderedPageBreak/>
              <w:t xml:space="preserve">Dominujące schorzenia osób starszych </w:t>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9D7B514" w14:textId="77777777" w:rsidR="00393951" w:rsidRPr="009B7D2E" w:rsidRDefault="00393951" w:rsidP="009B7D2E">
            <w:pPr>
              <w:spacing w:after="0" w:line="240" w:lineRule="auto"/>
              <w:jc w:val="center"/>
              <w:rPr>
                <w:rFonts w:ascii="Times New Roman" w:hAnsi="Times New Roman" w:cs="Times New Roman"/>
                <w:b/>
              </w:rPr>
            </w:pPr>
            <w:r w:rsidRPr="009B7D2E">
              <w:rPr>
                <w:rFonts w:ascii="Times New Roman" w:hAnsi="Times New Roman" w:cs="Times New Roman"/>
                <w:b/>
              </w:rPr>
              <w:t>Nazwa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34ABE4B" w14:textId="77777777" w:rsidR="00393951" w:rsidRPr="009B7D2E" w:rsidRDefault="00393951" w:rsidP="009B7D2E">
            <w:pPr>
              <w:spacing w:after="0" w:line="240" w:lineRule="auto"/>
              <w:jc w:val="center"/>
              <w:rPr>
                <w:rFonts w:ascii="Times New Roman" w:hAnsi="Times New Roman" w:cs="Times New Roman"/>
                <w:b/>
              </w:rPr>
            </w:pPr>
            <w:r w:rsidRPr="009B7D2E">
              <w:rPr>
                <w:rFonts w:ascii="Times New Roman" w:hAnsi="Times New Roman" w:cs="Times New Roman"/>
                <w:b/>
              </w:rPr>
              <w:t>Liczba osób starszych</w:t>
            </w:r>
          </w:p>
        </w:tc>
      </w:tr>
      <w:tr w:rsidR="009B7D2E" w:rsidRPr="009B7D2E" w14:paraId="52273E7F" w14:textId="77777777" w:rsidTr="00C24DA4">
        <w:trPr>
          <w:trHeight w:val="281"/>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extDirection w:val="btLr"/>
          </w:tcPr>
          <w:p w14:paraId="6F320401"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CD07BD8"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b/>
              </w:rPr>
              <w:t>1.</w:t>
            </w:r>
            <w:r w:rsidRPr="009B7D2E">
              <w:rPr>
                <w:rFonts w:ascii="Times New Roman" w:hAnsi="Times New Roman" w:cs="Times New Roman"/>
              </w:rPr>
              <w:t xml:space="preserve"> Choroby układu krążenia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52BF373"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130</w:t>
            </w:r>
            <w:r w:rsidR="0005789A" w:rsidRPr="009B7D2E">
              <w:rPr>
                <w:rFonts w:ascii="Times New Roman" w:hAnsi="Times New Roman" w:cs="Times New Roman"/>
              </w:rPr>
              <w:t xml:space="preserve"> </w:t>
            </w:r>
            <w:r w:rsidRPr="009B7D2E">
              <w:rPr>
                <w:rFonts w:ascii="Times New Roman" w:hAnsi="Times New Roman" w:cs="Times New Roman"/>
              </w:rPr>
              <w:t>169</w:t>
            </w:r>
          </w:p>
        </w:tc>
      </w:tr>
      <w:tr w:rsidR="009B7D2E" w:rsidRPr="009B7D2E" w14:paraId="52E84B81" w14:textId="77777777" w:rsidTr="00C24DA4">
        <w:trPr>
          <w:trHeight w:val="281"/>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6955F0F"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6CA2E1"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b/>
              </w:rPr>
              <w:t>2.</w:t>
            </w:r>
            <w:r w:rsidRPr="009B7D2E">
              <w:rPr>
                <w:rFonts w:ascii="Times New Roman" w:hAnsi="Times New Roman" w:cs="Times New Roman"/>
              </w:rPr>
              <w:t xml:space="preserve"> Choroby układu mięśniowo-kostnego i tkanki łącznej</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1B1892D"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69</w:t>
            </w:r>
            <w:r w:rsidR="0005789A" w:rsidRPr="009B7D2E">
              <w:rPr>
                <w:rFonts w:ascii="Times New Roman" w:hAnsi="Times New Roman" w:cs="Times New Roman"/>
              </w:rPr>
              <w:t xml:space="preserve"> </w:t>
            </w:r>
            <w:r w:rsidRPr="009B7D2E">
              <w:rPr>
                <w:rFonts w:ascii="Times New Roman" w:hAnsi="Times New Roman" w:cs="Times New Roman"/>
              </w:rPr>
              <w:t>517</w:t>
            </w:r>
          </w:p>
        </w:tc>
      </w:tr>
      <w:tr w:rsidR="009B7D2E" w:rsidRPr="009B7D2E" w14:paraId="6F4027CD" w14:textId="77777777" w:rsidTr="00C24DA4">
        <w:trPr>
          <w:trHeight w:val="281"/>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4A56AA2"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8F8895D"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b/>
              </w:rPr>
              <w:t>3.</w:t>
            </w:r>
            <w:r w:rsidRPr="009B7D2E">
              <w:rPr>
                <w:rFonts w:ascii="Times New Roman" w:hAnsi="Times New Roman" w:cs="Times New Roman"/>
              </w:rPr>
              <w:t xml:space="preserve"> Przewlekłe choroby układu trawiennego</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1BA9DB0"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35</w:t>
            </w:r>
            <w:r w:rsidR="0005789A" w:rsidRPr="009B7D2E">
              <w:rPr>
                <w:rFonts w:ascii="Times New Roman" w:hAnsi="Times New Roman" w:cs="Times New Roman"/>
              </w:rPr>
              <w:t xml:space="preserve"> </w:t>
            </w:r>
            <w:r w:rsidRPr="009B7D2E">
              <w:rPr>
                <w:rFonts w:ascii="Times New Roman" w:hAnsi="Times New Roman" w:cs="Times New Roman"/>
              </w:rPr>
              <w:t>938</w:t>
            </w:r>
          </w:p>
        </w:tc>
      </w:tr>
      <w:tr w:rsidR="009B7D2E" w:rsidRPr="009B7D2E" w14:paraId="0D916DA7" w14:textId="77777777" w:rsidTr="00C24DA4">
        <w:trPr>
          <w:trHeight w:val="281"/>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B43CC87"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30A148F"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b/>
              </w:rPr>
              <w:t>4.</w:t>
            </w:r>
            <w:r w:rsidRPr="009B7D2E">
              <w:rPr>
                <w:rFonts w:ascii="Times New Roman" w:hAnsi="Times New Roman" w:cs="Times New Roman"/>
              </w:rPr>
              <w:t xml:space="preserve"> Cukrzyca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4C390A8"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35</w:t>
            </w:r>
            <w:r w:rsidR="0005789A" w:rsidRPr="009B7D2E">
              <w:rPr>
                <w:rFonts w:ascii="Times New Roman" w:hAnsi="Times New Roman" w:cs="Times New Roman"/>
              </w:rPr>
              <w:t xml:space="preserve"> </w:t>
            </w:r>
            <w:r w:rsidRPr="009B7D2E">
              <w:rPr>
                <w:rFonts w:ascii="Times New Roman" w:hAnsi="Times New Roman" w:cs="Times New Roman"/>
              </w:rPr>
              <w:t>102</w:t>
            </w:r>
          </w:p>
        </w:tc>
      </w:tr>
      <w:tr w:rsidR="009B7D2E" w:rsidRPr="009B7D2E" w14:paraId="439C0422" w14:textId="77777777" w:rsidTr="00C24DA4">
        <w:trPr>
          <w:trHeight w:val="281"/>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F285372"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9160398"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b/>
              </w:rPr>
              <w:t>5.</w:t>
            </w:r>
            <w:r w:rsidRPr="009B7D2E">
              <w:rPr>
                <w:rFonts w:ascii="Times New Roman" w:hAnsi="Times New Roman" w:cs="Times New Roman"/>
              </w:rPr>
              <w:t xml:space="preserve"> Choroby obwodowego układu nerwowego</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C94CD7E" w14:textId="77777777" w:rsidR="00393951" w:rsidRPr="009B7D2E" w:rsidRDefault="00393951" w:rsidP="009B7D2E">
            <w:pPr>
              <w:spacing w:after="0" w:line="240" w:lineRule="auto"/>
              <w:jc w:val="center"/>
              <w:rPr>
                <w:rFonts w:ascii="Times New Roman" w:hAnsi="Times New Roman" w:cs="Times New Roman"/>
              </w:rPr>
            </w:pPr>
            <w:r w:rsidRPr="009B7D2E">
              <w:rPr>
                <w:rFonts w:ascii="Times New Roman" w:hAnsi="Times New Roman" w:cs="Times New Roman"/>
              </w:rPr>
              <w:t>26</w:t>
            </w:r>
            <w:r w:rsidR="0005789A" w:rsidRPr="009B7D2E">
              <w:rPr>
                <w:rFonts w:ascii="Times New Roman" w:hAnsi="Times New Roman" w:cs="Times New Roman"/>
              </w:rPr>
              <w:t xml:space="preserve"> </w:t>
            </w:r>
            <w:r w:rsidRPr="009B7D2E">
              <w:rPr>
                <w:rFonts w:ascii="Times New Roman" w:hAnsi="Times New Roman" w:cs="Times New Roman"/>
              </w:rPr>
              <w:t>004</w:t>
            </w:r>
          </w:p>
        </w:tc>
      </w:tr>
      <w:tr w:rsidR="009B7D2E" w:rsidRPr="009B7D2E" w14:paraId="14DD377B" w14:textId="77777777" w:rsidTr="00C24DA4">
        <w:trPr>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3577061" w14:textId="77777777" w:rsidR="00393951" w:rsidRPr="009B7D2E" w:rsidRDefault="00393951" w:rsidP="009B7D2E">
            <w:pPr>
              <w:spacing w:after="0" w:line="240" w:lineRule="auto"/>
              <w:rPr>
                <w:rFonts w:ascii="Times New Roman" w:hAnsi="Times New Roman" w:cs="Times New Roman"/>
                <w:bCs/>
                <w:lang w:eastAsia="pl-PL"/>
              </w:rPr>
            </w:pPr>
            <w:r w:rsidRPr="009B7D2E">
              <w:rPr>
                <w:rFonts w:ascii="Times New Roman" w:hAnsi="Times New Roman" w:cs="Times New Roman"/>
                <w:b/>
                <w:bCs/>
                <w:lang w:eastAsia="pl-PL"/>
              </w:rPr>
              <w:t>Liczba osób starszych objętych czynną opieką lekarza POZ</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C7F25E2"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193</w:t>
            </w:r>
            <w:r w:rsidR="009B7D2E">
              <w:rPr>
                <w:rFonts w:ascii="Times New Roman" w:hAnsi="Times New Roman" w:cs="Times New Roman"/>
              </w:rPr>
              <w:t xml:space="preserve"> </w:t>
            </w:r>
            <w:r w:rsidRPr="009B7D2E">
              <w:rPr>
                <w:rFonts w:ascii="Times New Roman" w:hAnsi="Times New Roman" w:cs="Times New Roman"/>
              </w:rPr>
              <w:t>175</w:t>
            </w:r>
          </w:p>
        </w:tc>
      </w:tr>
      <w:tr w:rsidR="009B7D2E" w:rsidRPr="009B7D2E" w14:paraId="58DEE809" w14:textId="77777777" w:rsidTr="009B7D2E">
        <w:trPr>
          <w:trHeight w:val="283"/>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5A61E23" w14:textId="77777777" w:rsidR="00393951" w:rsidRPr="009B7D2E" w:rsidRDefault="00393951" w:rsidP="009B7D2E">
            <w:pPr>
              <w:spacing w:after="0" w:line="240" w:lineRule="auto"/>
              <w:rPr>
                <w:rFonts w:ascii="Times New Roman" w:hAnsi="Times New Roman" w:cs="Times New Roman"/>
                <w:bCs/>
                <w:lang w:eastAsia="pl-PL"/>
              </w:rPr>
            </w:pPr>
            <w:r w:rsidRPr="009B7D2E">
              <w:rPr>
                <w:rFonts w:ascii="Times New Roman" w:hAnsi="Times New Roman" w:cs="Times New Roman"/>
                <w:b/>
                <w:bCs/>
                <w:lang w:eastAsia="pl-PL"/>
              </w:rPr>
              <w:t>Najczęstsze przyczyny hospitalizacji osób starszych</w:t>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0DEDDE2" w14:textId="77777777" w:rsidR="00393951" w:rsidRPr="009B7D2E" w:rsidRDefault="00393951" w:rsidP="009B7D2E">
            <w:pPr>
              <w:spacing w:after="0" w:line="240" w:lineRule="auto"/>
              <w:jc w:val="center"/>
              <w:rPr>
                <w:rFonts w:ascii="Times New Roman" w:hAnsi="Times New Roman" w:cs="Times New Roman"/>
                <w:b/>
              </w:rPr>
            </w:pPr>
            <w:r w:rsidRPr="009B7D2E">
              <w:rPr>
                <w:rFonts w:ascii="Times New Roman" w:hAnsi="Times New Roman" w:cs="Times New Roman"/>
                <w:b/>
              </w:rPr>
              <w:t>Przyczyna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0F317A6" w14:textId="77777777" w:rsidR="00393951" w:rsidRPr="009B7D2E" w:rsidRDefault="00393951" w:rsidP="009B7D2E">
            <w:pPr>
              <w:spacing w:after="0" w:line="240" w:lineRule="auto"/>
              <w:jc w:val="center"/>
              <w:rPr>
                <w:rFonts w:ascii="Times New Roman" w:hAnsi="Times New Roman" w:cs="Times New Roman"/>
                <w:b/>
              </w:rPr>
            </w:pPr>
            <w:r w:rsidRPr="009B7D2E">
              <w:rPr>
                <w:rFonts w:ascii="Times New Roman" w:hAnsi="Times New Roman" w:cs="Times New Roman"/>
                <w:b/>
              </w:rPr>
              <w:t>Liczba osób starszych</w:t>
            </w:r>
          </w:p>
        </w:tc>
      </w:tr>
      <w:tr w:rsidR="009B7D2E" w:rsidRPr="009B7D2E" w14:paraId="08DEE0B8" w14:textId="77777777" w:rsidTr="00C24DA4">
        <w:trPr>
          <w:trHeight w:val="21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A788BF7"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D9E75BE" w14:textId="77777777" w:rsidR="00393951" w:rsidRPr="009B7D2E" w:rsidRDefault="00393951" w:rsidP="00447B40">
            <w:pPr>
              <w:spacing w:after="0" w:line="240" w:lineRule="auto"/>
              <w:rPr>
                <w:rFonts w:ascii="Times New Roman" w:hAnsi="Times New Roman" w:cs="Times New Roman"/>
              </w:rPr>
            </w:pPr>
            <w:r w:rsidRPr="009B7D2E">
              <w:rPr>
                <w:rFonts w:ascii="Times New Roman" w:hAnsi="Times New Roman" w:cs="Times New Roman"/>
              </w:rPr>
              <w:t>1.informacje poniżej</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317F355" w14:textId="77777777" w:rsidR="00393951" w:rsidRPr="009B7D2E" w:rsidRDefault="00393951" w:rsidP="009B7D2E">
            <w:pPr>
              <w:spacing w:after="0" w:line="240" w:lineRule="auto"/>
              <w:rPr>
                <w:rFonts w:ascii="Times New Roman" w:hAnsi="Times New Roman" w:cs="Times New Roman"/>
              </w:rPr>
            </w:pPr>
          </w:p>
        </w:tc>
      </w:tr>
      <w:tr w:rsidR="009B7D2E" w:rsidRPr="009B7D2E" w14:paraId="798CCC9B" w14:textId="77777777" w:rsidTr="00447B40">
        <w:trPr>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95FA857"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b/>
                <w:bCs/>
                <w:lang w:eastAsia="pl-PL"/>
              </w:rPr>
              <w:t>Infrastruktura służby zdrowia</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5CA05F9" w14:textId="77777777" w:rsidR="00393951" w:rsidRPr="009B7D2E" w:rsidRDefault="00393951" w:rsidP="00447B40">
            <w:pPr>
              <w:spacing w:after="0" w:line="240" w:lineRule="auto"/>
              <w:jc w:val="center"/>
              <w:rPr>
                <w:rFonts w:ascii="Times New Roman" w:hAnsi="Times New Roman" w:cs="Times New Roman"/>
                <w:b/>
                <w:bCs/>
              </w:rPr>
            </w:pPr>
            <w:r w:rsidRPr="009B7D2E">
              <w:rPr>
                <w:rFonts w:ascii="Times New Roman" w:hAnsi="Times New Roman" w:cs="Times New Roman"/>
                <w:b/>
              </w:rPr>
              <w:t>Rodzaj placówki</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253D84F" w14:textId="77777777" w:rsidR="00393951" w:rsidRPr="009B7D2E" w:rsidRDefault="00393951" w:rsidP="00447B40">
            <w:pPr>
              <w:spacing w:after="0" w:line="240" w:lineRule="auto"/>
              <w:jc w:val="center"/>
              <w:rPr>
                <w:rFonts w:ascii="Times New Roman" w:hAnsi="Times New Roman" w:cs="Times New Roman"/>
                <w:b/>
              </w:rPr>
            </w:pPr>
            <w:r w:rsidRPr="009B7D2E">
              <w:rPr>
                <w:rFonts w:ascii="Times New Roman" w:hAnsi="Times New Roman" w:cs="Times New Roman"/>
                <w:b/>
              </w:rPr>
              <w:t>Liczba placówek</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59E00AD" w14:textId="77777777" w:rsidR="00393951" w:rsidRPr="009B7D2E" w:rsidRDefault="00393951" w:rsidP="00447B40">
            <w:pPr>
              <w:spacing w:after="0" w:line="240" w:lineRule="auto"/>
              <w:jc w:val="center"/>
              <w:rPr>
                <w:rFonts w:ascii="Times New Roman" w:hAnsi="Times New Roman" w:cs="Times New Roman"/>
                <w:b/>
              </w:rPr>
            </w:pPr>
            <w:r w:rsidRPr="009B7D2E">
              <w:rPr>
                <w:rFonts w:ascii="Times New Roman" w:hAnsi="Times New Roman" w:cs="Times New Roman"/>
                <w:b/>
              </w:rPr>
              <w:t>Liczba łóżek dla osób starszych</w:t>
            </w:r>
          </w:p>
        </w:tc>
      </w:tr>
      <w:tr w:rsidR="009B7D2E" w:rsidRPr="009B7D2E" w14:paraId="3B0CE349"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9924C66" w14:textId="77777777" w:rsidR="00393951" w:rsidRPr="009B7D2E" w:rsidRDefault="00393951" w:rsidP="009B7D2E">
            <w:pPr>
              <w:spacing w:after="0" w:line="240" w:lineRule="auto"/>
              <w:rPr>
                <w:rFonts w:ascii="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C89A2B8" w14:textId="77777777" w:rsidR="00393951" w:rsidRPr="00447B40" w:rsidRDefault="00393951" w:rsidP="009B7D2E">
            <w:pPr>
              <w:spacing w:after="0" w:line="240" w:lineRule="auto"/>
              <w:rPr>
                <w:rFonts w:ascii="Times New Roman" w:hAnsi="Times New Roman" w:cs="Times New Roman"/>
              </w:rPr>
            </w:pPr>
            <w:r w:rsidRPr="00447B40">
              <w:rPr>
                <w:rFonts w:ascii="Times New Roman" w:hAnsi="Times New Roman" w:cs="Times New Roman"/>
              </w:rPr>
              <w:t>Oddziałów / pododdziałów geriatrycznych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734597D"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w województwie brak oddziałów</w:t>
            </w:r>
          </w:p>
          <w:p w14:paraId="2E59F8F0"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geriatrycznych</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CAFD1A6"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Osoby w podeszłym wieku ze</w:t>
            </w:r>
          </w:p>
          <w:p w14:paraId="100AAB91"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względu na brak</w:t>
            </w:r>
          </w:p>
          <w:p w14:paraId="0464A07D"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w szpitalach oddziałów geriatrycznych</w:t>
            </w:r>
          </w:p>
          <w:p w14:paraId="236D817A"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leczeni są głównie na oddziałach:</w:t>
            </w:r>
          </w:p>
        </w:tc>
      </w:tr>
      <w:tr w:rsidR="009B7D2E" w:rsidRPr="009B7D2E" w14:paraId="24517AA9"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87849AC" w14:textId="77777777" w:rsidR="00393951" w:rsidRPr="009B7D2E" w:rsidRDefault="00393951" w:rsidP="009B7D2E">
            <w:pPr>
              <w:spacing w:after="0" w:line="240" w:lineRule="auto"/>
              <w:rPr>
                <w:rFonts w:ascii="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9AF49BD" w14:textId="77777777" w:rsidR="00393951" w:rsidRPr="00447B40" w:rsidRDefault="00393951" w:rsidP="009B7D2E">
            <w:pPr>
              <w:spacing w:after="0" w:line="240" w:lineRule="auto"/>
              <w:rPr>
                <w:rFonts w:ascii="Times New Roman" w:hAnsi="Times New Roman" w:cs="Times New Roman"/>
              </w:rPr>
            </w:pPr>
            <w:r w:rsidRPr="00447B40">
              <w:rPr>
                <w:rFonts w:ascii="Times New Roman" w:hAnsi="Times New Roman" w:cs="Times New Roman"/>
              </w:rPr>
              <w:t>Poradni geriatrycznych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4ACB40D"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08408C6"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w:t>
            </w:r>
          </w:p>
        </w:tc>
      </w:tr>
      <w:tr w:rsidR="009B7D2E" w:rsidRPr="009B7D2E" w14:paraId="0EF6344B"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4DB59FE" w14:textId="77777777" w:rsidR="00393951" w:rsidRPr="009B7D2E" w:rsidRDefault="00393951" w:rsidP="009B7D2E">
            <w:pPr>
              <w:spacing w:after="0" w:line="240" w:lineRule="auto"/>
              <w:rPr>
                <w:rFonts w:ascii="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E1852BE" w14:textId="77777777" w:rsidR="00393951" w:rsidRPr="00447B40" w:rsidRDefault="00393951" w:rsidP="009B7D2E">
            <w:pPr>
              <w:spacing w:after="0" w:line="240" w:lineRule="auto"/>
              <w:rPr>
                <w:rFonts w:ascii="Times New Roman" w:hAnsi="Times New Roman" w:cs="Times New Roman"/>
              </w:rPr>
            </w:pPr>
            <w:r w:rsidRPr="00447B40">
              <w:rPr>
                <w:rFonts w:ascii="Times New Roman" w:hAnsi="Times New Roman" w:cs="Times New Roman"/>
              </w:rPr>
              <w:t>Zakładów opiekuńczo-leczniczych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62B2B54"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10</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129E300"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290</w:t>
            </w:r>
          </w:p>
        </w:tc>
      </w:tr>
      <w:tr w:rsidR="009B7D2E" w:rsidRPr="009B7D2E" w14:paraId="63B31CB1"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640EB0E" w14:textId="77777777" w:rsidR="00393951" w:rsidRPr="009B7D2E" w:rsidRDefault="00393951" w:rsidP="009B7D2E">
            <w:pPr>
              <w:spacing w:after="0" w:line="240" w:lineRule="auto"/>
              <w:rPr>
                <w:rFonts w:ascii="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3862857" w14:textId="77777777" w:rsidR="00393951" w:rsidRPr="00447B40" w:rsidRDefault="00393951" w:rsidP="009B7D2E">
            <w:pPr>
              <w:spacing w:after="0" w:line="240" w:lineRule="auto"/>
              <w:rPr>
                <w:rFonts w:ascii="Times New Roman" w:hAnsi="Times New Roman" w:cs="Times New Roman"/>
              </w:rPr>
            </w:pPr>
            <w:r w:rsidRPr="00447B40">
              <w:rPr>
                <w:rFonts w:ascii="Times New Roman" w:hAnsi="Times New Roman" w:cs="Times New Roman"/>
              </w:rPr>
              <w:t>Zakładów pielęgnacyjno-opiekuńczych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CC66A8B"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5</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2F247A3"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187</w:t>
            </w:r>
          </w:p>
        </w:tc>
      </w:tr>
      <w:tr w:rsidR="009B7D2E" w:rsidRPr="009B7D2E" w14:paraId="27A310AF"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960A264" w14:textId="77777777" w:rsidR="00393951" w:rsidRPr="009B7D2E" w:rsidRDefault="00393951" w:rsidP="009B7D2E">
            <w:pPr>
              <w:spacing w:after="0" w:line="240" w:lineRule="auto"/>
              <w:rPr>
                <w:rFonts w:ascii="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B42CC57" w14:textId="77777777" w:rsidR="00393951" w:rsidRPr="00447B40" w:rsidRDefault="00393951" w:rsidP="009B7D2E">
            <w:pPr>
              <w:spacing w:after="0" w:line="240" w:lineRule="auto"/>
              <w:rPr>
                <w:rFonts w:ascii="Times New Roman" w:hAnsi="Times New Roman" w:cs="Times New Roman"/>
              </w:rPr>
            </w:pPr>
            <w:r w:rsidRPr="00447B40">
              <w:rPr>
                <w:rFonts w:ascii="Times New Roman" w:hAnsi="Times New Roman" w:cs="Times New Roman"/>
              </w:rPr>
              <w:t>Hospicjów stacjonarnych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CA602AB"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7C12486"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66</w:t>
            </w:r>
          </w:p>
        </w:tc>
      </w:tr>
      <w:tr w:rsidR="009B7D2E" w:rsidRPr="009B7D2E" w14:paraId="34045B74"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5C3C18C" w14:textId="77777777" w:rsidR="00393951" w:rsidRPr="009B7D2E" w:rsidRDefault="00393951" w:rsidP="009B7D2E">
            <w:pPr>
              <w:spacing w:after="0" w:line="240" w:lineRule="auto"/>
              <w:rPr>
                <w:rFonts w:ascii="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1E4E5A3" w14:textId="77777777" w:rsidR="00393951" w:rsidRPr="00447B40" w:rsidRDefault="00393951" w:rsidP="009B7D2E">
            <w:pPr>
              <w:spacing w:after="0" w:line="240" w:lineRule="auto"/>
              <w:rPr>
                <w:rFonts w:ascii="Times New Roman" w:hAnsi="Times New Roman" w:cs="Times New Roman"/>
              </w:rPr>
            </w:pPr>
            <w:r w:rsidRPr="00447B40">
              <w:rPr>
                <w:rFonts w:ascii="Times New Roman" w:hAnsi="Times New Roman" w:cs="Times New Roman"/>
              </w:rPr>
              <w:t>Hospicjów domowych</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54A6686"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22</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24BE106"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w:t>
            </w:r>
          </w:p>
        </w:tc>
      </w:tr>
      <w:tr w:rsidR="009B7D2E" w:rsidRPr="009B7D2E" w14:paraId="514876CC"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635346E" w14:textId="77777777" w:rsidR="00393951" w:rsidRPr="009B7D2E" w:rsidRDefault="00393951" w:rsidP="009B7D2E">
            <w:pPr>
              <w:spacing w:after="0" w:line="240" w:lineRule="auto"/>
              <w:rPr>
                <w:rFonts w:ascii="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2292EC9" w14:textId="77777777" w:rsidR="00393951" w:rsidRPr="00447B40" w:rsidRDefault="00393951" w:rsidP="009B7D2E">
            <w:pPr>
              <w:spacing w:after="0" w:line="240" w:lineRule="auto"/>
              <w:rPr>
                <w:rFonts w:ascii="Times New Roman" w:hAnsi="Times New Roman" w:cs="Times New Roman"/>
              </w:rPr>
            </w:pPr>
            <w:r w:rsidRPr="00447B40">
              <w:rPr>
                <w:rFonts w:ascii="Times New Roman" w:hAnsi="Times New Roman" w:cs="Times New Roman"/>
              </w:rPr>
              <w:t>Oddziałów opieki paliatywnej</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0F4B227"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3</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66379E8" w14:textId="77777777" w:rsidR="00393951" w:rsidRPr="00447B40" w:rsidRDefault="00393951" w:rsidP="00447B40">
            <w:pPr>
              <w:spacing w:after="0" w:line="240" w:lineRule="auto"/>
              <w:jc w:val="center"/>
              <w:rPr>
                <w:rFonts w:ascii="Times New Roman" w:hAnsi="Times New Roman" w:cs="Times New Roman"/>
              </w:rPr>
            </w:pPr>
            <w:r w:rsidRPr="00447B40">
              <w:rPr>
                <w:rFonts w:ascii="Times New Roman" w:hAnsi="Times New Roman" w:cs="Times New Roman"/>
              </w:rPr>
              <w:t>30</w:t>
            </w:r>
          </w:p>
        </w:tc>
      </w:tr>
      <w:tr w:rsidR="009B7D2E" w:rsidRPr="009B7D2E" w14:paraId="41A7E287" w14:textId="77777777" w:rsidTr="00447B40">
        <w:trPr>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4024ED1" w14:textId="77777777" w:rsidR="00393951" w:rsidRPr="009B7D2E" w:rsidRDefault="00393951" w:rsidP="009B7D2E">
            <w:pPr>
              <w:tabs>
                <w:tab w:val="left" w:pos="1206"/>
              </w:tabs>
              <w:spacing w:after="0" w:line="240" w:lineRule="auto"/>
              <w:rPr>
                <w:rFonts w:ascii="Times New Roman" w:hAnsi="Times New Roman" w:cs="Times New Roman"/>
                <w:b/>
                <w:bCs/>
              </w:rPr>
            </w:pPr>
            <w:r w:rsidRPr="009B7D2E">
              <w:rPr>
                <w:rFonts w:ascii="Times New Roman" w:hAnsi="Times New Roman" w:cs="Times New Roman"/>
                <w:b/>
                <w:bCs/>
              </w:rPr>
              <w:t>Kadry medyczne</w:t>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796988B" w14:textId="77777777" w:rsidR="00393951" w:rsidRPr="009B7D2E" w:rsidRDefault="00393951" w:rsidP="00447B40">
            <w:pPr>
              <w:tabs>
                <w:tab w:val="left" w:pos="1206"/>
              </w:tabs>
              <w:spacing w:after="0" w:line="240" w:lineRule="auto"/>
              <w:jc w:val="center"/>
              <w:rPr>
                <w:rFonts w:ascii="Times New Roman" w:hAnsi="Times New Roman" w:cs="Times New Roman"/>
                <w:b/>
              </w:rPr>
            </w:pPr>
            <w:r w:rsidRPr="009B7D2E">
              <w:rPr>
                <w:rFonts w:ascii="Times New Roman" w:hAnsi="Times New Roman" w:cs="Times New Roman"/>
                <w:b/>
              </w:rPr>
              <w:t>Lekarze</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766E68F" w14:textId="77777777" w:rsidR="00393951" w:rsidRPr="009B7D2E" w:rsidRDefault="00393951" w:rsidP="00447B40">
            <w:pPr>
              <w:spacing w:after="0" w:line="240" w:lineRule="auto"/>
              <w:jc w:val="center"/>
              <w:rPr>
                <w:rFonts w:ascii="Times New Roman" w:hAnsi="Times New Roman" w:cs="Times New Roman"/>
                <w:b/>
              </w:rPr>
            </w:pPr>
            <w:r w:rsidRPr="009B7D2E">
              <w:rPr>
                <w:rFonts w:ascii="Times New Roman" w:hAnsi="Times New Roman" w:cs="Times New Roman"/>
                <w:b/>
              </w:rPr>
              <w:t>Liczba lekarzy</w:t>
            </w:r>
          </w:p>
        </w:tc>
      </w:tr>
      <w:tr w:rsidR="009B7D2E" w:rsidRPr="009B7D2E" w14:paraId="39B9739F"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0AA2224"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9ECBBC1" w14:textId="77777777" w:rsidR="00393951" w:rsidRPr="009B7D2E" w:rsidRDefault="00393951" w:rsidP="009B7D2E">
            <w:pPr>
              <w:tabs>
                <w:tab w:val="left" w:pos="1206"/>
              </w:tabs>
              <w:spacing w:after="0" w:line="240" w:lineRule="auto"/>
              <w:rPr>
                <w:rFonts w:ascii="Times New Roman" w:hAnsi="Times New Roman" w:cs="Times New Roman"/>
              </w:rPr>
            </w:pPr>
            <w:r w:rsidRPr="009B7D2E">
              <w:rPr>
                <w:rFonts w:ascii="Times New Roman" w:hAnsi="Times New Roman" w:cs="Times New Roman"/>
              </w:rPr>
              <w:t>Geriatrzy</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9EBE4E9" w14:textId="77777777" w:rsidR="00393951" w:rsidRPr="009B7D2E" w:rsidRDefault="00393951" w:rsidP="00447B40">
            <w:pPr>
              <w:spacing w:after="0" w:line="240" w:lineRule="auto"/>
              <w:jc w:val="center"/>
              <w:rPr>
                <w:rFonts w:ascii="Times New Roman" w:hAnsi="Times New Roman" w:cs="Times New Roman"/>
              </w:rPr>
            </w:pPr>
            <w:r w:rsidRPr="009B7D2E">
              <w:rPr>
                <w:rFonts w:ascii="Times New Roman" w:hAnsi="Times New Roman" w:cs="Times New Roman"/>
              </w:rPr>
              <w:t>2</w:t>
            </w:r>
          </w:p>
        </w:tc>
      </w:tr>
      <w:tr w:rsidR="009B7D2E" w:rsidRPr="009B7D2E" w14:paraId="1D95C664" w14:textId="77777777" w:rsidTr="009B7D2E">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A955E5A"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6F515006"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w trakcie specjalizacji z geriatrii</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1D77F243" w14:textId="77777777" w:rsidR="00393951" w:rsidRPr="009B7D2E" w:rsidRDefault="00393951" w:rsidP="00447B40">
            <w:pPr>
              <w:spacing w:after="0" w:line="240" w:lineRule="auto"/>
              <w:jc w:val="center"/>
              <w:rPr>
                <w:rFonts w:ascii="Times New Roman" w:hAnsi="Times New Roman" w:cs="Times New Roman"/>
              </w:rPr>
            </w:pPr>
            <w:r w:rsidRPr="009B7D2E">
              <w:rPr>
                <w:rFonts w:ascii="Times New Roman" w:hAnsi="Times New Roman" w:cs="Times New Roman"/>
              </w:rPr>
              <w:t>0</w:t>
            </w:r>
          </w:p>
        </w:tc>
      </w:tr>
      <w:tr w:rsidR="009B7D2E" w:rsidRPr="009B7D2E" w14:paraId="08FEA5E1" w14:textId="77777777" w:rsidTr="00447B40">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5E899D6"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762605D" w14:textId="77777777" w:rsidR="00393951" w:rsidRPr="009B7D2E" w:rsidRDefault="00393951" w:rsidP="00447B40">
            <w:pPr>
              <w:spacing w:after="0" w:line="240" w:lineRule="auto"/>
              <w:jc w:val="center"/>
              <w:rPr>
                <w:rFonts w:ascii="Times New Roman" w:hAnsi="Times New Roman" w:cs="Times New Roman"/>
                <w:b/>
              </w:rPr>
            </w:pPr>
            <w:r w:rsidRPr="009B7D2E">
              <w:rPr>
                <w:rFonts w:ascii="Times New Roman" w:hAnsi="Times New Roman" w:cs="Times New Roman"/>
                <w:b/>
              </w:rPr>
              <w:t xml:space="preserve">Pielęgniarki ze specjalizacją lub ukończonym kursem kwalifikacyjnym </w:t>
            </w:r>
            <w:r w:rsidRPr="009B7D2E">
              <w:rPr>
                <w:rFonts w:ascii="Times New Roman" w:hAnsi="Times New Roman" w:cs="Times New Roman"/>
                <w:b/>
              </w:rPr>
              <w:br/>
              <w:t>w zakresie:</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4179D69" w14:textId="77777777" w:rsidR="00393951" w:rsidRPr="009B7D2E" w:rsidRDefault="00393951" w:rsidP="00447B40">
            <w:pPr>
              <w:spacing w:after="0" w:line="240" w:lineRule="auto"/>
              <w:jc w:val="center"/>
              <w:rPr>
                <w:rFonts w:ascii="Times New Roman" w:hAnsi="Times New Roman" w:cs="Times New Roman"/>
                <w:b/>
              </w:rPr>
            </w:pPr>
            <w:r w:rsidRPr="009B7D2E">
              <w:rPr>
                <w:rFonts w:ascii="Times New Roman" w:hAnsi="Times New Roman" w:cs="Times New Roman"/>
                <w:b/>
              </w:rPr>
              <w:t>Liczba pielęgniarek</w:t>
            </w:r>
          </w:p>
        </w:tc>
      </w:tr>
      <w:tr w:rsidR="009B7D2E" w:rsidRPr="009B7D2E" w14:paraId="4978E461"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C2E6F53"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C717AAD"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Geriatrii</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87C092C" w14:textId="77777777" w:rsidR="00393951" w:rsidRPr="009B7D2E" w:rsidRDefault="00393951" w:rsidP="00447B40">
            <w:pPr>
              <w:spacing w:after="0" w:line="240" w:lineRule="auto"/>
              <w:jc w:val="center"/>
              <w:rPr>
                <w:rFonts w:ascii="Times New Roman" w:hAnsi="Times New Roman" w:cs="Times New Roman"/>
              </w:rPr>
            </w:pPr>
            <w:r w:rsidRPr="009B7D2E">
              <w:rPr>
                <w:rFonts w:ascii="Times New Roman" w:hAnsi="Times New Roman" w:cs="Times New Roman"/>
              </w:rPr>
              <w:t>43</w:t>
            </w:r>
          </w:p>
        </w:tc>
      </w:tr>
      <w:tr w:rsidR="009B7D2E" w:rsidRPr="009B7D2E" w14:paraId="7A9C4682"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DDE3FC5"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2413CF0"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Opieki długoterminowej</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BCB8AE4" w14:textId="77777777" w:rsidR="00393951" w:rsidRPr="009B7D2E" w:rsidRDefault="00393951" w:rsidP="00447B40">
            <w:pPr>
              <w:spacing w:after="0" w:line="240" w:lineRule="auto"/>
              <w:jc w:val="center"/>
              <w:rPr>
                <w:rFonts w:ascii="Times New Roman" w:hAnsi="Times New Roman" w:cs="Times New Roman"/>
              </w:rPr>
            </w:pPr>
            <w:r w:rsidRPr="009B7D2E">
              <w:rPr>
                <w:rFonts w:ascii="Times New Roman" w:hAnsi="Times New Roman" w:cs="Times New Roman"/>
              </w:rPr>
              <w:t>185</w:t>
            </w:r>
          </w:p>
        </w:tc>
      </w:tr>
      <w:tr w:rsidR="009B7D2E" w:rsidRPr="009B7D2E" w14:paraId="2F8AA305"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849E8D4"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675F3BF"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Opieki paliatywnej</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6149AFD" w14:textId="77777777" w:rsidR="00393951" w:rsidRPr="009B7D2E" w:rsidRDefault="00393951" w:rsidP="00447B40">
            <w:pPr>
              <w:spacing w:after="0" w:line="240" w:lineRule="auto"/>
              <w:jc w:val="center"/>
              <w:rPr>
                <w:rFonts w:ascii="Times New Roman" w:hAnsi="Times New Roman" w:cs="Times New Roman"/>
              </w:rPr>
            </w:pPr>
            <w:r w:rsidRPr="009B7D2E">
              <w:rPr>
                <w:rFonts w:ascii="Times New Roman" w:hAnsi="Times New Roman" w:cs="Times New Roman"/>
              </w:rPr>
              <w:t>76</w:t>
            </w:r>
          </w:p>
        </w:tc>
      </w:tr>
      <w:tr w:rsidR="009B7D2E" w:rsidRPr="009B7D2E" w14:paraId="41284B09" w14:textId="77777777" w:rsidTr="00447B40">
        <w:trPr>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749CB8C0"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Najczęstsze przyczyny zgonów osób starszych</w:t>
            </w:r>
          </w:p>
          <w:p w14:paraId="3B6897F5" w14:textId="77777777" w:rsidR="00393951" w:rsidRPr="009B7D2E" w:rsidRDefault="00393951" w:rsidP="009B7D2E">
            <w:pPr>
              <w:spacing w:after="0" w:line="240" w:lineRule="auto"/>
              <w:rPr>
                <w:rFonts w:ascii="Times New Roman" w:hAnsi="Times New Roman" w:cs="Times New Roman"/>
                <w:bCs/>
                <w:lang w:eastAsia="pl-PL"/>
              </w:rPr>
            </w:pPr>
            <w:r w:rsidRPr="009B7D2E">
              <w:rPr>
                <w:rFonts w:ascii="Times New Roman" w:hAnsi="Times New Roman" w:cs="Times New Roman"/>
                <w:bCs/>
                <w:lang w:eastAsia="pl-PL"/>
              </w:rPr>
              <w:lastRenderedPageBreak/>
              <w:t>Zgony osób w wieku 60 lat i więcej w 2018 r. (brak danych za 2019 r.)</w:t>
            </w:r>
            <w:r w:rsidRPr="009B7D2E">
              <w:rPr>
                <w:rFonts w:ascii="Times New Roman" w:hAnsi="Times New Roman" w:cs="Times New Roman"/>
                <w:b/>
                <w:bCs/>
                <w:lang w:eastAsia="pl-PL"/>
              </w:rPr>
              <w:t xml:space="preserve"> </w:t>
            </w:r>
            <w:r w:rsidRPr="009B7D2E">
              <w:rPr>
                <w:rFonts w:ascii="Times New Roman" w:hAnsi="Times New Roman" w:cs="Times New Roman"/>
                <w:bCs/>
                <w:lang w:eastAsia="pl-PL"/>
              </w:rPr>
              <w:t>Informacje za 2</w:t>
            </w:r>
            <w:r w:rsidR="0005789A" w:rsidRPr="009B7D2E">
              <w:rPr>
                <w:rFonts w:ascii="Times New Roman" w:hAnsi="Times New Roman" w:cs="Times New Roman"/>
                <w:bCs/>
                <w:lang w:eastAsia="pl-PL"/>
              </w:rPr>
              <w:t>019 r. będą dostępne w lutym 2021 r.</w:t>
            </w: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69A75BC" w14:textId="77777777" w:rsidR="00393951" w:rsidRPr="009B7D2E" w:rsidRDefault="00393951" w:rsidP="00447B40">
            <w:pPr>
              <w:spacing w:after="0" w:line="240" w:lineRule="auto"/>
              <w:jc w:val="center"/>
              <w:rPr>
                <w:rFonts w:ascii="Times New Roman" w:hAnsi="Times New Roman" w:cs="Times New Roman"/>
                <w:b/>
              </w:rPr>
            </w:pPr>
            <w:r w:rsidRPr="009B7D2E">
              <w:rPr>
                <w:rFonts w:ascii="Times New Roman" w:hAnsi="Times New Roman" w:cs="Times New Roman"/>
                <w:b/>
              </w:rPr>
              <w:lastRenderedPageBreak/>
              <w:t>Nazwa</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EA37E11" w14:textId="77777777" w:rsidR="00393951" w:rsidRPr="009B7D2E" w:rsidRDefault="00393951" w:rsidP="00447B40">
            <w:pPr>
              <w:spacing w:after="0" w:line="240" w:lineRule="auto"/>
              <w:jc w:val="center"/>
              <w:rPr>
                <w:rFonts w:ascii="Times New Roman" w:hAnsi="Times New Roman" w:cs="Times New Roman"/>
                <w:b/>
              </w:rPr>
            </w:pPr>
            <w:r w:rsidRPr="009B7D2E">
              <w:rPr>
                <w:rFonts w:ascii="Times New Roman" w:hAnsi="Times New Roman" w:cs="Times New Roman"/>
                <w:b/>
              </w:rPr>
              <w:t>Liczba osób starszych</w:t>
            </w:r>
          </w:p>
        </w:tc>
      </w:tr>
      <w:tr w:rsidR="009B7D2E" w:rsidRPr="009B7D2E" w14:paraId="167224BB"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41D37196"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7B94EBF" w14:textId="77777777" w:rsidR="00393951" w:rsidRPr="009B7D2E" w:rsidRDefault="00393951" w:rsidP="009B7D2E">
            <w:pPr>
              <w:pStyle w:val="Akapitzlist"/>
              <w:spacing w:after="0" w:line="240" w:lineRule="auto"/>
              <w:rPr>
                <w:rFonts w:ascii="Times New Roman" w:hAnsi="Times New Roman" w:cs="Times New Roman"/>
              </w:rPr>
            </w:pPr>
            <w:r w:rsidRPr="009B7D2E">
              <w:rPr>
                <w:rFonts w:ascii="Times New Roman" w:hAnsi="Times New Roman" w:cs="Times New Roman"/>
              </w:rPr>
              <w:t xml:space="preserve">Liczba zgonów osób w wieku 60 lat i więcej ogółem </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B0EEBA0" w14:textId="77777777" w:rsidR="00393951" w:rsidRPr="009B7D2E" w:rsidRDefault="00393951" w:rsidP="00447B40">
            <w:pPr>
              <w:spacing w:after="0" w:line="240" w:lineRule="auto"/>
              <w:jc w:val="center"/>
              <w:rPr>
                <w:rFonts w:ascii="Times New Roman" w:hAnsi="Times New Roman" w:cs="Times New Roman"/>
              </w:rPr>
            </w:pPr>
            <w:r w:rsidRPr="009B7D2E">
              <w:rPr>
                <w:rFonts w:ascii="Times New Roman" w:hAnsi="Times New Roman" w:cs="Times New Roman"/>
              </w:rPr>
              <w:t>12</w:t>
            </w:r>
            <w:r w:rsidR="0005789A" w:rsidRPr="009B7D2E">
              <w:rPr>
                <w:rFonts w:ascii="Times New Roman" w:hAnsi="Times New Roman" w:cs="Times New Roman"/>
              </w:rPr>
              <w:t xml:space="preserve"> </w:t>
            </w:r>
            <w:r w:rsidRPr="009B7D2E">
              <w:rPr>
                <w:rFonts w:ascii="Times New Roman" w:hAnsi="Times New Roman" w:cs="Times New Roman"/>
              </w:rPr>
              <w:t>385</w:t>
            </w:r>
          </w:p>
        </w:tc>
      </w:tr>
      <w:tr w:rsidR="009B7D2E" w:rsidRPr="009B7D2E" w14:paraId="7D11733D"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33F7D7FA"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6255495" w14:textId="77777777" w:rsidR="00393951" w:rsidRPr="009B7D2E" w:rsidRDefault="00393951" w:rsidP="008C71A9">
            <w:pPr>
              <w:pStyle w:val="Akapitzlist"/>
              <w:numPr>
                <w:ilvl w:val="0"/>
                <w:numId w:val="193"/>
              </w:numPr>
              <w:spacing w:after="0" w:line="240" w:lineRule="auto"/>
              <w:ind w:left="360"/>
              <w:rPr>
                <w:rFonts w:ascii="Times New Roman" w:hAnsi="Times New Roman" w:cs="Times New Roman"/>
              </w:rPr>
            </w:pPr>
            <w:r w:rsidRPr="009B7D2E">
              <w:rPr>
                <w:rFonts w:ascii="Times New Roman" w:hAnsi="Times New Roman" w:cs="Times New Roman"/>
              </w:rPr>
              <w:t xml:space="preserve">Choroby układu krążenia – 40,6 % </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12AABE7" w14:textId="77777777" w:rsidR="00393951" w:rsidRPr="009B7D2E" w:rsidRDefault="00393951" w:rsidP="00447B40">
            <w:pPr>
              <w:spacing w:after="0" w:line="240" w:lineRule="auto"/>
              <w:jc w:val="center"/>
              <w:rPr>
                <w:rFonts w:ascii="Times New Roman" w:hAnsi="Times New Roman" w:cs="Times New Roman"/>
              </w:rPr>
            </w:pPr>
            <w:r w:rsidRPr="009B7D2E">
              <w:rPr>
                <w:rFonts w:ascii="Times New Roman" w:hAnsi="Times New Roman" w:cs="Times New Roman"/>
              </w:rPr>
              <w:t>5</w:t>
            </w:r>
            <w:r w:rsidR="0005789A" w:rsidRPr="009B7D2E">
              <w:rPr>
                <w:rFonts w:ascii="Times New Roman" w:hAnsi="Times New Roman" w:cs="Times New Roman"/>
              </w:rPr>
              <w:t xml:space="preserve"> </w:t>
            </w:r>
            <w:r w:rsidRPr="009B7D2E">
              <w:rPr>
                <w:rFonts w:ascii="Times New Roman" w:hAnsi="Times New Roman" w:cs="Times New Roman"/>
              </w:rPr>
              <w:t>023</w:t>
            </w:r>
          </w:p>
        </w:tc>
      </w:tr>
      <w:tr w:rsidR="009B7D2E" w:rsidRPr="009B7D2E" w14:paraId="72C9AC2D"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217EDF73"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B4F1506" w14:textId="77777777" w:rsidR="00393951" w:rsidRPr="009B7D2E" w:rsidRDefault="00393951" w:rsidP="008C71A9">
            <w:pPr>
              <w:pStyle w:val="Akapitzlist"/>
              <w:numPr>
                <w:ilvl w:val="0"/>
                <w:numId w:val="193"/>
              </w:numPr>
              <w:spacing w:after="0" w:line="240" w:lineRule="auto"/>
              <w:ind w:left="360"/>
              <w:rPr>
                <w:rFonts w:ascii="Times New Roman" w:hAnsi="Times New Roman" w:cs="Times New Roman"/>
              </w:rPr>
            </w:pPr>
            <w:r w:rsidRPr="009B7D2E">
              <w:rPr>
                <w:rFonts w:ascii="Times New Roman" w:hAnsi="Times New Roman" w:cs="Times New Roman"/>
              </w:rPr>
              <w:t>Nowotwory – 27,4 %</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3E63D47" w14:textId="77777777" w:rsidR="00393951" w:rsidRPr="009B7D2E" w:rsidRDefault="00393951" w:rsidP="00447B40">
            <w:pPr>
              <w:spacing w:after="0" w:line="240" w:lineRule="auto"/>
              <w:jc w:val="center"/>
              <w:rPr>
                <w:rFonts w:ascii="Times New Roman" w:hAnsi="Times New Roman" w:cs="Times New Roman"/>
              </w:rPr>
            </w:pPr>
            <w:r w:rsidRPr="009B7D2E">
              <w:rPr>
                <w:rFonts w:ascii="Times New Roman" w:hAnsi="Times New Roman" w:cs="Times New Roman"/>
              </w:rPr>
              <w:t>3</w:t>
            </w:r>
            <w:r w:rsidR="0005789A" w:rsidRPr="009B7D2E">
              <w:rPr>
                <w:rFonts w:ascii="Times New Roman" w:hAnsi="Times New Roman" w:cs="Times New Roman"/>
              </w:rPr>
              <w:t xml:space="preserve"> </w:t>
            </w:r>
            <w:r w:rsidRPr="009B7D2E">
              <w:rPr>
                <w:rFonts w:ascii="Times New Roman" w:hAnsi="Times New Roman" w:cs="Times New Roman"/>
              </w:rPr>
              <w:t>390</w:t>
            </w:r>
          </w:p>
        </w:tc>
      </w:tr>
      <w:tr w:rsidR="009B7D2E" w:rsidRPr="009B7D2E" w14:paraId="38BEC843"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3DDF1CF4"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36697FB" w14:textId="77777777" w:rsidR="00393951" w:rsidRPr="009B7D2E" w:rsidRDefault="00393951" w:rsidP="008C71A9">
            <w:pPr>
              <w:pStyle w:val="Akapitzlist"/>
              <w:numPr>
                <w:ilvl w:val="0"/>
                <w:numId w:val="193"/>
              </w:numPr>
              <w:spacing w:after="0" w:line="240" w:lineRule="auto"/>
              <w:ind w:left="360"/>
              <w:rPr>
                <w:rFonts w:ascii="Times New Roman" w:hAnsi="Times New Roman" w:cs="Times New Roman"/>
              </w:rPr>
            </w:pPr>
            <w:r w:rsidRPr="009B7D2E">
              <w:rPr>
                <w:rFonts w:ascii="Times New Roman" w:hAnsi="Times New Roman" w:cs="Times New Roman"/>
              </w:rPr>
              <w:t xml:space="preserve">Choroby układu oddechowego – 8,4 % </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1E13BC6" w14:textId="77777777" w:rsidR="00393951" w:rsidRPr="009B7D2E" w:rsidRDefault="00393951" w:rsidP="00447B40">
            <w:pPr>
              <w:spacing w:after="0" w:line="240" w:lineRule="auto"/>
              <w:jc w:val="center"/>
              <w:rPr>
                <w:rFonts w:ascii="Times New Roman" w:hAnsi="Times New Roman" w:cs="Times New Roman"/>
              </w:rPr>
            </w:pPr>
            <w:r w:rsidRPr="009B7D2E">
              <w:rPr>
                <w:rFonts w:ascii="Times New Roman" w:hAnsi="Times New Roman" w:cs="Times New Roman"/>
              </w:rPr>
              <w:t>1</w:t>
            </w:r>
            <w:r w:rsidR="0005789A" w:rsidRPr="009B7D2E">
              <w:rPr>
                <w:rFonts w:ascii="Times New Roman" w:hAnsi="Times New Roman" w:cs="Times New Roman"/>
              </w:rPr>
              <w:t xml:space="preserve"> </w:t>
            </w:r>
            <w:r w:rsidRPr="009B7D2E">
              <w:rPr>
                <w:rFonts w:ascii="Times New Roman" w:hAnsi="Times New Roman" w:cs="Times New Roman"/>
              </w:rPr>
              <w:t>038</w:t>
            </w:r>
          </w:p>
        </w:tc>
      </w:tr>
      <w:tr w:rsidR="009B7D2E" w:rsidRPr="009B7D2E" w14:paraId="1912A9DC"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0A158810"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711907F" w14:textId="77777777" w:rsidR="00393951" w:rsidRPr="009B7D2E" w:rsidRDefault="00393951" w:rsidP="008C71A9">
            <w:pPr>
              <w:pStyle w:val="Akapitzlist"/>
              <w:numPr>
                <w:ilvl w:val="0"/>
                <w:numId w:val="193"/>
              </w:numPr>
              <w:spacing w:after="0" w:line="240" w:lineRule="auto"/>
              <w:ind w:left="360"/>
              <w:rPr>
                <w:rFonts w:ascii="Times New Roman" w:hAnsi="Times New Roman" w:cs="Times New Roman"/>
              </w:rPr>
            </w:pPr>
            <w:r w:rsidRPr="009B7D2E">
              <w:rPr>
                <w:rFonts w:ascii="Times New Roman" w:hAnsi="Times New Roman" w:cs="Times New Roman"/>
              </w:rPr>
              <w:t>Objawy, cechy chorobowe i nieprawidłowe wyniki badań klinicznych i laboratoryjnych – 8,2 %</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7E14B4C" w14:textId="77777777" w:rsidR="00393951" w:rsidRPr="009B7D2E" w:rsidRDefault="00393951" w:rsidP="00447B40">
            <w:pPr>
              <w:spacing w:after="0" w:line="240" w:lineRule="auto"/>
              <w:jc w:val="center"/>
              <w:rPr>
                <w:rFonts w:ascii="Times New Roman" w:hAnsi="Times New Roman" w:cs="Times New Roman"/>
              </w:rPr>
            </w:pPr>
            <w:r w:rsidRPr="009B7D2E">
              <w:rPr>
                <w:rFonts w:ascii="Times New Roman" w:hAnsi="Times New Roman" w:cs="Times New Roman"/>
              </w:rPr>
              <w:t>1</w:t>
            </w:r>
            <w:r w:rsidR="0005789A" w:rsidRPr="009B7D2E">
              <w:rPr>
                <w:rFonts w:ascii="Times New Roman" w:hAnsi="Times New Roman" w:cs="Times New Roman"/>
              </w:rPr>
              <w:t xml:space="preserve"> </w:t>
            </w:r>
            <w:r w:rsidRPr="009B7D2E">
              <w:rPr>
                <w:rFonts w:ascii="Times New Roman" w:hAnsi="Times New Roman" w:cs="Times New Roman"/>
              </w:rPr>
              <w:t>014</w:t>
            </w:r>
          </w:p>
        </w:tc>
      </w:tr>
      <w:tr w:rsidR="009B7D2E" w:rsidRPr="009B7D2E" w14:paraId="4C684F66" w14:textId="77777777" w:rsidTr="00C24DA4">
        <w:trPr>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7C0B0B26" w14:textId="77777777" w:rsidR="00393951" w:rsidRPr="009B7D2E" w:rsidRDefault="00393951" w:rsidP="009B7D2E">
            <w:pPr>
              <w:spacing w:after="0" w:line="240" w:lineRule="auto"/>
              <w:rPr>
                <w:rFonts w:ascii="Times New Roman" w:hAnsi="Times New Roman" w:cs="Times New Roman"/>
                <w:bCs/>
                <w:lang w:eastAsia="pl-PL"/>
              </w:rPr>
            </w:pPr>
          </w:p>
        </w:tc>
        <w:tc>
          <w:tcPr>
            <w:tcW w:w="7938" w:type="dxa"/>
            <w:gridSpan w:val="6"/>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EB7B3C7" w14:textId="77777777" w:rsidR="00393951" w:rsidRPr="009B7D2E" w:rsidRDefault="00393951" w:rsidP="008C71A9">
            <w:pPr>
              <w:pStyle w:val="Akapitzlist"/>
              <w:numPr>
                <w:ilvl w:val="0"/>
                <w:numId w:val="193"/>
              </w:numPr>
              <w:spacing w:after="0" w:line="240" w:lineRule="auto"/>
              <w:ind w:left="360"/>
              <w:rPr>
                <w:rFonts w:ascii="Times New Roman" w:hAnsi="Times New Roman" w:cs="Times New Roman"/>
              </w:rPr>
            </w:pPr>
            <w:r w:rsidRPr="009B7D2E">
              <w:rPr>
                <w:rFonts w:ascii="Times New Roman" w:hAnsi="Times New Roman" w:cs="Times New Roman"/>
              </w:rPr>
              <w:t>Choroby układu pokarmowego – 3,8%</w:t>
            </w:r>
          </w:p>
        </w:tc>
        <w:tc>
          <w:tcPr>
            <w:tcW w:w="3973"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878C69C" w14:textId="77777777" w:rsidR="00393951" w:rsidRPr="009B7D2E" w:rsidRDefault="00393951" w:rsidP="00447B40">
            <w:pPr>
              <w:spacing w:after="0" w:line="240" w:lineRule="auto"/>
              <w:jc w:val="center"/>
              <w:rPr>
                <w:rFonts w:ascii="Times New Roman" w:hAnsi="Times New Roman" w:cs="Times New Roman"/>
              </w:rPr>
            </w:pPr>
            <w:r w:rsidRPr="009B7D2E">
              <w:rPr>
                <w:rFonts w:ascii="Times New Roman" w:hAnsi="Times New Roman" w:cs="Times New Roman"/>
              </w:rPr>
              <w:t>475</w:t>
            </w:r>
          </w:p>
        </w:tc>
      </w:tr>
      <w:tr w:rsidR="009B7D2E" w:rsidRPr="009B7D2E" w14:paraId="7A37578F" w14:textId="77777777" w:rsidTr="009B7D2E">
        <w:trPr>
          <w:trHeight w:val="253"/>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58BAD84A" w14:textId="77777777" w:rsidR="00393951" w:rsidRPr="009B7D2E" w:rsidRDefault="00393951" w:rsidP="009B7D2E">
            <w:pPr>
              <w:spacing w:after="0" w:line="240" w:lineRule="auto"/>
              <w:rPr>
                <w:rFonts w:ascii="Times New Roman" w:hAnsi="Times New Roman" w:cs="Times New Roman"/>
                <w:bCs/>
                <w:lang w:eastAsia="pl-PL"/>
              </w:rPr>
            </w:pPr>
            <w:r w:rsidRPr="009B7D2E">
              <w:rPr>
                <w:rFonts w:ascii="Times New Roman" w:hAnsi="Times New Roman" w:cs="Times New Roman"/>
                <w:b/>
                <w:bCs/>
                <w:lang w:eastAsia="pl-PL"/>
              </w:rPr>
              <w:t>Największe problemy/niedogodności w świadczeniu opieki nad osobami starszymi (np. zasoby kadrowe, rzeczowe, finansowe itp.)</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13087FBA" w14:textId="77777777" w:rsidR="001679C6" w:rsidRPr="001679C6" w:rsidRDefault="001679C6" w:rsidP="008C71A9">
            <w:pPr>
              <w:pStyle w:val="Akapitzlist"/>
              <w:numPr>
                <w:ilvl w:val="6"/>
                <w:numId w:val="179"/>
              </w:numPr>
              <w:spacing w:after="0" w:line="240" w:lineRule="auto"/>
              <w:ind w:left="360"/>
              <w:rPr>
                <w:rFonts w:ascii="Times New Roman" w:hAnsi="Times New Roman" w:cs="Times New Roman"/>
              </w:rPr>
            </w:pPr>
            <w:r w:rsidRPr="001679C6">
              <w:rPr>
                <w:rFonts w:ascii="Times New Roman" w:hAnsi="Times New Roman" w:cs="Times New Roman"/>
              </w:rPr>
              <w:t>Dostępności osób starszych (które ukończyły 60 rok życia) do świadczeń zdrowotnych na terenie naszego województwa</w:t>
            </w:r>
          </w:p>
          <w:p w14:paraId="4818CB2D" w14:textId="77777777" w:rsidR="00393951" w:rsidRPr="001679C6" w:rsidRDefault="001679C6" w:rsidP="001679C6">
            <w:pPr>
              <w:spacing w:after="0" w:line="240" w:lineRule="auto"/>
              <w:rPr>
                <w:rFonts w:ascii="Times New Roman" w:hAnsi="Times New Roman" w:cs="Times New Roman"/>
              </w:rPr>
            </w:pPr>
            <w:r w:rsidRPr="009B7D2E">
              <w:rPr>
                <w:rFonts w:ascii="Times New Roman" w:hAnsi="Times New Roman" w:cs="Times New Roman"/>
              </w:rPr>
              <w:t>w 2019 r.</w:t>
            </w:r>
          </w:p>
        </w:tc>
      </w:tr>
      <w:tr w:rsidR="009B7D2E" w:rsidRPr="009B7D2E" w14:paraId="39016B9F" w14:textId="77777777" w:rsidTr="009B7D2E">
        <w:trPr>
          <w:trHeight w:val="1134"/>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3826FD77" w14:textId="77777777" w:rsidR="00393951" w:rsidRPr="009B7D2E" w:rsidRDefault="00393951" w:rsidP="009B7D2E">
            <w:pPr>
              <w:spacing w:after="0" w:line="240" w:lineRule="auto"/>
              <w:rPr>
                <w:rFonts w:ascii="Times New Roman" w:hAnsi="Times New Roman" w:cs="Times New Roman"/>
                <w:bCs/>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4AD68317" w14:textId="77777777" w:rsidR="0005789A" w:rsidRPr="009B7D2E" w:rsidRDefault="0005789A" w:rsidP="009B7D2E">
            <w:pPr>
              <w:spacing w:after="0" w:line="240" w:lineRule="auto"/>
              <w:rPr>
                <w:rFonts w:ascii="Times New Roman" w:hAnsi="Times New Roman" w:cs="Times New Roman"/>
              </w:rPr>
            </w:pPr>
            <w:r w:rsidRPr="009B7D2E">
              <w:rPr>
                <w:rFonts w:ascii="Times New Roman" w:hAnsi="Times New Roman" w:cs="Times New Roman"/>
              </w:rPr>
              <w:t xml:space="preserve">Ze świadczeń opieki zdrowotnej skorzystało w naszym regionie w 2019 r. ponad 345 tys. osób starszych, z czego blisko 59 % stanowiły kobiety. Ponad 310 tys. pacjentów z tej grupy wiekowej korzystało ze świadczeń podstawowej opieki zdrowotnej a ponad 227 tys. – ze świadczeń poradni i pracowni specjalistycznych. Blisko 106 tys. osób było hospitalizowanych w oddziałach szpitalnych, prawie 61 tys. korzystało ze świadczeń stomatologicznych, ponad 49 tys. - ze świadczeń rehabilitacji leczniczej (z czego blisko 4 tys. – stacjonarnie) a niewiele powyżej 41 tys. osób starszych wymagało pomocy zespołów ratownictwa medycznego. 15,6 tys. osób „60+” udzielono świadczeń w zakresie lecznictwa psychiatrycznego i leczenia uzależnień (z tego blisko 2 tys. osób – stacjonarnie) i prawie </w:t>
            </w:r>
            <w:r w:rsidR="00783F5E" w:rsidRPr="009B7D2E">
              <w:rPr>
                <w:rFonts w:ascii="Times New Roman" w:hAnsi="Times New Roman" w:cs="Times New Roman"/>
              </w:rPr>
              <w:t xml:space="preserve">6 tys. korzystało z opieki </w:t>
            </w:r>
            <w:r w:rsidRPr="009B7D2E">
              <w:rPr>
                <w:rFonts w:ascii="Times New Roman" w:hAnsi="Times New Roman" w:cs="Times New Roman"/>
              </w:rPr>
              <w:t>długoterminowej lub paliatywno-hospicyjnej (z tego również blisko 2 tys. osób – stacjonarnie).W zakresie lecznictwa stacjonarnego, największa grupa osób starszych korzystała z leczenia woddziałach chorób wewnętrznych (ponad 24 tys.), szpitalnych oddziałach ratunkowych (powyżej17 tys.), oddziałach chirurgii ogólnej (14 tys.), okulistycznych (ponad 8,3 tys.), kardiologicznych (blisko7,5 tys.), oddziałach chirurgii urazowo-ortopedycznej (blisko 7,3 tys.), oddziałach neurologicznych (5,8 tys.), urologicznych (4,2 tys.) oraz oddziałach chorób płuc (ponad 3 tys.). Najczęstszymi przyczynami hospitalizacji w tej grupie wiekowej – poza schorzeniami serca i układu krwionośnego - były nowotwory, urazy, zaćma, artropatie, choroby dróg żółciowych i jelit oraz ostre i przewlekłe infekcje dolnych dróg oddechowych.</w:t>
            </w:r>
          </w:p>
          <w:p w14:paraId="226FE06D" w14:textId="77777777" w:rsidR="00393951" w:rsidRPr="009B7D2E" w:rsidRDefault="0005789A" w:rsidP="009B7D2E">
            <w:pPr>
              <w:spacing w:after="0" w:line="240" w:lineRule="auto"/>
              <w:rPr>
                <w:rFonts w:ascii="Times New Roman" w:hAnsi="Times New Roman" w:cs="Times New Roman"/>
              </w:rPr>
            </w:pPr>
            <w:r w:rsidRPr="009B7D2E">
              <w:rPr>
                <w:rFonts w:ascii="Times New Roman" w:hAnsi="Times New Roman" w:cs="Times New Roman"/>
              </w:rPr>
              <w:t>W zakresie specjalistycznego lecznictwa ambulatoryjnego, pacjenci „60+” najczęściej byli leczeni w poradniach: okulistycznych (blisko 58 tys.), chirurgii urazowo-ortopedycznej (50,5 tys.), kardiologicznych (blisko 45,5 tys.), chirurgii ogólnej (ponad 40 tys.), otorynolaryngologicznych (powyżej 37 tys.), urologicznych (prawie 35,5 tys.), neurologicznych (blisko 35 tys.), dermatologicznych (prawie 28 tys.), endokrynologicznych (ponad 25 tys</w:t>
            </w:r>
            <w:r w:rsidR="001679C6">
              <w:rPr>
                <w:rFonts w:ascii="Times New Roman" w:hAnsi="Times New Roman" w:cs="Times New Roman"/>
              </w:rPr>
              <w:t xml:space="preserve">.), położniczo-ginekologicznych </w:t>
            </w:r>
            <w:r w:rsidRPr="009B7D2E">
              <w:rPr>
                <w:rFonts w:ascii="Times New Roman" w:hAnsi="Times New Roman" w:cs="Times New Roman"/>
              </w:rPr>
              <w:t>(blisko 25 tys.) oraz poradni gruźlicy i chorób płuc (23 tysiące pacjentów) a także pracowni tomografii komputerowej (ponad 24 tys.). Najczęstszymi przyczynami, z powodu których osoby starsze leczyły się ambulatoryj</w:t>
            </w:r>
            <w:r w:rsidR="001679C6">
              <w:rPr>
                <w:rFonts w:ascii="Times New Roman" w:hAnsi="Times New Roman" w:cs="Times New Roman"/>
              </w:rPr>
              <w:t xml:space="preserve">nie, były </w:t>
            </w:r>
            <w:r w:rsidRPr="009B7D2E">
              <w:rPr>
                <w:rFonts w:ascii="Times New Roman" w:hAnsi="Times New Roman" w:cs="Times New Roman"/>
              </w:rPr>
              <w:t xml:space="preserve">choroby układu kostno-stawowego, choroby jamy ustnej (przede wszystkim schorzenia stomatologiczne), choroby układu krążenia (nadciśnienie tętnicze, choroba niedokrwienna serca, schorzenia naczyń mózgowych), zaćma i inne schorzenia oka, choroby układu moczowo-płciowego, schorzenia tarczycy i cukrzyca , choroby ucha oraz schorzenia układu pokarmowego i dolnych dróg oddechowych a także choroby otępienne. W roku ubiegłym ze świadczeń trzech działających w naszym regionie poradni geriatrycznych (Dobre Miasto, Nowe Miasto Lubawskie i Olsztyn) skorzystało 838 pacjentów, natomiast z poradni tego typu w innych województwach - 24 osoby. W październiku 2019 r. otwarty został 35-łóżkowy oddział psychogeriatryczny we Fromborku. W poprzednim roku nie działał na terenie naszego województwa żaden oddział szpitalny tego typu, natomiast ze świadczeń w oddziałach geriatrycznych w kraju skorzystało 31 naszych pacjentów. Wg posiadanej przez oddział wiedzy, kilka podmiotów naszego regionu prowadzi inwestycje mające na celu stworzenie oddziałów geriatrycznych. </w:t>
            </w:r>
            <w:r w:rsidRPr="009B7D2E">
              <w:rPr>
                <w:rFonts w:ascii="Times New Roman" w:hAnsi="Times New Roman" w:cs="Times New Roman"/>
              </w:rPr>
              <w:lastRenderedPageBreak/>
              <w:t>Dlatego też oddział</w:t>
            </w:r>
            <w:r w:rsidR="001679C6">
              <w:rPr>
                <w:rFonts w:ascii="Times New Roman" w:hAnsi="Times New Roman" w:cs="Times New Roman"/>
              </w:rPr>
              <w:t xml:space="preserve"> Funduszu zaplanował na 2020 r. </w:t>
            </w:r>
            <w:r w:rsidRPr="009B7D2E">
              <w:rPr>
                <w:rFonts w:ascii="Times New Roman" w:hAnsi="Times New Roman" w:cs="Times New Roman"/>
              </w:rPr>
              <w:t xml:space="preserve">postępowanie konkursowe w zakresie geriatrii w leczeniu szpitalnym. Należy podkreślić, iż osoby starsze korzystają z opieki zdrowotnej we wszystkich rodzajach </w:t>
            </w:r>
            <w:r w:rsidR="00393951" w:rsidRPr="009B7D2E">
              <w:rPr>
                <w:rFonts w:ascii="Times New Roman" w:hAnsi="Times New Roman" w:cs="Times New Roman"/>
              </w:rPr>
              <w:t>świadczeń. Z uwagi na postępujący proces starzenia się społeczeństw</w:t>
            </w:r>
            <w:r w:rsidRPr="009B7D2E">
              <w:rPr>
                <w:rFonts w:ascii="Times New Roman" w:hAnsi="Times New Roman" w:cs="Times New Roman"/>
              </w:rPr>
              <w:t xml:space="preserve">a systematycznie wzrasta poziom </w:t>
            </w:r>
            <w:r w:rsidR="00393951" w:rsidRPr="009B7D2E">
              <w:rPr>
                <w:rFonts w:ascii="Times New Roman" w:hAnsi="Times New Roman" w:cs="Times New Roman"/>
              </w:rPr>
              <w:t>finansowania świadczeń udzielanych pacjentom z chorobami wieku podeszłego.</w:t>
            </w:r>
          </w:p>
        </w:tc>
      </w:tr>
      <w:tr w:rsidR="009B7D2E" w:rsidRPr="009B7D2E" w14:paraId="0C0A2414" w14:textId="77777777" w:rsidTr="001679C6">
        <w:trPr>
          <w:trHeight w:val="224"/>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68A8B2E" w14:textId="77777777" w:rsidR="00393951" w:rsidRPr="009B7D2E" w:rsidRDefault="00393951" w:rsidP="001679C6">
            <w:pPr>
              <w:spacing w:after="0" w:line="240" w:lineRule="auto"/>
              <w:jc w:val="center"/>
              <w:rPr>
                <w:rFonts w:ascii="Times New Roman" w:hAnsi="Times New Roman" w:cs="Times New Roman"/>
                <w:b/>
                <w:bCs/>
              </w:rPr>
            </w:pPr>
            <w:r w:rsidRPr="009B7D2E">
              <w:rPr>
                <w:rFonts w:ascii="Times New Roman" w:hAnsi="Times New Roman" w:cs="Times New Roman"/>
                <w:b/>
                <w:bCs/>
                <w:lang w:eastAsia="pl-PL"/>
              </w:rPr>
              <w:lastRenderedPageBreak/>
              <w:t>AKTYWNOŚĆ EKONOMICZNA OSÓB STARSZYCH – DANE ZA 2019 R.</w:t>
            </w:r>
          </w:p>
        </w:tc>
      </w:tr>
      <w:tr w:rsidR="009B7D2E" w:rsidRPr="009B7D2E" w14:paraId="0853127E" w14:textId="77777777" w:rsidTr="001679C6">
        <w:trPr>
          <w:trHeight w:val="224"/>
          <w:jc w:val="center"/>
        </w:trPr>
        <w:tc>
          <w:tcPr>
            <w:tcW w:w="6799" w:type="dxa"/>
            <w:gridSpan w:val="4"/>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C16C7DD" w14:textId="77777777" w:rsidR="00393951" w:rsidRPr="009B7D2E" w:rsidRDefault="00393951" w:rsidP="001679C6">
            <w:pPr>
              <w:spacing w:after="0" w:line="240" w:lineRule="auto"/>
              <w:jc w:val="center"/>
              <w:rPr>
                <w:rFonts w:ascii="Times New Roman" w:hAnsi="Times New Roman" w:cs="Times New Roman"/>
                <w:b/>
                <w:bCs/>
              </w:rPr>
            </w:pPr>
            <w:r w:rsidRPr="009B7D2E">
              <w:rPr>
                <w:rFonts w:ascii="Times New Roman" w:hAnsi="Times New Roman" w:cs="Times New Roman"/>
                <w:b/>
                <w:bCs/>
              </w:rPr>
              <w:t>Podział</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0FE56C2" w14:textId="77777777" w:rsidR="00393951" w:rsidRPr="009B7D2E" w:rsidRDefault="00393951" w:rsidP="001679C6">
            <w:pPr>
              <w:spacing w:after="0" w:line="240" w:lineRule="auto"/>
              <w:jc w:val="center"/>
              <w:rPr>
                <w:rFonts w:ascii="Times New Roman" w:hAnsi="Times New Roman" w:cs="Times New Roman"/>
                <w:b/>
              </w:rPr>
            </w:pPr>
            <w:r w:rsidRPr="009B7D2E">
              <w:rPr>
                <w:rFonts w:ascii="Times New Roman" w:hAnsi="Times New Roman" w:cs="Times New Roman"/>
                <w:b/>
              </w:rPr>
              <w:t>Liczba</w:t>
            </w:r>
          </w:p>
        </w:tc>
      </w:tr>
      <w:tr w:rsidR="001679C6" w:rsidRPr="009B7D2E" w14:paraId="3117CA6F" w14:textId="77777777" w:rsidTr="00C24DA4">
        <w:trPr>
          <w:trHeight w:val="224"/>
          <w:jc w:val="center"/>
        </w:trPr>
        <w:tc>
          <w:tcPr>
            <w:tcW w:w="2830" w:type="dxa"/>
            <w:vMerge w:val="restart"/>
            <w:tcBorders>
              <w:top w:val="single" w:sz="8" w:space="0" w:color="4472C4" w:themeColor="accent5"/>
              <w:left w:val="single" w:sz="8" w:space="0" w:color="4472C4" w:themeColor="accent5"/>
              <w:right w:val="single" w:sz="8" w:space="0" w:color="4472C4" w:themeColor="accent5"/>
            </w:tcBorders>
            <w:shd w:val="clear" w:color="auto" w:fill="9CC2E5" w:themeFill="accent1" w:themeFillTint="99"/>
          </w:tcPr>
          <w:p w14:paraId="75F92038" w14:textId="77777777" w:rsidR="001679C6" w:rsidRPr="009B7D2E" w:rsidRDefault="001679C6" w:rsidP="009B7D2E">
            <w:pPr>
              <w:spacing w:after="0" w:line="240" w:lineRule="auto"/>
              <w:rPr>
                <w:rFonts w:ascii="Times New Roman" w:hAnsi="Times New Roman" w:cs="Times New Roman"/>
                <w:bCs/>
                <w:lang w:eastAsia="pl-PL"/>
              </w:rPr>
            </w:pPr>
            <w:r w:rsidRPr="009B7D2E">
              <w:rPr>
                <w:rFonts w:ascii="Times New Roman" w:hAnsi="Times New Roman" w:cs="Times New Roman"/>
                <w:b/>
                <w:bCs/>
                <w:lang w:eastAsia="pl-PL"/>
              </w:rPr>
              <w:t>Osoby aktywne zawodowo razem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71560A3D"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0CD3B6C8"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577</w:t>
            </w:r>
          </w:p>
        </w:tc>
      </w:tr>
      <w:tr w:rsidR="001679C6" w:rsidRPr="009B7D2E" w14:paraId="66DA3FCD" w14:textId="77777777" w:rsidTr="00C24DA4">
        <w:trPr>
          <w:trHeight w:val="224"/>
          <w:jc w:val="center"/>
        </w:trPr>
        <w:tc>
          <w:tcPr>
            <w:tcW w:w="2830" w:type="dxa"/>
            <w:vMerge/>
            <w:tcBorders>
              <w:left w:val="single" w:sz="8" w:space="0" w:color="4472C4" w:themeColor="accent5"/>
              <w:right w:val="single" w:sz="8" w:space="0" w:color="4472C4" w:themeColor="accent5"/>
            </w:tcBorders>
            <w:shd w:val="clear" w:color="auto" w:fill="9CC2E5" w:themeFill="accent1" w:themeFillTint="99"/>
          </w:tcPr>
          <w:p w14:paraId="78BDCB81" w14:textId="77777777" w:rsidR="001679C6" w:rsidRPr="009B7D2E" w:rsidRDefault="001679C6" w:rsidP="009B7D2E">
            <w:pPr>
              <w:spacing w:after="0" w:line="240" w:lineRule="auto"/>
              <w:rPr>
                <w:rFonts w:ascii="Times New Roman" w:hAnsi="Times New Roman" w:cs="Times New Roman"/>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4350322"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w tym w wieku 60+  (dane dostępne dla Polski)</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0C5FF27"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x</w:t>
            </w:r>
          </w:p>
        </w:tc>
      </w:tr>
      <w:tr w:rsidR="001679C6" w:rsidRPr="009B7D2E" w14:paraId="6E396DE7" w14:textId="77777777" w:rsidTr="00C24DA4">
        <w:trPr>
          <w:trHeight w:val="285"/>
          <w:jc w:val="center"/>
        </w:trPr>
        <w:tc>
          <w:tcPr>
            <w:tcW w:w="2830" w:type="dxa"/>
            <w:vMerge/>
            <w:tcBorders>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DCE83FF" w14:textId="77777777" w:rsidR="001679C6" w:rsidRPr="009B7D2E" w:rsidRDefault="001679C6" w:rsidP="009B7D2E">
            <w:pPr>
              <w:spacing w:after="0" w:line="240" w:lineRule="auto"/>
              <w:rPr>
                <w:rFonts w:ascii="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6AAB663"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 xml:space="preserve">w tym w wieku 55 lat i więcej </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E23CB41"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108</w:t>
            </w:r>
          </w:p>
        </w:tc>
      </w:tr>
      <w:tr w:rsidR="001679C6" w:rsidRPr="009B7D2E" w14:paraId="205A4BCA" w14:textId="77777777" w:rsidTr="00C24DA4">
        <w:trPr>
          <w:trHeight w:val="285"/>
          <w:jc w:val="center"/>
        </w:trPr>
        <w:tc>
          <w:tcPr>
            <w:tcW w:w="2830" w:type="dxa"/>
            <w:vMerge w:val="restart"/>
            <w:tcBorders>
              <w:top w:val="single" w:sz="8" w:space="0" w:color="4472C4" w:themeColor="accent5"/>
              <w:left w:val="single" w:sz="8" w:space="0" w:color="4472C4" w:themeColor="accent5"/>
              <w:right w:val="single" w:sz="8" w:space="0" w:color="4472C4" w:themeColor="accent5"/>
            </w:tcBorders>
            <w:shd w:val="clear" w:color="auto" w:fill="9CC2E5" w:themeFill="accent1" w:themeFillTint="99"/>
          </w:tcPr>
          <w:p w14:paraId="2C3A2956" w14:textId="77777777" w:rsidR="001679C6" w:rsidRPr="009B7D2E" w:rsidRDefault="001679C6" w:rsidP="009B7D2E">
            <w:pPr>
              <w:spacing w:after="0" w:line="240" w:lineRule="auto"/>
              <w:rPr>
                <w:rFonts w:ascii="Times New Roman" w:hAnsi="Times New Roman" w:cs="Times New Roman"/>
                <w:bCs/>
                <w:lang w:eastAsia="pl-PL"/>
              </w:rPr>
            </w:pPr>
            <w:r w:rsidRPr="009B7D2E">
              <w:rPr>
                <w:rFonts w:ascii="Times New Roman" w:hAnsi="Times New Roman" w:cs="Times New Roman"/>
                <w:b/>
                <w:bCs/>
                <w:lang w:eastAsia="pl-PL"/>
              </w:rPr>
              <w:t xml:space="preserve">Osoby aktywne zawodowo </w:t>
            </w:r>
            <w:r w:rsidRPr="009B7D2E">
              <w:rPr>
                <w:rFonts w:ascii="Times New Roman" w:hAnsi="Times New Roman" w:cs="Times New Roman"/>
                <w:b/>
                <w:bCs/>
                <w:lang w:eastAsia="pl-PL"/>
              </w:rPr>
              <w:br/>
              <w:t>– pracujący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E5089CE"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2C37B35"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558</w:t>
            </w:r>
          </w:p>
        </w:tc>
      </w:tr>
      <w:tr w:rsidR="001679C6" w:rsidRPr="009B7D2E" w14:paraId="3E7AB6B0" w14:textId="77777777" w:rsidTr="00C24DA4">
        <w:trPr>
          <w:trHeight w:val="284"/>
          <w:jc w:val="center"/>
        </w:trPr>
        <w:tc>
          <w:tcPr>
            <w:tcW w:w="2830" w:type="dxa"/>
            <w:vMerge/>
            <w:tcBorders>
              <w:left w:val="single" w:sz="8" w:space="0" w:color="4472C4" w:themeColor="accent5"/>
              <w:right w:val="single" w:sz="8" w:space="0" w:color="4472C4" w:themeColor="accent5"/>
            </w:tcBorders>
            <w:shd w:val="clear" w:color="auto" w:fill="9CC2E5" w:themeFill="accent1" w:themeFillTint="99"/>
          </w:tcPr>
          <w:p w14:paraId="431A4C51" w14:textId="77777777" w:rsidR="001679C6" w:rsidRPr="009B7D2E" w:rsidRDefault="001679C6" w:rsidP="009B7D2E">
            <w:pPr>
              <w:spacing w:after="0" w:line="240" w:lineRule="auto"/>
              <w:rPr>
                <w:rFonts w:ascii="Times New Roman" w:hAnsi="Times New Roman" w:cs="Times New Roman"/>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2EE984A"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w tym w wieku 60+  (dane dostępne dla Polski)</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655390E"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x</w:t>
            </w:r>
          </w:p>
        </w:tc>
      </w:tr>
      <w:tr w:rsidR="001679C6" w:rsidRPr="009B7D2E" w14:paraId="41ED7DE1" w14:textId="77777777" w:rsidTr="00C24DA4">
        <w:trPr>
          <w:trHeight w:val="224"/>
          <w:jc w:val="center"/>
        </w:trPr>
        <w:tc>
          <w:tcPr>
            <w:tcW w:w="2830" w:type="dxa"/>
            <w:vMerge/>
            <w:tcBorders>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4BF474C" w14:textId="77777777" w:rsidR="001679C6" w:rsidRPr="009B7D2E" w:rsidRDefault="001679C6" w:rsidP="009B7D2E">
            <w:pPr>
              <w:spacing w:after="0" w:line="240" w:lineRule="auto"/>
              <w:rPr>
                <w:rFonts w:ascii="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91EDB6B"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w tym w wieku 55 lat i więcej</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FD4632C"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105</w:t>
            </w:r>
          </w:p>
        </w:tc>
      </w:tr>
      <w:tr w:rsidR="001679C6" w:rsidRPr="009B7D2E" w14:paraId="0AC02EA7" w14:textId="77777777" w:rsidTr="00C24DA4">
        <w:trPr>
          <w:trHeight w:val="224"/>
          <w:jc w:val="center"/>
        </w:trPr>
        <w:tc>
          <w:tcPr>
            <w:tcW w:w="2830" w:type="dxa"/>
            <w:vMerge w:val="restart"/>
            <w:tcBorders>
              <w:top w:val="single" w:sz="8" w:space="0" w:color="4472C4" w:themeColor="accent5"/>
              <w:left w:val="single" w:sz="8" w:space="0" w:color="4472C4" w:themeColor="accent5"/>
              <w:right w:val="single" w:sz="8" w:space="0" w:color="4472C4" w:themeColor="accent5"/>
            </w:tcBorders>
            <w:shd w:val="clear" w:color="auto" w:fill="9CC2E5" w:themeFill="accent1" w:themeFillTint="99"/>
          </w:tcPr>
          <w:p w14:paraId="4F02F3FC" w14:textId="77777777" w:rsidR="001679C6" w:rsidRPr="009B7D2E" w:rsidRDefault="001679C6" w:rsidP="009B7D2E">
            <w:pPr>
              <w:spacing w:after="0" w:line="240" w:lineRule="auto"/>
              <w:rPr>
                <w:rFonts w:ascii="Times New Roman" w:hAnsi="Times New Roman" w:cs="Times New Roman"/>
                <w:bCs/>
                <w:lang w:eastAsia="pl-PL"/>
              </w:rPr>
            </w:pPr>
            <w:r w:rsidRPr="009B7D2E">
              <w:rPr>
                <w:rFonts w:ascii="Times New Roman" w:hAnsi="Times New Roman" w:cs="Times New Roman"/>
                <w:b/>
                <w:bCs/>
                <w:lang w:eastAsia="pl-PL"/>
              </w:rPr>
              <w:t>Osoby bierne zawodowo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F56DCD2"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26228B4"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516</w:t>
            </w:r>
          </w:p>
        </w:tc>
      </w:tr>
      <w:tr w:rsidR="001679C6" w:rsidRPr="009B7D2E" w14:paraId="21C72586" w14:textId="77777777" w:rsidTr="00C24DA4">
        <w:trPr>
          <w:trHeight w:val="224"/>
          <w:jc w:val="center"/>
        </w:trPr>
        <w:tc>
          <w:tcPr>
            <w:tcW w:w="2830" w:type="dxa"/>
            <w:vMerge/>
            <w:tcBorders>
              <w:left w:val="single" w:sz="8" w:space="0" w:color="4472C4" w:themeColor="accent5"/>
              <w:right w:val="single" w:sz="8" w:space="0" w:color="4472C4" w:themeColor="accent5"/>
            </w:tcBorders>
            <w:shd w:val="clear" w:color="auto" w:fill="9CC2E5" w:themeFill="accent1" w:themeFillTint="99"/>
          </w:tcPr>
          <w:p w14:paraId="09CA650F" w14:textId="77777777" w:rsidR="001679C6" w:rsidRPr="009B7D2E" w:rsidRDefault="001679C6" w:rsidP="009B7D2E">
            <w:pPr>
              <w:spacing w:after="0" w:line="240" w:lineRule="auto"/>
              <w:rPr>
                <w:rFonts w:ascii="Times New Roman" w:hAnsi="Times New Roman" w:cs="Times New Roman"/>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493B740"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w tym w wieku 60+  (dane dostępne dla Polski)</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1E9CF6C"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x</w:t>
            </w:r>
          </w:p>
        </w:tc>
      </w:tr>
      <w:tr w:rsidR="001679C6" w:rsidRPr="009B7D2E" w14:paraId="65EAC537" w14:textId="77777777" w:rsidTr="00C24DA4">
        <w:trPr>
          <w:trHeight w:val="285"/>
          <w:jc w:val="center"/>
        </w:trPr>
        <w:tc>
          <w:tcPr>
            <w:tcW w:w="2830" w:type="dxa"/>
            <w:vMerge/>
            <w:tcBorders>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FF73D80" w14:textId="77777777" w:rsidR="001679C6" w:rsidRPr="009B7D2E" w:rsidRDefault="001679C6" w:rsidP="009B7D2E">
            <w:pPr>
              <w:spacing w:after="0" w:line="240" w:lineRule="auto"/>
              <w:rPr>
                <w:rFonts w:ascii="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AFF3DB3"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 xml:space="preserve">w tym w wieku 55 lat i więcej </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CEEF2F1"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310</w:t>
            </w:r>
          </w:p>
        </w:tc>
      </w:tr>
      <w:tr w:rsidR="001679C6" w:rsidRPr="009B7D2E" w14:paraId="580C1A77" w14:textId="77777777" w:rsidTr="00C24DA4">
        <w:trPr>
          <w:trHeight w:val="285"/>
          <w:jc w:val="center"/>
        </w:trPr>
        <w:tc>
          <w:tcPr>
            <w:tcW w:w="2830" w:type="dxa"/>
            <w:vMerge w:val="restart"/>
            <w:tcBorders>
              <w:top w:val="single" w:sz="8" w:space="0" w:color="4472C4" w:themeColor="accent5"/>
              <w:left w:val="single" w:sz="8" w:space="0" w:color="4472C4" w:themeColor="accent5"/>
              <w:right w:val="single" w:sz="8" w:space="0" w:color="4472C4" w:themeColor="accent5"/>
            </w:tcBorders>
            <w:shd w:val="clear" w:color="auto" w:fill="9CC2E5" w:themeFill="accent1" w:themeFillTint="99"/>
          </w:tcPr>
          <w:p w14:paraId="7A9CBBA0" w14:textId="77777777" w:rsidR="001679C6" w:rsidRPr="009B7D2E" w:rsidRDefault="001679C6" w:rsidP="009B7D2E">
            <w:pPr>
              <w:spacing w:after="0" w:line="240" w:lineRule="auto"/>
              <w:rPr>
                <w:rFonts w:ascii="Times New Roman" w:hAnsi="Times New Roman" w:cs="Times New Roman"/>
                <w:bCs/>
                <w:lang w:eastAsia="pl-PL"/>
              </w:rPr>
            </w:pPr>
            <w:r w:rsidRPr="009B7D2E">
              <w:rPr>
                <w:rFonts w:ascii="Times New Roman" w:hAnsi="Times New Roman" w:cs="Times New Roman"/>
                <w:b/>
                <w:bCs/>
                <w:lang w:eastAsia="pl-PL"/>
              </w:rPr>
              <w:t>Współczynnik aktywności zawodowej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9D6D17F"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12FF663"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52,7</w:t>
            </w:r>
          </w:p>
        </w:tc>
      </w:tr>
      <w:tr w:rsidR="001679C6" w:rsidRPr="009B7D2E" w14:paraId="2CA7A350" w14:textId="77777777" w:rsidTr="00C24DA4">
        <w:trPr>
          <w:trHeight w:val="284"/>
          <w:jc w:val="center"/>
        </w:trPr>
        <w:tc>
          <w:tcPr>
            <w:tcW w:w="2830" w:type="dxa"/>
            <w:vMerge/>
            <w:tcBorders>
              <w:left w:val="single" w:sz="8" w:space="0" w:color="4472C4" w:themeColor="accent5"/>
              <w:right w:val="single" w:sz="8" w:space="0" w:color="4472C4" w:themeColor="accent5"/>
            </w:tcBorders>
            <w:shd w:val="clear" w:color="auto" w:fill="9CC2E5" w:themeFill="accent1" w:themeFillTint="99"/>
          </w:tcPr>
          <w:p w14:paraId="636033A6" w14:textId="77777777" w:rsidR="001679C6" w:rsidRPr="009B7D2E" w:rsidRDefault="001679C6" w:rsidP="009B7D2E">
            <w:pPr>
              <w:spacing w:after="0" w:line="240" w:lineRule="auto"/>
              <w:rPr>
                <w:rFonts w:ascii="Times New Roman" w:hAnsi="Times New Roman" w:cs="Times New Roman"/>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CAA6122"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 xml:space="preserve">w tym w wieku 60+  (dane dostępne dla Polski 60-64 i 65 i więcej) </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F5D62E4"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x</w:t>
            </w:r>
          </w:p>
        </w:tc>
      </w:tr>
      <w:tr w:rsidR="001679C6" w:rsidRPr="009B7D2E" w14:paraId="53D7CE2E" w14:textId="77777777" w:rsidTr="00C24DA4">
        <w:trPr>
          <w:trHeight w:val="143"/>
          <w:jc w:val="center"/>
        </w:trPr>
        <w:tc>
          <w:tcPr>
            <w:tcW w:w="2830" w:type="dxa"/>
            <w:vMerge/>
            <w:tcBorders>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6310FC7" w14:textId="77777777" w:rsidR="001679C6" w:rsidRPr="009B7D2E" w:rsidRDefault="001679C6" w:rsidP="009B7D2E">
            <w:pPr>
              <w:spacing w:after="0" w:line="240" w:lineRule="auto"/>
              <w:rPr>
                <w:rFonts w:ascii="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337055C"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 xml:space="preserve">w tym w wieku 55 lat i więcej </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0D55983"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25,8</w:t>
            </w:r>
          </w:p>
        </w:tc>
      </w:tr>
      <w:tr w:rsidR="001679C6" w:rsidRPr="009B7D2E" w14:paraId="36487D6F" w14:textId="77777777" w:rsidTr="00C24DA4">
        <w:trPr>
          <w:trHeight w:val="143"/>
          <w:jc w:val="center"/>
        </w:trPr>
        <w:tc>
          <w:tcPr>
            <w:tcW w:w="2830" w:type="dxa"/>
            <w:vMerge w:val="restart"/>
            <w:tcBorders>
              <w:top w:val="single" w:sz="8" w:space="0" w:color="4472C4" w:themeColor="accent5"/>
              <w:left w:val="single" w:sz="8" w:space="0" w:color="4472C4" w:themeColor="accent5"/>
              <w:right w:val="single" w:sz="8" w:space="0" w:color="4472C4" w:themeColor="accent5"/>
            </w:tcBorders>
            <w:shd w:val="clear" w:color="auto" w:fill="9CC2E5" w:themeFill="accent1" w:themeFillTint="99"/>
          </w:tcPr>
          <w:p w14:paraId="190DA184" w14:textId="77777777" w:rsidR="001679C6" w:rsidRPr="009B7D2E" w:rsidRDefault="001679C6" w:rsidP="009B7D2E">
            <w:pPr>
              <w:spacing w:after="0" w:line="240" w:lineRule="auto"/>
              <w:rPr>
                <w:rFonts w:ascii="Times New Roman" w:hAnsi="Times New Roman" w:cs="Times New Roman"/>
                <w:bCs/>
                <w:lang w:eastAsia="pl-PL"/>
              </w:rPr>
            </w:pPr>
            <w:r w:rsidRPr="009B7D2E">
              <w:rPr>
                <w:rFonts w:ascii="Times New Roman" w:hAnsi="Times New Roman" w:cs="Times New Roman"/>
                <w:b/>
                <w:bCs/>
                <w:lang w:eastAsia="pl-PL"/>
              </w:rPr>
              <w:t>Wskaźnik zatrudnienia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AFA0086"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3F2D7AB"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51,0</w:t>
            </w:r>
          </w:p>
        </w:tc>
      </w:tr>
      <w:tr w:rsidR="001679C6" w:rsidRPr="009B7D2E" w14:paraId="2DFCBBAC" w14:textId="77777777" w:rsidTr="00C24DA4">
        <w:trPr>
          <w:trHeight w:val="142"/>
          <w:jc w:val="center"/>
        </w:trPr>
        <w:tc>
          <w:tcPr>
            <w:tcW w:w="2830" w:type="dxa"/>
            <w:vMerge/>
            <w:tcBorders>
              <w:left w:val="single" w:sz="8" w:space="0" w:color="4472C4" w:themeColor="accent5"/>
              <w:right w:val="single" w:sz="8" w:space="0" w:color="4472C4" w:themeColor="accent5"/>
            </w:tcBorders>
            <w:shd w:val="clear" w:color="auto" w:fill="9CC2E5" w:themeFill="accent1" w:themeFillTint="99"/>
          </w:tcPr>
          <w:p w14:paraId="1600DBA6" w14:textId="77777777" w:rsidR="001679C6" w:rsidRPr="009B7D2E" w:rsidRDefault="001679C6" w:rsidP="009B7D2E">
            <w:pPr>
              <w:spacing w:after="0" w:line="240" w:lineRule="auto"/>
              <w:rPr>
                <w:rFonts w:ascii="Times New Roman" w:hAnsi="Times New Roman" w:cs="Times New Roman"/>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9F73E5B"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w tym w wieku 60+ (dane dostępne dla Polski 60-64 i 65 i więcej)</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D1FF4BC"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x</w:t>
            </w:r>
          </w:p>
        </w:tc>
      </w:tr>
      <w:tr w:rsidR="001679C6" w:rsidRPr="009B7D2E" w14:paraId="00F4269F" w14:textId="77777777" w:rsidTr="00C24DA4">
        <w:trPr>
          <w:trHeight w:val="282"/>
          <w:jc w:val="center"/>
        </w:trPr>
        <w:tc>
          <w:tcPr>
            <w:tcW w:w="2830" w:type="dxa"/>
            <w:vMerge/>
            <w:tcBorders>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3B87420" w14:textId="77777777" w:rsidR="001679C6" w:rsidRPr="009B7D2E" w:rsidRDefault="001679C6"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64BC3C4"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 xml:space="preserve">w tym w wieku 55 lat i więcej </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3A235BC" w14:textId="77777777" w:rsidR="001679C6" w:rsidRPr="009B7D2E" w:rsidRDefault="001679C6" w:rsidP="001679C6">
            <w:pPr>
              <w:spacing w:after="0" w:line="240" w:lineRule="auto"/>
              <w:jc w:val="center"/>
              <w:rPr>
                <w:rFonts w:ascii="Times New Roman" w:hAnsi="Times New Roman" w:cs="Times New Roman"/>
              </w:rPr>
            </w:pPr>
            <w:r w:rsidRPr="009B7D2E">
              <w:rPr>
                <w:rFonts w:ascii="Times New Roman" w:hAnsi="Times New Roman" w:cs="Times New Roman"/>
              </w:rPr>
              <w:t>25,1</w:t>
            </w:r>
          </w:p>
        </w:tc>
      </w:tr>
      <w:tr w:rsidR="009B7D2E" w:rsidRPr="009B7D2E" w14:paraId="334D953D" w14:textId="77777777" w:rsidTr="00C24DA4">
        <w:trPr>
          <w:trHeight w:val="282"/>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17A5384" w14:textId="77777777" w:rsidR="00393951" w:rsidRPr="009B7D2E" w:rsidRDefault="00393951" w:rsidP="009B7D2E">
            <w:pPr>
              <w:spacing w:after="0" w:line="240" w:lineRule="auto"/>
              <w:rPr>
                <w:rFonts w:ascii="Times New Roman" w:hAnsi="Times New Roman" w:cs="Times New Roman"/>
                <w:bCs/>
                <w:lang w:eastAsia="pl-PL"/>
              </w:rPr>
            </w:pPr>
            <w:r w:rsidRPr="009B7D2E">
              <w:rPr>
                <w:rFonts w:ascii="Times New Roman" w:eastAsia="Times New Roman" w:hAnsi="Times New Roman" w:cs="Times New Roman"/>
                <w:b/>
                <w:bCs/>
                <w:lang w:eastAsia="pl-PL"/>
              </w:rPr>
              <w:t xml:space="preserve">Osoby bierne zawodowo  w wieku 60 lat i więcej według wybranych przyczyn bierności </w:t>
            </w:r>
            <w:r w:rsidRPr="009B7D2E">
              <w:rPr>
                <w:rFonts w:ascii="Times New Roman" w:eastAsia="Times New Roman" w:hAnsi="Times New Roman" w:cs="Times New Roman"/>
                <w:b/>
                <w:bCs/>
                <w:lang w:eastAsia="pl-PL"/>
              </w:rPr>
              <w:br/>
              <w:t xml:space="preserve">(w tys.) </w:t>
            </w:r>
            <w:r w:rsidRPr="009B7D2E">
              <w:rPr>
                <w:rFonts w:ascii="Times New Roman" w:eastAsia="Times New Roman" w:hAnsi="Times New Roman" w:cs="Times New Roman"/>
                <w:bCs/>
                <w:lang w:eastAsia="pl-PL"/>
              </w:rPr>
              <w:t xml:space="preserve">(dane dostępne dla Polski 55-64, 65 lat i więcej), </w:t>
            </w:r>
            <w:r w:rsidRPr="009B7D2E">
              <w:rPr>
                <w:rFonts w:ascii="Times New Roman" w:eastAsia="Times New Roman" w:hAnsi="Times New Roman" w:cs="Times New Roman"/>
                <w:bCs/>
                <w:lang w:eastAsia="pl-PL"/>
              </w:rPr>
              <w:lastRenderedPageBreak/>
              <w:t>dla województw tylko ogółem.</w:t>
            </w:r>
            <w:r w:rsidRPr="009B7D2E">
              <w:rPr>
                <w:rFonts w:ascii="Times New Roman" w:eastAsia="Times New Roman" w:hAnsi="Times New Roman" w:cs="Times New Roman"/>
                <w:b/>
                <w:bCs/>
                <w:lang w:eastAsia="pl-PL"/>
              </w:rPr>
              <w:t xml:space="preserve">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CE2B9CF"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lastRenderedPageBreak/>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0FF0AC8" w14:textId="77777777" w:rsidR="00393951" w:rsidRPr="009B7D2E" w:rsidRDefault="00393951" w:rsidP="001679C6">
            <w:pPr>
              <w:spacing w:after="0" w:line="240" w:lineRule="auto"/>
              <w:jc w:val="center"/>
              <w:rPr>
                <w:rFonts w:ascii="Times New Roman" w:hAnsi="Times New Roman" w:cs="Times New Roman"/>
              </w:rPr>
            </w:pPr>
            <w:r w:rsidRPr="009B7D2E">
              <w:rPr>
                <w:rFonts w:ascii="Times New Roman" w:hAnsi="Times New Roman" w:cs="Times New Roman"/>
              </w:rPr>
              <w:t>x</w:t>
            </w:r>
          </w:p>
        </w:tc>
      </w:tr>
      <w:tr w:rsidR="009B7D2E" w:rsidRPr="009B7D2E" w14:paraId="73A5A2B0" w14:textId="77777777" w:rsidTr="001679C6">
        <w:trPr>
          <w:trHeight w:val="28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263254B"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09A89CE"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w tym:</w:t>
            </w:r>
          </w:p>
        </w:tc>
      </w:tr>
      <w:tr w:rsidR="009B7D2E" w:rsidRPr="009B7D2E" w14:paraId="2012D651" w14:textId="77777777" w:rsidTr="00C24DA4">
        <w:trPr>
          <w:trHeight w:val="28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45F27B5"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18328A4" w14:textId="77777777" w:rsidR="00393951" w:rsidRPr="009B7D2E" w:rsidRDefault="00393951" w:rsidP="009B7D2E">
            <w:pPr>
              <w:spacing w:after="0" w:line="240" w:lineRule="auto"/>
              <w:rPr>
                <w:rFonts w:ascii="Times New Roman" w:eastAsia="Times New Roman" w:hAnsi="Times New Roman" w:cs="Times New Roman"/>
                <w:lang w:eastAsia="pl-PL"/>
              </w:rPr>
            </w:pPr>
            <w:r w:rsidRPr="009B7D2E">
              <w:rPr>
                <w:rFonts w:ascii="Times New Roman" w:eastAsia="Times New Roman" w:hAnsi="Times New Roman" w:cs="Times New Roman"/>
                <w:lang w:eastAsia="pl-PL"/>
              </w:rPr>
              <w:t>osoby nieposzukujące pracy - razem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FBAE5E8" w14:textId="77777777" w:rsidR="00393951" w:rsidRPr="009B7D2E" w:rsidRDefault="00393951" w:rsidP="001679C6">
            <w:pPr>
              <w:spacing w:after="0" w:line="240" w:lineRule="auto"/>
              <w:jc w:val="center"/>
              <w:rPr>
                <w:rFonts w:ascii="Times New Roman" w:hAnsi="Times New Roman" w:cs="Times New Roman"/>
              </w:rPr>
            </w:pPr>
            <w:r w:rsidRPr="009B7D2E">
              <w:rPr>
                <w:rFonts w:ascii="Times New Roman" w:hAnsi="Times New Roman" w:cs="Times New Roman"/>
              </w:rPr>
              <w:t>x</w:t>
            </w:r>
          </w:p>
        </w:tc>
      </w:tr>
      <w:tr w:rsidR="009B7D2E" w:rsidRPr="009B7D2E" w14:paraId="38B5A36E" w14:textId="77777777" w:rsidTr="00C24DA4">
        <w:trPr>
          <w:trHeight w:val="28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DB49D86"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50BC4B7" w14:textId="77777777" w:rsidR="00393951" w:rsidRPr="009B7D2E" w:rsidRDefault="00393951" w:rsidP="009B7D2E">
            <w:pPr>
              <w:spacing w:after="0" w:line="240" w:lineRule="auto"/>
              <w:rPr>
                <w:rFonts w:ascii="Times New Roman" w:hAnsi="Times New Roman" w:cs="Times New Roman"/>
              </w:rPr>
            </w:pPr>
            <w:r w:rsidRPr="009B7D2E">
              <w:rPr>
                <w:rFonts w:ascii="Times New Roman" w:eastAsia="Times New Roman" w:hAnsi="Times New Roman" w:cs="Times New Roman"/>
                <w:lang w:eastAsia="pl-PL"/>
              </w:rPr>
              <w:t>osoby nieposzukujące pracy - emerytura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F8692AD" w14:textId="77777777" w:rsidR="00393951" w:rsidRPr="009B7D2E" w:rsidRDefault="00393951" w:rsidP="001679C6">
            <w:pPr>
              <w:spacing w:after="0" w:line="240" w:lineRule="auto"/>
              <w:jc w:val="center"/>
              <w:rPr>
                <w:rFonts w:ascii="Times New Roman" w:hAnsi="Times New Roman" w:cs="Times New Roman"/>
              </w:rPr>
            </w:pPr>
            <w:r w:rsidRPr="009B7D2E">
              <w:rPr>
                <w:rFonts w:ascii="Times New Roman" w:hAnsi="Times New Roman" w:cs="Times New Roman"/>
              </w:rPr>
              <w:t>x</w:t>
            </w:r>
          </w:p>
        </w:tc>
      </w:tr>
      <w:tr w:rsidR="009B7D2E" w:rsidRPr="009B7D2E" w14:paraId="5E3E5B83" w14:textId="77777777" w:rsidTr="00C24DA4">
        <w:trPr>
          <w:trHeight w:val="28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B4B8FB9"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CD5811B" w14:textId="77777777" w:rsidR="00393951" w:rsidRPr="009B7D2E" w:rsidRDefault="00393951" w:rsidP="009B7D2E">
            <w:pPr>
              <w:spacing w:after="0" w:line="240" w:lineRule="auto"/>
              <w:rPr>
                <w:rFonts w:ascii="Times New Roman" w:hAnsi="Times New Roman" w:cs="Times New Roman"/>
              </w:rPr>
            </w:pPr>
            <w:r w:rsidRPr="009B7D2E">
              <w:rPr>
                <w:rFonts w:ascii="Times New Roman" w:eastAsia="Times New Roman" w:hAnsi="Times New Roman" w:cs="Times New Roman"/>
                <w:lang w:eastAsia="pl-PL"/>
              </w:rPr>
              <w:t>osoby nieposzukujące pracy - choroba, niepełnosprawność</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5C69490" w14:textId="77777777" w:rsidR="00393951" w:rsidRPr="009B7D2E" w:rsidRDefault="00393951" w:rsidP="001679C6">
            <w:pPr>
              <w:spacing w:after="0" w:line="240" w:lineRule="auto"/>
              <w:jc w:val="center"/>
              <w:rPr>
                <w:rFonts w:ascii="Times New Roman" w:hAnsi="Times New Roman" w:cs="Times New Roman"/>
              </w:rPr>
            </w:pPr>
            <w:r w:rsidRPr="009B7D2E">
              <w:rPr>
                <w:rFonts w:ascii="Times New Roman" w:hAnsi="Times New Roman" w:cs="Times New Roman"/>
              </w:rPr>
              <w:t>x</w:t>
            </w:r>
          </w:p>
        </w:tc>
      </w:tr>
      <w:tr w:rsidR="009B7D2E" w:rsidRPr="009B7D2E" w14:paraId="65C5A56D" w14:textId="77777777" w:rsidTr="001679C6">
        <w:trPr>
          <w:trHeight w:val="280"/>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9498C88" w14:textId="77777777" w:rsidR="00393951" w:rsidRPr="009B7D2E" w:rsidRDefault="00393951" w:rsidP="009B7D2E">
            <w:pPr>
              <w:spacing w:after="0" w:line="240" w:lineRule="auto"/>
              <w:rPr>
                <w:rFonts w:ascii="Times New Roman" w:hAnsi="Times New Roman" w:cs="Times New Roman"/>
                <w:b/>
                <w:bCs/>
              </w:rPr>
            </w:pPr>
            <w:r w:rsidRPr="009B7D2E">
              <w:rPr>
                <w:rFonts w:ascii="Times New Roman" w:hAnsi="Times New Roman" w:cs="Times New Roman"/>
              </w:rPr>
              <w:t xml:space="preserve">Osoby bierne zawodowo ogółem według wybranych przyczyn bierności (w tys.) </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35A0EC03"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 xml:space="preserve">Ogółem </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798B082D" w14:textId="77777777" w:rsidR="00393951" w:rsidRPr="009B7D2E" w:rsidRDefault="00393951" w:rsidP="001679C6">
            <w:pPr>
              <w:spacing w:after="0" w:line="240" w:lineRule="auto"/>
              <w:jc w:val="center"/>
              <w:rPr>
                <w:rFonts w:ascii="Times New Roman" w:hAnsi="Times New Roman" w:cs="Times New Roman"/>
              </w:rPr>
            </w:pPr>
            <w:r w:rsidRPr="009B7D2E">
              <w:rPr>
                <w:rFonts w:ascii="Times New Roman" w:hAnsi="Times New Roman" w:cs="Times New Roman"/>
              </w:rPr>
              <w:t>516</w:t>
            </w:r>
          </w:p>
        </w:tc>
      </w:tr>
      <w:tr w:rsidR="001679C6" w:rsidRPr="009B7D2E" w14:paraId="6DE5F14F" w14:textId="77777777" w:rsidTr="001679C6">
        <w:trPr>
          <w:trHeight w:val="28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A6822D5" w14:textId="77777777" w:rsidR="001679C6" w:rsidRPr="009B7D2E" w:rsidRDefault="001679C6" w:rsidP="009B7D2E">
            <w:pPr>
              <w:spacing w:after="0" w:line="240" w:lineRule="auto"/>
              <w:rPr>
                <w:rFonts w:ascii="Times New Roman" w:hAnsi="Times New Roman" w:cs="Times New Roman"/>
                <w:b/>
                <w:bCs/>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80D3639" w14:textId="77777777" w:rsidR="001679C6" w:rsidRPr="009B7D2E" w:rsidRDefault="001679C6" w:rsidP="009B7D2E">
            <w:pPr>
              <w:spacing w:after="0" w:line="240" w:lineRule="auto"/>
              <w:rPr>
                <w:rFonts w:ascii="Times New Roman" w:hAnsi="Times New Roman" w:cs="Times New Roman"/>
              </w:rPr>
            </w:pPr>
            <w:r w:rsidRPr="009B7D2E">
              <w:rPr>
                <w:rFonts w:ascii="Times New Roman" w:hAnsi="Times New Roman" w:cs="Times New Roman"/>
              </w:rPr>
              <w:t xml:space="preserve">w tym: </w:t>
            </w:r>
          </w:p>
        </w:tc>
      </w:tr>
      <w:tr w:rsidR="009B7D2E" w:rsidRPr="009B7D2E" w14:paraId="27213847" w14:textId="77777777" w:rsidTr="00C24DA4">
        <w:trPr>
          <w:trHeight w:val="28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9676447" w14:textId="77777777" w:rsidR="00393951" w:rsidRPr="009B7D2E" w:rsidRDefault="00393951" w:rsidP="009B7D2E">
            <w:pPr>
              <w:spacing w:after="0" w:line="240" w:lineRule="auto"/>
              <w:rPr>
                <w:rFonts w:ascii="Times New Roman" w:hAnsi="Times New Roman" w:cs="Times New Roman"/>
                <w:b/>
                <w:bCs/>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E7EC5F1"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osoby nieposzukujące pracy - razem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07C99B2" w14:textId="77777777" w:rsidR="00393951" w:rsidRPr="009B7D2E" w:rsidRDefault="00393951" w:rsidP="001679C6">
            <w:pPr>
              <w:spacing w:after="0" w:line="240" w:lineRule="auto"/>
              <w:jc w:val="center"/>
              <w:rPr>
                <w:rFonts w:ascii="Times New Roman" w:hAnsi="Times New Roman" w:cs="Times New Roman"/>
              </w:rPr>
            </w:pPr>
            <w:r w:rsidRPr="009B7D2E">
              <w:rPr>
                <w:rFonts w:ascii="Times New Roman" w:hAnsi="Times New Roman" w:cs="Times New Roman"/>
              </w:rPr>
              <w:t>514</w:t>
            </w:r>
          </w:p>
        </w:tc>
      </w:tr>
      <w:tr w:rsidR="009B7D2E" w:rsidRPr="009B7D2E" w14:paraId="1E4FB7B6" w14:textId="77777777" w:rsidTr="00C24DA4">
        <w:trPr>
          <w:trHeight w:val="28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078C3E0" w14:textId="77777777" w:rsidR="00393951" w:rsidRPr="009B7D2E" w:rsidRDefault="00393951" w:rsidP="009B7D2E">
            <w:pPr>
              <w:spacing w:after="0" w:line="240" w:lineRule="auto"/>
              <w:rPr>
                <w:rFonts w:ascii="Times New Roman" w:hAnsi="Times New Roman" w:cs="Times New Roman"/>
                <w:b/>
                <w:bCs/>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3FF382C"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osoby nieposzukujące pracy - emerytura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11ADAFC" w14:textId="77777777" w:rsidR="00393951" w:rsidRPr="009B7D2E" w:rsidRDefault="00393951" w:rsidP="001679C6">
            <w:pPr>
              <w:spacing w:after="0" w:line="240" w:lineRule="auto"/>
              <w:jc w:val="center"/>
              <w:rPr>
                <w:rFonts w:ascii="Times New Roman" w:hAnsi="Times New Roman" w:cs="Times New Roman"/>
              </w:rPr>
            </w:pPr>
            <w:r w:rsidRPr="009B7D2E">
              <w:rPr>
                <w:rFonts w:ascii="Times New Roman" w:hAnsi="Times New Roman" w:cs="Times New Roman"/>
              </w:rPr>
              <w:t>261</w:t>
            </w:r>
          </w:p>
        </w:tc>
      </w:tr>
      <w:tr w:rsidR="009B7D2E" w:rsidRPr="009B7D2E" w14:paraId="33467ACB" w14:textId="77777777" w:rsidTr="00C24DA4">
        <w:trPr>
          <w:trHeight w:val="28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3478380" w14:textId="77777777" w:rsidR="00393951" w:rsidRPr="009B7D2E" w:rsidRDefault="00393951" w:rsidP="009B7D2E">
            <w:pPr>
              <w:spacing w:after="0" w:line="240" w:lineRule="auto"/>
              <w:rPr>
                <w:rFonts w:ascii="Times New Roman" w:hAnsi="Times New Roman" w:cs="Times New Roman"/>
                <w:b/>
                <w:bCs/>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98CC328"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osoby nieposzukujące pracy - choroba, niepełnosprawność</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827A089" w14:textId="77777777" w:rsidR="00393951" w:rsidRPr="009B7D2E" w:rsidRDefault="00393951" w:rsidP="001679C6">
            <w:pPr>
              <w:spacing w:after="0" w:line="240" w:lineRule="auto"/>
              <w:jc w:val="center"/>
              <w:rPr>
                <w:rFonts w:ascii="Times New Roman" w:hAnsi="Times New Roman" w:cs="Times New Roman"/>
              </w:rPr>
            </w:pPr>
            <w:r w:rsidRPr="009B7D2E">
              <w:rPr>
                <w:rFonts w:ascii="Times New Roman" w:hAnsi="Times New Roman" w:cs="Times New Roman"/>
              </w:rPr>
              <w:t>69</w:t>
            </w:r>
          </w:p>
        </w:tc>
      </w:tr>
      <w:tr w:rsidR="009B7D2E" w:rsidRPr="009B7D2E" w14:paraId="215D547B" w14:textId="77777777" w:rsidTr="00C24DA4">
        <w:trPr>
          <w:trHeight w:val="285"/>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1E17B1D" w14:textId="77777777" w:rsidR="00393951" w:rsidRPr="009B7D2E" w:rsidRDefault="00393951" w:rsidP="009B7D2E">
            <w:pPr>
              <w:spacing w:after="0" w:line="240" w:lineRule="auto"/>
              <w:rPr>
                <w:rFonts w:ascii="Times New Roman" w:eastAsia="Times New Roman" w:hAnsi="Times New Roman" w:cs="Times New Roman"/>
                <w:b/>
                <w:bCs/>
                <w:lang w:eastAsia="pl-PL"/>
              </w:rPr>
            </w:pPr>
            <w:r w:rsidRPr="009B7D2E">
              <w:rPr>
                <w:rFonts w:ascii="Times New Roman" w:eastAsia="Times New Roman" w:hAnsi="Times New Roman" w:cs="Times New Roman"/>
                <w:b/>
                <w:bCs/>
                <w:lang w:eastAsia="pl-PL"/>
              </w:rPr>
              <w:t>Osoby bezrobotne zarejestrowane w urzędach pracy (w tys.)</w:t>
            </w: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23CD84F"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ogółem</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3432132" w14:textId="77777777" w:rsidR="00393951" w:rsidRPr="009B7D2E" w:rsidRDefault="00393951" w:rsidP="001679C6">
            <w:pPr>
              <w:spacing w:after="0" w:line="240" w:lineRule="auto"/>
              <w:jc w:val="center"/>
              <w:rPr>
                <w:rFonts w:ascii="Times New Roman" w:hAnsi="Times New Roman" w:cs="Times New Roman"/>
              </w:rPr>
            </w:pPr>
            <w:r w:rsidRPr="009B7D2E">
              <w:rPr>
                <w:rFonts w:ascii="Times New Roman" w:hAnsi="Times New Roman" w:cs="Times New Roman"/>
              </w:rPr>
              <w:t>45,7 (wg stanu na koniec roku)</w:t>
            </w:r>
          </w:p>
        </w:tc>
      </w:tr>
      <w:tr w:rsidR="009B7D2E" w:rsidRPr="009B7D2E" w14:paraId="74F437EE" w14:textId="77777777" w:rsidTr="00C24DA4">
        <w:trPr>
          <w:trHeight w:val="284"/>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47EB9F2"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CB0226C"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w tym w wieku 60+</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C257B33" w14:textId="77777777" w:rsidR="00393951" w:rsidRPr="009B7D2E" w:rsidRDefault="00393951" w:rsidP="001679C6">
            <w:pPr>
              <w:spacing w:after="0" w:line="240" w:lineRule="auto"/>
              <w:jc w:val="center"/>
              <w:rPr>
                <w:rFonts w:ascii="Times New Roman" w:hAnsi="Times New Roman" w:cs="Times New Roman"/>
              </w:rPr>
            </w:pPr>
            <w:r w:rsidRPr="009B7D2E">
              <w:rPr>
                <w:rFonts w:ascii="Times New Roman" w:hAnsi="Times New Roman" w:cs="Times New Roman"/>
              </w:rPr>
              <w:t>3,3  (wg stanu na koniec roku)</w:t>
            </w:r>
          </w:p>
        </w:tc>
      </w:tr>
      <w:tr w:rsidR="009B7D2E" w:rsidRPr="009B7D2E" w14:paraId="198B335D" w14:textId="77777777" w:rsidTr="00C24DA4">
        <w:trPr>
          <w:trHeight w:val="284"/>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8128E96"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AF4E456"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 xml:space="preserve">w tym powyżej 50 roku życia </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FE89AE5" w14:textId="77777777" w:rsidR="00393951" w:rsidRPr="009B7D2E" w:rsidRDefault="00393951" w:rsidP="001679C6">
            <w:pPr>
              <w:spacing w:after="0" w:line="240" w:lineRule="auto"/>
              <w:jc w:val="center"/>
              <w:rPr>
                <w:rFonts w:ascii="Times New Roman" w:hAnsi="Times New Roman" w:cs="Times New Roman"/>
              </w:rPr>
            </w:pPr>
            <w:r w:rsidRPr="009B7D2E">
              <w:rPr>
                <w:rFonts w:ascii="Times New Roman" w:hAnsi="Times New Roman" w:cs="Times New Roman"/>
              </w:rPr>
              <w:t>13</w:t>
            </w:r>
            <w:r w:rsidR="00783F5E" w:rsidRPr="009B7D2E">
              <w:rPr>
                <w:rFonts w:ascii="Times New Roman" w:hAnsi="Times New Roman" w:cs="Times New Roman"/>
              </w:rPr>
              <w:t xml:space="preserve"> </w:t>
            </w:r>
            <w:r w:rsidRPr="009B7D2E">
              <w:rPr>
                <w:rFonts w:ascii="Times New Roman" w:hAnsi="Times New Roman" w:cs="Times New Roman"/>
              </w:rPr>
              <w:t>062</w:t>
            </w:r>
          </w:p>
        </w:tc>
      </w:tr>
      <w:tr w:rsidR="009B7D2E" w:rsidRPr="009B7D2E" w14:paraId="1746D313" w14:textId="77777777" w:rsidTr="00C24DA4">
        <w:trPr>
          <w:trHeight w:val="191"/>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C3E271E" w14:textId="77777777" w:rsidR="00393951" w:rsidRPr="009B7D2E" w:rsidRDefault="00393951" w:rsidP="009B7D2E">
            <w:pPr>
              <w:spacing w:after="0" w:line="240" w:lineRule="auto"/>
              <w:rPr>
                <w:rFonts w:ascii="Times New Roman" w:eastAsia="Times New Roman" w:hAnsi="Times New Roman" w:cs="Times New Roman"/>
                <w:b/>
                <w:bCs/>
                <w:lang w:eastAsia="pl-PL"/>
              </w:rPr>
            </w:pPr>
            <w:r w:rsidRPr="009B7D2E">
              <w:rPr>
                <w:rFonts w:ascii="Times New Roman" w:eastAsia="Times New Roman" w:hAnsi="Times New Roman" w:cs="Times New Roman"/>
                <w:b/>
                <w:bCs/>
                <w:lang w:eastAsia="pl-PL"/>
              </w:rPr>
              <w:t xml:space="preserve">Osoby pobierające renty </w:t>
            </w:r>
            <w:r w:rsidRPr="009B7D2E">
              <w:rPr>
                <w:rFonts w:ascii="Times New Roman" w:eastAsia="Times New Roman" w:hAnsi="Times New Roman" w:cs="Times New Roman"/>
                <w:b/>
                <w:bCs/>
                <w:lang w:eastAsia="pl-PL"/>
              </w:rPr>
              <w:br/>
              <w:t xml:space="preserve">i emerytury </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76F6371" w14:textId="77777777" w:rsidR="00393951" w:rsidRPr="009B7D2E" w:rsidRDefault="00393951" w:rsidP="00C24DA4">
            <w:pPr>
              <w:tabs>
                <w:tab w:val="left" w:pos="1725"/>
                <w:tab w:val="center" w:pos="2363"/>
              </w:tabs>
              <w:spacing w:after="0" w:line="240" w:lineRule="auto"/>
              <w:jc w:val="center"/>
              <w:rPr>
                <w:rFonts w:ascii="Times New Roman" w:hAnsi="Times New Roman" w:cs="Times New Roman"/>
                <w:b/>
              </w:rPr>
            </w:pPr>
            <w:r w:rsidRPr="009B7D2E">
              <w:rPr>
                <w:rFonts w:ascii="Times New Roman" w:hAnsi="Times New Roman" w:cs="Times New Roman"/>
                <w:b/>
              </w:rPr>
              <w:t>ZUS</w:t>
            </w:r>
          </w:p>
        </w:tc>
      </w:tr>
      <w:tr w:rsidR="009B7D2E" w:rsidRPr="009B7D2E" w14:paraId="07A3124E" w14:textId="77777777" w:rsidTr="00C24DA4">
        <w:trPr>
          <w:trHeight w:val="18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31C3E65"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D926EE6" w14:textId="77777777" w:rsidR="00393951" w:rsidRPr="009B7D2E" w:rsidRDefault="00393951" w:rsidP="00C24DA4">
            <w:pPr>
              <w:spacing w:after="0" w:line="240" w:lineRule="auto"/>
              <w:jc w:val="center"/>
              <w:rPr>
                <w:rFonts w:ascii="Times New Roman" w:hAnsi="Times New Roman" w:cs="Times New Roman"/>
                <w:b/>
              </w:rPr>
            </w:pPr>
            <w:r w:rsidRPr="009B7D2E">
              <w:rPr>
                <w:rFonts w:ascii="Times New Roman" w:hAnsi="Times New Roman" w:cs="Times New Roman"/>
                <w:b/>
              </w:rPr>
              <w:t>Rodzaj świadczenia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5B54EF6" w14:textId="77777777" w:rsidR="00393951" w:rsidRPr="009B7D2E" w:rsidRDefault="00393951" w:rsidP="00C24DA4">
            <w:pPr>
              <w:spacing w:after="0" w:line="240" w:lineRule="auto"/>
              <w:jc w:val="center"/>
              <w:rPr>
                <w:rFonts w:ascii="Times New Roman" w:hAnsi="Times New Roman" w:cs="Times New Roman"/>
                <w:b/>
              </w:rPr>
            </w:pPr>
            <w:r w:rsidRPr="009B7D2E">
              <w:rPr>
                <w:rFonts w:ascii="Times New Roman" w:hAnsi="Times New Roman" w:cs="Times New Roman"/>
                <w:b/>
              </w:rPr>
              <w:t>Przeciętna miesięczna liczba emerytów i rencistów (w tys.)</w:t>
            </w:r>
            <w:r w:rsidRPr="009B7D2E">
              <w:rPr>
                <w:rFonts w:ascii="Times New Roman" w:hAnsi="Times New Roman" w:cs="Times New Roman"/>
              </w:rPr>
              <w:t xml:space="preserve"> </w:t>
            </w:r>
            <w:r w:rsidRPr="009B7D2E">
              <w:rPr>
                <w:rFonts w:ascii="Times New Roman" w:hAnsi="Times New Roman" w:cs="Times New Roman"/>
                <w:b/>
              </w:rPr>
              <w:t>265,4</w:t>
            </w:r>
          </w:p>
        </w:tc>
      </w:tr>
      <w:tr w:rsidR="009B7D2E" w:rsidRPr="009B7D2E" w14:paraId="729B9F0E" w14:textId="77777777" w:rsidTr="00C24DA4">
        <w:trPr>
          <w:trHeight w:val="143"/>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601F322"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3D92D0D"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 xml:space="preserve">Przeciętna miesięczna emerytura i renta brutto w zł </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DA2336D"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2</w:t>
            </w:r>
            <w:r w:rsidR="00783F5E" w:rsidRPr="009B7D2E">
              <w:rPr>
                <w:rFonts w:ascii="Times New Roman" w:hAnsi="Times New Roman" w:cs="Times New Roman"/>
              </w:rPr>
              <w:t xml:space="preserve"> </w:t>
            </w:r>
            <w:r w:rsidRPr="009B7D2E">
              <w:rPr>
                <w:rFonts w:ascii="Times New Roman" w:hAnsi="Times New Roman" w:cs="Times New Roman"/>
              </w:rPr>
              <w:t>062,43</w:t>
            </w:r>
          </w:p>
        </w:tc>
      </w:tr>
      <w:tr w:rsidR="009B7D2E" w:rsidRPr="009B7D2E" w14:paraId="2661A8CB" w14:textId="77777777" w:rsidTr="00C24DA4">
        <w:trPr>
          <w:trHeight w:val="143"/>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731E0B5"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F866D13"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Emerytury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3134C44"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194 817</w:t>
            </w:r>
          </w:p>
        </w:tc>
      </w:tr>
      <w:tr w:rsidR="009B7D2E" w:rsidRPr="009B7D2E" w14:paraId="25C87066" w14:textId="77777777" w:rsidTr="00C24DA4">
        <w:trPr>
          <w:trHeight w:val="142"/>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B95304B"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56A57BA"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Renty z tytułu niezdolności do pracy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BB47A67"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29 226  (osoby należące do różnych grup wiekowych)</w:t>
            </w:r>
          </w:p>
        </w:tc>
      </w:tr>
      <w:tr w:rsidR="009B7D2E" w:rsidRPr="009B7D2E" w14:paraId="19716685" w14:textId="77777777" w:rsidTr="00C24DA4">
        <w:trPr>
          <w:trHeight w:val="142"/>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58CCEA0"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5DF943C"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Renty rodzinne</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D469FE7"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41 347  (osoby należące do różnych grup wiekowych, w tym młodzież ucząca się)</w:t>
            </w:r>
          </w:p>
        </w:tc>
      </w:tr>
      <w:tr w:rsidR="009B7D2E" w:rsidRPr="009B7D2E" w14:paraId="458E51B2" w14:textId="77777777" w:rsidTr="00C24DA4">
        <w:trPr>
          <w:trHeight w:val="284"/>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E76AAB3"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97F5937" w14:textId="77777777" w:rsidR="00393951" w:rsidRPr="009B7D2E" w:rsidRDefault="00393951" w:rsidP="00C24DA4">
            <w:pPr>
              <w:tabs>
                <w:tab w:val="left" w:pos="1507"/>
                <w:tab w:val="center" w:pos="2363"/>
              </w:tabs>
              <w:spacing w:after="0" w:line="240" w:lineRule="auto"/>
              <w:jc w:val="center"/>
              <w:rPr>
                <w:rFonts w:ascii="Times New Roman" w:hAnsi="Times New Roman" w:cs="Times New Roman"/>
                <w:b/>
              </w:rPr>
            </w:pPr>
            <w:r w:rsidRPr="009B7D2E">
              <w:rPr>
                <w:rFonts w:ascii="Times New Roman" w:hAnsi="Times New Roman" w:cs="Times New Roman"/>
                <w:b/>
              </w:rPr>
              <w:t>KRUS</w:t>
            </w:r>
          </w:p>
        </w:tc>
      </w:tr>
      <w:tr w:rsidR="009B7D2E" w:rsidRPr="009B7D2E" w14:paraId="0B35F884" w14:textId="77777777" w:rsidTr="00C24DA4">
        <w:trPr>
          <w:trHeight w:val="81"/>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FE0F4C6"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41B4B55" w14:textId="77777777" w:rsidR="00393951" w:rsidRPr="009B7D2E" w:rsidRDefault="00393951" w:rsidP="00C24DA4">
            <w:pPr>
              <w:spacing w:after="0" w:line="240" w:lineRule="auto"/>
              <w:jc w:val="center"/>
              <w:rPr>
                <w:rFonts w:ascii="Times New Roman" w:hAnsi="Times New Roman" w:cs="Times New Roman"/>
                <w:b/>
              </w:rPr>
            </w:pPr>
            <w:r w:rsidRPr="009B7D2E">
              <w:rPr>
                <w:rFonts w:ascii="Times New Roman" w:hAnsi="Times New Roman" w:cs="Times New Roman"/>
                <w:b/>
              </w:rPr>
              <w:t>Rodzaj świadczenia</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6260260" w14:textId="77777777" w:rsidR="00393951" w:rsidRPr="009B7D2E" w:rsidRDefault="00393951" w:rsidP="00C24DA4">
            <w:pPr>
              <w:spacing w:after="0" w:line="240" w:lineRule="auto"/>
              <w:jc w:val="center"/>
              <w:rPr>
                <w:rFonts w:ascii="Times New Roman" w:hAnsi="Times New Roman" w:cs="Times New Roman"/>
                <w:b/>
              </w:rPr>
            </w:pPr>
            <w:r w:rsidRPr="009B7D2E">
              <w:rPr>
                <w:rFonts w:ascii="Times New Roman" w:hAnsi="Times New Roman" w:cs="Times New Roman"/>
                <w:b/>
              </w:rPr>
              <w:t xml:space="preserve">Przeciętna miesięczna liczba emerytów i rencistów (w tys.) </w:t>
            </w:r>
            <w:r w:rsidRPr="009B7D2E">
              <w:rPr>
                <w:rFonts w:ascii="Times New Roman" w:hAnsi="Times New Roman" w:cs="Times New Roman"/>
              </w:rPr>
              <w:t xml:space="preserve"> </w:t>
            </w:r>
            <w:r w:rsidRPr="009B7D2E">
              <w:rPr>
                <w:rFonts w:ascii="Times New Roman" w:hAnsi="Times New Roman" w:cs="Times New Roman"/>
                <w:b/>
              </w:rPr>
              <w:t>40,9</w:t>
            </w:r>
          </w:p>
        </w:tc>
      </w:tr>
      <w:tr w:rsidR="009B7D2E" w:rsidRPr="009B7D2E" w14:paraId="771A8BF4"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08B990D"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67B4AEE"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 xml:space="preserve">Przeciętna miesięczna emerytura i renta rolników  indywidualnych  brutto w zł                  </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2F68A0A"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1</w:t>
            </w:r>
            <w:r w:rsidR="00783F5E" w:rsidRPr="009B7D2E">
              <w:rPr>
                <w:rFonts w:ascii="Times New Roman" w:hAnsi="Times New Roman" w:cs="Times New Roman"/>
              </w:rPr>
              <w:t xml:space="preserve"> </w:t>
            </w:r>
            <w:r w:rsidRPr="009B7D2E">
              <w:rPr>
                <w:rFonts w:ascii="Times New Roman" w:hAnsi="Times New Roman" w:cs="Times New Roman"/>
              </w:rPr>
              <w:t>314,43</w:t>
            </w:r>
          </w:p>
        </w:tc>
      </w:tr>
      <w:tr w:rsidR="009B7D2E" w:rsidRPr="009B7D2E" w14:paraId="2C0C9AC2"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0780640"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94B3C5"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Emerytury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EC16356"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31,1</w:t>
            </w:r>
          </w:p>
        </w:tc>
      </w:tr>
      <w:tr w:rsidR="009B7D2E" w:rsidRPr="009B7D2E" w14:paraId="77EE4C10"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A99C702"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874A351"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Renty z tytułu niezdolności do pracy</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DAA438D"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7,7</w:t>
            </w:r>
          </w:p>
        </w:tc>
      </w:tr>
      <w:tr w:rsidR="009B7D2E" w:rsidRPr="009B7D2E" w14:paraId="01334407"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BE90BD5"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969"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677B456"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Renty rodzinne</w:t>
            </w:r>
          </w:p>
        </w:tc>
        <w:tc>
          <w:tcPr>
            <w:tcW w:w="7942" w:type="dxa"/>
            <w:gridSpan w:val="5"/>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94E056F"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1,9</w:t>
            </w:r>
          </w:p>
        </w:tc>
      </w:tr>
      <w:tr w:rsidR="009B7D2E" w:rsidRPr="009B7D2E" w14:paraId="7DDBAE30" w14:textId="77777777" w:rsidTr="00C24DA4">
        <w:trPr>
          <w:trHeight w:val="79"/>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6C565B6" w14:textId="77777777" w:rsidR="00393951" w:rsidRPr="00C24DA4" w:rsidRDefault="00393951" w:rsidP="00C24DA4">
            <w:pPr>
              <w:spacing w:after="0" w:line="240" w:lineRule="auto"/>
              <w:jc w:val="center"/>
              <w:rPr>
                <w:rFonts w:ascii="Times New Roman" w:hAnsi="Times New Roman" w:cs="Times New Roman"/>
                <w:b/>
                <w:bCs/>
              </w:rPr>
            </w:pPr>
            <w:r w:rsidRPr="00C24DA4">
              <w:rPr>
                <w:rFonts w:ascii="Times New Roman" w:hAnsi="Times New Roman" w:cs="Times New Roman"/>
                <w:b/>
                <w:bCs/>
              </w:rPr>
              <w:t>SYTUACJA DOCHODOWA, WARUNKI BYTU, W TYM WARUNKI MIESZKANIOWE – DANE ZA 2019 R,</w:t>
            </w:r>
          </w:p>
        </w:tc>
      </w:tr>
      <w:tr w:rsidR="009B7D2E" w:rsidRPr="009B7D2E" w14:paraId="4294CD28" w14:textId="77777777" w:rsidTr="00C24DA4">
        <w:trPr>
          <w:trHeight w:val="79"/>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FB6602F" w14:textId="77777777" w:rsidR="00393951" w:rsidRPr="009B7D2E" w:rsidRDefault="00393951" w:rsidP="009B7D2E">
            <w:pPr>
              <w:spacing w:after="0" w:line="240" w:lineRule="auto"/>
              <w:rPr>
                <w:rFonts w:ascii="Times New Roman" w:hAnsi="Times New Roman" w:cs="Times New Roman"/>
                <w:bCs/>
              </w:rPr>
            </w:pPr>
            <w:r w:rsidRPr="009B7D2E">
              <w:rPr>
                <w:rFonts w:ascii="Times New Roman" w:hAnsi="Times New Roman" w:cs="Times New Roman"/>
                <w:bCs/>
              </w:rPr>
              <w:t>Brak danych</w:t>
            </w:r>
          </w:p>
        </w:tc>
      </w:tr>
      <w:tr w:rsidR="009B7D2E" w:rsidRPr="009B7D2E" w14:paraId="50DE4A71" w14:textId="77777777" w:rsidTr="00C24DA4">
        <w:trPr>
          <w:trHeight w:val="79"/>
          <w:jc w:val="center"/>
        </w:trPr>
        <w:tc>
          <w:tcPr>
            <w:tcW w:w="14741" w:type="dxa"/>
            <w:gridSpan w:val="9"/>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18F4887" w14:textId="77777777" w:rsidR="00393951" w:rsidRPr="009B7D2E" w:rsidRDefault="00393951" w:rsidP="00C24DA4">
            <w:pPr>
              <w:spacing w:after="0" w:line="240" w:lineRule="auto"/>
              <w:jc w:val="center"/>
              <w:rPr>
                <w:rFonts w:ascii="Times New Roman" w:hAnsi="Times New Roman" w:cs="Times New Roman"/>
                <w:b/>
                <w:bCs/>
              </w:rPr>
            </w:pPr>
            <w:r w:rsidRPr="009B7D2E">
              <w:rPr>
                <w:rFonts w:ascii="Times New Roman" w:hAnsi="Times New Roman" w:cs="Times New Roman"/>
                <w:b/>
                <w:bCs/>
              </w:rPr>
              <w:t>USŁUGI SPOŁECZNE DLA OSÓB STARSZYCH / INFRASTRUKTURA POMOCY SPOLECZNEJ – DANE ZA 2019 R.</w:t>
            </w:r>
          </w:p>
        </w:tc>
      </w:tr>
      <w:tr w:rsidR="009B7D2E" w:rsidRPr="009B7D2E" w14:paraId="68AD16C0" w14:textId="77777777" w:rsidTr="00C24DA4">
        <w:trPr>
          <w:trHeight w:val="79"/>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ADAC45D" w14:textId="77777777" w:rsidR="00393951" w:rsidRPr="009B7D2E" w:rsidRDefault="00393951" w:rsidP="009B7D2E">
            <w:pPr>
              <w:spacing w:after="0" w:line="240" w:lineRule="auto"/>
              <w:rPr>
                <w:rFonts w:ascii="Times New Roman" w:eastAsia="Times New Roman" w:hAnsi="Times New Roman" w:cs="Times New Roman"/>
                <w:b/>
                <w:bCs/>
                <w:lang w:eastAsia="pl-PL"/>
              </w:rPr>
            </w:pPr>
            <w:r w:rsidRPr="009B7D2E">
              <w:rPr>
                <w:rFonts w:ascii="Times New Roman" w:eastAsia="Times New Roman" w:hAnsi="Times New Roman" w:cs="Times New Roman"/>
                <w:b/>
                <w:bCs/>
                <w:lang w:eastAsia="pl-PL"/>
              </w:rPr>
              <w:t>Instytucje pomocy społecznej, w tym:</w:t>
            </w: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5AC1288" w14:textId="77777777" w:rsidR="00393951" w:rsidRPr="009B7D2E" w:rsidRDefault="00393951" w:rsidP="00C24DA4">
            <w:pPr>
              <w:spacing w:after="0" w:line="240" w:lineRule="auto"/>
              <w:jc w:val="center"/>
              <w:rPr>
                <w:rFonts w:ascii="Times New Roman" w:hAnsi="Times New Roman" w:cs="Times New Roman"/>
                <w:b/>
                <w:bCs/>
              </w:rPr>
            </w:pPr>
            <w:r w:rsidRPr="009B7D2E">
              <w:rPr>
                <w:rFonts w:ascii="Times New Roman" w:hAnsi="Times New Roman" w:cs="Times New Roman"/>
                <w:b/>
              </w:rPr>
              <w:t>Rodzaj placówki</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54FB0DE" w14:textId="77777777" w:rsidR="00393951" w:rsidRPr="009B7D2E" w:rsidRDefault="00393951" w:rsidP="00C24DA4">
            <w:pPr>
              <w:spacing w:after="0" w:line="240" w:lineRule="auto"/>
              <w:jc w:val="center"/>
              <w:rPr>
                <w:rFonts w:ascii="Times New Roman" w:hAnsi="Times New Roman" w:cs="Times New Roman"/>
                <w:b/>
                <w:bCs/>
              </w:rPr>
            </w:pPr>
            <w:r w:rsidRPr="009B7D2E">
              <w:rPr>
                <w:rFonts w:ascii="Times New Roman" w:hAnsi="Times New Roman" w:cs="Times New Roman"/>
                <w:b/>
              </w:rPr>
              <w:t>Liczba placówek</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D40F6BB" w14:textId="77777777" w:rsidR="00393951" w:rsidRPr="009B7D2E" w:rsidRDefault="00393951" w:rsidP="00C24DA4">
            <w:pPr>
              <w:spacing w:after="0" w:line="240" w:lineRule="auto"/>
              <w:jc w:val="center"/>
              <w:rPr>
                <w:rFonts w:ascii="Times New Roman" w:hAnsi="Times New Roman" w:cs="Times New Roman"/>
                <w:b/>
                <w:bCs/>
              </w:rPr>
            </w:pPr>
            <w:r w:rsidRPr="009B7D2E">
              <w:rPr>
                <w:rFonts w:ascii="Times New Roman" w:hAnsi="Times New Roman" w:cs="Times New Roman"/>
                <w:b/>
              </w:rPr>
              <w:t>Liczba miejsc dla osób starszych</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0466C14" w14:textId="77777777" w:rsidR="00393951" w:rsidRPr="009B7D2E" w:rsidRDefault="00393951" w:rsidP="00C24DA4">
            <w:pPr>
              <w:spacing w:after="0" w:line="240" w:lineRule="auto"/>
              <w:jc w:val="center"/>
              <w:rPr>
                <w:rFonts w:ascii="Times New Roman" w:hAnsi="Times New Roman" w:cs="Times New Roman"/>
                <w:b/>
              </w:rPr>
            </w:pPr>
            <w:r w:rsidRPr="009B7D2E">
              <w:rPr>
                <w:rFonts w:ascii="Times New Roman" w:hAnsi="Times New Roman" w:cs="Times New Roman"/>
                <w:b/>
              </w:rPr>
              <w:t>Liczba korzystających osób starszych</w:t>
            </w:r>
          </w:p>
        </w:tc>
      </w:tr>
      <w:tr w:rsidR="009B7D2E" w:rsidRPr="009B7D2E" w14:paraId="14AF8B49" w14:textId="77777777" w:rsidTr="009B7D2E">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534EBBA2"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0E8127AC"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Ośrodki wsparcia ogółem</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0BDBA198"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323</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03D2E8DD"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2 708</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4D3C12F1"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3</w:t>
            </w:r>
            <w:r w:rsidR="00783F5E" w:rsidRPr="00C24DA4">
              <w:rPr>
                <w:rFonts w:ascii="Times New Roman" w:hAnsi="Times New Roman" w:cs="Times New Roman"/>
              </w:rPr>
              <w:t xml:space="preserve"> </w:t>
            </w:r>
            <w:r w:rsidRPr="00C24DA4">
              <w:rPr>
                <w:rFonts w:ascii="Times New Roman" w:hAnsi="Times New Roman" w:cs="Times New Roman"/>
              </w:rPr>
              <w:t>046</w:t>
            </w:r>
          </w:p>
        </w:tc>
      </w:tr>
      <w:tr w:rsidR="009B7D2E" w:rsidRPr="009B7D2E" w14:paraId="63763D51"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2D7F19EE"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01291F6" w14:textId="77777777" w:rsidR="00393951" w:rsidRPr="009B7D2E" w:rsidRDefault="00393951" w:rsidP="009B7D2E">
            <w:pPr>
              <w:spacing w:after="0" w:line="240" w:lineRule="auto"/>
              <w:rPr>
                <w:rFonts w:ascii="Times New Roman" w:hAnsi="Times New Roman" w:cs="Times New Roman"/>
                <w:b/>
              </w:rPr>
            </w:pPr>
            <w:r w:rsidRPr="009B7D2E">
              <w:rPr>
                <w:rFonts w:ascii="Times New Roman" w:hAnsi="Times New Roman" w:cs="Times New Roman"/>
              </w:rPr>
              <w:t>w tym:</w:t>
            </w:r>
          </w:p>
        </w:tc>
      </w:tr>
      <w:tr w:rsidR="009B7D2E" w:rsidRPr="009B7D2E" w14:paraId="0E9E6E6B"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4A1B3A0C"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18EBBDF"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Środowiskowe Domy Samopomocy</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BCA27DD"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70</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5681890"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1</w:t>
            </w:r>
            <w:r w:rsidR="00783F5E" w:rsidRPr="00C24DA4">
              <w:rPr>
                <w:rFonts w:ascii="Times New Roman" w:hAnsi="Times New Roman" w:cs="Times New Roman"/>
              </w:rPr>
              <w:t xml:space="preserve"> </w:t>
            </w:r>
            <w:r w:rsidRPr="00C24DA4">
              <w:rPr>
                <w:rFonts w:ascii="Times New Roman" w:hAnsi="Times New Roman" w:cs="Times New Roman"/>
              </w:rPr>
              <w:t>974</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5830689"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1</w:t>
            </w:r>
            <w:r w:rsidR="00783F5E" w:rsidRPr="00C24DA4">
              <w:rPr>
                <w:rFonts w:ascii="Times New Roman" w:hAnsi="Times New Roman" w:cs="Times New Roman"/>
              </w:rPr>
              <w:t xml:space="preserve"> </w:t>
            </w:r>
            <w:r w:rsidRPr="00C24DA4">
              <w:rPr>
                <w:rFonts w:ascii="Times New Roman" w:hAnsi="Times New Roman" w:cs="Times New Roman"/>
              </w:rPr>
              <w:t>958</w:t>
            </w:r>
          </w:p>
        </w:tc>
      </w:tr>
      <w:tr w:rsidR="009B7D2E" w:rsidRPr="009B7D2E" w14:paraId="63BFAA33"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6EFEBEA2"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DE43CCB"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Dzienne Domy Pomocy</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7FD1FF8"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15</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4C06055"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512</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33C84CE"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728</w:t>
            </w:r>
          </w:p>
        </w:tc>
      </w:tr>
      <w:tr w:rsidR="009B7D2E" w:rsidRPr="009B7D2E" w14:paraId="5A0BB01E"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4AF15EC9"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8CE3351"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Noclegownie, schroniska i domy dla osób bezdomnych</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9936C4B"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18</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7AE1FC2"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267</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E053D40"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306</w:t>
            </w:r>
          </w:p>
        </w:tc>
      </w:tr>
      <w:tr w:rsidR="009B7D2E" w:rsidRPr="009B7D2E" w14:paraId="685B748C"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0D705015"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8BCFFA9"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Ogrzewalnie</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5A8BB8D"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3</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5300329"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0</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DF62E4E"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2</w:t>
            </w:r>
          </w:p>
        </w:tc>
      </w:tr>
      <w:tr w:rsidR="009B7D2E" w:rsidRPr="009B7D2E" w14:paraId="58704AAE"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179315C6"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0B70A86"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Kluby Samopomocy</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91B75FF"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13</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D8A7DC4"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30</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507D482"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32</w:t>
            </w:r>
          </w:p>
        </w:tc>
      </w:tr>
      <w:tr w:rsidR="009B7D2E" w:rsidRPr="009B7D2E" w14:paraId="196E6D41"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66EDCBAD"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BAB9D37"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Placówki zapewniające całodobową opiekę osobom niepełnosprawnym, przewlekle chorym lub osobom w podeszłym wieku</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1BB1A01"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21</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1E155BB"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373</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CA2B7B5"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564</w:t>
            </w:r>
          </w:p>
        </w:tc>
      </w:tr>
      <w:tr w:rsidR="009B7D2E" w:rsidRPr="009B7D2E" w14:paraId="7B5E5BF3"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3C620991"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815C6EF"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Domy Pomocy Społecznej</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67D8EB3"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51</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9D834A1"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1</w:t>
            </w:r>
            <w:r w:rsidR="00783F5E" w:rsidRPr="00C24DA4">
              <w:rPr>
                <w:rFonts w:ascii="Times New Roman" w:hAnsi="Times New Roman" w:cs="Times New Roman"/>
              </w:rPr>
              <w:t xml:space="preserve"> </w:t>
            </w:r>
            <w:r w:rsidRPr="00C24DA4">
              <w:rPr>
                <w:rFonts w:ascii="Times New Roman" w:hAnsi="Times New Roman" w:cs="Times New Roman"/>
              </w:rPr>
              <w:t>868</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667E8E5"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1</w:t>
            </w:r>
            <w:r w:rsidR="00783F5E" w:rsidRPr="00C24DA4">
              <w:rPr>
                <w:rFonts w:ascii="Times New Roman" w:hAnsi="Times New Roman" w:cs="Times New Roman"/>
              </w:rPr>
              <w:t xml:space="preserve"> </w:t>
            </w:r>
            <w:r w:rsidRPr="00C24DA4">
              <w:rPr>
                <w:rFonts w:ascii="Times New Roman" w:hAnsi="Times New Roman" w:cs="Times New Roman"/>
              </w:rPr>
              <w:t>979</w:t>
            </w:r>
          </w:p>
        </w:tc>
      </w:tr>
      <w:tr w:rsidR="009B7D2E" w:rsidRPr="009B7D2E" w14:paraId="14419366"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6DFA7368"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C2A5FFB"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Mieszkania chronione ogółem</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0B0FC1F"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72</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0C5063B"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99</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18CDE87"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40</w:t>
            </w:r>
          </w:p>
        </w:tc>
      </w:tr>
      <w:tr w:rsidR="009B7D2E" w:rsidRPr="009B7D2E" w14:paraId="573AE9FE"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32C065EE"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A133172"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Ośrodki Interwencji Kryzysowej ogółem</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D5C934D"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8</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38BF1F7"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14</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ACE4BB2"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4</w:t>
            </w:r>
          </w:p>
        </w:tc>
      </w:tr>
      <w:tr w:rsidR="009B7D2E" w:rsidRPr="009B7D2E" w14:paraId="0E5432E1"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0A2F98B5"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F020CA7"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Jednostki specjalistycznego poradnictwa</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CAC45A5"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11</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7F8C91F"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90</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E487F9C"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349</w:t>
            </w:r>
          </w:p>
        </w:tc>
      </w:tr>
      <w:tr w:rsidR="009B7D2E" w:rsidRPr="009B7D2E" w14:paraId="5BADE9D0"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765FECE7"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91058D8"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Placówki Senior+, w tym:</w:t>
            </w:r>
          </w:p>
        </w:tc>
        <w:tc>
          <w:tcPr>
            <w:tcW w:w="8845" w:type="dxa"/>
            <w:gridSpan w:val="7"/>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32D4B48"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41</w:t>
            </w:r>
          </w:p>
        </w:tc>
      </w:tr>
      <w:tr w:rsidR="009B7D2E" w:rsidRPr="009B7D2E" w14:paraId="4B18B134"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39EFB68A"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C3AAE24"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Domy Dziennego Pobytu</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2376509"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12</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22BC877"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338</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4B62791"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412</w:t>
            </w:r>
          </w:p>
        </w:tc>
      </w:tr>
      <w:tr w:rsidR="009B7D2E" w:rsidRPr="009B7D2E" w14:paraId="77F19EA2" w14:textId="77777777" w:rsidTr="00C24DA4">
        <w:trPr>
          <w:trHeight w:val="85"/>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EEAF6"/>
          </w:tcPr>
          <w:p w14:paraId="0D52F554"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29A5E66"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Kluby Senior+</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7244273"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29</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51615FD"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593</w:t>
            </w: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B564714"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406</w:t>
            </w:r>
          </w:p>
        </w:tc>
      </w:tr>
      <w:tr w:rsidR="009B7D2E" w:rsidRPr="009B7D2E" w14:paraId="6B7F0AF9" w14:textId="77777777" w:rsidTr="00C24DA4">
        <w:trPr>
          <w:trHeight w:val="79"/>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auto"/>
          </w:tcPr>
          <w:p w14:paraId="0B5F9AED"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066"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DC72321"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Hospicja stacjonarne</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B9B8933"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2</w:t>
            </w:r>
          </w:p>
        </w:tc>
        <w:tc>
          <w:tcPr>
            <w:tcW w:w="2948"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8EB25B1" w14:textId="77777777" w:rsidR="00393951" w:rsidRPr="00C24DA4" w:rsidRDefault="00393951" w:rsidP="00C24DA4">
            <w:pPr>
              <w:spacing w:after="0" w:line="240" w:lineRule="auto"/>
              <w:jc w:val="center"/>
              <w:rPr>
                <w:rFonts w:ascii="Times New Roman" w:hAnsi="Times New Roman" w:cs="Times New Roman"/>
              </w:rPr>
            </w:pPr>
          </w:p>
        </w:tc>
        <w:tc>
          <w:tcPr>
            <w:tcW w:w="2949"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011F209" w14:textId="77777777" w:rsidR="00393951" w:rsidRPr="00C24DA4" w:rsidRDefault="00393951" w:rsidP="00C24DA4">
            <w:pPr>
              <w:spacing w:after="0" w:line="240" w:lineRule="auto"/>
              <w:jc w:val="center"/>
              <w:rPr>
                <w:rFonts w:ascii="Times New Roman" w:hAnsi="Times New Roman" w:cs="Times New Roman"/>
              </w:rPr>
            </w:pPr>
            <w:r w:rsidRPr="00C24DA4">
              <w:rPr>
                <w:rFonts w:ascii="Times New Roman" w:hAnsi="Times New Roman" w:cs="Times New Roman"/>
              </w:rPr>
              <w:t>222</w:t>
            </w:r>
          </w:p>
        </w:tc>
      </w:tr>
      <w:tr w:rsidR="009B7D2E" w:rsidRPr="009B7D2E" w14:paraId="2FC738A5" w14:textId="77777777" w:rsidTr="00C24DA4">
        <w:trPr>
          <w:trHeight w:val="119"/>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3D4EC25" w14:textId="77777777" w:rsidR="00393951" w:rsidRPr="009B7D2E" w:rsidRDefault="00393951" w:rsidP="009B7D2E">
            <w:pPr>
              <w:spacing w:after="0" w:line="240" w:lineRule="auto"/>
              <w:rPr>
                <w:rFonts w:ascii="Times New Roman" w:eastAsia="Times New Roman" w:hAnsi="Times New Roman" w:cs="Times New Roman"/>
                <w:b/>
                <w:bCs/>
                <w:lang w:eastAsia="pl-PL"/>
              </w:rPr>
            </w:pPr>
            <w:r w:rsidRPr="009B7D2E">
              <w:rPr>
                <w:rFonts w:ascii="Times New Roman" w:eastAsia="Times New Roman" w:hAnsi="Times New Roman" w:cs="Times New Roman"/>
                <w:b/>
                <w:bCs/>
                <w:lang w:eastAsia="pl-PL"/>
              </w:rPr>
              <w:t>Usługi świadczone osobom starszym</w:t>
            </w: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A73FA52" w14:textId="77777777" w:rsidR="00393951" w:rsidRPr="009B7D2E" w:rsidRDefault="00393951" w:rsidP="00C24DA4">
            <w:pPr>
              <w:spacing w:after="0" w:line="240" w:lineRule="auto"/>
              <w:jc w:val="center"/>
              <w:rPr>
                <w:rFonts w:ascii="Times New Roman" w:hAnsi="Times New Roman" w:cs="Times New Roman"/>
                <w:b/>
              </w:rPr>
            </w:pPr>
            <w:r w:rsidRPr="009B7D2E">
              <w:rPr>
                <w:rFonts w:ascii="Times New Roman" w:hAnsi="Times New Roman" w:cs="Times New Roman"/>
                <w:b/>
              </w:rPr>
              <w:t>Rodzaj usług</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6E56DC13" w14:textId="77777777" w:rsidR="00393951" w:rsidRPr="009B7D2E" w:rsidRDefault="00393951" w:rsidP="00C24DA4">
            <w:pPr>
              <w:spacing w:after="0" w:line="240" w:lineRule="auto"/>
              <w:jc w:val="center"/>
              <w:rPr>
                <w:rFonts w:ascii="Times New Roman" w:hAnsi="Times New Roman" w:cs="Times New Roman"/>
                <w:b/>
              </w:rPr>
            </w:pPr>
            <w:r w:rsidRPr="009B7D2E">
              <w:rPr>
                <w:rFonts w:ascii="Times New Roman" w:hAnsi="Times New Roman" w:cs="Times New Roman"/>
                <w:b/>
              </w:rPr>
              <w:t>Liczba osób starszych objętych pomocą</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545BF43" w14:textId="77777777" w:rsidR="00393951" w:rsidRPr="009B7D2E" w:rsidRDefault="00393951" w:rsidP="00C24DA4">
            <w:pPr>
              <w:spacing w:after="0" w:line="240" w:lineRule="auto"/>
              <w:jc w:val="center"/>
              <w:rPr>
                <w:rFonts w:ascii="Times New Roman" w:hAnsi="Times New Roman" w:cs="Times New Roman"/>
                <w:b/>
              </w:rPr>
            </w:pPr>
            <w:r w:rsidRPr="009B7D2E">
              <w:rPr>
                <w:rFonts w:ascii="Times New Roman" w:hAnsi="Times New Roman" w:cs="Times New Roman"/>
                <w:b/>
              </w:rPr>
              <w:t>Wysokość środków przeznaczonych na usługi</w:t>
            </w:r>
          </w:p>
        </w:tc>
      </w:tr>
      <w:tr w:rsidR="009B7D2E" w:rsidRPr="009B7D2E" w14:paraId="22E3EEBE" w14:textId="77777777" w:rsidTr="00C24DA4">
        <w:trPr>
          <w:trHeight w:val="118"/>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8D4DA7A"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8CE2733" w14:textId="6F42FAB1" w:rsidR="00393951" w:rsidRPr="009B7D2E" w:rsidRDefault="00553257" w:rsidP="009B7D2E">
            <w:pPr>
              <w:spacing w:after="0" w:line="240" w:lineRule="auto"/>
              <w:rPr>
                <w:rFonts w:ascii="Times New Roman" w:hAnsi="Times New Roman" w:cs="Times New Roman"/>
              </w:rPr>
            </w:pPr>
            <w:r>
              <w:rPr>
                <w:rFonts w:ascii="Times New Roman" w:hAnsi="Times New Roman" w:cs="Times New Roman"/>
              </w:rPr>
              <w:t>Usługi o</w:t>
            </w:r>
            <w:r w:rsidR="00393951" w:rsidRPr="009B7D2E">
              <w:rPr>
                <w:rFonts w:ascii="Times New Roman" w:hAnsi="Times New Roman" w:cs="Times New Roman"/>
              </w:rPr>
              <w:t>piekuńcze ogółem</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7C2C829"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5</w:t>
            </w:r>
            <w:r w:rsidR="00783F5E" w:rsidRPr="009B7D2E">
              <w:rPr>
                <w:rFonts w:ascii="Times New Roman" w:hAnsi="Times New Roman" w:cs="Times New Roman"/>
              </w:rPr>
              <w:t xml:space="preserve"> </w:t>
            </w:r>
            <w:r w:rsidRPr="009B7D2E">
              <w:rPr>
                <w:rFonts w:ascii="Times New Roman" w:hAnsi="Times New Roman" w:cs="Times New Roman"/>
              </w:rPr>
              <w:t>762</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685B7AC"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4</w:t>
            </w:r>
            <w:r w:rsidR="00783F5E" w:rsidRPr="009B7D2E">
              <w:rPr>
                <w:rFonts w:ascii="Times New Roman" w:hAnsi="Times New Roman" w:cs="Times New Roman"/>
              </w:rPr>
              <w:t xml:space="preserve"> </w:t>
            </w:r>
            <w:r w:rsidRPr="009B7D2E">
              <w:rPr>
                <w:rFonts w:ascii="Times New Roman" w:hAnsi="Times New Roman" w:cs="Times New Roman"/>
              </w:rPr>
              <w:t>0926</w:t>
            </w:r>
            <w:r w:rsidR="00783F5E" w:rsidRPr="009B7D2E">
              <w:rPr>
                <w:rFonts w:ascii="Times New Roman" w:hAnsi="Times New Roman" w:cs="Times New Roman"/>
              </w:rPr>
              <w:t xml:space="preserve"> </w:t>
            </w:r>
            <w:r w:rsidRPr="009B7D2E">
              <w:rPr>
                <w:rFonts w:ascii="Times New Roman" w:hAnsi="Times New Roman" w:cs="Times New Roman"/>
              </w:rPr>
              <w:t>088</w:t>
            </w:r>
          </w:p>
        </w:tc>
      </w:tr>
      <w:tr w:rsidR="00C24DA4" w:rsidRPr="009B7D2E" w14:paraId="79053392" w14:textId="77777777" w:rsidTr="00C24DA4">
        <w:trPr>
          <w:trHeight w:val="118"/>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D4ABDC7" w14:textId="77777777" w:rsidR="00C24DA4" w:rsidRPr="009B7D2E" w:rsidRDefault="00C24DA4" w:rsidP="009B7D2E">
            <w:pPr>
              <w:spacing w:after="0" w:line="240" w:lineRule="auto"/>
              <w:rPr>
                <w:rFonts w:ascii="Times New Roman" w:eastAsia="Times New Roman" w:hAnsi="Times New Roman" w:cs="Times New Roman"/>
                <w:b/>
                <w:bCs/>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75F2B19" w14:textId="77777777" w:rsidR="00C24DA4" w:rsidRPr="009B7D2E" w:rsidRDefault="00C24DA4" w:rsidP="009B7D2E">
            <w:pPr>
              <w:spacing w:after="0" w:line="240" w:lineRule="auto"/>
              <w:rPr>
                <w:rFonts w:ascii="Times New Roman" w:hAnsi="Times New Roman" w:cs="Times New Roman"/>
              </w:rPr>
            </w:pPr>
            <w:r w:rsidRPr="009B7D2E">
              <w:rPr>
                <w:rFonts w:ascii="Times New Roman" w:hAnsi="Times New Roman" w:cs="Times New Roman"/>
              </w:rPr>
              <w:t>w tym:</w:t>
            </w:r>
          </w:p>
        </w:tc>
      </w:tr>
      <w:tr w:rsidR="009B7D2E" w:rsidRPr="009B7D2E" w14:paraId="437EE1EA" w14:textId="77777777" w:rsidTr="00C24DA4">
        <w:trPr>
          <w:trHeight w:val="118"/>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79871E8"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E56B384" w14:textId="3875BB76" w:rsidR="00393951" w:rsidRPr="009B7D2E" w:rsidRDefault="00553257" w:rsidP="009B7D2E">
            <w:pPr>
              <w:spacing w:after="0" w:line="240" w:lineRule="auto"/>
              <w:rPr>
                <w:rFonts w:ascii="Times New Roman" w:hAnsi="Times New Roman" w:cs="Times New Roman"/>
              </w:rPr>
            </w:pPr>
            <w:r>
              <w:rPr>
                <w:rFonts w:ascii="Times New Roman" w:hAnsi="Times New Roman" w:cs="Times New Roman"/>
              </w:rPr>
              <w:t>s</w:t>
            </w:r>
            <w:r w:rsidR="00393951" w:rsidRPr="009B7D2E">
              <w:rPr>
                <w:rFonts w:ascii="Times New Roman" w:hAnsi="Times New Roman" w:cs="Times New Roman"/>
              </w:rPr>
              <w:t xml:space="preserve">pecjalistyczne </w:t>
            </w:r>
            <w:r>
              <w:rPr>
                <w:rFonts w:ascii="Times New Roman" w:hAnsi="Times New Roman" w:cs="Times New Roman"/>
              </w:rPr>
              <w:t xml:space="preserve">usługi </w:t>
            </w:r>
            <w:r w:rsidR="00393951" w:rsidRPr="009B7D2E">
              <w:rPr>
                <w:rFonts w:ascii="Times New Roman" w:hAnsi="Times New Roman" w:cs="Times New Roman"/>
              </w:rPr>
              <w:t>opiekuńcze</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F318773"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52</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A261EF8"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540</w:t>
            </w:r>
            <w:r w:rsidR="00783F5E" w:rsidRPr="009B7D2E">
              <w:rPr>
                <w:rFonts w:ascii="Times New Roman" w:hAnsi="Times New Roman" w:cs="Times New Roman"/>
              </w:rPr>
              <w:t xml:space="preserve"> </w:t>
            </w:r>
            <w:r w:rsidRPr="009B7D2E">
              <w:rPr>
                <w:rFonts w:ascii="Times New Roman" w:hAnsi="Times New Roman" w:cs="Times New Roman"/>
              </w:rPr>
              <w:t>964</w:t>
            </w:r>
          </w:p>
        </w:tc>
      </w:tr>
      <w:tr w:rsidR="009B7D2E" w:rsidRPr="009B7D2E" w14:paraId="56E6E835" w14:textId="77777777" w:rsidTr="00C24DA4">
        <w:trPr>
          <w:trHeight w:val="284"/>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5ADB555"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4126A3A" w14:textId="5B92EC9C" w:rsidR="00393951" w:rsidRPr="009B7D2E" w:rsidRDefault="00553257" w:rsidP="009B7D2E">
            <w:pPr>
              <w:spacing w:after="0" w:line="240" w:lineRule="auto"/>
              <w:rPr>
                <w:rFonts w:ascii="Times New Roman" w:hAnsi="Times New Roman" w:cs="Times New Roman"/>
              </w:rPr>
            </w:pPr>
            <w:r>
              <w:rPr>
                <w:rFonts w:ascii="Times New Roman" w:hAnsi="Times New Roman" w:cs="Times New Roman"/>
              </w:rPr>
              <w:t>s</w:t>
            </w:r>
            <w:r w:rsidR="00393951" w:rsidRPr="009B7D2E">
              <w:rPr>
                <w:rFonts w:ascii="Times New Roman" w:hAnsi="Times New Roman" w:cs="Times New Roman"/>
              </w:rPr>
              <w:t>pecjalistyczne usługi</w:t>
            </w:r>
            <w:r>
              <w:rPr>
                <w:rFonts w:ascii="Times New Roman" w:hAnsi="Times New Roman" w:cs="Times New Roman"/>
              </w:rPr>
              <w:t xml:space="preserve"> opiekuńcze w miejscu zamieszkania</w:t>
            </w:r>
            <w:r w:rsidR="00393951" w:rsidRPr="009B7D2E">
              <w:rPr>
                <w:rFonts w:ascii="Times New Roman" w:hAnsi="Times New Roman" w:cs="Times New Roman"/>
              </w:rPr>
              <w:t xml:space="preserve"> dla osób z zaburzeniami psychicznymi</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181FFB8"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334</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233C2F14"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3</w:t>
            </w:r>
            <w:r w:rsidR="00783F5E" w:rsidRPr="009B7D2E">
              <w:rPr>
                <w:rFonts w:ascii="Times New Roman" w:hAnsi="Times New Roman" w:cs="Times New Roman"/>
              </w:rPr>
              <w:t xml:space="preserve"> </w:t>
            </w:r>
            <w:r w:rsidRPr="009B7D2E">
              <w:rPr>
                <w:rFonts w:ascii="Times New Roman" w:hAnsi="Times New Roman" w:cs="Times New Roman"/>
              </w:rPr>
              <w:t>758</w:t>
            </w:r>
            <w:r w:rsidR="00783F5E" w:rsidRPr="009B7D2E">
              <w:rPr>
                <w:rFonts w:ascii="Times New Roman" w:hAnsi="Times New Roman" w:cs="Times New Roman"/>
              </w:rPr>
              <w:t xml:space="preserve"> </w:t>
            </w:r>
            <w:r w:rsidRPr="009B7D2E">
              <w:rPr>
                <w:rFonts w:ascii="Times New Roman" w:hAnsi="Times New Roman" w:cs="Times New Roman"/>
              </w:rPr>
              <w:t>656</w:t>
            </w:r>
          </w:p>
        </w:tc>
      </w:tr>
      <w:tr w:rsidR="009B7D2E" w:rsidRPr="009B7D2E" w14:paraId="756330C1" w14:textId="77777777" w:rsidTr="00C24DA4">
        <w:trPr>
          <w:trHeight w:val="194"/>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3672034" w14:textId="77777777" w:rsidR="00393951" w:rsidRPr="009B7D2E" w:rsidRDefault="00393951" w:rsidP="009B7D2E">
            <w:pPr>
              <w:spacing w:after="0" w:line="240" w:lineRule="auto"/>
              <w:rPr>
                <w:rFonts w:ascii="Times New Roman" w:eastAsia="Times New Roman" w:hAnsi="Times New Roman" w:cs="Times New Roman"/>
                <w:b/>
                <w:bCs/>
                <w:lang w:eastAsia="pl-PL"/>
              </w:rPr>
            </w:pPr>
            <w:r w:rsidRPr="009B7D2E">
              <w:rPr>
                <w:rFonts w:ascii="Times New Roman" w:eastAsia="Times New Roman" w:hAnsi="Times New Roman" w:cs="Times New Roman"/>
                <w:b/>
                <w:bCs/>
                <w:lang w:eastAsia="pl-PL"/>
              </w:rPr>
              <w:t>Świadczenia pieniężne przyznane osobom starszym</w:t>
            </w: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564B5AC2" w14:textId="77777777" w:rsidR="00393951" w:rsidRPr="009B7D2E" w:rsidRDefault="00393951" w:rsidP="00C24DA4">
            <w:pPr>
              <w:spacing w:after="0" w:line="240" w:lineRule="auto"/>
              <w:jc w:val="center"/>
              <w:rPr>
                <w:rFonts w:ascii="Times New Roman" w:hAnsi="Times New Roman" w:cs="Times New Roman"/>
                <w:b/>
              </w:rPr>
            </w:pPr>
            <w:r w:rsidRPr="009B7D2E">
              <w:rPr>
                <w:rFonts w:ascii="Times New Roman" w:hAnsi="Times New Roman" w:cs="Times New Roman"/>
                <w:b/>
              </w:rPr>
              <w:t>Nazwa świadczenia</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3E5A5A9" w14:textId="77777777" w:rsidR="00393951" w:rsidRPr="009B7D2E" w:rsidRDefault="00393951" w:rsidP="00C24DA4">
            <w:pPr>
              <w:spacing w:after="0" w:line="240" w:lineRule="auto"/>
              <w:jc w:val="center"/>
              <w:rPr>
                <w:rFonts w:ascii="Times New Roman" w:hAnsi="Times New Roman" w:cs="Times New Roman"/>
                <w:b/>
              </w:rPr>
            </w:pPr>
            <w:r w:rsidRPr="009B7D2E">
              <w:rPr>
                <w:rFonts w:ascii="Times New Roman" w:hAnsi="Times New Roman" w:cs="Times New Roman"/>
                <w:b/>
              </w:rPr>
              <w:t>Liczba osób starszych</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C110E6D" w14:textId="77777777" w:rsidR="00393951" w:rsidRPr="009B7D2E" w:rsidRDefault="00393951" w:rsidP="00C24DA4">
            <w:pPr>
              <w:spacing w:after="0" w:line="240" w:lineRule="auto"/>
              <w:jc w:val="center"/>
              <w:rPr>
                <w:rFonts w:ascii="Times New Roman" w:hAnsi="Times New Roman" w:cs="Times New Roman"/>
                <w:b/>
              </w:rPr>
            </w:pPr>
            <w:r w:rsidRPr="009B7D2E">
              <w:rPr>
                <w:rFonts w:ascii="Times New Roman" w:hAnsi="Times New Roman" w:cs="Times New Roman"/>
                <w:b/>
              </w:rPr>
              <w:t>Kwota świadczenia</w:t>
            </w:r>
          </w:p>
        </w:tc>
      </w:tr>
      <w:tr w:rsidR="009B7D2E" w:rsidRPr="009B7D2E" w14:paraId="7A0065CF" w14:textId="77777777" w:rsidTr="00C24DA4">
        <w:trPr>
          <w:trHeight w:val="19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9524F0D"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5AF9823"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Zasiłek stały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C6C5EA5"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2</w:t>
            </w:r>
            <w:r w:rsidR="00783F5E" w:rsidRPr="009B7D2E">
              <w:rPr>
                <w:rFonts w:ascii="Times New Roman" w:hAnsi="Times New Roman" w:cs="Times New Roman"/>
              </w:rPr>
              <w:t xml:space="preserve"> </w:t>
            </w:r>
            <w:r w:rsidRPr="009B7D2E">
              <w:rPr>
                <w:rFonts w:ascii="Times New Roman" w:hAnsi="Times New Roman" w:cs="Times New Roman"/>
              </w:rPr>
              <w:t>996</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047790F3"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15</w:t>
            </w:r>
            <w:r w:rsidR="00783F5E" w:rsidRPr="009B7D2E">
              <w:rPr>
                <w:rFonts w:ascii="Times New Roman" w:hAnsi="Times New Roman" w:cs="Times New Roman"/>
              </w:rPr>
              <w:t xml:space="preserve"> </w:t>
            </w:r>
            <w:r w:rsidRPr="009B7D2E">
              <w:rPr>
                <w:rFonts w:ascii="Times New Roman" w:hAnsi="Times New Roman" w:cs="Times New Roman"/>
              </w:rPr>
              <w:t>662</w:t>
            </w:r>
            <w:r w:rsidR="00783F5E" w:rsidRPr="009B7D2E">
              <w:rPr>
                <w:rFonts w:ascii="Times New Roman" w:hAnsi="Times New Roman" w:cs="Times New Roman"/>
              </w:rPr>
              <w:t xml:space="preserve"> </w:t>
            </w:r>
            <w:r w:rsidRPr="009B7D2E">
              <w:rPr>
                <w:rFonts w:ascii="Times New Roman" w:hAnsi="Times New Roman" w:cs="Times New Roman"/>
              </w:rPr>
              <w:t>457</w:t>
            </w:r>
          </w:p>
        </w:tc>
      </w:tr>
      <w:tr w:rsidR="009B7D2E" w:rsidRPr="009B7D2E" w14:paraId="2E7AE25C" w14:textId="77777777" w:rsidTr="00C24DA4">
        <w:trPr>
          <w:trHeight w:val="19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C4EA47E"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70095DFF"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Zasiłek okresowy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267F2F4"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1</w:t>
            </w:r>
            <w:r w:rsidR="00783F5E" w:rsidRPr="009B7D2E">
              <w:rPr>
                <w:rFonts w:ascii="Times New Roman" w:hAnsi="Times New Roman" w:cs="Times New Roman"/>
              </w:rPr>
              <w:t xml:space="preserve"> </w:t>
            </w:r>
            <w:r w:rsidRPr="009B7D2E">
              <w:rPr>
                <w:rFonts w:ascii="Times New Roman" w:hAnsi="Times New Roman" w:cs="Times New Roman"/>
              </w:rPr>
              <w:t>919</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58E04318"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3</w:t>
            </w:r>
            <w:r w:rsidR="00783F5E" w:rsidRPr="009B7D2E">
              <w:rPr>
                <w:rFonts w:ascii="Times New Roman" w:hAnsi="Times New Roman" w:cs="Times New Roman"/>
              </w:rPr>
              <w:t xml:space="preserve"> </w:t>
            </w:r>
            <w:r w:rsidRPr="009B7D2E">
              <w:rPr>
                <w:rFonts w:ascii="Times New Roman" w:hAnsi="Times New Roman" w:cs="Times New Roman"/>
              </w:rPr>
              <w:t>650</w:t>
            </w:r>
            <w:r w:rsidR="00783F5E" w:rsidRPr="009B7D2E">
              <w:rPr>
                <w:rFonts w:ascii="Times New Roman" w:hAnsi="Times New Roman" w:cs="Times New Roman"/>
              </w:rPr>
              <w:t xml:space="preserve"> </w:t>
            </w:r>
            <w:r w:rsidRPr="009B7D2E">
              <w:rPr>
                <w:rFonts w:ascii="Times New Roman" w:hAnsi="Times New Roman" w:cs="Times New Roman"/>
              </w:rPr>
              <w:t>854</w:t>
            </w:r>
          </w:p>
        </w:tc>
      </w:tr>
      <w:tr w:rsidR="009B7D2E" w:rsidRPr="009B7D2E" w14:paraId="7B78146C" w14:textId="77777777" w:rsidTr="00C24DA4">
        <w:trPr>
          <w:trHeight w:val="19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3B4AB9D1"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3CC74AF6"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Zasiłek celowy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4939682"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3</w:t>
            </w:r>
            <w:r w:rsidR="00783F5E" w:rsidRPr="009B7D2E">
              <w:rPr>
                <w:rFonts w:ascii="Times New Roman" w:hAnsi="Times New Roman" w:cs="Times New Roman"/>
              </w:rPr>
              <w:t xml:space="preserve"> </w:t>
            </w:r>
            <w:r w:rsidRPr="009B7D2E">
              <w:rPr>
                <w:rFonts w:ascii="Times New Roman" w:hAnsi="Times New Roman" w:cs="Times New Roman"/>
              </w:rPr>
              <w:t>032</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D01DC94"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2</w:t>
            </w:r>
            <w:r w:rsidR="00783F5E" w:rsidRPr="009B7D2E">
              <w:rPr>
                <w:rFonts w:ascii="Times New Roman" w:hAnsi="Times New Roman" w:cs="Times New Roman"/>
              </w:rPr>
              <w:t xml:space="preserve"> </w:t>
            </w:r>
            <w:r w:rsidRPr="009B7D2E">
              <w:rPr>
                <w:rFonts w:ascii="Times New Roman" w:hAnsi="Times New Roman" w:cs="Times New Roman"/>
              </w:rPr>
              <w:t>283</w:t>
            </w:r>
            <w:r w:rsidR="00783F5E" w:rsidRPr="009B7D2E">
              <w:rPr>
                <w:rFonts w:ascii="Times New Roman" w:hAnsi="Times New Roman" w:cs="Times New Roman"/>
              </w:rPr>
              <w:t xml:space="preserve"> </w:t>
            </w:r>
            <w:r w:rsidRPr="009B7D2E">
              <w:rPr>
                <w:rFonts w:ascii="Times New Roman" w:hAnsi="Times New Roman" w:cs="Times New Roman"/>
              </w:rPr>
              <w:t>925</w:t>
            </w:r>
          </w:p>
        </w:tc>
      </w:tr>
      <w:tr w:rsidR="009B7D2E" w:rsidRPr="009B7D2E" w14:paraId="198BF019" w14:textId="77777777" w:rsidTr="00C24DA4">
        <w:trPr>
          <w:trHeight w:val="190"/>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48B45A69" w14:textId="77777777" w:rsidR="00393951" w:rsidRPr="009B7D2E" w:rsidRDefault="00393951" w:rsidP="009B7D2E">
            <w:pPr>
              <w:spacing w:after="0" w:line="240" w:lineRule="auto"/>
              <w:rPr>
                <w:rFonts w:ascii="Times New Roman" w:eastAsia="Times New Roman" w:hAnsi="Times New Roman" w:cs="Times New Roman"/>
                <w:b/>
                <w:bCs/>
                <w:lang w:eastAsia="pl-PL"/>
              </w:rPr>
            </w:pPr>
          </w:p>
        </w:tc>
        <w:tc>
          <w:tcPr>
            <w:tcW w:w="3119" w:type="dxa"/>
            <w:gridSpan w:val="2"/>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9FD4CA1"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Specjalny zasiłek celowy</w:t>
            </w:r>
          </w:p>
        </w:tc>
        <w:tc>
          <w:tcPr>
            <w:tcW w:w="3685"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5719834"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2</w:t>
            </w:r>
            <w:r w:rsidR="00783F5E" w:rsidRPr="009B7D2E">
              <w:rPr>
                <w:rFonts w:ascii="Times New Roman" w:hAnsi="Times New Roman" w:cs="Times New Roman"/>
              </w:rPr>
              <w:t xml:space="preserve"> </w:t>
            </w:r>
            <w:r w:rsidRPr="009B7D2E">
              <w:rPr>
                <w:rFonts w:ascii="Times New Roman" w:hAnsi="Times New Roman" w:cs="Times New Roman"/>
              </w:rPr>
              <w:t>615</w:t>
            </w:r>
          </w:p>
        </w:tc>
        <w:tc>
          <w:tcPr>
            <w:tcW w:w="5107" w:type="dxa"/>
            <w:gridSpan w:val="3"/>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1E8C2F4" w14:textId="77777777" w:rsidR="00393951" w:rsidRPr="009B7D2E" w:rsidRDefault="00393951" w:rsidP="00C24DA4">
            <w:pPr>
              <w:spacing w:after="0" w:line="240" w:lineRule="auto"/>
              <w:jc w:val="center"/>
              <w:rPr>
                <w:rFonts w:ascii="Times New Roman" w:hAnsi="Times New Roman" w:cs="Times New Roman"/>
              </w:rPr>
            </w:pPr>
            <w:r w:rsidRPr="009B7D2E">
              <w:rPr>
                <w:rFonts w:ascii="Times New Roman" w:hAnsi="Times New Roman" w:cs="Times New Roman"/>
              </w:rPr>
              <w:t>1</w:t>
            </w:r>
            <w:r w:rsidR="00783F5E" w:rsidRPr="009B7D2E">
              <w:rPr>
                <w:rFonts w:ascii="Times New Roman" w:hAnsi="Times New Roman" w:cs="Times New Roman"/>
              </w:rPr>
              <w:t xml:space="preserve"> </w:t>
            </w:r>
            <w:r w:rsidRPr="009B7D2E">
              <w:rPr>
                <w:rFonts w:ascii="Times New Roman" w:hAnsi="Times New Roman" w:cs="Times New Roman"/>
              </w:rPr>
              <w:t>500</w:t>
            </w:r>
            <w:r w:rsidR="00783F5E" w:rsidRPr="009B7D2E">
              <w:rPr>
                <w:rFonts w:ascii="Times New Roman" w:hAnsi="Times New Roman" w:cs="Times New Roman"/>
              </w:rPr>
              <w:t xml:space="preserve"> </w:t>
            </w:r>
            <w:r w:rsidRPr="009B7D2E">
              <w:rPr>
                <w:rFonts w:ascii="Times New Roman" w:hAnsi="Times New Roman" w:cs="Times New Roman"/>
              </w:rPr>
              <w:t>371</w:t>
            </w:r>
          </w:p>
        </w:tc>
      </w:tr>
      <w:tr w:rsidR="009B7D2E" w:rsidRPr="009B7D2E" w14:paraId="34FE596F" w14:textId="77777777" w:rsidTr="00C24DA4">
        <w:trPr>
          <w:trHeight w:val="444"/>
          <w:jc w:val="center"/>
        </w:trPr>
        <w:tc>
          <w:tcPr>
            <w:tcW w:w="2830" w:type="dxa"/>
            <w:vMerge w:val="restart"/>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2886A050" w14:textId="77777777" w:rsidR="00393951" w:rsidRPr="009B7D2E" w:rsidRDefault="00393951" w:rsidP="009B7D2E">
            <w:pPr>
              <w:spacing w:after="0" w:line="240" w:lineRule="auto"/>
              <w:rPr>
                <w:rFonts w:ascii="Times New Roman" w:hAnsi="Times New Roman" w:cs="Times New Roman"/>
                <w:bCs/>
                <w:lang w:eastAsia="pl-PL"/>
              </w:rPr>
            </w:pPr>
            <w:r w:rsidRPr="009B7D2E">
              <w:rPr>
                <w:rFonts w:ascii="Times New Roman" w:hAnsi="Times New Roman" w:cs="Times New Roman"/>
                <w:b/>
                <w:bCs/>
                <w:lang w:eastAsia="pl-PL"/>
              </w:rPr>
              <w:t>Największe problemy/niedogodności w świadczeniu opieki nad osobami starszymi (np. zasoby kadrowe, rzeczowe, finansowe itp.)</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4FC0DD80" w14:textId="77777777" w:rsidR="00393951" w:rsidRPr="009B7D2E" w:rsidRDefault="00393951" w:rsidP="009B7D2E">
            <w:pPr>
              <w:spacing w:after="0" w:line="240" w:lineRule="auto"/>
              <w:rPr>
                <w:rFonts w:ascii="Times New Roman" w:hAnsi="Times New Roman" w:cs="Times New Roman"/>
              </w:rPr>
            </w:pPr>
            <w:r w:rsidRPr="00C24DA4">
              <w:rPr>
                <w:rFonts w:ascii="Times New Roman" w:hAnsi="Times New Roman" w:cs="Times New Roman"/>
                <w:b/>
              </w:rPr>
              <w:t>1.</w:t>
            </w:r>
            <w:r w:rsidRPr="009B7D2E">
              <w:rPr>
                <w:rFonts w:ascii="Times New Roman" w:hAnsi="Times New Roman" w:cs="Times New Roman"/>
              </w:rPr>
              <w:t xml:space="preserve"> Niedostateczne środki finansowe na świadczenie usług </w:t>
            </w:r>
          </w:p>
        </w:tc>
      </w:tr>
      <w:tr w:rsidR="009B7D2E" w:rsidRPr="009B7D2E" w14:paraId="1197A034" w14:textId="77777777" w:rsidTr="00C24DA4">
        <w:trPr>
          <w:trHeight w:val="442"/>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1CB9BA50" w14:textId="77777777" w:rsidR="00393951" w:rsidRPr="009B7D2E" w:rsidRDefault="00393951" w:rsidP="009B7D2E">
            <w:pPr>
              <w:spacing w:after="0" w:line="240" w:lineRule="auto"/>
              <w:rPr>
                <w:rFonts w:ascii="Times New Roman" w:hAnsi="Times New Roman" w:cs="Times New Roman"/>
                <w:b/>
                <w:bCs/>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C2D5160" w14:textId="77777777" w:rsidR="00393951" w:rsidRPr="009B7D2E" w:rsidRDefault="00393951" w:rsidP="009B7D2E">
            <w:pPr>
              <w:spacing w:after="0" w:line="240" w:lineRule="auto"/>
              <w:rPr>
                <w:rFonts w:ascii="Times New Roman" w:hAnsi="Times New Roman" w:cs="Times New Roman"/>
              </w:rPr>
            </w:pPr>
            <w:r w:rsidRPr="00C24DA4">
              <w:rPr>
                <w:rFonts w:ascii="Times New Roman" w:hAnsi="Times New Roman" w:cs="Times New Roman"/>
                <w:b/>
              </w:rPr>
              <w:t>2.</w:t>
            </w:r>
            <w:r w:rsidRPr="009B7D2E">
              <w:rPr>
                <w:rFonts w:ascii="Times New Roman" w:hAnsi="Times New Roman" w:cs="Times New Roman"/>
              </w:rPr>
              <w:t xml:space="preserve"> Brak osób chętnych i wykwalifikowanych do pracy z osobami starszymi</w:t>
            </w:r>
          </w:p>
        </w:tc>
      </w:tr>
      <w:tr w:rsidR="009B7D2E" w:rsidRPr="009B7D2E" w14:paraId="7DB3BA6C" w14:textId="77777777" w:rsidTr="00C24DA4">
        <w:trPr>
          <w:trHeight w:val="442"/>
          <w:jc w:val="center"/>
        </w:trPr>
        <w:tc>
          <w:tcPr>
            <w:tcW w:w="2830" w:type="dxa"/>
            <w:vMerge/>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00E99395" w14:textId="77777777" w:rsidR="00393951" w:rsidRPr="009B7D2E" w:rsidRDefault="00393951" w:rsidP="009B7D2E">
            <w:pPr>
              <w:spacing w:after="0" w:line="240" w:lineRule="auto"/>
              <w:rPr>
                <w:rFonts w:ascii="Times New Roman" w:hAnsi="Times New Roman" w:cs="Times New Roman"/>
                <w:b/>
                <w:bCs/>
                <w:lang w:eastAsia="pl-PL"/>
              </w:rPr>
            </w:pP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1BCF6072" w14:textId="77777777" w:rsidR="00393951" w:rsidRPr="009B7D2E" w:rsidRDefault="00393951" w:rsidP="009B7D2E">
            <w:pPr>
              <w:spacing w:after="0" w:line="240" w:lineRule="auto"/>
              <w:rPr>
                <w:rFonts w:ascii="Times New Roman" w:hAnsi="Times New Roman" w:cs="Times New Roman"/>
              </w:rPr>
            </w:pPr>
            <w:r w:rsidRPr="00C24DA4">
              <w:rPr>
                <w:rFonts w:ascii="Times New Roman" w:hAnsi="Times New Roman" w:cs="Times New Roman"/>
                <w:b/>
              </w:rPr>
              <w:t>3.</w:t>
            </w:r>
            <w:r w:rsidRPr="009B7D2E">
              <w:rPr>
                <w:rFonts w:ascii="Times New Roman" w:hAnsi="Times New Roman" w:cs="Times New Roman"/>
              </w:rPr>
              <w:t xml:space="preserve"> Problemy komunikacyjne spowodowane ograniczeniem środków transportu publicznego</w:t>
            </w:r>
          </w:p>
        </w:tc>
      </w:tr>
      <w:tr w:rsidR="009B7D2E" w:rsidRPr="009B7D2E" w14:paraId="2D88E5BB" w14:textId="77777777" w:rsidTr="00C24DA4">
        <w:trPr>
          <w:trHeight w:val="442"/>
          <w:jc w:val="center"/>
        </w:trPr>
        <w:tc>
          <w:tcPr>
            <w:tcW w:w="2830" w:type="dxa"/>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9CC2E5" w:themeFill="accent1" w:themeFillTint="99"/>
          </w:tcPr>
          <w:p w14:paraId="7303B1BD" w14:textId="77777777" w:rsidR="00393951" w:rsidRPr="009B7D2E" w:rsidRDefault="00393951" w:rsidP="009B7D2E">
            <w:pPr>
              <w:spacing w:after="0" w:line="240" w:lineRule="auto"/>
              <w:rPr>
                <w:rFonts w:ascii="Times New Roman" w:hAnsi="Times New Roman" w:cs="Times New Roman"/>
                <w:b/>
                <w:bCs/>
                <w:lang w:eastAsia="pl-PL"/>
              </w:rPr>
            </w:pPr>
            <w:r w:rsidRPr="009B7D2E">
              <w:rPr>
                <w:rFonts w:ascii="Times New Roman" w:hAnsi="Times New Roman" w:cs="Times New Roman"/>
                <w:b/>
                <w:bCs/>
                <w:lang w:eastAsia="pl-PL"/>
              </w:rPr>
              <w:t>Stopień zaspokojenia potrzeb w zakresie usług opiekuńczych</w:t>
            </w:r>
          </w:p>
        </w:tc>
        <w:tc>
          <w:tcPr>
            <w:tcW w:w="11911" w:type="dxa"/>
            <w:gridSpan w:val="8"/>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FFFFFF" w:themeFill="background1"/>
          </w:tcPr>
          <w:p w14:paraId="6FC6827D" w14:textId="77777777" w:rsidR="00393951" w:rsidRPr="009B7D2E" w:rsidRDefault="00393951" w:rsidP="009B7D2E">
            <w:pPr>
              <w:spacing w:after="0" w:line="240" w:lineRule="auto"/>
              <w:rPr>
                <w:rFonts w:ascii="Times New Roman" w:hAnsi="Times New Roman" w:cs="Times New Roman"/>
              </w:rPr>
            </w:pPr>
            <w:r w:rsidRPr="009B7D2E">
              <w:rPr>
                <w:rFonts w:ascii="Times New Roman" w:hAnsi="Times New Roman" w:cs="Times New Roman"/>
              </w:rPr>
              <w:t>Zaspakaja się minimalną możliwą liczbę usług opiekuńczych dla osób starszych. Brak osób chętnych do pracy jako opiekun, problem ze znalezieniem zastępstwa w okresie urlopów. Dojazd do osób wymagających usług zamieszkałych w odległych wsiach stanowi problem, gdyż jest kosztowny i czasochłonny.</w:t>
            </w:r>
          </w:p>
        </w:tc>
      </w:tr>
    </w:tbl>
    <w:p w14:paraId="77E1F532" w14:textId="77777777" w:rsidR="00E70D90" w:rsidRDefault="00E70D90" w:rsidP="008C71A9">
      <w:pPr>
        <w:pStyle w:val="Nagwek2"/>
        <w:numPr>
          <w:ilvl w:val="1"/>
          <w:numId w:val="97"/>
        </w:numPr>
        <w:rPr>
          <w:rFonts w:eastAsia="Times New Roman"/>
          <w:lang w:eastAsia="ar-SA"/>
        </w:rPr>
        <w:sectPr w:rsidR="00E70D90" w:rsidSect="00E70D90">
          <w:pgSz w:w="16840" w:h="11906" w:orient="landscape"/>
          <w:pgMar w:top="1418" w:right="1418" w:bottom="1418" w:left="1417" w:header="708" w:footer="708" w:gutter="0"/>
          <w:cols w:space="708"/>
          <w:docGrid w:linePitch="360"/>
        </w:sectPr>
      </w:pPr>
    </w:p>
    <w:p w14:paraId="32887D32" w14:textId="77777777" w:rsidR="00AB1786" w:rsidRPr="00AF051D" w:rsidRDefault="00B25D75" w:rsidP="00AF051D">
      <w:pPr>
        <w:pStyle w:val="Nagwek2"/>
        <w:numPr>
          <w:ilvl w:val="1"/>
          <w:numId w:val="97"/>
        </w:numPr>
        <w:spacing w:before="240" w:after="240"/>
        <w:rPr>
          <w:rFonts w:eastAsia="Times New Roman" w:cs="Times New Roman"/>
          <w:sz w:val="40"/>
          <w:lang w:eastAsia="ar-SA"/>
        </w:rPr>
      </w:pPr>
      <w:bookmarkStart w:id="154" w:name="_Toc49171370"/>
      <w:r w:rsidRPr="00AF051D">
        <w:rPr>
          <w:rFonts w:eastAsia="Times New Roman" w:cs="Times New Roman"/>
          <w:sz w:val="40"/>
          <w:lang w:eastAsia="ar-SA"/>
        </w:rPr>
        <w:lastRenderedPageBreak/>
        <w:t>Województwo</w:t>
      </w:r>
      <w:r w:rsidR="005F0A32" w:rsidRPr="00AF051D">
        <w:rPr>
          <w:rFonts w:eastAsia="Times New Roman" w:cs="Times New Roman"/>
          <w:sz w:val="40"/>
          <w:lang w:eastAsia="ar-SA"/>
        </w:rPr>
        <w:t xml:space="preserve"> w</w:t>
      </w:r>
      <w:r w:rsidR="00475EFA" w:rsidRPr="00AF051D">
        <w:rPr>
          <w:rFonts w:eastAsia="Times New Roman" w:cs="Times New Roman"/>
          <w:sz w:val="40"/>
          <w:lang w:eastAsia="ar-SA"/>
        </w:rPr>
        <w:t>ielkopolskie</w:t>
      </w:r>
      <w:bookmarkEnd w:id="154"/>
    </w:p>
    <w:p w14:paraId="3937AEB9" w14:textId="77777777" w:rsidR="002D6C4F" w:rsidRPr="00546D47" w:rsidRDefault="002D6C4F" w:rsidP="000D7CDE">
      <w:pPr>
        <w:spacing w:after="0"/>
        <w:jc w:val="both"/>
        <w:rPr>
          <w:rFonts w:ascii="Times New Roman" w:hAnsi="Times New Roman" w:cs="Times New Roman"/>
          <w:b/>
          <w:color w:val="00B0F0"/>
          <w:sz w:val="24"/>
          <w:szCs w:val="24"/>
          <w:lang w:eastAsia="ar-SA"/>
        </w:rPr>
      </w:pPr>
      <w:r w:rsidRPr="00546D47">
        <w:rPr>
          <w:rFonts w:ascii="Times New Roman" w:hAnsi="Times New Roman" w:cs="Times New Roman"/>
          <w:b/>
          <w:color w:val="00B0F0"/>
          <w:sz w:val="24"/>
          <w:szCs w:val="24"/>
          <w:lang w:eastAsia="ar-SA"/>
        </w:rPr>
        <w:t>Dokumenty, strategie i działania na rzecz osób starszych</w:t>
      </w:r>
    </w:p>
    <w:p w14:paraId="2836B498" w14:textId="77777777" w:rsidR="002D6C4F" w:rsidRDefault="002D6C4F" w:rsidP="000D7CDE">
      <w:pPr>
        <w:spacing w:after="0"/>
        <w:jc w:val="both"/>
        <w:rPr>
          <w:rFonts w:ascii="Times New Roman" w:hAnsi="Times New Roman" w:cs="Times New Roman"/>
          <w:sz w:val="24"/>
          <w:szCs w:val="24"/>
        </w:rPr>
      </w:pPr>
    </w:p>
    <w:p w14:paraId="55BAE656" w14:textId="77777777" w:rsidR="002D6C4F" w:rsidRPr="0023590B" w:rsidRDefault="002D6C4F" w:rsidP="000D7CDE">
      <w:pPr>
        <w:spacing w:after="0"/>
        <w:jc w:val="both"/>
        <w:rPr>
          <w:rFonts w:ascii="Times New Roman" w:hAnsi="Times New Roman" w:cs="Times New Roman"/>
          <w:b/>
          <w:i/>
          <w:sz w:val="24"/>
          <w:szCs w:val="24"/>
        </w:rPr>
      </w:pPr>
      <w:r w:rsidRPr="0023590B">
        <w:rPr>
          <w:rFonts w:ascii="Times New Roman" w:hAnsi="Times New Roman" w:cs="Times New Roman"/>
          <w:b/>
          <w:sz w:val="24"/>
          <w:szCs w:val="24"/>
        </w:rPr>
        <w:t>Program Opieka 75+</w:t>
      </w:r>
    </w:p>
    <w:p w14:paraId="7E235724" w14:textId="77777777" w:rsidR="002D6C4F" w:rsidRPr="005F0A32" w:rsidRDefault="002D6C4F"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Według sprawozdania jednorazowego w Centr</w:t>
      </w:r>
      <w:r w:rsidR="00FF4E69">
        <w:rPr>
          <w:rFonts w:ascii="Times New Roman" w:hAnsi="Times New Roman" w:cs="Times New Roman"/>
          <w:sz w:val="24"/>
          <w:szCs w:val="24"/>
        </w:rPr>
        <w:t xml:space="preserve">alnej Aplikacji Sprawozdawczej </w:t>
      </w:r>
      <w:r w:rsidRPr="005F0A32">
        <w:rPr>
          <w:rFonts w:ascii="Times New Roman" w:hAnsi="Times New Roman" w:cs="Times New Roman"/>
          <w:sz w:val="24"/>
          <w:szCs w:val="24"/>
        </w:rPr>
        <w:t xml:space="preserve">o symbolu DPS-III-192-JS/2020 pn. </w:t>
      </w:r>
      <w:r w:rsidRPr="005F0A32">
        <w:rPr>
          <w:rFonts w:ascii="Times New Roman" w:hAnsi="Times New Roman" w:cs="Times New Roman"/>
          <w:i/>
          <w:sz w:val="24"/>
          <w:szCs w:val="24"/>
        </w:rPr>
        <w:t xml:space="preserve">Realizacja programu "Opieka 75+" 2019, </w:t>
      </w:r>
      <w:r>
        <w:rPr>
          <w:rFonts w:ascii="Times New Roman" w:hAnsi="Times New Roman" w:cs="Times New Roman"/>
          <w:i/>
          <w:sz w:val="24"/>
          <w:szCs w:val="24"/>
        </w:rPr>
        <w:t xml:space="preserve">wg stanu na 31 grudnia 2019 r. </w:t>
      </w:r>
      <w:r>
        <w:rPr>
          <w:rFonts w:ascii="Times New Roman" w:hAnsi="Times New Roman" w:cs="Times New Roman"/>
          <w:sz w:val="24"/>
          <w:szCs w:val="24"/>
        </w:rPr>
        <w:t>li</w:t>
      </w:r>
      <w:r w:rsidRPr="005F0A32">
        <w:rPr>
          <w:rFonts w:ascii="Times New Roman" w:hAnsi="Times New Roman" w:cs="Times New Roman"/>
          <w:sz w:val="24"/>
          <w:szCs w:val="24"/>
        </w:rPr>
        <w:t>czba gmin, które uczestniczyły w programie "Opiek</w:t>
      </w:r>
      <w:r>
        <w:rPr>
          <w:rFonts w:ascii="Times New Roman" w:hAnsi="Times New Roman" w:cs="Times New Roman"/>
          <w:sz w:val="24"/>
          <w:szCs w:val="24"/>
        </w:rPr>
        <w:t xml:space="preserve">a 75+" do 31 grudnia 2019 r. - – 39 gmin. </w:t>
      </w:r>
      <w:r w:rsidRPr="005F0A32">
        <w:rPr>
          <w:rFonts w:ascii="Times New Roman" w:hAnsi="Times New Roman" w:cs="Times New Roman"/>
          <w:sz w:val="24"/>
          <w:szCs w:val="24"/>
        </w:rPr>
        <w:t>Rzeczywista liczba osób, którym wydano decyzję na usługi opiekuńcze dzięki środkom finansowym z programu "Opieka 75+" d</w:t>
      </w:r>
      <w:r>
        <w:rPr>
          <w:rFonts w:ascii="Times New Roman" w:hAnsi="Times New Roman" w:cs="Times New Roman"/>
          <w:sz w:val="24"/>
          <w:szCs w:val="24"/>
        </w:rPr>
        <w:t xml:space="preserve">o 31 grudnia 2019 – 439 osoby, </w:t>
      </w:r>
      <w:r w:rsidRPr="005F0A32">
        <w:rPr>
          <w:rFonts w:ascii="Times New Roman" w:hAnsi="Times New Roman" w:cs="Times New Roman"/>
          <w:sz w:val="24"/>
          <w:szCs w:val="24"/>
        </w:rPr>
        <w:t>z tego:</w:t>
      </w:r>
    </w:p>
    <w:p w14:paraId="2CD3017B" w14:textId="77777777" w:rsidR="002D6C4F" w:rsidRPr="005F0A32" w:rsidRDefault="002D6C4F" w:rsidP="008C71A9">
      <w:pPr>
        <w:numPr>
          <w:ilvl w:val="0"/>
          <w:numId w:val="194"/>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 xml:space="preserve">rzeczywista liczba osób, którym decyzją przyznano specjalistyczne usługi opiekuńcze dzięki środkom finansowym z </w:t>
      </w:r>
      <w:r>
        <w:rPr>
          <w:rFonts w:ascii="Times New Roman" w:hAnsi="Times New Roman" w:cs="Times New Roman"/>
          <w:sz w:val="24"/>
          <w:szCs w:val="24"/>
        </w:rPr>
        <w:t xml:space="preserve">programu "Opieka 75+" </w:t>
      </w:r>
      <w:r w:rsidRPr="005F0A32">
        <w:rPr>
          <w:rFonts w:ascii="Times New Roman" w:hAnsi="Times New Roman" w:cs="Times New Roman"/>
          <w:sz w:val="24"/>
          <w:szCs w:val="24"/>
        </w:rPr>
        <w:t>do 31 grudnia 2019 – 1 osoba,</w:t>
      </w:r>
    </w:p>
    <w:p w14:paraId="35EC99D6" w14:textId="77777777" w:rsidR="002D6C4F" w:rsidRPr="005F0A32" w:rsidRDefault="002D6C4F" w:rsidP="008C71A9">
      <w:pPr>
        <w:numPr>
          <w:ilvl w:val="0"/>
          <w:numId w:val="194"/>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rzeczywista liczba nowych osób, którym wydano decyzję na usługi opiekuńcze dzięki środkom fina</w:t>
      </w:r>
      <w:r>
        <w:rPr>
          <w:rFonts w:ascii="Times New Roman" w:hAnsi="Times New Roman" w:cs="Times New Roman"/>
          <w:sz w:val="24"/>
          <w:szCs w:val="24"/>
        </w:rPr>
        <w:t xml:space="preserve">nsowym z programu "Opieka 75+" </w:t>
      </w:r>
      <w:r w:rsidRPr="005F0A32">
        <w:rPr>
          <w:rFonts w:ascii="Times New Roman" w:hAnsi="Times New Roman" w:cs="Times New Roman"/>
          <w:sz w:val="24"/>
          <w:szCs w:val="24"/>
        </w:rPr>
        <w:t xml:space="preserve">do 31 grudnia 2019 – 292 osoby, </w:t>
      </w:r>
    </w:p>
    <w:p w14:paraId="50D66B87" w14:textId="77777777" w:rsidR="002D6C4F" w:rsidRPr="005F0A32" w:rsidRDefault="002D6C4F" w:rsidP="008C71A9">
      <w:pPr>
        <w:numPr>
          <w:ilvl w:val="0"/>
          <w:numId w:val="194"/>
        </w:numPr>
        <w:spacing w:after="0"/>
        <w:ind w:left="360"/>
        <w:jc w:val="both"/>
        <w:rPr>
          <w:rFonts w:ascii="Times New Roman" w:hAnsi="Times New Roman" w:cs="Times New Roman"/>
          <w:sz w:val="24"/>
          <w:szCs w:val="24"/>
        </w:rPr>
      </w:pPr>
      <w:r w:rsidRPr="005F0A32">
        <w:rPr>
          <w:rFonts w:ascii="Times New Roman" w:hAnsi="Times New Roman" w:cs="Times New Roman"/>
          <w:sz w:val="24"/>
          <w:szCs w:val="24"/>
        </w:rPr>
        <w:t>rzeczywista liczba nowych osób, którym wydano decyzję na specjalistyczne usługi opiekuńcze dzięki środkom fina</w:t>
      </w:r>
      <w:r>
        <w:rPr>
          <w:rFonts w:ascii="Times New Roman" w:hAnsi="Times New Roman" w:cs="Times New Roman"/>
          <w:sz w:val="24"/>
          <w:szCs w:val="24"/>
        </w:rPr>
        <w:t xml:space="preserve">nsowym z programu "Opieka 75+" </w:t>
      </w:r>
      <w:r w:rsidRPr="005F0A32">
        <w:rPr>
          <w:rFonts w:ascii="Times New Roman" w:hAnsi="Times New Roman" w:cs="Times New Roman"/>
          <w:sz w:val="24"/>
          <w:szCs w:val="24"/>
        </w:rPr>
        <w:t>do 31 grudnia 2019 – 1 osoba.</w:t>
      </w:r>
    </w:p>
    <w:p w14:paraId="4CE7EA24" w14:textId="77777777" w:rsidR="002D6C4F" w:rsidRPr="005F0A32" w:rsidRDefault="002D6C4F" w:rsidP="000D7CDE">
      <w:pPr>
        <w:spacing w:after="0"/>
        <w:ind w:left="720"/>
        <w:jc w:val="both"/>
        <w:rPr>
          <w:rFonts w:ascii="Times New Roman" w:hAnsi="Times New Roman" w:cs="Times New Roman"/>
          <w:sz w:val="24"/>
          <w:szCs w:val="24"/>
        </w:rPr>
      </w:pPr>
    </w:p>
    <w:p w14:paraId="780E4795" w14:textId="77777777" w:rsidR="002D6C4F" w:rsidRDefault="002D6C4F"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Wysokość środków przyznanych na realizację programu "Opieka 75+" </w:t>
      </w:r>
      <w:r>
        <w:rPr>
          <w:rFonts w:ascii="Times New Roman" w:hAnsi="Times New Roman" w:cs="Times New Roman"/>
          <w:sz w:val="24"/>
          <w:szCs w:val="24"/>
        </w:rPr>
        <w:t xml:space="preserve">na 2019 r. to 1 276 790,00 zł. </w:t>
      </w:r>
      <w:r w:rsidRPr="005F0A32">
        <w:rPr>
          <w:rFonts w:ascii="Times New Roman" w:hAnsi="Times New Roman" w:cs="Times New Roman"/>
          <w:sz w:val="24"/>
          <w:szCs w:val="24"/>
        </w:rPr>
        <w:t>Środki finansowe z budżetu państwa wykorzystane na realizację celów programu "Opieka 75+" wg stanu na dzień 31 grudnia 2019 r. (wykona</w:t>
      </w:r>
      <w:r>
        <w:rPr>
          <w:rFonts w:ascii="Times New Roman" w:hAnsi="Times New Roman" w:cs="Times New Roman"/>
          <w:sz w:val="24"/>
          <w:szCs w:val="24"/>
        </w:rPr>
        <w:t xml:space="preserve">nie) – 1 146 966,05 zł, z tego </w:t>
      </w:r>
      <w:r w:rsidRPr="005F0A32">
        <w:rPr>
          <w:rFonts w:ascii="Times New Roman" w:hAnsi="Times New Roman" w:cs="Times New Roman"/>
          <w:sz w:val="24"/>
          <w:szCs w:val="24"/>
        </w:rPr>
        <w:t>środki finansowe wykorzystane na spe</w:t>
      </w:r>
      <w:r>
        <w:rPr>
          <w:rFonts w:ascii="Times New Roman" w:hAnsi="Times New Roman" w:cs="Times New Roman"/>
          <w:sz w:val="24"/>
          <w:szCs w:val="24"/>
        </w:rPr>
        <w:t xml:space="preserve">cjalistyczne usługi opiekuńcze </w:t>
      </w:r>
      <w:r w:rsidRPr="005F0A32">
        <w:rPr>
          <w:rFonts w:ascii="Times New Roman" w:hAnsi="Times New Roman" w:cs="Times New Roman"/>
          <w:sz w:val="24"/>
          <w:szCs w:val="24"/>
        </w:rPr>
        <w:t>w ramach programu "Opiek</w:t>
      </w:r>
      <w:r>
        <w:rPr>
          <w:rFonts w:ascii="Times New Roman" w:hAnsi="Times New Roman" w:cs="Times New Roman"/>
          <w:sz w:val="24"/>
          <w:szCs w:val="24"/>
        </w:rPr>
        <w:t xml:space="preserve">a 75+" (wykonanie) – 688,50 zł. </w:t>
      </w:r>
      <w:r w:rsidRPr="005F0A32">
        <w:rPr>
          <w:rFonts w:ascii="Times New Roman" w:hAnsi="Times New Roman" w:cs="Times New Roman"/>
          <w:sz w:val="24"/>
          <w:szCs w:val="24"/>
        </w:rPr>
        <w:t>Liczba osób zatrudnionych przez gminę na umowę o pracę, świadczących usługi opiekuńcz</w:t>
      </w:r>
      <w:r>
        <w:rPr>
          <w:rFonts w:ascii="Times New Roman" w:hAnsi="Times New Roman" w:cs="Times New Roman"/>
          <w:sz w:val="24"/>
          <w:szCs w:val="24"/>
        </w:rPr>
        <w:t xml:space="preserve">e w 2019 r. – 372 osoby, z tego </w:t>
      </w:r>
      <w:r w:rsidRPr="00DA267B">
        <w:rPr>
          <w:rFonts w:ascii="Times New Roman" w:hAnsi="Times New Roman" w:cs="Times New Roman"/>
          <w:sz w:val="24"/>
          <w:szCs w:val="24"/>
        </w:rPr>
        <w:t>liczba osób zatrudnionych przez gminę na umowę o pracę, świadczących specjalistyczne usługi o</w:t>
      </w:r>
      <w:r>
        <w:rPr>
          <w:rFonts w:ascii="Times New Roman" w:hAnsi="Times New Roman" w:cs="Times New Roman"/>
          <w:sz w:val="24"/>
          <w:szCs w:val="24"/>
        </w:rPr>
        <w:t xml:space="preserve">piekuńcze w 2019 r.  – 11 osób. </w:t>
      </w:r>
      <w:r w:rsidRPr="005F0A32">
        <w:rPr>
          <w:rFonts w:ascii="Times New Roman" w:hAnsi="Times New Roman" w:cs="Times New Roman"/>
          <w:sz w:val="24"/>
          <w:szCs w:val="24"/>
        </w:rPr>
        <w:t>Liczba osób nowo zatrudnionych przez gminę na umowę o pracę, świadczących usługi opiekuńcze w ramach programu "Opieka 75+" w 2019 r. – 39 osób, z tego</w:t>
      </w:r>
      <w:r>
        <w:rPr>
          <w:rFonts w:ascii="Times New Roman" w:hAnsi="Times New Roman" w:cs="Times New Roman"/>
          <w:sz w:val="24"/>
          <w:szCs w:val="24"/>
        </w:rPr>
        <w:t xml:space="preserve"> </w:t>
      </w:r>
      <w:r w:rsidRPr="00DA267B">
        <w:rPr>
          <w:rFonts w:ascii="Times New Roman" w:hAnsi="Times New Roman" w:cs="Times New Roman"/>
          <w:sz w:val="24"/>
          <w:szCs w:val="24"/>
        </w:rPr>
        <w:t>liczba osób nowo zatrudnionych przez gminę na umowę o pracę, świadczących specjalistyczne usługi opiekuńcze w ramach programu "</w:t>
      </w:r>
      <w:r>
        <w:rPr>
          <w:rFonts w:ascii="Times New Roman" w:hAnsi="Times New Roman" w:cs="Times New Roman"/>
          <w:sz w:val="24"/>
          <w:szCs w:val="24"/>
        </w:rPr>
        <w:t xml:space="preserve">Opieka 75+" w 2019 r. – 0 osób. </w:t>
      </w:r>
      <w:r w:rsidRPr="005F0A32">
        <w:rPr>
          <w:rFonts w:ascii="Times New Roman" w:hAnsi="Times New Roman" w:cs="Times New Roman"/>
          <w:sz w:val="24"/>
          <w:szCs w:val="24"/>
        </w:rPr>
        <w:t>Liczba spółdzielni socjalnych osób prawnych założonych przez jednostki samorządu terytorialnego, którym gmina zleciła świadczenie usług opiekuńczych  w ramach programu "Opieka 75</w:t>
      </w:r>
      <w:r>
        <w:rPr>
          <w:rFonts w:ascii="Times New Roman" w:hAnsi="Times New Roman" w:cs="Times New Roman"/>
          <w:sz w:val="24"/>
          <w:szCs w:val="24"/>
        </w:rPr>
        <w:t xml:space="preserve">+ edycja 2019 – 1 spółdzielnia. </w:t>
      </w:r>
      <w:r w:rsidRPr="005F0A32">
        <w:rPr>
          <w:rFonts w:ascii="Times New Roman" w:hAnsi="Times New Roman" w:cs="Times New Roman"/>
          <w:sz w:val="24"/>
          <w:szCs w:val="24"/>
        </w:rPr>
        <w:t xml:space="preserve">W 2019 r. Program w województwie wielkopolskim realizowały 39 na 226 gminy. Gminy te świadczyły usługi opiekuńcze, w tym jedna gmina świadczyła również specjalistyczne usługi opiekuńcze w tym zakresie. </w:t>
      </w:r>
    </w:p>
    <w:p w14:paraId="56DD1D88" w14:textId="77777777" w:rsidR="002D6C4F" w:rsidRPr="005F0A32" w:rsidRDefault="002D6C4F" w:rsidP="000D7CDE">
      <w:pPr>
        <w:spacing w:after="0"/>
        <w:jc w:val="both"/>
        <w:rPr>
          <w:rFonts w:ascii="Times New Roman" w:hAnsi="Times New Roman" w:cs="Times New Roman"/>
          <w:sz w:val="24"/>
          <w:szCs w:val="24"/>
        </w:rPr>
      </w:pPr>
    </w:p>
    <w:p w14:paraId="7BC2D4BA" w14:textId="77777777" w:rsidR="002D6C4F" w:rsidRPr="005F0A32" w:rsidRDefault="002D6C4F"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Na podstawie zapotrzebowań złożonych przez gminy w I półroczu 2019 r., z budżetu państwa do budżetu Wojewody Wielkopolskiego przekazano środki z rezerwy celowej w wysokości 690 652,00 zł. Natomiast w II półroczu 2019 r. dotacja z budżetu państwa na realizację Programu wyniosła 1 008 147,00 z. Według danych na dzień dzisiejszy w 2019 r. gminy wydatkowały na realizację Programu 1 146 996,05zł, tj. 89,83% otrzymanego planu </w:t>
      </w:r>
      <w:r w:rsidRPr="005F0A32">
        <w:rPr>
          <w:rFonts w:ascii="Times New Roman" w:hAnsi="Times New Roman" w:cs="Times New Roman"/>
          <w:sz w:val="24"/>
          <w:szCs w:val="24"/>
        </w:rPr>
        <w:br/>
        <w:t xml:space="preserve">1 276 789,00 zł. Kwota zgłoszona do Ministerstwa Finansów do blokady w 2019 r. </w:t>
      </w:r>
      <w:r w:rsidRPr="005F0A32">
        <w:rPr>
          <w:rFonts w:ascii="Times New Roman" w:hAnsi="Times New Roman" w:cs="Times New Roman"/>
          <w:sz w:val="24"/>
          <w:szCs w:val="24"/>
        </w:rPr>
        <w:br/>
      </w:r>
      <w:r w:rsidRPr="005F0A32">
        <w:rPr>
          <w:rFonts w:ascii="Times New Roman" w:hAnsi="Times New Roman" w:cs="Times New Roman"/>
          <w:sz w:val="24"/>
          <w:szCs w:val="24"/>
        </w:rPr>
        <w:lastRenderedPageBreak/>
        <w:t xml:space="preserve">w wysokości 422 010,00 zł wynikała z zamówienia przez gminy kwot dotacji większych niż ostateczne potrzeby w tym zakresie. </w:t>
      </w:r>
    </w:p>
    <w:p w14:paraId="7C67DA1B" w14:textId="77777777" w:rsidR="002D6C4F" w:rsidRPr="005F0A32" w:rsidRDefault="002D6C4F" w:rsidP="000D7CDE">
      <w:pPr>
        <w:spacing w:after="0"/>
        <w:ind w:left="720"/>
        <w:jc w:val="both"/>
        <w:rPr>
          <w:rFonts w:ascii="Times New Roman" w:hAnsi="Times New Roman" w:cs="Times New Roman"/>
          <w:sz w:val="24"/>
          <w:szCs w:val="24"/>
        </w:rPr>
      </w:pPr>
    </w:p>
    <w:p w14:paraId="3727256F" w14:textId="77777777" w:rsidR="002D6C4F" w:rsidRPr="005F0A32" w:rsidRDefault="002D6C4F"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Na podstawie powyższych danych stwierdzić należy, że Program „Opieka 75+” przyczynił się w 2019 r. do poprawy sytuacji w zakresie liczby przyznanych świadczeń usług opiekuńczych i specjalistycznych usług opiekuńczych </w:t>
      </w:r>
      <w:r>
        <w:rPr>
          <w:rFonts w:ascii="Times New Roman" w:hAnsi="Times New Roman" w:cs="Times New Roman"/>
          <w:sz w:val="24"/>
          <w:szCs w:val="24"/>
        </w:rPr>
        <w:t xml:space="preserve">oraz liczby osób zatrudnionych </w:t>
      </w:r>
      <w:r w:rsidRPr="005F0A32">
        <w:rPr>
          <w:rFonts w:ascii="Times New Roman" w:hAnsi="Times New Roman" w:cs="Times New Roman"/>
          <w:sz w:val="24"/>
          <w:szCs w:val="24"/>
        </w:rPr>
        <w:t xml:space="preserve">do realizacji tych usług w województwie wielkopolskim. </w:t>
      </w:r>
    </w:p>
    <w:p w14:paraId="73D3F541" w14:textId="77777777" w:rsidR="002D6C4F" w:rsidRPr="005F0A32" w:rsidRDefault="002D6C4F" w:rsidP="000D7CDE">
      <w:pPr>
        <w:spacing w:after="0"/>
        <w:ind w:left="720"/>
        <w:jc w:val="both"/>
        <w:rPr>
          <w:rFonts w:ascii="Times New Roman" w:hAnsi="Times New Roman" w:cs="Times New Roman"/>
          <w:sz w:val="24"/>
          <w:szCs w:val="24"/>
        </w:rPr>
      </w:pPr>
    </w:p>
    <w:p w14:paraId="2574A7F7" w14:textId="77777777" w:rsidR="002D6C4F" w:rsidRPr="005F0A32" w:rsidRDefault="002D6C4F"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Z informacji pozyskanych na poziomie gmin</w:t>
      </w:r>
      <w:r>
        <w:rPr>
          <w:rFonts w:ascii="Times New Roman" w:hAnsi="Times New Roman" w:cs="Times New Roman"/>
          <w:sz w:val="24"/>
          <w:szCs w:val="24"/>
        </w:rPr>
        <w:t xml:space="preserve"> realizujących Program wynika, </w:t>
      </w:r>
      <w:r w:rsidRPr="005F0A32">
        <w:rPr>
          <w:rFonts w:ascii="Times New Roman" w:hAnsi="Times New Roman" w:cs="Times New Roman"/>
          <w:sz w:val="24"/>
          <w:szCs w:val="24"/>
        </w:rPr>
        <w:t>że największe korzyści z uczestnictwa w Programie to przede wszystkim:</w:t>
      </w:r>
    </w:p>
    <w:p w14:paraId="075C7132" w14:textId="77777777" w:rsidR="002D6C4F" w:rsidRPr="005F0A32" w:rsidRDefault="002D6C4F" w:rsidP="008C71A9">
      <w:pPr>
        <w:numPr>
          <w:ilvl w:val="0"/>
          <w:numId w:val="195"/>
        </w:numPr>
        <w:spacing w:after="0"/>
        <w:jc w:val="both"/>
        <w:rPr>
          <w:rFonts w:ascii="Times New Roman" w:hAnsi="Times New Roman" w:cs="Times New Roman"/>
          <w:sz w:val="24"/>
          <w:szCs w:val="24"/>
        </w:rPr>
      </w:pPr>
      <w:r w:rsidRPr="005F0A32">
        <w:rPr>
          <w:rFonts w:ascii="Times New Roman" w:hAnsi="Times New Roman" w:cs="Times New Roman"/>
          <w:sz w:val="24"/>
          <w:szCs w:val="24"/>
        </w:rPr>
        <w:t>zwiększenie zatrudnienia opiekunek,</w:t>
      </w:r>
    </w:p>
    <w:p w14:paraId="006F4311" w14:textId="77777777" w:rsidR="002D6C4F" w:rsidRPr="005F0A32" w:rsidRDefault="002D6C4F" w:rsidP="008C71A9">
      <w:pPr>
        <w:numPr>
          <w:ilvl w:val="0"/>
          <w:numId w:val="195"/>
        </w:num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zwiększenie liczby godzin świadczonych usług opiekuńczych, </w:t>
      </w:r>
    </w:p>
    <w:p w14:paraId="476C839F" w14:textId="77777777" w:rsidR="002D6C4F" w:rsidRPr="005F0A32" w:rsidRDefault="002D6C4F" w:rsidP="008C71A9">
      <w:pPr>
        <w:numPr>
          <w:ilvl w:val="0"/>
          <w:numId w:val="195"/>
        </w:num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zwiększenie liczby osób korzystających z usług opiekuńczych w tej kategorii wiekowej, tj. nastąpiła poprawa dostępności usług w przedmiotowym zakresie, </w:t>
      </w:r>
    </w:p>
    <w:p w14:paraId="29023731" w14:textId="77777777" w:rsidR="002D6C4F" w:rsidRDefault="002D6C4F" w:rsidP="008C71A9">
      <w:pPr>
        <w:numPr>
          <w:ilvl w:val="0"/>
          <w:numId w:val="195"/>
        </w:numPr>
        <w:spacing w:after="0"/>
        <w:jc w:val="both"/>
        <w:rPr>
          <w:rFonts w:ascii="Times New Roman" w:hAnsi="Times New Roman" w:cs="Times New Roman"/>
          <w:sz w:val="24"/>
          <w:szCs w:val="24"/>
        </w:rPr>
      </w:pPr>
      <w:r w:rsidRPr="005F0A32">
        <w:rPr>
          <w:rFonts w:ascii="Times New Roman" w:hAnsi="Times New Roman" w:cs="Times New Roman"/>
          <w:sz w:val="24"/>
          <w:szCs w:val="24"/>
        </w:rPr>
        <w:t>zwiększenie wsparcia finansowego gminy w zakresie usług opiekuńczych, które pozwala utrzymać usługi na dotychczasowym lub wyższym poziomie,</w:t>
      </w:r>
    </w:p>
    <w:p w14:paraId="550C1C3B" w14:textId="77777777" w:rsidR="002D6C4F" w:rsidRPr="006F1AED" w:rsidRDefault="002D6C4F" w:rsidP="008C71A9">
      <w:pPr>
        <w:numPr>
          <w:ilvl w:val="0"/>
          <w:numId w:val="195"/>
        </w:numPr>
        <w:spacing w:after="0"/>
        <w:jc w:val="both"/>
        <w:rPr>
          <w:rFonts w:ascii="Times New Roman" w:hAnsi="Times New Roman" w:cs="Times New Roman"/>
          <w:sz w:val="24"/>
          <w:szCs w:val="24"/>
        </w:rPr>
      </w:pPr>
      <w:r w:rsidRPr="006F1AED">
        <w:rPr>
          <w:rFonts w:ascii="Times New Roman" w:hAnsi="Times New Roman" w:cs="Times New Roman"/>
          <w:sz w:val="24"/>
          <w:szCs w:val="24"/>
        </w:rPr>
        <w:t xml:space="preserve">zauważalne zadowolenie osób starszych korzystających z ww. usług. </w:t>
      </w:r>
    </w:p>
    <w:p w14:paraId="4CA3DD92" w14:textId="77777777" w:rsidR="002D6C4F" w:rsidRDefault="002D6C4F" w:rsidP="000D7CDE">
      <w:pPr>
        <w:spacing w:after="0"/>
        <w:jc w:val="both"/>
        <w:rPr>
          <w:rFonts w:ascii="Times New Roman" w:hAnsi="Times New Roman" w:cs="Times New Roman"/>
          <w:sz w:val="24"/>
          <w:szCs w:val="24"/>
        </w:rPr>
      </w:pPr>
    </w:p>
    <w:p w14:paraId="45781796" w14:textId="77777777" w:rsidR="002D6C4F" w:rsidRPr="005F0A32" w:rsidRDefault="002D6C4F" w:rsidP="000D7CDE">
      <w:pPr>
        <w:spacing w:after="0"/>
        <w:jc w:val="both"/>
        <w:rPr>
          <w:rFonts w:ascii="Times New Roman" w:hAnsi="Times New Roman" w:cs="Times New Roman"/>
          <w:sz w:val="24"/>
          <w:szCs w:val="24"/>
        </w:rPr>
      </w:pPr>
      <w:r>
        <w:rPr>
          <w:rFonts w:ascii="Times New Roman" w:hAnsi="Times New Roman" w:cs="Times New Roman"/>
          <w:sz w:val="24"/>
          <w:szCs w:val="24"/>
        </w:rPr>
        <w:t xml:space="preserve">Poza tym </w:t>
      </w:r>
      <w:r w:rsidRPr="005F0A32">
        <w:rPr>
          <w:rFonts w:ascii="Times New Roman" w:hAnsi="Times New Roman" w:cs="Times New Roman"/>
          <w:sz w:val="24"/>
          <w:szCs w:val="24"/>
        </w:rPr>
        <w:t>mniejsze gminy, w których zabudo</w:t>
      </w:r>
      <w:r>
        <w:rPr>
          <w:rFonts w:ascii="Times New Roman" w:hAnsi="Times New Roman" w:cs="Times New Roman"/>
          <w:sz w:val="24"/>
          <w:szCs w:val="24"/>
        </w:rPr>
        <w:t xml:space="preserve">wa jest rozproszona zgłaszały, </w:t>
      </w:r>
      <w:r w:rsidRPr="005F0A32">
        <w:rPr>
          <w:rFonts w:ascii="Times New Roman" w:hAnsi="Times New Roman" w:cs="Times New Roman"/>
          <w:sz w:val="24"/>
          <w:szCs w:val="24"/>
        </w:rPr>
        <w:t>że korzystniejszym byłoby zatrudnienie opiekunek na umowę zlecenie (tzw. pomoc sąsiedzka rodzin bliżej mieszkających), ze względu na trudny dojazd do tyc</w:t>
      </w:r>
      <w:r>
        <w:rPr>
          <w:rFonts w:ascii="Times New Roman" w:hAnsi="Times New Roman" w:cs="Times New Roman"/>
          <w:sz w:val="24"/>
          <w:szCs w:val="24"/>
        </w:rPr>
        <w:t>h miejsc komunikacją publiczną. K</w:t>
      </w:r>
      <w:r w:rsidRPr="005F0A32">
        <w:rPr>
          <w:rFonts w:ascii="Times New Roman" w:hAnsi="Times New Roman" w:cs="Times New Roman"/>
          <w:sz w:val="24"/>
          <w:szCs w:val="24"/>
        </w:rPr>
        <w:t xml:space="preserve">ryteria Programu ograniczały możliwość objęcia </w:t>
      </w:r>
      <w:r>
        <w:rPr>
          <w:rFonts w:ascii="Times New Roman" w:hAnsi="Times New Roman" w:cs="Times New Roman"/>
          <w:sz w:val="24"/>
          <w:szCs w:val="24"/>
        </w:rPr>
        <w:t xml:space="preserve">usługami nowych beneficjentów, </w:t>
      </w:r>
      <w:r w:rsidRPr="005F0A32">
        <w:rPr>
          <w:rFonts w:ascii="Times New Roman" w:hAnsi="Times New Roman" w:cs="Times New Roman"/>
          <w:sz w:val="24"/>
          <w:szCs w:val="24"/>
        </w:rPr>
        <w:t>a generują o</w:t>
      </w:r>
      <w:r>
        <w:rPr>
          <w:rFonts w:ascii="Times New Roman" w:hAnsi="Times New Roman" w:cs="Times New Roman"/>
          <w:sz w:val="24"/>
          <w:szCs w:val="24"/>
        </w:rPr>
        <w:t xml:space="preserve">ni największe koszty dla gminy. </w:t>
      </w:r>
      <w:r w:rsidRPr="005F0A32">
        <w:rPr>
          <w:rFonts w:ascii="Times New Roman" w:hAnsi="Times New Roman" w:cs="Times New Roman"/>
          <w:sz w:val="24"/>
          <w:szCs w:val="24"/>
        </w:rPr>
        <w:t>Gminy województwa wielkopolskiego, uczestniczące w programie w 2019 r., powyższymi argumentami potwierdziły celowość or</w:t>
      </w:r>
      <w:r>
        <w:rPr>
          <w:rFonts w:ascii="Times New Roman" w:hAnsi="Times New Roman" w:cs="Times New Roman"/>
          <w:sz w:val="24"/>
          <w:szCs w:val="24"/>
        </w:rPr>
        <w:t xml:space="preserve">az zasadność jego wprowadzenia </w:t>
      </w:r>
      <w:r w:rsidRPr="005F0A32">
        <w:rPr>
          <w:rFonts w:ascii="Times New Roman" w:hAnsi="Times New Roman" w:cs="Times New Roman"/>
          <w:sz w:val="24"/>
          <w:szCs w:val="24"/>
        </w:rPr>
        <w:t xml:space="preserve">i funkcjonowania. </w:t>
      </w:r>
    </w:p>
    <w:p w14:paraId="2B2D9E66" w14:textId="77777777" w:rsidR="002D6C4F" w:rsidRPr="005F0A32" w:rsidRDefault="002D6C4F" w:rsidP="000D7CDE">
      <w:pPr>
        <w:spacing w:after="0"/>
        <w:jc w:val="both"/>
        <w:rPr>
          <w:rFonts w:ascii="Times New Roman" w:hAnsi="Times New Roman" w:cs="Times New Roman"/>
          <w:sz w:val="24"/>
          <w:szCs w:val="24"/>
        </w:rPr>
      </w:pPr>
    </w:p>
    <w:p w14:paraId="10227EC8" w14:textId="77777777" w:rsidR="00AB1786" w:rsidRPr="00783F5E" w:rsidRDefault="00AB1786" w:rsidP="000D7CDE">
      <w:pPr>
        <w:spacing w:after="0"/>
        <w:jc w:val="both"/>
        <w:rPr>
          <w:rFonts w:ascii="Times New Roman" w:hAnsi="Times New Roman" w:cs="Times New Roman"/>
          <w:b/>
          <w:color w:val="00B0F0"/>
          <w:sz w:val="24"/>
          <w:szCs w:val="24"/>
        </w:rPr>
      </w:pPr>
      <w:r w:rsidRPr="00783F5E">
        <w:rPr>
          <w:rFonts w:ascii="Times New Roman" w:hAnsi="Times New Roman" w:cs="Times New Roman"/>
          <w:b/>
          <w:color w:val="00B0F0"/>
          <w:sz w:val="24"/>
          <w:szCs w:val="24"/>
        </w:rPr>
        <w:t xml:space="preserve"> Działania podjęte w 2019 r. wspierające realizację celów wskazanych </w:t>
      </w:r>
      <w:r w:rsidRPr="00783F5E">
        <w:rPr>
          <w:rFonts w:ascii="Times New Roman" w:hAnsi="Times New Roman" w:cs="Times New Roman"/>
          <w:b/>
          <w:color w:val="00B0F0"/>
          <w:sz w:val="24"/>
          <w:szCs w:val="24"/>
        </w:rPr>
        <w:br/>
        <w:t xml:space="preserve">w </w:t>
      </w:r>
      <w:r w:rsidRPr="00783F5E">
        <w:rPr>
          <w:rFonts w:ascii="Times New Roman" w:hAnsi="Times New Roman" w:cs="Times New Roman"/>
          <w:b/>
          <w:i/>
          <w:color w:val="00B0F0"/>
          <w:sz w:val="24"/>
          <w:szCs w:val="24"/>
        </w:rPr>
        <w:t xml:space="preserve">Informacji o sytuacji osób starszych za 2018 r. </w:t>
      </w:r>
      <w:r w:rsidRPr="00783F5E">
        <w:rPr>
          <w:rFonts w:ascii="Times New Roman" w:hAnsi="Times New Roman" w:cs="Times New Roman"/>
          <w:b/>
          <w:iCs/>
          <w:color w:val="00B0F0"/>
          <w:sz w:val="24"/>
          <w:szCs w:val="24"/>
        </w:rPr>
        <w:t xml:space="preserve">oraz </w:t>
      </w:r>
      <w:r w:rsidRPr="00783F5E">
        <w:rPr>
          <w:rFonts w:ascii="Times New Roman" w:hAnsi="Times New Roman" w:cs="Times New Roman"/>
          <w:b/>
          <w:i/>
          <w:color w:val="00B0F0"/>
          <w:sz w:val="24"/>
          <w:szCs w:val="24"/>
        </w:rPr>
        <w:t>Polityce Społecznej wobec osób starszych 2030. Bezpieczeństwo – Uczestnictwo – Solidarność.</w:t>
      </w:r>
    </w:p>
    <w:p w14:paraId="16667C53" w14:textId="77777777" w:rsidR="004F238E" w:rsidRDefault="004F238E" w:rsidP="000D7CDE">
      <w:pPr>
        <w:spacing w:after="0"/>
        <w:jc w:val="both"/>
        <w:rPr>
          <w:rFonts w:ascii="Times New Roman" w:hAnsi="Times New Roman" w:cs="Times New Roman"/>
          <w:b/>
          <w:color w:val="FF0000"/>
          <w:sz w:val="24"/>
          <w:szCs w:val="24"/>
        </w:rPr>
      </w:pPr>
    </w:p>
    <w:p w14:paraId="74BC426F"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Większość gmin w województwie wielkopolskim podejmuje działania w ramach własnych możliwości, aby utworzyć właściwy system oparcia dla osób starszych. Dowodem tego jest fakt, iż w każdej niemalże gminie w strategii rozwiązywania problemów społecznych </w:t>
      </w:r>
      <w:r w:rsidRPr="005F0A32">
        <w:rPr>
          <w:rFonts w:ascii="Times New Roman" w:hAnsi="Times New Roman" w:cs="Times New Roman"/>
          <w:sz w:val="24"/>
          <w:szCs w:val="24"/>
        </w:rPr>
        <w:br/>
        <w:t>są zawarte priorytety związane z polityk</w:t>
      </w:r>
      <w:r w:rsidR="004F238E">
        <w:rPr>
          <w:rFonts w:ascii="Times New Roman" w:hAnsi="Times New Roman" w:cs="Times New Roman"/>
          <w:sz w:val="24"/>
          <w:szCs w:val="24"/>
        </w:rPr>
        <w:t xml:space="preserve">a senioralną i/lub realizowane </w:t>
      </w:r>
      <w:r w:rsidRPr="005F0A32">
        <w:rPr>
          <w:rFonts w:ascii="Times New Roman" w:hAnsi="Times New Roman" w:cs="Times New Roman"/>
          <w:sz w:val="24"/>
          <w:szCs w:val="24"/>
        </w:rPr>
        <w:t>są specjalnie opracowane programy dedykowane wyłącznie seniorom lub propagujące integrację międzypokoleniową. W zakresie polityki senioralnej na terenie województwa można wyłonić dwa widoczne podobszary. Pierwszy obszar to: aktywność społeczna i relacje międzypokoleniowe, drugi to zdrowie i samodzielność.</w:t>
      </w:r>
    </w:p>
    <w:p w14:paraId="754D84B2" w14:textId="77777777" w:rsidR="004F238E" w:rsidRDefault="004F238E" w:rsidP="000D7CDE">
      <w:pPr>
        <w:spacing w:after="0"/>
        <w:jc w:val="both"/>
        <w:rPr>
          <w:rFonts w:ascii="Times New Roman" w:hAnsi="Times New Roman" w:cs="Times New Roman"/>
          <w:sz w:val="24"/>
          <w:szCs w:val="24"/>
        </w:rPr>
      </w:pPr>
    </w:p>
    <w:p w14:paraId="39E8A1EB"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W pierwszym z nich zawiera się działalność dziennych jednostek domów pomocy społecznej, klubów seniora, kół emerytów i rencistów, centrów senioralnych, rad seniorów i wszelkich innych działań, których celem jest aktywizacja seniorów i włączanie ich w życie społeczności </w:t>
      </w:r>
      <w:r w:rsidRPr="005F0A32">
        <w:rPr>
          <w:rFonts w:ascii="Times New Roman" w:hAnsi="Times New Roman" w:cs="Times New Roman"/>
          <w:sz w:val="24"/>
          <w:szCs w:val="24"/>
        </w:rPr>
        <w:lastRenderedPageBreak/>
        <w:t>lokalnej. Na terenie 187 gmin, funkcjonuje 135 Klubów Seniora i 98 kół Związku Emerytów i Rencistów.</w:t>
      </w:r>
      <w:r w:rsidRPr="005F0A32">
        <w:rPr>
          <w:rFonts w:ascii="Times New Roman" w:hAnsi="Times New Roman" w:cs="Times New Roman"/>
          <w:color w:val="FF0000"/>
          <w:sz w:val="24"/>
          <w:szCs w:val="24"/>
        </w:rPr>
        <w:t xml:space="preserve"> </w:t>
      </w:r>
    </w:p>
    <w:p w14:paraId="2C987496" w14:textId="77777777" w:rsidR="004F238E" w:rsidRDefault="004F238E" w:rsidP="000D7CDE">
      <w:pPr>
        <w:spacing w:after="0"/>
        <w:jc w:val="both"/>
        <w:rPr>
          <w:rFonts w:ascii="Times New Roman" w:hAnsi="Times New Roman" w:cs="Times New Roman"/>
          <w:sz w:val="24"/>
          <w:szCs w:val="24"/>
        </w:rPr>
      </w:pPr>
    </w:p>
    <w:p w14:paraId="6FBD6B84"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W ośrodkach pobytu dziennego na co dzień realizowane są zajęcia tematyczne. </w:t>
      </w:r>
      <w:r w:rsidRPr="005F0A32">
        <w:rPr>
          <w:rFonts w:ascii="Times New Roman" w:hAnsi="Times New Roman" w:cs="Times New Roman"/>
          <w:sz w:val="24"/>
          <w:szCs w:val="24"/>
        </w:rPr>
        <w:br/>
        <w:t xml:space="preserve">Ważnym ich punktem, który cieszy się bardzo dużym zainteresowaniem wśród seniorów </w:t>
      </w:r>
      <w:r w:rsidRPr="005F0A32">
        <w:rPr>
          <w:rFonts w:ascii="Times New Roman" w:hAnsi="Times New Roman" w:cs="Times New Roman"/>
          <w:sz w:val="24"/>
          <w:szCs w:val="24"/>
        </w:rPr>
        <w:br/>
        <w:t>jest organizowanie wycieczek krajoznawczych oraz spotkań okolicznościowych. Spotkania takie dają możliwość wspólnego spędzenia czasu w grupie rówieśników oraz zaspokojenia potrzeb kulturalnych i towarzyskich.</w:t>
      </w:r>
    </w:p>
    <w:p w14:paraId="50D29CAA" w14:textId="77777777" w:rsidR="004F238E" w:rsidRDefault="004F238E" w:rsidP="000D7CDE">
      <w:pPr>
        <w:spacing w:after="0"/>
        <w:jc w:val="both"/>
        <w:rPr>
          <w:rFonts w:ascii="Times New Roman" w:hAnsi="Times New Roman" w:cs="Times New Roman"/>
          <w:sz w:val="24"/>
          <w:szCs w:val="24"/>
        </w:rPr>
      </w:pPr>
    </w:p>
    <w:p w14:paraId="3AD10D62"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W województwie wielkopolskim prowadzi swoją działalność 50 Uniwersytetów III Wieku oraz 63 placówki w ramach Programu „Senior+”. Utworzono 32 gminne rady seniorów pełniące rolę organu doradczego, opiniodawczego w strukturze władz gminnych/miejskich oraz 3 rady seniorów na poziomie powiatu. Część władz gmin na swoim terenie wprowadza również, gminne karty seniora. Planuje się dalszy rozwój działań na rzecz osób starszych biorąc pod uwagę również ich zdanie. W tym celu np. wprowadzono  tzw. skrzynkę seniora -</w:t>
      </w:r>
      <w:r w:rsidRPr="005F0A32">
        <w:rPr>
          <w:rFonts w:ascii="Times New Roman" w:hAnsi="Times New Roman" w:cs="Times New Roman"/>
          <w:sz w:val="24"/>
          <w:szCs w:val="24"/>
        </w:rPr>
        <w:br/>
        <w:t>– gdzie seniorzy mogą pisemnie zgłaszać swoje uwagi, potrzeby, propozycje rozwiązań itp.</w:t>
      </w:r>
    </w:p>
    <w:p w14:paraId="00FB4A76" w14:textId="77777777" w:rsidR="006F1AED" w:rsidRDefault="006F1AED" w:rsidP="000D7CDE">
      <w:pPr>
        <w:spacing w:after="0"/>
        <w:jc w:val="both"/>
        <w:rPr>
          <w:rFonts w:ascii="Times New Roman" w:hAnsi="Times New Roman" w:cs="Times New Roman"/>
          <w:b/>
          <w:sz w:val="24"/>
          <w:szCs w:val="24"/>
        </w:rPr>
      </w:pPr>
    </w:p>
    <w:p w14:paraId="43644CE3" w14:textId="77777777" w:rsidR="00AB1786" w:rsidRPr="002D6C4F" w:rsidRDefault="006F1AED" w:rsidP="000D7CDE">
      <w:pPr>
        <w:spacing w:after="0"/>
        <w:jc w:val="both"/>
        <w:rPr>
          <w:rFonts w:ascii="Times New Roman" w:hAnsi="Times New Roman" w:cs="Times New Roman"/>
          <w:color w:val="00B0F0"/>
          <w:sz w:val="24"/>
          <w:szCs w:val="24"/>
        </w:rPr>
      </w:pPr>
      <w:r w:rsidRPr="002D6C4F">
        <w:rPr>
          <w:rFonts w:ascii="Times New Roman" w:hAnsi="Times New Roman" w:cs="Times New Roman"/>
          <w:b/>
          <w:color w:val="00B0F0"/>
          <w:sz w:val="24"/>
          <w:szCs w:val="24"/>
        </w:rPr>
        <w:t>Przykłady dobrych praktyk na poziomie lokalnym</w:t>
      </w:r>
    </w:p>
    <w:p w14:paraId="79E666E5" w14:textId="77777777" w:rsidR="006F1AED" w:rsidRPr="005F0A32" w:rsidRDefault="006F1AED" w:rsidP="000D7CDE">
      <w:pPr>
        <w:spacing w:after="0"/>
        <w:jc w:val="both"/>
        <w:rPr>
          <w:rFonts w:ascii="Times New Roman" w:hAnsi="Times New Roman" w:cs="Times New Roman"/>
          <w:b/>
          <w:sz w:val="24"/>
          <w:szCs w:val="24"/>
        </w:rPr>
      </w:pPr>
    </w:p>
    <w:p w14:paraId="170660F8" w14:textId="77777777" w:rsidR="00AB1786" w:rsidRDefault="006F1AED" w:rsidP="000D7CD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AB1786" w:rsidRPr="005F0A32">
        <w:rPr>
          <w:rFonts w:ascii="Times New Roman" w:hAnsi="Times New Roman" w:cs="Times New Roman"/>
          <w:sz w:val="24"/>
          <w:szCs w:val="24"/>
        </w:rPr>
        <w:t>Dobrą praktyką o zasięgu wojewódzkim z cała pewnością jest tworzenie gminnych kart seniora (Poznań, Oborniki, Koło, Śrem, Kościelec, Rogoźno, Kępno, Czerwonak, Ryczywół, Konin, Ostrów Wielkopolski). Założeniem tego programu jest wyrównanie poziomu aktywizacji społecznej seniorów, którzy w związku ze swoją trudną sytuacja materialną nie są w stanie ponosić wysokich kosztów związanych z własną aktywnością społeczną. Poprzez utworzony system ulg i preferencji seniorzy mają większy dostęp do produktów, usług, dóbr kultury, rozrywki i rekr</w:t>
      </w:r>
      <w:r w:rsidR="004F238E">
        <w:rPr>
          <w:rFonts w:ascii="Times New Roman" w:hAnsi="Times New Roman" w:cs="Times New Roman"/>
          <w:sz w:val="24"/>
          <w:szCs w:val="24"/>
        </w:rPr>
        <w:t xml:space="preserve">eacji. Karta ma także zachęcić </w:t>
      </w:r>
      <w:r w:rsidR="00AB1786" w:rsidRPr="005F0A32">
        <w:rPr>
          <w:rFonts w:ascii="Times New Roman" w:hAnsi="Times New Roman" w:cs="Times New Roman"/>
          <w:sz w:val="24"/>
          <w:szCs w:val="24"/>
        </w:rPr>
        <w:t>do uczestnictwa w wydarzeniach społecznych, kulturalnych i sportowych.</w:t>
      </w:r>
    </w:p>
    <w:p w14:paraId="6AC2D4A5" w14:textId="77777777" w:rsidR="006F1AED" w:rsidRPr="005F0A32" w:rsidRDefault="006F1AED" w:rsidP="000D7CDE">
      <w:pPr>
        <w:spacing w:after="0"/>
        <w:jc w:val="both"/>
        <w:rPr>
          <w:rFonts w:ascii="Times New Roman" w:hAnsi="Times New Roman" w:cs="Times New Roman"/>
          <w:sz w:val="24"/>
          <w:szCs w:val="24"/>
        </w:rPr>
      </w:pPr>
    </w:p>
    <w:p w14:paraId="4F64B3E1"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Działania podejmowane na terenie województwa wielkopolskiego to przede wszystkim programy aktywizujące ogłaszane przez Ministra Rodziny, Pracy i Polityki Społecznej tj.:</w:t>
      </w:r>
    </w:p>
    <w:p w14:paraId="655594D4" w14:textId="77777777" w:rsidR="006F1AED" w:rsidRDefault="00AB1786" w:rsidP="008C71A9">
      <w:pPr>
        <w:pStyle w:val="Akapitzlist"/>
        <w:numPr>
          <w:ilvl w:val="0"/>
          <w:numId w:val="196"/>
        </w:numPr>
        <w:spacing w:after="0"/>
        <w:ind w:left="360"/>
        <w:jc w:val="both"/>
        <w:rPr>
          <w:rFonts w:ascii="Times New Roman" w:hAnsi="Times New Roman" w:cs="Times New Roman"/>
          <w:sz w:val="24"/>
          <w:szCs w:val="24"/>
        </w:rPr>
      </w:pPr>
      <w:r w:rsidRPr="006F1AED">
        <w:rPr>
          <w:rFonts w:ascii="Times New Roman" w:hAnsi="Times New Roman" w:cs="Times New Roman"/>
          <w:sz w:val="24"/>
          <w:szCs w:val="24"/>
        </w:rPr>
        <w:t>Program Wieloletni „Senior+”,</w:t>
      </w:r>
    </w:p>
    <w:p w14:paraId="1F3B7DE8" w14:textId="77777777" w:rsidR="006F1AED" w:rsidRDefault="00AB1786" w:rsidP="008C71A9">
      <w:pPr>
        <w:pStyle w:val="Akapitzlist"/>
        <w:numPr>
          <w:ilvl w:val="0"/>
          <w:numId w:val="196"/>
        </w:numPr>
        <w:spacing w:after="0"/>
        <w:ind w:left="360"/>
        <w:jc w:val="both"/>
        <w:rPr>
          <w:rFonts w:ascii="Times New Roman" w:hAnsi="Times New Roman" w:cs="Times New Roman"/>
          <w:sz w:val="24"/>
          <w:szCs w:val="24"/>
        </w:rPr>
      </w:pPr>
      <w:r w:rsidRPr="006F1AED">
        <w:rPr>
          <w:rFonts w:ascii="Times New Roman" w:hAnsi="Times New Roman" w:cs="Times New Roman"/>
          <w:sz w:val="24"/>
          <w:szCs w:val="24"/>
        </w:rPr>
        <w:t xml:space="preserve">Rządowy program na rzecz Aktywności Społecznej Osób Starszych (ASOS) - obecnie </w:t>
      </w:r>
      <w:r w:rsidRPr="006F1AED">
        <w:rPr>
          <w:rFonts w:ascii="Times New Roman" w:hAnsi="Times New Roman" w:cs="Times New Roman"/>
          <w:sz w:val="24"/>
          <w:szCs w:val="24"/>
        </w:rPr>
        <w:br/>
        <w:t>w program ASOS zaangażowanych jest 17 organizacji z województwa wielkopolskiego,</w:t>
      </w:r>
    </w:p>
    <w:p w14:paraId="4859EE8B" w14:textId="77777777" w:rsidR="00AB1786" w:rsidRPr="006F1AED" w:rsidRDefault="00AB1786" w:rsidP="008C71A9">
      <w:pPr>
        <w:pStyle w:val="Akapitzlist"/>
        <w:numPr>
          <w:ilvl w:val="0"/>
          <w:numId w:val="196"/>
        </w:numPr>
        <w:spacing w:after="0"/>
        <w:ind w:left="360"/>
        <w:jc w:val="both"/>
        <w:rPr>
          <w:rFonts w:ascii="Times New Roman" w:hAnsi="Times New Roman" w:cs="Times New Roman"/>
          <w:sz w:val="24"/>
          <w:szCs w:val="24"/>
        </w:rPr>
      </w:pPr>
      <w:r w:rsidRPr="006F1AED">
        <w:rPr>
          <w:rFonts w:ascii="Times New Roman" w:hAnsi="Times New Roman" w:cs="Times New Roman"/>
          <w:sz w:val="24"/>
          <w:szCs w:val="24"/>
        </w:rPr>
        <w:t>Bezpieczny i Aktywny Senior.</w:t>
      </w:r>
    </w:p>
    <w:p w14:paraId="3D212C5A" w14:textId="77777777" w:rsidR="006F1AED" w:rsidRDefault="006F1AED" w:rsidP="000D7CDE">
      <w:pPr>
        <w:spacing w:after="0"/>
        <w:jc w:val="both"/>
        <w:rPr>
          <w:rFonts w:ascii="Times New Roman" w:hAnsi="Times New Roman" w:cs="Times New Roman"/>
          <w:sz w:val="24"/>
          <w:szCs w:val="24"/>
        </w:rPr>
      </w:pPr>
    </w:p>
    <w:p w14:paraId="3CAF5B14"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Ponadto, w gminach na potrzeby seniorów odpowiadają również  Komisariaty Policji, przeprowadzając warsztaty profilaktyczne na temat przeciwdziałania zagrożeniom, </w:t>
      </w:r>
      <w:r w:rsidRPr="005F0A32">
        <w:rPr>
          <w:rFonts w:ascii="Times New Roman" w:hAnsi="Times New Roman" w:cs="Times New Roman"/>
          <w:sz w:val="24"/>
          <w:szCs w:val="24"/>
        </w:rPr>
        <w:br/>
        <w:t xml:space="preserve">które dotykają seniorów. W działania na rzecz seniorów włączają się także parafie </w:t>
      </w:r>
      <w:r w:rsidRPr="005F0A32">
        <w:rPr>
          <w:rFonts w:ascii="Times New Roman" w:hAnsi="Times New Roman" w:cs="Times New Roman"/>
          <w:sz w:val="24"/>
          <w:szCs w:val="24"/>
        </w:rPr>
        <w:br/>
        <w:t>i organizacje pozarządowe, które organizują wyjazdy i spotkania dla emerytów i rencistów.</w:t>
      </w:r>
    </w:p>
    <w:p w14:paraId="2E45D4B3" w14:textId="77777777" w:rsidR="006F1AED" w:rsidRDefault="006F1AED" w:rsidP="000D7CDE">
      <w:pPr>
        <w:spacing w:after="0"/>
        <w:jc w:val="both"/>
        <w:rPr>
          <w:rFonts w:ascii="Times New Roman" w:hAnsi="Times New Roman" w:cs="Times New Roman"/>
          <w:sz w:val="24"/>
          <w:szCs w:val="24"/>
        </w:rPr>
      </w:pPr>
    </w:p>
    <w:p w14:paraId="47FDA6FA"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 xml:space="preserve">Dobrych praktyk skierowanych do wielkopolskich seniorów niewątpliwie jest bardzo wiele, obejmują one swym zakresem aktywizację osób starszych, umożliwiają dostęp do zajęć  kulturalnych oraz opieki z zakresu zdrowia. Na szczególną uwagę zasługuje promocja </w:t>
      </w:r>
      <w:r w:rsidRPr="005F0A32">
        <w:rPr>
          <w:rFonts w:ascii="Times New Roman" w:hAnsi="Times New Roman" w:cs="Times New Roman"/>
          <w:sz w:val="24"/>
          <w:szCs w:val="24"/>
        </w:rPr>
        <w:br/>
        <w:t>i rozwój gminnych oraz powiatowych rad seniorów, których liczba z roku na rok wzrasta.</w:t>
      </w:r>
    </w:p>
    <w:p w14:paraId="68FB9764" w14:textId="77777777" w:rsidR="00C74919" w:rsidRDefault="00C74919" w:rsidP="000D7CDE">
      <w:pPr>
        <w:tabs>
          <w:tab w:val="left" w:pos="567"/>
        </w:tabs>
        <w:spacing w:after="0"/>
        <w:jc w:val="both"/>
        <w:rPr>
          <w:rFonts w:ascii="Times New Roman" w:eastAsia="Calibri" w:hAnsi="Times New Roman" w:cs="Times New Roman"/>
          <w:sz w:val="24"/>
          <w:szCs w:val="24"/>
        </w:rPr>
      </w:pPr>
    </w:p>
    <w:p w14:paraId="16EBB79D" w14:textId="77777777" w:rsidR="00AB1786" w:rsidRPr="005F0A32" w:rsidRDefault="00AB1786" w:rsidP="000D7CDE">
      <w:pPr>
        <w:tabs>
          <w:tab w:val="left" w:pos="567"/>
        </w:tabs>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W województwie wielkopolskim liczącym 226 gminy działają 32 gminne rady seniorów funkcjonujące na podstawie przepisów art. 5 c ustawy o samorządzie gminnym. Wszystkie one biorą one aktywny udział w działaniach na rzecz lokalnej polityki senioralnej. </w:t>
      </w:r>
    </w:p>
    <w:p w14:paraId="6BEFC52B" w14:textId="77777777" w:rsidR="00AB1786" w:rsidRPr="005F0A32" w:rsidRDefault="00AB1786" w:rsidP="003C1988">
      <w:pPr>
        <w:tabs>
          <w:tab w:val="left" w:pos="567"/>
        </w:tabs>
        <w:spacing w:after="0"/>
        <w:rPr>
          <w:rFonts w:ascii="Times New Roman" w:eastAsia="Calibri" w:hAnsi="Times New Roman" w:cs="Times New Roman"/>
          <w:b/>
          <w:sz w:val="24"/>
          <w:szCs w:val="24"/>
        </w:rPr>
      </w:pPr>
    </w:p>
    <w:tbl>
      <w:tblPr>
        <w:tblW w:w="9323"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ook w:val="04A0" w:firstRow="1" w:lastRow="0" w:firstColumn="1" w:lastColumn="0" w:noHBand="0" w:noVBand="1"/>
      </w:tblPr>
      <w:tblGrid>
        <w:gridCol w:w="541"/>
        <w:gridCol w:w="2420"/>
        <w:gridCol w:w="2262"/>
        <w:gridCol w:w="2541"/>
        <w:gridCol w:w="1559"/>
      </w:tblGrid>
      <w:tr w:rsidR="00AB1786" w:rsidRPr="00386862" w14:paraId="048C1547" w14:textId="77777777" w:rsidTr="00386862">
        <w:tc>
          <w:tcPr>
            <w:tcW w:w="514" w:type="dxa"/>
            <w:shd w:val="clear" w:color="auto" w:fill="9CC2E5" w:themeFill="accent1" w:themeFillTint="99"/>
          </w:tcPr>
          <w:p w14:paraId="686BF93B" w14:textId="77777777" w:rsidR="00AB1786" w:rsidRPr="00386862" w:rsidRDefault="00AB1786" w:rsidP="00386862">
            <w:pPr>
              <w:spacing w:after="0"/>
              <w:jc w:val="center"/>
              <w:rPr>
                <w:rFonts w:ascii="Times New Roman" w:eastAsia="Calibri" w:hAnsi="Times New Roman" w:cs="Times New Roman"/>
                <w:b/>
                <w:szCs w:val="24"/>
              </w:rPr>
            </w:pPr>
          </w:p>
          <w:p w14:paraId="11453AF5" w14:textId="77777777" w:rsidR="00AB1786" w:rsidRPr="00386862" w:rsidRDefault="00AB1786" w:rsidP="00386862">
            <w:pPr>
              <w:spacing w:after="0"/>
              <w:jc w:val="center"/>
              <w:rPr>
                <w:rFonts w:ascii="Times New Roman" w:eastAsia="Calibri" w:hAnsi="Times New Roman" w:cs="Times New Roman"/>
                <w:b/>
                <w:szCs w:val="24"/>
              </w:rPr>
            </w:pPr>
            <w:r w:rsidRPr="00386862">
              <w:rPr>
                <w:rFonts w:ascii="Times New Roman" w:eastAsia="Calibri" w:hAnsi="Times New Roman" w:cs="Times New Roman"/>
                <w:b/>
                <w:szCs w:val="24"/>
              </w:rPr>
              <w:t>Lp.</w:t>
            </w:r>
          </w:p>
        </w:tc>
        <w:tc>
          <w:tcPr>
            <w:tcW w:w="2429" w:type="dxa"/>
            <w:shd w:val="clear" w:color="auto" w:fill="9CC2E5" w:themeFill="accent1" w:themeFillTint="99"/>
          </w:tcPr>
          <w:p w14:paraId="27F37969" w14:textId="77777777" w:rsidR="00AB1786" w:rsidRPr="00386862" w:rsidRDefault="00AB1786" w:rsidP="00386862">
            <w:pPr>
              <w:spacing w:after="0"/>
              <w:jc w:val="center"/>
              <w:rPr>
                <w:rFonts w:ascii="Times New Roman" w:eastAsia="Calibri" w:hAnsi="Times New Roman" w:cs="Times New Roman"/>
                <w:b/>
                <w:szCs w:val="24"/>
              </w:rPr>
            </w:pPr>
          </w:p>
          <w:p w14:paraId="428571A8" w14:textId="77777777" w:rsidR="00AB1786" w:rsidRPr="00386862" w:rsidRDefault="00AB1786" w:rsidP="00386862">
            <w:pPr>
              <w:spacing w:after="0"/>
              <w:jc w:val="center"/>
              <w:rPr>
                <w:rFonts w:ascii="Times New Roman" w:eastAsia="Calibri" w:hAnsi="Times New Roman" w:cs="Times New Roman"/>
                <w:b/>
                <w:szCs w:val="24"/>
              </w:rPr>
            </w:pPr>
            <w:r w:rsidRPr="00386862">
              <w:rPr>
                <w:rFonts w:ascii="Times New Roman" w:eastAsia="Calibri" w:hAnsi="Times New Roman" w:cs="Times New Roman"/>
                <w:b/>
                <w:szCs w:val="24"/>
              </w:rPr>
              <w:t>województwo</w:t>
            </w:r>
          </w:p>
          <w:p w14:paraId="146622EF" w14:textId="77777777" w:rsidR="00AB1786" w:rsidRPr="00386862" w:rsidRDefault="00AB1786" w:rsidP="00386862">
            <w:pPr>
              <w:spacing w:after="0"/>
              <w:jc w:val="center"/>
              <w:rPr>
                <w:rFonts w:ascii="Times New Roman" w:eastAsia="Calibri" w:hAnsi="Times New Roman" w:cs="Times New Roman"/>
                <w:b/>
                <w:szCs w:val="24"/>
              </w:rPr>
            </w:pPr>
          </w:p>
        </w:tc>
        <w:tc>
          <w:tcPr>
            <w:tcW w:w="2268" w:type="dxa"/>
            <w:shd w:val="clear" w:color="auto" w:fill="9CC2E5" w:themeFill="accent1" w:themeFillTint="99"/>
          </w:tcPr>
          <w:p w14:paraId="2D56E9B1" w14:textId="77777777" w:rsidR="00AB1786" w:rsidRPr="00386862" w:rsidRDefault="00AB1786" w:rsidP="00386862">
            <w:pPr>
              <w:spacing w:after="0"/>
              <w:jc w:val="center"/>
              <w:rPr>
                <w:rFonts w:ascii="Times New Roman" w:eastAsia="Calibri" w:hAnsi="Times New Roman" w:cs="Times New Roman"/>
                <w:b/>
                <w:szCs w:val="24"/>
              </w:rPr>
            </w:pPr>
          </w:p>
          <w:p w14:paraId="7A4FEDFC" w14:textId="77777777" w:rsidR="00AB1786" w:rsidRPr="00386862" w:rsidRDefault="00AB1786" w:rsidP="00386862">
            <w:pPr>
              <w:spacing w:after="0"/>
              <w:ind w:right="-250"/>
              <w:jc w:val="center"/>
              <w:rPr>
                <w:rFonts w:ascii="Times New Roman" w:eastAsia="Calibri" w:hAnsi="Times New Roman" w:cs="Times New Roman"/>
                <w:b/>
                <w:szCs w:val="24"/>
              </w:rPr>
            </w:pPr>
            <w:r w:rsidRPr="00386862">
              <w:rPr>
                <w:rFonts w:ascii="Times New Roman" w:eastAsia="Calibri" w:hAnsi="Times New Roman" w:cs="Times New Roman"/>
                <w:b/>
                <w:szCs w:val="24"/>
              </w:rPr>
              <w:t>Liczba gmin w województwie</w:t>
            </w:r>
          </w:p>
          <w:p w14:paraId="6769CFB6" w14:textId="77777777" w:rsidR="00AB1786" w:rsidRPr="00386862" w:rsidRDefault="00AB1786" w:rsidP="00386862">
            <w:pPr>
              <w:spacing w:after="0"/>
              <w:ind w:right="-250"/>
              <w:jc w:val="center"/>
              <w:rPr>
                <w:rFonts w:ascii="Times New Roman" w:eastAsia="Calibri" w:hAnsi="Times New Roman" w:cs="Times New Roman"/>
                <w:b/>
                <w:szCs w:val="24"/>
              </w:rPr>
            </w:pPr>
            <w:r w:rsidRPr="00386862">
              <w:rPr>
                <w:rFonts w:ascii="Times New Roman" w:eastAsia="Calibri" w:hAnsi="Times New Roman" w:cs="Times New Roman"/>
                <w:b/>
                <w:szCs w:val="24"/>
              </w:rPr>
              <w:t>- ogółem</w:t>
            </w:r>
          </w:p>
        </w:tc>
        <w:tc>
          <w:tcPr>
            <w:tcW w:w="2552" w:type="dxa"/>
            <w:shd w:val="clear" w:color="auto" w:fill="9CC2E5" w:themeFill="accent1" w:themeFillTint="99"/>
          </w:tcPr>
          <w:p w14:paraId="615259FF" w14:textId="77777777" w:rsidR="00AB1786" w:rsidRPr="00386862" w:rsidRDefault="00AB1786" w:rsidP="00386862">
            <w:pPr>
              <w:spacing w:after="0"/>
              <w:jc w:val="center"/>
              <w:rPr>
                <w:rFonts w:ascii="Times New Roman" w:eastAsia="Calibri" w:hAnsi="Times New Roman" w:cs="Times New Roman"/>
                <w:b/>
                <w:szCs w:val="24"/>
              </w:rPr>
            </w:pPr>
          </w:p>
          <w:p w14:paraId="2F538685" w14:textId="77777777" w:rsidR="00AB1786" w:rsidRPr="00386862" w:rsidRDefault="00AB1786" w:rsidP="00386862">
            <w:pPr>
              <w:spacing w:after="0"/>
              <w:ind w:left="-108"/>
              <w:jc w:val="center"/>
              <w:rPr>
                <w:rFonts w:ascii="Times New Roman" w:eastAsia="Calibri" w:hAnsi="Times New Roman" w:cs="Times New Roman"/>
                <w:b/>
                <w:szCs w:val="24"/>
              </w:rPr>
            </w:pPr>
            <w:r w:rsidRPr="00386862">
              <w:rPr>
                <w:rFonts w:ascii="Times New Roman" w:eastAsia="Calibri" w:hAnsi="Times New Roman" w:cs="Times New Roman"/>
                <w:b/>
                <w:szCs w:val="24"/>
              </w:rPr>
              <w:t>Liczba gmin w których</w:t>
            </w:r>
          </w:p>
          <w:p w14:paraId="325C71F6" w14:textId="77777777" w:rsidR="00AB1786" w:rsidRPr="00386862" w:rsidRDefault="00AB1786" w:rsidP="00386862">
            <w:pPr>
              <w:spacing w:after="0"/>
              <w:ind w:left="-108"/>
              <w:jc w:val="center"/>
              <w:rPr>
                <w:rFonts w:ascii="Times New Roman" w:eastAsia="Calibri" w:hAnsi="Times New Roman" w:cs="Times New Roman"/>
                <w:b/>
                <w:szCs w:val="24"/>
              </w:rPr>
            </w:pPr>
            <w:r w:rsidRPr="00386862">
              <w:rPr>
                <w:rFonts w:ascii="Times New Roman" w:eastAsia="Calibri" w:hAnsi="Times New Roman" w:cs="Times New Roman"/>
                <w:b/>
                <w:szCs w:val="24"/>
              </w:rPr>
              <w:t>funkcjonują gminne</w:t>
            </w:r>
          </w:p>
          <w:p w14:paraId="1F8CB573" w14:textId="77777777" w:rsidR="00AB1786" w:rsidRPr="00386862" w:rsidRDefault="00AB1786" w:rsidP="00386862">
            <w:pPr>
              <w:spacing w:after="0"/>
              <w:ind w:left="-108"/>
              <w:jc w:val="center"/>
              <w:rPr>
                <w:rFonts w:ascii="Times New Roman" w:eastAsia="Calibri" w:hAnsi="Times New Roman" w:cs="Times New Roman"/>
                <w:b/>
                <w:szCs w:val="24"/>
              </w:rPr>
            </w:pPr>
            <w:r w:rsidRPr="00386862">
              <w:rPr>
                <w:rFonts w:ascii="Times New Roman" w:eastAsia="Calibri" w:hAnsi="Times New Roman" w:cs="Times New Roman"/>
                <w:b/>
                <w:szCs w:val="24"/>
              </w:rPr>
              <w:t>rady seniorów</w:t>
            </w:r>
          </w:p>
        </w:tc>
        <w:tc>
          <w:tcPr>
            <w:tcW w:w="1560" w:type="dxa"/>
            <w:shd w:val="clear" w:color="auto" w:fill="9CC2E5" w:themeFill="accent1" w:themeFillTint="99"/>
          </w:tcPr>
          <w:p w14:paraId="7419B066" w14:textId="77777777" w:rsidR="00AB1786" w:rsidRPr="00386862" w:rsidRDefault="00AB1786" w:rsidP="00386862">
            <w:pPr>
              <w:spacing w:after="0"/>
              <w:ind w:left="34" w:hanging="600"/>
              <w:jc w:val="center"/>
              <w:rPr>
                <w:rFonts w:ascii="Times New Roman" w:eastAsia="Calibri" w:hAnsi="Times New Roman" w:cs="Times New Roman"/>
                <w:szCs w:val="24"/>
              </w:rPr>
            </w:pPr>
          </w:p>
          <w:p w14:paraId="18913F07" w14:textId="77777777" w:rsidR="00AB1786" w:rsidRPr="00386862" w:rsidRDefault="00AB1786" w:rsidP="00386862">
            <w:pPr>
              <w:spacing w:after="0"/>
              <w:jc w:val="center"/>
              <w:rPr>
                <w:rFonts w:ascii="Times New Roman" w:eastAsia="Calibri" w:hAnsi="Times New Roman" w:cs="Times New Roman"/>
                <w:b/>
                <w:szCs w:val="24"/>
              </w:rPr>
            </w:pPr>
            <w:r w:rsidRPr="00386862">
              <w:rPr>
                <w:rFonts w:ascii="Times New Roman" w:eastAsia="Calibri" w:hAnsi="Times New Roman" w:cs="Times New Roman"/>
                <w:b/>
                <w:szCs w:val="24"/>
              </w:rPr>
              <w:t>Uwagi</w:t>
            </w:r>
          </w:p>
          <w:p w14:paraId="172BC0B1" w14:textId="77777777" w:rsidR="00AB1786" w:rsidRPr="00386862" w:rsidRDefault="00AB1786" w:rsidP="00386862">
            <w:pPr>
              <w:spacing w:after="0"/>
              <w:jc w:val="center"/>
              <w:rPr>
                <w:rFonts w:ascii="Times New Roman" w:eastAsia="Calibri" w:hAnsi="Times New Roman" w:cs="Times New Roman"/>
                <w:b/>
                <w:szCs w:val="24"/>
              </w:rPr>
            </w:pPr>
            <w:r w:rsidRPr="00386862">
              <w:rPr>
                <w:rFonts w:ascii="Times New Roman" w:eastAsia="Calibri" w:hAnsi="Times New Roman" w:cs="Times New Roman"/>
                <w:b/>
                <w:szCs w:val="24"/>
              </w:rPr>
              <w:t>(wyjaśnienia)</w:t>
            </w:r>
          </w:p>
        </w:tc>
      </w:tr>
      <w:tr w:rsidR="00AB1786" w:rsidRPr="00386862" w14:paraId="497BDA74" w14:textId="77777777" w:rsidTr="00386862">
        <w:tc>
          <w:tcPr>
            <w:tcW w:w="514" w:type="dxa"/>
            <w:shd w:val="clear" w:color="auto" w:fill="9CC2E5" w:themeFill="accent1" w:themeFillTint="99"/>
          </w:tcPr>
          <w:p w14:paraId="0D190981" w14:textId="77777777" w:rsidR="00AB1786" w:rsidRPr="00386862" w:rsidRDefault="00AB1786" w:rsidP="00386862">
            <w:pPr>
              <w:spacing w:after="0"/>
              <w:jc w:val="center"/>
              <w:rPr>
                <w:rFonts w:ascii="Times New Roman" w:eastAsia="Calibri" w:hAnsi="Times New Roman" w:cs="Times New Roman"/>
                <w:b/>
                <w:szCs w:val="24"/>
              </w:rPr>
            </w:pPr>
            <w:r w:rsidRPr="00386862">
              <w:rPr>
                <w:rFonts w:ascii="Times New Roman" w:eastAsia="Calibri" w:hAnsi="Times New Roman" w:cs="Times New Roman"/>
                <w:b/>
                <w:szCs w:val="24"/>
              </w:rPr>
              <w:t>1</w:t>
            </w:r>
            <w:r w:rsidR="00386862" w:rsidRPr="00386862">
              <w:rPr>
                <w:rFonts w:ascii="Times New Roman" w:eastAsia="Calibri" w:hAnsi="Times New Roman" w:cs="Times New Roman"/>
                <w:b/>
                <w:szCs w:val="24"/>
              </w:rPr>
              <w:t>.</w:t>
            </w:r>
          </w:p>
          <w:p w14:paraId="148E62FF" w14:textId="77777777" w:rsidR="00AB1786" w:rsidRPr="00386862" w:rsidRDefault="00AB1786" w:rsidP="00386862">
            <w:pPr>
              <w:spacing w:after="0"/>
              <w:jc w:val="center"/>
              <w:rPr>
                <w:rFonts w:ascii="Times New Roman" w:eastAsia="Calibri" w:hAnsi="Times New Roman" w:cs="Times New Roman"/>
                <w:b/>
                <w:szCs w:val="24"/>
              </w:rPr>
            </w:pPr>
          </w:p>
        </w:tc>
        <w:tc>
          <w:tcPr>
            <w:tcW w:w="2429" w:type="dxa"/>
            <w:shd w:val="clear" w:color="auto" w:fill="auto"/>
          </w:tcPr>
          <w:p w14:paraId="35788EE7" w14:textId="77777777" w:rsidR="00AB1786" w:rsidRPr="00386862" w:rsidRDefault="00AB1786" w:rsidP="00386862">
            <w:pPr>
              <w:spacing w:after="0"/>
              <w:jc w:val="center"/>
              <w:rPr>
                <w:rFonts w:ascii="Times New Roman" w:eastAsia="Calibri" w:hAnsi="Times New Roman" w:cs="Times New Roman"/>
                <w:b/>
                <w:szCs w:val="24"/>
              </w:rPr>
            </w:pPr>
            <w:r w:rsidRPr="00386862">
              <w:rPr>
                <w:rFonts w:ascii="Times New Roman" w:eastAsia="Calibri" w:hAnsi="Times New Roman" w:cs="Times New Roman"/>
                <w:b/>
                <w:szCs w:val="24"/>
              </w:rPr>
              <w:t>wielkopolskie</w:t>
            </w:r>
          </w:p>
        </w:tc>
        <w:tc>
          <w:tcPr>
            <w:tcW w:w="2268" w:type="dxa"/>
            <w:shd w:val="clear" w:color="auto" w:fill="auto"/>
          </w:tcPr>
          <w:p w14:paraId="6D0F0B95" w14:textId="77777777" w:rsidR="00AB1786" w:rsidRPr="00386862" w:rsidRDefault="00AB1786" w:rsidP="00386862">
            <w:pPr>
              <w:spacing w:after="0"/>
              <w:jc w:val="center"/>
              <w:rPr>
                <w:rFonts w:ascii="Times New Roman" w:eastAsia="Calibri" w:hAnsi="Times New Roman" w:cs="Times New Roman"/>
                <w:szCs w:val="24"/>
              </w:rPr>
            </w:pPr>
            <w:r w:rsidRPr="00386862">
              <w:rPr>
                <w:rFonts w:ascii="Times New Roman" w:eastAsia="Calibri" w:hAnsi="Times New Roman" w:cs="Times New Roman"/>
                <w:szCs w:val="24"/>
              </w:rPr>
              <w:t>226</w:t>
            </w:r>
          </w:p>
        </w:tc>
        <w:tc>
          <w:tcPr>
            <w:tcW w:w="2552" w:type="dxa"/>
            <w:shd w:val="clear" w:color="auto" w:fill="auto"/>
          </w:tcPr>
          <w:p w14:paraId="753C40E5" w14:textId="77777777" w:rsidR="00AB1786" w:rsidRPr="00386862" w:rsidRDefault="00AB1786" w:rsidP="00386862">
            <w:pPr>
              <w:spacing w:after="0"/>
              <w:jc w:val="center"/>
              <w:rPr>
                <w:rFonts w:ascii="Times New Roman" w:eastAsia="Calibri" w:hAnsi="Times New Roman" w:cs="Times New Roman"/>
                <w:b/>
                <w:szCs w:val="24"/>
              </w:rPr>
            </w:pPr>
            <w:r w:rsidRPr="00386862">
              <w:rPr>
                <w:rFonts w:ascii="Times New Roman" w:eastAsia="Calibri" w:hAnsi="Times New Roman" w:cs="Times New Roman"/>
                <w:b/>
                <w:szCs w:val="24"/>
              </w:rPr>
              <w:t>32</w:t>
            </w:r>
          </w:p>
        </w:tc>
        <w:tc>
          <w:tcPr>
            <w:tcW w:w="1560" w:type="dxa"/>
            <w:shd w:val="clear" w:color="auto" w:fill="auto"/>
          </w:tcPr>
          <w:p w14:paraId="23929571" w14:textId="77777777" w:rsidR="00AB1786" w:rsidRPr="00386862" w:rsidRDefault="00AB1786" w:rsidP="00386862">
            <w:pPr>
              <w:spacing w:after="0"/>
              <w:jc w:val="center"/>
              <w:rPr>
                <w:rFonts w:ascii="Times New Roman" w:eastAsia="Calibri" w:hAnsi="Times New Roman" w:cs="Times New Roman"/>
                <w:szCs w:val="24"/>
              </w:rPr>
            </w:pPr>
            <w:r w:rsidRPr="00386862">
              <w:rPr>
                <w:rFonts w:ascii="Times New Roman" w:eastAsia="Calibri" w:hAnsi="Times New Roman" w:cs="Times New Roman"/>
                <w:szCs w:val="24"/>
              </w:rPr>
              <w:t>-</w:t>
            </w:r>
          </w:p>
        </w:tc>
      </w:tr>
    </w:tbl>
    <w:p w14:paraId="2F787C24" w14:textId="77777777" w:rsidR="00AB1786" w:rsidRPr="005F0A32" w:rsidRDefault="00AB1786" w:rsidP="003C1988">
      <w:pPr>
        <w:tabs>
          <w:tab w:val="left" w:pos="567"/>
        </w:tabs>
        <w:spacing w:after="0"/>
        <w:ind w:left="720"/>
        <w:contextualSpacing/>
        <w:rPr>
          <w:rFonts w:ascii="Times New Roman" w:eastAsia="Calibri" w:hAnsi="Times New Roman" w:cs="Times New Roman"/>
          <w:b/>
          <w:sz w:val="24"/>
          <w:szCs w:val="24"/>
        </w:rPr>
      </w:pPr>
    </w:p>
    <w:p w14:paraId="3C3F4F6A" w14:textId="77777777" w:rsidR="00AB1786" w:rsidRDefault="00AB1786" w:rsidP="000D7CDE">
      <w:pPr>
        <w:tabs>
          <w:tab w:val="left" w:pos="567"/>
        </w:tabs>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Chodzieska Rada Seniorów</w:t>
      </w:r>
      <w:r w:rsidRPr="005F0A32">
        <w:rPr>
          <w:rFonts w:ascii="Times New Roman" w:eastAsia="Calibri" w:hAnsi="Times New Roman" w:cs="Times New Roman"/>
          <w:sz w:val="24"/>
          <w:szCs w:val="24"/>
        </w:rPr>
        <w:t xml:space="preserve"> poddaje pod dyskusję bieżące zagadnienia z zakresu działania Burmistrza Miasta Chodzieży oraz Rady Miejskiej w Chodzieży. Przewodnicząca Chodzieskiej Rady Seniorów otrzymuje projekty uchwał Rady Miejskiej w Chodzieży przed każdą sesją Rady. </w:t>
      </w:r>
    </w:p>
    <w:p w14:paraId="63D66348" w14:textId="77777777" w:rsidR="00886B18" w:rsidRPr="005F0A32" w:rsidRDefault="00886B18" w:rsidP="000D7CDE">
      <w:pPr>
        <w:tabs>
          <w:tab w:val="left" w:pos="567"/>
        </w:tabs>
        <w:spacing w:after="0"/>
        <w:contextualSpacing/>
        <w:jc w:val="both"/>
        <w:rPr>
          <w:rFonts w:ascii="Times New Roman" w:eastAsia="Calibri" w:hAnsi="Times New Roman" w:cs="Times New Roman"/>
          <w:sz w:val="24"/>
          <w:szCs w:val="24"/>
        </w:rPr>
      </w:pPr>
    </w:p>
    <w:p w14:paraId="32ABAFD4" w14:textId="77777777" w:rsidR="00AB1786" w:rsidRDefault="00AB1786" w:rsidP="000D7CDE">
      <w:pPr>
        <w:tabs>
          <w:tab w:val="left" w:pos="567"/>
        </w:tabs>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 xml:space="preserve">Gnieźnieńska Rada Seniorów - </w:t>
      </w:r>
      <w:r w:rsidRPr="005F0A32">
        <w:rPr>
          <w:rFonts w:ascii="Times New Roman" w:eastAsia="Calibri" w:hAnsi="Times New Roman" w:cs="Times New Roman"/>
          <w:sz w:val="24"/>
          <w:szCs w:val="24"/>
        </w:rPr>
        <w:t>inicjatywa imprez integracyjnych, profilaktycznych, warsztatów kompetencji cyfrowych, warsztatów artystycznych seniorów, Złota Rączka dla Seniora, Teleopieka. Rada Seniorów konsultuje i opiniuje dokumenty dotyczące polityki senioralnej w mieście, monitoruje potrzeby gnieźnieńskich seniorów podczas pełnionych dyżurów, współpracuje z organizacjami zajmującymi się problemami osób starszych, rola informacyjna o kierunkach działań samorządu na rzecz seniorów, promocja Gnieźnieńskiej Karty Seniora, Koperty Życia, Karty Praw Dziadków. Udział w szkoleniach i konferencjach krajowych. Współdziałanie z innymi Radami Seniorów.</w:t>
      </w:r>
    </w:p>
    <w:p w14:paraId="7F85165A" w14:textId="77777777" w:rsidR="00886B18" w:rsidRPr="005F0A32" w:rsidRDefault="00886B18" w:rsidP="000D7CDE">
      <w:pPr>
        <w:tabs>
          <w:tab w:val="left" w:pos="567"/>
        </w:tabs>
        <w:spacing w:after="0"/>
        <w:contextualSpacing/>
        <w:jc w:val="both"/>
        <w:rPr>
          <w:rFonts w:ascii="Times New Roman" w:eastAsia="Calibri" w:hAnsi="Times New Roman" w:cs="Times New Roman"/>
          <w:sz w:val="24"/>
          <w:szCs w:val="24"/>
        </w:rPr>
      </w:pPr>
    </w:p>
    <w:p w14:paraId="2FB77FB2" w14:textId="77777777" w:rsidR="00AB1786" w:rsidRDefault="00AB1786" w:rsidP="000D7CDE">
      <w:pPr>
        <w:tabs>
          <w:tab w:val="left" w:pos="567"/>
        </w:tabs>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 xml:space="preserve">Gostyńska Rada Seniorów </w:t>
      </w:r>
      <w:r w:rsidRPr="005F0A32">
        <w:rPr>
          <w:rFonts w:ascii="Times New Roman" w:eastAsia="Calibri" w:hAnsi="Times New Roman" w:cs="Times New Roman"/>
          <w:sz w:val="24"/>
          <w:szCs w:val="24"/>
        </w:rPr>
        <w:t>- inicjatywa wdrożenia programów wspierających seniorów "Gostyńska Karta Seniora", "Bransoletka Życia", "Fachowiec dla Seniora", gostyński ryczałt na lek, Kino Seniora  oraz ich monitorowanie i ewaluacja, organizacja spotkań  "Bliżej prawa dla seniorów”, wizyty studyjne w ośrodkach, instytucjach wspierających osoby starsze (DPS, ośrodkach  rehabilitacyjnych, szpitalach).</w:t>
      </w:r>
    </w:p>
    <w:p w14:paraId="2DAA9307" w14:textId="77777777" w:rsidR="00886B18" w:rsidRPr="005F0A32" w:rsidRDefault="00886B18" w:rsidP="000D7CDE">
      <w:pPr>
        <w:tabs>
          <w:tab w:val="left" w:pos="567"/>
        </w:tabs>
        <w:spacing w:after="0"/>
        <w:contextualSpacing/>
        <w:jc w:val="both"/>
        <w:rPr>
          <w:rFonts w:ascii="Times New Roman" w:eastAsia="Calibri" w:hAnsi="Times New Roman" w:cs="Times New Roman"/>
          <w:b/>
          <w:sz w:val="24"/>
          <w:szCs w:val="24"/>
        </w:rPr>
      </w:pPr>
    </w:p>
    <w:p w14:paraId="03D73256" w14:textId="77777777" w:rsidR="00AB1786" w:rsidRDefault="00AB1786" w:rsidP="000D7CDE">
      <w:pPr>
        <w:tabs>
          <w:tab w:val="left" w:pos="567"/>
        </w:tabs>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 xml:space="preserve">Kaliska Rada Seniorów - </w:t>
      </w:r>
      <w:r w:rsidRPr="005F0A32">
        <w:rPr>
          <w:rFonts w:ascii="Times New Roman" w:eastAsia="Calibri" w:hAnsi="Times New Roman" w:cs="Times New Roman"/>
          <w:sz w:val="24"/>
          <w:szCs w:val="24"/>
        </w:rPr>
        <w:t xml:space="preserve">zainicjowanie takich działań jak: gimnastyka dla seniora, Projektu "Złota rączka", inicjowanie i organizacja spotkań integracyjnych w ramach "Kaliskiej Senioriady", organizacja wyjazdu seniorów na targi "Vivat Senior", interwencje </w:t>
      </w:r>
      <w:r w:rsidRPr="005F0A32">
        <w:rPr>
          <w:rFonts w:ascii="Times New Roman" w:eastAsia="Calibri" w:hAnsi="Times New Roman" w:cs="Times New Roman"/>
          <w:sz w:val="24"/>
          <w:szCs w:val="24"/>
        </w:rPr>
        <w:br/>
        <w:t>w codziennych , bieżących sprawach seniorów jak np. zwiększenie liczby przystanków autobusowych, wyznaczenie dodatkowego przejścia dla pieszych itp., inicjatywa w zakresie organizacji na terenie Kalisza wraz z Urzędem Marszałkowskim szkolenia dla Rad Seniorów z Województwa Wielkopolskiego.</w:t>
      </w:r>
    </w:p>
    <w:p w14:paraId="71B2C8F5" w14:textId="77777777" w:rsidR="002D6C4F" w:rsidRPr="005F0A32" w:rsidRDefault="002D6C4F" w:rsidP="000D7CDE">
      <w:pPr>
        <w:tabs>
          <w:tab w:val="left" w:pos="567"/>
        </w:tabs>
        <w:spacing w:after="0"/>
        <w:contextualSpacing/>
        <w:jc w:val="both"/>
        <w:rPr>
          <w:rFonts w:ascii="Times New Roman" w:eastAsia="Calibri" w:hAnsi="Times New Roman" w:cs="Times New Roman"/>
          <w:b/>
          <w:sz w:val="24"/>
          <w:szCs w:val="24"/>
        </w:rPr>
      </w:pPr>
    </w:p>
    <w:p w14:paraId="72D45649" w14:textId="77777777" w:rsidR="00AB1786" w:rsidRDefault="00AB1786" w:rsidP="000D7CDE">
      <w:pPr>
        <w:tabs>
          <w:tab w:val="left" w:pos="567"/>
        </w:tabs>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Kępińska Gminna Rada Seniorów</w:t>
      </w:r>
      <w:r w:rsidRPr="005F0A32">
        <w:rPr>
          <w:rFonts w:ascii="Times New Roman" w:eastAsia="Calibri" w:hAnsi="Times New Roman" w:cs="Times New Roman"/>
          <w:sz w:val="24"/>
          <w:szCs w:val="24"/>
        </w:rPr>
        <w:t xml:space="preserve"> podejmuje działania na rzecz poprawy jakości życia Seniorów  w Gminie Kępno. Z jej inicjatywy powstała Gminna Karta Seniora, która pozwala uzyskać zniżki w wybranych pun</w:t>
      </w:r>
      <w:r w:rsidR="00886B18">
        <w:rPr>
          <w:rFonts w:ascii="Times New Roman" w:eastAsia="Calibri" w:hAnsi="Times New Roman" w:cs="Times New Roman"/>
          <w:sz w:val="24"/>
          <w:szCs w:val="24"/>
        </w:rPr>
        <w:t xml:space="preserve">ktach handlowych i usługowych. </w:t>
      </w:r>
      <w:r w:rsidRPr="005F0A32">
        <w:rPr>
          <w:rFonts w:ascii="Times New Roman" w:eastAsia="Calibri" w:hAnsi="Times New Roman" w:cs="Times New Roman"/>
          <w:sz w:val="24"/>
          <w:szCs w:val="24"/>
        </w:rPr>
        <w:t>W każdy pierwszy poniedziałek miesiąca GR</w:t>
      </w:r>
      <w:r w:rsidR="00886B18">
        <w:rPr>
          <w:rFonts w:ascii="Times New Roman" w:eastAsia="Calibri" w:hAnsi="Times New Roman" w:cs="Times New Roman"/>
          <w:sz w:val="24"/>
          <w:szCs w:val="24"/>
        </w:rPr>
        <w:t xml:space="preserve">S prowadzi dwugodzinne  dyżury </w:t>
      </w:r>
      <w:r w:rsidRPr="005F0A32">
        <w:rPr>
          <w:rFonts w:ascii="Times New Roman" w:eastAsia="Calibri" w:hAnsi="Times New Roman" w:cs="Times New Roman"/>
          <w:sz w:val="24"/>
          <w:szCs w:val="24"/>
        </w:rPr>
        <w:t xml:space="preserve">w Urzędzie Miasta i Gminy w </w:t>
      </w:r>
      <w:r w:rsidRPr="005F0A32">
        <w:rPr>
          <w:rFonts w:ascii="Times New Roman" w:eastAsia="Calibri" w:hAnsi="Times New Roman" w:cs="Times New Roman"/>
          <w:sz w:val="24"/>
          <w:szCs w:val="24"/>
        </w:rPr>
        <w:lastRenderedPageBreak/>
        <w:t>Kępnie, gdzie seniorzy mogą zgłaszać swoje spostrzeżenia, pomysły lub problemy. GRS działa takż</w:t>
      </w:r>
      <w:r w:rsidR="00886B18">
        <w:rPr>
          <w:rFonts w:ascii="Times New Roman" w:eastAsia="Calibri" w:hAnsi="Times New Roman" w:cs="Times New Roman"/>
          <w:sz w:val="24"/>
          <w:szCs w:val="24"/>
        </w:rPr>
        <w:t xml:space="preserve">e na rzecz integracji seniorów </w:t>
      </w:r>
      <w:r w:rsidRPr="005F0A32">
        <w:rPr>
          <w:rFonts w:ascii="Times New Roman" w:eastAsia="Calibri" w:hAnsi="Times New Roman" w:cs="Times New Roman"/>
          <w:sz w:val="24"/>
          <w:szCs w:val="24"/>
        </w:rPr>
        <w:t>i ich aktywizacji organizując Bal Seniora, sp</w:t>
      </w:r>
      <w:r w:rsidR="00886B18">
        <w:rPr>
          <w:rFonts w:ascii="Times New Roman" w:eastAsia="Calibri" w:hAnsi="Times New Roman" w:cs="Times New Roman"/>
          <w:sz w:val="24"/>
          <w:szCs w:val="24"/>
        </w:rPr>
        <w:t xml:space="preserve">ektakle teatralne i zachęcając </w:t>
      </w:r>
      <w:r w:rsidRPr="005F0A32">
        <w:rPr>
          <w:rFonts w:ascii="Times New Roman" w:eastAsia="Calibri" w:hAnsi="Times New Roman" w:cs="Times New Roman"/>
          <w:sz w:val="24"/>
          <w:szCs w:val="24"/>
        </w:rPr>
        <w:t>do aktywnego udziału w imprezach organizowanych w Gminie Kępno. Członkowie Rady Seniorów biorą udział w licznych konferencjach i współpracują z innymi Radami w celu wymiany doświadczeń i pomysłów.</w:t>
      </w:r>
    </w:p>
    <w:p w14:paraId="56FF3551" w14:textId="77777777" w:rsidR="00886B18" w:rsidRPr="005F0A32" w:rsidRDefault="00886B18" w:rsidP="000D7CDE">
      <w:pPr>
        <w:tabs>
          <w:tab w:val="left" w:pos="567"/>
        </w:tabs>
        <w:spacing w:after="0"/>
        <w:contextualSpacing/>
        <w:jc w:val="both"/>
        <w:rPr>
          <w:rFonts w:ascii="Times New Roman" w:eastAsia="Calibri" w:hAnsi="Times New Roman" w:cs="Times New Roman"/>
          <w:b/>
          <w:sz w:val="24"/>
          <w:szCs w:val="24"/>
        </w:rPr>
      </w:pPr>
    </w:p>
    <w:p w14:paraId="17AD3593" w14:textId="77777777" w:rsidR="00AB1786" w:rsidRDefault="00AB1786" w:rsidP="000D7CDE">
      <w:pPr>
        <w:tabs>
          <w:tab w:val="left" w:pos="567"/>
        </w:tabs>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 xml:space="preserve">Konińska Rada Seniorów - </w:t>
      </w:r>
      <w:r w:rsidRPr="005F0A32">
        <w:rPr>
          <w:rFonts w:ascii="Times New Roman" w:eastAsia="Calibri" w:hAnsi="Times New Roman" w:cs="Times New Roman"/>
          <w:sz w:val="24"/>
          <w:szCs w:val="24"/>
        </w:rPr>
        <w:t xml:space="preserve">udział w targach senioralnych Poznań  "VIVA Senior", udział </w:t>
      </w:r>
      <w:r w:rsidRPr="005F0A32">
        <w:rPr>
          <w:rFonts w:ascii="Times New Roman" w:eastAsia="Calibri" w:hAnsi="Times New Roman" w:cs="Times New Roman"/>
          <w:sz w:val="24"/>
          <w:szCs w:val="24"/>
        </w:rPr>
        <w:br/>
        <w:t>w Międzynarodowym Dniu Osób Starszyc</w:t>
      </w:r>
      <w:r w:rsidR="00886B18">
        <w:rPr>
          <w:rFonts w:ascii="Times New Roman" w:eastAsia="Calibri" w:hAnsi="Times New Roman" w:cs="Times New Roman"/>
          <w:sz w:val="24"/>
          <w:szCs w:val="24"/>
        </w:rPr>
        <w:t xml:space="preserve">h "Doskonali Dojrzali", udział </w:t>
      </w:r>
      <w:r w:rsidRPr="005F0A32">
        <w:rPr>
          <w:rFonts w:ascii="Times New Roman" w:eastAsia="Calibri" w:hAnsi="Times New Roman" w:cs="Times New Roman"/>
          <w:sz w:val="24"/>
          <w:szCs w:val="24"/>
        </w:rPr>
        <w:t>w szkoleniu dla opiekunów osób starszych "Asystent seniora z niepełnosprawnością", spotkania z Klubami Seniora z terenu miasta Konina, organizowanie spotkań międzypokoleniowych w szkołach na terenie miasta dot</w:t>
      </w:r>
      <w:r w:rsidR="00886B18">
        <w:rPr>
          <w:rFonts w:ascii="Times New Roman" w:eastAsia="Calibri" w:hAnsi="Times New Roman" w:cs="Times New Roman"/>
          <w:sz w:val="24"/>
          <w:szCs w:val="24"/>
        </w:rPr>
        <w:t xml:space="preserve">yczących problematyki ekologii </w:t>
      </w:r>
      <w:r w:rsidRPr="005F0A32">
        <w:rPr>
          <w:rFonts w:ascii="Times New Roman" w:eastAsia="Calibri" w:hAnsi="Times New Roman" w:cs="Times New Roman"/>
          <w:sz w:val="24"/>
          <w:szCs w:val="24"/>
        </w:rPr>
        <w:t>i szacunku do osób starszych. Spotka</w:t>
      </w:r>
      <w:r w:rsidR="00886B18">
        <w:rPr>
          <w:rFonts w:ascii="Times New Roman" w:eastAsia="Calibri" w:hAnsi="Times New Roman" w:cs="Times New Roman"/>
          <w:sz w:val="24"/>
          <w:szCs w:val="24"/>
        </w:rPr>
        <w:t xml:space="preserve">nia organizowane we współpracy </w:t>
      </w:r>
      <w:r w:rsidRPr="005F0A32">
        <w:rPr>
          <w:rFonts w:ascii="Times New Roman" w:eastAsia="Calibri" w:hAnsi="Times New Roman" w:cs="Times New Roman"/>
          <w:sz w:val="24"/>
          <w:szCs w:val="24"/>
        </w:rPr>
        <w:t>z Młodzieżową Radą Miasta Konina, udział w spotk</w:t>
      </w:r>
      <w:r w:rsidR="00886B18">
        <w:rPr>
          <w:rFonts w:ascii="Times New Roman" w:eastAsia="Calibri" w:hAnsi="Times New Roman" w:cs="Times New Roman"/>
          <w:sz w:val="24"/>
          <w:szCs w:val="24"/>
        </w:rPr>
        <w:t xml:space="preserve">aniu wigilijnym zorganizowanym </w:t>
      </w:r>
      <w:r w:rsidRPr="005F0A32">
        <w:rPr>
          <w:rFonts w:ascii="Times New Roman" w:eastAsia="Calibri" w:hAnsi="Times New Roman" w:cs="Times New Roman"/>
          <w:sz w:val="24"/>
          <w:szCs w:val="24"/>
        </w:rPr>
        <w:t>na terenie miasta Konina, udział we wspólnym posiedzeniu Konińskiej Rady Działalności Pożytku Publicznego, Powiatowej Społecznej R</w:t>
      </w:r>
      <w:r w:rsidR="00886B18">
        <w:rPr>
          <w:rFonts w:ascii="Times New Roman" w:eastAsia="Calibri" w:hAnsi="Times New Roman" w:cs="Times New Roman"/>
          <w:sz w:val="24"/>
          <w:szCs w:val="24"/>
        </w:rPr>
        <w:t xml:space="preserve">ady ds. Osób Niepełnosprawnych </w:t>
      </w:r>
      <w:r w:rsidRPr="005F0A32">
        <w:rPr>
          <w:rFonts w:ascii="Times New Roman" w:eastAsia="Calibri" w:hAnsi="Times New Roman" w:cs="Times New Roman"/>
          <w:sz w:val="24"/>
          <w:szCs w:val="24"/>
        </w:rPr>
        <w:t>i Młodzieżowej Rady Miasta Konina, współpraca z jednym ze stowarzyszeń z terenu miasta Konina w sprawie organizacji zabaw tanecznych dla seniorów, udział w uroczystościach państwowych.</w:t>
      </w:r>
    </w:p>
    <w:p w14:paraId="6AED1760" w14:textId="77777777" w:rsidR="00886B18" w:rsidRPr="005F0A32" w:rsidRDefault="00886B18" w:rsidP="000D7CDE">
      <w:pPr>
        <w:tabs>
          <w:tab w:val="left" w:pos="567"/>
        </w:tabs>
        <w:spacing w:after="0"/>
        <w:contextualSpacing/>
        <w:jc w:val="both"/>
        <w:rPr>
          <w:rFonts w:ascii="Times New Roman" w:eastAsia="Calibri" w:hAnsi="Times New Roman" w:cs="Times New Roman"/>
          <w:b/>
          <w:sz w:val="24"/>
          <w:szCs w:val="24"/>
        </w:rPr>
      </w:pPr>
    </w:p>
    <w:p w14:paraId="24A6A8F3" w14:textId="77777777" w:rsidR="00AB1786" w:rsidRDefault="00AB1786" w:rsidP="000D7CDE">
      <w:pPr>
        <w:tabs>
          <w:tab w:val="left" w:pos="567"/>
        </w:tabs>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 xml:space="preserve">Gminna Rada Seniorów w Krobi - </w:t>
      </w:r>
      <w:r w:rsidRPr="005F0A32">
        <w:rPr>
          <w:rFonts w:ascii="Times New Roman" w:eastAsia="Calibri" w:hAnsi="Times New Roman" w:cs="Times New Roman"/>
          <w:sz w:val="24"/>
          <w:szCs w:val="24"/>
        </w:rPr>
        <w:t xml:space="preserve">do zadań należy w szczególności: monitorowanie potrzeb i działań na rzecz osób starszych w Gminie, pełnienie roli konsultacyjnej, doradczej </w:t>
      </w:r>
      <w:r w:rsidRPr="005F0A32">
        <w:rPr>
          <w:rFonts w:ascii="Times New Roman" w:eastAsia="Calibri" w:hAnsi="Times New Roman" w:cs="Times New Roman"/>
          <w:sz w:val="24"/>
          <w:szCs w:val="24"/>
        </w:rPr>
        <w:br/>
        <w:t xml:space="preserve">i inicjatywnej dla władz Gminy w sprawach dotyczących osób starszych zamieszkałych </w:t>
      </w:r>
      <w:r w:rsidRPr="005F0A32">
        <w:rPr>
          <w:rFonts w:ascii="Times New Roman" w:eastAsia="Calibri" w:hAnsi="Times New Roman" w:cs="Times New Roman"/>
          <w:sz w:val="24"/>
          <w:szCs w:val="24"/>
        </w:rPr>
        <w:br/>
        <w:t xml:space="preserve">na terenie Gminy, współpraca z organami gminy i organizacjami przy opiniowaniu </w:t>
      </w:r>
      <w:r w:rsidRPr="005F0A32">
        <w:rPr>
          <w:rFonts w:ascii="Times New Roman" w:eastAsia="Calibri" w:hAnsi="Times New Roman" w:cs="Times New Roman"/>
          <w:sz w:val="24"/>
          <w:szCs w:val="24"/>
        </w:rPr>
        <w:br/>
        <w:t xml:space="preserve">i rozwiązywaniu istotnych problemów, dotyczących potrzeb i oczekiwań osób starszych, zgłaszanie uwag i wniosków do aktów prawa miejscowego, które dotyczą osób starszych,  formułowanie propozycji w zakresie ustalania priorytetowych działań na rzecz osób starszych w obszarze budowy autorytetu tych osób, upowszechnianie w społeczności lokalnej dobrych praktyk dotyczących działań na rzecz osób starszych, podejmowanie innych działań wynikających z bieżących potrzeb osób starszych. Członkowie Gminnej Rady Seniorów uczestniczą w imprezach okolicznościowych i patriotycznych organizowanych przez Gminę Krobia. Gminna Rada Seniorów angażuje się corocznie w organizację Krobskich Dni Seniora, dzięki czemu następuje zintegrowanie działań instytucji działających na rzecz seniorów. </w:t>
      </w:r>
      <w:r w:rsidRPr="005F0A32">
        <w:rPr>
          <w:rFonts w:ascii="Times New Roman" w:eastAsia="Calibri" w:hAnsi="Times New Roman" w:cs="Times New Roman"/>
          <w:sz w:val="24"/>
          <w:szCs w:val="24"/>
        </w:rPr>
        <w:br/>
        <w:t xml:space="preserve">W Ośrodku Integracji Europejskiej w  Rokosowie w ramach projektu "Wsparcie Wielkopolskich Rad Seniorów sposobem na wzrost partycypacji osób starszych" w roku 2019 odbywały się szkolenia, w których aktywnie uczestniczyli przedstawiciele Gminnej Rady Seniorów. Celem programu ASOS jest poprawa jakości i poziomu życia osób starszych </w:t>
      </w:r>
      <w:r w:rsidRPr="005F0A32">
        <w:rPr>
          <w:rFonts w:ascii="Times New Roman" w:eastAsia="Calibri" w:hAnsi="Times New Roman" w:cs="Times New Roman"/>
          <w:sz w:val="24"/>
          <w:szCs w:val="24"/>
        </w:rPr>
        <w:br/>
        <w:t xml:space="preserve">oraz zagospodarowanie ich potencjału poprzez umożliwienie im aktywności społecznej. Przedstawiciele Gminnej Rady Seniorów brali czynny udział w konsultacjach dotyczących gminnego programu rewitalizacji, uczestniczyli  w konwencie Sołtysów, gdzie przedstawiono  sołtysom założenia Gminnej Rady Seniorów, zaproponowano żeby Sołtysi zapraszali </w:t>
      </w:r>
      <w:r w:rsidRPr="005F0A32">
        <w:rPr>
          <w:rFonts w:ascii="Times New Roman" w:eastAsia="Calibri" w:hAnsi="Times New Roman" w:cs="Times New Roman"/>
          <w:sz w:val="24"/>
          <w:szCs w:val="24"/>
        </w:rPr>
        <w:br/>
        <w:t xml:space="preserve">na wioski członków GRS w celu promowania idei Gminnych Rad Seniorów. W gminie funkcjonuje tzw. skrzynka seniora, gdzie seniorzy mogą pisemnie zgłaszać swe uwagi, potrzeby, propozycje rozwiązań itp. Skrzynka umieszczona jest w holu Miejsko  Gminnego Ośrodka Pomocy Społecznej w Krobi. Aktualnie trwa proces wdrażania w Gminie Krobia  </w:t>
      </w:r>
      <w:r w:rsidRPr="005F0A32">
        <w:rPr>
          <w:rFonts w:ascii="Times New Roman" w:eastAsia="Calibri" w:hAnsi="Times New Roman" w:cs="Times New Roman"/>
          <w:sz w:val="24"/>
          <w:szCs w:val="24"/>
        </w:rPr>
        <w:lastRenderedPageBreak/>
        <w:t xml:space="preserve">Krobskiej Karty Seniora, która będzie uprawniała osoby po 60 roku życia do korzystania </w:t>
      </w:r>
      <w:r w:rsidRPr="005F0A32">
        <w:rPr>
          <w:rFonts w:ascii="Times New Roman" w:eastAsia="Calibri" w:hAnsi="Times New Roman" w:cs="Times New Roman"/>
          <w:sz w:val="24"/>
          <w:szCs w:val="24"/>
        </w:rPr>
        <w:br/>
        <w:t>ze zniżek w punktach gastronomicznych, usługowych, sklepach, aptekach itp.</w:t>
      </w:r>
    </w:p>
    <w:p w14:paraId="28AC3B7C" w14:textId="77777777" w:rsidR="00886B18" w:rsidRPr="005F0A32" w:rsidRDefault="00886B18" w:rsidP="000D7CDE">
      <w:pPr>
        <w:tabs>
          <w:tab w:val="left" w:pos="567"/>
        </w:tabs>
        <w:spacing w:after="0"/>
        <w:contextualSpacing/>
        <w:jc w:val="both"/>
        <w:rPr>
          <w:rFonts w:ascii="Times New Roman" w:eastAsia="Calibri" w:hAnsi="Times New Roman" w:cs="Times New Roman"/>
          <w:b/>
          <w:sz w:val="24"/>
          <w:szCs w:val="24"/>
        </w:rPr>
      </w:pPr>
    </w:p>
    <w:p w14:paraId="7272C947" w14:textId="77777777" w:rsidR="00AB1786" w:rsidRDefault="00AB1786" w:rsidP="000D7CDE">
      <w:pPr>
        <w:tabs>
          <w:tab w:val="left" w:pos="567"/>
        </w:tabs>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Gminna Rada Seniorów w Krotoszynie</w:t>
      </w:r>
      <w:r w:rsidRPr="005F0A32">
        <w:rPr>
          <w:rFonts w:ascii="Times New Roman" w:eastAsia="Calibri" w:hAnsi="Times New Roman" w:cs="Times New Roman"/>
          <w:sz w:val="24"/>
          <w:szCs w:val="24"/>
        </w:rPr>
        <w:t xml:space="preserve"> w 2019 roku podejmowała próby działań </w:t>
      </w:r>
      <w:r w:rsidRPr="005F0A32">
        <w:rPr>
          <w:rFonts w:ascii="Times New Roman" w:eastAsia="Calibri" w:hAnsi="Times New Roman" w:cs="Times New Roman"/>
          <w:sz w:val="24"/>
          <w:szCs w:val="24"/>
        </w:rPr>
        <w:br/>
        <w:t>w celu poprawienia  jakości życia seniorów, które dotyczyły między innymi: utworzenia Krotoszyńskiej Karty Seniora, tworzenia miejsc parkingowych dla osób niepełnosprawnych zgodnie z przepisami, organizacji specjalistycznego gabinetu okulistycznego w ramach Narodowego Funduszu Zdrowia  w Krotoszynie, utworzenia punktu pomocy osobom starszym w usuwaniu nagłych awarii podstawowych instalacji domowych, wydania ulotki Bezpieczny Senior na drodze.</w:t>
      </w:r>
    </w:p>
    <w:p w14:paraId="38A0A2B4" w14:textId="77777777" w:rsidR="00886B18" w:rsidRPr="005F0A32" w:rsidRDefault="00886B18" w:rsidP="000D7CDE">
      <w:pPr>
        <w:tabs>
          <w:tab w:val="left" w:pos="567"/>
        </w:tabs>
        <w:spacing w:after="0"/>
        <w:contextualSpacing/>
        <w:jc w:val="both"/>
        <w:rPr>
          <w:rFonts w:ascii="Times New Roman" w:eastAsia="Calibri" w:hAnsi="Times New Roman" w:cs="Times New Roman"/>
          <w:b/>
          <w:sz w:val="24"/>
          <w:szCs w:val="24"/>
        </w:rPr>
      </w:pPr>
    </w:p>
    <w:p w14:paraId="058E9B40" w14:textId="77777777" w:rsidR="00AB1786" w:rsidRDefault="00AB1786" w:rsidP="000D7CDE">
      <w:pPr>
        <w:tabs>
          <w:tab w:val="left" w:pos="567"/>
        </w:tabs>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 xml:space="preserve">Leszczyńska Rada Seniorów - </w:t>
      </w:r>
      <w:r w:rsidRPr="005F0A32">
        <w:rPr>
          <w:rFonts w:ascii="Times New Roman" w:eastAsia="Calibri" w:hAnsi="Times New Roman" w:cs="Times New Roman"/>
          <w:sz w:val="24"/>
          <w:szCs w:val="24"/>
        </w:rPr>
        <w:t xml:space="preserve">wydawany jest bezpłatny kwartalnik pn. "Otwarte drzwi", który tworzony jest z myślą o seniorach. Seniorzy mogą znaleźć w nim bieżące informacje dot. miasta  jak również artykuły o tematyce z zakresu zdrowia, szeroko rozumianego bezpieczeństwa, urody, stylu życia etc. Ponadto zorganizowano cykl letnich wydarzeń </w:t>
      </w:r>
      <w:r w:rsidRPr="005F0A32">
        <w:rPr>
          <w:rFonts w:ascii="Times New Roman" w:eastAsia="Calibri" w:hAnsi="Times New Roman" w:cs="Times New Roman"/>
          <w:sz w:val="24"/>
          <w:szCs w:val="24"/>
        </w:rPr>
        <w:br/>
        <w:t xml:space="preserve">pn. Wakacje Seniorów w mieście. Były to wycieczki, koncerty, zwiedzanie miasta </w:t>
      </w:r>
      <w:r w:rsidRPr="005F0A32">
        <w:rPr>
          <w:rFonts w:ascii="Times New Roman" w:eastAsia="Calibri" w:hAnsi="Times New Roman" w:cs="Times New Roman"/>
          <w:sz w:val="24"/>
          <w:szCs w:val="24"/>
        </w:rPr>
        <w:br/>
        <w:t>z przewodnikiem, zajęcia i wieczorki taneczne, warsztaty prac manualnych.</w:t>
      </w:r>
    </w:p>
    <w:p w14:paraId="4AE6A125" w14:textId="77777777" w:rsidR="00886B18" w:rsidRPr="005F0A32" w:rsidRDefault="00886B18" w:rsidP="000D7CDE">
      <w:pPr>
        <w:tabs>
          <w:tab w:val="left" w:pos="567"/>
        </w:tabs>
        <w:spacing w:after="0"/>
        <w:contextualSpacing/>
        <w:jc w:val="both"/>
        <w:rPr>
          <w:rFonts w:ascii="Times New Roman" w:eastAsia="Calibri" w:hAnsi="Times New Roman" w:cs="Times New Roman"/>
          <w:b/>
          <w:sz w:val="24"/>
          <w:szCs w:val="24"/>
        </w:rPr>
      </w:pPr>
    </w:p>
    <w:p w14:paraId="0CC0D971" w14:textId="77777777" w:rsidR="00AB1786" w:rsidRDefault="00AB1786" w:rsidP="000D7CDE">
      <w:pPr>
        <w:tabs>
          <w:tab w:val="left" w:pos="567"/>
        </w:tabs>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 xml:space="preserve">Obornicka Rada Seniorów. </w:t>
      </w:r>
      <w:r w:rsidRPr="005F0A32">
        <w:rPr>
          <w:rFonts w:ascii="Times New Roman" w:eastAsia="Calibri" w:hAnsi="Times New Roman" w:cs="Times New Roman"/>
          <w:sz w:val="24"/>
          <w:szCs w:val="24"/>
        </w:rPr>
        <w:t xml:space="preserve">Głównym celem Obornickiej Rady Seniorów jest służenie  seniorom poprzez reprezentowanie ich interesów wobec władz gminy. Rada współpracuje </w:t>
      </w:r>
      <w:r w:rsidRPr="005F0A32">
        <w:rPr>
          <w:rFonts w:ascii="Times New Roman" w:eastAsia="Calibri" w:hAnsi="Times New Roman" w:cs="Times New Roman"/>
          <w:sz w:val="24"/>
          <w:szCs w:val="24"/>
        </w:rPr>
        <w:br/>
        <w:t xml:space="preserve">z różnymi jednostkami zarówno gminnymi, jak i powiatowymi, instytucjami kultury, sołectwami oraz wszystkimi organizacjami w gminie Oborniki, które działają na rzecz osób starszych (np.: Uniwersytetem Trzeciego Wieku, Związkiem Emerytów i Rencistów, Obornickim Centrum Sportu, Obornickim Ośrodkiem Kultury, Ośrodkiem Pomocy Społecznej, Powiatowym Centrum Pomocy Rodzinie, Obornicką Spółdzielnią Mieszkaniową, Przedsiębiorstwem Wodociągów i Kanalizacji, rodzinnymi ogrodami działkowymi, parafiami, przychodniami lekarskimi, obornickim szpitalem). Obornicka Rada Seniorów działa bardzo aktywnie. W swojej I kadencji odbyła 29 sesji, podjęła 37 uchwał, które przekazała </w:t>
      </w:r>
      <w:r w:rsidRPr="005F0A32">
        <w:rPr>
          <w:rFonts w:ascii="Times New Roman" w:eastAsia="Calibri" w:hAnsi="Times New Roman" w:cs="Times New Roman"/>
          <w:sz w:val="24"/>
          <w:szCs w:val="24"/>
        </w:rPr>
        <w:br/>
        <w:t xml:space="preserve">do realizacji Burmistrzowi Obornik. Dzięki Obornickiej Radzie Seniorów pojawiły się takie rozwiązania jak Skrzynki Pomysłów i Wniosków Seniorów, rozmieszczone w kilku punktach miasta, do których mieszkańcy mogą składać na piśmie propozycje i wnioski kierowane </w:t>
      </w:r>
      <w:r w:rsidRPr="005F0A32">
        <w:rPr>
          <w:rFonts w:ascii="Times New Roman" w:eastAsia="Calibri" w:hAnsi="Times New Roman" w:cs="Times New Roman"/>
          <w:sz w:val="24"/>
          <w:szCs w:val="24"/>
        </w:rPr>
        <w:br/>
        <w:t xml:space="preserve">pod obrady Obornickiej Rady Seniorów. Oddelegowani członkowie Obornickiej Rady Seniorów uczestniczą z głosem doradczym w pracach powiatowych i gminnych komisji: Powiatowej Komisji Bezpieczeństwa i Porządku, Powiatowej Społecznej Radzie ds. Osób Niepełnosprawnych, Społecznej Komisji Mieszkaniowej, Gminnej Komisji </w:t>
      </w:r>
      <w:r w:rsidRPr="005F0A32">
        <w:rPr>
          <w:rFonts w:ascii="Times New Roman" w:eastAsia="Calibri" w:hAnsi="Times New Roman" w:cs="Times New Roman"/>
          <w:sz w:val="24"/>
          <w:szCs w:val="24"/>
        </w:rPr>
        <w:br/>
        <w:t xml:space="preserve">ds. Rozwiązywania Problemów Alkoholowych, komisjach stałych Rady Miejskiej </w:t>
      </w:r>
      <w:r w:rsidRPr="005F0A32">
        <w:rPr>
          <w:rFonts w:ascii="Times New Roman" w:eastAsia="Calibri" w:hAnsi="Times New Roman" w:cs="Times New Roman"/>
          <w:sz w:val="24"/>
          <w:szCs w:val="24"/>
        </w:rPr>
        <w:br/>
        <w:t xml:space="preserve">w Obornikach. Obornicka Rada Seniorów opracowała swoje logo, redaguje jedną stronę wydawanego przez Urząd Miejski biuletynu Nasze Oborniki, ma swoją zakładkę na stronie internetowej Gminy Oborniki, ponadto na jej wniosek opracowana została strona internetowa Obornickiej Rady Seniorów </w:t>
      </w:r>
      <w:hyperlink r:id="rId43" w:history="1">
        <w:r w:rsidRPr="005F0A32">
          <w:rPr>
            <w:rFonts w:ascii="Times New Roman" w:eastAsia="Calibri" w:hAnsi="Times New Roman" w:cs="Times New Roman"/>
            <w:sz w:val="24"/>
            <w:szCs w:val="24"/>
            <w:u w:val="single"/>
          </w:rPr>
          <w:t>www.seniorzy.oborniki.pl</w:t>
        </w:r>
      </w:hyperlink>
      <w:r w:rsidRPr="005F0A32">
        <w:rPr>
          <w:rFonts w:ascii="Times New Roman" w:eastAsia="Calibri" w:hAnsi="Times New Roman" w:cs="Times New Roman"/>
          <w:sz w:val="24"/>
          <w:szCs w:val="24"/>
        </w:rPr>
        <w:t xml:space="preserve">. Na wniosek Obornickiej Rady Seniorów realizowane jest przedsięwzięcie Koperta Życia; wydano ponad 2 tys. kopert). Obornicka Karta Seniora - program kierowany jest do osób 60+ dzięki, którym ich posiadacze mogą korzystać z wielu zniżek oferowanych przez 78 partnerów programu. Ponadto posiadaczom karty Burmistrz Obornik przyznaje 50% bonifikaty od stawki czynszu </w:t>
      </w:r>
      <w:r w:rsidRPr="005F0A32">
        <w:rPr>
          <w:rFonts w:ascii="Times New Roman" w:eastAsia="Calibri" w:hAnsi="Times New Roman" w:cs="Times New Roman"/>
          <w:sz w:val="24"/>
          <w:szCs w:val="24"/>
        </w:rPr>
        <w:lastRenderedPageBreak/>
        <w:t>dzierżawnego, a w okresie jesiennym zainte</w:t>
      </w:r>
      <w:r w:rsidR="00886B18">
        <w:rPr>
          <w:rFonts w:ascii="Times New Roman" w:eastAsia="Calibri" w:hAnsi="Times New Roman" w:cs="Times New Roman"/>
          <w:sz w:val="24"/>
          <w:szCs w:val="24"/>
        </w:rPr>
        <w:t xml:space="preserve">resowane osoby mogą skorzystać </w:t>
      </w:r>
      <w:r w:rsidRPr="005F0A32">
        <w:rPr>
          <w:rFonts w:ascii="Times New Roman" w:eastAsia="Calibri" w:hAnsi="Times New Roman" w:cs="Times New Roman"/>
          <w:sz w:val="24"/>
          <w:szCs w:val="24"/>
        </w:rPr>
        <w:t>z darmowych szczepionek przeciwko grypie. Od 1 stycznia 2017 r. posiadacze karty mogą korzystać z darmowych przejazdów komu</w:t>
      </w:r>
      <w:r w:rsidR="00886B18">
        <w:rPr>
          <w:rFonts w:ascii="Times New Roman" w:eastAsia="Calibri" w:hAnsi="Times New Roman" w:cs="Times New Roman"/>
          <w:sz w:val="24"/>
          <w:szCs w:val="24"/>
        </w:rPr>
        <w:t xml:space="preserve">nikacją gminną. Na wniosek ORS </w:t>
      </w:r>
      <w:r w:rsidRPr="005F0A32">
        <w:rPr>
          <w:rFonts w:ascii="Times New Roman" w:eastAsia="Calibri" w:hAnsi="Times New Roman" w:cs="Times New Roman"/>
          <w:sz w:val="24"/>
          <w:szCs w:val="24"/>
        </w:rPr>
        <w:t>w ramach pomocy dla obornickich seniorów Burmistr</w:t>
      </w:r>
      <w:r w:rsidR="00886B18">
        <w:rPr>
          <w:rFonts w:ascii="Times New Roman" w:eastAsia="Calibri" w:hAnsi="Times New Roman" w:cs="Times New Roman"/>
          <w:sz w:val="24"/>
          <w:szCs w:val="24"/>
        </w:rPr>
        <w:t xml:space="preserve">z Obornik wyznaczył pracownika </w:t>
      </w:r>
      <w:r w:rsidRPr="005F0A32">
        <w:rPr>
          <w:rFonts w:ascii="Times New Roman" w:eastAsia="Calibri" w:hAnsi="Times New Roman" w:cs="Times New Roman"/>
          <w:sz w:val="24"/>
          <w:szCs w:val="24"/>
        </w:rPr>
        <w:t>w Urzędzie Miejskim, który pomaga osobom starszym w rozwiązywaniu ich drobnych problemów utrudniających życie; s</w:t>
      </w:r>
      <w:r w:rsidR="00886B18">
        <w:rPr>
          <w:rFonts w:ascii="Times New Roman" w:eastAsia="Calibri" w:hAnsi="Times New Roman" w:cs="Times New Roman"/>
          <w:sz w:val="24"/>
          <w:szCs w:val="24"/>
        </w:rPr>
        <w:t xml:space="preserve">eniorzy korzystać mogą również </w:t>
      </w:r>
      <w:r w:rsidRPr="005F0A32">
        <w:rPr>
          <w:rFonts w:ascii="Times New Roman" w:eastAsia="Calibri" w:hAnsi="Times New Roman" w:cs="Times New Roman"/>
          <w:sz w:val="24"/>
          <w:szCs w:val="24"/>
        </w:rPr>
        <w:t>z pomocy prawnej w Urzędzie Miejskim. Na wniosek Obornickiej Rady Seniorów Burmistrz Obornik pomógł w przeprowadzeniu dla seniorów</w:t>
      </w:r>
      <w:r w:rsidR="00886B18">
        <w:rPr>
          <w:rFonts w:ascii="Times New Roman" w:eastAsia="Calibri" w:hAnsi="Times New Roman" w:cs="Times New Roman"/>
          <w:sz w:val="24"/>
          <w:szCs w:val="24"/>
        </w:rPr>
        <w:t xml:space="preserve"> bezpłatnych kursów językowych </w:t>
      </w:r>
      <w:r w:rsidRPr="005F0A32">
        <w:rPr>
          <w:rFonts w:ascii="Times New Roman" w:eastAsia="Calibri" w:hAnsi="Times New Roman" w:cs="Times New Roman"/>
          <w:sz w:val="24"/>
          <w:szCs w:val="24"/>
        </w:rPr>
        <w:t>i komputerowych. Z inicjatywy Obornickiej Rady Seniorów zostały opracowane ulotki informacyjne dla obornickich seniorów). Od 3 marca 2017 r.; Rada Miejska w Obornikach wyraziła zgodę na przystąpienie Gminy Oborniki do Wielkopolskiego Klastra Seniora w celu podejmowania działań służących rozwojowi polityki senioralnej, w tym programu Senior 2030.</w:t>
      </w:r>
    </w:p>
    <w:p w14:paraId="5D628516" w14:textId="77777777" w:rsidR="00886B18" w:rsidRPr="005F0A32" w:rsidRDefault="00886B18" w:rsidP="000D7CDE">
      <w:pPr>
        <w:tabs>
          <w:tab w:val="left" w:pos="567"/>
        </w:tabs>
        <w:spacing w:after="0"/>
        <w:contextualSpacing/>
        <w:jc w:val="both"/>
        <w:rPr>
          <w:rFonts w:ascii="Times New Roman" w:eastAsia="Calibri" w:hAnsi="Times New Roman" w:cs="Times New Roman"/>
          <w:sz w:val="24"/>
          <w:szCs w:val="24"/>
        </w:rPr>
      </w:pPr>
    </w:p>
    <w:p w14:paraId="2798904F" w14:textId="77777777" w:rsidR="00AB1786" w:rsidRDefault="00AB1786" w:rsidP="000D7CDE">
      <w:pPr>
        <w:tabs>
          <w:tab w:val="left" w:pos="567"/>
        </w:tabs>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Gminna Rada Seniorów w Rawiczu</w:t>
      </w:r>
      <w:r w:rsidR="00886B18">
        <w:rPr>
          <w:rFonts w:ascii="Times New Roman" w:eastAsia="Calibri" w:hAnsi="Times New Roman" w:cs="Times New Roman"/>
          <w:sz w:val="24"/>
          <w:szCs w:val="24"/>
        </w:rPr>
        <w:t xml:space="preserve">  jest  organem opiniującym </w:t>
      </w:r>
      <w:r w:rsidRPr="005F0A32">
        <w:rPr>
          <w:rFonts w:ascii="Times New Roman" w:eastAsia="Calibri" w:hAnsi="Times New Roman" w:cs="Times New Roman"/>
          <w:sz w:val="24"/>
          <w:szCs w:val="24"/>
        </w:rPr>
        <w:t>oraz reprezentującym  interesy osób starszych. Odbywa swoje posiedzenia  na tzw. sesjach. Podczas posiedzeń Gminna Rada Seniorów zaprasza przedstawicieli instytucji  działających w gminie  na rzecz osób starszych w celu uzyskania in</w:t>
      </w:r>
      <w:r w:rsidR="00886B18">
        <w:rPr>
          <w:rFonts w:ascii="Times New Roman" w:eastAsia="Calibri" w:hAnsi="Times New Roman" w:cs="Times New Roman"/>
          <w:sz w:val="24"/>
          <w:szCs w:val="24"/>
        </w:rPr>
        <w:t xml:space="preserve">formacji  na temat ich działań </w:t>
      </w:r>
      <w:r w:rsidRPr="005F0A32">
        <w:rPr>
          <w:rFonts w:ascii="Times New Roman" w:eastAsia="Calibri" w:hAnsi="Times New Roman" w:cs="Times New Roman"/>
          <w:sz w:val="24"/>
          <w:szCs w:val="24"/>
        </w:rPr>
        <w:t>jak i  potrzeb. Jeżeli chodzi o realizację dobrych praktyk, takich jak "Rawickie pudełko życia", "Majster dla seniora" czy "Szyty na miarę"  i inne liczne</w:t>
      </w:r>
      <w:r w:rsidR="00886B18">
        <w:rPr>
          <w:rFonts w:ascii="Times New Roman" w:eastAsia="Calibri" w:hAnsi="Times New Roman" w:cs="Times New Roman"/>
          <w:sz w:val="24"/>
          <w:szCs w:val="24"/>
        </w:rPr>
        <w:t xml:space="preserve">   inicjatywy to, te działania </w:t>
      </w:r>
      <w:r w:rsidRPr="005F0A32">
        <w:rPr>
          <w:rFonts w:ascii="Times New Roman" w:eastAsia="Calibri" w:hAnsi="Times New Roman" w:cs="Times New Roman"/>
          <w:sz w:val="24"/>
          <w:szCs w:val="24"/>
        </w:rPr>
        <w:t>w Gminie Rawicz  realizowane są przez  Punkt Wsparcia Seniora,  zlokalizowany w MG Ośrodku Pomocy Społecznej w Rawiczu.  Punkt Wspar</w:t>
      </w:r>
      <w:r w:rsidR="00886B18">
        <w:rPr>
          <w:rFonts w:ascii="Times New Roman" w:eastAsia="Calibri" w:hAnsi="Times New Roman" w:cs="Times New Roman"/>
          <w:sz w:val="24"/>
          <w:szCs w:val="24"/>
        </w:rPr>
        <w:t xml:space="preserve">cia Seniora  powstał w związku </w:t>
      </w:r>
      <w:r w:rsidRPr="005F0A32">
        <w:rPr>
          <w:rFonts w:ascii="Times New Roman" w:eastAsia="Calibri" w:hAnsi="Times New Roman" w:cs="Times New Roman"/>
          <w:sz w:val="24"/>
          <w:szCs w:val="24"/>
        </w:rPr>
        <w:t>z realizacją  gminnego programu Polityki Senioralnej dla Gminy Rawicz na lata 2017-2020.  Program  ten powstał przy zaangażowaniu  członków Gminnej  Rady Seniorów I kadencji.  Gminna Rada Seniorów popiera i wspiera działania  Punktu Wsparcia Seniora  oraz bierze udział w realizowanych inicjatywach.  Rada Seniorów współpracuje też z licznymi Klubami Seniorów.</w:t>
      </w:r>
    </w:p>
    <w:p w14:paraId="22E4EF15" w14:textId="77777777" w:rsidR="00720A41" w:rsidRPr="005F0A32" w:rsidRDefault="00720A41" w:rsidP="000D7CDE">
      <w:pPr>
        <w:tabs>
          <w:tab w:val="left" w:pos="567"/>
        </w:tabs>
        <w:spacing w:after="0"/>
        <w:contextualSpacing/>
        <w:jc w:val="both"/>
        <w:rPr>
          <w:rFonts w:ascii="Times New Roman" w:eastAsia="Calibri" w:hAnsi="Times New Roman" w:cs="Times New Roman"/>
          <w:b/>
          <w:sz w:val="24"/>
          <w:szCs w:val="24"/>
        </w:rPr>
      </w:pPr>
    </w:p>
    <w:p w14:paraId="43B4BDF0" w14:textId="77777777" w:rsidR="00AB1786" w:rsidRPr="005F0A32" w:rsidRDefault="00AB1786" w:rsidP="000D7CDE">
      <w:pPr>
        <w:tabs>
          <w:tab w:val="left" w:pos="567"/>
        </w:tabs>
        <w:spacing w:after="0"/>
        <w:contextualSpacing/>
        <w:jc w:val="both"/>
        <w:rPr>
          <w:rFonts w:ascii="Times New Roman" w:eastAsia="Calibri" w:hAnsi="Times New Roman" w:cs="Times New Roman"/>
          <w:b/>
          <w:sz w:val="24"/>
          <w:szCs w:val="24"/>
        </w:rPr>
      </w:pPr>
      <w:r w:rsidRPr="005F0A32">
        <w:rPr>
          <w:rFonts w:ascii="Times New Roman" w:eastAsia="Calibri" w:hAnsi="Times New Roman" w:cs="Times New Roman"/>
          <w:b/>
          <w:sz w:val="24"/>
          <w:szCs w:val="24"/>
        </w:rPr>
        <w:t xml:space="preserve">Rada Seniorów we Wronkach. </w:t>
      </w:r>
      <w:r w:rsidRPr="005F0A32">
        <w:rPr>
          <w:rFonts w:ascii="Times New Roman" w:eastAsia="Calibri" w:hAnsi="Times New Roman" w:cs="Times New Roman"/>
          <w:sz w:val="24"/>
          <w:szCs w:val="24"/>
        </w:rPr>
        <w:t>Na wniosek Rady Seniorów we Wronkach w Punkcie Obsługi Interesanta urzędu pojawiła się skrzynka pomysłów i wniosków seniorów. Skrzynka pełni funkcję kanału komunikacyjnego między wr</w:t>
      </w:r>
      <w:r w:rsidR="00720A41">
        <w:rPr>
          <w:rFonts w:ascii="Times New Roman" w:eastAsia="Calibri" w:hAnsi="Times New Roman" w:cs="Times New Roman"/>
          <w:sz w:val="24"/>
          <w:szCs w:val="24"/>
        </w:rPr>
        <w:t xml:space="preserve">onieckimi seniorami, a radnymi </w:t>
      </w:r>
      <w:r w:rsidRPr="005F0A32">
        <w:rPr>
          <w:rFonts w:ascii="Times New Roman" w:eastAsia="Calibri" w:hAnsi="Times New Roman" w:cs="Times New Roman"/>
          <w:sz w:val="24"/>
          <w:szCs w:val="24"/>
        </w:rPr>
        <w:t>z wronieckiej Rady Seniorów. Można do niej wrzucać pomysły, wnioski, prośby, które Radni Seniorzy rozpatrzą na swoich posiedzeniach. Formułowanie petycji do władz samorządowych i innych instytucji, np. w sprawie zmiany godzin dyżurów aptek, w sprawie organizacji nocnej i świątecznej opieki medycznej - petycja do starostwa, NFZ. Współorganizacja Dnia Zdrowia, promocja "Pudełka życia" wśród seniorów. Przygotowanie "Strategii Lokalnej Polityki Senioralnej na lata 2018-2023 z perspektywą do 2030 roku". Strategia przyjęta uchwałą Rady Miasta i Gminy Wronki. Rada Seniorów prowadzi własny portal społecznościowy. Współpraca z gminą w zakre</w:t>
      </w:r>
      <w:r w:rsidR="00720A41">
        <w:rPr>
          <w:rFonts w:ascii="Times New Roman" w:eastAsia="Calibri" w:hAnsi="Times New Roman" w:cs="Times New Roman"/>
          <w:sz w:val="24"/>
          <w:szCs w:val="24"/>
        </w:rPr>
        <w:t xml:space="preserve">sie zwiększenia bezpieczeństwa </w:t>
      </w:r>
      <w:r w:rsidRPr="005F0A32">
        <w:rPr>
          <w:rFonts w:ascii="Times New Roman" w:eastAsia="Calibri" w:hAnsi="Times New Roman" w:cs="Times New Roman"/>
          <w:sz w:val="24"/>
          <w:szCs w:val="24"/>
        </w:rPr>
        <w:t>oraz systematycznego likwidowanie barier w przestrzeni miejsko-gminnej.</w:t>
      </w:r>
    </w:p>
    <w:p w14:paraId="07E77AB4" w14:textId="77777777" w:rsidR="00720A41" w:rsidRDefault="00720A41" w:rsidP="000D7CDE">
      <w:pPr>
        <w:tabs>
          <w:tab w:val="left" w:pos="567"/>
        </w:tabs>
        <w:spacing w:after="0"/>
        <w:contextualSpacing/>
        <w:jc w:val="both"/>
        <w:rPr>
          <w:rFonts w:ascii="Times New Roman" w:eastAsia="Calibri" w:hAnsi="Times New Roman" w:cs="Times New Roman"/>
          <w:b/>
          <w:sz w:val="24"/>
          <w:szCs w:val="24"/>
        </w:rPr>
      </w:pPr>
    </w:p>
    <w:p w14:paraId="565B0F0D" w14:textId="77777777" w:rsidR="00AB1786" w:rsidRPr="005F0A32" w:rsidRDefault="00AB1786" w:rsidP="000D7CDE">
      <w:pPr>
        <w:tabs>
          <w:tab w:val="left" w:pos="567"/>
        </w:tabs>
        <w:spacing w:after="0"/>
        <w:contextualSpacing/>
        <w:jc w:val="both"/>
        <w:rPr>
          <w:rFonts w:ascii="Times New Roman" w:eastAsia="Calibri" w:hAnsi="Times New Roman" w:cs="Times New Roman"/>
          <w:b/>
          <w:sz w:val="24"/>
          <w:szCs w:val="24"/>
        </w:rPr>
      </w:pPr>
      <w:r w:rsidRPr="005F0A32">
        <w:rPr>
          <w:rFonts w:ascii="Times New Roman" w:eastAsia="Calibri" w:hAnsi="Times New Roman" w:cs="Times New Roman"/>
          <w:b/>
          <w:sz w:val="24"/>
          <w:szCs w:val="24"/>
        </w:rPr>
        <w:t xml:space="preserve">Rada Seniorów w Złotowie - </w:t>
      </w:r>
      <w:r w:rsidRPr="005F0A32">
        <w:rPr>
          <w:rFonts w:ascii="Times New Roman" w:eastAsia="Calibri" w:hAnsi="Times New Roman" w:cs="Times New Roman"/>
          <w:sz w:val="24"/>
          <w:szCs w:val="24"/>
        </w:rPr>
        <w:t>wnioskowani</w:t>
      </w:r>
      <w:r w:rsidR="00720A41">
        <w:rPr>
          <w:rFonts w:ascii="Times New Roman" w:eastAsia="Calibri" w:hAnsi="Times New Roman" w:cs="Times New Roman"/>
          <w:sz w:val="24"/>
          <w:szCs w:val="24"/>
        </w:rPr>
        <w:t xml:space="preserve">e do Burmistrza Miasta Złotowa </w:t>
      </w:r>
      <w:r w:rsidRPr="005F0A32">
        <w:rPr>
          <w:rFonts w:ascii="Times New Roman" w:eastAsia="Calibri" w:hAnsi="Times New Roman" w:cs="Times New Roman"/>
          <w:sz w:val="24"/>
          <w:szCs w:val="24"/>
        </w:rPr>
        <w:t>w sprawie poprawy bezpieczeństwa osób na ścieżkach rowerowych, wnioskowanie o przyznanie seniorom 65+ prawa do zakupu biletu /karnetu ulgowego do wejścia na basen, wnioskowanie o uruchomienie specjalnej kom</w:t>
      </w:r>
      <w:r w:rsidR="00720A41">
        <w:rPr>
          <w:rFonts w:ascii="Times New Roman" w:eastAsia="Calibri" w:hAnsi="Times New Roman" w:cs="Times New Roman"/>
          <w:sz w:val="24"/>
          <w:szCs w:val="24"/>
        </w:rPr>
        <w:t xml:space="preserve">unikacji miejskiej przed dniem </w:t>
      </w:r>
      <w:r w:rsidRPr="005F0A32">
        <w:rPr>
          <w:rFonts w:ascii="Times New Roman" w:eastAsia="Calibri" w:hAnsi="Times New Roman" w:cs="Times New Roman"/>
          <w:sz w:val="24"/>
          <w:szCs w:val="24"/>
        </w:rPr>
        <w:t xml:space="preserve">1 listopada, udział w opracowaniu budżetu obywatelskiego, sporządzenie raportu </w:t>
      </w:r>
      <w:r w:rsidR="00720A41">
        <w:rPr>
          <w:rFonts w:ascii="Times New Roman" w:eastAsia="Calibri" w:hAnsi="Times New Roman" w:cs="Times New Roman"/>
          <w:i/>
          <w:sz w:val="24"/>
          <w:szCs w:val="24"/>
        </w:rPr>
        <w:t xml:space="preserve">Złotów </w:t>
      </w:r>
      <w:r w:rsidRPr="005F0A32">
        <w:rPr>
          <w:rFonts w:ascii="Times New Roman" w:eastAsia="Calibri" w:hAnsi="Times New Roman" w:cs="Times New Roman"/>
          <w:i/>
          <w:sz w:val="24"/>
          <w:szCs w:val="24"/>
        </w:rPr>
        <w:t>dla Seniora</w:t>
      </w:r>
      <w:r w:rsidRPr="005F0A32">
        <w:rPr>
          <w:rFonts w:ascii="Times New Roman" w:eastAsia="Calibri" w:hAnsi="Times New Roman" w:cs="Times New Roman"/>
          <w:sz w:val="24"/>
          <w:szCs w:val="24"/>
        </w:rPr>
        <w:t xml:space="preserve">, współudział </w:t>
      </w:r>
      <w:r w:rsidRPr="005F0A32">
        <w:rPr>
          <w:rFonts w:ascii="Times New Roman" w:eastAsia="Calibri" w:hAnsi="Times New Roman" w:cs="Times New Roman"/>
          <w:sz w:val="24"/>
          <w:szCs w:val="24"/>
        </w:rPr>
        <w:lastRenderedPageBreak/>
        <w:t>w obchodach Dnia Seniora, udział w konferencjach dotyczących geriatrii, wnioskowanie w sprawie wprowad</w:t>
      </w:r>
      <w:r w:rsidR="00720A41">
        <w:rPr>
          <w:rFonts w:ascii="Times New Roman" w:eastAsia="Calibri" w:hAnsi="Times New Roman" w:cs="Times New Roman"/>
          <w:sz w:val="24"/>
          <w:szCs w:val="24"/>
        </w:rPr>
        <w:t xml:space="preserve">zenia zmian do zasad tworzenia </w:t>
      </w:r>
      <w:r w:rsidRPr="005F0A32">
        <w:rPr>
          <w:rFonts w:ascii="Times New Roman" w:eastAsia="Calibri" w:hAnsi="Times New Roman" w:cs="Times New Roman"/>
          <w:sz w:val="24"/>
          <w:szCs w:val="24"/>
        </w:rPr>
        <w:t>i przeprowadzania głosowania w ramach Złotowskiego Budżetu Obywatelskiego, wnioskowanie w sprawie wprowadzenia do budżetu miasta Złotowa na rok 2020 inwestycji, wnioskowanie w sprawie przystąpienia Gminy Miasta Złotów do Programu Gmina Przyjazna Seniorom. Opracowanie informatora dla seniorów.</w:t>
      </w:r>
    </w:p>
    <w:p w14:paraId="7E5D4062" w14:textId="77777777" w:rsidR="00720A41" w:rsidRDefault="00720A41" w:rsidP="000D7CDE">
      <w:pPr>
        <w:spacing w:after="0"/>
        <w:jc w:val="both"/>
        <w:rPr>
          <w:rFonts w:ascii="Times New Roman" w:eastAsia="Calibri" w:hAnsi="Times New Roman" w:cs="Times New Roman"/>
          <w:b/>
          <w:sz w:val="24"/>
          <w:szCs w:val="24"/>
        </w:rPr>
      </w:pPr>
    </w:p>
    <w:p w14:paraId="5A7BE78F" w14:textId="77777777"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Na terenie województwa wielkopolskiego funkcjonują 3 powiatowe rady seniorów:</w:t>
      </w:r>
    </w:p>
    <w:p w14:paraId="5E6F51CF" w14:textId="77777777" w:rsidR="00720A41"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b/>
          <w:sz w:val="24"/>
          <w:szCs w:val="24"/>
        </w:rPr>
        <w:t>Rada Seniorów Powiatu Konińskiego</w:t>
      </w:r>
      <w:r w:rsidRPr="005F0A32">
        <w:rPr>
          <w:rFonts w:ascii="Times New Roman" w:hAnsi="Times New Roman" w:cs="Times New Roman"/>
          <w:sz w:val="24"/>
          <w:szCs w:val="24"/>
        </w:rPr>
        <w:t xml:space="preserve"> została powołana uchwałą nr 383/2017 Zarządu Powiatu Konińskiego w sprawie określenia składu osobowego Rady Seniorów Powiatu Konińskiego na lata 2017-2021 na podstawie art. 4 ust. 1 pkt 2 i 22 oraz art. 32 ust. 1 i 2 ustawy z dnia 5 czerwca 1998 r. o samorządzie powiatowym (Dz. U. z 2016 r., poz. 814 ze zm.) w związku z art. 5ust. 2 ustawy z dnia 24 kwietnia 2003 r. o działalności pożytku publicznegoi o wolontariacie (Dz. U. z 2016 r., poz. 1817) oraz Uchwałą Nr 252/2012 Zarządu Powiatu Konińskiego z dnia 12 grudnia 2012 r. w sprawie powołania Rady Seniorów Powiatu Konińskiego ze zmianami i Uchwałą Nr V/27/2015 Rady Powiatu Konińskiego </w:t>
      </w:r>
      <w:r w:rsidRPr="005F0A32">
        <w:rPr>
          <w:rFonts w:ascii="Times New Roman" w:hAnsi="Times New Roman" w:cs="Times New Roman"/>
          <w:sz w:val="24"/>
          <w:szCs w:val="24"/>
        </w:rPr>
        <w:br/>
        <w:t>z dnia 22 stycznia 2015 r. w sprawie desygnowania przedstawicieli Rady Powiatu Konińskiego do Rady Seniorów Powia</w:t>
      </w:r>
      <w:r w:rsidR="00720A41">
        <w:rPr>
          <w:rFonts w:ascii="Times New Roman" w:hAnsi="Times New Roman" w:cs="Times New Roman"/>
          <w:sz w:val="24"/>
          <w:szCs w:val="24"/>
        </w:rPr>
        <w:t xml:space="preserve">tu Konińskiego. </w:t>
      </w:r>
    </w:p>
    <w:p w14:paraId="6FA24B83" w14:textId="77777777" w:rsidR="00720A41" w:rsidRDefault="00720A41" w:rsidP="000D7CDE">
      <w:pPr>
        <w:spacing w:after="0"/>
        <w:jc w:val="both"/>
        <w:rPr>
          <w:rFonts w:ascii="Times New Roman" w:hAnsi="Times New Roman" w:cs="Times New Roman"/>
          <w:sz w:val="24"/>
          <w:szCs w:val="24"/>
        </w:rPr>
      </w:pPr>
    </w:p>
    <w:p w14:paraId="4037CE36" w14:textId="77777777" w:rsidR="00AB1786"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W dniu 27 września 2019r. zostało zawarte poro</w:t>
      </w:r>
      <w:r w:rsidR="00720A41">
        <w:rPr>
          <w:rFonts w:ascii="Times New Roman" w:hAnsi="Times New Roman" w:cs="Times New Roman"/>
          <w:sz w:val="24"/>
          <w:szCs w:val="24"/>
        </w:rPr>
        <w:t xml:space="preserve">zumienie trójstronne Nr 1/2019 </w:t>
      </w:r>
      <w:r w:rsidRPr="005F0A32">
        <w:rPr>
          <w:rFonts w:ascii="Times New Roman" w:hAnsi="Times New Roman" w:cs="Times New Roman"/>
          <w:sz w:val="24"/>
          <w:szCs w:val="24"/>
        </w:rPr>
        <w:t>w sprawie powołania Rady Senioralnej pomiędzy Powiatem Pilskim/Powiatowym Centrum Pomocy Rodzinie w Pile a Gminą Wysoka/Miejsko Gminnym Ośrodkiem Pomocy Społecznej w Wysokiej i Gminą Szydłowo/Gminn</w:t>
      </w:r>
      <w:r w:rsidR="00720A41">
        <w:rPr>
          <w:rFonts w:ascii="Times New Roman" w:hAnsi="Times New Roman" w:cs="Times New Roman"/>
          <w:sz w:val="24"/>
          <w:szCs w:val="24"/>
        </w:rPr>
        <w:t xml:space="preserve">ym Ośrodkiem Pomocy Społecznej </w:t>
      </w:r>
      <w:r w:rsidRPr="005F0A32">
        <w:rPr>
          <w:rFonts w:ascii="Times New Roman" w:hAnsi="Times New Roman" w:cs="Times New Roman"/>
          <w:sz w:val="24"/>
          <w:szCs w:val="24"/>
        </w:rPr>
        <w:t>w Szydłowie. Przedmiotem umowy było powołanie</w:t>
      </w:r>
      <w:r w:rsidRPr="005F0A32">
        <w:rPr>
          <w:rFonts w:ascii="Times New Roman" w:hAnsi="Times New Roman" w:cs="Times New Roman"/>
          <w:b/>
          <w:sz w:val="24"/>
          <w:szCs w:val="24"/>
        </w:rPr>
        <w:t xml:space="preserve"> Rady Senioralnej działającej przy Powiatowym Klubie Pogodnego Seniora w Pile</w:t>
      </w:r>
      <w:r w:rsidRPr="005F0A32">
        <w:rPr>
          <w:rFonts w:ascii="Times New Roman" w:hAnsi="Times New Roman" w:cs="Times New Roman"/>
          <w:sz w:val="24"/>
          <w:szCs w:val="24"/>
        </w:rPr>
        <w:t xml:space="preserve"> zg</w:t>
      </w:r>
      <w:r w:rsidR="00720A41">
        <w:rPr>
          <w:rFonts w:ascii="Times New Roman" w:hAnsi="Times New Roman" w:cs="Times New Roman"/>
          <w:sz w:val="24"/>
          <w:szCs w:val="24"/>
        </w:rPr>
        <w:t xml:space="preserve">odnie z realizowanym projektem </w:t>
      </w:r>
      <w:r w:rsidRPr="005F0A32">
        <w:rPr>
          <w:rFonts w:ascii="Times New Roman" w:hAnsi="Times New Roman" w:cs="Times New Roman"/>
          <w:sz w:val="24"/>
          <w:szCs w:val="24"/>
        </w:rPr>
        <w:t>pn. "Wsparcie dla osób starszych, niesamodzielnych, w tym niepełnosprawnych z terenu powiatu pilskiego" Projekt ten jest współfinansowan</w:t>
      </w:r>
      <w:r w:rsidR="00720A41">
        <w:rPr>
          <w:rFonts w:ascii="Times New Roman" w:hAnsi="Times New Roman" w:cs="Times New Roman"/>
          <w:sz w:val="24"/>
          <w:szCs w:val="24"/>
        </w:rPr>
        <w:t xml:space="preserve">y ze środków Unii Europejskiej </w:t>
      </w:r>
      <w:r w:rsidRPr="005F0A32">
        <w:rPr>
          <w:rFonts w:ascii="Times New Roman" w:hAnsi="Times New Roman" w:cs="Times New Roman"/>
          <w:sz w:val="24"/>
          <w:szCs w:val="24"/>
        </w:rPr>
        <w:t>w ramach EFS. Podstawą prawną powołania Rady Senioralnej było Zarządzenie Nr 21/2019 Dyrektora PCPR w Pile z dnia 30 września 2019r. w sprawie powołania Rady Senioralnej.</w:t>
      </w:r>
    </w:p>
    <w:p w14:paraId="37EEBD91" w14:textId="77777777" w:rsidR="00720A41" w:rsidRPr="005F0A32" w:rsidRDefault="00720A41" w:rsidP="000D7CDE">
      <w:pPr>
        <w:spacing w:after="0"/>
        <w:jc w:val="both"/>
        <w:rPr>
          <w:rFonts w:ascii="Times New Roman" w:hAnsi="Times New Roman" w:cs="Times New Roman"/>
          <w:sz w:val="24"/>
          <w:szCs w:val="24"/>
        </w:rPr>
      </w:pPr>
    </w:p>
    <w:p w14:paraId="5CEB363F" w14:textId="7F343A23" w:rsidR="00AB1786" w:rsidRPr="005F0A32" w:rsidRDefault="00AB1786" w:rsidP="000D7CDE">
      <w:pPr>
        <w:spacing w:after="0"/>
        <w:jc w:val="both"/>
        <w:rPr>
          <w:rFonts w:ascii="Times New Roman" w:hAnsi="Times New Roman" w:cs="Times New Roman"/>
          <w:sz w:val="24"/>
          <w:szCs w:val="24"/>
        </w:rPr>
      </w:pPr>
      <w:r w:rsidRPr="005F0A32">
        <w:rPr>
          <w:rFonts w:ascii="Times New Roman" w:hAnsi="Times New Roman" w:cs="Times New Roman"/>
          <w:b/>
          <w:sz w:val="24"/>
          <w:szCs w:val="24"/>
        </w:rPr>
        <w:t>Rada Seniorów Powiatu Poznańskiego</w:t>
      </w:r>
      <w:r w:rsidRPr="005F0A32">
        <w:rPr>
          <w:rFonts w:ascii="Times New Roman" w:hAnsi="Times New Roman" w:cs="Times New Roman"/>
          <w:sz w:val="24"/>
          <w:szCs w:val="24"/>
        </w:rPr>
        <w:t xml:space="preserve"> - zarządzenie nr 92/2018 Starosty Poznańskiego </w:t>
      </w:r>
      <w:r w:rsidRPr="005F0A32">
        <w:rPr>
          <w:rFonts w:ascii="Times New Roman" w:hAnsi="Times New Roman" w:cs="Times New Roman"/>
          <w:sz w:val="24"/>
          <w:szCs w:val="24"/>
        </w:rPr>
        <w:br/>
        <w:t xml:space="preserve">z dnia 9 października 2018 r. na podstawie art. 34 ust 1 </w:t>
      </w:r>
      <w:r w:rsidRPr="000D7CDE">
        <w:rPr>
          <w:rFonts w:ascii="Times New Roman" w:hAnsi="Times New Roman" w:cs="Times New Roman"/>
          <w:i/>
          <w:sz w:val="24"/>
          <w:szCs w:val="24"/>
        </w:rPr>
        <w:t xml:space="preserve">ustawy z dnia 5 czerwca 1998 r. </w:t>
      </w:r>
      <w:r w:rsidRPr="000D7CDE">
        <w:rPr>
          <w:rFonts w:ascii="Times New Roman" w:hAnsi="Times New Roman" w:cs="Times New Roman"/>
          <w:i/>
          <w:sz w:val="24"/>
          <w:szCs w:val="24"/>
        </w:rPr>
        <w:br/>
        <w:t>o samorządzie powiatowym</w:t>
      </w:r>
      <w:r w:rsidRPr="005F0A32">
        <w:rPr>
          <w:rFonts w:ascii="Times New Roman" w:hAnsi="Times New Roman" w:cs="Times New Roman"/>
          <w:sz w:val="24"/>
          <w:szCs w:val="24"/>
        </w:rPr>
        <w:t xml:space="preserve"> (Dz. U. z 2018 r. </w:t>
      </w:r>
      <w:r w:rsidR="00E83F81" w:rsidRPr="005F0A32">
        <w:rPr>
          <w:rFonts w:ascii="Times New Roman" w:hAnsi="Times New Roman" w:cs="Times New Roman"/>
          <w:sz w:val="24"/>
          <w:szCs w:val="24"/>
        </w:rPr>
        <w:t>poz.</w:t>
      </w:r>
      <w:r w:rsidRPr="005F0A32">
        <w:rPr>
          <w:rFonts w:ascii="Times New Roman" w:hAnsi="Times New Roman" w:cs="Times New Roman"/>
          <w:sz w:val="24"/>
          <w:szCs w:val="24"/>
        </w:rPr>
        <w:t xml:space="preserve"> 995 ze zm.)</w:t>
      </w:r>
    </w:p>
    <w:p w14:paraId="468CEF2B" w14:textId="77777777" w:rsidR="00AB1786" w:rsidRPr="005F0A32" w:rsidRDefault="00AB1786" w:rsidP="003C1988">
      <w:pPr>
        <w:spacing w:after="0"/>
        <w:ind w:left="720"/>
        <w:rPr>
          <w:rFonts w:ascii="Times New Roman" w:hAnsi="Times New Roman" w:cs="Times New Roman"/>
          <w:sz w:val="24"/>
          <w:szCs w:val="24"/>
        </w:rPr>
      </w:pPr>
    </w:p>
    <w:p w14:paraId="27C02E1F" w14:textId="77777777" w:rsidR="00AB1786" w:rsidRPr="005F0A32" w:rsidRDefault="00AB1786" w:rsidP="003C1988">
      <w:pPr>
        <w:spacing w:after="0"/>
        <w:ind w:left="720"/>
        <w:rPr>
          <w:rFonts w:ascii="Times New Roman" w:hAnsi="Times New Roman" w:cs="Times New Roman"/>
          <w:sz w:val="24"/>
          <w:szCs w:val="24"/>
        </w:rPr>
      </w:pPr>
    </w:p>
    <w:tbl>
      <w:tblPr>
        <w:tblW w:w="9323"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ook w:val="04A0" w:firstRow="1" w:lastRow="0" w:firstColumn="1" w:lastColumn="0" w:noHBand="0" w:noVBand="1"/>
      </w:tblPr>
      <w:tblGrid>
        <w:gridCol w:w="542"/>
        <w:gridCol w:w="2420"/>
        <w:gridCol w:w="2261"/>
        <w:gridCol w:w="2541"/>
        <w:gridCol w:w="1559"/>
      </w:tblGrid>
      <w:tr w:rsidR="00AB1786" w:rsidRPr="00386862" w14:paraId="2E7C0B1A" w14:textId="77777777" w:rsidTr="00386862">
        <w:tc>
          <w:tcPr>
            <w:tcW w:w="514" w:type="dxa"/>
            <w:shd w:val="clear" w:color="auto" w:fill="9CC2E5" w:themeFill="accent1" w:themeFillTint="99"/>
          </w:tcPr>
          <w:p w14:paraId="12B62B83" w14:textId="77777777" w:rsidR="00AB1786" w:rsidRPr="00386862" w:rsidRDefault="00AB1786" w:rsidP="00386862">
            <w:pPr>
              <w:spacing w:after="0"/>
              <w:jc w:val="center"/>
              <w:rPr>
                <w:rFonts w:ascii="Times New Roman" w:hAnsi="Times New Roman" w:cs="Times New Roman"/>
                <w:b/>
              </w:rPr>
            </w:pPr>
          </w:p>
          <w:p w14:paraId="71B008AB" w14:textId="77777777" w:rsidR="00AB1786" w:rsidRPr="00386862" w:rsidRDefault="00AB1786" w:rsidP="00386862">
            <w:pPr>
              <w:spacing w:after="0"/>
              <w:jc w:val="center"/>
              <w:rPr>
                <w:rFonts w:ascii="Times New Roman" w:hAnsi="Times New Roman" w:cs="Times New Roman"/>
                <w:b/>
              </w:rPr>
            </w:pPr>
            <w:r w:rsidRPr="00386862">
              <w:rPr>
                <w:rFonts w:ascii="Times New Roman" w:hAnsi="Times New Roman" w:cs="Times New Roman"/>
                <w:b/>
              </w:rPr>
              <w:t>Lp.</w:t>
            </w:r>
          </w:p>
        </w:tc>
        <w:tc>
          <w:tcPr>
            <w:tcW w:w="2429" w:type="dxa"/>
            <w:shd w:val="clear" w:color="auto" w:fill="9CC2E5" w:themeFill="accent1" w:themeFillTint="99"/>
          </w:tcPr>
          <w:p w14:paraId="09497E49" w14:textId="77777777" w:rsidR="00AB1786" w:rsidRPr="00386862" w:rsidRDefault="00AB1786" w:rsidP="00386862">
            <w:pPr>
              <w:spacing w:after="0"/>
              <w:jc w:val="center"/>
              <w:rPr>
                <w:rFonts w:ascii="Times New Roman" w:hAnsi="Times New Roman" w:cs="Times New Roman"/>
                <w:b/>
              </w:rPr>
            </w:pPr>
          </w:p>
          <w:p w14:paraId="637E7B3A" w14:textId="77777777" w:rsidR="00AB1786" w:rsidRPr="00386862" w:rsidRDefault="00AB1786" w:rsidP="00386862">
            <w:pPr>
              <w:spacing w:after="0"/>
              <w:jc w:val="center"/>
              <w:rPr>
                <w:rFonts w:ascii="Times New Roman" w:hAnsi="Times New Roman" w:cs="Times New Roman"/>
                <w:b/>
              </w:rPr>
            </w:pPr>
            <w:r w:rsidRPr="00386862">
              <w:rPr>
                <w:rFonts w:ascii="Times New Roman" w:hAnsi="Times New Roman" w:cs="Times New Roman"/>
                <w:b/>
              </w:rPr>
              <w:t>województwo</w:t>
            </w:r>
          </w:p>
          <w:p w14:paraId="064A4F91" w14:textId="77777777" w:rsidR="00AB1786" w:rsidRPr="00386862" w:rsidRDefault="00AB1786" w:rsidP="00386862">
            <w:pPr>
              <w:spacing w:after="0"/>
              <w:jc w:val="center"/>
              <w:rPr>
                <w:rFonts w:ascii="Times New Roman" w:hAnsi="Times New Roman" w:cs="Times New Roman"/>
                <w:b/>
              </w:rPr>
            </w:pPr>
          </w:p>
        </w:tc>
        <w:tc>
          <w:tcPr>
            <w:tcW w:w="2268" w:type="dxa"/>
            <w:shd w:val="clear" w:color="auto" w:fill="9CC2E5" w:themeFill="accent1" w:themeFillTint="99"/>
          </w:tcPr>
          <w:p w14:paraId="6BDB2BF0" w14:textId="77777777" w:rsidR="00AB1786" w:rsidRPr="00386862" w:rsidRDefault="00AB1786" w:rsidP="00386862">
            <w:pPr>
              <w:spacing w:after="0"/>
              <w:jc w:val="center"/>
              <w:rPr>
                <w:rFonts w:ascii="Times New Roman" w:hAnsi="Times New Roman" w:cs="Times New Roman"/>
                <w:b/>
              </w:rPr>
            </w:pPr>
          </w:p>
          <w:p w14:paraId="52319437" w14:textId="77777777" w:rsidR="00AB1786" w:rsidRPr="00386862" w:rsidRDefault="00AB1786" w:rsidP="00386862">
            <w:pPr>
              <w:spacing w:after="0"/>
              <w:jc w:val="center"/>
              <w:rPr>
                <w:rFonts w:ascii="Times New Roman" w:hAnsi="Times New Roman" w:cs="Times New Roman"/>
                <w:b/>
              </w:rPr>
            </w:pPr>
            <w:r w:rsidRPr="00386862">
              <w:rPr>
                <w:rFonts w:ascii="Times New Roman" w:hAnsi="Times New Roman" w:cs="Times New Roman"/>
                <w:b/>
              </w:rPr>
              <w:t>Liczba powiatów w województwie</w:t>
            </w:r>
          </w:p>
          <w:p w14:paraId="530FEFE6" w14:textId="77777777" w:rsidR="00AB1786" w:rsidRPr="00386862" w:rsidRDefault="00AB1786" w:rsidP="00386862">
            <w:pPr>
              <w:spacing w:after="0"/>
              <w:jc w:val="center"/>
              <w:rPr>
                <w:rFonts w:ascii="Times New Roman" w:hAnsi="Times New Roman" w:cs="Times New Roman"/>
                <w:b/>
              </w:rPr>
            </w:pPr>
            <w:r w:rsidRPr="00386862">
              <w:rPr>
                <w:rFonts w:ascii="Times New Roman" w:hAnsi="Times New Roman" w:cs="Times New Roman"/>
                <w:b/>
              </w:rPr>
              <w:t>- ogółem</w:t>
            </w:r>
          </w:p>
        </w:tc>
        <w:tc>
          <w:tcPr>
            <w:tcW w:w="2552" w:type="dxa"/>
            <w:shd w:val="clear" w:color="auto" w:fill="9CC2E5" w:themeFill="accent1" w:themeFillTint="99"/>
          </w:tcPr>
          <w:p w14:paraId="2573364E" w14:textId="77777777" w:rsidR="00AB1786" w:rsidRPr="00386862" w:rsidRDefault="00AB1786" w:rsidP="00386862">
            <w:pPr>
              <w:spacing w:after="0"/>
              <w:jc w:val="center"/>
              <w:rPr>
                <w:rFonts w:ascii="Times New Roman" w:hAnsi="Times New Roman" w:cs="Times New Roman"/>
                <w:b/>
              </w:rPr>
            </w:pPr>
          </w:p>
          <w:p w14:paraId="4FF70974" w14:textId="77777777" w:rsidR="00AB1786" w:rsidRPr="00386862" w:rsidRDefault="00AB1786" w:rsidP="00386862">
            <w:pPr>
              <w:spacing w:after="0"/>
              <w:jc w:val="center"/>
              <w:rPr>
                <w:rFonts w:ascii="Times New Roman" w:hAnsi="Times New Roman" w:cs="Times New Roman"/>
                <w:b/>
              </w:rPr>
            </w:pPr>
            <w:r w:rsidRPr="00386862">
              <w:rPr>
                <w:rFonts w:ascii="Times New Roman" w:hAnsi="Times New Roman" w:cs="Times New Roman"/>
                <w:b/>
              </w:rPr>
              <w:t>Liczba powiatów w   których  funkcjonują</w:t>
            </w:r>
          </w:p>
          <w:p w14:paraId="53328D0B" w14:textId="77777777" w:rsidR="00AB1786" w:rsidRPr="00386862" w:rsidRDefault="00AB1786" w:rsidP="00386862">
            <w:pPr>
              <w:spacing w:after="0"/>
              <w:jc w:val="center"/>
              <w:rPr>
                <w:rFonts w:ascii="Times New Roman" w:hAnsi="Times New Roman" w:cs="Times New Roman"/>
                <w:b/>
              </w:rPr>
            </w:pPr>
            <w:r w:rsidRPr="00386862">
              <w:rPr>
                <w:rFonts w:ascii="Times New Roman" w:hAnsi="Times New Roman" w:cs="Times New Roman"/>
                <w:b/>
              </w:rPr>
              <w:t>rady seniorów</w:t>
            </w:r>
          </w:p>
        </w:tc>
        <w:tc>
          <w:tcPr>
            <w:tcW w:w="1560" w:type="dxa"/>
            <w:shd w:val="clear" w:color="auto" w:fill="9CC2E5" w:themeFill="accent1" w:themeFillTint="99"/>
          </w:tcPr>
          <w:p w14:paraId="5559BA08" w14:textId="77777777" w:rsidR="00AB1786" w:rsidRPr="00386862" w:rsidRDefault="00AB1786" w:rsidP="00386862">
            <w:pPr>
              <w:spacing w:after="0"/>
              <w:jc w:val="center"/>
              <w:rPr>
                <w:rFonts w:ascii="Times New Roman" w:hAnsi="Times New Roman" w:cs="Times New Roman"/>
              </w:rPr>
            </w:pPr>
          </w:p>
          <w:p w14:paraId="6E42B958" w14:textId="77777777" w:rsidR="00AB1786" w:rsidRPr="00386862" w:rsidRDefault="00AB1786" w:rsidP="00386862">
            <w:pPr>
              <w:spacing w:after="0"/>
              <w:jc w:val="center"/>
              <w:rPr>
                <w:rFonts w:ascii="Times New Roman" w:hAnsi="Times New Roman" w:cs="Times New Roman"/>
                <w:b/>
              </w:rPr>
            </w:pPr>
            <w:r w:rsidRPr="00386862">
              <w:rPr>
                <w:rFonts w:ascii="Times New Roman" w:hAnsi="Times New Roman" w:cs="Times New Roman"/>
                <w:b/>
              </w:rPr>
              <w:t>Uwagi</w:t>
            </w:r>
          </w:p>
          <w:p w14:paraId="10CD4927" w14:textId="77777777" w:rsidR="00AB1786" w:rsidRPr="00386862" w:rsidRDefault="00AB1786" w:rsidP="00386862">
            <w:pPr>
              <w:spacing w:after="0"/>
              <w:jc w:val="center"/>
              <w:rPr>
                <w:rFonts w:ascii="Times New Roman" w:hAnsi="Times New Roman" w:cs="Times New Roman"/>
                <w:b/>
              </w:rPr>
            </w:pPr>
            <w:r w:rsidRPr="00386862">
              <w:rPr>
                <w:rFonts w:ascii="Times New Roman" w:hAnsi="Times New Roman" w:cs="Times New Roman"/>
                <w:b/>
              </w:rPr>
              <w:t>(wyjaśnienia)</w:t>
            </w:r>
          </w:p>
        </w:tc>
      </w:tr>
      <w:tr w:rsidR="00AB1786" w:rsidRPr="00386862" w14:paraId="003879A3" w14:textId="77777777" w:rsidTr="00386862">
        <w:tc>
          <w:tcPr>
            <w:tcW w:w="514" w:type="dxa"/>
            <w:shd w:val="clear" w:color="auto" w:fill="9CC2E5" w:themeFill="accent1" w:themeFillTint="99"/>
          </w:tcPr>
          <w:p w14:paraId="67C2A52E" w14:textId="77777777" w:rsidR="00AB1786" w:rsidRPr="00386862" w:rsidRDefault="00AB1786" w:rsidP="00386862">
            <w:pPr>
              <w:spacing w:after="0"/>
              <w:jc w:val="center"/>
              <w:rPr>
                <w:rFonts w:ascii="Times New Roman" w:hAnsi="Times New Roman" w:cs="Times New Roman"/>
                <w:b/>
              </w:rPr>
            </w:pPr>
            <w:r w:rsidRPr="00386862">
              <w:rPr>
                <w:rFonts w:ascii="Times New Roman" w:hAnsi="Times New Roman" w:cs="Times New Roman"/>
                <w:b/>
              </w:rPr>
              <w:t>1</w:t>
            </w:r>
            <w:r w:rsidR="00386862" w:rsidRPr="00386862">
              <w:rPr>
                <w:rFonts w:ascii="Times New Roman" w:hAnsi="Times New Roman" w:cs="Times New Roman"/>
                <w:b/>
              </w:rPr>
              <w:t>.</w:t>
            </w:r>
          </w:p>
          <w:p w14:paraId="3147D384" w14:textId="77777777" w:rsidR="00AB1786" w:rsidRPr="00386862" w:rsidRDefault="00AB1786" w:rsidP="00386862">
            <w:pPr>
              <w:spacing w:after="0"/>
              <w:jc w:val="center"/>
              <w:rPr>
                <w:rFonts w:ascii="Times New Roman" w:hAnsi="Times New Roman" w:cs="Times New Roman"/>
              </w:rPr>
            </w:pPr>
          </w:p>
        </w:tc>
        <w:tc>
          <w:tcPr>
            <w:tcW w:w="2429" w:type="dxa"/>
            <w:shd w:val="clear" w:color="auto" w:fill="auto"/>
          </w:tcPr>
          <w:p w14:paraId="2B8A47D2" w14:textId="77777777" w:rsidR="00AB1786" w:rsidRPr="00386862" w:rsidRDefault="00AB1786" w:rsidP="00386862">
            <w:pPr>
              <w:spacing w:after="0"/>
              <w:jc w:val="center"/>
              <w:rPr>
                <w:rFonts w:ascii="Times New Roman" w:hAnsi="Times New Roman" w:cs="Times New Roman"/>
              </w:rPr>
            </w:pPr>
            <w:r w:rsidRPr="00386862">
              <w:rPr>
                <w:rFonts w:ascii="Times New Roman" w:hAnsi="Times New Roman" w:cs="Times New Roman"/>
              </w:rPr>
              <w:t>wielkopolskie</w:t>
            </w:r>
          </w:p>
        </w:tc>
        <w:tc>
          <w:tcPr>
            <w:tcW w:w="2268" w:type="dxa"/>
            <w:shd w:val="clear" w:color="auto" w:fill="auto"/>
          </w:tcPr>
          <w:p w14:paraId="72F20719" w14:textId="77777777" w:rsidR="00AB1786" w:rsidRPr="00386862" w:rsidRDefault="00AB1786" w:rsidP="00386862">
            <w:pPr>
              <w:spacing w:after="0"/>
              <w:jc w:val="center"/>
              <w:rPr>
                <w:rFonts w:ascii="Times New Roman" w:hAnsi="Times New Roman" w:cs="Times New Roman"/>
              </w:rPr>
            </w:pPr>
            <w:r w:rsidRPr="00386862">
              <w:rPr>
                <w:rFonts w:ascii="Times New Roman" w:hAnsi="Times New Roman" w:cs="Times New Roman"/>
              </w:rPr>
              <w:t>31 i 4 miasta na prawach powiatu</w:t>
            </w:r>
          </w:p>
        </w:tc>
        <w:tc>
          <w:tcPr>
            <w:tcW w:w="2552" w:type="dxa"/>
            <w:shd w:val="clear" w:color="auto" w:fill="auto"/>
          </w:tcPr>
          <w:p w14:paraId="4A0732AE" w14:textId="77777777" w:rsidR="00AB1786" w:rsidRPr="00386862" w:rsidRDefault="00AB1786" w:rsidP="00386862">
            <w:pPr>
              <w:spacing w:after="0"/>
              <w:jc w:val="center"/>
              <w:rPr>
                <w:rFonts w:ascii="Times New Roman" w:hAnsi="Times New Roman" w:cs="Times New Roman"/>
                <w:b/>
              </w:rPr>
            </w:pPr>
            <w:r w:rsidRPr="00386862">
              <w:rPr>
                <w:rFonts w:ascii="Times New Roman" w:hAnsi="Times New Roman" w:cs="Times New Roman"/>
                <w:b/>
              </w:rPr>
              <w:t>3</w:t>
            </w:r>
          </w:p>
        </w:tc>
        <w:tc>
          <w:tcPr>
            <w:tcW w:w="1560" w:type="dxa"/>
            <w:shd w:val="clear" w:color="auto" w:fill="auto"/>
          </w:tcPr>
          <w:p w14:paraId="11302CEF" w14:textId="77777777" w:rsidR="00AB1786" w:rsidRPr="00386862" w:rsidRDefault="00AB1786" w:rsidP="00386862">
            <w:pPr>
              <w:spacing w:after="0"/>
              <w:jc w:val="center"/>
              <w:rPr>
                <w:rFonts w:ascii="Times New Roman" w:hAnsi="Times New Roman" w:cs="Times New Roman"/>
              </w:rPr>
            </w:pPr>
            <w:r w:rsidRPr="00386862">
              <w:rPr>
                <w:rFonts w:ascii="Times New Roman" w:hAnsi="Times New Roman" w:cs="Times New Roman"/>
              </w:rPr>
              <w:t>-</w:t>
            </w:r>
          </w:p>
        </w:tc>
      </w:tr>
    </w:tbl>
    <w:p w14:paraId="119F0728" w14:textId="77777777" w:rsidR="00AB1786" w:rsidRPr="005F0A32" w:rsidRDefault="00AB1786" w:rsidP="003C1988">
      <w:pPr>
        <w:spacing w:after="0"/>
        <w:rPr>
          <w:rFonts w:ascii="Times New Roman" w:hAnsi="Times New Roman" w:cs="Times New Roman"/>
          <w:sz w:val="24"/>
          <w:szCs w:val="24"/>
        </w:rPr>
      </w:pPr>
    </w:p>
    <w:p w14:paraId="1CE25211" w14:textId="77777777" w:rsidR="00720A41" w:rsidRDefault="00AB1786" w:rsidP="000D7CDE">
      <w:pPr>
        <w:spacing w:after="0"/>
        <w:jc w:val="both"/>
        <w:rPr>
          <w:rFonts w:ascii="Times New Roman" w:hAnsi="Times New Roman" w:cs="Times New Roman"/>
          <w:sz w:val="24"/>
          <w:szCs w:val="24"/>
        </w:rPr>
      </w:pPr>
      <w:r w:rsidRPr="00720A41">
        <w:rPr>
          <w:rFonts w:ascii="Times New Roman" w:hAnsi="Times New Roman" w:cs="Times New Roman"/>
          <w:sz w:val="24"/>
          <w:szCs w:val="24"/>
        </w:rPr>
        <w:t>Powiat Koniński</w:t>
      </w:r>
      <w:r w:rsidR="00720A41">
        <w:rPr>
          <w:rFonts w:ascii="Times New Roman" w:hAnsi="Times New Roman" w:cs="Times New Roman"/>
          <w:sz w:val="24"/>
          <w:szCs w:val="24"/>
        </w:rPr>
        <w:t xml:space="preserve"> </w:t>
      </w:r>
    </w:p>
    <w:p w14:paraId="3173116D" w14:textId="77777777" w:rsidR="00720A41" w:rsidRDefault="00AB1786" w:rsidP="008C71A9">
      <w:pPr>
        <w:pStyle w:val="Akapitzlist"/>
        <w:numPr>
          <w:ilvl w:val="0"/>
          <w:numId w:val="197"/>
        </w:numPr>
        <w:spacing w:after="0"/>
        <w:ind w:left="360"/>
        <w:jc w:val="both"/>
        <w:rPr>
          <w:rFonts w:ascii="Times New Roman" w:hAnsi="Times New Roman" w:cs="Times New Roman"/>
          <w:sz w:val="24"/>
          <w:szCs w:val="24"/>
        </w:rPr>
      </w:pPr>
      <w:r w:rsidRPr="00720A41">
        <w:rPr>
          <w:rFonts w:ascii="Times New Roman" w:hAnsi="Times New Roman" w:cs="Times New Roman"/>
          <w:sz w:val="24"/>
          <w:szCs w:val="24"/>
        </w:rPr>
        <w:t xml:space="preserve">powiatowe obchody dnia babci i dziadka, </w:t>
      </w:r>
    </w:p>
    <w:p w14:paraId="267057F1" w14:textId="77777777" w:rsidR="00720A41" w:rsidRDefault="00AB1786" w:rsidP="008C71A9">
      <w:pPr>
        <w:pStyle w:val="Akapitzlist"/>
        <w:numPr>
          <w:ilvl w:val="0"/>
          <w:numId w:val="197"/>
        </w:numPr>
        <w:spacing w:after="0"/>
        <w:ind w:left="360"/>
        <w:jc w:val="both"/>
        <w:rPr>
          <w:rFonts w:ascii="Times New Roman" w:hAnsi="Times New Roman" w:cs="Times New Roman"/>
          <w:sz w:val="24"/>
          <w:szCs w:val="24"/>
        </w:rPr>
      </w:pPr>
      <w:r w:rsidRPr="00720A41">
        <w:rPr>
          <w:rFonts w:ascii="Times New Roman" w:hAnsi="Times New Roman" w:cs="Times New Roman"/>
          <w:sz w:val="24"/>
          <w:szCs w:val="24"/>
        </w:rPr>
        <w:t xml:space="preserve">powiatowe obchody Światowego Dnia Seniora, </w:t>
      </w:r>
    </w:p>
    <w:p w14:paraId="3EEA8E1F" w14:textId="77777777" w:rsidR="00720A41" w:rsidRDefault="00AB1786" w:rsidP="008C71A9">
      <w:pPr>
        <w:pStyle w:val="Akapitzlist"/>
        <w:numPr>
          <w:ilvl w:val="0"/>
          <w:numId w:val="197"/>
        </w:numPr>
        <w:spacing w:after="0"/>
        <w:ind w:left="360"/>
        <w:jc w:val="both"/>
        <w:rPr>
          <w:rFonts w:ascii="Times New Roman" w:hAnsi="Times New Roman" w:cs="Times New Roman"/>
          <w:sz w:val="24"/>
          <w:szCs w:val="24"/>
        </w:rPr>
      </w:pPr>
      <w:r w:rsidRPr="00720A41">
        <w:rPr>
          <w:rFonts w:ascii="Times New Roman" w:hAnsi="Times New Roman" w:cs="Times New Roman"/>
          <w:sz w:val="24"/>
          <w:szCs w:val="24"/>
        </w:rPr>
        <w:lastRenderedPageBreak/>
        <w:t xml:space="preserve">Powiatowe Dni Rodziny, </w:t>
      </w:r>
    </w:p>
    <w:p w14:paraId="475AFF5F" w14:textId="77777777" w:rsidR="00AB1786" w:rsidRPr="00720A41" w:rsidRDefault="00720A41" w:rsidP="008C71A9">
      <w:pPr>
        <w:pStyle w:val="Akapitzlist"/>
        <w:numPr>
          <w:ilvl w:val="0"/>
          <w:numId w:val="197"/>
        </w:num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piknik seniorów w Ślesinie </w:t>
      </w:r>
      <w:r w:rsidR="00AB1786" w:rsidRPr="00720A41">
        <w:rPr>
          <w:rFonts w:ascii="Times New Roman" w:hAnsi="Times New Roman" w:cs="Times New Roman"/>
          <w:sz w:val="24"/>
          <w:szCs w:val="24"/>
        </w:rPr>
        <w:t xml:space="preserve">i Brzeźnie. </w:t>
      </w:r>
    </w:p>
    <w:p w14:paraId="0903BDA0" w14:textId="77777777" w:rsidR="00720A41" w:rsidRDefault="00720A41" w:rsidP="000D7CDE">
      <w:pPr>
        <w:spacing w:after="0"/>
        <w:jc w:val="both"/>
        <w:rPr>
          <w:rFonts w:ascii="Times New Roman" w:hAnsi="Times New Roman" w:cs="Times New Roman"/>
          <w:b/>
          <w:sz w:val="24"/>
          <w:szCs w:val="24"/>
        </w:rPr>
      </w:pPr>
    </w:p>
    <w:p w14:paraId="6F8E5BFE" w14:textId="77777777" w:rsidR="00720A41" w:rsidRPr="00720A41" w:rsidRDefault="00AB1786" w:rsidP="000D7CDE">
      <w:pPr>
        <w:spacing w:after="0"/>
        <w:jc w:val="both"/>
        <w:rPr>
          <w:rFonts w:ascii="Times New Roman" w:hAnsi="Times New Roman" w:cs="Times New Roman"/>
          <w:sz w:val="24"/>
          <w:szCs w:val="24"/>
        </w:rPr>
      </w:pPr>
      <w:r w:rsidRPr="00720A41">
        <w:rPr>
          <w:rFonts w:ascii="Times New Roman" w:hAnsi="Times New Roman" w:cs="Times New Roman"/>
          <w:sz w:val="24"/>
          <w:szCs w:val="24"/>
        </w:rPr>
        <w:t>Powiat Pilski</w:t>
      </w:r>
      <w:r w:rsidR="00720A41" w:rsidRPr="00720A41">
        <w:rPr>
          <w:rFonts w:ascii="Times New Roman" w:hAnsi="Times New Roman" w:cs="Times New Roman"/>
          <w:sz w:val="24"/>
          <w:szCs w:val="24"/>
        </w:rPr>
        <w:t xml:space="preserve"> </w:t>
      </w:r>
    </w:p>
    <w:p w14:paraId="436C1A4E" w14:textId="77777777" w:rsidR="00AB1786" w:rsidRPr="00720A41" w:rsidRDefault="00AB1786" w:rsidP="008C71A9">
      <w:pPr>
        <w:pStyle w:val="Akapitzlist"/>
        <w:numPr>
          <w:ilvl w:val="0"/>
          <w:numId w:val="198"/>
        </w:numPr>
        <w:spacing w:after="0"/>
        <w:ind w:left="360"/>
        <w:jc w:val="both"/>
        <w:rPr>
          <w:rFonts w:ascii="Times New Roman" w:hAnsi="Times New Roman" w:cs="Times New Roman"/>
          <w:sz w:val="24"/>
          <w:szCs w:val="24"/>
        </w:rPr>
      </w:pPr>
      <w:r w:rsidRPr="00720A41">
        <w:rPr>
          <w:rFonts w:ascii="Times New Roman" w:hAnsi="Times New Roman" w:cs="Times New Roman"/>
          <w:sz w:val="24"/>
          <w:szCs w:val="24"/>
        </w:rPr>
        <w:t>współpraca z Powiatowym Klubem Pogodnego Seniora w Pile, Domem Seniora w Róży Wielkiej oraz z Klubem Seniora w Wysokiej.</w:t>
      </w:r>
    </w:p>
    <w:p w14:paraId="253A0611" w14:textId="77777777" w:rsidR="00720A41" w:rsidRDefault="00720A41" w:rsidP="000D7CDE">
      <w:pPr>
        <w:spacing w:after="0"/>
        <w:jc w:val="both"/>
        <w:rPr>
          <w:rFonts w:ascii="Times New Roman" w:hAnsi="Times New Roman" w:cs="Times New Roman"/>
          <w:b/>
          <w:sz w:val="24"/>
          <w:szCs w:val="24"/>
        </w:rPr>
      </w:pPr>
    </w:p>
    <w:p w14:paraId="3E078AF3" w14:textId="77777777" w:rsidR="00720A41" w:rsidRDefault="00AB1786" w:rsidP="000D7CDE">
      <w:pPr>
        <w:spacing w:after="0"/>
        <w:jc w:val="both"/>
        <w:rPr>
          <w:rFonts w:ascii="Times New Roman" w:hAnsi="Times New Roman" w:cs="Times New Roman"/>
          <w:sz w:val="24"/>
          <w:szCs w:val="24"/>
        </w:rPr>
      </w:pPr>
      <w:r w:rsidRPr="00720A41">
        <w:rPr>
          <w:rFonts w:ascii="Times New Roman" w:hAnsi="Times New Roman" w:cs="Times New Roman"/>
          <w:sz w:val="24"/>
          <w:szCs w:val="24"/>
        </w:rPr>
        <w:t>Powiat Poznański</w:t>
      </w:r>
    </w:p>
    <w:p w14:paraId="426A5EC6" w14:textId="77777777" w:rsidR="00F02288" w:rsidRDefault="00AB1786" w:rsidP="008C71A9">
      <w:pPr>
        <w:pStyle w:val="Akapitzlist"/>
        <w:numPr>
          <w:ilvl w:val="0"/>
          <w:numId w:val="198"/>
        </w:numPr>
        <w:spacing w:after="0"/>
        <w:ind w:left="360"/>
        <w:jc w:val="both"/>
        <w:rPr>
          <w:rFonts w:ascii="Times New Roman" w:hAnsi="Times New Roman" w:cs="Times New Roman"/>
          <w:sz w:val="24"/>
          <w:szCs w:val="24"/>
        </w:rPr>
      </w:pPr>
      <w:r w:rsidRPr="00720A41">
        <w:rPr>
          <w:rFonts w:ascii="Times New Roman" w:hAnsi="Times New Roman" w:cs="Times New Roman"/>
          <w:sz w:val="24"/>
          <w:szCs w:val="24"/>
        </w:rPr>
        <w:t xml:space="preserve">organizowanie badań profilaktycznych, </w:t>
      </w:r>
    </w:p>
    <w:p w14:paraId="05C2AB40" w14:textId="77777777" w:rsidR="00F02288" w:rsidRDefault="00AB1786" w:rsidP="008C71A9">
      <w:pPr>
        <w:pStyle w:val="Akapitzlist"/>
        <w:numPr>
          <w:ilvl w:val="0"/>
          <w:numId w:val="198"/>
        </w:numPr>
        <w:spacing w:after="0"/>
        <w:ind w:left="360"/>
        <w:jc w:val="both"/>
        <w:rPr>
          <w:rFonts w:ascii="Times New Roman" w:hAnsi="Times New Roman" w:cs="Times New Roman"/>
          <w:sz w:val="24"/>
          <w:szCs w:val="24"/>
        </w:rPr>
      </w:pPr>
      <w:r w:rsidRPr="00720A41">
        <w:rPr>
          <w:rFonts w:ascii="Times New Roman" w:hAnsi="Times New Roman" w:cs="Times New Roman"/>
          <w:sz w:val="24"/>
          <w:szCs w:val="24"/>
        </w:rPr>
        <w:t xml:space="preserve">programy zdrowotne, szczepienia i ,,Biała Sobota " w szpitalu w Puszczykowie,  </w:t>
      </w:r>
    </w:p>
    <w:p w14:paraId="18305725" w14:textId="77777777" w:rsidR="00F02288" w:rsidRDefault="00AB1786" w:rsidP="008C71A9">
      <w:pPr>
        <w:pStyle w:val="Akapitzlist"/>
        <w:numPr>
          <w:ilvl w:val="0"/>
          <w:numId w:val="198"/>
        </w:numPr>
        <w:spacing w:after="0"/>
        <w:ind w:left="360"/>
        <w:jc w:val="both"/>
        <w:rPr>
          <w:rFonts w:ascii="Times New Roman" w:hAnsi="Times New Roman" w:cs="Times New Roman"/>
          <w:sz w:val="24"/>
          <w:szCs w:val="24"/>
        </w:rPr>
      </w:pPr>
      <w:r w:rsidRPr="00720A41">
        <w:rPr>
          <w:rFonts w:ascii="Times New Roman" w:hAnsi="Times New Roman" w:cs="Times New Roman"/>
          <w:sz w:val="24"/>
          <w:szCs w:val="24"/>
        </w:rPr>
        <w:t xml:space="preserve">I Powiatowa Olimpiada Seniorów w 2019 w Luboniu, </w:t>
      </w:r>
    </w:p>
    <w:p w14:paraId="118BF651" w14:textId="77777777" w:rsidR="00AB1786" w:rsidRPr="00720A41" w:rsidRDefault="00AB1786" w:rsidP="008C71A9">
      <w:pPr>
        <w:pStyle w:val="Akapitzlist"/>
        <w:numPr>
          <w:ilvl w:val="0"/>
          <w:numId w:val="198"/>
        </w:numPr>
        <w:spacing w:after="0"/>
        <w:ind w:left="360"/>
        <w:jc w:val="both"/>
        <w:rPr>
          <w:rFonts w:ascii="Times New Roman" w:hAnsi="Times New Roman" w:cs="Times New Roman"/>
          <w:sz w:val="24"/>
          <w:szCs w:val="24"/>
        </w:rPr>
      </w:pPr>
      <w:r w:rsidRPr="00720A41">
        <w:rPr>
          <w:rFonts w:ascii="Times New Roman" w:hAnsi="Times New Roman" w:cs="Times New Roman"/>
          <w:sz w:val="24"/>
          <w:szCs w:val="24"/>
        </w:rPr>
        <w:t xml:space="preserve">udział w spotkaniach z Komisją Polityki Społecznej i Ochrony Zdrowia Rady Powiatu Poznańskiego. </w:t>
      </w:r>
    </w:p>
    <w:p w14:paraId="41754D07" w14:textId="77777777" w:rsidR="00AB1786" w:rsidRPr="005F0A32" w:rsidRDefault="00AB1786" w:rsidP="000D7CDE">
      <w:pPr>
        <w:spacing w:after="0"/>
        <w:jc w:val="both"/>
        <w:rPr>
          <w:rFonts w:ascii="Times New Roman" w:hAnsi="Times New Roman" w:cs="Times New Roman"/>
          <w:sz w:val="24"/>
          <w:szCs w:val="24"/>
        </w:rPr>
      </w:pPr>
    </w:p>
    <w:p w14:paraId="4C18E9F2" w14:textId="77777777" w:rsidR="00F02288" w:rsidRDefault="00F02288" w:rsidP="003C1988">
      <w:pPr>
        <w:spacing w:after="0"/>
        <w:rPr>
          <w:rFonts w:ascii="Times New Roman" w:hAnsi="Times New Roman" w:cs="Times New Roman"/>
          <w:sz w:val="24"/>
          <w:szCs w:val="24"/>
          <w:lang w:eastAsia="ar-SA"/>
        </w:rPr>
        <w:sectPr w:rsidR="00F02288" w:rsidSect="00FC210F">
          <w:pgSz w:w="11906" w:h="16840"/>
          <w:pgMar w:top="1418" w:right="1418" w:bottom="1417" w:left="1418" w:header="708" w:footer="708" w:gutter="0"/>
          <w:cols w:space="708"/>
          <w:docGrid w:linePitch="360"/>
        </w:sectPr>
      </w:pPr>
    </w:p>
    <w:p w14:paraId="432D9D67" w14:textId="762C6896" w:rsidR="004D48DD" w:rsidRPr="004D48DD" w:rsidRDefault="004D48DD" w:rsidP="004D48DD">
      <w:pPr>
        <w:pStyle w:val="Legenda"/>
        <w:keepNext/>
        <w:rPr>
          <w:rFonts w:ascii="Times New Roman" w:hAnsi="Times New Roman" w:cs="Times New Roman"/>
          <w:b/>
          <w:i w:val="0"/>
          <w:sz w:val="24"/>
        </w:rPr>
      </w:pPr>
      <w:bookmarkStart w:id="155" w:name="_Toc49171444"/>
      <w:r w:rsidRPr="004D48DD">
        <w:rPr>
          <w:rFonts w:ascii="Times New Roman" w:hAnsi="Times New Roman" w:cs="Times New Roman"/>
          <w:b/>
          <w:i w:val="0"/>
          <w:sz w:val="24"/>
        </w:rPr>
        <w:lastRenderedPageBreak/>
        <w:t xml:space="preserve">Tabela </w:t>
      </w:r>
      <w:r w:rsidRPr="004D48DD">
        <w:rPr>
          <w:rFonts w:ascii="Times New Roman" w:hAnsi="Times New Roman" w:cs="Times New Roman"/>
          <w:b/>
          <w:i w:val="0"/>
          <w:sz w:val="24"/>
        </w:rPr>
        <w:fldChar w:fldCharType="begin"/>
      </w:r>
      <w:r w:rsidRPr="004D48DD">
        <w:rPr>
          <w:rFonts w:ascii="Times New Roman" w:hAnsi="Times New Roman" w:cs="Times New Roman"/>
          <w:b/>
          <w:i w:val="0"/>
          <w:sz w:val="24"/>
        </w:rPr>
        <w:instrText xml:space="preserve"> SEQ Tabela \* ARABIC </w:instrText>
      </w:r>
      <w:r w:rsidRPr="004D48DD">
        <w:rPr>
          <w:rFonts w:ascii="Times New Roman" w:hAnsi="Times New Roman" w:cs="Times New Roman"/>
          <w:b/>
          <w:i w:val="0"/>
          <w:sz w:val="24"/>
        </w:rPr>
        <w:fldChar w:fldCharType="separate"/>
      </w:r>
      <w:r w:rsidR="00C154C9">
        <w:rPr>
          <w:rFonts w:ascii="Times New Roman" w:hAnsi="Times New Roman" w:cs="Times New Roman"/>
          <w:b/>
          <w:i w:val="0"/>
          <w:noProof/>
          <w:sz w:val="24"/>
        </w:rPr>
        <w:t>69</w:t>
      </w:r>
      <w:r w:rsidRPr="004D48DD">
        <w:rPr>
          <w:rFonts w:ascii="Times New Roman" w:hAnsi="Times New Roman" w:cs="Times New Roman"/>
          <w:b/>
          <w:i w:val="0"/>
          <w:sz w:val="24"/>
        </w:rPr>
        <w:fldChar w:fldCharType="end"/>
      </w:r>
      <w:r w:rsidRPr="004D48DD">
        <w:rPr>
          <w:rFonts w:ascii="Times New Roman" w:hAnsi="Times New Roman" w:cs="Times New Roman"/>
          <w:b/>
          <w:i w:val="0"/>
          <w:sz w:val="24"/>
        </w:rPr>
        <w:t xml:space="preserve"> Karta województwa wielkopolskiego</w:t>
      </w:r>
      <w:bookmarkEnd w:id="155"/>
    </w:p>
    <w:tbl>
      <w:tblPr>
        <w:tblStyle w:val="Tabelasiatki6kolorowaakcent1"/>
        <w:tblpPr w:leftFromText="141" w:rightFromText="141" w:vertAnchor="text" w:tblpXSpec="center" w:tblpY="1"/>
        <w:tblOverlap w:val="never"/>
        <w:tblW w:w="14741"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F02288" w:rsidRPr="00386862" w14:paraId="365F7A7A" w14:textId="77777777" w:rsidTr="0038686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tcBorders>
              <w:bottom w:val="none" w:sz="0" w:space="0" w:color="auto"/>
            </w:tcBorders>
            <w:shd w:val="clear" w:color="auto" w:fill="9CC2E5" w:themeFill="accent1" w:themeFillTint="99"/>
          </w:tcPr>
          <w:p w14:paraId="47FC5541" w14:textId="77777777" w:rsidR="00F02288" w:rsidRPr="00386862" w:rsidRDefault="00F02288" w:rsidP="00386862">
            <w:pPr>
              <w:spacing w:after="0" w:line="240" w:lineRule="auto"/>
              <w:jc w:val="center"/>
              <w:rPr>
                <w:rFonts w:ascii="Times New Roman" w:hAnsi="Times New Roman"/>
                <w:color w:val="auto"/>
              </w:rPr>
            </w:pPr>
            <w:r w:rsidRPr="00386862">
              <w:rPr>
                <w:rFonts w:ascii="Times New Roman" w:hAnsi="Times New Roman"/>
                <w:color w:val="auto"/>
              </w:rPr>
              <w:t>WOJEWÓDZTWO WIELKOPOLSKIE</w:t>
            </w:r>
          </w:p>
        </w:tc>
      </w:tr>
      <w:tr w:rsidR="00F02288" w:rsidRPr="00386862" w14:paraId="4933085D" w14:textId="77777777" w:rsidTr="00CA12C4">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7EA6853" w14:textId="77777777" w:rsidR="00F02288" w:rsidRPr="00386862" w:rsidRDefault="00F02288" w:rsidP="00386862">
            <w:pPr>
              <w:spacing w:after="0" w:line="240" w:lineRule="auto"/>
              <w:rPr>
                <w:rFonts w:ascii="Times New Roman" w:hAnsi="Times New Roman"/>
                <w:color w:val="auto"/>
              </w:rPr>
            </w:pPr>
            <w:r w:rsidRPr="00386862">
              <w:rPr>
                <w:rFonts w:ascii="Times New Roman" w:hAnsi="Times New Roman"/>
                <w:color w:val="auto"/>
              </w:rPr>
              <w:t>Informacja o regionie</w:t>
            </w:r>
          </w:p>
        </w:tc>
        <w:tc>
          <w:tcPr>
            <w:tcW w:w="3969" w:type="dxa"/>
            <w:gridSpan w:val="3"/>
            <w:shd w:val="clear" w:color="auto" w:fill="9CC2E5" w:themeFill="accent1" w:themeFillTint="99"/>
          </w:tcPr>
          <w:p w14:paraId="46B0EF00"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Liczba gmin</w:t>
            </w:r>
          </w:p>
        </w:tc>
        <w:tc>
          <w:tcPr>
            <w:tcW w:w="7942" w:type="dxa"/>
            <w:gridSpan w:val="5"/>
            <w:shd w:val="clear" w:color="auto" w:fill="FFFFFF" w:themeFill="background1"/>
          </w:tcPr>
          <w:p w14:paraId="0CCDAB58" w14:textId="77777777" w:rsidR="00F02288" w:rsidRPr="00386862" w:rsidRDefault="00F02288" w:rsidP="003868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226</w:t>
            </w:r>
          </w:p>
        </w:tc>
      </w:tr>
      <w:tr w:rsidR="00F02288" w:rsidRPr="00386862" w14:paraId="2BD7A1EC" w14:textId="77777777" w:rsidTr="00CA12C4">
        <w:trPr>
          <w:trHeight w:val="11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5D4B6DE" w14:textId="77777777" w:rsidR="00F02288" w:rsidRPr="00386862" w:rsidRDefault="00F02288" w:rsidP="00386862">
            <w:pPr>
              <w:spacing w:after="0" w:line="240" w:lineRule="auto"/>
              <w:rPr>
                <w:rFonts w:ascii="Times New Roman" w:hAnsi="Times New Roman"/>
                <w:color w:val="auto"/>
              </w:rPr>
            </w:pPr>
          </w:p>
        </w:tc>
        <w:tc>
          <w:tcPr>
            <w:tcW w:w="3969" w:type="dxa"/>
            <w:gridSpan w:val="3"/>
            <w:shd w:val="clear" w:color="auto" w:fill="9CC2E5" w:themeFill="accent1" w:themeFillTint="99"/>
          </w:tcPr>
          <w:p w14:paraId="0C784FBF"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Liczba powiatów</w:t>
            </w:r>
          </w:p>
        </w:tc>
        <w:tc>
          <w:tcPr>
            <w:tcW w:w="7942" w:type="dxa"/>
            <w:gridSpan w:val="5"/>
            <w:shd w:val="clear" w:color="auto" w:fill="FFFFFF" w:themeFill="background1"/>
          </w:tcPr>
          <w:p w14:paraId="7E9817D7" w14:textId="77777777" w:rsidR="00F02288" w:rsidRPr="00386862" w:rsidRDefault="00F02288" w:rsidP="0038686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31 powiatów + 4 miasta na prawach powiatu</w:t>
            </w:r>
          </w:p>
        </w:tc>
      </w:tr>
      <w:tr w:rsidR="00F02288" w:rsidRPr="00386862" w14:paraId="3415088E" w14:textId="77777777" w:rsidTr="00CA12C4">
        <w:trPr>
          <w:cnfStyle w:val="000000100000" w:firstRow="0" w:lastRow="0" w:firstColumn="0" w:lastColumn="0" w:oddVBand="0" w:evenVBand="0" w:oddHBand="1" w:evenHBand="0" w:firstRowFirstColumn="0" w:firstRowLastColumn="0" w:lastRowFirstColumn="0" w:lastRowLastColumn="0"/>
          <w:trHeight w:val="11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A6B964E" w14:textId="77777777" w:rsidR="00F02288" w:rsidRPr="00386862" w:rsidRDefault="00F02288" w:rsidP="00386862">
            <w:pPr>
              <w:spacing w:after="0" w:line="240" w:lineRule="auto"/>
              <w:rPr>
                <w:rFonts w:ascii="Times New Roman" w:hAnsi="Times New Roman"/>
                <w:color w:val="auto"/>
              </w:rPr>
            </w:pPr>
          </w:p>
        </w:tc>
        <w:tc>
          <w:tcPr>
            <w:tcW w:w="3969" w:type="dxa"/>
            <w:gridSpan w:val="3"/>
            <w:shd w:val="clear" w:color="auto" w:fill="9CC2E5" w:themeFill="accent1" w:themeFillTint="99"/>
          </w:tcPr>
          <w:p w14:paraId="5C71F152"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Powierzchnia</w:t>
            </w:r>
          </w:p>
        </w:tc>
        <w:tc>
          <w:tcPr>
            <w:tcW w:w="7942" w:type="dxa"/>
            <w:gridSpan w:val="5"/>
            <w:shd w:val="clear" w:color="auto" w:fill="FFFFFF" w:themeFill="background1"/>
          </w:tcPr>
          <w:p w14:paraId="1A43BF77" w14:textId="77777777" w:rsidR="00F02288" w:rsidRPr="00386862" w:rsidRDefault="00F02288" w:rsidP="003868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29</w:t>
            </w:r>
            <w:r w:rsidR="002D6C4F" w:rsidRPr="00386862">
              <w:rPr>
                <w:rFonts w:ascii="Times New Roman" w:hAnsi="Times New Roman"/>
                <w:color w:val="auto"/>
              </w:rPr>
              <w:t xml:space="preserve"> </w:t>
            </w:r>
            <w:r w:rsidRPr="00386862">
              <w:rPr>
                <w:rFonts w:ascii="Times New Roman" w:hAnsi="Times New Roman"/>
                <w:color w:val="auto"/>
              </w:rPr>
              <w:t>826 km</w:t>
            </w:r>
            <w:r w:rsidRPr="00386862">
              <w:rPr>
                <w:rFonts w:ascii="Times New Roman" w:hAnsi="Times New Roman"/>
                <w:color w:val="auto"/>
                <w:vertAlign w:val="superscript"/>
              </w:rPr>
              <w:t>2</w:t>
            </w:r>
          </w:p>
        </w:tc>
      </w:tr>
      <w:tr w:rsidR="00F02288" w:rsidRPr="00386862" w14:paraId="69367EE4" w14:textId="77777777" w:rsidTr="00386862">
        <w:trPr>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25F5FEA3" w14:textId="77777777" w:rsidR="00F02288" w:rsidRPr="00386862" w:rsidRDefault="00F02288" w:rsidP="00386862">
            <w:pPr>
              <w:spacing w:after="0" w:line="240" w:lineRule="auto"/>
              <w:jc w:val="center"/>
              <w:rPr>
                <w:rFonts w:ascii="Times New Roman" w:hAnsi="Times New Roman"/>
                <w:b w:val="0"/>
                <w:color w:val="auto"/>
              </w:rPr>
            </w:pPr>
            <w:r w:rsidRPr="00386862">
              <w:rPr>
                <w:rFonts w:ascii="Times New Roman" w:hAnsi="Times New Roman"/>
                <w:color w:val="auto"/>
              </w:rPr>
              <w:t>DEMOGRAFIA</w:t>
            </w:r>
          </w:p>
        </w:tc>
      </w:tr>
      <w:tr w:rsidR="00F02288" w:rsidRPr="00386862" w14:paraId="4E776DCC" w14:textId="77777777" w:rsidTr="0038686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AAEDC33" w14:textId="77777777" w:rsidR="00F02288" w:rsidRPr="00386862" w:rsidRDefault="00F02288" w:rsidP="00386862">
            <w:pPr>
              <w:spacing w:after="0" w:line="240" w:lineRule="auto"/>
              <w:jc w:val="center"/>
              <w:rPr>
                <w:rFonts w:ascii="Times New Roman" w:hAnsi="Times New Roman"/>
                <w:b w:val="0"/>
                <w:color w:val="auto"/>
                <w:lang w:eastAsia="pl-PL"/>
              </w:rPr>
            </w:pPr>
            <w:r w:rsidRPr="00386862">
              <w:rPr>
                <w:rFonts w:ascii="Times New Roman" w:hAnsi="Times New Roman"/>
                <w:color w:val="auto"/>
                <w:lang w:eastAsia="pl-PL"/>
              </w:rPr>
              <w:t>Treść</w:t>
            </w:r>
          </w:p>
        </w:tc>
        <w:tc>
          <w:tcPr>
            <w:tcW w:w="3969" w:type="dxa"/>
            <w:gridSpan w:val="3"/>
            <w:shd w:val="clear" w:color="auto" w:fill="9CC2E5" w:themeFill="accent1" w:themeFillTint="99"/>
          </w:tcPr>
          <w:p w14:paraId="51427588" w14:textId="77777777" w:rsidR="00F02288" w:rsidRPr="00386862" w:rsidRDefault="00F02288" w:rsidP="003868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2017 r.</w:t>
            </w:r>
          </w:p>
        </w:tc>
        <w:tc>
          <w:tcPr>
            <w:tcW w:w="3969" w:type="dxa"/>
            <w:gridSpan w:val="3"/>
            <w:shd w:val="clear" w:color="auto" w:fill="9CC2E5" w:themeFill="accent1" w:themeFillTint="99"/>
          </w:tcPr>
          <w:p w14:paraId="7DA3B68C" w14:textId="77777777" w:rsidR="00F02288" w:rsidRPr="00386862" w:rsidRDefault="00F02288" w:rsidP="003868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2018 r.</w:t>
            </w:r>
          </w:p>
        </w:tc>
        <w:tc>
          <w:tcPr>
            <w:tcW w:w="3973" w:type="dxa"/>
            <w:gridSpan w:val="2"/>
            <w:shd w:val="clear" w:color="auto" w:fill="9CC2E5" w:themeFill="accent1" w:themeFillTint="99"/>
          </w:tcPr>
          <w:p w14:paraId="0C9F1864" w14:textId="77777777" w:rsidR="00F02288" w:rsidRPr="00386862" w:rsidRDefault="00F02288" w:rsidP="0038686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2019 r.</w:t>
            </w:r>
          </w:p>
        </w:tc>
      </w:tr>
      <w:tr w:rsidR="00F02288" w:rsidRPr="00386862" w14:paraId="2E1B3F3B" w14:textId="77777777" w:rsidTr="0015039B">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6BC1129"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Populacja ogółem</w:t>
            </w:r>
          </w:p>
        </w:tc>
        <w:tc>
          <w:tcPr>
            <w:tcW w:w="3969" w:type="dxa"/>
            <w:gridSpan w:val="3"/>
          </w:tcPr>
          <w:p w14:paraId="07EB3ADF"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3</w:t>
            </w:r>
            <w:r w:rsidR="002D6C4F" w:rsidRPr="00386862">
              <w:rPr>
                <w:rFonts w:ascii="Times New Roman" w:hAnsi="Times New Roman"/>
                <w:color w:val="auto"/>
              </w:rPr>
              <w:t xml:space="preserve"> </w:t>
            </w:r>
            <w:r w:rsidRPr="00386862">
              <w:rPr>
                <w:rFonts w:ascii="Times New Roman" w:hAnsi="Times New Roman"/>
                <w:color w:val="auto"/>
              </w:rPr>
              <w:t>489</w:t>
            </w:r>
            <w:r w:rsidR="002D6C4F" w:rsidRPr="00386862">
              <w:rPr>
                <w:rFonts w:ascii="Times New Roman" w:hAnsi="Times New Roman"/>
                <w:color w:val="auto"/>
              </w:rPr>
              <w:t xml:space="preserve"> </w:t>
            </w:r>
            <w:r w:rsidRPr="00386862">
              <w:rPr>
                <w:rFonts w:ascii="Times New Roman" w:hAnsi="Times New Roman"/>
                <w:color w:val="auto"/>
              </w:rPr>
              <w:t>210</w:t>
            </w:r>
          </w:p>
        </w:tc>
        <w:tc>
          <w:tcPr>
            <w:tcW w:w="3969" w:type="dxa"/>
            <w:gridSpan w:val="3"/>
          </w:tcPr>
          <w:p w14:paraId="663E42D8"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3</w:t>
            </w:r>
            <w:r w:rsidR="002D6C4F" w:rsidRPr="00386862">
              <w:rPr>
                <w:rFonts w:ascii="Times New Roman" w:hAnsi="Times New Roman"/>
                <w:color w:val="auto"/>
              </w:rPr>
              <w:t xml:space="preserve"> </w:t>
            </w:r>
            <w:r w:rsidRPr="00386862">
              <w:rPr>
                <w:rFonts w:ascii="Times New Roman" w:hAnsi="Times New Roman"/>
                <w:color w:val="auto"/>
              </w:rPr>
              <w:t>493</w:t>
            </w:r>
            <w:r w:rsidR="002D6C4F" w:rsidRPr="00386862">
              <w:rPr>
                <w:rFonts w:ascii="Times New Roman" w:hAnsi="Times New Roman"/>
                <w:color w:val="auto"/>
              </w:rPr>
              <w:t xml:space="preserve"> </w:t>
            </w:r>
            <w:r w:rsidRPr="00386862">
              <w:rPr>
                <w:rFonts w:ascii="Times New Roman" w:hAnsi="Times New Roman"/>
                <w:color w:val="auto"/>
              </w:rPr>
              <w:t>969</w:t>
            </w:r>
          </w:p>
        </w:tc>
        <w:tc>
          <w:tcPr>
            <w:tcW w:w="3973" w:type="dxa"/>
            <w:gridSpan w:val="2"/>
          </w:tcPr>
          <w:p w14:paraId="7D973D65"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3</w:t>
            </w:r>
            <w:r w:rsidR="002D6C4F" w:rsidRPr="00386862">
              <w:rPr>
                <w:rFonts w:ascii="Times New Roman" w:hAnsi="Times New Roman"/>
                <w:color w:val="auto"/>
              </w:rPr>
              <w:t xml:space="preserve"> </w:t>
            </w:r>
            <w:r w:rsidRPr="00386862">
              <w:rPr>
                <w:rFonts w:ascii="Times New Roman" w:hAnsi="Times New Roman"/>
                <w:color w:val="auto"/>
              </w:rPr>
              <w:t>498</w:t>
            </w:r>
            <w:r w:rsidR="002D6C4F" w:rsidRPr="00386862">
              <w:rPr>
                <w:rFonts w:ascii="Times New Roman" w:hAnsi="Times New Roman"/>
                <w:color w:val="auto"/>
              </w:rPr>
              <w:t xml:space="preserve"> </w:t>
            </w:r>
            <w:r w:rsidRPr="00386862">
              <w:rPr>
                <w:rFonts w:ascii="Times New Roman" w:hAnsi="Times New Roman"/>
                <w:color w:val="auto"/>
              </w:rPr>
              <w:t>733</w:t>
            </w:r>
          </w:p>
        </w:tc>
      </w:tr>
      <w:tr w:rsidR="00F02288" w:rsidRPr="00386862" w14:paraId="7CB00CE4" w14:textId="77777777" w:rsidTr="001503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665597DE" w14:textId="77777777" w:rsidR="00F02288" w:rsidRPr="0015039B" w:rsidRDefault="00F02288" w:rsidP="00386862">
            <w:pPr>
              <w:spacing w:after="0" w:line="240" w:lineRule="auto"/>
              <w:ind w:right="567"/>
              <w:rPr>
                <w:rFonts w:ascii="Times New Roman" w:hAnsi="Times New Roman"/>
                <w:color w:val="auto"/>
              </w:rPr>
            </w:pPr>
            <w:r w:rsidRPr="0015039B">
              <w:rPr>
                <w:rFonts w:ascii="Times New Roman" w:hAnsi="Times New Roman"/>
                <w:color w:val="auto"/>
                <w:lang w:eastAsia="pl-PL"/>
              </w:rPr>
              <w:t>w tym:</w:t>
            </w:r>
          </w:p>
        </w:tc>
      </w:tr>
      <w:tr w:rsidR="00F02288" w:rsidRPr="00386862" w14:paraId="1A35BAB3" w14:textId="77777777" w:rsidTr="00CA12C4">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8EB8097" w14:textId="77777777" w:rsidR="00F02288" w:rsidRPr="0015039B" w:rsidRDefault="00F02288" w:rsidP="00386862">
            <w:pPr>
              <w:spacing w:after="0" w:line="240" w:lineRule="auto"/>
              <w:rPr>
                <w:rFonts w:ascii="Times New Roman" w:hAnsi="Times New Roman"/>
                <w:color w:val="auto"/>
              </w:rPr>
            </w:pPr>
            <w:r w:rsidRPr="0015039B">
              <w:rPr>
                <w:rFonts w:ascii="Times New Roman" w:hAnsi="Times New Roman"/>
                <w:color w:val="auto"/>
                <w:lang w:eastAsia="pl-PL"/>
              </w:rPr>
              <w:t>w wieku 60 lat i więcej</w:t>
            </w:r>
          </w:p>
        </w:tc>
        <w:tc>
          <w:tcPr>
            <w:tcW w:w="3969" w:type="dxa"/>
            <w:gridSpan w:val="3"/>
            <w:shd w:val="clear" w:color="auto" w:fill="FFFFFF" w:themeFill="background1"/>
          </w:tcPr>
          <w:p w14:paraId="4DB0DAC6"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789</w:t>
            </w:r>
            <w:r w:rsidR="002D6C4F" w:rsidRPr="00386862">
              <w:rPr>
                <w:rFonts w:ascii="Times New Roman" w:hAnsi="Times New Roman"/>
                <w:color w:val="auto"/>
              </w:rPr>
              <w:t xml:space="preserve"> </w:t>
            </w:r>
            <w:r w:rsidRPr="00386862">
              <w:rPr>
                <w:rFonts w:ascii="Times New Roman" w:hAnsi="Times New Roman"/>
                <w:color w:val="auto"/>
              </w:rPr>
              <w:t>954</w:t>
            </w:r>
          </w:p>
        </w:tc>
        <w:tc>
          <w:tcPr>
            <w:tcW w:w="3969" w:type="dxa"/>
            <w:gridSpan w:val="3"/>
            <w:shd w:val="clear" w:color="auto" w:fill="FFFFFF" w:themeFill="background1"/>
          </w:tcPr>
          <w:p w14:paraId="14C5C76F"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809</w:t>
            </w:r>
            <w:r w:rsidR="002D6C4F" w:rsidRPr="00386862">
              <w:rPr>
                <w:rFonts w:ascii="Times New Roman" w:hAnsi="Times New Roman"/>
                <w:color w:val="auto"/>
              </w:rPr>
              <w:t xml:space="preserve"> </w:t>
            </w:r>
            <w:r w:rsidRPr="00386862">
              <w:rPr>
                <w:rFonts w:ascii="Times New Roman" w:hAnsi="Times New Roman"/>
                <w:color w:val="auto"/>
              </w:rPr>
              <w:t>291</w:t>
            </w:r>
          </w:p>
        </w:tc>
        <w:tc>
          <w:tcPr>
            <w:tcW w:w="3973" w:type="dxa"/>
            <w:gridSpan w:val="2"/>
            <w:shd w:val="clear" w:color="auto" w:fill="FFFFFF" w:themeFill="background1"/>
          </w:tcPr>
          <w:p w14:paraId="02809737"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827</w:t>
            </w:r>
            <w:r w:rsidR="002D6C4F" w:rsidRPr="00386862">
              <w:rPr>
                <w:rFonts w:ascii="Times New Roman" w:hAnsi="Times New Roman"/>
                <w:color w:val="auto"/>
              </w:rPr>
              <w:t xml:space="preserve"> </w:t>
            </w:r>
            <w:r w:rsidRPr="00386862">
              <w:rPr>
                <w:rFonts w:ascii="Times New Roman" w:hAnsi="Times New Roman"/>
                <w:color w:val="auto"/>
              </w:rPr>
              <w:t>726</w:t>
            </w:r>
          </w:p>
        </w:tc>
      </w:tr>
      <w:tr w:rsidR="00F02288" w:rsidRPr="00386862" w14:paraId="3DAE66BF" w14:textId="77777777" w:rsidTr="00CA12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A4834D5"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60–64 lata</w:t>
            </w:r>
          </w:p>
        </w:tc>
        <w:tc>
          <w:tcPr>
            <w:tcW w:w="3969" w:type="dxa"/>
            <w:gridSpan w:val="3"/>
            <w:shd w:val="clear" w:color="auto" w:fill="FFFFFF" w:themeFill="background1"/>
          </w:tcPr>
          <w:p w14:paraId="5F1F84A7"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240</w:t>
            </w:r>
            <w:r w:rsidR="002D6C4F" w:rsidRPr="00386862">
              <w:rPr>
                <w:rFonts w:ascii="Times New Roman" w:hAnsi="Times New Roman"/>
                <w:color w:val="auto"/>
              </w:rPr>
              <w:t xml:space="preserve"> </w:t>
            </w:r>
            <w:r w:rsidRPr="00386862">
              <w:rPr>
                <w:rFonts w:ascii="Times New Roman" w:hAnsi="Times New Roman"/>
                <w:color w:val="auto"/>
              </w:rPr>
              <w:t>505</w:t>
            </w:r>
          </w:p>
        </w:tc>
        <w:tc>
          <w:tcPr>
            <w:tcW w:w="3969" w:type="dxa"/>
            <w:gridSpan w:val="3"/>
            <w:shd w:val="clear" w:color="auto" w:fill="FFFFFF" w:themeFill="background1"/>
          </w:tcPr>
          <w:p w14:paraId="5730DA20"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240</w:t>
            </w:r>
            <w:r w:rsidR="002D6C4F" w:rsidRPr="00386862">
              <w:rPr>
                <w:rFonts w:ascii="Times New Roman" w:hAnsi="Times New Roman"/>
                <w:color w:val="auto"/>
              </w:rPr>
              <w:t xml:space="preserve"> </w:t>
            </w:r>
            <w:r w:rsidRPr="00386862">
              <w:rPr>
                <w:rFonts w:ascii="Times New Roman" w:hAnsi="Times New Roman"/>
                <w:color w:val="auto"/>
              </w:rPr>
              <w:t>771</w:t>
            </w:r>
          </w:p>
        </w:tc>
        <w:tc>
          <w:tcPr>
            <w:tcW w:w="3973" w:type="dxa"/>
            <w:gridSpan w:val="2"/>
            <w:shd w:val="clear" w:color="auto" w:fill="FFFFFF" w:themeFill="background1"/>
          </w:tcPr>
          <w:p w14:paraId="082CE734"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239</w:t>
            </w:r>
            <w:r w:rsidR="002D6C4F" w:rsidRPr="00386862">
              <w:rPr>
                <w:rFonts w:ascii="Times New Roman" w:hAnsi="Times New Roman"/>
                <w:color w:val="auto"/>
              </w:rPr>
              <w:t xml:space="preserve"> </w:t>
            </w:r>
            <w:r w:rsidRPr="00386862">
              <w:rPr>
                <w:rFonts w:ascii="Times New Roman" w:hAnsi="Times New Roman"/>
                <w:color w:val="auto"/>
              </w:rPr>
              <w:t>629</w:t>
            </w:r>
          </w:p>
        </w:tc>
      </w:tr>
      <w:tr w:rsidR="00F02288" w:rsidRPr="00386862" w14:paraId="231D634E" w14:textId="77777777" w:rsidTr="00CA12C4">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6A87158"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65–69</w:t>
            </w:r>
          </w:p>
        </w:tc>
        <w:tc>
          <w:tcPr>
            <w:tcW w:w="3969" w:type="dxa"/>
            <w:gridSpan w:val="3"/>
            <w:shd w:val="clear" w:color="auto" w:fill="FFFFFF" w:themeFill="background1"/>
          </w:tcPr>
          <w:p w14:paraId="67113381"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208</w:t>
            </w:r>
            <w:r w:rsidR="002D6C4F" w:rsidRPr="00386862">
              <w:rPr>
                <w:rFonts w:ascii="Times New Roman" w:hAnsi="Times New Roman"/>
                <w:color w:val="auto"/>
              </w:rPr>
              <w:t xml:space="preserve"> </w:t>
            </w:r>
            <w:r w:rsidRPr="00386862">
              <w:rPr>
                <w:rFonts w:ascii="Times New Roman" w:hAnsi="Times New Roman"/>
                <w:color w:val="auto"/>
              </w:rPr>
              <w:t>813</w:t>
            </w:r>
          </w:p>
        </w:tc>
        <w:tc>
          <w:tcPr>
            <w:tcW w:w="3969" w:type="dxa"/>
            <w:gridSpan w:val="3"/>
            <w:shd w:val="clear" w:color="auto" w:fill="FFFFFF" w:themeFill="background1"/>
          </w:tcPr>
          <w:p w14:paraId="19F1C358"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211</w:t>
            </w:r>
            <w:r w:rsidR="002D6C4F" w:rsidRPr="00386862">
              <w:rPr>
                <w:rFonts w:ascii="Times New Roman" w:hAnsi="Times New Roman"/>
                <w:color w:val="auto"/>
              </w:rPr>
              <w:t xml:space="preserve"> </w:t>
            </w:r>
            <w:r w:rsidRPr="00386862">
              <w:rPr>
                <w:rFonts w:ascii="Times New Roman" w:hAnsi="Times New Roman"/>
                <w:color w:val="auto"/>
              </w:rPr>
              <w:t>442</w:t>
            </w:r>
          </w:p>
        </w:tc>
        <w:tc>
          <w:tcPr>
            <w:tcW w:w="3973" w:type="dxa"/>
            <w:gridSpan w:val="2"/>
            <w:shd w:val="clear" w:color="auto" w:fill="FFFFFF" w:themeFill="background1"/>
          </w:tcPr>
          <w:p w14:paraId="6ADFB486"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213</w:t>
            </w:r>
            <w:r w:rsidR="002D6C4F" w:rsidRPr="00386862">
              <w:rPr>
                <w:rFonts w:ascii="Times New Roman" w:hAnsi="Times New Roman"/>
                <w:color w:val="auto"/>
              </w:rPr>
              <w:t xml:space="preserve"> </w:t>
            </w:r>
            <w:r w:rsidRPr="00386862">
              <w:rPr>
                <w:rFonts w:ascii="Times New Roman" w:hAnsi="Times New Roman"/>
                <w:color w:val="auto"/>
              </w:rPr>
              <w:t>581</w:t>
            </w:r>
          </w:p>
        </w:tc>
      </w:tr>
      <w:tr w:rsidR="00F02288" w:rsidRPr="00386862" w14:paraId="239C688C" w14:textId="77777777" w:rsidTr="00CA12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9776D18"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70–74</w:t>
            </w:r>
          </w:p>
        </w:tc>
        <w:tc>
          <w:tcPr>
            <w:tcW w:w="3969" w:type="dxa"/>
            <w:gridSpan w:val="3"/>
            <w:shd w:val="clear" w:color="auto" w:fill="FFFFFF" w:themeFill="background1"/>
          </w:tcPr>
          <w:p w14:paraId="35A10FAE"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128</w:t>
            </w:r>
            <w:r w:rsidR="002D6C4F" w:rsidRPr="00386862">
              <w:rPr>
                <w:rFonts w:ascii="Times New Roman" w:hAnsi="Times New Roman"/>
                <w:color w:val="auto"/>
              </w:rPr>
              <w:t xml:space="preserve"> </w:t>
            </w:r>
            <w:r w:rsidRPr="00386862">
              <w:rPr>
                <w:rFonts w:ascii="Times New Roman" w:hAnsi="Times New Roman"/>
                <w:color w:val="auto"/>
              </w:rPr>
              <w:t>708</w:t>
            </w:r>
          </w:p>
        </w:tc>
        <w:tc>
          <w:tcPr>
            <w:tcW w:w="3969" w:type="dxa"/>
            <w:gridSpan w:val="3"/>
            <w:shd w:val="clear" w:color="auto" w:fill="FFFFFF" w:themeFill="background1"/>
          </w:tcPr>
          <w:p w14:paraId="7EE35781"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146</w:t>
            </w:r>
            <w:r w:rsidR="002D6C4F" w:rsidRPr="00386862">
              <w:rPr>
                <w:rFonts w:ascii="Times New Roman" w:hAnsi="Times New Roman"/>
                <w:color w:val="auto"/>
              </w:rPr>
              <w:t xml:space="preserve"> </w:t>
            </w:r>
            <w:r w:rsidRPr="00386862">
              <w:rPr>
                <w:rFonts w:ascii="Times New Roman" w:hAnsi="Times New Roman"/>
                <w:color w:val="auto"/>
              </w:rPr>
              <w:t>378</w:t>
            </w:r>
          </w:p>
        </w:tc>
        <w:tc>
          <w:tcPr>
            <w:tcW w:w="3973" w:type="dxa"/>
            <w:gridSpan w:val="2"/>
            <w:shd w:val="clear" w:color="auto" w:fill="FFFFFF" w:themeFill="background1"/>
          </w:tcPr>
          <w:p w14:paraId="72A0F323"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164</w:t>
            </w:r>
            <w:r w:rsidR="002D6C4F" w:rsidRPr="00386862">
              <w:rPr>
                <w:rFonts w:ascii="Times New Roman" w:hAnsi="Times New Roman"/>
                <w:color w:val="auto"/>
              </w:rPr>
              <w:t xml:space="preserve"> </w:t>
            </w:r>
            <w:r w:rsidRPr="00386862">
              <w:rPr>
                <w:rFonts w:ascii="Times New Roman" w:hAnsi="Times New Roman"/>
                <w:color w:val="auto"/>
              </w:rPr>
              <w:t>627</w:t>
            </w:r>
          </w:p>
        </w:tc>
      </w:tr>
      <w:tr w:rsidR="00F02288" w:rsidRPr="00386862" w14:paraId="2260F5FA" w14:textId="77777777" w:rsidTr="00CA12C4">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2638CD0"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75–79</w:t>
            </w:r>
          </w:p>
        </w:tc>
        <w:tc>
          <w:tcPr>
            <w:tcW w:w="3969" w:type="dxa"/>
            <w:gridSpan w:val="3"/>
            <w:shd w:val="clear" w:color="auto" w:fill="FFFFFF" w:themeFill="background1"/>
          </w:tcPr>
          <w:p w14:paraId="001DEC1F"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85</w:t>
            </w:r>
            <w:r w:rsidR="002D6C4F" w:rsidRPr="00386862">
              <w:rPr>
                <w:rFonts w:ascii="Times New Roman" w:hAnsi="Times New Roman"/>
                <w:color w:val="auto"/>
              </w:rPr>
              <w:t xml:space="preserve"> </w:t>
            </w:r>
            <w:r w:rsidRPr="00386862">
              <w:rPr>
                <w:rFonts w:ascii="Times New Roman" w:hAnsi="Times New Roman"/>
                <w:color w:val="auto"/>
              </w:rPr>
              <w:t>810</w:t>
            </w:r>
          </w:p>
        </w:tc>
        <w:tc>
          <w:tcPr>
            <w:tcW w:w="3969" w:type="dxa"/>
            <w:gridSpan w:val="3"/>
            <w:shd w:val="clear" w:color="auto" w:fill="FFFFFF" w:themeFill="background1"/>
          </w:tcPr>
          <w:p w14:paraId="16F80B99"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82</w:t>
            </w:r>
            <w:r w:rsidR="002D6C4F" w:rsidRPr="00386862">
              <w:rPr>
                <w:rFonts w:ascii="Times New Roman" w:hAnsi="Times New Roman"/>
                <w:color w:val="auto"/>
              </w:rPr>
              <w:t xml:space="preserve"> </w:t>
            </w:r>
            <w:r w:rsidRPr="00386862">
              <w:rPr>
                <w:rFonts w:ascii="Times New Roman" w:hAnsi="Times New Roman"/>
                <w:color w:val="auto"/>
              </w:rPr>
              <w:t>846</w:t>
            </w:r>
          </w:p>
        </w:tc>
        <w:tc>
          <w:tcPr>
            <w:tcW w:w="3973" w:type="dxa"/>
            <w:gridSpan w:val="2"/>
            <w:shd w:val="clear" w:color="auto" w:fill="FFFFFF" w:themeFill="background1"/>
          </w:tcPr>
          <w:p w14:paraId="44E1B81C"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79</w:t>
            </w:r>
            <w:r w:rsidR="002D6C4F" w:rsidRPr="00386862">
              <w:rPr>
                <w:rFonts w:ascii="Times New Roman" w:hAnsi="Times New Roman"/>
                <w:color w:val="auto"/>
              </w:rPr>
              <w:t xml:space="preserve"> </w:t>
            </w:r>
            <w:r w:rsidRPr="00386862">
              <w:rPr>
                <w:rFonts w:ascii="Times New Roman" w:hAnsi="Times New Roman"/>
                <w:color w:val="auto"/>
              </w:rPr>
              <w:t>760</w:t>
            </w:r>
          </w:p>
        </w:tc>
      </w:tr>
      <w:tr w:rsidR="00F02288" w:rsidRPr="00386862" w14:paraId="4185723A" w14:textId="77777777" w:rsidTr="00CA12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CC941C5"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80–84</w:t>
            </w:r>
          </w:p>
        </w:tc>
        <w:tc>
          <w:tcPr>
            <w:tcW w:w="3969" w:type="dxa"/>
            <w:gridSpan w:val="3"/>
            <w:shd w:val="clear" w:color="auto" w:fill="FFFFFF" w:themeFill="background1"/>
          </w:tcPr>
          <w:p w14:paraId="4FED2D7C"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67</w:t>
            </w:r>
            <w:r w:rsidR="002D6C4F" w:rsidRPr="00386862">
              <w:rPr>
                <w:rFonts w:ascii="Times New Roman" w:hAnsi="Times New Roman"/>
                <w:color w:val="auto"/>
              </w:rPr>
              <w:t xml:space="preserve"> </w:t>
            </w:r>
            <w:r w:rsidRPr="00386862">
              <w:rPr>
                <w:rFonts w:ascii="Times New Roman" w:hAnsi="Times New Roman"/>
                <w:color w:val="auto"/>
              </w:rPr>
              <w:t>813</w:t>
            </w:r>
          </w:p>
        </w:tc>
        <w:tc>
          <w:tcPr>
            <w:tcW w:w="3969" w:type="dxa"/>
            <w:gridSpan w:val="3"/>
            <w:shd w:val="clear" w:color="auto" w:fill="FFFFFF" w:themeFill="background1"/>
          </w:tcPr>
          <w:p w14:paraId="58F6BEE5"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68</w:t>
            </w:r>
            <w:r w:rsidR="002D6C4F" w:rsidRPr="00386862">
              <w:rPr>
                <w:rFonts w:ascii="Times New Roman" w:hAnsi="Times New Roman"/>
                <w:color w:val="auto"/>
              </w:rPr>
              <w:t xml:space="preserve"> </w:t>
            </w:r>
            <w:r w:rsidRPr="00386862">
              <w:rPr>
                <w:rFonts w:ascii="Times New Roman" w:hAnsi="Times New Roman"/>
                <w:color w:val="auto"/>
              </w:rPr>
              <w:t>189</w:t>
            </w:r>
          </w:p>
        </w:tc>
        <w:tc>
          <w:tcPr>
            <w:tcW w:w="3973" w:type="dxa"/>
            <w:gridSpan w:val="2"/>
            <w:shd w:val="clear" w:color="auto" w:fill="FFFFFF" w:themeFill="background1"/>
          </w:tcPr>
          <w:p w14:paraId="0D0630A9"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68</w:t>
            </w:r>
            <w:r w:rsidR="002D6C4F" w:rsidRPr="00386862">
              <w:rPr>
                <w:rFonts w:ascii="Times New Roman" w:hAnsi="Times New Roman"/>
                <w:color w:val="auto"/>
              </w:rPr>
              <w:t xml:space="preserve"> </w:t>
            </w:r>
            <w:r w:rsidRPr="00386862">
              <w:rPr>
                <w:rFonts w:ascii="Times New Roman" w:hAnsi="Times New Roman"/>
                <w:color w:val="auto"/>
              </w:rPr>
              <w:t>797</w:t>
            </w:r>
          </w:p>
        </w:tc>
      </w:tr>
      <w:tr w:rsidR="00F02288" w:rsidRPr="00386862" w14:paraId="6B049141" w14:textId="77777777" w:rsidTr="00CA12C4">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77BE2B4"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85 lat i więcej</w:t>
            </w:r>
          </w:p>
        </w:tc>
        <w:tc>
          <w:tcPr>
            <w:tcW w:w="3969" w:type="dxa"/>
            <w:gridSpan w:val="3"/>
            <w:shd w:val="clear" w:color="auto" w:fill="FFFFFF" w:themeFill="background1"/>
          </w:tcPr>
          <w:p w14:paraId="26B4DFBF"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58</w:t>
            </w:r>
            <w:r w:rsidR="002D6C4F" w:rsidRPr="00386862">
              <w:rPr>
                <w:rFonts w:ascii="Times New Roman" w:hAnsi="Times New Roman"/>
                <w:color w:val="auto"/>
              </w:rPr>
              <w:t xml:space="preserve"> </w:t>
            </w:r>
            <w:r w:rsidRPr="00386862">
              <w:rPr>
                <w:rFonts w:ascii="Times New Roman" w:hAnsi="Times New Roman"/>
                <w:color w:val="auto"/>
              </w:rPr>
              <w:t>305</w:t>
            </w:r>
          </w:p>
        </w:tc>
        <w:tc>
          <w:tcPr>
            <w:tcW w:w="3969" w:type="dxa"/>
            <w:gridSpan w:val="3"/>
            <w:shd w:val="clear" w:color="auto" w:fill="FFFFFF" w:themeFill="background1"/>
          </w:tcPr>
          <w:p w14:paraId="03F85963"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59</w:t>
            </w:r>
            <w:r w:rsidR="002D6C4F" w:rsidRPr="00386862">
              <w:rPr>
                <w:rFonts w:ascii="Times New Roman" w:hAnsi="Times New Roman"/>
                <w:color w:val="auto"/>
              </w:rPr>
              <w:t xml:space="preserve"> </w:t>
            </w:r>
            <w:r w:rsidRPr="00386862">
              <w:rPr>
                <w:rFonts w:ascii="Times New Roman" w:hAnsi="Times New Roman"/>
                <w:color w:val="auto"/>
              </w:rPr>
              <w:t>665</w:t>
            </w:r>
          </w:p>
        </w:tc>
        <w:tc>
          <w:tcPr>
            <w:tcW w:w="3973" w:type="dxa"/>
            <w:gridSpan w:val="2"/>
            <w:shd w:val="clear" w:color="auto" w:fill="FFFFFF" w:themeFill="background1"/>
          </w:tcPr>
          <w:p w14:paraId="6989EAE0"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61</w:t>
            </w:r>
            <w:r w:rsidR="002D6C4F" w:rsidRPr="00386862">
              <w:rPr>
                <w:rFonts w:ascii="Times New Roman" w:hAnsi="Times New Roman"/>
                <w:color w:val="auto"/>
              </w:rPr>
              <w:t xml:space="preserve"> </w:t>
            </w:r>
            <w:r w:rsidRPr="00386862">
              <w:rPr>
                <w:rFonts w:ascii="Times New Roman" w:hAnsi="Times New Roman"/>
                <w:color w:val="auto"/>
              </w:rPr>
              <w:t>332</w:t>
            </w:r>
          </w:p>
        </w:tc>
      </w:tr>
      <w:tr w:rsidR="00F02288" w:rsidRPr="00386862" w14:paraId="7A4CDE13" w14:textId="77777777" w:rsidTr="00CA12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9454A73"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Przeciętne dalsze trwanie życia 60+</w:t>
            </w:r>
          </w:p>
          <w:p w14:paraId="6245DD8A"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Mężczyźni</w:t>
            </w:r>
          </w:p>
          <w:p w14:paraId="2D50E714"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Kobiety</w:t>
            </w:r>
          </w:p>
        </w:tc>
        <w:tc>
          <w:tcPr>
            <w:tcW w:w="3969" w:type="dxa"/>
            <w:gridSpan w:val="3"/>
            <w:shd w:val="clear" w:color="auto" w:fill="FFFFFF" w:themeFill="background1"/>
          </w:tcPr>
          <w:p w14:paraId="13BDABFB"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6E7B7B1F"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122F4448"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19,1</w:t>
            </w:r>
          </w:p>
          <w:p w14:paraId="3A5B46EA"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24,0</w:t>
            </w:r>
          </w:p>
        </w:tc>
        <w:tc>
          <w:tcPr>
            <w:tcW w:w="3969" w:type="dxa"/>
            <w:gridSpan w:val="3"/>
            <w:shd w:val="clear" w:color="auto" w:fill="FFFFFF" w:themeFill="background1"/>
          </w:tcPr>
          <w:p w14:paraId="5ABC40CB"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030E9806"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61EABD59"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18,8</w:t>
            </w:r>
          </w:p>
          <w:p w14:paraId="056EEEC2"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23,8</w:t>
            </w:r>
          </w:p>
        </w:tc>
        <w:tc>
          <w:tcPr>
            <w:tcW w:w="3973" w:type="dxa"/>
            <w:gridSpan w:val="2"/>
            <w:shd w:val="clear" w:color="auto" w:fill="FFFFFF" w:themeFill="background1"/>
          </w:tcPr>
          <w:p w14:paraId="0BCA306B"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66B0253A"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0E91104B"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Jeszcze niedostępne</w:t>
            </w:r>
          </w:p>
          <w:p w14:paraId="6E2AC823"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Jeszcze niedostępne</w:t>
            </w:r>
          </w:p>
        </w:tc>
      </w:tr>
      <w:tr w:rsidR="00F02288" w:rsidRPr="00386862" w14:paraId="47ED0B11" w14:textId="77777777" w:rsidTr="00CA12C4">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1F06660"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Współczynnik feminizacji</w:t>
            </w:r>
          </w:p>
        </w:tc>
        <w:tc>
          <w:tcPr>
            <w:tcW w:w="3969" w:type="dxa"/>
            <w:gridSpan w:val="3"/>
            <w:shd w:val="clear" w:color="auto" w:fill="FFFFFF" w:themeFill="background1"/>
          </w:tcPr>
          <w:p w14:paraId="2E946B3C"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105,5</w:t>
            </w:r>
          </w:p>
        </w:tc>
        <w:tc>
          <w:tcPr>
            <w:tcW w:w="3969" w:type="dxa"/>
            <w:gridSpan w:val="3"/>
            <w:shd w:val="clear" w:color="auto" w:fill="FFFFFF" w:themeFill="background1"/>
          </w:tcPr>
          <w:p w14:paraId="0EE2A81A"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105,5</w:t>
            </w:r>
          </w:p>
        </w:tc>
        <w:tc>
          <w:tcPr>
            <w:tcW w:w="3973" w:type="dxa"/>
            <w:gridSpan w:val="2"/>
            <w:shd w:val="clear" w:color="auto" w:fill="FFFFFF" w:themeFill="background1"/>
          </w:tcPr>
          <w:p w14:paraId="2857B5FA"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105,5</w:t>
            </w:r>
          </w:p>
        </w:tc>
      </w:tr>
      <w:tr w:rsidR="00F02288" w:rsidRPr="00386862" w14:paraId="01CAD497" w14:textId="77777777" w:rsidTr="00CA12C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BCE5D72"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Współczynnik obciążenia demograficznego osobami starszymi</w:t>
            </w:r>
          </w:p>
        </w:tc>
        <w:tc>
          <w:tcPr>
            <w:tcW w:w="3969" w:type="dxa"/>
            <w:gridSpan w:val="3"/>
            <w:shd w:val="clear" w:color="auto" w:fill="FFFFFF" w:themeFill="background1"/>
          </w:tcPr>
          <w:p w14:paraId="66E3C92F"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23,2</w:t>
            </w:r>
          </w:p>
        </w:tc>
        <w:tc>
          <w:tcPr>
            <w:tcW w:w="3969" w:type="dxa"/>
            <w:gridSpan w:val="3"/>
            <w:shd w:val="clear" w:color="auto" w:fill="FFFFFF" w:themeFill="background1"/>
          </w:tcPr>
          <w:p w14:paraId="4BAA0A22"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24,2</w:t>
            </w:r>
          </w:p>
        </w:tc>
        <w:tc>
          <w:tcPr>
            <w:tcW w:w="3973" w:type="dxa"/>
            <w:gridSpan w:val="2"/>
            <w:shd w:val="clear" w:color="auto" w:fill="FFFFFF" w:themeFill="background1"/>
          </w:tcPr>
          <w:p w14:paraId="55539012" w14:textId="77777777" w:rsidR="00F02288" w:rsidRPr="00386862" w:rsidRDefault="00F02288" w:rsidP="0015039B">
            <w:pPr>
              <w:spacing w:after="0" w:line="240" w:lineRule="auto"/>
              <w:ind w:right="567"/>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25,2</w:t>
            </w:r>
          </w:p>
        </w:tc>
      </w:tr>
      <w:tr w:rsidR="00F02288" w:rsidRPr="00386862" w14:paraId="6A2C7BE7" w14:textId="77777777" w:rsidTr="00CA12C4">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5D4A545C"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Współczynnik zgonów osób</w:t>
            </w:r>
          </w:p>
          <w:p w14:paraId="07932D69" w14:textId="77777777" w:rsidR="00F02288" w:rsidRPr="0015039B" w:rsidRDefault="00F02288" w:rsidP="00386862">
            <w:pPr>
              <w:spacing w:after="0" w:line="240" w:lineRule="auto"/>
              <w:rPr>
                <w:rFonts w:ascii="Times New Roman" w:hAnsi="Times New Roman"/>
                <w:color w:val="auto"/>
                <w:lang w:eastAsia="pl-PL"/>
              </w:rPr>
            </w:pPr>
            <w:r w:rsidRPr="0015039B">
              <w:rPr>
                <w:rFonts w:ascii="Times New Roman" w:hAnsi="Times New Roman"/>
                <w:color w:val="auto"/>
                <w:lang w:eastAsia="pl-PL"/>
              </w:rPr>
              <w:t>w wieku 60 +</w:t>
            </w:r>
          </w:p>
        </w:tc>
        <w:tc>
          <w:tcPr>
            <w:tcW w:w="3969" w:type="dxa"/>
            <w:gridSpan w:val="3"/>
            <w:shd w:val="clear" w:color="auto" w:fill="FFFFFF" w:themeFill="background1"/>
          </w:tcPr>
          <w:p w14:paraId="3441D369"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35,7</w:t>
            </w:r>
          </w:p>
        </w:tc>
        <w:tc>
          <w:tcPr>
            <w:tcW w:w="3969" w:type="dxa"/>
            <w:gridSpan w:val="3"/>
            <w:shd w:val="clear" w:color="auto" w:fill="FFFFFF" w:themeFill="background1"/>
          </w:tcPr>
          <w:p w14:paraId="5C583ACF"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37,2</w:t>
            </w:r>
          </w:p>
        </w:tc>
        <w:tc>
          <w:tcPr>
            <w:tcW w:w="3973" w:type="dxa"/>
            <w:gridSpan w:val="2"/>
            <w:shd w:val="clear" w:color="auto" w:fill="FFFFFF" w:themeFill="background1"/>
          </w:tcPr>
          <w:p w14:paraId="3FD504F8" w14:textId="77777777" w:rsidR="00F02288" w:rsidRPr="00386862" w:rsidRDefault="00F02288" w:rsidP="0015039B">
            <w:pPr>
              <w:spacing w:after="0" w:line="240" w:lineRule="auto"/>
              <w:ind w:right="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35,6</w:t>
            </w:r>
          </w:p>
        </w:tc>
      </w:tr>
      <w:tr w:rsidR="00F02288" w:rsidRPr="00386862" w14:paraId="022F16BC" w14:textId="77777777" w:rsidTr="001503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479A36A4" w14:textId="77777777" w:rsidR="00F02288" w:rsidRPr="00386862" w:rsidRDefault="00F02288" w:rsidP="0015039B">
            <w:pPr>
              <w:spacing w:after="0" w:line="240" w:lineRule="auto"/>
              <w:jc w:val="center"/>
              <w:rPr>
                <w:rFonts w:ascii="Times New Roman" w:hAnsi="Times New Roman"/>
                <w:color w:val="auto"/>
              </w:rPr>
            </w:pPr>
            <w:r w:rsidRPr="00386862">
              <w:rPr>
                <w:rFonts w:ascii="Times New Roman" w:hAnsi="Times New Roman"/>
                <w:color w:val="auto"/>
              </w:rPr>
              <w:t>SYTUACJA RODZINNA I STRUKTURA GOSPODARSTW DOMOWYCH</w:t>
            </w:r>
          </w:p>
        </w:tc>
      </w:tr>
      <w:tr w:rsidR="00F02288" w:rsidRPr="00386862" w14:paraId="6F8FF860" w14:textId="77777777" w:rsidTr="00386862">
        <w:trPr>
          <w:jc w:val="center"/>
        </w:trPr>
        <w:tc>
          <w:tcPr>
            <w:cnfStyle w:val="001000000000" w:firstRow="0" w:lastRow="0" w:firstColumn="1" w:lastColumn="0" w:oddVBand="0" w:evenVBand="0" w:oddHBand="0" w:evenHBand="0" w:firstRowFirstColumn="0" w:firstRowLastColumn="0" w:lastRowFirstColumn="0" w:lastRowLastColumn="0"/>
            <w:tcW w:w="14741" w:type="dxa"/>
            <w:gridSpan w:val="9"/>
          </w:tcPr>
          <w:p w14:paraId="6387E603" w14:textId="40C492C2" w:rsidR="00F02288" w:rsidRPr="00386862" w:rsidRDefault="007E721D" w:rsidP="00386862">
            <w:pPr>
              <w:spacing w:after="0" w:line="240" w:lineRule="auto"/>
              <w:rPr>
                <w:rFonts w:ascii="Times New Roman" w:hAnsi="Times New Roman"/>
                <w:b w:val="0"/>
                <w:color w:val="auto"/>
              </w:rPr>
            </w:pPr>
            <w:r w:rsidRPr="007E721D">
              <w:rPr>
                <w:rFonts w:ascii="Times New Roman" w:hAnsi="Times New Roman"/>
                <w:b w:val="0"/>
                <w:color w:val="auto"/>
              </w:rPr>
              <w:t>W 2019 r. w woj. wielkopolskim w zakładach stacjonarnych pomocy społecznej zamieszkiwało łącznie 8 646 mieszkańców, w tym 5 469 osób starszych. Na terenie województwa funkcjonowało 149 zakładów stacjonarnych pomocy społecznej, zapewniających łącznie 9 044 miejsca (sektor publiczny 5 730 oraz sektor prywatny 3 314).</w:t>
            </w:r>
            <w:r>
              <w:rPr>
                <w:rFonts w:ascii="Times New Roman" w:hAnsi="Times New Roman"/>
                <w:b w:val="0"/>
                <w:color w:val="auto"/>
              </w:rPr>
              <w:t xml:space="preserve"> W 2019 r. na terenie województwa 22 683 rodziny emerytów i rencistów objęte były pomocą społeczną. </w:t>
            </w:r>
          </w:p>
        </w:tc>
      </w:tr>
      <w:tr w:rsidR="00F02288" w:rsidRPr="00386862" w14:paraId="6D862F37" w14:textId="77777777" w:rsidTr="001503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01387251" w14:textId="77777777" w:rsidR="00F02288" w:rsidRPr="00386862" w:rsidRDefault="00F02288" w:rsidP="0015039B">
            <w:pPr>
              <w:spacing w:after="0" w:line="240" w:lineRule="auto"/>
              <w:jc w:val="center"/>
              <w:rPr>
                <w:rFonts w:ascii="Times New Roman" w:hAnsi="Times New Roman"/>
                <w:color w:val="auto"/>
              </w:rPr>
            </w:pPr>
            <w:r w:rsidRPr="00386862">
              <w:rPr>
                <w:rFonts w:ascii="Times New Roman" w:hAnsi="Times New Roman"/>
                <w:color w:val="auto"/>
              </w:rPr>
              <w:t>SYTUACJA OSÓB NIEPEŁNOSPRAWNYCH I ICH OPIEKUNÓW</w:t>
            </w:r>
          </w:p>
        </w:tc>
      </w:tr>
      <w:tr w:rsidR="00F02288" w:rsidRPr="00386862" w14:paraId="38977A97" w14:textId="77777777" w:rsidTr="00386862">
        <w:trPr>
          <w:jc w:val="center"/>
        </w:trPr>
        <w:tc>
          <w:tcPr>
            <w:cnfStyle w:val="001000000000" w:firstRow="0" w:lastRow="0" w:firstColumn="1" w:lastColumn="0" w:oddVBand="0" w:evenVBand="0" w:oddHBand="0" w:evenHBand="0" w:firstRowFirstColumn="0" w:firstRowLastColumn="0" w:lastRowFirstColumn="0" w:lastRowLastColumn="0"/>
            <w:tcW w:w="14741" w:type="dxa"/>
            <w:gridSpan w:val="9"/>
          </w:tcPr>
          <w:p w14:paraId="4FCE4E1C" w14:textId="4EDF5939" w:rsidR="00F02288" w:rsidRPr="0045156C" w:rsidRDefault="00F02288" w:rsidP="00386862">
            <w:pPr>
              <w:spacing w:after="0" w:line="240" w:lineRule="auto"/>
              <w:rPr>
                <w:rFonts w:ascii="Times New Roman" w:hAnsi="Times New Roman"/>
                <w:b w:val="0"/>
                <w:color w:val="auto"/>
              </w:rPr>
            </w:pPr>
            <w:r w:rsidRPr="0045156C">
              <w:rPr>
                <w:rFonts w:ascii="Times New Roman" w:hAnsi="Times New Roman"/>
                <w:b w:val="0"/>
                <w:color w:val="auto"/>
              </w:rPr>
              <w:lastRenderedPageBreak/>
              <w:t xml:space="preserve">Sytuacja osób niepełnosprawnych i ich opiekunów mogła ulec nieznacznej poprawie względem lat poprzednich za sprawą realizowanych na terenie województwa programów </w:t>
            </w:r>
            <w:r w:rsidR="0045156C" w:rsidRPr="0045156C">
              <w:rPr>
                <w:rFonts w:ascii="Times New Roman" w:hAnsi="Times New Roman"/>
                <w:b w:val="0"/>
                <w:color w:val="auto"/>
                <w:sz w:val="24"/>
                <w:szCs w:val="24"/>
              </w:rPr>
              <w:t xml:space="preserve"> Funduszu Solidarnościowego (do 21 grudnia 2019 r. był to Solidarnościowy Fundusz Wsparcia Osób Niepełnosprawnych)</w:t>
            </w:r>
          </w:p>
        </w:tc>
      </w:tr>
      <w:tr w:rsidR="00F02288" w:rsidRPr="00386862" w14:paraId="0181645F" w14:textId="77777777" w:rsidTr="001503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2646B458" w14:textId="77777777" w:rsidR="00F02288" w:rsidRPr="00386862" w:rsidRDefault="00F02288" w:rsidP="0015039B">
            <w:pPr>
              <w:spacing w:after="0" w:line="240" w:lineRule="auto"/>
              <w:jc w:val="center"/>
              <w:rPr>
                <w:rFonts w:ascii="Times New Roman" w:hAnsi="Times New Roman"/>
                <w:color w:val="auto"/>
              </w:rPr>
            </w:pPr>
            <w:r w:rsidRPr="00386862">
              <w:rPr>
                <w:rFonts w:ascii="Times New Roman" w:hAnsi="Times New Roman"/>
                <w:color w:val="auto"/>
              </w:rPr>
              <w:t>STAN ZDROWIA OSÓB STARSZYCH / INFRASTRUKTURA SŁUŻBY ZDROWIA - DANE ZA 2019 r.</w:t>
            </w:r>
          </w:p>
        </w:tc>
      </w:tr>
      <w:tr w:rsidR="00F02288" w:rsidRPr="00386862" w14:paraId="361B096A" w14:textId="77777777" w:rsidTr="0015039B">
        <w:trPr>
          <w:trHeight w:val="28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BF4402A"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hAnsi="Times New Roman"/>
                <w:color w:val="auto"/>
                <w:lang w:eastAsia="pl-PL"/>
              </w:rPr>
              <w:t xml:space="preserve">Dominujące schorzenia osób starszych </w:t>
            </w:r>
          </w:p>
        </w:tc>
        <w:tc>
          <w:tcPr>
            <w:tcW w:w="7938" w:type="dxa"/>
            <w:gridSpan w:val="6"/>
            <w:shd w:val="clear" w:color="auto" w:fill="9CC2E5" w:themeFill="accent1" w:themeFillTint="99"/>
          </w:tcPr>
          <w:p w14:paraId="444E792E" w14:textId="77777777" w:rsidR="00F02288" w:rsidRPr="00386862"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Nazwa</w:t>
            </w:r>
          </w:p>
        </w:tc>
        <w:tc>
          <w:tcPr>
            <w:tcW w:w="3973" w:type="dxa"/>
            <w:gridSpan w:val="2"/>
            <w:shd w:val="clear" w:color="auto" w:fill="9CC2E5" w:themeFill="accent1" w:themeFillTint="99"/>
          </w:tcPr>
          <w:p w14:paraId="118BAA90" w14:textId="77777777" w:rsidR="00F02288" w:rsidRPr="00386862"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Liczba osób starszych</w:t>
            </w:r>
          </w:p>
        </w:tc>
      </w:tr>
      <w:tr w:rsidR="00F02288" w:rsidRPr="00386862" w14:paraId="1A735DC5" w14:textId="77777777" w:rsidTr="006F415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4644FCB4"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F9F4D05"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039B">
              <w:rPr>
                <w:rFonts w:ascii="Times New Roman" w:hAnsi="Times New Roman"/>
                <w:b/>
                <w:color w:val="auto"/>
              </w:rPr>
              <w:t>1.</w:t>
            </w:r>
            <w:r w:rsidRPr="00386862">
              <w:rPr>
                <w:rFonts w:ascii="Times New Roman" w:hAnsi="Times New Roman"/>
                <w:color w:val="auto"/>
              </w:rPr>
              <w:t xml:space="preserve"> I10 Samoistne (pierwotne) nadciśnienie</w:t>
            </w:r>
          </w:p>
        </w:tc>
        <w:tc>
          <w:tcPr>
            <w:tcW w:w="3973" w:type="dxa"/>
            <w:gridSpan w:val="2"/>
            <w:shd w:val="clear" w:color="auto" w:fill="FFFFFF" w:themeFill="background1"/>
          </w:tcPr>
          <w:p w14:paraId="7D5AAB87" w14:textId="77777777" w:rsidR="00F02288" w:rsidRPr="00386862"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318 203</w:t>
            </w:r>
          </w:p>
        </w:tc>
      </w:tr>
      <w:tr w:rsidR="00F02288" w:rsidRPr="00386862" w14:paraId="2F507FE2" w14:textId="77777777" w:rsidTr="006F415B">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6E10EA1"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2FB1BF2"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039B">
              <w:rPr>
                <w:rFonts w:ascii="Times New Roman" w:hAnsi="Times New Roman"/>
                <w:b/>
                <w:color w:val="auto"/>
              </w:rPr>
              <w:t>2.</w:t>
            </w:r>
            <w:r w:rsidRPr="00386862">
              <w:rPr>
                <w:rFonts w:ascii="Times New Roman" w:hAnsi="Times New Roman"/>
                <w:color w:val="auto"/>
              </w:rPr>
              <w:t xml:space="preserve"> E11 Cukrzyca insulinozależna</w:t>
            </w:r>
          </w:p>
        </w:tc>
        <w:tc>
          <w:tcPr>
            <w:tcW w:w="3973" w:type="dxa"/>
            <w:gridSpan w:val="2"/>
            <w:shd w:val="clear" w:color="auto" w:fill="FFFFFF" w:themeFill="background1"/>
          </w:tcPr>
          <w:p w14:paraId="466BC424" w14:textId="77777777" w:rsidR="00F02288" w:rsidRPr="00386862"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109 796</w:t>
            </w:r>
          </w:p>
        </w:tc>
      </w:tr>
      <w:tr w:rsidR="00F02288" w:rsidRPr="00386862" w14:paraId="74D03863" w14:textId="77777777" w:rsidTr="006F415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E46BCAC"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AC0D579"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039B">
              <w:rPr>
                <w:rFonts w:ascii="Times New Roman" w:hAnsi="Times New Roman"/>
                <w:b/>
                <w:color w:val="auto"/>
              </w:rPr>
              <w:t>3.</w:t>
            </w:r>
            <w:r w:rsidRPr="00386862">
              <w:rPr>
                <w:rFonts w:ascii="Times New Roman" w:hAnsi="Times New Roman"/>
                <w:color w:val="auto"/>
              </w:rPr>
              <w:t xml:space="preserve"> M47 Zmiany zwyrodnieniowe kręgosłupa</w:t>
            </w:r>
          </w:p>
        </w:tc>
        <w:tc>
          <w:tcPr>
            <w:tcW w:w="3973" w:type="dxa"/>
            <w:gridSpan w:val="2"/>
            <w:shd w:val="clear" w:color="auto" w:fill="FFFFFF" w:themeFill="background1"/>
          </w:tcPr>
          <w:p w14:paraId="12CA4546" w14:textId="77777777" w:rsidR="00F02288" w:rsidRPr="00386862"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80 111</w:t>
            </w:r>
          </w:p>
        </w:tc>
      </w:tr>
      <w:tr w:rsidR="00F02288" w:rsidRPr="00386862" w14:paraId="5E5CE700" w14:textId="77777777" w:rsidTr="006F415B">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3102360"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D2A0BFE"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039B">
              <w:rPr>
                <w:rFonts w:ascii="Times New Roman" w:hAnsi="Times New Roman"/>
                <w:b/>
                <w:color w:val="auto"/>
              </w:rPr>
              <w:t>4.</w:t>
            </w:r>
            <w:r w:rsidRPr="00386862">
              <w:rPr>
                <w:rFonts w:ascii="Times New Roman" w:hAnsi="Times New Roman"/>
                <w:color w:val="auto"/>
              </w:rPr>
              <w:t xml:space="preserve"> N40 Rozrost gruczołu krokowego</w:t>
            </w:r>
          </w:p>
        </w:tc>
        <w:tc>
          <w:tcPr>
            <w:tcW w:w="3973" w:type="dxa"/>
            <w:gridSpan w:val="2"/>
            <w:shd w:val="clear" w:color="auto" w:fill="FFFFFF" w:themeFill="background1"/>
          </w:tcPr>
          <w:p w14:paraId="611ADB53" w14:textId="77777777" w:rsidR="00F02288" w:rsidRPr="00386862"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75 923</w:t>
            </w:r>
          </w:p>
        </w:tc>
      </w:tr>
      <w:tr w:rsidR="00F02288" w:rsidRPr="00386862" w14:paraId="4BACFA11" w14:textId="77777777" w:rsidTr="006F415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D16E1C3"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1DFCBDB"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039B">
              <w:rPr>
                <w:rFonts w:ascii="Times New Roman" w:hAnsi="Times New Roman"/>
                <w:b/>
                <w:color w:val="auto"/>
              </w:rPr>
              <w:t>5.</w:t>
            </w:r>
            <w:r w:rsidRPr="00386862">
              <w:rPr>
                <w:rFonts w:ascii="Times New Roman" w:hAnsi="Times New Roman"/>
                <w:color w:val="auto"/>
              </w:rPr>
              <w:t xml:space="preserve"> I25 Przewlekła choroba niedokrwienna serca</w:t>
            </w:r>
          </w:p>
        </w:tc>
        <w:tc>
          <w:tcPr>
            <w:tcW w:w="3973" w:type="dxa"/>
            <w:gridSpan w:val="2"/>
            <w:shd w:val="clear" w:color="auto" w:fill="FFFFFF" w:themeFill="background1"/>
          </w:tcPr>
          <w:p w14:paraId="619C7E7A" w14:textId="77777777" w:rsidR="00F02288" w:rsidRPr="00386862"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69 856</w:t>
            </w:r>
          </w:p>
        </w:tc>
      </w:tr>
      <w:tr w:rsidR="00F02288" w:rsidRPr="00386862" w14:paraId="3FF7ACDD" w14:textId="77777777" w:rsidTr="006F415B">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6023FA8"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hAnsi="Times New Roman"/>
                <w:color w:val="auto"/>
                <w:lang w:eastAsia="pl-PL"/>
              </w:rPr>
              <w:t>Liczba osób starszych objętych czynną opieką lekarza POZ</w:t>
            </w:r>
          </w:p>
        </w:tc>
        <w:tc>
          <w:tcPr>
            <w:tcW w:w="11911" w:type="dxa"/>
            <w:gridSpan w:val="8"/>
            <w:shd w:val="clear" w:color="auto" w:fill="FFFFFF" w:themeFill="background1"/>
          </w:tcPr>
          <w:p w14:paraId="5F50F5EF"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736 954</w:t>
            </w:r>
          </w:p>
        </w:tc>
      </w:tr>
      <w:tr w:rsidR="00F02288" w:rsidRPr="00386862" w14:paraId="55A6E7E4" w14:textId="77777777" w:rsidTr="0015039B">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BAF685D"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hAnsi="Times New Roman"/>
                <w:color w:val="auto"/>
                <w:lang w:eastAsia="pl-PL"/>
              </w:rPr>
              <w:t>Najczęstsze przyczyny hospitalizacji osób starszych</w:t>
            </w:r>
          </w:p>
        </w:tc>
        <w:tc>
          <w:tcPr>
            <w:tcW w:w="7938" w:type="dxa"/>
            <w:gridSpan w:val="6"/>
            <w:shd w:val="clear" w:color="auto" w:fill="9CC2E5" w:themeFill="accent1" w:themeFillTint="99"/>
          </w:tcPr>
          <w:p w14:paraId="3343759A" w14:textId="77777777" w:rsidR="00F02288" w:rsidRPr="00386862"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Przyczyna</w:t>
            </w:r>
          </w:p>
        </w:tc>
        <w:tc>
          <w:tcPr>
            <w:tcW w:w="3973" w:type="dxa"/>
            <w:gridSpan w:val="2"/>
            <w:shd w:val="clear" w:color="auto" w:fill="9CC2E5" w:themeFill="accent1" w:themeFillTint="99"/>
          </w:tcPr>
          <w:p w14:paraId="3E03692A" w14:textId="77777777" w:rsidR="00F02288" w:rsidRPr="00386862"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Liczba osób starszych</w:t>
            </w:r>
          </w:p>
          <w:p w14:paraId="23E65065" w14:textId="77777777" w:rsidR="00F02288" w:rsidRPr="00386862"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p>
        </w:tc>
      </w:tr>
      <w:tr w:rsidR="00F02288" w:rsidRPr="00386862" w14:paraId="2F84DE4B" w14:textId="77777777" w:rsidTr="006F415B">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F1AEE51"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735871F" w14:textId="77777777" w:rsidR="00F02288" w:rsidRPr="006F415B"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F415B">
              <w:rPr>
                <w:rFonts w:ascii="Times New Roman" w:hAnsi="Times New Roman"/>
                <w:b/>
                <w:color w:val="auto"/>
              </w:rPr>
              <w:t>1.</w:t>
            </w:r>
            <w:r w:rsidRPr="006F415B">
              <w:rPr>
                <w:rFonts w:ascii="Times New Roman" w:hAnsi="Times New Roman"/>
                <w:color w:val="auto"/>
              </w:rPr>
              <w:t xml:space="preserve"> H25.1 Zaćma starcza jądrowa</w:t>
            </w:r>
          </w:p>
        </w:tc>
        <w:tc>
          <w:tcPr>
            <w:tcW w:w="3973" w:type="dxa"/>
            <w:gridSpan w:val="2"/>
            <w:shd w:val="clear" w:color="auto" w:fill="FFFFFF" w:themeFill="background1"/>
          </w:tcPr>
          <w:p w14:paraId="6B8D871A" w14:textId="77777777" w:rsidR="00F02288" w:rsidRPr="00CA12C4" w:rsidRDefault="00F02288" w:rsidP="00CA12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A12C4">
              <w:rPr>
                <w:rFonts w:ascii="Times New Roman" w:hAnsi="Times New Roman"/>
                <w:color w:val="auto"/>
              </w:rPr>
              <w:t>11 674</w:t>
            </w:r>
          </w:p>
        </w:tc>
      </w:tr>
      <w:tr w:rsidR="00F02288" w:rsidRPr="00386862" w14:paraId="0F1A133A" w14:textId="77777777" w:rsidTr="006F415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750A1D0"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B5C75BE" w14:textId="77777777" w:rsidR="00F02288" w:rsidRPr="006F415B"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6F415B">
              <w:rPr>
                <w:rFonts w:ascii="Times New Roman" w:hAnsi="Times New Roman"/>
                <w:b/>
                <w:color w:val="auto"/>
              </w:rPr>
              <w:t>2.</w:t>
            </w:r>
            <w:r w:rsidRPr="006F415B">
              <w:rPr>
                <w:rFonts w:ascii="Times New Roman" w:hAnsi="Times New Roman"/>
                <w:color w:val="auto"/>
              </w:rPr>
              <w:t xml:space="preserve"> H25.8 Inne postacie zaćmy starczej</w:t>
            </w:r>
          </w:p>
        </w:tc>
        <w:tc>
          <w:tcPr>
            <w:tcW w:w="3973" w:type="dxa"/>
            <w:gridSpan w:val="2"/>
            <w:shd w:val="clear" w:color="auto" w:fill="FFFFFF" w:themeFill="background1"/>
          </w:tcPr>
          <w:p w14:paraId="751DB0F1" w14:textId="77777777" w:rsidR="00F02288" w:rsidRPr="00CA12C4" w:rsidRDefault="00F02288" w:rsidP="00CA12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A12C4">
              <w:rPr>
                <w:rFonts w:ascii="Times New Roman" w:hAnsi="Times New Roman"/>
                <w:color w:val="auto"/>
              </w:rPr>
              <w:t>8 420</w:t>
            </w:r>
          </w:p>
        </w:tc>
      </w:tr>
      <w:tr w:rsidR="00F02288" w:rsidRPr="00386862" w14:paraId="04A559F2" w14:textId="77777777" w:rsidTr="006F415B">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6604D57"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784086D" w14:textId="77777777" w:rsidR="00F02288" w:rsidRPr="006F415B"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F415B">
              <w:rPr>
                <w:rFonts w:ascii="Times New Roman" w:hAnsi="Times New Roman"/>
                <w:b/>
                <w:color w:val="auto"/>
              </w:rPr>
              <w:t>3.</w:t>
            </w:r>
            <w:r w:rsidRPr="006F415B">
              <w:rPr>
                <w:rFonts w:ascii="Times New Roman" w:hAnsi="Times New Roman"/>
                <w:color w:val="auto"/>
              </w:rPr>
              <w:t xml:space="preserve"> I50.9 Niewydolność serca nieokreślona</w:t>
            </w:r>
          </w:p>
        </w:tc>
        <w:tc>
          <w:tcPr>
            <w:tcW w:w="3973" w:type="dxa"/>
            <w:gridSpan w:val="2"/>
            <w:shd w:val="clear" w:color="auto" w:fill="FFFFFF" w:themeFill="background1"/>
          </w:tcPr>
          <w:p w14:paraId="4F442752" w14:textId="77777777" w:rsidR="00F02288" w:rsidRPr="00CA12C4" w:rsidRDefault="00F02288" w:rsidP="00CA12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A12C4">
              <w:rPr>
                <w:rFonts w:ascii="Times New Roman" w:hAnsi="Times New Roman"/>
                <w:color w:val="auto"/>
              </w:rPr>
              <w:t>7 284</w:t>
            </w:r>
          </w:p>
        </w:tc>
      </w:tr>
      <w:tr w:rsidR="00F02288" w:rsidRPr="00386862" w14:paraId="136B4FDC" w14:textId="77777777" w:rsidTr="006F415B">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67854A2"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1539BC6" w14:textId="77777777" w:rsidR="00F02288" w:rsidRPr="006F415B"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6F415B">
              <w:rPr>
                <w:rFonts w:ascii="Times New Roman" w:hAnsi="Times New Roman"/>
                <w:b/>
                <w:color w:val="auto"/>
              </w:rPr>
              <w:t>4.</w:t>
            </w:r>
            <w:r w:rsidRPr="006F415B">
              <w:rPr>
                <w:rFonts w:ascii="Times New Roman" w:hAnsi="Times New Roman"/>
                <w:color w:val="auto"/>
              </w:rPr>
              <w:t xml:space="preserve"> I48 Migotanie i trzepotanie przedsionków</w:t>
            </w:r>
          </w:p>
        </w:tc>
        <w:tc>
          <w:tcPr>
            <w:tcW w:w="3973" w:type="dxa"/>
            <w:gridSpan w:val="2"/>
            <w:shd w:val="clear" w:color="auto" w:fill="FFFFFF" w:themeFill="background1"/>
          </w:tcPr>
          <w:p w14:paraId="5F8BDB5C" w14:textId="77777777" w:rsidR="00F02288" w:rsidRPr="00CA12C4" w:rsidRDefault="00F02288" w:rsidP="00CA12C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CA12C4">
              <w:rPr>
                <w:rFonts w:ascii="Times New Roman" w:hAnsi="Times New Roman"/>
                <w:color w:val="auto"/>
              </w:rPr>
              <w:t>6 063</w:t>
            </w:r>
          </w:p>
        </w:tc>
      </w:tr>
      <w:tr w:rsidR="00F02288" w:rsidRPr="00386862" w14:paraId="081D9B27" w14:textId="77777777" w:rsidTr="006F415B">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6E372EE"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2EBCDD4B" w14:textId="77777777" w:rsidR="00F02288" w:rsidRPr="006F415B"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F415B">
              <w:rPr>
                <w:rFonts w:ascii="Times New Roman" w:hAnsi="Times New Roman"/>
                <w:b/>
                <w:color w:val="auto"/>
              </w:rPr>
              <w:t>5.</w:t>
            </w:r>
            <w:r w:rsidRPr="006F415B">
              <w:rPr>
                <w:rFonts w:ascii="Times New Roman" w:hAnsi="Times New Roman"/>
                <w:color w:val="auto"/>
              </w:rPr>
              <w:t xml:space="preserve"> I50.0 Niewydolność serca zastoinowa</w:t>
            </w:r>
          </w:p>
        </w:tc>
        <w:tc>
          <w:tcPr>
            <w:tcW w:w="3973" w:type="dxa"/>
            <w:gridSpan w:val="2"/>
            <w:shd w:val="clear" w:color="auto" w:fill="FFFFFF" w:themeFill="background1"/>
          </w:tcPr>
          <w:p w14:paraId="1E824F01" w14:textId="77777777" w:rsidR="00F02288" w:rsidRPr="00CA12C4" w:rsidRDefault="00F02288" w:rsidP="00CA12C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CA12C4">
              <w:rPr>
                <w:rFonts w:ascii="Times New Roman" w:hAnsi="Times New Roman"/>
                <w:color w:val="auto"/>
              </w:rPr>
              <w:t>5 882</w:t>
            </w:r>
          </w:p>
        </w:tc>
      </w:tr>
      <w:tr w:rsidR="00F02288" w:rsidRPr="00386862" w14:paraId="6993272D" w14:textId="77777777" w:rsidTr="0015039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2D5ED13" w14:textId="77777777" w:rsidR="00F02288" w:rsidRPr="00386862" w:rsidRDefault="00F02288" w:rsidP="00386862">
            <w:pPr>
              <w:spacing w:after="0" w:line="240" w:lineRule="auto"/>
              <w:rPr>
                <w:rFonts w:ascii="Times New Roman" w:hAnsi="Times New Roman"/>
                <w:b w:val="0"/>
                <w:bCs w:val="0"/>
                <w:color w:val="auto"/>
              </w:rPr>
            </w:pPr>
            <w:r w:rsidRPr="00386862">
              <w:rPr>
                <w:rFonts w:ascii="Times New Roman" w:hAnsi="Times New Roman"/>
                <w:color w:val="auto"/>
                <w:lang w:eastAsia="pl-PL"/>
              </w:rPr>
              <w:t>Infrastruktura służby zdrowia</w:t>
            </w:r>
          </w:p>
        </w:tc>
        <w:tc>
          <w:tcPr>
            <w:tcW w:w="3969" w:type="dxa"/>
            <w:gridSpan w:val="3"/>
            <w:shd w:val="clear" w:color="auto" w:fill="9CC2E5" w:themeFill="accent1" w:themeFillTint="99"/>
          </w:tcPr>
          <w:p w14:paraId="13F4DDCD" w14:textId="77777777" w:rsidR="00F02288" w:rsidRPr="00386862"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386862">
              <w:rPr>
                <w:rFonts w:ascii="Times New Roman" w:hAnsi="Times New Roman"/>
                <w:b/>
                <w:color w:val="auto"/>
              </w:rPr>
              <w:t>Rodzaj placówki</w:t>
            </w:r>
          </w:p>
        </w:tc>
        <w:tc>
          <w:tcPr>
            <w:tcW w:w="3969" w:type="dxa"/>
            <w:gridSpan w:val="3"/>
            <w:shd w:val="clear" w:color="auto" w:fill="9CC2E5" w:themeFill="accent1" w:themeFillTint="99"/>
          </w:tcPr>
          <w:p w14:paraId="33EDCA87" w14:textId="77777777" w:rsidR="00F02288" w:rsidRPr="00386862"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Liczba placówek</w:t>
            </w:r>
          </w:p>
        </w:tc>
        <w:tc>
          <w:tcPr>
            <w:tcW w:w="3973" w:type="dxa"/>
            <w:gridSpan w:val="2"/>
            <w:shd w:val="clear" w:color="auto" w:fill="9CC2E5" w:themeFill="accent1" w:themeFillTint="99"/>
          </w:tcPr>
          <w:p w14:paraId="447F7AB4" w14:textId="77777777" w:rsidR="00F02288" w:rsidRPr="00386862"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Liczba łóżek dla osób starszych</w:t>
            </w:r>
          </w:p>
        </w:tc>
      </w:tr>
      <w:tr w:rsidR="00F02288" w:rsidRPr="00386862" w14:paraId="4D6F4BEF" w14:textId="77777777" w:rsidTr="006F415B">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D52D6BE" w14:textId="77777777" w:rsidR="00F02288" w:rsidRPr="00386862" w:rsidRDefault="00F02288" w:rsidP="00386862">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7E05185A"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Oddziałów / pododdziałów geriatrycznych</w:t>
            </w:r>
          </w:p>
        </w:tc>
        <w:tc>
          <w:tcPr>
            <w:tcW w:w="3969" w:type="dxa"/>
            <w:gridSpan w:val="3"/>
            <w:shd w:val="clear" w:color="auto" w:fill="FFFFFF" w:themeFill="background1"/>
          </w:tcPr>
          <w:p w14:paraId="24843307" w14:textId="77777777" w:rsidR="00F02288" w:rsidRPr="0015039B"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2</w:t>
            </w:r>
          </w:p>
        </w:tc>
        <w:tc>
          <w:tcPr>
            <w:tcW w:w="3973" w:type="dxa"/>
            <w:gridSpan w:val="2"/>
            <w:shd w:val="clear" w:color="auto" w:fill="FFFFFF" w:themeFill="background1"/>
          </w:tcPr>
          <w:p w14:paraId="7EA6509B" w14:textId="77777777" w:rsidR="00F02288" w:rsidRPr="0015039B"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41</w:t>
            </w:r>
          </w:p>
        </w:tc>
      </w:tr>
      <w:tr w:rsidR="00F02288" w:rsidRPr="00386862" w14:paraId="1CFECA3F" w14:textId="77777777" w:rsidTr="006F4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1C0F2F4" w14:textId="77777777" w:rsidR="00F02288" w:rsidRPr="00386862" w:rsidRDefault="00F02288" w:rsidP="00386862">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22356065"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Poradni geriatrycznych</w:t>
            </w:r>
          </w:p>
        </w:tc>
        <w:tc>
          <w:tcPr>
            <w:tcW w:w="3969" w:type="dxa"/>
            <w:gridSpan w:val="3"/>
            <w:shd w:val="clear" w:color="auto" w:fill="FFFFFF" w:themeFill="background1"/>
          </w:tcPr>
          <w:p w14:paraId="74BFCFCA" w14:textId="77777777" w:rsidR="00F02288" w:rsidRPr="0015039B"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26</w:t>
            </w:r>
          </w:p>
        </w:tc>
        <w:tc>
          <w:tcPr>
            <w:tcW w:w="3973" w:type="dxa"/>
            <w:gridSpan w:val="2"/>
            <w:shd w:val="clear" w:color="auto" w:fill="FFFFFF" w:themeFill="background1"/>
          </w:tcPr>
          <w:p w14:paraId="7D93750F" w14:textId="77777777" w:rsidR="00F02288" w:rsidRPr="0015039B"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Nie dotyczy</w:t>
            </w:r>
          </w:p>
        </w:tc>
      </w:tr>
      <w:tr w:rsidR="00F02288" w:rsidRPr="00386862" w14:paraId="398012C9" w14:textId="77777777" w:rsidTr="006F415B">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5A187DC" w14:textId="77777777" w:rsidR="00F02288" w:rsidRPr="00386862" w:rsidRDefault="00F02288" w:rsidP="00386862">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50E5ECDF"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Zakładów opiekuńczo-leczniczych</w:t>
            </w:r>
          </w:p>
        </w:tc>
        <w:tc>
          <w:tcPr>
            <w:tcW w:w="3969" w:type="dxa"/>
            <w:gridSpan w:val="3"/>
            <w:shd w:val="clear" w:color="auto" w:fill="FFFFFF" w:themeFill="background1"/>
          </w:tcPr>
          <w:p w14:paraId="1FBCFADC" w14:textId="77777777" w:rsidR="00F02288" w:rsidRPr="0015039B"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24</w:t>
            </w:r>
          </w:p>
        </w:tc>
        <w:tc>
          <w:tcPr>
            <w:tcW w:w="3973" w:type="dxa"/>
            <w:gridSpan w:val="2"/>
            <w:shd w:val="clear" w:color="auto" w:fill="FFFFFF" w:themeFill="background1"/>
          </w:tcPr>
          <w:p w14:paraId="2FF08737" w14:textId="77777777" w:rsidR="00F02288" w:rsidRPr="0015039B"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815</w:t>
            </w:r>
          </w:p>
        </w:tc>
      </w:tr>
      <w:tr w:rsidR="00F02288" w:rsidRPr="00386862" w14:paraId="2B892787" w14:textId="77777777" w:rsidTr="006F4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15D7FA4" w14:textId="77777777" w:rsidR="00F02288" w:rsidRPr="00386862" w:rsidRDefault="00F02288" w:rsidP="00386862">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7AF66927"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Zakładów pielęgnacyjno-opiekuńczych</w:t>
            </w:r>
          </w:p>
        </w:tc>
        <w:tc>
          <w:tcPr>
            <w:tcW w:w="3969" w:type="dxa"/>
            <w:gridSpan w:val="3"/>
            <w:shd w:val="clear" w:color="auto" w:fill="FFFFFF" w:themeFill="background1"/>
          </w:tcPr>
          <w:p w14:paraId="5A2CEE4F" w14:textId="77777777" w:rsidR="00F02288" w:rsidRPr="0015039B"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11</w:t>
            </w:r>
          </w:p>
        </w:tc>
        <w:tc>
          <w:tcPr>
            <w:tcW w:w="3973" w:type="dxa"/>
            <w:gridSpan w:val="2"/>
            <w:shd w:val="clear" w:color="auto" w:fill="FFFFFF" w:themeFill="background1"/>
          </w:tcPr>
          <w:p w14:paraId="08BF3CB9" w14:textId="77777777" w:rsidR="00F02288" w:rsidRPr="0015039B"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509</w:t>
            </w:r>
          </w:p>
        </w:tc>
      </w:tr>
      <w:tr w:rsidR="00F02288" w:rsidRPr="00386862" w14:paraId="237E1972" w14:textId="77777777" w:rsidTr="006F415B">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7BE20DD" w14:textId="77777777" w:rsidR="00F02288" w:rsidRPr="00386862" w:rsidRDefault="00F02288" w:rsidP="00386862">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63FF8850"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Hospicjów stacjonarnych</w:t>
            </w:r>
          </w:p>
        </w:tc>
        <w:tc>
          <w:tcPr>
            <w:tcW w:w="3969" w:type="dxa"/>
            <w:gridSpan w:val="3"/>
            <w:shd w:val="clear" w:color="auto" w:fill="FFFFFF" w:themeFill="background1"/>
          </w:tcPr>
          <w:p w14:paraId="5D1D5095" w14:textId="77777777" w:rsidR="00F02288" w:rsidRPr="0015039B"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7</w:t>
            </w:r>
          </w:p>
        </w:tc>
        <w:tc>
          <w:tcPr>
            <w:tcW w:w="3973" w:type="dxa"/>
            <w:gridSpan w:val="2"/>
            <w:shd w:val="clear" w:color="auto" w:fill="FFFFFF" w:themeFill="background1"/>
          </w:tcPr>
          <w:p w14:paraId="48A95712" w14:textId="77777777" w:rsidR="00F02288" w:rsidRPr="0015039B"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115</w:t>
            </w:r>
          </w:p>
        </w:tc>
      </w:tr>
      <w:tr w:rsidR="00F02288" w:rsidRPr="00386862" w14:paraId="28B8C8F3" w14:textId="77777777" w:rsidTr="006F4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7A2DDF7" w14:textId="77777777" w:rsidR="00F02288" w:rsidRPr="00386862" w:rsidRDefault="00F02288" w:rsidP="00386862">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7E2A255E"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Hospicjów domowych</w:t>
            </w:r>
          </w:p>
        </w:tc>
        <w:tc>
          <w:tcPr>
            <w:tcW w:w="3969" w:type="dxa"/>
            <w:gridSpan w:val="3"/>
            <w:shd w:val="clear" w:color="auto" w:fill="FFFFFF" w:themeFill="background1"/>
          </w:tcPr>
          <w:p w14:paraId="31E882C8" w14:textId="77777777" w:rsidR="00F02288" w:rsidRPr="0015039B"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54</w:t>
            </w:r>
          </w:p>
        </w:tc>
        <w:tc>
          <w:tcPr>
            <w:tcW w:w="3973" w:type="dxa"/>
            <w:gridSpan w:val="2"/>
            <w:shd w:val="clear" w:color="auto" w:fill="FFFFFF" w:themeFill="background1"/>
          </w:tcPr>
          <w:p w14:paraId="3FEE0168" w14:textId="77777777" w:rsidR="00F02288" w:rsidRPr="0015039B" w:rsidRDefault="00F02288" w:rsidP="0015039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Brak łóżek</w:t>
            </w:r>
          </w:p>
        </w:tc>
      </w:tr>
      <w:tr w:rsidR="00F02288" w:rsidRPr="00386862" w14:paraId="5E3559F0" w14:textId="77777777" w:rsidTr="006F415B">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401E7C5" w14:textId="77777777" w:rsidR="00F02288" w:rsidRPr="00386862" w:rsidRDefault="00F02288" w:rsidP="00386862">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68255412"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Oddziałów opieki paliatywnej</w:t>
            </w:r>
          </w:p>
        </w:tc>
        <w:tc>
          <w:tcPr>
            <w:tcW w:w="3969" w:type="dxa"/>
            <w:gridSpan w:val="3"/>
            <w:shd w:val="clear" w:color="auto" w:fill="FFFFFF" w:themeFill="background1"/>
          </w:tcPr>
          <w:p w14:paraId="7B1718C4" w14:textId="77777777" w:rsidR="00F02288" w:rsidRPr="0015039B"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13</w:t>
            </w:r>
          </w:p>
        </w:tc>
        <w:tc>
          <w:tcPr>
            <w:tcW w:w="3973" w:type="dxa"/>
            <w:gridSpan w:val="2"/>
            <w:shd w:val="clear" w:color="auto" w:fill="FFFFFF" w:themeFill="background1"/>
          </w:tcPr>
          <w:p w14:paraId="401E1C6D" w14:textId="77777777" w:rsidR="00F02288" w:rsidRPr="0015039B" w:rsidRDefault="00F02288" w:rsidP="0015039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5039B">
              <w:rPr>
                <w:rFonts w:ascii="Times New Roman" w:hAnsi="Times New Roman"/>
                <w:color w:val="auto"/>
              </w:rPr>
              <w:t>264</w:t>
            </w:r>
          </w:p>
        </w:tc>
      </w:tr>
      <w:tr w:rsidR="00F02288" w:rsidRPr="00386862" w14:paraId="231D31C2" w14:textId="77777777" w:rsidTr="001A5AD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FC82BF2" w14:textId="77777777" w:rsidR="00F02288" w:rsidRPr="00386862" w:rsidRDefault="00F02288" w:rsidP="00386862">
            <w:pPr>
              <w:tabs>
                <w:tab w:val="left" w:pos="1206"/>
              </w:tabs>
              <w:spacing w:after="0" w:line="240" w:lineRule="auto"/>
              <w:rPr>
                <w:rFonts w:ascii="Times New Roman" w:hAnsi="Times New Roman"/>
                <w:color w:val="auto"/>
              </w:rPr>
            </w:pPr>
            <w:r w:rsidRPr="00386862">
              <w:rPr>
                <w:rFonts w:ascii="Times New Roman" w:hAnsi="Times New Roman"/>
                <w:color w:val="auto"/>
              </w:rPr>
              <w:t>Kadry medyczne</w:t>
            </w:r>
          </w:p>
        </w:tc>
        <w:tc>
          <w:tcPr>
            <w:tcW w:w="7938" w:type="dxa"/>
            <w:gridSpan w:val="6"/>
            <w:shd w:val="clear" w:color="auto" w:fill="9CC2E5" w:themeFill="accent1" w:themeFillTint="99"/>
          </w:tcPr>
          <w:p w14:paraId="7D4AC1FF" w14:textId="77777777" w:rsidR="00F02288" w:rsidRPr="00386862" w:rsidRDefault="00F02288" w:rsidP="001A5ADA">
            <w:pPr>
              <w:tabs>
                <w:tab w:val="left" w:pos="1206"/>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Lekarze</w:t>
            </w:r>
          </w:p>
        </w:tc>
        <w:tc>
          <w:tcPr>
            <w:tcW w:w="3973" w:type="dxa"/>
            <w:gridSpan w:val="2"/>
            <w:shd w:val="clear" w:color="auto" w:fill="9CC2E5" w:themeFill="accent1" w:themeFillTint="99"/>
          </w:tcPr>
          <w:p w14:paraId="380140BC" w14:textId="77777777" w:rsidR="00F02288" w:rsidRPr="00386862" w:rsidRDefault="00F02288" w:rsidP="001A5A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Liczba lekarzy</w:t>
            </w:r>
          </w:p>
        </w:tc>
      </w:tr>
      <w:tr w:rsidR="00F02288" w:rsidRPr="00386862" w14:paraId="256DD1E8" w14:textId="77777777" w:rsidTr="006F415B">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20AA191"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5CE4F318" w14:textId="77777777" w:rsidR="00F02288" w:rsidRPr="00386862" w:rsidRDefault="00F02288" w:rsidP="00386862">
            <w:pPr>
              <w:tabs>
                <w:tab w:val="left" w:pos="1206"/>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Geriatrzy</w:t>
            </w:r>
          </w:p>
        </w:tc>
        <w:tc>
          <w:tcPr>
            <w:tcW w:w="3973" w:type="dxa"/>
            <w:gridSpan w:val="2"/>
            <w:shd w:val="clear" w:color="auto" w:fill="FFFFFF" w:themeFill="background1"/>
          </w:tcPr>
          <w:p w14:paraId="564EBB21" w14:textId="77777777" w:rsidR="00F02288" w:rsidRPr="00386862" w:rsidRDefault="00F02288" w:rsidP="006F415B">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23</w:t>
            </w:r>
          </w:p>
        </w:tc>
      </w:tr>
      <w:tr w:rsidR="00F02288" w:rsidRPr="00386862" w14:paraId="73184AF6" w14:textId="77777777" w:rsidTr="006F4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11A80DC"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70CE27A6"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w trakcie specjalizacji z geriatrii</w:t>
            </w:r>
          </w:p>
        </w:tc>
        <w:tc>
          <w:tcPr>
            <w:tcW w:w="3973" w:type="dxa"/>
            <w:gridSpan w:val="2"/>
            <w:shd w:val="clear" w:color="auto" w:fill="FFFFFF" w:themeFill="background1"/>
          </w:tcPr>
          <w:p w14:paraId="2FD40032" w14:textId="77777777" w:rsidR="00F02288" w:rsidRPr="00386862" w:rsidRDefault="00F02288" w:rsidP="006F415B">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5</w:t>
            </w:r>
          </w:p>
        </w:tc>
      </w:tr>
      <w:tr w:rsidR="00F02288" w:rsidRPr="00386862" w14:paraId="79EA2C4E" w14:textId="77777777" w:rsidTr="001A5ADA">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600C68B"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9CC2E5" w:themeFill="accent1" w:themeFillTint="99"/>
          </w:tcPr>
          <w:p w14:paraId="66CD69AE" w14:textId="77777777" w:rsidR="00F02288" w:rsidRPr="00386862" w:rsidRDefault="00F02288" w:rsidP="001A5A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 xml:space="preserve">Pielęgniarki ze specjalizacją lub ukończonym kursem kwalifikacyjnym </w:t>
            </w:r>
            <w:r w:rsidRPr="00386862">
              <w:rPr>
                <w:rFonts w:ascii="Times New Roman" w:hAnsi="Times New Roman"/>
                <w:b/>
                <w:color w:val="auto"/>
              </w:rPr>
              <w:br/>
              <w:t>w zakresie:</w:t>
            </w:r>
          </w:p>
        </w:tc>
        <w:tc>
          <w:tcPr>
            <w:tcW w:w="3973" w:type="dxa"/>
            <w:gridSpan w:val="2"/>
            <w:shd w:val="clear" w:color="auto" w:fill="9CC2E5" w:themeFill="accent1" w:themeFillTint="99"/>
          </w:tcPr>
          <w:p w14:paraId="715C3856" w14:textId="77777777" w:rsidR="00F02288" w:rsidRPr="00386862" w:rsidRDefault="00F02288" w:rsidP="001A5A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Liczba pielęgniarek</w:t>
            </w:r>
          </w:p>
        </w:tc>
      </w:tr>
      <w:tr w:rsidR="00F02288" w:rsidRPr="00386862" w14:paraId="74627E52" w14:textId="77777777" w:rsidTr="006F4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7B2B049"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D21B56B"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Geriatrii</w:t>
            </w:r>
          </w:p>
        </w:tc>
        <w:tc>
          <w:tcPr>
            <w:tcW w:w="3973" w:type="dxa"/>
            <w:gridSpan w:val="2"/>
            <w:shd w:val="clear" w:color="auto" w:fill="FFFFFF" w:themeFill="background1"/>
          </w:tcPr>
          <w:p w14:paraId="613975A1" w14:textId="77777777" w:rsidR="00F02288" w:rsidRPr="00386862" w:rsidRDefault="00F02288" w:rsidP="001A5A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245</w:t>
            </w:r>
          </w:p>
        </w:tc>
      </w:tr>
      <w:tr w:rsidR="00F02288" w:rsidRPr="00386862" w14:paraId="1E885049" w14:textId="77777777" w:rsidTr="006F415B">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1951205"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EE0F19A"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Opieki długoterminowej</w:t>
            </w:r>
          </w:p>
        </w:tc>
        <w:tc>
          <w:tcPr>
            <w:tcW w:w="3973" w:type="dxa"/>
            <w:gridSpan w:val="2"/>
            <w:shd w:val="clear" w:color="auto" w:fill="FFFFFF" w:themeFill="background1"/>
          </w:tcPr>
          <w:p w14:paraId="26A18C19" w14:textId="77777777" w:rsidR="00F02288" w:rsidRPr="00386862" w:rsidRDefault="00F02288" w:rsidP="001A5A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1 382</w:t>
            </w:r>
          </w:p>
        </w:tc>
      </w:tr>
      <w:tr w:rsidR="00F02288" w:rsidRPr="00386862" w14:paraId="7F0B53ED" w14:textId="77777777" w:rsidTr="006F4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E7CB2A5"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0DE51A3"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Opieki paliatywnej</w:t>
            </w:r>
          </w:p>
        </w:tc>
        <w:tc>
          <w:tcPr>
            <w:tcW w:w="3973" w:type="dxa"/>
            <w:gridSpan w:val="2"/>
            <w:shd w:val="clear" w:color="auto" w:fill="FFFFFF" w:themeFill="background1"/>
          </w:tcPr>
          <w:p w14:paraId="2BEEB10F" w14:textId="77777777" w:rsidR="00F02288" w:rsidRPr="00386862" w:rsidRDefault="00F02288" w:rsidP="001A5A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511</w:t>
            </w:r>
          </w:p>
        </w:tc>
      </w:tr>
      <w:tr w:rsidR="00F02288" w:rsidRPr="00386862" w14:paraId="6365C378" w14:textId="77777777" w:rsidTr="001A5ADA">
        <w:trPr>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09FB63D"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hAnsi="Times New Roman"/>
                <w:color w:val="auto"/>
                <w:lang w:eastAsia="pl-PL"/>
              </w:rPr>
              <w:t>Najczęstsze przyczyny zgonów osób starszych w 2019 r.</w:t>
            </w:r>
          </w:p>
        </w:tc>
        <w:tc>
          <w:tcPr>
            <w:tcW w:w="7938" w:type="dxa"/>
            <w:gridSpan w:val="6"/>
            <w:shd w:val="clear" w:color="auto" w:fill="9CC2E5" w:themeFill="accent1" w:themeFillTint="99"/>
          </w:tcPr>
          <w:p w14:paraId="3A1F27D7" w14:textId="77777777" w:rsidR="00F02288" w:rsidRPr="00386862" w:rsidRDefault="00F02288" w:rsidP="001A5A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Nazwa</w:t>
            </w:r>
          </w:p>
        </w:tc>
        <w:tc>
          <w:tcPr>
            <w:tcW w:w="3973" w:type="dxa"/>
            <w:gridSpan w:val="2"/>
            <w:shd w:val="clear" w:color="auto" w:fill="9CC2E5" w:themeFill="accent1" w:themeFillTint="99"/>
          </w:tcPr>
          <w:p w14:paraId="58482950" w14:textId="77777777" w:rsidR="00F02288" w:rsidRPr="00386862" w:rsidRDefault="00F02288" w:rsidP="001A5A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Liczba osób starszych</w:t>
            </w:r>
          </w:p>
        </w:tc>
      </w:tr>
      <w:tr w:rsidR="00F02288" w:rsidRPr="00386862" w14:paraId="6AD19F8E" w14:textId="77777777" w:rsidTr="006F4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208B187"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28F6734"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A5ADA">
              <w:rPr>
                <w:rFonts w:ascii="Times New Roman" w:hAnsi="Times New Roman"/>
                <w:b/>
                <w:color w:val="auto"/>
              </w:rPr>
              <w:t>1.</w:t>
            </w:r>
            <w:r w:rsidRPr="00386862">
              <w:rPr>
                <w:rFonts w:ascii="Times New Roman" w:hAnsi="Times New Roman"/>
                <w:color w:val="auto"/>
              </w:rPr>
              <w:t xml:space="preserve"> Choroby układu krążenia</w:t>
            </w:r>
          </w:p>
        </w:tc>
        <w:tc>
          <w:tcPr>
            <w:tcW w:w="3973" w:type="dxa"/>
            <w:gridSpan w:val="2"/>
            <w:shd w:val="clear" w:color="auto" w:fill="FFFFFF" w:themeFill="background1"/>
          </w:tcPr>
          <w:p w14:paraId="42770397" w14:textId="77777777" w:rsidR="00F02288" w:rsidRPr="001A5ADA" w:rsidRDefault="00F02288"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A5ADA">
              <w:rPr>
                <w:rFonts w:ascii="Times New Roman" w:hAnsi="Times New Roman"/>
                <w:color w:val="auto"/>
              </w:rPr>
              <w:t>11</w:t>
            </w:r>
            <w:r w:rsidR="00844BCC" w:rsidRPr="001A5ADA">
              <w:rPr>
                <w:rFonts w:ascii="Times New Roman" w:hAnsi="Times New Roman"/>
                <w:color w:val="auto"/>
              </w:rPr>
              <w:t xml:space="preserve"> </w:t>
            </w:r>
            <w:r w:rsidRPr="001A5ADA">
              <w:rPr>
                <w:rFonts w:ascii="Times New Roman" w:hAnsi="Times New Roman"/>
                <w:color w:val="auto"/>
              </w:rPr>
              <w:t>639</w:t>
            </w:r>
          </w:p>
        </w:tc>
      </w:tr>
      <w:tr w:rsidR="00F02288" w:rsidRPr="00386862" w14:paraId="1ECCEC2D" w14:textId="77777777" w:rsidTr="006F415B">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6E2F36A"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BA0E17B"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A5ADA">
              <w:rPr>
                <w:rFonts w:ascii="Times New Roman" w:hAnsi="Times New Roman"/>
                <w:b/>
                <w:color w:val="auto"/>
              </w:rPr>
              <w:t>2.</w:t>
            </w:r>
            <w:r w:rsidRPr="00386862">
              <w:rPr>
                <w:rFonts w:ascii="Times New Roman" w:hAnsi="Times New Roman"/>
                <w:color w:val="auto"/>
              </w:rPr>
              <w:t xml:space="preserve"> Nowotwory</w:t>
            </w:r>
          </w:p>
        </w:tc>
        <w:tc>
          <w:tcPr>
            <w:tcW w:w="3973" w:type="dxa"/>
            <w:gridSpan w:val="2"/>
            <w:shd w:val="clear" w:color="auto" w:fill="FFFFFF" w:themeFill="background1"/>
          </w:tcPr>
          <w:p w14:paraId="75F6F975" w14:textId="77777777" w:rsidR="00F02288" w:rsidRPr="001A5ADA" w:rsidRDefault="00F02288" w:rsidP="001A5ADA">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A5ADA">
              <w:rPr>
                <w:rFonts w:ascii="Times New Roman" w:hAnsi="Times New Roman"/>
                <w:color w:val="auto"/>
              </w:rPr>
              <w:t>8</w:t>
            </w:r>
            <w:r w:rsidR="00844BCC" w:rsidRPr="001A5ADA">
              <w:rPr>
                <w:rFonts w:ascii="Times New Roman" w:hAnsi="Times New Roman"/>
                <w:color w:val="auto"/>
              </w:rPr>
              <w:t xml:space="preserve"> </w:t>
            </w:r>
            <w:r w:rsidRPr="001A5ADA">
              <w:rPr>
                <w:rFonts w:ascii="Times New Roman" w:hAnsi="Times New Roman"/>
                <w:color w:val="auto"/>
              </w:rPr>
              <w:t>430</w:t>
            </w:r>
          </w:p>
        </w:tc>
      </w:tr>
      <w:tr w:rsidR="00F02288" w:rsidRPr="00386862" w14:paraId="3D2AB653" w14:textId="77777777" w:rsidTr="006F4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68D38C4"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2C77671"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A5ADA">
              <w:rPr>
                <w:rFonts w:ascii="Times New Roman" w:hAnsi="Times New Roman"/>
                <w:b/>
                <w:color w:val="auto"/>
              </w:rPr>
              <w:t>3.</w:t>
            </w:r>
            <w:r w:rsidRPr="00386862">
              <w:rPr>
                <w:rFonts w:ascii="Times New Roman" w:hAnsi="Times New Roman"/>
                <w:color w:val="auto"/>
              </w:rPr>
              <w:t xml:space="preserve"> Objawy, cechy chorobowe oraz nieprawidłowe wyniki badań  laboratoryjnych i klinicznych  </w:t>
            </w:r>
          </w:p>
        </w:tc>
        <w:tc>
          <w:tcPr>
            <w:tcW w:w="3973" w:type="dxa"/>
            <w:gridSpan w:val="2"/>
            <w:shd w:val="clear" w:color="auto" w:fill="FFFFFF" w:themeFill="background1"/>
          </w:tcPr>
          <w:p w14:paraId="1917B295" w14:textId="77777777" w:rsidR="00F02288" w:rsidRPr="001A5ADA" w:rsidRDefault="00F02288"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A5ADA">
              <w:rPr>
                <w:rFonts w:ascii="Times New Roman" w:hAnsi="Times New Roman"/>
                <w:color w:val="auto"/>
              </w:rPr>
              <w:t>3</w:t>
            </w:r>
            <w:r w:rsidR="00844BCC" w:rsidRPr="001A5ADA">
              <w:rPr>
                <w:rFonts w:ascii="Times New Roman" w:hAnsi="Times New Roman"/>
                <w:color w:val="auto"/>
              </w:rPr>
              <w:t xml:space="preserve"> </w:t>
            </w:r>
            <w:r w:rsidRPr="001A5ADA">
              <w:rPr>
                <w:rFonts w:ascii="Times New Roman" w:hAnsi="Times New Roman"/>
                <w:color w:val="auto"/>
              </w:rPr>
              <w:t>525</w:t>
            </w:r>
          </w:p>
        </w:tc>
      </w:tr>
      <w:tr w:rsidR="00F02288" w:rsidRPr="00386862" w14:paraId="6819AB7C" w14:textId="77777777" w:rsidTr="006F415B">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AA170D6"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E727DB0"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A5ADA">
              <w:rPr>
                <w:rFonts w:ascii="Times New Roman" w:hAnsi="Times New Roman"/>
                <w:b/>
                <w:color w:val="auto"/>
              </w:rPr>
              <w:t>4.</w:t>
            </w:r>
            <w:r w:rsidRPr="00386862">
              <w:rPr>
                <w:rFonts w:ascii="Times New Roman" w:hAnsi="Times New Roman"/>
                <w:color w:val="auto"/>
              </w:rPr>
              <w:t xml:space="preserve"> Choroby układu oddechowego</w:t>
            </w:r>
          </w:p>
        </w:tc>
        <w:tc>
          <w:tcPr>
            <w:tcW w:w="3973" w:type="dxa"/>
            <w:gridSpan w:val="2"/>
            <w:shd w:val="clear" w:color="auto" w:fill="FFFFFF" w:themeFill="background1"/>
          </w:tcPr>
          <w:p w14:paraId="594C8867" w14:textId="77777777" w:rsidR="00F02288" w:rsidRPr="001A5ADA" w:rsidRDefault="00F02288" w:rsidP="001A5ADA">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A5ADA">
              <w:rPr>
                <w:rFonts w:ascii="Times New Roman" w:hAnsi="Times New Roman"/>
                <w:color w:val="auto"/>
              </w:rPr>
              <w:t>2</w:t>
            </w:r>
            <w:r w:rsidR="00844BCC" w:rsidRPr="001A5ADA">
              <w:rPr>
                <w:rFonts w:ascii="Times New Roman" w:hAnsi="Times New Roman"/>
                <w:color w:val="auto"/>
              </w:rPr>
              <w:t xml:space="preserve"> </w:t>
            </w:r>
            <w:r w:rsidRPr="001A5ADA">
              <w:rPr>
                <w:rFonts w:ascii="Times New Roman" w:hAnsi="Times New Roman"/>
                <w:color w:val="auto"/>
              </w:rPr>
              <w:t>262</w:t>
            </w:r>
          </w:p>
        </w:tc>
      </w:tr>
      <w:tr w:rsidR="00F02288" w:rsidRPr="00386862" w14:paraId="6E7ECC2A" w14:textId="77777777" w:rsidTr="006F415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BD4AC9B" w14:textId="77777777" w:rsidR="00F02288" w:rsidRPr="00386862" w:rsidRDefault="00F02288" w:rsidP="00386862">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8EE9A1C"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A5ADA">
              <w:rPr>
                <w:rFonts w:ascii="Times New Roman" w:hAnsi="Times New Roman"/>
                <w:b/>
                <w:color w:val="auto"/>
              </w:rPr>
              <w:t>5.</w:t>
            </w:r>
            <w:r w:rsidRPr="00386862">
              <w:rPr>
                <w:rFonts w:ascii="Times New Roman" w:hAnsi="Times New Roman"/>
                <w:color w:val="auto"/>
              </w:rPr>
              <w:t xml:space="preserve"> Zaburzenia wydzielania wewnętrznego,  stanu odżywienia i przemiany metabolicznej</w:t>
            </w:r>
          </w:p>
        </w:tc>
        <w:tc>
          <w:tcPr>
            <w:tcW w:w="3973" w:type="dxa"/>
            <w:gridSpan w:val="2"/>
            <w:shd w:val="clear" w:color="auto" w:fill="FFFFFF" w:themeFill="background1"/>
          </w:tcPr>
          <w:p w14:paraId="249B2247" w14:textId="77777777" w:rsidR="00F02288" w:rsidRPr="001A5ADA" w:rsidRDefault="00F02288"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A5ADA">
              <w:rPr>
                <w:rFonts w:ascii="Times New Roman" w:hAnsi="Times New Roman"/>
                <w:color w:val="auto"/>
              </w:rPr>
              <w:t>882</w:t>
            </w:r>
          </w:p>
        </w:tc>
      </w:tr>
      <w:tr w:rsidR="00F02288" w:rsidRPr="00386862" w14:paraId="710AF29C" w14:textId="77777777" w:rsidTr="006F415B">
        <w:trPr>
          <w:trHeight w:val="25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16B6750"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60672BDF" w14:textId="77777777" w:rsidR="00F02288" w:rsidRPr="00386862" w:rsidRDefault="00F02288" w:rsidP="00386862">
            <w:pPr>
              <w:tabs>
                <w:tab w:val="left" w:pos="129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A5ADA">
              <w:rPr>
                <w:rFonts w:ascii="Times New Roman" w:hAnsi="Times New Roman"/>
                <w:b/>
                <w:color w:val="auto"/>
              </w:rPr>
              <w:t>1.</w:t>
            </w:r>
            <w:r w:rsidRPr="00386862">
              <w:rPr>
                <w:rFonts w:ascii="Times New Roman" w:hAnsi="Times New Roman"/>
                <w:color w:val="auto"/>
              </w:rPr>
              <w:t xml:space="preserve"> Finansowe</w:t>
            </w:r>
          </w:p>
        </w:tc>
      </w:tr>
      <w:tr w:rsidR="00F02288" w:rsidRPr="00386862" w14:paraId="1BD096AD" w14:textId="77777777" w:rsidTr="006F415B">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C0A3A64" w14:textId="77777777" w:rsidR="00F02288" w:rsidRPr="00386862" w:rsidRDefault="00F02288" w:rsidP="00386862">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3F6EE193"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1A5ADA">
              <w:rPr>
                <w:rFonts w:ascii="Times New Roman" w:hAnsi="Times New Roman"/>
                <w:b/>
                <w:color w:val="auto"/>
              </w:rPr>
              <w:t>2.</w:t>
            </w:r>
            <w:r w:rsidRPr="00386862">
              <w:rPr>
                <w:rFonts w:ascii="Times New Roman" w:hAnsi="Times New Roman"/>
                <w:color w:val="auto"/>
              </w:rPr>
              <w:t xml:space="preserve"> Kadrowe</w:t>
            </w:r>
          </w:p>
        </w:tc>
      </w:tr>
      <w:tr w:rsidR="00F02288" w:rsidRPr="00386862" w14:paraId="64DF1E54" w14:textId="77777777" w:rsidTr="006F415B">
        <w:trPr>
          <w:trHeight w:val="25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C312F42" w14:textId="77777777" w:rsidR="00F02288" w:rsidRPr="00386862" w:rsidRDefault="00F02288" w:rsidP="00386862">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75EECA98"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1A5ADA">
              <w:rPr>
                <w:rFonts w:ascii="Times New Roman" w:hAnsi="Times New Roman"/>
                <w:b/>
                <w:color w:val="auto"/>
              </w:rPr>
              <w:t>3.</w:t>
            </w:r>
            <w:r w:rsidRPr="00386862">
              <w:rPr>
                <w:rFonts w:ascii="Times New Roman" w:hAnsi="Times New Roman"/>
                <w:color w:val="auto"/>
              </w:rPr>
              <w:t xml:space="preserve"> Rzeczowe</w:t>
            </w:r>
          </w:p>
        </w:tc>
      </w:tr>
      <w:tr w:rsidR="00F02288" w:rsidRPr="00386862" w14:paraId="0D8276BA" w14:textId="77777777" w:rsidTr="001A5ADA">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5E9B791F" w14:textId="77777777" w:rsidR="00F02288" w:rsidRPr="00386862" w:rsidRDefault="00F02288" w:rsidP="001A5ADA">
            <w:pPr>
              <w:spacing w:after="0" w:line="240" w:lineRule="auto"/>
              <w:jc w:val="center"/>
              <w:rPr>
                <w:rFonts w:ascii="Times New Roman" w:hAnsi="Times New Roman"/>
                <w:color w:val="auto"/>
              </w:rPr>
            </w:pPr>
            <w:r w:rsidRPr="00386862">
              <w:rPr>
                <w:rFonts w:ascii="Times New Roman" w:hAnsi="Times New Roman"/>
                <w:color w:val="auto"/>
                <w:lang w:eastAsia="pl-PL"/>
              </w:rPr>
              <w:t>AKTYWNOŚĆ EKONOMICZNA OSÓB STARSZYCH – DANE ZA 2019 R.</w:t>
            </w:r>
          </w:p>
        </w:tc>
      </w:tr>
      <w:tr w:rsidR="00F02288" w:rsidRPr="00386862" w14:paraId="614AC734" w14:textId="77777777" w:rsidTr="001A5ADA">
        <w:trPr>
          <w:trHeight w:val="224"/>
          <w:jc w:val="center"/>
        </w:trPr>
        <w:tc>
          <w:tcPr>
            <w:cnfStyle w:val="001000000000" w:firstRow="0" w:lastRow="0" w:firstColumn="1" w:lastColumn="0" w:oddVBand="0" w:evenVBand="0" w:oddHBand="0" w:evenHBand="0" w:firstRowFirstColumn="0" w:firstRowLastColumn="0" w:lastRowFirstColumn="0" w:lastRowLastColumn="0"/>
            <w:tcW w:w="6799" w:type="dxa"/>
            <w:gridSpan w:val="4"/>
            <w:shd w:val="clear" w:color="auto" w:fill="9CC2E5" w:themeFill="accent1" w:themeFillTint="99"/>
          </w:tcPr>
          <w:p w14:paraId="61117697" w14:textId="77777777" w:rsidR="00F02288" w:rsidRPr="00386862" w:rsidRDefault="00F02288" w:rsidP="001A5ADA">
            <w:pPr>
              <w:spacing w:after="0" w:line="240" w:lineRule="auto"/>
              <w:jc w:val="center"/>
              <w:rPr>
                <w:rFonts w:ascii="Times New Roman" w:hAnsi="Times New Roman"/>
                <w:color w:val="auto"/>
              </w:rPr>
            </w:pPr>
            <w:r w:rsidRPr="00386862">
              <w:rPr>
                <w:rFonts w:ascii="Times New Roman" w:hAnsi="Times New Roman"/>
                <w:color w:val="auto"/>
              </w:rPr>
              <w:t>Podział</w:t>
            </w:r>
          </w:p>
        </w:tc>
        <w:tc>
          <w:tcPr>
            <w:tcW w:w="7942" w:type="dxa"/>
            <w:gridSpan w:val="5"/>
            <w:shd w:val="clear" w:color="auto" w:fill="9CC2E5" w:themeFill="accent1" w:themeFillTint="99"/>
          </w:tcPr>
          <w:p w14:paraId="75FF6175" w14:textId="77777777" w:rsidR="00F02288" w:rsidRPr="00386862" w:rsidRDefault="00F02288" w:rsidP="001A5A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Liczba</w:t>
            </w:r>
          </w:p>
        </w:tc>
      </w:tr>
      <w:tr w:rsidR="00F02288" w:rsidRPr="00386862" w14:paraId="34E8AE0D" w14:textId="77777777" w:rsidTr="006F415B">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CC8FFEB"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hAnsi="Times New Roman"/>
                <w:color w:val="auto"/>
                <w:lang w:eastAsia="pl-PL"/>
              </w:rPr>
              <w:t>Osoby aktywne zawodowo razem (w tys.)</w:t>
            </w:r>
          </w:p>
        </w:tc>
        <w:tc>
          <w:tcPr>
            <w:tcW w:w="3969" w:type="dxa"/>
            <w:gridSpan w:val="3"/>
            <w:shd w:val="clear" w:color="auto" w:fill="FFFFFF" w:themeFill="background1"/>
          </w:tcPr>
          <w:p w14:paraId="160E8EAD"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ogółem</w:t>
            </w:r>
          </w:p>
        </w:tc>
        <w:tc>
          <w:tcPr>
            <w:tcW w:w="7942" w:type="dxa"/>
            <w:gridSpan w:val="5"/>
            <w:shd w:val="clear" w:color="auto" w:fill="FFFFFF" w:themeFill="background1"/>
          </w:tcPr>
          <w:p w14:paraId="47842E15" w14:textId="77777777" w:rsidR="00F02288" w:rsidRPr="00386862" w:rsidRDefault="00F02288"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w:t>
            </w:r>
            <w:r w:rsidR="00844BCC" w:rsidRPr="00386862">
              <w:rPr>
                <w:rFonts w:ascii="Times New Roman" w:hAnsi="Times New Roman"/>
                <w:color w:val="auto"/>
              </w:rPr>
              <w:t xml:space="preserve"> </w:t>
            </w:r>
            <w:r w:rsidRPr="00386862">
              <w:rPr>
                <w:rFonts w:ascii="Times New Roman" w:hAnsi="Times New Roman"/>
                <w:color w:val="auto"/>
              </w:rPr>
              <w:t>645</w:t>
            </w:r>
          </w:p>
        </w:tc>
      </w:tr>
      <w:tr w:rsidR="00F02288" w:rsidRPr="00386862" w14:paraId="0E207424" w14:textId="77777777" w:rsidTr="006F415B">
        <w:trPr>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D69FB11" w14:textId="77777777" w:rsidR="00F02288" w:rsidRPr="00386862" w:rsidRDefault="00F02288" w:rsidP="00386862">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45D1ACEB"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w tym w wieku 55 i więcej</w:t>
            </w:r>
          </w:p>
        </w:tc>
        <w:tc>
          <w:tcPr>
            <w:tcW w:w="7942" w:type="dxa"/>
            <w:gridSpan w:val="5"/>
            <w:shd w:val="clear" w:color="auto" w:fill="FFFFFF" w:themeFill="background1"/>
          </w:tcPr>
          <w:p w14:paraId="17E382DF" w14:textId="77777777" w:rsidR="00F02288" w:rsidRPr="00386862" w:rsidRDefault="00F02288" w:rsidP="001A5ADA">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259</w:t>
            </w:r>
          </w:p>
        </w:tc>
      </w:tr>
      <w:tr w:rsidR="00F02288" w:rsidRPr="00386862" w14:paraId="404D46E9" w14:textId="77777777" w:rsidTr="006F415B">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E14355D"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hAnsi="Times New Roman"/>
                <w:color w:val="auto"/>
                <w:lang w:eastAsia="pl-PL"/>
              </w:rPr>
              <w:t xml:space="preserve">Osoby aktywne zawodowo </w:t>
            </w:r>
            <w:r w:rsidRPr="00386862">
              <w:rPr>
                <w:rFonts w:ascii="Times New Roman" w:hAnsi="Times New Roman"/>
                <w:color w:val="auto"/>
                <w:lang w:eastAsia="pl-PL"/>
              </w:rPr>
              <w:br/>
              <w:t>– pracujący (w tys.)</w:t>
            </w:r>
          </w:p>
        </w:tc>
        <w:tc>
          <w:tcPr>
            <w:tcW w:w="3969" w:type="dxa"/>
            <w:gridSpan w:val="3"/>
            <w:shd w:val="clear" w:color="auto" w:fill="FFFFFF" w:themeFill="background1"/>
          </w:tcPr>
          <w:p w14:paraId="384FF1AD"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Ogółem</w:t>
            </w:r>
          </w:p>
        </w:tc>
        <w:tc>
          <w:tcPr>
            <w:tcW w:w="7942" w:type="dxa"/>
            <w:gridSpan w:val="5"/>
            <w:shd w:val="clear" w:color="auto" w:fill="FFFFFF" w:themeFill="background1"/>
          </w:tcPr>
          <w:p w14:paraId="6DF738DC" w14:textId="77777777" w:rsidR="00F02288" w:rsidRPr="00386862" w:rsidRDefault="00F02288"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w:t>
            </w:r>
            <w:r w:rsidR="00844BCC" w:rsidRPr="00386862">
              <w:rPr>
                <w:rFonts w:ascii="Times New Roman" w:hAnsi="Times New Roman"/>
                <w:color w:val="auto"/>
              </w:rPr>
              <w:t xml:space="preserve"> </w:t>
            </w:r>
            <w:r w:rsidRPr="00386862">
              <w:rPr>
                <w:rFonts w:ascii="Times New Roman" w:hAnsi="Times New Roman"/>
                <w:color w:val="auto"/>
              </w:rPr>
              <w:t>602</w:t>
            </w:r>
          </w:p>
        </w:tc>
      </w:tr>
      <w:tr w:rsidR="00F02288" w:rsidRPr="00386862" w14:paraId="1F6DDE2E" w14:textId="77777777" w:rsidTr="006F415B">
        <w:trPr>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FA61D34" w14:textId="77777777" w:rsidR="00F02288" w:rsidRPr="00386862" w:rsidRDefault="00F02288" w:rsidP="00386862">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52BB3572"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w tym w wieku 55 i więcej</w:t>
            </w:r>
          </w:p>
        </w:tc>
        <w:tc>
          <w:tcPr>
            <w:tcW w:w="7942" w:type="dxa"/>
            <w:gridSpan w:val="5"/>
            <w:shd w:val="clear" w:color="auto" w:fill="FFFFFF" w:themeFill="background1"/>
          </w:tcPr>
          <w:p w14:paraId="72FE436F" w14:textId="77777777" w:rsidR="00F02288" w:rsidRPr="00386862" w:rsidRDefault="00F02288" w:rsidP="001A5ADA">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256</w:t>
            </w:r>
          </w:p>
        </w:tc>
      </w:tr>
      <w:tr w:rsidR="00F02288" w:rsidRPr="00386862" w14:paraId="3827E5A3" w14:textId="77777777" w:rsidTr="006F415B">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4F15111"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hAnsi="Times New Roman"/>
                <w:color w:val="auto"/>
                <w:lang w:eastAsia="pl-PL"/>
              </w:rPr>
              <w:t>Osoby bierne zawodowo (w tys.)</w:t>
            </w:r>
          </w:p>
        </w:tc>
        <w:tc>
          <w:tcPr>
            <w:tcW w:w="3969" w:type="dxa"/>
            <w:gridSpan w:val="3"/>
            <w:shd w:val="clear" w:color="auto" w:fill="FFFFFF" w:themeFill="background1"/>
          </w:tcPr>
          <w:p w14:paraId="48BFE885"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ogółem</w:t>
            </w:r>
          </w:p>
        </w:tc>
        <w:tc>
          <w:tcPr>
            <w:tcW w:w="7942" w:type="dxa"/>
            <w:gridSpan w:val="5"/>
            <w:shd w:val="clear" w:color="auto" w:fill="FFFFFF" w:themeFill="background1"/>
          </w:tcPr>
          <w:p w14:paraId="05480D03" w14:textId="77777777" w:rsidR="00F02288" w:rsidRPr="00386862" w:rsidRDefault="00F02288"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w:t>
            </w:r>
            <w:r w:rsidR="00844BCC" w:rsidRPr="00386862">
              <w:rPr>
                <w:rFonts w:ascii="Times New Roman" w:hAnsi="Times New Roman"/>
                <w:color w:val="auto"/>
              </w:rPr>
              <w:t xml:space="preserve"> </w:t>
            </w:r>
            <w:r w:rsidRPr="00386862">
              <w:rPr>
                <w:rFonts w:ascii="Times New Roman" w:hAnsi="Times New Roman"/>
                <w:color w:val="auto"/>
              </w:rPr>
              <w:t>150</w:t>
            </w:r>
          </w:p>
        </w:tc>
      </w:tr>
      <w:tr w:rsidR="00F02288" w:rsidRPr="00386862" w14:paraId="6F5F0FB4" w14:textId="77777777" w:rsidTr="006F415B">
        <w:trPr>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DA164DF" w14:textId="77777777" w:rsidR="00F02288" w:rsidRPr="00386862" w:rsidRDefault="00F02288" w:rsidP="00386862">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63A7A3DD"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w tym w wieku 55 i więcej</w:t>
            </w:r>
          </w:p>
        </w:tc>
        <w:tc>
          <w:tcPr>
            <w:tcW w:w="7942" w:type="dxa"/>
            <w:gridSpan w:val="5"/>
            <w:shd w:val="clear" w:color="auto" w:fill="FFFFFF" w:themeFill="background1"/>
          </w:tcPr>
          <w:p w14:paraId="31464202" w14:textId="77777777" w:rsidR="00F02288" w:rsidRPr="00386862" w:rsidRDefault="00F02288" w:rsidP="001A5ADA">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755</w:t>
            </w:r>
          </w:p>
        </w:tc>
      </w:tr>
      <w:tr w:rsidR="00F02288" w:rsidRPr="00386862" w14:paraId="60A15BF1" w14:textId="77777777" w:rsidTr="006F415B">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CEA6973"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hAnsi="Times New Roman"/>
                <w:color w:val="auto"/>
                <w:lang w:eastAsia="pl-PL"/>
              </w:rPr>
              <w:t>Współczynnik aktywności zawodowej %</w:t>
            </w:r>
          </w:p>
        </w:tc>
        <w:tc>
          <w:tcPr>
            <w:tcW w:w="3969" w:type="dxa"/>
            <w:gridSpan w:val="3"/>
            <w:shd w:val="clear" w:color="auto" w:fill="FFFFFF" w:themeFill="background1"/>
          </w:tcPr>
          <w:p w14:paraId="37DC1A66"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Ogółem</w:t>
            </w:r>
          </w:p>
        </w:tc>
        <w:tc>
          <w:tcPr>
            <w:tcW w:w="7942" w:type="dxa"/>
            <w:gridSpan w:val="5"/>
            <w:shd w:val="clear" w:color="auto" w:fill="FFFFFF" w:themeFill="background1"/>
          </w:tcPr>
          <w:p w14:paraId="11ED88AF" w14:textId="77777777" w:rsidR="00F02288" w:rsidRPr="00386862" w:rsidRDefault="00F02288"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58,9</w:t>
            </w:r>
          </w:p>
        </w:tc>
      </w:tr>
      <w:tr w:rsidR="00F02288" w:rsidRPr="00386862" w14:paraId="2F305F43" w14:textId="77777777" w:rsidTr="006F415B">
        <w:trPr>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9511980" w14:textId="77777777" w:rsidR="00F02288" w:rsidRPr="00386862" w:rsidRDefault="00F02288" w:rsidP="00386862">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274BFB06"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w tym w wieku 55 i więcej</w:t>
            </w:r>
          </w:p>
        </w:tc>
        <w:tc>
          <w:tcPr>
            <w:tcW w:w="7942" w:type="dxa"/>
            <w:gridSpan w:val="5"/>
            <w:shd w:val="clear" w:color="auto" w:fill="FFFFFF" w:themeFill="background1"/>
          </w:tcPr>
          <w:p w14:paraId="28E9DF83" w14:textId="77777777" w:rsidR="00F02288" w:rsidRPr="00386862" w:rsidRDefault="00F02288" w:rsidP="001A5ADA">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25,5</w:t>
            </w:r>
          </w:p>
        </w:tc>
      </w:tr>
      <w:tr w:rsidR="00F02288" w:rsidRPr="00386862" w14:paraId="392EAEF2" w14:textId="77777777" w:rsidTr="006F415B">
        <w:trPr>
          <w:cnfStyle w:val="000000100000" w:firstRow="0" w:lastRow="0" w:firstColumn="0" w:lastColumn="0" w:oddVBand="0" w:evenVBand="0" w:oddHBand="1" w:evenHBand="0" w:firstRowFirstColumn="0" w:firstRowLastColumn="0" w:lastRowFirstColumn="0" w:lastRowLastColumn="0"/>
          <w:trHeight w:val="14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DC3496E"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hAnsi="Times New Roman"/>
                <w:color w:val="auto"/>
                <w:lang w:eastAsia="pl-PL"/>
              </w:rPr>
              <w:t>Wskaźnik zatrudnienia %</w:t>
            </w:r>
          </w:p>
        </w:tc>
        <w:tc>
          <w:tcPr>
            <w:tcW w:w="3969" w:type="dxa"/>
            <w:gridSpan w:val="3"/>
            <w:shd w:val="clear" w:color="auto" w:fill="FFFFFF" w:themeFill="background1"/>
          </w:tcPr>
          <w:p w14:paraId="77E4F4B9"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ogółem</w:t>
            </w:r>
          </w:p>
        </w:tc>
        <w:tc>
          <w:tcPr>
            <w:tcW w:w="7942" w:type="dxa"/>
            <w:gridSpan w:val="5"/>
            <w:shd w:val="clear" w:color="auto" w:fill="FFFFFF" w:themeFill="background1"/>
          </w:tcPr>
          <w:p w14:paraId="258D4F7A" w14:textId="77777777" w:rsidR="00F02288" w:rsidRPr="00386862" w:rsidRDefault="00F02288"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57,3</w:t>
            </w:r>
          </w:p>
        </w:tc>
      </w:tr>
      <w:tr w:rsidR="00F02288" w:rsidRPr="00386862" w14:paraId="0486C623" w14:textId="77777777" w:rsidTr="006F415B">
        <w:trPr>
          <w:trHeight w:val="1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EFA5986" w14:textId="77777777" w:rsidR="00F02288" w:rsidRPr="00386862" w:rsidRDefault="00F02288" w:rsidP="00386862">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75493AD3"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w tym w wieku 55 i więcej</w:t>
            </w:r>
          </w:p>
        </w:tc>
        <w:tc>
          <w:tcPr>
            <w:tcW w:w="7942" w:type="dxa"/>
            <w:gridSpan w:val="5"/>
            <w:shd w:val="clear" w:color="auto" w:fill="FFFFFF" w:themeFill="background1"/>
          </w:tcPr>
          <w:p w14:paraId="1562A5FE" w14:textId="77777777" w:rsidR="00F02288" w:rsidRPr="00386862" w:rsidRDefault="00F02288" w:rsidP="001A5ADA">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25,2</w:t>
            </w:r>
          </w:p>
        </w:tc>
      </w:tr>
      <w:tr w:rsidR="00F02288" w:rsidRPr="00386862" w14:paraId="7ECA4D0D" w14:textId="77777777" w:rsidTr="006F415B">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16BDD6B"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eastAsia="Times New Roman" w:hAnsi="Times New Roman"/>
                <w:color w:val="auto"/>
                <w:lang w:eastAsia="pl-PL"/>
              </w:rPr>
              <w:t xml:space="preserve">Osoby bierne zawodowo  w wieku 60 lat i więcej według wybranych </w:t>
            </w:r>
            <w:r w:rsidRPr="00386862">
              <w:rPr>
                <w:rFonts w:ascii="Times New Roman" w:eastAsia="Times New Roman" w:hAnsi="Times New Roman"/>
                <w:color w:val="auto"/>
                <w:lang w:eastAsia="pl-PL"/>
              </w:rPr>
              <w:lastRenderedPageBreak/>
              <w:t xml:space="preserve">przyczyn bierności </w:t>
            </w:r>
            <w:r w:rsidRPr="00386862">
              <w:rPr>
                <w:rFonts w:ascii="Times New Roman" w:eastAsia="Times New Roman" w:hAnsi="Times New Roman"/>
                <w:color w:val="auto"/>
                <w:lang w:eastAsia="pl-PL"/>
              </w:rPr>
              <w:br/>
              <w:t>(w tys.)</w:t>
            </w:r>
          </w:p>
        </w:tc>
        <w:tc>
          <w:tcPr>
            <w:tcW w:w="3969" w:type="dxa"/>
            <w:gridSpan w:val="3"/>
            <w:shd w:val="clear" w:color="auto" w:fill="FFFFFF" w:themeFill="background1"/>
          </w:tcPr>
          <w:p w14:paraId="621A2E42"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lastRenderedPageBreak/>
              <w:t>ogółem</w:t>
            </w:r>
          </w:p>
        </w:tc>
        <w:tc>
          <w:tcPr>
            <w:tcW w:w="7942" w:type="dxa"/>
            <w:gridSpan w:val="5"/>
            <w:shd w:val="clear" w:color="auto" w:fill="FFFFFF" w:themeFill="background1"/>
          </w:tcPr>
          <w:p w14:paraId="216D7265" w14:textId="03C71EB7" w:rsidR="00F02288" w:rsidRPr="00386862" w:rsidRDefault="00BC53DA"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b</w:t>
            </w:r>
            <w:r w:rsidR="00F02288" w:rsidRPr="00386862">
              <w:rPr>
                <w:rFonts w:ascii="Times New Roman" w:hAnsi="Times New Roman"/>
                <w:color w:val="auto"/>
              </w:rPr>
              <w:t>rak danych</w:t>
            </w:r>
          </w:p>
        </w:tc>
      </w:tr>
      <w:tr w:rsidR="00F02288" w:rsidRPr="00386862" w14:paraId="70FEB70E" w14:textId="77777777" w:rsidTr="001A5ADA">
        <w:trPr>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1FAED0D"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0264D2FC" w14:textId="77777777" w:rsidR="00F02288" w:rsidRPr="00386862" w:rsidRDefault="00F02288" w:rsidP="00386862">
            <w:pPr>
              <w:spacing w:after="0" w:line="240" w:lineRule="auto"/>
              <w:ind w:right="1701"/>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w tym:</w:t>
            </w:r>
          </w:p>
        </w:tc>
      </w:tr>
      <w:tr w:rsidR="00F02288" w:rsidRPr="00386862" w14:paraId="609D46E6" w14:textId="77777777" w:rsidTr="006F415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6C1860D"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79409C20"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olor w:val="auto"/>
                <w:lang w:eastAsia="pl-PL"/>
              </w:rPr>
            </w:pPr>
            <w:r w:rsidRPr="00386862">
              <w:rPr>
                <w:rFonts w:ascii="Times New Roman" w:eastAsia="Times New Roman" w:hAnsi="Times New Roman"/>
                <w:color w:val="auto"/>
                <w:lang w:eastAsia="pl-PL"/>
              </w:rPr>
              <w:t>osoby nieposzukujące pracy - razem</w:t>
            </w:r>
          </w:p>
        </w:tc>
        <w:tc>
          <w:tcPr>
            <w:tcW w:w="7942" w:type="dxa"/>
            <w:gridSpan w:val="5"/>
            <w:shd w:val="clear" w:color="auto" w:fill="FFFFFF" w:themeFill="background1"/>
          </w:tcPr>
          <w:p w14:paraId="3EB27E1F" w14:textId="7B452670" w:rsidR="00F02288" w:rsidRPr="00386862" w:rsidRDefault="00BC53DA"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b</w:t>
            </w:r>
            <w:r w:rsidR="00F02288" w:rsidRPr="00386862">
              <w:rPr>
                <w:rFonts w:ascii="Times New Roman" w:hAnsi="Times New Roman"/>
                <w:color w:val="auto"/>
              </w:rPr>
              <w:t>rak danych</w:t>
            </w:r>
          </w:p>
        </w:tc>
      </w:tr>
      <w:tr w:rsidR="00F02288" w:rsidRPr="00386862" w14:paraId="06DB5FC9" w14:textId="77777777" w:rsidTr="006F415B">
        <w:trPr>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CB5C504"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3453EDAA"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eastAsia="Times New Roman" w:hAnsi="Times New Roman"/>
                <w:color w:val="auto"/>
                <w:lang w:eastAsia="pl-PL"/>
              </w:rPr>
              <w:t>osoby nieposzukujące pracy - emerytura</w:t>
            </w:r>
          </w:p>
        </w:tc>
        <w:tc>
          <w:tcPr>
            <w:tcW w:w="7942" w:type="dxa"/>
            <w:gridSpan w:val="5"/>
            <w:shd w:val="clear" w:color="auto" w:fill="FFFFFF" w:themeFill="background1"/>
          </w:tcPr>
          <w:p w14:paraId="12D169FA" w14:textId="1C4D792C" w:rsidR="00F02288" w:rsidRPr="00386862" w:rsidRDefault="00BC53DA" w:rsidP="001A5ADA">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b</w:t>
            </w:r>
            <w:r w:rsidR="00F02288" w:rsidRPr="00386862">
              <w:rPr>
                <w:rFonts w:ascii="Times New Roman" w:hAnsi="Times New Roman"/>
                <w:color w:val="auto"/>
              </w:rPr>
              <w:t>rak danych</w:t>
            </w:r>
          </w:p>
        </w:tc>
      </w:tr>
      <w:tr w:rsidR="00F02288" w:rsidRPr="00386862" w14:paraId="5800B4EC" w14:textId="77777777" w:rsidTr="006F415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8F64BD5"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0BC7EB7F"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eastAsia="Times New Roman" w:hAnsi="Times New Roman"/>
                <w:color w:val="auto"/>
                <w:lang w:eastAsia="pl-PL"/>
              </w:rPr>
              <w:t>osoby nieposzukujące pracy - choroba, niepełnosprawność</w:t>
            </w:r>
          </w:p>
        </w:tc>
        <w:tc>
          <w:tcPr>
            <w:tcW w:w="7942" w:type="dxa"/>
            <w:gridSpan w:val="5"/>
            <w:shd w:val="clear" w:color="auto" w:fill="FFFFFF" w:themeFill="background1"/>
          </w:tcPr>
          <w:p w14:paraId="0FA214B2" w14:textId="30658554" w:rsidR="00F02288" w:rsidRPr="00386862" w:rsidRDefault="00BC53DA"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b</w:t>
            </w:r>
            <w:r w:rsidR="00F02288" w:rsidRPr="00386862">
              <w:rPr>
                <w:rFonts w:ascii="Times New Roman" w:hAnsi="Times New Roman"/>
                <w:color w:val="auto"/>
              </w:rPr>
              <w:t>rak danych</w:t>
            </w:r>
          </w:p>
        </w:tc>
      </w:tr>
      <w:tr w:rsidR="00F02288" w:rsidRPr="00386862" w14:paraId="7E213EBD" w14:textId="77777777" w:rsidTr="006F415B">
        <w:trPr>
          <w:trHeight w:val="285"/>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E29ADC8"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r w:rsidRPr="00386862">
              <w:rPr>
                <w:rFonts w:ascii="Times New Roman" w:eastAsia="Times New Roman" w:hAnsi="Times New Roman"/>
                <w:color w:val="auto"/>
                <w:lang w:eastAsia="pl-PL"/>
              </w:rPr>
              <w:t>Osoby bezrobotne zarejestrowane w urzędach pracy (w tys.)</w:t>
            </w:r>
          </w:p>
        </w:tc>
        <w:tc>
          <w:tcPr>
            <w:tcW w:w="3969" w:type="dxa"/>
            <w:gridSpan w:val="3"/>
            <w:shd w:val="clear" w:color="auto" w:fill="FFFFFF" w:themeFill="background1"/>
          </w:tcPr>
          <w:p w14:paraId="0FFCA8A7"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ogółem</w:t>
            </w:r>
          </w:p>
        </w:tc>
        <w:tc>
          <w:tcPr>
            <w:tcW w:w="7942" w:type="dxa"/>
            <w:gridSpan w:val="5"/>
            <w:shd w:val="clear" w:color="auto" w:fill="FFFFFF" w:themeFill="background1"/>
          </w:tcPr>
          <w:p w14:paraId="6ADEBDB8" w14:textId="77777777" w:rsidR="00F02288" w:rsidRPr="00386862" w:rsidRDefault="00F02288" w:rsidP="001A5ADA">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46,3</w:t>
            </w:r>
          </w:p>
        </w:tc>
      </w:tr>
      <w:tr w:rsidR="00F02288" w:rsidRPr="00386862" w14:paraId="00502C07" w14:textId="77777777" w:rsidTr="006F415B">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C70E573"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721F524D"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w tym w wieku 60+</w:t>
            </w:r>
          </w:p>
        </w:tc>
        <w:tc>
          <w:tcPr>
            <w:tcW w:w="7942" w:type="dxa"/>
            <w:gridSpan w:val="5"/>
            <w:shd w:val="clear" w:color="auto" w:fill="FFFFFF" w:themeFill="background1"/>
          </w:tcPr>
          <w:p w14:paraId="36A558E5" w14:textId="77777777" w:rsidR="00F02288" w:rsidRPr="00386862" w:rsidRDefault="00F02288"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2,9</w:t>
            </w:r>
          </w:p>
        </w:tc>
      </w:tr>
      <w:tr w:rsidR="00F02288" w:rsidRPr="00386862" w14:paraId="3E79D17A" w14:textId="77777777" w:rsidTr="001A5ADA">
        <w:trPr>
          <w:trHeight w:val="191"/>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EB5AC10"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r w:rsidRPr="00386862">
              <w:rPr>
                <w:rFonts w:ascii="Times New Roman" w:eastAsia="Times New Roman" w:hAnsi="Times New Roman"/>
                <w:color w:val="auto"/>
                <w:lang w:eastAsia="pl-PL"/>
              </w:rPr>
              <w:t xml:space="preserve">Osoby pobierające renty </w:t>
            </w:r>
            <w:r w:rsidRPr="00386862">
              <w:rPr>
                <w:rFonts w:ascii="Times New Roman" w:eastAsia="Times New Roman" w:hAnsi="Times New Roman"/>
                <w:color w:val="auto"/>
                <w:lang w:eastAsia="pl-PL"/>
              </w:rPr>
              <w:br/>
              <w:t xml:space="preserve">i emerytury </w:t>
            </w:r>
          </w:p>
        </w:tc>
        <w:tc>
          <w:tcPr>
            <w:tcW w:w="11911" w:type="dxa"/>
            <w:gridSpan w:val="8"/>
            <w:shd w:val="clear" w:color="auto" w:fill="9CC2E5" w:themeFill="accent1" w:themeFillTint="99"/>
          </w:tcPr>
          <w:p w14:paraId="3A969909" w14:textId="77777777" w:rsidR="00F02288" w:rsidRPr="001A5ADA" w:rsidRDefault="001A5ADA" w:rsidP="001A5ADA">
            <w:pPr>
              <w:tabs>
                <w:tab w:val="left" w:pos="5370"/>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Pr>
                <w:rFonts w:ascii="Times New Roman" w:hAnsi="Times New Roman"/>
                <w:b/>
                <w:color w:val="auto"/>
              </w:rPr>
              <w:t>ZUS</w:t>
            </w:r>
          </w:p>
        </w:tc>
      </w:tr>
      <w:tr w:rsidR="00F02288" w:rsidRPr="00386862" w14:paraId="0F4D1AC3" w14:textId="77777777" w:rsidTr="001A5ADA">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265FBAD"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7D750B30" w14:textId="77777777" w:rsidR="00F02288" w:rsidRPr="001A5ADA" w:rsidRDefault="00F02288" w:rsidP="001A5A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1A5ADA">
              <w:rPr>
                <w:rFonts w:ascii="Times New Roman" w:hAnsi="Times New Roman"/>
                <w:b/>
                <w:color w:val="auto"/>
              </w:rPr>
              <w:t>Rodzaj świadczenia</w:t>
            </w:r>
          </w:p>
        </w:tc>
        <w:tc>
          <w:tcPr>
            <w:tcW w:w="7942" w:type="dxa"/>
            <w:gridSpan w:val="5"/>
            <w:shd w:val="clear" w:color="auto" w:fill="9CC2E5" w:themeFill="accent1" w:themeFillTint="99"/>
          </w:tcPr>
          <w:p w14:paraId="0E3B2D7F" w14:textId="77777777" w:rsidR="00F02288" w:rsidRPr="001A5ADA" w:rsidRDefault="00F02288" w:rsidP="001A5ADA">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1A5ADA">
              <w:rPr>
                <w:rFonts w:ascii="Times New Roman" w:hAnsi="Times New Roman"/>
                <w:b/>
                <w:color w:val="auto"/>
              </w:rPr>
              <w:t>Przeciętna miesięczna liczba emerytów i rencistów (w tys.)</w:t>
            </w:r>
          </w:p>
        </w:tc>
      </w:tr>
      <w:tr w:rsidR="00F02288" w:rsidRPr="00386862" w14:paraId="5B324A21" w14:textId="77777777" w:rsidTr="006F415B">
        <w:trPr>
          <w:trHeight w:val="143"/>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C08521B"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0642902E"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Emerytury</w:t>
            </w:r>
          </w:p>
        </w:tc>
        <w:tc>
          <w:tcPr>
            <w:tcW w:w="7942" w:type="dxa"/>
            <w:gridSpan w:val="5"/>
            <w:shd w:val="clear" w:color="auto" w:fill="FFFFFF" w:themeFill="background1"/>
          </w:tcPr>
          <w:p w14:paraId="42A1FB4B" w14:textId="77777777" w:rsidR="00F02288" w:rsidRPr="00386862" w:rsidRDefault="00F02288" w:rsidP="001A5ADA">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480,8</w:t>
            </w:r>
          </w:p>
        </w:tc>
      </w:tr>
      <w:tr w:rsidR="00F02288" w:rsidRPr="00386862" w14:paraId="123FCE96" w14:textId="77777777" w:rsidTr="006F415B">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352C4AE"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0950283F"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Renty z tytułu niezdolności do pracy</w:t>
            </w:r>
          </w:p>
        </w:tc>
        <w:tc>
          <w:tcPr>
            <w:tcW w:w="7942" w:type="dxa"/>
            <w:gridSpan w:val="5"/>
            <w:shd w:val="clear" w:color="auto" w:fill="FFFFFF" w:themeFill="background1"/>
          </w:tcPr>
          <w:p w14:paraId="6324B4FA" w14:textId="77777777" w:rsidR="00F02288" w:rsidRPr="00386862" w:rsidRDefault="00F02288" w:rsidP="001A5ADA">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79,1</w:t>
            </w:r>
          </w:p>
        </w:tc>
      </w:tr>
      <w:tr w:rsidR="00F02288" w:rsidRPr="00386862" w14:paraId="5F09E157" w14:textId="77777777" w:rsidTr="006F415B">
        <w:trPr>
          <w:trHeight w:val="1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4E51C52"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547C48BC"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Renty rodzinne</w:t>
            </w:r>
          </w:p>
        </w:tc>
        <w:tc>
          <w:tcPr>
            <w:tcW w:w="7942" w:type="dxa"/>
            <w:gridSpan w:val="5"/>
            <w:shd w:val="clear" w:color="auto" w:fill="FFFFFF" w:themeFill="background1"/>
          </w:tcPr>
          <w:p w14:paraId="3EFF310F" w14:textId="77777777" w:rsidR="00F02288" w:rsidRPr="00386862" w:rsidRDefault="00F02288" w:rsidP="001A5ADA">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113,5</w:t>
            </w:r>
          </w:p>
        </w:tc>
      </w:tr>
      <w:tr w:rsidR="00F02288" w:rsidRPr="00386862" w14:paraId="5A99DDA9" w14:textId="77777777" w:rsidTr="001A5ADA">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916BF18"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18ADB232" w14:textId="77777777" w:rsidR="00F02288" w:rsidRPr="001A5ADA" w:rsidRDefault="001A5ADA" w:rsidP="007B46A6">
            <w:pPr>
              <w:tabs>
                <w:tab w:val="left" w:pos="3195"/>
                <w:tab w:val="center" w:pos="5847"/>
                <w:tab w:val="left" w:pos="9660"/>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1A5ADA">
              <w:rPr>
                <w:rFonts w:ascii="Times New Roman" w:hAnsi="Times New Roman"/>
                <w:b/>
                <w:bCs/>
                <w:color w:val="auto"/>
              </w:rPr>
              <w:t>KRUS</w:t>
            </w:r>
          </w:p>
        </w:tc>
      </w:tr>
      <w:tr w:rsidR="00F02288" w:rsidRPr="00386862" w14:paraId="58C6528D" w14:textId="77777777" w:rsidTr="001A5ADA">
        <w:trPr>
          <w:trHeight w:val="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BD990C2"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44933FB0" w14:textId="77777777" w:rsidR="00F02288" w:rsidRPr="001A5ADA" w:rsidRDefault="00F02288" w:rsidP="001A5A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1A5ADA">
              <w:rPr>
                <w:rFonts w:ascii="Times New Roman" w:hAnsi="Times New Roman"/>
                <w:b/>
                <w:color w:val="auto"/>
              </w:rPr>
              <w:t>Rodzaj świadczenia</w:t>
            </w:r>
          </w:p>
        </w:tc>
        <w:tc>
          <w:tcPr>
            <w:tcW w:w="7942" w:type="dxa"/>
            <w:gridSpan w:val="5"/>
            <w:shd w:val="clear" w:color="auto" w:fill="9CC2E5" w:themeFill="accent1" w:themeFillTint="99"/>
          </w:tcPr>
          <w:p w14:paraId="5FFF1B47" w14:textId="77777777" w:rsidR="00F02288" w:rsidRPr="001A5ADA" w:rsidRDefault="00F02288" w:rsidP="001A5ADA">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1A5ADA">
              <w:rPr>
                <w:rFonts w:ascii="Times New Roman" w:hAnsi="Times New Roman"/>
                <w:b/>
                <w:color w:val="auto"/>
              </w:rPr>
              <w:t>Przeciętna miesięczna liczba emerytów i rencistów (w tys.)</w:t>
            </w:r>
          </w:p>
        </w:tc>
      </w:tr>
      <w:tr w:rsidR="00F02288" w:rsidRPr="00386862" w14:paraId="03F0831C" w14:textId="77777777" w:rsidTr="006F415B">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B59CA4E"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4EB2FF6E"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Emerytury</w:t>
            </w:r>
          </w:p>
        </w:tc>
        <w:tc>
          <w:tcPr>
            <w:tcW w:w="7942" w:type="dxa"/>
            <w:gridSpan w:val="5"/>
            <w:shd w:val="clear" w:color="auto" w:fill="FFFFFF" w:themeFill="background1"/>
          </w:tcPr>
          <w:p w14:paraId="43FE0AC8" w14:textId="77777777" w:rsidR="00F02288" w:rsidRPr="00386862" w:rsidRDefault="00F02288" w:rsidP="007B46A6">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88,4</w:t>
            </w:r>
          </w:p>
        </w:tc>
      </w:tr>
      <w:tr w:rsidR="00F02288" w:rsidRPr="00386862" w14:paraId="5A669056" w14:textId="77777777" w:rsidTr="006F415B">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CE28497"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59057044"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Renty z tytułu niezdolności do pracy</w:t>
            </w:r>
          </w:p>
        </w:tc>
        <w:tc>
          <w:tcPr>
            <w:tcW w:w="7942" w:type="dxa"/>
            <w:gridSpan w:val="5"/>
            <w:shd w:val="clear" w:color="auto" w:fill="FFFFFF" w:themeFill="background1"/>
          </w:tcPr>
          <w:p w14:paraId="40B0D19F" w14:textId="77777777" w:rsidR="00F02288" w:rsidRPr="00386862" w:rsidRDefault="00F02288" w:rsidP="007B46A6">
            <w:pPr>
              <w:spacing w:after="0" w:line="240" w:lineRule="auto"/>
              <w:ind w:right="170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21,9</w:t>
            </w:r>
          </w:p>
        </w:tc>
      </w:tr>
      <w:tr w:rsidR="00F02288" w:rsidRPr="00386862" w14:paraId="3A793ADF" w14:textId="77777777" w:rsidTr="006F415B">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BBC0956"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67BEF6C4"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Renty rodzinne</w:t>
            </w:r>
          </w:p>
        </w:tc>
        <w:tc>
          <w:tcPr>
            <w:tcW w:w="7942" w:type="dxa"/>
            <w:gridSpan w:val="5"/>
            <w:shd w:val="clear" w:color="auto" w:fill="FFFFFF" w:themeFill="background1"/>
          </w:tcPr>
          <w:p w14:paraId="240DA4D5" w14:textId="77777777" w:rsidR="00F02288" w:rsidRPr="00386862" w:rsidRDefault="00F02288" w:rsidP="007B46A6">
            <w:pPr>
              <w:spacing w:after="0" w:line="240" w:lineRule="auto"/>
              <w:ind w:right="1701"/>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4,7</w:t>
            </w:r>
          </w:p>
        </w:tc>
      </w:tr>
      <w:tr w:rsidR="00F02288" w:rsidRPr="00386862" w14:paraId="095C6C21" w14:textId="77777777" w:rsidTr="007B46A6">
        <w:trPr>
          <w:trHeight w:val="79"/>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57D45F64" w14:textId="77777777" w:rsidR="00F02288" w:rsidRPr="00386862" w:rsidRDefault="00F02288" w:rsidP="007B46A6">
            <w:pPr>
              <w:spacing w:after="0" w:line="240" w:lineRule="auto"/>
              <w:jc w:val="center"/>
              <w:rPr>
                <w:rFonts w:ascii="Times New Roman" w:hAnsi="Times New Roman"/>
                <w:color w:val="auto"/>
              </w:rPr>
            </w:pPr>
            <w:r w:rsidRPr="00386862">
              <w:rPr>
                <w:rFonts w:ascii="Times New Roman" w:hAnsi="Times New Roman"/>
                <w:color w:val="auto"/>
              </w:rPr>
              <w:t>SYTUACJA DOCHODOWA, WARUNKI BYTU, W TYM WARUNKI MIESZKANIOWE – DANE ZA 2019 R,</w:t>
            </w:r>
          </w:p>
        </w:tc>
      </w:tr>
      <w:tr w:rsidR="00F02288" w:rsidRPr="00386862" w14:paraId="36D6F4F9" w14:textId="77777777" w:rsidTr="006F415B">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FFFFFF" w:themeFill="background1"/>
          </w:tcPr>
          <w:p w14:paraId="39ACD793" w14:textId="77777777" w:rsidR="00F02288" w:rsidRPr="006F415B" w:rsidRDefault="00F02288" w:rsidP="00386862">
            <w:pPr>
              <w:spacing w:after="0" w:line="240" w:lineRule="auto"/>
              <w:rPr>
                <w:rFonts w:ascii="Times New Roman" w:hAnsi="Times New Roman"/>
                <w:b w:val="0"/>
                <w:color w:val="auto"/>
              </w:rPr>
            </w:pPr>
            <w:r w:rsidRPr="006F415B">
              <w:rPr>
                <w:rFonts w:ascii="Times New Roman" w:hAnsi="Times New Roman"/>
                <w:b w:val="0"/>
                <w:color w:val="auto"/>
              </w:rPr>
              <w:t xml:space="preserve"> ZAŁĄCZNIK nr 1</w:t>
            </w:r>
          </w:p>
        </w:tc>
      </w:tr>
      <w:tr w:rsidR="00F02288" w:rsidRPr="00386862" w14:paraId="3C6E4029" w14:textId="77777777" w:rsidTr="007B46A6">
        <w:trPr>
          <w:trHeight w:val="79"/>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6F80D4BD" w14:textId="77777777" w:rsidR="00F02288" w:rsidRPr="00386862" w:rsidRDefault="00F02288" w:rsidP="007B46A6">
            <w:pPr>
              <w:spacing w:after="0" w:line="240" w:lineRule="auto"/>
              <w:jc w:val="center"/>
              <w:rPr>
                <w:rFonts w:ascii="Times New Roman" w:hAnsi="Times New Roman"/>
                <w:color w:val="auto"/>
              </w:rPr>
            </w:pPr>
            <w:r w:rsidRPr="00386862">
              <w:rPr>
                <w:rFonts w:ascii="Times New Roman" w:hAnsi="Times New Roman"/>
                <w:color w:val="auto"/>
              </w:rPr>
              <w:t>USŁUGI SPOŁECZNE DLA OSÓB STARSZYCH / INFRASTRUKTURA POMOCY SPOLECZNEJ – DANE ZA 2019 R.</w:t>
            </w:r>
          </w:p>
        </w:tc>
      </w:tr>
      <w:tr w:rsidR="00F02288" w:rsidRPr="00386862" w14:paraId="4F07456F" w14:textId="77777777" w:rsidTr="007B46A6">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CA03524" w14:textId="77777777" w:rsidR="00F02288" w:rsidRPr="00386862" w:rsidRDefault="00F02288" w:rsidP="00386862">
            <w:pPr>
              <w:spacing w:after="0" w:line="240" w:lineRule="auto"/>
              <w:rPr>
                <w:rFonts w:ascii="Times New Roman" w:eastAsia="Times New Roman" w:hAnsi="Times New Roman"/>
                <w:color w:val="auto"/>
                <w:lang w:eastAsia="pl-PL"/>
              </w:rPr>
            </w:pPr>
            <w:r w:rsidRPr="00386862">
              <w:rPr>
                <w:rFonts w:ascii="Times New Roman" w:eastAsia="Times New Roman" w:hAnsi="Times New Roman"/>
                <w:color w:val="auto"/>
                <w:lang w:eastAsia="pl-PL"/>
              </w:rPr>
              <w:t>Instytucje pomocy społecznej, w tym:</w:t>
            </w:r>
          </w:p>
        </w:tc>
        <w:tc>
          <w:tcPr>
            <w:tcW w:w="3066" w:type="dxa"/>
            <w:shd w:val="clear" w:color="auto" w:fill="9CC2E5" w:themeFill="accent1" w:themeFillTint="99"/>
          </w:tcPr>
          <w:p w14:paraId="59239485"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386862">
              <w:rPr>
                <w:rFonts w:ascii="Times New Roman" w:hAnsi="Times New Roman"/>
                <w:b/>
                <w:color w:val="auto"/>
              </w:rPr>
              <w:t>Rodzaj placówki</w:t>
            </w:r>
          </w:p>
        </w:tc>
        <w:tc>
          <w:tcPr>
            <w:tcW w:w="2948" w:type="dxa"/>
            <w:gridSpan w:val="3"/>
            <w:shd w:val="clear" w:color="auto" w:fill="9CC2E5" w:themeFill="accent1" w:themeFillTint="99"/>
          </w:tcPr>
          <w:p w14:paraId="4505A8A1"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386862">
              <w:rPr>
                <w:rFonts w:ascii="Times New Roman" w:hAnsi="Times New Roman"/>
                <w:b/>
                <w:color w:val="auto"/>
              </w:rPr>
              <w:t>Liczba placówek</w:t>
            </w:r>
          </w:p>
        </w:tc>
        <w:tc>
          <w:tcPr>
            <w:tcW w:w="2948" w:type="dxa"/>
            <w:gridSpan w:val="3"/>
            <w:shd w:val="clear" w:color="auto" w:fill="9CC2E5" w:themeFill="accent1" w:themeFillTint="99"/>
          </w:tcPr>
          <w:p w14:paraId="0522FB10"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386862">
              <w:rPr>
                <w:rFonts w:ascii="Times New Roman" w:hAnsi="Times New Roman"/>
                <w:b/>
                <w:color w:val="auto"/>
              </w:rPr>
              <w:t>Liczba miejsc dla osób starszych</w:t>
            </w:r>
          </w:p>
        </w:tc>
        <w:tc>
          <w:tcPr>
            <w:tcW w:w="2949" w:type="dxa"/>
            <w:shd w:val="clear" w:color="auto" w:fill="9CC2E5" w:themeFill="accent1" w:themeFillTint="99"/>
          </w:tcPr>
          <w:p w14:paraId="2A064EBC"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Liczba korzystających osób starszych</w:t>
            </w:r>
          </w:p>
        </w:tc>
      </w:tr>
      <w:tr w:rsidR="00F02288" w:rsidRPr="00386862" w14:paraId="730708DC" w14:textId="77777777" w:rsidTr="007B46A6">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4FF8392"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tcPr>
          <w:p w14:paraId="3967667C"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Ośrodki wsparcia ogółem</w:t>
            </w:r>
          </w:p>
        </w:tc>
        <w:tc>
          <w:tcPr>
            <w:tcW w:w="2948" w:type="dxa"/>
            <w:gridSpan w:val="3"/>
          </w:tcPr>
          <w:p w14:paraId="4ED372D8"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109</w:t>
            </w:r>
          </w:p>
        </w:tc>
        <w:tc>
          <w:tcPr>
            <w:tcW w:w="2948" w:type="dxa"/>
            <w:gridSpan w:val="3"/>
          </w:tcPr>
          <w:p w14:paraId="20E9B378"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6 397</w:t>
            </w:r>
          </w:p>
        </w:tc>
        <w:tc>
          <w:tcPr>
            <w:tcW w:w="2949" w:type="dxa"/>
          </w:tcPr>
          <w:p w14:paraId="4096C4C1"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13 615</w:t>
            </w:r>
          </w:p>
        </w:tc>
      </w:tr>
      <w:tr w:rsidR="00F02288" w:rsidRPr="00386862" w14:paraId="0D07F5AA" w14:textId="77777777" w:rsidTr="006F415B">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FEBDD93"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11911" w:type="dxa"/>
            <w:gridSpan w:val="8"/>
            <w:shd w:val="clear" w:color="auto" w:fill="FFFFFF" w:themeFill="background1"/>
          </w:tcPr>
          <w:p w14:paraId="46A041C5"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p>
        </w:tc>
      </w:tr>
      <w:tr w:rsidR="00F02288" w:rsidRPr="00386862" w14:paraId="2B6BA081" w14:textId="77777777" w:rsidTr="006F415B">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5683F19"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0B494860"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Środowiskowe Domy Samopomocy</w:t>
            </w:r>
          </w:p>
        </w:tc>
        <w:tc>
          <w:tcPr>
            <w:tcW w:w="2948" w:type="dxa"/>
            <w:gridSpan w:val="3"/>
            <w:shd w:val="clear" w:color="auto" w:fill="FFFFFF" w:themeFill="background1"/>
          </w:tcPr>
          <w:p w14:paraId="156A3763" w14:textId="109AA72E" w:rsidR="00F02288" w:rsidRPr="00AA74F2" w:rsidRDefault="00AA74F2"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72</w:t>
            </w:r>
          </w:p>
        </w:tc>
        <w:tc>
          <w:tcPr>
            <w:tcW w:w="2948" w:type="dxa"/>
            <w:gridSpan w:val="3"/>
            <w:shd w:val="clear" w:color="auto" w:fill="FFFFFF" w:themeFill="background1"/>
          </w:tcPr>
          <w:p w14:paraId="26DB8065" w14:textId="5438E27A" w:rsidR="00F02288" w:rsidRPr="00AA74F2" w:rsidRDefault="00AA74F2"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2 456</w:t>
            </w:r>
          </w:p>
        </w:tc>
        <w:tc>
          <w:tcPr>
            <w:tcW w:w="2949" w:type="dxa"/>
            <w:shd w:val="clear" w:color="auto" w:fill="FFFFFF" w:themeFill="background1"/>
          </w:tcPr>
          <w:p w14:paraId="4DD97BB5" w14:textId="3E0835EC" w:rsidR="00F02288" w:rsidRPr="00AA74F2" w:rsidRDefault="00AA74F2"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b</w:t>
            </w:r>
            <w:r w:rsidRPr="00AA74F2">
              <w:rPr>
                <w:rFonts w:ascii="Times New Roman" w:hAnsi="Times New Roman"/>
                <w:color w:val="auto"/>
              </w:rPr>
              <w:t>rak danych</w:t>
            </w:r>
          </w:p>
        </w:tc>
      </w:tr>
      <w:tr w:rsidR="00F02288" w:rsidRPr="00386862" w14:paraId="2C8BCE48" w14:textId="77777777" w:rsidTr="006F415B">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AF92EDB"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4877807"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Dzienne Domy Pomocy</w:t>
            </w:r>
          </w:p>
        </w:tc>
        <w:tc>
          <w:tcPr>
            <w:tcW w:w="2948" w:type="dxa"/>
            <w:gridSpan w:val="3"/>
            <w:shd w:val="clear" w:color="auto" w:fill="FFFFFF" w:themeFill="background1"/>
          </w:tcPr>
          <w:p w14:paraId="7C1470AB"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22</w:t>
            </w:r>
          </w:p>
        </w:tc>
        <w:tc>
          <w:tcPr>
            <w:tcW w:w="2948" w:type="dxa"/>
            <w:gridSpan w:val="3"/>
            <w:shd w:val="clear" w:color="auto" w:fill="FFFFFF" w:themeFill="background1"/>
          </w:tcPr>
          <w:p w14:paraId="37333EF1"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1535</w:t>
            </w:r>
          </w:p>
        </w:tc>
        <w:tc>
          <w:tcPr>
            <w:tcW w:w="2949" w:type="dxa"/>
            <w:shd w:val="clear" w:color="auto" w:fill="FFFFFF" w:themeFill="background1"/>
          </w:tcPr>
          <w:p w14:paraId="44026FE7"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1535</w:t>
            </w:r>
          </w:p>
        </w:tc>
      </w:tr>
      <w:tr w:rsidR="00F02288" w:rsidRPr="00386862" w14:paraId="21D0BC74" w14:textId="77777777" w:rsidTr="006F415B">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A756013"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3F36A0E"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Noclegownie, schroniska i domy dla osób bezdomnych</w:t>
            </w:r>
          </w:p>
        </w:tc>
        <w:tc>
          <w:tcPr>
            <w:tcW w:w="2948" w:type="dxa"/>
            <w:gridSpan w:val="3"/>
            <w:shd w:val="clear" w:color="auto" w:fill="FFFFFF" w:themeFill="background1"/>
          </w:tcPr>
          <w:p w14:paraId="3C387AEB" w14:textId="6C0710E8" w:rsidR="00F02288" w:rsidRPr="00AA74F2" w:rsidRDefault="00AA74F2"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372</w:t>
            </w:r>
          </w:p>
        </w:tc>
        <w:tc>
          <w:tcPr>
            <w:tcW w:w="2948" w:type="dxa"/>
            <w:gridSpan w:val="3"/>
            <w:shd w:val="clear" w:color="auto" w:fill="FFFFFF" w:themeFill="background1"/>
          </w:tcPr>
          <w:p w14:paraId="5DD06F6C" w14:textId="3A01C402" w:rsidR="00F02288" w:rsidRPr="00AA74F2" w:rsidRDefault="00077706"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1 938</w:t>
            </w:r>
          </w:p>
        </w:tc>
        <w:tc>
          <w:tcPr>
            <w:tcW w:w="2949" w:type="dxa"/>
            <w:shd w:val="clear" w:color="auto" w:fill="FFFFFF" w:themeFill="background1"/>
          </w:tcPr>
          <w:p w14:paraId="204F6B36" w14:textId="00B68C2E" w:rsidR="00F02288" w:rsidRPr="00AA74F2" w:rsidRDefault="00077706"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brak danych</w:t>
            </w:r>
          </w:p>
        </w:tc>
      </w:tr>
      <w:tr w:rsidR="00F02288" w:rsidRPr="00386862" w14:paraId="4CBB0A6E" w14:textId="77777777" w:rsidTr="006F415B">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FDA6CB4"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98928EE"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Ogrzewalnie</w:t>
            </w:r>
          </w:p>
        </w:tc>
        <w:tc>
          <w:tcPr>
            <w:tcW w:w="2948" w:type="dxa"/>
            <w:gridSpan w:val="3"/>
            <w:shd w:val="clear" w:color="auto" w:fill="FFFFFF" w:themeFill="background1"/>
          </w:tcPr>
          <w:p w14:paraId="7DF40FBE"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3</w:t>
            </w:r>
          </w:p>
        </w:tc>
        <w:tc>
          <w:tcPr>
            <w:tcW w:w="2948" w:type="dxa"/>
            <w:gridSpan w:val="3"/>
            <w:shd w:val="clear" w:color="auto" w:fill="FFFFFF" w:themeFill="background1"/>
          </w:tcPr>
          <w:p w14:paraId="170CF1B3"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55</w:t>
            </w:r>
          </w:p>
        </w:tc>
        <w:tc>
          <w:tcPr>
            <w:tcW w:w="2949" w:type="dxa"/>
            <w:shd w:val="clear" w:color="auto" w:fill="FFFFFF" w:themeFill="background1"/>
          </w:tcPr>
          <w:p w14:paraId="66A1154D"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734</w:t>
            </w:r>
          </w:p>
        </w:tc>
      </w:tr>
      <w:tr w:rsidR="00F02288" w:rsidRPr="00386862" w14:paraId="6D23CC37" w14:textId="77777777" w:rsidTr="006F415B">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E8C0789"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1D09E9FD"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Kluby Samopomocy</w:t>
            </w:r>
          </w:p>
        </w:tc>
        <w:tc>
          <w:tcPr>
            <w:tcW w:w="2948" w:type="dxa"/>
            <w:gridSpan w:val="3"/>
            <w:shd w:val="clear" w:color="auto" w:fill="FFFFFF" w:themeFill="background1"/>
          </w:tcPr>
          <w:p w14:paraId="206252DF" w14:textId="77777777" w:rsidR="00F02288" w:rsidRPr="00AA74F2" w:rsidRDefault="00F02288"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6</w:t>
            </w:r>
          </w:p>
        </w:tc>
        <w:tc>
          <w:tcPr>
            <w:tcW w:w="2948" w:type="dxa"/>
            <w:gridSpan w:val="3"/>
            <w:shd w:val="clear" w:color="auto" w:fill="FFFFFF" w:themeFill="background1"/>
          </w:tcPr>
          <w:p w14:paraId="7712052F" w14:textId="77777777" w:rsidR="00F02288" w:rsidRPr="00AA74F2" w:rsidRDefault="00F02288"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230</w:t>
            </w:r>
          </w:p>
        </w:tc>
        <w:tc>
          <w:tcPr>
            <w:tcW w:w="2949" w:type="dxa"/>
            <w:shd w:val="clear" w:color="auto" w:fill="FFFFFF" w:themeFill="background1"/>
          </w:tcPr>
          <w:p w14:paraId="095DC38E" w14:textId="77777777" w:rsidR="00F02288" w:rsidRPr="00AA74F2" w:rsidRDefault="00F02288"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230</w:t>
            </w:r>
          </w:p>
        </w:tc>
      </w:tr>
      <w:tr w:rsidR="00F02288" w:rsidRPr="00386862" w14:paraId="50FCFFC2" w14:textId="77777777" w:rsidTr="006F415B">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15E4B93"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98607F6"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 xml:space="preserve">Placówki zapewniające całodobową opiekę osobom niepełnosprawnym, przewlekle </w:t>
            </w:r>
            <w:r w:rsidRPr="00386862">
              <w:rPr>
                <w:rFonts w:ascii="Times New Roman" w:hAnsi="Times New Roman"/>
                <w:color w:val="auto"/>
              </w:rPr>
              <w:lastRenderedPageBreak/>
              <w:t>chorym lub osobom w podeszłym wieku</w:t>
            </w:r>
          </w:p>
        </w:tc>
        <w:tc>
          <w:tcPr>
            <w:tcW w:w="2948" w:type="dxa"/>
            <w:gridSpan w:val="3"/>
            <w:shd w:val="clear" w:color="auto" w:fill="FFFFFF" w:themeFill="background1"/>
          </w:tcPr>
          <w:p w14:paraId="55EC6619" w14:textId="7FCC950E" w:rsidR="00F02288" w:rsidRPr="00AA74F2" w:rsidRDefault="00AA74F2"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lastRenderedPageBreak/>
              <w:t>35</w:t>
            </w:r>
          </w:p>
        </w:tc>
        <w:tc>
          <w:tcPr>
            <w:tcW w:w="2948" w:type="dxa"/>
            <w:gridSpan w:val="3"/>
            <w:shd w:val="clear" w:color="auto" w:fill="FFFFFF" w:themeFill="background1"/>
          </w:tcPr>
          <w:p w14:paraId="69159EFA" w14:textId="5E619D90" w:rsidR="00F02288" w:rsidRPr="00AA74F2" w:rsidRDefault="00AA74F2"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1 276</w:t>
            </w:r>
          </w:p>
        </w:tc>
        <w:tc>
          <w:tcPr>
            <w:tcW w:w="2949" w:type="dxa"/>
            <w:shd w:val="clear" w:color="auto" w:fill="FFFFFF" w:themeFill="background1"/>
          </w:tcPr>
          <w:p w14:paraId="7D80CB1C" w14:textId="4FAD9B04" w:rsidR="00F02288" w:rsidRPr="00AA74F2" w:rsidRDefault="00AA74F2"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b</w:t>
            </w:r>
            <w:r w:rsidRPr="00AA74F2">
              <w:rPr>
                <w:rFonts w:ascii="Times New Roman" w:hAnsi="Times New Roman"/>
                <w:color w:val="auto"/>
              </w:rPr>
              <w:t>rak danych</w:t>
            </w:r>
          </w:p>
        </w:tc>
      </w:tr>
      <w:tr w:rsidR="00F02288" w:rsidRPr="00386862" w14:paraId="177AFB30" w14:textId="77777777" w:rsidTr="006F415B">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4ECA8CB"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56143C20"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Domy Pomocy Społecznej</w:t>
            </w:r>
          </w:p>
        </w:tc>
        <w:tc>
          <w:tcPr>
            <w:tcW w:w="2948" w:type="dxa"/>
            <w:gridSpan w:val="3"/>
            <w:shd w:val="clear" w:color="auto" w:fill="FFFFFF" w:themeFill="background1"/>
          </w:tcPr>
          <w:p w14:paraId="6153834C" w14:textId="77777777" w:rsidR="00F02288" w:rsidRPr="00AA74F2" w:rsidRDefault="00F02288"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15</w:t>
            </w:r>
          </w:p>
        </w:tc>
        <w:tc>
          <w:tcPr>
            <w:tcW w:w="2948" w:type="dxa"/>
            <w:gridSpan w:val="3"/>
            <w:shd w:val="clear" w:color="auto" w:fill="FFFFFF" w:themeFill="background1"/>
          </w:tcPr>
          <w:p w14:paraId="5BE0D51F" w14:textId="77777777" w:rsidR="00F02288" w:rsidRPr="00AA74F2" w:rsidRDefault="00F02288"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944</w:t>
            </w:r>
          </w:p>
        </w:tc>
        <w:tc>
          <w:tcPr>
            <w:tcW w:w="2949" w:type="dxa"/>
            <w:shd w:val="clear" w:color="auto" w:fill="FFFFFF" w:themeFill="background1"/>
          </w:tcPr>
          <w:p w14:paraId="5B5CF049" w14:textId="77777777" w:rsidR="00F02288" w:rsidRPr="00AA74F2" w:rsidRDefault="00F02288"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944</w:t>
            </w:r>
          </w:p>
        </w:tc>
      </w:tr>
      <w:tr w:rsidR="00F02288" w:rsidRPr="00386862" w14:paraId="0DF07CEF" w14:textId="77777777" w:rsidTr="006F415B">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4030BAB"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63E397E7"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Mieszkania chronione ogółem</w:t>
            </w:r>
          </w:p>
        </w:tc>
        <w:tc>
          <w:tcPr>
            <w:tcW w:w="2948" w:type="dxa"/>
            <w:gridSpan w:val="3"/>
            <w:shd w:val="clear" w:color="auto" w:fill="FFFFFF" w:themeFill="background1"/>
          </w:tcPr>
          <w:p w14:paraId="2D4771A1"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31</w:t>
            </w:r>
          </w:p>
        </w:tc>
        <w:tc>
          <w:tcPr>
            <w:tcW w:w="2948" w:type="dxa"/>
            <w:gridSpan w:val="3"/>
            <w:shd w:val="clear" w:color="auto" w:fill="FFFFFF" w:themeFill="background1"/>
          </w:tcPr>
          <w:p w14:paraId="28DEF8DE"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121</w:t>
            </w:r>
          </w:p>
        </w:tc>
        <w:tc>
          <w:tcPr>
            <w:tcW w:w="2949" w:type="dxa"/>
            <w:shd w:val="clear" w:color="auto" w:fill="FFFFFF" w:themeFill="background1"/>
          </w:tcPr>
          <w:p w14:paraId="0CFE2C27"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107</w:t>
            </w:r>
          </w:p>
        </w:tc>
      </w:tr>
      <w:tr w:rsidR="00F02288" w:rsidRPr="00386862" w14:paraId="2AA80146" w14:textId="77777777" w:rsidTr="006F415B">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DF5891B"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F99B810"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Ośrodki Interwencji Kryzysowej ogółem</w:t>
            </w:r>
          </w:p>
        </w:tc>
        <w:tc>
          <w:tcPr>
            <w:tcW w:w="2948" w:type="dxa"/>
            <w:gridSpan w:val="3"/>
            <w:shd w:val="clear" w:color="auto" w:fill="FFFFFF" w:themeFill="background1"/>
          </w:tcPr>
          <w:p w14:paraId="3736FCD4" w14:textId="29B81799" w:rsidR="00F02288" w:rsidRPr="00AA74F2" w:rsidRDefault="00AA74F2"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20</w:t>
            </w:r>
          </w:p>
        </w:tc>
        <w:tc>
          <w:tcPr>
            <w:tcW w:w="2948" w:type="dxa"/>
            <w:gridSpan w:val="3"/>
            <w:shd w:val="clear" w:color="auto" w:fill="FFFFFF" w:themeFill="background1"/>
          </w:tcPr>
          <w:p w14:paraId="538E21A3" w14:textId="2359E585" w:rsidR="00F02288" w:rsidRPr="00AA74F2" w:rsidRDefault="00AA74F2"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601</w:t>
            </w:r>
          </w:p>
        </w:tc>
        <w:tc>
          <w:tcPr>
            <w:tcW w:w="2949" w:type="dxa"/>
            <w:shd w:val="clear" w:color="auto" w:fill="FFFFFF" w:themeFill="background1"/>
          </w:tcPr>
          <w:p w14:paraId="0EAD5524" w14:textId="29192CB5" w:rsidR="00F02288" w:rsidRPr="00AA74F2" w:rsidRDefault="00AA74F2"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b</w:t>
            </w:r>
            <w:r w:rsidRPr="00AA74F2">
              <w:rPr>
                <w:rFonts w:ascii="Times New Roman" w:hAnsi="Times New Roman"/>
                <w:color w:val="auto"/>
              </w:rPr>
              <w:t>rak danych</w:t>
            </w:r>
          </w:p>
        </w:tc>
      </w:tr>
      <w:tr w:rsidR="00F02288" w:rsidRPr="00386862" w14:paraId="251D1719" w14:textId="77777777" w:rsidTr="006F415B">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A45A0F1"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C3BEE1B"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Jednostki specjalistycznego poradnictwa</w:t>
            </w:r>
          </w:p>
        </w:tc>
        <w:tc>
          <w:tcPr>
            <w:tcW w:w="2948" w:type="dxa"/>
            <w:gridSpan w:val="3"/>
            <w:shd w:val="clear" w:color="auto" w:fill="FFFFFF" w:themeFill="background1"/>
          </w:tcPr>
          <w:p w14:paraId="122A5043" w14:textId="3536D1AF" w:rsidR="00F02288" w:rsidRPr="00AA74F2" w:rsidRDefault="00AA74F2"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172</w:t>
            </w:r>
          </w:p>
        </w:tc>
        <w:tc>
          <w:tcPr>
            <w:tcW w:w="2948" w:type="dxa"/>
            <w:gridSpan w:val="3"/>
            <w:shd w:val="clear" w:color="auto" w:fill="FFFFFF" w:themeFill="background1"/>
          </w:tcPr>
          <w:p w14:paraId="7C55D4A1" w14:textId="1555680B" w:rsidR="00F02288" w:rsidRPr="00AA74F2" w:rsidRDefault="00AA74F2"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b</w:t>
            </w:r>
            <w:r w:rsidRPr="00AA74F2">
              <w:rPr>
                <w:rFonts w:ascii="Times New Roman" w:hAnsi="Times New Roman"/>
                <w:color w:val="auto"/>
              </w:rPr>
              <w:t>rak danych</w:t>
            </w:r>
          </w:p>
        </w:tc>
        <w:tc>
          <w:tcPr>
            <w:tcW w:w="2949" w:type="dxa"/>
            <w:shd w:val="clear" w:color="auto" w:fill="FFFFFF" w:themeFill="background1"/>
          </w:tcPr>
          <w:p w14:paraId="03CB30D5" w14:textId="08711D38" w:rsidR="00F02288" w:rsidRPr="00AA74F2" w:rsidRDefault="00AA74F2"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b</w:t>
            </w:r>
            <w:r w:rsidRPr="00AA74F2">
              <w:rPr>
                <w:rFonts w:ascii="Times New Roman" w:hAnsi="Times New Roman"/>
                <w:color w:val="auto"/>
              </w:rPr>
              <w:t>rak danych</w:t>
            </w:r>
          </w:p>
        </w:tc>
      </w:tr>
      <w:tr w:rsidR="00F02288" w:rsidRPr="00386862" w14:paraId="61C08256" w14:textId="77777777" w:rsidTr="006F415B">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E2447EA"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70E7A1EA"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Placówki Senior+, w tym:</w:t>
            </w:r>
          </w:p>
        </w:tc>
        <w:tc>
          <w:tcPr>
            <w:tcW w:w="8845" w:type="dxa"/>
            <w:gridSpan w:val="7"/>
            <w:shd w:val="clear" w:color="auto" w:fill="FFFFFF" w:themeFill="background1"/>
          </w:tcPr>
          <w:p w14:paraId="013B79E9" w14:textId="4FEC6CC7" w:rsidR="00F02288" w:rsidRPr="00386862" w:rsidRDefault="00F02288" w:rsidP="00AA74F2">
            <w:pPr>
              <w:tabs>
                <w:tab w:val="left" w:pos="1035"/>
                <w:tab w:val="center" w:pos="4314"/>
                <w:tab w:val="left" w:pos="675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ab/>
            </w:r>
          </w:p>
        </w:tc>
      </w:tr>
      <w:tr w:rsidR="00F02288" w:rsidRPr="00386862" w14:paraId="163E2B22" w14:textId="77777777" w:rsidTr="006F415B">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154FAE8"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242A572C"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Domy Dziennego Pobytu</w:t>
            </w:r>
          </w:p>
        </w:tc>
        <w:tc>
          <w:tcPr>
            <w:tcW w:w="2948" w:type="dxa"/>
            <w:gridSpan w:val="3"/>
            <w:shd w:val="clear" w:color="auto" w:fill="FFFFFF" w:themeFill="background1"/>
          </w:tcPr>
          <w:p w14:paraId="075EF201"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31</w:t>
            </w:r>
          </w:p>
        </w:tc>
        <w:tc>
          <w:tcPr>
            <w:tcW w:w="2948" w:type="dxa"/>
            <w:gridSpan w:val="3"/>
            <w:shd w:val="clear" w:color="auto" w:fill="FFFFFF" w:themeFill="background1"/>
          </w:tcPr>
          <w:p w14:paraId="6076BA9F"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861</w:t>
            </w:r>
          </w:p>
        </w:tc>
        <w:tc>
          <w:tcPr>
            <w:tcW w:w="2949" w:type="dxa"/>
            <w:shd w:val="clear" w:color="auto" w:fill="FFFFFF" w:themeFill="background1"/>
          </w:tcPr>
          <w:p w14:paraId="45E250AF" w14:textId="43FCDF6B"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861</w:t>
            </w:r>
          </w:p>
        </w:tc>
      </w:tr>
      <w:tr w:rsidR="00F02288" w:rsidRPr="00386862" w14:paraId="3815ED82" w14:textId="77777777" w:rsidTr="006F415B">
        <w:trPr>
          <w:trHeight w:val="85"/>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A097DDB"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092E37D8"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Kluby Senior+</w:t>
            </w:r>
          </w:p>
        </w:tc>
        <w:tc>
          <w:tcPr>
            <w:tcW w:w="2948" w:type="dxa"/>
            <w:gridSpan w:val="3"/>
            <w:shd w:val="clear" w:color="auto" w:fill="FFFFFF" w:themeFill="background1"/>
          </w:tcPr>
          <w:p w14:paraId="4D21018E" w14:textId="77777777" w:rsidR="00F02288" w:rsidRPr="00AA74F2" w:rsidRDefault="00F02288"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32</w:t>
            </w:r>
          </w:p>
        </w:tc>
        <w:tc>
          <w:tcPr>
            <w:tcW w:w="2948" w:type="dxa"/>
            <w:gridSpan w:val="3"/>
            <w:shd w:val="clear" w:color="auto" w:fill="FFFFFF" w:themeFill="background1"/>
          </w:tcPr>
          <w:p w14:paraId="0645853F" w14:textId="77777777" w:rsidR="00F02288" w:rsidRPr="00AA74F2" w:rsidRDefault="00F02288"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802</w:t>
            </w:r>
          </w:p>
        </w:tc>
        <w:tc>
          <w:tcPr>
            <w:tcW w:w="2949" w:type="dxa"/>
            <w:shd w:val="clear" w:color="auto" w:fill="FFFFFF" w:themeFill="background1"/>
          </w:tcPr>
          <w:p w14:paraId="34158180" w14:textId="5713F5AC" w:rsidR="00F02288" w:rsidRPr="00AA74F2" w:rsidRDefault="00F02288" w:rsidP="00AA74F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802</w:t>
            </w:r>
          </w:p>
        </w:tc>
      </w:tr>
      <w:tr w:rsidR="00F02288" w:rsidRPr="00386862" w14:paraId="5255EE94" w14:textId="77777777" w:rsidTr="006F415B">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C455E2E" w14:textId="77777777" w:rsidR="00F02288" w:rsidRPr="00386862" w:rsidRDefault="00F02288" w:rsidP="00386862">
            <w:pPr>
              <w:spacing w:after="0" w:line="240" w:lineRule="auto"/>
              <w:rPr>
                <w:rFonts w:ascii="Times New Roman" w:eastAsia="Times New Roman" w:hAnsi="Times New Roman"/>
                <w:color w:val="auto"/>
                <w:lang w:eastAsia="pl-PL"/>
              </w:rPr>
            </w:pPr>
          </w:p>
        </w:tc>
        <w:tc>
          <w:tcPr>
            <w:tcW w:w="3066" w:type="dxa"/>
            <w:shd w:val="clear" w:color="auto" w:fill="FFFFFF" w:themeFill="background1"/>
          </w:tcPr>
          <w:p w14:paraId="4C3AEF44"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Hospicja stacjonarne</w:t>
            </w:r>
          </w:p>
        </w:tc>
        <w:tc>
          <w:tcPr>
            <w:tcW w:w="2948" w:type="dxa"/>
            <w:gridSpan w:val="3"/>
            <w:shd w:val="clear" w:color="auto" w:fill="FFFFFF" w:themeFill="background1"/>
          </w:tcPr>
          <w:p w14:paraId="0BF9D468"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7</w:t>
            </w:r>
          </w:p>
        </w:tc>
        <w:tc>
          <w:tcPr>
            <w:tcW w:w="2948" w:type="dxa"/>
            <w:gridSpan w:val="3"/>
            <w:shd w:val="clear" w:color="auto" w:fill="FFFFFF" w:themeFill="background1"/>
          </w:tcPr>
          <w:p w14:paraId="0A563EF3"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A74F2">
              <w:rPr>
                <w:rFonts w:ascii="Times New Roman" w:hAnsi="Times New Roman"/>
                <w:color w:val="auto"/>
              </w:rPr>
              <w:t>115</w:t>
            </w:r>
          </w:p>
        </w:tc>
        <w:tc>
          <w:tcPr>
            <w:tcW w:w="2949" w:type="dxa"/>
            <w:shd w:val="clear" w:color="auto" w:fill="FFFFFF" w:themeFill="background1"/>
          </w:tcPr>
          <w:p w14:paraId="29B9A75A" w14:textId="77777777" w:rsidR="00F02288" w:rsidRPr="00AA74F2" w:rsidRDefault="00F02288" w:rsidP="00AA74F2">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r>
      <w:tr w:rsidR="00F02288" w:rsidRPr="00386862" w14:paraId="0729DD83" w14:textId="77777777" w:rsidTr="007B46A6">
        <w:trPr>
          <w:trHeight w:val="119"/>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5AE7729" w14:textId="77777777" w:rsidR="00F02288" w:rsidRPr="00386862" w:rsidRDefault="00F02288" w:rsidP="00386862">
            <w:pPr>
              <w:spacing w:after="0" w:line="240" w:lineRule="auto"/>
              <w:rPr>
                <w:rFonts w:ascii="Times New Roman" w:eastAsia="Times New Roman" w:hAnsi="Times New Roman"/>
                <w:color w:val="auto"/>
                <w:lang w:eastAsia="pl-PL"/>
              </w:rPr>
            </w:pPr>
            <w:r w:rsidRPr="00386862">
              <w:rPr>
                <w:rFonts w:ascii="Times New Roman" w:eastAsia="Times New Roman" w:hAnsi="Times New Roman"/>
                <w:color w:val="auto"/>
                <w:lang w:eastAsia="pl-PL"/>
              </w:rPr>
              <w:t>Usługi świadczone osobom starszym</w:t>
            </w:r>
          </w:p>
        </w:tc>
        <w:tc>
          <w:tcPr>
            <w:tcW w:w="3119" w:type="dxa"/>
            <w:gridSpan w:val="2"/>
            <w:shd w:val="clear" w:color="auto" w:fill="9CC2E5" w:themeFill="accent1" w:themeFillTint="99"/>
          </w:tcPr>
          <w:p w14:paraId="511E401A"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Rodzaj usług</w:t>
            </w:r>
          </w:p>
        </w:tc>
        <w:tc>
          <w:tcPr>
            <w:tcW w:w="3685" w:type="dxa"/>
            <w:gridSpan w:val="3"/>
            <w:shd w:val="clear" w:color="auto" w:fill="9CC2E5" w:themeFill="accent1" w:themeFillTint="99"/>
          </w:tcPr>
          <w:p w14:paraId="108E07FB"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Liczba osób starszych objętych pomocą</w:t>
            </w:r>
          </w:p>
        </w:tc>
        <w:tc>
          <w:tcPr>
            <w:tcW w:w="5107" w:type="dxa"/>
            <w:gridSpan w:val="3"/>
            <w:shd w:val="clear" w:color="auto" w:fill="9CC2E5" w:themeFill="accent1" w:themeFillTint="99"/>
          </w:tcPr>
          <w:p w14:paraId="33D4D631"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Wysokość środków przeznaczonych na usługi</w:t>
            </w:r>
          </w:p>
        </w:tc>
      </w:tr>
      <w:tr w:rsidR="00F02288" w:rsidRPr="00386862" w14:paraId="4E3E6A5D" w14:textId="77777777" w:rsidTr="00553257">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C23978B"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119" w:type="dxa"/>
            <w:gridSpan w:val="2"/>
            <w:shd w:val="clear" w:color="auto" w:fill="auto"/>
          </w:tcPr>
          <w:p w14:paraId="2C79AF1A" w14:textId="6ABD8F15" w:rsidR="00F02288" w:rsidRPr="00386862" w:rsidRDefault="00553257"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Usługi o</w:t>
            </w:r>
            <w:r w:rsidR="00F02288" w:rsidRPr="00386862">
              <w:rPr>
                <w:rFonts w:ascii="Times New Roman" w:hAnsi="Times New Roman"/>
                <w:color w:val="auto"/>
              </w:rPr>
              <w:t>piekuńcze ogółem</w:t>
            </w:r>
          </w:p>
        </w:tc>
        <w:tc>
          <w:tcPr>
            <w:tcW w:w="3685" w:type="dxa"/>
            <w:gridSpan w:val="3"/>
            <w:shd w:val="clear" w:color="auto" w:fill="auto"/>
          </w:tcPr>
          <w:p w14:paraId="533F38CF"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12 424</w:t>
            </w:r>
          </w:p>
        </w:tc>
        <w:tc>
          <w:tcPr>
            <w:tcW w:w="5107" w:type="dxa"/>
            <w:gridSpan w:val="3"/>
            <w:shd w:val="clear" w:color="auto" w:fill="auto"/>
          </w:tcPr>
          <w:p w14:paraId="3B73382A"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84 273 992</w:t>
            </w:r>
          </w:p>
        </w:tc>
      </w:tr>
      <w:tr w:rsidR="007B46A6" w:rsidRPr="00386862" w14:paraId="3E35E266" w14:textId="77777777" w:rsidTr="007B46A6">
        <w:trPr>
          <w:trHeight w:val="118"/>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B835A16" w14:textId="77777777" w:rsidR="007B46A6" w:rsidRPr="00386862" w:rsidRDefault="007B46A6" w:rsidP="00386862">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0923D1D7" w14:textId="77777777" w:rsidR="007B46A6" w:rsidRPr="00386862" w:rsidRDefault="007B46A6"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w tym:</w:t>
            </w:r>
          </w:p>
        </w:tc>
      </w:tr>
      <w:tr w:rsidR="00F02288" w:rsidRPr="00386862" w14:paraId="16DD1FB1" w14:textId="77777777" w:rsidTr="006F415B">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43B2CDC"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5D34CA8A" w14:textId="05ED8171" w:rsidR="00F02288" w:rsidRPr="00386862" w:rsidRDefault="00553257"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F02288" w:rsidRPr="00386862">
              <w:rPr>
                <w:rFonts w:ascii="Times New Roman" w:hAnsi="Times New Roman"/>
                <w:color w:val="auto"/>
              </w:rPr>
              <w:t xml:space="preserve">pecjalistyczne </w:t>
            </w:r>
            <w:r>
              <w:rPr>
                <w:rFonts w:ascii="Times New Roman" w:hAnsi="Times New Roman"/>
                <w:color w:val="auto"/>
              </w:rPr>
              <w:t xml:space="preserve">usługi </w:t>
            </w:r>
            <w:r w:rsidR="00F02288" w:rsidRPr="00386862">
              <w:rPr>
                <w:rFonts w:ascii="Times New Roman" w:hAnsi="Times New Roman"/>
                <w:color w:val="auto"/>
              </w:rPr>
              <w:t>opiekuńcze</w:t>
            </w:r>
          </w:p>
        </w:tc>
        <w:tc>
          <w:tcPr>
            <w:tcW w:w="3685" w:type="dxa"/>
            <w:gridSpan w:val="3"/>
            <w:shd w:val="clear" w:color="auto" w:fill="FFFFFF" w:themeFill="background1"/>
          </w:tcPr>
          <w:p w14:paraId="4D4AE912"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327</w:t>
            </w:r>
          </w:p>
        </w:tc>
        <w:tc>
          <w:tcPr>
            <w:tcW w:w="5107" w:type="dxa"/>
            <w:gridSpan w:val="3"/>
            <w:shd w:val="clear" w:color="auto" w:fill="FFFFFF" w:themeFill="background1"/>
          </w:tcPr>
          <w:p w14:paraId="4DDC48AE"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2 652 186</w:t>
            </w:r>
          </w:p>
        </w:tc>
      </w:tr>
      <w:tr w:rsidR="00F02288" w:rsidRPr="00386862" w14:paraId="280D1AC2" w14:textId="77777777" w:rsidTr="006F415B">
        <w:trPr>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C159308"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22B6698F" w14:textId="23FDBB1E" w:rsidR="00F02288" w:rsidRPr="00386862" w:rsidRDefault="00553257"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F02288" w:rsidRPr="00386862">
              <w:rPr>
                <w:rFonts w:ascii="Times New Roman" w:hAnsi="Times New Roman"/>
                <w:color w:val="auto"/>
              </w:rPr>
              <w:t>pecjalistyczne usługi</w:t>
            </w:r>
            <w:r>
              <w:rPr>
                <w:rFonts w:ascii="Times New Roman" w:hAnsi="Times New Roman"/>
                <w:color w:val="auto"/>
              </w:rPr>
              <w:t xml:space="preserve"> opiekuńcze w miejscu zamieszkania</w:t>
            </w:r>
            <w:r w:rsidR="00F02288" w:rsidRPr="00386862">
              <w:rPr>
                <w:rFonts w:ascii="Times New Roman" w:hAnsi="Times New Roman"/>
                <w:color w:val="auto"/>
              </w:rPr>
              <w:t xml:space="preserve"> dla osób z zaburzeniami psychicznymi</w:t>
            </w:r>
          </w:p>
        </w:tc>
        <w:tc>
          <w:tcPr>
            <w:tcW w:w="3685" w:type="dxa"/>
            <w:gridSpan w:val="3"/>
            <w:shd w:val="clear" w:color="auto" w:fill="FFFFFF" w:themeFill="background1"/>
          </w:tcPr>
          <w:p w14:paraId="4AFC49A6"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1 355</w:t>
            </w:r>
          </w:p>
        </w:tc>
        <w:tc>
          <w:tcPr>
            <w:tcW w:w="5107" w:type="dxa"/>
            <w:gridSpan w:val="3"/>
            <w:shd w:val="clear" w:color="auto" w:fill="FFFFFF" w:themeFill="background1"/>
          </w:tcPr>
          <w:p w14:paraId="4BA22FB5"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14 882 876</w:t>
            </w:r>
          </w:p>
        </w:tc>
      </w:tr>
      <w:tr w:rsidR="00F02288" w:rsidRPr="00386862" w14:paraId="217FA30B" w14:textId="77777777" w:rsidTr="007B46A6">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9C83C73"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r w:rsidRPr="00386862">
              <w:rPr>
                <w:rFonts w:ascii="Times New Roman" w:eastAsia="Times New Roman" w:hAnsi="Times New Roman"/>
                <w:color w:val="auto"/>
                <w:lang w:eastAsia="pl-PL"/>
              </w:rPr>
              <w:t>Świadczenia pieniężne przyznane osobom starszym</w:t>
            </w:r>
          </w:p>
        </w:tc>
        <w:tc>
          <w:tcPr>
            <w:tcW w:w="3119" w:type="dxa"/>
            <w:gridSpan w:val="2"/>
            <w:shd w:val="clear" w:color="auto" w:fill="9CC2E5" w:themeFill="accent1" w:themeFillTint="99"/>
          </w:tcPr>
          <w:p w14:paraId="31C3D58E"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Nazwa świadczenia</w:t>
            </w:r>
          </w:p>
        </w:tc>
        <w:tc>
          <w:tcPr>
            <w:tcW w:w="3685" w:type="dxa"/>
            <w:gridSpan w:val="3"/>
            <w:shd w:val="clear" w:color="auto" w:fill="9CC2E5" w:themeFill="accent1" w:themeFillTint="99"/>
          </w:tcPr>
          <w:p w14:paraId="40E470E4"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Liczba osób starszych</w:t>
            </w:r>
          </w:p>
        </w:tc>
        <w:tc>
          <w:tcPr>
            <w:tcW w:w="5107" w:type="dxa"/>
            <w:gridSpan w:val="3"/>
            <w:shd w:val="clear" w:color="auto" w:fill="9CC2E5" w:themeFill="accent1" w:themeFillTint="99"/>
          </w:tcPr>
          <w:p w14:paraId="16CBBF89"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386862">
              <w:rPr>
                <w:rFonts w:ascii="Times New Roman" w:hAnsi="Times New Roman"/>
                <w:b/>
                <w:color w:val="auto"/>
              </w:rPr>
              <w:t>Kwota świadczenia</w:t>
            </w:r>
          </w:p>
        </w:tc>
      </w:tr>
      <w:tr w:rsidR="00F02288" w:rsidRPr="00386862" w14:paraId="401A7357" w14:textId="77777777" w:rsidTr="006F415B">
        <w:trPr>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89EA048"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3877C858"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Zasiłek stały</w:t>
            </w:r>
          </w:p>
        </w:tc>
        <w:tc>
          <w:tcPr>
            <w:tcW w:w="3685" w:type="dxa"/>
            <w:gridSpan w:val="3"/>
            <w:shd w:val="clear" w:color="auto" w:fill="FFFFFF" w:themeFill="background1"/>
          </w:tcPr>
          <w:p w14:paraId="664D97CE"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13 394</w:t>
            </w:r>
          </w:p>
        </w:tc>
        <w:tc>
          <w:tcPr>
            <w:tcW w:w="5107" w:type="dxa"/>
            <w:gridSpan w:val="3"/>
            <w:shd w:val="clear" w:color="auto" w:fill="FFFFFF" w:themeFill="background1"/>
          </w:tcPr>
          <w:p w14:paraId="49C5B0BF"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71 073 523</w:t>
            </w:r>
          </w:p>
        </w:tc>
      </w:tr>
      <w:tr w:rsidR="00F02288" w:rsidRPr="00386862" w14:paraId="08721FF2" w14:textId="77777777" w:rsidTr="006F415B">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1C7B648"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75A8D4A6"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Zasiłek okresowy</w:t>
            </w:r>
          </w:p>
        </w:tc>
        <w:tc>
          <w:tcPr>
            <w:tcW w:w="3685" w:type="dxa"/>
            <w:gridSpan w:val="3"/>
            <w:shd w:val="clear" w:color="auto" w:fill="FFFFFF" w:themeFill="background1"/>
          </w:tcPr>
          <w:p w14:paraId="68F2E51B"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19 162</w:t>
            </w:r>
          </w:p>
        </w:tc>
        <w:tc>
          <w:tcPr>
            <w:tcW w:w="5107" w:type="dxa"/>
            <w:gridSpan w:val="3"/>
            <w:shd w:val="clear" w:color="auto" w:fill="FFFFFF" w:themeFill="background1"/>
          </w:tcPr>
          <w:p w14:paraId="494C1FF0"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34 704 867</w:t>
            </w:r>
          </w:p>
        </w:tc>
      </w:tr>
      <w:tr w:rsidR="00F02288" w:rsidRPr="00386862" w14:paraId="50F3319C" w14:textId="77777777" w:rsidTr="006F415B">
        <w:trPr>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D402DA8"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422435FC"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Zasiłek celowy</w:t>
            </w:r>
          </w:p>
        </w:tc>
        <w:tc>
          <w:tcPr>
            <w:tcW w:w="3685" w:type="dxa"/>
            <w:gridSpan w:val="3"/>
            <w:shd w:val="clear" w:color="auto" w:fill="FFFFFF" w:themeFill="background1"/>
          </w:tcPr>
          <w:p w14:paraId="0237E7FB"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51 164</w:t>
            </w:r>
          </w:p>
        </w:tc>
        <w:tc>
          <w:tcPr>
            <w:tcW w:w="5107" w:type="dxa"/>
            <w:gridSpan w:val="3"/>
            <w:shd w:val="clear" w:color="auto" w:fill="FFFFFF" w:themeFill="background1"/>
          </w:tcPr>
          <w:p w14:paraId="35CB3D15" w14:textId="77777777" w:rsidR="00F02288" w:rsidRPr="00386862" w:rsidRDefault="00F02288" w:rsidP="007B46A6">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65 593 957</w:t>
            </w:r>
          </w:p>
        </w:tc>
      </w:tr>
      <w:tr w:rsidR="00F02288" w:rsidRPr="00386862" w14:paraId="4D5EB4F7" w14:textId="77777777" w:rsidTr="006F415B">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CC31C7E" w14:textId="77777777" w:rsidR="00F02288" w:rsidRPr="00386862" w:rsidRDefault="00F02288" w:rsidP="00386862">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0428DA0E"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Specjalny zasiłek celowy</w:t>
            </w:r>
          </w:p>
        </w:tc>
        <w:tc>
          <w:tcPr>
            <w:tcW w:w="3685" w:type="dxa"/>
            <w:gridSpan w:val="3"/>
            <w:shd w:val="clear" w:color="auto" w:fill="FFFFFF" w:themeFill="background1"/>
          </w:tcPr>
          <w:p w14:paraId="2E41FB1E"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17 265</w:t>
            </w:r>
          </w:p>
        </w:tc>
        <w:tc>
          <w:tcPr>
            <w:tcW w:w="5107" w:type="dxa"/>
            <w:gridSpan w:val="3"/>
            <w:shd w:val="clear" w:color="auto" w:fill="FFFFFF" w:themeFill="background1"/>
          </w:tcPr>
          <w:p w14:paraId="344B71EF" w14:textId="77777777" w:rsidR="00F02288" w:rsidRPr="00386862" w:rsidRDefault="00F02288" w:rsidP="007B46A6">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13 126 306</w:t>
            </w:r>
          </w:p>
        </w:tc>
      </w:tr>
      <w:tr w:rsidR="00F02288" w:rsidRPr="00386862" w14:paraId="3AE65A9F" w14:textId="77777777" w:rsidTr="006F415B">
        <w:trPr>
          <w:trHeight w:val="44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5514B16" w14:textId="77777777" w:rsidR="00F02288" w:rsidRPr="00386862" w:rsidRDefault="00F02288" w:rsidP="00386862">
            <w:pPr>
              <w:spacing w:after="0" w:line="240" w:lineRule="auto"/>
              <w:rPr>
                <w:rFonts w:ascii="Times New Roman" w:hAnsi="Times New Roman"/>
                <w:b w:val="0"/>
                <w:color w:val="auto"/>
                <w:lang w:eastAsia="pl-PL"/>
              </w:rPr>
            </w:pPr>
            <w:r w:rsidRPr="00386862">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shd w:val="clear" w:color="auto" w:fill="FFFFFF" w:themeFill="background1"/>
          </w:tcPr>
          <w:p w14:paraId="5ABA5F49"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B46A6">
              <w:rPr>
                <w:rFonts w:ascii="Times New Roman" w:hAnsi="Times New Roman"/>
                <w:b/>
                <w:color w:val="auto"/>
              </w:rPr>
              <w:t>1.</w:t>
            </w:r>
            <w:r w:rsidRPr="00386862">
              <w:rPr>
                <w:rFonts w:ascii="Times New Roman" w:hAnsi="Times New Roman"/>
                <w:color w:val="auto"/>
              </w:rPr>
              <w:t xml:space="preserve"> Finansowe</w:t>
            </w:r>
          </w:p>
        </w:tc>
      </w:tr>
      <w:tr w:rsidR="00F02288" w:rsidRPr="00386862" w14:paraId="43B41249" w14:textId="77777777" w:rsidTr="006F415B">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22F5D34" w14:textId="77777777" w:rsidR="00F02288" w:rsidRPr="00386862" w:rsidRDefault="00F02288" w:rsidP="00386862">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5E176CC1"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7B46A6">
              <w:rPr>
                <w:rFonts w:ascii="Times New Roman" w:hAnsi="Times New Roman"/>
                <w:b/>
                <w:color w:val="auto"/>
              </w:rPr>
              <w:t>2.</w:t>
            </w:r>
            <w:r w:rsidRPr="00386862">
              <w:rPr>
                <w:rFonts w:ascii="Times New Roman" w:hAnsi="Times New Roman"/>
                <w:color w:val="auto"/>
              </w:rPr>
              <w:t xml:space="preserve"> Kadrowe</w:t>
            </w:r>
          </w:p>
        </w:tc>
      </w:tr>
      <w:tr w:rsidR="00F02288" w:rsidRPr="00386862" w14:paraId="255031A5" w14:textId="77777777" w:rsidTr="006F415B">
        <w:trPr>
          <w:trHeight w:val="4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E2E631E" w14:textId="77777777" w:rsidR="00F02288" w:rsidRPr="00386862" w:rsidRDefault="00F02288" w:rsidP="00386862">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049D659F" w14:textId="77777777" w:rsidR="00F02288" w:rsidRPr="00386862" w:rsidRDefault="00F02288" w:rsidP="0038686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7B46A6">
              <w:rPr>
                <w:rFonts w:ascii="Times New Roman" w:hAnsi="Times New Roman"/>
                <w:b/>
                <w:color w:val="auto"/>
              </w:rPr>
              <w:t>3.</w:t>
            </w:r>
            <w:r w:rsidRPr="00386862">
              <w:rPr>
                <w:rFonts w:ascii="Times New Roman" w:hAnsi="Times New Roman"/>
                <w:color w:val="auto"/>
              </w:rPr>
              <w:t xml:space="preserve"> Rzeczowe</w:t>
            </w:r>
          </w:p>
        </w:tc>
      </w:tr>
      <w:tr w:rsidR="00F02288" w:rsidRPr="00386862" w14:paraId="50B96AF3" w14:textId="77777777" w:rsidTr="006F415B">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08D5937" w14:textId="77777777" w:rsidR="00F02288" w:rsidRPr="00386862" w:rsidRDefault="00F02288" w:rsidP="00386862">
            <w:pPr>
              <w:spacing w:after="0" w:line="240" w:lineRule="auto"/>
              <w:rPr>
                <w:rFonts w:ascii="Times New Roman" w:hAnsi="Times New Roman"/>
                <w:color w:val="auto"/>
                <w:lang w:eastAsia="pl-PL"/>
              </w:rPr>
            </w:pPr>
            <w:r w:rsidRPr="00386862">
              <w:rPr>
                <w:rFonts w:ascii="Times New Roman" w:hAnsi="Times New Roman"/>
                <w:color w:val="auto"/>
                <w:lang w:eastAsia="pl-PL"/>
              </w:rPr>
              <w:lastRenderedPageBreak/>
              <w:t>Stopień zaspokojenia potrzeb w zakresie usług opiekuńczych</w:t>
            </w:r>
          </w:p>
        </w:tc>
        <w:tc>
          <w:tcPr>
            <w:tcW w:w="11911" w:type="dxa"/>
            <w:gridSpan w:val="8"/>
            <w:shd w:val="clear" w:color="auto" w:fill="FFFFFF" w:themeFill="background1"/>
          </w:tcPr>
          <w:p w14:paraId="19A45765" w14:textId="77777777" w:rsidR="00F02288" w:rsidRPr="00386862" w:rsidRDefault="00F02288" w:rsidP="00386862">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386862">
              <w:rPr>
                <w:rFonts w:ascii="Times New Roman" w:hAnsi="Times New Roman"/>
                <w:color w:val="auto"/>
              </w:rPr>
              <w:t>Brak danych</w:t>
            </w:r>
          </w:p>
        </w:tc>
      </w:tr>
    </w:tbl>
    <w:p w14:paraId="7448BB06" w14:textId="77777777" w:rsidR="00F02288" w:rsidRDefault="00F02288" w:rsidP="008C71A9">
      <w:pPr>
        <w:pStyle w:val="Nagwek2"/>
        <w:numPr>
          <w:ilvl w:val="1"/>
          <w:numId w:val="97"/>
        </w:numPr>
        <w:spacing w:before="0"/>
        <w:rPr>
          <w:rFonts w:eastAsia="Times New Roman" w:cs="Times New Roman"/>
          <w:sz w:val="24"/>
          <w:szCs w:val="24"/>
          <w:lang w:eastAsia="ar-SA"/>
        </w:rPr>
        <w:sectPr w:rsidR="00F02288" w:rsidSect="00F02288">
          <w:pgSz w:w="16840" w:h="11906" w:orient="landscape"/>
          <w:pgMar w:top="1418" w:right="1418" w:bottom="1418" w:left="1417" w:header="708" w:footer="708" w:gutter="0"/>
          <w:cols w:space="708"/>
          <w:docGrid w:linePitch="360"/>
        </w:sectPr>
      </w:pPr>
    </w:p>
    <w:p w14:paraId="253BD1B6" w14:textId="77777777" w:rsidR="00BB5D9D" w:rsidRPr="00AF051D" w:rsidRDefault="00B25D75" w:rsidP="00AF051D">
      <w:pPr>
        <w:pStyle w:val="Nagwek2"/>
        <w:numPr>
          <w:ilvl w:val="1"/>
          <w:numId w:val="97"/>
        </w:numPr>
        <w:spacing w:before="240" w:after="240"/>
        <w:rPr>
          <w:rFonts w:eastAsia="Times New Roman" w:cs="Times New Roman"/>
          <w:sz w:val="40"/>
          <w:lang w:eastAsia="ar-SA"/>
        </w:rPr>
      </w:pPr>
      <w:bookmarkStart w:id="156" w:name="_Toc49171371"/>
      <w:r w:rsidRPr="00AF051D">
        <w:rPr>
          <w:rFonts w:eastAsia="Times New Roman" w:cs="Times New Roman"/>
          <w:sz w:val="40"/>
          <w:lang w:eastAsia="ar-SA"/>
        </w:rPr>
        <w:lastRenderedPageBreak/>
        <w:t xml:space="preserve">Województwo </w:t>
      </w:r>
      <w:r w:rsidR="005F0A32" w:rsidRPr="00AF051D">
        <w:rPr>
          <w:rFonts w:eastAsia="Times New Roman" w:cs="Times New Roman"/>
          <w:sz w:val="40"/>
          <w:lang w:eastAsia="ar-SA"/>
        </w:rPr>
        <w:t>z</w:t>
      </w:r>
      <w:r w:rsidR="00475EFA" w:rsidRPr="00AF051D">
        <w:rPr>
          <w:rFonts w:eastAsia="Times New Roman" w:cs="Times New Roman"/>
          <w:sz w:val="40"/>
          <w:lang w:eastAsia="ar-SA"/>
        </w:rPr>
        <w:t>achodniopomorskie</w:t>
      </w:r>
      <w:bookmarkEnd w:id="156"/>
    </w:p>
    <w:p w14:paraId="02E908C4" w14:textId="77777777" w:rsidR="001B6EF3" w:rsidRPr="00844BCC" w:rsidRDefault="001B6EF3" w:rsidP="000D7CDE">
      <w:pPr>
        <w:spacing w:after="0"/>
        <w:jc w:val="both"/>
        <w:rPr>
          <w:rFonts w:ascii="Times New Roman" w:hAnsi="Times New Roman" w:cs="Times New Roman"/>
          <w:b/>
          <w:color w:val="00B0F0"/>
          <w:sz w:val="24"/>
          <w:szCs w:val="24"/>
          <w:lang w:eastAsia="ar-SA"/>
        </w:rPr>
      </w:pPr>
      <w:r w:rsidRPr="00844BCC">
        <w:rPr>
          <w:rFonts w:ascii="Times New Roman" w:hAnsi="Times New Roman" w:cs="Times New Roman"/>
          <w:b/>
          <w:color w:val="00B0F0"/>
          <w:sz w:val="24"/>
          <w:szCs w:val="24"/>
          <w:lang w:eastAsia="ar-SA"/>
        </w:rPr>
        <w:t>Dokumenty, strategie i działania na rzecz osób starszych</w:t>
      </w:r>
    </w:p>
    <w:p w14:paraId="4101EBEB" w14:textId="77777777" w:rsidR="00BB5D9D" w:rsidRPr="005F0A32" w:rsidRDefault="00BB5D9D" w:rsidP="000D7CDE">
      <w:pPr>
        <w:spacing w:after="0"/>
        <w:jc w:val="both"/>
        <w:rPr>
          <w:rFonts w:ascii="Times New Roman" w:eastAsia="Calibri" w:hAnsi="Times New Roman" w:cs="Times New Roman"/>
          <w:bCs/>
          <w:sz w:val="24"/>
          <w:szCs w:val="24"/>
        </w:rPr>
      </w:pPr>
    </w:p>
    <w:p w14:paraId="01C4705E" w14:textId="77777777" w:rsidR="00BB5D9D" w:rsidRPr="005F0A32" w:rsidRDefault="00BB5D9D" w:rsidP="000D7CDE">
      <w:pPr>
        <w:spacing w:after="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W województwie zachodniopomorskim w 2019 r. podejmowane były wszechstronne inicjatywy skierowane do osób starszych. Na szczególną uwagę zasługują następujące programy wspierające aktywność społeczną, kulturalną, edukacyjną, sportową i obywatelską osób starszych:</w:t>
      </w:r>
    </w:p>
    <w:p w14:paraId="68177008" w14:textId="77777777" w:rsidR="00BB5D9D" w:rsidRPr="005F0A32" w:rsidRDefault="00BB5D9D" w:rsidP="000D7CDE">
      <w:pPr>
        <w:spacing w:after="0"/>
        <w:jc w:val="both"/>
        <w:rPr>
          <w:rFonts w:ascii="Times New Roman" w:eastAsia="Calibri" w:hAnsi="Times New Roman" w:cs="Times New Roman"/>
          <w:bCs/>
          <w:sz w:val="24"/>
          <w:szCs w:val="24"/>
        </w:rPr>
      </w:pPr>
    </w:p>
    <w:p w14:paraId="6631D15A" w14:textId="77777777" w:rsidR="00BB5D9D" w:rsidRPr="005F0A32" w:rsidRDefault="00BB5D9D" w:rsidP="000D7CDE">
      <w:pPr>
        <w:tabs>
          <w:tab w:val="left" w:pos="993"/>
        </w:tabs>
        <w:autoSpaceDE w:val="0"/>
        <w:autoSpaceDN w:val="0"/>
        <w:adjustRightInd w:val="0"/>
        <w:spacing w:after="0"/>
        <w:jc w:val="both"/>
        <w:rPr>
          <w:rFonts w:ascii="Times New Roman" w:eastAsia="Calibri" w:hAnsi="Times New Roman" w:cs="Times New Roman"/>
          <w:b/>
          <w:bCs/>
          <w:color w:val="000000"/>
          <w:sz w:val="24"/>
          <w:szCs w:val="24"/>
        </w:rPr>
      </w:pPr>
      <w:r w:rsidRPr="005F0A32">
        <w:rPr>
          <w:rFonts w:ascii="Times New Roman" w:eastAsia="Calibri" w:hAnsi="Times New Roman" w:cs="Times New Roman"/>
          <w:b/>
          <w:bCs/>
          <w:color w:val="000000"/>
          <w:sz w:val="24"/>
          <w:szCs w:val="24"/>
        </w:rPr>
        <w:t xml:space="preserve">Zachodniopomorska Karta Seniora (Urząd Marszałkowski Województwa Zachodniopomorskiego w ramach </w:t>
      </w:r>
      <w:r w:rsidRPr="005F0A32">
        <w:rPr>
          <w:rFonts w:ascii="Times New Roman" w:eastAsia="Calibri" w:hAnsi="Times New Roman" w:cs="Times New Roman"/>
          <w:b/>
          <w:bCs/>
          <w:sz w:val="24"/>
          <w:szCs w:val="24"/>
        </w:rPr>
        <w:t xml:space="preserve">Wojewódzkiego Programu Wspierania Rodziny </w:t>
      </w:r>
      <w:r w:rsidRPr="005F0A32">
        <w:rPr>
          <w:rFonts w:ascii="Times New Roman" w:eastAsia="Calibri" w:hAnsi="Times New Roman" w:cs="Times New Roman"/>
          <w:b/>
          <w:bCs/>
          <w:sz w:val="24"/>
          <w:szCs w:val="24"/>
        </w:rPr>
        <w:br/>
        <w:t>i Systemu Pieczy Zastępczej na lata 2014 – 2020 pn. „Region dla Rodziny”</w:t>
      </w:r>
      <w:r w:rsidRPr="005F0A32">
        <w:rPr>
          <w:rFonts w:ascii="Times New Roman" w:eastAsia="Calibri" w:hAnsi="Times New Roman" w:cs="Times New Roman"/>
          <w:b/>
          <w:bCs/>
          <w:color w:val="000000"/>
          <w:sz w:val="24"/>
          <w:szCs w:val="24"/>
        </w:rPr>
        <w:t>)</w:t>
      </w:r>
    </w:p>
    <w:p w14:paraId="20395080" w14:textId="77777777" w:rsidR="00BB5D9D" w:rsidRDefault="00BB5D9D" w:rsidP="000D7CDE">
      <w:pPr>
        <w:autoSpaceDE w:val="0"/>
        <w:autoSpaceDN w:val="0"/>
        <w:adjustRightInd w:val="0"/>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O Zachodniopomorską Kartę Seniora bezpłatnie mogą ubiegać się osoby starsze zamieszkałe na terenie województwa zachodniopomorskiego, które ukończyły 60 lat. Karta umożliwia korzystanie, na preferencyjnych warunkach, z katalogu ofert: kultury, edukacji, rekreacji, transportu oraz innych usług oferowanych przez partnerów Programu. Program był wskazywany jako istotny instrument wsparcia seniorów na poziomie gmin powiatu w 2019 r., w szczególności przez niewielkie samorządy, które nie były w stanie wprowadzić samodzielnie programów senioralnych i chętnie korzystały z woli wprowadzenia ww. formy wsp</w:t>
      </w:r>
      <w:r w:rsidR="00844BCC">
        <w:rPr>
          <w:rFonts w:ascii="Times New Roman" w:eastAsia="Calibri" w:hAnsi="Times New Roman" w:cs="Times New Roman"/>
          <w:sz w:val="24"/>
          <w:szCs w:val="24"/>
        </w:rPr>
        <w:t>ierania swoich mieszkańców 60+</w:t>
      </w:r>
      <w:r w:rsidR="00844BCC">
        <w:rPr>
          <w:rStyle w:val="Odwoanieprzypisudolnego"/>
          <w:rFonts w:ascii="Times New Roman" w:eastAsia="Calibri" w:hAnsi="Times New Roman" w:cs="Times New Roman"/>
          <w:sz w:val="24"/>
          <w:szCs w:val="24"/>
        </w:rPr>
        <w:footnoteReference w:id="222"/>
      </w:r>
      <w:r w:rsidR="00844BCC">
        <w:rPr>
          <w:rFonts w:ascii="Times New Roman" w:eastAsia="Calibri" w:hAnsi="Times New Roman" w:cs="Times New Roman"/>
          <w:sz w:val="24"/>
          <w:szCs w:val="24"/>
        </w:rPr>
        <w:t>.</w:t>
      </w:r>
    </w:p>
    <w:p w14:paraId="51D1FA11" w14:textId="77777777" w:rsidR="00844BCC" w:rsidRPr="00844BCC" w:rsidRDefault="00844BCC" w:rsidP="000D7CDE">
      <w:pPr>
        <w:autoSpaceDE w:val="0"/>
        <w:autoSpaceDN w:val="0"/>
        <w:adjustRightInd w:val="0"/>
        <w:spacing w:after="0"/>
        <w:jc w:val="both"/>
        <w:rPr>
          <w:rFonts w:ascii="Times New Roman" w:eastAsia="Calibri" w:hAnsi="Times New Roman" w:cs="Times New Roman"/>
          <w:sz w:val="24"/>
          <w:szCs w:val="24"/>
        </w:rPr>
      </w:pPr>
    </w:p>
    <w:p w14:paraId="7F734785" w14:textId="77777777" w:rsidR="00BB5D9D" w:rsidRPr="005F0A32" w:rsidRDefault="00BB5D9D" w:rsidP="000D7CDE">
      <w:pPr>
        <w:autoSpaceDE w:val="0"/>
        <w:autoSpaceDN w:val="0"/>
        <w:adjustRightInd w:val="0"/>
        <w:spacing w:after="0"/>
        <w:jc w:val="both"/>
        <w:rPr>
          <w:rFonts w:ascii="Times New Roman" w:eastAsia="Calibri" w:hAnsi="Times New Roman" w:cs="Times New Roman"/>
          <w:b/>
          <w:bCs/>
          <w:color w:val="000000"/>
          <w:sz w:val="24"/>
          <w:szCs w:val="24"/>
        </w:rPr>
      </w:pPr>
      <w:r w:rsidRPr="005F0A32">
        <w:rPr>
          <w:rFonts w:ascii="Times New Roman" w:eastAsia="Calibri" w:hAnsi="Times New Roman" w:cs="Times New Roman"/>
          <w:b/>
          <w:bCs/>
          <w:color w:val="000000"/>
          <w:sz w:val="24"/>
          <w:szCs w:val="24"/>
        </w:rPr>
        <w:t>Goleniowski Fundusz Aktywizacji Seniorów (Miasto i Gmina Goleniów)</w:t>
      </w:r>
    </w:p>
    <w:p w14:paraId="048BC85C" w14:textId="77777777" w:rsidR="00BB5D9D" w:rsidRPr="00844BCC" w:rsidRDefault="00BB5D9D" w:rsidP="000D7CDE">
      <w:pPr>
        <w:autoSpaceDE w:val="0"/>
        <w:autoSpaceDN w:val="0"/>
        <w:adjustRightInd w:val="0"/>
        <w:spacing w:after="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Realizacja programu Goleniowskiego Funduszu Aktywizacji Seniorów, finansowanego </w:t>
      </w:r>
      <w:r w:rsidRPr="005F0A32">
        <w:rPr>
          <w:rFonts w:ascii="Times New Roman" w:eastAsia="Calibri" w:hAnsi="Times New Roman" w:cs="Times New Roman"/>
          <w:color w:val="000000"/>
          <w:sz w:val="24"/>
          <w:szCs w:val="24"/>
        </w:rPr>
        <w:br/>
        <w:t>ze środków Gminy Goleniów ułatwiła aktywne uczestnictwo w społeczności lokalnej osobom starszym, wspomagała ich w działaniach służących międzypokoleniowemu przekazywaniu wartości oraz wspieraniu nieformalnej edukacji kulturalnej i artystycznej, służącej rozwijaniu talentów osób starszych. Promowano jednocześnie współpracę podmiotów sektora kultury, edukacji i nauki z organizacjami pozarządowymi, a także podmiotami prywatnymi na rzecz aktywizacji osób starszych w oparciu o współpracę międzypokoleniową. Podjęte działania umożliwiły zacieśnienie więzi koleżeńskich, relacji międzyludzkich i poczucie bycia częścią społeczności. Przeprowadzono dla seniorów spotkania integracyjne, które wpłynęły na poprawę stanu zdrowia oraz zachęcały do aktywności fizycznej i społecznej. Dla potrzeb Funduszu opracowano stosowną dokumentację, w tym regulamin i zasady wydatkowania środków. Liczba zrealizowanych inicjatyw wyniosła 49 (w tym 10 z obszarów wiejskich) w trzech naborach. Wszystkie inicjatywy zostały wsparte kw</w:t>
      </w:r>
      <w:r w:rsidR="00844BCC">
        <w:rPr>
          <w:rFonts w:ascii="Times New Roman" w:eastAsia="Calibri" w:hAnsi="Times New Roman" w:cs="Times New Roman"/>
          <w:color w:val="000000"/>
          <w:sz w:val="24"/>
          <w:szCs w:val="24"/>
        </w:rPr>
        <w:t xml:space="preserve">otą minimum 500 zł. W 2019 r. </w:t>
      </w:r>
      <w:r w:rsidRPr="005F0A32">
        <w:rPr>
          <w:rFonts w:ascii="Times New Roman" w:eastAsia="Calibri" w:hAnsi="Times New Roman" w:cs="Times New Roman"/>
          <w:color w:val="000000"/>
          <w:sz w:val="24"/>
          <w:szCs w:val="24"/>
        </w:rPr>
        <w:t>w GFAS uczestniczyło łącznie 700 osób, z czego 500 osób stanowi</w:t>
      </w:r>
      <w:r w:rsidR="00844BCC">
        <w:rPr>
          <w:rFonts w:ascii="Times New Roman" w:eastAsia="Calibri" w:hAnsi="Times New Roman" w:cs="Times New Roman"/>
          <w:color w:val="000000"/>
          <w:sz w:val="24"/>
          <w:szCs w:val="24"/>
        </w:rPr>
        <w:t>li seniorzy</w:t>
      </w:r>
      <w:r w:rsidR="00844BCC">
        <w:rPr>
          <w:rStyle w:val="Odwoanieprzypisudolnego"/>
          <w:rFonts w:ascii="Times New Roman" w:eastAsia="Calibri" w:hAnsi="Times New Roman" w:cs="Times New Roman"/>
          <w:color w:val="000000"/>
          <w:sz w:val="24"/>
          <w:szCs w:val="24"/>
        </w:rPr>
        <w:footnoteReference w:id="223"/>
      </w:r>
      <w:r w:rsidR="00844BCC">
        <w:rPr>
          <w:rFonts w:ascii="Times New Roman" w:eastAsia="Calibri" w:hAnsi="Times New Roman" w:cs="Times New Roman"/>
          <w:color w:val="000000"/>
          <w:sz w:val="24"/>
          <w:szCs w:val="24"/>
        </w:rPr>
        <w:t>.</w:t>
      </w:r>
    </w:p>
    <w:p w14:paraId="01921B76" w14:textId="77777777" w:rsidR="00BB5D9D" w:rsidRPr="005F0A32" w:rsidRDefault="00BB5D9D" w:rsidP="000D7CDE">
      <w:pPr>
        <w:autoSpaceDE w:val="0"/>
        <w:autoSpaceDN w:val="0"/>
        <w:adjustRightInd w:val="0"/>
        <w:spacing w:after="0"/>
        <w:jc w:val="both"/>
        <w:rPr>
          <w:rFonts w:ascii="Times New Roman" w:eastAsia="Calibri" w:hAnsi="Times New Roman" w:cs="Times New Roman"/>
          <w:color w:val="000000"/>
          <w:sz w:val="24"/>
          <w:szCs w:val="24"/>
          <w:lang w:val="en-US"/>
        </w:rPr>
      </w:pPr>
    </w:p>
    <w:p w14:paraId="5D342D85" w14:textId="77777777" w:rsidR="00BB5D9D" w:rsidRPr="005F0A32" w:rsidRDefault="00BB5D9D" w:rsidP="000D7CDE">
      <w:pPr>
        <w:spacing w:after="0"/>
        <w:contextualSpacing/>
        <w:jc w:val="both"/>
        <w:rPr>
          <w:rFonts w:ascii="Times New Roman" w:eastAsia="Calibri" w:hAnsi="Times New Roman" w:cs="Times New Roman"/>
          <w:b/>
          <w:bCs/>
          <w:sz w:val="24"/>
          <w:szCs w:val="24"/>
        </w:rPr>
      </w:pPr>
      <w:r w:rsidRPr="005F0A32">
        <w:rPr>
          <w:rFonts w:ascii="Times New Roman" w:eastAsia="Calibri" w:hAnsi="Times New Roman" w:cs="Times New Roman"/>
          <w:b/>
          <w:bCs/>
          <w:sz w:val="24"/>
          <w:szCs w:val="24"/>
        </w:rPr>
        <w:t>Aktywni w Gościnie (Gmina Gościno)</w:t>
      </w:r>
    </w:p>
    <w:p w14:paraId="35C3353D" w14:textId="77777777" w:rsidR="00BB5D9D" w:rsidRPr="00844BCC" w:rsidRDefault="00BB5D9D" w:rsidP="000D7CDE">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Projekt był realizowany przez Stowarzyszenie „IMEJDA” wraz z Gminą Gościno w ramach Rządowego Programu na rzecz Aktywności Społecznej Osób Starszych. Projekt zakładał </w:t>
      </w:r>
      <w:r w:rsidRPr="005F0A32">
        <w:rPr>
          <w:rFonts w:ascii="Times New Roman" w:eastAsia="Calibri" w:hAnsi="Times New Roman" w:cs="Times New Roman"/>
          <w:sz w:val="24"/>
          <w:szCs w:val="24"/>
        </w:rPr>
        <w:lastRenderedPageBreak/>
        <w:t>realizację form integracji wewnątrzpokoleniowej, międzypokoleniowej w środowisku osób powyżej 60 roku życia zamieszkujących obszar gminy. Projektem zostało objętych 100 osób powyżej 60 lat, które brały udział w warsztatach i szkoleniach edukacyjnych: odbyły się zajęcia z obsługi komputera, warsztaty z języka angielskiego, warsztaty teatralne, zajęcia sportowe, w tym Nordic Walking, ćwiczenia z hantlami oraz taśmami do fitness. W ramach zajęć poradniczo – doradczych przeprowadzono zajęcia z dietetykiem, warsztaty ze wzmocnienia kondycji psychicznej, zajęcia z prawnikiem oraz zajęcia z pielęgniarką. Zajęcia rękodzielnicze stanowiły warsztaty z filcowania. P</w:t>
      </w:r>
      <w:r w:rsidR="001B6EF3">
        <w:rPr>
          <w:rFonts w:ascii="Times New Roman" w:eastAsia="Calibri" w:hAnsi="Times New Roman" w:cs="Times New Roman"/>
          <w:sz w:val="24"/>
          <w:szCs w:val="24"/>
        </w:rPr>
        <w:t xml:space="preserve">rojekt obejmował również pomoc </w:t>
      </w:r>
      <w:r w:rsidRPr="005F0A32">
        <w:rPr>
          <w:rFonts w:ascii="Times New Roman" w:eastAsia="Calibri" w:hAnsi="Times New Roman" w:cs="Times New Roman"/>
          <w:sz w:val="24"/>
          <w:szCs w:val="24"/>
        </w:rPr>
        <w:t>w formie wolontariatu dla osób z ograniczoną samodzielnością. Projekt został zakończony wyjazdem do Teatru w Koszalinie oraz trzydniowym wyjazdem studyjnym do Poznania. Projekt przyczynił się do zwiększenia aktywności seniorów oraz integracji społeczności lok</w:t>
      </w:r>
      <w:r w:rsidR="00844BCC">
        <w:rPr>
          <w:rFonts w:ascii="Times New Roman" w:eastAsia="Calibri" w:hAnsi="Times New Roman" w:cs="Times New Roman"/>
          <w:sz w:val="24"/>
          <w:szCs w:val="24"/>
        </w:rPr>
        <w:t>alnej na terenie gminy Gościno</w:t>
      </w:r>
      <w:r w:rsidR="00844BCC">
        <w:rPr>
          <w:rStyle w:val="Odwoanieprzypisudolnego"/>
          <w:rFonts w:ascii="Times New Roman" w:eastAsia="Calibri" w:hAnsi="Times New Roman" w:cs="Times New Roman"/>
          <w:sz w:val="24"/>
          <w:szCs w:val="24"/>
        </w:rPr>
        <w:footnoteReference w:id="224"/>
      </w:r>
      <w:r w:rsidR="00844BCC">
        <w:rPr>
          <w:rFonts w:ascii="Times New Roman" w:eastAsia="Calibri" w:hAnsi="Times New Roman" w:cs="Times New Roman"/>
          <w:sz w:val="24"/>
          <w:szCs w:val="24"/>
        </w:rPr>
        <w:t>.</w:t>
      </w:r>
    </w:p>
    <w:p w14:paraId="1CDE3603" w14:textId="77777777" w:rsidR="00BB5D9D" w:rsidRPr="005F0A32" w:rsidRDefault="00BB5D9D" w:rsidP="000D7CDE">
      <w:pPr>
        <w:spacing w:after="0"/>
        <w:jc w:val="both"/>
        <w:rPr>
          <w:rFonts w:ascii="Times New Roman" w:eastAsia="Calibri" w:hAnsi="Times New Roman" w:cs="Times New Roman"/>
          <w:sz w:val="24"/>
          <w:szCs w:val="24"/>
          <w:lang w:val="en-US"/>
        </w:rPr>
      </w:pPr>
    </w:p>
    <w:p w14:paraId="13CAC432" w14:textId="77777777" w:rsidR="00BB5D9D" w:rsidRPr="005F0A32" w:rsidRDefault="00BB5D9D" w:rsidP="000D7CDE">
      <w:pPr>
        <w:autoSpaceDE w:val="0"/>
        <w:autoSpaceDN w:val="0"/>
        <w:adjustRightInd w:val="0"/>
        <w:spacing w:after="0"/>
        <w:jc w:val="both"/>
        <w:rPr>
          <w:rFonts w:ascii="Times New Roman" w:eastAsia="Calibri" w:hAnsi="Times New Roman" w:cs="Times New Roman"/>
          <w:b/>
          <w:bCs/>
          <w:color w:val="000000"/>
          <w:sz w:val="24"/>
          <w:szCs w:val="24"/>
        </w:rPr>
      </w:pPr>
      <w:r w:rsidRPr="005F0A32">
        <w:rPr>
          <w:rFonts w:ascii="Times New Roman" w:eastAsia="Calibri" w:hAnsi="Times New Roman" w:cs="Times New Roman"/>
          <w:b/>
          <w:bCs/>
          <w:color w:val="000000"/>
          <w:sz w:val="24"/>
          <w:szCs w:val="24"/>
        </w:rPr>
        <w:t>Utworzenie Centrum Seniora w Szczecinie (Gmina Miasto Szczecin)</w:t>
      </w:r>
    </w:p>
    <w:p w14:paraId="64D560FE" w14:textId="77777777" w:rsidR="00BB5D9D" w:rsidRPr="005F0A32" w:rsidRDefault="00BB5D9D" w:rsidP="000D7CDE">
      <w:pPr>
        <w:autoSpaceDE w:val="0"/>
        <w:autoSpaceDN w:val="0"/>
        <w:adjustRightInd w:val="0"/>
        <w:spacing w:after="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Od 19 czerwca 2019 r. w Szczecinie rozpoczęło funkcjonowanie Centrum Seniora </w:t>
      </w:r>
      <w:r w:rsidRPr="005F0A32">
        <w:rPr>
          <w:rFonts w:ascii="Times New Roman" w:eastAsia="Calibri" w:hAnsi="Times New Roman" w:cs="Times New Roman"/>
          <w:color w:val="000000"/>
          <w:sz w:val="24"/>
          <w:szCs w:val="24"/>
        </w:rPr>
        <w:br/>
        <w:t>w Szczecinie, tj. nowe miejsce na mapie miasta dedykowane najstarszym mieszkańcom. Działalność Centrum miało służyć pobudzaniu aktywności obywatelskiej, społecznej, kulturalnej, zdrowotnej i edukacyjnej osób w wieku 60+, które są już na emeryturze. Celem Centrum w 2019 r. było wychodzenie naprzeciw zróżnicowanym potrzebom osób starszych, stwarzając przy tym warunki szeroko rozumianego rozwoju seniorów, wsparcia społecznego oraz przygotow</w:t>
      </w:r>
      <w:r w:rsidR="00844BCC">
        <w:rPr>
          <w:rFonts w:ascii="Times New Roman" w:eastAsia="Calibri" w:hAnsi="Times New Roman" w:cs="Times New Roman"/>
          <w:color w:val="000000"/>
          <w:sz w:val="24"/>
          <w:szCs w:val="24"/>
        </w:rPr>
        <w:t>ania do pełnego życia seniorów</w:t>
      </w:r>
      <w:r w:rsidR="00844BCC">
        <w:rPr>
          <w:rStyle w:val="Odwoanieprzypisudolnego"/>
          <w:rFonts w:ascii="Times New Roman" w:eastAsia="Calibri" w:hAnsi="Times New Roman" w:cs="Times New Roman"/>
          <w:color w:val="000000"/>
          <w:sz w:val="24"/>
          <w:szCs w:val="24"/>
        </w:rPr>
        <w:footnoteReference w:id="225"/>
      </w:r>
      <w:r w:rsidR="00844BCC">
        <w:rPr>
          <w:rFonts w:ascii="Times New Roman" w:eastAsia="Calibri" w:hAnsi="Times New Roman" w:cs="Times New Roman"/>
          <w:color w:val="000000"/>
          <w:sz w:val="24"/>
          <w:szCs w:val="24"/>
        </w:rPr>
        <w:t>.</w:t>
      </w:r>
    </w:p>
    <w:p w14:paraId="68F6DE44" w14:textId="77777777" w:rsidR="00BB5D9D" w:rsidRPr="005F0A32" w:rsidRDefault="00BB5D9D" w:rsidP="000D7CDE">
      <w:pPr>
        <w:autoSpaceDE w:val="0"/>
        <w:autoSpaceDN w:val="0"/>
        <w:adjustRightInd w:val="0"/>
        <w:spacing w:after="0"/>
        <w:jc w:val="both"/>
        <w:rPr>
          <w:rFonts w:ascii="Times New Roman" w:eastAsia="Calibri" w:hAnsi="Times New Roman" w:cs="Times New Roman"/>
          <w:color w:val="000000"/>
          <w:sz w:val="24"/>
          <w:szCs w:val="24"/>
        </w:rPr>
      </w:pPr>
    </w:p>
    <w:p w14:paraId="61B9C96B" w14:textId="77777777" w:rsidR="00BB5D9D" w:rsidRPr="005F0A32" w:rsidRDefault="00BB5D9D" w:rsidP="000D7CDE">
      <w:pPr>
        <w:autoSpaceDE w:val="0"/>
        <w:autoSpaceDN w:val="0"/>
        <w:adjustRightInd w:val="0"/>
        <w:spacing w:after="0"/>
        <w:jc w:val="both"/>
        <w:rPr>
          <w:rFonts w:ascii="Times New Roman" w:eastAsia="Calibri" w:hAnsi="Times New Roman" w:cs="Times New Roman"/>
          <w:b/>
          <w:bCs/>
          <w:color w:val="000000"/>
          <w:sz w:val="24"/>
          <w:szCs w:val="24"/>
        </w:rPr>
      </w:pPr>
      <w:r w:rsidRPr="005F0A32">
        <w:rPr>
          <w:rFonts w:ascii="Times New Roman" w:eastAsia="Calibri" w:hAnsi="Times New Roman" w:cs="Times New Roman"/>
          <w:b/>
          <w:bCs/>
          <w:color w:val="000000"/>
          <w:sz w:val="24"/>
          <w:szCs w:val="24"/>
        </w:rPr>
        <w:t>„Senioriada – 2019” (Powiat Myśliborski)</w:t>
      </w:r>
    </w:p>
    <w:p w14:paraId="2F70EB3C" w14:textId="77777777" w:rsidR="00BB5D9D" w:rsidRDefault="00BB5D9D" w:rsidP="000D7CDE">
      <w:pPr>
        <w:autoSpaceDE w:val="0"/>
        <w:autoSpaceDN w:val="0"/>
        <w:adjustRightInd w:val="0"/>
        <w:spacing w:after="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Zadanie realizowane było w ramach wspierania i upowszechniania kultury fizycznej przez Powiatowe Zrzeszenie Ludowe Zespoły Sportowe w Myśliborzu. Impreza sportowo – rekreacyjna mająca na celu integrację środowiska emerytów i rencistów policyjnych. Liczba osób: ok.115. Miejsc</w:t>
      </w:r>
      <w:r w:rsidR="00844BCC">
        <w:rPr>
          <w:rFonts w:ascii="Times New Roman" w:eastAsia="Calibri" w:hAnsi="Times New Roman" w:cs="Times New Roman"/>
          <w:color w:val="000000"/>
          <w:sz w:val="24"/>
          <w:szCs w:val="24"/>
        </w:rPr>
        <w:t>e imprezy: Plaża w Myśliborzu</w:t>
      </w:r>
      <w:r w:rsidR="00844BCC">
        <w:rPr>
          <w:rStyle w:val="Odwoanieprzypisudolnego"/>
          <w:rFonts w:ascii="Times New Roman" w:eastAsia="Calibri" w:hAnsi="Times New Roman" w:cs="Times New Roman"/>
          <w:color w:val="000000"/>
          <w:sz w:val="24"/>
          <w:szCs w:val="24"/>
        </w:rPr>
        <w:footnoteReference w:id="226"/>
      </w:r>
      <w:r w:rsidR="00844BCC">
        <w:rPr>
          <w:rFonts w:ascii="Times New Roman" w:eastAsia="Calibri" w:hAnsi="Times New Roman" w:cs="Times New Roman"/>
          <w:color w:val="000000"/>
          <w:sz w:val="24"/>
          <w:szCs w:val="24"/>
        </w:rPr>
        <w:t>.</w:t>
      </w:r>
    </w:p>
    <w:p w14:paraId="19FD1CB7" w14:textId="77777777" w:rsidR="00844BCC" w:rsidRPr="005F0A32" w:rsidRDefault="00844BCC" w:rsidP="000D7CDE">
      <w:pPr>
        <w:autoSpaceDE w:val="0"/>
        <w:autoSpaceDN w:val="0"/>
        <w:adjustRightInd w:val="0"/>
        <w:spacing w:after="0"/>
        <w:jc w:val="both"/>
        <w:rPr>
          <w:rFonts w:ascii="Times New Roman" w:eastAsia="Calibri" w:hAnsi="Times New Roman" w:cs="Times New Roman"/>
          <w:color w:val="000000"/>
          <w:sz w:val="24"/>
          <w:szCs w:val="24"/>
        </w:rPr>
      </w:pPr>
    </w:p>
    <w:p w14:paraId="1E4349A3" w14:textId="77777777" w:rsidR="00BB5D9D" w:rsidRPr="005F0A32" w:rsidRDefault="00BB5D9D" w:rsidP="000D7CDE">
      <w:pPr>
        <w:autoSpaceDE w:val="0"/>
        <w:autoSpaceDN w:val="0"/>
        <w:adjustRightInd w:val="0"/>
        <w:spacing w:after="0"/>
        <w:jc w:val="both"/>
        <w:rPr>
          <w:rFonts w:ascii="Times New Roman" w:eastAsia="Calibri" w:hAnsi="Times New Roman" w:cs="Times New Roman"/>
          <w:b/>
          <w:bCs/>
          <w:color w:val="000000"/>
          <w:sz w:val="24"/>
          <w:szCs w:val="24"/>
        </w:rPr>
      </w:pPr>
      <w:r w:rsidRPr="005F0A32">
        <w:rPr>
          <w:rFonts w:ascii="Times New Roman" w:eastAsia="Calibri" w:hAnsi="Times New Roman" w:cs="Times New Roman"/>
          <w:b/>
          <w:bCs/>
          <w:color w:val="000000"/>
          <w:sz w:val="24"/>
          <w:szCs w:val="24"/>
        </w:rPr>
        <w:t>Centrum Mentoringu i Wolontariatu Seniorów (Gmina Goleniów)</w:t>
      </w:r>
    </w:p>
    <w:p w14:paraId="166CABB0" w14:textId="77777777" w:rsidR="00BB5D9D" w:rsidRPr="00844BCC" w:rsidRDefault="00BB5D9D" w:rsidP="000D7CDE">
      <w:pPr>
        <w:autoSpaceDE w:val="0"/>
        <w:autoSpaceDN w:val="0"/>
        <w:adjustRightInd w:val="0"/>
        <w:spacing w:after="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Centrum skupiało lokalne organizacje senioralne wokół idei pracy na rzecz drugiego człowieka. Jest inicjatorem, koordynatorem i rejestratorem skali działań wolontarystycznych realizowanych przez seniorów. Zakres działania: wspieranie osób starszych poprzez wspólne spędzanie wolnego czasu (wolontariat hobbystyczny, opiekuńczy) a także zawieranie więzi międzypokoleniowych. Ilość wypracowanych godzin: 853 Ilość wolonta</w:t>
      </w:r>
      <w:r w:rsidR="00844BCC">
        <w:rPr>
          <w:rFonts w:ascii="Times New Roman" w:eastAsia="Calibri" w:hAnsi="Times New Roman" w:cs="Times New Roman"/>
          <w:color w:val="000000"/>
          <w:sz w:val="24"/>
          <w:szCs w:val="24"/>
        </w:rPr>
        <w:t>riuszy: 286 Ilość inicjatyw: 21</w:t>
      </w:r>
      <w:r w:rsidR="00844BCC">
        <w:rPr>
          <w:rStyle w:val="Odwoanieprzypisudolnego"/>
          <w:rFonts w:ascii="Times New Roman" w:eastAsia="Calibri" w:hAnsi="Times New Roman" w:cs="Times New Roman"/>
          <w:color w:val="000000"/>
          <w:sz w:val="24"/>
          <w:szCs w:val="24"/>
        </w:rPr>
        <w:footnoteReference w:id="227"/>
      </w:r>
    </w:p>
    <w:p w14:paraId="62033EA0" w14:textId="77777777" w:rsidR="00BB5D9D" w:rsidRPr="005F0A32" w:rsidRDefault="00BB5D9D" w:rsidP="000D7CDE">
      <w:pPr>
        <w:spacing w:after="0"/>
        <w:jc w:val="both"/>
        <w:rPr>
          <w:rFonts w:ascii="Times New Roman" w:eastAsia="Calibri" w:hAnsi="Times New Roman" w:cs="Times New Roman"/>
          <w:b/>
          <w:sz w:val="24"/>
          <w:szCs w:val="24"/>
          <w:lang w:val="en-US"/>
        </w:rPr>
      </w:pPr>
    </w:p>
    <w:p w14:paraId="3186691A" w14:textId="77777777" w:rsidR="00BB5D9D" w:rsidRPr="005F0A32" w:rsidRDefault="00BB5D9D" w:rsidP="000D7CDE">
      <w:pPr>
        <w:spacing w:after="0"/>
        <w:jc w:val="both"/>
        <w:rPr>
          <w:rFonts w:ascii="Times New Roman" w:eastAsia="Calibri" w:hAnsi="Times New Roman" w:cs="Times New Roman"/>
          <w:b/>
          <w:sz w:val="24"/>
          <w:szCs w:val="24"/>
        </w:rPr>
      </w:pPr>
      <w:r w:rsidRPr="005F0A32">
        <w:rPr>
          <w:rFonts w:ascii="Times New Roman" w:eastAsia="Calibri" w:hAnsi="Times New Roman" w:cs="Times New Roman"/>
          <w:b/>
          <w:sz w:val="24"/>
          <w:szCs w:val="24"/>
        </w:rPr>
        <w:t>Miejski Program na rzecz osób starszych (Miasto Koszalin)</w:t>
      </w:r>
    </w:p>
    <w:p w14:paraId="0C7AD048" w14:textId="77777777" w:rsidR="00BB5D9D" w:rsidRPr="005F0A32" w:rsidRDefault="00BB5D9D" w:rsidP="000D7CDE">
      <w:pPr>
        <w:spacing w:after="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W ramach programu realizowane były m.in. następujące przedsięwzięcia:</w:t>
      </w:r>
    </w:p>
    <w:p w14:paraId="5E9518B8" w14:textId="77777777" w:rsidR="001B6EF3" w:rsidRPr="001B6EF3" w:rsidRDefault="00BB5D9D" w:rsidP="008C71A9">
      <w:pPr>
        <w:pStyle w:val="Akapitzlist"/>
        <w:numPr>
          <w:ilvl w:val="0"/>
          <w:numId w:val="199"/>
        </w:numPr>
        <w:spacing w:after="0"/>
        <w:ind w:left="360"/>
        <w:jc w:val="both"/>
        <w:rPr>
          <w:rFonts w:ascii="Times New Roman" w:eastAsia="Calibri" w:hAnsi="Times New Roman" w:cs="Times New Roman"/>
          <w:b/>
          <w:sz w:val="24"/>
          <w:szCs w:val="24"/>
        </w:rPr>
      </w:pPr>
      <w:r w:rsidRPr="001B6EF3">
        <w:rPr>
          <w:rFonts w:ascii="Times New Roman" w:eastAsia="Calibri" w:hAnsi="Times New Roman" w:cs="Times New Roman"/>
          <w:b/>
          <w:sz w:val="24"/>
          <w:szCs w:val="24"/>
        </w:rPr>
        <w:t>Konkurs Inicjatyw Lokalnych</w:t>
      </w:r>
      <w:r w:rsidRPr="001B6EF3">
        <w:rPr>
          <w:rFonts w:ascii="Times New Roman" w:eastAsia="Calibri" w:hAnsi="Times New Roman" w:cs="Times New Roman"/>
          <w:sz w:val="24"/>
          <w:szCs w:val="24"/>
        </w:rPr>
        <w:t xml:space="preserve"> </w:t>
      </w:r>
      <w:r w:rsidRPr="001B6EF3">
        <w:rPr>
          <w:rFonts w:ascii="Times New Roman" w:eastAsia="Calibri" w:hAnsi="Times New Roman" w:cs="Times New Roman"/>
          <w:b/>
          <w:sz w:val="24"/>
          <w:szCs w:val="24"/>
        </w:rPr>
        <w:t>„Start-Up Kultura- Srebrne Pantery</w:t>
      </w:r>
      <w:r w:rsidRPr="001B6EF3">
        <w:rPr>
          <w:rFonts w:ascii="Times New Roman" w:eastAsia="Calibri" w:hAnsi="Times New Roman" w:cs="Times New Roman"/>
          <w:sz w:val="24"/>
          <w:szCs w:val="24"/>
        </w:rPr>
        <w:t xml:space="preserve">”. Konkurs skierowany do pomysłodawców-seniorów. Nadesłano 7 propozycji: 3 przedsięwzięcia „Akordeonowa Wirtuozeria”, „Wieczór wspomnień w Pierwszą Rocznicę śmierci </w:t>
      </w:r>
      <w:r w:rsidRPr="001B6EF3">
        <w:rPr>
          <w:rFonts w:ascii="Times New Roman" w:eastAsia="Calibri" w:hAnsi="Times New Roman" w:cs="Times New Roman"/>
          <w:sz w:val="24"/>
          <w:szCs w:val="24"/>
        </w:rPr>
        <w:lastRenderedPageBreak/>
        <w:t>Profesora Rzeźbiarza Zygmunta Wujka”, „Dawno temu w Koszalinie…” - warsztaty scrabookingu dla seniorów z Koszalina. Organizatorem było Centrum Kultury 105. W inicjatywie udział wzięło 250 osób.</w:t>
      </w:r>
    </w:p>
    <w:p w14:paraId="18E23E63" w14:textId="77777777" w:rsidR="003707B0" w:rsidRPr="003707B0" w:rsidRDefault="00BB5D9D" w:rsidP="008C71A9">
      <w:pPr>
        <w:pStyle w:val="Akapitzlist"/>
        <w:numPr>
          <w:ilvl w:val="0"/>
          <w:numId w:val="199"/>
        </w:numPr>
        <w:spacing w:after="0"/>
        <w:ind w:left="360"/>
        <w:jc w:val="both"/>
        <w:rPr>
          <w:rFonts w:ascii="Times New Roman" w:eastAsia="Calibri" w:hAnsi="Times New Roman" w:cs="Times New Roman"/>
          <w:b/>
          <w:sz w:val="24"/>
          <w:szCs w:val="24"/>
        </w:rPr>
      </w:pPr>
      <w:r w:rsidRPr="001B6EF3">
        <w:rPr>
          <w:rFonts w:ascii="Times New Roman" w:eastAsia="Calibri" w:hAnsi="Times New Roman" w:cs="Times New Roman"/>
          <w:b/>
          <w:sz w:val="24"/>
          <w:szCs w:val="24"/>
        </w:rPr>
        <w:t>Zajęcia taneczne dla kobiet dojrzałych Szyk</w:t>
      </w:r>
      <w:r w:rsidRPr="001B6EF3">
        <w:rPr>
          <w:rFonts w:ascii="Times New Roman" w:eastAsia="Calibri" w:hAnsi="Times New Roman" w:cs="Times New Roman"/>
          <w:sz w:val="24"/>
          <w:szCs w:val="24"/>
        </w:rPr>
        <w:t>. Formacja Taneczna Szyk zdobyła Złoty Żagiel na Festiwalu w Bułgarii. Organizatorem było Centrum Kultury 105.</w:t>
      </w:r>
      <w:r w:rsidRPr="001B6EF3">
        <w:rPr>
          <w:rFonts w:ascii="Times New Roman" w:eastAsia="Calibri" w:hAnsi="Times New Roman" w:cs="Times New Roman"/>
          <w:sz w:val="24"/>
          <w:szCs w:val="24"/>
          <w:lang w:eastAsia="ar-SA"/>
        </w:rPr>
        <w:t xml:space="preserve"> Udział wzięło 38 seniorów.</w:t>
      </w:r>
    </w:p>
    <w:p w14:paraId="3A8012E3" w14:textId="77777777" w:rsidR="003707B0" w:rsidRPr="003707B0" w:rsidRDefault="00BB5D9D" w:rsidP="008C71A9">
      <w:pPr>
        <w:pStyle w:val="Akapitzlist"/>
        <w:numPr>
          <w:ilvl w:val="0"/>
          <w:numId w:val="199"/>
        </w:numPr>
        <w:spacing w:after="0"/>
        <w:ind w:left="360"/>
        <w:jc w:val="both"/>
        <w:rPr>
          <w:rFonts w:ascii="Times New Roman" w:eastAsia="Calibri" w:hAnsi="Times New Roman" w:cs="Times New Roman"/>
          <w:b/>
          <w:sz w:val="24"/>
          <w:szCs w:val="24"/>
        </w:rPr>
      </w:pPr>
      <w:r w:rsidRPr="003707B0">
        <w:rPr>
          <w:rFonts w:ascii="Times New Roman" w:eastAsia="Calibri" w:hAnsi="Times New Roman" w:cs="Times New Roman"/>
          <w:b/>
          <w:sz w:val="24"/>
          <w:szCs w:val="24"/>
          <w:lang w:eastAsia="ar-SA"/>
        </w:rPr>
        <w:t>Książki z dużą czcionką, audiobooki i ebooki</w:t>
      </w:r>
      <w:r w:rsidRPr="003707B0">
        <w:rPr>
          <w:rFonts w:ascii="Times New Roman" w:eastAsia="Calibri" w:hAnsi="Times New Roman" w:cs="Times New Roman"/>
          <w:sz w:val="24"/>
          <w:szCs w:val="24"/>
          <w:lang w:eastAsia="ar-SA"/>
        </w:rPr>
        <w:t xml:space="preserve">. Z myślą o osobach starszych </w:t>
      </w:r>
      <w:r w:rsidRPr="003707B0">
        <w:rPr>
          <w:rFonts w:ascii="Times New Roman" w:eastAsia="Calibri" w:hAnsi="Times New Roman" w:cs="Times New Roman"/>
          <w:sz w:val="24"/>
          <w:szCs w:val="24"/>
          <w:lang w:eastAsia="ar-SA"/>
        </w:rPr>
        <w:br/>
        <w:t xml:space="preserve">w Koszalińskiej Bibliotece Publicznej gromadzone są książki z powiększonym drukiem, ok. 1050 woluminów, zbiór audiobooków oraz dostęp do e-booków na odpowiednich platformach z możliwością powiększenia wielkości czcionki. </w:t>
      </w:r>
      <w:r w:rsidR="00FD7B03">
        <w:rPr>
          <w:rFonts w:ascii="Times New Roman" w:eastAsia="Calibri" w:hAnsi="Times New Roman" w:cs="Times New Roman"/>
          <w:bCs/>
          <w:sz w:val="24"/>
          <w:szCs w:val="24"/>
        </w:rPr>
        <w:t>W 2019 r.</w:t>
      </w:r>
      <w:r w:rsidRPr="003707B0">
        <w:rPr>
          <w:rFonts w:ascii="Times New Roman" w:eastAsia="Calibri" w:hAnsi="Times New Roman" w:cs="Times New Roman"/>
          <w:bCs/>
          <w:sz w:val="24"/>
          <w:szCs w:val="24"/>
        </w:rPr>
        <w:t xml:space="preserve"> 4</w:t>
      </w:r>
      <w:r w:rsidR="00FD7B03">
        <w:rPr>
          <w:rFonts w:ascii="Times New Roman" w:eastAsia="Calibri" w:hAnsi="Times New Roman" w:cs="Times New Roman"/>
          <w:bCs/>
          <w:sz w:val="24"/>
          <w:szCs w:val="24"/>
        </w:rPr>
        <w:t xml:space="preserve"> </w:t>
      </w:r>
      <w:r w:rsidRPr="003707B0">
        <w:rPr>
          <w:rFonts w:ascii="Times New Roman" w:eastAsia="Calibri" w:hAnsi="Times New Roman" w:cs="Times New Roman"/>
          <w:bCs/>
          <w:sz w:val="24"/>
          <w:szCs w:val="24"/>
        </w:rPr>
        <w:t xml:space="preserve">200 seniorów powyżej 60 lat skorzystało w Koszalinie ze zbiorów bibliotecznych. </w:t>
      </w:r>
    </w:p>
    <w:p w14:paraId="5E616DC6" w14:textId="77777777" w:rsidR="003707B0" w:rsidRPr="003707B0" w:rsidRDefault="00BB5D9D" w:rsidP="008C71A9">
      <w:pPr>
        <w:pStyle w:val="Akapitzlist"/>
        <w:numPr>
          <w:ilvl w:val="0"/>
          <w:numId w:val="199"/>
        </w:numPr>
        <w:spacing w:after="0"/>
        <w:ind w:left="360"/>
        <w:jc w:val="both"/>
        <w:rPr>
          <w:rFonts w:ascii="Times New Roman" w:eastAsia="Calibri" w:hAnsi="Times New Roman" w:cs="Times New Roman"/>
          <w:b/>
          <w:sz w:val="24"/>
          <w:szCs w:val="24"/>
        </w:rPr>
      </w:pPr>
      <w:r w:rsidRPr="003707B0">
        <w:rPr>
          <w:rFonts w:ascii="Times New Roman" w:eastAsia="Calibri" w:hAnsi="Times New Roman" w:cs="Times New Roman"/>
          <w:b/>
          <w:sz w:val="24"/>
          <w:szCs w:val="24"/>
        </w:rPr>
        <w:t>Kursy komputerowe dla seniorów.</w:t>
      </w:r>
      <w:r w:rsidRPr="003707B0">
        <w:rPr>
          <w:rFonts w:ascii="Times New Roman" w:eastAsia="Calibri" w:hAnsi="Times New Roman" w:cs="Times New Roman"/>
          <w:sz w:val="24"/>
          <w:szCs w:val="24"/>
        </w:rPr>
        <w:t xml:space="preserve"> </w:t>
      </w:r>
      <w:r w:rsidRPr="003707B0">
        <w:rPr>
          <w:rFonts w:ascii="Times New Roman" w:hAnsi="Times New Roman" w:cs="Times New Roman"/>
          <w:sz w:val="24"/>
          <w:szCs w:val="24"/>
        </w:rPr>
        <w:t>Obejmowały zagadnienia związane z podstawami obsługi komputera, Microsoft Office Word, wyszukiwaniem informacji w Internecie, komunikatorami, pocztą elektroniczną, mediami społecznościowymi. Organizatorem kursów była Miejska Biblioteka Publiczna. Udział w kursach wzięło 26 seniorów.</w:t>
      </w:r>
    </w:p>
    <w:p w14:paraId="5ABD2091" w14:textId="77777777" w:rsidR="003707B0" w:rsidRPr="003707B0" w:rsidRDefault="00BB5D9D" w:rsidP="008C71A9">
      <w:pPr>
        <w:pStyle w:val="Akapitzlist"/>
        <w:numPr>
          <w:ilvl w:val="0"/>
          <w:numId w:val="199"/>
        </w:numPr>
        <w:spacing w:after="0"/>
        <w:ind w:left="360"/>
        <w:jc w:val="both"/>
        <w:rPr>
          <w:rFonts w:ascii="Times New Roman" w:eastAsia="Calibri" w:hAnsi="Times New Roman" w:cs="Times New Roman"/>
          <w:b/>
          <w:sz w:val="24"/>
          <w:szCs w:val="24"/>
        </w:rPr>
      </w:pPr>
      <w:r w:rsidRPr="003707B0">
        <w:rPr>
          <w:rFonts w:ascii="Times New Roman" w:eastAsia="Calibri" w:hAnsi="Times New Roman" w:cs="Times New Roman"/>
          <w:b/>
          <w:bCs/>
          <w:sz w:val="24"/>
          <w:szCs w:val="24"/>
        </w:rPr>
        <w:t>Międzynarodowy Dzień Dziergania w Miejscach Publicznych -</w:t>
      </w:r>
      <w:r w:rsidRPr="003707B0">
        <w:rPr>
          <w:rFonts w:ascii="Times New Roman" w:eastAsia="Calibri" w:hAnsi="Times New Roman" w:cs="Times New Roman"/>
          <w:bCs/>
          <w:sz w:val="24"/>
          <w:szCs w:val="24"/>
        </w:rPr>
        <w:t xml:space="preserve"> Muzeum w Koszalinie </w:t>
      </w:r>
      <w:r w:rsidRPr="003707B0">
        <w:rPr>
          <w:rFonts w:ascii="Times New Roman" w:eastAsia="Calibri" w:hAnsi="Times New Roman" w:cs="Times New Roman"/>
          <w:bCs/>
          <w:sz w:val="24"/>
          <w:szCs w:val="24"/>
        </w:rPr>
        <w:br/>
        <w:t>z inicjatywy pięciu seniorek z kółka „Robótkowo” zorganizowało spotkanie w Zagrodzie Jamneńskiej. Udział wzięło 20 seniorów.</w:t>
      </w:r>
    </w:p>
    <w:p w14:paraId="24973A23" w14:textId="77777777" w:rsidR="003707B0" w:rsidRPr="003707B0" w:rsidRDefault="00BB5D9D" w:rsidP="008C71A9">
      <w:pPr>
        <w:pStyle w:val="Akapitzlist"/>
        <w:numPr>
          <w:ilvl w:val="0"/>
          <w:numId w:val="199"/>
        </w:numPr>
        <w:spacing w:after="0"/>
        <w:ind w:left="360"/>
        <w:jc w:val="both"/>
        <w:rPr>
          <w:rFonts w:ascii="Times New Roman" w:eastAsia="Calibri" w:hAnsi="Times New Roman" w:cs="Times New Roman"/>
          <w:b/>
          <w:sz w:val="24"/>
          <w:szCs w:val="24"/>
        </w:rPr>
      </w:pPr>
      <w:r w:rsidRPr="003707B0">
        <w:rPr>
          <w:rFonts w:ascii="Times New Roman" w:eastAsia="Calibri" w:hAnsi="Times New Roman" w:cs="Times New Roman"/>
          <w:b/>
          <w:bCs/>
          <w:sz w:val="24"/>
          <w:szCs w:val="24"/>
          <w:lang w:eastAsia="zh-CN"/>
        </w:rPr>
        <w:t>Bilet Aqua Senior.</w:t>
      </w:r>
      <w:r w:rsidRPr="003707B0">
        <w:rPr>
          <w:rFonts w:ascii="Times New Roman" w:eastAsia="Calibri" w:hAnsi="Times New Roman" w:cs="Times New Roman"/>
          <w:b/>
          <w:sz w:val="24"/>
          <w:szCs w:val="24"/>
          <w:lang w:eastAsia="zh-CN"/>
        </w:rPr>
        <w:t xml:space="preserve"> </w:t>
      </w:r>
      <w:r w:rsidRPr="003707B0">
        <w:rPr>
          <w:rFonts w:ascii="Times New Roman" w:eastAsia="Calibri" w:hAnsi="Times New Roman" w:cs="Times New Roman"/>
          <w:sz w:val="24"/>
          <w:szCs w:val="24"/>
          <w:lang w:eastAsia="zh-CN"/>
        </w:rPr>
        <w:t xml:space="preserve">Oferta </w:t>
      </w:r>
      <w:r w:rsidRPr="003707B0">
        <w:rPr>
          <w:rFonts w:ascii="Times New Roman" w:eastAsia="Calibri" w:hAnsi="Times New Roman" w:cs="Times New Roman"/>
          <w:sz w:val="24"/>
          <w:szCs w:val="24"/>
        </w:rPr>
        <w:t xml:space="preserve">Parku Wodnego w Koszalinie. Bilet </w:t>
      </w:r>
      <w:r w:rsidRPr="003707B0">
        <w:rPr>
          <w:rFonts w:ascii="Times New Roman" w:eastAsia="Calibri" w:hAnsi="Times New Roman" w:cs="Times New Roman"/>
          <w:sz w:val="24"/>
          <w:szCs w:val="24"/>
          <w:lang w:eastAsia="zh-CN"/>
        </w:rPr>
        <w:t xml:space="preserve">aktywny od poniedziałku </w:t>
      </w:r>
      <w:r w:rsidRPr="003707B0">
        <w:rPr>
          <w:rFonts w:ascii="Times New Roman" w:eastAsia="Calibri" w:hAnsi="Times New Roman" w:cs="Times New Roman"/>
          <w:sz w:val="24"/>
          <w:szCs w:val="24"/>
          <w:lang w:eastAsia="zh-CN"/>
        </w:rPr>
        <w:br/>
        <w:t xml:space="preserve">do niedzieli w godzinach od 9.00 do 14.00 - </w:t>
      </w:r>
      <w:r w:rsidRPr="003707B0">
        <w:rPr>
          <w:rFonts w:ascii="Times New Roman" w:eastAsia="Calibri" w:hAnsi="Times New Roman" w:cs="Times New Roman"/>
          <w:bCs/>
          <w:sz w:val="24"/>
          <w:szCs w:val="24"/>
          <w:lang w:eastAsia="zh-CN"/>
        </w:rPr>
        <w:t>bilet kosztował 10 z</w:t>
      </w:r>
      <w:r w:rsidRPr="003707B0">
        <w:rPr>
          <w:rFonts w:ascii="Times New Roman" w:eastAsia="Calibri" w:hAnsi="Times New Roman" w:cs="Times New Roman"/>
          <w:sz w:val="24"/>
          <w:szCs w:val="24"/>
          <w:lang w:eastAsia="zh-CN"/>
        </w:rPr>
        <w:t>ł i uprawniał do 2 godzinnego pobytu w st</w:t>
      </w:r>
      <w:r w:rsidR="00FD7B03">
        <w:rPr>
          <w:rFonts w:ascii="Times New Roman" w:eastAsia="Calibri" w:hAnsi="Times New Roman" w:cs="Times New Roman"/>
          <w:sz w:val="24"/>
          <w:szCs w:val="24"/>
          <w:lang w:eastAsia="zh-CN"/>
        </w:rPr>
        <w:t xml:space="preserve">refie rekreacyjnej. W 2019 r. </w:t>
      </w:r>
      <w:r w:rsidRPr="003707B0">
        <w:rPr>
          <w:rFonts w:ascii="Times New Roman" w:eastAsia="Calibri" w:hAnsi="Times New Roman" w:cs="Times New Roman"/>
          <w:sz w:val="24"/>
          <w:szCs w:val="24"/>
          <w:lang w:eastAsia="zh-CN"/>
        </w:rPr>
        <w:t xml:space="preserve">z oferty skorzystało 31 540 </w:t>
      </w:r>
      <w:r w:rsidR="003707B0" w:rsidRPr="003707B0">
        <w:rPr>
          <w:rFonts w:ascii="Times New Roman" w:eastAsia="Calibri" w:hAnsi="Times New Roman" w:cs="Times New Roman"/>
          <w:sz w:val="24"/>
          <w:szCs w:val="24"/>
          <w:lang w:eastAsia="zh-CN"/>
        </w:rPr>
        <w:t>osób.</w:t>
      </w:r>
    </w:p>
    <w:p w14:paraId="589E13ED" w14:textId="77777777" w:rsidR="003707B0" w:rsidRPr="003707B0" w:rsidRDefault="00BB5D9D" w:rsidP="008C71A9">
      <w:pPr>
        <w:pStyle w:val="Akapitzlist"/>
        <w:numPr>
          <w:ilvl w:val="0"/>
          <w:numId w:val="199"/>
        </w:numPr>
        <w:spacing w:after="0"/>
        <w:ind w:left="360"/>
        <w:jc w:val="both"/>
        <w:rPr>
          <w:rFonts w:ascii="Times New Roman" w:eastAsia="Calibri" w:hAnsi="Times New Roman" w:cs="Times New Roman"/>
          <w:b/>
          <w:sz w:val="24"/>
          <w:szCs w:val="24"/>
        </w:rPr>
      </w:pPr>
      <w:r w:rsidRPr="003707B0">
        <w:rPr>
          <w:rFonts w:ascii="Times New Roman" w:eastAsia="Calibri" w:hAnsi="Times New Roman" w:cs="Times New Roman"/>
          <w:sz w:val="24"/>
          <w:szCs w:val="24"/>
        </w:rPr>
        <w:t>„</w:t>
      </w:r>
      <w:r w:rsidRPr="003707B0">
        <w:rPr>
          <w:rFonts w:ascii="Times New Roman" w:eastAsia="Calibri" w:hAnsi="Times New Roman" w:cs="Times New Roman"/>
          <w:b/>
          <w:sz w:val="24"/>
          <w:szCs w:val="24"/>
        </w:rPr>
        <w:t>Z muzyką za pan brat”.</w:t>
      </w:r>
      <w:r w:rsidRPr="003707B0">
        <w:rPr>
          <w:rFonts w:ascii="Times New Roman" w:eastAsia="Calibri" w:hAnsi="Times New Roman" w:cs="Times New Roman"/>
          <w:sz w:val="24"/>
          <w:szCs w:val="24"/>
        </w:rPr>
        <w:t xml:space="preserve"> 40 seniorów przez cały rok uczestniczyło w zajęciach gry na instrumentach muzycznych. Organizatorem przedsięwzięcia było Stowarzyszenie Krzewienia Kultury FRAZA.</w:t>
      </w:r>
      <w:r w:rsidR="003707B0" w:rsidRPr="003707B0">
        <w:rPr>
          <w:rFonts w:ascii="Times New Roman" w:eastAsia="Calibri" w:hAnsi="Times New Roman" w:cs="Times New Roman"/>
          <w:sz w:val="24"/>
          <w:szCs w:val="24"/>
          <w:lang w:eastAsia="zh-CN"/>
        </w:rPr>
        <w:t xml:space="preserve"> </w:t>
      </w:r>
      <w:r w:rsidR="00FD7B03">
        <w:rPr>
          <w:rFonts w:ascii="Times New Roman" w:eastAsia="Calibri" w:hAnsi="Times New Roman" w:cs="Times New Roman"/>
          <w:sz w:val="24"/>
          <w:szCs w:val="24"/>
        </w:rPr>
        <w:t>Link w sprawie całego Programu</w:t>
      </w:r>
      <w:r w:rsidR="00FD7B03">
        <w:rPr>
          <w:rStyle w:val="Odwoanieprzypisudolnego"/>
          <w:rFonts w:ascii="Times New Roman" w:eastAsia="Calibri" w:hAnsi="Times New Roman" w:cs="Times New Roman"/>
          <w:sz w:val="24"/>
          <w:szCs w:val="24"/>
        </w:rPr>
        <w:footnoteReference w:id="228"/>
      </w:r>
      <w:r w:rsidR="00FD7B03">
        <w:rPr>
          <w:rFonts w:ascii="Times New Roman" w:eastAsia="Calibri" w:hAnsi="Times New Roman" w:cs="Times New Roman"/>
          <w:sz w:val="24"/>
          <w:szCs w:val="24"/>
        </w:rPr>
        <w:t>.</w:t>
      </w:r>
    </w:p>
    <w:p w14:paraId="436F4250" w14:textId="77777777" w:rsidR="003707B0" w:rsidRDefault="003707B0" w:rsidP="000D7CDE">
      <w:pPr>
        <w:spacing w:after="0"/>
        <w:contextualSpacing/>
        <w:jc w:val="both"/>
        <w:rPr>
          <w:rFonts w:ascii="Times New Roman" w:hAnsi="Times New Roman" w:cs="Times New Roman"/>
          <w:b/>
          <w:bCs/>
          <w:sz w:val="24"/>
          <w:szCs w:val="24"/>
        </w:rPr>
      </w:pPr>
    </w:p>
    <w:p w14:paraId="1E4FE163" w14:textId="77777777" w:rsidR="00BB5D9D" w:rsidRPr="003707B0" w:rsidRDefault="00BB5D9D" w:rsidP="000D7CDE">
      <w:pPr>
        <w:spacing w:after="0"/>
        <w:contextualSpacing/>
        <w:jc w:val="both"/>
        <w:rPr>
          <w:rFonts w:ascii="Times New Roman" w:eastAsia="Calibri" w:hAnsi="Times New Roman" w:cs="Times New Roman"/>
          <w:color w:val="0000FF"/>
          <w:sz w:val="24"/>
          <w:szCs w:val="24"/>
          <w:u w:val="single"/>
        </w:rPr>
      </w:pPr>
      <w:r w:rsidRPr="005F0A32">
        <w:rPr>
          <w:rFonts w:ascii="Times New Roman" w:hAnsi="Times New Roman" w:cs="Times New Roman"/>
          <w:b/>
          <w:bCs/>
          <w:sz w:val="24"/>
          <w:szCs w:val="24"/>
        </w:rPr>
        <w:t>Klub Seniora ,,Pod Aniołami" (Gmina Rymań)</w:t>
      </w:r>
    </w:p>
    <w:p w14:paraId="79866323" w14:textId="77777777" w:rsidR="00BB5D9D" w:rsidRPr="005F0A32" w:rsidRDefault="00BB5D9D" w:rsidP="000D7CDE">
      <w:pPr>
        <w:spacing w:after="0"/>
        <w:jc w:val="both"/>
        <w:rPr>
          <w:rFonts w:ascii="Times New Roman" w:hAnsi="Times New Roman" w:cs="Times New Roman"/>
          <w:sz w:val="24"/>
          <w:szCs w:val="24"/>
        </w:rPr>
      </w:pPr>
      <w:r w:rsidRPr="005F0A32">
        <w:rPr>
          <w:rFonts w:ascii="Times New Roman" w:hAnsi="Times New Roman" w:cs="Times New Roman"/>
          <w:sz w:val="24"/>
          <w:szCs w:val="24"/>
        </w:rPr>
        <w:t>Klub Seniora działał przy Gminnym Ośrodku Pomocy Społecznej w Rymaniu. W ramach działań Klubu w 2019 r. przeprowadzono m.in.:</w:t>
      </w:r>
    </w:p>
    <w:p w14:paraId="33961D31" w14:textId="77777777" w:rsidR="003707B0" w:rsidRDefault="00BB5D9D" w:rsidP="008C71A9">
      <w:pPr>
        <w:pStyle w:val="Akapitzlist"/>
        <w:numPr>
          <w:ilvl w:val="0"/>
          <w:numId w:val="200"/>
        </w:numPr>
        <w:spacing w:after="0"/>
        <w:ind w:left="360"/>
        <w:jc w:val="both"/>
        <w:rPr>
          <w:rFonts w:ascii="Times New Roman" w:hAnsi="Times New Roman" w:cs="Times New Roman"/>
          <w:sz w:val="24"/>
          <w:szCs w:val="24"/>
        </w:rPr>
      </w:pPr>
      <w:r w:rsidRPr="003707B0">
        <w:rPr>
          <w:rFonts w:ascii="Times New Roman" w:hAnsi="Times New Roman" w:cs="Times New Roman"/>
          <w:sz w:val="24"/>
          <w:szCs w:val="24"/>
        </w:rPr>
        <w:t>adaptację bajki o charakterze wychowawczym terapeutycznym. Seniorzy pod okiem koordynatora zajęć w klubie w podziale na trzy grupy przygotowali bajkę oraz pod okiem koordynatora wzięli udział w warsztatach szycia lalek i kukiełek w ramach warsztatów, przygotowane zostały różne lalki i scenografia do bajek. W zajęciach wzięło udział 60 seniorów - uczestników projektu. Zajęcia odbywały się w 3 grupach. Celem warsztatów była integracja środowisk lokalnych seniorów. Wykorzystane zostały techniki aplikacji, szycia, malowania i projektowania. Seniorzy w ramach tego działania wystąpili w poszczególnych placówkach oświatowych, ponadto oprócz występów były zorganizowane kolejne spotkania z czytaniem bajek i wierszy dla dzieci z przedszkoli w gminie Rymań. Spotkania mia</w:t>
      </w:r>
      <w:r w:rsidR="003707B0">
        <w:rPr>
          <w:rFonts w:ascii="Times New Roman" w:hAnsi="Times New Roman" w:cs="Times New Roman"/>
          <w:sz w:val="24"/>
          <w:szCs w:val="24"/>
        </w:rPr>
        <w:t>ły charakter międzypokoleniowy.</w:t>
      </w:r>
    </w:p>
    <w:p w14:paraId="20EAB4CC" w14:textId="77777777" w:rsidR="003707B0" w:rsidRDefault="00BB5D9D" w:rsidP="008C71A9">
      <w:pPr>
        <w:pStyle w:val="Akapitzlist"/>
        <w:numPr>
          <w:ilvl w:val="0"/>
          <w:numId w:val="200"/>
        </w:numPr>
        <w:spacing w:after="0"/>
        <w:ind w:left="360"/>
        <w:jc w:val="both"/>
        <w:rPr>
          <w:rFonts w:ascii="Times New Roman" w:hAnsi="Times New Roman" w:cs="Times New Roman"/>
          <w:sz w:val="24"/>
          <w:szCs w:val="24"/>
        </w:rPr>
      </w:pPr>
      <w:r w:rsidRPr="003707B0">
        <w:rPr>
          <w:rFonts w:ascii="Times New Roman" w:hAnsi="Times New Roman" w:cs="Times New Roman"/>
          <w:sz w:val="24"/>
          <w:szCs w:val="24"/>
        </w:rPr>
        <w:t xml:space="preserve">regularne zajęcia na boisku Orlik i Hali Sportowej w Rymaniu, 2 razy w miesiącu </w:t>
      </w:r>
      <w:r w:rsidRPr="003707B0">
        <w:rPr>
          <w:rFonts w:ascii="Times New Roman" w:hAnsi="Times New Roman" w:cs="Times New Roman"/>
          <w:sz w:val="24"/>
          <w:szCs w:val="24"/>
        </w:rPr>
        <w:br/>
        <w:t xml:space="preserve">w wymiarze dwóch godzin dla 65 uczestników. Na boisku Orlik odbyło się rozwijanie poczucia odpowiedzialności za zdrowie swoje i innych, uświadomienie potrzeby </w:t>
      </w:r>
      <w:r w:rsidRPr="003707B0">
        <w:rPr>
          <w:rFonts w:ascii="Times New Roman" w:hAnsi="Times New Roman" w:cs="Times New Roman"/>
          <w:sz w:val="24"/>
          <w:szCs w:val="24"/>
        </w:rPr>
        <w:lastRenderedPageBreak/>
        <w:t>prowadzenia zdrowego, sportowego stylu życia wśród seniorów, rozwijanie kondycji fizycznej i przygotowanie seniorów do meczy, turniejów i różnych zawodów sportowych.</w:t>
      </w:r>
    </w:p>
    <w:p w14:paraId="6726C156" w14:textId="77777777" w:rsidR="003707B0" w:rsidRDefault="00BB5D9D" w:rsidP="008C71A9">
      <w:pPr>
        <w:pStyle w:val="Akapitzlist"/>
        <w:numPr>
          <w:ilvl w:val="0"/>
          <w:numId w:val="200"/>
        </w:numPr>
        <w:spacing w:after="0"/>
        <w:ind w:left="360"/>
        <w:jc w:val="both"/>
        <w:rPr>
          <w:rFonts w:ascii="Times New Roman" w:hAnsi="Times New Roman" w:cs="Times New Roman"/>
          <w:sz w:val="24"/>
          <w:szCs w:val="24"/>
        </w:rPr>
      </w:pPr>
      <w:r w:rsidRPr="003707B0">
        <w:rPr>
          <w:rFonts w:ascii="Times New Roman" w:hAnsi="Times New Roman" w:cs="Times New Roman"/>
          <w:sz w:val="24"/>
          <w:szCs w:val="24"/>
        </w:rPr>
        <w:t xml:space="preserve">Nordic Walking - w działaniu wzięło udział 55 uczestników. Wyjścia z kijkami były organizowane dwa razy w m-cu od maja do października </w:t>
      </w:r>
      <w:r w:rsidR="003707B0">
        <w:rPr>
          <w:rFonts w:ascii="Times New Roman" w:hAnsi="Times New Roman" w:cs="Times New Roman"/>
          <w:sz w:val="24"/>
          <w:szCs w:val="24"/>
        </w:rPr>
        <w:t xml:space="preserve">po terenie gminy Rymań. Spacery </w:t>
      </w:r>
      <w:r w:rsidRPr="003707B0">
        <w:rPr>
          <w:rFonts w:ascii="Times New Roman" w:hAnsi="Times New Roman" w:cs="Times New Roman"/>
          <w:sz w:val="24"/>
          <w:szCs w:val="24"/>
        </w:rPr>
        <w:t xml:space="preserve">z kijkami poprawiły ogólną wydolność organizmu osób starszych. Obejmowały one poznanie najbliższych </w:t>
      </w:r>
      <w:r w:rsidR="003707B0">
        <w:rPr>
          <w:rFonts w:ascii="Times New Roman" w:hAnsi="Times New Roman" w:cs="Times New Roman"/>
          <w:sz w:val="24"/>
          <w:szCs w:val="24"/>
        </w:rPr>
        <w:t xml:space="preserve">zabytkowych obiektów w okolicy </w:t>
      </w:r>
      <w:r w:rsidRPr="003707B0">
        <w:rPr>
          <w:rFonts w:ascii="Times New Roman" w:hAnsi="Times New Roman" w:cs="Times New Roman"/>
          <w:sz w:val="24"/>
          <w:szCs w:val="24"/>
        </w:rPr>
        <w:t>w poszczególnych miejscowościach, przygotowano wsp</w:t>
      </w:r>
      <w:r w:rsidR="003707B0">
        <w:rPr>
          <w:rFonts w:ascii="Times New Roman" w:hAnsi="Times New Roman" w:cs="Times New Roman"/>
          <w:sz w:val="24"/>
          <w:szCs w:val="24"/>
        </w:rPr>
        <w:t>ólne biesiadowanie przy ognisku.</w:t>
      </w:r>
    </w:p>
    <w:p w14:paraId="54D3E82B" w14:textId="77777777" w:rsidR="003707B0" w:rsidRDefault="00BB5D9D" w:rsidP="008C71A9">
      <w:pPr>
        <w:pStyle w:val="Akapitzlist"/>
        <w:numPr>
          <w:ilvl w:val="0"/>
          <w:numId w:val="200"/>
        </w:numPr>
        <w:spacing w:after="0"/>
        <w:ind w:left="360"/>
        <w:jc w:val="both"/>
        <w:rPr>
          <w:rFonts w:ascii="Times New Roman" w:hAnsi="Times New Roman" w:cs="Times New Roman"/>
          <w:sz w:val="24"/>
          <w:szCs w:val="24"/>
        </w:rPr>
      </w:pPr>
      <w:r w:rsidRPr="003707B0">
        <w:rPr>
          <w:rFonts w:ascii="Times New Roman" w:hAnsi="Times New Roman" w:cs="Times New Roman"/>
          <w:sz w:val="24"/>
          <w:szCs w:val="24"/>
        </w:rPr>
        <w:t>wyprawy po kraju i zagranicy, które umożliwiły odkrycie i przeżycie nowego nieznanego regionu Polski, jak i krajów sąsiedzkich, poszerzenia wiedzy na temat zwiedzanych miast i małych miejscowości oraz zabytków (zamków, skansenów, kościołów, muzeów).</w:t>
      </w:r>
    </w:p>
    <w:p w14:paraId="607E90FC" w14:textId="77777777" w:rsidR="00BB5D9D" w:rsidRPr="00FD7B03" w:rsidRDefault="00BB5D9D" w:rsidP="008C71A9">
      <w:pPr>
        <w:pStyle w:val="Akapitzlist"/>
        <w:numPr>
          <w:ilvl w:val="0"/>
          <w:numId w:val="200"/>
        </w:numPr>
        <w:spacing w:after="0"/>
        <w:ind w:left="360"/>
        <w:jc w:val="both"/>
        <w:rPr>
          <w:rFonts w:ascii="Times New Roman" w:hAnsi="Times New Roman" w:cs="Times New Roman"/>
          <w:sz w:val="24"/>
          <w:szCs w:val="24"/>
        </w:rPr>
      </w:pPr>
      <w:r w:rsidRPr="003707B0">
        <w:rPr>
          <w:rFonts w:ascii="Times New Roman" w:hAnsi="Times New Roman" w:cs="Times New Roman"/>
          <w:sz w:val="24"/>
          <w:szCs w:val="24"/>
        </w:rPr>
        <w:t>Aktywnie w Klubie Seniora uczestniczyło ok. 78 osób</w:t>
      </w:r>
      <w:r w:rsidR="00FD7B03">
        <w:rPr>
          <w:rStyle w:val="Odwoanieprzypisudolnego"/>
          <w:rFonts w:ascii="Times New Roman" w:hAnsi="Times New Roman" w:cs="Times New Roman"/>
          <w:sz w:val="24"/>
          <w:szCs w:val="24"/>
        </w:rPr>
        <w:footnoteReference w:id="229"/>
      </w:r>
      <w:r w:rsidRPr="003707B0">
        <w:rPr>
          <w:rFonts w:ascii="Times New Roman" w:hAnsi="Times New Roman" w:cs="Times New Roman"/>
          <w:sz w:val="24"/>
          <w:szCs w:val="24"/>
        </w:rPr>
        <w:t>.</w:t>
      </w:r>
    </w:p>
    <w:p w14:paraId="728D0BCE" w14:textId="77777777" w:rsidR="003707B0" w:rsidRDefault="003707B0" w:rsidP="000D7CDE">
      <w:pPr>
        <w:spacing w:after="0"/>
        <w:jc w:val="both"/>
        <w:rPr>
          <w:rFonts w:ascii="Times New Roman" w:eastAsia="Calibri" w:hAnsi="Times New Roman" w:cs="Times New Roman"/>
          <w:sz w:val="24"/>
          <w:szCs w:val="24"/>
          <w:lang w:val="en-US"/>
        </w:rPr>
      </w:pPr>
    </w:p>
    <w:p w14:paraId="280ACC22" w14:textId="77777777" w:rsidR="00BB5D9D" w:rsidRPr="005F0A32" w:rsidRDefault="00BB5D9D" w:rsidP="000D7CDE">
      <w:pPr>
        <w:spacing w:after="0"/>
        <w:jc w:val="both"/>
        <w:rPr>
          <w:rFonts w:ascii="Times New Roman" w:hAnsi="Times New Roman" w:cs="Times New Roman"/>
          <w:b/>
          <w:bCs/>
          <w:sz w:val="24"/>
          <w:szCs w:val="24"/>
        </w:rPr>
      </w:pPr>
      <w:r w:rsidRPr="005F0A32">
        <w:rPr>
          <w:rFonts w:ascii="Times New Roman" w:eastAsia="Calibri" w:hAnsi="Times New Roman" w:cs="Times New Roman"/>
          <w:b/>
          <w:bCs/>
          <w:color w:val="000000"/>
          <w:sz w:val="24"/>
          <w:szCs w:val="24"/>
        </w:rPr>
        <w:t>Program „Stargard Przyjazny Starzeniu” (Miasto Szczecin)</w:t>
      </w:r>
    </w:p>
    <w:p w14:paraId="4145F637" w14:textId="77777777" w:rsidR="00BB5D9D" w:rsidRPr="005F0A32" w:rsidRDefault="00BB5D9D" w:rsidP="000D7CDE">
      <w:pPr>
        <w:tabs>
          <w:tab w:val="left" w:pos="851"/>
          <w:tab w:val="left" w:pos="993"/>
        </w:tabs>
        <w:autoSpaceDE w:val="0"/>
        <w:autoSpaceDN w:val="0"/>
        <w:adjustRightInd w:val="0"/>
        <w:spacing w:after="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Program został opracowany przez Zespół Koordynacyjny. Pracowano nad diagnozą oraz propozycją działań w 8 obszarach tj. przestrzenie publiczne i budynki, transport, mieszkalnictwo, partycypację społeczną, szacunek i inkluzję społeczną, partycypację obywatelską i zatrudnienie, komunikację i informację, wsparcie społeczności i usługi zdrowotne. Na podstawie przeprowadzonej diagnozy opracowano cele w ww. obszarach tematycznych, a ich realiza</w:t>
      </w:r>
      <w:r w:rsidR="00FD7B03">
        <w:rPr>
          <w:rFonts w:ascii="Times New Roman" w:eastAsia="Calibri" w:hAnsi="Times New Roman" w:cs="Times New Roman"/>
          <w:color w:val="000000"/>
          <w:sz w:val="24"/>
          <w:szCs w:val="24"/>
        </w:rPr>
        <w:t>cję zaplanowano na 3 lata</w:t>
      </w:r>
      <w:r w:rsidR="00FD7B03">
        <w:rPr>
          <w:rStyle w:val="Odwoanieprzypisudolnego"/>
          <w:rFonts w:ascii="Times New Roman" w:eastAsia="Calibri" w:hAnsi="Times New Roman" w:cs="Times New Roman"/>
          <w:color w:val="000000"/>
          <w:sz w:val="24"/>
          <w:szCs w:val="24"/>
        </w:rPr>
        <w:footnoteReference w:id="230"/>
      </w:r>
      <w:r w:rsidR="00FD7B03">
        <w:rPr>
          <w:rFonts w:ascii="Times New Roman" w:eastAsia="Calibri" w:hAnsi="Times New Roman" w:cs="Times New Roman"/>
          <w:color w:val="000000"/>
          <w:sz w:val="24"/>
          <w:szCs w:val="24"/>
        </w:rPr>
        <w:t>.</w:t>
      </w:r>
    </w:p>
    <w:p w14:paraId="340368DC" w14:textId="77777777" w:rsidR="00BB5D9D" w:rsidRPr="005F0A32" w:rsidRDefault="00BB5D9D" w:rsidP="000D7CDE">
      <w:pPr>
        <w:spacing w:after="0"/>
        <w:contextualSpacing/>
        <w:jc w:val="both"/>
        <w:rPr>
          <w:rFonts w:ascii="Times New Roman" w:eastAsia="Calibri" w:hAnsi="Times New Roman" w:cs="Times New Roman"/>
          <w:sz w:val="24"/>
          <w:szCs w:val="24"/>
          <w:lang w:val="en-US"/>
        </w:rPr>
      </w:pPr>
    </w:p>
    <w:p w14:paraId="01DA8157" w14:textId="77777777" w:rsidR="00BB5D9D" w:rsidRPr="005F0A32" w:rsidRDefault="00BB5D9D" w:rsidP="000D7CDE">
      <w:pPr>
        <w:tabs>
          <w:tab w:val="left" w:pos="993"/>
        </w:tabs>
        <w:spacing w:after="0"/>
        <w:contextualSpacing/>
        <w:jc w:val="both"/>
        <w:rPr>
          <w:rFonts w:ascii="Times New Roman" w:eastAsia="Calibri" w:hAnsi="Times New Roman" w:cs="Times New Roman"/>
          <w:b/>
          <w:bCs/>
          <w:sz w:val="24"/>
          <w:szCs w:val="24"/>
          <w:lang w:val="en-US"/>
        </w:rPr>
      </w:pPr>
      <w:r w:rsidRPr="005F0A32">
        <w:rPr>
          <w:rFonts w:ascii="Times New Roman" w:eastAsia="Calibri" w:hAnsi="Times New Roman" w:cs="Times New Roman"/>
          <w:b/>
          <w:bCs/>
          <w:sz w:val="24"/>
          <w:szCs w:val="24"/>
        </w:rPr>
        <w:t>„Program dostępności do świadczeń gwarantowanych z zakresu rehabilitacji leczniczej dla mieszkańców miasta w wieku 60 +” (Gmina Gościno)</w:t>
      </w:r>
    </w:p>
    <w:p w14:paraId="36A089AC" w14:textId="77777777" w:rsidR="00BB5D9D" w:rsidRPr="00FD7B03" w:rsidRDefault="00BB5D9D" w:rsidP="000D7CDE">
      <w:pPr>
        <w:shd w:val="clear" w:color="auto" w:fill="FFFFFF"/>
        <w:spacing w:after="0"/>
        <w:jc w:val="both"/>
        <w:rPr>
          <w:rFonts w:ascii="Times New Roman" w:hAnsi="Times New Roman" w:cs="Times New Roman"/>
          <w:color w:val="000000"/>
          <w:spacing w:val="-4"/>
          <w:sz w:val="24"/>
          <w:szCs w:val="24"/>
        </w:rPr>
      </w:pPr>
      <w:r w:rsidRPr="005F0A32">
        <w:rPr>
          <w:rFonts w:ascii="Times New Roman" w:eastAsia="Calibri" w:hAnsi="Times New Roman" w:cs="Times New Roman"/>
          <w:sz w:val="24"/>
          <w:szCs w:val="24"/>
        </w:rPr>
        <w:t xml:space="preserve">Cele/działania: Poprawa stanu zdrowia mieszkańców miasta w wieku powyżej 60-tego roku życia, poprzez </w:t>
      </w:r>
      <w:r w:rsidRPr="005F0A32">
        <w:rPr>
          <w:rFonts w:ascii="Times New Roman" w:eastAsia="Calibri" w:hAnsi="Times New Roman" w:cs="Times New Roman"/>
          <w:color w:val="000000"/>
          <w:spacing w:val="-5"/>
          <w:sz w:val="24"/>
          <w:szCs w:val="24"/>
        </w:rPr>
        <w:t>podtrzymywanie og</w:t>
      </w:r>
      <w:r w:rsidRPr="005F0A32">
        <w:rPr>
          <w:rFonts w:ascii="Times New Roman" w:hAnsi="Times New Roman" w:cs="Times New Roman"/>
          <w:color w:val="000000"/>
          <w:spacing w:val="-5"/>
          <w:sz w:val="24"/>
          <w:szCs w:val="24"/>
        </w:rPr>
        <w:t xml:space="preserve">ólnej sprawności osób starszych z przewlekłymi lub pourazowymi </w:t>
      </w:r>
      <w:r w:rsidRPr="005F0A32">
        <w:rPr>
          <w:rFonts w:ascii="Times New Roman" w:hAnsi="Times New Roman" w:cs="Times New Roman"/>
          <w:color w:val="000000"/>
          <w:spacing w:val="-4"/>
          <w:sz w:val="24"/>
          <w:szCs w:val="24"/>
        </w:rPr>
        <w:t>schorzeniami narządu ruchu, układu kostnego i mięśniowego lub ośrodkowego/obwodowego układu nerwowego. Z programu skorzystać mogli mieszkańcy miasta w wieku powyżej 60 lat, którzy posiadali aktualne skierowanie lekarskie na wy</w:t>
      </w:r>
      <w:r w:rsidR="003707B0">
        <w:rPr>
          <w:rFonts w:ascii="Times New Roman" w:hAnsi="Times New Roman" w:cs="Times New Roman"/>
          <w:color w:val="000000"/>
          <w:spacing w:val="-4"/>
          <w:sz w:val="24"/>
          <w:szCs w:val="24"/>
        </w:rPr>
        <w:t xml:space="preserve">brane zabiegi rehabilitacyjne. </w:t>
      </w:r>
      <w:r w:rsidRPr="005F0A32">
        <w:rPr>
          <w:rFonts w:ascii="Times New Roman" w:eastAsia="Calibri" w:hAnsi="Times New Roman" w:cs="Times New Roman"/>
          <w:sz w:val="24"/>
          <w:szCs w:val="24"/>
        </w:rPr>
        <w:t>Lic</w:t>
      </w:r>
      <w:r w:rsidR="003707B0">
        <w:rPr>
          <w:rFonts w:ascii="Times New Roman" w:eastAsia="Calibri" w:hAnsi="Times New Roman" w:cs="Times New Roman"/>
          <w:sz w:val="24"/>
          <w:szCs w:val="24"/>
        </w:rPr>
        <w:t>zba uczestników: około 248 osób, m</w:t>
      </w:r>
      <w:r w:rsidRPr="005F0A32">
        <w:rPr>
          <w:rFonts w:ascii="Times New Roman" w:eastAsia="Calibri" w:hAnsi="Times New Roman" w:cs="Times New Roman"/>
          <w:sz w:val="24"/>
          <w:szCs w:val="24"/>
        </w:rPr>
        <w:t>iejsce realizacji: Miasto Darłowo</w:t>
      </w:r>
      <w:r w:rsidR="00FD7B03">
        <w:rPr>
          <w:rStyle w:val="Odwoanieprzypisudolnego"/>
          <w:rFonts w:ascii="Times New Roman" w:eastAsia="Calibri" w:hAnsi="Times New Roman" w:cs="Times New Roman"/>
          <w:sz w:val="24"/>
          <w:szCs w:val="24"/>
        </w:rPr>
        <w:footnoteReference w:id="231"/>
      </w:r>
      <w:r w:rsidR="00FD7B03">
        <w:rPr>
          <w:rFonts w:ascii="Times New Roman" w:hAnsi="Times New Roman" w:cs="Times New Roman"/>
          <w:color w:val="000000"/>
          <w:spacing w:val="-4"/>
          <w:sz w:val="24"/>
          <w:szCs w:val="24"/>
        </w:rPr>
        <w:t>.</w:t>
      </w:r>
    </w:p>
    <w:p w14:paraId="47CE65A0" w14:textId="77777777" w:rsidR="00BB5D9D" w:rsidRPr="005F0A32" w:rsidRDefault="00BB5D9D" w:rsidP="000D7CDE">
      <w:pPr>
        <w:spacing w:after="0"/>
        <w:jc w:val="both"/>
        <w:rPr>
          <w:rFonts w:ascii="Times New Roman" w:eastAsia="Calibri" w:hAnsi="Times New Roman" w:cs="Times New Roman"/>
          <w:sz w:val="24"/>
          <w:szCs w:val="24"/>
        </w:rPr>
      </w:pPr>
    </w:p>
    <w:p w14:paraId="541D894F" w14:textId="77777777" w:rsidR="00BB5D9D" w:rsidRPr="005F0A32" w:rsidRDefault="00BB5D9D" w:rsidP="000D7CDE">
      <w:pPr>
        <w:tabs>
          <w:tab w:val="left" w:pos="1134"/>
        </w:tabs>
        <w:spacing w:after="0"/>
        <w:contextualSpacing/>
        <w:jc w:val="both"/>
        <w:rPr>
          <w:rFonts w:ascii="Times New Roman" w:eastAsia="Calibri" w:hAnsi="Times New Roman" w:cs="Times New Roman"/>
          <w:b/>
          <w:sz w:val="24"/>
          <w:szCs w:val="24"/>
          <w:lang w:val="en-US"/>
        </w:rPr>
      </w:pPr>
      <w:r w:rsidRPr="005F0A32">
        <w:rPr>
          <w:rFonts w:ascii="Times New Roman" w:eastAsia="Calibri" w:hAnsi="Times New Roman" w:cs="Times New Roman"/>
          <w:b/>
          <w:sz w:val="24"/>
          <w:szCs w:val="24"/>
        </w:rPr>
        <w:t>Rada Seniorów Miasta Kołobrzeg (Miasto Kołobrzeg)</w:t>
      </w:r>
    </w:p>
    <w:p w14:paraId="0C2981E8" w14:textId="77777777" w:rsidR="00BB5D9D" w:rsidRPr="005F0A32" w:rsidRDefault="00BB5D9D" w:rsidP="000D7CDE">
      <w:p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Rada Seniorów Miasta Kołobrzeg została powołania Uchwałą Rady Miasta Koł</w:t>
      </w:r>
      <w:r w:rsidR="00FD7B03">
        <w:rPr>
          <w:rFonts w:ascii="Times New Roman" w:eastAsia="Calibri" w:hAnsi="Times New Roman" w:cs="Times New Roman"/>
          <w:sz w:val="24"/>
          <w:szCs w:val="24"/>
        </w:rPr>
        <w:t xml:space="preserve">obrzeg z dnia 30 maja 2019 r. </w:t>
      </w:r>
      <w:r w:rsidRPr="005F0A32">
        <w:rPr>
          <w:rFonts w:ascii="Times New Roman" w:eastAsia="Calibri" w:hAnsi="Times New Roman" w:cs="Times New Roman"/>
          <w:sz w:val="24"/>
          <w:szCs w:val="24"/>
        </w:rPr>
        <w:t xml:space="preserve">w sprawie powołania Rady Seniorów Miasta Kołobrzeg. Uchwała ta nadała Statut, zasady działania i tryb wyboru. Zarządzeniem Prezydenta Miasta Kołobrzegu </w:t>
      </w:r>
      <w:r w:rsidRPr="005F0A32">
        <w:rPr>
          <w:rFonts w:ascii="Times New Roman" w:eastAsia="Calibri" w:hAnsi="Times New Roman" w:cs="Times New Roman"/>
          <w:sz w:val="24"/>
          <w:szCs w:val="24"/>
        </w:rPr>
        <w:br/>
        <w:t>z dnia 14 sierpnia 2019 roku powołano skład osobowy Rady Seniorów Miasta Kołobrzeg. Rada Seniorów ma charakter konsultacyjny, doradczy i inicjatywny. Rada liczy 21 osób. Zasiada w niej 12 przedstawicieli organizacji pozarządowych i 9 z poparciem minimum 15 mieszkańców. W 2019 roku Rada Seniorów Miasta Kołobrzeg odbyła 5 posiedzeń, realizując plan pracy i zajmowała się:</w:t>
      </w:r>
    </w:p>
    <w:p w14:paraId="2F694B78" w14:textId="77777777" w:rsidR="00DB06B4" w:rsidRDefault="00BB5D9D" w:rsidP="008C71A9">
      <w:pPr>
        <w:pStyle w:val="Akapitzlist"/>
        <w:numPr>
          <w:ilvl w:val="0"/>
          <w:numId w:val="201"/>
        </w:numPr>
        <w:spacing w:after="0"/>
        <w:ind w:left="360"/>
        <w:jc w:val="both"/>
        <w:rPr>
          <w:rFonts w:ascii="Times New Roman" w:eastAsia="Calibri" w:hAnsi="Times New Roman" w:cs="Times New Roman"/>
          <w:sz w:val="24"/>
          <w:szCs w:val="24"/>
        </w:rPr>
      </w:pPr>
      <w:r w:rsidRPr="00DB06B4">
        <w:rPr>
          <w:rFonts w:ascii="Times New Roman" w:eastAsia="Calibri" w:hAnsi="Times New Roman" w:cs="Times New Roman"/>
          <w:sz w:val="24"/>
          <w:szCs w:val="24"/>
        </w:rPr>
        <w:t>działaniami Prezydenta Miasta na rzecz Seniorów,</w:t>
      </w:r>
    </w:p>
    <w:p w14:paraId="7580F82F" w14:textId="77777777" w:rsidR="00DB06B4" w:rsidRDefault="00BB5D9D" w:rsidP="008C71A9">
      <w:pPr>
        <w:pStyle w:val="Akapitzlist"/>
        <w:numPr>
          <w:ilvl w:val="0"/>
          <w:numId w:val="201"/>
        </w:numPr>
        <w:spacing w:after="0"/>
        <w:ind w:left="360"/>
        <w:jc w:val="both"/>
        <w:rPr>
          <w:rFonts w:ascii="Times New Roman" w:eastAsia="Calibri" w:hAnsi="Times New Roman" w:cs="Times New Roman"/>
          <w:sz w:val="24"/>
          <w:szCs w:val="24"/>
        </w:rPr>
      </w:pPr>
      <w:r w:rsidRPr="00DB06B4">
        <w:rPr>
          <w:rFonts w:ascii="Times New Roman" w:eastAsia="Calibri" w:hAnsi="Times New Roman" w:cs="Times New Roman"/>
          <w:sz w:val="24"/>
          <w:szCs w:val="24"/>
        </w:rPr>
        <w:t>złożyła 6 wniosków do budżetu Gminy Miasto Kołobrzeg,</w:t>
      </w:r>
    </w:p>
    <w:p w14:paraId="6FBE08C0" w14:textId="77777777" w:rsidR="00DB06B4" w:rsidRDefault="00BB5D9D" w:rsidP="008C71A9">
      <w:pPr>
        <w:pStyle w:val="Akapitzlist"/>
        <w:numPr>
          <w:ilvl w:val="0"/>
          <w:numId w:val="201"/>
        </w:numPr>
        <w:spacing w:after="0"/>
        <w:ind w:left="360"/>
        <w:jc w:val="both"/>
        <w:rPr>
          <w:rFonts w:ascii="Times New Roman" w:eastAsia="Calibri" w:hAnsi="Times New Roman" w:cs="Times New Roman"/>
          <w:sz w:val="24"/>
          <w:szCs w:val="24"/>
        </w:rPr>
      </w:pPr>
      <w:r w:rsidRPr="00DB06B4">
        <w:rPr>
          <w:rFonts w:ascii="Times New Roman" w:eastAsia="Calibri" w:hAnsi="Times New Roman" w:cs="Times New Roman"/>
          <w:sz w:val="24"/>
          <w:szCs w:val="24"/>
        </w:rPr>
        <w:lastRenderedPageBreak/>
        <w:t>omawiała problemy profilaktyki zdrowotnej Seniorów,</w:t>
      </w:r>
    </w:p>
    <w:p w14:paraId="68629A52" w14:textId="77777777" w:rsidR="00DB06B4" w:rsidRDefault="00BB5D9D" w:rsidP="008C71A9">
      <w:pPr>
        <w:pStyle w:val="Akapitzlist"/>
        <w:numPr>
          <w:ilvl w:val="0"/>
          <w:numId w:val="201"/>
        </w:numPr>
        <w:spacing w:after="0"/>
        <w:ind w:left="360"/>
        <w:jc w:val="both"/>
        <w:rPr>
          <w:rFonts w:ascii="Times New Roman" w:eastAsia="Calibri" w:hAnsi="Times New Roman" w:cs="Times New Roman"/>
          <w:sz w:val="24"/>
          <w:szCs w:val="24"/>
        </w:rPr>
      </w:pPr>
      <w:r w:rsidRPr="00DB06B4">
        <w:rPr>
          <w:rFonts w:ascii="Times New Roman" w:eastAsia="Calibri" w:hAnsi="Times New Roman" w:cs="Times New Roman"/>
          <w:sz w:val="24"/>
          <w:szCs w:val="24"/>
        </w:rPr>
        <w:t>opiniowała projekt programu polityki zdrowotnej „Rehabilitacja dla Seniorów Miasta Kołobrzeg na lata 2019-2023” przedstawiając opinie na sesji Rady Miasta Kołobrzeg,</w:t>
      </w:r>
    </w:p>
    <w:p w14:paraId="29C71D46" w14:textId="77777777" w:rsidR="00DB06B4" w:rsidRDefault="00BB5D9D" w:rsidP="008C71A9">
      <w:pPr>
        <w:pStyle w:val="Akapitzlist"/>
        <w:numPr>
          <w:ilvl w:val="0"/>
          <w:numId w:val="201"/>
        </w:numPr>
        <w:spacing w:after="0"/>
        <w:ind w:left="360"/>
        <w:jc w:val="both"/>
        <w:rPr>
          <w:rFonts w:ascii="Times New Roman" w:eastAsia="Calibri" w:hAnsi="Times New Roman" w:cs="Times New Roman"/>
          <w:sz w:val="24"/>
          <w:szCs w:val="24"/>
        </w:rPr>
      </w:pPr>
      <w:r w:rsidRPr="00DB06B4">
        <w:rPr>
          <w:rFonts w:ascii="Times New Roman" w:eastAsia="Calibri" w:hAnsi="Times New Roman" w:cs="Times New Roman"/>
          <w:sz w:val="24"/>
          <w:szCs w:val="24"/>
        </w:rPr>
        <w:t>wyraziła opinię na temat projektu budżetu Gminy Miasto Kołobrzeg na</w:t>
      </w:r>
      <w:r w:rsidR="00DB06B4">
        <w:rPr>
          <w:rFonts w:ascii="Times New Roman" w:eastAsia="Calibri" w:hAnsi="Times New Roman" w:cs="Times New Roman"/>
          <w:sz w:val="24"/>
          <w:szCs w:val="24"/>
        </w:rPr>
        <w:t xml:space="preserve"> 2020 rok w zakresie działań </w:t>
      </w:r>
      <w:r w:rsidRPr="00DB06B4">
        <w:rPr>
          <w:rFonts w:ascii="Times New Roman" w:eastAsia="Calibri" w:hAnsi="Times New Roman" w:cs="Times New Roman"/>
          <w:sz w:val="24"/>
          <w:szCs w:val="24"/>
        </w:rPr>
        <w:t>na rzecz Seniorów, zgłaszając swoje propozycje i uwagi,</w:t>
      </w:r>
    </w:p>
    <w:p w14:paraId="56BAC5F8" w14:textId="77777777" w:rsidR="00DB06B4" w:rsidRDefault="00BB5D9D" w:rsidP="008C71A9">
      <w:pPr>
        <w:pStyle w:val="Akapitzlist"/>
        <w:numPr>
          <w:ilvl w:val="0"/>
          <w:numId w:val="201"/>
        </w:numPr>
        <w:spacing w:after="0"/>
        <w:ind w:left="360"/>
        <w:jc w:val="both"/>
        <w:rPr>
          <w:rFonts w:ascii="Times New Roman" w:eastAsia="Calibri" w:hAnsi="Times New Roman" w:cs="Times New Roman"/>
          <w:sz w:val="24"/>
          <w:szCs w:val="24"/>
        </w:rPr>
      </w:pPr>
      <w:r w:rsidRPr="00DB06B4">
        <w:rPr>
          <w:rFonts w:ascii="Times New Roman" w:eastAsia="Calibri" w:hAnsi="Times New Roman" w:cs="Times New Roman"/>
          <w:sz w:val="24"/>
          <w:szCs w:val="24"/>
        </w:rPr>
        <w:t>bezpieczeństwem Seniorów odbywając spotkanie z przedstawicielem Policji,</w:t>
      </w:r>
    </w:p>
    <w:p w14:paraId="56499621" w14:textId="77777777" w:rsidR="00BB5D9D" w:rsidRPr="00DB06B4" w:rsidRDefault="00BB5D9D" w:rsidP="008C71A9">
      <w:pPr>
        <w:pStyle w:val="Akapitzlist"/>
        <w:numPr>
          <w:ilvl w:val="0"/>
          <w:numId w:val="201"/>
        </w:numPr>
        <w:spacing w:after="0"/>
        <w:ind w:left="360"/>
        <w:jc w:val="both"/>
        <w:rPr>
          <w:rFonts w:ascii="Times New Roman" w:eastAsia="Calibri" w:hAnsi="Times New Roman" w:cs="Times New Roman"/>
          <w:sz w:val="24"/>
          <w:szCs w:val="24"/>
        </w:rPr>
      </w:pPr>
      <w:r w:rsidRPr="00DB06B4">
        <w:rPr>
          <w:rFonts w:ascii="Times New Roman" w:eastAsia="Calibri" w:hAnsi="Times New Roman" w:cs="Times New Roman"/>
          <w:sz w:val="24"/>
          <w:szCs w:val="24"/>
        </w:rPr>
        <w:t>przedstawiła Prezydent Miasta wnioski i uwagi z dyżurów pełnionych przez Radnych Rady Seniorów oraz wnioski przedstawione przez Radę Seniorów.</w:t>
      </w:r>
    </w:p>
    <w:p w14:paraId="6011646D" w14:textId="77777777" w:rsidR="00DB06B4" w:rsidRDefault="00DB06B4" w:rsidP="000D7CDE">
      <w:pPr>
        <w:spacing w:after="0"/>
        <w:jc w:val="both"/>
        <w:rPr>
          <w:rFonts w:ascii="Times New Roman" w:eastAsia="Calibri" w:hAnsi="Times New Roman" w:cs="Times New Roman"/>
          <w:sz w:val="24"/>
          <w:szCs w:val="24"/>
        </w:rPr>
      </w:pPr>
    </w:p>
    <w:p w14:paraId="16468DC8" w14:textId="77777777" w:rsidR="00BB5D9D" w:rsidRPr="005F0A32" w:rsidRDefault="00BB5D9D" w:rsidP="000D7CDE">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Radni Rady Seniorów pełnili dyżury w każdy poniedziałek w godzinach 11.00-13.00 </w:t>
      </w:r>
      <w:r w:rsidRPr="005F0A32">
        <w:rPr>
          <w:rFonts w:ascii="Times New Roman" w:eastAsia="Calibri" w:hAnsi="Times New Roman" w:cs="Times New Roman"/>
          <w:sz w:val="24"/>
          <w:szCs w:val="24"/>
        </w:rPr>
        <w:br/>
        <w:t>w składach dwuosobowych, przekazując zgłoszone w czasie dyżurów postulaty, wniosk</w:t>
      </w:r>
      <w:r w:rsidR="00DB06B4">
        <w:rPr>
          <w:rFonts w:ascii="Times New Roman" w:eastAsia="Calibri" w:hAnsi="Times New Roman" w:cs="Times New Roman"/>
          <w:sz w:val="24"/>
          <w:szCs w:val="24"/>
        </w:rPr>
        <w:t xml:space="preserve">i </w:t>
      </w:r>
      <w:r w:rsidR="00DB06B4">
        <w:rPr>
          <w:rFonts w:ascii="Times New Roman" w:eastAsia="Calibri" w:hAnsi="Times New Roman" w:cs="Times New Roman"/>
          <w:sz w:val="24"/>
          <w:szCs w:val="24"/>
        </w:rPr>
        <w:br/>
        <w:t xml:space="preserve">i uwagi do Prezydent Miasta. </w:t>
      </w:r>
      <w:r w:rsidRPr="005F0A32">
        <w:rPr>
          <w:rFonts w:ascii="Times New Roman" w:eastAsia="Calibri" w:hAnsi="Times New Roman" w:cs="Times New Roman"/>
          <w:sz w:val="24"/>
          <w:szCs w:val="24"/>
        </w:rPr>
        <w:t>Członkowie Rady Seniorów odbyli również szkolenie przeprowadzone przez „Pracownię Pozarządową” z Koszalina. Szkolenie dotyczyło funkcjonowania Rad Seniorów.</w:t>
      </w:r>
    </w:p>
    <w:p w14:paraId="2BB9DF84" w14:textId="77777777" w:rsidR="00BB5D9D" w:rsidRPr="005F0A32" w:rsidRDefault="00BB5D9D" w:rsidP="000D7CDE">
      <w:pPr>
        <w:spacing w:after="0"/>
        <w:jc w:val="both"/>
        <w:rPr>
          <w:rFonts w:ascii="Times New Roman" w:eastAsia="Calibri" w:hAnsi="Times New Roman" w:cs="Times New Roman"/>
          <w:b/>
          <w:bCs/>
          <w:color w:val="000000"/>
          <w:sz w:val="24"/>
          <w:szCs w:val="24"/>
        </w:rPr>
      </w:pPr>
    </w:p>
    <w:p w14:paraId="14C084BA" w14:textId="77777777" w:rsidR="00BB5D9D" w:rsidRDefault="00BB5D9D" w:rsidP="000D7CDE">
      <w:pPr>
        <w:spacing w:after="0"/>
        <w:jc w:val="both"/>
        <w:rPr>
          <w:rFonts w:ascii="Times New Roman" w:eastAsia="Calibri" w:hAnsi="Times New Roman" w:cs="Times New Roman"/>
          <w:bCs/>
          <w:sz w:val="24"/>
          <w:szCs w:val="24"/>
        </w:rPr>
      </w:pPr>
      <w:r w:rsidRPr="005F0A32">
        <w:rPr>
          <w:rFonts w:ascii="Times New Roman" w:eastAsia="Calibri" w:hAnsi="Times New Roman" w:cs="Times New Roman"/>
          <w:bCs/>
          <w:sz w:val="24"/>
          <w:szCs w:val="24"/>
        </w:rPr>
        <w:t xml:space="preserve">W Gminie Koszalin przeprowadzono projekt „Zjedz obiad z Seniorem”. W akcję zostały zaangażowane koszalińskie restauracje oraz wolontariusze Fundacji „Zdążyć z miłością”. </w:t>
      </w:r>
      <w:r w:rsidRPr="005F0A32">
        <w:rPr>
          <w:rFonts w:ascii="Times New Roman" w:eastAsia="Calibri" w:hAnsi="Times New Roman" w:cs="Times New Roman"/>
          <w:bCs/>
          <w:sz w:val="24"/>
          <w:szCs w:val="24"/>
        </w:rPr>
        <w:br/>
        <w:t>W niedzielę 2 razy w miesiącu restauracja zapraszała do siebie na bezpłatny obiad 2 osoby: seniora i wolontariusza. W projekcie uczestniczyło 15 seniorów. Do akcji dołączyli lokalni taksówkarze, zapewniający darmowy dowóz</w:t>
      </w:r>
      <w:r w:rsidR="00FD7B03">
        <w:rPr>
          <w:rFonts w:ascii="Times New Roman" w:eastAsia="Calibri" w:hAnsi="Times New Roman" w:cs="Times New Roman"/>
          <w:bCs/>
          <w:sz w:val="24"/>
          <w:szCs w:val="24"/>
        </w:rPr>
        <w:t xml:space="preserve"> seniorów do restauracji</w:t>
      </w:r>
      <w:r w:rsidR="00FD7B03">
        <w:rPr>
          <w:rStyle w:val="Odwoanieprzypisudolnego"/>
          <w:rFonts w:ascii="Times New Roman" w:eastAsia="Calibri" w:hAnsi="Times New Roman" w:cs="Times New Roman"/>
          <w:bCs/>
          <w:sz w:val="24"/>
          <w:szCs w:val="24"/>
        </w:rPr>
        <w:footnoteReference w:id="232"/>
      </w:r>
      <w:r w:rsidR="00FD7B03">
        <w:rPr>
          <w:rFonts w:ascii="Times New Roman" w:eastAsia="Calibri" w:hAnsi="Times New Roman" w:cs="Times New Roman"/>
          <w:bCs/>
          <w:sz w:val="24"/>
          <w:szCs w:val="24"/>
        </w:rPr>
        <w:t>.</w:t>
      </w:r>
    </w:p>
    <w:p w14:paraId="38B088C5" w14:textId="77777777" w:rsidR="00DB06B4" w:rsidRPr="005F0A32" w:rsidRDefault="00DB06B4" w:rsidP="000D7CDE">
      <w:pPr>
        <w:spacing w:after="0"/>
        <w:jc w:val="both"/>
        <w:rPr>
          <w:rFonts w:ascii="Times New Roman" w:eastAsia="Calibri" w:hAnsi="Times New Roman" w:cs="Times New Roman"/>
          <w:bCs/>
          <w:color w:val="000000"/>
          <w:sz w:val="24"/>
          <w:szCs w:val="24"/>
        </w:rPr>
      </w:pPr>
    </w:p>
    <w:p w14:paraId="677BC60E" w14:textId="77777777" w:rsidR="00BB5D9D" w:rsidRDefault="00BB5D9D" w:rsidP="000D7CDE">
      <w:pPr>
        <w:spacing w:after="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W Gminie Choszczno wszelkie inicjatywy podejmowane w kierunku aktywizacji mieszkańców są adresowane zarówno dla ludzi młodych, jak i starszych.  W Gminie Choszczno podejmowano także działania skierowane na podniesienie kompetencji cyfrowych mieszkańców, w których m.in. seniorzy mieli szansę nabyć i rozwinąć umiejętności praktycznego korzystania z Internetu, e-usług publicznych i komercyjnych. </w:t>
      </w:r>
    </w:p>
    <w:p w14:paraId="1269F4C9" w14:textId="77777777" w:rsidR="00DB06B4" w:rsidRPr="005F0A32" w:rsidRDefault="00DB06B4" w:rsidP="000D7CDE">
      <w:pPr>
        <w:spacing w:after="0"/>
        <w:jc w:val="both"/>
        <w:rPr>
          <w:rFonts w:ascii="Times New Roman" w:eastAsia="Calibri" w:hAnsi="Times New Roman" w:cs="Times New Roman"/>
          <w:color w:val="000000"/>
          <w:sz w:val="24"/>
          <w:szCs w:val="24"/>
        </w:rPr>
      </w:pPr>
    </w:p>
    <w:p w14:paraId="05E07381" w14:textId="77777777" w:rsidR="00BB5D9D" w:rsidRDefault="00BB5D9D" w:rsidP="000D7CDE">
      <w:pPr>
        <w:spacing w:after="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Miasto i Gmina Mirosławiec w 2019 r. zapewniło udział Rady Seniorów w sesjach Rady Miejskiej, co miało wpływ na budowanie zaangażowania w sprawy społeczności wbrew ograniczeniom wynikającym z wieku oraz docelowo poprawę jakości życia tych osób </w:t>
      </w:r>
      <w:r w:rsidRPr="005F0A32">
        <w:rPr>
          <w:rFonts w:ascii="Times New Roman" w:eastAsia="Calibri" w:hAnsi="Times New Roman" w:cs="Times New Roman"/>
          <w:color w:val="000000"/>
          <w:sz w:val="24"/>
          <w:szCs w:val="24"/>
        </w:rPr>
        <w:br/>
        <w:t>w środowisku zamieszkania.</w:t>
      </w:r>
    </w:p>
    <w:p w14:paraId="0EBBBCFC" w14:textId="77777777" w:rsidR="00DB06B4" w:rsidRPr="005F0A32" w:rsidRDefault="00DB06B4" w:rsidP="000D7CDE">
      <w:pPr>
        <w:spacing w:after="0"/>
        <w:jc w:val="both"/>
        <w:rPr>
          <w:rFonts w:ascii="Times New Roman" w:eastAsia="Calibri" w:hAnsi="Times New Roman" w:cs="Times New Roman"/>
          <w:color w:val="000000"/>
          <w:sz w:val="24"/>
          <w:szCs w:val="24"/>
        </w:rPr>
      </w:pPr>
    </w:p>
    <w:p w14:paraId="534DCDF6" w14:textId="77777777" w:rsidR="00BB5D9D" w:rsidRPr="005F0A32" w:rsidRDefault="00BB5D9D" w:rsidP="000D7CDE">
      <w:pPr>
        <w:spacing w:after="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Innym przykładem na działanie antydyskryminacyjne może być Kawiarenka Senioralna Międzypokoleniowa prowadzona na zlecenie Miasta Stargard przez Parafię pw. św. Krzyża. </w:t>
      </w:r>
      <w:r w:rsidRPr="005F0A32">
        <w:rPr>
          <w:rFonts w:ascii="Times New Roman" w:eastAsia="Calibri" w:hAnsi="Times New Roman" w:cs="Times New Roman"/>
          <w:color w:val="000000"/>
          <w:sz w:val="24"/>
          <w:szCs w:val="24"/>
        </w:rPr>
        <w:br/>
        <w:t xml:space="preserve">W Kawiarence uczestniczyło średnio 40 osób. </w:t>
      </w:r>
    </w:p>
    <w:p w14:paraId="6AE33BF8" w14:textId="77777777" w:rsidR="00BB5D9D" w:rsidRPr="005F0A32" w:rsidRDefault="00BB5D9D" w:rsidP="000D7CDE">
      <w:pPr>
        <w:autoSpaceDE w:val="0"/>
        <w:autoSpaceDN w:val="0"/>
        <w:adjustRightInd w:val="0"/>
        <w:spacing w:after="0"/>
        <w:jc w:val="both"/>
        <w:rPr>
          <w:rFonts w:ascii="Times New Roman" w:eastAsia="Calibri" w:hAnsi="Times New Roman" w:cs="Times New Roman"/>
          <w:color w:val="000000"/>
          <w:sz w:val="24"/>
          <w:szCs w:val="24"/>
        </w:rPr>
      </w:pPr>
    </w:p>
    <w:p w14:paraId="2A807EA0" w14:textId="77777777" w:rsidR="00BB5D9D" w:rsidRPr="005F0A32" w:rsidRDefault="00BB5D9D" w:rsidP="000D7CDE">
      <w:pPr>
        <w:autoSpaceDE w:val="0"/>
        <w:autoSpaceDN w:val="0"/>
        <w:adjustRightInd w:val="0"/>
        <w:spacing w:after="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Zgodnie z informacjami przedstawionymi przez jednostki podległe z czerwca 2020 r., </w:t>
      </w:r>
      <w:r w:rsidRPr="005F0A32">
        <w:rPr>
          <w:rFonts w:ascii="Times New Roman" w:eastAsia="Calibri" w:hAnsi="Times New Roman" w:cs="Times New Roman"/>
          <w:color w:val="000000"/>
          <w:sz w:val="24"/>
          <w:szCs w:val="24"/>
        </w:rPr>
        <w:br/>
        <w:t>w województwie zachodniopomorskim w 2019 r. zrealizowano następujące inne inicjatywy wsparcia na rzecz osób starszych:</w:t>
      </w:r>
    </w:p>
    <w:p w14:paraId="1E867866" w14:textId="77777777" w:rsidR="00BB5D9D" w:rsidRPr="005F0A32" w:rsidRDefault="00BB5D9D" w:rsidP="008C71A9">
      <w:pPr>
        <w:numPr>
          <w:ilvl w:val="0"/>
          <w:numId w:val="202"/>
        </w:numPr>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świadczono usługi opiekuńcze i specjalistyczne usługi opiekuńcze, usługi opiekuńcze dla osób z zaburzeniami psychicznymi w miejscu zamieszkania, inne świadczenia pieniężne </w:t>
      </w:r>
      <w:r w:rsidRPr="005F0A32">
        <w:rPr>
          <w:rFonts w:ascii="Times New Roman" w:eastAsia="Calibri" w:hAnsi="Times New Roman" w:cs="Times New Roman"/>
          <w:color w:val="000000"/>
          <w:sz w:val="24"/>
          <w:szCs w:val="24"/>
        </w:rPr>
        <w:br/>
        <w:t>i niepieniężne z zakresu pomocy społecznej;</w:t>
      </w:r>
    </w:p>
    <w:p w14:paraId="27C5A458" w14:textId="77777777" w:rsidR="00BB5D9D" w:rsidRPr="005F0A32" w:rsidRDefault="00BB5D9D" w:rsidP="008C71A9">
      <w:pPr>
        <w:numPr>
          <w:ilvl w:val="0"/>
          <w:numId w:val="202"/>
        </w:numPr>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lastRenderedPageBreak/>
        <w:t>świadczono usługi zapewnione w ramach Programu ,,Opieka 75+”, Programu Opieka Wytchnieniowa, Edycja 2019 oraz Programu ,,Asystent Osobisty Osoby Niepełnosprawnej”, innych programów lokalnych, ministerialnych i współfina</w:t>
      </w:r>
      <w:r w:rsidR="00FD7B03">
        <w:rPr>
          <w:rFonts w:ascii="Times New Roman" w:eastAsia="Calibri" w:hAnsi="Times New Roman" w:cs="Times New Roman"/>
          <w:color w:val="000000"/>
          <w:sz w:val="24"/>
          <w:szCs w:val="24"/>
        </w:rPr>
        <w:t xml:space="preserve">nsowanych </w:t>
      </w:r>
      <w:r w:rsidRPr="005F0A32">
        <w:rPr>
          <w:rFonts w:ascii="Times New Roman" w:eastAsia="Calibri" w:hAnsi="Times New Roman" w:cs="Times New Roman"/>
          <w:color w:val="000000"/>
          <w:sz w:val="24"/>
          <w:szCs w:val="24"/>
        </w:rPr>
        <w:t>ze środków UE;</w:t>
      </w:r>
    </w:p>
    <w:p w14:paraId="643E7BCA" w14:textId="77777777" w:rsidR="00BB5D9D" w:rsidRPr="005F0A32" w:rsidRDefault="00BB5D9D" w:rsidP="008C71A9">
      <w:pPr>
        <w:numPr>
          <w:ilvl w:val="0"/>
          <w:numId w:val="202"/>
        </w:numPr>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tworzono i prowadzenie dzienne form wsparcia seniorów w społeczności lokalnej (dzienne domy pomocy społecznej, kluby seniora), w których świadczono kompleksowo różne formy terapii i zabezpieczania potrzeb, w których m.in. umożliwia się wzrost umiejętności w zakresie wartościowego spędzania </w:t>
      </w:r>
      <w:r w:rsidR="00FD7B03">
        <w:rPr>
          <w:rFonts w:ascii="Times New Roman" w:eastAsia="Calibri" w:hAnsi="Times New Roman" w:cs="Times New Roman"/>
          <w:color w:val="000000"/>
          <w:sz w:val="24"/>
          <w:szCs w:val="24"/>
        </w:rPr>
        <w:t xml:space="preserve">czasu i mobilizowanie seniorów </w:t>
      </w:r>
      <w:r w:rsidRPr="005F0A32">
        <w:rPr>
          <w:rFonts w:ascii="Times New Roman" w:eastAsia="Calibri" w:hAnsi="Times New Roman" w:cs="Times New Roman"/>
          <w:color w:val="000000"/>
          <w:sz w:val="24"/>
          <w:szCs w:val="24"/>
        </w:rPr>
        <w:t>do aktywności poza miejscem zamieszkania;</w:t>
      </w:r>
    </w:p>
    <w:p w14:paraId="4C1FDA96" w14:textId="77777777" w:rsidR="00BB5D9D" w:rsidRPr="005F0A32" w:rsidRDefault="00BB5D9D" w:rsidP="008C71A9">
      <w:pPr>
        <w:numPr>
          <w:ilvl w:val="0"/>
          <w:numId w:val="202"/>
        </w:numPr>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wdrażano i utrzymywano mieszkalnictwo wspomagane m.in. dla seniorów;</w:t>
      </w:r>
    </w:p>
    <w:p w14:paraId="7D117D09" w14:textId="77777777" w:rsidR="00BB5D9D" w:rsidRPr="005F0A32" w:rsidRDefault="00BB5D9D" w:rsidP="008C71A9">
      <w:pPr>
        <w:numPr>
          <w:ilvl w:val="0"/>
          <w:numId w:val="202"/>
        </w:numPr>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objęto niezbędnym dowozem seniorów do placówek zdrowia i innych niezbędnych instytucji;</w:t>
      </w:r>
    </w:p>
    <w:p w14:paraId="22F6CC97" w14:textId="77777777" w:rsidR="00BB5D9D" w:rsidRPr="005F0A32" w:rsidRDefault="00BB5D9D" w:rsidP="008C71A9">
      <w:pPr>
        <w:numPr>
          <w:ilvl w:val="0"/>
          <w:numId w:val="202"/>
        </w:numPr>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umożliwiono nieodpłatny dostęp do sprzętu reha</w:t>
      </w:r>
      <w:r w:rsidR="00FD7B03">
        <w:rPr>
          <w:rFonts w:ascii="Times New Roman" w:eastAsia="Calibri" w:hAnsi="Times New Roman" w:cs="Times New Roman"/>
          <w:color w:val="000000"/>
          <w:sz w:val="24"/>
          <w:szCs w:val="24"/>
        </w:rPr>
        <w:t xml:space="preserve">bilitacyjnego i wspomagającego </w:t>
      </w:r>
      <w:r w:rsidRPr="005F0A32">
        <w:rPr>
          <w:rFonts w:ascii="Times New Roman" w:eastAsia="Calibri" w:hAnsi="Times New Roman" w:cs="Times New Roman"/>
          <w:color w:val="000000"/>
          <w:sz w:val="24"/>
          <w:szCs w:val="24"/>
        </w:rPr>
        <w:t>z wypożyczalni prowadzonych w lokalnej społeczności;</w:t>
      </w:r>
    </w:p>
    <w:p w14:paraId="71137C51" w14:textId="77777777" w:rsidR="00BB5D9D" w:rsidRPr="005F0A32" w:rsidRDefault="00BB5D9D" w:rsidP="008C71A9">
      <w:pPr>
        <w:numPr>
          <w:ilvl w:val="0"/>
          <w:numId w:val="202"/>
        </w:numPr>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zapewniono seniorom dostęp do lokalnych usług na preferencyjnych warunkach poprzez tzw. karty seniora;</w:t>
      </w:r>
    </w:p>
    <w:p w14:paraId="139529DD" w14:textId="77777777" w:rsidR="00BB5D9D" w:rsidRPr="005F0A32" w:rsidRDefault="00BB5D9D" w:rsidP="008C71A9">
      <w:pPr>
        <w:numPr>
          <w:ilvl w:val="0"/>
          <w:numId w:val="202"/>
        </w:numPr>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prowadzono działalność prozdrowotną, rehabilitacyjną, upowszechniano profilaktykę gerontologiczną oraz inicjatywy na rzecz zdrowia seniorów, wykraczające poza możliwości systemu ochrony zdrowia czy pomocy społecznej, np. zakup szczepionek przeciw grypie dla mieszkańców powyżej 65 roku życia czy spotkania z kosmetyczką, podologiem;</w:t>
      </w:r>
    </w:p>
    <w:p w14:paraId="5C73AF44" w14:textId="77777777" w:rsidR="00BB5D9D" w:rsidRPr="005F0A32" w:rsidRDefault="00BB5D9D" w:rsidP="008C71A9">
      <w:pPr>
        <w:numPr>
          <w:ilvl w:val="0"/>
          <w:numId w:val="202"/>
        </w:numPr>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kładziono nacisk na stymulowanie rozwoju osobistego oraz sprawności intelektualnej osób starszych;</w:t>
      </w:r>
    </w:p>
    <w:p w14:paraId="5D17B571" w14:textId="77777777" w:rsidR="00BB5D9D" w:rsidRPr="005F0A32" w:rsidRDefault="00BB5D9D" w:rsidP="008C71A9">
      <w:pPr>
        <w:numPr>
          <w:ilvl w:val="0"/>
          <w:numId w:val="202"/>
        </w:numPr>
        <w:tabs>
          <w:tab w:val="left" w:pos="57"/>
        </w:tabs>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realizowano spotkania przedstawicieli oświaty, Policji, służby zdrowia, jednostek samorządu terytorialnego i innych służb w celu informowania i poszerzania wiedzy osób starszych w różnych dziedzinach życia społecznego, stosowano pogadanki z seniorami, akcje informacyjne skierowane na zapewnienie bezpieczeństwa osobom starszym;</w:t>
      </w:r>
    </w:p>
    <w:p w14:paraId="7198A5E9" w14:textId="77777777" w:rsidR="00BB5D9D" w:rsidRPr="005F0A32" w:rsidRDefault="00BB5D9D" w:rsidP="008C71A9">
      <w:pPr>
        <w:numPr>
          <w:ilvl w:val="0"/>
          <w:numId w:val="202"/>
        </w:numPr>
        <w:tabs>
          <w:tab w:val="left" w:pos="57"/>
        </w:tabs>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tworzono lokalne rady senioralne, zespoły zadaniowe, fora, stanowiące przestrzeń rzecznictwa i dialogu na rzecz osób starszych w społecznościach lokalnych;</w:t>
      </w:r>
    </w:p>
    <w:p w14:paraId="0821D123" w14:textId="77777777" w:rsidR="00BB5D9D" w:rsidRPr="005F0A32" w:rsidRDefault="00BB5D9D" w:rsidP="008C71A9">
      <w:pPr>
        <w:numPr>
          <w:ilvl w:val="0"/>
          <w:numId w:val="202"/>
        </w:numPr>
        <w:tabs>
          <w:tab w:val="left" w:pos="57"/>
        </w:tabs>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prowadzono w ramach realizowanych zadań profile w Internecie (np. Klubu Seniora na portalu Facebook oraz w prasie lokalnej), co umożliwiało seniorom prezentację działań szerszej społeczności, współuczestnictwo w nowoczesnych formach przekazu </w:t>
      </w:r>
      <w:r w:rsidRPr="005F0A32">
        <w:rPr>
          <w:rFonts w:ascii="Times New Roman" w:eastAsia="Calibri" w:hAnsi="Times New Roman" w:cs="Times New Roman"/>
          <w:color w:val="000000"/>
          <w:sz w:val="24"/>
          <w:szCs w:val="24"/>
        </w:rPr>
        <w:br/>
        <w:t>w środowisku lokalnym oraz międzypokoleniową wymianę informacji;</w:t>
      </w:r>
    </w:p>
    <w:p w14:paraId="1460D800" w14:textId="77777777" w:rsidR="00BB5D9D" w:rsidRPr="005F0A32" w:rsidRDefault="00BB5D9D" w:rsidP="008C71A9">
      <w:pPr>
        <w:numPr>
          <w:ilvl w:val="0"/>
          <w:numId w:val="202"/>
        </w:numPr>
        <w:tabs>
          <w:tab w:val="left" w:pos="57"/>
        </w:tabs>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realizowano działalność Uniwersytetów Trzeciego Wieku, których inicjatywy zmierzały </w:t>
      </w:r>
      <w:r w:rsidRPr="005F0A32">
        <w:rPr>
          <w:rFonts w:ascii="Times New Roman" w:eastAsia="Calibri" w:hAnsi="Times New Roman" w:cs="Times New Roman"/>
          <w:color w:val="000000"/>
          <w:sz w:val="24"/>
          <w:szCs w:val="24"/>
        </w:rPr>
        <w:br/>
        <w:t xml:space="preserve">do wyzwolenia seniorów ze stereotypu osoby starszej poprzez ich edukację, propagowanie zdrowego stylu życia i poprawę kondycji fizycznej, poszerzenie kontaktów społecznych </w:t>
      </w:r>
      <w:r w:rsidRPr="005F0A32">
        <w:rPr>
          <w:rFonts w:ascii="Times New Roman" w:eastAsia="Calibri" w:hAnsi="Times New Roman" w:cs="Times New Roman"/>
          <w:color w:val="000000"/>
          <w:sz w:val="24"/>
          <w:szCs w:val="24"/>
        </w:rPr>
        <w:br/>
        <w:t>i integrację w grupie rówieśniczej, rozrywkę i rekreację;</w:t>
      </w:r>
    </w:p>
    <w:p w14:paraId="624B38E3" w14:textId="77777777" w:rsidR="00BB5D9D" w:rsidRPr="005F0A32" w:rsidRDefault="00BB5D9D" w:rsidP="008C71A9">
      <w:pPr>
        <w:numPr>
          <w:ilvl w:val="0"/>
          <w:numId w:val="202"/>
        </w:numPr>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umożliwiano seniorom zabezpieczanie potrzeb integracyjnych np. poprzez spotkania wielopokoleniowe, spotkania świąteczne, kiermasze rękodzieła, uroczystości, pielęgnowanie tradycji;</w:t>
      </w:r>
    </w:p>
    <w:p w14:paraId="7AD241D7" w14:textId="77777777" w:rsidR="00BB5D9D" w:rsidRPr="005F0A32" w:rsidRDefault="00BB5D9D" w:rsidP="008C71A9">
      <w:pPr>
        <w:numPr>
          <w:ilvl w:val="0"/>
          <w:numId w:val="202"/>
        </w:numPr>
        <w:tabs>
          <w:tab w:val="left" w:pos="284"/>
        </w:tabs>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zapewniano dostęp osób starszych do dóbr kultury i sztuki poprzez udział w zajęciach tematycznych, rozwijających zainteresowania, warsztatach;</w:t>
      </w:r>
    </w:p>
    <w:p w14:paraId="6F34CC17" w14:textId="77777777" w:rsidR="00BB5D9D" w:rsidRPr="005F0A32" w:rsidRDefault="00BB5D9D" w:rsidP="008C71A9">
      <w:pPr>
        <w:numPr>
          <w:ilvl w:val="0"/>
          <w:numId w:val="202"/>
        </w:numPr>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lastRenderedPageBreak/>
        <w:t xml:space="preserve">przeprowadzano wyjazdy turystyczne dla seniorów, w tym umożliwiające udział </w:t>
      </w:r>
      <w:r w:rsidRPr="005F0A32">
        <w:rPr>
          <w:rFonts w:ascii="Times New Roman" w:eastAsia="Calibri" w:hAnsi="Times New Roman" w:cs="Times New Roman"/>
          <w:color w:val="000000"/>
          <w:sz w:val="24"/>
          <w:szCs w:val="24"/>
        </w:rPr>
        <w:br/>
        <w:t xml:space="preserve">w festiwalach kulturalnych, odtwarzaniu historii, podtrzymywaniu tożsamości </w:t>
      </w:r>
      <w:r w:rsidRPr="005F0A32">
        <w:rPr>
          <w:rFonts w:ascii="Times New Roman" w:eastAsia="Calibri" w:hAnsi="Times New Roman" w:cs="Times New Roman"/>
          <w:color w:val="000000"/>
          <w:sz w:val="24"/>
          <w:szCs w:val="24"/>
        </w:rPr>
        <w:br/>
        <w:t>i dziedzictwa;</w:t>
      </w:r>
    </w:p>
    <w:p w14:paraId="57867947" w14:textId="77777777" w:rsidR="00BB5D9D" w:rsidRPr="005F0A32" w:rsidRDefault="00BB5D9D" w:rsidP="008C71A9">
      <w:pPr>
        <w:numPr>
          <w:ilvl w:val="0"/>
          <w:numId w:val="202"/>
        </w:numPr>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wspierano organizacje pozarządowe zrzeszające seniorów poprzez zlecanie zadań publicznych oraz udostępnianie pomieszczeń nieodpłatnie przez samorząd lokalny dla potrzeb organizacji skupiających seniorów z terenu województwa;</w:t>
      </w:r>
    </w:p>
    <w:p w14:paraId="5CE77A6C" w14:textId="77777777" w:rsidR="00BB5D9D" w:rsidRPr="005F0A32" w:rsidRDefault="00BB5D9D" w:rsidP="008C71A9">
      <w:pPr>
        <w:numPr>
          <w:ilvl w:val="0"/>
          <w:numId w:val="202"/>
        </w:numPr>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 xml:space="preserve">inicjowano wspólne akcje np. sprzątanie grobu nieznanego żołnierza, obchodzenie Święta Odzyskania Niepodległości, akcje pomocy na rzecz innym oraz wolontariatu seniorów </w:t>
      </w:r>
      <w:r w:rsidRPr="005F0A32">
        <w:rPr>
          <w:rFonts w:ascii="Times New Roman" w:eastAsia="Calibri" w:hAnsi="Times New Roman" w:cs="Times New Roman"/>
          <w:color w:val="000000"/>
          <w:sz w:val="24"/>
          <w:szCs w:val="24"/>
        </w:rPr>
        <w:br/>
        <w:t>w zbiórkach ogólnopolskich;</w:t>
      </w:r>
    </w:p>
    <w:p w14:paraId="37507513" w14:textId="77777777" w:rsidR="00BB5D9D" w:rsidRPr="005F0A32" w:rsidRDefault="00BB5D9D" w:rsidP="008C71A9">
      <w:pPr>
        <w:numPr>
          <w:ilvl w:val="0"/>
          <w:numId w:val="202"/>
        </w:numPr>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propagowano aktywnego trybu życia m.in. poprzez gimnastykę basenową, korekcyjna, naukę tańca towarzyskiego, Nordic Walking, turystykę pieszą i wyjazdową;</w:t>
      </w:r>
    </w:p>
    <w:p w14:paraId="24A82CB3" w14:textId="77777777" w:rsidR="00BB5D9D" w:rsidRPr="005F0A32" w:rsidRDefault="00BB5D9D" w:rsidP="008C71A9">
      <w:pPr>
        <w:numPr>
          <w:ilvl w:val="0"/>
          <w:numId w:val="202"/>
        </w:numPr>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wykorzystywano zasoby lokalne małej architektury na rzecz osób starszych, np. siłowni plenerowych do zajęć grupowych z osobami 60+;</w:t>
      </w:r>
    </w:p>
    <w:p w14:paraId="62C79DDA" w14:textId="77777777" w:rsidR="00BB5D9D" w:rsidRPr="005F0A32" w:rsidRDefault="00BB5D9D" w:rsidP="008C71A9">
      <w:pPr>
        <w:numPr>
          <w:ilvl w:val="0"/>
          <w:numId w:val="202"/>
        </w:numPr>
        <w:autoSpaceDE w:val="0"/>
        <w:autoSpaceDN w:val="0"/>
        <w:adjustRightInd w:val="0"/>
        <w:spacing w:after="0"/>
        <w:ind w:left="360"/>
        <w:jc w:val="both"/>
        <w:rPr>
          <w:rFonts w:ascii="Times New Roman" w:eastAsia="Calibri" w:hAnsi="Times New Roman" w:cs="Times New Roman"/>
          <w:color w:val="000000"/>
          <w:sz w:val="24"/>
          <w:szCs w:val="24"/>
        </w:rPr>
      </w:pPr>
      <w:r w:rsidRPr="005F0A32">
        <w:rPr>
          <w:rFonts w:ascii="Times New Roman" w:eastAsia="Calibri" w:hAnsi="Times New Roman" w:cs="Times New Roman"/>
          <w:color w:val="000000"/>
          <w:sz w:val="24"/>
          <w:szCs w:val="24"/>
        </w:rPr>
        <w:t>przeprowadzano warsztaty specjalistyczne podnoszące kompetencje osób starszych, np. komputerowe, językowe, artystyczne.</w:t>
      </w:r>
    </w:p>
    <w:p w14:paraId="1EFF9155" w14:textId="77777777" w:rsidR="00BB5D9D" w:rsidRPr="005F0A32" w:rsidRDefault="00BB5D9D" w:rsidP="000D7CDE">
      <w:pPr>
        <w:spacing w:after="0"/>
        <w:ind w:firstLine="708"/>
        <w:jc w:val="both"/>
        <w:rPr>
          <w:rFonts w:ascii="Times New Roman" w:eastAsia="Calibri" w:hAnsi="Times New Roman" w:cs="Times New Roman"/>
          <w:sz w:val="24"/>
          <w:szCs w:val="24"/>
        </w:rPr>
      </w:pPr>
    </w:p>
    <w:p w14:paraId="4D773B40" w14:textId="77777777" w:rsidR="00BB5D9D" w:rsidRPr="005F0A32" w:rsidRDefault="00BB5D9D" w:rsidP="000D7CDE">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 ramach prowadzonej działalności na poziomie wojewódzkim Regionalny Ośrodek Polityki Społecznej Urzędu Marszałkowskiego w Szczecinie</w:t>
      </w:r>
      <w:r w:rsidRPr="005F0A32">
        <w:rPr>
          <w:rFonts w:ascii="Times New Roman" w:eastAsia="Calibri" w:hAnsi="Times New Roman" w:cs="Times New Roman"/>
          <w:i/>
          <w:iCs/>
          <w:sz w:val="24"/>
          <w:szCs w:val="24"/>
        </w:rPr>
        <w:t xml:space="preserve"> w 2019r. kontynuował </w:t>
      </w:r>
      <w:r w:rsidRPr="005F0A32">
        <w:rPr>
          <w:rFonts w:ascii="Times New Roman" w:eastAsia="Calibri" w:hAnsi="Times New Roman" w:cs="Times New Roman"/>
          <w:sz w:val="24"/>
          <w:szCs w:val="24"/>
        </w:rPr>
        <w:t xml:space="preserve">realizację </w:t>
      </w:r>
      <w:r w:rsidRPr="00F42B2D">
        <w:rPr>
          <w:rFonts w:ascii="Times New Roman" w:eastAsia="Calibri" w:hAnsi="Times New Roman" w:cs="Times New Roman"/>
          <w:b/>
          <w:sz w:val="24"/>
          <w:szCs w:val="24"/>
        </w:rPr>
        <w:t>Wojewódzkiego Programu Wspierania Rodziny i Systemu Pieczy Zastępczej na lata 2014-2020 pn. „Region dla Rodziny”</w:t>
      </w:r>
      <w:r w:rsidRPr="005F0A32">
        <w:rPr>
          <w:rFonts w:ascii="Times New Roman" w:eastAsia="Calibri" w:hAnsi="Times New Roman" w:cs="Times New Roman"/>
          <w:sz w:val="24"/>
          <w:szCs w:val="24"/>
        </w:rPr>
        <w:t xml:space="preserve"> przyjęty </w:t>
      </w:r>
      <w:r w:rsidRPr="00F42B2D">
        <w:rPr>
          <w:rFonts w:ascii="Times New Roman" w:eastAsia="Calibri" w:hAnsi="Times New Roman" w:cs="Times New Roman"/>
          <w:i/>
          <w:sz w:val="24"/>
          <w:szCs w:val="24"/>
        </w:rPr>
        <w:t>Uchwałą Nr XXXVIII/517/14 Sejmiku Województwa Zachodniopomorski</w:t>
      </w:r>
      <w:r w:rsidR="00FD7B03" w:rsidRPr="00F42B2D">
        <w:rPr>
          <w:rFonts w:ascii="Times New Roman" w:eastAsia="Calibri" w:hAnsi="Times New Roman" w:cs="Times New Roman"/>
          <w:i/>
          <w:sz w:val="24"/>
          <w:szCs w:val="24"/>
        </w:rPr>
        <w:t>ego z dnia 30 września 2014 r</w:t>
      </w:r>
      <w:r w:rsidR="00FD7B03">
        <w:rPr>
          <w:rFonts w:ascii="Times New Roman" w:eastAsia="Calibri" w:hAnsi="Times New Roman" w:cs="Times New Roman"/>
          <w:sz w:val="24"/>
          <w:szCs w:val="24"/>
        </w:rPr>
        <w:t>.</w:t>
      </w:r>
      <w:r w:rsidR="00FD7B03">
        <w:rPr>
          <w:rStyle w:val="Odwoanieprzypisudolnego"/>
          <w:rFonts w:ascii="Times New Roman" w:eastAsia="Calibri" w:hAnsi="Times New Roman" w:cs="Times New Roman"/>
          <w:sz w:val="24"/>
          <w:szCs w:val="24"/>
        </w:rPr>
        <w:footnoteReference w:id="233"/>
      </w:r>
      <w:r w:rsidR="00FD7B03">
        <w:rPr>
          <w:rFonts w:ascii="Times New Roman" w:eastAsia="Calibri" w:hAnsi="Times New Roman" w:cs="Times New Roman"/>
          <w:sz w:val="24"/>
          <w:szCs w:val="24"/>
        </w:rPr>
        <w:t xml:space="preserve">. Celem </w:t>
      </w:r>
      <w:r w:rsidRPr="005F0A32">
        <w:rPr>
          <w:rFonts w:ascii="Times New Roman" w:eastAsia="Calibri" w:hAnsi="Times New Roman" w:cs="Times New Roman"/>
          <w:sz w:val="24"/>
          <w:szCs w:val="24"/>
        </w:rPr>
        <w:t xml:space="preserve">programu jest wdrożenie i promocja działań skierowanych do osób starszych, wsparcie seniorów zarówno funkcjonujących w rodzinach, rodzinach wielopokoleniowych, jak i żyjących samotnie. </w:t>
      </w:r>
    </w:p>
    <w:p w14:paraId="7228EA20" w14:textId="77777777" w:rsidR="0057657B" w:rsidRDefault="0057657B" w:rsidP="000D7CDE">
      <w:pPr>
        <w:spacing w:after="0"/>
        <w:jc w:val="both"/>
        <w:rPr>
          <w:rFonts w:ascii="Times New Roman" w:eastAsia="Calibri" w:hAnsi="Times New Roman" w:cs="Times New Roman"/>
          <w:b/>
          <w:sz w:val="24"/>
          <w:szCs w:val="24"/>
        </w:rPr>
      </w:pPr>
    </w:p>
    <w:p w14:paraId="26AAD2B3" w14:textId="77777777" w:rsidR="00BB5D9D" w:rsidRPr="005F0A32" w:rsidRDefault="00BB5D9D" w:rsidP="000D7CDE">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sz w:val="24"/>
          <w:szCs w:val="24"/>
        </w:rPr>
        <w:t>W dniach 12-13 października 2019 r., w Hali Azoty Arena zorganizowano Zachodniopomorskie Targi Seniorów 60+</w:t>
      </w:r>
      <w:r w:rsidRPr="005F0A32">
        <w:rPr>
          <w:rFonts w:ascii="Times New Roman" w:eastAsia="Calibri" w:hAnsi="Times New Roman" w:cs="Times New Roman"/>
          <w:sz w:val="24"/>
          <w:szCs w:val="24"/>
        </w:rPr>
        <w:t xml:space="preserve"> skierowane do szerokiego środowiska seniorów z terenu całego woj</w:t>
      </w:r>
      <w:r w:rsidR="0057657B">
        <w:rPr>
          <w:rFonts w:ascii="Times New Roman" w:eastAsia="Calibri" w:hAnsi="Times New Roman" w:cs="Times New Roman"/>
          <w:sz w:val="24"/>
          <w:szCs w:val="24"/>
        </w:rPr>
        <w:t xml:space="preserve">ewództwa zachodniopomorskiego. </w:t>
      </w:r>
      <w:r w:rsidRPr="005F0A32">
        <w:rPr>
          <w:rFonts w:ascii="Times New Roman" w:eastAsia="Calibri" w:hAnsi="Times New Roman" w:cs="Times New Roman"/>
          <w:sz w:val="24"/>
          <w:szCs w:val="24"/>
        </w:rPr>
        <w:t>Wystawcy targów prezentowali swoje produkty i usługi, wśród których znalazły się m. in. domy pomocy społecznej, firmy medyczne, sprzęt rehabilitacyjny,</w:t>
      </w:r>
      <w:r w:rsidR="0057657B">
        <w:rPr>
          <w:rFonts w:ascii="Times New Roman" w:eastAsia="Calibri" w:hAnsi="Times New Roman" w:cs="Times New Roman"/>
          <w:sz w:val="24"/>
          <w:szCs w:val="24"/>
        </w:rPr>
        <w:t xml:space="preserve"> systemy opiekuńczo-ratunkowe. </w:t>
      </w:r>
      <w:r w:rsidRPr="005F0A32">
        <w:rPr>
          <w:rFonts w:ascii="Times New Roman" w:eastAsia="Calibri" w:hAnsi="Times New Roman" w:cs="Times New Roman"/>
          <w:sz w:val="24"/>
          <w:szCs w:val="24"/>
        </w:rPr>
        <w:t>Ofertę kulturalno-warsztatową zaprezentowały również instytucje z województwa zachodniopomorskiego m.in. Domy Kultury, Uniwersytety Trzeciego Wieku, Kluby Seniora fundacje i stowarzyszenia oraz inne centra aktywności Se</w:t>
      </w:r>
      <w:r w:rsidR="0057657B">
        <w:rPr>
          <w:rFonts w:ascii="Times New Roman" w:eastAsia="Calibri" w:hAnsi="Times New Roman" w:cs="Times New Roman"/>
          <w:sz w:val="24"/>
          <w:szCs w:val="24"/>
        </w:rPr>
        <w:t xml:space="preserve">niorów. Stoiska z informacjami </w:t>
      </w:r>
      <w:r w:rsidRPr="005F0A32">
        <w:rPr>
          <w:rFonts w:ascii="Times New Roman" w:eastAsia="Calibri" w:hAnsi="Times New Roman" w:cs="Times New Roman"/>
          <w:sz w:val="24"/>
          <w:szCs w:val="24"/>
        </w:rPr>
        <w:t>o prowadzonych programach pomocowych</w:t>
      </w:r>
      <w:r w:rsidR="0057657B">
        <w:rPr>
          <w:rFonts w:ascii="Times New Roman" w:eastAsia="Calibri" w:hAnsi="Times New Roman" w:cs="Times New Roman"/>
          <w:sz w:val="24"/>
          <w:szCs w:val="24"/>
        </w:rPr>
        <w:t xml:space="preserve"> </w:t>
      </w:r>
      <w:r w:rsidRPr="005F0A32">
        <w:rPr>
          <w:rFonts w:ascii="Times New Roman" w:eastAsia="Calibri" w:hAnsi="Times New Roman" w:cs="Times New Roman"/>
          <w:sz w:val="24"/>
          <w:szCs w:val="24"/>
        </w:rPr>
        <w:t xml:space="preserve">przedstawili również: Urząd Marszałkowski Województwa Zachodniopomorskiego, Urząd Miasta Szczecin, Miejskie Centrum Seniora, Zakład Ubezpieczeń Społecznych, Policja, Narodowy Fundusz Zdrowia, Główny Urząd Statystyczny oraz Państwowy Fundusz Rehabilitacji Osób Niepełnosprawnych. </w:t>
      </w:r>
    </w:p>
    <w:p w14:paraId="0261E749" w14:textId="77777777" w:rsidR="00F42B2D" w:rsidRDefault="00F42B2D" w:rsidP="003C1988">
      <w:pPr>
        <w:spacing w:after="0"/>
        <w:rPr>
          <w:rFonts w:ascii="Times New Roman" w:eastAsia="Calibri" w:hAnsi="Times New Roman" w:cs="Times New Roman"/>
          <w:sz w:val="24"/>
          <w:szCs w:val="24"/>
        </w:rPr>
      </w:pPr>
    </w:p>
    <w:p w14:paraId="00F28F39" w14:textId="77777777" w:rsidR="00BB5D9D" w:rsidRPr="005F0A32"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Dużym zainteresowaniem cieszyły się przygotowane </w:t>
      </w:r>
      <w:r w:rsidRPr="00F42B2D">
        <w:rPr>
          <w:rFonts w:ascii="Times New Roman" w:eastAsia="Calibri" w:hAnsi="Times New Roman" w:cs="Times New Roman"/>
          <w:b/>
          <w:sz w:val="24"/>
          <w:szCs w:val="24"/>
        </w:rPr>
        <w:t>wykłady oraz warsztaty dla Seniorów</w:t>
      </w:r>
      <w:r w:rsidRPr="005F0A32">
        <w:rPr>
          <w:rFonts w:ascii="Times New Roman" w:eastAsia="Calibri" w:hAnsi="Times New Roman" w:cs="Times New Roman"/>
          <w:sz w:val="24"/>
          <w:szCs w:val="24"/>
        </w:rPr>
        <w:t xml:space="preserve"> </w:t>
      </w:r>
      <w:r w:rsidRPr="005F0A32">
        <w:rPr>
          <w:rFonts w:ascii="Times New Roman" w:eastAsia="Calibri" w:hAnsi="Times New Roman" w:cs="Times New Roman"/>
          <w:sz w:val="24"/>
          <w:szCs w:val="24"/>
        </w:rPr>
        <w:br/>
        <w:t xml:space="preserve">i całych rodzin z różnych dziedzin np. „Przedawnienia długów” „Jak przedłużyć żywotność mózgu”, „Opieka i pielęgnacja nad osobą zależną", „Miejsce seniora w świecie”, „Budowanie poprawnej komunikacji w rodzinie”, „Rola emocji w życiu człowieka”. </w:t>
      </w:r>
    </w:p>
    <w:p w14:paraId="746D3DEC" w14:textId="77777777" w:rsidR="00F42B2D" w:rsidRDefault="00F42B2D" w:rsidP="00EE3921">
      <w:pPr>
        <w:spacing w:after="0"/>
        <w:jc w:val="both"/>
        <w:rPr>
          <w:rFonts w:ascii="Times New Roman" w:eastAsia="Calibri" w:hAnsi="Times New Roman" w:cs="Times New Roman"/>
          <w:sz w:val="24"/>
          <w:szCs w:val="24"/>
        </w:rPr>
      </w:pPr>
    </w:p>
    <w:p w14:paraId="1DED6AC3" w14:textId="77777777" w:rsidR="00BB5D9D" w:rsidRPr="005F0A32"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W ramach rozpowszechnienia projektu ROPS pn. </w:t>
      </w:r>
      <w:r w:rsidRPr="00F42B2D">
        <w:rPr>
          <w:rFonts w:ascii="Times New Roman" w:eastAsia="Calibri" w:hAnsi="Times New Roman" w:cs="Times New Roman"/>
          <w:b/>
          <w:sz w:val="24"/>
          <w:szCs w:val="24"/>
        </w:rPr>
        <w:t>„Dobre Wsparcie”</w:t>
      </w:r>
      <w:r w:rsidRPr="005F0A32">
        <w:rPr>
          <w:rFonts w:ascii="Times New Roman" w:eastAsia="Calibri" w:hAnsi="Times New Roman" w:cs="Times New Roman"/>
          <w:sz w:val="24"/>
          <w:szCs w:val="24"/>
        </w:rPr>
        <w:t xml:space="preserve"> zaprezentowano sprzęt ułatwiający życie z niepełnosprawnością oraz zabiegi pielęgnacyjne nad osobą niesamodzielną (profilaktyka). Dla całych rodzin i senioró</w:t>
      </w:r>
      <w:r w:rsidR="00F42B2D">
        <w:rPr>
          <w:rFonts w:ascii="Times New Roman" w:eastAsia="Calibri" w:hAnsi="Times New Roman" w:cs="Times New Roman"/>
          <w:sz w:val="24"/>
          <w:szCs w:val="24"/>
        </w:rPr>
        <w:t xml:space="preserve">w spędzających czas na targach </w:t>
      </w:r>
      <w:r w:rsidRPr="005F0A32">
        <w:rPr>
          <w:rFonts w:ascii="Times New Roman" w:eastAsia="Calibri" w:hAnsi="Times New Roman" w:cs="Times New Roman"/>
          <w:sz w:val="24"/>
          <w:szCs w:val="24"/>
        </w:rPr>
        <w:t>z dziećmi bądź wnukami przygotowano specjalną „Strefę wnuczka” z możliwością pozostawienia dzieci pod fachową opieką na czas brania udziału w warsztatach lub wykładach. W czasie targów na scenie odbyły się spotkania z ekspertami: lekarzem, psychologiem, dietetykiem, prawnikiem, trenerami personalnymi, z którymi następnie można było spotkać w kawiarni targowej i uzyskać indywidualną poradę. Atrakcją dla zwiedzających były również koncerty muzyczne chórów, zespołów muzycznych, pokazy</w:t>
      </w:r>
      <w:r w:rsidR="00F42B2D">
        <w:rPr>
          <w:rFonts w:ascii="Times New Roman" w:eastAsia="Calibri" w:hAnsi="Times New Roman" w:cs="Times New Roman"/>
          <w:sz w:val="24"/>
          <w:szCs w:val="24"/>
        </w:rPr>
        <w:t xml:space="preserve"> tańca czy spektakle teatralne </w:t>
      </w:r>
      <w:r w:rsidRPr="005F0A32">
        <w:rPr>
          <w:rFonts w:ascii="Times New Roman" w:eastAsia="Calibri" w:hAnsi="Times New Roman" w:cs="Times New Roman"/>
          <w:sz w:val="24"/>
          <w:szCs w:val="24"/>
        </w:rPr>
        <w:t>i kabaretowe organizacji senioralnych</w:t>
      </w:r>
      <w:r w:rsidR="00F42B2D">
        <w:rPr>
          <w:rStyle w:val="Odwoanieprzypisudolnego"/>
          <w:rFonts w:ascii="Times New Roman" w:eastAsia="Calibri" w:hAnsi="Times New Roman" w:cs="Times New Roman"/>
          <w:sz w:val="24"/>
          <w:szCs w:val="24"/>
        </w:rPr>
        <w:footnoteReference w:id="234"/>
      </w:r>
      <w:r w:rsidRPr="005F0A32">
        <w:rPr>
          <w:rFonts w:ascii="Times New Roman" w:eastAsia="Calibri" w:hAnsi="Times New Roman" w:cs="Times New Roman"/>
          <w:sz w:val="24"/>
          <w:szCs w:val="24"/>
        </w:rPr>
        <w:t xml:space="preserve">. </w:t>
      </w:r>
    </w:p>
    <w:p w14:paraId="38256E04" w14:textId="77777777" w:rsidR="00BB5D9D" w:rsidRPr="005F0A32" w:rsidRDefault="00BB5D9D" w:rsidP="00EE3921">
      <w:pPr>
        <w:spacing w:after="0"/>
        <w:ind w:firstLine="708"/>
        <w:jc w:val="both"/>
        <w:rPr>
          <w:rFonts w:ascii="Times New Roman" w:eastAsia="Calibri" w:hAnsi="Times New Roman" w:cs="Times New Roman"/>
          <w:b/>
          <w:sz w:val="24"/>
          <w:szCs w:val="24"/>
        </w:rPr>
      </w:pPr>
    </w:p>
    <w:p w14:paraId="0EFA6B9E" w14:textId="77777777" w:rsidR="00BB5D9D" w:rsidRPr="005F0A32" w:rsidRDefault="00BB5D9D" w:rsidP="00EE3921">
      <w:pPr>
        <w:spacing w:after="0"/>
        <w:jc w:val="both"/>
        <w:rPr>
          <w:rFonts w:ascii="Times New Roman" w:hAnsi="Times New Roman" w:cs="Times New Roman"/>
          <w:sz w:val="24"/>
          <w:szCs w:val="24"/>
        </w:rPr>
      </w:pPr>
      <w:r w:rsidRPr="005F0A32">
        <w:rPr>
          <w:rFonts w:ascii="Times New Roman" w:hAnsi="Times New Roman" w:cs="Times New Roman"/>
          <w:b/>
          <w:bCs/>
          <w:sz w:val="24"/>
          <w:szCs w:val="24"/>
        </w:rPr>
        <w:t xml:space="preserve">W dniu 20 września 2019 r., w Operze na Zamku zorganizowano Regionalne Obchody Dnia Seniora. W trakcie uroczystości ogłoszono zwycięzców </w:t>
      </w:r>
      <w:r w:rsidRPr="005F0A32">
        <w:rPr>
          <w:rFonts w:ascii="Times New Roman" w:hAnsi="Times New Roman" w:cs="Times New Roman"/>
          <w:sz w:val="24"/>
          <w:szCs w:val="24"/>
        </w:rPr>
        <w:t>konkursu Marszałka Województwa Zachodniopomorskiego pn. „Aktywni dla Seniorów, edycja 2019”. To konkurs, który miał na celu upowszechnianie działalności seniorów w regionie i popularyzację działań organizacji pozarządowych. Nagrody przyznano w trzech kategoriach: „Senior Roku”,</w:t>
      </w:r>
      <w:r w:rsidRPr="005F0A32">
        <w:rPr>
          <w:rFonts w:ascii="Times New Roman" w:hAnsi="Times New Roman" w:cs="Times New Roman"/>
          <w:bCs/>
          <w:sz w:val="24"/>
          <w:szCs w:val="24"/>
        </w:rPr>
        <w:t xml:space="preserve"> </w:t>
      </w:r>
      <w:r w:rsidRPr="005F0A32">
        <w:rPr>
          <w:rFonts w:ascii="Times New Roman" w:hAnsi="Times New Roman" w:cs="Times New Roman"/>
          <w:sz w:val="24"/>
          <w:szCs w:val="24"/>
        </w:rPr>
        <w:t>„Samorząd Przyjazny Seniorom” oraz „Organizacja Pozarządowa Przyjazna Seniorom”</w:t>
      </w:r>
      <w:r w:rsidR="00F42B2D">
        <w:rPr>
          <w:rStyle w:val="Odwoanieprzypisudolnego"/>
          <w:rFonts w:ascii="Times New Roman" w:hAnsi="Times New Roman" w:cs="Times New Roman"/>
          <w:sz w:val="24"/>
          <w:szCs w:val="24"/>
        </w:rPr>
        <w:footnoteReference w:id="235"/>
      </w:r>
      <w:r w:rsidRPr="005F0A32">
        <w:rPr>
          <w:rFonts w:ascii="Times New Roman" w:hAnsi="Times New Roman" w:cs="Times New Roman"/>
          <w:sz w:val="24"/>
          <w:szCs w:val="24"/>
        </w:rPr>
        <w:t>.</w:t>
      </w:r>
    </w:p>
    <w:p w14:paraId="37FF4FE9" w14:textId="77777777" w:rsidR="00BB5D9D" w:rsidRPr="005F0A32" w:rsidRDefault="00BB5D9D" w:rsidP="00EE3921">
      <w:pPr>
        <w:spacing w:after="0"/>
        <w:jc w:val="both"/>
        <w:rPr>
          <w:rFonts w:ascii="Times New Roman" w:hAnsi="Times New Roman" w:cs="Times New Roman"/>
          <w:bCs/>
          <w:sz w:val="24"/>
          <w:szCs w:val="24"/>
        </w:rPr>
      </w:pPr>
    </w:p>
    <w:p w14:paraId="58A96A5F" w14:textId="77777777" w:rsidR="00BB5D9D" w:rsidRPr="005F0A32" w:rsidRDefault="00BB5D9D" w:rsidP="00EE3921">
      <w:pPr>
        <w:spacing w:after="0"/>
        <w:jc w:val="both"/>
        <w:rPr>
          <w:rFonts w:ascii="Times New Roman" w:hAnsi="Times New Roman" w:cs="Times New Roman"/>
          <w:bCs/>
          <w:sz w:val="24"/>
          <w:szCs w:val="24"/>
        </w:rPr>
      </w:pPr>
      <w:r w:rsidRPr="005F0A32">
        <w:rPr>
          <w:rFonts w:ascii="Times New Roman" w:hAnsi="Times New Roman" w:cs="Times New Roman"/>
          <w:bCs/>
          <w:sz w:val="24"/>
          <w:szCs w:val="24"/>
        </w:rPr>
        <w:t xml:space="preserve">Ponadto Regionalny Ośrodek Polityki Społecznej w ramach </w:t>
      </w:r>
      <w:r w:rsidRPr="005F0A32">
        <w:rPr>
          <w:rFonts w:ascii="Times New Roman" w:hAnsi="Times New Roman" w:cs="Times New Roman"/>
          <w:sz w:val="24"/>
          <w:szCs w:val="24"/>
        </w:rPr>
        <w:t xml:space="preserve">Wojewódzkiego Programu Wspierania Rodziny i Systemu Pieczy Zastępczej na lata 2014-2020 pn. „Region dla Rodziny” realizował </w:t>
      </w:r>
      <w:r w:rsidRPr="005F0A32">
        <w:rPr>
          <w:rFonts w:ascii="Times New Roman" w:hAnsi="Times New Roman" w:cs="Times New Roman"/>
          <w:b/>
          <w:sz w:val="24"/>
          <w:szCs w:val="24"/>
        </w:rPr>
        <w:t>Zachodniopomorską Kartę Rodziny i Zachodniopomorską Kartę Seniora</w:t>
      </w:r>
      <w:r w:rsidRPr="005F0A32">
        <w:rPr>
          <w:rFonts w:ascii="Times New Roman" w:hAnsi="Times New Roman" w:cs="Times New Roman"/>
          <w:sz w:val="24"/>
          <w:szCs w:val="24"/>
        </w:rPr>
        <w:t xml:space="preserve">, którą od 2016 r., bezpłatnie otrzymują mieszkańcy gmin województwa zachodniopomorskiego. W roku 2019 r., wśród mieszkańców województwa zachodniopomorskiego rozpowszechniono łącznie 13.000 kart </w:t>
      </w:r>
      <w:r w:rsidR="00F42B2D">
        <w:rPr>
          <w:rFonts w:ascii="Times New Roman" w:hAnsi="Times New Roman" w:cs="Times New Roman"/>
          <w:sz w:val="24"/>
          <w:szCs w:val="24"/>
        </w:rPr>
        <w:t>(w tym kart seniora 8.379 szt.)</w:t>
      </w:r>
      <w:r w:rsidR="00F42B2D">
        <w:rPr>
          <w:rStyle w:val="Odwoanieprzypisudolnego"/>
          <w:rFonts w:ascii="Times New Roman" w:hAnsi="Times New Roman" w:cs="Times New Roman"/>
          <w:sz w:val="24"/>
          <w:szCs w:val="24"/>
        </w:rPr>
        <w:footnoteReference w:id="236"/>
      </w:r>
      <w:r w:rsidR="00F42B2D">
        <w:rPr>
          <w:rFonts w:ascii="Times New Roman" w:hAnsi="Times New Roman" w:cs="Times New Roman"/>
          <w:sz w:val="24"/>
          <w:szCs w:val="24"/>
        </w:rPr>
        <w:t>.</w:t>
      </w:r>
    </w:p>
    <w:p w14:paraId="76629859" w14:textId="77777777" w:rsidR="00BB5D9D" w:rsidRPr="005F0A32" w:rsidRDefault="00BB5D9D" w:rsidP="00EE3921">
      <w:pPr>
        <w:spacing w:after="0"/>
        <w:ind w:firstLine="708"/>
        <w:jc w:val="both"/>
        <w:rPr>
          <w:rFonts w:ascii="Times New Roman" w:eastAsia="Calibri" w:hAnsi="Times New Roman" w:cs="Times New Roman"/>
          <w:sz w:val="24"/>
          <w:szCs w:val="24"/>
        </w:rPr>
      </w:pPr>
    </w:p>
    <w:p w14:paraId="3F7B865E" w14:textId="77777777" w:rsidR="00BB5D9D" w:rsidRPr="0057657B"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W 2019 r. Zarząd Województwa Zachodniopomorskiego ogłosił </w:t>
      </w:r>
      <w:r w:rsidRPr="005F0A32">
        <w:rPr>
          <w:rFonts w:ascii="Times New Roman" w:eastAsia="Calibri" w:hAnsi="Times New Roman" w:cs="Times New Roman"/>
          <w:b/>
          <w:sz w:val="24"/>
          <w:szCs w:val="24"/>
        </w:rPr>
        <w:t>konkurs ofert dla podmiotów niepublicznych wsparcie i powierzenie realizacji zadań z zakresu polityki społecznej, których adresatami byli mieszkańcy województwa zachodniopomorskiego w wieku starszym (powyżej 60 r. ż).</w:t>
      </w:r>
      <w:r w:rsidR="0057657B">
        <w:rPr>
          <w:rFonts w:ascii="Times New Roman" w:eastAsia="Calibri" w:hAnsi="Times New Roman" w:cs="Times New Roman"/>
          <w:sz w:val="24"/>
          <w:szCs w:val="24"/>
        </w:rPr>
        <w:t xml:space="preserve">  </w:t>
      </w:r>
      <w:r w:rsidRPr="005F0A32">
        <w:rPr>
          <w:rFonts w:ascii="Times New Roman" w:eastAsia="Calibri" w:hAnsi="Times New Roman" w:cs="Times New Roman"/>
          <w:sz w:val="24"/>
          <w:szCs w:val="24"/>
        </w:rPr>
        <w:t>Otwarty konkurs ofert ogłoszono na podstawie ustawy z dn. 2</w:t>
      </w:r>
      <w:r w:rsidR="0057657B">
        <w:rPr>
          <w:rFonts w:ascii="Times New Roman" w:eastAsia="Calibri" w:hAnsi="Times New Roman" w:cs="Times New Roman"/>
          <w:sz w:val="24"/>
          <w:szCs w:val="24"/>
        </w:rPr>
        <w:t xml:space="preserve">4 kwietnia 2003 r. </w:t>
      </w:r>
      <w:r w:rsidRPr="005F0A32">
        <w:rPr>
          <w:rFonts w:ascii="Times New Roman" w:eastAsia="Calibri" w:hAnsi="Times New Roman" w:cs="Times New Roman"/>
          <w:sz w:val="24"/>
          <w:szCs w:val="24"/>
        </w:rPr>
        <w:t xml:space="preserve">o działalności pożytku publicznego i o wolontariacie (Dz. U z 2018 r. poz. 450 ze zm.), </w:t>
      </w:r>
      <w:r w:rsidRPr="00F42B2D">
        <w:rPr>
          <w:rFonts w:ascii="Times New Roman" w:eastAsia="Calibri" w:hAnsi="Times New Roman" w:cs="Times New Roman"/>
          <w:i/>
          <w:sz w:val="24"/>
          <w:szCs w:val="24"/>
        </w:rPr>
        <w:t>uchwały Nr XXXV/544/18 Sejmiku Województwa Zachodniopomorsk</w:t>
      </w:r>
      <w:r w:rsidR="0057657B" w:rsidRPr="00F42B2D">
        <w:rPr>
          <w:rFonts w:ascii="Times New Roman" w:eastAsia="Calibri" w:hAnsi="Times New Roman" w:cs="Times New Roman"/>
          <w:i/>
          <w:sz w:val="24"/>
          <w:szCs w:val="24"/>
        </w:rPr>
        <w:t xml:space="preserve">iego z dn. 26 września 2018 r. </w:t>
      </w:r>
      <w:r w:rsidRPr="00F42B2D">
        <w:rPr>
          <w:rFonts w:ascii="Times New Roman" w:eastAsia="Calibri" w:hAnsi="Times New Roman" w:cs="Times New Roman"/>
          <w:i/>
          <w:sz w:val="24"/>
          <w:szCs w:val="24"/>
        </w:rPr>
        <w:t>w sprawie przyjęcia „Programu współpracy Województwa Zach</w:t>
      </w:r>
      <w:r w:rsidR="0057657B" w:rsidRPr="00F42B2D">
        <w:rPr>
          <w:rFonts w:ascii="Times New Roman" w:eastAsia="Calibri" w:hAnsi="Times New Roman" w:cs="Times New Roman"/>
          <w:i/>
          <w:sz w:val="24"/>
          <w:szCs w:val="24"/>
        </w:rPr>
        <w:t xml:space="preserve">odniopomorskiego </w:t>
      </w:r>
      <w:r w:rsidRPr="00F42B2D">
        <w:rPr>
          <w:rFonts w:ascii="Times New Roman" w:eastAsia="Calibri" w:hAnsi="Times New Roman" w:cs="Times New Roman"/>
          <w:i/>
          <w:sz w:val="24"/>
          <w:szCs w:val="24"/>
        </w:rPr>
        <w:t>z organizacjami</w:t>
      </w:r>
      <w:r w:rsidR="0057657B" w:rsidRPr="00F42B2D">
        <w:rPr>
          <w:rFonts w:ascii="Times New Roman" w:eastAsia="Calibri" w:hAnsi="Times New Roman" w:cs="Times New Roman"/>
          <w:i/>
          <w:sz w:val="24"/>
          <w:szCs w:val="24"/>
        </w:rPr>
        <w:t xml:space="preserve"> pozarządowymi na rok 2019 r”.</w:t>
      </w:r>
      <w:r w:rsidR="0057657B">
        <w:rPr>
          <w:rFonts w:ascii="Times New Roman" w:eastAsia="Calibri" w:hAnsi="Times New Roman" w:cs="Times New Roman"/>
          <w:sz w:val="24"/>
          <w:szCs w:val="24"/>
        </w:rPr>
        <w:t xml:space="preserve"> </w:t>
      </w:r>
      <w:r w:rsidRPr="005F0A32">
        <w:rPr>
          <w:rFonts w:ascii="Times New Roman" w:eastAsia="Calibri" w:hAnsi="Times New Roman" w:cs="Times New Roman"/>
          <w:bCs/>
          <w:sz w:val="24"/>
          <w:szCs w:val="24"/>
        </w:rPr>
        <w:t>Celem tych działań było m.in:</w:t>
      </w:r>
    </w:p>
    <w:p w14:paraId="00DE9DB1" w14:textId="77777777" w:rsidR="0057657B" w:rsidRDefault="00BB5D9D" w:rsidP="008C71A9">
      <w:pPr>
        <w:pStyle w:val="Akapitzlist"/>
        <w:numPr>
          <w:ilvl w:val="0"/>
          <w:numId w:val="203"/>
        </w:numPr>
        <w:spacing w:after="0"/>
        <w:ind w:left="723"/>
        <w:jc w:val="both"/>
        <w:rPr>
          <w:rFonts w:ascii="Times New Roman" w:eastAsia="Calibri" w:hAnsi="Times New Roman" w:cs="Times New Roman"/>
          <w:sz w:val="24"/>
          <w:szCs w:val="24"/>
        </w:rPr>
      </w:pPr>
      <w:r w:rsidRPr="0057657B">
        <w:rPr>
          <w:rFonts w:ascii="Times New Roman" w:eastAsia="Calibri" w:hAnsi="Times New Roman" w:cs="Times New Roman"/>
          <w:sz w:val="24"/>
          <w:szCs w:val="24"/>
        </w:rPr>
        <w:t>wzmocnienia i profesjonalizacji działań środowiskowych na rzecz seniorów w szczególności rozwoju samopomocy sąsiedzkiej i wolontariatu,</w:t>
      </w:r>
    </w:p>
    <w:p w14:paraId="77544519" w14:textId="77777777" w:rsidR="0057657B" w:rsidRDefault="00BB5D9D" w:rsidP="008C71A9">
      <w:pPr>
        <w:pStyle w:val="Akapitzlist"/>
        <w:numPr>
          <w:ilvl w:val="0"/>
          <w:numId w:val="203"/>
        </w:numPr>
        <w:spacing w:after="0"/>
        <w:ind w:left="723"/>
        <w:jc w:val="both"/>
        <w:rPr>
          <w:rFonts w:ascii="Times New Roman" w:eastAsia="Calibri" w:hAnsi="Times New Roman" w:cs="Times New Roman"/>
          <w:sz w:val="24"/>
          <w:szCs w:val="24"/>
        </w:rPr>
      </w:pPr>
      <w:r w:rsidRPr="0057657B">
        <w:rPr>
          <w:rFonts w:ascii="Times New Roman" w:eastAsia="Calibri" w:hAnsi="Times New Roman" w:cs="Times New Roman"/>
          <w:sz w:val="24"/>
          <w:szCs w:val="24"/>
        </w:rPr>
        <w:t>inicjowania powstawania reprezentacji seniorów poprzez rady sen</w:t>
      </w:r>
      <w:r w:rsidR="0057657B">
        <w:rPr>
          <w:rFonts w:ascii="Times New Roman" w:eastAsia="Calibri" w:hAnsi="Times New Roman" w:cs="Times New Roman"/>
          <w:sz w:val="24"/>
          <w:szCs w:val="24"/>
        </w:rPr>
        <w:t xml:space="preserve">iorów w środowiskach lokalnych </w:t>
      </w:r>
      <w:r w:rsidRPr="0057657B">
        <w:rPr>
          <w:rFonts w:ascii="Times New Roman" w:eastAsia="Calibri" w:hAnsi="Times New Roman" w:cs="Times New Roman"/>
          <w:sz w:val="24"/>
          <w:szCs w:val="24"/>
        </w:rPr>
        <w:t>w celu zwiększenia partycypacji w życiu publicznym,</w:t>
      </w:r>
    </w:p>
    <w:p w14:paraId="76EBB9F4" w14:textId="77777777" w:rsidR="0057657B" w:rsidRDefault="00BB5D9D" w:rsidP="008C71A9">
      <w:pPr>
        <w:pStyle w:val="Akapitzlist"/>
        <w:numPr>
          <w:ilvl w:val="0"/>
          <w:numId w:val="203"/>
        </w:numPr>
        <w:spacing w:after="0"/>
        <w:ind w:left="723"/>
        <w:jc w:val="both"/>
        <w:rPr>
          <w:rFonts w:ascii="Times New Roman" w:eastAsia="Calibri" w:hAnsi="Times New Roman" w:cs="Times New Roman"/>
          <w:sz w:val="24"/>
          <w:szCs w:val="24"/>
        </w:rPr>
      </w:pPr>
      <w:r w:rsidRPr="0057657B">
        <w:rPr>
          <w:rFonts w:ascii="Times New Roman" w:eastAsia="Calibri" w:hAnsi="Times New Roman" w:cs="Times New Roman"/>
          <w:sz w:val="24"/>
          <w:szCs w:val="24"/>
        </w:rPr>
        <w:lastRenderedPageBreak/>
        <w:t xml:space="preserve">przeciwdziałania izolacji i samotności ludzi starszych poprzez organizację różnych form aktywnego spędzania czasu wolnego w tym warsztatów, </w:t>
      </w:r>
      <w:r w:rsidR="0057657B">
        <w:rPr>
          <w:rFonts w:ascii="Times New Roman" w:eastAsia="Calibri" w:hAnsi="Times New Roman" w:cs="Times New Roman"/>
          <w:sz w:val="24"/>
          <w:szCs w:val="24"/>
        </w:rPr>
        <w:t xml:space="preserve">szkoleń, wydarzeń kulturalnych </w:t>
      </w:r>
      <w:r w:rsidRPr="0057657B">
        <w:rPr>
          <w:rFonts w:ascii="Times New Roman" w:eastAsia="Calibri" w:hAnsi="Times New Roman" w:cs="Times New Roman"/>
          <w:sz w:val="24"/>
          <w:szCs w:val="24"/>
        </w:rPr>
        <w:t>i rekreacyjnych,</w:t>
      </w:r>
    </w:p>
    <w:p w14:paraId="4C49C458" w14:textId="77777777" w:rsidR="00BB5D9D" w:rsidRPr="0057657B" w:rsidRDefault="00BB5D9D" w:rsidP="008C71A9">
      <w:pPr>
        <w:pStyle w:val="Akapitzlist"/>
        <w:numPr>
          <w:ilvl w:val="0"/>
          <w:numId w:val="203"/>
        </w:numPr>
        <w:spacing w:after="0"/>
        <w:ind w:left="723"/>
        <w:jc w:val="both"/>
        <w:rPr>
          <w:rFonts w:ascii="Times New Roman" w:eastAsia="Calibri" w:hAnsi="Times New Roman" w:cs="Times New Roman"/>
          <w:sz w:val="24"/>
          <w:szCs w:val="24"/>
        </w:rPr>
      </w:pPr>
      <w:r w:rsidRPr="0057657B">
        <w:rPr>
          <w:rFonts w:ascii="Times New Roman" w:eastAsia="Calibri" w:hAnsi="Times New Roman" w:cs="Times New Roman"/>
          <w:sz w:val="24"/>
          <w:szCs w:val="24"/>
        </w:rPr>
        <w:t xml:space="preserve">tworzenia różnorodnej i atrakcyjnej oferty edukacyjnej, umożliwiającej dalszy rozwój </w:t>
      </w:r>
      <w:r w:rsidRPr="0057657B">
        <w:rPr>
          <w:rFonts w:ascii="Times New Roman" w:eastAsia="Calibri" w:hAnsi="Times New Roman" w:cs="Times New Roman"/>
          <w:sz w:val="24"/>
          <w:szCs w:val="24"/>
        </w:rPr>
        <w:br/>
        <w:t>i aktywność.</w:t>
      </w:r>
    </w:p>
    <w:p w14:paraId="44FE43CD" w14:textId="77777777" w:rsidR="00BB5D9D" w:rsidRPr="005F0A32" w:rsidRDefault="00BB5D9D" w:rsidP="00EE3921">
      <w:pPr>
        <w:spacing w:after="0"/>
        <w:jc w:val="both"/>
        <w:rPr>
          <w:rFonts w:ascii="Times New Roman" w:eastAsia="Calibri" w:hAnsi="Times New Roman" w:cs="Times New Roman"/>
          <w:sz w:val="24"/>
          <w:szCs w:val="24"/>
        </w:rPr>
      </w:pPr>
    </w:p>
    <w:p w14:paraId="697BF586" w14:textId="77777777" w:rsidR="00BB5D9D" w:rsidRPr="0057657B" w:rsidRDefault="00BB5D9D" w:rsidP="00EE3921">
      <w:pPr>
        <w:spacing w:after="0"/>
        <w:jc w:val="both"/>
        <w:rPr>
          <w:rFonts w:ascii="Times New Roman" w:eastAsia="Calibri" w:hAnsi="Times New Roman" w:cs="Times New Roman"/>
          <w:b/>
          <w:sz w:val="24"/>
          <w:szCs w:val="24"/>
        </w:rPr>
      </w:pPr>
      <w:r w:rsidRPr="005F0A32">
        <w:rPr>
          <w:rFonts w:ascii="Times New Roman" w:eastAsia="Calibri" w:hAnsi="Times New Roman" w:cs="Times New Roman"/>
          <w:sz w:val="24"/>
          <w:szCs w:val="24"/>
        </w:rPr>
        <w:t xml:space="preserve">Z działań na rzecz osób starszych realizowanych przez organizacje pozarządowe </w:t>
      </w:r>
      <w:r w:rsidRPr="00F42B2D">
        <w:rPr>
          <w:rFonts w:ascii="Times New Roman" w:eastAsia="Calibri" w:hAnsi="Times New Roman" w:cs="Times New Roman"/>
          <w:sz w:val="24"/>
          <w:szCs w:val="24"/>
        </w:rPr>
        <w:t>skorzystało 2 </w:t>
      </w:r>
      <w:r w:rsidR="0057657B" w:rsidRPr="00F42B2D">
        <w:rPr>
          <w:rFonts w:ascii="Times New Roman" w:eastAsia="Calibri" w:hAnsi="Times New Roman" w:cs="Times New Roman"/>
          <w:sz w:val="24"/>
          <w:szCs w:val="24"/>
        </w:rPr>
        <w:t xml:space="preserve">167 osób. </w:t>
      </w:r>
      <w:r w:rsidRPr="005F0A32">
        <w:rPr>
          <w:rFonts w:ascii="Times New Roman" w:eastAsia="Calibri" w:hAnsi="Times New Roman" w:cs="Times New Roman"/>
          <w:sz w:val="24"/>
          <w:szCs w:val="24"/>
        </w:rPr>
        <w:t xml:space="preserve">Powyższe działania realizowano w ramach zadania publicznego pn. „Działalność na rzecz osób starszych”. </w:t>
      </w:r>
    </w:p>
    <w:p w14:paraId="5386FEA7" w14:textId="77777777" w:rsidR="00BB5D9D" w:rsidRPr="005F0A32" w:rsidRDefault="00BB5D9D" w:rsidP="00EE3921">
      <w:pPr>
        <w:spacing w:after="0"/>
        <w:jc w:val="both"/>
        <w:rPr>
          <w:rFonts w:ascii="Times New Roman" w:eastAsia="Calibri" w:hAnsi="Times New Roman" w:cs="Times New Roman"/>
          <w:sz w:val="24"/>
          <w:szCs w:val="24"/>
        </w:rPr>
      </w:pPr>
    </w:p>
    <w:p w14:paraId="7CE438DC"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W ramach otwartych konkursów ofert skierowanych do podmiotów niepublicznych udzielono dofinansowania na realizację zadania publicznego pn. „Utworzenie Regionalnego i min. 1 Lokalnego Centrum Mentoringu i Wolontariatu Seniorów oraz sieciowanie Uniwersytetów Trzeciego Wieku”. Zadanie było kontynuacją tworzenia Centrów Mentoringu i Wolontariatu rozpoczętych w 2016 r., a zwieńczeniem działań stało się przekształcenie Centrum Mentoringu i Wolontariatu Seniorów w Regionalne CMiWS. </w:t>
      </w:r>
    </w:p>
    <w:p w14:paraId="5A665B36" w14:textId="77777777" w:rsidR="0057657B" w:rsidRPr="005F0A32" w:rsidRDefault="0057657B" w:rsidP="00EE3921">
      <w:pPr>
        <w:spacing w:after="0"/>
        <w:jc w:val="both"/>
        <w:rPr>
          <w:rFonts w:ascii="Times New Roman" w:eastAsia="Calibri" w:hAnsi="Times New Roman" w:cs="Times New Roman"/>
          <w:sz w:val="24"/>
          <w:szCs w:val="24"/>
        </w:rPr>
      </w:pPr>
    </w:p>
    <w:p w14:paraId="23C61A3C" w14:textId="77777777" w:rsidR="00BB5D9D" w:rsidRPr="005F0A32"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 2019 r. dokonano ewaluacji funkcjonowania dotychczasowych CMiWS, wspierano funkcjonowanie istniejących Uniwersytetów Trzeciego Wieku, popularyzowano ideę wolontariatu i mentoringu seniorów oraz wdrożono koncepcję wyjazdowych Turnusów Aktywizacji Seniorów. Na przestrzeni kilku lat utworzono 8 Lokalnych Centrów Wolontariatu (w 2019 r - 1 CMiWS, zaangażowano 64 wolontariuszy, zorganizowano 5 spotkań konsultacyjnych, 4 Turnusy Aktywizacyjne oraz opracowano Program Turnusów Aktywizacyjnych).</w:t>
      </w:r>
    </w:p>
    <w:p w14:paraId="01E92DB1" w14:textId="77777777" w:rsidR="00BB5D9D" w:rsidRPr="005F0A32" w:rsidRDefault="00BB5D9D" w:rsidP="00EE3921">
      <w:pPr>
        <w:spacing w:after="0"/>
        <w:jc w:val="both"/>
        <w:rPr>
          <w:rFonts w:ascii="Times New Roman" w:eastAsia="Calibri" w:hAnsi="Times New Roman" w:cs="Times New Roman"/>
          <w:sz w:val="24"/>
          <w:szCs w:val="24"/>
        </w:rPr>
      </w:pPr>
    </w:p>
    <w:p w14:paraId="698A941F" w14:textId="77777777" w:rsidR="0057657B" w:rsidRPr="004E2CAB" w:rsidRDefault="0057657B" w:rsidP="00EE3921">
      <w:pPr>
        <w:spacing w:after="0"/>
        <w:jc w:val="both"/>
        <w:rPr>
          <w:rFonts w:ascii="Times New Roman" w:hAnsi="Times New Roman" w:cs="Times New Roman"/>
          <w:color w:val="00B0F0"/>
          <w:sz w:val="24"/>
          <w:szCs w:val="24"/>
        </w:rPr>
      </w:pPr>
      <w:r w:rsidRPr="004E2CAB">
        <w:rPr>
          <w:rFonts w:ascii="Times New Roman" w:hAnsi="Times New Roman" w:cs="Times New Roman"/>
          <w:b/>
          <w:color w:val="00B0F0"/>
          <w:sz w:val="24"/>
          <w:szCs w:val="24"/>
        </w:rPr>
        <w:t>Przykłady dobrych praktyk na poziomie lokalnym</w:t>
      </w:r>
    </w:p>
    <w:p w14:paraId="04616BA5" w14:textId="77777777" w:rsidR="00BB5D9D" w:rsidRPr="005F0A32" w:rsidRDefault="00BB5D9D" w:rsidP="00EE3921">
      <w:pPr>
        <w:spacing w:after="0"/>
        <w:jc w:val="both"/>
        <w:rPr>
          <w:rFonts w:ascii="Times New Roman" w:eastAsia="Calibri" w:hAnsi="Times New Roman" w:cs="Times New Roman"/>
          <w:sz w:val="24"/>
          <w:szCs w:val="24"/>
        </w:rPr>
      </w:pPr>
    </w:p>
    <w:p w14:paraId="286B3F28"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Najczęstszym problemem osób starszych jest samotność. Spowodowana jest brakiem komunikacji międzyludzkiej. Uczestnictwo w życiu społecznym, możliwość angażowania się </w:t>
      </w:r>
      <w:r w:rsidRPr="005F0A32">
        <w:rPr>
          <w:rFonts w:ascii="Times New Roman" w:eastAsia="Calibri" w:hAnsi="Times New Roman" w:cs="Times New Roman"/>
          <w:sz w:val="24"/>
          <w:szCs w:val="24"/>
        </w:rPr>
        <w:br/>
        <w:t xml:space="preserve">w życie wspólnoty to jedne z ważniejszych potrzeb każdego człowieka, będące wyrazem podstawowych wartości w życiu każdej jednostki. Budowanie nowych relacji z wiekiem jest coraz trudniejsze. Konsekwencją jest brak kontaktów ze znajomymi, bezczynność, tęsknota za pracą, poczucie bezużyteczności. Często osoby starsze nie radzą sobie z tymi zmianami, co </w:t>
      </w:r>
      <w:r w:rsidRPr="005F0A32">
        <w:rPr>
          <w:rFonts w:ascii="Times New Roman" w:eastAsia="Calibri" w:hAnsi="Times New Roman" w:cs="Times New Roman"/>
          <w:sz w:val="24"/>
          <w:szCs w:val="24"/>
        </w:rPr>
        <w:br/>
        <w:t>w efekcie powoduje, że znajdują się na marginesie życia społecznego, czują</w:t>
      </w:r>
      <w:r w:rsidR="0057657B">
        <w:rPr>
          <w:rFonts w:ascii="Times New Roman" w:eastAsia="Calibri" w:hAnsi="Times New Roman" w:cs="Times New Roman"/>
          <w:sz w:val="24"/>
          <w:szCs w:val="24"/>
        </w:rPr>
        <w:t xml:space="preserve"> się zagubieni </w:t>
      </w:r>
      <w:r w:rsidR="0057657B">
        <w:rPr>
          <w:rFonts w:ascii="Times New Roman" w:eastAsia="Calibri" w:hAnsi="Times New Roman" w:cs="Times New Roman"/>
          <w:sz w:val="24"/>
          <w:szCs w:val="24"/>
        </w:rPr>
        <w:br/>
        <w:t xml:space="preserve">i niepotrzebni. </w:t>
      </w:r>
      <w:r w:rsidRPr="005F0A32">
        <w:rPr>
          <w:rFonts w:ascii="Times New Roman" w:eastAsia="Calibri" w:hAnsi="Times New Roman" w:cs="Times New Roman"/>
          <w:sz w:val="24"/>
          <w:szCs w:val="24"/>
        </w:rPr>
        <w:t>Aby temu zapobiec wdrożone jest szereg dobrych praktyk na terenie województwa zachodniopomorskiego.</w:t>
      </w:r>
    </w:p>
    <w:p w14:paraId="3562AD6F" w14:textId="77777777" w:rsidR="0057657B" w:rsidRPr="005F0A32" w:rsidRDefault="0057657B" w:rsidP="00EE3921">
      <w:pPr>
        <w:spacing w:after="0"/>
        <w:jc w:val="both"/>
        <w:rPr>
          <w:rFonts w:ascii="Times New Roman" w:eastAsia="Calibri" w:hAnsi="Times New Roman" w:cs="Times New Roman"/>
          <w:sz w:val="24"/>
          <w:szCs w:val="24"/>
        </w:rPr>
      </w:pPr>
    </w:p>
    <w:p w14:paraId="25A4553D"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bCs/>
          <w:sz w:val="24"/>
          <w:szCs w:val="24"/>
        </w:rPr>
        <w:t>Senorady</w:t>
      </w:r>
      <w:r w:rsidRPr="005F0A32">
        <w:rPr>
          <w:rFonts w:ascii="Times New Roman" w:eastAsia="Calibri" w:hAnsi="Times New Roman" w:cs="Times New Roman"/>
          <w:sz w:val="24"/>
          <w:szCs w:val="24"/>
        </w:rPr>
        <w:t xml:space="preserve"> - organizowane przy współpracy z OPS coroczne imprezy łączące wszystkich seniorów z powiatów, które poprzez konkurencje sportowe, pokazują twórczość seniorów </w:t>
      </w:r>
      <w:r w:rsidRPr="005F0A32">
        <w:rPr>
          <w:rFonts w:ascii="Times New Roman" w:eastAsia="Calibri" w:hAnsi="Times New Roman" w:cs="Times New Roman"/>
          <w:sz w:val="24"/>
          <w:szCs w:val="24"/>
        </w:rPr>
        <w:br/>
        <w:t xml:space="preserve">i wspólnie biesiadowanie łącząc i pozwalając na zdrową rywalizacje i wymianę informacji. Uczestnikami w tej międzygminnej imprezie są seniorzy z gmin powiatu kołobrzeskiego m in. Dygowa, Gościna, Siemyśla Rumi, Kołobrzegu i Ustronia Morskiego. W 2019 </w:t>
      </w:r>
      <w:r w:rsidR="004E2CAB">
        <w:rPr>
          <w:rFonts w:ascii="Times New Roman" w:eastAsia="Calibri" w:hAnsi="Times New Roman" w:cs="Times New Roman"/>
          <w:sz w:val="24"/>
          <w:szCs w:val="24"/>
        </w:rPr>
        <w:t xml:space="preserve">r. </w:t>
      </w:r>
      <w:r w:rsidRPr="005F0A32">
        <w:rPr>
          <w:rFonts w:ascii="Times New Roman" w:eastAsia="Calibri" w:hAnsi="Times New Roman" w:cs="Times New Roman"/>
          <w:sz w:val="24"/>
          <w:szCs w:val="24"/>
        </w:rPr>
        <w:t>brało udział 250 osób</w:t>
      </w:r>
      <w:r w:rsidR="004E2CAB">
        <w:rPr>
          <w:rFonts w:ascii="Times New Roman" w:eastAsia="Calibri" w:hAnsi="Times New Roman" w:cs="Times New Roman"/>
          <w:sz w:val="24"/>
          <w:szCs w:val="24"/>
        </w:rPr>
        <w:t>.</w:t>
      </w:r>
    </w:p>
    <w:p w14:paraId="2C66DDCD" w14:textId="77777777" w:rsidR="004E2CAB" w:rsidRPr="005F0A32" w:rsidRDefault="004E2CAB" w:rsidP="00EE3921">
      <w:pPr>
        <w:spacing w:after="0"/>
        <w:jc w:val="both"/>
        <w:rPr>
          <w:rFonts w:ascii="Times New Roman" w:eastAsia="Calibri" w:hAnsi="Times New Roman" w:cs="Times New Roman"/>
          <w:sz w:val="24"/>
          <w:szCs w:val="24"/>
        </w:rPr>
      </w:pPr>
    </w:p>
    <w:p w14:paraId="0157D6BF"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lastRenderedPageBreak/>
        <w:t xml:space="preserve">Powiat Wałecki wspólnie z Wałeckim Uniwersytetem Trzeciego Wieku oraz Państwowa Wyższa Szkołą Zawodowa w Wałczu zorganizował Konferencje pn. </w:t>
      </w:r>
      <w:r w:rsidRPr="005F0A32">
        <w:rPr>
          <w:rFonts w:ascii="Times New Roman" w:eastAsia="Calibri" w:hAnsi="Times New Roman" w:cs="Times New Roman"/>
          <w:b/>
          <w:bCs/>
          <w:sz w:val="24"/>
          <w:szCs w:val="24"/>
        </w:rPr>
        <w:t xml:space="preserve">„Seniorze żyj zdrowo </w:t>
      </w:r>
      <w:r w:rsidRPr="005F0A32">
        <w:rPr>
          <w:rFonts w:ascii="Times New Roman" w:eastAsia="Calibri" w:hAnsi="Times New Roman" w:cs="Times New Roman"/>
          <w:b/>
          <w:bCs/>
          <w:sz w:val="24"/>
          <w:szCs w:val="24"/>
        </w:rPr>
        <w:br/>
        <w:t>i kolorowo”</w:t>
      </w:r>
      <w:r w:rsidRPr="005F0A32">
        <w:rPr>
          <w:rFonts w:ascii="Times New Roman" w:eastAsia="Calibri" w:hAnsi="Times New Roman" w:cs="Times New Roman"/>
          <w:sz w:val="24"/>
          <w:szCs w:val="24"/>
        </w:rPr>
        <w:t>. W ramach konferencji uczestnicy wysłuchali następujących wykładów na temat m in. „Osteoporoza wyzwaniem XXI wieku -rola organizacji pacjentów”, „Osteoporoza – nie daj się złamać” problematyki i polityki zdrowotnej. Uczestnicy Konferencji oraz mieszkańcy powiatu wałeckiego mogli wykonać badania densytometryczne DXA. Ogólnie wykonano 66 badań. W trakcie konferencji zorganizowano zajęcia rekreacyjno-rehabilitacyjne.</w:t>
      </w:r>
    </w:p>
    <w:p w14:paraId="21D605A0" w14:textId="77777777" w:rsidR="0057657B" w:rsidRPr="005F0A32" w:rsidRDefault="0057657B" w:rsidP="00EE3921">
      <w:pPr>
        <w:spacing w:after="0"/>
        <w:jc w:val="both"/>
        <w:rPr>
          <w:rFonts w:ascii="Times New Roman" w:eastAsia="Calibri" w:hAnsi="Times New Roman" w:cs="Times New Roman"/>
          <w:sz w:val="24"/>
          <w:szCs w:val="24"/>
        </w:rPr>
      </w:pPr>
    </w:p>
    <w:p w14:paraId="2AA2935C"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W </w:t>
      </w:r>
      <w:r w:rsidRPr="005F0A32">
        <w:rPr>
          <w:rFonts w:ascii="Times New Roman" w:eastAsia="Calibri" w:hAnsi="Times New Roman" w:cs="Times New Roman"/>
          <w:b/>
          <w:bCs/>
          <w:sz w:val="24"/>
          <w:szCs w:val="24"/>
        </w:rPr>
        <w:t>Balu Seniora</w:t>
      </w:r>
      <w:r w:rsidRPr="005F0A32">
        <w:rPr>
          <w:rFonts w:ascii="Times New Roman" w:eastAsia="Calibri" w:hAnsi="Times New Roman" w:cs="Times New Roman"/>
          <w:sz w:val="24"/>
          <w:szCs w:val="24"/>
        </w:rPr>
        <w:t xml:space="preserve"> w gminie Gościno uczestniczyło 100 osób. zaś w Koszalinie wzięło udział 200 uczestników. Organizatorem imprezy był Prezydent Miasta Koszalina, Wicemarszałek Województwa Zachodniopomorskiego, ra</w:t>
      </w:r>
      <w:r w:rsidR="004E2CAB">
        <w:rPr>
          <w:rFonts w:ascii="Times New Roman" w:eastAsia="Calibri" w:hAnsi="Times New Roman" w:cs="Times New Roman"/>
          <w:sz w:val="24"/>
          <w:szCs w:val="24"/>
        </w:rPr>
        <w:t>dni RM w Koszalinie</w:t>
      </w:r>
      <w:r w:rsidR="004E2CAB">
        <w:rPr>
          <w:rStyle w:val="Odwoanieprzypisudolnego"/>
          <w:rFonts w:ascii="Times New Roman" w:eastAsia="Calibri" w:hAnsi="Times New Roman" w:cs="Times New Roman"/>
          <w:sz w:val="24"/>
          <w:szCs w:val="24"/>
        </w:rPr>
        <w:footnoteReference w:id="237"/>
      </w:r>
      <w:r w:rsidR="004E2CAB">
        <w:rPr>
          <w:rFonts w:ascii="Times New Roman" w:eastAsia="Calibri" w:hAnsi="Times New Roman" w:cs="Times New Roman"/>
          <w:sz w:val="24"/>
          <w:szCs w:val="24"/>
        </w:rPr>
        <w:t>.</w:t>
      </w:r>
    </w:p>
    <w:p w14:paraId="39FBF34C" w14:textId="77777777" w:rsidR="0057657B" w:rsidRPr="005F0A32" w:rsidRDefault="0057657B" w:rsidP="00EE3921">
      <w:pPr>
        <w:spacing w:after="0"/>
        <w:jc w:val="both"/>
        <w:rPr>
          <w:rFonts w:ascii="Times New Roman" w:eastAsia="Calibri" w:hAnsi="Times New Roman" w:cs="Times New Roman"/>
          <w:sz w:val="24"/>
          <w:szCs w:val="24"/>
        </w:rPr>
      </w:pPr>
    </w:p>
    <w:p w14:paraId="11B175A7"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bCs/>
          <w:sz w:val="24"/>
          <w:szCs w:val="24"/>
        </w:rPr>
        <w:t>Spotkanie opłatkowe</w:t>
      </w:r>
      <w:r w:rsidRPr="005F0A32">
        <w:rPr>
          <w:rFonts w:ascii="Times New Roman" w:eastAsia="Calibri" w:hAnsi="Times New Roman" w:cs="Times New Roman"/>
          <w:sz w:val="24"/>
          <w:szCs w:val="24"/>
        </w:rPr>
        <w:t xml:space="preserve"> - dla osób starszych i samotnych z terenu gminy Dygowo, oraz OPS </w:t>
      </w:r>
      <w:r w:rsidRPr="005F0A32">
        <w:rPr>
          <w:rFonts w:ascii="Times New Roman" w:eastAsia="Calibri" w:hAnsi="Times New Roman" w:cs="Times New Roman"/>
          <w:sz w:val="24"/>
          <w:szCs w:val="24"/>
        </w:rPr>
        <w:br/>
        <w:t xml:space="preserve">w Boleszkowicach przekazał mieszkańcom powyżej 75 roku życia paczki świąteczne </w:t>
      </w:r>
      <w:r w:rsidRPr="005F0A32">
        <w:rPr>
          <w:rFonts w:ascii="Times New Roman" w:eastAsia="Calibri" w:hAnsi="Times New Roman" w:cs="Times New Roman"/>
          <w:sz w:val="24"/>
          <w:szCs w:val="24"/>
        </w:rPr>
        <w:br/>
        <w:t>z żywnością. Taką paczkę otrzymało 130 mieszkańców gminy Boleszkowice.</w:t>
      </w:r>
    </w:p>
    <w:p w14:paraId="5FFB4AF4" w14:textId="77777777" w:rsidR="0057657B" w:rsidRPr="005F0A32" w:rsidRDefault="0057657B" w:rsidP="00EE3921">
      <w:pPr>
        <w:spacing w:after="0"/>
        <w:jc w:val="both"/>
        <w:rPr>
          <w:rFonts w:ascii="Times New Roman" w:eastAsia="Calibri" w:hAnsi="Times New Roman" w:cs="Times New Roman"/>
          <w:sz w:val="24"/>
          <w:szCs w:val="24"/>
        </w:rPr>
      </w:pPr>
    </w:p>
    <w:p w14:paraId="467750D3"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bCs/>
          <w:sz w:val="24"/>
          <w:szCs w:val="24"/>
        </w:rPr>
        <w:t>„Żyjemy wśród Was”</w:t>
      </w:r>
      <w:r w:rsidRPr="005F0A32">
        <w:rPr>
          <w:rFonts w:ascii="Times New Roman" w:eastAsia="Calibri" w:hAnsi="Times New Roman" w:cs="Times New Roman"/>
          <w:sz w:val="24"/>
          <w:szCs w:val="24"/>
        </w:rPr>
        <w:t xml:space="preserve"> – projekt socjalny GOPS w Grzmiącej którego głównym celem było podniesienie aktywności społecznej osób starszych i samotnych z terenu Gminy Grzmiąca </w:t>
      </w:r>
      <w:r w:rsidRPr="005F0A32">
        <w:rPr>
          <w:rFonts w:ascii="Times New Roman" w:eastAsia="Calibri" w:hAnsi="Times New Roman" w:cs="Times New Roman"/>
          <w:sz w:val="24"/>
          <w:szCs w:val="24"/>
        </w:rPr>
        <w:br/>
        <w:t xml:space="preserve">i polepszenia ich integracji ze środowiskiem lokalnym. Projektowi odbiorcy skorzystali </w:t>
      </w:r>
      <w:r w:rsidRPr="005F0A32">
        <w:rPr>
          <w:rFonts w:ascii="Times New Roman" w:eastAsia="Calibri" w:hAnsi="Times New Roman" w:cs="Times New Roman"/>
          <w:sz w:val="24"/>
          <w:szCs w:val="24"/>
        </w:rPr>
        <w:br/>
        <w:t>z cyklicznych spotkań tematycznych o charakterze informacyjno – edukacyjnym dla środowiska osób w wieku poprodukcyjnym np. zdrowie, bezpieczeństwo, międzypokoleniowa wymiana wiedzy, spotkana autorskie. Zorganizowano cykl spotkań pt. „Zasady udzielania pierwszej pomocy” w ramach, których badano pomiar cukru we krwi i ciśnienia. „Ochrona praw i interesów konsumentów” prowadzonego przez Rzecznika Konsumentów. Wyjazdowe spotkanie pt. „Zapoznanie seniorów z profilem leczniczym sanatoriów” zakończone spotkaniem przy ognisku oraz wspólnym biesiadowaniem przy muzyce.</w:t>
      </w:r>
    </w:p>
    <w:p w14:paraId="6A6494DA" w14:textId="77777777" w:rsidR="0057657B" w:rsidRPr="005F0A32" w:rsidRDefault="0057657B" w:rsidP="00EE3921">
      <w:pPr>
        <w:spacing w:after="0"/>
        <w:jc w:val="both"/>
        <w:rPr>
          <w:rFonts w:ascii="Times New Roman" w:eastAsia="Calibri" w:hAnsi="Times New Roman" w:cs="Times New Roman"/>
          <w:sz w:val="24"/>
          <w:szCs w:val="24"/>
        </w:rPr>
      </w:pPr>
    </w:p>
    <w:p w14:paraId="2FAF661C"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bCs/>
          <w:sz w:val="24"/>
          <w:szCs w:val="24"/>
        </w:rPr>
        <w:t>„Zachodniopomorska Karata Seniora”</w:t>
      </w:r>
      <w:r w:rsidRPr="005F0A32">
        <w:rPr>
          <w:rFonts w:ascii="Times New Roman" w:eastAsia="Calibri" w:hAnsi="Times New Roman" w:cs="Times New Roman"/>
          <w:sz w:val="24"/>
          <w:szCs w:val="24"/>
        </w:rPr>
        <w:t xml:space="preserve"> realizowana przez OPS w Grzmiącej, gdzie adresatami są osoby starsze, które ukończyły 60 lat. Karta wydawana jest bezpłatnie na czas nieokreślony. Seniorzy mogą skorzystać na preferencyjnych warunkach z katalogu ofert: kultury, edukacji, rekreacji, transportu i usług. Wydano 4</w:t>
      </w:r>
      <w:r w:rsidR="004E2CAB">
        <w:rPr>
          <w:rFonts w:ascii="Times New Roman" w:eastAsia="Calibri" w:hAnsi="Times New Roman" w:cs="Times New Roman"/>
          <w:sz w:val="24"/>
          <w:szCs w:val="24"/>
        </w:rPr>
        <w:t>5 krat w Grzmiącej</w:t>
      </w:r>
      <w:r w:rsidR="004E2CAB">
        <w:rPr>
          <w:rStyle w:val="Odwoanieprzypisudolnego"/>
          <w:rFonts w:ascii="Times New Roman" w:eastAsia="Calibri" w:hAnsi="Times New Roman" w:cs="Times New Roman"/>
          <w:sz w:val="24"/>
          <w:szCs w:val="24"/>
        </w:rPr>
        <w:footnoteReference w:id="238"/>
      </w:r>
      <w:r w:rsidR="004E2CAB">
        <w:rPr>
          <w:rFonts w:ascii="Times New Roman" w:eastAsia="Calibri" w:hAnsi="Times New Roman" w:cs="Times New Roman"/>
          <w:sz w:val="24"/>
          <w:szCs w:val="24"/>
        </w:rPr>
        <w:t xml:space="preserve">. Karta </w:t>
      </w:r>
      <w:r w:rsidRPr="005F0A32">
        <w:rPr>
          <w:rFonts w:ascii="Times New Roman" w:eastAsia="Calibri" w:hAnsi="Times New Roman" w:cs="Times New Roman"/>
          <w:sz w:val="24"/>
          <w:szCs w:val="24"/>
        </w:rPr>
        <w:t>umożliwia korzystanie na preferencyjnych warunkach z katalogu ofert: edukacji, rekreacji, transportu i innych usług. W Goleniowie wydano</w:t>
      </w:r>
      <w:r w:rsidR="0057657B">
        <w:rPr>
          <w:rFonts w:ascii="Times New Roman" w:eastAsia="Calibri" w:hAnsi="Times New Roman" w:cs="Times New Roman"/>
          <w:sz w:val="24"/>
          <w:szCs w:val="24"/>
        </w:rPr>
        <w:t xml:space="preserve"> 197 kart w 2019 r</w:t>
      </w:r>
      <w:r w:rsidRPr="005F0A32">
        <w:rPr>
          <w:rFonts w:ascii="Times New Roman" w:eastAsia="Calibri" w:hAnsi="Times New Roman" w:cs="Times New Roman"/>
          <w:sz w:val="24"/>
          <w:szCs w:val="24"/>
        </w:rPr>
        <w:t>.</w:t>
      </w:r>
    </w:p>
    <w:p w14:paraId="76ECFDC3" w14:textId="77777777" w:rsidR="0057657B" w:rsidRPr="005F0A32" w:rsidRDefault="0057657B" w:rsidP="00EE3921">
      <w:pPr>
        <w:spacing w:after="0"/>
        <w:jc w:val="both"/>
        <w:rPr>
          <w:rFonts w:ascii="Times New Roman" w:eastAsia="Calibri" w:hAnsi="Times New Roman" w:cs="Times New Roman"/>
          <w:sz w:val="24"/>
          <w:szCs w:val="24"/>
        </w:rPr>
      </w:pPr>
    </w:p>
    <w:p w14:paraId="7CD00784"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bCs/>
          <w:sz w:val="24"/>
          <w:szCs w:val="24"/>
        </w:rPr>
        <w:t>Klub na rzecz osób starszych</w:t>
      </w:r>
      <w:r w:rsidRPr="005F0A32">
        <w:rPr>
          <w:rFonts w:ascii="Times New Roman" w:eastAsia="Calibri" w:hAnsi="Times New Roman" w:cs="Times New Roman"/>
          <w:sz w:val="24"/>
          <w:szCs w:val="24"/>
        </w:rPr>
        <w:t xml:space="preserve"> z terenu gminy Siemyśl organizatorem jest OPS organizuje zajęcia muzyczne które przygotowują zespól senioró</w:t>
      </w:r>
      <w:r w:rsidR="004E2CAB">
        <w:rPr>
          <w:rFonts w:ascii="Times New Roman" w:eastAsia="Calibri" w:hAnsi="Times New Roman" w:cs="Times New Roman"/>
          <w:sz w:val="24"/>
          <w:szCs w:val="24"/>
        </w:rPr>
        <w:t>w do występów wokalnych</w:t>
      </w:r>
      <w:r w:rsidR="004E2CAB">
        <w:rPr>
          <w:rStyle w:val="Odwoanieprzypisudolnego"/>
          <w:rFonts w:ascii="Times New Roman" w:eastAsia="Calibri" w:hAnsi="Times New Roman" w:cs="Times New Roman"/>
          <w:sz w:val="24"/>
          <w:szCs w:val="24"/>
        </w:rPr>
        <w:footnoteReference w:id="239"/>
      </w:r>
      <w:r w:rsidR="004E2CAB">
        <w:rPr>
          <w:rFonts w:ascii="Times New Roman" w:eastAsia="Calibri" w:hAnsi="Times New Roman" w:cs="Times New Roman"/>
          <w:sz w:val="24"/>
          <w:szCs w:val="24"/>
        </w:rPr>
        <w:t>.</w:t>
      </w:r>
    </w:p>
    <w:p w14:paraId="53BD3F86" w14:textId="77777777" w:rsidR="0057657B" w:rsidRPr="005F0A32" w:rsidRDefault="0057657B" w:rsidP="00EE3921">
      <w:pPr>
        <w:spacing w:after="0"/>
        <w:jc w:val="both"/>
        <w:rPr>
          <w:rFonts w:ascii="Times New Roman" w:eastAsia="Calibri" w:hAnsi="Times New Roman" w:cs="Times New Roman"/>
          <w:sz w:val="24"/>
          <w:szCs w:val="24"/>
        </w:rPr>
      </w:pPr>
    </w:p>
    <w:p w14:paraId="1E3AD92A"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W ramach </w:t>
      </w:r>
      <w:r w:rsidRPr="005F0A32">
        <w:rPr>
          <w:rFonts w:ascii="Times New Roman" w:eastAsia="Calibri" w:hAnsi="Times New Roman" w:cs="Times New Roman"/>
          <w:b/>
          <w:bCs/>
          <w:sz w:val="24"/>
          <w:szCs w:val="24"/>
        </w:rPr>
        <w:t>„Założenia polityki senioralnej Gminy Miasto Świnoujście na lata 2019-2025”</w:t>
      </w:r>
      <w:r w:rsidRPr="005F0A32">
        <w:rPr>
          <w:rFonts w:ascii="Times New Roman" w:eastAsia="Calibri" w:hAnsi="Times New Roman" w:cs="Times New Roman"/>
          <w:sz w:val="24"/>
          <w:szCs w:val="24"/>
        </w:rPr>
        <w:t xml:space="preserve"> w 2019 roku został zrealizowany program świadczeń pieniężnych „Bon Seniora”. Programem zostali objęci mieszkańcy Świnoujścia po 65 roku życia. Seniorzy otrzymali środki finansowe w wysokości 300 zł z przeznaczeniem do wykorzystania w ramach opieki zdrowotnej m in. </w:t>
      </w:r>
      <w:r w:rsidRPr="005F0A32">
        <w:rPr>
          <w:rFonts w:ascii="Times New Roman" w:eastAsia="Calibri" w:hAnsi="Times New Roman" w:cs="Times New Roman"/>
          <w:sz w:val="24"/>
          <w:szCs w:val="24"/>
        </w:rPr>
        <w:lastRenderedPageBreak/>
        <w:t>badania laboratoryjne, diagnostyczne, usługi poradni specjalistycznych, rehabilitacja, fizjoterapia oraz usługi fryzjersko-kosmetyczne. Z programu skorzystało 7.642 osoby.</w:t>
      </w:r>
    </w:p>
    <w:p w14:paraId="52A9DFCC" w14:textId="77777777" w:rsidR="0057657B" w:rsidRPr="005F0A32" w:rsidRDefault="0057657B" w:rsidP="00EE3921">
      <w:pPr>
        <w:spacing w:after="0"/>
        <w:jc w:val="both"/>
        <w:rPr>
          <w:rFonts w:ascii="Times New Roman" w:eastAsia="Calibri" w:hAnsi="Times New Roman" w:cs="Times New Roman"/>
          <w:sz w:val="24"/>
          <w:szCs w:val="24"/>
        </w:rPr>
      </w:pPr>
    </w:p>
    <w:p w14:paraId="59FB7025"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bCs/>
          <w:sz w:val="24"/>
          <w:szCs w:val="24"/>
        </w:rPr>
        <w:t>Klub Seniora</w:t>
      </w:r>
      <w:r w:rsidRPr="005F0A32">
        <w:rPr>
          <w:rFonts w:ascii="Times New Roman" w:eastAsia="Calibri" w:hAnsi="Times New Roman" w:cs="Times New Roman"/>
          <w:sz w:val="24"/>
          <w:szCs w:val="24"/>
        </w:rPr>
        <w:t xml:space="preserve"> prowadzony na zlecenie UM Świnoujście i Polskiego Związku Rencistów, Emerytów i Inwalidów w ramach oferty programowej organizowane były wykłady prowadzone prze dietetyka, kosmetologa, prawnika czy fotografa. Ponadto można było wziąć udział w „spotkaniach z humorem”, pograć w gry planszowe. Z oferty klubu skorzystało 200 osób.</w:t>
      </w:r>
    </w:p>
    <w:p w14:paraId="1E0A2FE2" w14:textId="77777777" w:rsidR="0057657B" w:rsidRPr="005F0A32" w:rsidRDefault="0057657B" w:rsidP="00EE3921">
      <w:pPr>
        <w:spacing w:after="0"/>
        <w:jc w:val="both"/>
        <w:rPr>
          <w:rFonts w:ascii="Times New Roman" w:eastAsia="Calibri" w:hAnsi="Times New Roman" w:cs="Times New Roman"/>
          <w:sz w:val="24"/>
          <w:szCs w:val="24"/>
        </w:rPr>
      </w:pPr>
    </w:p>
    <w:p w14:paraId="07DBAEEC" w14:textId="77777777" w:rsidR="0057657B"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bCs/>
          <w:sz w:val="24"/>
          <w:szCs w:val="24"/>
        </w:rPr>
        <w:t>Goleniowska Koperta Życia</w:t>
      </w:r>
      <w:r w:rsidRPr="005F0A32">
        <w:rPr>
          <w:rFonts w:ascii="Times New Roman" w:eastAsia="Calibri" w:hAnsi="Times New Roman" w:cs="Times New Roman"/>
          <w:sz w:val="24"/>
          <w:szCs w:val="24"/>
        </w:rPr>
        <w:t xml:space="preserve"> to wspólna akcja gminy Goleniów oraz Wojewódzkiej stacji Pogotowia Ratunkowego w Szczecinie fili w Goleniowie polega na w specjalnie przygotowanej kopertach najważniejszych informacji o stanie zdrowia, przyjmowanych lekach, alergiach, kontakcie do najbliżej osoby danych osobowych w tym PESEL. Pakiet taki przechowywany był w lodówce. Wydano łącznie 3950 komp</w:t>
      </w:r>
      <w:r w:rsidR="004E2CAB">
        <w:rPr>
          <w:rFonts w:ascii="Times New Roman" w:eastAsia="Calibri" w:hAnsi="Times New Roman" w:cs="Times New Roman"/>
          <w:sz w:val="24"/>
          <w:szCs w:val="24"/>
        </w:rPr>
        <w:t>letów w Goleniowie</w:t>
      </w:r>
      <w:r w:rsidR="004E2CAB">
        <w:rPr>
          <w:rStyle w:val="Odwoanieprzypisudolnego"/>
          <w:rFonts w:ascii="Times New Roman" w:eastAsia="Calibri" w:hAnsi="Times New Roman" w:cs="Times New Roman"/>
          <w:sz w:val="24"/>
          <w:szCs w:val="24"/>
        </w:rPr>
        <w:footnoteReference w:id="240"/>
      </w:r>
      <w:r w:rsidR="004E2CAB">
        <w:rPr>
          <w:rFonts w:ascii="Times New Roman" w:eastAsia="Calibri" w:hAnsi="Times New Roman" w:cs="Times New Roman"/>
          <w:sz w:val="24"/>
          <w:szCs w:val="24"/>
        </w:rPr>
        <w:t xml:space="preserve">. </w:t>
      </w:r>
    </w:p>
    <w:p w14:paraId="11D24198" w14:textId="77777777" w:rsidR="004E2CAB" w:rsidRPr="005F0A32" w:rsidRDefault="004E2CAB" w:rsidP="00EE3921">
      <w:pPr>
        <w:spacing w:after="0"/>
        <w:jc w:val="both"/>
        <w:rPr>
          <w:rFonts w:ascii="Times New Roman" w:eastAsia="Calibri" w:hAnsi="Times New Roman" w:cs="Times New Roman"/>
          <w:sz w:val="24"/>
          <w:szCs w:val="24"/>
        </w:rPr>
      </w:pPr>
    </w:p>
    <w:p w14:paraId="4A2B1DFD"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bCs/>
          <w:sz w:val="24"/>
          <w:szCs w:val="24"/>
        </w:rPr>
        <w:t>Profilaktyczne szczepienia</w:t>
      </w:r>
      <w:r w:rsidRPr="005F0A32">
        <w:rPr>
          <w:rFonts w:ascii="Times New Roman" w:eastAsia="Calibri" w:hAnsi="Times New Roman" w:cs="Times New Roman"/>
          <w:sz w:val="24"/>
          <w:szCs w:val="24"/>
        </w:rPr>
        <w:t xml:space="preserve"> mające zmniejszyć ryzyko zachorowania na grypę dla mieszkańców gminy Goleniów mających co najmniej 65 lat. Zakupy szczepionek oraz wykonanie zabiegu szczepienia finansował Gmina Goleniów. Ze szczepień skorzystało 935 osób</w:t>
      </w:r>
      <w:r w:rsidR="004E2CAB">
        <w:rPr>
          <w:rStyle w:val="Odwoanieprzypisudolnego"/>
          <w:rFonts w:ascii="Times New Roman" w:eastAsia="Calibri" w:hAnsi="Times New Roman" w:cs="Times New Roman"/>
          <w:sz w:val="24"/>
          <w:szCs w:val="24"/>
        </w:rPr>
        <w:footnoteReference w:id="241"/>
      </w:r>
      <w:r w:rsidRPr="005F0A32">
        <w:rPr>
          <w:rFonts w:ascii="Times New Roman" w:eastAsia="Calibri" w:hAnsi="Times New Roman" w:cs="Times New Roman"/>
          <w:sz w:val="24"/>
          <w:szCs w:val="24"/>
        </w:rPr>
        <w:t xml:space="preserve">. </w:t>
      </w:r>
    </w:p>
    <w:p w14:paraId="732A4E78" w14:textId="77777777" w:rsidR="0057657B" w:rsidRPr="005F0A32" w:rsidRDefault="0057657B" w:rsidP="00EE3921">
      <w:pPr>
        <w:spacing w:after="0"/>
        <w:jc w:val="both"/>
        <w:rPr>
          <w:rFonts w:ascii="Times New Roman" w:eastAsia="Calibri" w:hAnsi="Times New Roman" w:cs="Times New Roman"/>
          <w:sz w:val="24"/>
          <w:szCs w:val="24"/>
        </w:rPr>
      </w:pPr>
    </w:p>
    <w:p w14:paraId="39115073"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bCs/>
          <w:sz w:val="24"/>
          <w:szCs w:val="24"/>
        </w:rPr>
        <w:t>Drawska Rada Seniorów</w:t>
      </w:r>
      <w:r w:rsidRPr="005F0A32">
        <w:rPr>
          <w:rFonts w:ascii="Times New Roman" w:eastAsia="Calibri" w:hAnsi="Times New Roman" w:cs="Times New Roman"/>
          <w:sz w:val="24"/>
          <w:szCs w:val="24"/>
        </w:rPr>
        <w:t xml:space="preserve"> – ma charakter konsultacyjny, doradczy i inicjatywny dla starszych mieszkańców Darłowa. Składa się z przedstawicieli osób starszych, oraz przedstawicieli podmiotów działających na rzecz osób starszych, organizacji pozarządowych oraz podmiotów prowadzących przez Uniwersytet Trzeciego Wieku. Organizują raz w roku spotkanie otwarte z mieszkańcami.</w:t>
      </w:r>
    </w:p>
    <w:p w14:paraId="6848132F" w14:textId="77777777" w:rsidR="0057657B" w:rsidRPr="005F0A32" w:rsidRDefault="0057657B" w:rsidP="00EE3921">
      <w:pPr>
        <w:spacing w:after="0"/>
        <w:jc w:val="both"/>
        <w:rPr>
          <w:rFonts w:ascii="Times New Roman" w:eastAsia="Calibri" w:hAnsi="Times New Roman" w:cs="Times New Roman"/>
          <w:sz w:val="24"/>
          <w:szCs w:val="24"/>
        </w:rPr>
      </w:pPr>
    </w:p>
    <w:p w14:paraId="3014CFE3" w14:textId="77777777" w:rsidR="0057657B" w:rsidRPr="004E2CAB" w:rsidRDefault="00BB5D9D" w:rsidP="00EE3921">
      <w:pPr>
        <w:spacing w:after="0"/>
        <w:jc w:val="both"/>
        <w:rPr>
          <w:rFonts w:ascii="Times New Roman" w:eastAsia="Calibri" w:hAnsi="Times New Roman" w:cs="Times New Roman"/>
          <w:color w:val="0563C1"/>
          <w:sz w:val="24"/>
          <w:szCs w:val="24"/>
          <w:u w:val="single"/>
        </w:rPr>
      </w:pPr>
      <w:r w:rsidRPr="005F0A32">
        <w:rPr>
          <w:rFonts w:ascii="Times New Roman" w:eastAsia="Calibri" w:hAnsi="Times New Roman" w:cs="Times New Roman"/>
          <w:b/>
          <w:bCs/>
          <w:sz w:val="24"/>
          <w:szCs w:val="24"/>
        </w:rPr>
        <w:t>Miejski Dzień Seniora</w:t>
      </w:r>
      <w:r w:rsidRPr="005F0A32">
        <w:rPr>
          <w:rFonts w:ascii="Times New Roman" w:eastAsia="Calibri" w:hAnsi="Times New Roman" w:cs="Times New Roman"/>
          <w:sz w:val="24"/>
          <w:szCs w:val="24"/>
        </w:rPr>
        <w:t xml:space="preserve"> w Drawnie we współpracy z władzami miasta i oddziałem regionalnym Polskiego Związku Emerytów, Rencistów i Inwalidów w Darłowie cieszy się ogromnym zainteresowaniem wśród seniorów i wysoką frekwencją wśród przybyłych gości. Podczas Miejskiego Dnia Seniora odbywały się występy artystyczne seniorów oraz dzieci </w:t>
      </w:r>
      <w:r w:rsidRPr="005F0A32">
        <w:rPr>
          <w:rFonts w:ascii="Times New Roman" w:eastAsia="Calibri" w:hAnsi="Times New Roman" w:cs="Times New Roman"/>
          <w:sz w:val="24"/>
          <w:szCs w:val="24"/>
        </w:rPr>
        <w:br/>
        <w:t xml:space="preserve">i młodzieży szkolnej - cel to integracja wewnątrz i międzypokoleniowa. Imprezę uświetniają występy lokalnych oraz gminnych zespołów muzycznych, zrzeszających seniorów. </w:t>
      </w:r>
      <w:r w:rsidRPr="005F0A32">
        <w:rPr>
          <w:rFonts w:ascii="Times New Roman" w:eastAsia="Calibri" w:hAnsi="Times New Roman" w:cs="Times New Roman"/>
          <w:sz w:val="24"/>
          <w:szCs w:val="24"/>
        </w:rPr>
        <w:br/>
        <w:t>Cel: integracja darłowskiego środowiska senioralnego. Liczba ucz</w:t>
      </w:r>
      <w:r w:rsidR="004E2CAB">
        <w:rPr>
          <w:rFonts w:ascii="Times New Roman" w:eastAsia="Calibri" w:hAnsi="Times New Roman" w:cs="Times New Roman"/>
          <w:sz w:val="24"/>
          <w:szCs w:val="24"/>
        </w:rPr>
        <w:t>estników: 280 osób</w:t>
      </w:r>
      <w:r w:rsidR="004E2CAB">
        <w:rPr>
          <w:rStyle w:val="Odwoanieprzypisudolnego"/>
          <w:rFonts w:ascii="Times New Roman" w:eastAsia="Calibri" w:hAnsi="Times New Roman" w:cs="Times New Roman"/>
          <w:sz w:val="24"/>
          <w:szCs w:val="24"/>
        </w:rPr>
        <w:footnoteReference w:id="242"/>
      </w:r>
      <w:r w:rsidR="004E2CAB">
        <w:rPr>
          <w:rFonts w:ascii="Times New Roman" w:eastAsia="Calibri" w:hAnsi="Times New Roman" w:cs="Times New Roman"/>
          <w:sz w:val="24"/>
          <w:szCs w:val="24"/>
        </w:rPr>
        <w:t>.</w:t>
      </w:r>
    </w:p>
    <w:p w14:paraId="2977FAD4" w14:textId="77777777" w:rsidR="00BB5D9D"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bCs/>
          <w:sz w:val="24"/>
          <w:szCs w:val="24"/>
        </w:rPr>
        <w:t>Aktywny senior to zdrowy senior.</w:t>
      </w:r>
      <w:r w:rsidRPr="005F0A32">
        <w:rPr>
          <w:rFonts w:ascii="Times New Roman" w:eastAsia="Calibri" w:hAnsi="Times New Roman" w:cs="Times New Roman"/>
          <w:sz w:val="24"/>
          <w:szCs w:val="24"/>
        </w:rPr>
        <w:t xml:space="preserve"> Projekt miasta Darłowo oraz Oddział Rejonowego Polskiego Związku Emerytów, Rencistów i Inwalidów w Darłowie ma na celu podniesienie sprawności fizycznej oraz promowanie zdrowego stylu życia wśród seniorów poprzez zięcia </w:t>
      </w:r>
      <w:r w:rsidRPr="005F0A32">
        <w:rPr>
          <w:rFonts w:ascii="Times New Roman" w:eastAsia="Calibri" w:hAnsi="Times New Roman" w:cs="Times New Roman"/>
          <w:sz w:val="24"/>
          <w:szCs w:val="24"/>
        </w:rPr>
        <w:br/>
        <w:t xml:space="preserve">z gimnastyki ogólnorozwojowej, wzmacniająco-rozciągającej oraz rekreacyjnej. Dodatkowo seniorzy uczestniczyli w zajęciach Nordic Walking. Projekt zwiększał kondycję fizyczną uczestników, wpływał pozytywnie na zaspokojenie ich potrzeb i oczekiwań. Jednocześnie przeprowadzono prelekcje dotyczącą wypływu aktywności fizycznej na poprawę kondycji </w:t>
      </w:r>
      <w:r w:rsidRPr="005F0A32">
        <w:rPr>
          <w:rFonts w:ascii="Times New Roman" w:eastAsia="Calibri" w:hAnsi="Times New Roman" w:cs="Times New Roman"/>
          <w:sz w:val="24"/>
          <w:szCs w:val="24"/>
        </w:rPr>
        <w:lastRenderedPageBreak/>
        <w:t>fizycznej i psychicznej człowieka, a także na zdrowego stylu życia wśród seniorów oraz zachęcenie do aktywności ruchowej</w:t>
      </w:r>
      <w:r w:rsidR="004E2CAB">
        <w:rPr>
          <w:rFonts w:ascii="Times New Roman" w:eastAsia="Calibri" w:hAnsi="Times New Roman" w:cs="Times New Roman"/>
          <w:sz w:val="24"/>
          <w:szCs w:val="24"/>
        </w:rPr>
        <w:t>. Liczba uczestników: 80 osób</w:t>
      </w:r>
      <w:r w:rsidR="004E2CAB">
        <w:rPr>
          <w:rStyle w:val="Odwoanieprzypisudolnego"/>
          <w:rFonts w:ascii="Times New Roman" w:eastAsia="Calibri" w:hAnsi="Times New Roman" w:cs="Times New Roman"/>
          <w:sz w:val="24"/>
          <w:szCs w:val="24"/>
        </w:rPr>
        <w:footnoteReference w:id="243"/>
      </w:r>
      <w:r w:rsidR="004E2CAB">
        <w:rPr>
          <w:rFonts w:ascii="Times New Roman" w:eastAsia="Calibri" w:hAnsi="Times New Roman" w:cs="Times New Roman"/>
          <w:sz w:val="24"/>
          <w:szCs w:val="24"/>
        </w:rPr>
        <w:t>.</w:t>
      </w:r>
    </w:p>
    <w:p w14:paraId="7ADE55CD" w14:textId="77777777" w:rsidR="0057657B" w:rsidRPr="005F0A32" w:rsidRDefault="0057657B" w:rsidP="00EE3921">
      <w:pPr>
        <w:spacing w:after="0"/>
        <w:jc w:val="both"/>
        <w:rPr>
          <w:rFonts w:ascii="Times New Roman" w:eastAsia="Calibri" w:hAnsi="Times New Roman" w:cs="Times New Roman"/>
          <w:sz w:val="24"/>
          <w:szCs w:val="24"/>
        </w:rPr>
      </w:pPr>
    </w:p>
    <w:p w14:paraId="3E8EA1EB" w14:textId="77777777" w:rsidR="00BB5D9D" w:rsidRPr="005F0A32"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b/>
          <w:bCs/>
          <w:sz w:val="24"/>
          <w:szCs w:val="24"/>
        </w:rPr>
        <w:t>Szkolenie</w:t>
      </w:r>
      <w:r w:rsidRPr="005F0A32">
        <w:rPr>
          <w:rFonts w:ascii="Times New Roman" w:eastAsia="Calibri" w:hAnsi="Times New Roman" w:cs="Times New Roman"/>
          <w:sz w:val="24"/>
          <w:szCs w:val="24"/>
        </w:rPr>
        <w:t xml:space="preserve"> </w:t>
      </w:r>
      <w:r w:rsidRPr="005F0A32">
        <w:rPr>
          <w:rFonts w:ascii="Times New Roman" w:eastAsia="Calibri" w:hAnsi="Times New Roman" w:cs="Times New Roman"/>
          <w:b/>
          <w:bCs/>
          <w:sz w:val="24"/>
          <w:szCs w:val="24"/>
        </w:rPr>
        <w:t>p. poż dla Seniorów</w:t>
      </w:r>
      <w:r w:rsidRPr="005F0A32">
        <w:rPr>
          <w:rFonts w:ascii="Times New Roman" w:eastAsia="Calibri" w:hAnsi="Times New Roman" w:cs="Times New Roman"/>
          <w:sz w:val="24"/>
          <w:szCs w:val="24"/>
        </w:rPr>
        <w:t xml:space="preserve"> – to projekt socjalny Gminy Gościno mający na celu podniesienie wiedzy na temat niebezpieczeństw związanych z pożarem w okresie jesienno-zimowym, i zatruciem tlenkiem węgla oraz bezpiecznego eksploatowania urządzeń elektrycznych wraz z prawidłowym obchodzeniem się z urządzeniami gazowymi. Udział </w:t>
      </w:r>
      <w:r w:rsidRPr="005F0A32">
        <w:rPr>
          <w:rFonts w:ascii="Times New Roman" w:eastAsia="Calibri" w:hAnsi="Times New Roman" w:cs="Times New Roman"/>
          <w:sz w:val="24"/>
          <w:szCs w:val="24"/>
        </w:rPr>
        <w:br/>
        <w:t xml:space="preserve">w spotkaniu wzięło 30 osób </w:t>
      </w:r>
    </w:p>
    <w:p w14:paraId="00E6855F" w14:textId="77777777" w:rsidR="0057657B" w:rsidRDefault="0057657B" w:rsidP="00EE3921">
      <w:pPr>
        <w:spacing w:after="0"/>
        <w:jc w:val="both"/>
        <w:rPr>
          <w:rFonts w:ascii="Times New Roman" w:eastAsia="Calibri" w:hAnsi="Times New Roman" w:cs="Times New Roman"/>
          <w:b/>
          <w:sz w:val="24"/>
          <w:szCs w:val="24"/>
          <w:u w:val="single"/>
        </w:rPr>
      </w:pPr>
    </w:p>
    <w:p w14:paraId="26974E8D" w14:textId="77777777" w:rsidR="0057657B" w:rsidRPr="00096DB3" w:rsidRDefault="0057657B" w:rsidP="00EE3921">
      <w:pPr>
        <w:jc w:val="both"/>
        <w:rPr>
          <w:rFonts w:ascii="Times New Roman" w:hAnsi="Times New Roman" w:cs="Times New Roman"/>
          <w:b/>
          <w:color w:val="00B0F0"/>
          <w:sz w:val="24"/>
          <w:szCs w:val="24"/>
        </w:rPr>
      </w:pPr>
      <w:r w:rsidRPr="00096DB3">
        <w:rPr>
          <w:rFonts w:ascii="Times New Roman" w:hAnsi="Times New Roman" w:cs="Times New Roman"/>
          <w:b/>
          <w:color w:val="00B0F0"/>
          <w:sz w:val="24"/>
          <w:szCs w:val="24"/>
        </w:rPr>
        <w:t>Przykłady innowacyjnych rozwiązań w ramach polityki senioralnej</w:t>
      </w:r>
    </w:p>
    <w:p w14:paraId="15AD442E" w14:textId="77777777" w:rsidR="00BB5D9D" w:rsidRPr="005F0A32" w:rsidRDefault="00BB5D9D" w:rsidP="00EE3921">
      <w:pPr>
        <w:spacing w:after="0"/>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Wśród wielu innowacyjnych rozwiązań podejmowanych na rzecz osób starszych przez jednostki samorządu terytorialnego z terenu województwa zachodniopomorskiego wymienić należy:</w:t>
      </w:r>
    </w:p>
    <w:p w14:paraId="331D463B" w14:textId="77777777" w:rsidR="00BB5D9D" w:rsidRPr="005F0A32" w:rsidRDefault="00BB5D9D" w:rsidP="00EE3921">
      <w:pPr>
        <w:numPr>
          <w:ilvl w:val="0"/>
          <w:numId w:val="25"/>
        </w:num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system „Teleopieka Domowa”, który polega na sprawowaniu opieki przez centrum monitoringu 24h/7 dni w tygodniu nad chętnymi mieszkańcami, którzy ukończyli 75 lat lub 65 lat w przypadku osób samotnych, poprzez przyjmowanie zgłoszeń SOS od podopiecznych za pomocą tzw. przycisku życia (np. Miasto Koszalin, Miasto Stargard, Gmina Mielno, Gmina Goleniów),</w:t>
      </w:r>
    </w:p>
    <w:p w14:paraId="051C1965" w14:textId="77777777" w:rsidR="00BB5D9D" w:rsidRPr="005F0A32" w:rsidRDefault="00BB5D9D" w:rsidP="00EE3921">
      <w:pPr>
        <w:numPr>
          <w:ilvl w:val="0"/>
          <w:numId w:val="25"/>
        </w:num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akcja „Koperta Życia”, która polega na wyposażeniu seniorów w kopertę i formularz </w:t>
      </w:r>
      <w:r w:rsidRPr="005F0A32">
        <w:rPr>
          <w:rFonts w:ascii="Times New Roman" w:eastAsia="Calibri" w:hAnsi="Times New Roman" w:cs="Times New Roman"/>
          <w:sz w:val="24"/>
          <w:szCs w:val="24"/>
        </w:rPr>
        <w:br/>
        <w:t>z krótkim opisem historii choroby, listą zażywanych leków, danymi chorego oraz kontaktem do lekarza prowadzącego i najbliższej rodziny. Specjalnie oznakowana koperta przechowywana jest w lodówce i stanowi nieocenioną pomoc w przypadku podejmowania czynności ratujących życie (np. Gmina Kalisz Pomorski, Mielno, Powiat Gryficki),</w:t>
      </w:r>
    </w:p>
    <w:p w14:paraId="2206EC41" w14:textId="77777777" w:rsidR="00BB5D9D" w:rsidRPr="005F0A32" w:rsidRDefault="00BB5D9D" w:rsidP="00EE3921">
      <w:pPr>
        <w:numPr>
          <w:ilvl w:val="0"/>
          <w:numId w:val="25"/>
        </w:num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projekt „Bon Seniora” skierowany do mieszkańców Świnoujścia, którzy ukończyli 65 lat. Zakłada wsparcie finansowe w wysokości 300 zł z przeznaczeniem na świadczenia opieki zdrowotnej (badania laboratoryjne, diagnostyczne, usługi poradni specjalistycznych, rehabilitację, fizjoterapię) oraz usługi fryzjersko-kosmetyczne. (Miasto Świnoujście)</w:t>
      </w:r>
    </w:p>
    <w:p w14:paraId="7EA2506A" w14:textId="77777777" w:rsidR="00BB5D9D" w:rsidRPr="005F0A32" w:rsidRDefault="00BB5D9D" w:rsidP="00EE3921">
      <w:pPr>
        <w:numPr>
          <w:ilvl w:val="0"/>
          <w:numId w:val="25"/>
        </w:num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projekt iTAXI DLA SENIORA, którego celem jest wsparcie logistyczne mieszkańców Goleniowa, którzy ukończyli 70 lat lub są osobami niepełnosprawnymi, w dotarciu np. </w:t>
      </w:r>
      <w:r w:rsidRPr="005F0A32">
        <w:rPr>
          <w:rFonts w:ascii="Times New Roman" w:eastAsia="Calibri" w:hAnsi="Times New Roman" w:cs="Times New Roman"/>
          <w:sz w:val="24"/>
          <w:szCs w:val="24"/>
        </w:rPr>
        <w:br/>
        <w:t>do urzędu, placówki medycznej czy na cmentarz. Osobie starszej/niepełnosprawnej może towarzyszyć pełnoletni opiekun, który również nie zapłaci za kurs (Gmina Goleniów),</w:t>
      </w:r>
    </w:p>
    <w:p w14:paraId="33F3F00D" w14:textId="77777777" w:rsidR="00BB5D9D" w:rsidRPr="005F0A32" w:rsidRDefault="00BB5D9D" w:rsidP="00EE3921">
      <w:pPr>
        <w:numPr>
          <w:ilvl w:val="0"/>
          <w:numId w:val="25"/>
        </w:num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 xml:space="preserve">projekt „Zaopiekowani – systemowe wzmacnianie potencjału opiekuńczego rodzin” realizowany przez Gminę Miasto Szczecin, współfinansowany ze środków pochodzących </w:t>
      </w:r>
      <w:r w:rsidRPr="005F0A32">
        <w:rPr>
          <w:rFonts w:ascii="Times New Roman" w:eastAsia="Calibri" w:hAnsi="Times New Roman" w:cs="Times New Roman"/>
          <w:sz w:val="24"/>
          <w:szCs w:val="24"/>
        </w:rPr>
        <w:br/>
        <w:t>z Europejskiego Funduszu Społecznego, którego celem jest:</w:t>
      </w:r>
    </w:p>
    <w:p w14:paraId="304CF66B" w14:textId="77777777" w:rsidR="00BB5D9D" w:rsidRPr="005F0A32" w:rsidRDefault="00BB5D9D" w:rsidP="00EE3921">
      <w:pPr>
        <w:numPr>
          <w:ilvl w:val="0"/>
          <w:numId w:val="28"/>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zwiększenie dostępu do usług opiekuńczych poprzez zapewnienie usług 15 opiekunów zawodowych i 60 opiekunów sąsiedzkich,</w:t>
      </w:r>
    </w:p>
    <w:p w14:paraId="13963C98" w14:textId="77777777" w:rsidR="00BB5D9D" w:rsidRPr="005F0A32" w:rsidRDefault="00BB5D9D" w:rsidP="00EE3921">
      <w:pPr>
        <w:numPr>
          <w:ilvl w:val="0"/>
          <w:numId w:val="28"/>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rozwój usług asystenckich dla 60 osób z niepełnosprawnością intelektualną w wyniku zatrudnienia asystenta osobistego,</w:t>
      </w:r>
    </w:p>
    <w:p w14:paraId="059F3EE8" w14:textId="77777777" w:rsidR="00BB5D9D" w:rsidRPr="005F0A32" w:rsidRDefault="00BB5D9D" w:rsidP="00EE3921">
      <w:pPr>
        <w:numPr>
          <w:ilvl w:val="0"/>
          <w:numId w:val="28"/>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podniesienie efektywności i standardu sprawowania opieki przez opiekunów faktycznych poprzez zapewnienie opieki wytchnieniowej, wsparcia doradczego, informacyjnego i szkoleń oraz ułatwienie dostępu do sprzętu pielęgnacyjnego,</w:t>
      </w:r>
    </w:p>
    <w:p w14:paraId="493CF9C9" w14:textId="77777777" w:rsidR="00BB5D9D" w:rsidRPr="005F0A32" w:rsidRDefault="00BB5D9D" w:rsidP="00EE3921">
      <w:pPr>
        <w:numPr>
          <w:ilvl w:val="0"/>
          <w:numId w:val="28"/>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lastRenderedPageBreak/>
        <w:t>zwiększenie mobilności, autonomii i bezpieczeństwa osób niesamodzielnych, w tym osób z niepełnosprawnością na skutek ułatwienia dostępu do sprzętu wspomagającego oraz zapewnienie usług przewozu,</w:t>
      </w:r>
    </w:p>
    <w:p w14:paraId="43477401" w14:textId="77777777" w:rsidR="00BB5D9D" w:rsidRPr="005F0A32" w:rsidRDefault="00BB5D9D" w:rsidP="00EE3921">
      <w:pPr>
        <w:numPr>
          <w:ilvl w:val="0"/>
          <w:numId w:val="25"/>
        </w:num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działania podejmowane przez Zarządu Dróg i Transportu w Koszalinie w celu poprawy jakości życia seniorów:</w:t>
      </w:r>
    </w:p>
    <w:p w14:paraId="273A17FE" w14:textId="77777777" w:rsidR="00BB5D9D" w:rsidRPr="005F0A32" w:rsidRDefault="00BB5D9D" w:rsidP="00EE3921">
      <w:pPr>
        <w:numPr>
          <w:ilvl w:val="0"/>
          <w:numId w:val="26"/>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zakupienie 5 nowych autobusów niskopodłogowych z oznakowanymi miejscami dla osób niepełnosprawnych,</w:t>
      </w:r>
    </w:p>
    <w:p w14:paraId="7AB725A4" w14:textId="77777777" w:rsidR="00BB5D9D" w:rsidRPr="005F0A32" w:rsidRDefault="00BB5D9D" w:rsidP="00EE3921">
      <w:pPr>
        <w:numPr>
          <w:ilvl w:val="0"/>
          <w:numId w:val="26"/>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wykonanie aktywnych przejść świetlnych, zamontowanie znaków aktywnych oraz punktowych elementów świetlnych, które aktywują się po wykryciu pieszego przed przejściem dla pieszych,</w:t>
      </w:r>
    </w:p>
    <w:p w14:paraId="5F2BF186" w14:textId="77777777" w:rsidR="00BB5D9D" w:rsidRPr="005F0A32" w:rsidRDefault="00BB5D9D" w:rsidP="00EE3921">
      <w:pPr>
        <w:numPr>
          <w:ilvl w:val="0"/>
          <w:numId w:val="26"/>
        </w:numPr>
        <w:spacing w:after="0"/>
        <w:ind w:left="643"/>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utworzenie Centrum Przesiadkowego w Koszalinie z miejscami postojowymi dla osób niepełnosprawnych oraz ławkami i peronami,</w:t>
      </w:r>
    </w:p>
    <w:p w14:paraId="33DD7FB7" w14:textId="77777777" w:rsidR="00BB5D9D" w:rsidRPr="005F0A32" w:rsidRDefault="00BB5D9D" w:rsidP="00EE3921">
      <w:pPr>
        <w:numPr>
          <w:ilvl w:val="0"/>
          <w:numId w:val="27"/>
        </w:num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działania podejmowane przez Zarząd Budynków Mieszkalnych w Koszalinie w celu poprawy warunków mieszkaniowych poprzez zamianę mieszkań na lokale na niższych kondygnacjach, wyposażone w urządzenia i instalacje techniczne poprawiające komfort ich użytkowania,</w:t>
      </w:r>
    </w:p>
    <w:p w14:paraId="537967BF" w14:textId="77777777" w:rsidR="00BB5D9D" w:rsidRPr="005F0A32" w:rsidRDefault="00BB5D9D" w:rsidP="00EE3921">
      <w:pPr>
        <w:numPr>
          <w:ilvl w:val="0"/>
          <w:numId w:val="27"/>
        </w:num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wykorzystanie Metody Montessori w pracy z seniorami jako jednej z metod terapeutycznych zarówno w pracy z osobami starszymi, jak i cierpiącymi na demencję czy Alzheimera (Gmina Kalisz Pomorski),</w:t>
      </w:r>
    </w:p>
    <w:p w14:paraId="738DE32D" w14:textId="77777777" w:rsidR="00BB5D9D" w:rsidRPr="005F0A32" w:rsidRDefault="00BB5D9D" w:rsidP="00EE3921">
      <w:pPr>
        <w:numPr>
          <w:ilvl w:val="0"/>
          <w:numId w:val="27"/>
        </w:numPr>
        <w:spacing w:after="0"/>
        <w:contextualSpacing/>
        <w:jc w:val="both"/>
        <w:rPr>
          <w:rFonts w:ascii="Times New Roman" w:eastAsia="Calibri" w:hAnsi="Times New Roman" w:cs="Times New Roman"/>
          <w:sz w:val="24"/>
          <w:szCs w:val="24"/>
        </w:rPr>
      </w:pPr>
      <w:r w:rsidRPr="005F0A32">
        <w:rPr>
          <w:rFonts w:ascii="Times New Roman" w:eastAsia="Calibri" w:hAnsi="Times New Roman" w:cs="Times New Roman"/>
          <w:sz w:val="24"/>
          <w:szCs w:val="24"/>
        </w:rPr>
        <w:t>kontynuacja świadczenia pieniężnego „Bon opiekuńczy. Alzheimer 75” przez Miasto Szczecin.</w:t>
      </w:r>
    </w:p>
    <w:p w14:paraId="2551188E" w14:textId="77777777" w:rsidR="00BB5D9D" w:rsidRPr="005F0A32" w:rsidRDefault="00BB5D9D" w:rsidP="00EE3921">
      <w:pPr>
        <w:spacing w:after="0"/>
        <w:contextualSpacing/>
        <w:jc w:val="both"/>
        <w:rPr>
          <w:rFonts w:ascii="Times New Roman" w:eastAsia="Calibri" w:hAnsi="Times New Roman" w:cs="Times New Roman"/>
          <w:sz w:val="24"/>
          <w:szCs w:val="24"/>
        </w:rPr>
      </w:pPr>
    </w:p>
    <w:p w14:paraId="3327C5F2" w14:textId="77777777" w:rsidR="0057657B" w:rsidRPr="00096DB3" w:rsidRDefault="0057657B" w:rsidP="00EE3921">
      <w:pPr>
        <w:spacing w:after="0"/>
        <w:jc w:val="both"/>
        <w:rPr>
          <w:rFonts w:ascii="Times New Roman" w:hAnsi="Times New Roman" w:cs="Times New Roman"/>
          <w:b/>
          <w:i/>
          <w:color w:val="00B0F0"/>
          <w:sz w:val="24"/>
          <w:szCs w:val="24"/>
        </w:rPr>
      </w:pPr>
      <w:r w:rsidRPr="00096DB3">
        <w:rPr>
          <w:rFonts w:ascii="Times New Roman" w:hAnsi="Times New Roman" w:cs="Times New Roman"/>
          <w:b/>
          <w:color w:val="00B0F0"/>
          <w:sz w:val="24"/>
          <w:szCs w:val="24"/>
        </w:rPr>
        <w:t>Realizacja działań wynikających z przyjętego prze</w:t>
      </w:r>
      <w:r w:rsidR="00096DB3">
        <w:rPr>
          <w:rFonts w:ascii="Times New Roman" w:hAnsi="Times New Roman" w:cs="Times New Roman"/>
          <w:b/>
          <w:color w:val="00B0F0"/>
          <w:sz w:val="24"/>
          <w:szCs w:val="24"/>
        </w:rPr>
        <w:t>z Radę Ministrów dokumentu pt. </w:t>
      </w:r>
      <w:r w:rsidRPr="00096DB3">
        <w:rPr>
          <w:rFonts w:ascii="Times New Roman" w:hAnsi="Times New Roman" w:cs="Times New Roman"/>
          <w:b/>
          <w:i/>
          <w:color w:val="00B0F0"/>
          <w:sz w:val="24"/>
          <w:szCs w:val="24"/>
        </w:rPr>
        <w:t>Polityka społeczna wobec osób starszych 2030. Bezpieczeństw</w:t>
      </w:r>
      <w:r w:rsidR="00096DB3" w:rsidRPr="00096DB3">
        <w:rPr>
          <w:rFonts w:ascii="Times New Roman" w:hAnsi="Times New Roman" w:cs="Times New Roman"/>
          <w:b/>
          <w:i/>
          <w:color w:val="00B0F0"/>
          <w:sz w:val="24"/>
          <w:szCs w:val="24"/>
        </w:rPr>
        <w:t>o – Uczestnictwo – Solidarność</w:t>
      </w:r>
    </w:p>
    <w:p w14:paraId="17E19DE6" w14:textId="77777777" w:rsidR="0057657B" w:rsidRDefault="0057657B" w:rsidP="00EE3921">
      <w:pPr>
        <w:widowControl w:val="0"/>
        <w:tabs>
          <w:tab w:val="left" w:pos="709"/>
          <w:tab w:val="left" w:pos="2947"/>
        </w:tabs>
        <w:suppressAutoHyphens/>
        <w:autoSpaceDN w:val="0"/>
        <w:spacing w:after="0"/>
        <w:jc w:val="both"/>
        <w:textAlignment w:val="baseline"/>
        <w:rPr>
          <w:rFonts w:ascii="Times New Roman" w:eastAsia="SimSun" w:hAnsi="Times New Roman" w:cs="Times New Roman"/>
          <w:b/>
          <w:bCs/>
          <w:kern w:val="3"/>
          <w:sz w:val="24"/>
          <w:szCs w:val="24"/>
          <w:u w:val="single"/>
        </w:rPr>
      </w:pPr>
    </w:p>
    <w:p w14:paraId="457330E2" w14:textId="77777777" w:rsidR="00BB5D9D" w:rsidRPr="005F0A32" w:rsidRDefault="00096DB3" w:rsidP="00EE3921">
      <w:pPr>
        <w:widowControl w:val="0"/>
        <w:tabs>
          <w:tab w:val="left" w:pos="709"/>
          <w:tab w:val="left" w:pos="2947"/>
        </w:tabs>
        <w:suppressAutoHyphens/>
        <w:autoSpaceDN w:val="0"/>
        <w:spacing w:after="0"/>
        <w:jc w:val="both"/>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W 2019 r.</w:t>
      </w:r>
      <w:r w:rsidR="00BB5D9D" w:rsidRPr="005F0A32">
        <w:rPr>
          <w:rFonts w:ascii="Times New Roman" w:eastAsia="SimSun" w:hAnsi="Times New Roman" w:cs="Times New Roman"/>
          <w:kern w:val="3"/>
          <w:sz w:val="24"/>
          <w:szCs w:val="24"/>
        </w:rPr>
        <w:t xml:space="preserve">, podobnie jak w latach poprzednich, realizowane były następujące działania wpisujące się w rekomendacje określone w </w:t>
      </w:r>
      <w:r w:rsidR="00BB5D9D" w:rsidRPr="005F0A32">
        <w:rPr>
          <w:rFonts w:ascii="Times New Roman" w:eastAsia="SimSun" w:hAnsi="Times New Roman" w:cs="Times New Roman"/>
          <w:i/>
          <w:iCs/>
          <w:kern w:val="3"/>
          <w:sz w:val="24"/>
          <w:szCs w:val="24"/>
        </w:rPr>
        <w:t xml:space="preserve">Informacji o sytuacji osób starszych za 2018 r. </w:t>
      </w:r>
      <w:r w:rsidR="00BB5D9D" w:rsidRPr="005F0A32">
        <w:rPr>
          <w:rFonts w:ascii="Times New Roman" w:eastAsia="SimSun" w:hAnsi="Times New Roman" w:cs="Times New Roman"/>
          <w:kern w:val="3"/>
          <w:sz w:val="24"/>
          <w:szCs w:val="24"/>
        </w:rPr>
        <w:t xml:space="preserve">oraz </w:t>
      </w:r>
      <w:r w:rsidR="00BB5D9D" w:rsidRPr="005F0A32">
        <w:rPr>
          <w:rFonts w:ascii="Times New Roman" w:eastAsia="SimSun" w:hAnsi="Times New Roman" w:cs="Times New Roman"/>
          <w:bCs/>
          <w:kern w:val="3"/>
          <w:sz w:val="24"/>
          <w:szCs w:val="24"/>
        </w:rPr>
        <w:t xml:space="preserve">w założenia przyjętego przez Radę Ministrów dokumentu pt. </w:t>
      </w:r>
      <w:r w:rsidR="00BB5D9D" w:rsidRPr="005F0A32">
        <w:rPr>
          <w:rFonts w:ascii="Times New Roman" w:eastAsia="SimSun" w:hAnsi="Times New Roman" w:cs="Times New Roman"/>
          <w:bCs/>
          <w:i/>
          <w:iCs/>
          <w:kern w:val="3"/>
          <w:sz w:val="24"/>
          <w:szCs w:val="24"/>
        </w:rPr>
        <w:t xml:space="preserve">Polityka społeczna wobec osób starszych 2030. Bezpieczeństwo-Uczestnictwo-Solidarność:  </w:t>
      </w:r>
    </w:p>
    <w:p w14:paraId="6F272E02" w14:textId="77777777" w:rsidR="00BB5D9D" w:rsidRPr="005F0A32" w:rsidRDefault="00BB5D9D" w:rsidP="008C71A9">
      <w:pPr>
        <w:widowControl w:val="0"/>
        <w:numPr>
          <w:ilvl w:val="0"/>
          <w:numId w:val="204"/>
        </w:numPr>
        <w:tabs>
          <w:tab w:val="left" w:pos="426"/>
          <w:tab w:val="left" w:pos="2947"/>
        </w:tabs>
        <w:suppressAutoHyphens/>
        <w:autoSpaceDN w:val="0"/>
        <w:spacing w:after="0"/>
        <w:ind w:left="360"/>
        <w:jc w:val="both"/>
        <w:textAlignment w:val="baseline"/>
        <w:rPr>
          <w:rFonts w:ascii="Times New Roman" w:eastAsia="SimSun" w:hAnsi="Times New Roman" w:cs="Times New Roman"/>
          <w:kern w:val="3"/>
          <w:sz w:val="24"/>
          <w:szCs w:val="24"/>
        </w:rPr>
      </w:pPr>
      <w:r w:rsidRPr="005F0A32">
        <w:rPr>
          <w:rFonts w:ascii="Times New Roman" w:eastAsia="SimSun" w:hAnsi="Times New Roman" w:cs="Times New Roman"/>
          <w:kern w:val="3"/>
          <w:sz w:val="24"/>
          <w:szCs w:val="24"/>
        </w:rPr>
        <w:t xml:space="preserve">Zapewniony był dostęp do usług opiekuńczo-pielęgnacyjnych poprzez zwiększenie skuteczności funkcjonowania pomocy społecznej oraz rozwój usług świadczonych </w:t>
      </w:r>
      <w:r w:rsidRPr="005F0A32">
        <w:rPr>
          <w:rFonts w:ascii="Times New Roman" w:eastAsia="SimSun" w:hAnsi="Times New Roman" w:cs="Times New Roman"/>
          <w:kern w:val="3"/>
          <w:sz w:val="24"/>
          <w:szCs w:val="24"/>
        </w:rPr>
        <w:br/>
        <w:t xml:space="preserve">w miejscu zamieszkania, w szczególności w oparciu o Program „Opieka 75+”. </w:t>
      </w:r>
    </w:p>
    <w:p w14:paraId="4D1CEFBF" w14:textId="77777777" w:rsidR="00BB5D9D" w:rsidRPr="005F0A32" w:rsidRDefault="00BB5D9D" w:rsidP="008C71A9">
      <w:pPr>
        <w:widowControl w:val="0"/>
        <w:numPr>
          <w:ilvl w:val="0"/>
          <w:numId w:val="204"/>
        </w:numPr>
        <w:tabs>
          <w:tab w:val="left" w:pos="426"/>
          <w:tab w:val="left" w:pos="2947"/>
        </w:tabs>
        <w:suppressAutoHyphens/>
        <w:autoSpaceDN w:val="0"/>
        <w:spacing w:after="0"/>
        <w:ind w:left="360"/>
        <w:jc w:val="both"/>
        <w:textAlignment w:val="baseline"/>
        <w:rPr>
          <w:rFonts w:ascii="Times New Roman" w:eastAsia="SimSun" w:hAnsi="Times New Roman" w:cs="Times New Roman"/>
          <w:kern w:val="3"/>
          <w:sz w:val="24"/>
          <w:szCs w:val="24"/>
        </w:rPr>
      </w:pPr>
      <w:r w:rsidRPr="005F0A32">
        <w:rPr>
          <w:rFonts w:ascii="Times New Roman" w:eastAsia="SimSun" w:hAnsi="Times New Roman" w:cs="Times New Roman"/>
          <w:kern w:val="3"/>
          <w:sz w:val="24"/>
          <w:szCs w:val="24"/>
        </w:rPr>
        <w:t xml:space="preserve">Wprowadzane były rozwiązania w zakresie mieszkalnictwa dedykowanego osobom starszym oraz poprawy lokalnej infrastruktury (chodników, dróg komunikacyjnych). </w:t>
      </w:r>
    </w:p>
    <w:p w14:paraId="6A265750" w14:textId="77777777" w:rsidR="00BB5D9D" w:rsidRPr="005F0A32" w:rsidRDefault="00BB5D9D" w:rsidP="008C71A9">
      <w:pPr>
        <w:widowControl w:val="0"/>
        <w:numPr>
          <w:ilvl w:val="0"/>
          <w:numId w:val="204"/>
        </w:numPr>
        <w:tabs>
          <w:tab w:val="left" w:pos="426"/>
          <w:tab w:val="left" w:pos="2947"/>
        </w:tabs>
        <w:suppressAutoHyphens/>
        <w:autoSpaceDN w:val="0"/>
        <w:spacing w:after="0"/>
        <w:ind w:left="360"/>
        <w:jc w:val="both"/>
        <w:textAlignment w:val="baseline"/>
        <w:rPr>
          <w:rFonts w:ascii="Times New Roman" w:eastAsia="SimSun" w:hAnsi="Times New Roman" w:cs="Times New Roman"/>
          <w:kern w:val="3"/>
          <w:sz w:val="24"/>
          <w:szCs w:val="24"/>
        </w:rPr>
      </w:pPr>
      <w:r w:rsidRPr="005F0A32">
        <w:rPr>
          <w:rFonts w:ascii="Times New Roman" w:eastAsia="SimSun" w:hAnsi="Times New Roman" w:cs="Times New Roman"/>
          <w:kern w:val="3"/>
          <w:sz w:val="24"/>
          <w:szCs w:val="24"/>
        </w:rPr>
        <w:t>P</w:t>
      </w:r>
      <w:r w:rsidRPr="005F0A32">
        <w:rPr>
          <w:rFonts w:ascii="Times New Roman" w:eastAsia="SimSun" w:hAnsi="Times New Roman" w:cs="Times New Roman"/>
          <w:bCs/>
          <w:kern w:val="3"/>
          <w:sz w:val="24"/>
          <w:szCs w:val="24"/>
        </w:rPr>
        <w:t xml:space="preserve">odejmowane były działania zmierzające do stworzenia warunków do aktywnego starzenia się społeczeństwa oraz umożliwienia wydłużania okresu samodzielności głównie poprzez funkcjonowanie Dziennych </w:t>
      </w:r>
      <w:r w:rsidRPr="005F0A32">
        <w:rPr>
          <w:rFonts w:ascii="Times New Roman" w:eastAsia="SimSun" w:hAnsi="Times New Roman" w:cs="Times New Roman"/>
          <w:kern w:val="3"/>
          <w:sz w:val="24"/>
          <w:szCs w:val="24"/>
        </w:rPr>
        <w:t xml:space="preserve">Domów i Klubów Senior +. Placówki te służą rozwojowi zainteresowań seniorów i organizacji czasu wolnego, jak również zapobiegają osamotnieniu i poczuciu izolacji. W 2019 r. w województwie zachodniopomorskim uruchomiono 10 nowych tego typu placówek. </w:t>
      </w:r>
    </w:p>
    <w:p w14:paraId="5BF08B9A" w14:textId="77777777" w:rsidR="00BB5D9D" w:rsidRPr="005F0A32" w:rsidRDefault="00096DB3" w:rsidP="008C71A9">
      <w:pPr>
        <w:widowControl w:val="0"/>
        <w:numPr>
          <w:ilvl w:val="0"/>
          <w:numId w:val="204"/>
        </w:numPr>
        <w:tabs>
          <w:tab w:val="left" w:pos="426"/>
          <w:tab w:val="left" w:pos="2947"/>
        </w:tabs>
        <w:suppressAutoHyphens/>
        <w:autoSpaceDE w:val="0"/>
        <w:autoSpaceDN w:val="0"/>
        <w:spacing w:after="0"/>
        <w:ind w:left="360"/>
        <w:jc w:val="both"/>
        <w:textAlignment w:val="baseline"/>
        <w:rPr>
          <w:rFonts w:ascii="Times New Roman" w:eastAsia="SimSun" w:hAnsi="Times New Roman" w:cs="Times New Roman"/>
          <w:kern w:val="3"/>
          <w:sz w:val="24"/>
          <w:szCs w:val="24"/>
        </w:rPr>
      </w:pPr>
      <w:r>
        <w:rPr>
          <w:rFonts w:ascii="Times New Roman" w:eastAsia="SimSun" w:hAnsi="Times New Roman" w:cs="Times New Roman"/>
          <w:kern w:val="3"/>
          <w:sz w:val="24"/>
          <w:szCs w:val="24"/>
        </w:rPr>
        <w:t xml:space="preserve"> W 2019 r.</w:t>
      </w:r>
      <w:r w:rsidR="00BB5D9D" w:rsidRPr="005F0A32">
        <w:rPr>
          <w:rFonts w:ascii="Times New Roman" w:eastAsia="SimSun" w:hAnsi="Times New Roman" w:cs="Times New Roman"/>
          <w:kern w:val="3"/>
          <w:sz w:val="24"/>
          <w:szCs w:val="24"/>
        </w:rPr>
        <w:t xml:space="preserve"> seniorzy uczestniczyli w akcjach informacyjnych dotyczących ich bezpieczeństwa (np. na drodze, w okresie grzewczym, zapobieganie oszustwom typu „na </w:t>
      </w:r>
      <w:r w:rsidR="00BB5D9D" w:rsidRPr="005F0A32">
        <w:rPr>
          <w:rFonts w:ascii="Times New Roman" w:eastAsia="SimSun" w:hAnsi="Times New Roman" w:cs="Times New Roman"/>
          <w:kern w:val="3"/>
          <w:sz w:val="24"/>
          <w:szCs w:val="24"/>
        </w:rPr>
        <w:lastRenderedPageBreak/>
        <w:t>wnuczka”), jak również z zakresu przeciwdziałania przemocy w rodzinie i dyskryminacji osób starszych.</w:t>
      </w:r>
    </w:p>
    <w:p w14:paraId="3628703B" w14:textId="77777777" w:rsidR="00BB5D9D" w:rsidRPr="005F0A32" w:rsidRDefault="00BB5D9D" w:rsidP="008C71A9">
      <w:pPr>
        <w:widowControl w:val="0"/>
        <w:numPr>
          <w:ilvl w:val="0"/>
          <w:numId w:val="204"/>
        </w:numPr>
        <w:tabs>
          <w:tab w:val="left" w:pos="426"/>
          <w:tab w:val="left" w:pos="2947"/>
        </w:tabs>
        <w:suppressAutoHyphens/>
        <w:autoSpaceDE w:val="0"/>
        <w:autoSpaceDN w:val="0"/>
        <w:spacing w:after="0"/>
        <w:ind w:left="360"/>
        <w:jc w:val="both"/>
        <w:textAlignment w:val="baseline"/>
        <w:rPr>
          <w:rFonts w:ascii="Times New Roman" w:eastAsia="SimSun" w:hAnsi="Times New Roman" w:cs="Times New Roman"/>
          <w:kern w:val="3"/>
          <w:sz w:val="24"/>
          <w:szCs w:val="24"/>
        </w:rPr>
      </w:pPr>
      <w:r w:rsidRPr="005F0A32">
        <w:rPr>
          <w:rFonts w:ascii="Times New Roman" w:eastAsia="SimSun" w:hAnsi="Times New Roman" w:cs="Times New Roman"/>
          <w:kern w:val="3"/>
          <w:sz w:val="24"/>
          <w:szCs w:val="24"/>
        </w:rPr>
        <w:t>Jednostki samorządu terytorialnego z terenu województwa zachodniopomorskiego informują także o prowadzeniu w 2019 r. działań wpisujących się w zadania promocji zdrowia i profilaktyki chorób, w tym wieku starczego. Z</w:t>
      </w:r>
      <w:r w:rsidRPr="005F0A32">
        <w:rPr>
          <w:rFonts w:ascii="Times New Roman" w:eastAsia="SimSun" w:hAnsi="Times New Roman" w:cs="Times New Roman"/>
          <w:bCs/>
          <w:kern w:val="3"/>
          <w:sz w:val="24"/>
          <w:szCs w:val="24"/>
        </w:rPr>
        <w:t xml:space="preserve">większana była dostępność </w:t>
      </w:r>
      <w:r w:rsidRPr="005F0A32">
        <w:rPr>
          <w:rFonts w:ascii="Times New Roman" w:eastAsia="SimSun" w:hAnsi="Times New Roman" w:cs="Times New Roman"/>
          <w:bCs/>
          <w:kern w:val="3"/>
          <w:sz w:val="24"/>
          <w:szCs w:val="24"/>
        </w:rPr>
        <w:br/>
        <w:t>do świadczeń z zakresu rehabilitacji leczniczej oraz do leków, prowadzono programy szczepień ochronnych przeciwko grypie.</w:t>
      </w:r>
    </w:p>
    <w:p w14:paraId="486666BE" w14:textId="77777777" w:rsidR="00BB5D9D" w:rsidRPr="005F0A32" w:rsidRDefault="00BB5D9D" w:rsidP="008C71A9">
      <w:pPr>
        <w:widowControl w:val="0"/>
        <w:numPr>
          <w:ilvl w:val="0"/>
          <w:numId w:val="204"/>
        </w:numPr>
        <w:tabs>
          <w:tab w:val="left" w:pos="0"/>
          <w:tab w:val="left" w:pos="426"/>
        </w:tabs>
        <w:suppressAutoHyphens/>
        <w:autoSpaceDN w:val="0"/>
        <w:spacing w:after="0"/>
        <w:ind w:left="360"/>
        <w:jc w:val="both"/>
        <w:textAlignment w:val="baseline"/>
        <w:rPr>
          <w:rFonts w:ascii="Times New Roman" w:eastAsia="SimSun" w:hAnsi="Times New Roman" w:cs="Times New Roman"/>
          <w:kern w:val="3"/>
          <w:sz w:val="24"/>
          <w:szCs w:val="24"/>
        </w:rPr>
      </w:pPr>
      <w:r w:rsidRPr="005F0A32">
        <w:rPr>
          <w:rFonts w:ascii="Times New Roman" w:eastAsia="SimSun" w:hAnsi="Times New Roman" w:cs="Times New Roman"/>
          <w:bCs/>
          <w:kern w:val="3"/>
          <w:sz w:val="24"/>
          <w:szCs w:val="24"/>
        </w:rPr>
        <w:t xml:space="preserve">Samorządy wspierały uczestnictwo seniorów w życiu społecznym, aktywności obywatelskiej (np. poprzez udział w kreowaniu budżetu obywatelskiego), społecznej, kulturalnej, artystycznej, sportowej i religijnej. Organizowane były imprezy integracyjne, pikniki, wyjazdy do teatrów i kin, wycieczki krajowe i zagraniczne. </w:t>
      </w:r>
      <w:r w:rsidRPr="005F0A32">
        <w:rPr>
          <w:rFonts w:ascii="Times New Roman" w:eastAsia="SimSun" w:hAnsi="Times New Roman" w:cs="Times New Roman"/>
          <w:kern w:val="3"/>
          <w:sz w:val="24"/>
          <w:szCs w:val="24"/>
        </w:rPr>
        <w:t xml:space="preserve">Kontynuowane były działania mające na celu pobudzanie aktywności społecznej seniorów poprzez ich udział w różnego rodzaju projektach, związanychz promowaniem i wspieraniem aktywnych form spędzania czasu wolnego oraz z udziałem w życiu kulturalnym. Promowano działalność kół gospodyń wiejskich oraz lokalnych zespołów ludowych. </w:t>
      </w:r>
    </w:p>
    <w:p w14:paraId="1B8062AA" w14:textId="77777777" w:rsidR="00BB5D9D" w:rsidRPr="005F0A32" w:rsidRDefault="00BB5D9D" w:rsidP="008C71A9">
      <w:pPr>
        <w:widowControl w:val="0"/>
        <w:numPr>
          <w:ilvl w:val="0"/>
          <w:numId w:val="204"/>
        </w:numPr>
        <w:tabs>
          <w:tab w:val="left" w:pos="426"/>
          <w:tab w:val="left" w:pos="2947"/>
        </w:tabs>
        <w:suppressAutoHyphens/>
        <w:autoSpaceDE w:val="0"/>
        <w:autoSpaceDN w:val="0"/>
        <w:spacing w:after="0"/>
        <w:ind w:left="360"/>
        <w:jc w:val="both"/>
        <w:textAlignment w:val="baseline"/>
        <w:rPr>
          <w:rFonts w:ascii="Times New Roman" w:eastAsia="SimSun" w:hAnsi="Times New Roman" w:cs="Times New Roman"/>
          <w:kern w:val="3"/>
          <w:sz w:val="24"/>
          <w:szCs w:val="24"/>
        </w:rPr>
      </w:pPr>
      <w:r w:rsidRPr="005F0A32">
        <w:rPr>
          <w:rFonts w:ascii="Times New Roman" w:eastAsia="SimSun" w:hAnsi="Times New Roman" w:cs="Times New Roman"/>
          <w:kern w:val="3"/>
          <w:sz w:val="24"/>
          <w:szCs w:val="24"/>
        </w:rPr>
        <w:t xml:space="preserve">Planowanie i realizowanie lokalnych polityk na rzecz osób starszych wspierane było przez Rady Seniorów lub Zespoły Doradcze, stanowiące istotny doradczy, inicjatywny </w:t>
      </w:r>
      <w:r w:rsidRPr="005F0A32">
        <w:rPr>
          <w:rFonts w:ascii="Times New Roman" w:eastAsia="SimSun" w:hAnsi="Times New Roman" w:cs="Times New Roman"/>
          <w:kern w:val="3"/>
          <w:sz w:val="24"/>
          <w:szCs w:val="24"/>
        </w:rPr>
        <w:br/>
        <w:t xml:space="preserve">i konsultatywny głos w kwestii strategii na rzecz seniorów.  </w:t>
      </w:r>
    </w:p>
    <w:p w14:paraId="2755CCDB" w14:textId="77777777" w:rsidR="00BB5D9D" w:rsidRPr="005F0A32" w:rsidRDefault="00BB5D9D" w:rsidP="008C71A9">
      <w:pPr>
        <w:widowControl w:val="0"/>
        <w:numPr>
          <w:ilvl w:val="0"/>
          <w:numId w:val="204"/>
        </w:numPr>
        <w:tabs>
          <w:tab w:val="left" w:pos="426"/>
        </w:tabs>
        <w:suppressAutoHyphens/>
        <w:autoSpaceDN w:val="0"/>
        <w:spacing w:after="0"/>
        <w:ind w:left="360"/>
        <w:jc w:val="both"/>
        <w:textAlignment w:val="baseline"/>
        <w:rPr>
          <w:rFonts w:ascii="Times New Roman" w:eastAsia="SimSun" w:hAnsi="Times New Roman" w:cs="Times New Roman"/>
          <w:kern w:val="3"/>
          <w:sz w:val="24"/>
          <w:szCs w:val="24"/>
        </w:rPr>
      </w:pPr>
      <w:r w:rsidRPr="005F0A32">
        <w:rPr>
          <w:rFonts w:ascii="Times New Roman" w:eastAsia="SimSun" w:hAnsi="Times New Roman" w:cs="Times New Roman"/>
          <w:kern w:val="3"/>
          <w:sz w:val="24"/>
          <w:szCs w:val="24"/>
        </w:rPr>
        <w:t xml:space="preserve">Seniorzy mieli możliwość rozwoju aktywności edukacyjnej poprzez działalność lokalnych organizacji pozarządowych oraz Uniwersytetów III Wieku. </w:t>
      </w:r>
    </w:p>
    <w:p w14:paraId="21A0B0C5" w14:textId="77777777" w:rsidR="00BB5D9D" w:rsidRPr="005F0A32" w:rsidRDefault="00BB5D9D" w:rsidP="008C71A9">
      <w:pPr>
        <w:widowControl w:val="0"/>
        <w:numPr>
          <w:ilvl w:val="0"/>
          <w:numId w:val="204"/>
        </w:numPr>
        <w:tabs>
          <w:tab w:val="left" w:pos="426"/>
        </w:tabs>
        <w:suppressAutoHyphens/>
        <w:autoSpaceDE w:val="0"/>
        <w:autoSpaceDN w:val="0"/>
        <w:spacing w:after="0"/>
        <w:ind w:left="360"/>
        <w:jc w:val="both"/>
        <w:textAlignment w:val="baseline"/>
        <w:rPr>
          <w:rFonts w:ascii="Times New Roman" w:eastAsia="SimSun" w:hAnsi="Times New Roman" w:cs="Times New Roman"/>
          <w:kern w:val="3"/>
          <w:sz w:val="24"/>
          <w:szCs w:val="24"/>
        </w:rPr>
      </w:pPr>
      <w:r w:rsidRPr="005F0A32">
        <w:rPr>
          <w:rFonts w:ascii="Times New Roman" w:eastAsia="SimSun" w:hAnsi="Times New Roman" w:cs="Times New Roman"/>
          <w:bCs/>
          <w:kern w:val="3"/>
          <w:sz w:val="24"/>
          <w:szCs w:val="24"/>
        </w:rPr>
        <w:t xml:space="preserve">Wdrażane były projekty propagujące rozwój wolontariatu, zarówno na rzecz osób starszych jak również udział seniorów w akcjach charytatywnych, np. Wielka Orkiestra Świątecznej Pomocy. </w:t>
      </w:r>
    </w:p>
    <w:p w14:paraId="2CAA4CC9" w14:textId="77777777" w:rsidR="00BB5D9D" w:rsidRPr="005F0A32" w:rsidRDefault="00BB5D9D" w:rsidP="008C71A9">
      <w:pPr>
        <w:widowControl w:val="0"/>
        <w:numPr>
          <w:ilvl w:val="0"/>
          <w:numId w:val="204"/>
        </w:numPr>
        <w:tabs>
          <w:tab w:val="left" w:pos="426"/>
        </w:tabs>
        <w:suppressAutoHyphens/>
        <w:autoSpaceDE w:val="0"/>
        <w:autoSpaceDN w:val="0"/>
        <w:spacing w:after="0"/>
        <w:ind w:left="360"/>
        <w:jc w:val="both"/>
        <w:textAlignment w:val="baseline"/>
        <w:rPr>
          <w:rFonts w:ascii="Times New Roman" w:eastAsia="Calibri" w:hAnsi="Times New Roman" w:cs="Times New Roman"/>
          <w:sz w:val="24"/>
          <w:szCs w:val="24"/>
        </w:rPr>
      </w:pPr>
      <w:r w:rsidRPr="005F0A32">
        <w:rPr>
          <w:rFonts w:ascii="Times New Roman" w:eastAsia="SimSun" w:hAnsi="Times New Roman" w:cs="Times New Roman"/>
          <w:bCs/>
          <w:kern w:val="3"/>
          <w:sz w:val="24"/>
          <w:szCs w:val="24"/>
        </w:rPr>
        <w:t>W ramach pracy socjalnej pracownicy socjalni motywowali członków rodzin do opieki nad osobami starszymi, wskazywali także możliwości ubiegania się o różnego rodzaju świadczenia, w tym w ramach Programu Operacyjnego Pomoc Żywnościowa, w formie „Bonów dla Seniora” itp.</w:t>
      </w:r>
    </w:p>
    <w:p w14:paraId="1C507EFB" w14:textId="77777777" w:rsidR="00BB5D9D" w:rsidRPr="00BB5D9D" w:rsidRDefault="00BB5D9D" w:rsidP="003C1988">
      <w:pPr>
        <w:rPr>
          <w:lang w:eastAsia="ar-SA"/>
        </w:rPr>
      </w:pPr>
    </w:p>
    <w:p w14:paraId="5724335B" w14:textId="77777777" w:rsidR="00D75B65" w:rsidRDefault="00D75B65" w:rsidP="008C71A9">
      <w:pPr>
        <w:pStyle w:val="Nagwek1"/>
        <w:numPr>
          <w:ilvl w:val="0"/>
          <w:numId w:val="97"/>
        </w:numPr>
        <w:ind w:left="0" w:firstLine="0"/>
        <w:rPr>
          <w:lang w:eastAsia="ar-SA"/>
        </w:rPr>
        <w:sectPr w:rsidR="00D75B65" w:rsidSect="00FC210F">
          <w:pgSz w:w="11906" w:h="16840"/>
          <w:pgMar w:top="1418" w:right="1418" w:bottom="1417" w:left="1418" w:header="708" w:footer="708" w:gutter="0"/>
          <w:cols w:space="708"/>
          <w:docGrid w:linePitch="360"/>
        </w:sectPr>
      </w:pPr>
    </w:p>
    <w:p w14:paraId="22D31189" w14:textId="1AB4047F" w:rsidR="004D48DD" w:rsidRPr="004D48DD" w:rsidRDefault="004D48DD" w:rsidP="004D48DD">
      <w:pPr>
        <w:pStyle w:val="Legenda"/>
        <w:keepNext/>
        <w:rPr>
          <w:rFonts w:ascii="Times New Roman" w:hAnsi="Times New Roman" w:cs="Times New Roman"/>
          <w:b/>
          <w:i w:val="0"/>
          <w:sz w:val="24"/>
        </w:rPr>
      </w:pPr>
      <w:bookmarkStart w:id="157" w:name="_Toc49171445"/>
      <w:r w:rsidRPr="004D48DD">
        <w:rPr>
          <w:rFonts w:ascii="Times New Roman" w:hAnsi="Times New Roman" w:cs="Times New Roman"/>
          <w:b/>
          <w:i w:val="0"/>
          <w:sz w:val="24"/>
        </w:rPr>
        <w:lastRenderedPageBreak/>
        <w:t xml:space="preserve">Tabela </w:t>
      </w:r>
      <w:r w:rsidRPr="004D48DD">
        <w:rPr>
          <w:rFonts w:ascii="Times New Roman" w:hAnsi="Times New Roman" w:cs="Times New Roman"/>
          <w:b/>
          <w:i w:val="0"/>
          <w:sz w:val="24"/>
        </w:rPr>
        <w:fldChar w:fldCharType="begin"/>
      </w:r>
      <w:r w:rsidRPr="004D48DD">
        <w:rPr>
          <w:rFonts w:ascii="Times New Roman" w:hAnsi="Times New Roman" w:cs="Times New Roman"/>
          <w:b/>
          <w:i w:val="0"/>
          <w:sz w:val="24"/>
        </w:rPr>
        <w:instrText xml:space="preserve"> SEQ Tabela \* ARABIC </w:instrText>
      </w:r>
      <w:r w:rsidRPr="004D48DD">
        <w:rPr>
          <w:rFonts w:ascii="Times New Roman" w:hAnsi="Times New Roman" w:cs="Times New Roman"/>
          <w:b/>
          <w:i w:val="0"/>
          <w:sz w:val="24"/>
        </w:rPr>
        <w:fldChar w:fldCharType="separate"/>
      </w:r>
      <w:r w:rsidR="00C154C9">
        <w:rPr>
          <w:rFonts w:ascii="Times New Roman" w:hAnsi="Times New Roman" w:cs="Times New Roman"/>
          <w:b/>
          <w:i w:val="0"/>
          <w:noProof/>
          <w:sz w:val="24"/>
        </w:rPr>
        <w:t>70</w:t>
      </w:r>
      <w:r w:rsidRPr="004D48DD">
        <w:rPr>
          <w:rFonts w:ascii="Times New Roman" w:hAnsi="Times New Roman" w:cs="Times New Roman"/>
          <w:b/>
          <w:i w:val="0"/>
          <w:sz w:val="24"/>
        </w:rPr>
        <w:fldChar w:fldCharType="end"/>
      </w:r>
      <w:r w:rsidRPr="004D48DD">
        <w:rPr>
          <w:rFonts w:ascii="Times New Roman" w:hAnsi="Times New Roman" w:cs="Times New Roman"/>
          <w:b/>
          <w:i w:val="0"/>
          <w:sz w:val="24"/>
        </w:rPr>
        <w:t xml:space="preserve"> Karta województwa zachodniopomorskiego</w:t>
      </w:r>
      <w:bookmarkEnd w:id="157"/>
    </w:p>
    <w:tbl>
      <w:tblPr>
        <w:tblStyle w:val="Tabelasiatki6kolorowaakcent1"/>
        <w:tblpPr w:leftFromText="141" w:rightFromText="141" w:vertAnchor="text" w:tblpXSpec="center" w:tblpY="1"/>
        <w:tblOverlap w:val="never"/>
        <w:tblW w:w="14741" w:type="dxa"/>
        <w:jc w:val="center"/>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2830"/>
        <w:gridCol w:w="3066"/>
        <w:gridCol w:w="53"/>
        <w:gridCol w:w="850"/>
        <w:gridCol w:w="2045"/>
        <w:gridCol w:w="790"/>
        <w:gridCol w:w="1134"/>
        <w:gridCol w:w="1024"/>
        <w:gridCol w:w="2949"/>
      </w:tblGrid>
      <w:tr w:rsidR="00BB2299" w:rsidRPr="00BB2299" w14:paraId="440CB28F" w14:textId="77777777" w:rsidTr="00BB229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165488B1" w14:textId="77777777" w:rsidR="00D75B65" w:rsidRPr="00BB2299" w:rsidRDefault="00D75B65" w:rsidP="00BB2299">
            <w:pPr>
              <w:spacing w:after="0" w:line="240" w:lineRule="auto"/>
              <w:jc w:val="center"/>
              <w:rPr>
                <w:rFonts w:ascii="Times New Roman" w:hAnsi="Times New Roman"/>
                <w:color w:val="auto"/>
              </w:rPr>
            </w:pPr>
            <w:r w:rsidRPr="00BB2299">
              <w:rPr>
                <w:rFonts w:ascii="Times New Roman" w:hAnsi="Times New Roman"/>
                <w:color w:val="auto"/>
              </w:rPr>
              <w:t>WOJEWÓDZTWO ZACHODNIOPOMORSKIE</w:t>
            </w:r>
          </w:p>
        </w:tc>
      </w:tr>
      <w:tr w:rsidR="00BB2299" w:rsidRPr="00BB2299" w14:paraId="54D7E5D1" w14:textId="77777777" w:rsidTr="00BB2299">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62B03FF" w14:textId="77777777" w:rsidR="00D75B65" w:rsidRPr="00BB2299" w:rsidRDefault="00D75B65" w:rsidP="00BB2299">
            <w:pPr>
              <w:spacing w:after="0" w:line="240" w:lineRule="auto"/>
              <w:rPr>
                <w:rFonts w:ascii="Times New Roman" w:hAnsi="Times New Roman"/>
                <w:color w:val="auto"/>
              </w:rPr>
            </w:pPr>
            <w:r w:rsidRPr="00BB2299">
              <w:rPr>
                <w:rFonts w:ascii="Times New Roman" w:hAnsi="Times New Roman"/>
                <w:color w:val="auto"/>
              </w:rPr>
              <w:t>Informacja o regionie</w:t>
            </w:r>
          </w:p>
        </w:tc>
        <w:tc>
          <w:tcPr>
            <w:tcW w:w="3969" w:type="dxa"/>
            <w:gridSpan w:val="3"/>
            <w:shd w:val="clear" w:color="auto" w:fill="9CC2E5" w:themeFill="accent1" w:themeFillTint="99"/>
          </w:tcPr>
          <w:p w14:paraId="2B4524A1" w14:textId="77777777" w:rsidR="00D75B65" w:rsidRPr="00BB2299" w:rsidRDefault="00D75B65" w:rsidP="00BB22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 xml:space="preserve">Liczba gmin </w:t>
            </w:r>
          </w:p>
        </w:tc>
        <w:tc>
          <w:tcPr>
            <w:tcW w:w="7942" w:type="dxa"/>
            <w:gridSpan w:val="5"/>
            <w:shd w:val="clear" w:color="auto" w:fill="FFFFFF" w:themeFill="background1"/>
          </w:tcPr>
          <w:p w14:paraId="169B09E9" w14:textId="77777777" w:rsidR="00D75B65" w:rsidRPr="00BB2299" w:rsidRDefault="00D75B65" w:rsidP="00BB2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113</w:t>
            </w:r>
          </w:p>
        </w:tc>
      </w:tr>
      <w:tr w:rsidR="00BB2299" w:rsidRPr="00BB2299" w14:paraId="0AF75D2A" w14:textId="77777777" w:rsidTr="00BB2299">
        <w:trPr>
          <w:trHeight w:val="11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9986946" w14:textId="77777777" w:rsidR="00D75B65" w:rsidRPr="00BB2299" w:rsidRDefault="00D75B65" w:rsidP="00BB2299">
            <w:pPr>
              <w:spacing w:after="0" w:line="240" w:lineRule="auto"/>
              <w:rPr>
                <w:rFonts w:ascii="Times New Roman" w:hAnsi="Times New Roman"/>
                <w:color w:val="auto"/>
              </w:rPr>
            </w:pPr>
          </w:p>
        </w:tc>
        <w:tc>
          <w:tcPr>
            <w:tcW w:w="3969" w:type="dxa"/>
            <w:gridSpan w:val="3"/>
            <w:shd w:val="clear" w:color="auto" w:fill="9CC2E5" w:themeFill="accent1" w:themeFillTint="99"/>
          </w:tcPr>
          <w:p w14:paraId="670BA747" w14:textId="77777777" w:rsidR="00D75B65" w:rsidRPr="00BB2299" w:rsidRDefault="00D75B65" w:rsidP="00BB229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 powiatów</w:t>
            </w:r>
          </w:p>
        </w:tc>
        <w:tc>
          <w:tcPr>
            <w:tcW w:w="7942" w:type="dxa"/>
            <w:gridSpan w:val="5"/>
            <w:shd w:val="clear" w:color="auto" w:fill="FFFFFF" w:themeFill="background1"/>
          </w:tcPr>
          <w:p w14:paraId="451D2A95" w14:textId="77777777" w:rsidR="00D75B65" w:rsidRPr="00BB2299" w:rsidRDefault="00D75B65" w:rsidP="00BB2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18 powiatów i 3 miasta na prawach powiatu</w:t>
            </w:r>
          </w:p>
        </w:tc>
      </w:tr>
      <w:tr w:rsidR="00BB2299" w:rsidRPr="00BB2299" w14:paraId="5DB0568C" w14:textId="77777777" w:rsidTr="00BB2299">
        <w:trPr>
          <w:cnfStyle w:val="000000100000" w:firstRow="0" w:lastRow="0" w:firstColumn="0" w:lastColumn="0" w:oddVBand="0" w:evenVBand="0" w:oddHBand="1" w:evenHBand="0" w:firstRowFirstColumn="0" w:firstRowLastColumn="0" w:lastRowFirstColumn="0" w:lastRowLastColumn="0"/>
          <w:trHeight w:val="11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EBDCF3A" w14:textId="77777777" w:rsidR="00D75B65" w:rsidRPr="00BB2299" w:rsidRDefault="00D75B65" w:rsidP="00BB2299">
            <w:pPr>
              <w:spacing w:after="0" w:line="240" w:lineRule="auto"/>
              <w:rPr>
                <w:rFonts w:ascii="Times New Roman" w:hAnsi="Times New Roman"/>
                <w:color w:val="auto"/>
              </w:rPr>
            </w:pPr>
          </w:p>
        </w:tc>
        <w:tc>
          <w:tcPr>
            <w:tcW w:w="3969" w:type="dxa"/>
            <w:gridSpan w:val="3"/>
            <w:shd w:val="clear" w:color="auto" w:fill="9CC2E5" w:themeFill="accent1" w:themeFillTint="99"/>
          </w:tcPr>
          <w:p w14:paraId="62C3BC09" w14:textId="77777777" w:rsidR="00D75B65" w:rsidRPr="00BB2299" w:rsidRDefault="00D75B65" w:rsidP="00BB22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Powierzchnia</w:t>
            </w:r>
          </w:p>
        </w:tc>
        <w:tc>
          <w:tcPr>
            <w:tcW w:w="7942" w:type="dxa"/>
            <w:gridSpan w:val="5"/>
            <w:shd w:val="clear" w:color="auto" w:fill="FFFFFF" w:themeFill="background1"/>
          </w:tcPr>
          <w:p w14:paraId="0A11888E" w14:textId="77777777" w:rsidR="00D75B65" w:rsidRPr="00BB2299" w:rsidRDefault="00D75B65" w:rsidP="00BB229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vertAlign w:val="superscript"/>
              </w:rPr>
            </w:pPr>
            <w:r w:rsidRPr="00BB2299">
              <w:rPr>
                <w:rFonts w:ascii="Times New Roman" w:hAnsi="Times New Roman"/>
                <w:color w:val="auto"/>
              </w:rPr>
              <w:t>22 892 km</w:t>
            </w:r>
            <w:r w:rsidRPr="00BB2299">
              <w:rPr>
                <w:rFonts w:ascii="Times New Roman" w:hAnsi="Times New Roman"/>
                <w:color w:val="auto"/>
                <w:vertAlign w:val="superscript"/>
              </w:rPr>
              <w:t>2</w:t>
            </w:r>
          </w:p>
        </w:tc>
      </w:tr>
      <w:tr w:rsidR="00BB2299" w:rsidRPr="00BB2299" w14:paraId="677610B2" w14:textId="77777777" w:rsidTr="00BB2299">
        <w:trPr>
          <w:trHeight w:val="112"/>
          <w:jc w:val="center"/>
        </w:trPr>
        <w:tc>
          <w:tcPr>
            <w:cnfStyle w:val="001000000000" w:firstRow="0" w:lastRow="0" w:firstColumn="1" w:lastColumn="0" w:oddVBand="0" w:evenVBand="0" w:oddHBand="0" w:evenHBand="0" w:firstRowFirstColumn="0" w:firstRowLastColumn="0" w:lastRowFirstColumn="0" w:lastRowLastColumn="0"/>
            <w:tcW w:w="14741" w:type="dxa"/>
            <w:gridSpan w:val="9"/>
          </w:tcPr>
          <w:p w14:paraId="50F52415" w14:textId="77777777" w:rsidR="00D75B65" w:rsidRPr="00BB2299" w:rsidRDefault="00D75B65" w:rsidP="00BB2299">
            <w:pPr>
              <w:spacing w:after="0" w:line="240" w:lineRule="auto"/>
              <w:rPr>
                <w:rFonts w:ascii="Times New Roman" w:hAnsi="Times New Roman"/>
                <w:b w:val="0"/>
                <w:bCs w:val="0"/>
                <w:i/>
                <w:iCs/>
                <w:color w:val="auto"/>
              </w:rPr>
            </w:pPr>
            <w:r w:rsidRPr="00BB2299">
              <w:rPr>
                <w:rFonts w:ascii="Times New Roman" w:hAnsi="Times New Roman"/>
                <w:b w:val="0"/>
                <w:bCs w:val="0"/>
                <w:i/>
                <w:iCs/>
                <w:color w:val="auto"/>
              </w:rPr>
              <w:t>Źródło: GUS BDL (Główny Urząd Statystyczny Bank Danych Lokalnych)</w:t>
            </w:r>
          </w:p>
        </w:tc>
      </w:tr>
      <w:tr w:rsidR="00BB2299" w:rsidRPr="00BB2299" w14:paraId="2C442024" w14:textId="77777777" w:rsidTr="00BB229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376B590D" w14:textId="77777777" w:rsidR="00D75B65" w:rsidRPr="00BB2299" w:rsidRDefault="00D75B65" w:rsidP="00BB2299">
            <w:pPr>
              <w:spacing w:after="0" w:line="240" w:lineRule="auto"/>
              <w:jc w:val="center"/>
              <w:rPr>
                <w:rFonts w:ascii="Times New Roman" w:hAnsi="Times New Roman"/>
                <w:b w:val="0"/>
                <w:color w:val="auto"/>
              </w:rPr>
            </w:pPr>
            <w:r w:rsidRPr="00BB2299">
              <w:rPr>
                <w:rFonts w:ascii="Times New Roman" w:hAnsi="Times New Roman"/>
                <w:color w:val="auto"/>
              </w:rPr>
              <w:t>DEMOGRAFIA</w:t>
            </w:r>
          </w:p>
        </w:tc>
      </w:tr>
      <w:tr w:rsidR="00BB2299" w:rsidRPr="00BB2299" w14:paraId="615DD018" w14:textId="77777777" w:rsidTr="00BB2299">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C91C571" w14:textId="77777777" w:rsidR="00D75B65" w:rsidRPr="00BB2299" w:rsidRDefault="00D75B65" w:rsidP="00BB2299">
            <w:pPr>
              <w:spacing w:after="0" w:line="240" w:lineRule="auto"/>
              <w:jc w:val="center"/>
              <w:rPr>
                <w:rFonts w:ascii="Times New Roman" w:hAnsi="Times New Roman"/>
                <w:b w:val="0"/>
                <w:color w:val="auto"/>
                <w:lang w:eastAsia="pl-PL"/>
              </w:rPr>
            </w:pPr>
            <w:r w:rsidRPr="00BB2299">
              <w:rPr>
                <w:rFonts w:ascii="Times New Roman" w:hAnsi="Times New Roman"/>
                <w:color w:val="auto"/>
                <w:lang w:eastAsia="pl-PL"/>
              </w:rPr>
              <w:t>Treść</w:t>
            </w:r>
          </w:p>
        </w:tc>
        <w:tc>
          <w:tcPr>
            <w:tcW w:w="3969" w:type="dxa"/>
            <w:gridSpan w:val="3"/>
            <w:shd w:val="clear" w:color="auto" w:fill="9CC2E5" w:themeFill="accent1" w:themeFillTint="99"/>
          </w:tcPr>
          <w:p w14:paraId="0F505B04" w14:textId="77777777" w:rsidR="00D75B65" w:rsidRPr="00BB2299" w:rsidRDefault="00D75B65" w:rsidP="00BB2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2017 r.</w:t>
            </w:r>
          </w:p>
        </w:tc>
        <w:tc>
          <w:tcPr>
            <w:tcW w:w="3969" w:type="dxa"/>
            <w:gridSpan w:val="3"/>
            <w:shd w:val="clear" w:color="auto" w:fill="9CC2E5" w:themeFill="accent1" w:themeFillTint="99"/>
          </w:tcPr>
          <w:p w14:paraId="18C06F90" w14:textId="77777777" w:rsidR="00D75B65" w:rsidRPr="00BB2299" w:rsidRDefault="00D75B65" w:rsidP="00BB2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2018 r.</w:t>
            </w:r>
          </w:p>
        </w:tc>
        <w:tc>
          <w:tcPr>
            <w:tcW w:w="3973" w:type="dxa"/>
            <w:gridSpan w:val="2"/>
            <w:shd w:val="clear" w:color="auto" w:fill="9CC2E5" w:themeFill="accent1" w:themeFillTint="99"/>
          </w:tcPr>
          <w:p w14:paraId="2984A940" w14:textId="77777777" w:rsidR="00D75B65" w:rsidRPr="00BB2299" w:rsidRDefault="00D75B65" w:rsidP="00BB2299">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2019 r.</w:t>
            </w:r>
          </w:p>
        </w:tc>
      </w:tr>
      <w:tr w:rsidR="00BB2299" w:rsidRPr="00BB2299" w14:paraId="252123C9"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7050C5F" w14:textId="77777777" w:rsidR="00D75B65" w:rsidRPr="00231865" w:rsidRDefault="00D75B65" w:rsidP="00BB2299">
            <w:pPr>
              <w:spacing w:after="0" w:line="240" w:lineRule="auto"/>
              <w:rPr>
                <w:rFonts w:ascii="Times New Roman" w:hAnsi="Times New Roman"/>
                <w:color w:val="auto"/>
                <w:lang w:eastAsia="pl-PL"/>
              </w:rPr>
            </w:pPr>
            <w:r w:rsidRPr="00231865">
              <w:rPr>
                <w:rFonts w:ascii="Times New Roman" w:hAnsi="Times New Roman"/>
                <w:color w:val="auto"/>
                <w:lang w:eastAsia="pl-PL"/>
              </w:rPr>
              <w:t>Populacja ogółem</w:t>
            </w:r>
          </w:p>
        </w:tc>
        <w:tc>
          <w:tcPr>
            <w:tcW w:w="3969" w:type="dxa"/>
            <w:gridSpan w:val="3"/>
            <w:shd w:val="clear" w:color="auto" w:fill="FFFFFF" w:themeFill="background1"/>
          </w:tcPr>
          <w:p w14:paraId="47B888AE"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1 705 533</w:t>
            </w:r>
          </w:p>
        </w:tc>
        <w:tc>
          <w:tcPr>
            <w:tcW w:w="3969" w:type="dxa"/>
            <w:gridSpan w:val="3"/>
            <w:shd w:val="clear" w:color="auto" w:fill="FFFFFF" w:themeFill="background1"/>
          </w:tcPr>
          <w:p w14:paraId="0D6051D5"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1 701 030</w:t>
            </w:r>
          </w:p>
        </w:tc>
        <w:tc>
          <w:tcPr>
            <w:tcW w:w="3973" w:type="dxa"/>
            <w:gridSpan w:val="2"/>
            <w:shd w:val="clear" w:color="auto" w:fill="FFFFFF" w:themeFill="background1"/>
          </w:tcPr>
          <w:p w14:paraId="43300AF5"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1 696 193</w:t>
            </w:r>
          </w:p>
        </w:tc>
      </w:tr>
      <w:tr w:rsidR="00BB2299" w:rsidRPr="00BB2299" w14:paraId="114DCC73" w14:textId="77777777" w:rsidTr="00231865">
        <w:trPr>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03669424" w14:textId="77777777" w:rsidR="00D75B65" w:rsidRPr="00231865" w:rsidRDefault="00D75B65" w:rsidP="00BB2299">
            <w:pPr>
              <w:spacing w:after="0" w:line="240" w:lineRule="auto"/>
              <w:rPr>
                <w:rFonts w:ascii="Times New Roman" w:hAnsi="Times New Roman"/>
                <w:color w:val="auto"/>
              </w:rPr>
            </w:pPr>
            <w:r w:rsidRPr="00231865">
              <w:rPr>
                <w:rFonts w:ascii="Times New Roman" w:hAnsi="Times New Roman"/>
                <w:color w:val="auto"/>
                <w:lang w:eastAsia="pl-PL"/>
              </w:rPr>
              <w:t>w tym:</w:t>
            </w:r>
          </w:p>
        </w:tc>
      </w:tr>
      <w:tr w:rsidR="00BB2299" w:rsidRPr="00BB2299" w14:paraId="15980F5D"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0A9010F" w14:textId="77777777" w:rsidR="00D75B65" w:rsidRPr="00231865" w:rsidRDefault="00D75B65" w:rsidP="00BB2299">
            <w:pPr>
              <w:spacing w:after="0" w:line="240" w:lineRule="auto"/>
              <w:rPr>
                <w:rFonts w:ascii="Times New Roman" w:hAnsi="Times New Roman"/>
                <w:color w:val="auto"/>
              </w:rPr>
            </w:pPr>
            <w:r w:rsidRPr="00231865">
              <w:rPr>
                <w:rFonts w:ascii="Times New Roman" w:hAnsi="Times New Roman"/>
                <w:color w:val="auto"/>
                <w:lang w:eastAsia="pl-PL"/>
              </w:rPr>
              <w:t>w wieku 60 lat i więcej</w:t>
            </w:r>
          </w:p>
        </w:tc>
        <w:tc>
          <w:tcPr>
            <w:tcW w:w="3969" w:type="dxa"/>
            <w:gridSpan w:val="3"/>
            <w:shd w:val="clear" w:color="auto" w:fill="FFFFFF" w:themeFill="background1"/>
          </w:tcPr>
          <w:p w14:paraId="1E9A9FE0" w14:textId="77777777" w:rsidR="00D75B65" w:rsidRPr="00BB2299" w:rsidRDefault="00D75B65" w:rsidP="00BB22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3969" w:type="dxa"/>
            <w:gridSpan w:val="3"/>
            <w:shd w:val="clear" w:color="auto" w:fill="FFFFFF" w:themeFill="background1"/>
          </w:tcPr>
          <w:p w14:paraId="2CF41EEE" w14:textId="77777777" w:rsidR="00D75B65" w:rsidRPr="00BB2299" w:rsidRDefault="00D75B65" w:rsidP="00BB22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c>
          <w:tcPr>
            <w:tcW w:w="3973" w:type="dxa"/>
            <w:gridSpan w:val="2"/>
            <w:shd w:val="clear" w:color="auto" w:fill="FFFFFF" w:themeFill="background1"/>
          </w:tcPr>
          <w:p w14:paraId="2C536009" w14:textId="77777777" w:rsidR="00D75B65" w:rsidRPr="00BB2299" w:rsidRDefault="00D75B65" w:rsidP="00BB22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tc>
      </w:tr>
      <w:tr w:rsidR="00BB2299" w:rsidRPr="00BB2299" w14:paraId="7E3D24AD"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5923150" w14:textId="77777777" w:rsidR="00D75B65" w:rsidRPr="00231865" w:rsidRDefault="00D75B65" w:rsidP="00BB2299">
            <w:pPr>
              <w:spacing w:after="0" w:line="240" w:lineRule="auto"/>
              <w:rPr>
                <w:rFonts w:ascii="Times New Roman" w:hAnsi="Times New Roman"/>
                <w:color w:val="auto"/>
                <w:lang w:eastAsia="pl-PL"/>
              </w:rPr>
            </w:pPr>
            <w:r w:rsidRPr="00231865">
              <w:rPr>
                <w:rFonts w:ascii="Times New Roman" w:hAnsi="Times New Roman"/>
                <w:color w:val="auto"/>
                <w:lang w:eastAsia="pl-PL"/>
              </w:rPr>
              <w:t>60–64 lata</w:t>
            </w:r>
          </w:p>
        </w:tc>
        <w:tc>
          <w:tcPr>
            <w:tcW w:w="3969" w:type="dxa"/>
            <w:gridSpan w:val="3"/>
            <w:shd w:val="clear" w:color="auto" w:fill="FFFFFF" w:themeFill="background1"/>
            <w:vAlign w:val="bottom"/>
          </w:tcPr>
          <w:p w14:paraId="547A8B53"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135 706</w:t>
            </w:r>
          </w:p>
        </w:tc>
        <w:tc>
          <w:tcPr>
            <w:tcW w:w="3969" w:type="dxa"/>
            <w:gridSpan w:val="3"/>
            <w:shd w:val="clear" w:color="auto" w:fill="FFFFFF" w:themeFill="background1"/>
            <w:vAlign w:val="bottom"/>
          </w:tcPr>
          <w:p w14:paraId="7C3FD101"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135 714</w:t>
            </w:r>
          </w:p>
        </w:tc>
        <w:tc>
          <w:tcPr>
            <w:tcW w:w="3973" w:type="dxa"/>
            <w:gridSpan w:val="2"/>
            <w:shd w:val="clear" w:color="auto" w:fill="FFFFFF" w:themeFill="background1"/>
            <w:vAlign w:val="bottom"/>
          </w:tcPr>
          <w:p w14:paraId="37421C1C"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134 399</w:t>
            </w:r>
          </w:p>
        </w:tc>
      </w:tr>
      <w:tr w:rsidR="00BB2299" w:rsidRPr="00BB2299" w14:paraId="0F2595EC"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AB4FE22" w14:textId="77777777" w:rsidR="00D75B65" w:rsidRPr="00231865" w:rsidRDefault="00D75B65" w:rsidP="00BB2299">
            <w:pPr>
              <w:spacing w:after="0" w:line="240" w:lineRule="auto"/>
              <w:rPr>
                <w:rFonts w:ascii="Times New Roman" w:hAnsi="Times New Roman"/>
                <w:color w:val="auto"/>
                <w:lang w:eastAsia="pl-PL"/>
              </w:rPr>
            </w:pPr>
            <w:r w:rsidRPr="00231865">
              <w:rPr>
                <w:rFonts w:ascii="Times New Roman" w:hAnsi="Times New Roman"/>
                <w:color w:val="auto"/>
                <w:lang w:eastAsia="pl-PL"/>
              </w:rPr>
              <w:t>65–69</w:t>
            </w:r>
          </w:p>
        </w:tc>
        <w:tc>
          <w:tcPr>
            <w:tcW w:w="3969" w:type="dxa"/>
            <w:gridSpan w:val="3"/>
            <w:shd w:val="clear" w:color="auto" w:fill="FFFFFF" w:themeFill="background1"/>
            <w:vAlign w:val="bottom"/>
          </w:tcPr>
          <w:p w14:paraId="5C860670"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116 227</w:t>
            </w:r>
          </w:p>
        </w:tc>
        <w:tc>
          <w:tcPr>
            <w:tcW w:w="3969" w:type="dxa"/>
            <w:gridSpan w:val="3"/>
            <w:shd w:val="clear" w:color="auto" w:fill="FFFFFF" w:themeFill="background1"/>
            <w:vAlign w:val="bottom"/>
          </w:tcPr>
          <w:p w14:paraId="1CB1D759"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119 024</w:t>
            </w:r>
          </w:p>
        </w:tc>
        <w:tc>
          <w:tcPr>
            <w:tcW w:w="3973" w:type="dxa"/>
            <w:gridSpan w:val="2"/>
            <w:shd w:val="clear" w:color="auto" w:fill="FFFFFF" w:themeFill="background1"/>
            <w:vAlign w:val="bottom"/>
          </w:tcPr>
          <w:p w14:paraId="6D9F30F2"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120 637</w:t>
            </w:r>
          </w:p>
        </w:tc>
      </w:tr>
      <w:tr w:rsidR="00BB2299" w:rsidRPr="00BB2299" w14:paraId="24F5495B"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2FF548B1" w14:textId="77777777" w:rsidR="00D75B65" w:rsidRPr="00231865" w:rsidRDefault="00D75B65" w:rsidP="00BB2299">
            <w:pPr>
              <w:spacing w:after="0" w:line="240" w:lineRule="auto"/>
              <w:rPr>
                <w:rFonts w:ascii="Times New Roman" w:hAnsi="Times New Roman"/>
                <w:color w:val="auto"/>
                <w:lang w:eastAsia="pl-PL"/>
              </w:rPr>
            </w:pPr>
            <w:r w:rsidRPr="00231865">
              <w:rPr>
                <w:rFonts w:ascii="Times New Roman" w:hAnsi="Times New Roman"/>
                <w:color w:val="auto"/>
                <w:lang w:eastAsia="pl-PL"/>
              </w:rPr>
              <w:t>70–74</w:t>
            </w:r>
          </w:p>
        </w:tc>
        <w:tc>
          <w:tcPr>
            <w:tcW w:w="3969" w:type="dxa"/>
            <w:gridSpan w:val="3"/>
            <w:shd w:val="clear" w:color="auto" w:fill="FFFFFF" w:themeFill="background1"/>
            <w:vAlign w:val="bottom"/>
          </w:tcPr>
          <w:p w14:paraId="6FF26C7D"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62 095</w:t>
            </w:r>
          </w:p>
        </w:tc>
        <w:tc>
          <w:tcPr>
            <w:tcW w:w="3969" w:type="dxa"/>
            <w:gridSpan w:val="3"/>
            <w:shd w:val="clear" w:color="auto" w:fill="FFFFFF" w:themeFill="background1"/>
            <w:vAlign w:val="bottom"/>
          </w:tcPr>
          <w:p w14:paraId="4238EE79"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71 624</w:t>
            </w:r>
          </w:p>
        </w:tc>
        <w:tc>
          <w:tcPr>
            <w:tcW w:w="3973" w:type="dxa"/>
            <w:gridSpan w:val="2"/>
            <w:shd w:val="clear" w:color="auto" w:fill="FFFFFF" w:themeFill="background1"/>
            <w:vAlign w:val="bottom"/>
          </w:tcPr>
          <w:p w14:paraId="1D216390"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81 917</w:t>
            </w:r>
          </w:p>
        </w:tc>
      </w:tr>
      <w:tr w:rsidR="00BB2299" w:rsidRPr="00BB2299" w14:paraId="62B1FB79"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10BEAD1" w14:textId="77777777" w:rsidR="00D75B65" w:rsidRPr="00231865" w:rsidRDefault="00D75B65" w:rsidP="00BB2299">
            <w:pPr>
              <w:spacing w:after="0" w:line="240" w:lineRule="auto"/>
              <w:rPr>
                <w:rFonts w:ascii="Times New Roman" w:hAnsi="Times New Roman"/>
                <w:color w:val="auto"/>
                <w:lang w:eastAsia="pl-PL"/>
              </w:rPr>
            </w:pPr>
            <w:r w:rsidRPr="00231865">
              <w:rPr>
                <w:rFonts w:ascii="Times New Roman" w:hAnsi="Times New Roman"/>
                <w:color w:val="auto"/>
                <w:lang w:eastAsia="pl-PL"/>
              </w:rPr>
              <w:t>75–79</w:t>
            </w:r>
          </w:p>
        </w:tc>
        <w:tc>
          <w:tcPr>
            <w:tcW w:w="3969" w:type="dxa"/>
            <w:gridSpan w:val="3"/>
            <w:shd w:val="clear" w:color="auto" w:fill="FFFFFF" w:themeFill="background1"/>
            <w:vAlign w:val="bottom"/>
          </w:tcPr>
          <w:p w14:paraId="713C4E0E"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43 283</w:t>
            </w:r>
          </w:p>
        </w:tc>
        <w:tc>
          <w:tcPr>
            <w:tcW w:w="3969" w:type="dxa"/>
            <w:gridSpan w:val="3"/>
            <w:shd w:val="clear" w:color="auto" w:fill="FFFFFF" w:themeFill="background1"/>
            <w:vAlign w:val="bottom"/>
          </w:tcPr>
          <w:p w14:paraId="318B7249"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42 211</w:t>
            </w:r>
          </w:p>
        </w:tc>
        <w:tc>
          <w:tcPr>
            <w:tcW w:w="3973" w:type="dxa"/>
            <w:gridSpan w:val="2"/>
            <w:shd w:val="clear" w:color="auto" w:fill="FFFFFF" w:themeFill="background1"/>
            <w:vAlign w:val="bottom"/>
          </w:tcPr>
          <w:p w14:paraId="4DAC3675"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41 617</w:t>
            </w:r>
          </w:p>
        </w:tc>
      </w:tr>
      <w:tr w:rsidR="00BB2299" w:rsidRPr="00BB2299" w14:paraId="263FE98E"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61092A0C" w14:textId="77777777" w:rsidR="00D75B65" w:rsidRPr="00231865" w:rsidRDefault="00D75B65" w:rsidP="00BB2299">
            <w:pPr>
              <w:spacing w:after="0" w:line="240" w:lineRule="auto"/>
              <w:rPr>
                <w:rFonts w:ascii="Times New Roman" w:hAnsi="Times New Roman"/>
                <w:color w:val="auto"/>
                <w:lang w:eastAsia="pl-PL"/>
              </w:rPr>
            </w:pPr>
            <w:r w:rsidRPr="00231865">
              <w:rPr>
                <w:rFonts w:ascii="Times New Roman" w:hAnsi="Times New Roman"/>
                <w:color w:val="auto"/>
                <w:lang w:eastAsia="pl-PL"/>
              </w:rPr>
              <w:t>80–84</w:t>
            </w:r>
          </w:p>
        </w:tc>
        <w:tc>
          <w:tcPr>
            <w:tcW w:w="3969" w:type="dxa"/>
            <w:gridSpan w:val="3"/>
            <w:shd w:val="clear" w:color="auto" w:fill="FFFFFF" w:themeFill="background1"/>
            <w:vAlign w:val="bottom"/>
          </w:tcPr>
          <w:p w14:paraId="379EE713"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36 252</w:t>
            </w:r>
          </w:p>
        </w:tc>
        <w:tc>
          <w:tcPr>
            <w:tcW w:w="3969" w:type="dxa"/>
            <w:gridSpan w:val="3"/>
            <w:shd w:val="clear" w:color="auto" w:fill="FFFFFF" w:themeFill="background1"/>
            <w:vAlign w:val="bottom"/>
          </w:tcPr>
          <w:p w14:paraId="6613A023"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36 020</w:t>
            </w:r>
          </w:p>
        </w:tc>
        <w:tc>
          <w:tcPr>
            <w:tcW w:w="3973" w:type="dxa"/>
            <w:gridSpan w:val="2"/>
            <w:shd w:val="clear" w:color="auto" w:fill="FFFFFF" w:themeFill="background1"/>
            <w:vAlign w:val="bottom"/>
          </w:tcPr>
          <w:p w14:paraId="19F34F8F"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35 533</w:t>
            </w:r>
          </w:p>
        </w:tc>
      </w:tr>
      <w:tr w:rsidR="00BB2299" w:rsidRPr="00BB2299" w14:paraId="6475C76B"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7CEFC6CC" w14:textId="77777777" w:rsidR="00D75B65" w:rsidRPr="00231865" w:rsidRDefault="00D75B65" w:rsidP="00BB2299">
            <w:pPr>
              <w:spacing w:after="0" w:line="240" w:lineRule="auto"/>
              <w:rPr>
                <w:rFonts w:ascii="Times New Roman" w:hAnsi="Times New Roman"/>
                <w:color w:val="auto"/>
                <w:lang w:eastAsia="pl-PL"/>
              </w:rPr>
            </w:pPr>
            <w:r w:rsidRPr="00231865">
              <w:rPr>
                <w:rFonts w:ascii="Times New Roman" w:hAnsi="Times New Roman"/>
                <w:color w:val="auto"/>
                <w:lang w:eastAsia="pl-PL"/>
              </w:rPr>
              <w:t>85 lat i więcej</w:t>
            </w:r>
          </w:p>
        </w:tc>
        <w:tc>
          <w:tcPr>
            <w:tcW w:w="3969" w:type="dxa"/>
            <w:gridSpan w:val="3"/>
            <w:shd w:val="clear" w:color="auto" w:fill="FFFFFF" w:themeFill="background1"/>
            <w:vAlign w:val="bottom"/>
          </w:tcPr>
          <w:p w14:paraId="15AA74A0"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31 406</w:t>
            </w:r>
          </w:p>
        </w:tc>
        <w:tc>
          <w:tcPr>
            <w:tcW w:w="3969" w:type="dxa"/>
            <w:gridSpan w:val="3"/>
            <w:shd w:val="clear" w:color="auto" w:fill="FFFFFF" w:themeFill="background1"/>
            <w:vAlign w:val="bottom"/>
          </w:tcPr>
          <w:p w14:paraId="4748E2FC"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32 241</w:t>
            </w:r>
          </w:p>
        </w:tc>
        <w:tc>
          <w:tcPr>
            <w:tcW w:w="3973" w:type="dxa"/>
            <w:gridSpan w:val="2"/>
            <w:shd w:val="clear" w:color="auto" w:fill="FFFFFF" w:themeFill="background1"/>
            <w:vAlign w:val="bottom"/>
          </w:tcPr>
          <w:p w14:paraId="5238B49D" w14:textId="34FB57FC" w:rsidR="002737B9" w:rsidRPr="00BB2299" w:rsidRDefault="00D75B65" w:rsidP="002737B9">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33</w:t>
            </w:r>
            <w:r w:rsidR="002737B9">
              <w:rPr>
                <w:rFonts w:ascii="Times New Roman" w:hAnsi="Times New Roman"/>
                <w:color w:val="auto"/>
              </w:rPr>
              <w:t> </w:t>
            </w:r>
            <w:r w:rsidRPr="00BB2299">
              <w:rPr>
                <w:rFonts w:ascii="Times New Roman" w:hAnsi="Times New Roman"/>
                <w:color w:val="auto"/>
              </w:rPr>
              <w:t>317</w:t>
            </w:r>
          </w:p>
        </w:tc>
      </w:tr>
      <w:tr w:rsidR="00BB2299" w:rsidRPr="00BB2299" w14:paraId="243955FF"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157052A7" w14:textId="77777777" w:rsidR="00D75B65" w:rsidRPr="00231865" w:rsidRDefault="00D75B65" w:rsidP="00BB2299">
            <w:pPr>
              <w:spacing w:after="0" w:line="240" w:lineRule="auto"/>
              <w:rPr>
                <w:rFonts w:ascii="Times New Roman" w:hAnsi="Times New Roman"/>
                <w:bCs w:val="0"/>
                <w:color w:val="auto"/>
                <w:lang w:eastAsia="pl-PL"/>
              </w:rPr>
            </w:pPr>
            <w:r w:rsidRPr="00231865">
              <w:rPr>
                <w:rFonts w:ascii="Times New Roman" w:hAnsi="Times New Roman"/>
                <w:color w:val="auto"/>
                <w:lang w:eastAsia="pl-PL"/>
              </w:rPr>
              <w:t>Przeciętne dalsze trwanie życia w wieku 60 lat:</w:t>
            </w:r>
          </w:p>
          <w:p w14:paraId="111F9109" w14:textId="77777777" w:rsidR="00D75B65" w:rsidRPr="00231865" w:rsidRDefault="00D75B65" w:rsidP="008C71A9">
            <w:pPr>
              <w:pStyle w:val="Akapitzlist"/>
              <w:numPr>
                <w:ilvl w:val="0"/>
                <w:numId w:val="240"/>
              </w:numPr>
              <w:spacing w:after="0" w:line="240" w:lineRule="auto"/>
              <w:ind w:left="306" w:hanging="284"/>
              <w:rPr>
                <w:rFonts w:ascii="Times New Roman" w:hAnsi="Times New Roman"/>
                <w:bCs w:val="0"/>
                <w:color w:val="auto"/>
                <w:lang w:eastAsia="pl-PL"/>
              </w:rPr>
            </w:pPr>
            <w:r w:rsidRPr="00231865">
              <w:rPr>
                <w:rFonts w:ascii="Times New Roman" w:hAnsi="Times New Roman"/>
                <w:bCs w:val="0"/>
                <w:color w:val="auto"/>
                <w:lang w:eastAsia="pl-PL"/>
              </w:rPr>
              <w:t>Kobiety</w:t>
            </w:r>
          </w:p>
          <w:p w14:paraId="030BBAE0" w14:textId="77777777" w:rsidR="00D75B65" w:rsidRPr="00231865" w:rsidRDefault="00D75B65" w:rsidP="008C71A9">
            <w:pPr>
              <w:pStyle w:val="Akapitzlist"/>
              <w:numPr>
                <w:ilvl w:val="0"/>
                <w:numId w:val="240"/>
              </w:numPr>
              <w:spacing w:after="0" w:line="240" w:lineRule="auto"/>
              <w:ind w:left="306" w:hanging="284"/>
              <w:rPr>
                <w:rFonts w:ascii="Times New Roman" w:hAnsi="Times New Roman"/>
                <w:color w:val="auto"/>
                <w:lang w:eastAsia="pl-PL"/>
              </w:rPr>
            </w:pPr>
            <w:r w:rsidRPr="00231865">
              <w:rPr>
                <w:rFonts w:ascii="Times New Roman" w:hAnsi="Times New Roman"/>
                <w:bCs w:val="0"/>
                <w:color w:val="auto"/>
                <w:lang w:eastAsia="pl-PL"/>
              </w:rPr>
              <w:t>Mężczyźni</w:t>
            </w:r>
          </w:p>
        </w:tc>
        <w:tc>
          <w:tcPr>
            <w:tcW w:w="3969" w:type="dxa"/>
            <w:gridSpan w:val="3"/>
            <w:shd w:val="clear" w:color="auto" w:fill="FFFFFF" w:themeFill="background1"/>
          </w:tcPr>
          <w:p w14:paraId="740CC41E"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p w14:paraId="28CC9B34"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p w14:paraId="4C6ADE73"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23,9</w:t>
            </w:r>
          </w:p>
          <w:p w14:paraId="3AE4C356"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18,7</w:t>
            </w:r>
          </w:p>
        </w:tc>
        <w:tc>
          <w:tcPr>
            <w:tcW w:w="3969" w:type="dxa"/>
            <w:gridSpan w:val="3"/>
            <w:shd w:val="clear" w:color="auto" w:fill="FFFFFF" w:themeFill="background1"/>
          </w:tcPr>
          <w:p w14:paraId="752680BF"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p w14:paraId="61261CAA"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p w14:paraId="0E269A93"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23,9</w:t>
            </w:r>
          </w:p>
          <w:p w14:paraId="7A04B3B1"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18,8</w:t>
            </w:r>
          </w:p>
        </w:tc>
        <w:tc>
          <w:tcPr>
            <w:tcW w:w="3973" w:type="dxa"/>
            <w:gridSpan w:val="2"/>
            <w:shd w:val="clear" w:color="auto" w:fill="FFFFFF" w:themeFill="background1"/>
          </w:tcPr>
          <w:p w14:paraId="216E99A5"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p w14:paraId="2B090AA9"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p>
          <w:p w14:paraId="14EAC652"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vertAlign w:val="superscript"/>
              </w:rPr>
            </w:pPr>
            <w:r w:rsidRPr="00BB2299">
              <w:rPr>
                <w:rFonts w:ascii="Times New Roman" w:hAnsi="Times New Roman"/>
                <w:color w:val="auto"/>
              </w:rPr>
              <w:t>bd</w:t>
            </w:r>
            <w:r w:rsidRPr="00BB2299">
              <w:rPr>
                <w:rFonts w:ascii="Times New Roman" w:hAnsi="Times New Roman"/>
                <w:color w:val="auto"/>
                <w:vertAlign w:val="superscript"/>
              </w:rPr>
              <w:t>*</w:t>
            </w:r>
          </w:p>
          <w:p w14:paraId="0DC6F1DD"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vertAlign w:val="superscript"/>
              </w:rPr>
            </w:pPr>
            <w:r w:rsidRPr="00BB2299">
              <w:rPr>
                <w:rFonts w:ascii="Times New Roman" w:hAnsi="Times New Roman"/>
                <w:color w:val="auto"/>
              </w:rPr>
              <w:t>bd</w:t>
            </w:r>
            <w:r w:rsidRPr="00BB2299">
              <w:rPr>
                <w:rFonts w:ascii="Times New Roman" w:hAnsi="Times New Roman"/>
                <w:color w:val="auto"/>
                <w:vertAlign w:val="superscript"/>
              </w:rPr>
              <w:t>*</w:t>
            </w:r>
          </w:p>
        </w:tc>
      </w:tr>
      <w:tr w:rsidR="00BB2299" w:rsidRPr="00BB2299" w14:paraId="5CDD4F7A"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46A4DFA5" w14:textId="77777777" w:rsidR="00D75B65" w:rsidRPr="00231865" w:rsidRDefault="00D75B65" w:rsidP="00BB2299">
            <w:pPr>
              <w:spacing w:after="0" w:line="240" w:lineRule="auto"/>
              <w:rPr>
                <w:rFonts w:ascii="Times New Roman" w:hAnsi="Times New Roman"/>
                <w:color w:val="auto"/>
                <w:lang w:eastAsia="pl-PL"/>
              </w:rPr>
            </w:pPr>
            <w:r w:rsidRPr="00231865">
              <w:rPr>
                <w:rFonts w:ascii="Times New Roman" w:hAnsi="Times New Roman"/>
                <w:color w:val="auto"/>
                <w:lang w:eastAsia="pl-PL"/>
              </w:rPr>
              <w:t>Współczynnik feminizacji</w:t>
            </w:r>
          </w:p>
        </w:tc>
        <w:tc>
          <w:tcPr>
            <w:tcW w:w="3969" w:type="dxa"/>
            <w:gridSpan w:val="3"/>
            <w:shd w:val="clear" w:color="auto" w:fill="FFFFFF" w:themeFill="background1"/>
          </w:tcPr>
          <w:p w14:paraId="3E2485C6"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106</w:t>
            </w:r>
          </w:p>
        </w:tc>
        <w:tc>
          <w:tcPr>
            <w:tcW w:w="3969" w:type="dxa"/>
            <w:gridSpan w:val="3"/>
            <w:shd w:val="clear" w:color="auto" w:fill="FFFFFF" w:themeFill="background1"/>
          </w:tcPr>
          <w:p w14:paraId="1A2CC5B0"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106</w:t>
            </w:r>
          </w:p>
        </w:tc>
        <w:tc>
          <w:tcPr>
            <w:tcW w:w="3973" w:type="dxa"/>
            <w:gridSpan w:val="2"/>
            <w:shd w:val="clear" w:color="auto" w:fill="FFFFFF" w:themeFill="background1"/>
          </w:tcPr>
          <w:p w14:paraId="42A8B2BA"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106</w:t>
            </w:r>
          </w:p>
        </w:tc>
      </w:tr>
      <w:tr w:rsidR="00BB2299" w:rsidRPr="00BB2299" w14:paraId="6B6E9419"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13EE738" w14:textId="77777777" w:rsidR="00D75B65" w:rsidRPr="00231865" w:rsidRDefault="00D75B65" w:rsidP="00BB2299">
            <w:pPr>
              <w:spacing w:after="0" w:line="240" w:lineRule="auto"/>
              <w:rPr>
                <w:rFonts w:ascii="Times New Roman" w:hAnsi="Times New Roman"/>
                <w:color w:val="auto"/>
                <w:lang w:eastAsia="pl-PL"/>
              </w:rPr>
            </w:pPr>
            <w:r w:rsidRPr="00231865">
              <w:rPr>
                <w:rFonts w:ascii="Times New Roman" w:hAnsi="Times New Roman"/>
                <w:color w:val="auto"/>
                <w:lang w:eastAsia="pl-PL"/>
              </w:rPr>
              <w:t>Współczynnik obciążenia demograficznego osobami starszymi</w:t>
            </w:r>
          </w:p>
        </w:tc>
        <w:tc>
          <w:tcPr>
            <w:tcW w:w="3969" w:type="dxa"/>
            <w:gridSpan w:val="3"/>
            <w:shd w:val="clear" w:color="auto" w:fill="FFFFFF" w:themeFill="background1"/>
          </w:tcPr>
          <w:p w14:paraId="55391866"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24,7</w:t>
            </w:r>
          </w:p>
        </w:tc>
        <w:tc>
          <w:tcPr>
            <w:tcW w:w="3969" w:type="dxa"/>
            <w:gridSpan w:val="3"/>
            <w:shd w:val="clear" w:color="auto" w:fill="FFFFFF" w:themeFill="background1"/>
          </w:tcPr>
          <w:p w14:paraId="0A69DEB8"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26,1</w:t>
            </w:r>
          </w:p>
        </w:tc>
        <w:tc>
          <w:tcPr>
            <w:tcW w:w="3973" w:type="dxa"/>
            <w:gridSpan w:val="2"/>
            <w:shd w:val="clear" w:color="auto" w:fill="FFFFFF" w:themeFill="background1"/>
          </w:tcPr>
          <w:p w14:paraId="1A91EE45"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27,5</w:t>
            </w:r>
          </w:p>
        </w:tc>
      </w:tr>
      <w:tr w:rsidR="00BB2299" w:rsidRPr="00BB2299" w14:paraId="53C2D0EA"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0C34646B" w14:textId="77777777" w:rsidR="00D75B65" w:rsidRPr="00231865" w:rsidRDefault="00D75B65" w:rsidP="008C71A9">
            <w:pPr>
              <w:pStyle w:val="Akapitzlist"/>
              <w:numPr>
                <w:ilvl w:val="0"/>
                <w:numId w:val="241"/>
              </w:numPr>
              <w:spacing w:after="0" w:line="240" w:lineRule="auto"/>
              <w:ind w:left="306" w:hanging="284"/>
              <w:rPr>
                <w:rFonts w:ascii="Times New Roman" w:hAnsi="Times New Roman"/>
                <w:bCs w:val="0"/>
                <w:color w:val="auto"/>
                <w:lang w:eastAsia="pl-PL"/>
              </w:rPr>
            </w:pPr>
            <w:r w:rsidRPr="00231865">
              <w:rPr>
                <w:rFonts w:ascii="Times New Roman" w:hAnsi="Times New Roman"/>
                <w:bCs w:val="0"/>
                <w:color w:val="auto"/>
                <w:lang w:eastAsia="pl-PL"/>
              </w:rPr>
              <w:t>Współczynnik zgonów: zgony ogółem na 1000 ludności</w:t>
            </w:r>
          </w:p>
          <w:p w14:paraId="50FD0E8C" w14:textId="77777777" w:rsidR="00D75B65" w:rsidRPr="00231865" w:rsidRDefault="00D75B65" w:rsidP="008C71A9">
            <w:pPr>
              <w:pStyle w:val="Akapitzlist"/>
              <w:numPr>
                <w:ilvl w:val="0"/>
                <w:numId w:val="241"/>
              </w:numPr>
              <w:spacing w:after="0" w:line="240" w:lineRule="auto"/>
              <w:ind w:left="306" w:hanging="284"/>
              <w:rPr>
                <w:rFonts w:ascii="Times New Roman" w:hAnsi="Times New Roman"/>
                <w:color w:val="auto"/>
                <w:lang w:eastAsia="pl-PL"/>
              </w:rPr>
            </w:pPr>
            <w:r w:rsidRPr="00231865">
              <w:rPr>
                <w:rFonts w:ascii="Times New Roman" w:hAnsi="Times New Roman"/>
                <w:bCs w:val="0"/>
                <w:color w:val="auto"/>
                <w:lang w:eastAsia="pl-PL"/>
              </w:rPr>
              <w:t>zgony w wieku 60 lat i więcej na 1000 ludności danej grupy wiekowej</w:t>
            </w:r>
          </w:p>
        </w:tc>
        <w:tc>
          <w:tcPr>
            <w:tcW w:w="3969" w:type="dxa"/>
            <w:gridSpan w:val="3"/>
            <w:shd w:val="clear" w:color="auto" w:fill="FFFFFF" w:themeFill="background1"/>
          </w:tcPr>
          <w:p w14:paraId="1723FB1C"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10,42</w:t>
            </w:r>
          </w:p>
          <w:p w14:paraId="5A652A60"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76179078"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010E4582"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35,1</w:t>
            </w:r>
          </w:p>
        </w:tc>
        <w:tc>
          <w:tcPr>
            <w:tcW w:w="3969" w:type="dxa"/>
            <w:gridSpan w:val="3"/>
            <w:shd w:val="clear" w:color="auto" w:fill="FFFFFF" w:themeFill="background1"/>
          </w:tcPr>
          <w:p w14:paraId="1B8D2DB9"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10,9</w:t>
            </w:r>
          </w:p>
          <w:p w14:paraId="121FCD1B"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690C3AF1"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153E259A"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36,0</w:t>
            </w:r>
          </w:p>
        </w:tc>
        <w:tc>
          <w:tcPr>
            <w:tcW w:w="3973" w:type="dxa"/>
            <w:gridSpan w:val="2"/>
            <w:shd w:val="clear" w:color="auto" w:fill="FFFFFF" w:themeFill="background1"/>
          </w:tcPr>
          <w:p w14:paraId="0C355246"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10,88</w:t>
            </w:r>
          </w:p>
          <w:p w14:paraId="74A20C49"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07BE49F4"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2A27CBD1" w14:textId="77777777" w:rsidR="00D75B65" w:rsidRPr="00BB2299" w:rsidRDefault="00D75B65" w:rsidP="0023186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34,9</w:t>
            </w:r>
          </w:p>
        </w:tc>
      </w:tr>
      <w:tr w:rsidR="00BB2299" w:rsidRPr="00BB2299" w14:paraId="7E18DB78" w14:textId="77777777" w:rsidTr="00BB2299">
        <w:trPr>
          <w:jc w:val="center"/>
        </w:trPr>
        <w:tc>
          <w:tcPr>
            <w:cnfStyle w:val="001000000000" w:firstRow="0" w:lastRow="0" w:firstColumn="1" w:lastColumn="0" w:oddVBand="0" w:evenVBand="0" w:oddHBand="0" w:evenHBand="0" w:firstRowFirstColumn="0" w:firstRowLastColumn="0" w:lastRowFirstColumn="0" w:lastRowLastColumn="0"/>
            <w:tcW w:w="14741" w:type="dxa"/>
            <w:gridSpan w:val="9"/>
          </w:tcPr>
          <w:p w14:paraId="73D57F7D" w14:textId="77777777" w:rsidR="00D75B65" w:rsidRPr="00BB2299" w:rsidRDefault="00D75B65" w:rsidP="00BB2299">
            <w:pPr>
              <w:spacing w:after="0" w:line="240" w:lineRule="auto"/>
              <w:rPr>
                <w:rFonts w:ascii="Times New Roman" w:hAnsi="Times New Roman"/>
                <w:b w:val="0"/>
                <w:bCs w:val="0"/>
                <w:i/>
                <w:iCs/>
                <w:color w:val="auto"/>
              </w:rPr>
            </w:pPr>
            <w:r w:rsidRPr="00BB2299">
              <w:rPr>
                <w:rFonts w:ascii="Times New Roman" w:hAnsi="Times New Roman"/>
                <w:b w:val="0"/>
                <w:bCs w:val="0"/>
                <w:i/>
                <w:iCs/>
                <w:color w:val="auto"/>
                <w:vertAlign w:val="superscript"/>
              </w:rPr>
              <w:t>*</w:t>
            </w:r>
            <w:r w:rsidRPr="00BB2299">
              <w:rPr>
                <w:rFonts w:ascii="Times New Roman" w:hAnsi="Times New Roman"/>
                <w:b w:val="0"/>
                <w:bCs w:val="0"/>
                <w:i/>
                <w:iCs/>
                <w:color w:val="auto"/>
              </w:rPr>
              <w:t xml:space="preserve"> Zgodnie z Programem badań statystycznych dane dotyczące przeciętne</w:t>
            </w:r>
            <w:r w:rsidR="00096DB3" w:rsidRPr="00BB2299">
              <w:rPr>
                <w:rFonts w:ascii="Times New Roman" w:hAnsi="Times New Roman"/>
                <w:b w:val="0"/>
                <w:bCs w:val="0"/>
                <w:i/>
                <w:iCs/>
                <w:color w:val="auto"/>
              </w:rPr>
              <w:t>go dalszego trwania życia za</w:t>
            </w:r>
            <w:r w:rsidRPr="00BB2299">
              <w:rPr>
                <w:rFonts w:ascii="Times New Roman" w:hAnsi="Times New Roman"/>
                <w:b w:val="0"/>
                <w:bCs w:val="0"/>
                <w:i/>
                <w:iCs/>
                <w:color w:val="auto"/>
              </w:rPr>
              <w:t xml:space="preserve"> 2019 </w:t>
            </w:r>
            <w:r w:rsidR="00096DB3" w:rsidRPr="00BB2299">
              <w:rPr>
                <w:rFonts w:ascii="Times New Roman" w:hAnsi="Times New Roman"/>
                <w:b w:val="0"/>
                <w:bCs w:val="0"/>
                <w:i/>
                <w:iCs/>
                <w:color w:val="auto"/>
              </w:rPr>
              <w:t xml:space="preserve">r. </w:t>
            </w:r>
            <w:r w:rsidRPr="00BB2299">
              <w:rPr>
                <w:rFonts w:ascii="Times New Roman" w:hAnsi="Times New Roman"/>
                <w:b w:val="0"/>
                <w:bCs w:val="0"/>
                <w:i/>
                <w:iCs/>
                <w:color w:val="auto"/>
              </w:rPr>
              <w:t xml:space="preserve">dostępne </w:t>
            </w:r>
            <w:r w:rsidR="00096DB3" w:rsidRPr="00BB2299">
              <w:rPr>
                <w:rFonts w:ascii="Times New Roman" w:hAnsi="Times New Roman"/>
                <w:b w:val="0"/>
                <w:bCs w:val="0"/>
                <w:i/>
                <w:iCs/>
                <w:color w:val="auto"/>
              </w:rPr>
              <w:t>będą w BDL od września 2020 r.</w:t>
            </w:r>
          </w:p>
          <w:p w14:paraId="6088E07C" w14:textId="77777777" w:rsidR="00D75B65" w:rsidRPr="00BB2299" w:rsidRDefault="00D75B65" w:rsidP="00BB2299">
            <w:pPr>
              <w:spacing w:after="0" w:line="240" w:lineRule="auto"/>
              <w:rPr>
                <w:rFonts w:ascii="Times New Roman" w:hAnsi="Times New Roman"/>
                <w:b w:val="0"/>
                <w:bCs w:val="0"/>
                <w:i/>
                <w:iCs/>
                <w:color w:val="auto"/>
              </w:rPr>
            </w:pPr>
            <w:r w:rsidRPr="00BB2299">
              <w:rPr>
                <w:rFonts w:ascii="Times New Roman" w:hAnsi="Times New Roman"/>
                <w:b w:val="0"/>
                <w:bCs w:val="0"/>
                <w:i/>
                <w:iCs/>
                <w:color w:val="auto"/>
              </w:rPr>
              <w:lastRenderedPageBreak/>
              <w:t>Źródło: Opracowanie własne na podstawie GUS BDL</w:t>
            </w:r>
          </w:p>
        </w:tc>
      </w:tr>
      <w:tr w:rsidR="00BB2299" w:rsidRPr="00BB2299" w14:paraId="509F11E3" w14:textId="77777777" w:rsidTr="002318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1AA8966A" w14:textId="77777777" w:rsidR="00D75B65" w:rsidRPr="00BB2299" w:rsidRDefault="00D75B65" w:rsidP="00231865">
            <w:pPr>
              <w:spacing w:after="0" w:line="240" w:lineRule="auto"/>
              <w:jc w:val="center"/>
              <w:rPr>
                <w:rFonts w:ascii="Times New Roman" w:hAnsi="Times New Roman"/>
                <w:color w:val="auto"/>
              </w:rPr>
            </w:pPr>
            <w:r w:rsidRPr="00BB2299">
              <w:rPr>
                <w:rFonts w:ascii="Times New Roman" w:hAnsi="Times New Roman"/>
                <w:color w:val="auto"/>
              </w:rPr>
              <w:lastRenderedPageBreak/>
              <w:t>SYTUACJA RODZINNA I STRUKTURA GOSPODARSTW DOMOWYCH</w:t>
            </w:r>
          </w:p>
        </w:tc>
      </w:tr>
      <w:tr w:rsidR="00BB2299" w:rsidRPr="00BB2299" w14:paraId="47973A55" w14:textId="77777777" w:rsidTr="00BB2299">
        <w:trPr>
          <w:jc w:val="center"/>
        </w:trPr>
        <w:tc>
          <w:tcPr>
            <w:cnfStyle w:val="001000000000" w:firstRow="0" w:lastRow="0" w:firstColumn="1" w:lastColumn="0" w:oddVBand="0" w:evenVBand="0" w:oddHBand="0" w:evenHBand="0" w:firstRowFirstColumn="0" w:firstRowLastColumn="0" w:lastRowFirstColumn="0" w:lastRowLastColumn="0"/>
            <w:tcW w:w="14741" w:type="dxa"/>
            <w:gridSpan w:val="9"/>
          </w:tcPr>
          <w:p w14:paraId="017DFFD8" w14:textId="77777777" w:rsidR="00D75B65" w:rsidRPr="00BB2299" w:rsidRDefault="00D75B65" w:rsidP="00BB2299">
            <w:pPr>
              <w:spacing w:after="0" w:line="240" w:lineRule="auto"/>
              <w:rPr>
                <w:rFonts w:ascii="Times New Roman" w:hAnsi="Times New Roman"/>
                <w:bCs w:val="0"/>
                <w:color w:val="auto"/>
              </w:rPr>
            </w:pPr>
            <w:r w:rsidRPr="00BB2299">
              <w:rPr>
                <w:rFonts w:ascii="Times New Roman" w:hAnsi="Times New Roman"/>
                <w:bCs w:val="0"/>
                <w:color w:val="auto"/>
              </w:rPr>
              <w:t>Opinia konsultanta wojewódzkiego w dziedzinie pielęgniarstwa opieki długoterminowej – mgr Wioletty Krociak</w:t>
            </w:r>
          </w:p>
          <w:p w14:paraId="59CCB4CB" w14:textId="77777777" w:rsidR="00D75B65" w:rsidRPr="00BB2299" w:rsidRDefault="00D75B65" w:rsidP="00BB2299">
            <w:pPr>
              <w:spacing w:after="0" w:line="240" w:lineRule="auto"/>
              <w:rPr>
                <w:rFonts w:ascii="Times New Roman" w:hAnsi="Times New Roman"/>
                <w:bCs w:val="0"/>
                <w:color w:val="auto"/>
              </w:rPr>
            </w:pPr>
            <w:r w:rsidRPr="00BB2299">
              <w:rPr>
                <w:rFonts w:ascii="Times New Roman" w:hAnsi="Times New Roman"/>
                <w:b w:val="0"/>
                <w:color w:val="auto"/>
              </w:rPr>
              <w:t>Ważnym czynnikiem opisującym gospodarstwa domowe jest sytuacja mieszkaniowa. Biorąc pod uwagę samodzielność zamieszkiwania osób w starszym wieku można stwierdzić, że spośród wszystkich gospodarstw domowych, których członkami były osoby starsze, zdecydowana większość mieszka samodzielnie, i pod tym względem nie ma większych różnic między miastem i wsią.</w:t>
            </w:r>
          </w:p>
          <w:p w14:paraId="1D40B9D9" w14:textId="77777777" w:rsidR="00D75B65" w:rsidRPr="00BB2299" w:rsidRDefault="00D75B65" w:rsidP="00BB2299">
            <w:pPr>
              <w:spacing w:after="0" w:line="240" w:lineRule="auto"/>
              <w:rPr>
                <w:rFonts w:ascii="Times New Roman" w:hAnsi="Times New Roman"/>
                <w:bCs w:val="0"/>
                <w:color w:val="auto"/>
              </w:rPr>
            </w:pPr>
          </w:p>
          <w:p w14:paraId="57268090" w14:textId="77777777" w:rsidR="00D75B65" w:rsidRPr="00BB2299" w:rsidRDefault="00D75B65" w:rsidP="00BB2299">
            <w:pPr>
              <w:spacing w:after="0" w:line="240" w:lineRule="auto"/>
              <w:rPr>
                <w:rFonts w:ascii="Times New Roman" w:hAnsi="Times New Roman"/>
                <w:bCs w:val="0"/>
                <w:color w:val="auto"/>
              </w:rPr>
            </w:pPr>
            <w:r w:rsidRPr="00BB2299">
              <w:rPr>
                <w:rFonts w:ascii="Times New Roman" w:hAnsi="Times New Roman"/>
                <w:bCs w:val="0"/>
                <w:color w:val="auto"/>
              </w:rPr>
              <w:t>Opinia konsultanta wojewódzkiego w dziedzinie pielęgniarstwa opieki paliatywnej – mgr Bogumiły Aziewicz-Gabis</w:t>
            </w:r>
          </w:p>
          <w:p w14:paraId="7B1F0022" w14:textId="77777777" w:rsidR="00D75B65" w:rsidRPr="00BB2299" w:rsidRDefault="00D75B65" w:rsidP="00BB2299">
            <w:pPr>
              <w:spacing w:after="0" w:line="240" w:lineRule="auto"/>
              <w:rPr>
                <w:rFonts w:ascii="Times New Roman" w:hAnsi="Times New Roman"/>
                <w:bCs w:val="0"/>
                <w:color w:val="auto"/>
              </w:rPr>
            </w:pPr>
            <w:r w:rsidRPr="00BB2299">
              <w:rPr>
                <w:rFonts w:ascii="Times New Roman" w:hAnsi="Times New Roman"/>
                <w:b w:val="0"/>
                <w:color w:val="auto"/>
              </w:rPr>
              <w:t>W omawianej grupie społecznej występuje problem samotności. Coraz więcej jest osób samotnych - dzieci wyjechały do innych miast/państw, a rodzice zostali sami. Powszechnym problemem tej grupy wiekowej jest również wdowieństwo. Wszystko to wiąże się z ubożeniem osób pozostających w gospodarstwach domowych - wszystkie opłaty dokonywane są tylko z jednego świadczenia emerytalnego/rentowego.</w:t>
            </w:r>
          </w:p>
          <w:p w14:paraId="6F5500CD" w14:textId="77777777" w:rsidR="00D75B65" w:rsidRPr="00BB2299" w:rsidRDefault="00D75B65" w:rsidP="00BB2299">
            <w:pPr>
              <w:spacing w:after="0" w:line="240" w:lineRule="auto"/>
              <w:rPr>
                <w:rFonts w:ascii="Times New Roman" w:hAnsi="Times New Roman"/>
                <w:bCs w:val="0"/>
                <w:color w:val="auto"/>
              </w:rPr>
            </w:pPr>
          </w:p>
          <w:p w14:paraId="2B0C9A68" w14:textId="77777777" w:rsidR="00D75B65" w:rsidRPr="00BB2299" w:rsidRDefault="00D75B65" w:rsidP="00BB2299">
            <w:pPr>
              <w:spacing w:after="0" w:line="240" w:lineRule="auto"/>
              <w:rPr>
                <w:rFonts w:ascii="Times New Roman" w:hAnsi="Times New Roman"/>
                <w:bCs w:val="0"/>
                <w:color w:val="auto"/>
              </w:rPr>
            </w:pPr>
            <w:r w:rsidRPr="00BB2299">
              <w:rPr>
                <w:rFonts w:ascii="Times New Roman" w:hAnsi="Times New Roman"/>
                <w:bCs w:val="0"/>
                <w:color w:val="auto"/>
              </w:rPr>
              <w:t>Opinia konsultanta wojewódzkiego w dziedzinie chorób wewnętrznych – prof. dr hab. n. med. Leszka Domańskiego</w:t>
            </w:r>
          </w:p>
          <w:p w14:paraId="1D8C4AD8" w14:textId="77777777" w:rsidR="00D75B65" w:rsidRPr="00BB2299" w:rsidRDefault="00D75B65" w:rsidP="00BB2299">
            <w:pPr>
              <w:spacing w:after="0" w:line="240" w:lineRule="auto"/>
              <w:rPr>
                <w:rFonts w:ascii="Times New Roman" w:hAnsi="Times New Roman"/>
                <w:b w:val="0"/>
                <w:bCs w:val="0"/>
                <w:color w:val="auto"/>
              </w:rPr>
            </w:pPr>
            <w:r w:rsidRPr="00BB2299">
              <w:rPr>
                <w:rFonts w:ascii="Times New Roman" w:hAnsi="Times New Roman"/>
                <w:b w:val="0"/>
                <w:bCs w:val="0"/>
                <w:color w:val="auto"/>
              </w:rPr>
              <w:t>W końcu 2019 r. liczba ludności Polski wyniosła 38 383 tys., tj. o prawie 29 tys. mniej niż w końcu 2018 r. (w tym w I półroczu br. spadek wyniósł 25 tys. osób). Stopa ubytku rzeczywistego w minionym roku wyniosła -0,07%, co oznacza, że na każde 10 tys. ludności ubyło 7 osób (w 2018 r. odnotowano ubytek rzeczywisty 0,06%). Przebieg zjaw</w:t>
            </w:r>
            <w:r w:rsidR="00096DB3" w:rsidRPr="00BB2299">
              <w:rPr>
                <w:rFonts w:ascii="Times New Roman" w:hAnsi="Times New Roman"/>
                <w:b w:val="0"/>
                <w:bCs w:val="0"/>
                <w:color w:val="auto"/>
              </w:rPr>
              <w:t xml:space="preserve">isk demograficznych w 2019 r. </w:t>
            </w:r>
            <w:r w:rsidRPr="00BB2299">
              <w:rPr>
                <w:rFonts w:ascii="Times New Roman" w:hAnsi="Times New Roman"/>
                <w:b w:val="0"/>
                <w:bCs w:val="0"/>
                <w:color w:val="auto"/>
              </w:rPr>
              <w:t>nie uległ zmianie w stosunku do obserwowanego przez minione 7 lat. Liczba ludności zmniejsza się począwszy od 2012 r. (z wyjątkiem nieznacznego wzrostu – o niespełna 1 tys. – w 2017 r.). Na zmiany w liczbie ludności w ostatnich latach wpływ ma przede wszystkim przyrost naturalny, który pozostaje ujemny począwszy od 2013 r.  W 2019 r. liczba urodzeń była niż</w:t>
            </w:r>
            <w:r w:rsidR="00096DB3" w:rsidRPr="00BB2299">
              <w:rPr>
                <w:rFonts w:ascii="Times New Roman" w:hAnsi="Times New Roman"/>
                <w:b w:val="0"/>
                <w:bCs w:val="0"/>
                <w:color w:val="auto"/>
              </w:rPr>
              <w:t xml:space="preserve">sza od liczby zgonów </w:t>
            </w:r>
            <w:r w:rsidRPr="00BB2299">
              <w:rPr>
                <w:rFonts w:ascii="Times New Roman" w:hAnsi="Times New Roman"/>
                <w:b w:val="0"/>
                <w:bCs w:val="0"/>
                <w:color w:val="auto"/>
              </w:rPr>
              <w:t xml:space="preserve">o prawie 35 tys. Współczynnik przyrostu naturalnego (na 1000 ludności) wyniósł -0,9; przed rokiem także był ujemny (-0,7‰). </w:t>
            </w:r>
          </w:p>
          <w:p w14:paraId="2A2009C0" w14:textId="77777777" w:rsidR="00D75B65" w:rsidRPr="00BB2299" w:rsidRDefault="00D75B65" w:rsidP="00BB2299">
            <w:pPr>
              <w:spacing w:after="0" w:line="240" w:lineRule="auto"/>
              <w:rPr>
                <w:rFonts w:ascii="Times New Roman" w:hAnsi="Times New Roman"/>
                <w:b w:val="0"/>
                <w:bCs w:val="0"/>
                <w:color w:val="auto"/>
              </w:rPr>
            </w:pPr>
            <w:r w:rsidRPr="00BB2299">
              <w:rPr>
                <w:rFonts w:ascii="Times New Roman" w:hAnsi="Times New Roman"/>
                <w:b w:val="0"/>
                <w:bCs w:val="0"/>
                <w:color w:val="auto"/>
              </w:rPr>
              <w:t>Niezmiennie rośnie grupa osób w wieku 65 lat i więcej – w 2019 r. zwiększyła się o 215 tys. osób do wielkości ponad 6,9 mln. Udział ludności tej grupy wieku w ogólnej populacji jest określany wskaźnikiem starości, który w 2019 r. wyniósł 18,1% (w 1990 r. osoby w starszym wieku stanowiły 10% ludności). Obserwowany z roku na rok wzrost tej populacji wynika z zasilania grupy w starszym wieku przez coraz liczniejsze roczniki osób urodzonych w latach 50. ub. wieku. Z powodu tych przesunięć w strukturze wieku ludności od kilku lat zmniejsza się liczba i odsetek osób w tzw. wieku dorosłym (15-64 lata).</w:t>
            </w:r>
          </w:p>
          <w:p w14:paraId="2A22D6F4" w14:textId="77777777" w:rsidR="00D75B65" w:rsidRPr="00BB2299" w:rsidRDefault="00D75B65" w:rsidP="00BB2299">
            <w:pPr>
              <w:spacing w:after="0" w:line="240" w:lineRule="auto"/>
              <w:rPr>
                <w:rFonts w:ascii="Times New Roman" w:hAnsi="Times New Roman"/>
                <w:bCs w:val="0"/>
                <w:color w:val="auto"/>
              </w:rPr>
            </w:pPr>
            <w:r w:rsidRPr="00BB2299">
              <w:rPr>
                <w:rFonts w:ascii="Times New Roman" w:hAnsi="Times New Roman"/>
                <w:b w:val="0"/>
                <w:bCs w:val="0"/>
                <w:color w:val="auto"/>
              </w:rPr>
              <w:t xml:space="preserve">W strukturze ludności według stanu cywilnego najbardziej liczną grupą są osoby pozostające w związku małżeńskim. Jednakże wraz ze wzrostem wieku tendencja ta ulega znaczącym zmianom. Wśród osób w wieku sędziwym – aż 2/3 to osoby owdowiałe. Przedstawione tendencje wynikają ze zjawiska wyższej umieralności mężczyzn, która w konsekwencji powoduje częstsze owdowienia kobiet. W rezultacie starsi mężczyźni najczęściej do końca życia pozostają żonaci, a starsze kobiety są wdowami. </w:t>
            </w:r>
            <w:r w:rsidRPr="00BB2299">
              <w:rPr>
                <w:rFonts w:ascii="Times New Roman" w:eastAsia="Times New Roman" w:hAnsi="Times New Roman"/>
                <w:b w:val="0"/>
                <w:bCs w:val="0"/>
                <w:color w:val="auto"/>
                <w:lang w:eastAsia="pl-PL"/>
              </w:rPr>
              <w:t>Niemal połowa wszystkich osób starszych pozostaje w jednopokoleniowych gospodarstwach domowych. Na takie gospodarstwa składają się albo gospodarstwa jednoosobowe, albo dwuosobowe, prowadzone najczęściej przez małżeństwa należące do tej samej generacji. Wskazuje to na potrzebę przeanalizowania możliwości takich gospodarstw samodzielnego zaspokajania potrzeb i szans na uzyskanie pomocy ze strony rodziny i grup nieformalnych. Jest to szczególnie ważne w największych miastach, gdzie udział gospodarstw jednopokoleniowych już obecnie zbliża się do 2/3, podczas gdy na wsi jest o połowę mniejszy. Jednym z najważniejszych problemów towarzyszących gospodarstwom jednopokoleniowym jest zapotrzebowanie na pomoc ze strony innych osób. Jak wykazują badania, przytłaczająca liczba osób potrzebujących wsparcia ze względu na ograniczenia sprawności korzysta z pomocy udzielanej przez członków rodziny. Należy jednak dążyć do szybkiego stworzenia kompleksowego systemu świadczeń opiekuńczych i pielęgnacyjnych, udzielanych w miejscu zamieszkania osoby niesamodzielnej.</w:t>
            </w:r>
          </w:p>
          <w:p w14:paraId="159D1E11" w14:textId="77777777" w:rsidR="00D75B65" w:rsidRPr="00BB2299" w:rsidRDefault="00D75B65" w:rsidP="00BB2299">
            <w:pPr>
              <w:spacing w:after="0" w:line="240" w:lineRule="auto"/>
              <w:rPr>
                <w:rFonts w:ascii="Times New Roman" w:hAnsi="Times New Roman"/>
                <w:b w:val="0"/>
                <w:color w:val="auto"/>
              </w:rPr>
            </w:pPr>
          </w:p>
        </w:tc>
      </w:tr>
      <w:tr w:rsidR="00BB2299" w:rsidRPr="00BB2299" w14:paraId="60D091D1" w14:textId="77777777" w:rsidTr="002318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0FA5A5A6" w14:textId="77777777" w:rsidR="00D75B65" w:rsidRPr="00BB2299" w:rsidRDefault="00D75B65" w:rsidP="00231865">
            <w:pPr>
              <w:spacing w:after="0" w:line="240" w:lineRule="auto"/>
              <w:jc w:val="center"/>
              <w:rPr>
                <w:rFonts w:ascii="Times New Roman" w:hAnsi="Times New Roman"/>
                <w:color w:val="auto"/>
              </w:rPr>
            </w:pPr>
            <w:r w:rsidRPr="00BB2299">
              <w:rPr>
                <w:rFonts w:ascii="Times New Roman" w:hAnsi="Times New Roman"/>
                <w:color w:val="auto"/>
              </w:rPr>
              <w:lastRenderedPageBreak/>
              <w:t>SYTUACJA OSÓB NIEPEŁNOSPRAWNYCH I ICH OPIEKUNÓW</w:t>
            </w:r>
          </w:p>
        </w:tc>
      </w:tr>
      <w:tr w:rsidR="00BB2299" w:rsidRPr="00BB2299" w14:paraId="5B746C65" w14:textId="77777777" w:rsidTr="00BB2299">
        <w:trPr>
          <w:jc w:val="center"/>
        </w:trPr>
        <w:tc>
          <w:tcPr>
            <w:cnfStyle w:val="001000000000" w:firstRow="0" w:lastRow="0" w:firstColumn="1" w:lastColumn="0" w:oddVBand="0" w:evenVBand="0" w:oddHBand="0" w:evenHBand="0" w:firstRowFirstColumn="0" w:firstRowLastColumn="0" w:lastRowFirstColumn="0" w:lastRowLastColumn="0"/>
            <w:tcW w:w="14741" w:type="dxa"/>
            <w:gridSpan w:val="9"/>
          </w:tcPr>
          <w:p w14:paraId="3C76E7D3" w14:textId="77777777" w:rsidR="00D75B65" w:rsidRPr="00BB2299" w:rsidRDefault="00D75B65" w:rsidP="00BB2299">
            <w:pPr>
              <w:spacing w:after="0" w:line="240" w:lineRule="auto"/>
              <w:rPr>
                <w:rFonts w:ascii="Times New Roman" w:hAnsi="Times New Roman"/>
                <w:bCs w:val="0"/>
                <w:color w:val="auto"/>
              </w:rPr>
            </w:pPr>
            <w:r w:rsidRPr="00BB2299">
              <w:rPr>
                <w:rFonts w:ascii="Times New Roman" w:hAnsi="Times New Roman"/>
                <w:bCs w:val="0"/>
                <w:color w:val="auto"/>
              </w:rPr>
              <w:t>Opinia konsultanta wojewódzkiego w dziedzinie pielęgniarstwa opieki długoterminowej – mgr Wioletty Krociak</w:t>
            </w:r>
          </w:p>
          <w:p w14:paraId="38A86EE2" w14:textId="77777777" w:rsidR="00D75B65" w:rsidRPr="00BB2299" w:rsidRDefault="00D75B65" w:rsidP="00BB2299">
            <w:pPr>
              <w:spacing w:after="0" w:line="240" w:lineRule="auto"/>
              <w:rPr>
                <w:rFonts w:ascii="Times New Roman" w:hAnsi="Times New Roman"/>
                <w:bCs w:val="0"/>
                <w:color w:val="auto"/>
              </w:rPr>
            </w:pPr>
            <w:r w:rsidRPr="00BB2299">
              <w:rPr>
                <w:rFonts w:ascii="Times New Roman" w:hAnsi="Times New Roman"/>
                <w:b w:val="0"/>
                <w:color w:val="auto"/>
              </w:rPr>
              <w:t>Sytuacja osób niepełnosprawnych, jak i ich opiekunów, jest trudna. Wynika to z szeregu czynników min: braki kadrowe (niewystarczająca pomoc opiekuńcza i specjalistyczna), nieprzystosowanie mieszkań do zaspokojenia potrzeb osób niepełnosprawnych, brak wind, podjazdów, bariery architektoniczne. Sytuacja ekonomiczna osób starszych i ich opiekunów przekładająca się na jakość życia tych osób.</w:t>
            </w:r>
          </w:p>
          <w:p w14:paraId="30B296CA" w14:textId="77777777" w:rsidR="00D75B65" w:rsidRPr="00BB2299" w:rsidRDefault="00D75B65" w:rsidP="00BB2299">
            <w:pPr>
              <w:spacing w:after="0" w:line="240" w:lineRule="auto"/>
              <w:rPr>
                <w:rFonts w:ascii="Times New Roman" w:hAnsi="Times New Roman"/>
                <w:bCs w:val="0"/>
                <w:color w:val="auto"/>
              </w:rPr>
            </w:pPr>
          </w:p>
          <w:p w14:paraId="4E4F902F" w14:textId="77777777" w:rsidR="00D75B65" w:rsidRPr="00BB2299" w:rsidRDefault="00D75B65" w:rsidP="00BB2299">
            <w:pPr>
              <w:spacing w:after="0" w:line="240" w:lineRule="auto"/>
              <w:rPr>
                <w:rFonts w:ascii="Times New Roman" w:hAnsi="Times New Roman"/>
                <w:bCs w:val="0"/>
                <w:color w:val="auto"/>
              </w:rPr>
            </w:pPr>
            <w:r w:rsidRPr="00BB2299">
              <w:rPr>
                <w:rFonts w:ascii="Times New Roman" w:hAnsi="Times New Roman"/>
                <w:bCs w:val="0"/>
                <w:color w:val="auto"/>
              </w:rPr>
              <w:t>Opinia konsultanta wojewódzkiego w dziedzinie pielęgniarstwa opieki paliatywnej – mgr Bogumiły Aziewicz-Gabis</w:t>
            </w:r>
          </w:p>
          <w:p w14:paraId="5D5B3BE1" w14:textId="77777777" w:rsidR="00D75B65" w:rsidRPr="00BB2299" w:rsidRDefault="00D75B65" w:rsidP="00BB2299">
            <w:pPr>
              <w:spacing w:after="0" w:line="240" w:lineRule="auto"/>
              <w:rPr>
                <w:rFonts w:ascii="Times New Roman" w:hAnsi="Times New Roman"/>
                <w:bCs w:val="0"/>
                <w:color w:val="auto"/>
              </w:rPr>
            </w:pPr>
            <w:r w:rsidRPr="00BB2299">
              <w:rPr>
                <w:rFonts w:ascii="Times New Roman" w:hAnsi="Times New Roman"/>
                <w:b w:val="0"/>
                <w:color w:val="auto"/>
              </w:rPr>
              <w:t>Infrastruktura miast i wsi zmienia się i w dużym stopniu jest dostosowana do potrzeb ludzi niepełnosprawnych, jednak nadal wielu z nich nie może z niej skorzystać, ponieważ pozostają „zamknięci”  w domach, bez możliwości opuszczenia ich (w dużej mierze dotyczy to ludzi starszych i chorych), gdyż mieszkają w mieszkaniach/blokach bez wind, a tym samym muszą zostać w domach.</w:t>
            </w:r>
          </w:p>
          <w:p w14:paraId="10151AA8" w14:textId="77777777" w:rsidR="00D75B65" w:rsidRPr="00BB2299" w:rsidRDefault="00D75B65" w:rsidP="00BB2299">
            <w:pPr>
              <w:spacing w:after="0" w:line="240" w:lineRule="auto"/>
              <w:rPr>
                <w:rFonts w:ascii="Times New Roman" w:hAnsi="Times New Roman"/>
                <w:bCs w:val="0"/>
                <w:color w:val="auto"/>
              </w:rPr>
            </w:pPr>
          </w:p>
          <w:p w14:paraId="14AC526F" w14:textId="77777777" w:rsidR="00D75B65" w:rsidRPr="00BB2299" w:rsidRDefault="00D75B65" w:rsidP="00BB2299">
            <w:pPr>
              <w:spacing w:after="0" w:line="240" w:lineRule="auto"/>
              <w:rPr>
                <w:rFonts w:ascii="Times New Roman" w:hAnsi="Times New Roman"/>
                <w:bCs w:val="0"/>
                <w:color w:val="auto"/>
              </w:rPr>
            </w:pPr>
            <w:r w:rsidRPr="00BB2299">
              <w:rPr>
                <w:rFonts w:ascii="Times New Roman" w:hAnsi="Times New Roman"/>
                <w:bCs w:val="0"/>
                <w:color w:val="auto"/>
              </w:rPr>
              <w:t>Opinia konsultanta wojewódzkiego w dziedzinie chorób wewnętrznych – prof. dr hab. n. med. Leszka Domańskiego</w:t>
            </w:r>
          </w:p>
          <w:p w14:paraId="31E33707" w14:textId="77777777" w:rsidR="00D75B65" w:rsidRPr="00BB2299" w:rsidRDefault="00D75B65" w:rsidP="00BB2299">
            <w:pPr>
              <w:pStyle w:val="Default"/>
              <w:rPr>
                <w:rFonts w:ascii="Times New Roman" w:hAnsi="Times New Roman" w:cs="Times New Roman"/>
                <w:color w:val="auto"/>
                <w:sz w:val="22"/>
                <w:szCs w:val="22"/>
              </w:rPr>
            </w:pPr>
            <w:r w:rsidRPr="00BB2299">
              <w:rPr>
                <w:rFonts w:ascii="Times New Roman" w:hAnsi="Times New Roman" w:cs="Times New Roman"/>
                <w:b w:val="0"/>
                <w:bCs w:val="0"/>
                <w:color w:val="auto"/>
                <w:sz w:val="22"/>
                <w:szCs w:val="22"/>
              </w:rPr>
              <w:t>Według wyników ostatniego spisu ludności mieszkań z 2011 r. wśród ogółu ludności Polski prawie 4,7 mln osób (tj. ponad 12% populacji) określiło swój stan zdrowia jako niezadawalający, tj. stwierdziło problemy zdrowotne (kalectwo lub chorobę przewlekłą) długotrwale ograniczające możliwość wykonywania codziennych czynności. Wśród tej zbiorowości osób ponad 2,5 mln osób to ludzie starsi – w wieku co najmniej 60 lat, co w 2011 r. stanowiło ponad połowę (54%) zbiorowości osób niepełnosprawnych</w:t>
            </w:r>
            <w:r w:rsidRPr="00BB2299">
              <w:rPr>
                <w:rFonts w:ascii="Times New Roman" w:hAnsi="Times New Roman" w:cs="Times New Roman"/>
                <w:color w:val="auto"/>
                <w:sz w:val="22"/>
                <w:szCs w:val="22"/>
              </w:rPr>
              <w:t xml:space="preserve">. </w:t>
            </w:r>
          </w:p>
          <w:p w14:paraId="74C2E50D" w14:textId="77777777" w:rsidR="00D75B65" w:rsidRPr="00BB2299" w:rsidRDefault="00D75B65" w:rsidP="00BB2299">
            <w:pPr>
              <w:pStyle w:val="Default"/>
              <w:rPr>
                <w:rFonts w:ascii="Times New Roman" w:hAnsi="Times New Roman" w:cs="Times New Roman"/>
                <w:b w:val="0"/>
                <w:bCs w:val="0"/>
                <w:color w:val="auto"/>
                <w:sz w:val="22"/>
                <w:szCs w:val="22"/>
              </w:rPr>
            </w:pPr>
            <w:r w:rsidRPr="00BB2299">
              <w:rPr>
                <w:rFonts w:ascii="Times New Roman" w:hAnsi="Times New Roman" w:cs="Times New Roman"/>
                <w:b w:val="0"/>
                <w:bCs w:val="0"/>
                <w:color w:val="auto"/>
                <w:sz w:val="22"/>
                <w:szCs w:val="22"/>
              </w:rPr>
              <w:t xml:space="preserve">Większość (1 501 tys., tj. 60%) niepełnosprawnych osób starszych dysponowała prawnym potwierdzeniem swej niepełnosprawności. Wśród nich najbardziej liczną grupę stanowiły osoby w wieku 60-64 lata oraz w wieku 80 lat i więcej. Należy jednak zaznaczyć, że wśród osób niepełnosprawnych powyżej 80 roku życia, liczebności posiadających orzeczenie o niepełnosprawności, jak i deklarujących jedynie ograniczenie sprawności (niepełnosprawni tylko biologicznie), były niemal równe. </w:t>
            </w:r>
          </w:p>
          <w:p w14:paraId="73DA17EF" w14:textId="77777777" w:rsidR="00D75B65" w:rsidRPr="00BB2299" w:rsidRDefault="00D75B65" w:rsidP="00BB2299">
            <w:pPr>
              <w:spacing w:after="0" w:line="240" w:lineRule="auto"/>
              <w:rPr>
                <w:rFonts w:ascii="Times New Roman" w:hAnsi="Times New Roman"/>
                <w:color w:val="auto"/>
              </w:rPr>
            </w:pPr>
            <w:r w:rsidRPr="00BB2299">
              <w:rPr>
                <w:rFonts w:ascii="Times New Roman" w:hAnsi="Times New Roman"/>
                <w:b w:val="0"/>
                <w:bCs w:val="0"/>
                <w:color w:val="auto"/>
              </w:rPr>
              <w:t>Starsze osoby niepełnosprawne zdecydowanie częściej (prawie 66%) mieszkały w miastach niż na wsi, jak również częściej posiadały orzeczenie potwierdzające niepełnosprawność. Ze względu na przewagę liczebną kobiet w całej populacji osób w wieku 60 lat i więcej, także wśród niepełnosprawnych osób starszych było więcej kobiet i stanowiły one 60%. Kobiety również dominowały w zbiorowości osób niepełnosprawnych tylko biologicznie. Poważnie lub niezbyt poważnie ograniczona zdolność do wykonywania codziennych czynności (trwająca od co najmniej 6 miesięcy) dotyczyła w 2018 r. 45,2% osób starszych. Odsetek wskazań był o 4,6 p. proc. wyższy wśród kobiet niż w grupie mężczyzn (odpowiednio 47,1% i 42,5%). Większy udział deklarujących ograniczoną zdolność do wykonywania codziennych czynności (w stopniu poważnym lub niezbyt poważnym) odnotowano wśród mieszkańców wsi (47,0%) niż miast (44,1%). Warto jednak zauważyć, że ponad połowa osób powyżej 60 roku życia zadeklarowała brak ograniczeń w wykonywaniu czynności.</w:t>
            </w:r>
          </w:p>
          <w:p w14:paraId="10D5218A" w14:textId="77777777" w:rsidR="00D75B65" w:rsidRPr="00BB2299" w:rsidRDefault="00D75B65" w:rsidP="00BB2299">
            <w:pPr>
              <w:spacing w:after="0" w:line="240" w:lineRule="auto"/>
              <w:rPr>
                <w:rFonts w:ascii="Times New Roman" w:hAnsi="Times New Roman"/>
                <w:b w:val="0"/>
                <w:color w:val="auto"/>
              </w:rPr>
            </w:pPr>
          </w:p>
        </w:tc>
      </w:tr>
      <w:tr w:rsidR="00BB2299" w:rsidRPr="00BB2299" w14:paraId="730C1D3D" w14:textId="77777777" w:rsidTr="002318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1C6F408D" w14:textId="77777777" w:rsidR="00D75B65" w:rsidRPr="00BB2299" w:rsidRDefault="00D75B65" w:rsidP="00231865">
            <w:pPr>
              <w:spacing w:after="0" w:line="240" w:lineRule="auto"/>
              <w:jc w:val="center"/>
              <w:rPr>
                <w:rFonts w:ascii="Times New Roman" w:hAnsi="Times New Roman"/>
                <w:color w:val="auto"/>
              </w:rPr>
            </w:pPr>
            <w:r w:rsidRPr="00BB2299">
              <w:rPr>
                <w:rFonts w:ascii="Times New Roman" w:hAnsi="Times New Roman"/>
                <w:color w:val="auto"/>
              </w:rPr>
              <w:t>STAN ZDROWIA OSÓB STARSZYCH / INFRASTRUKTURA SŁUŻBY ZDROWIA - DANE ZA 2019 r.</w:t>
            </w:r>
          </w:p>
        </w:tc>
      </w:tr>
      <w:tr w:rsidR="00BB2299" w:rsidRPr="00BB2299" w14:paraId="150521E7" w14:textId="77777777" w:rsidTr="00231865">
        <w:trPr>
          <w:trHeight w:val="28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2CA99F5" w14:textId="77777777" w:rsidR="00D75B65" w:rsidRPr="00BB2299" w:rsidRDefault="00D75B65" w:rsidP="00BB2299">
            <w:pPr>
              <w:spacing w:after="0" w:line="240" w:lineRule="auto"/>
              <w:rPr>
                <w:rFonts w:ascii="Times New Roman" w:hAnsi="Times New Roman"/>
                <w:b w:val="0"/>
                <w:color w:val="auto"/>
                <w:lang w:eastAsia="pl-PL"/>
              </w:rPr>
            </w:pPr>
            <w:r w:rsidRPr="00BB2299">
              <w:rPr>
                <w:rFonts w:ascii="Times New Roman" w:hAnsi="Times New Roman"/>
                <w:color w:val="auto"/>
                <w:lang w:eastAsia="pl-PL"/>
              </w:rPr>
              <w:t xml:space="preserve">Dominujące schorzenia osób starszych </w:t>
            </w:r>
          </w:p>
        </w:tc>
        <w:tc>
          <w:tcPr>
            <w:tcW w:w="7938" w:type="dxa"/>
            <w:gridSpan w:val="6"/>
            <w:shd w:val="clear" w:color="auto" w:fill="9CC2E5" w:themeFill="accent1" w:themeFillTint="99"/>
          </w:tcPr>
          <w:p w14:paraId="21811BF4"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Nazwa</w:t>
            </w:r>
          </w:p>
        </w:tc>
        <w:tc>
          <w:tcPr>
            <w:tcW w:w="3973" w:type="dxa"/>
            <w:gridSpan w:val="2"/>
            <w:shd w:val="clear" w:color="auto" w:fill="9CC2E5" w:themeFill="accent1" w:themeFillTint="99"/>
          </w:tcPr>
          <w:p w14:paraId="711A3235"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 osób starszych</w:t>
            </w:r>
          </w:p>
        </w:tc>
      </w:tr>
      <w:tr w:rsidR="00BB2299" w:rsidRPr="00BB2299" w14:paraId="4FE1EFF9" w14:textId="77777777" w:rsidTr="006526E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extDirection w:val="btLr"/>
          </w:tcPr>
          <w:p w14:paraId="00F25E22" w14:textId="77777777" w:rsidR="00D75B65" w:rsidRPr="00BB2299" w:rsidRDefault="00D75B65" w:rsidP="00BB229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D11EF34" w14:textId="77777777" w:rsidR="00D75B65" w:rsidRPr="00BB2299" w:rsidRDefault="00D75B65" w:rsidP="00BB22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231865">
              <w:rPr>
                <w:rFonts w:ascii="Times New Roman" w:hAnsi="Times New Roman"/>
                <w:b/>
                <w:color w:val="auto"/>
              </w:rPr>
              <w:t>1.</w:t>
            </w:r>
            <w:r w:rsidRPr="00BB2299">
              <w:rPr>
                <w:rFonts w:ascii="Times New Roman" w:hAnsi="Times New Roman"/>
                <w:color w:val="auto"/>
              </w:rPr>
              <w:t xml:space="preserve"> choroby układu krążenia (ogółem)</w:t>
            </w:r>
          </w:p>
          <w:p w14:paraId="64128837" w14:textId="77777777" w:rsidR="00D75B65" w:rsidRPr="00BB2299" w:rsidRDefault="00D75B65" w:rsidP="00BB2299">
            <w:pPr>
              <w:spacing w:after="0" w:line="240" w:lineRule="auto"/>
              <w:ind w:left="598" w:hanging="283"/>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w tym:</w:t>
            </w:r>
            <w:r w:rsidRPr="00BB2299">
              <w:rPr>
                <w:rFonts w:ascii="Times New Roman" w:hAnsi="Times New Roman"/>
                <w:color w:val="auto"/>
              </w:rPr>
              <w:br/>
              <w:t>- choroba nadciśnieniowa</w:t>
            </w:r>
            <w:r w:rsidRPr="00BB2299">
              <w:rPr>
                <w:rFonts w:ascii="Times New Roman" w:hAnsi="Times New Roman"/>
                <w:color w:val="auto"/>
              </w:rPr>
              <w:br/>
              <w:t>- niedokrwienna choroba serca</w:t>
            </w:r>
          </w:p>
        </w:tc>
        <w:tc>
          <w:tcPr>
            <w:tcW w:w="3973" w:type="dxa"/>
            <w:gridSpan w:val="2"/>
            <w:shd w:val="clear" w:color="auto" w:fill="FFFFFF" w:themeFill="background1"/>
          </w:tcPr>
          <w:p w14:paraId="360081C5" w14:textId="77777777" w:rsidR="00D75B65" w:rsidRPr="00BB2299" w:rsidRDefault="00D75B65" w:rsidP="00231865">
            <w:pPr>
              <w:spacing w:after="0" w:line="240" w:lineRule="auto"/>
              <w:ind w:left="745" w:right="17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166 358</w:t>
            </w:r>
          </w:p>
          <w:p w14:paraId="4C7F2999" w14:textId="77777777" w:rsidR="00D75B65" w:rsidRPr="00BB2299" w:rsidRDefault="00D75B65" w:rsidP="00231865">
            <w:pPr>
              <w:spacing w:after="0" w:line="240" w:lineRule="auto"/>
              <w:ind w:left="745" w:right="17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p>
          <w:p w14:paraId="456BB3EA" w14:textId="77777777" w:rsidR="00D75B65" w:rsidRPr="00BB2299" w:rsidRDefault="00D75B65" w:rsidP="00231865">
            <w:pPr>
              <w:spacing w:after="0" w:line="240" w:lineRule="auto"/>
              <w:ind w:left="745" w:right="17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126 769</w:t>
            </w:r>
            <w:r w:rsidRPr="00BB2299">
              <w:rPr>
                <w:rFonts w:ascii="Times New Roman" w:hAnsi="Times New Roman"/>
                <w:color w:val="auto"/>
              </w:rPr>
              <w:br/>
              <w:t>42 578</w:t>
            </w:r>
          </w:p>
        </w:tc>
      </w:tr>
      <w:tr w:rsidR="00BB2299" w:rsidRPr="00BB2299" w14:paraId="1A0407A3" w14:textId="77777777" w:rsidTr="006526E9">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9C006BD" w14:textId="77777777" w:rsidR="00D75B65" w:rsidRPr="00BB2299" w:rsidRDefault="00D75B65" w:rsidP="00BB229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6CF4DFC" w14:textId="77777777" w:rsidR="00D75B65" w:rsidRPr="00BB2299" w:rsidRDefault="00D75B65" w:rsidP="00BB229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231865">
              <w:rPr>
                <w:rFonts w:ascii="Times New Roman" w:hAnsi="Times New Roman"/>
                <w:b/>
                <w:color w:val="auto"/>
              </w:rPr>
              <w:t>2.</w:t>
            </w:r>
            <w:r w:rsidRPr="00BB2299">
              <w:rPr>
                <w:rFonts w:ascii="Times New Roman" w:hAnsi="Times New Roman"/>
                <w:color w:val="auto"/>
              </w:rPr>
              <w:t xml:space="preserve"> choroby układu mięśniowo-kostnego i tkanki łącznej</w:t>
            </w:r>
          </w:p>
        </w:tc>
        <w:tc>
          <w:tcPr>
            <w:tcW w:w="3973" w:type="dxa"/>
            <w:gridSpan w:val="2"/>
            <w:shd w:val="clear" w:color="auto" w:fill="FFFFFF" w:themeFill="background1"/>
          </w:tcPr>
          <w:p w14:paraId="19EFA7C6" w14:textId="77777777" w:rsidR="00D75B65" w:rsidRPr="00BB2299" w:rsidRDefault="00D75B65" w:rsidP="00231865">
            <w:pPr>
              <w:spacing w:after="0" w:line="240" w:lineRule="auto"/>
              <w:ind w:left="745" w:right="17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103 908</w:t>
            </w:r>
          </w:p>
        </w:tc>
      </w:tr>
      <w:tr w:rsidR="00BB2299" w:rsidRPr="00BB2299" w14:paraId="499184F3" w14:textId="77777777" w:rsidTr="006526E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7A5AE3D" w14:textId="77777777" w:rsidR="00D75B65" w:rsidRPr="00BB2299" w:rsidRDefault="00D75B65" w:rsidP="00BB229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A1A3294" w14:textId="77777777" w:rsidR="00D75B65" w:rsidRPr="00BB2299" w:rsidRDefault="00D75B65" w:rsidP="00BB22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231865">
              <w:rPr>
                <w:rFonts w:ascii="Times New Roman" w:hAnsi="Times New Roman"/>
                <w:b/>
                <w:color w:val="auto"/>
              </w:rPr>
              <w:t>3.</w:t>
            </w:r>
            <w:r w:rsidRPr="00BB2299">
              <w:rPr>
                <w:rFonts w:ascii="Times New Roman" w:hAnsi="Times New Roman"/>
                <w:color w:val="auto"/>
              </w:rPr>
              <w:t xml:space="preserve"> przewlekłe choroby układu trawiennego</w:t>
            </w:r>
          </w:p>
        </w:tc>
        <w:tc>
          <w:tcPr>
            <w:tcW w:w="3973" w:type="dxa"/>
            <w:gridSpan w:val="2"/>
            <w:shd w:val="clear" w:color="auto" w:fill="FFFFFF" w:themeFill="background1"/>
          </w:tcPr>
          <w:p w14:paraId="7A131820" w14:textId="77777777" w:rsidR="00D75B65" w:rsidRPr="00BB2299" w:rsidRDefault="00D75B65" w:rsidP="00231865">
            <w:pPr>
              <w:spacing w:after="0" w:line="240" w:lineRule="auto"/>
              <w:ind w:left="745" w:right="17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52 800</w:t>
            </w:r>
          </w:p>
        </w:tc>
      </w:tr>
      <w:tr w:rsidR="00BB2299" w:rsidRPr="00BB2299" w14:paraId="6AB63988" w14:textId="77777777" w:rsidTr="006526E9">
        <w:trPr>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EA64BE5" w14:textId="77777777" w:rsidR="00D75B65" w:rsidRPr="00BB2299" w:rsidRDefault="00D75B65" w:rsidP="00BB229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7CBA866D" w14:textId="77777777" w:rsidR="00D75B65" w:rsidRPr="00BB2299" w:rsidRDefault="00D75B65" w:rsidP="00BB229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231865">
              <w:rPr>
                <w:rFonts w:ascii="Times New Roman" w:hAnsi="Times New Roman"/>
                <w:b/>
                <w:color w:val="auto"/>
              </w:rPr>
              <w:t>4.</w:t>
            </w:r>
            <w:r w:rsidRPr="00BB2299">
              <w:rPr>
                <w:rFonts w:ascii="Times New Roman" w:hAnsi="Times New Roman"/>
                <w:color w:val="auto"/>
              </w:rPr>
              <w:t xml:space="preserve"> cukrzyca</w:t>
            </w:r>
          </w:p>
        </w:tc>
        <w:tc>
          <w:tcPr>
            <w:tcW w:w="3973" w:type="dxa"/>
            <w:gridSpan w:val="2"/>
            <w:shd w:val="clear" w:color="auto" w:fill="FFFFFF" w:themeFill="background1"/>
          </w:tcPr>
          <w:p w14:paraId="1AC3F5B7" w14:textId="77777777" w:rsidR="00D75B65" w:rsidRPr="00BB2299" w:rsidRDefault="00D75B65" w:rsidP="00231865">
            <w:pPr>
              <w:spacing w:after="0" w:line="240" w:lineRule="auto"/>
              <w:ind w:left="745" w:right="174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46 941</w:t>
            </w:r>
          </w:p>
        </w:tc>
      </w:tr>
      <w:tr w:rsidR="00BB2299" w:rsidRPr="00BB2299" w14:paraId="157E9A9F" w14:textId="77777777" w:rsidTr="006526E9">
        <w:trPr>
          <w:cnfStyle w:val="000000100000" w:firstRow="0" w:lastRow="0" w:firstColumn="0" w:lastColumn="0" w:oddVBand="0" w:evenVBand="0" w:oddHBand="1" w:evenHBand="0" w:firstRowFirstColumn="0" w:firstRowLastColumn="0" w:lastRowFirstColumn="0" w:lastRowLastColumn="0"/>
          <w:trHeight w:val="2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BC9FE41" w14:textId="77777777" w:rsidR="00D75B65" w:rsidRPr="00BB2299" w:rsidRDefault="00D75B65" w:rsidP="00BB2299">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F2BFA60" w14:textId="77777777" w:rsidR="00D75B65" w:rsidRPr="00BB2299" w:rsidRDefault="00D75B65" w:rsidP="00BB22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231865">
              <w:rPr>
                <w:rFonts w:ascii="Times New Roman" w:hAnsi="Times New Roman"/>
                <w:b/>
                <w:color w:val="auto"/>
              </w:rPr>
              <w:t>5.</w:t>
            </w:r>
            <w:r w:rsidRPr="00BB2299">
              <w:rPr>
                <w:rFonts w:ascii="Times New Roman" w:hAnsi="Times New Roman"/>
                <w:color w:val="auto"/>
              </w:rPr>
              <w:t xml:space="preserve"> choroby obwodowego układu nerwowego</w:t>
            </w:r>
          </w:p>
        </w:tc>
        <w:tc>
          <w:tcPr>
            <w:tcW w:w="3973" w:type="dxa"/>
            <w:gridSpan w:val="2"/>
            <w:shd w:val="clear" w:color="auto" w:fill="FFFFFF" w:themeFill="background1"/>
          </w:tcPr>
          <w:p w14:paraId="15310AF8" w14:textId="77777777" w:rsidR="00D75B65" w:rsidRPr="00BB2299" w:rsidRDefault="00D75B65" w:rsidP="00231865">
            <w:pPr>
              <w:spacing w:after="0" w:line="240" w:lineRule="auto"/>
              <w:ind w:left="745" w:right="174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39 239</w:t>
            </w:r>
          </w:p>
        </w:tc>
      </w:tr>
      <w:tr w:rsidR="00BB2299" w:rsidRPr="00BB2299" w14:paraId="3942E2A7"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shd w:val="clear" w:color="auto" w:fill="9CC2E5" w:themeFill="accent1" w:themeFillTint="99"/>
          </w:tcPr>
          <w:p w14:paraId="34FE8706" w14:textId="77777777" w:rsidR="00D75B65" w:rsidRPr="00BB2299" w:rsidRDefault="00D75B65" w:rsidP="00BB2299">
            <w:pPr>
              <w:spacing w:after="0" w:line="240" w:lineRule="auto"/>
              <w:rPr>
                <w:rFonts w:ascii="Times New Roman" w:hAnsi="Times New Roman"/>
                <w:b w:val="0"/>
                <w:color w:val="auto"/>
                <w:lang w:eastAsia="pl-PL"/>
              </w:rPr>
            </w:pPr>
            <w:r w:rsidRPr="00BB2299">
              <w:rPr>
                <w:rFonts w:ascii="Times New Roman" w:hAnsi="Times New Roman"/>
                <w:color w:val="auto"/>
                <w:lang w:eastAsia="pl-PL"/>
              </w:rPr>
              <w:t>Liczba osób starszych objętych czynną opieką lekarza POZ</w:t>
            </w:r>
          </w:p>
        </w:tc>
        <w:tc>
          <w:tcPr>
            <w:tcW w:w="11911" w:type="dxa"/>
            <w:gridSpan w:val="8"/>
            <w:shd w:val="clear" w:color="auto" w:fill="FFFFFF" w:themeFill="background1"/>
            <w:vAlign w:val="center"/>
          </w:tcPr>
          <w:p w14:paraId="238ED30A" w14:textId="77777777" w:rsidR="00D75B65" w:rsidRPr="00BB2299" w:rsidRDefault="00D75B65" w:rsidP="00BB2299">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224 519</w:t>
            </w:r>
          </w:p>
        </w:tc>
      </w:tr>
      <w:tr w:rsidR="00BB2299" w:rsidRPr="00BB2299" w14:paraId="0897A066"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FFFFFF" w:themeFill="background1"/>
          </w:tcPr>
          <w:p w14:paraId="55FDE719" w14:textId="77777777" w:rsidR="00D75B65" w:rsidRPr="00BB2299" w:rsidRDefault="00D75B65" w:rsidP="00BB2299">
            <w:pPr>
              <w:spacing w:after="0" w:line="240" w:lineRule="auto"/>
              <w:rPr>
                <w:rFonts w:ascii="Times New Roman" w:hAnsi="Times New Roman"/>
                <w:b w:val="0"/>
                <w:bCs w:val="0"/>
                <w:i/>
                <w:iCs/>
                <w:color w:val="auto"/>
              </w:rPr>
            </w:pPr>
            <w:r w:rsidRPr="00BB2299">
              <w:rPr>
                <w:rFonts w:ascii="Times New Roman" w:hAnsi="Times New Roman"/>
                <w:b w:val="0"/>
                <w:bCs w:val="0"/>
                <w:i/>
                <w:iCs/>
                <w:color w:val="auto"/>
              </w:rPr>
              <w:t>Źródło: Opracowanie własne na podstawie sprawozdania statystycznego Ministra Zdrowia MZ-11 – dane wstępne według stanu na dzień 8 czerwca 2020 roku z powodu przesunięcia terminu składania i weryfikowania sprawozdań</w:t>
            </w:r>
          </w:p>
        </w:tc>
      </w:tr>
      <w:tr w:rsidR="00BB2299" w:rsidRPr="00BB2299" w14:paraId="24B5B6F0" w14:textId="77777777" w:rsidTr="00231865">
        <w:trPr>
          <w:trHeight w:val="28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BF11543" w14:textId="77777777" w:rsidR="00D75B65" w:rsidRPr="00BB2299" w:rsidRDefault="00D75B65" w:rsidP="00BB2299">
            <w:pPr>
              <w:spacing w:after="0" w:line="240" w:lineRule="auto"/>
              <w:rPr>
                <w:rFonts w:ascii="Times New Roman" w:hAnsi="Times New Roman"/>
                <w:b w:val="0"/>
                <w:bCs w:val="0"/>
                <w:color w:val="auto"/>
                <w:lang w:eastAsia="pl-PL"/>
              </w:rPr>
            </w:pPr>
            <w:r w:rsidRPr="00BB2299">
              <w:rPr>
                <w:rFonts w:ascii="Times New Roman" w:hAnsi="Times New Roman"/>
                <w:color w:val="auto"/>
                <w:lang w:eastAsia="pl-PL"/>
              </w:rPr>
              <w:t>Najczęstsze przyczyny hospitalizacji osób starszych</w:t>
            </w:r>
          </w:p>
          <w:p w14:paraId="2AC98BA0" w14:textId="77777777" w:rsidR="00D75B65" w:rsidRPr="00BB2299" w:rsidRDefault="00D75B65" w:rsidP="00BB2299">
            <w:pPr>
              <w:spacing w:after="0" w:line="240" w:lineRule="auto"/>
              <w:rPr>
                <w:rFonts w:ascii="Times New Roman" w:hAnsi="Times New Roman"/>
                <w:b w:val="0"/>
                <w:color w:val="auto"/>
                <w:lang w:eastAsia="pl-PL"/>
              </w:rPr>
            </w:pPr>
          </w:p>
        </w:tc>
        <w:tc>
          <w:tcPr>
            <w:tcW w:w="7938" w:type="dxa"/>
            <w:gridSpan w:val="6"/>
            <w:shd w:val="clear" w:color="auto" w:fill="9CC2E5" w:themeFill="accent1" w:themeFillTint="99"/>
          </w:tcPr>
          <w:p w14:paraId="10FE3C44"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Przyczyna</w:t>
            </w:r>
          </w:p>
        </w:tc>
        <w:tc>
          <w:tcPr>
            <w:tcW w:w="3973" w:type="dxa"/>
            <w:gridSpan w:val="2"/>
            <w:shd w:val="clear" w:color="auto" w:fill="9CC2E5" w:themeFill="accent1" w:themeFillTint="99"/>
          </w:tcPr>
          <w:p w14:paraId="045AA698"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 osób starszych</w:t>
            </w:r>
          </w:p>
        </w:tc>
      </w:tr>
      <w:tr w:rsidR="00BB2299" w:rsidRPr="00BB2299" w14:paraId="4794F705" w14:textId="77777777" w:rsidTr="006526E9">
        <w:trPr>
          <w:cnfStyle w:val="000000100000" w:firstRow="0" w:lastRow="0" w:firstColumn="0" w:lastColumn="0" w:oddVBand="0" w:evenVBand="0" w:oddHBand="1" w:evenHBand="0" w:firstRowFirstColumn="0" w:firstRowLastColumn="0" w:lastRowFirstColumn="0" w:lastRowLastColumn="0"/>
          <w:trHeight w:val="10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A37E4FC" w14:textId="77777777" w:rsidR="00D75B65" w:rsidRPr="00BB2299" w:rsidRDefault="00D75B65" w:rsidP="00BB2299">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7D58828B" w14:textId="77777777" w:rsidR="00D75B65" w:rsidRPr="00BB2299" w:rsidRDefault="00D75B65" w:rsidP="00BB2299">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b/>
                <w:bCs/>
                <w:color w:val="auto"/>
              </w:rPr>
              <w:t>Według opinii  konsultanta wojewódzkiego w dziedzinie chorób wewnętrznych – prof. dr hab. n. med. Leszka Domańskiego</w:t>
            </w:r>
            <w:r w:rsidRPr="00BB2299">
              <w:rPr>
                <w:rFonts w:ascii="Times New Roman" w:hAnsi="Times New Roman"/>
                <w:bCs/>
                <w:color w:val="auto"/>
              </w:rPr>
              <w:t xml:space="preserve"> najczęstsze przyczyny to: </w:t>
            </w:r>
            <w:r w:rsidRPr="00BB2299">
              <w:rPr>
                <w:rFonts w:ascii="Times New Roman" w:hAnsi="Times New Roman"/>
                <w:color w:val="auto"/>
              </w:rPr>
              <w:t xml:space="preserve"> nadciśnienie tętnicze i jego powikłania, udar mózgu; choroba wieńcowa i niewydolność mięśnia sercowego; choroby moczowo-płciowego w tym uszkodzenie nerek ostre i przewlekłe; odwodnienie i zaburzenia elektrolitowe,  zapalenie płuc, POChP;  choroba nowotworowa</w:t>
            </w:r>
          </w:p>
        </w:tc>
      </w:tr>
      <w:tr w:rsidR="00BB2299" w:rsidRPr="00BB2299" w14:paraId="32392586" w14:textId="77777777" w:rsidTr="00231865">
        <w:trPr>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38D563A4" w14:textId="77777777" w:rsidR="00D75B65" w:rsidRPr="00BB2299" w:rsidRDefault="00D75B65" w:rsidP="00BB2299">
            <w:pPr>
              <w:spacing w:after="0" w:line="240" w:lineRule="auto"/>
              <w:rPr>
                <w:rFonts w:ascii="Times New Roman" w:hAnsi="Times New Roman"/>
                <w:b w:val="0"/>
                <w:bCs w:val="0"/>
                <w:color w:val="auto"/>
              </w:rPr>
            </w:pPr>
            <w:r w:rsidRPr="00BB2299">
              <w:rPr>
                <w:rFonts w:ascii="Times New Roman" w:hAnsi="Times New Roman"/>
                <w:color w:val="auto"/>
                <w:lang w:eastAsia="pl-PL"/>
              </w:rPr>
              <w:t>Infrastruktura służby zdrowia</w:t>
            </w:r>
          </w:p>
        </w:tc>
        <w:tc>
          <w:tcPr>
            <w:tcW w:w="3969" w:type="dxa"/>
            <w:gridSpan w:val="3"/>
            <w:shd w:val="clear" w:color="auto" w:fill="9CC2E5" w:themeFill="accent1" w:themeFillTint="99"/>
          </w:tcPr>
          <w:p w14:paraId="6D5C68D6"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bCs/>
                <w:color w:val="auto"/>
              </w:rPr>
            </w:pPr>
            <w:r w:rsidRPr="00BB2299">
              <w:rPr>
                <w:rFonts w:ascii="Times New Roman" w:hAnsi="Times New Roman"/>
                <w:b/>
                <w:color w:val="auto"/>
              </w:rPr>
              <w:t>Rodzaj placówki</w:t>
            </w:r>
          </w:p>
        </w:tc>
        <w:tc>
          <w:tcPr>
            <w:tcW w:w="3969" w:type="dxa"/>
            <w:gridSpan w:val="3"/>
            <w:shd w:val="clear" w:color="auto" w:fill="9CC2E5" w:themeFill="accent1" w:themeFillTint="99"/>
          </w:tcPr>
          <w:p w14:paraId="0D2EC6EB"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 placówek</w:t>
            </w:r>
          </w:p>
        </w:tc>
        <w:tc>
          <w:tcPr>
            <w:tcW w:w="3973" w:type="dxa"/>
            <w:gridSpan w:val="2"/>
            <w:shd w:val="clear" w:color="auto" w:fill="9CC2E5" w:themeFill="accent1" w:themeFillTint="99"/>
          </w:tcPr>
          <w:p w14:paraId="5691CB82" w14:textId="77777777" w:rsidR="00D75B65" w:rsidRPr="00BB2299" w:rsidRDefault="00D75B65" w:rsidP="0023186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 łóżek dla osób starszych</w:t>
            </w:r>
          </w:p>
        </w:tc>
      </w:tr>
      <w:tr w:rsidR="00DD5A25" w:rsidRPr="00BB2299" w14:paraId="2090E9F2"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56163B7" w14:textId="77777777" w:rsidR="00DD5A25" w:rsidRPr="00BB2299" w:rsidRDefault="00DD5A25" w:rsidP="00DD5A25">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143B3BC0"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Oddziałów / pododdziałów geriatrycznych</w:t>
            </w:r>
          </w:p>
        </w:tc>
        <w:tc>
          <w:tcPr>
            <w:tcW w:w="3969" w:type="dxa"/>
            <w:gridSpan w:val="3"/>
            <w:shd w:val="clear" w:color="auto" w:fill="FFFFFF" w:themeFill="background1"/>
          </w:tcPr>
          <w:p w14:paraId="3F6FE72D" w14:textId="3C526373" w:rsidR="00DD5A25" w:rsidRPr="00DD5A25"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1</w:t>
            </w:r>
          </w:p>
        </w:tc>
        <w:tc>
          <w:tcPr>
            <w:tcW w:w="3973" w:type="dxa"/>
            <w:gridSpan w:val="2"/>
            <w:shd w:val="clear" w:color="auto" w:fill="FFFFFF" w:themeFill="background1"/>
          </w:tcPr>
          <w:p w14:paraId="43048C8E" w14:textId="3FBE0A12" w:rsidR="00DD5A25" w:rsidRPr="00DD5A25"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8</w:t>
            </w:r>
          </w:p>
        </w:tc>
      </w:tr>
      <w:tr w:rsidR="00DD5A25" w:rsidRPr="00BB2299" w14:paraId="51331521"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6BB1E4" w14:textId="77777777" w:rsidR="00DD5A25" w:rsidRPr="00BB2299" w:rsidRDefault="00DD5A25" w:rsidP="00DD5A25">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289474E3"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Poradni geriatrycznych</w:t>
            </w:r>
          </w:p>
        </w:tc>
        <w:tc>
          <w:tcPr>
            <w:tcW w:w="3969" w:type="dxa"/>
            <w:gridSpan w:val="3"/>
            <w:shd w:val="clear" w:color="auto" w:fill="FFFFFF" w:themeFill="background1"/>
          </w:tcPr>
          <w:p w14:paraId="6254E215" w14:textId="78951F77" w:rsidR="00DD5A25" w:rsidRPr="00DD5A25"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11</w:t>
            </w:r>
          </w:p>
        </w:tc>
        <w:tc>
          <w:tcPr>
            <w:tcW w:w="3973" w:type="dxa"/>
            <w:gridSpan w:val="2"/>
            <w:shd w:val="clear" w:color="auto" w:fill="FFFFFF" w:themeFill="background1"/>
          </w:tcPr>
          <w:p w14:paraId="6D72339E" w14:textId="67DE30F0" w:rsidR="00DD5A25" w:rsidRPr="00DD5A25"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Pr>
                <w:rFonts w:ascii="Times New Roman" w:hAnsi="Times New Roman"/>
                <w:bCs/>
                <w:color w:val="auto"/>
              </w:rPr>
              <w:t>nie dotyczy</w:t>
            </w:r>
          </w:p>
        </w:tc>
      </w:tr>
      <w:tr w:rsidR="00DD5A25" w:rsidRPr="00BB2299" w14:paraId="3DEBD23D"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FBE8003" w14:textId="77777777" w:rsidR="00DD5A25" w:rsidRPr="00BB2299" w:rsidRDefault="00DD5A25" w:rsidP="00DD5A25">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3A41B195"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Zakładów opiekuńczo-leczniczych</w:t>
            </w:r>
          </w:p>
        </w:tc>
        <w:tc>
          <w:tcPr>
            <w:tcW w:w="3969" w:type="dxa"/>
            <w:gridSpan w:val="3"/>
            <w:shd w:val="clear" w:color="auto" w:fill="FFFFFF" w:themeFill="background1"/>
          </w:tcPr>
          <w:p w14:paraId="05466757" w14:textId="6CD643DD" w:rsidR="00DD5A25" w:rsidRPr="00DD5A25"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8</w:t>
            </w:r>
          </w:p>
        </w:tc>
        <w:tc>
          <w:tcPr>
            <w:tcW w:w="3973" w:type="dxa"/>
            <w:gridSpan w:val="2"/>
            <w:shd w:val="clear" w:color="auto" w:fill="FFFFFF" w:themeFill="background1"/>
          </w:tcPr>
          <w:p w14:paraId="78F72FA5" w14:textId="72F67303" w:rsidR="00DD5A25" w:rsidRPr="00DD5A25"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330</w:t>
            </w:r>
          </w:p>
        </w:tc>
      </w:tr>
      <w:tr w:rsidR="00DD5A25" w:rsidRPr="00BB2299" w14:paraId="7140A943"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AED4D66" w14:textId="77777777" w:rsidR="00DD5A25" w:rsidRPr="00BB2299" w:rsidRDefault="00DD5A25" w:rsidP="00DD5A25">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1CBEF05D"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Zakładów pielęgnacyjno-opiekuńczych</w:t>
            </w:r>
          </w:p>
        </w:tc>
        <w:tc>
          <w:tcPr>
            <w:tcW w:w="3969" w:type="dxa"/>
            <w:gridSpan w:val="3"/>
            <w:shd w:val="clear" w:color="auto" w:fill="FFFFFF" w:themeFill="background1"/>
          </w:tcPr>
          <w:p w14:paraId="6417DD00" w14:textId="73A7327F" w:rsidR="00DD5A25" w:rsidRPr="00DD5A25"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16</w:t>
            </w:r>
          </w:p>
        </w:tc>
        <w:tc>
          <w:tcPr>
            <w:tcW w:w="3973" w:type="dxa"/>
            <w:gridSpan w:val="2"/>
            <w:shd w:val="clear" w:color="auto" w:fill="FFFFFF" w:themeFill="background1"/>
          </w:tcPr>
          <w:p w14:paraId="02863234" w14:textId="70492E71" w:rsidR="00DD5A25" w:rsidRPr="00DD5A25"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689</w:t>
            </w:r>
          </w:p>
        </w:tc>
      </w:tr>
      <w:tr w:rsidR="00DD5A25" w:rsidRPr="00BB2299" w14:paraId="5C5C7D5B"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8AA6E45" w14:textId="77777777" w:rsidR="00DD5A25" w:rsidRPr="00BB2299" w:rsidRDefault="00DD5A25" w:rsidP="00DD5A25">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1D553272"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Hospicjów stacjonarnych</w:t>
            </w:r>
          </w:p>
        </w:tc>
        <w:tc>
          <w:tcPr>
            <w:tcW w:w="3969" w:type="dxa"/>
            <w:gridSpan w:val="3"/>
            <w:shd w:val="clear" w:color="auto" w:fill="FFFFFF" w:themeFill="background1"/>
          </w:tcPr>
          <w:p w14:paraId="687D1009" w14:textId="42878C14" w:rsidR="00DD5A25" w:rsidRPr="00DD5A25"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6</w:t>
            </w:r>
          </w:p>
        </w:tc>
        <w:tc>
          <w:tcPr>
            <w:tcW w:w="3973" w:type="dxa"/>
            <w:gridSpan w:val="2"/>
            <w:shd w:val="clear" w:color="auto" w:fill="FFFFFF" w:themeFill="background1"/>
          </w:tcPr>
          <w:p w14:paraId="20DD1432" w14:textId="6515ABD0" w:rsidR="00DD5A25" w:rsidRPr="00DD5A25"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134</w:t>
            </w:r>
          </w:p>
        </w:tc>
      </w:tr>
      <w:tr w:rsidR="00DD5A25" w:rsidRPr="00BB2299" w14:paraId="7FF91910"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341F8ED" w14:textId="77777777" w:rsidR="00DD5A25" w:rsidRPr="00BB2299" w:rsidRDefault="00DD5A25" w:rsidP="00DD5A25">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74F79960"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Hospicjów domowych</w:t>
            </w:r>
          </w:p>
        </w:tc>
        <w:tc>
          <w:tcPr>
            <w:tcW w:w="3969" w:type="dxa"/>
            <w:gridSpan w:val="3"/>
            <w:shd w:val="clear" w:color="auto" w:fill="FFFFFF" w:themeFill="background1"/>
          </w:tcPr>
          <w:p w14:paraId="59C3ECB0" w14:textId="0B6D2E85" w:rsidR="00DD5A25" w:rsidRPr="00DD5A25"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27</w:t>
            </w:r>
          </w:p>
        </w:tc>
        <w:tc>
          <w:tcPr>
            <w:tcW w:w="3973" w:type="dxa"/>
            <w:gridSpan w:val="2"/>
            <w:shd w:val="clear" w:color="auto" w:fill="FFFFFF" w:themeFill="background1"/>
          </w:tcPr>
          <w:p w14:paraId="4C5BFCAB" w14:textId="48FDA502" w:rsidR="00DD5A25" w:rsidRPr="00DD5A25"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Pr>
                <w:rFonts w:ascii="Times New Roman" w:hAnsi="Times New Roman"/>
                <w:bCs/>
                <w:color w:val="auto"/>
              </w:rPr>
              <w:t>n</w:t>
            </w:r>
            <w:r w:rsidRPr="00DD5A25">
              <w:rPr>
                <w:rFonts w:ascii="Times New Roman" w:hAnsi="Times New Roman"/>
                <w:bCs/>
                <w:color w:val="auto"/>
              </w:rPr>
              <w:t>ie dotyczy</w:t>
            </w:r>
          </w:p>
        </w:tc>
      </w:tr>
      <w:tr w:rsidR="00DD5A25" w:rsidRPr="00BB2299" w14:paraId="5BA41717"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2437F10" w14:textId="77777777" w:rsidR="00DD5A25" w:rsidRPr="00BB2299" w:rsidRDefault="00DD5A25" w:rsidP="00DD5A25">
            <w:pPr>
              <w:spacing w:after="0" w:line="240" w:lineRule="auto"/>
              <w:rPr>
                <w:rFonts w:ascii="Times New Roman" w:hAnsi="Times New Roman"/>
                <w:color w:val="auto"/>
                <w:lang w:eastAsia="pl-PL"/>
              </w:rPr>
            </w:pPr>
          </w:p>
        </w:tc>
        <w:tc>
          <w:tcPr>
            <w:tcW w:w="3969" w:type="dxa"/>
            <w:gridSpan w:val="3"/>
            <w:shd w:val="clear" w:color="auto" w:fill="FFFFFF" w:themeFill="background1"/>
          </w:tcPr>
          <w:p w14:paraId="426E5337"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Oddziałów opieki paliatywnej</w:t>
            </w:r>
          </w:p>
        </w:tc>
        <w:tc>
          <w:tcPr>
            <w:tcW w:w="3969" w:type="dxa"/>
            <w:gridSpan w:val="3"/>
            <w:shd w:val="clear" w:color="auto" w:fill="FFFFFF" w:themeFill="background1"/>
          </w:tcPr>
          <w:p w14:paraId="1D7B4CFC" w14:textId="356103FC" w:rsidR="00DD5A25" w:rsidRPr="00DD5A25"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2</w:t>
            </w:r>
          </w:p>
        </w:tc>
        <w:tc>
          <w:tcPr>
            <w:tcW w:w="3973" w:type="dxa"/>
            <w:gridSpan w:val="2"/>
            <w:shd w:val="clear" w:color="auto" w:fill="FFFFFF" w:themeFill="background1"/>
          </w:tcPr>
          <w:p w14:paraId="1E451785" w14:textId="65E2B4FC" w:rsidR="00DD5A25" w:rsidRPr="00DD5A25"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DD5A25">
              <w:rPr>
                <w:rFonts w:ascii="Times New Roman" w:hAnsi="Times New Roman"/>
                <w:bCs/>
                <w:color w:val="auto"/>
              </w:rPr>
              <w:t>9</w:t>
            </w:r>
          </w:p>
        </w:tc>
      </w:tr>
      <w:tr w:rsidR="00DD5A25" w:rsidRPr="00BB2299" w14:paraId="0952A7F3" w14:textId="77777777" w:rsidTr="00231865">
        <w:trPr>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116BC06" w14:textId="77777777" w:rsidR="00DD5A25" w:rsidRPr="00BB2299" w:rsidRDefault="00DD5A25" w:rsidP="00DD5A25">
            <w:pPr>
              <w:tabs>
                <w:tab w:val="left" w:pos="1206"/>
              </w:tabs>
              <w:spacing w:after="0" w:line="240" w:lineRule="auto"/>
              <w:rPr>
                <w:rFonts w:ascii="Times New Roman" w:hAnsi="Times New Roman"/>
                <w:color w:val="auto"/>
              </w:rPr>
            </w:pPr>
            <w:r w:rsidRPr="00BB2299">
              <w:rPr>
                <w:rFonts w:ascii="Times New Roman" w:hAnsi="Times New Roman"/>
                <w:color w:val="auto"/>
              </w:rPr>
              <w:t>Kadry medyczne</w:t>
            </w:r>
          </w:p>
        </w:tc>
        <w:tc>
          <w:tcPr>
            <w:tcW w:w="7938" w:type="dxa"/>
            <w:gridSpan w:val="6"/>
            <w:shd w:val="clear" w:color="auto" w:fill="9CC2E5" w:themeFill="accent1" w:themeFillTint="99"/>
          </w:tcPr>
          <w:p w14:paraId="203816E3" w14:textId="77777777" w:rsidR="00DD5A25" w:rsidRPr="00BB2299" w:rsidRDefault="00DD5A25" w:rsidP="00DD5A25">
            <w:pPr>
              <w:tabs>
                <w:tab w:val="left" w:pos="1206"/>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Lekarze</w:t>
            </w:r>
          </w:p>
        </w:tc>
        <w:tc>
          <w:tcPr>
            <w:tcW w:w="3973" w:type="dxa"/>
            <w:gridSpan w:val="2"/>
            <w:shd w:val="clear" w:color="auto" w:fill="9CC2E5" w:themeFill="accent1" w:themeFillTint="99"/>
          </w:tcPr>
          <w:p w14:paraId="22D2BABD"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 lekarzy</w:t>
            </w:r>
          </w:p>
        </w:tc>
      </w:tr>
      <w:tr w:rsidR="00DD5A25" w:rsidRPr="00BB2299" w14:paraId="4C6A1B21"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301CD19" w14:textId="77777777" w:rsidR="00DD5A25" w:rsidRPr="00BB2299" w:rsidRDefault="00DD5A25" w:rsidP="00DD5A25">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37261E49" w14:textId="77777777" w:rsidR="00DD5A25" w:rsidRPr="00BB2299" w:rsidRDefault="00DD5A25" w:rsidP="00DD5A25">
            <w:pPr>
              <w:tabs>
                <w:tab w:val="left" w:pos="1206"/>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Geriatrzy</w:t>
            </w:r>
          </w:p>
        </w:tc>
        <w:tc>
          <w:tcPr>
            <w:tcW w:w="3973" w:type="dxa"/>
            <w:gridSpan w:val="2"/>
            <w:shd w:val="clear" w:color="auto" w:fill="FFFFFF" w:themeFill="background1"/>
          </w:tcPr>
          <w:p w14:paraId="4C64A711"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10</w:t>
            </w:r>
          </w:p>
        </w:tc>
      </w:tr>
      <w:tr w:rsidR="00DD5A25" w:rsidRPr="00BB2299" w14:paraId="311661C7"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D9FA6AB" w14:textId="77777777" w:rsidR="00DD5A25" w:rsidRPr="00BB2299" w:rsidRDefault="00DD5A25" w:rsidP="00DD5A25">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0C9B442"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w trakcie specjalizacji z geriatrii</w:t>
            </w:r>
          </w:p>
        </w:tc>
        <w:tc>
          <w:tcPr>
            <w:tcW w:w="3973" w:type="dxa"/>
            <w:gridSpan w:val="2"/>
            <w:shd w:val="clear" w:color="auto" w:fill="FFFFFF" w:themeFill="background1"/>
          </w:tcPr>
          <w:p w14:paraId="2514FC0E"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w:t>
            </w:r>
          </w:p>
        </w:tc>
      </w:tr>
      <w:tr w:rsidR="00DD5A25" w:rsidRPr="00BB2299" w14:paraId="3A7C06A6" w14:textId="77777777" w:rsidTr="0023186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2B1EE14" w14:textId="77777777" w:rsidR="00DD5A25" w:rsidRPr="00BB2299" w:rsidRDefault="00DD5A25" w:rsidP="00DD5A25">
            <w:pPr>
              <w:spacing w:after="0" w:line="240" w:lineRule="auto"/>
              <w:rPr>
                <w:rFonts w:ascii="Times New Roman" w:hAnsi="Times New Roman"/>
                <w:b w:val="0"/>
                <w:color w:val="auto"/>
                <w:lang w:eastAsia="pl-PL"/>
              </w:rPr>
            </w:pPr>
          </w:p>
        </w:tc>
        <w:tc>
          <w:tcPr>
            <w:tcW w:w="7938" w:type="dxa"/>
            <w:gridSpan w:val="6"/>
            <w:shd w:val="clear" w:color="auto" w:fill="9CC2E5" w:themeFill="accent1" w:themeFillTint="99"/>
          </w:tcPr>
          <w:p w14:paraId="3F07467D"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 xml:space="preserve">Pielęgniarki ze specjalizacją lub ukończonym kursem kwalifikacyjnym </w:t>
            </w:r>
            <w:r w:rsidRPr="00BB2299">
              <w:rPr>
                <w:rFonts w:ascii="Times New Roman" w:hAnsi="Times New Roman"/>
                <w:b/>
                <w:color w:val="auto"/>
              </w:rPr>
              <w:br/>
              <w:t>w zakresie:</w:t>
            </w:r>
          </w:p>
        </w:tc>
        <w:tc>
          <w:tcPr>
            <w:tcW w:w="3973" w:type="dxa"/>
            <w:gridSpan w:val="2"/>
            <w:shd w:val="clear" w:color="auto" w:fill="9CC2E5" w:themeFill="accent1" w:themeFillTint="99"/>
          </w:tcPr>
          <w:p w14:paraId="1527FF5B"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 pielęgniarek</w:t>
            </w:r>
          </w:p>
        </w:tc>
      </w:tr>
      <w:tr w:rsidR="00DD5A25" w:rsidRPr="00BB2299" w14:paraId="1684601F"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317D7CF" w14:textId="77777777" w:rsidR="00DD5A25" w:rsidRPr="00BB2299" w:rsidRDefault="00DD5A25" w:rsidP="00DD5A25">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4BF014F"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Geriatrii</w:t>
            </w:r>
          </w:p>
        </w:tc>
        <w:tc>
          <w:tcPr>
            <w:tcW w:w="3973" w:type="dxa"/>
            <w:gridSpan w:val="2"/>
            <w:shd w:val="clear" w:color="auto" w:fill="FFFFFF" w:themeFill="background1"/>
          </w:tcPr>
          <w:p w14:paraId="2EA1F6C3"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80</w:t>
            </w:r>
          </w:p>
        </w:tc>
      </w:tr>
      <w:tr w:rsidR="00DD5A25" w:rsidRPr="00BB2299" w14:paraId="4FB06234"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F685176" w14:textId="77777777" w:rsidR="00DD5A25" w:rsidRPr="00BB2299" w:rsidRDefault="00DD5A25" w:rsidP="00DD5A25">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100A11A8"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Opieki długoterminowej</w:t>
            </w:r>
          </w:p>
        </w:tc>
        <w:tc>
          <w:tcPr>
            <w:tcW w:w="3973" w:type="dxa"/>
            <w:gridSpan w:val="2"/>
            <w:shd w:val="clear" w:color="auto" w:fill="FFFFFF" w:themeFill="background1"/>
          </w:tcPr>
          <w:p w14:paraId="6D54222F"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145</w:t>
            </w:r>
          </w:p>
        </w:tc>
      </w:tr>
      <w:tr w:rsidR="00DD5A25" w:rsidRPr="00BB2299" w14:paraId="134CB104"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CB44BEB" w14:textId="77777777" w:rsidR="00DD5A25" w:rsidRPr="00BB2299" w:rsidRDefault="00DD5A25" w:rsidP="00DD5A25">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BD146D7"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Opieki paliatywnej</w:t>
            </w:r>
          </w:p>
        </w:tc>
        <w:tc>
          <w:tcPr>
            <w:tcW w:w="3973" w:type="dxa"/>
            <w:gridSpan w:val="2"/>
            <w:shd w:val="clear" w:color="auto" w:fill="FFFFFF" w:themeFill="background1"/>
          </w:tcPr>
          <w:p w14:paraId="5697A974"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140</w:t>
            </w:r>
          </w:p>
        </w:tc>
      </w:tr>
      <w:tr w:rsidR="00DD5A25" w:rsidRPr="00BB2299" w14:paraId="40F9C58D"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FFFFFF" w:themeFill="background1"/>
          </w:tcPr>
          <w:p w14:paraId="002FB32F" w14:textId="77777777" w:rsidR="00DD5A25" w:rsidRPr="00BB2299" w:rsidRDefault="00DD5A25" w:rsidP="00DD5A25">
            <w:pPr>
              <w:spacing w:after="0" w:line="240" w:lineRule="auto"/>
              <w:rPr>
                <w:rFonts w:ascii="Times New Roman" w:hAnsi="Times New Roman"/>
                <w:b w:val="0"/>
                <w:bCs w:val="0"/>
                <w:i/>
                <w:iCs/>
                <w:color w:val="auto"/>
              </w:rPr>
            </w:pPr>
            <w:r w:rsidRPr="00BB2299">
              <w:rPr>
                <w:rFonts w:ascii="Times New Roman" w:hAnsi="Times New Roman"/>
                <w:b w:val="0"/>
                <w:bCs w:val="0"/>
                <w:i/>
                <w:iCs/>
                <w:color w:val="auto"/>
              </w:rPr>
              <w:t xml:space="preserve">Źródło: Okręgowe Izby Lekarskie w Szczecinie i w Koszalinie oraz Szczecińska Izba Pielęgniarek i Położnych i Okręgowa Izba Pielęgniarek i Położnych </w:t>
            </w:r>
            <w:r w:rsidRPr="00BB2299">
              <w:rPr>
                <w:rFonts w:ascii="Times New Roman" w:hAnsi="Times New Roman"/>
                <w:b w:val="0"/>
                <w:bCs w:val="0"/>
                <w:i/>
                <w:iCs/>
                <w:color w:val="auto"/>
              </w:rPr>
              <w:br/>
              <w:t>w Koszalinie</w:t>
            </w:r>
          </w:p>
        </w:tc>
      </w:tr>
      <w:tr w:rsidR="00DD5A25" w:rsidRPr="00BB2299" w14:paraId="0FA9BCD2" w14:textId="77777777" w:rsidTr="00231865">
        <w:trPr>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91C83E5" w14:textId="77777777" w:rsidR="00DD5A25" w:rsidRPr="00BB2299" w:rsidRDefault="00DD5A25" w:rsidP="00DD5A25">
            <w:pPr>
              <w:spacing w:after="0" w:line="240" w:lineRule="auto"/>
              <w:rPr>
                <w:rFonts w:ascii="Times New Roman" w:hAnsi="Times New Roman"/>
                <w:b w:val="0"/>
                <w:color w:val="auto"/>
                <w:lang w:eastAsia="pl-PL"/>
              </w:rPr>
            </w:pPr>
            <w:r w:rsidRPr="00BB2299">
              <w:rPr>
                <w:rFonts w:ascii="Times New Roman" w:hAnsi="Times New Roman"/>
                <w:color w:val="auto"/>
                <w:lang w:eastAsia="pl-PL"/>
              </w:rPr>
              <w:t>Najczęstsze przyczyny zgonów osób starszych</w:t>
            </w:r>
          </w:p>
        </w:tc>
        <w:tc>
          <w:tcPr>
            <w:tcW w:w="7938" w:type="dxa"/>
            <w:gridSpan w:val="6"/>
            <w:shd w:val="clear" w:color="auto" w:fill="9CC2E5" w:themeFill="accent1" w:themeFillTint="99"/>
          </w:tcPr>
          <w:p w14:paraId="65FCCFF7"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Nazwa</w:t>
            </w:r>
          </w:p>
        </w:tc>
        <w:tc>
          <w:tcPr>
            <w:tcW w:w="3973" w:type="dxa"/>
            <w:gridSpan w:val="2"/>
            <w:shd w:val="clear" w:color="auto" w:fill="9CC2E5" w:themeFill="accent1" w:themeFillTint="99"/>
          </w:tcPr>
          <w:p w14:paraId="2EC32686"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 osób starszych</w:t>
            </w:r>
          </w:p>
        </w:tc>
      </w:tr>
      <w:tr w:rsidR="00DD5A25" w:rsidRPr="00BB2299" w14:paraId="1A66F7B4"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DBD8B78" w14:textId="77777777" w:rsidR="00DD5A25" w:rsidRPr="00BB2299" w:rsidRDefault="00DD5A25" w:rsidP="00DD5A25">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B9C69DC"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w:t>
            </w:r>
          </w:p>
        </w:tc>
        <w:tc>
          <w:tcPr>
            <w:tcW w:w="3973" w:type="dxa"/>
            <w:gridSpan w:val="2"/>
            <w:shd w:val="clear" w:color="auto" w:fill="FFFFFF" w:themeFill="background1"/>
          </w:tcPr>
          <w:p w14:paraId="6A961315"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p>
        </w:tc>
      </w:tr>
      <w:tr w:rsidR="00DD5A25" w:rsidRPr="00BB2299" w14:paraId="54951D68"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B397D84" w14:textId="77777777" w:rsidR="00DD5A25" w:rsidRPr="00BB2299" w:rsidRDefault="00DD5A25" w:rsidP="00DD5A25">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7913BF1"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w:t>
            </w:r>
          </w:p>
        </w:tc>
        <w:tc>
          <w:tcPr>
            <w:tcW w:w="3973" w:type="dxa"/>
            <w:gridSpan w:val="2"/>
            <w:shd w:val="clear" w:color="auto" w:fill="FFFFFF" w:themeFill="background1"/>
          </w:tcPr>
          <w:p w14:paraId="49B58AA8"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p>
        </w:tc>
      </w:tr>
      <w:tr w:rsidR="00DD5A25" w:rsidRPr="00BB2299" w14:paraId="2ECBAE4D"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795F878" w14:textId="77777777" w:rsidR="00DD5A25" w:rsidRPr="00BB2299" w:rsidRDefault="00DD5A25" w:rsidP="00DD5A25">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4F69FDB1"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w:t>
            </w:r>
          </w:p>
        </w:tc>
        <w:tc>
          <w:tcPr>
            <w:tcW w:w="3973" w:type="dxa"/>
            <w:gridSpan w:val="2"/>
            <w:shd w:val="clear" w:color="auto" w:fill="FFFFFF" w:themeFill="background1"/>
          </w:tcPr>
          <w:p w14:paraId="303650EF"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p>
        </w:tc>
      </w:tr>
      <w:tr w:rsidR="00DD5A25" w:rsidRPr="00BB2299" w14:paraId="2157499B" w14:textId="77777777" w:rsidTr="006526E9">
        <w:trPr>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6EA92C4" w14:textId="77777777" w:rsidR="00DD5A25" w:rsidRPr="00BB2299" w:rsidRDefault="00DD5A25" w:rsidP="00DD5A25">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000D5E65"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w:t>
            </w:r>
          </w:p>
        </w:tc>
        <w:tc>
          <w:tcPr>
            <w:tcW w:w="3973" w:type="dxa"/>
            <w:gridSpan w:val="2"/>
            <w:shd w:val="clear" w:color="auto" w:fill="FFFFFF" w:themeFill="background1"/>
          </w:tcPr>
          <w:p w14:paraId="1BEAFF77"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p>
        </w:tc>
      </w:tr>
      <w:tr w:rsidR="00DD5A25" w:rsidRPr="00BB2299" w14:paraId="61258199" w14:textId="77777777" w:rsidTr="006526E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CAF8A77" w14:textId="77777777" w:rsidR="00DD5A25" w:rsidRPr="00BB2299" w:rsidRDefault="00DD5A25" w:rsidP="00DD5A25">
            <w:pPr>
              <w:spacing w:after="0" w:line="240" w:lineRule="auto"/>
              <w:rPr>
                <w:rFonts w:ascii="Times New Roman" w:hAnsi="Times New Roman"/>
                <w:b w:val="0"/>
                <w:color w:val="auto"/>
                <w:lang w:eastAsia="pl-PL"/>
              </w:rPr>
            </w:pPr>
          </w:p>
        </w:tc>
        <w:tc>
          <w:tcPr>
            <w:tcW w:w="7938" w:type="dxa"/>
            <w:gridSpan w:val="6"/>
            <w:shd w:val="clear" w:color="auto" w:fill="FFFFFF" w:themeFill="background1"/>
          </w:tcPr>
          <w:p w14:paraId="655FB1D3"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 xml:space="preserve">5. </w:t>
            </w:r>
          </w:p>
        </w:tc>
        <w:tc>
          <w:tcPr>
            <w:tcW w:w="3973" w:type="dxa"/>
            <w:gridSpan w:val="2"/>
            <w:shd w:val="clear" w:color="auto" w:fill="FFFFFF" w:themeFill="background1"/>
          </w:tcPr>
          <w:p w14:paraId="2335C724"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p>
        </w:tc>
      </w:tr>
      <w:tr w:rsidR="00DD5A25" w:rsidRPr="00BB2299" w14:paraId="2A832959" w14:textId="77777777" w:rsidTr="00231865">
        <w:trPr>
          <w:trHeight w:val="25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6E9BC65" w14:textId="77777777" w:rsidR="00DD5A25" w:rsidRPr="00BB2299" w:rsidRDefault="00DD5A25" w:rsidP="00DD5A25">
            <w:pPr>
              <w:spacing w:after="0" w:line="240" w:lineRule="auto"/>
              <w:rPr>
                <w:rFonts w:ascii="Times New Roman" w:hAnsi="Times New Roman"/>
                <w:b w:val="0"/>
                <w:color w:val="auto"/>
                <w:lang w:eastAsia="pl-PL"/>
              </w:rPr>
            </w:pPr>
            <w:r w:rsidRPr="00BB2299">
              <w:rPr>
                <w:rFonts w:ascii="Times New Roman" w:hAnsi="Times New Roman"/>
                <w:color w:val="auto"/>
                <w:lang w:eastAsia="pl-PL"/>
              </w:rPr>
              <w:t>Największe problemy/niedogodności w świadczeniu opieki nad osobami starszymi (np. zasoby kadrowe, rzeczowe, finansowe itp.)</w:t>
            </w:r>
          </w:p>
        </w:tc>
        <w:tc>
          <w:tcPr>
            <w:tcW w:w="11911" w:type="dxa"/>
            <w:gridSpan w:val="8"/>
          </w:tcPr>
          <w:p w14:paraId="7FED6B85"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pielęgniarstwa opieki długoterminowej – mgr Wioletty Krociak</w:t>
            </w:r>
          </w:p>
          <w:p w14:paraId="5242BED5"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 Zasoby kadrowe</w:t>
            </w:r>
          </w:p>
          <w:p w14:paraId="659FD269"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 Brak sprzętu rehabilitacyjnego np. łóżko dostosowane do potrzeb osoby starszej - chorej</w:t>
            </w:r>
          </w:p>
          <w:p w14:paraId="3F57E89A"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 Mała chęć współpracy ze strony rodziny osoby starszej.</w:t>
            </w:r>
          </w:p>
        </w:tc>
      </w:tr>
      <w:tr w:rsidR="00DD5A25" w:rsidRPr="00BB2299" w14:paraId="496B6F8B" w14:textId="77777777" w:rsidTr="006526E9">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4D6072A" w14:textId="77777777" w:rsidR="00DD5A25" w:rsidRPr="00BB2299" w:rsidRDefault="00DD5A25" w:rsidP="00DD5A25">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21DD82D8"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medycyny rodzinnej – dr n. med. Wiesławy Fabian</w:t>
            </w:r>
          </w:p>
          <w:p w14:paraId="49F14EDE"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Bardzo wiele placówek POZ ma słabe warunki infrastrukturalne dla niepełnosprawnych i starszych, często jest podjazd ale wykonany na siłę - niewygodny, wąskie wejście, nie wszędzie są windy.</w:t>
            </w:r>
          </w:p>
        </w:tc>
      </w:tr>
      <w:tr w:rsidR="00DD5A25" w:rsidRPr="00BB2299" w14:paraId="0B8E6E43" w14:textId="77777777" w:rsidTr="006526E9">
        <w:trPr>
          <w:trHeight w:val="25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9A2F99E" w14:textId="77777777" w:rsidR="00DD5A25" w:rsidRPr="00BB2299" w:rsidRDefault="00DD5A25" w:rsidP="00DD5A25">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3C4EFF3C"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pielęgniarstwa opieki paliatywnej – mgr Bogumiły Aziewicz-Gabis</w:t>
            </w:r>
          </w:p>
          <w:p w14:paraId="3DA27CA9" w14:textId="77777777" w:rsidR="00DD5A25" w:rsidRPr="00BB2299" w:rsidRDefault="00DD5A25" w:rsidP="00DD5A25">
            <w:pPr>
              <w:tabs>
                <w:tab w:val="left" w:pos="129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 Zbyt mała liczba opiekunów</w:t>
            </w:r>
          </w:p>
          <w:p w14:paraId="1D952D66" w14:textId="77777777" w:rsidR="00DD5A25" w:rsidRPr="00BB2299" w:rsidRDefault="00DD5A25" w:rsidP="00DD5A25">
            <w:pPr>
              <w:tabs>
                <w:tab w:val="left" w:pos="129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 MOPSY i GOPSY nie zapewniają wystarczającej opieki - opieka płatna, uzależniona od dochodów (zbyt niski próg dochodowy) staje się niedostępna dla większości osób potrzebujących</w:t>
            </w:r>
          </w:p>
          <w:p w14:paraId="7EFB58E6" w14:textId="77777777" w:rsidR="00DD5A25" w:rsidRPr="00BB2299" w:rsidRDefault="00DD5A25" w:rsidP="00DD5A25">
            <w:pPr>
              <w:tabs>
                <w:tab w:val="left" w:pos="1290"/>
              </w:tabs>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 Nie ma dobrego systemu społecznego/państwowego zapewniającego pomoc osobom potrzebującym wsparcia i pomocy opiekuńczej.</w:t>
            </w:r>
          </w:p>
        </w:tc>
      </w:tr>
      <w:tr w:rsidR="00DD5A25" w:rsidRPr="00BB2299" w14:paraId="5F3922C0" w14:textId="77777777" w:rsidTr="006526E9">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228B9CF" w14:textId="77777777" w:rsidR="00DD5A25" w:rsidRPr="00BB2299" w:rsidRDefault="00DD5A25" w:rsidP="00DD5A25">
            <w:pPr>
              <w:spacing w:after="0" w:line="240" w:lineRule="auto"/>
              <w:rPr>
                <w:rFonts w:ascii="Times New Roman" w:hAnsi="Times New Roman"/>
                <w:b w:val="0"/>
                <w:color w:val="auto"/>
                <w:lang w:eastAsia="pl-PL"/>
              </w:rPr>
            </w:pPr>
          </w:p>
        </w:tc>
        <w:tc>
          <w:tcPr>
            <w:tcW w:w="11911" w:type="dxa"/>
            <w:gridSpan w:val="8"/>
            <w:shd w:val="clear" w:color="auto" w:fill="FFFFFF" w:themeFill="background1"/>
          </w:tcPr>
          <w:p w14:paraId="1F6D2041"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pielęgniarstwa rodzinnego – mgr Marii Matusiak</w:t>
            </w:r>
          </w:p>
          <w:p w14:paraId="387B2060" w14:textId="77777777" w:rsidR="00DD5A25" w:rsidRPr="00BB2299" w:rsidRDefault="00DD5A25" w:rsidP="00DD5A25">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 Braki personelu pielęgniarskiego i opiekuńczego</w:t>
            </w:r>
          </w:p>
          <w:p w14:paraId="6695D6A5"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 xml:space="preserve">2. Zbyt niska liczba zakontraktowanych świadczeń zdrowotnych przez ZOWNFZ dla osób starszych przewlekle chorych </w:t>
            </w:r>
            <w:r w:rsidRPr="00BB2299">
              <w:rPr>
                <w:rFonts w:ascii="Times New Roman" w:hAnsi="Times New Roman"/>
                <w:color w:val="auto"/>
              </w:rPr>
              <w:br/>
              <w:t>w ramach pielęgniarskiej opieki długoterminowej domowej</w:t>
            </w:r>
          </w:p>
          <w:p w14:paraId="1D5854A1"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 Ograniczona liczba dziennych domów pobytu dla osób starszych</w:t>
            </w:r>
          </w:p>
          <w:p w14:paraId="60B37269"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 Ograniczona dostępność do rehabilitacji leczniczej, co zmniejsza szansę na dłuższe utrzymanie samodzielności.</w:t>
            </w:r>
          </w:p>
        </w:tc>
      </w:tr>
      <w:tr w:rsidR="00DD5A25" w:rsidRPr="00BB2299" w14:paraId="773682FF" w14:textId="77777777" w:rsidTr="006526E9">
        <w:trPr>
          <w:trHeight w:val="224"/>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2DF6FC37" w14:textId="77777777" w:rsidR="00DD5A25" w:rsidRPr="00BB2299" w:rsidRDefault="00DD5A25" w:rsidP="00DD5A25">
            <w:pPr>
              <w:spacing w:after="0" w:line="240" w:lineRule="auto"/>
              <w:jc w:val="center"/>
              <w:rPr>
                <w:rFonts w:ascii="Times New Roman" w:hAnsi="Times New Roman"/>
                <w:color w:val="auto"/>
              </w:rPr>
            </w:pPr>
            <w:r w:rsidRPr="00BB2299">
              <w:rPr>
                <w:rFonts w:ascii="Times New Roman" w:hAnsi="Times New Roman"/>
                <w:color w:val="auto"/>
                <w:lang w:eastAsia="pl-PL"/>
              </w:rPr>
              <w:t>AKTYWNOŚĆ EKONOMICZNA OSÓB STARSZYCH – DANE ZA 2019 R.</w:t>
            </w:r>
          </w:p>
        </w:tc>
      </w:tr>
      <w:tr w:rsidR="00DD5A25" w:rsidRPr="00BB2299" w14:paraId="13BF45E5" w14:textId="77777777" w:rsidTr="006526E9">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6799" w:type="dxa"/>
            <w:gridSpan w:val="4"/>
            <w:shd w:val="clear" w:color="auto" w:fill="9CC2E5" w:themeFill="accent1" w:themeFillTint="99"/>
          </w:tcPr>
          <w:p w14:paraId="014C799C" w14:textId="77777777" w:rsidR="00DD5A25" w:rsidRPr="00BB2299" w:rsidRDefault="00DD5A25" w:rsidP="00DD5A25">
            <w:pPr>
              <w:spacing w:after="0" w:line="240" w:lineRule="auto"/>
              <w:jc w:val="center"/>
              <w:rPr>
                <w:rFonts w:ascii="Times New Roman" w:hAnsi="Times New Roman"/>
                <w:color w:val="auto"/>
              </w:rPr>
            </w:pPr>
            <w:r w:rsidRPr="00BB2299">
              <w:rPr>
                <w:rFonts w:ascii="Times New Roman" w:hAnsi="Times New Roman"/>
                <w:color w:val="auto"/>
              </w:rPr>
              <w:t>Podział</w:t>
            </w:r>
          </w:p>
        </w:tc>
        <w:tc>
          <w:tcPr>
            <w:tcW w:w="7942" w:type="dxa"/>
            <w:gridSpan w:val="5"/>
            <w:shd w:val="clear" w:color="auto" w:fill="9CC2E5" w:themeFill="accent1" w:themeFillTint="99"/>
          </w:tcPr>
          <w:p w14:paraId="6DE20AA5"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w:t>
            </w:r>
          </w:p>
        </w:tc>
      </w:tr>
      <w:tr w:rsidR="00DD5A25" w:rsidRPr="00BB2299" w14:paraId="180FCE8B" w14:textId="77777777" w:rsidTr="006526E9">
        <w:trPr>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BE91B10" w14:textId="77777777" w:rsidR="00DD5A25" w:rsidRPr="00BB2299" w:rsidRDefault="00DD5A25" w:rsidP="00DD5A25">
            <w:pPr>
              <w:spacing w:after="0" w:line="240" w:lineRule="auto"/>
              <w:rPr>
                <w:rFonts w:ascii="Times New Roman" w:hAnsi="Times New Roman"/>
                <w:b w:val="0"/>
                <w:color w:val="auto"/>
                <w:lang w:eastAsia="pl-PL"/>
              </w:rPr>
            </w:pPr>
            <w:r w:rsidRPr="00BB2299">
              <w:rPr>
                <w:rFonts w:ascii="Times New Roman" w:hAnsi="Times New Roman"/>
                <w:color w:val="auto"/>
                <w:lang w:eastAsia="pl-PL"/>
              </w:rPr>
              <w:t>Osoby aktywne zawodowo razem (w tys.)</w:t>
            </w:r>
          </w:p>
        </w:tc>
        <w:tc>
          <w:tcPr>
            <w:tcW w:w="3969" w:type="dxa"/>
            <w:gridSpan w:val="3"/>
            <w:shd w:val="clear" w:color="auto" w:fill="FFFFFF" w:themeFill="background1"/>
          </w:tcPr>
          <w:p w14:paraId="28C0097C"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ogółem</w:t>
            </w:r>
          </w:p>
        </w:tc>
        <w:tc>
          <w:tcPr>
            <w:tcW w:w="7942" w:type="dxa"/>
            <w:gridSpan w:val="5"/>
            <w:shd w:val="clear" w:color="auto" w:fill="FFFFFF" w:themeFill="background1"/>
          </w:tcPr>
          <w:p w14:paraId="6A389743"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717</w:t>
            </w:r>
          </w:p>
        </w:tc>
      </w:tr>
      <w:tr w:rsidR="00DD5A25" w:rsidRPr="00BB2299" w14:paraId="36A75BE6" w14:textId="77777777" w:rsidTr="006526E9">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1735EDF" w14:textId="77777777" w:rsidR="00DD5A25" w:rsidRPr="00BB2299" w:rsidRDefault="00DD5A25" w:rsidP="00DD5A25">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320B6994"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w tym w wieku 60+</w:t>
            </w:r>
          </w:p>
        </w:tc>
        <w:tc>
          <w:tcPr>
            <w:tcW w:w="7942" w:type="dxa"/>
            <w:gridSpan w:val="5"/>
            <w:shd w:val="clear" w:color="auto" w:fill="FFFFFF" w:themeFill="background1"/>
          </w:tcPr>
          <w:p w14:paraId="7ADE2110"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61</w:t>
            </w:r>
          </w:p>
        </w:tc>
      </w:tr>
      <w:tr w:rsidR="00DD5A25" w:rsidRPr="00BB2299" w14:paraId="64A2D4E8" w14:textId="77777777" w:rsidTr="006526E9">
        <w:trPr>
          <w:trHeight w:val="285"/>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4D7D4E69" w14:textId="77777777" w:rsidR="00DD5A25" w:rsidRPr="00BB2299" w:rsidRDefault="00DD5A25" w:rsidP="00DD5A25">
            <w:pPr>
              <w:spacing w:after="0" w:line="240" w:lineRule="auto"/>
              <w:rPr>
                <w:rFonts w:ascii="Times New Roman" w:hAnsi="Times New Roman"/>
                <w:b w:val="0"/>
                <w:color w:val="auto"/>
                <w:lang w:eastAsia="pl-PL"/>
              </w:rPr>
            </w:pPr>
            <w:r w:rsidRPr="00BB2299">
              <w:rPr>
                <w:rFonts w:ascii="Times New Roman" w:hAnsi="Times New Roman"/>
                <w:color w:val="auto"/>
                <w:lang w:eastAsia="pl-PL"/>
              </w:rPr>
              <w:t xml:space="preserve">Osoby aktywne zawodowo </w:t>
            </w:r>
            <w:r w:rsidRPr="00BB2299">
              <w:rPr>
                <w:rFonts w:ascii="Times New Roman" w:hAnsi="Times New Roman"/>
                <w:color w:val="auto"/>
                <w:lang w:eastAsia="pl-PL"/>
              </w:rPr>
              <w:br/>
              <w:t>– pracujący (w tys.)</w:t>
            </w:r>
          </w:p>
        </w:tc>
        <w:tc>
          <w:tcPr>
            <w:tcW w:w="3969" w:type="dxa"/>
            <w:gridSpan w:val="3"/>
            <w:shd w:val="clear" w:color="auto" w:fill="FFFFFF" w:themeFill="background1"/>
          </w:tcPr>
          <w:p w14:paraId="5B35F366"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Ogółem</w:t>
            </w:r>
          </w:p>
        </w:tc>
        <w:tc>
          <w:tcPr>
            <w:tcW w:w="7942" w:type="dxa"/>
            <w:gridSpan w:val="5"/>
            <w:shd w:val="clear" w:color="auto" w:fill="FFFFFF" w:themeFill="background1"/>
          </w:tcPr>
          <w:p w14:paraId="3FC7876A"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694</w:t>
            </w:r>
          </w:p>
        </w:tc>
      </w:tr>
      <w:tr w:rsidR="00DD5A25" w:rsidRPr="00BB2299" w14:paraId="66C62338" w14:textId="77777777" w:rsidTr="006526E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5CEBB98" w14:textId="77777777" w:rsidR="00DD5A25" w:rsidRPr="00BB2299" w:rsidRDefault="00DD5A25" w:rsidP="00DD5A25">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76FFA4F6"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w tym w wieku 60+</w:t>
            </w:r>
          </w:p>
        </w:tc>
        <w:tc>
          <w:tcPr>
            <w:tcW w:w="7942" w:type="dxa"/>
            <w:gridSpan w:val="5"/>
            <w:shd w:val="clear" w:color="auto" w:fill="FFFFFF" w:themeFill="background1"/>
          </w:tcPr>
          <w:p w14:paraId="48685D0A"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60</w:t>
            </w:r>
          </w:p>
        </w:tc>
      </w:tr>
      <w:tr w:rsidR="00DD5A25" w:rsidRPr="00BB2299" w14:paraId="65DD8C2C" w14:textId="77777777" w:rsidTr="006526E9">
        <w:trPr>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5A420C56" w14:textId="77777777" w:rsidR="00DD5A25" w:rsidRPr="00BB2299" w:rsidRDefault="00DD5A25" w:rsidP="00DD5A25">
            <w:pPr>
              <w:spacing w:after="0" w:line="240" w:lineRule="auto"/>
              <w:rPr>
                <w:rFonts w:ascii="Times New Roman" w:hAnsi="Times New Roman"/>
                <w:b w:val="0"/>
                <w:color w:val="auto"/>
                <w:lang w:eastAsia="pl-PL"/>
              </w:rPr>
            </w:pPr>
            <w:r w:rsidRPr="00BB2299">
              <w:rPr>
                <w:rFonts w:ascii="Times New Roman" w:hAnsi="Times New Roman"/>
                <w:color w:val="auto"/>
                <w:lang w:eastAsia="pl-PL"/>
              </w:rPr>
              <w:t>Osoby bierne zawodowo (w tys.)</w:t>
            </w:r>
          </w:p>
        </w:tc>
        <w:tc>
          <w:tcPr>
            <w:tcW w:w="3969" w:type="dxa"/>
            <w:gridSpan w:val="3"/>
            <w:shd w:val="clear" w:color="auto" w:fill="FFFFFF" w:themeFill="background1"/>
          </w:tcPr>
          <w:p w14:paraId="32E015C9"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ogółem</w:t>
            </w:r>
          </w:p>
        </w:tc>
        <w:tc>
          <w:tcPr>
            <w:tcW w:w="7942" w:type="dxa"/>
            <w:gridSpan w:val="5"/>
            <w:shd w:val="clear" w:color="auto" w:fill="FFFFFF" w:themeFill="background1"/>
          </w:tcPr>
          <w:p w14:paraId="59B091FD"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616</w:t>
            </w:r>
          </w:p>
        </w:tc>
      </w:tr>
      <w:tr w:rsidR="00DD5A25" w:rsidRPr="00BB2299" w14:paraId="5471645F" w14:textId="77777777" w:rsidTr="006526E9">
        <w:trPr>
          <w:cnfStyle w:val="000000100000" w:firstRow="0" w:lastRow="0" w:firstColumn="0" w:lastColumn="0" w:oddVBand="0" w:evenVBand="0" w:oddHBand="1" w:evenHBand="0" w:firstRowFirstColumn="0" w:firstRowLastColumn="0" w:lastRowFirstColumn="0" w:lastRowLastColumn="0"/>
          <w:trHeight w:val="22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F575816" w14:textId="77777777" w:rsidR="00DD5A25" w:rsidRPr="00BB2299" w:rsidRDefault="00DD5A25" w:rsidP="00DD5A25">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54DB379B"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w tym w wieku 60+</w:t>
            </w:r>
          </w:p>
        </w:tc>
        <w:tc>
          <w:tcPr>
            <w:tcW w:w="7942" w:type="dxa"/>
            <w:gridSpan w:val="5"/>
            <w:shd w:val="clear" w:color="auto" w:fill="FFFFFF" w:themeFill="background1"/>
          </w:tcPr>
          <w:p w14:paraId="78F119A2"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370</w:t>
            </w:r>
          </w:p>
        </w:tc>
      </w:tr>
      <w:tr w:rsidR="00DD5A25" w:rsidRPr="00BB2299" w14:paraId="6C001A7D" w14:textId="77777777" w:rsidTr="006526E9">
        <w:trPr>
          <w:trHeight w:val="285"/>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D24688E" w14:textId="77777777" w:rsidR="00DD5A25" w:rsidRPr="00BB2299" w:rsidRDefault="00DD5A25" w:rsidP="00DD5A25">
            <w:pPr>
              <w:spacing w:after="0" w:line="240" w:lineRule="auto"/>
              <w:rPr>
                <w:rFonts w:ascii="Times New Roman" w:hAnsi="Times New Roman"/>
                <w:b w:val="0"/>
                <w:color w:val="auto"/>
                <w:lang w:eastAsia="pl-PL"/>
              </w:rPr>
            </w:pPr>
            <w:r w:rsidRPr="00BB2299">
              <w:rPr>
                <w:rFonts w:ascii="Times New Roman" w:hAnsi="Times New Roman"/>
                <w:color w:val="auto"/>
                <w:lang w:eastAsia="pl-PL"/>
              </w:rPr>
              <w:t>Współczynnik aktywności zawodowej %</w:t>
            </w:r>
          </w:p>
        </w:tc>
        <w:tc>
          <w:tcPr>
            <w:tcW w:w="3969" w:type="dxa"/>
            <w:gridSpan w:val="3"/>
            <w:shd w:val="clear" w:color="auto" w:fill="FFFFFF" w:themeFill="background1"/>
          </w:tcPr>
          <w:p w14:paraId="18CBD379"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Ogółem</w:t>
            </w:r>
          </w:p>
        </w:tc>
        <w:tc>
          <w:tcPr>
            <w:tcW w:w="7942" w:type="dxa"/>
            <w:gridSpan w:val="5"/>
            <w:shd w:val="clear" w:color="auto" w:fill="FFFFFF" w:themeFill="background1"/>
          </w:tcPr>
          <w:p w14:paraId="5E7C9229"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53,8</w:t>
            </w:r>
          </w:p>
        </w:tc>
      </w:tr>
      <w:tr w:rsidR="00DD5A25" w:rsidRPr="00BB2299" w14:paraId="768CE0AC" w14:textId="77777777" w:rsidTr="006526E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B052751" w14:textId="77777777" w:rsidR="00DD5A25" w:rsidRPr="00BB2299" w:rsidRDefault="00DD5A25" w:rsidP="00DD5A25">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6FC23CA5"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w tym w wieku 60+</w:t>
            </w:r>
          </w:p>
        </w:tc>
        <w:tc>
          <w:tcPr>
            <w:tcW w:w="7942" w:type="dxa"/>
            <w:gridSpan w:val="5"/>
            <w:shd w:val="clear" w:color="auto" w:fill="FFFFFF" w:themeFill="background1"/>
          </w:tcPr>
          <w:p w14:paraId="099D6734"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14,2</w:t>
            </w:r>
          </w:p>
        </w:tc>
      </w:tr>
      <w:tr w:rsidR="00DD5A25" w:rsidRPr="00BB2299" w14:paraId="21AEE392" w14:textId="77777777" w:rsidTr="006526E9">
        <w:trPr>
          <w:trHeight w:val="143"/>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5941BD3" w14:textId="77777777" w:rsidR="00DD5A25" w:rsidRPr="00BB2299" w:rsidRDefault="00DD5A25" w:rsidP="00DD5A25">
            <w:pPr>
              <w:spacing w:after="0" w:line="240" w:lineRule="auto"/>
              <w:rPr>
                <w:rFonts w:ascii="Times New Roman" w:hAnsi="Times New Roman"/>
                <w:b w:val="0"/>
                <w:color w:val="auto"/>
                <w:lang w:eastAsia="pl-PL"/>
              </w:rPr>
            </w:pPr>
            <w:r w:rsidRPr="00BB2299">
              <w:rPr>
                <w:rFonts w:ascii="Times New Roman" w:hAnsi="Times New Roman"/>
                <w:color w:val="auto"/>
                <w:lang w:eastAsia="pl-PL"/>
              </w:rPr>
              <w:lastRenderedPageBreak/>
              <w:t>Wskaźnik zatrudnienia %</w:t>
            </w:r>
          </w:p>
        </w:tc>
        <w:tc>
          <w:tcPr>
            <w:tcW w:w="3969" w:type="dxa"/>
            <w:gridSpan w:val="3"/>
            <w:shd w:val="clear" w:color="auto" w:fill="FFFFFF" w:themeFill="background1"/>
          </w:tcPr>
          <w:p w14:paraId="6DFC3282"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ogółem</w:t>
            </w:r>
          </w:p>
        </w:tc>
        <w:tc>
          <w:tcPr>
            <w:tcW w:w="7942" w:type="dxa"/>
            <w:gridSpan w:val="5"/>
            <w:shd w:val="clear" w:color="auto" w:fill="FFFFFF" w:themeFill="background1"/>
          </w:tcPr>
          <w:p w14:paraId="7F2AA2A7"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52,1</w:t>
            </w:r>
          </w:p>
        </w:tc>
      </w:tr>
      <w:tr w:rsidR="00DD5A25" w:rsidRPr="00BB2299" w14:paraId="61DE373E" w14:textId="77777777" w:rsidTr="006526E9">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D5D181A" w14:textId="77777777" w:rsidR="00DD5A25" w:rsidRPr="00BB2299" w:rsidRDefault="00DD5A25" w:rsidP="00DD5A25">
            <w:pPr>
              <w:spacing w:after="0" w:line="240" w:lineRule="auto"/>
              <w:rPr>
                <w:rFonts w:ascii="Times New Roman" w:hAnsi="Times New Roman"/>
                <w:b w:val="0"/>
                <w:color w:val="auto"/>
                <w:lang w:eastAsia="pl-PL"/>
              </w:rPr>
            </w:pPr>
          </w:p>
        </w:tc>
        <w:tc>
          <w:tcPr>
            <w:tcW w:w="3969" w:type="dxa"/>
            <w:gridSpan w:val="3"/>
            <w:shd w:val="clear" w:color="auto" w:fill="FFFFFF" w:themeFill="background1"/>
          </w:tcPr>
          <w:p w14:paraId="077282E7"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w tym w wieku 60+</w:t>
            </w:r>
          </w:p>
        </w:tc>
        <w:tc>
          <w:tcPr>
            <w:tcW w:w="7942" w:type="dxa"/>
            <w:gridSpan w:val="5"/>
            <w:shd w:val="clear" w:color="auto" w:fill="FFFFFF" w:themeFill="background1"/>
          </w:tcPr>
          <w:p w14:paraId="4F148925"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13,9</w:t>
            </w:r>
          </w:p>
        </w:tc>
      </w:tr>
      <w:tr w:rsidR="00DD5A25" w:rsidRPr="00BB2299" w14:paraId="11695652" w14:textId="77777777" w:rsidTr="006526E9">
        <w:trPr>
          <w:trHeight w:val="282"/>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24FA2775" w14:textId="77777777" w:rsidR="00DD5A25" w:rsidRPr="00BB2299" w:rsidRDefault="00DD5A25" w:rsidP="00DD5A25">
            <w:pPr>
              <w:spacing w:after="0" w:line="240" w:lineRule="auto"/>
              <w:rPr>
                <w:rFonts w:ascii="Times New Roman" w:hAnsi="Times New Roman"/>
                <w:b w:val="0"/>
                <w:color w:val="auto"/>
                <w:lang w:eastAsia="pl-PL"/>
              </w:rPr>
            </w:pPr>
            <w:r w:rsidRPr="00BB2299">
              <w:rPr>
                <w:rFonts w:ascii="Times New Roman" w:eastAsia="Times New Roman" w:hAnsi="Times New Roman"/>
                <w:color w:val="auto"/>
                <w:lang w:eastAsia="pl-PL"/>
              </w:rPr>
              <w:t xml:space="preserve">Osoby bierne zawodowo  w wieku 60 lat i więcej według wybranych przyczyn bierności </w:t>
            </w:r>
            <w:r w:rsidRPr="00BB2299">
              <w:rPr>
                <w:rFonts w:ascii="Times New Roman" w:eastAsia="Times New Roman" w:hAnsi="Times New Roman"/>
                <w:color w:val="auto"/>
                <w:lang w:eastAsia="pl-PL"/>
              </w:rPr>
              <w:br/>
              <w:t>(w tys.)</w:t>
            </w:r>
          </w:p>
        </w:tc>
        <w:tc>
          <w:tcPr>
            <w:tcW w:w="3969" w:type="dxa"/>
            <w:gridSpan w:val="3"/>
            <w:shd w:val="clear" w:color="auto" w:fill="FFFFFF" w:themeFill="background1"/>
          </w:tcPr>
          <w:p w14:paraId="2BC8767E"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ogółem</w:t>
            </w:r>
          </w:p>
        </w:tc>
        <w:tc>
          <w:tcPr>
            <w:tcW w:w="7942" w:type="dxa"/>
            <w:gridSpan w:val="5"/>
            <w:shd w:val="clear" w:color="auto" w:fill="FFFFFF" w:themeFill="background1"/>
          </w:tcPr>
          <w:p w14:paraId="44768216"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370</w:t>
            </w:r>
          </w:p>
        </w:tc>
      </w:tr>
      <w:tr w:rsidR="00DD5A25" w:rsidRPr="00BB2299" w14:paraId="55CDB902" w14:textId="77777777" w:rsidTr="006526E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121307A"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FFFFFF" w:themeFill="background1"/>
          </w:tcPr>
          <w:p w14:paraId="414D8400"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w tym:</w:t>
            </w:r>
          </w:p>
        </w:tc>
      </w:tr>
      <w:tr w:rsidR="00DD5A25" w:rsidRPr="00BB2299" w14:paraId="16E0FBA6" w14:textId="77777777" w:rsidTr="006526E9">
        <w:trPr>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03F66BB"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2B54E814"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auto"/>
                <w:lang w:eastAsia="pl-PL"/>
              </w:rPr>
            </w:pPr>
            <w:r w:rsidRPr="00BB2299">
              <w:rPr>
                <w:rFonts w:ascii="Times New Roman" w:eastAsia="Times New Roman" w:hAnsi="Times New Roman"/>
                <w:color w:val="auto"/>
                <w:lang w:eastAsia="pl-PL"/>
              </w:rPr>
              <w:t>osoby nieposzukujące pracy - razem</w:t>
            </w:r>
          </w:p>
        </w:tc>
        <w:tc>
          <w:tcPr>
            <w:tcW w:w="7942" w:type="dxa"/>
            <w:gridSpan w:val="5"/>
            <w:shd w:val="clear" w:color="auto" w:fill="FFFFFF" w:themeFill="background1"/>
          </w:tcPr>
          <w:p w14:paraId="7358206D"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370</w:t>
            </w:r>
          </w:p>
        </w:tc>
      </w:tr>
      <w:tr w:rsidR="00DD5A25" w:rsidRPr="00BB2299" w14:paraId="3150650C" w14:textId="77777777" w:rsidTr="006526E9">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022C122"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6058072C"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eastAsia="Times New Roman" w:hAnsi="Times New Roman"/>
                <w:color w:val="auto"/>
                <w:lang w:eastAsia="pl-PL"/>
              </w:rPr>
              <w:t>osoby nieposzukujące pracy - emerytura</w:t>
            </w:r>
          </w:p>
        </w:tc>
        <w:tc>
          <w:tcPr>
            <w:tcW w:w="7942" w:type="dxa"/>
            <w:gridSpan w:val="5"/>
            <w:shd w:val="clear" w:color="auto" w:fill="FFFFFF" w:themeFill="background1"/>
          </w:tcPr>
          <w:p w14:paraId="2C180A50"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327</w:t>
            </w:r>
          </w:p>
        </w:tc>
      </w:tr>
      <w:tr w:rsidR="00DD5A25" w:rsidRPr="00BB2299" w14:paraId="1F8D0382" w14:textId="77777777" w:rsidTr="006526E9">
        <w:trPr>
          <w:trHeight w:val="28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44149DC"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07BB6839"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eastAsia="Times New Roman" w:hAnsi="Times New Roman"/>
                <w:color w:val="auto"/>
                <w:lang w:eastAsia="pl-PL"/>
              </w:rPr>
              <w:t>osoby nieposzukujące pracy - choroba, niepełnosprawność</w:t>
            </w:r>
          </w:p>
        </w:tc>
        <w:tc>
          <w:tcPr>
            <w:tcW w:w="7942" w:type="dxa"/>
            <w:gridSpan w:val="5"/>
            <w:shd w:val="clear" w:color="auto" w:fill="FFFFFF" w:themeFill="background1"/>
          </w:tcPr>
          <w:p w14:paraId="3B9A0A61"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28</w:t>
            </w:r>
          </w:p>
        </w:tc>
      </w:tr>
      <w:tr w:rsidR="00DD5A25" w:rsidRPr="00BB2299" w14:paraId="20CED547" w14:textId="77777777" w:rsidTr="006526E9">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FCC44A6"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r w:rsidRPr="00BB2299">
              <w:rPr>
                <w:rFonts w:ascii="Times New Roman" w:eastAsia="Times New Roman" w:hAnsi="Times New Roman"/>
                <w:color w:val="auto"/>
                <w:lang w:eastAsia="pl-PL"/>
              </w:rPr>
              <w:t>Osoby bezrobotne zarejestrowane w urzędach pracy (w tys.)</w:t>
            </w:r>
          </w:p>
        </w:tc>
        <w:tc>
          <w:tcPr>
            <w:tcW w:w="3969" w:type="dxa"/>
            <w:gridSpan w:val="3"/>
            <w:shd w:val="clear" w:color="auto" w:fill="FFFFFF" w:themeFill="background1"/>
          </w:tcPr>
          <w:p w14:paraId="5A729DDF"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ogółem</w:t>
            </w:r>
          </w:p>
        </w:tc>
        <w:tc>
          <w:tcPr>
            <w:tcW w:w="7942" w:type="dxa"/>
            <w:gridSpan w:val="5"/>
            <w:shd w:val="clear" w:color="auto" w:fill="FFFFFF" w:themeFill="background1"/>
          </w:tcPr>
          <w:p w14:paraId="7A1F60BB"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41,8</w:t>
            </w:r>
          </w:p>
        </w:tc>
      </w:tr>
      <w:tr w:rsidR="00DD5A25" w:rsidRPr="00BB2299" w14:paraId="78F19CA7" w14:textId="77777777" w:rsidTr="006526E9">
        <w:trPr>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9D8DBA3"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4F6EC3B2"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w tym w wieku 60+</w:t>
            </w:r>
          </w:p>
        </w:tc>
        <w:tc>
          <w:tcPr>
            <w:tcW w:w="7942" w:type="dxa"/>
            <w:gridSpan w:val="5"/>
            <w:shd w:val="clear" w:color="auto" w:fill="FFFFFF" w:themeFill="background1"/>
          </w:tcPr>
          <w:p w14:paraId="67566871"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3,5</w:t>
            </w:r>
          </w:p>
        </w:tc>
      </w:tr>
      <w:tr w:rsidR="00DD5A25" w:rsidRPr="00BB2299" w14:paraId="52C294CC" w14:textId="77777777" w:rsidTr="006526E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FFFFFF" w:themeFill="background1"/>
          </w:tcPr>
          <w:p w14:paraId="68139832" w14:textId="77777777" w:rsidR="00DD5A25" w:rsidRPr="00BB2299" w:rsidRDefault="00DD5A25" w:rsidP="00DD5A25">
            <w:pPr>
              <w:spacing w:after="0" w:line="240" w:lineRule="auto"/>
              <w:rPr>
                <w:rFonts w:ascii="Times New Roman" w:hAnsi="Times New Roman"/>
                <w:b w:val="0"/>
                <w:bCs w:val="0"/>
                <w:i/>
                <w:iCs/>
                <w:color w:val="auto"/>
              </w:rPr>
            </w:pPr>
            <w:r w:rsidRPr="00BB2299">
              <w:rPr>
                <w:rFonts w:ascii="Times New Roman" w:hAnsi="Times New Roman"/>
                <w:b w:val="0"/>
                <w:bCs w:val="0"/>
                <w:i/>
                <w:iCs/>
                <w:color w:val="auto"/>
              </w:rPr>
              <w:t>Źródło danych: opracowanie własne na podstawie danych z Powiatowych Urzędów Pracy woj. zachodniopomorskiego</w:t>
            </w:r>
          </w:p>
        </w:tc>
      </w:tr>
      <w:tr w:rsidR="00DD5A25" w:rsidRPr="00BB2299" w14:paraId="0461E09A" w14:textId="77777777" w:rsidTr="006526E9">
        <w:trPr>
          <w:trHeight w:val="191"/>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DD33FC3"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r w:rsidRPr="00BB2299">
              <w:rPr>
                <w:rFonts w:ascii="Times New Roman" w:eastAsia="Times New Roman" w:hAnsi="Times New Roman"/>
                <w:color w:val="auto"/>
                <w:lang w:eastAsia="pl-PL"/>
              </w:rPr>
              <w:t xml:space="preserve">Osoby pobierające renty </w:t>
            </w:r>
            <w:r w:rsidRPr="00BB2299">
              <w:rPr>
                <w:rFonts w:ascii="Times New Roman" w:eastAsia="Times New Roman" w:hAnsi="Times New Roman"/>
                <w:color w:val="auto"/>
                <w:lang w:eastAsia="pl-PL"/>
              </w:rPr>
              <w:br/>
              <w:t xml:space="preserve">i emerytury </w:t>
            </w:r>
          </w:p>
        </w:tc>
        <w:tc>
          <w:tcPr>
            <w:tcW w:w="11911" w:type="dxa"/>
            <w:gridSpan w:val="8"/>
            <w:shd w:val="clear" w:color="auto" w:fill="9CC2E5" w:themeFill="accent1" w:themeFillTint="99"/>
          </w:tcPr>
          <w:p w14:paraId="7C41D3A8" w14:textId="77777777" w:rsidR="00DD5A25" w:rsidRPr="00BB2299" w:rsidRDefault="00DD5A25" w:rsidP="00DD5A25">
            <w:pPr>
              <w:tabs>
                <w:tab w:val="left" w:pos="1725"/>
                <w:tab w:val="center" w:pos="2363"/>
              </w:tabs>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ZUS</w:t>
            </w:r>
          </w:p>
        </w:tc>
      </w:tr>
      <w:tr w:rsidR="00DD5A25" w:rsidRPr="00BB2299" w14:paraId="1BC18792" w14:textId="77777777" w:rsidTr="006526E9">
        <w:trPr>
          <w:cnfStyle w:val="000000100000" w:firstRow="0" w:lastRow="0" w:firstColumn="0" w:lastColumn="0" w:oddVBand="0" w:evenVBand="0" w:oddHBand="1" w:evenHBand="0" w:firstRowFirstColumn="0" w:firstRowLastColumn="0" w:lastRowFirstColumn="0" w:lastRowLastColumn="0"/>
          <w:trHeight w:val="18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9F21E21"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187ABBF2"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Rodzaj świadczenia</w:t>
            </w:r>
          </w:p>
        </w:tc>
        <w:tc>
          <w:tcPr>
            <w:tcW w:w="7942" w:type="dxa"/>
            <w:gridSpan w:val="5"/>
            <w:shd w:val="clear" w:color="auto" w:fill="9CC2E5" w:themeFill="accent1" w:themeFillTint="99"/>
          </w:tcPr>
          <w:p w14:paraId="3788F23B"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Przeciętna miesięczna liczba emerytów i rencistów (w tys.)</w:t>
            </w:r>
          </w:p>
        </w:tc>
      </w:tr>
      <w:tr w:rsidR="00DD5A25" w:rsidRPr="00BB2299" w14:paraId="7B5FFADF" w14:textId="77777777" w:rsidTr="006526E9">
        <w:trPr>
          <w:trHeight w:val="143"/>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A7AA01D"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7D5D5B96"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Emerytury</w:t>
            </w:r>
          </w:p>
        </w:tc>
        <w:tc>
          <w:tcPr>
            <w:tcW w:w="7942" w:type="dxa"/>
            <w:gridSpan w:val="5"/>
            <w:shd w:val="clear" w:color="auto" w:fill="FFFFFF" w:themeFill="background1"/>
          </w:tcPr>
          <w:p w14:paraId="018F8EA5"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180 198</w:t>
            </w:r>
          </w:p>
        </w:tc>
      </w:tr>
      <w:tr w:rsidR="00DD5A25" w:rsidRPr="00BB2299" w14:paraId="08B2F127" w14:textId="77777777" w:rsidTr="006526E9">
        <w:trPr>
          <w:cnfStyle w:val="000000100000" w:firstRow="0" w:lastRow="0" w:firstColumn="0" w:lastColumn="0" w:oddVBand="0" w:evenVBand="0" w:oddHBand="1" w:evenHBand="0" w:firstRowFirstColumn="0" w:firstRowLastColumn="0" w:lastRowFirstColumn="0" w:lastRowLastColumn="0"/>
          <w:trHeight w:val="1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C28404A"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1F371EE4"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Renty z tytułu niezdolności do pracy</w:t>
            </w:r>
          </w:p>
        </w:tc>
        <w:tc>
          <w:tcPr>
            <w:tcW w:w="7942" w:type="dxa"/>
            <w:gridSpan w:val="5"/>
            <w:shd w:val="clear" w:color="auto" w:fill="FFFFFF" w:themeFill="background1"/>
          </w:tcPr>
          <w:p w14:paraId="20A8D9A9"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18 635</w:t>
            </w:r>
          </w:p>
        </w:tc>
      </w:tr>
      <w:tr w:rsidR="00DD5A25" w:rsidRPr="00BB2299" w14:paraId="5E9F758D" w14:textId="77777777" w:rsidTr="006526E9">
        <w:trPr>
          <w:trHeight w:val="1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3DA26F4"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73154AE9"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Renty rodzinne</w:t>
            </w:r>
          </w:p>
        </w:tc>
        <w:tc>
          <w:tcPr>
            <w:tcW w:w="7942" w:type="dxa"/>
            <w:gridSpan w:val="5"/>
            <w:shd w:val="clear" w:color="auto" w:fill="FFFFFF" w:themeFill="background1"/>
          </w:tcPr>
          <w:p w14:paraId="12E7B88B"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35 730</w:t>
            </w:r>
          </w:p>
        </w:tc>
      </w:tr>
      <w:tr w:rsidR="00DD5A25" w:rsidRPr="00BB2299" w14:paraId="2E59DDDD" w14:textId="77777777" w:rsidTr="006526E9">
        <w:trPr>
          <w:cnfStyle w:val="000000100000" w:firstRow="0" w:lastRow="0" w:firstColumn="0" w:lastColumn="0" w:oddVBand="0" w:evenVBand="0" w:oddHBand="1" w:evenHBand="0" w:firstRowFirstColumn="0" w:firstRowLastColumn="0" w:lastRowFirstColumn="0" w:lastRowLastColumn="0"/>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66D7FE3"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51CFDCE3" w14:textId="77777777" w:rsidR="00DD5A25" w:rsidRPr="006526E9" w:rsidRDefault="00DD5A25" w:rsidP="00DD5A25">
            <w:pPr>
              <w:tabs>
                <w:tab w:val="left" w:pos="1507"/>
                <w:tab w:val="center" w:pos="2363"/>
              </w:tabs>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6526E9">
              <w:rPr>
                <w:rFonts w:ascii="Times New Roman" w:hAnsi="Times New Roman"/>
                <w:b/>
                <w:color w:val="auto"/>
              </w:rPr>
              <w:t>KRUS</w:t>
            </w:r>
          </w:p>
        </w:tc>
      </w:tr>
      <w:tr w:rsidR="00DD5A25" w:rsidRPr="00BB2299" w14:paraId="1AC36DB0" w14:textId="77777777" w:rsidTr="006526E9">
        <w:trPr>
          <w:trHeight w:val="81"/>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8A12241"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9CC2E5" w:themeFill="accent1" w:themeFillTint="99"/>
          </w:tcPr>
          <w:p w14:paraId="68ABEF94" w14:textId="77777777" w:rsidR="00DD5A25" w:rsidRPr="006526E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6526E9">
              <w:rPr>
                <w:rFonts w:ascii="Times New Roman" w:hAnsi="Times New Roman"/>
                <w:b/>
                <w:color w:val="auto"/>
              </w:rPr>
              <w:t>Rodzaj świadczenia</w:t>
            </w:r>
          </w:p>
        </w:tc>
        <w:tc>
          <w:tcPr>
            <w:tcW w:w="7942" w:type="dxa"/>
            <w:gridSpan w:val="5"/>
            <w:shd w:val="clear" w:color="auto" w:fill="9CC2E5" w:themeFill="accent1" w:themeFillTint="99"/>
          </w:tcPr>
          <w:p w14:paraId="2712E40C" w14:textId="77777777" w:rsidR="00DD5A25" w:rsidRPr="006526E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6526E9">
              <w:rPr>
                <w:rFonts w:ascii="Times New Roman" w:hAnsi="Times New Roman"/>
                <w:b/>
                <w:color w:val="auto"/>
              </w:rPr>
              <w:t>Przeciętna miesięczna liczba emerytów i rencistów (w tys.)</w:t>
            </w:r>
          </w:p>
        </w:tc>
      </w:tr>
      <w:tr w:rsidR="00DD5A25" w:rsidRPr="00BB2299" w14:paraId="750918B6" w14:textId="77777777" w:rsidTr="006526E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5653BDCC"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65A5122D"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Emerytury</w:t>
            </w:r>
          </w:p>
        </w:tc>
        <w:tc>
          <w:tcPr>
            <w:tcW w:w="7942" w:type="dxa"/>
            <w:gridSpan w:val="5"/>
            <w:shd w:val="clear" w:color="auto" w:fill="FFFFFF" w:themeFill="background1"/>
          </w:tcPr>
          <w:p w14:paraId="08B724BD"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18 998</w:t>
            </w:r>
          </w:p>
        </w:tc>
      </w:tr>
      <w:tr w:rsidR="00DD5A25" w:rsidRPr="00BB2299" w14:paraId="64800818" w14:textId="77777777" w:rsidTr="006526E9">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905E4D7"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72290D81"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Renty z tytułu niezdolności do pracy</w:t>
            </w:r>
          </w:p>
        </w:tc>
        <w:tc>
          <w:tcPr>
            <w:tcW w:w="7942" w:type="dxa"/>
            <w:gridSpan w:val="5"/>
            <w:shd w:val="clear" w:color="auto" w:fill="FFFFFF" w:themeFill="background1"/>
          </w:tcPr>
          <w:p w14:paraId="2BF80261" w14:textId="77777777" w:rsidR="00DD5A25" w:rsidRPr="00BB2299" w:rsidRDefault="00DD5A25" w:rsidP="00DD5A25">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4 417</w:t>
            </w:r>
          </w:p>
        </w:tc>
      </w:tr>
      <w:tr w:rsidR="00DD5A25" w:rsidRPr="00BB2299" w14:paraId="053388B6" w14:textId="77777777" w:rsidTr="006526E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EC37E27"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p>
        </w:tc>
        <w:tc>
          <w:tcPr>
            <w:tcW w:w="3969" w:type="dxa"/>
            <w:gridSpan w:val="3"/>
            <w:shd w:val="clear" w:color="auto" w:fill="FFFFFF" w:themeFill="background1"/>
          </w:tcPr>
          <w:p w14:paraId="4CCB5431"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Renty rodzinne</w:t>
            </w:r>
          </w:p>
        </w:tc>
        <w:tc>
          <w:tcPr>
            <w:tcW w:w="7942" w:type="dxa"/>
            <w:gridSpan w:val="5"/>
            <w:shd w:val="clear" w:color="auto" w:fill="FFFFFF" w:themeFill="background1"/>
          </w:tcPr>
          <w:p w14:paraId="2F69B438"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941</w:t>
            </w:r>
          </w:p>
        </w:tc>
      </w:tr>
      <w:tr w:rsidR="00DD5A25" w:rsidRPr="00BB2299" w14:paraId="00A7F3F4" w14:textId="77777777" w:rsidTr="006526E9">
        <w:trPr>
          <w:trHeight w:val="79"/>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251062B8" w14:textId="77777777" w:rsidR="00DD5A25" w:rsidRPr="00BB2299" w:rsidRDefault="00DD5A25" w:rsidP="00DD5A25">
            <w:pPr>
              <w:spacing w:after="0" w:line="240" w:lineRule="auto"/>
              <w:jc w:val="center"/>
              <w:rPr>
                <w:rFonts w:ascii="Times New Roman" w:hAnsi="Times New Roman"/>
                <w:color w:val="auto"/>
              </w:rPr>
            </w:pPr>
            <w:r w:rsidRPr="00BB2299">
              <w:rPr>
                <w:rFonts w:ascii="Times New Roman" w:hAnsi="Times New Roman"/>
                <w:color w:val="auto"/>
              </w:rPr>
              <w:t>SYTUACJA DOCHODOWA, WARUNKI BYTU, W TYM WARUNKI MIESZKANIOWE – DANE ZA 2019 R,</w:t>
            </w:r>
          </w:p>
        </w:tc>
      </w:tr>
      <w:tr w:rsidR="00DD5A25" w:rsidRPr="00BB2299" w14:paraId="1C64CDCB" w14:textId="77777777" w:rsidTr="006526E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FFFFFF" w:themeFill="background1"/>
          </w:tcPr>
          <w:p w14:paraId="46469994" w14:textId="77777777" w:rsidR="00DD5A25" w:rsidRPr="00BB2299" w:rsidRDefault="00DD5A25" w:rsidP="00DD5A25">
            <w:pPr>
              <w:spacing w:after="0" w:line="240" w:lineRule="auto"/>
              <w:rPr>
                <w:rFonts w:ascii="Times New Roman" w:hAnsi="Times New Roman"/>
                <w:color w:val="auto"/>
              </w:rPr>
            </w:pPr>
            <w:r w:rsidRPr="00BB2299">
              <w:rPr>
                <w:rFonts w:ascii="Times New Roman" w:hAnsi="Times New Roman"/>
                <w:bCs w:val="0"/>
                <w:color w:val="auto"/>
              </w:rPr>
              <w:t>Opinia konsultanta wojewódzkiego w dziedzinie chorób wewnętrznych – prof. dr hab. n. med. Leszka Domańskiego</w:t>
            </w:r>
          </w:p>
          <w:p w14:paraId="1D7E969D" w14:textId="77777777" w:rsidR="00DD5A25" w:rsidRPr="00BB2299" w:rsidRDefault="00DD5A25" w:rsidP="00DD5A25">
            <w:pPr>
              <w:spacing w:after="0" w:line="240" w:lineRule="auto"/>
              <w:rPr>
                <w:rFonts w:ascii="Times New Roman" w:hAnsi="Times New Roman"/>
                <w:b w:val="0"/>
                <w:color w:val="auto"/>
              </w:rPr>
            </w:pPr>
            <w:r w:rsidRPr="00BB2299">
              <w:rPr>
                <w:rFonts w:ascii="Times New Roman" w:hAnsi="Times New Roman"/>
                <w:b w:val="0"/>
                <w:bCs w:val="0"/>
                <w:color w:val="auto"/>
              </w:rPr>
              <w:t xml:space="preserve">Przeciętne miesięczne wydatki na 1 osobę w gospodarstwach domowych w 2018 r, wyłącznie z osobami starszymi w wieku 60 lat i więcej wyniosły 1 501 zł </w:t>
            </w:r>
            <w:r w:rsidRPr="00BB2299">
              <w:rPr>
                <w:rFonts w:ascii="Times New Roman" w:hAnsi="Times New Roman"/>
                <w:b w:val="0"/>
                <w:bCs w:val="0"/>
                <w:color w:val="auto"/>
              </w:rPr>
              <w:br/>
              <w:t xml:space="preserve">i były o 24,8% wyższe niż w gospodarstwach, w skład których wchodziły wyłącznie osoby młodsze. W porównaniu do 2017 r. nastąpił spadek wydatków </w:t>
            </w:r>
            <w:r w:rsidRPr="00BB2299">
              <w:rPr>
                <w:rFonts w:ascii="Times New Roman" w:hAnsi="Times New Roman"/>
                <w:b w:val="0"/>
                <w:bCs w:val="0"/>
                <w:color w:val="auto"/>
              </w:rPr>
              <w:br/>
              <w:t xml:space="preserve">na 1 osobę w gospodarstwach domowych wyłącznie z osobami starszymi, w wieku 60 lat i więcej o 0,9%, podczas gdy w gospodarstwach, mających w składzie wyłącznie osoby młodsze, w wieku poniżej 60 lat wystąpił wzrost o prawie 2%. Udział przeciętnych miesięcznych wydatków na 1 osobę w dochodzie rozporządzalnym w gospodarstwach domowych składających się wyłącznie z osób w wieku 60 lat i więcej wyniósł 76,2% i był niższy o 4 p. proc. </w:t>
            </w:r>
            <w:r w:rsidRPr="00BB2299">
              <w:rPr>
                <w:rFonts w:ascii="Times New Roman" w:hAnsi="Times New Roman"/>
                <w:b w:val="0"/>
                <w:bCs w:val="0"/>
                <w:color w:val="auto"/>
              </w:rPr>
              <w:br/>
              <w:t xml:space="preserve">niż w 2017 r. (80,2%), podczas gdy w gospodarstwach domowych wyłącznie z osobami poniżej 60 lat wyniósł 70,5% (w 2017 r. – 73,4%). W gospodarstwach domowych, w skład których wchodziły tylko osoby w wieku 60 lat i więcej w porównaniu z gospodarstwami domowymi osób młodszych, wystąpił wyższy udział wydatków na 1 osobę na żywność i napoje bezalkoholowe (o 3,9 p. proc.), użytkowanie mieszkania lub domu i nośniki energii (o 4,7 p. proc.) </w:t>
            </w:r>
            <w:r w:rsidRPr="00BB2299">
              <w:rPr>
                <w:rFonts w:ascii="Times New Roman" w:hAnsi="Times New Roman"/>
                <w:b w:val="0"/>
                <w:bCs w:val="0"/>
                <w:color w:val="auto"/>
              </w:rPr>
              <w:br/>
              <w:t xml:space="preserve">oraz zdrowie (o 4,9 p. proc.). Poziom, dynamika i struktura dochodów oraz wydatków podlega zwykle istotnemu zróżnicowaniu ze względu na miejsce </w:t>
            </w:r>
            <w:r w:rsidRPr="00BB2299">
              <w:rPr>
                <w:rFonts w:ascii="Times New Roman" w:hAnsi="Times New Roman"/>
                <w:b w:val="0"/>
                <w:bCs w:val="0"/>
                <w:color w:val="auto"/>
              </w:rPr>
              <w:lastRenderedPageBreak/>
              <w:t xml:space="preserve">zamieszkania gospodarstwa domowego. Sytuacja dochodowa gospodarstw domowych zamieszkujących w miastach jest lepsza niż gospodarstw domowych </w:t>
            </w:r>
            <w:r w:rsidRPr="00BB2299">
              <w:rPr>
                <w:rFonts w:ascii="Times New Roman" w:hAnsi="Times New Roman"/>
                <w:b w:val="0"/>
                <w:bCs w:val="0"/>
                <w:color w:val="auto"/>
              </w:rPr>
              <w:br/>
              <w:t xml:space="preserve">na wsi. W miastach gospodarstwa domowe wyłącznie z osobami w wieku 60 lat i więcej miały dochody wyższe o 25,1% (w 2017 r. o 26,8%) oraz o 28,6% </w:t>
            </w:r>
            <w:r w:rsidRPr="00BB2299">
              <w:rPr>
                <w:rFonts w:ascii="Times New Roman" w:hAnsi="Times New Roman"/>
                <w:b w:val="0"/>
                <w:bCs w:val="0"/>
                <w:color w:val="auto"/>
              </w:rPr>
              <w:br/>
              <w:t xml:space="preserve">w przypadku gospodarstw bez osób starszych (w 2017 r. o 28,4%) niż gospodarstwa na wsi. Również wydatki gospodarstw domowych wyłącznie osób starszych zamieszkujących w miastach były wyższe o 17,8% (w 2017 r. o 18,9%), a w przypadku gospodarstw wyłącznie z osobami poniżej 60 roku życia </w:t>
            </w:r>
            <w:r w:rsidRPr="00BB2299">
              <w:rPr>
                <w:rFonts w:ascii="Times New Roman" w:hAnsi="Times New Roman"/>
                <w:b w:val="0"/>
                <w:bCs w:val="0"/>
                <w:color w:val="auto"/>
              </w:rPr>
              <w:br/>
              <w:t xml:space="preserve">i – o 32,4% (w 2017 r. o 30,8%) niż gospodarstw na wsi. W 2018 r., podobnie jak w latach poprzednich, stopa ubóstwa skrajnego3 wśród osób starszych, </w:t>
            </w:r>
            <w:r w:rsidRPr="00BB2299">
              <w:rPr>
                <w:rFonts w:ascii="Times New Roman" w:hAnsi="Times New Roman"/>
                <w:b w:val="0"/>
                <w:bCs w:val="0"/>
                <w:color w:val="auto"/>
              </w:rPr>
              <w:br/>
              <w:t>w wieku 60 lat i więcej (około 4% osób ubogich), była niższa niż wśród osób w wieku do 60 lat (około 6%).</w:t>
            </w:r>
          </w:p>
        </w:tc>
      </w:tr>
      <w:tr w:rsidR="00DD5A25" w:rsidRPr="00BB2299" w14:paraId="0BFC9BAE" w14:textId="77777777" w:rsidTr="006526E9">
        <w:trPr>
          <w:trHeight w:val="79"/>
          <w:jc w:val="center"/>
        </w:trPr>
        <w:tc>
          <w:tcPr>
            <w:cnfStyle w:val="001000000000" w:firstRow="0" w:lastRow="0" w:firstColumn="1" w:lastColumn="0" w:oddVBand="0" w:evenVBand="0" w:oddHBand="0" w:evenHBand="0" w:firstRowFirstColumn="0" w:firstRowLastColumn="0" w:lastRowFirstColumn="0" w:lastRowLastColumn="0"/>
            <w:tcW w:w="14741" w:type="dxa"/>
            <w:gridSpan w:val="9"/>
            <w:shd w:val="clear" w:color="auto" w:fill="9CC2E5" w:themeFill="accent1" w:themeFillTint="99"/>
          </w:tcPr>
          <w:p w14:paraId="6237A688" w14:textId="77777777" w:rsidR="00DD5A25" w:rsidRPr="00BB2299" w:rsidRDefault="00DD5A25" w:rsidP="00DD5A25">
            <w:pPr>
              <w:spacing w:after="0" w:line="240" w:lineRule="auto"/>
              <w:jc w:val="center"/>
              <w:rPr>
                <w:rFonts w:ascii="Times New Roman" w:hAnsi="Times New Roman"/>
                <w:color w:val="auto"/>
              </w:rPr>
            </w:pPr>
            <w:r w:rsidRPr="00BB2299">
              <w:rPr>
                <w:rFonts w:ascii="Times New Roman" w:hAnsi="Times New Roman"/>
                <w:color w:val="auto"/>
              </w:rPr>
              <w:lastRenderedPageBreak/>
              <w:t>USŁUGI SPOŁECZNE DLA OSÓB STARSZYCH / INFRASTRUKTURA POMOCY SPOLECZNEJ – DANE ZA 2019 R.</w:t>
            </w:r>
          </w:p>
        </w:tc>
      </w:tr>
      <w:tr w:rsidR="00DD5A25" w:rsidRPr="00BB2299" w14:paraId="51F79599" w14:textId="77777777" w:rsidTr="006526E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74ED27BE" w14:textId="77777777" w:rsidR="00DD5A25" w:rsidRPr="00BB2299" w:rsidRDefault="00DD5A25" w:rsidP="00DD5A25">
            <w:pPr>
              <w:spacing w:after="0" w:line="240" w:lineRule="auto"/>
              <w:rPr>
                <w:rFonts w:ascii="Times New Roman" w:eastAsia="Times New Roman" w:hAnsi="Times New Roman"/>
                <w:b w:val="0"/>
                <w:bCs w:val="0"/>
                <w:color w:val="auto"/>
                <w:lang w:eastAsia="pl-PL"/>
              </w:rPr>
            </w:pPr>
            <w:r w:rsidRPr="00BB2299">
              <w:rPr>
                <w:rFonts w:ascii="Times New Roman" w:eastAsia="Times New Roman" w:hAnsi="Times New Roman"/>
                <w:color w:val="auto"/>
                <w:lang w:eastAsia="pl-PL"/>
              </w:rPr>
              <w:t>Instytucje pomocy społecznej, w tym:</w:t>
            </w:r>
          </w:p>
        </w:tc>
        <w:tc>
          <w:tcPr>
            <w:tcW w:w="3066" w:type="dxa"/>
            <w:shd w:val="clear" w:color="auto" w:fill="9CC2E5" w:themeFill="accent1" w:themeFillTint="99"/>
          </w:tcPr>
          <w:p w14:paraId="491A9371"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BB2299">
              <w:rPr>
                <w:rFonts w:ascii="Times New Roman" w:hAnsi="Times New Roman"/>
                <w:b/>
                <w:color w:val="auto"/>
              </w:rPr>
              <w:t>Rodzaj placówki</w:t>
            </w:r>
          </w:p>
        </w:tc>
        <w:tc>
          <w:tcPr>
            <w:tcW w:w="2948" w:type="dxa"/>
            <w:gridSpan w:val="3"/>
            <w:shd w:val="clear" w:color="auto" w:fill="9CC2E5" w:themeFill="accent1" w:themeFillTint="99"/>
          </w:tcPr>
          <w:p w14:paraId="1B9733CA"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BB2299">
              <w:rPr>
                <w:rFonts w:ascii="Times New Roman" w:hAnsi="Times New Roman"/>
                <w:b/>
                <w:color w:val="auto"/>
              </w:rPr>
              <w:t>Liczba placówek</w:t>
            </w:r>
          </w:p>
        </w:tc>
        <w:tc>
          <w:tcPr>
            <w:tcW w:w="2948" w:type="dxa"/>
            <w:gridSpan w:val="3"/>
            <w:shd w:val="clear" w:color="auto" w:fill="9CC2E5" w:themeFill="accent1" w:themeFillTint="99"/>
          </w:tcPr>
          <w:p w14:paraId="12AA88C7"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bCs/>
                <w:color w:val="auto"/>
              </w:rPr>
            </w:pPr>
            <w:r w:rsidRPr="00BB2299">
              <w:rPr>
                <w:rFonts w:ascii="Times New Roman" w:hAnsi="Times New Roman"/>
                <w:b/>
                <w:color w:val="auto"/>
              </w:rPr>
              <w:t>Liczba miejsc dla osób starszych</w:t>
            </w:r>
          </w:p>
        </w:tc>
        <w:tc>
          <w:tcPr>
            <w:tcW w:w="2949" w:type="dxa"/>
            <w:shd w:val="clear" w:color="auto" w:fill="9CC2E5" w:themeFill="accent1" w:themeFillTint="99"/>
          </w:tcPr>
          <w:p w14:paraId="334DFD34" w14:textId="77777777" w:rsidR="00DD5A25" w:rsidRPr="00BB2299" w:rsidRDefault="00DD5A25" w:rsidP="00DD5A25">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 korzystających osób starszych</w:t>
            </w:r>
          </w:p>
        </w:tc>
      </w:tr>
      <w:tr w:rsidR="00DD5A25" w:rsidRPr="00BB2299" w14:paraId="71D19FCC" w14:textId="77777777" w:rsidTr="006526E9">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232E307" w14:textId="77777777" w:rsidR="00DD5A25" w:rsidRPr="00BB2299" w:rsidRDefault="00DD5A25" w:rsidP="00DD5A25">
            <w:pPr>
              <w:spacing w:after="0" w:line="240" w:lineRule="auto"/>
              <w:rPr>
                <w:rFonts w:ascii="Times New Roman" w:eastAsia="Times New Roman" w:hAnsi="Times New Roman"/>
                <w:color w:val="auto"/>
                <w:lang w:eastAsia="pl-PL"/>
              </w:rPr>
            </w:pPr>
          </w:p>
        </w:tc>
        <w:tc>
          <w:tcPr>
            <w:tcW w:w="3066" w:type="dxa"/>
          </w:tcPr>
          <w:p w14:paraId="153C5238"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Ośrodki wsparcia ogółem</w:t>
            </w:r>
          </w:p>
        </w:tc>
        <w:tc>
          <w:tcPr>
            <w:tcW w:w="2948" w:type="dxa"/>
            <w:gridSpan w:val="3"/>
          </w:tcPr>
          <w:p w14:paraId="462AFD8B"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p>
        </w:tc>
        <w:tc>
          <w:tcPr>
            <w:tcW w:w="2948" w:type="dxa"/>
            <w:gridSpan w:val="3"/>
          </w:tcPr>
          <w:p w14:paraId="7A4D971B"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p>
        </w:tc>
        <w:tc>
          <w:tcPr>
            <w:tcW w:w="2949" w:type="dxa"/>
          </w:tcPr>
          <w:p w14:paraId="0DAAF04E" w14:textId="77777777" w:rsidR="00DD5A25" w:rsidRPr="00BB2299" w:rsidRDefault="00DD5A25" w:rsidP="00DD5A25">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p>
        </w:tc>
      </w:tr>
      <w:tr w:rsidR="00DD5A25" w:rsidRPr="00BB2299" w14:paraId="6EE77ED8" w14:textId="77777777" w:rsidTr="006526E9">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1EC4F8C" w14:textId="77777777" w:rsidR="00DD5A25" w:rsidRPr="00BB2299" w:rsidRDefault="00DD5A25" w:rsidP="00DD5A25">
            <w:pPr>
              <w:spacing w:after="0" w:line="240" w:lineRule="auto"/>
              <w:rPr>
                <w:rFonts w:ascii="Times New Roman" w:eastAsia="Times New Roman" w:hAnsi="Times New Roman"/>
                <w:color w:val="auto"/>
                <w:lang w:eastAsia="pl-PL"/>
              </w:rPr>
            </w:pPr>
          </w:p>
        </w:tc>
        <w:tc>
          <w:tcPr>
            <w:tcW w:w="11911" w:type="dxa"/>
            <w:gridSpan w:val="8"/>
            <w:shd w:val="clear" w:color="auto" w:fill="9CC2E5" w:themeFill="accent1" w:themeFillTint="99"/>
          </w:tcPr>
          <w:p w14:paraId="31B459D8" w14:textId="77777777" w:rsidR="00DD5A25" w:rsidRPr="00BB2299" w:rsidRDefault="00DD5A25" w:rsidP="00DD5A25">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color w:val="auto"/>
              </w:rPr>
              <w:t>w tym:</w:t>
            </w:r>
          </w:p>
        </w:tc>
      </w:tr>
      <w:tr w:rsidR="00F7614C" w:rsidRPr="00BB2299" w14:paraId="3D46FEAB" w14:textId="77777777" w:rsidTr="007E13EA">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1FA1A55" w14:textId="77777777" w:rsidR="00F7614C" w:rsidRPr="00BB2299" w:rsidRDefault="00F7614C" w:rsidP="00F7614C">
            <w:pPr>
              <w:spacing w:after="0" w:line="240" w:lineRule="auto"/>
              <w:rPr>
                <w:rFonts w:ascii="Times New Roman" w:eastAsia="Times New Roman" w:hAnsi="Times New Roman"/>
                <w:color w:val="auto"/>
                <w:lang w:eastAsia="pl-PL"/>
              </w:rPr>
            </w:pPr>
          </w:p>
        </w:tc>
        <w:tc>
          <w:tcPr>
            <w:tcW w:w="3066" w:type="dxa"/>
            <w:shd w:val="clear" w:color="auto" w:fill="auto"/>
          </w:tcPr>
          <w:p w14:paraId="32D0FE14" w14:textId="77777777" w:rsidR="00F7614C" w:rsidRPr="00BB2299" w:rsidRDefault="00F7614C" w:rsidP="00F7614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Środowiskowe Domy Samopomocy</w:t>
            </w:r>
          </w:p>
        </w:tc>
        <w:tc>
          <w:tcPr>
            <w:tcW w:w="2948" w:type="dxa"/>
            <w:gridSpan w:val="3"/>
            <w:shd w:val="clear" w:color="auto" w:fill="FFFFFF" w:themeFill="background1"/>
          </w:tcPr>
          <w:p w14:paraId="16B01EE2" w14:textId="77777777" w:rsidR="00F7614C" w:rsidRPr="006526E9"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526E9">
              <w:rPr>
                <w:rFonts w:ascii="Times New Roman" w:hAnsi="Times New Roman"/>
                <w:color w:val="auto"/>
              </w:rPr>
              <w:t>45</w:t>
            </w:r>
          </w:p>
        </w:tc>
        <w:tc>
          <w:tcPr>
            <w:tcW w:w="2948" w:type="dxa"/>
            <w:gridSpan w:val="3"/>
            <w:shd w:val="clear" w:color="auto" w:fill="FFFFFF" w:themeFill="background1"/>
          </w:tcPr>
          <w:p w14:paraId="7D9D80DD" w14:textId="0ECC9244"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W strukturach śds nie są wyodrębniane miejsca dla osób starszych</w:t>
            </w:r>
          </w:p>
        </w:tc>
        <w:tc>
          <w:tcPr>
            <w:tcW w:w="2949" w:type="dxa"/>
            <w:shd w:val="clear" w:color="auto" w:fill="FFFFFF" w:themeFill="background1"/>
          </w:tcPr>
          <w:p w14:paraId="1E65AA67" w14:textId="5913F692"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274</w:t>
            </w:r>
          </w:p>
        </w:tc>
      </w:tr>
      <w:tr w:rsidR="00F7614C" w:rsidRPr="00BB2299" w14:paraId="0C94A7BF" w14:textId="77777777" w:rsidTr="007E13E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7A4CA60" w14:textId="77777777" w:rsidR="00F7614C" w:rsidRPr="00BB2299" w:rsidRDefault="00F7614C" w:rsidP="00F7614C">
            <w:pPr>
              <w:spacing w:after="0" w:line="240" w:lineRule="auto"/>
              <w:rPr>
                <w:rFonts w:ascii="Times New Roman" w:eastAsia="Times New Roman" w:hAnsi="Times New Roman"/>
                <w:color w:val="auto"/>
                <w:lang w:eastAsia="pl-PL"/>
              </w:rPr>
            </w:pPr>
          </w:p>
        </w:tc>
        <w:tc>
          <w:tcPr>
            <w:tcW w:w="3066" w:type="dxa"/>
            <w:shd w:val="clear" w:color="auto" w:fill="auto"/>
          </w:tcPr>
          <w:p w14:paraId="37F4A010" w14:textId="77777777" w:rsidR="00F7614C" w:rsidRPr="00BB2299" w:rsidRDefault="00F7614C" w:rsidP="00F7614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Dzienne Domy Pomocy</w:t>
            </w:r>
          </w:p>
        </w:tc>
        <w:tc>
          <w:tcPr>
            <w:tcW w:w="2948" w:type="dxa"/>
            <w:gridSpan w:val="3"/>
            <w:shd w:val="clear" w:color="auto" w:fill="FFFFFF" w:themeFill="background1"/>
          </w:tcPr>
          <w:p w14:paraId="3EAD61D3" w14:textId="042923D1" w:rsidR="00F7614C" w:rsidRPr="006526E9"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20</w:t>
            </w:r>
          </w:p>
        </w:tc>
        <w:tc>
          <w:tcPr>
            <w:tcW w:w="2948" w:type="dxa"/>
            <w:gridSpan w:val="3"/>
            <w:shd w:val="clear" w:color="auto" w:fill="FFFFFF" w:themeFill="background1"/>
          </w:tcPr>
          <w:p w14:paraId="1C8EB798" w14:textId="536075F0" w:rsidR="00F7614C" w:rsidRPr="00F7614C"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b</w:t>
            </w:r>
            <w:r w:rsidR="00F7614C" w:rsidRPr="00F7614C">
              <w:rPr>
                <w:rFonts w:ascii="Times New Roman" w:hAnsi="Times New Roman"/>
                <w:color w:val="auto"/>
              </w:rPr>
              <w:t xml:space="preserve">rak danych </w:t>
            </w:r>
          </w:p>
        </w:tc>
        <w:tc>
          <w:tcPr>
            <w:tcW w:w="2949" w:type="dxa"/>
            <w:shd w:val="clear" w:color="auto" w:fill="FFFFFF" w:themeFill="background1"/>
          </w:tcPr>
          <w:p w14:paraId="2A25F0D3" w14:textId="029019EC" w:rsidR="00F7614C" w:rsidRPr="00F7614C"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b</w:t>
            </w:r>
            <w:r w:rsidR="00F7614C" w:rsidRPr="00F7614C">
              <w:rPr>
                <w:rFonts w:ascii="Times New Roman" w:hAnsi="Times New Roman"/>
                <w:color w:val="auto"/>
              </w:rPr>
              <w:t xml:space="preserve">rak danych  </w:t>
            </w:r>
          </w:p>
        </w:tc>
      </w:tr>
      <w:tr w:rsidR="00F7614C" w:rsidRPr="00BB2299" w14:paraId="51E45B01" w14:textId="77777777" w:rsidTr="007E13EA">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DF3FCBD" w14:textId="77777777" w:rsidR="00F7614C" w:rsidRPr="00BB2299" w:rsidRDefault="00F7614C" w:rsidP="00F7614C">
            <w:pPr>
              <w:spacing w:after="0" w:line="240" w:lineRule="auto"/>
              <w:rPr>
                <w:rFonts w:ascii="Times New Roman" w:eastAsia="Times New Roman" w:hAnsi="Times New Roman"/>
                <w:color w:val="auto"/>
                <w:lang w:eastAsia="pl-PL"/>
              </w:rPr>
            </w:pPr>
          </w:p>
        </w:tc>
        <w:tc>
          <w:tcPr>
            <w:tcW w:w="3066" w:type="dxa"/>
            <w:shd w:val="clear" w:color="auto" w:fill="auto"/>
          </w:tcPr>
          <w:p w14:paraId="5433BAE5" w14:textId="77777777" w:rsidR="00F7614C" w:rsidRPr="00BB2299" w:rsidRDefault="00F7614C" w:rsidP="00F7614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Noclegownie, schroniska i domy dla osób bezdomnych</w:t>
            </w:r>
          </w:p>
        </w:tc>
        <w:tc>
          <w:tcPr>
            <w:tcW w:w="2948" w:type="dxa"/>
            <w:gridSpan w:val="3"/>
            <w:shd w:val="clear" w:color="auto" w:fill="FFFFFF" w:themeFill="background1"/>
          </w:tcPr>
          <w:p w14:paraId="5F95D408" w14:textId="3AD1CD3F" w:rsidR="00F7614C" w:rsidRPr="006526E9"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3</w:t>
            </w:r>
            <w:r w:rsidRPr="006526E9">
              <w:rPr>
                <w:rFonts w:ascii="Times New Roman" w:hAnsi="Times New Roman"/>
                <w:color w:val="auto"/>
              </w:rPr>
              <w:t>4</w:t>
            </w:r>
          </w:p>
        </w:tc>
        <w:tc>
          <w:tcPr>
            <w:tcW w:w="2948" w:type="dxa"/>
            <w:gridSpan w:val="3"/>
            <w:shd w:val="clear" w:color="auto" w:fill="FFFFFF" w:themeFill="background1"/>
          </w:tcPr>
          <w:p w14:paraId="11F425E1" w14:textId="0EF1E949"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W strukturach nie są wyodrębniane miejsca dla osób starszych</w:t>
            </w:r>
          </w:p>
        </w:tc>
        <w:tc>
          <w:tcPr>
            <w:tcW w:w="2949" w:type="dxa"/>
            <w:shd w:val="clear" w:color="auto" w:fill="FFFFFF" w:themeFill="background1"/>
          </w:tcPr>
          <w:p w14:paraId="5E5DDC96" w14:textId="718F5D73"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254</w:t>
            </w:r>
          </w:p>
        </w:tc>
      </w:tr>
      <w:tr w:rsidR="00F7614C" w:rsidRPr="00BB2299" w14:paraId="70669788" w14:textId="77777777" w:rsidTr="007E13E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0842083" w14:textId="77777777" w:rsidR="00F7614C" w:rsidRPr="00BB2299" w:rsidRDefault="00F7614C" w:rsidP="00F7614C">
            <w:pPr>
              <w:spacing w:after="0" w:line="240" w:lineRule="auto"/>
              <w:rPr>
                <w:rFonts w:ascii="Times New Roman" w:eastAsia="Times New Roman" w:hAnsi="Times New Roman"/>
                <w:color w:val="auto"/>
                <w:lang w:eastAsia="pl-PL"/>
              </w:rPr>
            </w:pPr>
          </w:p>
        </w:tc>
        <w:tc>
          <w:tcPr>
            <w:tcW w:w="3066" w:type="dxa"/>
            <w:shd w:val="clear" w:color="auto" w:fill="auto"/>
          </w:tcPr>
          <w:p w14:paraId="27E011B1" w14:textId="77777777" w:rsidR="00F7614C" w:rsidRPr="00BB2299" w:rsidRDefault="00F7614C" w:rsidP="00F7614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Ogrzewalnie</w:t>
            </w:r>
          </w:p>
        </w:tc>
        <w:tc>
          <w:tcPr>
            <w:tcW w:w="2948" w:type="dxa"/>
            <w:gridSpan w:val="3"/>
            <w:shd w:val="clear" w:color="auto" w:fill="FFFFFF" w:themeFill="background1"/>
          </w:tcPr>
          <w:p w14:paraId="5A136D72" w14:textId="0469F066" w:rsidR="00F7614C" w:rsidRPr="006526E9"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10</w:t>
            </w:r>
          </w:p>
        </w:tc>
        <w:tc>
          <w:tcPr>
            <w:tcW w:w="2948" w:type="dxa"/>
            <w:gridSpan w:val="3"/>
            <w:shd w:val="clear" w:color="auto" w:fill="FFFFFF" w:themeFill="background1"/>
          </w:tcPr>
          <w:p w14:paraId="365A8675" w14:textId="2400ED01" w:rsidR="00F7614C" w:rsidRPr="00F7614C"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W strukturach nie są wyodrębniane miejsca dla osób starszych</w:t>
            </w:r>
          </w:p>
        </w:tc>
        <w:tc>
          <w:tcPr>
            <w:tcW w:w="2949" w:type="dxa"/>
            <w:shd w:val="clear" w:color="auto" w:fill="FFFFFF" w:themeFill="background1"/>
          </w:tcPr>
          <w:p w14:paraId="49E4FA63" w14:textId="123BAC04" w:rsidR="00F7614C" w:rsidRPr="00F7614C" w:rsidRDefault="00A40FBE"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b</w:t>
            </w:r>
            <w:r w:rsidR="00F7614C" w:rsidRPr="00F7614C">
              <w:rPr>
                <w:rFonts w:ascii="Times New Roman" w:hAnsi="Times New Roman"/>
                <w:color w:val="auto"/>
              </w:rPr>
              <w:t>rak danych (ewidencja wiekowa nie jest prowadzona)</w:t>
            </w:r>
          </w:p>
        </w:tc>
      </w:tr>
      <w:tr w:rsidR="00F7614C" w:rsidRPr="00BB2299" w14:paraId="74D7A206" w14:textId="77777777" w:rsidTr="007E13EA">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2AD02801" w14:textId="77777777" w:rsidR="00F7614C" w:rsidRPr="00BB2299" w:rsidRDefault="00F7614C" w:rsidP="00F7614C">
            <w:pPr>
              <w:spacing w:after="0" w:line="240" w:lineRule="auto"/>
              <w:rPr>
                <w:rFonts w:ascii="Times New Roman" w:eastAsia="Times New Roman" w:hAnsi="Times New Roman"/>
                <w:color w:val="auto"/>
                <w:lang w:eastAsia="pl-PL"/>
              </w:rPr>
            </w:pPr>
          </w:p>
        </w:tc>
        <w:tc>
          <w:tcPr>
            <w:tcW w:w="3066" w:type="dxa"/>
            <w:shd w:val="clear" w:color="auto" w:fill="auto"/>
          </w:tcPr>
          <w:p w14:paraId="0E9B81E9" w14:textId="77777777" w:rsidR="00F7614C" w:rsidRPr="00BB2299" w:rsidRDefault="00F7614C" w:rsidP="00F7614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Kluby Samopomocy</w:t>
            </w:r>
          </w:p>
        </w:tc>
        <w:tc>
          <w:tcPr>
            <w:tcW w:w="2948" w:type="dxa"/>
            <w:gridSpan w:val="3"/>
            <w:shd w:val="clear" w:color="auto" w:fill="FFFFFF" w:themeFill="background1"/>
          </w:tcPr>
          <w:p w14:paraId="7ED38F6C" w14:textId="2ECDC04B" w:rsidR="00F7614C" w:rsidRPr="006526E9"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17</w:t>
            </w:r>
          </w:p>
        </w:tc>
        <w:tc>
          <w:tcPr>
            <w:tcW w:w="2948" w:type="dxa"/>
            <w:gridSpan w:val="3"/>
            <w:shd w:val="clear" w:color="auto" w:fill="FFFFFF" w:themeFill="background1"/>
          </w:tcPr>
          <w:p w14:paraId="219247CF" w14:textId="77777777"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340</w:t>
            </w:r>
          </w:p>
          <w:p w14:paraId="153222E4" w14:textId="03D99583"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(dane z 15 klubów samopomocy prowadzonych w ramach Senior+)</w:t>
            </w:r>
          </w:p>
        </w:tc>
        <w:tc>
          <w:tcPr>
            <w:tcW w:w="2949" w:type="dxa"/>
            <w:shd w:val="clear" w:color="auto" w:fill="FFFFFF" w:themeFill="background1"/>
          </w:tcPr>
          <w:p w14:paraId="4D4976BD" w14:textId="77777777"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 xml:space="preserve">561 </w:t>
            </w:r>
          </w:p>
          <w:p w14:paraId="3F7133A9" w14:textId="165D1AB0"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(dane z 15 klubów  samopomocy prowadzonych w ramach Senior+)</w:t>
            </w:r>
          </w:p>
        </w:tc>
      </w:tr>
      <w:tr w:rsidR="00F7614C" w:rsidRPr="00BB2299" w14:paraId="7C6ED3F0" w14:textId="77777777" w:rsidTr="007E13E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F6FB2E6" w14:textId="77777777" w:rsidR="00F7614C" w:rsidRPr="00BB2299" w:rsidRDefault="00F7614C" w:rsidP="00F7614C">
            <w:pPr>
              <w:spacing w:after="0" w:line="240" w:lineRule="auto"/>
              <w:rPr>
                <w:rFonts w:ascii="Times New Roman" w:eastAsia="Times New Roman" w:hAnsi="Times New Roman"/>
                <w:color w:val="auto"/>
                <w:lang w:eastAsia="pl-PL"/>
              </w:rPr>
            </w:pPr>
          </w:p>
        </w:tc>
        <w:tc>
          <w:tcPr>
            <w:tcW w:w="3066" w:type="dxa"/>
            <w:shd w:val="clear" w:color="auto" w:fill="auto"/>
          </w:tcPr>
          <w:p w14:paraId="4B2ED8A0" w14:textId="77777777" w:rsidR="00F7614C" w:rsidRPr="00BB2299" w:rsidRDefault="00F7614C" w:rsidP="00F7614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Placówki zapewniające całodobową opiekę osobom niepełnosprawnym, przewlekle chorym lub osobom w podeszłym wieku</w:t>
            </w:r>
          </w:p>
        </w:tc>
        <w:tc>
          <w:tcPr>
            <w:tcW w:w="2948" w:type="dxa"/>
            <w:gridSpan w:val="3"/>
            <w:shd w:val="clear" w:color="auto" w:fill="FFFFFF" w:themeFill="background1"/>
          </w:tcPr>
          <w:p w14:paraId="5F395F5E" w14:textId="77777777" w:rsidR="00F7614C" w:rsidRPr="006526E9"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6526E9">
              <w:rPr>
                <w:rFonts w:ascii="Times New Roman" w:hAnsi="Times New Roman"/>
                <w:color w:val="auto"/>
              </w:rPr>
              <w:t>25</w:t>
            </w:r>
          </w:p>
        </w:tc>
        <w:tc>
          <w:tcPr>
            <w:tcW w:w="2948" w:type="dxa"/>
            <w:gridSpan w:val="3"/>
            <w:shd w:val="clear" w:color="auto" w:fill="FFFFFF" w:themeFill="background1"/>
          </w:tcPr>
          <w:p w14:paraId="370C92E8" w14:textId="0CD5863E" w:rsidR="00F7614C" w:rsidRPr="00F7614C"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W placówkach całodobowej opieki nie są wyodrębniane miejsca dla osób starszych</w:t>
            </w:r>
          </w:p>
        </w:tc>
        <w:tc>
          <w:tcPr>
            <w:tcW w:w="2949" w:type="dxa"/>
            <w:shd w:val="clear" w:color="auto" w:fill="FFFFFF" w:themeFill="background1"/>
          </w:tcPr>
          <w:p w14:paraId="786CAE7C" w14:textId="0EDFC5F0" w:rsidR="00F7614C" w:rsidRPr="00F7614C"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b</w:t>
            </w:r>
            <w:r w:rsidR="00F7614C" w:rsidRPr="00F7614C">
              <w:rPr>
                <w:rFonts w:ascii="Times New Roman" w:hAnsi="Times New Roman"/>
                <w:color w:val="auto"/>
              </w:rPr>
              <w:t xml:space="preserve">rak danych  </w:t>
            </w:r>
          </w:p>
        </w:tc>
      </w:tr>
      <w:tr w:rsidR="00F7614C" w:rsidRPr="00BB2299" w14:paraId="04770DB1" w14:textId="77777777" w:rsidTr="007E13EA">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2C598FF" w14:textId="77777777" w:rsidR="00F7614C" w:rsidRPr="00BB2299" w:rsidRDefault="00F7614C" w:rsidP="00F7614C">
            <w:pPr>
              <w:spacing w:after="0" w:line="240" w:lineRule="auto"/>
              <w:rPr>
                <w:rFonts w:ascii="Times New Roman" w:eastAsia="Times New Roman" w:hAnsi="Times New Roman"/>
                <w:color w:val="auto"/>
                <w:lang w:eastAsia="pl-PL"/>
              </w:rPr>
            </w:pPr>
          </w:p>
        </w:tc>
        <w:tc>
          <w:tcPr>
            <w:tcW w:w="3066" w:type="dxa"/>
            <w:shd w:val="clear" w:color="auto" w:fill="auto"/>
          </w:tcPr>
          <w:p w14:paraId="318B3D63" w14:textId="77777777" w:rsidR="00F7614C" w:rsidRPr="00BB2299" w:rsidRDefault="00F7614C" w:rsidP="00F7614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Domy Pomocy Społecznej</w:t>
            </w:r>
          </w:p>
        </w:tc>
        <w:tc>
          <w:tcPr>
            <w:tcW w:w="2948" w:type="dxa"/>
            <w:gridSpan w:val="3"/>
            <w:shd w:val="clear" w:color="auto" w:fill="FFFFFF" w:themeFill="background1"/>
          </w:tcPr>
          <w:p w14:paraId="45BED522" w14:textId="77777777" w:rsidR="00F7614C" w:rsidRPr="006526E9"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6526E9">
              <w:rPr>
                <w:rFonts w:ascii="Times New Roman" w:hAnsi="Times New Roman"/>
                <w:color w:val="auto"/>
              </w:rPr>
              <w:t>8</w:t>
            </w:r>
          </w:p>
        </w:tc>
        <w:tc>
          <w:tcPr>
            <w:tcW w:w="2948" w:type="dxa"/>
            <w:gridSpan w:val="3"/>
            <w:shd w:val="clear" w:color="auto" w:fill="FFFFFF" w:themeFill="background1"/>
          </w:tcPr>
          <w:p w14:paraId="45034ED8" w14:textId="66161BE5"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1117</w:t>
            </w:r>
          </w:p>
        </w:tc>
        <w:tc>
          <w:tcPr>
            <w:tcW w:w="2949" w:type="dxa"/>
            <w:shd w:val="clear" w:color="auto" w:fill="FFFFFF" w:themeFill="background1"/>
          </w:tcPr>
          <w:p w14:paraId="2AF497FA" w14:textId="793918E6"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1078</w:t>
            </w:r>
          </w:p>
        </w:tc>
      </w:tr>
      <w:tr w:rsidR="00F7614C" w:rsidRPr="00BB2299" w14:paraId="79505E1D" w14:textId="77777777" w:rsidTr="007E13E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654F7CB" w14:textId="77777777" w:rsidR="00F7614C" w:rsidRPr="00BB2299" w:rsidRDefault="00F7614C" w:rsidP="00F7614C">
            <w:pPr>
              <w:spacing w:after="0" w:line="240" w:lineRule="auto"/>
              <w:rPr>
                <w:rFonts w:ascii="Times New Roman" w:eastAsia="Times New Roman" w:hAnsi="Times New Roman"/>
                <w:color w:val="auto"/>
                <w:lang w:eastAsia="pl-PL"/>
              </w:rPr>
            </w:pPr>
          </w:p>
        </w:tc>
        <w:tc>
          <w:tcPr>
            <w:tcW w:w="3066" w:type="dxa"/>
            <w:shd w:val="clear" w:color="auto" w:fill="auto"/>
          </w:tcPr>
          <w:p w14:paraId="64B3254C" w14:textId="77777777" w:rsidR="00F7614C" w:rsidRPr="00BB2299" w:rsidRDefault="00F7614C" w:rsidP="00F7614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Mieszkania chronione ogółem</w:t>
            </w:r>
          </w:p>
        </w:tc>
        <w:tc>
          <w:tcPr>
            <w:tcW w:w="2948" w:type="dxa"/>
            <w:gridSpan w:val="3"/>
            <w:shd w:val="clear" w:color="auto" w:fill="FFFFFF" w:themeFill="background1"/>
          </w:tcPr>
          <w:p w14:paraId="47AACCCB" w14:textId="69678D4E" w:rsidR="00F7614C" w:rsidRPr="006526E9"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40</w:t>
            </w:r>
          </w:p>
        </w:tc>
        <w:tc>
          <w:tcPr>
            <w:tcW w:w="2948" w:type="dxa"/>
            <w:gridSpan w:val="3"/>
            <w:shd w:val="clear" w:color="auto" w:fill="FFFFFF" w:themeFill="background1"/>
          </w:tcPr>
          <w:p w14:paraId="7E7F6F12" w14:textId="1E7D214C" w:rsidR="00F7614C" w:rsidRPr="00F7614C"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 xml:space="preserve">49 </w:t>
            </w:r>
          </w:p>
        </w:tc>
        <w:tc>
          <w:tcPr>
            <w:tcW w:w="2949" w:type="dxa"/>
            <w:shd w:val="clear" w:color="auto" w:fill="FFFFFF" w:themeFill="background1"/>
          </w:tcPr>
          <w:p w14:paraId="79D4F1E2" w14:textId="41733042" w:rsidR="00F7614C" w:rsidRPr="00F7614C"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76</w:t>
            </w:r>
          </w:p>
        </w:tc>
      </w:tr>
      <w:tr w:rsidR="00F7614C" w:rsidRPr="00BB2299" w14:paraId="7425E1F3" w14:textId="77777777" w:rsidTr="006526E9">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B3777D9" w14:textId="77777777" w:rsidR="00F7614C" w:rsidRPr="00BB2299" w:rsidRDefault="00F7614C" w:rsidP="00F7614C">
            <w:pPr>
              <w:spacing w:after="0" w:line="240" w:lineRule="auto"/>
              <w:rPr>
                <w:rFonts w:ascii="Times New Roman" w:eastAsia="Times New Roman" w:hAnsi="Times New Roman"/>
                <w:color w:val="auto"/>
                <w:lang w:eastAsia="pl-PL"/>
              </w:rPr>
            </w:pPr>
          </w:p>
        </w:tc>
        <w:tc>
          <w:tcPr>
            <w:tcW w:w="3066" w:type="dxa"/>
          </w:tcPr>
          <w:p w14:paraId="39FD764E" w14:textId="77777777" w:rsidR="00F7614C" w:rsidRPr="00BB2299" w:rsidRDefault="00F7614C" w:rsidP="00F7614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Ośrodki Interwencji Kryzysowej ogółem</w:t>
            </w:r>
          </w:p>
        </w:tc>
        <w:tc>
          <w:tcPr>
            <w:tcW w:w="2948" w:type="dxa"/>
            <w:gridSpan w:val="3"/>
            <w:shd w:val="clear" w:color="auto" w:fill="FFFFFF" w:themeFill="background1"/>
          </w:tcPr>
          <w:p w14:paraId="4BB06A33" w14:textId="69890785" w:rsidR="00F7614C" w:rsidRPr="006526E9"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9</w:t>
            </w:r>
          </w:p>
        </w:tc>
        <w:tc>
          <w:tcPr>
            <w:tcW w:w="2948" w:type="dxa"/>
            <w:gridSpan w:val="3"/>
            <w:shd w:val="clear" w:color="auto" w:fill="FFFFFF" w:themeFill="background1"/>
          </w:tcPr>
          <w:p w14:paraId="49E6F487" w14:textId="7B0F3109"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W strukturach nie są wyodrębniane miejsca dla osób starszych</w:t>
            </w:r>
          </w:p>
        </w:tc>
        <w:tc>
          <w:tcPr>
            <w:tcW w:w="2949" w:type="dxa"/>
            <w:shd w:val="clear" w:color="auto" w:fill="FFFFFF" w:themeFill="background1"/>
          </w:tcPr>
          <w:p w14:paraId="10D9170A" w14:textId="77777777"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114</w:t>
            </w:r>
          </w:p>
          <w:p w14:paraId="3C3FBC41" w14:textId="73559C58" w:rsidR="00F7614C" w:rsidRPr="00F7614C"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(w tym: OIK z rejestru jednostek specjalistycznego poradnictwa, PIK i Punkt Konsultacyjny prowadzone  (w większości przypadków ewidencja wiekowa nie jest prowadzona przez ośrodki pomocy społecznej</w:t>
            </w:r>
          </w:p>
        </w:tc>
      </w:tr>
      <w:tr w:rsidR="00F7614C" w:rsidRPr="00BB2299" w14:paraId="5A877A6D" w14:textId="77777777" w:rsidTr="007E13E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C5A2D66" w14:textId="77777777" w:rsidR="00F7614C" w:rsidRPr="00BB2299" w:rsidRDefault="00F7614C" w:rsidP="00F7614C">
            <w:pPr>
              <w:spacing w:after="0" w:line="240" w:lineRule="auto"/>
              <w:rPr>
                <w:rFonts w:ascii="Times New Roman" w:eastAsia="Times New Roman" w:hAnsi="Times New Roman"/>
                <w:color w:val="auto"/>
                <w:lang w:eastAsia="pl-PL"/>
              </w:rPr>
            </w:pPr>
          </w:p>
        </w:tc>
        <w:tc>
          <w:tcPr>
            <w:tcW w:w="3066" w:type="dxa"/>
            <w:shd w:val="clear" w:color="auto" w:fill="auto"/>
          </w:tcPr>
          <w:p w14:paraId="5A8C814A" w14:textId="77777777" w:rsidR="00F7614C" w:rsidRPr="00BB2299" w:rsidRDefault="00F7614C" w:rsidP="00F7614C">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Jednostki specjalistycznego poradnictwa</w:t>
            </w:r>
          </w:p>
        </w:tc>
        <w:tc>
          <w:tcPr>
            <w:tcW w:w="2948" w:type="dxa"/>
            <w:gridSpan w:val="3"/>
            <w:shd w:val="clear" w:color="auto" w:fill="FFFFFF" w:themeFill="background1"/>
          </w:tcPr>
          <w:p w14:paraId="5B48C8A0" w14:textId="7C3B5940" w:rsidR="00F7614C" w:rsidRPr="006526E9"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34</w:t>
            </w:r>
          </w:p>
        </w:tc>
        <w:tc>
          <w:tcPr>
            <w:tcW w:w="2948" w:type="dxa"/>
            <w:gridSpan w:val="3"/>
            <w:shd w:val="clear" w:color="auto" w:fill="FFFFFF" w:themeFill="background1"/>
          </w:tcPr>
          <w:p w14:paraId="12458CAD" w14:textId="365BC146" w:rsidR="00F7614C" w:rsidRPr="00F7614C"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 xml:space="preserve">W strukturach nie są wyodrębniane miejsca dla osób starszych </w:t>
            </w:r>
          </w:p>
        </w:tc>
        <w:tc>
          <w:tcPr>
            <w:tcW w:w="2949" w:type="dxa"/>
            <w:shd w:val="clear" w:color="auto" w:fill="FFFFFF" w:themeFill="background1"/>
          </w:tcPr>
          <w:p w14:paraId="79126415" w14:textId="77777777" w:rsidR="00F7614C" w:rsidRPr="00F7614C"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350</w:t>
            </w:r>
          </w:p>
          <w:p w14:paraId="11328791" w14:textId="519668AC" w:rsidR="00F7614C" w:rsidRPr="00F7614C" w:rsidRDefault="00F7614C" w:rsidP="00F7614C">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(w większości przypadków ewidencja wiekowa nie jest prowadzona)</w:t>
            </w:r>
          </w:p>
        </w:tc>
      </w:tr>
      <w:tr w:rsidR="00F7614C" w:rsidRPr="00BB2299" w14:paraId="00C4E9F1" w14:textId="77777777" w:rsidTr="007E13EA">
        <w:trPr>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3FAA24C" w14:textId="77777777" w:rsidR="00F7614C" w:rsidRPr="00BB2299" w:rsidRDefault="00F7614C" w:rsidP="00F7614C">
            <w:pPr>
              <w:spacing w:after="0" w:line="240" w:lineRule="auto"/>
              <w:rPr>
                <w:rFonts w:ascii="Times New Roman" w:eastAsia="Times New Roman" w:hAnsi="Times New Roman"/>
                <w:color w:val="auto"/>
                <w:lang w:eastAsia="pl-PL"/>
              </w:rPr>
            </w:pPr>
          </w:p>
        </w:tc>
        <w:tc>
          <w:tcPr>
            <w:tcW w:w="3066" w:type="dxa"/>
            <w:shd w:val="clear" w:color="auto" w:fill="auto"/>
          </w:tcPr>
          <w:p w14:paraId="21312084" w14:textId="77777777" w:rsidR="00F7614C" w:rsidRPr="00BB2299" w:rsidRDefault="00F7614C" w:rsidP="00F7614C">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Placówki Senior+, w tym:</w:t>
            </w:r>
          </w:p>
        </w:tc>
        <w:tc>
          <w:tcPr>
            <w:tcW w:w="8845" w:type="dxa"/>
            <w:gridSpan w:val="7"/>
            <w:shd w:val="clear" w:color="auto" w:fill="FFFFFF" w:themeFill="background1"/>
          </w:tcPr>
          <w:p w14:paraId="74B938CC" w14:textId="333B5BFA" w:rsidR="00F7614C" w:rsidRPr="00BB2299" w:rsidRDefault="00F7614C" w:rsidP="00F7614C">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p>
        </w:tc>
      </w:tr>
      <w:tr w:rsidR="00A40FBE" w:rsidRPr="00BB2299" w14:paraId="1CA4564A" w14:textId="77777777" w:rsidTr="007E13E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D4F7189" w14:textId="77777777" w:rsidR="00A40FBE" w:rsidRPr="00BB2299" w:rsidRDefault="00A40FBE" w:rsidP="00A40FBE">
            <w:pPr>
              <w:spacing w:after="0" w:line="240" w:lineRule="auto"/>
              <w:rPr>
                <w:rFonts w:ascii="Times New Roman" w:eastAsia="Times New Roman" w:hAnsi="Times New Roman"/>
                <w:color w:val="auto"/>
                <w:lang w:eastAsia="pl-PL"/>
              </w:rPr>
            </w:pPr>
          </w:p>
        </w:tc>
        <w:tc>
          <w:tcPr>
            <w:tcW w:w="3066" w:type="dxa"/>
            <w:shd w:val="clear" w:color="auto" w:fill="auto"/>
          </w:tcPr>
          <w:p w14:paraId="0BC343FB"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Domy Dziennego Pobytu</w:t>
            </w:r>
          </w:p>
        </w:tc>
        <w:tc>
          <w:tcPr>
            <w:tcW w:w="2948" w:type="dxa"/>
            <w:gridSpan w:val="3"/>
            <w:shd w:val="clear" w:color="auto" w:fill="FFFFFF" w:themeFill="background1"/>
          </w:tcPr>
          <w:p w14:paraId="5D139D6E"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color w:val="auto"/>
              </w:rPr>
              <w:t>11</w:t>
            </w:r>
          </w:p>
        </w:tc>
        <w:tc>
          <w:tcPr>
            <w:tcW w:w="2948" w:type="dxa"/>
            <w:gridSpan w:val="3"/>
            <w:shd w:val="clear" w:color="auto" w:fill="FFFFFF" w:themeFill="background1"/>
          </w:tcPr>
          <w:p w14:paraId="548B71B8" w14:textId="3DE167F6" w:rsidR="00A40FBE" w:rsidRPr="00A40FBE"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40FBE">
              <w:rPr>
                <w:rFonts w:ascii="Times New Roman" w:hAnsi="Times New Roman"/>
                <w:color w:val="auto"/>
              </w:rPr>
              <w:t>256</w:t>
            </w:r>
          </w:p>
        </w:tc>
        <w:tc>
          <w:tcPr>
            <w:tcW w:w="2949" w:type="dxa"/>
            <w:shd w:val="clear" w:color="auto" w:fill="FFFFFF" w:themeFill="background1"/>
          </w:tcPr>
          <w:p w14:paraId="04967F75" w14:textId="0B5E11A7" w:rsidR="00A40FBE" w:rsidRPr="00A40FBE"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A40FBE">
              <w:rPr>
                <w:rFonts w:ascii="Times New Roman" w:hAnsi="Times New Roman"/>
                <w:color w:val="auto"/>
              </w:rPr>
              <w:t>281</w:t>
            </w:r>
          </w:p>
        </w:tc>
      </w:tr>
      <w:tr w:rsidR="00A40FBE" w:rsidRPr="00BB2299" w14:paraId="1C0C2CD8" w14:textId="77777777" w:rsidTr="007E13EA">
        <w:trPr>
          <w:trHeight w:val="85"/>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78F23DB" w14:textId="77777777" w:rsidR="00A40FBE" w:rsidRPr="00BB2299" w:rsidRDefault="00A40FBE" w:rsidP="00A40FBE">
            <w:pPr>
              <w:spacing w:after="0" w:line="240" w:lineRule="auto"/>
              <w:rPr>
                <w:rFonts w:ascii="Times New Roman" w:eastAsia="Times New Roman" w:hAnsi="Times New Roman"/>
                <w:color w:val="auto"/>
                <w:lang w:eastAsia="pl-PL"/>
              </w:rPr>
            </w:pPr>
          </w:p>
        </w:tc>
        <w:tc>
          <w:tcPr>
            <w:tcW w:w="3066" w:type="dxa"/>
            <w:shd w:val="clear" w:color="auto" w:fill="auto"/>
          </w:tcPr>
          <w:p w14:paraId="795F73A1"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Kluby Senior+</w:t>
            </w:r>
          </w:p>
        </w:tc>
        <w:tc>
          <w:tcPr>
            <w:tcW w:w="2948" w:type="dxa"/>
            <w:gridSpan w:val="3"/>
            <w:shd w:val="clear" w:color="auto" w:fill="FFFFFF" w:themeFill="background1"/>
          </w:tcPr>
          <w:p w14:paraId="5DE3D6FB"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color w:val="auto"/>
              </w:rPr>
              <w:t>25</w:t>
            </w:r>
          </w:p>
        </w:tc>
        <w:tc>
          <w:tcPr>
            <w:tcW w:w="2948" w:type="dxa"/>
            <w:gridSpan w:val="3"/>
            <w:shd w:val="clear" w:color="auto" w:fill="FFFFFF" w:themeFill="background1"/>
          </w:tcPr>
          <w:p w14:paraId="08BB3FD1" w14:textId="32D7D982" w:rsidR="00A40FBE" w:rsidRPr="00A40FBE"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40FBE">
              <w:rPr>
                <w:rFonts w:ascii="Times New Roman" w:hAnsi="Times New Roman"/>
                <w:color w:val="auto"/>
              </w:rPr>
              <w:t>705</w:t>
            </w:r>
          </w:p>
        </w:tc>
        <w:tc>
          <w:tcPr>
            <w:tcW w:w="2949" w:type="dxa"/>
            <w:shd w:val="clear" w:color="auto" w:fill="FFFFFF" w:themeFill="background1"/>
          </w:tcPr>
          <w:p w14:paraId="128BE63B" w14:textId="1DC01FA7" w:rsidR="00A40FBE" w:rsidRPr="00A40FBE"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A40FBE">
              <w:rPr>
                <w:rFonts w:ascii="Times New Roman" w:hAnsi="Times New Roman"/>
                <w:color w:val="auto"/>
              </w:rPr>
              <w:t>727</w:t>
            </w:r>
          </w:p>
        </w:tc>
      </w:tr>
      <w:tr w:rsidR="00A40FBE" w:rsidRPr="00BB2299" w14:paraId="414DE862" w14:textId="77777777" w:rsidTr="007E13EA">
        <w:trPr>
          <w:cnfStyle w:val="000000100000" w:firstRow="0" w:lastRow="0" w:firstColumn="0" w:lastColumn="0" w:oddVBand="0" w:evenVBand="0" w:oddHBand="1" w:evenHBand="0" w:firstRowFirstColumn="0" w:firstRowLastColumn="0" w:lastRowFirstColumn="0" w:lastRowLastColumn="0"/>
          <w:trHeight w:val="79"/>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A2111EB" w14:textId="77777777" w:rsidR="00A40FBE" w:rsidRPr="00BB2299" w:rsidRDefault="00A40FBE" w:rsidP="00A40FBE">
            <w:pPr>
              <w:spacing w:after="0" w:line="240" w:lineRule="auto"/>
              <w:rPr>
                <w:rFonts w:ascii="Times New Roman" w:eastAsia="Times New Roman" w:hAnsi="Times New Roman"/>
                <w:color w:val="auto"/>
                <w:lang w:eastAsia="pl-PL"/>
              </w:rPr>
            </w:pPr>
          </w:p>
        </w:tc>
        <w:tc>
          <w:tcPr>
            <w:tcW w:w="3066" w:type="dxa"/>
            <w:shd w:val="clear" w:color="auto" w:fill="auto"/>
          </w:tcPr>
          <w:p w14:paraId="01B927BC"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Hospicja stacjonarne</w:t>
            </w:r>
          </w:p>
        </w:tc>
        <w:tc>
          <w:tcPr>
            <w:tcW w:w="2948" w:type="dxa"/>
            <w:gridSpan w:val="3"/>
            <w:shd w:val="clear" w:color="auto" w:fill="FFFFFF" w:themeFill="background1"/>
          </w:tcPr>
          <w:p w14:paraId="37361616" w14:textId="2E211382" w:rsidR="00A40FBE" w:rsidRPr="00F7614C"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F7614C">
              <w:rPr>
                <w:rFonts w:ascii="Times New Roman" w:hAnsi="Times New Roman"/>
                <w:color w:val="auto"/>
              </w:rPr>
              <w:t>6</w:t>
            </w:r>
          </w:p>
        </w:tc>
        <w:tc>
          <w:tcPr>
            <w:tcW w:w="2948" w:type="dxa"/>
            <w:gridSpan w:val="3"/>
            <w:shd w:val="clear" w:color="auto" w:fill="FFFFFF" w:themeFill="background1"/>
          </w:tcPr>
          <w:p w14:paraId="30FA2C14" w14:textId="6E8B11D2" w:rsidR="00A40FBE" w:rsidRPr="00A40FBE"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A40FBE">
              <w:rPr>
                <w:rFonts w:ascii="Times New Roman" w:hAnsi="Times New Roman"/>
                <w:bCs/>
                <w:color w:val="auto"/>
              </w:rPr>
              <w:t>134</w:t>
            </w:r>
          </w:p>
        </w:tc>
        <w:tc>
          <w:tcPr>
            <w:tcW w:w="2949" w:type="dxa"/>
            <w:shd w:val="clear" w:color="auto" w:fill="FFFFFF" w:themeFill="background1"/>
          </w:tcPr>
          <w:p w14:paraId="0879BCD5" w14:textId="1AB92C5F" w:rsidR="00A40FBE" w:rsidRPr="00A40FBE"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Pr>
                <w:rFonts w:ascii="Times New Roman" w:hAnsi="Times New Roman"/>
                <w:bCs/>
                <w:color w:val="auto"/>
              </w:rPr>
              <w:t>b</w:t>
            </w:r>
            <w:r w:rsidRPr="00A40FBE">
              <w:rPr>
                <w:rFonts w:ascii="Times New Roman" w:hAnsi="Times New Roman"/>
                <w:bCs/>
                <w:color w:val="auto"/>
              </w:rPr>
              <w:t xml:space="preserve">rak danych  </w:t>
            </w:r>
          </w:p>
        </w:tc>
      </w:tr>
      <w:tr w:rsidR="00A40FBE" w:rsidRPr="00BB2299" w14:paraId="71A575B5" w14:textId="77777777" w:rsidTr="006526E9">
        <w:trPr>
          <w:trHeight w:val="119"/>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4D8C97F" w14:textId="77777777" w:rsidR="00A40FBE" w:rsidRPr="00BB2299" w:rsidRDefault="00A40FBE" w:rsidP="00A40FBE">
            <w:pPr>
              <w:spacing w:after="0" w:line="240" w:lineRule="auto"/>
              <w:rPr>
                <w:rFonts w:ascii="Times New Roman" w:eastAsia="Times New Roman" w:hAnsi="Times New Roman"/>
                <w:b w:val="0"/>
                <w:bCs w:val="0"/>
                <w:color w:val="auto"/>
                <w:lang w:eastAsia="pl-PL"/>
              </w:rPr>
            </w:pPr>
            <w:r w:rsidRPr="00BB2299">
              <w:rPr>
                <w:rFonts w:ascii="Times New Roman" w:eastAsia="Times New Roman" w:hAnsi="Times New Roman"/>
                <w:color w:val="auto"/>
                <w:lang w:eastAsia="pl-PL"/>
              </w:rPr>
              <w:t>Usługi świadczone osobom starszym</w:t>
            </w:r>
          </w:p>
        </w:tc>
        <w:tc>
          <w:tcPr>
            <w:tcW w:w="3119" w:type="dxa"/>
            <w:gridSpan w:val="2"/>
            <w:shd w:val="clear" w:color="auto" w:fill="9CC2E5" w:themeFill="accent1" w:themeFillTint="99"/>
          </w:tcPr>
          <w:p w14:paraId="6BB6FB6E"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Rodzaj usług</w:t>
            </w:r>
          </w:p>
        </w:tc>
        <w:tc>
          <w:tcPr>
            <w:tcW w:w="3685" w:type="dxa"/>
            <w:gridSpan w:val="3"/>
            <w:shd w:val="clear" w:color="auto" w:fill="9CC2E5" w:themeFill="accent1" w:themeFillTint="99"/>
          </w:tcPr>
          <w:p w14:paraId="65D8932F"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 osób starszych objętych pomocą</w:t>
            </w:r>
          </w:p>
        </w:tc>
        <w:tc>
          <w:tcPr>
            <w:tcW w:w="5107" w:type="dxa"/>
            <w:gridSpan w:val="3"/>
            <w:shd w:val="clear" w:color="auto" w:fill="9CC2E5" w:themeFill="accent1" w:themeFillTint="99"/>
          </w:tcPr>
          <w:p w14:paraId="40936564"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Wysokość środków przeznaczonych na usługi</w:t>
            </w:r>
          </w:p>
        </w:tc>
      </w:tr>
      <w:tr w:rsidR="00A40FBE" w:rsidRPr="00BB2299" w14:paraId="799780B4" w14:textId="77777777" w:rsidTr="00EF6D6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3A18C6C" w14:textId="77777777" w:rsidR="00A40FBE" w:rsidRPr="00BB2299" w:rsidRDefault="00A40FBE" w:rsidP="00A40FBE">
            <w:pPr>
              <w:spacing w:after="0" w:line="240" w:lineRule="auto"/>
              <w:rPr>
                <w:rFonts w:ascii="Times New Roman" w:eastAsia="Times New Roman" w:hAnsi="Times New Roman"/>
                <w:b w:val="0"/>
                <w:bCs w:val="0"/>
                <w:color w:val="auto"/>
                <w:lang w:eastAsia="pl-PL"/>
              </w:rPr>
            </w:pPr>
          </w:p>
        </w:tc>
        <w:tc>
          <w:tcPr>
            <w:tcW w:w="3119" w:type="dxa"/>
            <w:gridSpan w:val="2"/>
            <w:shd w:val="clear" w:color="auto" w:fill="auto"/>
          </w:tcPr>
          <w:p w14:paraId="17950C30" w14:textId="5B4E315C" w:rsidR="00A40FBE" w:rsidRPr="00BB2299" w:rsidRDefault="00EF6D63"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Usługi o</w:t>
            </w:r>
            <w:r w:rsidR="00A40FBE" w:rsidRPr="00BB2299">
              <w:rPr>
                <w:rFonts w:ascii="Times New Roman" w:hAnsi="Times New Roman"/>
                <w:color w:val="auto"/>
              </w:rPr>
              <w:t>piekuńcze ogółem</w:t>
            </w:r>
          </w:p>
        </w:tc>
        <w:tc>
          <w:tcPr>
            <w:tcW w:w="3685" w:type="dxa"/>
            <w:gridSpan w:val="3"/>
            <w:shd w:val="clear" w:color="auto" w:fill="auto"/>
          </w:tcPr>
          <w:p w14:paraId="4C015824"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6 147</w:t>
            </w:r>
          </w:p>
        </w:tc>
        <w:tc>
          <w:tcPr>
            <w:tcW w:w="5107" w:type="dxa"/>
            <w:gridSpan w:val="3"/>
            <w:shd w:val="clear" w:color="auto" w:fill="auto"/>
          </w:tcPr>
          <w:p w14:paraId="6A9F3A96"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45 999 323</w:t>
            </w:r>
          </w:p>
        </w:tc>
      </w:tr>
      <w:tr w:rsidR="00A40FBE" w:rsidRPr="00BB2299" w14:paraId="5B17AA60" w14:textId="77777777" w:rsidTr="006526E9">
        <w:trPr>
          <w:trHeight w:val="118"/>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4316F07" w14:textId="77777777" w:rsidR="00A40FBE" w:rsidRPr="00BB2299" w:rsidRDefault="00A40FBE" w:rsidP="00A40FBE">
            <w:pPr>
              <w:spacing w:after="0" w:line="240" w:lineRule="auto"/>
              <w:rPr>
                <w:rFonts w:ascii="Times New Roman" w:eastAsia="Times New Roman" w:hAnsi="Times New Roman"/>
                <w:b w:val="0"/>
                <w:bCs w:val="0"/>
                <w:color w:val="auto"/>
                <w:lang w:eastAsia="pl-PL"/>
              </w:rPr>
            </w:pPr>
          </w:p>
        </w:tc>
        <w:tc>
          <w:tcPr>
            <w:tcW w:w="11911" w:type="dxa"/>
            <w:gridSpan w:val="8"/>
            <w:shd w:val="clear" w:color="auto" w:fill="9CC2E5" w:themeFill="accent1" w:themeFillTint="99"/>
          </w:tcPr>
          <w:p w14:paraId="377D4047"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w tym:</w:t>
            </w:r>
          </w:p>
        </w:tc>
      </w:tr>
      <w:tr w:rsidR="00A40FBE" w:rsidRPr="00BB2299" w14:paraId="790C5106" w14:textId="77777777" w:rsidTr="00EF6D63">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5F002C3" w14:textId="77777777" w:rsidR="00A40FBE" w:rsidRPr="00BB2299" w:rsidRDefault="00A40FBE" w:rsidP="00A40FBE">
            <w:pPr>
              <w:spacing w:after="0" w:line="240" w:lineRule="auto"/>
              <w:rPr>
                <w:rFonts w:ascii="Times New Roman" w:eastAsia="Times New Roman" w:hAnsi="Times New Roman"/>
                <w:b w:val="0"/>
                <w:bCs w:val="0"/>
                <w:color w:val="auto"/>
                <w:lang w:eastAsia="pl-PL"/>
              </w:rPr>
            </w:pPr>
          </w:p>
        </w:tc>
        <w:tc>
          <w:tcPr>
            <w:tcW w:w="3119" w:type="dxa"/>
            <w:gridSpan w:val="2"/>
            <w:shd w:val="clear" w:color="auto" w:fill="auto"/>
          </w:tcPr>
          <w:p w14:paraId="53A6BD2B" w14:textId="67FFB1BF" w:rsidR="00A40FBE" w:rsidRPr="00BB2299" w:rsidRDefault="00EF6D63"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A40FBE" w:rsidRPr="00BB2299">
              <w:rPr>
                <w:rFonts w:ascii="Times New Roman" w:hAnsi="Times New Roman"/>
                <w:color w:val="auto"/>
              </w:rPr>
              <w:t>pecjalistyczne</w:t>
            </w:r>
            <w:r>
              <w:rPr>
                <w:rFonts w:ascii="Times New Roman" w:hAnsi="Times New Roman"/>
                <w:color w:val="auto"/>
              </w:rPr>
              <w:t xml:space="preserve"> usługi</w:t>
            </w:r>
            <w:r w:rsidR="00A40FBE" w:rsidRPr="00BB2299">
              <w:rPr>
                <w:rFonts w:ascii="Times New Roman" w:hAnsi="Times New Roman"/>
                <w:color w:val="auto"/>
              </w:rPr>
              <w:t xml:space="preserve"> opiekuńcze</w:t>
            </w:r>
          </w:p>
        </w:tc>
        <w:tc>
          <w:tcPr>
            <w:tcW w:w="3685" w:type="dxa"/>
            <w:gridSpan w:val="3"/>
            <w:shd w:val="clear" w:color="auto" w:fill="auto"/>
          </w:tcPr>
          <w:p w14:paraId="3EB3FBA7"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5707</w:t>
            </w:r>
          </w:p>
        </w:tc>
        <w:tc>
          <w:tcPr>
            <w:tcW w:w="5107" w:type="dxa"/>
            <w:gridSpan w:val="3"/>
            <w:shd w:val="clear" w:color="auto" w:fill="auto"/>
          </w:tcPr>
          <w:p w14:paraId="19CA1820"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42 828 294</w:t>
            </w:r>
          </w:p>
        </w:tc>
      </w:tr>
      <w:tr w:rsidR="00A40FBE" w:rsidRPr="00BB2299" w14:paraId="37216FEF" w14:textId="77777777" w:rsidTr="006526E9">
        <w:trPr>
          <w:trHeight w:val="284"/>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88D455E" w14:textId="77777777" w:rsidR="00A40FBE" w:rsidRPr="00BB2299" w:rsidRDefault="00A40FBE" w:rsidP="00A40FBE">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0EAB2076" w14:textId="0B5856AB" w:rsidR="00A40FBE" w:rsidRPr="00BB2299" w:rsidRDefault="00EF6D63"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Pr>
                <w:rFonts w:ascii="Times New Roman" w:hAnsi="Times New Roman"/>
                <w:color w:val="auto"/>
              </w:rPr>
              <w:t>s</w:t>
            </w:r>
            <w:r w:rsidR="00A40FBE" w:rsidRPr="00BB2299">
              <w:rPr>
                <w:rFonts w:ascii="Times New Roman" w:hAnsi="Times New Roman"/>
                <w:color w:val="auto"/>
              </w:rPr>
              <w:t xml:space="preserve">pecjalistyczne usługi </w:t>
            </w:r>
            <w:r>
              <w:rPr>
                <w:rFonts w:ascii="Times New Roman" w:hAnsi="Times New Roman"/>
                <w:color w:val="auto"/>
              </w:rPr>
              <w:t xml:space="preserve">opiekuńcze w miejscu zamieszkania </w:t>
            </w:r>
            <w:r w:rsidR="00A40FBE" w:rsidRPr="00BB2299">
              <w:rPr>
                <w:rFonts w:ascii="Times New Roman" w:hAnsi="Times New Roman"/>
                <w:color w:val="auto"/>
              </w:rPr>
              <w:t>dla osób z zaburzeniami psychicznymi</w:t>
            </w:r>
          </w:p>
        </w:tc>
        <w:tc>
          <w:tcPr>
            <w:tcW w:w="3685" w:type="dxa"/>
            <w:gridSpan w:val="3"/>
            <w:shd w:val="clear" w:color="auto" w:fill="FFFFFF" w:themeFill="background1"/>
          </w:tcPr>
          <w:p w14:paraId="56090544"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151</w:t>
            </w:r>
          </w:p>
          <w:p w14:paraId="331BD699"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316 (Program Opieka 75+)</w:t>
            </w:r>
          </w:p>
        </w:tc>
        <w:tc>
          <w:tcPr>
            <w:tcW w:w="5107" w:type="dxa"/>
            <w:gridSpan w:val="3"/>
            <w:shd w:val="clear" w:color="auto" w:fill="FFFFFF" w:themeFill="background1"/>
          </w:tcPr>
          <w:p w14:paraId="4E047DB4"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1 431 024</w:t>
            </w:r>
          </w:p>
          <w:p w14:paraId="1D573F3B"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1 740 005 (Program Opieka75+)</w:t>
            </w:r>
          </w:p>
        </w:tc>
      </w:tr>
      <w:tr w:rsidR="00A40FBE" w:rsidRPr="00BB2299" w14:paraId="742FC00E" w14:textId="77777777" w:rsidTr="006526E9">
        <w:trPr>
          <w:cnfStyle w:val="000000100000" w:firstRow="0" w:lastRow="0" w:firstColumn="0" w:lastColumn="0" w:oddVBand="0" w:evenVBand="0" w:oddHBand="1" w:evenHBand="0" w:firstRowFirstColumn="0" w:firstRowLastColumn="0" w:lastRowFirstColumn="0" w:lastRowLastColumn="0"/>
          <w:trHeight w:val="19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18CFF1D4" w14:textId="77777777" w:rsidR="00A40FBE" w:rsidRPr="00BB2299" w:rsidRDefault="00A40FBE" w:rsidP="00A40FBE">
            <w:pPr>
              <w:spacing w:after="0" w:line="240" w:lineRule="auto"/>
              <w:rPr>
                <w:rFonts w:ascii="Times New Roman" w:eastAsia="Times New Roman" w:hAnsi="Times New Roman"/>
                <w:b w:val="0"/>
                <w:bCs w:val="0"/>
                <w:color w:val="auto"/>
                <w:lang w:eastAsia="pl-PL"/>
              </w:rPr>
            </w:pPr>
            <w:r w:rsidRPr="00BB2299">
              <w:rPr>
                <w:rFonts w:ascii="Times New Roman" w:eastAsia="Times New Roman" w:hAnsi="Times New Roman"/>
                <w:color w:val="auto"/>
                <w:lang w:eastAsia="pl-PL"/>
              </w:rPr>
              <w:t>Świadczenia pieniężne przyznane osobom starszym</w:t>
            </w:r>
          </w:p>
        </w:tc>
        <w:tc>
          <w:tcPr>
            <w:tcW w:w="3119" w:type="dxa"/>
            <w:gridSpan w:val="2"/>
            <w:shd w:val="clear" w:color="auto" w:fill="9CC2E5" w:themeFill="accent1" w:themeFillTint="99"/>
          </w:tcPr>
          <w:p w14:paraId="7C7D08DC"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Nazwa świadczenia</w:t>
            </w:r>
          </w:p>
        </w:tc>
        <w:tc>
          <w:tcPr>
            <w:tcW w:w="3685" w:type="dxa"/>
            <w:gridSpan w:val="3"/>
            <w:shd w:val="clear" w:color="auto" w:fill="9CC2E5" w:themeFill="accent1" w:themeFillTint="99"/>
          </w:tcPr>
          <w:p w14:paraId="63C9DEA0"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Liczba osób starszych</w:t>
            </w:r>
          </w:p>
        </w:tc>
        <w:tc>
          <w:tcPr>
            <w:tcW w:w="5107" w:type="dxa"/>
            <w:gridSpan w:val="3"/>
            <w:shd w:val="clear" w:color="auto" w:fill="9CC2E5" w:themeFill="accent1" w:themeFillTint="99"/>
          </w:tcPr>
          <w:p w14:paraId="526E7FF5"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Kwota świadczenia</w:t>
            </w:r>
          </w:p>
        </w:tc>
      </w:tr>
      <w:tr w:rsidR="00A40FBE" w:rsidRPr="00BB2299" w14:paraId="26D0FDEE" w14:textId="77777777" w:rsidTr="006526E9">
        <w:trPr>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6E7C20F" w14:textId="77777777" w:rsidR="00A40FBE" w:rsidRPr="00BB2299" w:rsidRDefault="00A40FBE" w:rsidP="00A40FBE">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640CA5B8"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Zasiłek stały</w:t>
            </w:r>
          </w:p>
        </w:tc>
        <w:tc>
          <w:tcPr>
            <w:tcW w:w="3685" w:type="dxa"/>
            <w:gridSpan w:val="3"/>
            <w:shd w:val="clear" w:color="auto" w:fill="FFFFFF" w:themeFill="background1"/>
          </w:tcPr>
          <w:p w14:paraId="543E6FBD"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4 534</w:t>
            </w:r>
          </w:p>
        </w:tc>
        <w:tc>
          <w:tcPr>
            <w:tcW w:w="5107" w:type="dxa"/>
            <w:gridSpan w:val="3"/>
            <w:shd w:val="clear" w:color="auto" w:fill="FFFFFF" w:themeFill="background1"/>
          </w:tcPr>
          <w:p w14:paraId="7A519513"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23 502 087</w:t>
            </w:r>
          </w:p>
        </w:tc>
      </w:tr>
      <w:tr w:rsidR="00A40FBE" w:rsidRPr="00BB2299" w14:paraId="177A56F8" w14:textId="77777777" w:rsidTr="006526E9">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3AAA4909" w14:textId="77777777" w:rsidR="00A40FBE" w:rsidRPr="00BB2299" w:rsidRDefault="00A40FBE" w:rsidP="00A40FBE">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31C0B33D"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Zasiłek okresowy</w:t>
            </w:r>
          </w:p>
        </w:tc>
        <w:tc>
          <w:tcPr>
            <w:tcW w:w="3685" w:type="dxa"/>
            <w:gridSpan w:val="3"/>
            <w:shd w:val="clear" w:color="auto" w:fill="FFFFFF" w:themeFill="background1"/>
          </w:tcPr>
          <w:p w14:paraId="48A90440"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2 986</w:t>
            </w:r>
          </w:p>
        </w:tc>
        <w:tc>
          <w:tcPr>
            <w:tcW w:w="5107" w:type="dxa"/>
            <w:gridSpan w:val="3"/>
            <w:shd w:val="clear" w:color="auto" w:fill="FFFFFF" w:themeFill="background1"/>
          </w:tcPr>
          <w:p w14:paraId="1714E3F8"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4 529 004</w:t>
            </w:r>
          </w:p>
        </w:tc>
      </w:tr>
      <w:tr w:rsidR="00A40FBE" w:rsidRPr="00BB2299" w14:paraId="09BBD52E" w14:textId="77777777" w:rsidTr="006526E9">
        <w:trPr>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B673292" w14:textId="77777777" w:rsidR="00A40FBE" w:rsidRPr="00BB2299" w:rsidRDefault="00A40FBE" w:rsidP="00A40FBE">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510BFA02"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Zasiłek celowy</w:t>
            </w:r>
          </w:p>
        </w:tc>
        <w:tc>
          <w:tcPr>
            <w:tcW w:w="3685" w:type="dxa"/>
            <w:gridSpan w:val="3"/>
            <w:shd w:val="clear" w:color="auto" w:fill="FFFFFF" w:themeFill="background1"/>
          </w:tcPr>
          <w:p w14:paraId="5382F8F0"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5 566</w:t>
            </w:r>
          </w:p>
        </w:tc>
        <w:tc>
          <w:tcPr>
            <w:tcW w:w="5107" w:type="dxa"/>
            <w:gridSpan w:val="3"/>
            <w:shd w:val="clear" w:color="auto" w:fill="FFFFFF" w:themeFill="background1"/>
          </w:tcPr>
          <w:p w14:paraId="629503B3" w14:textId="77777777" w:rsidR="00A40FBE" w:rsidRPr="00BB2299" w:rsidRDefault="00A40FBE" w:rsidP="00A40FBE">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5 832 105</w:t>
            </w:r>
          </w:p>
        </w:tc>
      </w:tr>
      <w:tr w:rsidR="00A40FBE" w:rsidRPr="00BB2299" w14:paraId="1731B0EB" w14:textId="77777777" w:rsidTr="006526E9">
        <w:trPr>
          <w:cnfStyle w:val="000000100000" w:firstRow="0" w:lastRow="0" w:firstColumn="0" w:lastColumn="0" w:oddVBand="0" w:evenVBand="0" w:oddHBand="1" w:evenHBand="0" w:firstRowFirstColumn="0" w:firstRowLastColumn="0" w:lastRowFirstColumn="0" w:lastRowLastColumn="0"/>
          <w:trHeight w:val="190"/>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05EDEF73" w14:textId="77777777" w:rsidR="00A40FBE" w:rsidRPr="00BB2299" w:rsidRDefault="00A40FBE" w:rsidP="00A40FBE">
            <w:pPr>
              <w:spacing w:after="0" w:line="240" w:lineRule="auto"/>
              <w:rPr>
                <w:rFonts w:ascii="Times New Roman" w:eastAsia="Times New Roman" w:hAnsi="Times New Roman"/>
                <w:b w:val="0"/>
                <w:bCs w:val="0"/>
                <w:color w:val="auto"/>
                <w:lang w:eastAsia="pl-PL"/>
              </w:rPr>
            </w:pPr>
          </w:p>
        </w:tc>
        <w:tc>
          <w:tcPr>
            <w:tcW w:w="3119" w:type="dxa"/>
            <w:gridSpan w:val="2"/>
            <w:shd w:val="clear" w:color="auto" w:fill="FFFFFF" w:themeFill="background1"/>
          </w:tcPr>
          <w:p w14:paraId="1407C8ED"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Specjalny zasiłek celowy</w:t>
            </w:r>
          </w:p>
        </w:tc>
        <w:tc>
          <w:tcPr>
            <w:tcW w:w="3685" w:type="dxa"/>
            <w:gridSpan w:val="3"/>
            <w:shd w:val="clear" w:color="auto" w:fill="FFFFFF" w:themeFill="background1"/>
          </w:tcPr>
          <w:p w14:paraId="09B3DDC7"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3 316</w:t>
            </w:r>
          </w:p>
        </w:tc>
        <w:tc>
          <w:tcPr>
            <w:tcW w:w="5107" w:type="dxa"/>
            <w:gridSpan w:val="3"/>
            <w:shd w:val="clear" w:color="auto" w:fill="FFFFFF" w:themeFill="background1"/>
          </w:tcPr>
          <w:p w14:paraId="544FDF2D" w14:textId="77777777" w:rsidR="00A40FBE" w:rsidRPr="00BB2299" w:rsidRDefault="00A40FBE" w:rsidP="00A40FBE">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2 457 844</w:t>
            </w:r>
          </w:p>
        </w:tc>
      </w:tr>
      <w:tr w:rsidR="00A40FBE" w:rsidRPr="00BB2299" w14:paraId="23EB2F74" w14:textId="77777777" w:rsidTr="006526E9">
        <w:trPr>
          <w:trHeight w:val="444"/>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685CEC9A" w14:textId="77777777" w:rsidR="00A40FBE" w:rsidRPr="00BB2299" w:rsidRDefault="00A40FBE" w:rsidP="00A40FBE">
            <w:pPr>
              <w:spacing w:after="0" w:line="240" w:lineRule="auto"/>
              <w:rPr>
                <w:rFonts w:ascii="Times New Roman" w:hAnsi="Times New Roman"/>
                <w:b w:val="0"/>
                <w:color w:val="auto"/>
                <w:lang w:eastAsia="pl-PL"/>
              </w:rPr>
            </w:pPr>
            <w:r w:rsidRPr="00BB2299">
              <w:rPr>
                <w:rFonts w:ascii="Times New Roman" w:hAnsi="Times New Roman"/>
                <w:color w:val="auto"/>
                <w:lang w:eastAsia="pl-PL"/>
              </w:rPr>
              <w:t xml:space="preserve">Największe problemy/niedogodności w </w:t>
            </w:r>
            <w:r w:rsidRPr="00BB2299">
              <w:rPr>
                <w:rFonts w:ascii="Times New Roman" w:hAnsi="Times New Roman"/>
                <w:color w:val="auto"/>
                <w:lang w:eastAsia="pl-PL"/>
              </w:rPr>
              <w:lastRenderedPageBreak/>
              <w:t>świadczeniu opieki nad osobami starszymi (np. zasoby kadrowe, rzeczowe, finansowe itp.)</w:t>
            </w:r>
          </w:p>
        </w:tc>
        <w:tc>
          <w:tcPr>
            <w:tcW w:w="11911" w:type="dxa"/>
            <w:gridSpan w:val="8"/>
            <w:shd w:val="clear" w:color="auto" w:fill="FFFFFF" w:themeFill="background1"/>
          </w:tcPr>
          <w:p w14:paraId="4FEDC9DA" w14:textId="77777777" w:rsidR="00A40FBE" w:rsidRPr="00BB2299" w:rsidRDefault="00A40FBE" w:rsidP="00A40FBE">
            <w:pPr>
              <w:pStyle w:val="Akapitzlist"/>
              <w:numPr>
                <w:ilvl w:val="0"/>
                <w:numId w:val="24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lastRenderedPageBreak/>
              <w:t>Braki kadrowe: starzenie się kadry i odchodzenie na emeryturę; brak zainteresowania kształceniem/przygotowaniem do pracy w zawodzie; wynagrodzenia nieadekwatne do ciężaru pracy.</w:t>
            </w:r>
          </w:p>
          <w:p w14:paraId="70659E56" w14:textId="77777777" w:rsidR="00A40FBE" w:rsidRPr="00BB2299" w:rsidRDefault="00A40FBE" w:rsidP="00A40FBE">
            <w:pPr>
              <w:pStyle w:val="Akapitzlist"/>
              <w:numPr>
                <w:ilvl w:val="0"/>
                <w:numId w:val="24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lastRenderedPageBreak/>
              <w:t>Brak sprzętu wspomagającego opiekę i pielęgnację ułatwiającego realizację usług i komfort pracy (sprzęty, środki, szkolenia) z uwagi na ograniczenia finansowe.</w:t>
            </w:r>
          </w:p>
          <w:p w14:paraId="057849E6" w14:textId="77777777" w:rsidR="00A40FBE" w:rsidRPr="00BB2299" w:rsidRDefault="00A40FBE" w:rsidP="00A40FBE">
            <w:pPr>
              <w:pStyle w:val="Akapitzlist"/>
              <w:numPr>
                <w:ilvl w:val="0"/>
                <w:numId w:val="24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Wzrost ceny usług (głównie z uwagi na wzrost kosztów pracy), a w związku z tym wzrost odpłatności klienta przekraczający jego możliwości, powodujący rezygnację z części godzin usług, a przez to pogorszenie komfortu funkcjonowania i stanu zdrowia.</w:t>
            </w:r>
          </w:p>
          <w:p w14:paraId="72B7AB62" w14:textId="77777777" w:rsidR="00A40FBE" w:rsidRPr="00BB2299" w:rsidRDefault="00A40FBE" w:rsidP="00A40FBE">
            <w:pPr>
              <w:pStyle w:val="Akapitzlist"/>
              <w:numPr>
                <w:ilvl w:val="0"/>
                <w:numId w:val="24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Niewystarczające środki na finansowanie kosztów usług w szerszym wymiarze.</w:t>
            </w:r>
          </w:p>
          <w:p w14:paraId="0B36BC9A" w14:textId="77777777" w:rsidR="00A40FBE" w:rsidRPr="006526E9" w:rsidRDefault="00A40FBE" w:rsidP="00A40FBE">
            <w:pPr>
              <w:pStyle w:val="Akapitzlist"/>
              <w:numPr>
                <w:ilvl w:val="0"/>
                <w:numId w:val="243"/>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Trudności organizacyjne: rodzaje stosunku pracy, czas pracy, przemieszczanie się pomiędzy środowiskami, zapewnienie odpowiednich warunków bhp.</w:t>
            </w:r>
          </w:p>
          <w:p w14:paraId="4DEE05EF"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pielęgniarstwa opieki paliatywnej – mgr Bogumiły Aziewicz-Gabis</w:t>
            </w:r>
          </w:p>
          <w:p w14:paraId="3F667F2F"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 Zbyt mała ilość osób mogących świadczyć usługi opiekuńcze oraz zbyt niskie ich wynagrodzenie</w:t>
            </w:r>
          </w:p>
          <w:p w14:paraId="5A2A145A"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 Brak spójności opieki świadczonej w ramach świadczeń MOPS, GOPS oraz NFZ</w:t>
            </w:r>
          </w:p>
          <w:p w14:paraId="1B5B9837"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 Brak dobrej, ciągłej i spójnej  polityki skierowanej na rzeczywistą pomoc osobom starszym ukierunkowanej na deficyty występujące w tej grupie wiekowej społeczeństwa.</w:t>
            </w:r>
          </w:p>
        </w:tc>
      </w:tr>
      <w:tr w:rsidR="00A40FBE" w:rsidRPr="00BB2299" w14:paraId="52FE2AE9" w14:textId="77777777" w:rsidTr="006526E9">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108834D5" w14:textId="77777777" w:rsidR="00A40FBE" w:rsidRPr="00BB2299" w:rsidRDefault="00A40FBE" w:rsidP="00A40FBE">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545F91FD"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medycyny rodzinnej – dr n. med. Wiesławy Fabian</w:t>
            </w:r>
          </w:p>
          <w:p w14:paraId="7170831B"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 xml:space="preserve">Największe problemy są w zapewnieniu opieki osobom niesamodzielnym, samotnym, leżącym. Leczenie i zakres działań pielęgniarki środowiskowej jest realizowany, ale nie ma kto dopilnować realizacji zaleceń, przyjmowania leków, podawania leków do samodzielnych iniekcji jak insulina, heparyna drobno cząsteczkowa. To są leki, które są do samodzielnego podawania ale osoby starsze sobie nie radzą, opiekunki z MOPR odmawiają i problem jest nierozwiązany, bo pielęgniarka powinna udzielić instruktarzu, a nie codziennie przychodzić podawać bo zasoby pielęgniarskie też są ograniczone. </w:t>
            </w:r>
          </w:p>
          <w:p w14:paraId="046287BE"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Gdyby lepiej rozwiązać opiekę domową nad starszymi to byłyby lepsze efekty lecznicze, mniej powikłań, mniej hospitalizacji.</w:t>
            </w:r>
          </w:p>
        </w:tc>
      </w:tr>
      <w:tr w:rsidR="00A40FBE" w:rsidRPr="00BB2299" w14:paraId="07A1D81E" w14:textId="77777777" w:rsidTr="006526E9">
        <w:trPr>
          <w:trHeight w:val="4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BC110E5" w14:textId="77777777" w:rsidR="00A40FBE" w:rsidRPr="00BB2299" w:rsidRDefault="00A40FBE" w:rsidP="00A40FBE">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38B222BE"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pielęgniarstwa opieki długoterminowej – mgr Wioletty Krociak</w:t>
            </w:r>
          </w:p>
          <w:p w14:paraId="24EBAF1D"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 Niewystarczające zasoby kadrowe</w:t>
            </w:r>
          </w:p>
          <w:p w14:paraId="00A9A815"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 Bariery mieszkaniowe.</w:t>
            </w:r>
          </w:p>
        </w:tc>
      </w:tr>
      <w:tr w:rsidR="00A40FBE" w:rsidRPr="00BB2299" w14:paraId="71EC2C96" w14:textId="77777777" w:rsidTr="006526E9">
        <w:trPr>
          <w:cnfStyle w:val="000000100000" w:firstRow="0" w:lastRow="0" w:firstColumn="0" w:lastColumn="0" w:oddVBand="0" w:evenVBand="0" w:oddHBand="1" w:evenHBand="0" w:firstRowFirstColumn="0" w:firstRowLastColumn="0" w:lastRowFirstColumn="0" w:lastRowLastColumn="0"/>
          <w:trHeight w:val="1608"/>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6ECAA00" w14:textId="77777777" w:rsidR="00A40FBE" w:rsidRPr="00BB2299" w:rsidRDefault="00A40FBE" w:rsidP="00A40FBE">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2042A2B2"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chorób wewnętrznych – prof. dr hab. n. med. Leszka Domańskiego</w:t>
            </w:r>
          </w:p>
          <w:p w14:paraId="37685CFB"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1. Zapewnienie usług jako przede wszystkim czynności o charakterze formalno-administracyjnym i porządkowym</w:t>
            </w:r>
          </w:p>
          <w:p w14:paraId="39C3EC9D"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2. Ankietowani seniorzy podają, że nie otrzymują wsparcia w podtrzymywaniu kondycji psychicznej, tj. subiektywnego postrzegania poczucia szczęścia, zadowolenia z życia, a nie tylko zaspokojenia ich podstawowych potrzeb życiowych</w:t>
            </w:r>
          </w:p>
          <w:p w14:paraId="2C591E4D"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3. Istnieje potrzeba wprowadzenia trybu interwencyjnego przyznawania usług, jako wyjątku od obowiązku przeprowadzenia pełnej procedury administracyjnej</w:t>
            </w:r>
          </w:p>
        </w:tc>
      </w:tr>
      <w:tr w:rsidR="00A40FBE" w:rsidRPr="00BB2299" w14:paraId="5F528151" w14:textId="77777777" w:rsidTr="007E13EA">
        <w:trPr>
          <w:trHeight w:val="442"/>
          <w:jc w:val="center"/>
        </w:trPr>
        <w:tc>
          <w:tcPr>
            <w:cnfStyle w:val="001000000000" w:firstRow="0" w:lastRow="0" w:firstColumn="1" w:lastColumn="0" w:oddVBand="0" w:evenVBand="0" w:oddHBand="0" w:evenHBand="0" w:firstRowFirstColumn="0" w:firstRowLastColumn="0" w:lastRowFirstColumn="0" w:lastRowLastColumn="0"/>
            <w:tcW w:w="2830" w:type="dxa"/>
            <w:vMerge w:val="restart"/>
            <w:shd w:val="clear" w:color="auto" w:fill="9CC2E5" w:themeFill="accent1" w:themeFillTint="99"/>
          </w:tcPr>
          <w:p w14:paraId="0C7774AD" w14:textId="77777777" w:rsidR="00A40FBE" w:rsidRPr="00BB2299" w:rsidRDefault="00A40FBE" w:rsidP="00A40FBE">
            <w:pPr>
              <w:spacing w:after="0" w:line="240" w:lineRule="auto"/>
              <w:rPr>
                <w:rFonts w:ascii="Times New Roman" w:hAnsi="Times New Roman"/>
                <w:color w:val="auto"/>
                <w:lang w:eastAsia="pl-PL"/>
              </w:rPr>
            </w:pPr>
            <w:r w:rsidRPr="00BB2299">
              <w:rPr>
                <w:rFonts w:ascii="Times New Roman" w:hAnsi="Times New Roman"/>
                <w:color w:val="auto"/>
                <w:lang w:eastAsia="pl-PL"/>
              </w:rPr>
              <w:t>Stopień zaspokojenia potrzeb w zakresie usług opiekuńczych</w:t>
            </w:r>
          </w:p>
        </w:tc>
        <w:tc>
          <w:tcPr>
            <w:tcW w:w="11911" w:type="dxa"/>
            <w:gridSpan w:val="8"/>
            <w:shd w:val="clear" w:color="auto" w:fill="FFFFFF" w:themeFill="background1"/>
          </w:tcPr>
          <w:p w14:paraId="5DC3BFD4" w14:textId="77777777" w:rsidR="00A40FBE" w:rsidRPr="00BB2299" w:rsidRDefault="00A40FBE" w:rsidP="00A40FBE">
            <w:pPr>
              <w:pStyle w:val="Akapitzlist"/>
              <w:numPr>
                <w:ilvl w:val="0"/>
                <w:numId w:val="242"/>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Pomoc przyznawana jest zgodnie z przesłankami zawartymi w ustawie o pomocy społecznej. Wszystkie osoby je spełniające taką pomoc otrzymują. Dotyczy to klientów samotnych, jak i tych, którzy posiadają rodziny, gdy osoby zobowiązane nie są w stanie takiej pomocy zapewnić. Zakres i wymiar usług dostosowany jest do potrzeb wnioskodawcy z uwzględnieniem sytuacji zdrowotnej i rodzinnej. Ośrodek kładzie duży nacisk na współpracę z rodziną i aktywny jej udział w zapewnieniu seniorom należytego wsparcia.</w:t>
            </w:r>
          </w:p>
          <w:p w14:paraId="39A2FD96" w14:textId="77777777" w:rsidR="00A40FBE" w:rsidRPr="006526E9" w:rsidRDefault="00A40FBE" w:rsidP="00A40FBE">
            <w:pPr>
              <w:pStyle w:val="Akapitzlist"/>
              <w:numPr>
                <w:ilvl w:val="0"/>
                <w:numId w:val="242"/>
              </w:num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lastRenderedPageBreak/>
              <w:t>Usługi opiekuńcze świadczone są w zakresie zaspokojenia podstawowych potrzeb bytowych. Zauważyć należy, iż często osoby korzystające z tej formy pomocy są osobami roszczeniowymi pod względem ilości przyznawanych godzin, ich odpłatności oraz zakresu obowiązków opiekunek wychodzących poza zakres czynności. Dużym problemem jest brak zaangażowania rodziny w opiekę nad osobami starszymi, obowiązkiem tym obarczają system pomocy społecznej.</w:t>
            </w:r>
          </w:p>
          <w:p w14:paraId="3CE7279A"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pielęgniarstwa opieki paliatywnej – mgr Bogumiły Aziewicz-Gabis</w:t>
            </w:r>
          </w:p>
          <w:p w14:paraId="0AE71D0F"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 xml:space="preserve">W związku ze zmianą struktury rodziny w miastach, a coraz częściej i na wsiach oraz z tym, że Polacy zaliczają się do społeczeństwa starego nastąpił ogromny deficyt w zaspokajaniu potrzeb opiekuńczych. Wydłużyła się długość życia człowieka, a tym samym mamy coraz więcej ludzi z deficytami opiekuńczymi. Coraz mniej jest rodzin wielopokoleniowych, coraz więcej osób samotnych i opieka świadczona przez członków rodziny nie funkcjonuje. Natomiast opieka świadczona przez instytucje państwowe jest zaspokajana w minimalnym stopniu. </w:t>
            </w:r>
          </w:p>
        </w:tc>
      </w:tr>
      <w:tr w:rsidR="00A40FBE" w:rsidRPr="00BB2299" w14:paraId="2BE748A0" w14:textId="77777777" w:rsidTr="007E13EA">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7B37FB74" w14:textId="77777777" w:rsidR="00A40FBE" w:rsidRPr="00BB2299" w:rsidRDefault="00A40FBE" w:rsidP="00A40FBE">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2DB69B16"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medycyny rodzinnej – dr n. med. Wiesławy Fabian</w:t>
            </w:r>
          </w:p>
          <w:p w14:paraId="51685DE7"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 xml:space="preserve">Usługi opiekuńcze w Szczecinie są słabo zaspokojone.  Samotni bez rodziny, mają duży problem z zapewnieniem  usług, często są tylko 1-2 godz., a wymagają więcej. Dobrym rozwiązaniem  byłoby wsparcie rodzin, które opiekują się osobami starszymi, które mogły by np. na miesiąc mieć pomoc opiekuńczą, aby sami mogli wyjechać, odpocząć. </w:t>
            </w:r>
          </w:p>
        </w:tc>
      </w:tr>
      <w:tr w:rsidR="00A40FBE" w:rsidRPr="00BB2299" w14:paraId="646690D3" w14:textId="77777777" w:rsidTr="007E13EA">
        <w:trPr>
          <w:trHeight w:val="4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62D9F691" w14:textId="77777777" w:rsidR="00A40FBE" w:rsidRPr="00BB2299" w:rsidRDefault="00A40FBE" w:rsidP="00A40FBE">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5ED50DB6"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pielęgniarstwa opieki długoterminowej – mgr Wioletty Krociak</w:t>
            </w:r>
          </w:p>
          <w:p w14:paraId="2E7BF4AE" w14:textId="77777777" w:rsidR="00A40FBE" w:rsidRPr="00BB2299" w:rsidRDefault="00A40FBE" w:rsidP="00A40F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Usługi opiekuńcze obejmują: zaspokajanie codziennych potrzeb życiowych (sprzątanie, pranie, zakupy, sporządzanie posiłków), opiekę higieniczną, zaleconą przez lekarza pielęgnację, zapewnianie kontaktów z otoczeniem. W mojej opinii usługi te są niewystarczające. Przyczyniają się do tego w dużej mierze małe zasoby kadrowe oraz odpłatność za świadczone usługi.</w:t>
            </w:r>
          </w:p>
        </w:tc>
      </w:tr>
      <w:tr w:rsidR="00A40FBE" w:rsidRPr="00BB2299" w14:paraId="28AA6F35" w14:textId="77777777" w:rsidTr="007E13EA">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2830" w:type="dxa"/>
            <w:vMerge/>
            <w:shd w:val="clear" w:color="auto" w:fill="9CC2E5" w:themeFill="accent1" w:themeFillTint="99"/>
          </w:tcPr>
          <w:p w14:paraId="4DCED1C8" w14:textId="77777777" w:rsidR="00A40FBE" w:rsidRPr="00BB2299" w:rsidRDefault="00A40FBE" w:rsidP="00A40FBE">
            <w:pPr>
              <w:spacing w:after="0" w:line="240" w:lineRule="auto"/>
              <w:rPr>
                <w:rFonts w:ascii="Times New Roman" w:hAnsi="Times New Roman"/>
                <w:color w:val="auto"/>
                <w:lang w:eastAsia="pl-PL"/>
              </w:rPr>
            </w:pPr>
          </w:p>
        </w:tc>
        <w:tc>
          <w:tcPr>
            <w:tcW w:w="11911" w:type="dxa"/>
            <w:gridSpan w:val="8"/>
            <w:shd w:val="clear" w:color="auto" w:fill="FFFFFF" w:themeFill="background1"/>
          </w:tcPr>
          <w:p w14:paraId="1252CB69"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b/>
                <w:color w:val="auto"/>
              </w:rPr>
            </w:pPr>
            <w:r w:rsidRPr="00BB2299">
              <w:rPr>
                <w:rFonts w:ascii="Times New Roman" w:hAnsi="Times New Roman"/>
                <w:b/>
                <w:color w:val="auto"/>
              </w:rPr>
              <w:t>Opinia konsultanta wojewódzkiego w dziedzinie chorób wewnętrznych – prof. dr hab. n. med. Leszka Domańskiego</w:t>
            </w:r>
          </w:p>
          <w:p w14:paraId="0D524840" w14:textId="77777777" w:rsidR="00A40FBE" w:rsidRPr="00BB2299" w:rsidRDefault="00A40FBE" w:rsidP="00A40FBE">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olor w:val="auto"/>
              </w:rPr>
            </w:pPr>
            <w:r w:rsidRPr="00BB2299">
              <w:rPr>
                <w:rFonts w:ascii="Times New Roman" w:hAnsi="Times New Roman"/>
                <w:color w:val="auto"/>
              </w:rPr>
              <w:t>Mimo, że zapewnienie usług opiekuńczych w miejscu zamieszkania to zadanie własne gminy o charakterze obowiązkowym, nie wszystkie gminy się z niego wywiązują. Wg NIK liczba i odsetek gmin w  województwie zachodniopomorskim niezapewniających usług opiekuńczych w miejscu zamieszkania wynosi 9 (8%).  Wyniki kontroli korespondują z wynikami ankiety przeprowadzonej wśród osób starszych. Jak wykazały wyniki badania ankietowego 49% badanych seniorów nie udzieliło właściwej lub żadnej odpowiedzi na pytanie o rodzaj przysługujących im usług, a 56 osób (24,8% oraz 12,7% z całej grupy ankietowanych), podało ogólne sformułowania typu: usługi opiekuńcze, opieka, usługi higieniczne, pomoc w całościowym funkcjonowaniu itp. Badani ponadto skarżyli się, że odczuwają mocno swoje osamotnienie i brak częstszych kontaktów interpersonalnych. Zaznaczali, że nie mają możliwości porozmawiania z osobami świadczącymi pomoc, czyli nie otrzymują wsparcia w podtrzymywaniu kondycji psychicznej, tj. subiektywnego postrzegania poczucia szczęścia, zadowolenia z życia, a nie tylko zaspokojenia ich podstawowych potrzeb życiowych. Świadczona pomoc sprowadzała się do szybkiego i sprawnego załatwienia różnych spraw, często poza domem podopiecznego. Jakkolwiek dbałość o te sprawy dla osób chorych, niesprawnych fizycznie, jest bardzo ważna a takie działanie potrzebne, to należy mieć świadomość, że nie jest wystarczająca z punktu widzenia osoby często osamotnionej i cierpiącej.</w:t>
            </w:r>
          </w:p>
        </w:tc>
      </w:tr>
    </w:tbl>
    <w:p w14:paraId="2D790152" w14:textId="77777777" w:rsidR="00C31643" w:rsidRDefault="00C31643" w:rsidP="008C71A9">
      <w:pPr>
        <w:pStyle w:val="Nagwek1"/>
        <w:numPr>
          <w:ilvl w:val="0"/>
          <w:numId w:val="97"/>
        </w:numPr>
        <w:ind w:left="0" w:firstLine="0"/>
        <w:rPr>
          <w:lang w:eastAsia="ar-SA"/>
        </w:rPr>
        <w:sectPr w:rsidR="00C31643" w:rsidSect="00D75B65">
          <w:pgSz w:w="16840" w:h="11906" w:orient="landscape"/>
          <w:pgMar w:top="1418" w:right="1418" w:bottom="1418" w:left="1417" w:header="708" w:footer="708" w:gutter="0"/>
          <w:cols w:space="708"/>
          <w:docGrid w:linePitch="360"/>
        </w:sectPr>
      </w:pPr>
    </w:p>
    <w:p w14:paraId="1634820E" w14:textId="77777777" w:rsidR="009A1C19" w:rsidRPr="00697B76" w:rsidRDefault="005A7983" w:rsidP="00835584">
      <w:pPr>
        <w:pStyle w:val="Nagwek1"/>
        <w:numPr>
          <w:ilvl w:val="0"/>
          <w:numId w:val="97"/>
        </w:numPr>
        <w:spacing w:after="240" w:line="240" w:lineRule="auto"/>
        <w:ind w:left="-142" w:hanging="284"/>
        <w:rPr>
          <w:rFonts w:cs="Times New Roman"/>
          <w:b w:val="0"/>
          <w:i/>
          <w:color w:val="2F5496" w:themeColor="accent5" w:themeShade="BF"/>
          <w:sz w:val="40"/>
          <w:lang w:eastAsia="ar-SA"/>
        </w:rPr>
      </w:pPr>
      <w:bookmarkStart w:id="158" w:name="_Toc49171372"/>
      <w:r w:rsidRPr="00697B76">
        <w:rPr>
          <w:rFonts w:cs="Times New Roman"/>
          <w:color w:val="2F5496" w:themeColor="accent5" w:themeShade="BF"/>
          <w:sz w:val="40"/>
          <w:lang w:eastAsia="ar-SA"/>
        </w:rPr>
        <w:lastRenderedPageBreak/>
        <w:t xml:space="preserve">Sprawozdanie z realizacji działań zaplanowanych </w:t>
      </w:r>
      <w:r w:rsidR="00835584">
        <w:rPr>
          <w:rFonts w:cs="Times New Roman"/>
          <w:color w:val="2F5496" w:themeColor="accent5" w:themeShade="BF"/>
          <w:sz w:val="40"/>
          <w:lang w:eastAsia="ar-SA"/>
        </w:rPr>
        <w:br/>
      </w:r>
      <w:r w:rsidRPr="00697B76">
        <w:rPr>
          <w:rFonts w:cs="Times New Roman"/>
          <w:color w:val="2F5496" w:themeColor="accent5" w:themeShade="BF"/>
          <w:sz w:val="40"/>
          <w:lang w:eastAsia="ar-SA"/>
        </w:rPr>
        <w:t xml:space="preserve">w dokumencie </w:t>
      </w:r>
      <w:r w:rsidRPr="00697B76">
        <w:rPr>
          <w:rFonts w:cs="Times New Roman"/>
          <w:i/>
          <w:color w:val="2F5496" w:themeColor="accent5" w:themeShade="BF"/>
          <w:sz w:val="40"/>
          <w:lang w:eastAsia="ar-SA"/>
        </w:rPr>
        <w:t xml:space="preserve">Polityka społeczna wobec osób starszych 2030. Bezpieczeństwo – Uczestnictwo </w:t>
      </w:r>
      <w:r w:rsidR="009A1C19" w:rsidRPr="00697B76">
        <w:rPr>
          <w:rFonts w:cs="Times New Roman"/>
          <w:i/>
          <w:color w:val="2F5496" w:themeColor="accent5" w:themeShade="BF"/>
          <w:sz w:val="40"/>
          <w:lang w:eastAsia="ar-SA"/>
        </w:rPr>
        <w:t>–</w:t>
      </w:r>
      <w:r w:rsidRPr="00697B76">
        <w:rPr>
          <w:rFonts w:cs="Times New Roman"/>
          <w:i/>
          <w:color w:val="2F5496" w:themeColor="accent5" w:themeShade="BF"/>
          <w:sz w:val="40"/>
          <w:lang w:eastAsia="ar-SA"/>
        </w:rPr>
        <w:t xml:space="preserve"> Solidarność</w:t>
      </w:r>
      <w:bookmarkEnd w:id="158"/>
    </w:p>
    <w:p w14:paraId="776E0FB3" w14:textId="77777777" w:rsidR="00C31643" w:rsidRDefault="00C31643" w:rsidP="003C1988">
      <w:pPr>
        <w:autoSpaceDE w:val="0"/>
        <w:autoSpaceDN w:val="0"/>
        <w:adjustRightInd w:val="0"/>
        <w:spacing w:before="120" w:after="120"/>
        <w:rPr>
          <w:rFonts w:ascii="Times New Roman" w:hAnsi="Times New Roman" w:cs="Times New Roman"/>
          <w:spacing w:val="-5"/>
          <w:sz w:val="24"/>
          <w:szCs w:val="24"/>
        </w:rPr>
      </w:pPr>
    </w:p>
    <w:p w14:paraId="545D4435" w14:textId="77777777" w:rsidR="00311D18" w:rsidRDefault="00D50313" w:rsidP="00EE3921">
      <w:pPr>
        <w:autoSpaceDE w:val="0"/>
        <w:autoSpaceDN w:val="0"/>
        <w:adjustRightInd w:val="0"/>
        <w:spacing w:before="120" w:after="120"/>
        <w:jc w:val="both"/>
        <w:rPr>
          <w:rFonts w:ascii="Times New Roman" w:hAnsi="Times New Roman" w:cs="Times New Roman"/>
          <w:spacing w:val="-5"/>
          <w:sz w:val="24"/>
          <w:szCs w:val="24"/>
        </w:rPr>
      </w:pPr>
      <w:r>
        <w:rPr>
          <w:rFonts w:ascii="Times New Roman" w:hAnsi="Times New Roman" w:cs="Times New Roman"/>
          <w:spacing w:val="-5"/>
          <w:sz w:val="24"/>
          <w:szCs w:val="24"/>
        </w:rPr>
        <w:t xml:space="preserve">Dokument pt. </w:t>
      </w:r>
      <w:r w:rsidR="009A1C19" w:rsidRPr="00D50313">
        <w:rPr>
          <w:rFonts w:ascii="Times New Roman" w:hAnsi="Times New Roman" w:cs="Times New Roman"/>
          <w:i/>
          <w:spacing w:val="-5"/>
          <w:sz w:val="24"/>
          <w:szCs w:val="24"/>
        </w:rPr>
        <w:t>Polityka społeczna wobec osób starszych 2030. Bezpieczeńst</w:t>
      </w:r>
      <w:r w:rsidRPr="00D50313">
        <w:rPr>
          <w:rFonts w:ascii="Times New Roman" w:hAnsi="Times New Roman" w:cs="Times New Roman"/>
          <w:i/>
          <w:spacing w:val="-5"/>
          <w:sz w:val="24"/>
          <w:szCs w:val="24"/>
        </w:rPr>
        <w:t>wo – Uczestnictwo – Solidarność</w:t>
      </w:r>
      <w:r w:rsidR="009A1C19" w:rsidRPr="00D50313">
        <w:rPr>
          <w:rFonts w:ascii="Times New Roman" w:hAnsi="Times New Roman" w:cs="Times New Roman"/>
          <w:i/>
          <w:spacing w:val="-5"/>
          <w:sz w:val="24"/>
          <w:szCs w:val="24"/>
        </w:rPr>
        <w:t xml:space="preserve"> </w:t>
      </w:r>
      <w:r w:rsidR="009A1C19" w:rsidRPr="009A1C19">
        <w:rPr>
          <w:rFonts w:ascii="Times New Roman" w:hAnsi="Times New Roman" w:cs="Times New Roman"/>
          <w:spacing w:val="-5"/>
          <w:sz w:val="24"/>
          <w:szCs w:val="24"/>
        </w:rPr>
        <w:t>został przyjęty przez Radę Mi</w:t>
      </w:r>
      <w:r w:rsidR="009A1C19">
        <w:rPr>
          <w:rFonts w:ascii="Times New Roman" w:hAnsi="Times New Roman" w:cs="Times New Roman"/>
          <w:spacing w:val="-5"/>
          <w:sz w:val="24"/>
          <w:szCs w:val="24"/>
        </w:rPr>
        <w:t xml:space="preserve">nistrów w dniu 26 października </w:t>
      </w:r>
      <w:r w:rsidR="009A1C19" w:rsidRPr="009A1C19">
        <w:rPr>
          <w:rFonts w:ascii="Times New Roman" w:hAnsi="Times New Roman" w:cs="Times New Roman"/>
          <w:spacing w:val="-5"/>
          <w:sz w:val="24"/>
          <w:szCs w:val="24"/>
        </w:rPr>
        <w:t xml:space="preserve">2018 r. (uchwała nr 161 Rady Ministrów z dnia 26 października 2018 r. w sprawie przyjęcia dokumentu pt. „Polityka społeczna wobec osób starszych 2030. Bezpieczeństwo – Uczestnictwo – Solidarność”). </w:t>
      </w:r>
    </w:p>
    <w:p w14:paraId="190E7A9A" w14:textId="77777777" w:rsidR="00311D18" w:rsidRDefault="009A1C19" w:rsidP="00EE3921">
      <w:pPr>
        <w:autoSpaceDE w:val="0"/>
        <w:autoSpaceDN w:val="0"/>
        <w:adjustRightInd w:val="0"/>
        <w:spacing w:before="120" w:after="120"/>
        <w:jc w:val="both"/>
        <w:rPr>
          <w:rFonts w:ascii="Times New Roman" w:hAnsi="Times New Roman" w:cs="Times New Roman"/>
          <w:bCs/>
          <w:color w:val="000000"/>
          <w:sz w:val="24"/>
          <w:szCs w:val="24"/>
        </w:rPr>
      </w:pPr>
      <w:r w:rsidRPr="009A1C19">
        <w:rPr>
          <w:rFonts w:ascii="Times New Roman" w:hAnsi="Times New Roman" w:cs="Times New Roman"/>
          <w:bCs/>
          <w:sz w:val="24"/>
          <w:szCs w:val="24"/>
        </w:rPr>
        <w:t xml:space="preserve">Efekty z realizacji założeń zawartych w przedmiotowym dokumencie </w:t>
      </w:r>
      <w:r w:rsidRPr="009A1C19">
        <w:rPr>
          <w:rFonts w:ascii="Times New Roman" w:hAnsi="Times New Roman" w:cs="Times New Roman"/>
          <w:sz w:val="24"/>
          <w:szCs w:val="24"/>
        </w:rPr>
        <w:t xml:space="preserve">będą podlegały ocenie </w:t>
      </w:r>
      <w:r w:rsidR="00255CE2">
        <w:rPr>
          <w:rFonts w:ascii="Times New Roman" w:hAnsi="Times New Roman" w:cs="Times New Roman"/>
          <w:sz w:val="24"/>
          <w:szCs w:val="24"/>
        </w:rPr>
        <w:br/>
      </w:r>
      <w:r w:rsidR="00D50313">
        <w:rPr>
          <w:rFonts w:ascii="Times New Roman" w:hAnsi="Times New Roman" w:cs="Times New Roman"/>
          <w:bCs/>
          <w:sz w:val="24"/>
          <w:szCs w:val="24"/>
        </w:rPr>
        <w:t xml:space="preserve">w ramach kolejnych edycji </w:t>
      </w:r>
      <w:r w:rsidRPr="00D50313">
        <w:rPr>
          <w:rFonts w:ascii="Times New Roman" w:hAnsi="Times New Roman" w:cs="Times New Roman"/>
          <w:bCs/>
          <w:i/>
          <w:sz w:val="24"/>
          <w:szCs w:val="24"/>
        </w:rPr>
        <w:t>Infor</w:t>
      </w:r>
      <w:r w:rsidR="00D50313" w:rsidRPr="00D50313">
        <w:rPr>
          <w:rFonts w:ascii="Times New Roman" w:hAnsi="Times New Roman" w:cs="Times New Roman"/>
          <w:bCs/>
          <w:i/>
          <w:sz w:val="24"/>
          <w:szCs w:val="24"/>
        </w:rPr>
        <w:t>macji o sytuacji osób starszych w Polsce</w:t>
      </w:r>
      <w:r w:rsidRPr="009A1C19">
        <w:rPr>
          <w:rFonts w:ascii="Times New Roman" w:hAnsi="Times New Roman" w:cs="Times New Roman"/>
          <w:bCs/>
          <w:sz w:val="24"/>
          <w:szCs w:val="24"/>
        </w:rPr>
        <w:t xml:space="preserve">, przygotowywanej przez Radę Ministrów, zgodnie z </w:t>
      </w:r>
      <w:r w:rsidRPr="00D50313">
        <w:rPr>
          <w:rFonts w:ascii="Times New Roman" w:hAnsi="Times New Roman" w:cs="Times New Roman"/>
          <w:bCs/>
          <w:i/>
          <w:sz w:val="24"/>
          <w:szCs w:val="24"/>
        </w:rPr>
        <w:t>ustawą z dnia 11 września 2015 r. o osobach starszych</w:t>
      </w:r>
      <w:r w:rsidRPr="009A1C19">
        <w:rPr>
          <w:rFonts w:ascii="Times New Roman" w:hAnsi="Times New Roman" w:cs="Times New Roman"/>
          <w:bCs/>
          <w:sz w:val="24"/>
          <w:szCs w:val="24"/>
        </w:rPr>
        <w:t xml:space="preserve">. </w:t>
      </w:r>
      <w:r w:rsidR="00311D18" w:rsidRPr="00B40B36">
        <w:rPr>
          <w:rFonts w:ascii="Times New Roman" w:hAnsi="Times New Roman" w:cs="Times New Roman"/>
          <w:bCs/>
          <w:color w:val="000000"/>
          <w:sz w:val="24"/>
          <w:szCs w:val="24"/>
        </w:rPr>
        <w:t>Podmioty odpowiedzialne za realizację poszczególnych działań zobowiązane są do corocznego zebrania oraz przedstawienia informacji na temat stanu ich realizacji.</w:t>
      </w:r>
    </w:p>
    <w:p w14:paraId="5B821526" w14:textId="77777777" w:rsidR="000A74B3" w:rsidRDefault="00311D18" w:rsidP="00EE3921">
      <w:pPr>
        <w:autoSpaceDE w:val="0"/>
        <w:autoSpaceDN w:val="0"/>
        <w:adjustRightInd w:val="0"/>
        <w:spacing w:before="120" w:after="120"/>
        <w:jc w:val="both"/>
        <w:rPr>
          <w:rFonts w:ascii="Times New Roman" w:hAnsi="Times New Roman" w:cs="Times New Roman"/>
          <w:color w:val="000000"/>
          <w:sz w:val="24"/>
          <w:szCs w:val="24"/>
        </w:rPr>
      </w:pPr>
      <w:r w:rsidRPr="00B40B36">
        <w:rPr>
          <w:rFonts w:ascii="Times New Roman" w:hAnsi="Times New Roman" w:cs="Times New Roman"/>
          <w:color w:val="000000"/>
          <w:sz w:val="24"/>
          <w:szCs w:val="24"/>
        </w:rPr>
        <w:t xml:space="preserve">W związku z tym, że </w:t>
      </w:r>
      <w:r w:rsidRPr="00B40B36">
        <w:rPr>
          <w:rFonts w:ascii="Times New Roman" w:hAnsi="Times New Roman" w:cs="Times New Roman"/>
          <w:i/>
          <w:iCs/>
          <w:color w:val="000000"/>
          <w:sz w:val="24"/>
          <w:szCs w:val="24"/>
        </w:rPr>
        <w:t>Polityka społeczna wobec osób starszych 2030. Bezpieczeństwo - Uczestnictwo - Solidarność</w:t>
      </w:r>
      <w:r w:rsidRPr="00B40B36">
        <w:rPr>
          <w:rFonts w:ascii="Times New Roman" w:hAnsi="Times New Roman" w:cs="Times New Roman"/>
          <w:color w:val="000000"/>
          <w:sz w:val="24"/>
          <w:szCs w:val="24"/>
        </w:rPr>
        <w:t xml:space="preserve">  została przyjęta przez Radę Ministró</w:t>
      </w:r>
      <w:r>
        <w:rPr>
          <w:rFonts w:ascii="Times New Roman" w:hAnsi="Times New Roman" w:cs="Times New Roman"/>
          <w:color w:val="000000"/>
          <w:sz w:val="24"/>
          <w:szCs w:val="24"/>
        </w:rPr>
        <w:t>w w o</w:t>
      </w:r>
      <w:r w:rsidR="00D50313">
        <w:rPr>
          <w:rFonts w:ascii="Times New Roman" w:hAnsi="Times New Roman" w:cs="Times New Roman"/>
          <w:color w:val="000000"/>
          <w:sz w:val="24"/>
          <w:szCs w:val="24"/>
        </w:rPr>
        <w:t xml:space="preserve">statnim kwartale 2018 </w:t>
      </w:r>
      <w:r>
        <w:rPr>
          <w:rFonts w:ascii="Times New Roman" w:hAnsi="Times New Roman" w:cs="Times New Roman"/>
          <w:color w:val="000000"/>
          <w:sz w:val="24"/>
          <w:szCs w:val="24"/>
        </w:rPr>
        <w:t xml:space="preserve">r. </w:t>
      </w:r>
      <w:r w:rsidRPr="00B40B36">
        <w:rPr>
          <w:rFonts w:ascii="Times New Roman" w:hAnsi="Times New Roman" w:cs="Times New Roman"/>
          <w:color w:val="000000"/>
          <w:sz w:val="24"/>
          <w:szCs w:val="24"/>
        </w:rPr>
        <w:t>- podmioty nie miały szansy wdrożyć większości działań w tamtym okresie. Pierwsze zrealizowane działania b</w:t>
      </w:r>
      <w:r w:rsidR="000A74B3">
        <w:rPr>
          <w:rFonts w:ascii="Times New Roman" w:hAnsi="Times New Roman" w:cs="Times New Roman"/>
          <w:color w:val="000000"/>
          <w:sz w:val="24"/>
          <w:szCs w:val="24"/>
        </w:rPr>
        <w:t>yły</w:t>
      </w:r>
      <w:r w:rsidRPr="00B40B36">
        <w:rPr>
          <w:rFonts w:ascii="Times New Roman" w:hAnsi="Times New Roman" w:cs="Times New Roman"/>
          <w:color w:val="000000"/>
          <w:sz w:val="24"/>
          <w:szCs w:val="24"/>
        </w:rPr>
        <w:t xml:space="preserve"> możliwe do sprawozdania w ramach</w:t>
      </w:r>
      <w:r w:rsidRPr="00B40B36">
        <w:rPr>
          <w:rFonts w:ascii="Times New Roman" w:hAnsi="Times New Roman" w:cs="Times New Roman"/>
          <w:i/>
          <w:iCs/>
          <w:color w:val="000000"/>
          <w:sz w:val="24"/>
          <w:szCs w:val="24"/>
        </w:rPr>
        <w:t xml:space="preserve"> Informacji o sytuacji osób starszych za 2019 r.</w:t>
      </w:r>
      <w:r w:rsidRPr="00B40B36">
        <w:rPr>
          <w:rFonts w:ascii="Times New Roman" w:hAnsi="Times New Roman" w:cs="Times New Roman"/>
          <w:color w:val="000000"/>
          <w:sz w:val="24"/>
          <w:szCs w:val="24"/>
        </w:rPr>
        <w:t xml:space="preserve"> </w:t>
      </w:r>
    </w:p>
    <w:p w14:paraId="28723D48" w14:textId="77777777" w:rsidR="000A74B3" w:rsidRDefault="000A74B3" w:rsidP="00EE3921">
      <w:pPr>
        <w:autoSpaceDE w:val="0"/>
        <w:autoSpaceDN w:val="0"/>
        <w:adjustRightInd w:val="0"/>
        <w:spacing w:before="120" w:after="120"/>
        <w:jc w:val="both"/>
        <w:rPr>
          <w:rFonts w:ascii="Times New Roman" w:hAnsi="Times New Roman" w:cs="Times New Roman"/>
          <w:color w:val="000000"/>
          <w:sz w:val="24"/>
          <w:szCs w:val="24"/>
        </w:rPr>
      </w:pPr>
      <w:r>
        <w:rPr>
          <w:rFonts w:ascii="Times New Roman" w:hAnsi="Times New Roman" w:cs="Times New Roman"/>
          <w:color w:val="000000"/>
          <w:sz w:val="24"/>
          <w:szCs w:val="24"/>
        </w:rPr>
        <w:t>Szczegółowe zestawienie zrealizowanych dotychczas dział</w:t>
      </w:r>
      <w:r w:rsidR="00255CE2">
        <w:rPr>
          <w:rFonts w:ascii="Times New Roman" w:hAnsi="Times New Roman" w:cs="Times New Roman"/>
          <w:color w:val="000000"/>
          <w:sz w:val="24"/>
          <w:szCs w:val="24"/>
        </w:rPr>
        <w:t xml:space="preserve">ań zostało zamieszczone </w:t>
      </w:r>
      <w:r w:rsidR="00255CE2">
        <w:rPr>
          <w:rFonts w:ascii="Times New Roman" w:hAnsi="Times New Roman" w:cs="Times New Roman"/>
          <w:color w:val="000000"/>
          <w:sz w:val="24"/>
          <w:szCs w:val="24"/>
        </w:rPr>
        <w:br/>
        <w:t>w poniższej tabeli (po prawej stronie).</w:t>
      </w:r>
    </w:p>
    <w:p w14:paraId="41A5AAE7" w14:textId="77777777" w:rsidR="00255CE2" w:rsidRDefault="00255CE2" w:rsidP="00EE3921">
      <w:pPr>
        <w:autoSpaceDE w:val="0"/>
        <w:autoSpaceDN w:val="0"/>
        <w:adjustRightInd w:val="0"/>
        <w:spacing w:before="120" w:after="120"/>
        <w:jc w:val="both"/>
        <w:rPr>
          <w:rFonts w:ascii="Times New Roman" w:hAnsi="Times New Roman" w:cs="Times New Roman"/>
          <w:bCs/>
          <w:sz w:val="24"/>
          <w:szCs w:val="24"/>
        </w:rPr>
      </w:pPr>
    </w:p>
    <w:p w14:paraId="0B9A3F28" w14:textId="77777777" w:rsidR="00311D18" w:rsidRDefault="00311D18" w:rsidP="003C1988">
      <w:pPr>
        <w:autoSpaceDE w:val="0"/>
        <w:autoSpaceDN w:val="0"/>
        <w:adjustRightInd w:val="0"/>
        <w:spacing w:before="120" w:after="120"/>
        <w:rPr>
          <w:rFonts w:ascii="Times New Roman" w:hAnsi="Times New Roman" w:cs="Times New Roman"/>
          <w:bCs/>
          <w:sz w:val="24"/>
          <w:szCs w:val="24"/>
        </w:rPr>
      </w:pPr>
    </w:p>
    <w:p w14:paraId="37758FD6" w14:textId="77777777" w:rsidR="00311D18" w:rsidRDefault="00311D18" w:rsidP="003C1988">
      <w:pPr>
        <w:autoSpaceDE w:val="0"/>
        <w:autoSpaceDN w:val="0"/>
        <w:adjustRightInd w:val="0"/>
        <w:spacing w:before="120" w:after="120"/>
        <w:rPr>
          <w:rFonts w:ascii="Times New Roman" w:hAnsi="Times New Roman" w:cs="Times New Roman"/>
          <w:bCs/>
          <w:sz w:val="24"/>
          <w:szCs w:val="24"/>
        </w:rPr>
      </w:pPr>
    </w:p>
    <w:p w14:paraId="341BE853" w14:textId="77777777" w:rsidR="00311D18" w:rsidRDefault="00311D18" w:rsidP="003C1988">
      <w:pPr>
        <w:autoSpaceDE w:val="0"/>
        <w:autoSpaceDN w:val="0"/>
        <w:adjustRightInd w:val="0"/>
        <w:spacing w:before="120" w:after="120"/>
        <w:rPr>
          <w:rFonts w:ascii="Times New Roman" w:hAnsi="Times New Roman" w:cs="Times New Roman"/>
          <w:bCs/>
          <w:sz w:val="24"/>
          <w:szCs w:val="24"/>
        </w:rPr>
      </w:pPr>
    </w:p>
    <w:p w14:paraId="2DAC7AFD" w14:textId="77777777" w:rsidR="00311D18" w:rsidRDefault="00311D18" w:rsidP="003C1988">
      <w:pPr>
        <w:autoSpaceDE w:val="0"/>
        <w:autoSpaceDN w:val="0"/>
        <w:adjustRightInd w:val="0"/>
        <w:spacing w:before="120" w:after="120"/>
        <w:rPr>
          <w:rFonts w:ascii="Times New Roman" w:hAnsi="Times New Roman" w:cs="Times New Roman"/>
          <w:bCs/>
          <w:sz w:val="24"/>
          <w:szCs w:val="24"/>
        </w:rPr>
      </w:pPr>
    </w:p>
    <w:p w14:paraId="4CF716A6" w14:textId="77777777" w:rsidR="00311D18" w:rsidRDefault="00311D18" w:rsidP="003C1988">
      <w:pPr>
        <w:autoSpaceDE w:val="0"/>
        <w:autoSpaceDN w:val="0"/>
        <w:adjustRightInd w:val="0"/>
        <w:spacing w:before="120" w:after="120"/>
        <w:rPr>
          <w:rFonts w:ascii="Times New Roman" w:hAnsi="Times New Roman" w:cs="Times New Roman"/>
          <w:bCs/>
          <w:sz w:val="24"/>
          <w:szCs w:val="24"/>
        </w:rPr>
      </w:pPr>
    </w:p>
    <w:p w14:paraId="3E2CB6DF" w14:textId="77777777" w:rsidR="00311D18" w:rsidRDefault="00311D18" w:rsidP="003C1988">
      <w:pPr>
        <w:autoSpaceDE w:val="0"/>
        <w:autoSpaceDN w:val="0"/>
        <w:adjustRightInd w:val="0"/>
        <w:spacing w:before="120" w:after="120"/>
        <w:rPr>
          <w:rFonts w:ascii="Times New Roman" w:hAnsi="Times New Roman" w:cs="Times New Roman"/>
          <w:bCs/>
          <w:sz w:val="24"/>
          <w:szCs w:val="24"/>
        </w:rPr>
      </w:pPr>
    </w:p>
    <w:p w14:paraId="54705750" w14:textId="77777777" w:rsidR="00311D18" w:rsidRDefault="00311D18" w:rsidP="003C1988">
      <w:pPr>
        <w:autoSpaceDE w:val="0"/>
        <w:autoSpaceDN w:val="0"/>
        <w:adjustRightInd w:val="0"/>
        <w:spacing w:before="120" w:after="120"/>
        <w:rPr>
          <w:rFonts w:ascii="Times New Roman" w:hAnsi="Times New Roman" w:cs="Times New Roman"/>
          <w:bCs/>
          <w:sz w:val="24"/>
          <w:szCs w:val="24"/>
        </w:rPr>
      </w:pPr>
    </w:p>
    <w:p w14:paraId="74D26AC8" w14:textId="77777777" w:rsidR="00311D18" w:rsidRDefault="00311D18" w:rsidP="003C1988">
      <w:pPr>
        <w:autoSpaceDE w:val="0"/>
        <w:autoSpaceDN w:val="0"/>
        <w:adjustRightInd w:val="0"/>
        <w:spacing w:before="120" w:after="120"/>
        <w:rPr>
          <w:rFonts w:ascii="Times New Roman" w:hAnsi="Times New Roman" w:cs="Times New Roman"/>
          <w:bCs/>
          <w:sz w:val="24"/>
          <w:szCs w:val="24"/>
        </w:rPr>
      </w:pPr>
    </w:p>
    <w:p w14:paraId="475768E0" w14:textId="77777777" w:rsidR="00311D18" w:rsidRDefault="00311D18" w:rsidP="003C1988">
      <w:pPr>
        <w:autoSpaceDE w:val="0"/>
        <w:autoSpaceDN w:val="0"/>
        <w:adjustRightInd w:val="0"/>
        <w:spacing w:before="120" w:after="120"/>
        <w:rPr>
          <w:rFonts w:ascii="Times New Roman" w:hAnsi="Times New Roman" w:cs="Times New Roman"/>
          <w:bCs/>
          <w:sz w:val="24"/>
          <w:szCs w:val="24"/>
        </w:rPr>
      </w:pPr>
    </w:p>
    <w:p w14:paraId="7F5F3AB4" w14:textId="77777777" w:rsidR="00311D18" w:rsidRDefault="00311D18" w:rsidP="003C1988">
      <w:pPr>
        <w:autoSpaceDE w:val="0"/>
        <w:autoSpaceDN w:val="0"/>
        <w:adjustRightInd w:val="0"/>
        <w:spacing w:before="120" w:after="120"/>
        <w:rPr>
          <w:rFonts w:ascii="Times New Roman" w:hAnsi="Times New Roman" w:cs="Times New Roman"/>
          <w:bCs/>
          <w:sz w:val="24"/>
          <w:szCs w:val="24"/>
        </w:rPr>
      </w:pPr>
    </w:p>
    <w:p w14:paraId="035C09B9" w14:textId="77777777" w:rsidR="00311D18" w:rsidRDefault="00311D18" w:rsidP="003C1988">
      <w:pPr>
        <w:autoSpaceDE w:val="0"/>
        <w:autoSpaceDN w:val="0"/>
        <w:adjustRightInd w:val="0"/>
        <w:spacing w:before="120" w:after="120"/>
        <w:rPr>
          <w:rFonts w:ascii="Times New Roman" w:hAnsi="Times New Roman" w:cs="Times New Roman"/>
          <w:bCs/>
          <w:sz w:val="24"/>
          <w:szCs w:val="24"/>
        </w:rPr>
      </w:pPr>
    </w:p>
    <w:p w14:paraId="7CEDBB45" w14:textId="77777777" w:rsidR="00311D18" w:rsidRDefault="00311D18" w:rsidP="003C1988">
      <w:pPr>
        <w:autoSpaceDE w:val="0"/>
        <w:autoSpaceDN w:val="0"/>
        <w:adjustRightInd w:val="0"/>
        <w:spacing w:before="120" w:after="120"/>
        <w:rPr>
          <w:rFonts w:ascii="Times New Roman" w:hAnsi="Times New Roman" w:cs="Times New Roman"/>
          <w:bCs/>
          <w:sz w:val="24"/>
          <w:szCs w:val="24"/>
        </w:rPr>
        <w:sectPr w:rsidR="00311D18" w:rsidSect="00FC210F">
          <w:pgSz w:w="11906" w:h="16840"/>
          <w:pgMar w:top="1418" w:right="1418" w:bottom="1417" w:left="1418" w:header="708" w:footer="708" w:gutter="0"/>
          <w:cols w:space="708"/>
          <w:docGrid w:linePitch="360"/>
        </w:sectPr>
      </w:pPr>
    </w:p>
    <w:p w14:paraId="473647B1" w14:textId="0EB9C3F0" w:rsidR="004D48DD" w:rsidRPr="004D48DD" w:rsidRDefault="004D48DD" w:rsidP="004D48DD">
      <w:pPr>
        <w:pStyle w:val="Legenda"/>
        <w:keepNext/>
        <w:rPr>
          <w:rFonts w:ascii="Times New Roman" w:hAnsi="Times New Roman" w:cs="Times New Roman"/>
          <w:b/>
          <w:i w:val="0"/>
          <w:sz w:val="24"/>
        </w:rPr>
      </w:pPr>
      <w:bookmarkStart w:id="159" w:name="_Toc49171446"/>
      <w:r w:rsidRPr="004D48DD">
        <w:rPr>
          <w:rFonts w:ascii="Times New Roman" w:hAnsi="Times New Roman" w:cs="Times New Roman"/>
          <w:b/>
          <w:i w:val="0"/>
          <w:sz w:val="24"/>
        </w:rPr>
        <w:lastRenderedPageBreak/>
        <w:t xml:space="preserve">Tabela </w:t>
      </w:r>
      <w:r w:rsidRPr="004D48DD">
        <w:rPr>
          <w:rFonts w:ascii="Times New Roman" w:hAnsi="Times New Roman" w:cs="Times New Roman"/>
          <w:b/>
          <w:i w:val="0"/>
          <w:sz w:val="24"/>
        </w:rPr>
        <w:fldChar w:fldCharType="begin"/>
      </w:r>
      <w:r w:rsidRPr="004D48DD">
        <w:rPr>
          <w:rFonts w:ascii="Times New Roman" w:hAnsi="Times New Roman" w:cs="Times New Roman"/>
          <w:b/>
          <w:i w:val="0"/>
          <w:sz w:val="24"/>
        </w:rPr>
        <w:instrText xml:space="preserve"> SEQ Tabela \* ARABIC </w:instrText>
      </w:r>
      <w:r w:rsidRPr="004D48DD">
        <w:rPr>
          <w:rFonts w:ascii="Times New Roman" w:hAnsi="Times New Roman" w:cs="Times New Roman"/>
          <w:b/>
          <w:i w:val="0"/>
          <w:sz w:val="24"/>
        </w:rPr>
        <w:fldChar w:fldCharType="separate"/>
      </w:r>
      <w:r w:rsidR="00C154C9">
        <w:rPr>
          <w:rFonts w:ascii="Times New Roman" w:hAnsi="Times New Roman" w:cs="Times New Roman"/>
          <w:b/>
          <w:i w:val="0"/>
          <w:noProof/>
          <w:sz w:val="24"/>
        </w:rPr>
        <w:t>71</w:t>
      </w:r>
      <w:r w:rsidRPr="004D48DD">
        <w:rPr>
          <w:rFonts w:ascii="Times New Roman" w:hAnsi="Times New Roman" w:cs="Times New Roman"/>
          <w:b/>
          <w:i w:val="0"/>
          <w:sz w:val="24"/>
        </w:rPr>
        <w:fldChar w:fldCharType="end"/>
      </w:r>
      <w:r w:rsidRPr="004D48DD">
        <w:rPr>
          <w:rFonts w:ascii="Times New Roman" w:hAnsi="Times New Roman" w:cs="Times New Roman"/>
          <w:b/>
          <w:i w:val="0"/>
          <w:sz w:val="24"/>
        </w:rPr>
        <w:t xml:space="preserve"> Sprawozdanie z realizacji działań ujętych w Polityce społecznej wobec osób starszych 2030. Bezpieczeństwo - Uczestnictwo - Solidarność</w:t>
      </w:r>
      <w:bookmarkEnd w:id="159"/>
    </w:p>
    <w:tbl>
      <w:tblPr>
        <w:tblStyle w:val="Tabelasiatki6kolorowaakcent5"/>
        <w:tblpPr w:leftFromText="142" w:rightFromText="142" w:vertAnchor="text" w:tblpXSpec="center" w:tblpY="1"/>
        <w:tblW w:w="13996" w:type="dxa"/>
        <w:tblBorders>
          <w:top w:val="single" w:sz="12" w:space="0" w:color="8EAADB" w:themeColor="accent5" w:themeTint="99"/>
          <w:left w:val="single" w:sz="12" w:space="0" w:color="8EAADB" w:themeColor="accent5" w:themeTint="99"/>
          <w:bottom w:val="single" w:sz="12" w:space="0" w:color="8EAADB" w:themeColor="accent5" w:themeTint="99"/>
          <w:right w:val="single" w:sz="12" w:space="0" w:color="8EAADB" w:themeColor="accent5" w:themeTint="99"/>
          <w:insideH w:val="single" w:sz="12" w:space="0" w:color="8EAADB" w:themeColor="accent5" w:themeTint="99"/>
          <w:insideV w:val="single" w:sz="12" w:space="0" w:color="8EAADB" w:themeColor="accent5" w:themeTint="99"/>
        </w:tblBorders>
        <w:tblLayout w:type="fixed"/>
        <w:tblLook w:val="04A0" w:firstRow="1" w:lastRow="0" w:firstColumn="1" w:lastColumn="0" w:noHBand="0" w:noVBand="1"/>
      </w:tblPr>
      <w:tblGrid>
        <w:gridCol w:w="1232"/>
        <w:gridCol w:w="3594"/>
        <w:gridCol w:w="2032"/>
        <w:gridCol w:w="1500"/>
        <w:gridCol w:w="5638"/>
      </w:tblGrid>
      <w:tr w:rsidR="005F3D4B" w:rsidRPr="00D24DF9" w14:paraId="470D45B7" w14:textId="77777777" w:rsidTr="004D48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6" w:type="dxa"/>
            <w:gridSpan w:val="5"/>
            <w:tcBorders>
              <w:bottom w:val="none" w:sz="0" w:space="0" w:color="auto"/>
            </w:tcBorders>
            <w:shd w:val="clear" w:color="auto" w:fill="FFFFFF" w:themeFill="background1"/>
          </w:tcPr>
          <w:p w14:paraId="0869346F" w14:textId="77777777" w:rsidR="00311D18" w:rsidRPr="00D24DF9" w:rsidRDefault="00311D18" w:rsidP="00764758">
            <w:pPr>
              <w:spacing w:after="0"/>
              <w:jc w:val="center"/>
              <w:rPr>
                <w:rFonts w:ascii="Times New Roman" w:hAnsi="Times New Roman" w:cs="Times New Roman"/>
                <w:sz w:val="20"/>
              </w:rPr>
            </w:pPr>
            <w:r w:rsidRPr="00D24DF9">
              <w:rPr>
                <w:rFonts w:ascii="Times New Roman" w:hAnsi="Times New Roman" w:cs="Times New Roman"/>
                <w:sz w:val="20"/>
              </w:rPr>
              <w:t>POLITYKA SPOŁECZNA WOBEC OSÓB STARSZYCH 2030. BEZPIECZEŃŚTWO-UCZESTNICTWO-SOLIDARNOŚĆ</w:t>
            </w:r>
          </w:p>
        </w:tc>
      </w:tr>
      <w:tr w:rsidR="005F3D4B" w:rsidRPr="00D24DF9" w14:paraId="01920C73" w14:textId="77777777" w:rsidTr="004D4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6" w:type="dxa"/>
            <w:gridSpan w:val="5"/>
            <w:shd w:val="clear" w:color="auto" w:fill="FFFFFF" w:themeFill="background1"/>
          </w:tcPr>
          <w:p w14:paraId="63384A94" w14:textId="77777777" w:rsidR="00311D18" w:rsidRPr="00D24DF9" w:rsidRDefault="00311D18" w:rsidP="00764758">
            <w:pPr>
              <w:spacing w:after="0"/>
              <w:jc w:val="center"/>
              <w:rPr>
                <w:rFonts w:ascii="Times New Roman" w:hAnsi="Times New Roman" w:cs="Times New Roman"/>
                <w:sz w:val="20"/>
              </w:rPr>
            </w:pPr>
            <w:r w:rsidRPr="00D24DF9">
              <w:rPr>
                <w:rFonts w:ascii="Times New Roman" w:hAnsi="Times New Roman" w:cs="Times New Roman"/>
                <w:sz w:val="20"/>
              </w:rPr>
              <w:t>SPRAWOZDANIE Z REALIZACJI DZIAŁAŃ W 2019 R.</w:t>
            </w:r>
          </w:p>
        </w:tc>
      </w:tr>
      <w:tr w:rsidR="005F3D4B" w:rsidRPr="00D24DF9" w14:paraId="4BB4BF3A" w14:textId="77777777" w:rsidTr="004D48DD">
        <w:tc>
          <w:tcPr>
            <w:cnfStyle w:val="001000000000" w:firstRow="0" w:lastRow="0" w:firstColumn="1" w:lastColumn="0" w:oddVBand="0" w:evenVBand="0" w:oddHBand="0" w:evenHBand="0" w:firstRowFirstColumn="0" w:firstRowLastColumn="0" w:lastRowFirstColumn="0" w:lastRowLastColumn="0"/>
            <w:tcW w:w="1232" w:type="dxa"/>
            <w:shd w:val="clear" w:color="auto" w:fill="D9E2F3" w:themeFill="accent5" w:themeFillTint="33"/>
            <w:vAlign w:val="center"/>
          </w:tcPr>
          <w:p w14:paraId="5AF454D8" w14:textId="77777777" w:rsidR="00311D18" w:rsidRPr="00D24DF9" w:rsidRDefault="00311D18" w:rsidP="003C1988">
            <w:pPr>
              <w:spacing w:after="0"/>
              <w:rPr>
                <w:rFonts w:ascii="Times New Roman" w:hAnsi="Times New Roman" w:cs="Times New Roman"/>
                <w:sz w:val="20"/>
              </w:rPr>
            </w:pPr>
            <w:r w:rsidRPr="00D24DF9">
              <w:rPr>
                <w:rFonts w:ascii="Times New Roman" w:hAnsi="Times New Roman" w:cs="Times New Roman"/>
                <w:sz w:val="20"/>
              </w:rPr>
              <w:t>Obszar działań</w:t>
            </w:r>
          </w:p>
        </w:tc>
        <w:tc>
          <w:tcPr>
            <w:tcW w:w="3594" w:type="dxa"/>
            <w:shd w:val="clear" w:color="auto" w:fill="D9E2F3" w:themeFill="accent5" w:themeFillTint="33"/>
            <w:vAlign w:val="center"/>
          </w:tcPr>
          <w:p w14:paraId="6A67BDB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D24DF9">
              <w:rPr>
                <w:rFonts w:ascii="Times New Roman" w:hAnsi="Times New Roman" w:cs="Times New Roman"/>
                <w:b/>
                <w:sz w:val="20"/>
              </w:rPr>
              <w:t>Działanie szczegółowe</w:t>
            </w:r>
          </w:p>
        </w:tc>
        <w:tc>
          <w:tcPr>
            <w:tcW w:w="2032" w:type="dxa"/>
            <w:shd w:val="clear" w:color="auto" w:fill="D9E2F3" w:themeFill="accent5" w:themeFillTint="33"/>
            <w:vAlign w:val="center"/>
          </w:tcPr>
          <w:p w14:paraId="28E69D6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D24DF9">
              <w:rPr>
                <w:rFonts w:ascii="Times New Roman" w:hAnsi="Times New Roman" w:cs="Times New Roman"/>
                <w:b/>
                <w:sz w:val="20"/>
              </w:rPr>
              <w:t xml:space="preserve">Podmiot Koordynujący </w:t>
            </w:r>
            <w:r w:rsidRPr="00D24DF9">
              <w:rPr>
                <w:rFonts w:ascii="Times New Roman" w:hAnsi="Times New Roman" w:cs="Times New Roman"/>
                <w:b/>
                <w:sz w:val="20"/>
              </w:rPr>
              <w:br/>
              <w:t>(w porozumieniu</w:t>
            </w:r>
            <w:r w:rsidRPr="00D24DF9">
              <w:rPr>
                <w:rFonts w:ascii="Times New Roman" w:hAnsi="Times New Roman" w:cs="Times New Roman"/>
                <w:b/>
                <w:sz w:val="20"/>
              </w:rPr>
              <w:br/>
              <w:t xml:space="preserve"> z podmiotami współpracującymi)</w:t>
            </w:r>
          </w:p>
        </w:tc>
        <w:tc>
          <w:tcPr>
            <w:tcW w:w="1500" w:type="dxa"/>
            <w:shd w:val="clear" w:color="auto" w:fill="D9E2F3" w:themeFill="accent5" w:themeFillTint="33"/>
            <w:vAlign w:val="center"/>
          </w:tcPr>
          <w:p w14:paraId="3230620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D24DF9">
              <w:rPr>
                <w:rFonts w:ascii="Times New Roman" w:hAnsi="Times New Roman" w:cs="Times New Roman"/>
                <w:b/>
                <w:sz w:val="20"/>
              </w:rPr>
              <w:t>Zaplanowany termin realizacji</w:t>
            </w:r>
          </w:p>
        </w:tc>
        <w:tc>
          <w:tcPr>
            <w:tcW w:w="5638" w:type="dxa"/>
            <w:shd w:val="clear" w:color="auto" w:fill="D9E2F3" w:themeFill="accent5" w:themeFillTint="33"/>
            <w:vAlign w:val="center"/>
          </w:tcPr>
          <w:p w14:paraId="052DDE45" w14:textId="77777777" w:rsidR="00311D18" w:rsidRPr="00D24DF9" w:rsidRDefault="00D24DF9"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Pr>
                <w:rFonts w:ascii="Times New Roman" w:hAnsi="Times New Roman" w:cs="Times New Roman"/>
                <w:b/>
                <w:sz w:val="20"/>
              </w:rPr>
              <w:t xml:space="preserve">Efekt  działań w odniesieniu </w:t>
            </w:r>
            <w:r w:rsidR="00311D18" w:rsidRPr="00D24DF9">
              <w:rPr>
                <w:rFonts w:ascii="Times New Roman" w:hAnsi="Times New Roman" w:cs="Times New Roman"/>
                <w:b/>
                <w:sz w:val="20"/>
              </w:rPr>
              <w:t>do sposobu monitorowania</w:t>
            </w:r>
          </w:p>
        </w:tc>
      </w:tr>
      <w:tr w:rsidR="005F3D4B" w:rsidRPr="00D24DF9" w14:paraId="09A7DB96" w14:textId="77777777" w:rsidTr="004D48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96" w:type="dxa"/>
            <w:gridSpan w:val="5"/>
            <w:shd w:val="clear" w:color="auto" w:fill="9CC2E5" w:themeFill="accent1" w:themeFillTint="99"/>
            <w:vAlign w:val="center"/>
          </w:tcPr>
          <w:p w14:paraId="7018FCD1" w14:textId="77777777" w:rsidR="00311D18" w:rsidRPr="00D24DF9" w:rsidRDefault="00311D18" w:rsidP="003C1988">
            <w:pPr>
              <w:spacing w:after="0"/>
              <w:rPr>
                <w:rFonts w:ascii="Times New Roman" w:hAnsi="Times New Roman" w:cs="Times New Roman"/>
                <w:sz w:val="20"/>
              </w:rPr>
            </w:pPr>
            <w:r w:rsidRPr="00D24DF9">
              <w:rPr>
                <w:rFonts w:ascii="Times New Roman" w:hAnsi="Times New Roman" w:cs="Times New Roman"/>
                <w:sz w:val="20"/>
              </w:rPr>
              <w:t>OBSZARY SKIEROWANE DO OGÓŁU OSÓB STARSZYCH</w:t>
            </w:r>
          </w:p>
        </w:tc>
      </w:tr>
      <w:tr w:rsidR="005F3D4B" w:rsidRPr="00D24DF9" w14:paraId="247C4720" w14:textId="77777777" w:rsidTr="004D48DD">
        <w:trPr>
          <w:trHeight w:val="289"/>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vAlign w:val="center"/>
          </w:tcPr>
          <w:p w14:paraId="079FAE23" w14:textId="77777777" w:rsidR="00311D18" w:rsidRPr="00D24DF9" w:rsidRDefault="00311D18" w:rsidP="003C1988">
            <w:pPr>
              <w:spacing w:after="0"/>
              <w:ind w:left="113" w:right="113"/>
              <w:rPr>
                <w:rFonts w:ascii="Times New Roman" w:hAnsi="Times New Roman" w:cs="Times New Roman"/>
                <w:sz w:val="20"/>
              </w:rPr>
            </w:pPr>
            <w:r w:rsidRPr="00D24DF9">
              <w:rPr>
                <w:rFonts w:ascii="Times New Roman" w:hAnsi="Times New Roman" w:cs="Times New Roman"/>
                <w:sz w:val="20"/>
              </w:rPr>
              <w:t>Obszar I</w:t>
            </w:r>
          </w:p>
        </w:tc>
        <w:tc>
          <w:tcPr>
            <w:tcW w:w="3594" w:type="dxa"/>
            <w:vMerge w:val="restart"/>
            <w:shd w:val="clear" w:color="auto" w:fill="D9E2F3" w:themeFill="accent5" w:themeFillTint="33"/>
          </w:tcPr>
          <w:p w14:paraId="13E8216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Realizacja antydyskryminacyjnych projektów i kampanii społecznych</w:t>
            </w:r>
          </w:p>
        </w:tc>
        <w:tc>
          <w:tcPr>
            <w:tcW w:w="2032" w:type="dxa"/>
            <w:vMerge w:val="restart"/>
          </w:tcPr>
          <w:p w14:paraId="4B551D3E"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eastAsia="MS Mincho" w:hAnsi="Times New Roman" w:cs="Times New Roman"/>
                <w:sz w:val="20"/>
              </w:rPr>
              <w:t xml:space="preserve">Pełnomocnik Rządu </w:t>
            </w:r>
            <w:r w:rsidRPr="00D24DF9">
              <w:rPr>
                <w:rFonts w:ascii="Times New Roman" w:eastAsia="MS Mincho" w:hAnsi="Times New Roman" w:cs="Times New Roman"/>
                <w:sz w:val="20"/>
              </w:rPr>
              <w:br/>
              <w:t>do spraw Równego Traktowania</w:t>
            </w:r>
          </w:p>
        </w:tc>
        <w:tc>
          <w:tcPr>
            <w:tcW w:w="1500" w:type="dxa"/>
            <w:vMerge w:val="restart"/>
          </w:tcPr>
          <w:p w14:paraId="1B4FA44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Działanie ciągłe*</w:t>
            </w:r>
          </w:p>
        </w:tc>
        <w:tc>
          <w:tcPr>
            <w:tcW w:w="5638" w:type="dxa"/>
          </w:tcPr>
          <w:p w14:paraId="595ECA1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i/>
                <w:sz w:val="20"/>
              </w:rPr>
            </w:pPr>
            <w:r w:rsidRPr="00D24DF9">
              <w:rPr>
                <w:rFonts w:ascii="Times New Roman" w:eastAsia="MS Mincho" w:hAnsi="Times New Roman" w:cs="Times New Roman"/>
                <w:i/>
                <w:sz w:val="20"/>
              </w:rPr>
              <w:t xml:space="preserve">Liczba zrealizowanych kampanii i projektów społecznych </w:t>
            </w:r>
            <w:r w:rsidRPr="00D24DF9">
              <w:rPr>
                <w:rFonts w:ascii="Times New Roman" w:eastAsia="MS Mincho" w:hAnsi="Times New Roman" w:cs="Times New Roman"/>
                <w:i/>
                <w:sz w:val="20"/>
              </w:rPr>
              <w:br/>
              <w:t>w danym roku</w:t>
            </w:r>
          </w:p>
        </w:tc>
      </w:tr>
      <w:tr w:rsidR="005F3D4B" w:rsidRPr="00D24DF9" w14:paraId="48201044" w14:textId="77777777" w:rsidTr="004D48DD">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1232" w:type="dxa"/>
            <w:vMerge/>
            <w:textDirection w:val="btLr"/>
            <w:vAlign w:val="center"/>
          </w:tcPr>
          <w:p w14:paraId="4EC15DE2" w14:textId="77777777" w:rsidR="00311D18" w:rsidRPr="00D24DF9" w:rsidRDefault="00311D18" w:rsidP="003C1988">
            <w:pPr>
              <w:spacing w:after="0"/>
              <w:ind w:left="113" w:right="113"/>
              <w:rPr>
                <w:rFonts w:ascii="Times New Roman" w:hAnsi="Times New Roman" w:cs="Times New Roman"/>
                <w:sz w:val="20"/>
              </w:rPr>
            </w:pPr>
          </w:p>
        </w:tc>
        <w:tc>
          <w:tcPr>
            <w:tcW w:w="3594" w:type="dxa"/>
            <w:vMerge/>
          </w:tcPr>
          <w:p w14:paraId="6B3B76F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2032" w:type="dxa"/>
            <w:vMerge/>
          </w:tcPr>
          <w:p w14:paraId="6350206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13F8B3B7"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47133D36"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643798AA" w14:textId="77777777" w:rsidTr="004D48DD">
        <w:trPr>
          <w:trHeight w:val="571"/>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111CDDC4"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1B74729C" w14:textId="77777777" w:rsidR="00311D18" w:rsidRPr="00D24DF9" w:rsidRDefault="00311D18" w:rsidP="003C1988">
            <w:pPr>
              <w:pStyle w:val="Akapitzlist"/>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 xml:space="preserve">Wpisanie do </w:t>
            </w:r>
            <w:r w:rsidRPr="00D24DF9">
              <w:rPr>
                <w:rFonts w:ascii="Times New Roman" w:hAnsi="Times New Roman" w:cs="Times New Roman"/>
                <w:i/>
                <w:sz w:val="20"/>
              </w:rPr>
              <w:t>Krajowego Programu Działań na Rzecz Równego Traktowania</w:t>
            </w:r>
            <w:r w:rsidRPr="00D24DF9">
              <w:rPr>
                <w:rFonts w:ascii="Times New Roman" w:hAnsi="Times New Roman" w:cs="Times New Roman"/>
                <w:sz w:val="20"/>
              </w:rPr>
              <w:t xml:space="preserve"> kwestii związanych z przeciwdziałaniem dyskryminacji ze względu na wiek</w:t>
            </w:r>
          </w:p>
        </w:tc>
        <w:tc>
          <w:tcPr>
            <w:tcW w:w="2032" w:type="dxa"/>
            <w:vMerge w:val="restart"/>
          </w:tcPr>
          <w:p w14:paraId="5D5D8C4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eastAsia="MS Mincho" w:hAnsi="Times New Roman" w:cs="Times New Roman"/>
                <w:sz w:val="20"/>
              </w:rPr>
              <w:t xml:space="preserve">Pełnomocnik Rządu </w:t>
            </w:r>
            <w:r w:rsidRPr="00D24DF9">
              <w:rPr>
                <w:rFonts w:ascii="Times New Roman" w:eastAsia="MS Mincho" w:hAnsi="Times New Roman" w:cs="Times New Roman"/>
                <w:sz w:val="20"/>
              </w:rPr>
              <w:br/>
              <w:t>do spraw Równego Traktowania</w:t>
            </w:r>
          </w:p>
        </w:tc>
        <w:tc>
          <w:tcPr>
            <w:tcW w:w="1500" w:type="dxa"/>
            <w:vMerge w:val="restart"/>
          </w:tcPr>
          <w:p w14:paraId="68DC9108"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eastAsia="MS Mincho" w:hAnsi="Times New Roman" w:cs="Times New Roman"/>
                <w:sz w:val="20"/>
              </w:rPr>
              <w:t>2019</w:t>
            </w:r>
          </w:p>
        </w:tc>
        <w:tc>
          <w:tcPr>
            <w:tcW w:w="5638" w:type="dxa"/>
          </w:tcPr>
          <w:p w14:paraId="70B4D40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D24DF9">
              <w:rPr>
                <w:rFonts w:ascii="Times New Roman" w:eastAsia="MS Mincho" w:hAnsi="Times New Roman" w:cs="Times New Roman"/>
                <w:i/>
                <w:sz w:val="20"/>
              </w:rPr>
              <w:t>Opracowanie nowej edycji</w:t>
            </w:r>
            <w:r w:rsidRPr="00D24DF9">
              <w:rPr>
                <w:rFonts w:ascii="Times New Roman" w:eastAsia="MS Mincho" w:hAnsi="Times New Roman" w:cs="Times New Roman"/>
                <w:bCs/>
                <w:i/>
                <w:sz w:val="20"/>
              </w:rPr>
              <w:t xml:space="preserve"> Krajowego Programu Działań </w:t>
            </w:r>
            <w:r w:rsidRPr="00D24DF9">
              <w:rPr>
                <w:rFonts w:ascii="Times New Roman" w:eastAsia="MS Mincho" w:hAnsi="Times New Roman" w:cs="Times New Roman"/>
                <w:bCs/>
                <w:i/>
                <w:sz w:val="20"/>
              </w:rPr>
              <w:br/>
              <w:t>na Rzecz Równego Traktowania na kolejne lata</w:t>
            </w:r>
          </w:p>
        </w:tc>
      </w:tr>
      <w:tr w:rsidR="005F3D4B" w:rsidRPr="00D24DF9" w14:paraId="0779B611" w14:textId="77777777" w:rsidTr="004D48DD">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43E89689" w14:textId="77777777" w:rsidR="00311D18" w:rsidRPr="00D24DF9" w:rsidRDefault="00311D18" w:rsidP="003C1988">
            <w:pPr>
              <w:spacing w:after="0"/>
              <w:rPr>
                <w:rFonts w:ascii="Times New Roman" w:hAnsi="Times New Roman" w:cs="Times New Roman"/>
                <w:sz w:val="20"/>
              </w:rPr>
            </w:pPr>
          </w:p>
        </w:tc>
        <w:tc>
          <w:tcPr>
            <w:tcW w:w="3594" w:type="dxa"/>
            <w:vMerge/>
          </w:tcPr>
          <w:p w14:paraId="4CE3EB5F"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2032" w:type="dxa"/>
            <w:vMerge/>
          </w:tcPr>
          <w:p w14:paraId="5EC9810A"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73683B3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0B3A97C" w14:textId="77777777" w:rsidR="00311D18" w:rsidRPr="00D24DF9" w:rsidRDefault="00A0780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A07803">
              <w:rPr>
                <w:rFonts w:ascii="Times New Roman" w:eastAsia="Calibri" w:hAnsi="Times New Roman" w:cs="Times New Roman"/>
                <w:sz w:val="20"/>
              </w:rPr>
              <w:t xml:space="preserve">Z uwagi na przesunięcie się pierwszego etapu prac nad </w:t>
            </w:r>
            <w:r w:rsidRPr="00A07803">
              <w:rPr>
                <w:rFonts w:ascii="Times New Roman" w:hAnsi="Times New Roman" w:cs="Times New Roman"/>
                <w:i/>
                <w:sz w:val="20"/>
              </w:rPr>
              <w:t>Krajowym Programem Działań na Rzecz Równego Traktowania</w:t>
            </w:r>
            <w:r w:rsidRPr="00A07803">
              <w:rPr>
                <w:rFonts w:ascii="Times New Roman" w:hAnsi="Times New Roman" w:cs="Times New Roman"/>
                <w:sz w:val="20"/>
              </w:rPr>
              <w:t xml:space="preserve"> (</w:t>
            </w:r>
            <w:r w:rsidRPr="00A07803">
              <w:rPr>
                <w:rFonts w:ascii="Times New Roman" w:eastAsia="Calibri" w:hAnsi="Times New Roman" w:cs="Times New Roman"/>
                <w:sz w:val="20"/>
              </w:rPr>
              <w:t>przygotowanie poszczególnych diagnoz, propozycji celów i działań) na 2020 r. do KPDRT w 2019 r. nie zostały wpisane kwestie zw. z przeciwdziałaniem dyskryminacji ze względu na wiek.</w:t>
            </w:r>
          </w:p>
        </w:tc>
      </w:tr>
      <w:tr w:rsidR="005F3D4B" w:rsidRPr="00D24DF9" w14:paraId="7A233D13" w14:textId="77777777" w:rsidTr="004D48DD">
        <w:trPr>
          <w:trHeight w:val="646"/>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34A709C"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9CEEC1F" w14:textId="77777777" w:rsidR="00311D18" w:rsidRPr="00D24DF9" w:rsidRDefault="00311D18" w:rsidP="003C1988">
            <w:pPr>
              <w:pStyle w:val="Akapitzlist"/>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Realizacja kampanii społecznych skierowanych do:</w:t>
            </w:r>
          </w:p>
          <w:p w14:paraId="52454285" w14:textId="77777777" w:rsidR="00311D18" w:rsidRPr="00D24DF9" w:rsidRDefault="00311D18" w:rsidP="00B14DF0">
            <w:pPr>
              <w:pStyle w:val="Kolorowalistaakcent11"/>
              <w:numPr>
                <w:ilvl w:val="0"/>
                <w:numId w:val="30"/>
              </w:numPr>
              <w:spacing w:after="0"/>
              <w:ind w:left="303"/>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hAnsi="Times New Roman"/>
                <w:sz w:val="20"/>
              </w:rPr>
              <w:t xml:space="preserve">pracodawców i pracowników </w:t>
            </w:r>
            <w:r w:rsidRPr="00D24DF9">
              <w:rPr>
                <w:rFonts w:ascii="Times New Roman" w:hAnsi="Times New Roman"/>
                <w:sz w:val="20"/>
              </w:rPr>
              <w:br/>
              <w:t xml:space="preserve">w zakresie kształtowania opinii </w:t>
            </w:r>
            <w:r w:rsidRPr="00D24DF9">
              <w:rPr>
                <w:rFonts w:ascii="Times New Roman" w:hAnsi="Times New Roman"/>
                <w:sz w:val="20"/>
              </w:rPr>
              <w:br/>
              <w:t>na temat starszych pracowników;</w:t>
            </w:r>
          </w:p>
          <w:p w14:paraId="4615B950" w14:textId="77777777" w:rsidR="00311D18" w:rsidRPr="00D24DF9" w:rsidRDefault="00311D18" w:rsidP="00B14DF0">
            <w:pPr>
              <w:pStyle w:val="Kolorowalistaakcent11"/>
              <w:numPr>
                <w:ilvl w:val="0"/>
                <w:numId w:val="30"/>
              </w:numPr>
              <w:spacing w:after="0"/>
              <w:ind w:left="303"/>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hAnsi="Times New Roman"/>
                <w:sz w:val="20"/>
              </w:rPr>
              <w:t>przedsiębiorców w zakresie znaczenia osób starszych jako pracowników i konsumentów; ogółu społeczeństwa</w:t>
            </w:r>
          </w:p>
        </w:tc>
        <w:tc>
          <w:tcPr>
            <w:tcW w:w="2032" w:type="dxa"/>
            <w:vMerge w:val="restart"/>
          </w:tcPr>
          <w:p w14:paraId="4A73197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Ministerstwo Rodziny, Pracy i Polityki Społecznej,</w:t>
            </w:r>
          </w:p>
          <w:p w14:paraId="3CA4B72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eastAsia="MS Mincho" w:hAnsi="Times New Roman" w:cs="Times New Roman"/>
                <w:sz w:val="20"/>
              </w:rPr>
              <w:t xml:space="preserve">Ministerstwo   Rozwoju </w:t>
            </w:r>
          </w:p>
        </w:tc>
        <w:tc>
          <w:tcPr>
            <w:tcW w:w="1500" w:type="dxa"/>
            <w:vMerge w:val="restart"/>
          </w:tcPr>
          <w:p w14:paraId="16144E7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Działanie ciągłe*</w:t>
            </w:r>
          </w:p>
        </w:tc>
        <w:tc>
          <w:tcPr>
            <w:tcW w:w="5638" w:type="dxa"/>
          </w:tcPr>
          <w:p w14:paraId="2412A3D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D24DF9">
              <w:rPr>
                <w:rFonts w:ascii="Times New Roman" w:eastAsia="MS Mincho" w:hAnsi="Times New Roman" w:cs="Times New Roman"/>
                <w:i/>
                <w:sz w:val="20"/>
              </w:rPr>
              <w:t>Liczba zrealizowanych kampanii społecznych o tematyce podnoszenia poziomu świadomości społecznej znaczenia uczestnictwa osób starszych w życiu społecznym i gospodarczym</w:t>
            </w:r>
          </w:p>
        </w:tc>
      </w:tr>
      <w:tr w:rsidR="005F3D4B" w:rsidRPr="00D24DF9" w14:paraId="0A3916F0" w14:textId="77777777" w:rsidTr="004D48DD">
        <w:trPr>
          <w:cnfStyle w:val="000000100000" w:firstRow="0" w:lastRow="0" w:firstColumn="0" w:lastColumn="0" w:oddVBand="0" w:evenVBand="0" w:oddHBand="1" w:evenHBand="0" w:firstRowFirstColumn="0" w:firstRowLastColumn="0" w:lastRowFirstColumn="0" w:lastRowLastColumn="0"/>
          <w:trHeight w:val="140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34EAEBED" w14:textId="77777777" w:rsidR="00311D18" w:rsidRPr="00D24DF9" w:rsidRDefault="00311D18" w:rsidP="003C1988">
            <w:pPr>
              <w:spacing w:after="0"/>
              <w:rPr>
                <w:rFonts w:ascii="Times New Roman" w:hAnsi="Times New Roman" w:cs="Times New Roman"/>
                <w:sz w:val="20"/>
              </w:rPr>
            </w:pPr>
          </w:p>
        </w:tc>
        <w:tc>
          <w:tcPr>
            <w:tcW w:w="3594" w:type="dxa"/>
            <w:vMerge/>
          </w:tcPr>
          <w:p w14:paraId="3369BDD6"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2032" w:type="dxa"/>
            <w:vMerge/>
          </w:tcPr>
          <w:p w14:paraId="7AA4934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1500" w:type="dxa"/>
            <w:vMerge/>
          </w:tcPr>
          <w:p w14:paraId="16B40C0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143D2EC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r>
      <w:tr w:rsidR="005F3D4B" w:rsidRPr="00D24DF9" w14:paraId="31517246" w14:textId="77777777" w:rsidTr="004D48DD">
        <w:trPr>
          <w:trHeight w:val="95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4B31ABF6"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B9ECDBD" w14:textId="77777777" w:rsidR="00311D18" w:rsidRPr="00D24DF9" w:rsidRDefault="00311D18" w:rsidP="003C1988">
            <w:pPr>
              <w:pStyle w:val="Akapitzlist"/>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shd w:val="clear" w:color="auto" w:fill="FFFFFF"/>
              </w:rPr>
            </w:pPr>
            <w:r w:rsidRPr="00D24DF9">
              <w:rPr>
                <w:rFonts w:ascii="Times New Roman" w:eastAsia="MS Mincho" w:hAnsi="Times New Roman" w:cs="Times New Roman"/>
                <w:sz w:val="20"/>
              </w:rPr>
              <w:t>Realizacja w podstawie programowej kwestii związanych z przygotowaniem do starości i integracją międzypokoleniową</w:t>
            </w:r>
          </w:p>
        </w:tc>
        <w:tc>
          <w:tcPr>
            <w:tcW w:w="2032" w:type="dxa"/>
            <w:vMerge w:val="restart"/>
          </w:tcPr>
          <w:p w14:paraId="2647AF8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eastAsia="MS Mincho" w:hAnsi="Times New Roman" w:cs="Times New Roman"/>
                <w:sz w:val="20"/>
              </w:rPr>
              <w:t>Ministerstwo Edukacji Narodowej</w:t>
            </w:r>
          </w:p>
        </w:tc>
        <w:tc>
          <w:tcPr>
            <w:tcW w:w="1500" w:type="dxa"/>
            <w:vMerge w:val="restart"/>
          </w:tcPr>
          <w:p w14:paraId="27261FD8"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Działanie ciągłe*</w:t>
            </w:r>
          </w:p>
        </w:tc>
        <w:tc>
          <w:tcPr>
            <w:tcW w:w="5638" w:type="dxa"/>
          </w:tcPr>
          <w:p w14:paraId="7CA06BB8"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hAnsi="Times New Roman" w:cs="Times New Roman"/>
                <w:i/>
                <w:sz w:val="20"/>
              </w:rPr>
              <w:t>Realizacja podstawy programowej poszczególnych przedmiotów</w:t>
            </w:r>
          </w:p>
        </w:tc>
      </w:tr>
      <w:tr w:rsidR="005F3D4B" w:rsidRPr="00D24DF9" w14:paraId="7BB7B1B1" w14:textId="77777777" w:rsidTr="004D48DD">
        <w:trPr>
          <w:cnfStyle w:val="000000100000" w:firstRow="0" w:lastRow="0" w:firstColumn="0" w:lastColumn="0" w:oddVBand="0" w:evenVBand="0" w:oddHBand="1" w:evenHBand="0" w:firstRowFirstColumn="0" w:firstRowLastColumn="0" w:lastRowFirstColumn="0" w:lastRowLastColumn="0"/>
          <w:trHeight w:val="1298"/>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1C99A7CC" w14:textId="77777777" w:rsidR="00311D18" w:rsidRPr="00D24DF9" w:rsidRDefault="00311D18" w:rsidP="003C1988">
            <w:pPr>
              <w:spacing w:after="0"/>
              <w:rPr>
                <w:rFonts w:ascii="Times New Roman" w:hAnsi="Times New Roman" w:cs="Times New Roman"/>
                <w:sz w:val="20"/>
              </w:rPr>
            </w:pPr>
          </w:p>
        </w:tc>
        <w:tc>
          <w:tcPr>
            <w:tcW w:w="3594" w:type="dxa"/>
            <w:vMerge/>
          </w:tcPr>
          <w:p w14:paraId="4DC6F1B5"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Style w:val="Teksttreci5"/>
                <w:rFonts w:ascii="Times New Roman" w:hAnsi="Times New Roman" w:cs="Times New Roman"/>
                <w:sz w:val="20"/>
                <w:szCs w:val="22"/>
              </w:rPr>
            </w:pPr>
          </w:p>
        </w:tc>
        <w:tc>
          <w:tcPr>
            <w:tcW w:w="2032" w:type="dxa"/>
            <w:vMerge/>
          </w:tcPr>
          <w:p w14:paraId="64339A3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2AB06502"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4C1FD192" w14:textId="77777777" w:rsidR="00311D18" w:rsidRPr="00D24DF9" w:rsidRDefault="008709F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rPr>
            </w:pPr>
            <w:r w:rsidRPr="00D24DF9">
              <w:rPr>
                <w:rFonts w:ascii="Times New Roman" w:eastAsia="MS Mincho" w:hAnsi="Times New Roman" w:cs="Times New Roman"/>
                <w:sz w:val="20"/>
              </w:rPr>
              <w:t>Od września 2019 r. zmiany programowe objęły uczniów klas I zreformowanych szkół ponadpodstawowych.</w:t>
            </w:r>
          </w:p>
        </w:tc>
      </w:tr>
      <w:tr w:rsidR="005F3D4B" w:rsidRPr="00D24DF9" w14:paraId="7F4D68D1" w14:textId="77777777" w:rsidTr="004D48DD">
        <w:trPr>
          <w:trHeight w:val="528"/>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128C378"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23DFA94A" w14:textId="77777777" w:rsidR="00311D18" w:rsidRPr="00D24DF9" w:rsidRDefault="00311D18" w:rsidP="003C1988">
            <w:pPr>
              <w:pStyle w:val="Akapitzlist"/>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Współpraca przedszkoli i szkół z organizacjami senioralnymi</w:t>
            </w:r>
          </w:p>
        </w:tc>
        <w:tc>
          <w:tcPr>
            <w:tcW w:w="2032" w:type="dxa"/>
            <w:vMerge w:val="restart"/>
          </w:tcPr>
          <w:p w14:paraId="566E356D"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eastAsia="MS Mincho" w:hAnsi="Times New Roman" w:cs="Times New Roman"/>
                <w:sz w:val="20"/>
              </w:rPr>
              <w:t>Ministerstwo Edukacji Narodowej</w:t>
            </w:r>
          </w:p>
        </w:tc>
        <w:tc>
          <w:tcPr>
            <w:tcW w:w="1500" w:type="dxa"/>
            <w:vMerge w:val="restart"/>
          </w:tcPr>
          <w:p w14:paraId="5D04839E"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Działanie ciągłe*</w:t>
            </w:r>
          </w:p>
        </w:tc>
        <w:tc>
          <w:tcPr>
            <w:tcW w:w="5638" w:type="dxa"/>
          </w:tcPr>
          <w:p w14:paraId="113A294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D24DF9">
              <w:rPr>
                <w:rFonts w:ascii="Times New Roman" w:eastAsia="MS Mincho" w:hAnsi="Times New Roman" w:cs="Times New Roman"/>
                <w:i/>
                <w:sz w:val="20"/>
              </w:rPr>
              <w:t xml:space="preserve">Liczba działań, inicjatyw zrealizowanych w partnerstwie przez </w:t>
            </w:r>
            <w:r w:rsidRPr="00D24DF9">
              <w:rPr>
                <w:rFonts w:ascii="Times New Roman" w:hAnsi="Times New Roman" w:cs="Times New Roman"/>
                <w:i/>
                <w:sz w:val="20"/>
              </w:rPr>
              <w:t>szkoły i organizacje senioralne</w:t>
            </w:r>
          </w:p>
        </w:tc>
      </w:tr>
      <w:tr w:rsidR="005F3D4B" w:rsidRPr="00D24DF9" w14:paraId="308CA6FA" w14:textId="77777777" w:rsidTr="004D48DD">
        <w:trPr>
          <w:cnfStyle w:val="000000100000" w:firstRow="0" w:lastRow="0" w:firstColumn="0" w:lastColumn="0" w:oddVBand="0" w:evenVBand="0" w:oddHBand="1" w:evenHBand="0" w:firstRowFirstColumn="0" w:firstRowLastColumn="0" w:lastRowFirstColumn="0" w:lastRowLastColumn="0"/>
          <w:trHeight w:val="813"/>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7BB21B2" w14:textId="77777777" w:rsidR="00311D18" w:rsidRPr="00D24DF9" w:rsidRDefault="00311D18" w:rsidP="003C1988">
            <w:pPr>
              <w:spacing w:after="0"/>
              <w:rPr>
                <w:rFonts w:ascii="Times New Roman" w:hAnsi="Times New Roman" w:cs="Times New Roman"/>
                <w:sz w:val="20"/>
              </w:rPr>
            </w:pPr>
          </w:p>
        </w:tc>
        <w:tc>
          <w:tcPr>
            <w:tcW w:w="3594" w:type="dxa"/>
            <w:vMerge/>
          </w:tcPr>
          <w:p w14:paraId="41088899"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2032" w:type="dxa"/>
            <w:vMerge/>
          </w:tcPr>
          <w:p w14:paraId="7F6D34BD"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1B8D2ABA"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11ACE2FC" w14:textId="77777777" w:rsidR="00311D18" w:rsidRPr="00D24DF9" w:rsidRDefault="008709F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Nie jest możliwe przedstawienie danych liczbowych w powyższym zakresie. Powyższe działania wynikają z bieżącej pracy przedszkoli i szkół i dotyczą jednostkowych planów pracy przedszkoli i szkół.</w:t>
            </w:r>
          </w:p>
        </w:tc>
      </w:tr>
      <w:tr w:rsidR="005F3D4B" w:rsidRPr="00D24DF9" w14:paraId="1E3FFF17"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1EEE9EF6"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3550A8D" w14:textId="77777777" w:rsidR="00311D18" w:rsidRPr="00D24DF9" w:rsidRDefault="00311D18" w:rsidP="003C1988">
            <w:pPr>
              <w:pStyle w:val="Akapitzlist"/>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Promowanie w realizowanych przez podmioty publiczne otwartych konkursów ofert, dotyczących rozwoju społeczeństwa obywatelskiego, tematyki senioralnej i wspierania projektów międzypokoleniowych</w:t>
            </w:r>
          </w:p>
        </w:tc>
        <w:tc>
          <w:tcPr>
            <w:tcW w:w="2032" w:type="dxa"/>
            <w:vMerge w:val="restart"/>
          </w:tcPr>
          <w:p w14:paraId="30828C2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Komitet do spraw Pożytku Publicznego</w:t>
            </w:r>
          </w:p>
        </w:tc>
        <w:tc>
          <w:tcPr>
            <w:tcW w:w="1500" w:type="dxa"/>
            <w:vMerge w:val="restart"/>
          </w:tcPr>
          <w:p w14:paraId="1B469DB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Działanie ciągłe*</w:t>
            </w:r>
          </w:p>
        </w:tc>
        <w:tc>
          <w:tcPr>
            <w:tcW w:w="5638" w:type="dxa"/>
          </w:tcPr>
          <w:p w14:paraId="7F1D332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i/>
                <w:sz w:val="20"/>
              </w:rPr>
            </w:pPr>
            <w:r w:rsidRPr="00D24DF9">
              <w:rPr>
                <w:rFonts w:ascii="Times New Roman" w:eastAsia="MS Mincho" w:hAnsi="Times New Roman"/>
                <w:i/>
                <w:sz w:val="20"/>
              </w:rPr>
              <w:t xml:space="preserve">Liczba </w:t>
            </w:r>
            <w:r w:rsidRPr="00D24DF9">
              <w:rPr>
                <w:rFonts w:ascii="Times New Roman" w:hAnsi="Times New Roman"/>
                <w:i/>
                <w:sz w:val="20"/>
              </w:rPr>
              <w:t>realizowanych przez podmioty publiczne otwartych konkursów ofert w obszarze rozwoju społeczeństwa obywatelskiego uwzględniających tematykę senioralną oraz wspieranie projektów międzypokoleniowych</w:t>
            </w:r>
          </w:p>
        </w:tc>
      </w:tr>
      <w:tr w:rsidR="005F3D4B" w:rsidRPr="00D24DF9" w14:paraId="281E30D9"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1829D785" w14:textId="77777777" w:rsidR="00311D18" w:rsidRPr="00D24DF9" w:rsidRDefault="00311D18" w:rsidP="003C1988">
            <w:pPr>
              <w:spacing w:after="0"/>
              <w:rPr>
                <w:rFonts w:ascii="Times New Roman" w:hAnsi="Times New Roman" w:cs="Times New Roman"/>
                <w:sz w:val="20"/>
              </w:rPr>
            </w:pPr>
          </w:p>
        </w:tc>
        <w:tc>
          <w:tcPr>
            <w:tcW w:w="3594" w:type="dxa"/>
            <w:vMerge/>
          </w:tcPr>
          <w:p w14:paraId="183DCBB5"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2032" w:type="dxa"/>
            <w:vMerge/>
          </w:tcPr>
          <w:p w14:paraId="15BC8FAF"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7DE0F78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3A83DBEB" w14:textId="77777777" w:rsidR="00486334" w:rsidRPr="00486334" w:rsidRDefault="00486334"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486334">
              <w:rPr>
                <w:rFonts w:ascii="Times New Roman" w:eastAsia="MS Mincho" w:hAnsi="Times New Roman"/>
                <w:sz w:val="20"/>
              </w:rPr>
              <w:t>Dofinansowanych zostało 13 ofert w ramach programu Fundusz Inicjatyw Obywatelskich, które w sposób bezpośredni lub pośredni odnoszą się do osób starszych. Wnioski zostały złożone w ramach Priorytetu 2: Aktywne społeczeństwo, gdzie jednym z wiodących obszarów wsparcia jest aktywizacja obywateli w sprawach wspólnotowych oraz wspieranie aktywnych form integracji społecznej. Jak również w zakresie Priorytetu 3: Aktywni obywatele, w ramach którego jednym z głównych obszarów wsparcia jest rozwijanie edukacji obywatelskiej i kompetencji społecznych. W ramach każdego z projektów przewidziane były działania promocyjne odnoszące się do realizowanych działań.</w:t>
            </w:r>
          </w:p>
          <w:p w14:paraId="6F9887EE" w14:textId="77777777" w:rsidR="00486334" w:rsidRPr="00486334" w:rsidRDefault="00486334" w:rsidP="003C1988">
            <w:pPr>
              <w:pStyle w:val="Kolorowalistaakcent11"/>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49A3B331" w14:textId="77777777" w:rsidR="00311D18" w:rsidRPr="00D24DF9" w:rsidRDefault="00486334"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86334">
              <w:rPr>
                <w:rFonts w:ascii="Times New Roman" w:eastAsia="MS Mincho" w:hAnsi="Times New Roman"/>
                <w:sz w:val="20"/>
              </w:rPr>
              <w:t xml:space="preserve">Dofinansowanych zostało 5 ofert w ramach programu Rozwoju Organizacji Obywatelskich na lata 2018-2030 które w sposób bezpośredni lub pośredni odnoszą się do osób starszych. Zadania </w:t>
            </w:r>
            <w:r w:rsidRPr="00486334">
              <w:rPr>
                <w:rFonts w:ascii="Times New Roman" w:eastAsia="MS Mincho" w:hAnsi="Times New Roman"/>
                <w:sz w:val="20"/>
              </w:rPr>
              <w:lastRenderedPageBreak/>
              <w:t>realizowane były podczas edycji 2019 Priorytetów 1a, 3 i 4. W ramach dofinansowanych zadań poszczególne podmioty prowadziły działania mające na celu wzmocnienie ich rozpoznawalności w najbliższym otoczeniu. Działania promocyjne dotyczyły podejmowanych przez realizatorów inicjatyw z zakresu działalności ukierunkowanej na osoby starsze.</w:t>
            </w:r>
          </w:p>
        </w:tc>
      </w:tr>
      <w:tr w:rsidR="005F3D4B" w:rsidRPr="00D24DF9" w14:paraId="4191C033" w14:textId="77777777" w:rsidTr="004D48DD">
        <w:trPr>
          <w:trHeight w:val="571"/>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944CAB4"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F211503" w14:textId="77777777" w:rsidR="00311D18" w:rsidRPr="00D24DF9" w:rsidRDefault="00311D18" w:rsidP="003C1988">
            <w:pPr>
              <w:pStyle w:val="Akapitzlist"/>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 xml:space="preserve">Prowadzenie współpracy z mediami </w:t>
            </w:r>
            <w:r w:rsidRPr="00D24DF9">
              <w:rPr>
                <w:rFonts w:ascii="Times New Roman" w:hAnsi="Times New Roman" w:cs="Times New Roman"/>
                <w:sz w:val="20"/>
              </w:rPr>
              <w:br/>
              <w:t>w celu udostępniania informacji o osobach starszych i propagowania wzorców aktywnej starości</w:t>
            </w:r>
          </w:p>
        </w:tc>
        <w:tc>
          <w:tcPr>
            <w:tcW w:w="2032" w:type="dxa"/>
            <w:vMerge w:val="restart"/>
          </w:tcPr>
          <w:p w14:paraId="432FE1B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Ministerstwo Rodziny, Pracy i Polityki Społecznej</w:t>
            </w:r>
          </w:p>
        </w:tc>
        <w:tc>
          <w:tcPr>
            <w:tcW w:w="1500" w:type="dxa"/>
            <w:vMerge w:val="restart"/>
          </w:tcPr>
          <w:p w14:paraId="1EF30A3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Działanie ciągłe*</w:t>
            </w:r>
          </w:p>
        </w:tc>
        <w:tc>
          <w:tcPr>
            <w:tcW w:w="5638" w:type="dxa"/>
          </w:tcPr>
          <w:p w14:paraId="6CDBA68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 xml:space="preserve">Liczba </w:t>
            </w:r>
            <w:r w:rsidRPr="00D24DF9">
              <w:rPr>
                <w:rFonts w:ascii="Times New Roman" w:hAnsi="Times New Roman" w:cs="Times New Roman"/>
                <w:i/>
                <w:sz w:val="20"/>
              </w:rPr>
              <w:t>inicjatyw prowadzonych we współpracy z mediami publicznymi w obszarze udostępniania informacji o osobach starszych i propagowania wzorców aktywnej starości</w:t>
            </w:r>
          </w:p>
        </w:tc>
      </w:tr>
      <w:tr w:rsidR="005F3D4B" w:rsidRPr="00D24DF9" w14:paraId="0EF7EEEB" w14:textId="77777777" w:rsidTr="004D48DD">
        <w:trPr>
          <w:cnfStyle w:val="000000100000" w:firstRow="0" w:lastRow="0" w:firstColumn="0" w:lastColumn="0" w:oddVBand="0" w:evenVBand="0" w:oddHBand="1"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F872EEF" w14:textId="77777777" w:rsidR="00311D18" w:rsidRPr="00D24DF9" w:rsidRDefault="00311D18" w:rsidP="003C1988">
            <w:pPr>
              <w:spacing w:after="0"/>
              <w:rPr>
                <w:rFonts w:ascii="Times New Roman" w:hAnsi="Times New Roman" w:cs="Times New Roman"/>
                <w:sz w:val="20"/>
              </w:rPr>
            </w:pPr>
          </w:p>
        </w:tc>
        <w:tc>
          <w:tcPr>
            <w:tcW w:w="3594" w:type="dxa"/>
            <w:vMerge/>
          </w:tcPr>
          <w:p w14:paraId="50204876"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2032" w:type="dxa"/>
            <w:vMerge/>
          </w:tcPr>
          <w:p w14:paraId="0188B535"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749C59AA"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2D28BD6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70635984" w14:textId="77777777" w:rsidTr="004D48DD">
        <w:trPr>
          <w:trHeight w:val="803"/>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8956B8F" w14:textId="77777777" w:rsidR="00311D18" w:rsidRPr="00D24DF9" w:rsidRDefault="00311D18" w:rsidP="003C1988">
            <w:pPr>
              <w:spacing w:after="0"/>
              <w:rPr>
                <w:rFonts w:ascii="Times New Roman" w:eastAsia="MS Mincho" w:hAnsi="Times New Roman" w:cs="Times New Roman"/>
                <w:b w:val="0"/>
                <w:sz w:val="20"/>
                <w:u w:val="single"/>
              </w:rPr>
            </w:pPr>
          </w:p>
        </w:tc>
        <w:tc>
          <w:tcPr>
            <w:tcW w:w="3594" w:type="dxa"/>
            <w:vMerge w:val="restart"/>
            <w:shd w:val="clear" w:color="auto" w:fill="D9E2F3" w:themeFill="accent5" w:themeFillTint="33"/>
          </w:tcPr>
          <w:p w14:paraId="774C4402" w14:textId="77777777" w:rsidR="00311D18" w:rsidRPr="00D24DF9" w:rsidRDefault="00311D18" w:rsidP="003C1988">
            <w:pPr>
              <w:pStyle w:val="Akapitzlist"/>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eastAsia="MS Mincho" w:hAnsi="Times New Roman" w:cs="Times New Roman"/>
                <w:sz w:val="20"/>
              </w:rPr>
              <w:t>Realizacja kampanii społecznych zachęcających do świadomego decydowania o przejściu na emeryturę oraz promowanie w przedsiębiorstwach zasad zarządzania wiekiem</w:t>
            </w:r>
          </w:p>
        </w:tc>
        <w:tc>
          <w:tcPr>
            <w:tcW w:w="2032" w:type="dxa"/>
            <w:vMerge w:val="restart"/>
          </w:tcPr>
          <w:p w14:paraId="43D9F29E"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Ministerstwo Rodziny, Pracy i Polityki Społecznej</w:t>
            </w:r>
          </w:p>
        </w:tc>
        <w:tc>
          <w:tcPr>
            <w:tcW w:w="1500" w:type="dxa"/>
            <w:vMerge w:val="restart"/>
          </w:tcPr>
          <w:p w14:paraId="1B3D74D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Działanie ciągłe*</w:t>
            </w:r>
          </w:p>
        </w:tc>
        <w:tc>
          <w:tcPr>
            <w:tcW w:w="5638" w:type="dxa"/>
          </w:tcPr>
          <w:p w14:paraId="1FB7FCA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kampanii społecznych zachęcających do świadomego decydowania o przejściu na emeryturę oraz promujących w przedsiębiorstwach zasady zarządzania wiekiem</w:t>
            </w:r>
          </w:p>
        </w:tc>
      </w:tr>
      <w:tr w:rsidR="005F3D4B" w:rsidRPr="00D24DF9" w14:paraId="39DA8A16" w14:textId="77777777" w:rsidTr="004D48DD">
        <w:trPr>
          <w:cnfStyle w:val="000000100000" w:firstRow="0" w:lastRow="0" w:firstColumn="0" w:lastColumn="0" w:oddVBand="0" w:evenVBand="0" w:oddHBand="1" w:evenHBand="0" w:firstRowFirstColumn="0" w:firstRowLastColumn="0" w:lastRowFirstColumn="0" w:lastRowLastColumn="0"/>
          <w:trHeight w:val="1551"/>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E6E2387" w14:textId="77777777" w:rsidR="00311D18" w:rsidRPr="00D24DF9" w:rsidRDefault="00311D18" w:rsidP="003C1988">
            <w:pPr>
              <w:spacing w:after="0"/>
              <w:rPr>
                <w:rFonts w:ascii="Times New Roman" w:hAnsi="Times New Roman" w:cs="Times New Roman"/>
                <w:sz w:val="20"/>
              </w:rPr>
            </w:pPr>
          </w:p>
        </w:tc>
        <w:tc>
          <w:tcPr>
            <w:tcW w:w="3594" w:type="dxa"/>
            <w:vMerge/>
          </w:tcPr>
          <w:p w14:paraId="5255AE36"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2032" w:type="dxa"/>
            <w:vMerge/>
          </w:tcPr>
          <w:p w14:paraId="3C0921FD"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4569AE9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025CB6B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7E000861" w14:textId="77777777" w:rsidTr="004D48DD">
        <w:trPr>
          <w:trHeight w:val="575"/>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FF02E49"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C2C6B2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Dofinansowywanie działań skierowanych na utrzymanie zdolności do pracy przez cały okres aktywności zawodowej, prowadzonych przez pracodawców (ze szczególnym uwzględnieniem sektora małych i średnich przedsiębiorstw oraz przedsiębiorstw społecznych i spółdzielni socjalnych)</w:t>
            </w:r>
          </w:p>
        </w:tc>
        <w:tc>
          <w:tcPr>
            <w:tcW w:w="2032" w:type="dxa"/>
            <w:vMerge w:val="restart"/>
          </w:tcPr>
          <w:p w14:paraId="1F179FB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Ministerstwo Rodziny, Pracy i Polityki Społecznej</w:t>
            </w:r>
          </w:p>
        </w:tc>
        <w:tc>
          <w:tcPr>
            <w:tcW w:w="1500" w:type="dxa"/>
            <w:vMerge w:val="restart"/>
          </w:tcPr>
          <w:p w14:paraId="6856320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Działanie ciągłe*</w:t>
            </w:r>
          </w:p>
        </w:tc>
        <w:tc>
          <w:tcPr>
            <w:tcW w:w="5638" w:type="dxa"/>
          </w:tcPr>
          <w:p w14:paraId="4DCAF403"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dofinansowanych działań skierowanych na utrzymanie zdolności do pracy przez cały okres aktywności zawodowej, prowadzonych przez pracodawców</w:t>
            </w:r>
          </w:p>
        </w:tc>
      </w:tr>
      <w:tr w:rsidR="005F3D4B" w:rsidRPr="00D24DF9" w14:paraId="5571B32C" w14:textId="77777777" w:rsidTr="004D48DD">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24E63A7" w14:textId="77777777" w:rsidR="00311D18" w:rsidRPr="00D24DF9" w:rsidRDefault="00311D18" w:rsidP="003C1988">
            <w:pPr>
              <w:spacing w:after="0"/>
              <w:rPr>
                <w:rFonts w:ascii="Times New Roman" w:hAnsi="Times New Roman" w:cs="Times New Roman"/>
                <w:sz w:val="20"/>
              </w:rPr>
            </w:pPr>
          </w:p>
        </w:tc>
        <w:tc>
          <w:tcPr>
            <w:tcW w:w="3594" w:type="dxa"/>
            <w:vMerge/>
          </w:tcPr>
          <w:p w14:paraId="7451E597"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2032" w:type="dxa"/>
            <w:vMerge/>
          </w:tcPr>
          <w:p w14:paraId="04E1CF97"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65E57F8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305AA700" w14:textId="77777777" w:rsidR="005F3D4B" w:rsidRDefault="00715402" w:rsidP="003C1988">
            <w:pPr>
              <w:tabs>
                <w:tab w:val="left" w:pos="567"/>
              </w:tabs>
              <w:suppressAutoHyphen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x-none"/>
              </w:rPr>
            </w:pPr>
            <w:r w:rsidRPr="00D24DF9">
              <w:rPr>
                <w:rFonts w:ascii="Times New Roman" w:hAnsi="Times New Roman" w:cs="Times New Roman"/>
                <w:sz w:val="20"/>
                <w:lang w:eastAsia="x-none"/>
              </w:rPr>
              <w:t>Według stanu</w:t>
            </w:r>
            <w:r w:rsidR="005F3D4B">
              <w:rPr>
                <w:rFonts w:ascii="Times New Roman" w:hAnsi="Times New Roman" w:cs="Times New Roman"/>
                <w:sz w:val="20"/>
                <w:lang w:eastAsia="x-none"/>
              </w:rPr>
              <w:t xml:space="preserve"> na 9 stycznia 2020 r. status Przedsiębiorstwa Spolecznego</w:t>
            </w:r>
            <w:r w:rsidRPr="00D24DF9">
              <w:rPr>
                <w:rFonts w:ascii="Times New Roman" w:hAnsi="Times New Roman" w:cs="Times New Roman"/>
                <w:sz w:val="20"/>
                <w:lang w:eastAsia="x-none"/>
              </w:rPr>
              <w:t xml:space="preserve"> posiadały 1</w:t>
            </w:r>
            <w:r w:rsidR="005F3D4B">
              <w:rPr>
                <w:rFonts w:ascii="Times New Roman" w:hAnsi="Times New Roman" w:cs="Times New Roman"/>
                <w:sz w:val="20"/>
                <w:lang w:eastAsia="x-none"/>
              </w:rPr>
              <w:t xml:space="preserve"> </w:t>
            </w:r>
            <w:r w:rsidRPr="00D24DF9">
              <w:rPr>
                <w:rFonts w:ascii="Times New Roman" w:hAnsi="Times New Roman" w:cs="Times New Roman"/>
                <w:sz w:val="20"/>
                <w:lang w:eastAsia="x-none"/>
              </w:rPr>
              <w:t>153 podmioty. Są to przede wszystkim spółdzielnie socjalne, ale także niektóre fundacje, stowarzyszenia i spółki non-profit. Najwięcej jest ich zlokalizowanych w woj. podkarpackim (170), śląskim (135) i wielkopolskim (122). Dominującą branżą jest gastronomia, w której aktywnych jest 208 podmiotów. Baz</w:t>
            </w:r>
            <w:r w:rsidR="005F3D4B">
              <w:rPr>
                <w:rFonts w:ascii="Times New Roman" w:hAnsi="Times New Roman" w:cs="Times New Roman"/>
                <w:sz w:val="20"/>
                <w:lang w:eastAsia="x-none"/>
              </w:rPr>
              <w:t>a PS dostępna jest pod adresem:</w:t>
            </w:r>
          </w:p>
          <w:p w14:paraId="20C58AFC" w14:textId="77777777" w:rsidR="00311D18" w:rsidRPr="00D24DF9" w:rsidRDefault="00141E52" w:rsidP="003C1988">
            <w:pPr>
              <w:tabs>
                <w:tab w:val="left" w:pos="567"/>
              </w:tabs>
              <w:suppressAutoHyphen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x-none"/>
              </w:rPr>
            </w:pPr>
            <w:hyperlink r:id="rId44" w:history="1">
              <w:r w:rsidR="00715402" w:rsidRPr="00D24DF9">
                <w:rPr>
                  <w:rStyle w:val="Hipercze"/>
                  <w:rFonts w:ascii="Times New Roman" w:hAnsi="Times New Roman" w:cs="Times New Roman"/>
                  <w:color w:val="2F5496" w:themeColor="accent5" w:themeShade="BF"/>
                  <w:sz w:val="20"/>
                  <w:lang w:eastAsia="x-none"/>
                </w:rPr>
                <w:t>http://www.bazaps.ekonomiaspoleczna.gov.pl/</w:t>
              </w:r>
            </w:hyperlink>
            <w:r w:rsidR="00715402" w:rsidRPr="00D24DF9">
              <w:rPr>
                <w:rFonts w:ascii="Times New Roman" w:hAnsi="Times New Roman" w:cs="Times New Roman"/>
                <w:sz w:val="20"/>
                <w:lang w:eastAsia="x-none"/>
              </w:rPr>
              <w:t xml:space="preserve">. </w:t>
            </w:r>
          </w:p>
        </w:tc>
      </w:tr>
      <w:tr w:rsidR="005F3D4B" w:rsidRPr="00D24DF9" w14:paraId="63A7CFBC" w14:textId="77777777" w:rsidTr="004D48DD">
        <w:trPr>
          <w:trHeight w:val="281"/>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5F37FB8"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69777C6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sz w:val="20"/>
              </w:rPr>
              <w:t>Prowadzenie portalu kalkulatora emerytalnego, pozwalającego na symulację wysokości własnej emerytury w różnych wariantach</w:t>
            </w:r>
          </w:p>
        </w:tc>
        <w:tc>
          <w:tcPr>
            <w:tcW w:w="2032" w:type="dxa"/>
            <w:vMerge w:val="restart"/>
          </w:tcPr>
          <w:p w14:paraId="27ED3F7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Zakład Ubezpieczeń Społecznych</w:t>
            </w:r>
          </w:p>
        </w:tc>
        <w:tc>
          <w:tcPr>
            <w:tcW w:w="1500" w:type="dxa"/>
            <w:vMerge w:val="restart"/>
          </w:tcPr>
          <w:p w14:paraId="53A9426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Działanie ciągłe*</w:t>
            </w:r>
          </w:p>
        </w:tc>
        <w:tc>
          <w:tcPr>
            <w:tcW w:w="5638" w:type="dxa"/>
          </w:tcPr>
          <w:p w14:paraId="1F643DE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Funkcjonowanie aktualnego portalu kalkulatora emerytalnego</w:t>
            </w:r>
          </w:p>
        </w:tc>
      </w:tr>
      <w:tr w:rsidR="005F3D4B" w:rsidRPr="00D24DF9" w14:paraId="0BB0C21C" w14:textId="77777777" w:rsidTr="004D48DD">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37D95310" w14:textId="77777777" w:rsidR="00311D18" w:rsidRPr="00D24DF9" w:rsidRDefault="00311D18" w:rsidP="003C1988">
            <w:pPr>
              <w:spacing w:after="0"/>
              <w:rPr>
                <w:rFonts w:ascii="Times New Roman" w:hAnsi="Times New Roman" w:cs="Times New Roman"/>
                <w:sz w:val="20"/>
              </w:rPr>
            </w:pPr>
          </w:p>
        </w:tc>
        <w:tc>
          <w:tcPr>
            <w:tcW w:w="3594" w:type="dxa"/>
            <w:vMerge/>
          </w:tcPr>
          <w:p w14:paraId="275458A4"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2032" w:type="dxa"/>
            <w:vMerge/>
          </w:tcPr>
          <w:p w14:paraId="69D95E86"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530C177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11EC1EF3" w14:textId="77777777" w:rsidR="00CB1885" w:rsidRDefault="00EB487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eastAsia="MS Mincho" w:hAnsi="Times New Roman" w:cs="Times New Roman"/>
                <w:sz w:val="20"/>
              </w:rPr>
              <w:t>Udostępniony przez Zakład</w:t>
            </w:r>
            <w:r w:rsidRPr="00D24DF9">
              <w:rPr>
                <w:rFonts w:ascii="Times New Roman" w:eastAsia="MS Mincho" w:hAnsi="Times New Roman" w:cs="Times New Roman"/>
                <w:b/>
                <w:sz w:val="20"/>
              </w:rPr>
              <w:t xml:space="preserve"> </w:t>
            </w:r>
            <w:r w:rsidRPr="00D24DF9">
              <w:rPr>
                <w:rFonts w:ascii="Times New Roman" w:hAnsi="Times New Roman" w:cs="Times New Roman"/>
                <w:sz w:val="20"/>
              </w:rPr>
              <w:t xml:space="preserve">na PUE ZUS oraz na stronie </w:t>
            </w:r>
            <w:hyperlink r:id="rId45" w:history="1">
              <w:r w:rsidRPr="00D24DF9">
                <w:rPr>
                  <w:rStyle w:val="Hipercze"/>
                  <w:rFonts w:ascii="Times New Roman" w:hAnsi="Times New Roman" w:cs="Times New Roman"/>
                  <w:color w:val="2F5496" w:themeColor="accent5" w:themeShade="BF"/>
                  <w:sz w:val="20"/>
                </w:rPr>
                <w:t>www.zus.pl</w:t>
              </w:r>
            </w:hyperlink>
            <w:r w:rsidRPr="00D24DF9">
              <w:rPr>
                <w:rFonts w:ascii="Times New Roman" w:hAnsi="Times New Roman" w:cs="Times New Roman"/>
                <w:sz w:val="20"/>
              </w:rPr>
              <w:t xml:space="preserve"> kalkulator emerytalny, daje przyszłym emerytom możliwość samodzielnego wyliczenia prognozowanej kwoty przyszłej emerytury. Prognozowana wysokość emerytury wyliczana jest na podstawie informacji o stanie konta dostępnej na PUE ZUS albo otrzymanej z ZUS oraz na podstawie parametrów dotyczących przyszłości podanych przez użytkownika. Kalkulator umożliwia wybór wieku przejścia na emeryturę od 60 lat dla kobiet oraz od 65 lat dla mężczyzn. Użytkownik zmieniając deklarowany wiek przejścia na emeryturę może sprawdzić jak dłuższa praca wpłynie na wysokość jego przyszłej emerytury.</w:t>
            </w:r>
          </w:p>
          <w:p w14:paraId="2A6BFC0A" w14:textId="77777777" w:rsidR="00311D18" w:rsidRPr="00CB1885" w:rsidRDefault="00EB487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 xml:space="preserve">W 2019 </w:t>
            </w:r>
            <w:r w:rsidR="00CB1885">
              <w:rPr>
                <w:rFonts w:ascii="Times New Roman" w:hAnsi="Times New Roman" w:cs="Times New Roman"/>
                <w:sz w:val="20"/>
              </w:rPr>
              <w:t xml:space="preserve">r. </w:t>
            </w:r>
            <w:r w:rsidRPr="00D24DF9">
              <w:rPr>
                <w:rFonts w:ascii="Times New Roman" w:hAnsi="Times New Roman" w:cs="Times New Roman"/>
                <w:sz w:val="20"/>
              </w:rPr>
              <w:t xml:space="preserve">klienci wykonali  1 181,3 tys. obliczeń w kalkulatorze emerytalnym na PUE ZUS oraz 169,2 tys. obliczeń w kalkulatorze emerytalnym na stronie </w:t>
            </w:r>
            <w:hyperlink r:id="rId46" w:history="1">
              <w:r w:rsidRPr="00D24DF9">
                <w:rPr>
                  <w:rStyle w:val="Hipercze"/>
                  <w:rFonts w:ascii="Times New Roman" w:hAnsi="Times New Roman" w:cs="Times New Roman"/>
                  <w:color w:val="2F5496" w:themeColor="accent5" w:themeShade="BF"/>
                  <w:sz w:val="20"/>
                </w:rPr>
                <w:t>www.zus.pl</w:t>
              </w:r>
            </w:hyperlink>
          </w:p>
        </w:tc>
      </w:tr>
      <w:tr w:rsidR="005F3D4B" w:rsidRPr="00D24DF9" w14:paraId="40295807" w14:textId="77777777" w:rsidTr="004D48DD">
        <w:trPr>
          <w:trHeight w:val="178"/>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vAlign w:val="center"/>
          </w:tcPr>
          <w:p w14:paraId="171361AC" w14:textId="77777777" w:rsidR="00311D18" w:rsidRPr="00D24DF9" w:rsidRDefault="00311D18" w:rsidP="003C1988">
            <w:pPr>
              <w:spacing w:after="0"/>
              <w:ind w:left="113" w:right="113"/>
              <w:rPr>
                <w:rFonts w:ascii="Times New Roman" w:hAnsi="Times New Roman" w:cs="Times New Roman"/>
                <w:sz w:val="20"/>
              </w:rPr>
            </w:pPr>
            <w:r w:rsidRPr="00D24DF9">
              <w:rPr>
                <w:rFonts w:ascii="Times New Roman" w:hAnsi="Times New Roman" w:cs="Times New Roman"/>
                <w:sz w:val="20"/>
              </w:rPr>
              <w:t>Obszar II</w:t>
            </w:r>
          </w:p>
        </w:tc>
        <w:tc>
          <w:tcPr>
            <w:tcW w:w="3594" w:type="dxa"/>
            <w:vMerge w:val="restart"/>
            <w:shd w:val="clear" w:color="auto" w:fill="D9E2F3" w:themeFill="accent5" w:themeFillTint="33"/>
          </w:tcPr>
          <w:p w14:paraId="5D96D17C" w14:textId="77777777" w:rsidR="00311D18" w:rsidRPr="00D24DF9" w:rsidRDefault="00311D18" w:rsidP="003C1988">
            <w:pPr>
              <w:pStyle w:val="Akapitzlist"/>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hAnsi="Times New Roman" w:cs="Times New Roman"/>
                <w:sz w:val="20"/>
              </w:rPr>
              <w:t>Reforma procesu inwestycyjno – budowlanego oraz systemu planowania i zagospodarowania przestrzennego</w:t>
            </w:r>
          </w:p>
        </w:tc>
        <w:tc>
          <w:tcPr>
            <w:tcW w:w="2032" w:type="dxa"/>
            <w:vMerge w:val="restart"/>
          </w:tcPr>
          <w:p w14:paraId="7DEF5F4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Ministerstwo   Rozwoju </w:t>
            </w:r>
          </w:p>
        </w:tc>
        <w:tc>
          <w:tcPr>
            <w:tcW w:w="1500" w:type="dxa"/>
            <w:vMerge w:val="restart"/>
          </w:tcPr>
          <w:p w14:paraId="63263F5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2018-2020</w:t>
            </w:r>
          </w:p>
        </w:tc>
        <w:tc>
          <w:tcPr>
            <w:tcW w:w="5638" w:type="dxa"/>
          </w:tcPr>
          <w:p w14:paraId="4D57E64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Opracowanie projektu przepisów regulujących proces inwestycyjno – budowlany oraz system planowania i zagospodarowania przestrzennego</w:t>
            </w:r>
          </w:p>
        </w:tc>
      </w:tr>
      <w:tr w:rsidR="005F3D4B" w:rsidRPr="00D24DF9" w14:paraId="4B4098D5" w14:textId="77777777" w:rsidTr="004D48DD">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D22ED85" w14:textId="77777777" w:rsidR="00311D18" w:rsidRPr="00D24DF9" w:rsidRDefault="00311D18" w:rsidP="003C1988">
            <w:pPr>
              <w:spacing w:after="0"/>
              <w:rPr>
                <w:rFonts w:ascii="Times New Roman" w:hAnsi="Times New Roman" w:cs="Times New Roman"/>
                <w:sz w:val="20"/>
              </w:rPr>
            </w:pPr>
          </w:p>
        </w:tc>
        <w:tc>
          <w:tcPr>
            <w:tcW w:w="3594" w:type="dxa"/>
            <w:vMerge/>
          </w:tcPr>
          <w:p w14:paraId="0FFECD27"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2032" w:type="dxa"/>
            <w:vMerge/>
          </w:tcPr>
          <w:p w14:paraId="3D110FB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52956C7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496F3B3E" w14:textId="77777777" w:rsidR="00311D18" w:rsidRPr="00D24DF9" w:rsidRDefault="006E1F8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hAnsi="Times New Roman" w:cs="Times New Roman"/>
                <w:sz w:val="20"/>
              </w:rPr>
              <w:t>Reforma procesu inwestycyjno-budowlanego oraz systemu planowania i zagospodarowania przestrzennego zostały rozdzielone jako dwa zadania</w:t>
            </w:r>
            <w:r w:rsidR="00CB1885">
              <w:rPr>
                <w:rFonts w:ascii="Times New Roman" w:hAnsi="Times New Roman" w:cs="Times New Roman"/>
                <w:sz w:val="20"/>
              </w:rPr>
              <w:t>,</w:t>
            </w:r>
            <w:r w:rsidRPr="00D24DF9">
              <w:rPr>
                <w:rFonts w:ascii="Times New Roman" w:hAnsi="Times New Roman" w:cs="Times New Roman"/>
                <w:sz w:val="20"/>
              </w:rPr>
              <w:t xml:space="preserve"> w formie dwóch projektów aktów prawnych. W ramach reformy procesu inwestycyjno- budowlanego została zrealizowana w formie opracowanego </w:t>
            </w:r>
            <w:r w:rsidRPr="00CB1885">
              <w:rPr>
                <w:rFonts w:ascii="Times New Roman" w:hAnsi="Times New Roman" w:cs="Times New Roman"/>
                <w:i/>
                <w:sz w:val="20"/>
              </w:rPr>
              <w:t>projektu ustawy o zmianie ustawy - Prawo budowlane oraz niektórych innych ustaw</w:t>
            </w:r>
            <w:r w:rsidRPr="00D24DF9">
              <w:rPr>
                <w:rFonts w:ascii="Times New Roman" w:hAnsi="Times New Roman" w:cs="Times New Roman"/>
                <w:sz w:val="20"/>
              </w:rPr>
              <w:t xml:space="preserve"> (UD506). Ww. projekt ustawy skierowano do uzgodnień międzyresortowych 12.04.2019 r. W dniu 25.10.2019</w:t>
            </w:r>
            <w:r w:rsidR="00CB1885">
              <w:rPr>
                <w:rFonts w:ascii="Times New Roman" w:hAnsi="Times New Roman" w:cs="Times New Roman"/>
                <w:sz w:val="20"/>
              </w:rPr>
              <w:t xml:space="preserve"> r.</w:t>
            </w:r>
            <w:r w:rsidRPr="00D24DF9">
              <w:rPr>
                <w:rFonts w:ascii="Times New Roman" w:hAnsi="Times New Roman" w:cs="Times New Roman"/>
                <w:sz w:val="20"/>
              </w:rPr>
              <w:t xml:space="preserve"> Stały Komitet Rady Ministrów przyjął ww. projekt ustawy. 7 grudnia 2019 r. projekt ustawy został  przyjęty przez Radę Ministrów. W dniu 23 grudnia 2019 r. projekt ustawy został przekazany do prac parlamentarnych.</w:t>
            </w:r>
          </w:p>
        </w:tc>
      </w:tr>
      <w:tr w:rsidR="005F3D4B" w:rsidRPr="00D24DF9" w14:paraId="4118C79A" w14:textId="77777777" w:rsidTr="004D48DD">
        <w:trPr>
          <w:trHeight w:val="159"/>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833FF05"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DCB1BE9" w14:textId="77777777" w:rsidR="00311D18" w:rsidRPr="00D24DF9" w:rsidRDefault="00311D18" w:rsidP="003C1988">
            <w:pPr>
              <w:pStyle w:val="Akapitzlist"/>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hAnsi="Times New Roman" w:cs="Times New Roman"/>
                <w:sz w:val="20"/>
              </w:rPr>
              <w:t xml:space="preserve">Realizacja kampanii społecznych lub akcji informacyjno-edukacyjnych skierowanych do osób starszych, </w:t>
            </w:r>
            <w:r w:rsidRPr="00D24DF9">
              <w:rPr>
                <w:rFonts w:ascii="Times New Roman" w:hAnsi="Times New Roman" w:cs="Times New Roman"/>
                <w:sz w:val="20"/>
              </w:rPr>
              <w:lastRenderedPageBreak/>
              <w:t>zachęcających do przypomnienia i utrwalenia wiedzy z zakresu bezpieczeństwa ruchu drogowego</w:t>
            </w:r>
          </w:p>
        </w:tc>
        <w:tc>
          <w:tcPr>
            <w:tcW w:w="2032" w:type="dxa"/>
            <w:vMerge w:val="restart"/>
          </w:tcPr>
          <w:p w14:paraId="03FAA33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lastRenderedPageBreak/>
              <w:t>Ministerstwo Infrastruktury</w:t>
            </w:r>
          </w:p>
        </w:tc>
        <w:tc>
          <w:tcPr>
            <w:tcW w:w="1500" w:type="dxa"/>
            <w:vMerge w:val="restart"/>
          </w:tcPr>
          <w:p w14:paraId="4154728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2018-2020</w:t>
            </w:r>
          </w:p>
        </w:tc>
        <w:tc>
          <w:tcPr>
            <w:tcW w:w="5638" w:type="dxa"/>
          </w:tcPr>
          <w:p w14:paraId="5FBBC24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kampanii społecznych, akcji informacyjno-edukacyjnych skierowanych do osób starszych, zachęcających do przypomnienia i utrwalenia wiedzy z zakresu bezpieczeństwa ruchu drogowego</w:t>
            </w:r>
          </w:p>
        </w:tc>
      </w:tr>
      <w:tr w:rsidR="005F3D4B" w:rsidRPr="00D24DF9" w14:paraId="76520598" w14:textId="77777777" w:rsidTr="004D48DD">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EAE466B" w14:textId="77777777" w:rsidR="00311D18" w:rsidRPr="00D24DF9" w:rsidRDefault="00311D18" w:rsidP="003C1988">
            <w:pPr>
              <w:spacing w:after="0"/>
              <w:rPr>
                <w:rFonts w:ascii="Times New Roman" w:hAnsi="Times New Roman" w:cs="Times New Roman"/>
                <w:sz w:val="20"/>
              </w:rPr>
            </w:pPr>
          </w:p>
        </w:tc>
        <w:tc>
          <w:tcPr>
            <w:tcW w:w="3594" w:type="dxa"/>
            <w:vMerge/>
          </w:tcPr>
          <w:p w14:paraId="2ED07128"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2032" w:type="dxa"/>
            <w:vMerge/>
          </w:tcPr>
          <w:p w14:paraId="0D91CFCB"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2DDD646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2162A6F4" w14:textId="77777777" w:rsidR="008E233B" w:rsidRPr="00D24DF9" w:rsidRDefault="008E233B" w:rsidP="003C1988">
            <w:pPr>
              <w:tabs>
                <w:tab w:val="left" w:pos="284"/>
              </w:tabs>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W 2019 r. przeprowadzono ok. 30 konsultacji indywidualnych w ramach działań Centrum Usług Motoryzacyjnych dla Osób Niepełnosprawnych i Ogólnopolskiego Punktu Informacyjnego działających przy Insty</w:t>
            </w:r>
            <w:r w:rsidR="00CB1885">
              <w:rPr>
                <w:rFonts w:ascii="Times New Roman" w:eastAsia="MS Mincho" w:hAnsi="Times New Roman" w:cs="Times New Roman"/>
                <w:sz w:val="20"/>
              </w:rPr>
              <w:t xml:space="preserve">tucie Transportu Samochodowego </w:t>
            </w:r>
            <w:r w:rsidRPr="00D24DF9">
              <w:rPr>
                <w:rFonts w:ascii="Times New Roman" w:eastAsia="MS Mincho" w:hAnsi="Times New Roman" w:cs="Times New Roman"/>
                <w:sz w:val="20"/>
              </w:rPr>
              <w:t>w zakresie:</w:t>
            </w:r>
          </w:p>
          <w:p w14:paraId="60ABB40F" w14:textId="77777777" w:rsidR="00CB1885" w:rsidRDefault="008E233B" w:rsidP="008C71A9">
            <w:pPr>
              <w:pStyle w:val="Akapitzlist"/>
              <w:numPr>
                <w:ilvl w:val="0"/>
                <w:numId w:val="228"/>
              </w:numPr>
              <w:tabs>
                <w:tab w:val="left" w:pos="284"/>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CB1885">
              <w:rPr>
                <w:rFonts w:ascii="Times New Roman" w:eastAsia="MS Mincho" w:hAnsi="Times New Roman" w:cs="Times New Roman"/>
                <w:sz w:val="20"/>
              </w:rPr>
              <w:t>badań profilaktycznych wykonywanych przez lekarza medycyny pracy z uprawnieniami do badania kierowców (np. ustalenie kodów i subkodów ograniczeń),</w:t>
            </w:r>
          </w:p>
          <w:p w14:paraId="36277FFD" w14:textId="77777777" w:rsidR="00CB1885" w:rsidRDefault="008E233B" w:rsidP="008C71A9">
            <w:pPr>
              <w:pStyle w:val="Akapitzlist"/>
              <w:numPr>
                <w:ilvl w:val="0"/>
                <w:numId w:val="228"/>
              </w:numPr>
              <w:tabs>
                <w:tab w:val="left" w:pos="284"/>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CB1885">
              <w:rPr>
                <w:rFonts w:ascii="Times New Roman" w:eastAsia="MS Mincho" w:hAnsi="Times New Roman" w:cs="Times New Roman"/>
                <w:sz w:val="20"/>
              </w:rPr>
              <w:t>powrotu do prowadzenia pojazdów przez osoby starsze (np. czynni kierowcy zawodowi), które utraciły sprawność ruchową w wyniku choroby (udar) lub w wyniku zdarzenia komunikacyjnego (utrata sprawności w wyniku wypadku),</w:t>
            </w:r>
          </w:p>
          <w:p w14:paraId="2465CCE7" w14:textId="77777777" w:rsidR="00CB1885" w:rsidRDefault="008E233B" w:rsidP="008C71A9">
            <w:pPr>
              <w:pStyle w:val="Akapitzlist"/>
              <w:numPr>
                <w:ilvl w:val="0"/>
                <w:numId w:val="228"/>
              </w:numPr>
              <w:tabs>
                <w:tab w:val="left" w:pos="284"/>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CB1885">
              <w:rPr>
                <w:rFonts w:ascii="Times New Roman" w:eastAsia="MS Mincho" w:hAnsi="Times New Roman" w:cs="Times New Roman"/>
                <w:sz w:val="20"/>
              </w:rPr>
              <w:t>prewencji dotyczącej zadań wchodzących w zakres psychologii zdrowia i psychologii transportu (ekspert ITS),</w:t>
            </w:r>
          </w:p>
          <w:p w14:paraId="70727209" w14:textId="77777777" w:rsidR="00CB1885" w:rsidRDefault="008E233B" w:rsidP="008C71A9">
            <w:pPr>
              <w:pStyle w:val="Akapitzlist"/>
              <w:numPr>
                <w:ilvl w:val="0"/>
                <w:numId w:val="228"/>
              </w:numPr>
              <w:tabs>
                <w:tab w:val="left" w:pos="284"/>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CB1885">
              <w:rPr>
                <w:rFonts w:ascii="Times New Roman" w:eastAsia="MS Mincho" w:hAnsi="Times New Roman" w:cs="Times New Roman"/>
                <w:sz w:val="20"/>
              </w:rPr>
              <w:t>informowania o wpływie zażywanych leków na prowadzenie pojazdów,</w:t>
            </w:r>
          </w:p>
          <w:p w14:paraId="718DC558" w14:textId="77777777" w:rsidR="00CB1885" w:rsidRDefault="008E233B" w:rsidP="008C71A9">
            <w:pPr>
              <w:pStyle w:val="Akapitzlist"/>
              <w:numPr>
                <w:ilvl w:val="0"/>
                <w:numId w:val="228"/>
              </w:numPr>
              <w:tabs>
                <w:tab w:val="left" w:pos="284"/>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CB1885">
              <w:rPr>
                <w:rFonts w:ascii="Times New Roman" w:eastAsia="MS Mincho" w:hAnsi="Times New Roman" w:cs="Times New Roman"/>
                <w:sz w:val="20"/>
              </w:rPr>
              <w:t>informowania o możliwościach adaptacji pojazdów do danej dysfunkcji ruchowej,</w:t>
            </w:r>
          </w:p>
          <w:p w14:paraId="66D8A765" w14:textId="77777777" w:rsidR="00CB1885" w:rsidRDefault="008E233B" w:rsidP="008C71A9">
            <w:pPr>
              <w:pStyle w:val="Akapitzlist"/>
              <w:numPr>
                <w:ilvl w:val="0"/>
                <w:numId w:val="228"/>
              </w:numPr>
              <w:tabs>
                <w:tab w:val="left" w:pos="284"/>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CB1885">
              <w:rPr>
                <w:rFonts w:ascii="Times New Roman" w:eastAsia="MS Mincho" w:hAnsi="Times New Roman" w:cs="Times New Roman"/>
                <w:sz w:val="20"/>
              </w:rPr>
              <w:t>inicjowania jazd doszkalających dla osób starszych po długich przerwach w prowadzeniu pojazdów,</w:t>
            </w:r>
          </w:p>
          <w:p w14:paraId="209AB339" w14:textId="77777777" w:rsidR="00CB1885" w:rsidRDefault="008E233B" w:rsidP="008C71A9">
            <w:pPr>
              <w:pStyle w:val="Akapitzlist"/>
              <w:numPr>
                <w:ilvl w:val="0"/>
                <w:numId w:val="228"/>
              </w:numPr>
              <w:tabs>
                <w:tab w:val="left" w:pos="284"/>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CB1885">
              <w:rPr>
                <w:rFonts w:ascii="Times New Roman" w:eastAsia="MS Mincho" w:hAnsi="Times New Roman" w:cs="Times New Roman"/>
                <w:sz w:val="20"/>
              </w:rPr>
              <w:t>informowania o skutkach utraty sprawności psychofizycznej i wdrażaniu wczesnej interwencji z zakresu bezpieczeństwa ruchu drogowego,</w:t>
            </w:r>
          </w:p>
          <w:p w14:paraId="69DA49E7" w14:textId="77777777" w:rsidR="00311D18" w:rsidRPr="00CB1885" w:rsidRDefault="008E233B" w:rsidP="008C71A9">
            <w:pPr>
              <w:pStyle w:val="Akapitzlist"/>
              <w:numPr>
                <w:ilvl w:val="0"/>
                <w:numId w:val="228"/>
              </w:numPr>
              <w:tabs>
                <w:tab w:val="left" w:pos="284"/>
              </w:tabs>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CB1885">
              <w:rPr>
                <w:rFonts w:ascii="Times New Roman" w:eastAsia="MS Mincho" w:hAnsi="Times New Roman" w:cs="Times New Roman"/>
                <w:sz w:val="20"/>
              </w:rPr>
              <w:t>przeprowadzanych testów funkcjonalnych związanych z ponownym uczestnictwem w ruchu drogowym po długotrwałej p</w:t>
            </w:r>
            <w:r w:rsidR="00B04367" w:rsidRPr="00CB1885">
              <w:rPr>
                <w:rFonts w:ascii="Times New Roman" w:eastAsia="MS Mincho" w:hAnsi="Times New Roman" w:cs="Times New Roman"/>
                <w:sz w:val="20"/>
              </w:rPr>
              <w:t>rzerwie w prowadzeniu pojazdów.</w:t>
            </w:r>
          </w:p>
        </w:tc>
      </w:tr>
      <w:tr w:rsidR="005F3D4B" w:rsidRPr="00D24DF9" w14:paraId="7B6FDFEA" w14:textId="77777777" w:rsidTr="004D48DD">
        <w:trPr>
          <w:trHeight w:val="1123"/>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43ADA0E3"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77020A4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hAnsi="Times New Roman"/>
                <w:sz w:val="20"/>
              </w:rPr>
              <w:t xml:space="preserve">Minimalizowanie istniejących </w:t>
            </w:r>
            <w:r w:rsidRPr="00D24DF9">
              <w:rPr>
                <w:rFonts w:ascii="Times New Roman" w:hAnsi="Times New Roman"/>
                <w:sz w:val="20"/>
                <w:shd w:val="clear" w:color="auto" w:fill="D9E2F3" w:themeFill="accent5" w:themeFillTint="33"/>
              </w:rPr>
              <w:t>barier</w:t>
            </w:r>
            <w:r w:rsidRPr="00D24DF9">
              <w:rPr>
                <w:rFonts w:ascii="Times New Roman" w:hAnsi="Times New Roman"/>
                <w:sz w:val="20"/>
              </w:rPr>
              <w:t xml:space="preserve"> architektonicznych uniemożliwiających aktywność osobom starszym poprzez:</w:t>
            </w:r>
          </w:p>
          <w:p w14:paraId="2451B351" w14:textId="77777777" w:rsidR="00311D18" w:rsidRPr="00D24DF9" w:rsidRDefault="00311D18" w:rsidP="00B14DF0">
            <w:pPr>
              <w:pStyle w:val="Kolorowalistaakcent11"/>
              <w:numPr>
                <w:ilvl w:val="0"/>
                <w:numId w:val="30"/>
              </w:numPr>
              <w:shd w:val="clear" w:color="auto" w:fill="D9E2F3" w:themeFill="accent5" w:themeFillTint="33"/>
              <w:spacing w:after="0"/>
              <w:ind w:left="360"/>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hAnsi="Times New Roman"/>
                <w:sz w:val="20"/>
              </w:rPr>
              <w:t xml:space="preserve">dostosowywanie przestrzeni publicznej i infrastruktury </w:t>
            </w:r>
            <w:r w:rsidRPr="00D24DF9">
              <w:rPr>
                <w:rFonts w:ascii="Times New Roman" w:hAnsi="Times New Roman"/>
                <w:sz w:val="20"/>
              </w:rPr>
              <w:br/>
              <w:t>do potrzeb osób z różnymi rodzajami niepełnosprawności;</w:t>
            </w:r>
          </w:p>
          <w:p w14:paraId="6D58FCC5" w14:textId="77777777" w:rsidR="00311D18" w:rsidRPr="00D24DF9" w:rsidRDefault="00311D18" w:rsidP="00B14DF0">
            <w:pPr>
              <w:pStyle w:val="Kolorowalistaakcent11"/>
              <w:numPr>
                <w:ilvl w:val="0"/>
                <w:numId w:val="30"/>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hAnsi="Times New Roman"/>
                <w:sz w:val="20"/>
              </w:rPr>
              <w:t xml:space="preserve">zwiększanie świadomości mieszkańców i inwestorów </w:t>
            </w:r>
            <w:r w:rsidRPr="00D24DF9">
              <w:rPr>
                <w:rFonts w:ascii="Times New Roman" w:hAnsi="Times New Roman"/>
                <w:sz w:val="20"/>
              </w:rPr>
              <w:lastRenderedPageBreak/>
              <w:t>działających w przestrzeni publicznej;</w:t>
            </w:r>
          </w:p>
          <w:p w14:paraId="09E60350" w14:textId="77777777" w:rsidR="00311D18" w:rsidRPr="00D24DF9" w:rsidRDefault="00311D18" w:rsidP="00B14DF0">
            <w:pPr>
              <w:pStyle w:val="Kolorowalistaakcent11"/>
              <w:numPr>
                <w:ilvl w:val="0"/>
                <w:numId w:val="30"/>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hAnsi="Times New Roman"/>
                <w:sz w:val="20"/>
              </w:rPr>
              <w:t>prowadzenie sukcesywnej oceny dostępności przestrzeni publicznych przez jednostki samorządu terytorialnego;</w:t>
            </w:r>
          </w:p>
          <w:p w14:paraId="5819BD59" w14:textId="77777777" w:rsidR="00311D18" w:rsidRPr="00D24DF9" w:rsidRDefault="00311D18" w:rsidP="00B14DF0">
            <w:pPr>
              <w:pStyle w:val="Kolorowalistaakcent11"/>
              <w:numPr>
                <w:ilvl w:val="0"/>
                <w:numId w:val="30"/>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hAnsi="Times New Roman"/>
                <w:sz w:val="20"/>
              </w:rPr>
              <w:t xml:space="preserve">włączanie osób starszych </w:t>
            </w:r>
            <w:r w:rsidRPr="00D24DF9">
              <w:rPr>
                <w:rFonts w:ascii="Times New Roman" w:hAnsi="Times New Roman"/>
                <w:sz w:val="20"/>
              </w:rPr>
              <w:br/>
              <w:t xml:space="preserve">oraz organizacji senioralnych </w:t>
            </w:r>
            <w:r w:rsidRPr="00D24DF9">
              <w:rPr>
                <w:rFonts w:ascii="Times New Roman" w:hAnsi="Times New Roman"/>
                <w:sz w:val="20"/>
              </w:rPr>
              <w:br/>
              <w:t>w procesy decyzyjne mające w celu diagnozowanie istniejących ograniczeń i ich rozwiązywanie;</w:t>
            </w:r>
          </w:p>
          <w:p w14:paraId="6E81DC64" w14:textId="77777777" w:rsidR="00311D18" w:rsidRPr="00D24DF9" w:rsidRDefault="00311D18" w:rsidP="00B14DF0">
            <w:pPr>
              <w:pStyle w:val="Kolorowalistaakcent11"/>
              <w:numPr>
                <w:ilvl w:val="0"/>
                <w:numId w:val="30"/>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hAnsi="Times New Roman"/>
                <w:sz w:val="20"/>
              </w:rPr>
              <w:t xml:space="preserve">likwidację barier architektonicznych </w:t>
            </w:r>
            <w:r w:rsidRPr="00D24DF9">
              <w:rPr>
                <w:rFonts w:ascii="Times New Roman" w:hAnsi="Times New Roman"/>
                <w:sz w:val="20"/>
              </w:rPr>
              <w:br/>
              <w:t>w instytucjach publicznych</w:t>
            </w:r>
          </w:p>
        </w:tc>
        <w:tc>
          <w:tcPr>
            <w:tcW w:w="2032" w:type="dxa"/>
            <w:vMerge w:val="restart"/>
          </w:tcPr>
          <w:p w14:paraId="06F0D91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lastRenderedPageBreak/>
              <w:t>Ministerstwo   Rozwoju, Ministerstwo Infrastruktury</w:t>
            </w:r>
          </w:p>
          <w:p w14:paraId="60C555C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1500" w:type="dxa"/>
            <w:vMerge w:val="restart"/>
          </w:tcPr>
          <w:p w14:paraId="0D79320D"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Działanie ciągłe*</w:t>
            </w:r>
          </w:p>
        </w:tc>
        <w:tc>
          <w:tcPr>
            <w:tcW w:w="5638" w:type="dxa"/>
          </w:tcPr>
          <w:p w14:paraId="7D81E66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działań podjętych przez jednostki samorządu terytorialnego</w:t>
            </w:r>
            <w:r w:rsidRPr="00D24DF9">
              <w:rPr>
                <w:rFonts w:ascii="Times New Roman" w:hAnsi="Times New Roman" w:cs="Times New Roman"/>
                <w:i/>
                <w:sz w:val="20"/>
              </w:rPr>
              <w:t xml:space="preserve"> w obszarze minimalizowania istniejących barier architektonicznych uniemożliwiających aktywność osobom starszym</w:t>
            </w:r>
          </w:p>
        </w:tc>
      </w:tr>
      <w:tr w:rsidR="005F3D4B" w:rsidRPr="00D24DF9" w14:paraId="17B3D656" w14:textId="77777777" w:rsidTr="004D48DD">
        <w:trPr>
          <w:cnfStyle w:val="000000100000" w:firstRow="0" w:lastRow="0" w:firstColumn="0" w:lastColumn="0" w:oddVBand="0" w:evenVBand="0" w:oddHBand="1" w:evenHBand="0" w:firstRowFirstColumn="0" w:firstRowLastColumn="0" w:lastRowFirstColumn="0" w:lastRowLastColumn="0"/>
          <w:trHeight w:val="1399"/>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DEE1BB5" w14:textId="77777777" w:rsidR="00311D18" w:rsidRPr="00D24DF9" w:rsidRDefault="00311D18" w:rsidP="003C1988">
            <w:pPr>
              <w:spacing w:after="0"/>
              <w:rPr>
                <w:rFonts w:ascii="Times New Roman" w:hAnsi="Times New Roman" w:cs="Times New Roman"/>
                <w:sz w:val="20"/>
              </w:rPr>
            </w:pPr>
          </w:p>
        </w:tc>
        <w:tc>
          <w:tcPr>
            <w:tcW w:w="3594" w:type="dxa"/>
            <w:vMerge/>
          </w:tcPr>
          <w:p w14:paraId="02A9A06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p>
        </w:tc>
        <w:tc>
          <w:tcPr>
            <w:tcW w:w="2032" w:type="dxa"/>
            <w:vMerge/>
          </w:tcPr>
          <w:p w14:paraId="407C8636"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04358ED4"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5638" w:type="dxa"/>
          </w:tcPr>
          <w:p w14:paraId="15B510E4" w14:textId="77777777" w:rsidR="003126E4" w:rsidRPr="00D24DF9" w:rsidRDefault="003126E4"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W 2019 r. oddano do użytkowania 4 dworce kolejowe: Chojnów, Pruszków, Zgorzelec Ujazd, Żagań. Należy podkreślić, że wszystkie dworce kolejowe modernizowane w ramach Programu Inwestycji Dworcowych na lata 2016-2023 poddawane są certyfikacji zgodności infrastruktury z wymaganiami TSI-PRM </w:t>
            </w:r>
            <w:r w:rsidRPr="00D24DF9">
              <w:rPr>
                <w:rFonts w:ascii="Times New Roman" w:eastAsia="MS Mincho" w:hAnsi="Times New Roman" w:cs="Times New Roman"/>
                <w:sz w:val="20"/>
              </w:rPr>
              <w:lastRenderedPageBreak/>
              <w:t>przez jednostki notyfikowane w celu uzyskania Certyfikatów WE dla dworców kolejowych.</w:t>
            </w:r>
          </w:p>
          <w:p w14:paraId="5E55C54E" w14:textId="77777777" w:rsidR="003126E4" w:rsidRPr="00D24DF9" w:rsidRDefault="003126E4"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Jednocześnie należy podkreślić, że każdy zmodernizowany dworz</w:t>
            </w:r>
            <w:r w:rsidR="009415D2">
              <w:rPr>
                <w:rFonts w:ascii="Times New Roman" w:eastAsia="MS Mincho" w:hAnsi="Times New Roman" w:cs="Times New Roman"/>
                <w:sz w:val="20"/>
              </w:rPr>
              <w:t xml:space="preserve">ec posiada ułatwienia dla osób </w:t>
            </w:r>
            <w:r w:rsidRPr="00D24DF9">
              <w:rPr>
                <w:rFonts w:ascii="Times New Roman" w:eastAsia="MS Mincho" w:hAnsi="Times New Roman" w:cs="Times New Roman"/>
                <w:sz w:val="20"/>
              </w:rPr>
              <w:t>z ograniczoną mobilnością do swobodnego przemieszczenia się z miejsca parkingowego do kas biletowych oraz na peron (zostały zlikwidowane bariery architektoniczne, wprowadzono czytelne oznaczenia, dostosowano toalety).</w:t>
            </w:r>
          </w:p>
          <w:p w14:paraId="1B7F304F" w14:textId="77777777" w:rsidR="009415D2" w:rsidRDefault="003126E4"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PKP SA w ramach TSI PRM udostępnia poniższe usługi / urządzeni</w:t>
            </w:r>
            <w:r w:rsidR="009415D2">
              <w:rPr>
                <w:rFonts w:ascii="Times New Roman" w:eastAsia="MS Mincho" w:hAnsi="Times New Roman" w:cs="Times New Roman"/>
                <w:sz w:val="20"/>
              </w:rPr>
              <w:t xml:space="preserve">a / miejsca skierowane do osób </w:t>
            </w:r>
            <w:r w:rsidRPr="00D24DF9">
              <w:rPr>
                <w:rFonts w:ascii="Times New Roman" w:eastAsia="MS Mincho" w:hAnsi="Times New Roman" w:cs="Times New Roman"/>
                <w:sz w:val="20"/>
              </w:rPr>
              <w:t>z różnymi rodzajami niepełnosprawności (uzależnione od wielk</w:t>
            </w:r>
            <w:r w:rsidR="009415D2">
              <w:rPr>
                <w:rFonts w:ascii="Times New Roman" w:eastAsia="MS Mincho" w:hAnsi="Times New Roman" w:cs="Times New Roman"/>
                <w:sz w:val="20"/>
              </w:rPr>
              <w:t>ości dworca):</w:t>
            </w:r>
          </w:p>
          <w:p w14:paraId="796CFA8C" w14:textId="77777777" w:rsidR="009415D2" w:rsidRDefault="003126E4" w:rsidP="008C71A9">
            <w:pPr>
              <w:pStyle w:val="Akapitzlist"/>
              <w:numPr>
                <w:ilvl w:val="0"/>
                <w:numId w:val="229"/>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9415D2">
              <w:rPr>
                <w:rFonts w:ascii="Times New Roman" w:eastAsia="MS Mincho" w:hAnsi="Times New Roman" w:cs="Times New Roman"/>
                <w:sz w:val="20"/>
              </w:rPr>
              <w:t>usługę asysty, gdzie istnieje możliwość skorzystania z pomocy asystenta,</w:t>
            </w:r>
          </w:p>
          <w:p w14:paraId="64D4C15F" w14:textId="77777777" w:rsidR="009415D2" w:rsidRDefault="003126E4" w:rsidP="008C71A9">
            <w:pPr>
              <w:pStyle w:val="Akapitzlist"/>
              <w:numPr>
                <w:ilvl w:val="0"/>
                <w:numId w:val="229"/>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9415D2">
              <w:rPr>
                <w:rFonts w:ascii="Times New Roman" w:eastAsia="MS Mincho" w:hAnsi="Times New Roman" w:cs="Times New Roman"/>
                <w:sz w:val="20"/>
              </w:rPr>
              <w:t>urządzenia wspomagające poruszanie się osób o ograniczonej mobilności,</w:t>
            </w:r>
          </w:p>
          <w:p w14:paraId="510B44BC" w14:textId="77777777" w:rsidR="009415D2" w:rsidRDefault="003126E4" w:rsidP="008C71A9">
            <w:pPr>
              <w:pStyle w:val="Akapitzlist"/>
              <w:numPr>
                <w:ilvl w:val="0"/>
                <w:numId w:val="229"/>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9415D2">
              <w:rPr>
                <w:rFonts w:ascii="Times New Roman" w:eastAsia="MS Mincho" w:hAnsi="Times New Roman" w:cs="Times New Roman"/>
                <w:sz w:val="20"/>
              </w:rPr>
              <w:t>ogólnodostępną toaletę dostosowaną do potrzeb osób o ograniczonej mobilności</w:t>
            </w:r>
            <w:r w:rsidR="009415D2">
              <w:rPr>
                <w:rFonts w:ascii="Times New Roman" w:eastAsia="MS Mincho" w:hAnsi="Times New Roman" w:cs="Times New Roman"/>
                <w:sz w:val="20"/>
              </w:rPr>
              <w:t>,</w:t>
            </w:r>
          </w:p>
          <w:p w14:paraId="3858B75D" w14:textId="77777777" w:rsidR="009415D2" w:rsidRDefault="003126E4" w:rsidP="008C71A9">
            <w:pPr>
              <w:pStyle w:val="Akapitzlist"/>
              <w:numPr>
                <w:ilvl w:val="0"/>
                <w:numId w:val="229"/>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9415D2">
              <w:rPr>
                <w:rFonts w:ascii="Times New Roman" w:eastAsia="MS Mincho" w:hAnsi="Times New Roman" w:cs="Times New Roman"/>
                <w:sz w:val="20"/>
              </w:rPr>
              <w:t>kasę z obniżonym okienkiem, dostosowaną dla osób poruszających się na wózkach inwalidzkich, kasę gdzie dostępne są bilety wszystkich przewoźników oraz wyposażoną we wzmacniacz głosu (interkom), kasę wyposażoną w pętlę indukcyjną dla osób słabosłyszących,</w:t>
            </w:r>
          </w:p>
          <w:p w14:paraId="3E7F472C" w14:textId="77777777" w:rsidR="009415D2" w:rsidRDefault="003126E4" w:rsidP="008C71A9">
            <w:pPr>
              <w:pStyle w:val="Akapitzlist"/>
              <w:numPr>
                <w:ilvl w:val="0"/>
                <w:numId w:val="229"/>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9415D2">
              <w:rPr>
                <w:rFonts w:ascii="Times New Roman" w:eastAsia="MS Mincho" w:hAnsi="Times New Roman" w:cs="Times New Roman"/>
                <w:sz w:val="20"/>
              </w:rPr>
              <w:t>wyznaczone miejsca postojowe w bezpośrednim otoczeniu dworca, dostosowane do potrzeb osób niepełnosprawnych,</w:t>
            </w:r>
          </w:p>
          <w:p w14:paraId="33DA3B67" w14:textId="77777777" w:rsidR="009415D2" w:rsidRDefault="003126E4" w:rsidP="008C71A9">
            <w:pPr>
              <w:pStyle w:val="Akapitzlist"/>
              <w:numPr>
                <w:ilvl w:val="0"/>
                <w:numId w:val="229"/>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9415D2">
              <w:rPr>
                <w:rFonts w:ascii="Times New Roman" w:eastAsia="MS Mincho" w:hAnsi="Times New Roman" w:cs="Times New Roman"/>
                <w:sz w:val="20"/>
              </w:rPr>
              <w:t>infodworzec, miejsce gdzie znajduje się punkt obsługi klienta z polem manewrowym 150x150 cm dla wózków inwalidzkich,</w:t>
            </w:r>
          </w:p>
          <w:p w14:paraId="56259EC8" w14:textId="77777777" w:rsidR="009415D2" w:rsidRDefault="003126E4" w:rsidP="008C71A9">
            <w:pPr>
              <w:pStyle w:val="Akapitzlist"/>
              <w:numPr>
                <w:ilvl w:val="0"/>
                <w:numId w:val="229"/>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9415D2">
              <w:rPr>
                <w:rFonts w:ascii="Times New Roman" w:eastAsia="MS Mincho" w:hAnsi="Times New Roman" w:cs="Times New Roman"/>
                <w:sz w:val="20"/>
              </w:rPr>
              <w:t>usługę tłumacza języka migowego on-line umożliwiającą kontakt pomiędzy słyszącym pracownikiem Biura InfoDworzec / pracownikiem Kasy, a Głuchym lub słabosłyszącym Klientem,</w:t>
            </w:r>
          </w:p>
          <w:p w14:paraId="7C49399E" w14:textId="77777777" w:rsidR="009415D2" w:rsidRDefault="003126E4" w:rsidP="008C71A9">
            <w:pPr>
              <w:pStyle w:val="Akapitzlist"/>
              <w:numPr>
                <w:ilvl w:val="0"/>
                <w:numId w:val="229"/>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9415D2">
              <w:rPr>
                <w:rFonts w:ascii="Times New Roman" w:eastAsia="MS Mincho" w:hAnsi="Times New Roman" w:cs="Times New Roman"/>
                <w:sz w:val="20"/>
              </w:rPr>
              <w:t>mapę dworca w alfabecie Braille’a (plan wypukły, informacje w alfabecie Braille’a),</w:t>
            </w:r>
          </w:p>
          <w:p w14:paraId="20344FDF" w14:textId="77777777" w:rsidR="00311D18" w:rsidRPr="009415D2" w:rsidRDefault="003126E4" w:rsidP="008C71A9">
            <w:pPr>
              <w:pStyle w:val="Akapitzlist"/>
              <w:numPr>
                <w:ilvl w:val="0"/>
                <w:numId w:val="229"/>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9415D2">
              <w:rPr>
                <w:rFonts w:ascii="Times New Roman" w:eastAsia="MS Mincho" w:hAnsi="Times New Roman" w:cs="Times New Roman"/>
                <w:sz w:val="20"/>
              </w:rPr>
              <w:lastRenderedPageBreak/>
              <w:t>oznakowania poziome dla osób niewidomych i niedowidzących.</w:t>
            </w:r>
          </w:p>
          <w:p w14:paraId="11E8E007" w14:textId="77777777" w:rsidR="00AA58EF" w:rsidRPr="00D24DF9" w:rsidRDefault="00AA58E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p w14:paraId="2DE720FF" w14:textId="77777777" w:rsidR="00AA58EF" w:rsidRPr="00D24DF9" w:rsidRDefault="00AA58E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Dodatkowo, </w:t>
            </w:r>
            <w:r w:rsidRPr="00D24DF9">
              <w:rPr>
                <w:rFonts w:ascii="Times New Roman" w:hAnsi="Times New Roman" w:cs="Times New Roman"/>
                <w:sz w:val="20"/>
              </w:rPr>
              <w:t xml:space="preserve"> </w:t>
            </w:r>
            <w:r w:rsidR="009415D2">
              <w:rPr>
                <w:rFonts w:ascii="Times New Roman" w:eastAsia="MS Mincho" w:hAnsi="Times New Roman" w:cs="Times New Roman"/>
                <w:sz w:val="20"/>
              </w:rPr>
              <w:t>W Ministerstwie Rozwoju</w:t>
            </w:r>
            <w:r w:rsidRPr="00D24DF9">
              <w:rPr>
                <w:rFonts w:ascii="Times New Roman" w:eastAsia="MS Mincho" w:hAnsi="Times New Roman" w:cs="Times New Roman"/>
                <w:sz w:val="20"/>
              </w:rPr>
              <w:t xml:space="preserve"> prowadzone są prace nad przygotowaniem nowelizacji </w:t>
            </w:r>
            <w:r w:rsidRPr="009415D2">
              <w:rPr>
                <w:rFonts w:ascii="Times New Roman" w:eastAsia="MS Mincho" w:hAnsi="Times New Roman" w:cs="Times New Roman"/>
                <w:i/>
                <w:sz w:val="20"/>
              </w:rPr>
              <w:t>rozporządzenia Ministra Infrastruktury z dnia 12 kwietnia 2002 r. w sprawie warunków technicznych, jakim powinny odpowiadać budynki i ich usytuowanie</w:t>
            </w:r>
            <w:r w:rsidRPr="00D24DF9">
              <w:rPr>
                <w:rFonts w:ascii="Times New Roman" w:eastAsia="MS Mincho" w:hAnsi="Times New Roman" w:cs="Times New Roman"/>
                <w:sz w:val="20"/>
              </w:rPr>
              <w:t xml:space="preserve"> (Dz. U. z 2019 r. poz. 1065). W ramach nowelizacji przewiduje się przedstawienie szeregu zmian służących zapewnieniu większej dostępności budynków m.in. osobom starszym. Nowelizowane rozporządzenie jest jednym z podstawowych aktów prawnych, który określa parametry techniczne, jakie należy zachować przy projektowaniu, budowie, przebudowie oraz zmianie sposobu użytkowania budynków oraz związanych z nimi urządzeń budowlanych.</w:t>
            </w:r>
          </w:p>
          <w:p w14:paraId="16E98FCF" w14:textId="77777777" w:rsidR="00AA58EF" w:rsidRPr="00D24DF9" w:rsidRDefault="00AA58E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Nowelizacja jest wynikiem wprowadzonych w </w:t>
            </w:r>
            <w:r w:rsidRPr="009415D2">
              <w:rPr>
                <w:rFonts w:ascii="Times New Roman" w:eastAsia="MS Mincho" w:hAnsi="Times New Roman" w:cs="Times New Roman"/>
                <w:i/>
                <w:sz w:val="20"/>
              </w:rPr>
              <w:t>ustawie z dnia 7 lipca 1994 r. - Prawo budowlane</w:t>
            </w:r>
            <w:r w:rsidRPr="00D24DF9">
              <w:rPr>
                <w:rFonts w:ascii="Times New Roman" w:eastAsia="MS Mincho" w:hAnsi="Times New Roman" w:cs="Times New Roman"/>
                <w:sz w:val="20"/>
              </w:rPr>
              <w:t xml:space="preserve"> (Dz. U. z 2019 r. poz. 1186, z późn. zm.), na mocy </w:t>
            </w:r>
            <w:r w:rsidRPr="009415D2">
              <w:rPr>
                <w:rFonts w:ascii="Times New Roman" w:eastAsia="MS Mincho" w:hAnsi="Times New Roman" w:cs="Times New Roman"/>
                <w:i/>
                <w:sz w:val="20"/>
              </w:rPr>
              <w:t>ustawy z dnia 5 lipca 2018 r. o ułatwieniach w przygotowaniu i realizacji inwestycji mieszkaniowych oraz inwestycji towarzyszących</w:t>
            </w:r>
            <w:r w:rsidRPr="00D24DF9">
              <w:rPr>
                <w:rFonts w:ascii="Times New Roman" w:eastAsia="MS Mincho" w:hAnsi="Times New Roman" w:cs="Times New Roman"/>
                <w:sz w:val="20"/>
              </w:rPr>
              <w:t xml:space="preserve"> (Dz. </w:t>
            </w:r>
            <w:r w:rsidR="009415D2">
              <w:rPr>
                <w:rFonts w:ascii="Times New Roman" w:eastAsia="MS Mincho" w:hAnsi="Times New Roman" w:cs="Times New Roman"/>
                <w:sz w:val="20"/>
              </w:rPr>
              <w:t xml:space="preserve">U. z 2018 r. poz. 1496, z późn. </w:t>
            </w:r>
            <w:r w:rsidRPr="00D24DF9">
              <w:rPr>
                <w:rFonts w:ascii="Times New Roman" w:eastAsia="MS Mincho" w:hAnsi="Times New Roman" w:cs="Times New Roman"/>
                <w:sz w:val="20"/>
              </w:rPr>
              <w:t>zm.).</w:t>
            </w:r>
          </w:p>
          <w:p w14:paraId="193EC262" w14:textId="77777777" w:rsidR="00AA58EF" w:rsidRPr="00D24DF9" w:rsidRDefault="00AA58E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Projekt nowelizacji rozporządzenia został poddany uzgodnieniom wewnątrzresortowym. Obecnie trwają prace nad opracowaniem nowej wersji projektu przed przekazaniem go do konsultacji publicznych oraz uzgodnień międzyresortowych.</w:t>
            </w:r>
          </w:p>
        </w:tc>
      </w:tr>
      <w:tr w:rsidR="005F3D4B" w:rsidRPr="00D24DF9" w14:paraId="261C514D" w14:textId="77777777" w:rsidTr="004D48DD">
        <w:trPr>
          <w:trHeight w:val="754"/>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9326593"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D6FAB6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hAnsi="Times New Roman"/>
                <w:sz w:val="20"/>
              </w:rPr>
              <w:t xml:space="preserve">Poszerzenie zestawu działań </w:t>
            </w:r>
            <w:r w:rsidRPr="00D24DF9">
              <w:rPr>
                <w:rFonts w:ascii="Times New Roman" w:hAnsi="Times New Roman"/>
                <w:sz w:val="20"/>
              </w:rPr>
              <w:br/>
              <w:t xml:space="preserve">i instrumentów wsparcia w ramach polityki mieszkaniowej o nowe rozwiązania uwzględniające </w:t>
            </w:r>
            <w:r w:rsidRPr="00D24DF9">
              <w:rPr>
                <w:rFonts w:ascii="Times New Roman" w:hAnsi="Times New Roman"/>
                <w:sz w:val="20"/>
              </w:rPr>
              <w:br/>
              <w:t xml:space="preserve">w większym, niż obecnie zakresie specyfikę potrzeb i problemów mieszkaniowych osób starszych, </w:t>
            </w:r>
            <w:r w:rsidRPr="00D24DF9">
              <w:rPr>
                <w:rFonts w:ascii="Times New Roman" w:hAnsi="Times New Roman"/>
                <w:sz w:val="20"/>
              </w:rPr>
              <w:br/>
            </w:r>
            <w:r w:rsidRPr="00D24DF9">
              <w:rPr>
                <w:rFonts w:ascii="Times New Roman" w:hAnsi="Times New Roman"/>
                <w:sz w:val="20"/>
              </w:rPr>
              <w:lastRenderedPageBreak/>
              <w:t>zgodnie z Narodowym Programem Mieszkaniowym</w:t>
            </w:r>
          </w:p>
        </w:tc>
        <w:tc>
          <w:tcPr>
            <w:tcW w:w="2032" w:type="dxa"/>
            <w:vMerge w:val="restart"/>
          </w:tcPr>
          <w:p w14:paraId="500FFABE"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lastRenderedPageBreak/>
              <w:t>Ministerstwo   Rozwoju</w:t>
            </w:r>
          </w:p>
        </w:tc>
        <w:tc>
          <w:tcPr>
            <w:tcW w:w="1500" w:type="dxa"/>
            <w:vMerge w:val="restart"/>
          </w:tcPr>
          <w:p w14:paraId="101320D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eastAsia="MS Mincho" w:hAnsi="Times New Roman" w:cs="Times New Roman"/>
                <w:sz w:val="20"/>
              </w:rPr>
              <w:t>2018-2019</w:t>
            </w:r>
          </w:p>
        </w:tc>
        <w:tc>
          <w:tcPr>
            <w:tcW w:w="5638" w:type="dxa"/>
          </w:tcPr>
          <w:p w14:paraId="48DECAF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Sformułowanie propozycji nowych działań i instrumentów dotyczących mieszkalnictwa w powiązaniu z polityką państwa wobec osób starszych</w:t>
            </w:r>
          </w:p>
        </w:tc>
      </w:tr>
      <w:tr w:rsidR="005F3D4B" w:rsidRPr="00D24DF9" w14:paraId="216BF255" w14:textId="77777777" w:rsidTr="004D48DD">
        <w:trPr>
          <w:cnfStyle w:val="000000100000" w:firstRow="0" w:lastRow="0" w:firstColumn="0" w:lastColumn="0" w:oddVBand="0" w:evenVBand="0" w:oddHBand="1" w:evenHBand="0" w:firstRowFirstColumn="0" w:firstRowLastColumn="0" w:lastRowFirstColumn="0" w:lastRowLastColumn="0"/>
          <w:trHeight w:val="1447"/>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767B0F8" w14:textId="77777777" w:rsidR="00311D18" w:rsidRPr="00D24DF9" w:rsidRDefault="00311D18" w:rsidP="003C1988">
            <w:pPr>
              <w:spacing w:after="0"/>
              <w:rPr>
                <w:rFonts w:ascii="Times New Roman" w:hAnsi="Times New Roman" w:cs="Times New Roman"/>
                <w:sz w:val="20"/>
              </w:rPr>
            </w:pPr>
          </w:p>
        </w:tc>
        <w:tc>
          <w:tcPr>
            <w:tcW w:w="3594" w:type="dxa"/>
            <w:vMerge/>
          </w:tcPr>
          <w:p w14:paraId="4FFCE43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p>
        </w:tc>
        <w:tc>
          <w:tcPr>
            <w:tcW w:w="2032" w:type="dxa"/>
            <w:vMerge/>
          </w:tcPr>
          <w:p w14:paraId="33CB44A8"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1815A97D"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1213ECB1" w14:textId="77777777" w:rsidR="00311D18" w:rsidRPr="00D24DF9" w:rsidRDefault="00AA58EF" w:rsidP="003C1988">
            <w:pPr>
              <w:pStyle w:val="Teksttreci0"/>
              <w:shd w:val="clear" w:color="auto" w:fill="auto"/>
              <w:spacing w:after="0" w:line="276" w:lineRule="auto"/>
              <w:ind w:firstLine="0"/>
              <w:jc w:val="left"/>
              <w:cnfStyle w:val="000000100000" w:firstRow="0" w:lastRow="0" w:firstColumn="0" w:lastColumn="0" w:oddVBand="0" w:evenVBand="0" w:oddHBand="1" w:evenHBand="0" w:firstRowFirstColumn="0" w:firstRowLastColumn="0" w:lastRowFirstColumn="0" w:lastRowLastColumn="0"/>
              <w:rPr>
                <w:sz w:val="20"/>
                <w:szCs w:val="22"/>
              </w:rPr>
            </w:pPr>
            <w:r w:rsidRPr="00D24DF9">
              <w:rPr>
                <w:sz w:val="20"/>
                <w:szCs w:val="22"/>
              </w:rPr>
              <w:t>M</w:t>
            </w:r>
            <w:r w:rsidR="00A67B43">
              <w:rPr>
                <w:sz w:val="20"/>
                <w:szCs w:val="22"/>
              </w:rPr>
              <w:t>inisterstwo Rozwoju</w:t>
            </w:r>
            <w:r w:rsidRPr="00D24DF9">
              <w:rPr>
                <w:sz w:val="20"/>
                <w:szCs w:val="22"/>
              </w:rPr>
              <w:t xml:space="preserve"> podjęło działania, polegające na tworzeniu powierzchni użytkowych w budynkach mieszkalnych dedykowane potrzebom seniorów. W ramach rozwiązań, które funkcjonują od 2017 r. w ramach rządowego programu popierania budownictwa mieszkaniowego realizowanego na gruncie przepisów </w:t>
            </w:r>
            <w:r w:rsidRPr="00A67B43">
              <w:rPr>
                <w:i/>
                <w:sz w:val="20"/>
                <w:szCs w:val="22"/>
              </w:rPr>
              <w:t xml:space="preserve">ustawy z </w:t>
            </w:r>
            <w:r w:rsidRPr="00A67B43">
              <w:rPr>
                <w:i/>
                <w:sz w:val="20"/>
                <w:szCs w:val="22"/>
              </w:rPr>
              <w:lastRenderedPageBreak/>
              <w:t>dnia 26 października 1995 r. o niektórych formach popierania budownictwa mieszkaniowego</w:t>
            </w:r>
            <w:r w:rsidRPr="00D24DF9">
              <w:rPr>
                <w:sz w:val="20"/>
                <w:szCs w:val="22"/>
              </w:rPr>
              <w:t xml:space="preserve"> (Dz. U. z 2019 r. poz. 2195) istnieje możliwość uzyskania finansowania zwrotnego na budowę mieszkań na wynajem wraz z dodatkowymi powierzchniami użytkowym (np. pomieszczenia ambulatoryjne/ rekreacyjnie), służącymi zaspokajaniu potrzeb osób starszych. Ponadto w akcie wykonawczym do ww. ustawy dodano nowe kryterium punktowe: „Adresowanie nowych mieszkań do osób starszych” - tym samym premiowane są przedsięwzięcia dedykowane osobom starszym. W ramach wniosków zakwalifikowanych w 2019 r. zakłada się budowę 82 lokali mieszkalnych dla seniorów wraz z pomieszczeniami dodatkowymi (20 mieszkań w VI - „wiosennej edycji” i 62 mieszkania w VII - Jesiennej edycji”). Realizację rządowego programu popierania budownictwa mieszkaniowego przewiduje się do 2025 r.</w:t>
            </w:r>
          </w:p>
        </w:tc>
      </w:tr>
      <w:tr w:rsidR="005F3D4B" w:rsidRPr="00D24DF9" w14:paraId="34CDF3E1" w14:textId="77777777" w:rsidTr="004D48DD">
        <w:trPr>
          <w:trHeight w:val="985"/>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453C6AEA"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9DE6A26" w14:textId="77777777" w:rsidR="00311D18" w:rsidRPr="00D24DF9" w:rsidRDefault="00311D18" w:rsidP="003C1988">
            <w:pPr>
              <w:pStyle w:val="Kolorowalistaakcent11"/>
              <w:spacing w:after="0"/>
              <w:ind w:left="-57"/>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Poprawa komunikacji z osobami starszymi w instytucjach publicznych, poprzez:</w:t>
            </w:r>
          </w:p>
          <w:p w14:paraId="249B1729" w14:textId="77777777" w:rsidR="00311D18" w:rsidRPr="00D24DF9" w:rsidRDefault="00311D18" w:rsidP="00B14DF0">
            <w:pPr>
              <w:pStyle w:val="Kolorowalistaakcent11"/>
              <w:numPr>
                <w:ilvl w:val="0"/>
                <w:numId w:val="31"/>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stosowanie tzw. prostego modelu komunikacji, w którym jasno określone jest, kto jest nadawcą, </w:t>
            </w:r>
            <w:r w:rsidRPr="00D24DF9">
              <w:rPr>
                <w:rFonts w:ascii="Times New Roman" w:eastAsia="MS Mincho" w:hAnsi="Times New Roman"/>
                <w:sz w:val="20"/>
              </w:rPr>
              <w:br/>
              <w:t xml:space="preserve">a kto odbiorcą, natomiast wiadomość przekazywana </w:t>
            </w:r>
            <w:r w:rsidRPr="00D24DF9">
              <w:rPr>
                <w:rFonts w:ascii="Times New Roman" w:eastAsia="MS Mincho" w:hAnsi="Times New Roman"/>
                <w:sz w:val="20"/>
              </w:rPr>
              <w:br/>
              <w:t>jest w sposób prosty, bezpośredni, jasny i zrozumiały;</w:t>
            </w:r>
          </w:p>
          <w:p w14:paraId="6CD45430" w14:textId="77777777" w:rsidR="00311D18" w:rsidRPr="00D24DF9" w:rsidRDefault="00311D18" w:rsidP="00B14DF0">
            <w:pPr>
              <w:pStyle w:val="Kolorowalistaakcent11"/>
              <w:numPr>
                <w:ilvl w:val="0"/>
                <w:numId w:val="31"/>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opracowanie dokumentu wyznaczającego zasady profesjonalnej komunikacji</w:t>
            </w:r>
            <w:r w:rsidRPr="00D24DF9">
              <w:rPr>
                <w:rFonts w:ascii="Times New Roman" w:eastAsia="MS Mincho" w:hAnsi="Times New Roman"/>
                <w:sz w:val="20"/>
              </w:rPr>
              <w:br/>
              <w:t>z osobą starszą</w:t>
            </w:r>
          </w:p>
        </w:tc>
        <w:tc>
          <w:tcPr>
            <w:tcW w:w="2032" w:type="dxa"/>
            <w:vMerge w:val="restart"/>
          </w:tcPr>
          <w:p w14:paraId="28AE9C8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Ministerstwo Kultury </w:t>
            </w:r>
            <w:r w:rsidRPr="00D24DF9">
              <w:rPr>
                <w:rFonts w:ascii="Times New Roman" w:eastAsia="MS Mincho" w:hAnsi="Times New Roman" w:cs="Times New Roman"/>
                <w:sz w:val="20"/>
              </w:rPr>
              <w:br/>
              <w:t>i Dziedzictwa Narodowego</w:t>
            </w:r>
          </w:p>
        </w:tc>
        <w:tc>
          <w:tcPr>
            <w:tcW w:w="1500" w:type="dxa"/>
            <w:vMerge w:val="restart"/>
          </w:tcPr>
          <w:p w14:paraId="4DB83193"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2E52AD4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Publikacja  dokumentu wyznaczającego zasady profesjonalnej komunikacji z osobą starszą</w:t>
            </w:r>
          </w:p>
        </w:tc>
      </w:tr>
      <w:tr w:rsidR="005F3D4B" w:rsidRPr="00D24DF9" w14:paraId="4DDF0DCD" w14:textId="77777777" w:rsidTr="004D48DD">
        <w:trPr>
          <w:cnfStyle w:val="000000100000" w:firstRow="0" w:lastRow="0" w:firstColumn="0" w:lastColumn="0" w:oddVBand="0" w:evenVBand="0" w:oddHBand="1" w:evenHBand="0" w:firstRowFirstColumn="0" w:firstRowLastColumn="0" w:lastRowFirstColumn="0" w:lastRowLastColumn="0"/>
          <w:trHeight w:val="1128"/>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C11C0F9" w14:textId="77777777" w:rsidR="00311D18" w:rsidRPr="00D24DF9" w:rsidRDefault="00311D18" w:rsidP="003C1988">
            <w:pPr>
              <w:spacing w:after="0"/>
              <w:rPr>
                <w:rFonts w:ascii="Times New Roman" w:hAnsi="Times New Roman" w:cs="Times New Roman"/>
                <w:sz w:val="20"/>
              </w:rPr>
            </w:pPr>
          </w:p>
        </w:tc>
        <w:tc>
          <w:tcPr>
            <w:tcW w:w="3594" w:type="dxa"/>
            <w:vMerge/>
          </w:tcPr>
          <w:p w14:paraId="3025002D" w14:textId="77777777" w:rsidR="00311D18" w:rsidRPr="00D24DF9" w:rsidRDefault="00311D18" w:rsidP="003C1988">
            <w:pPr>
              <w:pStyle w:val="Kolorowalistaakcent11"/>
              <w:spacing w:after="0"/>
              <w:ind w:left="-57"/>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16849185"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76CF669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DA0AA4C" w14:textId="77777777" w:rsidR="00DE07A0" w:rsidRPr="00015713" w:rsidRDefault="00DE07A0" w:rsidP="00DE07A0">
            <w:pPr>
              <w:spacing w:after="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rPr>
            </w:pPr>
            <w:r w:rsidRPr="00015713">
              <w:rPr>
                <w:rFonts w:ascii="Times New Roman" w:hAnsi="Times New Roman" w:cs="Times New Roman"/>
                <w:bCs/>
                <w:sz w:val="20"/>
              </w:rPr>
              <w:t>Dokumenty zawierające standardy, wytyczne i rekomendacje dla poszczególnych typów instytucji kultury w zakresie obsługi osób starszych i wspierania uczestnictwa seniorów w kulturze:</w:t>
            </w:r>
          </w:p>
          <w:p w14:paraId="67B1D27D" w14:textId="77777777" w:rsidR="00015713" w:rsidRDefault="00DE07A0" w:rsidP="008C71A9">
            <w:pPr>
              <w:pStyle w:val="Akapitzlist"/>
              <w:numPr>
                <w:ilvl w:val="0"/>
                <w:numId w:val="387"/>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015713">
              <w:rPr>
                <w:rFonts w:ascii="Times New Roman" w:eastAsia="MS Mincho" w:hAnsi="Times New Roman" w:cs="Times New Roman"/>
                <w:bCs/>
                <w:sz w:val="20"/>
              </w:rPr>
              <w:t>Badanie i raport Narodowego Instytutu Muzealnictwa i Ochrony Zbiorów pn. „Publiczność muzeów w Polsce. Seniorzy w muzeum. Raport 2019”. Raport zawiera rekomendacje dla muzeów dotyczące form zwiększenia dostępności muzeów dla osób starszych, oczekiwań seniorów wobec muzeów, form współpracy (m.in. wolontariat osób starszych, przedstawiciele ginących zawodów).</w:t>
            </w:r>
          </w:p>
          <w:p w14:paraId="2BE4FE0C" w14:textId="77777777" w:rsidR="00015713" w:rsidRDefault="00DE07A0" w:rsidP="008C71A9">
            <w:pPr>
              <w:pStyle w:val="Akapitzlist"/>
              <w:numPr>
                <w:ilvl w:val="0"/>
                <w:numId w:val="387"/>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015713">
              <w:rPr>
                <w:rFonts w:ascii="Times New Roman" w:eastAsia="MS Mincho" w:hAnsi="Times New Roman" w:cs="Times New Roman"/>
                <w:bCs/>
                <w:sz w:val="20"/>
              </w:rPr>
              <w:t xml:space="preserve">Materiały szkoleniowe „Muzeum dla seniora” Narodowego Instytutu Muzealnictwa i Ochrony Zbiorów. Opracowane zostały materiały (równolegle z ofertą szkoleniową) dla pracowników muzeów, dotyczące współpracy z osobami starszymi - oczekiwań osób starszych i ich potrzeb, kontaktu z </w:t>
            </w:r>
            <w:r w:rsidRPr="00015713">
              <w:rPr>
                <w:rFonts w:ascii="Times New Roman" w:eastAsia="MS Mincho" w:hAnsi="Times New Roman" w:cs="Times New Roman"/>
                <w:bCs/>
                <w:sz w:val="20"/>
              </w:rPr>
              <w:lastRenderedPageBreak/>
              <w:t>publicznością, form projektów edukacyjnych, wolontariatu, przedstawicieli ginących zawodów. W 2019 r. powstały teksty do publikacji, zaś druk publikacji planowany jest w 2020 r.</w:t>
            </w:r>
          </w:p>
          <w:p w14:paraId="0AF2D6C6" w14:textId="77777777" w:rsidR="00DE07A0" w:rsidRPr="00015713" w:rsidRDefault="00DE07A0" w:rsidP="008C71A9">
            <w:pPr>
              <w:pStyle w:val="Akapitzlist"/>
              <w:numPr>
                <w:ilvl w:val="0"/>
                <w:numId w:val="387"/>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015713">
              <w:rPr>
                <w:rFonts w:ascii="Times New Roman" w:eastAsia="MS Mincho" w:hAnsi="Times New Roman" w:cs="Times New Roman"/>
                <w:bCs/>
                <w:sz w:val="20"/>
                <w:szCs w:val="20"/>
              </w:rPr>
              <w:t>Dofinansowania udzielane przez MKiDN w ramach Narodowego Programu Rozwoju Czytelnictwa (Priorytet 2 „Infrastruktura Bibliotek 2016-2020”) nakładają na dofinansowane biblioteki obowiązek zapewnienia dostępności dla osób ze specjalnymi potrzebami, w tym seniorów. W standardach Certyfikatu „Biblioteka+” koniecznych do spełnienia na dzień zakończenia zadania (i utrzymania przez 5 kolejnych lat kalendarzowych) znalazły się m.in. następujące elementy:</w:t>
            </w:r>
          </w:p>
          <w:p w14:paraId="21261730" w14:textId="77777777" w:rsidR="00015713" w:rsidRDefault="00DE07A0" w:rsidP="008C71A9">
            <w:pPr>
              <w:pStyle w:val="Akapitzlist"/>
              <w:numPr>
                <w:ilvl w:val="0"/>
                <w:numId w:val="388"/>
              </w:numPr>
              <w:spacing w:after="0"/>
              <w:ind w:left="643"/>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standard nr 6, który mówi o dostępie do biblioteki, a jeden z jego wskaźników informuje: „biblioteka przystosowana do obsługi osób niepełnosprawnych z różnymi dysfunkcjami, z wyjątkiem przypadków, gdy nie będzie to możliwe z przyczyn techniczno-budowlanych”,</w:t>
            </w:r>
          </w:p>
          <w:p w14:paraId="4D545B30" w14:textId="77777777" w:rsidR="00015713" w:rsidRDefault="00DE07A0" w:rsidP="008C71A9">
            <w:pPr>
              <w:pStyle w:val="Akapitzlist"/>
              <w:numPr>
                <w:ilvl w:val="0"/>
                <w:numId w:val="388"/>
              </w:numPr>
              <w:spacing w:after="0"/>
              <w:ind w:left="643"/>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standard nr 7, który wśród wymogów stawia m.in. wyposażenie biblioteki w ergonomiczne meble dostosowane do m.in. potrzeb osób starszych,</w:t>
            </w:r>
          </w:p>
          <w:p w14:paraId="383B169B" w14:textId="77777777" w:rsidR="00311D18" w:rsidRPr="00015713" w:rsidRDefault="00DE07A0" w:rsidP="008C71A9">
            <w:pPr>
              <w:pStyle w:val="Akapitzlist"/>
              <w:numPr>
                <w:ilvl w:val="0"/>
                <w:numId w:val="388"/>
              </w:numPr>
              <w:spacing w:after="0"/>
              <w:ind w:left="643"/>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standard nr 31, który wymaga zapewnienia dostarczania materiałów bibliotecznych do domu (dla czytelników chorych i niepełnosprawnych) i pomoc w korzystaniu z usług e-administracji – praktyka pokazuje, że z tych udogodnień korzystają głównie seniorzy.</w:t>
            </w:r>
          </w:p>
        </w:tc>
      </w:tr>
      <w:tr w:rsidR="005F3D4B" w:rsidRPr="00D24DF9" w14:paraId="2EC0D829" w14:textId="77777777" w:rsidTr="004D48DD">
        <w:trPr>
          <w:trHeight w:val="426"/>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12154FB"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76C5DD0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Osiągnięcie dostępności publicznych </w:t>
            </w:r>
            <w:r w:rsidRPr="00D24DF9">
              <w:rPr>
                <w:rFonts w:ascii="Times New Roman" w:eastAsia="MS Mincho" w:hAnsi="Times New Roman"/>
                <w:sz w:val="20"/>
              </w:rPr>
              <w:br/>
              <w:t xml:space="preserve">stron internetowych administracji publicznej i usług elektronicznych </w:t>
            </w:r>
            <w:r w:rsidRPr="00D24DF9">
              <w:rPr>
                <w:rFonts w:ascii="Times New Roman" w:eastAsia="MS Mincho" w:hAnsi="Times New Roman"/>
                <w:sz w:val="20"/>
              </w:rPr>
              <w:br/>
              <w:t>oraz propagowanie projektowania zorientowanego na użytkownika</w:t>
            </w:r>
          </w:p>
        </w:tc>
        <w:tc>
          <w:tcPr>
            <w:tcW w:w="2032" w:type="dxa"/>
            <w:vMerge w:val="restart"/>
          </w:tcPr>
          <w:p w14:paraId="1FBE1A9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Ministerstwo Cyfryzacji</w:t>
            </w:r>
          </w:p>
        </w:tc>
        <w:tc>
          <w:tcPr>
            <w:tcW w:w="1500" w:type="dxa"/>
            <w:vMerge w:val="restart"/>
          </w:tcPr>
          <w:p w14:paraId="5B0EA9D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2018-2022</w:t>
            </w:r>
          </w:p>
        </w:tc>
        <w:tc>
          <w:tcPr>
            <w:tcW w:w="5638" w:type="dxa"/>
          </w:tcPr>
          <w:p w14:paraId="5C972DB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Odsetek urzędów, których strona internetowa spełnia rekomendacje WCAG 2.0. na poziomie AA</w:t>
            </w:r>
          </w:p>
        </w:tc>
      </w:tr>
      <w:tr w:rsidR="005F3D4B" w:rsidRPr="00D24DF9" w14:paraId="571A29D2" w14:textId="77777777" w:rsidTr="004D48DD">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37317636" w14:textId="77777777" w:rsidR="00311D18" w:rsidRPr="00D24DF9" w:rsidRDefault="00311D18" w:rsidP="003C1988">
            <w:pPr>
              <w:spacing w:after="0"/>
              <w:rPr>
                <w:rFonts w:ascii="Times New Roman" w:hAnsi="Times New Roman" w:cs="Times New Roman"/>
                <w:sz w:val="20"/>
              </w:rPr>
            </w:pPr>
          </w:p>
        </w:tc>
        <w:tc>
          <w:tcPr>
            <w:tcW w:w="3594" w:type="dxa"/>
            <w:vMerge/>
          </w:tcPr>
          <w:p w14:paraId="7F90BCD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EAAAD3F"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24C53C0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3D9BBE6A" w14:textId="77777777" w:rsidR="00ED18B8" w:rsidRPr="00D24DF9" w:rsidRDefault="00ED18B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W 2019 r. odsetek stron internetowych podmiotów publicznych, które są zgodne z rekomendacjami WCAG osiągnął poziom przekraczający 60%. Są to dane wynikające z badań przeprowadzonych przez Fundację Widzialni. </w:t>
            </w:r>
          </w:p>
          <w:p w14:paraId="1AE4D05C" w14:textId="77777777" w:rsidR="00311D18" w:rsidRPr="00D24DF9" w:rsidRDefault="00A67B4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Pr>
                <w:rFonts w:ascii="Times New Roman" w:eastAsia="MS Mincho" w:hAnsi="Times New Roman" w:cs="Times New Roman"/>
                <w:sz w:val="20"/>
              </w:rPr>
              <w:t>W 2019 r. Ministerstwo Cyfryzacji</w:t>
            </w:r>
            <w:r w:rsidR="00ED18B8" w:rsidRPr="00D24DF9">
              <w:rPr>
                <w:rFonts w:ascii="Times New Roman" w:eastAsia="MS Mincho" w:hAnsi="Times New Roman" w:cs="Times New Roman"/>
                <w:sz w:val="20"/>
              </w:rPr>
              <w:t xml:space="preserve"> doprowadziło do przedłożenia Parlamentowi, uchwalenia i podpisania przez Prezydenta RP </w:t>
            </w:r>
            <w:r w:rsidR="00ED18B8" w:rsidRPr="00A67B43">
              <w:rPr>
                <w:rFonts w:ascii="Times New Roman" w:eastAsia="MS Mincho" w:hAnsi="Times New Roman" w:cs="Times New Roman"/>
                <w:i/>
                <w:sz w:val="20"/>
              </w:rPr>
              <w:lastRenderedPageBreak/>
              <w:t>projektu ustawy</w:t>
            </w:r>
            <w:r w:rsidR="00ED18B8" w:rsidRPr="00D24DF9">
              <w:rPr>
                <w:rFonts w:ascii="Times New Roman" w:eastAsia="MS Mincho" w:hAnsi="Times New Roman" w:cs="Times New Roman"/>
                <w:sz w:val="20"/>
              </w:rPr>
              <w:t xml:space="preserve"> </w:t>
            </w:r>
            <w:r w:rsidR="00ED18B8" w:rsidRPr="00D24DF9">
              <w:rPr>
                <w:rFonts w:ascii="Times New Roman" w:eastAsia="MS Mincho" w:hAnsi="Times New Roman" w:cs="Times New Roman"/>
                <w:i/>
                <w:sz w:val="20"/>
              </w:rPr>
              <w:t xml:space="preserve">o dostępności cyfrowej stron internetowych i aplikacji mobilnych podmiotów publicznych, </w:t>
            </w:r>
            <w:r w:rsidR="00ED18B8" w:rsidRPr="00D24DF9">
              <w:rPr>
                <w:rFonts w:ascii="Times New Roman" w:eastAsia="MS Mincho" w:hAnsi="Times New Roman" w:cs="Times New Roman"/>
                <w:sz w:val="20"/>
              </w:rPr>
              <w:t>co pozwoliło na utworzenie jednoznacznych ram prawnych w kwestii dostępności cyfrowej informacji prezentowanych w formie elektronicznej. Pełne efekty działania tej ustawy będą możliwe do oc</w:t>
            </w:r>
            <w:r>
              <w:rPr>
                <w:rFonts w:ascii="Times New Roman" w:eastAsia="MS Mincho" w:hAnsi="Times New Roman" w:cs="Times New Roman"/>
                <w:sz w:val="20"/>
              </w:rPr>
              <w:t>eny dopiero pod koniec 2021 r.</w:t>
            </w:r>
            <w:r w:rsidR="00ED18B8" w:rsidRPr="00D24DF9">
              <w:rPr>
                <w:rFonts w:ascii="Times New Roman" w:eastAsia="MS Mincho" w:hAnsi="Times New Roman" w:cs="Times New Roman"/>
                <w:sz w:val="20"/>
              </w:rPr>
              <w:t>, gdy wszystkie jej przepisy wejdą w</w:t>
            </w:r>
            <w:r>
              <w:rPr>
                <w:rFonts w:ascii="Times New Roman" w:eastAsia="MS Mincho" w:hAnsi="Times New Roman" w:cs="Times New Roman"/>
                <w:sz w:val="20"/>
              </w:rPr>
              <w:t xml:space="preserve"> życie. Jednak już od 2019 r. </w:t>
            </w:r>
            <w:r w:rsidR="00ED18B8" w:rsidRPr="00D24DF9">
              <w:rPr>
                <w:rFonts w:ascii="Times New Roman" w:eastAsia="MS Mincho" w:hAnsi="Times New Roman" w:cs="Times New Roman"/>
                <w:sz w:val="20"/>
              </w:rPr>
              <w:t>podmioty publiczne masowo rozpoczęły dostosowywanie swoich stron do wymagań ustawy, co jest równoznaczne z wprowadzaniem zaleceń WCAG.</w:t>
            </w:r>
          </w:p>
        </w:tc>
      </w:tr>
      <w:tr w:rsidR="005F3D4B" w:rsidRPr="00D24DF9" w14:paraId="1D91EA88" w14:textId="77777777" w:rsidTr="004D48DD">
        <w:trPr>
          <w:trHeight w:val="9057"/>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1C3334F"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894254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hAnsi="Times New Roman"/>
                <w:sz w:val="20"/>
              </w:rPr>
              <w:t xml:space="preserve">Podnoszenie poziomu aktywności społecznej osób starszych </w:t>
            </w:r>
            <w:r w:rsidRPr="00D24DF9">
              <w:rPr>
                <w:rFonts w:ascii="Times New Roman" w:hAnsi="Times New Roman"/>
                <w:sz w:val="20"/>
              </w:rPr>
              <w:br/>
              <w:t xml:space="preserve">oraz wspierania funkcjonowania </w:t>
            </w:r>
            <w:r w:rsidRPr="00D24DF9">
              <w:rPr>
                <w:rFonts w:ascii="Times New Roman" w:hAnsi="Times New Roman"/>
                <w:sz w:val="20"/>
              </w:rPr>
              <w:br/>
              <w:t xml:space="preserve">i rozwoju organizacji </w:t>
            </w:r>
            <w:r w:rsidRPr="00D24DF9">
              <w:rPr>
                <w:rFonts w:ascii="Times New Roman" w:eastAsia="MS Mincho" w:hAnsi="Times New Roman"/>
                <w:sz w:val="20"/>
              </w:rPr>
              <w:t>zrzeszających</w:t>
            </w:r>
            <w:r w:rsidRPr="00D24DF9">
              <w:rPr>
                <w:rFonts w:ascii="Times New Roman" w:hAnsi="Times New Roman"/>
                <w:sz w:val="20"/>
              </w:rPr>
              <w:t xml:space="preserve"> osoby starsze poprzez:</w:t>
            </w:r>
          </w:p>
          <w:p w14:paraId="46661A5C" w14:textId="77777777" w:rsidR="00311D18" w:rsidRPr="00D24DF9" w:rsidRDefault="00311D18" w:rsidP="00B14DF0">
            <w:pPr>
              <w:pStyle w:val="Kolorowalistaakcent11"/>
              <w:numPr>
                <w:ilvl w:val="0"/>
                <w:numId w:val="31"/>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wspieranie działań na rzecz aktywizacji osób starszych dzięki realizacji otwartych konkursów ofert skierowanych do podmiotów sektora organizacji pozarządowych i podmiotów, o których mowa </w:t>
            </w:r>
            <w:r w:rsidRPr="00D24DF9">
              <w:rPr>
                <w:rFonts w:ascii="Times New Roman" w:hAnsi="Times New Roman"/>
                <w:sz w:val="20"/>
              </w:rPr>
              <w:t>w art. 3 ust. 3 ustawy o działalności pożytku publicznego i o wolontariacie,</w:t>
            </w:r>
            <w:r w:rsidRPr="00D24DF9">
              <w:rPr>
                <w:rFonts w:ascii="Times New Roman" w:eastAsia="MS Mincho" w:hAnsi="Times New Roman"/>
                <w:sz w:val="20"/>
              </w:rPr>
              <w:t xml:space="preserve"> oraz poprzez promowanie partnerstwa międzysektorowego wobec osób starszych;</w:t>
            </w:r>
          </w:p>
          <w:p w14:paraId="560E1CE7" w14:textId="77777777" w:rsidR="00311D18" w:rsidRPr="00D24DF9" w:rsidRDefault="00311D18" w:rsidP="00B14DF0">
            <w:pPr>
              <w:pStyle w:val="Kolorowalistaakcent11"/>
              <w:numPr>
                <w:ilvl w:val="0"/>
                <w:numId w:val="31"/>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wspieranie istniejących </w:t>
            </w:r>
            <w:r w:rsidRPr="00D24DF9">
              <w:rPr>
                <w:rFonts w:ascii="Times New Roman" w:eastAsia="MS Mincho" w:hAnsi="Times New Roman"/>
                <w:sz w:val="20"/>
              </w:rPr>
              <w:br/>
              <w:t xml:space="preserve">i nowopowstających organizacji sektora organizacji pozarządowych  i podmiotów, o których mowa </w:t>
            </w:r>
            <w:r w:rsidRPr="00D24DF9">
              <w:rPr>
                <w:rFonts w:ascii="Times New Roman" w:hAnsi="Times New Roman"/>
                <w:sz w:val="20"/>
              </w:rPr>
              <w:t>w art. 3 ust. 3 ustawy o działalności pożytku publicznego i o wolontariacie</w:t>
            </w:r>
            <w:r w:rsidRPr="00D24DF9">
              <w:rPr>
                <w:rFonts w:ascii="Times New Roman" w:eastAsia="MS Mincho" w:hAnsi="Times New Roman"/>
                <w:sz w:val="20"/>
              </w:rPr>
              <w:t>, zrzeszających osoby starsze, reprezentujących ich interesy lub działających na rzecz zwiększenia ich aktywności;</w:t>
            </w:r>
          </w:p>
          <w:p w14:paraId="7677AFD1" w14:textId="77777777" w:rsidR="00311D18" w:rsidRPr="00D24DF9" w:rsidRDefault="00311D18" w:rsidP="00B14DF0">
            <w:pPr>
              <w:pStyle w:val="Kolorowalistaakcent11"/>
              <w:numPr>
                <w:ilvl w:val="0"/>
                <w:numId w:val="31"/>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promowanie wymiany dobrych praktyk działań podejmowanych</w:t>
            </w:r>
            <w:r w:rsidRPr="00D24DF9">
              <w:rPr>
                <w:rFonts w:ascii="Times New Roman" w:eastAsia="MS Mincho" w:hAnsi="Times New Roman"/>
                <w:sz w:val="20"/>
              </w:rPr>
              <w:br/>
              <w:t xml:space="preserve"> na rzecz aktywności społecznej osób starszych</w:t>
            </w:r>
          </w:p>
        </w:tc>
        <w:tc>
          <w:tcPr>
            <w:tcW w:w="2032" w:type="dxa"/>
            <w:vMerge w:val="restart"/>
          </w:tcPr>
          <w:p w14:paraId="68A0E653"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Komitet do spraw Pożytku Publicznego</w:t>
            </w:r>
          </w:p>
        </w:tc>
        <w:tc>
          <w:tcPr>
            <w:tcW w:w="1500" w:type="dxa"/>
            <w:vMerge w:val="restart"/>
          </w:tcPr>
          <w:p w14:paraId="7FB0F2A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425A4EE8"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 xml:space="preserve">Liczba  inicjatyw mających na celu  </w:t>
            </w:r>
            <w:r w:rsidRPr="00D24DF9">
              <w:rPr>
                <w:rFonts w:ascii="Times New Roman" w:hAnsi="Times New Roman" w:cs="Times New Roman"/>
                <w:i/>
                <w:sz w:val="20"/>
              </w:rPr>
              <w:t xml:space="preserve">podnoszenie poziomu aktywności społecznej osób starszych oraz wspieranie funkcjonowania i rozwoju organizacji </w:t>
            </w:r>
            <w:r w:rsidRPr="00D24DF9">
              <w:rPr>
                <w:rFonts w:ascii="Times New Roman" w:eastAsia="MS Mincho" w:hAnsi="Times New Roman" w:cs="Times New Roman"/>
                <w:i/>
                <w:sz w:val="20"/>
              </w:rPr>
              <w:t>zrzeszających</w:t>
            </w:r>
            <w:r w:rsidRPr="00D24DF9">
              <w:rPr>
                <w:rFonts w:ascii="Times New Roman" w:hAnsi="Times New Roman" w:cs="Times New Roman"/>
                <w:i/>
                <w:sz w:val="20"/>
              </w:rPr>
              <w:t xml:space="preserve"> osoby starsze, w tym: liczba organizacji pozarządowych i podmiotów, o których mowa w art. 3 ust. 3 ustawy o działalności pożytku publicznego i o wolontariacie, wspartych przez podmioty publiczne</w:t>
            </w:r>
          </w:p>
        </w:tc>
      </w:tr>
      <w:tr w:rsidR="005F3D4B" w:rsidRPr="00D24DF9" w14:paraId="179E747D" w14:textId="77777777" w:rsidTr="004D48DD">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1DF2B7E" w14:textId="77777777" w:rsidR="00311D18" w:rsidRPr="00D24DF9" w:rsidRDefault="00311D18" w:rsidP="003C1988">
            <w:pPr>
              <w:spacing w:after="0"/>
              <w:rPr>
                <w:rFonts w:ascii="Times New Roman" w:hAnsi="Times New Roman" w:cs="Times New Roman"/>
                <w:sz w:val="20"/>
              </w:rPr>
            </w:pPr>
          </w:p>
        </w:tc>
        <w:tc>
          <w:tcPr>
            <w:tcW w:w="3594" w:type="dxa"/>
            <w:vMerge/>
          </w:tcPr>
          <w:p w14:paraId="69942A3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p>
        </w:tc>
        <w:tc>
          <w:tcPr>
            <w:tcW w:w="2032" w:type="dxa"/>
            <w:vMerge/>
          </w:tcPr>
          <w:p w14:paraId="74241E4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tcPr>
          <w:p w14:paraId="28A97CC8"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924BE21" w14:textId="77777777" w:rsidR="00311D18" w:rsidRDefault="00486334"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486334">
              <w:rPr>
                <w:rFonts w:ascii="Times New Roman" w:eastAsia="MS Mincho" w:hAnsi="Times New Roman" w:cs="Times New Roman"/>
                <w:sz w:val="20"/>
              </w:rPr>
              <w:t>Dofinansowanych zostało 13 ofert w ramach programu Fundusz Inicjatyw Obywatelskich, które w sposób bezpośredni lub pośredni odnoszą się do osób starszych. Wnioski zostały złożone w ramach Priorytetu 2: Aktywne społeczeństwo, gdzie jednym z wiodących obszarów wsparcia jest aktywizacja obywateli w sprawach wspólnotowych oraz wspieranie aktywnych form integracji społecznej. Jak również w zakresie Priorytetu 3: Aktywni obywatele, w ramach którego jednym z głównych obszarów wsparcia jest rozwijanie edukacji obywatelskiej i kompetencji społecznych. Przytoczone kierunki nakierowane są na wspomaganie działań mających na celu uczestnictwo w życiu społecznym oraz wspieranie wszelkich form aktywności obywatelskiej i kulturalnej poprzez tworzenie warunków umożliwiających wykorzystanie potencjału beneficjentów, w tym także osób starszych, jako aktywnych uczestników życia społecznego i publicznego, jak również tworzenie warunków do solidarności i integracji międzypokoleniowej. Sumarycznie kwota dofinansowania wyniosła 2 142 769,80 zł.</w:t>
            </w:r>
          </w:p>
          <w:p w14:paraId="619EB7AD" w14:textId="77777777" w:rsidR="00AA3219" w:rsidRDefault="00AA321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p w14:paraId="20F950D3" w14:textId="77777777" w:rsidR="00AA3219" w:rsidRPr="00D24DF9" w:rsidRDefault="00AA321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AA3219">
              <w:rPr>
                <w:rFonts w:ascii="Times New Roman" w:eastAsia="MS Mincho" w:hAnsi="Times New Roman" w:cs="Times New Roman"/>
                <w:sz w:val="20"/>
              </w:rPr>
              <w:t>W ramach Programu Fundusz Inicjatyw Obywatelskich co roku ogłaszany jest otwarty konkurs ofert, w którym wyłaniane i dofinansowane są najwyżej ocenione projekty złożone przez organizacje pozarządowe. Nie ma więc możliwości precyzyjnego oszacowania w niniejszej karcie liczby dofinansowanych ofert i przeznaczonych na ich dofinansowanie środków w każdym kolejnym roku. Na wartość miernika osiągniętą w roku 2019 składają się 13 wniosków dofinansowanych w ramach edycji 2019.</w:t>
            </w:r>
          </w:p>
        </w:tc>
      </w:tr>
      <w:tr w:rsidR="005F3D4B" w:rsidRPr="00D24DF9" w14:paraId="3C065350" w14:textId="77777777" w:rsidTr="004D48DD">
        <w:trPr>
          <w:trHeight w:val="325"/>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34E79DFA"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4A44CF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eastAsia="MS Mincho" w:hAnsi="Times New Roman"/>
                <w:sz w:val="20"/>
              </w:rPr>
              <w:t xml:space="preserve">Niwelowanie istniejących barier </w:t>
            </w:r>
            <w:r w:rsidRPr="00D24DF9">
              <w:rPr>
                <w:rFonts w:ascii="Times New Roman" w:eastAsia="MS Mincho" w:hAnsi="Times New Roman"/>
                <w:sz w:val="20"/>
              </w:rPr>
              <w:br/>
              <w:t xml:space="preserve">w funkcjonowaniu rad seniorów </w:t>
            </w:r>
            <w:r w:rsidRPr="00D24DF9">
              <w:rPr>
                <w:rFonts w:ascii="Times New Roman" w:eastAsia="MS Mincho" w:hAnsi="Times New Roman"/>
                <w:sz w:val="20"/>
              </w:rPr>
              <w:br/>
              <w:t xml:space="preserve">oraz wspieranie ich poprzez </w:t>
            </w:r>
            <w:r w:rsidRPr="00D24DF9">
              <w:rPr>
                <w:rFonts w:ascii="Times New Roman" w:hAnsi="Times New Roman"/>
                <w:sz w:val="20"/>
              </w:rPr>
              <w:t>promowanie tworzenia gminnych rad seniorów przez jednostki samorządu terytorialnego</w:t>
            </w:r>
          </w:p>
        </w:tc>
        <w:tc>
          <w:tcPr>
            <w:tcW w:w="2032" w:type="dxa"/>
            <w:vMerge w:val="restart"/>
          </w:tcPr>
          <w:p w14:paraId="1E2AAFE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Rodziny, Pracy i Polityki Społecznej</w:t>
            </w:r>
          </w:p>
        </w:tc>
        <w:tc>
          <w:tcPr>
            <w:tcW w:w="1500" w:type="dxa"/>
            <w:vMerge w:val="restart"/>
          </w:tcPr>
          <w:p w14:paraId="66ABD00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685911A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funkcjonujących w gminach rad seniorów</w:t>
            </w:r>
          </w:p>
        </w:tc>
      </w:tr>
      <w:tr w:rsidR="005F3D4B" w:rsidRPr="00D24DF9" w14:paraId="1F99BA1E" w14:textId="77777777" w:rsidTr="004D48DD">
        <w:trPr>
          <w:cnfStyle w:val="000000100000" w:firstRow="0" w:lastRow="0" w:firstColumn="0" w:lastColumn="0" w:oddVBand="0" w:evenVBand="0" w:oddHBand="1" w:evenHBand="0" w:firstRowFirstColumn="0" w:firstRowLastColumn="0" w:lastRowFirstColumn="0" w:lastRowLastColumn="0"/>
          <w:trHeight w:val="729"/>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9B6E746" w14:textId="77777777" w:rsidR="00311D18" w:rsidRPr="00D24DF9" w:rsidRDefault="00311D18" w:rsidP="003C1988">
            <w:pPr>
              <w:spacing w:after="0"/>
              <w:rPr>
                <w:rFonts w:ascii="Times New Roman" w:hAnsi="Times New Roman" w:cs="Times New Roman"/>
                <w:sz w:val="20"/>
              </w:rPr>
            </w:pPr>
          </w:p>
        </w:tc>
        <w:tc>
          <w:tcPr>
            <w:tcW w:w="3594" w:type="dxa"/>
            <w:vMerge/>
          </w:tcPr>
          <w:p w14:paraId="58D33FA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B3D874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427B0BE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58377DB" w14:textId="77777777" w:rsidR="00311D18" w:rsidRPr="00D24DF9" w:rsidRDefault="005C260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hAnsi="Times New Roman" w:cs="Times New Roman"/>
                <w:sz w:val="20"/>
              </w:rPr>
              <w:t xml:space="preserve">Na podstawie danych zebranych od 16 wojewodów – dane na dzień 31 grudnia 2019 r. – wynika, że w Polsce funkcjonuje 380 gminnych rad seniorów, powołanych zgodnie z art. 5c </w:t>
            </w:r>
            <w:r w:rsidRPr="00DC767F">
              <w:rPr>
                <w:rFonts w:ascii="Times New Roman" w:hAnsi="Times New Roman" w:cs="Times New Roman"/>
                <w:i/>
                <w:sz w:val="20"/>
              </w:rPr>
              <w:t>ustawy o samorządzie gminnym</w:t>
            </w:r>
            <w:r w:rsidRPr="00D24DF9">
              <w:rPr>
                <w:rFonts w:ascii="Times New Roman" w:hAnsi="Times New Roman" w:cs="Times New Roman"/>
                <w:sz w:val="20"/>
              </w:rPr>
              <w:t>. Mając na uwadze ogólną liczbę gmin w Polsce (2477 gmin) liczba 380 stanowi 15,34%.</w:t>
            </w:r>
          </w:p>
        </w:tc>
      </w:tr>
      <w:tr w:rsidR="005F3D4B" w:rsidRPr="00D24DF9" w14:paraId="5D3FF7CC" w14:textId="77777777" w:rsidTr="004D48DD">
        <w:trPr>
          <w:trHeight w:val="1118"/>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785D528"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144F4B95" w14:textId="77777777" w:rsidR="00311D18" w:rsidRPr="00D24DF9" w:rsidRDefault="00311D18" w:rsidP="003C1988">
            <w:pPr>
              <w:suppressAutoHyphens/>
              <w:spacing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Wprowadzenie obowiązku uwzględniania w gminnych i powiatowych strategiach rozwiązywania problemów społecznych, wojewódzkich strategiach w zakresie polityki społecznej lub odrębnych dokumentach na temat polityki społecznej wobec osób starszych kwestii związanych z osobami starszymi oraz konsultowania ww. dokumentów z istniejącymi gminnymi radami seniorów</w:t>
            </w:r>
          </w:p>
        </w:tc>
        <w:tc>
          <w:tcPr>
            <w:tcW w:w="2032" w:type="dxa"/>
            <w:vMerge w:val="restart"/>
          </w:tcPr>
          <w:p w14:paraId="411343C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Rodziny, Pracy i Polityki Społecznej</w:t>
            </w:r>
          </w:p>
        </w:tc>
        <w:tc>
          <w:tcPr>
            <w:tcW w:w="1500" w:type="dxa"/>
            <w:vMerge w:val="restart"/>
          </w:tcPr>
          <w:p w14:paraId="1B1B3EE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7F48B3B9"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Ustawowy obowiązek uwzględniania w dokumentach strategicznych kwestii związanych z osobami starszymi</w:t>
            </w:r>
          </w:p>
          <w:p w14:paraId="2323CCE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sz w:val="20"/>
              </w:rPr>
            </w:pPr>
            <w:r w:rsidRPr="00D24DF9">
              <w:rPr>
                <w:rFonts w:ascii="Times New Roman" w:eastAsia="MS Mincho" w:hAnsi="Times New Roman"/>
                <w:b/>
                <w:sz w:val="20"/>
              </w:rPr>
              <w:t>oraz</w:t>
            </w:r>
          </w:p>
          <w:p w14:paraId="2F79585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gmin, w których w dokumentach strategicznych uwzględnione zostały kwestie związane z osobami starszymi</w:t>
            </w:r>
          </w:p>
        </w:tc>
      </w:tr>
      <w:tr w:rsidR="005F3D4B" w:rsidRPr="00D24DF9" w14:paraId="4819A08B" w14:textId="77777777" w:rsidTr="004D48DD">
        <w:trPr>
          <w:cnfStyle w:val="000000100000" w:firstRow="0" w:lastRow="0" w:firstColumn="0" w:lastColumn="0" w:oddVBand="0" w:evenVBand="0" w:oddHBand="1" w:evenHBand="0" w:firstRowFirstColumn="0" w:firstRowLastColumn="0" w:lastRowFirstColumn="0" w:lastRowLastColumn="0"/>
          <w:trHeight w:val="158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7A122B4B" w14:textId="77777777" w:rsidR="00311D18" w:rsidRPr="00D24DF9" w:rsidRDefault="00311D18" w:rsidP="003C1988">
            <w:pPr>
              <w:spacing w:after="0"/>
              <w:rPr>
                <w:rFonts w:ascii="Times New Roman" w:hAnsi="Times New Roman" w:cs="Times New Roman"/>
                <w:sz w:val="20"/>
              </w:rPr>
            </w:pPr>
          </w:p>
        </w:tc>
        <w:tc>
          <w:tcPr>
            <w:tcW w:w="3594" w:type="dxa"/>
            <w:vMerge/>
          </w:tcPr>
          <w:p w14:paraId="2613C273" w14:textId="77777777" w:rsidR="00311D18" w:rsidRPr="00D24DF9" w:rsidRDefault="00311D18" w:rsidP="003C1988">
            <w:pPr>
              <w:suppressAutoHyphens/>
              <w:spacing w:after="0"/>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2032" w:type="dxa"/>
            <w:vMerge/>
          </w:tcPr>
          <w:p w14:paraId="5F17865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2489021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3722AB7D"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774A4BFD" w14:textId="77777777" w:rsidTr="004D48DD">
        <w:trPr>
          <w:trHeight w:val="115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1A30CEF0"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D7F89E1" w14:textId="77777777" w:rsidR="00311D18" w:rsidRPr="00D24DF9" w:rsidRDefault="00311D18" w:rsidP="003C1988">
            <w:pPr>
              <w:pStyle w:val="Akapitzlist"/>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Promowanie wolontariatu osób starszych oraz wobec osób starszych poprzez wspieranie organizacji pozarządowych i podmiotów, o których mowa w art. 3 ust. 3 ustawy o działalności pożytku publicznego i o wolontariacie, działających w tym zakresie</w:t>
            </w:r>
          </w:p>
          <w:p w14:paraId="00D95B87" w14:textId="77777777" w:rsidR="00311D18" w:rsidRPr="00D24DF9" w:rsidRDefault="00311D18" w:rsidP="003C1988">
            <w:pPr>
              <w:suppressAutoHyphens/>
              <w:spacing w:after="0"/>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tc>
        <w:tc>
          <w:tcPr>
            <w:tcW w:w="2032" w:type="dxa"/>
            <w:vMerge w:val="restart"/>
          </w:tcPr>
          <w:p w14:paraId="2D98F4E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w:t>
            </w:r>
          </w:p>
        </w:tc>
        <w:tc>
          <w:tcPr>
            <w:tcW w:w="1500" w:type="dxa"/>
            <w:vMerge w:val="restart"/>
          </w:tcPr>
          <w:p w14:paraId="5FF817D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4BB8456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wspartych projektów organizacji</w:t>
            </w:r>
            <w:r w:rsidRPr="00D24DF9">
              <w:rPr>
                <w:rFonts w:ascii="Times New Roman" w:hAnsi="Times New Roman" w:cs="Times New Roman"/>
                <w:i/>
                <w:sz w:val="20"/>
              </w:rPr>
              <w:t xml:space="preserve"> pozarządowych i podmiotów, o których mowa w art. 3 ust. 3 ustawy o działalności pożytku publicznego i o wolontariacie, </w:t>
            </w:r>
            <w:r w:rsidRPr="00D24DF9">
              <w:rPr>
                <w:rFonts w:ascii="Times New Roman" w:eastAsia="MS Mincho" w:hAnsi="Times New Roman" w:cs="Times New Roman"/>
                <w:i/>
                <w:sz w:val="20"/>
              </w:rPr>
              <w:t>w obszarze promowania wolontariatu osób starszych oraz wobec osób starszych</w:t>
            </w:r>
          </w:p>
        </w:tc>
      </w:tr>
      <w:tr w:rsidR="005F3D4B" w:rsidRPr="00D24DF9" w14:paraId="62156F65" w14:textId="77777777" w:rsidTr="004D48DD">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78521A20" w14:textId="77777777" w:rsidR="00311D18" w:rsidRPr="00D24DF9" w:rsidRDefault="00311D18" w:rsidP="003C1988">
            <w:pPr>
              <w:spacing w:after="0"/>
              <w:rPr>
                <w:rFonts w:ascii="Times New Roman" w:hAnsi="Times New Roman" w:cs="Times New Roman"/>
                <w:sz w:val="20"/>
              </w:rPr>
            </w:pPr>
          </w:p>
        </w:tc>
        <w:tc>
          <w:tcPr>
            <w:tcW w:w="3594" w:type="dxa"/>
            <w:vMerge/>
          </w:tcPr>
          <w:p w14:paraId="00C12927" w14:textId="77777777" w:rsidR="00311D18" w:rsidRPr="00D24DF9" w:rsidRDefault="00311D18"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tc>
        <w:tc>
          <w:tcPr>
            <w:tcW w:w="2032" w:type="dxa"/>
            <w:vMerge/>
          </w:tcPr>
          <w:p w14:paraId="0D54637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7978525F"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17FD0E2C" w14:textId="77777777" w:rsidR="00311D18" w:rsidRPr="00D24DF9" w:rsidRDefault="00AA321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AA3219">
              <w:rPr>
                <w:rFonts w:ascii="Times New Roman" w:eastAsia="MS Mincho" w:hAnsi="Times New Roman" w:cs="Times New Roman"/>
                <w:sz w:val="20"/>
              </w:rPr>
              <w:t>Dofinansowanych zostało 13 ofert w ramach programu Fundusz Inicjatyw Obywatelskich, które w sposób bezpośredni lub pośredni odnoszą się do osób starszych. Wnioski zostały złożone w ramach Priorytetu 2: Aktywne społeczeństwo, gdzie jednym z wiodących obszarów wsparcia jest aktywizacja obywateli w sprawach wspólnotowych oraz wspieranie aktywnych form integracji społecznej. Jak również w zakresie Priorytetu 3: Aktywni obywatele, w ramach którego jednym z głównych obszarów wsparcia jest rozwijanie edukacji obywatelskiej i kompetencji społecznych. Przytoczone kierunki nakierowane są na wspomaganie działań mających na celu uczestnictwo w życiu społecznym oraz wspieranie wszelkich form aktywności obywatelskiej i kulturalnej poprzez tworzenie warunków umożliwiających wykorzystanie potencjału beneficjentów, w tym także osób starszych, jako aktywnych uczestników życia społecznego i publicznego, jak również tworzenie warunków do solidarności i integracji międzypokoleniowej. Sumarycznie kwota dofinansowania wyniosła 2 142 769,80 zł.</w:t>
            </w:r>
          </w:p>
        </w:tc>
      </w:tr>
      <w:tr w:rsidR="005F3D4B" w:rsidRPr="00D24DF9" w14:paraId="5BC64BDF" w14:textId="77777777" w:rsidTr="004D48DD">
        <w:trPr>
          <w:trHeight w:val="84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B5F657B"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5C5203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Włączenie osób starszych do udziału </w:t>
            </w:r>
            <w:r w:rsidRPr="00D24DF9">
              <w:rPr>
                <w:rFonts w:ascii="Times New Roman" w:eastAsia="MS Mincho" w:hAnsi="Times New Roman"/>
                <w:sz w:val="20"/>
              </w:rPr>
              <w:br/>
              <w:t xml:space="preserve">w działaniach na rzecz integracji społeczności lokalnej, w tym: </w:t>
            </w:r>
          </w:p>
          <w:p w14:paraId="367098B2" w14:textId="77777777" w:rsidR="00311D18" w:rsidRPr="00D24DF9" w:rsidRDefault="00311D18" w:rsidP="00B14DF0">
            <w:pPr>
              <w:pStyle w:val="Kolorowalistaakcent11"/>
              <w:numPr>
                <w:ilvl w:val="0"/>
                <w:numId w:val="32"/>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rozpowszechnienie informacji</w:t>
            </w:r>
            <w:r w:rsidRPr="00D24DF9">
              <w:rPr>
                <w:rFonts w:ascii="Times New Roman" w:eastAsia="MS Mincho" w:hAnsi="Times New Roman"/>
                <w:sz w:val="20"/>
              </w:rPr>
              <w:br/>
              <w:t>o wydarzeniach lokalnych wśród osób starszych i podmiotów docierających do osób starszych;</w:t>
            </w:r>
          </w:p>
          <w:p w14:paraId="189EB48A" w14:textId="77777777" w:rsidR="00311D18" w:rsidRPr="00D24DF9" w:rsidRDefault="00311D18" w:rsidP="00B14DF0">
            <w:pPr>
              <w:pStyle w:val="Kolorowalistaakcent11"/>
              <w:numPr>
                <w:ilvl w:val="0"/>
                <w:numId w:val="32"/>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upowszechnianie darmowego transportu dla osób niemobilnych </w:t>
            </w:r>
            <w:r w:rsidRPr="00D24DF9">
              <w:rPr>
                <w:rFonts w:ascii="Times New Roman" w:eastAsia="MS Mincho" w:hAnsi="Times New Roman"/>
                <w:sz w:val="20"/>
              </w:rPr>
              <w:br/>
              <w:t xml:space="preserve">w trakcie wydarzeń lokalnych </w:t>
            </w:r>
            <w:r w:rsidRPr="00D24DF9">
              <w:rPr>
                <w:rFonts w:ascii="Times New Roman" w:eastAsia="MS Mincho" w:hAnsi="Times New Roman"/>
                <w:sz w:val="20"/>
              </w:rPr>
              <w:br/>
              <w:t>w celu umożliwienia im czynnego uczestnictwa w wydarzeniach integrujących społeczność lokalną;</w:t>
            </w:r>
          </w:p>
          <w:p w14:paraId="1B80DDBD" w14:textId="77777777" w:rsidR="00311D18" w:rsidRPr="00D24DF9" w:rsidRDefault="00311D18" w:rsidP="00B14DF0">
            <w:pPr>
              <w:pStyle w:val="Kolorowalistaakcent11"/>
              <w:numPr>
                <w:ilvl w:val="0"/>
                <w:numId w:val="32"/>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uwzględnianie wolontariatu seniorów w pracach samorządów </w:t>
            </w:r>
            <w:r w:rsidRPr="00D24DF9">
              <w:rPr>
                <w:rFonts w:ascii="Times New Roman" w:eastAsia="MS Mincho" w:hAnsi="Times New Roman"/>
                <w:sz w:val="20"/>
              </w:rPr>
              <w:br/>
              <w:t>i instytucji lokalnych</w:t>
            </w:r>
          </w:p>
        </w:tc>
        <w:tc>
          <w:tcPr>
            <w:tcW w:w="2032" w:type="dxa"/>
            <w:vMerge w:val="restart"/>
          </w:tcPr>
          <w:p w14:paraId="39C759B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Rodziny, Pracy i Polityki Społecznej</w:t>
            </w:r>
          </w:p>
        </w:tc>
        <w:tc>
          <w:tcPr>
            <w:tcW w:w="1500" w:type="dxa"/>
            <w:vMerge w:val="restart"/>
          </w:tcPr>
          <w:p w14:paraId="2FC9112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4FA3D8F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inicjatyw mających na celu włączenie osób starszych do udziału w działaniach na rzecz integracji społeczności lokalnej</w:t>
            </w:r>
          </w:p>
        </w:tc>
      </w:tr>
      <w:tr w:rsidR="005F3D4B" w:rsidRPr="00D24DF9" w14:paraId="073D5FCD" w14:textId="77777777" w:rsidTr="004D48DD">
        <w:trPr>
          <w:cnfStyle w:val="000000100000" w:firstRow="0" w:lastRow="0" w:firstColumn="0" w:lastColumn="0" w:oddVBand="0" w:evenVBand="0" w:oddHBand="1" w:evenHBand="0" w:firstRowFirstColumn="0" w:firstRowLastColumn="0" w:lastRowFirstColumn="0" w:lastRowLastColumn="0"/>
          <w:trHeight w:val="2119"/>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1599E4C" w14:textId="77777777" w:rsidR="00311D18" w:rsidRPr="00D24DF9" w:rsidRDefault="00311D18" w:rsidP="003C1988">
            <w:pPr>
              <w:spacing w:after="0"/>
              <w:rPr>
                <w:rFonts w:ascii="Times New Roman" w:hAnsi="Times New Roman" w:cs="Times New Roman"/>
                <w:sz w:val="20"/>
              </w:rPr>
            </w:pPr>
          </w:p>
        </w:tc>
        <w:tc>
          <w:tcPr>
            <w:tcW w:w="3594" w:type="dxa"/>
            <w:vMerge/>
          </w:tcPr>
          <w:p w14:paraId="461AC63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0C33087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CD7B67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1A7EA2EF"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350FD0DB" w14:textId="77777777" w:rsidTr="004D48DD">
        <w:trPr>
          <w:trHeight w:val="835"/>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890FF0F"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D95B62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Promowanie modelu edukacji obywatelskiej zorientowanej na wolontariat seniorów, prowadzonej </w:t>
            </w:r>
            <w:r w:rsidRPr="00D24DF9">
              <w:rPr>
                <w:rFonts w:ascii="Times New Roman" w:eastAsia="MS Mincho" w:hAnsi="Times New Roman"/>
                <w:sz w:val="20"/>
              </w:rPr>
              <w:br/>
              <w:t>z organizacjami pozarządowymi</w:t>
            </w:r>
          </w:p>
        </w:tc>
        <w:tc>
          <w:tcPr>
            <w:tcW w:w="2032" w:type="dxa"/>
            <w:vMerge w:val="restart"/>
          </w:tcPr>
          <w:p w14:paraId="03797F2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w:t>
            </w:r>
          </w:p>
        </w:tc>
        <w:tc>
          <w:tcPr>
            <w:tcW w:w="1500" w:type="dxa"/>
            <w:vMerge w:val="restart"/>
          </w:tcPr>
          <w:p w14:paraId="671019F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6FC0086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inicjatyw promujących model edukacji obywatelskiej zorientowanej na wolontariat seniorów, prowadzonej z organizacjami pozarządowymi</w:t>
            </w:r>
          </w:p>
        </w:tc>
      </w:tr>
      <w:tr w:rsidR="005F3D4B" w:rsidRPr="00D24DF9" w14:paraId="3C1A193B" w14:textId="77777777" w:rsidTr="004D48DD">
        <w:trPr>
          <w:cnfStyle w:val="000000100000" w:firstRow="0" w:lastRow="0" w:firstColumn="0" w:lastColumn="0" w:oddVBand="0" w:evenVBand="0" w:oddHBand="1" w:evenHBand="0" w:firstRowFirstColumn="0" w:firstRowLastColumn="0" w:lastRowFirstColumn="0" w:lastRowLastColumn="0"/>
          <w:trHeight w:val="113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3ACC2F43" w14:textId="77777777" w:rsidR="00311D18" w:rsidRPr="00D24DF9" w:rsidRDefault="00311D18" w:rsidP="003C1988">
            <w:pPr>
              <w:spacing w:after="0"/>
              <w:rPr>
                <w:rFonts w:ascii="Times New Roman" w:hAnsi="Times New Roman" w:cs="Times New Roman"/>
                <w:sz w:val="20"/>
              </w:rPr>
            </w:pPr>
          </w:p>
        </w:tc>
        <w:tc>
          <w:tcPr>
            <w:tcW w:w="3594" w:type="dxa"/>
            <w:vMerge/>
          </w:tcPr>
          <w:p w14:paraId="463DDEA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4E947BA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15953BF"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4AEE8D32" w14:textId="77777777" w:rsidR="00311D18" w:rsidRDefault="00AA321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AA3219">
              <w:rPr>
                <w:rFonts w:ascii="Times New Roman" w:eastAsia="MS Mincho" w:hAnsi="Times New Roman"/>
                <w:sz w:val="20"/>
              </w:rPr>
              <w:t xml:space="preserve">Dofinansowanych zostało 13 ofert w ramach programu Fundusz Inicjatyw Obywatelskich, które w sposób bezpośredni lub pośredni odnoszą się do osób starszych. Wnioski zostały złożone w ramach Priorytetu 2: Aktywne społeczeństwo, gdzie jednym z wiodących obszarów wsparcia jest aktywizacja obywateli w sprawach wspólnotowych oraz wspieranie aktywnych form integracji społecznej. Jak również w zakresie Priorytetu 3: Aktywni obywatele, w ramach którego jednym z głównych obszarów wsparcia jest rozwijanie edukacji obywatelskiej i kompetencji społecznych. Przytoczone kierunki nakierowane są na wspomaganie działań mających na celu uczestnictwo w życiu społecznym oraz wspieranie wszelkich form aktywności obywatelskiej i kulturalnej poprzez tworzenie warunków umożliwiających wykorzystanie potencjału beneficjentów, w tym </w:t>
            </w:r>
            <w:r w:rsidRPr="00AA3219">
              <w:rPr>
                <w:rFonts w:ascii="Times New Roman" w:eastAsia="MS Mincho" w:hAnsi="Times New Roman"/>
                <w:sz w:val="20"/>
              </w:rPr>
              <w:lastRenderedPageBreak/>
              <w:t>także osób starszych, jako aktywnych uczestników życia społecznego i publicznego, jak również tworzenie warunków do solidarności i integracji międzypokoleniowej. Sumarycznie kwota dofinansowania wyniosła 2 142 769,80 zł.</w:t>
            </w:r>
          </w:p>
          <w:p w14:paraId="3CAB8397" w14:textId="77777777" w:rsidR="00AA3219" w:rsidRDefault="00AA321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1AE41C30" w14:textId="77777777" w:rsidR="00AA3219" w:rsidRPr="00D24DF9" w:rsidRDefault="00AA321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AA3219">
              <w:rPr>
                <w:rFonts w:ascii="Times New Roman" w:eastAsia="MS Mincho" w:hAnsi="Times New Roman" w:cs="Times New Roman"/>
                <w:sz w:val="20"/>
              </w:rPr>
              <w:t>W ramach Programu Fundusz Inicjatyw Obywatelskich co roku ogłaszany jest otwarty konkurs ofert, w którym wyłaniane i dofinansowane są najwyżej ocenione projekty złożone przez organizacje pozarządowe. Na wartość miernika osiągniętą w roku 2019 składają się 13 wniosków dofinansowanych w ramach edycji 2019.</w:t>
            </w:r>
          </w:p>
        </w:tc>
      </w:tr>
      <w:tr w:rsidR="005F3D4B" w:rsidRPr="00D24DF9" w14:paraId="1195F080" w14:textId="77777777" w:rsidTr="00015713">
        <w:trPr>
          <w:trHeight w:val="721"/>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046C453"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5E6807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Zwiększenie dostępności placówek </w:t>
            </w:r>
            <w:r w:rsidRPr="00D24DF9">
              <w:rPr>
                <w:rFonts w:ascii="Times New Roman" w:eastAsia="MS Mincho" w:hAnsi="Times New Roman"/>
                <w:sz w:val="20"/>
              </w:rPr>
              <w:br/>
              <w:t>i instytucji kultury dla osób starszych, dzięki:</w:t>
            </w:r>
          </w:p>
          <w:p w14:paraId="36DB26AE" w14:textId="77777777" w:rsidR="00311D18" w:rsidRPr="00D24DF9" w:rsidRDefault="00311D18" w:rsidP="00B14DF0">
            <w:pPr>
              <w:pStyle w:val="Kolorowalistaakcent11"/>
              <w:numPr>
                <w:ilvl w:val="0"/>
                <w:numId w:val="32"/>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dostosowaniu rodzaju i form aktywności kulturalnych do zróżnicowanych potrzeb starszych odbiorców;</w:t>
            </w:r>
          </w:p>
          <w:p w14:paraId="1067A5B3" w14:textId="77777777" w:rsidR="00311D18" w:rsidRPr="00D24DF9" w:rsidRDefault="00311D18" w:rsidP="00B14DF0">
            <w:pPr>
              <w:pStyle w:val="Kolorowalistaakcent11"/>
              <w:numPr>
                <w:ilvl w:val="0"/>
                <w:numId w:val="32"/>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upowszechnianiu pozytywnych wzorców i dobrych praktyk </w:t>
            </w:r>
            <w:r w:rsidRPr="00D24DF9">
              <w:rPr>
                <w:rFonts w:ascii="Times New Roman" w:eastAsia="MS Mincho" w:hAnsi="Times New Roman"/>
                <w:sz w:val="20"/>
              </w:rPr>
              <w:br/>
              <w:t>w tym obszarze;</w:t>
            </w:r>
          </w:p>
          <w:p w14:paraId="734C7840" w14:textId="77777777" w:rsidR="00311D18" w:rsidRPr="00D24DF9" w:rsidRDefault="00311D18" w:rsidP="00B14DF0">
            <w:pPr>
              <w:pStyle w:val="Kolorowalistaakcent11"/>
              <w:numPr>
                <w:ilvl w:val="0"/>
                <w:numId w:val="32"/>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wspieraniu wszelkich form amatorskiej działalności artystycznej osób starszych;</w:t>
            </w:r>
          </w:p>
          <w:p w14:paraId="57AE203E" w14:textId="77777777" w:rsidR="00311D18" w:rsidRPr="00D24DF9" w:rsidRDefault="00311D18" w:rsidP="00B14DF0">
            <w:pPr>
              <w:pStyle w:val="Kolorowalistaakcent11"/>
              <w:numPr>
                <w:ilvl w:val="0"/>
                <w:numId w:val="32"/>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wykorzystaniu potencjału i bazy placówek publicznych </w:t>
            </w:r>
            <w:r w:rsidRPr="00D24DF9">
              <w:rPr>
                <w:rFonts w:ascii="Times New Roman" w:eastAsia="MS Mincho" w:hAnsi="Times New Roman"/>
                <w:sz w:val="20"/>
              </w:rPr>
              <w:br/>
              <w:t xml:space="preserve">do organizowania zajęć </w:t>
            </w:r>
            <w:r w:rsidRPr="00D24DF9">
              <w:rPr>
                <w:rFonts w:ascii="Times New Roman" w:eastAsia="MS Mincho" w:hAnsi="Times New Roman"/>
                <w:sz w:val="20"/>
              </w:rPr>
              <w:br/>
              <w:t xml:space="preserve">o charakterze kulturalnym, artystycznym, rekreacyjnym </w:t>
            </w:r>
            <w:r w:rsidRPr="00D24DF9">
              <w:rPr>
                <w:rFonts w:ascii="Times New Roman" w:eastAsia="MS Mincho" w:hAnsi="Times New Roman"/>
                <w:sz w:val="20"/>
              </w:rPr>
              <w:br/>
              <w:t>i ogólnorozwojowym.</w:t>
            </w:r>
          </w:p>
        </w:tc>
        <w:tc>
          <w:tcPr>
            <w:tcW w:w="2032" w:type="dxa"/>
            <w:vMerge w:val="restart"/>
          </w:tcPr>
          <w:p w14:paraId="4E17C11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Kultury </w:t>
            </w:r>
            <w:r w:rsidRPr="00D24DF9">
              <w:rPr>
                <w:rFonts w:ascii="Times New Roman" w:eastAsia="MS Mincho" w:hAnsi="Times New Roman"/>
                <w:sz w:val="20"/>
              </w:rPr>
              <w:br/>
              <w:t>i Dziedzictwa Narodowego</w:t>
            </w:r>
          </w:p>
        </w:tc>
        <w:tc>
          <w:tcPr>
            <w:tcW w:w="1500" w:type="dxa"/>
            <w:vMerge w:val="restart"/>
          </w:tcPr>
          <w:p w14:paraId="00567B2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10BF2FB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inicjatyw mających na celu zwiększenie dostępności placówek i instytucji kultury dla osób starszych</w:t>
            </w:r>
          </w:p>
        </w:tc>
      </w:tr>
      <w:tr w:rsidR="005F3D4B" w:rsidRPr="00D24DF9" w14:paraId="73D09890" w14:textId="77777777" w:rsidTr="004D48DD">
        <w:trPr>
          <w:cnfStyle w:val="000000100000" w:firstRow="0" w:lastRow="0" w:firstColumn="0" w:lastColumn="0" w:oddVBand="0" w:evenVBand="0" w:oddHBand="1" w:evenHBand="0" w:firstRowFirstColumn="0" w:firstRowLastColumn="0" w:lastRowFirstColumn="0" w:lastRowLastColumn="0"/>
          <w:trHeight w:val="1122"/>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403813C1" w14:textId="77777777" w:rsidR="00311D18" w:rsidRPr="00D24DF9" w:rsidRDefault="00311D18" w:rsidP="003C1988">
            <w:pPr>
              <w:spacing w:after="0"/>
              <w:rPr>
                <w:rFonts w:ascii="Times New Roman" w:hAnsi="Times New Roman" w:cs="Times New Roman"/>
                <w:sz w:val="20"/>
              </w:rPr>
            </w:pPr>
          </w:p>
        </w:tc>
        <w:tc>
          <w:tcPr>
            <w:tcW w:w="3594" w:type="dxa"/>
            <w:vMerge/>
          </w:tcPr>
          <w:p w14:paraId="425ABA6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2DAE8F1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CB40E45"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42942749" w14:textId="77777777" w:rsidR="00C40BBC" w:rsidRDefault="00015713" w:rsidP="008C71A9">
            <w:pPr>
              <w:pStyle w:val="Akapitzlist"/>
              <w:numPr>
                <w:ilvl w:val="0"/>
                <w:numId w:val="390"/>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Liczba ogólnopolskich kampanii kulturalno-społecznych dedykowanych seniorom, realizowanych przez MKiDN: 1</w:t>
            </w:r>
          </w:p>
          <w:p w14:paraId="48B3FA87" w14:textId="77777777" w:rsidR="00C40BBC" w:rsidRDefault="00015713" w:rsidP="008C71A9">
            <w:pPr>
              <w:pStyle w:val="Akapitzlist"/>
              <w:numPr>
                <w:ilvl w:val="0"/>
                <w:numId w:val="390"/>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Liczba ofert szkoleniowych dla kadr kultury realizowanych przez instytucje kultury prowadzone i współprowadzone przez MKiDN, dotyczących zapewniania dostępu do kultury i sztuki osobom starszym oraz wspierania aktywności kulturalno-artystycznej seniorów: 3</w:t>
            </w:r>
          </w:p>
          <w:p w14:paraId="3B9EF32C" w14:textId="77777777" w:rsidR="00C40BBC" w:rsidRDefault="00015713" w:rsidP="008C71A9">
            <w:pPr>
              <w:pStyle w:val="Akapitzlist"/>
              <w:numPr>
                <w:ilvl w:val="0"/>
                <w:numId w:val="390"/>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Liczba dofinansowań udzielonych przez Ministra KiDN w programach dotacyjnych na wydarzenia artystyczne i kulturalne kierowane do osób starszych lub dostępnych dla szerokiej publiczności, z uwzględnieniem seniorów: 2223</w:t>
            </w:r>
          </w:p>
          <w:p w14:paraId="5BE3A890" w14:textId="77777777" w:rsidR="00C40BBC" w:rsidRDefault="00015713" w:rsidP="008C71A9">
            <w:pPr>
              <w:pStyle w:val="Akapitzlist"/>
              <w:numPr>
                <w:ilvl w:val="0"/>
                <w:numId w:val="390"/>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Liczba instytucji kultury prowadzonych i współprowadzonych przez MKiDN, które posiadają stałą, systemową, wieloelementową i powszechnie dostępną ofertę kulturalną dedykowaną seniorom: 58</w:t>
            </w:r>
          </w:p>
          <w:p w14:paraId="47C68463" w14:textId="77777777" w:rsidR="00015713" w:rsidRPr="00C40BBC" w:rsidRDefault="00015713" w:rsidP="008C71A9">
            <w:pPr>
              <w:pStyle w:val="Akapitzlist"/>
              <w:numPr>
                <w:ilvl w:val="0"/>
                <w:numId w:val="390"/>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Liczba inicjatyw uczelni artystycznych w zakresie organizacji UTW i prowadzenia stałej oferty edukacji artystycznej dla amatorów: 7</w:t>
            </w:r>
          </w:p>
          <w:p w14:paraId="25D1AF45" w14:textId="77777777" w:rsidR="00015713" w:rsidRPr="00015713" w:rsidRDefault="00015713" w:rsidP="00015713">
            <w:p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lastRenderedPageBreak/>
              <w:t>Ósma edycja inicjatywy MKiDN „60+ Kultura” – ogólnopolskiej akcji bezpłatnego (lub za symboliczną opłatą) dostępu dla seniorów do oferty instytucji kulturalnych. Akcja, odbywająca się w pierwszy weekend jesieni (27-29 września 2019 r.), skierowana była do osób powyżej 60 roku życia, które bezpłatnie lub za symboliczną opłatą mogły skorzystać z oferty instytucji kulturalnych w swoim miejscu zamieszkania. Oprócz umożliwienia seniorom skorzystania z oferty kulturalnej w wybranym terminie, nadrzędnym celem akcji było włączenie ich do uczestnictwa w kulturze, aby zachęceni ofertą pobliskich instytucji, stali się w przyszłości ich stałymi gośćmi. W akcji wzięło udział i przygotowało specjalną ofertę ok. 480 instytucji z całego kraju. Oferta była różnorodna – od darmowego wejścia, przez specjalnie zorganizowane spotkania, wykłady i warsztaty, po wycieczki z przewodnikami. Ubiegłoroczna akcja cieszyła się bardzo dużym zainteresowaniem – z dedykowanej oferty skorzystało ok. 22,5 tys. osób starszych.</w:t>
            </w:r>
          </w:p>
          <w:p w14:paraId="783DB3B8" w14:textId="77777777" w:rsidR="00C40BBC" w:rsidRDefault="00C40BBC" w:rsidP="00015713">
            <w:p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p>
          <w:p w14:paraId="722488E2" w14:textId="77777777" w:rsidR="00015713" w:rsidRPr="00015713" w:rsidRDefault="00015713" w:rsidP="00015713">
            <w:p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Instytucje nadzorowane MKiDN w okresie sprawozdawczym organizowały następujące szkolenia dedykowane budowaniu wiedzy i umiejętności niezbędnych do projektowania i wdrażania oferty kulturalnej dedykowanej osobom starszym:</w:t>
            </w:r>
          </w:p>
          <w:p w14:paraId="7EA44DCB" w14:textId="77777777" w:rsidR="00C40BBC" w:rsidRDefault="00015713" w:rsidP="008C71A9">
            <w:pPr>
              <w:pStyle w:val="Akapitzlist"/>
              <w:numPr>
                <w:ilvl w:val="0"/>
                <w:numId w:val="391"/>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Narodowe Centrum Kultury – szkolenie pn. „Projektowanie oferty kulturalnej dla seniorów”,</w:t>
            </w:r>
          </w:p>
          <w:p w14:paraId="00496328" w14:textId="77777777" w:rsidR="00C40BBC" w:rsidRDefault="00015713" w:rsidP="008C71A9">
            <w:pPr>
              <w:pStyle w:val="Akapitzlist"/>
              <w:numPr>
                <w:ilvl w:val="0"/>
                <w:numId w:val="391"/>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Narodowy Instytut Muzealnictwa i Ochrony Zbiorów – szkolenie pn. „Senior w muzeum”,</w:t>
            </w:r>
          </w:p>
          <w:p w14:paraId="1A6D9321" w14:textId="77777777" w:rsidR="00015713" w:rsidRPr="00C40BBC" w:rsidRDefault="00015713" w:rsidP="008C71A9">
            <w:pPr>
              <w:pStyle w:val="Akapitzlist"/>
              <w:numPr>
                <w:ilvl w:val="0"/>
                <w:numId w:val="391"/>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Muzeum Pałacu Króla Jana III w Wilanowie – projekt pn. „Uczę się aby nauczać. Rozwój kompetencji społecznych poprzez programy dla seniorów”.</w:t>
            </w:r>
          </w:p>
          <w:p w14:paraId="78B22929" w14:textId="77777777" w:rsidR="00015713" w:rsidRPr="00015713" w:rsidRDefault="00015713" w:rsidP="00015713">
            <w:p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p>
          <w:p w14:paraId="65E1FFBC" w14:textId="77777777" w:rsidR="00015713" w:rsidRPr="00015713" w:rsidRDefault="00015713" w:rsidP="00015713">
            <w:p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Lista Programów dotacyjnych Ministra KiDN, w których w 2019 r. zostały dofinansowane przedsięwzięcia, w których seniorzy byli jedną z planowanych grup docelowych projektu:</w:t>
            </w:r>
          </w:p>
          <w:p w14:paraId="2A1CCCA7"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Kultura Dostępna</w:t>
            </w:r>
          </w:p>
          <w:p w14:paraId="2DE3F816"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lastRenderedPageBreak/>
              <w:t>Edukacja kulturalna</w:t>
            </w:r>
          </w:p>
          <w:p w14:paraId="1DB14088"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Kultura ludowa i tradycyjna</w:t>
            </w:r>
          </w:p>
          <w:p w14:paraId="34056165"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Infrastruktura domów kultury</w:t>
            </w:r>
          </w:p>
          <w:p w14:paraId="4D763E2D"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Infrastruktura kultury</w:t>
            </w:r>
          </w:p>
          <w:p w14:paraId="4C3C200F"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Partnerstwo dla książki</w:t>
            </w:r>
          </w:p>
          <w:p w14:paraId="39A6C5E0"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Czasopisma</w:t>
            </w:r>
          </w:p>
          <w:p w14:paraId="4E0207D4"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Edukacja artystyczna</w:t>
            </w:r>
          </w:p>
          <w:p w14:paraId="3EF3279B"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Film</w:t>
            </w:r>
          </w:p>
          <w:p w14:paraId="11434C1D"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Groby i cmentarze wojenne w kraju</w:t>
            </w:r>
          </w:p>
          <w:p w14:paraId="5DCBB01A"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Infrastruktura szkolnictwa artystycznego</w:t>
            </w:r>
          </w:p>
          <w:p w14:paraId="6A2FBECB"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Kolekcje muzealne</w:t>
            </w:r>
          </w:p>
          <w:p w14:paraId="44B75A6C"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Kultura cyfrowa</w:t>
            </w:r>
          </w:p>
          <w:p w14:paraId="4914B18F"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Literatura</w:t>
            </w:r>
          </w:p>
          <w:p w14:paraId="39EC8A00"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Miejsca pamięci i trwałe upamiętnienia w kraju</w:t>
            </w:r>
          </w:p>
          <w:p w14:paraId="4276EDAE"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Miejsca Pamięci Narodowej za Granicą</w:t>
            </w:r>
          </w:p>
          <w:p w14:paraId="6788F138"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Moniuszko 2019 - Promesa</w:t>
            </w:r>
          </w:p>
          <w:p w14:paraId="0B9AD65A"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Muzyczny ślad</w:t>
            </w:r>
          </w:p>
          <w:p w14:paraId="4E1DE87A"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Muzyka</w:t>
            </w:r>
          </w:p>
          <w:p w14:paraId="6C6C697C"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Narodowe kolekcje sztuki współczesnej</w:t>
            </w:r>
          </w:p>
          <w:p w14:paraId="161799BC"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Ochrona dziedzictwa kulturowego za granicą</w:t>
            </w:r>
          </w:p>
          <w:p w14:paraId="22717320"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Ochrona zabytków archeologicznych</w:t>
            </w:r>
          </w:p>
          <w:p w14:paraId="755A6472"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Promocja kultury polskiej za granicą</w:t>
            </w:r>
          </w:p>
          <w:p w14:paraId="27CC50BE"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Regionalne kolekcje sztuki współczesnej</w:t>
            </w:r>
          </w:p>
          <w:p w14:paraId="64424F14"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Sztuki wizualne</w:t>
            </w:r>
          </w:p>
          <w:p w14:paraId="5EE0AC19"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Teatr i taniec</w:t>
            </w:r>
          </w:p>
          <w:p w14:paraId="6C372242" w14:textId="77777777" w:rsidR="00015713" w:rsidRPr="00015713" w:rsidRDefault="00015713" w:rsidP="008C71A9">
            <w:pPr>
              <w:pStyle w:val="Akapitzlist"/>
              <w:numPr>
                <w:ilvl w:val="0"/>
                <w:numId w:val="389"/>
              </w:num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Wspieranie działań muzealnych.</w:t>
            </w:r>
          </w:p>
          <w:p w14:paraId="1A2A1C64" w14:textId="77777777" w:rsidR="00015713" w:rsidRPr="00015713" w:rsidRDefault="00015713" w:rsidP="00015713">
            <w:p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p>
          <w:p w14:paraId="5C8FD6B5" w14:textId="77777777" w:rsidR="00015713" w:rsidRPr="00015713" w:rsidRDefault="00015713" w:rsidP="00015713">
            <w:p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W ramach stałej oferty systemowej 58 instytucji kultury prowadzone były m.in. następujące działania dedykowane osobom starszym:</w:t>
            </w:r>
          </w:p>
          <w:p w14:paraId="152CC84E" w14:textId="77777777" w:rsidR="00C40BBC" w:rsidRDefault="00015713" w:rsidP="008C71A9">
            <w:pPr>
              <w:pStyle w:val="Akapitzlist"/>
              <w:numPr>
                <w:ilvl w:val="0"/>
                <w:numId w:val="392"/>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oprowadzania po wystawach (stałych i czasowych), obiektach zabytkowo-parkowych, spotkania, wykłady, spektakle, seanse filmowe, kluby dyskusyjne,</w:t>
            </w:r>
          </w:p>
          <w:p w14:paraId="720D170C" w14:textId="77777777" w:rsidR="00C40BBC" w:rsidRDefault="00015713" w:rsidP="008C71A9">
            <w:pPr>
              <w:pStyle w:val="Akapitzlist"/>
              <w:numPr>
                <w:ilvl w:val="0"/>
                <w:numId w:val="392"/>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lastRenderedPageBreak/>
              <w:t>stała oferta dedykowanych działań edukacyjnych i warsztatowych,</w:t>
            </w:r>
          </w:p>
          <w:p w14:paraId="7B3A28D5" w14:textId="77777777" w:rsidR="00C40BBC" w:rsidRDefault="00015713" w:rsidP="008C71A9">
            <w:pPr>
              <w:pStyle w:val="Akapitzlist"/>
              <w:numPr>
                <w:ilvl w:val="0"/>
                <w:numId w:val="392"/>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systemowe dostosowanie zasobu zbiorów do potrzeb osób starszych (m.in. stałe uzupełnianie zasobu o audiobooki, audioprzewodniki),</w:t>
            </w:r>
          </w:p>
          <w:p w14:paraId="013D6ECA" w14:textId="77777777" w:rsidR="00C40BBC" w:rsidRDefault="00015713" w:rsidP="008C71A9">
            <w:pPr>
              <w:pStyle w:val="Akapitzlist"/>
              <w:numPr>
                <w:ilvl w:val="0"/>
                <w:numId w:val="392"/>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dostosowywanie wyposażenia i obiektów do potrzeb osób starszych (m.in. do potrzeb osób słabowidzących, słabosłyszących i o obniżonej sprawności motorycznej),</w:t>
            </w:r>
          </w:p>
          <w:p w14:paraId="2CCFF527" w14:textId="77777777" w:rsidR="00C40BBC" w:rsidRDefault="00015713" w:rsidP="008C71A9">
            <w:pPr>
              <w:pStyle w:val="Akapitzlist"/>
              <w:numPr>
                <w:ilvl w:val="0"/>
                <w:numId w:val="392"/>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systemy zniżek lub ulg w cenach biletów dedykowanych seniorom (osobom indywidualnym, grupom oraz grupom zorganizowanym, np. Klubom Seniora),</w:t>
            </w:r>
          </w:p>
          <w:p w14:paraId="40FCB4BB" w14:textId="77777777" w:rsidR="00015713" w:rsidRPr="00C40BBC" w:rsidRDefault="00015713" w:rsidP="008C71A9">
            <w:pPr>
              <w:pStyle w:val="Akapitzlist"/>
              <w:numPr>
                <w:ilvl w:val="0"/>
                <w:numId w:val="392"/>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stała współpraca kulturalno-animacyjna z lokalnymi i regionalnymi podmiotami zrzeszającymi seniorów (np. Kluby Seniora, Uniwersytety Trzeciego Wieku, placówki opiekuńcze i medyczne dla osób starszych).</w:t>
            </w:r>
          </w:p>
          <w:p w14:paraId="39AE4DED" w14:textId="77777777" w:rsidR="00015713" w:rsidRPr="00015713" w:rsidRDefault="00015713" w:rsidP="00015713">
            <w:p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p>
          <w:p w14:paraId="6EF0531D" w14:textId="77777777" w:rsidR="00015713" w:rsidRPr="00015713" w:rsidRDefault="00015713" w:rsidP="00015713">
            <w:pPr>
              <w:spacing w:after="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015713">
              <w:rPr>
                <w:rFonts w:ascii="Times New Roman" w:eastAsia="MS Mincho" w:hAnsi="Times New Roman" w:cs="Times New Roman"/>
                <w:bCs/>
                <w:sz w:val="20"/>
                <w:szCs w:val="20"/>
              </w:rPr>
              <w:t>Działania uczelni artystycznych dedykowane osobom starszym:</w:t>
            </w:r>
          </w:p>
          <w:p w14:paraId="14B16D75" w14:textId="77777777" w:rsidR="00C40BBC" w:rsidRDefault="00015713" w:rsidP="008C71A9">
            <w:pPr>
              <w:pStyle w:val="Akapitzlist"/>
              <w:numPr>
                <w:ilvl w:val="0"/>
                <w:numId w:val="393"/>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Uniwersytet Artystyczny Trzeciego Wieku (Uniwersytet Artystyczny w Poznaniu),</w:t>
            </w:r>
          </w:p>
          <w:p w14:paraId="75C0E6F6" w14:textId="77777777" w:rsidR="00C40BBC" w:rsidRDefault="00015713" w:rsidP="008C71A9">
            <w:pPr>
              <w:pStyle w:val="Akapitzlist"/>
              <w:numPr>
                <w:ilvl w:val="0"/>
                <w:numId w:val="393"/>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Akademia Kreatywnego Seniora (Akademia Sztuk Pięknych w Łodzi),</w:t>
            </w:r>
          </w:p>
          <w:p w14:paraId="046953D2" w14:textId="77777777" w:rsidR="00C40BBC" w:rsidRDefault="00015713" w:rsidP="008C71A9">
            <w:pPr>
              <w:pStyle w:val="Akapitzlist"/>
              <w:numPr>
                <w:ilvl w:val="0"/>
                <w:numId w:val="393"/>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Akademia Otwarta – dorośli do sztuki (Towarzystwo Przyjaciół ASP wraz z Akademią Sztuk Pięknych w Warszawie),</w:t>
            </w:r>
          </w:p>
          <w:p w14:paraId="57C15ADB" w14:textId="77777777" w:rsidR="00C40BBC" w:rsidRDefault="00015713" w:rsidP="008C71A9">
            <w:pPr>
              <w:pStyle w:val="Akapitzlist"/>
              <w:numPr>
                <w:ilvl w:val="0"/>
                <w:numId w:val="393"/>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otwarte warsztaty artystyczne dla seniorów w  ramach projektu „Zbrojownia Sztuki” (Akademia Sztuk Pięknych w Gdańsku),</w:t>
            </w:r>
          </w:p>
          <w:p w14:paraId="2FC76CE9" w14:textId="77777777" w:rsidR="00C40BBC" w:rsidRDefault="00015713" w:rsidP="008C71A9">
            <w:pPr>
              <w:pStyle w:val="Akapitzlist"/>
              <w:numPr>
                <w:ilvl w:val="0"/>
                <w:numId w:val="393"/>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Otwarta Akademia Muzyczna (Akademia Muzyczna im. Karola Lipińskiego we Wrocławiu),</w:t>
            </w:r>
          </w:p>
          <w:p w14:paraId="10A9E8F6" w14:textId="77777777" w:rsidR="00C40BBC" w:rsidRDefault="00015713" w:rsidP="008C71A9">
            <w:pPr>
              <w:pStyle w:val="Akapitzlist"/>
              <w:numPr>
                <w:ilvl w:val="0"/>
                <w:numId w:val="393"/>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Muzyczna Akademia Seniora (Akademia Muzyczna w Katowicach),</w:t>
            </w:r>
          </w:p>
          <w:p w14:paraId="615ACF53" w14:textId="77777777" w:rsidR="00311D18" w:rsidRPr="00C40BBC" w:rsidRDefault="00015713" w:rsidP="008C71A9">
            <w:pPr>
              <w:pStyle w:val="Akapitzlist"/>
              <w:numPr>
                <w:ilvl w:val="0"/>
                <w:numId w:val="393"/>
              </w:numPr>
              <w:spacing w:after="0"/>
              <w:ind w:left="360"/>
              <w:jc w:val="both"/>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C40BBC">
              <w:rPr>
                <w:rFonts w:ascii="Times New Roman" w:eastAsia="MS Mincho" w:hAnsi="Times New Roman" w:cs="Times New Roman"/>
                <w:bCs/>
                <w:sz w:val="20"/>
                <w:szCs w:val="20"/>
              </w:rPr>
              <w:t>projekt „Agora Nestora” (Akademia Muzyczna w Bydgoszczy we współpracy z Miejskim Centrum Kultury).</w:t>
            </w:r>
          </w:p>
        </w:tc>
      </w:tr>
      <w:tr w:rsidR="005F3D4B" w:rsidRPr="00D24DF9" w14:paraId="0D4EE756" w14:textId="77777777" w:rsidTr="00C40BBC">
        <w:trPr>
          <w:cantSplit/>
          <w:trHeight w:val="822"/>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479BE5B"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6D886E3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Promowanie aktywności sportowej </w:t>
            </w:r>
            <w:r w:rsidRPr="00D24DF9">
              <w:rPr>
                <w:rFonts w:ascii="Times New Roman" w:eastAsia="MS Mincho" w:hAnsi="Times New Roman"/>
                <w:sz w:val="20"/>
              </w:rPr>
              <w:br/>
              <w:t xml:space="preserve">i rekreacyjnej, osób starszych </w:t>
            </w:r>
            <w:r w:rsidRPr="00D24DF9">
              <w:rPr>
                <w:rFonts w:ascii="Times New Roman" w:eastAsia="MS Mincho" w:hAnsi="Times New Roman"/>
                <w:sz w:val="20"/>
              </w:rPr>
              <w:br/>
              <w:t xml:space="preserve">ze zwróceniem uwagi na korzyści, </w:t>
            </w:r>
            <w:r w:rsidRPr="00D24DF9">
              <w:rPr>
                <w:rFonts w:ascii="Times New Roman" w:eastAsia="MS Mincho" w:hAnsi="Times New Roman"/>
                <w:sz w:val="20"/>
              </w:rPr>
              <w:br/>
              <w:t>jakie ona przynosi seniorom, w tym:</w:t>
            </w:r>
          </w:p>
          <w:p w14:paraId="25F926EC" w14:textId="77777777" w:rsidR="00311D18" w:rsidRPr="00D24DF9" w:rsidRDefault="00311D18" w:rsidP="00B14DF0">
            <w:pPr>
              <w:pStyle w:val="Kolorowalistaakcent11"/>
              <w:numPr>
                <w:ilvl w:val="0"/>
                <w:numId w:val="33"/>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upowszechnianie form sportu </w:t>
            </w:r>
            <w:r w:rsidRPr="00D24DF9">
              <w:rPr>
                <w:rFonts w:ascii="Times New Roman" w:eastAsia="MS Mincho" w:hAnsi="Times New Roman"/>
                <w:sz w:val="20"/>
              </w:rPr>
              <w:br/>
              <w:t>i rekreacji dla seniorów;</w:t>
            </w:r>
          </w:p>
          <w:p w14:paraId="6256F7C9" w14:textId="77777777" w:rsidR="00311D18" w:rsidRPr="00D24DF9" w:rsidRDefault="00311D18" w:rsidP="00B14DF0">
            <w:pPr>
              <w:pStyle w:val="Kolorowalistaakcent11"/>
              <w:numPr>
                <w:ilvl w:val="0"/>
                <w:numId w:val="33"/>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prowadzenie zajęć o charakterze sportowym i rekreacyjnym dla seniorów przez instruktorów z wykorzystaniem kadry i baz, jakie posiadają lokalne kluby sportowe, ośrodki sportu i rekreacji, baseny, hale sportowe itp.</w:t>
            </w:r>
          </w:p>
          <w:p w14:paraId="3D6CC1DF" w14:textId="77777777" w:rsidR="00311D18" w:rsidRPr="00D24DF9" w:rsidRDefault="00311D18" w:rsidP="00B14DF0">
            <w:pPr>
              <w:pStyle w:val="Kolorowalistaakcent11"/>
              <w:numPr>
                <w:ilvl w:val="0"/>
                <w:numId w:val="33"/>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hAnsi="Times New Roman"/>
                <w:sz w:val="20"/>
              </w:rPr>
              <w:t>rozwój małej infrastruktury sportowo – rekreacyjnej o charakterze wielopokoleniowym – Otwarte Strefy Aktywności – poprzez budowę ogólnodostępnych, plenerowych stref aktywności, skierowanych do różnych grup wiekowych oraz tworzenie przestrzeni aktywności sportowej, sprzyjającej międzypokoleniowej integracji społecznej</w:t>
            </w:r>
          </w:p>
        </w:tc>
        <w:tc>
          <w:tcPr>
            <w:tcW w:w="2032" w:type="dxa"/>
            <w:vMerge w:val="restart"/>
          </w:tcPr>
          <w:p w14:paraId="1056586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Sportu </w:t>
            </w:r>
            <w:r w:rsidRPr="00D24DF9">
              <w:rPr>
                <w:rFonts w:ascii="Times New Roman" w:eastAsia="MS Mincho" w:hAnsi="Times New Roman"/>
                <w:sz w:val="20"/>
              </w:rPr>
              <w:br/>
            </w:r>
          </w:p>
          <w:p w14:paraId="5B8A8A29"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val="restart"/>
          </w:tcPr>
          <w:p w14:paraId="6CE334D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636DFB4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inicjatyw mających na celu promowanie aktywności sportowej, rekreacyjnej, osób starszych ze zwróceniem uwagi na korzyści jakie ona przynosi seniorom</w:t>
            </w:r>
          </w:p>
        </w:tc>
      </w:tr>
      <w:tr w:rsidR="005F3D4B" w:rsidRPr="00D24DF9" w14:paraId="25C259CE" w14:textId="77777777" w:rsidTr="004D48DD">
        <w:trPr>
          <w:cnfStyle w:val="000000100000" w:firstRow="0" w:lastRow="0" w:firstColumn="0" w:lastColumn="0" w:oddVBand="0" w:evenVBand="0" w:oddHBand="1" w:evenHBand="0" w:firstRowFirstColumn="0" w:firstRowLastColumn="0" w:lastRowFirstColumn="0" w:lastRowLastColumn="0"/>
          <w:trHeight w:val="1124"/>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70D755B" w14:textId="77777777" w:rsidR="00311D18" w:rsidRPr="00D24DF9" w:rsidRDefault="00311D18" w:rsidP="003C1988">
            <w:pPr>
              <w:spacing w:after="0"/>
              <w:rPr>
                <w:rFonts w:ascii="Times New Roman" w:hAnsi="Times New Roman" w:cs="Times New Roman"/>
                <w:sz w:val="20"/>
              </w:rPr>
            </w:pPr>
          </w:p>
        </w:tc>
        <w:tc>
          <w:tcPr>
            <w:tcW w:w="3594" w:type="dxa"/>
            <w:vMerge/>
          </w:tcPr>
          <w:p w14:paraId="4A5BF6D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4519FE6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140D2B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7EE16E07" w14:textId="77777777" w:rsidR="00641273" w:rsidRPr="00D24DF9" w:rsidRDefault="0064127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W 2019 r. zrealizowano 34 projekty, stricte adresowane do osób starszych w wieku 50+, finansowane ze środków budżetu państwa, w których udział wzięło blisko 264 tysiące uczestników.</w:t>
            </w:r>
          </w:p>
          <w:p w14:paraId="29470CCA" w14:textId="77777777" w:rsidR="00311D18" w:rsidRPr="00D24DF9" w:rsidRDefault="0064127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rPr>
            </w:pPr>
            <w:r w:rsidRPr="00D24DF9">
              <w:rPr>
                <w:rFonts w:ascii="Times New Roman" w:eastAsia="MS Mincho" w:hAnsi="Times New Roman" w:cs="Times New Roman"/>
                <w:sz w:val="20"/>
              </w:rPr>
              <w:t xml:space="preserve">Ponadto, w ramach dofinansowania zadań ze środków Funduszu Rozwoju Kultury Fizycznej, </w:t>
            </w:r>
            <w:r w:rsidRPr="00D24DF9">
              <w:rPr>
                <w:rFonts w:ascii="Times New Roman" w:hAnsi="Times New Roman" w:cs="Times New Roman"/>
                <w:bCs/>
                <w:sz w:val="20"/>
              </w:rPr>
              <w:t xml:space="preserve"> udział </w:t>
            </w:r>
            <w:r w:rsidRPr="00D24DF9">
              <w:rPr>
                <w:rFonts w:ascii="Times New Roman" w:hAnsi="Times New Roman" w:cs="Times New Roman"/>
                <w:b/>
                <w:bCs/>
                <w:sz w:val="20"/>
              </w:rPr>
              <w:t xml:space="preserve"> </w:t>
            </w:r>
            <w:r w:rsidRPr="00D24DF9">
              <w:rPr>
                <w:rFonts w:ascii="Times New Roman" w:hAnsi="Times New Roman" w:cs="Times New Roman"/>
                <w:bCs/>
                <w:sz w:val="20"/>
              </w:rPr>
              <w:t>wzięło 5 751  osób niepełnosprawnych w wieku 50+, co stanowi</w:t>
            </w:r>
            <w:r w:rsidRPr="00D24DF9">
              <w:rPr>
                <w:rFonts w:ascii="Times New Roman" w:hAnsi="Times New Roman" w:cs="Times New Roman"/>
                <w:b/>
                <w:bCs/>
                <w:sz w:val="20"/>
              </w:rPr>
              <w:t xml:space="preserve"> </w:t>
            </w:r>
            <w:r w:rsidRPr="00D24DF9">
              <w:rPr>
                <w:rFonts w:ascii="Times New Roman" w:hAnsi="Times New Roman" w:cs="Times New Roman"/>
                <w:bCs/>
                <w:sz w:val="20"/>
              </w:rPr>
              <w:t xml:space="preserve">12,12 % ogółu uczestników zajęć, imprez, </w:t>
            </w:r>
            <w:r w:rsidRPr="00D24DF9">
              <w:rPr>
                <w:rFonts w:ascii="Times New Roman" w:hAnsi="Times New Roman" w:cs="Times New Roman"/>
                <w:sz w:val="20"/>
              </w:rPr>
              <w:t>Mistrzostw Polski, Pucharów Polski</w:t>
            </w:r>
            <w:r w:rsidR="00DC767F">
              <w:rPr>
                <w:rFonts w:ascii="Times New Roman" w:hAnsi="Times New Roman" w:cs="Times New Roman"/>
                <w:bCs/>
                <w:sz w:val="20"/>
              </w:rPr>
              <w:t xml:space="preserve"> i obozów sportowych.</w:t>
            </w:r>
          </w:p>
        </w:tc>
      </w:tr>
      <w:tr w:rsidR="005F3D4B" w:rsidRPr="00D24DF9" w14:paraId="421FC1B3" w14:textId="77777777" w:rsidTr="004D48DD">
        <w:trPr>
          <w:trHeight w:val="823"/>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BFC050F"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7E5AE66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Wzmocnienie turystyki grupowej </w:t>
            </w:r>
            <w:r w:rsidRPr="00D24DF9">
              <w:rPr>
                <w:rFonts w:ascii="Times New Roman" w:eastAsia="MS Mincho" w:hAnsi="Times New Roman"/>
                <w:sz w:val="20"/>
              </w:rPr>
              <w:br/>
              <w:t xml:space="preserve">i indywidualnej osób starszych poprzez </w:t>
            </w:r>
            <w:r w:rsidRPr="00D24DF9">
              <w:rPr>
                <w:rFonts w:ascii="Times New Roman" w:hAnsi="Times New Roman"/>
                <w:sz w:val="20"/>
              </w:rPr>
              <w:t>prowadzenie działań na rzecz zapewnienia warunków do bezpiecznego i aktywnego uprawiania turystyki</w:t>
            </w:r>
          </w:p>
        </w:tc>
        <w:tc>
          <w:tcPr>
            <w:tcW w:w="2032" w:type="dxa"/>
            <w:vMerge w:val="restart"/>
          </w:tcPr>
          <w:p w14:paraId="00457149"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Rozwoju </w:t>
            </w:r>
          </w:p>
          <w:p w14:paraId="0317A0D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val="restart"/>
          </w:tcPr>
          <w:p w14:paraId="3C81143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3EF27E1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inicjatyw na rzecz zapewnienia warunków do bezpiecznego i aktywnego uprawiania turystyki, w tym przez osoby starsze</w:t>
            </w:r>
          </w:p>
          <w:p w14:paraId="77DBB0E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5921A52C" w14:textId="77777777" w:rsidTr="004D48DD">
        <w:trPr>
          <w:cnfStyle w:val="000000100000" w:firstRow="0" w:lastRow="0" w:firstColumn="0" w:lastColumn="0" w:oddVBand="0" w:evenVBand="0" w:oddHBand="1" w:evenHBand="0" w:firstRowFirstColumn="0" w:firstRowLastColumn="0" w:lastRowFirstColumn="0" w:lastRowLastColumn="0"/>
          <w:trHeight w:val="823"/>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756DA0D" w14:textId="77777777" w:rsidR="00311D18" w:rsidRPr="00D24DF9" w:rsidRDefault="00311D18" w:rsidP="003C1988">
            <w:pPr>
              <w:spacing w:after="0"/>
              <w:rPr>
                <w:rFonts w:ascii="Times New Roman" w:hAnsi="Times New Roman" w:cs="Times New Roman"/>
                <w:sz w:val="20"/>
              </w:rPr>
            </w:pPr>
          </w:p>
        </w:tc>
        <w:tc>
          <w:tcPr>
            <w:tcW w:w="3594" w:type="dxa"/>
            <w:vMerge/>
          </w:tcPr>
          <w:p w14:paraId="39F7FF6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7A0D4A8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6AF248BB"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6BDD26A4" w14:textId="77777777" w:rsidR="00177B13" w:rsidRPr="00D24DF9" w:rsidRDefault="00DC767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Pr>
                <w:rFonts w:ascii="Times New Roman" w:eastAsia="MS Mincho" w:hAnsi="Times New Roman" w:cs="Times New Roman"/>
                <w:sz w:val="20"/>
              </w:rPr>
              <w:t>Ministerstwo Rozwoju</w:t>
            </w:r>
            <w:r w:rsidR="00177B13" w:rsidRPr="00D24DF9">
              <w:rPr>
                <w:rFonts w:ascii="Times New Roman" w:eastAsia="MS Mincho" w:hAnsi="Times New Roman" w:cs="Times New Roman"/>
                <w:sz w:val="20"/>
              </w:rPr>
              <w:t xml:space="preserve"> co roku organizuje ko</w:t>
            </w:r>
            <w:r>
              <w:rPr>
                <w:rFonts w:ascii="Times New Roman" w:eastAsia="MS Mincho" w:hAnsi="Times New Roman" w:cs="Times New Roman"/>
                <w:sz w:val="20"/>
              </w:rPr>
              <w:t xml:space="preserve">nkurs ofert na realizację zadań </w:t>
            </w:r>
            <w:r w:rsidR="00177B13" w:rsidRPr="00D24DF9">
              <w:rPr>
                <w:rFonts w:ascii="Times New Roman" w:eastAsia="MS Mincho" w:hAnsi="Times New Roman" w:cs="Times New Roman"/>
                <w:sz w:val="20"/>
              </w:rPr>
              <w:t>publicznych z zakresu turystyk</w:t>
            </w:r>
            <w:r>
              <w:rPr>
                <w:rFonts w:ascii="Times New Roman" w:eastAsia="MS Mincho" w:hAnsi="Times New Roman" w:cs="Times New Roman"/>
                <w:sz w:val="20"/>
              </w:rPr>
              <w:t xml:space="preserve">i. W 2019 r. jednym z </w:t>
            </w:r>
            <w:r w:rsidR="00177B13" w:rsidRPr="00D24DF9">
              <w:rPr>
                <w:rFonts w:ascii="Times New Roman" w:eastAsia="MS Mincho" w:hAnsi="Times New Roman" w:cs="Times New Roman"/>
                <w:sz w:val="20"/>
              </w:rPr>
              <w:t>priorytetów było działanie n</w:t>
            </w:r>
            <w:r>
              <w:rPr>
                <w:rFonts w:ascii="Times New Roman" w:eastAsia="MS Mincho" w:hAnsi="Times New Roman" w:cs="Times New Roman"/>
                <w:sz w:val="20"/>
              </w:rPr>
              <w:t xml:space="preserve">a rzecz zwiększenia dostępności </w:t>
            </w:r>
            <w:r w:rsidR="00177B13" w:rsidRPr="00D24DF9">
              <w:rPr>
                <w:rFonts w:ascii="Times New Roman" w:eastAsia="MS Mincho" w:hAnsi="Times New Roman" w:cs="Times New Roman"/>
                <w:sz w:val="20"/>
              </w:rPr>
              <w:t>turystyki dla osób z niepełnosprawnościami. Wśród</w:t>
            </w:r>
          </w:p>
          <w:p w14:paraId="1E205366"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aktywnych turystycznie osób z niepełnosprawnościami około</w:t>
            </w:r>
          </w:p>
          <w:p w14:paraId="592C203B"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 to osoby powyżej 55. roku życia. Z wielu ułatwień</w:t>
            </w:r>
          </w:p>
          <w:p w14:paraId="0CDD6FC6"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lastRenderedPageBreak/>
              <w:t>dedykowanych dla tych osób korzystają również osoby</w:t>
            </w:r>
          </w:p>
          <w:p w14:paraId="2615A778"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starsze z uwagi na obniżenie sprawności ogólnej. Łącznie</w:t>
            </w:r>
          </w:p>
          <w:p w14:paraId="27C66456"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dofinansowano pięć zadań na kwotę 415 604,00 zł.</w:t>
            </w:r>
          </w:p>
          <w:p w14:paraId="0104047F"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Kolejnym priorytetem w konkursie ofert była renowacja i</w:t>
            </w:r>
          </w:p>
          <w:p w14:paraId="122D3A08"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wytyczanie szlaków turystycznych. W ramach priorytetu</w:t>
            </w:r>
          </w:p>
          <w:p w14:paraId="6C17F9BB"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zrealizowano 7 zadań na łączną kwotę 1 510 081 zł. W</w:t>
            </w:r>
          </w:p>
          <w:p w14:paraId="6ED46272"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wyniku prac odnowiono i wytyczono 8 013,87 km szlaków</w:t>
            </w:r>
          </w:p>
          <w:p w14:paraId="64D19A09"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turystycznych (3 213,6 km szlaków pieszych nizinnych,</w:t>
            </w:r>
          </w:p>
          <w:p w14:paraId="580F3764"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3 143,70 km szlaków górskich, 1 626,57 km szlaków</w:t>
            </w:r>
          </w:p>
          <w:p w14:paraId="5ACCD549"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rowerowych oraz 30 km kajakowych). Dobrze wytyczone i</w:t>
            </w:r>
          </w:p>
          <w:p w14:paraId="7F1F492D"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przygotowane technicznie szlaki są podstawą aktywizacji</w:t>
            </w:r>
          </w:p>
          <w:p w14:paraId="6E47469F" w14:textId="77777777" w:rsidR="00177B13"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osób starszych. Pozwalają na spacerowanie w sprzyjających i</w:t>
            </w:r>
          </w:p>
          <w:p w14:paraId="3F6D2498" w14:textId="77777777" w:rsidR="00311D18" w:rsidRPr="00D24DF9" w:rsidRDefault="00177B1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bezpiecznych warunkach.</w:t>
            </w:r>
          </w:p>
        </w:tc>
      </w:tr>
      <w:tr w:rsidR="005F3D4B" w:rsidRPr="00D24DF9" w14:paraId="5E22162B" w14:textId="77777777" w:rsidTr="004D48DD">
        <w:trPr>
          <w:trHeight w:val="693"/>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7ACA6D89"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2D917D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Propagowanie włączenia społecznego osób starszych, szczególnie pozostających w domu, przez używanie Internetu i innych technologii teleinformatycznych do korzystania z dóbr kultury, rozrywki, edukacji oraz komunikacji z innymi osobami</w:t>
            </w:r>
          </w:p>
        </w:tc>
        <w:tc>
          <w:tcPr>
            <w:tcW w:w="2032" w:type="dxa"/>
            <w:vMerge w:val="restart"/>
          </w:tcPr>
          <w:p w14:paraId="1D7411F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Cyfryzacji</w:t>
            </w:r>
          </w:p>
        </w:tc>
        <w:tc>
          <w:tcPr>
            <w:tcW w:w="1500" w:type="dxa"/>
            <w:vMerge w:val="restart"/>
          </w:tcPr>
          <w:p w14:paraId="08E2AE9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7B50999D"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Odsetek osób w wieku 55-74 korzystających z Internetu</w:t>
            </w:r>
          </w:p>
        </w:tc>
      </w:tr>
      <w:tr w:rsidR="005F3D4B" w:rsidRPr="00D24DF9" w14:paraId="6C880D0C" w14:textId="77777777" w:rsidTr="004D48DD">
        <w:trPr>
          <w:cnfStyle w:val="000000100000" w:firstRow="0" w:lastRow="0" w:firstColumn="0" w:lastColumn="0" w:oddVBand="0" w:evenVBand="0" w:oddHBand="1" w:evenHBand="0" w:firstRowFirstColumn="0" w:firstRowLastColumn="0" w:lastRowFirstColumn="0" w:lastRowLastColumn="0"/>
          <w:trHeight w:val="115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CB94C75" w14:textId="77777777" w:rsidR="00311D18" w:rsidRPr="00D24DF9" w:rsidRDefault="00311D18" w:rsidP="003C1988">
            <w:pPr>
              <w:spacing w:after="0"/>
              <w:rPr>
                <w:rFonts w:ascii="Times New Roman" w:hAnsi="Times New Roman" w:cs="Times New Roman"/>
                <w:sz w:val="20"/>
              </w:rPr>
            </w:pPr>
          </w:p>
        </w:tc>
        <w:tc>
          <w:tcPr>
            <w:tcW w:w="3594" w:type="dxa"/>
            <w:vMerge/>
          </w:tcPr>
          <w:p w14:paraId="4BB7005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4695E42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7F5E630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630968CB" w14:textId="77777777" w:rsidR="00A67392" w:rsidRPr="00D24DF9" w:rsidRDefault="00A67392"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 – 54%</w:t>
            </w:r>
          </w:p>
          <w:p w14:paraId="7B061393" w14:textId="77777777" w:rsidR="00311D18" w:rsidRPr="00D24DF9" w:rsidRDefault="00A67392"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2019 – 61%</w:t>
            </w:r>
          </w:p>
          <w:p w14:paraId="3329FAD2" w14:textId="77777777" w:rsidR="00987D74" w:rsidRPr="00D24DF9" w:rsidRDefault="00987D74"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hAnsi="Times New Roman" w:cs="Times New Roman"/>
                <w:sz w:val="20"/>
              </w:rPr>
              <w:t xml:space="preserve">W celu zachęcenia seniorów do korzystania z Internetu prowadzona jest kampania edukacyjno-informacyjna w różnych mediach. Kampania jest prowadzona w ramach realizowanego przez Ministerstwo Cyfryzacji wspólnie z Państwowym Instytutem Badawczym (NASK) projektu pt.: </w:t>
            </w:r>
            <w:r w:rsidRPr="00D24DF9">
              <w:rPr>
                <w:rFonts w:ascii="Times New Roman" w:hAnsi="Times New Roman" w:cs="Times New Roman"/>
                <w:i/>
                <w:sz w:val="20"/>
              </w:rPr>
              <w:t>„Kampanie edukacyjno-informacyjne na rzecz upowszechnienia korzyści z wykorzystywania technologii cyfrowych”.</w:t>
            </w:r>
            <w:r w:rsidRPr="00D24DF9">
              <w:rPr>
                <w:rFonts w:ascii="Times New Roman" w:hAnsi="Times New Roman" w:cs="Times New Roman"/>
                <w:sz w:val="20"/>
              </w:rPr>
              <w:t xml:space="preserve"> Projekt jest  dofinansowany ze środków europejskich w ramach działania 3.4. Programu Operacyjnego Polska Cyfrowa. Więcej informacji dot. prowadzonych  kampanii zostały zamieszczone w punkcie „Kształtowanie lub wzmacnianie kompetencji seniorów w zakresie nowych mediów przez realizację kampanii informacyjno-edukacyjnych oraz szkoleń”.</w:t>
            </w:r>
          </w:p>
        </w:tc>
      </w:tr>
      <w:tr w:rsidR="005F3D4B" w:rsidRPr="00D24DF9" w14:paraId="4875B26A" w14:textId="77777777" w:rsidTr="004D48DD">
        <w:trPr>
          <w:trHeight w:val="499"/>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3A697F7E"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7C4CE19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Wspieranie istniejących związków wyznaniowych zrzeszających osoby starsze</w:t>
            </w:r>
          </w:p>
        </w:tc>
        <w:tc>
          <w:tcPr>
            <w:tcW w:w="2032" w:type="dxa"/>
            <w:vMerge w:val="restart"/>
          </w:tcPr>
          <w:p w14:paraId="2C77F989"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Rodziny, Pracy i Polityki Społecznej</w:t>
            </w:r>
          </w:p>
        </w:tc>
        <w:tc>
          <w:tcPr>
            <w:tcW w:w="1500" w:type="dxa"/>
            <w:vMerge w:val="restart"/>
          </w:tcPr>
          <w:p w14:paraId="11ACCAE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2CF1848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związków wyznaniowych zrzeszających osoby starsze wspartych przez jednostki samorządu terytorialnego</w:t>
            </w:r>
          </w:p>
        </w:tc>
      </w:tr>
      <w:tr w:rsidR="005F3D4B" w:rsidRPr="00D24DF9" w14:paraId="08715413"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64A6D03" w14:textId="77777777" w:rsidR="00311D18" w:rsidRPr="00D24DF9" w:rsidRDefault="00311D18" w:rsidP="003C1988">
            <w:pPr>
              <w:spacing w:after="0"/>
              <w:rPr>
                <w:rFonts w:ascii="Times New Roman" w:hAnsi="Times New Roman" w:cs="Times New Roman"/>
                <w:sz w:val="20"/>
              </w:rPr>
            </w:pPr>
          </w:p>
        </w:tc>
        <w:tc>
          <w:tcPr>
            <w:tcW w:w="3594" w:type="dxa"/>
            <w:vMerge/>
          </w:tcPr>
          <w:p w14:paraId="50450A7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03B06E0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2279A56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2FCA8C3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13A47EA8"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7EB324AE"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99327D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Rozwój parafialnych grup seniora, prowadzonych przez wolontariuszy parafialnych, we współpracy </w:t>
            </w:r>
            <w:r w:rsidRPr="00D24DF9">
              <w:rPr>
                <w:rFonts w:ascii="Times New Roman" w:eastAsia="MS Mincho" w:hAnsi="Times New Roman"/>
                <w:sz w:val="20"/>
              </w:rPr>
              <w:br/>
              <w:t>z duszpasterzami, promujących systematyczne spotkania we wspólnocie</w:t>
            </w:r>
          </w:p>
        </w:tc>
        <w:tc>
          <w:tcPr>
            <w:tcW w:w="2032" w:type="dxa"/>
            <w:vMerge w:val="restart"/>
          </w:tcPr>
          <w:p w14:paraId="5D6D1E7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Rodziny, Pracy i Polityki Społecznej</w:t>
            </w:r>
          </w:p>
        </w:tc>
        <w:tc>
          <w:tcPr>
            <w:tcW w:w="1500" w:type="dxa"/>
            <w:vMerge w:val="restart"/>
          </w:tcPr>
          <w:p w14:paraId="3E371C5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63461BC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parafialnych grup seniora prowadzonych przez wolontariuszy parafialnych we współpracy z duszpasterzami, promujących systematyczne spotkania we wspólnocie</w:t>
            </w:r>
          </w:p>
        </w:tc>
      </w:tr>
      <w:tr w:rsidR="005F3D4B" w:rsidRPr="00D24DF9" w14:paraId="52AE5FB7"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89BB2F2" w14:textId="77777777" w:rsidR="00311D18" w:rsidRPr="00D24DF9" w:rsidRDefault="00311D18" w:rsidP="003C1988">
            <w:pPr>
              <w:spacing w:after="0"/>
              <w:rPr>
                <w:rFonts w:ascii="Times New Roman" w:hAnsi="Times New Roman" w:cs="Times New Roman"/>
                <w:sz w:val="20"/>
              </w:rPr>
            </w:pPr>
          </w:p>
        </w:tc>
        <w:tc>
          <w:tcPr>
            <w:tcW w:w="3594" w:type="dxa"/>
            <w:vMerge/>
          </w:tcPr>
          <w:p w14:paraId="782CC56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89EECC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3EF0DE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74F413F4"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002BA323"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vAlign w:val="center"/>
          </w:tcPr>
          <w:p w14:paraId="069AD4DD" w14:textId="77777777" w:rsidR="00311D18" w:rsidRPr="00D24DF9" w:rsidRDefault="00311D18" w:rsidP="003C1988">
            <w:pPr>
              <w:spacing w:after="0"/>
              <w:ind w:left="113" w:right="113"/>
              <w:rPr>
                <w:rFonts w:ascii="Times New Roman" w:hAnsi="Times New Roman" w:cs="Times New Roman"/>
                <w:sz w:val="20"/>
              </w:rPr>
            </w:pPr>
            <w:r w:rsidRPr="00D24DF9">
              <w:rPr>
                <w:rFonts w:ascii="Times New Roman" w:hAnsi="Times New Roman" w:cs="Times New Roman"/>
                <w:sz w:val="20"/>
              </w:rPr>
              <w:t>Obszar III</w:t>
            </w:r>
          </w:p>
        </w:tc>
        <w:tc>
          <w:tcPr>
            <w:tcW w:w="3594" w:type="dxa"/>
            <w:vMerge w:val="restart"/>
            <w:shd w:val="clear" w:color="auto" w:fill="D9E2F3" w:themeFill="accent5" w:themeFillTint="33"/>
          </w:tcPr>
          <w:p w14:paraId="7CE4CC8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Podejmowanie działań mających na celu przeciwdziałanie wykluczeniu ekonomicznemu i ubóstwu osób starszych</w:t>
            </w:r>
          </w:p>
        </w:tc>
        <w:tc>
          <w:tcPr>
            <w:tcW w:w="2032" w:type="dxa"/>
            <w:vMerge w:val="restart"/>
          </w:tcPr>
          <w:p w14:paraId="7087DB6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Rodziny, Pracy i Polityki Społecznej</w:t>
            </w:r>
          </w:p>
        </w:tc>
        <w:tc>
          <w:tcPr>
            <w:tcW w:w="1500" w:type="dxa"/>
            <w:vMerge w:val="restart"/>
          </w:tcPr>
          <w:p w14:paraId="26F9798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4BB7176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nowych inicjatyw mających na celu przeciwdziałanie wykluczeniu ekonomicznemu i ubóstwu osób starszych</w:t>
            </w:r>
          </w:p>
          <w:p w14:paraId="4A0A174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474C4373"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51E2CDD" w14:textId="77777777" w:rsidR="00311D18" w:rsidRPr="00D24DF9" w:rsidRDefault="00311D18" w:rsidP="003C1988">
            <w:pPr>
              <w:spacing w:after="0"/>
              <w:rPr>
                <w:rFonts w:ascii="Times New Roman" w:hAnsi="Times New Roman" w:cs="Times New Roman"/>
                <w:sz w:val="20"/>
              </w:rPr>
            </w:pPr>
          </w:p>
        </w:tc>
        <w:tc>
          <w:tcPr>
            <w:tcW w:w="3594" w:type="dxa"/>
            <w:vMerge/>
          </w:tcPr>
          <w:p w14:paraId="11ABE82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0AF5646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031892AB"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60BF4ACA" w14:textId="77777777" w:rsidR="005472AB" w:rsidRPr="00D24DF9" w:rsidRDefault="005472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5"/>
                <w:sz w:val="20"/>
              </w:rPr>
            </w:pPr>
            <w:r w:rsidRPr="00D24DF9">
              <w:rPr>
                <w:rFonts w:ascii="Times New Roman" w:hAnsi="Times New Roman" w:cs="Times New Roman"/>
                <w:sz w:val="20"/>
              </w:rPr>
              <w:t xml:space="preserve">Zgodnie z </w:t>
            </w:r>
            <w:r w:rsidRPr="00386705">
              <w:rPr>
                <w:rFonts w:ascii="Times New Roman" w:hAnsi="Times New Roman" w:cs="Times New Roman"/>
                <w:i/>
                <w:sz w:val="20"/>
              </w:rPr>
              <w:t xml:space="preserve">nowelizacją ustawy </w:t>
            </w:r>
            <w:r w:rsidRPr="00386705">
              <w:rPr>
                <w:rFonts w:ascii="Times New Roman" w:hAnsi="Times New Roman" w:cs="Times New Roman"/>
                <w:i/>
                <w:spacing w:val="-5"/>
                <w:sz w:val="20"/>
              </w:rPr>
              <w:t xml:space="preserve">z dnia 5 grudnia 2014 r. o Karcie Dużej Rodziny </w:t>
            </w:r>
            <w:r w:rsidRPr="00D24DF9">
              <w:rPr>
                <w:rFonts w:ascii="Times New Roman" w:hAnsi="Times New Roman" w:cs="Times New Roman"/>
                <w:sz w:val="20"/>
              </w:rPr>
              <w:t xml:space="preserve">od 1 stycznia 2019 r. </w:t>
            </w:r>
            <w:r w:rsidRPr="00D24DF9">
              <w:rPr>
                <w:rFonts w:ascii="Times New Roman" w:hAnsi="Times New Roman" w:cs="Times New Roman"/>
                <w:spacing w:val="-5"/>
                <w:sz w:val="20"/>
              </w:rPr>
              <w:t xml:space="preserve">prawo do posiadania Karty Dużej Rodziny przysługuje wszystkim rodzicom oraz małżonkom rodziców, którzy mają lub kiedykolwiek mieli na utrzymaniu łącznie co najmniej troje dzieci. Wprowadzenie powyższej zmiany, umożliwia posiadanie Karty Dużej Rodziny rodzicom, którzy posiadają lub posiadali na utrzymaniu dzieci. Takie rozwiązanie zapewnia zniżki na podstawie Karty Dużej Rodziny także osobom starszym, które miały na utrzymaniu trójkę dzieci. </w:t>
            </w:r>
          </w:p>
          <w:p w14:paraId="25A508B8" w14:textId="77777777" w:rsidR="005472AB" w:rsidRPr="00D24DF9" w:rsidRDefault="005472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pacing w:val="-5"/>
                <w:sz w:val="20"/>
              </w:rPr>
            </w:pPr>
            <w:r w:rsidRPr="00D24DF9">
              <w:rPr>
                <w:rFonts w:ascii="Times New Roman" w:hAnsi="Times New Roman" w:cs="Times New Roman"/>
                <w:spacing w:val="-5"/>
                <w:sz w:val="20"/>
              </w:rPr>
              <w:t xml:space="preserve">Według stanu na dzień 31 grudnia 2019 r., z nowych uprawnień skorzystało 575 928 rodziców i małżonków rodziców, a obecnie - 667 750. Posiadacze Karty Dużej Rodziny mogą korzystać z szerokiego zakresu zniżek i usług skierowanych do rodzin wielodzietnych. W całym kraju zniżki świadczone są w ponad 26 tys. miejsc. </w:t>
            </w:r>
          </w:p>
        </w:tc>
      </w:tr>
      <w:tr w:rsidR="005F3D4B" w:rsidRPr="00D24DF9" w14:paraId="2FBFC473" w14:textId="77777777" w:rsidTr="004D48DD">
        <w:trPr>
          <w:trHeight w:val="521"/>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3C46CFD"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1961A6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Dokonanie analizy problematyki dotyczącej tzw. renty dożywotniej pod kątem zapewnienia ochrony osób starszych, będących stroną umów o rentę dożywotnią</w:t>
            </w:r>
          </w:p>
        </w:tc>
        <w:tc>
          <w:tcPr>
            <w:tcW w:w="2032" w:type="dxa"/>
            <w:vMerge w:val="restart"/>
            <w:shd w:val="clear" w:color="auto" w:fill="FFFFFF" w:themeFill="background1"/>
          </w:tcPr>
          <w:p w14:paraId="66808C6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Sprawiedliwości </w:t>
            </w:r>
          </w:p>
          <w:p w14:paraId="6C965BB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5F48C28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2019-2022</w:t>
            </w:r>
          </w:p>
        </w:tc>
        <w:tc>
          <w:tcPr>
            <w:tcW w:w="5638" w:type="dxa"/>
          </w:tcPr>
          <w:p w14:paraId="055BD9D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Przedstawienie rekomendacji wynikających z dokonanej analizy</w:t>
            </w:r>
          </w:p>
        </w:tc>
      </w:tr>
      <w:tr w:rsidR="005F3D4B" w:rsidRPr="00D24DF9" w14:paraId="7C66A0C5"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AE038FB" w14:textId="77777777" w:rsidR="00311D18" w:rsidRPr="00D24DF9" w:rsidRDefault="00311D18" w:rsidP="003C1988">
            <w:pPr>
              <w:spacing w:after="0"/>
              <w:rPr>
                <w:rFonts w:ascii="Times New Roman" w:hAnsi="Times New Roman" w:cs="Times New Roman"/>
                <w:sz w:val="20"/>
              </w:rPr>
            </w:pPr>
          </w:p>
        </w:tc>
        <w:tc>
          <w:tcPr>
            <w:tcW w:w="3594" w:type="dxa"/>
            <w:vMerge/>
          </w:tcPr>
          <w:p w14:paraId="36F6E0C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381A2C3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5F1E8EA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325436C6" w14:textId="77777777" w:rsidR="005314AB" w:rsidRPr="00386705" w:rsidRDefault="005314AB" w:rsidP="008C71A9">
            <w:pPr>
              <w:pStyle w:val="Akapitzlist"/>
              <w:numPr>
                <w:ilvl w:val="0"/>
                <w:numId w:val="231"/>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386705">
              <w:rPr>
                <w:rFonts w:ascii="Times New Roman" w:eastAsia="MS Mincho" w:hAnsi="Times New Roman" w:cs="Times New Roman"/>
                <w:sz w:val="20"/>
              </w:rPr>
              <w:t>w marcu 2020 r. podjęto prace analityczne dotyczące</w:t>
            </w:r>
          </w:p>
          <w:p w14:paraId="63C61F0C" w14:textId="77777777" w:rsidR="005314AB"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przekazywania przez konsumentów – seniorów</w:t>
            </w:r>
          </w:p>
          <w:p w14:paraId="42A1F663" w14:textId="77777777" w:rsidR="005314AB"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nieruchomości na rzecz podmiotów rynkowych w zamian za</w:t>
            </w:r>
          </w:p>
          <w:p w14:paraId="5A760470" w14:textId="77777777" w:rsidR="00386705"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wypłatę dożywo</w:t>
            </w:r>
            <w:r w:rsidR="00386705">
              <w:rPr>
                <w:rFonts w:ascii="Times New Roman" w:eastAsia="MS Mincho" w:hAnsi="Times New Roman" w:cs="Times New Roman"/>
                <w:sz w:val="20"/>
              </w:rPr>
              <w:t>tniego świadczenia pieniężnego.</w:t>
            </w:r>
          </w:p>
          <w:p w14:paraId="7C9519AC" w14:textId="77777777" w:rsidR="005314AB" w:rsidRPr="00386705" w:rsidRDefault="005314AB" w:rsidP="008C71A9">
            <w:pPr>
              <w:pStyle w:val="Akapitzlist"/>
              <w:numPr>
                <w:ilvl w:val="0"/>
                <w:numId w:val="23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386705">
              <w:rPr>
                <w:rFonts w:ascii="Times New Roman" w:eastAsia="MS Mincho" w:hAnsi="Times New Roman" w:cs="Times New Roman"/>
                <w:sz w:val="20"/>
              </w:rPr>
              <w:lastRenderedPageBreak/>
              <w:t>w dniu 2 czerwca 2020 r. odbyło się spotkanie z</w:t>
            </w:r>
          </w:p>
          <w:p w14:paraId="7F06C548" w14:textId="77777777" w:rsidR="005314AB"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przedstawicielami UOKiK, MF i UKNF, którego celem było</w:t>
            </w:r>
          </w:p>
          <w:p w14:paraId="41CB4747" w14:textId="77777777" w:rsidR="005314AB"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omówienie rozwiązań prawnych, gwarantujących</w:t>
            </w:r>
          </w:p>
          <w:p w14:paraId="2E7A4CD4" w14:textId="77777777" w:rsidR="005314AB"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bezpieczeństwo prawne obywateli przed nadużyciami i</w:t>
            </w:r>
          </w:p>
          <w:p w14:paraId="24E23948" w14:textId="77777777" w:rsidR="005314AB"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nieprawidłowościami, jaki mogą powstać w związku z</w:t>
            </w:r>
          </w:p>
          <w:p w14:paraId="15BC57F3" w14:textId="77777777" w:rsidR="005314AB"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przejęciem nieruchomości w zamian za dożywotnie</w:t>
            </w:r>
          </w:p>
          <w:p w14:paraId="7586C21E" w14:textId="77777777" w:rsidR="005314AB"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świadczenie pieniężne oraz kierunku ewentualnych zmian</w:t>
            </w:r>
          </w:p>
          <w:p w14:paraId="4DD1E59E" w14:textId="77777777" w:rsidR="00386705" w:rsidRDefault="0038670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Pr>
                <w:rFonts w:ascii="Times New Roman" w:eastAsia="MS Mincho" w:hAnsi="Times New Roman" w:cs="Times New Roman"/>
                <w:sz w:val="20"/>
              </w:rPr>
              <w:t>legislacyjnych;</w:t>
            </w:r>
          </w:p>
          <w:p w14:paraId="0862CDD2" w14:textId="77777777" w:rsidR="005314AB" w:rsidRPr="00386705" w:rsidRDefault="00386705" w:rsidP="008C71A9">
            <w:pPr>
              <w:pStyle w:val="Akapitzlist"/>
              <w:numPr>
                <w:ilvl w:val="0"/>
                <w:numId w:val="23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Pr>
                <w:rFonts w:ascii="Times New Roman" w:eastAsia="MS Mincho" w:hAnsi="Times New Roman" w:cs="Times New Roman"/>
                <w:sz w:val="20"/>
              </w:rPr>
              <w:t xml:space="preserve">w </w:t>
            </w:r>
            <w:r w:rsidR="005314AB" w:rsidRPr="00386705">
              <w:rPr>
                <w:rFonts w:ascii="Times New Roman" w:eastAsia="MS Mincho" w:hAnsi="Times New Roman" w:cs="Times New Roman"/>
                <w:sz w:val="20"/>
              </w:rPr>
              <w:t>dniu 8 czerwca 2020 r. przedstawiono wstępny projekt</w:t>
            </w:r>
          </w:p>
          <w:p w14:paraId="517EA896" w14:textId="77777777" w:rsidR="005314AB"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ustawy o zmianie ustawy - Kodeks cywilny.</w:t>
            </w:r>
          </w:p>
          <w:p w14:paraId="03165E49" w14:textId="77777777" w:rsidR="005314AB" w:rsidRPr="00D24DF9" w:rsidRDefault="0038670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Pr>
                <w:rFonts w:ascii="Times New Roman" w:eastAsia="MS Mincho" w:hAnsi="Times New Roman" w:cs="Times New Roman"/>
                <w:sz w:val="20"/>
              </w:rPr>
              <w:t xml:space="preserve">Ponadto, </w:t>
            </w:r>
            <w:r w:rsidR="0011067F">
              <w:rPr>
                <w:rFonts w:ascii="Times New Roman" w:eastAsia="MS Mincho" w:hAnsi="Times New Roman" w:cs="Times New Roman"/>
                <w:sz w:val="20"/>
              </w:rPr>
              <w:t xml:space="preserve">zrealizowano </w:t>
            </w:r>
            <w:r w:rsidR="005314AB" w:rsidRPr="00D24DF9">
              <w:rPr>
                <w:rFonts w:ascii="Times New Roman" w:eastAsia="MS Mincho" w:hAnsi="Times New Roman" w:cs="Times New Roman"/>
                <w:sz w:val="20"/>
              </w:rPr>
              <w:t>zajęcia szkolenio</w:t>
            </w:r>
            <w:r w:rsidR="0011067F">
              <w:rPr>
                <w:rFonts w:ascii="Times New Roman" w:eastAsia="MS Mincho" w:hAnsi="Times New Roman" w:cs="Times New Roman"/>
                <w:sz w:val="20"/>
              </w:rPr>
              <w:t>we podczas XI zjazdu 8 rocznika</w:t>
            </w:r>
            <w:r w:rsidR="005314AB" w:rsidRPr="00D24DF9">
              <w:rPr>
                <w:rFonts w:ascii="Times New Roman" w:eastAsia="MS Mincho" w:hAnsi="Times New Roman" w:cs="Times New Roman"/>
                <w:sz w:val="20"/>
              </w:rPr>
              <w:t>aplikacji sędziowskiej: Prawo cywilne materialne: prawo</w:t>
            </w:r>
          </w:p>
          <w:p w14:paraId="0C2BB731" w14:textId="77777777" w:rsidR="005314AB"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rzeczowe, w ramach którego omówiono m.in. umowę</w:t>
            </w:r>
          </w:p>
          <w:p w14:paraId="041F8DC7"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eastAsia="MS Mincho" w:hAnsi="Times New Roman" w:cs="Times New Roman"/>
                <w:sz w:val="20"/>
              </w:rPr>
              <w:t xml:space="preserve">dożywocia, darowizny, przekazania gospodarstwa rolnego, </w:t>
            </w:r>
            <w:r w:rsidRPr="00D24DF9">
              <w:rPr>
                <w:rFonts w:ascii="Times New Roman" w:hAnsi="Times New Roman" w:cs="Times New Roman"/>
                <w:sz w:val="20"/>
              </w:rPr>
              <w:t xml:space="preserve"> prawa własności, użytkowania wieczystego oraz</w:t>
            </w:r>
          </w:p>
          <w:p w14:paraId="498EAD87"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ograniczonych praw rzeczowych.</w:t>
            </w:r>
          </w:p>
          <w:p w14:paraId="01A3DF01"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Liczba przeszkolonych aplikantów – 107 osób.</w:t>
            </w:r>
          </w:p>
          <w:p w14:paraId="06AED679" w14:textId="77777777" w:rsidR="005314AB"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hAnsi="Times New Roman" w:cs="Times New Roman"/>
                <w:sz w:val="20"/>
              </w:rPr>
              <w:t>Zajęcia odbywały się w dniach 11-15.03.2019 r.</w:t>
            </w:r>
          </w:p>
        </w:tc>
      </w:tr>
      <w:tr w:rsidR="005F3D4B" w:rsidRPr="00D24DF9" w14:paraId="56641BFC" w14:textId="77777777" w:rsidTr="004D48DD">
        <w:trPr>
          <w:trHeight w:val="603"/>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8328F7B"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16B71EC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Zapewnianie osobom starszym dostępu do usług edukacyjnych świadczonych w ramach uczenia się przez całe życie</w:t>
            </w:r>
          </w:p>
        </w:tc>
        <w:tc>
          <w:tcPr>
            <w:tcW w:w="2032" w:type="dxa"/>
            <w:vMerge w:val="restart"/>
          </w:tcPr>
          <w:p w14:paraId="0A23870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Edukacji Narodowej, Ministerstwo Nauki i Szkolnictwa Wyższego</w:t>
            </w:r>
          </w:p>
          <w:p w14:paraId="0FFF611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val="restart"/>
          </w:tcPr>
          <w:p w14:paraId="533BC75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375BC36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Odsetek osób starszych korzystających z usług edukacyjnych, świadczonych w ramach uczenia się przez całe życie</w:t>
            </w:r>
          </w:p>
        </w:tc>
      </w:tr>
      <w:tr w:rsidR="005F3D4B" w:rsidRPr="00D24DF9" w14:paraId="66C896C0"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9927D05" w14:textId="77777777" w:rsidR="00311D18" w:rsidRPr="00D24DF9" w:rsidRDefault="00311D18" w:rsidP="003C1988">
            <w:pPr>
              <w:spacing w:after="0"/>
              <w:rPr>
                <w:rFonts w:ascii="Times New Roman" w:hAnsi="Times New Roman" w:cs="Times New Roman"/>
                <w:sz w:val="20"/>
              </w:rPr>
            </w:pPr>
          </w:p>
        </w:tc>
        <w:tc>
          <w:tcPr>
            <w:tcW w:w="3594" w:type="dxa"/>
            <w:vMerge/>
          </w:tcPr>
          <w:p w14:paraId="63D306E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1BD915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507D3E8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6FD56470" w14:textId="77777777" w:rsidR="00D31655" w:rsidRPr="00D24DF9" w:rsidRDefault="00D3165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Odsetek osób w wieku 55-74 lat uczestniczących w kształceniu i szkoleniu w okresie 4 tygodni przed badaniem w 2019 </w:t>
            </w:r>
            <w:r w:rsidR="0011067F">
              <w:rPr>
                <w:rFonts w:ascii="Times New Roman" w:eastAsia="MS Mincho" w:hAnsi="Times New Roman" w:cs="Times New Roman"/>
                <w:sz w:val="20"/>
              </w:rPr>
              <w:t xml:space="preserve">r. </w:t>
            </w:r>
            <w:r w:rsidRPr="00D24DF9">
              <w:rPr>
                <w:rFonts w:ascii="Times New Roman" w:eastAsia="MS Mincho" w:hAnsi="Times New Roman" w:cs="Times New Roman"/>
                <w:sz w:val="20"/>
              </w:rPr>
              <w:t xml:space="preserve">według Badania Aktywności Ekonomicznej Ludności (Labour Force Survey): Polska – 1,4%, UE27 – 4,8%, w tym w edukacji formalnej w UE – 0,3% (brak uwzględnienia danych z Polski ze względu na ich małą wiarygodność), w edukacji pozaformalnej w Polsce – 1,4%, w UE27 – 4,5%. </w:t>
            </w:r>
          </w:p>
          <w:p w14:paraId="687B05E2" w14:textId="77777777" w:rsidR="00D31655" w:rsidRPr="00D24DF9" w:rsidRDefault="00D3165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Odsetek osób w wieku 55-64 lat uczestniczących w kształceniu i szkoleniu (obowiązkowym i nieobowiązkowym) w okresie 12 miesięcy przed badaniem w 2016</w:t>
            </w:r>
            <w:r w:rsidR="0011067F">
              <w:rPr>
                <w:rFonts w:ascii="Times New Roman" w:eastAsia="MS Mincho" w:hAnsi="Times New Roman" w:cs="Times New Roman"/>
                <w:sz w:val="20"/>
              </w:rPr>
              <w:t xml:space="preserve"> r.</w:t>
            </w:r>
            <w:r w:rsidRPr="00D24DF9">
              <w:rPr>
                <w:rFonts w:ascii="Times New Roman" w:eastAsia="MS Mincho" w:hAnsi="Times New Roman" w:cs="Times New Roman"/>
                <w:sz w:val="20"/>
              </w:rPr>
              <w:t xml:space="preserve"> według badania Kształcenie dorosłych (Adult Learning Survey): Polska – 13,4%, UE27 – 32,2%, w tym w edukacji formalnej w UE – 0,9% (brak uwzględniania danych z Polski ze względu na ich małą </w:t>
            </w:r>
            <w:r w:rsidRPr="00D24DF9">
              <w:rPr>
                <w:rFonts w:ascii="Times New Roman" w:eastAsia="MS Mincho" w:hAnsi="Times New Roman" w:cs="Times New Roman"/>
                <w:sz w:val="20"/>
              </w:rPr>
              <w:lastRenderedPageBreak/>
              <w:t>wiarygodność), w edukacji pozaformalnej w Polsce – 13,3%, w UE27 – 31,9%.</w:t>
            </w:r>
          </w:p>
          <w:p w14:paraId="529DB034" w14:textId="77777777" w:rsidR="00D31655" w:rsidRPr="00D24DF9" w:rsidRDefault="00D3165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Odsetek osób w Polsce w wieku 55-64 lat </w:t>
            </w:r>
            <w:r w:rsidRPr="00D24DF9">
              <w:rPr>
                <w:rFonts w:ascii="Times New Roman" w:hAnsi="Times New Roman" w:cs="Times New Roman"/>
                <w:sz w:val="20"/>
              </w:rPr>
              <w:t xml:space="preserve"> </w:t>
            </w:r>
            <w:r w:rsidRPr="00D24DF9">
              <w:rPr>
                <w:rFonts w:ascii="Times New Roman" w:eastAsia="MS Mincho" w:hAnsi="Times New Roman" w:cs="Times New Roman"/>
                <w:sz w:val="20"/>
              </w:rPr>
              <w:t xml:space="preserve">uczestniczących w kształceniu i szkoleniu (nieobowiązkowym) w okresie 12 miesięcy przed badaniem w 2017 </w:t>
            </w:r>
            <w:r w:rsidR="0011067F">
              <w:rPr>
                <w:rFonts w:ascii="Times New Roman" w:eastAsia="MS Mincho" w:hAnsi="Times New Roman" w:cs="Times New Roman"/>
                <w:sz w:val="20"/>
              </w:rPr>
              <w:t xml:space="preserve">r. </w:t>
            </w:r>
            <w:r w:rsidRPr="00D24DF9">
              <w:rPr>
                <w:rFonts w:ascii="Times New Roman" w:eastAsia="MS Mincho" w:hAnsi="Times New Roman" w:cs="Times New Roman"/>
                <w:sz w:val="20"/>
              </w:rPr>
              <w:t>według badania Bilans Kapitału Ludzkiego – 22% (można szacować, że przewyższa on ponad dwukrotnie ww. odsetek zdiagnozowany w badaniu Kształcenie dorosłych w 2016</w:t>
            </w:r>
            <w:r w:rsidR="0011067F">
              <w:rPr>
                <w:rFonts w:ascii="Times New Roman" w:eastAsia="MS Mincho" w:hAnsi="Times New Roman" w:cs="Times New Roman"/>
                <w:sz w:val="20"/>
              </w:rPr>
              <w:t xml:space="preserve"> r.</w:t>
            </w:r>
            <w:r w:rsidRPr="00D24DF9">
              <w:rPr>
                <w:rFonts w:ascii="Times New Roman" w:eastAsia="MS Mincho" w:hAnsi="Times New Roman" w:cs="Times New Roman"/>
                <w:sz w:val="20"/>
              </w:rPr>
              <w:t>).</w:t>
            </w:r>
          </w:p>
          <w:p w14:paraId="067D9376" w14:textId="77777777" w:rsidR="00D31655" w:rsidRPr="00D24DF9" w:rsidRDefault="00D3165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Komentarz do ww. trzech grup wskaźników:</w:t>
            </w:r>
          </w:p>
          <w:p w14:paraId="1A8EBDCE" w14:textId="77777777" w:rsidR="00D31655" w:rsidRPr="00D24DF9" w:rsidRDefault="00D3165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Dane Eurostat wskazują, że osoby starsze w UE uczą się w sposób zorganizowany instytucjonalnie korzystając głównie z ofert edukacji pozaformalnej. W 2019</w:t>
            </w:r>
            <w:r w:rsidR="0011067F">
              <w:rPr>
                <w:rFonts w:ascii="Times New Roman" w:eastAsia="MS Mincho" w:hAnsi="Times New Roman" w:cs="Times New Roman"/>
                <w:sz w:val="20"/>
              </w:rPr>
              <w:t xml:space="preserve"> r.</w:t>
            </w:r>
            <w:r w:rsidRPr="00D24DF9">
              <w:rPr>
                <w:rFonts w:ascii="Times New Roman" w:eastAsia="MS Mincho" w:hAnsi="Times New Roman" w:cs="Times New Roman"/>
                <w:sz w:val="20"/>
              </w:rPr>
              <w:t xml:space="preserve"> jedynie 0,3% osób w wieku 55-75 lat korzystało w UE z ofert edukacji formalnej w okresie 4 tygodni przed badaniem (w odniesieniu do Polski brak jest danych ze względu na ich małą wiarygodność). Z ofert edukacji pozaformalnej w UE korzystało 4,5% osób w tym wieku, a w Polsce 1,3%. W badaniu stosującym dłuższe odniesienie czasowe (uczestnictwo w kształceniu  szkoleniu w okresie 12 miesięcy przed badaniem) przeprowadzonym w UE w 2016</w:t>
            </w:r>
            <w:r w:rsidR="0011067F">
              <w:rPr>
                <w:rFonts w:ascii="Times New Roman" w:eastAsia="MS Mincho" w:hAnsi="Times New Roman" w:cs="Times New Roman"/>
                <w:sz w:val="20"/>
              </w:rPr>
              <w:t xml:space="preserve"> r.</w:t>
            </w:r>
            <w:r w:rsidRPr="00D24DF9">
              <w:rPr>
                <w:rFonts w:ascii="Times New Roman" w:eastAsia="MS Mincho" w:hAnsi="Times New Roman" w:cs="Times New Roman"/>
                <w:sz w:val="20"/>
              </w:rPr>
              <w:t xml:space="preserve"> z ofert edukacji formalnej korzystało w UE 0,9% osób w wieku 55-64 (w odniesieniu do Polski brak jest danych ze względu na ich małą wiarygodność). Z edukacji pozaformalnej korzystało w UE 31,9% osób w tym wieku oraz 13,3% w Polsce. Zaznaczyć jednak należy, że w krajowym badaniu – Bilans Kapitału Ludzkiego (koordynowanym przez PARP i UJ), uczestnictwo dorosłych w podobnym wieku było ponad dwa razy wyższe w 2017</w:t>
            </w:r>
            <w:r w:rsidR="00E5760C">
              <w:rPr>
                <w:rFonts w:ascii="Times New Roman" w:eastAsia="MS Mincho" w:hAnsi="Times New Roman" w:cs="Times New Roman"/>
                <w:sz w:val="20"/>
              </w:rPr>
              <w:t xml:space="preserve"> r</w:t>
            </w:r>
            <w:r w:rsidRPr="00D24DF9">
              <w:rPr>
                <w:rFonts w:ascii="Times New Roman" w:eastAsia="MS Mincho" w:hAnsi="Times New Roman" w:cs="Times New Roman"/>
                <w:sz w:val="20"/>
              </w:rPr>
              <w:t xml:space="preserve">. Różnicę tę można wyjaśnić tym, że w ww. badaniach europejskich realizowanych w Polsce przez GUS (LFS i ALS) pytania dla respondentów zbyt silnie kojarzyły się z formami edukacji podobnymi do stosowanych w szkołach i uczelniach (głównie są to formy wykładowe w otoczeniu podobnym do klas, sal i audytoriów). W nowszych badaniach, do których zaliczyć można badanie BKL 2017, pytania koncentrują się na różnych sposobach nabywania umiejętności, bez sugerowania, że są one podobne do </w:t>
            </w:r>
            <w:r w:rsidRPr="00D24DF9">
              <w:rPr>
                <w:rFonts w:ascii="Times New Roman" w:eastAsia="MS Mincho" w:hAnsi="Times New Roman" w:cs="Times New Roman"/>
                <w:sz w:val="20"/>
              </w:rPr>
              <w:lastRenderedPageBreak/>
              <w:t>form kształcenia stosowanych w szkołach i uczelniach. Znaczna część zajęć mających cechy edukacyjne (tj. w zamierzony i zorganizowany sposób transferujące wiedzę, umiejętności i kompetencje społeczne), w których uczestniczą dorośli, ma charakter praktyczny.</w:t>
            </w:r>
          </w:p>
          <w:p w14:paraId="71145A8E" w14:textId="77777777" w:rsidR="004A7248" w:rsidRPr="00D24DF9" w:rsidRDefault="004A724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W odniesieniu do edukacji dorosłych Ministerstwo Edukacji Narodowej realizuje zadania w ramach kształcenia ustawicznego, tj. kształcenia</w:t>
            </w:r>
            <w:r w:rsidRPr="00D24DF9">
              <w:rPr>
                <w:rFonts w:ascii="Times New Roman" w:hAnsi="Times New Roman" w:cs="Times New Roman"/>
                <w:sz w:val="20"/>
              </w:rPr>
              <w:t xml:space="preserve"> </w:t>
            </w:r>
            <w:r w:rsidRPr="00D24DF9">
              <w:rPr>
                <w:rFonts w:ascii="Times New Roman" w:eastAsia="MS Mincho" w:hAnsi="Times New Roman" w:cs="Times New Roman"/>
                <w:bCs/>
                <w:sz w:val="20"/>
              </w:rPr>
              <w:t xml:space="preserve">obejmującego szkoły ogólnokształcące dla dorosłych, szkoły kształcące w zawodach (szkoły policealne) oraz formy pozaszkolne. </w:t>
            </w:r>
            <w:r w:rsidRPr="00D24DF9">
              <w:rPr>
                <w:rFonts w:ascii="Times New Roman" w:hAnsi="Times New Roman" w:cs="Times New Roman"/>
                <w:sz w:val="20"/>
              </w:rPr>
              <w:t xml:space="preserve"> </w:t>
            </w:r>
            <w:r w:rsidRPr="00D24DF9">
              <w:rPr>
                <w:rFonts w:ascii="Times New Roman" w:eastAsia="MS Mincho" w:hAnsi="Times New Roman" w:cs="Times New Roman"/>
                <w:bCs/>
                <w:sz w:val="20"/>
              </w:rPr>
              <w:t xml:space="preserve">Katalog form pozaszkolnych obejmuje cztery rodzaje form adresowanych do osób dorosłych: (1) kwalifikacyjny kurs zawodowy; (2) kurs umiejętności zawodowych; (3) kurs kompetencji ogólnych oparty na wybranym fragmencie podstawy programowej kształcenia ogólnego; (4) inne kursy, w których program nauczania nie odnosi się do podstawy programowej kształcenia ogólnego lub kształcenia w zawodach. Zdecydowana większość z wymienionych form edukacji prowadzi wprost do uzyskania kwalifikacji lub jest pomocna w tym zakresie – ma zatem cechy edukacji formalnej. </w:t>
            </w:r>
          </w:p>
          <w:p w14:paraId="34E2E7CE" w14:textId="77777777" w:rsidR="004A7248" w:rsidRPr="00D24DF9" w:rsidRDefault="004A724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 xml:space="preserve">Kształcenie ustawiczne w systemie oświaty nie wydziela zadań dedykowanych jedynie seniorom. Seniorzy mogą korzystać z wymienionych form kształcenia ustawicznego podobnie jak wszyscy dorośli. Jednak ukierunkowanie tych form (głównie na wzrost poziomu wykształcenia i na nabywanie kwalifikacji zawodowych) oraz ich charakter, (zbliżony do zajęć w szkołach) powoduje, że tego typu edukacja dorosłych jest mniej interesująca dla seniorów. Dzieje się tak nie tylko w Polsce, ale także w Europie (również w obszarze innych krajów rozwiniętych). </w:t>
            </w:r>
          </w:p>
          <w:p w14:paraId="7FE3AB2A" w14:textId="77777777" w:rsidR="004A7248" w:rsidRPr="00D24DF9" w:rsidRDefault="004A724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 xml:space="preserve">Kształcenie ustawiczne podlega monitorowaniu przez System Informacji Oświatowej (SIO). W monitorowaniu tym występowała dotychczas jedynie kategoria wiekowa „30 lat i więcej” w odniesieniu do najstarszej kategorii wiekowej korzystającej z ofert kształcenia ustawicznego. Nie pozwalało to na ścisłą odpowiedź </w:t>
            </w:r>
            <w:r w:rsidRPr="00D24DF9">
              <w:rPr>
                <w:rFonts w:ascii="Times New Roman" w:eastAsia="MS Mincho" w:hAnsi="Times New Roman" w:cs="Times New Roman"/>
                <w:bCs/>
                <w:sz w:val="20"/>
              </w:rPr>
              <w:lastRenderedPageBreak/>
              <w:t xml:space="preserve">dotyczącą uczestnictwa osób starszych w tym kształceniu do roku 2017. </w:t>
            </w:r>
          </w:p>
          <w:p w14:paraId="5C2A6896" w14:textId="77777777" w:rsidR="004A7248" w:rsidRPr="00D24DF9" w:rsidRDefault="004A724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Od roku szkolnego 2018/19 udostępniane są dane z tzw. nowego SIO, w którym gromadzone są zanominowane, indywidualne dane o wszystkich osobach korzystających z kształcenia w systemie oświaty. Jednak w odniesieniu do kształcenia ustawicznego takie indywidualne dane dostępne są jedynie odnośnie uczestników kwalifikacyjnych kursów zawodowych (KKZ) realizowanych w jednostkach systemu oświaty (kursy te mogą realizować także określone jednostki spoza systemu oświaty, np. instytucje rynku pracy). Dane z pozostałych form kształcenia ustawicznego w systemie oświaty nadal agregowane są według grup wiekowych, z których najstarsza to grupa „30 lat i więcej”.</w:t>
            </w:r>
          </w:p>
          <w:p w14:paraId="61FB25EC" w14:textId="77777777" w:rsidR="004A7248" w:rsidRPr="00D24DF9" w:rsidRDefault="004A724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 xml:space="preserve">Dane SIO za rok szkolny 2019/20 dotyczące uczestników KKZ realizowanych w jednostkach systemu oświaty wykazują, że korzystają z nich 693 osoby w wieku </w:t>
            </w:r>
          </w:p>
          <w:p w14:paraId="7AEAA9FE" w14:textId="77777777" w:rsidR="004A7248" w:rsidRPr="00D24DF9" w:rsidRDefault="004A724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61-65 lat, 345 osób w wieku 66-70 lat oraz 114 osób od 71 do 90 roku życia. Razem są to 1152 osoby w wieku 61-90 lat. Stanowi to 1,5% wszystkich korzystających z KKZ w systemie oświaty. Osoby w kategorii „30 lat i więcej” stanowią 45% wszystkich uczestników KKZ. Dane te wskazują na to, że kursowe formy kształcenia ustawicznego w systemie oświaty, w tym w szczególności KKZ, stopniowo otwierają się na osoby w średnim wieku i starsze. Wcześniej formy te były zdominowane przez osoby do 30 roku życia, w tym przede wszystkim przez dwudziesto-kilku latki.</w:t>
            </w:r>
          </w:p>
          <w:p w14:paraId="17887E9F" w14:textId="77777777" w:rsidR="004A7248" w:rsidRPr="00D24DF9" w:rsidRDefault="004A724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p>
          <w:p w14:paraId="6A6E4B49" w14:textId="77777777" w:rsidR="004A7248" w:rsidRPr="00D24DF9" w:rsidRDefault="004A724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 xml:space="preserve">Poza działaniami w ramach kształcenia ustawicznego  Ministerstwo Edukacji Narodowej rozwija także projekt rozwoju Lokalnych Ośrodków Wiedzy i Edukacji, który na zasadzie dostępu nieograniczonego do określonych grup wiekowych może dotyczyć także seniorów. Projekt polega na wykorzystaniu szkół do aktywizacji edukacyjnej i rozwoju umiejętności osób dorosłych oraz potrzebnej do tego mobilizacji różnych instytucji i organizacji </w:t>
            </w:r>
            <w:r w:rsidRPr="00D24DF9">
              <w:rPr>
                <w:rFonts w:ascii="Times New Roman" w:eastAsia="MS Mincho" w:hAnsi="Times New Roman" w:cs="Times New Roman"/>
                <w:bCs/>
                <w:sz w:val="20"/>
              </w:rPr>
              <w:lastRenderedPageBreak/>
              <w:t xml:space="preserve">działających w środowisku lokalnym (także spoza systemu oświaty). W szczególności projekt dotyczy obszarów defaworyzowanych i dorosłych mających dotychczas ograniczony dostęp do ofert edukacyjnych. Kryterium dostępu nie jest więc określone według grup wiekowych, ale według potrzeb na uzupełnianie i rozwój umiejętności. Z wielu badań wiemy, że osoby starsze należą do grup, których potrzeby w zakresie rozwoju umiejętności nie były dotychczas wystarczająco zaspokajane. Zwłaszcza dotyczy to osób starszych na obszarach defaworyzowanych. </w:t>
            </w:r>
          </w:p>
          <w:p w14:paraId="244B3232" w14:textId="77777777" w:rsidR="004A7248" w:rsidRPr="00D24DF9" w:rsidRDefault="004A724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W 2017</w:t>
            </w:r>
            <w:r w:rsidR="00E5760C">
              <w:rPr>
                <w:rFonts w:ascii="Times New Roman" w:eastAsia="MS Mincho" w:hAnsi="Times New Roman" w:cs="Times New Roman"/>
                <w:bCs/>
                <w:sz w:val="20"/>
              </w:rPr>
              <w:t xml:space="preserve"> r.</w:t>
            </w:r>
            <w:r w:rsidRPr="00D24DF9">
              <w:rPr>
                <w:rFonts w:ascii="Times New Roman" w:eastAsia="MS Mincho" w:hAnsi="Times New Roman" w:cs="Times New Roman"/>
                <w:bCs/>
                <w:sz w:val="20"/>
              </w:rPr>
              <w:t xml:space="preserve"> do projektu LOWE przystąpiło dobrowolnie 50 szkół z 13 województw. Po nadspodziewanym dobrym odbiorze tej nowej funkcji</w:t>
            </w:r>
            <w:r w:rsidR="00E5760C">
              <w:rPr>
                <w:rFonts w:ascii="Times New Roman" w:eastAsia="MS Mincho" w:hAnsi="Times New Roman" w:cs="Times New Roman"/>
                <w:bCs/>
                <w:sz w:val="20"/>
              </w:rPr>
              <w:t xml:space="preserve"> szkół MEN rozszerzyło projekt </w:t>
            </w:r>
            <w:r w:rsidRPr="00D24DF9">
              <w:rPr>
                <w:rFonts w:ascii="Times New Roman" w:eastAsia="MS Mincho" w:hAnsi="Times New Roman" w:cs="Times New Roman"/>
                <w:bCs/>
                <w:sz w:val="20"/>
              </w:rPr>
              <w:t>o następnych 100 szkół. W 2019</w:t>
            </w:r>
            <w:r w:rsidR="00E5760C">
              <w:rPr>
                <w:rFonts w:ascii="Times New Roman" w:eastAsia="MS Mincho" w:hAnsi="Times New Roman" w:cs="Times New Roman"/>
                <w:bCs/>
                <w:sz w:val="20"/>
              </w:rPr>
              <w:t xml:space="preserve"> r.</w:t>
            </w:r>
            <w:r w:rsidRPr="00D24DF9">
              <w:rPr>
                <w:rFonts w:ascii="Times New Roman" w:eastAsia="MS Mincho" w:hAnsi="Times New Roman" w:cs="Times New Roman"/>
                <w:bCs/>
                <w:sz w:val="20"/>
              </w:rPr>
              <w:t xml:space="preserve"> rozpisany został konkurs w tej sprawie. Spodziewamy się, że te następne szkoły podejmą działalność od jesieni 2020 r.</w:t>
            </w:r>
          </w:p>
          <w:p w14:paraId="73D1799C" w14:textId="77777777" w:rsidR="004A7248" w:rsidRPr="00D24DF9" w:rsidRDefault="004A724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 xml:space="preserve">Biorąc pod uwagę charakter opisanych wyżej działań realizowanych przez Ministerstwo Edukacji Narodowej, czyli działań ukierunkowanych na dorosłych nie według kryterium wieku, ale według potrzeb w zakresie wykształcenia i umiejętności (niezależnie od wieku), wnioskujemy, aby przy ewentualnej aktualizacji „Polityki społecznej na rzecz osób starszych 2030” powrócić w niniejszym zadaniu do początkowych zapisów, tj. do przypisania MRPiPS roli wiodącej w tym zadaniu, jako instytucji koordynującej działania dedykowane seniorom i mającej wpływ na działanie instytucji w tym zakresie. </w:t>
            </w:r>
          </w:p>
          <w:p w14:paraId="46334085" w14:textId="77777777" w:rsidR="004A7248" w:rsidRPr="00D24DF9" w:rsidRDefault="004A724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p w14:paraId="373F090E" w14:textId="77777777" w:rsidR="00E30AF9" w:rsidRPr="00D24DF9" w:rsidRDefault="00E5760C"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Pr>
                <w:rFonts w:ascii="Times New Roman" w:eastAsia="MS Mincho" w:hAnsi="Times New Roman" w:cs="Times New Roman"/>
                <w:sz w:val="20"/>
              </w:rPr>
              <w:t>Jednocześnie, w 2019 r.</w:t>
            </w:r>
            <w:r w:rsidR="00E30AF9" w:rsidRPr="00D24DF9">
              <w:rPr>
                <w:rFonts w:ascii="Times New Roman" w:eastAsia="MS Mincho" w:hAnsi="Times New Roman" w:cs="Times New Roman"/>
                <w:sz w:val="20"/>
              </w:rPr>
              <w:t xml:space="preserve"> realizowano 204 projekty o łącznej wartości ponad 169 mln zł, wyłonione w ramach konkursu Programu Operacyjnego Wiedza Edukacja Rozwój (PO WER) pn. </w:t>
            </w:r>
            <w:r w:rsidR="00E30AF9" w:rsidRPr="00E5760C">
              <w:rPr>
                <w:rFonts w:ascii="Times New Roman" w:eastAsia="MS Mincho" w:hAnsi="Times New Roman" w:cs="Times New Roman"/>
                <w:i/>
                <w:sz w:val="20"/>
              </w:rPr>
              <w:t>Rozwój oferty uczelni w zakresie trzeciej misji</w:t>
            </w:r>
            <w:r w:rsidR="00E30AF9" w:rsidRPr="00D24DF9">
              <w:rPr>
                <w:rFonts w:ascii="Times New Roman" w:eastAsia="MS Mincho" w:hAnsi="Times New Roman" w:cs="Times New Roman"/>
                <w:sz w:val="20"/>
              </w:rPr>
              <w:t xml:space="preserve">. Projekty obejmują opracowanie programów kształcenia i realizację działań dydaktycznych, kursów, szkoleń skierowanych do niestandardowych odbiorców szkolnictwa wyższego (między innymi w ramach uniwersytetów trzeciego wieku). Służą one </w:t>
            </w:r>
            <w:r w:rsidR="00E30AF9" w:rsidRPr="00D24DF9">
              <w:rPr>
                <w:rFonts w:ascii="Times New Roman" w:eastAsia="MS Mincho" w:hAnsi="Times New Roman" w:cs="Times New Roman"/>
                <w:sz w:val="20"/>
              </w:rPr>
              <w:lastRenderedPageBreak/>
              <w:t>wzmocnieniu kompetencji pozwalających na aktywizację społeczną i zawodową, poszerzanie wiedzy ogólnej i specjalistycznej oraz rozwój zainteresowań, pobudzenie aktywności edukacyjnej i kulturalnej, zapobieganie społecznemu wykluczeniu. Powyższe działania prowadzone są przez uczelnie wspólnie z jednostkami samorządu terytorialnego lub organizacjami pozarządowymi.</w:t>
            </w:r>
          </w:p>
          <w:p w14:paraId="084B36A8" w14:textId="77777777" w:rsidR="00E30AF9" w:rsidRPr="00D24DF9" w:rsidRDefault="00E5760C"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Pr>
                <w:rFonts w:ascii="Times New Roman" w:eastAsia="MS Mincho" w:hAnsi="Times New Roman" w:cs="Times New Roman"/>
                <w:sz w:val="20"/>
              </w:rPr>
              <w:t xml:space="preserve">W 2019 r. </w:t>
            </w:r>
            <w:r w:rsidR="00E30AF9" w:rsidRPr="00D24DF9">
              <w:rPr>
                <w:rFonts w:ascii="Times New Roman" w:eastAsia="MS Mincho" w:hAnsi="Times New Roman" w:cs="Times New Roman"/>
                <w:sz w:val="20"/>
              </w:rPr>
              <w:t xml:space="preserve">wdrażanych było także 41 projektów na kwotę ok. 16 mln zł, wyłonionych w ramach konkursu PO WER pn. Kurs na MOOC. Konkurs umożliwił m.in. stworzenie i realizację kursów typu MOOC (Massive Open Online Courses), dostępnych bezpłatnie dla wszystkich zainteresowanych. Ich ukończenie ma prowadzić do uzyskania co najmniej dwóch spośród następujących kompetencji odpowiadających potrzebom społeczno-gospodarczym: językowych, informatycznych, analitycznych (w tym umiejętność rozwiązywania problemów), komunikacyjnych oraz w zakresie przedsiębiorczości. Kursy stworzyły możliwość skorzystania z usług edukacyjnych osobom, które nie uczestniczą w kształceniu na poziomie wyższym, a są odbiorcami zajęć realizowanych w ramach trzeciej misji uczelni – w tym seniorom (minimum 7000 osób). </w:t>
            </w:r>
          </w:p>
          <w:p w14:paraId="487C72F8" w14:textId="77777777" w:rsidR="00E30AF9" w:rsidRPr="00D24DF9" w:rsidRDefault="00E30AF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Działania skierowane do osób starszych w powyższych projektach konkursowych PO WER skupiały się na następujących obszarach:</w:t>
            </w:r>
          </w:p>
          <w:p w14:paraId="695366D0" w14:textId="77777777" w:rsidR="00E5760C" w:rsidRDefault="00E30AF9" w:rsidP="008C71A9">
            <w:pPr>
              <w:pStyle w:val="Akapitzlist"/>
              <w:numPr>
                <w:ilvl w:val="0"/>
                <w:numId w:val="23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E5760C">
              <w:rPr>
                <w:rFonts w:ascii="Times New Roman" w:eastAsia="MS Mincho" w:hAnsi="Times New Roman" w:cs="Times New Roman"/>
                <w:sz w:val="20"/>
              </w:rPr>
              <w:t>wykłady i konwersatoria z zakresu zdrowia (pracownie poprawiające stan zdrowia seniorów, zajęcia ruchowe i sportowe przeciwdziałające wykluczeniu społecznemu seniorów, warsztaty taneczne, fitness, profilaktyka chorób, zdrowe żywienie);</w:t>
            </w:r>
          </w:p>
          <w:p w14:paraId="3F9C27C8" w14:textId="77777777" w:rsidR="00E5760C" w:rsidRDefault="00E30AF9" w:rsidP="008C71A9">
            <w:pPr>
              <w:pStyle w:val="Akapitzlist"/>
              <w:numPr>
                <w:ilvl w:val="0"/>
                <w:numId w:val="23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E5760C">
              <w:rPr>
                <w:rFonts w:ascii="Times New Roman" w:eastAsia="MS Mincho" w:hAnsi="Times New Roman" w:cs="Times New Roman"/>
                <w:sz w:val="20"/>
              </w:rPr>
              <w:t>kompetencje cyfrowe (kursy komputerowe i prawidłowego korzystania z nowoczesnych środków komunikacji oraz z urządzeń elektronicznych, wykorzystanie Internetu);</w:t>
            </w:r>
          </w:p>
          <w:p w14:paraId="64AF04E9" w14:textId="77777777" w:rsidR="00E5760C" w:rsidRDefault="00E30AF9" w:rsidP="008C71A9">
            <w:pPr>
              <w:pStyle w:val="Akapitzlist"/>
              <w:numPr>
                <w:ilvl w:val="0"/>
                <w:numId w:val="23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E5760C">
              <w:rPr>
                <w:rFonts w:ascii="Times New Roman" w:eastAsia="MS Mincho" w:hAnsi="Times New Roman" w:cs="Times New Roman"/>
                <w:sz w:val="20"/>
              </w:rPr>
              <w:t>kursy językowe (komunikowanie się w języku ojczystym oraz w językach obcych);</w:t>
            </w:r>
          </w:p>
          <w:p w14:paraId="295C5602" w14:textId="77777777" w:rsidR="00E5760C" w:rsidRDefault="00E30AF9" w:rsidP="008C71A9">
            <w:pPr>
              <w:pStyle w:val="Akapitzlist"/>
              <w:numPr>
                <w:ilvl w:val="0"/>
                <w:numId w:val="23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E5760C">
              <w:rPr>
                <w:rFonts w:ascii="Times New Roman" w:eastAsia="MS Mincho" w:hAnsi="Times New Roman" w:cs="Times New Roman"/>
                <w:sz w:val="20"/>
              </w:rPr>
              <w:lastRenderedPageBreak/>
              <w:t>wykłady i konwersatoria z zakresu aktywizacji społecznej i zawodowej, integrujące środowisko, wpływające na wzrost poziomu zaangażowania społecznego i obywatelskiego, reprezentatywności interesów seniorów w polityce lokalnej i regionalnej;</w:t>
            </w:r>
          </w:p>
          <w:p w14:paraId="565C4BC3" w14:textId="77777777" w:rsidR="00E5760C" w:rsidRDefault="00E30AF9" w:rsidP="008C71A9">
            <w:pPr>
              <w:pStyle w:val="Akapitzlist"/>
              <w:numPr>
                <w:ilvl w:val="0"/>
                <w:numId w:val="23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E5760C">
              <w:rPr>
                <w:rFonts w:ascii="Times New Roman" w:eastAsia="MS Mincho" w:hAnsi="Times New Roman" w:cs="Times New Roman"/>
                <w:sz w:val="20"/>
              </w:rPr>
              <w:t>wzmocnienie kompetencji z zakresu kształtowania postawy badawczej – koncepcja uczenia się przez całe życie (lifelong learning), umiejętności z zakresu technik badawczych (techniki manualne), rozwijanie pasji i zainteresowań, zajęcia edukacyjne łączące naukę z hobby i pogłębianiem pasji, poprawa jakości życia uczestników poprzez uświadomienie znaczenia i ukazanie skutecznych metod zarządzania własnymi mocnymi stronami, co pozwoli na twórczą adaptację do wyzwań wynikających z kolejnych etapów życia, zadowolenie z życia oraz podejmowanie działań na rzecz budowania pozytywnego wizerunku seniora, dobrych relacji z otoczeniem, lepsze funkcjonowanie osób starszych we współczesnym świecie, w tym we współpracy międzypokoleniowej;</w:t>
            </w:r>
          </w:p>
          <w:p w14:paraId="2DD36B28" w14:textId="77777777" w:rsidR="00E5760C" w:rsidRDefault="00E30AF9" w:rsidP="008C71A9">
            <w:pPr>
              <w:pStyle w:val="Akapitzlist"/>
              <w:numPr>
                <w:ilvl w:val="0"/>
                <w:numId w:val="23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E5760C">
              <w:rPr>
                <w:rFonts w:ascii="Times New Roman" w:eastAsia="MS Mincho" w:hAnsi="Times New Roman" w:cs="Times New Roman"/>
                <w:sz w:val="20"/>
              </w:rPr>
              <w:t>zajęcia z kompetencji miękkich, interpersonalnych i komunikacyjnych (odpowiedzialność, staranność, dokładność, umiejętność rozwiązywania problemu w zespole, twórcze rozwiązywanie problemów, inicjatywa, organizacja swojej pracy, współpraca w grupie, ćwiczenie myślenia i wyrażania myśli);</w:t>
            </w:r>
          </w:p>
          <w:p w14:paraId="22C2A5EA" w14:textId="77777777" w:rsidR="00E5760C" w:rsidRDefault="00E30AF9" w:rsidP="008C71A9">
            <w:pPr>
              <w:pStyle w:val="Akapitzlist"/>
              <w:numPr>
                <w:ilvl w:val="0"/>
                <w:numId w:val="23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E5760C">
              <w:rPr>
                <w:rFonts w:ascii="Times New Roman" w:eastAsia="MS Mincho" w:hAnsi="Times New Roman" w:cs="Times New Roman"/>
                <w:sz w:val="20"/>
              </w:rPr>
              <w:t>zajęcia rozwijające zainteresowania, aktywność kulturalną, udział w wydarzeniach kulturalnych, wycieczkach;</w:t>
            </w:r>
          </w:p>
          <w:p w14:paraId="2063C752" w14:textId="77777777" w:rsidR="00E5760C" w:rsidRDefault="00E30AF9" w:rsidP="008C71A9">
            <w:pPr>
              <w:pStyle w:val="Akapitzlist"/>
              <w:numPr>
                <w:ilvl w:val="0"/>
                <w:numId w:val="23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E5760C">
              <w:rPr>
                <w:rFonts w:ascii="Times New Roman" w:eastAsia="MS Mincho" w:hAnsi="Times New Roman" w:cs="Times New Roman"/>
                <w:sz w:val="20"/>
              </w:rPr>
              <w:t xml:space="preserve">zajęcia artystyczne: manualne, rękodzielnicze;  </w:t>
            </w:r>
          </w:p>
          <w:p w14:paraId="2EE248F1" w14:textId="77777777" w:rsidR="00E30AF9" w:rsidRPr="00E5760C" w:rsidRDefault="00E30AF9" w:rsidP="008C71A9">
            <w:pPr>
              <w:pStyle w:val="Akapitzlist"/>
              <w:numPr>
                <w:ilvl w:val="0"/>
                <w:numId w:val="23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E5760C">
              <w:rPr>
                <w:rFonts w:ascii="Times New Roman" w:eastAsia="MS Mincho" w:hAnsi="Times New Roman" w:cs="Times New Roman"/>
                <w:sz w:val="20"/>
              </w:rPr>
              <w:t>zajęcia z wiedzy specjalistycznej: ekonomii, prawa, historii, biologii, przyrody, fotografii.</w:t>
            </w:r>
          </w:p>
          <w:p w14:paraId="3A150936" w14:textId="77777777" w:rsidR="00E30AF9" w:rsidRPr="00D24DF9" w:rsidRDefault="00E30AF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p w14:paraId="540F3748" w14:textId="77777777" w:rsidR="00311D18" w:rsidRPr="00D24DF9" w:rsidRDefault="00E30AF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 xml:space="preserve">W okresie sprawozdawczym osoby starsze mogły również skorzystać z oferty dostępnej na ogólnopolskiej platformie kursów </w:t>
            </w:r>
            <w:r w:rsidRPr="00D24DF9">
              <w:rPr>
                <w:rFonts w:ascii="Times New Roman" w:eastAsia="MS Mincho" w:hAnsi="Times New Roman" w:cs="Times New Roman"/>
                <w:sz w:val="20"/>
              </w:rPr>
              <w:lastRenderedPageBreak/>
              <w:t>typu MOOC: https://navoica.pl/, uruchomionej przez Ministerstwo Nauki i Szkolnictwa Wyższego we współpracy z Fundacją Młodej Nauki. Navoica to pierwsza platforma z nową formą kształcenia – MOOC w Polsce, dostępna dla wszystkich osób zainteresowanych nauką i zdobywaniem nowych kompetencji i umiejętności. Kursy  umieszczane na ww. stronie są bezpłatne i dotyczą wszystkich obszarów kształcenia.</w:t>
            </w:r>
          </w:p>
        </w:tc>
      </w:tr>
      <w:tr w:rsidR="005F3D4B" w:rsidRPr="00D24DF9" w14:paraId="081A2D0A"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384C3C89"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FBB261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Wsparcie osób bezrobotnych i poszukujących pracy w starszych grupach wiekowych w dostępie </w:t>
            </w:r>
            <w:r w:rsidRPr="00D24DF9">
              <w:rPr>
                <w:rFonts w:ascii="Times New Roman" w:eastAsia="MS Mincho" w:hAnsi="Times New Roman"/>
                <w:sz w:val="20"/>
              </w:rPr>
              <w:br/>
              <w:t>do programów aktywizacji zawodowej, oferowanych przez urzędy pracy</w:t>
            </w:r>
          </w:p>
        </w:tc>
        <w:tc>
          <w:tcPr>
            <w:tcW w:w="2032" w:type="dxa"/>
            <w:vMerge w:val="restart"/>
          </w:tcPr>
          <w:p w14:paraId="29B2184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tc>
        <w:tc>
          <w:tcPr>
            <w:tcW w:w="1500" w:type="dxa"/>
            <w:vMerge w:val="restart"/>
          </w:tcPr>
          <w:p w14:paraId="305A2B4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0E3BAB6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 xml:space="preserve">Liczba osób bezrobotnych i poszukujących pracy w starszych grupach wiekowych objętych przez urzędy pracy wsparciem w zakresie aktywizacji zawodowej </w:t>
            </w:r>
          </w:p>
          <w:p w14:paraId="222A2E29"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sz w:val="20"/>
              </w:rPr>
            </w:pPr>
            <w:r w:rsidRPr="00D24DF9">
              <w:rPr>
                <w:rFonts w:ascii="Times New Roman" w:eastAsia="MS Mincho" w:hAnsi="Times New Roman"/>
                <w:b/>
                <w:sz w:val="20"/>
              </w:rPr>
              <w:t>oraz</w:t>
            </w:r>
          </w:p>
          <w:p w14:paraId="47399BC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i/>
                <w:sz w:val="20"/>
              </w:rPr>
            </w:pPr>
            <w:r w:rsidRPr="00D24DF9">
              <w:rPr>
                <w:rFonts w:ascii="Times New Roman" w:eastAsia="MS Mincho" w:hAnsi="Times New Roman"/>
                <w:i/>
                <w:sz w:val="20"/>
              </w:rPr>
              <w:t xml:space="preserve">Liczba </w:t>
            </w:r>
            <w:r w:rsidRPr="00D24DF9">
              <w:rPr>
                <w:rFonts w:ascii="Times New Roman" w:hAnsi="Times New Roman"/>
                <w:i/>
                <w:sz w:val="20"/>
              </w:rPr>
              <w:t>osób starszych, które podjęły pracę w wyniku uczestnictwa w aktywizacji zawodowej</w:t>
            </w:r>
          </w:p>
        </w:tc>
      </w:tr>
      <w:tr w:rsidR="005F3D4B" w:rsidRPr="00D24DF9" w14:paraId="0FC51D7A"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F3E82E4" w14:textId="77777777" w:rsidR="00311D18" w:rsidRPr="00D24DF9" w:rsidRDefault="00311D18" w:rsidP="003C1988">
            <w:pPr>
              <w:spacing w:after="0"/>
              <w:rPr>
                <w:rFonts w:ascii="Times New Roman" w:hAnsi="Times New Roman" w:cs="Times New Roman"/>
                <w:sz w:val="20"/>
              </w:rPr>
            </w:pPr>
          </w:p>
        </w:tc>
        <w:tc>
          <w:tcPr>
            <w:tcW w:w="3594" w:type="dxa"/>
            <w:vMerge/>
          </w:tcPr>
          <w:p w14:paraId="4C304FC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74705A6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5482F15"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D42E537" w14:textId="77777777" w:rsidR="00F6716A" w:rsidRPr="00D24DF9" w:rsidRDefault="00F6716A"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rPr>
            </w:pPr>
            <w:r w:rsidRPr="00D24DF9">
              <w:rPr>
                <w:rFonts w:ascii="Times New Roman" w:hAnsi="Times New Roman" w:cs="Times New Roman"/>
                <w:bCs/>
                <w:sz w:val="20"/>
              </w:rPr>
              <w:t>Osoby po 50 r. ż. otrzymują wsparcie w ramach Regionalnych Programów Operacyjnych. Osoby te mogą skorzystać z doradztwa zawodowego połączonego z przygotowaniem Indywidualnego Planu Działania, poradnictwa zawodowego, pośrednictwa pracy, a także szkoleń i kursów mających na celu podniesienie kwalifikacji zawodowych lub przekwalifikowanie. Dodatkowo osoby starsze mogą skorzystać z formy wsparcia jaką są  staże oraz subsydiowane zatrudnienie. Mogą również otrzymać wsparcie finansowe na rozpoczęcie własnej działalności gospodarczej, w formie bezzwrotnej, połączone ze wsparciem szkoleniowym.</w:t>
            </w:r>
          </w:p>
          <w:p w14:paraId="5A602561" w14:textId="77777777" w:rsidR="00F6716A" w:rsidRPr="00D24DF9" w:rsidRDefault="00F6716A"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rPr>
            </w:pPr>
            <w:r w:rsidRPr="00D24DF9">
              <w:rPr>
                <w:rFonts w:ascii="Times New Roman" w:hAnsi="Times New Roman" w:cs="Times New Roman"/>
                <w:bCs/>
                <w:sz w:val="20"/>
              </w:rPr>
              <w:t xml:space="preserve">Do końca 2019 r. wsparciem objęto ponad 64,8 tys. osób po 54 r. ż., w tym ponad 55,8 tys. osób to osoby, które są bezrobotne (w tym długotrwale bezrobotne) lub bierne zawodowo i nie uczestniczyły w kształceniu lub szkoleniu przed projektem. </w:t>
            </w:r>
          </w:p>
          <w:p w14:paraId="3586CF22" w14:textId="77777777" w:rsidR="00311D18" w:rsidRPr="00D24DF9" w:rsidRDefault="00F6716A"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hAnsi="Times New Roman" w:cs="Times New Roman"/>
                <w:bCs/>
                <w:sz w:val="20"/>
              </w:rPr>
              <w:t>Wśród wyżej wskazanych, wsparciem w ramach projektów oferujących dotacje na założenie własnej działalności gospodarczej objęto ponad 6,3 tys. osób po 54 r. ż.. w tym ponad 3,6 tys. osób to osoby, które są bezrobotne (w tym długotrwale bezrobotne) lub bierne zawodowo i  nie uczestniczyły w kształceniu lub szkoleniu przed projektem.</w:t>
            </w:r>
          </w:p>
        </w:tc>
      </w:tr>
      <w:tr w:rsidR="005F3D4B" w:rsidRPr="00D24DF9" w14:paraId="3D672A32"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180887CC"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1A4E529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Podniesienie świadomości osób starszych w zakresie możliwości zwiększenia aktywności zawodowej, dzięki zastosowaniu Internetu i innych technologii telekomunikacyjnych</w:t>
            </w:r>
          </w:p>
        </w:tc>
        <w:tc>
          <w:tcPr>
            <w:tcW w:w="2032" w:type="dxa"/>
            <w:vMerge w:val="restart"/>
          </w:tcPr>
          <w:p w14:paraId="49C3F8A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Cyfryzacji</w:t>
            </w:r>
          </w:p>
        </w:tc>
        <w:tc>
          <w:tcPr>
            <w:tcW w:w="1500" w:type="dxa"/>
            <w:vMerge w:val="restart"/>
          </w:tcPr>
          <w:p w14:paraId="7E27BBB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5558740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Odsetek osób starszych posiadających wiedzę na temat możliwości zwiększenia aktywności zawodowej dzięki zastosowaniu Internetu i innych technologii telekomunikacyjnych</w:t>
            </w:r>
          </w:p>
        </w:tc>
      </w:tr>
      <w:tr w:rsidR="005F3D4B" w:rsidRPr="00D24DF9" w14:paraId="6B869F77"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39CAA638" w14:textId="77777777" w:rsidR="00311D18" w:rsidRPr="00D24DF9" w:rsidRDefault="00311D18" w:rsidP="003C1988">
            <w:pPr>
              <w:spacing w:after="0"/>
              <w:rPr>
                <w:rFonts w:ascii="Times New Roman" w:hAnsi="Times New Roman" w:cs="Times New Roman"/>
                <w:sz w:val="20"/>
              </w:rPr>
            </w:pPr>
          </w:p>
        </w:tc>
        <w:tc>
          <w:tcPr>
            <w:tcW w:w="3594" w:type="dxa"/>
            <w:vMerge/>
          </w:tcPr>
          <w:p w14:paraId="2E5774F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C2EA0D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53DD16AB"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63BB91BC" w14:textId="77777777" w:rsidR="00311D18" w:rsidRPr="00D24DF9" w:rsidRDefault="00AA06D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W 2018 r. odsetek osób w wieku 55-64 lata, które (zdecydowanie lub raczej) zgadzały się, że korzystanie z Internetu pozwala na rozwój zawodowy wyniósł 57 (20% wybrało odpowiedź nie wiem/trudno powiedzieć lub odmówiło odpowiedzi). </w:t>
            </w:r>
          </w:p>
          <w:p w14:paraId="2DD2BD8D" w14:textId="77777777" w:rsidR="00AA06DF" w:rsidRPr="00D24DF9" w:rsidRDefault="00AA06D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 xml:space="preserve">Ministerstwo Cyfryzacji (MC) wraz z nadzorowaną przez MC jednostką - Naukową i Akademicką Siecią Komputerową – Państwowy Instytut Badawczy (NASK) zleciło przeprowadzenie badania </w:t>
            </w:r>
            <w:r w:rsidRPr="00D24DF9">
              <w:rPr>
                <w:rFonts w:ascii="Times New Roman" w:hAnsi="Times New Roman" w:cs="Times New Roman"/>
                <w:i/>
                <w:sz w:val="20"/>
              </w:rPr>
              <w:t xml:space="preserve">(w listopadzie i grudniu 2018 r.) </w:t>
            </w:r>
            <w:r w:rsidRPr="00D24DF9">
              <w:rPr>
                <w:rFonts w:ascii="Times New Roman" w:hAnsi="Times New Roman" w:cs="Times New Roman"/>
                <w:sz w:val="20"/>
              </w:rPr>
              <w:t>na 1000 elementowej próbie celowej osób niekorzystających z Internetu w wieku 45-64 lat.</w:t>
            </w:r>
          </w:p>
          <w:p w14:paraId="08BEA56A" w14:textId="77777777" w:rsidR="00AA06DF" w:rsidRPr="00D24DF9" w:rsidRDefault="00AA06D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Większość osób (62%) niekorzystających z Internetu w wieku 55-64 lata nie posiadało w gospodarstwie domowym dostępu do internetu na użytek chociażby innych domowników. Tylko 16% w grupie osób w wieku 55-64 lata rozważało w przyszłości korzystanie z Internetu. Osoby niekorzystające z Internetu w wieku 55-64 lat twierdziły, że Internet nie jest im potrzebny (54%) lub nie mają dostatecznych kompetencji cyfrowych do jego obsługi (33%). Badanie pokazało, że najczęściej wskazywaną motywacją do korzystania z Internetu jest dostęp do informacji i wiadomości.</w:t>
            </w:r>
          </w:p>
          <w:p w14:paraId="14DC8929" w14:textId="77777777" w:rsidR="00AA06DF" w:rsidRPr="00CF7336" w:rsidRDefault="00AA06D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rPr>
            </w:pPr>
            <w:r w:rsidRPr="00D24DF9">
              <w:rPr>
                <w:rFonts w:ascii="Times New Roman" w:hAnsi="Times New Roman" w:cs="Times New Roman"/>
                <w:sz w:val="20"/>
              </w:rPr>
              <w:t xml:space="preserve">Na pytanie: </w:t>
            </w:r>
            <w:r w:rsidRPr="00D24DF9">
              <w:rPr>
                <w:rFonts w:ascii="Times New Roman" w:hAnsi="Times New Roman" w:cs="Times New Roman"/>
                <w:i/>
                <w:sz w:val="20"/>
              </w:rPr>
              <w:t>„Co w największym stopniu zachęciłoby Pana/Panią do teg</w:t>
            </w:r>
            <w:r w:rsidR="00CF7336">
              <w:rPr>
                <w:rFonts w:ascii="Times New Roman" w:hAnsi="Times New Roman" w:cs="Times New Roman"/>
                <w:i/>
                <w:sz w:val="20"/>
              </w:rPr>
              <w:t xml:space="preserve">o, aby skorzystać z Internetu?” </w:t>
            </w:r>
            <w:r w:rsidRPr="00D24DF9">
              <w:rPr>
                <w:rFonts w:ascii="Times New Roman" w:hAnsi="Times New Roman" w:cs="Times New Roman"/>
                <w:sz w:val="20"/>
              </w:rPr>
              <w:t>41% respondentów w wieku 55-64 lata odpowiedziało, że  posiadanie odpowiedniego sprzętu, 27% wskazało na  pomoc znajomych lub rodziny w korzystaniu z Internetu i tyle samo na specjalistyczne szkolenia.</w:t>
            </w:r>
          </w:p>
        </w:tc>
      </w:tr>
      <w:tr w:rsidR="005F3D4B" w:rsidRPr="00D24DF9" w14:paraId="62441D84"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6A09390"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7949D48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eastAsia="MS Mincho" w:hAnsi="Times New Roman"/>
                <w:sz w:val="20"/>
              </w:rPr>
              <w:t xml:space="preserve">Wprowadzenie w szerokim zakresie możliwości wykonywania przez osoby starsze pracy </w:t>
            </w:r>
            <w:r w:rsidRPr="00D24DF9">
              <w:rPr>
                <w:rFonts w:ascii="Times New Roman" w:hAnsi="Times New Roman"/>
                <w:sz w:val="20"/>
              </w:rPr>
              <w:t>elastycznych form pracy (m.in. niepełny etat, telepraca, praca w domu, elastyczne godziny pracy w uzgodnieniu z pracownikiem)</w:t>
            </w:r>
          </w:p>
        </w:tc>
        <w:tc>
          <w:tcPr>
            <w:tcW w:w="2032" w:type="dxa"/>
            <w:vMerge w:val="restart"/>
          </w:tcPr>
          <w:p w14:paraId="206C0BE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tc>
        <w:tc>
          <w:tcPr>
            <w:tcW w:w="1500" w:type="dxa"/>
            <w:vMerge w:val="restart"/>
          </w:tcPr>
          <w:p w14:paraId="6C10648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4BED1B7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wprowadzonych nowych rozwiązań w zakresie możliwości wykonywania przez osoby starsze elastycznych form pracy</w:t>
            </w:r>
          </w:p>
        </w:tc>
      </w:tr>
      <w:tr w:rsidR="005F3D4B" w:rsidRPr="00D24DF9" w14:paraId="7631281B"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A2D3701" w14:textId="77777777" w:rsidR="00311D18" w:rsidRPr="00D24DF9" w:rsidRDefault="00311D18" w:rsidP="003C1988">
            <w:pPr>
              <w:spacing w:after="0"/>
              <w:rPr>
                <w:rFonts w:ascii="Times New Roman" w:hAnsi="Times New Roman" w:cs="Times New Roman"/>
                <w:sz w:val="20"/>
              </w:rPr>
            </w:pPr>
          </w:p>
        </w:tc>
        <w:tc>
          <w:tcPr>
            <w:tcW w:w="3594" w:type="dxa"/>
            <w:vMerge/>
          </w:tcPr>
          <w:p w14:paraId="63A40A5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272D717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565BA9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7AB50C92" w14:textId="77777777" w:rsidR="00992BD5" w:rsidRPr="00992BD5" w:rsidRDefault="00992BD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992BD5">
              <w:rPr>
                <w:rFonts w:ascii="Times New Roman" w:hAnsi="Times New Roman" w:cs="Times New Roman"/>
                <w:sz w:val="20"/>
              </w:rPr>
              <w:t>Nie ma szczególnych regulacji w tym zakresie w Kodeksie pracy. Osoby starsze mogą być zatrudniane w ramach elastycznych form pracy na tych samych zasadach co ogół pracowników, tj.:</w:t>
            </w:r>
          </w:p>
          <w:p w14:paraId="0EB040B1" w14:textId="77777777" w:rsidR="00CF7336" w:rsidRDefault="00992BD5" w:rsidP="008C71A9">
            <w:pPr>
              <w:pStyle w:val="Akapitzlist"/>
              <w:numPr>
                <w:ilvl w:val="0"/>
                <w:numId w:val="232"/>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F7336">
              <w:rPr>
                <w:rFonts w:ascii="Times New Roman" w:hAnsi="Times New Roman" w:cs="Times New Roman"/>
                <w:sz w:val="20"/>
              </w:rPr>
              <w:lastRenderedPageBreak/>
              <w:t>wymiar czasu pracy jest uzgadniany przez strony umowy o pracę. Jak wynika z art.29</w:t>
            </w:r>
            <w:r w:rsidRPr="00CF7336">
              <w:rPr>
                <w:rFonts w:ascii="Times New Roman" w:hAnsi="Times New Roman" w:cs="Times New Roman"/>
                <w:sz w:val="20"/>
                <w:vertAlign w:val="superscript"/>
              </w:rPr>
              <w:t>2</w:t>
            </w:r>
            <w:r w:rsidRPr="00CF7336">
              <w:rPr>
                <w:rFonts w:ascii="Times New Roman" w:hAnsi="Times New Roman" w:cs="Times New Roman"/>
                <w:sz w:val="20"/>
              </w:rPr>
              <w:t xml:space="preserve"> § 2 k.p. pracodawca powinien, w miarę możliwości, uwzględnić wniosek pracownika dotyczący zmiany wymiaru czasu pracy określonego w umowie o pracę,</w:t>
            </w:r>
          </w:p>
          <w:p w14:paraId="1AAE7F53" w14:textId="77777777" w:rsidR="00CF7336" w:rsidRDefault="00992BD5" w:rsidP="008C71A9">
            <w:pPr>
              <w:pStyle w:val="Akapitzlist"/>
              <w:numPr>
                <w:ilvl w:val="0"/>
                <w:numId w:val="232"/>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F7336">
              <w:rPr>
                <w:rFonts w:ascii="Times New Roman" w:hAnsi="Times New Roman" w:cs="Times New Roman"/>
                <w:sz w:val="20"/>
              </w:rPr>
              <w:t>uzgodnienie między stronami umowy o pracę, że praca będzie wykonywana w warunkach telepracy może nastąpić przy zawieraniu umowy o pracę albo w trakcie zatrudnienia (art. 67</w:t>
            </w:r>
            <w:r w:rsidRPr="00CF7336">
              <w:rPr>
                <w:rFonts w:ascii="Times New Roman" w:hAnsi="Times New Roman" w:cs="Times New Roman"/>
                <w:sz w:val="20"/>
                <w:vertAlign w:val="superscript"/>
              </w:rPr>
              <w:t>7</w:t>
            </w:r>
            <w:r w:rsidRPr="00CF7336">
              <w:rPr>
                <w:rFonts w:ascii="Times New Roman" w:hAnsi="Times New Roman" w:cs="Times New Roman"/>
                <w:sz w:val="20"/>
              </w:rPr>
              <w:t xml:space="preserve"> § 1 k.p.),</w:t>
            </w:r>
          </w:p>
          <w:p w14:paraId="33574F65" w14:textId="77777777" w:rsidR="00CF7336" w:rsidRDefault="00992BD5" w:rsidP="008C71A9">
            <w:pPr>
              <w:pStyle w:val="Akapitzlist"/>
              <w:numPr>
                <w:ilvl w:val="0"/>
                <w:numId w:val="232"/>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F7336">
              <w:rPr>
                <w:rFonts w:ascii="Times New Roman" w:hAnsi="Times New Roman" w:cs="Times New Roman"/>
                <w:sz w:val="20"/>
              </w:rPr>
              <w:t>tzw. ruchomy czas pracy może być stosowany do pracownika nie tylko na podstawie regulacji wewnątrzzakładowych, ale także na pisemny wniosek pracownika (art. 140</w:t>
            </w:r>
            <w:r w:rsidRPr="00CF7336">
              <w:rPr>
                <w:rFonts w:ascii="Times New Roman" w:hAnsi="Times New Roman" w:cs="Times New Roman"/>
                <w:sz w:val="20"/>
                <w:vertAlign w:val="superscript"/>
              </w:rPr>
              <w:t>1</w:t>
            </w:r>
            <w:r w:rsidRPr="00CF7336">
              <w:rPr>
                <w:rFonts w:ascii="Times New Roman" w:hAnsi="Times New Roman" w:cs="Times New Roman"/>
                <w:sz w:val="20"/>
              </w:rPr>
              <w:t xml:space="preserve"> k.p.),</w:t>
            </w:r>
          </w:p>
          <w:p w14:paraId="378DB108" w14:textId="77777777" w:rsidR="00CF7336" w:rsidRDefault="00992BD5" w:rsidP="008C71A9">
            <w:pPr>
              <w:pStyle w:val="Akapitzlist"/>
              <w:numPr>
                <w:ilvl w:val="0"/>
                <w:numId w:val="232"/>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F7336">
              <w:rPr>
                <w:rFonts w:ascii="Times New Roman" w:hAnsi="Times New Roman" w:cs="Times New Roman"/>
                <w:sz w:val="20"/>
              </w:rPr>
              <w:t>indywidualny rozkład czasu pracy w ramach systemu czasu pracy, którym pracownik jest objęty, może zostać ustalony przez pracodawcę na pisemny wniosek pracownika (art. 142 k.p.),</w:t>
            </w:r>
          </w:p>
          <w:p w14:paraId="51CD437E" w14:textId="77777777" w:rsidR="00992BD5" w:rsidRPr="00CF7336" w:rsidRDefault="00992BD5" w:rsidP="008C71A9">
            <w:pPr>
              <w:pStyle w:val="Akapitzlist"/>
              <w:numPr>
                <w:ilvl w:val="0"/>
                <w:numId w:val="232"/>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F7336">
              <w:rPr>
                <w:rFonts w:ascii="Times New Roman" w:hAnsi="Times New Roman" w:cs="Times New Roman"/>
                <w:sz w:val="20"/>
              </w:rPr>
              <w:t>zastosowanie do pracownika systemu skróconego tygodnia pracy (art. 143 k.p.) i tzw. pracy weekendowej (art. 144 k.p.) następuje na podstawie umowy o pracę.</w:t>
            </w:r>
          </w:p>
          <w:p w14:paraId="4AA30C78" w14:textId="77777777" w:rsidR="00CF7336" w:rsidRDefault="00CF7336"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6C222D4F" w14:textId="77777777" w:rsidR="00311D18" w:rsidRPr="00D24DF9" w:rsidRDefault="00CA216B"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 xml:space="preserve">Osoby w wieku 50+ nie podejmują zatrudnienia również w związku z trudnościami w godzeniu obowiązków rodzinnych z zawodowymi. MRPiPS dostrzegając ten problem, podjęło realizację projektu „Rodzina i praca – to się opłaca!”, który miał na celu promocję mechanizmów godzenia ról zawodowych i prywatnych, w tym pełnienie funkcji opiekuńczych, przybliżenie pracodawcom i pracownikom wiedzy na temat mechanizmów i instrumentów ułatwiających godzenie życia zawodowego z prywatnym. Głównym produktem projektu jest portal www.rodzinaipraca.gov.pl, który w przystępny sposób prezentuje i promuje narzędzia i mechanizmy wspierające godzenie życia zawodowego i prywatnego. Platforma dostarcza informacji na temat konkretnych rozwiązań, także tych wynikających z Kodeksu pracy, odpowiadających na potrzeby różnych grup pracowników, </w:t>
            </w:r>
            <w:r w:rsidRPr="00D24DF9">
              <w:rPr>
                <w:rFonts w:ascii="Times New Roman" w:hAnsi="Times New Roman" w:cs="Times New Roman"/>
                <w:sz w:val="20"/>
              </w:rPr>
              <w:lastRenderedPageBreak/>
              <w:t xml:space="preserve">w tym pracowników w starszym wieku, przybliża zagadnienia związane z godzeniem życia zawodowego i prywatnego oraz prezentuje narzędzia możliwe do wdrożenia w firmach o różnej specyfice i możliwościach finansowych. W 2019 roku portal ten był przedmiotem upowszechniania podczas różnych wydarzeń, w których brali udział zarówno pracodawcy jak i pracownicy. Jest to wyjście naprzeciw przedstawicielom zarówno najmłodszego pokolenia na rynku pracy, którzy reprezentują inne pojmowanie miejsca pracy, ale także przedstawicielom pokoleń najstarszych na rynku pracy, których może dotyczyć pełnienie funkcji opiekuńczych nad zależnymi członkami rodzin. </w:t>
            </w:r>
          </w:p>
        </w:tc>
      </w:tr>
      <w:tr w:rsidR="005F3D4B" w:rsidRPr="00D24DF9" w14:paraId="732B4FE2" w14:textId="77777777" w:rsidTr="004D48DD">
        <w:trPr>
          <w:trHeight w:val="511"/>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6DC901D"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66918F8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Wsparcie podmiotów ekonomii społecznej zatrudniających osoby starsze</w:t>
            </w:r>
          </w:p>
        </w:tc>
        <w:tc>
          <w:tcPr>
            <w:tcW w:w="2032" w:type="dxa"/>
            <w:vMerge w:val="restart"/>
          </w:tcPr>
          <w:p w14:paraId="793D57C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tc>
        <w:tc>
          <w:tcPr>
            <w:tcW w:w="1500" w:type="dxa"/>
            <w:vMerge w:val="restart"/>
          </w:tcPr>
          <w:p w14:paraId="415D970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3E76EB3D"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wspartych podmiotów ekonomii społecznej zatrudniających osoby starsze</w:t>
            </w:r>
          </w:p>
        </w:tc>
      </w:tr>
      <w:tr w:rsidR="005F3D4B" w:rsidRPr="00D24DF9" w14:paraId="46F67D8F"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5FA4914D" w14:textId="77777777" w:rsidR="00311D18" w:rsidRPr="00D24DF9" w:rsidRDefault="00311D18" w:rsidP="003C1988">
            <w:pPr>
              <w:spacing w:after="0"/>
              <w:rPr>
                <w:rFonts w:ascii="Times New Roman" w:hAnsi="Times New Roman" w:cs="Times New Roman"/>
                <w:sz w:val="20"/>
              </w:rPr>
            </w:pPr>
          </w:p>
        </w:tc>
        <w:tc>
          <w:tcPr>
            <w:tcW w:w="3594" w:type="dxa"/>
            <w:vMerge/>
          </w:tcPr>
          <w:p w14:paraId="47672F1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5C8618F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F796C04"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1031A195" w14:textId="77777777" w:rsidR="00CF7336" w:rsidRDefault="00715402" w:rsidP="003C1988">
            <w:pPr>
              <w:tabs>
                <w:tab w:val="left" w:pos="567"/>
              </w:tabs>
              <w:suppressAutoHyphen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x-none"/>
              </w:rPr>
            </w:pPr>
            <w:r w:rsidRPr="00D24DF9">
              <w:rPr>
                <w:rFonts w:ascii="Times New Roman" w:hAnsi="Times New Roman" w:cs="Times New Roman"/>
                <w:sz w:val="20"/>
                <w:lang w:eastAsia="x-none"/>
              </w:rPr>
              <w:t>Według stanu na 9 stycznia 2020 r.</w:t>
            </w:r>
            <w:r w:rsidR="00CF7336">
              <w:rPr>
                <w:rFonts w:ascii="Times New Roman" w:hAnsi="Times New Roman" w:cs="Times New Roman"/>
                <w:sz w:val="20"/>
                <w:lang w:eastAsia="x-none"/>
              </w:rPr>
              <w:t xml:space="preserve"> status Przedsiębiorstwa Społecznego</w:t>
            </w:r>
            <w:r w:rsidRPr="00D24DF9">
              <w:rPr>
                <w:rFonts w:ascii="Times New Roman" w:hAnsi="Times New Roman" w:cs="Times New Roman"/>
                <w:sz w:val="20"/>
                <w:lang w:eastAsia="x-none"/>
              </w:rPr>
              <w:t xml:space="preserve"> posiadały 1153 podmioty. Są to przede wszystkim spółdzielnie socjalne, ale także niektóre fundacje, stowarzyszenia i spółki non-profit. Najwięcej jest ich zlokalizowanych w woj. podkarpackim (170), śląskim (135) i wielkopolskim (122). Dominującą branżą jest gastronomia, w której aktywnych jest 208 podmiotów. Baza PS dostępna jest pod adresem:</w:t>
            </w:r>
          </w:p>
          <w:p w14:paraId="5B109995" w14:textId="77777777" w:rsidR="00715402" w:rsidRPr="00D24DF9" w:rsidRDefault="00715402" w:rsidP="003C1988">
            <w:pPr>
              <w:tabs>
                <w:tab w:val="left" w:pos="567"/>
              </w:tabs>
              <w:suppressAutoHyphen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lang w:eastAsia="x-none"/>
              </w:rPr>
            </w:pPr>
            <w:r w:rsidRPr="00D24DF9">
              <w:rPr>
                <w:rFonts w:ascii="Times New Roman" w:hAnsi="Times New Roman" w:cs="Times New Roman"/>
                <w:sz w:val="20"/>
                <w:lang w:eastAsia="x-none"/>
              </w:rPr>
              <w:t xml:space="preserve"> </w:t>
            </w:r>
            <w:hyperlink r:id="rId47" w:history="1">
              <w:r w:rsidRPr="00D24DF9">
                <w:rPr>
                  <w:rStyle w:val="Hipercze"/>
                  <w:rFonts w:ascii="Times New Roman" w:hAnsi="Times New Roman" w:cs="Times New Roman"/>
                  <w:color w:val="2F5496" w:themeColor="accent5" w:themeShade="BF"/>
                  <w:sz w:val="20"/>
                  <w:lang w:eastAsia="x-none"/>
                </w:rPr>
                <w:t>http://www.bazaps.ekonomiaspoleczna.gov.pl/</w:t>
              </w:r>
            </w:hyperlink>
            <w:r w:rsidRPr="00D24DF9">
              <w:rPr>
                <w:rFonts w:ascii="Times New Roman" w:hAnsi="Times New Roman" w:cs="Times New Roman"/>
                <w:sz w:val="20"/>
                <w:lang w:eastAsia="x-none"/>
              </w:rPr>
              <w:t xml:space="preserve">. </w:t>
            </w:r>
          </w:p>
          <w:p w14:paraId="26E0DBC5" w14:textId="77777777" w:rsidR="00715402" w:rsidRPr="00D24DF9" w:rsidRDefault="00715402"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1B5BEAF6" w14:textId="77777777" w:rsidR="00B06E26" w:rsidRPr="00D24DF9" w:rsidRDefault="00DA209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Pr>
                <w:rFonts w:ascii="Times New Roman" w:hAnsi="Times New Roman" w:cs="Times New Roman"/>
                <w:sz w:val="20"/>
              </w:rPr>
              <w:t xml:space="preserve">Jednocześnie, w </w:t>
            </w:r>
            <w:r w:rsidR="00B06E26" w:rsidRPr="00D24DF9">
              <w:rPr>
                <w:rFonts w:ascii="Times New Roman" w:eastAsia="MS Mincho" w:hAnsi="Times New Roman" w:cs="Times New Roman"/>
                <w:sz w:val="20"/>
              </w:rPr>
              <w:t xml:space="preserve">ramach priorytetu inwestycyjnego 9v wspieranie przedsiębiorczości społecznej i integracji zawodowej  w  przedsiębiorstwach  społecznych  oraz  ekonomii  społecznej  i  solidarnej  w  celu ułatwiania dostępu do zatrudnienia, realizowany jest szereg działań zmierzających do wzmocnienia kondycji sektora ekonomii społecznej oraz rozwoju podmiotów ekonomii społecznej. Na poziomie krajowym wsparcie realizowane jest w  ramach działania 2.9 Rozwój ekonomii społecznej PO WER wdrażane są także działania skierowane na wzmocnienie systemu wsparcia dla podmiotów ekonomii społecznej, m.in. poprzez zapewnienie preferencyjnej oferty wsparcia zwrotnego dla </w:t>
            </w:r>
            <w:r w:rsidR="00B06E26" w:rsidRPr="00D24DF9">
              <w:rPr>
                <w:rFonts w:ascii="Times New Roman" w:eastAsia="MS Mincho" w:hAnsi="Times New Roman" w:cs="Times New Roman"/>
                <w:sz w:val="20"/>
              </w:rPr>
              <w:lastRenderedPageBreak/>
              <w:t>podmiotów ekonomii społecznej. W 2019 r. kontynuowano realizację projektu „Wdrożenie instrumentu pożyczkowego i reporęczeniowego w ramach Krajowego Funduszu Przedsiębiorczości Społecznej”. W ramach tego projektu  do końca 2019 r. udzielono 679 preferencyjnych pożyczek, co przyczyniło się do stworzenia nowych 529 miejsc pracy.</w:t>
            </w:r>
          </w:p>
          <w:p w14:paraId="3051A367" w14:textId="77777777" w:rsidR="00B06E26" w:rsidRPr="00D24DF9" w:rsidRDefault="00B06E2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 xml:space="preserve">Wsparcie bezpośrednie dla podmiotów ekonomii społecznej świadczone jest w ramach Regionalnych Programów Operacyjnych przez akredytowane Ośrodki Wsparcia Ekonomii Społecznej (OWES). Istnieje możliwość otrzymania wsparcia finansowego lub pomostowego na stworzenie miejsca pracy w nowym lub istniejącym przedsiębiorstwie społecznym dla osób z grup zagrożonych wykluczeniem społecznym, w tym osób ubogich pracujących lub osób po ukończeniu 50. roku życia, posiadających status osoby poszukującej pracy, bez zatrudnienia w rozumieniu przepisów </w:t>
            </w:r>
            <w:r w:rsidRPr="00DA209F">
              <w:rPr>
                <w:rFonts w:ascii="Times New Roman" w:eastAsia="MS Mincho" w:hAnsi="Times New Roman" w:cs="Times New Roman"/>
                <w:i/>
                <w:sz w:val="20"/>
              </w:rPr>
              <w:t>ustawy z dnia 20 kwietnia 2004 r. o promocji zatrudnienia i instytucjach rynku pracy</w:t>
            </w:r>
            <w:r w:rsidRPr="00D24DF9">
              <w:rPr>
                <w:rFonts w:ascii="Times New Roman" w:eastAsia="MS Mincho" w:hAnsi="Times New Roman" w:cs="Times New Roman"/>
                <w:sz w:val="20"/>
              </w:rPr>
              <w:t>. Dodatkowo, możliwe jest uzyskanie przez podmioty ekonomii społecznej wsparcia doradczego czy szkoleniowego. OWES prowadzą także działania w zakresie animacji lokalnej, edukują przedstawicieli JST w zakresie korzyści ze współpracy z podmiotami ekonomii społecznej czy z wykorzystania klauzul społecznych w zamówieniach publicznych.</w:t>
            </w:r>
          </w:p>
        </w:tc>
      </w:tr>
      <w:tr w:rsidR="005F3D4B" w:rsidRPr="00D24DF9" w14:paraId="692996F4" w14:textId="77777777" w:rsidTr="004D48DD">
        <w:trPr>
          <w:trHeight w:val="533"/>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793BBA4D"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36716A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Promowanie kontynuowania pracy </w:t>
            </w:r>
            <w:r w:rsidRPr="00D24DF9">
              <w:rPr>
                <w:rFonts w:ascii="Times New Roman" w:eastAsia="MS Mincho" w:hAnsi="Times New Roman"/>
                <w:sz w:val="20"/>
              </w:rPr>
              <w:br/>
              <w:t>w innej formie np. coachingu, tutoringu i mentoringu</w:t>
            </w:r>
          </w:p>
          <w:p w14:paraId="24DC05A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val="restart"/>
          </w:tcPr>
          <w:p w14:paraId="27D2292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tc>
        <w:tc>
          <w:tcPr>
            <w:tcW w:w="1500" w:type="dxa"/>
            <w:vMerge w:val="restart"/>
          </w:tcPr>
          <w:p w14:paraId="44822B5D"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50C6795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zrealizowanych inicjatyw z zakresu promowania kontynuowania pracy w innej formie</w:t>
            </w:r>
          </w:p>
        </w:tc>
      </w:tr>
      <w:tr w:rsidR="005F3D4B" w:rsidRPr="00D24DF9" w14:paraId="0A741497"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7B91101D" w14:textId="77777777" w:rsidR="00311D18" w:rsidRPr="00D24DF9" w:rsidRDefault="00311D18" w:rsidP="003C1988">
            <w:pPr>
              <w:spacing w:after="0"/>
              <w:rPr>
                <w:rFonts w:ascii="Times New Roman" w:hAnsi="Times New Roman" w:cs="Times New Roman"/>
                <w:sz w:val="20"/>
              </w:rPr>
            </w:pPr>
          </w:p>
        </w:tc>
        <w:tc>
          <w:tcPr>
            <w:tcW w:w="3594" w:type="dxa"/>
            <w:vMerge/>
          </w:tcPr>
          <w:p w14:paraId="072423F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1083B4B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27B7792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44AF0C35" w14:textId="77777777" w:rsidR="00311D18" w:rsidRPr="00D24DF9" w:rsidRDefault="00F42A69"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Osoby w wieku 50+ nie podejmują zatrudnienia również w związku z trudnościami w g</w:t>
            </w:r>
            <w:r w:rsidR="00DA209F">
              <w:rPr>
                <w:rFonts w:ascii="Times New Roman" w:hAnsi="Times New Roman" w:cs="Times New Roman"/>
                <w:sz w:val="20"/>
              </w:rPr>
              <w:t xml:space="preserve">odzeniu obowiązków rodzinnych z </w:t>
            </w:r>
            <w:r w:rsidRPr="00D24DF9">
              <w:rPr>
                <w:rFonts w:ascii="Times New Roman" w:hAnsi="Times New Roman" w:cs="Times New Roman"/>
                <w:sz w:val="20"/>
              </w:rPr>
              <w:t xml:space="preserve">zawodowymi. MRPiPS dostrzegając ten problem, podjęło realizację projektu „Rodzina i praca – to się opłaca!”, który miał na celu promocję mechanizmów godzenia ról zawodowych i prywatnych, w tym pełnienie funkcji opiekuńczych, przybliżenie pracodawcom i pracownikom wiedzy na temat mechanizmów i instrumentów ułatwiających godzenie życia zawodowego </w:t>
            </w:r>
            <w:r w:rsidRPr="00D24DF9">
              <w:rPr>
                <w:rFonts w:ascii="Times New Roman" w:hAnsi="Times New Roman" w:cs="Times New Roman"/>
                <w:sz w:val="20"/>
              </w:rPr>
              <w:lastRenderedPageBreak/>
              <w:t xml:space="preserve">z prywatnym. Głównym produktem projektu jest portal www.rodzinaipraca.gov.pl, który w przystępny sposób prezentuje i promuje narzędzia i mechanizmy wspierające godzenie życia zawodowego i prywatnego. Platforma dostarcza informacji na temat konkretnych rozwiązań, także tych wynikających z Kodeksu pracy, odpowiadających na potrzeby różnych grup pracowników, w tym pracowników w starszym wieku, przybliża zagadnienia związane z godzeniem życia zawodowego i prywatnego oraz prezentuje narzędzia możliwe do wdrożenia w firmach o różnej specyfice i możliwościach finansowych. W 2019 roku portal ten był przedmiotem upowszechniania podczas różnych wydarzeń, w których brali udział zarówno pracodawcy jak i pracownicy. Jest to wyjście naprzeciw przedstawicielom zarówno najmłodszego pokolenia na rynku pracy, którzy reprezentują inne pojmowanie miejsca pracy, ale także przedstawicielom pokoleń najstarszych na rynku pracy, których może dotyczyć pełnienie funkcji opiekuńczych nad zależnymi członkami rodzin. </w:t>
            </w:r>
          </w:p>
        </w:tc>
      </w:tr>
      <w:tr w:rsidR="005F3D4B" w:rsidRPr="00D24DF9" w14:paraId="3F60F370"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2469556"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8DBCBB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Prowadzenie kampanii informacyjnych, szkoleń dla pracodawców nt. korzyści wynikających z zatrudnienia osoby starszej</w:t>
            </w:r>
          </w:p>
        </w:tc>
        <w:tc>
          <w:tcPr>
            <w:tcW w:w="2032" w:type="dxa"/>
            <w:vMerge w:val="restart"/>
          </w:tcPr>
          <w:p w14:paraId="73235CF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Rozwoju </w:t>
            </w:r>
          </w:p>
        </w:tc>
        <w:tc>
          <w:tcPr>
            <w:tcW w:w="1500" w:type="dxa"/>
            <w:vMerge w:val="restart"/>
          </w:tcPr>
          <w:p w14:paraId="2EB3152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273F385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zrealizowanych kampanii informacyjnych, szkoleń dla pracodawców nt. korzyści wynikających z zatrudnienia osoby starszej</w:t>
            </w:r>
          </w:p>
        </w:tc>
      </w:tr>
      <w:tr w:rsidR="005F3D4B" w:rsidRPr="00D24DF9" w14:paraId="7C3C6BC7"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567F25F" w14:textId="77777777" w:rsidR="00311D18" w:rsidRPr="00D24DF9" w:rsidRDefault="00311D18" w:rsidP="003C1988">
            <w:pPr>
              <w:spacing w:after="0"/>
              <w:rPr>
                <w:rFonts w:ascii="Times New Roman" w:hAnsi="Times New Roman" w:cs="Times New Roman"/>
                <w:sz w:val="20"/>
              </w:rPr>
            </w:pPr>
          </w:p>
        </w:tc>
        <w:tc>
          <w:tcPr>
            <w:tcW w:w="3594" w:type="dxa"/>
            <w:vMerge/>
          </w:tcPr>
          <w:p w14:paraId="7FC9E27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7F0161F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73183B3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3A56C67" w14:textId="77777777" w:rsidR="002C7440" w:rsidRPr="00DA209F" w:rsidRDefault="00DA209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Pr>
                <w:rFonts w:ascii="Times New Roman" w:eastAsia="MS Mincho" w:hAnsi="Times New Roman" w:cs="Times New Roman"/>
                <w:sz w:val="20"/>
              </w:rPr>
              <w:t xml:space="preserve">W 2019 r. Ministerstwo Rozwoju </w:t>
            </w:r>
            <w:r w:rsidR="002C7440" w:rsidRPr="00D24DF9">
              <w:rPr>
                <w:rFonts w:ascii="Times New Roman" w:eastAsia="MS Mincho" w:hAnsi="Times New Roman" w:cs="Times New Roman"/>
                <w:sz w:val="20"/>
              </w:rPr>
              <w:t>zorg</w:t>
            </w:r>
            <w:r>
              <w:rPr>
                <w:rFonts w:ascii="Times New Roman" w:eastAsia="MS Mincho" w:hAnsi="Times New Roman" w:cs="Times New Roman"/>
                <w:sz w:val="20"/>
              </w:rPr>
              <w:t xml:space="preserve">anizowało kilkanaście spotkań z </w:t>
            </w:r>
            <w:r w:rsidR="002C7440" w:rsidRPr="00D24DF9">
              <w:rPr>
                <w:rFonts w:ascii="Times New Roman" w:eastAsia="MS Mincho" w:hAnsi="Times New Roman" w:cs="Times New Roman"/>
                <w:sz w:val="20"/>
              </w:rPr>
              <w:t>organizacjami pracodawc</w:t>
            </w:r>
            <w:r>
              <w:rPr>
                <w:rFonts w:ascii="Times New Roman" w:eastAsia="MS Mincho" w:hAnsi="Times New Roman" w:cs="Times New Roman"/>
                <w:sz w:val="20"/>
              </w:rPr>
              <w:t xml:space="preserve">ów oraz związków zawodowych nt. </w:t>
            </w:r>
            <w:r w:rsidR="002C7440" w:rsidRPr="00D24DF9">
              <w:rPr>
                <w:rFonts w:ascii="Times New Roman" w:eastAsia="MS Mincho" w:hAnsi="Times New Roman" w:cs="Times New Roman"/>
                <w:sz w:val="20"/>
              </w:rPr>
              <w:t>zatrudnienia senio</w:t>
            </w:r>
            <w:r>
              <w:rPr>
                <w:rFonts w:ascii="Times New Roman" w:eastAsia="MS Mincho" w:hAnsi="Times New Roman" w:cs="Times New Roman"/>
                <w:sz w:val="20"/>
              </w:rPr>
              <w:t xml:space="preserve">rów oraz prowadzenia przez nich </w:t>
            </w:r>
            <w:r w:rsidR="002C7440" w:rsidRPr="00D24DF9">
              <w:rPr>
                <w:rFonts w:ascii="Times New Roman" w:eastAsia="MS Mincho" w:hAnsi="Times New Roman" w:cs="Times New Roman"/>
                <w:sz w:val="20"/>
              </w:rPr>
              <w:t>działalności gospodarczej.</w:t>
            </w:r>
          </w:p>
        </w:tc>
      </w:tr>
      <w:tr w:rsidR="005F3D4B" w:rsidRPr="00D24DF9" w14:paraId="62FE25E9" w14:textId="77777777" w:rsidTr="004D48DD">
        <w:trPr>
          <w:trHeight w:val="528"/>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34FFB29F"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074450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Kreowanie w przestrzeni społeczno-medialnej obrazu osoby starszej aktywnej zawodowo</w:t>
            </w:r>
          </w:p>
        </w:tc>
        <w:tc>
          <w:tcPr>
            <w:tcW w:w="2032" w:type="dxa"/>
            <w:vMerge w:val="restart"/>
          </w:tcPr>
          <w:p w14:paraId="1788A0B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Media publiczne</w:t>
            </w:r>
          </w:p>
        </w:tc>
        <w:tc>
          <w:tcPr>
            <w:tcW w:w="1500" w:type="dxa"/>
            <w:vMerge w:val="restart"/>
          </w:tcPr>
          <w:p w14:paraId="6F8971E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06E38F5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programów przedstawiających osoby starsze aktywne zawodowo</w:t>
            </w:r>
          </w:p>
        </w:tc>
      </w:tr>
      <w:tr w:rsidR="005F3D4B" w:rsidRPr="00D24DF9" w14:paraId="6B342D7A"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4B0155C7" w14:textId="77777777" w:rsidR="00311D18" w:rsidRPr="00D24DF9" w:rsidRDefault="00311D18" w:rsidP="003C1988">
            <w:pPr>
              <w:spacing w:after="0"/>
              <w:rPr>
                <w:rFonts w:ascii="Times New Roman" w:hAnsi="Times New Roman" w:cs="Times New Roman"/>
                <w:sz w:val="20"/>
              </w:rPr>
            </w:pPr>
          </w:p>
        </w:tc>
        <w:tc>
          <w:tcPr>
            <w:tcW w:w="3594" w:type="dxa"/>
            <w:vMerge/>
          </w:tcPr>
          <w:p w14:paraId="0D448FF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1A545E1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1AB2E6A"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F2074F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4B87AA04"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4BC183ED"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9EEF66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Popularyzacja dobrych praktyk </w:t>
            </w:r>
            <w:r w:rsidRPr="00D24DF9">
              <w:rPr>
                <w:rFonts w:ascii="Times New Roman" w:eastAsia="MS Mincho" w:hAnsi="Times New Roman"/>
                <w:sz w:val="20"/>
              </w:rPr>
              <w:br/>
              <w:t>i doświadczeń w przedmiotowym zakresie</w:t>
            </w:r>
          </w:p>
        </w:tc>
        <w:tc>
          <w:tcPr>
            <w:tcW w:w="2032" w:type="dxa"/>
            <w:vMerge w:val="restart"/>
          </w:tcPr>
          <w:p w14:paraId="3F70EA4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Rozwoju </w:t>
            </w:r>
          </w:p>
        </w:tc>
        <w:tc>
          <w:tcPr>
            <w:tcW w:w="1500" w:type="dxa"/>
            <w:vMerge w:val="restart"/>
          </w:tcPr>
          <w:p w14:paraId="69D8531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2AF9C858"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inicjatyw mających na celu popularyzację dobrych praktyk i doświadczeń w zakresie propagowania wśród pracodawców zasad społecznej odpowiedzialności biznesu oraz zarządzania wiekiem</w:t>
            </w:r>
          </w:p>
        </w:tc>
      </w:tr>
      <w:tr w:rsidR="005F3D4B" w:rsidRPr="00D24DF9" w14:paraId="2EF2A365"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E923153" w14:textId="77777777" w:rsidR="00311D18" w:rsidRPr="00D24DF9" w:rsidRDefault="00311D18" w:rsidP="003C1988">
            <w:pPr>
              <w:spacing w:after="0"/>
              <w:rPr>
                <w:rFonts w:ascii="Times New Roman" w:hAnsi="Times New Roman" w:cs="Times New Roman"/>
                <w:sz w:val="20"/>
              </w:rPr>
            </w:pPr>
          </w:p>
        </w:tc>
        <w:tc>
          <w:tcPr>
            <w:tcW w:w="3594" w:type="dxa"/>
            <w:vMerge/>
          </w:tcPr>
          <w:p w14:paraId="397AF6C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D59D78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AAF4352"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70B6675E" w14:textId="77777777" w:rsidR="003E2E88" w:rsidRPr="00D24DF9" w:rsidRDefault="00DA209F"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W 2019 r. Ministerstwo Rozwoju</w:t>
            </w:r>
            <w:r w:rsidR="003E2E88" w:rsidRPr="00D24DF9">
              <w:rPr>
                <w:rFonts w:ascii="Times New Roman" w:hAnsi="Times New Roman" w:cs="Times New Roman"/>
                <w:sz w:val="20"/>
              </w:rPr>
              <w:t xml:space="preserve"> nie pod</w:t>
            </w:r>
            <w:r>
              <w:rPr>
                <w:rFonts w:ascii="Times New Roman" w:hAnsi="Times New Roman" w:cs="Times New Roman"/>
                <w:sz w:val="20"/>
              </w:rPr>
              <w:t xml:space="preserve">ejmowało autorskich inicjatyw i </w:t>
            </w:r>
            <w:r w:rsidR="003E2E88" w:rsidRPr="00D24DF9">
              <w:rPr>
                <w:rFonts w:ascii="Times New Roman" w:hAnsi="Times New Roman" w:cs="Times New Roman"/>
                <w:sz w:val="20"/>
              </w:rPr>
              <w:t>działań we wskazanym zakresie.</w:t>
            </w:r>
          </w:p>
          <w:p w14:paraId="20A88566" w14:textId="77777777" w:rsidR="003E2E88" w:rsidRPr="00D24DF9" w:rsidRDefault="003E2E88"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Jednocześnie w szeroką popularyzację dobrych praktyk i</w:t>
            </w:r>
          </w:p>
          <w:p w14:paraId="7C126475" w14:textId="77777777" w:rsidR="003E2E88" w:rsidRPr="00D24DF9" w:rsidRDefault="003E2E88"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doświadczeń w zakresie propagowania wśród pracodawców</w:t>
            </w:r>
          </w:p>
          <w:p w14:paraId="68A4C481" w14:textId="77777777" w:rsidR="003E2E88" w:rsidRPr="00D24DF9" w:rsidRDefault="003E2E88"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zasad społecznej odpowiedzialności biznesu wpisuje się</w:t>
            </w:r>
          </w:p>
          <w:p w14:paraId="14136733" w14:textId="77777777" w:rsidR="003E2E88" w:rsidRPr="00D24DF9" w:rsidRDefault="00DA209F"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inicjatywa Ministerstwa Rozwoju</w:t>
            </w:r>
            <w:r w:rsidR="003E2E88" w:rsidRPr="00D24DF9">
              <w:rPr>
                <w:rFonts w:ascii="Times New Roman" w:hAnsi="Times New Roman" w:cs="Times New Roman"/>
                <w:sz w:val="20"/>
              </w:rPr>
              <w:t xml:space="preserve"> (jak</w:t>
            </w:r>
            <w:r>
              <w:rPr>
                <w:rFonts w:ascii="Times New Roman" w:hAnsi="Times New Roman" w:cs="Times New Roman"/>
                <w:sz w:val="20"/>
              </w:rPr>
              <w:t>o koordynatora Agendy 2030 ONZ) z</w:t>
            </w:r>
            <w:r w:rsidR="003E2E88" w:rsidRPr="00D24DF9">
              <w:rPr>
                <w:rFonts w:ascii="Times New Roman" w:hAnsi="Times New Roman" w:cs="Times New Roman"/>
                <w:sz w:val="20"/>
              </w:rPr>
              <w:t>bierania i udostępniania zobowiązań (commitmentów)</w:t>
            </w:r>
          </w:p>
          <w:p w14:paraId="476ADD4E" w14:textId="77777777" w:rsidR="003E2E88" w:rsidRPr="00D24DF9" w:rsidRDefault="003E2E88"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Sygnatariuszy Partnerstwa na rzecz realizacji celów</w:t>
            </w:r>
          </w:p>
          <w:p w14:paraId="69B8C1A4" w14:textId="77777777" w:rsidR="003E2E88" w:rsidRPr="00D24DF9" w:rsidRDefault="003E2E88"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zrównoważonego w Polsce. W kilku z nich znajdują się</w:t>
            </w:r>
          </w:p>
          <w:p w14:paraId="6FE99547" w14:textId="77777777" w:rsidR="003E2E88" w:rsidRPr="00D24DF9" w:rsidRDefault="003E2E88"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odniesienia do kwestii seniorów oraz zarządzania wiekiem i</w:t>
            </w:r>
          </w:p>
          <w:p w14:paraId="6F10C9CA" w14:textId="77777777" w:rsidR="003E2E88" w:rsidRPr="00D24DF9" w:rsidRDefault="003E2E88"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różnorodnością w miejscu pracy (dotyczy to Fundacji</w:t>
            </w:r>
          </w:p>
          <w:p w14:paraId="721A341B" w14:textId="77777777" w:rsidR="003E2E88" w:rsidRPr="00D24DF9" w:rsidRDefault="003E2E88"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Fundusz Współpracy, Głównego Urzędu Statystycznego oraz</w:t>
            </w:r>
          </w:p>
          <w:p w14:paraId="724DD509" w14:textId="77777777" w:rsidR="003E2E88" w:rsidRPr="00D24DF9" w:rsidRDefault="003E2E8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hAnsi="Times New Roman" w:cs="Times New Roman"/>
                <w:sz w:val="20"/>
              </w:rPr>
              <w:t>Forum Odpowiedzialnego Biznesu).</w:t>
            </w:r>
          </w:p>
        </w:tc>
      </w:tr>
      <w:tr w:rsidR="005F3D4B" w:rsidRPr="00D24DF9" w14:paraId="7955A164"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D732D8A"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6A6C46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Promowanie wśród pracodawców elastycznych form zatrudnienia</w:t>
            </w:r>
          </w:p>
        </w:tc>
        <w:tc>
          <w:tcPr>
            <w:tcW w:w="2032" w:type="dxa"/>
            <w:vMerge w:val="restart"/>
          </w:tcPr>
          <w:p w14:paraId="36CA536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tc>
        <w:tc>
          <w:tcPr>
            <w:tcW w:w="1500" w:type="dxa"/>
            <w:vMerge w:val="restart"/>
          </w:tcPr>
          <w:p w14:paraId="0AEE6D0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77D9CB3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i/>
                <w:sz w:val="20"/>
              </w:rPr>
            </w:pPr>
            <w:r w:rsidRPr="00D24DF9">
              <w:rPr>
                <w:rFonts w:ascii="Times New Roman" w:eastAsia="MS Mincho" w:hAnsi="Times New Roman" w:cs="Times New Roman"/>
                <w:i/>
                <w:sz w:val="20"/>
              </w:rPr>
              <w:t>Liczba zrealizowanych działań mających na celu promowanie wśród pracodawców elastycznych form zatrudnienia</w:t>
            </w:r>
          </w:p>
        </w:tc>
      </w:tr>
      <w:tr w:rsidR="005F3D4B" w:rsidRPr="00D24DF9" w14:paraId="017BD1D0"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51D8451" w14:textId="77777777" w:rsidR="00311D18" w:rsidRPr="00D24DF9" w:rsidRDefault="00311D18" w:rsidP="003C1988">
            <w:pPr>
              <w:spacing w:after="0"/>
              <w:rPr>
                <w:rFonts w:ascii="Times New Roman" w:hAnsi="Times New Roman" w:cs="Times New Roman"/>
                <w:sz w:val="20"/>
              </w:rPr>
            </w:pPr>
          </w:p>
        </w:tc>
        <w:tc>
          <w:tcPr>
            <w:tcW w:w="3594" w:type="dxa"/>
            <w:vMerge/>
          </w:tcPr>
          <w:p w14:paraId="386A158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58C8D0C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2AFE625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7C0FB410" w14:textId="77777777" w:rsidR="00311D18" w:rsidRPr="00D24DF9" w:rsidRDefault="00CA216B" w:rsidP="003C1988">
            <w:pPr>
              <w:pStyle w:val="Akapitzlist"/>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 xml:space="preserve">Osoby w wieku 50+ nie podejmują zatrudnienia również w związku z trudnościami w godzeniu obowiązków rodzinnych z zawodowymi. MRPiPS dostrzegając ten problem, podjęło realizację projektu „Rodzina i praca – to się opłaca!”, który miał na celu promocję mechanizmów godzenia ról zawodowych i prywatnych, w tym pełnienie funkcji opiekuńczych, przybliżenie pracodawcom i pracownikom wiedzy na temat mechanizmów i instrumentów ułatwiających godzenie życia zawodowego z prywatnym. Głównym produktem projektu jest portal www.rodzinaipraca.gov.pl, który w przystępny sposób prezentuje i promuje narzędzia i mechanizmy wspierające godzenie życia zawodowego i prywatnego. Platforma dostarcza informacji na temat konkretnych rozwiązań, także tych wynikających z Kodeksu pracy, odpowiadających na potrzeby różnych grup pracowników, w tym pracowników w starszym wieku, przybliża zagadnienia związane z godzeniem życia zawodowego i prywatnego oraz prezentuje narzędzia możliwe do wdrożenia w firmach o różnej specyfice i możliwościach finansowych. W 2019 roku portal ten był przedmiotem upowszechniania podczas różnych wydarzeń, w </w:t>
            </w:r>
            <w:r w:rsidRPr="00D24DF9">
              <w:rPr>
                <w:rFonts w:ascii="Times New Roman" w:hAnsi="Times New Roman" w:cs="Times New Roman"/>
                <w:sz w:val="20"/>
              </w:rPr>
              <w:lastRenderedPageBreak/>
              <w:t xml:space="preserve">których brali udział zarówno pracodawcy jak i pracownicy. Jest to wyjście naprzeciw przedstawicielom zarówno najmłodszego pokolenia na rynku pracy, którzy reprezentują inne pojmowanie miejsca pracy, ale także przedstawicielom pokoleń najstarszych na rynku pracy, których może dotyczyć pełnienie funkcji opiekuńczych nad zależnymi członkami rodzin. </w:t>
            </w:r>
          </w:p>
        </w:tc>
      </w:tr>
      <w:tr w:rsidR="005F3D4B" w:rsidRPr="00D24DF9" w14:paraId="34BF12DA"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62CBFC1"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7DC5028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Prowadzenie działań informacyjnych skierowanych do przedsiębiorców </w:t>
            </w:r>
            <w:r w:rsidRPr="00D24DF9">
              <w:rPr>
                <w:rFonts w:ascii="Times New Roman" w:eastAsia="MS Mincho" w:hAnsi="Times New Roman"/>
                <w:sz w:val="20"/>
              </w:rPr>
              <w:br/>
              <w:t xml:space="preserve">oraz podmiotów ekonomii społecznej </w:t>
            </w:r>
            <w:r w:rsidRPr="00D24DF9">
              <w:rPr>
                <w:rFonts w:ascii="Times New Roman" w:eastAsia="MS Mincho" w:hAnsi="Times New Roman"/>
                <w:sz w:val="20"/>
              </w:rPr>
              <w:br/>
              <w:t>i solidarnej z zakresu znajomości zasad srebrnej gospodarki</w:t>
            </w:r>
            <w:r w:rsidRPr="00D24DF9">
              <w:rPr>
                <w:rFonts w:ascii="Times New Roman" w:hAnsi="Times New Roman"/>
                <w:sz w:val="20"/>
              </w:rPr>
              <w:t xml:space="preserve"> </w:t>
            </w:r>
            <w:r w:rsidRPr="00D24DF9">
              <w:rPr>
                <w:rFonts w:ascii="Times New Roman" w:eastAsia="MS Mincho" w:hAnsi="Times New Roman"/>
                <w:sz w:val="20"/>
              </w:rPr>
              <w:t xml:space="preserve">oraz potrzeb i rozwiązań związanych z dostępnością stron internetowych i usług elektronicznych </w:t>
            </w:r>
            <w:r w:rsidRPr="00D24DF9">
              <w:rPr>
                <w:rFonts w:ascii="Times New Roman" w:hAnsi="Times New Roman"/>
                <w:sz w:val="20"/>
              </w:rPr>
              <w:t>dla osób starszych</w:t>
            </w:r>
          </w:p>
        </w:tc>
        <w:tc>
          <w:tcPr>
            <w:tcW w:w="2032" w:type="dxa"/>
            <w:vMerge w:val="restart"/>
          </w:tcPr>
          <w:p w14:paraId="09FE582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Rozwoju </w:t>
            </w:r>
          </w:p>
        </w:tc>
        <w:tc>
          <w:tcPr>
            <w:tcW w:w="1500" w:type="dxa"/>
            <w:vMerge w:val="restart"/>
          </w:tcPr>
          <w:p w14:paraId="7D88B4C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008CCDC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działań informacyjnych skierowanych do przedsiębiorców z zakresu znajomości zasad srebrnej gospodarki</w:t>
            </w:r>
            <w:r w:rsidRPr="00D24DF9">
              <w:rPr>
                <w:rFonts w:ascii="Times New Roman" w:hAnsi="Times New Roman"/>
                <w:i/>
                <w:sz w:val="20"/>
              </w:rPr>
              <w:t xml:space="preserve"> </w:t>
            </w:r>
            <w:r w:rsidRPr="00D24DF9">
              <w:rPr>
                <w:rFonts w:ascii="Times New Roman" w:eastAsia="MS Mincho" w:hAnsi="Times New Roman"/>
                <w:i/>
                <w:sz w:val="20"/>
              </w:rPr>
              <w:t>oraz potrzeb i rozwiązań związanych z dostępnością stron internetowych i usług elektronicznych</w:t>
            </w:r>
          </w:p>
        </w:tc>
      </w:tr>
      <w:tr w:rsidR="005F3D4B" w:rsidRPr="00D24DF9" w14:paraId="7956F693"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2142FA95" w14:textId="77777777" w:rsidR="00311D18" w:rsidRPr="00D24DF9" w:rsidRDefault="00311D18" w:rsidP="003C1988">
            <w:pPr>
              <w:spacing w:after="0"/>
              <w:rPr>
                <w:rFonts w:ascii="Times New Roman" w:hAnsi="Times New Roman" w:cs="Times New Roman"/>
                <w:sz w:val="20"/>
              </w:rPr>
            </w:pPr>
          </w:p>
        </w:tc>
        <w:tc>
          <w:tcPr>
            <w:tcW w:w="3594" w:type="dxa"/>
            <w:vMerge/>
          </w:tcPr>
          <w:p w14:paraId="2193ECC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42EE4FF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4B7D85A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297C9F79" w14:textId="77777777" w:rsidR="009C672C" w:rsidRPr="00D24DF9" w:rsidRDefault="00466520"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Pr>
                <w:rFonts w:ascii="Times New Roman" w:eastAsia="MS Mincho" w:hAnsi="Times New Roman" w:cs="Times New Roman"/>
                <w:sz w:val="20"/>
              </w:rPr>
              <w:t>Ministerstwo Rozwoju</w:t>
            </w:r>
            <w:r w:rsidR="009C672C" w:rsidRPr="00D24DF9">
              <w:rPr>
                <w:rFonts w:ascii="Times New Roman" w:eastAsia="MS Mincho" w:hAnsi="Times New Roman" w:cs="Times New Roman"/>
                <w:sz w:val="20"/>
              </w:rPr>
              <w:t xml:space="preserve"> odpowiada za funkcjono</w:t>
            </w:r>
            <w:r>
              <w:rPr>
                <w:rFonts w:ascii="Times New Roman" w:eastAsia="MS Mincho" w:hAnsi="Times New Roman" w:cs="Times New Roman"/>
                <w:sz w:val="20"/>
              </w:rPr>
              <w:t xml:space="preserve">wanie portalu Biznes.gov.pl, na </w:t>
            </w:r>
            <w:r w:rsidR="009C672C" w:rsidRPr="00D24DF9">
              <w:rPr>
                <w:rFonts w:ascii="Times New Roman" w:eastAsia="MS Mincho" w:hAnsi="Times New Roman" w:cs="Times New Roman"/>
                <w:sz w:val="20"/>
              </w:rPr>
              <w:t>którym znajdują się e-usługi zaprojektowane w sposó</w:t>
            </w:r>
            <w:r>
              <w:rPr>
                <w:rFonts w:ascii="Times New Roman" w:eastAsia="MS Mincho" w:hAnsi="Times New Roman" w:cs="Times New Roman"/>
                <w:sz w:val="20"/>
              </w:rPr>
              <w:t xml:space="preserve">b </w:t>
            </w:r>
            <w:r w:rsidR="009C672C" w:rsidRPr="00D24DF9">
              <w:rPr>
                <w:rFonts w:ascii="Times New Roman" w:eastAsia="MS Mincho" w:hAnsi="Times New Roman" w:cs="Times New Roman"/>
                <w:sz w:val="20"/>
              </w:rPr>
              <w:t>dostępny dla osób z niepełnosprawnością i osób starszych.</w:t>
            </w:r>
          </w:p>
          <w:p w14:paraId="2CFEB5F5" w14:textId="77777777" w:rsidR="009C672C" w:rsidRPr="00D24DF9" w:rsidRDefault="009C672C"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Treści publikowane na portalu są pisane prostym językiem,</w:t>
            </w:r>
          </w:p>
          <w:p w14:paraId="4297390B" w14:textId="77777777" w:rsidR="009C672C" w:rsidRPr="00D24DF9" w:rsidRDefault="009C672C"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tak by były przystępne dla każdego użytkownika.</w:t>
            </w:r>
          </w:p>
          <w:p w14:paraId="3E7427F3" w14:textId="77777777" w:rsidR="009C672C" w:rsidRPr="00D24DF9" w:rsidRDefault="009C672C"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Redaktorzy Biznes.gov.pl projektują treści w taki sposób, by</w:t>
            </w:r>
          </w:p>
          <w:p w14:paraId="092D5DA9" w14:textId="77777777" w:rsidR="009C672C" w:rsidRPr="00D24DF9" w:rsidRDefault="009C672C"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tzw. mglistość języka (wskaźnik FOG) była jak najniższa.</w:t>
            </w:r>
          </w:p>
          <w:p w14:paraId="2C6EE1B4" w14:textId="77777777" w:rsidR="009C672C" w:rsidRPr="00D24DF9" w:rsidRDefault="009C672C"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Dodatkowo, Centrum Pomocy Przedsiębiorcy, czyli infolinia</w:t>
            </w:r>
          </w:p>
          <w:p w14:paraId="34D590E8" w14:textId="77777777" w:rsidR="009C672C" w:rsidRPr="00D24DF9" w:rsidRDefault="009C672C"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dostępna z pozycji portalu dla użytkowników obsługuje</w:t>
            </w:r>
          </w:p>
          <w:p w14:paraId="0024D7F2" w14:textId="77777777" w:rsidR="009C672C" w:rsidRPr="00D24DF9" w:rsidRDefault="009C672C"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niesłyszących, którzy mogą skorzystać z usługi tłumacza</w:t>
            </w:r>
          </w:p>
          <w:p w14:paraId="207D1337" w14:textId="77777777" w:rsidR="009C672C" w:rsidRPr="00D24DF9" w:rsidRDefault="009C672C"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migowego (PJM).</w:t>
            </w:r>
          </w:p>
        </w:tc>
      </w:tr>
      <w:tr w:rsidR="005F3D4B" w:rsidRPr="00D24DF9" w14:paraId="593E27CC" w14:textId="77777777" w:rsidTr="004D48DD">
        <w:trPr>
          <w:trHeight w:val="987"/>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183E6C93"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2DD810F4" w14:textId="77777777" w:rsidR="00311D18" w:rsidRPr="00D24DF9" w:rsidRDefault="00311D18" w:rsidP="003C1988">
            <w:pPr>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Prowadzenie działań na rzecz promocji działalności gospodarczej w sektorze srebrnej gospodarki (w tym rozwój podmiotów ekonomii społecznej jako narzędzia aktywizacji społecznej i zawodowej osób starszych)</w:t>
            </w:r>
          </w:p>
        </w:tc>
        <w:tc>
          <w:tcPr>
            <w:tcW w:w="2032" w:type="dxa"/>
            <w:vMerge w:val="restart"/>
          </w:tcPr>
          <w:p w14:paraId="550F3A6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Rozwoju</w:t>
            </w:r>
          </w:p>
        </w:tc>
        <w:tc>
          <w:tcPr>
            <w:tcW w:w="1500" w:type="dxa"/>
            <w:vMerge w:val="restart"/>
          </w:tcPr>
          <w:p w14:paraId="4440727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7774DC8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działań promujących podejmowanie działalności gospodarczej w sektorze srebrnej gospodarki</w:t>
            </w:r>
          </w:p>
        </w:tc>
      </w:tr>
      <w:tr w:rsidR="005F3D4B" w:rsidRPr="00D24DF9" w14:paraId="3D7356F2"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4089B2D2" w14:textId="77777777" w:rsidR="00311D18" w:rsidRPr="00D24DF9" w:rsidRDefault="00311D18" w:rsidP="003C1988">
            <w:pPr>
              <w:spacing w:after="0"/>
              <w:rPr>
                <w:rFonts w:ascii="Times New Roman" w:hAnsi="Times New Roman" w:cs="Times New Roman"/>
                <w:sz w:val="20"/>
              </w:rPr>
            </w:pPr>
          </w:p>
        </w:tc>
        <w:tc>
          <w:tcPr>
            <w:tcW w:w="3594" w:type="dxa"/>
            <w:vMerge/>
          </w:tcPr>
          <w:p w14:paraId="7D9E09D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2EC57F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2FF891DA"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6E002538" w14:textId="77777777" w:rsidR="009F14C6" w:rsidRPr="00466520"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466520">
              <w:rPr>
                <w:rFonts w:ascii="Times New Roman" w:eastAsia="MS Mincho" w:hAnsi="Times New Roman" w:cs="Times New Roman"/>
                <w:sz w:val="20"/>
              </w:rPr>
              <w:t>19.11.2019 r. Polska Agencja Rozwoju Przedsiębiorczości</w:t>
            </w:r>
          </w:p>
          <w:p w14:paraId="16A0CB0F"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ogłosiła konkurs na granty w czterech instrumentach</w:t>
            </w:r>
          </w:p>
          <w:p w14:paraId="319ABFB7"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wsparcia w ramach Programu Rozwój Przedsiębiorczości i</w:t>
            </w:r>
          </w:p>
          <w:p w14:paraId="18B98AFA"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Innowacje. W związku z tym, w 2019</w:t>
            </w:r>
            <w:r w:rsidR="00466520">
              <w:rPr>
                <w:rFonts w:ascii="Times New Roman" w:eastAsia="MS Mincho" w:hAnsi="Times New Roman" w:cs="Times New Roman"/>
                <w:sz w:val="20"/>
              </w:rPr>
              <w:t xml:space="preserve"> r.</w:t>
            </w:r>
            <w:r w:rsidRPr="00D24DF9">
              <w:rPr>
                <w:rFonts w:ascii="Times New Roman" w:eastAsia="MS Mincho" w:hAnsi="Times New Roman" w:cs="Times New Roman"/>
                <w:sz w:val="20"/>
              </w:rPr>
              <w:t xml:space="preserve"> PARP zrealizowała szereg działań informacyjno–promocyjnych prowadzonych w ramach III edycji Funduszy Norweskich:</w:t>
            </w:r>
          </w:p>
          <w:p w14:paraId="211554D7" w14:textId="77777777" w:rsidR="009F14C6" w:rsidRPr="00466520" w:rsidRDefault="009F14C6" w:rsidP="008C71A9">
            <w:pPr>
              <w:pStyle w:val="Akapitzlist"/>
              <w:numPr>
                <w:ilvl w:val="0"/>
                <w:numId w:val="233"/>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466520">
              <w:rPr>
                <w:rFonts w:ascii="Times New Roman" w:eastAsia="MS Mincho" w:hAnsi="Times New Roman" w:cs="Times New Roman"/>
                <w:sz w:val="20"/>
              </w:rPr>
              <w:t>30 października 2019 r. została zorganizowana konferencja</w:t>
            </w:r>
          </w:p>
          <w:p w14:paraId="4A64828A"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inaugurująca program pt. „Rozwój przedsiębiorczości i</w:t>
            </w:r>
          </w:p>
          <w:p w14:paraId="0CF0B816"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lastRenderedPageBreak/>
              <w:t>innowacje. Inauguracja Funduszy Norweskich w PARP”,</w:t>
            </w:r>
          </w:p>
          <w:p w14:paraId="09D2D034"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który zakłada wsparcie innowacyjnych rozwiązań w</w:t>
            </w:r>
          </w:p>
          <w:p w14:paraId="778A14CF"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firmach m.in. w obszarze silver economy (Warszawa, 228</w:t>
            </w:r>
          </w:p>
          <w:p w14:paraId="074D32B4"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uczestników). Został nagrany reportaż z konferencji, który</w:t>
            </w:r>
          </w:p>
          <w:p w14:paraId="379ECD47"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jest dostępny na platformie internetowej:</w:t>
            </w:r>
          </w:p>
          <w:p w14:paraId="6235E4DF" w14:textId="77777777" w:rsidR="00466520" w:rsidRDefault="00141E52"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hyperlink r:id="rId48" w:history="1">
              <w:r w:rsidR="00466520" w:rsidRPr="006F4217">
                <w:rPr>
                  <w:rStyle w:val="Hipercze"/>
                  <w:rFonts w:ascii="Times New Roman" w:eastAsia="MS Mincho" w:hAnsi="Times New Roman" w:cs="Times New Roman"/>
                  <w:color w:val="034990" w:themeColor="hyperlink" w:themeShade="BF"/>
                  <w:sz w:val="20"/>
                </w:rPr>
                <w:t>https://www.youtube.com/watch?v=jGzrDLwmr6A</w:t>
              </w:r>
            </w:hyperlink>
          </w:p>
          <w:p w14:paraId="489A352C" w14:textId="77777777" w:rsidR="009F14C6" w:rsidRPr="00466520" w:rsidRDefault="009F14C6" w:rsidP="008C71A9">
            <w:pPr>
              <w:pStyle w:val="Akapitzlist"/>
              <w:numPr>
                <w:ilvl w:val="0"/>
                <w:numId w:val="233"/>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466520">
              <w:rPr>
                <w:rFonts w:ascii="Times New Roman" w:eastAsia="MS Mincho" w:hAnsi="Times New Roman" w:cs="Times New Roman"/>
                <w:sz w:val="20"/>
              </w:rPr>
              <w:t>przeprowadzono webinarium dedykowane m.in. tematowi</w:t>
            </w:r>
          </w:p>
          <w:p w14:paraId="5EF6C3FB"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silver economy pt. „Fundusze Norweskie - dowiedz się na</w:t>
            </w:r>
          </w:p>
          <w:p w14:paraId="3BC95CB6"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jakie wsparcie może liczyć Twoja firma”, które jest</w:t>
            </w:r>
          </w:p>
          <w:p w14:paraId="36F67481"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dostępne na platformie internetowej:</w:t>
            </w:r>
          </w:p>
          <w:p w14:paraId="27E05028" w14:textId="77777777" w:rsidR="00466520" w:rsidRDefault="00141E52"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hyperlink r:id="rId49" w:history="1">
              <w:r w:rsidR="00466520" w:rsidRPr="006F4217">
                <w:rPr>
                  <w:rStyle w:val="Hipercze"/>
                  <w:rFonts w:ascii="Times New Roman" w:eastAsia="MS Mincho" w:hAnsi="Times New Roman" w:cs="Times New Roman"/>
                  <w:color w:val="034990" w:themeColor="hyperlink" w:themeShade="BF"/>
                  <w:sz w:val="20"/>
                </w:rPr>
                <w:t>https://youtu.be/N2FUKgQfkYQ</w:t>
              </w:r>
            </w:hyperlink>
          </w:p>
          <w:p w14:paraId="636FD975" w14:textId="77777777" w:rsidR="009F14C6" w:rsidRPr="00466520" w:rsidRDefault="009F14C6" w:rsidP="008C71A9">
            <w:pPr>
              <w:pStyle w:val="Akapitzlist"/>
              <w:numPr>
                <w:ilvl w:val="0"/>
                <w:numId w:val="233"/>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466520">
              <w:rPr>
                <w:rFonts w:ascii="Times New Roman" w:eastAsia="MS Mincho" w:hAnsi="Times New Roman" w:cs="Times New Roman"/>
                <w:sz w:val="20"/>
              </w:rPr>
              <w:t>odbyły się dwa spotkania informacyjne zorganizowane</w:t>
            </w:r>
          </w:p>
          <w:p w14:paraId="54F64FEB"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p</w:t>
            </w:r>
            <w:r w:rsidR="00466520">
              <w:rPr>
                <w:rFonts w:ascii="Times New Roman" w:eastAsia="MS Mincho" w:hAnsi="Times New Roman" w:cs="Times New Roman"/>
                <w:sz w:val="20"/>
              </w:rPr>
              <w:t xml:space="preserve">rzez PARP: </w:t>
            </w:r>
            <w:r w:rsidRPr="00D24DF9">
              <w:rPr>
                <w:rFonts w:ascii="Times New Roman" w:eastAsia="MS Mincho" w:hAnsi="Times New Roman" w:cs="Times New Roman"/>
                <w:sz w:val="20"/>
              </w:rPr>
              <w:t>28 listopada 2019 r. w Warszawie, 47 uczestników</w:t>
            </w:r>
          </w:p>
          <w:p w14:paraId="0864D23A"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6 grudnia 2019 r. w Bydgoszczy, 110 uczestników</w:t>
            </w:r>
          </w:p>
          <w:p w14:paraId="1EE1A51C"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Ponadto PARP uczestniczyła w wielu wydarzeniach</w:t>
            </w:r>
          </w:p>
          <w:p w14:paraId="5187D2D3"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zewnętrznych, na których promowano instrumenty</w:t>
            </w:r>
          </w:p>
          <w:p w14:paraId="62AFD692"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oferowane przez Agencję w ramach Funduszy Norweskich:</w:t>
            </w:r>
          </w:p>
          <w:p w14:paraId="0EC78ACA" w14:textId="77777777" w:rsidR="009F14C6" w:rsidRPr="00466520" w:rsidRDefault="009F14C6" w:rsidP="008C71A9">
            <w:pPr>
              <w:pStyle w:val="Akapitzlist"/>
              <w:numPr>
                <w:ilvl w:val="0"/>
                <w:numId w:val="233"/>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66520">
              <w:rPr>
                <w:rFonts w:ascii="Times New Roman" w:hAnsi="Times New Roman" w:cs="Times New Roman"/>
                <w:sz w:val="20"/>
              </w:rPr>
              <w:t>8 maja 2019 r. w Poznaniu, Targi Green Power/Expo</w:t>
            </w:r>
          </w:p>
          <w:p w14:paraId="18242281"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Power, ponad 250 wystawców;</w:t>
            </w:r>
          </w:p>
          <w:p w14:paraId="3D4C6E67" w14:textId="77777777" w:rsidR="009F14C6" w:rsidRPr="00466520" w:rsidRDefault="009F14C6" w:rsidP="008C71A9">
            <w:pPr>
              <w:pStyle w:val="Akapitzlist"/>
              <w:numPr>
                <w:ilvl w:val="0"/>
                <w:numId w:val="233"/>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66520">
              <w:rPr>
                <w:rFonts w:ascii="Times New Roman" w:hAnsi="Times New Roman" w:cs="Times New Roman"/>
                <w:sz w:val="20"/>
              </w:rPr>
              <w:t>13 czerwca 2019 r. w Warszawie, Kongres Liderek</w:t>
            </w:r>
          </w:p>
          <w:p w14:paraId="38344075" w14:textId="77777777" w:rsidR="00466520"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Biznes</w:t>
            </w:r>
            <w:r w:rsidR="00466520">
              <w:rPr>
                <w:rFonts w:ascii="Times New Roman" w:hAnsi="Times New Roman" w:cs="Times New Roman"/>
                <w:sz w:val="20"/>
              </w:rPr>
              <w:t>u, 110 uczestników konferencji;</w:t>
            </w:r>
          </w:p>
          <w:p w14:paraId="47999694" w14:textId="77777777" w:rsidR="009F14C6" w:rsidRPr="00466520" w:rsidRDefault="009F14C6" w:rsidP="008C71A9">
            <w:pPr>
              <w:pStyle w:val="Akapitzlist"/>
              <w:numPr>
                <w:ilvl w:val="0"/>
                <w:numId w:val="233"/>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66520">
              <w:rPr>
                <w:rFonts w:ascii="Times New Roman" w:hAnsi="Times New Roman" w:cs="Times New Roman"/>
                <w:sz w:val="20"/>
              </w:rPr>
              <w:t>16-18 października 2019 r. w Katowicach, Europejski</w:t>
            </w:r>
          </w:p>
          <w:p w14:paraId="6A328FF1"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Kongres Małych i Średnich Przedsiębiorstw, 8 000</w:t>
            </w:r>
          </w:p>
          <w:p w14:paraId="30C90B22" w14:textId="77777777" w:rsidR="00466520" w:rsidRDefault="00466520"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uczestników;</w:t>
            </w:r>
          </w:p>
          <w:p w14:paraId="2BBCF77C" w14:textId="77777777" w:rsidR="009F14C6" w:rsidRPr="00466520" w:rsidRDefault="009F14C6" w:rsidP="008C71A9">
            <w:pPr>
              <w:pStyle w:val="Akapitzlist"/>
              <w:numPr>
                <w:ilvl w:val="0"/>
                <w:numId w:val="233"/>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66520">
              <w:rPr>
                <w:rFonts w:ascii="Times New Roman" w:hAnsi="Times New Roman" w:cs="Times New Roman"/>
                <w:sz w:val="20"/>
              </w:rPr>
              <w:t>3 grudnia 2019 r. w Warszawie udział w śniadaniu</w:t>
            </w:r>
          </w:p>
          <w:p w14:paraId="0B6F2B9D"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biznesowym w Sieci Przedsiębiorczych Kobiet, 100</w:t>
            </w:r>
          </w:p>
          <w:p w14:paraId="42E8D82A" w14:textId="77777777" w:rsidR="00466520" w:rsidRDefault="00466520"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Pr>
                <w:rFonts w:ascii="Times New Roman" w:hAnsi="Times New Roman" w:cs="Times New Roman"/>
                <w:sz w:val="20"/>
              </w:rPr>
              <w:t xml:space="preserve">uczestników. </w:t>
            </w:r>
          </w:p>
          <w:p w14:paraId="79B98A96"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Powstały także artyku</w:t>
            </w:r>
            <w:r w:rsidR="00466520">
              <w:rPr>
                <w:rFonts w:ascii="Times New Roman" w:hAnsi="Times New Roman" w:cs="Times New Roman"/>
                <w:sz w:val="20"/>
              </w:rPr>
              <w:t xml:space="preserve">ły promujące działania w ramach </w:t>
            </w:r>
            <w:r w:rsidRPr="00D24DF9">
              <w:rPr>
                <w:rFonts w:ascii="Times New Roman" w:hAnsi="Times New Roman" w:cs="Times New Roman"/>
                <w:sz w:val="20"/>
              </w:rPr>
              <w:t>Funduszy Norweskich w PARP:</w:t>
            </w:r>
          </w:p>
          <w:p w14:paraId="5E0699B2" w14:textId="77777777" w:rsidR="009F14C6" w:rsidRPr="00466520" w:rsidRDefault="009F14C6" w:rsidP="008C71A9">
            <w:pPr>
              <w:pStyle w:val="Akapitzlist"/>
              <w:numPr>
                <w:ilvl w:val="0"/>
                <w:numId w:val="233"/>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66520">
              <w:rPr>
                <w:rFonts w:ascii="Times New Roman" w:hAnsi="Times New Roman" w:cs="Times New Roman"/>
                <w:sz w:val="20"/>
              </w:rPr>
              <w:t>23 października 2019 r. – Money.pl – serwis ma 12 261</w:t>
            </w:r>
          </w:p>
          <w:p w14:paraId="3E432F96"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403 UU (dane za 09.2019) – artykuł miał 30 075 odsłon i</w:t>
            </w:r>
          </w:p>
          <w:p w14:paraId="328552E0"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21 951 UU</w:t>
            </w:r>
          </w:p>
          <w:p w14:paraId="3FC93CDB" w14:textId="77777777" w:rsidR="009F14C6" w:rsidRPr="00466520" w:rsidRDefault="009F14C6" w:rsidP="008C71A9">
            <w:pPr>
              <w:pStyle w:val="Akapitzlist"/>
              <w:numPr>
                <w:ilvl w:val="0"/>
                <w:numId w:val="233"/>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66520">
              <w:rPr>
                <w:rFonts w:ascii="Times New Roman" w:hAnsi="Times New Roman" w:cs="Times New Roman"/>
                <w:sz w:val="20"/>
              </w:rPr>
              <w:t>24 października 2019 r. – WNP.PL – serwis ma 1 544 442</w:t>
            </w:r>
          </w:p>
          <w:p w14:paraId="26308377"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UU (dane za 09.2019) – artykuł miał 1 146 odsłon</w:t>
            </w:r>
          </w:p>
          <w:p w14:paraId="2E3020E8" w14:textId="77777777" w:rsidR="009F14C6" w:rsidRPr="00466520" w:rsidRDefault="009F14C6" w:rsidP="008C71A9">
            <w:pPr>
              <w:pStyle w:val="Akapitzlist"/>
              <w:numPr>
                <w:ilvl w:val="0"/>
                <w:numId w:val="233"/>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66520">
              <w:rPr>
                <w:rFonts w:ascii="Times New Roman" w:hAnsi="Times New Roman" w:cs="Times New Roman"/>
                <w:sz w:val="20"/>
              </w:rPr>
              <w:t>19 listopada 2019 r. – Rzeczpospolita – nakład 49 700</w:t>
            </w:r>
          </w:p>
          <w:p w14:paraId="076B325C"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egzemplarzy</w:t>
            </w:r>
          </w:p>
          <w:p w14:paraId="3677B13D"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lastRenderedPageBreak/>
              <w:t>- 19 listopada 2019 r. – firma.rp.pl – liczba odsłon 364,</w:t>
            </w:r>
          </w:p>
          <w:p w14:paraId="28D74562" w14:textId="77777777" w:rsidR="009F14C6" w:rsidRPr="00466520" w:rsidRDefault="00466520" w:rsidP="008C71A9">
            <w:pPr>
              <w:pStyle w:val="Akapitzlist"/>
              <w:numPr>
                <w:ilvl w:val="0"/>
                <w:numId w:val="233"/>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66520">
              <w:rPr>
                <w:rFonts w:ascii="Times New Roman" w:hAnsi="Times New Roman" w:cs="Times New Roman"/>
                <w:sz w:val="20"/>
              </w:rPr>
              <w:t>li</w:t>
            </w:r>
            <w:r w:rsidR="009F14C6" w:rsidRPr="00466520">
              <w:rPr>
                <w:rFonts w:ascii="Times New Roman" w:hAnsi="Times New Roman" w:cs="Times New Roman"/>
                <w:sz w:val="20"/>
              </w:rPr>
              <w:t>czba UU 248 (przeniesienie artykułu z druku)</w:t>
            </w:r>
          </w:p>
          <w:p w14:paraId="658D7A5F" w14:textId="77777777" w:rsidR="009F14C6" w:rsidRPr="00466520" w:rsidRDefault="009F14C6" w:rsidP="008C71A9">
            <w:pPr>
              <w:pStyle w:val="Akapitzlist"/>
              <w:numPr>
                <w:ilvl w:val="0"/>
                <w:numId w:val="233"/>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66520">
              <w:rPr>
                <w:rFonts w:ascii="Times New Roman" w:hAnsi="Times New Roman" w:cs="Times New Roman"/>
                <w:sz w:val="20"/>
              </w:rPr>
              <w:t>9-13 grudnia 2019 r. – interia.biznes.pl – liczba odsłon</w:t>
            </w:r>
          </w:p>
          <w:p w14:paraId="7F9C6A12"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11490, liczba UU 10635.</w:t>
            </w:r>
          </w:p>
          <w:p w14:paraId="2E9E3365"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Działania były komunikowane poprzez social media PARP,</w:t>
            </w:r>
          </w:p>
          <w:p w14:paraId="0626711A"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zaś w ramach działań własnych rozsyłane były mailingi</w:t>
            </w:r>
          </w:p>
          <w:p w14:paraId="0BCDA9E5"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(m.in.: 13.06.2019 r.; 18.11.2019 r.; 2.12.2019 r.) do</w:t>
            </w:r>
          </w:p>
          <w:p w14:paraId="6BFB798D" w14:textId="77777777" w:rsidR="009F14C6" w:rsidRPr="00D24DF9"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następujących baz odbiorców:</w:t>
            </w:r>
          </w:p>
          <w:p w14:paraId="2972FB61" w14:textId="77777777" w:rsidR="00562598" w:rsidRDefault="009F14C6" w:rsidP="008C71A9">
            <w:pPr>
              <w:pStyle w:val="Akapitzlist"/>
              <w:numPr>
                <w:ilvl w:val="0"/>
                <w:numId w:val="234"/>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466520">
              <w:rPr>
                <w:rFonts w:ascii="Times New Roman" w:hAnsi="Times New Roman" w:cs="Times New Roman"/>
                <w:sz w:val="20"/>
              </w:rPr>
              <w:t>Jednostek Samorządu Terytorialnego (2 800 rekordów);</w:t>
            </w:r>
          </w:p>
          <w:p w14:paraId="3B22741B" w14:textId="77777777" w:rsidR="009F14C6" w:rsidRPr="00562598" w:rsidRDefault="009F14C6" w:rsidP="008C71A9">
            <w:pPr>
              <w:pStyle w:val="Akapitzlist"/>
              <w:numPr>
                <w:ilvl w:val="0"/>
                <w:numId w:val="234"/>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62598">
              <w:rPr>
                <w:rFonts w:ascii="Times New Roman" w:hAnsi="Times New Roman" w:cs="Times New Roman"/>
                <w:sz w:val="20"/>
              </w:rPr>
              <w:t>Bazy przedsiębiorców zajmujących się działalnością</w:t>
            </w:r>
          </w:p>
          <w:p w14:paraId="33CD0EAB" w14:textId="77777777" w:rsidR="00562598" w:rsidRDefault="009F14C6"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inno</w:t>
            </w:r>
            <w:r w:rsidR="00562598">
              <w:rPr>
                <w:rFonts w:ascii="Times New Roman" w:hAnsi="Times New Roman" w:cs="Times New Roman"/>
                <w:sz w:val="20"/>
              </w:rPr>
              <w:t>wacyjno-naukową (296 rekordów);</w:t>
            </w:r>
          </w:p>
          <w:p w14:paraId="5CB88E4F" w14:textId="77777777" w:rsidR="00562598" w:rsidRDefault="009F14C6" w:rsidP="008C71A9">
            <w:pPr>
              <w:pStyle w:val="Akapitzlist"/>
              <w:numPr>
                <w:ilvl w:val="0"/>
                <w:numId w:val="235"/>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62598">
              <w:rPr>
                <w:rFonts w:ascii="Times New Roman" w:hAnsi="Times New Roman" w:cs="Times New Roman"/>
                <w:sz w:val="20"/>
              </w:rPr>
              <w:t>Parków Technologicznych (68 rekordów);</w:t>
            </w:r>
          </w:p>
          <w:p w14:paraId="2F3864E3" w14:textId="77777777" w:rsidR="009F14C6" w:rsidRPr="00562598" w:rsidRDefault="009F14C6" w:rsidP="008C71A9">
            <w:pPr>
              <w:pStyle w:val="Akapitzlist"/>
              <w:numPr>
                <w:ilvl w:val="0"/>
                <w:numId w:val="235"/>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62598">
              <w:rPr>
                <w:rFonts w:ascii="Times New Roman" w:hAnsi="Times New Roman" w:cs="Times New Roman"/>
                <w:sz w:val="20"/>
              </w:rPr>
              <w:t>Bazy przedsiębiorców i stowarzyszeń zainteresowanych</w:t>
            </w:r>
          </w:p>
          <w:p w14:paraId="2183196E" w14:textId="77777777" w:rsidR="009F14C6" w:rsidRPr="00D24DF9" w:rsidRDefault="009F14C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funduszami norweskimi (ok. 120 rekordów).</w:t>
            </w:r>
          </w:p>
        </w:tc>
      </w:tr>
      <w:tr w:rsidR="005F3D4B" w:rsidRPr="00D24DF9" w14:paraId="62EADD13" w14:textId="77777777" w:rsidTr="004D48DD">
        <w:trPr>
          <w:trHeight w:val="467"/>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0CDB4E6B"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45C23C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Prowadzenie działań na rzecz promocji przedsiębiorczości osób starszych</w:t>
            </w:r>
          </w:p>
        </w:tc>
        <w:tc>
          <w:tcPr>
            <w:tcW w:w="2032" w:type="dxa"/>
            <w:vMerge w:val="restart"/>
          </w:tcPr>
          <w:p w14:paraId="6DD673D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Rozwoju  </w:t>
            </w:r>
          </w:p>
        </w:tc>
        <w:tc>
          <w:tcPr>
            <w:tcW w:w="1500" w:type="dxa"/>
            <w:vMerge w:val="restart"/>
          </w:tcPr>
          <w:p w14:paraId="57280A4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361F1EB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zrealizowanych działań promujących przedsiębiorczość osób starszych</w:t>
            </w:r>
          </w:p>
        </w:tc>
      </w:tr>
      <w:tr w:rsidR="005F3D4B" w:rsidRPr="00D24DF9" w14:paraId="675F4E52"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ign w:val="center"/>
          </w:tcPr>
          <w:p w14:paraId="67300661" w14:textId="77777777" w:rsidR="00311D18" w:rsidRPr="00D24DF9" w:rsidRDefault="00311D18" w:rsidP="003C1988">
            <w:pPr>
              <w:spacing w:after="0"/>
              <w:rPr>
                <w:rFonts w:ascii="Times New Roman" w:hAnsi="Times New Roman" w:cs="Times New Roman"/>
                <w:sz w:val="20"/>
              </w:rPr>
            </w:pPr>
          </w:p>
        </w:tc>
        <w:tc>
          <w:tcPr>
            <w:tcW w:w="3594" w:type="dxa"/>
            <w:vMerge/>
          </w:tcPr>
          <w:p w14:paraId="3871A75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7B2D378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0B8131B"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0C1BD5E" w14:textId="77777777" w:rsidR="001F1004" w:rsidRPr="00BA01AE" w:rsidRDefault="001F1004" w:rsidP="008C71A9">
            <w:pPr>
              <w:pStyle w:val="Akapitzlist"/>
              <w:numPr>
                <w:ilvl w:val="0"/>
                <w:numId w:val="236"/>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A01AE">
              <w:rPr>
                <w:rFonts w:ascii="Times New Roman" w:hAnsi="Times New Roman" w:cs="Times New Roman"/>
                <w:sz w:val="20"/>
              </w:rPr>
              <w:t>Organizacja stoiska informacyjnego Ministerstwa</w:t>
            </w:r>
          </w:p>
          <w:p w14:paraId="238A685C"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Rozwoju podczas targów senioralnych Targi Kielce</w:t>
            </w:r>
          </w:p>
          <w:p w14:paraId="0FD26785"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12.10.2019 r. Promocja aktywności zawodowej seniorów</w:t>
            </w:r>
          </w:p>
          <w:p w14:paraId="15DA0CFB"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liczba odwiedzających ok. 2 tys. seniorów</w:t>
            </w:r>
          </w:p>
          <w:p w14:paraId="6930C918" w14:textId="77777777" w:rsidR="001F1004" w:rsidRPr="00BA01AE" w:rsidRDefault="001F1004" w:rsidP="008C71A9">
            <w:pPr>
              <w:pStyle w:val="Akapitzlist"/>
              <w:numPr>
                <w:ilvl w:val="0"/>
                <w:numId w:val="236"/>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A01AE">
              <w:rPr>
                <w:rFonts w:ascii="Times New Roman" w:hAnsi="Times New Roman" w:cs="Times New Roman"/>
                <w:sz w:val="20"/>
              </w:rPr>
              <w:t>Udział w panelu międzynarodowym nt. aktywności</w:t>
            </w:r>
          </w:p>
          <w:p w14:paraId="0F9F7FFE"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zawodowej seniorów. 12.10.2019 r.</w:t>
            </w:r>
          </w:p>
          <w:p w14:paraId="74FDDC08" w14:textId="77777777" w:rsidR="001F1004" w:rsidRPr="00BA01AE" w:rsidRDefault="001F1004" w:rsidP="008C71A9">
            <w:pPr>
              <w:pStyle w:val="Akapitzlist"/>
              <w:numPr>
                <w:ilvl w:val="0"/>
                <w:numId w:val="236"/>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A01AE">
              <w:rPr>
                <w:rFonts w:ascii="Times New Roman" w:hAnsi="Times New Roman" w:cs="Times New Roman"/>
                <w:sz w:val="20"/>
              </w:rPr>
              <w:t>Opracowanie ankiety nt. barier w podejmowaniu</w:t>
            </w:r>
          </w:p>
          <w:p w14:paraId="49EF17EA"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aktywności przez seniorów ankieta zamieszczona na</w:t>
            </w:r>
          </w:p>
          <w:p w14:paraId="74755355"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stronie MR – ponad 6 tys. wejść ok. 3 tys. wypełnień.</w:t>
            </w:r>
          </w:p>
          <w:p w14:paraId="540AD039"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Ankieta czynna do 2020 r.</w:t>
            </w:r>
          </w:p>
          <w:p w14:paraId="3DE30DB9" w14:textId="77777777" w:rsidR="001F1004" w:rsidRPr="00BA01AE" w:rsidRDefault="001F1004" w:rsidP="008C71A9">
            <w:pPr>
              <w:pStyle w:val="Akapitzlist"/>
              <w:numPr>
                <w:ilvl w:val="0"/>
                <w:numId w:val="236"/>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A01AE">
              <w:rPr>
                <w:rFonts w:ascii="Times New Roman" w:hAnsi="Times New Roman" w:cs="Times New Roman"/>
                <w:sz w:val="20"/>
              </w:rPr>
              <w:t>Spotkania ws. aktywności zawodowej seniorów</w:t>
            </w:r>
          </w:p>
          <w:p w14:paraId="4A924514"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reprezentantami kół gospodyń wiejskich w Starogardzie</w:t>
            </w:r>
          </w:p>
          <w:p w14:paraId="6870E60E"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Gdańskim oraz z przedstawicielami woj.</w:t>
            </w:r>
          </w:p>
          <w:p w14:paraId="4E36A677"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Świętokrzyskiego w Kielcach.</w:t>
            </w:r>
          </w:p>
          <w:p w14:paraId="219CF4FB" w14:textId="77777777" w:rsidR="001F1004" w:rsidRPr="00BA01AE" w:rsidRDefault="001F1004" w:rsidP="008C71A9">
            <w:pPr>
              <w:pStyle w:val="Akapitzlist"/>
              <w:numPr>
                <w:ilvl w:val="0"/>
                <w:numId w:val="236"/>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A01AE">
              <w:rPr>
                <w:rFonts w:ascii="Times New Roman" w:hAnsi="Times New Roman" w:cs="Times New Roman"/>
                <w:sz w:val="20"/>
              </w:rPr>
              <w:t>Kilkanaście spotkań z organizacjami pracodawców oraz</w:t>
            </w:r>
          </w:p>
          <w:p w14:paraId="1D6EFB2E"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związków zawodowych nt. zatrudnienia seniorów oraz</w:t>
            </w:r>
          </w:p>
          <w:p w14:paraId="45A6DDD1"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prowadzenia przez nich działalności gospodarczej.</w:t>
            </w:r>
          </w:p>
          <w:p w14:paraId="2D98670E" w14:textId="77777777" w:rsidR="001F1004" w:rsidRPr="00BA01AE" w:rsidRDefault="001F1004" w:rsidP="008C71A9">
            <w:pPr>
              <w:pStyle w:val="Akapitzlist"/>
              <w:numPr>
                <w:ilvl w:val="0"/>
                <w:numId w:val="236"/>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A01AE">
              <w:rPr>
                <w:rFonts w:ascii="Times New Roman" w:hAnsi="Times New Roman" w:cs="Times New Roman"/>
                <w:sz w:val="20"/>
              </w:rPr>
              <w:t>Rozpoczęcie prac nad raportem dot. potencjału seniorów</w:t>
            </w:r>
          </w:p>
          <w:p w14:paraId="4AB64C8B" w14:textId="77777777" w:rsidR="001F1004" w:rsidRPr="00D24DF9" w:rsidRDefault="001F1004"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dla polskiej gospodarki oraz nad możliwymi</w:t>
            </w:r>
          </w:p>
          <w:p w14:paraId="4EA33CC6" w14:textId="77777777" w:rsidR="00311D18" w:rsidRPr="00D24DF9" w:rsidRDefault="001F1004"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instrumentami aktywizacji zawodowej osób 50 +.</w:t>
            </w:r>
          </w:p>
        </w:tc>
      </w:tr>
      <w:tr w:rsidR="005F3D4B" w:rsidRPr="00D24DF9" w14:paraId="45C71E9E"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vAlign w:val="center"/>
          </w:tcPr>
          <w:p w14:paraId="4E4C8A30" w14:textId="77777777" w:rsidR="00311D18" w:rsidRPr="00D24DF9" w:rsidRDefault="00311D18" w:rsidP="003C1988">
            <w:pPr>
              <w:spacing w:after="0"/>
              <w:ind w:left="113" w:right="113"/>
              <w:rPr>
                <w:rFonts w:ascii="Times New Roman" w:hAnsi="Times New Roman" w:cs="Times New Roman"/>
                <w:sz w:val="20"/>
              </w:rPr>
            </w:pPr>
            <w:r w:rsidRPr="00D24DF9">
              <w:rPr>
                <w:rFonts w:ascii="Times New Roman" w:hAnsi="Times New Roman" w:cs="Times New Roman"/>
                <w:sz w:val="20"/>
              </w:rPr>
              <w:lastRenderedPageBreak/>
              <w:t>Obszar IV</w:t>
            </w:r>
          </w:p>
        </w:tc>
        <w:tc>
          <w:tcPr>
            <w:tcW w:w="3594" w:type="dxa"/>
            <w:vMerge w:val="restart"/>
            <w:shd w:val="clear" w:color="auto" w:fill="D9E2F3" w:themeFill="accent5" w:themeFillTint="33"/>
          </w:tcPr>
          <w:p w14:paraId="695E2A9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Upowszechnianie wiedzy na temat zdrowia, z uwzględnieniem zmian wynikających z procesu starzenia </w:t>
            </w:r>
            <w:r w:rsidRPr="00D24DF9">
              <w:rPr>
                <w:rFonts w:ascii="Times New Roman" w:eastAsia="MS Mincho" w:hAnsi="Times New Roman"/>
                <w:sz w:val="20"/>
              </w:rPr>
              <w:br/>
              <w:t>na wszystkich szczeblach edukacji</w:t>
            </w:r>
          </w:p>
        </w:tc>
        <w:tc>
          <w:tcPr>
            <w:tcW w:w="2032" w:type="dxa"/>
            <w:vMerge w:val="restart"/>
          </w:tcPr>
          <w:p w14:paraId="5C94531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Edukacji Narodowej, Ministerstwo Nauki i Szkolnictwa Wyższego, Ministerstwo Zdrowia</w:t>
            </w:r>
          </w:p>
        </w:tc>
        <w:tc>
          <w:tcPr>
            <w:tcW w:w="1500" w:type="dxa"/>
            <w:vMerge w:val="restart"/>
          </w:tcPr>
          <w:p w14:paraId="4145A08E"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272D4EB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Realizacja w podstawie programowej kwestii edukacji zdrowotnej</w:t>
            </w:r>
          </w:p>
          <w:p w14:paraId="10308D6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sz w:val="20"/>
              </w:rPr>
            </w:pPr>
            <w:r w:rsidRPr="00D24DF9">
              <w:rPr>
                <w:rFonts w:ascii="Times New Roman" w:eastAsia="MS Mincho" w:hAnsi="Times New Roman"/>
                <w:b/>
                <w:sz w:val="20"/>
              </w:rPr>
              <w:t xml:space="preserve">oraz </w:t>
            </w:r>
          </w:p>
          <w:p w14:paraId="31AC9B1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działań mających na celu upowszechnianie wiedzy na temat zdrowia z uwzględnieniem zmian wynikających z procesu starzenia</w:t>
            </w:r>
          </w:p>
        </w:tc>
      </w:tr>
      <w:tr w:rsidR="005F3D4B" w:rsidRPr="00D24DF9" w14:paraId="1A872CAC"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2EE7C01" w14:textId="77777777" w:rsidR="00311D18" w:rsidRPr="00D24DF9" w:rsidRDefault="00311D18" w:rsidP="003C1988">
            <w:pPr>
              <w:spacing w:after="0"/>
              <w:rPr>
                <w:rFonts w:ascii="Times New Roman" w:hAnsi="Times New Roman" w:cs="Times New Roman"/>
                <w:sz w:val="20"/>
              </w:rPr>
            </w:pPr>
          </w:p>
        </w:tc>
        <w:tc>
          <w:tcPr>
            <w:tcW w:w="3594" w:type="dxa"/>
            <w:vMerge/>
          </w:tcPr>
          <w:p w14:paraId="1217D55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760D73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92DD4B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E473C7E" w14:textId="77777777" w:rsidR="00B57715" w:rsidRPr="00B57715" w:rsidRDefault="00B57715" w:rsidP="003C19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57715">
              <w:rPr>
                <w:rFonts w:ascii="Times New Roman" w:hAnsi="Times New Roman" w:cs="Times New Roman"/>
                <w:sz w:val="20"/>
              </w:rPr>
              <w:t xml:space="preserve">MZ prowadzi sprawy związane z kształceniem przed- i podyplomowym lekarzy i lekarzy dentystów, dla których obszar tematyczny, zakres wiedzy i wymaganych umiejętności praktycznych został określony w standardach kształcenia, opracowanych przez zespoły specjalistów i ekspertów w poszczególnych dziedzinach medycyny. </w:t>
            </w:r>
          </w:p>
          <w:p w14:paraId="5DE85B7A" w14:textId="77777777" w:rsidR="00B57715" w:rsidRPr="00B57715" w:rsidRDefault="00B57715" w:rsidP="003C19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57715">
              <w:rPr>
                <w:rFonts w:ascii="Times New Roman" w:hAnsi="Times New Roman" w:cs="Times New Roman"/>
                <w:sz w:val="20"/>
              </w:rPr>
              <w:t>Podstawę programową kształcenia na kierunku lekarskim stanowią przepisy rozporządzenia Ministra Nauki i Szkolnictwa Wyższego z dnia 26 lipca 2019 r. w sprawie standardów kształcenia przygotowującego do wykonywania zawodu lekarza, lekarza dentysty, farmaceuty, pielęgniarki, położnej, diagnosty laboratoryjnego, fizjoterapeuty i ratownika medycznego (Dz. U. poz. 1573, z późn.zm.). Zgodnie ze standardami, o których mowa w przedmiotowym rozporządzeniu, lekarz w zakresie wiedzy zna i rozumie zasady promocji zdrowia, a swoją wiedzę opiera na dowodach naukowych. Zobowiązany jest planować własną aktywność edukacyjną i stale dokształcać się w celu aktualizacji wiedzy, a w zakresie kompetencji społecznych jest gotów do propagowania zachowań prozdrowotnych i udzielania porad w kwestii przestrzegania zaleceń terapeutycznych oraz prozdrowotnego trybu życia.</w:t>
            </w:r>
          </w:p>
          <w:p w14:paraId="360A4FE2" w14:textId="77777777" w:rsidR="00B57715" w:rsidRPr="00B57715" w:rsidRDefault="00B57715" w:rsidP="003C198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57715">
              <w:rPr>
                <w:rFonts w:ascii="Times New Roman" w:hAnsi="Times New Roman" w:cs="Times New Roman"/>
                <w:sz w:val="20"/>
              </w:rPr>
              <w:t>W zakresie wiedzy absolwent kierunku lekarskiego zna:</w:t>
            </w:r>
          </w:p>
          <w:p w14:paraId="44A74E8B" w14:textId="77777777" w:rsidR="00B57715" w:rsidRDefault="00B57715" w:rsidP="008C71A9">
            <w:pPr>
              <w:pStyle w:val="Akapitzlist"/>
              <w:numPr>
                <w:ilvl w:val="0"/>
                <w:numId w:val="23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57715">
              <w:rPr>
                <w:rFonts w:ascii="Times New Roman" w:hAnsi="Times New Roman" w:cs="Times New Roman"/>
                <w:sz w:val="20"/>
              </w:rPr>
              <w:t xml:space="preserve">mechanizm starzenia się organizmu, główne mechanizmy działania leków i ich przemiany w ustroju zależne od wieku, wpływ stresu oksydacyjnego na komórki i jego znaczenie w procesach starzenia się, </w:t>
            </w:r>
          </w:p>
          <w:p w14:paraId="617D023C" w14:textId="77777777" w:rsidR="00B57715" w:rsidRDefault="00B57715" w:rsidP="008C71A9">
            <w:pPr>
              <w:pStyle w:val="Akapitzlist"/>
              <w:numPr>
                <w:ilvl w:val="0"/>
                <w:numId w:val="23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57715">
              <w:rPr>
                <w:rFonts w:ascii="Times New Roman" w:hAnsi="Times New Roman" w:cs="Times New Roman"/>
                <w:sz w:val="20"/>
              </w:rPr>
              <w:lastRenderedPageBreak/>
              <w:t>postawy społeczne wobec znaczenia zdrowia, choroby, niepełnosprawności i starości;</w:t>
            </w:r>
          </w:p>
          <w:p w14:paraId="13CBAC8A" w14:textId="77777777" w:rsidR="00B57715" w:rsidRDefault="00B57715" w:rsidP="008C71A9">
            <w:pPr>
              <w:pStyle w:val="Akapitzlist"/>
              <w:numPr>
                <w:ilvl w:val="0"/>
                <w:numId w:val="23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57715">
              <w:rPr>
                <w:rFonts w:ascii="Times New Roman" w:hAnsi="Times New Roman" w:cs="Times New Roman"/>
                <w:sz w:val="20"/>
              </w:rPr>
              <w:t xml:space="preserve">przebieg i objawy procesu starzenia się oraz zasady całościowej oceny geriatrycznej i opieki interdyscyplinarnej w odniesieniu do pacjenta w podeszłym wieku, a także przyczyny i podstawowe odrębności w najczęstszych chorobach występujących u osób starszych </w:t>
            </w:r>
          </w:p>
          <w:p w14:paraId="07A6DD76" w14:textId="77777777" w:rsidR="00B57715" w:rsidRDefault="00B57715" w:rsidP="008C71A9">
            <w:pPr>
              <w:pStyle w:val="Akapitzlist"/>
              <w:numPr>
                <w:ilvl w:val="0"/>
                <w:numId w:val="23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57715">
              <w:rPr>
                <w:rFonts w:ascii="Times New Roman" w:hAnsi="Times New Roman" w:cs="Times New Roman"/>
                <w:sz w:val="20"/>
              </w:rPr>
              <w:t>zasady postępowania w podstawowych zespołach geriatrycznych;</w:t>
            </w:r>
          </w:p>
          <w:p w14:paraId="278ABB9B" w14:textId="77777777" w:rsidR="00B57715" w:rsidRDefault="00B57715" w:rsidP="008C71A9">
            <w:pPr>
              <w:pStyle w:val="Akapitzlist"/>
              <w:numPr>
                <w:ilvl w:val="0"/>
                <w:numId w:val="23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57715">
              <w:rPr>
                <w:rFonts w:ascii="Times New Roman" w:hAnsi="Times New Roman" w:cs="Times New Roman"/>
                <w:sz w:val="20"/>
              </w:rPr>
              <w:t xml:space="preserve">podstawowe zasady farmakoterapii chorób osób w podeszłym wieku, </w:t>
            </w:r>
          </w:p>
          <w:p w14:paraId="104BE495" w14:textId="77777777" w:rsidR="00B57715" w:rsidRDefault="00B57715" w:rsidP="008C71A9">
            <w:pPr>
              <w:pStyle w:val="Akapitzlist"/>
              <w:numPr>
                <w:ilvl w:val="0"/>
                <w:numId w:val="23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57715">
              <w:rPr>
                <w:rFonts w:ascii="Times New Roman" w:hAnsi="Times New Roman" w:cs="Times New Roman"/>
                <w:sz w:val="20"/>
              </w:rPr>
              <w:t>zagrożenia związane z hospitalizacją osób w podeszłym wieku oraz</w:t>
            </w:r>
          </w:p>
          <w:p w14:paraId="4A8CCF3E" w14:textId="77777777" w:rsidR="00B57715" w:rsidRDefault="00B57715" w:rsidP="008C71A9">
            <w:pPr>
              <w:pStyle w:val="Akapitzlist"/>
              <w:numPr>
                <w:ilvl w:val="0"/>
                <w:numId w:val="23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B57715">
              <w:rPr>
                <w:rFonts w:ascii="Times New Roman" w:hAnsi="Times New Roman" w:cs="Times New Roman"/>
                <w:sz w:val="20"/>
              </w:rPr>
              <w:t>podstawowe zasady organizacji opieki nad osobą starszą i obciążenia opiekuna osoby starszej.</w:t>
            </w:r>
          </w:p>
          <w:p w14:paraId="16F75052" w14:textId="77777777" w:rsidR="00B57715" w:rsidRPr="00B57715" w:rsidRDefault="00B57715" w:rsidP="003C1988">
            <w:pPr>
              <w:pStyle w:val="Akapitzlist"/>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28D1289E" w14:textId="77777777" w:rsidR="00B57715" w:rsidRPr="00B57715"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18"/>
              </w:rPr>
            </w:pPr>
            <w:r w:rsidRPr="00B57715">
              <w:rPr>
                <w:rFonts w:ascii="Times New Roman" w:hAnsi="Times New Roman" w:cs="Times New Roman"/>
                <w:sz w:val="20"/>
              </w:rPr>
              <w:t>Znajomość powyższych kwestii stanowi efekty uczenia na kierunku lekarskim. Natomiast szczegółową wiedzę w zakresie chorób i problemów typowych dla wieku podeszłego lekarz zdobywa w trakcie kształcenia podyplomowego, realizując szkolenie specjalizacyjne w szczególności w dziedzinie geriatrii.</w:t>
            </w:r>
          </w:p>
          <w:p w14:paraId="7B0FEC2B" w14:textId="77777777" w:rsidR="00B57715"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p w14:paraId="2CE4255C" w14:textId="77777777" w:rsidR="00DE3C99" w:rsidRPr="00D24DF9"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Pr>
                <w:rFonts w:ascii="Times New Roman" w:eastAsia="MS Mincho" w:hAnsi="Times New Roman" w:cs="Times New Roman"/>
                <w:sz w:val="20"/>
              </w:rPr>
              <w:t>Jednocześnie, d</w:t>
            </w:r>
            <w:r w:rsidR="00DE3C99" w:rsidRPr="00D24DF9">
              <w:rPr>
                <w:rFonts w:ascii="Times New Roman" w:eastAsia="MS Mincho" w:hAnsi="Times New Roman" w:cs="Times New Roman"/>
                <w:sz w:val="20"/>
              </w:rPr>
              <w:t>o priorytetowych zadań szkoły należy kształtowanie postaw prozdrowotnych uczniów, w tym nabywanie nawyków higienicznych oraz uczenie zachowań bez</w:t>
            </w:r>
            <w:r w:rsidR="00BA01AE">
              <w:rPr>
                <w:rFonts w:ascii="Times New Roman" w:eastAsia="MS Mincho" w:hAnsi="Times New Roman" w:cs="Times New Roman"/>
                <w:sz w:val="20"/>
              </w:rPr>
              <w:t xml:space="preserve">piecznych dla zdrowia własnego </w:t>
            </w:r>
            <w:r w:rsidR="00DE3C99" w:rsidRPr="00D24DF9">
              <w:rPr>
                <w:rFonts w:ascii="Times New Roman" w:eastAsia="MS Mincho" w:hAnsi="Times New Roman" w:cs="Times New Roman"/>
                <w:sz w:val="20"/>
              </w:rPr>
              <w:t xml:space="preserve">i innych osób. Treści z zakresu prawidłowego odżywiania oraz uświadamianie korzyści płynących z wdrażania profilaktyki zdrowotnej stanowią ważny element obszaru edukacji. To właśnie szkoła odgrywa kluczową rolę w kształtowaniu postawy prozdrowotnej, w tym upowszechnia wiedzę o zasadach zrównoważonego rozwoju, motywuje do działań na rzecz ochrony zdrowia.  Działa System rekomendacji programów promocji zdrowia i profilaktyki zachowań ryzykownych dzieci i młodzieży. Ministerstwo Edukacji Narodowej upowszechnia w szkołach informację o możliwościach szkolenia realizatorów ww. </w:t>
            </w:r>
            <w:r w:rsidR="00DE3C99" w:rsidRPr="00D24DF9">
              <w:rPr>
                <w:rFonts w:ascii="Times New Roman" w:eastAsia="MS Mincho" w:hAnsi="Times New Roman" w:cs="Times New Roman"/>
                <w:sz w:val="20"/>
              </w:rPr>
              <w:lastRenderedPageBreak/>
              <w:t>programów i wiedzę o ich realizacji w ramach działalności wychowawczo-profilaktycznej szkół i placówek oświatowych.</w:t>
            </w:r>
          </w:p>
          <w:p w14:paraId="4779F816" w14:textId="77777777" w:rsidR="00DE3C99" w:rsidRPr="00D24DF9" w:rsidRDefault="00DE3C9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Ponadto - na podstawie art. 1 ust. 1 i 2 </w:t>
            </w:r>
            <w:r w:rsidRPr="00BA01AE">
              <w:rPr>
                <w:rFonts w:ascii="Times New Roman" w:eastAsia="MS Mincho" w:hAnsi="Times New Roman" w:cs="Times New Roman"/>
                <w:i/>
                <w:sz w:val="20"/>
              </w:rPr>
              <w:t>ustawy z dnia 26 kwietnia 2019 r. o Narodowej Strategii Onkologicznej,</w:t>
            </w:r>
            <w:r w:rsidRPr="00D24DF9">
              <w:rPr>
                <w:rFonts w:ascii="Times New Roman" w:eastAsia="MS Mincho" w:hAnsi="Times New Roman" w:cs="Times New Roman"/>
                <w:sz w:val="20"/>
              </w:rPr>
              <w:t xml:space="preserve">  Rada Ministrów uchwaliła program wieloletni pn. Narodowa Strategia Onkologiczna na lata 2020-2030 . Narodowa Strategia Onkologiczna koncentruje się na 5 obszarach, w tym: pkt 2. Inwestycje w edukację, prewencja pierwotna i styl życia - Ograniczanie zachorowalności na nowotwory przez redukcję ryzyka w zakresie profilaktyki pierwotnej nowotworów. Strategia zakłada wprowadzenie od września 2020 r.  zajęć  o zdrowiu, które mają być realizowane np. w ramach godzin wychowawczych.  </w:t>
            </w:r>
          </w:p>
          <w:p w14:paraId="2D2F50A4" w14:textId="77777777" w:rsidR="00DE3C99" w:rsidRPr="00D24DF9" w:rsidRDefault="00DE3C9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p w14:paraId="0B356598" w14:textId="77777777" w:rsidR="00262AB9" w:rsidRPr="00BA01AE" w:rsidRDefault="00BA01AE"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rPr>
            </w:pPr>
            <w:r w:rsidRPr="00BA01AE">
              <w:rPr>
                <w:rFonts w:ascii="Times New Roman" w:eastAsia="MS Mincho" w:hAnsi="Times New Roman" w:cs="Times New Roman"/>
                <w:sz w:val="20"/>
              </w:rPr>
              <w:t>Jednocześnie</w:t>
            </w:r>
            <w:r>
              <w:rPr>
                <w:rFonts w:ascii="Times New Roman" w:eastAsia="MS Mincho" w:hAnsi="Times New Roman" w:cs="Times New Roman"/>
                <w:b/>
                <w:sz w:val="20"/>
              </w:rPr>
              <w:t xml:space="preserve">, </w:t>
            </w:r>
            <w:r w:rsidR="00262AB9" w:rsidRPr="00D24DF9">
              <w:rPr>
                <w:rFonts w:ascii="Times New Roman" w:hAnsi="Times New Roman" w:cs="Times New Roman"/>
                <w:sz w:val="20"/>
              </w:rPr>
              <w:t xml:space="preserve">Rozporządzeniem Ministra Nauki i Szkolnictwa Wyższego z dnia 26 lipca 2019 r. </w:t>
            </w:r>
            <w:r w:rsidR="00262AB9" w:rsidRPr="00D24DF9">
              <w:rPr>
                <w:rFonts w:ascii="Times New Roman" w:hAnsi="Times New Roman" w:cs="Times New Roman"/>
                <w:i/>
                <w:iCs/>
                <w:sz w:val="20"/>
              </w:rPr>
              <w:t>w sprawie standardów kształcenia przygotowującego do wykonywania zawodu lekarza, lekarza dentysty, farmaceuty, pielęgniarki, położnej, diagnosty laboratoryjnego, fizjoterapeuty i ratownika medycznego</w:t>
            </w:r>
            <w:r w:rsidR="00262AB9" w:rsidRPr="00D24DF9">
              <w:rPr>
                <w:rFonts w:ascii="Times New Roman" w:hAnsi="Times New Roman" w:cs="Times New Roman"/>
                <w:sz w:val="20"/>
              </w:rPr>
              <w:t xml:space="preserve"> (Dz. U. z 2019 r. poz. 1573, z późn. zm.) określono standardy kształcenia przygotowującego do wykonywania ww. zawodów medycznych. Standard kształcenia jest zbiorem reguł i wymagań w zakresie kształcenia. Uczelnie prowadzące kształcenie na studiach przygotowujących do wykonywania ww. zawodów obowiązane są uwzględniać w programach tych studiów wymagania określone w standardzie kształcenia dla danego zawodu (art. 68 ustawy z dnia 20 lipca 2018 r. – </w:t>
            </w:r>
            <w:r w:rsidR="00262AB9" w:rsidRPr="00D24DF9">
              <w:rPr>
                <w:rFonts w:ascii="Times New Roman" w:hAnsi="Times New Roman" w:cs="Times New Roman"/>
                <w:i/>
                <w:iCs/>
                <w:sz w:val="20"/>
              </w:rPr>
              <w:t xml:space="preserve">Prawo o szkolnictwie wyższym i nauce, </w:t>
            </w:r>
            <w:r w:rsidR="00262AB9" w:rsidRPr="00D24DF9">
              <w:rPr>
                <w:rFonts w:ascii="Times New Roman" w:hAnsi="Times New Roman" w:cs="Times New Roman"/>
                <w:sz w:val="20"/>
              </w:rPr>
              <w:t>Dz. U. z 2020 r. poz. 85, z późn. zm.). Standardy kształcenia przygotowującego do wykonywania zawodu lekarza, farmaceuty, pielęgniarki i fizjoterapeuty obejmują efekty uczenia się w zakresie procesu starzenia się oraz zasad oceny geriatrycznej i opieki interdyscyplinarnej w odniesieniu do pacjenta w podeszłym wieku.</w:t>
            </w:r>
          </w:p>
        </w:tc>
      </w:tr>
      <w:tr w:rsidR="005F3D4B" w:rsidRPr="00D24DF9" w14:paraId="620EAEA3" w14:textId="77777777" w:rsidTr="004D48DD">
        <w:trPr>
          <w:trHeight w:val="497"/>
        </w:trPr>
        <w:tc>
          <w:tcPr>
            <w:cnfStyle w:val="001000000000" w:firstRow="0" w:lastRow="0" w:firstColumn="1" w:lastColumn="0" w:oddVBand="0" w:evenVBand="0" w:oddHBand="0" w:evenHBand="0" w:firstRowFirstColumn="0" w:firstRowLastColumn="0" w:lastRowFirstColumn="0" w:lastRowLastColumn="0"/>
            <w:tcW w:w="1232" w:type="dxa"/>
            <w:vMerge/>
          </w:tcPr>
          <w:p w14:paraId="4EC97BA7"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2299A63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Podejmowanie działań edukacyjnych nakierowanych na utrzymanie zdrowia, </w:t>
            </w:r>
            <w:r w:rsidRPr="00D24DF9">
              <w:rPr>
                <w:rFonts w:ascii="Times New Roman" w:eastAsia="MS Mincho" w:hAnsi="Times New Roman"/>
                <w:sz w:val="20"/>
              </w:rPr>
              <w:lastRenderedPageBreak/>
              <w:t>zróżnicowane w zależności od wieku i stopnia sprawności</w:t>
            </w:r>
          </w:p>
        </w:tc>
        <w:tc>
          <w:tcPr>
            <w:tcW w:w="2032" w:type="dxa"/>
            <w:vMerge w:val="restart"/>
          </w:tcPr>
          <w:p w14:paraId="7B8A38B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 xml:space="preserve">Ministerstwo Edukacji Narodowej, </w:t>
            </w:r>
            <w:r w:rsidRPr="00D24DF9">
              <w:rPr>
                <w:rFonts w:ascii="Times New Roman" w:eastAsia="MS Mincho" w:hAnsi="Times New Roman"/>
                <w:sz w:val="20"/>
              </w:rPr>
              <w:lastRenderedPageBreak/>
              <w:t>Ministerstwo Nauki i Szkolnictwa Wyższego, Ministerstwo Zdrowia</w:t>
            </w:r>
          </w:p>
        </w:tc>
        <w:tc>
          <w:tcPr>
            <w:tcW w:w="1500" w:type="dxa"/>
            <w:vMerge w:val="restart"/>
          </w:tcPr>
          <w:p w14:paraId="00AE88D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lastRenderedPageBreak/>
              <w:t>Działanie ciągłe</w:t>
            </w:r>
            <w:r w:rsidRPr="00D24DF9">
              <w:rPr>
                <w:rFonts w:ascii="Times New Roman" w:hAnsi="Times New Roman" w:cs="Times New Roman"/>
                <w:sz w:val="20"/>
              </w:rPr>
              <w:t>*</w:t>
            </w:r>
          </w:p>
        </w:tc>
        <w:tc>
          <w:tcPr>
            <w:tcW w:w="5638" w:type="dxa"/>
          </w:tcPr>
          <w:p w14:paraId="42C3869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Realizacja działań edukacyjnych nakierowanych na utrzymanie zdrowia</w:t>
            </w:r>
          </w:p>
        </w:tc>
      </w:tr>
      <w:tr w:rsidR="005F3D4B" w:rsidRPr="00D24DF9" w14:paraId="5CCBC7BA"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84E8478" w14:textId="77777777" w:rsidR="00311D18" w:rsidRPr="00D24DF9" w:rsidRDefault="00311D18" w:rsidP="003C1988">
            <w:pPr>
              <w:spacing w:after="0"/>
              <w:rPr>
                <w:rFonts w:ascii="Times New Roman" w:hAnsi="Times New Roman" w:cs="Times New Roman"/>
                <w:sz w:val="20"/>
              </w:rPr>
            </w:pPr>
          </w:p>
        </w:tc>
        <w:tc>
          <w:tcPr>
            <w:tcW w:w="3594" w:type="dxa"/>
            <w:vMerge/>
          </w:tcPr>
          <w:p w14:paraId="273CE6F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675060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275A0F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65AC52A8" w14:textId="77777777" w:rsidR="00FB6CD9" w:rsidRPr="00D24DF9" w:rsidRDefault="00FB6CD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Realizacja podstawy programowej w przedszkolu, szkole podstawowej i w szkołach ponadpodstawowych, w której są obecne treści dotyczące zdrowia. Dodatkowo wprowadzono zakres edukacji zdrowotnej do godzin wychowawcą.</w:t>
            </w:r>
          </w:p>
          <w:p w14:paraId="1EEBE2B5" w14:textId="77777777" w:rsidR="00FB6CD9" w:rsidRPr="00D24DF9" w:rsidRDefault="00FB6CD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p w14:paraId="5A64EDE7" w14:textId="77777777" w:rsidR="00996840" w:rsidRPr="009569AA" w:rsidRDefault="009569AA"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Pr>
                <w:rFonts w:ascii="Times New Roman" w:eastAsia="MS Mincho" w:hAnsi="Times New Roman" w:cs="Times New Roman"/>
                <w:sz w:val="20"/>
              </w:rPr>
              <w:t xml:space="preserve">Jednocześnie, </w:t>
            </w:r>
            <w:r w:rsidR="00996840" w:rsidRPr="00D24DF9">
              <w:rPr>
                <w:rFonts w:ascii="Times New Roman" w:hAnsi="Times New Roman" w:cs="Times New Roman"/>
                <w:sz w:val="20"/>
              </w:rPr>
              <w:t xml:space="preserve">Rozporządzeniem Ministra Nauki i Szkolnictwa Wyższego z dnia 26 lipca 2019 r. </w:t>
            </w:r>
            <w:r w:rsidR="00996840" w:rsidRPr="00D24DF9">
              <w:rPr>
                <w:rFonts w:ascii="Times New Roman" w:hAnsi="Times New Roman" w:cs="Times New Roman"/>
                <w:i/>
                <w:iCs/>
                <w:sz w:val="20"/>
              </w:rPr>
              <w:t>w sprawie standardów kształcenia przygotowującego do wykonywania zawodu lekarza, lekarza dentysty, farmaceuty, pielęgniarki, położnej, diagnosty laboratoryjnego, fizjoterapeuty i ratownika medycznego</w:t>
            </w:r>
            <w:r w:rsidR="00996840" w:rsidRPr="00D24DF9">
              <w:rPr>
                <w:rFonts w:ascii="Times New Roman" w:hAnsi="Times New Roman" w:cs="Times New Roman"/>
                <w:sz w:val="20"/>
              </w:rPr>
              <w:t xml:space="preserve"> (Dz. U. z 2019 r. poz. 1573, z późn. zm.) określono standardy kształcenia przygotowującego do wykonywania ww. zawodów medycznych. Standard kształcenia jest zbiorem reguł i wymagań w zakresie kształcenia. Uczelnie prowadzące kształcenie na studiach przygotowujących do wykonywania ww. zawodów obowiązane są uwzględniać w programach tych studiów wymagania określone w standardzie kształcenia dla danego zawodu (art. 68 ustawy z dnia 20 lipca 2018 r. – </w:t>
            </w:r>
            <w:r w:rsidR="00996840" w:rsidRPr="00D24DF9">
              <w:rPr>
                <w:rFonts w:ascii="Times New Roman" w:hAnsi="Times New Roman" w:cs="Times New Roman"/>
                <w:i/>
                <w:iCs/>
                <w:sz w:val="20"/>
              </w:rPr>
              <w:t xml:space="preserve">Prawo o szkolnictwie wyższym i nauce, </w:t>
            </w:r>
            <w:r w:rsidR="00996840" w:rsidRPr="00D24DF9">
              <w:rPr>
                <w:rFonts w:ascii="Times New Roman" w:hAnsi="Times New Roman" w:cs="Times New Roman"/>
                <w:sz w:val="20"/>
              </w:rPr>
              <w:t>Dz. U. z 2020 r. poz. 85, z późn. zm.). Absolwenci studiów na kierunkach lekarskim, farmacji, pielęgniarstwie oraz fizjoterapii uzyskują efekty uczenia się w zakresie wiedzy i umiejętności dotyczących procesu starzenia się oraz zasad oceny geriatrycznej i opieki interdyscyplinarnej w odniesieniu do pacjenta w podeszłym wieku.</w:t>
            </w:r>
          </w:p>
          <w:p w14:paraId="6D07A0F0" w14:textId="77777777" w:rsidR="00996840" w:rsidRPr="00D24DF9" w:rsidRDefault="00996840"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0"/>
              </w:rPr>
            </w:pPr>
            <w:r w:rsidRPr="00D24DF9">
              <w:rPr>
                <w:rFonts w:ascii="Times New Roman" w:eastAsia="MS Mincho" w:hAnsi="Times New Roman" w:cs="Times New Roman"/>
                <w:sz w:val="20"/>
              </w:rPr>
              <w:t xml:space="preserve">Natomiast w ramach projektów wyłonionych w konkursie PO WER pn. </w:t>
            </w:r>
            <w:r w:rsidRPr="00D24DF9">
              <w:rPr>
                <w:rFonts w:ascii="Times New Roman" w:eastAsia="MS Mincho" w:hAnsi="Times New Roman" w:cs="Times New Roman"/>
                <w:i/>
                <w:sz w:val="20"/>
              </w:rPr>
              <w:t>Rozwój oferty uczelni w zakresie</w:t>
            </w:r>
            <w:r w:rsidRPr="00D24DF9">
              <w:rPr>
                <w:rFonts w:ascii="Times New Roman" w:eastAsia="MS Mincho" w:hAnsi="Times New Roman" w:cs="Times New Roman"/>
                <w:sz w:val="20"/>
              </w:rPr>
              <w:t xml:space="preserve"> </w:t>
            </w:r>
            <w:r w:rsidRPr="00D24DF9">
              <w:rPr>
                <w:rFonts w:ascii="Times New Roman" w:eastAsia="MS Mincho" w:hAnsi="Times New Roman" w:cs="Times New Roman"/>
                <w:i/>
                <w:sz w:val="20"/>
              </w:rPr>
              <w:t>trzeciej misji</w:t>
            </w:r>
            <w:r w:rsidRPr="00D24DF9">
              <w:rPr>
                <w:rFonts w:ascii="Times New Roman" w:eastAsia="Calibri" w:hAnsi="Times New Roman" w:cs="Times New Roman"/>
                <w:sz w:val="20"/>
              </w:rPr>
              <w:t xml:space="preserve"> realizowane były w szczególności następujące działania edukacyjne skierowane do osób starszych: wykłady i konwersatoria z zakresu zdrowia oraz aktywizacji społecznej i zawodowej, kursy komputerowe oraz dotyczące prawidłowego korzystania z nowoczesnych środków komunikacji oraz urządzeń elektronicznych i wykorzystania Internetu, kursy językowe, a także zajęcia doskonalące wiedzę specjalistyczną.</w:t>
            </w:r>
          </w:p>
          <w:p w14:paraId="58B61836" w14:textId="77777777" w:rsidR="00996840" w:rsidRPr="00D24DF9" w:rsidRDefault="00996840" w:rsidP="003C1988">
            <w:pPr>
              <w:tabs>
                <w:tab w:val="left" w:pos="2130"/>
              </w:tabs>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Ponadto, Ministerstwo</w:t>
            </w:r>
            <w:r w:rsidR="009569AA">
              <w:rPr>
                <w:rFonts w:ascii="Times New Roman" w:hAnsi="Times New Roman" w:cs="Times New Roman"/>
                <w:sz w:val="20"/>
              </w:rPr>
              <w:t xml:space="preserve"> Nauki i Szkolnictwa Wyższego</w:t>
            </w:r>
            <w:r w:rsidRPr="00D24DF9">
              <w:rPr>
                <w:rFonts w:ascii="Times New Roman" w:hAnsi="Times New Roman" w:cs="Times New Roman"/>
                <w:sz w:val="20"/>
              </w:rPr>
              <w:t xml:space="preserve"> w dniach 16-17 września 2019 r. w gmachu Auditorium Maximum </w:t>
            </w:r>
            <w:r w:rsidRPr="00D24DF9">
              <w:rPr>
                <w:rFonts w:ascii="Times New Roman" w:hAnsi="Times New Roman" w:cs="Times New Roman"/>
                <w:sz w:val="20"/>
              </w:rPr>
              <w:lastRenderedPageBreak/>
              <w:t xml:space="preserve">Uniwersytetu Jagiellońskiego zorganizowało Kongres Społecznej Odpowiedzialności Nauki (SON) – Nauka dla Ciebie, którego głównym celem była popularyzacja nauki oraz dyskusja o strategii polskich uczelni w tym zakresie. Pierwszy dzień Kongresu skierowany był do wszystkich grup wiekowych, w szczególności do grup docelowych ujętych w ramach założeń Społecznej Odpowiedzialności Nauki. SON stanowić ma istotną ofertę dla szerokiego forum społecznego. Ma pomagać w identyfikowaniu szans i możliwości, wspomagać dialog i angażować szerokie grupy interesariuszy, zwiększać wydajność i efektywność prowadzonych działań w zakresie nauki i badań, realizując trzecią misję uczelni. Goście wydarzenia mieli możliwość wzięcia udziału w wykładach edukacyjnych oraz popularyzatorskich. W wydarzeniu uczestniczyło niemal 5 tysięcy osób, w tym dzieci, młodzież oraz seniorzy. </w:t>
            </w:r>
          </w:p>
        </w:tc>
      </w:tr>
      <w:tr w:rsidR="005F3D4B" w:rsidRPr="00D24DF9" w14:paraId="37EDE313" w14:textId="77777777" w:rsidTr="004D48DD">
        <w:trPr>
          <w:trHeight w:val="556"/>
        </w:trPr>
        <w:tc>
          <w:tcPr>
            <w:cnfStyle w:val="001000000000" w:firstRow="0" w:lastRow="0" w:firstColumn="1" w:lastColumn="0" w:oddVBand="0" w:evenVBand="0" w:oddHBand="0" w:evenHBand="0" w:firstRowFirstColumn="0" w:firstRowLastColumn="0" w:lastRowFirstColumn="0" w:lastRowLastColumn="0"/>
            <w:tcW w:w="1232" w:type="dxa"/>
            <w:vMerge/>
          </w:tcPr>
          <w:p w14:paraId="10BA0AEE"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C42169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Realizacja programów promocji zdrowia informujących o czynnikach ryzyka zdrowotnego i zachęcających </w:t>
            </w:r>
            <w:r w:rsidRPr="00D24DF9">
              <w:rPr>
                <w:rFonts w:ascii="Times New Roman" w:eastAsia="MS Mincho" w:hAnsi="Times New Roman"/>
                <w:sz w:val="20"/>
              </w:rPr>
              <w:br/>
              <w:t>do podejmowania zachowań sprzyjających utrzymaniu i poprawie zdrowia</w:t>
            </w:r>
          </w:p>
        </w:tc>
        <w:tc>
          <w:tcPr>
            <w:tcW w:w="2032" w:type="dxa"/>
            <w:vMerge w:val="restart"/>
          </w:tcPr>
          <w:p w14:paraId="1E6884C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2ABB9B4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7A41588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programów promocji zdrowia informujących o czynnikach ryzyka zdrowotnego i zachęcających do podejmowania zachowań sprzyjających utrzymaniu i poprawie zdrowia.</w:t>
            </w:r>
          </w:p>
        </w:tc>
      </w:tr>
      <w:tr w:rsidR="005F3D4B" w:rsidRPr="00D24DF9" w14:paraId="535A6F6F"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C2D1403" w14:textId="77777777" w:rsidR="00311D18" w:rsidRPr="00D24DF9" w:rsidRDefault="00311D18" w:rsidP="003C1988">
            <w:pPr>
              <w:spacing w:after="0"/>
              <w:rPr>
                <w:rFonts w:ascii="Times New Roman" w:hAnsi="Times New Roman" w:cs="Times New Roman"/>
                <w:sz w:val="20"/>
              </w:rPr>
            </w:pPr>
          </w:p>
        </w:tc>
        <w:tc>
          <w:tcPr>
            <w:tcW w:w="3594" w:type="dxa"/>
            <w:vMerge/>
          </w:tcPr>
          <w:p w14:paraId="2865953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5C19A4C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5ED2A182"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518ADBCE"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lang w:bidi="pl-PL"/>
              </w:rPr>
            </w:pPr>
            <w:r w:rsidRPr="001D3C46">
              <w:rPr>
                <w:rFonts w:ascii="Times New Roman" w:eastAsia="MS Mincho" w:hAnsi="Times New Roman" w:cs="Times New Roman"/>
                <w:bCs/>
                <w:sz w:val="20"/>
                <w:szCs w:val="20"/>
                <w:lang w:bidi="pl-PL"/>
              </w:rPr>
              <w:t>W 2019 r. w ramach Narodowego Programu Zdrowia 2016-2020 prowadzone były m.in. następujące działania z</w:t>
            </w:r>
            <w:r w:rsidRPr="001D3C46">
              <w:rPr>
                <w:rFonts w:ascii="Times New Roman" w:eastAsia="MS Mincho" w:hAnsi="Times New Roman" w:cs="Times New Roman"/>
                <w:bCs/>
                <w:sz w:val="20"/>
                <w:szCs w:val="20"/>
              </w:rPr>
              <w:t xml:space="preserve"> </w:t>
            </w:r>
            <w:r w:rsidRPr="001D3C46">
              <w:rPr>
                <w:rFonts w:ascii="Times New Roman" w:eastAsia="MS Mincho" w:hAnsi="Times New Roman" w:cs="Times New Roman"/>
                <w:bCs/>
                <w:sz w:val="20"/>
                <w:szCs w:val="20"/>
                <w:lang w:bidi="pl-PL"/>
              </w:rPr>
              <w:t xml:space="preserve">zakresu profilaktyki i promocji zdrowia </w:t>
            </w:r>
            <w:r w:rsidRPr="001D3C46">
              <w:rPr>
                <w:rFonts w:ascii="Arial" w:eastAsia="Times New Roman" w:hAnsi="Arial" w:cs="Arial"/>
                <w:sz w:val="20"/>
                <w:szCs w:val="20"/>
                <w:lang w:eastAsia="pl-PL" w:bidi="pl-PL"/>
              </w:rPr>
              <w:t xml:space="preserve"> </w:t>
            </w:r>
            <w:r w:rsidRPr="001D3C46">
              <w:rPr>
                <w:rFonts w:ascii="Times New Roman" w:eastAsia="MS Mincho" w:hAnsi="Times New Roman" w:cs="Times New Roman"/>
                <w:bCs/>
                <w:sz w:val="20"/>
                <w:szCs w:val="20"/>
                <w:lang w:bidi="pl-PL"/>
              </w:rPr>
              <w:t>skierowane bezpośrednio lub pośrednio do osób starszych:</w:t>
            </w:r>
          </w:p>
          <w:p w14:paraId="571F5709"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lang w:bidi="pl-PL"/>
              </w:rPr>
            </w:pPr>
            <w:r w:rsidRPr="001D3C46">
              <w:rPr>
                <w:rFonts w:ascii="Times New Roman" w:eastAsia="MS Mincho" w:hAnsi="Times New Roman" w:cs="Times New Roman"/>
                <w:b/>
                <w:sz w:val="20"/>
                <w:szCs w:val="20"/>
                <w:lang w:bidi="pl-PL"/>
              </w:rPr>
              <w:t>Edukacja zdrowotna w profilaktyce urazów i w promocji bezpieczeństwa</w:t>
            </w:r>
          </w:p>
          <w:p w14:paraId="685ACF01" w14:textId="77777777" w:rsidR="001D3C46" w:rsidRDefault="00B57715" w:rsidP="008C71A9">
            <w:pPr>
              <w:pStyle w:val="Akapitzlist"/>
              <w:numPr>
                <w:ilvl w:val="0"/>
                <w:numId w:val="251"/>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
                <w:sz w:val="20"/>
                <w:szCs w:val="20"/>
              </w:rPr>
              <w:t>Realizator:</w:t>
            </w:r>
            <w:r w:rsidRPr="001D3C46">
              <w:rPr>
                <w:rFonts w:ascii="Times New Roman" w:eastAsia="MS Mincho" w:hAnsi="Times New Roman" w:cs="Times New Roman"/>
                <w:bCs/>
                <w:sz w:val="20"/>
                <w:szCs w:val="20"/>
              </w:rPr>
              <w:t xml:space="preserve"> NIZP-PZH</w:t>
            </w:r>
          </w:p>
          <w:p w14:paraId="7EC4584A" w14:textId="77777777" w:rsidR="001D3C46" w:rsidRDefault="00B57715" w:rsidP="008C71A9">
            <w:pPr>
              <w:pStyle w:val="Akapitzlist"/>
              <w:numPr>
                <w:ilvl w:val="0"/>
                <w:numId w:val="251"/>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
                <w:sz w:val="20"/>
                <w:szCs w:val="20"/>
                <w:lang w:bidi="pl-PL"/>
              </w:rPr>
              <w:t>Cel zadania</w:t>
            </w:r>
            <w:r w:rsidRPr="001D3C46">
              <w:rPr>
                <w:rFonts w:ascii="Times New Roman" w:eastAsia="MS Mincho" w:hAnsi="Times New Roman" w:cs="Times New Roman"/>
                <w:bCs/>
                <w:sz w:val="20"/>
                <w:szCs w:val="20"/>
                <w:lang w:bidi="pl-PL"/>
              </w:rPr>
              <w:t xml:space="preserve"> - pozyskanie danych na temat występowania urazów wśród osób starszych, podniesienie wiedzy opiekunów osób starszych na temat profilaktyki urazów wśród osób 60+, a także wypracowanie standardów projektowania obiektów dostosowanych do potrzeb osób 60+.</w:t>
            </w:r>
          </w:p>
          <w:p w14:paraId="4D7C038C" w14:textId="77777777" w:rsidR="00B57715" w:rsidRPr="001D3C46" w:rsidRDefault="00B57715" w:rsidP="008C71A9">
            <w:pPr>
              <w:pStyle w:val="Akapitzlist"/>
              <w:numPr>
                <w:ilvl w:val="0"/>
                <w:numId w:val="251"/>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
                <w:sz w:val="20"/>
                <w:szCs w:val="20"/>
                <w:lang w:bidi="pl-PL"/>
              </w:rPr>
              <w:t>Działania:</w:t>
            </w:r>
            <w:r w:rsidRPr="001D3C46">
              <w:rPr>
                <w:rFonts w:ascii="Times New Roman" w:eastAsia="MS Mincho" w:hAnsi="Times New Roman" w:cs="Times New Roman"/>
                <w:bCs/>
                <w:sz w:val="20"/>
                <w:szCs w:val="20"/>
                <w:lang w:bidi="pl-PL"/>
              </w:rPr>
              <w:t xml:space="preserve"> W 2019 r. opracowano materiały dotyczące m.in.:</w:t>
            </w:r>
          </w:p>
          <w:p w14:paraId="29A0E4A8" w14:textId="77777777" w:rsidR="00B57715" w:rsidRPr="001D3C46" w:rsidRDefault="00B57715" w:rsidP="008C71A9">
            <w:pPr>
              <w:pStyle w:val="Akapitzlist"/>
              <w:numPr>
                <w:ilvl w:val="0"/>
                <w:numId w:val="252"/>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lang w:bidi="pl-PL"/>
              </w:rPr>
            </w:pPr>
            <w:r w:rsidRPr="001D3C46">
              <w:rPr>
                <w:rFonts w:ascii="Times New Roman" w:eastAsia="MS Mincho" w:hAnsi="Times New Roman" w:cs="Times New Roman"/>
                <w:bCs/>
                <w:sz w:val="20"/>
                <w:szCs w:val="20"/>
                <w:lang w:bidi="pl-PL"/>
              </w:rPr>
              <w:t xml:space="preserve">epidemiologii i demografii urazów osób w wieku 60+, </w:t>
            </w:r>
          </w:p>
          <w:p w14:paraId="1C70CFDC" w14:textId="77777777" w:rsidR="00B57715" w:rsidRPr="001D3C46" w:rsidRDefault="00B57715" w:rsidP="008C71A9">
            <w:pPr>
              <w:pStyle w:val="Akapitzlist"/>
              <w:numPr>
                <w:ilvl w:val="0"/>
                <w:numId w:val="252"/>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lang w:bidi="pl-PL"/>
              </w:rPr>
            </w:pPr>
            <w:r w:rsidRPr="001D3C46">
              <w:rPr>
                <w:rFonts w:ascii="Times New Roman" w:eastAsia="MS Mincho" w:hAnsi="Times New Roman" w:cs="Times New Roman"/>
                <w:bCs/>
                <w:sz w:val="20"/>
                <w:szCs w:val="20"/>
                <w:lang w:bidi="pl-PL"/>
              </w:rPr>
              <w:t xml:space="preserve">profilaktyki urazów wśród tej grupy, </w:t>
            </w:r>
          </w:p>
          <w:p w14:paraId="2EE2E1B2" w14:textId="77777777" w:rsidR="00B57715" w:rsidRPr="001D3C46" w:rsidRDefault="00B57715" w:rsidP="008C71A9">
            <w:pPr>
              <w:pStyle w:val="Akapitzlist"/>
              <w:numPr>
                <w:ilvl w:val="0"/>
                <w:numId w:val="252"/>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lang w:bidi="pl-PL"/>
              </w:rPr>
            </w:pPr>
            <w:r w:rsidRPr="001D3C46">
              <w:rPr>
                <w:rFonts w:ascii="Times New Roman" w:eastAsia="MS Mincho" w:hAnsi="Times New Roman" w:cs="Times New Roman"/>
                <w:bCs/>
                <w:sz w:val="20"/>
                <w:szCs w:val="20"/>
                <w:lang w:bidi="pl-PL"/>
              </w:rPr>
              <w:lastRenderedPageBreak/>
              <w:t xml:space="preserve">czynności usprawniających i rehabilitacji ruchowej dla seniorów, </w:t>
            </w:r>
          </w:p>
          <w:p w14:paraId="50F93B09" w14:textId="77777777" w:rsidR="00B57715" w:rsidRPr="001D3C46" w:rsidRDefault="00B57715" w:rsidP="008C71A9">
            <w:pPr>
              <w:pStyle w:val="Akapitzlist"/>
              <w:numPr>
                <w:ilvl w:val="0"/>
                <w:numId w:val="252"/>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lang w:bidi="pl-PL"/>
              </w:rPr>
            </w:pPr>
            <w:r w:rsidRPr="001D3C46">
              <w:rPr>
                <w:rFonts w:ascii="Times New Roman" w:eastAsia="MS Mincho" w:hAnsi="Times New Roman" w:cs="Times New Roman"/>
                <w:bCs/>
                <w:sz w:val="20"/>
                <w:szCs w:val="20"/>
                <w:lang w:bidi="pl-PL"/>
              </w:rPr>
              <w:t xml:space="preserve">wytycznych do opracowania standardów do projektowania i wyposażenia obiektów dla seniorów. </w:t>
            </w:r>
          </w:p>
          <w:p w14:paraId="045AAC27" w14:textId="77777777" w:rsidR="001D3C46" w:rsidRDefault="001D3C4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lang w:bidi="pl-PL"/>
              </w:rPr>
            </w:pPr>
          </w:p>
          <w:p w14:paraId="258B0C84"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lang w:bidi="pl-PL"/>
              </w:rPr>
              <w:t>Ponadto, przeprowadzono kampanię mającą na celu zachęcenie osób starszych i ich opiekunów do zachowań, które zminimalizują ryzyko urazów w miejscu zamieszkania oraz zorganizowano warsztaty edukacyjne dla opiekunó</w:t>
            </w:r>
            <w:r w:rsidR="001D3C46">
              <w:rPr>
                <w:rFonts w:ascii="Times New Roman" w:eastAsia="MS Mincho" w:hAnsi="Times New Roman" w:cs="Times New Roman"/>
                <w:bCs/>
                <w:sz w:val="20"/>
                <w:szCs w:val="20"/>
                <w:lang w:bidi="pl-PL"/>
              </w:rPr>
              <w:t xml:space="preserve">w osób starszych, pielęgniarek, </w:t>
            </w:r>
            <w:r w:rsidRPr="001D3C46">
              <w:rPr>
                <w:rFonts w:ascii="Times New Roman" w:eastAsia="MS Mincho" w:hAnsi="Times New Roman" w:cs="Times New Roman"/>
                <w:bCs/>
                <w:sz w:val="20"/>
                <w:szCs w:val="20"/>
                <w:lang w:bidi="pl-PL"/>
              </w:rPr>
              <w:t>pracowników pomocy społecznej na temat profilaktyki upadków. W 2019 r. z</w:t>
            </w:r>
            <w:r w:rsidRPr="001D3C46">
              <w:rPr>
                <w:rFonts w:ascii="Times New Roman" w:eastAsia="MS Mincho" w:hAnsi="Times New Roman" w:cs="Times New Roman"/>
                <w:bCs/>
                <w:sz w:val="20"/>
                <w:szCs w:val="20"/>
              </w:rPr>
              <w:t>organizowano 7 warsztatów edukacyjnych. Łącznie przeszkolono 442 osoby.</w:t>
            </w:r>
          </w:p>
          <w:p w14:paraId="626BEE35" w14:textId="77777777" w:rsidR="00B57715" w:rsidRPr="001D3C46" w:rsidRDefault="00B57715" w:rsidP="003C1988">
            <w:pPr>
              <w:spacing w:after="0"/>
              <w:ind w:left="1068"/>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p>
          <w:p w14:paraId="619E4151" w14:textId="77777777" w:rsidR="00B57715" w:rsidRPr="001D3C46" w:rsidRDefault="00B57715" w:rsidP="008C71A9">
            <w:pPr>
              <w:numPr>
                <w:ilvl w:val="0"/>
                <w:numId w:val="247"/>
              </w:numPr>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rPr>
            </w:pPr>
            <w:r w:rsidRPr="001D3C46">
              <w:rPr>
                <w:rFonts w:ascii="Times New Roman" w:eastAsia="MS Mincho" w:hAnsi="Times New Roman" w:cs="Times New Roman"/>
                <w:b/>
                <w:sz w:val="20"/>
                <w:szCs w:val="20"/>
                <w:lang w:bidi="pl-PL"/>
              </w:rPr>
              <w:t>Edukacja pracodawców, menedżerów, specjalistów zarządzania zasobami ludzkimi i ochrony zdrowia pracujących w zakresie tworzenia i realizacji w zakładach pracy programów zarządzania zdrowiem starzejących się pracowników</w:t>
            </w:r>
          </w:p>
          <w:p w14:paraId="0F3CA702" w14:textId="77777777" w:rsidR="001D3C46" w:rsidRDefault="00B57715" w:rsidP="008C71A9">
            <w:pPr>
              <w:pStyle w:val="Akapitzlist"/>
              <w:numPr>
                <w:ilvl w:val="0"/>
                <w:numId w:val="247"/>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
                <w:sz w:val="20"/>
                <w:szCs w:val="20"/>
                <w:lang w:bidi="pl-PL"/>
              </w:rPr>
              <w:t>Realizator:</w:t>
            </w:r>
            <w:r w:rsidRPr="001D3C46">
              <w:rPr>
                <w:rFonts w:ascii="Times New Roman" w:eastAsia="MS Mincho" w:hAnsi="Times New Roman" w:cs="Times New Roman"/>
                <w:bCs/>
                <w:sz w:val="20"/>
                <w:szCs w:val="20"/>
                <w:lang w:bidi="pl-PL"/>
              </w:rPr>
              <w:t xml:space="preserve"> IMP im. prof. dra med. Jerzego Nofera w Łodzi</w:t>
            </w:r>
          </w:p>
          <w:p w14:paraId="24DF9E64" w14:textId="77777777" w:rsidR="001D3C46" w:rsidRDefault="00B57715" w:rsidP="008C71A9">
            <w:pPr>
              <w:pStyle w:val="Akapitzlist"/>
              <w:numPr>
                <w:ilvl w:val="0"/>
                <w:numId w:val="247"/>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
                <w:sz w:val="20"/>
                <w:szCs w:val="20"/>
                <w:lang w:bidi="pl-PL"/>
              </w:rPr>
              <w:t>Cel zadania –</w:t>
            </w:r>
            <w:r w:rsidRPr="001D3C46">
              <w:rPr>
                <w:rFonts w:ascii="Times New Roman" w:eastAsia="MS Mincho" w:hAnsi="Times New Roman" w:cs="Times New Roman"/>
                <w:bCs/>
                <w:sz w:val="20"/>
                <w:szCs w:val="20"/>
                <w:lang w:bidi="pl-PL"/>
              </w:rPr>
              <w:t xml:space="preserve"> zwiększenie motywacji i kompetencji pracodawców, menedżerów i specjalistów zarządzania zasobami ludzkimi do realizacji programów zarządzania zdrowiem starzejących się pracowników w średnich i dużych zakładach pracy.</w:t>
            </w:r>
          </w:p>
          <w:p w14:paraId="31CC31AE" w14:textId="77777777" w:rsidR="00B57715" w:rsidRPr="001D3C46" w:rsidRDefault="00B57715" w:rsidP="008C71A9">
            <w:pPr>
              <w:pStyle w:val="Akapitzlist"/>
              <w:numPr>
                <w:ilvl w:val="0"/>
                <w:numId w:val="247"/>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
                <w:sz w:val="20"/>
                <w:szCs w:val="20"/>
                <w:lang w:bidi="pl-PL"/>
              </w:rPr>
              <w:t>Działania:</w:t>
            </w:r>
            <w:r w:rsidRPr="001D3C46">
              <w:rPr>
                <w:rFonts w:ascii="Times New Roman" w:eastAsia="MS Mincho" w:hAnsi="Times New Roman" w:cs="Times New Roman"/>
                <w:bCs/>
                <w:sz w:val="20"/>
                <w:szCs w:val="20"/>
                <w:lang w:bidi="pl-PL"/>
              </w:rPr>
              <w:t xml:space="preserve"> W ramach zadania prowadzone są  indywidualne konsultacje dot. kształtowania programów zarządzania starzejącym się personelem oraz działania edukacyjne promując dobre praktyki w tym zakresie. </w:t>
            </w:r>
          </w:p>
          <w:p w14:paraId="019AA167" w14:textId="77777777" w:rsidR="001D3C46" w:rsidRDefault="00B57715" w:rsidP="008C71A9">
            <w:pPr>
              <w:pStyle w:val="Akapitzlist"/>
              <w:numPr>
                <w:ilvl w:val="0"/>
                <w:numId w:val="253"/>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lang w:bidi="pl-PL"/>
              </w:rPr>
              <w:t xml:space="preserve">Stworzono m.in. </w:t>
            </w:r>
            <w:r w:rsidRPr="001D3C46">
              <w:rPr>
                <w:rFonts w:ascii="Times New Roman" w:eastAsia="MS Mincho" w:hAnsi="Times New Roman" w:cs="Times New Roman"/>
                <w:bCs/>
                <w:i/>
                <w:iCs/>
                <w:sz w:val="20"/>
                <w:szCs w:val="20"/>
                <w:lang w:bidi="pl-PL"/>
              </w:rPr>
              <w:t>Sieć menadżerów promocji zdrowia w pracy</w:t>
            </w:r>
            <w:r w:rsidRPr="001D3C46">
              <w:rPr>
                <w:rFonts w:ascii="Times New Roman" w:eastAsia="MS Mincho" w:hAnsi="Times New Roman" w:cs="Times New Roman"/>
                <w:bCs/>
                <w:sz w:val="20"/>
                <w:szCs w:val="20"/>
                <w:lang w:bidi="pl-PL"/>
              </w:rPr>
              <w:t>, która stanowi platformę wsparcia dla pracodawców szczególnie zaangażowanych w profilowanie programów rozwoju kadr z uwzględnieniem potrzeb starszych pracowników.</w:t>
            </w:r>
          </w:p>
          <w:p w14:paraId="242EA0F2" w14:textId="77777777" w:rsidR="001D3C46" w:rsidRDefault="00B57715" w:rsidP="008C71A9">
            <w:pPr>
              <w:pStyle w:val="Akapitzlist"/>
              <w:numPr>
                <w:ilvl w:val="0"/>
                <w:numId w:val="253"/>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lang w:bidi="pl-PL"/>
              </w:rPr>
              <w:t xml:space="preserve">Przygotowano portal internetowy dla pracodawców, menadżerów, specjalistów HR, PR, EB, CSR, BHP i medycyny pracy na temat zarządzania zdrowiem różnych grup wiekowych personelu </w:t>
            </w:r>
            <w:hyperlink r:id="rId50" w:history="1">
              <w:r w:rsidRPr="001D3C46">
                <w:rPr>
                  <w:rStyle w:val="Hipercze"/>
                  <w:rFonts w:ascii="Times New Roman" w:eastAsia="MS Mincho" w:hAnsi="Times New Roman" w:cs="Times New Roman"/>
                  <w:bCs/>
                  <w:color w:val="2F5496" w:themeColor="accent5" w:themeShade="BF"/>
                  <w:sz w:val="20"/>
                  <w:szCs w:val="20"/>
                  <w:lang w:bidi="pl-PL"/>
                </w:rPr>
                <w:t>https://pracanazdrowie.pl/</w:t>
              </w:r>
            </w:hyperlink>
            <w:r w:rsidRPr="001D3C46">
              <w:rPr>
                <w:rFonts w:ascii="Times New Roman" w:eastAsia="MS Mincho" w:hAnsi="Times New Roman" w:cs="Times New Roman"/>
                <w:bCs/>
                <w:sz w:val="20"/>
                <w:szCs w:val="20"/>
                <w:lang w:bidi="pl-PL"/>
              </w:rPr>
              <w:t xml:space="preserve">, w </w:t>
            </w:r>
            <w:r w:rsidRPr="001D3C46">
              <w:rPr>
                <w:rFonts w:ascii="Times New Roman" w:eastAsia="MS Mincho" w:hAnsi="Times New Roman" w:cs="Times New Roman"/>
                <w:bCs/>
                <w:sz w:val="20"/>
                <w:szCs w:val="20"/>
                <w:lang w:bidi="pl-PL"/>
              </w:rPr>
              <w:lastRenderedPageBreak/>
              <w:t xml:space="preserve">którym umieszczone są treści przydatne dla kadry zarządczej w zakresie promocji zdrowia starszych pracowników. </w:t>
            </w:r>
          </w:p>
          <w:p w14:paraId="2BE1240E" w14:textId="77777777" w:rsidR="00B57715" w:rsidRPr="001D3C46" w:rsidRDefault="001D3C46" w:rsidP="008C71A9">
            <w:pPr>
              <w:pStyle w:val="Akapitzlist"/>
              <w:numPr>
                <w:ilvl w:val="0"/>
                <w:numId w:val="253"/>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Pr>
                <w:rFonts w:ascii="Times New Roman" w:eastAsia="MS Mincho" w:hAnsi="Times New Roman" w:cs="Times New Roman"/>
                <w:bCs/>
                <w:sz w:val="20"/>
                <w:szCs w:val="20"/>
              </w:rPr>
              <w:t>W 2019 r.</w:t>
            </w:r>
            <w:r w:rsidR="00B57715" w:rsidRPr="001D3C46">
              <w:rPr>
                <w:rFonts w:ascii="Times New Roman" w:eastAsia="MS Mincho" w:hAnsi="Times New Roman" w:cs="Times New Roman"/>
                <w:bCs/>
                <w:sz w:val="20"/>
                <w:szCs w:val="20"/>
              </w:rPr>
              <w:t xml:space="preserve"> przygotowano koncepcję ogólnokrajowego badania pracowników. Przeprowadzono i monitorowano realizację badania na próbie 1000 pracowników średnich i dużych firm z terenu całego kraju. Przygotowana baza danych posłuży do analiz statystycznych na potrzeby raportu zaplanowanego na 2020 r.</w:t>
            </w:r>
            <w:bookmarkStart w:id="160" w:name="bookmark245"/>
          </w:p>
          <w:p w14:paraId="7730FEA4" w14:textId="77777777" w:rsidR="00B57715" w:rsidRPr="001D3C46" w:rsidRDefault="00B57715" w:rsidP="008C71A9">
            <w:pPr>
              <w:numPr>
                <w:ilvl w:val="0"/>
                <w:numId w:val="247"/>
              </w:numPr>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p>
          <w:p w14:paraId="2DA5E210" w14:textId="77777777" w:rsidR="00B57715" w:rsidRPr="001D3C46" w:rsidRDefault="00B57715" w:rsidP="008C71A9">
            <w:pPr>
              <w:numPr>
                <w:ilvl w:val="0"/>
                <w:numId w:val="247"/>
              </w:numPr>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rPr>
            </w:pPr>
            <w:r w:rsidRPr="001D3C46">
              <w:rPr>
                <w:rFonts w:ascii="Times New Roman" w:eastAsia="MS Mincho" w:hAnsi="Times New Roman" w:cs="Times New Roman"/>
                <w:b/>
                <w:sz w:val="20"/>
                <w:szCs w:val="20"/>
                <w:lang w:bidi="pl-PL"/>
              </w:rPr>
              <w:t xml:space="preserve">Realizacja badania poszczególnych obszarów stanu zdrowia osób starszych, w tym jakości życia związanej ze zdrowiem </w:t>
            </w:r>
            <w:bookmarkEnd w:id="160"/>
          </w:p>
          <w:p w14:paraId="4FDE4113" w14:textId="77777777" w:rsidR="001D3C46" w:rsidRDefault="00B57715" w:rsidP="008C71A9">
            <w:pPr>
              <w:pStyle w:val="Akapitzlist"/>
              <w:numPr>
                <w:ilvl w:val="0"/>
                <w:numId w:val="247"/>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
                <w:sz w:val="20"/>
                <w:szCs w:val="20"/>
                <w:lang w:bidi="pl-PL"/>
              </w:rPr>
              <w:t>Realizator:</w:t>
            </w:r>
            <w:r w:rsidRPr="001D3C46">
              <w:rPr>
                <w:rFonts w:ascii="Times New Roman" w:eastAsia="MS Mincho" w:hAnsi="Times New Roman" w:cs="Times New Roman"/>
                <w:bCs/>
                <w:sz w:val="20"/>
                <w:szCs w:val="20"/>
                <w:lang w:bidi="pl-PL"/>
              </w:rPr>
              <w:t xml:space="preserve"> Gdański Uniwersytet Medyczny</w:t>
            </w:r>
          </w:p>
          <w:p w14:paraId="1C7357C3" w14:textId="77777777" w:rsidR="001D3C46" w:rsidRPr="00E12F31" w:rsidRDefault="00B57715" w:rsidP="008C71A9">
            <w:pPr>
              <w:pStyle w:val="Akapitzlist"/>
              <w:numPr>
                <w:ilvl w:val="0"/>
                <w:numId w:val="247"/>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
                <w:sz w:val="20"/>
                <w:szCs w:val="20"/>
                <w:lang w:bidi="pl-PL"/>
              </w:rPr>
              <w:t>Cel zadania</w:t>
            </w:r>
            <w:r w:rsidRPr="001D3C46">
              <w:rPr>
                <w:rFonts w:ascii="Times New Roman" w:eastAsia="MS Mincho" w:hAnsi="Times New Roman" w:cs="Times New Roman"/>
                <w:bCs/>
                <w:sz w:val="20"/>
                <w:szCs w:val="20"/>
                <w:lang w:bidi="pl-PL"/>
              </w:rPr>
              <w:t xml:space="preserve"> -  zbadanie sytuacji epidemiologicznej osób starszych w Polsce, m.in. w zakresie chorób neurologicznych wieku podeszłego, zaburzeń i chorób psychicznych specyficznych dla wieku 60+, zaburzeń funkcji poznawczych i chorób otępiennych, zachowań żywieniowych i stanu odżywienia, stanu narządów, występowania upadków i urazów oraz ich następstw.</w:t>
            </w:r>
            <w:r w:rsidRPr="001D3C46">
              <w:rPr>
                <w:rFonts w:ascii="Times New Roman" w:eastAsia="MS Mincho" w:hAnsi="Times New Roman" w:cs="Times New Roman"/>
                <w:bCs/>
                <w:sz w:val="20"/>
                <w:szCs w:val="20"/>
              </w:rPr>
              <w:t xml:space="preserve"> </w:t>
            </w:r>
            <w:r w:rsidRPr="00E12F31">
              <w:rPr>
                <w:rFonts w:ascii="Times New Roman" w:eastAsia="MS Mincho" w:hAnsi="Times New Roman" w:cs="Times New Roman"/>
                <w:bCs/>
                <w:sz w:val="20"/>
                <w:szCs w:val="20"/>
                <w:lang w:bidi="pl-PL"/>
              </w:rPr>
              <w:t>Badanie obejmie także sytuację społeczno-ekonomiczną osób starszych w Polsce, m.in. w zakresie sytuacji materialnej osób starszych oraz ich warunków zamieszkania, oceny jakości życia, aktywności zaw</w:t>
            </w:r>
            <w:r w:rsidR="001D3C46" w:rsidRPr="00E12F31">
              <w:rPr>
                <w:rFonts w:ascii="Times New Roman" w:eastAsia="MS Mincho" w:hAnsi="Times New Roman" w:cs="Times New Roman"/>
                <w:bCs/>
                <w:sz w:val="20"/>
                <w:szCs w:val="20"/>
                <w:lang w:bidi="pl-PL"/>
              </w:rPr>
              <w:t>odowej oraz sytuacji rodzinnej.</w:t>
            </w:r>
          </w:p>
          <w:p w14:paraId="0FFA8FDC" w14:textId="77777777" w:rsidR="00B57715" w:rsidRPr="00E12F31" w:rsidRDefault="00B57715" w:rsidP="008C71A9">
            <w:pPr>
              <w:pStyle w:val="Akapitzlist"/>
              <w:numPr>
                <w:ilvl w:val="0"/>
                <w:numId w:val="247"/>
              </w:num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E12F31">
              <w:rPr>
                <w:rFonts w:ascii="Times New Roman" w:eastAsia="MS Mincho" w:hAnsi="Times New Roman" w:cs="Times New Roman"/>
                <w:b/>
                <w:sz w:val="20"/>
                <w:szCs w:val="20"/>
                <w:lang w:bidi="pl-PL"/>
              </w:rPr>
              <w:t xml:space="preserve">Działania – </w:t>
            </w:r>
            <w:r w:rsidRPr="00E12F31">
              <w:rPr>
                <w:rFonts w:ascii="Times New Roman" w:eastAsia="MS Mincho" w:hAnsi="Times New Roman" w:cs="Times New Roman"/>
                <w:bCs/>
                <w:sz w:val="20"/>
                <w:szCs w:val="20"/>
                <w:lang w:bidi="pl-PL"/>
              </w:rPr>
              <w:t xml:space="preserve">badanie jest realizowane od 2017 r. W pierwszym roku realizacji przygotowano narzędzia badawcze i przeprowadzono pilotaż na 30 ochotnikach w wieku &gt; 60 lat celem oceny wykonalności badania. W 2018 r. rozpoczęto realizację badań respondentów i do końca roku do badania włączono 2548 respondentów. W 2019 r. w badaniu terenowym udział wzięło 3435 respondentów.  </w:t>
            </w:r>
          </w:p>
          <w:p w14:paraId="1A6DB15B" w14:textId="77777777" w:rsidR="00B57715" w:rsidRPr="001D3C46" w:rsidRDefault="00B57715" w:rsidP="003C1988">
            <w:pPr>
              <w:pStyle w:val="Akapitzlist"/>
              <w:spacing w:after="0"/>
              <w:ind w:left="1068"/>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p>
          <w:p w14:paraId="7D39C001" w14:textId="77777777" w:rsidR="00B57715" w:rsidRPr="001D3C46" w:rsidRDefault="00B57715" w:rsidP="008C71A9">
            <w:pPr>
              <w:numPr>
                <w:ilvl w:val="0"/>
                <w:numId w:val="247"/>
              </w:numPr>
              <w:spacing w:after="0" w:line="240" w:lineRule="auto"/>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rPr>
            </w:pPr>
            <w:r w:rsidRPr="001D3C46">
              <w:rPr>
                <w:rFonts w:ascii="Times New Roman" w:eastAsia="MS Mincho" w:hAnsi="Times New Roman" w:cs="Times New Roman"/>
                <w:b/>
                <w:sz w:val="20"/>
                <w:szCs w:val="20"/>
                <w:lang w:bidi="pl-PL"/>
              </w:rPr>
              <w:t>Analiza świadczeń udzielanych osobom w starszym wieku</w:t>
            </w:r>
          </w:p>
          <w:p w14:paraId="2B87DF4D" w14:textId="77777777" w:rsidR="00E12F31" w:rsidRDefault="00B57715" w:rsidP="008C71A9">
            <w:pPr>
              <w:pStyle w:val="Akapitzlist"/>
              <w:numPr>
                <w:ilvl w:val="0"/>
                <w:numId w:val="247"/>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lang w:bidi="pl-PL"/>
              </w:rPr>
            </w:pPr>
            <w:r w:rsidRPr="00E12F31">
              <w:rPr>
                <w:rFonts w:ascii="Times New Roman" w:eastAsia="MS Mincho" w:hAnsi="Times New Roman" w:cs="Times New Roman"/>
                <w:b/>
                <w:sz w:val="20"/>
                <w:szCs w:val="20"/>
                <w:lang w:bidi="pl-PL"/>
              </w:rPr>
              <w:t xml:space="preserve">Realizator: </w:t>
            </w:r>
            <w:r w:rsidRPr="00E12F31">
              <w:rPr>
                <w:rFonts w:ascii="Times New Roman" w:eastAsia="MS Mincho" w:hAnsi="Times New Roman" w:cs="Times New Roman"/>
                <w:bCs/>
                <w:sz w:val="20"/>
                <w:szCs w:val="20"/>
                <w:lang w:bidi="pl-PL"/>
              </w:rPr>
              <w:t>NIZP-PZH</w:t>
            </w:r>
            <w:r w:rsidRPr="00E12F31">
              <w:rPr>
                <w:rFonts w:ascii="Times New Roman" w:eastAsia="MS Mincho" w:hAnsi="Times New Roman" w:cs="Times New Roman"/>
                <w:b/>
                <w:sz w:val="20"/>
                <w:szCs w:val="20"/>
                <w:lang w:bidi="pl-PL"/>
              </w:rPr>
              <w:t xml:space="preserve"> </w:t>
            </w:r>
          </w:p>
          <w:p w14:paraId="168E470C" w14:textId="77777777" w:rsidR="00E12F31" w:rsidRPr="00E12F31" w:rsidRDefault="00B57715" w:rsidP="008C71A9">
            <w:pPr>
              <w:pStyle w:val="Akapitzlist"/>
              <w:numPr>
                <w:ilvl w:val="0"/>
                <w:numId w:val="247"/>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lang w:bidi="pl-PL"/>
              </w:rPr>
            </w:pPr>
            <w:r w:rsidRPr="00E12F31">
              <w:rPr>
                <w:rFonts w:ascii="Times New Roman" w:eastAsia="MS Mincho" w:hAnsi="Times New Roman" w:cs="Times New Roman"/>
                <w:b/>
                <w:sz w:val="20"/>
                <w:szCs w:val="20"/>
                <w:lang w:bidi="pl-PL"/>
              </w:rPr>
              <w:t xml:space="preserve">Cel -  </w:t>
            </w:r>
            <w:r w:rsidRPr="00E12F31">
              <w:rPr>
                <w:rFonts w:ascii="Times New Roman" w:eastAsia="MS Mincho" w:hAnsi="Times New Roman" w:cs="Times New Roman"/>
                <w:bCs/>
                <w:sz w:val="20"/>
                <w:szCs w:val="20"/>
                <w:lang w:bidi="pl-PL"/>
              </w:rPr>
              <w:t>ocena adekwatności świadczeń opieki zdrowotnej oraz zaspokojenia potrzeb osób starszych.</w:t>
            </w:r>
          </w:p>
          <w:p w14:paraId="6B484211" w14:textId="77777777" w:rsidR="00B57715" w:rsidRPr="00E12F31" w:rsidRDefault="00B57715" w:rsidP="008C71A9">
            <w:pPr>
              <w:pStyle w:val="Akapitzlist"/>
              <w:numPr>
                <w:ilvl w:val="0"/>
                <w:numId w:val="247"/>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lang w:bidi="pl-PL"/>
              </w:rPr>
            </w:pPr>
            <w:r w:rsidRPr="00E12F31">
              <w:rPr>
                <w:rFonts w:ascii="Times New Roman" w:eastAsia="MS Mincho" w:hAnsi="Times New Roman" w:cs="Times New Roman"/>
                <w:b/>
                <w:sz w:val="20"/>
                <w:szCs w:val="20"/>
                <w:lang w:bidi="pl-PL"/>
              </w:rPr>
              <w:lastRenderedPageBreak/>
              <w:t xml:space="preserve">Działania - </w:t>
            </w:r>
            <w:r w:rsidRPr="00E12F31">
              <w:rPr>
                <w:rFonts w:ascii="Times New Roman" w:eastAsia="MS Mincho" w:hAnsi="Times New Roman" w:cs="Times New Roman"/>
                <w:bCs/>
                <w:sz w:val="20"/>
                <w:szCs w:val="20"/>
                <w:lang w:bidi="pl-PL"/>
              </w:rPr>
              <w:t>przeprowadzono m.in. analizę świadczeń opieki zdrowotnej udzielanych osobom w wieku 60+ w latach 2012-2016.</w:t>
            </w:r>
          </w:p>
          <w:p w14:paraId="4E1B748B"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t xml:space="preserve">W latach 2018-2019 zrealizowano trzy badania – jakościowe (FGI) i ilościowe (CATI, CAWI) o charakterze ogólnopolskim. W badaniach wzięli udział lekarze, pielęgniarki, pracownicy socjalni i osoby starsze. Dodatkowo przeprowadzono analizy dotyczące zjawiska wielochorobowości u osób po 60. roku życia oraz panel ekspertów dotyczący świadczeń usług medycznych wobec tychże pacjentów.  </w:t>
            </w:r>
          </w:p>
          <w:p w14:paraId="0E52E7C5"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highlight w:val="green"/>
              </w:rPr>
            </w:pPr>
          </w:p>
          <w:p w14:paraId="1D9219EE"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u w:val="single"/>
              </w:rPr>
            </w:pPr>
            <w:r w:rsidRPr="001D3C46">
              <w:rPr>
                <w:rFonts w:ascii="Times New Roman" w:eastAsia="MS Mincho" w:hAnsi="Times New Roman" w:cs="Times New Roman"/>
                <w:b/>
                <w:sz w:val="20"/>
                <w:szCs w:val="20"/>
                <w:u w:val="single"/>
              </w:rPr>
              <w:t>Projekty realizowane przez NIGRiR</w:t>
            </w:r>
          </w:p>
          <w:p w14:paraId="08F97D21"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rPr>
            </w:pPr>
          </w:p>
          <w:p w14:paraId="66422145"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rPr>
            </w:pPr>
            <w:r w:rsidRPr="001D3C46">
              <w:rPr>
                <w:rFonts w:ascii="Times New Roman" w:eastAsia="MS Mincho" w:hAnsi="Times New Roman" w:cs="Times New Roman"/>
                <w:b/>
                <w:i/>
                <w:iCs/>
                <w:sz w:val="20"/>
                <w:szCs w:val="20"/>
              </w:rPr>
              <w:t>Managing Frailty. A comprehensive approach to promote a disability-free advanced age in Europe: the ADVANTAGE initiative — JA ADVANTAGE</w:t>
            </w:r>
            <w:r w:rsidR="00E12F31">
              <w:rPr>
                <w:rFonts w:ascii="Times New Roman" w:eastAsia="MS Mincho" w:hAnsi="Times New Roman" w:cs="Times New Roman"/>
                <w:b/>
                <w:sz w:val="20"/>
                <w:szCs w:val="20"/>
              </w:rPr>
              <w:t xml:space="preserve"> </w:t>
            </w:r>
            <w:r w:rsidRPr="001D3C46">
              <w:rPr>
                <w:rFonts w:ascii="Times New Roman" w:eastAsia="MS Mincho" w:hAnsi="Times New Roman" w:cs="Times New Roman"/>
                <w:b/>
                <w:sz w:val="20"/>
                <w:szCs w:val="20"/>
              </w:rPr>
              <w:t>(Wspólne działanie w zakresie postępowania w zespole kruchości. Kompleksowe podejście w promowaniu zaawansowanego wieku bez ograniczeń funkcji)</w:t>
            </w:r>
          </w:p>
          <w:p w14:paraId="12033C72"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highlight w:val="green"/>
              </w:rPr>
            </w:pPr>
          </w:p>
          <w:p w14:paraId="213295DE"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t xml:space="preserve">Projekt był realizowany w latach 2017-2019. Jego </w:t>
            </w:r>
            <w:r w:rsidRPr="001D3C46">
              <w:rPr>
                <w:rFonts w:ascii="Times New Roman" w:eastAsia="MS Mincho" w:hAnsi="Times New Roman" w:cs="Times New Roman"/>
                <w:b/>
                <w:bCs/>
                <w:sz w:val="20"/>
                <w:szCs w:val="20"/>
              </w:rPr>
              <w:t xml:space="preserve">celem </w:t>
            </w:r>
            <w:r w:rsidRPr="001D3C46">
              <w:rPr>
                <w:rFonts w:ascii="Times New Roman" w:eastAsia="MS Mincho" w:hAnsi="Times New Roman" w:cs="Times New Roman"/>
                <w:bCs/>
                <w:sz w:val="20"/>
                <w:szCs w:val="20"/>
              </w:rPr>
              <w:t xml:space="preserve">było wspieranie inicjatywy zapobiegania zespołowi kruchości (frailty syndrome) wśród osób w podeszłym wieku oraz wypracowanie działań strategicznych w zakresie zapobiegania i przeciwdziałania „kruchości” osób starszych. </w:t>
            </w:r>
          </w:p>
          <w:p w14:paraId="2CAC1ED2"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t xml:space="preserve">Projekt stanowi wspólne działanie 22 państw członkowskich UE i 35 instytucji - adresowany jest do decydentów i interesariuszy, personelu medycznego i pracowników pomocy społecznej. </w:t>
            </w:r>
          </w:p>
          <w:p w14:paraId="62272877"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t xml:space="preserve">W ramach projektu rozpoczęto prace nad opracowaniem ogólnoeuropejskiej strategii przeciwdziałania zespołowi kruchości, uwzględniającej: </w:t>
            </w:r>
          </w:p>
          <w:p w14:paraId="134856B1" w14:textId="77777777" w:rsidR="00E12F31" w:rsidRDefault="00B57715" w:rsidP="008C71A9">
            <w:pPr>
              <w:pStyle w:val="Akapitzlist"/>
              <w:numPr>
                <w:ilvl w:val="0"/>
                <w:numId w:val="25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E12F31">
              <w:rPr>
                <w:rFonts w:ascii="Times New Roman" w:eastAsia="MS Mincho" w:hAnsi="Times New Roman" w:cs="Times New Roman"/>
                <w:bCs/>
                <w:sz w:val="20"/>
                <w:szCs w:val="20"/>
              </w:rPr>
              <w:t xml:space="preserve">opracowanie dokumentu Frailty Prevention Approach </w:t>
            </w:r>
          </w:p>
          <w:p w14:paraId="593288A2" w14:textId="77777777" w:rsidR="00B57715" w:rsidRPr="00E12F31" w:rsidRDefault="00B57715" w:rsidP="008C71A9">
            <w:pPr>
              <w:pStyle w:val="Akapitzlist"/>
              <w:numPr>
                <w:ilvl w:val="0"/>
                <w:numId w:val="25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E12F31">
              <w:rPr>
                <w:rFonts w:ascii="Times New Roman" w:eastAsia="MS Mincho" w:hAnsi="Times New Roman" w:cs="Times New Roman"/>
                <w:bCs/>
                <w:sz w:val="20"/>
                <w:szCs w:val="20"/>
              </w:rPr>
              <w:t xml:space="preserve">przyjęcie </w:t>
            </w:r>
            <w:r w:rsidRPr="00E12F31">
              <w:rPr>
                <w:rFonts w:ascii="Times New Roman" w:eastAsia="MS Mincho" w:hAnsi="Times New Roman" w:cs="Times New Roman"/>
                <w:b/>
                <w:bCs/>
                <w:sz w:val="20"/>
                <w:szCs w:val="20"/>
              </w:rPr>
              <w:t>standardu postępowania</w:t>
            </w:r>
            <w:r w:rsidRPr="00E12F31">
              <w:rPr>
                <w:rFonts w:ascii="Times New Roman" w:eastAsia="MS Mincho" w:hAnsi="Times New Roman" w:cs="Times New Roman"/>
                <w:bCs/>
                <w:sz w:val="20"/>
                <w:szCs w:val="20"/>
              </w:rPr>
              <w:t>, obejmującego m. in.:</w:t>
            </w:r>
          </w:p>
          <w:p w14:paraId="02B0A1DF" w14:textId="77777777" w:rsidR="00B57715" w:rsidRPr="001D3C46" w:rsidRDefault="00B57715" w:rsidP="008C71A9">
            <w:pPr>
              <w:numPr>
                <w:ilvl w:val="0"/>
                <w:numId w:val="255"/>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t xml:space="preserve">badania przesiewowe i wczesną interwencję, </w:t>
            </w:r>
          </w:p>
          <w:p w14:paraId="4D3E9485" w14:textId="77777777" w:rsidR="00B57715" w:rsidRPr="001D3C46" w:rsidRDefault="00B57715" w:rsidP="008C71A9">
            <w:pPr>
              <w:numPr>
                <w:ilvl w:val="0"/>
                <w:numId w:val="255"/>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lastRenderedPageBreak/>
              <w:t xml:space="preserve">zindywidualizowaną ocenę pacjenta z wykorzystaniem narzędzi Całościowej Oceny Geriatrycznej oraz rekomendowanych testów diagnostycznych służących rozpoznaniu zespołu kruchości, </w:t>
            </w:r>
          </w:p>
          <w:p w14:paraId="74D4881C" w14:textId="77777777" w:rsidR="00B57715" w:rsidRPr="001D3C46" w:rsidRDefault="00B57715" w:rsidP="008C71A9">
            <w:pPr>
              <w:numPr>
                <w:ilvl w:val="0"/>
                <w:numId w:val="255"/>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t xml:space="preserve">planowanie opieki indywidualnej w ujęciu wielowymiarowym i interdyscyplinarnym w oparciu o wybrane modele opieki zintegrowanej, jak również </w:t>
            </w:r>
          </w:p>
          <w:p w14:paraId="18768A31" w14:textId="77777777" w:rsidR="00B57715" w:rsidRPr="001D3C46" w:rsidRDefault="00B57715" w:rsidP="008C71A9">
            <w:pPr>
              <w:numPr>
                <w:ilvl w:val="0"/>
                <w:numId w:val="255"/>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t xml:space="preserve">prewencję odnoszącą się do stylu życia (szczególnie ukierunkowaną na aktywność fizyczną, prawidłowe odżywianie, szczepienia ochronne, zapobieganie upadkom, zapobieganie wielolekowości). </w:t>
            </w:r>
          </w:p>
          <w:p w14:paraId="16A0428F" w14:textId="77777777" w:rsidR="00B57715" w:rsidRPr="00E12F31" w:rsidRDefault="00B57715" w:rsidP="008C71A9">
            <w:pPr>
              <w:pStyle w:val="Akapitzlist"/>
              <w:numPr>
                <w:ilvl w:val="0"/>
                <w:numId w:val="25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E12F31">
              <w:rPr>
                <w:rFonts w:ascii="Times New Roman" w:eastAsia="MS Mincho" w:hAnsi="Times New Roman" w:cs="Times New Roman"/>
                <w:bCs/>
                <w:sz w:val="20"/>
                <w:szCs w:val="20"/>
              </w:rPr>
              <w:t>przeprowadzenie w 2019 r.  kampanii informacyjno-edukacyjnej zatytułowanej „Zmierz się z kruchością”.</w:t>
            </w:r>
          </w:p>
          <w:p w14:paraId="1D2629BD"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highlight w:val="green"/>
              </w:rPr>
            </w:pPr>
          </w:p>
          <w:p w14:paraId="5C1BFD91"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rPr>
            </w:pPr>
            <w:r w:rsidRPr="001D3C46">
              <w:rPr>
                <w:rFonts w:ascii="Times New Roman" w:eastAsia="MS Mincho" w:hAnsi="Times New Roman" w:cs="Times New Roman"/>
                <w:b/>
                <w:sz w:val="20"/>
                <w:szCs w:val="20"/>
              </w:rPr>
              <w:t>Projekt CHRODIS-PLUS: Implementing good practices for chronić diseases — (Wdrożenie dobrych praktyk wobec chorób przewlekłych)</w:t>
            </w:r>
          </w:p>
          <w:p w14:paraId="38DB8F93"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p>
          <w:p w14:paraId="5A1FC375"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
                <w:bCs/>
                <w:sz w:val="20"/>
                <w:szCs w:val="20"/>
              </w:rPr>
              <w:t>Celem projektu</w:t>
            </w:r>
            <w:r w:rsidRPr="001D3C46">
              <w:rPr>
                <w:rFonts w:ascii="Times New Roman" w:eastAsia="MS Mincho" w:hAnsi="Times New Roman" w:cs="Times New Roman"/>
                <w:bCs/>
                <w:sz w:val="20"/>
                <w:szCs w:val="20"/>
              </w:rPr>
              <w:t xml:space="preserve"> jest</w:t>
            </w:r>
            <w:r w:rsidRPr="001D3C46">
              <w:rPr>
                <w:rFonts w:ascii="Times New Roman" w:eastAsia="MS Mincho" w:hAnsi="Times New Roman" w:cs="Times New Roman"/>
                <w:b/>
                <w:bCs/>
                <w:sz w:val="20"/>
                <w:szCs w:val="20"/>
              </w:rPr>
              <w:t xml:space="preserve"> </w:t>
            </w:r>
            <w:r w:rsidRPr="001D3C46">
              <w:rPr>
                <w:rFonts w:ascii="Times New Roman" w:eastAsia="MS Mincho" w:hAnsi="Times New Roman" w:cs="Times New Roman"/>
                <w:bCs/>
                <w:sz w:val="20"/>
                <w:szCs w:val="20"/>
              </w:rPr>
              <w:t xml:space="preserve">opracowanie zintegrowanego modelu opieki zdrowotnej w krajach członkowskich Unii Europejskiej, adresowanego między innymi do osób w starszym wieku z wielochorobowością. </w:t>
            </w:r>
          </w:p>
          <w:p w14:paraId="0F9A3D2B" w14:textId="77777777" w:rsidR="00B57715" w:rsidRPr="001D3C46" w:rsidRDefault="00B5771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t xml:space="preserve">W ramach zadania </w:t>
            </w:r>
            <w:r w:rsidRPr="001D3C46">
              <w:rPr>
                <w:rFonts w:ascii="Times New Roman" w:eastAsia="MS Mincho" w:hAnsi="Times New Roman" w:cs="Times New Roman"/>
                <w:bCs/>
                <w:i/>
                <w:iCs/>
                <w:sz w:val="20"/>
                <w:szCs w:val="20"/>
              </w:rPr>
              <w:t>Promocja Zdrowia i Zapobieganie Chorobom – współpraca wewnątrz- i międzysektoralna</w:t>
            </w:r>
            <w:r w:rsidRPr="001D3C46">
              <w:rPr>
                <w:rFonts w:ascii="Times New Roman" w:eastAsia="MS Mincho" w:hAnsi="Times New Roman" w:cs="Times New Roman"/>
                <w:bCs/>
                <w:sz w:val="20"/>
                <w:szCs w:val="20"/>
              </w:rPr>
              <w:t xml:space="preserve"> (Health Promotion and Disease Prevention; Inter-intra collaboration):</w:t>
            </w:r>
          </w:p>
          <w:p w14:paraId="2B29500C" w14:textId="77777777" w:rsidR="00B57715" w:rsidRPr="001D3C46" w:rsidRDefault="00B57715" w:rsidP="008C71A9">
            <w:pPr>
              <w:numPr>
                <w:ilvl w:val="0"/>
                <w:numId w:val="257"/>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t xml:space="preserve">pracowano nad zidentyfikowaniem przykładowych obszarów współpracy wewnątrz- i międzysektoralnej, </w:t>
            </w:r>
          </w:p>
          <w:p w14:paraId="6AF0A364" w14:textId="77777777" w:rsidR="00B57715" w:rsidRPr="001D3C46" w:rsidRDefault="00B57715" w:rsidP="008C71A9">
            <w:pPr>
              <w:numPr>
                <w:ilvl w:val="0"/>
                <w:numId w:val="257"/>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t xml:space="preserve">analizowano czynniki wpływające na sukces tych przedsięwzięć, bariery oraz sposoby ich likwidacji a także </w:t>
            </w:r>
          </w:p>
          <w:p w14:paraId="2CB914A9" w14:textId="77777777" w:rsidR="00311D18" w:rsidRPr="001D3C46" w:rsidRDefault="00B57715" w:rsidP="008C71A9">
            <w:pPr>
              <w:numPr>
                <w:ilvl w:val="0"/>
                <w:numId w:val="257"/>
              </w:num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1D3C46">
              <w:rPr>
                <w:rFonts w:ascii="Times New Roman" w:eastAsia="MS Mincho" w:hAnsi="Times New Roman" w:cs="Times New Roman"/>
                <w:bCs/>
                <w:sz w:val="20"/>
                <w:szCs w:val="20"/>
              </w:rPr>
              <w:t xml:space="preserve">porównywano informacje oraz opinie na temat uwarunkowań efektywnej współpracy wewnątrz- i międzysektoralnej, zebrane od partnerów projektu metodą badania ankietowego. </w:t>
            </w:r>
          </w:p>
        </w:tc>
      </w:tr>
      <w:tr w:rsidR="005F3D4B" w:rsidRPr="00D24DF9" w14:paraId="65E5B344" w14:textId="77777777" w:rsidTr="004D48DD">
        <w:trPr>
          <w:trHeight w:val="522"/>
        </w:trPr>
        <w:tc>
          <w:tcPr>
            <w:cnfStyle w:val="001000000000" w:firstRow="0" w:lastRow="0" w:firstColumn="1" w:lastColumn="0" w:oddVBand="0" w:evenVBand="0" w:oddHBand="0" w:evenHBand="0" w:firstRowFirstColumn="0" w:firstRowLastColumn="0" w:lastRowFirstColumn="0" w:lastRowLastColumn="0"/>
            <w:tcW w:w="1232" w:type="dxa"/>
            <w:vMerge/>
          </w:tcPr>
          <w:p w14:paraId="4F71DF92"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E9AD39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Promowanie szczepień ochronnych </w:t>
            </w:r>
            <w:r w:rsidRPr="00D24DF9">
              <w:rPr>
                <w:rFonts w:ascii="Times New Roman" w:eastAsia="MS Mincho" w:hAnsi="Times New Roman"/>
                <w:sz w:val="20"/>
              </w:rPr>
              <w:br/>
              <w:t>i innych świadczeń profilaktycznych</w:t>
            </w:r>
          </w:p>
        </w:tc>
        <w:tc>
          <w:tcPr>
            <w:tcW w:w="2032" w:type="dxa"/>
            <w:vMerge w:val="restart"/>
          </w:tcPr>
          <w:p w14:paraId="74B4CCE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5725B3D3"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5C7093D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działań promujących szczepienia ochronne i inne świadczenia profilaktyczne.</w:t>
            </w:r>
          </w:p>
        </w:tc>
      </w:tr>
      <w:tr w:rsidR="005F3D4B" w:rsidRPr="00D24DF9" w14:paraId="542A3FD3"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81B2F11" w14:textId="77777777" w:rsidR="00311D18" w:rsidRPr="00D24DF9" w:rsidRDefault="00311D18" w:rsidP="003C1988">
            <w:pPr>
              <w:spacing w:after="0"/>
              <w:rPr>
                <w:rFonts w:ascii="Times New Roman" w:hAnsi="Times New Roman" w:cs="Times New Roman"/>
                <w:sz w:val="20"/>
              </w:rPr>
            </w:pPr>
          </w:p>
        </w:tc>
        <w:tc>
          <w:tcPr>
            <w:tcW w:w="3594" w:type="dxa"/>
            <w:vMerge/>
          </w:tcPr>
          <w:p w14:paraId="05E9603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51CEAE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216D9B35"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4E8059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74DF0497"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3DF6BAC"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D32A68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Propagowanie wiedzy w obszarze możliwości wykorzystania ICT (aplikacje, systemy, urządzenia) do wsparcia profilaktyki chorób i poprawy jakości życia</w:t>
            </w:r>
          </w:p>
        </w:tc>
        <w:tc>
          <w:tcPr>
            <w:tcW w:w="2032" w:type="dxa"/>
            <w:vMerge w:val="restart"/>
          </w:tcPr>
          <w:p w14:paraId="7B2AC15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Zdrowia </w:t>
            </w:r>
          </w:p>
        </w:tc>
        <w:tc>
          <w:tcPr>
            <w:tcW w:w="1500" w:type="dxa"/>
            <w:vMerge w:val="restart"/>
          </w:tcPr>
          <w:p w14:paraId="3247E09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0A803E3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zrealizowanych działań promujących wiedzę w obszarze możliwości wykorzystania ICT do wsparcia profilaktyki chorób i poprawy jakości życia</w:t>
            </w:r>
          </w:p>
        </w:tc>
      </w:tr>
      <w:tr w:rsidR="005F3D4B" w:rsidRPr="00D24DF9" w14:paraId="38940F5D"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ABFFB6F" w14:textId="77777777" w:rsidR="00311D18" w:rsidRPr="00D24DF9" w:rsidRDefault="00311D18" w:rsidP="003C1988">
            <w:pPr>
              <w:spacing w:after="0"/>
              <w:rPr>
                <w:rFonts w:ascii="Times New Roman" w:hAnsi="Times New Roman" w:cs="Times New Roman"/>
                <w:sz w:val="20"/>
              </w:rPr>
            </w:pPr>
          </w:p>
        </w:tc>
        <w:tc>
          <w:tcPr>
            <w:tcW w:w="3594" w:type="dxa"/>
            <w:vMerge/>
          </w:tcPr>
          <w:p w14:paraId="221D9E6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55391E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5211A17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96B20F4" w14:textId="77777777" w:rsidR="00E12F31" w:rsidRPr="00E12F31" w:rsidRDefault="00E12F3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bookmarkStart w:id="161" w:name="_Hlk45258284"/>
            <w:r w:rsidRPr="00E12F31">
              <w:rPr>
                <w:rFonts w:ascii="Times New Roman" w:hAnsi="Times New Roman" w:cs="Times New Roman"/>
                <w:b/>
                <w:bCs/>
                <w:sz w:val="20"/>
              </w:rPr>
              <w:t xml:space="preserve">Ministerstwo Zdrowia oraz Centrum Systemów Informacyjnych Ochrony Zdrowia (CSIOZ) </w:t>
            </w:r>
            <w:r w:rsidRPr="00E12F31">
              <w:rPr>
                <w:rFonts w:ascii="Times New Roman" w:hAnsi="Times New Roman" w:cs="Times New Roman"/>
                <w:sz w:val="20"/>
              </w:rPr>
              <w:t>realizowały szereg działań informacyjnych</w:t>
            </w:r>
            <w:r w:rsidRPr="00E12F31">
              <w:rPr>
                <w:sz w:val="20"/>
              </w:rPr>
              <w:t xml:space="preserve"> </w:t>
            </w:r>
            <w:r w:rsidRPr="00E12F31">
              <w:rPr>
                <w:rFonts w:ascii="Times New Roman" w:hAnsi="Times New Roman" w:cs="Times New Roman"/>
                <w:sz w:val="20"/>
              </w:rPr>
              <w:t>na rzecz upowszechniania e-usług w ochronie zdrowia, m.in. wśród osób starszych:</w:t>
            </w:r>
          </w:p>
          <w:p w14:paraId="6DDBED41" w14:textId="77777777" w:rsidR="00E12F31" w:rsidRPr="00E12F31" w:rsidRDefault="00E12F31" w:rsidP="008C71A9">
            <w:pPr>
              <w:pStyle w:val="Akapitzlist"/>
              <w:numPr>
                <w:ilvl w:val="0"/>
                <w:numId w:val="25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12F31">
              <w:rPr>
                <w:rFonts w:ascii="Times New Roman" w:hAnsi="Times New Roman" w:cs="Times New Roman"/>
                <w:sz w:val="20"/>
              </w:rPr>
              <w:t xml:space="preserve">Zorganizowano kampanię informacyjną </w:t>
            </w:r>
            <w:r w:rsidRPr="00E12F31">
              <w:rPr>
                <w:sz w:val="20"/>
              </w:rPr>
              <w:t xml:space="preserve"> </w:t>
            </w:r>
            <w:r w:rsidRPr="00E12F31">
              <w:rPr>
                <w:rFonts w:ascii="Times New Roman" w:hAnsi="Times New Roman" w:cs="Times New Roman"/>
                <w:sz w:val="20"/>
              </w:rPr>
              <w:t>pt. „Internetowe Konto Pacjenta. Tu zapisuje się historia Twojego zdrowia”, skierowaną do pacjentów seniorów – prowadzona była zarówno w mediach typu telewizja, radio, jak i gazetach;</w:t>
            </w:r>
          </w:p>
          <w:bookmarkEnd w:id="161"/>
          <w:p w14:paraId="2929D4CB" w14:textId="77777777" w:rsidR="00E12F31" w:rsidRPr="00E12F31" w:rsidRDefault="00E12F31" w:rsidP="008C71A9">
            <w:pPr>
              <w:pStyle w:val="Akapitzlist"/>
              <w:numPr>
                <w:ilvl w:val="0"/>
                <w:numId w:val="25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12F31">
              <w:rPr>
                <w:rFonts w:ascii="Times New Roman" w:hAnsi="Times New Roman" w:cs="Times New Roman"/>
                <w:sz w:val="20"/>
              </w:rPr>
              <w:t>W 2019 r. (zwłaszcza na jesieni) w całej Polsce organizowano – we współpracy z Uniwersytetami III Wieku oraz Starostwami Powiatowymi i innymi organizacjami/fundacjami działającymi na rzecz seniorów - ok. 25 spotkań na temat  Internetowego Konta Pacjenta, e-recepty, e-skierowania dedykowanych seniorom oraz ponad 60 akcji na ten temat kierowanych do pacjentów (w trakcie dożynek, lokalnych wydarzeń oraz akcji realizowanych w ramach białych tygodni przez podmioty lecznicze);</w:t>
            </w:r>
          </w:p>
          <w:p w14:paraId="44D54517" w14:textId="77777777" w:rsidR="00E12F31" w:rsidRPr="00E12F31" w:rsidRDefault="00E12F31" w:rsidP="008C71A9">
            <w:pPr>
              <w:pStyle w:val="Akapitzlist"/>
              <w:numPr>
                <w:ilvl w:val="0"/>
                <w:numId w:val="25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12F31">
              <w:rPr>
                <w:rFonts w:ascii="Times New Roman" w:hAnsi="Times New Roman" w:cs="Times New Roman"/>
                <w:sz w:val="20"/>
              </w:rPr>
              <w:t>Opracowano podręcznik dedykowany seniorom w obszarze e-zdrowia, który jest rozbudowywany o kolejne usługi wdrażane w ramach projektu e-Zdrowie (P1);</w:t>
            </w:r>
          </w:p>
          <w:p w14:paraId="44C858EC" w14:textId="77777777" w:rsidR="00E12F31" w:rsidRPr="00E12F31" w:rsidRDefault="00E12F31" w:rsidP="008C71A9">
            <w:pPr>
              <w:pStyle w:val="Akapitzlist"/>
              <w:numPr>
                <w:ilvl w:val="0"/>
                <w:numId w:val="25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12F31">
              <w:rPr>
                <w:rFonts w:ascii="Times New Roman" w:hAnsi="Times New Roman" w:cs="Times New Roman"/>
                <w:sz w:val="20"/>
              </w:rPr>
              <w:t>We współpracy z Komisją ds. Emerytów i Rencistów NIL prowadzono szkolenia dla lekarzy seniorów i pracowników medycznych seniorów dotyczących rozwiązań z zakresu e-zdrowia, w tym wystawiania e-recept;</w:t>
            </w:r>
          </w:p>
          <w:p w14:paraId="55084035" w14:textId="77777777" w:rsidR="00311D18" w:rsidRPr="00D24DF9" w:rsidRDefault="00E12F3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E12F31">
              <w:rPr>
                <w:rFonts w:ascii="Times New Roman" w:hAnsi="Times New Roman" w:cs="Times New Roman"/>
                <w:sz w:val="20"/>
              </w:rPr>
              <w:t>Podczas organizacji akcji informacyjnych dotyczących usług e-zdrowia, kierowanych do osób starszych, współpracowano z Oddziałami Wojewódzkimi NFZ.</w:t>
            </w:r>
          </w:p>
        </w:tc>
      </w:tr>
      <w:tr w:rsidR="005F3D4B" w:rsidRPr="00D24DF9" w14:paraId="1C8928FF"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31E4205"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AD78E7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Wdrażanie opieki farmaceutycznej, prowadzenie analiz stosowanej </w:t>
            </w:r>
            <w:r w:rsidRPr="00D24DF9">
              <w:rPr>
                <w:rFonts w:ascii="Times New Roman" w:eastAsia="MS Mincho" w:hAnsi="Times New Roman"/>
                <w:sz w:val="20"/>
              </w:rPr>
              <w:lastRenderedPageBreak/>
              <w:t>farmakoterapii na rzecz redukcji leków potencjalnie niewłaściwych dla osób starszych, zgodnie z kryteriami obowiązującymi w tym zakresie</w:t>
            </w:r>
          </w:p>
        </w:tc>
        <w:tc>
          <w:tcPr>
            <w:tcW w:w="2032" w:type="dxa"/>
            <w:vMerge w:val="restart"/>
          </w:tcPr>
          <w:p w14:paraId="1A820EA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Ministerstwo Zdrowia</w:t>
            </w:r>
          </w:p>
        </w:tc>
        <w:tc>
          <w:tcPr>
            <w:tcW w:w="1500" w:type="dxa"/>
            <w:vMerge w:val="restart"/>
          </w:tcPr>
          <w:p w14:paraId="0A77F95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tcPr>
          <w:p w14:paraId="37A4BFE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przeprowadzonych analiz stosowanej farmakoterapii</w:t>
            </w:r>
          </w:p>
          <w:p w14:paraId="4662666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b/>
                <w:sz w:val="20"/>
              </w:rPr>
            </w:pPr>
            <w:r w:rsidRPr="00D24DF9">
              <w:rPr>
                <w:rFonts w:ascii="Times New Roman" w:eastAsia="MS Mincho" w:hAnsi="Times New Roman"/>
                <w:b/>
                <w:sz w:val="20"/>
              </w:rPr>
              <w:t>oraz</w:t>
            </w:r>
          </w:p>
          <w:p w14:paraId="47FEFEF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lastRenderedPageBreak/>
              <w:t>Liczba podjętych działań na rzecz poprawy przestrzegania zaleceń terapeutycznych</w:t>
            </w:r>
          </w:p>
        </w:tc>
      </w:tr>
      <w:tr w:rsidR="005F3D4B" w:rsidRPr="00D24DF9" w14:paraId="105E5D85"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4F6867E" w14:textId="77777777" w:rsidR="00311D18" w:rsidRPr="00D24DF9" w:rsidRDefault="00311D18" w:rsidP="003C1988">
            <w:pPr>
              <w:spacing w:after="0"/>
              <w:rPr>
                <w:rFonts w:ascii="Times New Roman" w:hAnsi="Times New Roman" w:cs="Times New Roman"/>
                <w:sz w:val="20"/>
              </w:rPr>
            </w:pPr>
          </w:p>
        </w:tc>
        <w:tc>
          <w:tcPr>
            <w:tcW w:w="3594" w:type="dxa"/>
            <w:vMerge/>
          </w:tcPr>
          <w:p w14:paraId="1092710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5D0710E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7320555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3A75F7BE" w14:textId="77777777" w:rsidR="00E12F31" w:rsidRPr="00E12F31" w:rsidRDefault="00E12F3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12F31">
              <w:rPr>
                <w:rFonts w:ascii="Times New Roman" w:hAnsi="Times New Roman" w:cs="Times New Roman"/>
                <w:sz w:val="20"/>
              </w:rPr>
              <w:t xml:space="preserve">Do czasu wprowadzenia nowych zapisów prawnych opieka farmaceutyczna, zgodnie z obowiązującym aktualnie art. 2a ust. 1 pkt.7 </w:t>
            </w:r>
            <w:r w:rsidRPr="00E12F31">
              <w:rPr>
                <w:rFonts w:ascii="Times New Roman" w:hAnsi="Times New Roman" w:cs="Times New Roman"/>
                <w:i/>
                <w:iCs/>
                <w:sz w:val="20"/>
              </w:rPr>
              <w:t>ustawy o izbach aptekarskich</w:t>
            </w:r>
            <w:r w:rsidRPr="00E12F31">
              <w:rPr>
                <w:rFonts w:ascii="Times New Roman" w:hAnsi="Times New Roman" w:cs="Times New Roman"/>
                <w:sz w:val="20"/>
              </w:rPr>
              <w:t xml:space="preserve">, jest dokumentowanym procesem, w którym farmaceuta, współpracując z pacjentem i lekarzem, a w razie potrzeby z przedstawicielami innych zawodów medycznych, czuwa nad prawidłowym przebiegiem farmakoterapii w celu uzyskania określonych jej efektów poprawiających jakość życia pacjenta. </w:t>
            </w:r>
          </w:p>
          <w:p w14:paraId="5AADFC7A" w14:textId="77777777" w:rsidR="00E12F31" w:rsidRPr="00E12F31" w:rsidRDefault="00E12F3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5FBBC6F6" w14:textId="77777777" w:rsidR="00E12F31" w:rsidRPr="00E12F31" w:rsidRDefault="00E12F3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E12F31">
              <w:rPr>
                <w:rFonts w:ascii="Times New Roman" w:hAnsi="Times New Roman" w:cs="Times New Roman"/>
                <w:sz w:val="20"/>
              </w:rPr>
              <w:t>W 2019 r. odbywały się spotkania z przedstawicielami CSIOZ, NFZ i samorządu aptekarskiego mające na celu rozpoznanie potrzeb i możliwości w zakresie wznowienia prac Zespołu do spraw pilotażowego wdrożenia opieki farmaceutycznej, który miał za zadanie wypracowanie i zaproponowanie rozwiązań umożliwiających przetestowanie systemu opieki farmaceutycznej w aptekach ogólnodostępnych.</w:t>
            </w:r>
          </w:p>
          <w:p w14:paraId="41CCA1C2" w14:textId="77777777" w:rsidR="00E12F31" w:rsidRPr="00E12F31" w:rsidRDefault="00E12F3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626679DF" w14:textId="77777777" w:rsidR="00311D18" w:rsidRPr="00D24DF9" w:rsidRDefault="00E12F3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E12F31">
              <w:rPr>
                <w:rFonts w:ascii="Times New Roman" w:hAnsi="Times New Roman" w:cs="Times New Roman"/>
                <w:sz w:val="20"/>
              </w:rPr>
              <w:t xml:space="preserve">Wynikiem tych spotkań jest decyzja o powołaniu nowego Zespołu, który zajmie się przygotowaniem założeń do wdrożenia opieki farmaceutycznej, oraz opracowaniem zakresu analiz stosowanej farmakoterapii </w:t>
            </w:r>
            <w:r w:rsidRPr="004E6958">
              <w:rPr>
                <w:rFonts w:ascii="Times New Roman" w:hAnsi="Times New Roman" w:cs="Times New Roman"/>
              </w:rPr>
              <w:t>na rzecz redukcji leków stosowanych nieprawidłowo (w tym leków niewłaściwych dla osób starszych).</w:t>
            </w:r>
          </w:p>
        </w:tc>
      </w:tr>
      <w:tr w:rsidR="005F3D4B" w:rsidRPr="00D24DF9" w14:paraId="2DAAB9B0"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F367450"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718CEF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Uwzględnienie specyfiki problemów zdrowotnych, charakterystycznych </w:t>
            </w:r>
            <w:r w:rsidRPr="00D24DF9">
              <w:rPr>
                <w:rFonts w:ascii="Times New Roman" w:eastAsia="MS Mincho" w:hAnsi="Times New Roman"/>
                <w:sz w:val="20"/>
              </w:rPr>
              <w:br/>
              <w:t xml:space="preserve">w grupie osób starszych, </w:t>
            </w:r>
            <w:r w:rsidRPr="00D24DF9">
              <w:rPr>
                <w:rFonts w:ascii="Times New Roman" w:eastAsia="MS Mincho" w:hAnsi="Times New Roman"/>
                <w:sz w:val="20"/>
              </w:rPr>
              <w:br/>
              <w:t>w realizowanych programach prozdrowotnych</w:t>
            </w:r>
          </w:p>
        </w:tc>
        <w:tc>
          <w:tcPr>
            <w:tcW w:w="2032" w:type="dxa"/>
            <w:vMerge w:val="restart"/>
          </w:tcPr>
          <w:p w14:paraId="4DC9CD6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51D8B35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p w14:paraId="0164034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5638" w:type="dxa"/>
          </w:tcPr>
          <w:p w14:paraId="74DF180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programów prozdrowotnych uzupełnionych o specyfikę problemów zdrowotnych, charakterystycznych w grupie osób starszych</w:t>
            </w:r>
          </w:p>
        </w:tc>
      </w:tr>
      <w:tr w:rsidR="005F3D4B" w:rsidRPr="00D24DF9" w14:paraId="72A5D3FC"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9A269D6" w14:textId="77777777" w:rsidR="00311D18" w:rsidRPr="00D24DF9" w:rsidRDefault="00311D18" w:rsidP="003C1988">
            <w:pPr>
              <w:spacing w:after="0"/>
              <w:rPr>
                <w:rFonts w:ascii="Times New Roman" w:hAnsi="Times New Roman" w:cs="Times New Roman"/>
                <w:sz w:val="20"/>
              </w:rPr>
            </w:pPr>
          </w:p>
        </w:tc>
        <w:tc>
          <w:tcPr>
            <w:tcW w:w="3594" w:type="dxa"/>
            <w:vMerge/>
          </w:tcPr>
          <w:p w14:paraId="36C2E28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D78255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53D301B"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76B49F6" w14:textId="77777777" w:rsidR="001B1BA5" w:rsidRPr="001B1BA5" w:rsidRDefault="001B1BA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Cs/>
                <w:sz w:val="20"/>
              </w:rPr>
              <w:t>MZ realizuje następujące programy:</w:t>
            </w:r>
          </w:p>
          <w:p w14:paraId="3A012727" w14:textId="77777777" w:rsidR="001B1BA5" w:rsidRDefault="001B1BA5" w:rsidP="008C71A9">
            <w:pPr>
              <w:pStyle w:val="Akapitzlist"/>
              <w:numPr>
                <w:ilvl w:val="0"/>
                <w:numId w:val="259"/>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
                <w:sz w:val="20"/>
              </w:rPr>
              <w:t>Program Profilaktyki i Leczenia Chorób Układu Sercowo-Naczyniowego POLKARD na lata 2017-2020</w:t>
            </w:r>
            <w:r w:rsidRPr="001B1BA5">
              <w:rPr>
                <w:rFonts w:ascii="Times New Roman" w:eastAsia="MS Mincho" w:hAnsi="Times New Roman" w:cs="Times New Roman"/>
                <w:bCs/>
                <w:sz w:val="20"/>
              </w:rPr>
              <w:t xml:space="preserve"> – w ramach programu zakupiono specjalistyczny sprzęt celem poprawy </w:t>
            </w:r>
            <w:r w:rsidRPr="001B1BA5">
              <w:rPr>
                <w:rFonts w:ascii="Times New Roman" w:eastAsia="MS Mincho" w:hAnsi="Times New Roman" w:cs="Times New Roman"/>
                <w:bCs/>
                <w:sz w:val="20"/>
              </w:rPr>
              <w:lastRenderedPageBreak/>
              <w:t xml:space="preserve">jakości, bezpieczeństwa i dostępności do świadczeń zdrowotnych finansowanych ze środków publicznych. </w:t>
            </w:r>
          </w:p>
          <w:p w14:paraId="5947D344" w14:textId="77777777" w:rsidR="001B1BA5" w:rsidRPr="001B1BA5" w:rsidRDefault="001B1BA5" w:rsidP="003C1988">
            <w:pPr>
              <w:pStyle w:val="Akapitzlist"/>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p>
          <w:p w14:paraId="3380B836" w14:textId="77777777" w:rsidR="001B1BA5" w:rsidRPr="001B1BA5" w:rsidRDefault="001B1BA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Pr>
                <w:rFonts w:ascii="Times New Roman" w:eastAsia="MS Mincho" w:hAnsi="Times New Roman" w:cs="Times New Roman"/>
                <w:bCs/>
                <w:sz w:val="20"/>
              </w:rPr>
              <w:t xml:space="preserve">W 2019 r. </w:t>
            </w:r>
            <w:r w:rsidRPr="001B1BA5">
              <w:rPr>
                <w:rFonts w:ascii="Times New Roman" w:eastAsia="MS Mincho" w:hAnsi="Times New Roman" w:cs="Times New Roman"/>
                <w:bCs/>
                <w:sz w:val="20"/>
              </w:rPr>
              <w:t>prowadzone działania umożliwiły wyposażenie m.in.:</w:t>
            </w:r>
          </w:p>
          <w:p w14:paraId="6C27C7A8" w14:textId="77777777" w:rsidR="001B1BA5" w:rsidRPr="001B1BA5" w:rsidRDefault="001B1BA5" w:rsidP="008C71A9">
            <w:pPr>
              <w:pStyle w:val="Akapitzlist"/>
              <w:numPr>
                <w:ilvl w:val="0"/>
                <w:numId w:val="262"/>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Cs/>
                <w:sz w:val="20"/>
              </w:rPr>
              <w:t>oddziałów chorób wewnętrznych w nowe centrale monitorujące i monitory kardiologiczne;</w:t>
            </w:r>
          </w:p>
          <w:p w14:paraId="4D236247" w14:textId="77777777" w:rsidR="001B1BA5" w:rsidRPr="001B1BA5" w:rsidRDefault="001B1BA5" w:rsidP="008C71A9">
            <w:pPr>
              <w:pStyle w:val="Akapitzlist"/>
              <w:numPr>
                <w:ilvl w:val="0"/>
                <w:numId w:val="262"/>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Cs/>
                <w:sz w:val="20"/>
              </w:rPr>
              <w:t>oddziałów udarowych i neurologicznych w aparaty do diagnostyki ultrasonograficznej naczyń domózgowych typu Duplex;</w:t>
            </w:r>
          </w:p>
          <w:p w14:paraId="617E2D82" w14:textId="77777777" w:rsidR="001B1BA5" w:rsidRDefault="001B1BA5" w:rsidP="008C71A9">
            <w:pPr>
              <w:pStyle w:val="Akapitzlist"/>
              <w:numPr>
                <w:ilvl w:val="0"/>
                <w:numId w:val="262"/>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Cs/>
                <w:sz w:val="20"/>
              </w:rPr>
              <w:t>oddziałów rehabilitacji neurologicznej w urządzenia do wczesnej rehabilitacji neurologicznej kończyn górnych i kończyn dolnych z biofeedback</w:t>
            </w:r>
          </w:p>
          <w:p w14:paraId="40A4CDC3" w14:textId="77777777" w:rsidR="001B1BA5" w:rsidRPr="001B1BA5" w:rsidRDefault="001B1BA5" w:rsidP="008C71A9">
            <w:pPr>
              <w:pStyle w:val="Akapitzlist"/>
              <w:numPr>
                <w:ilvl w:val="0"/>
                <w:numId w:val="262"/>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p>
          <w:p w14:paraId="0D767D25" w14:textId="77777777" w:rsidR="001B1BA5" w:rsidRPr="001B1BA5" w:rsidRDefault="001B1BA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Cs/>
                <w:sz w:val="20"/>
              </w:rPr>
              <w:t xml:space="preserve">Dodatkowo od 2018 r. w ramach programu POLKARD prowadzony jest </w:t>
            </w:r>
            <w:r w:rsidRPr="001B1BA5">
              <w:rPr>
                <w:rFonts w:ascii="Times New Roman" w:eastAsia="MS Mincho" w:hAnsi="Times New Roman" w:cs="Times New Roman"/>
                <w:bCs/>
                <w:i/>
                <w:iCs/>
                <w:sz w:val="20"/>
              </w:rPr>
              <w:t xml:space="preserve">Ogólnopolski program badań przesiewowych w kierunku tętniaka aorty brzusznej w latach 2018 - 2020. </w:t>
            </w:r>
            <w:r w:rsidRPr="001B1BA5">
              <w:rPr>
                <w:rFonts w:ascii="Times New Roman" w:eastAsia="MS Mincho" w:hAnsi="Times New Roman" w:cs="Times New Roman"/>
                <w:bCs/>
                <w:sz w:val="20"/>
              </w:rPr>
              <w:t xml:space="preserve"> Pacjentom korzystającym z  programu  oferowane jest bezpłatne badanie ultrasonograficzne, którego celem jest stwierdzenie występowania tętniaka aorty brzusznej. Badania wykonywane są u osób w wieku 65 lat i powyżej, u których stwierdzono występowanie co najmniej trzech czynników ryzyka sercowo</w:t>
            </w:r>
            <w:r w:rsidRPr="001B1BA5">
              <w:rPr>
                <w:rFonts w:ascii="Times New Roman" w:eastAsia="MS Mincho" w:hAnsi="Times New Roman" w:cs="Times New Roman"/>
                <w:b/>
                <w:sz w:val="20"/>
                <w:u w:val="single"/>
              </w:rPr>
              <w:t xml:space="preserve"> </w:t>
            </w:r>
            <w:r w:rsidRPr="001B1BA5">
              <w:rPr>
                <w:rFonts w:ascii="Times New Roman" w:eastAsia="MS Mincho" w:hAnsi="Times New Roman" w:cs="Times New Roman"/>
                <w:bCs/>
                <w:sz w:val="20"/>
              </w:rPr>
              <w:t>- naczyniowego spośród następujących: choroba wieńcowa, palenie tytoniu, nadciśnienie tętnicze, hiperlipidemia, płeć męska. W 2019 r. sumaryczna liczba przebadanych osób starszych wyniosła 13 160, wykryto 632 tętniaków o średnicy większej niż 30 mm (pacjentów skierowano do dalszego leczenia lub obserwacji).</w:t>
            </w:r>
          </w:p>
          <w:p w14:paraId="15ABBCFA" w14:textId="77777777" w:rsidR="001B1BA5" w:rsidRPr="001B1BA5" w:rsidRDefault="001B1BA5" w:rsidP="008C71A9">
            <w:pPr>
              <w:pStyle w:val="Akapitzlist"/>
              <w:numPr>
                <w:ilvl w:val="0"/>
                <w:numId w:val="260"/>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
                <w:sz w:val="20"/>
              </w:rPr>
              <w:t>Program Zapobiegania Depresji w Polsce na lata 2016-2020</w:t>
            </w:r>
            <w:r w:rsidRPr="001B1BA5">
              <w:rPr>
                <w:rFonts w:ascii="Times New Roman" w:eastAsia="MS Mincho" w:hAnsi="Times New Roman" w:cs="Times New Roman"/>
                <w:bCs/>
                <w:sz w:val="20"/>
              </w:rPr>
              <w:t xml:space="preserve"> - w ramach programu prowadzona jest kampania profilaktyczna depresji. Jedną ze zdefiniowanych w toku prac grup szczególnie narażonych na wystąpienie depresji są osoby w wieku podeszłym. Działania podjęte w kampanii zostały skierowane do osób w wieku starszym, ale również do osób z ich otoczenia, w tym personelu medycznego.</w:t>
            </w:r>
          </w:p>
          <w:p w14:paraId="787D6FB3" w14:textId="77777777" w:rsidR="001B1BA5" w:rsidRPr="001B1BA5" w:rsidRDefault="001B1BA5" w:rsidP="008C71A9">
            <w:pPr>
              <w:pStyle w:val="Akapitzlist"/>
              <w:numPr>
                <w:ilvl w:val="0"/>
                <w:numId w:val="260"/>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
                <w:sz w:val="20"/>
              </w:rPr>
              <w:t>Narodowy Program Zwalczania Chorób Nowotworowych</w:t>
            </w:r>
            <w:r w:rsidRPr="001B1BA5">
              <w:rPr>
                <w:rFonts w:ascii="Times New Roman" w:eastAsia="MS Mincho" w:hAnsi="Times New Roman" w:cs="Times New Roman"/>
                <w:bCs/>
                <w:sz w:val="20"/>
              </w:rPr>
              <w:t xml:space="preserve"> – w programie realizowane były działania profilaktyczne dla osób starszych takie jak: </w:t>
            </w:r>
          </w:p>
          <w:p w14:paraId="7F331EA9" w14:textId="77777777" w:rsidR="001B1BA5" w:rsidRPr="001B1BA5" w:rsidRDefault="001B1BA5" w:rsidP="008C71A9">
            <w:pPr>
              <w:pStyle w:val="Akapitzlist"/>
              <w:numPr>
                <w:ilvl w:val="0"/>
                <w:numId w:val="263"/>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Cs/>
                <w:sz w:val="20"/>
              </w:rPr>
              <w:lastRenderedPageBreak/>
              <w:t xml:space="preserve">program badań przesiewowych raka jelita grubego, </w:t>
            </w:r>
          </w:p>
          <w:p w14:paraId="672C2451" w14:textId="77777777" w:rsidR="001B1BA5" w:rsidRPr="001B1BA5" w:rsidRDefault="001B1BA5" w:rsidP="008C71A9">
            <w:pPr>
              <w:pStyle w:val="Akapitzlist"/>
              <w:numPr>
                <w:ilvl w:val="0"/>
                <w:numId w:val="263"/>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Cs/>
                <w:sz w:val="20"/>
              </w:rPr>
              <w:t>program opieki nad rodzinami wysokiego, dziedzicznie uwarunkowanego ryzyka zachorowania na nowotwory złośliwe.</w:t>
            </w:r>
          </w:p>
          <w:p w14:paraId="237A190F" w14:textId="77777777" w:rsidR="001B1BA5" w:rsidRPr="001B1BA5" w:rsidRDefault="001B1BA5" w:rsidP="008C71A9">
            <w:pPr>
              <w:pStyle w:val="Akapitzlist"/>
              <w:numPr>
                <w:ilvl w:val="0"/>
                <w:numId w:val="261"/>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
                <w:sz w:val="20"/>
              </w:rPr>
              <w:t xml:space="preserve">Program Leki 75+ jest </w:t>
            </w:r>
            <w:r w:rsidRPr="001B1BA5">
              <w:rPr>
                <w:rFonts w:ascii="Times New Roman" w:eastAsia="MS Mincho" w:hAnsi="Times New Roman" w:cs="Times New Roman"/>
                <w:bCs/>
                <w:sz w:val="20"/>
              </w:rPr>
              <w:t>odpowiedzią na potrzeby osób starszych, związane z koniecznością leczenia wielu chorób charakterystycznych dla wieku oraz chorób współistniejących.</w:t>
            </w:r>
          </w:p>
          <w:p w14:paraId="1E2021ED" w14:textId="77777777" w:rsidR="001B1BA5" w:rsidRPr="001B1BA5" w:rsidRDefault="001B1BA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highlight w:val="green"/>
              </w:rPr>
            </w:pPr>
          </w:p>
          <w:p w14:paraId="51C253E5" w14:textId="77777777" w:rsidR="001B1BA5" w:rsidRPr="001B1BA5" w:rsidRDefault="001B1BA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Cs/>
                <w:sz w:val="20"/>
              </w:rPr>
              <w:t xml:space="preserve">W 2019 r. oceniono </w:t>
            </w:r>
            <w:r w:rsidRPr="001B1BA5">
              <w:rPr>
                <w:sz w:val="20"/>
              </w:rPr>
              <w:t xml:space="preserve"> </w:t>
            </w:r>
            <w:r w:rsidRPr="001B1BA5">
              <w:rPr>
                <w:rFonts w:ascii="Times New Roman" w:eastAsia="MS Mincho" w:hAnsi="Times New Roman" w:cs="Times New Roman"/>
                <w:bCs/>
                <w:sz w:val="20"/>
              </w:rPr>
              <w:t>poziom dostępności do refundowanych leków, środków spożywczych specjalnego przeznaczenia żywieniowego oraz wyrobów medycznych w ramach programu. Do obliczenia miernika wykorzystano liczbę świadczeniobiorców, którzy zrealizowali receptę na leki, środki spożywcze specjalnego przeznaczenia żywieniowego oraz wyroby medyczne w ramach programu.</w:t>
            </w:r>
          </w:p>
          <w:p w14:paraId="27194705" w14:textId="77777777" w:rsidR="001B1BA5" w:rsidRPr="001B1BA5" w:rsidRDefault="001B1BA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p>
          <w:p w14:paraId="0FC64198" w14:textId="77777777" w:rsidR="001B1BA5" w:rsidRDefault="001B1BA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1BA5">
              <w:rPr>
                <w:rFonts w:ascii="Times New Roman" w:eastAsia="MS Mincho" w:hAnsi="Times New Roman" w:cs="Times New Roman"/>
                <w:bCs/>
                <w:sz w:val="20"/>
              </w:rPr>
              <w:t>Dane do wyliczenia wartości miernika przekazał Narodowy Fundusz Zdrowia w formie comiesięcznych zestawień liczby świadczeniobiorców (niepowtarzających się numerów PESEL), którzy zrealizowali zaopatrzenie w leki, środki spożywcze specjalnego przeznaczenia żywieniowego oraz wyroby medyczne przysługujące im na podstawie ustawy z dnia 27 sierpnia 2004 r. o świadczeniach opieki zdrowotnej finansowanych ze środków publicznych  (Dz. U. z 2019 r. poz. 1373, z późn. zm.).</w:t>
            </w:r>
          </w:p>
          <w:p w14:paraId="43CF0F3A" w14:textId="77777777" w:rsidR="001B1BA5" w:rsidRPr="001B1BA5" w:rsidRDefault="001B1BA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p>
          <w:p w14:paraId="798807F2" w14:textId="77777777" w:rsidR="00311D18" w:rsidRPr="00D24DF9" w:rsidRDefault="001B1BA5"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8176B2">
              <w:rPr>
                <w:rFonts w:ascii="Times New Roman" w:eastAsia="MS Mincho" w:hAnsi="Times New Roman" w:cs="Times New Roman"/>
                <w:bCs/>
              </w:rPr>
              <w:t>Wykonanie miernika 20.3.3.3 w 2019 r. wyniosło  96,62%</w:t>
            </w:r>
          </w:p>
        </w:tc>
      </w:tr>
      <w:tr w:rsidR="005F3D4B" w:rsidRPr="00D24DF9" w14:paraId="5FC84395"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EC25B2A"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6130346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Tworzenie infrastruktury i usług </w:t>
            </w:r>
            <w:r w:rsidRPr="00D24DF9">
              <w:rPr>
                <w:rFonts w:ascii="Times New Roman" w:eastAsia="MS Mincho" w:hAnsi="Times New Roman"/>
                <w:sz w:val="20"/>
              </w:rPr>
              <w:br/>
              <w:t>dla rozwoju aktywności prozdrowotnej ze szczególnym uwzględnieniem najstarszych grup wiek</w:t>
            </w:r>
          </w:p>
        </w:tc>
        <w:tc>
          <w:tcPr>
            <w:tcW w:w="2032" w:type="dxa"/>
            <w:vMerge w:val="restart"/>
          </w:tcPr>
          <w:p w14:paraId="1156F43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4FE4911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0E9E08E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utworzonej nowej infrastruktury i usług dla rozwoju aktywności prozdrowotnej ze szczególnym uwzględnieniem najstarszych grup wieku</w:t>
            </w:r>
          </w:p>
        </w:tc>
      </w:tr>
      <w:tr w:rsidR="005F3D4B" w:rsidRPr="00D24DF9" w14:paraId="16E34002" w14:textId="77777777" w:rsidTr="004D48DD">
        <w:trPr>
          <w:cnfStyle w:val="000000100000" w:firstRow="0" w:lastRow="0" w:firstColumn="0" w:lastColumn="0" w:oddVBand="0" w:evenVBand="0" w:oddHBand="1" w:evenHBand="0" w:firstRowFirstColumn="0" w:firstRowLastColumn="0" w:lastRowFirstColumn="0" w:lastRowLastColumn="0"/>
          <w:trHeight w:val="922"/>
        </w:trPr>
        <w:tc>
          <w:tcPr>
            <w:cnfStyle w:val="001000000000" w:firstRow="0" w:lastRow="0" w:firstColumn="1" w:lastColumn="0" w:oddVBand="0" w:evenVBand="0" w:oddHBand="0" w:evenHBand="0" w:firstRowFirstColumn="0" w:firstRowLastColumn="0" w:lastRowFirstColumn="0" w:lastRowLastColumn="0"/>
            <w:tcW w:w="1232" w:type="dxa"/>
            <w:vMerge/>
          </w:tcPr>
          <w:p w14:paraId="20D597C7" w14:textId="77777777" w:rsidR="00311D18" w:rsidRPr="00D24DF9" w:rsidRDefault="00311D18" w:rsidP="003C1988">
            <w:pPr>
              <w:spacing w:after="0"/>
              <w:rPr>
                <w:rFonts w:ascii="Times New Roman" w:hAnsi="Times New Roman" w:cs="Times New Roman"/>
                <w:sz w:val="20"/>
              </w:rPr>
            </w:pPr>
          </w:p>
        </w:tc>
        <w:tc>
          <w:tcPr>
            <w:tcW w:w="3594" w:type="dxa"/>
            <w:vMerge/>
          </w:tcPr>
          <w:p w14:paraId="3D2C6F4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CB6DE2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E753757"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31D8CEDC" w14:textId="77777777" w:rsidR="001B7CB3" w:rsidRPr="001B7CB3" w:rsidRDefault="001B7CB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7CB3">
              <w:rPr>
                <w:rFonts w:ascii="Times New Roman" w:eastAsia="MS Mincho" w:hAnsi="Times New Roman" w:cs="Times New Roman"/>
                <w:bCs/>
                <w:sz w:val="20"/>
              </w:rPr>
              <w:t>MZ aktualnie realizuje 2 zadania inwestycyjne:</w:t>
            </w:r>
          </w:p>
          <w:p w14:paraId="6584A7FC" w14:textId="77777777" w:rsidR="001B7CB3" w:rsidRPr="001B7CB3" w:rsidRDefault="001B7CB3" w:rsidP="008C71A9">
            <w:pPr>
              <w:numPr>
                <w:ilvl w:val="0"/>
                <w:numId w:val="26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1B7CB3">
              <w:rPr>
                <w:rFonts w:ascii="Times New Roman" w:eastAsia="MS Mincho" w:hAnsi="Times New Roman" w:cs="Times New Roman"/>
                <w:bCs/>
                <w:sz w:val="20"/>
              </w:rPr>
              <w:t xml:space="preserve">zadanie pn.  </w:t>
            </w:r>
            <w:r w:rsidRPr="001B7CB3">
              <w:rPr>
                <w:rFonts w:ascii="Times New Roman" w:eastAsia="MS Mincho" w:hAnsi="Times New Roman" w:cs="Times New Roman"/>
                <w:bCs/>
                <w:i/>
                <w:iCs/>
                <w:sz w:val="20"/>
              </w:rPr>
              <w:t>Modernizacja Klinik i Budynków Narodowego Instytutu Geriatrii Reumatologii i Rehabilitacji</w:t>
            </w:r>
            <w:r w:rsidRPr="001B7CB3">
              <w:rPr>
                <w:rFonts w:ascii="Times New Roman" w:eastAsia="MS Mincho" w:hAnsi="Times New Roman" w:cs="Times New Roman"/>
                <w:bCs/>
                <w:sz w:val="20"/>
              </w:rPr>
              <w:t xml:space="preserve">, w ramach którego  zrealizowano prace adaptacyjne na potrzeby Kliniki i Polikliniki Reumoortopedii dla funkcji Klinik Geriatrii i </w:t>
            </w:r>
            <w:r w:rsidRPr="001B7CB3">
              <w:rPr>
                <w:rFonts w:ascii="Times New Roman" w:eastAsia="MS Mincho" w:hAnsi="Times New Roman" w:cs="Times New Roman"/>
                <w:bCs/>
                <w:sz w:val="20"/>
              </w:rPr>
              <w:lastRenderedPageBreak/>
              <w:t>Reumatologii. Adoptowana powierzchnia: 721,43 m2, liczba pomieszczeń: 34, liczba łóżek: 46.</w:t>
            </w:r>
          </w:p>
          <w:p w14:paraId="2D2D5520" w14:textId="77777777" w:rsidR="001B7CB3" w:rsidRPr="001B7CB3" w:rsidRDefault="001B7CB3" w:rsidP="008C71A9">
            <w:pPr>
              <w:numPr>
                <w:ilvl w:val="0"/>
                <w:numId w:val="264"/>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u w:val="single"/>
              </w:rPr>
            </w:pPr>
            <w:r w:rsidRPr="001B7CB3">
              <w:rPr>
                <w:rFonts w:ascii="Times New Roman" w:eastAsia="MS Mincho" w:hAnsi="Times New Roman" w:cs="Times New Roman"/>
                <w:bCs/>
                <w:sz w:val="20"/>
              </w:rPr>
              <w:t xml:space="preserve">zadanie pn. </w:t>
            </w:r>
            <w:r w:rsidRPr="001B7CB3">
              <w:rPr>
                <w:rFonts w:ascii="Times New Roman" w:eastAsia="MS Mincho" w:hAnsi="Times New Roman" w:cs="Times New Roman"/>
                <w:bCs/>
                <w:i/>
                <w:iCs/>
                <w:sz w:val="20"/>
              </w:rPr>
              <w:t xml:space="preserve">Śląski Ośrodek Kliniczno-Naukowy Zapobiegania i Leczenia Chorób Środowiskowych, Cywilizacyjnych i Wieku Podeszłego im. prof. Zbigniewa Religi w Zabrzu. </w:t>
            </w:r>
            <w:r w:rsidRPr="001B7CB3">
              <w:rPr>
                <w:rFonts w:ascii="Times New Roman" w:eastAsia="MS Mincho" w:hAnsi="Times New Roman" w:cs="Times New Roman"/>
                <w:bCs/>
                <w:sz w:val="20"/>
              </w:rPr>
              <w:t>Docelowa liczba łóżek: 138, z czego 17 na Oddziale Kardiologii – Chorób Środowiskowych i Cywilizacyjnych oraz Wieku Podeszłego w chorobach serca, płuc i naczyń.</w:t>
            </w:r>
          </w:p>
          <w:p w14:paraId="3F2779A7" w14:textId="77777777" w:rsidR="001B7CB3" w:rsidRPr="001B7CB3" w:rsidRDefault="001B7CB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highlight w:val="green"/>
              </w:rPr>
            </w:pPr>
          </w:p>
          <w:p w14:paraId="6872CB04" w14:textId="77777777" w:rsidR="00311D18" w:rsidRPr="00D24DF9" w:rsidRDefault="001B7CB3"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1B7CB3">
              <w:rPr>
                <w:rFonts w:ascii="Times New Roman" w:eastAsia="MS Mincho" w:hAnsi="Times New Roman" w:cs="Times New Roman"/>
                <w:bCs/>
                <w:sz w:val="20"/>
              </w:rPr>
              <w:t xml:space="preserve"> Także w Regionalnych Programach Operacyjnych współfinansowanych ze środków europejskich udzielane jest wsparcie z zakresu usług zdrowotnych dla osób starszych. Realizowane jest ono w największym stopniu w ramach Narzędzia 18 Krajowych Ram Strategicznych. Policy Paper dla Ochrony Zdrowia na lata 2014 – 2020: </w:t>
            </w:r>
            <w:r w:rsidRPr="001B7CB3">
              <w:rPr>
                <w:rFonts w:ascii="Times New Roman" w:eastAsia="MS Mincho" w:hAnsi="Times New Roman" w:cs="Times New Roman"/>
                <w:bCs/>
                <w:i/>
                <w:iCs/>
                <w:sz w:val="20"/>
              </w:rPr>
              <w:t>Wsparcie deinstytucjonalizacji opieki nad osobami zależnymi, w szczególności poprzez rozwój alternatywnych form opieki nad osobami niesamodzielnymi (w tym osobami starszymi)</w:t>
            </w:r>
            <w:r w:rsidRPr="001B7CB3">
              <w:rPr>
                <w:rFonts w:ascii="Times New Roman" w:eastAsia="MS Mincho" w:hAnsi="Times New Roman" w:cs="Times New Roman"/>
                <w:bCs/>
                <w:sz w:val="20"/>
              </w:rPr>
              <w:t>. Instytucje Zarządzające RPO zgłosiły do realizacji w 2019 r. 16 konkursów na kwotę ok. 287 mln zł (w tym wkład UE ok. 235 mln zł). Konkursy dotyczyły przede wszystkim utworzenia Dziennych Domów Opieki Medycznej (DDOM) oraz działań w zakresie deinstytucjonalizacji opieki.</w:t>
            </w:r>
          </w:p>
        </w:tc>
      </w:tr>
      <w:tr w:rsidR="005F3D4B" w:rsidRPr="00D24DF9" w14:paraId="6F1E5C7C"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71B4141"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BA31AC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Rozwijanie telemedycyny, w tym teleopieki:</w:t>
            </w:r>
          </w:p>
          <w:p w14:paraId="1B46242C" w14:textId="77777777" w:rsidR="00311D18" w:rsidRPr="00D24DF9" w:rsidRDefault="00311D18" w:rsidP="00B14DF0">
            <w:pPr>
              <w:pStyle w:val="Kolorowalistaakcent11"/>
              <w:numPr>
                <w:ilvl w:val="0"/>
                <w:numId w:val="31"/>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upowszechnienie różnych form teleopieki i telekonsultacji;</w:t>
            </w:r>
          </w:p>
          <w:p w14:paraId="6CE67F74" w14:textId="77777777" w:rsidR="00311D18" w:rsidRPr="00D24DF9" w:rsidRDefault="00311D18" w:rsidP="00B14DF0">
            <w:pPr>
              <w:pStyle w:val="Kolorowalistaakcent11"/>
              <w:numPr>
                <w:ilvl w:val="0"/>
                <w:numId w:val="31"/>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rozwój rozwiązań w zakresie </w:t>
            </w:r>
            <w:r w:rsidRPr="00D24DF9">
              <w:rPr>
                <w:rFonts w:ascii="Times New Roman" w:eastAsia="MS Mincho" w:hAnsi="Times New Roman"/>
                <w:i/>
                <w:sz w:val="20"/>
              </w:rPr>
              <w:t>mobile health.</w:t>
            </w:r>
          </w:p>
        </w:tc>
        <w:tc>
          <w:tcPr>
            <w:tcW w:w="2032" w:type="dxa"/>
            <w:vMerge w:val="restart"/>
          </w:tcPr>
          <w:p w14:paraId="61B46C5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61AC3DE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27CFEF5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działań podjętych w celu rozwoju telemedycyny, w tym teleopieki</w:t>
            </w:r>
          </w:p>
        </w:tc>
      </w:tr>
      <w:tr w:rsidR="005F3D4B" w:rsidRPr="00D24DF9" w14:paraId="18B7C916"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ACEE67F" w14:textId="77777777" w:rsidR="00311D18" w:rsidRPr="00D24DF9" w:rsidRDefault="00311D18" w:rsidP="003C1988">
            <w:pPr>
              <w:spacing w:after="0"/>
              <w:rPr>
                <w:rFonts w:ascii="Times New Roman" w:hAnsi="Times New Roman" w:cs="Times New Roman"/>
                <w:sz w:val="20"/>
              </w:rPr>
            </w:pPr>
          </w:p>
        </w:tc>
        <w:tc>
          <w:tcPr>
            <w:tcW w:w="3594" w:type="dxa"/>
            <w:vMerge/>
          </w:tcPr>
          <w:p w14:paraId="6E6D943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7CDCDCF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40161D3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2B6AA776" w14:textId="77777777" w:rsidR="00A80DF0" w:rsidRPr="00A80DF0" w:rsidRDefault="00A80DF0" w:rsidP="008C71A9">
            <w:pPr>
              <w:pStyle w:val="Akapitzlist"/>
              <w:numPr>
                <w:ilvl w:val="0"/>
                <w:numId w:val="26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Przygotowanie do realizacji projektu telemedycznego w ramach Norweskiego Mechanizmu Finansowego 2014-2020:</w:t>
            </w:r>
          </w:p>
          <w:p w14:paraId="35A7185C" w14:textId="77777777" w:rsidR="00A80DF0" w:rsidRPr="00A80DF0" w:rsidRDefault="00A80DF0" w:rsidP="008C71A9">
            <w:pPr>
              <w:pStyle w:val="Akapitzlist"/>
              <w:numPr>
                <w:ilvl w:val="0"/>
                <w:numId w:val="265"/>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 xml:space="preserve">w latach 2018-2020 trwały uzgodnienia z darczyńcami, </w:t>
            </w:r>
          </w:p>
          <w:p w14:paraId="665E47A1" w14:textId="77777777" w:rsidR="00A80DF0" w:rsidRPr="00A80DF0" w:rsidRDefault="00A80DF0" w:rsidP="008C71A9">
            <w:pPr>
              <w:pStyle w:val="Akapitzlist"/>
              <w:numPr>
                <w:ilvl w:val="0"/>
                <w:numId w:val="265"/>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 xml:space="preserve">w maju 2020 r. projekt został uruchomiony, jego realizacja zakończy się w 2024 r. </w:t>
            </w:r>
          </w:p>
          <w:p w14:paraId="49EECCE5" w14:textId="77777777" w:rsidR="00A80DF0" w:rsidRPr="00A80DF0" w:rsidRDefault="00A80DF0" w:rsidP="003C1988">
            <w:pPr>
              <w:spacing w:after="0"/>
              <w:ind w:left="708"/>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9374C20" w14:textId="77777777" w:rsidR="00A80DF0" w:rsidRPr="00A80DF0" w:rsidRDefault="00A80DF0"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 xml:space="preserve">Celem projektu jest opracowanie modeli procedur telemedycznych przez ekspertów polskich i norweskich w obszarach: kardiologii, geriatrii, psychiatrii, położnictwa, diabetologii, opieki paliatywnej oraz chorób przewlekłych, które następnie zostaną pilotażowo </w:t>
            </w:r>
            <w:r w:rsidRPr="00A80DF0">
              <w:rPr>
                <w:rFonts w:ascii="Times New Roman" w:hAnsi="Times New Roman" w:cs="Times New Roman"/>
                <w:sz w:val="20"/>
                <w:szCs w:val="20"/>
              </w:rPr>
              <w:lastRenderedPageBreak/>
              <w:t>wdrożone przez szpitale i instytuty badawcze wyłonione w procedurze konkursowej.</w:t>
            </w:r>
          </w:p>
          <w:p w14:paraId="097046CA" w14:textId="77777777" w:rsidR="00A80DF0" w:rsidRPr="00A80DF0" w:rsidRDefault="00A80DF0"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33585AB9" w14:textId="77777777" w:rsidR="00A80DF0" w:rsidRPr="00A80DF0" w:rsidRDefault="00A80DF0"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Kolejnym krokiem będzie przeprowadzenie ewaluacji pilotażu, która ma na celu wypracowanie rekomendacji dotyczących ewentualnego finansowania ze środków publicznych najbardziej skutecznych i efektywnych kosztowo procedur. Podejmowane działania mają przyczynić się do podniesienia jakości życia osób starszych w Polsce i zwiększenia dostępności usług medycznych.</w:t>
            </w:r>
          </w:p>
          <w:p w14:paraId="5F9D2C8B" w14:textId="77777777" w:rsidR="00A80DF0" w:rsidRPr="00A80DF0" w:rsidRDefault="00A80DF0"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2BC2B953" w14:textId="77777777" w:rsidR="00A80DF0" w:rsidRPr="00A80DF0" w:rsidRDefault="00A80DF0" w:rsidP="008C71A9">
            <w:pPr>
              <w:pStyle w:val="Akapitzlist"/>
              <w:numPr>
                <w:ilvl w:val="0"/>
                <w:numId w:val="26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 xml:space="preserve">Ponadto, w 2019 r. rozpoczęto realizację projektu pn. </w:t>
            </w:r>
            <w:r w:rsidRPr="00A80DF0">
              <w:rPr>
                <w:rFonts w:ascii="Times New Roman" w:hAnsi="Times New Roman" w:cs="Times New Roman"/>
                <w:b/>
                <w:bCs/>
                <w:sz w:val="20"/>
                <w:szCs w:val="20"/>
              </w:rPr>
              <w:t>Dostępność Plus dla zdrowia</w:t>
            </w:r>
            <w:r w:rsidRPr="00A80DF0">
              <w:rPr>
                <w:rFonts w:ascii="Times New Roman" w:hAnsi="Times New Roman" w:cs="Times New Roman"/>
                <w:sz w:val="20"/>
                <w:szCs w:val="20"/>
              </w:rPr>
              <w:t xml:space="preserve"> w ramach Programu Operacyjnego Wiedza Edukacja Rozwój. Projekt ma na celu wdrożenie działań projakościowych w systemie ochrony zdrowia związanych z dostosowaniem placówek medycznych głównie do potrzeb osób z niepełnosprawnościami oraz osób starszych. Projekt obejmie wsparciem 50 szpitali oraz 250 POZ. Jednym z komponentów poprawy dostępności ww. podmiotów jest komponent cyfrowy, który uwzględnia takie elementy, jak:</w:t>
            </w:r>
          </w:p>
          <w:p w14:paraId="684C5D0C" w14:textId="77777777" w:rsidR="00A80DF0" w:rsidRPr="00A80DF0" w:rsidRDefault="00A80DF0" w:rsidP="008C71A9">
            <w:pPr>
              <w:pStyle w:val="Akapitzlist"/>
              <w:numPr>
                <w:ilvl w:val="0"/>
                <w:numId w:val="267"/>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 xml:space="preserve">stworzenie/zoptymalizowanie systemów IT uwzględniających szczególne potrzeby pacjentów, w tym wdrożenie rozwiązań telemedycznych w POZ i szpitalach; </w:t>
            </w:r>
          </w:p>
          <w:p w14:paraId="549A8287" w14:textId="77777777" w:rsidR="00A80DF0" w:rsidRPr="00A80DF0" w:rsidRDefault="00A80DF0" w:rsidP="008C71A9">
            <w:pPr>
              <w:pStyle w:val="Akapitzlist"/>
              <w:numPr>
                <w:ilvl w:val="0"/>
                <w:numId w:val="267"/>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podniesienie dojrzałości cyfrowej placówek w zakresie wsparcia pacjentów ze szczególnymi potrzebami, w tym tworzenie stron internetowych spełniających wymagania WCAG 2.1, aplikacji mobilnych czy e-rejestracji.</w:t>
            </w:r>
          </w:p>
          <w:p w14:paraId="468E67D5" w14:textId="77777777" w:rsidR="00A80DF0" w:rsidRPr="00A80DF0" w:rsidRDefault="00A80DF0" w:rsidP="003C1988">
            <w:pPr>
              <w:pStyle w:val="Akapitzlist"/>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60323AB5" w14:textId="77777777" w:rsidR="00A80DF0" w:rsidRPr="00A80DF0" w:rsidRDefault="00A80DF0" w:rsidP="008C71A9">
            <w:pPr>
              <w:pStyle w:val="Akapitzlist"/>
              <w:numPr>
                <w:ilvl w:val="0"/>
                <w:numId w:val="266"/>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bookmarkStart w:id="162" w:name="_Hlk43965344"/>
            <w:r w:rsidRPr="00A80DF0">
              <w:rPr>
                <w:rFonts w:ascii="Times New Roman" w:eastAsia="MS Mincho" w:hAnsi="Times New Roman" w:cs="Times New Roman"/>
                <w:bCs/>
                <w:sz w:val="20"/>
                <w:szCs w:val="20"/>
              </w:rPr>
              <w:t>W ramach projektu e-Zdrowie (P1) rozwijane były usługi dedykowane pacjentom w zakresie e-recepty oraz e-skierowania. Szeroka akcja informacyjna oraz spotkania informacyjne dla seniorów promowały logowanie do Internetowego Konta Pacjenta (pacjent.gov.pl). Dzięki</w:t>
            </w:r>
            <w:r w:rsidRPr="00A80DF0">
              <w:rPr>
                <w:rFonts w:ascii="Times New Roman" w:eastAsia="MS Mincho" w:hAnsi="Times New Roman" w:cs="Times New Roman"/>
                <w:b/>
                <w:sz w:val="20"/>
                <w:szCs w:val="20"/>
              </w:rPr>
              <w:t xml:space="preserve"> </w:t>
            </w:r>
            <w:r w:rsidRPr="00A80DF0">
              <w:rPr>
                <w:rFonts w:ascii="Times New Roman" w:eastAsia="MS Mincho" w:hAnsi="Times New Roman" w:cs="Times New Roman"/>
                <w:bCs/>
                <w:sz w:val="20"/>
                <w:szCs w:val="20"/>
              </w:rPr>
              <w:t>usługom e-recepty oraz IKP pacjenci mogli otrzymać np. e-receptę (kod wysłany sms) bez konieczności wizyty u lekarza w sytuacji gdy przyjmują leki na stałe.</w:t>
            </w:r>
          </w:p>
          <w:bookmarkEnd w:id="162"/>
          <w:p w14:paraId="020313EA" w14:textId="77777777" w:rsidR="00A80DF0" w:rsidRPr="00A80DF0" w:rsidRDefault="00A80DF0"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p>
          <w:p w14:paraId="4B1FA989" w14:textId="12D54918" w:rsidR="00311D18" w:rsidRPr="00D24DF9" w:rsidRDefault="00A80DF0"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A80DF0">
              <w:rPr>
                <w:rFonts w:ascii="Times New Roman" w:eastAsia="MS Mincho" w:hAnsi="Times New Roman" w:cs="Times New Roman"/>
                <w:bCs/>
                <w:sz w:val="20"/>
                <w:szCs w:val="20"/>
              </w:rPr>
              <w:lastRenderedPageBreak/>
              <w:t xml:space="preserve">Jednocześnie, w ramach aktywnego uczestnictwa we wdrożeniu nowych technologii w ochronie zdrowia Narodowy Instytut Geriatrii Reumatologii i Rehabilitacji nawiązał współpracę z Narodowym Instytutem Seniora, w zakresie wspólnego zaangażowania w działania związane z upowszechnianiem innowacyjnych systemów monitorowania stanu zdrowia i zachowań prozdrowotnych osób starszych, poprzez </w:t>
            </w:r>
            <w:r w:rsidRPr="00A80DF0">
              <w:rPr>
                <w:bCs/>
                <w:sz w:val="20"/>
                <w:szCs w:val="20"/>
              </w:rPr>
              <w:t xml:space="preserve"> </w:t>
            </w:r>
            <w:r w:rsidRPr="00A80DF0">
              <w:rPr>
                <w:rFonts w:ascii="Times New Roman" w:eastAsia="MS Mincho" w:hAnsi="Times New Roman" w:cs="Times New Roman"/>
                <w:bCs/>
                <w:sz w:val="20"/>
                <w:szCs w:val="20"/>
              </w:rPr>
              <w:t xml:space="preserve">wykorzystanie metod teleprofilaktyki i telemedycyny. Wspólny projekt zakładać będzie m. in. inicjowanie i rozwijanie współpracy między organami rządowymi, samorządowymi, jednostkami naukowo-badawczymi, organizacjami przedsiębiorcami w promowaniu podejmowania świadczenia usług teleprofilaktycznych, telemedycznych, </w:t>
            </w:r>
            <w:r w:rsidR="00CC582D" w:rsidRPr="00A80DF0">
              <w:rPr>
                <w:rFonts w:ascii="Times New Roman" w:eastAsia="MS Mincho" w:hAnsi="Times New Roman" w:cs="Times New Roman"/>
                <w:bCs/>
                <w:sz w:val="20"/>
                <w:szCs w:val="20"/>
              </w:rPr>
              <w:t>teleopiekuńczych</w:t>
            </w:r>
            <w:r w:rsidRPr="00A80DF0">
              <w:rPr>
                <w:rFonts w:ascii="Times New Roman" w:eastAsia="MS Mincho" w:hAnsi="Times New Roman" w:cs="Times New Roman"/>
                <w:bCs/>
                <w:sz w:val="20"/>
                <w:szCs w:val="20"/>
              </w:rPr>
              <w:t xml:space="preserve"> i wspierania ludzi starszych za pomocą narzędzi pozwalających na zbudowanie spersonalizowanego programu profilaktycznego m.in. poprzez monitoring stanu zdrowia (telenadzór), rozwijanie świadomości zdrowotnej seniorów oraz promocję zdrowego stylu życia.</w:t>
            </w:r>
          </w:p>
        </w:tc>
      </w:tr>
      <w:tr w:rsidR="005F3D4B" w:rsidRPr="00D24DF9" w14:paraId="28355616"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DAA1314"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60AAC80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Ułatwienie dostępu do materiałów </w:t>
            </w:r>
            <w:r w:rsidRPr="00D24DF9">
              <w:rPr>
                <w:rFonts w:ascii="Times New Roman" w:eastAsia="MS Mincho" w:hAnsi="Times New Roman"/>
                <w:sz w:val="20"/>
              </w:rPr>
              <w:br/>
              <w:t>i sprzętu oraz świadczeń opieki zdrowotnej, wyrobów medycznych rekompensujących utraconą sprawność</w:t>
            </w:r>
          </w:p>
        </w:tc>
        <w:tc>
          <w:tcPr>
            <w:tcW w:w="2032" w:type="dxa"/>
            <w:vMerge w:val="restart"/>
          </w:tcPr>
          <w:p w14:paraId="12C94FC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p w14:paraId="5006297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Rozwoju </w:t>
            </w:r>
          </w:p>
        </w:tc>
        <w:tc>
          <w:tcPr>
            <w:tcW w:w="1500" w:type="dxa"/>
            <w:vMerge w:val="restart"/>
          </w:tcPr>
          <w:p w14:paraId="177249A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tcPr>
          <w:p w14:paraId="167F2ED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Poziom zaspokojenia potrzeb osób korzystających z materiałów i sprzętu oraz świadczeń opieki zdrowotnej, wyrobów medycznych rekompensujących utraconą sprawność</w:t>
            </w:r>
          </w:p>
        </w:tc>
      </w:tr>
      <w:tr w:rsidR="005F3D4B" w:rsidRPr="00D24DF9" w14:paraId="29E17773" w14:textId="77777777" w:rsidTr="004D48DD">
        <w:trPr>
          <w:cnfStyle w:val="000000100000" w:firstRow="0" w:lastRow="0" w:firstColumn="0" w:lastColumn="0" w:oddVBand="0" w:evenVBand="0" w:oddHBand="1" w:evenHBand="0" w:firstRowFirstColumn="0" w:firstRowLastColumn="0" w:lastRowFirstColumn="0" w:lastRowLastColumn="0"/>
          <w:trHeight w:val="2403"/>
        </w:trPr>
        <w:tc>
          <w:tcPr>
            <w:cnfStyle w:val="001000000000" w:firstRow="0" w:lastRow="0" w:firstColumn="1" w:lastColumn="0" w:oddVBand="0" w:evenVBand="0" w:oddHBand="0" w:evenHBand="0" w:firstRowFirstColumn="0" w:firstRowLastColumn="0" w:lastRowFirstColumn="0" w:lastRowLastColumn="0"/>
            <w:tcW w:w="1232" w:type="dxa"/>
            <w:vMerge/>
          </w:tcPr>
          <w:p w14:paraId="21344B42" w14:textId="77777777" w:rsidR="00311D18" w:rsidRPr="00D24DF9" w:rsidRDefault="00311D18" w:rsidP="003C1988">
            <w:pPr>
              <w:spacing w:after="0"/>
              <w:rPr>
                <w:rFonts w:ascii="Times New Roman" w:hAnsi="Times New Roman" w:cs="Times New Roman"/>
                <w:sz w:val="20"/>
              </w:rPr>
            </w:pPr>
          </w:p>
        </w:tc>
        <w:tc>
          <w:tcPr>
            <w:tcW w:w="3594" w:type="dxa"/>
            <w:vMerge/>
          </w:tcPr>
          <w:p w14:paraId="6E37DE7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705E83F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74F9D45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2F537182" w14:textId="77777777" w:rsidR="00A80DF0" w:rsidRPr="00A80DF0" w:rsidRDefault="00A80DF0" w:rsidP="008C71A9">
            <w:pPr>
              <w:pStyle w:val="Akapitzlist"/>
              <w:numPr>
                <w:ilvl w:val="0"/>
                <w:numId w:val="26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A80DF0">
              <w:rPr>
                <w:rFonts w:ascii="Times New Roman" w:eastAsia="MS Mincho" w:hAnsi="Times New Roman" w:cs="Times New Roman"/>
                <w:bCs/>
                <w:sz w:val="20"/>
                <w:szCs w:val="20"/>
              </w:rPr>
              <w:t>Zmiana rozporządzenia Ministra Zdrowia w sprawie wykazu wyrobów medycznych wydawanych na zlecenie (Dz. U. z 2019 r. poz. 1899) poprzez rozszerzenie katalogu osób uprawnionych do</w:t>
            </w:r>
            <w:r w:rsidRPr="00A80DF0">
              <w:rPr>
                <w:sz w:val="20"/>
                <w:szCs w:val="20"/>
              </w:rPr>
              <w:t xml:space="preserve"> </w:t>
            </w:r>
            <w:r w:rsidRPr="00A80DF0">
              <w:rPr>
                <w:rFonts w:ascii="Times New Roman" w:eastAsia="MS Mincho" w:hAnsi="Times New Roman" w:cs="Times New Roman"/>
                <w:bCs/>
                <w:sz w:val="20"/>
                <w:szCs w:val="20"/>
              </w:rPr>
              <w:t>wystawiania zleceń na wyroby medyczne:</w:t>
            </w:r>
          </w:p>
          <w:p w14:paraId="2F365DB9" w14:textId="77777777" w:rsidR="00A80DF0" w:rsidRPr="00A80DF0" w:rsidRDefault="00A80DF0" w:rsidP="008C71A9">
            <w:pPr>
              <w:pStyle w:val="Akapitzlist"/>
              <w:numPr>
                <w:ilvl w:val="0"/>
                <w:numId w:val="269"/>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A80DF0">
              <w:rPr>
                <w:rFonts w:ascii="Times New Roman" w:eastAsia="MS Mincho" w:hAnsi="Times New Roman" w:cs="Times New Roman"/>
                <w:bCs/>
                <w:sz w:val="20"/>
                <w:szCs w:val="20"/>
              </w:rPr>
              <w:t>z grupy A–I, K oraz N – o specjalistę w dziedzinie fizjoterapii.</w:t>
            </w:r>
          </w:p>
          <w:p w14:paraId="53B63F59" w14:textId="77777777" w:rsidR="00A80DF0" w:rsidRPr="00A80DF0" w:rsidRDefault="00A80DF0" w:rsidP="008C71A9">
            <w:pPr>
              <w:pStyle w:val="Akapitzlist"/>
              <w:numPr>
                <w:ilvl w:val="0"/>
                <w:numId w:val="269"/>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A80DF0">
              <w:rPr>
                <w:rFonts w:ascii="Times New Roman" w:eastAsia="MS Mincho" w:hAnsi="Times New Roman" w:cs="Times New Roman"/>
                <w:bCs/>
                <w:sz w:val="20"/>
                <w:szCs w:val="20"/>
              </w:rPr>
              <w:t>z grupy P, poz. 99</w:t>
            </w:r>
            <w:r w:rsidRPr="00A80DF0">
              <w:rPr>
                <w:rStyle w:val="Odwoanieprzypisudolnego"/>
                <w:rFonts w:ascii="Times New Roman" w:eastAsia="MS Mincho" w:hAnsi="Times New Roman" w:cs="Times New Roman"/>
                <w:bCs/>
                <w:sz w:val="20"/>
                <w:szCs w:val="20"/>
              </w:rPr>
              <w:footnoteReference w:id="244"/>
            </w:r>
            <w:r w:rsidRPr="00A80DF0">
              <w:rPr>
                <w:rFonts w:ascii="Times New Roman" w:eastAsia="MS Mincho" w:hAnsi="Times New Roman" w:cs="Times New Roman"/>
                <w:bCs/>
                <w:sz w:val="20"/>
                <w:szCs w:val="20"/>
              </w:rPr>
              <w:t xml:space="preserve"> w przypadku urostomii, kolostomii i ileostomii – o lekarza posiadającego specjalizację w dziedzinie ginekologii onkologicznej.</w:t>
            </w:r>
          </w:p>
          <w:p w14:paraId="11A91B91" w14:textId="77777777" w:rsidR="00A80DF0" w:rsidRDefault="00A80DF0" w:rsidP="008C71A9">
            <w:pPr>
              <w:pStyle w:val="Akapitzlist"/>
              <w:numPr>
                <w:ilvl w:val="0"/>
                <w:numId w:val="26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A80DF0">
              <w:rPr>
                <w:rFonts w:ascii="Times New Roman" w:eastAsia="MS Mincho" w:hAnsi="Times New Roman" w:cs="Times New Roman"/>
                <w:bCs/>
                <w:sz w:val="20"/>
                <w:szCs w:val="20"/>
              </w:rPr>
              <w:t xml:space="preserve">Wprowadzenie ustawy z dnia 9 maja 2018 r. o szczególnych rozwiązaniach wspierających osoby o znacznym stopniu </w:t>
            </w:r>
            <w:r w:rsidRPr="00A80DF0">
              <w:rPr>
                <w:rFonts w:ascii="Times New Roman" w:eastAsia="MS Mincho" w:hAnsi="Times New Roman" w:cs="Times New Roman"/>
                <w:bCs/>
                <w:sz w:val="20"/>
                <w:szCs w:val="20"/>
              </w:rPr>
              <w:lastRenderedPageBreak/>
              <w:t>niepełnosprawności (Dz.U. 2018 poz. 932), która m.in. zniosła miesięczne limity ilościowe na wyroby chłonne dla osób o znacznym stopniu niepełnosprawności.</w:t>
            </w:r>
          </w:p>
          <w:p w14:paraId="1F93422D" w14:textId="77777777" w:rsidR="00A80DF0" w:rsidRPr="00A80DF0" w:rsidRDefault="00A80DF0" w:rsidP="008C71A9">
            <w:pPr>
              <w:pStyle w:val="Akapitzlist"/>
              <w:numPr>
                <w:ilvl w:val="0"/>
                <w:numId w:val="268"/>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szCs w:val="20"/>
              </w:rPr>
            </w:pPr>
            <w:r w:rsidRPr="00A80DF0">
              <w:rPr>
                <w:rFonts w:ascii="Times New Roman" w:eastAsia="MS Mincho" w:hAnsi="Times New Roman" w:cs="Times New Roman"/>
                <w:bCs/>
                <w:sz w:val="20"/>
                <w:szCs w:val="20"/>
              </w:rPr>
              <w:t xml:space="preserve">W 2019 r. przez kilka miesięcy prowadzony był  w kilku województwach pilotaż </w:t>
            </w:r>
            <w:r w:rsidRPr="00A80DF0">
              <w:rPr>
                <w:rFonts w:ascii="Times New Roman" w:eastAsia="MS Mincho" w:hAnsi="Times New Roman" w:cs="Times New Roman"/>
                <w:b/>
                <w:sz w:val="20"/>
                <w:szCs w:val="20"/>
              </w:rPr>
              <w:t>e-potwierdzenia zlecenia</w:t>
            </w:r>
            <w:r w:rsidRPr="00A80DF0">
              <w:rPr>
                <w:rFonts w:ascii="Times New Roman" w:eastAsia="MS Mincho" w:hAnsi="Times New Roman" w:cs="Times New Roman"/>
                <w:bCs/>
                <w:sz w:val="20"/>
                <w:szCs w:val="20"/>
              </w:rPr>
              <w:t>.</w:t>
            </w:r>
          </w:p>
          <w:p w14:paraId="6F5E6A2C" w14:textId="77777777" w:rsidR="00A80DF0" w:rsidRPr="00A80DF0" w:rsidRDefault="00A80DF0"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141C122C" w14:textId="77777777" w:rsidR="0066238D" w:rsidRPr="00A80DF0" w:rsidRDefault="00A80DF0"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 xml:space="preserve">Jednocześnie, </w:t>
            </w:r>
            <w:r w:rsidR="009569AA" w:rsidRPr="00A80DF0">
              <w:rPr>
                <w:rFonts w:ascii="Times New Roman" w:hAnsi="Times New Roman" w:cs="Times New Roman"/>
                <w:sz w:val="20"/>
                <w:szCs w:val="20"/>
              </w:rPr>
              <w:t>Polska Agencja Rozwoju Przedsiębiorczości</w:t>
            </w:r>
            <w:r w:rsidR="0066238D" w:rsidRPr="00A80DF0">
              <w:rPr>
                <w:rFonts w:ascii="Times New Roman" w:hAnsi="Times New Roman" w:cs="Times New Roman"/>
                <w:sz w:val="20"/>
                <w:szCs w:val="20"/>
              </w:rPr>
              <w:t xml:space="preserve"> jest operatorem Programu Rozwój Przedsiębi</w:t>
            </w:r>
            <w:r w:rsidR="009569AA" w:rsidRPr="00A80DF0">
              <w:rPr>
                <w:rFonts w:ascii="Times New Roman" w:hAnsi="Times New Roman" w:cs="Times New Roman"/>
                <w:sz w:val="20"/>
                <w:szCs w:val="20"/>
              </w:rPr>
              <w:t xml:space="preserve">orczości </w:t>
            </w:r>
            <w:r w:rsidR="0066238D" w:rsidRPr="00A80DF0">
              <w:rPr>
                <w:rFonts w:ascii="Times New Roman" w:hAnsi="Times New Roman" w:cs="Times New Roman"/>
                <w:sz w:val="20"/>
                <w:szCs w:val="20"/>
              </w:rPr>
              <w:t xml:space="preserve">i Innowacje </w:t>
            </w:r>
            <w:r w:rsidR="009569AA" w:rsidRPr="00A80DF0">
              <w:rPr>
                <w:rFonts w:ascii="Times New Roman" w:hAnsi="Times New Roman" w:cs="Times New Roman"/>
                <w:sz w:val="20"/>
                <w:szCs w:val="20"/>
              </w:rPr>
              <w:t xml:space="preserve">w ramach Norweskiego Mechanizmu </w:t>
            </w:r>
            <w:r w:rsidR="0066238D" w:rsidRPr="00A80DF0">
              <w:rPr>
                <w:rFonts w:ascii="Times New Roman" w:hAnsi="Times New Roman" w:cs="Times New Roman"/>
                <w:sz w:val="20"/>
                <w:szCs w:val="20"/>
              </w:rPr>
              <w:t>Finansowego oraz Mechanizmu Finansowego Europejskiego  Obszaru G</w:t>
            </w:r>
            <w:r w:rsidR="009569AA" w:rsidRPr="00A80DF0">
              <w:rPr>
                <w:rFonts w:ascii="Times New Roman" w:hAnsi="Times New Roman" w:cs="Times New Roman"/>
                <w:sz w:val="20"/>
                <w:szCs w:val="20"/>
              </w:rPr>
              <w:t xml:space="preserve">ospodarczego na lata 2014-2021. </w:t>
            </w:r>
            <w:r w:rsidR="0066238D" w:rsidRPr="00A80DF0">
              <w:rPr>
                <w:rFonts w:ascii="Times New Roman" w:hAnsi="Times New Roman" w:cs="Times New Roman"/>
                <w:sz w:val="20"/>
                <w:szCs w:val="20"/>
              </w:rPr>
              <w:t>Jednym z jego czterech sch</w:t>
            </w:r>
            <w:r w:rsidR="009569AA" w:rsidRPr="00A80DF0">
              <w:rPr>
                <w:rFonts w:ascii="Times New Roman" w:hAnsi="Times New Roman" w:cs="Times New Roman"/>
                <w:sz w:val="20"/>
                <w:szCs w:val="20"/>
              </w:rPr>
              <w:t xml:space="preserve">ematów wsparcia jest instrument </w:t>
            </w:r>
            <w:r w:rsidR="0066238D" w:rsidRPr="00A80DF0">
              <w:rPr>
                <w:rFonts w:ascii="Times New Roman" w:hAnsi="Times New Roman" w:cs="Times New Roman"/>
                <w:sz w:val="20"/>
                <w:szCs w:val="20"/>
              </w:rPr>
              <w:t xml:space="preserve">„Technologie poprawiające jakość życia”, którego </w:t>
            </w:r>
            <w:r w:rsidR="009569AA" w:rsidRPr="00A80DF0">
              <w:rPr>
                <w:rFonts w:ascii="Times New Roman" w:hAnsi="Times New Roman" w:cs="Times New Roman"/>
                <w:sz w:val="20"/>
                <w:szCs w:val="20"/>
              </w:rPr>
              <w:t xml:space="preserve">celem jest </w:t>
            </w:r>
            <w:r w:rsidR="0066238D" w:rsidRPr="00A80DF0">
              <w:rPr>
                <w:rFonts w:ascii="Times New Roman" w:hAnsi="Times New Roman" w:cs="Times New Roman"/>
                <w:sz w:val="20"/>
                <w:szCs w:val="20"/>
              </w:rPr>
              <w:t>zwiększenie konkurencyjności przedsiębiorców poprzez</w:t>
            </w:r>
          </w:p>
          <w:p w14:paraId="13F1E2F3" w14:textId="77777777" w:rsidR="0066238D" w:rsidRPr="00A80DF0" w:rsidRDefault="0066238D"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działania prowadzące do opracowania i wprowadzenia na</w:t>
            </w:r>
          </w:p>
          <w:p w14:paraId="419C4A43" w14:textId="77777777" w:rsidR="0066238D" w:rsidRPr="00A80DF0" w:rsidRDefault="0066238D"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rynek nowych lub znacząco ulepszonych produktów lub</w:t>
            </w:r>
          </w:p>
          <w:p w14:paraId="23D9B8D8" w14:textId="77777777" w:rsidR="0066238D" w:rsidRPr="00A80DF0" w:rsidRDefault="0066238D"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usług opartych o nowoczesne technologie, które poprawią</w:t>
            </w:r>
          </w:p>
          <w:p w14:paraId="7294FB66" w14:textId="77777777" w:rsidR="0066238D" w:rsidRPr="00A80DF0" w:rsidRDefault="0066238D"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jakość życia najbardziej wrażliwych grup społeczeństwa,</w:t>
            </w:r>
          </w:p>
          <w:p w14:paraId="587D7C74" w14:textId="77777777" w:rsidR="0066238D" w:rsidRPr="00A80DF0" w:rsidRDefault="0066238D"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które w szczególności będą odpowiadać na potrzeby i</w:t>
            </w:r>
          </w:p>
          <w:p w14:paraId="611C467B" w14:textId="77777777" w:rsidR="00311D18" w:rsidRPr="00A80DF0"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80DF0">
              <w:rPr>
                <w:rFonts w:ascii="Times New Roman" w:hAnsi="Times New Roman" w:cs="Times New Roman"/>
                <w:sz w:val="20"/>
                <w:szCs w:val="20"/>
              </w:rPr>
              <w:t>poprawę jakości życia osób starszych.</w:t>
            </w:r>
          </w:p>
          <w:p w14:paraId="14C8BC72" w14:textId="77777777" w:rsidR="00B06E26" w:rsidRPr="00A80DF0" w:rsidRDefault="00B06E2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p w14:paraId="73F21A22" w14:textId="77777777" w:rsidR="00B06E26" w:rsidRPr="00A80DF0" w:rsidRDefault="00C2077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szCs w:val="20"/>
              </w:rPr>
            </w:pPr>
            <w:r>
              <w:rPr>
                <w:rFonts w:ascii="Times New Roman" w:hAnsi="Times New Roman" w:cs="Times New Roman"/>
                <w:sz w:val="20"/>
                <w:szCs w:val="20"/>
              </w:rPr>
              <w:t>Dodatkowo,</w:t>
            </w:r>
            <w:r w:rsidR="009569AA" w:rsidRPr="00A80DF0">
              <w:rPr>
                <w:rFonts w:ascii="Times New Roman" w:hAnsi="Times New Roman" w:cs="Times New Roman"/>
                <w:sz w:val="20"/>
                <w:szCs w:val="20"/>
              </w:rPr>
              <w:t xml:space="preserve"> </w:t>
            </w:r>
            <w:r>
              <w:rPr>
                <w:rFonts w:ascii="Times New Roman" w:eastAsia="Calibri" w:hAnsi="Times New Roman" w:cs="Times New Roman"/>
                <w:sz w:val="20"/>
                <w:szCs w:val="20"/>
              </w:rPr>
              <w:t>t</w:t>
            </w:r>
            <w:r w:rsidR="00B06E26" w:rsidRPr="00A80DF0">
              <w:rPr>
                <w:rFonts w:ascii="Times New Roman" w:eastAsia="Calibri" w:hAnsi="Times New Roman" w:cs="Times New Roman"/>
                <w:sz w:val="20"/>
                <w:szCs w:val="20"/>
              </w:rPr>
              <w:t>ego typu interwencja jest realizowana m.in. w projektach współfinansowanych z EFS w Regionalnych Programach Operacyjnych. Działania mają na celu ułatwianie dostępu do przystępnych cenowo, trwałych oraz wysokiej jakości usług, w tym opieki zdrowotnej. Przykładami realizowanych działań jest np. świadczenie długoterminowej medycznej opieki domowej nad osobą potrzebującą wsparcia w codziennym funkcjonowaniu, w tym pielęgniarskiej opieki długoterminowej, wsparcie działalności lub tworzenia nowych miejsc opieki medycznej w formach zdeinstytucjonalizowanych oraz przygotowania i tworzenia wypożyczalni sprzętu rehabilitacyjnego, pielęgnacyjnego i wspomagającego, połączonego z doradztwem w doborze sprzętu, treningami z zakresu samoobsługi wypożyczonego sprzętu oraz przygotowaniem warunków do opieki domowej</w:t>
            </w:r>
            <w:r w:rsidR="0013095E" w:rsidRPr="00A80DF0">
              <w:rPr>
                <w:rFonts w:ascii="Times New Roman" w:eastAsia="MS Mincho" w:hAnsi="Times New Roman" w:cs="Times New Roman"/>
                <w:sz w:val="20"/>
                <w:szCs w:val="20"/>
              </w:rPr>
              <w:t>.</w:t>
            </w:r>
          </w:p>
        </w:tc>
      </w:tr>
      <w:tr w:rsidR="005F3D4B" w:rsidRPr="00D24DF9" w14:paraId="0D8788BB"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9B03C3C"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903B24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Wykorzystanie nowoczesnych technologii dla rekompensowania utraconej sprawności </w:t>
            </w:r>
            <w:r w:rsidRPr="00D24DF9">
              <w:rPr>
                <w:rFonts w:ascii="Times New Roman" w:hAnsi="Times New Roman"/>
                <w:sz w:val="20"/>
              </w:rPr>
              <w:t>i wzmacniania samodzielności</w:t>
            </w:r>
          </w:p>
        </w:tc>
        <w:tc>
          <w:tcPr>
            <w:tcW w:w="2032" w:type="dxa"/>
            <w:vMerge w:val="restart"/>
          </w:tcPr>
          <w:p w14:paraId="6DD9FCA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5EBF0788"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6190DD5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wykorzystanych nowoczesnych technologii dla rekompensowania utraconej sprawności</w:t>
            </w:r>
          </w:p>
        </w:tc>
      </w:tr>
      <w:tr w:rsidR="005F3D4B" w:rsidRPr="00D24DF9" w14:paraId="0D59EDE5"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3951DAA" w14:textId="77777777" w:rsidR="00311D18" w:rsidRPr="00D24DF9" w:rsidRDefault="00311D18" w:rsidP="003C1988">
            <w:pPr>
              <w:spacing w:after="0"/>
              <w:rPr>
                <w:rFonts w:ascii="Times New Roman" w:hAnsi="Times New Roman" w:cs="Times New Roman"/>
                <w:sz w:val="20"/>
              </w:rPr>
            </w:pPr>
          </w:p>
        </w:tc>
        <w:tc>
          <w:tcPr>
            <w:tcW w:w="3594" w:type="dxa"/>
            <w:vMerge/>
          </w:tcPr>
          <w:p w14:paraId="2A9FD14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502C9EC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5AD4408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1BBBC3F9" w14:textId="77777777" w:rsidR="00311D18" w:rsidRPr="00D24DF9" w:rsidRDefault="00C2077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C2077D">
              <w:rPr>
                <w:rFonts w:ascii="Times New Roman" w:eastAsia="MS Mincho" w:hAnsi="Times New Roman" w:cs="Times New Roman"/>
                <w:bCs/>
                <w:sz w:val="20"/>
              </w:rPr>
              <w:t>W ramach projektu e-Zdrowie (P1) wdrożono Internetowe Konto Pacjenta (IKP). Pacjenci, którzy leczą się przewlekle i stale przyjmują leki (dotyczy to w dużej mierze osób w starszym wieku), po kontakcie telefonicznym z lekarzem/przychodnią mogą zamówić receptę – po wystawieniu przez lekarza e-recepty otrzymają sms z kodem dostępowym (po ustawieniu takiej formy kontaktu w IKP). Dużą zaletą tego rozwiązania jest brak konieczności udawania się do przychodni tylko po odbiór recepty. Jednocześnie, istnieje możliwość wskazania w IKP bliskiej osoby jako pełnomocnika, który będzie upoważniony do powiadomień o wystawionej e-recepcie czy e-skierowaniu. Dzięki temu rozwiązaniu upoważniona osoba może zrealizować e-receptę w aptece i dostarczyć leki do domu.</w:t>
            </w:r>
          </w:p>
        </w:tc>
      </w:tr>
      <w:tr w:rsidR="005F3D4B" w:rsidRPr="00D24DF9" w14:paraId="19DFA96E"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E0813C7"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26EB8BD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Wspieranie opracowywania oraz upowszechniania innowacyjnych rozwiązań i technologii w obszarze zdrowia i telemedycyny</w:t>
            </w:r>
          </w:p>
        </w:tc>
        <w:tc>
          <w:tcPr>
            <w:tcW w:w="2032" w:type="dxa"/>
            <w:vMerge w:val="restart"/>
          </w:tcPr>
          <w:p w14:paraId="35617D9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781B0D2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40D54799"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wspartych programów mających na celu opracowywanie oraz upowszechnianie innowacyjnych rozwiązań i technologii w obszarze zdrowia i telemedycyny</w:t>
            </w:r>
          </w:p>
          <w:p w14:paraId="512880BD"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4443344F"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473A17A" w14:textId="77777777" w:rsidR="00311D18" w:rsidRPr="00D24DF9" w:rsidRDefault="00311D18" w:rsidP="003C1988">
            <w:pPr>
              <w:spacing w:after="0"/>
              <w:rPr>
                <w:rFonts w:ascii="Times New Roman" w:hAnsi="Times New Roman" w:cs="Times New Roman"/>
                <w:sz w:val="20"/>
              </w:rPr>
            </w:pPr>
          </w:p>
        </w:tc>
        <w:tc>
          <w:tcPr>
            <w:tcW w:w="3594" w:type="dxa"/>
            <w:vMerge/>
          </w:tcPr>
          <w:p w14:paraId="530687D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C96C1C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7E95251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3ABBF057" w14:textId="77777777" w:rsidR="00C2077D" w:rsidRPr="00C2077D" w:rsidRDefault="00C2077D" w:rsidP="008C71A9">
            <w:pPr>
              <w:pStyle w:val="Akapitzlist"/>
              <w:numPr>
                <w:ilvl w:val="0"/>
                <w:numId w:val="270"/>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C2077D">
              <w:rPr>
                <w:rFonts w:ascii="Times New Roman" w:hAnsi="Times New Roman" w:cs="Times New Roman"/>
                <w:b/>
                <w:bCs/>
                <w:sz w:val="20"/>
              </w:rPr>
              <w:t>Aplikacja gabinet.gov.pl</w:t>
            </w:r>
          </w:p>
          <w:p w14:paraId="57001A7D" w14:textId="77777777" w:rsidR="00C2077D" w:rsidRPr="00C2077D" w:rsidRDefault="00C2077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2077D">
              <w:rPr>
                <w:rFonts w:ascii="Times New Roman" w:hAnsi="Times New Roman" w:cs="Times New Roman"/>
                <w:sz w:val="20"/>
              </w:rPr>
              <w:t xml:space="preserve">W ramach projektu P1 utworzona została aplikacja gabinet.gov.pl. Adresatami aplikacji są lekarze i inny pracownicy medyczni, aplikacja daje m.in. możliwość przyjmowania i wystawiania e-skierowań, wystawiania e-recept oraz dostęp do danych pacjenta. Aplikacja gabinet.gov.pl została uruchomiona bezpłatnie w lipcu 2019 r. i jest rozwijana o kolejne funkcjonalności. </w:t>
            </w:r>
          </w:p>
          <w:p w14:paraId="3A0501EE" w14:textId="77777777" w:rsidR="00C2077D" w:rsidRPr="00C2077D" w:rsidRDefault="00C2077D" w:rsidP="008C71A9">
            <w:pPr>
              <w:pStyle w:val="Akapitzlist"/>
              <w:numPr>
                <w:ilvl w:val="0"/>
                <w:numId w:val="270"/>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C2077D">
              <w:rPr>
                <w:rFonts w:ascii="Times New Roman" w:hAnsi="Times New Roman" w:cs="Times New Roman"/>
                <w:b/>
                <w:bCs/>
                <w:sz w:val="20"/>
              </w:rPr>
              <w:t>Projekt e-usługi</w:t>
            </w:r>
          </w:p>
          <w:p w14:paraId="6D27DD1A" w14:textId="77777777" w:rsidR="00C2077D" w:rsidRPr="00C2077D" w:rsidRDefault="00C2077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2077D">
              <w:rPr>
                <w:rFonts w:ascii="Times New Roman" w:hAnsi="Times New Roman" w:cs="Times New Roman"/>
                <w:sz w:val="20"/>
              </w:rPr>
              <w:t xml:space="preserve">Projekt „Wprowadzenie nowoczesnych e-usług w podmiotach leczniczych nadzorowanych przez Ministra Zdrowia” (projekt e-usługi) jest realizowany w wybranych podmiotach podległych/nadzorowanych przez Ministra Zdrowia (52 podmioty) i przewiduje wdrożenie w nich kluczowych e-usług (wymiana EDM, e-rejestracja, e-zlecenie, e-analizy), jak również </w:t>
            </w:r>
            <w:r w:rsidRPr="00C2077D">
              <w:rPr>
                <w:rFonts w:ascii="Times New Roman" w:hAnsi="Times New Roman" w:cs="Times New Roman"/>
                <w:sz w:val="20"/>
              </w:rPr>
              <w:lastRenderedPageBreak/>
              <w:t>wyposażenie tych podmiotów w nowoczesną infrastrukturę IT.  Projekt jest realizowany od stycznia 2019 r. i potrwa do 4 kwartału 2021 r.</w:t>
            </w:r>
          </w:p>
          <w:p w14:paraId="2D5A1FE3" w14:textId="77777777" w:rsidR="00C2077D" w:rsidRPr="00C2077D" w:rsidRDefault="00C2077D" w:rsidP="008C71A9">
            <w:pPr>
              <w:pStyle w:val="Akapitzlist"/>
              <w:numPr>
                <w:ilvl w:val="0"/>
                <w:numId w:val="270"/>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C2077D">
              <w:rPr>
                <w:rFonts w:ascii="Times New Roman" w:hAnsi="Times New Roman" w:cs="Times New Roman"/>
                <w:b/>
                <w:bCs/>
                <w:sz w:val="20"/>
              </w:rPr>
              <w:t>Projekt telemedyczny</w:t>
            </w:r>
          </w:p>
          <w:p w14:paraId="7586219A" w14:textId="77777777" w:rsidR="00C2077D" w:rsidRPr="00C2077D" w:rsidRDefault="00C2077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2077D">
              <w:rPr>
                <w:rFonts w:ascii="Times New Roman" w:hAnsi="Times New Roman" w:cs="Times New Roman"/>
                <w:sz w:val="20"/>
              </w:rPr>
              <w:t>Przygotowanie do realizacji projektu telemedycznego w ramach Norweskiego Mechanizmu Finansowego 2014-2021 (opis w punkcie</w:t>
            </w:r>
            <w:r w:rsidRPr="00C2077D">
              <w:rPr>
                <w:sz w:val="20"/>
              </w:rPr>
              <w:t xml:space="preserve"> </w:t>
            </w:r>
            <w:r w:rsidRPr="00C2077D">
              <w:rPr>
                <w:rFonts w:ascii="Times New Roman" w:hAnsi="Times New Roman" w:cs="Times New Roman"/>
                <w:i/>
                <w:iCs/>
                <w:sz w:val="20"/>
              </w:rPr>
              <w:t xml:space="preserve">Rozwijanie telemedycyny, w tym teleopieki – </w:t>
            </w:r>
            <w:r w:rsidRPr="00C2077D">
              <w:rPr>
                <w:rFonts w:ascii="Times New Roman" w:hAnsi="Times New Roman" w:cs="Times New Roman"/>
                <w:sz w:val="20"/>
              </w:rPr>
              <w:t>pkt. 1)</w:t>
            </w:r>
          </w:p>
          <w:p w14:paraId="35C3FE7E" w14:textId="77777777" w:rsidR="00C2077D" w:rsidRPr="00C2077D" w:rsidRDefault="00C2077D" w:rsidP="008C71A9">
            <w:pPr>
              <w:pStyle w:val="Akapitzlist"/>
              <w:numPr>
                <w:ilvl w:val="0"/>
                <w:numId w:val="270"/>
              </w:numPr>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0"/>
              </w:rPr>
            </w:pPr>
            <w:r w:rsidRPr="00C2077D">
              <w:rPr>
                <w:rFonts w:ascii="Times New Roman" w:hAnsi="Times New Roman" w:cs="Times New Roman"/>
                <w:b/>
                <w:bCs/>
                <w:sz w:val="20"/>
              </w:rPr>
              <w:t>Dostępność Plus dla zdrowia</w:t>
            </w:r>
          </w:p>
          <w:p w14:paraId="3B06F0D4" w14:textId="77777777" w:rsidR="00C2077D" w:rsidRDefault="00C2077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2077D">
              <w:rPr>
                <w:rFonts w:ascii="Times New Roman" w:hAnsi="Times New Roman" w:cs="Times New Roman"/>
                <w:sz w:val="20"/>
              </w:rPr>
              <w:t xml:space="preserve">(opis w punkcie </w:t>
            </w:r>
            <w:r w:rsidRPr="00C2077D">
              <w:rPr>
                <w:rFonts w:ascii="Times New Roman" w:hAnsi="Times New Roman" w:cs="Times New Roman"/>
                <w:i/>
                <w:iCs/>
                <w:sz w:val="20"/>
              </w:rPr>
              <w:t xml:space="preserve">Rozwijanie telemedycyny, w tym teleopieki – </w:t>
            </w:r>
            <w:r w:rsidRPr="00C2077D">
              <w:rPr>
                <w:rFonts w:ascii="Times New Roman" w:hAnsi="Times New Roman" w:cs="Times New Roman"/>
                <w:sz w:val="20"/>
              </w:rPr>
              <w:t>pkt. 2)</w:t>
            </w:r>
          </w:p>
          <w:p w14:paraId="1451D2AE" w14:textId="77777777" w:rsidR="00C2077D" w:rsidRPr="00C2077D" w:rsidRDefault="00C2077D" w:rsidP="008C71A9">
            <w:pPr>
              <w:pStyle w:val="Akapitzlist"/>
              <w:numPr>
                <w:ilvl w:val="0"/>
                <w:numId w:val="270"/>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2077D">
              <w:rPr>
                <w:rFonts w:ascii="Times New Roman" w:hAnsi="Times New Roman" w:cs="Times New Roman"/>
                <w:b/>
                <w:bCs/>
                <w:sz w:val="20"/>
              </w:rPr>
              <w:t>Rozwój IKP o funkcje korzystne dla seniorów</w:t>
            </w:r>
          </w:p>
          <w:p w14:paraId="220C12A3" w14:textId="77777777" w:rsidR="00C2077D" w:rsidRPr="00C2077D" w:rsidRDefault="00C2077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2077D">
              <w:rPr>
                <w:rFonts w:ascii="Times New Roman" w:hAnsi="Times New Roman" w:cs="Times New Roman"/>
                <w:sz w:val="20"/>
              </w:rPr>
              <w:t>Wdrożenie funkcjonalności IKP korzystnych dla seniorów:</w:t>
            </w:r>
          </w:p>
          <w:p w14:paraId="4433BE3F" w14:textId="77777777" w:rsidR="00C2077D" w:rsidRDefault="00C2077D" w:rsidP="008C71A9">
            <w:pPr>
              <w:pStyle w:val="Akapitzlist"/>
              <w:numPr>
                <w:ilvl w:val="0"/>
                <w:numId w:val="271"/>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2077D">
              <w:rPr>
                <w:rFonts w:ascii="Times New Roman" w:hAnsi="Times New Roman" w:cs="Times New Roman"/>
                <w:sz w:val="20"/>
              </w:rPr>
              <w:t xml:space="preserve">możliwość nadania dostępu dla osoby bliskiej do historii leczenia i możliwość realizacji e-recept przez pełnomocnika wskazanego w IKP; </w:t>
            </w:r>
          </w:p>
          <w:p w14:paraId="10165839" w14:textId="77777777" w:rsidR="00311D18" w:rsidRPr="00C2077D" w:rsidRDefault="00C2077D" w:rsidP="008C71A9">
            <w:pPr>
              <w:pStyle w:val="Akapitzlist"/>
              <w:numPr>
                <w:ilvl w:val="0"/>
                <w:numId w:val="271"/>
              </w:numPr>
              <w:spacing w:after="0" w:line="240" w:lineRule="auto"/>
              <w:ind w:left="643"/>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C2077D">
              <w:rPr>
                <w:rFonts w:ascii="Times New Roman" w:hAnsi="Times New Roman" w:cs="Times New Roman"/>
                <w:sz w:val="20"/>
              </w:rPr>
              <w:t>możliwość przedłużenia e-recepty w przypadku chorób przewlekłych bez konieczności odbioru e-recepty w przychodni.</w:t>
            </w:r>
          </w:p>
        </w:tc>
      </w:tr>
      <w:tr w:rsidR="005F3D4B" w:rsidRPr="00D24DF9" w14:paraId="7B243D2E" w14:textId="77777777" w:rsidTr="004D48DD">
        <w:trPr>
          <w:trHeight w:val="386"/>
        </w:trPr>
        <w:tc>
          <w:tcPr>
            <w:cnfStyle w:val="001000000000" w:firstRow="0" w:lastRow="0" w:firstColumn="1" w:lastColumn="0" w:oddVBand="0" w:evenVBand="0" w:oddHBand="0" w:evenHBand="0" w:firstRowFirstColumn="0" w:firstRowLastColumn="0" w:lastRowFirstColumn="0" w:lastRowLastColumn="0"/>
            <w:tcW w:w="1232" w:type="dxa"/>
            <w:vMerge/>
          </w:tcPr>
          <w:p w14:paraId="613A9DFA"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20CB738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Zwiększanie dostępności terapii zajęciowej i fizjoterapii</w:t>
            </w:r>
          </w:p>
        </w:tc>
        <w:tc>
          <w:tcPr>
            <w:tcW w:w="2032" w:type="dxa"/>
            <w:vMerge w:val="restart"/>
          </w:tcPr>
          <w:p w14:paraId="381B2D7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05AB6BD9"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val="restart"/>
          </w:tcPr>
          <w:p w14:paraId="1C5519D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07CDBEF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osób korzystających z terapii zajęciowej</w:t>
            </w:r>
          </w:p>
        </w:tc>
      </w:tr>
      <w:tr w:rsidR="005F3D4B" w:rsidRPr="00D24DF9" w14:paraId="004848FA"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84C0F0A" w14:textId="77777777" w:rsidR="00311D18" w:rsidRPr="00D24DF9" w:rsidRDefault="00311D18" w:rsidP="003C1988">
            <w:pPr>
              <w:spacing w:after="0"/>
              <w:rPr>
                <w:rFonts w:ascii="Times New Roman" w:hAnsi="Times New Roman" w:cs="Times New Roman"/>
                <w:sz w:val="20"/>
              </w:rPr>
            </w:pPr>
          </w:p>
        </w:tc>
        <w:tc>
          <w:tcPr>
            <w:tcW w:w="3594" w:type="dxa"/>
            <w:vMerge/>
          </w:tcPr>
          <w:p w14:paraId="58E9B9E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198D2FB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586BD7F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3C4A0FA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7FFECE68"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0244C39"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B8D29C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Tworzenie warunków rozwoju kompleksowej opieki nad chorym starszym, w tym:</w:t>
            </w:r>
          </w:p>
          <w:p w14:paraId="3187D3DD"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opracowanie standardów profilaktyki i opieki nad osobami starszymi, a także poprawa koordynacji opieki; </w:t>
            </w:r>
          </w:p>
          <w:p w14:paraId="42D79DB3"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określenie zasad postępowania medycznego w różnych grupach wiekowych,</w:t>
            </w:r>
            <w:r w:rsidRPr="00D24DF9">
              <w:rPr>
                <w:rFonts w:ascii="Times New Roman" w:hAnsi="Times New Roman"/>
                <w:sz w:val="20"/>
              </w:rPr>
              <w:t xml:space="preserve"> ze szczególnym wyróżnieniem grupy osób starszych</w:t>
            </w:r>
            <w:r w:rsidRPr="00D24DF9">
              <w:rPr>
                <w:rFonts w:ascii="Times New Roman" w:eastAsia="MS Mincho" w:hAnsi="Times New Roman"/>
                <w:sz w:val="20"/>
              </w:rPr>
              <w:t>;</w:t>
            </w:r>
          </w:p>
          <w:p w14:paraId="64C9C2C1"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monitorowanie efektywności opieki nad osobami starszymi.</w:t>
            </w:r>
          </w:p>
        </w:tc>
        <w:tc>
          <w:tcPr>
            <w:tcW w:w="2032" w:type="dxa"/>
            <w:vMerge w:val="restart"/>
          </w:tcPr>
          <w:p w14:paraId="2B41411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016A636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69731BC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wdrożonych rozwiązań mających na celu tworzenie warunków rozwoju kompleksowej opieki nad chorym starszym</w:t>
            </w:r>
          </w:p>
        </w:tc>
      </w:tr>
      <w:tr w:rsidR="005F3D4B" w:rsidRPr="00D24DF9" w14:paraId="6CA1F818"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D415AE6" w14:textId="77777777" w:rsidR="00311D18" w:rsidRPr="00D24DF9" w:rsidRDefault="00311D18" w:rsidP="003C1988">
            <w:pPr>
              <w:spacing w:after="0"/>
              <w:rPr>
                <w:rFonts w:ascii="Times New Roman" w:hAnsi="Times New Roman" w:cs="Times New Roman"/>
                <w:sz w:val="20"/>
              </w:rPr>
            </w:pPr>
          </w:p>
        </w:tc>
        <w:tc>
          <w:tcPr>
            <w:tcW w:w="3594" w:type="dxa"/>
            <w:vMerge/>
          </w:tcPr>
          <w:p w14:paraId="7F4911C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13BF29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63D7132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4D05A544" w14:textId="77777777" w:rsidR="00311D18" w:rsidRPr="00C2077D" w:rsidRDefault="00C2077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C2077D">
              <w:rPr>
                <w:rFonts w:ascii="Times New Roman" w:eastAsia="MS Mincho" w:hAnsi="Times New Roman" w:cs="Times New Roman"/>
                <w:bCs/>
                <w:sz w:val="20"/>
              </w:rPr>
              <w:t xml:space="preserve">W 2019 r. prowadzone były prace nad wprowadzeniem </w:t>
            </w:r>
            <w:r w:rsidRPr="00C2077D">
              <w:rPr>
                <w:rFonts w:ascii="Times New Roman" w:hAnsi="Times New Roman" w:cs="Times New Roman"/>
                <w:sz w:val="20"/>
              </w:rPr>
              <w:t xml:space="preserve"> </w:t>
            </w:r>
            <w:r w:rsidRPr="00C2077D">
              <w:rPr>
                <w:rFonts w:ascii="Times New Roman" w:eastAsia="MS Mincho" w:hAnsi="Times New Roman" w:cs="Times New Roman"/>
                <w:bCs/>
                <w:sz w:val="20"/>
              </w:rPr>
              <w:t xml:space="preserve">Programu </w:t>
            </w:r>
            <w:r w:rsidRPr="00C2077D">
              <w:rPr>
                <w:rFonts w:ascii="Times New Roman" w:eastAsia="MS Mincho" w:hAnsi="Times New Roman" w:cs="Times New Roman"/>
                <w:bCs/>
                <w:i/>
                <w:iCs/>
                <w:sz w:val="20"/>
              </w:rPr>
              <w:t>Profilaktyka 40 Plus</w:t>
            </w:r>
            <w:r w:rsidRPr="00C2077D">
              <w:rPr>
                <w:rFonts w:ascii="Times New Roman" w:eastAsia="MS Mincho" w:hAnsi="Times New Roman" w:cs="Times New Roman"/>
                <w:bCs/>
                <w:sz w:val="20"/>
              </w:rPr>
              <w:t xml:space="preserve">. Zgodnie z założeniami, program skierowany jest to </w:t>
            </w:r>
            <w:r w:rsidRPr="00C2077D">
              <w:rPr>
                <w:rFonts w:ascii="Times New Roman" w:hAnsi="Times New Roman" w:cs="Times New Roman"/>
                <w:sz w:val="20"/>
              </w:rPr>
              <w:t xml:space="preserve">grupy osób w wieku </w:t>
            </w:r>
            <w:r w:rsidRPr="00C2077D">
              <w:rPr>
                <w:rFonts w:ascii="Times New Roman" w:eastAsia="MS Mincho" w:hAnsi="Times New Roman" w:cs="Times New Roman"/>
                <w:bCs/>
                <w:sz w:val="20"/>
              </w:rPr>
              <w:t xml:space="preserve">od 40 do 65 roku życia. W ramach programu lekarz oceni indywidualne czynniki ryzyka zachorowania na najbardziej rozpowszechnione  choroby, w tym celu wykona badania krwi, w tym morfologię, glukozę oraz cholesterol, czyli parametry świadczące o stanie zdrowia. Jeśli w wyniku oceny stwierdzone zostaną czynniki ryzyka lub wyniki badań będą niepokojące, lekarz wykona bardziej szczegółowe </w:t>
            </w:r>
            <w:r w:rsidRPr="00C2077D">
              <w:rPr>
                <w:rFonts w:ascii="Times New Roman" w:eastAsia="MS Mincho" w:hAnsi="Times New Roman" w:cs="Times New Roman"/>
                <w:bCs/>
                <w:sz w:val="20"/>
              </w:rPr>
              <w:lastRenderedPageBreak/>
              <w:t>badania laboratoryjne, EKG, USG lub skieruje na konsultację m.in. u kardiologa, diabetologa czy onkologa.</w:t>
            </w:r>
          </w:p>
        </w:tc>
      </w:tr>
      <w:tr w:rsidR="005F3D4B" w:rsidRPr="00D24DF9" w14:paraId="5F4AF1AD" w14:textId="77777777" w:rsidTr="004D48DD">
        <w:trPr>
          <w:trHeight w:val="471"/>
        </w:trPr>
        <w:tc>
          <w:tcPr>
            <w:cnfStyle w:val="001000000000" w:firstRow="0" w:lastRow="0" w:firstColumn="1" w:lastColumn="0" w:oddVBand="0" w:evenVBand="0" w:oddHBand="0" w:evenHBand="0" w:firstRowFirstColumn="0" w:firstRowLastColumn="0" w:lastRowFirstColumn="0" w:lastRowLastColumn="0"/>
            <w:tcW w:w="1232" w:type="dxa"/>
            <w:vMerge/>
          </w:tcPr>
          <w:p w14:paraId="1CB79B1F"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AC6A50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Zapewnienie ciągłości opieki nad chorym starszym, w tym:</w:t>
            </w:r>
          </w:p>
          <w:p w14:paraId="41B653FD"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wdrożenie działań mających </w:t>
            </w:r>
            <w:r w:rsidRPr="00D24DF9">
              <w:rPr>
                <w:rFonts w:ascii="Times New Roman" w:eastAsia="MS Mincho" w:hAnsi="Times New Roman"/>
                <w:sz w:val="20"/>
              </w:rPr>
              <w:br/>
              <w:t>na celu monitorowanie potrzeb zdrowotnych chorego w jego środowisku zamieszkania;</w:t>
            </w:r>
          </w:p>
          <w:p w14:paraId="0AC0E535"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rozwój współpracy pracowników opieki zdrowotnej z służbami pomocy społecznej;</w:t>
            </w:r>
          </w:p>
          <w:p w14:paraId="2525E2FE"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monitorowanie stanu zdrowia chorych osób starszych </w:t>
            </w:r>
            <w:r w:rsidRPr="00D24DF9">
              <w:rPr>
                <w:rFonts w:ascii="Times New Roman" w:eastAsia="MS Mincho" w:hAnsi="Times New Roman"/>
                <w:sz w:val="20"/>
              </w:rPr>
              <w:br/>
              <w:t>po zakończonej hospitalizacji</w:t>
            </w:r>
          </w:p>
        </w:tc>
        <w:tc>
          <w:tcPr>
            <w:tcW w:w="2032" w:type="dxa"/>
            <w:vMerge w:val="restart"/>
          </w:tcPr>
          <w:p w14:paraId="398201B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4B88A258"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53C8F42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wdrożonych rozwiązań mających na celu zapewnienie ciągłości opieki nad chorym starszym</w:t>
            </w:r>
          </w:p>
        </w:tc>
      </w:tr>
      <w:tr w:rsidR="005F3D4B" w:rsidRPr="00D24DF9" w14:paraId="3190FFA0"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9266991" w14:textId="77777777" w:rsidR="00311D18" w:rsidRPr="00D24DF9" w:rsidRDefault="00311D18" w:rsidP="003C1988">
            <w:pPr>
              <w:spacing w:after="0"/>
              <w:rPr>
                <w:rFonts w:ascii="Times New Roman" w:hAnsi="Times New Roman" w:cs="Times New Roman"/>
                <w:sz w:val="20"/>
              </w:rPr>
            </w:pPr>
          </w:p>
        </w:tc>
        <w:tc>
          <w:tcPr>
            <w:tcW w:w="3594" w:type="dxa"/>
            <w:vMerge/>
          </w:tcPr>
          <w:p w14:paraId="31ACB2D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4955FA2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0269D94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31C01922" w14:textId="77777777" w:rsidR="00311D18" w:rsidRPr="00C2077D" w:rsidRDefault="00C2077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szCs w:val="20"/>
                <w:u w:val="single"/>
              </w:rPr>
            </w:pPr>
            <w:r w:rsidRPr="00C2077D">
              <w:rPr>
                <w:rFonts w:ascii="Times New Roman" w:eastAsia="MS Mincho" w:hAnsi="Times New Roman" w:cs="Times New Roman"/>
                <w:bCs/>
                <w:sz w:val="20"/>
                <w:szCs w:val="20"/>
              </w:rPr>
              <w:t>W zakresie opieki psychiatrycznej i leczenia uzależnień od dnia 1 lipca 2018 r. w ramach umowy z NFZ funkcjonują centra zdrowia psychicznego, których działalność wpisuje się w projekt  deinstytucjonalizacji i rozwoju opieki środowiskowej. W ramach pilotażu powstało 29 centrów w Polsce. Obejmują one opieką osoby dorosłe (w tym osoby pow. 60 r.ż.) zamieszkujące dany obszar terytorialny i korzystające z opieki psychiatrycznej. Działalność CZP polega na zapewnieniu adekwatnej do potrzeb pomocy psychiatrycznej, psychologicznej i psychoterapeutycznej wszystkim potrzebującym mieszkańcom, przy czym osoba zwana koordynatorem monitoruje stan zdrowia pacjenta oraz współpracuje z pomocą społeczna.</w:t>
            </w:r>
          </w:p>
        </w:tc>
      </w:tr>
      <w:tr w:rsidR="005F3D4B" w:rsidRPr="00D24DF9" w14:paraId="1A4119B0" w14:textId="77777777" w:rsidTr="004D48DD">
        <w:trPr>
          <w:trHeight w:val="199"/>
        </w:trPr>
        <w:tc>
          <w:tcPr>
            <w:cnfStyle w:val="001000000000" w:firstRow="0" w:lastRow="0" w:firstColumn="1" w:lastColumn="0" w:oddVBand="0" w:evenVBand="0" w:oddHBand="0" w:evenHBand="0" w:firstRowFirstColumn="0" w:firstRowLastColumn="0" w:lastRowFirstColumn="0" w:lastRowLastColumn="0"/>
            <w:tcW w:w="1232" w:type="dxa"/>
            <w:vMerge/>
          </w:tcPr>
          <w:p w14:paraId="22AB788A"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273C10B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D24DF9">
              <w:rPr>
                <w:rFonts w:ascii="Times New Roman" w:eastAsia="MS Mincho" w:hAnsi="Times New Roman"/>
                <w:sz w:val="20"/>
              </w:rPr>
              <w:t>Prowadzenie działań mających na celu zwiększenie dostępności świadczeń rehabilitacyjnych</w:t>
            </w:r>
          </w:p>
          <w:p w14:paraId="4658FF8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val="restart"/>
          </w:tcPr>
          <w:p w14:paraId="5F4F1AA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78BF7A1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64BBF8B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Poziom  dostępności świadczeń rehabilitacyjnych</w:t>
            </w:r>
          </w:p>
        </w:tc>
      </w:tr>
      <w:tr w:rsidR="005F3D4B" w:rsidRPr="00D24DF9" w14:paraId="4EC56958"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E8337EC" w14:textId="77777777" w:rsidR="00311D18" w:rsidRPr="00D24DF9" w:rsidRDefault="00311D18" w:rsidP="003C1988">
            <w:pPr>
              <w:spacing w:after="0"/>
              <w:rPr>
                <w:rFonts w:ascii="Times New Roman" w:hAnsi="Times New Roman" w:cs="Times New Roman"/>
                <w:sz w:val="20"/>
              </w:rPr>
            </w:pPr>
          </w:p>
        </w:tc>
        <w:tc>
          <w:tcPr>
            <w:tcW w:w="3594" w:type="dxa"/>
            <w:vMerge/>
          </w:tcPr>
          <w:p w14:paraId="1B05416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3AB297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4862AFA5"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CF9189F"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Aktualnie świadczenia rehabilitacyjne w ramach powszechnego ubezpieczenia finansowane i realizowane są w oparciu o rozporządzenie Ministra Zdrowia z zakresu rehabilitacji leczniczej</w:t>
            </w:r>
            <w:r w:rsidRPr="00F97CCB">
              <w:rPr>
                <w:rFonts w:ascii="Times New Roman" w:hAnsi="Times New Roman" w:cs="Times New Roman"/>
                <w:sz w:val="20"/>
              </w:rPr>
              <w:footnoteReference w:id="245"/>
            </w:r>
            <w:r w:rsidRPr="00F97CCB">
              <w:rPr>
                <w:rFonts w:ascii="Times New Roman" w:hAnsi="Times New Roman" w:cs="Times New Roman"/>
                <w:sz w:val="20"/>
              </w:rPr>
              <w:t>. Wskaz świadczeń w nim zawartych obejmuje świadczenia ambulatoryjne i stacjonarne. Brak w systemie świadczeń dedykowanych wyłącznie osobom starszym. W związku z powyższym świadczeniobiorcy, w zależności od aktualnego stanu zdrowia korzystają z rehabilitacji na zasadach ogólnych.</w:t>
            </w:r>
          </w:p>
          <w:p w14:paraId="4B3250C5"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64517A91"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 xml:space="preserve">Świadczeniami z zakresu rehabilitacji leczniczej mogą być objęci pacjenci z bardzo szerokim i różnorodnym spektrum schorzeń i dysfunkcji (ortopedycznych, reumatologicznych, neurologicznych, onkologicznych itp.). </w:t>
            </w:r>
          </w:p>
          <w:p w14:paraId="24D8072F"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0E986F3E"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 xml:space="preserve">W zależności od stanu zdrowia świadczeniobiorcy lekarz kierujący wystawiając skierowanie decyduje w ramach jakiego zakresu prowadzona ma być rehabilitacja. Wpływ na dostępność do rehabilitacji ma kolejka oczekujących na tego rodzaju świadczenia. </w:t>
            </w:r>
          </w:p>
          <w:p w14:paraId="08F056D9"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Narodowy Fundusz Zdrowia zapewnia finansowanie świadczeń, w tym rehabilitacji leczniczej dla każdego świadczeniobiorcy (bez względu na wiek) oraz reaguje na zmiany legislacyjne umożliwiające zwiększenie dostępności do świadczeń.</w:t>
            </w:r>
          </w:p>
          <w:p w14:paraId="07407497" w14:textId="77777777" w:rsidR="00311D18"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 xml:space="preserve">W 2019 r. </w:t>
            </w:r>
            <w:r w:rsidRPr="00F97CCB">
              <w:rPr>
                <w:rFonts w:ascii="Times New Roman" w:hAnsi="Times New Roman" w:cs="Times New Roman"/>
                <w:b/>
                <w:bCs/>
                <w:sz w:val="20"/>
              </w:rPr>
              <w:t>opracowano założenia i przeprowadzono konsultacje programu rządowego Świadczenia medyczne Narodowego Funduszu Zdrowia dla osób niepełnosprawnych na rok 2020.</w:t>
            </w:r>
            <w:r w:rsidRPr="00F97CCB">
              <w:rPr>
                <w:rFonts w:ascii="Times New Roman" w:hAnsi="Times New Roman" w:cs="Times New Roman"/>
                <w:sz w:val="20"/>
              </w:rPr>
              <w:t xml:space="preserve"> Program ma na celu wsparcie zdrowotne osób niepełnosprawnych powyżej 16 roku życia posiadających orzeczenie o lekkim albo umiarkowanym stopniu niepełnosprawności albo orzeczenie równoważne do tych dwóch stopni, w rozumieniu przepisów ustawy o rehabilitacji, którym świadczenia z zakresu rehabilitacji leczniczej mogą pozwolić na jak najpełniejszy powrót do aktywności społecznej i życie w jak najmniejszym stopniu ograniczone barierami. Jedną z dodatkowych korzyści tego Programu może być podjęcie lub utrzymanie aktywności zawodowej i społecznej, podjęcie lub kontynuacja nauki przez osoby dotknięte niepełnosprawnością, którym świadczenia z zakresu rehabilitacji leczniczej pozwolą na utrzymanie kondycji zdrowotnej i</w:t>
            </w:r>
            <w:r>
              <w:rPr>
                <w:rFonts w:ascii="Times New Roman" w:hAnsi="Times New Roman" w:cs="Times New Roman"/>
                <w:sz w:val="20"/>
              </w:rPr>
              <w:t xml:space="preserve"> dobrej jakości funkcjonowania.</w:t>
            </w:r>
          </w:p>
        </w:tc>
      </w:tr>
      <w:tr w:rsidR="005F3D4B" w:rsidRPr="00D24DF9" w14:paraId="38ABCF19" w14:textId="77777777" w:rsidTr="004D48DD">
        <w:trPr>
          <w:trHeight w:val="471"/>
        </w:trPr>
        <w:tc>
          <w:tcPr>
            <w:cnfStyle w:val="001000000000" w:firstRow="0" w:lastRow="0" w:firstColumn="1" w:lastColumn="0" w:oddVBand="0" w:evenVBand="0" w:oddHBand="0" w:evenHBand="0" w:firstRowFirstColumn="0" w:firstRowLastColumn="0" w:lastRowFirstColumn="0" w:lastRowLastColumn="0"/>
            <w:tcW w:w="1232" w:type="dxa"/>
            <w:vMerge/>
          </w:tcPr>
          <w:p w14:paraId="0667406B"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421F0E7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Ograniczanie hospitalizacji </w:t>
            </w:r>
            <w:r w:rsidRPr="00D24DF9">
              <w:rPr>
                <w:rFonts w:ascii="Times New Roman" w:eastAsia="MS Mincho" w:hAnsi="Times New Roman"/>
                <w:sz w:val="20"/>
              </w:rPr>
              <w:br/>
              <w:t>do niezbędnego minimum, w tym:</w:t>
            </w:r>
          </w:p>
          <w:p w14:paraId="3C7B54B5"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rozwój rozwiązań alternatywnych </w:t>
            </w:r>
            <w:r w:rsidRPr="00D24DF9">
              <w:rPr>
                <w:rFonts w:ascii="Times New Roman" w:eastAsia="MS Mincho" w:hAnsi="Times New Roman"/>
                <w:sz w:val="20"/>
              </w:rPr>
              <w:br/>
              <w:t xml:space="preserve">dla hospitalizacji, np. </w:t>
            </w:r>
            <w:r w:rsidRPr="00D24DF9">
              <w:rPr>
                <w:rFonts w:ascii="Times New Roman" w:hAnsi="Times New Roman"/>
                <w:sz w:val="20"/>
              </w:rPr>
              <w:t>specjalistyczna opieka w miejscu zamieszkania czy terapia środowiskowa;</w:t>
            </w:r>
          </w:p>
          <w:p w14:paraId="626D7D4B"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stworzenie systemu dziennej diagnostyki, umożliwiającego </w:t>
            </w:r>
            <w:r w:rsidRPr="00D24DF9">
              <w:rPr>
                <w:rFonts w:ascii="Times New Roman" w:eastAsia="MS Mincho" w:hAnsi="Times New Roman"/>
                <w:sz w:val="20"/>
              </w:rPr>
              <w:lastRenderedPageBreak/>
              <w:t xml:space="preserve">wdrożenie leczenia i dalszą </w:t>
            </w:r>
            <w:r w:rsidRPr="00D24DF9">
              <w:rPr>
                <w:rFonts w:ascii="Times New Roman" w:eastAsia="MS Mincho" w:hAnsi="Times New Roman"/>
                <w:sz w:val="20"/>
              </w:rPr>
              <w:br/>
              <w:t>jego kontynuację w warunkach środowiska domowego;</w:t>
            </w:r>
          </w:p>
          <w:p w14:paraId="1D6C8269"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tworzenie rozwiązań na rzecz wzmocnienia dziennej rehabilitacji (fizjoterapia, terapia zajęciowa i terapia psychologiczna, w tym terapia zaburzeń funkcji poznawczych)</w:t>
            </w:r>
          </w:p>
        </w:tc>
        <w:tc>
          <w:tcPr>
            <w:tcW w:w="2032" w:type="dxa"/>
            <w:vMerge w:val="restart"/>
          </w:tcPr>
          <w:p w14:paraId="66D3B9A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Ministerstwo Zdrowia</w:t>
            </w:r>
          </w:p>
        </w:tc>
        <w:tc>
          <w:tcPr>
            <w:tcW w:w="1500" w:type="dxa"/>
            <w:vMerge w:val="restart"/>
          </w:tcPr>
          <w:p w14:paraId="63862EC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2DBCA25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wdrożonych rozwiązań mających na celu ograniczenie hospitalizacji do niezbędnego minimum</w:t>
            </w:r>
          </w:p>
        </w:tc>
      </w:tr>
      <w:tr w:rsidR="005F3D4B" w:rsidRPr="00D24DF9" w14:paraId="42D4AE4D"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234CB79" w14:textId="77777777" w:rsidR="00311D18" w:rsidRPr="00D24DF9" w:rsidRDefault="00311D18" w:rsidP="003C1988">
            <w:pPr>
              <w:spacing w:after="0"/>
              <w:rPr>
                <w:rFonts w:ascii="Times New Roman" w:hAnsi="Times New Roman" w:cs="Times New Roman"/>
                <w:sz w:val="20"/>
              </w:rPr>
            </w:pPr>
          </w:p>
        </w:tc>
        <w:tc>
          <w:tcPr>
            <w:tcW w:w="3594" w:type="dxa"/>
            <w:vMerge/>
          </w:tcPr>
          <w:p w14:paraId="2E6EAF2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74369D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203FB5FF"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4735B228"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18"/>
              </w:rPr>
            </w:pPr>
            <w:r w:rsidRPr="00F97CCB">
              <w:rPr>
                <w:rFonts w:ascii="Times New Roman" w:hAnsi="Times New Roman" w:cs="Times New Roman"/>
                <w:bCs/>
                <w:sz w:val="18"/>
              </w:rPr>
              <w:t xml:space="preserve">W Ministerstwie Zdrowia trwa analiza zagadnienia w kierunku zmiany rozporządzenia Ministra Zdrowia w sprawie świadczeń gwarantowanych z zakresu opieki długoterminowej. Prowadzone są prace nad wdrożeniem nowego świadczenia opieki zdrowotnej – dzienna długoterminowa opieka medyczna, w oparciu o doświadczenia z realizacji projektów współfinansowanych ze środków Unii Europejskiej w ramach PO WER i </w:t>
            </w:r>
            <w:r w:rsidRPr="00F97CCB">
              <w:rPr>
                <w:rFonts w:ascii="Times New Roman" w:hAnsi="Times New Roman" w:cs="Times New Roman"/>
                <w:bCs/>
                <w:sz w:val="18"/>
              </w:rPr>
              <w:lastRenderedPageBreak/>
              <w:t xml:space="preserve">RPO 2014-2020 dotyczących opracowania standardu, przeprowadzenia pilotażu i upowszechnienia Dziennych Domów Opieki Medycznej. </w:t>
            </w:r>
          </w:p>
          <w:p w14:paraId="72007D0C"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rPr>
            </w:pPr>
          </w:p>
          <w:p w14:paraId="17CA315E" w14:textId="77777777" w:rsidR="00311D18" w:rsidRPr="00D24DF9"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F97CCB">
              <w:rPr>
                <w:rFonts w:ascii="Times New Roman" w:eastAsia="MS Mincho" w:hAnsi="Times New Roman" w:cs="Times New Roman"/>
                <w:bCs/>
                <w:sz w:val="20"/>
              </w:rPr>
              <w:t>Jednocześnie osoby starsze mogą korzystać ze specjalistycznej opieki w miejscu zamieszkania, tj. Centrów Zdrowia Psychicznego.</w:t>
            </w:r>
          </w:p>
        </w:tc>
      </w:tr>
      <w:tr w:rsidR="005F3D4B" w:rsidRPr="00D24DF9" w14:paraId="6D866A11" w14:textId="77777777" w:rsidTr="004D48DD">
        <w:trPr>
          <w:trHeight w:val="415"/>
        </w:trPr>
        <w:tc>
          <w:tcPr>
            <w:cnfStyle w:val="001000000000" w:firstRow="0" w:lastRow="0" w:firstColumn="1" w:lastColumn="0" w:oddVBand="0" w:evenVBand="0" w:oddHBand="0" w:evenHBand="0" w:firstRowFirstColumn="0" w:firstRowLastColumn="0" w:lastRowFirstColumn="0" w:lastRowLastColumn="0"/>
            <w:tcW w:w="1232" w:type="dxa"/>
            <w:vMerge/>
          </w:tcPr>
          <w:p w14:paraId="742FA0ED"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623DA5F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Zwiększenie dostępności świadczeń </w:t>
            </w:r>
            <w:r w:rsidRPr="00D24DF9">
              <w:rPr>
                <w:rFonts w:ascii="Times New Roman" w:eastAsia="MS Mincho" w:hAnsi="Times New Roman"/>
                <w:sz w:val="20"/>
              </w:rPr>
              <w:br/>
              <w:t>z zakresu geriatrii w systemie szpitalnym, w tym:</w:t>
            </w:r>
          </w:p>
          <w:p w14:paraId="72142CDF"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upowszechnienie sytemu konsultacji geriatrycznych hospitalizowanych chorych osób starszych;</w:t>
            </w:r>
          </w:p>
          <w:p w14:paraId="0B0A5FCD"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zwiększenie liczby geriatrów zatrudnionych w systemie</w:t>
            </w:r>
          </w:p>
        </w:tc>
        <w:tc>
          <w:tcPr>
            <w:tcW w:w="2032" w:type="dxa"/>
            <w:vMerge w:val="restart"/>
          </w:tcPr>
          <w:p w14:paraId="2809E77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1F013EE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0DD6339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wdrożonych rozwiązań mających na zwiększenie dostępności świadczeń z zakresu geriatrii w systemie szpitalnym</w:t>
            </w:r>
          </w:p>
        </w:tc>
      </w:tr>
      <w:tr w:rsidR="005F3D4B" w:rsidRPr="00D24DF9" w14:paraId="442673DF"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8A0072F" w14:textId="77777777" w:rsidR="00311D18" w:rsidRPr="00D24DF9" w:rsidRDefault="00311D18" w:rsidP="003C1988">
            <w:pPr>
              <w:spacing w:after="0"/>
              <w:rPr>
                <w:rFonts w:ascii="Times New Roman" w:hAnsi="Times New Roman" w:cs="Times New Roman"/>
                <w:sz w:val="20"/>
              </w:rPr>
            </w:pPr>
          </w:p>
        </w:tc>
        <w:tc>
          <w:tcPr>
            <w:tcW w:w="3594" w:type="dxa"/>
            <w:vMerge/>
          </w:tcPr>
          <w:p w14:paraId="0E407D6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5B179E6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424A1E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7C649FAA"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F97CCB">
              <w:rPr>
                <w:rFonts w:ascii="Times New Roman" w:eastAsia="MS Mincho" w:hAnsi="Times New Roman" w:cs="Times New Roman"/>
                <w:bCs/>
                <w:sz w:val="20"/>
              </w:rPr>
              <w:t>Liczba lekarzy geriatrów systematycznie wzrasta. Zgodnie z danymi NIL na koniec 2019 r. było 488 lekarzy specjalistów w dziedzinie geriatrii czynnych zawodowo. Ponadto 133 lekarzy było w trakcie odbywania szkolenia specjalizacyjnego w tej dziedzinie.</w:t>
            </w:r>
          </w:p>
          <w:p w14:paraId="3B4E4128"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01977CDF"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23811C6"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C0E91A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Zwiększenie dostępności konsultacji geriatrycznych w warunkach opieki ambulatoryjnej, w tym:</w:t>
            </w:r>
          </w:p>
          <w:p w14:paraId="25F67A67"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utrzymanie priorytetyzacji specjalizacji z geriatrii;</w:t>
            </w:r>
          </w:p>
          <w:p w14:paraId="7BC286E0"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stworzenie sieci jednostek szkolących lekarzy geriatrów</w:t>
            </w:r>
          </w:p>
        </w:tc>
        <w:tc>
          <w:tcPr>
            <w:tcW w:w="2032" w:type="dxa"/>
            <w:vMerge w:val="restart"/>
          </w:tcPr>
          <w:p w14:paraId="70BD27D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23ADAB9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589C5C8D"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wdrożonych rozwiązań mających na celu zwiększenie dostępności konsultacji geriatrycznych  w warunkach opieki ambulatoryjnej</w:t>
            </w:r>
          </w:p>
        </w:tc>
      </w:tr>
      <w:tr w:rsidR="005F3D4B" w:rsidRPr="00D24DF9" w14:paraId="481B6C26"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B9E1CDA" w14:textId="77777777" w:rsidR="00311D18" w:rsidRPr="00D24DF9" w:rsidRDefault="00311D18" w:rsidP="003C1988">
            <w:pPr>
              <w:spacing w:after="0"/>
              <w:rPr>
                <w:rFonts w:ascii="Times New Roman" w:hAnsi="Times New Roman" w:cs="Times New Roman"/>
                <w:sz w:val="20"/>
              </w:rPr>
            </w:pPr>
          </w:p>
        </w:tc>
        <w:tc>
          <w:tcPr>
            <w:tcW w:w="3594" w:type="dxa"/>
            <w:vMerge/>
          </w:tcPr>
          <w:p w14:paraId="6BC5A69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1895F56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4BF4EF66"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E90FA9E"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Kwestie związane ze strukturą organizacyjną podmiotu wykonującego działalność leczniczą pozostają poza zakresem</w:t>
            </w:r>
          </w:p>
          <w:p w14:paraId="6AEB3BB7"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działania Ministerstwa Zdrowia. Ewentualne działania w tym kierunku mogą być prowadzone przez kierowników podmiotów leczniczych realizujących świadczenia z przedmiotowego zakresu.</w:t>
            </w:r>
          </w:p>
          <w:p w14:paraId="5D5EBDC9"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16A3ADDA"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Szkolenie specjalizacyjne mogą prowadzić jednostki, które otrzymały akredytację. Jednostka ubiegająca się o akredytację jest obowiązana spełnić szereg warunków organizacyjnych i kadrowych.</w:t>
            </w:r>
          </w:p>
          <w:p w14:paraId="205131E7"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65F43D1D"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 xml:space="preserve">Należy podkreślić, że jednostki przystępujące do akredytacji są, zgodnie z obowiązującymi przepisami prawa, samodzielne w </w:t>
            </w:r>
            <w:r w:rsidRPr="00F97CCB">
              <w:rPr>
                <w:rFonts w:ascii="Times New Roman" w:hAnsi="Times New Roman" w:cs="Times New Roman"/>
                <w:sz w:val="20"/>
              </w:rPr>
              <w:lastRenderedPageBreak/>
              <w:t xml:space="preserve">podejmowaniu decyzji przystąpienia do szkolenia specjalizacyjnego oraz poddania się całemu procesowi akredytacji. Dyrektor takiej jednostki ponosi bowiem odpowiedzialność za wypełnienie warunków kadrowych i organizacyjnych, a także za zapewnienie wysokiej jakości kształcenia. </w:t>
            </w:r>
          </w:p>
          <w:p w14:paraId="65D96556"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60119258"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Minister Zdrowia sprawuje wyłącznie nadzór nad realizacją szkolenia specjalizacyjnego, w szczególności w zakresie zgodności realizacji zajęć z programem specjalizacji, prawidłowości prowadzonej dokumentacji przebiegu szkolenia specjalizacyjnego oraz zapewnienia odpowiedniej jakości szkolenia specjalizacyjnego.</w:t>
            </w:r>
          </w:p>
          <w:p w14:paraId="1D282EB6"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highlight w:val="green"/>
              </w:rPr>
            </w:pPr>
          </w:p>
          <w:p w14:paraId="2994AF72" w14:textId="77777777" w:rsidR="00311D18" w:rsidRPr="00D24DF9"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F97CCB">
              <w:rPr>
                <w:rFonts w:ascii="Times New Roman" w:eastAsia="MS Mincho" w:hAnsi="Times New Roman" w:cs="Times New Roman"/>
                <w:bCs/>
                <w:sz w:val="20"/>
              </w:rPr>
              <w:t xml:space="preserve">Odnosząc się do </w:t>
            </w:r>
            <w:r w:rsidRPr="00F97CCB">
              <w:rPr>
                <w:sz w:val="20"/>
              </w:rPr>
              <w:t xml:space="preserve"> </w:t>
            </w:r>
            <w:r w:rsidRPr="00F97CCB">
              <w:rPr>
                <w:rFonts w:ascii="Times New Roman" w:eastAsia="MS Mincho" w:hAnsi="Times New Roman" w:cs="Times New Roman"/>
                <w:bCs/>
                <w:sz w:val="20"/>
              </w:rPr>
              <w:t>utrzymania priorytetyzacji specjalizacji z geriatrii należ podkreślić, że przez cały 2019 r. utrzymano status geriatrii jako dziedziny priorytetowej.</w:t>
            </w:r>
          </w:p>
        </w:tc>
      </w:tr>
      <w:tr w:rsidR="005F3D4B" w:rsidRPr="00D24DF9" w14:paraId="1AB8A044"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F10CF6F"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22F2C92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Rozwój kształcenia przed dyplomowego z zakresu geriatrii na kierunkach medycznych, w tym:</w:t>
            </w:r>
          </w:p>
          <w:p w14:paraId="571C230D"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wsparcie rozwoju akademickich ośrodków geriatrycznych </w:t>
            </w:r>
            <w:r w:rsidRPr="00D24DF9">
              <w:rPr>
                <w:rFonts w:ascii="Times New Roman" w:eastAsia="MS Mincho" w:hAnsi="Times New Roman"/>
                <w:sz w:val="20"/>
              </w:rPr>
              <w:br/>
              <w:t>w uczelniach kształcących kadrę medyczną (klinik, zakładów, katedr) oraz studenckich kół naukowych geriatrii;</w:t>
            </w:r>
          </w:p>
          <w:p w14:paraId="6D799EE8"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analiza efektów kształcenia z zakresu geriatrii na poszczególnych kierunkach medycznych w kontekście doskonalenia kształcenia </w:t>
            </w:r>
            <w:r w:rsidRPr="00D24DF9">
              <w:rPr>
                <w:rFonts w:ascii="Times New Roman" w:eastAsia="MS Mincho" w:hAnsi="Times New Roman"/>
                <w:sz w:val="20"/>
              </w:rPr>
              <w:br/>
              <w:t>przed dyplomowego w tym obszarze;</w:t>
            </w:r>
          </w:p>
          <w:p w14:paraId="6DD22DC7"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wsparcie rozwoju badań naukowych w obszarze zdrowego starzenia się i </w:t>
            </w:r>
            <w:r w:rsidRPr="00D24DF9">
              <w:rPr>
                <w:rFonts w:ascii="Times New Roman" w:eastAsia="MS Mincho" w:hAnsi="Times New Roman"/>
                <w:sz w:val="20"/>
              </w:rPr>
              <w:lastRenderedPageBreak/>
              <w:t>chorób związanych z wiekiem starczym</w:t>
            </w:r>
          </w:p>
        </w:tc>
        <w:tc>
          <w:tcPr>
            <w:tcW w:w="2032" w:type="dxa"/>
            <w:vMerge w:val="restart"/>
          </w:tcPr>
          <w:p w14:paraId="3333231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Ministerstwo Zdrowia</w:t>
            </w:r>
          </w:p>
        </w:tc>
        <w:tc>
          <w:tcPr>
            <w:tcW w:w="1500" w:type="dxa"/>
            <w:vMerge w:val="restart"/>
          </w:tcPr>
          <w:p w14:paraId="4BD6875E" w14:textId="77777777" w:rsidR="00311D18" w:rsidRPr="00D24DF9" w:rsidRDefault="00311D18" w:rsidP="003C1988">
            <w:pPr>
              <w:tabs>
                <w:tab w:val="left" w:pos="1230"/>
              </w:tabs>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001402B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podjętych inicjatyw mających na celu rozwój kształcenia przed dyplomowego z zakresu geriatrii na kierunkach medycznych.</w:t>
            </w:r>
          </w:p>
        </w:tc>
      </w:tr>
      <w:tr w:rsidR="005F3D4B" w:rsidRPr="00D24DF9" w14:paraId="57EC68FF"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7E90142" w14:textId="77777777" w:rsidR="00311D18" w:rsidRPr="00D24DF9" w:rsidRDefault="00311D18" w:rsidP="003C1988">
            <w:pPr>
              <w:spacing w:after="0"/>
              <w:rPr>
                <w:rFonts w:ascii="Times New Roman" w:hAnsi="Times New Roman" w:cs="Times New Roman"/>
                <w:sz w:val="20"/>
              </w:rPr>
            </w:pPr>
          </w:p>
        </w:tc>
        <w:tc>
          <w:tcPr>
            <w:tcW w:w="3594" w:type="dxa"/>
            <w:vMerge/>
          </w:tcPr>
          <w:p w14:paraId="00E21D1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7D81D1B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785750B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48BF7B61"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 xml:space="preserve">Uczelnie kształcące na kierunku lekarskim prowadzą weryfikację osiągniętych efektów uczenia z zastosowaniem zróżnicowanych form sprawdzania, adekwatnych do kategorii </w:t>
            </w:r>
            <w:r w:rsidRPr="00F97CCB">
              <w:rPr>
                <w:rFonts w:ascii="Times New Roman" w:hAnsi="Times New Roman" w:cs="Times New Roman"/>
                <w:b/>
                <w:bCs/>
                <w:sz w:val="20"/>
              </w:rPr>
              <w:t>wiedzy, umiejętności i kompetencji społecznych</w:t>
            </w:r>
            <w:r w:rsidRPr="00F97CCB">
              <w:rPr>
                <w:rFonts w:ascii="Times New Roman" w:hAnsi="Times New Roman" w:cs="Times New Roman"/>
                <w:sz w:val="20"/>
              </w:rPr>
              <w:t xml:space="preserve">, których dotyczą te efekty. </w:t>
            </w:r>
          </w:p>
          <w:p w14:paraId="74ED136C"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460F189C"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 xml:space="preserve">Osiągnięte efekty uczenia się w kategorii </w:t>
            </w:r>
            <w:r w:rsidRPr="00F97CCB">
              <w:rPr>
                <w:rFonts w:ascii="Times New Roman" w:hAnsi="Times New Roman" w:cs="Times New Roman"/>
                <w:b/>
                <w:bCs/>
                <w:sz w:val="20"/>
              </w:rPr>
              <w:t>wiedzy</w:t>
            </w:r>
            <w:r w:rsidRPr="00F97CCB">
              <w:rPr>
                <w:rFonts w:ascii="Times New Roman" w:hAnsi="Times New Roman" w:cs="Times New Roman"/>
                <w:sz w:val="20"/>
              </w:rPr>
              <w:t xml:space="preserve"> można weryfikować za pomocą egzaminów pisemnych lub ustnych. Jako formy egzaminów pisemnych można stosować eseje, raporty, krótkie ustrukturyzowane pytania, testy wielokrotnego wyboru, testy wielokrotnej odpowiedzi, testy wyboru Tak/Nie lub dopasowania odpowiedzi. Egzaminy są ukierunkowane na sprawdzenie wiedzy na poziomie wyższym niż sama znajomość zagadnień (poziom zrozumienia zagadnień, umiejętność analizy i syntezy informacji oraz rozwiązywania problemów).</w:t>
            </w:r>
          </w:p>
          <w:p w14:paraId="4C2FF49C"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66C7D9A3"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lastRenderedPageBreak/>
              <w:t xml:space="preserve">Weryfikacja osiągniętych efektów uczenia się w kategorii </w:t>
            </w:r>
            <w:r w:rsidRPr="00F97CCB">
              <w:rPr>
                <w:rFonts w:ascii="Times New Roman" w:hAnsi="Times New Roman" w:cs="Times New Roman"/>
                <w:b/>
                <w:bCs/>
                <w:sz w:val="20"/>
              </w:rPr>
              <w:t>umiejętności</w:t>
            </w:r>
            <w:r w:rsidRPr="00F97CCB">
              <w:rPr>
                <w:rFonts w:ascii="Times New Roman" w:hAnsi="Times New Roman" w:cs="Times New Roman"/>
                <w:sz w:val="20"/>
              </w:rPr>
              <w:t xml:space="preserve"> w zakresie komunikowania się oraz proceduralnych (manualnych), wymaga bezpośredniej obserwacji studenta demonstrującego umiejętność w czasie tradycyjnego egzaminu klinicznego lub egzaminu standaryzowanego, który jest wskazany w szczególności jako</w:t>
            </w:r>
          </w:p>
          <w:p w14:paraId="1BF541AC"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forma sprawdzania całości umiejętności klinicznych nabytych</w:t>
            </w:r>
          </w:p>
          <w:p w14:paraId="2AE515D6"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w trakcie praktycznego nauczania klinicznego na VI roku studiów. Ponadto warto też wskazać, że jakość kształcenia na</w:t>
            </w:r>
          </w:p>
          <w:p w14:paraId="31838EFB"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studiach podlega ewaluacji przeprowadzanej przez PKA.</w:t>
            </w:r>
          </w:p>
          <w:p w14:paraId="1F10FDAA"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p>
          <w:p w14:paraId="69E02B5C" w14:textId="77777777" w:rsidR="00311D18" w:rsidRPr="00D24DF9"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F97CCB">
              <w:rPr>
                <w:rFonts w:ascii="Times New Roman" w:hAnsi="Times New Roman" w:cs="Times New Roman"/>
                <w:sz w:val="20"/>
              </w:rPr>
              <w:t>MZ nie prowadzi analiz efektów kształcenia z zakresu poszczególnych dziedzin medycyny, w tym również geriatrii</w:t>
            </w:r>
            <w:r w:rsidRPr="00F97CCB">
              <w:rPr>
                <w:rFonts w:ascii="Times New Roman" w:eastAsia="MS Mincho" w:hAnsi="Times New Roman" w:cs="Times New Roman"/>
                <w:b/>
                <w:sz w:val="20"/>
              </w:rPr>
              <w:t>.</w:t>
            </w:r>
          </w:p>
        </w:tc>
      </w:tr>
      <w:tr w:rsidR="005F3D4B" w:rsidRPr="00D24DF9" w14:paraId="6B700E09"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384F327"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E70E3F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Rozwój kształcenia podyplomowego </w:t>
            </w:r>
            <w:r w:rsidRPr="00D24DF9">
              <w:rPr>
                <w:rFonts w:ascii="Times New Roman" w:eastAsia="MS Mincho" w:hAnsi="Times New Roman"/>
                <w:sz w:val="20"/>
              </w:rPr>
              <w:br/>
              <w:t>z zakresu geriatrii w zawodach medycznych, w tym:</w:t>
            </w:r>
          </w:p>
          <w:p w14:paraId="0BE5D7BE"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stymulowanie wzrostu liczby lekarzy specjalizujących się w dziedzinie geriatrii i wzmacnianie jakości kształcenia specjalizacyjnego w tej dziedzinie;</w:t>
            </w:r>
          </w:p>
          <w:p w14:paraId="0B924E2C" w14:textId="77777777" w:rsidR="00311D18" w:rsidRPr="00D24DF9" w:rsidRDefault="00311D18" w:rsidP="00B14DF0">
            <w:pPr>
              <w:pStyle w:val="Kolorowalistaakcent11"/>
              <w:numPr>
                <w:ilvl w:val="0"/>
                <w:numId w:val="34"/>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wsparcie systemu kształcenia ustawicznego personelu medycznego w zakresie opieki geriatrycznej, w tym lekarzy podstawowej opieki zdrowotnej (POZ), fizjoterapeutów, pielęgniarek i opiekunów medycznych</w:t>
            </w:r>
          </w:p>
        </w:tc>
        <w:tc>
          <w:tcPr>
            <w:tcW w:w="2032" w:type="dxa"/>
            <w:vMerge w:val="restart"/>
          </w:tcPr>
          <w:p w14:paraId="06CD9FA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197300A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6BEC832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podjętych inicjatyw mających na celu rozwój kształcenia podyplomowego z zakresu geriatrii w zawodach medycznych</w:t>
            </w:r>
          </w:p>
        </w:tc>
      </w:tr>
      <w:tr w:rsidR="005F3D4B" w:rsidRPr="00D24DF9" w14:paraId="109749D7"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4D7692E" w14:textId="77777777" w:rsidR="00311D18" w:rsidRPr="00D24DF9" w:rsidRDefault="00311D18" w:rsidP="003C1988">
            <w:pPr>
              <w:spacing w:after="0"/>
              <w:rPr>
                <w:rFonts w:ascii="Times New Roman" w:hAnsi="Times New Roman" w:cs="Times New Roman"/>
                <w:sz w:val="20"/>
              </w:rPr>
            </w:pPr>
          </w:p>
        </w:tc>
        <w:tc>
          <w:tcPr>
            <w:tcW w:w="3594" w:type="dxa"/>
            <w:vMerge/>
          </w:tcPr>
          <w:p w14:paraId="16EAD19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497688E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637009D2"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5C35A4B0"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F97CCB">
              <w:rPr>
                <w:rFonts w:ascii="Times New Roman" w:hAnsi="Times New Roman" w:cs="Times New Roman"/>
                <w:sz w:val="20"/>
              </w:rPr>
              <w:t>Określenie geriatrii jako dziedziny priorytetowej miało na celu zachęcanie lekarzy do podejmowania szkolenia specjalizacyjnego w tej dziedzinie medycyny.</w:t>
            </w:r>
          </w:p>
          <w:p w14:paraId="10FBE741"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u w:val="single"/>
              </w:rPr>
            </w:pPr>
          </w:p>
          <w:p w14:paraId="2AE370FF"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F97CCB">
              <w:rPr>
                <w:rFonts w:ascii="Times New Roman" w:eastAsia="MS Mincho" w:hAnsi="Times New Roman" w:cs="Times New Roman"/>
                <w:bCs/>
                <w:sz w:val="20"/>
              </w:rPr>
              <w:t>Odnosząc się do</w:t>
            </w:r>
            <w:r w:rsidRPr="00F97CCB">
              <w:rPr>
                <w:rFonts w:ascii="Times New Roman" w:eastAsia="MS Mincho" w:hAnsi="Times New Roman" w:cs="Times New Roman"/>
                <w:bCs/>
                <w:sz w:val="20"/>
                <w:u w:val="single"/>
              </w:rPr>
              <w:t xml:space="preserve"> szkoleń specjalizacyjnych w dziedzinie pielęgniarstwa geriatrycznego, </w:t>
            </w:r>
            <w:r w:rsidRPr="00F97CCB">
              <w:rPr>
                <w:rFonts w:ascii="Times New Roman" w:eastAsia="MS Mincho" w:hAnsi="Times New Roman" w:cs="Times New Roman"/>
                <w:bCs/>
                <w:sz w:val="20"/>
              </w:rPr>
              <w:t>należy wskazać, że szkolenia takie w 2019 r. były priorytetowe  w województwach: dolnośląskim, łódzkim, mazowieckim, pomorskim, śląskim oraz warmińsko-mazurskim (szkolenia nie rozpoczęły się w województwie dolnośląskim - organizator kształcenia odstąpił od realizacji tej specjalizacji).</w:t>
            </w:r>
          </w:p>
          <w:p w14:paraId="7272ABF1"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p>
          <w:p w14:paraId="343B3D6E"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F97CCB">
              <w:rPr>
                <w:rFonts w:ascii="Times New Roman" w:eastAsia="MS Mincho" w:hAnsi="Times New Roman" w:cs="Times New Roman"/>
                <w:bCs/>
                <w:sz w:val="20"/>
              </w:rPr>
              <w:t>W 2019 r. realizowanych było 16 edycji szkoleń specjalizacyjnych w dziedzinie pielęgniarstwa geriatrycznego dofinansowanych przez Ministra Zdrowia ze środków publicznych, w których uczestniczyło łącznie  440 pielęgniarek, w tym 11 edycji szkoleń, które rozpoczęły się w 2017 i 2018 r.</w:t>
            </w:r>
          </w:p>
          <w:p w14:paraId="5FB0689F"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p>
          <w:p w14:paraId="0DAA766E"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F97CCB">
              <w:rPr>
                <w:rFonts w:ascii="Times New Roman" w:eastAsia="MS Mincho" w:hAnsi="Times New Roman" w:cs="Times New Roman"/>
                <w:bCs/>
                <w:sz w:val="20"/>
              </w:rPr>
              <w:lastRenderedPageBreak/>
              <w:t>Liczba pielęgniarek posiadających tytuł specjalisty w dziedzinie pielęgniarstwa geriatrycznego wyniosła 2552 (stan na dzień 31.12.2019 r.).</w:t>
            </w:r>
          </w:p>
          <w:p w14:paraId="5F8E0531" w14:textId="77777777" w:rsidR="00F97CCB" w:rsidRPr="00F97CCB"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p>
          <w:p w14:paraId="666A2195" w14:textId="77777777" w:rsidR="00311D18" w:rsidRPr="00D24DF9" w:rsidRDefault="00F97CC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F97CCB">
              <w:rPr>
                <w:rFonts w:ascii="Times New Roman" w:eastAsia="MS Mincho" w:hAnsi="Times New Roman" w:cs="Times New Roman"/>
                <w:bCs/>
                <w:sz w:val="20"/>
              </w:rPr>
              <w:t>Liczba pielęgniarek, które ukończyły kurs kwalifikacyjny w dziedzinie pielęgniarstwa geriatrycznego wyniosła 1 542 (stan na dzień 31.12.2019 r.).</w:t>
            </w:r>
          </w:p>
        </w:tc>
      </w:tr>
      <w:tr w:rsidR="005F3D4B" w:rsidRPr="00D24DF9" w14:paraId="171ABEF9" w14:textId="77777777" w:rsidTr="004D48DD">
        <w:trPr>
          <w:trHeight w:val="521"/>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vAlign w:val="center"/>
          </w:tcPr>
          <w:p w14:paraId="16F8887C" w14:textId="77777777" w:rsidR="00311D18" w:rsidRPr="00D24DF9" w:rsidRDefault="00311D18" w:rsidP="003C1988">
            <w:pPr>
              <w:spacing w:after="0"/>
              <w:ind w:left="113" w:right="113"/>
              <w:rPr>
                <w:rFonts w:ascii="Times New Roman" w:hAnsi="Times New Roman" w:cs="Times New Roman"/>
                <w:sz w:val="20"/>
              </w:rPr>
            </w:pPr>
            <w:r w:rsidRPr="00D24DF9">
              <w:rPr>
                <w:rFonts w:ascii="Times New Roman" w:hAnsi="Times New Roman" w:cs="Times New Roman"/>
                <w:sz w:val="20"/>
              </w:rPr>
              <w:lastRenderedPageBreak/>
              <w:t>Obszar V</w:t>
            </w:r>
          </w:p>
        </w:tc>
        <w:tc>
          <w:tcPr>
            <w:tcW w:w="3594" w:type="dxa"/>
            <w:vMerge w:val="restart"/>
            <w:shd w:val="clear" w:color="auto" w:fill="D9E2F3" w:themeFill="accent5" w:themeFillTint="33"/>
          </w:tcPr>
          <w:p w14:paraId="5798CC8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Prowadzenie kampanii społeczno - informacyjnych, jakie zachowania </w:t>
            </w:r>
            <w:r w:rsidRPr="00D24DF9">
              <w:rPr>
                <w:rFonts w:ascii="Times New Roman" w:eastAsia="MS Mincho" w:hAnsi="Times New Roman"/>
                <w:sz w:val="20"/>
              </w:rPr>
              <w:br/>
              <w:t>są zachowaniami przemocowymi</w:t>
            </w:r>
          </w:p>
        </w:tc>
        <w:tc>
          <w:tcPr>
            <w:tcW w:w="2032" w:type="dxa"/>
            <w:vMerge w:val="restart"/>
          </w:tcPr>
          <w:p w14:paraId="1BEBE5F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Rodziny, Pracy i Polityki Społecznej</w:t>
            </w:r>
          </w:p>
          <w:p w14:paraId="43E2C73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val="restart"/>
          </w:tcPr>
          <w:p w14:paraId="6E008A0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25BCFA1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5DD3882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zrealizowanych kampanii społecznych informujących, jakie zachowania są zachowaniami przemocowymi</w:t>
            </w:r>
          </w:p>
        </w:tc>
      </w:tr>
      <w:tr w:rsidR="005F3D4B" w:rsidRPr="00D24DF9" w14:paraId="7D8906F4"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81D0D87" w14:textId="77777777" w:rsidR="00311D18" w:rsidRPr="00D24DF9" w:rsidRDefault="00311D18" w:rsidP="003C1988">
            <w:pPr>
              <w:spacing w:after="0"/>
              <w:rPr>
                <w:rFonts w:ascii="Times New Roman" w:hAnsi="Times New Roman" w:cs="Times New Roman"/>
                <w:sz w:val="20"/>
              </w:rPr>
            </w:pPr>
          </w:p>
        </w:tc>
        <w:tc>
          <w:tcPr>
            <w:tcW w:w="3594" w:type="dxa"/>
            <w:vMerge/>
          </w:tcPr>
          <w:p w14:paraId="0D9CE14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567BA76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60D2EEB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171DC951" w14:textId="77777777" w:rsidR="006B3FCF" w:rsidRPr="00D24DF9" w:rsidRDefault="006B3FCF"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D24DF9">
              <w:rPr>
                <w:rFonts w:ascii="Times New Roman" w:eastAsia="Calibri" w:hAnsi="Times New Roman" w:cs="Times New Roman"/>
                <w:sz w:val="20"/>
              </w:rPr>
              <w:t xml:space="preserve">Działania na rzecz przeciwdziałania przemocy w rodzinie, w tym wobec osób starszych, realizowane są m.in. w oparciu ustawę z dnia 29 lipca 2005 r. </w:t>
            </w:r>
            <w:r w:rsidRPr="00D24DF9">
              <w:rPr>
                <w:rFonts w:ascii="Times New Roman" w:eastAsia="Calibri" w:hAnsi="Times New Roman" w:cs="Times New Roman"/>
                <w:b/>
                <w:sz w:val="20"/>
              </w:rPr>
              <w:t>o przeciwdziałaniu przemocy w rodzinie</w:t>
            </w:r>
            <w:r w:rsidRPr="00D24DF9">
              <w:rPr>
                <w:rFonts w:ascii="Times New Roman" w:eastAsia="Calibri" w:hAnsi="Times New Roman" w:cs="Times New Roman"/>
                <w:sz w:val="20"/>
              </w:rPr>
              <w:t xml:space="preserve"> (Dz. U. z 2020 r. poz. 218) oraz o Krajowy Program Przeciwdziałania</w:t>
            </w:r>
            <w:r w:rsidR="0013095E">
              <w:rPr>
                <w:rFonts w:ascii="Times New Roman" w:eastAsia="Calibri" w:hAnsi="Times New Roman" w:cs="Times New Roman"/>
                <w:sz w:val="20"/>
              </w:rPr>
              <w:t xml:space="preserve"> Przemocy </w:t>
            </w:r>
            <w:r w:rsidRPr="00D24DF9">
              <w:rPr>
                <w:rFonts w:ascii="Times New Roman" w:eastAsia="Calibri" w:hAnsi="Times New Roman" w:cs="Times New Roman"/>
                <w:sz w:val="20"/>
              </w:rPr>
              <w:t>w Rodzinie na lata 2014-2020 ustanowiony w dniu 29 kwietnia 2014 r. Uchwałą Rady Ministrów Nr 76.  W Krajowym Programie Przeciwdziałania Przemocy w Rodzinie na lata 2014-2020. określono cztery podstawowe obszary zawierające kierunki działań oraz sprecyzowano oddziaływania wobec różnych grup odbiorców</w:t>
            </w:r>
            <w:r w:rsidRPr="00D24DF9">
              <w:rPr>
                <w:rFonts w:ascii="Times New Roman" w:hAnsi="Times New Roman" w:cs="Times New Roman"/>
                <w:sz w:val="20"/>
              </w:rPr>
              <w:t>, które w sposób pośredni bądź bezpośredni wpływają na realizację zadań na rzecz osób starszych.</w:t>
            </w:r>
          </w:p>
          <w:p w14:paraId="6CC0D72E" w14:textId="77777777" w:rsidR="0013095E" w:rsidRDefault="006B3FCF" w:rsidP="008C71A9">
            <w:pPr>
              <w:pStyle w:val="Akapitzlist"/>
              <w:numPr>
                <w:ilvl w:val="0"/>
                <w:numId w:val="237"/>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13095E">
              <w:rPr>
                <w:rFonts w:ascii="Times New Roman" w:eastAsia="Calibri" w:hAnsi="Times New Roman" w:cs="Times New Roman"/>
                <w:sz w:val="20"/>
              </w:rPr>
              <w:t>Profilaktyka i edukacja społeczna.</w:t>
            </w:r>
          </w:p>
          <w:p w14:paraId="3D0BE6BD" w14:textId="77777777" w:rsidR="0013095E" w:rsidRDefault="006B3FCF" w:rsidP="008C71A9">
            <w:pPr>
              <w:pStyle w:val="Akapitzlist"/>
              <w:numPr>
                <w:ilvl w:val="0"/>
                <w:numId w:val="237"/>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13095E">
              <w:rPr>
                <w:rFonts w:ascii="Times New Roman" w:eastAsia="Calibri" w:hAnsi="Times New Roman" w:cs="Times New Roman"/>
                <w:sz w:val="20"/>
              </w:rPr>
              <w:t>Ochrona i pomoc osobom dotkniętym przemocą w rodzinie.</w:t>
            </w:r>
          </w:p>
          <w:p w14:paraId="0C9FB136" w14:textId="77777777" w:rsidR="0013095E" w:rsidRDefault="006B3FCF" w:rsidP="008C71A9">
            <w:pPr>
              <w:pStyle w:val="Akapitzlist"/>
              <w:numPr>
                <w:ilvl w:val="0"/>
                <w:numId w:val="237"/>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13095E">
              <w:rPr>
                <w:rFonts w:ascii="Times New Roman" w:eastAsia="Calibri" w:hAnsi="Times New Roman" w:cs="Times New Roman"/>
                <w:sz w:val="20"/>
              </w:rPr>
              <w:t>Oddziaływanie na osoby stosujące przemoc w rodzinie.</w:t>
            </w:r>
          </w:p>
          <w:p w14:paraId="655E2235" w14:textId="77777777" w:rsidR="006B3FCF" w:rsidRPr="0013095E" w:rsidRDefault="006B3FCF" w:rsidP="008C71A9">
            <w:pPr>
              <w:pStyle w:val="Akapitzlist"/>
              <w:numPr>
                <w:ilvl w:val="0"/>
                <w:numId w:val="237"/>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13095E">
              <w:rPr>
                <w:rFonts w:ascii="Times New Roman" w:eastAsia="Calibri" w:hAnsi="Times New Roman" w:cs="Times New Roman"/>
                <w:sz w:val="20"/>
              </w:rPr>
              <w:t>Podniesienie kompetencji służb przedstawicieli podmiotów realizujących działania z zakresu przeciwdziałania przemocy w rodzinie.</w:t>
            </w:r>
          </w:p>
          <w:p w14:paraId="675330EE" w14:textId="77777777" w:rsidR="00311D18" w:rsidRPr="00D24DF9" w:rsidRDefault="00763EC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D24DF9">
              <w:rPr>
                <w:rFonts w:ascii="Times New Roman" w:eastAsia="Calibri" w:hAnsi="Times New Roman" w:cs="Times New Roman"/>
                <w:sz w:val="20"/>
              </w:rPr>
              <w:t xml:space="preserve">Kwota ogółem na realizację Programu w latach 2014-2020 wynosi 135 503 000 zł (średnio ok. 19, 5 mln zł rocznie). W Programie zostało zaplanowanych wiele działań, które w sposób pośredni bądź bezpośredni wpłyną na realizację zadań na rzecz osób starszych. </w:t>
            </w:r>
          </w:p>
        </w:tc>
      </w:tr>
      <w:tr w:rsidR="005F3D4B" w:rsidRPr="00D24DF9" w14:paraId="106427F4"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CDCBF72"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BA9352F" w14:textId="77777777" w:rsidR="00311D18" w:rsidRPr="00D24DF9" w:rsidRDefault="00311D18" w:rsidP="003C1988">
            <w:pPr>
              <w:suppressAutoHyphens/>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Wspieranie organizacji pozarządowych i podmiotów, o których mowa w art. 3 ust. 3 ustawy o działalności pożytku publicznego i o wolontariacie, ruchów czy lokalnych inicjatyw, stojących na straży praw osób starszych</w:t>
            </w:r>
          </w:p>
          <w:p w14:paraId="756A0B76" w14:textId="77777777" w:rsidR="00311D18" w:rsidRPr="00D24DF9" w:rsidRDefault="00311D18" w:rsidP="003C1988">
            <w:pPr>
              <w:pStyle w:val="Kolorowalistaakcent11"/>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val="restart"/>
          </w:tcPr>
          <w:p w14:paraId="0046A15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w:t>
            </w:r>
          </w:p>
          <w:p w14:paraId="30A8104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val="restart"/>
          </w:tcPr>
          <w:p w14:paraId="3A85117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1DFBE7C3"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63F6DC09"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wspartych organizacji sektora</w:t>
            </w:r>
            <w:r w:rsidRPr="00D24DF9">
              <w:rPr>
                <w:rFonts w:ascii="Times New Roman" w:hAnsi="Times New Roman"/>
                <w:i/>
                <w:sz w:val="20"/>
              </w:rPr>
              <w:t xml:space="preserve"> organizacji pozarządowych i podmiotów, o których mowa w art. 3 ust. 3 ustawy o działalności pożytku publicznego i o wolontariacie, </w:t>
            </w:r>
            <w:r w:rsidRPr="00D24DF9">
              <w:rPr>
                <w:rFonts w:ascii="Times New Roman" w:eastAsia="MS Mincho" w:hAnsi="Times New Roman"/>
                <w:i/>
                <w:sz w:val="20"/>
              </w:rPr>
              <w:t>w obszarze promowania wolontariatu osób starszych oraz wobec osób starszych, ruchów czy lokalnych inicjatyw stojących na straży praw osób starszych</w:t>
            </w:r>
          </w:p>
        </w:tc>
      </w:tr>
      <w:tr w:rsidR="005F3D4B" w:rsidRPr="00D24DF9" w14:paraId="6F362415"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D5D7795" w14:textId="77777777" w:rsidR="00311D18" w:rsidRPr="00D24DF9" w:rsidRDefault="00311D18" w:rsidP="003C1988">
            <w:pPr>
              <w:spacing w:after="0"/>
              <w:rPr>
                <w:rFonts w:ascii="Times New Roman" w:hAnsi="Times New Roman" w:cs="Times New Roman"/>
                <w:sz w:val="20"/>
              </w:rPr>
            </w:pPr>
          </w:p>
        </w:tc>
        <w:tc>
          <w:tcPr>
            <w:tcW w:w="3594" w:type="dxa"/>
            <w:vMerge/>
          </w:tcPr>
          <w:p w14:paraId="35C174F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59B0AF2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6A3C1DF8"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1F5692C8" w14:textId="77777777" w:rsidR="00311D18" w:rsidRPr="00B54AA1"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B54AA1">
              <w:rPr>
                <w:rFonts w:ascii="Times New Roman" w:eastAsia="MS Mincho" w:hAnsi="Times New Roman"/>
                <w:sz w:val="20"/>
              </w:rPr>
              <w:t>Dofinansowanych zostało 5 ofert w ramach programu Rozwoju Organizacji Obywatelskich na lata 2018-2030 które w sposób bezpośredni lub pośredni odnoszą się do osób starszych. Zadania realizowane były podczas edycji 2019 Priorytetów 1a, 3 i 4. Łączna kwota wsparcia 1 167 568 zł.</w:t>
            </w:r>
          </w:p>
          <w:p w14:paraId="5749B468" w14:textId="77777777" w:rsidR="00B54AA1" w:rsidRPr="00B54AA1"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419AEB00" w14:textId="77777777" w:rsidR="00B54AA1" w:rsidRPr="00D24DF9"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B54AA1">
              <w:rPr>
                <w:rFonts w:ascii="Times New Roman" w:eastAsia="MS Mincho" w:hAnsi="Times New Roman" w:cs="Times New Roman"/>
                <w:sz w:val="20"/>
              </w:rPr>
              <w:t>W ramach Programu Rozwoju Organizacji Obywatelskich, co roku ogłaszany jest otwarty konkurs ofert w poszczególnych Priorytetach, w którym wyłaniane i dofinansowane są najwyżej ocenione zadania złożone przez organizacje pozarządowe. Na wartość miernika osiągniętą w roku 2019 składa się 5 zadań dofinansowanych w ramach Priorytetów 1a, 3, 4 Programu Rozwoju Organizacji Obywatelskich Edycja 2019.</w:t>
            </w:r>
          </w:p>
        </w:tc>
      </w:tr>
      <w:tr w:rsidR="005F3D4B" w:rsidRPr="00D24DF9" w14:paraId="1FDD5740"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B13259B"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7896550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Prowadzenie działań edukacyjnych </w:t>
            </w:r>
            <w:r w:rsidRPr="00D24DF9">
              <w:rPr>
                <w:rFonts w:ascii="Times New Roman" w:eastAsia="MS Mincho" w:hAnsi="Times New Roman"/>
                <w:sz w:val="20"/>
              </w:rPr>
              <w:br/>
              <w:t xml:space="preserve">w sektorze pomocy społecznej, służbie zdrowia, służbach porządku publicznego, w placówkach, które na co dzień mają kontakt z osobami starszymi, </w:t>
            </w:r>
            <w:r w:rsidRPr="00D24DF9">
              <w:rPr>
                <w:rFonts w:ascii="Times New Roman" w:eastAsia="MS Mincho" w:hAnsi="Times New Roman"/>
                <w:sz w:val="20"/>
              </w:rPr>
              <w:br/>
              <w:t>w placówkach edukacyjnych,</w:t>
            </w:r>
            <w:r w:rsidRPr="00D24DF9">
              <w:rPr>
                <w:rFonts w:ascii="Times New Roman" w:eastAsia="MS Mincho" w:hAnsi="Times New Roman"/>
                <w:sz w:val="20"/>
              </w:rPr>
              <w:br/>
              <w:t xml:space="preserve">a także wśród samych seniorów </w:t>
            </w:r>
            <w:r w:rsidRPr="00D24DF9">
              <w:rPr>
                <w:rFonts w:ascii="Times New Roman" w:eastAsia="MS Mincho" w:hAnsi="Times New Roman"/>
                <w:sz w:val="20"/>
              </w:rPr>
              <w:br/>
              <w:t xml:space="preserve">na temat przemocy </w:t>
            </w:r>
            <w:r w:rsidRPr="00D24DF9">
              <w:rPr>
                <w:rFonts w:ascii="Times New Roman" w:hAnsi="Times New Roman"/>
                <w:sz w:val="20"/>
              </w:rPr>
              <w:t>wobec osób starszych</w:t>
            </w:r>
          </w:p>
        </w:tc>
        <w:tc>
          <w:tcPr>
            <w:tcW w:w="2032" w:type="dxa"/>
            <w:vMerge w:val="restart"/>
          </w:tcPr>
          <w:p w14:paraId="3A49678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Sprawiedliwości</w:t>
            </w:r>
          </w:p>
        </w:tc>
        <w:tc>
          <w:tcPr>
            <w:tcW w:w="1500" w:type="dxa"/>
            <w:vMerge w:val="restart"/>
          </w:tcPr>
          <w:p w14:paraId="2D1497E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0A14632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4B2D31D3"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zrealizowanych działań edukacyjnych na temat przemocy w starości</w:t>
            </w:r>
          </w:p>
        </w:tc>
      </w:tr>
      <w:tr w:rsidR="005F3D4B" w:rsidRPr="00D24DF9" w14:paraId="20704381"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96905CC" w14:textId="77777777" w:rsidR="00311D18" w:rsidRPr="00D24DF9" w:rsidRDefault="00311D18" w:rsidP="003C1988">
            <w:pPr>
              <w:spacing w:after="0"/>
              <w:rPr>
                <w:rFonts w:ascii="Times New Roman" w:hAnsi="Times New Roman" w:cs="Times New Roman"/>
                <w:sz w:val="20"/>
              </w:rPr>
            </w:pPr>
          </w:p>
        </w:tc>
        <w:tc>
          <w:tcPr>
            <w:tcW w:w="3594" w:type="dxa"/>
            <w:vMerge/>
          </w:tcPr>
          <w:p w14:paraId="1D102AE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104A471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0C971F05"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1C8DC37B"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W 2019 r. Krajowa Szkoła Sądownictwa i Prokuratury w</w:t>
            </w:r>
          </w:p>
          <w:p w14:paraId="05911629"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ramach szkolenia ustawicznego podejmowała tematykę</w:t>
            </w:r>
          </w:p>
          <w:p w14:paraId="2A0BD985"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dotyczącą osób starszych głównie w obszarze komunikacji z</w:t>
            </w:r>
          </w:p>
          <w:p w14:paraId="23A486C1"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takimi osobami. Zorganizowała szkolenia, których celem było dostarczenie adresatom wiedzy i umiejętności pozwalających</w:t>
            </w:r>
          </w:p>
          <w:p w14:paraId="79D25FDE"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na uwzględnienie specyfiki osób starszych jako interesantów:</w:t>
            </w:r>
          </w:p>
          <w:p w14:paraId="16B4CBFA"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C1/19 pt. Szkolenie dla sędziów po objęciu pierwszego</w:t>
            </w:r>
          </w:p>
          <w:p w14:paraId="3101E0E8"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stanowiska (1 edycja, przeszkolono 29 osób);</w:t>
            </w:r>
          </w:p>
          <w:p w14:paraId="301DE8C4"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C21/19 pt. Dowód z opinii biegłego psychiatry i psychologa</w:t>
            </w:r>
          </w:p>
          <w:p w14:paraId="067781CC"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(11 edycji, przeszkolono 515 osób);</w:t>
            </w:r>
          </w:p>
          <w:p w14:paraId="31BB1360"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C24/19 pt. Sędzia – „sprawny mediator” (2 edycje,</w:t>
            </w:r>
          </w:p>
          <w:p w14:paraId="70E3206A"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przeszkolono 81 osób);</w:t>
            </w:r>
          </w:p>
          <w:p w14:paraId="545F7AD7"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C38/19 pt. Nowy model funkcjonowania wydziału sądu</w:t>
            </w:r>
          </w:p>
          <w:p w14:paraId="6DF87F84"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powszechnego (1 edycja, przeszkolono 22 osoby);</w:t>
            </w:r>
          </w:p>
          <w:p w14:paraId="7140DCFE"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lastRenderedPageBreak/>
              <w:t>U5/19 pt. Psychologia organizacji pracy. Stres w sytuacji</w:t>
            </w:r>
          </w:p>
          <w:p w14:paraId="606AE7CB"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zawodowej (2 edycje, przeszkolono 124 osoby);</w:t>
            </w:r>
          </w:p>
          <w:p w14:paraId="004B49C4"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U2/19 pt. Czynności kuratorów dla dorosłych w postępowaniu wykonawczym (11 edycji, przeszkolono 543 osoby).  Problematyka przemocy wobec osób starszych była pośrednio przedmiotem zajęć na aplikacji sędziowskiej:</w:t>
            </w:r>
          </w:p>
          <w:p w14:paraId="635990B5" w14:textId="77777777" w:rsidR="005314AB" w:rsidRPr="0013095E" w:rsidRDefault="005314AB" w:rsidP="008C71A9">
            <w:pPr>
              <w:pStyle w:val="Akapitzlist"/>
              <w:numPr>
                <w:ilvl w:val="0"/>
                <w:numId w:val="238"/>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13095E">
              <w:rPr>
                <w:rFonts w:ascii="Times New Roman" w:hAnsi="Times New Roman" w:cs="Times New Roman"/>
                <w:sz w:val="20"/>
              </w:rPr>
              <w:t>podczas VI zjazdu aplikantów 10 rocznika aplikacji</w:t>
            </w:r>
          </w:p>
          <w:p w14:paraId="7E116BE8"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sędziowskiej: Postępowanie przed sądem I instancji, cz. I,</w:t>
            </w:r>
          </w:p>
          <w:p w14:paraId="7D65B10B"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Zajęcia typu G – 10 godz., Prawo karne materialne –</w:t>
            </w:r>
          </w:p>
          <w:p w14:paraId="4145E650"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przestępstwa przeciwko życiu i zdrowiu, czci i nietykalności</w:t>
            </w:r>
          </w:p>
          <w:p w14:paraId="31A15385"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cielesnej, przeciwko rodzinie i opiece.</w:t>
            </w:r>
          </w:p>
          <w:p w14:paraId="150DE199"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Liczba przeszkolonych aplikantów – 114 osób. Zajęcia</w:t>
            </w:r>
          </w:p>
          <w:p w14:paraId="50945A9C"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odbywały się w dniach 9-13 września 2019 r.;</w:t>
            </w:r>
          </w:p>
          <w:p w14:paraId="6664FD11" w14:textId="77777777" w:rsidR="005314AB" w:rsidRPr="005F573C" w:rsidRDefault="005314AB" w:rsidP="008C71A9">
            <w:pPr>
              <w:pStyle w:val="Akapitzlist"/>
              <w:numPr>
                <w:ilvl w:val="0"/>
                <w:numId w:val="238"/>
              </w:numPr>
              <w:autoSpaceDE w:val="0"/>
              <w:autoSpaceDN w:val="0"/>
              <w:adjustRightInd w:val="0"/>
              <w:spacing w:after="0" w:line="240" w:lineRule="auto"/>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573C">
              <w:rPr>
                <w:rFonts w:ascii="Times New Roman" w:hAnsi="Times New Roman" w:cs="Times New Roman"/>
                <w:sz w:val="20"/>
              </w:rPr>
              <w:t>podczas XII zjazdu aplikantów 9 rocznika aplikacji</w:t>
            </w:r>
          </w:p>
          <w:p w14:paraId="4B4D72AE"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sędziowskiej: Konw</w:t>
            </w:r>
            <w:r w:rsidR="005F573C">
              <w:rPr>
                <w:rFonts w:ascii="Times New Roman" w:hAnsi="Times New Roman" w:cs="Times New Roman"/>
                <w:sz w:val="20"/>
              </w:rPr>
              <w:t xml:space="preserve">encja o Ochronie Praw Człowieka </w:t>
            </w:r>
            <w:r w:rsidRPr="00D24DF9">
              <w:rPr>
                <w:rFonts w:ascii="Times New Roman" w:hAnsi="Times New Roman" w:cs="Times New Roman"/>
                <w:sz w:val="20"/>
              </w:rPr>
              <w:t>i Podstawowych Wolności. Obrót prawny z zagranicą w</w:t>
            </w:r>
          </w:p>
          <w:p w14:paraId="75356090"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sprawach karnych, Zajęcia typu A – 4 godz., Prawa człowieka</w:t>
            </w:r>
          </w:p>
          <w:p w14:paraId="1BC66EF9"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w postępowaniu karnym i ich ochrona, w tym</w:t>
            </w:r>
          </w:p>
          <w:p w14:paraId="269C0746"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antydyskryminacyjne standardy prawne. Orzecznictwo</w:t>
            </w:r>
          </w:p>
          <w:p w14:paraId="4ACFC07A"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Europejskiego Trybunału Praw Człowieka.</w:t>
            </w:r>
          </w:p>
          <w:p w14:paraId="1F17DD11" w14:textId="77777777" w:rsidR="005314AB" w:rsidRPr="00D24DF9" w:rsidRDefault="005314AB"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Liczba przeszkolonych aplikantów – 151 osób. Zajęcia</w:t>
            </w:r>
          </w:p>
          <w:p w14:paraId="7188995C" w14:textId="77777777" w:rsidR="00763EC8" w:rsidRPr="00D24DF9" w:rsidRDefault="005314A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obywały się w dniach 18-22.03.2019 r.</w:t>
            </w:r>
          </w:p>
        </w:tc>
      </w:tr>
      <w:tr w:rsidR="005F3D4B" w:rsidRPr="00D24DF9" w14:paraId="77458A85" w14:textId="77777777" w:rsidTr="004D48DD">
        <w:trPr>
          <w:trHeight w:val="1775"/>
        </w:trPr>
        <w:tc>
          <w:tcPr>
            <w:cnfStyle w:val="001000000000" w:firstRow="0" w:lastRow="0" w:firstColumn="1" w:lastColumn="0" w:oddVBand="0" w:evenVBand="0" w:oddHBand="0" w:evenHBand="0" w:firstRowFirstColumn="0" w:firstRowLastColumn="0" w:lastRowFirstColumn="0" w:lastRowLastColumn="0"/>
            <w:tcW w:w="1232" w:type="dxa"/>
            <w:vMerge/>
          </w:tcPr>
          <w:p w14:paraId="0DDA60B1"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DBC1BF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hAnsi="Times New Roman"/>
                <w:sz w:val="20"/>
              </w:rPr>
              <w:t>Włączanie w budowanie sieci poradnictwa organizacji pozarządowych i podmiotów, o których mowa w art. 3 ust. 3 ustawy o działalności pożytku publicznego i o wolontariacie, oraz związków wyznaniowych</w:t>
            </w:r>
          </w:p>
        </w:tc>
        <w:tc>
          <w:tcPr>
            <w:tcW w:w="2032" w:type="dxa"/>
            <w:vMerge w:val="restart"/>
          </w:tcPr>
          <w:p w14:paraId="0489153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w:t>
            </w:r>
          </w:p>
        </w:tc>
        <w:tc>
          <w:tcPr>
            <w:tcW w:w="1500" w:type="dxa"/>
            <w:vMerge w:val="restart"/>
          </w:tcPr>
          <w:p w14:paraId="19FFB3F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01A74A5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09DCD0D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 xml:space="preserve">Liczba wspartych organizacji sektora </w:t>
            </w:r>
            <w:r w:rsidRPr="00D24DF9">
              <w:rPr>
                <w:rFonts w:ascii="Times New Roman" w:hAnsi="Times New Roman"/>
                <w:i/>
                <w:sz w:val="20"/>
              </w:rPr>
              <w:t>organizacji pozarządowych i podmiotów, o których mowa w art. 3 ust. 3 ustawy o działalności pożytku publicznego i o wolontariacie,</w:t>
            </w:r>
            <w:r w:rsidRPr="00D24DF9">
              <w:rPr>
                <w:rFonts w:ascii="Times New Roman" w:eastAsia="MS Mincho" w:hAnsi="Times New Roman"/>
                <w:i/>
                <w:sz w:val="20"/>
              </w:rPr>
              <w:t xml:space="preserve"> w obszarze promowania wolontariatu osób starszych oraz wobec osób starszych i związków wyznaniowych świadczących poradnictwo dla osób starszych doznających przemocy w miejscu zamieszkania.</w:t>
            </w:r>
          </w:p>
        </w:tc>
      </w:tr>
      <w:tr w:rsidR="005F3D4B" w:rsidRPr="00D24DF9" w14:paraId="5810E223"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1E00CA9" w14:textId="77777777" w:rsidR="00311D18" w:rsidRPr="00D24DF9" w:rsidRDefault="00311D18" w:rsidP="003C1988">
            <w:pPr>
              <w:spacing w:after="0"/>
              <w:rPr>
                <w:rFonts w:ascii="Times New Roman" w:hAnsi="Times New Roman" w:cs="Times New Roman"/>
                <w:sz w:val="20"/>
              </w:rPr>
            </w:pPr>
          </w:p>
        </w:tc>
        <w:tc>
          <w:tcPr>
            <w:tcW w:w="3594" w:type="dxa"/>
            <w:vMerge/>
          </w:tcPr>
          <w:p w14:paraId="4B5286B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805D8D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535D88B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465222E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448FB63D" w14:textId="77777777" w:rsidTr="004D48DD">
        <w:trPr>
          <w:trHeight w:val="525"/>
        </w:trPr>
        <w:tc>
          <w:tcPr>
            <w:cnfStyle w:val="001000000000" w:firstRow="0" w:lastRow="0" w:firstColumn="1" w:lastColumn="0" w:oddVBand="0" w:evenVBand="0" w:oddHBand="0" w:evenHBand="0" w:firstRowFirstColumn="0" w:firstRowLastColumn="0" w:lastRowFirstColumn="0" w:lastRowLastColumn="0"/>
            <w:tcW w:w="1232" w:type="dxa"/>
            <w:vMerge/>
          </w:tcPr>
          <w:p w14:paraId="1AC02EBC"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9CDA9D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Stworzenie systemu pomocy terapeutycznej skierowanej i dostosowanej do potrzeb osób starszych</w:t>
            </w:r>
          </w:p>
        </w:tc>
        <w:tc>
          <w:tcPr>
            <w:tcW w:w="2032" w:type="dxa"/>
            <w:vMerge w:val="restart"/>
          </w:tcPr>
          <w:p w14:paraId="41F9FBF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2E432E0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6249CEC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Utworzenie systemu pomocy terapeutycznej skierowanej i dostosowanej do potrzeb osób starszych</w:t>
            </w:r>
          </w:p>
        </w:tc>
      </w:tr>
      <w:tr w:rsidR="005F3D4B" w:rsidRPr="00D24DF9" w14:paraId="5871D8D8"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84F103C" w14:textId="77777777" w:rsidR="00311D18" w:rsidRPr="00D24DF9" w:rsidRDefault="00311D18" w:rsidP="003C1988">
            <w:pPr>
              <w:spacing w:after="0"/>
              <w:rPr>
                <w:rFonts w:ascii="Times New Roman" w:hAnsi="Times New Roman" w:cs="Times New Roman"/>
                <w:sz w:val="20"/>
              </w:rPr>
            </w:pPr>
          </w:p>
        </w:tc>
        <w:tc>
          <w:tcPr>
            <w:tcW w:w="3594" w:type="dxa"/>
            <w:vMerge/>
          </w:tcPr>
          <w:p w14:paraId="6C2EB1F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566E980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6BCB97C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7C8A15C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502A66B1" w14:textId="77777777" w:rsidTr="004D48DD">
        <w:trPr>
          <w:trHeight w:val="533"/>
        </w:trPr>
        <w:tc>
          <w:tcPr>
            <w:cnfStyle w:val="001000000000" w:firstRow="0" w:lastRow="0" w:firstColumn="1" w:lastColumn="0" w:oddVBand="0" w:evenVBand="0" w:oddHBand="0" w:evenHBand="0" w:firstRowFirstColumn="0" w:firstRowLastColumn="0" w:lastRowFirstColumn="0" w:lastRowLastColumn="0"/>
            <w:tcW w:w="1232" w:type="dxa"/>
            <w:vMerge/>
          </w:tcPr>
          <w:p w14:paraId="2298ABD0"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604202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Rozwój wsparcia ekonomicznego </w:t>
            </w:r>
            <w:r w:rsidRPr="00D24DF9">
              <w:rPr>
                <w:rFonts w:ascii="Times New Roman" w:eastAsia="MS Mincho" w:hAnsi="Times New Roman"/>
                <w:sz w:val="20"/>
              </w:rPr>
              <w:br/>
              <w:t>lub mieszkaniowego dla osób starszych  pokrzywdzonych w wyniku przemocy domowej</w:t>
            </w:r>
          </w:p>
        </w:tc>
        <w:tc>
          <w:tcPr>
            <w:tcW w:w="2032" w:type="dxa"/>
            <w:vMerge w:val="restart"/>
          </w:tcPr>
          <w:p w14:paraId="77517C7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tc>
        <w:tc>
          <w:tcPr>
            <w:tcW w:w="1500" w:type="dxa"/>
            <w:vMerge w:val="restart"/>
          </w:tcPr>
          <w:p w14:paraId="0C2098F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59998E0E"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72EB83C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nowych rozwiązań wsparcia osób starszych  pokrzywdzonych w wyniku przemocy domowej</w:t>
            </w:r>
          </w:p>
        </w:tc>
      </w:tr>
      <w:tr w:rsidR="005F3D4B" w:rsidRPr="00D24DF9" w14:paraId="6F303322"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5B27D94" w14:textId="77777777" w:rsidR="00311D18" w:rsidRPr="00D24DF9" w:rsidRDefault="00311D18" w:rsidP="003C1988">
            <w:pPr>
              <w:spacing w:after="0"/>
              <w:rPr>
                <w:rFonts w:ascii="Times New Roman" w:hAnsi="Times New Roman" w:cs="Times New Roman"/>
                <w:sz w:val="20"/>
              </w:rPr>
            </w:pPr>
          </w:p>
        </w:tc>
        <w:tc>
          <w:tcPr>
            <w:tcW w:w="3594" w:type="dxa"/>
            <w:vMerge/>
          </w:tcPr>
          <w:p w14:paraId="2B88521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27C2D09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77CA0C12"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1D3E041B"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18188F8D" w14:textId="77777777" w:rsidTr="004D48DD">
        <w:trPr>
          <w:trHeight w:val="415"/>
        </w:trPr>
        <w:tc>
          <w:tcPr>
            <w:cnfStyle w:val="001000000000" w:firstRow="0" w:lastRow="0" w:firstColumn="1" w:lastColumn="0" w:oddVBand="0" w:evenVBand="0" w:oddHBand="0" w:evenHBand="0" w:firstRowFirstColumn="0" w:firstRowLastColumn="0" w:lastRowFirstColumn="0" w:lastRowLastColumn="0"/>
            <w:tcW w:w="1232" w:type="dxa"/>
            <w:vMerge/>
          </w:tcPr>
          <w:p w14:paraId="27268974"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C73E26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hAnsi="Times New Roman"/>
                <w:sz w:val="20"/>
              </w:rPr>
              <w:t>Prowadzenie szkoleń z rozpoznawania przemocy dla pracowników podmiotów, którzy najczęściej mają kontakt z seniorami</w:t>
            </w:r>
          </w:p>
        </w:tc>
        <w:tc>
          <w:tcPr>
            <w:tcW w:w="2032" w:type="dxa"/>
            <w:vMerge w:val="restart"/>
          </w:tcPr>
          <w:p w14:paraId="54C1A39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Sprawiedliwości</w:t>
            </w:r>
          </w:p>
        </w:tc>
        <w:tc>
          <w:tcPr>
            <w:tcW w:w="1500" w:type="dxa"/>
            <w:vMerge w:val="restart"/>
          </w:tcPr>
          <w:p w14:paraId="23AEDD8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067685C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0BF6DA1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przeprowadzonych szkoleń z rozpoznawania przemocy przez pracowników placówek medycznych, którzy najczęściej mają kontakt z seniorami i pracowników socjalnych</w:t>
            </w:r>
          </w:p>
        </w:tc>
      </w:tr>
      <w:tr w:rsidR="005F3D4B" w:rsidRPr="00D24DF9" w14:paraId="6E2A0C62"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147D1BE" w14:textId="77777777" w:rsidR="00311D18" w:rsidRPr="00D24DF9" w:rsidRDefault="00311D18" w:rsidP="003C1988">
            <w:pPr>
              <w:spacing w:after="0"/>
              <w:rPr>
                <w:rFonts w:ascii="Times New Roman" w:hAnsi="Times New Roman" w:cs="Times New Roman"/>
                <w:sz w:val="20"/>
              </w:rPr>
            </w:pPr>
          </w:p>
        </w:tc>
        <w:tc>
          <w:tcPr>
            <w:tcW w:w="3594" w:type="dxa"/>
            <w:vMerge/>
          </w:tcPr>
          <w:p w14:paraId="3B461E5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0C07ECC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271300B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1F0FE47F" w14:textId="77777777" w:rsidR="00763EC8" w:rsidRPr="00D24DF9" w:rsidRDefault="00763EC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D24DF9">
              <w:rPr>
                <w:rFonts w:ascii="Times New Roman" w:eastAsia="Calibri" w:hAnsi="Times New Roman" w:cs="Times New Roman"/>
                <w:sz w:val="20"/>
              </w:rPr>
              <w:t xml:space="preserve">Działania na rzecz przeciwdziałania przemocy w rodzinie, w tym wobec osób starszych, realizowane są m.in. w oparciu ustawę z dnia 29 lipca 2005 r. </w:t>
            </w:r>
            <w:r w:rsidRPr="00D24DF9">
              <w:rPr>
                <w:rFonts w:ascii="Times New Roman" w:eastAsia="Calibri" w:hAnsi="Times New Roman" w:cs="Times New Roman"/>
                <w:b/>
                <w:sz w:val="20"/>
              </w:rPr>
              <w:t>o przeciwdziałaniu przemocy w rodzinie</w:t>
            </w:r>
            <w:r w:rsidRPr="00D24DF9">
              <w:rPr>
                <w:rFonts w:ascii="Times New Roman" w:eastAsia="Calibri" w:hAnsi="Times New Roman" w:cs="Times New Roman"/>
                <w:sz w:val="20"/>
              </w:rPr>
              <w:t xml:space="preserve"> (Dz. U. z 2020 r. poz. 218) oraz o Krajowy Program Przeciwdziałania Przemocy </w:t>
            </w:r>
            <w:r w:rsidRPr="00D24DF9">
              <w:rPr>
                <w:rFonts w:ascii="Times New Roman" w:eastAsia="Calibri" w:hAnsi="Times New Roman" w:cs="Times New Roman"/>
                <w:sz w:val="20"/>
              </w:rPr>
              <w:br/>
              <w:t>w Rodzinie na lata 2014-2020 ustanowiony w dniu 29 kwietnia 2014 r. Uchwałą Rady Ministrów Nr 76.  W Krajowym Programie Przeciwdziałania Przemocy w Rodzinie na lata 2014-2020. określono cztery podstawowe obszary zawierające kierunki działań oraz sprecyzowano oddziaływania wobec różnych grup odbiorców</w:t>
            </w:r>
            <w:r w:rsidRPr="00D24DF9">
              <w:rPr>
                <w:rFonts w:ascii="Times New Roman" w:hAnsi="Times New Roman" w:cs="Times New Roman"/>
                <w:sz w:val="20"/>
              </w:rPr>
              <w:t>, które w sposób pośredni bądź bezpośredni wpływają na realizację zadań na rzecz osób starszych.</w:t>
            </w:r>
          </w:p>
          <w:p w14:paraId="3FBD9874" w14:textId="77777777" w:rsidR="005F573C" w:rsidRDefault="00763EC8" w:rsidP="008C71A9">
            <w:pPr>
              <w:pStyle w:val="Akapitzlist"/>
              <w:numPr>
                <w:ilvl w:val="0"/>
                <w:numId w:val="238"/>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5F573C">
              <w:rPr>
                <w:rFonts w:ascii="Times New Roman" w:eastAsia="Calibri" w:hAnsi="Times New Roman" w:cs="Times New Roman"/>
                <w:sz w:val="20"/>
              </w:rPr>
              <w:t>Profilaktyka i edukacja społeczna.</w:t>
            </w:r>
          </w:p>
          <w:p w14:paraId="678E7C72" w14:textId="77777777" w:rsidR="005F573C" w:rsidRDefault="00763EC8" w:rsidP="008C71A9">
            <w:pPr>
              <w:pStyle w:val="Akapitzlist"/>
              <w:numPr>
                <w:ilvl w:val="0"/>
                <w:numId w:val="238"/>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5F573C">
              <w:rPr>
                <w:rFonts w:ascii="Times New Roman" w:eastAsia="Calibri" w:hAnsi="Times New Roman" w:cs="Times New Roman"/>
                <w:sz w:val="20"/>
              </w:rPr>
              <w:t>Ochrona i pomoc osobom dotkniętym przemocą w rodzinie.</w:t>
            </w:r>
          </w:p>
          <w:p w14:paraId="6049073D" w14:textId="77777777" w:rsidR="005F573C" w:rsidRDefault="00763EC8" w:rsidP="008C71A9">
            <w:pPr>
              <w:pStyle w:val="Akapitzlist"/>
              <w:numPr>
                <w:ilvl w:val="0"/>
                <w:numId w:val="238"/>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5F573C">
              <w:rPr>
                <w:rFonts w:ascii="Times New Roman" w:eastAsia="Calibri" w:hAnsi="Times New Roman" w:cs="Times New Roman"/>
                <w:sz w:val="20"/>
              </w:rPr>
              <w:t>Oddziaływanie na osoby stosujące przemoc w rodzinie.</w:t>
            </w:r>
          </w:p>
          <w:p w14:paraId="6CA7A997" w14:textId="77777777" w:rsidR="00763EC8" w:rsidRPr="005F573C" w:rsidRDefault="00763EC8" w:rsidP="008C71A9">
            <w:pPr>
              <w:pStyle w:val="Akapitzlist"/>
              <w:numPr>
                <w:ilvl w:val="0"/>
                <w:numId w:val="238"/>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5F573C">
              <w:rPr>
                <w:rFonts w:ascii="Times New Roman" w:eastAsia="Calibri" w:hAnsi="Times New Roman" w:cs="Times New Roman"/>
                <w:sz w:val="20"/>
              </w:rPr>
              <w:t>Podniesienie kompetencji służb przedstawicieli podmiotów realizujących działania z zakresu przeciwdziałania przemocy w rodzinie.</w:t>
            </w:r>
          </w:p>
          <w:p w14:paraId="7721FE69" w14:textId="77777777" w:rsidR="00311D18" w:rsidRPr="00D24DF9" w:rsidRDefault="00763EC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Calibri" w:hAnsi="Times New Roman" w:cs="Times New Roman"/>
                <w:sz w:val="20"/>
              </w:rPr>
              <w:t>Kwota ogółem na realizację Programu w latach 2014-2020 wynosi 135 503 000 zł (średnio ok. 19, 5 mln zł rocznie). W Programie zostało zaplanowanych wiele działań, które w sposób pośredni bądź bezpośredni wpłyną na realizację zadań na rzecz osób starszych.</w:t>
            </w:r>
          </w:p>
        </w:tc>
      </w:tr>
      <w:tr w:rsidR="005F3D4B" w:rsidRPr="00D24DF9" w14:paraId="6FF641E8" w14:textId="77777777" w:rsidTr="004D48DD">
        <w:trPr>
          <w:trHeight w:val="719"/>
        </w:trPr>
        <w:tc>
          <w:tcPr>
            <w:cnfStyle w:val="001000000000" w:firstRow="0" w:lastRow="0" w:firstColumn="1" w:lastColumn="0" w:oddVBand="0" w:evenVBand="0" w:oddHBand="0" w:evenHBand="0" w:firstRowFirstColumn="0" w:firstRowLastColumn="0" w:lastRowFirstColumn="0" w:lastRowLastColumn="0"/>
            <w:tcW w:w="1232" w:type="dxa"/>
            <w:vMerge/>
          </w:tcPr>
          <w:p w14:paraId="5E2A10BF"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ED1670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Doskonalenie obsługi prawnej uwzględniającej specyfikę osób starszych – ofiar przemocy</w:t>
            </w:r>
          </w:p>
        </w:tc>
        <w:tc>
          <w:tcPr>
            <w:tcW w:w="2032" w:type="dxa"/>
            <w:vMerge w:val="restart"/>
          </w:tcPr>
          <w:p w14:paraId="126B144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Sprawiedliwości</w:t>
            </w:r>
          </w:p>
        </w:tc>
        <w:tc>
          <w:tcPr>
            <w:tcW w:w="1500" w:type="dxa"/>
            <w:vMerge w:val="restart"/>
          </w:tcPr>
          <w:p w14:paraId="30F57DE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w:t>
            </w:r>
          </w:p>
        </w:tc>
        <w:tc>
          <w:tcPr>
            <w:tcW w:w="5638" w:type="dxa"/>
          </w:tcPr>
          <w:p w14:paraId="54EBAA6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działań mających na celu doskonalenie obsługi prawnej uwzględniającej specyfikę osób starszych – ofiar przemocy</w:t>
            </w:r>
          </w:p>
        </w:tc>
      </w:tr>
      <w:tr w:rsidR="005F3D4B" w:rsidRPr="00D24DF9" w14:paraId="69439F69"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54B5C76" w14:textId="77777777" w:rsidR="00311D18" w:rsidRPr="00D24DF9" w:rsidRDefault="00311D18" w:rsidP="003C1988">
            <w:pPr>
              <w:spacing w:after="0"/>
              <w:rPr>
                <w:rFonts w:ascii="Times New Roman" w:hAnsi="Times New Roman" w:cs="Times New Roman"/>
                <w:sz w:val="20"/>
              </w:rPr>
            </w:pPr>
          </w:p>
        </w:tc>
        <w:tc>
          <w:tcPr>
            <w:tcW w:w="3594" w:type="dxa"/>
            <w:vMerge/>
          </w:tcPr>
          <w:p w14:paraId="47270C6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4012EC8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10A057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687F6B35"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Wprowadzenie rozwiązań legislacyjnych zawartych w § 9</w:t>
            </w:r>
          </w:p>
          <w:p w14:paraId="7B40C211" w14:textId="77777777" w:rsidR="00FD1752" w:rsidRPr="005F573C"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rPr>
            </w:pPr>
            <w:r w:rsidRPr="00D24DF9">
              <w:rPr>
                <w:rFonts w:ascii="Times New Roman" w:hAnsi="Times New Roman" w:cs="Times New Roman"/>
                <w:sz w:val="20"/>
              </w:rPr>
              <w:t xml:space="preserve">ust. 3, § 28 oraz w § 29 </w:t>
            </w:r>
            <w:r w:rsidRPr="005F573C">
              <w:rPr>
                <w:rFonts w:ascii="Times New Roman" w:hAnsi="Times New Roman" w:cs="Times New Roman"/>
                <w:i/>
                <w:sz w:val="20"/>
              </w:rPr>
              <w:t>rozporządzenia Ministra</w:t>
            </w:r>
          </w:p>
          <w:p w14:paraId="7E620301" w14:textId="77777777" w:rsidR="00FD1752" w:rsidRPr="005F573C"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sz w:val="20"/>
              </w:rPr>
            </w:pPr>
            <w:r w:rsidRPr="005F573C">
              <w:rPr>
                <w:rFonts w:ascii="Times New Roman" w:hAnsi="Times New Roman" w:cs="Times New Roman"/>
                <w:i/>
                <w:sz w:val="20"/>
              </w:rPr>
              <w:t>Sprawiedliwości z dnia 18 czerwca 2019 r. – Regulamin</w:t>
            </w:r>
          </w:p>
          <w:p w14:paraId="111A2EE2"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5F573C">
              <w:rPr>
                <w:rFonts w:ascii="Times New Roman" w:hAnsi="Times New Roman" w:cs="Times New Roman"/>
                <w:i/>
                <w:sz w:val="20"/>
              </w:rPr>
              <w:t xml:space="preserve">urzędowania sądów powszechnych </w:t>
            </w:r>
            <w:r w:rsidRPr="00D24DF9">
              <w:rPr>
                <w:rFonts w:ascii="Times New Roman" w:hAnsi="Times New Roman" w:cs="Times New Roman"/>
                <w:sz w:val="20"/>
              </w:rPr>
              <w:t>(Dz. U. poz. 1141, dalej</w:t>
            </w:r>
          </w:p>
          <w:p w14:paraId="34854EC5"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regulamin). Konieczność zapewniania w miarę posiadanych</w:t>
            </w:r>
          </w:p>
          <w:p w14:paraId="792BBE05"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możliwości w budynkach sądowych dostępu do pomieszczeń</w:t>
            </w:r>
          </w:p>
          <w:p w14:paraId="1E25B995"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użytkowym osobom w każdym wieku, z różnym stopniem</w:t>
            </w:r>
          </w:p>
          <w:p w14:paraId="284D5508"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niepełnosprawności, lub odpowiedniej pomocy w tym</w:t>
            </w:r>
          </w:p>
          <w:p w14:paraId="39C3EDD2"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zakresie. Tworzenie zasad funkcjonowania w sądach</w:t>
            </w:r>
          </w:p>
          <w:p w14:paraId="2C8769EE"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powszechnych biur obsługi interesantów z uwzględnieniem</w:t>
            </w:r>
          </w:p>
          <w:p w14:paraId="61F7A4BA"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potrzeby zapewnienia odpowiedniej pomocy także osobom</w:t>
            </w:r>
          </w:p>
          <w:p w14:paraId="74776888"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starszym.  Powyższe regulacje zapewniają osobom starszym</w:t>
            </w:r>
          </w:p>
          <w:p w14:paraId="23F21801"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odpowiednią dostępność do wymiaru sprawiedliwości w</w:t>
            </w:r>
          </w:p>
          <w:p w14:paraId="198F95BD"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zakresie zapewnienia tym osobom dóbr i usług</w:t>
            </w:r>
          </w:p>
          <w:p w14:paraId="3470300E"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umożliwiających ich pełne uczestnictwo w życiu</w:t>
            </w:r>
          </w:p>
          <w:p w14:paraId="4EF04BFF" w14:textId="77777777" w:rsidR="00FD1752" w:rsidRPr="00D24DF9" w:rsidRDefault="00FD1752" w:rsidP="003C1988">
            <w:pPr>
              <w:autoSpaceDE w:val="0"/>
              <w:autoSpaceDN w:val="0"/>
              <w:adjustRightInd w:val="0"/>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społecznym, jak również możliwości życia w środowisku</w:t>
            </w:r>
          </w:p>
          <w:p w14:paraId="73A05757" w14:textId="77777777" w:rsidR="00311D18" w:rsidRPr="00D24DF9" w:rsidRDefault="00FD1752"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hAnsi="Times New Roman" w:cs="Times New Roman"/>
                <w:sz w:val="20"/>
              </w:rPr>
              <w:t>wolnym od barier funkcjonalnych</w:t>
            </w:r>
          </w:p>
        </w:tc>
      </w:tr>
      <w:tr w:rsidR="005F3D4B" w:rsidRPr="00D24DF9" w14:paraId="4984B114" w14:textId="77777777" w:rsidTr="004D48DD">
        <w:trPr>
          <w:trHeight w:val="489"/>
        </w:trPr>
        <w:tc>
          <w:tcPr>
            <w:cnfStyle w:val="001000000000" w:firstRow="0" w:lastRow="0" w:firstColumn="1" w:lastColumn="0" w:oddVBand="0" w:evenVBand="0" w:oddHBand="0" w:evenHBand="0" w:firstRowFirstColumn="0" w:firstRowLastColumn="0" w:lastRowFirstColumn="0" w:lastRowLastColumn="0"/>
            <w:tcW w:w="1232" w:type="dxa"/>
            <w:vMerge/>
          </w:tcPr>
          <w:p w14:paraId="62477441"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6A43DE2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Prowadzenie szkoleń dla osób zajmujących się pomocą osobom starszym doznającym przemocy</w:t>
            </w:r>
          </w:p>
        </w:tc>
        <w:tc>
          <w:tcPr>
            <w:tcW w:w="2032" w:type="dxa"/>
            <w:vMerge w:val="restart"/>
          </w:tcPr>
          <w:p w14:paraId="48AE06E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Sprawiedliwości</w:t>
            </w:r>
          </w:p>
        </w:tc>
        <w:tc>
          <w:tcPr>
            <w:tcW w:w="1500" w:type="dxa"/>
            <w:vMerge w:val="restart"/>
          </w:tcPr>
          <w:p w14:paraId="574CE25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3B9392B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2771883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przeprowadzonych szkoleń dla osób zajmujących się pomocą osobom starszym doznającym przemocy</w:t>
            </w:r>
          </w:p>
        </w:tc>
      </w:tr>
      <w:tr w:rsidR="005F3D4B" w:rsidRPr="00D24DF9" w14:paraId="7127C6BB"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28A1E17" w14:textId="77777777" w:rsidR="00311D18" w:rsidRPr="00D24DF9" w:rsidRDefault="00311D18" w:rsidP="003C1988">
            <w:pPr>
              <w:spacing w:after="0"/>
              <w:rPr>
                <w:rFonts w:ascii="Times New Roman" w:hAnsi="Times New Roman" w:cs="Times New Roman"/>
                <w:sz w:val="20"/>
              </w:rPr>
            </w:pPr>
          </w:p>
        </w:tc>
        <w:tc>
          <w:tcPr>
            <w:tcW w:w="3594" w:type="dxa"/>
            <w:vMerge/>
          </w:tcPr>
          <w:p w14:paraId="07B1195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02524C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C00A36D"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5F8A5F94" w14:textId="77777777" w:rsidR="00763EC8" w:rsidRPr="00D24DF9" w:rsidRDefault="00763EC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D24DF9">
              <w:rPr>
                <w:rFonts w:ascii="Times New Roman" w:eastAsia="Calibri" w:hAnsi="Times New Roman" w:cs="Times New Roman"/>
                <w:sz w:val="20"/>
              </w:rPr>
              <w:t xml:space="preserve">Działania na rzecz przeciwdziałania przemocy w rodzinie, w tym wobec osób starszych, realizowane są m.in. w oparciu ustawę z dnia 29 lipca 2005 r. </w:t>
            </w:r>
            <w:r w:rsidRPr="00D24DF9">
              <w:rPr>
                <w:rFonts w:ascii="Times New Roman" w:eastAsia="Calibri" w:hAnsi="Times New Roman" w:cs="Times New Roman"/>
                <w:b/>
                <w:sz w:val="20"/>
              </w:rPr>
              <w:t>o przeciwdziałaniu przemocy w rodzinie</w:t>
            </w:r>
            <w:r w:rsidRPr="00D24DF9">
              <w:rPr>
                <w:rFonts w:ascii="Times New Roman" w:eastAsia="Calibri" w:hAnsi="Times New Roman" w:cs="Times New Roman"/>
                <w:sz w:val="20"/>
              </w:rPr>
              <w:t xml:space="preserve"> (Dz. U. z 2020 r. poz. 218) oraz o Krajowy Program Przeciwdziałania Przemocy </w:t>
            </w:r>
            <w:r w:rsidRPr="00D24DF9">
              <w:rPr>
                <w:rFonts w:ascii="Times New Roman" w:eastAsia="Calibri" w:hAnsi="Times New Roman" w:cs="Times New Roman"/>
                <w:sz w:val="20"/>
              </w:rPr>
              <w:br/>
              <w:t>w Rodzinie na lata 2014-2020 ustanowiony w dniu 29 kwietnia 2014 r. Uchwałą Rady Ministrów Nr 76.  W Krajowym Programie Przeciwdziałania Przemocy w Rodzinie na lata 2014-2020. określono cztery podstawowe obszary zawierające kierunki działań oraz sprecyzowano oddziaływania wobec różnych grup odbiorców</w:t>
            </w:r>
            <w:r w:rsidRPr="00D24DF9">
              <w:rPr>
                <w:rFonts w:ascii="Times New Roman" w:hAnsi="Times New Roman" w:cs="Times New Roman"/>
                <w:sz w:val="20"/>
              </w:rPr>
              <w:t>, które w sposób pośredni bądź bezpośredni wpływają na realizację zadań na rzecz osób starszych.</w:t>
            </w:r>
          </w:p>
          <w:p w14:paraId="5A81A431" w14:textId="77777777" w:rsidR="0093687B" w:rsidRDefault="00763EC8" w:rsidP="008C71A9">
            <w:pPr>
              <w:pStyle w:val="Akapitzlist"/>
              <w:numPr>
                <w:ilvl w:val="0"/>
                <w:numId w:val="239"/>
              </w:numPr>
              <w:spacing w:after="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5F573C">
              <w:rPr>
                <w:rFonts w:ascii="Times New Roman" w:eastAsia="Calibri" w:hAnsi="Times New Roman" w:cs="Times New Roman"/>
                <w:sz w:val="20"/>
              </w:rPr>
              <w:t>Profilaktyka i edukacja społeczna.</w:t>
            </w:r>
          </w:p>
          <w:p w14:paraId="3A84D1DB" w14:textId="77777777" w:rsidR="0093687B" w:rsidRDefault="00763EC8" w:rsidP="008C71A9">
            <w:pPr>
              <w:pStyle w:val="Akapitzlist"/>
              <w:numPr>
                <w:ilvl w:val="0"/>
                <w:numId w:val="239"/>
              </w:numPr>
              <w:spacing w:after="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93687B">
              <w:rPr>
                <w:rFonts w:ascii="Times New Roman" w:eastAsia="Calibri" w:hAnsi="Times New Roman" w:cs="Times New Roman"/>
                <w:sz w:val="20"/>
              </w:rPr>
              <w:lastRenderedPageBreak/>
              <w:t>Ochrona i pomoc osobom dotkniętym przemocą w rodzinie.</w:t>
            </w:r>
          </w:p>
          <w:p w14:paraId="1473812C" w14:textId="77777777" w:rsidR="0093687B" w:rsidRDefault="00763EC8" w:rsidP="008C71A9">
            <w:pPr>
              <w:pStyle w:val="Akapitzlist"/>
              <w:numPr>
                <w:ilvl w:val="0"/>
                <w:numId w:val="239"/>
              </w:numPr>
              <w:spacing w:after="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93687B">
              <w:rPr>
                <w:rFonts w:ascii="Times New Roman" w:eastAsia="Calibri" w:hAnsi="Times New Roman" w:cs="Times New Roman"/>
                <w:sz w:val="20"/>
              </w:rPr>
              <w:t>Oddziaływanie na osoby stosujące przemoc w rodzinie.</w:t>
            </w:r>
          </w:p>
          <w:p w14:paraId="2E2F3AD2" w14:textId="77777777" w:rsidR="00763EC8" w:rsidRPr="0093687B" w:rsidRDefault="00763EC8" w:rsidP="008C71A9">
            <w:pPr>
              <w:pStyle w:val="Akapitzlist"/>
              <w:numPr>
                <w:ilvl w:val="0"/>
                <w:numId w:val="239"/>
              </w:numPr>
              <w:spacing w:after="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93687B">
              <w:rPr>
                <w:rFonts w:ascii="Times New Roman" w:eastAsia="Calibri" w:hAnsi="Times New Roman" w:cs="Times New Roman"/>
                <w:sz w:val="20"/>
              </w:rPr>
              <w:t>Podniesienie kompetencji służb przedstawicieli podmiotów realizujących działania z zakresu przeciwdziałania przemocy w rodzinie.</w:t>
            </w:r>
          </w:p>
          <w:p w14:paraId="64F048DA" w14:textId="77777777" w:rsidR="00311D18" w:rsidRPr="00D24DF9" w:rsidRDefault="00763EC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Calibri" w:hAnsi="Times New Roman" w:cs="Times New Roman"/>
                <w:sz w:val="20"/>
              </w:rPr>
              <w:t>Kwota ogółem na realizację Programu w latach 2014-2020 wynosi 135 503 000 zł (średnio ok. 19, 5 mln zł rocznie). W Programie zostało zaplanowanych wiele działań, które w sposób pośredni bądź bezpośredni wpłyną na realizację zadań na rzecz osób starszych.</w:t>
            </w:r>
          </w:p>
        </w:tc>
      </w:tr>
      <w:tr w:rsidR="005F3D4B" w:rsidRPr="00D24DF9" w14:paraId="3235E5E4" w14:textId="77777777" w:rsidTr="004D48DD">
        <w:trPr>
          <w:trHeight w:val="511"/>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vAlign w:val="center"/>
          </w:tcPr>
          <w:p w14:paraId="1DFFF796" w14:textId="77777777" w:rsidR="00311D18" w:rsidRPr="00D24DF9" w:rsidRDefault="00311D18" w:rsidP="003C1988">
            <w:pPr>
              <w:spacing w:after="0"/>
              <w:ind w:left="113" w:right="113"/>
              <w:rPr>
                <w:rFonts w:ascii="Times New Roman" w:hAnsi="Times New Roman" w:cs="Times New Roman"/>
                <w:sz w:val="20"/>
              </w:rPr>
            </w:pPr>
            <w:r w:rsidRPr="00D24DF9">
              <w:rPr>
                <w:rFonts w:ascii="Times New Roman" w:hAnsi="Times New Roman" w:cs="Times New Roman"/>
                <w:sz w:val="20"/>
              </w:rPr>
              <w:lastRenderedPageBreak/>
              <w:t>Obszar VI</w:t>
            </w:r>
          </w:p>
        </w:tc>
        <w:tc>
          <w:tcPr>
            <w:tcW w:w="3594" w:type="dxa"/>
            <w:vMerge w:val="restart"/>
            <w:shd w:val="clear" w:color="auto" w:fill="D9E2F3" w:themeFill="accent5" w:themeFillTint="33"/>
          </w:tcPr>
          <w:p w14:paraId="7FC9EE8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Realizacja kampanii społecznych promujących edukację międzypokoleniową</w:t>
            </w:r>
          </w:p>
        </w:tc>
        <w:tc>
          <w:tcPr>
            <w:tcW w:w="2032" w:type="dxa"/>
            <w:vMerge w:val="restart"/>
          </w:tcPr>
          <w:p w14:paraId="00CFFA3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w:t>
            </w:r>
          </w:p>
        </w:tc>
        <w:tc>
          <w:tcPr>
            <w:tcW w:w="1500" w:type="dxa"/>
            <w:vMerge w:val="restart"/>
          </w:tcPr>
          <w:p w14:paraId="45BE2B8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2B97B77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766595E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przeprowadzonych kampanii społecznych promujących edukację międzypokoleniową</w:t>
            </w:r>
          </w:p>
        </w:tc>
      </w:tr>
      <w:tr w:rsidR="005F3D4B" w:rsidRPr="00D24DF9" w14:paraId="63E32480"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8C11D3D" w14:textId="77777777" w:rsidR="00311D18" w:rsidRPr="00D24DF9" w:rsidRDefault="00311D18" w:rsidP="003C1988">
            <w:pPr>
              <w:spacing w:after="0"/>
              <w:rPr>
                <w:rFonts w:ascii="Times New Roman" w:hAnsi="Times New Roman" w:cs="Times New Roman"/>
                <w:sz w:val="20"/>
              </w:rPr>
            </w:pPr>
          </w:p>
        </w:tc>
        <w:tc>
          <w:tcPr>
            <w:tcW w:w="3594" w:type="dxa"/>
            <w:vMerge/>
          </w:tcPr>
          <w:p w14:paraId="038B9CF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1E1116C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0A3BDD7"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74B6AA02" w14:textId="77777777" w:rsidR="00311D18" w:rsidRPr="00B54AA1"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B54AA1">
              <w:rPr>
                <w:rFonts w:ascii="Times New Roman" w:eastAsia="MS Mincho" w:hAnsi="Times New Roman" w:cs="Times New Roman"/>
                <w:sz w:val="20"/>
              </w:rPr>
              <w:t>Dofinansowanych zostało 13 ofert w ramach programu Fundusz Inicjatyw Obywatelskich, które w sposób bezpośredni lub pośredni odnoszą się do osób starszych. Wnioski zostały złożone w ramach Priorytetu 2: Aktywne społeczeństwo, gdzie jednym z wiodących obszarów wsparcia jest aktywizacja obywateli w sprawach wspólnotowych oraz wspieranie aktywnych form integracji społecznej. Jak również w zakresie Priorytetu 3: Aktywni obywatele, w ramach którego jednym z głównych obszarów wsparcia jest rozwijanie edukacji obywatelskiej i kompetencji społecznych. Przytoczone kierunki nakierowane są na wspomaganie działań mających na celu uczestnictwo w życiu społecznym oraz wspieranie wszelkich form aktywności obywatelskiej i kulturalnej poprzez tworzenie warunków umożliwiających wykorzystanie potencjału beneficjentów, w tym także osób starszych, jako aktywnych uczestników życia społecznego i publicznego, jak również tworzenie warunków do solidarności i integracji międzypokoleniowej. Sumarycznie kwota dofinansowania wyniosła 2 142 769,80 zł.</w:t>
            </w:r>
          </w:p>
          <w:p w14:paraId="1EA504D1" w14:textId="77777777" w:rsidR="00B54AA1" w:rsidRPr="00B54AA1"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p w14:paraId="3BB68398" w14:textId="77777777" w:rsidR="00B54AA1" w:rsidRPr="00B54AA1"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B54AA1">
              <w:rPr>
                <w:rFonts w:ascii="Times New Roman" w:eastAsia="MS Mincho" w:hAnsi="Times New Roman" w:cs="Times New Roman"/>
                <w:sz w:val="20"/>
              </w:rPr>
              <w:t xml:space="preserve">W ramach Programu Fundusz Inicjatyw Obywatelskich  co roku ogłaszany jest otwarty konkurs ofert, w którym wyłaniane i </w:t>
            </w:r>
            <w:r w:rsidRPr="00B54AA1">
              <w:rPr>
                <w:rFonts w:ascii="Times New Roman" w:eastAsia="MS Mincho" w:hAnsi="Times New Roman" w:cs="Times New Roman"/>
                <w:sz w:val="20"/>
              </w:rPr>
              <w:lastRenderedPageBreak/>
              <w:t>dofinansowane są najwyżej ocenione projekty złożone przez organizacje   pozarządowe. Na wartość miernika osiągniętą w roku 2019 składają się 13 wniosków dofinansowanych w ramach edycji 2019.</w:t>
            </w:r>
          </w:p>
        </w:tc>
      </w:tr>
      <w:tr w:rsidR="005F3D4B" w:rsidRPr="00D24DF9" w14:paraId="11651AB6"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BFC2AE1"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405AE3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hAnsi="Times New Roman"/>
                <w:sz w:val="20"/>
              </w:rPr>
              <w:t>Wspieranie projektów społecznych, realizowanych przez organizacje pozarządowe i podmioty, o których mowa w art. 3 ust. 3 ustawy o działalności pożytku publicznego i o wolontariacie, promujących solidarność i integrację międzypokoleniową</w:t>
            </w:r>
          </w:p>
        </w:tc>
        <w:tc>
          <w:tcPr>
            <w:tcW w:w="2032" w:type="dxa"/>
            <w:vMerge w:val="restart"/>
          </w:tcPr>
          <w:p w14:paraId="58F846F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w:t>
            </w:r>
          </w:p>
        </w:tc>
        <w:tc>
          <w:tcPr>
            <w:tcW w:w="1500" w:type="dxa"/>
            <w:vMerge w:val="restart"/>
          </w:tcPr>
          <w:p w14:paraId="47C788A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4CD1A84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2232C96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wspartych projektów społecznych, realizowanych przez organizacje pozarządowe, promujących solidarność i integrację międzypokoleniową</w:t>
            </w:r>
          </w:p>
        </w:tc>
      </w:tr>
      <w:tr w:rsidR="005F3D4B" w:rsidRPr="00D24DF9" w14:paraId="5A7759EE"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EBE649F" w14:textId="77777777" w:rsidR="00311D18" w:rsidRPr="00D24DF9" w:rsidRDefault="00311D18" w:rsidP="003C1988">
            <w:pPr>
              <w:spacing w:after="0"/>
              <w:rPr>
                <w:rFonts w:ascii="Times New Roman" w:hAnsi="Times New Roman" w:cs="Times New Roman"/>
                <w:sz w:val="20"/>
              </w:rPr>
            </w:pPr>
          </w:p>
        </w:tc>
        <w:tc>
          <w:tcPr>
            <w:tcW w:w="3594" w:type="dxa"/>
            <w:vMerge/>
          </w:tcPr>
          <w:p w14:paraId="192723E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0D99C77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5F85D295"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2BEC7A5E" w14:textId="77777777" w:rsidR="00311D18" w:rsidRPr="00B54AA1"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B54AA1">
              <w:rPr>
                <w:rFonts w:ascii="Times New Roman" w:eastAsia="MS Mincho" w:hAnsi="Times New Roman" w:cs="Times New Roman"/>
                <w:sz w:val="20"/>
              </w:rPr>
              <w:t>Dofinansowanych zostało 13 ofert w ramach programu Fundusz Inicjatyw Obywatelskich, które w sposób bezpośredni lub pośredni odnoszą się do osób starszych. Wnioski zostały złożone w ramach Priorytetu 2: Aktywne społeczeństwo, gdzie jednym z wiodących obszarów wsparcia jest aktywizacja obywateli w sprawach wspólnotowych oraz wspieranie aktywnych form integracji społecznej. Jak również w zakresie Priorytetu 3: Aktywni obywatele, w ramach którego jednym z głównych obszarów wsparcia jest rozwijanie edukacji obywatelskiej i kompetencji społecznych. Przytoczone kierunki nakierowane są na wspomaganie działań mających na celu uczestnictwo w życiu społecznym oraz wspieranie wszelkich form aktywności obywatelskiej i kulturalnej poprzez tworzenie warunków umożliwiających wykorzystanie potencjału beneficjentów, w tym także osób starszych, jako aktywnych uczestników życia społecznego i publicznego, jak również tworzenie warunków do solidarności i integracji międzypokoleniowej. Sumarycznie kwota dofinansowania wyniosła 2 142 769,80 zł.</w:t>
            </w:r>
          </w:p>
          <w:p w14:paraId="2A1F32A1" w14:textId="77777777" w:rsidR="00B54AA1" w:rsidRPr="00B54AA1"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p w14:paraId="09E61319" w14:textId="77777777" w:rsidR="00B54AA1" w:rsidRPr="00D24DF9"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B54AA1">
              <w:rPr>
                <w:rFonts w:ascii="Times New Roman" w:eastAsia="MS Mincho" w:hAnsi="Times New Roman" w:cs="Times New Roman"/>
                <w:sz w:val="20"/>
              </w:rPr>
              <w:t>W ramach Programu Fundusz Inicjatyw Obywatelskich co roku ogłaszany jest otwarty konkurs ofert, w którym wyłaniane i dofinansowane są najwyżej ocenione projekty złożone przez organizacje pozarządowe. Na wartość miernika osiągniętą w roku 2019 składają się 13 wniosków dofinansowanych w ramach edycji 2019.</w:t>
            </w:r>
          </w:p>
        </w:tc>
      </w:tr>
      <w:tr w:rsidR="005F3D4B" w:rsidRPr="00D24DF9" w14:paraId="402C1EC1"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FC1F3FA"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EB9829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Wspieranie spójności rodziny poprzez promowanie międzypokoleniowej wymiany doświadczeń</w:t>
            </w:r>
          </w:p>
        </w:tc>
        <w:tc>
          <w:tcPr>
            <w:tcW w:w="2032" w:type="dxa"/>
            <w:vMerge w:val="restart"/>
          </w:tcPr>
          <w:p w14:paraId="6DD4446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 Ministerstwo Rodziny, Pracy i Polityki Społecznej</w:t>
            </w:r>
          </w:p>
        </w:tc>
        <w:tc>
          <w:tcPr>
            <w:tcW w:w="1500" w:type="dxa"/>
            <w:vMerge w:val="restart"/>
          </w:tcPr>
          <w:p w14:paraId="03512A4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5BD030E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5CF1B7F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inicjatyw na rzecz wspierania spójności rodziny poprzez promowanie międzypokoleniowej wymiany doświadczeń</w:t>
            </w:r>
          </w:p>
        </w:tc>
      </w:tr>
      <w:tr w:rsidR="005F3D4B" w:rsidRPr="00D24DF9" w14:paraId="37DD4786"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7A4B4A4" w14:textId="77777777" w:rsidR="00311D18" w:rsidRPr="00D24DF9" w:rsidRDefault="00311D18" w:rsidP="003C1988">
            <w:pPr>
              <w:spacing w:after="0"/>
              <w:rPr>
                <w:rFonts w:ascii="Times New Roman" w:hAnsi="Times New Roman" w:cs="Times New Roman"/>
                <w:sz w:val="20"/>
              </w:rPr>
            </w:pPr>
          </w:p>
        </w:tc>
        <w:tc>
          <w:tcPr>
            <w:tcW w:w="3594" w:type="dxa"/>
            <w:vMerge/>
          </w:tcPr>
          <w:p w14:paraId="04B2F25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006AEE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7B714EA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44E2477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57289B65"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F0DB39A"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BAFDF3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hAnsi="Times New Roman"/>
                <w:sz w:val="20"/>
              </w:rPr>
              <w:t>Tworzenie i wzmacnianie, na poziomie lokalnym, infrastruktury skierowanej do osób starszych takiej jak: placówki dziennego pobytu (domy, kluby, świetlice), prowadzące działania na rzecz integracji międzypokoleniowej</w:t>
            </w:r>
          </w:p>
        </w:tc>
        <w:tc>
          <w:tcPr>
            <w:tcW w:w="2032" w:type="dxa"/>
            <w:vMerge w:val="restart"/>
          </w:tcPr>
          <w:p w14:paraId="7512B9E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tc>
        <w:tc>
          <w:tcPr>
            <w:tcW w:w="1500" w:type="dxa"/>
            <w:vMerge w:val="restart"/>
          </w:tcPr>
          <w:p w14:paraId="6A74032D"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p>
        </w:tc>
        <w:tc>
          <w:tcPr>
            <w:tcW w:w="5638" w:type="dxa"/>
          </w:tcPr>
          <w:p w14:paraId="7FAAD13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funkcjonujących placówek skierowanych do osób starszych prowadzących działania na rzecz integracji międzypokoleniowej</w:t>
            </w:r>
          </w:p>
        </w:tc>
      </w:tr>
      <w:tr w:rsidR="005F3D4B" w:rsidRPr="00D24DF9" w14:paraId="64CD076E"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BDE53EC" w14:textId="77777777" w:rsidR="00311D18" w:rsidRPr="00D24DF9" w:rsidRDefault="00311D18" w:rsidP="003C1988">
            <w:pPr>
              <w:spacing w:after="0"/>
              <w:rPr>
                <w:rFonts w:ascii="Times New Roman" w:hAnsi="Times New Roman" w:cs="Times New Roman"/>
                <w:sz w:val="20"/>
              </w:rPr>
            </w:pPr>
          </w:p>
        </w:tc>
        <w:tc>
          <w:tcPr>
            <w:tcW w:w="3594" w:type="dxa"/>
            <w:vMerge/>
          </w:tcPr>
          <w:p w14:paraId="2B46639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4667966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0F020BF8"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5C91EA0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66FDE98A"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8A2F9D4"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F56FEF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Prowadzenie szkoleń dla liderów społeczności lokalnych z zakresu planowania działań wobec osób starszych</w:t>
            </w:r>
          </w:p>
        </w:tc>
        <w:tc>
          <w:tcPr>
            <w:tcW w:w="2032" w:type="dxa"/>
            <w:vMerge w:val="restart"/>
          </w:tcPr>
          <w:p w14:paraId="177F8E5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w:t>
            </w:r>
          </w:p>
        </w:tc>
        <w:tc>
          <w:tcPr>
            <w:tcW w:w="1500" w:type="dxa"/>
            <w:vMerge w:val="restart"/>
          </w:tcPr>
          <w:p w14:paraId="13836B5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33B94E4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przeprowadzonych szkoleń dla liderów społeczności lokalnych z zakresu planowania działań wobec osób starszych</w:t>
            </w:r>
          </w:p>
        </w:tc>
      </w:tr>
      <w:tr w:rsidR="005F3D4B" w:rsidRPr="00D24DF9" w14:paraId="6D455005"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5F53FDB" w14:textId="77777777" w:rsidR="00311D18" w:rsidRPr="00D24DF9" w:rsidRDefault="00311D18" w:rsidP="003C1988">
            <w:pPr>
              <w:spacing w:after="0"/>
              <w:rPr>
                <w:rFonts w:ascii="Times New Roman" w:hAnsi="Times New Roman" w:cs="Times New Roman"/>
                <w:sz w:val="20"/>
              </w:rPr>
            </w:pPr>
          </w:p>
        </w:tc>
        <w:tc>
          <w:tcPr>
            <w:tcW w:w="3594" w:type="dxa"/>
            <w:vMerge/>
          </w:tcPr>
          <w:p w14:paraId="1C9F7D8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2D9FEDD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6B73978F"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4C8A35F8"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65411471"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71BC35C"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1F22577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Upowszechnianie dobrych praktyk realizowanych przez samorządy </w:t>
            </w:r>
            <w:r w:rsidRPr="00D24DF9">
              <w:rPr>
                <w:rFonts w:ascii="Times New Roman" w:eastAsia="MS Mincho" w:hAnsi="Times New Roman"/>
                <w:sz w:val="20"/>
              </w:rPr>
              <w:br/>
              <w:t>i organizacje pozarządowe</w:t>
            </w:r>
          </w:p>
        </w:tc>
        <w:tc>
          <w:tcPr>
            <w:tcW w:w="2032" w:type="dxa"/>
            <w:vMerge w:val="restart"/>
          </w:tcPr>
          <w:p w14:paraId="03836A0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w:t>
            </w:r>
          </w:p>
        </w:tc>
        <w:tc>
          <w:tcPr>
            <w:tcW w:w="1500" w:type="dxa"/>
            <w:vMerge w:val="restart"/>
          </w:tcPr>
          <w:p w14:paraId="6387153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504598D3"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1904B93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 xml:space="preserve">Liczba zrealizowanych inicjatyw mających na celu upowszechnianie dobrych praktyk realizowanych </w:t>
            </w:r>
            <w:r w:rsidRPr="00D24DF9">
              <w:rPr>
                <w:rFonts w:ascii="Times New Roman" w:eastAsia="MS Mincho" w:hAnsi="Times New Roman"/>
                <w:i/>
                <w:sz w:val="20"/>
              </w:rPr>
              <w:br/>
              <w:t>przez samorządy i organizacje pozarządowe</w:t>
            </w:r>
          </w:p>
        </w:tc>
      </w:tr>
      <w:tr w:rsidR="005F3D4B" w:rsidRPr="00D24DF9" w14:paraId="46CE3437"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CBA2120" w14:textId="77777777" w:rsidR="00311D18" w:rsidRPr="00D24DF9" w:rsidRDefault="00311D18" w:rsidP="003C1988">
            <w:pPr>
              <w:spacing w:after="0"/>
              <w:rPr>
                <w:rFonts w:ascii="Times New Roman" w:hAnsi="Times New Roman" w:cs="Times New Roman"/>
                <w:sz w:val="20"/>
              </w:rPr>
            </w:pPr>
          </w:p>
        </w:tc>
        <w:tc>
          <w:tcPr>
            <w:tcW w:w="3594" w:type="dxa"/>
            <w:vMerge/>
          </w:tcPr>
          <w:p w14:paraId="5B95759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0FCCAE5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A4A32CD"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4B8BB678" w14:textId="77777777" w:rsidR="0093687B" w:rsidRPr="00D24DF9" w:rsidRDefault="0093687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p w14:paraId="49E3E4D2"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46415206"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FB5F958"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32B9D3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Promowanie w ramach misji mediów publicznych współpracy międzypokoleniowej oraz dobrych </w:t>
            </w:r>
            <w:r w:rsidRPr="00D24DF9">
              <w:rPr>
                <w:rFonts w:ascii="Times New Roman" w:eastAsia="MS Mincho" w:hAnsi="Times New Roman"/>
                <w:sz w:val="20"/>
              </w:rPr>
              <w:br/>
              <w:t>praktyk realizowanych w tym zakresie</w:t>
            </w:r>
          </w:p>
        </w:tc>
        <w:tc>
          <w:tcPr>
            <w:tcW w:w="2032" w:type="dxa"/>
            <w:vMerge w:val="restart"/>
          </w:tcPr>
          <w:p w14:paraId="2B3BA87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Media publiczne</w:t>
            </w:r>
          </w:p>
        </w:tc>
        <w:tc>
          <w:tcPr>
            <w:tcW w:w="1500" w:type="dxa"/>
            <w:vMerge w:val="restart"/>
          </w:tcPr>
          <w:p w14:paraId="2AB9BFE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p w14:paraId="330309D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tcPr>
          <w:p w14:paraId="169DFEB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inicjatyw mających na celu promowanie w ramach misji mediów publicznych współpracy międzypokoleniowej oraz dobrych praktyk realizowanych w tym zakresie</w:t>
            </w:r>
          </w:p>
        </w:tc>
      </w:tr>
      <w:tr w:rsidR="005F3D4B" w:rsidRPr="00D24DF9" w14:paraId="7BC66415"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2F49C13" w14:textId="77777777" w:rsidR="00311D18" w:rsidRPr="00D24DF9" w:rsidRDefault="00311D18" w:rsidP="003C1988">
            <w:pPr>
              <w:spacing w:after="0"/>
              <w:rPr>
                <w:rFonts w:ascii="Times New Roman" w:hAnsi="Times New Roman" w:cs="Times New Roman"/>
                <w:sz w:val="20"/>
              </w:rPr>
            </w:pPr>
          </w:p>
        </w:tc>
        <w:tc>
          <w:tcPr>
            <w:tcW w:w="3594" w:type="dxa"/>
            <w:vMerge/>
          </w:tcPr>
          <w:p w14:paraId="0D14745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4BF4B7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9BE569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360BBFB5"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49C53125"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4FA77F6"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17D8D57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Promowanie współdziałania </w:t>
            </w:r>
            <w:r w:rsidRPr="00D24DF9">
              <w:rPr>
                <w:rFonts w:ascii="Times New Roman" w:eastAsia="MS Mincho" w:hAnsi="Times New Roman"/>
                <w:sz w:val="20"/>
              </w:rPr>
              <w:br/>
              <w:t>i współpracy dzieci i młodzieży</w:t>
            </w:r>
            <w:r w:rsidRPr="00D24DF9">
              <w:rPr>
                <w:rFonts w:ascii="Times New Roman" w:eastAsia="MS Mincho" w:hAnsi="Times New Roman"/>
                <w:sz w:val="20"/>
              </w:rPr>
              <w:br/>
            </w:r>
            <w:r w:rsidRPr="00D24DF9">
              <w:rPr>
                <w:rFonts w:ascii="Times New Roman" w:eastAsia="MS Mincho" w:hAnsi="Times New Roman"/>
                <w:sz w:val="20"/>
              </w:rPr>
              <w:lastRenderedPageBreak/>
              <w:t>z osobami starszymi i organizacjami senioralnymi</w:t>
            </w:r>
          </w:p>
        </w:tc>
        <w:tc>
          <w:tcPr>
            <w:tcW w:w="2032" w:type="dxa"/>
            <w:vMerge w:val="restart"/>
          </w:tcPr>
          <w:p w14:paraId="7480DE9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Komitet do spraw Pożytku Publicznego</w:t>
            </w:r>
          </w:p>
        </w:tc>
        <w:tc>
          <w:tcPr>
            <w:tcW w:w="1500" w:type="dxa"/>
            <w:vMerge w:val="restart"/>
          </w:tcPr>
          <w:p w14:paraId="0EE8037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2018-2025</w:t>
            </w:r>
          </w:p>
        </w:tc>
        <w:tc>
          <w:tcPr>
            <w:tcW w:w="5638" w:type="dxa"/>
          </w:tcPr>
          <w:p w14:paraId="75DA10D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inicjatyw mających na celu promowanie współdziałania i współpracy dzieci i młodzieży z osobami starszymi i organizacjami senioralnymi</w:t>
            </w:r>
          </w:p>
        </w:tc>
      </w:tr>
      <w:tr w:rsidR="005F3D4B" w:rsidRPr="00D24DF9" w14:paraId="6433DDEC"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CFB29E4" w14:textId="77777777" w:rsidR="00311D18" w:rsidRPr="00D24DF9" w:rsidRDefault="00311D18" w:rsidP="003C1988">
            <w:pPr>
              <w:spacing w:after="0"/>
              <w:rPr>
                <w:rFonts w:ascii="Times New Roman" w:hAnsi="Times New Roman" w:cs="Times New Roman"/>
                <w:sz w:val="20"/>
              </w:rPr>
            </w:pPr>
          </w:p>
        </w:tc>
        <w:tc>
          <w:tcPr>
            <w:tcW w:w="3594" w:type="dxa"/>
            <w:vMerge/>
          </w:tcPr>
          <w:p w14:paraId="3A82D45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4817DBA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5652604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31451A27" w14:textId="77777777" w:rsidR="00311D18" w:rsidRPr="00B54AA1"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B54AA1">
              <w:rPr>
                <w:rFonts w:ascii="Times New Roman" w:eastAsia="MS Mincho" w:hAnsi="Times New Roman"/>
                <w:sz w:val="20"/>
              </w:rPr>
              <w:t>Dofinansowanych zostało 13 ofert w ramach programu Fundusz Inicjatyw Obywatelskich, które w sposób bezpośredni lub pośredni odnoszą się do osób starszych. Wnioski zostały złożone w ramach Priorytetu 2: Aktywne społeczeństwo, gdzie jednym z wiodących obszarów wsparcia jest aktywizacja obywateli w sprawach wspólnotowych oraz wspieranie aktywnych form integracji społecznej. Jak również w zakresie Priorytetu 3: Aktywni obywatele, w ramach którego jednym z głównych obszarów wsparcia jest rozwijanie edukacji obywatelskiej i kompetencji społecznych. Przytoczone kierunki nakierowane są na wspomaganie działań mających na celu uczestnictwo w życiu społecznym oraz wspieranie wszelkich form aktywności obywatelskiej i kulturalnej poprzez tworzenie warunków umożliwiających wykorzystanie potencjału beneficjentów, w tym także osób starszych, jako aktywnych uczestników życia społecznego i publicznego, jak również tworzenie warunków do solidarności i integracji międzypokoleniowej. Sumarycznie kwota dofinansowania wyniosła 2 142 769,80 zł.</w:t>
            </w:r>
          </w:p>
          <w:p w14:paraId="43091C24" w14:textId="77777777" w:rsidR="00B54AA1" w:rsidRPr="00B54AA1"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4F895FFA" w14:textId="77777777" w:rsidR="00B54AA1" w:rsidRPr="00D24DF9" w:rsidRDefault="00B54AA1"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B54AA1">
              <w:rPr>
                <w:rFonts w:ascii="Times New Roman" w:eastAsia="MS Mincho" w:hAnsi="Times New Roman" w:cs="Times New Roman"/>
                <w:sz w:val="20"/>
              </w:rPr>
              <w:t>W ramach Programu Fundusz Inicjatyw Obywatelskich co roku ogłaszany jest otwarty konkurs ofert, w którym wyłaniane i dofinansowane są najwyżej ocenione projekty złożone przez organizacje pozarządowe. Na wartość miernika osiągniętą w roku 2019 składają się 13 wniosków dofinansowanych w ramach edycji 2019.</w:t>
            </w:r>
          </w:p>
        </w:tc>
      </w:tr>
      <w:tr w:rsidR="005F3D4B" w:rsidRPr="00D24DF9" w14:paraId="137E8512"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textDirection w:val="btLr"/>
            <w:vAlign w:val="center"/>
          </w:tcPr>
          <w:p w14:paraId="34D59A5A" w14:textId="77777777" w:rsidR="00311D18" w:rsidRPr="00D24DF9" w:rsidRDefault="00311D18" w:rsidP="003C1988">
            <w:pPr>
              <w:pStyle w:val="Kolorowalistaakcent11"/>
              <w:spacing w:after="0"/>
              <w:ind w:left="113" w:right="113"/>
              <w:rPr>
                <w:rFonts w:ascii="Times New Roman" w:eastAsia="MS Mincho" w:hAnsi="Times New Roman"/>
                <w:b w:val="0"/>
                <w:sz w:val="20"/>
              </w:rPr>
            </w:pPr>
            <w:r w:rsidRPr="00D24DF9">
              <w:rPr>
                <w:rFonts w:ascii="Times New Roman" w:eastAsia="MS Mincho" w:hAnsi="Times New Roman"/>
                <w:sz w:val="20"/>
              </w:rPr>
              <w:t>Obszar VII</w:t>
            </w:r>
          </w:p>
        </w:tc>
        <w:tc>
          <w:tcPr>
            <w:tcW w:w="3594" w:type="dxa"/>
            <w:vMerge w:val="restart"/>
            <w:shd w:val="clear" w:color="auto" w:fill="D9E2F3" w:themeFill="accent5" w:themeFillTint="33"/>
          </w:tcPr>
          <w:p w14:paraId="018F2C9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hAnsi="Times New Roman"/>
                <w:sz w:val="20"/>
              </w:rPr>
              <w:t>Wspieranie organizacji pozarządowych i podmiotów, o których mowa w art. 3 ust. 3 ustawy o działalności pożytku publicznego i o wolontariacie, i innych instytucji działających w obszarze edukacji osób starszych</w:t>
            </w:r>
          </w:p>
        </w:tc>
        <w:tc>
          <w:tcPr>
            <w:tcW w:w="2032" w:type="dxa"/>
            <w:vMerge w:val="restart"/>
          </w:tcPr>
          <w:p w14:paraId="6CAE51A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w:t>
            </w:r>
          </w:p>
        </w:tc>
        <w:tc>
          <w:tcPr>
            <w:tcW w:w="1500" w:type="dxa"/>
            <w:vMerge w:val="restart"/>
          </w:tcPr>
          <w:p w14:paraId="76805C3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355EDE2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 xml:space="preserve">Liczba wspartych organizacji sektora </w:t>
            </w:r>
            <w:r w:rsidRPr="00D24DF9">
              <w:rPr>
                <w:rFonts w:ascii="Times New Roman" w:hAnsi="Times New Roman"/>
                <w:i/>
                <w:sz w:val="20"/>
              </w:rPr>
              <w:t xml:space="preserve">organizacji pozarządowych i podmiotów, o których mowa w art.3 ust. 3 ustawy o działalności pożytku publicznego i o wolontariacie, </w:t>
            </w:r>
            <w:r w:rsidRPr="00D24DF9">
              <w:rPr>
                <w:rFonts w:ascii="Times New Roman" w:eastAsia="MS Mincho" w:hAnsi="Times New Roman"/>
                <w:i/>
                <w:sz w:val="20"/>
              </w:rPr>
              <w:t>w obszarze promowania wolontariatu osób starszych oraz wobec osób starszych i innych instytucji działających w obszarze edukacji osób starszych.</w:t>
            </w:r>
          </w:p>
        </w:tc>
      </w:tr>
      <w:tr w:rsidR="005F3D4B" w:rsidRPr="00D24DF9" w14:paraId="7347D043"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7C3CEC4" w14:textId="77777777" w:rsidR="00311D18" w:rsidRPr="00D24DF9" w:rsidRDefault="00311D18" w:rsidP="003C1988">
            <w:pPr>
              <w:spacing w:after="0"/>
              <w:rPr>
                <w:rFonts w:ascii="Times New Roman" w:hAnsi="Times New Roman" w:cs="Times New Roman"/>
                <w:sz w:val="20"/>
              </w:rPr>
            </w:pPr>
          </w:p>
        </w:tc>
        <w:tc>
          <w:tcPr>
            <w:tcW w:w="3594" w:type="dxa"/>
            <w:vMerge/>
          </w:tcPr>
          <w:p w14:paraId="2DE01D2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09CA526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1C91ED4"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BB06ED4" w14:textId="77777777" w:rsidR="00311D18" w:rsidRDefault="00B4782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B47826">
              <w:rPr>
                <w:rFonts w:ascii="Times New Roman" w:eastAsia="MS Mincho" w:hAnsi="Times New Roman"/>
                <w:sz w:val="20"/>
              </w:rPr>
              <w:t xml:space="preserve">Dofinansowanych zostało 13 ofert w ramach programu Fundusz Inicjatyw Obywatelskich, które w sposób bezpośredni lub pośredni odnoszą się do osób starszych. Wnioski zostały złożone w ramach </w:t>
            </w:r>
            <w:r w:rsidRPr="00B47826">
              <w:rPr>
                <w:rFonts w:ascii="Times New Roman" w:eastAsia="MS Mincho" w:hAnsi="Times New Roman"/>
                <w:sz w:val="20"/>
              </w:rPr>
              <w:lastRenderedPageBreak/>
              <w:t>Priorytetu 2: Aktywne społeczeństwo, gdzie jednym z wiodących obszarów wsparcia jest aktywizacja obywateli w sprawach wspólnotowych oraz wspieranie aktywnych form integracji społecznej. Jak również w zakresie Priorytetu 3: Aktywni obywatele, w ramach którego jednym z głównych obszarów wsparcia jest rozwijanie edukacji obywatelskiej i kompetencji społecznych. Przytoczone kierunki nakierowane są na wspomaganie działań mających na celu uczestnictwo w życiu społecznym oraz wspieranie wszelkich form aktywności obywatelskiej i kulturalnej poprzez tworzenie warunków umożliwiających wykorzystanie potencjału beneficjentów, w tym także osób starszych, jako aktywnych uczestników życia społecznego i publicznego, jak również tworzenie warunków do solidarności i integracji międzypokoleniowej. Sumarycznie kwota dofinansowania wyniosła 2 142 769,80 zł.</w:t>
            </w:r>
            <w:r w:rsidRPr="00B47826">
              <w:rPr>
                <w:rFonts w:ascii="Times New Roman" w:eastAsia="MS Mincho" w:hAnsi="Times New Roman"/>
                <w:i/>
                <w:sz w:val="20"/>
              </w:rPr>
              <w:t>.</w:t>
            </w:r>
          </w:p>
          <w:p w14:paraId="0A987D41" w14:textId="77777777" w:rsidR="00B47826" w:rsidRPr="00B47826" w:rsidRDefault="00B4782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p>
          <w:p w14:paraId="1709EFF9" w14:textId="77777777" w:rsidR="00B47826" w:rsidRPr="00D24DF9" w:rsidRDefault="00B47826"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B47826">
              <w:rPr>
                <w:rFonts w:ascii="Times New Roman" w:eastAsia="MS Mincho" w:hAnsi="Times New Roman" w:cs="Times New Roman"/>
                <w:sz w:val="20"/>
              </w:rPr>
              <w:t>W ramach Programu Fundusz Inicjatyw Obywatelskich  co roku ogłaszany jest otwarty konkurs ofert, w którym wyłaniane i dofinansowane są najwyżej ocenione projekty złożone przez organizacje   pozarządowe. Na wartość miernika osiągniętą w roku 2019 składają się 13 wniosków dofinansowanych w ramach edycji 2019.</w:t>
            </w:r>
          </w:p>
        </w:tc>
      </w:tr>
      <w:tr w:rsidR="005F3D4B" w:rsidRPr="00D24DF9" w14:paraId="27111F15"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250D8C02"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13C0F15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Rozpowszechnianie informacji </w:t>
            </w:r>
            <w:r w:rsidRPr="00D24DF9">
              <w:rPr>
                <w:rFonts w:ascii="Times New Roman" w:eastAsia="MS Mincho" w:hAnsi="Times New Roman"/>
                <w:sz w:val="20"/>
              </w:rPr>
              <w:br/>
              <w:t>o możliwościach aktywności edukacyjnej osób starszych</w:t>
            </w:r>
          </w:p>
        </w:tc>
        <w:tc>
          <w:tcPr>
            <w:tcW w:w="2032" w:type="dxa"/>
            <w:vMerge w:val="restart"/>
          </w:tcPr>
          <w:p w14:paraId="6BF7241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Edukacji Narodowej, Ministerstwo Nauki i Szkolnictwa Wyższego</w:t>
            </w:r>
          </w:p>
        </w:tc>
        <w:tc>
          <w:tcPr>
            <w:tcW w:w="1500" w:type="dxa"/>
            <w:vMerge w:val="restart"/>
          </w:tcPr>
          <w:p w14:paraId="03307AD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75E681D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inicjatyw mających na celu rozpowszechnienie informacji o możliwościach aktywności edukacyjnej osób starszych.</w:t>
            </w:r>
          </w:p>
        </w:tc>
      </w:tr>
      <w:tr w:rsidR="005F3D4B" w:rsidRPr="00D24DF9" w14:paraId="6899D452"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6E235BB" w14:textId="77777777" w:rsidR="00311D18" w:rsidRPr="00D24DF9" w:rsidRDefault="00311D18" w:rsidP="003C1988">
            <w:pPr>
              <w:spacing w:after="0"/>
              <w:rPr>
                <w:rFonts w:ascii="Times New Roman" w:hAnsi="Times New Roman" w:cs="Times New Roman"/>
                <w:sz w:val="20"/>
              </w:rPr>
            </w:pPr>
          </w:p>
        </w:tc>
        <w:tc>
          <w:tcPr>
            <w:tcW w:w="3594" w:type="dxa"/>
            <w:vMerge/>
          </w:tcPr>
          <w:p w14:paraId="3F341D4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4D5303A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04C1057A"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7BFBD5EF" w14:textId="77777777" w:rsidR="00FB6CD9" w:rsidRPr="00D24DF9" w:rsidRDefault="00FB6CD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 xml:space="preserve">Ministerstwo Edukacji Narodowej, Ministerstwo Nauki i Szkolnictwa Wyższego, Ministerstwo Funduszy Rozwoju i Polityki Regionalnej (dawne Ministerstwo Inwestycji i Rozwoju Gospodarczego), Instytut Badań Edukacyjnych, </w:t>
            </w:r>
          </w:p>
          <w:p w14:paraId="074B3002" w14:textId="77777777" w:rsidR="00FB6CD9" w:rsidRPr="00D24DF9" w:rsidRDefault="00FB6CD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 xml:space="preserve">Fundacja Rozwoju Systemu Edukacji, Polska Agencja Rozwoju Przedsiębiorczości współpracowały z Polską Izbą Firm Szkoleniowych i innymi partnerami (m.in. Uniwersytetem Otwartym UW,  Konferencją Rektorów Akademickich Szkół </w:t>
            </w:r>
            <w:r w:rsidRPr="00D24DF9">
              <w:rPr>
                <w:rFonts w:ascii="Times New Roman" w:eastAsia="MS Mincho" w:hAnsi="Times New Roman" w:cs="Times New Roman"/>
                <w:bCs/>
                <w:sz w:val="20"/>
              </w:rPr>
              <w:lastRenderedPageBreak/>
              <w:t xml:space="preserve">Polskich, Konfederacją Lewiatan) w organizacji wydarzeń ogólnopolskiej kampanii społecznej „Dni uczenia się dorosłych” (15 września - 15 października 2019 r.) - czwarta edycja (pierwsza edycja - 2009, druga edycja - 2010, trzecia edycja - 2011) Kampania ma na celu promowanie idei uczenia się przez całe życie oraz podnoszenie świadomości na temat wartości uczenia się dorosłych, w tym seniorów, zachęcanie dorosłych do kontynuowania edukacji i rozwijania umiejętności w różnych formach, inspirowanie ludzi do odkrywania, w jaki sposób uczenie się może pozytywnie zmienić ich życie. W ramach kampanii zorganizowano niespełna 300 wydarzeń na terenie całego kraju. Obejmowały one konferencje, seminaria, warsztaty, dni otwarte i spotkania, pikniki edukacyjne, szkolenia na świeżym powietrzu, pokazy, konkursy i seminaria internetowe. </w:t>
            </w:r>
          </w:p>
          <w:p w14:paraId="6A7D6BB4" w14:textId="77777777" w:rsidR="00311D18" w:rsidRPr="00D24DF9" w:rsidRDefault="00FB6CD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Ponadto,  rozpowszechnianie informacji o możliwościach aktywności edukacyjnej osób starszych, prowadzone jest w ramach projektu dotyczącego rozwoju  Lokalnych Ośrodków Wiedzy i Edukacji, który został opisany wyżej w obszarze III.</w:t>
            </w:r>
          </w:p>
        </w:tc>
      </w:tr>
      <w:tr w:rsidR="005F3D4B" w:rsidRPr="00D24DF9" w14:paraId="32752D0A" w14:textId="77777777" w:rsidTr="004D48DD">
        <w:trPr>
          <w:trHeight w:val="487"/>
        </w:trPr>
        <w:tc>
          <w:tcPr>
            <w:cnfStyle w:val="001000000000" w:firstRow="0" w:lastRow="0" w:firstColumn="1" w:lastColumn="0" w:oddVBand="0" w:evenVBand="0" w:oddHBand="0" w:evenHBand="0" w:firstRowFirstColumn="0" w:firstRowLastColumn="0" w:lastRowFirstColumn="0" w:lastRowLastColumn="0"/>
            <w:tcW w:w="1232" w:type="dxa"/>
            <w:vMerge/>
          </w:tcPr>
          <w:p w14:paraId="70733842"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0F42407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Prowadzenie kampanii społecznych promujących zawody opiekuńcze</w:t>
            </w:r>
          </w:p>
        </w:tc>
        <w:tc>
          <w:tcPr>
            <w:tcW w:w="2032" w:type="dxa"/>
            <w:vMerge w:val="restart"/>
          </w:tcPr>
          <w:p w14:paraId="7BAF5B0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 Ministerstwo Zdrowia</w:t>
            </w:r>
            <w:r w:rsidR="0066238D" w:rsidRPr="00D24DF9">
              <w:rPr>
                <w:rFonts w:ascii="Times New Roman" w:eastAsia="MS Mincho" w:hAnsi="Times New Roman"/>
                <w:sz w:val="20"/>
              </w:rPr>
              <w:t>, Ministerstwo Rozwoju</w:t>
            </w:r>
          </w:p>
          <w:p w14:paraId="114356C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val="restart"/>
          </w:tcPr>
          <w:p w14:paraId="5F64343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2233A60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kampanii społecznych promujących zawody opiekuńcze</w:t>
            </w:r>
          </w:p>
        </w:tc>
      </w:tr>
      <w:tr w:rsidR="005F3D4B" w:rsidRPr="00D24DF9" w14:paraId="2AFB1C96"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44DB1F2" w14:textId="77777777" w:rsidR="00311D18" w:rsidRPr="00D24DF9" w:rsidRDefault="00311D18" w:rsidP="003C1988">
            <w:pPr>
              <w:spacing w:after="0"/>
              <w:rPr>
                <w:rFonts w:ascii="Times New Roman" w:hAnsi="Times New Roman" w:cs="Times New Roman"/>
                <w:sz w:val="20"/>
              </w:rPr>
            </w:pPr>
          </w:p>
        </w:tc>
        <w:tc>
          <w:tcPr>
            <w:tcW w:w="3594" w:type="dxa"/>
            <w:vMerge/>
          </w:tcPr>
          <w:p w14:paraId="43B07E8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64F31DA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5DC50E8B"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6BCBCEE6" w14:textId="77777777" w:rsidR="0066238D"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Polska Agencja Rozwoju Przedsiębiorczości realizuje</w:t>
            </w:r>
          </w:p>
          <w:p w14:paraId="04CD36AF" w14:textId="77777777" w:rsidR="0066238D"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2.12 Zwiększenie wiedzy o potrzebach</w:t>
            </w:r>
          </w:p>
          <w:p w14:paraId="4FB7850E" w14:textId="77777777" w:rsidR="0066238D"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kwalifikacyjno-zawodowych, typ 1b Powołanie i</w:t>
            </w:r>
          </w:p>
          <w:p w14:paraId="4E784DBD" w14:textId="77777777" w:rsidR="0066238D"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funkcjonowanie 15 sektorowych rad ds. kompetencji w</w:t>
            </w:r>
          </w:p>
          <w:p w14:paraId="784B3BD3" w14:textId="77777777" w:rsidR="0066238D"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ramach Programu Operacyjnego Wiedza Edukacja Rozwój</w:t>
            </w:r>
          </w:p>
          <w:p w14:paraId="79430AA1" w14:textId="77777777" w:rsidR="0066238D"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na lata 2014 – 2020, które ma pośredni wpływ na wsparcie</w:t>
            </w:r>
          </w:p>
          <w:p w14:paraId="1BFBC1CB" w14:textId="77777777" w:rsidR="0066238D"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tej grupy docelowej, którą stanowią osoby w wieku 50+ na</w:t>
            </w:r>
          </w:p>
          <w:p w14:paraId="2446539A" w14:textId="77777777" w:rsidR="0066238D"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rynku pracy. Celem tego instrumentu wsparcia jest</w:t>
            </w:r>
          </w:p>
          <w:p w14:paraId="39020008" w14:textId="77777777" w:rsidR="0066238D"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dopasowanie systemu edukacji formalnej i pozaformalnej do</w:t>
            </w:r>
          </w:p>
          <w:p w14:paraId="1CC7F884" w14:textId="77777777" w:rsidR="0066238D"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potrzeb gospodarki, z uwzględnieniem pracowników</w:t>
            </w:r>
          </w:p>
          <w:p w14:paraId="3E95AFFA" w14:textId="77777777" w:rsidR="0066238D"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znajdujących się w najtrudniejszej sytuacji na rynku pracy, w</w:t>
            </w:r>
          </w:p>
          <w:p w14:paraId="0F8CE35D" w14:textId="77777777" w:rsidR="00311D18" w:rsidRPr="00D24DF9" w:rsidRDefault="0066238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tym osób powyżej 50 roku życia.</w:t>
            </w:r>
          </w:p>
        </w:tc>
      </w:tr>
      <w:tr w:rsidR="005F3D4B" w:rsidRPr="00D24DF9" w14:paraId="54014D93" w14:textId="77777777" w:rsidTr="004D48DD">
        <w:trPr>
          <w:trHeight w:val="538"/>
        </w:trPr>
        <w:tc>
          <w:tcPr>
            <w:cnfStyle w:val="001000000000" w:firstRow="0" w:lastRow="0" w:firstColumn="1" w:lastColumn="0" w:oddVBand="0" w:evenVBand="0" w:oddHBand="0" w:evenHBand="0" w:firstRowFirstColumn="0" w:firstRowLastColumn="0" w:lastRowFirstColumn="0" w:lastRowLastColumn="0"/>
            <w:tcW w:w="1232" w:type="dxa"/>
            <w:vMerge/>
          </w:tcPr>
          <w:p w14:paraId="7E846A00"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8E3751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Rozwój i uzupełnienie kompetencji kadry pomocy społecznej nt. zagadnień, potrzeb i możliwości osób starszych </w:t>
            </w:r>
            <w:r w:rsidRPr="00D24DF9">
              <w:rPr>
                <w:rFonts w:ascii="Times New Roman" w:eastAsia="+mn-ea" w:hAnsi="Times New Roman"/>
                <w:sz w:val="20"/>
              </w:rPr>
              <w:t>(np. wprowadzenie specjalizacji dla pracowników socjalnych)</w:t>
            </w:r>
          </w:p>
        </w:tc>
        <w:tc>
          <w:tcPr>
            <w:tcW w:w="2032" w:type="dxa"/>
            <w:vMerge w:val="restart"/>
          </w:tcPr>
          <w:p w14:paraId="090FCD3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Rodziny, Pracy i Polityki Społecznej</w:t>
            </w:r>
          </w:p>
        </w:tc>
        <w:tc>
          <w:tcPr>
            <w:tcW w:w="1500" w:type="dxa"/>
            <w:vMerge w:val="restart"/>
          </w:tcPr>
          <w:p w14:paraId="3E3FC8D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3008932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osób, które ukończą specjalizację z zakresu pracy socjalnej z osobami starszymi</w:t>
            </w:r>
          </w:p>
        </w:tc>
      </w:tr>
      <w:tr w:rsidR="005F3D4B" w:rsidRPr="00D24DF9" w14:paraId="55513617"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109F284" w14:textId="77777777" w:rsidR="00311D18" w:rsidRPr="00D24DF9" w:rsidRDefault="00311D18" w:rsidP="003C1988">
            <w:pPr>
              <w:spacing w:after="0"/>
              <w:rPr>
                <w:rFonts w:ascii="Times New Roman" w:hAnsi="Times New Roman" w:cs="Times New Roman"/>
                <w:sz w:val="20"/>
              </w:rPr>
            </w:pPr>
          </w:p>
        </w:tc>
        <w:tc>
          <w:tcPr>
            <w:tcW w:w="3594" w:type="dxa"/>
            <w:vMerge/>
          </w:tcPr>
          <w:p w14:paraId="05A9A44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5810B22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38E708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5A7F00D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5E56DB5E" w14:textId="77777777" w:rsidTr="004D48DD">
        <w:trPr>
          <w:trHeight w:val="532"/>
        </w:trPr>
        <w:tc>
          <w:tcPr>
            <w:cnfStyle w:val="001000000000" w:firstRow="0" w:lastRow="0" w:firstColumn="1" w:lastColumn="0" w:oddVBand="0" w:evenVBand="0" w:oddHBand="0" w:evenHBand="0" w:firstRowFirstColumn="0" w:firstRowLastColumn="0" w:lastRowFirstColumn="0" w:lastRowLastColumn="0"/>
            <w:tcW w:w="1232" w:type="dxa"/>
            <w:vMerge/>
          </w:tcPr>
          <w:p w14:paraId="2794EA59"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16EF119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Poszerzenie oferty edukacyjnej </w:t>
            </w:r>
            <w:r w:rsidRPr="00D24DF9">
              <w:rPr>
                <w:rFonts w:ascii="Times New Roman" w:eastAsia="MS Mincho" w:hAnsi="Times New Roman"/>
                <w:sz w:val="20"/>
              </w:rPr>
              <w:br/>
              <w:t>dla rozwoju nowych kierunków studiów i innych form kształcenia dedykowanych osobom starszym (np. z gerontologii społecznej lub opiekuńczej)</w:t>
            </w:r>
          </w:p>
          <w:p w14:paraId="6C822BE9" w14:textId="77777777" w:rsidR="00311D18" w:rsidRPr="00D24DF9" w:rsidRDefault="00311D18" w:rsidP="003C1988">
            <w:pPr>
              <w:pStyle w:val="Kolorowalistaakcent11"/>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val="restart"/>
          </w:tcPr>
          <w:p w14:paraId="58DB7EF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77A34E6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4F03C2D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nowych kierunków studiów i innych form kształcenia dedykowanych osobom starszym</w:t>
            </w:r>
          </w:p>
        </w:tc>
      </w:tr>
      <w:tr w:rsidR="005F3D4B" w:rsidRPr="00D24DF9" w14:paraId="62A0F69A"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52A8B80" w14:textId="77777777" w:rsidR="00311D18" w:rsidRPr="00D24DF9" w:rsidRDefault="00311D18" w:rsidP="003C1988">
            <w:pPr>
              <w:spacing w:after="0"/>
              <w:rPr>
                <w:rFonts w:ascii="Times New Roman" w:hAnsi="Times New Roman" w:cs="Times New Roman"/>
                <w:sz w:val="20"/>
              </w:rPr>
            </w:pPr>
          </w:p>
        </w:tc>
        <w:tc>
          <w:tcPr>
            <w:tcW w:w="3594" w:type="dxa"/>
            <w:vMerge/>
          </w:tcPr>
          <w:p w14:paraId="0C368BF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23A51E4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1086B068"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1A2A44E0"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2C92D0C6"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42158BF"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1E56795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Wspieranie kształcenia ustawicznego poprzez doradztwo edukacyjne</w:t>
            </w:r>
          </w:p>
        </w:tc>
        <w:tc>
          <w:tcPr>
            <w:tcW w:w="2032" w:type="dxa"/>
            <w:vMerge w:val="restart"/>
          </w:tcPr>
          <w:p w14:paraId="767901C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Edukacji Narodowej</w:t>
            </w:r>
          </w:p>
        </w:tc>
        <w:tc>
          <w:tcPr>
            <w:tcW w:w="1500" w:type="dxa"/>
            <w:vMerge w:val="restart"/>
          </w:tcPr>
          <w:p w14:paraId="1B45F19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655297B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inicjatyw mających na celu wspieranie kształcenia ustawicznego poprzez doradztwo edukacyjne</w:t>
            </w:r>
          </w:p>
        </w:tc>
      </w:tr>
      <w:tr w:rsidR="005F3D4B" w:rsidRPr="00D24DF9" w14:paraId="60BB0336" w14:textId="77777777" w:rsidTr="004D48DD">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232" w:type="dxa"/>
            <w:vMerge/>
          </w:tcPr>
          <w:p w14:paraId="1760037D" w14:textId="77777777" w:rsidR="00311D18" w:rsidRPr="00D24DF9" w:rsidRDefault="00311D18" w:rsidP="003C1988">
            <w:pPr>
              <w:spacing w:after="0"/>
              <w:rPr>
                <w:rFonts w:ascii="Times New Roman" w:hAnsi="Times New Roman" w:cs="Times New Roman"/>
                <w:sz w:val="20"/>
              </w:rPr>
            </w:pPr>
          </w:p>
        </w:tc>
        <w:tc>
          <w:tcPr>
            <w:tcW w:w="3594" w:type="dxa"/>
            <w:vMerge/>
          </w:tcPr>
          <w:p w14:paraId="597297C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1C36283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64B21EF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205B117F" w14:textId="77777777" w:rsidR="00311D18" w:rsidRPr="00D24DF9" w:rsidRDefault="00FB6CD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Wspieranie kształcenia ustawicznego w tym uczenia się przez całe życie prowadzone jest w edukacji szkolnej poprzez doradztwo zawodowe. Od 1 września 2019</w:t>
            </w:r>
            <w:r w:rsidR="0093687B">
              <w:rPr>
                <w:rFonts w:ascii="Times New Roman" w:eastAsia="MS Mincho" w:hAnsi="Times New Roman" w:cs="Times New Roman"/>
                <w:sz w:val="20"/>
              </w:rPr>
              <w:t xml:space="preserve"> r.</w:t>
            </w:r>
            <w:r w:rsidRPr="00D24DF9">
              <w:rPr>
                <w:rFonts w:ascii="Times New Roman" w:eastAsia="MS Mincho" w:hAnsi="Times New Roman" w:cs="Times New Roman"/>
                <w:sz w:val="20"/>
              </w:rPr>
              <w:t xml:space="preserve"> w szkołach i placówkach realizowane są treści programowe m.in dotyczące rynku edukacyjnego i uczenia się przez całe życie określone </w:t>
            </w:r>
            <w:r w:rsidRPr="0093687B">
              <w:rPr>
                <w:rFonts w:ascii="Times New Roman" w:eastAsia="MS Mincho" w:hAnsi="Times New Roman" w:cs="Times New Roman"/>
                <w:i/>
                <w:sz w:val="20"/>
              </w:rPr>
              <w:t>rozporządzeniem Ministra Edukacji Narodowej z dnia 12 lutego 2019 r. w sprawie doradztwa zawodowego</w:t>
            </w:r>
            <w:r w:rsidRPr="00D24DF9">
              <w:rPr>
                <w:rFonts w:ascii="Times New Roman" w:eastAsia="MS Mincho" w:hAnsi="Times New Roman" w:cs="Times New Roman"/>
                <w:sz w:val="20"/>
              </w:rPr>
              <w:t xml:space="preserve"> (Dz. U. poz. 325)</w:t>
            </w:r>
          </w:p>
        </w:tc>
      </w:tr>
      <w:tr w:rsidR="005F3D4B" w:rsidRPr="00D24DF9" w14:paraId="06800FAF" w14:textId="77777777" w:rsidTr="004D48DD">
        <w:trPr>
          <w:trHeight w:val="214"/>
        </w:trPr>
        <w:tc>
          <w:tcPr>
            <w:cnfStyle w:val="001000000000" w:firstRow="0" w:lastRow="0" w:firstColumn="1" w:lastColumn="0" w:oddVBand="0" w:evenVBand="0" w:oddHBand="0" w:evenHBand="0" w:firstRowFirstColumn="0" w:firstRowLastColumn="0" w:lastRowFirstColumn="0" w:lastRowLastColumn="0"/>
            <w:tcW w:w="1232" w:type="dxa"/>
            <w:vMerge/>
          </w:tcPr>
          <w:p w14:paraId="017712CD"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5018F05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Upowszechnianie informacji związanych z edukacją nieformalną</w:t>
            </w:r>
          </w:p>
        </w:tc>
        <w:tc>
          <w:tcPr>
            <w:tcW w:w="2032" w:type="dxa"/>
            <w:vMerge w:val="restart"/>
          </w:tcPr>
          <w:p w14:paraId="67C8A6A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Edukacji Narodowej, Komitet do spraw Pożytku Publicznego, media publiczne</w:t>
            </w:r>
          </w:p>
        </w:tc>
        <w:tc>
          <w:tcPr>
            <w:tcW w:w="1500" w:type="dxa"/>
            <w:vMerge w:val="restart"/>
          </w:tcPr>
          <w:p w14:paraId="17AE155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Działanie ciągłe</w:t>
            </w:r>
            <w:r w:rsidRPr="00D24DF9">
              <w:rPr>
                <w:rFonts w:ascii="Times New Roman" w:hAnsi="Times New Roman" w:cs="Times New Roman"/>
                <w:sz w:val="20"/>
              </w:rPr>
              <w:t>*</w:t>
            </w:r>
          </w:p>
        </w:tc>
        <w:tc>
          <w:tcPr>
            <w:tcW w:w="5638" w:type="dxa"/>
          </w:tcPr>
          <w:p w14:paraId="0C752E5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inicjatyw upowszechniających edukację nieformalną</w:t>
            </w:r>
          </w:p>
        </w:tc>
      </w:tr>
      <w:tr w:rsidR="005F3D4B" w:rsidRPr="00D24DF9" w14:paraId="7302B1C8"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9E67002" w14:textId="77777777" w:rsidR="00311D18" w:rsidRPr="00D24DF9" w:rsidRDefault="00311D18" w:rsidP="003C1988">
            <w:pPr>
              <w:spacing w:after="0"/>
              <w:rPr>
                <w:rFonts w:ascii="Times New Roman" w:hAnsi="Times New Roman" w:cs="Times New Roman"/>
                <w:sz w:val="20"/>
              </w:rPr>
            </w:pPr>
          </w:p>
        </w:tc>
        <w:tc>
          <w:tcPr>
            <w:tcW w:w="3594" w:type="dxa"/>
            <w:vMerge/>
          </w:tcPr>
          <w:p w14:paraId="1863E8D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4BE8AAD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37EFDEEA"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08478FCD" w14:textId="77777777" w:rsidR="00FB6CD9" w:rsidRPr="00D24DF9" w:rsidRDefault="00FB6CD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Cs/>
                <w:sz w:val="20"/>
              </w:rPr>
            </w:pPr>
            <w:r w:rsidRPr="00D24DF9">
              <w:rPr>
                <w:rFonts w:ascii="Times New Roman" w:eastAsia="MS Mincho" w:hAnsi="Times New Roman" w:cs="Times New Roman"/>
                <w:bCs/>
                <w:sz w:val="20"/>
              </w:rPr>
              <w:t>Ministerstwo Edukacji Narodowej, łącznie z innymi ministerstwami oraz partnerami współpracuje z Polską Izbą Firm Szkoleniowych w przeprowadzaniu Kongresu edukacji pozaformalnej (tj. edukacji zorganizowanej instytucjonalnie poza systemem oświaty i systemem szkolnictwa wyższego). Od kilku lat kongresy edukacji pozaformalnej odbywają się rokrocznie. Kongresy mają na celu promowanie edukacji pozaformalnej i zwiększenie świadomości na temat wartości uczenia się przez całe życie wśród dorosłych, w tym seniorów.</w:t>
            </w:r>
          </w:p>
          <w:p w14:paraId="3C646851" w14:textId="77777777" w:rsidR="00311D18" w:rsidRPr="00D24DF9" w:rsidRDefault="00FB6CD9"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bCs/>
                <w:sz w:val="20"/>
              </w:rPr>
              <w:t xml:space="preserve">Ponadto,  upowszechnianie informacji związanych z edukacją pozaformalną prowadzone jest w ramach  projektu dotyczącego </w:t>
            </w:r>
            <w:r w:rsidRPr="00D24DF9">
              <w:rPr>
                <w:rFonts w:ascii="Times New Roman" w:eastAsia="MS Mincho" w:hAnsi="Times New Roman" w:cs="Times New Roman"/>
                <w:bCs/>
                <w:sz w:val="20"/>
              </w:rPr>
              <w:lastRenderedPageBreak/>
              <w:t>rozwoju  Lokalnych Ośrodków Wiedzy i Edukacji, który został opisany wyżej w obszarze III. Oferty edukacyjne ośrodków nie są opracowywane na bazie podstaw programowych kształcenia w szkołach, ale na podstawie diagnozy potrzeb osób dorosłych w środowiskach lokalnych w zakresie umiejętności. Jako takie są przykładem edukacji pozaformalnej.</w:t>
            </w:r>
          </w:p>
        </w:tc>
      </w:tr>
      <w:tr w:rsidR="005F3D4B" w:rsidRPr="00D24DF9" w14:paraId="5FE21277"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96B3500"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30DD17D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Kształtowanie lub wzmacnianie kompetencji seniorów w zakresie nowych mediów przez realizację kampanii informacyjno-edukacyjnych oraz szkoleń</w:t>
            </w:r>
          </w:p>
        </w:tc>
        <w:tc>
          <w:tcPr>
            <w:tcW w:w="2032" w:type="dxa"/>
            <w:vMerge w:val="restart"/>
          </w:tcPr>
          <w:p w14:paraId="2CE880F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Cyfryzacji</w:t>
            </w:r>
          </w:p>
        </w:tc>
        <w:tc>
          <w:tcPr>
            <w:tcW w:w="1500" w:type="dxa"/>
            <w:vMerge w:val="restart"/>
          </w:tcPr>
          <w:p w14:paraId="6EA7CF0E"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36BF31B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przeprowadzonych kampanii informacyjno-edukacyjnych oraz liczba osób w wieku 65+, które wyniku szkoleń nabyły lub rozwinęły kompetencje cyfrowe</w:t>
            </w:r>
          </w:p>
        </w:tc>
      </w:tr>
      <w:tr w:rsidR="005F3D4B" w:rsidRPr="00D24DF9" w14:paraId="77D0D61D"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EEB3DC9" w14:textId="77777777" w:rsidR="00311D18" w:rsidRPr="00D24DF9" w:rsidRDefault="00311D18" w:rsidP="003C1988">
            <w:pPr>
              <w:spacing w:after="0"/>
              <w:rPr>
                <w:rFonts w:ascii="Times New Roman" w:hAnsi="Times New Roman" w:cs="Times New Roman"/>
                <w:sz w:val="20"/>
              </w:rPr>
            </w:pPr>
          </w:p>
        </w:tc>
        <w:tc>
          <w:tcPr>
            <w:tcW w:w="3594" w:type="dxa"/>
            <w:vMerge/>
          </w:tcPr>
          <w:p w14:paraId="21AE511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768B53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46FC059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4D6F8E88" w14:textId="77777777" w:rsidR="0099394D" w:rsidRPr="00D24DF9" w:rsidRDefault="0099394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Liczba przeprowadzonych kampanii informacyjno-edukacyjnych – 1.</w:t>
            </w:r>
          </w:p>
          <w:p w14:paraId="4BBBC9FA" w14:textId="77777777" w:rsidR="00311D18" w:rsidRPr="00D24DF9" w:rsidRDefault="0099394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 xml:space="preserve">Liczba osób w wieku 65+, które w wyniku szkoleń nabyły lub rozwinęły kompetencje cyfrowe </w:t>
            </w:r>
            <w:r w:rsidR="0093687B">
              <w:rPr>
                <w:rFonts w:ascii="Times New Roman" w:hAnsi="Times New Roman" w:cs="Times New Roman"/>
                <w:sz w:val="20"/>
              </w:rPr>
              <w:t>–</w:t>
            </w:r>
            <w:r w:rsidRPr="00D24DF9">
              <w:rPr>
                <w:rFonts w:ascii="Times New Roman" w:hAnsi="Times New Roman" w:cs="Times New Roman"/>
                <w:sz w:val="20"/>
              </w:rPr>
              <w:t xml:space="preserve"> 30</w:t>
            </w:r>
            <w:r w:rsidR="0093687B">
              <w:rPr>
                <w:rFonts w:ascii="Times New Roman" w:hAnsi="Times New Roman" w:cs="Times New Roman"/>
                <w:sz w:val="20"/>
              </w:rPr>
              <w:t xml:space="preserve"> </w:t>
            </w:r>
            <w:r w:rsidRPr="00D24DF9">
              <w:rPr>
                <w:rFonts w:ascii="Times New Roman" w:hAnsi="Times New Roman" w:cs="Times New Roman"/>
                <w:sz w:val="20"/>
              </w:rPr>
              <w:t>175 osób do 31 grudnia 2019 r.</w:t>
            </w:r>
          </w:p>
          <w:p w14:paraId="7E405C1A" w14:textId="77777777" w:rsidR="0099394D" w:rsidRPr="00D24DF9" w:rsidRDefault="0099394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Jednym z działań w tym obszarze jest ogólnopolska kampania edukacyjno-informacyjna dedykowana osobom dojrzałym. Grupą docelową kampanii są osoby w wieku 45+, które są w zasięgu Internetu, ale z niego nie korzystają lub korzystają sporadycznie. Celem głównym kampanii jest zwiększenie świadomości nt. pozytywnego wpływu technologii informacyjno-komunikacyjnych na jakość życia obywateli Polski. Za tym parasolowym celem kryją się działania nakierowane na zwiększenie świadomości w zakresie:</w:t>
            </w:r>
          </w:p>
          <w:p w14:paraId="061A3AF3" w14:textId="77777777" w:rsidR="0099394D" w:rsidRPr="00D24DF9" w:rsidRDefault="0099394D" w:rsidP="008C71A9">
            <w:pPr>
              <w:pStyle w:val="Akapitzlist"/>
              <w:numPr>
                <w:ilvl w:val="0"/>
                <w:numId w:val="20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korzystania z e-usług prywatnych i publicznych (w tym m.in.: bankowość internetowa, płacenie rachunków, zakupy, rezerwacje, umawianie wizyt lekarskich, korzystanie z komunikacji publicznej – plany i rozkłady jazdy, zakup biletów);</w:t>
            </w:r>
          </w:p>
          <w:p w14:paraId="3754262A" w14:textId="77777777" w:rsidR="0099394D" w:rsidRPr="00D24DF9" w:rsidRDefault="0099394D" w:rsidP="008C71A9">
            <w:pPr>
              <w:pStyle w:val="Akapitzlist"/>
              <w:numPr>
                <w:ilvl w:val="0"/>
                <w:numId w:val="20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korzystania z dóbr kultury i z rozrywki (w tym m.in.: książki, filmy, muzyka);</w:t>
            </w:r>
          </w:p>
          <w:p w14:paraId="3248E157" w14:textId="77777777" w:rsidR="0099394D" w:rsidRPr="00D24DF9" w:rsidRDefault="0099394D" w:rsidP="008C71A9">
            <w:pPr>
              <w:pStyle w:val="Akapitzlist"/>
              <w:numPr>
                <w:ilvl w:val="0"/>
                <w:numId w:val="20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korzystania z materiałów edukacyjnych (w tym m.in.: nauka online, zasoby dydaktyczne online);</w:t>
            </w:r>
          </w:p>
          <w:p w14:paraId="30F99668" w14:textId="77777777" w:rsidR="0099394D" w:rsidRPr="00D24DF9" w:rsidRDefault="0099394D" w:rsidP="008C71A9">
            <w:pPr>
              <w:pStyle w:val="Akapitzlist"/>
              <w:numPr>
                <w:ilvl w:val="0"/>
                <w:numId w:val="20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komunikacji z innymi osobami (komunikatory, media społecznościowe, e-maile etc.)</w:t>
            </w:r>
          </w:p>
          <w:p w14:paraId="720BD86A" w14:textId="77777777" w:rsidR="0099394D" w:rsidRPr="00D24DF9" w:rsidRDefault="0099394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lastRenderedPageBreak/>
              <w:t xml:space="preserve">Kampania jest prowadzona w ramach realizowanego przez Ministerstwo Cyfryzacji wspólnie z Państwowym Instytutem Badawczym (NASK) projektu pt.: </w:t>
            </w:r>
            <w:r w:rsidRPr="00D24DF9">
              <w:rPr>
                <w:rFonts w:ascii="Times New Roman" w:hAnsi="Times New Roman" w:cs="Times New Roman"/>
                <w:i/>
                <w:sz w:val="20"/>
              </w:rPr>
              <w:t>„Kampanie edukacyjno-informacyjne na rzecz upowszechnienia korzyści z wykorzystywania technologii cyfrowych”</w:t>
            </w:r>
            <w:r w:rsidRPr="00D24DF9">
              <w:rPr>
                <w:rFonts w:ascii="Times New Roman" w:hAnsi="Times New Roman" w:cs="Times New Roman"/>
                <w:sz w:val="20"/>
              </w:rPr>
              <w:t>. Projekt jest dofinansowany ze środków europejskich w ramach działania 3.4. Programu Operacyjnego Polska Cyfrowa. W 2018 r. w kampanii realizowano przede wszystkim działania PR-owe</w:t>
            </w:r>
            <w:r w:rsidRPr="00D24DF9">
              <w:rPr>
                <w:rFonts w:ascii="Times New Roman" w:eastAsia="Calibri" w:hAnsi="Times New Roman" w:cs="Times New Roman"/>
                <w:sz w:val="20"/>
              </w:rPr>
              <w:t xml:space="preserve"> oraz emitowano wątki w audycjach i serialach.</w:t>
            </w:r>
            <w:r w:rsidRPr="00D24DF9">
              <w:rPr>
                <w:rFonts w:ascii="Times New Roman" w:hAnsi="Times New Roman" w:cs="Times New Roman"/>
                <w:sz w:val="20"/>
              </w:rPr>
              <w:t xml:space="preserve"> Realizacja głównych działań medialnych prowadzona jest od drugiej połowy 2019 r. i potrwa do końca 2020 r.</w:t>
            </w:r>
          </w:p>
          <w:p w14:paraId="4B7A4308" w14:textId="77777777" w:rsidR="0099394D" w:rsidRPr="00D24DF9" w:rsidRDefault="0099394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eastAsia="Calibri" w:hAnsi="Times New Roman" w:cs="Times New Roman"/>
                <w:sz w:val="20"/>
              </w:rPr>
              <w:t xml:space="preserve">Przykładem powyższych działań były wątki edukacyjne nt. zachowania bezpieczeństwa w Internecie w serialu </w:t>
            </w:r>
            <w:r w:rsidRPr="00D24DF9">
              <w:rPr>
                <w:rFonts w:ascii="Times New Roman" w:eastAsia="Calibri" w:hAnsi="Times New Roman" w:cs="Times New Roman"/>
                <w:i/>
                <w:sz w:val="20"/>
              </w:rPr>
              <w:t>„Barwy Szczęścia”.</w:t>
            </w:r>
            <w:r w:rsidRPr="00D24DF9">
              <w:rPr>
                <w:rFonts w:ascii="Times New Roman" w:eastAsia="Calibri" w:hAnsi="Times New Roman" w:cs="Times New Roman"/>
                <w:sz w:val="20"/>
              </w:rPr>
              <w:t xml:space="preserve"> Prowadzono także przygotowania do uruchomienia głównych działań mediowych w ramach kampanii </w:t>
            </w:r>
            <w:r w:rsidRPr="00D24DF9">
              <w:rPr>
                <w:rFonts w:ascii="Times New Roman" w:eastAsia="Calibri" w:hAnsi="Times New Roman" w:cs="Times New Roman"/>
                <w:i/>
                <w:sz w:val="20"/>
              </w:rPr>
              <w:t>„e-Polak potrafi’’</w:t>
            </w:r>
            <w:r w:rsidRPr="00D24DF9">
              <w:rPr>
                <w:rFonts w:ascii="Times New Roman" w:eastAsia="Calibri" w:hAnsi="Times New Roman" w:cs="Times New Roman"/>
                <w:sz w:val="20"/>
              </w:rPr>
              <w:t xml:space="preserve">, które zostały rozpoczęte w styczniu i lutym 2020 r., następnie będą realizowane co najmniej do końca 2020 r. </w:t>
            </w:r>
          </w:p>
          <w:p w14:paraId="2C6A72BC" w14:textId="77777777" w:rsidR="0099394D" w:rsidRPr="00D24DF9" w:rsidRDefault="0099394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0"/>
              </w:rPr>
            </w:pPr>
            <w:r w:rsidRPr="00D24DF9">
              <w:rPr>
                <w:rFonts w:ascii="Times New Roman" w:eastAsia="Calibri" w:hAnsi="Times New Roman" w:cs="Times New Roman"/>
                <w:sz w:val="20"/>
              </w:rPr>
              <w:t>Ponadto w wyżej wskazanym projekcie są realizowane dwie kampanie w obszarach:</w:t>
            </w:r>
          </w:p>
          <w:p w14:paraId="0AC04E32" w14:textId="77777777" w:rsidR="0099394D" w:rsidRPr="00D24DF9" w:rsidRDefault="0099394D" w:rsidP="008C71A9">
            <w:pPr>
              <w:pStyle w:val="Akapitzlist"/>
              <w:numPr>
                <w:ilvl w:val="0"/>
                <w:numId w:val="206"/>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eastAsia="Calibri" w:hAnsi="Times New Roman" w:cs="Times New Roman"/>
                <w:sz w:val="20"/>
              </w:rPr>
              <w:t>e-usługi publiczne – nakierowana na zachęcanie Polaków do korzystania e-usług publicznych;</w:t>
            </w:r>
          </w:p>
          <w:p w14:paraId="0E849AFA" w14:textId="77777777" w:rsidR="0099394D" w:rsidRPr="00D24DF9" w:rsidRDefault="0099394D" w:rsidP="008C71A9">
            <w:pPr>
              <w:pStyle w:val="Akapitzlist"/>
              <w:numPr>
                <w:ilvl w:val="0"/>
                <w:numId w:val="206"/>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eastAsia="Calibri" w:hAnsi="Times New Roman" w:cs="Times New Roman"/>
                <w:sz w:val="20"/>
              </w:rPr>
              <w:t>bezpieczeństwo w sieci internetowej – nakierowana na informowanie do zagrożeniach w Internecie oraz edukowanie o sposobach radzenia sobie z nimi;</w:t>
            </w:r>
          </w:p>
          <w:p w14:paraId="103A0EE3" w14:textId="77777777" w:rsidR="0099394D" w:rsidRPr="00D24DF9" w:rsidRDefault="0099394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rPr>
            </w:pPr>
            <w:r w:rsidRPr="00D24DF9">
              <w:rPr>
                <w:rFonts w:ascii="Times New Roman" w:eastAsia="Calibri" w:hAnsi="Times New Roman" w:cs="Times New Roman"/>
                <w:sz w:val="20"/>
              </w:rPr>
              <w:t>Adresatami dwóch powyższych kampanii są dorośli Polacy (w tym także osoby starsze), ponieważ przekazy kampanii będą dotyczyły materii dotykających wszystkich osób bez względu na wiek.</w:t>
            </w:r>
          </w:p>
          <w:p w14:paraId="1E59D86F" w14:textId="77777777" w:rsidR="0099394D" w:rsidRPr="00D24DF9" w:rsidRDefault="0099394D"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hAnsi="Times New Roman" w:cs="Times New Roman"/>
                <w:sz w:val="20"/>
              </w:rPr>
              <w:t xml:space="preserve">W ramach III osi POPC zrealizowano szereg projektów mających na celu podniesienie kompetencji cyfrowych osób dorosłych. Część projektów tego typu jest jeszcze w trakcie realizacji do sierpnia 2022 roku. Spośród wszystkich dorosłych, specjalną troską otoczono osoby w wieku co najmniej 65 lat, dedykując seniorom szkolenia dostosowane do ich potrzeb. Do 31 grudnia 2019 r. </w:t>
            </w:r>
            <w:r w:rsidRPr="00D24DF9">
              <w:rPr>
                <w:rFonts w:ascii="Times New Roman" w:hAnsi="Times New Roman" w:cs="Times New Roman"/>
                <w:sz w:val="20"/>
              </w:rPr>
              <w:lastRenderedPageBreak/>
              <w:t>przeszkolono 30</w:t>
            </w:r>
            <w:r w:rsidR="0093687B">
              <w:rPr>
                <w:rFonts w:ascii="Times New Roman" w:hAnsi="Times New Roman" w:cs="Times New Roman"/>
                <w:sz w:val="20"/>
              </w:rPr>
              <w:t xml:space="preserve"> </w:t>
            </w:r>
            <w:r w:rsidRPr="00D24DF9">
              <w:rPr>
                <w:rFonts w:ascii="Times New Roman" w:hAnsi="Times New Roman" w:cs="Times New Roman"/>
                <w:sz w:val="20"/>
              </w:rPr>
              <w:t>175 osób w wieku 65+ w całej Polsce. Do końca realizacji ww. projektów planuje się przeszkolić jeszcze 44</w:t>
            </w:r>
            <w:r w:rsidR="0093687B">
              <w:rPr>
                <w:rFonts w:ascii="Times New Roman" w:hAnsi="Times New Roman" w:cs="Times New Roman"/>
                <w:sz w:val="20"/>
              </w:rPr>
              <w:t xml:space="preserve"> </w:t>
            </w:r>
            <w:r w:rsidRPr="00D24DF9">
              <w:rPr>
                <w:rFonts w:ascii="Times New Roman" w:hAnsi="Times New Roman" w:cs="Times New Roman"/>
                <w:sz w:val="20"/>
              </w:rPr>
              <w:t>489 osób z tej grupy wiekowej.</w:t>
            </w:r>
          </w:p>
        </w:tc>
      </w:tr>
      <w:tr w:rsidR="005F3D4B" w:rsidRPr="00D24DF9" w14:paraId="3291B9A7" w14:textId="77777777" w:rsidTr="004D48DD">
        <w:trPr>
          <w:trHeight w:val="528"/>
        </w:trPr>
        <w:tc>
          <w:tcPr>
            <w:cnfStyle w:val="001000000000" w:firstRow="0" w:lastRow="0" w:firstColumn="1" w:lastColumn="0" w:oddVBand="0" w:evenVBand="0" w:oddHBand="0" w:evenHBand="0" w:firstRowFirstColumn="0" w:firstRowLastColumn="0" w:lastRowFirstColumn="0" w:lastRowLastColumn="0"/>
            <w:tcW w:w="1232" w:type="dxa"/>
            <w:vMerge/>
          </w:tcPr>
          <w:p w14:paraId="21B314CB" w14:textId="77777777" w:rsidR="00311D18" w:rsidRPr="00D24DF9" w:rsidRDefault="00311D18" w:rsidP="003C1988">
            <w:pPr>
              <w:spacing w:after="0"/>
              <w:rPr>
                <w:rFonts w:ascii="Times New Roman" w:hAnsi="Times New Roman" w:cs="Times New Roman"/>
                <w:sz w:val="20"/>
              </w:rPr>
            </w:pPr>
          </w:p>
        </w:tc>
        <w:tc>
          <w:tcPr>
            <w:tcW w:w="3594" w:type="dxa"/>
            <w:vMerge w:val="restart"/>
            <w:shd w:val="clear" w:color="auto" w:fill="D9E2F3" w:themeFill="accent5" w:themeFillTint="33"/>
          </w:tcPr>
          <w:p w14:paraId="6E3165C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Rozwój gerontechnologii dla poprawy jakości życia</w:t>
            </w:r>
          </w:p>
        </w:tc>
        <w:tc>
          <w:tcPr>
            <w:tcW w:w="2032" w:type="dxa"/>
            <w:vMerge w:val="restart"/>
          </w:tcPr>
          <w:p w14:paraId="781A0EF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tcPr>
          <w:p w14:paraId="1ABD99E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tcPr>
          <w:p w14:paraId="76C65AA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inicjatyw mających na celu rozwój gerontechnologii dla poprawy jakości życia.</w:t>
            </w:r>
          </w:p>
        </w:tc>
      </w:tr>
      <w:tr w:rsidR="005F3D4B" w:rsidRPr="00D24DF9" w14:paraId="399384B5"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B8BF9A3" w14:textId="77777777" w:rsidR="00311D18" w:rsidRPr="00D24DF9" w:rsidRDefault="00311D18" w:rsidP="003C1988">
            <w:pPr>
              <w:spacing w:after="0"/>
              <w:rPr>
                <w:rFonts w:ascii="Times New Roman" w:hAnsi="Times New Roman" w:cs="Times New Roman"/>
                <w:sz w:val="20"/>
              </w:rPr>
            </w:pPr>
          </w:p>
        </w:tc>
        <w:tc>
          <w:tcPr>
            <w:tcW w:w="3594" w:type="dxa"/>
            <w:vMerge/>
          </w:tcPr>
          <w:p w14:paraId="63F49E0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tcPr>
          <w:p w14:paraId="3A5E8A9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tcPr>
          <w:p w14:paraId="57F8ABB5"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5638" w:type="dxa"/>
          </w:tcPr>
          <w:p w14:paraId="79E03690" w14:textId="77777777" w:rsidR="00311D18"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p w14:paraId="299A1D29" w14:textId="77777777" w:rsidR="004E706B" w:rsidRDefault="004E706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p w14:paraId="185D88A3" w14:textId="77777777" w:rsidR="004E706B" w:rsidRDefault="004E706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p w14:paraId="574F876A" w14:textId="77777777" w:rsidR="004E706B" w:rsidRDefault="004E706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p w14:paraId="210AE22C" w14:textId="77777777" w:rsidR="004E706B" w:rsidRPr="00D24DF9" w:rsidRDefault="004E706B"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7E33D0ED" w14:textId="77777777" w:rsidTr="004D48DD">
        <w:trPr>
          <w:trHeight w:val="490"/>
        </w:trPr>
        <w:tc>
          <w:tcPr>
            <w:cnfStyle w:val="001000000000" w:firstRow="0" w:lastRow="0" w:firstColumn="1" w:lastColumn="0" w:oddVBand="0" w:evenVBand="0" w:oddHBand="0" w:evenHBand="0" w:firstRowFirstColumn="0" w:firstRowLastColumn="0" w:lastRowFirstColumn="0" w:lastRowLastColumn="0"/>
            <w:tcW w:w="13996" w:type="dxa"/>
            <w:gridSpan w:val="5"/>
            <w:shd w:val="clear" w:color="auto" w:fill="9CC2E5" w:themeFill="accent1" w:themeFillTint="99"/>
          </w:tcPr>
          <w:p w14:paraId="6B56DB9C" w14:textId="77777777" w:rsidR="00311D18" w:rsidRPr="00D24DF9" w:rsidRDefault="00311D18" w:rsidP="003C1988">
            <w:pPr>
              <w:spacing w:after="0"/>
              <w:rPr>
                <w:rFonts w:ascii="Times New Roman" w:eastAsia="MS Mincho" w:hAnsi="Times New Roman" w:cs="Times New Roman"/>
                <w:bCs w:val="0"/>
                <w:sz w:val="20"/>
              </w:rPr>
            </w:pPr>
            <w:r w:rsidRPr="00D24DF9">
              <w:rPr>
                <w:rFonts w:ascii="Times New Roman" w:eastAsia="MS Mincho" w:hAnsi="Times New Roman" w:cs="Times New Roman"/>
                <w:sz w:val="20"/>
              </w:rPr>
              <w:t>OBSZARY SKIEROWANE DO NIESAMODZIELNYCH OSÓB STARSZYCH I ICH OPIEKUNÓW</w:t>
            </w:r>
          </w:p>
        </w:tc>
      </w:tr>
      <w:tr w:rsidR="005F3D4B" w:rsidRPr="00D24DF9" w14:paraId="317EC4C1" w14:textId="77777777" w:rsidTr="004D48DD">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232" w:type="dxa"/>
            <w:vMerge w:val="restart"/>
            <w:shd w:val="clear" w:color="auto" w:fill="FFFFFF" w:themeFill="background1"/>
            <w:textDirection w:val="btLr"/>
            <w:vAlign w:val="center"/>
          </w:tcPr>
          <w:p w14:paraId="24E30B9C" w14:textId="77777777" w:rsidR="00311D18" w:rsidRPr="00D24DF9" w:rsidRDefault="00311D18" w:rsidP="003C1988">
            <w:pPr>
              <w:pStyle w:val="Kolorowalistaakcent11"/>
              <w:spacing w:after="0"/>
              <w:ind w:left="284" w:right="113"/>
              <w:rPr>
                <w:rFonts w:ascii="Times New Roman" w:eastAsia="MS Mincho" w:hAnsi="Times New Roman"/>
                <w:sz w:val="20"/>
              </w:rPr>
            </w:pPr>
            <w:r w:rsidRPr="00D24DF9">
              <w:rPr>
                <w:rFonts w:ascii="Times New Roman" w:eastAsia="MS Mincho" w:hAnsi="Times New Roman"/>
                <w:sz w:val="20"/>
              </w:rPr>
              <w:t>Obszar I</w:t>
            </w:r>
          </w:p>
        </w:tc>
        <w:tc>
          <w:tcPr>
            <w:tcW w:w="3594" w:type="dxa"/>
            <w:vMerge w:val="restart"/>
          </w:tcPr>
          <w:p w14:paraId="35412EB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Uregulowanie prawne ryzyka niesamodzielności – uchwalenie kryteriów i stopni niesamodzielności</w:t>
            </w:r>
          </w:p>
        </w:tc>
        <w:tc>
          <w:tcPr>
            <w:tcW w:w="2032" w:type="dxa"/>
            <w:vMerge w:val="restart"/>
            <w:shd w:val="clear" w:color="auto" w:fill="FFFFFF" w:themeFill="background1"/>
          </w:tcPr>
          <w:p w14:paraId="20AA3AE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3DA1DB7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p>
        </w:tc>
        <w:tc>
          <w:tcPr>
            <w:tcW w:w="1500" w:type="dxa"/>
            <w:vMerge w:val="restart"/>
            <w:shd w:val="clear" w:color="auto" w:fill="FFFFFF" w:themeFill="background1"/>
          </w:tcPr>
          <w:p w14:paraId="056D95F7"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sz w:val="20"/>
              </w:rPr>
              <w:t>2018-2022</w:t>
            </w:r>
          </w:p>
        </w:tc>
        <w:tc>
          <w:tcPr>
            <w:tcW w:w="5638" w:type="dxa"/>
            <w:shd w:val="clear" w:color="auto" w:fill="auto"/>
          </w:tcPr>
          <w:p w14:paraId="581ED283"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Uchwalenie aktu prawnego regulującego ryzyko niesamodzielności</w:t>
            </w:r>
          </w:p>
        </w:tc>
      </w:tr>
      <w:tr w:rsidR="005F3D4B" w:rsidRPr="00D24DF9" w14:paraId="6808EE98"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674EFFCB" w14:textId="77777777" w:rsidR="00311D18" w:rsidRPr="00D24DF9" w:rsidRDefault="00311D18" w:rsidP="003C1988">
            <w:pPr>
              <w:spacing w:after="0"/>
              <w:rPr>
                <w:rFonts w:ascii="Times New Roman" w:hAnsi="Times New Roman" w:cs="Times New Roman"/>
                <w:sz w:val="20"/>
              </w:rPr>
            </w:pPr>
          </w:p>
        </w:tc>
        <w:tc>
          <w:tcPr>
            <w:tcW w:w="3594" w:type="dxa"/>
            <w:vMerge/>
            <w:shd w:val="clear" w:color="auto" w:fill="D9E2F3" w:themeFill="accent5" w:themeFillTint="33"/>
          </w:tcPr>
          <w:p w14:paraId="5CB80D39"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1BE034E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035B2D3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5BE129AE"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6D52A71E" w14:textId="77777777" w:rsidTr="004D48DD">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39B63D1F"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1F53AA6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Opracowanie i wdrożenie standardów usług opiekuńczych, świadczonych </w:t>
            </w:r>
            <w:r w:rsidRPr="00D24DF9">
              <w:rPr>
                <w:rFonts w:ascii="Times New Roman" w:eastAsia="MS Mincho" w:hAnsi="Times New Roman"/>
                <w:sz w:val="20"/>
              </w:rPr>
              <w:br/>
              <w:t>w środowisku lokalnym</w:t>
            </w:r>
          </w:p>
        </w:tc>
        <w:tc>
          <w:tcPr>
            <w:tcW w:w="2032" w:type="dxa"/>
            <w:vMerge w:val="restart"/>
            <w:shd w:val="clear" w:color="auto" w:fill="FFFFFF" w:themeFill="background1"/>
          </w:tcPr>
          <w:p w14:paraId="67BDDB1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798B8DE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79CF8A6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29FD167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opracowanych i wdrożonych standardów usług opiekuńczych świadczonych w środowisku lokalnym</w:t>
            </w:r>
          </w:p>
        </w:tc>
      </w:tr>
      <w:tr w:rsidR="005F3D4B" w:rsidRPr="00D24DF9" w14:paraId="2E65F58B"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16E22156" w14:textId="77777777" w:rsidR="00311D18" w:rsidRPr="00D24DF9" w:rsidRDefault="00311D18" w:rsidP="003C1988">
            <w:pPr>
              <w:spacing w:after="0"/>
              <w:rPr>
                <w:rFonts w:ascii="Times New Roman" w:hAnsi="Times New Roman" w:cs="Times New Roman"/>
                <w:sz w:val="20"/>
              </w:rPr>
            </w:pPr>
          </w:p>
        </w:tc>
        <w:tc>
          <w:tcPr>
            <w:tcW w:w="3594" w:type="dxa"/>
            <w:vMerge/>
            <w:shd w:val="clear" w:color="auto" w:fill="D9E2F3" w:themeFill="accent5" w:themeFillTint="33"/>
          </w:tcPr>
          <w:p w14:paraId="7C25A86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4BBA27D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3F968A5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0D4515E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430BA3E8" w14:textId="77777777" w:rsidTr="004D48DD">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188998EF"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71BCCE9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hAnsi="Times New Roman"/>
                <w:sz w:val="20"/>
              </w:rPr>
              <w:t>Opracowanie standardów w zakresie teleopieki i telepomocy</w:t>
            </w:r>
          </w:p>
        </w:tc>
        <w:tc>
          <w:tcPr>
            <w:tcW w:w="2032" w:type="dxa"/>
            <w:vMerge w:val="restart"/>
            <w:shd w:val="clear" w:color="auto" w:fill="FFFFFF" w:themeFill="background1"/>
          </w:tcPr>
          <w:p w14:paraId="734E081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p w14:paraId="13992BC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76324264"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2018-2020</w:t>
            </w:r>
          </w:p>
        </w:tc>
        <w:tc>
          <w:tcPr>
            <w:tcW w:w="5638" w:type="dxa"/>
            <w:shd w:val="clear" w:color="auto" w:fill="auto"/>
          </w:tcPr>
          <w:p w14:paraId="0129FE4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opracowanych i wdrożonych standardów technicznych i organizacyjnych teleopieki i telepomocy</w:t>
            </w:r>
          </w:p>
        </w:tc>
      </w:tr>
      <w:tr w:rsidR="005F3D4B" w:rsidRPr="00D24DF9" w14:paraId="5D9C51E4"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309BE023" w14:textId="77777777" w:rsidR="00311D18" w:rsidRPr="00D24DF9" w:rsidRDefault="00311D18" w:rsidP="003C1988">
            <w:pPr>
              <w:spacing w:after="0"/>
              <w:rPr>
                <w:rFonts w:ascii="Times New Roman" w:hAnsi="Times New Roman" w:cs="Times New Roman"/>
                <w:sz w:val="20"/>
              </w:rPr>
            </w:pPr>
          </w:p>
        </w:tc>
        <w:tc>
          <w:tcPr>
            <w:tcW w:w="3594" w:type="dxa"/>
            <w:vMerge/>
          </w:tcPr>
          <w:p w14:paraId="66F2706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7DCE5F5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712CF448"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64A46045" w14:textId="77777777" w:rsidR="004E706B" w:rsidRPr="004E706B" w:rsidRDefault="004E706B" w:rsidP="008C71A9">
            <w:pPr>
              <w:pStyle w:val="Akapitzlist"/>
              <w:numPr>
                <w:ilvl w:val="0"/>
                <w:numId w:val="272"/>
              </w:numPr>
              <w:spacing w:after="0" w:line="240" w:lineRule="auto"/>
              <w:ind w:left="3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4E706B">
              <w:rPr>
                <w:rFonts w:ascii="Times New Roman" w:hAnsi="Times New Roman" w:cs="Times New Roman"/>
                <w:sz w:val="20"/>
              </w:rPr>
              <w:t>Przygotowanie do realizacji projektu telemedycznego w ramach Norweskiego Mechanizmu Finansowego 2014-2020:</w:t>
            </w:r>
          </w:p>
          <w:p w14:paraId="110E297C" w14:textId="77777777" w:rsidR="004E706B" w:rsidRPr="004E706B" w:rsidRDefault="004E706B" w:rsidP="008C71A9">
            <w:pPr>
              <w:pStyle w:val="Akapitzlist"/>
              <w:numPr>
                <w:ilvl w:val="0"/>
                <w:numId w:val="265"/>
              </w:numPr>
              <w:spacing w:after="0" w:line="240" w:lineRule="auto"/>
              <w:ind w:left="6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4E706B">
              <w:rPr>
                <w:rFonts w:ascii="Times New Roman" w:hAnsi="Times New Roman" w:cs="Times New Roman"/>
                <w:sz w:val="20"/>
              </w:rPr>
              <w:t xml:space="preserve">w latach 2018-2020 trwały uzgodnienia z darczyńcami, </w:t>
            </w:r>
          </w:p>
          <w:p w14:paraId="675A3B88" w14:textId="77777777" w:rsidR="004E706B" w:rsidRPr="004E706B" w:rsidRDefault="004E706B" w:rsidP="008C71A9">
            <w:pPr>
              <w:pStyle w:val="Akapitzlist"/>
              <w:numPr>
                <w:ilvl w:val="0"/>
                <w:numId w:val="265"/>
              </w:numPr>
              <w:spacing w:after="0" w:line="240" w:lineRule="auto"/>
              <w:ind w:left="6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4E706B">
              <w:rPr>
                <w:rFonts w:ascii="Times New Roman" w:hAnsi="Times New Roman" w:cs="Times New Roman"/>
                <w:sz w:val="20"/>
              </w:rPr>
              <w:t xml:space="preserve">w maju 2020 r. projekt został uruchomiony, a </w:t>
            </w:r>
          </w:p>
          <w:p w14:paraId="0BAAC72C" w14:textId="77777777" w:rsidR="004E706B" w:rsidRPr="004E706B" w:rsidRDefault="004E706B" w:rsidP="008C71A9">
            <w:pPr>
              <w:pStyle w:val="Akapitzlist"/>
              <w:numPr>
                <w:ilvl w:val="0"/>
                <w:numId w:val="265"/>
              </w:numPr>
              <w:spacing w:after="0" w:line="240" w:lineRule="auto"/>
              <w:ind w:left="643"/>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4E706B">
              <w:rPr>
                <w:rFonts w:ascii="Times New Roman" w:hAnsi="Times New Roman" w:cs="Times New Roman"/>
                <w:sz w:val="20"/>
              </w:rPr>
              <w:t xml:space="preserve">jego realizacja zakończy się w 2024 r. </w:t>
            </w:r>
          </w:p>
          <w:p w14:paraId="31A792A4" w14:textId="77777777" w:rsidR="004E706B" w:rsidRPr="004E706B" w:rsidRDefault="004E706B" w:rsidP="003C1988">
            <w:pPr>
              <w:spacing w:after="0"/>
              <w:ind w:left="708"/>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p w14:paraId="04B16523" w14:textId="77777777" w:rsidR="004E706B" w:rsidRPr="004E706B" w:rsidRDefault="004E706B"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4E706B">
              <w:rPr>
                <w:rFonts w:ascii="Times New Roman" w:hAnsi="Times New Roman" w:cs="Times New Roman"/>
                <w:sz w:val="20"/>
              </w:rPr>
              <w:t xml:space="preserve">Celem projektu jest opracowanie modeli procedur telemedycznych przez ekspertów polskich i norweskich w obszarach: kardiologii, geriatrii, psychiatrii, położnictwa, diabetologii, opieki paliatywnej oraz chorób przewlekłych, które następnie zostaną pilotażowo </w:t>
            </w:r>
            <w:r w:rsidRPr="004E706B">
              <w:rPr>
                <w:rFonts w:ascii="Times New Roman" w:hAnsi="Times New Roman" w:cs="Times New Roman"/>
                <w:sz w:val="20"/>
              </w:rPr>
              <w:lastRenderedPageBreak/>
              <w:t>wdrożone przez szpitale i instytuty badawcze wyłonione w procedurze konkursowej.</w:t>
            </w:r>
          </w:p>
          <w:p w14:paraId="2481B51A" w14:textId="77777777" w:rsidR="004E706B" w:rsidRPr="004E706B" w:rsidRDefault="004E706B"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p w14:paraId="1F0D6191" w14:textId="77777777" w:rsidR="004E706B" w:rsidRPr="004E706B" w:rsidRDefault="004E706B"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4E706B">
              <w:rPr>
                <w:rFonts w:ascii="Times New Roman" w:hAnsi="Times New Roman" w:cs="Times New Roman"/>
                <w:sz w:val="20"/>
              </w:rPr>
              <w:t>Kolejnym krokiem będzie przeprowadzenie ewaluacji pilotażu, która ma na celu wypracowanie rekomendacji dotyczących ewentualnego finansowania ze środków publicznych najbardziej skutecznych i efektywnych kosztowo procedur. Podejmowane działania mają przyczynić się do podniesienia jakości życia osób starszych w Polsce i zwiększenia dostępności usług medycznych.</w:t>
            </w:r>
          </w:p>
          <w:p w14:paraId="5F64B737" w14:textId="77777777" w:rsidR="004E706B" w:rsidRPr="004E706B" w:rsidRDefault="004E706B"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p>
          <w:p w14:paraId="35D59405" w14:textId="77777777" w:rsidR="00311D18" w:rsidRPr="004E706B" w:rsidRDefault="004E706B" w:rsidP="008C71A9">
            <w:pPr>
              <w:pStyle w:val="Akapitzlist"/>
              <w:numPr>
                <w:ilvl w:val="0"/>
                <w:numId w:val="272"/>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4E706B">
              <w:rPr>
                <w:rFonts w:ascii="Times New Roman" w:hAnsi="Times New Roman" w:cs="Times New Roman"/>
                <w:sz w:val="20"/>
              </w:rPr>
              <w:t xml:space="preserve">Ponadto, w 2019 r. rozpoczęto realizację projektu pn. </w:t>
            </w:r>
            <w:r w:rsidRPr="004E706B">
              <w:rPr>
                <w:rFonts w:ascii="Times New Roman" w:hAnsi="Times New Roman" w:cs="Times New Roman"/>
                <w:b/>
                <w:bCs/>
                <w:sz w:val="20"/>
              </w:rPr>
              <w:t>Dostępność Plus dla zdrowia</w:t>
            </w:r>
            <w:r w:rsidRPr="004E706B">
              <w:rPr>
                <w:rFonts w:ascii="Times New Roman" w:hAnsi="Times New Roman" w:cs="Times New Roman"/>
                <w:sz w:val="20"/>
              </w:rPr>
              <w:t xml:space="preserve"> w ramach Programu Operacyjnego Wiedza Edukacja Rozwój. Projekt ma na celu wdrożenie działań projakościowych w systemie ochrony zdrowia związanych z dostosowaniem placówek medycznych głównie do potrzeb osób z niepełnosprawnościami oraz osób starszych. Projekt obejmie wsparciem 50 szpitali oraz 250 POZ. W ramach projektu zostały opracowane Standardy Dostępności, zarówno szpitali, jak i placówek POZ.</w:t>
            </w:r>
          </w:p>
        </w:tc>
      </w:tr>
      <w:tr w:rsidR="005F3D4B" w:rsidRPr="00D24DF9" w14:paraId="7C0DA742" w14:textId="77777777" w:rsidTr="004D48DD">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232" w:type="dxa"/>
            <w:vMerge/>
          </w:tcPr>
          <w:p w14:paraId="50FE7C02"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4DE82CF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Wdrożenie na dużą skalę standaryzowanej telemedycyny, o różnym zakresie usług, dostosowywanym do potrzeb </w:t>
            </w:r>
            <w:r w:rsidRPr="00D24DF9">
              <w:rPr>
                <w:rFonts w:ascii="Times New Roman" w:eastAsia="MS Mincho" w:hAnsi="Times New Roman"/>
                <w:sz w:val="20"/>
              </w:rPr>
              <w:br/>
              <w:t xml:space="preserve">i sprawności użytkowników, </w:t>
            </w:r>
            <w:r w:rsidRPr="00D24DF9">
              <w:rPr>
                <w:rFonts w:ascii="Times New Roman" w:eastAsia="MS Mincho" w:hAnsi="Times New Roman"/>
                <w:sz w:val="20"/>
              </w:rPr>
              <w:br/>
              <w:t xml:space="preserve">które poprawią bezpieczeństwo </w:t>
            </w:r>
            <w:r w:rsidRPr="00D24DF9">
              <w:rPr>
                <w:rFonts w:ascii="Times New Roman" w:eastAsia="MS Mincho" w:hAnsi="Times New Roman"/>
                <w:sz w:val="20"/>
              </w:rPr>
              <w:br/>
              <w:t>i jakość życia dużej liczby osób starszych</w:t>
            </w:r>
          </w:p>
        </w:tc>
        <w:tc>
          <w:tcPr>
            <w:tcW w:w="2032" w:type="dxa"/>
            <w:vMerge w:val="restart"/>
            <w:shd w:val="clear" w:color="auto" w:fill="FFFFFF" w:themeFill="background1"/>
          </w:tcPr>
          <w:p w14:paraId="5F11200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p w14:paraId="2F0747E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455F013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FFFFFF" w:themeFill="background1"/>
          </w:tcPr>
          <w:p w14:paraId="68BED566"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przyjętych rozwiązań z zakresu standaryzowanej teleopieki i telepomocy, o różnych zakresach usług, dostosowywanych do potrzeb i sprawności użytkowników, które poprawią bezpieczeństwo i jakość życia dużej liczby osób starszych.</w:t>
            </w:r>
          </w:p>
        </w:tc>
      </w:tr>
      <w:tr w:rsidR="005F3D4B" w:rsidRPr="00D24DF9" w14:paraId="41CBF140"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32D67CD3" w14:textId="77777777" w:rsidR="00311D18" w:rsidRPr="00D24DF9" w:rsidRDefault="00311D18" w:rsidP="003C1988">
            <w:pPr>
              <w:spacing w:after="0"/>
              <w:rPr>
                <w:rFonts w:ascii="Times New Roman" w:hAnsi="Times New Roman" w:cs="Times New Roman"/>
                <w:sz w:val="20"/>
              </w:rPr>
            </w:pPr>
          </w:p>
        </w:tc>
        <w:tc>
          <w:tcPr>
            <w:tcW w:w="3594" w:type="dxa"/>
            <w:vMerge/>
          </w:tcPr>
          <w:p w14:paraId="697F693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57F4568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53A8099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70853840" w14:textId="77777777" w:rsidR="00311D18" w:rsidRPr="00D24DF9" w:rsidRDefault="00781CF2"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Calibri" w:hAnsi="Times New Roman" w:cs="Times New Roman"/>
                <w:sz w:val="20"/>
              </w:rPr>
              <w:t xml:space="preserve">Rozwiązania w zakresie telemedycyny były stosowane w projektach PO WER i RPO, jednak jako elementy świadczenia usług społecznych, szczególnie w środowisku lokalnym pacjentów, a nie jako wystandaryzowane rozwiązania. </w:t>
            </w:r>
          </w:p>
        </w:tc>
      </w:tr>
      <w:tr w:rsidR="005F3D4B" w:rsidRPr="00D24DF9" w14:paraId="0ED61166"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7F303C9"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50E5003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Wdrożenie nowych instrumentów mających na celu zwiększenie dostępności do: </w:t>
            </w:r>
          </w:p>
          <w:p w14:paraId="7C45779F" w14:textId="77777777" w:rsidR="00311D18" w:rsidRPr="00D24DF9" w:rsidRDefault="00311D18" w:rsidP="00B14DF0">
            <w:pPr>
              <w:pStyle w:val="Kolorowalistaakcent11"/>
              <w:numPr>
                <w:ilvl w:val="0"/>
                <w:numId w:val="3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usług opiekuńczych </w:t>
            </w:r>
            <w:r w:rsidRPr="00D24DF9">
              <w:rPr>
                <w:rFonts w:ascii="Times New Roman" w:eastAsia="MS Mincho" w:hAnsi="Times New Roman"/>
                <w:sz w:val="20"/>
              </w:rPr>
              <w:br/>
              <w:t xml:space="preserve">i specjalistycznych usług </w:t>
            </w:r>
            <w:r w:rsidRPr="00D24DF9">
              <w:rPr>
                <w:rFonts w:ascii="Times New Roman" w:eastAsia="MS Mincho" w:hAnsi="Times New Roman"/>
                <w:sz w:val="20"/>
              </w:rPr>
              <w:lastRenderedPageBreak/>
              <w:t xml:space="preserve">opiekuńczych realizowanych </w:t>
            </w:r>
            <w:r w:rsidRPr="00D24DF9">
              <w:rPr>
                <w:rFonts w:ascii="Times New Roman" w:eastAsia="MS Mincho" w:hAnsi="Times New Roman"/>
                <w:sz w:val="20"/>
              </w:rPr>
              <w:br/>
              <w:t xml:space="preserve">przez jednostki samorządu terytorialnego; </w:t>
            </w:r>
          </w:p>
          <w:p w14:paraId="100AF976" w14:textId="77777777" w:rsidR="00311D18" w:rsidRPr="00D24DF9" w:rsidRDefault="00311D18" w:rsidP="00B14DF0">
            <w:pPr>
              <w:pStyle w:val="Kolorowalistaakcent11"/>
              <w:numPr>
                <w:ilvl w:val="0"/>
                <w:numId w:val="3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opieki domowej w podziale </w:t>
            </w:r>
            <w:r w:rsidRPr="00D24DF9">
              <w:rPr>
                <w:rFonts w:ascii="Times New Roman" w:eastAsia="MS Mincho" w:hAnsi="Times New Roman"/>
                <w:sz w:val="20"/>
              </w:rPr>
              <w:br/>
              <w:t xml:space="preserve">na pomoc w czynnościach domowych lub pomoc </w:t>
            </w:r>
            <w:r w:rsidRPr="00D24DF9">
              <w:rPr>
                <w:rFonts w:ascii="Times New Roman" w:eastAsia="MS Mincho" w:hAnsi="Times New Roman"/>
                <w:sz w:val="20"/>
              </w:rPr>
              <w:br/>
              <w:t>w czynnościach higieniczno-opiekuńczych;</w:t>
            </w:r>
          </w:p>
          <w:p w14:paraId="1010F086" w14:textId="77777777" w:rsidR="00311D18" w:rsidRPr="00D24DF9" w:rsidRDefault="00311D18" w:rsidP="00B14DF0">
            <w:pPr>
              <w:pStyle w:val="Kolorowalistaakcent11"/>
              <w:numPr>
                <w:ilvl w:val="0"/>
                <w:numId w:val="3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informacji o usługach </w:t>
            </w:r>
            <w:r w:rsidRPr="00D24DF9">
              <w:rPr>
                <w:rFonts w:ascii="Times New Roman" w:eastAsia="MS Mincho" w:hAnsi="Times New Roman"/>
                <w:sz w:val="20"/>
              </w:rPr>
              <w:br/>
              <w:t>i poradnictwie społecznym</w:t>
            </w:r>
          </w:p>
        </w:tc>
        <w:tc>
          <w:tcPr>
            <w:tcW w:w="2032" w:type="dxa"/>
            <w:vMerge w:val="restart"/>
            <w:shd w:val="clear" w:color="auto" w:fill="FFFFFF" w:themeFill="background1"/>
          </w:tcPr>
          <w:p w14:paraId="74E7F12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 xml:space="preserve">Ministerstwo Rodziny, Pracy </w:t>
            </w:r>
            <w:r w:rsidRPr="00D24DF9">
              <w:rPr>
                <w:rFonts w:ascii="Times New Roman" w:eastAsia="MS Mincho" w:hAnsi="Times New Roman"/>
                <w:sz w:val="20"/>
              </w:rPr>
              <w:br/>
              <w:t>i Polityki Społecznej</w:t>
            </w:r>
          </w:p>
        </w:tc>
        <w:tc>
          <w:tcPr>
            <w:tcW w:w="1500" w:type="dxa"/>
            <w:vMerge w:val="restart"/>
            <w:shd w:val="clear" w:color="auto" w:fill="FFFFFF" w:themeFill="background1"/>
          </w:tcPr>
          <w:p w14:paraId="011C943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406F748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wdrożonych nowych instrumentów mających na celu zwiększenie dostępności do usług opiekuńczych i specjalistycznych usług opiekuńczych, realizowanych przez jednostki samorządu terytorialnego; opieki domowej w podziale na pomoc w czynnościach domowych lub pomoc w czynnościach higieniczno-opiekuńczych; informacji o usługach i poradnictwie społecznym.</w:t>
            </w:r>
          </w:p>
        </w:tc>
      </w:tr>
      <w:tr w:rsidR="005F3D4B" w:rsidRPr="00D24DF9" w14:paraId="14537589"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5663764" w14:textId="77777777" w:rsidR="00311D18" w:rsidRPr="00D24DF9" w:rsidRDefault="00311D18" w:rsidP="003C1988">
            <w:pPr>
              <w:spacing w:after="0"/>
              <w:rPr>
                <w:rFonts w:ascii="Times New Roman" w:hAnsi="Times New Roman" w:cs="Times New Roman"/>
                <w:sz w:val="20"/>
              </w:rPr>
            </w:pPr>
          </w:p>
        </w:tc>
        <w:tc>
          <w:tcPr>
            <w:tcW w:w="3594" w:type="dxa"/>
            <w:vMerge/>
          </w:tcPr>
          <w:p w14:paraId="7D67E02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150F166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7EDC40E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62B351B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0D4CBB9C"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0D0D33F"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464506D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Zwiększenie zakresu usług społecznych użyteczności publicznej, umożliwiających wzmocnienie samodzielności osób starszych, dostarczanych przez podmioty ekonomii społecznej</w:t>
            </w:r>
          </w:p>
        </w:tc>
        <w:tc>
          <w:tcPr>
            <w:tcW w:w="2032" w:type="dxa"/>
            <w:vMerge w:val="restart"/>
            <w:shd w:val="clear" w:color="auto" w:fill="FFFFFF" w:themeFill="background1"/>
          </w:tcPr>
          <w:p w14:paraId="6124D9C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tc>
        <w:tc>
          <w:tcPr>
            <w:tcW w:w="1500" w:type="dxa"/>
            <w:vMerge w:val="restart"/>
            <w:shd w:val="clear" w:color="auto" w:fill="FFFFFF" w:themeFill="background1"/>
          </w:tcPr>
          <w:p w14:paraId="5DC34F1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28BD9D6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podmiotów ekonomii społecznej dostarczających usługi społeczne użyteczności publicznej umożliwiające wzmocnienie samodzielności osób starszych</w:t>
            </w:r>
          </w:p>
        </w:tc>
      </w:tr>
      <w:tr w:rsidR="005F3D4B" w:rsidRPr="00D24DF9" w14:paraId="0A64E4BA"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3C609D1" w14:textId="77777777" w:rsidR="00311D18" w:rsidRPr="00D24DF9" w:rsidRDefault="00311D18" w:rsidP="003C1988">
            <w:pPr>
              <w:spacing w:after="0"/>
              <w:rPr>
                <w:rFonts w:ascii="Times New Roman" w:hAnsi="Times New Roman" w:cs="Times New Roman"/>
                <w:sz w:val="20"/>
              </w:rPr>
            </w:pPr>
          </w:p>
        </w:tc>
        <w:tc>
          <w:tcPr>
            <w:tcW w:w="3594" w:type="dxa"/>
            <w:vMerge/>
          </w:tcPr>
          <w:p w14:paraId="6F736EF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3A74E3F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315ADD8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05F1CA4F" w14:textId="77777777" w:rsidR="00715402" w:rsidRPr="0093687B" w:rsidRDefault="00715402"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hAnsi="Times New Roman" w:cs="Times New Roman"/>
                <w:sz w:val="20"/>
                <w:lang w:eastAsia="x-none"/>
              </w:rPr>
              <w:t>Według stanu</w:t>
            </w:r>
            <w:r w:rsidR="003E4295">
              <w:rPr>
                <w:rFonts w:ascii="Times New Roman" w:hAnsi="Times New Roman" w:cs="Times New Roman"/>
                <w:sz w:val="20"/>
                <w:lang w:eastAsia="x-none"/>
              </w:rPr>
              <w:t xml:space="preserve"> na 9 stycznia 2020 r. status Przedsiębiorstwa Społecznego</w:t>
            </w:r>
            <w:r w:rsidRPr="00D24DF9">
              <w:rPr>
                <w:rFonts w:ascii="Times New Roman" w:hAnsi="Times New Roman" w:cs="Times New Roman"/>
                <w:sz w:val="20"/>
                <w:lang w:eastAsia="x-none"/>
              </w:rPr>
              <w:t xml:space="preserve"> posiadały 1</w:t>
            </w:r>
            <w:r w:rsidR="003E4295">
              <w:rPr>
                <w:rFonts w:ascii="Times New Roman" w:hAnsi="Times New Roman" w:cs="Times New Roman"/>
                <w:sz w:val="20"/>
                <w:lang w:eastAsia="x-none"/>
              </w:rPr>
              <w:t xml:space="preserve"> </w:t>
            </w:r>
            <w:r w:rsidRPr="00D24DF9">
              <w:rPr>
                <w:rFonts w:ascii="Times New Roman" w:hAnsi="Times New Roman" w:cs="Times New Roman"/>
                <w:sz w:val="20"/>
                <w:lang w:eastAsia="x-none"/>
              </w:rPr>
              <w:t xml:space="preserve">153 podmioty. Są to przede wszystkim spółdzielnie socjalne, ale także niektóre fundacje, stowarzyszenia i spółki non-profit. Najwięcej jest ich zlokalizowanych w woj. podkarpackim (170), śląskim (135) i wielkopolskim (122). Dominującą branżą jest gastronomia, w której aktywnych jest 208 podmiotów. Baza PS dostępna jest pod adresem: </w:t>
            </w:r>
            <w:hyperlink r:id="rId51" w:history="1">
              <w:r w:rsidRPr="00D24DF9">
                <w:rPr>
                  <w:rStyle w:val="Hipercze"/>
                  <w:rFonts w:ascii="Times New Roman" w:hAnsi="Times New Roman" w:cs="Times New Roman"/>
                  <w:color w:val="2F5496" w:themeColor="accent5" w:themeShade="BF"/>
                  <w:sz w:val="20"/>
                  <w:lang w:eastAsia="x-none"/>
                </w:rPr>
                <w:t>http://www.bazaps.ekonomiaspoleczna.gov.pl/</w:t>
              </w:r>
            </w:hyperlink>
            <w:r w:rsidRPr="00D24DF9">
              <w:rPr>
                <w:rFonts w:ascii="Times New Roman" w:hAnsi="Times New Roman" w:cs="Times New Roman"/>
                <w:sz w:val="20"/>
                <w:lang w:eastAsia="x-none"/>
              </w:rPr>
              <w:t xml:space="preserve">. </w:t>
            </w:r>
          </w:p>
          <w:p w14:paraId="27EADDA4" w14:textId="77777777" w:rsidR="003E4295" w:rsidRDefault="003E4295"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p w14:paraId="7845A51B" w14:textId="77777777" w:rsidR="00A478C9" w:rsidRPr="00D24DF9" w:rsidRDefault="003E4295"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3E4295">
              <w:rPr>
                <w:rFonts w:ascii="Times New Roman" w:eastAsia="MS Mincho" w:hAnsi="Times New Roman" w:cs="Times New Roman"/>
                <w:sz w:val="20"/>
              </w:rPr>
              <w:t>Jednocześnie, w</w:t>
            </w:r>
            <w:r>
              <w:rPr>
                <w:rFonts w:ascii="Times New Roman" w:eastAsia="MS Mincho" w:hAnsi="Times New Roman" w:cs="Times New Roman"/>
                <w:b/>
                <w:sz w:val="20"/>
                <w:u w:val="single"/>
              </w:rPr>
              <w:t xml:space="preserve"> </w:t>
            </w:r>
            <w:r w:rsidR="00A478C9" w:rsidRPr="00D24DF9">
              <w:rPr>
                <w:rFonts w:ascii="Times New Roman" w:eastAsia="MS Mincho" w:hAnsi="Times New Roman" w:cs="Times New Roman"/>
                <w:sz w:val="20"/>
              </w:rPr>
              <w:t xml:space="preserve">ramach działania 2.9 </w:t>
            </w:r>
            <w:r w:rsidR="00A478C9" w:rsidRPr="00D24DF9">
              <w:rPr>
                <w:rFonts w:ascii="Times New Roman" w:eastAsia="MS Mincho" w:hAnsi="Times New Roman" w:cs="Times New Roman"/>
                <w:i/>
                <w:sz w:val="20"/>
              </w:rPr>
              <w:t>Rozwój ekonomii społecznej</w:t>
            </w:r>
            <w:r w:rsidR="00A478C9" w:rsidRPr="00D24DF9">
              <w:rPr>
                <w:rFonts w:ascii="Times New Roman" w:eastAsia="MS Mincho" w:hAnsi="Times New Roman" w:cs="Times New Roman"/>
                <w:sz w:val="20"/>
              </w:rPr>
              <w:t xml:space="preserve"> PO WER od 2019 r. realizowany jest projekt w typie operacji </w:t>
            </w:r>
            <w:r w:rsidR="00A478C9" w:rsidRPr="00D24DF9">
              <w:rPr>
                <w:rFonts w:ascii="Times New Roman" w:eastAsia="MS Mincho" w:hAnsi="Times New Roman" w:cs="Times New Roman"/>
                <w:i/>
                <w:sz w:val="20"/>
              </w:rPr>
              <w:t>Przygotowanie i wdrożenie modeli przedsiębiorstw społecznych, m.in. o charakterze usługowym, świadczących tzw. „wiązki” usług społecznych użyteczności publicznej, kierowanych w szczególności w zindywidualizowany i kompleksowy sposób do osób niepełnosprawnych i niesamodzielnych oraz ich rodzin, w tym dla rodzin posiadających dzieci z niepełnosprawnością i realizujących zadania użyteczności publicznej w zakresie rozwoju lokalnego</w:t>
            </w:r>
            <w:r w:rsidR="00A478C9" w:rsidRPr="00D24DF9">
              <w:rPr>
                <w:rFonts w:ascii="Times New Roman" w:eastAsia="MS Mincho" w:hAnsi="Times New Roman" w:cs="Times New Roman"/>
                <w:sz w:val="20"/>
              </w:rPr>
              <w:t xml:space="preserve">. W ramach projektu zostaną wypracowane i wdrożone nowe rozwiązania w postaci opracowania i wdrożenia 5 modeli </w:t>
            </w:r>
            <w:r w:rsidR="00A478C9" w:rsidRPr="00D24DF9">
              <w:rPr>
                <w:rFonts w:ascii="Times New Roman" w:eastAsia="MS Mincho" w:hAnsi="Times New Roman" w:cs="Times New Roman"/>
                <w:sz w:val="20"/>
              </w:rPr>
              <w:lastRenderedPageBreak/>
              <w:t>przedsiębiorstw społecznych w zakresie świadczenia usług na rzecz osób zagrożonych wykluczeniem społecznych. W ramach projektu powstaną:</w:t>
            </w:r>
          </w:p>
          <w:p w14:paraId="22DBF66B" w14:textId="77777777" w:rsidR="003E4295" w:rsidRDefault="00A478C9" w:rsidP="008C71A9">
            <w:pPr>
              <w:pStyle w:val="Akapitzlist"/>
              <w:numPr>
                <w:ilvl w:val="0"/>
                <w:numId w:val="211"/>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4 modele przedsiębiorstw społecznych o charakterze usługowym, realizujące tzw. wiązki usług skierowane do osób z niepełnosprawnościami i osób niesamodzielnych, osób w wieku 60+ i ich rodzin.</w:t>
            </w:r>
          </w:p>
          <w:p w14:paraId="6B893937" w14:textId="77777777" w:rsidR="00311D18" w:rsidRPr="003E4295" w:rsidRDefault="00A478C9" w:rsidP="008C71A9">
            <w:pPr>
              <w:pStyle w:val="Akapitzlist"/>
              <w:numPr>
                <w:ilvl w:val="0"/>
                <w:numId w:val="211"/>
              </w:numPr>
              <w:spacing w:after="0"/>
              <w:ind w:left="36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3E4295">
              <w:rPr>
                <w:rFonts w:ascii="Times New Roman" w:eastAsia="MS Mincho" w:hAnsi="Times New Roman" w:cs="Times New Roman"/>
                <w:sz w:val="20"/>
              </w:rPr>
              <w:t>1 model przedsiębiorstwa społecznego realizującego zadania użyteczności publicznej w zakresie rozwoju lokalnego.</w:t>
            </w:r>
          </w:p>
        </w:tc>
      </w:tr>
      <w:tr w:rsidR="005F3D4B" w:rsidRPr="00D24DF9" w14:paraId="591BC369" w14:textId="77777777" w:rsidTr="004D48DD">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1232" w:type="dxa"/>
            <w:vMerge/>
          </w:tcPr>
          <w:p w14:paraId="5BA75CDB"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3EA21A9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Wspieranie rozwoju sieci wypożyczalni sprzętu pomocniczego dla niesamodzielnych osób starszych</w:t>
            </w:r>
          </w:p>
        </w:tc>
        <w:tc>
          <w:tcPr>
            <w:tcW w:w="2032" w:type="dxa"/>
            <w:vMerge w:val="restart"/>
            <w:shd w:val="clear" w:color="auto" w:fill="FFFFFF" w:themeFill="background1"/>
          </w:tcPr>
          <w:p w14:paraId="6BE4102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Narodowy Fundusz Zdrowia, Państwowy Fundusz Rehabilitacji Osób Niepełnosprawnych</w:t>
            </w:r>
          </w:p>
          <w:p w14:paraId="274D034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5082D95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tc>
        <w:tc>
          <w:tcPr>
            <w:tcW w:w="5638" w:type="dxa"/>
            <w:shd w:val="clear" w:color="auto" w:fill="auto"/>
          </w:tcPr>
          <w:p w14:paraId="46D79FD7"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funkcjonujących wypożyczalni sprzętu pomocniczego dla niepełnosprawnych.</w:t>
            </w:r>
          </w:p>
        </w:tc>
      </w:tr>
      <w:tr w:rsidR="005F3D4B" w:rsidRPr="00D24DF9" w14:paraId="54553C7E"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92477DA" w14:textId="77777777" w:rsidR="00311D18" w:rsidRPr="00D24DF9" w:rsidRDefault="00311D18" w:rsidP="003C1988">
            <w:pPr>
              <w:spacing w:after="0"/>
              <w:rPr>
                <w:rFonts w:ascii="Times New Roman" w:hAnsi="Times New Roman" w:cs="Times New Roman"/>
                <w:sz w:val="20"/>
              </w:rPr>
            </w:pPr>
          </w:p>
        </w:tc>
        <w:tc>
          <w:tcPr>
            <w:tcW w:w="3594" w:type="dxa"/>
            <w:vMerge/>
          </w:tcPr>
          <w:p w14:paraId="27169E7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29CA24E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4AF5A9E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4D84A8F0" w14:textId="77777777" w:rsidR="00BF7ED9" w:rsidRPr="00D24DF9" w:rsidRDefault="00BF7ED9"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sidRPr="00D24DF9">
              <w:rPr>
                <w:rFonts w:ascii="Times New Roman" w:eastAsia="Calibri" w:hAnsi="Times New Roman" w:cs="Times New Roman"/>
                <w:sz w:val="20"/>
              </w:rPr>
              <w:t>Działania dotyczące przygotowania i tworzenia wypożyczalni sprzętu rehabilitacyjnego, pielęgnacyjnego i wspomagającego, połączonego z doradztwem w doborze sprzętu, treningami z zakresu samoobsługi wypożyczonego sprzętu oraz przygotowaniem warunków do opieki domowej</w:t>
            </w:r>
            <w:r w:rsidRPr="00D24DF9">
              <w:rPr>
                <w:rFonts w:ascii="Times New Roman" w:eastAsia="MS Mincho" w:hAnsi="Times New Roman" w:cs="Times New Roman"/>
                <w:sz w:val="20"/>
              </w:rPr>
              <w:t xml:space="preserve"> realizowane są </w:t>
            </w:r>
            <w:r w:rsidRPr="00D24DF9">
              <w:rPr>
                <w:rFonts w:ascii="Times New Roman" w:eastAsia="Calibri" w:hAnsi="Times New Roman" w:cs="Times New Roman"/>
                <w:sz w:val="20"/>
              </w:rPr>
              <w:t>m.in. w projektach współfinansowanych z EFS w Regionalnych Programach Operacyjnych.</w:t>
            </w:r>
          </w:p>
          <w:p w14:paraId="7551CFBC" w14:textId="77777777" w:rsidR="00C40C82" w:rsidRPr="00D24DF9" w:rsidRDefault="00C40C82"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p w14:paraId="5E9B4340" w14:textId="77777777" w:rsidR="00C40C82" w:rsidRPr="003E4295" w:rsidRDefault="003E4295"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Pr>
                <w:rFonts w:ascii="Times New Roman" w:eastAsia="Calibri" w:hAnsi="Times New Roman" w:cs="Times New Roman"/>
                <w:sz w:val="20"/>
              </w:rPr>
              <w:t>Jednocześnie, w</w:t>
            </w:r>
            <w:r>
              <w:rPr>
                <w:rFonts w:ascii="Times New Roman" w:hAnsi="Times New Roman" w:cs="Times New Roman"/>
                <w:iCs/>
                <w:sz w:val="20"/>
              </w:rPr>
              <w:t>edług danych posiadanych przez Państwowy Fundusz Rehabilitacji Osób Niepełnosprawnych</w:t>
            </w:r>
            <w:r w:rsidR="00C40C82" w:rsidRPr="00D24DF9">
              <w:rPr>
                <w:rFonts w:ascii="Times New Roman" w:hAnsi="Times New Roman" w:cs="Times New Roman"/>
                <w:iCs/>
                <w:sz w:val="20"/>
              </w:rPr>
              <w:t xml:space="preserve"> w 2019 r.: </w:t>
            </w:r>
          </w:p>
          <w:p w14:paraId="056FD415" w14:textId="77777777" w:rsidR="00C40C82" w:rsidRPr="00D24DF9" w:rsidRDefault="00C40C82"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rPr>
            </w:pPr>
            <w:r w:rsidRPr="00D24DF9">
              <w:rPr>
                <w:rFonts w:ascii="Times New Roman" w:hAnsi="Times New Roman" w:cs="Times New Roman"/>
                <w:iCs/>
                <w:sz w:val="20"/>
              </w:rPr>
              <w:t>- liczba funkcjonujących wypożyczalni sprzętu pomocniczego dla niepełnosprawnych wyniosła 0;</w:t>
            </w:r>
          </w:p>
          <w:p w14:paraId="2E27D756" w14:textId="77777777" w:rsidR="00C40C82" w:rsidRPr="00D24DF9" w:rsidRDefault="00C40C82"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rPr>
            </w:pPr>
            <w:r w:rsidRPr="00D24DF9">
              <w:rPr>
                <w:rFonts w:ascii="Times New Roman" w:hAnsi="Times New Roman" w:cs="Times New Roman"/>
                <w:iCs/>
                <w:sz w:val="20"/>
              </w:rPr>
              <w:t xml:space="preserve">- liczba funkcjonujących punktów doradztwa w obszarze pozyskiwania i korzystania ze sprzętu wspomagającego funkcjonowanie i zwiększającego samodzielność niesamodzielnych osób starszych wyniosła 0. </w:t>
            </w:r>
          </w:p>
          <w:p w14:paraId="497CD070" w14:textId="77777777" w:rsidR="00C40C82" w:rsidRPr="00D24DF9" w:rsidRDefault="00C40C82"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 xml:space="preserve">Państwowy Fundusz Rehabilitacji Osób Niepełnosprawnych jest gotowy wesprzeć inicjatywy zgłoszone przez podmioty uprawnione do złożenia projektu w ramach art. 36 </w:t>
            </w:r>
            <w:r w:rsidR="003E4295" w:rsidRPr="003E4295">
              <w:rPr>
                <w:rFonts w:ascii="Times New Roman" w:hAnsi="Times New Roman" w:cs="Times New Roman"/>
                <w:i/>
                <w:iCs/>
                <w:sz w:val="20"/>
              </w:rPr>
              <w:t xml:space="preserve">ustawy </w:t>
            </w:r>
            <w:r w:rsidRPr="003E4295">
              <w:rPr>
                <w:rFonts w:ascii="Times New Roman" w:hAnsi="Times New Roman" w:cs="Times New Roman"/>
                <w:i/>
                <w:iCs/>
                <w:sz w:val="20"/>
              </w:rPr>
              <w:t>z dnia 27 sierpnia 1997 r. o rehabilitacji zawodowej i społecznej oraz zatrudnianiu osób niepełnosprawnych</w:t>
            </w:r>
            <w:r w:rsidRPr="00D24DF9">
              <w:rPr>
                <w:rFonts w:ascii="Times New Roman" w:hAnsi="Times New Roman" w:cs="Times New Roman"/>
                <w:iCs/>
                <w:sz w:val="20"/>
              </w:rPr>
              <w:t xml:space="preserve"> (Dz. U. z 2020 r. poz. 426, z późn. zm.)</w:t>
            </w:r>
            <w:r w:rsidRPr="00D24DF9">
              <w:rPr>
                <w:rFonts w:ascii="Times New Roman" w:hAnsi="Times New Roman" w:cs="Times New Roman"/>
                <w:sz w:val="20"/>
              </w:rPr>
              <w:t xml:space="preserve">, jeśli mieszczą się w dopuszczalnych ramach </w:t>
            </w:r>
            <w:r w:rsidRPr="00D24DF9">
              <w:rPr>
                <w:rFonts w:ascii="Times New Roman" w:hAnsi="Times New Roman" w:cs="Times New Roman"/>
                <w:sz w:val="20"/>
              </w:rPr>
              <w:lastRenderedPageBreak/>
              <w:t>interwencji, także dotyczące osób w wieku senioralnym, w tym także inicjatywy związane z rozwojem sieci wypożyczalni sprzętu pomocniczego dla niesamodzielnych osób starszych oraz prowadzeniem doradztwa w obszarze uzyskania sprzętu wspomagającego funkcjonowanie i zwiększającego samodzielność niesamodzielnych osób starszych i korzystania z niego.</w:t>
            </w:r>
            <w:r w:rsidRPr="00D24DF9">
              <w:rPr>
                <w:rFonts w:ascii="Times New Roman" w:hAnsi="Times New Roman" w:cs="Times New Roman"/>
                <w:iCs/>
                <w:sz w:val="20"/>
              </w:rPr>
              <w:t xml:space="preserve"> W 2019 r. nie wpłynęły w powyższym zakresie żadne projekty o realizację zadania zleconego na podstawie art. 36 ustawy.</w:t>
            </w:r>
          </w:p>
        </w:tc>
      </w:tr>
      <w:tr w:rsidR="005F3D4B" w:rsidRPr="00D24DF9" w14:paraId="712CB21F"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4FE8583"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1354E75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Prowadzenie doradztwa w obszarze uzyskania sprzętu wspomagającego funkcjonowanie i zwiększającego samodzielność niesamodzielnych osób starszych i korzystania z niego</w:t>
            </w:r>
          </w:p>
          <w:p w14:paraId="3B3B5B3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val="restart"/>
            <w:shd w:val="clear" w:color="auto" w:fill="FFFFFF" w:themeFill="background1"/>
          </w:tcPr>
          <w:p w14:paraId="6F26C3F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 Państwowy Fundusz Rehabilitacji Osób Niepełnosprawnych, Ministerstwo Zdrowia</w:t>
            </w:r>
          </w:p>
        </w:tc>
        <w:tc>
          <w:tcPr>
            <w:tcW w:w="1500" w:type="dxa"/>
            <w:vMerge w:val="restart"/>
            <w:shd w:val="clear" w:color="auto" w:fill="FFFFFF" w:themeFill="background1"/>
          </w:tcPr>
          <w:p w14:paraId="3D39A28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tc>
        <w:tc>
          <w:tcPr>
            <w:tcW w:w="5638" w:type="dxa"/>
            <w:shd w:val="clear" w:color="auto" w:fill="auto"/>
          </w:tcPr>
          <w:p w14:paraId="671D7C0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funkcjonujących punktów doradztwa w obszarze pozyskiwania i korzystania ze sprzętu wspomagającego funkcjonowanie i zwiększającego samodzielność niesamodzielnych osób starszych</w:t>
            </w:r>
          </w:p>
        </w:tc>
      </w:tr>
      <w:tr w:rsidR="005F3D4B" w:rsidRPr="00D24DF9" w14:paraId="4B648007"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ABA4054" w14:textId="77777777" w:rsidR="00311D18" w:rsidRPr="00D24DF9" w:rsidRDefault="00311D18" w:rsidP="003C1988">
            <w:pPr>
              <w:spacing w:after="0"/>
              <w:rPr>
                <w:rFonts w:ascii="Times New Roman" w:hAnsi="Times New Roman" w:cs="Times New Roman"/>
                <w:sz w:val="20"/>
              </w:rPr>
            </w:pPr>
          </w:p>
        </w:tc>
        <w:tc>
          <w:tcPr>
            <w:tcW w:w="3594" w:type="dxa"/>
            <w:vMerge/>
          </w:tcPr>
          <w:p w14:paraId="3642B41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38041E4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1109E1D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432A6F84" w14:textId="77777777" w:rsidR="00C40C82" w:rsidRPr="00D24DF9" w:rsidRDefault="00C40C82"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rPr>
            </w:pPr>
            <w:r w:rsidRPr="00D24DF9">
              <w:rPr>
                <w:rFonts w:ascii="Times New Roman" w:hAnsi="Times New Roman" w:cs="Times New Roman"/>
                <w:iCs/>
                <w:sz w:val="20"/>
              </w:rPr>
              <w:t xml:space="preserve">Według </w:t>
            </w:r>
            <w:r w:rsidR="0021092E">
              <w:rPr>
                <w:rFonts w:ascii="Times New Roman" w:hAnsi="Times New Roman" w:cs="Times New Roman"/>
                <w:iCs/>
                <w:sz w:val="20"/>
              </w:rPr>
              <w:t>danych posiadanych przez Państwowy Fundusz Rehabilitacji Osób Niepełnosprawnych</w:t>
            </w:r>
            <w:r w:rsidR="0021092E" w:rsidRPr="00D24DF9">
              <w:rPr>
                <w:rFonts w:ascii="Times New Roman" w:hAnsi="Times New Roman" w:cs="Times New Roman"/>
                <w:iCs/>
                <w:sz w:val="20"/>
              </w:rPr>
              <w:t xml:space="preserve"> w 2019 r.:</w:t>
            </w:r>
          </w:p>
          <w:p w14:paraId="4E04F671" w14:textId="77777777" w:rsidR="00C40C82" w:rsidRPr="00D24DF9" w:rsidRDefault="00C40C82"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rPr>
            </w:pPr>
            <w:r w:rsidRPr="00D24DF9">
              <w:rPr>
                <w:rFonts w:ascii="Times New Roman" w:hAnsi="Times New Roman" w:cs="Times New Roman"/>
                <w:iCs/>
                <w:sz w:val="20"/>
              </w:rPr>
              <w:t>- liczba funkcjonujących wypożyczalni sprzętu pomocniczego dla niepełnosprawnych wyniosła 0;</w:t>
            </w:r>
          </w:p>
          <w:p w14:paraId="2F6F1E93" w14:textId="77777777" w:rsidR="00C40C82" w:rsidRPr="00D24DF9" w:rsidRDefault="00C40C82"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Cs/>
                <w:sz w:val="20"/>
              </w:rPr>
            </w:pPr>
            <w:r w:rsidRPr="00D24DF9">
              <w:rPr>
                <w:rFonts w:ascii="Times New Roman" w:hAnsi="Times New Roman" w:cs="Times New Roman"/>
                <w:iCs/>
                <w:sz w:val="20"/>
              </w:rPr>
              <w:t xml:space="preserve">- liczba funkcjonujących punktów doradztwa w obszarze pozyskiwania i korzystania ze sprzętu wspomagającego funkcjonowanie i zwiększającego samodzielność niesamodzielnych osób starszych wyniosła 0. </w:t>
            </w:r>
          </w:p>
          <w:p w14:paraId="54F4B8DB" w14:textId="77777777" w:rsidR="00311D18" w:rsidRPr="00D24DF9" w:rsidRDefault="00C40C82" w:rsidP="003C1988">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D24DF9">
              <w:rPr>
                <w:rFonts w:ascii="Times New Roman" w:hAnsi="Times New Roman" w:cs="Times New Roman"/>
                <w:sz w:val="20"/>
              </w:rPr>
              <w:t xml:space="preserve">Państwowy Fundusz Rehabilitacji Osób Niepełnosprawnych jest gotowy wesprzeć inicjatywy zgłoszone przez podmioty uprawnione do złożenia projektu w ramach art. 36 </w:t>
            </w:r>
            <w:r w:rsidR="0021092E" w:rsidRPr="0021092E">
              <w:rPr>
                <w:rFonts w:ascii="Times New Roman" w:hAnsi="Times New Roman" w:cs="Times New Roman"/>
                <w:i/>
                <w:iCs/>
                <w:sz w:val="20"/>
              </w:rPr>
              <w:t xml:space="preserve">ustawy </w:t>
            </w:r>
            <w:r w:rsidRPr="0021092E">
              <w:rPr>
                <w:rFonts w:ascii="Times New Roman" w:hAnsi="Times New Roman" w:cs="Times New Roman"/>
                <w:i/>
                <w:iCs/>
                <w:sz w:val="20"/>
              </w:rPr>
              <w:t>z dnia 27 sierpnia 1997 r. o rehabilitacji zawodowej i społecznej oraz zatrudnianiu osób niepełnosprawnych</w:t>
            </w:r>
            <w:r w:rsidRPr="00D24DF9">
              <w:rPr>
                <w:rFonts w:ascii="Times New Roman" w:hAnsi="Times New Roman" w:cs="Times New Roman"/>
                <w:iCs/>
                <w:sz w:val="20"/>
              </w:rPr>
              <w:t xml:space="preserve"> (Dz. U. z 2020 r. poz. 426, z późn. zm.)</w:t>
            </w:r>
            <w:r w:rsidRPr="00D24DF9">
              <w:rPr>
                <w:rFonts w:ascii="Times New Roman" w:hAnsi="Times New Roman" w:cs="Times New Roman"/>
                <w:sz w:val="20"/>
              </w:rPr>
              <w:t>, jeśli mieszczą się w dopuszczalnych ramach interwencji, także dotyczące osób w wieku senioralnym, w tym także inicjatywy związane z rozwojem sieci wypożyczalni sprzętu pomocniczego dla niesamodzielnych osób starszych oraz prowadzeniem doradztwa w obszarze uzyskania sprzętu wspomagającego funkcjonowanie i zwiększającego samodzielność niesamodzielnych osób starszych i korzystania z niego.</w:t>
            </w:r>
            <w:r w:rsidRPr="00D24DF9">
              <w:rPr>
                <w:rFonts w:ascii="Times New Roman" w:hAnsi="Times New Roman" w:cs="Times New Roman"/>
                <w:iCs/>
                <w:sz w:val="20"/>
              </w:rPr>
              <w:t xml:space="preserve"> W 2019 r. </w:t>
            </w:r>
            <w:r w:rsidRPr="00D24DF9">
              <w:rPr>
                <w:rFonts w:ascii="Times New Roman" w:hAnsi="Times New Roman" w:cs="Times New Roman"/>
                <w:iCs/>
                <w:sz w:val="20"/>
              </w:rPr>
              <w:lastRenderedPageBreak/>
              <w:t>nie wpłynęły w powyższym zakresie żadne projekty o realizację zadania zleconego na podstawie art. 36 ustawy.</w:t>
            </w:r>
          </w:p>
        </w:tc>
      </w:tr>
      <w:tr w:rsidR="005F3D4B" w:rsidRPr="00D24DF9" w14:paraId="64FA093B"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990578B"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617B68E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Promowanie dobrych praktyk z zakresu funkcjonowania wypożyczalni przedmiotowego sprzętu</w:t>
            </w:r>
          </w:p>
        </w:tc>
        <w:tc>
          <w:tcPr>
            <w:tcW w:w="2032" w:type="dxa"/>
            <w:vMerge w:val="restart"/>
            <w:shd w:val="clear" w:color="auto" w:fill="FFFFFF" w:themeFill="background1"/>
          </w:tcPr>
          <w:p w14:paraId="5673637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23BBC35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7542BFA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tc>
        <w:tc>
          <w:tcPr>
            <w:tcW w:w="5638" w:type="dxa"/>
            <w:shd w:val="clear" w:color="auto" w:fill="auto"/>
          </w:tcPr>
          <w:p w14:paraId="1CBEF64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inicjatyw mających na celu promowanie dobrych praktyk z zakresu funkcjonowania wypożyczalni przedmiotowego sprzętu</w:t>
            </w:r>
          </w:p>
        </w:tc>
      </w:tr>
      <w:tr w:rsidR="005F3D4B" w:rsidRPr="00D24DF9" w14:paraId="0254695B"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674112AB" w14:textId="77777777" w:rsidR="00311D18" w:rsidRPr="00D24DF9" w:rsidRDefault="00311D18" w:rsidP="003C1988">
            <w:pPr>
              <w:spacing w:after="0"/>
              <w:rPr>
                <w:rFonts w:ascii="Times New Roman" w:hAnsi="Times New Roman" w:cs="Times New Roman"/>
                <w:sz w:val="20"/>
              </w:rPr>
            </w:pPr>
          </w:p>
        </w:tc>
        <w:tc>
          <w:tcPr>
            <w:tcW w:w="3594" w:type="dxa"/>
            <w:vMerge/>
          </w:tcPr>
          <w:p w14:paraId="46761C1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3C205C6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408577D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5B5260B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17345680"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7B5A6F9E"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5778FD0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Realizacja projektów oraz podnoszenie świadomości społecznej pomiędzy partnerami ze wszystkich sektorów w obszarze projektowania uniwersalnego</w:t>
            </w:r>
          </w:p>
        </w:tc>
        <w:tc>
          <w:tcPr>
            <w:tcW w:w="2032" w:type="dxa"/>
            <w:vMerge w:val="restart"/>
            <w:shd w:val="clear" w:color="auto" w:fill="FFFFFF" w:themeFill="background1"/>
          </w:tcPr>
          <w:p w14:paraId="578F02D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Infrastruktury</w:t>
            </w:r>
          </w:p>
          <w:p w14:paraId="246C555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6B12814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tc>
        <w:tc>
          <w:tcPr>
            <w:tcW w:w="5638" w:type="dxa"/>
            <w:shd w:val="clear" w:color="auto" w:fill="auto"/>
          </w:tcPr>
          <w:p w14:paraId="3FF78EF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projektów mających na celu podnoszenie świadomości społecznej pomiędzy partnerami ze wszystkich sektorów w obszarze projektowania uniwersalnego</w:t>
            </w:r>
          </w:p>
        </w:tc>
      </w:tr>
      <w:tr w:rsidR="005F3D4B" w:rsidRPr="00D24DF9" w14:paraId="653FB592"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4DE72BE4" w14:textId="77777777" w:rsidR="00311D18" w:rsidRPr="00D24DF9" w:rsidRDefault="00311D18" w:rsidP="003C1988">
            <w:pPr>
              <w:spacing w:after="0"/>
              <w:rPr>
                <w:rFonts w:ascii="Times New Roman" w:hAnsi="Times New Roman" w:cs="Times New Roman"/>
                <w:sz w:val="20"/>
              </w:rPr>
            </w:pPr>
          </w:p>
        </w:tc>
        <w:tc>
          <w:tcPr>
            <w:tcW w:w="3594" w:type="dxa"/>
            <w:vMerge/>
          </w:tcPr>
          <w:p w14:paraId="388B96E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5E29FEC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0C1FFBB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4208C378"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7CB681CC"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5825A038"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368059B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Kształcenie terapeutów zajęciowych</w:t>
            </w:r>
          </w:p>
        </w:tc>
        <w:tc>
          <w:tcPr>
            <w:tcW w:w="2032" w:type="dxa"/>
            <w:vMerge w:val="restart"/>
            <w:shd w:val="clear" w:color="auto" w:fill="FFFFFF" w:themeFill="background1"/>
          </w:tcPr>
          <w:p w14:paraId="74FD8A8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shd w:val="clear" w:color="auto" w:fill="FFFFFF" w:themeFill="background1"/>
          </w:tcPr>
          <w:p w14:paraId="3DB7615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tc>
        <w:tc>
          <w:tcPr>
            <w:tcW w:w="5638" w:type="dxa"/>
            <w:shd w:val="clear" w:color="auto" w:fill="auto"/>
          </w:tcPr>
          <w:p w14:paraId="3F1DFE6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i/>
                <w:sz w:val="20"/>
              </w:rPr>
            </w:pPr>
            <w:r w:rsidRPr="00D24DF9">
              <w:rPr>
                <w:rFonts w:ascii="Times New Roman" w:hAnsi="Times New Roman"/>
                <w:i/>
                <w:sz w:val="20"/>
              </w:rPr>
              <w:t>Procent pozytywnie zaopiniowanych wniosków szkół niepublicznych ubiegających się o uprawnienia szkoły publicznej</w:t>
            </w:r>
          </w:p>
        </w:tc>
      </w:tr>
      <w:tr w:rsidR="005F3D4B" w:rsidRPr="00D24DF9" w14:paraId="1F5B3A21"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09E6606" w14:textId="77777777" w:rsidR="00311D18" w:rsidRPr="00D24DF9" w:rsidRDefault="00311D18" w:rsidP="003C1988">
            <w:pPr>
              <w:spacing w:after="0"/>
              <w:rPr>
                <w:rFonts w:ascii="Times New Roman" w:hAnsi="Times New Roman" w:cs="Times New Roman"/>
                <w:sz w:val="20"/>
              </w:rPr>
            </w:pPr>
          </w:p>
        </w:tc>
        <w:tc>
          <w:tcPr>
            <w:tcW w:w="3594" w:type="dxa"/>
            <w:vMerge/>
          </w:tcPr>
          <w:p w14:paraId="57BCB1D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7CFF981D"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747B845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419229D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2661FE08"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9D1B97E"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4DC5BE6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Promowanie terapii zajęciowej wśród niesamodzielnych osób starszych</w:t>
            </w:r>
          </w:p>
        </w:tc>
        <w:tc>
          <w:tcPr>
            <w:tcW w:w="2032" w:type="dxa"/>
            <w:vMerge w:val="restart"/>
            <w:shd w:val="clear" w:color="auto" w:fill="FFFFFF" w:themeFill="background1"/>
          </w:tcPr>
          <w:p w14:paraId="36269F5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02BC3E6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0AB2AED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tc>
        <w:tc>
          <w:tcPr>
            <w:tcW w:w="5638" w:type="dxa"/>
            <w:shd w:val="clear" w:color="auto" w:fill="auto"/>
          </w:tcPr>
          <w:p w14:paraId="03E940A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inicjatyw mających na celu promowanie terapii zajęciowej wśród niesamodzielnych osób starszych</w:t>
            </w:r>
          </w:p>
        </w:tc>
      </w:tr>
      <w:tr w:rsidR="005F3D4B" w:rsidRPr="00D24DF9" w14:paraId="0B3BDD02"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85B4C68" w14:textId="77777777" w:rsidR="00311D18" w:rsidRPr="00D24DF9" w:rsidRDefault="00311D18" w:rsidP="003C1988">
            <w:pPr>
              <w:spacing w:after="0"/>
              <w:rPr>
                <w:rFonts w:ascii="Times New Roman" w:hAnsi="Times New Roman" w:cs="Times New Roman"/>
                <w:sz w:val="20"/>
              </w:rPr>
            </w:pPr>
          </w:p>
        </w:tc>
        <w:tc>
          <w:tcPr>
            <w:tcW w:w="3594" w:type="dxa"/>
            <w:vMerge/>
          </w:tcPr>
          <w:p w14:paraId="018EFA0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651A22D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36B6DB6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200C198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133FB9BC"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129A5977"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4666E58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Upowszechnianie dobrych praktyk wpisujących się w światowe standardy prowadzenia terapii zajęciowej</w:t>
            </w:r>
          </w:p>
        </w:tc>
        <w:tc>
          <w:tcPr>
            <w:tcW w:w="2032" w:type="dxa"/>
            <w:vMerge w:val="restart"/>
            <w:shd w:val="clear" w:color="auto" w:fill="FFFFFF" w:themeFill="background1"/>
          </w:tcPr>
          <w:p w14:paraId="747F2CF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4DED459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22948D4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tc>
        <w:tc>
          <w:tcPr>
            <w:tcW w:w="5638" w:type="dxa"/>
            <w:shd w:val="clear" w:color="auto" w:fill="auto"/>
          </w:tcPr>
          <w:p w14:paraId="37FD80B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działań upowszechniających dobre praktyki wpisujące się w światowe standardy prowadzenia terapii zajęciowej</w:t>
            </w:r>
          </w:p>
        </w:tc>
      </w:tr>
      <w:tr w:rsidR="005F3D4B" w:rsidRPr="00D24DF9" w14:paraId="792BEC4D"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tcPr>
          <w:p w14:paraId="0EC51F31" w14:textId="77777777" w:rsidR="00311D18" w:rsidRPr="00D24DF9" w:rsidRDefault="00311D18" w:rsidP="003C1988">
            <w:pPr>
              <w:spacing w:after="0"/>
              <w:rPr>
                <w:rFonts w:ascii="Times New Roman" w:hAnsi="Times New Roman" w:cs="Times New Roman"/>
                <w:sz w:val="20"/>
              </w:rPr>
            </w:pPr>
          </w:p>
        </w:tc>
        <w:tc>
          <w:tcPr>
            <w:tcW w:w="3594" w:type="dxa"/>
            <w:vMerge/>
          </w:tcPr>
          <w:p w14:paraId="3B4A4FA0"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2CDD8923"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49E2DFA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1FAADEA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3331ED04"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shd w:val="clear" w:color="auto" w:fill="auto"/>
            <w:textDirection w:val="btLr"/>
          </w:tcPr>
          <w:p w14:paraId="2515450E" w14:textId="77777777" w:rsidR="00311D18" w:rsidRPr="00D24DF9" w:rsidRDefault="00311D18" w:rsidP="003C1988">
            <w:pPr>
              <w:pStyle w:val="Kolorowalistaakcent11"/>
              <w:spacing w:after="0"/>
              <w:ind w:left="113" w:right="113"/>
              <w:rPr>
                <w:rFonts w:ascii="Times New Roman" w:eastAsia="MS Mincho" w:hAnsi="Times New Roman"/>
                <w:b w:val="0"/>
                <w:sz w:val="20"/>
              </w:rPr>
            </w:pPr>
            <w:r w:rsidRPr="00D24DF9">
              <w:rPr>
                <w:rFonts w:ascii="Times New Roman" w:eastAsia="MS Mincho" w:hAnsi="Times New Roman"/>
                <w:sz w:val="20"/>
              </w:rPr>
              <w:lastRenderedPageBreak/>
              <w:t>Obszar II</w:t>
            </w:r>
          </w:p>
        </w:tc>
        <w:tc>
          <w:tcPr>
            <w:tcW w:w="3594" w:type="dxa"/>
            <w:vMerge w:val="restart"/>
          </w:tcPr>
          <w:p w14:paraId="3C06DFF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Stworzenie warunków sprzyjających utworzeniu w ramach „Sieci szpitali” </w:t>
            </w:r>
            <w:r w:rsidRPr="00D24DF9">
              <w:rPr>
                <w:rFonts w:ascii="Times New Roman" w:eastAsia="MS Mincho" w:hAnsi="Times New Roman"/>
                <w:sz w:val="20"/>
              </w:rPr>
              <w:br/>
              <w:t>we wszystkich województwach oddziałów geriatrycznych w szczególności w powiązaniu z rozwojem ośrodków kształcenia lekarzy specjalistów w dziedzinie geriatrii</w:t>
            </w:r>
          </w:p>
        </w:tc>
        <w:tc>
          <w:tcPr>
            <w:tcW w:w="2032" w:type="dxa"/>
            <w:vMerge w:val="restart"/>
            <w:shd w:val="clear" w:color="auto" w:fill="FFFFFF" w:themeFill="background1"/>
          </w:tcPr>
          <w:p w14:paraId="6ECAAAD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shd w:val="clear" w:color="auto" w:fill="FFFFFF" w:themeFill="background1"/>
          </w:tcPr>
          <w:p w14:paraId="70090F6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26A215F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działań mających na celu stworzenie warunków sprzyjających utworzeniu w ramach „Sieci szpitali” we wszystkich województwach oddziałów geriatrycznych w szczególności w powiązaniu z rozwojem ośrodków kształcenia lekarzy specjalistów w dziedzinie geriatrii</w:t>
            </w:r>
          </w:p>
        </w:tc>
      </w:tr>
      <w:tr w:rsidR="005F3D4B" w:rsidRPr="00D24DF9" w14:paraId="29D3682D" w14:textId="77777777" w:rsidTr="004D48DD">
        <w:trPr>
          <w:trHeight w:val="68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auto"/>
          </w:tcPr>
          <w:p w14:paraId="1D5E7A16" w14:textId="77777777" w:rsidR="00311D18" w:rsidRPr="00D24DF9" w:rsidRDefault="00311D18" w:rsidP="003C1988">
            <w:pPr>
              <w:spacing w:after="0"/>
              <w:rPr>
                <w:rFonts w:ascii="Times New Roman" w:hAnsi="Times New Roman" w:cs="Times New Roman"/>
                <w:sz w:val="20"/>
              </w:rPr>
            </w:pPr>
          </w:p>
        </w:tc>
        <w:tc>
          <w:tcPr>
            <w:tcW w:w="3594" w:type="dxa"/>
            <w:vMerge/>
          </w:tcPr>
          <w:p w14:paraId="4C7E6A5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28C28F5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4B016FC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112A964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219F0B19"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auto"/>
          </w:tcPr>
          <w:p w14:paraId="2E50460A"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589BB03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Wdrożenie działań prawnych, ukierunkowanych na możliwość funkcjonowania interdyscyplinarnych zespołów geriatrycznych o charakterze konsultacyjnym</w:t>
            </w:r>
          </w:p>
        </w:tc>
        <w:tc>
          <w:tcPr>
            <w:tcW w:w="2032" w:type="dxa"/>
            <w:vMerge w:val="restart"/>
            <w:shd w:val="clear" w:color="auto" w:fill="FFFFFF" w:themeFill="background1"/>
          </w:tcPr>
          <w:p w14:paraId="67C526B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shd w:val="clear" w:color="auto" w:fill="FFFFFF" w:themeFill="background1"/>
          </w:tcPr>
          <w:p w14:paraId="116B45C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5B608A1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wdrożonych działań prawnych ukierunkowanych na możliwość funkcjonowania interdyscyplinarnych zespołów geriatrycznych o charakterze konsultacyjnym</w:t>
            </w:r>
          </w:p>
        </w:tc>
      </w:tr>
      <w:tr w:rsidR="005F3D4B" w:rsidRPr="00D24DF9" w14:paraId="0CD67EC5"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auto"/>
          </w:tcPr>
          <w:p w14:paraId="6D797706" w14:textId="77777777" w:rsidR="00311D18" w:rsidRPr="00D24DF9" w:rsidRDefault="00311D18" w:rsidP="003C1988">
            <w:pPr>
              <w:spacing w:after="0"/>
              <w:rPr>
                <w:rFonts w:ascii="Times New Roman" w:hAnsi="Times New Roman" w:cs="Times New Roman"/>
                <w:sz w:val="20"/>
              </w:rPr>
            </w:pPr>
          </w:p>
        </w:tc>
        <w:tc>
          <w:tcPr>
            <w:tcW w:w="3594" w:type="dxa"/>
            <w:vMerge/>
          </w:tcPr>
          <w:p w14:paraId="67D8232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69CA7B3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17E6EA1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10AE614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4CD526A7"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auto"/>
          </w:tcPr>
          <w:p w14:paraId="1BC9F1DB"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2D50316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Wdrożenie właściwej kompleksowej rehabilitacji: medycznej, społecznej </w:t>
            </w:r>
            <w:r w:rsidRPr="00D24DF9">
              <w:rPr>
                <w:rFonts w:ascii="Times New Roman" w:eastAsia="MS Mincho" w:hAnsi="Times New Roman"/>
                <w:sz w:val="20"/>
              </w:rPr>
              <w:br/>
              <w:t xml:space="preserve">i zawodowej zarówno w instytucjach, </w:t>
            </w:r>
            <w:r w:rsidRPr="00D24DF9">
              <w:rPr>
                <w:rFonts w:ascii="Times New Roman" w:eastAsia="MS Mincho" w:hAnsi="Times New Roman"/>
                <w:sz w:val="20"/>
              </w:rPr>
              <w:br/>
              <w:t>jak i w formie środowiskowej</w:t>
            </w:r>
          </w:p>
        </w:tc>
        <w:tc>
          <w:tcPr>
            <w:tcW w:w="2032" w:type="dxa"/>
            <w:vMerge w:val="restart"/>
            <w:shd w:val="clear" w:color="auto" w:fill="FFFFFF" w:themeFill="background1"/>
          </w:tcPr>
          <w:p w14:paraId="78851EC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shd w:val="clear" w:color="auto" w:fill="FFFFFF" w:themeFill="background1"/>
          </w:tcPr>
          <w:p w14:paraId="25F9AB2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7626E2B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działań mających na celu wdrożenie właściwej kompleksowej rehabilitacji: medycznej, społecznej i zawodowej zarówno w instytucjach, jak i w formie środowiskowej</w:t>
            </w:r>
          </w:p>
        </w:tc>
      </w:tr>
      <w:tr w:rsidR="005F3D4B" w:rsidRPr="00D24DF9" w14:paraId="51C86EEA"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auto"/>
          </w:tcPr>
          <w:p w14:paraId="2838C549" w14:textId="77777777" w:rsidR="00311D18" w:rsidRPr="00D24DF9" w:rsidRDefault="00311D18" w:rsidP="003C1988">
            <w:pPr>
              <w:spacing w:after="0"/>
              <w:rPr>
                <w:rFonts w:ascii="Times New Roman" w:hAnsi="Times New Roman" w:cs="Times New Roman"/>
                <w:sz w:val="20"/>
              </w:rPr>
            </w:pPr>
          </w:p>
        </w:tc>
        <w:tc>
          <w:tcPr>
            <w:tcW w:w="3594" w:type="dxa"/>
            <w:vMerge/>
          </w:tcPr>
          <w:p w14:paraId="24F55B9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73C749B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3F6371C8"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6510D50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7B93CF99" w14:textId="77777777" w:rsidTr="004D48DD">
        <w:trPr>
          <w:cnfStyle w:val="000000100000" w:firstRow="0" w:lastRow="0" w:firstColumn="0" w:lastColumn="0" w:oddVBand="0" w:evenVBand="0" w:oddHBand="1" w:evenHBand="0" w:firstRowFirstColumn="0" w:firstRowLastColumn="0" w:lastRowFirstColumn="0" w:lastRowLastColumn="0"/>
          <w:trHeight w:val="386"/>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auto"/>
          </w:tcPr>
          <w:p w14:paraId="1153E1E6"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5A0DF4B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Opracowanie programu działań skierowanych do osób starszych chorych na choroby otępienne</w:t>
            </w:r>
          </w:p>
        </w:tc>
        <w:tc>
          <w:tcPr>
            <w:tcW w:w="2032" w:type="dxa"/>
            <w:vMerge w:val="restart"/>
            <w:shd w:val="clear" w:color="auto" w:fill="FFFFFF" w:themeFill="background1"/>
          </w:tcPr>
          <w:p w14:paraId="647116B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p w14:paraId="61818AA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41B1F60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2018-2025</w:t>
            </w:r>
          </w:p>
        </w:tc>
        <w:tc>
          <w:tcPr>
            <w:tcW w:w="5638" w:type="dxa"/>
            <w:shd w:val="clear" w:color="auto" w:fill="auto"/>
          </w:tcPr>
          <w:p w14:paraId="6338229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Opracowanie programu działań skierowanych do osób starszych chorych na choroby otępienne</w:t>
            </w:r>
          </w:p>
        </w:tc>
      </w:tr>
      <w:tr w:rsidR="005F3D4B" w:rsidRPr="00D24DF9" w14:paraId="1C548C41"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auto"/>
          </w:tcPr>
          <w:p w14:paraId="70900B21" w14:textId="77777777" w:rsidR="00311D18" w:rsidRPr="00D24DF9" w:rsidRDefault="00311D18" w:rsidP="003C1988">
            <w:pPr>
              <w:spacing w:after="0"/>
              <w:rPr>
                <w:rFonts w:ascii="Times New Roman" w:hAnsi="Times New Roman" w:cs="Times New Roman"/>
                <w:sz w:val="20"/>
              </w:rPr>
            </w:pPr>
          </w:p>
        </w:tc>
        <w:tc>
          <w:tcPr>
            <w:tcW w:w="3594" w:type="dxa"/>
            <w:vMerge/>
          </w:tcPr>
          <w:p w14:paraId="6107D63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04B1E51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37AF109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521BDA73" w14:textId="77777777" w:rsidR="00592EF4" w:rsidRPr="00592EF4" w:rsidRDefault="00592EF4"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sz w:val="20"/>
                <w:szCs w:val="20"/>
              </w:rPr>
            </w:pPr>
            <w:r w:rsidRPr="00592EF4">
              <w:rPr>
                <w:rFonts w:ascii="Times New Roman" w:eastAsia="MS Mincho" w:hAnsi="Times New Roman" w:cs="Times New Roman"/>
                <w:bCs/>
                <w:sz w:val="20"/>
                <w:szCs w:val="20"/>
              </w:rPr>
              <w:t xml:space="preserve">W MZ prowadzone są wstępne prace w zakresie opracowania programu działań dedykowanych osobom chorym na choroby otępienne. </w:t>
            </w:r>
          </w:p>
          <w:p w14:paraId="11986212" w14:textId="77777777" w:rsidR="00592EF4" w:rsidRPr="00592EF4" w:rsidRDefault="00592EF4"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sz w:val="20"/>
                <w:szCs w:val="20"/>
              </w:rPr>
            </w:pPr>
          </w:p>
          <w:p w14:paraId="1DF6FC6C" w14:textId="77777777" w:rsidR="00592EF4" w:rsidRPr="00592EF4" w:rsidRDefault="00592EF4"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sz w:val="20"/>
                <w:szCs w:val="20"/>
              </w:rPr>
            </w:pPr>
            <w:r w:rsidRPr="00592EF4">
              <w:rPr>
                <w:rFonts w:ascii="Times New Roman" w:eastAsia="MS Mincho" w:hAnsi="Times New Roman" w:cs="Times New Roman"/>
                <w:bCs/>
                <w:sz w:val="20"/>
                <w:szCs w:val="20"/>
              </w:rPr>
              <w:t xml:space="preserve">Należy również podkreślić, że przedstawiciele MZ uczestniczą w pracach </w:t>
            </w:r>
            <w:r w:rsidRPr="00592EF4">
              <w:rPr>
                <w:bCs/>
                <w:sz w:val="20"/>
                <w:szCs w:val="20"/>
              </w:rPr>
              <w:t xml:space="preserve"> </w:t>
            </w:r>
            <w:r w:rsidRPr="00592EF4">
              <w:rPr>
                <w:rFonts w:ascii="Times New Roman" w:eastAsia="MS Mincho" w:hAnsi="Times New Roman" w:cs="Times New Roman"/>
                <w:b/>
                <w:sz w:val="20"/>
                <w:szCs w:val="20"/>
              </w:rPr>
              <w:t>Europejskiej Grupy Ekspertów Rządowych ds. Demencji.</w:t>
            </w:r>
          </w:p>
          <w:p w14:paraId="273E7156" w14:textId="77777777" w:rsidR="00592EF4" w:rsidRPr="00592EF4" w:rsidRDefault="00592EF4"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sz w:val="20"/>
                <w:szCs w:val="20"/>
                <w:u w:val="single"/>
              </w:rPr>
            </w:pPr>
          </w:p>
          <w:p w14:paraId="218EA944" w14:textId="77777777" w:rsidR="00592EF4" w:rsidRPr="00592EF4" w:rsidRDefault="00592EF4"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sz w:val="20"/>
                <w:szCs w:val="20"/>
              </w:rPr>
            </w:pPr>
            <w:r w:rsidRPr="00592EF4">
              <w:rPr>
                <w:rFonts w:ascii="Times New Roman" w:eastAsia="MS Mincho" w:hAnsi="Times New Roman" w:cs="Times New Roman"/>
                <w:bCs/>
                <w:sz w:val="20"/>
                <w:szCs w:val="20"/>
              </w:rPr>
              <w:t xml:space="preserve">Jednocześnie na początku 2020 r. powołany został </w:t>
            </w:r>
            <w:r w:rsidRPr="00592EF4">
              <w:rPr>
                <w:rFonts w:ascii="Times New Roman" w:eastAsia="MS Mincho" w:hAnsi="Times New Roman" w:cs="Times New Roman"/>
                <w:b/>
                <w:sz w:val="20"/>
                <w:szCs w:val="20"/>
              </w:rPr>
              <w:t>Zespół do spraw  Zdrowotnej Polityki Senioralnej</w:t>
            </w:r>
            <w:r w:rsidRPr="00592EF4">
              <w:rPr>
                <w:rFonts w:ascii="Times New Roman" w:eastAsia="MS Mincho" w:hAnsi="Times New Roman" w:cs="Times New Roman"/>
                <w:bCs/>
                <w:sz w:val="20"/>
                <w:szCs w:val="20"/>
              </w:rPr>
              <w:t xml:space="preserve">,  stanowiący organ opiniodawczo-doradczy Ministra Zdrowia.  </w:t>
            </w:r>
          </w:p>
          <w:p w14:paraId="790051F1" w14:textId="77777777" w:rsidR="00311D18" w:rsidRPr="00592EF4" w:rsidRDefault="00592EF4"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sz w:val="20"/>
                <w:szCs w:val="20"/>
                <w:u w:val="single"/>
              </w:rPr>
            </w:pPr>
            <w:r w:rsidRPr="00592EF4">
              <w:rPr>
                <w:rFonts w:ascii="Times New Roman" w:eastAsia="MS Mincho" w:hAnsi="Times New Roman" w:cs="Times New Roman"/>
                <w:bCs/>
                <w:sz w:val="20"/>
                <w:szCs w:val="20"/>
              </w:rPr>
              <w:lastRenderedPageBreak/>
              <w:t xml:space="preserve">Do zadań Zespołu należy m.in. przygotowywaniem opinii, rekomendacji lub zaleceń w sprawach z zakresu zdrowotnej polityki senioralnej, a także zgłaszanie i opiniowanie propozycji strategii, programów, planów i działań z zakresu opieki zdrowotnej dedykowanych osobom starszym, co ma umożliwić opracowanie rozwiązań w jak największym stopniu odpowiadających na potrzeby starzejącego się społeczeństwa, w tym </w:t>
            </w:r>
            <w:r w:rsidRPr="00592EF4">
              <w:rPr>
                <w:rFonts w:ascii="Times New Roman" w:eastAsia="MS Mincho" w:hAnsi="Times New Roman" w:cs="Times New Roman"/>
                <w:b/>
                <w:sz w:val="20"/>
                <w:szCs w:val="20"/>
              </w:rPr>
              <w:t>osobom chorym na choroby otępienne.</w:t>
            </w:r>
            <w:r w:rsidRPr="00592EF4">
              <w:rPr>
                <w:rFonts w:ascii="Times New Roman" w:eastAsia="MS Mincho" w:hAnsi="Times New Roman" w:cs="Times New Roman"/>
                <w:bCs/>
                <w:sz w:val="20"/>
                <w:szCs w:val="20"/>
                <w:u w:val="single"/>
              </w:rPr>
              <w:t xml:space="preserve"> </w:t>
            </w:r>
          </w:p>
        </w:tc>
      </w:tr>
      <w:tr w:rsidR="005F3D4B" w:rsidRPr="00D24DF9" w14:paraId="72C10F97" w14:textId="77777777" w:rsidTr="004D48DD">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auto"/>
          </w:tcPr>
          <w:p w14:paraId="72955D45"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6728211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Prowadzenie kampanii edukacyjnych </w:t>
            </w:r>
            <w:r w:rsidRPr="00D24DF9">
              <w:rPr>
                <w:rFonts w:ascii="Times New Roman" w:eastAsia="MS Mincho" w:hAnsi="Times New Roman"/>
                <w:sz w:val="20"/>
              </w:rPr>
              <w:br/>
              <w:t>na temat chorób otępiennych</w:t>
            </w:r>
          </w:p>
        </w:tc>
        <w:tc>
          <w:tcPr>
            <w:tcW w:w="2032" w:type="dxa"/>
            <w:vMerge w:val="restart"/>
            <w:shd w:val="clear" w:color="auto" w:fill="FFFFFF" w:themeFill="background1"/>
          </w:tcPr>
          <w:p w14:paraId="098A677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p w14:paraId="1DB0209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08DF0AF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tc>
        <w:tc>
          <w:tcPr>
            <w:tcW w:w="5638" w:type="dxa"/>
            <w:shd w:val="clear" w:color="auto" w:fill="auto"/>
          </w:tcPr>
          <w:p w14:paraId="6FB44B7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przeprowadzonych kampanii edukacyjnych na temat chorób otępiennych</w:t>
            </w:r>
          </w:p>
        </w:tc>
      </w:tr>
      <w:tr w:rsidR="005F3D4B" w:rsidRPr="00D24DF9" w14:paraId="6CE1A74E"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auto"/>
          </w:tcPr>
          <w:p w14:paraId="73800691" w14:textId="77777777" w:rsidR="00311D18" w:rsidRPr="00D24DF9" w:rsidRDefault="00311D18" w:rsidP="003C1988">
            <w:pPr>
              <w:spacing w:after="0"/>
              <w:rPr>
                <w:rFonts w:ascii="Times New Roman" w:hAnsi="Times New Roman" w:cs="Times New Roman"/>
                <w:sz w:val="20"/>
              </w:rPr>
            </w:pPr>
          </w:p>
        </w:tc>
        <w:tc>
          <w:tcPr>
            <w:tcW w:w="3594" w:type="dxa"/>
            <w:vMerge/>
          </w:tcPr>
          <w:p w14:paraId="1188EC7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4CE4CB4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00573D2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2DD2039F"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7666CFDD"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auto"/>
          </w:tcPr>
          <w:p w14:paraId="27DC3A92"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46BFC7C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Opracowanie i ujednolicenie sposobów postępowania podmiotów świadczących pomoc niesamodzielnym osobom starszym, według przyjętych wzorców, które oparte są na wynikach badań i dają możliwość uzyskania podobnych rezultatów działań w różnych placówkach pomocowych i w opiece domowej</w:t>
            </w:r>
          </w:p>
        </w:tc>
        <w:tc>
          <w:tcPr>
            <w:tcW w:w="2032" w:type="dxa"/>
            <w:vMerge w:val="restart"/>
            <w:shd w:val="clear" w:color="auto" w:fill="FFFFFF" w:themeFill="background1"/>
          </w:tcPr>
          <w:p w14:paraId="46602E3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72D965F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1929B63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703FE44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5E2617AA"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Opracowanie jednolitych sposobów postępowania podmiotów świadczących pomoc niesamodzielnym osobom starszym</w:t>
            </w:r>
          </w:p>
        </w:tc>
      </w:tr>
      <w:tr w:rsidR="005F3D4B" w:rsidRPr="00D24DF9" w14:paraId="50725881"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auto"/>
          </w:tcPr>
          <w:p w14:paraId="61413BD5" w14:textId="77777777" w:rsidR="00311D18" w:rsidRPr="00D24DF9" w:rsidRDefault="00311D18" w:rsidP="003C1988">
            <w:pPr>
              <w:spacing w:after="0"/>
              <w:rPr>
                <w:rFonts w:ascii="Times New Roman" w:hAnsi="Times New Roman" w:cs="Times New Roman"/>
                <w:sz w:val="20"/>
              </w:rPr>
            </w:pPr>
          </w:p>
        </w:tc>
        <w:tc>
          <w:tcPr>
            <w:tcW w:w="3594" w:type="dxa"/>
            <w:vMerge/>
          </w:tcPr>
          <w:p w14:paraId="1EA13F9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2B12065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6D8AC43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7F969F83" w14:textId="77777777" w:rsidR="00311D18" w:rsidRPr="00D24DF9" w:rsidRDefault="008E0752"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W 2019 r. zakończyła się w ramach PO WER realizacja projektu Instytutu Pracy i Spraw Socjalnych pn. „Profesjonalizacja usług asystenckich i opiekuńczych dla osób niesamodzielnych – nowe standardy kształcenia i opieki”,  który miał na celu profesjonalizację opieki nad niesamodzielnymi seniorami poprzez wypracowanie jednolitej definicji niesamodzielności, stopni niesamodzielności i standardów usług asystenckich i opiekuńczych, w tym teleopieki, świadczonych w miejscu zamieszkania. Wypracowano 3 standardy kształcenia usług asystenckich i opiekuńczych oraz 3 standardy usług asystenckich i opiekuńczych. W szkoleniach w zakresie ww. usług zgodnie z opracowanymi w projekcie standardami wzięło udział blisko 380 osób.</w:t>
            </w:r>
          </w:p>
        </w:tc>
      </w:tr>
      <w:tr w:rsidR="005F3D4B" w:rsidRPr="00D24DF9" w14:paraId="60C7BDB0"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shd w:val="clear" w:color="auto" w:fill="FFFFFF" w:themeFill="background1"/>
            <w:textDirection w:val="btLr"/>
          </w:tcPr>
          <w:p w14:paraId="4DBA26B4" w14:textId="77777777" w:rsidR="00311D18" w:rsidRPr="00D24DF9" w:rsidRDefault="00311D18" w:rsidP="003C1988">
            <w:pPr>
              <w:spacing w:after="0"/>
              <w:ind w:left="113" w:right="113"/>
              <w:rPr>
                <w:rFonts w:ascii="Times New Roman" w:eastAsia="MS Mincho" w:hAnsi="Times New Roman" w:cs="Times New Roman"/>
                <w:sz w:val="20"/>
              </w:rPr>
            </w:pPr>
            <w:r w:rsidRPr="00D24DF9">
              <w:rPr>
                <w:rFonts w:ascii="Times New Roman" w:eastAsia="MS Mincho" w:hAnsi="Times New Roman" w:cs="Times New Roman"/>
                <w:sz w:val="20"/>
              </w:rPr>
              <w:t>Obszar III</w:t>
            </w:r>
          </w:p>
        </w:tc>
        <w:tc>
          <w:tcPr>
            <w:tcW w:w="3594" w:type="dxa"/>
            <w:vMerge w:val="restart"/>
          </w:tcPr>
          <w:p w14:paraId="796B990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Opracowanie i przetestowanie jednolitego systemu oceny niesamodzielności osób </w:t>
            </w:r>
            <w:r w:rsidRPr="00D24DF9">
              <w:rPr>
                <w:rFonts w:ascii="Times New Roman" w:eastAsia="MS Mincho" w:hAnsi="Times New Roman"/>
                <w:sz w:val="20"/>
              </w:rPr>
              <w:lastRenderedPageBreak/>
              <w:t>starszych w oparciu o kryteria międzynarodowej klasyfikacji ICF</w:t>
            </w:r>
          </w:p>
        </w:tc>
        <w:tc>
          <w:tcPr>
            <w:tcW w:w="2032" w:type="dxa"/>
            <w:vMerge w:val="restart"/>
            <w:shd w:val="clear" w:color="auto" w:fill="FFFFFF" w:themeFill="background1"/>
          </w:tcPr>
          <w:p w14:paraId="2FDBD43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 xml:space="preserve">Ministerstwo Rodziny, Pracy </w:t>
            </w:r>
            <w:r w:rsidRPr="00D24DF9">
              <w:rPr>
                <w:rFonts w:ascii="Times New Roman" w:eastAsia="MS Mincho" w:hAnsi="Times New Roman"/>
                <w:sz w:val="20"/>
              </w:rPr>
              <w:br/>
              <w:t>i Polityki Społecznej</w:t>
            </w:r>
          </w:p>
          <w:p w14:paraId="1F689D3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0B63338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77BC638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2018-2020</w:t>
            </w:r>
          </w:p>
        </w:tc>
        <w:tc>
          <w:tcPr>
            <w:tcW w:w="5638" w:type="dxa"/>
            <w:shd w:val="clear" w:color="auto" w:fill="auto"/>
          </w:tcPr>
          <w:p w14:paraId="1143600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Opracowanie i przetestowanie jednolitego systemu oceny niesamodzielności osób starszych w oparciu o kryteria międzynarodowej klasyfikacji ICF</w:t>
            </w:r>
          </w:p>
        </w:tc>
      </w:tr>
      <w:tr w:rsidR="005F3D4B" w:rsidRPr="00D24DF9" w14:paraId="5407F5E6"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69C4FE46" w14:textId="77777777" w:rsidR="00311D18" w:rsidRPr="00D24DF9" w:rsidRDefault="00311D18" w:rsidP="003C1988">
            <w:pPr>
              <w:spacing w:after="0"/>
              <w:rPr>
                <w:rFonts w:ascii="Times New Roman" w:hAnsi="Times New Roman" w:cs="Times New Roman"/>
                <w:sz w:val="20"/>
              </w:rPr>
            </w:pPr>
          </w:p>
        </w:tc>
        <w:tc>
          <w:tcPr>
            <w:tcW w:w="3594" w:type="dxa"/>
            <w:vMerge/>
          </w:tcPr>
          <w:p w14:paraId="455BAE8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694253F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309D1BE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16444496" w14:textId="77777777" w:rsidR="00311D18" w:rsidRPr="00D24DF9" w:rsidRDefault="00E75FED"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Patrz – zawarty powyżej opis projektu „Profesjonalizacja usług asystenckich i opiekuńczych dla osób niesamodzielnych – nowe standardy kształcenia i opieki”.</w:t>
            </w:r>
          </w:p>
        </w:tc>
      </w:tr>
      <w:tr w:rsidR="005F3D4B" w:rsidRPr="00D24DF9" w14:paraId="58B437D1" w14:textId="77777777" w:rsidTr="004D48DD">
        <w:trPr>
          <w:cnfStyle w:val="000000100000" w:firstRow="0" w:lastRow="0" w:firstColumn="0" w:lastColumn="0" w:oddVBand="0" w:evenVBand="0" w:oddHBand="1"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5071565D"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270B178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Opracowanie standardów kształcenia </w:t>
            </w:r>
            <w:r w:rsidRPr="00D24DF9">
              <w:rPr>
                <w:rFonts w:ascii="Times New Roman" w:eastAsia="MS Mincho" w:hAnsi="Times New Roman"/>
                <w:sz w:val="20"/>
              </w:rPr>
              <w:br/>
              <w:t>i świadczenia w usługach asystenckich i opiekuńczych świadczonych na rzecz osób starszych o różnym stopniu niesamodzielności</w:t>
            </w:r>
          </w:p>
        </w:tc>
        <w:tc>
          <w:tcPr>
            <w:tcW w:w="2032" w:type="dxa"/>
            <w:vMerge w:val="restart"/>
            <w:shd w:val="clear" w:color="auto" w:fill="FFFFFF" w:themeFill="background1"/>
          </w:tcPr>
          <w:p w14:paraId="6F91BB6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44CE5A5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3B6BCCC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319C226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4DE1562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opracowanych standardów kształcenia w usługach asystenckich i opiekuńczych świadczonych na rzecz osób starszych o różnym stopniu niesamodzielności</w:t>
            </w:r>
          </w:p>
        </w:tc>
      </w:tr>
      <w:tr w:rsidR="005F3D4B" w:rsidRPr="00D24DF9" w14:paraId="70F7FC30"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14CE389A" w14:textId="77777777" w:rsidR="00311D18" w:rsidRPr="00D24DF9" w:rsidRDefault="00311D18" w:rsidP="003C1988">
            <w:pPr>
              <w:spacing w:after="0"/>
              <w:rPr>
                <w:rFonts w:ascii="Times New Roman" w:hAnsi="Times New Roman" w:cs="Times New Roman"/>
                <w:sz w:val="20"/>
              </w:rPr>
            </w:pPr>
          </w:p>
        </w:tc>
        <w:tc>
          <w:tcPr>
            <w:tcW w:w="3594" w:type="dxa"/>
            <w:vMerge/>
          </w:tcPr>
          <w:p w14:paraId="465E201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240222B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00FBADB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52430A89" w14:textId="77777777" w:rsidR="00311D18" w:rsidRPr="00D24DF9" w:rsidRDefault="00E75FED"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Patrz – zawarty powyżej opis projektu „Profesjonalizacja usług asystenckich i opiekuńczych dla osób niesamodzielnych – nowe standardy kształcenia i opieki”.</w:t>
            </w:r>
          </w:p>
        </w:tc>
      </w:tr>
      <w:tr w:rsidR="005F3D4B" w:rsidRPr="00D24DF9" w14:paraId="166A2028" w14:textId="77777777" w:rsidTr="004D48DD">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7492C19C"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3D1A676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Opracowanie standardów opieki dla osób z zespołami otępiennymi, w tym opieki domowej</w:t>
            </w:r>
          </w:p>
        </w:tc>
        <w:tc>
          <w:tcPr>
            <w:tcW w:w="2032" w:type="dxa"/>
            <w:vMerge w:val="restart"/>
            <w:shd w:val="clear" w:color="auto" w:fill="FFFFFF" w:themeFill="background1"/>
          </w:tcPr>
          <w:p w14:paraId="38FD72E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shd w:val="clear" w:color="auto" w:fill="FFFFFF" w:themeFill="background1"/>
          </w:tcPr>
          <w:p w14:paraId="6E2E8A6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0A811E0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opracowanych standardów opieki dla osób z zespołami otępiennymi, w tym opieki domowej</w:t>
            </w:r>
          </w:p>
        </w:tc>
      </w:tr>
      <w:tr w:rsidR="005F3D4B" w:rsidRPr="00D24DF9" w14:paraId="44C65452"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00604CB1" w14:textId="77777777" w:rsidR="00311D18" w:rsidRPr="00D24DF9" w:rsidRDefault="00311D18" w:rsidP="003C1988">
            <w:pPr>
              <w:spacing w:after="0"/>
              <w:rPr>
                <w:rFonts w:ascii="Times New Roman" w:hAnsi="Times New Roman" w:cs="Times New Roman"/>
                <w:sz w:val="20"/>
              </w:rPr>
            </w:pPr>
          </w:p>
        </w:tc>
        <w:tc>
          <w:tcPr>
            <w:tcW w:w="3594" w:type="dxa"/>
            <w:vMerge/>
          </w:tcPr>
          <w:p w14:paraId="096AD19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61F70C3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5D9C359E"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4CC1E04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01A4F8C1" w14:textId="77777777" w:rsidTr="004D48DD">
        <w:trPr>
          <w:cnfStyle w:val="000000100000" w:firstRow="0" w:lastRow="0" w:firstColumn="0" w:lastColumn="0" w:oddVBand="0" w:evenVBand="0" w:oddHBand="1" w:evenHBand="0" w:firstRowFirstColumn="0" w:firstRowLastColumn="0" w:lastRowFirstColumn="0" w:lastRowLastColumn="0"/>
          <w:trHeight w:val="205"/>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079D94AD"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435D5DE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Rozwój różnorodnych form opieki dziennej, w tym:</w:t>
            </w:r>
          </w:p>
          <w:p w14:paraId="6FE760F2" w14:textId="77777777" w:rsidR="00311D18" w:rsidRPr="00D24DF9" w:rsidRDefault="00311D18" w:rsidP="00B14DF0">
            <w:pPr>
              <w:pStyle w:val="Kolorowalistaakcent11"/>
              <w:numPr>
                <w:ilvl w:val="0"/>
                <w:numId w:val="3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rozwijanie sieci placówek dziennego pobytu i promowanie tworzenia ich w obszarach, na których jeszcze nie funkcjonują;</w:t>
            </w:r>
          </w:p>
          <w:p w14:paraId="1A7F0673" w14:textId="77777777" w:rsidR="00311D18" w:rsidRPr="00D24DF9" w:rsidRDefault="00311D18" w:rsidP="00B14DF0">
            <w:pPr>
              <w:pStyle w:val="Kolorowalistaakcent11"/>
              <w:numPr>
                <w:ilvl w:val="0"/>
                <w:numId w:val="3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propagowanie form opieki dziennej wśród osób starszych nieaktywnych, nieuczestniczących w życiu środowiska lokalnego,</w:t>
            </w:r>
            <w:r w:rsidRPr="00D24DF9">
              <w:rPr>
                <w:rFonts w:ascii="Times New Roman" w:hAnsi="Times New Roman"/>
                <w:sz w:val="20"/>
              </w:rPr>
              <w:t xml:space="preserve"> </w:t>
            </w:r>
            <w:r w:rsidRPr="00D24DF9">
              <w:rPr>
                <w:rFonts w:ascii="Times New Roman" w:eastAsia="MS Mincho" w:hAnsi="Times New Roman"/>
                <w:sz w:val="20"/>
              </w:rPr>
              <w:t xml:space="preserve">w tym o charakterze opiekuńczym </w:t>
            </w:r>
            <w:r w:rsidRPr="00D24DF9">
              <w:rPr>
                <w:rFonts w:ascii="Times New Roman" w:eastAsia="MS Mincho" w:hAnsi="Times New Roman"/>
                <w:sz w:val="20"/>
              </w:rPr>
              <w:br/>
              <w:t xml:space="preserve">(łącznie z opieką wytchnieniową </w:t>
            </w:r>
            <w:r w:rsidRPr="00D24DF9">
              <w:rPr>
                <w:rFonts w:ascii="Times New Roman" w:eastAsia="MS Mincho" w:hAnsi="Times New Roman"/>
                <w:sz w:val="20"/>
              </w:rPr>
              <w:br/>
              <w:t xml:space="preserve">i w czasie oczekiwania na instytucje opieki długoterminowej),oraz wzmacniającym aktywność </w:t>
            </w:r>
            <w:r w:rsidRPr="00D24DF9">
              <w:rPr>
                <w:rFonts w:ascii="Times New Roman" w:eastAsia="MS Mincho" w:hAnsi="Times New Roman"/>
                <w:sz w:val="20"/>
              </w:rPr>
              <w:br/>
              <w:t>i samodzielność;</w:t>
            </w:r>
          </w:p>
          <w:p w14:paraId="162717DC" w14:textId="77777777" w:rsidR="00311D18" w:rsidRPr="00D24DF9" w:rsidRDefault="00311D18" w:rsidP="00B14DF0">
            <w:pPr>
              <w:pStyle w:val="Kolorowalistaakcent11"/>
              <w:numPr>
                <w:ilvl w:val="0"/>
                <w:numId w:val="3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wspieranie systemu wymiany informacji pomiędzy placówkami </w:t>
            </w:r>
            <w:r w:rsidRPr="00D24DF9">
              <w:rPr>
                <w:rFonts w:ascii="Times New Roman" w:eastAsia="MS Mincho" w:hAnsi="Times New Roman"/>
                <w:sz w:val="20"/>
              </w:rPr>
              <w:lastRenderedPageBreak/>
              <w:t>umożliwiającego dzielenie się dobrymi praktykami</w:t>
            </w:r>
          </w:p>
          <w:p w14:paraId="74CB2198" w14:textId="77777777" w:rsidR="00311D18" w:rsidRPr="00D24DF9" w:rsidRDefault="00311D18" w:rsidP="003C1988">
            <w:pPr>
              <w:pStyle w:val="Kolorowalistaakcent11"/>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val="restart"/>
            <w:shd w:val="clear" w:color="auto" w:fill="FFFFFF" w:themeFill="background1"/>
          </w:tcPr>
          <w:p w14:paraId="2FD4B9C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 xml:space="preserve">Ministerstwo Rodziny, Pracy </w:t>
            </w:r>
            <w:r w:rsidRPr="00D24DF9">
              <w:rPr>
                <w:rFonts w:ascii="Times New Roman" w:eastAsia="MS Mincho" w:hAnsi="Times New Roman"/>
                <w:sz w:val="20"/>
              </w:rPr>
              <w:br/>
              <w:t>i Polityki Społecznej</w:t>
            </w:r>
          </w:p>
          <w:p w14:paraId="0EE8075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766EA51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0DBF5ED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funkcjonujących placówek opieki dziennej</w:t>
            </w:r>
          </w:p>
        </w:tc>
      </w:tr>
      <w:tr w:rsidR="005F3D4B" w:rsidRPr="00D24DF9" w14:paraId="29C7E0E1"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30E7B784" w14:textId="77777777" w:rsidR="00311D18" w:rsidRPr="00D24DF9" w:rsidRDefault="00311D18" w:rsidP="003C1988">
            <w:pPr>
              <w:spacing w:after="0"/>
              <w:rPr>
                <w:rFonts w:ascii="Times New Roman" w:hAnsi="Times New Roman" w:cs="Times New Roman"/>
                <w:sz w:val="20"/>
              </w:rPr>
            </w:pPr>
          </w:p>
        </w:tc>
        <w:tc>
          <w:tcPr>
            <w:tcW w:w="3594" w:type="dxa"/>
            <w:vMerge/>
          </w:tcPr>
          <w:p w14:paraId="44780DA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4CB0CF0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3603B575"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475528E3" w14:textId="77777777" w:rsidR="00C11ED8" w:rsidRPr="00D24DF9" w:rsidRDefault="00C11ED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W RPO ze środków EFS rozwijane są usługi opiekuńcze w miejscu zamieszkania w ramach PI 9iv </w:t>
            </w:r>
            <w:r w:rsidRPr="00D24DF9">
              <w:rPr>
                <w:rFonts w:ascii="Times New Roman" w:eastAsia="MS Mincho" w:hAnsi="Times New Roman" w:cs="Times New Roman"/>
                <w:i/>
                <w:sz w:val="20"/>
              </w:rPr>
              <w:t>Ułatwianie dostępu do przystępnych cenowo, trwałych oraz wysokiej jakości usług, w tym opieki zdrowotnej i usług socjalnych świadczonych w interesie ogólnym</w:t>
            </w:r>
            <w:r w:rsidRPr="00D24DF9">
              <w:rPr>
                <w:rFonts w:ascii="Times New Roman" w:eastAsia="MS Mincho" w:hAnsi="Times New Roman" w:cs="Times New Roman"/>
                <w:sz w:val="20"/>
              </w:rPr>
              <w:t xml:space="preserve">. Wsparcie dla usług opiekuńczych prowadzi każdorazowo do zwiększenia liczby miejsc świadczenia usług opiekuńczych w społeczności lokalnej oraz liczby osób objętych usługami opiekuńczymi świadczonymi w społeczności lokalnej. Zwiększanie liczby miejsc świadczenia usług opiekuńczych odbywa się poprzez zwiększanie liczby opiekunów świadczących usługi. Zwiększanie liczby miejsc świadczenia usług opiekuńczych w formach stacjonarnych odbywa się poprzez tworzenie miejsc stałego lub krótkookresowego pobytu dziennego lub stałego lub krótkookresowego pobytu całodobowego w placówkach, w których realizowane są usługi społeczne świadczone w społeczności lokalnej. Miejsca krótkookresowego pobytu służą przede wszystkim poprawie dostępu do usług opiekuńczych w zastępstwie za opiekunów faktycznych w ramach opieki wytchnieniowej. </w:t>
            </w:r>
            <w:r w:rsidRPr="00D24DF9">
              <w:rPr>
                <w:rFonts w:ascii="Times New Roman" w:eastAsia="MS Mincho" w:hAnsi="Times New Roman" w:cs="Times New Roman"/>
                <w:sz w:val="20"/>
              </w:rPr>
              <w:lastRenderedPageBreak/>
              <w:t>Usługi opiekuńcze wspierane w PI 9iv w RPO w formie stacjonarnej opieki dziennej realizowane są m.in. przez dzienne domy pomocy oraz kluby seniora.</w:t>
            </w:r>
          </w:p>
          <w:p w14:paraId="290E6F12" w14:textId="77777777" w:rsidR="00311D18" w:rsidRPr="00D24DF9" w:rsidRDefault="00C11ED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Do końca 2019 r. wsparciem w zakresie usług asystenckich i opiekuńczych w formach zdeinstytucjonalizowanych dofinansowanych z EFS objęto 43 249 osób.</w:t>
            </w:r>
          </w:p>
        </w:tc>
      </w:tr>
      <w:tr w:rsidR="005F3D4B" w:rsidRPr="00D24DF9" w14:paraId="129EC932" w14:textId="77777777" w:rsidTr="004D48DD">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740ADB52"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5F8CD2D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D24DF9">
              <w:rPr>
                <w:rFonts w:ascii="Times New Roman" w:hAnsi="Times New Roman"/>
                <w:sz w:val="20"/>
              </w:rPr>
              <w:t>Rozwijanie sieci gospodarstw opiekuńczych i promowanie tworzenia ich na obszarach wiejskich.</w:t>
            </w:r>
          </w:p>
          <w:p w14:paraId="3881A4A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2032" w:type="dxa"/>
            <w:vMerge w:val="restart"/>
            <w:shd w:val="clear" w:color="auto" w:fill="FFFFFF" w:themeFill="background1"/>
          </w:tcPr>
          <w:p w14:paraId="6095672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Rolnictwa </w:t>
            </w:r>
            <w:r w:rsidRPr="00D24DF9">
              <w:rPr>
                <w:rFonts w:ascii="Times New Roman" w:eastAsia="MS Mincho" w:hAnsi="Times New Roman"/>
                <w:sz w:val="20"/>
              </w:rPr>
              <w:br/>
              <w:t>i Rozwoju Wsi</w:t>
            </w:r>
          </w:p>
        </w:tc>
        <w:tc>
          <w:tcPr>
            <w:tcW w:w="1500" w:type="dxa"/>
            <w:vMerge w:val="restart"/>
            <w:shd w:val="clear" w:color="auto" w:fill="FFFFFF" w:themeFill="background1"/>
          </w:tcPr>
          <w:p w14:paraId="5EA2A1D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2026FC0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funkcjonujących gospodarstw opiekuńczych</w:t>
            </w:r>
          </w:p>
        </w:tc>
      </w:tr>
      <w:tr w:rsidR="005F3D4B" w:rsidRPr="00D24DF9" w14:paraId="75844740"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70994F4A" w14:textId="77777777" w:rsidR="00311D18" w:rsidRPr="00D24DF9" w:rsidRDefault="00311D18" w:rsidP="003C1988">
            <w:pPr>
              <w:spacing w:after="0"/>
              <w:rPr>
                <w:rFonts w:ascii="Times New Roman" w:hAnsi="Times New Roman" w:cs="Times New Roman"/>
                <w:sz w:val="20"/>
              </w:rPr>
            </w:pPr>
          </w:p>
        </w:tc>
        <w:tc>
          <w:tcPr>
            <w:tcW w:w="3594" w:type="dxa"/>
            <w:vMerge/>
          </w:tcPr>
          <w:p w14:paraId="4483B8B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0C519DB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321D5F63"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2BE118E1" w14:textId="77777777" w:rsidR="00B974C0" w:rsidRPr="00D24DF9" w:rsidRDefault="00B974C0"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6DD45A7B" w14:textId="77777777" w:rsidTr="004D48DD">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6EAE6872"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33E9C38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D24DF9">
              <w:rPr>
                <w:rFonts w:ascii="Times New Roman" w:hAnsi="Times New Roman"/>
                <w:sz w:val="20"/>
              </w:rPr>
              <w:t>Tworzenie dziennych domów opieki medycznej (DDOM) jako wsparcie medyczne (świadczenia pielęgnacyjne, opiekuńcze i rehabilitacyjne oraz kontynuacja leczenia) osób niesamodzielnych, w tym w szczególności osób starszych, w warunkach zbliżonych do domowych, w środowisku lokalnym</w:t>
            </w:r>
          </w:p>
        </w:tc>
        <w:tc>
          <w:tcPr>
            <w:tcW w:w="2032" w:type="dxa"/>
            <w:vMerge w:val="restart"/>
            <w:shd w:val="clear" w:color="auto" w:fill="FFFFFF" w:themeFill="background1"/>
          </w:tcPr>
          <w:p w14:paraId="29FF752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shd w:val="clear" w:color="auto" w:fill="FFFFFF" w:themeFill="background1"/>
          </w:tcPr>
          <w:p w14:paraId="483E21D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12A56304"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funkcjonujących dziennych domów opieki medycznej</w:t>
            </w:r>
          </w:p>
        </w:tc>
      </w:tr>
      <w:tr w:rsidR="005F3D4B" w:rsidRPr="00D24DF9" w14:paraId="29E73E68"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06A00C36" w14:textId="77777777" w:rsidR="00311D18" w:rsidRPr="00D24DF9" w:rsidRDefault="00311D18" w:rsidP="003C1988">
            <w:pPr>
              <w:spacing w:after="0"/>
              <w:rPr>
                <w:rFonts w:ascii="Times New Roman" w:hAnsi="Times New Roman" w:cs="Times New Roman"/>
                <w:sz w:val="20"/>
              </w:rPr>
            </w:pPr>
          </w:p>
        </w:tc>
        <w:tc>
          <w:tcPr>
            <w:tcW w:w="3594" w:type="dxa"/>
            <w:vMerge/>
          </w:tcPr>
          <w:p w14:paraId="450119E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564BAC27"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301829F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2A0E9B62" w14:textId="77777777" w:rsidR="00592EF4" w:rsidRDefault="00592EF4"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sidRPr="00592EF4">
              <w:rPr>
                <w:rFonts w:ascii="Times New Roman" w:eastAsia="MS Mincho" w:hAnsi="Times New Roman" w:cs="Times New Roman"/>
                <w:bCs/>
                <w:sz w:val="20"/>
              </w:rPr>
              <w:t>W Ministerstwie Zdrowia prowadzone są prace nad wdrożeniem nowego świadczenia opieki zdrowotnej – dzienna długoterminowa opieka medyczna, tworzonego na bazie doświadczeń projektów współfinansowanych ze środków Unii Europejskiej w ramach Programu Operacyjnego Wiedza Edukacja Rozwój (PO WER) i Regionalnych Programów Operacyjnych (RPO) 2014-2020. Projekty te przyczyniły się do opracowania, przetestowania i upowszechnienia standardu dziennego domu opieki medycznej (DDOM),</w:t>
            </w:r>
          </w:p>
          <w:p w14:paraId="0D6BD05A" w14:textId="77777777" w:rsidR="00592EF4" w:rsidRDefault="00592EF4"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p>
          <w:p w14:paraId="7C24C6B0" w14:textId="77777777" w:rsidR="00592EF4" w:rsidRPr="00592EF4" w:rsidRDefault="00C11ED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0"/>
              </w:rPr>
            </w:pPr>
            <w:r w:rsidRPr="00D24DF9">
              <w:rPr>
                <w:rFonts w:ascii="Times New Roman" w:eastAsia="Calibri" w:hAnsi="Times New Roman" w:cs="Times New Roman"/>
                <w:sz w:val="20"/>
              </w:rPr>
              <w:t>W ramach pilotażowego projektu PO WER w latach 2016-2018 powstały 53 DDOMy. Kolejnych 7</w:t>
            </w:r>
            <w:r w:rsidR="0021092E">
              <w:rPr>
                <w:rFonts w:ascii="Times New Roman" w:eastAsia="Calibri" w:hAnsi="Times New Roman" w:cs="Times New Roman"/>
                <w:sz w:val="20"/>
              </w:rPr>
              <w:t>7 placówek powstało od 2018 r.</w:t>
            </w:r>
            <w:r w:rsidR="00592EF4">
              <w:rPr>
                <w:rFonts w:ascii="Times New Roman" w:eastAsia="Calibri" w:hAnsi="Times New Roman" w:cs="Times New Roman"/>
                <w:sz w:val="20"/>
              </w:rPr>
              <w:t xml:space="preserve"> w ramach RPO.</w:t>
            </w:r>
          </w:p>
        </w:tc>
      </w:tr>
      <w:tr w:rsidR="005F3D4B" w:rsidRPr="00D24DF9" w14:paraId="47D07472" w14:textId="77777777" w:rsidTr="004D48DD">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2751E7FC"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0C3D7DF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Wspieranie inicjatyw jednostek samorządu terytorialnego na rzecz tworzenia mieszkań chronionych</w:t>
            </w:r>
          </w:p>
        </w:tc>
        <w:tc>
          <w:tcPr>
            <w:tcW w:w="2032" w:type="dxa"/>
            <w:vMerge w:val="restart"/>
            <w:shd w:val="clear" w:color="auto" w:fill="FFFFFF" w:themeFill="background1"/>
          </w:tcPr>
          <w:p w14:paraId="2E16819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30773AC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6917B15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4CFB8C3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2018-2021</w:t>
            </w:r>
          </w:p>
        </w:tc>
        <w:tc>
          <w:tcPr>
            <w:tcW w:w="5638" w:type="dxa"/>
            <w:shd w:val="clear" w:color="auto" w:fill="auto"/>
          </w:tcPr>
          <w:p w14:paraId="693F98A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funkcjonujących mieszkań chronionych dla osób starszych</w:t>
            </w:r>
          </w:p>
        </w:tc>
      </w:tr>
      <w:tr w:rsidR="005F3D4B" w:rsidRPr="00D24DF9" w14:paraId="4CB41EB8"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23100638" w14:textId="77777777" w:rsidR="00311D18" w:rsidRPr="00D24DF9" w:rsidRDefault="00311D18" w:rsidP="003C1988">
            <w:pPr>
              <w:spacing w:after="0"/>
              <w:rPr>
                <w:rFonts w:ascii="Times New Roman" w:hAnsi="Times New Roman" w:cs="Times New Roman"/>
                <w:sz w:val="20"/>
              </w:rPr>
            </w:pPr>
          </w:p>
        </w:tc>
        <w:tc>
          <w:tcPr>
            <w:tcW w:w="3594" w:type="dxa"/>
            <w:vMerge/>
          </w:tcPr>
          <w:p w14:paraId="38CB4CCA"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6A4DAEE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413CE09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5780CB8F" w14:textId="77777777" w:rsidR="00FB15A8" w:rsidRPr="00D24DF9" w:rsidRDefault="00FB15A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r w:rsidRPr="00D24DF9">
              <w:rPr>
                <w:rFonts w:ascii="Times New Roman" w:eastAsia="MS Mincho" w:hAnsi="Times New Roman" w:cs="Times New Roman"/>
                <w:sz w:val="20"/>
              </w:rPr>
              <w:t xml:space="preserve">W RPO ze środków EFS rozwijane są usługi w postaci mieszkań chronionych i wspomaganych w ramach PI 9iv </w:t>
            </w:r>
            <w:r w:rsidRPr="00D24DF9">
              <w:rPr>
                <w:rFonts w:ascii="Times New Roman" w:eastAsia="MS Mincho" w:hAnsi="Times New Roman" w:cs="Times New Roman"/>
                <w:i/>
                <w:sz w:val="20"/>
              </w:rPr>
              <w:t>Ułatwianie dostępu do przystępnych cenowo, trwałych oraz wysokiej jakości usług, w tym opieki zdrowotnej i usług socjalnych świadczonych w interesie ogólnym</w:t>
            </w:r>
            <w:r w:rsidRPr="00D24DF9">
              <w:rPr>
                <w:rFonts w:ascii="Times New Roman" w:eastAsia="MS Mincho" w:hAnsi="Times New Roman" w:cs="Times New Roman"/>
                <w:sz w:val="20"/>
              </w:rPr>
              <w:t xml:space="preserve">. </w:t>
            </w:r>
            <w:r w:rsidRPr="00D24DF9">
              <w:rPr>
                <w:rFonts w:ascii="Times New Roman" w:eastAsia="Calibri" w:hAnsi="Times New Roman" w:cs="Times New Roman"/>
                <w:sz w:val="20"/>
              </w:rPr>
              <w:t xml:space="preserve"> </w:t>
            </w:r>
            <w:r w:rsidRPr="00D24DF9">
              <w:rPr>
                <w:rFonts w:ascii="Times New Roman" w:eastAsia="MS Mincho" w:hAnsi="Times New Roman" w:cs="Times New Roman"/>
                <w:sz w:val="20"/>
              </w:rPr>
              <w:t xml:space="preserve">Wsparcie dla mieszkań chronionych i mieszkań wspomaganych polega na tworzeniu miejsc w nowo tworzonych lub istniejących mieszkaniach chronionych lub mieszkaniach </w:t>
            </w:r>
            <w:r w:rsidRPr="00D24DF9">
              <w:rPr>
                <w:rFonts w:ascii="Times New Roman" w:eastAsia="MS Mincho" w:hAnsi="Times New Roman" w:cs="Times New Roman"/>
                <w:sz w:val="20"/>
              </w:rPr>
              <w:lastRenderedPageBreak/>
              <w:t>wspomaganych, przeznaczonych dla osób lub rodzin zagrożonych ubóstwem lub wykluczeniem społecznym.</w:t>
            </w:r>
          </w:p>
          <w:p w14:paraId="030E0A77" w14:textId="77777777" w:rsidR="00311D18" w:rsidRPr="00D24DF9" w:rsidRDefault="00FB15A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Do końca 2019 r. usługami w postaci mieszkań chronionych i wspomaganych dofinansowanych z EFS objęto 2 508 osób.</w:t>
            </w:r>
          </w:p>
        </w:tc>
      </w:tr>
      <w:tr w:rsidR="005F3D4B" w:rsidRPr="00D24DF9" w14:paraId="114684EB"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350B481F"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0CDA9E7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Rozwój opieki całodobowej:</w:t>
            </w:r>
          </w:p>
          <w:p w14:paraId="39FED0FE" w14:textId="77777777" w:rsidR="00311D18" w:rsidRPr="00D24DF9" w:rsidRDefault="00311D18" w:rsidP="00B14DF0">
            <w:pPr>
              <w:pStyle w:val="Kolorowalistaakcent11"/>
              <w:numPr>
                <w:ilvl w:val="0"/>
                <w:numId w:val="3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wypracowanie jednoznacznych </w:t>
            </w:r>
            <w:r w:rsidRPr="00D24DF9">
              <w:rPr>
                <w:rFonts w:ascii="Times New Roman" w:eastAsia="MS Mincho" w:hAnsi="Times New Roman"/>
                <w:sz w:val="20"/>
              </w:rPr>
              <w:br/>
              <w:t xml:space="preserve">i adekwatnych do potrzeb niesamodzielnej osoby starszej kryteriów ich kwalifikacji </w:t>
            </w:r>
            <w:r w:rsidRPr="00D24DF9">
              <w:rPr>
                <w:rFonts w:ascii="Times New Roman" w:eastAsia="MS Mincho" w:hAnsi="Times New Roman"/>
                <w:sz w:val="20"/>
              </w:rPr>
              <w:br/>
              <w:t>do różnych placówek opieki długoterminowej;</w:t>
            </w:r>
          </w:p>
          <w:p w14:paraId="7FA460DC" w14:textId="77777777" w:rsidR="00311D18" w:rsidRPr="00D24DF9" w:rsidRDefault="00311D18" w:rsidP="00B14DF0">
            <w:pPr>
              <w:pStyle w:val="Kolorowalistaakcent11"/>
              <w:numPr>
                <w:ilvl w:val="0"/>
                <w:numId w:val="3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wspieranie inicjatyw jednostek samorządu terytorialnego </w:t>
            </w:r>
            <w:r w:rsidRPr="00D24DF9">
              <w:rPr>
                <w:rFonts w:ascii="Times New Roman" w:eastAsia="MS Mincho" w:hAnsi="Times New Roman"/>
                <w:sz w:val="20"/>
              </w:rPr>
              <w:br/>
              <w:t xml:space="preserve">na rzecz tworzenia placówek całodobowej opieki </w:t>
            </w:r>
            <w:r w:rsidRPr="00D24DF9">
              <w:rPr>
                <w:rFonts w:ascii="Times New Roman" w:eastAsia="MS Mincho" w:hAnsi="Times New Roman"/>
                <w:sz w:val="20"/>
              </w:rPr>
              <w:br/>
              <w:t>dla niesamodzielnych osób starszych i samotnych;</w:t>
            </w:r>
          </w:p>
          <w:p w14:paraId="6024C7CA" w14:textId="77777777" w:rsidR="00311D18" w:rsidRPr="00D24DF9" w:rsidRDefault="00311D18" w:rsidP="00B14DF0">
            <w:pPr>
              <w:pStyle w:val="Kolorowalistaakcent11"/>
              <w:numPr>
                <w:ilvl w:val="0"/>
                <w:numId w:val="3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wspieranie tworzenia rodzinnych domów pomocy społecznej i innych form środowiskowej opieki całodobowej</w:t>
            </w:r>
          </w:p>
        </w:tc>
        <w:tc>
          <w:tcPr>
            <w:tcW w:w="2032" w:type="dxa"/>
            <w:vMerge w:val="restart"/>
            <w:shd w:val="clear" w:color="auto" w:fill="FFFFFF" w:themeFill="background1"/>
          </w:tcPr>
          <w:p w14:paraId="7E11719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7E3E91B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416891E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63B28AA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r w:rsidRPr="00D24DF9">
              <w:rPr>
                <w:rFonts w:ascii="Times New Roman" w:hAnsi="Times New Roman"/>
                <w:sz w:val="20"/>
              </w:rPr>
              <w:t>*</w:t>
            </w:r>
          </w:p>
        </w:tc>
        <w:tc>
          <w:tcPr>
            <w:tcW w:w="5638" w:type="dxa"/>
            <w:shd w:val="clear" w:color="auto" w:fill="auto"/>
          </w:tcPr>
          <w:p w14:paraId="537E4844"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i/>
                <w:sz w:val="20"/>
              </w:rPr>
            </w:pPr>
            <w:r w:rsidRPr="00D24DF9">
              <w:rPr>
                <w:rFonts w:ascii="Times New Roman" w:eastAsia="MS Mincho" w:hAnsi="Times New Roman" w:cs="Times New Roman"/>
                <w:i/>
                <w:sz w:val="20"/>
              </w:rPr>
              <w:t>Liczba funkcjonujących placówek opieki całodobowej</w:t>
            </w:r>
          </w:p>
          <w:p w14:paraId="2EA72E7F"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sz w:val="20"/>
              </w:rPr>
            </w:pPr>
            <w:r w:rsidRPr="00D24DF9">
              <w:rPr>
                <w:rFonts w:ascii="Times New Roman" w:eastAsia="MS Mincho" w:hAnsi="Times New Roman" w:cs="Times New Roman"/>
                <w:b/>
                <w:sz w:val="20"/>
              </w:rPr>
              <w:t xml:space="preserve">oraz </w:t>
            </w:r>
          </w:p>
          <w:p w14:paraId="5EAF9726"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zrealizowanych działań mających na celu rozwój opieki całodobowej</w:t>
            </w:r>
          </w:p>
        </w:tc>
      </w:tr>
      <w:tr w:rsidR="005F3D4B" w:rsidRPr="00D24DF9" w14:paraId="1B915CC3"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5965E55D" w14:textId="77777777" w:rsidR="00311D18" w:rsidRPr="00D24DF9" w:rsidRDefault="00311D18" w:rsidP="003C1988">
            <w:pPr>
              <w:spacing w:after="0"/>
              <w:rPr>
                <w:rFonts w:ascii="Times New Roman" w:hAnsi="Times New Roman" w:cs="Times New Roman"/>
                <w:sz w:val="20"/>
              </w:rPr>
            </w:pPr>
          </w:p>
        </w:tc>
        <w:tc>
          <w:tcPr>
            <w:tcW w:w="3594" w:type="dxa"/>
            <w:vMerge/>
          </w:tcPr>
          <w:p w14:paraId="351D114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372BB6B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230E5F7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7971BDF5" w14:textId="77777777" w:rsidR="00311D18" w:rsidRPr="00D24DF9" w:rsidRDefault="00B07ABA"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 xml:space="preserve">W RPO ze środków EFS rozwijane są usługi społeczne </w:t>
            </w:r>
            <w:r w:rsidRPr="00D24DF9">
              <w:rPr>
                <w:rFonts w:ascii="Times New Roman" w:eastAsia="Calibri" w:hAnsi="Times New Roman" w:cs="Times New Roman"/>
                <w:sz w:val="20"/>
              </w:rPr>
              <w:t xml:space="preserve"> </w:t>
            </w:r>
            <w:r w:rsidRPr="00D24DF9">
              <w:rPr>
                <w:rFonts w:ascii="Times New Roman" w:eastAsia="MS Mincho" w:hAnsi="Times New Roman" w:cs="Times New Roman"/>
                <w:sz w:val="20"/>
              </w:rPr>
              <w:t xml:space="preserve">świadczone w społeczności lokalnej w ramach PI 9iv </w:t>
            </w:r>
            <w:r w:rsidRPr="00D24DF9">
              <w:rPr>
                <w:rFonts w:ascii="Times New Roman" w:eastAsia="MS Mincho" w:hAnsi="Times New Roman" w:cs="Times New Roman"/>
                <w:i/>
                <w:sz w:val="20"/>
              </w:rPr>
              <w:t>Ułatwianie dostępu do przystępnych cenowo, trwałych oraz wysokiej jakości usług, w tym opieki zdrowotnej i usług socjalnych świadczonych w interesie ogólnym</w:t>
            </w:r>
            <w:r w:rsidRPr="00D24DF9">
              <w:rPr>
                <w:rFonts w:ascii="Times New Roman" w:eastAsia="MS Mincho" w:hAnsi="Times New Roman" w:cs="Times New Roman"/>
                <w:sz w:val="20"/>
              </w:rPr>
              <w:t xml:space="preserve">. </w:t>
            </w:r>
            <w:r w:rsidRPr="00D24DF9">
              <w:rPr>
                <w:rFonts w:ascii="Times New Roman" w:eastAsia="Calibri" w:hAnsi="Times New Roman" w:cs="Times New Roman"/>
                <w:sz w:val="20"/>
              </w:rPr>
              <w:t xml:space="preserve"> </w:t>
            </w:r>
            <w:r w:rsidRPr="00D24DF9">
              <w:rPr>
                <w:rFonts w:ascii="Times New Roman" w:eastAsia="MS Mincho" w:hAnsi="Times New Roman" w:cs="Times New Roman"/>
                <w:sz w:val="20"/>
              </w:rPr>
              <w:t>Mogą to być m.in. usługi opiekuńcze w zakresie  krótkookresowego całodobowego i krótkookresowego dziennego pobytu, których celem jest zapewnienie opieki dla osób potrzebujących wsparcia w codziennym funkcjonowaniu, w tym w zastępstwie za opiekunów faktycznych oraz  usługi w ośrodkach wsparcia, o których mowa w ustawie z dnia 12 marca 2004 r. o pomocy społecznej, o ile liczba miejsc całodobowego pobytu w tych ośrodkach jest nie większa niż 30</w:t>
            </w:r>
          </w:p>
        </w:tc>
      </w:tr>
      <w:tr w:rsidR="005F3D4B" w:rsidRPr="00D24DF9" w14:paraId="0F511A73" w14:textId="77777777" w:rsidTr="004D48DD">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32A068F3"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4EE7106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Zapewnienie ciągłości opieki </w:t>
            </w:r>
            <w:r w:rsidRPr="00D24DF9">
              <w:rPr>
                <w:rFonts w:ascii="Times New Roman" w:eastAsia="MS Mincho" w:hAnsi="Times New Roman"/>
                <w:sz w:val="20"/>
              </w:rPr>
              <w:br/>
              <w:t>przy zmianach miejsca jej sprawowania</w:t>
            </w:r>
          </w:p>
        </w:tc>
        <w:tc>
          <w:tcPr>
            <w:tcW w:w="2032" w:type="dxa"/>
            <w:vMerge w:val="restart"/>
            <w:shd w:val="clear" w:color="auto" w:fill="FFFFFF" w:themeFill="background1"/>
          </w:tcPr>
          <w:p w14:paraId="116C853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0B3ECA3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02DFC3B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5D65393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Zapewnienie ciągłości opieki przy zmianach miejsca jej sprawowania</w:t>
            </w:r>
          </w:p>
        </w:tc>
      </w:tr>
      <w:tr w:rsidR="005F3D4B" w:rsidRPr="00D24DF9" w14:paraId="7CD79C0C"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357076FC" w14:textId="77777777" w:rsidR="00311D18" w:rsidRPr="00D24DF9" w:rsidRDefault="00311D18" w:rsidP="003C1988">
            <w:pPr>
              <w:spacing w:after="0"/>
              <w:rPr>
                <w:rFonts w:ascii="Times New Roman" w:hAnsi="Times New Roman" w:cs="Times New Roman"/>
                <w:sz w:val="20"/>
              </w:rPr>
            </w:pPr>
          </w:p>
        </w:tc>
        <w:tc>
          <w:tcPr>
            <w:tcW w:w="3594" w:type="dxa"/>
            <w:vMerge/>
          </w:tcPr>
          <w:p w14:paraId="369166C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0320DA3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1E5FC4AD"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5B08D4C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2D0073FD" w14:textId="77777777" w:rsidTr="004D48DD">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768A7CAE"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39DE170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Zweryfikowanie dotychczasowego systemu podnoszenia kwalifikacji osób świadczących usługi opiekuńcze</w:t>
            </w:r>
          </w:p>
        </w:tc>
        <w:tc>
          <w:tcPr>
            <w:tcW w:w="2032" w:type="dxa"/>
            <w:vMerge w:val="restart"/>
            <w:shd w:val="clear" w:color="auto" w:fill="FFFFFF" w:themeFill="background1"/>
          </w:tcPr>
          <w:p w14:paraId="182605B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05B7053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594FFBD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6C7DB11C"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Weryfikacja systemu podnoszenia kwalifikacji w zawodach opiekuńczych</w:t>
            </w:r>
          </w:p>
        </w:tc>
      </w:tr>
      <w:tr w:rsidR="005F3D4B" w:rsidRPr="00D24DF9" w14:paraId="47980DF1"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056E6B48" w14:textId="77777777" w:rsidR="00311D18" w:rsidRPr="00D24DF9" w:rsidRDefault="00311D18" w:rsidP="003C1988">
            <w:pPr>
              <w:spacing w:after="0"/>
              <w:rPr>
                <w:rFonts w:ascii="Times New Roman" w:hAnsi="Times New Roman" w:cs="Times New Roman"/>
                <w:sz w:val="20"/>
              </w:rPr>
            </w:pPr>
          </w:p>
        </w:tc>
        <w:tc>
          <w:tcPr>
            <w:tcW w:w="3594" w:type="dxa"/>
            <w:vMerge/>
          </w:tcPr>
          <w:p w14:paraId="78166FB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0FC9838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40C85C43"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61885E57"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4A6F9DA5" w14:textId="77777777" w:rsidTr="004D48DD">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2F5BA454"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69BBF2D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Przeprowadzenie kampanii społecznych, promujących zawody opiekuńcze</w:t>
            </w:r>
          </w:p>
        </w:tc>
        <w:tc>
          <w:tcPr>
            <w:tcW w:w="2032" w:type="dxa"/>
            <w:vMerge w:val="restart"/>
            <w:shd w:val="clear" w:color="auto" w:fill="FFFFFF" w:themeFill="background1"/>
          </w:tcPr>
          <w:p w14:paraId="6A5F46F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i </w:t>
            </w:r>
            <w:r w:rsidRPr="00D24DF9">
              <w:rPr>
                <w:rFonts w:ascii="Times New Roman" w:eastAsia="MS Mincho" w:hAnsi="Times New Roman"/>
                <w:sz w:val="20"/>
              </w:rPr>
              <w:lastRenderedPageBreak/>
              <w:t xml:space="preserve">Polityki Społecznej, Ministerstwo Zdrowia,  Ministerstwo   Rozwoju </w:t>
            </w:r>
          </w:p>
        </w:tc>
        <w:tc>
          <w:tcPr>
            <w:tcW w:w="1500" w:type="dxa"/>
            <w:vMerge w:val="restart"/>
            <w:shd w:val="clear" w:color="auto" w:fill="FFFFFF" w:themeFill="background1"/>
          </w:tcPr>
          <w:p w14:paraId="64335CE8" w14:textId="77777777" w:rsidR="00311D18" w:rsidRPr="00D24DF9" w:rsidRDefault="00311D18" w:rsidP="003C1988">
            <w:pPr>
              <w:pStyle w:val="Kolorowalistaakcent11"/>
              <w:tabs>
                <w:tab w:val="left" w:pos="1110"/>
              </w:tabs>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Działanie ciągłe</w:t>
            </w:r>
            <w:r w:rsidRPr="00D24DF9">
              <w:rPr>
                <w:rFonts w:ascii="Times New Roman" w:hAnsi="Times New Roman"/>
                <w:sz w:val="20"/>
              </w:rPr>
              <w:t>*</w:t>
            </w:r>
          </w:p>
        </w:tc>
        <w:tc>
          <w:tcPr>
            <w:tcW w:w="5638" w:type="dxa"/>
            <w:shd w:val="clear" w:color="auto" w:fill="auto"/>
          </w:tcPr>
          <w:p w14:paraId="218019EF"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przeprowadzonych kampanii społecznych promujących zawody opiekuńcze</w:t>
            </w:r>
          </w:p>
        </w:tc>
      </w:tr>
      <w:tr w:rsidR="005F3D4B" w:rsidRPr="00D24DF9" w14:paraId="00FC19BA"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36FFA925" w14:textId="77777777" w:rsidR="00311D18" w:rsidRPr="00D24DF9" w:rsidRDefault="00311D18" w:rsidP="003C1988">
            <w:pPr>
              <w:spacing w:after="0"/>
              <w:rPr>
                <w:rFonts w:ascii="Times New Roman" w:hAnsi="Times New Roman" w:cs="Times New Roman"/>
                <w:sz w:val="20"/>
              </w:rPr>
            </w:pPr>
          </w:p>
        </w:tc>
        <w:tc>
          <w:tcPr>
            <w:tcW w:w="3594" w:type="dxa"/>
            <w:vMerge/>
          </w:tcPr>
          <w:p w14:paraId="0908C0F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2FE08DDE"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54AF3CF6"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61C295DD"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77BD6CA0" w14:textId="77777777" w:rsidTr="004D48DD">
        <w:trPr>
          <w:cnfStyle w:val="000000100000" w:firstRow="0" w:lastRow="0" w:firstColumn="0" w:lastColumn="0" w:oddVBand="0" w:evenVBand="0" w:oddHBand="1" w:evenHBand="0" w:firstRowFirstColumn="0" w:firstRowLastColumn="0" w:lastRowFirstColumn="0" w:lastRowLastColumn="0"/>
          <w:trHeight w:val="139"/>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6273B143"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0B64362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Prowadzenie rejestru podmiotów świadczących usługi opiekuńcze</w:t>
            </w:r>
          </w:p>
        </w:tc>
        <w:tc>
          <w:tcPr>
            <w:tcW w:w="2032" w:type="dxa"/>
            <w:vMerge w:val="restart"/>
            <w:shd w:val="clear" w:color="auto" w:fill="FFFFFF" w:themeFill="background1"/>
          </w:tcPr>
          <w:p w14:paraId="1E7D465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Rodziny, Pracy i Polityki Społecznej</w:t>
            </w:r>
          </w:p>
        </w:tc>
        <w:tc>
          <w:tcPr>
            <w:tcW w:w="1500" w:type="dxa"/>
            <w:vMerge w:val="restart"/>
            <w:shd w:val="clear" w:color="auto" w:fill="FFFFFF" w:themeFill="background1"/>
          </w:tcPr>
          <w:p w14:paraId="46FF38F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483A1827"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Rejestr podmiotów świadczących usługi opiekuńcze</w:t>
            </w:r>
          </w:p>
        </w:tc>
      </w:tr>
      <w:tr w:rsidR="005F3D4B" w:rsidRPr="00D24DF9" w14:paraId="48F51F37"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38FD3BDF" w14:textId="77777777" w:rsidR="00311D18" w:rsidRPr="00D24DF9" w:rsidRDefault="00311D18" w:rsidP="003C1988">
            <w:pPr>
              <w:spacing w:after="0"/>
              <w:rPr>
                <w:rFonts w:ascii="Times New Roman" w:hAnsi="Times New Roman" w:cs="Times New Roman"/>
                <w:sz w:val="20"/>
              </w:rPr>
            </w:pPr>
          </w:p>
        </w:tc>
        <w:tc>
          <w:tcPr>
            <w:tcW w:w="3594" w:type="dxa"/>
            <w:vMerge/>
          </w:tcPr>
          <w:p w14:paraId="65EEBCB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12C9B49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5F228422"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4A3406C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69815FAE"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7EBB64C8"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76164AC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Określenie i wprowadzenie do przepisów prawa powszechnie obowiązującego zasad współpracy pracowników socjalnych z zespołem podstawowej opieki zdrowotnej</w:t>
            </w:r>
          </w:p>
        </w:tc>
        <w:tc>
          <w:tcPr>
            <w:tcW w:w="2032" w:type="dxa"/>
            <w:vMerge w:val="restart"/>
            <w:shd w:val="clear" w:color="auto" w:fill="FFFFFF" w:themeFill="background1"/>
          </w:tcPr>
          <w:p w14:paraId="503EE94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18889C9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4BED1FFB"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62F0BE1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48B882D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Wprowadzenie zmian do przepisów prawa powszechnie obowiązującego zasad współpracy pracowników socjalnych z zespołem podstawowej opieki zdrowotnej</w:t>
            </w:r>
          </w:p>
        </w:tc>
      </w:tr>
      <w:tr w:rsidR="005F3D4B" w:rsidRPr="00D24DF9" w14:paraId="4E162B27"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234078AB" w14:textId="77777777" w:rsidR="00311D18" w:rsidRPr="00D24DF9" w:rsidRDefault="00311D18" w:rsidP="003C1988">
            <w:pPr>
              <w:spacing w:after="0"/>
              <w:rPr>
                <w:rFonts w:ascii="Times New Roman" w:hAnsi="Times New Roman" w:cs="Times New Roman"/>
                <w:sz w:val="20"/>
              </w:rPr>
            </w:pPr>
          </w:p>
        </w:tc>
        <w:tc>
          <w:tcPr>
            <w:tcW w:w="3594" w:type="dxa"/>
            <w:vMerge/>
          </w:tcPr>
          <w:p w14:paraId="7B62058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7A7AB18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4FF89B2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0F65C3D3"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61066A66"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shd w:val="clear" w:color="auto" w:fill="FFFFFF" w:themeFill="background1"/>
            <w:textDirection w:val="btLr"/>
          </w:tcPr>
          <w:p w14:paraId="4382452B" w14:textId="77777777" w:rsidR="00311D18" w:rsidRPr="00D24DF9" w:rsidRDefault="00311D18" w:rsidP="003C1988">
            <w:pPr>
              <w:pStyle w:val="Kolorowalistaakcent11"/>
              <w:spacing w:after="0"/>
              <w:ind w:left="113" w:right="113"/>
              <w:rPr>
                <w:rFonts w:ascii="Times New Roman" w:eastAsia="MS Mincho" w:hAnsi="Times New Roman"/>
                <w:sz w:val="20"/>
              </w:rPr>
            </w:pPr>
            <w:r w:rsidRPr="00D24DF9">
              <w:rPr>
                <w:rFonts w:ascii="Times New Roman" w:eastAsia="MS Mincho" w:hAnsi="Times New Roman"/>
                <w:sz w:val="20"/>
              </w:rPr>
              <w:t>Obszar IV</w:t>
            </w:r>
          </w:p>
        </w:tc>
        <w:tc>
          <w:tcPr>
            <w:tcW w:w="3594" w:type="dxa"/>
            <w:vMerge w:val="restart"/>
          </w:tcPr>
          <w:p w14:paraId="77A45FD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D24DF9">
              <w:rPr>
                <w:rFonts w:ascii="Times New Roman" w:hAnsi="Times New Roman"/>
                <w:sz w:val="20"/>
              </w:rPr>
              <w:t>Zintegrowanie nieformalnej opieki</w:t>
            </w:r>
            <w:r w:rsidRPr="00D24DF9">
              <w:rPr>
                <w:rFonts w:ascii="Times New Roman" w:hAnsi="Times New Roman"/>
                <w:sz w:val="20"/>
              </w:rPr>
              <w:br/>
              <w:t>nad niesamodzielnymi osobami starszymi z opieką formalną, w sposób szczególny poprzez poradnictwo, konsultacje, treningi umiejętności opiekunów nieformalnych (świadczone przez lekarzy, pielęgniarki, fizjoterapeutów, opiekunów medycznych, pracowników socjalnych) oraz inne działania na rzecz podnoszenia jakości opieki domowej</w:t>
            </w:r>
          </w:p>
        </w:tc>
        <w:tc>
          <w:tcPr>
            <w:tcW w:w="2032" w:type="dxa"/>
            <w:vMerge w:val="restart"/>
            <w:shd w:val="clear" w:color="auto" w:fill="FFFFFF" w:themeFill="background1"/>
          </w:tcPr>
          <w:p w14:paraId="77FD46B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Ministerstwo Zdrowia</w:t>
            </w:r>
          </w:p>
        </w:tc>
        <w:tc>
          <w:tcPr>
            <w:tcW w:w="1500" w:type="dxa"/>
            <w:vMerge w:val="restart"/>
            <w:shd w:val="clear" w:color="auto" w:fill="FFFFFF" w:themeFill="background1"/>
          </w:tcPr>
          <w:p w14:paraId="4A8EE0A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664E32F9"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zrealizowanych działań mających na celu zintegrowanie nieformalnej opieki nad osobami niesamodzielnymi ze wsparciem formalnym</w:t>
            </w:r>
          </w:p>
        </w:tc>
      </w:tr>
      <w:tr w:rsidR="005F3D4B" w:rsidRPr="00D24DF9" w14:paraId="7A54713B"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4E2CB321" w14:textId="77777777" w:rsidR="00311D18" w:rsidRPr="00D24DF9" w:rsidRDefault="00311D18" w:rsidP="003C1988">
            <w:pPr>
              <w:spacing w:after="0"/>
              <w:rPr>
                <w:rFonts w:ascii="Times New Roman" w:hAnsi="Times New Roman" w:cs="Times New Roman"/>
                <w:sz w:val="20"/>
              </w:rPr>
            </w:pPr>
          </w:p>
        </w:tc>
        <w:tc>
          <w:tcPr>
            <w:tcW w:w="3594" w:type="dxa"/>
            <w:vMerge/>
          </w:tcPr>
          <w:p w14:paraId="23E0DE4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04BCACE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5541E299"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5B9EE8C3" w14:textId="77777777" w:rsidR="00311D18" w:rsidRPr="00592EF4" w:rsidRDefault="00592EF4"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Cs/>
                <w:sz w:val="20"/>
                <w:szCs w:val="20"/>
              </w:rPr>
            </w:pPr>
            <w:r w:rsidRPr="00592EF4">
              <w:rPr>
                <w:rFonts w:ascii="Times New Roman" w:eastAsia="MS Mincho" w:hAnsi="Times New Roman" w:cs="Times New Roman"/>
                <w:bCs/>
                <w:sz w:val="20"/>
                <w:szCs w:val="20"/>
              </w:rPr>
              <w:t xml:space="preserve">W 2019 r. w Ministerstwie Zdrowia rozpoczęto prace nad założeniami ram strategicznych w zakresie deinstytucjonalizacji w obszarze zdrowia. W wyniku tychże prac opracowane zostały założenia (diagnoza, kierunki zmian i planowane działania), które następnie – na początku 2020 r. – zostały poddane szerokim konsultacjom, w których udział brali interesariusze, w tym partnerzy społeczni. W projekcie przedmiotowego dokumentu zostały ujęte propozycje działań mających na celu wsparcie nieformalnych opiekunów osób starszych, a także inicjatywy na rzecz rozwoju opieki domowej. </w:t>
            </w:r>
          </w:p>
        </w:tc>
      </w:tr>
      <w:tr w:rsidR="005F3D4B" w:rsidRPr="00D24DF9" w14:paraId="42678D28"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shd w:val="clear" w:color="auto" w:fill="FFFFFF" w:themeFill="background1"/>
          </w:tcPr>
          <w:p w14:paraId="1488CFF5"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5F9EB6A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Wspieranie organizowania opieki krótkoterminowej nad osobami </w:t>
            </w:r>
            <w:r w:rsidRPr="00D24DF9">
              <w:rPr>
                <w:rFonts w:ascii="Times New Roman" w:eastAsia="MS Mincho" w:hAnsi="Times New Roman"/>
                <w:sz w:val="20"/>
              </w:rPr>
              <w:lastRenderedPageBreak/>
              <w:t>niesamodzielnymi – tzw. opieka wytchnieniowa dla opiekunów</w:t>
            </w:r>
          </w:p>
        </w:tc>
        <w:tc>
          <w:tcPr>
            <w:tcW w:w="2032" w:type="dxa"/>
            <w:vMerge w:val="restart"/>
            <w:shd w:val="clear" w:color="auto" w:fill="FFFFFF" w:themeFill="background1"/>
          </w:tcPr>
          <w:p w14:paraId="66D21DE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 xml:space="preserve">Ministerstwo Rodziny, Pracy </w:t>
            </w:r>
            <w:r w:rsidRPr="00D24DF9">
              <w:rPr>
                <w:rFonts w:ascii="Times New Roman" w:eastAsia="MS Mincho" w:hAnsi="Times New Roman"/>
                <w:sz w:val="20"/>
              </w:rPr>
              <w:br/>
              <w:t>i Polityki Społecznej</w:t>
            </w:r>
          </w:p>
          <w:p w14:paraId="25D1FCB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03D8AB23"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2A2A091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2018-2020</w:t>
            </w:r>
          </w:p>
        </w:tc>
        <w:tc>
          <w:tcPr>
            <w:tcW w:w="5638" w:type="dxa"/>
            <w:shd w:val="clear" w:color="auto" w:fill="auto"/>
          </w:tcPr>
          <w:p w14:paraId="29ABE471"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zrealizowanych działań mających na celu wspieranie organizowania opieki krótkoterminowej nad osobami niesamodzielnymi</w:t>
            </w:r>
          </w:p>
        </w:tc>
      </w:tr>
      <w:tr w:rsidR="005F3D4B" w:rsidRPr="00D24DF9" w14:paraId="12D8FA14"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199F03A9" w14:textId="77777777" w:rsidR="00311D18" w:rsidRPr="00D24DF9" w:rsidRDefault="00311D18" w:rsidP="003C1988">
            <w:pPr>
              <w:spacing w:after="0"/>
              <w:rPr>
                <w:rFonts w:ascii="Times New Roman" w:hAnsi="Times New Roman" w:cs="Times New Roman"/>
                <w:sz w:val="20"/>
              </w:rPr>
            </w:pPr>
          </w:p>
        </w:tc>
        <w:tc>
          <w:tcPr>
            <w:tcW w:w="3594" w:type="dxa"/>
            <w:vMerge/>
          </w:tcPr>
          <w:p w14:paraId="045C32DB"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6017A178"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059A755A"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1194C1BC" w14:textId="77777777" w:rsidR="00311D18" w:rsidRPr="00D24DF9" w:rsidRDefault="00B07ABA"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 xml:space="preserve">W RPO ze środków EFS rozwijane są usługi społeczne </w:t>
            </w:r>
            <w:r w:rsidRPr="00D24DF9">
              <w:rPr>
                <w:rFonts w:ascii="Times New Roman" w:eastAsia="Calibri" w:hAnsi="Times New Roman" w:cs="Times New Roman"/>
                <w:sz w:val="20"/>
              </w:rPr>
              <w:t xml:space="preserve"> </w:t>
            </w:r>
            <w:r w:rsidRPr="00D24DF9">
              <w:rPr>
                <w:rFonts w:ascii="Times New Roman" w:eastAsia="MS Mincho" w:hAnsi="Times New Roman" w:cs="Times New Roman"/>
                <w:sz w:val="20"/>
              </w:rPr>
              <w:t xml:space="preserve">świadczone w społeczności lokalnej w ramach PI 9iv ułatwianie dostępu do przystępnych cenowo, trwałych oraz wysokiej jakości usług, w tym opieki zdrowotnej i usług socjalnych świadczonych w interesie ogólnym. </w:t>
            </w:r>
            <w:r w:rsidRPr="00D24DF9">
              <w:rPr>
                <w:rFonts w:ascii="Times New Roman" w:eastAsia="Calibri" w:hAnsi="Times New Roman" w:cs="Times New Roman"/>
                <w:sz w:val="20"/>
              </w:rPr>
              <w:t xml:space="preserve"> </w:t>
            </w:r>
            <w:r w:rsidRPr="00D24DF9">
              <w:rPr>
                <w:rFonts w:ascii="Times New Roman" w:eastAsia="MS Mincho" w:hAnsi="Times New Roman" w:cs="Times New Roman"/>
                <w:sz w:val="20"/>
              </w:rPr>
              <w:t>Mogą to być m.in. usługi opiekuńcze w zakresie  krótkookresowego dziennego pobytu, których celem jest zapewnienie opieki dla osób potrzebujących wsparcia w codziennym funkcjonowaniu, w tym w zastępstwie za opiekunów faktycznych czy mieszkań wspomaganych. Możliwe jest</w:t>
            </w:r>
            <w:r w:rsidRPr="00D24DF9">
              <w:rPr>
                <w:rFonts w:ascii="Times New Roman" w:eastAsia="Calibri" w:hAnsi="Times New Roman" w:cs="Times New Roman"/>
                <w:sz w:val="20"/>
              </w:rPr>
              <w:t xml:space="preserve"> </w:t>
            </w:r>
            <w:r w:rsidRPr="00D24DF9">
              <w:rPr>
                <w:rFonts w:ascii="Times New Roman" w:eastAsia="MS Mincho" w:hAnsi="Times New Roman" w:cs="Times New Roman"/>
                <w:sz w:val="20"/>
              </w:rPr>
              <w:t>tworzenie miejsc pobytu okresowego (opieka wytchnieniowa) lub stałego jako miejsc w mieszkaniach wspomaganych w formie mieszkań wspieranych.</w:t>
            </w:r>
          </w:p>
        </w:tc>
      </w:tr>
      <w:tr w:rsidR="005F3D4B" w:rsidRPr="00D24DF9" w14:paraId="1C57922C"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shd w:val="clear" w:color="auto" w:fill="FFFFFF" w:themeFill="background1"/>
          </w:tcPr>
          <w:p w14:paraId="28FE8E42"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48A44E4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Szkolenia w zakresie podstawowej opieki i rehabilitacji oraz wsparcie kompetencyjne przez dostęp </w:t>
            </w:r>
            <w:r w:rsidRPr="00D24DF9">
              <w:rPr>
                <w:rFonts w:ascii="Times New Roman" w:eastAsia="MS Mincho" w:hAnsi="Times New Roman"/>
                <w:sz w:val="20"/>
              </w:rPr>
              <w:br/>
              <w:t>do tzw. tematycznych bibliotek wiedzy online wraz z tutoringiem (metoda edukacji zindywidualizowanej)</w:t>
            </w:r>
          </w:p>
        </w:tc>
        <w:tc>
          <w:tcPr>
            <w:tcW w:w="2032" w:type="dxa"/>
            <w:vMerge w:val="restart"/>
            <w:shd w:val="clear" w:color="auto" w:fill="FFFFFF" w:themeFill="background1"/>
          </w:tcPr>
          <w:p w14:paraId="625B942A"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tc>
        <w:tc>
          <w:tcPr>
            <w:tcW w:w="1500" w:type="dxa"/>
            <w:vMerge w:val="restart"/>
            <w:shd w:val="clear" w:color="auto" w:fill="FFFFFF" w:themeFill="background1"/>
          </w:tcPr>
          <w:p w14:paraId="6E500D0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1011F7AE"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przeprowadzonych szkoleń w zakresie podstawowej opieki i rehabilitacji oraz wsparcie kompetencyjne przez dostęp do tzw. tematycznych bibliotek wiedzy online wraz z tutoringiem</w:t>
            </w:r>
          </w:p>
        </w:tc>
      </w:tr>
      <w:tr w:rsidR="005F3D4B" w:rsidRPr="00D24DF9" w14:paraId="7002D469"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668F7228" w14:textId="77777777" w:rsidR="00311D18" w:rsidRPr="00D24DF9" w:rsidRDefault="00311D18" w:rsidP="003C1988">
            <w:pPr>
              <w:spacing w:after="0"/>
              <w:rPr>
                <w:rFonts w:ascii="Times New Roman" w:hAnsi="Times New Roman" w:cs="Times New Roman"/>
                <w:sz w:val="20"/>
              </w:rPr>
            </w:pPr>
          </w:p>
        </w:tc>
        <w:tc>
          <w:tcPr>
            <w:tcW w:w="3594" w:type="dxa"/>
            <w:vMerge/>
          </w:tcPr>
          <w:p w14:paraId="281B500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3AD930A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392C1491"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6B1DC45B"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r w:rsidR="005F3D4B" w:rsidRPr="00D24DF9" w14:paraId="43D71174" w14:textId="77777777" w:rsidTr="004D48DD">
        <w:trPr>
          <w:cnfStyle w:val="000000100000" w:firstRow="0" w:lastRow="0" w:firstColumn="0" w:lastColumn="0" w:oddVBand="0" w:evenVBand="0" w:oddHBand="1" w:evenHBand="0" w:firstRowFirstColumn="0" w:firstRowLastColumn="0" w:lastRowFirstColumn="0" w:lastRowLastColumn="0"/>
          <w:trHeight w:val="662"/>
        </w:trPr>
        <w:tc>
          <w:tcPr>
            <w:cnfStyle w:val="001000000000" w:firstRow="0" w:lastRow="0" w:firstColumn="1" w:lastColumn="0" w:oddVBand="0" w:evenVBand="0" w:oddHBand="0" w:evenHBand="0" w:firstRowFirstColumn="0" w:firstRowLastColumn="0" w:lastRowFirstColumn="0" w:lastRowLastColumn="0"/>
            <w:tcW w:w="1232" w:type="dxa"/>
            <w:vMerge w:val="restart"/>
            <w:shd w:val="clear" w:color="auto" w:fill="FFFFFF" w:themeFill="background1"/>
          </w:tcPr>
          <w:p w14:paraId="379BBC00"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6C882F9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Wsparcie opiekunów nieformalnych niesamodzielnych osób starszych, </w:t>
            </w:r>
            <w:r w:rsidRPr="00D24DF9">
              <w:rPr>
                <w:rFonts w:ascii="Times New Roman" w:eastAsia="MS Mincho" w:hAnsi="Times New Roman"/>
                <w:sz w:val="20"/>
              </w:rPr>
              <w:br/>
              <w:t>w tym:</w:t>
            </w:r>
          </w:p>
          <w:p w14:paraId="3F9629F7" w14:textId="77777777" w:rsidR="00311D18" w:rsidRPr="00D24DF9" w:rsidRDefault="00311D18" w:rsidP="00B14DF0">
            <w:pPr>
              <w:pStyle w:val="Kolorowalistaakcent11"/>
              <w:numPr>
                <w:ilvl w:val="0"/>
                <w:numId w:val="3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upowszechnianie wiedzy na temat opieki nad niesamodzielną osobą starszą dla zwiększenia zaangażowania w opiekę opiekunów nieformalnych;</w:t>
            </w:r>
          </w:p>
          <w:p w14:paraId="7ED4C377" w14:textId="77777777" w:rsidR="00311D18" w:rsidRPr="00D24DF9" w:rsidRDefault="00311D18" w:rsidP="00B14DF0">
            <w:pPr>
              <w:pStyle w:val="Kolorowalistaakcent11"/>
              <w:numPr>
                <w:ilvl w:val="0"/>
                <w:numId w:val="35"/>
              </w:numPr>
              <w:spacing w:after="0"/>
              <w:ind w:left="360"/>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D24DF9">
              <w:rPr>
                <w:rFonts w:ascii="Times New Roman" w:eastAsia="MS Mincho" w:hAnsi="Times New Roman"/>
                <w:sz w:val="20"/>
              </w:rPr>
              <w:t>tworzenie i rozwijanie form wsparcia dla opiekunów osób niesamodzielnych w tym mieszkań chronionych</w:t>
            </w:r>
          </w:p>
        </w:tc>
        <w:tc>
          <w:tcPr>
            <w:tcW w:w="2032" w:type="dxa"/>
            <w:vMerge w:val="restart"/>
            <w:shd w:val="clear" w:color="auto" w:fill="FFFFFF" w:themeFill="background1"/>
          </w:tcPr>
          <w:p w14:paraId="435BAB2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Ministerstwo Rodziny, Pracy </w:t>
            </w:r>
            <w:r w:rsidRPr="00D24DF9">
              <w:rPr>
                <w:rFonts w:ascii="Times New Roman" w:eastAsia="MS Mincho" w:hAnsi="Times New Roman"/>
                <w:sz w:val="20"/>
              </w:rPr>
              <w:br/>
              <w:t>i Polityki Społecznej</w:t>
            </w:r>
          </w:p>
          <w:p w14:paraId="2EC21259"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66469AA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2018-2020</w:t>
            </w:r>
          </w:p>
        </w:tc>
        <w:tc>
          <w:tcPr>
            <w:tcW w:w="5638" w:type="dxa"/>
            <w:shd w:val="clear" w:color="auto" w:fill="auto"/>
          </w:tcPr>
          <w:p w14:paraId="3DA6D21A" w14:textId="77777777" w:rsidR="00311D18" w:rsidRPr="00D24DF9" w:rsidRDefault="00311D18" w:rsidP="003C1988">
            <w:pPr>
              <w:spacing w:after="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b/>
                <w:i/>
                <w:sz w:val="20"/>
                <w:u w:val="single"/>
              </w:rPr>
            </w:pPr>
            <w:r w:rsidRPr="00D24DF9">
              <w:rPr>
                <w:rFonts w:ascii="Times New Roman" w:eastAsia="MS Mincho" w:hAnsi="Times New Roman" w:cs="Times New Roman"/>
                <w:i/>
                <w:sz w:val="20"/>
              </w:rPr>
              <w:t>Liczba zrealizowanych działań mających na celu wsparcie opiekunów nieformalnych osób niesamodzielnych</w:t>
            </w:r>
          </w:p>
        </w:tc>
      </w:tr>
      <w:tr w:rsidR="005F3D4B" w:rsidRPr="00D24DF9" w14:paraId="6A211148"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2CC55919" w14:textId="77777777" w:rsidR="00311D18" w:rsidRPr="00D24DF9" w:rsidRDefault="00311D18" w:rsidP="003C1988">
            <w:pPr>
              <w:spacing w:after="0"/>
              <w:rPr>
                <w:rFonts w:ascii="Times New Roman" w:hAnsi="Times New Roman" w:cs="Times New Roman"/>
                <w:sz w:val="20"/>
              </w:rPr>
            </w:pPr>
          </w:p>
        </w:tc>
        <w:tc>
          <w:tcPr>
            <w:tcW w:w="3594" w:type="dxa"/>
            <w:vMerge/>
          </w:tcPr>
          <w:p w14:paraId="29F7D246"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234A9821"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7FBAF583"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4269A664" w14:textId="77777777" w:rsidR="00311D18" w:rsidRPr="00D24DF9" w:rsidRDefault="00CA69F6"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D24DF9">
              <w:rPr>
                <w:rFonts w:ascii="Times New Roman" w:eastAsia="MS Mincho" w:hAnsi="Times New Roman" w:cs="Times New Roman"/>
                <w:sz w:val="20"/>
              </w:rPr>
              <w:t xml:space="preserve">W RPO ze środków EFS rozwijane są usługi społeczne </w:t>
            </w:r>
            <w:r w:rsidRPr="00D24DF9">
              <w:rPr>
                <w:rFonts w:ascii="Times New Roman" w:eastAsia="Calibri" w:hAnsi="Times New Roman" w:cs="Times New Roman"/>
                <w:sz w:val="20"/>
              </w:rPr>
              <w:t xml:space="preserve"> </w:t>
            </w:r>
            <w:r w:rsidRPr="00D24DF9">
              <w:rPr>
                <w:rFonts w:ascii="Times New Roman" w:eastAsia="MS Mincho" w:hAnsi="Times New Roman" w:cs="Times New Roman"/>
                <w:sz w:val="20"/>
              </w:rPr>
              <w:t xml:space="preserve">świadczone w społeczności lokalnej w ramach PI 9iv </w:t>
            </w:r>
            <w:r w:rsidRPr="00D24DF9">
              <w:rPr>
                <w:rFonts w:ascii="Times New Roman" w:eastAsia="MS Mincho" w:hAnsi="Times New Roman" w:cs="Times New Roman"/>
                <w:i/>
                <w:sz w:val="20"/>
              </w:rPr>
              <w:t>Ułatwianie dostępu do przystępnych cenowo, trwałych oraz wysokiej jakości usług, w tym opieki</w:t>
            </w:r>
            <w:r w:rsidRPr="00D24DF9">
              <w:rPr>
                <w:rFonts w:ascii="Times New Roman" w:eastAsia="MS Mincho" w:hAnsi="Times New Roman" w:cs="Times New Roman"/>
                <w:sz w:val="20"/>
              </w:rPr>
              <w:t xml:space="preserve"> </w:t>
            </w:r>
            <w:r w:rsidRPr="00D24DF9">
              <w:rPr>
                <w:rFonts w:ascii="Times New Roman" w:eastAsia="MS Mincho" w:hAnsi="Times New Roman" w:cs="Times New Roman"/>
                <w:i/>
                <w:sz w:val="20"/>
              </w:rPr>
              <w:t>zdrowotnej i usług socjalnych świadczonych w interesie ogólnym.</w:t>
            </w:r>
            <w:r w:rsidRPr="00D24DF9">
              <w:rPr>
                <w:rFonts w:ascii="Times New Roman" w:eastAsia="MS Mincho" w:hAnsi="Times New Roman" w:cs="Times New Roman"/>
                <w:sz w:val="20"/>
              </w:rPr>
              <w:t xml:space="preserve"> </w:t>
            </w:r>
            <w:r w:rsidRPr="00D24DF9">
              <w:rPr>
                <w:rFonts w:ascii="Times New Roman" w:eastAsia="Calibri" w:hAnsi="Times New Roman" w:cs="Times New Roman"/>
                <w:sz w:val="20"/>
              </w:rPr>
              <w:t xml:space="preserve"> </w:t>
            </w:r>
            <w:r w:rsidRPr="00D24DF9">
              <w:rPr>
                <w:rFonts w:ascii="Times New Roman" w:eastAsia="MS Mincho" w:hAnsi="Times New Roman" w:cs="Times New Roman"/>
                <w:sz w:val="20"/>
              </w:rPr>
              <w:t>Mogą to być m.in. usługi opiekuńcze w zakresie krótkookresowego dziennego pobytu, których celem jest zapewnienie opieki dla osób potrzebujących wsparcia w codziennym funkcjonowaniu, w tym w zastępstwie za opiekunów faktycznych czy mieszkań wspomaganych. Możliwe jest</w:t>
            </w:r>
            <w:r w:rsidRPr="00D24DF9">
              <w:rPr>
                <w:rFonts w:ascii="Times New Roman" w:eastAsia="Calibri" w:hAnsi="Times New Roman" w:cs="Times New Roman"/>
                <w:sz w:val="20"/>
              </w:rPr>
              <w:t xml:space="preserve"> </w:t>
            </w:r>
            <w:r w:rsidRPr="00D24DF9">
              <w:rPr>
                <w:rFonts w:ascii="Times New Roman" w:eastAsia="MS Mincho" w:hAnsi="Times New Roman" w:cs="Times New Roman"/>
                <w:sz w:val="20"/>
              </w:rPr>
              <w:t>tworzenie miejsc pobytu okresowego (opieka wytchnieniowa) lub stałego jako miejsc w mieszkaniach wspomaganych w formie mieszkań wspieranych.</w:t>
            </w:r>
          </w:p>
        </w:tc>
      </w:tr>
      <w:tr w:rsidR="005F3D4B" w:rsidRPr="00D24DF9" w14:paraId="5DE3314F"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shd w:val="clear" w:color="auto" w:fill="FFFFFF" w:themeFill="background1"/>
          </w:tcPr>
          <w:p w14:paraId="11A0F7E3"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6752753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Promowanie działań oddolnych, jak banki czasu, banki informacji, grupy wsparcia i grupy samopomocowe</w:t>
            </w:r>
          </w:p>
        </w:tc>
        <w:tc>
          <w:tcPr>
            <w:tcW w:w="2032" w:type="dxa"/>
            <w:vMerge w:val="restart"/>
            <w:shd w:val="clear" w:color="auto" w:fill="FFFFFF" w:themeFill="background1"/>
          </w:tcPr>
          <w:p w14:paraId="61669557"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w:t>
            </w:r>
          </w:p>
          <w:p w14:paraId="377C21D1"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302A286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p>
        </w:tc>
        <w:tc>
          <w:tcPr>
            <w:tcW w:w="5638" w:type="dxa"/>
            <w:shd w:val="clear" w:color="auto" w:fill="auto"/>
          </w:tcPr>
          <w:p w14:paraId="5C5C598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zrealizowanych działań mających na celu promowanie działań oddolnych, jak banki czasu, banki informacji, grupy wsparcia i grupy samopomocowe</w:t>
            </w:r>
          </w:p>
        </w:tc>
      </w:tr>
      <w:tr w:rsidR="005F3D4B" w:rsidRPr="00D24DF9" w14:paraId="466A3828"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6FE79669" w14:textId="77777777" w:rsidR="00311D18" w:rsidRPr="00D24DF9" w:rsidRDefault="00311D18" w:rsidP="003C1988">
            <w:pPr>
              <w:spacing w:after="0"/>
              <w:rPr>
                <w:rFonts w:ascii="Times New Roman" w:hAnsi="Times New Roman" w:cs="Times New Roman"/>
                <w:sz w:val="20"/>
              </w:rPr>
            </w:pPr>
          </w:p>
        </w:tc>
        <w:tc>
          <w:tcPr>
            <w:tcW w:w="3594" w:type="dxa"/>
            <w:vMerge/>
          </w:tcPr>
          <w:p w14:paraId="22823DDF"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798C5412"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1782425C"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7B3874CC" w14:textId="77777777" w:rsidR="00311D18" w:rsidRPr="00B47826" w:rsidRDefault="00B47826"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B47826">
              <w:rPr>
                <w:rFonts w:ascii="Times New Roman" w:eastAsia="MS Mincho" w:hAnsi="Times New Roman"/>
                <w:sz w:val="20"/>
              </w:rPr>
              <w:t>Dofinansowanych zostało 13 ofert w ramach programu Fundusz Inicjatyw Obywatelskich, które w sposób bezpośredni lub pośredni odnoszą się do osób starszych. Wnioski zostały złożone w ramach Priorytetu 2: Aktywne społeczeństwo, gdzie jednym z wiodących obszarów wsparcia jest aktywizacja obywateli w sprawach wspólnotowych oraz wspieranie aktywnych form integracji społecznej. Jak również w zakresie Priorytetu 3: Aktywni obywatele, w ramach którego jednym z głównych obszarów wsparcia jest rozwijanie edukacji obywatelskiej i kompetencji społecznych. Przytoczone kierunki nakierowane są na wspomaganie działań mających na celu uczestnictwo w życiu społecznym oraz wspieranie wszelkich form aktywności obywatelskiej i kulturalnej poprzez tworzenie warunków umożliwiających wykorzystanie potencjału beneficjentów, w tym także osób starszych, jako aktywnych uczestników życia społecznego i publicznego, jak również tworzenie warunków do solidarności i integracji międzypokoleniowej. Sumarycznie kwota dofinansowania wyniosła 2 142 769,80 zł.</w:t>
            </w:r>
          </w:p>
          <w:p w14:paraId="3FE5AAD9" w14:textId="77777777" w:rsidR="00B47826" w:rsidRPr="00B47826" w:rsidRDefault="00B47826"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p w14:paraId="68D820AB" w14:textId="77777777" w:rsidR="00B47826" w:rsidRPr="00D24DF9" w:rsidRDefault="00B47826"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B47826">
              <w:rPr>
                <w:rFonts w:ascii="Times New Roman" w:eastAsia="MS Mincho" w:hAnsi="Times New Roman" w:cs="Times New Roman"/>
                <w:sz w:val="20"/>
              </w:rPr>
              <w:t>W ramach Programu Fundusz Inicjatyw Obywatelskich  co roku ogłaszany jest otwarty konkurs ofert, w którym wyłaniane i dofinansowane są najwyżej ocenione projekty złożone przez organizacje   pozarządowe. Na wartość miernika osiągniętą w roku 2019 składają się 13 wniosków dofinansowanych w ramach edycji 2019.</w:t>
            </w:r>
          </w:p>
        </w:tc>
      </w:tr>
      <w:tr w:rsidR="005F3D4B" w:rsidRPr="00D24DF9" w14:paraId="677068A8"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shd w:val="clear" w:color="auto" w:fill="FFFFFF" w:themeFill="background1"/>
          </w:tcPr>
          <w:p w14:paraId="73F92FEB"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39B03EF6"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hAnsi="Times New Roman"/>
                <w:sz w:val="20"/>
              </w:rPr>
              <w:t xml:space="preserve">Włączenie organizacji pozarządowych i podmiotów, o których mowa w art. 3 ust. 3 ustawy o działalności pożytku publicznego i o wolontariacie, w praktyki rozwoju wsparcia opiekunów osób </w:t>
            </w:r>
            <w:r w:rsidRPr="00D24DF9">
              <w:rPr>
                <w:rFonts w:ascii="Times New Roman" w:hAnsi="Times New Roman"/>
                <w:sz w:val="20"/>
              </w:rPr>
              <w:lastRenderedPageBreak/>
              <w:t>niesamodzielnych na poziomie lokalnych projektów</w:t>
            </w:r>
          </w:p>
        </w:tc>
        <w:tc>
          <w:tcPr>
            <w:tcW w:w="2032" w:type="dxa"/>
            <w:vMerge w:val="restart"/>
            <w:shd w:val="clear" w:color="auto" w:fill="FFFFFF" w:themeFill="background1"/>
          </w:tcPr>
          <w:p w14:paraId="396C2F1F"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lastRenderedPageBreak/>
              <w:t>Komitet do spraw Pożytku Publicznego</w:t>
            </w:r>
          </w:p>
          <w:p w14:paraId="0658843E"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0CD5F90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07BFEF85"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p>
        </w:tc>
        <w:tc>
          <w:tcPr>
            <w:tcW w:w="5638" w:type="dxa"/>
            <w:shd w:val="clear" w:color="auto" w:fill="auto"/>
          </w:tcPr>
          <w:p w14:paraId="6954709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 xml:space="preserve">Liczba </w:t>
            </w:r>
            <w:r w:rsidRPr="00D24DF9">
              <w:rPr>
                <w:rFonts w:ascii="Times New Roman" w:hAnsi="Times New Roman"/>
                <w:i/>
                <w:sz w:val="20"/>
              </w:rPr>
              <w:t>organizacji pozarządowych i podmiotów, o których mowa w art. 3ust. 3 ustawy o działalności pożytku publicznego i o wolontariacie,</w:t>
            </w:r>
            <w:r w:rsidRPr="00D24DF9">
              <w:rPr>
                <w:rFonts w:ascii="Times New Roman" w:eastAsia="MS Mincho" w:hAnsi="Times New Roman"/>
                <w:i/>
                <w:sz w:val="20"/>
              </w:rPr>
              <w:t xml:space="preserve"> wspartych lokalnych projektów  realizowanych przez  w obszarze rozwoju wsparcia opiekunów osób niesamodzielnych</w:t>
            </w:r>
          </w:p>
        </w:tc>
      </w:tr>
      <w:tr w:rsidR="005F3D4B" w:rsidRPr="00D24DF9" w14:paraId="1CC5D47A"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5E6BF562" w14:textId="77777777" w:rsidR="00311D18" w:rsidRPr="00D24DF9" w:rsidRDefault="00311D18" w:rsidP="003C1988">
            <w:pPr>
              <w:spacing w:after="0"/>
              <w:rPr>
                <w:rFonts w:ascii="Times New Roman" w:hAnsi="Times New Roman" w:cs="Times New Roman"/>
                <w:sz w:val="20"/>
              </w:rPr>
            </w:pPr>
          </w:p>
        </w:tc>
        <w:tc>
          <w:tcPr>
            <w:tcW w:w="3594" w:type="dxa"/>
            <w:vMerge/>
          </w:tcPr>
          <w:p w14:paraId="6EB19035"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2CF638C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7CEC8640"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18E7374B" w14:textId="77777777" w:rsidR="00311D18" w:rsidRPr="00B47826" w:rsidRDefault="00B47826"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r w:rsidRPr="00B47826">
              <w:rPr>
                <w:rFonts w:ascii="Times New Roman" w:eastAsia="MS Mincho" w:hAnsi="Times New Roman"/>
                <w:sz w:val="20"/>
              </w:rPr>
              <w:t>Dofinansowanych zostało 13 ofert w ramach programu Fundusz Inicjatyw Obywatelskich, które w sposób bezpośredni lub pośredni odnoszą się do osób starszych. Wnioski zostały złożone w ramach Priorytetu 2: Aktywne społeczeństwo, gdzie jednym z wiodących obszarów wsparcia jest aktywizacja obywateli w sprawach wspólnotowych oraz wspieranie aktywnych form integracji społecznej. Jak również w zakresie Priorytetu 3: Aktywni obywatele, w ramach którego jednym z głównych obszarów wsparcia jest rozwijanie edukacji obywatelskiej i kompetencji społecznych. Przytoczone kierunki nakierowane są na wspomaganie działań mających na celu uczestnictwo w życiu społecznym oraz wspieranie wszelkich form aktywności obywatelskiej i kulturalnej poprzez tworzenie warunków umożliwiających wykorzystanie potencjału beneficjentów, w tym także osób starszych, jako aktywnych uczestników życia społecznego i publicznego, jak również tworzenie warunków do solidarności i integracji międzypokoleniowej. Sumarycznie kwota dofinansowania wyniosła 2 142 769,80 zł.</w:t>
            </w:r>
          </w:p>
          <w:p w14:paraId="7940FD67" w14:textId="77777777" w:rsidR="00B47826" w:rsidRPr="00B47826" w:rsidRDefault="00B47826"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p w14:paraId="4D464B5C" w14:textId="77777777" w:rsidR="00B47826" w:rsidRPr="00D24DF9" w:rsidRDefault="00B47826"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r w:rsidRPr="00B47826">
              <w:rPr>
                <w:rFonts w:ascii="Times New Roman" w:eastAsia="MS Mincho" w:hAnsi="Times New Roman" w:cs="Times New Roman"/>
                <w:sz w:val="20"/>
              </w:rPr>
              <w:t>W ramach Programu Fundusz Inicjatyw Obywatelskich co roku ogłaszany jest otwarty konkurs ofert, w którym wyłaniane i dofinansowane są najwyżej ocenione projekty złożone przez organizacje pozarządowe. Na wartość miernika osiągniętą w roku 2019 składają się 13 wniosków dofinansowanych w ramach edycji 2019.</w:t>
            </w:r>
          </w:p>
        </w:tc>
      </w:tr>
      <w:tr w:rsidR="005F3D4B" w:rsidRPr="00D24DF9" w14:paraId="0952B0AC" w14:textId="77777777" w:rsidTr="004D48DD">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232" w:type="dxa"/>
            <w:vMerge w:val="restart"/>
            <w:shd w:val="clear" w:color="auto" w:fill="FFFFFF" w:themeFill="background1"/>
          </w:tcPr>
          <w:p w14:paraId="6C750DCE" w14:textId="77777777" w:rsidR="00311D18" w:rsidRPr="00D24DF9" w:rsidRDefault="00311D18" w:rsidP="003C1988">
            <w:pPr>
              <w:spacing w:after="0"/>
              <w:rPr>
                <w:rFonts w:ascii="Times New Roman" w:hAnsi="Times New Roman" w:cs="Times New Roman"/>
                <w:sz w:val="20"/>
              </w:rPr>
            </w:pPr>
          </w:p>
        </w:tc>
        <w:tc>
          <w:tcPr>
            <w:tcW w:w="3594" w:type="dxa"/>
            <w:vMerge w:val="restart"/>
          </w:tcPr>
          <w:p w14:paraId="619F8E98"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 xml:space="preserve">Włączanie w proces wsparcia osób niesamodzielnych i ich opiekunów przedstawicieli Kościoła Katolickiego </w:t>
            </w:r>
            <w:r w:rsidRPr="00D24DF9">
              <w:rPr>
                <w:rFonts w:ascii="Times New Roman" w:eastAsia="MS Mincho" w:hAnsi="Times New Roman"/>
                <w:sz w:val="20"/>
              </w:rPr>
              <w:br/>
              <w:t>i innych związków wyznaniowych</w:t>
            </w:r>
          </w:p>
        </w:tc>
        <w:tc>
          <w:tcPr>
            <w:tcW w:w="2032" w:type="dxa"/>
            <w:vMerge w:val="restart"/>
            <w:shd w:val="clear" w:color="auto" w:fill="FFFFFF" w:themeFill="background1"/>
          </w:tcPr>
          <w:p w14:paraId="412E59AD"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Komitet do spraw Pożytku Publicznego</w:t>
            </w:r>
          </w:p>
          <w:p w14:paraId="2A331060"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p w14:paraId="0407F424"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p>
        </w:tc>
        <w:tc>
          <w:tcPr>
            <w:tcW w:w="1500" w:type="dxa"/>
            <w:vMerge w:val="restart"/>
            <w:shd w:val="clear" w:color="auto" w:fill="FFFFFF" w:themeFill="background1"/>
          </w:tcPr>
          <w:p w14:paraId="402DC492"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sz w:val="20"/>
              </w:rPr>
            </w:pPr>
            <w:r w:rsidRPr="00D24DF9">
              <w:rPr>
                <w:rFonts w:ascii="Times New Roman" w:eastAsia="MS Mincho" w:hAnsi="Times New Roman"/>
                <w:sz w:val="20"/>
              </w:rPr>
              <w:t>Działanie ciągłe*</w:t>
            </w:r>
          </w:p>
        </w:tc>
        <w:tc>
          <w:tcPr>
            <w:tcW w:w="5638" w:type="dxa"/>
            <w:shd w:val="clear" w:color="auto" w:fill="auto"/>
          </w:tcPr>
          <w:p w14:paraId="36DAF76C" w14:textId="77777777" w:rsidR="00311D18" w:rsidRPr="00D24DF9" w:rsidRDefault="00311D18" w:rsidP="003C1988">
            <w:pPr>
              <w:pStyle w:val="Kolorowalistaakcent11"/>
              <w:spacing w:after="0"/>
              <w:ind w:left="0"/>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i/>
                <w:sz w:val="20"/>
              </w:rPr>
            </w:pPr>
            <w:r w:rsidRPr="00D24DF9">
              <w:rPr>
                <w:rFonts w:ascii="Times New Roman" w:eastAsia="MS Mincho" w:hAnsi="Times New Roman"/>
                <w:i/>
                <w:sz w:val="20"/>
              </w:rPr>
              <w:t>Liczba wspartych podmiotów Kościoła Katolickiego i innych związków wyznaniowych w obszarze wsparcia osób niesamodzielnych i ich opiekunów</w:t>
            </w:r>
          </w:p>
        </w:tc>
      </w:tr>
      <w:tr w:rsidR="005F3D4B" w:rsidRPr="00D24DF9" w14:paraId="50183619" w14:textId="77777777" w:rsidTr="004D48DD">
        <w:trPr>
          <w:trHeight w:val="720"/>
        </w:trPr>
        <w:tc>
          <w:tcPr>
            <w:cnfStyle w:val="001000000000" w:firstRow="0" w:lastRow="0" w:firstColumn="1" w:lastColumn="0" w:oddVBand="0" w:evenVBand="0" w:oddHBand="0" w:evenHBand="0" w:firstRowFirstColumn="0" w:firstRowLastColumn="0" w:lastRowFirstColumn="0" w:lastRowLastColumn="0"/>
            <w:tcW w:w="1232" w:type="dxa"/>
            <w:vMerge/>
            <w:shd w:val="clear" w:color="auto" w:fill="FFFFFF" w:themeFill="background1"/>
          </w:tcPr>
          <w:p w14:paraId="44506012" w14:textId="77777777" w:rsidR="00311D18" w:rsidRPr="00D24DF9" w:rsidRDefault="00311D18" w:rsidP="003C1988">
            <w:pPr>
              <w:spacing w:after="0"/>
              <w:rPr>
                <w:rFonts w:ascii="Times New Roman" w:hAnsi="Times New Roman" w:cs="Times New Roman"/>
                <w:sz w:val="20"/>
              </w:rPr>
            </w:pPr>
          </w:p>
        </w:tc>
        <w:tc>
          <w:tcPr>
            <w:tcW w:w="3594" w:type="dxa"/>
            <w:vMerge/>
          </w:tcPr>
          <w:p w14:paraId="5A82651C"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2032" w:type="dxa"/>
            <w:vMerge/>
            <w:shd w:val="clear" w:color="auto" w:fill="FFFFFF" w:themeFill="background1"/>
          </w:tcPr>
          <w:p w14:paraId="576DC374" w14:textId="77777777" w:rsidR="00311D18" w:rsidRPr="00D24DF9" w:rsidRDefault="00311D18" w:rsidP="003C1988">
            <w:pPr>
              <w:pStyle w:val="Kolorowalistaakcent11"/>
              <w:spacing w:after="0"/>
              <w:ind w:left="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sz w:val="20"/>
              </w:rPr>
            </w:pPr>
          </w:p>
        </w:tc>
        <w:tc>
          <w:tcPr>
            <w:tcW w:w="1500" w:type="dxa"/>
            <w:vMerge/>
            <w:shd w:val="clear" w:color="auto" w:fill="FFFFFF" w:themeFill="background1"/>
          </w:tcPr>
          <w:p w14:paraId="28F022A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sz w:val="20"/>
              </w:rPr>
            </w:pPr>
          </w:p>
        </w:tc>
        <w:tc>
          <w:tcPr>
            <w:tcW w:w="5638" w:type="dxa"/>
            <w:shd w:val="clear" w:color="auto" w:fill="D9E2F3" w:themeFill="accent5" w:themeFillTint="33"/>
          </w:tcPr>
          <w:p w14:paraId="1F6DBDD4" w14:textId="77777777" w:rsidR="00311D18" w:rsidRPr="00D24DF9" w:rsidRDefault="00311D18" w:rsidP="003C1988">
            <w:pPr>
              <w:spacing w:after="0"/>
              <w:cnfStyle w:val="000000000000" w:firstRow="0" w:lastRow="0" w:firstColumn="0" w:lastColumn="0" w:oddVBand="0" w:evenVBand="0" w:oddHBand="0" w:evenHBand="0" w:firstRowFirstColumn="0" w:firstRowLastColumn="0" w:lastRowFirstColumn="0" w:lastRowLastColumn="0"/>
              <w:rPr>
                <w:rFonts w:ascii="Times New Roman" w:eastAsia="MS Mincho" w:hAnsi="Times New Roman" w:cs="Times New Roman"/>
                <w:b/>
                <w:sz w:val="20"/>
                <w:u w:val="single"/>
              </w:rPr>
            </w:pPr>
          </w:p>
        </w:tc>
      </w:tr>
    </w:tbl>
    <w:p w14:paraId="4BE02CE1" w14:textId="77777777" w:rsidR="00311D18" w:rsidRPr="009A1C19" w:rsidRDefault="00311D18" w:rsidP="003C1988">
      <w:pPr>
        <w:autoSpaceDE w:val="0"/>
        <w:autoSpaceDN w:val="0"/>
        <w:adjustRightInd w:val="0"/>
        <w:spacing w:before="120" w:after="120"/>
        <w:rPr>
          <w:rFonts w:ascii="Times New Roman" w:hAnsi="Times New Roman" w:cs="Times New Roman"/>
          <w:bCs/>
          <w:sz w:val="24"/>
          <w:szCs w:val="24"/>
        </w:rPr>
      </w:pPr>
    </w:p>
    <w:p w14:paraId="72269EBC" w14:textId="77777777" w:rsidR="009A1C19" w:rsidRPr="009A1C19" w:rsidRDefault="009A1C19" w:rsidP="003C1988">
      <w:pPr>
        <w:rPr>
          <w:lang w:eastAsia="ar-SA"/>
        </w:rPr>
      </w:pPr>
    </w:p>
    <w:p w14:paraId="4EA47AD2" w14:textId="77777777" w:rsidR="00311D18" w:rsidRDefault="00311D18" w:rsidP="008C71A9">
      <w:pPr>
        <w:pStyle w:val="Nagwek1"/>
        <w:numPr>
          <w:ilvl w:val="0"/>
          <w:numId w:val="97"/>
        </w:numPr>
        <w:rPr>
          <w:lang w:eastAsia="ar-SA"/>
        </w:rPr>
        <w:sectPr w:rsidR="00311D18" w:rsidSect="00311D18">
          <w:pgSz w:w="16840" w:h="11906" w:orient="landscape"/>
          <w:pgMar w:top="1418" w:right="1418" w:bottom="1418" w:left="1417" w:header="708" w:footer="708" w:gutter="0"/>
          <w:cols w:space="708"/>
          <w:docGrid w:linePitch="360"/>
        </w:sectPr>
      </w:pPr>
    </w:p>
    <w:p w14:paraId="1708B31E" w14:textId="77777777" w:rsidR="00475EFA" w:rsidRPr="00697B76" w:rsidRDefault="00B25D75" w:rsidP="00AF051D">
      <w:pPr>
        <w:pStyle w:val="Nagwek1"/>
        <w:numPr>
          <w:ilvl w:val="0"/>
          <w:numId w:val="0"/>
        </w:numPr>
        <w:spacing w:after="240"/>
        <w:rPr>
          <w:rFonts w:cs="Times New Roman"/>
          <w:color w:val="2F5496" w:themeColor="accent5" w:themeShade="BF"/>
          <w:sz w:val="40"/>
          <w:lang w:eastAsia="ar-SA"/>
        </w:rPr>
      </w:pPr>
      <w:bookmarkStart w:id="163" w:name="_Toc49171373"/>
      <w:r w:rsidRPr="00697B76">
        <w:rPr>
          <w:rFonts w:cs="Times New Roman"/>
          <w:color w:val="2F5496" w:themeColor="accent5" w:themeShade="BF"/>
          <w:sz w:val="40"/>
          <w:lang w:eastAsia="ar-SA"/>
        </w:rPr>
        <w:lastRenderedPageBreak/>
        <w:t>Wnioski i rekomendacje</w:t>
      </w:r>
      <w:bookmarkEnd w:id="163"/>
    </w:p>
    <w:p w14:paraId="43CC3DCC" w14:textId="77777777" w:rsidR="00807D14" w:rsidRDefault="00807D14" w:rsidP="00807D14">
      <w:pPr>
        <w:spacing w:after="0"/>
        <w:jc w:val="both"/>
        <w:rPr>
          <w:rFonts w:ascii="Times New Roman" w:eastAsia="Calibri" w:hAnsi="Times New Roman" w:cs="Times New Roman"/>
          <w:sz w:val="24"/>
          <w:szCs w:val="24"/>
        </w:rPr>
      </w:pPr>
    </w:p>
    <w:p w14:paraId="0D6B81EC" w14:textId="77777777" w:rsidR="00807D14" w:rsidRDefault="00807D14" w:rsidP="0057316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Jednym z priorytetowych działań </w:t>
      </w:r>
      <w:r w:rsidR="004006D7">
        <w:rPr>
          <w:rFonts w:ascii="Times New Roman" w:eastAsia="Calibri" w:hAnsi="Times New Roman" w:cs="Times New Roman"/>
          <w:sz w:val="24"/>
          <w:szCs w:val="24"/>
        </w:rPr>
        <w:t xml:space="preserve">w nadchodzących latach </w:t>
      </w:r>
      <w:r>
        <w:rPr>
          <w:rFonts w:ascii="Times New Roman" w:eastAsia="Calibri" w:hAnsi="Times New Roman" w:cs="Times New Roman"/>
          <w:sz w:val="24"/>
          <w:szCs w:val="24"/>
        </w:rPr>
        <w:t>jest rozwój polityki społecznej wobec osób starszych, zapewniającej samodzielne</w:t>
      </w:r>
      <w:r w:rsidRPr="00D87D80">
        <w:rPr>
          <w:rFonts w:ascii="Times New Roman" w:eastAsia="Calibri" w:hAnsi="Times New Roman" w:cs="Times New Roman"/>
          <w:sz w:val="24"/>
          <w:szCs w:val="24"/>
        </w:rPr>
        <w:t>, niezależne</w:t>
      </w:r>
      <w:r>
        <w:rPr>
          <w:rFonts w:ascii="Times New Roman" w:eastAsia="Calibri" w:hAnsi="Times New Roman" w:cs="Times New Roman"/>
          <w:sz w:val="24"/>
          <w:szCs w:val="24"/>
        </w:rPr>
        <w:t xml:space="preserve"> i satysfakcjonujące życie w okresie starości. Narzędziem ułatwiającym realizację tych działań jest opracowana w Ministerstwie Rodziny, Pracy i Polityki Społecznej </w:t>
      </w:r>
      <w:r w:rsidRPr="00716CA1">
        <w:rPr>
          <w:rFonts w:ascii="Times New Roman" w:eastAsia="Calibri" w:hAnsi="Times New Roman" w:cs="Times New Roman"/>
          <w:i/>
          <w:sz w:val="24"/>
          <w:szCs w:val="24"/>
        </w:rPr>
        <w:t>Polityka społeczna wobec osób starszych 2030. Bezpieczeństwo – Uczestnictwo – Solidarność</w:t>
      </w:r>
      <w:r>
        <w:rPr>
          <w:rFonts w:ascii="Times New Roman" w:eastAsia="Calibri" w:hAnsi="Times New Roman" w:cs="Times New Roman"/>
          <w:sz w:val="24"/>
          <w:szCs w:val="24"/>
        </w:rPr>
        <w:t xml:space="preserve">, który wyznacza kluczowe kierunki działań w zakresie polityki senioralnej. Dokument uwzględnia rozwiązania w najważniejszych obszarach życia, m.in. </w:t>
      </w:r>
      <w:r w:rsidRPr="006508B8">
        <w:rPr>
          <w:rFonts w:ascii="Times New Roman" w:eastAsia="Calibri" w:hAnsi="Times New Roman" w:cs="Times New Roman"/>
          <w:sz w:val="24"/>
          <w:szCs w:val="24"/>
        </w:rPr>
        <w:t>promowanie profilakty</w:t>
      </w:r>
      <w:r>
        <w:rPr>
          <w:rFonts w:ascii="Times New Roman" w:eastAsia="Calibri" w:hAnsi="Times New Roman" w:cs="Times New Roman"/>
          <w:sz w:val="24"/>
          <w:szCs w:val="24"/>
        </w:rPr>
        <w:t>ki zdrowotnej, wsparcie w niesamodzielności, rozwój usług,</w:t>
      </w:r>
      <w:r w:rsidRPr="006508B8">
        <w:rPr>
          <w:rFonts w:ascii="Times New Roman" w:eastAsia="Calibri" w:hAnsi="Times New Roman" w:cs="Times New Roman"/>
          <w:sz w:val="24"/>
          <w:szCs w:val="24"/>
        </w:rPr>
        <w:t xml:space="preserve"> inicjowanie i realizowanie działań wspierających różne formy aktywności osób starszych, a także włączenie do tych działań młodszego pokolenia - co pozwoli na budowanie trwałych więzi międzypokoleniowych. </w:t>
      </w:r>
    </w:p>
    <w:p w14:paraId="7063E0CC" w14:textId="77777777" w:rsidR="0056277C" w:rsidRDefault="0056277C" w:rsidP="00573169">
      <w:pPr>
        <w:spacing w:after="0"/>
        <w:jc w:val="both"/>
        <w:rPr>
          <w:rFonts w:ascii="Times New Roman" w:eastAsia="Calibri" w:hAnsi="Times New Roman" w:cs="Times New Roman"/>
          <w:sz w:val="24"/>
          <w:szCs w:val="24"/>
        </w:rPr>
      </w:pPr>
    </w:p>
    <w:p w14:paraId="42B3D670" w14:textId="77777777" w:rsidR="00E9092E" w:rsidRDefault="0056277C" w:rsidP="00573169">
      <w:pPr>
        <w:spacing w:after="0"/>
        <w:jc w:val="both"/>
        <w:rPr>
          <w:rFonts w:ascii="Times New Roman" w:eastAsia="Calibri" w:hAnsi="Times New Roman" w:cs="Times New Roman"/>
          <w:sz w:val="24"/>
          <w:szCs w:val="24"/>
        </w:rPr>
      </w:pPr>
      <w:r w:rsidRPr="00D87D80">
        <w:rPr>
          <w:rFonts w:ascii="Times New Roman" w:eastAsia="Calibri" w:hAnsi="Times New Roman" w:cs="Times New Roman"/>
          <w:sz w:val="24"/>
          <w:szCs w:val="24"/>
        </w:rPr>
        <w:t xml:space="preserve">Po analizie danych statystycznych i liczbowych, dotyczących sytuacji osób starszych w Polsce za </w:t>
      </w:r>
      <w:r>
        <w:rPr>
          <w:rFonts w:ascii="Times New Roman" w:eastAsia="Calibri" w:hAnsi="Times New Roman" w:cs="Times New Roman"/>
          <w:sz w:val="24"/>
          <w:szCs w:val="24"/>
        </w:rPr>
        <w:t>2019 r.</w:t>
      </w:r>
      <w:r w:rsidRPr="00D87D80">
        <w:rPr>
          <w:rFonts w:ascii="Times New Roman" w:eastAsia="Calibri" w:hAnsi="Times New Roman" w:cs="Times New Roman"/>
          <w:sz w:val="24"/>
          <w:szCs w:val="24"/>
        </w:rPr>
        <w:t xml:space="preserve"> oraz wszystkich zebranych cząstkowych informacji na temat polityki społecznej wobec osób starszych na poziomie centralnym oraz regionalnym </w:t>
      </w:r>
      <w:r w:rsidR="00CD77D7">
        <w:rPr>
          <w:rFonts w:ascii="Times New Roman" w:eastAsia="Calibri" w:hAnsi="Times New Roman" w:cs="Times New Roman"/>
          <w:sz w:val="24"/>
          <w:szCs w:val="24"/>
        </w:rPr>
        <w:t xml:space="preserve">niezbędne jest </w:t>
      </w:r>
      <w:r w:rsidRPr="00CD77D7">
        <w:rPr>
          <w:rFonts w:ascii="Times New Roman" w:hAnsi="Times New Roman"/>
          <w:sz w:val="24"/>
          <w:szCs w:val="24"/>
        </w:rPr>
        <w:t xml:space="preserve">większe zaangażowanie instytucji publicznych w </w:t>
      </w:r>
      <w:r w:rsidR="00D25801">
        <w:rPr>
          <w:rFonts w:ascii="Times New Roman" w:hAnsi="Times New Roman"/>
          <w:sz w:val="24"/>
          <w:szCs w:val="24"/>
        </w:rPr>
        <w:t xml:space="preserve">terminowe podjęcie i </w:t>
      </w:r>
      <w:r w:rsidR="00F254F1">
        <w:rPr>
          <w:rFonts w:ascii="Times New Roman" w:hAnsi="Times New Roman"/>
          <w:sz w:val="24"/>
          <w:szCs w:val="24"/>
        </w:rPr>
        <w:t>konsekwentne realizowanie</w:t>
      </w:r>
      <w:r w:rsidRPr="00CD77D7">
        <w:rPr>
          <w:rFonts w:ascii="Times New Roman" w:hAnsi="Times New Roman"/>
          <w:sz w:val="24"/>
          <w:szCs w:val="24"/>
        </w:rPr>
        <w:t xml:space="preserve"> działań wynikających z </w:t>
      </w:r>
      <w:r w:rsidRPr="00CD77D7">
        <w:rPr>
          <w:rFonts w:ascii="Times New Roman" w:eastAsia="Calibri" w:hAnsi="Times New Roman" w:cs="Times New Roman"/>
          <w:i/>
          <w:sz w:val="24"/>
          <w:szCs w:val="24"/>
        </w:rPr>
        <w:t>Polityki społecznej wobec osób starszych 2030. Bezpieczeństwo – Uczestnictwo – Solidarność</w:t>
      </w:r>
      <w:r w:rsidR="00E03E4B">
        <w:rPr>
          <w:rFonts w:ascii="Times New Roman" w:eastAsia="Calibri" w:hAnsi="Times New Roman" w:cs="Times New Roman"/>
          <w:i/>
          <w:sz w:val="24"/>
          <w:szCs w:val="24"/>
        </w:rPr>
        <w:t xml:space="preserve">, </w:t>
      </w:r>
      <w:r w:rsidR="00E03E4B" w:rsidRPr="00E03E4B">
        <w:rPr>
          <w:rFonts w:ascii="Times New Roman" w:eastAsia="Calibri" w:hAnsi="Times New Roman" w:cs="Times New Roman"/>
          <w:sz w:val="24"/>
          <w:szCs w:val="24"/>
        </w:rPr>
        <w:t>w tym m.in.</w:t>
      </w:r>
      <w:r w:rsidR="00E03E4B">
        <w:rPr>
          <w:rFonts w:ascii="Times New Roman" w:eastAsia="Calibri" w:hAnsi="Times New Roman" w:cs="Times New Roman"/>
          <w:sz w:val="24"/>
          <w:szCs w:val="24"/>
        </w:rPr>
        <w:t>:</w:t>
      </w:r>
    </w:p>
    <w:p w14:paraId="083668EC" w14:textId="5B043B8B" w:rsidR="00C262E5" w:rsidRPr="00C262E5" w:rsidRDefault="00C262E5" w:rsidP="008C71A9">
      <w:pPr>
        <w:pStyle w:val="Akapitzlist"/>
        <w:numPr>
          <w:ilvl w:val="0"/>
          <w:numId w:val="397"/>
        </w:numPr>
        <w:spacing w:after="0"/>
        <w:ind w:left="360"/>
        <w:contextualSpacing w:val="0"/>
        <w:jc w:val="both"/>
        <w:rPr>
          <w:rFonts w:ascii="Times New Roman" w:eastAsia="Calibri" w:hAnsi="Times New Roman" w:cs="Times New Roman"/>
          <w:sz w:val="24"/>
          <w:szCs w:val="24"/>
        </w:rPr>
      </w:pPr>
      <w:r w:rsidRPr="002835FD">
        <w:rPr>
          <w:rFonts w:ascii="Times New Roman" w:hAnsi="Times New Roman" w:cs="Times New Roman"/>
          <w:sz w:val="24"/>
        </w:rPr>
        <w:t xml:space="preserve">zapewnienie optymalnego dostępu do usług </w:t>
      </w:r>
      <w:r>
        <w:rPr>
          <w:rFonts w:ascii="Times New Roman" w:hAnsi="Times New Roman" w:cs="Times New Roman"/>
          <w:sz w:val="24"/>
        </w:rPr>
        <w:t xml:space="preserve">zdrowotnych, rehabilitacyjnych </w:t>
      </w:r>
      <w:r w:rsidRPr="002835FD">
        <w:rPr>
          <w:rFonts w:ascii="Times New Roman" w:hAnsi="Times New Roman" w:cs="Times New Roman"/>
          <w:sz w:val="24"/>
        </w:rPr>
        <w:t>i opiekuńczo-pielęgnacyjnych, dostosowanych do potrzeb osób starszych</w:t>
      </w:r>
      <w:r>
        <w:rPr>
          <w:rFonts w:ascii="Times New Roman" w:hAnsi="Times New Roman" w:cs="Times New Roman"/>
          <w:sz w:val="24"/>
        </w:rPr>
        <w:t>,</w:t>
      </w:r>
      <w:r w:rsidR="0012758C">
        <w:rPr>
          <w:rFonts w:ascii="Times New Roman" w:hAnsi="Times New Roman" w:cs="Times New Roman"/>
          <w:sz w:val="24"/>
        </w:rPr>
        <w:t xml:space="preserve"> w tym teleopieki i telemedycyny,</w:t>
      </w:r>
    </w:p>
    <w:p w14:paraId="2A63DE3B" w14:textId="26705136" w:rsidR="00F4214D" w:rsidRDefault="00D25801" w:rsidP="008C71A9">
      <w:pPr>
        <w:pStyle w:val="Akapitzlist"/>
        <w:numPr>
          <w:ilvl w:val="0"/>
          <w:numId w:val="398"/>
        </w:numPr>
        <w:spacing w:after="0"/>
        <w:ind w:left="36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w</w:t>
      </w:r>
      <w:r w:rsidR="00F4214D">
        <w:rPr>
          <w:rFonts w:ascii="Times New Roman" w:eastAsia="Calibri" w:hAnsi="Times New Roman" w:cs="Times New Roman"/>
          <w:sz w:val="24"/>
          <w:szCs w:val="24"/>
        </w:rPr>
        <w:t>sparcie niesamodzielnych osób starszych i ich opiekunów w codziennym funkcjonowaniu,</w:t>
      </w:r>
      <w:r w:rsidR="0012758C">
        <w:rPr>
          <w:rFonts w:ascii="Times New Roman" w:eastAsia="Calibri" w:hAnsi="Times New Roman" w:cs="Times New Roman"/>
          <w:sz w:val="24"/>
          <w:szCs w:val="24"/>
        </w:rPr>
        <w:t xml:space="preserve"> z wykorzystaniem nowych technologii,</w:t>
      </w:r>
    </w:p>
    <w:p w14:paraId="545155A0" w14:textId="543101D9" w:rsidR="00C262E5" w:rsidRPr="0022781B" w:rsidRDefault="00C262E5" w:rsidP="008C71A9">
      <w:pPr>
        <w:pStyle w:val="Akapitzlist"/>
        <w:numPr>
          <w:ilvl w:val="0"/>
          <w:numId w:val="398"/>
        </w:numPr>
        <w:spacing w:after="0"/>
        <w:ind w:left="360"/>
        <w:contextualSpacing w:val="0"/>
        <w:jc w:val="both"/>
        <w:rPr>
          <w:rFonts w:ascii="Times New Roman" w:eastAsia="Calibri" w:hAnsi="Times New Roman" w:cs="Times New Roman"/>
          <w:sz w:val="24"/>
          <w:szCs w:val="24"/>
        </w:rPr>
      </w:pPr>
      <w:r w:rsidRPr="00C262E5">
        <w:rPr>
          <w:rFonts w:ascii="Times New Roman" w:eastAsia="Calibri" w:hAnsi="Times New Roman" w:cs="Times New Roman"/>
          <w:sz w:val="24"/>
          <w:szCs w:val="24"/>
        </w:rPr>
        <w:t xml:space="preserve">likwidowanie barier funkcjonalnych w pełnym udziale osób starszych w życiu społecznym i publicznym oraz wzbogacenie oferty spędzania czasu wolnego wśród osób starszych </w:t>
      </w:r>
      <w:r w:rsidR="0022781B">
        <w:rPr>
          <w:rFonts w:ascii="Times New Roman" w:eastAsia="Calibri" w:hAnsi="Times New Roman" w:cs="Times New Roman"/>
          <w:sz w:val="24"/>
          <w:szCs w:val="24"/>
        </w:rPr>
        <w:t>,</w:t>
      </w:r>
      <w:r w:rsidR="0012758C">
        <w:rPr>
          <w:rFonts w:ascii="Times New Roman" w:eastAsia="Calibri" w:hAnsi="Times New Roman" w:cs="Times New Roman"/>
          <w:sz w:val="24"/>
          <w:szCs w:val="24"/>
        </w:rPr>
        <w:t xml:space="preserve"> w tym z wykorzystaniem e-produktów/usług,</w:t>
      </w:r>
    </w:p>
    <w:p w14:paraId="4F4EACF2" w14:textId="77777777" w:rsidR="00B13164" w:rsidRDefault="00F4214D" w:rsidP="008C71A9">
      <w:pPr>
        <w:pStyle w:val="Akapitzlist"/>
        <w:numPr>
          <w:ilvl w:val="0"/>
          <w:numId w:val="398"/>
        </w:numPr>
        <w:spacing w:after="0"/>
        <w:ind w:left="360"/>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organizowanie </w:t>
      </w:r>
      <w:r w:rsidR="00D25801">
        <w:rPr>
          <w:rFonts w:ascii="Times New Roman" w:eastAsia="Calibri" w:hAnsi="Times New Roman" w:cs="Times New Roman"/>
          <w:sz w:val="24"/>
          <w:szCs w:val="24"/>
        </w:rPr>
        <w:t xml:space="preserve">zajęć, </w:t>
      </w:r>
      <w:r w:rsidRPr="0042732F">
        <w:rPr>
          <w:rFonts w:ascii="Times New Roman" w:eastAsia="Calibri" w:hAnsi="Times New Roman" w:cs="Times New Roman"/>
          <w:sz w:val="24"/>
          <w:szCs w:val="24"/>
        </w:rPr>
        <w:t>szkoleń,</w:t>
      </w:r>
      <w:r w:rsidR="00D25801">
        <w:rPr>
          <w:rFonts w:ascii="Times New Roman" w:eastAsia="Calibri" w:hAnsi="Times New Roman" w:cs="Times New Roman"/>
          <w:sz w:val="24"/>
          <w:szCs w:val="24"/>
        </w:rPr>
        <w:t xml:space="preserve"> kursów itp. umożliwiających nabywanie nowych umiejętności i kompetencji wśród osób starszych oraz wzmacniających ich pozycję na rynku pracy</w:t>
      </w:r>
      <w:r w:rsidR="00D33A94">
        <w:rPr>
          <w:rFonts w:ascii="Times New Roman" w:eastAsia="Calibri" w:hAnsi="Times New Roman" w:cs="Times New Roman"/>
          <w:sz w:val="24"/>
          <w:szCs w:val="24"/>
        </w:rPr>
        <w:t>,</w:t>
      </w:r>
      <w:r w:rsidR="003743DD">
        <w:rPr>
          <w:rFonts w:ascii="Times New Roman" w:eastAsia="Calibri" w:hAnsi="Times New Roman" w:cs="Times New Roman"/>
          <w:sz w:val="24"/>
          <w:szCs w:val="24"/>
        </w:rPr>
        <w:t xml:space="preserve"> </w:t>
      </w:r>
    </w:p>
    <w:p w14:paraId="184DA73E" w14:textId="77777777" w:rsidR="00E03E4B" w:rsidRPr="00E03E4B" w:rsidRDefault="00E03E4B" w:rsidP="008C71A9">
      <w:pPr>
        <w:pStyle w:val="Akapitzlist"/>
        <w:numPr>
          <w:ilvl w:val="0"/>
          <w:numId w:val="398"/>
        </w:numPr>
        <w:spacing w:after="0"/>
        <w:ind w:left="360"/>
        <w:jc w:val="both"/>
        <w:rPr>
          <w:rFonts w:ascii="Times New Roman" w:eastAsia="Calibri" w:hAnsi="Times New Roman" w:cs="Times New Roman"/>
          <w:sz w:val="24"/>
          <w:szCs w:val="24"/>
        </w:rPr>
      </w:pPr>
      <w:r w:rsidRPr="00E03E4B">
        <w:rPr>
          <w:rFonts w:ascii="Times New Roman" w:eastAsia="Calibri" w:hAnsi="Times New Roman" w:cs="Times New Roman"/>
          <w:sz w:val="24"/>
          <w:szCs w:val="24"/>
        </w:rPr>
        <w:t>organizowanie przedsięwzięć o charakterze kulturalnym, edukacyjnym, sportowym, rekreacyjnym w celu zagospodarowan</w:t>
      </w:r>
      <w:r w:rsidR="008400E2">
        <w:rPr>
          <w:rFonts w:ascii="Times New Roman" w:eastAsia="Calibri" w:hAnsi="Times New Roman" w:cs="Times New Roman"/>
          <w:sz w:val="24"/>
          <w:szCs w:val="24"/>
        </w:rPr>
        <w:t>ia czasu wolnego osób starszych</w:t>
      </w:r>
      <w:r w:rsidR="0022781B">
        <w:rPr>
          <w:rFonts w:ascii="Times New Roman" w:eastAsia="Calibri" w:hAnsi="Times New Roman" w:cs="Times New Roman"/>
          <w:sz w:val="24"/>
          <w:szCs w:val="24"/>
        </w:rPr>
        <w:t xml:space="preserve"> oraz wzmacniania integracji wewnątrz - i międzypokoleniowej</w:t>
      </w:r>
      <w:r w:rsidR="008400E2">
        <w:rPr>
          <w:rFonts w:ascii="Times New Roman" w:eastAsia="Calibri" w:hAnsi="Times New Roman" w:cs="Times New Roman"/>
          <w:sz w:val="24"/>
          <w:szCs w:val="24"/>
        </w:rPr>
        <w:t>,</w:t>
      </w:r>
    </w:p>
    <w:p w14:paraId="7615BB81" w14:textId="77777777" w:rsidR="00A8064A" w:rsidRDefault="003743DD" w:rsidP="008C71A9">
      <w:pPr>
        <w:pStyle w:val="Akapitzlist"/>
        <w:numPr>
          <w:ilvl w:val="0"/>
          <w:numId w:val="397"/>
        </w:numPr>
        <w:spacing w:after="0"/>
        <w:ind w:left="360"/>
        <w:jc w:val="both"/>
        <w:rPr>
          <w:rFonts w:ascii="Times New Roman" w:eastAsia="Calibri" w:hAnsi="Times New Roman" w:cs="Times New Roman"/>
          <w:sz w:val="24"/>
          <w:szCs w:val="24"/>
        </w:rPr>
      </w:pPr>
      <w:r w:rsidRPr="00A8064A">
        <w:rPr>
          <w:rFonts w:ascii="Times New Roman" w:eastAsia="Calibri" w:hAnsi="Times New Roman" w:cs="Times New Roman"/>
          <w:sz w:val="24"/>
          <w:szCs w:val="24"/>
        </w:rPr>
        <w:t>k</w:t>
      </w:r>
      <w:r w:rsidR="00D33A94" w:rsidRPr="00A8064A">
        <w:rPr>
          <w:rFonts w:ascii="Times New Roman" w:eastAsia="Calibri" w:hAnsi="Times New Roman" w:cs="Times New Roman"/>
          <w:sz w:val="24"/>
          <w:szCs w:val="24"/>
        </w:rPr>
        <w:t>ształtowanie pozytywnego wizerunku osób starszych w społeczeństwie o</w:t>
      </w:r>
      <w:r w:rsidR="00A8064A" w:rsidRPr="00A8064A">
        <w:rPr>
          <w:rFonts w:ascii="Times New Roman" w:eastAsia="Calibri" w:hAnsi="Times New Roman" w:cs="Times New Roman"/>
          <w:sz w:val="24"/>
          <w:szCs w:val="24"/>
        </w:rPr>
        <w:t xml:space="preserve">raz wykorzystanie ich </w:t>
      </w:r>
      <w:r w:rsidR="003B6292">
        <w:rPr>
          <w:rFonts w:ascii="Times New Roman" w:eastAsia="Calibri" w:hAnsi="Times New Roman" w:cs="Times New Roman"/>
          <w:sz w:val="24"/>
          <w:szCs w:val="24"/>
        </w:rPr>
        <w:t>potencjału, wiedzy i doświadczenia</w:t>
      </w:r>
      <w:r w:rsidR="00A8064A" w:rsidRPr="00A8064A">
        <w:rPr>
          <w:rFonts w:ascii="Times New Roman" w:eastAsia="Calibri" w:hAnsi="Times New Roman" w:cs="Times New Roman"/>
          <w:sz w:val="24"/>
          <w:szCs w:val="24"/>
        </w:rPr>
        <w:t xml:space="preserve"> w ramach</w:t>
      </w:r>
      <w:r w:rsidR="00A8064A">
        <w:rPr>
          <w:rFonts w:ascii="Times New Roman" w:eastAsia="Calibri" w:hAnsi="Times New Roman" w:cs="Times New Roman"/>
          <w:sz w:val="24"/>
          <w:szCs w:val="24"/>
        </w:rPr>
        <w:t xml:space="preserve"> np.</w:t>
      </w:r>
      <w:r w:rsidR="00A8064A" w:rsidRPr="00A8064A">
        <w:rPr>
          <w:rFonts w:ascii="Times New Roman" w:eastAsia="Calibri" w:hAnsi="Times New Roman" w:cs="Times New Roman"/>
          <w:sz w:val="24"/>
          <w:szCs w:val="24"/>
        </w:rPr>
        <w:t xml:space="preserve"> </w:t>
      </w:r>
      <w:r w:rsidR="008400E2" w:rsidRPr="00A8064A">
        <w:rPr>
          <w:rFonts w:ascii="Times New Roman" w:eastAsia="Calibri" w:hAnsi="Times New Roman" w:cs="Times New Roman"/>
          <w:sz w:val="24"/>
          <w:szCs w:val="24"/>
        </w:rPr>
        <w:t xml:space="preserve"> wolontariatu </w:t>
      </w:r>
      <w:r w:rsidR="00A8064A">
        <w:rPr>
          <w:rFonts w:ascii="Times New Roman" w:eastAsia="Calibri" w:hAnsi="Times New Roman" w:cs="Times New Roman"/>
          <w:sz w:val="24"/>
          <w:szCs w:val="24"/>
        </w:rPr>
        <w:t>na rzecz społeczności lokalnej,</w:t>
      </w:r>
    </w:p>
    <w:p w14:paraId="3AC736BB" w14:textId="77777777" w:rsidR="00B13164" w:rsidRPr="00A8064A" w:rsidRDefault="00B13164" w:rsidP="008C71A9">
      <w:pPr>
        <w:pStyle w:val="Akapitzlist"/>
        <w:numPr>
          <w:ilvl w:val="0"/>
          <w:numId w:val="397"/>
        </w:numPr>
        <w:spacing w:after="0"/>
        <w:ind w:left="360"/>
        <w:jc w:val="both"/>
        <w:rPr>
          <w:rFonts w:ascii="Times New Roman" w:eastAsia="Calibri" w:hAnsi="Times New Roman" w:cs="Times New Roman"/>
          <w:sz w:val="24"/>
          <w:szCs w:val="24"/>
        </w:rPr>
      </w:pPr>
      <w:r w:rsidRPr="00A8064A">
        <w:rPr>
          <w:rFonts w:ascii="Times New Roman" w:eastAsia="Calibri" w:hAnsi="Times New Roman" w:cs="Times New Roman"/>
          <w:sz w:val="24"/>
          <w:szCs w:val="24"/>
        </w:rPr>
        <w:t>przeciwdziałanie przemocy i dyskryminacji</w:t>
      </w:r>
      <w:r w:rsidR="00DF454A" w:rsidRPr="00A8064A">
        <w:rPr>
          <w:rFonts w:ascii="Times New Roman" w:eastAsia="Calibri" w:hAnsi="Times New Roman" w:cs="Times New Roman"/>
          <w:sz w:val="24"/>
          <w:szCs w:val="24"/>
        </w:rPr>
        <w:t xml:space="preserve"> wobec osób starszych.</w:t>
      </w:r>
    </w:p>
    <w:p w14:paraId="078B68F2" w14:textId="77777777" w:rsidR="00F2203D" w:rsidRDefault="00F2203D" w:rsidP="00573169">
      <w:pPr>
        <w:spacing w:after="0"/>
        <w:jc w:val="both"/>
        <w:rPr>
          <w:lang w:eastAsia="ar-SA"/>
        </w:rPr>
      </w:pPr>
    </w:p>
    <w:p w14:paraId="0A45CA8F" w14:textId="77777777" w:rsidR="002B31DA" w:rsidRDefault="00DF454A" w:rsidP="00573169">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Dodatkowo, w</w:t>
      </w:r>
      <w:r w:rsidR="00B252D2" w:rsidRPr="00EA6679">
        <w:rPr>
          <w:rFonts w:ascii="Times New Roman" w:eastAsia="Calibri" w:hAnsi="Times New Roman" w:cs="Times New Roman"/>
          <w:sz w:val="24"/>
          <w:szCs w:val="24"/>
        </w:rPr>
        <w:t>szelkie nowe działania podejmowan</w:t>
      </w:r>
      <w:r w:rsidR="00EA6679">
        <w:rPr>
          <w:rFonts w:ascii="Times New Roman" w:eastAsia="Calibri" w:hAnsi="Times New Roman" w:cs="Times New Roman"/>
          <w:sz w:val="24"/>
          <w:szCs w:val="24"/>
        </w:rPr>
        <w:t xml:space="preserve">e </w:t>
      </w:r>
      <w:r w:rsidR="00F2203D">
        <w:rPr>
          <w:rFonts w:ascii="Times New Roman" w:eastAsia="Calibri" w:hAnsi="Times New Roman" w:cs="Times New Roman"/>
          <w:sz w:val="24"/>
          <w:szCs w:val="24"/>
        </w:rPr>
        <w:t>na poziomie centralnym i</w:t>
      </w:r>
      <w:r w:rsidR="00EA6679">
        <w:rPr>
          <w:rFonts w:ascii="Times New Roman" w:eastAsia="Calibri" w:hAnsi="Times New Roman" w:cs="Times New Roman"/>
          <w:sz w:val="24"/>
          <w:szCs w:val="24"/>
        </w:rPr>
        <w:t xml:space="preserve"> </w:t>
      </w:r>
      <w:r w:rsidR="00F254F1">
        <w:rPr>
          <w:rFonts w:ascii="Times New Roman" w:eastAsia="Calibri" w:hAnsi="Times New Roman" w:cs="Times New Roman"/>
          <w:sz w:val="24"/>
          <w:szCs w:val="24"/>
        </w:rPr>
        <w:t>regionalnym</w:t>
      </w:r>
      <w:r w:rsidR="00EA6679">
        <w:rPr>
          <w:rFonts w:ascii="Times New Roman" w:eastAsia="Calibri" w:hAnsi="Times New Roman" w:cs="Times New Roman"/>
          <w:sz w:val="24"/>
          <w:szCs w:val="24"/>
        </w:rPr>
        <w:t xml:space="preserve"> powinny być projektowane przy udziale osób starszych oraz </w:t>
      </w:r>
      <w:r w:rsidR="00B252D2" w:rsidRPr="00EA6679">
        <w:rPr>
          <w:rFonts w:ascii="Times New Roman" w:eastAsia="Calibri" w:hAnsi="Times New Roman" w:cs="Times New Roman"/>
          <w:sz w:val="24"/>
          <w:szCs w:val="24"/>
        </w:rPr>
        <w:t>na</w:t>
      </w:r>
      <w:r w:rsidR="00EA6679">
        <w:rPr>
          <w:rFonts w:ascii="Times New Roman" w:eastAsia="Calibri" w:hAnsi="Times New Roman" w:cs="Times New Roman"/>
          <w:sz w:val="24"/>
          <w:szCs w:val="24"/>
        </w:rPr>
        <w:t xml:space="preserve"> podstawie</w:t>
      </w:r>
      <w:r w:rsidR="00B252D2" w:rsidRPr="00EA6679">
        <w:rPr>
          <w:rFonts w:ascii="Times New Roman" w:eastAsia="Calibri" w:hAnsi="Times New Roman" w:cs="Times New Roman"/>
          <w:sz w:val="24"/>
          <w:szCs w:val="24"/>
        </w:rPr>
        <w:t xml:space="preserve"> kompleksowej</w:t>
      </w:r>
      <w:r w:rsidR="002B31DA" w:rsidRPr="00EA6679">
        <w:rPr>
          <w:rFonts w:ascii="Times New Roman" w:eastAsia="Calibri" w:hAnsi="Times New Roman" w:cs="Times New Roman"/>
          <w:sz w:val="24"/>
          <w:szCs w:val="24"/>
        </w:rPr>
        <w:t xml:space="preserve"> </w:t>
      </w:r>
      <w:r w:rsidR="00EA6679">
        <w:rPr>
          <w:rFonts w:ascii="Times New Roman" w:eastAsia="Calibri" w:hAnsi="Times New Roman" w:cs="Times New Roman"/>
          <w:bCs/>
          <w:sz w:val="24"/>
          <w:szCs w:val="24"/>
        </w:rPr>
        <w:t>diagnozy potrzeb i zasobów tej grupy.</w:t>
      </w:r>
      <w:r w:rsidR="00737CD3">
        <w:rPr>
          <w:rFonts w:ascii="Times New Roman" w:eastAsia="Calibri" w:hAnsi="Times New Roman" w:cs="Times New Roman"/>
          <w:bCs/>
          <w:sz w:val="24"/>
          <w:szCs w:val="24"/>
        </w:rPr>
        <w:t xml:space="preserve"> Do ich realizacji powinny być zaangażowane podmioty </w:t>
      </w:r>
      <w:r w:rsidR="00737CD3">
        <w:rPr>
          <w:rFonts w:ascii="Times New Roman" w:eastAsia="Calibri" w:hAnsi="Times New Roman" w:cs="Times New Roman"/>
          <w:bCs/>
          <w:sz w:val="24"/>
          <w:szCs w:val="24"/>
        </w:rPr>
        <w:lastRenderedPageBreak/>
        <w:t xml:space="preserve">z różnych sektorów, by </w:t>
      </w:r>
      <w:r w:rsidR="00737CD3">
        <w:rPr>
          <w:rFonts w:ascii="Times New Roman" w:eastAsia="Calibri" w:hAnsi="Times New Roman" w:cs="Times New Roman"/>
          <w:sz w:val="24"/>
          <w:szCs w:val="24"/>
        </w:rPr>
        <w:t xml:space="preserve">inicjatywy </w:t>
      </w:r>
      <w:r w:rsidR="002B31DA" w:rsidRPr="00EA6679">
        <w:rPr>
          <w:rFonts w:ascii="Times New Roman" w:eastAsia="Calibri" w:hAnsi="Times New Roman" w:cs="Times New Roman"/>
          <w:sz w:val="24"/>
          <w:szCs w:val="24"/>
        </w:rPr>
        <w:t>na rzecz osób starszych stawały się interesem wspól</w:t>
      </w:r>
      <w:r w:rsidR="00737CD3">
        <w:rPr>
          <w:rFonts w:ascii="Times New Roman" w:eastAsia="Calibri" w:hAnsi="Times New Roman" w:cs="Times New Roman"/>
          <w:sz w:val="24"/>
          <w:szCs w:val="24"/>
        </w:rPr>
        <w:t>nym danej społeczności lokalnej.</w:t>
      </w:r>
    </w:p>
    <w:p w14:paraId="32787DBB" w14:textId="77777777" w:rsidR="00737CD3" w:rsidRDefault="00737CD3" w:rsidP="00573169">
      <w:pPr>
        <w:spacing w:after="0"/>
        <w:jc w:val="both"/>
        <w:rPr>
          <w:rFonts w:ascii="Times New Roman" w:eastAsia="Calibri" w:hAnsi="Times New Roman" w:cs="Times New Roman"/>
          <w:sz w:val="24"/>
          <w:szCs w:val="24"/>
        </w:rPr>
      </w:pPr>
    </w:p>
    <w:p w14:paraId="537C4819" w14:textId="4F8D2B62" w:rsidR="00D403C5" w:rsidRDefault="00D403C5" w:rsidP="00573169">
      <w:pPr>
        <w:pStyle w:val="Akapitzlist"/>
        <w:spacing w:after="0"/>
        <w:ind w:left="0"/>
        <w:jc w:val="both"/>
        <w:rPr>
          <w:rFonts w:ascii="Times New Roman" w:hAnsi="Times New Roman"/>
          <w:sz w:val="24"/>
          <w:szCs w:val="24"/>
        </w:rPr>
      </w:pPr>
      <w:r>
        <w:rPr>
          <w:rFonts w:ascii="Times New Roman" w:hAnsi="Times New Roman"/>
          <w:sz w:val="24"/>
          <w:szCs w:val="24"/>
        </w:rPr>
        <w:t>R</w:t>
      </w:r>
      <w:r w:rsidRPr="00E4068F">
        <w:rPr>
          <w:rFonts w:ascii="Times New Roman" w:hAnsi="Times New Roman"/>
          <w:sz w:val="24"/>
          <w:szCs w:val="24"/>
        </w:rPr>
        <w:t xml:space="preserve">ealizacja </w:t>
      </w:r>
      <w:r w:rsidR="00E97AFC">
        <w:rPr>
          <w:rFonts w:ascii="Times New Roman" w:hAnsi="Times New Roman"/>
          <w:sz w:val="24"/>
          <w:szCs w:val="24"/>
        </w:rPr>
        <w:t>nowych działań, podejmowanych na poziomie centralnym oraz regionalnym,</w:t>
      </w:r>
      <w:r w:rsidRPr="00E4068F">
        <w:rPr>
          <w:rFonts w:ascii="Times New Roman" w:hAnsi="Times New Roman"/>
          <w:sz w:val="24"/>
          <w:szCs w:val="24"/>
        </w:rPr>
        <w:t xml:space="preserve"> będzie wymagać każdorazowo akceptacji Rady Ministrów i powinna odbywać się w ramach środków ujmowanych w u</w:t>
      </w:r>
      <w:r w:rsidR="00AD3ADE">
        <w:rPr>
          <w:rFonts w:ascii="Times New Roman" w:hAnsi="Times New Roman"/>
          <w:sz w:val="24"/>
          <w:szCs w:val="24"/>
        </w:rPr>
        <w:t>stawie budżetowej na dany rok. Realizacja ich n</w:t>
      </w:r>
      <w:r w:rsidRPr="00E4068F">
        <w:rPr>
          <w:rFonts w:ascii="Times New Roman" w:hAnsi="Times New Roman"/>
          <w:sz w:val="24"/>
          <w:szCs w:val="24"/>
        </w:rPr>
        <w:t>ie powinna być</w:t>
      </w:r>
      <w:r>
        <w:rPr>
          <w:rFonts w:ascii="Times New Roman" w:hAnsi="Times New Roman"/>
          <w:sz w:val="24"/>
          <w:szCs w:val="24"/>
        </w:rPr>
        <w:t xml:space="preserve"> także</w:t>
      </w:r>
      <w:r w:rsidRPr="00E4068F">
        <w:rPr>
          <w:rFonts w:ascii="Times New Roman" w:hAnsi="Times New Roman"/>
          <w:sz w:val="24"/>
          <w:szCs w:val="24"/>
        </w:rPr>
        <w:t xml:space="preserve"> podstawą do wystąpień o dodatkowe środki.</w:t>
      </w:r>
      <w:r>
        <w:rPr>
          <w:rFonts w:ascii="Times New Roman" w:hAnsi="Times New Roman"/>
          <w:sz w:val="24"/>
          <w:szCs w:val="24"/>
        </w:rPr>
        <w:t xml:space="preserve"> </w:t>
      </w:r>
    </w:p>
    <w:p w14:paraId="61E6C6C4" w14:textId="77777777" w:rsidR="00573169" w:rsidRPr="00E97440" w:rsidRDefault="00573169" w:rsidP="00573169">
      <w:pPr>
        <w:pStyle w:val="Akapitzlist"/>
        <w:spacing w:after="0"/>
        <w:ind w:left="0"/>
        <w:jc w:val="both"/>
        <w:rPr>
          <w:rFonts w:ascii="Times New Roman" w:hAnsi="Times New Roman"/>
          <w:sz w:val="24"/>
          <w:szCs w:val="24"/>
        </w:rPr>
      </w:pPr>
    </w:p>
    <w:p w14:paraId="6D642551" w14:textId="77777777" w:rsidR="00D403C5" w:rsidRPr="00E05F1F" w:rsidRDefault="00D403C5" w:rsidP="00573169">
      <w:pPr>
        <w:spacing w:after="0"/>
        <w:jc w:val="both"/>
        <w:rPr>
          <w:rFonts w:ascii="Times New Roman" w:hAnsi="Times New Roman"/>
          <w:sz w:val="24"/>
          <w:szCs w:val="24"/>
        </w:rPr>
      </w:pPr>
      <w:r w:rsidRPr="00345C30">
        <w:rPr>
          <w:rFonts w:ascii="Times New Roman" w:hAnsi="Times New Roman"/>
          <w:sz w:val="24"/>
          <w:szCs w:val="24"/>
        </w:rPr>
        <w:t>Ministerstwo Rodziny, Pra</w:t>
      </w:r>
      <w:r>
        <w:rPr>
          <w:rFonts w:ascii="Times New Roman" w:hAnsi="Times New Roman"/>
          <w:sz w:val="24"/>
          <w:szCs w:val="24"/>
        </w:rPr>
        <w:t xml:space="preserve">cy i Polityki Społecznej wyraża </w:t>
      </w:r>
      <w:r w:rsidRPr="00345C30">
        <w:rPr>
          <w:rFonts w:ascii="Times New Roman" w:hAnsi="Times New Roman"/>
          <w:sz w:val="24"/>
          <w:szCs w:val="24"/>
        </w:rPr>
        <w:t>p</w:t>
      </w:r>
      <w:r>
        <w:rPr>
          <w:rFonts w:ascii="Times New Roman" w:hAnsi="Times New Roman"/>
          <w:sz w:val="24"/>
          <w:szCs w:val="24"/>
        </w:rPr>
        <w:t>odziękowanie wszystkim osobom</w:t>
      </w:r>
      <w:r w:rsidRPr="00345C30">
        <w:rPr>
          <w:rFonts w:ascii="Times New Roman" w:hAnsi="Times New Roman"/>
          <w:sz w:val="24"/>
          <w:szCs w:val="24"/>
        </w:rPr>
        <w:t xml:space="preserve"> za pomoc</w:t>
      </w:r>
      <w:r>
        <w:rPr>
          <w:rFonts w:ascii="Times New Roman" w:hAnsi="Times New Roman"/>
          <w:sz w:val="24"/>
          <w:szCs w:val="24"/>
        </w:rPr>
        <w:t xml:space="preserve"> i współudział</w:t>
      </w:r>
      <w:r w:rsidRPr="00345C30">
        <w:rPr>
          <w:rFonts w:ascii="Times New Roman" w:hAnsi="Times New Roman"/>
          <w:sz w:val="24"/>
          <w:szCs w:val="24"/>
        </w:rPr>
        <w:t xml:space="preserve"> w przygotowaniu</w:t>
      </w:r>
      <w:r>
        <w:rPr>
          <w:rFonts w:ascii="Times New Roman" w:hAnsi="Times New Roman"/>
          <w:sz w:val="24"/>
          <w:szCs w:val="24"/>
        </w:rPr>
        <w:t xml:space="preserve"> </w:t>
      </w:r>
      <w:r w:rsidRPr="00BA3F99">
        <w:rPr>
          <w:rFonts w:ascii="Times New Roman" w:hAnsi="Times New Roman"/>
          <w:i/>
          <w:sz w:val="24"/>
          <w:szCs w:val="24"/>
        </w:rPr>
        <w:t xml:space="preserve">Informacji </w:t>
      </w:r>
      <w:r>
        <w:rPr>
          <w:rFonts w:ascii="Times New Roman" w:hAnsi="Times New Roman"/>
          <w:i/>
          <w:sz w:val="24"/>
          <w:szCs w:val="24"/>
        </w:rPr>
        <w:t>o sytuacji osób s</w:t>
      </w:r>
      <w:r w:rsidRPr="00BA3F99">
        <w:rPr>
          <w:rFonts w:ascii="Times New Roman" w:hAnsi="Times New Roman"/>
          <w:i/>
          <w:sz w:val="24"/>
          <w:szCs w:val="24"/>
        </w:rPr>
        <w:t xml:space="preserve">tarszych w Polsce </w:t>
      </w:r>
      <w:r>
        <w:rPr>
          <w:rFonts w:ascii="Times New Roman" w:hAnsi="Times New Roman"/>
          <w:i/>
          <w:sz w:val="24"/>
          <w:szCs w:val="24"/>
        </w:rPr>
        <w:br/>
      </w:r>
      <w:r w:rsidRPr="00BA3F99">
        <w:rPr>
          <w:rFonts w:ascii="Times New Roman" w:hAnsi="Times New Roman"/>
          <w:i/>
          <w:sz w:val="24"/>
          <w:szCs w:val="24"/>
        </w:rPr>
        <w:t xml:space="preserve">za </w:t>
      </w:r>
      <w:r>
        <w:rPr>
          <w:rFonts w:ascii="Times New Roman" w:hAnsi="Times New Roman"/>
          <w:i/>
          <w:sz w:val="24"/>
          <w:szCs w:val="24"/>
        </w:rPr>
        <w:t>2019</w:t>
      </w:r>
      <w:r w:rsidRPr="00BA3F99">
        <w:rPr>
          <w:rFonts w:ascii="Times New Roman" w:hAnsi="Times New Roman"/>
          <w:i/>
          <w:sz w:val="24"/>
          <w:szCs w:val="24"/>
        </w:rPr>
        <w:t xml:space="preserve"> r.</w:t>
      </w:r>
    </w:p>
    <w:p w14:paraId="35F885A5" w14:textId="77777777" w:rsidR="00D403C5" w:rsidRPr="00EA6679" w:rsidRDefault="00D403C5" w:rsidP="00EA6679">
      <w:pPr>
        <w:spacing w:after="0"/>
        <w:jc w:val="both"/>
        <w:rPr>
          <w:rFonts w:ascii="Times New Roman" w:eastAsia="Calibri" w:hAnsi="Times New Roman" w:cs="Times New Roman"/>
          <w:sz w:val="24"/>
          <w:szCs w:val="24"/>
        </w:rPr>
      </w:pPr>
    </w:p>
    <w:p w14:paraId="1A2BD01A" w14:textId="77777777" w:rsidR="00737CD3" w:rsidRPr="00F2203D" w:rsidRDefault="00737CD3" w:rsidP="00F2203D">
      <w:pPr>
        <w:spacing w:after="0"/>
        <w:jc w:val="both"/>
        <w:rPr>
          <w:rFonts w:ascii="Times New Roman" w:eastAsia="Calibri" w:hAnsi="Times New Roman" w:cs="Times New Roman"/>
          <w:sz w:val="24"/>
          <w:szCs w:val="24"/>
        </w:rPr>
      </w:pPr>
    </w:p>
    <w:p w14:paraId="1DDB4206" w14:textId="77777777" w:rsidR="002161F8" w:rsidRDefault="002161F8" w:rsidP="00E9092E">
      <w:pPr>
        <w:rPr>
          <w:lang w:eastAsia="ar-SA"/>
        </w:rPr>
      </w:pPr>
    </w:p>
    <w:p w14:paraId="7F80AC14" w14:textId="77777777" w:rsidR="00F2203D" w:rsidRDefault="00F2203D" w:rsidP="00E9092E">
      <w:pPr>
        <w:rPr>
          <w:lang w:eastAsia="ar-SA"/>
        </w:rPr>
      </w:pPr>
    </w:p>
    <w:p w14:paraId="06567B8C" w14:textId="77777777" w:rsidR="00F2203D" w:rsidRDefault="00F2203D" w:rsidP="00E9092E">
      <w:pPr>
        <w:rPr>
          <w:lang w:eastAsia="ar-SA"/>
        </w:rPr>
      </w:pPr>
    </w:p>
    <w:p w14:paraId="3ECE5C23" w14:textId="77777777" w:rsidR="00F2203D" w:rsidRDefault="00F2203D" w:rsidP="00E9092E">
      <w:pPr>
        <w:rPr>
          <w:lang w:eastAsia="ar-SA"/>
        </w:rPr>
      </w:pPr>
    </w:p>
    <w:p w14:paraId="0DB17FFD" w14:textId="77777777" w:rsidR="00F2203D" w:rsidRDefault="00F2203D" w:rsidP="00E9092E">
      <w:pPr>
        <w:rPr>
          <w:lang w:eastAsia="ar-SA"/>
        </w:rPr>
      </w:pPr>
    </w:p>
    <w:p w14:paraId="6D87B525" w14:textId="77777777" w:rsidR="00F2203D" w:rsidRDefault="00F2203D" w:rsidP="00E9092E">
      <w:pPr>
        <w:rPr>
          <w:lang w:eastAsia="ar-SA"/>
        </w:rPr>
      </w:pPr>
    </w:p>
    <w:p w14:paraId="0A3D3B0A" w14:textId="77777777" w:rsidR="00F2203D" w:rsidRDefault="00F2203D" w:rsidP="00E9092E">
      <w:pPr>
        <w:rPr>
          <w:lang w:eastAsia="ar-SA"/>
        </w:rPr>
      </w:pPr>
    </w:p>
    <w:p w14:paraId="6A0EA601" w14:textId="77777777" w:rsidR="00F2203D" w:rsidRDefault="00F2203D" w:rsidP="00E9092E">
      <w:pPr>
        <w:rPr>
          <w:lang w:eastAsia="ar-SA"/>
        </w:rPr>
      </w:pPr>
    </w:p>
    <w:p w14:paraId="4F03571E" w14:textId="77777777" w:rsidR="00F2203D" w:rsidRPr="00E9092E" w:rsidRDefault="00F2203D" w:rsidP="00E9092E">
      <w:pPr>
        <w:rPr>
          <w:lang w:eastAsia="ar-SA"/>
        </w:rPr>
      </w:pPr>
    </w:p>
    <w:p w14:paraId="4E32032C" w14:textId="77777777" w:rsidR="008400E2" w:rsidRDefault="008400E2" w:rsidP="001E4033">
      <w:pPr>
        <w:pStyle w:val="Nagwek1"/>
        <w:numPr>
          <w:ilvl w:val="0"/>
          <w:numId w:val="0"/>
        </w:numPr>
        <w:spacing w:before="0"/>
        <w:ind w:left="432" w:hanging="432"/>
        <w:rPr>
          <w:rFonts w:cs="Times New Roman"/>
          <w:sz w:val="40"/>
          <w:lang w:eastAsia="ar-SA"/>
        </w:rPr>
        <w:sectPr w:rsidR="008400E2" w:rsidSect="00311D18">
          <w:pgSz w:w="11906" w:h="16840"/>
          <w:pgMar w:top="1418" w:right="1418" w:bottom="1417" w:left="1418" w:header="708" w:footer="708" w:gutter="0"/>
          <w:cols w:space="708"/>
          <w:docGrid w:linePitch="360"/>
        </w:sectPr>
      </w:pPr>
    </w:p>
    <w:p w14:paraId="6FB090B0" w14:textId="77777777" w:rsidR="008C2278" w:rsidRPr="00697B76" w:rsidRDefault="00B25D75" w:rsidP="00AF051D">
      <w:pPr>
        <w:pStyle w:val="Nagwek1"/>
        <w:numPr>
          <w:ilvl w:val="0"/>
          <w:numId w:val="0"/>
        </w:numPr>
        <w:spacing w:after="240"/>
        <w:ind w:left="432" w:hanging="432"/>
        <w:rPr>
          <w:rFonts w:cs="Times New Roman"/>
          <w:color w:val="2F5496" w:themeColor="accent5" w:themeShade="BF"/>
          <w:sz w:val="40"/>
          <w:lang w:eastAsia="ar-SA"/>
        </w:rPr>
      </w:pPr>
      <w:bookmarkStart w:id="164" w:name="_Toc49171374"/>
      <w:r w:rsidRPr="00697B76">
        <w:rPr>
          <w:rFonts w:cs="Times New Roman"/>
          <w:color w:val="2F5496" w:themeColor="accent5" w:themeShade="BF"/>
          <w:sz w:val="40"/>
          <w:lang w:eastAsia="ar-SA"/>
        </w:rPr>
        <w:lastRenderedPageBreak/>
        <w:t>Zestawienie tabel</w:t>
      </w:r>
      <w:bookmarkEnd w:id="164"/>
    </w:p>
    <w:p w14:paraId="7F974E5B" w14:textId="6790808A" w:rsidR="00E37612" w:rsidRDefault="00887958" w:rsidP="00E37612">
      <w:pPr>
        <w:pStyle w:val="Spisilustracji"/>
        <w:tabs>
          <w:tab w:val="right" w:leader="dot" w:pos="9060"/>
        </w:tabs>
        <w:jc w:val="both"/>
        <w:rPr>
          <w:rFonts w:eastAsiaTheme="minorEastAsia"/>
          <w:noProof/>
          <w:lang w:eastAsia="pl-PL"/>
        </w:rPr>
      </w:pPr>
      <w:r>
        <w:rPr>
          <w:lang w:eastAsia="ar-SA"/>
        </w:rPr>
        <w:fldChar w:fldCharType="begin"/>
      </w:r>
      <w:r>
        <w:rPr>
          <w:lang w:eastAsia="ar-SA"/>
        </w:rPr>
        <w:instrText xml:space="preserve"> TOC \h \z \c "Tabela" </w:instrText>
      </w:r>
      <w:r>
        <w:rPr>
          <w:lang w:eastAsia="ar-SA"/>
        </w:rPr>
        <w:fldChar w:fldCharType="separate"/>
      </w:r>
      <w:hyperlink w:anchor="_Toc49171376" w:history="1">
        <w:r w:rsidR="00E37612" w:rsidRPr="003A5C9D">
          <w:rPr>
            <w:rStyle w:val="Hipercze"/>
            <w:rFonts w:ascii="Times New Roman" w:hAnsi="Times New Roman" w:cs="Times New Roman"/>
            <w:b/>
            <w:noProof/>
          </w:rPr>
          <w:t>Tabela 1 Ludność w 2019 r.</w:t>
        </w:r>
        <w:r w:rsidR="00E37612">
          <w:rPr>
            <w:noProof/>
            <w:webHidden/>
          </w:rPr>
          <w:tab/>
        </w:r>
        <w:r w:rsidR="00E37612">
          <w:rPr>
            <w:noProof/>
            <w:webHidden/>
          </w:rPr>
          <w:fldChar w:fldCharType="begin"/>
        </w:r>
        <w:r w:rsidR="00E37612">
          <w:rPr>
            <w:noProof/>
            <w:webHidden/>
          </w:rPr>
          <w:instrText xml:space="preserve"> PAGEREF _Toc49171376 \h </w:instrText>
        </w:r>
        <w:r w:rsidR="00E37612">
          <w:rPr>
            <w:noProof/>
            <w:webHidden/>
          </w:rPr>
        </w:r>
        <w:r w:rsidR="00E37612">
          <w:rPr>
            <w:noProof/>
            <w:webHidden/>
          </w:rPr>
          <w:fldChar w:fldCharType="separate"/>
        </w:r>
        <w:r w:rsidR="00C154C9">
          <w:rPr>
            <w:noProof/>
            <w:webHidden/>
          </w:rPr>
          <w:t>7</w:t>
        </w:r>
        <w:r w:rsidR="00E37612">
          <w:rPr>
            <w:noProof/>
            <w:webHidden/>
          </w:rPr>
          <w:fldChar w:fldCharType="end"/>
        </w:r>
      </w:hyperlink>
    </w:p>
    <w:p w14:paraId="6AA5FB35" w14:textId="71DFB049" w:rsidR="00E37612" w:rsidRDefault="00141E52" w:rsidP="00E37612">
      <w:pPr>
        <w:pStyle w:val="Spisilustracji"/>
        <w:tabs>
          <w:tab w:val="right" w:leader="dot" w:pos="9060"/>
        </w:tabs>
        <w:jc w:val="both"/>
        <w:rPr>
          <w:rFonts w:eastAsiaTheme="minorEastAsia"/>
          <w:noProof/>
          <w:lang w:eastAsia="pl-PL"/>
        </w:rPr>
      </w:pPr>
      <w:hyperlink w:anchor="_Toc49171377" w:history="1">
        <w:r w:rsidR="00E37612" w:rsidRPr="003A5C9D">
          <w:rPr>
            <w:rStyle w:val="Hipercze"/>
            <w:rFonts w:ascii="Times New Roman" w:hAnsi="Times New Roman" w:cs="Times New Roman"/>
            <w:b/>
            <w:noProof/>
          </w:rPr>
          <w:t>Tabela 2 Współczynnik zgonów w 2019 r.</w:t>
        </w:r>
        <w:r w:rsidR="00E37612">
          <w:rPr>
            <w:noProof/>
            <w:webHidden/>
          </w:rPr>
          <w:tab/>
        </w:r>
        <w:r w:rsidR="00E37612">
          <w:rPr>
            <w:noProof/>
            <w:webHidden/>
          </w:rPr>
          <w:fldChar w:fldCharType="begin"/>
        </w:r>
        <w:r w:rsidR="00E37612">
          <w:rPr>
            <w:noProof/>
            <w:webHidden/>
          </w:rPr>
          <w:instrText xml:space="preserve"> PAGEREF _Toc49171377 \h </w:instrText>
        </w:r>
        <w:r w:rsidR="00E37612">
          <w:rPr>
            <w:noProof/>
            <w:webHidden/>
          </w:rPr>
        </w:r>
        <w:r w:rsidR="00E37612">
          <w:rPr>
            <w:noProof/>
            <w:webHidden/>
          </w:rPr>
          <w:fldChar w:fldCharType="separate"/>
        </w:r>
        <w:r w:rsidR="00C154C9">
          <w:rPr>
            <w:noProof/>
            <w:webHidden/>
          </w:rPr>
          <w:t>8</w:t>
        </w:r>
        <w:r w:rsidR="00E37612">
          <w:rPr>
            <w:noProof/>
            <w:webHidden/>
          </w:rPr>
          <w:fldChar w:fldCharType="end"/>
        </w:r>
      </w:hyperlink>
    </w:p>
    <w:p w14:paraId="7CA30DB9" w14:textId="5E3CC8AE" w:rsidR="00E37612" w:rsidRDefault="00141E52" w:rsidP="00E37612">
      <w:pPr>
        <w:pStyle w:val="Spisilustracji"/>
        <w:tabs>
          <w:tab w:val="right" w:leader="dot" w:pos="9060"/>
        </w:tabs>
        <w:jc w:val="both"/>
        <w:rPr>
          <w:rFonts w:eastAsiaTheme="minorEastAsia"/>
          <w:noProof/>
          <w:lang w:eastAsia="pl-PL"/>
        </w:rPr>
      </w:pPr>
      <w:hyperlink w:anchor="_Toc49171378" w:history="1">
        <w:r w:rsidR="00E37612" w:rsidRPr="003A5C9D">
          <w:rPr>
            <w:rStyle w:val="Hipercze"/>
            <w:rFonts w:ascii="Times New Roman" w:hAnsi="Times New Roman" w:cs="Times New Roman"/>
            <w:b/>
            <w:noProof/>
          </w:rPr>
          <w:t>Tabela 3 Prognoza ludności - udział osób w wieku 60 lat i więcej w populacji ogółem</w:t>
        </w:r>
        <w:r w:rsidR="00E37612">
          <w:rPr>
            <w:noProof/>
            <w:webHidden/>
          </w:rPr>
          <w:tab/>
        </w:r>
        <w:r w:rsidR="00E37612">
          <w:rPr>
            <w:noProof/>
            <w:webHidden/>
          </w:rPr>
          <w:fldChar w:fldCharType="begin"/>
        </w:r>
        <w:r w:rsidR="00E37612">
          <w:rPr>
            <w:noProof/>
            <w:webHidden/>
          </w:rPr>
          <w:instrText xml:space="preserve"> PAGEREF _Toc49171378 \h </w:instrText>
        </w:r>
        <w:r w:rsidR="00E37612">
          <w:rPr>
            <w:noProof/>
            <w:webHidden/>
          </w:rPr>
        </w:r>
        <w:r w:rsidR="00E37612">
          <w:rPr>
            <w:noProof/>
            <w:webHidden/>
          </w:rPr>
          <w:fldChar w:fldCharType="separate"/>
        </w:r>
        <w:r w:rsidR="00C154C9">
          <w:rPr>
            <w:noProof/>
            <w:webHidden/>
          </w:rPr>
          <w:t>9</w:t>
        </w:r>
        <w:r w:rsidR="00E37612">
          <w:rPr>
            <w:noProof/>
            <w:webHidden/>
          </w:rPr>
          <w:fldChar w:fldCharType="end"/>
        </w:r>
      </w:hyperlink>
    </w:p>
    <w:p w14:paraId="16525A83" w14:textId="55B07AA9" w:rsidR="00E37612" w:rsidRDefault="00141E52" w:rsidP="00E37612">
      <w:pPr>
        <w:pStyle w:val="Spisilustracji"/>
        <w:tabs>
          <w:tab w:val="right" w:leader="dot" w:pos="9060"/>
        </w:tabs>
        <w:jc w:val="both"/>
        <w:rPr>
          <w:rFonts w:eastAsiaTheme="minorEastAsia"/>
          <w:noProof/>
          <w:lang w:eastAsia="pl-PL"/>
        </w:rPr>
      </w:pPr>
      <w:hyperlink w:anchor="_Toc49171379" w:history="1">
        <w:r w:rsidR="00E37612" w:rsidRPr="003A5C9D">
          <w:rPr>
            <w:rStyle w:val="Hipercze"/>
            <w:rFonts w:ascii="Times New Roman" w:hAnsi="Times New Roman" w:cs="Times New Roman"/>
            <w:b/>
            <w:noProof/>
          </w:rPr>
          <w:t>Tabela 4 Współczynnik feminizacji w 2019 r.</w:t>
        </w:r>
        <w:r w:rsidR="00E37612">
          <w:rPr>
            <w:noProof/>
            <w:webHidden/>
          </w:rPr>
          <w:tab/>
        </w:r>
        <w:r w:rsidR="00E37612">
          <w:rPr>
            <w:noProof/>
            <w:webHidden/>
          </w:rPr>
          <w:fldChar w:fldCharType="begin"/>
        </w:r>
        <w:r w:rsidR="00E37612">
          <w:rPr>
            <w:noProof/>
            <w:webHidden/>
          </w:rPr>
          <w:instrText xml:space="preserve"> PAGEREF _Toc49171379 \h </w:instrText>
        </w:r>
        <w:r w:rsidR="00E37612">
          <w:rPr>
            <w:noProof/>
            <w:webHidden/>
          </w:rPr>
        </w:r>
        <w:r w:rsidR="00E37612">
          <w:rPr>
            <w:noProof/>
            <w:webHidden/>
          </w:rPr>
          <w:fldChar w:fldCharType="separate"/>
        </w:r>
        <w:r w:rsidR="00C154C9">
          <w:rPr>
            <w:noProof/>
            <w:webHidden/>
          </w:rPr>
          <w:t>10</w:t>
        </w:r>
        <w:r w:rsidR="00E37612">
          <w:rPr>
            <w:noProof/>
            <w:webHidden/>
          </w:rPr>
          <w:fldChar w:fldCharType="end"/>
        </w:r>
      </w:hyperlink>
    </w:p>
    <w:p w14:paraId="70670112" w14:textId="3AAE4DAF" w:rsidR="00E37612" w:rsidRDefault="00141E52" w:rsidP="00E37612">
      <w:pPr>
        <w:pStyle w:val="Spisilustracji"/>
        <w:tabs>
          <w:tab w:val="right" w:leader="dot" w:pos="9060"/>
        </w:tabs>
        <w:jc w:val="both"/>
        <w:rPr>
          <w:rFonts w:eastAsiaTheme="minorEastAsia"/>
          <w:noProof/>
          <w:lang w:eastAsia="pl-PL"/>
        </w:rPr>
      </w:pPr>
      <w:hyperlink w:anchor="_Toc49171380" w:history="1">
        <w:r w:rsidR="00E37612" w:rsidRPr="003A5C9D">
          <w:rPr>
            <w:rStyle w:val="Hipercze"/>
            <w:rFonts w:ascii="Times New Roman" w:hAnsi="Times New Roman" w:cs="Times New Roman"/>
            <w:b/>
            <w:noProof/>
          </w:rPr>
          <w:t>Tabela 5 Przeciętne miesięczne dochody na 1 osobę w gospodarstwach domowych według liczby osób</w:t>
        </w:r>
        <w:r w:rsidR="00E37612">
          <w:rPr>
            <w:noProof/>
            <w:webHidden/>
          </w:rPr>
          <w:tab/>
        </w:r>
        <w:r w:rsidR="00E37612">
          <w:rPr>
            <w:noProof/>
            <w:webHidden/>
          </w:rPr>
          <w:fldChar w:fldCharType="begin"/>
        </w:r>
        <w:r w:rsidR="00E37612">
          <w:rPr>
            <w:noProof/>
            <w:webHidden/>
          </w:rPr>
          <w:instrText xml:space="preserve"> PAGEREF _Toc49171380 \h </w:instrText>
        </w:r>
        <w:r w:rsidR="00E37612">
          <w:rPr>
            <w:noProof/>
            <w:webHidden/>
          </w:rPr>
        </w:r>
        <w:r w:rsidR="00E37612">
          <w:rPr>
            <w:noProof/>
            <w:webHidden/>
          </w:rPr>
          <w:fldChar w:fldCharType="separate"/>
        </w:r>
        <w:r w:rsidR="00C154C9">
          <w:rPr>
            <w:noProof/>
            <w:webHidden/>
          </w:rPr>
          <w:t>11</w:t>
        </w:r>
        <w:r w:rsidR="00E37612">
          <w:rPr>
            <w:noProof/>
            <w:webHidden/>
          </w:rPr>
          <w:fldChar w:fldCharType="end"/>
        </w:r>
      </w:hyperlink>
    </w:p>
    <w:p w14:paraId="3AA0F332" w14:textId="79EB0F24" w:rsidR="00E37612" w:rsidRDefault="00141E52" w:rsidP="00E37612">
      <w:pPr>
        <w:pStyle w:val="Spisilustracji"/>
        <w:tabs>
          <w:tab w:val="right" w:leader="dot" w:pos="9060"/>
        </w:tabs>
        <w:jc w:val="both"/>
        <w:rPr>
          <w:rFonts w:eastAsiaTheme="minorEastAsia"/>
          <w:noProof/>
          <w:lang w:eastAsia="pl-PL"/>
        </w:rPr>
      </w:pPr>
      <w:hyperlink w:anchor="_Toc49171381" w:history="1">
        <w:r w:rsidR="00E37612" w:rsidRPr="003A5C9D">
          <w:rPr>
            <w:rStyle w:val="Hipercze"/>
            <w:rFonts w:ascii="Times New Roman" w:hAnsi="Times New Roman" w:cs="Times New Roman"/>
            <w:b/>
            <w:noProof/>
          </w:rPr>
          <w:t>Tabela 6 Przeciętne miesięczne wydatki na 1 osobę w gospodarstwach domowych</w:t>
        </w:r>
        <w:r w:rsidR="00E37612">
          <w:rPr>
            <w:noProof/>
            <w:webHidden/>
          </w:rPr>
          <w:tab/>
        </w:r>
        <w:r w:rsidR="00E37612">
          <w:rPr>
            <w:noProof/>
            <w:webHidden/>
          </w:rPr>
          <w:fldChar w:fldCharType="begin"/>
        </w:r>
        <w:r w:rsidR="00E37612">
          <w:rPr>
            <w:noProof/>
            <w:webHidden/>
          </w:rPr>
          <w:instrText xml:space="preserve"> PAGEREF _Toc49171381 \h </w:instrText>
        </w:r>
        <w:r w:rsidR="00E37612">
          <w:rPr>
            <w:noProof/>
            <w:webHidden/>
          </w:rPr>
        </w:r>
        <w:r w:rsidR="00E37612">
          <w:rPr>
            <w:noProof/>
            <w:webHidden/>
          </w:rPr>
          <w:fldChar w:fldCharType="separate"/>
        </w:r>
        <w:r w:rsidR="00C154C9">
          <w:rPr>
            <w:noProof/>
            <w:webHidden/>
          </w:rPr>
          <w:t>13</w:t>
        </w:r>
        <w:r w:rsidR="00E37612">
          <w:rPr>
            <w:noProof/>
            <w:webHidden/>
          </w:rPr>
          <w:fldChar w:fldCharType="end"/>
        </w:r>
      </w:hyperlink>
    </w:p>
    <w:p w14:paraId="4B9E8F1E" w14:textId="2123CB5F" w:rsidR="00E37612" w:rsidRDefault="00141E52" w:rsidP="00E37612">
      <w:pPr>
        <w:pStyle w:val="Spisilustracji"/>
        <w:tabs>
          <w:tab w:val="right" w:leader="dot" w:pos="9060"/>
        </w:tabs>
        <w:jc w:val="both"/>
        <w:rPr>
          <w:rFonts w:eastAsiaTheme="minorEastAsia"/>
          <w:noProof/>
          <w:lang w:eastAsia="pl-PL"/>
        </w:rPr>
      </w:pPr>
      <w:hyperlink w:anchor="_Toc49171382" w:history="1">
        <w:r w:rsidR="00E37612" w:rsidRPr="003A5C9D">
          <w:rPr>
            <w:rStyle w:val="Hipercze"/>
            <w:rFonts w:ascii="Times New Roman" w:hAnsi="Times New Roman" w:cs="Times New Roman"/>
            <w:b/>
            <w:noProof/>
          </w:rPr>
          <w:t>Tabela 7 Subiektywna ocena sytuacji materialnej gospodarstwa domowego</w:t>
        </w:r>
        <w:r w:rsidR="00E37612">
          <w:rPr>
            <w:noProof/>
            <w:webHidden/>
          </w:rPr>
          <w:tab/>
        </w:r>
        <w:r w:rsidR="00E37612">
          <w:rPr>
            <w:noProof/>
            <w:webHidden/>
          </w:rPr>
          <w:fldChar w:fldCharType="begin"/>
        </w:r>
        <w:r w:rsidR="00E37612">
          <w:rPr>
            <w:noProof/>
            <w:webHidden/>
          </w:rPr>
          <w:instrText xml:space="preserve"> PAGEREF _Toc49171382 \h </w:instrText>
        </w:r>
        <w:r w:rsidR="00E37612">
          <w:rPr>
            <w:noProof/>
            <w:webHidden/>
          </w:rPr>
        </w:r>
        <w:r w:rsidR="00E37612">
          <w:rPr>
            <w:noProof/>
            <w:webHidden/>
          </w:rPr>
          <w:fldChar w:fldCharType="separate"/>
        </w:r>
        <w:r w:rsidR="00C154C9">
          <w:rPr>
            <w:noProof/>
            <w:webHidden/>
          </w:rPr>
          <w:t>14</w:t>
        </w:r>
        <w:r w:rsidR="00E37612">
          <w:rPr>
            <w:noProof/>
            <w:webHidden/>
          </w:rPr>
          <w:fldChar w:fldCharType="end"/>
        </w:r>
      </w:hyperlink>
    </w:p>
    <w:p w14:paraId="1CE55674" w14:textId="5AE4CC47" w:rsidR="00E37612" w:rsidRDefault="00141E52" w:rsidP="00E37612">
      <w:pPr>
        <w:pStyle w:val="Spisilustracji"/>
        <w:tabs>
          <w:tab w:val="right" w:leader="dot" w:pos="9060"/>
        </w:tabs>
        <w:jc w:val="both"/>
        <w:rPr>
          <w:rFonts w:eastAsiaTheme="minorEastAsia"/>
          <w:noProof/>
          <w:lang w:eastAsia="pl-PL"/>
        </w:rPr>
      </w:pPr>
      <w:hyperlink w:anchor="_Toc49171383" w:history="1">
        <w:r w:rsidR="00E37612" w:rsidRPr="003A5C9D">
          <w:rPr>
            <w:rStyle w:val="Hipercze"/>
            <w:rFonts w:ascii="Times New Roman" w:hAnsi="Times New Roman" w:cs="Times New Roman"/>
            <w:b/>
            <w:noProof/>
          </w:rPr>
          <w:t>Tabela 8 Sytuacja mieszkaniowa gospodarstw domowych według liczby osób</w:t>
        </w:r>
        <w:r w:rsidR="00E37612">
          <w:rPr>
            <w:noProof/>
            <w:webHidden/>
          </w:rPr>
          <w:tab/>
        </w:r>
        <w:r w:rsidR="00E37612">
          <w:rPr>
            <w:noProof/>
            <w:webHidden/>
          </w:rPr>
          <w:fldChar w:fldCharType="begin"/>
        </w:r>
        <w:r w:rsidR="00E37612">
          <w:rPr>
            <w:noProof/>
            <w:webHidden/>
          </w:rPr>
          <w:instrText xml:space="preserve"> PAGEREF _Toc49171383 \h </w:instrText>
        </w:r>
        <w:r w:rsidR="00E37612">
          <w:rPr>
            <w:noProof/>
            <w:webHidden/>
          </w:rPr>
        </w:r>
        <w:r w:rsidR="00E37612">
          <w:rPr>
            <w:noProof/>
            <w:webHidden/>
          </w:rPr>
          <w:fldChar w:fldCharType="separate"/>
        </w:r>
        <w:r w:rsidR="00C154C9">
          <w:rPr>
            <w:noProof/>
            <w:webHidden/>
          </w:rPr>
          <w:t>15</w:t>
        </w:r>
        <w:r w:rsidR="00E37612">
          <w:rPr>
            <w:noProof/>
            <w:webHidden/>
          </w:rPr>
          <w:fldChar w:fldCharType="end"/>
        </w:r>
      </w:hyperlink>
    </w:p>
    <w:p w14:paraId="253270D7" w14:textId="6EDA06B9" w:rsidR="00E37612" w:rsidRDefault="00141E52" w:rsidP="00E37612">
      <w:pPr>
        <w:pStyle w:val="Spisilustracji"/>
        <w:tabs>
          <w:tab w:val="right" w:leader="dot" w:pos="9060"/>
        </w:tabs>
        <w:jc w:val="both"/>
        <w:rPr>
          <w:rFonts w:eastAsiaTheme="minorEastAsia"/>
          <w:noProof/>
          <w:lang w:eastAsia="pl-PL"/>
        </w:rPr>
      </w:pPr>
      <w:hyperlink w:anchor="_Toc49171384" w:history="1">
        <w:r w:rsidR="00E37612" w:rsidRPr="003A5C9D">
          <w:rPr>
            <w:rStyle w:val="Hipercze"/>
            <w:rFonts w:ascii="Times New Roman" w:hAnsi="Times New Roman" w:cs="Times New Roman"/>
            <w:b/>
            <w:noProof/>
          </w:rPr>
          <w:t>Tabela 9 Subiektywna opinia na temat użytkowanego przez gospodarstwo domowe mieszkania</w:t>
        </w:r>
        <w:r w:rsidR="00E37612">
          <w:rPr>
            <w:noProof/>
            <w:webHidden/>
          </w:rPr>
          <w:tab/>
        </w:r>
        <w:r w:rsidR="00E37612">
          <w:rPr>
            <w:noProof/>
            <w:webHidden/>
          </w:rPr>
          <w:fldChar w:fldCharType="begin"/>
        </w:r>
        <w:r w:rsidR="00E37612">
          <w:rPr>
            <w:noProof/>
            <w:webHidden/>
          </w:rPr>
          <w:instrText xml:space="preserve"> PAGEREF _Toc49171384 \h </w:instrText>
        </w:r>
        <w:r w:rsidR="00E37612">
          <w:rPr>
            <w:noProof/>
            <w:webHidden/>
          </w:rPr>
        </w:r>
        <w:r w:rsidR="00E37612">
          <w:rPr>
            <w:noProof/>
            <w:webHidden/>
          </w:rPr>
          <w:fldChar w:fldCharType="separate"/>
        </w:r>
        <w:r w:rsidR="00C154C9">
          <w:rPr>
            <w:noProof/>
            <w:webHidden/>
          </w:rPr>
          <w:t>17</w:t>
        </w:r>
        <w:r w:rsidR="00E37612">
          <w:rPr>
            <w:noProof/>
            <w:webHidden/>
          </w:rPr>
          <w:fldChar w:fldCharType="end"/>
        </w:r>
      </w:hyperlink>
    </w:p>
    <w:p w14:paraId="1B1FB3A3" w14:textId="7C9BC8AA" w:rsidR="00E37612" w:rsidRDefault="00141E52" w:rsidP="00E37612">
      <w:pPr>
        <w:pStyle w:val="Spisilustracji"/>
        <w:tabs>
          <w:tab w:val="right" w:leader="dot" w:pos="9060"/>
        </w:tabs>
        <w:jc w:val="both"/>
        <w:rPr>
          <w:rFonts w:eastAsiaTheme="minorEastAsia"/>
          <w:noProof/>
          <w:lang w:eastAsia="pl-PL"/>
        </w:rPr>
      </w:pPr>
      <w:hyperlink w:anchor="_Toc49171385" w:history="1">
        <w:r w:rsidR="00E37612" w:rsidRPr="003A5C9D">
          <w:rPr>
            <w:rStyle w:val="Hipercze"/>
            <w:rFonts w:ascii="Times New Roman" w:hAnsi="Times New Roman" w:cs="Times New Roman"/>
            <w:b/>
            <w:noProof/>
          </w:rPr>
          <w:t>Tabela 10 Zasięg ubóstwa w gospodarstwach domowych w 2018 r.</w:t>
        </w:r>
        <w:r w:rsidR="00E37612">
          <w:rPr>
            <w:noProof/>
            <w:webHidden/>
          </w:rPr>
          <w:tab/>
        </w:r>
        <w:r w:rsidR="00E37612">
          <w:rPr>
            <w:noProof/>
            <w:webHidden/>
          </w:rPr>
          <w:fldChar w:fldCharType="begin"/>
        </w:r>
        <w:r w:rsidR="00E37612">
          <w:rPr>
            <w:noProof/>
            <w:webHidden/>
          </w:rPr>
          <w:instrText xml:space="preserve"> PAGEREF _Toc49171385 \h </w:instrText>
        </w:r>
        <w:r w:rsidR="00E37612">
          <w:rPr>
            <w:noProof/>
            <w:webHidden/>
          </w:rPr>
        </w:r>
        <w:r w:rsidR="00E37612">
          <w:rPr>
            <w:noProof/>
            <w:webHidden/>
          </w:rPr>
          <w:fldChar w:fldCharType="separate"/>
        </w:r>
        <w:r w:rsidR="00C154C9">
          <w:rPr>
            <w:noProof/>
            <w:webHidden/>
          </w:rPr>
          <w:t>19</w:t>
        </w:r>
        <w:r w:rsidR="00E37612">
          <w:rPr>
            <w:noProof/>
            <w:webHidden/>
          </w:rPr>
          <w:fldChar w:fldCharType="end"/>
        </w:r>
      </w:hyperlink>
    </w:p>
    <w:p w14:paraId="2A3B2B4A" w14:textId="40AEF9CE" w:rsidR="00E37612" w:rsidRDefault="00141E52" w:rsidP="00E37612">
      <w:pPr>
        <w:pStyle w:val="Spisilustracji"/>
        <w:tabs>
          <w:tab w:val="right" w:leader="dot" w:pos="9060"/>
        </w:tabs>
        <w:jc w:val="both"/>
        <w:rPr>
          <w:rFonts w:eastAsiaTheme="minorEastAsia"/>
          <w:noProof/>
          <w:lang w:eastAsia="pl-PL"/>
        </w:rPr>
      </w:pPr>
      <w:hyperlink w:anchor="_Toc49171386" w:history="1">
        <w:r w:rsidR="00E37612" w:rsidRPr="003A5C9D">
          <w:rPr>
            <w:rStyle w:val="Hipercze"/>
            <w:rFonts w:ascii="Times New Roman" w:hAnsi="Times New Roman" w:cs="Times New Roman"/>
            <w:b/>
            <w:noProof/>
          </w:rPr>
          <w:t>Tabela 11 Mieszkańcy zakładów stacjonarnych pomocy społecznej w 2019 r.</w:t>
        </w:r>
        <w:r w:rsidR="00E37612">
          <w:rPr>
            <w:noProof/>
            <w:webHidden/>
          </w:rPr>
          <w:tab/>
        </w:r>
        <w:r w:rsidR="00E37612">
          <w:rPr>
            <w:noProof/>
            <w:webHidden/>
          </w:rPr>
          <w:fldChar w:fldCharType="begin"/>
        </w:r>
        <w:r w:rsidR="00E37612">
          <w:rPr>
            <w:noProof/>
            <w:webHidden/>
          </w:rPr>
          <w:instrText xml:space="preserve"> PAGEREF _Toc49171386 \h </w:instrText>
        </w:r>
        <w:r w:rsidR="00E37612">
          <w:rPr>
            <w:noProof/>
            <w:webHidden/>
          </w:rPr>
        </w:r>
        <w:r w:rsidR="00E37612">
          <w:rPr>
            <w:noProof/>
            <w:webHidden/>
          </w:rPr>
          <w:fldChar w:fldCharType="separate"/>
        </w:r>
        <w:r w:rsidR="00C154C9">
          <w:rPr>
            <w:noProof/>
            <w:webHidden/>
          </w:rPr>
          <w:t>26</w:t>
        </w:r>
        <w:r w:rsidR="00E37612">
          <w:rPr>
            <w:noProof/>
            <w:webHidden/>
          </w:rPr>
          <w:fldChar w:fldCharType="end"/>
        </w:r>
      </w:hyperlink>
    </w:p>
    <w:p w14:paraId="3AF87CC4" w14:textId="34A921DE" w:rsidR="00E37612" w:rsidRDefault="00141E52" w:rsidP="00E37612">
      <w:pPr>
        <w:pStyle w:val="Spisilustracji"/>
        <w:tabs>
          <w:tab w:val="right" w:leader="dot" w:pos="9060"/>
        </w:tabs>
        <w:jc w:val="both"/>
        <w:rPr>
          <w:rFonts w:eastAsiaTheme="minorEastAsia"/>
          <w:noProof/>
          <w:lang w:eastAsia="pl-PL"/>
        </w:rPr>
      </w:pPr>
      <w:hyperlink w:anchor="_Toc49171387" w:history="1">
        <w:r w:rsidR="00E37612" w:rsidRPr="003A5C9D">
          <w:rPr>
            <w:rStyle w:val="Hipercze"/>
            <w:rFonts w:ascii="Times New Roman" w:hAnsi="Times New Roman" w:cs="Times New Roman"/>
            <w:b/>
            <w:noProof/>
          </w:rPr>
          <w:t>Tabela 12 Aktywność ekonomiczna ludności w wieku 15 lat i więcej według płci i miejsca zamieszkania w 2019 r.</w:t>
        </w:r>
        <w:r w:rsidR="00E37612">
          <w:rPr>
            <w:noProof/>
            <w:webHidden/>
          </w:rPr>
          <w:tab/>
        </w:r>
        <w:r w:rsidR="00E37612">
          <w:rPr>
            <w:noProof/>
            <w:webHidden/>
          </w:rPr>
          <w:fldChar w:fldCharType="begin"/>
        </w:r>
        <w:r w:rsidR="00E37612">
          <w:rPr>
            <w:noProof/>
            <w:webHidden/>
          </w:rPr>
          <w:instrText xml:space="preserve"> PAGEREF _Toc49171387 \h </w:instrText>
        </w:r>
        <w:r w:rsidR="00E37612">
          <w:rPr>
            <w:noProof/>
            <w:webHidden/>
          </w:rPr>
        </w:r>
        <w:r w:rsidR="00E37612">
          <w:rPr>
            <w:noProof/>
            <w:webHidden/>
          </w:rPr>
          <w:fldChar w:fldCharType="separate"/>
        </w:r>
        <w:r w:rsidR="00C154C9">
          <w:rPr>
            <w:noProof/>
            <w:webHidden/>
          </w:rPr>
          <w:t>33</w:t>
        </w:r>
        <w:r w:rsidR="00E37612">
          <w:rPr>
            <w:noProof/>
            <w:webHidden/>
          </w:rPr>
          <w:fldChar w:fldCharType="end"/>
        </w:r>
      </w:hyperlink>
    </w:p>
    <w:p w14:paraId="69D73E99" w14:textId="261537C2" w:rsidR="00E37612" w:rsidRDefault="00141E52" w:rsidP="00E37612">
      <w:pPr>
        <w:pStyle w:val="Spisilustracji"/>
        <w:tabs>
          <w:tab w:val="right" w:leader="dot" w:pos="9060"/>
        </w:tabs>
        <w:jc w:val="both"/>
        <w:rPr>
          <w:rFonts w:eastAsiaTheme="minorEastAsia"/>
          <w:noProof/>
          <w:lang w:eastAsia="pl-PL"/>
        </w:rPr>
      </w:pPr>
      <w:hyperlink w:anchor="_Toc49171388" w:history="1">
        <w:r w:rsidR="00E37612" w:rsidRPr="003A5C9D">
          <w:rPr>
            <w:rStyle w:val="Hipercze"/>
            <w:rFonts w:ascii="Times New Roman" w:hAnsi="Times New Roman" w:cs="Times New Roman"/>
            <w:b/>
            <w:noProof/>
          </w:rPr>
          <w:t>Tabela 13 Osoby pobierające emerytury i renty z tytułu niezdolności do pracy</w:t>
        </w:r>
        <w:r w:rsidR="00E37612">
          <w:rPr>
            <w:noProof/>
            <w:webHidden/>
          </w:rPr>
          <w:tab/>
        </w:r>
        <w:r w:rsidR="00E37612">
          <w:rPr>
            <w:noProof/>
            <w:webHidden/>
          </w:rPr>
          <w:fldChar w:fldCharType="begin"/>
        </w:r>
        <w:r w:rsidR="00E37612">
          <w:rPr>
            <w:noProof/>
            <w:webHidden/>
          </w:rPr>
          <w:instrText xml:space="preserve"> PAGEREF _Toc49171388 \h </w:instrText>
        </w:r>
        <w:r w:rsidR="00E37612">
          <w:rPr>
            <w:noProof/>
            <w:webHidden/>
          </w:rPr>
        </w:r>
        <w:r w:rsidR="00E37612">
          <w:rPr>
            <w:noProof/>
            <w:webHidden/>
          </w:rPr>
          <w:fldChar w:fldCharType="separate"/>
        </w:r>
        <w:r w:rsidR="00C154C9">
          <w:rPr>
            <w:noProof/>
            <w:webHidden/>
          </w:rPr>
          <w:t>34</w:t>
        </w:r>
        <w:r w:rsidR="00E37612">
          <w:rPr>
            <w:noProof/>
            <w:webHidden/>
          </w:rPr>
          <w:fldChar w:fldCharType="end"/>
        </w:r>
      </w:hyperlink>
    </w:p>
    <w:p w14:paraId="018953CB" w14:textId="4B7C61A6" w:rsidR="00E37612" w:rsidRDefault="00141E52" w:rsidP="00E37612">
      <w:pPr>
        <w:pStyle w:val="Spisilustracji"/>
        <w:tabs>
          <w:tab w:val="right" w:leader="dot" w:pos="9060"/>
        </w:tabs>
        <w:jc w:val="both"/>
        <w:rPr>
          <w:rFonts w:eastAsiaTheme="minorEastAsia"/>
          <w:noProof/>
          <w:lang w:eastAsia="pl-PL"/>
        </w:rPr>
      </w:pPr>
      <w:hyperlink w:anchor="_Toc49171389" w:history="1">
        <w:r w:rsidR="00E37612" w:rsidRPr="003A5C9D">
          <w:rPr>
            <w:rStyle w:val="Hipercze"/>
            <w:rFonts w:ascii="Times New Roman" w:hAnsi="Times New Roman" w:cs="Times New Roman"/>
            <w:b/>
            <w:noProof/>
          </w:rPr>
          <w:t>Tabela 14 Średni okres pobierania świadczeń emerytalno-rentowych w 2019 r. przez osoby, które ukończyły 60 lat</w:t>
        </w:r>
        <w:r w:rsidR="00E37612">
          <w:rPr>
            <w:noProof/>
            <w:webHidden/>
          </w:rPr>
          <w:tab/>
        </w:r>
        <w:r w:rsidR="00E37612">
          <w:rPr>
            <w:noProof/>
            <w:webHidden/>
          </w:rPr>
          <w:fldChar w:fldCharType="begin"/>
        </w:r>
        <w:r w:rsidR="00E37612">
          <w:rPr>
            <w:noProof/>
            <w:webHidden/>
          </w:rPr>
          <w:instrText xml:space="preserve"> PAGEREF _Toc49171389 \h </w:instrText>
        </w:r>
        <w:r w:rsidR="00E37612">
          <w:rPr>
            <w:noProof/>
            <w:webHidden/>
          </w:rPr>
        </w:r>
        <w:r w:rsidR="00E37612">
          <w:rPr>
            <w:noProof/>
            <w:webHidden/>
          </w:rPr>
          <w:fldChar w:fldCharType="separate"/>
        </w:r>
        <w:r w:rsidR="00C154C9">
          <w:rPr>
            <w:noProof/>
            <w:webHidden/>
          </w:rPr>
          <w:t>36</w:t>
        </w:r>
        <w:r w:rsidR="00E37612">
          <w:rPr>
            <w:noProof/>
            <w:webHidden/>
          </w:rPr>
          <w:fldChar w:fldCharType="end"/>
        </w:r>
      </w:hyperlink>
    </w:p>
    <w:p w14:paraId="0C604EEB" w14:textId="0A4045C1" w:rsidR="00E37612" w:rsidRDefault="00141E52" w:rsidP="00E37612">
      <w:pPr>
        <w:pStyle w:val="Spisilustracji"/>
        <w:tabs>
          <w:tab w:val="right" w:leader="dot" w:pos="9060"/>
        </w:tabs>
        <w:jc w:val="both"/>
        <w:rPr>
          <w:rFonts w:eastAsiaTheme="minorEastAsia"/>
          <w:noProof/>
          <w:lang w:eastAsia="pl-PL"/>
        </w:rPr>
      </w:pPr>
      <w:hyperlink w:anchor="_Toc49171390" w:history="1">
        <w:r w:rsidR="00E37612" w:rsidRPr="003A5C9D">
          <w:rPr>
            <w:rStyle w:val="Hipercze"/>
            <w:rFonts w:ascii="Times New Roman" w:hAnsi="Times New Roman" w:cs="Times New Roman"/>
            <w:b/>
            <w:noProof/>
          </w:rPr>
          <w:t>Tabela 15 Średni wiek, w jakim uzyskuje prawo do emerytury / renty w 2019 r.</w:t>
        </w:r>
        <w:r w:rsidR="00E37612">
          <w:rPr>
            <w:noProof/>
            <w:webHidden/>
          </w:rPr>
          <w:tab/>
        </w:r>
        <w:r w:rsidR="00E37612">
          <w:rPr>
            <w:noProof/>
            <w:webHidden/>
          </w:rPr>
          <w:fldChar w:fldCharType="begin"/>
        </w:r>
        <w:r w:rsidR="00E37612">
          <w:rPr>
            <w:noProof/>
            <w:webHidden/>
          </w:rPr>
          <w:instrText xml:space="preserve"> PAGEREF _Toc49171390 \h </w:instrText>
        </w:r>
        <w:r w:rsidR="00E37612">
          <w:rPr>
            <w:noProof/>
            <w:webHidden/>
          </w:rPr>
        </w:r>
        <w:r w:rsidR="00E37612">
          <w:rPr>
            <w:noProof/>
            <w:webHidden/>
          </w:rPr>
          <w:fldChar w:fldCharType="separate"/>
        </w:r>
        <w:r w:rsidR="00C154C9">
          <w:rPr>
            <w:noProof/>
            <w:webHidden/>
          </w:rPr>
          <w:t>36</w:t>
        </w:r>
        <w:r w:rsidR="00E37612">
          <w:rPr>
            <w:noProof/>
            <w:webHidden/>
          </w:rPr>
          <w:fldChar w:fldCharType="end"/>
        </w:r>
      </w:hyperlink>
    </w:p>
    <w:p w14:paraId="65C03B60" w14:textId="1FBC741E" w:rsidR="00E37612" w:rsidRDefault="00141E52" w:rsidP="00E37612">
      <w:pPr>
        <w:pStyle w:val="Spisilustracji"/>
        <w:tabs>
          <w:tab w:val="right" w:leader="dot" w:pos="9060"/>
        </w:tabs>
        <w:jc w:val="both"/>
        <w:rPr>
          <w:rFonts w:eastAsiaTheme="minorEastAsia"/>
          <w:noProof/>
          <w:lang w:eastAsia="pl-PL"/>
        </w:rPr>
      </w:pPr>
      <w:hyperlink w:anchor="_Toc49171391" w:history="1">
        <w:r w:rsidR="00E37612" w:rsidRPr="003A5C9D">
          <w:rPr>
            <w:rStyle w:val="Hipercze"/>
            <w:rFonts w:ascii="Times New Roman" w:hAnsi="Times New Roman" w:cs="Times New Roman"/>
            <w:b/>
            <w:noProof/>
          </w:rPr>
          <w:t>Tabela 16 Liczba osób w wieku 60 lat i więcej objętych ubezpieczeniem społecznym rolników, według roku urodzenia i płci w podziale na rolników, domowników, ubezpieczonych na kontach podmiotów*</w:t>
        </w:r>
        <w:r w:rsidR="00E37612">
          <w:rPr>
            <w:noProof/>
            <w:webHidden/>
          </w:rPr>
          <w:tab/>
        </w:r>
        <w:r w:rsidR="00E37612">
          <w:rPr>
            <w:noProof/>
            <w:webHidden/>
          </w:rPr>
          <w:fldChar w:fldCharType="begin"/>
        </w:r>
        <w:r w:rsidR="00E37612">
          <w:rPr>
            <w:noProof/>
            <w:webHidden/>
          </w:rPr>
          <w:instrText xml:space="preserve"> PAGEREF _Toc49171391 \h </w:instrText>
        </w:r>
        <w:r w:rsidR="00E37612">
          <w:rPr>
            <w:noProof/>
            <w:webHidden/>
          </w:rPr>
        </w:r>
        <w:r w:rsidR="00E37612">
          <w:rPr>
            <w:noProof/>
            <w:webHidden/>
          </w:rPr>
          <w:fldChar w:fldCharType="separate"/>
        </w:r>
        <w:r w:rsidR="00C154C9">
          <w:rPr>
            <w:noProof/>
            <w:webHidden/>
          </w:rPr>
          <w:t>39</w:t>
        </w:r>
        <w:r w:rsidR="00E37612">
          <w:rPr>
            <w:noProof/>
            <w:webHidden/>
          </w:rPr>
          <w:fldChar w:fldCharType="end"/>
        </w:r>
      </w:hyperlink>
    </w:p>
    <w:p w14:paraId="1AB2CB73" w14:textId="19D10AFA" w:rsidR="00E37612" w:rsidRDefault="00141E52" w:rsidP="00E37612">
      <w:pPr>
        <w:pStyle w:val="Spisilustracji"/>
        <w:tabs>
          <w:tab w:val="right" w:leader="dot" w:pos="9060"/>
        </w:tabs>
        <w:jc w:val="both"/>
        <w:rPr>
          <w:rFonts w:eastAsiaTheme="minorEastAsia"/>
          <w:noProof/>
          <w:lang w:eastAsia="pl-PL"/>
        </w:rPr>
      </w:pPr>
      <w:hyperlink w:anchor="_Toc49171392" w:history="1">
        <w:r w:rsidR="00E37612" w:rsidRPr="003A5C9D">
          <w:rPr>
            <w:rStyle w:val="Hipercze"/>
            <w:rFonts w:ascii="Times New Roman" w:hAnsi="Times New Roman" w:cs="Times New Roman"/>
            <w:b/>
            <w:noProof/>
          </w:rPr>
          <w:t>Tabela 17 Liczba świadczeniodawców oraz liczba i wartość rozliczonych świadczeń udzielonych osobom powyżej 60 r.ż. w zakresie geriatria - hospitalizacja</w:t>
        </w:r>
        <w:r w:rsidR="00E37612">
          <w:rPr>
            <w:noProof/>
            <w:webHidden/>
          </w:rPr>
          <w:tab/>
        </w:r>
        <w:r w:rsidR="00E37612">
          <w:rPr>
            <w:noProof/>
            <w:webHidden/>
          </w:rPr>
          <w:fldChar w:fldCharType="begin"/>
        </w:r>
        <w:r w:rsidR="00E37612">
          <w:rPr>
            <w:noProof/>
            <w:webHidden/>
          </w:rPr>
          <w:instrText xml:space="preserve"> PAGEREF _Toc49171392 \h </w:instrText>
        </w:r>
        <w:r w:rsidR="00E37612">
          <w:rPr>
            <w:noProof/>
            <w:webHidden/>
          </w:rPr>
        </w:r>
        <w:r w:rsidR="00E37612">
          <w:rPr>
            <w:noProof/>
            <w:webHidden/>
          </w:rPr>
          <w:fldChar w:fldCharType="separate"/>
        </w:r>
        <w:r w:rsidR="00C154C9">
          <w:rPr>
            <w:noProof/>
            <w:webHidden/>
          </w:rPr>
          <w:t>41</w:t>
        </w:r>
        <w:r w:rsidR="00E37612">
          <w:rPr>
            <w:noProof/>
            <w:webHidden/>
          </w:rPr>
          <w:fldChar w:fldCharType="end"/>
        </w:r>
      </w:hyperlink>
    </w:p>
    <w:p w14:paraId="5833B66B" w14:textId="7EBCC985" w:rsidR="00E37612" w:rsidRDefault="00141E52" w:rsidP="00E37612">
      <w:pPr>
        <w:pStyle w:val="Spisilustracji"/>
        <w:tabs>
          <w:tab w:val="right" w:leader="dot" w:pos="9060"/>
        </w:tabs>
        <w:jc w:val="both"/>
        <w:rPr>
          <w:rFonts w:eastAsiaTheme="minorEastAsia"/>
          <w:noProof/>
          <w:lang w:eastAsia="pl-PL"/>
        </w:rPr>
      </w:pPr>
      <w:hyperlink w:anchor="_Toc49171393" w:history="1">
        <w:r w:rsidR="00E37612" w:rsidRPr="003A5C9D">
          <w:rPr>
            <w:rStyle w:val="Hipercze"/>
            <w:rFonts w:ascii="Times New Roman" w:hAnsi="Times New Roman" w:cs="Times New Roman"/>
            <w:b/>
            <w:noProof/>
          </w:rPr>
          <w:t>Tabela 18 Liczba świadczeniodawców oraz liczba i wartość rozliczonych świadczeń udzielonych osobom powyżej 60 r. ż. w rodzaju SPO w podziale na zakresy świadczeń</w:t>
        </w:r>
        <w:r w:rsidR="00E37612">
          <w:rPr>
            <w:noProof/>
            <w:webHidden/>
          </w:rPr>
          <w:tab/>
        </w:r>
        <w:r w:rsidR="00E37612">
          <w:rPr>
            <w:noProof/>
            <w:webHidden/>
          </w:rPr>
          <w:fldChar w:fldCharType="begin"/>
        </w:r>
        <w:r w:rsidR="00E37612">
          <w:rPr>
            <w:noProof/>
            <w:webHidden/>
          </w:rPr>
          <w:instrText xml:space="preserve"> PAGEREF _Toc49171393 \h </w:instrText>
        </w:r>
        <w:r w:rsidR="00E37612">
          <w:rPr>
            <w:noProof/>
            <w:webHidden/>
          </w:rPr>
        </w:r>
        <w:r w:rsidR="00E37612">
          <w:rPr>
            <w:noProof/>
            <w:webHidden/>
          </w:rPr>
          <w:fldChar w:fldCharType="separate"/>
        </w:r>
        <w:r w:rsidR="00C154C9">
          <w:rPr>
            <w:noProof/>
            <w:webHidden/>
          </w:rPr>
          <w:t>41</w:t>
        </w:r>
        <w:r w:rsidR="00E37612">
          <w:rPr>
            <w:noProof/>
            <w:webHidden/>
          </w:rPr>
          <w:fldChar w:fldCharType="end"/>
        </w:r>
      </w:hyperlink>
    </w:p>
    <w:p w14:paraId="52EA1730" w14:textId="30696554" w:rsidR="00E37612" w:rsidRDefault="00141E52" w:rsidP="00E37612">
      <w:pPr>
        <w:pStyle w:val="Spisilustracji"/>
        <w:tabs>
          <w:tab w:val="right" w:leader="dot" w:pos="9060"/>
        </w:tabs>
        <w:jc w:val="both"/>
        <w:rPr>
          <w:rFonts w:eastAsiaTheme="minorEastAsia"/>
          <w:noProof/>
          <w:lang w:eastAsia="pl-PL"/>
        </w:rPr>
      </w:pPr>
      <w:hyperlink w:anchor="_Toc49171394" w:history="1">
        <w:r w:rsidR="00E37612" w:rsidRPr="003A5C9D">
          <w:rPr>
            <w:rStyle w:val="Hipercze"/>
            <w:rFonts w:ascii="Times New Roman" w:hAnsi="Times New Roman" w:cs="Times New Roman"/>
            <w:b/>
            <w:noProof/>
          </w:rPr>
          <w:t>Tabela 19 Liczba świadczeniodawców oraz liczba i wartość rozliczonych świadczeń udzielonych osobom powyżej 60 r. ż. w rodzaju OPH w podziale na zakresy świadczeń</w:t>
        </w:r>
        <w:r w:rsidR="00E37612">
          <w:rPr>
            <w:noProof/>
            <w:webHidden/>
          </w:rPr>
          <w:tab/>
        </w:r>
        <w:r w:rsidR="00E37612">
          <w:rPr>
            <w:noProof/>
            <w:webHidden/>
          </w:rPr>
          <w:fldChar w:fldCharType="begin"/>
        </w:r>
        <w:r w:rsidR="00E37612">
          <w:rPr>
            <w:noProof/>
            <w:webHidden/>
          </w:rPr>
          <w:instrText xml:space="preserve"> PAGEREF _Toc49171394 \h </w:instrText>
        </w:r>
        <w:r w:rsidR="00E37612">
          <w:rPr>
            <w:noProof/>
            <w:webHidden/>
          </w:rPr>
        </w:r>
        <w:r w:rsidR="00E37612">
          <w:rPr>
            <w:noProof/>
            <w:webHidden/>
          </w:rPr>
          <w:fldChar w:fldCharType="separate"/>
        </w:r>
        <w:r w:rsidR="00C154C9">
          <w:rPr>
            <w:noProof/>
            <w:webHidden/>
          </w:rPr>
          <w:t>42</w:t>
        </w:r>
        <w:r w:rsidR="00E37612">
          <w:rPr>
            <w:noProof/>
            <w:webHidden/>
          </w:rPr>
          <w:fldChar w:fldCharType="end"/>
        </w:r>
      </w:hyperlink>
    </w:p>
    <w:p w14:paraId="798870FD" w14:textId="634CFFA4" w:rsidR="00E37612" w:rsidRDefault="00141E52" w:rsidP="00E37612">
      <w:pPr>
        <w:pStyle w:val="Spisilustracji"/>
        <w:tabs>
          <w:tab w:val="right" w:leader="dot" w:pos="9060"/>
        </w:tabs>
        <w:jc w:val="both"/>
        <w:rPr>
          <w:rFonts w:eastAsiaTheme="minorEastAsia"/>
          <w:noProof/>
          <w:lang w:eastAsia="pl-PL"/>
        </w:rPr>
      </w:pPr>
      <w:hyperlink w:anchor="_Toc49171395" w:history="1">
        <w:r w:rsidR="00E37612" w:rsidRPr="003A5C9D">
          <w:rPr>
            <w:rStyle w:val="Hipercze"/>
            <w:rFonts w:ascii="Times New Roman" w:hAnsi="Times New Roman" w:cs="Times New Roman"/>
            <w:b/>
            <w:noProof/>
          </w:rPr>
          <w:t>Tabela 20 Liczba i wartość rozliczonych świadczeń udzielonych osobom powyżej 60 r. ż. w rodzaju REH</w:t>
        </w:r>
        <w:r w:rsidR="00E37612">
          <w:rPr>
            <w:noProof/>
            <w:webHidden/>
          </w:rPr>
          <w:tab/>
        </w:r>
        <w:r w:rsidR="00E37612">
          <w:rPr>
            <w:noProof/>
            <w:webHidden/>
          </w:rPr>
          <w:fldChar w:fldCharType="begin"/>
        </w:r>
        <w:r w:rsidR="00E37612">
          <w:rPr>
            <w:noProof/>
            <w:webHidden/>
          </w:rPr>
          <w:instrText xml:space="preserve"> PAGEREF _Toc49171395 \h </w:instrText>
        </w:r>
        <w:r w:rsidR="00E37612">
          <w:rPr>
            <w:noProof/>
            <w:webHidden/>
          </w:rPr>
        </w:r>
        <w:r w:rsidR="00E37612">
          <w:rPr>
            <w:noProof/>
            <w:webHidden/>
          </w:rPr>
          <w:fldChar w:fldCharType="separate"/>
        </w:r>
        <w:r w:rsidR="00C154C9">
          <w:rPr>
            <w:noProof/>
            <w:webHidden/>
          </w:rPr>
          <w:t>43</w:t>
        </w:r>
        <w:r w:rsidR="00E37612">
          <w:rPr>
            <w:noProof/>
            <w:webHidden/>
          </w:rPr>
          <w:fldChar w:fldCharType="end"/>
        </w:r>
      </w:hyperlink>
    </w:p>
    <w:p w14:paraId="026390FA" w14:textId="174FC266" w:rsidR="00E37612" w:rsidRDefault="00141E52" w:rsidP="00E37612">
      <w:pPr>
        <w:pStyle w:val="Spisilustracji"/>
        <w:tabs>
          <w:tab w:val="right" w:leader="dot" w:pos="9060"/>
        </w:tabs>
        <w:jc w:val="both"/>
        <w:rPr>
          <w:rFonts w:eastAsiaTheme="minorEastAsia"/>
          <w:noProof/>
          <w:lang w:eastAsia="pl-PL"/>
        </w:rPr>
      </w:pPr>
      <w:hyperlink w:anchor="_Toc49171396" w:history="1">
        <w:r w:rsidR="00E37612" w:rsidRPr="003A5C9D">
          <w:rPr>
            <w:rStyle w:val="Hipercze"/>
            <w:rFonts w:ascii="Times New Roman" w:hAnsi="Times New Roman" w:cs="Times New Roman"/>
            <w:b/>
            <w:noProof/>
          </w:rPr>
          <w:t>Tabela 21 Najczęstsze rozpoznania ICD:10 wśród osób powyżej 60 r. ż., którym udzielone zostały świadczenia w rodzaju rehabilitacja lecznicza (liczba i wartość rozliczonych świadczeń)</w:t>
        </w:r>
        <w:r w:rsidR="00E37612">
          <w:rPr>
            <w:noProof/>
            <w:webHidden/>
          </w:rPr>
          <w:tab/>
        </w:r>
        <w:r w:rsidR="00E37612">
          <w:rPr>
            <w:noProof/>
            <w:webHidden/>
          </w:rPr>
          <w:fldChar w:fldCharType="begin"/>
        </w:r>
        <w:r w:rsidR="00E37612">
          <w:rPr>
            <w:noProof/>
            <w:webHidden/>
          </w:rPr>
          <w:instrText xml:space="preserve"> PAGEREF _Toc49171396 \h </w:instrText>
        </w:r>
        <w:r w:rsidR="00E37612">
          <w:rPr>
            <w:noProof/>
            <w:webHidden/>
          </w:rPr>
        </w:r>
        <w:r w:rsidR="00E37612">
          <w:rPr>
            <w:noProof/>
            <w:webHidden/>
          </w:rPr>
          <w:fldChar w:fldCharType="separate"/>
        </w:r>
        <w:r w:rsidR="00C154C9">
          <w:rPr>
            <w:noProof/>
            <w:webHidden/>
          </w:rPr>
          <w:t>43</w:t>
        </w:r>
        <w:r w:rsidR="00E37612">
          <w:rPr>
            <w:noProof/>
            <w:webHidden/>
          </w:rPr>
          <w:fldChar w:fldCharType="end"/>
        </w:r>
      </w:hyperlink>
    </w:p>
    <w:p w14:paraId="40BD6C0F" w14:textId="0AD1E278" w:rsidR="00E37612" w:rsidRDefault="00141E52" w:rsidP="00E37612">
      <w:pPr>
        <w:pStyle w:val="Spisilustracji"/>
        <w:tabs>
          <w:tab w:val="right" w:leader="dot" w:pos="9060"/>
        </w:tabs>
        <w:jc w:val="both"/>
        <w:rPr>
          <w:rFonts w:eastAsiaTheme="minorEastAsia"/>
          <w:noProof/>
          <w:lang w:eastAsia="pl-PL"/>
        </w:rPr>
      </w:pPr>
      <w:hyperlink w:anchor="_Toc49171397" w:history="1">
        <w:r w:rsidR="00E37612" w:rsidRPr="003A5C9D">
          <w:rPr>
            <w:rStyle w:val="Hipercze"/>
            <w:rFonts w:ascii="Times New Roman" w:hAnsi="Times New Roman" w:cs="Times New Roman"/>
            <w:b/>
            <w:noProof/>
          </w:rPr>
          <w:t>Tabela 22 Świadczenia udzielone osobom powyżej 60 r. ż. na oddziałach psychogeriatrycznych w 2019 r.</w:t>
        </w:r>
        <w:r w:rsidR="00E37612">
          <w:rPr>
            <w:noProof/>
            <w:webHidden/>
          </w:rPr>
          <w:tab/>
        </w:r>
        <w:r w:rsidR="00E37612">
          <w:rPr>
            <w:noProof/>
            <w:webHidden/>
          </w:rPr>
          <w:fldChar w:fldCharType="begin"/>
        </w:r>
        <w:r w:rsidR="00E37612">
          <w:rPr>
            <w:noProof/>
            <w:webHidden/>
          </w:rPr>
          <w:instrText xml:space="preserve"> PAGEREF _Toc49171397 \h </w:instrText>
        </w:r>
        <w:r w:rsidR="00E37612">
          <w:rPr>
            <w:noProof/>
            <w:webHidden/>
          </w:rPr>
        </w:r>
        <w:r w:rsidR="00E37612">
          <w:rPr>
            <w:noProof/>
            <w:webHidden/>
          </w:rPr>
          <w:fldChar w:fldCharType="separate"/>
        </w:r>
        <w:r w:rsidR="00C154C9">
          <w:rPr>
            <w:noProof/>
            <w:webHidden/>
          </w:rPr>
          <w:t>44</w:t>
        </w:r>
        <w:r w:rsidR="00E37612">
          <w:rPr>
            <w:noProof/>
            <w:webHidden/>
          </w:rPr>
          <w:fldChar w:fldCharType="end"/>
        </w:r>
      </w:hyperlink>
    </w:p>
    <w:p w14:paraId="3DE75FDB" w14:textId="12F6332C" w:rsidR="00E37612" w:rsidRDefault="00141E52" w:rsidP="00E37612">
      <w:pPr>
        <w:pStyle w:val="Spisilustracji"/>
        <w:tabs>
          <w:tab w:val="right" w:leader="dot" w:pos="9060"/>
        </w:tabs>
        <w:jc w:val="both"/>
        <w:rPr>
          <w:rFonts w:eastAsiaTheme="minorEastAsia"/>
          <w:noProof/>
          <w:lang w:eastAsia="pl-PL"/>
        </w:rPr>
      </w:pPr>
      <w:hyperlink w:anchor="_Toc49171398" w:history="1">
        <w:r w:rsidR="00E37612" w:rsidRPr="003A5C9D">
          <w:rPr>
            <w:rStyle w:val="Hipercze"/>
            <w:rFonts w:ascii="Times New Roman" w:hAnsi="Times New Roman" w:cs="Times New Roman"/>
            <w:b/>
            <w:noProof/>
          </w:rPr>
          <w:t>Tabela 23 Liczba pielęgniarek, które posiadają tytuł specjalisty we wskazanych dziedzinach pielęgniarstwa</w:t>
        </w:r>
        <w:r w:rsidR="00E37612">
          <w:rPr>
            <w:noProof/>
            <w:webHidden/>
          </w:rPr>
          <w:tab/>
        </w:r>
        <w:r w:rsidR="00E37612">
          <w:rPr>
            <w:noProof/>
            <w:webHidden/>
          </w:rPr>
          <w:fldChar w:fldCharType="begin"/>
        </w:r>
        <w:r w:rsidR="00E37612">
          <w:rPr>
            <w:noProof/>
            <w:webHidden/>
          </w:rPr>
          <w:instrText xml:space="preserve"> PAGEREF _Toc49171398 \h </w:instrText>
        </w:r>
        <w:r w:rsidR="00E37612">
          <w:rPr>
            <w:noProof/>
            <w:webHidden/>
          </w:rPr>
        </w:r>
        <w:r w:rsidR="00E37612">
          <w:rPr>
            <w:noProof/>
            <w:webHidden/>
          </w:rPr>
          <w:fldChar w:fldCharType="separate"/>
        </w:r>
        <w:r w:rsidR="00C154C9">
          <w:rPr>
            <w:noProof/>
            <w:webHidden/>
          </w:rPr>
          <w:t>45</w:t>
        </w:r>
        <w:r w:rsidR="00E37612">
          <w:rPr>
            <w:noProof/>
            <w:webHidden/>
          </w:rPr>
          <w:fldChar w:fldCharType="end"/>
        </w:r>
      </w:hyperlink>
    </w:p>
    <w:p w14:paraId="70552E52" w14:textId="03B61958" w:rsidR="00E37612" w:rsidRDefault="00141E52" w:rsidP="00E37612">
      <w:pPr>
        <w:pStyle w:val="Spisilustracji"/>
        <w:tabs>
          <w:tab w:val="right" w:leader="dot" w:pos="9060"/>
        </w:tabs>
        <w:jc w:val="both"/>
        <w:rPr>
          <w:rFonts w:eastAsiaTheme="minorEastAsia"/>
          <w:noProof/>
          <w:lang w:eastAsia="pl-PL"/>
        </w:rPr>
      </w:pPr>
      <w:hyperlink w:anchor="_Toc49171399" w:history="1">
        <w:r w:rsidR="00E37612" w:rsidRPr="003A5C9D">
          <w:rPr>
            <w:rStyle w:val="Hipercze"/>
            <w:rFonts w:ascii="Times New Roman" w:hAnsi="Times New Roman" w:cs="Times New Roman"/>
            <w:b/>
            <w:noProof/>
          </w:rPr>
          <w:t>Tabela 24 Samoocena zdrowia w 2019 r.</w:t>
        </w:r>
        <w:r w:rsidR="00E37612">
          <w:rPr>
            <w:noProof/>
            <w:webHidden/>
          </w:rPr>
          <w:tab/>
        </w:r>
        <w:r w:rsidR="00E37612">
          <w:rPr>
            <w:noProof/>
            <w:webHidden/>
          </w:rPr>
          <w:fldChar w:fldCharType="begin"/>
        </w:r>
        <w:r w:rsidR="00E37612">
          <w:rPr>
            <w:noProof/>
            <w:webHidden/>
          </w:rPr>
          <w:instrText xml:space="preserve"> PAGEREF _Toc49171399 \h </w:instrText>
        </w:r>
        <w:r w:rsidR="00E37612">
          <w:rPr>
            <w:noProof/>
            <w:webHidden/>
          </w:rPr>
        </w:r>
        <w:r w:rsidR="00E37612">
          <w:rPr>
            <w:noProof/>
            <w:webHidden/>
          </w:rPr>
          <w:fldChar w:fldCharType="separate"/>
        </w:r>
        <w:r w:rsidR="00C154C9">
          <w:rPr>
            <w:noProof/>
            <w:webHidden/>
          </w:rPr>
          <w:t>45</w:t>
        </w:r>
        <w:r w:rsidR="00E37612">
          <w:rPr>
            <w:noProof/>
            <w:webHidden/>
          </w:rPr>
          <w:fldChar w:fldCharType="end"/>
        </w:r>
      </w:hyperlink>
    </w:p>
    <w:p w14:paraId="0EDEF0DC" w14:textId="4AEE32DF" w:rsidR="00E37612" w:rsidRDefault="00141E52" w:rsidP="00E37612">
      <w:pPr>
        <w:pStyle w:val="Spisilustracji"/>
        <w:tabs>
          <w:tab w:val="right" w:leader="dot" w:pos="9060"/>
        </w:tabs>
        <w:jc w:val="both"/>
        <w:rPr>
          <w:rFonts w:eastAsiaTheme="minorEastAsia"/>
          <w:noProof/>
          <w:lang w:eastAsia="pl-PL"/>
        </w:rPr>
      </w:pPr>
      <w:hyperlink w:anchor="_Toc49171400" w:history="1">
        <w:r w:rsidR="00E37612" w:rsidRPr="003A5C9D">
          <w:rPr>
            <w:rStyle w:val="Hipercze"/>
            <w:rFonts w:ascii="Times New Roman" w:hAnsi="Times New Roman" w:cs="Times New Roman"/>
            <w:b/>
            <w:noProof/>
          </w:rPr>
          <w:t>Tabela 25 Długotrwałe problemy zdrowotne lub choroby przewlekłe w 2019 r.</w:t>
        </w:r>
        <w:r w:rsidR="00E37612">
          <w:rPr>
            <w:noProof/>
            <w:webHidden/>
          </w:rPr>
          <w:tab/>
        </w:r>
        <w:r w:rsidR="00E37612">
          <w:rPr>
            <w:noProof/>
            <w:webHidden/>
          </w:rPr>
          <w:fldChar w:fldCharType="begin"/>
        </w:r>
        <w:r w:rsidR="00E37612">
          <w:rPr>
            <w:noProof/>
            <w:webHidden/>
          </w:rPr>
          <w:instrText xml:space="preserve"> PAGEREF _Toc49171400 \h </w:instrText>
        </w:r>
        <w:r w:rsidR="00E37612">
          <w:rPr>
            <w:noProof/>
            <w:webHidden/>
          </w:rPr>
        </w:r>
        <w:r w:rsidR="00E37612">
          <w:rPr>
            <w:noProof/>
            <w:webHidden/>
          </w:rPr>
          <w:fldChar w:fldCharType="separate"/>
        </w:r>
        <w:r w:rsidR="00C154C9">
          <w:rPr>
            <w:noProof/>
            <w:webHidden/>
          </w:rPr>
          <w:t>46</w:t>
        </w:r>
        <w:r w:rsidR="00E37612">
          <w:rPr>
            <w:noProof/>
            <w:webHidden/>
          </w:rPr>
          <w:fldChar w:fldCharType="end"/>
        </w:r>
      </w:hyperlink>
    </w:p>
    <w:p w14:paraId="19CADF26" w14:textId="597616AC" w:rsidR="00E37612" w:rsidRDefault="00141E52" w:rsidP="00E37612">
      <w:pPr>
        <w:pStyle w:val="Spisilustracji"/>
        <w:tabs>
          <w:tab w:val="right" w:leader="dot" w:pos="9060"/>
        </w:tabs>
        <w:jc w:val="both"/>
        <w:rPr>
          <w:rFonts w:eastAsiaTheme="minorEastAsia"/>
          <w:noProof/>
          <w:lang w:eastAsia="pl-PL"/>
        </w:rPr>
      </w:pPr>
      <w:hyperlink w:anchor="_Toc49171401" w:history="1">
        <w:r w:rsidR="00E37612" w:rsidRPr="003A5C9D">
          <w:rPr>
            <w:rStyle w:val="Hipercze"/>
            <w:rFonts w:ascii="Times New Roman" w:hAnsi="Times New Roman" w:cs="Times New Roman"/>
            <w:b/>
            <w:noProof/>
          </w:rPr>
          <w:t>Tabela 26 Ograniczona zdolność wykonywania czynności w 2019 r.</w:t>
        </w:r>
        <w:r w:rsidR="00E37612">
          <w:rPr>
            <w:noProof/>
            <w:webHidden/>
          </w:rPr>
          <w:tab/>
        </w:r>
        <w:r w:rsidR="00E37612">
          <w:rPr>
            <w:noProof/>
            <w:webHidden/>
          </w:rPr>
          <w:fldChar w:fldCharType="begin"/>
        </w:r>
        <w:r w:rsidR="00E37612">
          <w:rPr>
            <w:noProof/>
            <w:webHidden/>
          </w:rPr>
          <w:instrText xml:space="preserve"> PAGEREF _Toc49171401 \h </w:instrText>
        </w:r>
        <w:r w:rsidR="00E37612">
          <w:rPr>
            <w:noProof/>
            <w:webHidden/>
          </w:rPr>
        </w:r>
        <w:r w:rsidR="00E37612">
          <w:rPr>
            <w:noProof/>
            <w:webHidden/>
          </w:rPr>
          <w:fldChar w:fldCharType="separate"/>
        </w:r>
        <w:r w:rsidR="00C154C9">
          <w:rPr>
            <w:noProof/>
            <w:webHidden/>
          </w:rPr>
          <w:t>47</w:t>
        </w:r>
        <w:r w:rsidR="00E37612">
          <w:rPr>
            <w:noProof/>
            <w:webHidden/>
          </w:rPr>
          <w:fldChar w:fldCharType="end"/>
        </w:r>
      </w:hyperlink>
    </w:p>
    <w:p w14:paraId="16DF6343" w14:textId="0D1E0211" w:rsidR="00E37612" w:rsidRDefault="00141E52" w:rsidP="00E37612">
      <w:pPr>
        <w:pStyle w:val="Spisilustracji"/>
        <w:tabs>
          <w:tab w:val="right" w:leader="dot" w:pos="9060"/>
        </w:tabs>
        <w:jc w:val="both"/>
        <w:rPr>
          <w:rFonts w:eastAsiaTheme="minorEastAsia"/>
          <w:noProof/>
          <w:lang w:eastAsia="pl-PL"/>
        </w:rPr>
      </w:pPr>
      <w:hyperlink w:anchor="_Toc49171402" w:history="1">
        <w:r w:rsidR="00E37612" w:rsidRPr="003A5C9D">
          <w:rPr>
            <w:rStyle w:val="Hipercze"/>
            <w:rFonts w:ascii="Times New Roman" w:hAnsi="Times New Roman" w:cs="Times New Roman"/>
            <w:b/>
            <w:noProof/>
          </w:rPr>
          <w:t>Tabela 27 Potrzeby skorzystania z leczenia lub badania w 2019 r.</w:t>
        </w:r>
        <w:r w:rsidR="00E37612">
          <w:rPr>
            <w:noProof/>
            <w:webHidden/>
          </w:rPr>
          <w:tab/>
        </w:r>
        <w:r w:rsidR="00E37612">
          <w:rPr>
            <w:noProof/>
            <w:webHidden/>
          </w:rPr>
          <w:fldChar w:fldCharType="begin"/>
        </w:r>
        <w:r w:rsidR="00E37612">
          <w:rPr>
            <w:noProof/>
            <w:webHidden/>
          </w:rPr>
          <w:instrText xml:space="preserve"> PAGEREF _Toc49171402 \h </w:instrText>
        </w:r>
        <w:r w:rsidR="00E37612">
          <w:rPr>
            <w:noProof/>
            <w:webHidden/>
          </w:rPr>
        </w:r>
        <w:r w:rsidR="00E37612">
          <w:rPr>
            <w:noProof/>
            <w:webHidden/>
          </w:rPr>
          <w:fldChar w:fldCharType="separate"/>
        </w:r>
        <w:r w:rsidR="00C154C9">
          <w:rPr>
            <w:noProof/>
            <w:webHidden/>
          </w:rPr>
          <w:t>48</w:t>
        </w:r>
        <w:r w:rsidR="00E37612">
          <w:rPr>
            <w:noProof/>
            <w:webHidden/>
          </w:rPr>
          <w:fldChar w:fldCharType="end"/>
        </w:r>
      </w:hyperlink>
    </w:p>
    <w:p w14:paraId="12EFCC7F" w14:textId="22E5A66E" w:rsidR="00E37612" w:rsidRDefault="00141E52" w:rsidP="00E37612">
      <w:pPr>
        <w:pStyle w:val="Spisilustracji"/>
        <w:tabs>
          <w:tab w:val="right" w:leader="dot" w:pos="9060"/>
        </w:tabs>
        <w:jc w:val="both"/>
        <w:rPr>
          <w:rFonts w:eastAsiaTheme="minorEastAsia"/>
          <w:noProof/>
          <w:lang w:eastAsia="pl-PL"/>
        </w:rPr>
      </w:pPr>
      <w:hyperlink w:anchor="_Toc49171403" w:history="1">
        <w:r w:rsidR="00E37612" w:rsidRPr="003A5C9D">
          <w:rPr>
            <w:rStyle w:val="Hipercze"/>
            <w:rFonts w:ascii="Times New Roman" w:hAnsi="Times New Roman" w:cs="Times New Roman"/>
            <w:b/>
            <w:noProof/>
          </w:rPr>
          <w:t>Tabela 28 Przyczyny niezaspokojonych potrzeb w zakresie leczenia lub badania w 2019 r.</w:t>
        </w:r>
        <w:r w:rsidR="00E37612">
          <w:rPr>
            <w:noProof/>
            <w:webHidden/>
          </w:rPr>
          <w:tab/>
        </w:r>
        <w:r w:rsidR="00E37612">
          <w:rPr>
            <w:noProof/>
            <w:webHidden/>
          </w:rPr>
          <w:fldChar w:fldCharType="begin"/>
        </w:r>
        <w:r w:rsidR="00E37612">
          <w:rPr>
            <w:noProof/>
            <w:webHidden/>
          </w:rPr>
          <w:instrText xml:space="preserve"> PAGEREF _Toc49171403 \h </w:instrText>
        </w:r>
        <w:r w:rsidR="00E37612">
          <w:rPr>
            <w:noProof/>
            <w:webHidden/>
          </w:rPr>
        </w:r>
        <w:r w:rsidR="00E37612">
          <w:rPr>
            <w:noProof/>
            <w:webHidden/>
          </w:rPr>
          <w:fldChar w:fldCharType="separate"/>
        </w:r>
        <w:r w:rsidR="00C154C9">
          <w:rPr>
            <w:noProof/>
            <w:webHidden/>
          </w:rPr>
          <w:t>48</w:t>
        </w:r>
        <w:r w:rsidR="00E37612">
          <w:rPr>
            <w:noProof/>
            <w:webHidden/>
          </w:rPr>
          <w:fldChar w:fldCharType="end"/>
        </w:r>
      </w:hyperlink>
    </w:p>
    <w:p w14:paraId="1484DEBC" w14:textId="1A51CC87" w:rsidR="00E37612" w:rsidRDefault="00141E52" w:rsidP="00E37612">
      <w:pPr>
        <w:pStyle w:val="Spisilustracji"/>
        <w:tabs>
          <w:tab w:val="right" w:leader="dot" w:pos="9060"/>
        </w:tabs>
        <w:jc w:val="both"/>
        <w:rPr>
          <w:rFonts w:eastAsiaTheme="minorEastAsia"/>
          <w:noProof/>
          <w:lang w:eastAsia="pl-PL"/>
        </w:rPr>
      </w:pPr>
      <w:hyperlink w:anchor="_Toc49171404" w:history="1">
        <w:r w:rsidR="00E37612" w:rsidRPr="003A5C9D">
          <w:rPr>
            <w:rStyle w:val="Hipercze"/>
            <w:rFonts w:ascii="Times New Roman" w:hAnsi="Times New Roman" w:cs="Times New Roman"/>
            <w:b/>
            <w:noProof/>
          </w:rPr>
          <w:t>Tabela 29 Ambulatoryjna opieka zdrowotna w 2019 r.</w:t>
        </w:r>
        <w:r w:rsidR="00E37612">
          <w:rPr>
            <w:noProof/>
            <w:webHidden/>
          </w:rPr>
          <w:tab/>
        </w:r>
        <w:r w:rsidR="00E37612">
          <w:rPr>
            <w:noProof/>
            <w:webHidden/>
          </w:rPr>
          <w:fldChar w:fldCharType="begin"/>
        </w:r>
        <w:r w:rsidR="00E37612">
          <w:rPr>
            <w:noProof/>
            <w:webHidden/>
          </w:rPr>
          <w:instrText xml:space="preserve"> PAGEREF _Toc49171404 \h </w:instrText>
        </w:r>
        <w:r w:rsidR="00E37612">
          <w:rPr>
            <w:noProof/>
            <w:webHidden/>
          </w:rPr>
        </w:r>
        <w:r w:rsidR="00E37612">
          <w:rPr>
            <w:noProof/>
            <w:webHidden/>
          </w:rPr>
          <w:fldChar w:fldCharType="separate"/>
        </w:r>
        <w:r w:rsidR="00C154C9">
          <w:rPr>
            <w:noProof/>
            <w:webHidden/>
          </w:rPr>
          <w:t>50</w:t>
        </w:r>
        <w:r w:rsidR="00E37612">
          <w:rPr>
            <w:noProof/>
            <w:webHidden/>
          </w:rPr>
          <w:fldChar w:fldCharType="end"/>
        </w:r>
      </w:hyperlink>
    </w:p>
    <w:p w14:paraId="4861876C" w14:textId="1DCA04C3" w:rsidR="00E37612" w:rsidRDefault="00141E52" w:rsidP="00E37612">
      <w:pPr>
        <w:pStyle w:val="Spisilustracji"/>
        <w:tabs>
          <w:tab w:val="right" w:leader="dot" w:pos="9060"/>
        </w:tabs>
        <w:jc w:val="both"/>
        <w:rPr>
          <w:rFonts w:eastAsiaTheme="minorEastAsia"/>
          <w:noProof/>
          <w:lang w:eastAsia="pl-PL"/>
        </w:rPr>
      </w:pPr>
      <w:hyperlink w:anchor="_Toc49171405" w:history="1">
        <w:r w:rsidR="00E37612" w:rsidRPr="003A5C9D">
          <w:rPr>
            <w:rStyle w:val="Hipercze"/>
            <w:rFonts w:ascii="Times New Roman" w:hAnsi="Times New Roman" w:cs="Times New Roman"/>
            <w:b/>
            <w:noProof/>
          </w:rPr>
          <w:t>Tabela 30 Struktura porad ambulatoryjnej opieki zdrowotnej w 2019 r.</w:t>
        </w:r>
        <w:r w:rsidR="00E37612">
          <w:rPr>
            <w:noProof/>
            <w:webHidden/>
          </w:rPr>
          <w:tab/>
        </w:r>
        <w:r w:rsidR="00E37612">
          <w:rPr>
            <w:noProof/>
            <w:webHidden/>
          </w:rPr>
          <w:fldChar w:fldCharType="begin"/>
        </w:r>
        <w:r w:rsidR="00E37612">
          <w:rPr>
            <w:noProof/>
            <w:webHidden/>
          </w:rPr>
          <w:instrText xml:space="preserve"> PAGEREF _Toc49171405 \h </w:instrText>
        </w:r>
        <w:r w:rsidR="00E37612">
          <w:rPr>
            <w:noProof/>
            <w:webHidden/>
          </w:rPr>
        </w:r>
        <w:r w:rsidR="00E37612">
          <w:rPr>
            <w:noProof/>
            <w:webHidden/>
          </w:rPr>
          <w:fldChar w:fldCharType="separate"/>
        </w:r>
        <w:r w:rsidR="00C154C9">
          <w:rPr>
            <w:noProof/>
            <w:webHidden/>
          </w:rPr>
          <w:t>50</w:t>
        </w:r>
        <w:r w:rsidR="00E37612">
          <w:rPr>
            <w:noProof/>
            <w:webHidden/>
          </w:rPr>
          <w:fldChar w:fldCharType="end"/>
        </w:r>
      </w:hyperlink>
    </w:p>
    <w:p w14:paraId="60950BC1" w14:textId="3B032606" w:rsidR="00E37612" w:rsidRDefault="00141E52" w:rsidP="00E37612">
      <w:pPr>
        <w:pStyle w:val="Spisilustracji"/>
        <w:tabs>
          <w:tab w:val="right" w:leader="dot" w:pos="9060"/>
        </w:tabs>
        <w:jc w:val="both"/>
        <w:rPr>
          <w:rFonts w:eastAsiaTheme="minorEastAsia"/>
          <w:noProof/>
          <w:lang w:eastAsia="pl-PL"/>
        </w:rPr>
      </w:pPr>
      <w:hyperlink w:anchor="_Toc49171406" w:history="1">
        <w:r w:rsidR="00E37612" w:rsidRPr="003A5C9D">
          <w:rPr>
            <w:rStyle w:val="Hipercze"/>
            <w:rFonts w:ascii="Times New Roman" w:hAnsi="Times New Roman" w:cs="Times New Roman"/>
            <w:b/>
            <w:noProof/>
          </w:rPr>
          <w:t>Tabela 31 Oddziały geriatryczne w szpitalach ogólnych w 2018 r.</w:t>
        </w:r>
        <w:r w:rsidR="00E37612">
          <w:rPr>
            <w:noProof/>
            <w:webHidden/>
          </w:rPr>
          <w:tab/>
        </w:r>
        <w:r w:rsidR="00E37612">
          <w:rPr>
            <w:noProof/>
            <w:webHidden/>
          </w:rPr>
          <w:fldChar w:fldCharType="begin"/>
        </w:r>
        <w:r w:rsidR="00E37612">
          <w:rPr>
            <w:noProof/>
            <w:webHidden/>
          </w:rPr>
          <w:instrText xml:space="preserve"> PAGEREF _Toc49171406 \h </w:instrText>
        </w:r>
        <w:r w:rsidR="00E37612">
          <w:rPr>
            <w:noProof/>
            <w:webHidden/>
          </w:rPr>
        </w:r>
        <w:r w:rsidR="00E37612">
          <w:rPr>
            <w:noProof/>
            <w:webHidden/>
          </w:rPr>
          <w:fldChar w:fldCharType="separate"/>
        </w:r>
        <w:r w:rsidR="00C154C9">
          <w:rPr>
            <w:noProof/>
            <w:webHidden/>
          </w:rPr>
          <w:t>51</w:t>
        </w:r>
        <w:r w:rsidR="00E37612">
          <w:rPr>
            <w:noProof/>
            <w:webHidden/>
          </w:rPr>
          <w:fldChar w:fldCharType="end"/>
        </w:r>
      </w:hyperlink>
    </w:p>
    <w:p w14:paraId="50F0DCEE" w14:textId="7B6C6EFC" w:rsidR="00E37612" w:rsidRDefault="00141E52" w:rsidP="00E37612">
      <w:pPr>
        <w:pStyle w:val="Spisilustracji"/>
        <w:tabs>
          <w:tab w:val="right" w:leader="dot" w:pos="9060"/>
        </w:tabs>
        <w:jc w:val="both"/>
        <w:rPr>
          <w:rFonts w:eastAsiaTheme="minorEastAsia"/>
          <w:noProof/>
          <w:lang w:eastAsia="pl-PL"/>
        </w:rPr>
      </w:pPr>
      <w:hyperlink w:anchor="_Toc49171407" w:history="1">
        <w:r w:rsidR="00E37612" w:rsidRPr="003A5C9D">
          <w:rPr>
            <w:rStyle w:val="Hipercze"/>
            <w:rFonts w:ascii="Times New Roman" w:hAnsi="Times New Roman" w:cs="Times New Roman"/>
            <w:b/>
            <w:noProof/>
          </w:rPr>
          <w:t>Tabela 32 Kuracjusze lecznictwa uzdrowiskowego leczeni w trybie stacjonarnym</w:t>
        </w:r>
        <w:r w:rsidR="00E37612">
          <w:rPr>
            <w:noProof/>
            <w:webHidden/>
          </w:rPr>
          <w:tab/>
        </w:r>
        <w:r w:rsidR="00E37612">
          <w:rPr>
            <w:noProof/>
            <w:webHidden/>
          </w:rPr>
          <w:fldChar w:fldCharType="begin"/>
        </w:r>
        <w:r w:rsidR="00E37612">
          <w:rPr>
            <w:noProof/>
            <w:webHidden/>
          </w:rPr>
          <w:instrText xml:space="preserve"> PAGEREF _Toc49171407 \h </w:instrText>
        </w:r>
        <w:r w:rsidR="00E37612">
          <w:rPr>
            <w:noProof/>
            <w:webHidden/>
          </w:rPr>
        </w:r>
        <w:r w:rsidR="00E37612">
          <w:rPr>
            <w:noProof/>
            <w:webHidden/>
          </w:rPr>
          <w:fldChar w:fldCharType="separate"/>
        </w:r>
        <w:r w:rsidR="00C154C9">
          <w:rPr>
            <w:noProof/>
            <w:webHidden/>
          </w:rPr>
          <w:t>51</w:t>
        </w:r>
        <w:r w:rsidR="00E37612">
          <w:rPr>
            <w:noProof/>
            <w:webHidden/>
          </w:rPr>
          <w:fldChar w:fldCharType="end"/>
        </w:r>
      </w:hyperlink>
    </w:p>
    <w:p w14:paraId="43586CEE" w14:textId="0E26D4F2" w:rsidR="00E37612" w:rsidRDefault="00141E52" w:rsidP="00E37612">
      <w:pPr>
        <w:pStyle w:val="Spisilustracji"/>
        <w:tabs>
          <w:tab w:val="right" w:leader="dot" w:pos="9060"/>
        </w:tabs>
        <w:jc w:val="both"/>
        <w:rPr>
          <w:rFonts w:eastAsiaTheme="minorEastAsia"/>
          <w:noProof/>
          <w:lang w:eastAsia="pl-PL"/>
        </w:rPr>
      </w:pPr>
      <w:hyperlink w:anchor="_Toc49171408" w:history="1">
        <w:r w:rsidR="00E37612" w:rsidRPr="003A5C9D">
          <w:rPr>
            <w:rStyle w:val="Hipercze"/>
            <w:rFonts w:ascii="Times New Roman" w:hAnsi="Times New Roman" w:cs="Times New Roman"/>
            <w:b/>
            <w:noProof/>
          </w:rPr>
          <w:t>Tabela 33 Ratownictwo medyczne w 2019 r.</w:t>
        </w:r>
        <w:r w:rsidR="00E37612">
          <w:rPr>
            <w:noProof/>
            <w:webHidden/>
          </w:rPr>
          <w:tab/>
        </w:r>
        <w:r w:rsidR="00E37612">
          <w:rPr>
            <w:noProof/>
            <w:webHidden/>
          </w:rPr>
          <w:fldChar w:fldCharType="begin"/>
        </w:r>
        <w:r w:rsidR="00E37612">
          <w:rPr>
            <w:noProof/>
            <w:webHidden/>
          </w:rPr>
          <w:instrText xml:space="preserve"> PAGEREF _Toc49171408 \h </w:instrText>
        </w:r>
        <w:r w:rsidR="00E37612">
          <w:rPr>
            <w:noProof/>
            <w:webHidden/>
          </w:rPr>
        </w:r>
        <w:r w:rsidR="00E37612">
          <w:rPr>
            <w:noProof/>
            <w:webHidden/>
          </w:rPr>
          <w:fldChar w:fldCharType="separate"/>
        </w:r>
        <w:r w:rsidR="00C154C9">
          <w:rPr>
            <w:noProof/>
            <w:webHidden/>
          </w:rPr>
          <w:t>52</w:t>
        </w:r>
        <w:r w:rsidR="00E37612">
          <w:rPr>
            <w:noProof/>
            <w:webHidden/>
          </w:rPr>
          <w:fldChar w:fldCharType="end"/>
        </w:r>
      </w:hyperlink>
    </w:p>
    <w:p w14:paraId="3257B177" w14:textId="31F4EF7F" w:rsidR="00E37612" w:rsidRDefault="00141E52" w:rsidP="00E37612">
      <w:pPr>
        <w:pStyle w:val="Spisilustracji"/>
        <w:tabs>
          <w:tab w:val="right" w:leader="dot" w:pos="9060"/>
        </w:tabs>
        <w:jc w:val="both"/>
        <w:rPr>
          <w:rFonts w:eastAsiaTheme="minorEastAsia"/>
          <w:noProof/>
          <w:lang w:eastAsia="pl-PL"/>
        </w:rPr>
      </w:pPr>
      <w:hyperlink w:anchor="_Toc49171409" w:history="1">
        <w:r w:rsidR="00E37612" w:rsidRPr="003A5C9D">
          <w:rPr>
            <w:rStyle w:val="Hipercze"/>
            <w:rFonts w:ascii="Times New Roman" w:hAnsi="Times New Roman" w:cs="Times New Roman"/>
            <w:b/>
            <w:noProof/>
          </w:rPr>
          <w:t>Tabela 34 Aktywność społeczna i obywatelska w 2018 r.</w:t>
        </w:r>
        <w:r w:rsidR="00E37612">
          <w:rPr>
            <w:noProof/>
            <w:webHidden/>
          </w:rPr>
          <w:tab/>
        </w:r>
        <w:r w:rsidR="00E37612">
          <w:rPr>
            <w:noProof/>
            <w:webHidden/>
          </w:rPr>
          <w:fldChar w:fldCharType="begin"/>
        </w:r>
        <w:r w:rsidR="00E37612">
          <w:rPr>
            <w:noProof/>
            <w:webHidden/>
          </w:rPr>
          <w:instrText xml:space="preserve"> PAGEREF _Toc49171409 \h </w:instrText>
        </w:r>
        <w:r w:rsidR="00E37612">
          <w:rPr>
            <w:noProof/>
            <w:webHidden/>
          </w:rPr>
        </w:r>
        <w:r w:rsidR="00E37612">
          <w:rPr>
            <w:noProof/>
            <w:webHidden/>
          </w:rPr>
          <w:fldChar w:fldCharType="separate"/>
        </w:r>
        <w:r w:rsidR="00C154C9">
          <w:rPr>
            <w:noProof/>
            <w:webHidden/>
          </w:rPr>
          <w:t>52</w:t>
        </w:r>
        <w:r w:rsidR="00E37612">
          <w:rPr>
            <w:noProof/>
            <w:webHidden/>
          </w:rPr>
          <w:fldChar w:fldCharType="end"/>
        </w:r>
      </w:hyperlink>
    </w:p>
    <w:p w14:paraId="693FF540" w14:textId="0C328E90" w:rsidR="00E37612" w:rsidRDefault="00141E52" w:rsidP="00E37612">
      <w:pPr>
        <w:pStyle w:val="Spisilustracji"/>
        <w:tabs>
          <w:tab w:val="right" w:leader="dot" w:pos="9060"/>
        </w:tabs>
        <w:jc w:val="both"/>
        <w:rPr>
          <w:rFonts w:eastAsiaTheme="minorEastAsia"/>
          <w:noProof/>
          <w:lang w:eastAsia="pl-PL"/>
        </w:rPr>
      </w:pPr>
      <w:hyperlink w:anchor="_Toc49171410" w:history="1">
        <w:r w:rsidR="00E37612" w:rsidRPr="003A5C9D">
          <w:rPr>
            <w:rStyle w:val="Hipercze"/>
            <w:rFonts w:ascii="Times New Roman" w:hAnsi="Times New Roman" w:cs="Times New Roman"/>
            <w:b/>
            <w:noProof/>
          </w:rPr>
          <w:t>Tabela 35 Czytelnicy bibliotek publicznych w 2019 r.</w:t>
        </w:r>
        <w:r w:rsidR="00E37612">
          <w:rPr>
            <w:noProof/>
            <w:webHidden/>
          </w:rPr>
          <w:tab/>
        </w:r>
        <w:r w:rsidR="00E37612">
          <w:rPr>
            <w:noProof/>
            <w:webHidden/>
          </w:rPr>
          <w:fldChar w:fldCharType="begin"/>
        </w:r>
        <w:r w:rsidR="00E37612">
          <w:rPr>
            <w:noProof/>
            <w:webHidden/>
          </w:rPr>
          <w:instrText xml:space="preserve"> PAGEREF _Toc49171410 \h </w:instrText>
        </w:r>
        <w:r w:rsidR="00E37612">
          <w:rPr>
            <w:noProof/>
            <w:webHidden/>
          </w:rPr>
        </w:r>
        <w:r w:rsidR="00E37612">
          <w:rPr>
            <w:noProof/>
            <w:webHidden/>
          </w:rPr>
          <w:fldChar w:fldCharType="separate"/>
        </w:r>
        <w:r w:rsidR="00C154C9">
          <w:rPr>
            <w:noProof/>
            <w:webHidden/>
          </w:rPr>
          <w:t>53</w:t>
        </w:r>
        <w:r w:rsidR="00E37612">
          <w:rPr>
            <w:noProof/>
            <w:webHidden/>
          </w:rPr>
          <w:fldChar w:fldCharType="end"/>
        </w:r>
      </w:hyperlink>
    </w:p>
    <w:p w14:paraId="55B07BFB" w14:textId="68B2BD65" w:rsidR="00E37612" w:rsidRDefault="00141E52" w:rsidP="00E37612">
      <w:pPr>
        <w:pStyle w:val="Spisilustracji"/>
        <w:tabs>
          <w:tab w:val="right" w:leader="dot" w:pos="9060"/>
        </w:tabs>
        <w:jc w:val="both"/>
        <w:rPr>
          <w:rFonts w:eastAsiaTheme="minorEastAsia"/>
          <w:noProof/>
          <w:lang w:eastAsia="pl-PL"/>
        </w:rPr>
      </w:pPr>
      <w:hyperlink w:anchor="_Toc49171411" w:history="1">
        <w:r w:rsidR="00E37612" w:rsidRPr="003A5C9D">
          <w:rPr>
            <w:rStyle w:val="Hipercze"/>
            <w:rFonts w:ascii="Times New Roman" w:hAnsi="Times New Roman" w:cs="Times New Roman"/>
            <w:b/>
            <w:noProof/>
          </w:rPr>
          <w:t>Tabela 36 Udział osób starszych w formach aktywności kulturalnej organizowanych przez domy, ośrodki i centra kultury, kluby i świetlice w 2019 r.</w:t>
        </w:r>
        <w:r w:rsidR="00E37612">
          <w:rPr>
            <w:noProof/>
            <w:webHidden/>
          </w:rPr>
          <w:tab/>
        </w:r>
        <w:r w:rsidR="00E37612">
          <w:rPr>
            <w:noProof/>
            <w:webHidden/>
          </w:rPr>
          <w:fldChar w:fldCharType="begin"/>
        </w:r>
        <w:r w:rsidR="00E37612">
          <w:rPr>
            <w:noProof/>
            <w:webHidden/>
          </w:rPr>
          <w:instrText xml:space="preserve"> PAGEREF _Toc49171411 \h </w:instrText>
        </w:r>
        <w:r w:rsidR="00E37612">
          <w:rPr>
            <w:noProof/>
            <w:webHidden/>
          </w:rPr>
        </w:r>
        <w:r w:rsidR="00E37612">
          <w:rPr>
            <w:noProof/>
            <w:webHidden/>
          </w:rPr>
          <w:fldChar w:fldCharType="separate"/>
        </w:r>
        <w:r w:rsidR="00C154C9">
          <w:rPr>
            <w:noProof/>
            <w:webHidden/>
          </w:rPr>
          <w:t>54</w:t>
        </w:r>
        <w:r w:rsidR="00E37612">
          <w:rPr>
            <w:noProof/>
            <w:webHidden/>
          </w:rPr>
          <w:fldChar w:fldCharType="end"/>
        </w:r>
      </w:hyperlink>
    </w:p>
    <w:p w14:paraId="6E911CF4" w14:textId="49B856E3" w:rsidR="00E37612" w:rsidRDefault="00141E52" w:rsidP="00E37612">
      <w:pPr>
        <w:pStyle w:val="Spisilustracji"/>
        <w:tabs>
          <w:tab w:val="right" w:leader="dot" w:pos="9060"/>
        </w:tabs>
        <w:jc w:val="both"/>
        <w:rPr>
          <w:rFonts w:eastAsiaTheme="minorEastAsia"/>
          <w:noProof/>
          <w:lang w:eastAsia="pl-PL"/>
        </w:rPr>
      </w:pPr>
      <w:hyperlink w:anchor="_Toc49171412" w:history="1">
        <w:r w:rsidR="00E37612" w:rsidRPr="003A5C9D">
          <w:rPr>
            <w:rStyle w:val="Hipercze"/>
            <w:rFonts w:ascii="Times New Roman" w:hAnsi="Times New Roman" w:cs="Times New Roman"/>
            <w:b/>
            <w:noProof/>
          </w:rPr>
          <w:t>Tabela 37 Przykłady oferty instytucji kultury prowadzonych lub współprowadzonych przez Ministra Kultury i Dziedzictwa Narodowego oraz uczelni artystycznych, kierowanej do seniorów lub wspierającej ich aktywność kulturalną</w:t>
        </w:r>
        <w:r w:rsidR="00E37612">
          <w:rPr>
            <w:noProof/>
            <w:webHidden/>
          </w:rPr>
          <w:tab/>
        </w:r>
        <w:r w:rsidR="00E37612">
          <w:rPr>
            <w:noProof/>
            <w:webHidden/>
          </w:rPr>
          <w:fldChar w:fldCharType="begin"/>
        </w:r>
        <w:r w:rsidR="00E37612">
          <w:rPr>
            <w:noProof/>
            <w:webHidden/>
          </w:rPr>
          <w:instrText xml:space="preserve"> PAGEREF _Toc49171412 \h </w:instrText>
        </w:r>
        <w:r w:rsidR="00E37612">
          <w:rPr>
            <w:noProof/>
            <w:webHidden/>
          </w:rPr>
        </w:r>
        <w:r w:rsidR="00E37612">
          <w:rPr>
            <w:noProof/>
            <w:webHidden/>
          </w:rPr>
          <w:fldChar w:fldCharType="separate"/>
        </w:r>
        <w:r w:rsidR="00C154C9">
          <w:rPr>
            <w:noProof/>
            <w:webHidden/>
          </w:rPr>
          <w:t>57</w:t>
        </w:r>
        <w:r w:rsidR="00E37612">
          <w:rPr>
            <w:noProof/>
            <w:webHidden/>
          </w:rPr>
          <w:fldChar w:fldCharType="end"/>
        </w:r>
      </w:hyperlink>
    </w:p>
    <w:p w14:paraId="5010B580" w14:textId="137AABF1" w:rsidR="00E37612" w:rsidRDefault="00141E52" w:rsidP="00E37612">
      <w:pPr>
        <w:pStyle w:val="Spisilustracji"/>
        <w:tabs>
          <w:tab w:val="right" w:leader="dot" w:pos="9060"/>
        </w:tabs>
        <w:jc w:val="both"/>
        <w:rPr>
          <w:rFonts w:eastAsiaTheme="minorEastAsia"/>
          <w:noProof/>
          <w:lang w:eastAsia="pl-PL"/>
        </w:rPr>
      </w:pPr>
      <w:hyperlink w:anchor="_Toc49171413" w:history="1">
        <w:r w:rsidR="00E37612" w:rsidRPr="003A5C9D">
          <w:rPr>
            <w:rStyle w:val="Hipercze"/>
            <w:rFonts w:ascii="Times New Roman" w:hAnsi="Times New Roman" w:cs="Times New Roman"/>
            <w:b/>
            <w:noProof/>
          </w:rPr>
          <w:t>Tabela 38 Osoby korzystające z komputera w 2019 r.</w:t>
        </w:r>
        <w:r w:rsidR="00E37612">
          <w:rPr>
            <w:noProof/>
            <w:webHidden/>
          </w:rPr>
          <w:tab/>
        </w:r>
        <w:r w:rsidR="00E37612">
          <w:rPr>
            <w:noProof/>
            <w:webHidden/>
          </w:rPr>
          <w:fldChar w:fldCharType="begin"/>
        </w:r>
        <w:r w:rsidR="00E37612">
          <w:rPr>
            <w:noProof/>
            <w:webHidden/>
          </w:rPr>
          <w:instrText xml:space="preserve"> PAGEREF _Toc49171413 \h </w:instrText>
        </w:r>
        <w:r w:rsidR="00E37612">
          <w:rPr>
            <w:noProof/>
            <w:webHidden/>
          </w:rPr>
        </w:r>
        <w:r w:rsidR="00E37612">
          <w:rPr>
            <w:noProof/>
            <w:webHidden/>
          </w:rPr>
          <w:fldChar w:fldCharType="separate"/>
        </w:r>
        <w:r w:rsidR="00C154C9">
          <w:rPr>
            <w:noProof/>
            <w:webHidden/>
          </w:rPr>
          <w:t>61</w:t>
        </w:r>
        <w:r w:rsidR="00E37612">
          <w:rPr>
            <w:noProof/>
            <w:webHidden/>
          </w:rPr>
          <w:fldChar w:fldCharType="end"/>
        </w:r>
      </w:hyperlink>
    </w:p>
    <w:p w14:paraId="2C0FC8E4" w14:textId="2CEBBC5F" w:rsidR="00E37612" w:rsidRDefault="00141E52" w:rsidP="00E37612">
      <w:pPr>
        <w:pStyle w:val="Spisilustracji"/>
        <w:tabs>
          <w:tab w:val="right" w:leader="dot" w:pos="9060"/>
        </w:tabs>
        <w:jc w:val="both"/>
        <w:rPr>
          <w:rFonts w:eastAsiaTheme="minorEastAsia"/>
          <w:noProof/>
          <w:lang w:eastAsia="pl-PL"/>
        </w:rPr>
      </w:pPr>
      <w:hyperlink w:anchor="_Toc49171414" w:history="1">
        <w:r w:rsidR="00E37612" w:rsidRPr="003A5C9D">
          <w:rPr>
            <w:rStyle w:val="Hipercze"/>
            <w:rFonts w:ascii="Times New Roman" w:hAnsi="Times New Roman" w:cs="Times New Roman"/>
            <w:b/>
            <w:noProof/>
          </w:rPr>
          <w:t>Tabela 39 Osoby korzystające z Internetu w 2019 r.</w:t>
        </w:r>
        <w:r w:rsidR="00E37612">
          <w:rPr>
            <w:noProof/>
            <w:webHidden/>
          </w:rPr>
          <w:tab/>
        </w:r>
        <w:r w:rsidR="00E37612">
          <w:rPr>
            <w:noProof/>
            <w:webHidden/>
          </w:rPr>
          <w:fldChar w:fldCharType="begin"/>
        </w:r>
        <w:r w:rsidR="00E37612">
          <w:rPr>
            <w:noProof/>
            <w:webHidden/>
          </w:rPr>
          <w:instrText xml:space="preserve"> PAGEREF _Toc49171414 \h </w:instrText>
        </w:r>
        <w:r w:rsidR="00E37612">
          <w:rPr>
            <w:noProof/>
            <w:webHidden/>
          </w:rPr>
        </w:r>
        <w:r w:rsidR="00E37612">
          <w:rPr>
            <w:noProof/>
            <w:webHidden/>
          </w:rPr>
          <w:fldChar w:fldCharType="separate"/>
        </w:r>
        <w:r w:rsidR="00C154C9">
          <w:rPr>
            <w:noProof/>
            <w:webHidden/>
          </w:rPr>
          <w:t>62</w:t>
        </w:r>
        <w:r w:rsidR="00E37612">
          <w:rPr>
            <w:noProof/>
            <w:webHidden/>
          </w:rPr>
          <w:fldChar w:fldCharType="end"/>
        </w:r>
      </w:hyperlink>
    </w:p>
    <w:p w14:paraId="749AA10D" w14:textId="07499FB9" w:rsidR="00E37612" w:rsidRDefault="00141E52" w:rsidP="00E37612">
      <w:pPr>
        <w:pStyle w:val="Spisilustracji"/>
        <w:tabs>
          <w:tab w:val="right" w:leader="dot" w:pos="9060"/>
        </w:tabs>
        <w:jc w:val="both"/>
        <w:rPr>
          <w:rFonts w:eastAsiaTheme="minorEastAsia"/>
          <w:noProof/>
          <w:lang w:eastAsia="pl-PL"/>
        </w:rPr>
      </w:pPr>
      <w:hyperlink w:anchor="_Toc49171415" w:history="1">
        <w:r w:rsidR="00E37612" w:rsidRPr="003A5C9D">
          <w:rPr>
            <w:rStyle w:val="Hipercze"/>
            <w:rFonts w:ascii="Times New Roman" w:hAnsi="Times New Roman" w:cs="Times New Roman"/>
            <w:b/>
            <w:noProof/>
          </w:rPr>
          <w:t>Tabela 40 Uczestnictwo członków gospodarstw domowych w zajęciach sportowych lub rekreacji ruchowej w 2016 r.</w:t>
        </w:r>
        <w:r w:rsidR="00E37612">
          <w:rPr>
            <w:noProof/>
            <w:webHidden/>
          </w:rPr>
          <w:tab/>
        </w:r>
        <w:r w:rsidR="00E37612">
          <w:rPr>
            <w:noProof/>
            <w:webHidden/>
          </w:rPr>
          <w:fldChar w:fldCharType="begin"/>
        </w:r>
        <w:r w:rsidR="00E37612">
          <w:rPr>
            <w:noProof/>
            <w:webHidden/>
          </w:rPr>
          <w:instrText xml:space="preserve"> PAGEREF _Toc49171415 \h </w:instrText>
        </w:r>
        <w:r w:rsidR="00E37612">
          <w:rPr>
            <w:noProof/>
            <w:webHidden/>
          </w:rPr>
        </w:r>
        <w:r w:rsidR="00E37612">
          <w:rPr>
            <w:noProof/>
            <w:webHidden/>
          </w:rPr>
          <w:fldChar w:fldCharType="separate"/>
        </w:r>
        <w:r w:rsidR="00C154C9">
          <w:rPr>
            <w:noProof/>
            <w:webHidden/>
          </w:rPr>
          <w:t>63</w:t>
        </w:r>
        <w:r w:rsidR="00E37612">
          <w:rPr>
            <w:noProof/>
            <w:webHidden/>
          </w:rPr>
          <w:fldChar w:fldCharType="end"/>
        </w:r>
      </w:hyperlink>
    </w:p>
    <w:p w14:paraId="6B2161D6" w14:textId="2CDB6093" w:rsidR="00E37612" w:rsidRDefault="00141E52" w:rsidP="00E37612">
      <w:pPr>
        <w:pStyle w:val="Spisilustracji"/>
        <w:tabs>
          <w:tab w:val="right" w:leader="dot" w:pos="9060"/>
        </w:tabs>
        <w:jc w:val="both"/>
        <w:rPr>
          <w:rFonts w:eastAsiaTheme="minorEastAsia"/>
          <w:noProof/>
          <w:lang w:eastAsia="pl-PL"/>
        </w:rPr>
      </w:pPr>
      <w:hyperlink w:anchor="_Toc49171416" w:history="1">
        <w:r w:rsidR="00E37612" w:rsidRPr="003A5C9D">
          <w:rPr>
            <w:rStyle w:val="Hipercze"/>
            <w:rFonts w:ascii="Times New Roman" w:hAnsi="Times New Roman" w:cs="Times New Roman"/>
            <w:b/>
            <w:noProof/>
          </w:rPr>
          <w:t>Tabela 41 Mieszkańcy Polski w wieku 15 lat lub więcej uczestniczący w podróżach w 2019 r.</w:t>
        </w:r>
        <w:r w:rsidR="00E37612">
          <w:rPr>
            <w:noProof/>
            <w:webHidden/>
          </w:rPr>
          <w:tab/>
        </w:r>
        <w:r w:rsidR="00E37612">
          <w:rPr>
            <w:noProof/>
            <w:webHidden/>
          </w:rPr>
          <w:fldChar w:fldCharType="begin"/>
        </w:r>
        <w:r w:rsidR="00E37612">
          <w:rPr>
            <w:noProof/>
            <w:webHidden/>
          </w:rPr>
          <w:instrText xml:space="preserve"> PAGEREF _Toc49171416 \h </w:instrText>
        </w:r>
        <w:r w:rsidR="00E37612">
          <w:rPr>
            <w:noProof/>
            <w:webHidden/>
          </w:rPr>
        </w:r>
        <w:r w:rsidR="00E37612">
          <w:rPr>
            <w:noProof/>
            <w:webHidden/>
          </w:rPr>
          <w:fldChar w:fldCharType="separate"/>
        </w:r>
        <w:r w:rsidR="00C154C9">
          <w:rPr>
            <w:noProof/>
            <w:webHidden/>
          </w:rPr>
          <w:t>64</w:t>
        </w:r>
        <w:r w:rsidR="00E37612">
          <w:rPr>
            <w:noProof/>
            <w:webHidden/>
          </w:rPr>
          <w:fldChar w:fldCharType="end"/>
        </w:r>
      </w:hyperlink>
    </w:p>
    <w:p w14:paraId="7AB34128" w14:textId="71D33E5E" w:rsidR="00E37612" w:rsidRDefault="00141E52" w:rsidP="00E37612">
      <w:pPr>
        <w:pStyle w:val="Spisilustracji"/>
        <w:tabs>
          <w:tab w:val="right" w:leader="dot" w:pos="9060"/>
        </w:tabs>
        <w:jc w:val="both"/>
        <w:rPr>
          <w:rFonts w:eastAsiaTheme="minorEastAsia"/>
          <w:noProof/>
          <w:lang w:eastAsia="pl-PL"/>
        </w:rPr>
      </w:pPr>
      <w:hyperlink w:anchor="_Toc49171417" w:history="1">
        <w:r w:rsidR="00E37612" w:rsidRPr="003A5C9D">
          <w:rPr>
            <w:rStyle w:val="Hipercze"/>
            <w:rFonts w:ascii="Times New Roman" w:hAnsi="Times New Roman" w:cs="Times New Roman"/>
            <w:b/>
            <w:noProof/>
          </w:rPr>
          <w:t>Tabela 42 Osoby w wieku 61 lat i więcej wśród słuchaczy uniwersytetów trzeciego wieku (dane z roku akademickiego 2017/2018)</w:t>
        </w:r>
        <w:r w:rsidR="00E37612">
          <w:rPr>
            <w:noProof/>
            <w:webHidden/>
          </w:rPr>
          <w:tab/>
        </w:r>
        <w:r w:rsidR="00E37612">
          <w:rPr>
            <w:noProof/>
            <w:webHidden/>
          </w:rPr>
          <w:fldChar w:fldCharType="begin"/>
        </w:r>
        <w:r w:rsidR="00E37612">
          <w:rPr>
            <w:noProof/>
            <w:webHidden/>
          </w:rPr>
          <w:instrText xml:space="preserve"> PAGEREF _Toc49171417 \h </w:instrText>
        </w:r>
        <w:r w:rsidR="00E37612">
          <w:rPr>
            <w:noProof/>
            <w:webHidden/>
          </w:rPr>
        </w:r>
        <w:r w:rsidR="00E37612">
          <w:rPr>
            <w:noProof/>
            <w:webHidden/>
          </w:rPr>
          <w:fldChar w:fldCharType="separate"/>
        </w:r>
        <w:r w:rsidR="00C154C9">
          <w:rPr>
            <w:noProof/>
            <w:webHidden/>
          </w:rPr>
          <w:t>67</w:t>
        </w:r>
        <w:r w:rsidR="00E37612">
          <w:rPr>
            <w:noProof/>
            <w:webHidden/>
          </w:rPr>
          <w:fldChar w:fldCharType="end"/>
        </w:r>
      </w:hyperlink>
    </w:p>
    <w:p w14:paraId="49D78375" w14:textId="0AC0A985" w:rsidR="00E37612" w:rsidRDefault="00141E52" w:rsidP="00E37612">
      <w:pPr>
        <w:pStyle w:val="Spisilustracji"/>
        <w:tabs>
          <w:tab w:val="right" w:leader="dot" w:pos="9060"/>
        </w:tabs>
        <w:jc w:val="both"/>
        <w:rPr>
          <w:rFonts w:eastAsiaTheme="minorEastAsia"/>
          <w:noProof/>
          <w:lang w:eastAsia="pl-PL"/>
        </w:rPr>
      </w:pPr>
      <w:hyperlink w:anchor="_Toc49171418" w:history="1">
        <w:r w:rsidR="00E37612" w:rsidRPr="003A5C9D">
          <w:rPr>
            <w:rStyle w:val="Hipercze"/>
            <w:rFonts w:ascii="Times New Roman" w:hAnsi="Times New Roman" w:cs="Times New Roman"/>
            <w:b/>
            <w:noProof/>
          </w:rPr>
          <w:t>Tabela 43 Liczba gmin w poszczególnych województwach, w których funkcjonują gminne rady seniorów zgodnie z art. 5c ustawy i samorządzie gminnym</w:t>
        </w:r>
        <w:r w:rsidR="00E37612">
          <w:rPr>
            <w:noProof/>
            <w:webHidden/>
          </w:rPr>
          <w:tab/>
        </w:r>
        <w:r w:rsidR="00E37612">
          <w:rPr>
            <w:noProof/>
            <w:webHidden/>
          </w:rPr>
          <w:fldChar w:fldCharType="begin"/>
        </w:r>
        <w:r w:rsidR="00E37612">
          <w:rPr>
            <w:noProof/>
            <w:webHidden/>
          </w:rPr>
          <w:instrText xml:space="preserve"> PAGEREF _Toc49171418 \h </w:instrText>
        </w:r>
        <w:r w:rsidR="00E37612">
          <w:rPr>
            <w:noProof/>
            <w:webHidden/>
          </w:rPr>
        </w:r>
        <w:r w:rsidR="00E37612">
          <w:rPr>
            <w:noProof/>
            <w:webHidden/>
          </w:rPr>
          <w:fldChar w:fldCharType="separate"/>
        </w:r>
        <w:r w:rsidR="00C154C9">
          <w:rPr>
            <w:noProof/>
            <w:webHidden/>
          </w:rPr>
          <w:t>68</w:t>
        </w:r>
        <w:r w:rsidR="00E37612">
          <w:rPr>
            <w:noProof/>
            <w:webHidden/>
          </w:rPr>
          <w:fldChar w:fldCharType="end"/>
        </w:r>
      </w:hyperlink>
    </w:p>
    <w:p w14:paraId="6BDAF6F1" w14:textId="1484F972" w:rsidR="00E37612" w:rsidRDefault="00141E52" w:rsidP="00E37612">
      <w:pPr>
        <w:pStyle w:val="Spisilustracji"/>
        <w:tabs>
          <w:tab w:val="right" w:leader="dot" w:pos="9060"/>
        </w:tabs>
        <w:jc w:val="both"/>
        <w:rPr>
          <w:rFonts w:eastAsiaTheme="minorEastAsia"/>
          <w:noProof/>
          <w:lang w:eastAsia="pl-PL"/>
        </w:rPr>
      </w:pPr>
      <w:hyperlink w:anchor="_Toc49171419" w:history="1">
        <w:r w:rsidR="00E37612" w:rsidRPr="003A5C9D">
          <w:rPr>
            <w:rStyle w:val="Hipercze"/>
            <w:rFonts w:ascii="Times New Roman" w:hAnsi="Times New Roman" w:cs="Times New Roman"/>
            <w:b/>
            <w:noProof/>
          </w:rPr>
          <w:t>Tabela 44 Osoby niepełnosprawne w wieku 60 lat i więcej według płci, grup wieku i miejsca zamieszkania</w:t>
        </w:r>
        <w:r w:rsidR="00E37612">
          <w:rPr>
            <w:noProof/>
            <w:webHidden/>
          </w:rPr>
          <w:tab/>
        </w:r>
        <w:r w:rsidR="00E37612">
          <w:rPr>
            <w:noProof/>
            <w:webHidden/>
          </w:rPr>
          <w:fldChar w:fldCharType="begin"/>
        </w:r>
        <w:r w:rsidR="00E37612">
          <w:rPr>
            <w:noProof/>
            <w:webHidden/>
          </w:rPr>
          <w:instrText xml:space="preserve"> PAGEREF _Toc49171419 \h </w:instrText>
        </w:r>
        <w:r w:rsidR="00E37612">
          <w:rPr>
            <w:noProof/>
            <w:webHidden/>
          </w:rPr>
        </w:r>
        <w:r w:rsidR="00E37612">
          <w:rPr>
            <w:noProof/>
            <w:webHidden/>
          </w:rPr>
          <w:fldChar w:fldCharType="separate"/>
        </w:r>
        <w:r w:rsidR="00C154C9">
          <w:rPr>
            <w:noProof/>
            <w:webHidden/>
          </w:rPr>
          <w:t>71</w:t>
        </w:r>
        <w:r w:rsidR="00E37612">
          <w:rPr>
            <w:noProof/>
            <w:webHidden/>
          </w:rPr>
          <w:fldChar w:fldCharType="end"/>
        </w:r>
      </w:hyperlink>
    </w:p>
    <w:p w14:paraId="4A407AC7" w14:textId="704081BF" w:rsidR="00E37612" w:rsidRDefault="00141E52" w:rsidP="00E37612">
      <w:pPr>
        <w:pStyle w:val="Spisilustracji"/>
        <w:tabs>
          <w:tab w:val="right" w:leader="dot" w:pos="9060"/>
        </w:tabs>
        <w:jc w:val="both"/>
        <w:rPr>
          <w:rFonts w:eastAsiaTheme="minorEastAsia"/>
          <w:noProof/>
          <w:lang w:eastAsia="pl-PL"/>
        </w:rPr>
      </w:pPr>
      <w:hyperlink w:anchor="_Toc49171420" w:history="1">
        <w:r w:rsidR="00E37612" w:rsidRPr="003A5C9D">
          <w:rPr>
            <w:rStyle w:val="Hipercze"/>
            <w:rFonts w:ascii="Times New Roman" w:hAnsi="Times New Roman" w:cs="Times New Roman"/>
            <w:b/>
            <w:noProof/>
          </w:rPr>
          <w:t>Tabela 45 Program ASOS - dane za lata 2014-2020</w:t>
        </w:r>
        <w:r w:rsidR="00E37612">
          <w:rPr>
            <w:noProof/>
            <w:webHidden/>
          </w:rPr>
          <w:tab/>
        </w:r>
        <w:r w:rsidR="00E37612">
          <w:rPr>
            <w:noProof/>
            <w:webHidden/>
          </w:rPr>
          <w:fldChar w:fldCharType="begin"/>
        </w:r>
        <w:r w:rsidR="00E37612">
          <w:rPr>
            <w:noProof/>
            <w:webHidden/>
          </w:rPr>
          <w:instrText xml:space="preserve"> PAGEREF _Toc49171420 \h </w:instrText>
        </w:r>
        <w:r w:rsidR="00E37612">
          <w:rPr>
            <w:noProof/>
            <w:webHidden/>
          </w:rPr>
        </w:r>
        <w:r w:rsidR="00E37612">
          <w:rPr>
            <w:noProof/>
            <w:webHidden/>
          </w:rPr>
          <w:fldChar w:fldCharType="separate"/>
        </w:r>
        <w:r w:rsidR="00C154C9">
          <w:rPr>
            <w:noProof/>
            <w:webHidden/>
          </w:rPr>
          <w:t>73</w:t>
        </w:r>
        <w:r w:rsidR="00E37612">
          <w:rPr>
            <w:noProof/>
            <w:webHidden/>
          </w:rPr>
          <w:fldChar w:fldCharType="end"/>
        </w:r>
      </w:hyperlink>
    </w:p>
    <w:p w14:paraId="26B30E9E" w14:textId="2703A716" w:rsidR="00E37612" w:rsidRDefault="00141E52" w:rsidP="00E37612">
      <w:pPr>
        <w:pStyle w:val="Spisilustracji"/>
        <w:tabs>
          <w:tab w:val="right" w:leader="dot" w:pos="9060"/>
        </w:tabs>
        <w:jc w:val="both"/>
        <w:rPr>
          <w:rFonts w:eastAsiaTheme="minorEastAsia"/>
          <w:noProof/>
          <w:lang w:eastAsia="pl-PL"/>
        </w:rPr>
      </w:pPr>
      <w:hyperlink w:anchor="_Toc49171421" w:history="1">
        <w:r w:rsidR="00E37612" w:rsidRPr="003A5C9D">
          <w:rPr>
            <w:rStyle w:val="Hipercze"/>
            <w:rFonts w:ascii="Times New Roman" w:hAnsi="Times New Roman" w:cs="Times New Roman"/>
            <w:b/>
            <w:noProof/>
          </w:rPr>
          <w:t>Tabela 46 Działania i programy podjęte na rzecz osób starszych w 2019 r.</w:t>
        </w:r>
        <w:r w:rsidR="00E37612">
          <w:rPr>
            <w:noProof/>
            <w:webHidden/>
          </w:rPr>
          <w:tab/>
        </w:r>
        <w:r w:rsidR="00E37612">
          <w:rPr>
            <w:noProof/>
            <w:webHidden/>
          </w:rPr>
          <w:fldChar w:fldCharType="begin"/>
        </w:r>
        <w:r w:rsidR="00E37612">
          <w:rPr>
            <w:noProof/>
            <w:webHidden/>
          </w:rPr>
          <w:instrText xml:space="preserve"> PAGEREF _Toc49171421 \h </w:instrText>
        </w:r>
        <w:r w:rsidR="00E37612">
          <w:rPr>
            <w:noProof/>
            <w:webHidden/>
          </w:rPr>
        </w:r>
        <w:r w:rsidR="00E37612">
          <w:rPr>
            <w:noProof/>
            <w:webHidden/>
          </w:rPr>
          <w:fldChar w:fldCharType="separate"/>
        </w:r>
        <w:r w:rsidR="00C154C9">
          <w:rPr>
            <w:noProof/>
            <w:webHidden/>
          </w:rPr>
          <w:t>97</w:t>
        </w:r>
        <w:r w:rsidR="00E37612">
          <w:rPr>
            <w:noProof/>
            <w:webHidden/>
          </w:rPr>
          <w:fldChar w:fldCharType="end"/>
        </w:r>
      </w:hyperlink>
    </w:p>
    <w:p w14:paraId="3E449392" w14:textId="3EDFF906" w:rsidR="00E37612" w:rsidRDefault="00141E52" w:rsidP="00E37612">
      <w:pPr>
        <w:pStyle w:val="Spisilustracji"/>
        <w:tabs>
          <w:tab w:val="right" w:leader="dot" w:pos="9060"/>
        </w:tabs>
        <w:jc w:val="both"/>
        <w:rPr>
          <w:rFonts w:eastAsiaTheme="minorEastAsia"/>
          <w:noProof/>
          <w:lang w:eastAsia="pl-PL"/>
        </w:rPr>
      </w:pPr>
      <w:hyperlink w:anchor="_Toc49171422" w:history="1">
        <w:r w:rsidR="00E37612" w:rsidRPr="003A5C9D">
          <w:rPr>
            <w:rStyle w:val="Hipercze"/>
            <w:rFonts w:ascii="Times New Roman" w:hAnsi="Times New Roman" w:cs="Times New Roman"/>
            <w:b/>
            <w:noProof/>
          </w:rPr>
          <w:t>Tabela 47 Zadania dofinansowane przez Ministerstwo Sportu w 2019 r.</w:t>
        </w:r>
        <w:r w:rsidR="00E37612">
          <w:rPr>
            <w:noProof/>
            <w:webHidden/>
          </w:rPr>
          <w:tab/>
        </w:r>
        <w:r w:rsidR="00E37612">
          <w:rPr>
            <w:noProof/>
            <w:webHidden/>
          </w:rPr>
          <w:fldChar w:fldCharType="begin"/>
        </w:r>
        <w:r w:rsidR="00E37612">
          <w:rPr>
            <w:noProof/>
            <w:webHidden/>
          </w:rPr>
          <w:instrText xml:space="preserve"> PAGEREF _Toc49171422 \h </w:instrText>
        </w:r>
        <w:r w:rsidR="00E37612">
          <w:rPr>
            <w:noProof/>
            <w:webHidden/>
          </w:rPr>
        </w:r>
        <w:r w:rsidR="00E37612">
          <w:rPr>
            <w:noProof/>
            <w:webHidden/>
          </w:rPr>
          <w:fldChar w:fldCharType="separate"/>
        </w:r>
        <w:r w:rsidR="00C154C9">
          <w:rPr>
            <w:noProof/>
            <w:webHidden/>
          </w:rPr>
          <w:t>108</w:t>
        </w:r>
        <w:r w:rsidR="00E37612">
          <w:rPr>
            <w:noProof/>
            <w:webHidden/>
          </w:rPr>
          <w:fldChar w:fldCharType="end"/>
        </w:r>
      </w:hyperlink>
    </w:p>
    <w:p w14:paraId="67DE2F83" w14:textId="766D32D1" w:rsidR="00E37612" w:rsidRDefault="00141E52" w:rsidP="00E37612">
      <w:pPr>
        <w:pStyle w:val="Spisilustracji"/>
        <w:tabs>
          <w:tab w:val="right" w:leader="dot" w:pos="9060"/>
        </w:tabs>
        <w:jc w:val="both"/>
        <w:rPr>
          <w:rFonts w:eastAsiaTheme="minorEastAsia"/>
          <w:noProof/>
          <w:lang w:eastAsia="pl-PL"/>
        </w:rPr>
      </w:pPr>
      <w:hyperlink w:anchor="_Toc49171423" w:history="1">
        <w:r w:rsidR="00E37612" w:rsidRPr="003A5C9D">
          <w:rPr>
            <w:rStyle w:val="Hipercze"/>
            <w:rFonts w:ascii="Times New Roman" w:hAnsi="Times New Roman" w:cs="Times New Roman"/>
            <w:b/>
            <w:noProof/>
          </w:rPr>
          <w:t>Tabela 48 Dane na temat liczby kobiet przebadanych w 2019 r.  ramach programu profilaktyki raka piersi</w:t>
        </w:r>
        <w:r w:rsidR="00E37612">
          <w:rPr>
            <w:noProof/>
            <w:webHidden/>
          </w:rPr>
          <w:tab/>
        </w:r>
        <w:r w:rsidR="00E37612">
          <w:rPr>
            <w:noProof/>
            <w:webHidden/>
          </w:rPr>
          <w:fldChar w:fldCharType="begin"/>
        </w:r>
        <w:r w:rsidR="00E37612">
          <w:rPr>
            <w:noProof/>
            <w:webHidden/>
          </w:rPr>
          <w:instrText xml:space="preserve"> PAGEREF _Toc49171423 \h </w:instrText>
        </w:r>
        <w:r w:rsidR="00E37612">
          <w:rPr>
            <w:noProof/>
            <w:webHidden/>
          </w:rPr>
        </w:r>
        <w:r w:rsidR="00E37612">
          <w:rPr>
            <w:noProof/>
            <w:webHidden/>
          </w:rPr>
          <w:fldChar w:fldCharType="separate"/>
        </w:r>
        <w:r w:rsidR="00C154C9">
          <w:rPr>
            <w:noProof/>
            <w:webHidden/>
          </w:rPr>
          <w:t>127</w:t>
        </w:r>
        <w:r w:rsidR="00E37612">
          <w:rPr>
            <w:noProof/>
            <w:webHidden/>
          </w:rPr>
          <w:fldChar w:fldCharType="end"/>
        </w:r>
      </w:hyperlink>
    </w:p>
    <w:p w14:paraId="51D1AEDF" w14:textId="7517DA14" w:rsidR="00E37612" w:rsidRDefault="00141E52" w:rsidP="00E37612">
      <w:pPr>
        <w:pStyle w:val="Spisilustracji"/>
        <w:tabs>
          <w:tab w:val="right" w:leader="dot" w:pos="9060"/>
        </w:tabs>
        <w:jc w:val="both"/>
        <w:rPr>
          <w:rFonts w:eastAsiaTheme="minorEastAsia"/>
          <w:noProof/>
          <w:lang w:eastAsia="pl-PL"/>
        </w:rPr>
      </w:pPr>
      <w:hyperlink w:anchor="_Toc49171424" w:history="1">
        <w:r w:rsidR="00E37612" w:rsidRPr="003A5C9D">
          <w:rPr>
            <w:rStyle w:val="Hipercze"/>
            <w:rFonts w:ascii="Times New Roman" w:hAnsi="Times New Roman" w:cs="Times New Roman"/>
            <w:b/>
            <w:noProof/>
          </w:rPr>
          <w:t>Tabela 49 Programy polityki zdrowotnej finansowane przez Oddziały Wojewódzkie NFZ</w:t>
        </w:r>
        <w:r w:rsidR="00E37612">
          <w:rPr>
            <w:noProof/>
            <w:webHidden/>
          </w:rPr>
          <w:tab/>
        </w:r>
        <w:r w:rsidR="00E37612">
          <w:rPr>
            <w:noProof/>
            <w:webHidden/>
          </w:rPr>
          <w:fldChar w:fldCharType="begin"/>
        </w:r>
        <w:r w:rsidR="00E37612">
          <w:rPr>
            <w:noProof/>
            <w:webHidden/>
          </w:rPr>
          <w:instrText xml:space="preserve"> PAGEREF _Toc49171424 \h </w:instrText>
        </w:r>
        <w:r w:rsidR="00E37612">
          <w:rPr>
            <w:noProof/>
            <w:webHidden/>
          </w:rPr>
        </w:r>
        <w:r w:rsidR="00E37612">
          <w:rPr>
            <w:noProof/>
            <w:webHidden/>
          </w:rPr>
          <w:fldChar w:fldCharType="separate"/>
        </w:r>
        <w:r w:rsidR="00C154C9">
          <w:rPr>
            <w:noProof/>
            <w:webHidden/>
          </w:rPr>
          <w:t>127</w:t>
        </w:r>
        <w:r w:rsidR="00E37612">
          <w:rPr>
            <w:noProof/>
            <w:webHidden/>
          </w:rPr>
          <w:fldChar w:fldCharType="end"/>
        </w:r>
      </w:hyperlink>
    </w:p>
    <w:p w14:paraId="742E8BA2" w14:textId="0018CA11" w:rsidR="00E37612" w:rsidRDefault="00141E52" w:rsidP="00E37612">
      <w:pPr>
        <w:pStyle w:val="Spisilustracji"/>
        <w:tabs>
          <w:tab w:val="right" w:leader="dot" w:pos="9060"/>
        </w:tabs>
        <w:jc w:val="both"/>
        <w:rPr>
          <w:rFonts w:eastAsiaTheme="minorEastAsia"/>
          <w:noProof/>
          <w:lang w:eastAsia="pl-PL"/>
        </w:rPr>
      </w:pPr>
      <w:hyperlink w:anchor="_Toc49171425" w:history="1">
        <w:r w:rsidR="00E37612" w:rsidRPr="003A5C9D">
          <w:rPr>
            <w:rStyle w:val="Hipercze"/>
            <w:rFonts w:ascii="Times New Roman" w:hAnsi="Times New Roman" w:cs="Times New Roman"/>
            <w:b/>
            <w:noProof/>
          </w:rPr>
          <w:t>Tabela 50 Liczba szkoleń specjalizacyjnych dofinansowanych przez Ministerstwo Zdrowia ze środków publicznych realizowanych w 2019 r. w dziedzinach szczególnie przydatnych w opiece nad osobami starszymi</w:t>
        </w:r>
        <w:r w:rsidR="00E37612">
          <w:rPr>
            <w:noProof/>
            <w:webHidden/>
          </w:rPr>
          <w:tab/>
        </w:r>
        <w:r w:rsidR="00E37612">
          <w:rPr>
            <w:noProof/>
            <w:webHidden/>
          </w:rPr>
          <w:fldChar w:fldCharType="begin"/>
        </w:r>
        <w:r w:rsidR="00E37612">
          <w:rPr>
            <w:noProof/>
            <w:webHidden/>
          </w:rPr>
          <w:instrText xml:space="preserve"> PAGEREF _Toc49171425 \h </w:instrText>
        </w:r>
        <w:r w:rsidR="00E37612">
          <w:rPr>
            <w:noProof/>
            <w:webHidden/>
          </w:rPr>
        </w:r>
        <w:r w:rsidR="00E37612">
          <w:rPr>
            <w:noProof/>
            <w:webHidden/>
          </w:rPr>
          <w:fldChar w:fldCharType="separate"/>
        </w:r>
        <w:r w:rsidR="00C154C9">
          <w:rPr>
            <w:noProof/>
            <w:webHidden/>
          </w:rPr>
          <w:t>134</w:t>
        </w:r>
        <w:r w:rsidR="00E37612">
          <w:rPr>
            <w:noProof/>
            <w:webHidden/>
          </w:rPr>
          <w:fldChar w:fldCharType="end"/>
        </w:r>
      </w:hyperlink>
    </w:p>
    <w:p w14:paraId="38AFB1E6" w14:textId="4BA4DE31" w:rsidR="00E37612" w:rsidRDefault="00141E52" w:rsidP="00E37612">
      <w:pPr>
        <w:pStyle w:val="Spisilustracji"/>
        <w:tabs>
          <w:tab w:val="right" w:leader="dot" w:pos="9060"/>
        </w:tabs>
        <w:jc w:val="both"/>
        <w:rPr>
          <w:rFonts w:eastAsiaTheme="minorEastAsia"/>
          <w:noProof/>
          <w:lang w:eastAsia="pl-PL"/>
        </w:rPr>
      </w:pPr>
      <w:hyperlink w:anchor="_Toc49171426" w:history="1">
        <w:r w:rsidR="00E37612" w:rsidRPr="003A5C9D">
          <w:rPr>
            <w:rStyle w:val="Hipercze"/>
            <w:rFonts w:ascii="Times New Roman" w:hAnsi="Times New Roman" w:cs="Times New Roman"/>
            <w:b/>
            <w:noProof/>
          </w:rPr>
          <w:t>Tabela 51 Liczba pielęgniarek, które ukończyły kursy kwalifikacyjne w wybranych dziedzinach pielęgniarstwa</w:t>
        </w:r>
        <w:r w:rsidR="00E37612">
          <w:rPr>
            <w:noProof/>
            <w:webHidden/>
          </w:rPr>
          <w:tab/>
        </w:r>
        <w:r w:rsidR="00E37612">
          <w:rPr>
            <w:noProof/>
            <w:webHidden/>
          </w:rPr>
          <w:fldChar w:fldCharType="begin"/>
        </w:r>
        <w:r w:rsidR="00E37612">
          <w:rPr>
            <w:noProof/>
            <w:webHidden/>
          </w:rPr>
          <w:instrText xml:space="preserve"> PAGEREF _Toc49171426 \h </w:instrText>
        </w:r>
        <w:r w:rsidR="00E37612">
          <w:rPr>
            <w:noProof/>
            <w:webHidden/>
          </w:rPr>
        </w:r>
        <w:r w:rsidR="00E37612">
          <w:rPr>
            <w:noProof/>
            <w:webHidden/>
          </w:rPr>
          <w:fldChar w:fldCharType="separate"/>
        </w:r>
        <w:r w:rsidR="00C154C9">
          <w:rPr>
            <w:noProof/>
            <w:webHidden/>
          </w:rPr>
          <w:t>135</w:t>
        </w:r>
        <w:r w:rsidR="00E37612">
          <w:rPr>
            <w:noProof/>
            <w:webHidden/>
          </w:rPr>
          <w:fldChar w:fldCharType="end"/>
        </w:r>
      </w:hyperlink>
    </w:p>
    <w:p w14:paraId="47489BB2" w14:textId="2FC3189F" w:rsidR="00E37612" w:rsidRDefault="00141E52" w:rsidP="00E37612">
      <w:pPr>
        <w:pStyle w:val="Spisilustracji"/>
        <w:tabs>
          <w:tab w:val="right" w:leader="dot" w:pos="9060"/>
        </w:tabs>
        <w:jc w:val="both"/>
        <w:rPr>
          <w:rFonts w:eastAsiaTheme="minorEastAsia"/>
          <w:noProof/>
          <w:lang w:eastAsia="pl-PL"/>
        </w:rPr>
      </w:pPr>
      <w:hyperlink w:anchor="_Toc49171427" w:history="1">
        <w:r w:rsidR="00E37612" w:rsidRPr="003A5C9D">
          <w:rPr>
            <w:rStyle w:val="Hipercze"/>
            <w:rFonts w:ascii="Times New Roman" w:hAnsi="Times New Roman" w:cs="Times New Roman"/>
            <w:b/>
            <w:noProof/>
          </w:rPr>
          <w:t>Tabela 52 Liczba pielęgniarek, które ukończyły kursy specjalistyczne w wybranych zakresach pielęgniarstwa</w:t>
        </w:r>
        <w:r w:rsidR="00E37612">
          <w:rPr>
            <w:noProof/>
            <w:webHidden/>
          </w:rPr>
          <w:tab/>
        </w:r>
        <w:r w:rsidR="00E37612">
          <w:rPr>
            <w:noProof/>
            <w:webHidden/>
          </w:rPr>
          <w:fldChar w:fldCharType="begin"/>
        </w:r>
        <w:r w:rsidR="00E37612">
          <w:rPr>
            <w:noProof/>
            <w:webHidden/>
          </w:rPr>
          <w:instrText xml:space="preserve"> PAGEREF _Toc49171427 \h </w:instrText>
        </w:r>
        <w:r w:rsidR="00E37612">
          <w:rPr>
            <w:noProof/>
            <w:webHidden/>
          </w:rPr>
        </w:r>
        <w:r w:rsidR="00E37612">
          <w:rPr>
            <w:noProof/>
            <w:webHidden/>
          </w:rPr>
          <w:fldChar w:fldCharType="separate"/>
        </w:r>
        <w:r w:rsidR="00C154C9">
          <w:rPr>
            <w:noProof/>
            <w:webHidden/>
          </w:rPr>
          <w:t>135</w:t>
        </w:r>
        <w:r w:rsidR="00E37612">
          <w:rPr>
            <w:noProof/>
            <w:webHidden/>
          </w:rPr>
          <w:fldChar w:fldCharType="end"/>
        </w:r>
      </w:hyperlink>
    </w:p>
    <w:p w14:paraId="4789DF05" w14:textId="58080DC4" w:rsidR="00E37612" w:rsidRDefault="00141E52" w:rsidP="00E37612">
      <w:pPr>
        <w:pStyle w:val="Spisilustracji"/>
        <w:tabs>
          <w:tab w:val="right" w:leader="dot" w:pos="9060"/>
        </w:tabs>
        <w:jc w:val="both"/>
        <w:rPr>
          <w:rFonts w:eastAsiaTheme="minorEastAsia"/>
          <w:noProof/>
          <w:lang w:eastAsia="pl-PL"/>
        </w:rPr>
      </w:pPr>
      <w:hyperlink w:anchor="_Toc49171428" w:history="1">
        <w:r w:rsidR="00E37612" w:rsidRPr="003A5C9D">
          <w:rPr>
            <w:rStyle w:val="Hipercze"/>
            <w:rFonts w:ascii="Times New Roman" w:hAnsi="Times New Roman" w:cs="Times New Roman"/>
            <w:b/>
            <w:noProof/>
          </w:rPr>
          <w:t>Tabela 53 Dane na temat świadczeń opieki zdrowotnej realizowanych na rzecz osób po 60 r. ż. przez Klinikę i Poliklinikę Geriatrii NIGRiR</w:t>
        </w:r>
        <w:r w:rsidR="00E37612">
          <w:rPr>
            <w:noProof/>
            <w:webHidden/>
          </w:rPr>
          <w:tab/>
        </w:r>
        <w:r w:rsidR="00E37612">
          <w:rPr>
            <w:noProof/>
            <w:webHidden/>
          </w:rPr>
          <w:fldChar w:fldCharType="begin"/>
        </w:r>
        <w:r w:rsidR="00E37612">
          <w:rPr>
            <w:noProof/>
            <w:webHidden/>
          </w:rPr>
          <w:instrText xml:space="preserve"> PAGEREF _Toc49171428 \h </w:instrText>
        </w:r>
        <w:r w:rsidR="00E37612">
          <w:rPr>
            <w:noProof/>
            <w:webHidden/>
          </w:rPr>
        </w:r>
        <w:r w:rsidR="00E37612">
          <w:rPr>
            <w:noProof/>
            <w:webHidden/>
          </w:rPr>
          <w:fldChar w:fldCharType="separate"/>
        </w:r>
        <w:r w:rsidR="00C154C9">
          <w:rPr>
            <w:noProof/>
            <w:webHidden/>
          </w:rPr>
          <w:t>143</w:t>
        </w:r>
        <w:r w:rsidR="00E37612">
          <w:rPr>
            <w:noProof/>
            <w:webHidden/>
          </w:rPr>
          <w:fldChar w:fldCharType="end"/>
        </w:r>
      </w:hyperlink>
    </w:p>
    <w:p w14:paraId="0F3D971D" w14:textId="02057351" w:rsidR="00E37612" w:rsidRDefault="00141E52" w:rsidP="00E37612">
      <w:pPr>
        <w:pStyle w:val="Spisilustracji"/>
        <w:tabs>
          <w:tab w:val="right" w:leader="dot" w:pos="9060"/>
        </w:tabs>
        <w:jc w:val="both"/>
        <w:rPr>
          <w:rFonts w:eastAsiaTheme="minorEastAsia"/>
          <w:noProof/>
          <w:lang w:eastAsia="pl-PL"/>
        </w:rPr>
      </w:pPr>
      <w:hyperlink w:anchor="_Toc49171429" w:history="1">
        <w:r w:rsidR="00E37612" w:rsidRPr="003A5C9D">
          <w:rPr>
            <w:rStyle w:val="Hipercze"/>
            <w:rFonts w:ascii="Times New Roman" w:hAnsi="Times New Roman" w:cs="Times New Roman"/>
            <w:b/>
            <w:noProof/>
          </w:rPr>
          <w:t>Tabela 54 Działania Parków Narodowych w 2019 r. ułatwiające lub zachęcające osoby starsze do korzystania z oferty Parków</w:t>
        </w:r>
        <w:r w:rsidR="00E37612">
          <w:rPr>
            <w:noProof/>
            <w:webHidden/>
          </w:rPr>
          <w:tab/>
        </w:r>
        <w:r w:rsidR="00E37612">
          <w:rPr>
            <w:noProof/>
            <w:webHidden/>
          </w:rPr>
          <w:fldChar w:fldCharType="begin"/>
        </w:r>
        <w:r w:rsidR="00E37612">
          <w:rPr>
            <w:noProof/>
            <w:webHidden/>
          </w:rPr>
          <w:instrText xml:space="preserve"> PAGEREF _Toc49171429 \h </w:instrText>
        </w:r>
        <w:r w:rsidR="00E37612">
          <w:rPr>
            <w:noProof/>
            <w:webHidden/>
          </w:rPr>
        </w:r>
        <w:r w:rsidR="00E37612">
          <w:rPr>
            <w:noProof/>
            <w:webHidden/>
          </w:rPr>
          <w:fldChar w:fldCharType="separate"/>
        </w:r>
        <w:r w:rsidR="00C154C9">
          <w:rPr>
            <w:noProof/>
            <w:webHidden/>
          </w:rPr>
          <w:t>184</w:t>
        </w:r>
        <w:r w:rsidR="00E37612">
          <w:rPr>
            <w:noProof/>
            <w:webHidden/>
          </w:rPr>
          <w:fldChar w:fldCharType="end"/>
        </w:r>
      </w:hyperlink>
    </w:p>
    <w:p w14:paraId="48DAF446" w14:textId="0C865454" w:rsidR="00E37612" w:rsidRDefault="00141E52" w:rsidP="00E37612">
      <w:pPr>
        <w:pStyle w:val="Spisilustracji"/>
        <w:tabs>
          <w:tab w:val="right" w:leader="dot" w:pos="9060"/>
        </w:tabs>
        <w:jc w:val="both"/>
        <w:rPr>
          <w:rFonts w:eastAsiaTheme="minorEastAsia"/>
          <w:noProof/>
          <w:lang w:eastAsia="pl-PL"/>
        </w:rPr>
      </w:pPr>
      <w:hyperlink w:anchor="_Toc49171430" w:history="1">
        <w:r w:rsidR="00E37612" w:rsidRPr="003A5C9D">
          <w:rPr>
            <w:rStyle w:val="Hipercze"/>
            <w:rFonts w:ascii="Times New Roman" w:hAnsi="Times New Roman" w:cs="Times New Roman"/>
            <w:b/>
            <w:noProof/>
          </w:rPr>
          <w:t>Tabela 55 Karta województwa dolnośląskiego</w:t>
        </w:r>
        <w:r w:rsidR="00E37612">
          <w:rPr>
            <w:noProof/>
            <w:webHidden/>
          </w:rPr>
          <w:tab/>
        </w:r>
        <w:r w:rsidR="00E37612">
          <w:rPr>
            <w:noProof/>
            <w:webHidden/>
          </w:rPr>
          <w:fldChar w:fldCharType="begin"/>
        </w:r>
        <w:r w:rsidR="00E37612">
          <w:rPr>
            <w:noProof/>
            <w:webHidden/>
          </w:rPr>
          <w:instrText xml:space="preserve"> PAGEREF _Toc49171430 \h </w:instrText>
        </w:r>
        <w:r w:rsidR="00E37612">
          <w:rPr>
            <w:noProof/>
            <w:webHidden/>
          </w:rPr>
        </w:r>
        <w:r w:rsidR="00E37612">
          <w:rPr>
            <w:noProof/>
            <w:webHidden/>
          </w:rPr>
          <w:fldChar w:fldCharType="separate"/>
        </w:r>
        <w:r w:rsidR="00C154C9">
          <w:rPr>
            <w:noProof/>
            <w:webHidden/>
          </w:rPr>
          <w:t>224</w:t>
        </w:r>
        <w:r w:rsidR="00E37612">
          <w:rPr>
            <w:noProof/>
            <w:webHidden/>
          </w:rPr>
          <w:fldChar w:fldCharType="end"/>
        </w:r>
      </w:hyperlink>
    </w:p>
    <w:p w14:paraId="12D9F8E0" w14:textId="61F39819" w:rsidR="00E37612" w:rsidRDefault="00141E52" w:rsidP="00E37612">
      <w:pPr>
        <w:pStyle w:val="Spisilustracji"/>
        <w:tabs>
          <w:tab w:val="right" w:leader="dot" w:pos="9060"/>
        </w:tabs>
        <w:jc w:val="both"/>
        <w:rPr>
          <w:rFonts w:eastAsiaTheme="minorEastAsia"/>
          <w:noProof/>
          <w:lang w:eastAsia="pl-PL"/>
        </w:rPr>
      </w:pPr>
      <w:hyperlink w:anchor="_Toc49171431" w:history="1">
        <w:r w:rsidR="00E37612" w:rsidRPr="003A5C9D">
          <w:rPr>
            <w:rStyle w:val="Hipercze"/>
            <w:rFonts w:ascii="Times New Roman" w:hAnsi="Times New Roman" w:cs="Times New Roman"/>
            <w:b/>
            <w:noProof/>
          </w:rPr>
          <w:t>Tabela 56 Karta województwa kujawsko-pomorskiego</w:t>
        </w:r>
        <w:r w:rsidR="00E37612">
          <w:rPr>
            <w:noProof/>
            <w:webHidden/>
          </w:rPr>
          <w:tab/>
        </w:r>
        <w:r w:rsidR="00E37612">
          <w:rPr>
            <w:noProof/>
            <w:webHidden/>
          </w:rPr>
          <w:fldChar w:fldCharType="begin"/>
        </w:r>
        <w:r w:rsidR="00E37612">
          <w:rPr>
            <w:noProof/>
            <w:webHidden/>
          </w:rPr>
          <w:instrText xml:space="preserve"> PAGEREF _Toc49171431 \h </w:instrText>
        </w:r>
        <w:r w:rsidR="00E37612">
          <w:rPr>
            <w:noProof/>
            <w:webHidden/>
          </w:rPr>
        </w:r>
        <w:r w:rsidR="00E37612">
          <w:rPr>
            <w:noProof/>
            <w:webHidden/>
          </w:rPr>
          <w:fldChar w:fldCharType="separate"/>
        </w:r>
        <w:r w:rsidR="00C154C9">
          <w:rPr>
            <w:noProof/>
            <w:webHidden/>
          </w:rPr>
          <w:t>243</w:t>
        </w:r>
        <w:r w:rsidR="00E37612">
          <w:rPr>
            <w:noProof/>
            <w:webHidden/>
          </w:rPr>
          <w:fldChar w:fldCharType="end"/>
        </w:r>
      </w:hyperlink>
    </w:p>
    <w:p w14:paraId="4F2D5BE0" w14:textId="11D99606" w:rsidR="00E37612" w:rsidRDefault="00141E52" w:rsidP="00E37612">
      <w:pPr>
        <w:pStyle w:val="Spisilustracji"/>
        <w:tabs>
          <w:tab w:val="right" w:leader="dot" w:pos="9060"/>
        </w:tabs>
        <w:jc w:val="both"/>
        <w:rPr>
          <w:rFonts w:eastAsiaTheme="minorEastAsia"/>
          <w:noProof/>
          <w:lang w:eastAsia="pl-PL"/>
        </w:rPr>
      </w:pPr>
      <w:hyperlink w:anchor="_Toc49171432" w:history="1">
        <w:r w:rsidR="00E37612" w:rsidRPr="003A5C9D">
          <w:rPr>
            <w:rStyle w:val="Hipercze"/>
            <w:rFonts w:ascii="Times New Roman" w:hAnsi="Times New Roman" w:cs="Times New Roman"/>
            <w:b/>
            <w:noProof/>
          </w:rPr>
          <w:t>Tabela 57 Karta województwa lubelskiego</w:t>
        </w:r>
        <w:r w:rsidR="00E37612">
          <w:rPr>
            <w:noProof/>
            <w:webHidden/>
          </w:rPr>
          <w:tab/>
        </w:r>
        <w:r w:rsidR="00E37612">
          <w:rPr>
            <w:noProof/>
            <w:webHidden/>
          </w:rPr>
          <w:fldChar w:fldCharType="begin"/>
        </w:r>
        <w:r w:rsidR="00E37612">
          <w:rPr>
            <w:noProof/>
            <w:webHidden/>
          </w:rPr>
          <w:instrText xml:space="preserve"> PAGEREF _Toc49171432 \h </w:instrText>
        </w:r>
        <w:r w:rsidR="00E37612">
          <w:rPr>
            <w:noProof/>
            <w:webHidden/>
          </w:rPr>
        </w:r>
        <w:r w:rsidR="00E37612">
          <w:rPr>
            <w:noProof/>
            <w:webHidden/>
          </w:rPr>
          <w:fldChar w:fldCharType="separate"/>
        </w:r>
        <w:r w:rsidR="00C154C9">
          <w:rPr>
            <w:noProof/>
            <w:webHidden/>
          </w:rPr>
          <w:t>260</w:t>
        </w:r>
        <w:r w:rsidR="00E37612">
          <w:rPr>
            <w:noProof/>
            <w:webHidden/>
          </w:rPr>
          <w:fldChar w:fldCharType="end"/>
        </w:r>
      </w:hyperlink>
    </w:p>
    <w:p w14:paraId="1A2A8A8D" w14:textId="08E7F119" w:rsidR="00E37612" w:rsidRDefault="00141E52" w:rsidP="00E37612">
      <w:pPr>
        <w:pStyle w:val="Spisilustracji"/>
        <w:tabs>
          <w:tab w:val="right" w:leader="dot" w:pos="9060"/>
        </w:tabs>
        <w:jc w:val="both"/>
        <w:rPr>
          <w:rFonts w:eastAsiaTheme="minorEastAsia"/>
          <w:noProof/>
          <w:lang w:eastAsia="pl-PL"/>
        </w:rPr>
      </w:pPr>
      <w:hyperlink w:anchor="_Toc49171433" w:history="1">
        <w:r w:rsidR="00E37612" w:rsidRPr="003A5C9D">
          <w:rPr>
            <w:rStyle w:val="Hipercze"/>
            <w:rFonts w:ascii="Times New Roman" w:hAnsi="Times New Roman" w:cs="Times New Roman"/>
            <w:b/>
            <w:noProof/>
          </w:rPr>
          <w:t>Tabela 58 Karta województwa lubuskiego</w:t>
        </w:r>
        <w:r w:rsidR="00E37612">
          <w:rPr>
            <w:noProof/>
            <w:webHidden/>
          </w:rPr>
          <w:tab/>
        </w:r>
        <w:r w:rsidR="00E37612">
          <w:rPr>
            <w:noProof/>
            <w:webHidden/>
          </w:rPr>
          <w:fldChar w:fldCharType="begin"/>
        </w:r>
        <w:r w:rsidR="00E37612">
          <w:rPr>
            <w:noProof/>
            <w:webHidden/>
          </w:rPr>
          <w:instrText xml:space="preserve"> PAGEREF _Toc49171433 \h </w:instrText>
        </w:r>
        <w:r w:rsidR="00E37612">
          <w:rPr>
            <w:noProof/>
            <w:webHidden/>
          </w:rPr>
        </w:r>
        <w:r w:rsidR="00E37612">
          <w:rPr>
            <w:noProof/>
            <w:webHidden/>
          </w:rPr>
          <w:fldChar w:fldCharType="separate"/>
        </w:r>
        <w:r w:rsidR="00C154C9">
          <w:rPr>
            <w:noProof/>
            <w:webHidden/>
          </w:rPr>
          <w:t>276</w:t>
        </w:r>
        <w:r w:rsidR="00E37612">
          <w:rPr>
            <w:noProof/>
            <w:webHidden/>
          </w:rPr>
          <w:fldChar w:fldCharType="end"/>
        </w:r>
      </w:hyperlink>
    </w:p>
    <w:p w14:paraId="6D120575" w14:textId="6C8C518C" w:rsidR="00E37612" w:rsidRDefault="00141E52" w:rsidP="00E37612">
      <w:pPr>
        <w:pStyle w:val="Spisilustracji"/>
        <w:tabs>
          <w:tab w:val="right" w:leader="dot" w:pos="9060"/>
        </w:tabs>
        <w:jc w:val="both"/>
        <w:rPr>
          <w:rFonts w:eastAsiaTheme="minorEastAsia"/>
          <w:noProof/>
          <w:lang w:eastAsia="pl-PL"/>
        </w:rPr>
      </w:pPr>
      <w:hyperlink w:anchor="_Toc49171434" w:history="1">
        <w:r w:rsidR="00E37612" w:rsidRPr="003A5C9D">
          <w:rPr>
            <w:rStyle w:val="Hipercze"/>
            <w:rFonts w:ascii="Times New Roman" w:hAnsi="Times New Roman" w:cs="Times New Roman"/>
            <w:b/>
            <w:noProof/>
          </w:rPr>
          <w:t>Tabela 59 Karta województwa łódzkiego</w:t>
        </w:r>
        <w:r w:rsidR="00E37612">
          <w:rPr>
            <w:noProof/>
            <w:webHidden/>
          </w:rPr>
          <w:tab/>
        </w:r>
        <w:r w:rsidR="00E37612">
          <w:rPr>
            <w:noProof/>
            <w:webHidden/>
          </w:rPr>
          <w:fldChar w:fldCharType="begin"/>
        </w:r>
        <w:r w:rsidR="00E37612">
          <w:rPr>
            <w:noProof/>
            <w:webHidden/>
          </w:rPr>
          <w:instrText xml:space="preserve"> PAGEREF _Toc49171434 \h </w:instrText>
        </w:r>
        <w:r w:rsidR="00E37612">
          <w:rPr>
            <w:noProof/>
            <w:webHidden/>
          </w:rPr>
        </w:r>
        <w:r w:rsidR="00E37612">
          <w:rPr>
            <w:noProof/>
            <w:webHidden/>
          </w:rPr>
          <w:fldChar w:fldCharType="separate"/>
        </w:r>
        <w:r w:rsidR="00C154C9">
          <w:rPr>
            <w:noProof/>
            <w:webHidden/>
          </w:rPr>
          <w:t>297</w:t>
        </w:r>
        <w:r w:rsidR="00E37612">
          <w:rPr>
            <w:noProof/>
            <w:webHidden/>
          </w:rPr>
          <w:fldChar w:fldCharType="end"/>
        </w:r>
      </w:hyperlink>
    </w:p>
    <w:p w14:paraId="67684938" w14:textId="41884C3C" w:rsidR="00E37612" w:rsidRDefault="00141E52" w:rsidP="00E37612">
      <w:pPr>
        <w:pStyle w:val="Spisilustracji"/>
        <w:tabs>
          <w:tab w:val="right" w:leader="dot" w:pos="9060"/>
        </w:tabs>
        <w:jc w:val="both"/>
        <w:rPr>
          <w:rFonts w:eastAsiaTheme="minorEastAsia"/>
          <w:noProof/>
          <w:lang w:eastAsia="pl-PL"/>
        </w:rPr>
      </w:pPr>
      <w:hyperlink w:anchor="_Toc49171435" w:history="1">
        <w:r w:rsidR="00E37612" w:rsidRPr="003A5C9D">
          <w:rPr>
            <w:rStyle w:val="Hipercze"/>
            <w:rFonts w:ascii="Times New Roman" w:hAnsi="Times New Roman" w:cs="Times New Roman"/>
            <w:b/>
            <w:noProof/>
          </w:rPr>
          <w:t>Tabela 60 Karta województwa małopolskiego</w:t>
        </w:r>
        <w:r w:rsidR="00E37612">
          <w:rPr>
            <w:noProof/>
            <w:webHidden/>
          </w:rPr>
          <w:tab/>
        </w:r>
        <w:r w:rsidR="00E37612">
          <w:rPr>
            <w:noProof/>
            <w:webHidden/>
          </w:rPr>
          <w:fldChar w:fldCharType="begin"/>
        </w:r>
        <w:r w:rsidR="00E37612">
          <w:rPr>
            <w:noProof/>
            <w:webHidden/>
          </w:rPr>
          <w:instrText xml:space="preserve"> PAGEREF _Toc49171435 \h </w:instrText>
        </w:r>
        <w:r w:rsidR="00E37612">
          <w:rPr>
            <w:noProof/>
            <w:webHidden/>
          </w:rPr>
        </w:r>
        <w:r w:rsidR="00E37612">
          <w:rPr>
            <w:noProof/>
            <w:webHidden/>
          </w:rPr>
          <w:fldChar w:fldCharType="separate"/>
        </w:r>
        <w:r w:rsidR="00C154C9">
          <w:rPr>
            <w:noProof/>
            <w:webHidden/>
          </w:rPr>
          <w:t>312</w:t>
        </w:r>
        <w:r w:rsidR="00E37612">
          <w:rPr>
            <w:noProof/>
            <w:webHidden/>
          </w:rPr>
          <w:fldChar w:fldCharType="end"/>
        </w:r>
      </w:hyperlink>
    </w:p>
    <w:p w14:paraId="26CDE2F4" w14:textId="766079EE" w:rsidR="00E37612" w:rsidRDefault="00141E52" w:rsidP="00E37612">
      <w:pPr>
        <w:pStyle w:val="Spisilustracji"/>
        <w:tabs>
          <w:tab w:val="right" w:leader="dot" w:pos="9060"/>
        </w:tabs>
        <w:jc w:val="both"/>
        <w:rPr>
          <w:rFonts w:eastAsiaTheme="minorEastAsia"/>
          <w:noProof/>
          <w:lang w:eastAsia="pl-PL"/>
        </w:rPr>
      </w:pPr>
      <w:hyperlink w:anchor="_Toc49171436" w:history="1">
        <w:r w:rsidR="00E37612" w:rsidRPr="003A5C9D">
          <w:rPr>
            <w:rStyle w:val="Hipercze"/>
            <w:rFonts w:ascii="Times New Roman" w:hAnsi="Times New Roman" w:cs="Times New Roman"/>
            <w:b/>
            <w:noProof/>
          </w:rPr>
          <w:t>Tabela 61 Karta województwa mazowieckiego</w:t>
        </w:r>
        <w:r w:rsidR="00E37612">
          <w:rPr>
            <w:noProof/>
            <w:webHidden/>
          </w:rPr>
          <w:tab/>
        </w:r>
        <w:r w:rsidR="00E37612">
          <w:rPr>
            <w:noProof/>
            <w:webHidden/>
          </w:rPr>
          <w:fldChar w:fldCharType="begin"/>
        </w:r>
        <w:r w:rsidR="00E37612">
          <w:rPr>
            <w:noProof/>
            <w:webHidden/>
          </w:rPr>
          <w:instrText xml:space="preserve"> PAGEREF _Toc49171436 \h </w:instrText>
        </w:r>
        <w:r w:rsidR="00E37612">
          <w:rPr>
            <w:noProof/>
            <w:webHidden/>
          </w:rPr>
        </w:r>
        <w:r w:rsidR="00E37612">
          <w:rPr>
            <w:noProof/>
            <w:webHidden/>
          </w:rPr>
          <w:fldChar w:fldCharType="separate"/>
        </w:r>
        <w:r w:rsidR="00C154C9">
          <w:rPr>
            <w:noProof/>
            <w:webHidden/>
          </w:rPr>
          <w:t>330</w:t>
        </w:r>
        <w:r w:rsidR="00E37612">
          <w:rPr>
            <w:noProof/>
            <w:webHidden/>
          </w:rPr>
          <w:fldChar w:fldCharType="end"/>
        </w:r>
      </w:hyperlink>
    </w:p>
    <w:p w14:paraId="43887CE9" w14:textId="25104682" w:rsidR="00E37612" w:rsidRDefault="00141E52" w:rsidP="00E37612">
      <w:pPr>
        <w:pStyle w:val="Spisilustracji"/>
        <w:tabs>
          <w:tab w:val="right" w:leader="dot" w:pos="9060"/>
        </w:tabs>
        <w:jc w:val="both"/>
        <w:rPr>
          <w:rFonts w:eastAsiaTheme="minorEastAsia"/>
          <w:noProof/>
          <w:lang w:eastAsia="pl-PL"/>
        </w:rPr>
      </w:pPr>
      <w:hyperlink w:anchor="_Toc49171437" w:history="1">
        <w:r w:rsidR="00E37612" w:rsidRPr="003A5C9D">
          <w:rPr>
            <w:rStyle w:val="Hipercze"/>
            <w:rFonts w:ascii="Times New Roman" w:hAnsi="Times New Roman" w:cs="Times New Roman"/>
            <w:b/>
            <w:noProof/>
          </w:rPr>
          <w:t>Tabela 62 Karta województwa opolskiego</w:t>
        </w:r>
        <w:r w:rsidR="00E37612">
          <w:rPr>
            <w:noProof/>
            <w:webHidden/>
          </w:rPr>
          <w:tab/>
        </w:r>
        <w:r w:rsidR="00E37612">
          <w:rPr>
            <w:noProof/>
            <w:webHidden/>
          </w:rPr>
          <w:fldChar w:fldCharType="begin"/>
        </w:r>
        <w:r w:rsidR="00E37612">
          <w:rPr>
            <w:noProof/>
            <w:webHidden/>
          </w:rPr>
          <w:instrText xml:space="preserve"> PAGEREF _Toc49171437 \h </w:instrText>
        </w:r>
        <w:r w:rsidR="00E37612">
          <w:rPr>
            <w:noProof/>
            <w:webHidden/>
          </w:rPr>
        </w:r>
        <w:r w:rsidR="00E37612">
          <w:rPr>
            <w:noProof/>
            <w:webHidden/>
          </w:rPr>
          <w:fldChar w:fldCharType="separate"/>
        </w:r>
        <w:r w:rsidR="00C154C9">
          <w:rPr>
            <w:noProof/>
            <w:webHidden/>
          </w:rPr>
          <w:t>350</w:t>
        </w:r>
        <w:r w:rsidR="00E37612">
          <w:rPr>
            <w:noProof/>
            <w:webHidden/>
          </w:rPr>
          <w:fldChar w:fldCharType="end"/>
        </w:r>
      </w:hyperlink>
    </w:p>
    <w:p w14:paraId="662CE16A" w14:textId="156EE810" w:rsidR="00E37612" w:rsidRDefault="00141E52" w:rsidP="00E37612">
      <w:pPr>
        <w:pStyle w:val="Spisilustracji"/>
        <w:tabs>
          <w:tab w:val="right" w:leader="dot" w:pos="9060"/>
        </w:tabs>
        <w:jc w:val="both"/>
        <w:rPr>
          <w:rFonts w:eastAsiaTheme="minorEastAsia"/>
          <w:noProof/>
          <w:lang w:eastAsia="pl-PL"/>
        </w:rPr>
      </w:pPr>
      <w:hyperlink w:anchor="_Toc49171438" w:history="1">
        <w:r w:rsidR="00E37612" w:rsidRPr="003A5C9D">
          <w:rPr>
            <w:rStyle w:val="Hipercze"/>
            <w:rFonts w:ascii="Times New Roman" w:hAnsi="Times New Roman" w:cs="Times New Roman"/>
            <w:b/>
            <w:noProof/>
          </w:rPr>
          <w:t>Tabela 63 Karta województwa podkarpackiego</w:t>
        </w:r>
        <w:r w:rsidR="00E37612">
          <w:rPr>
            <w:noProof/>
            <w:webHidden/>
          </w:rPr>
          <w:tab/>
        </w:r>
        <w:r w:rsidR="00E37612">
          <w:rPr>
            <w:noProof/>
            <w:webHidden/>
          </w:rPr>
          <w:fldChar w:fldCharType="begin"/>
        </w:r>
        <w:r w:rsidR="00E37612">
          <w:rPr>
            <w:noProof/>
            <w:webHidden/>
          </w:rPr>
          <w:instrText xml:space="preserve"> PAGEREF _Toc49171438 \h </w:instrText>
        </w:r>
        <w:r w:rsidR="00E37612">
          <w:rPr>
            <w:noProof/>
            <w:webHidden/>
          </w:rPr>
        </w:r>
        <w:r w:rsidR="00E37612">
          <w:rPr>
            <w:noProof/>
            <w:webHidden/>
          </w:rPr>
          <w:fldChar w:fldCharType="separate"/>
        </w:r>
        <w:r w:rsidR="00C154C9">
          <w:rPr>
            <w:noProof/>
            <w:webHidden/>
          </w:rPr>
          <w:t>366</w:t>
        </w:r>
        <w:r w:rsidR="00E37612">
          <w:rPr>
            <w:noProof/>
            <w:webHidden/>
          </w:rPr>
          <w:fldChar w:fldCharType="end"/>
        </w:r>
      </w:hyperlink>
    </w:p>
    <w:p w14:paraId="62D0997D" w14:textId="7DB40260" w:rsidR="00E37612" w:rsidRDefault="00141E52" w:rsidP="00E37612">
      <w:pPr>
        <w:pStyle w:val="Spisilustracji"/>
        <w:tabs>
          <w:tab w:val="right" w:leader="dot" w:pos="9060"/>
        </w:tabs>
        <w:jc w:val="both"/>
        <w:rPr>
          <w:rFonts w:eastAsiaTheme="minorEastAsia"/>
          <w:noProof/>
          <w:lang w:eastAsia="pl-PL"/>
        </w:rPr>
      </w:pPr>
      <w:hyperlink w:anchor="_Toc49171439" w:history="1">
        <w:r w:rsidR="00E37612" w:rsidRPr="003A5C9D">
          <w:rPr>
            <w:rStyle w:val="Hipercze"/>
            <w:rFonts w:ascii="Times New Roman" w:hAnsi="Times New Roman" w:cs="Times New Roman"/>
            <w:b/>
            <w:noProof/>
          </w:rPr>
          <w:t>Tabela 64 Karta województwa podlaskiego</w:t>
        </w:r>
        <w:r w:rsidR="00E37612">
          <w:rPr>
            <w:noProof/>
            <w:webHidden/>
          </w:rPr>
          <w:tab/>
        </w:r>
        <w:r w:rsidR="00E37612">
          <w:rPr>
            <w:noProof/>
            <w:webHidden/>
          </w:rPr>
          <w:fldChar w:fldCharType="begin"/>
        </w:r>
        <w:r w:rsidR="00E37612">
          <w:rPr>
            <w:noProof/>
            <w:webHidden/>
          </w:rPr>
          <w:instrText xml:space="preserve"> PAGEREF _Toc49171439 \h </w:instrText>
        </w:r>
        <w:r w:rsidR="00E37612">
          <w:rPr>
            <w:noProof/>
            <w:webHidden/>
          </w:rPr>
        </w:r>
        <w:r w:rsidR="00E37612">
          <w:rPr>
            <w:noProof/>
            <w:webHidden/>
          </w:rPr>
          <w:fldChar w:fldCharType="separate"/>
        </w:r>
        <w:r w:rsidR="00C154C9">
          <w:rPr>
            <w:noProof/>
            <w:webHidden/>
          </w:rPr>
          <w:t>391</w:t>
        </w:r>
        <w:r w:rsidR="00E37612">
          <w:rPr>
            <w:noProof/>
            <w:webHidden/>
          </w:rPr>
          <w:fldChar w:fldCharType="end"/>
        </w:r>
      </w:hyperlink>
    </w:p>
    <w:p w14:paraId="779D4585" w14:textId="19312947" w:rsidR="00E37612" w:rsidRDefault="00141E52" w:rsidP="00E37612">
      <w:pPr>
        <w:pStyle w:val="Spisilustracji"/>
        <w:tabs>
          <w:tab w:val="right" w:leader="dot" w:pos="9060"/>
        </w:tabs>
        <w:jc w:val="both"/>
        <w:rPr>
          <w:rFonts w:eastAsiaTheme="minorEastAsia"/>
          <w:noProof/>
          <w:lang w:eastAsia="pl-PL"/>
        </w:rPr>
      </w:pPr>
      <w:hyperlink w:anchor="_Toc49171440" w:history="1">
        <w:r w:rsidR="00E37612" w:rsidRPr="003A5C9D">
          <w:rPr>
            <w:rStyle w:val="Hipercze"/>
            <w:rFonts w:ascii="Times New Roman" w:hAnsi="Times New Roman" w:cs="Times New Roman"/>
            <w:b/>
            <w:noProof/>
          </w:rPr>
          <w:t>Tabela 65 Karta województwa pomorskiego</w:t>
        </w:r>
        <w:r w:rsidR="00E37612">
          <w:rPr>
            <w:noProof/>
            <w:webHidden/>
          </w:rPr>
          <w:tab/>
        </w:r>
        <w:r w:rsidR="00E37612">
          <w:rPr>
            <w:noProof/>
            <w:webHidden/>
          </w:rPr>
          <w:fldChar w:fldCharType="begin"/>
        </w:r>
        <w:r w:rsidR="00E37612">
          <w:rPr>
            <w:noProof/>
            <w:webHidden/>
          </w:rPr>
          <w:instrText xml:space="preserve"> PAGEREF _Toc49171440 \h </w:instrText>
        </w:r>
        <w:r w:rsidR="00E37612">
          <w:rPr>
            <w:noProof/>
            <w:webHidden/>
          </w:rPr>
        </w:r>
        <w:r w:rsidR="00E37612">
          <w:rPr>
            <w:noProof/>
            <w:webHidden/>
          </w:rPr>
          <w:fldChar w:fldCharType="separate"/>
        </w:r>
        <w:r w:rsidR="00C154C9">
          <w:rPr>
            <w:noProof/>
            <w:webHidden/>
          </w:rPr>
          <w:t>407</w:t>
        </w:r>
        <w:r w:rsidR="00E37612">
          <w:rPr>
            <w:noProof/>
            <w:webHidden/>
          </w:rPr>
          <w:fldChar w:fldCharType="end"/>
        </w:r>
      </w:hyperlink>
    </w:p>
    <w:p w14:paraId="6780FBD8" w14:textId="1279BED4" w:rsidR="00E37612" w:rsidRDefault="00141E52" w:rsidP="00E37612">
      <w:pPr>
        <w:pStyle w:val="Spisilustracji"/>
        <w:tabs>
          <w:tab w:val="right" w:leader="dot" w:pos="9060"/>
        </w:tabs>
        <w:jc w:val="both"/>
        <w:rPr>
          <w:rFonts w:eastAsiaTheme="minorEastAsia"/>
          <w:noProof/>
          <w:lang w:eastAsia="pl-PL"/>
        </w:rPr>
      </w:pPr>
      <w:hyperlink w:anchor="_Toc49171441" w:history="1">
        <w:r w:rsidR="00E37612" w:rsidRPr="003A5C9D">
          <w:rPr>
            <w:rStyle w:val="Hipercze"/>
            <w:rFonts w:ascii="Times New Roman" w:hAnsi="Times New Roman" w:cs="Times New Roman"/>
            <w:b/>
            <w:noProof/>
          </w:rPr>
          <w:t>Tabela 66 Karta województwa śląskiego</w:t>
        </w:r>
        <w:r w:rsidR="00E37612">
          <w:rPr>
            <w:noProof/>
            <w:webHidden/>
          </w:rPr>
          <w:tab/>
        </w:r>
        <w:r w:rsidR="00E37612">
          <w:rPr>
            <w:noProof/>
            <w:webHidden/>
          </w:rPr>
          <w:fldChar w:fldCharType="begin"/>
        </w:r>
        <w:r w:rsidR="00E37612">
          <w:rPr>
            <w:noProof/>
            <w:webHidden/>
          </w:rPr>
          <w:instrText xml:space="preserve"> PAGEREF _Toc49171441 \h </w:instrText>
        </w:r>
        <w:r w:rsidR="00E37612">
          <w:rPr>
            <w:noProof/>
            <w:webHidden/>
          </w:rPr>
        </w:r>
        <w:r w:rsidR="00E37612">
          <w:rPr>
            <w:noProof/>
            <w:webHidden/>
          </w:rPr>
          <w:fldChar w:fldCharType="separate"/>
        </w:r>
        <w:r w:rsidR="00C154C9">
          <w:rPr>
            <w:noProof/>
            <w:webHidden/>
          </w:rPr>
          <w:t>427</w:t>
        </w:r>
        <w:r w:rsidR="00E37612">
          <w:rPr>
            <w:noProof/>
            <w:webHidden/>
          </w:rPr>
          <w:fldChar w:fldCharType="end"/>
        </w:r>
      </w:hyperlink>
    </w:p>
    <w:p w14:paraId="5A4A8979" w14:textId="3B0FE122" w:rsidR="00E37612" w:rsidRDefault="00141E52" w:rsidP="00E37612">
      <w:pPr>
        <w:pStyle w:val="Spisilustracji"/>
        <w:tabs>
          <w:tab w:val="right" w:leader="dot" w:pos="9060"/>
        </w:tabs>
        <w:jc w:val="both"/>
        <w:rPr>
          <w:rFonts w:eastAsiaTheme="minorEastAsia"/>
          <w:noProof/>
          <w:lang w:eastAsia="pl-PL"/>
        </w:rPr>
      </w:pPr>
      <w:hyperlink w:anchor="_Toc49171442" w:history="1">
        <w:r w:rsidR="00E37612" w:rsidRPr="003A5C9D">
          <w:rPr>
            <w:rStyle w:val="Hipercze"/>
            <w:rFonts w:ascii="Times New Roman" w:hAnsi="Times New Roman" w:cs="Times New Roman"/>
            <w:b/>
            <w:noProof/>
          </w:rPr>
          <w:t>Tabela 67 Karta województwa świętokrzyskiego</w:t>
        </w:r>
        <w:r w:rsidR="00E37612">
          <w:rPr>
            <w:noProof/>
            <w:webHidden/>
          </w:rPr>
          <w:tab/>
        </w:r>
        <w:r w:rsidR="00E37612">
          <w:rPr>
            <w:noProof/>
            <w:webHidden/>
          </w:rPr>
          <w:fldChar w:fldCharType="begin"/>
        </w:r>
        <w:r w:rsidR="00E37612">
          <w:rPr>
            <w:noProof/>
            <w:webHidden/>
          </w:rPr>
          <w:instrText xml:space="preserve"> PAGEREF _Toc49171442 \h </w:instrText>
        </w:r>
        <w:r w:rsidR="00E37612">
          <w:rPr>
            <w:noProof/>
            <w:webHidden/>
          </w:rPr>
        </w:r>
        <w:r w:rsidR="00E37612">
          <w:rPr>
            <w:noProof/>
            <w:webHidden/>
          </w:rPr>
          <w:fldChar w:fldCharType="separate"/>
        </w:r>
        <w:r w:rsidR="00C154C9">
          <w:rPr>
            <w:noProof/>
            <w:webHidden/>
          </w:rPr>
          <w:t>439</w:t>
        </w:r>
        <w:r w:rsidR="00E37612">
          <w:rPr>
            <w:noProof/>
            <w:webHidden/>
          </w:rPr>
          <w:fldChar w:fldCharType="end"/>
        </w:r>
      </w:hyperlink>
    </w:p>
    <w:p w14:paraId="7888D865" w14:textId="10E90A2F" w:rsidR="00E37612" w:rsidRDefault="00141E52" w:rsidP="00E37612">
      <w:pPr>
        <w:pStyle w:val="Spisilustracji"/>
        <w:tabs>
          <w:tab w:val="right" w:leader="dot" w:pos="9060"/>
        </w:tabs>
        <w:jc w:val="both"/>
        <w:rPr>
          <w:rFonts w:eastAsiaTheme="minorEastAsia"/>
          <w:noProof/>
          <w:lang w:eastAsia="pl-PL"/>
        </w:rPr>
      </w:pPr>
      <w:hyperlink w:anchor="_Toc49171443" w:history="1">
        <w:r w:rsidR="00E37612" w:rsidRPr="003A5C9D">
          <w:rPr>
            <w:rStyle w:val="Hipercze"/>
            <w:rFonts w:ascii="Times New Roman" w:hAnsi="Times New Roman" w:cs="Times New Roman"/>
            <w:b/>
            <w:noProof/>
          </w:rPr>
          <w:t>Tabela 68 Karta województwa warmińsko-mazurskiego</w:t>
        </w:r>
        <w:r w:rsidR="00E37612">
          <w:rPr>
            <w:noProof/>
            <w:webHidden/>
          </w:rPr>
          <w:tab/>
        </w:r>
        <w:r w:rsidR="00E37612">
          <w:rPr>
            <w:noProof/>
            <w:webHidden/>
          </w:rPr>
          <w:fldChar w:fldCharType="begin"/>
        </w:r>
        <w:r w:rsidR="00E37612">
          <w:rPr>
            <w:noProof/>
            <w:webHidden/>
          </w:rPr>
          <w:instrText xml:space="preserve"> PAGEREF _Toc49171443 \h </w:instrText>
        </w:r>
        <w:r w:rsidR="00E37612">
          <w:rPr>
            <w:noProof/>
            <w:webHidden/>
          </w:rPr>
        </w:r>
        <w:r w:rsidR="00E37612">
          <w:rPr>
            <w:noProof/>
            <w:webHidden/>
          </w:rPr>
          <w:fldChar w:fldCharType="separate"/>
        </w:r>
        <w:r w:rsidR="00C154C9">
          <w:rPr>
            <w:noProof/>
            <w:webHidden/>
          </w:rPr>
          <w:t>454</w:t>
        </w:r>
        <w:r w:rsidR="00E37612">
          <w:rPr>
            <w:noProof/>
            <w:webHidden/>
          </w:rPr>
          <w:fldChar w:fldCharType="end"/>
        </w:r>
      </w:hyperlink>
    </w:p>
    <w:p w14:paraId="34E29B0B" w14:textId="2B04BA11" w:rsidR="00E37612" w:rsidRDefault="00141E52" w:rsidP="00E37612">
      <w:pPr>
        <w:pStyle w:val="Spisilustracji"/>
        <w:tabs>
          <w:tab w:val="right" w:leader="dot" w:pos="9060"/>
        </w:tabs>
        <w:jc w:val="both"/>
        <w:rPr>
          <w:rFonts w:eastAsiaTheme="minorEastAsia"/>
          <w:noProof/>
          <w:lang w:eastAsia="pl-PL"/>
        </w:rPr>
      </w:pPr>
      <w:hyperlink w:anchor="_Toc49171444" w:history="1">
        <w:r w:rsidR="00E37612" w:rsidRPr="003A5C9D">
          <w:rPr>
            <w:rStyle w:val="Hipercze"/>
            <w:rFonts w:ascii="Times New Roman" w:hAnsi="Times New Roman" w:cs="Times New Roman"/>
            <w:b/>
            <w:noProof/>
          </w:rPr>
          <w:t>Tabela 69 Karta województwa wielkopolskiego</w:t>
        </w:r>
        <w:r w:rsidR="00E37612">
          <w:rPr>
            <w:noProof/>
            <w:webHidden/>
          </w:rPr>
          <w:tab/>
        </w:r>
        <w:r w:rsidR="00E37612">
          <w:rPr>
            <w:noProof/>
            <w:webHidden/>
          </w:rPr>
          <w:fldChar w:fldCharType="begin"/>
        </w:r>
        <w:r w:rsidR="00E37612">
          <w:rPr>
            <w:noProof/>
            <w:webHidden/>
          </w:rPr>
          <w:instrText xml:space="preserve"> PAGEREF _Toc49171444 \h </w:instrText>
        </w:r>
        <w:r w:rsidR="00E37612">
          <w:rPr>
            <w:noProof/>
            <w:webHidden/>
          </w:rPr>
        </w:r>
        <w:r w:rsidR="00E37612">
          <w:rPr>
            <w:noProof/>
            <w:webHidden/>
          </w:rPr>
          <w:fldChar w:fldCharType="separate"/>
        </w:r>
        <w:r w:rsidR="00C154C9">
          <w:rPr>
            <w:noProof/>
            <w:webHidden/>
          </w:rPr>
          <w:t>470</w:t>
        </w:r>
        <w:r w:rsidR="00E37612">
          <w:rPr>
            <w:noProof/>
            <w:webHidden/>
          </w:rPr>
          <w:fldChar w:fldCharType="end"/>
        </w:r>
      </w:hyperlink>
    </w:p>
    <w:p w14:paraId="7462D4AD" w14:textId="3F286D49" w:rsidR="00E37612" w:rsidRDefault="00141E52" w:rsidP="00E37612">
      <w:pPr>
        <w:pStyle w:val="Spisilustracji"/>
        <w:tabs>
          <w:tab w:val="right" w:leader="dot" w:pos="9060"/>
        </w:tabs>
        <w:jc w:val="both"/>
        <w:rPr>
          <w:rFonts w:eastAsiaTheme="minorEastAsia"/>
          <w:noProof/>
          <w:lang w:eastAsia="pl-PL"/>
        </w:rPr>
      </w:pPr>
      <w:hyperlink w:anchor="_Toc49171445" w:history="1">
        <w:r w:rsidR="00E37612" w:rsidRPr="003A5C9D">
          <w:rPr>
            <w:rStyle w:val="Hipercze"/>
            <w:rFonts w:ascii="Times New Roman" w:hAnsi="Times New Roman" w:cs="Times New Roman"/>
            <w:b/>
            <w:noProof/>
          </w:rPr>
          <w:t>Tabela 70 Karta województwa zachodniopomorskiego</w:t>
        </w:r>
        <w:r w:rsidR="00E37612">
          <w:rPr>
            <w:noProof/>
            <w:webHidden/>
          </w:rPr>
          <w:tab/>
        </w:r>
        <w:r w:rsidR="00E37612">
          <w:rPr>
            <w:noProof/>
            <w:webHidden/>
          </w:rPr>
          <w:fldChar w:fldCharType="begin"/>
        </w:r>
        <w:r w:rsidR="00E37612">
          <w:rPr>
            <w:noProof/>
            <w:webHidden/>
          </w:rPr>
          <w:instrText xml:space="preserve"> PAGEREF _Toc49171445 \h </w:instrText>
        </w:r>
        <w:r w:rsidR="00E37612">
          <w:rPr>
            <w:noProof/>
            <w:webHidden/>
          </w:rPr>
        </w:r>
        <w:r w:rsidR="00E37612">
          <w:rPr>
            <w:noProof/>
            <w:webHidden/>
          </w:rPr>
          <w:fldChar w:fldCharType="separate"/>
        </w:r>
        <w:r w:rsidR="00C154C9">
          <w:rPr>
            <w:noProof/>
            <w:webHidden/>
          </w:rPr>
          <w:t>489</w:t>
        </w:r>
        <w:r w:rsidR="00E37612">
          <w:rPr>
            <w:noProof/>
            <w:webHidden/>
          </w:rPr>
          <w:fldChar w:fldCharType="end"/>
        </w:r>
      </w:hyperlink>
    </w:p>
    <w:p w14:paraId="0E85EF54" w14:textId="3CFD1194" w:rsidR="00E37612" w:rsidRDefault="00141E52" w:rsidP="00E37612">
      <w:pPr>
        <w:pStyle w:val="Spisilustracji"/>
        <w:tabs>
          <w:tab w:val="right" w:leader="dot" w:pos="9060"/>
        </w:tabs>
        <w:jc w:val="both"/>
        <w:rPr>
          <w:rFonts w:eastAsiaTheme="minorEastAsia"/>
          <w:noProof/>
          <w:lang w:eastAsia="pl-PL"/>
        </w:rPr>
      </w:pPr>
      <w:hyperlink w:anchor="_Toc49171446" w:history="1">
        <w:r w:rsidR="00E37612" w:rsidRPr="003A5C9D">
          <w:rPr>
            <w:rStyle w:val="Hipercze"/>
            <w:rFonts w:ascii="Times New Roman" w:hAnsi="Times New Roman" w:cs="Times New Roman"/>
            <w:b/>
            <w:noProof/>
          </w:rPr>
          <w:t>Tabela 71 Sprawozdanie z realizacji działań ujętych w Polityce społecznej wobec osób starszych 2030. Bezpieczeństwo - Uczestnictwo - Solidarność</w:t>
        </w:r>
        <w:r w:rsidR="00E37612">
          <w:rPr>
            <w:noProof/>
            <w:webHidden/>
          </w:rPr>
          <w:tab/>
        </w:r>
        <w:r w:rsidR="00E37612">
          <w:rPr>
            <w:noProof/>
            <w:webHidden/>
          </w:rPr>
          <w:fldChar w:fldCharType="begin"/>
        </w:r>
        <w:r w:rsidR="00E37612">
          <w:rPr>
            <w:noProof/>
            <w:webHidden/>
          </w:rPr>
          <w:instrText xml:space="preserve"> PAGEREF _Toc49171446 \h </w:instrText>
        </w:r>
        <w:r w:rsidR="00E37612">
          <w:rPr>
            <w:noProof/>
            <w:webHidden/>
          </w:rPr>
        </w:r>
        <w:r w:rsidR="00E37612">
          <w:rPr>
            <w:noProof/>
            <w:webHidden/>
          </w:rPr>
          <w:fldChar w:fldCharType="separate"/>
        </w:r>
        <w:r w:rsidR="00C154C9">
          <w:rPr>
            <w:noProof/>
            <w:webHidden/>
          </w:rPr>
          <w:t>500</w:t>
        </w:r>
        <w:r w:rsidR="00E37612">
          <w:rPr>
            <w:noProof/>
            <w:webHidden/>
          </w:rPr>
          <w:fldChar w:fldCharType="end"/>
        </w:r>
      </w:hyperlink>
    </w:p>
    <w:p w14:paraId="7D700EF6" w14:textId="521B624F" w:rsidR="003245C4" w:rsidRPr="003245C4" w:rsidRDefault="00887958" w:rsidP="00EA01AF">
      <w:pPr>
        <w:jc w:val="both"/>
        <w:rPr>
          <w:lang w:eastAsia="ar-SA"/>
        </w:rPr>
      </w:pPr>
      <w:r>
        <w:rPr>
          <w:lang w:eastAsia="ar-SA"/>
        </w:rPr>
        <w:fldChar w:fldCharType="end"/>
      </w:r>
    </w:p>
    <w:p w14:paraId="4EFAEAE1" w14:textId="77777777" w:rsidR="002A2940" w:rsidRPr="00697B76" w:rsidRDefault="002A2940" w:rsidP="00AF051D">
      <w:pPr>
        <w:pStyle w:val="Nagwek1"/>
        <w:numPr>
          <w:ilvl w:val="0"/>
          <w:numId w:val="0"/>
        </w:numPr>
        <w:spacing w:after="240"/>
        <w:ind w:left="432" w:hanging="432"/>
        <w:rPr>
          <w:rFonts w:cs="Times New Roman"/>
          <w:b w:val="0"/>
          <w:color w:val="2F5496" w:themeColor="accent5" w:themeShade="BF"/>
          <w:sz w:val="40"/>
          <w:lang w:eastAsia="ar-SA"/>
        </w:rPr>
      </w:pPr>
      <w:bookmarkStart w:id="165" w:name="_Toc49171375"/>
      <w:r w:rsidRPr="00697B76">
        <w:rPr>
          <w:rFonts w:cs="Times New Roman"/>
          <w:color w:val="2F5496" w:themeColor="accent5" w:themeShade="BF"/>
          <w:sz w:val="40"/>
          <w:lang w:eastAsia="ar-SA"/>
        </w:rPr>
        <w:t>Zestawienie wykresów</w:t>
      </w:r>
      <w:bookmarkEnd w:id="165"/>
      <w:r w:rsidRPr="00697B76">
        <w:rPr>
          <w:rFonts w:cs="Times New Roman"/>
          <w:color w:val="2F5496" w:themeColor="accent5" w:themeShade="BF"/>
          <w:sz w:val="40"/>
          <w:lang w:eastAsia="ar-SA"/>
        </w:rPr>
        <w:t xml:space="preserve"> </w:t>
      </w:r>
    </w:p>
    <w:p w14:paraId="1B05B321" w14:textId="0E9D4D36" w:rsidR="00E37612" w:rsidRDefault="00B5703E" w:rsidP="00E37612">
      <w:pPr>
        <w:pStyle w:val="Spisilustracji"/>
        <w:tabs>
          <w:tab w:val="right" w:leader="dot" w:pos="9060"/>
        </w:tabs>
        <w:jc w:val="both"/>
        <w:rPr>
          <w:rFonts w:eastAsiaTheme="minorEastAsia"/>
          <w:noProof/>
          <w:lang w:eastAsia="pl-PL"/>
        </w:rPr>
      </w:pPr>
      <w:r>
        <w:rPr>
          <w:rFonts w:ascii="Times New Roman" w:hAnsi="Times New Roman"/>
          <w:sz w:val="24"/>
          <w:szCs w:val="24"/>
        </w:rPr>
        <w:fldChar w:fldCharType="begin"/>
      </w:r>
      <w:r>
        <w:rPr>
          <w:rFonts w:ascii="Times New Roman" w:hAnsi="Times New Roman"/>
          <w:sz w:val="24"/>
          <w:szCs w:val="24"/>
        </w:rPr>
        <w:instrText xml:space="preserve"> TOC \h \z \c "Rysunek" </w:instrText>
      </w:r>
      <w:r>
        <w:rPr>
          <w:rFonts w:ascii="Times New Roman" w:hAnsi="Times New Roman"/>
          <w:sz w:val="24"/>
          <w:szCs w:val="24"/>
        </w:rPr>
        <w:fldChar w:fldCharType="separate"/>
      </w:r>
      <w:hyperlink r:id="rId52" w:anchor="_Toc49171447" w:history="1">
        <w:r w:rsidR="00E37612" w:rsidRPr="0081539C">
          <w:rPr>
            <w:rStyle w:val="Hipercze"/>
            <w:rFonts w:ascii="Times New Roman" w:hAnsi="Times New Roman" w:cs="Times New Roman"/>
            <w:b/>
            <w:noProof/>
          </w:rPr>
          <w:t>Rysunek 1 UTW według form prowadzonej działalności edukacyjnej i aktywizującej</w:t>
        </w:r>
        <w:r w:rsidR="00E37612">
          <w:rPr>
            <w:noProof/>
            <w:webHidden/>
          </w:rPr>
          <w:tab/>
        </w:r>
        <w:r w:rsidR="00E37612">
          <w:rPr>
            <w:noProof/>
            <w:webHidden/>
          </w:rPr>
          <w:fldChar w:fldCharType="begin"/>
        </w:r>
        <w:r w:rsidR="00E37612">
          <w:rPr>
            <w:noProof/>
            <w:webHidden/>
          </w:rPr>
          <w:instrText xml:space="preserve"> PAGEREF _Toc49171447 \h </w:instrText>
        </w:r>
        <w:r w:rsidR="00E37612">
          <w:rPr>
            <w:noProof/>
            <w:webHidden/>
          </w:rPr>
        </w:r>
        <w:r w:rsidR="00E37612">
          <w:rPr>
            <w:noProof/>
            <w:webHidden/>
          </w:rPr>
          <w:fldChar w:fldCharType="separate"/>
        </w:r>
        <w:r w:rsidR="00C154C9">
          <w:rPr>
            <w:noProof/>
            <w:webHidden/>
          </w:rPr>
          <w:t>65</w:t>
        </w:r>
        <w:r w:rsidR="00E37612">
          <w:rPr>
            <w:noProof/>
            <w:webHidden/>
          </w:rPr>
          <w:fldChar w:fldCharType="end"/>
        </w:r>
      </w:hyperlink>
    </w:p>
    <w:p w14:paraId="44B5B1B6" w14:textId="17A18CCE" w:rsidR="00E37612" w:rsidRDefault="00141E52" w:rsidP="00E37612">
      <w:pPr>
        <w:pStyle w:val="Spisilustracji"/>
        <w:tabs>
          <w:tab w:val="right" w:leader="dot" w:pos="9060"/>
        </w:tabs>
        <w:jc w:val="both"/>
        <w:rPr>
          <w:rFonts w:eastAsiaTheme="minorEastAsia"/>
          <w:noProof/>
          <w:lang w:eastAsia="pl-PL"/>
        </w:rPr>
      </w:pPr>
      <w:hyperlink r:id="rId53" w:anchor="_Toc49171448" w:history="1">
        <w:r w:rsidR="00E37612" w:rsidRPr="0081539C">
          <w:rPr>
            <w:rStyle w:val="Hipercze"/>
            <w:rFonts w:ascii="Times New Roman" w:hAnsi="Times New Roman" w:cs="Times New Roman"/>
            <w:b/>
            <w:noProof/>
          </w:rPr>
          <w:t>Rysunek 2 Słuchacze UTW według statusu na rynku pracy</w:t>
        </w:r>
        <w:r w:rsidR="00E37612">
          <w:rPr>
            <w:noProof/>
            <w:webHidden/>
          </w:rPr>
          <w:tab/>
        </w:r>
        <w:r w:rsidR="00E37612">
          <w:rPr>
            <w:noProof/>
            <w:webHidden/>
          </w:rPr>
          <w:fldChar w:fldCharType="begin"/>
        </w:r>
        <w:r w:rsidR="00E37612">
          <w:rPr>
            <w:noProof/>
            <w:webHidden/>
          </w:rPr>
          <w:instrText xml:space="preserve"> PAGEREF _Toc49171448 \h </w:instrText>
        </w:r>
        <w:r w:rsidR="00E37612">
          <w:rPr>
            <w:noProof/>
            <w:webHidden/>
          </w:rPr>
        </w:r>
        <w:r w:rsidR="00E37612">
          <w:rPr>
            <w:noProof/>
            <w:webHidden/>
          </w:rPr>
          <w:fldChar w:fldCharType="separate"/>
        </w:r>
        <w:r w:rsidR="00C154C9">
          <w:rPr>
            <w:noProof/>
            <w:webHidden/>
          </w:rPr>
          <w:t>66</w:t>
        </w:r>
        <w:r w:rsidR="00E37612">
          <w:rPr>
            <w:noProof/>
            <w:webHidden/>
          </w:rPr>
          <w:fldChar w:fldCharType="end"/>
        </w:r>
      </w:hyperlink>
    </w:p>
    <w:p w14:paraId="096F59DA" w14:textId="39F96BA5" w:rsidR="00E37612" w:rsidRDefault="00141E52" w:rsidP="00E37612">
      <w:pPr>
        <w:pStyle w:val="Spisilustracji"/>
        <w:tabs>
          <w:tab w:val="right" w:leader="dot" w:pos="9060"/>
        </w:tabs>
        <w:jc w:val="both"/>
        <w:rPr>
          <w:rFonts w:eastAsiaTheme="minorEastAsia"/>
          <w:noProof/>
          <w:lang w:eastAsia="pl-PL"/>
        </w:rPr>
      </w:pPr>
      <w:hyperlink r:id="rId54" w:anchor="_Toc49171449" w:history="1">
        <w:r w:rsidR="00E37612" w:rsidRPr="0081539C">
          <w:rPr>
            <w:rStyle w:val="Hipercze"/>
            <w:rFonts w:ascii="Times New Roman" w:hAnsi="Times New Roman" w:cs="Times New Roman"/>
            <w:b/>
            <w:noProof/>
          </w:rPr>
          <w:t>Rysunek 3 Udział starszych osób niepełnosprawnych 50+ w zajęciach sekcji, imprezach, Mistrzostwach Polski, Pucharach Polski i obozach sportowych</w:t>
        </w:r>
        <w:r w:rsidR="00E37612">
          <w:rPr>
            <w:noProof/>
            <w:webHidden/>
          </w:rPr>
          <w:tab/>
        </w:r>
        <w:r w:rsidR="00E37612">
          <w:rPr>
            <w:noProof/>
            <w:webHidden/>
          </w:rPr>
          <w:fldChar w:fldCharType="begin"/>
        </w:r>
        <w:r w:rsidR="00E37612">
          <w:rPr>
            <w:noProof/>
            <w:webHidden/>
          </w:rPr>
          <w:instrText xml:space="preserve"> PAGEREF _Toc49171449 \h </w:instrText>
        </w:r>
        <w:r w:rsidR="00E37612">
          <w:rPr>
            <w:noProof/>
            <w:webHidden/>
          </w:rPr>
        </w:r>
        <w:r w:rsidR="00E37612">
          <w:rPr>
            <w:noProof/>
            <w:webHidden/>
          </w:rPr>
          <w:fldChar w:fldCharType="separate"/>
        </w:r>
        <w:r w:rsidR="00C154C9">
          <w:rPr>
            <w:noProof/>
            <w:webHidden/>
          </w:rPr>
          <w:t>111</w:t>
        </w:r>
        <w:r w:rsidR="00E37612">
          <w:rPr>
            <w:noProof/>
            <w:webHidden/>
          </w:rPr>
          <w:fldChar w:fldCharType="end"/>
        </w:r>
      </w:hyperlink>
    </w:p>
    <w:p w14:paraId="0FD6C5A8" w14:textId="0A51AA81" w:rsidR="00E37612" w:rsidRDefault="00141E52" w:rsidP="00E37612">
      <w:pPr>
        <w:pStyle w:val="Spisilustracji"/>
        <w:tabs>
          <w:tab w:val="right" w:leader="dot" w:pos="9060"/>
        </w:tabs>
        <w:jc w:val="both"/>
        <w:rPr>
          <w:rFonts w:eastAsiaTheme="minorEastAsia"/>
          <w:noProof/>
          <w:lang w:eastAsia="pl-PL"/>
        </w:rPr>
      </w:pPr>
      <w:hyperlink w:anchor="_Toc49171450" w:history="1">
        <w:r w:rsidR="00E37612" w:rsidRPr="0081539C">
          <w:rPr>
            <w:rStyle w:val="Hipercze"/>
            <w:rFonts w:ascii="Times New Roman" w:hAnsi="Times New Roman" w:cs="Times New Roman"/>
            <w:b/>
            <w:noProof/>
          </w:rPr>
          <w:t>Rysunek 6 Tymczasowo aresztowani i skazani wg wieku (w latach ukończonych)</w:t>
        </w:r>
        <w:r w:rsidR="00E37612">
          <w:rPr>
            <w:noProof/>
            <w:webHidden/>
          </w:rPr>
          <w:tab/>
        </w:r>
        <w:r w:rsidR="00E37612">
          <w:rPr>
            <w:noProof/>
            <w:webHidden/>
          </w:rPr>
          <w:fldChar w:fldCharType="begin"/>
        </w:r>
        <w:r w:rsidR="00E37612">
          <w:rPr>
            <w:noProof/>
            <w:webHidden/>
          </w:rPr>
          <w:instrText xml:space="preserve"> PAGEREF _Toc49171450 \h </w:instrText>
        </w:r>
        <w:r w:rsidR="00E37612">
          <w:rPr>
            <w:noProof/>
            <w:webHidden/>
          </w:rPr>
        </w:r>
        <w:r w:rsidR="00E37612">
          <w:rPr>
            <w:noProof/>
            <w:webHidden/>
          </w:rPr>
          <w:fldChar w:fldCharType="separate"/>
        </w:r>
        <w:r w:rsidR="00C154C9">
          <w:rPr>
            <w:noProof/>
            <w:webHidden/>
          </w:rPr>
          <w:t>160</w:t>
        </w:r>
        <w:r w:rsidR="00E37612">
          <w:rPr>
            <w:noProof/>
            <w:webHidden/>
          </w:rPr>
          <w:fldChar w:fldCharType="end"/>
        </w:r>
      </w:hyperlink>
    </w:p>
    <w:p w14:paraId="3D69801E" w14:textId="708A88EA" w:rsidR="00E37612" w:rsidRDefault="00141E52" w:rsidP="00E37612">
      <w:pPr>
        <w:pStyle w:val="Spisilustracji"/>
        <w:tabs>
          <w:tab w:val="right" w:leader="dot" w:pos="9060"/>
        </w:tabs>
        <w:jc w:val="both"/>
        <w:rPr>
          <w:rFonts w:eastAsiaTheme="minorEastAsia"/>
          <w:noProof/>
          <w:lang w:eastAsia="pl-PL"/>
        </w:rPr>
      </w:pPr>
      <w:hyperlink w:anchor="_Toc49171451" w:history="1">
        <w:r w:rsidR="00E37612" w:rsidRPr="0081539C">
          <w:rPr>
            <w:rStyle w:val="Hipercze"/>
            <w:rFonts w:ascii="Times New Roman" w:hAnsi="Times New Roman" w:cs="Times New Roman"/>
            <w:b/>
            <w:noProof/>
          </w:rPr>
          <w:t>Rysunek 7 Tymczasowo aresztowane i skazane kobiety wg wieku (w latach ukończonych)</w:t>
        </w:r>
        <w:r w:rsidR="00E37612">
          <w:rPr>
            <w:noProof/>
            <w:webHidden/>
          </w:rPr>
          <w:tab/>
        </w:r>
        <w:r w:rsidR="00E37612">
          <w:rPr>
            <w:noProof/>
            <w:webHidden/>
          </w:rPr>
          <w:fldChar w:fldCharType="begin"/>
        </w:r>
        <w:r w:rsidR="00E37612">
          <w:rPr>
            <w:noProof/>
            <w:webHidden/>
          </w:rPr>
          <w:instrText xml:space="preserve"> PAGEREF _Toc49171451 \h </w:instrText>
        </w:r>
        <w:r w:rsidR="00E37612">
          <w:rPr>
            <w:noProof/>
            <w:webHidden/>
          </w:rPr>
        </w:r>
        <w:r w:rsidR="00E37612">
          <w:rPr>
            <w:noProof/>
            <w:webHidden/>
          </w:rPr>
          <w:fldChar w:fldCharType="separate"/>
        </w:r>
        <w:r w:rsidR="00C154C9">
          <w:rPr>
            <w:noProof/>
            <w:webHidden/>
          </w:rPr>
          <w:t>160</w:t>
        </w:r>
        <w:r w:rsidR="00E37612">
          <w:rPr>
            <w:noProof/>
            <w:webHidden/>
          </w:rPr>
          <w:fldChar w:fldCharType="end"/>
        </w:r>
      </w:hyperlink>
    </w:p>
    <w:p w14:paraId="1364E0AF" w14:textId="3743F520" w:rsidR="00E37612" w:rsidRDefault="00141E52" w:rsidP="00E37612">
      <w:pPr>
        <w:pStyle w:val="Spisilustracji"/>
        <w:tabs>
          <w:tab w:val="right" w:leader="dot" w:pos="9060"/>
        </w:tabs>
        <w:jc w:val="both"/>
        <w:rPr>
          <w:rFonts w:eastAsiaTheme="minorEastAsia"/>
          <w:noProof/>
          <w:lang w:eastAsia="pl-PL"/>
        </w:rPr>
      </w:pPr>
      <w:hyperlink w:anchor="_Toc49171452" w:history="1">
        <w:r w:rsidR="00E37612" w:rsidRPr="0081539C">
          <w:rPr>
            <w:rStyle w:val="Hipercze"/>
            <w:rFonts w:ascii="Times New Roman" w:hAnsi="Times New Roman" w:cs="Times New Roman"/>
            <w:b/>
            <w:noProof/>
          </w:rPr>
          <w:t>Rysunek 8 Skazani wg wieku (w latach ukończonych</w:t>
        </w:r>
        <w:r w:rsidR="00E37612">
          <w:rPr>
            <w:noProof/>
            <w:webHidden/>
          </w:rPr>
          <w:tab/>
        </w:r>
        <w:r w:rsidR="00E37612">
          <w:rPr>
            <w:noProof/>
            <w:webHidden/>
          </w:rPr>
          <w:fldChar w:fldCharType="begin"/>
        </w:r>
        <w:r w:rsidR="00E37612">
          <w:rPr>
            <w:noProof/>
            <w:webHidden/>
          </w:rPr>
          <w:instrText xml:space="preserve"> PAGEREF _Toc49171452 \h </w:instrText>
        </w:r>
        <w:r w:rsidR="00E37612">
          <w:rPr>
            <w:noProof/>
            <w:webHidden/>
          </w:rPr>
        </w:r>
        <w:r w:rsidR="00E37612">
          <w:rPr>
            <w:noProof/>
            <w:webHidden/>
          </w:rPr>
          <w:fldChar w:fldCharType="separate"/>
        </w:r>
        <w:r w:rsidR="00C154C9">
          <w:rPr>
            <w:noProof/>
            <w:webHidden/>
          </w:rPr>
          <w:t>161</w:t>
        </w:r>
        <w:r w:rsidR="00E37612">
          <w:rPr>
            <w:noProof/>
            <w:webHidden/>
          </w:rPr>
          <w:fldChar w:fldCharType="end"/>
        </w:r>
      </w:hyperlink>
    </w:p>
    <w:p w14:paraId="200C4EA0" w14:textId="6AB20FDB" w:rsidR="00E37612" w:rsidRDefault="00141E52" w:rsidP="00E37612">
      <w:pPr>
        <w:pStyle w:val="Spisilustracji"/>
        <w:tabs>
          <w:tab w:val="right" w:leader="dot" w:pos="9060"/>
        </w:tabs>
        <w:jc w:val="both"/>
        <w:rPr>
          <w:rFonts w:eastAsiaTheme="minorEastAsia"/>
          <w:noProof/>
          <w:lang w:eastAsia="pl-PL"/>
        </w:rPr>
      </w:pPr>
      <w:hyperlink w:anchor="_Toc49171453" w:history="1">
        <w:r w:rsidR="00E37612" w:rsidRPr="0081539C">
          <w:rPr>
            <w:rStyle w:val="Hipercze"/>
            <w:rFonts w:ascii="Times New Roman" w:hAnsi="Times New Roman" w:cs="Times New Roman"/>
            <w:b/>
            <w:noProof/>
          </w:rPr>
          <w:t>Rysunek 9 Tymczasowo aresztowani wg wieku (w latach ukończonych)</w:t>
        </w:r>
        <w:r w:rsidR="00E37612">
          <w:rPr>
            <w:noProof/>
            <w:webHidden/>
          </w:rPr>
          <w:tab/>
        </w:r>
        <w:r w:rsidR="00E37612">
          <w:rPr>
            <w:noProof/>
            <w:webHidden/>
          </w:rPr>
          <w:fldChar w:fldCharType="begin"/>
        </w:r>
        <w:r w:rsidR="00E37612">
          <w:rPr>
            <w:noProof/>
            <w:webHidden/>
          </w:rPr>
          <w:instrText xml:space="preserve"> PAGEREF _Toc49171453 \h </w:instrText>
        </w:r>
        <w:r w:rsidR="00E37612">
          <w:rPr>
            <w:noProof/>
            <w:webHidden/>
          </w:rPr>
        </w:r>
        <w:r w:rsidR="00E37612">
          <w:rPr>
            <w:noProof/>
            <w:webHidden/>
          </w:rPr>
          <w:fldChar w:fldCharType="separate"/>
        </w:r>
        <w:r w:rsidR="00C154C9">
          <w:rPr>
            <w:noProof/>
            <w:webHidden/>
          </w:rPr>
          <w:t>161</w:t>
        </w:r>
        <w:r w:rsidR="00E37612">
          <w:rPr>
            <w:noProof/>
            <w:webHidden/>
          </w:rPr>
          <w:fldChar w:fldCharType="end"/>
        </w:r>
      </w:hyperlink>
    </w:p>
    <w:p w14:paraId="13311AAF" w14:textId="328DABD5" w:rsidR="00E37612" w:rsidRDefault="00141E52" w:rsidP="00E37612">
      <w:pPr>
        <w:pStyle w:val="Spisilustracji"/>
        <w:tabs>
          <w:tab w:val="right" w:leader="dot" w:pos="9060"/>
        </w:tabs>
        <w:jc w:val="both"/>
        <w:rPr>
          <w:rFonts w:eastAsiaTheme="minorEastAsia"/>
          <w:noProof/>
          <w:lang w:eastAsia="pl-PL"/>
        </w:rPr>
      </w:pPr>
      <w:hyperlink r:id="rId55" w:anchor="_Toc49171454" w:history="1">
        <w:r w:rsidR="00E37612" w:rsidRPr="0081539C">
          <w:rPr>
            <w:rStyle w:val="Hipercze"/>
            <w:rFonts w:ascii="Times New Roman" w:hAnsi="Times New Roman" w:cs="Times New Roman"/>
            <w:b/>
            <w:noProof/>
          </w:rPr>
          <w:t>Rysunek 10 Porozumienia z podmiotami zewnętrznymi - dane za 2018 i 2019 r. w</w:t>
        </w:r>
        <w:r w:rsidR="00E37612">
          <w:rPr>
            <w:noProof/>
            <w:webHidden/>
          </w:rPr>
          <w:tab/>
        </w:r>
        <w:r w:rsidR="00E37612">
          <w:rPr>
            <w:noProof/>
            <w:webHidden/>
          </w:rPr>
          <w:fldChar w:fldCharType="begin"/>
        </w:r>
        <w:r w:rsidR="00E37612">
          <w:rPr>
            <w:noProof/>
            <w:webHidden/>
          </w:rPr>
          <w:instrText xml:space="preserve"> PAGEREF _Toc49171454 \h </w:instrText>
        </w:r>
        <w:r w:rsidR="00E37612">
          <w:rPr>
            <w:noProof/>
            <w:webHidden/>
          </w:rPr>
        </w:r>
        <w:r w:rsidR="00E37612">
          <w:rPr>
            <w:noProof/>
            <w:webHidden/>
          </w:rPr>
          <w:fldChar w:fldCharType="separate"/>
        </w:r>
        <w:r w:rsidR="00C154C9">
          <w:rPr>
            <w:noProof/>
            <w:webHidden/>
          </w:rPr>
          <w:t>168</w:t>
        </w:r>
        <w:r w:rsidR="00E37612">
          <w:rPr>
            <w:noProof/>
            <w:webHidden/>
          </w:rPr>
          <w:fldChar w:fldCharType="end"/>
        </w:r>
      </w:hyperlink>
    </w:p>
    <w:p w14:paraId="5DD954C9" w14:textId="7D5EA685" w:rsidR="00E37612" w:rsidRDefault="00141E52" w:rsidP="00E37612">
      <w:pPr>
        <w:pStyle w:val="Spisilustracji"/>
        <w:tabs>
          <w:tab w:val="right" w:leader="dot" w:pos="9060"/>
        </w:tabs>
        <w:jc w:val="both"/>
        <w:rPr>
          <w:rFonts w:eastAsiaTheme="minorEastAsia"/>
          <w:noProof/>
          <w:lang w:eastAsia="pl-PL"/>
        </w:rPr>
      </w:pPr>
      <w:hyperlink w:anchor="_Toc49171455" w:history="1">
        <w:r w:rsidR="00E37612" w:rsidRPr="0081539C">
          <w:rPr>
            <w:rStyle w:val="Hipercze"/>
            <w:rFonts w:ascii="Times New Roman" w:hAnsi="Times New Roman" w:cs="Times New Roman"/>
            <w:b/>
            <w:noProof/>
          </w:rPr>
          <w:t>Rysunek 4 Odsetek osób w wieku 55-74 lata w edukacji formalnej i pozaformalną w okresie tygodni przed badaniem w Polsce na tle średniej UE w latach 2010-2019 (badanie Labour Force Survey)</w:t>
        </w:r>
        <w:r w:rsidR="00E37612">
          <w:rPr>
            <w:noProof/>
            <w:webHidden/>
          </w:rPr>
          <w:tab/>
        </w:r>
        <w:r w:rsidR="00E37612">
          <w:rPr>
            <w:noProof/>
            <w:webHidden/>
          </w:rPr>
          <w:fldChar w:fldCharType="begin"/>
        </w:r>
        <w:r w:rsidR="00E37612">
          <w:rPr>
            <w:noProof/>
            <w:webHidden/>
          </w:rPr>
          <w:instrText xml:space="preserve"> PAGEREF _Toc49171455 \h </w:instrText>
        </w:r>
        <w:r w:rsidR="00E37612">
          <w:rPr>
            <w:noProof/>
            <w:webHidden/>
          </w:rPr>
        </w:r>
        <w:r w:rsidR="00E37612">
          <w:rPr>
            <w:noProof/>
            <w:webHidden/>
          </w:rPr>
          <w:fldChar w:fldCharType="separate"/>
        </w:r>
        <w:r w:rsidR="00C154C9">
          <w:rPr>
            <w:noProof/>
            <w:webHidden/>
          </w:rPr>
          <w:t>182</w:t>
        </w:r>
        <w:r w:rsidR="00E37612">
          <w:rPr>
            <w:noProof/>
            <w:webHidden/>
          </w:rPr>
          <w:fldChar w:fldCharType="end"/>
        </w:r>
      </w:hyperlink>
    </w:p>
    <w:p w14:paraId="7596791C" w14:textId="03CAF41C" w:rsidR="00E37612" w:rsidRDefault="00141E52" w:rsidP="00E37612">
      <w:pPr>
        <w:pStyle w:val="Spisilustracji"/>
        <w:tabs>
          <w:tab w:val="right" w:leader="dot" w:pos="9060"/>
        </w:tabs>
        <w:jc w:val="both"/>
        <w:rPr>
          <w:rFonts w:eastAsiaTheme="minorEastAsia"/>
          <w:noProof/>
          <w:lang w:eastAsia="pl-PL"/>
        </w:rPr>
      </w:pPr>
      <w:hyperlink w:anchor="_Toc49171456" w:history="1">
        <w:r w:rsidR="00E37612" w:rsidRPr="0081539C">
          <w:rPr>
            <w:rStyle w:val="Hipercze"/>
            <w:rFonts w:ascii="Times New Roman" w:hAnsi="Times New Roman" w:cs="Times New Roman"/>
            <w:b/>
            <w:noProof/>
          </w:rPr>
          <w:t>Rysunek 5 Odsetek osób w wieku 55-64 lata w edukacji formalnej i pozaformalną w okresie 12 miesięcy przed badaniem w Polsce na tle średniej UE w latach 2007, 2011 i 2016 (badanie Adult Education Survey)</w:t>
        </w:r>
        <w:r w:rsidR="00E37612">
          <w:rPr>
            <w:noProof/>
            <w:webHidden/>
          </w:rPr>
          <w:tab/>
        </w:r>
        <w:r w:rsidR="00E37612">
          <w:rPr>
            <w:noProof/>
            <w:webHidden/>
          </w:rPr>
          <w:fldChar w:fldCharType="begin"/>
        </w:r>
        <w:r w:rsidR="00E37612">
          <w:rPr>
            <w:noProof/>
            <w:webHidden/>
          </w:rPr>
          <w:instrText xml:space="preserve"> PAGEREF _Toc49171456 \h </w:instrText>
        </w:r>
        <w:r w:rsidR="00E37612">
          <w:rPr>
            <w:noProof/>
            <w:webHidden/>
          </w:rPr>
        </w:r>
        <w:r w:rsidR="00E37612">
          <w:rPr>
            <w:noProof/>
            <w:webHidden/>
          </w:rPr>
          <w:fldChar w:fldCharType="separate"/>
        </w:r>
        <w:r w:rsidR="00C154C9">
          <w:rPr>
            <w:noProof/>
            <w:webHidden/>
          </w:rPr>
          <w:t>183</w:t>
        </w:r>
        <w:r w:rsidR="00E37612">
          <w:rPr>
            <w:noProof/>
            <w:webHidden/>
          </w:rPr>
          <w:fldChar w:fldCharType="end"/>
        </w:r>
      </w:hyperlink>
    </w:p>
    <w:p w14:paraId="373A2BDA" w14:textId="157D692C" w:rsidR="0087360D" w:rsidRDefault="00B5703E" w:rsidP="00B5703E">
      <w:pPr>
        <w:jc w:val="both"/>
        <w:rPr>
          <w:rFonts w:ascii="Times New Roman" w:hAnsi="Times New Roman"/>
          <w:sz w:val="24"/>
          <w:szCs w:val="24"/>
        </w:rPr>
      </w:pPr>
      <w:r>
        <w:rPr>
          <w:rFonts w:ascii="Times New Roman" w:hAnsi="Times New Roman"/>
          <w:sz w:val="24"/>
          <w:szCs w:val="24"/>
        </w:rPr>
        <w:fldChar w:fldCharType="end"/>
      </w:r>
    </w:p>
    <w:p w14:paraId="4DB11C17" w14:textId="77777777" w:rsidR="00AD5735" w:rsidRDefault="00AD5735" w:rsidP="003C1988">
      <w:pPr>
        <w:rPr>
          <w:rFonts w:ascii="Times New Roman" w:hAnsi="Times New Roman"/>
          <w:sz w:val="24"/>
          <w:szCs w:val="24"/>
        </w:rPr>
      </w:pPr>
    </w:p>
    <w:p w14:paraId="1E8F8CA7" w14:textId="77777777" w:rsidR="00DB6308" w:rsidRDefault="00DB6308" w:rsidP="003C1988"/>
    <w:p w14:paraId="0413A489" w14:textId="77777777" w:rsidR="00DB6308" w:rsidRPr="00DB6308" w:rsidRDefault="00DB6308" w:rsidP="003C1988"/>
    <w:p w14:paraId="009BC249" w14:textId="77777777" w:rsidR="00DB6308" w:rsidRPr="00DB6308" w:rsidRDefault="00DB6308" w:rsidP="003C1988"/>
    <w:p w14:paraId="72792BEE" w14:textId="77777777" w:rsidR="00DB6308" w:rsidRPr="00DB6308" w:rsidRDefault="00DB6308" w:rsidP="003C1988"/>
    <w:p w14:paraId="2D973942" w14:textId="77777777" w:rsidR="00DB6308" w:rsidRPr="00DB6308" w:rsidRDefault="00DB6308" w:rsidP="003C1988"/>
    <w:p w14:paraId="1D7C584B" w14:textId="77777777" w:rsidR="00DB6308" w:rsidRPr="00DB6308" w:rsidRDefault="00DB6308" w:rsidP="003C1988"/>
    <w:p w14:paraId="4653FB61" w14:textId="77777777" w:rsidR="00DB6308" w:rsidRPr="00DB6308" w:rsidRDefault="00DB6308" w:rsidP="003C1988"/>
    <w:p w14:paraId="1EDF92AE" w14:textId="77777777" w:rsidR="00DB6308" w:rsidRPr="00DB6308" w:rsidRDefault="00DB6308" w:rsidP="003C1988"/>
    <w:p w14:paraId="020AD9E8" w14:textId="77777777" w:rsidR="00DB6308" w:rsidRPr="00DB6308" w:rsidRDefault="00DB6308" w:rsidP="003C1988"/>
    <w:p w14:paraId="755651B3" w14:textId="77777777" w:rsidR="00DB6308" w:rsidRDefault="00DB6308" w:rsidP="003C1988"/>
    <w:p w14:paraId="0B89379E" w14:textId="77777777" w:rsidR="004D389A" w:rsidRPr="00DB6308" w:rsidRDefault="00DB6308" w:rsidP="003C1988">
      <w:pPr>
        <w:tabs>
          <w:tab w:val="left" w:pos="3255"/>
        </w:tabs>
      </w:pPr>
      <w:r>
        <w:tab/>
      </w:r>
    </w:p>
    <w:sectPr w:rsidR="004D389A" w:rsidRPr="00DB6308" w:rsidSect="00311D18">
      <w:pgSz w:w="11906" w:h="16840"/>
      <w:pgMar w:top="1418" w:right="1418"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FEA451" w14:textId="77777777" w:rsidR="00141E52" w:rsidRDefault="00141E52" w:rsidP="0050177A">
      <w:pPr>
        <w:spacing w:after="0" w:line="240" w:lineRule="auto"/>
      </w:pPr>
      <w:r>
        <w:separator/>
      </w:r>
    </w:p>
  </w:endnote>
  <w:endnote w:type="continuationSeparator" w:id="0">
    <w:p w14:paraId="2DC72EDC" w14:textId="77777777" w:rsidR="00141E52" w:rsidRDefault="00141E52" w:rsidP="0050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OpenSymbol">
    <w:altName w:val="MS Gothic"/>
    <w:charset w:val="80"/>
    <w:family w:val="auto"/>
    <w:pitch w:val="default"/>
  </w:font>
  <w:font w:name="MS Mincho">
    <w:altName w:val="Yu Gothic UI"/>
    <w:panose1 w:val="02020609040205080304"/>
    <w:charset w:val="80"/>
    <w:family w:val="roman"/>
    <w:notTrueType/>
    <w:pitch w:val="fixed"/>
    <w:sig w:usb0="00000000" w:usb1="08070000" w:usb2="00000010" w:usb3="00000000" w:csb0="00020000" w:csb1="00000000"/>
  </w:font>
  <w:font w:name="StarSymbol">
    <w:altName w:val="Times New Roman"/>
    <w:charset w:val="00"/>
    <w:family w:val="auto"/>
    <w:pitch w:val="variable"/>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Constantia">
    <w:panose1 w:val="02030602050306030303"/>
    <w:charset w:val="EE"/>
    <w:family w:val="roman"/>
    <w:pitch w:val="variable"/>
    <w:sig w:usb0="A00002EF" w:usb1="4000204B"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Franklin Gothic Heavy">
    <w:panose1 w:val="020B09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mn-ea">
    <w:panose1 w:val="00000000000000000000"/>
    <w:charset w:val="00"/>
    <w:family w:val="roman"/>
    <w:notTrueType/>
    <w:pitch w:val="default"/>
  </w:font>
  <w:font w:name="TimesNewRomanPSMT">
    <w:altName w:val="Times New Roman"/>
    <w:panose1 w:val="00000000000000000000"/>
    <w:charset w:val="00"/>
    <w:family w:val="swiss"/>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IDFont+F4">
    <w:altName w:val="MS Gothic"/>
    <w:panose1 w:val="00000000000000000000"/>
    <w:charset w:val="80"/>
    <w:family w:val="auto"/>
    <w:notTrueType/>
    <w:pitch w:val="default"/>
    <w:sig w:usb0="00000000" w:usb1="08070000" w:usb2="00000010" w:usb3="00000000" w:csb0="00020000" w:csb1="00000000"/>
  </w:font>
  <w:font w:name="MS ??">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5363671"/>
      <w:docPartObj>
        <w:docPartGallery w:val="Page Numbers (Bottom of Page)"/>
        <w:docPartUnique/>
      </w:docPartObj>
    </w:sdtPr>
    <w:sdtEndPr/>
    <w:sdtContent>
      <w:p w14:paraId="6ED70167" w14:textId="2A7833A8" w:rsidR="00E5701D" w:rsidRDefault="00E5701D">
        <w:pPr>
          <w:pStyle w:val="Stopka"/>
          <w:jc w:val="center"/>
        </w:pPr>
        <w:r>
          <w:fldChar w:fldCharType="begin"/>
        </w:r>
        <w:r>
          <w:instrText>PAGE   \* MERGEFORMAT</w:instrText>
        </w:r>
        <w:r>
          <w:fldChar w:fldCharType="separate"/>
        </w:r>
        <w:r w:rsidR="00CE49CD">
          <w:rPr>
            <w:noProof/>
          </w:rPr>
          <w:t>219</w:t>
        </w:r>
        <w:r>
          <w:fldChar w:fldCharType="end"/>
        </w:r>
      </w:p>
    </w:sdtContent>
  </w:sdt>
  <w:p w14:paraId="495DC547" w14:textId="77777777" w:rsidR="00E5701D" w:rsidRDefault="00E5701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59B62" w14:textId="61F70374" w:rsidR="00E5701D" w:rsidRDefault="00E5701D" w:rsidP="006145C4">
    <w:pPr>
      <w:pStyle w:val="Stopka"/>
      <w:jc w:val="center"/>
    </w:pPr>
    <w:r>
      <w:fldChar w:fldCharType="begin"/>
    </w:r>
    <w:r>
      <w:instrText>PAGE   \* MERGEFORMAT</w:instrText>
    </w:r>
    <w:r>
      <w:fldChar w:fldCharType="separate"/>
    </w:r>
    <w:r w:rsidR="00CE49CD">
      <w:rPr>
        <w:noProof/>
      </w:rPr>
      <w:t>230</w:t>
    </w:r>
    <w:r>
      <w:fldChar w:fldCharType="end"/>
    </w:r>
  </w:p>
  <w:p w14:paraId="2956DBE4" w14:textId="77777777" w:rsidR="00E5701D" w:rsidRDefault="00E5701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EF8278" w14:textId="77777777" w:rsidR="00141E52" w:rsidRDefault="00141E52" w:rsidP="0050177A">
      <w:pPr>
        <w:spacing w:after="0" w:line="240" w:lineRule="auto"/>
      </w:pPr>
      <w:r>
        <w:separator/>
      </w:r>
    </w:p>
  </w:footnote>
  <w:footnote w:type="continuationSeparator" w:id="0">
    <w:p w14:paraId="50BF1E04" w14:textId="77777777" w:rsidR="00141E52" w:rsidRDefault="00141E52" w:rsidP="0050177A">
      <w:pPr>
        <w:spacing w:after="0" w:line="240" w:lineRule="auto"/>
      </w:pPr>
      <w:r>
        <w:continuationSeparator/>
      </w:r>
    </w:p>
  </w:footnote>
  <w:footnote w:id="1">
    <w:p w14:paraId="46D12722" w14:textId="77777777" w:rsidR="00E5701D" w:rsidRPr="005C76D8" w:rsidRDefault="00E5701D" w:rsidP="00416C51">
      <w:pPr>
        <w:pStyle w:val="Tekstprzypisudolnego"/>
        <w:spacing w:line="276" w:lineRule="auto"/>
        <w:jc w:val="both"/>
        <w:rPr>
          <w:rFonts w:ascii="Times New Roman" w:hAnsi="Times New Roman"/>
        </w:rPr>
      </w:pPr>
      <w:r w:rsidRPr="005C76D8">
        <w:rPr>
          <w:rStyle w:val="Odwoanieprzypisudolnego"/>
          <w:rFonts w:ascii="Times New Roman" w:hAnsi="Times New Roman"/>
        </w:rPr>
        <w:footnoteRef/>
      </w:r>
      <w:r w:rsidRPr="005C76D8">
        <w:rPr>
          <w:rFonts w:ascii="Times New Roman" w:hAnsi="Times New Roman"/>
        </w:rPr>
        <w:t xml:space="preserve"> Wskaźnik obliczany na podstawie reprezentacyjnego badania budżetów gospodarstw domowych. Stopa ubóstwa skrajnego została obliczona jako procent mieszkańców Polski (ogółem lub w ramach określonej kategorii wieku) będących członkami gospodarstw domowych, których wydatki były niższe od przyjętej granicy ubóstwa skrajnego. Została ona ustalona na podstawie minimum egzystencji obliczanego przez Instytut Pracy i Spraw Socjalnych (IPiSS). Wyznacza ono poziom zaspokojenia potrzeb, poniżej którego występuje biologiczne zagrożenie życia oraz rozwoju psychofizycznego człowieka. Zaspakajanie potrzeb na tym poziomie i zakresie rzeczowym umożliwia jedynie przeżycie. Patrz </w:t>
      </w:r>
      <w:r w:rsidRPr="005C76D8">
        <w:rPr>
          <w:rFonts w:ascii="Times New Roman" w:hAnsi="Times New Roman"/>
          <w:i/>
        </w:rPr>
        <w:t>Rocznik Statystyczny Rzeczypospolitej Polskiej 2018</w:t>
      </w:r>
      <w:r w:rsidRPr="005C76D8">
        <w:rPr>
          <w:rFonts w:ascii="Times New Roman" w:hAnsi="Times New Roman"/>
        </w:rPr>
        <w:t>, str. 299-300.</w:t>
      </w:r>
    </w:p>
  </w:footnote>
  <w:footnote w:id="2">
    <w:p w14:paraId="60D72D13" w14:textId="77777777" w:rsidR="00E5701D" w:rsidRPr="00414B78" w:rsidRDefault="00E5701D" w:rsidP="00416C51">
      <w:pPr>
        <w:pStyle w:val="Tekstprzypisudolnego"/>
        <w:spacing w:line="276" w:lineRule="auto"/>
        <w:jc w:val="both"/>
        <w:rPr>
          <w:rFonts w:ascii="Times New Roman" w:hAnsi="Times New Roman"/>
        </w:rPr>
      </w:pPr>
      <w:r w:rsidRPr="00414B78">
        <w:rPr>
          <w:rStyle w:val="Odwoanieprzypisudolnego"/>
          <w:rFonts w:ascii="Times New Roman" w:hAnsi="Times New Roman"/>
        </w:rPr>
        <w:footnoteRef/>
      </w:r>
      <w:r w:rsidRPr="00414B78">
        <w:rPr>
          <w:rFonts w:ascii="Times New Roman" w:hAnsi="Times New Roman"/>
        </w:rPr>
        <w:t xml:space="preserve"> Źródł</w:t>
      </w:r>
      <w:r>
        <w:rPr>
          <w:rFonts w:ascii="Times New Roman" w:hAnsi="Times New Roman"/>
        </w:rPr>
        <w:t>o: sprawozdanie MRPiPS-03 za</w:t>
      </w:r>
      <w:r w:rsidRPr="00414B78">
        <w:rPr>
          <w:rFonts w:ascii="Times New Roman" w:hAnsi="Times New Roman"/>
        </w:rPr>
        <w:t xml:space="preserve"> 2019</w:t>
      </w:r>
      <w:r>
        <w:rPr>
          <w:rFonts w:ascii="Times New Roman" w:hAnsi="Times New Roman"/>
        </w:rPr>
        <w:t xml:space="preserve"> r.</w:t>
      </w:r>
      <w:r w:rsidRPr="00414B78">
        <w:rPr>
          <w:rFonts w:ascii="Times New Roman" w:hAnsi="Times New Roman"/>
        </w:rPr>
        <w:t xml:space="preserve"> - dane wstępne, według stanu na dzień 12.05.2020 r. w trakcie weryfikacji.</w:t>
      </w:r>
    </w:p>
  </w:footnote>
  <w:footnote w:id="3">
    <w:p w14:paraId="39E9170E" w14:textId="77777777" w:rsidR="00E5701D" w:rsidRPr="00D86FF5" w:rsidRDefault="00E5701D" w:rsidP="00416C51">
      <w:pPr>
        <w:pStyle w:val="Tekstprzypisudolnego"/>
        <w:spacing w:line="276" w:lineRule="auto"/>
        <w:jc w:val="both"/>
        <w:rPr>
          <w:rFonts w:ascii="Times New Roman" w:hAnsi="Times New Roman"/>
        </w:rPr>
      </w:pPr>
      <w:r w:rsidRPr="00D86FF5">
        <w:rPr>
          <w:rStyle w:val="Odwoanieprzypisudolnego"/>
          <w:rFonts w:ascii="Times New Roman" w:hAnsi="Times New Roman"/>
        </w:rPr>
        <w:footnoteRef/>
      </w:r>
      <w:r w:rsidRPr="00D86FF5">
        <w:rPr>
          <w:rFonts w:ascii="Times New Roman" w:hAnsi="Times New Roman"/>
        </w:rPr>
        <w:t xml:space="preserve"> Źródł</w:t>
      </w:r>
      <w:r>
        <w:rPr>
          <w:rFonts w:ascii="Times New Roman" w:hAnsi="Times New Roman"/>
        </w:rPr>
        <w:t>o: sprawozdanie MRPiPS-03 za</w:t>
      </w:r>
      <w:r w:rsidRPr="00D86FF5">
        <w:rPr>
          <w:rFonts w:ascii="Times New Roman" w:hAnsi="Times New Roman"/>
        </w:rPr>
        <w:t xml:space="preserve"> 2019</w:t>
      </w:r>
      <w:r>
        <w:rPr>
          <w:rFonts w:ascii="Times New Roman" w:hAnsi="Times New Roman"/>
        </w:rPr>
        <w:t xml:space="preserve"> r.</w:t>
      </w:r>
      <w:r w:rsidRPr="00D86FF5">
        <w:rPr>
          <w:rFonts w:ascii="Times New Roman" w:hAnsi="Times New Roman"/>
        </w:rPr>
        <w:t xml:space="preserve"> - dane wstępne, według stanu na dzień 12.05.2020 r. w trakcie weryfikacji.</w:t>
      </w:r>
    </w:p>
  </w:footnote>
  <w:footnote w:id="4">
    <w:p w14:paraId="3E26562B" w14:textId="77777777" w:rsidR="00E5701D" w:rsidRPr="00380914" w:rsidRDefault="00E5701D" w:rsidP="00416C51">
      <w:pPr>
        <w:pStyle w:val="Tekstprzypisudolnego"/>
        <w:spacing w:line="276" w:lineRule="auto"/>
        <w:jc w:val="both"/>
        <w:rPr>
          <w:rFonts w:ascii="Times New Roman" w:hAnsi="Times New Roman"/>
        </w:rPr>
      </w:pPr>
      <w:r w:rsidRPr="00380914">
        <w:rPr>
          <w:rStyle w:val="Odwoanieprzypisudolnego"/>
          <w:rFonts w:ascii="Times New Roman" w:hAnsi="Times New Roman"/>
        </w:rPr>
        <w:footnoteRef/>
      </w:r>
      <w:r w:rsidRPr="00380914">
        <w:rPr>
          <w:rFonts w:ascii="Times New Roman" w:hAnsi="Times New Roman"/>
        </w:rPr>
        <w:t xml:space="preserve"> Źródło: sprawozdanie MRPiPS-05 za rok 2019 - dane wstępne, według stanu na dzień 05.06.2020 r. w trakcie weryfikacji.</w:t>
      </w:r>
    </w:p>
  </w:footnote>
  <w:footnote w:id="5">
    <w:p w14:paraId="5FC4808B"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Źródło: sprawozdanie MRPiPS-05 za rok 2019 - dane wstępne, według stanu na dzień 05.06.2020 r. w trakcie weryfikacji.</w:t>
      </w:r>
    </w:p>
  </w:footnote>
  <w:footnote w:id="6">
    <w:p w14:paraId="06D5C125" w14:textId="06095E8F" w:rsidR="00E5701D" w:rsidRPr="00D544F8" w:rsidRDefault="00E5701D" w:rsidP="00D544F8">
      <w:pPr>
        <w:pStyle w:val="Tekstprzypisudolnego"/>
        <w:jc w:val="both"/>
        <w:rPr>
          <w:rFonts w:ascii="Times New Roman" w:hAnsi="Times New Roman"/>
          <w:i/>
        </w:rPr>
      </w:pPr>
      <w:r w:rsidRPr="00D544F8">
        <w:rPr>
          <w:rStyle w:val="Odwoanieprzypisudolnego"/>
          <w:rFonts w:ascii="Times New Roman" w:hAnsi="Times New Roman"/>
        </w:rPr>
        <w:footnoteRef/>
      </w:r>
      <w:r w:rsidRPr="00D544F8">
        <w:rPr>
          <w:rFonts w:ascii="Times New Roman" w:hAnsi="Times New Roman"/>
        </w:rPr>
        <w:t xml:space="preserve"> Na podstawie przepisów </w:t>
      </w:r>
      <w:r w:rsidRPr="00D544F8">
        <w:rPr>
          <w:rFonts w:ascii="Times New Roman" w:hAnsi="Times New Roman"/>
          <w:i/>
        </w:rPr>
        <w:t>ustawy z dnia 13 lipca 2006 r. o ochronie roszczeń pracowniczych w razie niewypłacalności pracodawcy</w:t>
      </w:r>
    </w:p>
  </w:footnote>
  <w:footnote w:id="7">
    <w:p w14:paraId="25546597" w14:textId="77777777" w:rsidR="00E5701D" w:rsidRPr="00210AC8" w:rsidRDefault="00E5701D" w:rsidP="001D7B7A">
      <w:pPr>
        <w:pStyle w:val="Tekstprzypisudolnego"/>
        <w:jc w:val="both"/>
        <w:rPr>
          <w:sz w:val="16"/>
          <w:szCs w:val="16"/>
        </w:rPr>
      </w:pPr>
      <w:r w:rsidRPr="00210AC8">
        <w:rPr>
          <w:rStyle w:val="Odwoanieprzypisudolnego"/>
          <w:sz w:val="16"/>
          <w:szCs w:val="16"/>
        </w:rPr>
        <w:footnoteRef/>
      </w:r>
      <w:r w:rsidRPr="00877E50">
        <w:rPr>
          <w:sz w:val="16"/>
          <w:szCs w:val="16"/>
        </w:rPr>
        <w:t xml:space="preserve">na podstawie danych jednostkowych BAEL </w:t>
      </w:r>
    </w:p>
  </w:footnote>
  <w:footnote w:id="8">
    <w:p w14:paraId="171B99BE" w14:textId="77777777" w:rsidR="00E5701D" w:rsidRPr="00877E50" w:rsidRDefault="00E5701D" w:rsidP="00D63E16">
      <w:pPr>
        <w:pStyle w:val="Tekstprzypisudolnego"/>
        <w:rPr>
          <w:sz w:val="16"/>
          <w:szCs w:val="16"/>
        </w:rPr>
      </w:pPr>
      <w:r w:rsidRPr="003342DB">
        <w:rPr>
          <w:rStyle w:val="Odwoanieprzypisudolnego"/>
          <w:sz w:val="16"/>
          <w:szCs w:val="16"/>
        </w:rPr>
        <w:footnoteRef/>
      </w:r>
      <w:r w:rsidRPr="003342DB">
        <w:rPr>
          <w:sz w:val="16"/>
          <w:szCs w:val="16"/>
        </w:rPr>
        <w:t xml:space="preserve"> </w:t>
      </w:r>
      <w:r>
        <w:rPr>
          <w:sz w:val="16"/>
          <w:szCs w:val="16"/>
        </w:rPr>
        <w:t>N</w:t>
      </w:r>
      <w:r w:rsidRPr="00877E50">
        <w:rPr>
          <w:sz w:val="16"/>
          <w:szCs w:val="16"/>
        </w:rPr>
        <w:t>a podstawie danych jednostkowych BAEL za IV kw. 2019 r.</w:t>
      </w:r>
    </w:p>
  </w:footnote>
  <w:footnote w:id="9">
    <w:p w14:paraId="108434EF" w14:textId="77777777" w:rsidR="00E5701D" w:rsidRDefault="00E5701D" w:rsidP="00B90E75">
      <w:pPr>
        <w:pStyle w:val="Tekstprzypisudolnego"/>
      </w:pPr>
      <w:r>
        <w:rPr>
          <w:rStyle w:val="Odwoanieprzypisudolnego"/>
        </w:rPr>
        <w:footnoteRef/>
      </w:r>
      <w:r>
        <w:t xml:space="preserve"> </w:t>
      </w:r>
      <w:r w:rsidRPr="002E75BA">
        <w:t>kod resortowy komórki 4060</w:t>
      </w:r>
    </w:p>
  </w:footnote>
  <w:footnote w:id="10">
    <w:p w14:paraId="3AEF5F89" w14:textId="77777777" w:rsidR="00E5701D" w:rsidRDefault="00E5701D" w:rsidP="00B90E75">
      <w:pPr>
        <w:pStyle w:val="Tekstprzypisudolnego"/>
      </w:pPr>
      <w:r>
        <w:rPr>
          <w:rStyle w:val="Odwoanieprzypisudolnego"/>
        </w:rPr>
        <w:footnoteRef/>
      </w:r>
      <w:r>
        <w:t xml:space="preserve"> </w:t>
      </w:r>
      <w:r w:rsidRPr="00D41E4A">
        <w:t>kod resortowy komórki 5160-5360</w:t>
      </w:r>
    </w:p>
  </w:footnote>
  <w:footnote w:id="11">
    <w:p w14:paraId="0C30D2C7"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kod resortowy komórki 2184</w:t>
      </w:r>
    </w:p>
  </w:footnote>
  <w:footnote w:id="12">
    <w:p w14:paraId="4812E520"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kod resortowy komórki 2180</w:t>
      </w:r>
    </w:p>
  </w:footnote>
  <w:footnote w:id="13">
    <w:p w14:paraId="17ECC562"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kod resortowy komórki 2182</w:t>
      </w:r>
    </w:p>
  </w:footnote>
  <w:footnote w:id="14">
    <w:p w14:paraId="715D0263" w14:textId="77777777" w:rsidR="00E5701D" w:rsidRDefault="00E5701D" w:rsidP="00416C51">
      <w:pPr>
        <w:pStyle w:val="Tekstprzypisudolnego"/>
        <w:spacing w:line="276" w:lineRule="auto"/>
        <w:jc w:val="both"/>
      </w:pPr>
      <w:r w:rsidRPr="00416C51">
        <w:rPr>
          <w:rStyle w:val="Odwoanieprzypisudolnego"/>
          <w:rFonts w:ascii="Times New Roman" w:hAnsi="Times New Roman"/>
        </w:rPr>
        <w:footnoteRef/>
      </w:r>
      <w:r w:rsidRPr="00416C51">
        <w:rPr>
          <w:rFonts w:ascii="Times New Roman" w:hAnsi="Times New Roman"/>
        </w:rPr>
        <w:t xml:space="preserve"> Rozporządzenie Ministra Zdrowia z dnia 6 listopada 2013 r. w sprawie świadczeń gwarantowanych z zakresu rehabilitacji leczniczej (DZ. U. 2018, poz. 465 z późn. zm.)</w:t>
      </w:r>
    </w:p>
  </w:footnote>
  <w:footnote w:id="15">
    <w:p w14:paraId="18317C3D"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w:t>
      </w:r>
      <w:bookmarkStart w:id="33" w:name="_Hlk43833274"/>
      <w:r w:rsidRPr="00416C51">
        <w:rPr>
          <w:rFonts w:ascii="Times New Roman" w:hAnsi="Times New Roman"/>
        </w:rPr>
        <w:t>Źródło danych – sprawozdanie MZ-89 o specjalistach pracujących w podmiotach wykonujących działalność leczniczą. Dane kadrowe przedstawiają stan na 31.12.2018 roku, ponieważ dane według stanu na dzień 31.12.2019 roku są jeszcze w trakcie zbierania i weryfikacji, a w związku z epidemią COVID-19, proces ten się przeciąga, dlatego też nie zostały one zaprezentowane. Należy też zauważyć, że w zestawieniu nie są uwzględnione osoby mający kilka specjalizacji i pracujący w podstawowym miejscu pracy w innej specjalizacji</w:t>
      </w:r>
      <w:bookmarkEnd w:id="33"/>
    </w:p>
  </w:footnote>
  <w:footnote w:id="16">
    <w:p w14:paraId="3D77F5C5" w14:textId="77777777" w:rsidR="00E5701D" w:rsidRDefault="00E5701D" w:rsidP="00416C51">
      <w:pPr>
        <w:pStyle w:val="Tekstprzypisudolnego"/>
        <w:spacing w:line="276" w:lineRule="auto"/>
        <w:jc w:val="both"/>
      </w:pPr>
      <w:r w:rsidRPr="00416C51">
        <w:rPr>
          <w:rStyle w:val="Odwoanieprzypisudolnego"/>
          <w:rFonts w:ascii="Times New Roman" w:hAnsi="Times New Roman"/>
        </w:rPr>
        <w:footnoteRef/>
      </w:r>
      <w:r w:rsidRPr="00416C51">
        <w:rPr>
          <w:rFonts w:ascii="Times New Roman" w:hAnsi="Times New Roman"/>
        </w:rPr>
        <w:t xml:space="preserve"> Źródło danych: System Monitorowania Kształcenia. Dane nie obejmują osób, które zrealizowały szkolenie specjalizacyjne przed wejściem Systemu Monitorowania Kształcenia</w:t>
      </w:r>
    </w:p>
  </w:footnote>
  <w:footnote w:id="17">
    <w:p w14:paraId="3E1C5697"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dane z CKE na dzień 27 stycznia 2020 r.</w:t>
      </w:r>
    </w:p>
  </w:footnote>
  <w:footnote w:id="18">
    <w:p w14:paraId="6032B865" w14:textId="77777777" w:rsidR="00E5701D" w:rsidRDefault="00E5701D" w:rsidP="00416C51">
      <w:pPr>
        <w:pStyle w:val="Tekstprzypisudolnego"/>
        <w:spacing w:line="276" w:lineRule="auto"/>
        <w:jc w:val="both"/>
      </w:pPr>
      <w:r w:rsidRPr="00416C51">
        <w:rPr>
          <w:rStyle w:val="Odwoanieprzypisudolnego"/>
          <w:rFonts w:ascii="Times New Roman" w:hAnsi="Times New Roman"/>
        </w:rPr>
        <w:footnoteRef/>
      </w:r>
      <w:r w:rsidRPr="00416C51">
        <w:rPr>
          <w:rFonts w:ascii="Times New Roman" w:hAnsi="Times New Roman"/>
        </w:rPr>
        <w:t xml:space="preserve"> Źródło danych: sprawozdanie MZ-29A o działalności podmiotu wykonującego działalność leczniczą w zakresie długoterminowej opieki zdrowotnej.</w:t>
      </w:r>
    </w:p>
  </w:footnote>
  <w:footnote w:id="19">
    <w:p w14:paraId="14D8D6DB" w14:textId="77777777" w:rsidR="00E5701D" w:rsidRPr="00416C51" w:rsidRDefault="00E5701D" w:rsidP="00416C51">
      <w:pPr>
        <w:pStyle w:val="Tekstprzypisudolnego"/>
        <w:spacing w:line="276" w:lineRule="auto"/>
        <w:jc w:val="both"/>
        <w:rPr>
          <w:rFonts w:ascii="Times New Roman" w:hAnsi="Times New Roman"/>
          <w:bCs/>
        </w:rPr>
      </w:pPr>
      <w:r w:rsidRPr="00416C51">
        <w:rPr>
          <w:rStyle w:val="Odwoanieprzypisudolnego"/>
          <w:rFonts w:ascii="Times New Roman" w:hAnsi="Times New Roman"/>
        </w:rPr>
        <w:footnoteRef/>
      </w:r>
      <w:r w:rsidRPr="00416C51">
        <w:rPr>
          <w:rFonts w:ascii="Times New Roman" w:hAnsi="Times New Roman"/>
        </w:rPr>
        <w:t xml:space="preserve">  Dotyczy: </w:t>
      </w:r>
      <w:r w:rsidRPr="00416C51">
        <w:rPr>
          <w:rFonts w:ascii="Times New Roman" w:hAnsi="Times New Roman"/>
          <w:bCs/>
          <w:spacing w:val="-4"/>
        </w:rPr>
        <w:t xml:space="preserve">konsultacji z lekarzem  rodzinnym / pierwszego kontaktu  lub specjalistą </w:t>
      </w:r>
      <w:r w:rsidRPr="00416C51">
        <w:rPr>
          <w:rFonts w:ascii="Times New Roman" w:hAnsi="Times New Roman"/>
          <w:bCs/>
        </w:rPr>
        <w:t xml:space="preserve"> (wyłączając dentystę i ortodontę);  leczenia szpitalnego, rehabilitacji; badania w laboratorium lub pracowni diagnostycznej.</w:t>
      </w:r>
    </w:p>
  </w:footnote>
  <w:footnote w:id="20">
    <w:p w14:paraId="5DB75311" w14:textId="77777777" w:rsidR="00E5701D" w:rsidRPr="00E5539C" w:rsidRDefault="00E5701D" w:rsidP="00416C51">
      <w:pPr>
        <w:pStyle w:val="Tekstprzypisudolnego"/>
        <w:spacing w:line="276" w:lineRule="auto"/>
        <w:jc w:val="both"/>
        <w:rPr>
          <w:rFonts w:ascii="Times New Roman" w:hAnsi="Times New Roman"/>
        </w:rPr>
      </w:pPr>
      <w:r w:rsidRPr="006D537F">
        <w:rPr>
          <w:rStyle w:val="Odwoanieprzypisudolnego"/>
          <w:rFonts w:ascii="Times New Roman" w:hAnsi="Times New Roman"/>
        </w:rPr>
        <w:footnoteRef/>
      </w:r>
      <w:r w:rsidRPr="006D537F">
        <w:rPr>
          <w:rFonts w:ascii="Times New Roman" w:hAnsi="Times New Roman"/>
        </w:rPr>
        <w:t xml:space="preserve"> Raport Stan czytelnictwa w Polsce w 2018 roku, Biblioteka Narodowa, 2019 </w:t>
      </w:r>
      <w:r>
        <w:rPr>
          <w:rFonts w:ascii="Times New Roman" w:hAnsi="Times New Roman"/>
        </w:rPr>
        <w:t>r.</w:t>
      </w:r>
    </w:p>
  </w:footnote>
  <w:footnote w:id="21">
    <w:p w14:paraId="5CFAA644" w14:textId="77777777" w:rsidR="00E5701D" w:rsidRPr="00416C51" w:rsidRDefault="00E5701D" w:rsidP="00416C51">
      <w:pPr>
        <w:pStyle w:val="Tekstprzypisudolnego"/>
        <w:spacing w:line="276" w:lineRule="auto"/>
        <w:jc w:val="both"/>
        <w:rPr>
          <w:rFonts w:ascii="Times New Roman" w:hAnsi="Times New Roman"/>
        </w:rPr>
      </w:pPr>
      <w:r w:rsidRPr="00E5539C">
        <w:rPr>
          <w:rStyle w:val="Odwoanieprzypisudolnego"/>
          <w:rFonts w:ascii="Times New Roman" w:hAnsi="Times New Roman"/>
        </w:rPr>
        <w:footnoteRef/>
      </w:r>
      <w:r w:rsidRPr="00E5539C">
        <w:rPr>
          <w:rFonts w:ascii="Times New Roman" w:hAnsi="Times New Roman"/>
        </w:rPr>
        <w:t xml:space="preserve"> Raport CZYTELNICTWO, Biblioteka Narodowa [w:] Rocznik Kultury Polskiej 2019, Narodowe Centrum Kultury [źródło:  </w:t>
      </w:r>
      <w:r w:rsidRPr="001E4978">
        <w:rPr>
          <w:rFonts w:ascii="Times New Roman" w:hAnsi="Times New Roman"/>
        </w:rPr>
        <w:t>https://www.nck.pl/badania/publikacje/rocznik-kultury-polskiej-2018</w:t>
      </w:r>
      <w:r w:rsidRPr="00E5539C">
        <w:rPr>
          <w:rFonts w:ascii="Times New Roman" w:hAnsi="Times New Roman"/>
        </w:rPr>
        <w:t xml:space="preserve">]. </w:t>
      </w:r>
    </w:p>
  </w:footnote>
  <w:footnote w:id="22">
    <w:p w14:paraId="16C9588C" w14:textId="77777777" w:rsidR="00E5701D" w:rsidRPr="00F57DC3" w:rsidRDefault="00E5701D" w:rsidP="00072C47">
      <w:pPr>
        <w:pStyle w:val="Tekstprzypisudolnego"/>
        <w:spacing w:line="276" w:lineRule="auto"/>
        <w:jc w:val="both"/>
        <w:rPr>
          <w:rFonts w:ascii="Times New Roman" w:hAnsi="Times New Roman"/>
        </w:rPr>
      </w:pPr>
      <w:r w:rsidRPr="00F57DC3">
        <w:rPr>
          <w:rStyle w:val="Odwoanieprzypisudolnego"/>
          <w:rFonts w:ascii="Times New Roman" w:hAnsi="Times New Roman"/>
        </w:rPr>
        <w:footnoteRef/>
      </w:r>
      <w:r w:rsidRPr="00F57DC3">
        <w:rPr>
          <w:rFonts w:ascii="Times New Roman" w:hAnsi="Times New Roman"/>
        </w:rPr>
        <w:t xml:space="preserve"> </w:t>
      </w:r>
      <w:r w:rsidRPr="00F57DC3">
        <w:rPr>
          <w:rFonts w:ascii="Times New Roman" w:hAnsi="Times New Roman"/>
          <w:i/>
        </w:rPr>
        <w:t>Informacja o sytuacji osób starszych na podstawie badań Głównego Urzędu Statystycznego</w:t>
      </w:r>
      <w:r>
        <w:rPr>
          <w:rFonts w:ascii="Times New Roman" w:hAnsi="Times New Roman"/>
        </w:rPr>
        <w:t xml:space="preserve">, GUS, 2019 r. </w:t>
      </w:r>
    </w:p>
  </w:footnote>
  <w:footnote w:id="23">
    <w:p w14:paraId="45569E2B" w14:textId="77777777" w:rsidR="00E5701D" w:rsidRPr="00F57DC3" w:rsidRDefault="00E5701D" w:rsidP="00072C47">
      <w:pPr>
        <w:pStyle w:val="Tekstprzypisudolnego"/>
        <w:spacing w:line="276" w:lineRule="auto"/>
        <w:jc w:val="both"/>
        <w:rPr>
          <w:rFonts w:ascii="Times New Roman" w:hAnsi="Times New Roman"/>
        </w:rPr>
      </w:pPr>
      <w:r w:rsidRPr="00F57DC3">
        <w:rPr>
          <w:rStyle w:val="Odwoanieprzypisudolnego"/>
          <w:rFonts w:ascii="Times New Roman" w:hAnsi="Times New Roman"/>
        </w:rPr>
        <w:footnoteRef/>
      </w:r>
      <w:r w:rsidRPr="00F57DC3">
        <w:rPr>
          <w:rFonts w:ascii="Times New Roman" w:hAnsi="Times New Roman"/>
        </w:rPr>
        <w:t xml:space="preserve"> Raport </w:t>
      </w:r>
      <w:r w:rsidRPr="00F57DC3">
        <w:rPr>
          <w:rFonts w:ascii="Times New Roman" w:hAnsi="Times New Roman"/>
          <w:i/>
        </w:rPr>
        <w:t>Co z tą kulturą 50+? Diagnoza inicjatyw kulturalnych angażujących osoby powyżej 50 roku życia</w:t>
      </w:r>
      <w:r w:rsidRPr="00F57DC3">
        <w:rPr>
          <w:rFonts w:ascii="Times New Roman" w:hAnsi="Times New Roman"/>
        </w:rPr>
        <w:t>, Andrzej Górny, Izabella Kaznowska, Sonia Lenarczyk, Katarzyna Weideman, Agata Zygmunt, 2013</w:t>
      </w:r>
      <w:r>
        <w:rPr>
          <w:rFonts w:ascii="Times New Roman" w:hAnsi="Times New Roman"/>
        </w:rPr>
        <w:t xml:space="preserve"> r., str. 184 </w:t>
      </w:r>
      <w:r w:rsidRPr="00F57DC3">
        <w:rPr>
          <w:rFonts w:ascii="Times New Roman" w:hAnsi="Times New Roman"/>
        </w:rPr>
        <w:t xml:space="preserve">[źródło: </w:t>
      </w:r>
      <w:r w:rsidRPr="001E4978">
        <w:rPr>
          <w:rFonts w:ascii="Times New Roman" w:hAnsi="Times New Roman"/>
        </w:rPr>
        <w:t>https://www.nck.pl/badania/raporty/co-z-ta-kultura-50-diagnoza-inicjatyw-kulturalnych-angazujacych-osoby-powyzej-50-</w:t>
      </w:r>
      <w:r w:rsidRPr="00F57DC3">
        <w:rPr>
          <w:rFonts w:ascii="Times New Roman" w:hAnsi="Times New Roman"/>
        </w:rPr>
        <w:t xml:space="preserve"> ]</w:t>
      </w:r>
    </w:p>
    <w:p w14:paraId="26FEB103" w14:textId="77777777" w:rsidR="00E5701D" w:rsidRDefault="00E5701D" w:rsidP="00072C47">
      <w:pPr>
        <w:pStyle w:val="Tekstprzypisudolnego"/>
      </w:pPr>
    </w:p>
  </w:footnote>
  <w:footnote w:id="24">
    <w:p w14:paraId="13D98E51"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w:t>
      </w:r>
      <w:r w:rsidRPr="00416C51">
        <w:rPr>
          <w:rFonts w:ascii="Times New Roman" w:hAnsi="Times New Roman"/>
          <w:i/>
        </w:rPr>
        <w:t>Badanie 1.30.15 Uczestnictwo w sporcie i rekreacji ruchowej (dotyczy okresu od 01/10/2015 do 30/09/2016)</w:t>
      </w:r>
      <w:r w:rsidRPr="00416C51">
        <w:rPr>
          <w:rFonts w:ascii="Times New Roman" w:hAnsi="Times New Roman"/>
        </w:rPr>
        <w:t>, GUS 2017</w:t>
      </w:r>
      <w:r w:rsidRPr="00416C51">
        <w:rPr>
          <w:rFonts w:ascii="Times New Roman" w:hAnsi="Times New Roman"/>
          <w:i/>
        </w:rPr>
        <w:t>.</w:t>
      </w:r>
    </w:p>
  </w:footnote>
  <w:footnote w:id="25">
    <w:p w14:paraId="1C35852E" w14:textId="77777777" w:rsidR="00E5701D" w:rsidRPr="00416C51" w:rsidRDefault="00E5701D" w:rsidP="00416C51">
      <w:pPr>
        <w:jc w:val="both"/>
        <w:rPr>
          <w:rFonts w:ascii="Times New Roman" w:hAnsi="Times New Roman" w:cs="Times New Roman"/>
          <w:sz w:val="20"/>
        </w:rPr>
      </w:pPr>
      <w:r w:rsidRPr="00416C51">
        <w:rPr>
          <w:rFonts w:ascii="Times New Roman" w:hAnsi="Times New Roman" w:cs="Times New Roman"/>
          <w:color w:val="000000"/>
          <w:sz w:val="20"/>
          <w:vertAlign w:val="superscript"/>
        </w:rPr>
        <w:footnoteRef/>
      </w:r>
      <w:r w:rsidRPr="00416C51">
        <w:rPr>
          <w:rFonts w:ascii="Times New Roman" w:hAnsi="Times New Roman" w:cs="Times New Roman"/>
          <w:color w:val="000000"/>
          <w:sz w:val="20"/>
        </w:rPr>
        <w:t xml:space="preserve"> Narodowy Program Zwalczania Chorób Nowotworowych na lata 2016-2024.</w:t>
      </w:r>
    </w:p>
  </w:footnote>
  <w:footnote w:id="26">
    <w:p w14:paraId="4C4301B0"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Źródło: sprawozdanie MRPiPS-03 za rok 2019 - dane wstępne, według stanu na dzień 12.0</w:t>
      </w:r>
      <w:r>
        <w:rPr>
          <w:rFonts w:ascii="Times New Roman" w:hAnsi="Times New Roman"/>
        </w:rPr>
        <w:t>5.2020 r. w trakcie weryfikacji</w:t>
      </w:r>
    </w:p>
  </w:footnote>
  <w:footnote w:id="27">
    <w:p w14:paraId="41A49DD2" w14:textId="77777777" w:rsidR="00E5701D" w:rsidRPr="00AC5D32" w:rsidRDefault="00E5701D">
      <w:pPr>
        <w:pStyle w:val="Tekstprzypisudolnego"/>
      </w:pPr>
      <w:r w:rsidRPr="00AC5D32">
        <w:rPr>
          <w:rStyle w:val="Odwoanieprzypisudolnego"/>
        </w:rPr>
        <w:footnoteRef/>
      </w:r>
      <w:r w:rsidRPr="00AC5D32">
        <w:t xml:space="preserve"> </w:t>
      </w:r>
      <w:r w:rsidRPr="00AC5D32">
        <w:rPr>
          <w:rFonts w:ascii="Times New Roman" w:hAnsi="Times New Roman"/>
          <w:lang w:eastAsia="x-none"/>
        </w:rPr>
        <w:t xml:space="preserve">Baza PS dostępna jest pod adresem: </w:t>
      </w:r>
      <w:hyperlink r:id="rId1" w:history="1">
        <w:r w:rsidRPr="00AC5D32">
          <w:rPr>
            <w:rStyle w:val="Hipercze"/>
            <w:rFonts w:ascii="Times New Roman" w:hAnsi="Times New Roman"/>
            <w:lang w:eastAsia="x-none"/>
          </w:rPr>
          <w:t>http://www.bazaps.ekonomiaspoleczna.gov.pl/</w:t>
        </w:r>
      </w:hyperlink>
      <w:r w:rsidRPr="00AC5D32">
        <w:rPr>
          <w:rFonts w:ascii="Times New Roman" w:hAnsi="Times New Roman"/>
          <w:lang w:eastAsia="x-none"/>
        </w:rPr>
        <w:t>.</w:t>
      </w:r>
    </w:p>
  </w:footnote>
  <w:footnote w:id="28">
    <w:p w14:paraId="0BED75ED" w14:textId="77777777" w:rsidR="00E5701D" w:rsidRPr="006C7375" w:rsidRDefault="00E5701D" w:rsidP="00D77CEB">
      <w:pPr>
        <w:pStyle w:val="Tekstprzypisudolnego"/>
      </w:pPr>
      <w:r>
        <w:rPr>
          <w:rStyle w:val="Odwoanieprzypisudolnego"/>
        </w:rPr>
        <w:footnoteRef/>
      </w:r>
      <w:r>
        <w:t xml:space="preserve"> </w:t>
      </w:r>
      <w:r>
        <w:rPr>
          <w:rFonts w:ascii="Times New Roman" w:hAnsi="Times New Roman"/>
          <w:spacing w:val="-5"/>
        </w:rPr>
        <w:t>Ustawa z dnia 31 stycznia 2019 r. o rodzicielskim świadczeniu uzupełniającym</w:t>
      </w:r>
    </w:p>
  </w:footnote>
  <w:footnote w:id="29">
    <w:p w14:paraId="634755CE" w14:textId="77777777" w:rsidR="00E5701D" w:rsidRPr="002149D1" w:rsidRDefault="00E5701D">
      <w:pPr>
        <w:pStyle w:val="Tekstprzypisudolnego"/>
      </w:pPr>
      <w:r w:rsidRPr="002149D1">
        <w:rPr>
          <w:rStyle w:val="Odwoanieprzypisudolnego"/>
        </w:rPr>
        <w:footnoteRef/>
      </w:r>
      <w:r w:rsidRPr="002149D1">
        <w:t xml:space="preserve"> </w:t>
      </w:r>
      <w:hyperlink r:id="rId2" w:history="1">
        <w:r w:rsidRPr="002149D1">
          <w:rPr>
            <w:rStyle w:val="Hipercze"/>
            <w:rFonts w:ascii="Times New Roman" w:hAnsi="Times New Roman"/>
          </w:rPr>
          <w:t>www.seniornadrodze.pl</w:t>
        </w:r>
      </w:hyperlink>
    </w:p>
  </w:footnote>
  <w:footnote w:id="30">
    <w:p w14:paraId="42B3BBD8" w14:textId="77777777" w:rsidR="00E5701D" w:rsidRPr="00F70044" w:rsidRDefault="00E5701D">
      <w:pPr>
        <w:pStyle w:val="Tekstprzypisudolnego"/>
      </w:pPr>
      <w:r w:rsidRPr="00F70044">
        <w:rPr>
          <w:rStyle w:val="Odwoanieprzypisudolnego"/>
        </w:rPr>
        <w:footnoteRef/>
      </w:r>
      <w:r w:rsidRPr="00F70044">
        <w:t xml:space="preserve"> </w:t>
      </w:r>
      <w:hyperlink w:history="1">
        <w:r w:rsidRPr="00F70044">
          <w:rPr>
            <w:rStyle w:val="Hipercze"/>
            <w:rFonts w:ascii="Times New Roman" w:hAnsi="Times New Roman"/>
          </w:rPr>
          <w:t>https://razembezpieczniej. mswia.gov.pl/</w:t>
        </w:r>
      </w:hyperlink>
    </w:p>
  </w:footnote>
  <w:footnote w:id="31">
    <w:p w14:paraId="043A188D"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(Dz. U. poz. 1492)</w:t>
      </w:r>
    </w:p>
  </w:footnote>
  <w:footnote w:id="32">
    <w:p w14:paraId="43CC8CD9"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na koniec 2019 r.</w:t>
      </w:r>
    </w:p>
  </w:footnote>
  <w:footnote w:id="33">
    <w:p w14:paraId="19444071"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w związku z zakończeniem leczenia szpitalnego przez świadczeniobiorcę, który ukończył 75. rok życia.</w:t>
      </w:r>
    </w:p>
  </w:footnote>
  <w:footnote w:id="34">
    <w:p w14:paraId="6A690032"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w związku z zakończeniem leczenia szpitalnego przez świadczeniobiorcę, który ukończył 75. rok życia.</w:t>
      </w:r>
    </w:p>
  </w:footnote>
  <w:footnote w:id="35">
    <w:p w14:paraId="59397380"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Na podstawie nowelizacji rozporządzenia Ministra Zdrowia w sprawie rodzajów elektronicznej dokumentacji medycznej</w:t>
      </w:r>
    </w:p>
  </w:footnote>
  <w:footnote w:id="36">
    <w:p w14:paraId="0C10E093" w14:textId="77777777" w:rsidR="00E5701D" w:rsidRDefault="00E5701D" w:rsidP="00416C51">
      <w:pPr>
        <w:pStyle w:val="Tekstprzypisudolnego"/>
        <w:spacing w:line="276" w:lineRule="auto"/>
        <w:jc w:val="both"/>
      </w:pPr>
      <w:r w:rsidRPr="00416C51">
        <w:rPr>
          <w:rStyle w:val="Odwoanieprzypisudolnego"/>
          <w:rFonts w:ascii="Times New Roman" w:hAnsi="Times New Roman"/>
        </w:rPr>
        <w:footnoteRef/>
      </w:r>
      <w:r w:rsidRPr="00416C51">
        <w:rPr>
          <w:rFonts w:ascii="Times New Roman" w:hAnsi="Times New Roman"/>
        </w:rPr>
        <w:t xml:space="preserve"> https://pacjent.gov.pl/internetowe-konto-pacjenta</w:t>
      </w:r>
    </w:p>
  </w:footnote>
  <w:footnote w:id="37">
    <w:p w14:paraId="7E843087" w14:textId="77777777" w:rsidR="00E5701D" w:rsidRDefault="00E5701D">
      <w:pPr>
        <w:pStyle w:val="Tekstprzypisudolnego"/>
      </w:pPr>
      <w:r>
        <w:rPr>
          <w:rStyle w:val="Odwoanieprzypisudolnego"/>
        </w:rPr>
        <w:footnoteRef/>
      </w:r>
      <w:r>
        <w:t xml:space="preserve"> </w:t>
      </w:r>
      <w:r w:rsidRPr="000A25C2">
        <w:rPr>
          <w:rFonts w:ascii="Times New Roman" w:hAnsi="Times New Roman"/>
          <w:sz w:val="24"/>
          <w:szCs w:val="24"/>
        </w:rPr>
        <w:t>Szczegółowe informacje na temat stopnia wdrożenia Programu znajdują się w Sprawozdaniu z realizacji rządowego Programu Dostępność Plus 2018 – 2025 według stanu na 31 grudnia 2019 r. https://www.funduszeeuropejskie.gov.pl/strony/o-funduszach/fundusze-europejskie-bez-barier/dostepnosc-plus/o-programie/</w:t>
      </w:r>
    </w:p>
  </w:footnote>
  <w:footnote w:id="38">
    <w:p w14:paraId="3046B609" w14:textId="77777777" w:rsidR="00E5701D" w:rsidRPr="00416C51" w:rsidRDefault="00E5701D" w:rsidP="00416C51">
      <w:pPr>
        <w:pStyle w:val="Tekstprzypisudolnego"/>
        <w:spacing w:line="276" w:lineRule="auto"/>
        <w:jc w:val="both"/>
        <w:rPr>
          <w:rFonts w:ascii="Times New Roman" w:hAnsi="Times New Roman"/>
        </w:rPr>
      </w:pPr>
      <w:r w:rsidRPr="00416C51">
        <w:rPr>
          <w:rStyle w:val="Odwoanieprzypisudolnego"/>
          <w:rFonts w:ascii="Times New Roman" w:hAnsi="Times New Roman"/>
        </w:rPr>
        <w:footnoteRef/>
      </w:r>
      <w:r w:rsidRPr="00416C51">
        <w:rPr>
          <w:rFonts w:ascii="Times New Roman" w:hAnsi="Times New Roman"/>
        </w:rPr>
        <w:t xml:space="preserve"> Więcej informacji o innowacjach znajduje się na stronie:</w:t>
      </w:r>
    </w:p>
    <w:p w14:paraId="23C24F03" w14:textId="77777777" w:rsidR="00E5701D" w:rsidRPr="00416C51" w:rsidRDefault="00E5701D" w:rsidP="00416C51">
      <w:pPr>
        <w:pStyle w:val="Tekstprzypisudolnego"/>
        <w:spacing w:line="276" w:lineRule="auto"/>
        <w:jc w:val="both"/>
        <w:rPr>
          <w:rFonts w:ascii="Times New Roman" w:hAnsi="Times New Roman"/>
        </w:rPr>
      </w:pPr>
      <w:r w:rsidRPr="00416C51">
        <w:rPr>
          <w:rFonts w:ascii="Times New Roman" w:hAnsi="Times New Roman"/>
        </w:rPr>
        <w:t>https://www.funduszeeuropejskie.gov.pl/strony/o-funduszach/fundusze-europejskie-bez-barier/dostepnosc-plus/innowacje-dla-dostepnosci/#/domyslne=1</w:t>
      </w:r>
    </w:p>
  </w:footnote>
  <w:footnote w:id="39">
    <w:p w14:paraId="705DF476" w14:textId="77777777" w:rsidR="00E5701D" w:rsidRDefault="00E5701D" w:rsidP="00416C51">
      <w:pPr>
        <w:pStyle w:val="Tekstprzypisudolnego"/>
        <w:spacing w:line="276" w:lineRule="auto"/>
        <w:jc w:val="both"/>
      </w:pPr>
      <w:r w:rsidRPr="00416C51">
        <w:rPr>
          <w:rStyle w:val="Odwoanieprzypisudolnego"/>
          <w:rFonts w:ascii="Times New Roman" w:hAnsi="Times New Roman"/>
        </w:rPr>
        <w:footnoteRef/>
      </w:r>
      <w:r w:rsidRPr="00416C51">
        <w:rPr>
          <w:rFonts w:ascii="Times New Roman" w:hAnsi="Times New Roman"/>
        </w:rPr>
        <w:t xml:space="preserve"> https://www.youtube.com/watch?v=FdWpwVSXbX4</w:t>
      </w:r>
    </w:p>
  </w:footnote>
  <w:footnote w:id="40">
    <w:p w14:paraId="5F7852EB" w14:textId="77777777" w:rsidR="00E5701D" w:rsidRPr="00427762" w:rsidRDefault="00E5701D" w:rsidP="00427762">
      <w:pPr>
        <w:pStyle w:val="Tekstprzypisudolnego"/>
        <w:spacing w:line="276" w:lineRule="auto"/>
        <w:jc w:val="both"/>
        <w:rPr>
          <w:rFonts w:ascii="Times New Roman" w:hAnsi="Times New Roman"/>
        </w:rPr>
      </w:pPr>
      <w:r w:rsidRPr="00427762">
        <w:rPr>
          <w:rStyle w:val="Odwoanieprzypisudolnego"/>
          <w:rFonts w:ascii="Times New Roman" w:hAnsi="Times New Roman"/>
        </w:rPr>
        <w:footnoteRef/>
      </w:r>
      <w:hyperlink r:id="rId3" w:history="1">
        <w:r w:rsidRPr="00427762">
          <w:rPr>
            <w:rStyle w:val="Hipercze"/>
            <w:rFonts w:ascii="Times New Roman" w:hAnsi="Times New Roman"/>
          </w:rPr>
          <w:t>https://www.funduszeeuropejskie.gov.pl/strony/o-funduszach/fundusze-europejskie-bez-barier/dostepnosc-plus/multimedia/</w:t>
        </w:r>
      </w:hyperlink>
    </w:p>
  </w:footnote>
  <w:footnote w:id="41">
    <w:p w14:paraId="2611EB8C" w14:textId="77777777" w:rsidR="00E5701D" w:rsidRPr="00427762" w:rsidRDefault="00E5701D" w:rsidP="00427762">
      <w:pPr>
        <w:pStyle w:val="Stopka2"/>
        <w:shd w:val="clear" w:color="auto" w:fill="auto"/>
        <w:spacing w:line="276" w:lineRule="auto"/>
        <w:ind w:left="20"/>
        <w:jc w:val="both"/>
        <w:rPr>
          <w:rFonts w:ascii="Times New Roman" w:hAnsi="Times New Roman" w:cs="Times New Roman"/>
          <w:sz w:val="20"/>
          <w:szCs w:val="20"/>
        </w:rPr>
      </w:pPr>
      <w:r w:rsidRPr="00427762">
        <w:rPr>
          <w:rFonts w:ascii="Times New Roman" w:hAnsi="Times New Roman" w:cs="Times New Roman"/>
          <w:color w:val="000000"/>
          <w:sz w:val="20"/>
          <w:szCs w:val="20"/>
          <w:vertAlign w:val="superscript"/>
          <w:lang w:val="pl-PL"/>
        </w:rPr>
        <w:footnoteRef/>
      </w:r>
      <w:hyperlink r:id="rId4" w:history="1">
        <w:r w:rsidRPr="00427762">
          <w:rPr>
            <w:rStyle w:val="Hipercze"/>
            <w:rFonts w:ascii="Times New Roman" w:hAnsi="Times New Roman" w:cs="Times New Roman"/>
            <w:sz w:val="20"/>
            <w:szCs w:val="20"/>
            <w:lang w:val="pl-PL"/>
          </w:rPr>
          <w:t xml:space="preserve"> </w:t>
        </w:r>
        <w:r w:rsidRPr="00427762">
          <w:rPr>
            <w:rStyle w:val="Hipercze"/>
            <w:rFonts w:ascii="Times New Roman" w:hAnsi="Times New Roman" w:cs="Times New Roman"/>
            <w:sz w:val="20"/>
            <w:szCs w:val="20"/>
          </w:rPr>
          <w:t>https://arch-bip.ms.gov.pl/pl/prawaczlowieka/europeiski-trvbunal-praw-czlowieka/opracowania-i-analizv-</w:t>
        </w:r>
      </w:hyperlink>
    </w:p>
    <w:p w14:paraId="18861C19" w14:textId="77777777" w:rsidR="00E5701D" w:rsidRDefault="00141E52" w:rsidP="00427762">
      <w:pPr>
        <w:pStyle w:val="Stopka2"/>
        <w:shd w:val="clear" w:color="auto" w:fill="auto"/>
        <w:spacing w:line="276" w:lineRule="auto"/>
        <w:ind w:left="20"/>
        <w:jc w:val="both"/>
      </w:pPr>
      <w:hyperlink r:id="rId5" w:history="1">
        <w:r w:rsidR="00E5701D" w:rsidRPr="00427762">
          <w:rPr>
            <w:rStyle w:val="Hipercze"/>
            <w:rFonts w:ascii="Times New Roman" w:hAnsi="Times New Roman" w:cs="Times New Roman"/>
            <w:sz w:val="20"/>
            <w:szCs w:val="20"/>
            <w:lang w:val="pl-PL"/>
          </w:rPr>
          <w:t>standardy-w-zakresieochrony-praw-czlowieka/wybrane-zestawienia-tematyczne-orzecznictwa-etpcz/</w:t>
        </w:r>
      </w:hyperlink>
    </w:p>
  </w:footnote>
  <w:footnote w:id="42">
    <w:p w14:paraId="6BF0B46F" w14:textId="77777777" w:rsidR="00E5701D" w:rsidRPr="00427762" w:rsidRDefault="00E5701D" w:rsidP="00427762">
      <w:pPr>
        <w:pStyle w:val="Tekstprzypisudolnego"/>
        <w:spacing w:line="276" w:lineRule="auto"/>
        <w:jc w:val="both"/>
        <w:rPr>
          <w:rFonts w:ascii="Times New Roman" w:hAnsi="Times New Roman"/>
        </w:rPr>
      </w:pPr>
      <w:r w:rsidRPr="00427762">
        <w:rPr>
          <w:rStyle w:val="Odwoanieprzypisudolnego"/>
          <w:rFonts w:ascii="Times New Roman" w:hAnsi="Times New Roman"/>
        </w:rPr>
        <w:footnoteRef/>
      </w:r>
      <w:r w:rsidRPr="00427762">
        <w:rPr>
          <w:rFonts w:ascii="Times New Roman" w:hAnsi="Times New Roman"/>
        </w:rPr>
        <w:t xml:space="preserve"> </w:t>
      </w:r>
      <w:r w:rsidRPr="00427762">
        <w:rPr>
          <w:rFonts w:ascii="Times New Roman" w:eastAsia="Arial" w:hAnsi="Times New Roman"/>
        </w:rPr>
        <w:t>https: //</w:t>
      </w:r>
      <w:hyperlink r:id="rId6" w:history="1">
        <w:r w:rsidRPr="00427762">
          <w:rPr>
            <w:rStyle w:val="Hipercze"/>
            <w:rFonts w:ascii="Times New Roman" w:hAnsi="Times New Roman"/>
          </w:rPr>
          <w:t>www.uokik.gov.pl/download.php?plik=23183</w:t>
        </w:r>
      </w:hyperlink>
    </w:p>
  </w:footnote>
  <w:footnote w:id="43">
    <w:p w14:paraId="0C46FFDD" w14:textId="77777777" w:rsidR="00E5701D" w:rsidRDefault="00E5701D" w:rsidP="00427762">
      <w:pPr>
        <w:pStyle w:val="Tekstprzypisudolnego"/>
        <w:spacing w:line="276" w:lineRule="auto"/>
        <w:jc w:val="both"/>
      </w:pPr>
      <w:r w:rsidRPr="00427762">
        <w:rPr>
          <w:rStyle w:val="Odwoanieprzypisudolnego"/>
          <w:rFonts w:ascii="Times New Roman" w:hAnsi="Times New Roman"/>
        </w:rPr>
        <w:footnoteRef/>
      </w:r>
      <w:r w:rsidRPr="00427762">
        <w:rPr>
          <w:rFonts w:ascii="Times New Roman" w:hAnsi="Times New Roman"/>
        </w:rPr>
        <w:t xml:space="preserve"> </w:t>
      </w:r>
      <w:hyperlink r:id="rId7" w:history="1">
        <w:r w:rsidRPr="00427762">
          <w:rPr>
            <w:rStyle w:val="Hipercze"/>
            <w:rFonts w:ascii="Times New Roman" w:hAnsi="Times New Roman"/>
          </w:rPr>
          <w:t>https://www.uokik.</w:t>
        </w:r>
        <w:r w:rsidRPr="00427762">
          <w:rPr>
            <w:rStyle w:val="Hipercze"/>
            <w:rFonts w:ascii="Times New Roman" w:hAnsi="Times New Roman"/>
            <w:lang w:val="en-US"/>
          </w:rPr>
          <w:t>gov.pl/download.</w:t>
        </w:r>
        <w:r w:rsidRPr="00427762">
          <w:rPr>
            <w:rStyle w:val="Hipercze"/>
            <w:rFonts w:ascii="Times New Roman" w:hAnsi="Times New Roman"/>
          </w:rPr>
          <w:t>php?plik=22870</w:t>
        </w:r>
      </w:hyperlink>
    </w:p>
  </w:footnote>
  <w:footnote w:id="44">
    <w:p w14:paraId="1AD26661" w14:textId="60B130FB" w:rsidR="00E5701D" w:rsidRPr="00427762" w:rsidRDefault="00E5701D" w:rsidP="00427762">
      <w:pPr>
        <w:pStyle w:val="Stopka2"/>
        <w:shd w:val="clear" w:color="auto" w:fill="auto"/>
        <w:spacing w:line="276" w:lineRule="auto"/>
        <w:ind w:right="20"/>
        <w:jc w:val="both"/>
        <w:rPr>
          <w:rFonts w:ascii="Times New Roman" w:hAnsi="Times New Roman" w:cs="Times New Roman"/>
        </w:rPr>
      </w:pPr>
      <w:r w:rsidRPr="00427762">
        <w:rPr>
          <w:rFonts w:ascii="Times New Roman" w:hAnsi="Times New Roman" w:cs="Times New Roman"/>
          <w:color w:val="000000"/>
          <w:vertAlign w:val="superscript"/>
          <w:lang w:val="pl-PL"/>
        </w:rPr>
        <w:footnoteRef/>
      </w:r>
      <w:r w:rsidRPr="00427762">
        <w:rPr>
          <w:rFonts w:ascii="Times New Roman" w:hAnsi="Times New Roman" w:cs="Times New Roman"/>
          <w:color w:val="000000"/>
          <w:lang w:val="pl-PL"/>
        </w:rPr>
        <w:t xml:space="preserve"> Ustawą z dnia 5 sierpnia 2015 r. o zmianie ustawy o ochronie konkurencji i konsumentó</w:t>
      </w:r>
      <w:r>
        <w:rPr>
          <w:rFonts w:ascii="Times New Roman" w:hAnsi="Times New Roman" w:cs="Times New Roman"/>
          <w:color w:val="000000"/>
          <w:lang w:val="pl-PL"/>
        </w:rPr>
        <w:t xml:space="preserve">w oraz niektórych innych ustaw </w:t>
      </w:r>
      <w:r w:rsidRPr="00427762">
        <w:rPr>
          <w:rFonts w:ascii="Times New Roman" w:hAnsi="Times New Roman" w:cs="Times New Roman"/>
          <w:color w:val="000000"/>
          <w:lang w:val="pl-PL"/>
        </w:rPr>
        <w:t>Dz.U. z 2015 r., poz. 1634), obowiązującą od dnia 17 kwietnia 2016 r. wprowadzono do polskiego systemu prawa Instytucję tajemniczego klienta, czyli możliwość podjęcia czynności zmierzających do zakupu towaru w toku kontroli, z możliwością rejestracji tych czynności. Na podjęcie czynności zmierzających do zakupu towaru oraz zarejestrowania przebiegu tych czynności wymagana jest zgoda Sądu Okręgowego w Warszawie - Sądu Ochrony Konkurencji i Konsumentów udzielana na wniosek Prezesa Urzędu. Wprowadzenie tej instytucji stanowi reakcję na zaobserwowane zachowania przedsiębiorców i umożliwia UOKiK podejmowanie szybkiej reakcji i pozyskanie dowodów w sprawie.</w:t>
      </w:r>
    </w:p>
  </w:footnote>
  <w:footnote w:id="45">
    <w:p w14:paraId="14AE4758" w14:textId="77777777" w:rsidR="00E5701D" w:rsidRPr="00631378" w:rsidRDefault="00E5701D" w:rsidP="00020479">
      <w:pPr>
        <w:spacing w:after="0"/>
        <w:jc w:val="both"/>
        <w:rPr>
          <w:rFonts w:ascii="Times New Roman" w:hAnsi="Times New Roman" w:cs="Times New Roman"/>
          <w:sz w:val="20"/>
          <w:szCs w:val="20"/>
        </w:rPr>
      </w:pPr>
      <w:r w:rsidRPr="00631378">
        <w:rPr>
          <w:rStyle w:val="Odwoanieprzypisudolnego"/>
          <w:rFonts w:ascii="Times New Roman" w:hAnsi="Times New Roman" w:cs="Times New Roman"/>
          <w:sz w:val="20"/>
          <w:szCs w:val="20"/>
        </w:rPr>
        <w:footnoteRef/>
      </w:r>
      <w:r w:rsidRPr="00631378">
        <w:rPr>
          <w:rFonts w:ascii="Times New Roman" w:hAnsi="Times New Roman" w:cs="Times New Roman"/>
          <w:sz w:val="20"/>
          <w:szCs w:val="20"/>
        </w:rPr>
        <w:t xml:space="preserve"> </w:t>
      </w:r>
      <w:hyperlink r:id="rId8" w:history="1">
        <w:r w:rsidRPr="00631378">
          <w:rPr>
            <w:rStyle w:val="Hipercze"/>
            <w:rFonts w:ascii="Times New Roman" w:hAnsi="Times New Roman" w:cs="Times New Roman"/>
            <w:sz w:val="20"/>
            <w:szCs w:val="20"/>
          </w:rPr>
          <w:t>https://dops.wroc.pl/strategia/DSIS_20142020.pdf</w:t>
        </w:r>
      </w:hyperlink>
    </w:p>
  </w:footnote>
  <w:footnote w:id="46">
    <w:p w14:paraId="7CF3C5F8" w14:textId="77777777" w:rsidR="00E5701D" w:rsidRPr="00631378" w:rsidRDefault="00E5701D" w:rsidP="00020479">
      <w:pPr>
        <w:spacing w:after="0"/>
        <w:jc w:val="both"/>
        <w:rPr>
          <w:rFonts w:ascii="Times New Roman" w:hAnsi="Times New Roman" w:cs="Times New Roman"/>
          <w:sz w:val="20"/>
          <w:szCs w:val="20"/>
        </w:rPr>
      </w:pPr>
      <w:r w:rsidRPr="00631378">
        <w:rPr>
          <w:rStyle w:val="Odwoanieprzypisudolnego"/>
          <w:rFonts w:ascii="Times New Roman" w:hAnsi="Times New Roman" w:cs="Times New Roman"/>
          <w:sz w:val="20"/>
          <w:szCs w:val="20"/>
        </w:rPr>
        <w:footnoteRef/>
      </w:r>
      <w:r w:rsidRPr="00631378">
        <w:rPr>
          <w:rFonts w:ascii="Times New Roman" w:hAnsi="Times New Roman" w:cs="Times New Roman"/>
          <w:sz w:val="20"/>
          <w:szCs w:val="20"/>
        </w:rPr>
        <w:t xml:space="preserve"> </w:t>
      </w:r>
      <w:hyperlink r:id="rId9" w:history="1">
        <w:r w:rsidRPr="00631378">
          <w:rPr>
            <w:rStyle w:val="Hipercze"/>
            <w:rFonts w:ascii="Times New Roman" w:hAnsi="Times New Roman" w:cs="Times New Roman"/>
            <w:sz w:val="20"/>
            <w:szCs w:val="20"/>
          </w:rPr>
          <w:t>file:///D:/18.06.2020%20seniorzy%20gus/Seniorzy-_Piotr_Klag.pdf</w:t>
        </w:r>
      </w:hyperlink>
    </w:p>
  </w:footnote>
  <w:footnote w:id="47">
    <w:p w14:paraId="2EFEB47B" w14:textId="77777777" w:rsidR="00E5701D" w:rsidRPr="00020479" w:rsidRDefault="00E5701D" w:rsidP="00020479">
      <w:pPr>
        <w:spacing w:after="0"/>
        <w:jc w:val="both"/>
        <w:rPr>
          <w:rFonts w:ascii="Times New Roman" w:hAnsi="Times New Roman" w:cs="Times New Roman"/>
          <w:sz w:val="24"/>
          <w:szCs w:val="24"/>
        </w:rPr>
      </w:pPr>
      <w:r w:rsidRPr="00631378">
        <w:rPr>
          <w:rStyle w:val="Odwoanieprzypisudolnego"/>
          <w:rFonts w:ascii="Times New Roman" w:hAnsi="Times New Roman" w:cs="Times New Roman"/>
          <w:sz w:val="20"/>
          <w:szCs w:val="20"/>
        </w:rPr>
        <w:footnoteRef/>
      </w:r>
      <w:r w:rsidRPr="00631378">
        <w:rPr>
          <w:rFonts w:ascii="Times New Roman" w:hAnsi="Times New Roman" w:cs="Times New Roman"/>
          <w:sz w:val="20"/>
          <w:szCs w:val="20"/>
        </w:rPr>
        <w:t xml:space="preserve"> </w:t>
      </w:r>
      <w:hyperlink r:id="rId10" w:history="1">
        <w:r w:rsidRPr="00631378">
          <w:rPr>
            <w:rStyle w:val="Hipercze"/>
            <w:rFonts w:ascii="Times New Roman" w:hAnsi="Times New Roman" w:cs="Times New Roman"/>
            <w:sz w:val="20"/>
            <w:szCs w:val="20"/>
          </w:rPr>
          <w:t>https://www.dops.wroc.pl/dane_adresowe.php</w:t>
        </w:r>
      </w:hyperlink>
    </w:p>
  </w:footnote>
  <w:footnote w:id="48">
    <w:p w14:paraId="7C5E900C" w14:textId="77777777" w:rsidR="00E5701D" w:rsidRPr="00631378" w:rsidRDefault="00E5701D" w:rsidP="00C11E37">
      <w:pPr>
        <w:spacing w:after="0"/>
        <w:jc w:val="both"/>
        <w:rPr>
          <w:rFonts w:ascii="Times New Roman" w:hAnsi="Times New Roman" w:cs="Times New Roman"/>
          <w:sz w:val="20"/>
          <w:szCs w:val="20"/>
        </w:rPr>
      </w:pPr>
      <w:r w:rsidRPr="00631378">
        <w:rPr>
          <w:rStyle w:val="Odwoanieprzypisudolnego"/>
          <w:rFonts w:ascii="Times New Roman" w:hAnsi="Times New Roman" w:cs="Times New Roman"/>
          <w:sz w:val="20"/>
          <w:szCs w:val="20"/>
        </w:rPr>
        <w:footnoteRef/>
      </w:r>
      <w:r w:rsidRPr="00631378">
        <w:rPr>
          <w:rFonts w:ascii="Times New Roman" w:hAnsi="Times New Roman" w:cs="Times New Roman"/>
          <w:sz w:val="20"/>
          <w:szCs w:val="20"/>
        </w:rPr>
        <w:t xml:space="preserve"> Wszystkie te publikacje są dostępne w wersji „do pobrania” na stronie internetowej DOPS  w zakładce publikacje </w:t>
      </w:r>
      <w:hyperlink r:id="rId11" w:history="1">
        <w:r w:rsidRPr="00631378">
          <w:rPr>
            <w:rStyle w:val="Hipercze"/>
            <w:rFonts w:ascii="Times New Roman" w:hAnsi="Times New Roman" w:cs="Times New Roman"/>
            <w:sz w:val="20"/>
            <w:szCs w:val="20"/>
          </w:rPr>
          <w:t>https://www.dops.wroc.pl/publikacje.php</w:t>
        </w:r>
      </w:hyperlink>
    </w:p>
  </w:footnote>
  <w:footnote w:id="49">
    <w:p w14:paraId="52C9137F" w14:textId="77777777" w:rsidR="00E5701D" w:rsidRPr="00631378" w:rsidRDefault="00E5701D">
      <w:pPr>
        <w:pStyle w:val="Tekstprzypisudolnego"/>
        <w:rPr>
          <w:rFonts w:ascii="Times New Roman" w:hAnsi="Times New Roman"/>
        </w:rPr>
      </w:pPr>
      <w:r w:rsidRPr="00631378">
        <w:rPr>
          <w:rStyle w:val="Odwoanieprzypisudolnego"/>
          <w:rFonts w:ascii="Times New Roman" w:hAnsi="Times New Roman"/>
        </w:rPr>
        <w:footnoteRef/>
      </w:r>
      <w:r w:rsidRPr="00631378">
        <w:rPr>
          <w:rFonts w:ascii="Times New Roman" w:hAnsi="Times New Roman"/>
        </w:rPr>
        <w:t xml:space="preserve"> </w:t>
      </w:r>
      <w:hyperlink r:id="rId12" w:history="1">
        <w:r w:rsidRPr="00631378">
          <w:rPr>
            <w:rStyle w:val="Hipercze"/>
            <w:rFonts w:ascii="Times New Roman" w:hAnsi="Times New Roman"/>
          </w:rPr>
          <w:t>http://utw.swidnica.pl/</w:t>
        </w:r>
      </w:hyperlink>
    </w:p>
  </w:footnote>
  <w:footnote w:id="50">
    <w:p w14:paraId="06FDC1C9" w14:textId="77777777" w:rsidR="00E5701D" w:rsidRPr="00631378" w:rsidRDefault="00E5701D" w:rsidP="00C11E37">
      <w:pPr>
        <w:spacing w:after="0"/>
        <w:ind w:left="180" w:hanging="180"/>
        <w:jc w:val="both"/>
        <w:rPr>
          <w:rFonts w:ascii="Times New Roman" w:hAnsi="Times New Roman" w:cs="Times New Roman"/>
          <w:sz w:val="20"/>
          <w:szCs w:val="20"/>
        </w:rPr>
      </w:pPr>
      <w:r w:rsidRPr="00631378">
        <w:rPr>
          <w:rStyle w:val="Odwoanieprzypisudolnego"/>
          <w:rFonts w:ascii="Times New Roman" w:hAnsi="Times New Roman" w:cs="Times New Roman"/>
          <w:sz w:val="20"/>
          <w:szCs w:val="20"/>
        </w:rPr>
        <w:footnoteRef/>
      </w:r>
      <w:r w:rsidRPr="00631378">
        <w:rPr>
          <w:rFonts w:ascii="Times New Roman" w:hAnsi="Times New Roman" w:cs="Times New Roman"/>
          <w:sz w:val="20"/>
          <w:szCs w:val="20"/>
        </w:rPr>
        <w:t xml:space="preserve"> </w:t>
      </w:r>
      <w:hyperlink r:id="rId13" w:history="1">
        <w:r w:rsidRPr="00631378">
          <w:rPr>
            <w:rStyle w:val="Hipercze"/>
            <w:rFonts w:ascii="Times New Roman" w:hAnsi="Times New Roman" w:cs="Times New Roman"/>
            <w:sz w:val="20"/>
            <w:szCs w:val="20"/>
          </w:rPr>
          <w:t>https://muzyczneradio.pl/index.php/articles/24702/forum-utw-w-szklarskiej-porebie.html</w:t>
        </w:r>
      </w:hyperlink>
    </w:p>
  </w:footnote>
  <w:footnote w:id="51">
    <w:p w14:paraId="4FFFFCE8" w14:textId="77777777" w:rsidR="00E5701D" w:rsidRPr="00631378" w:rsidRDefault="00E5701D" w:rsidP="00C11E37">
      <w:pPr>
        <w:spacing w:after="0"/>
        <w:ind w:left="180" w:hanging="180"/>
        <w:jc w:val="both"/>
        <w:rPr>
          <w:rFonts w:ascii="Times New Roman" w:hAnsi="Times New Roman" w:cs="Times New Roman"/>
          <w:sz w:val="20"/>
          <w:szCs w:val="20"/>
        </w:rPr>
      </w:pPr>
      <w:r w:rsidRPr="00631378">
        <w:rPr>
          <w:rStyle w:val="Odwoanieprzypisudolnego"/>
          <w:rFonts w:ascii="Times New Roman" w:hAnsi="Times New Roman" w:cs="Times New Roman"/>
          <w:sz w:val="20"/>
          <w:szCs w:val="20"/>
        </w:rPr>
        <w:footnoteRef/>
      </w:r>
      <w:r w:rsidRPr="00631378">
        <w:rPr>
          <w:rFonts w:ascii="Times New Roman" w:hAnsi="Times New Roman" w:cs="Times New Roman"/>
          <w:sz w:val="20"/>
          <w:szCs w:val="20"/>
        </w:rPr>
        <w:t xml:space="preserve"> </w:t>
      </w:r>
      <w:hyperlink r:id="rId14" w:history="1">
        <w:r w:rsidRPr="00631378">
          <w:rPr>
            <w:rStyle w:val="Hipercze"/>
            <w:rFonts w:ascii="Times New Roman" w:hAnsi="Times New Roman" w:cs="Times New Roman"/>
            <w:sz w:val="20"/>
            <w:szCs w:val="20"/>
          </w:rPr>
          <w:t>http://www.mspdion.org.pl/zdrowy-styl-zycia-osob-60/372/news/706/entry/3388</w:t>
        </w:r>
      </w:hyperlink>
    </w:p>
  </w:footnote>
  <w:footnote w:id="52">
    <w:p w14:paraId="2A9635A9" w14:textId="77777777" w:rsidR="00E5701D" w:rsidRPr="00631378" w:rsidRDefault="00E5701D" w:rsidP="00C11E37">
      <w:pPr>
        <w:spacing w:after="0"/>
        <w:jc w:val="both"/>
        <w:rPr>
          <w:rFonts w:ascii="Times New Roman" w:hAnsi="Times New Roman" w:cs="Times New Roman"/>
          <w:sz w:val="20"/>
          <w:szCs w:val="20"/>
        </w:rPr>
      </w:pPr>
      <w:r w:rsidRPr="00631378">
        <w:rPr>
          <w:rStyle w:val="Odwoanieprzypisudolnego"/>
          <w:rFonts w:ascii="Times New Roman" w:hAnsi="Times New Roman" w:cs="Times New Roman"/>
          <w:sz w:val="20"/>
          <w:szCs w:val="20"/>
        </w:rPr>
        <w:footnoteRef/>
      </w:r>
      <w:r w:rsidRPr="00631378">
        <w:rPr>
          <w:rFonts w:ascii="Times New Roman" w:hAnsi="Times New Roman" w:cs="Times New Roman"/>
          <w:sz w:val="20"/>
          <w:szCs w:val="20"/>
        </w:rPr>
        <w:t xml:space="preserve"> </w:t>
      </w:r>
      <w:hyperlink r:id="rId15" w:history="1">
        <w:r w:rsidRPr="00631378">
          <w:rPr>
            <w:rStyle w:val="Hipercze"/>
            <w:rFonts w:ascii="Times New Roman" w:hAnsi="Times New Roman" w:cs="Times New Roman"/>
            <w:sz w:val="20"/>
            <w:szCs w:val="20"/>
          </w:rPr>
          <w:t>http://fundacja-prana.pl/index.php/projekty-zakonczone/</w:t>
        </w:r>
      </w:hyperlink>
    </w:p>
  </w:footnote>
  <w:footnote w:id="53">
    <w:p w14:paraId="5F956504" w14:textId="77777777" w:rsidR="00E5701D" w:rsidRPr="00631378" w:rsidRDefault="00E5701D" w:rsidP="00C11E37">
      <w:pPr>
        <w:spacing w:after="0"/>
        <w:ind w:left="180" w:hanging="180"/>
        <w:jc w:val="both"/>
        <w:rPr>
          <w:rFonts w:ascii="Times New Roman" w:hAnsi="Times New Roman" w:cs="Times New Roman"/>
          <w:sz w:val="20"/>
          <w:szCs w:val="20"/>
        </w:rPr>
      </w:pPr>
      <w:r w:rsidRPr="00631378">
        <w:rPr>
          <w:rStyle w:val="Odwoanieprzypisudolnego"/>
          <w:rFonts w:ascii="Times New Roman" w:hAnsi="Times New Roman" w:cs="Times New Roman"/>
          <w:sz w:val="20"/>
          <w:szCs w:val="20"/>
        </w:rPr>
        <w:footnoteRef/>
      </w:r>
      <w:r w:rsidRPr="00631378">
        <w:rPr>
          <w:rFonts w:ascii="Times New Roman" w:hAnsi="Times New Roman" w:cs="Times New Roman"/>
          <w:sz w:val="20"/>
          <w:szCs w:val="20"/>
        </w:rPr>
        <w:t xml:space="preserve"> </w:t>
      </w:r>
      <w:hyperlink r:id="rId16" w:history="1">
        <w:r w:rsidRPr="00631378">
          <w:rPr>
            <w:rStyle w:val="Hipercze"/>
            <w:rFonts w:ascii="Times New Roman" w:hAnsi="Times New Roman" w:cs="Times New Roman"/>
            <w:sz w:val="20"/>
            <w:szCs w:val="20"/>
          </w:rPr>
          <w:t>http://www.seniorzy.wroclaw.pl/node/910</w:t>
        </w:r>
      </w:hyperlink>
    </w:p>
  </w:footnote>
  <w:footnote w:id="54">
    <w:p w14:paraId="01513561" w14:textId="77777777" w:rsidR="00E5701D" w:rsidRPr="00C11E37" w:rsidRDefault="00E5701D" w:rsidP="00C11E37">
      <w:pPr>
        <w:spacing w:after="0"/>
        <w:jc w:val="both"/>
        <w:rPr>
          <w:rFonts w:ascii="Times New Roman" w:hAnsi="Times New Roman" w:cs="Times New Roman"/>
          <w:sz w:val="24"/>
          <w:szCs w:val="24"/>
        </w:rPr>
      </w:pPr>
      <w:r w:rsidRPr="00631378">
        <w:rPr>
          <w:rStyle w:val="Odwoanieprzypisudolnego"/>
          <w:rFonts w:ascii="Times New Roman" w:hAnsi="Times New Roman" w:cs="Times New Roman"/>
          <w:sz w:val="20"/>
          <w:szCs w:val="20"/>
        </w:rPr>
        <w:footnoteRef/>
      </w:r>
      <w:hyperlink r:id="rId17" w:history="1">
        <w:r w:rsidRPr="00631378">
          <w:rPr>
            <w:rStyle w:val="Hipercze"/>
            <w:rFonts w:ascii="Times New Roman" w:hAnsi="Times New Roman" w:cs="Times New Roman"/>
            <w:sz w:val="20"/>
            <w:szCs w:val="20"/>
          </w:rPr>
          <w:t>http://zabkowice.express-miejski.pl/wiadomosc/36688,bo-radosc-jest-w-nas-vii-dolnoslaski-przeglad-artystycznie-zakreconych-seniorow-foto</w:t>
        </w:r>
      </w:hyperlink>
    </w:p>
  </w:footnote>
  <w:footnote w:id="55">
    <w:p w14:paraId="2379856F" w14:textId="77777777" w:rsidR="00E5701D" w:rsidRPr="00631378" w:rsidRDefault="00E5701D" w:rsidP="00A308B5">
      <w:pPr>
        <w:spacing w:after="0"/>
        <w:jc w:val="both"/>
        <w:rPr>
          <w:rFonts w:ascii="Times New Roman" w:hAnsi="Times New Roman" w:cs="Times New Roman"/>
          <w:color w:val="0563C1" w:themeColor="hyperlink"/>
          <w:sz w:val="20"/>
          <w:szCs w:val="20"/>
          <w:u w:val="single"/>
        </w:rPr>
      </w:pPr>
      <w:r w:rsidRPr="00631378">
        <w:rPr>
          <w:rStyle w:val="Odwoanieprzypisudolnego"/>
          <w:rFonts w:ascii="Times New Roman" w:hAnsi="Times New Roman" w:cs="Times New Roman"/>
          <w:sz w:val="20"/>
          <w:szCs w:val="20"/>
        </w:rPr>
        <w:footnoteRef/>
      </w:r>
      <w:hyperlink r:id="rId18" w:history="1">
        <w:r w:rsidRPr="00631378">
          <w:rPr>
            <w:rStyle w:val="Hipercze"/>
            <w:rFonts w:ascii="Times New Roman" w:hAnsi="Times New Roman" w:cs="Times New Roman"/>
            <w:sz w:val="20"/>
            <w:szCs w:val="20"/>
          </w:rPr>
          <w:t>https://samorzad.pap.pl/klubsamorzadowy/polkowice/kategoria/wiadomosciklubowe/polkowice-leki-juz-za-darmo</w:t>
        </w:r>
      </w:hyperlink>
    </w:p>
  </w:footnote>
  <w:footnote w:id="56">
    <w:p w14:paraId="0800B9D6" w14:textId="77777777" w:rsidR="00E5701D" w:rsidRPr="00631378" w:rsidRDefault="00E5701D" w:rsidP="00A308B5">
      <w:pPr>
        <w:spacing w:after="0"/>
        <w:jc w:val="both"/>
        <w:rPr>
          <w:rFonts w:ascii="Times New Roman" w:hAnsi="Times New Roman" w:cs="Times New Roman"/>
          <w:sz w:val="20"/>
          <w:szCs w:val="20"/>
        </w:rPr>
      </w:pPr>
      <w:r w:rsidRPr="00631378">
        <w:rPr>
          <w:rStyle w:val="Odwoanieprzypisudolnego"/>
          <w:sz w:val="20"/>
          <w:szCs w:val="20"/>
        </w:rPr>
        <w:footnoteRef/>
      </w:r>
      <w:r w:rsidRPr="00631378">
        <w:rPr>
          <w:sz w:val="20"/>
          <w:szCs w:val="20"/>
        </w:rPr>
        <w:t xml:space="preserve"> </w:t>
      </w:r>
      <w:hyperlink r:id="rId19" w:history="1">
        <w:r w:rsidRPr="00631378">
          <w:rPr>
            <w:rStyle w:val="Hipercze"/>
            <w:rFonts w:ascii="Times New Roman" w:hAnsi="Times New Roman" w:cs="Times New Roman"/>
            <w:sz w:val="20"/>
            <w:szCs w:val="20"/>
          </w:rPr>
          <w:t>https://www.wroclaw.pl/portal/files/dokumenty/30060/Raport_o_stanie_gminy_2019.pdf</w:t>
        </w:r>
      </w:hyperlink>
    </w:p>
  </w:footnote>
  <w:footnote w:id="57">
    <w:p w14:paraId="1EE602CD" w14:textId="77777777" w:rsidR="00E5701D" w:rsidRPr="00631378" w:rsidRDefault="00E5701D" w:rsidP="0050177A">
      <w:pPr>
        <w:pStyle w:val="Tekstprzypisudolnego"/>
        <w:jc w:val="both"/>
        <w:rPr>
          <w:rFonts w:ascii="Times New Roman" w:hAnsi="Times New Roman"/>
        </w:rPr>
      </w:pPr>
      <w:r w:rsidRPr="00631378">
        <w:rPr>
          <w:rStyle w:val="Odwoanieprzypisudolnego"/>
          <w:rFonts w:ascii="Times New Roman" w:hAnsi="Times New Roman"/>
        </w:rPr>
        <w:footnoteRef/>
      </w:r>
      <w:r w:rsidRPr="00631378">
        <w:rPr>
          <w:rFonts w:ascii="Times New Roman" w:hAnsi="Times New Roman"/>
        </w:rPr>
        <w:t xml:space="preserve"> Na postawie „Raportu o stanie Województwa Kujawsko-Pomorskiego w 2019 r.”, </w:t>
      </w:r>
      <w:r w:rsidRPr="00631378">
        <w:rPr>
          <w:rFonts w:ascii="Times New Roman" w:eastAsia="CIDFont+F4" w:hAnsi="Times New Roman"/>
        </w:rPr>
        <w:t>Załącznik do uchwały nr 16/675/20 Zarządu Województwa Kujawsko-Pomorskiego z dnia 29 kwietnia 2020 r.</w:t>
      </w:r>
      <w:r w:rsidRPr="00631378">
        <w:rPr>
          <w:rFonts w:ascii="Times New Roman" w:hAnsi="Times New Roman"/>
        </w:rPr>
        <w:t>, s. 75.</w:t>
      </w:r>
    </w:p>
  </w:footnote>
  <w:footnote w:id="58">
    <w:p w14:paraId="79062934" w14:textId="77777777" w:rsidR="00E5701D" w:rsidRPr="00631378" w:rsidRDefault="00E5701D" w:rsidP="0050177A">
      <w:pPr>
        <w:pStyle w:val="Tekstprzypisudolnego"/>
        <w:jc w:val="both"/>
        <w:rPr>
          <w:rFonts w:ascii="Times New Roman" w:hAnsi="Times New Roman"/>
        </w:rPr>
      </w:pPr>
      <w:r w:rsidRPr="00631378">
        <w:rPr>
          <w:rStyle w:val="Odwoanieprzypisudolnego"/>
          <w:rFonts w:ascii="Times New Roman" w:hAnsi="Times New Roman"/>
        </w:rPr>
        <w:footnoteRef/>
      </w:r>
      <w:hyperlink r:id="rId20" w:history="1">
        <w:r w:rsidRPr="00631378">
          <w:rPr>
            <w:rStyle w:val="Hipercze"/>
            <w:rFonts w:ascii="Times New Roman" w:hAnsi="Times New Roman"/>
          </w:rPr>
          <w:t>https://kujawsko-pomorskie.pl/informacje-prasowe/34594-marszalkowskie-dotacje-na-zajecia-dla-aktywnych-seniorow</w:t>
        </w:r>
      </w:hyperlink>
      <w:r w:rsidRPr="00631378">
        <w:rPr>
          <w:rFonts w:ascii="Times New Roman" w:hAnsi="Times New Roman"/>
        </w:rPr>
        <w:t xml:space="preserve"> (data korzystania 10.06.20 r.)</w:t>
      </w:r>
    </w:p>
  </w:footnote>
  <w:footnote w:id="59">
    <w:p w14:paraId="7C67B752" w14:textId="77777777" w:rsidR="00E5701D" w:rsidRPr="00631378" w:rsidRDefault="00E5701D" w:rsidP="00631378">
      <w:pPr>
        <w:pStyle w:val="NormalnyWeb"/>
        <w:spacing w:after="0"/>
        <w:jc w:val="both"/>
        <w:rPr>
          <w:sz w:val="20"/>
        </w:rPr>
      </w:pPr>
      <w:r w:rsidRPr="00631378">
        <w:rPr>
          <w:rStyle w:val="Odwoanieprzypisudolnego"/>
          <w:sz w:val="20"/>
        </w:rPr>
        <w:footnoteRef/>
      </w:r>
      <w:r w:rsidRPr="00631378">
        <w:rPr>
          <w:sz w:val="20"/>
        </w:rPr>
        <w:t xml:space="preserve"> </w:t>
      </w:r>
      <w:hyperlink r:id="rId21" w:history="1">
        <w:r w:rsidRPr="00631378">
          <w:rPr>
            <w:rStyle w:val="Hipercze"/>
            <w:sz w:val="20"/>
          </w:rPr>
          <w:t>https://www.razemzmieniamyswiat.pl/#</w:t>
        </w:r>
      </w:hyperlink>
      <w:r w:rsidRPr="00631378">
        <w:rPr>
          <w:sz w:val="20"/>
        </w:rPr>
        <w:t xml:space="preserve"> oraz </w:t>
      </w:r>
      <w:hyperlink r:id="rId22" w:history="1">
        <w:r w:rsidRPr="00631378">
          <w:rPr>
            <w:rStyle w:val="Hipercze"/>
            <w:sz w:val="20"/>
          </w:rPr>
          <w:t>https://damy-rade.info/</w:t>
        </w:r>
      </w:hyperlink>
    </w:p>
    <w:p w14:paraId="31F0BDF3" w14:textId="77777777" w:rsidR="00E5701D" w:rsidRDefault="00E5701D">
      <w:pPr>
        <w:pStyle w:val="Tekstprzypisudolnego"/>
      </w:pPr>
    </w:p>
  </w:footnote>
  <w:footnote w:id="60">
    <w:p w14:paraId="7BB3E22C" w14:textId="77777777" w:rsidR="00E5701D" w:rsidRPr="00631378" w:rsidRDefault="00E5701D" w:rsidP="0050177A">
      <w:pPr>
        <w:pStyle w:val="Tekstprzypisudolnego"/>
        <w:jc w:val="both"/>
        <w:rPr>
          <w:rFonts w:ascii="Times New Roman" w:hAnsi="Times New Roman"/>
        </w:rPr>
      </w:pPr>
      <w:r w:rsidRPr="00631378">
        <w:rPr>
          <w:rStyle w:val="Odwoanieprzypisudolnego"/>
          <w:rFonts w:ascii="Times New Roman" w:hAnsi="Times New Roman"/>
        </w:rPr>
        <w:footnoteRef/>
      </w:r>
      <w:r w:rsidRPr="00631378">
        <w:rPr>
          <w:rFonts w:ascii="Times New Roman" w:hAnsi="Times New Roman"/>
        </w:rPr>
        <w:t xml:space="preserve"> Informacja przygotowana na podstawie folderów informacyjnych opracowanych przez WSG oraz </w:t>
      </w:r>
      <w:hyperlink r:id="rId23" w:history="1">
        <w:r w:rsidRPr="00631378">
          <w:rPr>
            <w:rStyle w:val="Hipercze"/>
            <w:rFonts w:ascii="Times New Roman" w:hAnsi="Times New Roman"/>
          </w:rPr>
          <w:t>http://www.u3w.byd.pl/id,122/rsutw-wsg</w:t>
        </w:r>
      </w:hyperlink>
      <w:r w:rsidRPr="00631378">
        <w:rPr>
          <w:rFonts w:ascii="Times New Roman" w:hAnsi="Times New Roman"/>
        </w:rPr>
        <w:t xml:space="preserve"> (data korzystania 16.06.20 r.).</w:t>
      </w:r>
    </w:p>
  </w:footnote>
  <w:footnote w:id="61">
    <w:p w14:paraId="3EF8BC74" w14:textId="77777777" w:rsidR="00E5701D" w:rsidRPr="00631378" w:rsidRDefault="00E5701D" w:rsidP="0090614F">
      <w:pPr>
        <w:spacing w:after="0"/>
        <w:jc w:val="both"/>
        <w:rPr>
          <w:rStyle w:val="Hipercze"/>
          <w:rFonts w:ascii="Times New Roman" w:hAnsi="Times New Roman" w:cs="Times New Roman"/>
          <w:color w:val="auto"/>
          <w:sz w:val="20"/>
          <w:szCs w:val="20"/>
          <w:u w:val="none"/>
        </w:rPr>
      </w:pPr>
      <w:r w:rsidRPr="00631378">
        <w:rPr>
          <w:rStyle w:val="Odwoanieprzypisudolnego"/>
          <w:rFonts w:ascii="Times New Roman" w:hAnsi="Times New Roman" w:cs="Times New Roman"/>
          <w:sz w:val="20"/>
          <w:szCs w:val="20"/>
        </w:rPr>
        <w:footnoteRef/>
      </w:r>
      <w:hyperlink r:id="rId24" w:history="1">
        <w:r w:rsidRPr="00631378">
          <w:rPr>
            <w:rStyle w:val="Hipercze"/>
            <w:rFonts w:ascii="Times New Roman" w:hAnsi="Times New Roman" w:cs="Times New Roman"/>
            <w:sz w:val="20"/>
            <w:szCs w:val="20"/>
          </w:rPr>
          <w:t>https://www.bydgoszcz.pl/seniorzy/bydgoskie-biuro-seniora/</w:t>
        </w:r>
      </w:hyperlink>
    </w:p>
    <w:p w14:paraId="67627B64" w14:textId="77777777" w:rsidR="00E5701D" w:rsidRDefault="00E5701D">
      <w:pPr>
        <w:pStyle w:val="Tekstprzypisudolnego"/>
      </w:pPr>
    </w:p>
  </w:footnote>
  <w:footnote w:id="62">
    <w:p w14:paraId="48248F95" w14:textId="77777777" w:rsidR="00E5701D" w:rsidRPr="006145C4" w:rsidRDefault="00E5701D" w:rsidP="0050177A">
      <w:pPr>
        <w:pStyle w:val="Tekstprzypisudolnego"/>
        <w:jc w:val="both"/>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Na postawie „Raportu o stanie Województwa Kujawsko-Pomorskiego w 2019 r.”, </w:t>
      </w:r>
      <w:r w:rsidRPr="006145C4">
        <w:rPr>
          <w:rFonts w:ascii="Times New Roman" w:eastAsia="CIDFont+F4" w:hAnsi="Times New Roman"/>
        </w:rPr>
        <w:t>Załącznik do uchwały nr 16/675/20 Zarządu Województwa Kujawsko-Pomorskiego z dnia 29 kwietnia 2020 r.</w:t>
      </w:r>
      <w:r w:rsidRPr="006145C4">
        <w:rPr>
          <w:rFonts w:ascii="Times New Roman" w:hAnsi="Times New Roman"/>
        </w:rPr>
        <w:t>, s. 75.</w:t>
      </w:r>
    </w:p>
  </w:footnote>
  <w:footnote w:id="63">
    <w:p w14:paraId="3DA52251" w14:textId="77777777" w:rsidR="00E5701D" w:rsidRPr="006145C4" w:rsidRDefault="00E5701D" w:rsidP="0050177A">
      <w:pPr>
        <w:pStyle w:val="Tekstprzypisudolnego"/>
        <w:jc w:val="both"/>
        <w:rPr>
          <w:rFonts w:ascii="Times New Roman" w:hAnsi="Times New Roman"/>
        </w:rPr>
      </w:pPr>
      <w:r w:rsidRPr="006145C4">
        <w:rPr>
          <w:rStyle w:val="Odwoanieprzypisudolnego"/>
          <w:rFonts w:ascii="Times New Roman" w:hAnsi="Times New Roman"/>
        </w:rPr>
        <w:footnoteRef/>
      </w:r>
      <w:hyperlink r:id="rId25" w:history="1">
        <w:r w:rsidRPr="006145C4">
          <w:rPr>
            <w:rStyle w:val="Hipercze"/>
            <w:rFonts w:ascii="Times New Roman" w:hAnsi="Times New Roman"/>
          </w:rPr>
          <w:t>https://grudziadz.pl/artykul/69/14870/zakochaj-sie-w-zyciu-po-60-tce</w:t>
        </w:r>
      </w:hyperlink>
      <w:r w:rsidRPr="006145C4">
        <w:rPr>
          <w:rFonts w:ascii="Times New Roman" w:hAnsi="Times New Roman"/>
        </w:rPr>
        <w:t xml:space="preserve"> (data korzystania 15.06.20 r.)</w:t>
      </w:r>
    </w:p>
  </w:footnote>
  <w:footnote w:id="64">
    <w:p w14:paraId="03225971" w14:textId="77777777" w:rsidR="00E5701D" w:rsidRPr="006145C4" w:rsidRDefault="00E5701D" w:rsidP="0050177A">
      <w:pPr>
        <w:pStyle w:val="Tekstprzypisudolnego"/>
        <w:jc w:val="both"/>
        <w:rPr>
          <w:rFonts w:ascii="Times New Roman" w:hAnsi="Times New Roman"/>
        </w:rPr>
      </w:pPr>
      <w:r w:rsidRPr="006145C4">
        <w:rPr>
          <w:rStyle w:val="Odwoanieprzypisudolnego"/>
          <w:rFonts w:ascii="Times New Roman" w:hAnsi="Times New Roman"/>
        </w:rPr>
        <w:footnoteRef/>
      </w:r>
      <w:hyperlink r:id="rId26" w:history="1">
        <w:r w:rsidRPr="006145C4">
          <w:rPr>
            <w:rStyle w:val="Hipercze"/>
            <w:rFonts w:ascii="Times New Roman" w:hAnsi="Times New Roman"/>
          </w:rPr>
          <w:t>https://www.bydgoszcz.pl/seniorzy/aktualnosci/srebrny-wolontariat-seniorzy-pomagaja-zwierzetom/</w:t>
        </w:r>
      </w:hyperlink>
      <w:r w:rsidRPr="006145C4">
        <w:rPr>
          <w:rFonts w:ascii="Times New Roman" w:hAnsi="Times New Roman"/>
        </w:rPr>
        <w:t xml:space="preserve"> (data korzystania 15.06.20 r.)</w:t>
      </w:r>
    </w:p>
  </w:footnote>
  <w:footnote w:id="65">
    <w:p w14:paraId="57CDF9A0" w14:textId="77777777" w:rsidR="00E5701D" w:rsidRPr="006145C4" w:rsidRDefault="00E5701D" w:rsidP="0050177A">
      <w:pPr>
        <w:pStyle w:val="Tekstprzypisudolnego"/>
        <w:jc w:val="both"/>
        <w:rPr>
          <w:rFonts w:ascii="Times New Roman" w:hAnsi="Times New Roman"/>
        </w:rPr>
      </w:pPr>
      <w:r w:rsidRPr="006145C4">
        <w:rPr>
          <w:rStyle w:val="Odwoanieprzypisudolnego"/>
          <w:rFonts w:ascii="Times New Roman" w:hAnsi="Times New Roman"/>
        </w:rPr>
        <w:footnoteRef/>
      </w:r>
      <w:hyperlink r:id="rId27" w:history="1">
        <w:r w:rsidRPr="006145C4">
          <w:rPr>
            <w:rStyle w:val="Hipercze"/>
            <w:rFonts w:ascii="Times New Roman" w:hAnsi="Times New Roman"/>
          </w:rPr>
          <w:t>https://www.bydgoszcz.pl/aktualnosci/tresc/powstana-mieszkania-dedykowane-seniorom-1/</w:t>
        </w:r>
      </w:hyperlink>
      <w:r w:rsidRPr="006145C4">
        <w:rPr>
          <w:rFonts w:ascii="Times New Roman" w:hAnsi="Times New Roman"/>
        </w:rPr>
        <w:t xml:space="preserve"> </w:t>
      </w:r>
    </w:p>
    <w:p w14:paraId="13EE4419" w14:textId="77777777" w:rsidR="00E5701D" w:rsidRPr="006145C4" w:rsidRDefault="00E5701D" w:rsidP="0050177A">
      <w:pPr>
        <w:pStyle w:val="Tekstprzypisudolnego"/>
        <w:jc w:val="both"/>
        <w:rPr>
          <w:rFonts w:ascii="Times New Roman" w:hAnsi="Times New Roman"/>
        </w:rPr>
      </w:pPr>
      <w:r w:rsidRPr="006145C4">
        <w:rPr>
          <w:rFonts w:ascii="Times New Roman" w:hAnsi="Times New Roman"/>
        </w:rPr>
        <w:t>(data korzystania 22.06.20 r.)</w:t>
      </w:r>
    </w:p>
  </w:footnote>
  <w:footnote w:id="66">
    <w:p w14:paraId="36B73CD0" w14:textId="77777777" w:rsidR="00E5701D" w:rsidRPr="00D83B67" w:rsidRDefault="00E5701D" w:rsidP="0050177A">
      <w:pPr>
        <w:pStyle w:val="Tekstprzypisudolnego"/>
        <w:jc w:val="both"/>
      </w:pPr>
      <w:r w:rsidRPr="006145C4">
        <w:rPr>
          <w:rStyle w:val="Odwoanieprzypisudolnego"/>
          <w:rFonts w:ascii="Times New Roman" w:hAnsi="Times New Roman"/>
        </w:rPr>
        <w:footnoteRef/>
      </w:r>
      <w:hyperlink r:id="rId28" w:history="1">
        <w:r w:rsidRPr="006145C4">
          <w:rPr>
            <w:rStyle w:val="Hipercze"/>
            <w:rFonts w:ascii="Times New Roman" w:hAnsi="Times New Roman"/>
          </w:rPr>
          <w:t>http://www.infosenior.rops.torun.pl/aktualnosc/poszukiwania-zlotej-raczki-dla-wloclawskich-seniorow</w:t>
        </w:r>
      </w:hyperlink>
      <w:r w:rsidRPr="006145C4">
        <w:rPr>
          <w:rFonts w:ascii="Times New Roman" w:hAnsi="Times New Roman"/>
        </w:rPr>
        <w:t xml:space="preserve"> (data korzystania 15.06.20 r.)</w:t>
      </w:r>
    </w:p>
  </w:footnote>
  <w:footnote w:id="67">
    <w:p w14:paraId="2EA4C736" w14:textId="77777777" w:rsidR="00E5701D" w:rsidRPr="00D83B67" w:rsidRDefault="00E5701D" w:rsidP="0050177A">
      <w:pPr>
        <w:pStyle w:val="Default"/>
        <w:spacing w:line="276" w:lineRule="auto"/>
        <w:jc w:val="both"/>
        <w:rPr>
          <w:rFonts w:asciiTheme="minorHAnsi" w:hAnsiTheme="minorHAnsi" w:cstheme="minorHAnsi"/>
          <w:color w:val="auto"/>
          <w:sz w:val="20"/>
          <w:szCs w:val="20"/>
        </w:rPr>
      </w:pPr>
      <w:r w:rsidRPr="00D83B67">
        <w:rPr>
          <w:rStyle w:val="Odwoanieprzypisudolnego"/>
          <w:sz w:val="20"/>
          <w:szCs w:val="20"/>
        </w:rPr>
        <w:footnoteRef/>
      </w:r>
      <w:hyperlink r:id="rId29" w:history="1">
        <w:r w:rsidRPr="00D83B67">
          <w:rPr>
            <w:rStyle w:val="Hipercze"/>
            <w:rFonts w:asciiTheme="minorHAnsi" w:hAnsiTheme="minorHAnsi" w:cstheme="minorHAnsi"/>
          </w:rPr>
          <w:t>http://www.infosenior.rops.torun.pl/aktualnosc/teatralna-akademia-seniora-w-toruniu</w:t>
        </w:r>
      </w:hyperlink>
      <w:r w:rsidRPr="00FF36EB">
        <w:rPr>
          <w:rStyle w:val="Hipercze"/>
          <w:rFonts w:asciiTheme="minorHAnsi" w:hAnsiTheme="minorHAnsi" w:cstheme="minorHAnsi"/>
        </w:rPr>
        <w:t xml:space="preserve"> </w:t>
      </w:r>
      <w:r>
        <w:rPr>
          <w:rStyle w:val="Hipercze"/>
          <w:rFonts w:asciiTheme="minorHAnsi" w:hAnsiTheme="minorHAnsi" w:cstheme="minorHAnsi"/>
        </w:rPr>
        <w:br/>
      </w:r>
      <w:r w:rsidRPr="006145C4">
        <w:rPr>
          <w:rFonts w:ascii="Times New Roman" w:hAnsi="Times New Roman" w:cs="Times New Roman"/>
          <w:color w:val="auto"/>
          <w:sz w:val="20"/>
          <w:szCs w:val="20"/>
        </w:rPr>
        <w:t>(data korzystania 15.06.20 r.)</w:t>
      </w:r>
    </w:p>
    <w:p w14:paraId="027B3FAF" w14:textId="77777777" w:rsidR="00E5701D" w:rsidRPr="00D83B67" w:rsidRDefault="00E5701D" w:rsidP="0050177A">
      <w:pPr>
        <w:pStyle w:val="Tekstprzypisudolnego"/>
        <w:jc w:val="both"/>
      </w:pPr>
    </w:p>
  </w:footnote>
  <w:footnote w:id="68">
    <w:p w14:paraId="4D46C09D" w14:textId="77777777" w:rsidR="00E5701D" w:rsidRPr="006145C4" w:rsidRDefault="00E5701D" w:rsidP="006145C4">
      <w:pPr>
        <w:pStyle w:val="Tekstprzypisudolnego"/>
        <w:jc w:val="both"/>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Na postawie „Raportu o stanie Województwa Kujawsko-Pomorskiego w 2019 r.”, </w:t>
      </w:r>
      <w:r w:rsidRPr="006145C4">
        <w:rPr>
          <w:rFonts w:ascii="Times New Roman" w:eastAsia="CIDFont+F4" w:hAnsi="Times New Roman"/>
        </w:rPr>
        <w:t>Załącznik do uchwały nr 16/675/20 Zarządu Województwa Kujawsko-Pomorskiego z dnia 29 kwietnia 2020 r.</w:t>
      </w:r>
      <w:r w:rsidRPr="006145C4">
        <w:rPr>
          <w:rFonts w:ascii="Times New Roman" w:hAnsi="Times New Roman"/>
        </w:rPr>
        <w:t>, s. 77.</w:t>
      </w:r>
    </w:p>
  </w:footnote>
  <w:footnote w:id="69">
    <w:p w14:paraId="2E582F0A" w14:textId="77777777" w:rsidR="00E5701D" w:rsidRPr="00D83B67" w:rsidRDefault="00E5701D" w:rsidP="006145C4">
      <w:pPr>
        <w:pStyle w:val="Tekstprzypisudolnego"/>
        <w:jc w:val="both"/>
      </w:pPr>
      <w:r w:rsidRPr="006145C4">
        <w:rPr>
          <w:rStyle w:val="Odwoanieprzypisudolnego"/>
          <w:rFonts w:ascii="Times New Roman" w:hAnsi="Times New Roman"/>
        </w:rPr>
        <w:footnoteRef/>
      </w:r>
      <w:hyperlink r:id="rId30" w:history="1">
        <w:r w:rsidRPr="006145C4">
          <w:rPr>
            <w:rStyle w:val="Hipercze"/>
            <w:rFonts w:ascii="Times New Roman" w:hAnsi="Times New Roman"/>
          </w:rPr>
          <w:t>https://www.kujawsko-pomorskie.pl/biuro-prasowe/informacje-prasowe/33789-rozmawiamy-o-sprawach-seniorow</w:t>
        </w:r>
      </w:hyperlink>
      <w:r w:rsidRPr="006145C4">
        <w:rPr>
          <w:rFonts w:ascii="Times New Roman" w:hAnsi="Times New Roman"/>
        </w:rPr>
        <w:t xml:space="preserve"> (data korzystania 10.06.20 r.)</w:t>
      </w:r>
    </w:p>
  </w:footnote>
  <w:footnote w:id="70">
    <w:p w14:paraId="0811619C" w14:textId="77777777" w:rsidR="00E5701D" w:rsidRPr="006145C4" w:rsidRDefault="00E5701D" w:rsidP="002F4B08">
      <w:pPr>
        <w:pStyle w:val="Tekstprzypisudolnego"/>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źródło: Bank Danych Lokalnych. Dane dotyczą relacji osób w wieku 65 lat</w:t>
      </w:r>
      <w:r>
        <w:rPr>
          <w:rFonts w:ascii="Times New Roman" w:hAnsi="Times New Roman"/>
        </w:rPr>
        <w:t xml:space="preserve"> i więcej do osób w wieku 15-64 </w:t>
      </w:r>
      <w:r w:rsidRPr="006145C4">
        <w:rPr>
          <w:rFonts w:ascii="Times New Roman" w:hAnsi="Times New Roman"/>
        </w:rPr>
        <w:t>lata.</w:t>
      </w:r>
    </w:p>
  </w:footnote>
  <w:footnote w:id="71">
    <w:p w14:paraId="1DDA6262" w14:textId="77777777" w:rsidR="00E5701D" w:rsidRPr="006145C4" w:rsidRDefault="00E5701D" w:rsidP="006145C4">
      <w:pPr>
        <w:pStyle w:val="Tekstprzypisudolnego"/>
        <w:tabs>
          <w:tab w:val="left" w:pos="13608"/>
        </w:tabs>
        <w:jc w:val="both"/>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Wskazane instytucje, nie stosują podziału na miejsca dla osób starszych i o</w:t>
      </w:r>
      <w:r>
        <w:rPr>
          <w:rFonts w:ascii="Times New Roman" w:hAnsi="Times New Roman"/>
        </w:rPr>
        <w:t xml:space="preserve">sób w innych grupach wiekowych. </w:t>
      </w:r>
      <w:r w:rsidRPr="006145C4">
        <w:rPr>
          <w:rFonts w:ascii="Times New Roman" w:hAnsi="Times New Roman"/>
        </w:rPr>
        <w:t>Wpisano liczbę miejsc statutowych.</w:t>
      </w:r>
    </w:p>
  </w:footnote>
  <w:footnote w:id="72">
    <w:p w14:paraId="5DFD12BB" w14:textId="77777777" w:rsidR="00E5701D" w:rsidRPr="006145C4" w:rsidRDefault="00E5701D" w:rsidP="006145C4">
      <w:pPr>
        <w:pStyle w:val="Tekstprzypisudolnego"/>
        <w:tabs>
          <w:tab w:val="left" w:pos="13608"/>
        </w:tabs>
        <w:jc w:val="both"/>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Liczba osób korzystających wg stanu na dzień 31.12.2019 r. (a nie narastająco przez cały rok).</w:t>
      </w:r>
    </w:p>
  </w:footnote>
  <w:footnote w:id="73">
    <w:p w14:paraId="50C47490" w14:textId="77777777" w:rsidR="00E5701D" w:rsidRPr="006145C4" w:rsidRDefault="00E5701D" w:rsidP="006145C4">
      <w:pPr>
        <w:pStyle w:val="Tekstprzypisudolnego"/>
        <w:tabs>
          <w:tab w:val="left" w:pos="13608"/>
        </w:tabs>
        <w:jc w:val="both"/>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Nie uwzględniono domów pomocy społecznej dla dzieci i młodzieży niepełnosprawnych intelektualnie.</w:t>
      </w:r>
    </w:p>
  </w:footnote>
  <w:footnote w:id="74">
    <w:p w14:paraId="1BB88FFB" w14:textId="77777777" w:rsidR="00E5701D" w:rsidRDefault="00E5701D" w:rsidP="006145C4">
      <w:pPr>
        <w:pStyle w:val="Tekstprzypisudolnego"/>
        <w:tabs>
          <w:tab w:val="left" w:pos="13608"/>
        </w:tabs>
        <w:jc w:val="both"/>
      </w:pPr>
      <w:r w:rsidRPr="006145C4">
        <w:rPr>
          <w:rStyle w:val="Odwoanieprzypisudolnego"/>
          <w:rFonts w:ascii="Times New Roman" w:hAnsi="Times New Roman"/>
        </w:rPr>
        <w:footnoteRef/>
      </w:r>
      <w:r w:rsidRPr="006145C4">
        <w:rPr>
          <w:rFonts w:ascii="Times New Roman" w:hAnsi="Times New Roman"/>
        </w:rPr>
        <w:t xml:space="preserve"> Jednostki specjalistycznego poradnictwa nie prowadzą rejestru wieku osób, którym udzielono porad. Rzeczywista liczba osób (dana osoba wykazana tylko raz bez względu na liczbę wizyt)  korzystających z poradnictwa w tych instytucjach w 2019 r. wyniosła 15.476 osób.</w:t>
      </w:r>
      <w:r>
        <w:t xml:space="preserve"> </w:t>
      </w:r>
    </w:p>
  </w:footnote>
  <w:footnote w:id="75">
    <w:p w14:paraId="12785798" w14:textId="77777777" w:rsidR="00E5701D" w:rsidRPr="006145C4" w:rsidRDefault="00E5701D">
      <w:pPr>
        <w:pStyle w:val="Tekstprzypisudolnego"/>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w:t>
      </w:r>
      <w:hyperlink r:id="rId31" w:history="1">
        <w:r w:rsidRPr="006145C4">
          <w:rPr>
            <w:rFonts w:ascii="Times New Roman" w:hAnsi="Times New Roman"/>
          </w:rPr>
          <w:t>https://rops.bip.lubelskie.pl/</w:t>
        </w:r>
      </w:hyperlink>
      <w:r w:rsidRPr="006145C4">
        <w:rPr>
          <w:rFonts w:ascii="Times New Roman" w:hAnsi="Times New Roman"/>
        </w:rPr>
        <w:t>)</w:t>
      </w:r>
    </w:p>
  </w:footnote>
  <w:footnote w:id="76">
    <w:p w14:paraId="2DC519AB" w14:textId="77777777" w:rsidR="00E5701D" w:rsidRPr="006145C4" w:rsidRDefault="00E5701D">
      <w:pPr>
        <w:pStyle w:val="Tekstprzypisudolnego"/>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w:t>
      </w:r>
      <w:hyperlink r:id="rId32" w:history="1">
        <w:r w:rsidRPr="006145C4">
          <w:rPr>
            <w:rFonts w:ascii="Times New Roman" w:hAnsi="Times New Roman"/>
          </w:rPr>
          <w:t>https://rpo.lubelskie.pl/rpo/wiadomosci/prawo-i-dokumenty/strategia-rozwojuwojewodztwa-lubelskiego-na-lata-2014-2020-z-perspektywa-do-2030-roku/</w:t>
        </w:r>
      </w:hyperlink>
      <w:r w:rsidRPr="006145C4">
        <w:rPr>
          <w:rFonts w:ascii="Times New Roman" w:hAnsi="Times New Roman"/>
        </w:rPr>
        <w:t>)</w:t>
      </w:r>
    </w:p>
  </w:footnote>
  <w:footnote w:id="77">
    <w:p w14:paraId="7D76787A" w14:textId="77777777" w:rsidR="00E5701D" w:rsidRPr="006145C4" w:rsidRDefault="00E5701D">
      <w:pPr>
        <w:pStyle w:val="Tekstprzypisudolnego"/>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(http://rsi.lubelskie.pl).</w:t>
      </w:r>
    </w:p>
  </w:footnote>
  <w:footnote w:id="78">
    <w:p w14:paraId="44F8EBD6" w14:textId="77777777" w:rsidR="00E5701D" w:rsidRDefault="00E5701D">
      <w:pPr>
        <w:pStyle w:val="Tekstprzypisudolnego"/>
      </w:pPr>
      <w:r w:rsidRPr="006145C4">
        <w:rPr>
          <w:rStyle w:val="Odwoanieprzypisudolnego"/>
          <w:rFonts w:ascii="Times New Roman" w:hAnsi="Times New Roman"/>
        </w:rPr>
        <w:footnoteRef/>
      </w:r>
      <w:r w:rsidRPr="006145C4">
        <w:rPr>
          <w:rFonts w:ascii="Times New Roman" w:hAnsi="Times New Roman"/>
        </w:rPr>
        <w:t xml:space="preserve"> </w:t>
      </w:r>
      <w:r w:rsidRPr="006145C4">
        <w:rPr>
          <w:rFonts w:ascii="Times New Roman" w:hAnsi="Times New Roman"/>
          <w:color w:val="000000"/>
        </w:rPr>
        <w:t>(http://rops.lubelskie.pl/pomoc-spoleczna/programy/)</w:t>
      </w:r>
    </w:p>
  </w:footnote>
  <w:footnote w:id="79">
    <w:p w14:paraId="1C7C52FA" w14:textId="77777777" w:rsidR="00E5701D" w:rsidRPr="006145C4" w:rsidRDefault="00E5701D">
      <w:pPr>
        <w:pStyle w:val="Tekstprzypisudolnego"/>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w:t>
      </w:r>
      <w:r w:rsidRPr="006145C4">
        <w:rPr>
          <w:rFonts w:ascii="Times New Roman" w:hAnsi="Times New Roman"/>
          <w:color w:val="000000"/>
        </w:rPr>
        <w:t>http://rops.lubelsk</w:t>
      </w:r>
      <w:r>
        <w:rPr>
          <w:rFonts w:ascii="Times New Roman" w:hAnsi="Times New Roman"/>
          <w:color w:val="000000"/>
        </w:rPr>
        <w:t>ie.pl/pomoc-spoleczna/programy/</w:t>
      </w:r>
    </w:p>
  </w:footnote>
  <w:footnote w:id="80">
    <w:p w14:paraId="6887F950" w14:textId="77777777" w:rsidR="00E5701D" w:rsidRPr="006145C4" w:rsidRDefault="00E5701D" w:rsidP="006145C4">
      <w:pPr>
        <w:pStyle w:val="Standard"/>
        <w:tabs>
          <w:tab w:val="left" w:pos="900"/>
        </w:tabs>
        <w:spacing w:line="276" w:lineRule="auto"/>
        <w:rPr>
          <w:rFonts w:ascii="Times New Roman" w:hAnsi="Times New Roman" w:cs="Times New Roman"/>
          <w:sz w:val="20"/>
          <w:szCs w:val="20"/>
        </w:rPr>
      </w:pPr>
      <w:r w:rsidRPr="006145C4">
        <w:rPr>
          <w:rStyle w:val="Odwoanieprzypisudolnego"/>
          <w:rFonts w:ascii="Times New Roman" w:hAnsi="Times New Roman" w:cs="Times New Roman"/>
          <w:sz w:val="20"/>
          <w:szCs w:val="20"/>
        </w:rPr>
        <w:footnoteRef/>
      </w:r>
      <w:r w:rsidRPr="006145C4">
        <w:rPr>
          <w:rFonts w:ascii="Times New Roman" w:hAnsi="Times New Roman" w:cs="Times New Roman"/>
          <w:sz w:val="20"/>
          <w:szCs w:val="20"/>
        </w:rPr>
        <w:t xml:space="preserve">Raport z badania jest dostępny pod adresem: </w:t>
      </w:r>
      <w:hyperlink r:id="rId33" w:history="1">
        <w:r w:rsidRPr="006145C4">
          <w:rPr>
            <w:rStyle w:val="Hipercze"/>
            <w:rFonts w:ascii="Times New Roman" w:hAnsi="Times New Roman" w:cs="Times New Roman"/>
            <w:sz w:val="20"/>
            <w:szCs w:val="20"/>
          </w:rPr>
          <w:t>http://rops.lubelskie.pl/wp</w:t>
        </w:r>
      </w:hyperlink>
      <w:r>
        <w:rPr>
          <w:rFonts w:ascii="Times New Roman" w:hAnsi="Times New Roman" w:cs="Times New Roman"/>
          <w:sz w:val="20"/>
          <w:szCs w:val="20"/>
        </w:rPr>
        <w:t xml:space="preserve"> </w:t>
      </w:r>
      <w:r w:rsidRPr="006145C4">
        <w:rPr>
          <w:rFonts w:ascii="Times New Roman" w:hAnsi="Times New Roman" w:cs="Times New Roman"/>
          <w:sz w:val="20"/>
          <w:szCs w:val="20"/>
        </w:rPr>
        <w:t>content/uploads/2020/02/Dost%C4%99pno%C5%9B%C4%87-us%C5%82ug-skierowanych-do-os%C3%B3b-starszych-w-gminach-wojew%C3%B3dztwa-lubelskiego.pdf</w:t>
      </w:r>
    </w:p>
  </w:footnote>
  <w:footnote w:id="81">
    <w:p w14:paraId="4374709E" w14:textId="77777777" w:rsidR="00E5701D" w:rsidRPr="006145C4" w:rsidRDefault="00E5701D" w:rsidP="006145C4">
      <w:pPr>
        <w:pStyle w:val="Standard"/>
        <w:tabs>
          <w:tab w:val="left" w:pos="900"/>
        </w:tabs>
        <w:spacing w:line="276" w:lineRule="auto"/>
        <w:rPr>
          <w:rFonts w:ascii="Times New Roman" w:hAnsi="Times New Roman" w:cs="Times New Roman"/>
          <w:sz w:val="20"/>
          <w:szCs w:val="20"/>
        </w:rPr>
      </w:pPr>
      <w:r w:rsidRPr="006145C4">
        <w:rPr>
          <w:rStyle w:val="Odwoanieprzypisudolnego"/>
          <w:rFonts w:ascii="Times New Roman" w:hAnsi="Times New Roman" w:cs="Times New Roman"/>
          <w:sz w:val="20"/>
          <w:szCs w:val="20"/>
        </w:rPr>
        <w:footnoteRef/>
      </w:r>
      <w:r w:rsidRPr="006145C4">
        <w:rPr>
          <w:rFonts w:ascii="Times New Roman" w:hAnsi="Times New Roman" w:cs="Times New Roman"/>
          <w:sz w:val="20"/>
          <w:szCs w:val="20"/>
        </w:rPr>
        <w:t xml:space="preserve"> Informator jest dostępny na stronie: </w:t>
      </w:r>
      <w:hyperlink r:id="rId34" w:history="1">
        <w:r w:rsidRPr="006145C4">
          <w:rPr>
            <w:rFonts w:ascii="Times New Roman" w:hAnsi="Times New Roman" w:cs="Times New Roman"/>
            <w:sz w:val="20"/>
            <w:szCs w:val="20"/>
          </w:rPr>
          <w:t>http://rops.lubelskie.pl/rops/informatory/</w:t>
        </w:r>
      </w:hyperlink>
      <w:r w:rsidRPr="006145C4">
        <w:rPr>
          <w:rFonts w:ascii="Times New Roman" w:hAnsi="Times New Roman" w:cs="Times New Roman"/>
          <w:sz w:val="20"/>
          <w:szCs w:val="20"/>
        </w:rPr>
        <w:t>.</w:t>
      </w:r>
    </w:p>
    <w:p w14:paraId="65112F38" w14:textId="77777777" w:rsidR="00E5701D" w:rsidRDefault="00E5701D">
      <w:pPr>
        <w:pStyle w:val="Tekstprzypisudolnego"/>
      </w:pPr>
    </w:p>
  </w:footnote>
  <w:footnote w:id="82">
    <w:p w14:paraId="5F4D5EAB" w14:textId="77777777" w:rsidR="00E5701D" w:rsidRPr="006145C4" w:rsidRDefault="00E5701D">
      <w:pPr>
        <w:pStyle w:val="Tekstprzypisudolnego"/>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w:t>
      </w:r>
      <w:r w:rsidRPr="006145C4">
        <w:rPr>
          <w:rFonts w:ascii="Times New Roman" w:hAnsi="Times New Roman"/>
          <w:color w:val="000080"/>
          <w:u w:val="single"/>
        </w:rPr>
        <w:t>http://www.puchaczow.pl/</w:t>
      </w:r>
    </w:p>
  </w:footnote>
  <w:footnote w:id="83">
    <w:p w14:paraId="3635B278" w14:textId="77777777" w:rsidR="00E5701D" w:rsidRDefault="00E5701D">
      <w:pPr>
        <w:pStyle w:val="Tekstprzypisudolnego"/>
      </w:pPr>
      <w:r w:rsidRPr="006145C4">
        <w:rPr>
          <w:rStyle w:val="Odwoanieprzypisudolnego"/>
          <w:rFonts w:ascii="Times New Roman" w:hAnsi="Times New Roman"/>
        </w:rPr>
        <w:footnoteRef/>
      </w:r>
      <w:r w:rsidRPr="006145C4">
        <w:rPr>
          <w:rFonts w:ascii="Times New Roman" w:hAnsi="Times New Roman"/>
        </w:rPr>
        <w:t xml:space="preserve"> </w:t>
      </w:r>
      <w:hyperlink r:id="rId35" w:history="1">
        <w:r w:rsidRPr="006145C4">
          <w:rPr>
            <w:rFonts w:ascii="Times New Roman" w:hAnsi="Times New Roman"/>
          </w:rPr>
          <w:t>https://lublin.eu/mieszkancy/seniorzy/program-lublin-strefa-60/informator-lks-znizki-i-ulgi/</w:t>
        </w:r>
      </w:hyperlink>
      <w:r w:rsidRPr="006145C4">
        <w:rPr>
          <w:rFonts w:ascii="Times New Roman" w:hAnsi="Times New Roman"/>
        </w:rPr>
        <w:t>.</w:t>
      </w:r>
    </w:p>
  </w:footnote>
  <w:footnote w:id="84">
    <w:p w14:paraId="450C7218" w14:textId="77777777" w:rsidR="00E5701D" w:rsidRPr="006145C4" w:rsidRDefault="00E5701D">
      <w:pPr>
        <w:pStyle w:val="Tekstprzypisudolnego"/>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w:t>
      </w:r>
      <w:hyperlink r:id="rId36" w:history="1">
        <w:r w:rsidRPr="006145C4">
          <w:rPr>
            <w:rFonts w:ascii="Times New Roman" w:hAnsi="Times New Roman"/>
          </w:rPr>
          <w:t>https://mopr.lublin.eu/</w:t>
        </w:r>
      </w:hyperlink>
    </w:p>
  </w:footnote>
  <w:footnote w:id="85">
    <w:p w14:paraId="0981EE05" w14:textId="77777777" w:rsidR="00E5701D" w:rsidRPr="006145C4" w:rsidRDefault="00E5701D" w:rsidP="003C7BAA">
      <w:pPr>
        <w:spacing w:after="0"/>
        <w:jc w:val="both"/>
        <w:rPr>
          <w:rFonts w:ascii="Times New Roman" w:eastAsia="Calibri" w:hAnsi="Times New Roman" w:cs="Times New Roman"/>
          <w:sz w:val="20"/>
          <w:szCs w:val="20"/>
        </w:rPr>
      </w:pPr>
      <w:r w:rsidRPr="006145C4">
        <w:rPr>
          <w:rStyle w:val="Odwoanieprzypisudolnego"/>
          <w:rFonts w:ascii="Times New Roman" w:hAnsi="Times New Roman" w:cs="Times New Roman"/>
          <w:sz w:val="20"/>
          <w:szCs w:val="20"/>
        </w:rPr>
        <w:footnoteRef/>
      </w:r>
      <w:r w:rsidRPr="006145C4">
        <w:rPr>
          <w:rFonts w:ascii="Times New Roman" w:hAnsi="Times New Roman" w:cs="Times New Roman"/>
          <w:sz w:val="20"/>
          <w:szCs w:val="20"/>
        </w:rPr>
        <w:t xml:space="preserve"> </w:t>
      </w:r>
      <w:hyperlink r:id="rId37" w:history="1">
        <w:r w:rsidRPr="006145C4">
          <w:rPr>
            <w:rFonts w:ascii="Times New Roman" w:eastAsia="Calibri" w:hAnsi="Times New Roman" w:cs="Times New Roman"/>
            <w:color w:val="0000FF"/>
            <w:sz w:val="20"/>
            <w:szCs w:val="20"/>
            <w:u w:val="single"/>
          </w:rPr>
          <w:t>http://polityka-spoleczna.lubuskie.pl/pl/Strategia-i-programy-polityki-spolecznej</w:t>
        </w:r>
      </w:hyperlink>
    </w:p>
  </w:footnote>
  <w:footnote w:id="86">
    <w:p w14:paraId="5894ED7D" w14:textId="77777777" w:rsidR="00E5701D" w:rsidRPr="006145C4" w:rsidRDefault="00E5701D">
      <w:pPr>
        <w:pStyle w:val="Tekstprzypisudolnego"/>
        <w:rPr>
          <w:rFonts w:ascii="Times New Roman" w:hAnsi="Times New Roman"/>
        </w:rPr>
      </w:pPr>
      <w:r w:rsidRPr="006145C4">
        <w:rPr>
          <w:rStyle w:val="Odwoanieprzypisudolnego"/>
          <w:rFonts w:ascii="Times New Roman" w:hAnsi="Times New Roman"/>
        </w:rPr>
        <w:footnoteRef/>
      </w:r>
      <w:r w:rsidRPr="006145C4">
        <w:rPr>
          <w:rFonts w:ascii="Times New Roman" w:hAnsi="Times New Roman"/>
        </w:rPr>
        <w:t xml:space="preserve"> </w:t>
      </w:r>
      <w:hyperlink r:id="rId38" w:history="1">
        <w:r w:rsidRPr="006145C4">
          <w:rPr>
            <w:rStyle w:val="Hipercze"/>
            <w:rFonts w:ascii="Times New Roman" w:eastAsia="Calibri" w:hAnsi="Times New Roman"/>
          </w:rPr>
          <w:t>https://bip.lubuskie.pl/592/1115/Strategia_Polityki Spolecznej_Wojewodztwa_Lubuskiego_na_lata_2014-2020/</w:t>
        </w:r>
      </w:hyperlink>
    </w:p>
  </w:footnote>
  <w:footnote w:id="87">
    <w:p w14:paraId="6467ACAC" w14:textId="77777777" w:rsidR="00E5701D" w:rsidRPr="006145C4" w:rsidRDefault="00E5701D" w:rsidP="001D3BEB">
      <w:pPr>
        <w:spacing w:after="0"/>
        <w:contextualSpacing/>
        <w:jc w:val="both"/>
        <w:rPr>
          <w:rFonts w:ascii="Times New Roman" w:eastAsia="Calibri" w:hAnsi="Times New Roman" w:cs="Times New Roman"/>
          <w:sz w:val="20"/>
          <w:szCs w:val="20"/>
        </w:rPr>
      </w:pPr>
      <w:r w:rsidRPr="006145C4">
        <w:rPr>
          <w:rStyle w:val="Odwoanieprzypisudolnego"/>
          <w:rFonts w:ascii="Times New Roman" w:hAnsi="Times New Roman" w:cs="Times New Roman"/>
          <w:sz w:val="20"/>
          <w:szCs w:val="20"/>
        </w:rPr>
        <w:footnoteRef/>
      </w:r>
      <w:r w:rsidRPr="006145C4">
        <w:rPr>
          <w:rFonts w:ascii="Times New Roman" w:hAnsi="Times New Roman" w:cs="Times New Roman"/>
          <w:sz w:val="20"/>
          <w:szCs w:val="20"/>
        </w:rPr>
        <w:t xml:space="preserve"> </w:t>
      </w:r>
      <w:hyperlink r:id="rId39" w:history="1">
        <w:r w:rsidRPr="006145C4">
          <w:rPr>
            <w:rFonts w:ascii="Times New Roman" w:eastAsia="Calibri" w:hAnsi="Times New Roman" w:cs="Times New Roman"/>
            <w:color w:val="0000FF"/>
            <w:sz w:val="20"/>
            <w:szCs w:val="20"/>
            <w:u w:val="single"/>
          </w:rPr>
          <w:t>http://www.bezbarier.org.pl/projekt_obywatel-cyfrowej-przyszlosci-lubuskie.html</w:t>
        </w:r>
      </w:hyperlink>
    </w:p>
  </w:footnote>
  <w:footnote w:id="88">
    <w:p w14:paraId="785841A2" w14:textId="77777777" w:rsidR="00E5701D" w:rsidRPr="006145C4" w:rsidRDefault="00E5701D" w:rsidP="001D3BEB">
      <w:pPr>
        <w:spacing w:after="0"/>
        <w:contextualSpacing/>
        <w:jc w:val="both"/>
        <w:rPr>
          <w:rFonts w:ascii="Times New Roman" w:eastAsia="Calibri" w:hAnsi="Times New Roman" w:cs="Times New Roman"/>
          <w:sz w:val="20"/>
          <w:szCs w:val="20"/>
        </w:rPr>
      </w:pPr>
      <w:r w:rsidRPr="006145C4">
        <w:rPr>
          <w:rStyle w:val="Odwoanieprzypisudolnego"/>
          <w:rFonts w:ascii="Times New Roman" w:hAnsi="Times New Roman" w:cs="Times New Roman"/>
          <w:sz w:val="20"/>
          <w:szCs w:val="20"/>
        </w:rPr>
        <w:footnoteRef/>
      </w:r>
      <w:r w:rsidRPr="006145C4">
        <w:rPr>
          <w:rFonts w:ascii="Times New Roman" w:hAnsi="Times New Roman" w:cs="Times New Roman"/>
          <w:sz w:val="20"/>
          <w:szCs w:val="20"/>
        </w:rPr>
        <w:t xml:space="preserve"> </w:t>
      </w:r>
      <w:r w:rsidRPr="006145C4">
        <w:rPr>
          <w:rFonts w:ascii="Times New Roman" w:eastAsia="Calibri" w:hAnsi="Times New Roman" w:cs="Times New Roman"/>
          <w:sz w:val="20"/>
          <w:szCs w:val="20"/>
        </w:rPr>
        <w:t xml:space="preserve"> </w:t>
      </w:r>
      <w:hyperlink r:id="rId40" w:history="1">
        <w:r w:rsidRPr="006145C4">
          <w:rPr>
            <w:rFonts w:ascii="Times New Roman" w:eastAsia="Calibri" w:hAnsi="Times New Roman" w:cs="Times New Roman"/>
            <w:color w:val="0000FF"/>
            <w:sz w:val="20"/>
            <w:szCs w:val="20"/>
            <w:u w:val="single"/>
          </w:rPr>
          <w:t>https://www.zgrani50.pl/</w:t>
        </w:r>
      </w:hyperlink>
    </w:p>
  </w:footnote>
  <w:footnote w:id="89">
    <w:p w14:paraId="6CDAED6B" w14:textId="77777777" w:rsidR="00E5701D" w:rsidRPr="006145C4" w:rsidRDefault="00E5701D" w:rsidP="001D3BEB">
      <w:pPr>
        <w:spacing w:after="0"/>
        <w:contextualSpacing/>
        <w:jc w:val="both"/>
        <w:rPr>
          <w:rFonts w:ascii="Times New Roman" w:eastAsia="Calibri" w:hAnsi="Times New Roman" w:cs="Times New Roman"/>
          <w:sz w:val="20"/>
          <w:szCs w:val="20"/>
        </w:rPr>
      </w:pPr>
      <w:r w:rsidRPr="006145C4">
        <w:rPr>
          <w:rStyle w:val="Odwoanieprzypisudolnego"/>
          <w:rFonts w:ascii="Times New Roman" w:hAnsi="Times New Roman" w:cs="Times New Roman"/>
          <w:sz w:val="20"/>
          <w:szCs w:val="20"/>
        </w:rPr>
        <w:footnoteRef/>
      </w:r>
      <w:r w:rsidRPr="006145C4">
        <w:rPr>
          <w:rFonts w:ascii="Times New Roman" w:hAnsi="Times New Roman" w:cs="Times New Roman"/>
          <w:sz w:val="20"/>
          <w:szCs w:val="20"/>
        </w:rPr>
        <w:t xml:space="preserve"> </w:t>
      </w:r>
      <w:r w:rsidRPr="006145C4">
        <w:rPr>
          <w:rFonts w:ascii="Times New Roman" w:eastAsia="Calibri" w:hAnsi="Times New Roman" w:cs="Times New Roman"/>
          <w:sz w:val="20"/>
          <w:szCs w:val="20"/>
        </w:rPr>
        <w:t xml:space="preserve"> </w:t>
      </w:r>
      <w:hyperlink r:id="rId41" w:history="1">
        <w:r w:rsidRPr="006145C4">
          <w:rPr>
            <w:rFonts w:ascii="Times New Roman" w:eastAsia="Calibri" w:hAnsi="Times New Roman" w:cs="Times New Roman"/>
            <w:color w:val="0000FF"/>
            <w:sz w:val="20"/>
            <w:szCs w:val="20"/>
            <w:u w:val="single"/>
          </w:rPr>
          <w:t>http://www.ops.nowemiasteczko.pl/</w:t>
        </w:r>
      </w:hyperlink>
    </w:p>
    <w:p w14:paraId="25D30E98" w14:textId="77777777" w:rsidR="00E5701D" w:rsidRDefault="00E5701D">
      <w:pPr>
        <w:pStyle w:val="Tekstprzypisudolnego"/>
      </w:pPr>
    </w:p>
  </w:footnote>
  <w:footnote w:id="90">
    <w:p w14:paraId="2CE3A646" w14:textId="77777777" w:rsidR="00E5701D" w:rsidRPr="006145C4" w:rsidRDefault="00E5701D" w:rsidP="001D3BEB">
      <w:pPr>
        <w:spacing w:after="0"/>
        <w:contextualSpacing/>
        <w:jc w:val="both"/>
        <w:rPr>
          <w:rFonts w:ascii="Times New Roman" w:eastAsia="Calibri" w:hAnsi="Times New Roman" w:cs="Times New Roman"/>
          <w:color w:val="0000FF"/>
          <w:sz w:val="20"/>
          <w:szCs w:val="20"/>
          <w:u w:val="single"/>
        </w:rPr>
      </w:pPr>
      <w:r w:rsidRPr="006145C4">
        <w:rPr>
          <w:rStyle w:val="Odwoanieprzypisudolnego"/>
          <w:rFonts w:ascii="Times New Roman" w:hAnsi="Times New Roman" w:cs="Times New Roman"/>
          <w:sz w:val="20"/>
          <w:szCs w:val="20"/>
        </w:rPr>
        <w:footnoteRef/>
      </w:r>
      <w:r w:rsidRPr="006145C4">
        <w:rPr>
          <w:rFonts w:ascii="Times New Roman" w:hAnsi="Times New Roman" w:cs="Times New Roman"/>
          <w:sz w:val="20"/>
          <w:szCs w:val="20"/>
        </w:rPr>
        <w:t xml:space="preserve"> </w:t>
      </w:r>
      <w:r w:rsidRPr="006145C4">
        <w:rPr>
          <w:rFonts w:ascii="Times New Roman" w:eastAsia="Calibri" w:hAnsi="Times New Roman" w:cs="Times New Roman"/>
          <w:sz w:val="20"/>
          <w:szCs w:val="20"/>
        </w:rPr>
        <w:t xml:space="preserve"> </w:t>
      </w:r>
      <w:hyperlink r:id="rId42" w:history="1">
        <w:r w:rsidRPr="006145C4">
          <w:rPr>
            <w:rFonts w:ascii="Times New Roman" w:eastAsia="Calibri" w:hAnsi="Times New Roman" w:cs="Times New Roman"/>
            <w:color w:val="0000FF"/>
            <w:sz w:val="20"/>
            <w:szCs w:val="20"/>
            <w:u w:val="single"/>
          </w:rPr>
          <w:t>http://www.zbaszynek.pl//</w:t>
        </w:r>
      </w:hyperlink>
      <w:r>
        <w:rPr>
          <w:rFonts w:ascii="Times New Roman" w:eastAsia="Calibri" w:hAnsi="Times New Roman" w:cs="Times New Roman"/>
          <w:color w:val="0000FF"/>
          <w:sz w:val="20"/>
          <w:szCs w:val="20"/>
          <w:u w:val="single"/>
        </w:rPr>
        <w:t xml:space="preserve"> </w:t>
      </w:r>
      <w:r w:rsidRPr="006145C4">
        <w:rPr>
          <w:rFonts w:ascii="Times New Roman" w:eastAsia="Calibri" w:hAnsi="Times New Roman" w:cs="Times New Roman"/>
          <w:sz w:val="20"/>
          <w:szCs w:val="20"/>
        </w:rPr>
        <w:t>oraz</w:t>
      </w:r>
      <w:r>
        <w:rPr>
          <w:rFonts w:ascii="Times New Roman" w:eastAsia="Calibri" w:hAnsi="Times New Roman" w:cs="Times New Roman"/>
          <w:color w:val="0000FF"/>
          <w:sz w:val="20"/>
          <w:szCs w:val="20"/>
          <w:u w:val="single"/>
        </w:rPr>
        <w:t xml:space="preserve"> </w:t>
      </w:r>
      <w:hyperlink r:id="rId43" w:history="1">
        <w:r w:rsidRPr="006145C4">
          <w:rPr>
            <w:rFonts w:ascii="Times New Roman" w:eastAsia="Calibri" w:hAnsi="Times New Roman" w:cs="Times New Roman"/>
            <w:color w:val="0000FF"/>
            <w:sz w:val="20"/>
            <w:szCs w:val="20"/>
            <w:u w:val="single"/>
          </w:rPr>
          <w:t>http://www.zbaszynek.pl//</w:t>
        </w:r>
      </w:hyperlink>
    </w:p>
  </w:footnote>
  <w:footnote w:id="91">
    <w:p w14:paraId="346EA917" w14:textId="77777777" w:rsidR="00E5701D" w:rsidRPr="00522082" w:rsidRDefault="00E5701D" w:rsidP="00F31DCC">
      <w:pPr>
        <w:pStyle w:val="Tekstprzypisudolnego"/>
      </w:pPr>
      <w:r w:rsidRPr="006145C4">
        <w:rPr>
          <w:rStyle w:val="Odwoanieprzypisudolnego"/>
          <w:rFonts w:ascii="Times New Roman" w:hAnsi="Times New Roman"/>
        </w:rPr>
        <w:footnoteRef/>
      </w:r>
      <w:r w:rsidRPr="006145C4">
        <w:rPr>
          <w:rFonts w:ascii="Times New Roman" w:hAnsi="Times New Roman"/>
        </w:rPr>
        <w:t xml:space="preserve"> Wg stanu na 31.12.2019 r.</w:t>
      </w:r>
    </w:p>
  </w:footnote>
  <w:footnote w:id="92">
    <w:p w14:paraId="1459B325" w14:textId="77777777" w:rsidR="00E5701D" w:rsidRPr="00CB6A56" w:rsidRDefault="00E5701D" w:rsidP="00397459">
      <w:pPr>
        <w:pStyle w:val="Tekstprzypisudolnego"/>
        <w:rPr>
          <w:rFonts w:ascii="Times New Roman" w:hAnsi="Times New Roman"/>
        </w:rPr>
      </w:pPr>
      <w:r w:rsidRPr="00CB6A56">
        <w:rPr>
          <w:rStyle w:val="Odwoanieprzypisudolnego"/>
          <w:rFonts w:ascii="Times New Roman" w:hAnsi="Times New Roman"/>
        </w:rPr>
        <w:footnoteRef/>
      </w:r>
      <w:r w:rsidRPr="00CB6A56">
        <w:rPr>
          <w:rFonts w:ascii="Times New Roman" w:hAnsi="Times New Roman"/>
        </w:rPr>
        <w:t xml:space="preserve"> „Gospodarstwa domowe i rodziny w województwie lubuskim. Charakterystyka demograficzna”, </w:t>
      </w:r>
      <w:hyperlink r:id="rId44" w:history="1">
        <w:r w:rsidRPr="00CB6A56">
          <w:rPr>
            <w:rStyle w:val="Hipercze"/>
            <w:rFonts w:ascii="Times New Roman" w:hAnsi="Times New Roman"/>
          </w:rPr>
          <w:t>https://zielonagora.stat.gov.pl/publikacje-i-foldery/spisy-powszechne/gospodarstwa-domowe-i-rodziny-w-wojewodztwie-lubuskim-charakterystyka-demograficzna-narodowy-spis-powszechny-ludnosci-i-mieszkan-2011,9,1.html</w:t>
        </w:r>
      </w:hyperlink>
    </w:p>
  </w:footnote>
  <w:footnote w:id="93">
    <w:p w14:paraId="503A5979" w14:textId="77777777" w:rsidR="00E5701D" w:rsidRPr="00CB6A56" w:rsidRDefault="00E5701D" w:rsidP="00397459">
      <w:pPr>
        <w:pStyle w:val="Tekstprzypisudolnego"/>
        <w:rPr>
          <w:rFonts w:ascii="Times New Roman" w:hAnsi="Times New Roman"/>
        </w:rPr>
      </w:pPr>
      <w:r w:rsidRPr="00CB6A56">
        <w:rPr>
          <w:rStyle w:val="Odwoanieprzypisudolnego"/>
          <w:rFonts w:ascii="Times New Roman" w:hAnsi="Times New Roman"/>
        </w:rPr>
        <w:footnoteRef/>
      </w:r>
      <w:r w:rsidRPr="00CB6A56">
        <w:rPr>
          <w:rFonts w:ascii="Times New Roman" w:hAnsi="Times New Roman"/>
        </w:rPr>
        <w:t xml:space="preserve"> </w:t>
      </w:r>
      <w:hyperlink r:id="rId45" w:history="1">
        <w:r w:rsidRPr="00CB6A56">
          <w:rPr>
            <w:rStyle w:val="Hipercze"/>
            <w:rFonts w:ascii="Times New Roman" w:hAnsi="Times New Roman"/>
          </w:rPr>
          <w:t>https://stat.gov.pl/spisy-powszechne/nsp-2011/nsp-2011-wyniki/</w:t>
        </w:r>
      </w:hyperlink>
    </w:p>
  </w:footnote>
  <w:footnote w:id="94">
    <w:p w14:paraId="69875849" w14:textId="77777777" w:rsidR="00E5701D" w:rsidRDefault="00E5701D" w:rsidP="00397459">
      <w:pPr>
        <w:pStyle w:val="Tekstprzypisudolnego"/>
      </w:pPr>
      <w:r w:rsidRPr="00CB6A56">
        <w:rPr>
          <w:rStyle w:val="Odwoanieprzypisudolnego"/>
          <w:rFonts w:ascii="Times New Roman" w:hAnsi="Times New Roman"/>
        </w:rPr>
        <w:footnoteRef/>
      </w:r>
      <w:r w:rsidRPr="00CB6A56">
        <w:rPr>
          <w:rFonts w:ascii="Times New Roman" w:hAnsi="Times New Roman"/>
        </w:rPr>
        <w:t xml:space="preserve"> Sprawozdanie MRPiPS-03 za rok 2019, raport  „Realizacja programu kompleksowego wsparcia dla rodzin „Za życiem” w 2019 r. w województwie lubuskim”.</w:t>
      </w:r>
    </w:p>
  </w:footnote>
  <w:footnote w:id="95">
    <w:p w14:paraId="0852E6DA" w14:textId="77777777" w:rsidR="00E5701D" w:rsidRDefault="00E5701D" w:rsidP="00397459">
      <w:pPr>
        <w:pStyle w:val="Tekstprzypisudolnego"/>
      </w:pPr>
      <w:r>
        <w:rPr>
          <w:rStyle w:val="Odwoanieprzypisudolnego"/>
        </w:rPr>
        <w:footnoteRef/>
      </w:r>
      <w:r>
        <w:t xml:space="preserve"> </w:t>
      </w:r>
      <w:r w:rsidRPr="00AE73DA">
        <w:t>Komunikat o sytuacji społeczno-gospodarczej województwa lubuskiego Grudzień 2019 r.</w:t>
      </w:r>
      <w:r>
        <w:t>,</w:t>
      </w:r>
      <w:r w:rsidRPr="00AE73DA">
        <w:t xml:space="preserve"> </w:t>
      </w:r>
      <w:r>
        <w:t xml:space="preserve"> </w:t>
      </w:r>
      <w:hyperlink r:id="rId46" w:history="1">
        <w:r w:rsidRPr="002F07FD">
          <w:rPr>
            <w:rStyle w:val="Hipercze"/>
          </w:rPr>
          <w:t>https://zielonagora.stat.gov.pl/opracowania-biezace/komunikaty-i-biuletyny/komunikat-o-sytuacji/komunikat-o-sytuacji-spoleczno-gospodarczej-wojewodztwa-lubuskiego-w-grudniu-2019-r-,1,84.html</w:t>
        </w:r>
      </w:hyperlink>
    </w:p>
    <w:p w14:paraId="6F6EF61C" w14:textId="77777777" w:rsidR="00E5701D" w:rsidRDefault="00E5701D" w:rsidP="00397459">
      <w:pPr>
        <w:pStyle w:val="Tekstprzypisudolnego"/>
      </w:pPr>
    </w:p>
  </w:footnote>
  <w:footnote w:id="96">
    <w:p w14:paraId="0EE483DD" w14:textId="77777777" w:rsidR="00E5701D" w:rsidRPr="007D3E1C" w:rsidRDefault="00E5701D" w:rsidP="00344529">
      <w:pPr>
        <w:spacing w:after="0"/>
        <w:jc w:val="both"/>
        <w:rPr>
          <w:rFonts w:ascii="Times New Roman" w:eastAsia="Times New Roman" w:hAnsi="Times New Roman" w:cs="Times New Roman"/>
          <w:sz w:val="20"/>
          <w:szCs w:val="20"/>
        </w:rPr>
      </w:pPr>
      <w:r w:rsidRPr="007D3E1C">
        <w:rPr>
          <w:rStyle w:val="Odwoanieprzypisudolnego"/>
          <w:rFonts w:ascii="Times New Roman" w:hAnsi="Times New Roman" w:cs="Times New Roman"/>
          <w:sz w:val="20"/>
          <w:szCs w:val="20"/>
        </w:rPr>
        <w:footnoteRef/>
      </w:r>
      <w:hyperlink r:id="rId47" w:history="1">
        <w:r w:rsidRPr="007D3E1C">
          <w:rPr>
            <w:rStyle w:val="Hipercze"/>
            <w:rFonts w:ascii="Times New Roman" w:eastAsia="Times New Roman" w:hAnsi="Times New Roman" w:cs="Times New Roman"/>
            <w:sz w:val="20"/>
            <w:szCs w:val="20"/>
          </w:rPr>
          <w:t>http://rcpslodz.pl/images/Pobieranie/2017_03_27_Strategia_Rozwoju_Woj_%20Lodzkiego_2020.pdf</w:t>
        </w:r>
      </w:hyperlink>
    </w:p>
  </w:footnote>
  <w:footnote w:id="97">
    <w:p w14:paraId="6FA37A24" w14:textId="77777777" w:rsidR="00E5701D" w:rsidRPr="00344529" w:rsidRDefault="00E5701D" w:rsidP="00344529">
      <w:pPr>
        <w:spacing w:after="0"/>
        <w:jc w:val="both"/>
        <w:rPr>
          <w:rFonts w:ascii="Times New Roman" w:eastAsia="Times New Roman" w:hAnsi="Times New Roman" w:cs="Times New Roman"/>
          <w:sz w:val="24"/>
          <w:szCs w:val="24"/>
        </w:rPr>
      </w:pPr>
      <w:r w:rsidRPr="007D3E1C">
        <w:rPr>
          <w:rStyle w:val="Odwoanieprzypisudolnego"/>
          <w:rFonts w:ascii="Times New Roman" w:hAnsi="Times New Roman" w:cs="Times New Roman"/>
          <w:sz w:val="20"/>
          <w:szCs w:val="20"/>
        </w:rPr>
        <w:footnoteRef/>
      </w:r>
      <w:hyperlink r:id="rId48" w:history="1">
        <w:r w:rsidRPr="007D3E1C">
          <w:rPr>
            <w:rStyle w:val="Hipercze"/>
            <w:rFonts w:ascii="Times New Roman" w:eastAsia="Times New Roman" w:hAnsi="Times New Roman" w:cs="Times New Roman"/>
            <w:sz w:val="20"/>
            <w:szCs w:val="20"/>
          </w:rPr>
          <w:t>http://rcpslodz.pl/images/Pobieranie/2017_03_27_Plan_przeciwdzialania_depopulacji_w_woj_lodzkim_2020.pdf</w:t>
        </w:r>
      </w:hyperlink>
    </w:p>
  </w:footnote>
  <w:footnote w:id="98">
    <w:p w14:paraId="6D91B481" w14:textId="77777777" w:rsidR="00E5701D" w:rsidRPr="006B5754" w:rsidRDefault="00E5701D" w:rsidP="006B5754">
      <w:pPr>
        <w:spacing w:after="0"/>
        <w:jc w:val="both"/>
        <w:rPr>
          <w:rFonts w:ascii="Times New Roman" w:hAnsi="Times New Roman" w:cs="Times New Roman"/>
          <w:sz w:val="24"/>
          <w:szCs w:val="24"/>
        </w:rPr>
      </w:pPr>
      <w:r>
        <w:rPr>
          <w:rStyle w:val="Odwoanieprzypisudolnego"/>
        </w:rPr>
        <w:footnoteRef/>
      </w:r>
      <w:r>
        <w:t xml:space="preserve"> </w:t>
      </w:r>
      <w:r w:rsidRPr="005F0A32">
        <w:rPr>
          <w:rFonts w:ascii="Times New Roman" w:eastAsia="Times New Roman" w:hAnsi="Times New Roman" w:cs="Times New Roman"/>
          <w:i/>
          <w:sz w:val="24"/>
          <w:szCs w:val="24"/>
          <w:lang w:val="en-US"/>
        </w:rPr>
        <w:t xml:space="preserve">Lider projektu: Gmina Újbuda – Budapeszt (Węgry), Partnerzy: Budapest University of Technology and Economics (Węgry), Województwo Łódzkie (Polska), Uniwersytet Medyczny w Łodzi (Polska), European Grouping of Territorial Cooperation Via Carpatia (Słowacja), Technical University of Kosice (Słowacja), Liguria Region (Włochy), SI4life Science and Business together to improve the quality of life for Seniors and People with Disabilities (Włochy), Institute of Social Services Prague (Czechy), SPEKTRA, manufacturing cooperative (Czechy), City of Graz (Austria), NOWA Training Counselling Project management (Austria), University of Applied Sciences for Economy, Technics and Culture (Niemcy). </w:t>
      </w:r>
      <w:r w:rsidRPr="005F0A32">
        <w:rPr>
          <w:rFonts w:ascii="Times New Roman" w:eastAsia="Times New Roman" w:hAnsi="Times New Roman" w:cs="Times New Roman"/>
          <w:i/>
          <w:sz w:val="24"/>
          <w:szCs w:val="24"/>
        </w:rPr>
        <w:t>Regionalne Centrum Polityki Społecznej jest partnerem stowarzyszonym, współpracującym z Województwem Łódzkim.</w:t>
      </w:r>
    </w:p>
  </w:footnote>
  <w:footnote w:id="99">
    <w:p w14:paraId="09C6BBC4" w14:textId="77777777" w:rsidR="00E5701D" w:rsidRPr="007D3E1C" w:rsidRDefault="00E5701D">
      <w:pPr>
        <w:pStyle w:val="Tekstprzypisudolnego"/>
        <w:rPr>
          <w:rFonts w:ascii="Times New Roman" w:hAnsi="Times New Roman"/>
        </w:rPr>
      </w:pPr>
      <w:r w:rsidRPr="007D3E1C">
        <w:rPr>
          <w:rStyle w:val="Odwoanieprzypisudolnego"/>
          <w:rFonts w:ascii="Times New Roman" w:hAnsi="Times New Roman"/>
        </w:rPr>
        <w:footnoteRef/>
      </w:r>
      <w:r w:rsidRPr="007D3E1C">
        <w:rPr>
          <w:rFonts w:ascii="Times New Roman" w:hAnsi="Times New Roman"/>
        </w:rPr>
        <w:t xml:space="preserve"> </w:t>
      </w:r>
      <w:hyperlink r:id="rId49" w:history="1">
        <w:r w:rsidRPr="007D3E1C">
          <w:rPr>
            <w:rStyle w:val="Hipercze"/>
            <w:rFonts w:ascii="Times New Roman" w:hAnsi="Times New Roman"/>
          </w:rPr>
          <w:t>http://www.naszpowiat.eu/</w:t>
        </w:r>
      </w:hyperlink>
    </w:p>
  </w:footnote>
  <w:footnote w:id="100">
    <w:p w14:paraId="281E0E45" w14:textId="77777777" w:rsidR="00E5701D" w:rsidRDefault="00E5701D">
      <w:pPr>
        <w:pStyle w:val="Tekstprzypisudolnego"/>
      </w:pPr>
      <w:r w:rsidRPr="007D3E1C">
        <w:rPr>
          <w:rStyle w:val="Odwoanieprzypisudolnego"/>
          <w:rFonts w:ascii="Times New Roman" w:hAnsi="Times New Roman"/>
        </w:rPr>
        <w:footnoteRef/>
      </w:r>
      <w:r w:rsidRPr="007D3E1C">
        <w:rPr>
          <w:rFonts w:ascii="Times New Roman" w:hAnsi="Times New Roman"/>
        </w:rPr>
        <w:t xml:space="preserve"> </w:t>
      </w:r>
      <w:r>
        <w:rPr>
          <w:rFonts w:ascii="Times New Roman" w:hAnsi="Times New Roman"/>
        </w:rPr>
        <w:t>http://www.powiat-brzeziny.pl/</w:t>
      </w:r>
    </w:p>
  </w:footnote>
  <w:footnote w:id="101">
    <w:p w14:paraId="24162C28" w14:textId="77777777" w:rsidR="00E5701D" w:rsidRPr="007D3E1C" w:rsidRDefault="00E5701D" w:rsidP="00E94547">
      <w:pPr>
        <w:pStyle w:val="Bezodstpw"/>
        <w:spacing w:line="276" w:lineRule="auto"/>
        <w:jc w:val="both"/>
        <w:rPr>
          <w:rFonts w:ascii="Times New Roman" w:hAnsi="Times New Roman"/>
          <w:sz w:val="20"/>
          <w:szCs w:val="20"/>
        </w:rPr>
      </w:pPr>
      <w:r w:rsidRPr="007D3E1C">
        <w:rPr>
          <w:rStyle w:val="Odwoanieprzypisudolnego"/>
          <w:rFonts w:ascii="Times New Roman" w:hAnsi="Times New Roman"/>
          <w:sz w:val="20"/>
          <w:szCs w:val="20"/>
        </w:rPr>
        <w:footnoteRef/>
      </w:r>
      <w:hyperlink r:id="rId50" w:history="1">
        <w:r w:rsidRPr="007D3E1C">
          <w:rPr>
            <w:rStyle w:val="Hipercze"/>
            <w:rFonts w:ascii="Times New Roman" w:hAnsi="Times New Roman"/>
            <w:sz w:val="20"/>
            <w:szCs w:val="20"/>
          </w:rPr>
          <w:t>wieruszow.pcpr.info</w:t>
        </w:r>
      </w:hyperlink>
      <w:r w:rsidRPr="007D3E1C">
        <w:rPr>
          <w:rFonts w:ascii="Times New Roman" w:hAnsi="Times New Roman"/>
          <w:color w:val="000000"/>
          <w:sz w:val="20"/>
          <w:szCs w:val="20"/>
        </w:rPr>
        <w:t>, www.powiat-wieruszowski.pl.</w:t>
      </w:r>
    </w:p>
    <w:p w14:paraId="01A8D220" w14:textId="77777777" w:rsidR="00E5701D" w:rsidRDefault="00E5701D">
      <w:pPr>
        <w:pStyle w:val="Tekstprzypisudolnego"/>
      </w:pPr>
    </w:p>
  </w:footnote>
  <w:footnote w:id="102">
    <w:p w14:paraId="4491D610" w14:textId="77777777" w:rsidR="00E5701D" w:rsidRPr="007D3E1C" w:rsidRDefault="00E5701D" w:rsidP="00F31DCC">
      <w:pPr>
        <w:pStyle w:val="Tekstprzypisudolnego"/>
        <w:rPr>
          <w:rFonts w:ascii="Times New Roman" w:hAnsi="Times New Roman"/>
        </w:rPr>
      </w:pPr>
      <w:r w:rsidRPr="007D3E1C">
        <w:rPr>
          <w:rStyle w:val="Odwoanieprzypisudolnego"/>
          <w:rFonts w:ascii="Times New Roman" w:hAnsi="Times New Roman"/>
        </w:rPr>
        <w:footnoteRef/>
      </w:r>
      <w:r w:rsidRPr="007D3E1C">
        <w:rPr>
          <w:rFonts w:ascii="Times New Roman" w:hAnsi="Times New Roman"/>
        </w:rPr>
        <w:t xml:space="preserve"> </w:t>
      </w:r>
      <w:r w:rsidRPr="007D3E1C">
        <w:rPr>
          <w:rFonts w:ascii="Times New Roman" w:hAnsi="Times New Roman"/>
          <w:color w:val="000000"/>
        </w:rPr>
        <w:t>https://www.malopolska.pl/biznes/rozwoj-regionalny/rozwoj-wojewodztwa/strategia-rozwoju-malopolski</w:t>
      </w:r>
    </w:p>
  </w:footnote>
  <w:footnote w:id="103">
    <w:p w14:paraId="29CE05BF" w14:textId="77777777" w:rsidR="00E5701D" w:rsidRDefault="00E5701D" w:rsidP="00F31DCC">
      <w:pPr>
        <w:pStyle w:val="Tekstprzypisudolnego"/>
      </w:pPr>
      <w:r w:rsidRPr="007D3E1C">
        <w:rPr>
          <w:rStyle w:val="Odwoanieprzypisudolnego"/>
          <w:rFonts w:ascii="Times New Roman" w:hAnsi="Times New Roman"/>
        </w:rPr>
        <w:footnoteRef/>
      </w:r>
      <w:r w:rsidRPr="007D3E1C">
        <w:rPr>
          <w:rFonts w:ascii="Times New Roman" w:hAnsi="Times New Roman"/>
        </w:rPr>
        <w:t xml:space="preserve"> </w:t>
      </w:r>
      <w:hyperlink r:id="rId51" w:history="1">
        <w:r w:rsidRPr="007D3E1C">
          <w:rPr>
            <w:rFonts w:ascii="Times New Roman" w:hAnsi="Times New Roman"/>
            <w:color w:val="000000"/>
          </w:rPr>
          <w:t>https://www.malopolska.pl/biznes/rozwoj-regionalny/rozwoj-wojewodztwa/programy-strategiczne</w:t>
        </w:r>
      </w:hyperlink>
    </w:p>
  </w:footnote>
  <w:footnote w:id="104">
    <w:p w14:paraId="5FBF3ED6" w14:textId="77777777" w:rsidR="00E5701D" w:rsidRPr="007D3E1C" w:rsidRDefault="00E5701D">
      <w:pPr>
        <w:pStyle w:val="Tekstprzypisudolnego"/>
        <w:rPr>
          <w:rFonts w:ascii="Times New Roman" w:hAnsi="Times New Roman"/>
        </w:rPr>
      </w:pPr>
      <w:r w:rsidRPr="007D3E1C">
        <w:rPr>
          <w:rStyle w:val="Odwoanieprzypisudolnego"/>
          <w:rFonts w:ascii="Times New Roman" w:hAnsi="Times New Roman"/>
        </w:rPr>
        <w:footnoteRef/>
      </w:r>
      <w:r w:rsidRPr="007D3E1C">
        <w:rPr>
          <w:rFonts w:ascii="Times New Roman" w:hAnsi="Times New Roman"/>
        </w:rPr>
        <w:t xml:space="preserve"> </w:t>
      </w:r>
      <w:hyperlink r:id="rId52" w:history="1">
        <w:r w:rsidRPr="007D3E1C">
          <w:rPr>
            <w:rStyle w:val="Hipercze"/>
            <w:rFonts w:ascii="Times New Roman" w:eastAsia="Calibri" w:hAnsi="Times New Roman"/>
          </w:rPr>
          <w:t>https://www.rops.krakow.pl/lewa/wspolpraca-z-organizacjami-pozarzadowymi-15/otwarte-konkursy-ofert-2016-2019-57.html</w:t>
        </w:r>
      </w:hyperlink>
    </w:p>
  </w:footnote>
  <w:footnote w:id="105">
    <w:p w14:paraId="46DA7866" w14:textId="77777777" w:rsidR="00E5701D" w:rsidRPr="007D3E1C" w:rsidRDefault="00E5701D" w:rsidP="00D53F34">
      <w:pPr>
        <w:spacing w:after="0"/>
        <w:jc w:val="both"/>
        <w:rPr>
          <w:rFonts w:ascii="Times New Roman" w:eastAsia="Calibri" w:hAnsi="Times New Roman" w:cs="Times New Roman"/>
          <w:color w:val="0070C0"/>
          <w:sz w:val="20"/>
          <w:szCs w:val="20"/>
          <w:u w:val="single"/>
        </w:rPr>
      </w:pPr>
      <w:r w:rsidRPr="007D3E1C">
        <w:rPr>
          <w:rStyle w:val="Odwoanieprzypisudolnego"/>
          <w:rFonts w:ascii="Times New Roman" w:hAnsi="Times New Roman" w:cs="Times New Roman"/>
          <w:sz w:val="20"/>
          <w:szCs w:val="20"/>
        </w:rPr>
        <w:footnoteRef/>
      </w:r>
      <w:r w:rsidRPr="007D3E1C">
        <w:rPr>
          <w:rFonts w:ascii="Times New Roman" w:hAnsi="Times New Roman" w:cs="Times New Roman"/>
          <w:sz w:val="20"/>
          <w:szCs w:val="20"/>
        </w:rPr>
        <w:t xml:space="preserve"> </w:t>
      </w:r>
      <w:hyperlink r:id="rId53" w:history="1">
        <w:r w:rsidRPr="007D3E1C">
          <w:rPr>
            <w:rStyle w:val="Hipercze"/>
            <w:rFonts w:ascii="Times New Roman" w:eastAsia="Calibri" w:hAnsi="Times New Roman" w:cs="Times New Roman"/>
            <w:sz w:val="20"/>
            <w:szCs w:val="20"/>
          </w:rPr>
          <w:t>https://bip.malopolska.pl/umwm/Article/get/id,1162746.html</w:t>
        </w:r>
      </w:hyperlink>
    </w:p>
  </w:footnote>
  <w:footnote w:id="106">
    <w:p w14:paraId="4649C708" w14:textId="77777777" w:rsidR="00E5701D" w:rsidRPr="007D3E1C" w:rsidRDefault="00E5701D">
      <w:pPr>
        <w:pStyle w:val="Tekstprzypisudolnego"/>
        <w:rPr>
          <w:rFonts w:ascii="Times New Roman" w:hAnsi="Times New Roman"/>
        </w:rPr>
      </w:pPr>
      <w:r w:rsidRPr="007D3E1C">
        <w:rPr>
          <w:rStyle w:val="Odwoanieprzypisudolnego"/>
          <w:rFonts w:ascii="Times New Roman" w:hAnsi="Times New Roman"/>
        </w:rPr>
        <w:footnoteRef/>
      </w:r>
      <w:r w:rsidRPr="007D3E1C">
        <w:rPr>
          <w:rFonts w:ascii="Times New Roman" w:hAnsi="Times New Roman"/>
        </w:rPr>
        <w:t xml:space="preserve"> </w:t>
      </w:r>
      <w:hyperlink r:id="rId54" w:history="1">
        <w:r w:rsidRPr="007D3E1C">
          <w:rPr>
            <w:rStyle w:val="Hipercze"/>
            <w:rFonts w:ascii="Times New Roman" w:eastAsia="Calibri" w:hAnsi="Times New Roman"/>
          </w:rPr>
          <w:t>https://www.malopolska.pl/dla-mieszkanca/kultura-i-dziedzictwo/konkursy-grantowe/mecenat-malopolski</w:t>
        </w:r>
      </w:hyperlink>
    </w:p>
  </w:footnote>
  <w:footnote w:id="107">
    <w:p w14:paraId="17655FEA" w14:textId="77777777" w:rsidR="00E5701D" w:rsidRPr="007D3E1C" w:rsidRDefault="00E5701D">
      <w:pPr>
        <w:pStyle w:val="Tekstprzypisudolnego"/>
        <w:rPr>
          <w:rFonts w:ascii="Times New Roman" w:hAnsi="Times New Roman"/>
        </w:rPr>
      </w:pPr>
      <w:r w:rsidRPr="007D3E1C">
        <w:rPr>
          <w:rStyle w:val="Odwoanieprzypisudolnego"/>
          <w:rFonts w:ascii="Times New Roman" w:hAnsi="Times New Roman"/>
        </w:rPr>
        <w:footnoteRef/>
      </w:r>
      <w:r w:rsidRPr="007D3E1C">
        <w:rPr>
          <w:rFonts w:ascii="Times New Roman" w:hAnsi="Times New Roman"/>
        </w:rPr>
        <w:t xml:space="preserve"> </w:t>
      </w:r>
      <w:hyperlink r:id="rId55" w:history="1">
        <w:r w:rsidRPr="007D3E1C">
          <w:rPr>
            <w:rStyle w:val="Hipercze"/>
            <w:rFonts w:ascii="Times New Roman" w:eastAsia="Calibri" w:hAnsi="Times New Roman"/>
          </w:rPr>
          <w:t>https://www.bo.malopolska.pl/</w:t>
        </w:r>
      </w:hyperlink>
    </w:p>
  </w:footnote>
  <w:footnote w:id="108">
    <w:p w14:paraId="271D5DF7" w14:textId="77777777" w:rsidR="00E5701D" w:rsidRDefault="00E5701D">
      <w:pPr>
        <w:pStyle w:val="Tekstprzypisudolnego"/>
      </w:pPr>
      <w:r w:rsidRPr="007D3E1C">
        <w:rPr>
          <w:rStyle w:val="Odwoanieprzypisudolnego"/>
          <w:rFonts w:ascii="Times New Roman" w:hAnsi="Times New Roman"/>
        </w:rPr>
        <w:footnoteRef/>
      </w:r>
      <w:r w:rsidRPr="007D3E1C">
        <w:rPr>
          <w:rFonts w:ascii="Times New Roman" w:hAnsi="Times New Roman"/>
        </w:rPr>
        <w:t xml:space="preserve"> </w:t>
      </w:r>
      <w:hyperlink r:id="rId56" w:history="1">
        <w:r w:rsidRPr="007D3E1C">
          <w:rPr>
            <w:rStyle w:val="Hipercze"/>
            <w:rFonts w:ascii="Times New Roman" w:eastAsia="Calibri" w:hAnsi="Times New Roman"/>
          </w:rPr>
          <w:t>https://www.pfron.org.pl/o-funduszu/struktura-organizacyjna/oddzialy-funduszu/oddzial-malopolski/</w:t>
        </w:r>
      </w:hyperlink>
    </w:p>
  </w:footnote>
  <w:footnote w:id="109">
    <w:p w14:paraId="2CAA8AEC" w14:textId="77777777" w:rsidR="00E5701D" w:rsidRPr="007D3E1C" w:rsidRDefault="00E5701D" w:rsidP="008C71A9">
      <w:pPr>
        <w:numPr>
          <w:ilvl w:val="0"/>
          <w:numId w:val="93"/>
        </w:numPr>
        <w:overflowPunct w:val="0"/>
        <w:autoSpaceDE w:val="0"/>
        <w:autoSpaceDN w:val="0"/>
        <w:adjustRightInd w:val="0"/>
        <w:spacing w:after="0"/>
        <w:ind w:left="360"/>
        <w:jc w:val="both"/>
        <w:textAlignment w:val="baseline"/>
        <w:rPr>
          <w:rFonts w:ascii="Times New Roman" w:hAnsi="Times New Roman" w:cs="Times New Roman"/>
          <w:color w:val="000000"/>
          <w:sz w:val="20"/>
          <w:szCs w:val="20"/>
        </w:rPr>
      </w:pPr>
      <w:r w:rsidRPr="007D3E1C">
        <w:rPr>
          <w:rStyle w:val="Odwoanieprzypisudolnego"/>
          <w:rFonts w:ascii="Times New Roman" w:hAnsi="Times New Roman" w:cs="Times New Roman"/>
          <w:sz w:val="20"/>
          <w:szCs w:val="20"/>
        </w:rPr>
        <w:footnoteRef/>
      </w:r>
      <w:hyperlink r:id="rId57" w:history="1">
        <w:r w:rsidRPr="007D3E1C">
          <w:rPr>
            <w:rStyle w:val="Hipercze"/>
            <w:rFonts w:ascii="Times New Roman" w:hAnsi="Times New Roman" w:cs="Times New Roman"/>
            <w:sz w:val="20"/>
            <w:szCs w:val="20"/>
          </w:rPr>
          <w:t>https://terazgorlice.pl/2019/12/30/projekt-wspolnie-tworzymy-klub-seniora/</w:t>
        </w:r>
      </w:hyperlink>
      <w:r w:rsidRPr="007D3E1C">
        <w:rPr>
          <w:rFonts w:ascii="Times New Roman" w:hAnsi="Times New Roman" w:cs="Times New Roman"/>
          <w:color w:val="0070C0"/>
          <w:sz w:val="20"/>
          <w:szCs w:val="20"/>
          <w:u w:val="single"/>
        </w:rPr>
        <w:t xml:space="preserve"> </w:t>
      </w:r>
      <w:hyperlink r:id="rId58" w:history="1">
        <w:r w:rsidRPr="007D3E1C">
          <w:rPr>
            <w:rStyle w:val="Hipercze"/>
            <w:rFonts w:ascii="Times New Roman" w:hAnsi="Times New Roman" w:cs="Times New Roman"/>
            <w:sz w:val="20"/>
            <w:szCs w:val="20"/>
            <w:lang w:val="en-US"/>
          </w:rPr>
          <w:t>https://www.halogorlice.info/wiadomosci/21260,projekt-wspolnietworzymyklub</w:t>
        </w:r>
      </w:hyperlink>
      <w:r w:rsidRPr="007D3E1C">
        <w:rPr>
          <w:rFonts w:ascii="Times New Roman" w:hAnsi="Times New Roman" w:cs="Times New Roman"/>
          <w:color w:val="0070C0"/>
          <w:sz w:val="20"/>
          <w:szCs w:val="20"/>
          <w:u w:val="single"/>
          <w:lang w:val="en-US"/>
        </w:rPr>
        <w:t xml:space="preserve"> seniora?wcag_underline=1&amp;wcag_contrast=4</w:t>
      </w:r>
      <w:r>
        <w:rPr>
          <w:rFonts w:ascii="Times New Roman" w:hAnsi="Times New Roman" w:cs="Times New Roman"/>
          <w:color w:val="0070C0"/>
          <w:sz w:val="20"/>
          <w:szCs w:val="20"/>
          <w:lang w:val="en-US"/>
        </w:rPr>
        <w:t xml:space="preserve"> oraz </w:t>
      </w:r>
      <w:hyperlink r:id="rId59" w:history="1">
        <w:r w:rsidRPr="007D3E1C">
          <w:rPr>
            <w:rStyle w:val="Hipercze"/>
            <w:rFonts w:ascii="Times New Roman" w:hAnsi="Times New Roman" w:cs="Times New Roman"/>
            <w:color w:val="0070C0"/>
            <w:sz w:val="20"/>
            <w:szCs w:val="20"/>
            <w:lang w:val="en-US"/>
          </w:rPr>
          <w:t>https://www.gorlice.pl/pl/225/6973/wernisaz-prac-plastycznych-gorlickich-seniorow.html</w:t>
        </w:r>
      </w:hyperlink>
    </w:p>
  </w:footnote>
  <w:footnote w:id="110">
    <w:p w14:paraId="25A0506F" w14:textId="77777777" w:rsidR="00E5701D" w:rsidRPr="007D3E1C" w:rsidRDefault="00E5701D">
      <w:pPr>
        <w:pStyle w:val="Tekstprzypisudolnego"/>
        <w:rPr>
          <w:rFonts w:ascii="Times New Roman" w:hAnsi="Times New Roman"/>
        </w:rPr>
      </w:pPr>
      <w:r w:rsidRPr="007D3E1C">
        <w:rPr>
          <w:rStyle w:val="Odwoanieprzypisudolnego"/>
          <w:rFonts w:ascii="Times New Roman" w:hAnsi="Times New Roman"/>
        </w:rPr>
        <w:footnoteRef/>
      </w:r>
      <w:r w:rsidRPr="007D3E1C">
        <w:rPr>
          <w:rFonts w:ascii="Times New Roman" w:hAnsi="Times New Roman"/>
        </w:rPr>
        <w:t xml:space="preserve">  </w:t>
      </w:r>
      <w:hyperlink r:id="rId60" w:history="1">
        <w:r w:rsidRPr="007D3E1C">
          <w:rPr>
            <w:rStyle w:val="Hipercze"/>
            <w:rFonts w:ascii="Times New Roman" w:hAnsi="Times New Roman"/>
          </w:rPr>
          <w:t>https://pcpr-limanowa.pl/wypozyczalnia-sprzetu/</w:t>
        </w:r>
      </w:hyperlink>
    </w:p>
  </w:footnote>
  <w:footnote w:id="111">
    <w:p w14:paraId="123A7DDB" w14:textId="77777777" w:rsidR="00E5701D" w:rsidRPr="007D3E1C" w:rsidRDefault="00E5701D">
      <w:pPr>
        <w:pStyle w:val="Tekstprzypisudolnego"/>
        <w:rPr>
          <w:rFonts w:ascii="Times New Roman" w:hAnsi="Times New Roman"/>
        </w:rPr>
      </w:pPr>
      <w:r w:rsidRPr="007D3E1C">
        <w:rPr>
          <w:rStyle w:val="Odwoanieprzypisudolnego"/>
          <w:rFonts w:ascii="Times New Roman" w:hAnsi="Times New Roman"/>
        </w:rPr>
        <w:footnoteRef/>
      </w:r>
      <w:r w:rsidRPr="007D3E1C">
        <w:rPr>
          <w:rFonts w:ascii="Times New Roman" w:hAnsi="Times New Roman"/>
        </w:rPr>
        <w:t xml:space="preserve"> </w:t>
      </w:r>
      <w:hyperlink r:id="rId61" w:history="1">
        <w:r w:rsidRPr="007D3E1C">
          <w:rPr>
            <w:rStyle w:val="Hipercze"/>
            <w:rFonts w:ascii="Times New Roman" w:hAnsi="Times New Roman"/>
          </w:rPr>
          <w:t>http://www.bibliotekaborzecin.pl/kluby/klub-mionikow-ksiki.html</w:t>
        </w:r>
      </w:hyperlink>
    </w:p>
  </w:footnote>
  <w:footnote w:id="112">
    <w:p w14:paraId="68FAF1A1" w14:textId="77777777" w:rsidR="00E5701D" w:rsidRDefault="00E5701D">
      <w:pPr>
        <w:pStyle w:val="Tekstprzypisudolnego"/>
      </w:pPr>
      <w:r w:rsidRPr="007D3E1C">
        <w:rPr>
          <w:rStyle w:val="Odwoanieprzypisudolnego"/>
          <w:rFonts w:ascii="Times New Roman" w:hAnsi="Times New Roman"/>
        </w:rPr>
        <w:footnoteRef/>
      </w:r>
      <w:r w:rsidRPr="007D3E1C">
        <w:rPr>
          <w:rFonts w:ascii="Times New Roman" w:hAnsi="Times New Roman"/>
        </w:rPr>
        <w:t xml:space="preserve"> </w:t>
      </w:r>
      <w:hyperlink r:id="rId62" w:history="1">
        <w:r w:rsidRPr="007D3E1C">
          <w:rPr>
            <w:rStyle w:val="Hipercze"/>
            <w:rFonts w:ascii="Times New Roman" w:hAnsi="Times New Roman"/>
          </w:rPr>
          <w:t>https://www.dobczyce.pl/e-senior-w-gminie-dobczyce.html</w:t>
        </w:r>
      </w:hyperlink>
    </w:p>
  </w:footnote>
  <w:footnote w:id="113">
    <w:p w14:paraId="7E149ABB" w14:textId="77777777" w:rsidR="00E5701D" w:rsidRPr="00077644" w:rsidRDefault="00E5701D" w:rsidP="00FC2614">
      <w:pPr>
        <w:tabs>
          <w:tab w:val="left" w:pos="2450"/>
        </w:tabs>
        <w:spacing w:after="0" w:line="240" w:lineRule="exact"/>
        <w:rPr>
          <w:rFonts w:ascii="Times New Roman" w:hAnsi="Times New Roman" w:cs="Times New Roman"/>
          <w:sz w:val="20"/>
          <w:szCs w:val="20"/>
        </w:rPr>
      </w:pPr>
      <w:r w:rsidRPr="00077644">
        <w:rPr>
          <w:rStyle w:val="Odwoanieprzypisudolnego"/>
          <w:rFonts w:ascii="Times New Roman" w:hAnsi="Times New Roman" w:cs="Times New Roman"/>
        </w:rPr>
        <w:footnoteRef/>
      </w:r>
      <w:r w:rsidRPr="00077644">
        <w:rPr>
          <w:rFonts w:ascii="Times New Roman" w:eastAsia="Calibri" w:hAnsi="Times New Roman" w:cs="Times New Roman"/>
        </w:rPr>
        <w:t xml:space="preserve"> </w:t>
      </w:r>
      <w:r w:rsidRPr="00077644">
        <w:rPr>
          <w:rFonts w:ascii="Times New Roman" w:hAnsi="Times New Roman" w:cs="Times New Roman"/>
          <w:sz w:val="20"/>
          <w:szCs w:val="20"/>
        </w:rPr>
        <w:t>Źródło: Urząd Statystyczny w Krakowie (Bank Danych Lokalnych GUS, tablice wynikowe z badań demograficznych i badania aktywności ekonomicznej ludności oraz tablice z danymi ZUS i KRUS.</w:t>
      </w:r>
    </w:p>
    <w:p w14:paraId="7780F1B0" w14:textId="77777777" w:rsidR="00E5701D" w:rsidRPr="00BE31A2" w:rsidRDefault="00E5701D" w:rsidP="00FC2614">
      <w:pPr>
        <w:spacing w:after="0" w:line="240" w:lineRule="auto"/>
        <w:rPr>
          <w:rFonts w:ascii="Calibri" w:eastAsia="Calibri" w:hAnsi="Calibri" w:cs="Times New Roman"/>
          <w:sz w:val="20"/>
          <w:szCs w:val="20"/>
        </w:rPr>
      </w:pPr>
    </w:p>
    <w:p w14:paraId="28C4F396" w14:textId="77777777" w:rsidR="00E5701D" w:rsidRDefault="00E5701D" w:rsidP="00FC2614">
      <w:pPr>
        <w:pStyle w:val="Tekstprzypisudolnego"/>
      </w:pPr>
    </w:p>
  </w:footnote>
  <w:footnote w:id="114">
    <w:p w14:paraId="26C184B4" w14:textId="77FEBE1C" w:rsidR="00E5701D" w:rsidRPr="00077644" w:rsidRDefault="00E5701D" w:rsidP="00FC2614">
      <w:pPr>
        <w:pStyle w:val="Tekstprzypisudolnego"/>
        <w:rPr>
          <w:rFonts w:ascii="Times New Roman" w:hAnsi="Times New Roman"/>
        </w:rPr>
      </w:pPr>
      <w:r w:rsidRPr="00077644">
        <w:rPr>
          <w:rStyle w:val="Odwoanieprzypisudolnego"/>
          <w:rFonts w:ascii="Times New Roman" w:hAnsi="Times New Roman"/>
        </w:rPr>
        <w:footnoteRef/>
      </w:r>
      <w:r w:rsidRPr="00077644">
        <w:rPr>
          <w:rFonts w:ascii="Times New Roman" w:hAnsi="Times New Roman"/>
        </w:rPr>
        <w:t xml:space="preserve"> Ocena zasobów pomocy społecznej województwa małopolskiego za rok 2019</w:t>
      </w:r>
    </w:p>
  </w:footnote>
  <w:footnote w:id="115">
    <w:p w14:paraId="690CC49B" w14:textId="77777777" w:rsidR="00E5701D" w:rsidRPr="00077644" w:rsidRDefault="00E5701D" w:rsidP="00FC2614">
      <w:pPr>
        <w:pStyle w:val="Tekstprzypisudolnego"/>
        <w:rPr>
          <w:rFonts w:ascii="Times New Roman" w:hAnsi="Times New Roman"/>
        </w:rPr>
      </w:pPr>
      <w:r w:rsidRPr="00077644">
        <w:rPr>
          <w:rStyle w:val="Odwoanieprzypisudolnego"/>
          <w:rFonts w:ascii="Times New Roman" w:hAnsi="Times New Roman"/>
        </w:rPr>
        <w:footnoteRef/>
      </w:r>
      <w:r w:rsidRPr="00077644">
        <w:rPr>
          <w:rFonts w:ascii="Times New Roman" w:hAnsi="Times New Roman"/>
        </w:rPr>
        <w:t xml:space="preserve"> State of Health the EU Polska Profil Systemu Ochrony Zdrowia 2019. </w:t>
      </w:r>
    </w:p>
  </w:footnote>
  <w:footnote w:id="116">
    <w:p w14:paraId="29DF58A2" w14:textId="77777777" w:rsidR="00E5701D" w:rsidRDefault="00E5701D" w:rsidP="00FC2614">
      <w:pPr>
        <w:pStyle w:val="Tekstprzypisudolnego"/>
      </w:pPr>
      <w:r w:rsidRPr="00077644">
        <w:rPr>
          <w:rStyle w:val="Odwoanieprzypisudolnego"/>
          <w:rFonts w:ascii="Times New Roman" w:hAnsi="Times New Roman"/>
        </w:rPr>
        <w:footnoteRef/>
      </w:r>
      <w:r w:rsidRPr="00077644">
        <w:rPr>
          <w:rFonts w:ascii="Times New Roman" w:hAnsi="Times New Roman"/>
        </w:rPr>
        <w:t xml:space="preserve"> Źródło: opracowanie ROPS w Krakowie</w:t>
      </w:r>
    </w:p>
  </w:footnote>
  <w:footnote w:id="117">
    <w:p w14:paraId="78580F06" w14:textId="77777777" w:rsidR="00E5701D" w:rsidRPr="00077644" w:rsidRDefault="00E5701D" w:rsidP="00FC2614">
      <w:pPr>
        <w:spacing w:after="0" w:line="240" w:lineRule="auto"/>
        <w:rPr>
          <w:rFonts w:ascii="Times New Roman" w:hAnsi="Times New Roman" w:cs="Times New Roman"/>
          <w:sz w:val="20"/>
          <w:szCs w:val="20"/>
        </w:rPr>
      </w:pPr>
      <w:r w:rsidRPr="00077644">
        <w:rPr>
          <w:rStyle w:val="Odwoanieprzypisudolnego"/>
          <w:rFonts w:ascii="Times New Roman" w:hAnsi="Times New Roman" w:cs="Times New Roman"/>
        </w:rPr>
        <w:footnoteRef/>
      </w:r>
      <w:r w:rsidRPr="00077644">
        <w:rPr>
          <w:rFonts w:ascii="Times New Roman" w:hAnsi="Times New Roman" w:cs="Times New Roman"/>
        </w:rPr>
        <w:t xml:space="preserve"> </w:t>
      </w:r>
      <w:r w:rsidRPr="00077644">
        <w:rPr>
          <w:rFonts w:ascii="Times New Roman" w:hAnsi="Times New Roman" w:cs="Times New Roman"/>
          <w:sz w:val="20"/>
          <w:szCs w:val="20"/>
        </w:rPr>
        <w:t xml:space="preserve">Źródło danych: Mz-11 Sprawozdanie o działalności i pracujących w ambulatoryjnej opiece zdrowotnej za rok 2018. Brak danych za 2019. </w:t>
      </w:r>
    </w:p>
  </w:footnote>
  <w:footnote w:id="118">
    <w:p w14:paraId="7AF86F7C" w14:textId="22FBDE7E" w:rsidR="00E5701D" w:rsidRPr="00AC738B" w:rsidRDefault="00E5701D">
      <w:pPr>
        <w:pStyle w:val="Tekstprzypisudolnego"/>
        <w:rPr>
          <w:rFonts w:ascii="Times New Roman" w:hAnsi="Times New Roman"/>
        </w:rPr>
      </w:pPr>
      <w:r w:rsidRPr="00AC738B">
        <w:rPr>
          <w:rStyle w:val="Odwoanieprzypisudolnego"/>
          <w:rFonts w:ascii="Times New Roman" w:hAnsi="Times New Roman"/>
        </w:rPr>
        <w:footnoteRef/>
      </w:r>
      <w:r w:rsidRPr="00AC738B">
        <w:rPr>
          <w:rFonts w:ascii="Times New Roman" w:hAnsi="Times New Roman"/>
        </w:rPr>
        <w:t xml:space="preserve"> Źródło: Opracowanie własne Leczeni przez lekarza POZ z powodu chorób przewlekłych – wymagający opieki czynnej </w:t>
      </w:r>
      <w:r w:rsidRPr="00AC738B">
        <w:rPr>
          <w:rFonts w:ascii="Times New Roman" w:eastAsia="Calibri" w:hAnsi="Times New Roman"/>
        </w:rPr>
        <w:t>na podstawie sprawozdania Mz-11 Sprawozdanie o działalności i pracujących w ambulatoryjnej opiece zdrowotnej 2018 . Brak danych za 2019 rok.</w:t>
      </w:r>
    </w:p>
  </w:footnote>
  <w:footnote w:id="119">
    <w:p w14:paraId="654540A7" w14:textId="77777777" w:rsidR="00E5701D" w:rsidRPr="000C14F3" w:rsidRDefault="00E5701D" w:rsidP="00FC2614">
      <w:pPr>
        <w:pStyle w:val="Tekstprzypisudolnego"/>
        <w:rPr>
          <w:rFonts w:ascii="Arial" w:hAnsi="Arial" w:cs="Arial"/>
          <w:sz w:val="18"/>
          <w:szCs w:val="18"/>
        </w:rPr>
      </w:pPr>
      <w:r w:rsidRPr="00077644">
        <w:rPr>
          <w:rStyle w:val="Odwoanieprzypisudolnego"/>
          <w:rFonts w:ascii="Times New Roman" w:hAnsi="Times New Roman"/>
          <w:sz w:val="18"/>
          <w:szCs w:val="18"/>
        </w:rPr>
        <w:footnoteRef/>
      </w:r>
      <w:r w:rsidRPr="00077644">
        <w:rPr>
          <w:rFonts w:ascii="Times New Roman" w:hAnsi="Times New Roman"/>
          <w:sz w:val="18"/>
          <w:szCs w:val="18"/>
        </w:rPr>
        <w:t xml:space="preserve"> Geriatria Polska tom 19, nr 3-4, str. 146-149 „Najczęstsze przyczyny hospitalizacji chorych w wieku sędziwym na oddziale wewnętrznym” gerontologia.org.pl</w:t>
      </w:r>
    </w:p>
  </w:footnote>
  <w:footnote w:id="120">
    <w:p w14:paraId="2CCE4107" w14:textId="77777777" w:rsidR="00E5701D" w:rsidRDefault="00E5701D" w:rsidP="00FC2614">
      <w:pPr>
        <w:pStyle w:val="Tekstprzypisudolnego"/>
      </w:pPr>
      <w:r>
        <w:rPr>
          <w:rStyle w:val="Odwoanieprzypisudolnego"/>
        </w:rPr>
        <w:footnoteRef/>
      </w:r>
      <w:r>
        <w:t xml:space="preserve"> Źródło danych Rejestr Podmiotów Wykonujących Działalność Leczniczą, wg. stanu na dzień 31.12.2019. MZ-29A Sprawozdanie o działalności podmiotu wykonującego działalność leczniczą w zakresie długoterminowej opieki zdrowotnej, wg. stanu na 31.12.2019.  </w:t>
      </w:r>
    </w:p>
  </w:footnote>
  <w:footnote w:id="121">
    <w:p w14:paraId="7FA174C4" w14:textId="77777777" w:rsidR="00E5701D" w:rsidRDefault="00E5701D" w:rsidP="00FC2614">
      <w:pPr>
        <w:pStyle w:val="Tekstprzypisudolnego"/>
      </w:pPr>
      <w:r>
        <w:rPr>
          <w:rStyle w:val="Odwoanieprzypisudolnego"/>
        </w:rPr>
        <w:footnoteRef/>
      </w:r>
      <w:r>
        <w:t xml:space="preserve"> Raport Konsultanta wojewódzkiego w dziedzinie geriatrii za 2019 rok. </w:t>
      </w:r>
    </w:p>
  </w:footnote>
  <w:footnote w:id="122">
    <w:p w14:paraId="7009917D" w14:textId="77777777" w:rsidR="00E5701D" w:rsidRDefault="00E5701D" w:rsidP="00FC2614">
      <w:pPr>
        <w:pStyle w:val="Tekstprzypisudolnego"/>
      </w:pPr>
      <w:r>
        <w:rPr>
          <w:rStyle w:val="Odwoanieprzypisudolnego"/>
        </w:rPr>
        <w:footnoteRef/>
      </w:r>
      <w:r>
        <w:t xml:space="preserve"> </w:t>
      </w:r>
      <w:r w:rsidRPr="000C14F3">
        <w:t xml:space="preserve">Źródło: </w:t>
      </w:r>
      <w:r>
        <w:t xml:space="preserve">ROPS w Krakowie. </w:t>
      </w:r>
    </w:p>
  </w:footnote>
  <w:footnote w:id="123">
    <w:p w14:paraId="3A1F6637" w14:textId="77777777" w:rsidR="00E5701D" w:rsidRPr="000C14F3" w:rsidRDefault="00E5701D" w:rsidP="00FC2614">
      <w:pPr>
        <w:pStyle w:val="Tekstprzypisudolnego"/>
        <w:rPr>
          <w:sz w:val="18"/>
          <w:szCs w:val="18"/>
        </w:rPr>
      </w:pPr>
      <w:r>
        <w:rPr>
          <w:rStyle w:val="Odwoanieprzypisudolnego"/>
        </w:rPr>
        <w:footnoteRef/>
      </w:r>
      <w:r>
        <w:t xml:space="preserve"> </w:t>
      </w:r>
      <w:r w:rsidRPr="000C14F3">
        <w:t xml:space="preserve">Źródło: </w:t>
      </w:r>
      <w:r>
        <w:t xml:space="preserve">GUS.Dane nt. zgonów według przyczyn dostępne są z dwuletnim opóźnieniem. Sytuacja osób starszych w Polsce w 2018r. State of Health the EU Polska Profil Systemu Ochrony Zdrowia 2019. </w:t>
      </w:r>
    </w:p>
  </w:footnote>
  <w:footnote w:id="124">
    <w:p w14:paraId="61A124EB" w14:textId="77777777" w:rsidR="00E5701D" w:rsidRPr="000C14F3" w:rsidRDefault="00E5701D" w:rsidP="00721E0E">
      <w:pPr>
        <w:tabs>
          <w:tab w:val="left" w:pos="14317"/>
        </w:tabs>
        <w:jc w:val="both"/>
        <w:rPr>
          <w:sz w:val="20"/>
          <w:szCs w:val="20"/>
        </w:rPr>
      </w:pPr>
      <w:r w:rsidRPr="000C14F3">
        <w:rPr>
          <w:rStyle w:val="Odwoanieprzypisudolnego"/>
          <w:rFonts w:ascii="Arial" w:hAnsi="Arial" w:cs="Arial"/>
        </w:rPr>
        <w:footnoteRef/>
      </w:r>
      <w:r w:rsidRPr="000C14F3">
        <w:rPr>
          <w:rFonts w:ascii="Arial" w:hAnsi="Arial" w:cs="Arial"/>
        </w:rPr>
        <w:t xml:space="preserve"> </w:t>
      </w:r>
      <w:r w:rsidRPr="000C14F3">
        <w:rPr>
          <w:sz w:val="20"/>
          <w:szCs w:val="20"/>
        </w:rPr>
        <w:t>Przyczyny zgonów w województwie małopolskim w 2017roku. Aktualizac</w:t>
      </w:r>
      <w:r>
        <w:rPr>
          <w:sz w:val="20"/>
          <w:szCs w:val="20"/>
        </w:rPr>
        <w:t xml:space="preserve">ja danych za 2018 rok planowana </w:t>
      </w:r>
      <w:r w:rsidRPr="000C14F3">
        <w:rPr>
          <w:sz w:val="20"/>
          <w:szCs w:val="20"/>
        </w:rPr>
        <w:t>jest w  2020 roku.</w:t>
      </w:r>
    </w:p>
    <w:p w14:paraId="7E123C82" w14:textId="77777777" w:rsidR="00E5701D" w:rsidRDefault="00E5701D" w:rsidP="00FC2614">
      <w:pPr>
        <w:pStyle w:val="Tekstprzypisudolnego"/>
      </w:pPr>
    </w:p>
  </w:footnote>
  <w:footnote w:id="125">
    <w:p w14:paraId="1CA85212" w14:textId="77777777" w:rsidR="00E5701D" w:rsidRDefault="00E5701D" w:rsidP="00FC2614">
      <w:pPr>
        <w:pStyle w:val="Tekstprzypisudolnego"/>
      </w:pPr>
      <w:r>
        <w:rPr>
          <w:rStyle w:val="Odwoanieprzypisudolnego"/>
        </w:rPr>
        <w:footnoteRef/>
      </w:r>
      <w:r>
        <w:t xml:space="preserve"> Raport Konsultanta wojewódzkiego w dziedzinie geriatrii za 2019 rok. Źródło  GUS w Białymstoku Sytuacja osób starszych w Polsce w 2018r. Informacja z jednostek organizacyjnych Województwa Małopolskiego. State of Health the EU Polska Profil Systemu Ochrony Zdrowia 2019. </w:t>
      </w:r>
    </w:p>
  </w:footnote>
  <w:footnote w:id="126">
    <w:p w14:paraId="00614659" w14:textId="77777777" w:rsidR="00E5701D" w:rsidRDefault="00E5701D" w:rsidP="00FC2614">
      <w:pPr>
        <w:pStyle w:val="Tekstprzypisudolnego"/>
      </w:pPr>
      <w:r>
        <w:rPr>
          <w:rStyle w:val="Odwoanieprzypisudolnego"/>
        </w:rPr>
        <w:footnoteRef/>
      </w:r>
      <w:r>
        <w:t xml:space="preserve">  </w:t>
      </w:r>
      <w:r w:rsidRPr="000C14F3">
        <w:t xml:space="preserve">Źródło: </w:t>
      </w:r>
      <w:r>
        <w:t xml:space="preserve">Urząd Statystyczny w Krakowie (Bank Danych Lokalnych GUS, Tablice wynikowe z badań demograficznych)  oraz ROPS w Krakowie </w:t>
      </w:r>
    </w:p>
  </w:footnote>
  <w:footnote w:id="127">
    <w:p w14:paraId="2ED47496" w14:textId="77777777" w:rsidR="00E5701D" w:rsidRPr="003B0BF4" w:rsidRDefault="00E5701D" w:rsidP="00FC2614">
      <w:pPr>
        <w:spacing w:after="0" w:line="240" w:lineRule="auto"/>
        <w:rPr>
          <w:rFonts w:ascii="Arial" w:eastAsia="Calibri" w:hAnsi="Arial" w:cs="Arial"/>
          <w:sz w:val="18"/>
          <w:szCs w:val="18"/>
          <w:lang w:eastAsia="pl-PL"/>
        </w:rPr>
      </w:pPr>
      <w:r w:rsidRPr="0018083C">
        <w:rPr>
          <w:rStyle w:val="Odwoanieprzypisudolnego"/>
          <w:rFonts w:ascii="Arial" w:hAnsi="Arial" w:cs="Arial"/>
          <w:sz w:val="18"/>
          <w:szCs w:val="18"/>
        </w:rPr>
        <w:footnoteRef/>
      </w:r>
      <w:r w:rsidRPr="0018083C">
        <w:rPr>
          <w:rFonts w:ascii="Arial" w:hAnsi="Arial" w:cs="Arial"/>
          <w:sz w:val="18"/>
          <w:szCs w:val="18"/>
        </w:rPr>
        <w:t xml:space="preserve"> </w:t>
      </w:r>
      <w:r w:rsidRPr="000C14F3">
        <w:rPr>
          <w:sz w:val="20"/>
          <w:szCs w:val="20"/>
        </w:rPr>
        <w:t>Źródło: Wojewódzki Urząd Pracy w Krakowie</w:t>
      </w:r>
      <w:r w:rsidRPr="0018083C">
        <w:rPr>
          <w:rFonts w:ascii="Arial" w:eastAsia="Calibri" w:hAnsi="Arial" w:cs="Arial"/>
          <w:sz w:val="18"/>
          <w:szCs w:val="18"/>
          <w:lang w:eastAsia="pl-PL"/>
        </w:rPr>
        <w:t>.</w:t>
      </w:r>
    </w:p>
  </w:footnote>
  <w:footnote w:id="128">
    <w:p w14:paraId="2789776F" w14:textId="77777777" w:rsidR="00E5701D" w:rsidRPr="00D34006" w:rsidRDefault="00E5701D" w:rsidP="00FC2614">
      <w:pPr>
        <w:pStyle w:val="Tekstprzypisudolnego"/>
        <w:rPr>
          <w:rFonts w:ascii="Arial" w:hAnsi="Arial" w:cs="Arial"/>
          <w:sz w:val="18"/>
          <w:szCs w:val="18"/>
        </w:rPr>
      </w:pPr>
      <w:r w:rsidRPr="00D34006">
        <w:rPr>
          <w:rStyle w:val="Odwoanieprzypisudolnego"/>
          <w:rFonts w:ascii="Arial" w:hAnsi="Arial" w:cs="Arial"/>
          <w:sz w:val="18"/>
          <w:szCs w:val="18"/>
        </w:rPr>
        <w:footnoteRef/>
      </w:r>
      <w:r w:rsidRPr="00D34006">
        <w:rPr>
          <w:rFonts w:ascii="Arial" w:hAnsi="Arial" w:cs="Arial"/>
          <w:sz w:val="18"/>
          <w:szCs w:val="18"/>
        </w:rPr>
        <w:t xml:space="preserve"> </w:t>
      </w:r>
      <w:r w:rsidRPr="000C14F3">
        <w:t>Źródło: ZUS (Oddział w Chrzanowie, Oddział w Nowym Sączu, Oddział w Krakowie. Oddział w Tarnowie)</w:t>
      </w:r>
    </w:p>
  </w:footnote>
  <w:footnote w:id="129">
    <w:p w14:paraId="5FB7B67D" w14:textId="77777777" w:rsidR="00E5701D" w:rsidRDefault="00E5701D" w:rsidP="00FC2614">
      <w:pPr>
        <w:pStyle w:val="Tekstprzypisudolnego"/>
      </w:pPr>
      <w:r>
        <w:rPr>
          <w:rStyle w:val="Odwoanieprzypisudolnego"/>
        </w:rPr>
        <w:footnoteRef/>
      </w:r>
      <w:r>
        <w:t xml:space="preserve"> </w:t>
      </w:r>
      <w:r w:rsidRPr="000C14F3">
        <w:t>Źródło: KRUS Oddział Regionalny w Krakowie</w:t>
      </w:r>
      <w:r>
        <w:t xml:space="preserve"> </w:t>
      </w:r>
    </w:p>
  </w:footnote>
  <w:footnote w:id="130">
    <w:p w14:paraId="25E0B918" w14:textId="77777777" w:rsidR="00E5701D" w:rsidRDefault="00E5701D" w:rsidP="00FC2614">
      <w:pPr>
        <w:pStyle w:val="Tekstprzypisudolnego"/>
      </w:pPr>
      <w:r>
        <w:rPr>
          <w:rStyle w:val="Odwoanieprzypisudolnego"/>
        </w:rPr>
        <w:footnoteRef/>
      </w:r>
      <w:r>
        <w:t xml:space="preserve"> Źródło: GUS. Gospodarka mieszkaniowa w województwie małopolskim w latach 2017-2018. (dane zbierane co 2 lata) </w:t>
      </w:r>
    </w:p>
  </w:footnote>
  <w:footnote w:id="131">
    <w:p w14:paraId="3929A5D6" w14:textId="77777777" w:rsidR="00E5701D" w:rsidRDefault="00E5701D" w:rsidP="00FC2614">
      <w:pPr>
        <w:pStyle w:val="Tekstprzypisudolnego"/>
      </w:pPr>
      <w:r>
        <w:rPr>
          <w:rStyle w:val="Odwoanieprzypisudolnego"/>
        </w:rPr>
        <w:footnoteRef/>
      </w:r>
      <w:r>
        <w:t xml:space="preserve"> </w:t>
      </w:r>
      <w:r w:rsidRPr="000C14F3">
        <w:t>Źródło: Sprawozdanie własne</w:t>
      </w:r>
    </w:p>
    <w:p w14:paraId="0DCBCD99" w14:textId="77777777" w:rsidR="00E5701D" w:rsidRDefault="00E5701D" w:rsidP="00FC2614">
      <w:pPr>
        <w:pStyle w:val="Tekstprzypisudolnego"/>
      </w:pPr>
    </w:p>
  </w:footnote>
  <w:footnote w:id="132">
    <w:p w14:paraId="5E9B2BAA" w14:textId="77777777" w:rsidR="00E5701D" w:rsidRDefault="00E5701D" w:rsidP="00FC2614">
      <w:pPr>
        <w:pStyle w:val="Tekstprzypisudolnego"/>
      </w:pPr>
      <w:r>
        <w:rPr>
          <w:rStyle w:val="Odwoanieprzypisudolnego"/>
        </w:rPr>
        <w:footnoteRef/>
      </w:r>
      <w:r>
        <w:t xml:space="preserve"> Źródło: Sprawozdanie własne</w:t>
      </w:r>
    </w:p>
  </w:footnote>
  <w:footnote w:id="133">
    <w:p w14:paraId="01E704BC" w14:textId="77777777" w:rsidR="00E5701D" w:rsidRDefault="00E5701D" w:rsidP="00FC2614">
      <w:pPr>
        <w:pStyle w:val="Tekstprzypisudolnego"/>
      </w:pPr>
      <w:r>
        <w:rPr>
          <w:rStyle w:val="Odwoanieprzypisudolnego"/>
        </w:rPr>
        <w:footnoteRef/>
      </w:r>
      <w:r>
        <w:t xml:space="preserve"> Źródło: Sprawozdanie własne</w:t>
      </w:r>
    </w:p>
  </w:footnote>
  <w:footnote w:id="134">
    <w:p w14:paraId="16AD49F6" w14:textId="77777777" w:rsidR="00E5701D" w:rsidRDefault="00E5701D" w:rsidP="00FC2614">
      <w:pPr>
        <w:pStyle w:val="Tekstprzypisudolnego"/>
      </w:pPr>
      <w:r>
        <w:rPr>
          <w:rStyle w:val="Odwoanieprzypisudolnego"/>
        </w:rPr>
        <w:footnoteRef/>
      </w:r>
      <w:r>
        <w:t xml:space="preserve"> Źródło: State of Health the EU Polska Profil Systemu Ochrony Zdrowia 2019. </w:t>
      </w:r>
    </w:p>
  </w:footnote>
  <w:footnote w:id="135">
    <w:p w14:paraId="10FB158C" w14:textId="77777777" w:rsidR="00E5701D" w:rsidRPr="001F27F9" w:rsidRDefault="00E5701D" w:rsidP="00FC2614">
      <w:pPr>
        <w:pStyle w:val="Tekstprzypisudolnego"/>
      </w:pPr>
      <w:r>
        <w:rPr>
          <w:rStyle w:val="Odwoanieprzypisudolnego"/>
        </w:rPr>
        <w:footnoteRef/>
      </w:r>
      <w:r w:rsidRPr="001F27F9">
        <w:t xml:space="preserve"> </w:t>
      </w:r>
      <w:r>
        <w:t>Ź</w:t>
      </w:r>
      <w:r w:rsidRPr="001F27F9">
        <w:t xml:space="preserve">ródło: </w:t>
      </w:r>
      <w:r>
        <w:t xml:space="preserve">Ocena zasobów pomocy społecznej województwa małopolskiego za rok 2019 i dane własne. </w:t>
      </w:r>
    </w:p>
  </w:footnote>
  <w:footnote w:id="136">
    <w:p w14:paraId="0B7668AA" w14:textId="77777777" w:rsidR="00E5701D" w:rsidRDefault="00E5701D" w:rsidP="00FC2614">
      <w:pPr>
        <w:pStyle w:val="Tekstprzypisudolnego"/>
      </w:pPr>
      <w:r>
        <w:rPr>
          <w:rStyle w:val="Odwoanieprzypisudolnego"/>
        </w:rPr>
        <w:footnoteRef/>
      </w:r>
      <w:r>
        <w:t xml:space="preserve"> Źródło: ROPS w Krakowie.</w:t>
      </w:r>
    </w:p>
  </w:footnote>
  <w:footnote w:id="137">
    <w:p w14:paraId="5899FC33" w14:textId="77777777" w:rsidR="00E5701D" w:rsidRPr="007D3E1C" w:rsidRDefault="00E5701D">
      <w:pPr>
        <w:pStyle w:val="Tekstprzypisudolnego"/>
        <w:rPr>
          <w:rFonts w:ascii="Times New Roman" w:hAnsi="Times New Roman"/>
        </w:rPr>
      </w:pPr>
      <w:r w:rsidRPr="007D3E1C">
        <w:rPr>
          <w:rStyle w:val="Odwoanieprzypisudolnego"/>
          <w:rFonts w:ascii="Times New Roman" w:hAnsi="Times New Roman"/>
        </w:rPr>
        <w:footnoteRef/>
      </w:r>
      <w:r w:rsidRPr="007D3E1C">
        <w:rPr>
          <w:rFonts w:ascii="Times New Roman" w:hAnsi="Times New Roman"/>
        </w:rPr>
        <w:t xml:space="preserve"> </w:t>
      </w:r>
      <w:r w:rsidRPr="007D3E1C">
        <w:rPr>
          <w:rFonts w:ascii="Times New Roman" w:hAnsi="Times New Roman"/>
          <w:lang w:bidi="pl-PL"/>
        </w:rPr>
        <w:t xml:space="preserve">(treść dokumentu dostępna pod adresem: </w:t>
      </w:r>
      <w:r w:rsidRPr="007D3E1C">
        <w:rPr>
          <w:rFonts w:ascii="Times New Roman" w:hAnsi="Times New Roman"/>
          <w:lang w:val="en-US" w:bidi="en-US"/>
        </w:rPr>
        <w:t>http://mcps.com.pl/wp-content/uploads/2019/07/2014-strategia-polityki-spolecznej-wojewodztwa-mazowieckiego-na-lata-2014-2020-mcps.pdf),</w:t>
      </w:r>
    </w:p>
  </w:footnote>
  <w:footnote w:id="138">
    <w:p w14:paraId="266D2471" w14:textId="77777777" w:rsidR="00E5701D" w:rsidRDefault="00E5701D">
      <w:pPr>
        <w:pStyle w:val="Tekstprzypisudolnego"/>
      </w:pPr>
      <w:r w:rsidRPr="007D3E1C">
        <w:rPr>
          <w:rStyle w:val="Odwoanieprzypisudolnego"/>
          <w:rFonts w:ascii="Times New Roman" w:hAnsi="Times New Roman"/>
        </w:rPr>
        <w:footnoteRef/>
      </w:r>
      <w:r w:rsidRPr="007D3E1C">
        <w:rPr>
          <w:rFonts w:ascii="Times New Roman" w:hAnsi="Times New Roman"/>
          <w:lang w:bidi="pl-PL"/>
        </w:rPr>
        <w:t xml:space="preserve">treść dokumentu dostępna pod adresem: </w:t>
      </w:r>
      <w:hyperlink r:id="rId63" w:history="1">
        <w:r w:rsidRPr="007D3E1C">
          <w:rPr>
            <w:rStyle w:val="Hipercze"/>
            <w:rFonts w:ascii="Times New Roman" w:hAnsi="Times New Roman"/>
            <w:lang w:val="en-US" w:bidi="en-US"/>
          </w:rPr>
          <w:t>http://mcps.com.pl/wp</w:t>
        </w:r>
      </w:hyperlink>
      <w:r w:rsidRPr="007D3E1C">
        <w:rPr>
          <w:rFonts w:ascii="Times New Roman" w:hAnsi="Times New Roman"/>
          <w:lang w:val="en-US" w:bidi="en-US"/>
        </w:rPr>
        <w:t xml:space="preserve"> content/uploads/2019/08/wojewodzki-program-polityki-</w:t>
      </w:r>
      <w:r w:rsidRPr="007D3E1C">
        <w:rPr>
          <w:rFonts w:ascii="Times New Roman" w:hAnsi="Times New Roman"/>
          <w:lang w:bidi="pl-PL"/>
        </w:rPr>
        <w:t>senioralnej-na-lata-2019-2021.pdf</w:t>
      </w:r>
      <w:r w:rsidRPr="007D3E1C">
        <w:rPr>
          <w:rFonts w:ascii="Times New Roman" w:hAnsi="Times New Roman"/>
          <w:lang w:val="en-US" w:bidi="en-US"/>
        </w:rPr>
        <w:t>)</w:t>
      </w:r>
    </w:p>
  </w:footnote>
  <w:footnote w:id="139">
    <w:p w14:paraId="441BDCD1"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64" w:history="1">
        <w:r w:rsidRPr="008905FF">
          <w:rPr>
            <w:rStyle w:val="Hipercze"/>
            <w:rFonts w:ascii="Times New Roman" w:eastAsiaTheme="majorEastAsia" w:hAnsi="Times New Roman"/>
          </w:rPr>
          <w:t>http://www.rops-opole.pl/index.php?id=2</w:t>
        </w:r>
      </w:hyperlink>
    </w:p>
  </w:footnote>
  <w:footnote w:id="140">
    <w:p w14:paraId="7BF308A0" w14:textId="77777777" w:rsidR="00E5701D" w:rsidRPr="0022409C" w:rsidRDefault="00E5701D" w:rsidP="00F31DCC">
      <w:pPr>
        <w:pStyle w:val="Tekstprzypisudolnego"/>
        <w:jc w:val="both"/>
        <w:rPr>
          <w:sz w:val="18"/>
          <w:szCs w:val="18"/>
        </w:rPr>
      </w:pPr>
      <w:r w:rsidRPr="008905FF">
        <w:rPr>
          <w:rStyle w:val="Odwoanieprzypisudolnego"/>
          <w:rFonts w:ascii="Times New Roman" w:hAnsi="Times New Roman"/>
        </w:rPr>
        <w:footnoteRef/>
      </w:r>
      <w:r w:rsidRPr="008905FF">
        <w:rPr>
          <w:rFonts w:ascii="Times New Roman" w:hAnsi="Times New Roman"/>
        </w:rPr>
        <w:t xml:space="preserve"> Źródło: opracowanie własne UMWO (Instytucja Zarządzająca RPO WO 2024-2020).</w:t>
      </w:r>
    </w:p>
  </w:footnote>
  <w:footnote w:id="141">
    <w:p w14:paraId="359EE600" w14:textId="77777777" w:rsidR="00E5701D" w:rsidRPr="008905FF" w:rsidRDefault="00E5701D" w:rsidP="00F31DCC">
      <w:pPr>
        <w:pStyle w:val="Tekstprzypisudolnego"/>
        <w:jc w:val="both"/>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Źródło: informacje Wydziału Polityki Społecznej i Zdrowia OUW.</w:t>
      </w:r>
    </w:p>
  </w:footnote>
  <w:footnote w:id="142">
    <w:p w14:paraId="2BEA5BDA"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65" w:history="1">
        <w:r w:rsidRPr="008905FF">
          <w:rPr>
            <w:rStyle w:val="Hipercze"/>
            <w:rFonts w:ascii="Times New Roman" w:hAnsi="Times New Roman"/>
          </w:rPr>
          <w:t>https://rzeszow.uw.gov.pl/konkursy/otwarty-konkurs-ofert-3/</w:t>
        </w:r>
      </w:hyperlink>
    </w:p>
  </w:footnote>
  <w:footnote w:id="143">
    <w:p w14:paraId="58D28978" w14:textId="77777777" w:rsidR="00E5701D" w:rsidRPr="008905FF" w:rsidRDefault="00E5701D" w:rsidP="00183D5C">
      <w:pPr>
        <w:spacing w:after="0"/>
        <w:contextualSpacing/>
        <w:jc w:val="both"/>
        <w:rPr>
          <w:rFonts w:ascii="Times New Roman" w:eastAsia="Times New Roman" w:hAnsi="Times New Roman" w:cs="Times New Roman"/>
          <w:sz w:val="20"/>
          <w:szCs w:val="20"/>
          <w:lang w:eastAsia="pl-PL"/>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66" w:history="1">
        <w:r w:rsidRPr="008905FF">
          <w:rPr>
            <w:rStyle w:val="Hipercze"/>
            <w:rFonts w:ascii="Times New Roman" w:hAnsi="Times New Roman" w:cs="Times New Roman"/>
            <w:sz w:val="20"/>
            <w:szCs w:val="20"/>
          </w:rPr>
          <w:t>http://www.rops.rzeszow.pl/s-25-tresc-programu</w:t>
        </w:r>
      </w:hyperlink>
    </w:p>
    <w:p w14:paraId="1FF0A12E" w14:textId="77777777" w:rsidR="00E5701D" w:rsidRDefault="00E5701D">
      <w:pPr>
        <w:pStyle w:val="Tekstprzypisudolnego"/>
      </w:pPr>
    </w:p>
  </w:footnote>
  <w:footnote w:id="144">
    <w:p w14:paraId="6D641A5B"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67" w:anchor="tresc" w:history="1">
        <w:r w:rsidRPr="008905FF">
          <w:rPr>
            <w:rStyle w:val="Hipercze"/>
            <w:rFonts w:ascii="Times New Roman" w:hAnsi="Times New Roman"/>
          </w:rPr>
          <w:t>https://www.erzeszow.pl/pl/514-senior-w-miescie/7060-program-wydarzen. html#tresc</w:t>
        </w:r>
      </w:hyperlink>
    </w:p>
  </w:footnote>
  <w:footnote w:id="145">
    <w:p w14:paraId="3453FB30"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68" w:history="1">
        <w:r w:rsidRPr="008905FF">
          <w:rPr>
            <w:rStyle w:val="Hipercze"/>
            <w:rFonts w:ascii="Times New Roman" w:hAnsi="Times New Roman"/>
          </w:rPr>
          <w:t>http://www.pcprlubaczow.pl/pl/ 34660/192674/Obchody_Swiatowego_Dnia_Chorego_w_Lubaczowie_2019.html</w:t>
        </w:r>
      </w:hyperlink>
    </w:p>
  </w:footnote>
  <w:footnote w:id="146">
    <w:p w14:paraId="14D82A18"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69" w:history="1">
        <w:r w:rsidRPr="008905FF">
          <w:rPr>
            <w:rStyle w:val="Hipercze"/>
            <w:rFonts w:ascii="Times New Roman" w:hAnsi="Times New Roman"/>
          </w:rPr>
          <w:t>https://powiatnizanski.pl/i ndex.php?option=com_content&amp;view=article&amp;id=2078:seniorzy-aktywni-dzieki-skutecznym-organizacjom-pozarzadowym-z-powiatu nizanskiego&amp;catid=341&amp;high light=WyJzZW5pb3J6eSJd&amp;Itemid=1118</w:t>
        </w:r>
      </w:hyperlink>
    </w:p>
  </w:footnote>
  <w:footnote w:id="147">
    <w:p w14:paraId="43D3A366"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70" w:history="1">
        <w:r w:rsidRPr="008905FF">
          <w:rPr>
            <w:rStyle w:val="Hipercze"/>
            <w:rFonts w:ascii="Times New Roman" w:hAnsi="Times New Roman"/>
          </w:rPr>
          <w:t>http://www.gminakrasne.pl/aktualnosci/blisko-mieszkamy-wspolnie-dzialamy,1194.html</w:t>
        </w:r>
      </w:hyperlink>
    </w:p>
  </w:footnote>
  <w:footnote w:id="148">
    <w:p w14:paraId="2930613D"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71" w:history="1">
        <w:r w:rsidRPr="008905FF">
          <w:rPr>
            <w:rStyle w:val="Hipercze"/>
            <w:rFonts w:ascii="Times New Roman" w:hAnsi="Times New Roman"/>
          </w:rPr>
          <w:t>https://www.boguchwala.pl/364-aktualnosci/4592-wszystkie-aktualnosci/ 9208-zabiegi-rehabilitacyjne-dla-mieszkancow-gminy-boguchwala.html</w:t>
        </w:r>
      </w:hyperlink>
    </w:p>
  </w:footnote>
  <w:footnote w:id="149">
    <w:p w14:paraId="400F2B31"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72" w:history="1">
        <w:r w:rsidRPr="008905FF">
          <w:rPr>
            <w:rStyle w:val="Hipercze"/>
            <w:rFonts w:ascii="Times New Roman" w:hAnsi="Times New Roman"/>
          </w:rPr>
          <w:t>https://www.facebook.com/search/top/?q=seniorzy%20w%20akcji% 20s%C5% 82odkie%20tajemnice&amp;epa=SEARCH_BOX</w:t>
        </w:r>
      </w:hyperlink>
    </w:p>
  </w:footnote>
  <w:footnote w:id="150">
    <w:p w14:paraId="20F8BBF6"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73" w:tgtFrame="_blank" w:history="1">
        <w:r w:rsidRPr="008905FF">
          <w:rPr>
            <w:rFonts w:ascii="Times New Roman" w:hAnsi="Times New Roman"/>
            <w:color w:val="0000FF"/>
            <w:u w:val="single"/>
          </w:rPr>
          <w:t>http://www.mops-debica.pl/art,643,zdrowy-senior</w:t>
        </w:r>
      </w:hyperlink>
    </w:p>
  </w:footnote>
  <w:footnote w:id="151">
    <w:p w14:paraId="014F98F3" w14:textId="77777777" w:rsidR="00E5701D" w:rsidRPr="008905FF" w:rsidRDefault="00E5701D" w:rsidP="00BC02D8">
      <w:pPr>
        <w:spacing w:after="0"/>
        <w:jc w:val="both"/>
        <w:rPr>
          <w:rFonts w:ascii="Times New Roman" w:hAnsi="Times New Roman" w:cs="Times New Roman"/>
          <w:sz w:val="20"/>
          <w:szCs w:val="20"/>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74" w:history="1">
        <w:r w:rsidRPr="008905FF">
          <w:rPr>
            <w:rStyle w:val="Hipercze"/>
            <w:rFonts w:ascii="Times New Roman" w:hAnsi="Times New Roman" w:cs="Times New Roman"/>
            <w:sz w:val="20"/>
            <w:szCs w:val="20"/>
          </w:rPr>
          <w:t>https://strategia.wrotapodlasia.pl/pl/strategia_rozwoju_wojewdztwa_podlaskiego_2030/</w:t>
        </w:r>
      </w:hyperlink>
    </w:p>
  </w:footnote>
  <w:footnote w:id="152">
    <w:p w14:paraId="65AB47D0" w14:textId="77777777" w:rsidR="00E5701D" w:rsidRPr="008905FF" w:rsidRDefault="00E5701D" w:rsidP="00BC02D8">
      <w:pPr>
        <w:spacing w:after="0"/>
        <w:jc w:val="both"/>
        <w:rPr>
          <w:rFonts w:ascii="Times New Roman" w:hAnsi="Times New Roman" w:cs="Times New Roman"/>
          <w:sz w:val="20"/>
          <w:szCs w:val="20"/>
        </w:rPr>
      </w:pPr>
      <w:r w:rsidRPr="008905FF">
        <w:rPr>
          <w:rStyle w:val="Odwoanieprzypisudolnego"/>
          <w:rFonts w:ascii="Times New Roman" w:hAnsi="Times New Roman" w:cs="Times New Roman"/>
          <w:sz w:val="20"/>
          <w:szCs w:val="20"/>
        </w:rPr>
        <w:footnoteRef/>
      </w:r>
      <w:hyperlink r:id="rId75" w:history="1">
        <w:r w:rsidRPr="008905FF">
          <w:rPr>
            <w:rStyle w:val="Hipercze"/>
            <w:rFonts w:ascii="Times New Roman" w:hAnsi="Times New Roman" w:cs="Times New Roman"/>
            <w:sz w:val="20"/>
            <w:szCs w:val="20"/>
          </w:rPr>
          <w:t>https://strategia.wrotapodlasia.pl/pl/strategia_rozwoju_wojewdztwa_do_roku_2020/o_strategii.html</w:t>
        </w:r>
      </w:hyperlink>
      <w:r w:rsidRPr="008905FF">
        <w:rPr>
          <w:rFonts w:ascii="Times New Roman" w:hAnsi="Times New Roman" w:cs="Times New Roman"/>
          <w:sz w:val="20"/>
          <w:szCs w:val="20"/>
        </w:rPr>
        <w:t xml:space="preserve">  </w:t>
      </w:r>
    </w:p>
  </w:footnote>
  <w:footnote w:id="153">
    <w:p w14:paraId="76EEF6D6" w14:textId="77777777" w:rsidR="00E5701D" w:rsidRPr="008905FF" w:rsidRDefault="00E5701D" w:rsidP="00BC02D8">
      <w:pPr>
        <w:spacing w:after="0"/>
        <w:jc w:val="both"/>
        <w:rPr>
          <w:rFonts w:ascii="Times New Roman" w:hAnsi="Times New Roman" w:cs="Times New Roman"/>
          <w:sz w:val="20"/>
          <w:szCs w:val="20"/>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76" w:history="1">
        <w:r w:rsidRPr="008905FF">
          <w:rPr>
            <w:rStyle w:val="Hipercze"/>
            <w:rFonts w:ascii="Times New Roman" w:hAnsi="Times New Roman" w:cs="Times New Roman"/>
            <w:sz w:val="20"/>
            <w:szCs w:val="20"/>
          </w:rPr>
          <w:t>http://www.rops-bialystok.pl/rops/?page_id=7250</w:t>
        </w:r>
      </w:hyperlink>
      <w:r w:rsidRPr="008905FF">
        <w:rPr>
          <w:rFonts w:ascii="Times New Roman" w:hAnsi="Times New Roman" w:cs="Times New Roman"/>
          <w:sz w:val="20"/>
          <w:szCs w:val="20"/>
        </w:rPr>
        <w:t xml:space="preserve"> </w:t>
      </w:r>
    </w:p>
  </w:footnote>
  <w:footnote w:id="154">
    <w:p w14:paraId="48807A36"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77" w:history="1">
        <w:r w:rsidRPr="008905FF">
          <w:rPr>
            <w:rStyle w:val="Hipercze"/>
            <w:rFonts w:ascii="Times New Roman" w:hAnsi="Times New Roman"/>
          </w:rPr>
          <w:t>http://www.rops-bialystok.pl/rops/?page_id=2281</w:t>
        </w:r>
      </w:hyperlink>
    </w:p>
  </w:footnote>
  <w:footnote w:id="155">
    <w:p w14:paraId="03DD36DF" w14:textId="77777777" w:rsidR="00E5701D" w:rsidRPr="008905FF" w:rsidRDefault="00E5701D" w:rsidP="00BC02D8">
      <w:pPr>
        <w:spacing w:after="0"/>
        <w:jc w:val="both"/>
        <w:rPr>
          <w:rFonts w:ascii="Times New Roman" w:hAnsi="Times New Roman" w:cs="Times New Roman"/>
          <w:sz w:val="20"/>
          <w:szCs w:val="20"/>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78" w:history="1">
        <w:r w:rsidRPr="008905FF">
          <w:rPr>
            <w:rStyle w:val="Hipercze"/>
            <w:rFonts w:ascii="Times New Roman" w:hAnsi="Times New Roman" w:cs="Times New Roman"/>
            <w:sz w:val="20"/>
            <w:szCs w:val="20"/>
          </w:rPr>
          <w:t>http://www.rops-bialystok.pl/rops/?page_id=2281</w:t>
        </w:r>
      </w:hyperlink>
      <w:r w:rsidRPr="008905FF">
        <w:rPr>
          <w:rFonts w:ascii="Times New Roman" w:hAnsi="Times New Roman" w:cs="Times New Roman"/>
          <w:sz w:val="20"/>
          <w:szCs w:val="20"/>
        </w:rPr>
        <w:t xml:space="preserve">  </w:t>
      </w:r>
    </w:p>
  </w:footnote>
  <w:footnote w:id="156">
    <w:p w14:paraId="588EC6E7" w14:textId="77777777" w:rsidR="00E5701D" w:rsidRPr="00BC02D8" w:rsidRDefault="00E5701D" w:rsidP="00BC02D8">
      <w:pPr>
        <w:spacing w:after="0"/>
        <w:jc w:val="both"/>
        <w:rPr>
          <w:rFonts w:ascii="Times New Roman" w:hAnsi="Times New Roman" w:cs="Times New Roman"/>
          <w:i/>
          <w:sz w:val="24"/>
          <w:szCs w:val="24"/>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79" w:history="1">
        <w:r w:rsidRPr="008905FF">
          <w:rPr>
            <w:rStyle w:val="Hipercze"/>
            <w:rFonts w:ascii="Times New Roman" w:hAnsi="Times New Roman" w:cs="Times New Roman"/>
            <w:sz w:val="20"/>
            <w:szCs w:val="20"/>
          </w:rPr>
          <w:t>http://www.rops-bialystok.pl/rops/?page_id=2281</w:t>
        </w:r>
      </w:hyperlink>
      <w:r>
        <w:rPr>
          <w:rFonts w:ascii="Times New Roman" w:hAnsi="Times New Roman" w:cs="Times New Roman"/>
          <w:i/>
          <w:sz w:val="24"/>
          <w:szCs w:val="24"/>
        </w:rPr>
        <w:t xml:space="preserve">  </w:t>
      </w:r>
    </w:p>
  </w:footnote>
  <w:footnote w:id="157">
    <w:p w14:paraId="7871671A"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80" w:history="1">
        <w:r w:rsidRPr="008905FF">
          <w:rPr>
            <w:rStyle w:val="Hipercze"/>
            <w:rFonts w:ascii="Times New Roman" w:hAnsi="Times New Roman"/>
          </w:rPr>
          <w:t>www.horyzont-seniorzy.pl</w:t>
        </w:r>
      </w:hyperlink>
    </w:p>
  </w:footnote>
  <w:footnote w:id="158">
    <w:p w14:paraId="318D52D2"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81" w:history="1">
        <w:r w:rsidRPr="008905FF">
          <w:rPr>
            <w:rStyle w:val="Hipercze"/>
            <w:rFonts w:ascii="Times New Roman" w:hAnsi="Times New Roman"/>
          </w:rPr>
          <w:t>www.dpskalina.suwalki.pl</w:t>
        </w:r>
      </w:hyperlink>
    </w:p>
  </w:footnote>
  <w:footnote w:id="159">
    <w:p w14:paraId="15AF1E3B"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82" w:history="1">
        <w:r w:rsidRPr="008905FF">
          <w:rPr>
            <w:rStyle w:val="Hipercze"/>
            <w:rFonts w:ascii="Times New Roman" w:hAnsi="Times New Roman"/>
          </w:rPr>
          <w:t>www.horyzont-seniorzy.pl</w:t>
        </w:r>
      </w:hyperlink>
    </w:p>
  </w:footnote>
  <w:footnote w:id="160">
    <w:p w14:paraId="7A276C09"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83" w:history="1">
        <w:r w:rsidRPr="008905FF">
          <w:rPr>
            <w:rStyle w:val="Hipercze"/>
            <w:rFonts w:ascii="Times New Roman" w:hAnsi="Times New Roman"/>
          </w:rPr>
          <w:t>www.salosrp.pl</w:t>
        </w:r>
      </w:hyperlink>
    </w:p>
  </w:footnote>
  <w:footnote w:id="161">
    <w:p w14:paraId="556894B9"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84" w:history="1">
        <w:r w:rsidRPr="008905FF">
          <w:rPr>
            <w:rStyle w:val="Hipercze"/>
            <w:rFonts w:ascii="Times New Roman" w:hAnsi="Times New Roman"/>
          </w:rPr>
          <w:t>www.pzeriisuwalki.pl</w:t>
        </w:r>
      </w:hyperlink>
    </w:p>
  </w:footnote>
  <w:footnote w:id="162">
    <w:p w14:paraId="281E5600"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85" w:history="1">
        <w:r w:rsidRPr="008905FF">
          <w:rPr>
            <w:rStyle w:val="Hipercze"/>
            <w:rFonts w:ascii="Times New Roman" w:hAnsi="Times New Roman"/>
          </w:rPr>
          <w:t>www.pzeriisuwalki.pl</w:t>
        </w:r>
      </w:hyperlink>
    </w:p>
  </w:footnote>
  <w:footnote w:id="163">
    <w:p w14:paraId="2ED5FAD8"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86" w:history="1">
        <w:r w:rsidRPr="008905FF">
          <w:rPr>
            <w:rStyle w:val="Hipercze"/>
            <w:rFonts w:ascii="Times New Roman" w:hAnsi="Times New Roman"/>
          </w:rPr>
          <w:t>www.horyzont-seniorzy.pl</w:t>
        </w:r>
      </w:hyperlink>
    </w:p>
  </w:footnote>
  <w:footnote w:id="164">
    <w:p w14:paraId="6204F6D3"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87" w:history="1">
        <w:r w:rsidRPr="008905FF">
          <w:rPr>
            <w:rStyle w:val="Hipercze"/>
            <w:rFonts w:ascii="Times New Roman" w:hAnsi="Times New Roman"/>
          </w:rPr>
          <w:t>www.bialostocka.zhp.pl</w:t>
        </w:r>
      </w:hyperlink>
    </w:p>
  </w:footnote>
  <w:footnote w:id="165">
    <w:p w14:paraId="737DEBFE" w14:textId="77777777" w:rsidR="00E5701D" w:rsidRPr="008905FF" w:rsidRDefault="00E5701D" w:rsidP="008905FF">
      <w:pPr>
        <w:spacing w:after="0"/>
        <w:jc w:val="both"/>
        <w:rPr>
          <w:rFonts w:ascii="Times New Roman" w:hAnsi="Times New Roman" w:cs="Times New Roman"/>
          <w:sz w:val="20"/>
          <w:szCs w:val="20"/>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88" w:history="1">
        <w:r w:rsidRPr="008905FF">
          <w:rPr>
            <w:rStyle w:val="Hipercze"/>
            <w:rFonts w:ascii="Times New Roman" w:hAnsi="Times New Roman" w:cs="Times New Roman"/>
            <w:sz w:val="20"/>
            <w:szCs w:val="20"/>
          </w:rPr>
          <w:t>www.horyzont-seniorzy.pl</w:t>
        </w:r>
      </w:hyperlink>
      <w:r w:rsidRPr="008905FF">
        <w:rPr>
          <w:rFonts w:ascii="Times New Roman" w:hAnsi="Times New Roman" w:cs="Times New Roman"/>
          <w:sz w:val="20"/>
          <w:szCs w:val="20"/>
        </w:rPr>
        <w:t xml:space="preserve"> </w:t>
      </w:r>
    </w:p>
  </w:footnote>
  <w:footnote w:id="166">
    <w:p w14:paraId="40D36C54"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89" w:history="1">
        <w:r w:rsidRPr="008905FF">
          <w:rPr>
            <w:rStyle w:val="Hipercze"/>
            <w:rFonts w:ascii="Times New Roman" w:hAnsi="Times New Roman"/>
          </w:rPr>
          <w:t>www.lomza.pl</w:t>
        </w:r>
      </w:hyperlink>
    </w:p>
  </w:footnote>
  <w:footnote w:id="167">
    <w:p w14:paraId="09EFB281"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90" w:history="1">
        <w:r w:rsidRPr="008905FF">
          <w:rPr>
            <w:rStyle w:val="Hipercze"/>
            <w:rFonts w:ascii="Times New Roman" w:hAnsi="Times New Roman"/>
          </w:rPr>
          <w:t>www.lomza.pl</w:t>
        </w:r>
      </w:hyperlink>
    </w:p>
  </w:footnote>
  <w:footnote w:id="168">
    <w:p w14:paraId="4B9FA620"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91" w:history="1">
        <w:r w:rsidRPr="008905FF">
          <w:rPr>
            <w:rStyle w:val="Hipercze"/>
            <w:rFonts w:ascii="Times New Roman" w:hAnsi="Times New Roman"/>
          </w:rPr>
          <w:t>www.przedsiebiorczalomza.pl</w:t>
        </w:r>
      </w:hyperlink>
    </w:p>
  </w:footnote>
  <w:footnote w:id="169">
    <w:p w14:paraId="46B4FA5B" w14:textId="77777777" w:rsidR="00E5701D" w:rsidRDefault="00E5701D">
      <w:pPr>
        <w:pStyle w:val="Tekstprzypisudolnego"/>
      </w:pPr>
      <w:r>
        <w:rPr>
          <w:rStyle w:val="Odwoanieprzypisudolnego"/>
        </w:rPr>
        <w:footnoteRef/>
      </w:r>
      <w:r>
        <w:t xml:space="preserve"> </w:t>
      </w:r>
      <w:hyperlink r:id="rId92" w:history="1">
        <w:r w:rsidRPr="008905FF">
          <w:rPr>
            <w:rStyle w:val="Hipercze"/>
            <w:rFonts w:ascii="Times New Roman" w:hAnsi="Times New Roman"/>
          </w:rPr>
          <w:t>www.um.suwalki.pl</w:t>
        </w:r>
      </w:hyperlink>
    </w:p>
  </w:footnote>
  <w:footnote w:id="170">
    <w:p w14:paraId="27F56202"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93" w:history="1">
        <w:r w:rsidRPr="008905FF">
          <w:rPr>
            <w:rStyle w:val="Hipercze"/>
            <w:rFonts w:ascii="Times New Roman" w:hAnsi="Times New Roman"/>
          </w:rPr>
          <w:t>https://umbielskpodlaski.pl/pl/aktualnosc/koperta-%C5%BCycia-dla-seniora</w:t>
        </w:r>
      </w:hyperlink>
      <w:r w:rsidRPr="008905FF">
        <w:rPr>
          <w:rStyle w:val="e24kjd"/>
          <w:rFonts w:ascii="Times New Roman" w:hAnsi="Times New Roman"/>
        </w:rPr>
        <w:t xml:space="preserve">  </w:t>
      </w:r>
    </w:p>
  </w:footnote>
  <w:footnote w:id="171">
    <w:p w14:paraId="0BBD9E40"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94" w:history="1">
        <w:r w:rsidRPr="008905FF">
          <w:rPr>
            <w:rStyle w:val="Hipercze"/>
            <w:rFonts w:ascii="Times New Roman" w:hAnsi="Times New Roman"/>
          </w:rPr>
          <w:t>https://umbielskpodlaski.pl/pl/aktualnosc/tylko-do-30-listopada-2019-roku-mo%C5%BCna-bezp%C5%82atnie-zaszczepi%C4%87-si%C4%99-przeciwko-grypie</w:t>
        </w:r>
      </w:hyperlink>
      <w:r w:rsidRPr="008905FF">
        <w:rPr>
          <w:rStyle w:val="Hipercze"/>
          <w:rFonts w:ascii="Times New Roman" w:hAnsi="Times New Roman"/>
          <w:sz w:val="28"/>
          <w:szCs w:val="24"/>
        </w:rPr>
        <w:t xml:space="preserve">  </w:t>
      </w:r>
    </w:p>
  </w:footnote>
  <w:footnote w:id="172">
    <w:p w14:paraId="046CC795"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95" w:history="1">
        <w:r w:rsidRPr="008905FF">
          <w:rPr>
            <w:rStyle w:val="Hipercze"/>
            <w:rFonts w:ascii="Times New Roman" w:hAnsi="Times New Roman"/>
          </w:rPr>
          <w:t>http://sokolka-powiat.pl/2019/07/04/kreatywne-seniorki-cykl-spotkan-rekodzielniczych/</w:t>
        </w:r>
      </w:hyperlink>
    </w:p>
  </w:footnote>
  <w:footnote w:id="173">
    <w:p w14:paraId="5C3159CC"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96" w:history="1">
        <w:r w:rsidRPr="008905FF">
          <w:rPr>
            <w:rStyle w:val="Hipercze"/>
            <w:rFonts w:ascii="Times New Roman" w:hAnsi="Times New Roman"/>
          </w:rPr>
          <w:t>http://powiat.hajnowka.pl/aktualnosci/spotkanie-bezpieczenstwo-osob-starszych-i-niepelnosprawnych-1</w:t>
        </w:r>
      </w:hyperlink>
    </w:p>
  </w:footnote>
  <w:footnote w:id="174">
    <w:p w14:paraId="6C4EC990"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97" w:history="1">
        <w:r w:rsidRPr="008905FF">
          <w:rPr>
            <w:rStyle w:val="Hipercze"/>
            <w:rFonts w:ascii="Times New Roman" w:hAnsi="Times New Roman"/>
          </w:rPr>
          <w:t>https://www.niebywalesuwalki.pl/2019/10/niezle-ziolka-we-wsi-sobolewo-powstala-pracownia-zielarska/</w:t>
        </w:r>
      </w:hyperlink>
    </w:p>
  </w:footnote>
  <w:footnote w:id="175">
    <w:p w14:paraId="25978D14"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98" w:history="1">
        <w:r w:rsidRPr="008905FF">
          <w:rPr>
            <w:rStyle w:val="Hipercze"/>
            <w:rFonts w:ascii="Times New Roman" w:hAnsi="Times New Roman"/>
          </w:rPr>
          <w:t>https://orthodoxia.pl/pytanie-do-specjalisty</w:t>
        </w:r>
      </w:hyperlink>
    </w:p>
  </w:footnote>
  <w:footnote w:id="176">
    <w:p w14:paraId="420C042B" w14:textId="77777777" w:rsidR="00E5701D" w:rsidRPr="008905FF" w:rsidRDefault="00E5701D" w:rsidP="008905FF">
      <w:pPr>
        <w:spacing w:after="0"/>
        <w:rPr>
          <w:rFonts w:ascii="Times New Roman" w:hAnsi="Times New Roman" w:cs="Times New Roman"/>
          <w:sz w:val="20"/>
          <w:szCs w:val="20"/>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99" w:history="1">
        <w:r w:rsidRPr="008905FF">
          <w:rPr>
            <w:rStyle w:val="czeinternetowe"/>
            <w:rFonts w:ascii="Times New Roman" w:hAnsi="Times New Roman" w:cs="Times New Roman"/>
            <w:sz w:val="20"/>
            <w:szCs w:val="20"/>
            <w:highlight w:val="white"/>
          </w:rPr>
          <w:t>https://www.youtube.com/watch?v=LB-36H7VGKk</w:t>
        </w:r>
      </w:hyperlink>
      <w:r w:rsidRPr="008905FF">
        <w:rPr>
          <w:rFonts w:ascii="Times New Roman" w:hAnsi="Times New Roman" w:cs="Times New Roman"/>
          <w:color w:val="333333"/>
          <w:sz w:val="20"/>
          <w:szCs w:val="20"/>
          <w:highlight w:val="white"/>
        </w:rPr>
        <w:t xml:space="preserve"> </w:t>
      </w:r>
      <w:hyperlink r:id="rId100" w:history="1">
        <w:r w:rsidRPr="008905FF">
          <w:rPr>
            <w:rStyle w:val="czeinternetowe"/>
            <w:rFonts w:ascii="Times New Roman" w:hAnsi="Times New Roman" w:cs="Times New Roman"/>
            <w:sz w:val="20"/>
            <w:szCs w:val="20"/>
            <w:highlight w:val="white"/>
          </w:rPr>
          <w:t>http://tv.wrotapodlasia.pl/itv/101678/Podlaskie_Zdrowie_2019_odc.html odcinek2</w:t>
        </w:r>
      </w:hyperlink>
      <w:r w:rsidRPr="008905FF">
        <w:rPr>
          <w:rFonts w:ascii="Times New Roman" w:hAnsi="Times New Roman" w:cs="Times New Roman"/>
          <w:color w:val="333333"/>
          <w:sz w:val="20"/>
          <w:szCs w:val="20"/>
          <w:highlight w:val="white"/>
        </w:rPr>
        <w:t xml:space="preserve">  </w:t>
      </w:r>
    </w:p>
    <w:p w14:paraId="6208BF89" w14:textId="77777777" w:rsidR="00E5701D" w:rsidRPr="008905FF" w:rsidRDefault="00141E52" w:rsidP="008905FF">
      <w:pPr>
        <w:spacing w:after="0"/>
        <w:rPr>
          <w:rFonts w:ascii="Times New Roman" w:hAnsi="Times New Roman" w:cs="Times New Roman"/>
          <w:sz w:val="20"/>
          <w:szCs w:val="20"/>
        </w:rPr>
      </w:pPr>
      <w:hyperlink r:id="rId101" w:history="1">
        <w:r w:rsidR="00E5701D" w:rsidRPr="008905FF">
          <w:rPr>
            <w:rStyle w:val="czeinternetowe"/>
            <w:rFonts w:ascii="Times New Roman" w:hAnsi="Times New Roman" w:cs="Times New Roman"/>
            <w:sz w:val="20"/>
            <w:szCs w:val="20"/>
            <w:highlight w:val="white"/>
          </w:rPr>
          <w:t>https://www.youtube.com/watch?v=J9WWPY-Ws9s&amp;feature=youtu.be</w:t>
        </w:r>
      </w:hyperlink>
      <w:r w:rsidR="00E5701D" w:rsidRPr="008905FF">
        <w:rPr>
          <w:rFonts w:ascii="Times New Roman" w:hAnsi="Times New Roman" w:cs="Times New Roman"/>
          <w:color w:val="333333"/>
          <w:sz w:val="20"/>
          <w:szCs w:val="20"/>
          <w:highlight w:val="white"/>
        </w:rPr>
        <w:t xml:space="preserve"> </w:t>
      </w:r>
      <w:hyperlink r:id="rId102" w:history="1">
        <w:r w:rsidR="00E5701D" w:rsidRPr="008905FF">
          <w:rPr>
            <w:rStyle w:val="czeinternetowe"/>
            <w:rFonts w:ascii="Times New Roman" w:hAnsi="Times New Roman" w:cs="Times New Roman"/>
            <w:sz w:val="20"/>
            <w:szCs w:val="20"/>
            <w:highlight w:val="white"/>
          </w:rPr>
          <w:t>https://tv.wrotapodlasia.pl/itv/101702/Podlaskie_Zdrowie_2019_odc_2_Otylosc.html odcinek3</w:t>
        </w:r>
      </w:hyperlink>
      <w:r w:rsidR="00E5701D" w:rsidRPr="008905FF">
        <w:rPr>
          <w:rFonts w:ascii="Times New Roman" w:hAnsi="Times New Roman" w:cs="Times New Roman"/>
          <w:color w:val="333333"/>
          <w:sz w:val="20"/>
          <w:szCs w:val="20"/>
          <w:highlight w:val="white"/>
        </w:rPr>
        <w:t xml:space="preserve">  </w:t>
      </w:r>
    </w:p>
    <w:p w14:paraId="04A8C36A" w14:textId="77777777" w:rsidR="00E5701D" w:rsidRPr="008905FF" w:rsidRDefault="00141E52" w:rsidP="008905FF">
      <w:pPr>
        <w:spacing w:after="0"/>
        <w:rPr>
          <w:rFonts w:ascii="Times New Roman" w:hAnsi="Times New Roman" w:cs="Times New Roman"/>
          <w:sz w:val="20"/>
          <w:szCs w:val="20"/>
        </w:rPr>
      </w:pPr>
      <w:hyperlink r:id="rId103" w:history="1">
        <w:r w:rsidR="00E5701D" w:rsidRPr="008905FF">
          <w:rPr>
            <w:rStyle w:val="czeinternetowe"/>
            <w:rFonts w:ascii="Times New Roman" w:hAnsi="Times New Roman" w:cs="Times New Roman"/>
            <w:sz w:val="20"/>
            <w:szCs w:val="20"/>
            <w:highlight w:val="white"/>
          </w:rPr>
          <w:t>https://www.youtube.com/watch?v=xZGKSR0wZfw&amp;feature=youtu.be</w:t>
        </w:r>
      </w:hyperlink>
      <w:r w:rsidR="00E5701D" w:rsidRPr="008905FF">
        <w:rPr>
          <w:rFonts w:ascii="Times New Roman" w:hAnsi="Times New Roman" w:cs="Times New Roman"/>
          <w:color w:val="333333"/>
          <w:sz w:val="20"/>
          <w:szCs w:val="20"/>
          <w:highlight w:val="white"/>
        </w:rPr>
        <w:t xml:space="preserve"> </w:t>
      </w:r>
      <w:hyperlink r:id="rId104" w:history="1">
        <w:r w:rsidR="00E5701D" w:rsidRPr="008905FF">
          <w:rPr>
            <w:rStyle w:val="czeinternetowe"/>
            <w:rFonts w:ascii="Times New Roman" w:hAnsi="Times New Roman" w:cs="Times New Roman"/>
            <w:sz w:val="20"/>
            <w:szCs w:val="20"/>
            <w:highlight w:val="white"/>
          </w:rPr>
          <w:t>https://tv.wrotapodlasia.pl/itv/101723/Podlaskie_zdrowie_2019_odc_3_Depresja_seniorow.html</w:t>
        </w:r>
      </w:hyperlink>
    </w:p>
    <w:p w14:paraId="595D6869" w14:textId="77777777" w:rsidR="00E5701D" w:rsidRDefault="00E5701D">
      <w:pPr>
        <w:pStyle w:val="Tekstprzypisudolnego"/>
      </w:pPr>
    </w:p>
  </w:footnote>
  <w:footnote w:id="177">
    <w:p w14:paraId="216F331C" w14:textId="5AA382D6" w:rsidR="00E5701D" w:rsidRPr="00447209" w:rsidRDefault="00E5701D">
      <w:pPr>
        <w:pStyle w:val="Tekstprzypisudolnego"/>
        <w:rPr>
          <w:rFonts w:ascii="Times New Roman" w:hAnsi="Times New Roman"/>
        </w:rPr>
      </w:pPr>
      <w:r w:rsidRPr="00447209">
        <w:rPr>
          <w:rStyle w:val="Odwoanieprzypisudolnego"/>
          <w:rFonts w:ascii="Times New Roman" w:hAnsi="Times New Roman"/>
        </w:rPr>
        <w:footnoteRef/>
      </w:r>
      <w:r w:rsidRPr="00447209">
        <w:rPr>
          <w:rFonts w:ascii="Times New Roman" w:hAnsi="Times New Roman"/>
        </w:rPr>
        <w:t xml:space="preserve"> dane pochodzą ze sprawozdania MZ-11</w:t>
      </w:r>
    </w:p>
  </w:footnote>
  <w:footnote w:id="178">
    <w:p w14:paraId="30DD6C01" w14:textId="07CA757D" w:rsidR="00E5701D" w:rsidRDefault="00E5701D">
      <w:pPr>
        <w:pStyle w:val="Tekstprzypisudolnego"/>
      </w:pPr>
      <w:r w:rsidRPr="00447209">
        <w:rPr>
          <w:rStyle w:val="Odwoanieprzypisudolnego"/>
          <w:rFonts w:ascii="Times New Roman" w:hAnsi="Times New Roman"/>
        </w:rPr>
        <w:footnoteRef/>
      </w:r>
      <w:r w:rsidRPr="00447209">
        <w:rPr>
          <w:rFonts w:ascii="Times New Roman" w:hAnsi="Times New Roman"/>
        </w:rPr>
        <w:t xml:space="preserve"> dane pochodzą ze sprawozdania MZ/SzP-11</w:t>
      </w:r>
    </w:p>
  </w:footnote>
  <w:footnote w:id="179">
    <w:p w14:paraId="6F7B791B" w14:textId="77777777" w:rsidR="00E5701D" w:rsidRDefault="00E5701D" w:rsidP="00E925C7">
      <w:pPr>
        <w:pStyle w:val="Tekstprzypisudolnego"/>
      </w:pPr>
      <w:r>
        <w:rPr>
          <w:rFonts w:ascii="Times New Roman" w:hAnsi="Times New Roman"/>
          <w:sz w:val="23"/>
          <w:szCs w:val="23"/>
        </w:rPr>
        <w:t>*</w:t>
      </w:r>
      <w:r w:rsidRPr="001B1851">
        <w:t xml:space="preserve"> </w:t>
      </w:r>
      <w:r w:rsidRPr="001B1851">
        <w:rPr>
          <w:rFonts w:ascii="Times New Roman" w:hAnsi="Times New Roman"/>
          <w:sz w:val="23"/>
          <w:szCs w:val="23"/>
        </w:rPr>
        <w:t>na podstawie  Badania A</w:t>
      </w:r>
      <w:r>
        <w:rPr>
          <w:rFonts w:ascii="Times New Roman" w:hAnsi="Times New Roman"/>
          <w:sz w:val="23"/>
          <w:szCs w:val="23"/>
        </w:rPr>
        <w:t>ktywności Ekonomicznej Ludności</w:t>
      </w:r>
    </w:p>
  </w:footnote>
  <w:footnote w:id="180">
    <w:p w14:paraId="6EE1EF66"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r>
        <w:rPr>
          <w:rFonts w:ascii="Times New Roman" w:hAnsi="Times New Roman"/>
        </w:rPr>
        <w:t>https://www.rpo.pomorskie.eu/</w:t>
      </w:r>
    </w:p>
  </w:footnote>
  <w:footnote w:id="181">
    <w:p w14:paraId="6CAA2027"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05" w:history="1">
        <w:r w:rsidRPr="008905FF">
          <w:rPr>
            <w:rStyle w:val="Hipercze"/>
            <w:rFonts w:ascii="Times New Roman" w:eastAsia="Calibri" w:hAnsi="Times New Roman"/>
            <w:bCs/>
            <w:kern w:val="1"/>
          </w:rPr>
          <w:t>https://gcrt.pl/</w:t>
        </w:r>
      </w:hyperlink>
    </w:p>
  </w:footnote>
  <w:footnote w:id="182">
    <w:p w14:paraId="55A05AFF"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06" w:history="1">
        <w:r w:rsidRPr="008905FF">
          <w:rPr>
            <w:rStyle w:val="Hipercze"/>
            <w:rFonts w:ascii="Times New Roman" w:eastAsia="Calibri" w:hAnsi="Times New Roman"/>
            <w:kern w:val="1"/>
          </w:rPr>
          <w:t>http://www.sutw.org/index.php/projekty/324-akademia-seniora</w:t>
        </w:r>
      </w:hyperlink>
    </w:p>
  </w:footnote>
  <w:footnote w:id="183">
    <w:p w14:paraId="03CFD8F5"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107" w:history="1">
        <w:r w:rsidRPr="008905FF">
          <w:rPr>
            <w:rStyle w:val="Hipercze"/>
            <w:rFonts w:ascii="Times New Roman" w:hAnsi="Times New Roman"/>
          </w:rPr>
          <w:t>http://www.slupsk.pl/fachman-nowa-usluga-dla-osob-starszych-81181/</w:t>
        </w:r>
      </w:hyperlink>
      <w:r w:rsidRPr="008905FF">
        <w:rPr>
          <w:rFonts w:ascii="Times New Roman" w:hAnsi="Times New Roman"/>
        </w:rPr>
        <w:t>.</w:t>
      </w:r>
    </w:p>
  </w:footnote>
  <w:footnote w:id="184">
    <w:p w14:paraId="57C2ED31"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08" w:history="1">
        <w:r w:rsidRPr="008905FF">
          <w:rPr>
            <w:rStyle w:val="Hipercze"/>
            <w:rFonts w:ascii="Times New Roman" w:hAnsi="Times New Roman"/>
          </w:rPr>
          <w:t>http://srebrnasiec.pl/</w:t>
        </w:r>
      </w:hyperlink>
    </w:p>
  </w:footnote>
  <w:footnote w:id="185">
    <w:p w14:paraId="6C1267DC"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109" w:history="1">
        <w:r w:rsidRPr="008905FF">
          <w:rPr>
            <w:rStyle w:val="Hipercze"/>
            <w:rFonts w:ascii="Times New Roman" w:hAnsi="Times New Roman"/>
          </w:rPr>
          <w:t>https://kks.fundacjafly.pl/</w:t>
        </w:r>
      </w:hyperlink>
    </w:p>
  </w:footnote>
  <w:footnote w:id="186">
    <w:p w14:paraId="192754D1" w14:textId="77777777" w:rsidR="00E5701D" w:rsidRPr="008905FF" w:rsidRDefault="00E5701D" w:rsidP="008905FF">
      <w:pPr>
        <w:spacing w:after="0"/>
        <w:rPr>
          <w:rStyle w:val="Hipercze"/>
          <w:rFonts w:ascii="Times New Roman" w:hAnsi="Times New Roman" w:cs="Times New Roman"/>
          <w:color w:val="auto"/>
          <w:sz w:val="20"/>
          <w:szCs w:val="20"/>
          <w:u w:val="none"/>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110" w:history="1">
        <w:r w:rsidRPr="008905FF">
          <w:rPr>
            <w:rStyle w:val="Hipercze"/>
            <w:rFonts w:ascii="Times New Roman" w:hAnsi="Times New Roman" w:cs="Times New Roman"/>
            <w:sz w:val="20"/>
            <w:szCs w:val="20"/>
          </w:rPr>
          <w:t>https://lis.gdynia.pl</w:t>
        </w:r>
      </w:hyperlink>
      <w:r w:rsidRPr="008905FF">
        <w:rPr>
          <w:rFonts w:ascii="Times New Roman" w:hAnsi="Times New Roman" w:cs="Times New Roman"/>
          <w:sz w:val="20"/>
          <w:szCs w:val="20"/>
        </w:rPr>
        <w:t xml:space="preserve">, </w:t>
      </w:r>
      <w:hyperlink r:id="rId111" w:history="1">
        <w:r w:rsidRPr="008905FF">
          <w:rPr>
            <w:rStyle w:val="Hipercze"/>
            <w:rFonts w:ascii="Times New Roman" w:hAnsi="Times New Roman" w:cs="Times New Roman"/>
            <w:sz w:val="20"/>
            <w:szCs w:val="20"/>
          </w:rPr>
          <w:t>https://www.gdynia.pl/spoleczenstwo,7580/gdynia-mowi-stop-przestepczosci-wobec-seniorow,545406</w:t>
        </w:r>
      </w:hyperlink>
    </w:p>
    <w:p w14:paraId="14ED8D00" w14:textId="77777777" w:rsidR="00E5701D" w:rsidRDefault="00E5701D">
      <w:pPr>
        <w:pStyle w:val="Tekstprzypisudolnego"/>
      </w:pPr>
    </w:p>
  </w:footnote>
  <w:footnote w:id="187">
    <w:p w14:paraId="7846FFE1"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r w:rsidRPr="008905FF">
        <w:rPr>
          <w:rFonts w:ascii="Times New Roman" w:eastAsia="Calibri" w:hAnsi="Times New Roman"/>
        </w:rPr>
        <w:t xml:space="preserve"> </w:t>
      </w:r>
      <w:hyperlink r:id="rId112" w:history="1">
        <w:r w:rsidRPr="008905FF">
          <w:rPr>
            <w:rStyle w:val="Hipercze"/>
            <w:rFonts w:ascii="Times New Roman" w:eastAsia="Calibri" w:hAnsi="Times New Roman"/>
          </w:rPr>
          <w:t>https://rops-katowice.pl/dopobrania/2015.09.14-strategia.pdf</w:t>
        </w:r>
      </w:hyperlink>
    </w:p>
  </w:footnote>
  <w:footnote w:id="188">
    <w:p w14:paraId="56D3547F"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13" w:history="1">
        <w:r w:rsidRPr="008905FF">
          <w:rPr>
            <w:rStyle w:val="Hipercze"/>
            <w:rFonts w:ascii="Times New Roman" w:eastAsia="Lucida Sans Unicode" w:hAnsi="Times New Roman"/>
          </w:rPr>
          <w:t>https://www.slaskie.pl/content/koncepcja-polityki-przeciwdzialania-negatywnym-zmianom-demograficznym-depopulacji-i-starzeniu-sie-spoleczenstwa</w:t>
        </w:r>
      </w:hyperlink>
    </w:p>
  </w:footnote>
  <w:footnote w:id="189">
    <w:p w14:paraId="045D6C6C"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114" w:history="1">
        <w:r w:rsidRPr="008905FF">
          <w:rPr>
            <w:rStyle w:val="Hipercze"/>
            <w:rFonts w:ascii="Times New Roman" w:eastAsia="Calibri" w:hAnsi="Times New Roman"/>
          </w:rPr>
          <w:t>https://archiwum-bip.slaskie.pl/dokumenty/2017/02/02/1486034614.pdf</w:t>
        </w:r>
      </w:hyperlink>
    </w:p>
  </w:footnote>
  <w:footnote w:id="190">
    <w:p w14:paraId="0F152E60"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15" w:history="1">
        <w:r w:rsidRPr="008905FF">
          <w:rPr>
            <w:rStyle w:val="Hipercze"/>
            <w:rFonts w:ascii="Times New Roman" w:eastAsia="Lucida Sans Unicode" w:hAnsi="Times New Roman"/>
          </w:rPr>
          <w:t>https://rops-katowice.pl/wp-content/uploads/2018/04/2018.2023-ppu.pdf</w:t>
        </w:r>
      </w:hyperlink>
    </w:p>
  </w:footnote>
  <w:footnote w:id="191">
    <w:p w14:paraId="3AA0C2C3"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16" w:history="1">
        <w:r w:rsidRPr="008905FF">
          <w:rPr>
            <w:rStyle w:val="Hipercze"/>
            <w:rFonts w:ascii="Times New Roman" w:eastAsia="Lucida Sans Unicode" w:hAnsi="Times New Roman"/>
          </w:rPr>
          <w:t>https://rops-katowice.pl/wp-content/uploads/2019/07/Program-ub%C3%B3stwo_monitoring_3.07.2019.pdf</w:t>
        </w:r>
      </w:hyperlink>
    </w:p>
  </w:footnote>
  <w:footnote w:id="192">
    <w:p w14:paraId="445C7AEC"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117" w:history="1">
        <w:r w:rsidRPr="008905FF">
          <w:rPr>
            <w:rStyle w:val="Hipercze"/>
            <w:rFonts w:ascii="Times New Roman" w:eastAsia="Lucida Sans Unicode" w:hAnsi="Times New Roman"/>
          </w:rPr>
          <w:t>https://seniorzy.slaskie.pl/</w:t>
        </w:r>
      </w:hyperlink>
    </w:p>
  </w:footnote>
  <w:footnote w:id="193">
    <w:p w14:paraId="2AE47F89"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18" w:history="1">
        <w:r w:rsidRPr="008905FF">
          <w:rPr>
            <w:rStyle w:val="Hipercze"/>
            <w:rFonts w:ascii="Times New Roman" w:eastAsia="Lucida Sans Unicode" w:hAnsi="Times New Roman"/>
          </w:rPr>
          <w:t>https://rops-katowice.pl/strategia-programy-i-badania/</w:t>
        </w:r>
      </w:hyperlink>
    </w:p>
  </w:footnote>
  <w:footnote w:id="194">
    <w:p w14:paraId="1AFD6F68" w14:textId="77777777" w:rsidR="00E5701D" w:rsidRPr="008905FF" w:rsidRDefault="00E5701D" w:rsidP="009F3360">
      <w:pPr>
        <w:spacing w:after="0"/>
        <w:jc w:val="both"/>
        <w:rPr>
          <w:rFonts w:ascii="Times New Roman" w:hAnsi="Times New Roman" w:cs="Times New Roman"/>
          <w:i/>
          <w:iCs/>
          <w:sz w:val="20"/>
          <w:szCs w:val="20"/>
        </w:rPr>
      </w:pPr>
      <w:r w:rsidRPr="008905FF">
        <w:rPr>
          <w:rStyle w:val="Odwoanieprzypisudolnego"/>
          <w:rFonts w:ascii="Times New Roman" w:hAnsi="Times New Roman" w:cs="Times New Roman"/>
          <w:sz w:val="20"/>
          <w:szCs w:val="20"/>
        </w:rPr>
        <w:footnoteRef/>
      </w:r>
      <w:hyperlink r:id="rId119" w:history="1">
        <w:r w:rsidRPr="008905FF">
          <w:rPr>
            <w:rStyle w:val="Hipercze"/>
            <w:rFonts w:ascii="Times New Roman" w:eastAsia="Lucida Sans Unicode" w:hAnsi="Times New Roman" w:cs="Times New Roman"/>
            <w:sz w:val="20"/>
            <w:szCs w:val="20"/>
          </w:rPr>
          <w:t>https://rops-katowice.pl/wp-content/uploads/2020/03/2020-03-05-Diagn_i-monit_wyb_prob_spol_w_woj_sl-2019.pdf</w:t>
        </w:r>
      </w:hyperlink>
    </w:p>
  </w:footnote>
  <w:footnote w:id="195">
    <w:p w14:paraId="07A7AAF2"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20" w:history="1">
        <w:r w:rsidRPr="008905FF">
          <w:rPr>
            <w:rStyle w:val="Hipercze"/>
            <w:rFonts w:ascii="Times New Roman" w:eastAsia="Lucida Sans Unicode" w:hAnsi="Times New Roman"/>
          </w:rPr>
          <w:t>https://seniorzy.rops-katowice.pl/category/granty-dla-seniorow/</w:t>
        </w:r>
      </w:hyperlink>
    </w:p>
  </w:footnote>
  <w:footnote w:id="196">
    <w:p w14:paraId="4655C84D"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r w:rsidRPr="008905FF">
        <w:rPr>
          <w:rFonts w:ascii="Times New Roman" w:hAnsi="Times New Roman"/>
          <w:color w:val="0000FF"/>
        </w:rPr>
        <w:t>http://www.projekt-partnerski.eu/</w:t>
      </w:r>
    </w:p>
  </w:footnote>
  <w:footnote w:id="197">
    <w:p w14:paraId="63F20943"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r w:rsidRPr="008905FF">
        <w:rPr>
          <w:rFonts w:ascii="Times New Roman" w:hAnsi="Times New Roman"/>
          <w:color w:val="0000FF"/>
        </w:rPr>
        <w:t>https://www.pcpr.starostwo.bielsko.pl/niepelnosprawni/dofinansowania-z-pfron/turnusy-rehabilitacyjne</w:t>
      </w:r>
      <w:r w:rsidRPr="008905FF">
        <w:rPr>
          <w:rFonts w:ascii="Times New Roman" w:hAnsi="Times New Roman"/>
        </w:rPr>
        <w:t>),</w:t>
      </w:r>
    </w:p>
  </w:footnote>
  <w:footnote w:id="198">
    <w:p w14:paraId="575A40A1"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21" w:history="1">
        <w:r w:rsidRPr="008905FF">
          <w:rPr>
            <w:rStyle w:val="Hipercze"/>
            <w:rFonts w:ascii="Times New Roman" w:hAnsi="Times New Roman"/>
          </w:rPr>
          <w:t>https://www.pcpr.starostwo.bielsko.pl/niepelnosprawni/dofinansowania-z-pfron/przedmioty-ortopedyczne-i-srodki-pomocnicze</w:t>
        </w:r>
      </w:hyperlink>
      <w:r w:rsidRPr="008905FF">
        <w:rPr>
          <w:rFonts w:ascii="Times New Roman" w:hAnsi="Times New Roman"/>
        </w:rPr>
        <w:t>)</w:t>
      </w:r>
    </w:p>
  </w:footnote>
  <w:footnote w:id="199">
    <w:p w14:paraId="3C6E52E8"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22" w:history="1">
        <w:r w:rsidRPr="008905FF">
          <w:rPr>
            <w:rStyle w:val="Hipercze"/>
            <w:rFonts w:ascii="Times New Roman" w:eastAsia="SimSun" w:hAnsi="Times New Roman"/>
          </w:rPr>
          <w:t>http://bcwbytom.prv.pl;</w:t>
        </w:r>
      </w:hyperlink>
      <w:r w:rsidRPr="008905FF">
        <w:rPr>
          <w:rFonts w:ascii="Times New Roman" w:eastAsia="SimSun" w:hAnsi="Times New Roman"/>
          <w:color w:val="1F2DA8"/>
        </w:rPr>
        <w:t xml:space="preserve"> </w:t>
      </w:r>
      <w:hyperlink r:id="rId123" w:history="1">
        <w:r w:rsidRPr="008905FF">
          <w:rPr>
            <w:rStyle w:val="Hipercze"/>
            <w:rFonts w:ascii="Times New Roman" w:eastAsia="SimSun" w:hAnsi="Times New Roman"/>
          </w:rPr>
          <w:t>http://www.dpsdladoroslych.bytom.pl/;</w:t>
        </w:r>
      </w:hyperlink>
    </w:p>
  </w:footnote>
  <w:footnote w:id="200">
    <w:p w14:paraId="6F6F4FC4"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r w:rsidRPr="008905FF">
        <w:rPr>
          <w:rFonts w:ascii="Times New Roman" w:eastAsia="SimSun" w:hAnsi="Times New Roman"/>
          <w:color w:val="1F2DA8"/>
        </w:rPr>
        <w:t>https://www.facebook.com/BytomskieCentrumWsparcia</w:t>
      </w:r>
    </w:p>
  </w:footnote>
  <w:footnote w:id="201">
    <w:p w14:paraId="1C5408F8" w14:textId="77777777" w:rsidR="00E5701D" w:rsidRPr="008905FF" w:rsidRDefault="00E5701D" w:rsidP="009D6248">
      <w:pPr>
        <w:pStyle w:val="Tekstpodstawowy"/>
        <w:tabs>
          <w:tab w:val="left" w:pos="0"/>
        </w:tabs>
        <w:spacing w:after="0" w:line="276" w:lineRule="auto"/>
        <w:jc w:val="both"/>
        <w:rPr>
          <w:rFonts w:ascii="Times New Roman" w:eastAsia="SimSun" w:hAnsi="Times New Roman" w:cs="Times New Roman"/>
          <w:sz w:val="20"/>
          <w:szCs w:val="20"/>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r w:rsidRPr="008905FF">
        <w:rPr>
          <w:rFonts w:ascii="Times New Roman" w:eastAsia="SimSun" w:hAnsi="Times New Roman" w:cs="Times New Roman"/>
          <w:color w:val="1F2DA8"/>
          <w:sz w:val="20"/>
          <w:szCs w:val="20"/>
        </w:rPr>
        <w:t xml:space="preserve">http://bcwbytom.prv.pl;https://www.facebook.com/BytomskieCentrumWsparcia </w:t>
      </w:r>
    </w:p>
  </w:footnote>
  <w:footnote w:id="202">
    <w:p w14:paraId="5EE8C1D2"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w:history="1">
        <w:r w:rsidRPr="008905FF">
          <w:rPr>
            <w:rStyle w:val="Hipercze"/>
            <w:rFonts w:ascii="Times New Roman" w:eastAsia="SimSun" w:hAnsi="Times New Roman"/>
          </w:rPr>
          <w:t>https://www.facebook. com/BytomskieCentrumWsparcia</w:t>
        </w:r>
      </w:hyperlink>
    </w:p>
  </w:footnote>
  <w:footnote w:id="203">
    <w:p w14:paraId="22608A2E"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r w:rsidRPr="008905FF">
        <w:rPr>
          <w:rFonts w:ascii="Times New Roman" w:eastAsia="SimSun" w:hAnsi="Times New Roman"/>
          <w:color w:val="1F2DA8"/>
        </w:rPr>
        <w:t xml:space="preserve">http://bcwbytom.prv.pl; </w:t>
      </w:r>
      <w:hyperlink w:history="1">
        <w:r w:rsidRPr="008905FF">
          <w:rPr>
            <w:rStyle w:val="Hipercze"/>
            <w:rFonts w:ascii="Times New Roman" w:eastAsia="SimSun" w:hAnsi="Times New Roman"/>
          </w:rPr>
          <w:t>http://www.dpsdladoros lych.bytom.pl/;</w:t>
        </w:r>
      </w:hyperlink>
    </w:p>
  </w:footnote>
  <w:footnote w:id="204">
    <w:p w14:paraId="6CA1C7F9" w14:textId="77777777" w:rsidR="00E5701D" w:rsidRDefault="00E5701D">
      <w:pPr>
        <w:pStyle w:val="Tekstprzypisudolnego"/>
      </w:pPr>
      <w:r>
        <w:rPr>
          <w:rStyle w:val="Odwoanieprzypisudolnego"/>
        </w:rPr>
        <w:footnoteRef/>
      </w:r>
      <w:r>
        <w:t xml:space="preserve"> </w:t>
      </w:r>
      <w:r w:rsidRPr="005A4405">
        <w:rPr>
          <w:rFonts w:ascii="Times New Roman" w:eastAsia="SimSun" w:hAnsi="Times New Roman"/>
          <w:color w:val="1F2DA8"/>
        </w:rPr>
        <w:t>https://www.facebook.com/BytomskieCentrumWsparcia</w:t>
      </w:r>
    </w:p>
  </w:footnote>
  <w:footnote w:id="205">
    <w:p w14:paraId="15817D51"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24" w:history="1">
        <w:r w:rsidRPr="008905FF">
          <w:rPr>
            <w:rStyle w:val="Hipercze"/>
            <w:rFonts w:ascii="Times New Roman" w:eastAsia="SimSun" w:hAnsi="Times New Roman"/>
          </w:rPr>
          <w:t>https://www.faceb</w:t>
        </w:r>
      </w:hyperlink>
      <w:r w:rsidRPr="008905FF">
        <w:rPr>
          <w:rFonts w:ascii="Times New Roman" w:eastAsia="SimSun" w:hAnsi="Times New Roman"/>
          <w:color w:val="1F2DA8"/>
        </w:rPr>
        <w:t xml:space="preserve"> ook.com/BytomskieCentrumWsparcia.</w:t>
      </w:r>
    </w:p>
  </w:footnote>
  <w:footnote w:id="206">
    <w:p w14:paraId="23B14898" w14:textId="77777777" w:rsidR="00E5701D" w:rsidRPr="008905FF" w:rsidRDefault="00E5701D">
      <w:pPr>
        <w:pStyle w:val="Tekstprzypisudolnego"/>
        <w:rPr>
          <w:rFonts w:ascii="Times New Roman" w:hAnsi="Times New Roman"/>
          <w:color w:val="0000FF"/>
        </w:rPr>
      </w:pPr>
      <w:r w:rsidRPr="008905FF">
        <w:rPr>
          <w:rStyle w:val="Odwoanieprzypisudolnego"/>
          <w:rFonts w:ascii="Times New Roman" w:hAnsi="Times New Roman"/>
        </w:rPr>
        <w:footnoteRef/>
      </w:r>
      <w:hyperlink r:id="rId125" w:history="1">
        <w:r w:rsidRPr="008905FF">
          <w:rPr>
            <w:rStyle w:val="Hipercze"/>
            <w:rFonts w:ascii="Times New Roman" w:hAnsi="Times New Roman"/>
          </w:rPr>
          <w:t>https://youtu.be/OdCzW7J_vGI</w:t>
        </w:r>
      </w:hyperlink>
    </w:p>
    <w:p w14:paraId="633AC396" w14:textId="77777777" w:rsidR="00E5701D" w:rsidRPr="008905FF" w:rsidRDefault="00141E52" w:rsidP="00B81D5F">
      <w:pPr>
        <w:pStyle w:val="Tekstpodstawowy"/>
        <w:spacing w:after="0" w:line="276" w:lineRule="auto"/>
        <w:jc w:val="both"/>
        <w:rPr>
          <w:rFonts w:ascii="Times New Roman" w:hAnsi="Times New Roman" w:cs="Times New Roman"/>
          <w:sz w:val="20"/>
          <w:szCs w:val="20"/>
        </w:rPr>
      </w:pPr>
      <w:hyperlink r:id="rId126" w:history="1">
        <w:r w:rsidR="00E5701D" w:rsidRPr="008905FF">
          <w:rPr>
            <w:rStyle w:val="Hipercze"/>
            <w:rFonts w:ascii="Times New Roman" w:hAnsi="Times New Roman" w:cs="Times New Roman"/>
            <w:sz w:val="20"/>
            <w:szCs w:val="20"/>
          </w:rPr>
          <w:t>https://gliwice.eu/aktualnosci/miasto/przyjmiesz-pomocna-dlon-zapisz-sie</w:t>
        </w:r>
      </w:hyperlink>
      <w:r w:rsidR="00E5701D" w:rsidRPr="008905FF">
        <w:rPr>
          <w:rFonts w:ascii="Times New Roman" w:hAnsi="Times New Roman" w:cs="Times New Roman"/>
          <w:sz w:val="20"/>
          <w:szCs w:val="20"/>
        </w:rPr>
        <w:t xml:space="preserve"> </w:t>
      </w:r>
      <w:hyperlink r:id="rId127" w:history="1">
        <w:r w:rsidR="00E5701D" w:rsidRPr="008905FF">
          <w:rPr>
            <w:rStyle w:val="Hipercze"/>
            <w:rFonts w:ascii="Times New Roman" w:hAnsi="Times New Roman" w:cs="Times New Roman"/>
            <w:sz w:val="20"/>
            <w:szCs w:val="20"/>
          </w:rPr>
          <w:t>https://gliwiceonline.pl/20190225143901/um-gliwice-o-zdrowiu-smacznie-i-muzycznie1551136030</w:t>
        </w:r>
      </w:hyperlink>
      <w:r w:rsidR="00E5701D" w:rsidRPr="008905FF">
        <w:rPr>
          <w:rFonts w:ascii="Times New Roman" w:hAnsi="Times New Roman" w:cs="Times New Roman"/>
          <w:sz w:val="20"/>
          <w:szCs w:val="20"/>
        </w:rPr>
        <w:t xml:space="preserve"> </w:t>
      </w:r>
    </w:p>
    <w:p w14:paraId="606E3F8F" w14:textId="77777777" w:rsidR="00E5701D" w:rsidRPr="008905FF" w:rsidRDefault="00141E52" w:rsidP="00B81D5F">
      <w:pPr>
        <w:pStyle w:val="Tekstpodstawowy"/>
        <w:spacing w:after="0" w:line="276" w:lineRule="auto"/>
        <w:jc w:val="both"/>
        <w:rPr>
          <w:rFonts w:ascii="Times New Roman" w:hAnsi="Times New Roman" w:cs="Times New Roman"/>
          <w:sz w:val="20"/>
          <w:szCs w:val="20"/>
        </w:rPr>
      </w:pPr>
      <w:hyperlink r:id="rId128" w:history="1">
        <w:r w:rsidR="00E5701D" w:rsidRPr="008905FF">
          <w:rPr>
            <w:rStyle w:val="Hipercze"/>
            <w:rFonts w:ascii="Times New Roman" w:hAnsi="Times New Roman" w:cs="Times New Roman"/>
            <w:sz w:val="20"/>
            <w:szCs w:val="20"/>
          </w:rPr>
          <w:t>https://gliwice.eu/wydarzenia/kulturalne-festiwal/2019-09-07/festiwal-miasta-i-viii-rodzinny-piknik-seniora</w:t>
        </w:r>
      </w:hyperlink>
      <w:r w:rsidR="00E5701D" w:rsidRPr="008905FF">
        <w:rPr>
          <w:rFonts w:ascii="Times New Roman" w:hAnsi="Times New Roman" w:cs="Times New Roman"/>
          <w:sz w:val="20"/>
          <w:szCs w:val="20"/>
        </w:rPr>
        <w:t xml:space="preserve"> </w:t>
      </w:r>
    </w:p>
    <w:p w14:paraId="00894AA3" w14:textId="77777777" w:rsidR="00E5701D" w:rsidRPr="008905FF" w:rsidRDefault="00141E52" w:rsidP="00B81D5F">
      <w:pPr>
        <w:pStyle w:val="Tekstpodstawowy"/>
        <w:spacing w:after="0" w:line="276" w:lineRule="auto"/>
        <w:jc w:val="both"/>
        <w:rPr>
          <w:rFonts w:ascii="Times New Roman" w:hAnsi="Times New Roman" w:cs="Times New Roman"/>
          <w:sz w:val="20"/>
          <w:szCs w:val="20"/>
        </w:rPr>
      </w:pPr>
      <w:hyperlink r:id="rId129" w:history="1">
        <w:r w:rsidR="00E5701D" w:rsidRPr="008905FF">
          <w:rPr>
            <w:rStyle w:val="Hipercze"/>
            <w:rFonts w:ascii="Times New Roman" w:hAnsi="Times New Roman" w:cs="Times New Roman"/>
            <w:sz w:val="20"/>
            <w:szCs w:val="20"/>
          </w:rPr>
          <w:t>https://gliwiceonline.pl/20191010234245/um-gliwice-poswiec-ten-dzien-swojemu-zdrowiu1570745235</w:t>
        </w:r>
      </w:hyperlink>
      <w:r w:rsidR="00E5701D" w:rsidRPr="008905FF">
        <w:rPr>
          <w:rFonts w:ascii="Times New Roman" w:hAnsi="Times New Roman" w:cs="Times New Roman"/>
          <w:sz w:val="20"/>
          <w:szCs w:val="20"/>
        </w:rPr>
        <w:t xml:space="preserve"> </w:t>
      </w:r>
    </w:p>
    <w:p w14:paraId="2E010218" w14:textId="77777777" w:rsidR="00E5701D" w:rsidRPr="008905FF" w:rsidRDefault="00141E52" w:rsidP="008905FF">
      <w:pPr>
        <w:pStyle w:val="Tekstpodstawowy"/>
        <w:spacing w:after="0" w:line="276" w:lineRule="auto"/>
        <w:jc w:val="both"/>
        <w:rPr>
          <w:rFonts w:ascii="Times New Roman" w:hAnsi="Times New Roman" w:cs="Times New Roman"/>
          <w:sz w:val="20"/>
          <w:szCs w:val="20"/>
        </w:rPr>
      </w:pPr>
      <w:hyperlink r:id="rId130" w:history="1">
        <w:r w:rsidR="00E5701D" w:rsidRPr="008905FF">
          <w:rPr>
            <w:rStyle w:val="Hipercze"/>
            <w:rFonts w:ascii="Times New Roman" w:hAnsi="Times New Roman" w:cs="Times New Roman"/>
            <w:sz w:val="20"/>
            <w:szCs w:val="20"/>
          </w:rPr>
          <w:t>https://gliwice.eu/aktualnosci/miasto/aqua-aerobik-dla-seniorów</w:t>
        </w:r>
      </w:hyperlink>
      <w:r w:rsidR="00E5701D">
        <w:rPr>
          <w:rFonts w:ascii="Times New Roman" w:hAnsi="Times New Roman" w:cs="Times New Roman"/>
          <w:sz w:val="20"/>
          <w:szCs w:val="20"/>
        </w:rPr>
        <w:t>.</w:t>
      </w:r>
    </w:p>
  </w:footnote>
  <w:footnote w:id="207">
    <w:p w14:paraId="77BA1301" w14:textId="77777777" w:rsidR="00E5701D" w:rsidRDefault="00E5701D">
      <w:pPr>
        <w:pStyle w:val="Tekstprzypisudolnego"/>
      </w:pPr>
      <w:r>
        <w:rPr>
          <w:rStyle w:val="Odwoanieprzypisudolnego"/>
        </w:rPr>
        <w:footnoteRef/>
      </w:r>
      <w:r>
        <w:t xml:space="preserve"> </w:t>
      </w:r>
      <w:r w:rsidRPr="005F0A32">
        <w:rPr>
          <w:rFonts w:ascii="Times New Roman" w:hAnsi="Times New Roman"/>
          <w:color w:val="0000FF"/>
        </w:rPr>
        <w:t>http://www.pcpr-wodzislaw.pl/jednostki-organizacyjne</w:t>
      </w:r>
      <w:r w:rsidRPr="005F0A32">
        <w:rPr>
          <w:rFonts w:ascii="Times New Roman" w:hAnsi="Times New Roman"/>
        </w:rPr>
        <w:t xml:space="preserve"> oraz </w:t>
      </w:r>
      <w:r w:rsidRPr="005F0A32">
        <w:rPr>
          <w:rFonts w:ascii="Times New Roman" w:hAnsi="Times New Roman"/>
          <w:color w:val="0000FF"/>
        </w:rPr>
        <w:t>http://dpsgorzyce.pl/</w:t>
      </w:r>
    </w:p>
  </w:footnote>
  <w:footnote w:id="208">
    <w:p w14:paraId="38781339"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31" w:history="1">
        <w:r w:rsidRPr="008905FF">
          <w:rPr>
            <w:rStyle w:val="Hipercze"/>
            <w:rFonts w:ascii="Times New Roman" w:hAnsi="Times New Roman"/>
          </w:rPr>
          <w:t>http://www.dpswodzislaw.pl/</w:t>
        </w:r>
      </w:hyperlink>
    </w:p>
  </w:footnote>
  <w:footnote w:id="209">
    <w:p w14:paraId="71864BB1"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32" w:history="1">
        <w:r w:rsidRPr="008905FF">
          <w:rPr>
            <w:rStyle w:val="Hipercze"/>
            <w:rFonts w:ascii="Times New Roman" w:hAnsi="Times New Roman"/>
          </w:rPr>
          <w:t>http://www.pcpr-wodzislaw.pl/projekty-pokonajmy-samotnosc---cieszmy-sie</w:t>
        </w:r>
      </w:hyperlink>
      <w:r w:rsidRPr="008905FF">
        <w:rPr>
          <w:rFonts w:ascii="Times New Roman" w:hAnsi="Times New Roman"/>
          <w:color w:val="0000FF"/>
        </w:rPr>
        <w:t xml:space="preserve"> zyciem,35#pcpr</w:t>
      </w:r>
      <w:r w:rsidRPr="008905FF">
        <w:rPr>
          <w:rFonts w:ascii="Times New Roman" w:hAnsi="Times New Roman"/>
        </w:rPr>
        <w:t xml:space="preserve"> oraz w biurze projektu: Radlin, ul. Orkana 23</w:t>
      </w:r>
    </w:p>
  </w:footnote>
  <w:footnote w:id="210">
    <w:p w14:paraId="4812CB46"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33" w:anchor="pcpr" w:history="1">
        <w:r w:rsidRPr="008905FF">
          <w:rPr>
            <w:rStyle w:val="Hipercze"/>
            <w:rFonts w:ascii="Times New Roman" w:hAnsi="Times New Roman"/>
          </w:rPr>
          <w:t>http://www.pcpr-wodzislaw.pl/projekty-oaza-aktywnosci,11#pcpr</w:t>
        </w:r>
      </w:hyperlink>
    </w:p>
  </w:footnote>
  <w:footnote w:id="211">
    <w:p w14:paraId="140D0D94"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informacja </w:t>
      </w:r>
      <w:r w:rsidRPr="008905FF">
        <w:rPr>
          <w:rFonts w:ascii="Times New Roman" w:hAnsi="Times New Roman"/>
          <w:color w:val="0000FF"/>
        </w:rPr>
        <w:t>www.mikolow.eu,</w:t>
      </w:r>
      <w:r w:rsidRPr="008905FF">
        <w:rPr>
          <w:rFonts w:ascii="Times New Roman" w:hAnsi="Times New Roman"/>
        </w:rPr>
        <w:t xml:space="preserve"> fb Mikołowscy Seniorzy</w:t>
      </w:r>
    </w:p>
  </w:footnote>
  <w:footnote w:id="212">
    <w:p w14:paraId="53CEB5BD"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Wszelkie informacje na temat programu "Dzwonię i jadę" znajdowały się na stronie Miasta" </w:t>
      </w:r>
      <w:r w:rsidRPr="008905FF">
        <w:rPr>
          <w:rFonts w:ascii="Times New Roman" w:hAnsi="Times New Roman"/>
          <w:color w:val="0000FF"/>
        </w:rPr>
        <w:t>www.rudaslaska.pl</w:t>
      </w:r>
      <w:r w:rsidRPr="008905FF">
        <w:rPr>
          <w:rFonts w:ascii="Times New Roman" w:hAnsi="Times New Roman"/>
        </w:rPr>
        <w:t xml:space="preserve"> oraz </w:t>
      </w:r>
      <w:r w:rsidRPr="008905FF">
        <w:rPr>
          <w:rFonts w:ascii="Times New Roman" w:hAnsi="Times New Roman"/>
          <w:color w:val="0000FF"/>
        </w:rPr>
        <w:t>https://pl-pl.facebook.com/FundacjaAktywniMy</w:t>
      </w:r>
    </w:p>
  </w:footnote>
  <w:footnote w:id="213">
    <w:p w14:paraId="3C1EFEBC"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r w:rsidRPr="008905FF">
        <w:rPr>
          <w:rFonts w:ascii="Times New Roman" w:eastAsia="SimSun" w:hAnsi="Times New Roman"/>
          <w:color w:val="000000"/>
        </w:rPr>
        <w:t>(</w:t>
      </w:r>
      <w:r w:rsidRPr="008905FF">
        <w:rPr>
          <w:rFonts w:ascii="Times New Roman" w:eastAsia="SimSun" w:hAnsi="Times New Roman"/>
          <w:color w:val="1F2DA8"/>
        </w:rPr>
        <w:t>www.gieraltowice.pl</w:t>
      </w:r>
      <w:r w:rsidRPr="008905FF">
        <w:rPr>
          <w:rFonts w:ascii="Times New Roman" w:eastAsia="SimSun" w:hAnsi="Times New Roman"/>
          <w:color w:val="000000"/>
        </w:rPr>
        <w:t>).</w:t>
      </w:r>
    </w:p>
  </w:footnote>
  <w:footnote w:id="214">
    <w:p w14:paraId="0C1F3B6E"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r w:rsidRPr="008905FF">
        <w:rPr>
          <w:rFonts w:ascii="Times New Roman" w:eastAsia="SimSun" w:hAnsi="Times New Roman"/>
          <w:color w:val="1F2DA8"/>
        </w:rPr>
        <w:t>www.kalety.pl, www.mdkkalety.pl</w:t>
      </w:r>
      <w:r w:rsidRPr="008905FF">
        <w:rPr>
          <w:rFonts w:ascii="Times New Roman" w:eastAsia="SimSun" w:hAnsi="Times New Roman"/>
          <w:color w:val="000000"/>
        </w:rPr>
        <w:t>.</w:t>
      </w:r>
    </w:p>
  </w:footnote>
  <w:footnote w:id="215">
    <w:p w14:paraId="2537A93A"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34" w:history="1">
        <w:r w:rsidRPr="001B38B4">
          <w:rPr>
            <w:rStyle w:val="Hipercze"/>
            <w:rFonts w:ascii="Times New Roman" w:hAnsi="Times New Roman"/>
          </w:rPr>
          <w:t>https://www.kielce.uw.gov.pl/pl/urzad/polityka-spoleczna/program-rzadowy-senior/edycja2019/14588,Edycja-2019.html</w:t>
        </w:r>
      </w:hyperlink>
    </w:p>
  </w:footnote>
  <w:footnote w:id="216">
    <w:p w14:paraId="6363EDBC" w14:textId="77777777" w:rsidR="00E5701D" w:rsidRPr="008905FF" w:rsidRDefault="00E5701D" w:rsidP="00546D47">
      <w:pPr>
        <w:tabs>
          <w:tab w:val="left" w:pos="284"/>
        </w:tabs>
        <w:spacing w:after="0"/>
        <w:contextualSpacing/>
        <w:jc w:val="both"/>
        <w:rPr>
          <w:rFonts w:ascii="Times New Roman" w:hAnsi="Times New Roman" w:cs="Times New Roman"/>
          <w:sz w:val="20"/>
          <w:szCs w:val="20"/>
        </w:rPr>
      </w:pPr>
      <w:r w:rsidRPr="008905FF">
        <w:rPr>
          <w:rStyle w:val="Odwoanieprzypisudolnego"/>
          <w:rFonts w:ascii="Times New Roman" w:hAnsi="Times New Roman" w:cs="Times New Roman"/>
          <w:sz w:val="20"/>
          <w:szCs w:val="20"/>
        </w:rPr>
        <w:footnoteRef/>
      </w:r>
      <w:hyperlink r:id="rId135" w:history="1">
        <w:r w:rsidRPr="008905FF">
          <w:rPr>
            <w:rStyle w:val="Hipercze"/>
            <w:rFonts w:ascii="Times New Roman" w:hAnsi="Times New Roman" w:cs="Times New Roman"/>
            <w:sz w:val="20"/>
            <w:szCs w:val="20"/>
          </w:rPr>
          <w:t>https://warmia.mazury.pl/images/Departamenty/Regionalny_Osrodek_Polityki_Spolecznej/Polityka_senioralna_woj_wm_2014-2020.pdf</w:t>
        </w:r>
      </w:hyperlink>
      <w:r w:rsidRPr="008905FF">
        <w:rPr>
          <w:rFonts w:ascii="Times New Roman" w:hAnsi="Times New Roman" w:cs="Times New Roman"/>
          <w:sz w:val="20"/>
          <w:szCs w:val="20"/>
        </w:rPr>
        <w:t xml:space="preserve"> </w:t>
      </w:r>
    </w:p>
  </w:footnote>
  <w:footnote w:id="217">
    <w:p w14:paraId="0BA43312" w14:textId="77777777" w:rsidR="00E5701D" w:rsidRPr="008905FF" w:rsidRDefault="00E5701D" w:rsidP="00B55CC9">
      <w:pPr>
        <w:tabs>
          <w:tab w:val="left" w:pos="284"/>
        </w:tabs>
        <w:spacing w:after="0"/>
        <w:contextualSpacing/>
        <w:jc w:val="both"/>
        <w:rPr>
          <w:rFonts w:ascii="Times New Roman" w:hAnsi="Times New Roman" w:cs="Times New Roman"/>
          <w:sz w:val="20"/>
          <w:szCs w:val="20"/>
        </w:rPr>
      </w:pPr>
      <w:r w:rsidRPr="008905FF">
        <w:rPr>
          <w:rStyle w:val="Odwoanieprzypisudolnego"/>
          <w:rFonts w:ascii="Times New Roman" w:hAnsi="Times New Roman" w:cs="Times New Roman"/>
          <w:sz w:val="20"/>
          <w:szCs w:val="20"/>
        </w:rPr>
        <w:footnoteRef/>
      </w:r>
      <w:hyperlink r:id="rId136" w:history="1">
        <w:r w:rsidRPr="008905FF">
          <w:rPr>
            <w:rStyle w:val="Hipercze"/>
            <w:rFonts w:ascii="Times New Roman" w:hAnsi="Times New Roman" w:cs="Times New Roman"/>
            <w:sz w:val="20"/>
            <w:szCs w:val="20"/>
          </w:rPr>
          <w:t>https://www.warmia.mazury.pl/images/Departamenty/Regionalny_Osrodek_Polityki_Spolecznej/polityka_senioralna_/Raport_z_monitoringu_wdra%C5%BCania_programu_Polityka_senioralna_w_latach_2017-2018.pdf</w:t>
        </w:r>
      </w:hyperlink>
      <w:r w:rsidRPr="008905FF">
        <w:rPr>
          <w:rFonts w:ascii="Times New Roman" w:hAnsi="Times New Roman" w:cs="Times New Roman"/>
          <w:sz w:val="20"/>
          <w:szCs w:val="20"/>
        </w:rPr>
        <w:t xml:space="preserve"> </w:t>
      </w:r>
    </w:p>
  </w:footnote>
  <w:footnote w:id="218">
    <w:p w14:paraId="3547F0FD" w14:textId="77777777" w:rsidR="00E5701D" w:rsidRPr="008905FF" w:rsidRDefault="00E5701D" w:rsidP="00B55CC9">
      <w:pPr>
        <w:tabs>
          <w:tab w:val="left" w:pos="0"/>
        </w:tabs>
        <w:spacing w:after="0"/>
        <w:contextualSpacing/>
        <w:jc w:val="both"/>
        <w:rPr>
          <w:rFonts w:ascii="Times New Roman" w:hAnsi="Times New Roman" w:cs="Times New Roman"/>
          <w:sz w:val="20"/>
          <w:szCs w:val="20"/>
        </w:rPr>
      </w:pPr>
      <w:r w:rsidRPr="008905FF">
        <w:rPr>
          <w:rStyle w:val="Odwoanieprzypisudolnego"/>
          <w:rFonts w:ascii="Times New Roman" w:hAnsi="Times New Roman" w:cs="Times New Roman"/>
          <w:sz w:val="20"/>
          <w:szCs w:val="20"/>
        </w:rPr>
        <w:footnoteRef/>
      </w:r>
      <w:hyperlink r:id="rId137" w:history="1">
        <w:r w:rsidRPr="008905FF">
          <w:rPr>
            <w:rStyle w:val="Hipercze"/>
            <w:rFonts w:ascii="Times New Roman" w:hAnsi="Times New Roman" w:cs="Times New Roman"/>
            <w:sz w:val="20"/>
            <w:szCs w:val="20"/>
          </w:rPr>
          <w:t>https://bip.warmia.mazury.pl/akty/13135/uchwala-w-sprawie-uchwalenia-programu-wspolpracy-samorzadu-wojewodztwa-warminsko-mazurskiego-z-organizacjami-pozarzadowymi-oraz-podmiotami-wymienionymi-w-art.-3-ust.-3-ustawy-o-dzialalnosci-pozytku-publicznego-i-o-wolontariacie-na-rok-2019.html</w:t>
        </w:r>
      </w:hyperlink>
      <w:r w:rsidRPr="008905FF">
        <w:rPr>
          <w:rFonts w:ascii="Times New Roman" w:hAnsi="Times New Roman" w:cs="Times New Roman"/>
          <w:sz w:val="20"/>
          <w:szCs w:val="20"/>
        </w:rPr>
        <w:t xml:space="preserve"> </w:t>
      </w:r>
    </w:p>
  </w:footnote>
  <w:footnote w:id="219">
    <w:p w14:paraId="23F4DD46" w14:textId="77777777" w:rsidR="00E5701D" w:rsidRPr="00B55CC9" w:rsidRDefault="00E5701D" w:rsidP="00B55CC9">
      <w:pPr>
        <w:tabs>
          <w:tab w:val="left" w:pos="0"/>
        </w:tabs>
        <w:spacing w:after="0"/>
        <w:jc w:val="both"/>
        <w:rPr>
          <w:rFonts w:ascii="Times New Roman" w:hAnsi="Times New Roman" w:cs="Times New Roman"/>
          <w:sz w:val="24"/>
          <w:szCs w:val="24"/>
        </w:rPr>
      </w:pPr>
      <w:r w:rsidRPr="008905FF">
        <w:rPr>
          <w:rStyle w:val="Odwoanieprzypisudolnego"/>
          <w:rFonts w:ascii="Times New Roman" w:hAnsi="Times New Roman" w:cs="Times New Roman"/>
          <w:sz w:val="20"/>
          <w:szCs w:val="20"/>
        </w:rPr>
        <w:footnoteRef/>
      </w:r>
      <w:hyperlink r:id="rId138" w:history="1">
        <w:r w:rsidRPr="008905FF">
          <w:rPr>
            <w:rStyle w:val="Hipercze"/>
            <w:rFonts w:ascii="Times New Roman" w:hAnsi="Times New Roman" w:cs="Times New Roman"/>
            <w:sz w:val="20"/>
            <w:szCs w:val="20"/>
          </w:rPr>
          <w:t>https://bip.warmia.mazury.pl/1418/sprawozdanie-z-realizacji-programu-wspolpracy-samorzadu-wojewodztwa-warminsko-mazurskiego-z-organizacjami-pozarzadowymi-oraz-podmiotami-wymienionymi-w-art.-3-ust.-3-ustawy-o-dzialalnosci-pozytku-publicznego-i-o-wolontariacie-w-roku-2019.html</w:t>
        </w:r>
      </w:hyperlink>
    </w:p>
  </w:footnote>
  <w:footnote w:id="220">
    <w:p w14:paraId="03D98539" w14:textId="77777777" w:rsidR="00E5701D" w:rsidRDefault="00E5701D">
      <w:pPr>
        <w:pStyle w:val="Tekstprzypisudolnego"/>
      </w:pPr>
      <w:r>
        <w:rPr>
          <w:rStyle w:val="Odwoanieprzypisudolnego"/>
        </w:rPr>
        <w:footnoteRef/>
      </w:r>
      <w:r>
        <w:t xml:space="preserve"> </w:t>
      </w:r>
      <w:r w:rsidRPr="00B72365">
        <w:rPr>
          <w:rFonts w:ascii="Times New Roman" w:hAnsi="Times New Roman"/>
          <w:sz w:val="24"/>
          <w:szCs w:val="24"/>
        </w:rPr>
        <w:t>(strona z wydarzeniami: https://www.facebook.com/Orneta-oficjalne-konto).</w:t>
      </w:r>
    </w:p>
  </w:footnote>
  <w:footnote w:id="221">
    <w:p w14:paraId="4AD8976D" w14:textId="77777777" w:rsidR="00E5701D" w:rsidRPr="008905FF" w:rsidRDefault="00E5701D" w:rsidP="009B5AE0">
      <w:pPr>
        <w:tabs>
          <w:tab w:val="left" w:pos="0"/>
        </w:tabs>
        <w:spacing w:after="0"/>
        <w:contextualSpacing/>
        <w:jc w:val="both"/>
        <w:rPr>
          <w:rFonts w:ascii="Times New Roman" w:hAnsi="Times New Roman" w:cs="Times New Roman"/>
          <w:sz w:val="20"/>
          <w:szCs w:val="20"/>
        </w:rPr>
      </w:pPr>
      <w:r w:rsidRPr="008905FF">
        <w:rPr>
          <w:rStyle w:val="Odwoanieprzypisudolnego"/>
          <w:rFonts w:ascii="Times New Roman" w:hAnsi="Times New Roman" w:cs="Times New Roman"/>
          <w:sz w:val="20"/>
          <w:szCs w:val="20"/>
        </w:rPr>
        <w:footnoteRef/>
      </w:r>
      <w:hyperlink r:id="rId139" w:history="1">
        <w:r w:rsidRPr="008905FF">
          <w:rPr>
            <w:rStyle w:val="Hipercze"/>
            <w:rFonts w:ascii="Times New Roman" w:hAnsi="Times New Roman" w:cs="Times New Roman"/>
            <w:sz w:val="20"/>
            <w:szCs w:val="20"/>
          </w:rPr>
          <w:t>https://www.warmia.mazury.pl/images/Departamenty/Regionalny_Osrodek_Polityki_Spolecznej/12materialy_rozne/Sprawozdanie_z_realizacji_us%C5%82ug_teleopieku%C5%84czych_w_latach_2018-2019_2.pdf</w:t>
        </w:r>
      </w:hyperlink>
      <w:r w:rsidRPr="008905FF">
        <w:rPr>
          <w:rFonts w:ascii="Times New Roman" w:hAnsi="Times New Roman" w:cs="Times New Roman"/>
          <w:sz w:val="20"/>
          <w:szCs w:val="20"/>
        </w:rPr>
        <w:t xml:space="preserve"> </w:t>
      </w:r>
    </w:p>
    <w:p w14:paraId="72360184" w14:textId="77777777" w:rsidR="00E5701D" w:rsidRDefault="00E5701D">
      <w:pPr>
        <w:pStyle w:val="Tekstprzypisudolnego"/>
      </w:pPr>
    </w:p>
  </w:footnote>
  <w:footnote w:id="222">
    <w:p w14:paraId="1CE52BC0" w14:textId="77777777" w:rsidR="00E5701D" w:rsidRPr="008905FF" w:rsidRDefault="00E5701D" w:rsidP="00844BCC">
      <w:pPr>
        <w:autoSpaceDE w:val="0"/>
        <w:autoSpaceDN w:val="0"/>
        <w:adjustRightInd w:val="0"/>
        <w:spacing w:after="0"/>
        <w:jc w:val="both"/>
        <w:rPr>
          <w:rFonts w:ascii="Times New Roman" w:eastAsia="Calibri" w:hAnsi="Times New Roman" w:cs="Times New Roman"/>
          <w:sz w:val="20"/>
          <w:szCs w:val="20"/>
          <w:lang w:val="en-US"/>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140" w:history="1">
        <w:r w:rsidRPr="008905FF">
          <w:rPr>
            <w:rFonts w:ascii="Times New Roman" w:eastAsia="Calibri" w:hAnsi="Times New Roman" w:cs="Times New Roman"/>
            <w:color w:val="0000FF"/>
            <w:sz w:val="20"/>
            <w:szCs w:val="20"/>
            <w:u w:val="single"/>
            <w:lang w:val="en-US"/>
          </w:rPr>
          <w:t>http://rodzina.wzp.pl/zks/</w:t>
        </w:r>
      </w:hyperlink>
      <w:r w:rsidRPr="008905FF">
        <w:rPr>
          <w:rFonts w:ascii="Times New Roman" w:eastAsia="Calibri" w:hAnsi="Times New Roman" w:cs="Times New Roman"/>
          <w:sz w:val="20"/>
          <w:szCs w:val="20"/>
          <w:lang w:val="en-US"/>
        </w:rPr>
        <w:t xml:space="preserve"> </w:t>
      </w:r>
    </w:p>
  </w:footnote>
  <w:footnote w:id="223">
    <w:p w14:paraId="1ECC35E6"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141" w:history="1">
        <w:r w:rsidRPr="008905FF">
          <w:rPr>
            <w:rFonts w:ascii="Times New Roman" w:eastAsia="Calibri" w:hAnsi="Times New Roman"/>
            <w:color w:val="0000FF"/>
            <w:u w:val="single"/>
            <w:lang w:val="en-US"/>
          </w:rPr>
          <w:t>http://cal.goleniow.pl/aktualnosci/goleniowski-fundusz-aktywizacji-seniorow-edycja-iv/</w:t>
        </w:r>
      </w:hyperlink>
    </w:p>
  </w:footnote>
  <w:footnote w:id="224">
    <w:p w14:paraId="1B3C8788" w14:textId="77777777" w:rsidR="00E5701D" w:rsidRPr="008905FF" w:rsidRDefault="00E5701D" w:rsidP="00844BCC">
      <w:pPr>
        <w:spacing w:after="0"/>
        <w:rPr>
          <w:rFonts w:ascii="Times New Roman" w:eastAsia="Calibri" w:hAnsi="Times New Roman" w:cs="Times New Roman"/>
          <w:sz w:val="20"/>
          <w:szCs w:val="20"/>
          <w:lang w:val="en-US"/>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142" w:history="1">
        <w:r w:rsidRPr="008905FF">
          <w:rPr>
            <w:rFonts w:ascii="Times New Roman" w:eastAsia="Calibri" w:hAnsi="Times New Roman" w:cs="Times New Roman"/>
            <w:color w:val="0000FF"/>
            <w:sz w:val="20"/>
            <w:szCs w:val="20"/>
            <w:u w:val="single"/>
            <w:lang w:val="en-US"/>
          </w:rPr>
          <w:t>https://www.facebook.com/pages/category/Society---Culture-Website/Imejda-1906611842773720/</w:t>
        </w:r>
      </w:hyperlink>
    </w:p>
  </w:footnote>
  <w:footnote w:id="225">
    <w:p w14:paraId="7C28311D"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43" w:history="1">
        <w:r w:rsidRPr="008905FF">
          <w:rPr>
            <w:rFonts w:ascii="Times New Roman" w:eastAsia="Calibri" w:hAnsi="Times New Roman"/>
            <w:color w:val="0000FF"/>
            <w:u w:val="single"/>
          </w:rPr>
          <w:t>http://seniorszczecin.pl/</w:t>
        </w:r>
      </w:hyperlink>
    </w:p>
  </w:footnote>
  <w:footnote w:id="226">
    <w:p w14:paraId="2CF11508" w14:textId="77777777" w:rsidR="00E5701D" w:rsidRPr="008905FF" w:rsidRDefault="00E5701D" w:rsidP="00844BCC">
      <w:pPr>
        <w:autoSpaceDE w:val="0"/>
        <w:autoSpaceDN w:val="0"/>
        <w:adjustRightInd w:val="0"/>
        <w:spacing w:after="0"/>
        <w:jc w:val="both"/>
        <w:rPr>
          <w:rFonts w:ascii="Times New Roman" w:eastAsia="Calibri" w:hAnsi="Times New Roman" w:cs="Times New Roman"/>
          <w:color w:val="000000"/>
          <w:sz w:val="20"/>
          <w:szCs w:val="20"/>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144" w:history="1">
        <w:r w:rsidRPr="008905FF">
          <w:rPr>
            <w:rFonts w:ascii="Times New Roman" w:eastAsia="Calibri" w:hAnsi="Times New Roman" w:cs="Times New Roman"/>
            <w:color w:val="0000FF"/>
            <w:sz w:val="20"/>
            <w:szCs w:val="20"/>
            <w:u w:val="single"/>
          </w:rPr>
          <w:t>https://powiatmysliborski.pl/aktualnosci/pokaz/3922.dhtml</w:t>
        </w:r>
      </w:hyperlink>
      <w:r w:rsidRPr="008905FF">
        <w:rPr>
          <w:rFonts w:ascii="Times New Roman" w:eastAsia="Calibri" w:hAnsi="Times New Roman" w:cs="Times New Roman"/>
          <w:color w:val="000000"/>
          <w:sz w:val="20"/>
          <w:szCs w:val="20"/>
        </w:rPr>
        <w:t xml:space="preserve"> </w:t>
      </w:r>
    </w:p>
  </w:footnote>
  <w:footnote w:id="227">
    <w:p w14:paraId="37C0922C"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145" w:history="1">
        <w:r w:rsidRPr="008905FF">
          <w:rPr>
            <w:rFonts w:ascii="Times New Roman" w:eastAsia="Calibri" w:hAnsi="Times New Roman"/>
            <w:color w:val="0000FF"/>
            <w:u w:val="single"/>
            <w:lang w:val="en-US"/>
          </w:rPr>
          <w:t>http://opsgoleniow.pl/ds-cmiws.php</w:t>
        </w:r>
      </w:hyperlink>
    </w:p>
  </w:footnote>
  <w:footnote w:id="228">
    <w:p w14:paraId="71B479A6"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hyperlink r:id="rId146" w:history="1">
        <w:r w:rsidRPr="008905FF">
          <w:rPr>
            <w:rFonts w:ascii="Times New Roman" w:eastAsia="Calibri" w:hAnsi="Times New Roman"/>
            <w:color w:val="0000FF"/>
            <w:u w:val="single"/>
          </w:rPr>
          <w:t>www.koszalin.pl/sites/default/files/pliki/sprawozdanie_z_realizacji_miejskiego_programu_na_rzecz_osob_starszych_na_lata_2018-2022_za_2019_rok_0.pdf</w:t>
        </w:r>
      </w:hyperlink>
    </w:p>
  </w:footnote>
  <w:footnote w:id="229">
    <w:p w14:paraId="33ABC313"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hyperlink r:id="rId147" w:history="1">
        <w:r w:rsidRPr="008905FF">
          <w:rPr>
            <w:rStyle w:val="Hipercze"/>
            <w:rFonts w:ascii="Times New Roman" w:eastAsia="Calibri" w:hAnsi="Times New Roman"/>
            <w:lang w:val="en-US"/>
          </w:rPr>
          <w:t>http://www.gops.ryman.pl/index.php?option=com_content&amp;view=article&amp;id=75&amp;Itemid=69</w:t>
        </w:r>
      </w:hyperlink>
    </w:p>
  </w:footnote>
  <w:footnote w:id="230">
    <w:p w14:paraId="5F678DC9"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48" w:history="1">
        <w:r w:rsidRPr="008905FF">
          <w:rPr>
            <w:rFonts w:ascii="Times New Roman" w:eastAsia="Calibri" w:hAnsi="Times New Roman"/>
            <w:color w:val="0000FF"/>
            <w:u w:val="single"/>
          </w:rPr>
          <w:t>https://www.stargard.pl/dla-mieszkanca/trescprogramu-miasto-przyjazne-starzeniu</w:t>
        </w:r>
      </w:hyperlink>
    </w:p>
  </w:footnote>
  <w:footnote w:id="231">
    <w:p w14:paraId="22B748B7"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149" w:history="1">
        <w:r w:rsidRPr="008905FF">
          <w:rPr>
            <w:rFonts w:ascii="Times New Roman" w:eastAsia="Calibri" w:hAnsi="Times New Roman"/>
            <w:color w:val="0000FF"/>
            <w:u w:val="single"/>
          </w:rPr>
          <w:t>http://www.seniorzy.darlowo.pl/</w:t>
        </w:r>
      </w:hyperlink>
    </w:p>
  </w:footnote>
  <w:footnote w:id="232">
    <w:p w14:paraId="6C6D4F26"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50" w:history="1">
        <w:r w:rsidRPr="008905FF">
          <w:rPr>
            <w:rFonts w:ascii="Times New Roman" w:eastAsia="Calibri" w:hAnsi="Times New Roman"/>
            <w:bCs/>
            <w:color w:val="0000FF"/>
            <w:u w:val="single"/>
          </w:rPr>
          <w:t>https://zdazyczmiloscia.org.pl/zjedz-obiad-z-seniorem/</w:t>
        </w:r>
      </w:hyperlink>
    </w:p>
  </w:footnote>
  <w:footnote w:id="233">
    <w:p w14:paraId="38824743" w14:textId="77777777" w:rsidR="00E5701D" w:rsidRPr="008905FF" w:rsidRDefault="00E5701D" w:rsidP="00FD7B03">
      <w:pPr>
        <w:spacing w:after="0"/>
        <w:jc w:val="both"/>
        <w:rPr>
          <w:rFonts w:ascii="Times New Roman" w:eastAsia="Calibri" w:hAnsi="Times New Roman" w:cs="Times New Roman"/>
          <w:sz w:val="20"/>
          <w:szCs w:val="20"/>
        </w:rPr>
      </w:pPr>
      <w:r w:rsidRPr="008905FF">
        <w:rPr>
          <w:rStyle w:val="Odwoanieprzypisudolnego"/>
          <w:rFonts w:ascii="Times New Roman" w:hAnsi="Times New Roman" w:cs="Times New Roman"/>
          <w:sz w:val="20"/>
          <w:szCs w:val="20"/>
        </w:rPr>
        <w:footnoteRef/>
      </w:r>
      <w:hyperlink r:id="rId151" w:history="1">
        <w:r w:rsidRPr="008905FF">
          <w:rPr>
            <w:rFonts w:ascii="Times New Roman" w:eastAsia="Calibri" w:hAnsi="Times New Roman" w:cs="Times New Roman"/>
            <w:color w:val="0563C1"/>
            <w:sz w:val="20"/>
            <w:szCs w:val="20"/>
            <w:u w:val="single"/>
          </w:rPr>
          <w:t>http://bip.rbip.wzp.pl/artykul/uchwala-nr-xxxviii51714-sejmiku-wojewodztwa zachodniopomorskiego</w:t>
        </w:r>
      </w:hyperlink>
      <w:r w:rsidRPr="008905FF">
        <w:rPr>
          <w:rFonts w:ascii="Times New Roman" w:eastAsia="Calibri" w:hAnsi="Times New Roman" w:cs="Times New Roman"/>
          <w:sz w:val="20"/>
          <w:szCs w:val="20"/>
        </w:rPr>
        <w:t>).</w:t>
      </w:r>
    </w:p>
    <w:p w14:paraId="78F4A2E3" w14:textId="77777777" w:rsidR="00E5701D" w:rsidRDefault="00E5701D">
      <w:pPr>
        <w:pStyle w:val="Tekstprzypisudolnego"/>
      </w:pPr>
    </w:p>
  </w:footnote>
  <w:footnote w:id="234">
    <w:p w14:paraId="5C19DE97"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52" w:history="1">
        <w:r w:rsidRPr="008905FF">
          <w:rPr>
            <w:rFonts w:ascii="Times New Roman" w:eastAsia="Calibri" w:hAnsi="Times New Roman"/>
            <w:color w:val="0563C1"/>
            <w:u w:val="single"/>
          </w:rPr>
          <w:t>http://expoarena.szczecin.pl/60plus/</w:t>
        </w:r>
      </w:hyperlink>
    </w:p>
  </w:footnote>
  <w:footnote w:id="235">
    <w:p w14:paraId="677D3812" w14:textId="77777777" w:rsidR="00E5701D" w:rsidRPr="008905FF" w:rsidRDefault="00E5701D" w:rsidP="00F42B2D">
      <w:pPr>
        <w:spacing w:after="0"/>
        <w:jc w:val="both"/>
        <w:rPr>
          <w:rFonts w:ascii="Times New Roman" w:hAnsi="Times New Roman" w:cs="Times New Roman"/>
          <w:bCs/>
          <w:sz w:val="20"/>
          <w:szCs w:val="20"/>
        </w:rPr>
      </w:pPr>
      <w:r w:rsidRPr="008905FF">
        <w:rPr>
          <w:rStyle w:val="Odwoanieprzypisudolnego"/>
          <w:rFonts w:ascii="Times New Roman" w:hAnsi="Times New Roman" w:cs="Times New Roman"/>
          <w:sz w:val="20"/>
          <w:szCs w:val="20"/>
        </w:rPr>
        <w:footnoteRef/>
      </w:r>
      <w:hyperlink r:id="rId153" w:history="1">
        <w:r w:rsidRPr="008905FF">
          <w:rPr>
            <w:rFonts w:ascii="Times New Roman" w:hAnsi="Times New Roman" w:cs="Times New Roman"/>
            <w:color w:val="0563C1"/>
            <w:sz w:val="20"/>
            <w:szCs w:val="20"/>
            <w:u w:val="single"/>
          </w:rPr>
          <w:t>http://www.rops.wzp.pl/aktualnosci-rops/marzenia-nie-odchodza-na-emeryture-marszalek-nagradza-w-konkursie-aktywni-dla-seniorow-2019</w:t>
        </w:r>
      </w:hyperlink>
      <w:r w:rsidRPr="008905FF">
        <w:rPr>
          <w:rFonts w:ascii="Times New Roman" w:hAnsi="Times New Roman" w:cs="Times New Roman"/>
          <w:bCs/>
          <w:sz w:val="20"/>
          <w:szCs w:val="20"/>
        </w:rPr>
        <w:t xml:space="preserve"> </w:t>
      </w:r>
    </w:p>
  </w:footnote>
  <w:footnote w:id="236">
    <w:p w14:paraId="49DCF5FC"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154" w:history="1">
        <w:r w:rsidRPr="008905FF">
          <w:rPr>
            <w:rFonts w:ascii="Times New Roman" w:hAnsi="Times New Roman"/>
            <w:color w:val="0563C1"/>
            <w:u w:val="single"/>
          </w:rPr>
          <w:t>www.rodzina.wzp.pl</w:t>
        </w:r>
      </w:hyperlink>
    </w:p>
  </w:footnote>
  <w:footnote w:id="237">
    <w:p w14:paraId="3CD5B085"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r w:rsidRPr="008905FF">
        <w:rPr>
          <w:rFonts w:ascii="Times New Roman" w:eastAsia="Calibri" w:hAnsi="Times New Roman"/>
        </w:rPr>
        <w:t>//koszalininfo.pl/huczny-bal-seniora-w-koszalinie-tance-hulance-i-swawola-foto-film/</w:t>
      </w:r>
    </w:p>
  </w:footnote>
  <w:footnote w:id="238">
    <w:p w14:paraId="6CE1AE56"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55" w:history="1">
        <w:r w:rsidRPr="008905FF">
          <w:rPr>
            <w:rFonts w:ascii="Times New Roman" w:eastAsia="Calibri" w:hAnsi="Times New Roman"/>
            <w:color w:val="0563C1"/>
            <w:u w:val="single"/>
          </w:rPr>
          <w:t>http://bip.gops.grzmiaca.org.pl/Karta</w:t>
        </w:r>
      </w:hyperlink>
    </w:p>
  </w:footnote>
  <w:footnote w:id="239">
    <w:p w14:paraId="28EA1926"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r w:rsidRPr="008905FF">
        <w:rPr>
          <w:rFonts w:ascii="Times New Roman" w:eastAsia="Calibri" w:hAnsi="Times New Roman"/>
        </w:rPr>
        <w:t>http: //bipops.siemysl.pl/index.php?id=84181/</w:t>
      </w:r>
    </w:p>
  </w:footnote>
  <w:footnote w:id="240">
    <w:p w14:paraId="37D37CAE" w14:textId="77777777" w:rsidR="00E5701D" w:rsidRPr="008905FF" w:rsidRDefault="00E5701D" w:rsidP="004E2CAB">
      <w:pPr>
        <w:spacing w:after="0"/>
        <w:jc w:val="both"/>
        <w:rPr>
          <w:rFonts w:ascii="Times New Roman" w:eastAsia="Calibri" w:hAnsi="Times New Roman" w:cs="Times New Roman"/>
          <w:color w:val="0563C1"/>
          <w:sz w:val="20"/>
          <w:szCs w:val="20"/>
          <w:u w:val="single"/>
        </w:rPr>
      </w:pPr>
      <w:r w:rsidRPr="008905FF">
        <w:rPr>
          <w:rStyle w:val="Odwoanieprzypisudolnego"/>
          <w:rFonts w:ascii="Times New Roman" w:hAnsi="Times New Roman" w:cs="Times New Roman"/>
          <w:sz w:val="20"/>
          <w:szCs w:val="20"/>
        </w:rPr>
        <w:footnoteRef/>
      </w:r>
      <w:r w:rsidRPr="008905FF">
        <w:rPr>
          <w:rFonts w:ascii="Times New Roman" w:hAnsi="Times New Roman" w:cs="Times New Roman"/>
          <w:sz w:val="20"/>
          <w:szCs w:val="20"/>
        </w:rPr>
        <w:t xml:space="preserve"> </w:t>
      </w:r>
      <w:hyperlink r:id="rId156" w:history="1">
        <w:r w:rsidRPr="008905FF">
          <w:rPr>
            <w:rFonts w:ascii="Times New Roman" w:eastAsia="Calibri" w:hAnsi="Times New Roman" w:cs="Times New Roman"/>
            <w:color w:val="0563C1"/>
            <w:sz w:val="20"/>
            <w:szCs w:val="20"/>
            <w:u w:val="single"/>
          </w:rPr>
          <w:t>http://koperta-zycia.goleniów.pl/</w:t>
        </w:r>
      </w:hyperlink>
    </w:p>
  </w:footnote>
  <w:footnote w:id="241">
    <w:p w14:paraId="4762E9B1"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hyperlink r:id="rId157" w:history="1">
        <w:r w:rsidRPr="008905FF">
          <w:rPr>
            <w:rStyle w:val="Hipercze"/>
            <w:rFonts w:ascii="Times New Roman" w:eastAsia="Calibri" w:hAnsi="Times New Roman"/>
          </w:rPr>
          <w:t>http://www.goleniow.pl/component/k2/item/7169-zaszczep-si%C4%99-przeciw-grypie/</w:t>
        </w:r>
      </w:hyperlink>
      <w:r w:rsidRPr="008905FF">
        <w:rPr>
          <w:rFonts w:ascii="Times New Roman" w:eastAsia="Calibri" w:hAnsi="Times New Roman"/>
        </w:rPr>
        <w:t xml:space="preserve"> </w:t>
      </w:r>
    </w:p>
  </w:footnote>
  <w:footnote w:id="242">
    <w:p w14:paraId="38ABF3E8" w14:textId="77777777" w:rsidR="00E5701D" w:rsidRDefault="00E5701D">
      <w:pPr>
        <w:pStyle w:val="Tekstprzypisudolnego"/>
      </w:pPr>
      <w:r w:rsidRPr="008905FF">
        <w:rPr>
          <w:rStyle w:val="Odwoanieprzypisudolnego"/>
          <w:rFonts w:ascii="Times New Roman" w:hAnsi="Times New Roman"/>
        </w:rPr>
        <w:footnoteRef/>
      </w:r>
      <w:r w:rsidRPr="008905FF">
        <w:rPr>
          <w:rFonts w:ascii="Times New Roman" w:hAnsi="Times New Roman"/>
        </w:rPr>
        <w:t xml:space="preserve"> </w:t>
      </w:r>
      <w:hyperlink r:id="rId158" w:history="1">
        <w:r w:rsidRPr="008905FF">
          <w:rPr>
            <w:rFonts w:ascii="Times New Roman" w:eastAsia="Calibri" w:hAnsi="Times New Roman"/>
            <w:color w:val="0563C1"/>
            <w:u w:val="single"/>
          </w:rPr>
          <w:t>http://www.seniorzy.darłowo.pl/</w:t>
        </w:r>
      </w:hyperlink>
    </w:p>
  </w:footnote>
  <w:footnote w:id="243">
    <w:p w14:paraId="37B8E57F" w14:textId="77777777" w:rsidR="00E5701D" w:rsidRPr="008905FF" w:rsidRDefault="00E5701D">
      <w:pPr>
        <w:pStyle w:val="Tekstprzypisudolnego"/>
        <w:rPr>
          <w:rFonts w:ascii="Times New Roman" w:hAnsi="Times New Roman"/>
        </w:rPr>
      </w:pPr>
      <w:r w:rsidRPr="008905FF">
        <w:rPr>
          <w:rStyle w:val="Odwoanieprzypisudolnego"/>
          <w:rFonts w:ascii="Times New Roman" w:hAnsi="Times New Roman"/>
        </w:rPr>
        <w:footnoteRef/>
      </w:r>
      <w:r w:rsidRPr="008905FF">
        <w:rPr>
          <w:rFonts w:ascii="Times New Roman" w:hAnsi="Times New Roman"/>
        </w:rPr>
        <w:t xml:space="preserve"> </w:t>
      </w:r>
      <w:r w:rsidRPr="008905FF">
        <w:rPr>
          <w:rFonts w:ascii="Times New Roman" w:eastAsia="Calibri" w:hAnsi="Times New Roman"/>
        </w:rPr>
        <w:t>htttp://www.seniorzy.darłow.pl/</w:t>
      </w:r>
    </w:p>
  </w:footnote>
  <w:footnote w:id="244">
    <w:p w14:paraId="4B490749" w14:textId="77777777" w:rsidR="00E5701D" w:rsidRDefault="00E5701D" w:rsidP="00A80DF0">
      <w:pPr>
        <w:pStyle w:val="Tekstprzypisudolnego"/>
      </w:pPr>
      <w:r>
        <w:rPr>
          <w:rStyle w:val="Odwoanieprzypisudolnego"/>
        </w:rPr>
        <w:footnoteRef/>
      </w:r>
      <w:r>
        <w:t xml:space="preserve"> </w:t>
      </w:r>
      <w:r w:rsidRPr="00091AEF">
        <w:t>Worki stomijne samoprzylepne jednorazowego użycia w ilości do 90 sztuk w systemie jednoczęściowym lub w równowartości ich kosztu worki i płytki w systemie dwuczęściowym lub inny sprzęt stomijny: zestawy irygacyjne, nocne zbiorniki na mocz, pasty, pudry oraz paski, półpierścienie, pierścienie o właściwościach uszczelniających lub gojących, produkty do usuwania sprzętu stomijnego lub do ochrony skóry wokół stomii</w:t>
      </w:r>
    </w:p>
  </w:footnote>
  <w:footnote w:id="245">
    <w:p w14:paraId="4BA966AB" w14:textId="77777777" w:rsidR="00E5701D" w:rsidRDefault="00E5701D" w:rsidP="00F97CCB">
      <w:pPr>
        <w:pStyle w:val="Tekstprzypisudolnego"/>
      </w:pPr>
      <w:r>
        <w:rPr>
          <w:rStyle w:val="Odwoanieprzypisudolnego"/>
        </w:rPr>
        <w:footnoteRef/>
      </w:r>
      <w:r>
        <w:t xml:space="preserve"> Rozporządzenie Ministra Zdrowia z dnia 6 listopada 2013 r. w sprawie świadczeń gwarantowanych z zakresu rehabilitacji leczniczej (DZ. U. 2018, poz. 465 z późn. zm.)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3"/>
    <w:lvl w:ilvl="0">
      <w:start w:val="1"/>
      <w:numFmt w:val="decimal"/>
      <w:lvlText w:val="%1."/>
      <w:lvlJc w:val="left"/>
      <w:pPr>
        <w:tabs>
          <w:tab w:val="num" w:pos="0"/>
        </w:tabs>
        <w:ind w:left="360" w:hanging="360"/>
      </w:pPr>
      <w:rPr>
        <w:b w:val="0"/>
        <w:sz w:val="24"/>
        <w:szCs w:val="24"/>
      </w:rPr>
    </w:lvl>
  </w:abstractNum>
  <w:abstractNum w:abstractNumId="1" w15:restartNumberingAfterBreak="0">
    <w:nsid w:val="00000003"/>
    <w:multiLevelType w:val="singleLevel"/>
    <w:tmpl w:val="00000003"/>
    <w:name w:val="WW8Num4"/>
    <w:lvl w:ilvl="0">
      <w:start w:val="1"/>
      <w:numFmt w:val="bullet"/>
      <w:lvlText w:val=""/>
      <w:lvlJc w:val="left"/>
      <w:pPr>
        <w:tabs>
          <w:tab w:val="num" w:pos="0"/>
        </w:tabs>
        <w:ind w:left="720" w:hanging="360"/>
      </w:pPr>
      <w:rPr>
        <w:rFonts w:ascii="Symbol" w:hAnsi="Symbol" w:cs="Symbol" w:hint="default"/>
        <w:sz w:val="24"/>
        <w:szCs w:val="24"/>
      </w:rPr>
    </w:lvl>
  </w:abstractNum>
  <w:abstractNum w:abstractNumId="2" w15:restartNumberingAfterBreak="0">
    <w:nsid w:val="00000004"/>
    <w:multiLevelType w:val="singleLevel"/>
    <w:tmpl w:val="00000004"/>
    <w:name w:val="WW8Num29"/>
    <w:lvl w:ilvl="0">
      <w:start w:val="1"/>
      <w:numFmt w:val="decimal"/>
      <w:lvlText w:val="%1)"/>
      <w:lvlJc w:val="left"/>
      <w:pPr>
        <w:tabs>
          <w:tab w:val="num" w:pos="0"/>
        </w:tabs>
        <w:ind w:left="720" w:hanging="360"/>
      </w:pPr>
      <w:rPr>
        <w:rFonts w:hint="default"/>
      </w:rPr>
    </w:lvl>
  </w:abstractNum>
  <w:abstractNum w:abstractNumId="3" w15:restartNumberingAfterBreak="0">
    <w:nsid w:val="002253B8"/>
    <w:multiLevelType w:val="hybridMultilevel"/>
    <w:tmpl w:val="20E086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03805C4"/>
    <w:multiLevelType w:val="hybridMultilevel"/>
    <w:tmpl w:val="C248B61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0707EED"/>
    <w:multiLevelType w:val="hybridMultilevel"/>
    <w:tmpl w:val="499071BE"/>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09A43B0"/>
    <w:multiLevelType w:val="hybridMultilevel"/>
    <w:tmpl w:val="F4A403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0F324E4"/>
    <w:multiLevelType w:val="hybridMultilevel"/>
    <w:tmpl w:val="A5E6E8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1223431"/>
    <w:multiLevelType w:val="multilevel"/>
    <w:tmpl w:val="571C2056"/>
    <w:lvl w:ilvl="0">
      <w:start w:val="1"/>
      <w:numFmt w:val="bullet"/>
      <w:lvlText w:val=""/>
      <w:lvlJc w:val="left"/>
      <w:pPr>
        <w:ind w:left="1482" w:hanging="360"/>
      </w:pPr>
      <w:rPr>
        <w:rFonts w:ascii="Symbol" w:hAnsi="Symbol" w:hint="default"/>
      </w:rPr>
    </w:lvl>
    <w:lvl w:ilvl="1">
      <w:start w:val="1"/>
      <w:numFmt w:val="lowerLetter"/>
      <w:lvlText w:val="%2."/>
      <w:lvlJc w:val="left"/>
      <w:pPr>
        <w:ind w:left="2202" w:hanging="360"/>
      </w:pPr>
    </w:lvl>
    <w:lvl w:ilvl="2">
      <w:start w:val="1"/>
      <w:numFmt w:val="lowerRoman"/>
      <w:lvlText w:val="%3."/>
      <w:lvlJc w:val="right"/>
      <w:pPr>
        <w:ind w:left="2922" w:hanging="180"/>
      </w:pPr>
    </w:lvl>
    <w:lvl w:ilvl="3">
      <w:start w:val="1"/>
      <w:numFmt w:val="upperRoman"/>
      <w:lvlText w:val="%4."/>
      <w:lvlJc w:val="left"/>
      <w:pPr>
        <w:ind w:left="3642" w:hanging="360"/>
      </w:pPr>
      <w:rPr>
        <w:rFonts w:ascii="Times New Roman" w:eastAsia="Calibri" w:hAnsi="Times New Roman" w:cs="Times New Roman"/>
      </w:rPr>
    </w:lvl>
    <w:lvl w:ilvl="4">
      <w:start w:val="1"/>
      <w:numFmt w:val="lowerLetter"/>
      <w:lvlText w:val="%5."/>
      <w:lvlJc w:val="left"/>
      <w:pPr>
        <w:ind w:left="4362" w:hanging="360"/>
      </w:pPr>
    </w:lvl>
    <w:lvl w:ilvl="5">
      <w:start w:val="1"/>
      <w:numFmt w:val="lowerRoman"/>
      <w:lvlText w:val="%6."/>
      <w:lvlJc w:val="right"/>
      <w:pPr>
        <w:ind w:left="5082" w:hanging="180"/>
      </w:pPr>
    </w:lvl>
    <w:lvl w:ilvl="6">
      <w:start w:val="1"/>
      <w:numFmt w:val="decimal"/>
      <w:lvlText w:val="%7."/>
      <w:lvlJc w:val="left"/>
      <w:pPr>
        <w:ind w:left="5802" w:hanging="360"/>
      </w:pPr>
      <w:rPr>
        <w:b/>
      </w:rPr>
    </w:lvl>
    <w:lvl w:ilvl="7">
      <w:start w:val="1"/>
      <w:numFmt w:val="lowerLetter"/>
      <w:lvlText w:val="%8."/>
      <w:lvlJc w:val="left"/>
      <w:pPr>
        <w:ind w:left="6522" w:hanging="360"/>
      </w:pPr>
    </w:lvl>
    <w:lvl w:ilvl="8">
      <w:start w:val="1"/>
      <w:numFmt w:val="lowerRoman"/>
      <w:lvlText w:val="%9."/>
      <w:lvlJc w:val="right"/>
      <w:pPr>
        <w:ind w:left="7242" w:hanging="180"/>
      </w:pPr>
    </w:lvl>
  </w:abstractNum>
  <w:abstractNum w:abstractNumId="9" w15:restartNumberingAfterBreak="0">
    <w:nsid w:val="013910A7"/>
    <w:multiLevelType w:val="hybridMultilevel"/>
    <w:tmpl w:val="2B583EFC"/>
    <w:lvl w:ilvl="0" w:tplc="F2288278">
      <w:start w:val="1"/>
      <w:numFmt w:val="bullet"/>
      <w:lvlText w:val=""/>
      <w:lvlJc w:val="left"/>
      <w:pPr>
        <w:ind w:left="725" w:hanging="360"/>
      </w:pPr>
      <w:rPr>
        <w:rFonts w:ascii="Symbol" w:hAnsi="Symbol" w:hint="default"/>
      </w:r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0" w15:restartNumberingAfterBreak="0">
    <w:nsid w:val="01490496"/>
    <w:multiLevelType w:val="hybridMultilevel"/>
    <w:tmpl w:val="8C307C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20D5134"/>
    <w:multiLevelType w:val="hybridMultilevel"/>
    <w:tmpl w:val="096607D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29948F5"/>
    <w:multiLevelType w:val="hybridMultilevel"/>
    <w:tmpl w:val="17020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34A5809"/>
    <w:multiLevelType w:val="hybridMultilevel"/>
    <w:tmpl w:val="8174AC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3661FF8"/>
    <w:multiLevelType w:val="hybridMultilevel"/>
    <w:tmpl w:val="23F6E3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3E4771B"/>
    <w:multiLevelType w:val="hybridMultilevel"/>
    <w:tmpl w:val="3DC4F0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4A02787"/>
    <w:multiLevelType w:val="hybridMultilevel"/>
    <w:tmpl w:val="5B7883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4EB6624"/>
    <w:multiLevelType w:val="hybridMultilevel"/>
    <w:tmpl w:val="19DA3D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51774D5"/>
    <w:multiLevelType w:val="hybridMultilevel"/>
    <w:tmpl w:val="785247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051951E8"/>
    <w:multiLevelType w:val="hybridMultilevel"/>
    <w:tmpl w:val="0A0A67AE"/>
    <w:lvl w:ilvl="0" w:tplc="F2288278">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20" w15:restartNumberingAfterBreak="0">
    <w:nsid w:val="05553A91"/>
    <w:multiLevelType w:val="hybridMultilevel"/>
    <w:tmpl w:val="14542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8E50F6"/>
    <w:multiLevelType w:val="hybridMultilevel"/>
    <w:tmpl w:val="BFEC5500"/>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5BE6C79"/>
    <w:multiLevelType w:val="hybridMultilevel"/>
    <w:tmpl w:val="44B081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06551AD4"/>
    <w:multiLevelType w:val="hybridMultilevel"/>
    <w:tmpl w:val="EF761F06"/>
    <w:lvl w:ilvl="0" w:tplc="04150001">
      <w:start w:val="1"/>
      <w:numFmt w:val="bullet"/>
      <w:lvlText w:val=""/>
      <w:lvlJc w:val="left"/>
      <w:pPr>
        <w:ind w:left="2292" w:hanging="360"/>
      </w:pPr>
      <w:rPr>
        <w:rFonts w:ascii="Symbol" w:hAnsi="Symbol" w:hint="default"/>
      </w:rPr>
    </w:lvl>
    <w:lvl w:ilvl="1" w:tplc="FFFFFFFF" w:tentative="1">
      <w:start w:val="1"/>
      <w:numFmt w:val="bullet"/>
      <w:lvlText w:val="o"/>
      <w:lvlJc w:val="left"/>
      <w:pPr>
        <w:ind w:left="3012" w:hanging="360"/>
      </w:pPr>
      <w:rPr>
        <w:rFonts w:ascii="Courier New" w:hAnsi="Courier New" w:cs="Courier New" w:hint="default"/>
      </w:rPr>
    </w:lvl>
    <w:lvl w:ilvl="2" w:tplc="FFFFFFFF" w:tentative="1">
      <w:start w:val="1"/>
      <w:numFmt w:val="bullet"/>
      <w:lvlText w:val=""/>
      <w:lvlJc w:val="left"/>
      <w:pPr>
        <w:ind w:left="3732" w:hanging="360"/>
      </w:pPr>
      <w:rPr>
        <w:rFonts w:ascii="Wingdings" w:hAnsi="Wingdings" w:hint="default"/>
      </w:rPr>
    </w:lvl>
    <w:lvl w:ilvl="3" w:tplc="FFFFFFFF" w:tentative="1">
      <w:start w:val="1"/>
      <w:numFmt w:val="bullet"/>
      <w:lvlText w:val=""/>
      <w:lvlJc w:val="left"/>
      <w:pPr>
        <w:ind w:left="4452" w:hanging="360"/>
      </w:pPr>
      <w:rPr>
        <w:rFonts w:ascii="Symbol" w:hAnsi="Symbol" w:hint="default"/>
      </w:rPr>
    </w:lvl>
    <w:lvl w:ilvl="4" w:tplc="FFFFFFFF" w:tentative="1">
      <w:start w:val="1"/>
      <w:numFmt w:val="bullet"/>
      <w:lvlText w:val="o"/>
      <w:lvlJc w:val="left"/>
      <w:pPr>
        <w:ind w:left="5172" w:hanging="360"/>
      </w:pPr>
      <w:rPr>
        <w:rFonts w:ascii="Courier New" w:hAnsi="Courier New" w:cs="Courier New" w:hint="default"/>
      </w:rPr>
    </w:lvl>
    <w:lvl w:ilvl="5" w:tplc="FFFFFFFF" w:tentative="1">
      <w:start w:val="1"/>
      <w:numFmt w:val="bullet"/>
      <w:lvlText w:val=""/>
      <w:lvlJc w:val="left"/>
      <w:pPr>
        <w:ind w:left="5892" w:hanging="360"/>
      </w:pPr>
      <w:rPr>
        <w:rFonts w:ascii="Wingdings" w:hAnsi="Wingdings" w:hint="default"/>
      </w:rPr>
    </w:lvl>
    <w:lvl w:ilvl="6" w:tplc="FFFFFFFF" w:tentative="1">
      <w:start w:val="1"/>
      <w:numFmt w:val="bullet"/>
      <w:lvlText w:val=""/>
      <w:lvlJc w:val="left"/>
      <w:pPr>
        <w:ind w:left="6612" w:hanging="360"/>
      </w:pPr>
      <w:rPr>
        <w:rFonts w:ascii="Symbol" w:hAnsi="Symbol" w:hint="default"/>
      </w:rPr>
    </w:lvl>
    <w:lvl w:ilvl="7" w:tplc="FFFFFFFF" w:tentative="1">
      <w:start w:val="1"/>
      <w:numFmt w:val="bullet"/>
      <w:lvlText w:val="o"/>
      <w:lvlJc w:val="left"/>
      <w:pPr>
        <w:ind w:left="7332" w:hanging="360"/>
      </w:pPr>
      <w:rPr>
        <w:rFonts w:ascii="Courier New" w:hAnsi="Courier New" w:cs="Courier New" w:hint="default"/>
      </w:rPr>
    </w:lvl>
    <w:lvl w:ilvl="8" w:tplc="FFFFFFFF" w:tentative="1">
      <w:start w:val="1"/>
      <w:numFmt w:val="bullet"/>
      <w:lvlText w:val=""/>
      <w:lvlJc w:val="left"/>
      <w:pPr>
        <w:ind w:left="8052" w:hanging="360"/>
      </w:pPr>
      <w:rPr>
        <w:rFonts w:ascii="Wingdings" w:hAnsi="Wingdings" w:hint="default"/>
      </w:rPr>
    </w:lvl>
  </w:abstractNum>
  <w:abstractNum w:abstractNumId="24" w15:restartNumberingAfterBreak="0">
    <w:nsid w:val="06855AA4"/>
    <w:multiLevelType w:val="hybridMultilevel"/>
    <w:tmpl w:val="35649AC2"/>
    <w:lvl w:ilvl="0" w:tplc="0415000D">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5" w15:restartNumberingAfterBreak="0">
    <w:nsid w:val="068A1B7E"/>
    <w:multiLevelType w:val="hybridMultilevel"/>
    <w:tmpl w:val="F0883992"/>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6EC3DEF"/>
    <w:multiLevelType w:val="multilevel"/>
    <w:tmpl w:val="66D43858"/>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 w15:restartNumberingAfterBreak="0">
    <w:nsid w:val="06FD3F2D"/>
    <w:multiLevelType w:val="hybridMultilevel"/>
    <w:tmpl w:val="9A9613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07091558"/>
    <w:multiLevelType w:val="hybridMultilevel"/>
    <w:tmpl w:val="1F44D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70C0EC1"/>
    <w:multiLevelType w:val="hybridMultilevel"/>
    <w:tmpl w:val="6FB62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72E2D37"/>
    <w:multiLevelType w:val="hybridMultilevel"/>
    <w:tmpl w:val="94D056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07D538D0"/>
    <w:multiLevelType w:val="hybridMultilevel"/>
    <w:tmpl w:val="79C4B1E6"/>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083B7906"/>
    <w:multiLevelType w:val="hybridMultilevel"/>
    <w:tmpl w:val="785E0B50"/>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8FD7289"/>
    <w:multiLevelType w:val="multilevel"/>
    <w:tmpl w:val="90D6CC7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34" w15:restartNumberingAfterBreak="0">
    <w:nsid w:val="09122CA0"/>
    <w:multiLevelType w:val="hybridMultilevel"/>
    <w:tmpl w:val="605049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96F18B7"/>
    <w:multiLevelType w:val="hybridMultilevel"/>
    <w:tmpl w:val="93222DD4"/>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9813C70"/>
    <w:multiLevelType w:val="hybridMultilevel"/>
    <w:tmpl w:val="FCD8AE8A"/>
    <w:lvl w:ilvl="0" w:tplc="82A201F6">
      <w:start w:val="1"/>
      <w:numFmt w:val="bullet"/>
      <w:lvlText w:val=""/>
      <w:lvlJc w:val="left"/>
      <w:pPr>
        <w:ind w:left="1854" w:hanging="360"/>
      </w:pPr>
      <w:rPr>
        <w:rFonts w:ascii="Symbol" w:hAnsi="Symbol" w:hint="default"/>
        <w:color w:val="auto"/>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37" w15:restartNumberingAfterBreak="0">
    <w:nsid w:val="099839B2"/>
    <w:multiLevelType w:val="hybridMultilevel"/>
    <w:tmpl w:val="3DE4C784"/>
    <w:lvl w:ilvl="0" w:tplc="F2288278">
      <w:start w:val="1"/>
      <w:numFmt w:val="bullet"/>
      <w:lvlText w:val=""/>
      <w:lvlJc w:val="left"/>
      <w:pPr>
        <w:ind w:left="1440" w:hanging="360"/>
      </w:pPr>
      <w:rPr>
        <w:rFonts w:ascii="Symbol" w:hAnsi="Symbol" w:hint="default"/>
      </w:rPr>
    </w:lvl>
    <w:lvl w:ilvl="1" w:tplc="D32831C0">
      <w:numFmt w:val="bullet"/>
      <w:lvlText w:val="•"/>
      <w:lvlJc w:val="left"/>
      <w:pPr>
        <w:ind w:left="2505" w:hanging="705"/>
      </w:pPr>
      <w:rPr>
        <w:rFonts w:ascii="Times New Roman" w:eastAsia="MS Mincho"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09AB172E"/>
    <w:multiLevelType w:val="hybridMultilevel"/>
    <w:tmpl w:val="C994E9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09F5237F"/>
    <w:multiLevelType w:val="hybridMultilevel"/>
    <w:tmpl w:val="8D9AE4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A325E2F"/>
    <w:multiLevelType w:val="hybridMultilevel"/>
    <w:tmpl w:val="17904C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0A5624A3"/>
    <w:multiLevelType w:val="hybridMultilevel"/>
    <w:tmpl w:val="BFD860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AA80946"/>
    <w:multiLevelType w:val="hybridMultilevel"/>
    <w:tmpl w:val="C8F046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0D080D3A"/>
    <w:multiLevelType w:val="multilevel"/>
    <w:tmpl w:val="30B60150"/>
    <w:lvl w:ilvl="0">
      <w:numFmt w:val="bullet"/>
      <w:lvlText w:val="•"/>
      <w:lvlJc w:val="left"/>
      <w:pPr>
        <w:ind w:left="1080" w:hanging="360"/>
      </w:pPr>
      <w:rPr>
        <w:rFonts w:ascii="OpenSymbol" w:eastAsia="OpenSymbol" w:hAnsi="OpenSymbol" w:cs="OpenSymbol"/>
      </w:rPr>
    </w:lvl>
    <w:lvl w:ilvl="1">
      <w:start w:val="1"/>
      <w:numFmt w:val="bullet"/>
      <w:lvlText w:val="−"/>
      <w:lvlJc w:val="left"/>
      <w:pPr>
        <w:ind w:left="1440" w:hanging="360"/>
      </w:pPr>
      <w:rPr>
        <w:rFonts w:ascii="Times New Roman" w:hAnsi="Times New Roman" w:cs="Times New Roman" w:hint="default"/>
      </w:rPr>
    </w:lvl>
    <w:lvl w:ilvl="2">
      <w:numFmt w:val="bullet"/>
      <w:lvlText w:val="▪"/>
      <w:lvlJc w:val="left"/>
      <w:pPr>
        <w:ind w:left="1800" w:hanging="360"/>
      </w:pPr>
      <w:rPr>
        <w:rFonts w:ascii="OpenSymbol" w:eastAsia="OpenSymbol" w:hAnsi="OpenSymbol" w:cs="OpenSymbol"/>
      </w:rPr>
    </w:lvl>
    <w:lvl w:ilvl="3">
      <w:numFmt w:val="bullet"/>
      <w:lvlText w:val="•"/>
      <w:lvlJc w:val="left"/>
      <w:pPr>
        <w:ind w:left="2160" w:hanging="360"/>
      </w:pPr>
      <w:rPr>
        <w:rFonts w:ascii="OpenSymbol" w:eastAsia="OpenSymbol" w:hAnsi="OpenSymbol" w:cs="OpenSymbol"/>
      </w:rPr>
    </w:lvl>
    <w:lvl w:ilvl="4">
      <w:numFmt w:val="bullet"/>
      <w:lvlText w:val="◦"/>
      <w:lvlJc w:val="left"/>
      <w:pPr>
        <w:ind w:left="2520" w:hanging="360"/>
      </w:pPr>
      <w:rPr>
        <w:rFonts w:ascii="OpenSymbol" w:eastAsia="OpenSymbol" w:hAnsi="OpenSymbol" w:cs="OpenSymbol"/>
      </w:rPr>
    </w:lvl>
    <w:lvl w:ilvl="5">
      <w:numFmt w:val="bullet"/>
      <w:lvlText w:val="▪"/>
      <w:lvlJc w:val="left"/>
      <w:pPr>
        <w:ind w:left="2880" w:hanging="360"/>
      </w:pPr>
      <w:rPr>
        <w:rFonts w:ascii="OpenSymbol" w:eastAsia="OpenSymbol" w:hAnsi="OpenSymbol" w:cs="OpenSymbol"/>
      </w:rPr>
    </w:lvl>
    <w:lvl w:ilvl="6">
      <w:numFmt w:val="bullet"/>
      <w:lvlText w:val="•"/>
      <w:lvlJc w:val="left"/>
      <w:pPr>
        <w:ind w:left="3240" w:hanging="360"/>
      </w:pPr>
      <w:rPr>
        <w:rFonts w:ascii="OpenSymbol" w:eastAsia="OpenSymbol" w:hAnsi="OpenSymbol" w:cs="OpenSymbol"/>
      </w:rPr>
    </w:lvl>
    <w:lvl w:ilvl="7">
      <w:numFmt w:val="bullet"/>
      <w:lvlText w:val="◦"/>
      <w:lvlJc w:val="left"/>
      <w:pPr>
        <w:ind w:left="3600" w:hanging="360"/>
      </w:pPr>
      <w:rPr>
        <w:rFonts w:ascii="OpenSymbol" w:eastAsia="OpenSymbol" w:hAnsi="OpenSymbol" w:cs="OpenSymbol"/>
      </w:rPr>
    </w:lvl>
    <w:lvl w:ilvl="8">
      <w:numFmt w:val="bullet"/>
      <w:lvlText w:val="▪"/>
      <w:lvlJc w:val="left"/>
      <w:pPr>
        <w:ind w:left="3960" w:hanging="360"/>
      </w:pPr>
      <w:rPr>
        <w:rFonts w:ascii="OpenSymbol" w:eastAsia="OpenSymbol" w:hAnsi="OpenSymbol" w:cs="OpenSymbol"/>
      </w:rPr>
    </w:lvl>
  </w:abstractNum>
  <w:abstractNum w:abstractNumId="44" w15:restartNumberingAfterBreak="0">
    <w:nsid w:val="0D4700CB"/>
    <w:multiLevelType w:val="hybridMultilevel"/>
    <w:tmpl w:val="148247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0D4C4133"/>
    <w:multiLevelType w:val="hybridMultilevel"/>
    <w:tmpl w:val="0FF0DC2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DAD69A7"/>
    <w:multiLevelType w:val="hybridMultilevel"/>
    <w:tmpl w:val="948EA618"/>
    <w:lvl w:ilvl="0" w:tplc="B71A19F2">
      <w:start w:val="1"/>
      <w:numFmt w:val="bullet"/>
      <w:lvlText w:val=""/>
      <w:lvlJc w:val="left"/>
      <w:pPr>
        <w:ind w:left="502" w:hanging="360"/>
      </w:pPr>
      <w:rPr>
        <w:rFonts w:ascii="Symbol" w:hAnsi="Symbol" w:hint="default"/>
      </w:rPr>
    </w:lvl>
    <w:lvl w:ilvl="1" w:tplc="9CB8DD16">
      <w:numFmt w:val="bullet"/>
      <w:lvlText w:val="•"/>
      <w:lvlJc w:val="left"/>
      <w:pPr>
        <w:ind w:left="1567" w:hanging="705"/>
      </w:pPr>
      <w:rPr>
        <w:rFonts w:ascii="Times New Roman" w:eastAsia="Times New Roman" w:hAnsi="Times New Roman" w:cs="Times New Roman"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47" w15:restartNumberingAfterBreak="0">
    <w:nsid w:val="0DC31465"/>
    <w:multiLevelType w:val="hybridMultilevel"/>
    <w:tmpl w:val="117414C4"/>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0DDC70C0"/>
    <w:multiLevelType w:val="hybridMultilevel"/>
    <w:tmpl w:val="99B689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0E6977FD"/>
    <w:multiLevelType w:val="hybridMultilevel"/>
    <w:tmpl w:val="E3E41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0E935CCA"/>
    <w:multiLevelType w:val="hybridMultilevel"/>
    <w:tmpl w:val="29B08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0F31018F"/>
    <w:multiLevelType w:val="hybridMultilevel"/>
    <w:tmpl w:val="D59687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0F3775DE"/>
    <w:multiLevelType w:val="hybridMultilevel"/>
    <w:tmpl w:val="25184B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0F821DF4"/>
    <w:multiLevelType w:val="hybridMultilevel"/>
    <w:tmpl w:val="B34E3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0F876E61"/>
    <w:multiLevelType w:val="hybridMultilevel"/>
    <w:tmpl w:val="16226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10640600"/>
    <w:multiLevelType w:val="hybridMultilevel"/>
    <w:tmpl w:val="C6C4E1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0FA007A"/>
    <w:multiLevelType w:val="hybridMultilevel"/>
    <w:tmpl w:val="C750F5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10054DA"/>
    <w:multiLevelType w:val="hybridMultilevel"/>
    <w:tmpl w:val="DD56E98C"/>
    <w:lvl w:ilvl="0" w:tplc="F2288278">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8" w15:restartNumberingAfterBreak="0">
    <w:nsid w:val="111C0C45"/>
    <w:multiLevelType w:val="hybridMultilevel"/>
    <w:tmpl w:val="A3CC3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1272806"/>
    <w:multiLevelType w:val="hybridMultilevel"/>
    <w:tmpl w:val="DBC0E0A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0" w15:restartNumberingAfterBreak="0">
    <w:nsid w:val="115A5844"/>
    <w:multiLevelType w:val="hybridMultilevel"/>
    <w:tmpl w:val="C22CA78E"/>
    <w:lvl w:ilvl="0" w:tplc="F2288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11924717"/>
    <w:multiLevelType w:val="hybridMultilevel"/>
    <w:tmpl w:val="EB8055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119C51D8"/>
    <w:multiLevelType w:val="hybridMultilevel"/>
    <w:tmpl w:val="275433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3" w15:restartNumberingAfterBreak="0">
    <w:nsid w:val="121F702F"/>
    <w:multiLevelType w:val="hybridMultilevel"/>
    <w:tmpl w:val="18189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2766093"/>
    <w:multiLevelType w:val="hybridMultilevel"/>
    <w:tmpl w:val="DE54E7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1306715F"/>
    <w:multiLevelType w:val="hybridMultilevel"/>
    <w:tmpl w:val="EFC635B8"/>
    <w:lvl w:ilvl="0" w:tplc="617E9BB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136B26DA"/>
    <w:multiLevelType w:val="hybridMultilevel"/>
    <w:tmpl w:val="BB122944"/>
    <w:lvl w:ilvl="0" w:tplc="5B9C0A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3ED0D07"/>
    <w:multiLevelType w:val="hybridMultilevel"/>
    <w:tmpl w:val="FBBCE3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4386DEF"/>
    <w:multiLevelType w:val="hybridMultilevel"/>
    <w:tmpl w:val="8D069D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15080F45"/>
    <w:multiLevelType w:val="hybridMultilevel"/>
    <w:tmpl w:val="D0223D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15B03DCB"/>
    <w:multiLevelType w:val="hybridMultilevel"/>
    <w:tmpl w:val="902A31C4"/>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5B45C68"/>
    <w:multiLevelType w:val="hybridMultilevel"/>
    <w:tmpl w:val="E7C63314"/>
    <w:lvl w:ilvl="0" w:tplc="FFFFFFFF">
      <w:start w:val="1"/>
      <w:numFmt w:val="bullet"/>
      <w:lvlText w:val=""/>
      <w:lvlJc w:val="left"/>
      <w:pPr>
        <w:ind w:left="1920" w:hanging="360"/>
      </w:pPr>
      <w:rPr>
        <w:rFonts w:ascii="Symbol" w:hAnsi="Symbol" w:hint="default"/>
      </w:rPr>
    </w:lvl>
    <w:lvl w:ilvl="1" w:tplc="FFFFFFFF">
      <w:start w:val="1"/>
      <w:numFmt w:val="bullet"/>
      <w:lvlText w:val="o"/>
      <w:lvlJc w:val="left"/>
      <w:pPr>
        <w:ind w:left="2432" w:hanging="360"/>
      </w:pPr>
      <w:rPr>
        <w:rFonts w:ascii="Courier New" w:hAnsi="Courier New" w:cs="Courier New" w:hint="default"/>
      </w:rPr>
    </w:lvl>
    <w:lvl w:ilvl="2" w:tplc="FFFFFFFF" w:tentative="1">
      <w:start w:val="1"/>
      <w:numFmt w:val="bullet"/>
      <w:lvlText w:val=""/>
      <w:lvlJc w:val="left"/>
      <w:pPr>
        <w:ind w:left="3152" w:hanging="360"/>
      </w:pPr>
      <w:rPr>
        <w:rFonts w:ascii="Wingdings" w:hAnsi="Wingdings" w:hint="default"/>
      </w:rPr>
    </w:lvl>
    <w:lvl w:ilvl="3" w:tplc="FFFFFFFF" w:tentative="1">
      <w:start w:val="1"/>
      <w:numFmt w:val="bullet"/>
      <w:lvlText w:val=""/>
      <w:lvlJc w:val="left"/>
      <w:pPr>
        <w:ind w:left="3872" w:hanging="360"/>
      </w:pPr>
      <w:rPr>
        <w:rFonts w:ascii="Symbol" w:hAnsi="Symbol" w:hint="default"/>
      </w:rPr>
    </w:lvl>
    <w:lvl w:ilvl="4" w:tplc="FFFFFFFF" w:tentative="1">
      <w:start w:val="1"/>
      <w:numFmt w:val="bullet"/>
      <w:lvlText w:val="o"/>
      <w:lvlJc w:val="left"/>
      <w:pPr>
        <w:ind w:left="4592" w:hanging="360"/>
      </w:pPr>
      <w:rPr>
        <w:rFonts w:ascii="Courier New" w:hAnsi="Courier New" w:cs="Courier New" w:hint="default"/>
      </w:rPr>
    </w:lvl>
    <w:lvl w:ilvl="5" w:tplc="FFFFFFFF" w:tentative="1">
      <w:start w:val="1"/>
      <w:numFmt w:val="bullet"/>
      <w:lvlText w:val=""/>
      <w:lvlJc w:val="left"/>
      <w:pPr>
        <w:ind w:left="5312" w:hanging="360"/>
      </w:pPr>
      <w:rPr>
        <w:rFonts w:ascii="Wingdings" w:hAnsi="Wingdings" w:hint="default"/>
      </w:rPr>
    </w:lvl>
    <w:lvl w:ilvl="6" w:tplc="FFFFFFFF" w:tentative="1">
      <w:start w:val="1"/>
      <w:numFmt w:val="bullet"/>
      <w:lvlText w:val=""/>
      <w:lvlJc w:val="left"/>
      <w:pPr>
        <w:ind w:left="6032" w:hanging="360"/>
      </w:pPr>
      <w:rPr>
        <w:rFonts w:ascii="Symbol" w:hAnsi="Symbol" w:hint="default"/>
      </w:rPr>
    </w:lvl>
    <w:lvl w:ilvl="7" w:tplc="FFFFFFFF" w:tentative="1">
      <w:start w:val="1"/>
      <w:numFmt w:val="bullet"/>
      <w:lvlText w:val="o"/>
      <w:lvlJc w:val="left"/>
      <w:pPr>
        <w:ind w:left="6752" w:hanging="360"/>
      </w:pPr>
      <w:rPr>
        <w:rFonts w:ascii="Courier New" w:hAnsi="Courier New" w:cs="Courier New" w:hint="default"/>
      </w:rPr>
    </w:lvl>
    <w:lvl w:ilvl="8" w:tplc="FFFFFFFF" w:tentative="1">
      <w:start w:val="1"/>
      <w:numFmt w:val="bullet"/>
      <w:lvlText w:val=""/>
      <w:lvlJc w:val="left"/>
      <w:pPr>
        <w:ind w:left="7472" w:hanging="360"/>
      </w:pPr>
      <w:rPr>
        <w:rFonts w:ascii="Wingdings" w:hAnsi="Wingdings" w:hint="default"/>
      </w:rPr>
    </w:lvl>
  </w:abstractNum>
  <w:abstractNum w:abstractNumId="72" w15:restartNumberingAfterBreak="0">
    <w:nsid w:val="15BF79C8"/>
    <w:multiLevelType w:val="hybridMultilevel"/>
    <w:tmpl w:val="30F0F3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15FA473F"/>
    <w:multiLevelType w:val="hybridMultilevel"/>
    <w:tmpl w:val="08D08B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5FC2BEA"/>
    <w:multiLevelType w:val="multilevel"/>
    <w:tmpl w:val="F1D06BF4"/>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5" w15:restartNumberingAfterBreak="0">
    <w:nsid w:val="1603278C"/>
    <w:multiLevelType w:val="hybridMultilevel"/>
    <w:tmpl w:val="0D0241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169B7F2B"/>
    <w:multiLevelType w:val="hybridMultilevel"/>
    <w:tmpl w:val="CA56DE92"/>
    <w:lvl w:ilvl="0" w:tplc="F2288278">
      <w:start w:val="1"/>
      <w:numFmt w:val="bullet"/>
      <w:lvlText w:val=""/>
      <w:lvlJc w:val="left"/>
      <w:pPr>
        <w:ind w:left="12" w:hanging="360"/>
      </w:pPr>
      <w:rPr>
        <w:rFonts w:ascii="Symbol" w:hAnsi="Symbol" w:hint="default"/>
      </w:rPr>
    </w:lvl>
    <w:lvl w:ilvl="1" w:tplc="04150003" w:tentative="1">
      <w:start w:val="1"/>
      <w:numFmt w:val="bullet"/>
      <w:lvlText w:val="o"/>
      <w:lvlJc w:val="left"/>
      <w:pPr>
        <w:ind w:left="732" w:hanging="360"/>
      </w:pPr>
      <w:rPr>
        <w:rFonts w:ascii="Courier New" w:hAnsi="Courier New" w:cs="Courier New" w:hint="default"/>
      </w:rPr>
    </w:lvl>
    <w:lvl w:ilvl="2" w:tplc="04150005" w:tentative="1">
      <w:start w:val="1"/>
      <w:numFmt w:val="bullet"/>
      <w:lvlText w:val=""/>
      <w:lvlJc w:val="left"/>
      <w:pPr>
        <w:ind w:left="1452" w:hanging="360"/>
      </w:pPr>
      <w:rPr>
        <w:rFonts w:ascii="Wingdings" w:hAnsi="Wingdings" w:hint="default"/>
      </w:rPr>
    </w:lvl>
    <w:lvl w:ilvl="3" w:tplc="04150001" w:tentative="1">
      <w:start w:val="1"/>
      <w:numFmt w:val="bullet"/>
      <w:lvlText w:val=""/>
      <w:lvlJc w:val="left"/>
      <w:pPr>
        <w:ind w:left="2172" w:hanging="360"/>
      </w:pPr>
      <w:rPr>
        <w:rFonts w:ascii="Symbol" w:hAnsi="Symbol" w:hint="default"/>
      </w:rPr>
    </w:lvl>
    <w:lvl w:ilvl="4" w:tplc="04150003" w:tentative="1">
      <w:start w:val="1"/>
      <w:numFmt w:val="bullet"/>
      <w:lvlText w:val="o"/>
      <w:lvlJc w:val="left"/>
      <w:pPr>
        <w:ind w:left="2892" w:hanging="360"/>
      </w:pPr>
      <w:rPr>
        <w:rFonts w:ascii="Courier New" w:hAnsi="Courier New" w:cs="Courier New" w:hint="default"/>
      </w:rPr>
    </w:lvl>
    <w:lvl w:ilvl="5" w:tplc="04150005" w:tentative="1">
      <w:start w:val="1"/>
      <w:numFmt w:val="bullet"/>
      <w:lvlText w:val=""/>
      <w:lvlJc w:val="left"/>
      <w:pPr>
        <w:ind w:left="3612" w:hanging="360"/>
      </w:pPr>
      <w:rPr>
        <w:rFonts w:ascii="Wingdings" w:hAnsi="Wingdings" w:hint="default"/>
      </w:rPr>
    </w:lvl>
    <w:lvl w:ilvl="6" w:tplc="04150001" w:tentative="1">
      <w:start w:val="1"/>
      <w:numFmt w:val="bullet"/>
      <w:lvlText w:val=""/>
      <w:lvlJc w:val="left"/>
      <w:pPr>
        <w:ind w:left="4332" w:hanging="360"/>
      </w:pPr>
      <w:rPr>
        <w:rFonts w:ascii="Symbol" w:hAnsi="Symbol" w:hint="default"/>
      </w:rPr>
    </w:lvl>
    <w:lvl w:ilvl="7" w:tplc="04150003" w:tentative="1">
      <w:start w:val="1"/>
      <w:numFmt w:val="bullet"/>
      <w:lvlText w:val="o"/>
      <w:lvlJc w:val="left"/>
      <w:pPr>
        <w:ind w:left="5052" w:hanging="360"/>
      </w:pPr>
      <w:rPr>
        <w:rFonts w:ascii="Courier New" w:hAnsi="Courier New" w:cs="Courier New" w:hint="default"/>
      </w:rPr>
    </w:lvl>
    <w:lvl w:ilvl="8" w:tplc="04150005" w:tentative="1">
      <w:start w:val="1"/>
      <w:numFmt w:val="bullet"/>
      <w:lvlText w:val=""/>
      <w:lvlJc w:val="left"/>
      <w:pPr>
        <w:ind w:left="5772" w:hanging="360"/>
      </w:pPr>
      <w:rPr>
        <w:rFonts w:ascii="Wingdings" w:hAnsi="Wingdings" w:hint="default"/>
      </w:rPr>
    </w:lvl>
  </w:abstractNum>
  <w:abstractNum w:abstractNumId="77" w15:restartNumberingAfterBreak="0">
    <w:nsid w:val="18676D83"/>
    <w:multiLevelType w:val="hybridMultilevel"/>
    <w:tmpl w:val="2FDA1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18756ECF"/>
    <w:multiLevelType w:val="hybridMultilevel"/>
    <w:tmpl w:val="6F8E32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88F4BDB"/>
    <w:multiLevelType w:val="hybridMultilevel"/>
    <w:tmpl w:val="AB8A7A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18DB4080"/>
    <w:multiLevelType w:val="hybridMultilevel"/>
    <w:tmpl w:val="0DC0BD36"/>
    <w:lvl w:ilvl="0" w:tplc="804EC83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192B4141"/>
    <w:multiLevelType w:val="hybridMultilevel"/>
    <w:tmpl w:val="0388B1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199803D2"/>
    <w:multiLevelType w:val="hybridMultilevel"/>
    <w:tmpl w:val="8264A304"/>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19B72944"/>
    <w:multiLevelType w:val="hybridMultilevel"/>
    <w:tmpl w:val="9A8EA6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1A171ADC"/>
    <w:multiLevelType w:val="hybridMultilevel"/>
    <w:tmpl w:val="8E4A394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5" w15:restartNumberingAfterBreak="0">
    <w:nsid w:val="1A3C1BF8"/>
    <w:multiLevelType w:val="hybridMultilevel"/>
    <w:tmpl w:val="359A9F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1A4B745A"/>
    <w:multiLevelType w:val="hybridMultilevel"/>
    <w:tmpl w:val="01AC8E6E"/>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A4C7EE4"/>
    <w:multiLevelType w:val="hybridMultilevel"/>
    <w:tmpl w:val="6DEECF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AF54CE0"/>
    <w:multiLevelType w:val="multilevel"/>
    <w:tmpl w:val="D1CAC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33245B"/>
    <w:multiLevelType w:val="hybridMultilevel"/>
    <w:tmpl w:val="47AE3E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BAA7F24"/>
    <w:multiLevelType w:val="hybridMultilevel"/>
    <w:tmpl w:val="D50242C0"/>
    <w:lvl w:ilvl="0" w:tplc="04150001">
      <w:start w:val="1"/>
      <w:numFmt w:val="bullet"/>
      <w:lvlText w:val=""/>
      <w:lvlJc w:val="left"/>
      <w:pPr>
        <w:ind w:left="1078" w:hanging="360"/>
      </w:pPr>
      <w:rPr>
        <w:rFonts w:ascii="Symbol" w:hAnsi="Symbol" w:hint="default"/>
      </w:rPr>
    </w:lvl>
    <w:lvl w:ilvl="1" w:tplc="04150003" w:tentative="1">
      <w:start w:val="1"/>
      <w:numFmt w:val="bullet"/>
      <w:lvlText w:val="o"/>
      <w:lvlJc w:val="left"/>
      <w:pPr>
        <w:ind w:left="1798" w:hanging="360"/>
      </w:pPr>
      <w:rPr>
        <w:rFonts w:ascii="Courier New" w:hAnsi="Courier New" w:cs="Courier New" w:hint="default"/>
      </w:rPr>
    </w:lvl>
    <w:lvl w:ilvl="2" w:tplc="04150005" w:tentative="1">
      <w:start w:val="1"/>
      <w:numFmt w:val="bullet"/>
      <w:lvlText w:val=""/>
      <w:lvlJc w:val="left"/>
      <w:pPr>
        <w:ind w:left="2518" w:hanging="360"/>
      </w:pPr>
      <w:rPr>
        <w:rFonts w:ascii="Wingdings" w:hAnsi="Wingdings" w:hint="default"/>
      </w:rPr>
    </w:lvl>
    <w:lvl w:ilvl="3" w:tplc="04150001" w:tentative="1">
      <w:start w:val="1"/>
      <w:numFmt w:val="bullet"/>
      <w:lvlText w:val=""/>
      <w:lvlJc w:val="left"/>
      <w:pPr>
        <w:ind w:left="3238" w:hanging="360"/>
      </w:pPr>
      <w:rPr>
        <w:rFonts w:ascii="Symbol" w:hAnsi="Symbol" w:hint="default"/>
      </w:rPr>
    </w:lvl>
    <w:lvl w:ilvl="4" w:tplc="04150003" w:tentative="1">
      <w:start w:val="1"/>
      <w:numFmt w:val="bullet"/>
      <w:lvlText w:val="o"/>
      <w:lvlJc w:val="left"/>
      <w:pPr>
        <w:ind w:left="3958" w:hanging="360"/>
      </w:pPr>
      <w:rPr>
        <w:rFonts w:ascii="Courier New" w:hAnsi="Courier New" w:cs="Courier New" w:hint="default"/>
      </w:rPr>
    </w:lvl>
    <w:lvl w:ilvl="5" w:tplc="04150005" w:tentative="1">
      <w:start w:val="1"/>
      <w:numFmt w:val="bullet"/>
      <w:lvlText w:val=""/>
      <w:lvlJc w:val="left"/>
      <w:pPr>
        <w:ind w:left="4678" w:hanging="360"/>
      </w:pPr>
      <w:rPr>
        <w:rFonts w:ascii="Wingdings" w:hAnsi="Wingdings" w:hint="default"/>
      </w:rPr>
    </w:lvl>
    <w:lvl w:ilvl="6" w:tplc="04150001" w:tentative="1">
      <w:start w:val="1"/>
      <w:numFmt w:val="bullet"/>
      <w:lvlText w:val=""/>
      <w:lvlJc w:val="left"/>
      <w:pPr>
        <w:ind w:left="5398" w:hanging="360"/>
      </w:pPr>
      <w:rPr>
        <w:rFonts w:ascii="Symbol" w:hAnsi="Symbol" w:hint="default"/>
      </w:rPr>
    </w:lvl>
    <w:lvl w:ilvl="7" w:tplc="04150003" w:tentative="1">
      <w:start w:val="1"/>
      <w:numFmt w:val="bullet"/>
      <w:lvlText w:val="o"/>
      <w:lvlJc w:val="left"/>
      <w:pPr>
        <w:ind w:left="6118" w:hanging="360"/>
      </w:pPr>
      <w:rPr>
        <w:rFonts w:ascii="Courier New" w:hAnsi="Courier New" w:cs="Courier New" w:hint="default"/>
      </w:rPr>
    </w:lvl>
    <w:lvl w:ilvl="8" w:tplc="04150005" w:tentative="1">
      <w:start w:val="1"/>
      <w:numFmt w:val="bullet"/>
      <w:lvlText w:val=""/>
      <w:lvlJc w:val="left"/>
      <w:pPr>
        <w:ind w:left="6838" w:hanging="360"/>
      </w:pPr>
      <w:rPr>
        <w:rFonts w:ascii="Wingdings" w:hAnsi="Wingdings" w:hint="default"/>
      </w:rPr>
    </w:lvl>
  </w:abstractNum>
  <w:abstractNum w:abstractNumId="91" w15:restartNumberingAfterBreak="0">
    <w:nsid w:val="1BDC0157"/>
    <w:multiLevelType w:val="multilevel"/>
    <w:tmpl w:val="3B348242"/>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92" w15:restartNumberingAfterBreak="0">
    <w:nsid w:val="1C0A72E3"/>
    <w:multiLevelType w:val="hybridMultilevel"/>
    <w:tmpl w:val="DA50AF6E"/>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1C104525"/>
    <w:multiLevelType w:val="hybridMultilevel"/>
    <w:tmpl w:val="E24AC5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1CBA34DC"/>
    <w:multiLevelType w:val="hybridMultilevel"/>
    <w:tmpl w:val="4418B65E"/>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1CF5273B"/>
    <w:multiLevelType w:val="hybridMultilevel"/>
    <w:tmpl w:val="B1884C8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1CFC1B2A"/>
    <w:multiLevelType w:val="hybridMultilevel"/>
    <w:tmpl w:val="C37CF2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1D0C1BAA"/>
    <w:multiLevelType w:val="hybridMultilevel"/>
    <w:tmpl w:val="034E1F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1D26789E"/>
    <w:multiLevelType w:val="hybridMultilevel"/>
    <w:tmpl w:val="1B62D6C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1D5F72A7"/>
    <w:multiLevelType w:val="hybridMultilevel"/>
    <w:tmpl w:val="7D48BE98"/>
    <w:lvl w:ilvl="0" w:tplc="F2288278">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100" w15:restartNumberingAfterBreak="0">
    <w:nsid w:val="1DD94197"/>
    <w:multiLevelType w:val="hybridMultilevel"/>
    <w:tmpl w:val="61F458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1DE506D6"/>
    <w:multiLevelType w:val="hybridMultilevel"/>
    <w:tmpl w:val="D76A7D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1E26584A"/>
    <w:multiLevelType w:val="hybridMultilevel"/>
    <w:tmpl w:val="C5A2918E"/>
    <w:lvl w:ilvl="0" w:tplc="FFFFFFFF">
      <w:start w:val="1"/>
      <w:numFmt w:val="bullet"/>
      <w:lvlText w:val="−"/>
      <w:lvlJc w:val="left"/>
      <w:pPr>
        <w:ind w:left="502" w:hanging="360"/>
      </w:pPr>
      <w:rPr>
        <w:rFonts w:ascii="Times New Roman" w:hAnsi="Times New Roman" w:cs="Times New Roman" w:hint="default"/>
      </w:rPr>
    </w:lvl>
    <w:lvl w:ilvl="1" w:tplc="9CB8DD16">
      <w:numFmt w:val="bullet"/>
      <w:lvlText w:val="•"/>
      <w:lvlJc w:val="left"/>
      <w:pPr>
        <w:ind w:left="1567" w:hanging="705"/>
      </w:pPr>
      <w:rPr>
        <w:rFonts w:ascii="Times New Roman" w:eastAsia="Times New Roman" w:hAnsi="Times New Roman" w:cs="Times New Roman"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3" w15:restartNumberingAfterBreak="0">
    <w:nsid w:val="1E4855B4"/>
    <w:multiLevelType w:val="hybridMultilevel"/>
    <w:tmpl w:val="5E6E12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1E794BA3"/>
    <w:multiLevelType w:val="hybridMultilevel"/>
    <w:tmpl w:val="F0F69F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1E9570A9"/>
    <w:multiLevelType w:val="multilevel"/>
    <w:tmpl w:val="CAE2C61A"/>
    <w:styleLink w:val="WW8Num6"/>
    <w:lvl w:ilvl="0">
      <w:start w:val="1"/>
      <w:numFmt w:val="decimal"/>
      <w:lvlText w:val="%1."/>
      <w:lvlJc w:val="left"/>
      <w:pPr>
        <w:ind w:left="720" w:hanging="360"/>
      </w:pPr>
      <w:rPr>
        <w:sz w:val="26"/>
        <w:szCs w:val="26"/>
        <w:lang w:val="pl-P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1EA27062"/>
    <w:multiLevelType w:val="hybridMultilevel"/>
    <w:tmpl w:val="745EA158"/>
    <w:lvl w:ilvl="0" w:tplc="F2288278">
      <w:start w:val="1"/>
      <w:numFmt w:val="bullet"/>
      <w:lvlText w:val=""/>
      <w:lvlJc w:val="left"/>
      <w:pPr>
        <w:ind w:left="1836" w:hanging="360"/>
      </w:pPr>
      <w:rPr>
        <w:rFonts w:ascii="Symbol" w:hAnsi="Symbol" w:hint="default"/>
      </w:rPr>
    </w:lvl>
    <w:lvl w:ilvl="1" w:tplc="04150003" w:tentative="1">
      <w:start w:val="1"/>
      <w:numFmt w:val="bullet"/>
      <w:lvlText w:val="o"/>
      <w:lvlJc w:val="left"/>
      <w:pPr>
        <w:ind w:left="2556" w:hanging="360"/>
      </w:pPr>
      <w:rPr>
        <w:rFonts w:ascii="Courier New" w:hAnsi="Courier New" w:cs="Courier New" w:hint="default"/>
      </w:rPr>
    </w:lvl>
    <w:lvl w:ilvl="2" w:tplc="04150005" w:tentative="1">
      <w:start w:val="1"/>
      <w:numFmt w:val="bullet"/>
      <w:lvlText w:val=""/>
      <w:lvlJc w:val="left"/>
      <w:pPr>
        <w:ind w:left="3276" w:hanging="360"/>
      </w:pPr>
      <w:rPr>
        <w:rFonts w:ascii="Wingdings" w:hAnsi="Wingdings" w:hint="default"/>
      </w:rPr>
    </w:lvl>
    <w:lvl w:ilvl="3" w:tplc="04150001" w:tentative="1">
      <w:start w:val="1"/>
      <w:numFmt w:val="bullet"/>
      <w:lvlText w:val=""/>
      <w:lvlJc w:val="left"/>
      <w:pPr>
        <w:ind w:left="3996" w:hanging="360"/>
      </w:pPr>
      <w:rPr>
        <w:rFonts w:ascii="Symbol" w:hAnsi="Symbol" w:hint="default"/>
      </w:rPr>
    </w:lvl>
    <w:lvl w:ilvl="4" w:tplc="04150003" w:tentative="1">
      <w:start w:val="1"/>
      <w:numFmt w:val="bullet"/>
      <w:lvlText w:val="o"/>
      <w:lvlJc w:val="left"/>
      <w:pPr>
        <w:ind w:left="4716" w:hanging="360"/>
      </w:pPr>
      <w:rPr>
        <w:rFonts w:ascii="Courier New" w:hAnsi="Courier New" w:cs="Courier New" w:hint="default"/>
      </w:rPr>
    </w:lvl>
    <w:lvl w:ilvl="5" w:tplc="04150005" w:tentative="1">
      <w:start w:val="1"/>
      <w:numFmt w:val="bullet"/>
      <w:lvlText w:val=""/>
      <w:lvlJc w:val="left"/>
      <w:pPr>
        <w:ind w:left="5436" w:hanging="360"/>
      </w:pPr>
      <w:rPr>
        <w:rFonts w:ascii="Wingdings" w:hAnsi="Wingdings" w:hint="default"/>
      </w:rPr>
    </w:lvl>
    <w:lvl w:ilvl="6" w:tplc="04150001" w:tentative="1">
      <w:start w:val="1"/>
      <w:numFmt w:val="bullet"/>
      <w:lvlText w:val=""/>
      <w:lvlJc w:val="left"/>
      <w:pPr>
        <w:ind w:left="6156" w:hanging="360"/>
      </w:pPr>
      <w:rPr>
        <w:rFonts w:ascii="Symbol" w:hAnsi="Symbol" w:hint="default"/>
      </w:rPr>
    </w:lvl>
    <w:lvl w:ilvl="7" w:tplc="04150003" w:tentative="1">
      <w:start w:val="1"/>
      <w:numFmt w:val="bullet"/>
      <w:lvlText w:val="o"/>
      <w:lvlJc w:val="left"/>
      <w:pPr>
        <w:ind w:left="6876" w:hanging="360"/>
      </w:pPr>
      <w:rPr>
        <w:rFonts w:ascii="Courier New" w:hAnsi="Courier New" w:cs="Courier New" w:hint="default"/>
      </w:rPr>
    </w:lvl>
    <w:lvl w:ilvl="8" w:tplc="04150005" w:tentative="1">
      <w:start w:val="1"/>
      <w:numFmt w:val="bullet"/>
      <w:lvlText w:val=""/>
      <w:lvlJc w:val="left"/>
      <w:pPr>
        <w:ind w:left="7596" w:hanging="360"/>
      </w:pPr>
      <w:rPr>
        <w:rFonts w:ascii="Wingdings" w:hAnsi="Wingdings" w:hint="default"/>
      </w:rPr>
    </w:lvl>
  </w:abstractNum>
  <w:abstractNum w:abstractNumId="107" w15:restartNumberingAfterBreak="0">
    <w:nsid w:val="1EBD64FA"/>
    <w:multiLevelType w:val="hybridMultilevel"/>
    <w:tmpl w:val="4148BF58"/>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1F08339E"/>
    <w:multiLevelType w:val="hybridMultilevel"/>
    <w:tmpl w:val="E982BA48"/>
    <w:lvl w:ilvl="0" w:tplc="04150001">
      <w:start w:val="1"/>
      <w:numFmt w:val="bullet"/>
      <w:lvlText w:val=""/>
      <w:lvlJc w:val="left"/>
      <w:pPr>
        <w:ind w:left="417" w:hanging="360"/>
      </w:pPr>
      <w:rPr>
        <w:rFonts w:ascii="Symbol" w:hAnsi="Symbol" w:hint="default"/>
      </w:rPr>
    </w:lvl>
    <w:lvl w:ilvl="1" w:tplc="FFFFFFFF">
      <w:start w:val="1"/>
      <w:numFmt w:val="lowerLetter"/>
      <w:lvlText w:val="%2."/>
      <w:lvlJc w:val="left"/>
      <w:pPr>
        <w:ind w:left="1137" w:hanging="360"/>
      </w:pPr>
    </w:lvl>
    <w:lvl w:ilvl="2" w:tplc="FFFFFFFF" w:tentative="1">
      <w:start w:val="1"/>
      <w:numFmt w:val="lowerRoman"/>
      <w:lvlText w:val="%3."/>
      <w:lvlJc w:val="right"/>
      <w:pPr>
        <w:ind w:left="1857" w:hanging="180"/>
      </w:pPr>
    </w:lvl>
    <w:lvl w:ilvl="3" w:tplc="FFFFFFFF" w:tentative="1">
      <w:start w:val="1"/>
      <w:numFmt w:val="decimal"/>
      <w:lvlText w:val="%4."/>
      <w:lvlJc w:val="left"/>
      <w:pPr>
        <w:ind w:left="2577" w:hanging="360"/>
      </w:pPr>
    </w:lvl>
    <w:lvl w:ilvl="4" w:tplc="FFFFFFFF" w:tentative="1">
      <w:start w:val="1"/>
      <w:numFmt w:val="lowerLetter"/>
      <w:lvlText w:val="%5."/>
      <w:lvlJc w:val="left"/>
      <w:pPr>
        <w:ind w:left="3297" w:hanging="360"/>
      </w:pPr>
    </w:lvl>
    <w:lvl w:ilvl="5" w:tplc="FFFFFFFF" w:tentative="1">
      <w:start w:val="1"/>
      <w:numFmt w:val="lowerRoman"/>
      <w:lvlText w:val="%6."/>
      <w:lvlJc w:val="right"/>
      <w:pPr>
        <w:ind w:left="4017" w:hanging="180"/>
      </w:pPr>
    </w:lvl>
    <w:lvl w:ilvl="6" w:tplc="FFFFFFFF" w:tentative="1">
      <w:start w:val="1"/>
      <w:numFmt w:val="decimal"/>
      <w:lvlText w:val="%7."/>
      <w:lvlJc w:val="left"/>
      <w:pPr>
        <w:ind w:left="4737" w:hanging="360"/>
      </w:pPr>
    </w:lvl>
    <w:lvl w:ilvl="7" w:tplc="FFFFFFFF" w:tentative="1">
      <w:start w:val="1"/>
      <w:numFmt w:val="lowerLetter"/>
      <w:lvlText w:val="%8."/>
      <w:lvlJc w:val="left"/>
      <w:pPr>
        <w:ind w:left="5457" w:hanging="360"/>
      </w:pPr>
    </w:lvl>
    <w:lvl w:ilvl="8" w:tplc="FFFFFFFF" w:tentative="1">
      <w:start w:val="1"/>
      <w:numFmt w:val="lowerRoman"/>
      <w:lvlText w:val="%9."/>
      <w:lvlJc w:val="right"/>
      <w:pPr>
        <w:ind w:left="6177" w:hanging="180"/>
      </w:pPr>
    </w:lvl>
  </w:abstractNum>
  <w:abstractNum w:abstractNumId="109" w15:restartNumberingAfterBreak="0">
    <w:nsid w:val="1FA83690"/>
    <w:multiLevelType w:val="hybridMultilevel"/>
    <w:tmpl w:val="06B46776"/>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1FA93D29"/>
    <w:multiLevelType w:val="hybridMultilevel"/>
    <w:tmpl w:val="B4EC6D08"/>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1FA958BD"/>
    <w:multiLevelType w:val="hybridMultilevel"/>
    <w:tmpl w:val="03949C70"/>
    <w:lvl w:ilvl="0" w:tplc="F2288278">
      <w:start w:val="1"/>
      <w:numFmt w:val="bullet"/>
      <w:lvlText w:val=""/>
      <w:lvlJc w:val="left"/>
      <w:pPr>
        <w:ind w:left="1581" w:hanging="360"/>
      </w:pPr>
      <w:rPr>
        <w:rFonts w:ascii="Symbol" w:hAnsi="Symbol" w:hint="default"/>
      </w:rPr>
    </w:lvl>
    <w:lvl w:ilvl="1" w:tplc="04150003" w:tentative="1">
      <w:start w:val="1"/>
      <w:numFmt w:val="bullet"/>
      <w:lvlText w:val="o"/>
      <w:lvlJc w:val="left"/>
      <w:pPr>
        <w:ind w:left="2301" w:hanging="360"/>
      </w:pPr>
      <w:rPr>
        <w:rFonts w:ascii="Courier New" w:hAnsi="Courier New" w:cs="Courier New" w:hint="default"/>
      </w:rPr>
    </w:lvl>
    <w:lvl w:ilvl="2" w:tplc="04150005" w:tentative="1">
      <w:start w:val="1"/>
      <w:numFmt w:val="bullet"/>
      <w:lvlText w:val=""/>
      <w:lvlJc w:val="left"/>
      <w:pPr>
        <w:ind w:left="3021" w:hanging="360"/>
      </w:pPr>
      <w:rPr>
        <w:rFonts w:ascii="Wingdings" w:hAnsi="Wingdings" w:hint="default"/>
      </w:rPr>
    </w:lvl>
    <w:lvl w:ilvl="3" w:tplc="04150001" w:tentative="1">
      <w:start w:val="1"/>
      <w:numFmt w:val="bullet"/>
      <w:lvlText w:val=""/>
      <w:lvlJc w:val="left"/>
      <w:pPr>
        <w:ind w:left="3741" w:hanging="360"/>
      </w:pPr>
      <w:rPr>
        <w:rFonts w:ascii="Symbol" w:hAnsi="Symbol" w:hint="default"/>
      </w:rPr>
    </w:lvl>
    <w:lvl w:ilvl="4" w:tplc="04150003" w:tentative="1">
      <w:start w:val="1"/>
      <w:numFmt w:val="bullet"/>
      <w:lvlText w:val="o"/>
      <w:lvlJc w:val="left"/>
      <w:pPr>
        <w:ind w:left="4461" w:hanging="360"/>
      </w:pPr>
      <w:rPr>
        <w:rFonts w:ascii="Courier New" w:hAnsi="Courier New" w:cs="Courier New" w:hint="default"/>
      </w:rPr>
    </w:lvl>
    <w:lvl w:ilvl="5" w:tplc="04150005" w:tentative="1">
      <w:start w:val="1"/>
      <w:numFmt w:val="bullet"/>
      <w:lvlText w:val=""/>
      <w:lvlJc w:val="left"/>
      <w:pPr>
        <w:ind w:left="5181" w:hanging="360"/>
      </w:pPr>
      <w:rPr>
        <w:rFonts w:ascii="Wingdings" w:hAnsi="Wingdings" w:hint="default"/>
      </w:rPr>
    </w:lvl>
    <w:lvl w:ilvl="6" w:tplc="04150001" w:tentative="1">
      <w:start w:val="1"/>
      <w:numFmt w:val="bullet"/>
      <w:lvlText w:val=""/>
      <w:lvlJc w:val="left"/>
      <w:pPr>
        <w:ind w:left="5901" w:hanging="360"/>
      </w:pPr>
      <w:rPr>
        <w:rFonts w:ascii="Symbol" w:hAnsi="Symbol" w:hint="default"/>
      </w:rPr>
    </w:lvl>
    <w:lvl w:ilvl="7" w:tplc="04150003" w:tentative="1">
      <w:start w:val="1"/>
      <w:numFmt w:val="bullet"/>
      <w:lvlText w:val="o"/>
      <w:lvlJc w:val="left"/>
      <w:pPr>
        <w:ind w:left="6621" w:hanging="360"/>
      </w:pPr>
      <w:rPr>
        <w:rFonts w:ascii="Courier New" w:hAnsi="Courier New" w:cs="Courier New" w:hint="default"/>
      </w:rPr>
    </w:lvl>
    <w:lvl w:ilvl="8" w:tplc="04150005" w:tentative="1">
      <w:start w:val="1"/>
      <w:numFmt w:val="bullet"/>
      <w:lvlText w:val=""/>
      <w:lvlJc w:val="left"/>
      <w:pPr>
        <w:ind w:left="7341" w:hanging="360"/>
      </w:pPr>
      <w:rPr>
        <w:rFonts w:ascii="Wingdings" w:hAnsi="Wingdings" w:hint="default"/>
      </w:rPr>
    </w:lvl>
  </w:abstractNum>
  <w:abstractNum w:abstractNumId="112" w15:restartNumberingAfterBreak="0">
    <w:nsid w:val="1FB234A1"/>
    <w:multiLevelType w:val="hybridMultilevel"/>
    <w:tmpl w:val="630C32EA"/>
    <w:lvl w:ilvl="0" w:tplc="F2288278">
      <w:start w:val="1"/>
      <w:numFmt w:val="bullet"/>
      <w:lvlText w:val=""/>
      <w:lvlJc w:val="left"/>
      <w:pPr>
        <w:ind w:left="743" w:hanging="360"/>
      </w:pPr>
      <w:rPr>
        <w:rFonts w:ascii="Symbol" w:hAnsi="Symbol" w:hint="default"/>
      </w:rPr>
    </w:lvl>
    <w:lvl w:ilvl="1" w:tplc="04150003" w:tentative="1">
      <w:start w:val="1"/>
      <w:numFmt w:val="bullet"/>
      <w:lvlText w:val="o"/>
      <w:lvlJc w:val="left"/>
      <w:pPr>
        <w:ind w:left="1463" w:hanging="360"/>
      </w:pPr>
      <w:rPr>
        <w:rFonts w:ascii="Courier New" w:hAnsi="Courier New" w:cs="Courier New" w:hint="default"/>
      </w:rPr>
    </w:lvl>
    <w:lvl w:ilvl="2" w:tplc="04150005" w:tentative="1">
      <w:start w:val="1"/>
      <w:numFmt w:val="bullet"/>
      <w:lvlText w:val=""/>
      <w:lvlJc w:val="left"/>
      <w:pPr>
        <w:ind w:left="2183" w:hanging="360"/>
      </w:pPr>
      <w:rPr>
        <w:rFonts w:ascii="Wingdings" w:hAnsi="Wingdings" w:hint="default"/>
      </w:rPr>
    </w:lvl>
    <w:lvl w:ilvl="3" w:tplc="04150001" w:tentative="1">
      <w:start w:val="1"/>
      <w:numFmt w:val="bullet"/>
      <w:lvlText w:val=""/>
      <w:lvlJc w:val="left"/>
      <w:pPr>
        <w:ind w:left="2903" w:hanging="360"/>
      </w:pPr>
      <w:rPr>
        <w:rFonts w:ascii="Symbol" w:hAnsi="Symbol" w:hint="default"/>
      </w:rPr>
    </w:lvl>
    <w:lvl w:ilvl="4" w:tplc="04150003" w:tentative="1">
      <w:start w:val="1"/>
      <w:numFmt w:val="bullet"/>
      <w:lvlText w:val="o"/>
      <w:lvlJc w:val="left"/>
      <w:pPr>
        <w:ind w:left="3623" w:hanging="360"/>
      </w:pPr>
      <w:rPr>
        <w:rFonts w:ascii="Courier New" w:hAnsi="Courier New" w:cs="Courier New" w:hint="default"/>
      </w:rPr>
    </w:lvl>
    <w:lvl w:ilvl="5" w:tplc="04150005" w:tentative="1">
      <w:start w:val="1"/>
      <w:numFmt w:val="bullet"/>
      <w:lvlText w:val=""/>
      <w:lvlJc w:val="left"/>
      <w:pPr>
        <w:ind w:left="4343" w:hanging="360"/>
      </w:pPr>
      <w:rPr>
        <w:rFonts w:ascii="Wingdings" w:hAnsi="Wingdings" w:hint="default"/>
      </w:rPr>
    </w:lvl>
    <w:lvl w:ilvl="6" w:tplc="04150001" w:tentative="1">
      <w:start w:val="1"/>
      <w:numFmt w:val="bullet"/>
      <w:lvlText w:val=""/>
      <w:lvlJc w:val="left"/>
      <w:pPr>
        <w:ind w:left="5063" w:hanging="360"/>
      </w:pPr>
      <w:rPr>
        <w:rFonts w:ascii="Symbol" w:hAnsi="Symbol" w:hint="default"/>
      </w:rPr>
    </w:lvl>
    <w:lvl w:ilvl="7" w:tplc="04150003" w:tentative="1">
      <w:start w:val="1"/>
      <w:numFmt w:val="bullet"/>
      <w:lvlText w:val="o"/>
      <w:lvlJc w:val="left"/>
      <w:pPr>
        <w:ind w:left="5783" w:hanging="360"/>
      </w:pPr>
      <w:rPr>
        <w:rFonts w:ascii="Courier New" w:hAnsi="Courier New" w:cs="Courier New" w:hint="default"/>
      </w:rPr>
    </w:lvl>
    <w:lvl w:ilvl="8" w:tplc="04150005" w:tentative="1">
      <w:start w:val="1"/>
      <w:numFmt w:val="bullet"/>
      <w:lvlText w:val=""/>
      <w:lvlJc w:val="left"/>
      <w:pPr>
        <w:ind w:left="6503" w:hanging="360"/>
      </w:pPr>
      <w:rPr>
        <w:rFonts w:ascii="Wingdings" w:hAnsi="Wingdings" w:hint="default"/>
      </w:rPr>
    </w:lvl>
  </w:abstractNum>
  <w:abstractNum w:abstractNumId="113" w15:restartNumberingAfterBreak="0">
    <w:nsid w:val="1FE71F84"/>
    <w:multiLevelType w:val="hybridMultilevel"/>
    <w:tmpl w:val="9CD62C66"/>
    <w:lvl w:ilvl="0" w:tplc="04150001">
      <w:start w:val="1"/>
      <w:numFmt w:val="bullet"/>
      <w:lvlText w:val=""/>
      <w:lvlJc w:val="left"/>
      <w:pPr>
        <w:ind w:left="1462" w:hanging="360"/>
      </w:pPr>
      <w:rPr>
        <w:rFonts w:ascii="Symbol" w:hAnsi="Symbol" w:hint="default"/>
      </w:rPr>
    </w:lvl>
    <w:lvl w:ilvl="1" w:tplc="04150003" w:tentative="1">
      <w:start w:val="1"/>
      <w:numFmt w:val="bullet"/>
      <w:lvlText w:val="o"/>
      <w:lvlJc w:val="left"/>
      <w:pPr>
        <w:ind w:left="2182" w:hanging="360"/>
      </w:pPr>
      <w:rPr>
        <w:rFonts w:ascii="Courier New" w:hAnsi="Courier New" w:cs="Courier New" w:hint="default"/>
      </w:rPr>
    </w:lvl>
    <w:lvl w:ilvl="2" w:tplc="04150005" w:tentative="1">
      <w:start w:val="1"/>
      <w:numFmt w:val="bullet"/>
      <w:lvlText w:val=""/>
      <w:lvlJc w:val="left"/>
      <w:pPr>
        <w:ind w:left="2902" w:hanging="360"/>
      </w:pPr>
      <w:rPr>
        <w:rFonts w:ascii="Wingdings" w:hAnsi="Wingdings" w:hint="default"/>
      </w:rPr>
    </w:lvl>
    <w:lvl w:ilvl="3" w:tplc="04150001" w:tentative="1">
      <w:start w:val="1"/>
      <w:numFmt w:val="bullet"/>
      <w:lvlText w:val=""/>
      <w:lvlJc w:val="left"/>
      <w:pPr>
        <w:ind w:left="3622" w:hanging="360"/>
      </w:pPr>
      <w:rPr>
        <w:rFonts w:ascii="Symbol" w:hAnsi="Symbol" w:hint="default"/>
      </w:rPr>
    </w:lvl>
    <w:lvl w:ilvl="4" w:tplc="04150003" w:tentative="1">
      <w:start w:val="1"/>
      <w:numFmt w:val="bullet"/>
      <w:lvlText w:val="o"/>
      <w:lvlJc w:val="left"/>
      <w:pPr>
        <w:ind w:left="4342" w:hanging="360"/>
      </w:pPr>
      <w:rPr>
        <w:rFonts w:ascii="Courier New" w:hAnsi="Courier New" w:cs="Courier New" w:hint="default"/>
      </w:rPr>
    </w:lvl>
    <w:lvl w:ilvl="5" w:tplc="04150005" w:tentative="1">
      <w:start w:val="1"/>
      <w:numFmt w:val="bullet"/>
      <w:lvlText w:val=""/>
      <w:lvlJc w:val="left"/>
      <w:pPr>
        <w:ind w:left="5062" w:hanging="360"/>
      </w:pPr>
      <w:rPr>
        <w:rFonts w:ascii="Wingdings" w:hAnsi="Wingdings" w:hint="default"/>
      </w:rPr>
    </w:lvl>
    <w:lvl w:ilvl="6" w:tplc="04150001" w:tentative="1">
      <w:start w:val="1"/>
      <w:numFmt w:val="bullet"/>
      <w:lvlText w:val=""/>
      <w:lvlJc w:val="left"/>
      <w:pPr>
        <w:ind w:left="5782" w:hanging="360"/>
      </w:pPr>
      <w:rPr>
        <w:rFonts w:ascii="Symbol" w:hAnsi="Symbol" w:hint="default"/>
      </w:rPr>
    </w:lvl>
    <w:lvl w:ilvl="7" w:tplc="04150003" w:tentative="1">
      <w:start w:val="1"/>
      <w:numFmt w:val="bullet"/>
      <w:lvlText w:val="o"/>
      <w:lvlJc w:val="left"/>
      <w:pPr>
        <w:ind w:left="6502" w:hanging="360"/>
      </w:pPr>
      <w:rPr>
        <w:rFonts w:ascii="Courier New" w:hAnsi="Courier New" w:cs="Courier New" w:hint="default"/>
      </w:rPr>
    </w:lvl>
    <w:lvl w:ilvl="8" w:tplc="04150005" w:tentative="1">
      <w:start w:val="1"/>
      <w:numFmt w:val="bullet"/>
      <w:lvlText w:val=""/>
      <w:lvlJc w:val="left"/>
      <w:pPr>
        <w:ind w:left="7222" w:hanging="360"/>
      </w:pPr>
      <w:rPr>
        <w:rFonts w:ascii="Wingdings" w:hAnsi="Wingdings" w:hint="default"/>
      </w:rPr>
    </w:lvl>
  </w:abstractNum>
  <w:abstractNum w:abstractNumId="114" w15:restartNumberingAfterBreak="0">
    <w:nsid w:val="1FF82A7D"/>
    <w:multiLevelType w:val="hybridMultilevel"/>
    <w:tmpl w:val="634009C4"/>
    <w:lvl w:ilvl="0" w:tplc="F2288278">
      <w:start w:val="1"/>
      <w:numFmt w:val="bullet"/>
      <w:lvlText w:val=""/>
      <w:lvlJc w:val="left"/>
      <w:pPr>
        <w:ind w:left="1008" w:hanging="360"/>
      </w:pPr>
      <w:rPr>
        <w:rFonts w:ascii="Symbol" w:hAnsi="Symbol" w:hint="default"/>
      </w:rPr>
    </w:lvl>
    <w:lvl w:ilvl="1" w:tplc="04150003">
      <w:start w:val="1"/>
      <w:numFmt w:val="bullet"/>
      <w:lvlText w:val="o"/>
      <w:lvlJc w:val="left"/>
      <w:pPr>
        <w:ind w:left="1728" w:hanging="360"/>
      </w:pPr>
      <w:rPr>
        <w:rFonts w:ascii="Courier New" w:hAnsi="Courier New" w:cs="Courier New" w:hint="default"/>
      </w:rPr>
    </w:lvl>
    <w:lvl w:ilvl="2" w:tplc="04150005" w:tentative="1">
      <w:start w:val="1"/>
      <w:numFmt w:val="bullet"/>
      <w:lvlText w:val=""/>
      <w:lvlJc w:val="left"/>
      <w:pPr>
        <w:ind w:left="2448" w:hanging="360"/>
      </w:pPr>
      <w:rPr>
        <w:rFonts w:ascii="Wingdings" w:hAnsi="Wingdings" w:hint="default"/>
      </w:rPr>
    </w:lvl>
    <w:lvl w:ilvl="3" w:tplc="04150001" w:tentative="1">
      <w:start w:val="1"/>
      <w:numFmt w:val="bullet"/>
      <w:lvlText w:val=""/>
      <w:lvlJc w:val="left"/>
      <w:pPr>
        <w:ind w:left="3168" w:hanging="360"/>
      </w:pPr>
      <w:rPr>
        <w:rFonts w:ascii="Symbol" w:hAnsi="Symbol" w:hint="default"/>
      </w:rPr>
    </w:lvl>
    <w:lvl w:ilvl="4" w:tplc="04150003" w:tentative="1">
      <w:start w:val="1"/>
      <w:numFmt w:val="bullet"/>
      <w:lvlText w:val="o"/>
      <w:lvlJc w:val="left"/>
      <w:pPr>
        <w:ind w:left="3888" w:hanging="360"/>
      </w:pPr>
      <w:rPr>
        <w:rFonts w:ascii="Courier New" w:hAnsi="Courier New" w:cs="Courier New" w:hint="default"/>
      </w:rPr>
    </w:lvl>
    <w:lvl w:ilvl="5" w:tplc="04150005" w:tentative="1">
      <w:start w:val="1"/>
      <w:numFmt w:val="bullet"/>
      <w:lvlText w:val=""/>
      <w:lvlJc w:val="left"/>
      <w:pPr>
        <w:ind w:left="4608" w:hanging="360"/>
      </w:pPr>
      <w:rPr>
        <w:rFonts w:ascii="Wingdings" w:hAnsi="Wingdings" w:hint="default"/>
      </w:rPr>
    </w:lvl>
    <w:lvl w:ilvl="6" w:tplc="04150001" w:tentative="1">
      <w:start w:val="1"/>
      <w:numFmt w:val="bullet"/>
      <w:lvlText w:val=""/>
      <w:lvlJc w:val="left"/>
      <w:pPr>
        <w:ind w:left="5328" w:hanging="360"/>
      </w:pPr>
      <w:rPr>
        <w:rFonts w:ascii="Symbol" w:hAnsi="Symbol" w:hint="default"/>
      </w:rPr>
    </w:lvl>
    <w:lvl w:ilvl="7" w:tplc="04150003" w:tentative="1">
      <w:start w:val="1"/>
      <w:numFmt w:val="bullet"/>
      <w:lvlText w:val="o"/>
      <w:lvlJc w:val="left"/>
      <w:pPr>
        <w:ind w:left="6048" w:hanging="360"/>
      </w:pPr>
      <w:rPr>
        <w:rFonts w:ascii="Courier New" w:hAnsi="Courier New" w:cs="Courier New" w:hint="default"/>
      </w:rPr>
    </w:lvl>
    <w:lvl w:ilvl="8" w:tplc="04150005" w:tentative="1">
      <w:start w:val="1"/>
      <w:numFmt w:val="bullet"/>
      <w:lvlText w:val=""/>
      <w:lvlJc w:val="left"/>
      <w:pPr>
        <w:ind w:left="6768" w:hanging="360"/>
      </w:pPr>
      <w:rPr>
        <w:rFonts w:ascii="Wingdings" w:hAnsi="Wingdings" w:hint="default"/>
      </w:rPr>
    </w:lvl>
  </w:abstractNum>
  <w:abstractNum w:abstractNumId="115" w15:restartNumberingAfterBreak="0">
    <w:nsid w:val="20313E70"/>
    <w:multiLevelType w:val="hybridMultilevel"/>
    <w:tmpl w:val="330CC760"/>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203A0FA2"/>
    <w:multiLevelType w:val="hybridMultilevel"/>
    <w:tmpl w:val="BA9CAC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0E52ED6"/>
    <w:multiLevelType w:val="hybridMultilevel"/>
    <w:tmpl w:val="13145C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210E3B6E"/>
    <w:multiLevelType w:val="hybridMultilevel"/>
    <w:tmpl w:val="58A89F8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1CE0ACD"/>
    <w:multiLevelType w:val="multilevel"/>
    <w:tmpl w:val="F5EE4A9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21DB7676"/>
    <w:multiLevelType w:val="hybridMultilevel"/>
    <w:tmpl w:val="CF5A2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229A35CA"/>
    <w:multiLevelType w:val="multilevel"/>
    <w:tmpl w:val="A8F2E4CC"/>
    <w:numStyleLink w:val="Styl1"/>
  </w:abstractNum>
  <w:abstractNum w:abstractNumId="122" w15:restartNumberingAfterBreak="0">
    <w:nsid w:val="23F35791"/>
    <w:multiLevelType w:val="hybridMultilevel"/>
    <w:tmpl w:val="4AEA6C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24644819"/>
    <w:multiLevelType w:val="multilevel"/>
    <w:tmpl w:val="2464481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24B03FAB"/>
    <w:multiLevelType w:val="hybridMultilevel"/>
    <w:tmpl w:val="AB28BD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4F03924"/>
    <w:multiLevelType w:val="hybridMultilevel"/>
    <w:tmpl w:val="9E5CD6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25334D8E"/>
    <w:multiLevelType w:val="hybridMultilevel"/>
    <w:tmpl w:val="8572E7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253E789C"/>
    <w:multiLevelType w:val="hybridMultilevel"/>
    <w:tmpl w:val="ADC6F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5AD1C0B"/>
    <w:multiLevelType w:val="multilevel"/>
    <w:tmpl w:val="375079CC"/>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29" w15:restartNumberingAfterBreak="0">
    <w:nsid w:val="262632E4"/>
    <w:multiLevelType w:val="multilevel"/>
    <w:tmpl w:val="2ED27A4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26275B78"/>
    <w:multiLevelType w:val="hybridMultilevel"/>
    <w:tmpl w:val="BA4456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72D2FC6"/>
    <w:multiLevelType w:val="multilevel"/>
    <w:tmpl w:val="4BAA142E"/>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274C4A7B"/>
    <w:multiLevelType w:val="hybridMultilevel"/>
    <w:tmpl w:val="7392271A"/>
    <w:lvl w:ilvl="0" w:tplc="79286B0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2781293D"/>
    <w:multiLevelType w:val="hybridMultilevel"/>
    <w:tmpl w:val="A22E37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27953E65"/>
    <w:multiLevelType w:val="hybridMultilevel"/>
    <w:tmpl w:val="F4064D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285213B0"/>
    <w:multiLevelType w:val="hybridMultilevel"/>
    <w:tmpl w:val="DBC00BB4"/>
    <w:lvl w:ilvl="0" w:tplc="04150001">
      <w:start w:val="1"/>
      <w:numFmt w:val="bullet"/>
      <w:lvlText w:val=""/>
      <w:lvlJc w:val="left"/>
      <w:pPr>
        <w:ind w:left="720" w:hanging="360"/>
      </w:pPr>
      <w:rPr>
        <w:rFonts w:ascii="Symbol" w:hAnsi="Symbol" w:hint="default"/>
      </w:rPr>
    </w:lvl>
    <w:lvl w:ilvl="1" w:tplc="CC4E4324" w:tentative="1">
      <w:start w:val="1"/>
      <w:numFmt w:val="bullet"/>
      <w:lvlText w:val="o"/>
      <w:lvlJc w:val="left"/>
      <w:pPr>
        <w:ind w:left="1440" w:hanging="360"/>
      </w:pPr>
      <w:rPr>
        <w:rFonts w:ascii="Courier New" w:hAnsi="Courier New" w:cs="Courier New" w:hint="default"/>
      </w:rPr>
    </w:lvl>
    <w:lvl w:ilvl="2" w:tplc="4E0E0362" w:tentative="1">
      <w:start w:val="1"/>
      <w:numFmt w:val="bullet"/>
      <w:lvlText w:val=""/>
      <w:lvlJc w:val="left"/>
      <w:pPr>
        <w:ind w:left="2160" w:hanging="360"/>
      </w:pPr>
      <w:rPr>
        <w:rFonts w:ascii="Wingdings" w:hAnsi="Wingdings" w:hint="default"/>
      </w:rPr>
    </w:lvl>
    <w:lvl w:ilvl="3" w:tplc="12DE4AD8" w:tentative="1">
      <w:start w:val="1"/>
      <w:numFmt w:val="bullet"/>
      <w:lvlText w:val=""/>
      <w:lvlJc w:val="left"/>
      <w:pPr>
        <w:ind w:left="2880" w:hanging="360"/>
      </w:pPr>
      <w:rPr>
        <w:rFonts w:ascii="Symbol" w:hAnsi="Symbol" w:hint="default"/>
      </w:rPr>
    </w:lvl>
    <w:lvl w:ilvl="4" w:tplc="A776D102" w:tentative="1">
      <w:start w:val="1"/>
      <w:numFmt w:val="bullet"/>
      <w:lvlText w:val="o"/>
      <w:lvlJc w:val="left"/>
      <w:pPr>
        <w:ind w:left="3600" w:hanging="360"/>
      </w:pPr>
      <w:rPr>
        <w:rFonts w:ascii="Courier New" w:hAnsi="Courier New" w:cs="Courier New" w:hint="default"/>
      </w:rPr>
    </w:lvl>
    <w:lvl w:ilvl="5" w:tplc="C706D4CC" w:tentative="1">
      <w:start w:val="1"/>
      <w:numFmt w:val="bullet"/>
      <w:lvlText w:val=""/>
      <w:lvlJc w:val="left"/>
      <w:pPr>
        <w:ind w:left="4320" w:hanging="360"/>
      </w:pPr>
      <w:rPr>
        <w:rFonts w:ascii="Wingdings" w:hAnsi="Wingdings" w:hint="default"/>
      </w:rPr>
    </w:lvl>
    <w:lvl w:ilvl="6" w:tplc="3AB8F7AC" w:tentative="1">
      <w:start w:val="1"/>
      <w:numFmt w:val="bullet"/>
      <w:lvlText w:val=""/>
      <w:lvlJc w:val="left"/>
      <w:pPr>
        <w:ind w:left="5040" w:hanging="360"/>
      </w:pPr>
      <w:rPr>
        <w:rFonts w:ascii="Symbol" w:hAnsi="Symbol" w:hint="default"/>
      </w:rPr>
    </w:lvl>
    <w:lvl w:ilvl="7" w:tplc="353C8C06" w:tentative="1">
      <w:start w:val="1"/>
      <w:numFmt w:val="bullet"/>
      <w:lvlText w:val="o"/>
      <w:lvlJc w:val="left"/>
      <w:pPr>
        <w:ind w:left="5760" w:hanging="360"/>
      </w:pPr>
      <w:rPr>
        <w:rFonts w:ascii="Courier New" w:hAnsi="Courier New" w:cs="Courier New" w:hint="default"/>
      </w:rPr>
    </w:lvl>
    <w:lvl w:ilvl="8" w:tplc="6E145302" w:tentative="1">
      <w:start w:val="1"/>
      <w:numFmt w:val="bullet"/>
      <w:lvlText w:val=""/>
      <w:lvlJc w:val="left"/>
      <w:pPr>
        <w:ind w:left="6480" w:hanging="360"/>
      </w:pPr>
      <w:rPr>
        <w:rFonts w:ascii="Wingdings" w:hAnsi="Wingdings" w:hint="default"/>
      </w:rPr>
    </w:lvl>
  </w:abstractNum>
  <w:abstractNum w:abstractNumId="136" w15:restartNumberingAfterBreak="0">
    <w:nsid w:val="28643F7F"/>
    <w:multiLevelType w:val="hybridMultilevel"/>
    <w:tmpl w:val="74DA48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7" w15:restartNumberingAfterBreak="0">
    <w:nsid w:val="28976DFD"/>
    <w:multiLevelType w:val="hybridMultilevel"/>
    <w:tmpl w:val="B2445800"/>
    <w:lvl w:ilvl="0" w:tplc="F4620656">
      <w:start w:val="1"/>
      <w:numFmt w:val="bullet"/>
      <w:lvlText w:val=""/>
      <w:lvlJc w:val="left"/>
      <w:pPr>
        <w:ind w:left="720" w:hanging="360"/>
      </w:pPr>
      <w:rPr>
        <w:rFonts w:ascii="Symbol" w:hAnsi="Symbol" w:hint="default"/>
      </w:rPr>
    </w:lvl>
    <w:lvl w:ilvl="1" w:tplc="5D5AC3E8" w:tentative="1">
      <w:start w:val="1"/>
      <w:numFmt w:val="bullet"/>
      <w:lvlText w:val="o"/>
      <w:lvlJc w:val="left"/>
      <w:pPr>
        <w:ind w:left="1440" w:hanging="360"/>
      </w:pPr>
      <w:rPr>
        <w:rFonts w:ascii="Courier New" w:hAnsi="Courier New" w:cs="Courier New" w:hint="default"/>
      </w:rPr>
    </w:lvl>
    <w:lvl w:ilvl="2" w:tplc="39DC0C80" w:tentative="1">
      <w:start w:val="1"/>
      <w:numFmt w:val="bullet"/>
      <w:lvlText w:val=""/>
      <w:lvlJc w:val="left"/>
      <w:pPr>
        <w:ind w:left="2160" w:hanging="360"/>
      </w:pPr>
      <w:rPr>
        <w:rFonts w:ascii="Wingdings" w:hAnsi="Wingdings" w:hint="default"/>
      </w:rPr>
    </w:lvl>
    <w:lvl w:ilvl="3" w:tplc="FF74CC36" w:tentative="1">
      <w:start w:val="1"/>
      <w:numFmt w:val="bullet"/>
      <w:lvlText w:val=""/>
      <w:lvlJc w:val="left"/>
      <w:pPr>
        <w:ind w:left="2880" w:hanging="360"/>
      </w:pPr>
      <w:rPr>
        <w:rFonts w:ascii="Symbol" w:hAnsi="Symbol" w:hint="default"/>
      </w:rPr>
    </w:lvl>
    <w:lvl w:ilvl="4" w:tplc="D0D895A8" w:tentative="1">
      <w:start w:val="1"/>
      <w:numFmt w:val="bullet"/>
      <w:lvlText w:val="o"/>
      <w:lvlJc w:val="left"/>
      <w:pPr>
        <w:ind w:left="3600" w:hanging="360"/>
      </w:pPr>
      <w:rPr>
        <w:rFonts w:ascii="Courier New" w:hAnsi="Courier New" w:cs="Courier New" w:hint="default"/>
      </w:rPr>
    </w:lvl>
    <w:lvl w:ilvl="5" w:tplc="DEB45576" w:tentative="1">
      <w:start w:val="1"/>
      <w:numFmt w:val="bullet"/>
      <w:lvlText w:val=""/>
      <w:lvlJc w:val="left"/>
      <w:pPr>
        <w:ind w:left="4320" w:hanging="360"/>
      </w:pPr>
      <w:rPr>
        <w:rFonts w:ascii="Wingdings" w:hAnsi="Wingdings" w:hint="default"/>
      </w:rPr>
    </w:lvl>
    <w:lvl w:ilvl="6" w:tplc="276EEFAC" w:tentative="1">
      <w:start w:val="1"/>
      <w:numFmt w:val="bullet"/>
      <w:lvlText w:val=""/>
      <w:lvlJc w:val="left"/>
      <w:pPr>
        <w:ind w:left="5040" w:hanging="360"/>
      </w:pPr>
      <w:rPr>
        <w:rFonts w:ascii="Symbol" w:hAnsi="Symbol" w:hint="default"/>
      </w:rPr>
    </w:lvl>
    <w:lvl w:ilvl="7" w:tplc="618A7834" w:tentative="1">
      <w:start w:val="1"/>
      <w:numFmt w:val="bullet"/>
      <w:lvlText w:val="o"/>
      <w:lvlJc w:val="left"/>
      <w:pPr>
        <w:ind w:left="5760" w:hanging="360"/>
      </w:pPr>
      <w:rPr>
        <w:rFonts w:ascii="Courier New" w:hAnsi="Courier New" w:cs="Courier New" w:hint="default"/>
      </w:rPr>
    </w:lvl>
    <w:lvl w:ilvl="8" w:tplc="DB223176" w:tentative="1">
      <w:start w:val="1"/>
      <w:numFmt w:val="bullet"/>
      <w:lvlText w:val=""/>
      <w:lvlJc w:val="left"/>
      <w:pPr>
        <w:ind w:left="6480" w:hanging="360"/>
      </w:pPr>
      <w:rPr>
        <w:rFonts w:ascii="Wingdings" w:hAnsi="Wingdings" w:hint="default"/>
      </w:rPr>
    </w:lvl>
  </w:abstractNum>
  <w:abstractNum w:abstractNumId="138" w15:restartNumberingAfterBreak="0">
    <w:nsid w:val="29282F35"/>
    <w:multiLevelType w:val="hybridMultilevel"/>
    <w:tmpl w:val="67CC9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29346101"/>
    <w:multiLevelType w:val="hybridMultilevel"/>
    <w:tmpl w:val="C35ACA00"/>
    <w:lvl w:ilvl="0" w:tplc="F228827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2A9F4931"/>
    <w:multiLevelType w:val="hybridMultilevel"/>
    <w:tmpl w:val="39B67E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2ABF24D9"/>
    <w:multiLevelType w:val="hybridMultilevel"/>
    <w:tmpl w:val="C1849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2AD6069D"/>
    <w:multiLevelType w:val="hybridMultilevel"/>
    <w:tmpl w:val="969EC0F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3" w15:restartNumberingAfterBreak="0">
    <w:nsid w:val="2B0806C4"/>
    <w:multiLevelType w:val="hybridMultilevel"/>
    <w:tmpl w:val="4184CC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2C0913CB"/>
    <w:multiLevelType w:val="hybridMultilevel"/>
    <w:tmpl w:val="15DC1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2C5E4A12"/>
    <w:multiLevelType w:val="hybridMultilevel"/>
    <w:tmpl w:val="BD0858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6" w15:restartNumberingAfterBreak="0">
    <w:nsid w:val="2C7A7406"/>
    <w:multiLevelType w:val="hybridMultilevel"/>
    <w:tmpl w:val="93465EA0"/>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2D1235D5"/>
    <w:multiLevelType w:val="hybridMultilevel"/>
    <w:tmpl w:val="F028D5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2D247BA1"/>
    <w:multiLevelType w:val="hybridMultilevel"/>
    <w:tmpl w:val="44A01CD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2D3218F8"/>
    <w:multiLevelType w:val="multilevel"/>
    <w:tmpl w:val="F5EE4A9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2D390E70"/>
    <w:multiLevelType w:val="hybridMultilevel"/>
    <w:tmpl w:val="11DA4A76"/>
    <w:lvl w:ilvl="0" w:tplc="04150001">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51" w15:restartNumberingAfterBreak="0">
    <w:nsid w:val="2D7A4F13"/>
    <w:multiLevelType w:val="hybridMultilevel"/>
    <w:tmpl w:val="B22CD196"/>
    <w:lvl w:ilvl="0" w:tplc="F228827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2" w15:restartNumberingAfterBreak="0">
    <w:nsid w:val="2D8C08A6"/>
    <w:multiLevelType w:val="hybridMultilevel"/>
    <w:tmpl w:val="F1B43B42"/>
    <w:lvl w:ilvl="0" w:tplc="FFFFFFFF">
      <w:start w:val="1"/>
      <w:numFmt w:val="bullet"/>
      <w:lvlText w:val="−"/>
      <w:lvlJc w:val="left"/>
      <w:pPr>
        <w:ind w:left="2148" w:hanging="360"/>
      </w:pPr>
      <w:rPr>
        <w:rFonts w:ascii="Times New Roman" w:hAnsi="Times New Roman" w:cs="Times New Roman" w:hint="default"/>
      </w:rPr>
    </w:lvl>
    <w:lvl w:ilvl="1" w:tplc="FC1445A4" w:tentative="1">
      <w:start w:val="1"/>
      <w:numFmt w:val="bullet"/>
      <w:lvlText w:val="o"/>
      <w:lvlJc w:val="left"/>
      <w:pPr>
        <w:ind w:left="2868" w:hanging="360"/>
      </w:pPr>
      <w:rPr>
        <w:rFonts w:ascii="Courier New" w:hAnsi="Courier New" w:cs="Courier New" w:hint="default"/>
      </w:rPr>
    </w:lvl>
    <w:lvl w:ilvl="2" w:tplc="FBCC674E" w:tentative="1">
      <w:start w:val="1"/>
      <w:numFmt w:val="bullet"/>
      <w:lvlText w:val=""/>
      <w:lvlJc w:val="left"/>
      <w:pPr>
        <w:ind w:left="3588" w:hanging="360"/>
      </w:pPr>
      <w:rPr>
        <w:rFonts w:ascii="Wingdings" w:hAnsi="Wingdings" w:hint="default"/>
      </w:rPr>
    </w:lvl>
    <w:lvl w:ilvl="3" w:tplc="926A917C" w:tentative="1">
      <w:start w:val="1"/>
      <w:numFmt w:val="bullet"/>
      <w:lvlText w:val=""/>
      <w:lvlJc w:val="left"/>
      <w:pPr>
        <w:ind w:left="4308" w:hanging="360"/>
      </w:pPr>
      <w:rPr>
        <w:rFonts w:ascii="Symbol" w:hAnsi="Symbol" w:hint="default"/>
      </w:rPr>
    </w:lvl>
    <w:lvl w:ilvl="4" w:tplc="C60E9628" w:tentative="1">
      <w:start w:val="1"/>
      <w:numFmt w:val="bullet"/>
      <w:lvlText w:val="o"/>
      <w:lvlJc w:val="left"/>
      <w:pPr>
        <w:ind w:left="5028" w:hanging="360"/>
      </w:pPr>
      <w:rPr>
        <w:rFonts w:ascii="Courier New" w:hAnsi="Courier New" w:cs="Courier New" w:hint="default"/>
      </w:rPr>
    </w:lvl>
    <w:lvl w:ilvl="5" w:tplc="EB1ACD9C" w:tentative="1">
      <w:start w:val="1"/>
      <w:numFmt w:val="bullet"/>
      <w:lvlText w:val=""/>
      <w:lvlJc w:val="left"/>
      <w:pPr>
        <w:ind w:left="5748" w:hanging="360"/>
      </w:pPr>
      <w:rPr>
        <w:rFonts w:ascii="Wingdings" w:hAnsi="Wingdings" w:hint="default"/>
      </w:rPr>
    </w:lvl>
    <w:lvl w:ilvl="6" w:tplc="96082ED0" w:tentative="1">
      <w:start w:val="1"/>
      <w:numFmt w:val="bullet"/>
      <w:lvlText w:val=""/>
      <w:lvlJc w:val="left"/>
      <w:pPr>
        <w:ind w:left="6468" w:hanging="360"/>
      </w:pPr>
      <w:rPr>
        <w:rFonts w:ascii="Symbol" w:hAnsi="Symbol" w:hint="default"/>
      </w:rPr>
    </w:lvl>
    <w:lvl w:ilvl="7" w:tplc="529490CA" w:tentative="1">
      <w:start w:val="1"/>
      <w:numFmt w:val="bullet"/>
      <w:lvlText w:val="o"/>
      <w:lvlJc w:val="left"/>
      <w:pPr>
        <w:ind w:left="7188" w:hanging="360"/>
      </w:pPr>
      <w:rPr>
        <w:rFonts w:ascii="Courier New" w:hAnsi="Courier New" w:cs="Courier New" w:hint="default"/>
      </w:rPr>
    </w:lvl>
    <w:lvl w:ilvl="8" w:tplc="3768142A" w:tentative="1">
      <w:start w:val="1"/>
      <w:numFmt w:val="bullet"/>
      <w:lvlText w:val=""/>
      <w:lvlJc w:val="left"/>
      <w:pPr>
        <w:ind w:left="7908" w:hanging="360"/>
      </w:pPr>
      <w:rPr>
        <w:rFonts w:ascii="Wingdings" w:hAnsi="Wingdings" w:hint="default"/>
      </w:rPr>
    </w:lvl>
  </w:abstractNum>
  <w:abstractNum w:abstractNumId="153" w15:restartNumberingAfterBreak="0">
    <w:nsid w:val="2D9A2D87"/>
    <w:multiLevelType w:val="hybridMultilevel"/>
    <w:tmpl w:val="C05AB9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2DCF0D03"/>
    <w:multiLevelType w:val="multilevel"/>
    <w:tmpl w:val="816EE280"/>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5" w15:restartNumberingAfterBreak="0">
    <w:nsid w:val="2E88642B"/>
    <w:multiLevelType w:val="hybridMultilevel"/>
    <w:tmpl w:val="AD008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2FB97F98"/>
    <w:multiLevelType w:val="hybridMultilevel"/>
    <w:tmpl w:val="4F84FF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2FD671B6"/>
    <w:multiLevelType w:val="hybridMultilevel"/>
    <w:tmpl w:val="2276687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58" w15:restartNumberingAfterBreak="0">
    <w:nsid w:val="2FDC477E"/>
    <w:multiLevelType w:val="hybridMultilevel"/>
    <w:tmpl w:val="E4B48E3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59" w15:restartNumberingAfterBreak="0">
    <w:nsid w:val="304B5BE8"/>
    <w:multiLevelType w:val="hybridMultilevel"/>
    <w:tmpl w:val="58E47B34"/>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60" w15:restartNumberingAfterBreak="0">
    <w:nsid w:val="304D2DAE"/>
    <w:multiLevelType w:val="hybridMultilevel"/>
    <w:tmpl w:val="52E8F1C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307D7001"/>
    <w:multiLevelType w:val="hybridMultilevel"/>
    <w:tmpl w:val="659C9178"/>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2" w15:restartNumberingAfterBreak="0">
    <w:nsid w:val="30B55EB7"/>
    <w:multiLevelType w:val="hybridMultilevel"/>
    <w:tmpl w:val="D4A68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30C93E52"/>
    <w:multiLevelType w:val="hybridMultilevel"/>
    <w:tmpl w:val="05A268C0"/>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30CE1D58"/>
    <w:multiLevelType w:val="hybridMultilevel"/>
    <w:tmpl w:val="FD4E31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5" w15:restartNumberingAfterBreak="0">
    <w:nsid w:val="30EB6F64"/>
    <w:multiLevelType w:val="hybridMultilevel"/>
    <w:tmpl w:val="DEC855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31071B24"/>
    <w:multiLevelType w:val="hybridMultilevel"/>
    <w:tmpl w:val="F746F3E6"/>
    <w:lvl w:ilvl="0" w:tplc="04150001">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7" w15:restartNumberingAfterBreak="0">
    <w:nsid w:val="316F3482"/>
    <w:multiLevelType w:val="hybridMultilevel"/>
    <w:tmpl w:val="199CEA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1A54740"/>
    <w:multiLevelType w:val="hybridMultilevel"/>
    <w:tmpl w:val="53344A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9" w15:restartNumberingAfterBreak="0">
    <w:nsid w:val="327A3F6D"/>
    <w:multiLevelType w:val="hybridMultilevel"/>
    <w:tmpl w:val="F3106CDA"/>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0" w15:restartNumberingAfterBreak="0">
    <w:nsid w:val="3362732F"/>
    <w:multiLevelType w:val="hybridMultilevel"/>
    <w:tmpl w:val="6B6EFCB2"/>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3373078A"/>
    <w:multiLevelType w:val="hybridMultilevel"/>
    <w:tmpl w:val="B36477B6"/>
    <w:lvl w:ilvl="0" w:tplc="FFFFFFFF">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72" w15:restartNumberingAfterBreak="0">
    <w:nsid w:val="3447521E"/>
    <w:multiLevelType w:val="multilevel"/>
    <w:tmpl w:val="3976EB80"/>
    <w:lvl w:ilvl="0">
      <w:numFmt w:val="bullet"/>
      <w:lvlText w:val="•"/>
      <w:lvlJc w:val="left"/>
      <w:pPr>
        <w:ind w:left="720" w:hanging="360"/>
      </w:pPr>
      <w:rPr>
        <w:rFonts w:ascii="StarSymbol" w:hAnsi="StarSymbol"/>
      </w:rPr>
    </w:lvl>
    <w:lvl w:ilvl="1">
      <w:start w:val="1"/>
      <w:numFmt w:val="bullet"/>
      <w:lvlText w:val="−"/>
      <w:lvlJc w:val="left"/>
      <w:pPr>
        <w:ind w:left="1440" w:hanging="360"/>
      </w:pPr>
      <w:rPr>
        <w:rFonts w:ascii="Times New Roman" w:hAnsi="Times New Roman" w:cs="Times New Roman" w:hint="default"/>
      </w:rPr>
    </w:lvl>
    <w:lvl w:ilvl="2">
      <w:numFmt w:val="bullet"/>
      <w:lvlText w:val="•"/>
      <w:lvlJc w:val="right"/>
      <w:pPr>
        <w:ind w:left="2160" w:hanging="180"/>
      </w:pPr>
      <w:rPr>
        <w:rFonts w:ascii="StarSymbol" w:hAnsi="StarSymbol"/>
      </w:rPr>
    </w:lvl>
    <w:lvl w:ilvl="3">
      <w:numFmt w:val="bullet"/>
      <w:lvlText w:val="•"/>
      <w:lvlJc w:val="left"/>
      <w:pPr>
        <w:ind w:left="2880" w:hanging="360"/>
      </w:pPr>
      <w:rPr>
        <w:rFonts w:ascii="StarSymbol" w:hAnsi="StarSymbol"/>
      </w:rPr>
    </w:lvl>
    <w:lvl w:ilvl="4">
      <w:numFmt w:val="bullet"/>
      <w:lvlText w:val="•"/>
      <w:lvlJc w:val="left"/>
      <w:pPr>
        <w:ind w:left="3600" w:hanging="360"/>
      </w:pPr>
      <w:rPr>
        <w:rFonts w:ascii="StarSymbol" w:hAnsi="StarSymbol"/>
      </w:rPr>
    </w:lvl>
    <w:lvl w:ilvl="5">
      <w:numFmt w:val="bullet"/>
      <w:lvlText w:val="•"/>
      <w:lvlJc w:val="right"/>
      <w:pPr>
        <w:ind w:left="4320" w:hanging="180"/>
      </w:pPr>
      <w:rPr>
        <w:rFonts w:ascii="StarSymbol" w:hAnsi="StarSymbol"/>
      </w:rPr>
    </w:lvl>
    <w:lvl w:ilvl="6">
      <w:numFmt w:val="bullet"/>
      <w:lvlText w:val="•"/>
      <w:lvlJc w:val="left"/>
      <w:pPr>
        <w:ind w:left="5040" w:hanging="360"/>
      </w:pPr>
      <w:rPr>
        <w:rFonts w:ascii="StarSymbol" w:hAnsi="StarSymbol"/>
      </w:rPr>
    </w:lvl>
    <w:lvl w:ilvl="7">
      <w:numFmt w:val="bullet"/>
      <w:lvlText w:val="•"/>
      <w:lvlJc w:val="left"/>
      <w:pPr>
        <w:ind w:left="5760" w:hanging="360"/>
      </w:pPr>
      <w:rPr>
        <w:rFonts w:ascii="StarSymbol" w:hAnsi="StarSymbol"/>
      </w:rPr>
    </w:lvl>
    <w:lvl w:ilvl="8">
      <w:numFmt w:val="bullet"/>
      <w:lvlText w:val="•"/>
      <w:lvlJc w:val="right"/>
      <w:pPr>
        <w:ind w:left="6480" w:hanging="180"/>
      </w:pPr>
      <w:rPr>
        <w:rFonts w:ascii="StarSymbol" w:hAnsi="StarSymbol"/>
      </w:rPr>
    </w:lvl>
  </w:abstractNum>
  <w:abstractNum w:abstractNumId="173" w15:restartNumberingAfterBreak="0">
    <w:nsid w:val="355B29EF"/>
    <w:multiLevelType w:val="hybridMultilevel"/>
    <w:tmpl w:val="EB0A87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358E4B2E"/>
    <w:multiLevelType w:val="hybridMultilevel"/>
    <w:tmpl w:val="F6C44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36312630"/>
    <w:multiLevelType w:val="hybridMultilevel"/>
    <w:tmpl w:val="6B4E12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36E77FC1"/>
    <w:multiLevelType w:val="hybridMultilevel"/>
    <w:tmpl w:val="DD4066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37074E7F"/>
    <w:multiLevelType w:val="hybridMultilevel"/>
    <w:tmpl w:val="2FFAFAA8"/>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3749276C"/>
    <w:multiLevelType w:val="hybridMultilevel"/>
    <w:tmpl w:val="0E62006E"/>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9" w15:restartNumberingAfterBreak="0">
    <w:nsid w:val="37533764"/>
    <w:multiLevelType w:val="hybridMultilevel"/>
    <w:tmpl w:val="5942AE4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1">
      <w:start w:val="1"/>
      <w:numFmt w:val="bullet"/>
      <w:lvlText w:val=""/>
      <w:lvlJc w:val="left"/>
      <w:pPr>
        <w:ind w:left="2444" w:hanging="360"/>
      </w:pPr>
      <w:rPr>
        <w:rFonts w:ascii="Symbol" w:hAnsi="Symbol"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0" w15:restartNumberingAfterBreak="0">
    <w:nsid w:val="37853804"/>
    <w:multiLevelType w:val="hybridMultilevel"/>
    <w:tmpl w:val="6BD8A49C"/>
    <w:lvl w:ilvl="0" w:tplc="04150001">
      <w:start w:val="1"/>
      <w:numFmt w:val="bullet"/>
      <w:lvlText w:val=""/>
      <w:lvlJc w:val="left"/>
      <w:pPr>
        <w:ind w:left="725" w:hanging="360"/>
      </w:pPr>
      <w:rPr>
        <w:rFonts w:ascii="Symbol" w:hAnsi="Symbol" w:hint="default"/>
      </w:r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81" w15:restartNumberingAfterBreak="0">
    <w:nsid w:val="37947441"/>
    <w:multiLevelType w:val="hybridMultilevel"/>
    <w:tmpl w:val="23D27F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38014EB1"/>
    <w:multiLevelType w:val="hybridMultilevel"/>
    <w:tmpl w:val="1F322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3" w15:restartNumberingAfterBreak="0">
    <w:nsid w:val="38380B49"/>
    <w:multiLevelType w:val="hybridMultilevel"/>
    <w:tmpl w:val="2A3CC3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38491537"/>
    <w:multiLevelType w:val="hybridMultilevel"/>
    <w:tmpl w:val="0A50E3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38857E03"/>
    <w:multiLevelType w:val="hybridMultilevel"/>
    <w:tmpl w:val="0958CE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3894521C"/>
    <w:multiLevelType w:val="hybridMultilevel"/>
    <w:tmpl w:val="88103E5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7" w15:restartNumberingAfterBreak="0">
    <w:nsid w:val="38A8390E"/>
    <w:multiLevelType w:val="multilevel"/>
    <w:tmpl w:val="91F607B6"/>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8" w15:restartNumberingAfterBreak="0">
    <w:nsid w:val="38F95832"/>
    <w:multiLevelType w:val="hybridMultilevel"/>
    <w:tmpl w:val="70F6FB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39467F80"/>
    <w:multiLevelType w:val="hybridMultilevel"/>
    <w:tmpl w:val="42B8DF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39E36813"/>
    <w:multiLevelType w:val="hybridMultilevel"/>
    <w:tmpl w:val="EE8864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3AA04433"/>
    <w:multiLevelType w:val="hybridMultilevel"/>
    <w:tmpl w:val="E8348EF8"/>
    <w:lvl w:ilvl="0" w:tplc="68E22C3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3B4C1377"/>
    <w:multiLevelType w:val="hybridMultilevel"/>
    <w:tmpl w:val="0256EA04"/>
    <w:lvl w:ilvl="0" w:tplc="04150001">
      <w:start w:val="1"/>
      <w:numFmt w:val="bullet"/>
      <w:lvlText w:val=""/>
      <w:lvlJc w:val="left"/>
      <w:pPr>
        <w:ind w:left="725" w:hanging="360"/>
      </w:pPr>
      <w:rPr>
        <w:rFonts w:ascii="Symbol" w:hAnsi="Symbol"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193" w15:restartNumberingAfterBreak="0">
    <w:nsid w:val="3BAF66E8"/>
    <w:multiLevelType w:val="hybridMultilevel"/>
    <w:tmpl w:val="585062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4" w15:restartNumberingAfterBreak="0">
    <w:nsid w:val="3C1078A6"/>
    <w:multiLevelType w:val="hybridMultilevel"/>
    <w:tmpl w:val="8BF25B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5" w15:restartNumberingAfterBreak="0">
    <w:nsid w:val="3C30310C"/>
    <w:multiLevelType w:val="hybridMultilevel"/>
    <w:tmpl w:val="A52E78EE"/>
    <w:lvl w:ilvl="0" w:tplc="FFFFFFFF">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3C7B6F71"/>
    <w:multiLevelType w:val="hybridMultilevel"/>
    <w:tmpl w:val="3702B9AC"/>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7" w15:restartNumberingAfterBreak="0">
    <w:nsid w:val="3D39637A"/>
    <w:multiLevelType w:val="hybridMultilevel"/>
    <w:tmpl w:val="098C8B20"/>
    <w:lvl w:ilvl="0" w:tplc="E6F28226">
      <w:start w:val="1"/>
      <w:numFmt w:val="bullet"/>
      <w:lvlText w:val=""/>
      <w:lvlJc w:val="left"/>
      <w:pPr>
        <w:ind w:left="720" w:hanging="360"/>
      </w:pPr>
      <w:rPr>
        <w:rFonts w:ascii="Symbol" w:hAnsi="Symbol" w:hint="default"/>
      </w:rPr>
    </w:lvl>
    <w:lvl w:ilvl="1" w:tplc="4D74D62E">
      <w:start w:val="1"/>
      <w:numFmt w:val="bullet"/>
      <w:lvlText w:val="o"/>
      <w:lvlJc w:val="left"/>
      <w:pPr>
        <w:ind w:left="1440" w:hanging="360"/>
      </w:pPr>
      <w:rPr>
        <w:rFonts w:ascii="Courier New" w:hAnsi="Courier New" w:hint="default"/>
      </w:rPr>
    </w:lvl>
    <w:lvl w:ilvl="2" w:tplc="54A4758A">
      <w:start w:val="1"/>
      <w:numFmt w:val="bullet"/>
      <w:lvlText w:val=""/>
      <w:lvlJc w:val="left"/>
      <w:pPr>
        <w:ind w:left="2160" w:hanging="360"/>
      </w:pPr>
      <w:rPr>
        <w:rFonts w:ascii="Wingdings" w:hAnsi="Wingdings" w:hint="default"/>
      </w:rPr>
    </w:lvl>
    <w:lvl w:ilvl="3" w:tplc="9A38D0EE">
      <w:start w:val="1"/>
      <w:numFmt w:val="bullet"/>
      <w:lvlText w:val=""/>
      <w:lvlJc w:val="left"/>
      <w:pPr>
        <w:ind w:left="2880" w:hanging="360"/>
      </w:pPr>
      <w:rPr>
        <w:rFonts w:ascii="Symbol" w:hAnsi="Symbol" w:hint="default"/>
      </w:rPr>
    </w:lvl>
    <w:lvl w:ilvl="4" w:tplc="E3665290">
      <w:start w:val="1"/>
      <w:numFmt w:val="bullet"/>
      <w:lvlText w:val="o"/>
      <w:lvlJc w:val="left"/>
      <w:pPr>
        <w:ind w:left="3600" w:hanging="360"/>
      </w:pPr>
      <w:rPr>
        <w:rFonts w:ascii="Courier New" w:hAnsi="Courier New" w:hint="default"/>
      </w:rPr>
    </w:lvl>
    <w:lvl w:ilvl="5" w:tplc="E16CAD0C">
      <w:start w:val="1"/>
      <w:numFmt w:val="bullet"/>
      <w:lvlText w:val=""/>
      <w:lvlJc w:val="left"/>
      <w:pPr>
        <w:ind w:left="4320" w:hanging="360"/>
      </w:pPr>
      <w:rPr>
        <w:rFonts w:ascii="Wingdings" w:hAnsi="Wingdings" w:hint="default"/>
      </w:rPr>
    </w:lvl>
    <w:lvl w:ilvl="6" w:tplc="1D2EB42A">
      <w:start w:val="1"/>
      <w:numFmt w:val="bullet"/>
      <w:lvlText w:val=""/>
      <w:lvlJc w:val="left"/>
      <w:pPr>
        <w:ind w:left="5040" w:hanging="360"/>
      </w:pPr>
      <w:rPr>
        <w:rFonts w:ascii="Symbol" w:hAnsi="Symbol" w:hint="default"/>
      </w:rPr>
    </w:lvl>
    <w:lvl w:ilvl="7" w:tplc="3F4CB2E6">
      <w:start w:val="1"/>
      <w:numFmt w:val="bullet"/>
      <w:lvlText w:val="o"/>
      <w:lvlJc w:val="left"/>
      <w:pPr>
        <w:ind w:left="5760" w:hanging="360"/>
      </w:pPr>
      <w:rPr>
        <w:rFonts w:ascii="Courier New" w:hAnsi="Courier New" w:hint="default"/>
      </w:rPr>
    </w:lvl>
    <w:lvl w:ilvl="8" w:tplc="C9A2C88E">
      <w:start w:val="1"/>
      <w:numFmt w:val="bullet"/>
      <w:lvlText w:val=""/>
      <w:lvlJc w:val="left"/>
      <w:pPr>
        <w:ind w:left="6480" w:hanging="360"/>
      </w:pPr>
      <w:rPr>
        <w:rFonts w:ascii="Wingdings" w:hAnsi="Wingdings" w:hint="default"/>
      </w:rPr>
    </w:lvl>
  </w:abstractNum>
  <w:abstractNum w:abstractNumId="198" w15:restartNumberingAfterBreak="0">
    <w:nsid w:val="3D496BDD"/>
    <w:multiLevelType w:val="hybridMultilevel"/>
    <w:tmpl w:val="90CC8620"/>
    <w:lvl w:ilvl="0" w:tplc="F87675AE">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9" w15:restartNumberingAfterBreak="0">
    <w:nsid w:val="3E155DA6"/>
    <w:multiLevelType w:val="hybridMultilevel"/>
    <w:tmpl w:val="E30E54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0" w15:restartNumberingAfterBreak="0">
    <w:nsid w:val="3E7131E7"/>
    <w:multiLevelType w:val="hybridMultilevel"/>
    <w:tmpl w:val="364E96C8"/>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1" w15:restartNumberingAfterBreak="0">
    <w:nsid w:val="3E9643ED"/>
    <w:multiLevelType w:val="hybridMultilevel"/>
    <w:tmpl w:val="28D83C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2" w15:restartNumberingAfterBreak="0">
    <w:nsid w:val="3F3C31E7"/>
    <w:multiLevelType w:val="hybridMultilevel"/>
    <w:tmpl w:val="FA764D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3" w15:restartNumberingAfterBreak="0">
    <w:nsid w:val="3F5A1A43"/>
    <w:multiLevelType w:val="hybridMultilevel"/>
    <w:tmpl w:val="52248FBE"/>
    <w:lvl w:ilvl="0" w:tplc="CDC6A0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3F5A2FB4"/>
    <w:multiLevelType w:val="hybridMultilevel"/>
    <w:tmpl w:val="714CEB60"/>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3F6B1A53"/>
    <w:multiLevelType w:val="hybridMultilevel"/>
    <w:tmpl w:val="3724CE0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6" w15:restartNumberingAfterBreak="0">
    <w:nsid w:val="3FE3361C"/>
    <w:multiLevelType w:val="hybridMultilevel"/>
    <w:tmpl w:val="FC029A92"/>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Times New Roman" w:hAnsi="Times New Roman" w:cs="Times New Roman"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04016D5"/>
    <w:multiLevelType w:val="hybridMultilevel"/>
    <w:tmpl w:val="DECE27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8" w15:restartNumberingAfterBreak="0">
    <w:nsid w:val="41563F20"/>
    <w:multiLevelType w:val="hybridMultilevel"/>
    <w:tmpl w:val="F984C0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9" w15:restartNumberingAfterBreak="0">
    <w:nsid w:val="41964D5C"/>
    <w:multiLevelType w:val="hybridMultilevel"/>
    <w:tmpl w:val="35346AA0"/>
    <w:lvl w:ilvl="0" w:tplc="F2288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41B6261C"/>
    <w:multiLevelType w:val="hybridMultilevel"/>
    <w:tmpl w:val="5CBCEE2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1" w15:restartNumberingAfterBreak="0">
    <w:nsid w:val="42FA3F3E"/>
    <w:multiLevelType w:val="hybridMultilevel"/>
    <w:tmpl w:val="02503A16"/>
    <w:lvl w:ilvl="0" w:tplc="FFFFFFFF">
      <w:start w:val="1"/>
      <w:numFmt w:val="bullet"/>
      <w:lvlText w:val="−"/>
      <w:lvlJc w:val="left"/>
      <w:pPr>
        <w:ind w:left="2148" w:hanging="360"/>
      </w:pPr>
      <w:rPr>
        <w:rFonts w:ascii="Times New Roman" w:hAnsi="Times New Roman" w:cs="Times New Roman" w:hint="default"/>
      </w:rPr>
    </w:lvl>
    <w:lvl w:ilvl="1" w:tplc="E3DE77EA" w:tentative="1">
      <w:start w:val="1"/>
      <w:numFmt w:val="lowerLetter"/>
      <w:lvlText w:val="%2."/>
      <w:lvlJc w:val="left"/>
      <w:pPr>
        <w:ind w:left="2868" w:hanging="360"/>
      </w:pPr>
    </w:lvl>
    <w:lvl w:ilvl="2" w:tplc="E2B0F6D6" w:tentative="1">
      <w:start w:val="1"/>
      <w:numFmt w:val="lowerRoman"/>
      <w:lvlText w:val="%3."/>
      <w:lvlJc w:val="right"/>
      <w:pPr>
        <w:ind w:left="3588" w:hanging="180"/>
      </w:pPr>
    </w:lvl>
    <w:lvl w:ilvl="3" w:tplc="2D545CEE" w:tentative="1">
      <w:start w:val="1"/>
      <w:numFmt w:val="decimal"/>
      <w:lvlText w:val="%4."/>
      <w:lvlJc w:val="left"/>
      <w:pPr>
        <w:ind w:left="4308" w:hanging="360"/>
      </w:pPr>
    </w:lvl>
    <w:lvl w:ilvl="4" w:tplc="A566C20C" w:tentative="1">
      <w:start w:val="1"/>
      <w:numFmt w:val="lowerLetter"/>
      <w:lvlText w:val="%5."/>
      <w:lvlJc w:val="left"/>
      <w:pPr>
        <w:ind w:left="5028" w:hanging="360"/>
      </w:pPr>
    </w:lvl>
    <w:lvl w:ilvl="5" w:tplc="F76C7D74" w:tentative="1">
      <w:start w:val="1"/>
      <w:numFmt w:val="lowerRoman"/>
      <w:lvlText w:val="%6."/>
      <w:lvlJc w:val="right"/>
      <w:pPr>
        <w:ind w:left="5748" w:hanging="180"/>
      </w:pPr>
    </w:lvl>
    <w:lvl w:ilvl="6" w:tplc="4A563B12" w:tentative="1">
      <w:start w:val="1"/>
      <w:numFmt w:val="decimal"/>
      <w:lvlText w:val="%7."/>
      <w:lvlJc w:val="left"/>
      <w:pPr>
        <w:ind w:left="6468" w:hanging="360"/>
      </w:pPr>
    </w:lvl>
    <w:lvl w:ilvl="7" w:tplc="6C20A400" w:tentative="1">
      <w:start w:val="1"/>
      <w:numFmt w:val="lowerLetter"/>
      <w:lvlText w:val="%8."/>
      <w:lvlJc w:val="left"/>
      <w:pPr>
        <w:ind w:left="7188" w:hanging="360"/>
      </w:pPr>
    </w:lvl>
    <w:lvl w:ilvl="8" w:tplc="1700CAE2" w:tentative="1">
      <w:start w:val="1"/>
      <w:numFmt w:val="lowerRoman"/>
      <w:lvlText w:val="%9."/>
      <w:lvlJc w:val="right"/>
      <w:pPr>
        <w:ind w:left="7908" w:hanging="180"/>
      </w:pPr>
    </w:lvl>
  </w:abstractNum>
  <w:abstractNum w:abstractNumId="212" w15:restartNumberingAfterBreak="0">
    <w:nsid w:val="43B82B5B"/>
    <w:multiLevelType w:val="multilevel"/>
    <w:tmpl w:val="109E01B4"/>
    <w:styleLink w:val="WW8Num23"/>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3" w15:restartNumberingAfterBreak="0">
    <w:nsid w:val="443D0A81"/>
    <w:multiLevelType w:val="hybridMultilevel"/>
    <w:tmpl w:val="3FB0A910"/>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14" w15:restartNumberingAfterBreak="0">
    <w:nsid w:val="447757CC"/>
    <w:multiLevelType w:val="multilevel"/>
    <w:tmpl w:val="06D45110"/>
    <w:lvl w:ilvl="0">
      <w:start w:val="1"/>
      <w:numFmt w:val="bullet"/>
      <w:lvlText w:val="−"/>
      <w:lvlJc w:val="left"/>
      <w:pPr>
        <w:ind w:left="720" w:hanging="360"/>
      </w:pPr>
      <w:rPr>
        <w:rFonts w:ascii="Times New Roman" w:hAnsi="Times New Roman" w:cs="Times New Roman"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15" w15:restartNumberingAfterBreak="0">
    <w:nsid w:val="44D01F68"/>
    <w:multiLevelType w:val="hybridMultilevel"/>
    <w:tmpl w:val="2902A0D2"/>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6" w15:restartNumberingAfterBreak="0">
    <w:nsid w:val="45411A39"/>
    <w:multiLevelType w:val="multilevel"/>
    <w:tmpl w:val="2ED27A4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15:restartNumberingAfterBreak="0">
    <w:nsid w:val="45633D00"/>
    <w:multiLevelType w:val="hybridMultilevel"/>
    <w:tmpl w:val="C1F429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8" w15:restartNumberingAfterBreak="0">
    <w:nsid w:val="46392C84"/>
    <w:multiLevelType w:val="hybridMultilevel"/>
    <w:tmpl w:val="4C8E61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9" w15:restartNumberingAfterBreak="0">
    <w:nsid w:val="466E23E0"/>
    <w:multiLevelType w:val="hybridMultilevel"/>
    <w:tmpl w:val="1C86CAE6"/>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468A67B5"/>
    <w:multiLevelType w:val="hybridMultilevel"/>
    <w:tmpl w:val="3FD2F084"/>
    <w:lvl w:ilvl="0" w:tplc="BCD271D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46A863DE"/>
    <w:multiLevelType w:val="hybridMultilevel"/>
    <w:tmpl w:val="F4E21D14"/>
    <w:lvl w:ilvl="0" w:tplc="3014E068">
      <w:start w:val="1"/>
      <w:numFmt w:val="bullet"/>
      <w:lvlText w:val=""/>
      <w:lvlJc w:val="left"/>
      <w:pPr>
        <w:ind w:left="720" w:hanging="360"/>
      </w:pPr>
      <w:rPr>
        <w:rFonts w:ascii="Symbol" w:hAnsi="Symbol" w:hint="default"/>
      </w:rPr>
    </w:lvl>
    <w:lvl w:ilvl="1" w:tplc="B12C8F86" w:tentative="1">
      <w:start w:val="1"/>
      <w:numFmt w:val="bullet"/>
      <w:lvlText w:val="o"/>
      <w:lvlJc w:val="left"/>
      <w:pPr>
        <w:ind w:left="1440" w:hanging="360"/>
      </w:pPr>
      <w:rPr>
        <w:rFonts w:ascii="Courier New" w:hAnsi="Courier New" w:cs="Courier New" w:hint="default"/>
      </w:rPr>
    </w:lvl>
    <w:lvl w:ilvl="2" w:tplc="70980C1C" w:tentative="1">
      <w:start w:val="1"/>
      <w:numFmt w:val="bullet"/>
      <w:lvlText w:val=""/>
      <w:lvlJc w:val="left"/>
      <w:pPr>
        <w:ind w:left="2160" w:hanging="360"/>
      </w:pPr>
      <w:rPr>
        <w:rFonts w:ascii="Wingdings" w:hAnsi="Wingdings" w:hint="default"/>
      </w:rPr>
    </w:lvl>
    <w:lvl w:ilvl="3" w:tplc="D610CA06" w:tentative="1">
      <w:start w:val="1"/>
      <w:numFmt w:val="bullet"/>
      <w:lvlText w:val=""/>
      <w:lvlJc w:val="left"/>
      <w:pPr>
        <w:ind w:left="2880" w:hanging="360"/>
      </w:pPr>
      <w:rPr>
        <w:rFonts w:ascii="Symbol" w:hAnsi="Symbol" w:hint="default"/>
      </w:rPr>
    </w:lvl>
    <w:lvl w:ilvl="4" w:tplc="E7B83702" w:tentative="1">
      <w:start w:val="1"/>
      <w:numFmt w:val="bullet"/>
      <w:lvlText w:val="o"/>
      <w:lvlJc w:val="left"/>
      <w:pPr>
        <w:ind w:left="3600" w:hanging="360"/>
      </w:pPr>
      <w:rPr>
        <w:rFonts w:ascii="Courier New" w:hAnsi="Courier New" w:cs="Courier New" w:hint="default"/>
      </w:rPr>
    </w:lvl>
    <w:lvl w:ilvl="5" w:tplc="AE4AC440" w:tentative="1">
      <w:start w:val="1"/>
      <w:numFmt w:val="bullet"/>
      <w:lvlText w:val=""/>
      <w:lvlJc w:val="left"/>
      <w:pPr>
        <w:ind w:left="4320" w:hanging="360"/>
      </w:pPr>
      <w:rPr>
        <w:rFonts w:ascii="Wingdings" w:hAnsi="Wingdings" w:hint="default"/>
      </w:rPr>
    </w:lvl>
    <w:lvl w:ilvl="6" w:tplc="64C0790A" w:tentative="1">
      <w:start w:val="1"/>
      <w:numFmt w:val="bullet"/>
      <w:lvlText w:val=""/>
      <w:lvlJc w:val="left"/>
      <w:pPr>
        <w:ind w:left="5040" w:hanging="360"/>
      </w:pPr>
      <w:rPr>
        <w:rFonts w:ascii="Symbol" w:hAnsi="Symbol" w:hint="default"/>
      </w:rPr>
    </w:lvl>
    <w:lvl w:ilvl="7" w:tplc="FEF464A8" w:tentative="1">
      <w:start w:val="1"/>
      <w:numFmt w:val="bullet"/>
      <w:lvlText w:val="o"/>
      <w:lvlJc w:val="left"/>
      <w:pPr>
        <w:ind w:left="5760" w:hanging="360"/>
      </w:pPr>
      <w:rPr>
        <w:rFonts w:ascii="Courier New" w:hAnsi="Courier New" w:cs="Courier New" w:hint="default"/>
      </w:rPr>
    </w:lvl>
    <w:lvl w:ilvl="8" w:tplc="D640D166" w:tentative="1">
      <w:start w:val="1"/>
      <w:numFmt w:val="bullet"/>
      <w:lvlText w:val=""/>
      <w:lvlJc w:val="left"/>
      <w:pPr>
        <w:ind w:left="6480" w:hanging="360"/>
      </w:pPr>
      <w:rPr>
        <w:rFonts w:ascii="Wingdings" w:hAnsi="Wingdings" w:hint="default"/>
      </w:rPr>
    </w:lvl>
  </w:abstractNum>
  <w:abstractNum w:abstractNumId="222" w15:restartNumberingAfterBreak="0">
    <w:nsid w:val="46DF254F"/>
    <w:multiLevelType w:val="hybridMultilevel"/>
    <w:tmpl w:val="EBF264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3" w15:restartNumberingAfterBreak="0">
    <w:nsid w:val="47181D8D"/>
    <w:multiLevelType w:val="hybridMultilevel"/>
    <w:tmpl w:val="A4D03C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4" w15:restartNumberingAfterBreak="0">
    <w:nsid w:val="47596048"/>
    <w:multiLevelType w:val="hybridMultilevel"/>
    <w:tmpl w:val="054EE3A6"/>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5" w15:restartNumberingAfterBreak="0">
    <w:nsid w:val="47636260"/>
    <w:multiLevelType w:val="hybridMultilevel"/>
    <w:tmpl w:val="B6463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476D76EC"/>
    <w:multiLevelType w:val="hybridMultilevel"/>
    <w:tmpl w:val="05E44E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7" w15:restartNumberingAfterBreak="0">
    <w:nsid w:val="483443C0"/>
    <w:multiLevelType w:val="hybridMultilevel"/>
    <w:tmpl w:val="CF849432"/>
    <w:lvl w:ilvl="0" w:tplc="CD20E9D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8" w15:restartNumberingAfterBreak="0">
    <w:nsid w:val="49A92947"/>
    <w:multiLevelType w:val="hybridMultilevel"/>
    <w:tmpl w:val="263EA2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9" w15:restartNumberingAfterBreak="0">
    <w:nsid w:val="49D3742E"/>
    <w:multiLevelType w:val="hybridMultilevel"/>
    <w:tmpl w:val="629EE54A"/>
    <w:lvl w:ilvl="0" w:tplc="04150001">
      <w:start w:val="1"/>
      <w:numFmt w:val="bullet"/>
      <w:lvlText w:val=""/>
      <w:lvlJc w:val="left"/>
      <w:pPr>
        <w:ind w:left="2280" w:hanging="360"/>
      </w:pPr>
      <w:rPr>
        <w:rFonts w:ascii="Symbol" w:hAnsi="Symbol" w:hint="default"/>
      </w:rPr>
    </w:lvl>
    <w:lvl w:ilvl="1" w:tplc="D9D08058" w:tentative="1">
      <w:start w:val="1"/>
      <w:numFmt w:val="bullet"/>
      <w:lvlText w:val="o"/>
      <w:lvlJc w:val="left"/>
      <w:pPr>
        <w:ind w:left="3000" w:hanging="360"/>
      </w:pPr>
      <w:rPr>
        <w:rFonts w:ascii="Courier New" w:hAnsi="Courier New" w:cs="Courier New" w:hint="default"/>
      </w:rPr>
    </w:lvl>
    <w:lvl w:ilvl="2" w:tplc="41EEC546" w:tentative="1">
      <w:start w:val="1"/>
      <w:numFmt w:val="bullet"/>
      <w:lvlText w:val=""/>
      <w:lvlJc w:val="left"/>
      <w:pPr>
        <w:ind w:left="3720" w:hanging="360"/>
      </w:pPr>
      <w:rPr>
        <w:rFonts w:ascii="Wingdings" w:hAnsi="Wingdings" w:hint="default"/>
      </w:rPr>
    </w:lvl>
    <w:lvl w:ilvl="3" w:tplc="B75853AE" w:tentative="1">
      <w:start w:val="1"/>
      <w:numFmt w:val="bullet"/>
      <w:lvlText w:val=""/>
      <w:lvlJc w:val="left"/>
      <w:pPr>
        <w:ind w:left="4440" w:hanging="360"/>
      </w:pPr>
      <w:rPr>
        <w:rFonts w:ascii="Symbol" w:hAnsi="Symbol" w:hint="default"/>
      </w:rPr>
    </w:lvl>
    <w:lvl w:ilvl="4" w:tplc="D49CF17A" w:tentative="1">
      <w:start w:val="1"/>
      <w:numFmt w:val="bullet"/>
      <w:lvlText w:val="o"/>
      <w:lvlJc w:val="left"/>
      <w:pPr>
        <w:ind w:left="5160" w:hanging="360"/>
      </w:pPr>
      <w:rPr>
        <w:rFonts w:ascii="Courier New" w:hAnsi="Courier New" w:cs="Courier New" w:hint="default"/>
      </w:rPr>
    </w:lvl>
    <w:lvl w:ilvl="5" w:tplc="84FAD358" w:tentative="1">
      <w:start w:val="1"/>
      <w:numFmt w:val="bullet"/>
      <w:lvlText w:val=""/>
      <w:lvlJc w:val="left"/>
      <w:pPr>
        <w:ind w:left="5880" w:hanging="360"/>
      </w:pPr>
      <w:rPr>
        <w:rFonts w:ascii="Wingdings" w:hAnsi="Wingdings" w:hint="default"/>
      </w:rPr>
    </w:lvl>
    <w:lvl w:ilvl="6" w:tplc="90D810AA" w:tentative="1">
      <w:start w:val="1"/>
      <w:numFmt w:val="bullet"/>
      <w:lvlText w:val=""/>
      <w:lvlJc w:val="left"/>
      <w:pPr>
        <w:ind w:left="6600" w:hanging="360"/>
      </w:pPr>
      <w:rPr>
        <w:rFonts w:ascii="Symbol" w:hAnsi="Symbol" w:hint="default"/>
      </w:rPr>
    </w:lvl>
    <w:lvl w:ilvl="7" w:tplc="9D3C7168" w:tentative="1">
      <w:start w:val="1"/>
      <w:numFmt w:val="bullet"/>
      <w:lvlText w:val="o"/>
      <w:lvlJc w:val="left"/>
      <w:pPr>
        <w:ind w:left="7320" w:hanging="360"/>
      </w:pPr>
      <w:rPr>
        <w:rFonts w:ascii="Courier New" w:hAnsi="Courier New" w:cs="Courier New" w:hint="default"/>
      </w:rPr>
    </w:lvl>
    <w:lvl w:ilvl="8" w:tplc="042C534E" w:tentative="1">
      <w:start w:val="1"/>
      <w:numFmt w:val="bullet"/>
      <w:lvlText w:val=""/>
      <w:lvlJc w:val="left"/>
      <w:pPr>
        <w:ind w:left="8040" w:hanging="360"/>
      </w:pPr>
      <w:rPr>
        <w:rFonts w:ascii="Wingdings" w:hAnsi="Wingdings" w:hint="default"/>
      </w:rPr>
    </w:lvl>
  </w:abstractNum>
  <w:abstractNum w:abstractNumId="230" w15:restartNumberingAfterBreak="0">
    <w:nsid w:val="4AF02F05"/>
    <w:multiLevelType w:val="hybridMultilevel"/>
    <w:tmpl w:val="2624B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4B0F37E1"/>
    <w:multiLevelType w:val="hybridMultilevel"/>
    <w:tmpl w:val="C2D26E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2" w15:restartNumberingAfterBreak="0">
    <w:nsid w:val="4B8D2374"/>
    <w:multiLevelType w:val="hybridMultilevel"/>
    <w:tmpl w:val="A49C9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3" w15:restartNumberingAfterBreak="0">
    <w:nsid w:val="4C470C81"/>
    <w:multiLevelType w:val="hybridMultilevel"/>
    <w:tmpl w:val="E040A2BC"/>
    <w:lvl w:ilvl="0" w:tplc="F2288278">
      <w:start w:val="1"/>
      <w:numFmt w:val="bullet"/>
      <w:lvlText w:val=""/>
      <w:lvlJc w:val="left"/>
      <w:pPr>
        <w:ind w:left="1440" w:hanging="360"/>
      </w:pPr>
      <w:rPr>
        <w:rFonts w:ascii="Symbol" w:hAnsi="Symbol" w:hint="default"/>
      </w:rPr>
    </w:lvl>
    <w:lvl w:ilvl="1" w:tplc="D32831C0">
      <w:numFmt w:val="bullet"/>
      <w:lvlText w:val="•"/>
      <w:lvlJc w:val="left"/>
      <w:pPr>
        <w:ind w:left="2505" w:hanging="705"/>
      </w:pPr>
      <w:rPr>
        <w:rFonts w:ascii="Times New Roman" w:eastAsia="MS Mincho"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4" w15:restartNumberingAfterBreak="0">
    <w:nsid w:val="4C8D091E"/>
    <w:multiLevelType w:val="multilevel"/>
    <w:tmpl w:val="C8482782"/>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5" w15:restartNumberingAfterBreak="0">
    <w:nsid w:val="4C9F3B43"/>
    <w:multiLevelType w:val="hybridMultilevel"/>
    <w:tmpl w:val="79845E96"/>
    <w:lvl w:ilvl="0" w:tplc="04150001">
      <w:start w:val="1"/>
      <w:numFmt w:val="bullet"/>
      <w:lvlText w:val=""/>
      <w:lvlJc w:val="left"/>
      <w:pPr>
        <w:ind w:left="928" w:hanging="360"/>
      </w:pPr>
      <w:rPr>
        <w:rFonts w:ascii="Symbol" w:hAnsi="Symbol"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6" w15:restartNumberingAfterBreak="0">
    <w:nsid w:val="4D27288B"/>
    <w:multiLevelType w:val="hybridMultilevel"/>
    <w:tmpl w:val="33E8C5FA"/>
    <w:lvl w:ilvl="0" w:tplc="431CF2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7" w15:restartNumberingAfterBreak="0">
    <w:nsid w:val="4D8476EE"/>
    <w:multiLevelType w:val="hybridMultilevel"/>
    <w:tmpl w:val="D1CE84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8" w15:restartNumberingAfterBreak="0">
    <w:nsid w:val="4DA5723E"/>
    <w:multiLevelType w:val="hybridMultilevel"/>
    <w:tmpl w:val="EBFE2D5C"/>
    <w:lvl w:ilvl="0" w:tplc="804EC838">
      <w:start w:val="1"/>
      <w:numFmt w:val="bullet"/>
      <w:lvlText w:val=""/>
      <w:lvlJc w:val="left"/>
      <w:pPr>
        <w:ind w:left="861" w:hanging="360"/>
      </w:pPr>
      <w:rPr>
        <w:rFonts w:ascii="Symbol" w:hAnsi="Symbol" w:hint="default"/>
        <w:color w:val="auto"/>
      </w:rPr>
    </w:lvl>
    <w:lvl w:ilvl="1" w:tplc="04150003" w:tentative="1">
      <w:start w:val="1"/>
      <w:numFmt w:val="bullet"/>
      <w:lvlText w:val="o"/>
      <w:lvlJc w:val="left"/>
      <w:pPr>
        <w:ind w:left="1581" w:hanging="360"/>
      </w:pPr>
      <w:rPr>
        <w:rFonts w:ascii="Courier New" w:hAnsi="Courier New" w:cs="Courier New" w:hint="default"/>
      </w:rPr>
    </w:lvl>
    <w:lvl w:ilvl="2" w:tplc="04150005" w:tentative="1">
      <w:start w:val="1"/>
      <w:numFmt w:val="bullet"/>
      <w:lvlText w:val=""/>
      <w:lvlJc w:val="left"/>
      <w:pPr>
        <w:ind w:left="2301" w:hanging="360"/>
      </w:pPr>
      <w:rPr>
        <w:rFonts w:ascii="Wingdings" w:hAnsi="Wingdings" w:hint="default"/>
      </w:rPr>
    </w:lvl>
    <w:lvl w:ilvl="3" w:tplc="04150001" w:tentative="1">
      <w:start w:val="1"/>
      <w:numFmt w:val="bullet"/>
      <w:lvlText w:val=""/>
      <w:lvlJc w:val="left"/>
      <w:pPr>
        <w:ind w:left="3021" w:hanging="360"/>
      </w:pPr>
      <w:rPr>
        <w:rFonts w:ascii="Symbol" w:hAnsi="Symbol" w:hint="default"/>
      </w:rPr>
    </w:lvl>
    <w:lvl w:ilvl="4" w:tplc="04150003" w:tentative="1">
      <w:start w:val="1"/>
      <w:numFmt w:val="bullet"/>
      <w:lvlText w:val="o"/>
      <w:lvlJc w:val="left"/>
      <w:pPr>
        <w:ind w:left="3741" w:hanging="360"/>
      </w:pPr>
      <w:rPr>
        <w:rFonts w:ascii="Courier New" w:hAnsi="Courier New" w:cs="Courier New" w:hint="default"/>
      </w:rPr>
    </w:lvl>
    <w:lvl w:ilvl="5" w:tplc="04150005" w:tentative="1">
      <w:start w:val="1"/>
      <w:numFmt w:val="bullet"/>
      <w:lvlText w:val=""/>
      <w:lvlJc w:val="left"/>
      <w:pPr>
        <w:ind w:left="4461" w:hanging="360"/>
      </w:pPr>
      <w:rPr>
        <w:rFonts w:ascii="Wingdings" w:hAnsi="Wingdings" w:hint="default"/>
      </w:rPr>
    </w:lvl>
    <w:lvl w:ilvl="6" w:tplc="04150001" w:tentative="1">
      <w:start w:val="1"/>
      <w:numFmt w:val="bullet"/>
      <w:lvlText w:val=""/>
      <w:lvlJc w:val="left"/>
      <w:pPr>
        <w:ind w:left="5181" w:hanging="360"/>
      </w:pPr>
      <w:rPr>
        <w:rFonts w:ascii="Symbol" w:hAnsi="Symbol" w:hint="default"/>
      </w:rPr>
    </w:lvl>
    <w:lvl w:ilvl="7" w:tplc="04150003" w:tentative="1">
      <w:start w:val="1"/>
      <w:numFmt w:val="bullet"/>
      <w:lvlText w:val="o"/>
      <w:lvlJc w:val="left"/>
      <w:pPr>
        <w:ind w:left="5901" w:hanging="360"/>
      </w:pPr>
      <w:rPr>
        <w:rFonts w:ascii="Courier New" w:hAnsi="Courier New" w:cs="Courier New" w:hint="default"/>
      </w:rPr>
    </w:lvl>
    <w:lvl w:ilvl="8" w:tplc="04150005" w:tentative="1">
      <w:start w:val="1"/>
      <w:numFmt w:val="bullet"/>
      <w:lvlText w:val=""/>
      <w:lvlJc w:val="left"/>
      <w:pPr>
        <w:ind w:left="6621" w:hanging="360"/>
      </w:pPr>
      <w:rPr>
        <w:rFonts w:ascii="Wingdings" w:hAnsi="Wingdings" w:hint="default"/>
      </w:rPr>
    </w:lvl>
  </w:abstractNum>
  <w:abstractNum w:abstractNumId="239" w15:restartNumberingAfterBreak="0">
    <w:nsid w:val="4DA6222F"/>
    <w:multiLevelType w:val="hybridMultilevel"/>
    <w:tmpl w:val="C08A02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0" w15:restartNumberingAfterBreak="0">
    <w:nsid w:val="4DB6099C"/>
    <w:multiLevelType w:val="hybridMultilevel"/>
    <w:tmpl w:val="D348157E"/>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4DDE01B2"/>
    <w:multiLevelType w:val="hybridMultilevel"/>
    <w:tmpl w:val="8C1EBE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2" w15:restartNumberingAfterBreak="0">
    <w:nsid w:val="4DFA3B26"/>
    <w:multiLevelType w:val="hybridMultilevel"/>
    <w:tmpl w:val="B28074EC"/>
    <w:lvl w:ilvl="0" w:tplc="804EC838">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3" w15:restartNumberingAfterBreak="0">
    <w:nsid w:val="4E4167B8"/>
    <w:multiLevelType w:val="hybridMultilevel"/>
    <w:tmpl w:val="77F689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4" w15:restartNumberingAfterBreak="0">
    <w:nsid w:val="4E6B13C5"/>
    <w:multiLevelType w:val="hybridMultilevel"/>
    <w:tmpl w:val="627A74CE"/>
    <w:lvl w:ilvl="0" w:tplc="804EC838">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45" w15:restartNumberingAfterBreak="0">
    <w:nsid w:val="4EB25280"/>
    <w:multiLevelType w:val="hybridMultilevel"/>
    <w:tmpl w:val="943C6D82"/>
    <w:lvl w:ilvl="0" w:tplc="04150001">
      <w:start w:val="1"/>
      <w:numFmt w:val="bullet"/>
      <w:lvlText w:val=""/>
      <w:lvlJc w:val="left"/>
      <w:pPr>
        <w:ind w:left="720" w:hanging="360"/>
      </w:pPr>
      <w:rPr>
        <w:rFonts w:ascii="Symbol" w:hAnsi="Symbol" w:hint="default"/>
      </w:rPr>
    </w:lvl>
    <w:lvl w:ilvl="1" w:tplc="23D2B352" w:tentative="1">
      <w:start w:val="1"/>
      <w:numFmt w:val="bullet"/>
      <w:lvlText w:val="o"/>
      <w:lvlJc w:val="left"/>
      <w:pPr>
        <w:ind w:left="1440" w:hanging="360"/>
      </w:pPr>
      <w:rPr>
        <w:rFonts w:ascii="Courier New" w:hAnsi="Courier New" w:cs="Courier New" w:hint="default"/>
      </w:rPr>
    </w:lvl>
    <w:lvl w:ilvl="2" w:tplc="D576B2AC" w:tentative="1">
      <w:start w:val="1"/>
      <w:numFmt w:val="bullet"/>
      <w:lvlText w:val=""/>
      <w:lvlJc w:val="left"/>
      <w:pPr>
        <w:ind w:left="2160" w:hanging="360"/>
      </w:pPr>
      <w:rPr>
        <w:rFonts w:ascii="Wingdings" w:hAnsi="Wingdings" w:hint="default"/>
      </w:rPr>
    </w:lvl>
    <w:lvl w:ilvl="3" w:tplc="0CD005BA" w:tentative="1">
      <w:start w:val="1"/>
      <w:numFmt w:val="bullet"/>
      <w:lvlText w:val=""/>
      <w:lvlJc w:val="left"/>
      <w:pPr>
        <w:ind w:left="2880" w:hanging="360"/>
      </w:pPr>
      <w:rPr>
        <w:rFonts w:ascii="Symbol" w:hAnsi="Symbol" w:hint="default"/>
      </w:rPr>
    </w:lvl>
    <w:lvl w:ilvl="4" w:tplc="142A0926" w:tentative="1">
      <w:start w:val="1"/>
      <w:numFmt w:val="bullet"/>
      <w:lvlText w:val="o"/>
      <w:lvlJc w:val="left"/>
      <w:pPr>
        <w:ind w:left="3600" w:hanging="360"/>
      </w:pPr>
      <w:rPr>
        <w:rFonts w:ascii="Courier New" w:hAnsi="Courier New" w:cs="Courier New" w:hint="default"/>
      </w:rPr>
    </w:lvl>
    <w:lvl w:ilvl="5" w:tplc="5C4076D2" w:tentative="1">
      <w:start w:val="1"/>
      <w:numFmt w:val="bullet"/>
      <w:lvlText w:val=""/>
      <w:lvlJc w:val="left"/>
      <w:pPr>
        <w:ind w:left="4320" w:hanging="360"/>
      </w:pPr>
      <w:rPr>
        <w:rFonts w:ascii="Wingdings" w:hAnsi="Wingdings" w:hint="default"/>
      </w:rPr>
    </w:lvl>
    <w:lvl w:ilvl="6" w:tplc="C32ABE34" w:tentative="1">
      <w:start w:val="1"/>
      <w:numFmt w:val="bullet"/>
      <w:lvlText w:val=""/>
      <w:lvlJc w:val="left"/>
      <w:pPr>
        <w:ind w:left="5040" w:hanging="360"/>
      </w:pPr>
      <w:rPr>
        <w:rFonts w:ascii="Symbol" w:hAnsi="Symbol" w:hint="default"/>
      </w:rPr>
    </w:lvl>
    <w:lvl w:ilvl="7" w:tplc="832A47E4" w:tentative="1">
      <w:start w:val="1"/>
      <w:numFmt w:val="bullet"/>
      <w:lvlText w:val="o"/>
      <w:lvlJc w:val="left"/>
      <w:pPr>
        <w:ind w:left="5760" w:hanging="360"/>
      </w:pPr>
      <w:rPr>
        <w:rFonts w:ascii="Courier New" w:hAnsi="Courier New" w:cs="Courier New" w:hint="default"/>
      </w:rPr>
    </w:lvl>
    <w:lvl w:ilvl="8" w:tplc="57F61192" w:tentative="1">
      <w:start w:val="1"/>
      <w:numFmt w:val="bullet"/>
      <w:lvlText w:val=""/>
      <w:lvlJc w:val="left"/>
      <w:pPr>
        <w:ind w:left="6480" w:hanging="360"/>
      </w:pPr>
      <w:rPr>
        <w:rFonts w:ascii="Wingdings" w:hAnsi="Wingdings" w:hint="default"/>
      </w:rPr>
    </w:lvl>
  </w:abstractNum>
  <w:abstractNum w:abstractNumId="246" w15:restartNumberingAfterBreak="0">
    <w:nsid w:val="4EE726D3"/>
    <w:multiLevelType w:val="hybridMultilevel"/>
    <w:tmpl w:val="D53E4C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4F05386F"/>
    <w:multiLevelType w:val="multilevel"/>
    <w:tmpl w:val="35184560"/>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48" w15:restartNumberingAfterBreak="0">
    <w:nsid w:val="4FB231BA"/>
    <w:multiLevelType w:val="hybridMultilevel"/>
    <w:tmpl w:val="E6749628"/>
    <w:lvl w:ilvl="0" w:tplc="FFFFFFFF">
      <w:start w:val="1"/>
      <w:numFmt w:val="bullet"/>
      <w:lvlText w:val=""/>
      <w:lvlJc w:val="left"/>
      <w:pPr>
        <w:ind w:left="725" w:hanging="360"/>
      </w:pPr>
      <w:rPr>
        <w:rFonts w:ascii="Symbol" w:hAnsi="Symbol" w:hint="default"/>
      </w:r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249" w15:restartNumberingAfterBreak="0">
    <w:nsid w:val="503D7560"/>
    <w:multiLevelType w:val="multilevel"/>
    <w:tmpl w:val="52002620"/>
    <w:styleLink w:val="WWNum30"/>
    <w:lvl w:ilvl="0">
      <w:numFmt w:val="bullet"/>
      <w:lvlText w:val="•"/>
      <w:lvlJc w:val="left"/>
      <w:pPr>
        <w:ind w:left="720" w:hanging="360"/>
      </w:pPr>
      <w:rPr>
        <w:rFonts w:ascii="StarSymbol" w:hAnsi="StarSymbol"/>
      </w:rPr>
    </w:lvl>
    <w:lvl w:ilvl="1">
      <w:numFmt w:val="bullet"/>
      <w:lvlText w:val="•"/>
      <w:lvlJc w:val="left"/>
      <w:pPr>
        <w:ind w:left="1440" w:hanging="360"/>
      </w:pPr>
      <w:rPr>
        <w:rFonts w:ascii="StarSymbol" w:hAnsi="StarSymbol"/>
      </w:rPr>
    </w:lvl>
    <w:lvl w:ilvl="2">
      <w:numFmt w:val="bullet"/>
      <w:lvlText w:val="•"/>
      <w:lvlJc w:val="right"/>
      <w:pPr>
        <w:ind w:left="2160" w:hanging="180"/>
      </w:pPr>
      <w:rPr>
        <w:rFonts w:ascii="StarSymbol" w:hAnsi="StarSymbol"/>
      </w:rPr>
    </w:lvl>
    <w:lvl w:ilvl="3">
      <w:numFmt w:val="bullet"/>
      <w:lvlText w:val="•"/>
      <w:lvlJc w:val="left"/>
      <w:pPr>
        <w:ind w:left="2880" w:hanging="360"/>
      </w:pPr>
      <w:rPr>
        <w:rFonts w:ascii="StarSymbol" w:hAnsi="StarSymbol"/>
      </w:rPr>
    </w:lvl>
    <w:lvl w:ilvl="4">
      <w:numFmt w:val="bullet"/>
      <w:lvlText w:val="•"/>
      <w:lvlJc w:val="left"/>
      <w:pPr>
        <w:ind w:left="3600" w:hanging="360"/>
      </w:pPr>
      <w:rPr>
        <w:rFonts w:ascii="StarSymbol" w:hAnsi="StarSymbol"/>
      </w:rPr>
    </w:lvl>
    <w:lvl w:ilvl="5">
      <w:numFmt w:val="bullet"/>
      <w:lvlText w:val="•"/>
      <w:lvlJc w:val="right"/>
      <w:pPr>
        <w:ind w:left="4320" w:hanging="180"/>
      </w:pPr>
      <w:rPr>
        <w:rFonts w:ascii="StarSymbol" w:hAnsi="StarSymbol"/>
      </w:rPr>
    </w:lvl>
    <w:lvl w:ilvl="6">
      <w:numFmt w:val="bullet"/>
      <w:lvlText w:val="•"/>
      <w:lvlJc w:val="left"/>
      <w:pPr>
        <w:ind w:left="5040" w:hanging="360"/>
      </w:pPr>
      <w:rPr>
        <w:rFonts w:ascii="StarSymbol" w:hAnsi="StarSymbol"/>
      </w:rPr>
    </w:lvl>
    <w:lvl w:ilvl="7">
      <w:numFmt w:val="bullet"/>
      <w:lvlText w:val="•"/>
      <w:lvlJc w:val="left"/>
      <w:pPr>
        <w:ind w:left="5760" w:hanging="360"/>
      </w:pPr>
      <w:rPr>
        <w:rFonts w:ascii="StarSymbol" w:hAnsi="StarSymbol"/>
      </w:rPr>
    </w:lvl>
    <w:lvl w:ilvl="8">
      <w:numFmt w:val="bullet"/>
      <w:lvlText w:val="•"/>
      <w:lvlJc w:val="right"/>
      <w:pPr>
        <w:ind w:left="6480" w:hanging="180"/>
      </w:pPr>
      <w:rPr>
        <w:rFonts w:ascii="StarSymbol" w:hAnsi="StarSymbol"/>
      </w:rPr>
    </w:lvl>
  </w:abstractNum>
  <w:abstractNum w:abstractNumId="250" w15:restartNumberingAfterBreak="0">
    <w:nsid w:val="504408F5"/>
    <w:multiLevelType w:val="multilevel"/>
    <w:tmpl w:val="8E90CDB8"/>
    <w:lvl w:ilvl="0">
      <w:start w:val="1"/>
      <w:numFmt w:val="bullet"/>
      <w:lvlText w:val=""/>
      <w:lvlJc w:val="left"/>
      <w:pPr>
        <w:ind w:left="735" w:hanging="360"/>
      </w:pPr>
      <w:rPr>
        <w:rFonts w:ascii="Symbol" w:hAnsi="Symbol" w:hint="default"/>
      </w:rPr>
    </w:lvl>
    <w:lvl w:ilvl="1">
      <w:start w:val="1"/>
      <w:numFmt w:val="lowerLetter"/>
      <w:lvlText w:val="%2."/>
      <w:lvlJc w:val="left"/>
      <w:pPr>
        <w:ind w:left="1455" w:hanging="360"/>
      </w:pPr>
    </w:lvl>
    <w:lvl w:ilvl="2">
      <w:start w:val="1"/>
      <w:numFmt w:val="lowerRoman"/>
      <w:lvlText w:val="%3."/>
      <w:lvlJc w:val="right"/>
      <w:pPr>
        <w:ind w:left="2175" w:hanging="180"/>
      </w:p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251" w15:restartNumberingAfterBreak="0">
    <w:nsid w:val="5144751E"/>
    <w:multiLevelType w:val="hybridMultilevel"/>
    <w:tmpl w:val="B76EA1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2" w15:restartNumberingAfterBreak="0">
    <w:nsid w:val="51794BE4"/>
    <w:multiLevelType w:val="hybridMultilevel"/>
    <w:tmpl w:val="583AFC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3" w15:restartNumberingAfterBreak="0">
    <w:nsid w:val="51BD0F22"/>
    <w:multiLevelType w:val="hybridMultilevel"/>
    <w:tmpl w:val="95B233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4" w15:restartNumberingAfterBreak="0">
    <w:nsid w:val="526521E2"/>
    <w:multiLevelType w:val="hybridMultilevel"/>
    <w:tmpl w:val="3FE256DE"/>
    <w:lvl w:ilvl="0" w:tplc="F228827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5" w15:restartNumberingAfterBreak="0">
    <w:nsid w:val="533D1C66"/>
    <w:multiLevelType w:val="multilevel"/>
    <w:tmpl w:val="90D6CC7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256" w15:restartNumberingAfterBreak="0">
    <w:nsid w:val="53C8691E"/>
    <w:multiLevelType w:val="multilevel"/>
    <w:tmpl w:val="2ED27A42"/>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7" w15:restartNumberingAfterBreak="0">
    <w:nsid w:val="53E65B5F"/>
    <w:multiLevelType w:val="hybridMultilevel"/>
    <w:tmpl w:val="2F448F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8" w15:restartNumberingAfterBreak="0">
    <w:nsid w:val="53FF3408"/>
    <w:multiLevelType w:val="hybridMultilevel"/>
    <w:tmpl w:val="AA34F984"/>
    <w:lvl w:ilvl="0" w:tplc="04150001">
      <w:start w:val="1"/>
      <w:numFmt w:val="bullet"/>
      <w:lvlText w:val=""/>
      <w:lvlJc w:val="left"/>
      <w:pPr>
        <w:ind w:left="1080" w:hanging="360"/>
      </w:pPr>
      <w:rPr>
        <w:rFonts w:ascii="Symbol" w:hAnsi="Symbo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9" w15:restartNumberingAfterBreak="0">
    <w:nsid w:val="540460C6"/>
    <w:multiLevelType w:val="hybridMultilevel"/>
    <w:tmpl w:val="C2C46B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0" w15:restartNumberingAfterBreak="0">
    <w:nsid w:val="54580096"/>
    <w:multiLevelType w:val="hybridMultilevel"/>
    <w:tmpl w:val="3F84FD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1" w15:restartNumberingAfterBreak="0">
    <w:nsid w:val="54C60959"/>
    <w:multiLevelType w:val="hybridMultilevel"/>
    <w:tmpl w:val="A5900F56"/>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2" w15:restartNumberingAfterBreak="0">
    <w:nsid w:val="55352BCE"/>
    <w:multiLevelType w:val="multilevel"/>
    <w:tmpl w:val="15B28F0A"/>
    <w:lvl w:ilvl="0">
      <w:start w:val="1"/>
      <w:numFmt w:val="decimal"/>
      <w:lvlText w:val="%1."/>
      <w:lvlJc w:val="left"/>
      <w:pPr>
        <w:ind w:left="360" w:hanging="360"/>
      </w:pPr>
      <w:rPr>
        <w:b/>
        <w:color w:val="2F5496" w:themeColor="accent5" w:themeShade="BF"/>
      </w:rPr>
    </w:lvl>
    <w:lvl w:ilvl="1">
      <w:start w:val="8"/>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63" w15:restartNumberingAfterBreak="0">
    <w:nsid w:val="559744EA"/>
    <w:multiLevelType w:val="hybridMultilevel"/>
    <w:tmpl w:val="05807B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55B0775A"/>
    <w:multiLevelType w:val="hybridMultilevel"/>
    <w:tmpl w:val="1D246C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560D7129"/>
    <w:multiLevelType w:val="hybridMultilevel"/>
    <w:tmpl w:val="0EDC68E0"/>
    <w:lvl w:ilvl="0" w:tplc="04150001">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266" w15:restartNumberingAfterBreak="0">
    <w:nsid w:val="56C923E8"/>
    <w:multiLevelType w:val="hybridMultilevel"/>
    <w:tmpl w:val="83607FF8"/>
    <w:lvl w:ilvl="0" w:tplc="F228827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7" w15:restartNumberingAfterBreak="0">
    <w:nsid w:val="56D7490F"/>
    <w:multiLevelType w:val="hybridMultilevel"/>
    <w:tmpl w:val="20C6C0E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8" w15:restartNumberingAfterBreak="0">
    <w:nsid w:val="57BB7471"/>
    <w:multiLevelType w:val="hybridMultilevel"/>
    <w:tmpl w:val="D6040EFE"/>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9" w15:restartNumberingAfterBreak="0">
    <w:nsid w:val="57BD3A7C"/>
    <w:multiLevelType w:val="multilevel"/>
    <w:tmpl w:val="B3484DEE"/>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70" w15:restartNumberingAfterBreak="0">
    <w:nsid w:val="57EE0F9A"/>
    <w:multiLevelType w:val="hybridMultilevel"/>
    <w:tmpl w:val="645C7A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5806241C"/>
    <w:multiLevelType w:val="hybridMultilevel"/>
    <w:tmpl w:val="F4C024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58517075"/>
    <w:multiLevelType w:val="hybridMultilevel"/>
    <w:tmpl w:val="FCD042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59124927"/>
    <w:multiLevelType w:val="hybridMultilevel"/>
    <w:tmpl w:val="2BE686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4" w15:restartNumberingAfterBreak="0">
    <w:nsid w:val="59777975"/>
    <w:multiLevelType w:val="hybridMultilevel"/>
    <w:tmpl w:val="A59AA45C"/>
    <w:lvl w:ilvl="0" w:tplc="04150001">
      <w:start w:val="1"/>
      <w:numFmt w:val="bullet"/>
      <w:lvlText w:val=""/>
      <w:lvlJc w:val="left"/>
      <w:pPr>
        <w:ind w:left="644" w:hanging="360"/>
      </w:pPr>
      <w:rPr>
        <w:rFonts w:ascii="Symbol" w:hAnsi="Symbol"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75" w15:restartNumberingAfterBreak="0">
    <w:nsid w:val="598209C1"/>
    <w:multiLevelType w:val="multilevel"/>
    <w:tmpl w:val="3976EB80"/>
    <w:lvl w:ilvl="0">
      <w:numFmt w:val="bullet"/>
      <w:lvlText w:val="•"/>
      <w:lvlJc w:val="left"/>
      <w:pPr>
        <w:ind w:left="720" w:hanging="360"/>
      </w:pPr>
      <w:rPr>
        <w:rFonts w:ascii="StarSymbol" w:hAnsi="StarSymbol"/>
      </w:rPr>
    </w:lvl>
    <w:lvl w:ilvl="1">
      <w:start w:val="1"/>
      <w:numFmt w:val="bullet"/>
      <w:lvlText w:val="−"/>
      <w:lvlJc w:val="left"/>
      <w:pPr>
        <w:ind w:left="1440" w:hanging="360"/>
      </w:pPr>
      <w:rPr>
        <w:rFonts w:ascii="Times New Roman" w:hAnsi="Times New Roman" w:cs="Times New Roman" w:hint="default"/>
      </w:rPr>
    </w:lvl>
    <w:lvl w:ilvl="2">
      <w:numFmt w:val="bullet"/>
      <w:lvlText w:val="•"/>
      <w:lvlJc w:val="right"/>
      <w:pPr>
        <w:ind w:left="2160" w:hanging="180"/>
      </w:pPr>
      <w:rPr>
        <w:rFonts w:ascii="StarSymbol" w:hAnsi="StarSymbol"/>
      </w:rPr>
    </w:lvl>
    <w:lvl w:ilvl="3">
      <w:numFmt w:val="bullet"/>
      <w:lvlText w:val="•"/>
      <w:lvlJc w:val="left"/>
      <w:pPr>
        <w:ind w:left="2880" w:hanging="360"/>
      </w:pPr>
      <w:rPr>
        <w:rFonts w:ascii="StarSymbol" w:hAnsi="StarSymbol"/>
      </w:rPr>
    </w:lvl>
    <w:lvl w:ilvl="4">
      <w:numFmt w:val="bullet"/>
      <w:lvlText w:val="•"/>
      <w:lvlJc w:val="left"/>
      <w:pPr>
        <w:ind w:left="3600" w:hanging="360"/>
      </w:pPr>
      <w:rPr>
        <w:rFonts w:ascii="StarSymbol" w:hAnsi="StarSymbol"/>
      </w:rPr>
    </w:lvl>
    <w:lvl w:ilvl="5">
      <w:numFmt w:val="bullet"/>
      <w:lvlText w:val="•"/>
      <w:lvlJc w:val="right"/>
      <w:pPr>
        <w:ind w:left="4320" w:hanging="180"/>
      </w:pPr>
      <w:rPr>
        <w:rFonts w:ascii="StarSymbol" w:hAnsi="StarSymbol"/>
      </w:rPr>
    </w:lvl>
    <w:lvl w:ilvl="6">
      <w:numFmt w:val="bullet"/>
      <w:lvlText w:val="•"/>
      <w:lvlJc w:val="left"/>
      <w:pPr>
        <w:ind w:left="5040" w:hanging="360"/>
      </w:pPr>
      <w:rPr>
        <w:rFonts w:ascii="StarSymbol" w:hAnsi="StarSymbol"/>
      </w:rPr>
    </w:lvl>
    <w:lvl w:ilvl="7">
      <w:numFmt w:val="bullet"/>
      <w:lvlText w:val="•"/>
      <w:lvlJc w:val="left"/>
      <w:pPr>
        <w:ind w:left="5760" w:hanging="360"/>
      </w:pPr>
      <w:rPr>
        <w:rFonts w:ascii="StarSymbol" w:hAnsi="StarSymbol"/>
      </w:rPr>
    </w:lvl>
    <w:lvl w:ilvl="8">
      <w:numFmt w:val="bullet"/>
      <w:lvlText w:val="•"/>
      <w:lvlJc w:val="right"/>
      <w:pPr>
        <w:ind w:left="6480" w:hanging="180"/>
      </w:pPr>
      <w:rPr>
        <w:rFonts w:ascii="StarSymbol" w:hAnsi="StarSymbol"/>
      </w:rPr>
    </w:lvl>
  </w:abstractNum>
  <w:abstractNum w:abstractNumId="276" w15:restartNumberingAfterBreak="0">
    <w:nsid w:val="59D344CA"/>
    <w:multiLevelType w:val="hybridMultilevel"/>
    <w:tmpl w:val="8906467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7" w15:restartNumberingAfterBreak="0">
    <w:nsid w:val="5A6527FA"/>
    <w:multiLevelType w:val="hybridMultilevel"/>
    <w:tmpl w:val="BD166808"/>
    <w:lvl w:ilvl="0" w:tplc="04150001">
      <w:start w:val="1"/>
      <w:numFmt w:val="bullet"/>
      <w:lvlText w:val=""/>
      <w:lvlJc w:val="left"/>
      <w:pPr>
        <w:ind w:left="720" w:hanging="360"/>
      </w:pPr>
      <w:rPr>
        <w:rFonts w:ascii="Symbol" w:hAnsi="Symbol" w:hint="default"/>
      </w:rPr>
    </w:lvl>
    <w:lvl w:ilvl="1" w:tplc="AD926AC2" w:tentative="1">
      <w:start w:val="1"/>
      <w:numFmt w:val="lowerLetter"/>
      <w:lvlText w:val="%2."/>
      <w:lvlJc w:val="left"/>
      <w:pPr>
        <w:ind w:left="1440" w:hanging="360"/>
      </w:pPr>
    </w:lvl>
    <w:lvl w:ilvl="2" w:tplc="202A399A" w:tentative="1">
      <w:start w:val="1"/>
      <w:numFmt w:val="lowerRoman"/>
      <w:lvlText w:val="%3."/>
      <w:lvlJc w:val="right"/>
      <w:pPr>
        <w:ind w:left="2160" w:hanging="180"/>
      </w:pPr>
    </w:lvl>
    <w:lvl w:ilvl="3" w:tplc="4EBCFFDE" w:tentative="1">
      <w:start w:val="1"/>
      <w:numFmt w:val="decimal"/>
      <w:lvlText w:val="%4."/>
      <w:lvlJc w:val="left"/>
      <w:pPr>
        <w:ind w:left="2880" w:hanging="360"/>
      </w:pPr>
    </w:lvl>
    <w:lvl w:ilvl="4" w:tplc="ABE2B0A6" w:tentative="1">
      <w:start w:val="1"/>
      <w:numFmt w:val="lowerLetter"/>
      <w:lvlText w:val="%5."/>
      <w:lvlJc w:val="left"/>
      <w:pPr>
        <w:ind w:left="3600" w:hanging="360"/>
      </w:pPr>
    </w:lvl>
    <w:lvl w:ilvl="5" w:tplc="7A1E501C" w:tentative="1">
      <w:start w:val="1"/>
      <w:numFmt w:val="lowerRoman"/>
      <w:lvlText w:val="%6."/>
      <w:lvlJc w:val="right"/>
      <w:pPr>
        <w:ind w:left="4320" w:hanging="180"/>
      </w:pPr>
    </w:lvl>
    <w:lvl w:ilvl="6" w:tplc="CEB0F67A" w:tentative="1">
      <w:start w:val="1"/>
      <w:numFmt w:val="decimal"/>
      <w:lvlText w:val="%7."/>
      <w:lvlJc w:val="left"/>
      <w:pPr>
        <w:ind w:left="5040" w:hanging="360"/>
      </w:pPr>
    </w:lvl>
    <w:lvl w:ilvl="7" w:tplc="6D5E08F0" w:tentative="1">
      <w:start w:val="1"/>
      <w:numFmt w:val="lowerLetter"/>
      <w:lvlText w:val="%8."/>
      <w:lvlJc w:val="left"/>
      <w:pPr>
        <w:ind w:left="5760" w:hanging="360"/>
      </w:pPr>
    </w:lvl>
    <w:lvl w:ilvl="8" w:tplc="52329CA6" w:tentative="1">
      <w:start w:val="1"/>
      <w:numFmt w:val="lowerRoman"/>
      <w:lvlText w:val="%9."/>
      <w:lvlJc w:val="right"/>
      <w:pPr>
        <w:ind w:left="6480" w:hanging="180"/>
      </w:pPr>
    </w:lvl>
  </w:abstractNum>
  <w:abstractNum w:abstractNumId="278" w15:restartNumberingAfterBreak="0">
    <w:nsid w:val="5AB355CA"/>
    <w:multiLevelType w:val="hybridMultilevel"/>
    <w:tmpl w:val="D2548AD0"/>
    <w:lvl w:ilvl="0" w:tplc="04150001">
      <w:start w:val="1"/>
      <w:numFmt w:val="bullet"/>
      <w:lvlText w:val=""/>
      <w:lvlJc w:val="left"/>
      <w:pPr>
        <w:ind w:left="725" w:hanging="360"/>
      </w:pPr>
      <w:rPr>
        <w:rFonts w:ascii="Symbol" w:hAnsi="Symbol"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279" w15:restartNumberingAfterBreak="0">
    <w:nsid w:val="5AB6501D"/>
    <w:multiLevelType w:val="hybridMultilevel"/>
    <w:tmpl w:val="FAB6C4C6"/>
    <w:lvl w:ilvl="0" w:tplc="5B72B66A">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0" w15:restartNumberingAfterBreak="0">
    <w:nsid w:val="5B300D9D"/>
    <w:multiLevelType w:val="hybridMultilevel"/>
    <w:tmpl w:val="85FA60FA"/>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5B342A93"/>
    <w:multiLevelType w:val="hybridMultilevel"/>
    <w:tmpl w:val="EF8080C8"/>
    <w:lvl w:ilvl="0" w:tplc="FFFFFFFF">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82" w15:restartNumberingAfterBreak="0">
    <w:nsid w:val="5B6D2822"/>
    <w:multiLevelType w:val="hybridMultilevel"/>
    <w:tmpl w:val="AAB67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3" w15:restartNumberingAfterBreak="0">
    <w:nsid w:val="5BAA5D22"/>
    <w:multiLevelType w:val="hybridMultilevel"/>
    <w:tmpl w:val="5A12EC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5BC9653D"/>
    <w:multiLevelType w:val="hybridMultilevel"/>
    <w:tmpl w:val="4C0AAB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5" w15:restartNumberingAfterBreak="0">
    <w:nsid w:val="5BFE5C96"/>
    <w:multiLevelType w:val="multilevel"/>
    <w:tmpl w:val="5C8CEB3C"/>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86" w15:restartNumberingAfterBreak="0">
    <w:nsid w:val="5CA161BB"/>
    <w:multiLevelType w:val="hybridMultilevel"/>
    <w:tmpl w:val="FBE074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7" w15:restartNumberingAfterBreak="0">
    <w:nsid w:val="5D071B25"/>
    <w:multiLevelType w:val="hybridMultilevel"/>
    <w:tmpl w:val="0DB4F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8" w15:restartNumberingAfterBreak="0">
    <w:nsid w:val="5D1711F7"/>
    <w:multiLevelType w:val="hybridMultilevel"/>
    <w:tmpl w:val="EB468D96"/>
    <w:lvl w:ilvl="0" w:tplc="F2288278">
      <w:start w:val="1"/>
      <w:numFmt w:val="bullet"/>
      <w:lvlText w:val=""/>
      <w:lvlJc w:val="left"/>
      <w:pPr>
        <w:ind w:left="1068" w:hanging="360"/>
      </w:pPr>
      <w:rPr>
        <w:rFonts w:ascii="Symbol" w:hAnsi="Symbol"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9" w15:restartNumberingAfterBreak="0">
    <w:nsid w:val="5D5D70B3"/>
    <w:multiLevelType w:val="hybridMultilevel"/>
    <w:tmpl w:val="94260C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5DE90E10"/>
    <w:multiLevelType w:val="hybridMultilevel"/>
    <w:tmpl w:val="77044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1" w15:restartNumberingAfterBreak="0">
    <w:nsid w:val="5EF823BB"/>
    <w:multiLevelType w:val="hybridMultilevel"/>
    <w:tmpl w:val="FF5877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2" w15:restartNumberingAfterBreak="0">
    <w:nsid w:val="5F2C72BC"/>
    <w:multiLevelType w:val="hybridMultilevel"/>
    <w:tmpl w:val="A0FC6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3" w15:restartNumberingAfterBreak="0">
    <w:nsid w:val="5F4B794A"/>
    <w:multiLevelType w:val="hybridMultilevel"/>
    <w:tmpl w:val="B5F8A3E8"/>
    <w:lvl w:ilvl="0" w:tplc="04150001">
      <w:start w:val="1"/>
      <w:numFmt w:val="bullet"/>
      <w:lvlText w:val=""/>
      <w:lvlJc w:val="left"/>
      <w:pPr>
        <w:ind w:left="1429" w:hanging="360"/>
      </w:pPr>
      <w:rPr>
        <w:rFonts w:ascii="Symbol" w:hAnsi="Symbol" w:hint="default"/>
      </w:rPr>
    </w:lvl>
    <w:lvl w:ilvl="1" w:tplc="805488AE" w:tentative="1">
      <w:start w:val="1"/>
      <w:numFmt w:val="bullet"/>
      <w:lvlText w:val="o"/>
      <w:lvlJc w:val="left"/>
      <w:pPr>
        <w:ind w:left="2149" w:hanging="360"/>
      </w:pPr>
      <w:rPr>
        <w:rFonts w:ascii="Courier New" w:hAnsi="Courier New" w:cs="Courier New" w:hint="default"/>
      </w:rPr>
    </w:lvl>
    <w:lvl w:ilvl="2" w:tplc="F4286AF0" w:tentative="1">
      <w:start w:val="1"/>
      <w:numFmt w:val="bullet"/>
      <w:lvlText w:val=""/>
      <w:lvlJc w:val="left"/>
      <w:pPr>
        <w:ind w:left="2869" w:hanging="360"/>
      </w:pPr>
      <w:rPr>
        <w:rFonts w:ascii="Wingdings" w:hAnsi="Wingdings" w:hint="default"/>
      </w:rPr>
    </w:lvl>
    <w:lvl w:ilvl="3" w:tplc="DBD61BA2" w:tentative="1">
      <w:start w:val="1"/>
      <w:numFmt w:val="bullet"/>
      <w:lvlText w:val=""/>
      <w:lvlJc w:val="left"/>
      <w:pPr>
        <w:ind w:left="3589" w:hanging="360"/>
      </w:pPr>
      <w:rPr>
        <w:rFonts w:ascii="Symbol" w:hAnsi="Symbol" w:hint="default"/>
      </w:rPr>
    </w:lvl>
    <w:lvl w:ilvl="4" w:tplc="9412E46E" w:tentative="1">
      <w:start w:val="1"/>
      <w:numFmt w:val="bullet"/>
      <w:lvlText w:val="o"/>
      <w:lvlJc w:val="left"/>
      <w:pPr>
        <w:ind w:left="4309" w:hanging="360"/>
      </w:pPr>
      <w:rPr>
        <w:rFonts w:ascii="Courier New" w:hAnsi="Courier New" w:cs="Courier New" w:hint="default"/>
      </w:rPr>
    </w:lvl>
    <w:lvl w:ilvl="5" w:tplc="08180204" w:tentative="1">
      <w:start w:val="1"/>
      <w:numFmt w:val="bullet"/>
      <w:lvlText w:val=""/>
      <w:lvlJc w:val="left"/>
      <w:pPr>
        <w:ind w:left="5029" w:hanging="360"/>
      </w:pPr>
      <w:rPr>
        <w:rFonts w:ascii="Wingdings" w:hAnsi="Wingdings" w:hint="default"/>
      </w:rPr>
    </w:lvl>
    <w:lvl w:ilvl="6" w:tplc="99525282" w:tentative="1">
      <w:start w:val="1"/>
      <w:numFmt w:val="bullet"/>
      <w:lvlText w:val=""/>
      <w:lvlJc w:val="left"/>
      <w:pPr>
        <w:ind w:left="5749" w:hanging="360"/>
      </w:pPr>
      <w:rPr>
        <w:rFonts w:ascii="Symbol" w:hAnsi="Symbol" w:hint="default"/>
      </w:rPr>
    </w:lvl>
    <w:lvl w:ilvl="7" w:tplc="CB5AB952" w:tentative="1">
      <w:start w:val="1"/>
      <w:numFmt w:val="bullet"/>
      <w:lvlText w:val="o"/>
      <w:lvlJc w:val="left"/>
      <w:pPr>
        <w:ind w:left="6469" w:hanging="360"/>
      </w:pPr>
      <w:rPr>
        <w:rFonts w:ascii="Courier New" w:hAnsi="Courier New" w:cs="Courier New" w:hint="default"/>
      </w:rPr>
    </w:lvl>
    <w:lvl w:ilvl="8" w:tplc="0BE0DD06" w:tentative="1">
      <w:start w:val="1"/>
      <w:numFmt w:val="bullet"/>
      <w:lvlText w:val=""/>
      <w:lvlJc w:val="left"/>
      <w:pPr>
        <w:ind w:left="7189" w:hanging="360"/>
      </w:pPr>
      <w:rPr>
        <w:rFonts w:ascii="Wingdings" w:hAnsi="Wingdings" w:hint="default"/>
      </w:rPr>
    </w:lvl>
  </w:abstractNum>
  <w:abstractNum w:abstractNumId="294" w15:restartNumberingAfterBreak="0">
    <w:nsid w:val="5FB57236"/>
    <w:multiLevelType w:val="hybridMultilevel"/>
    <w:tmpl w:val="99AE1744"/>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295" w15:restartNumberingAfterBreak="0">
    <w:nsid w:val="5FF916D5"/>
    <w:multiLevelType w:val="hybridMultilevel"/>
    <w:tmpl w:val="63C87E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6" w15:restartNumberingAfterBreak="0">
    <w:nsid w:val="603D5AD8"/>
    <w:multiLevelType w:val="hybridMultilevel"/>
    <w:tmpl w:val="BC5A4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605A3783"/>
    <w:multiLevelType w:val="hybridMultilevel"/>
    <w:tmpl w:val="A01CCAC4"/>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298" w15:restartNumberingAfterBreak="0">
    <w:nsid w:val="60AA1B31"/>
    <w:multiLevelType w:val="hybridMultilevel"/>
    <w:tmpl w:val="CA107C7E"/>
    <w:lvl w:ilvl="0" w:tplc="FFFFFFFF">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99" w15:restartNumberingAfterBreak="0">
    <w:nsid w:val="60D75F0F"/>
    <w:multiLevelType w:val="multilevel"/>
    <w:tmpl w:val="3C7246A8"/>
    <w:lvl w:ilvl="0">
      <w:start w:val="1"/>
      <w:numFmt w:val="bullet"/>
      <w:lvlText w:val=""/>
      <w:lvlJc w:val="left"/>
      <w:pPr>
        <w:tabs>
          <w:tab w:val="num" w:pos="937"/>
        </w:tabs>
        <w:ind w:left="937" w:hanging="360"/>
      </w:pPr>
      <w:rPr>
        <w:rFonts w:ascii="Symbol" w:hAnsi="Symbol" w:hint="default"/>
        <w:sz w:val="20"/>
      </w:rPr>
    </w:lvl>
    <w:lvl w:ilvl="1" w:tentative="1">
      <w:start w:val="1"/>
      <w:numFmt w:val="bullet"/>
      <w:lvlText w:val="o"/>
      <w:lvlJc w:val="left"/>
      <w:pPr>
        <w:tabs>
          <w:tab w:val="num" w:pos="1657"/>
        </w:tabs>
        <w:ind w:left="1657" w:hanging="360"/>
      </w:pPr>
      <w:rPr>
        <w:rFonts w:ascii="Courier New" w:hAnsi="Courier New" w:hint="default"/>
        <w:sz w:val="20"/>
      </w:rPr>
    </w:lvl>
    <w:lvl w:ilvl="2" w:tentative="1">
      <w:start w:val="1"/>
      <w:numFmt w:val="bullet"/>
      <w:lvlText w:val=""/>
      <w:lvlJc w:val="left"/>
      <w:pPr>
        <w:tabs>
          <w:tab w:val="num" w:pos="2377"/>
        </w:tabs>
        <w:ind w:left="2377" w:hanging="360"/>
      </w:pPr>
      <w:rPr>
        <w:rFonts w:ascii="Wingdings" w:hAnsi="Wingdings" w:hint="default"/>
        <w:sz w:val="20"/>
      </w:rPr>
    </w:lvl>
    <w:lvl w:ilvl="3" w:tentative="1">
      <w:start w:val="1"/>
      <w:numFmt w:val="bullet"/>
      <w:lvlText w:val=""/>
      <w:lvlJc w:val="left"/>
      <w:pPr>
        <w:tabs>
          <w:tab w:val="num" w:pos="3097"/>
        </w:tabs>
        <w:ind w:left="3097" w:hanging="360"/>
      </w:pPr>
      <w:rPr>
        <w:rFonts w:ascii="Wingdings" w:hAnsi="Wingdings" w:hint="default"/>
        <w:sz w:val="20"/>
      </w:rPr>
    </w:lvl>
    <w:lvl w:ilvl="4" w:tentative="1">
      <w:start w:val="1"/>
      <w:numFmt w:val="bullet"/>
      <w:lvlText w:val=""/>
      <w:lvlJc w:val="left"/>
      <w:pPr>
        <w:tabs>
          <w:tab w:val="num" w:pos="3817"/>
        </w:tabs>
        <w:ind w:left="3817" w:hanging="360"/>
      </w:pPr>
      <w:rPr>
        <w:rFonts w:ascii="Wingdings" w:hAnsi="Wingdings" w:hint="default"/>
        <w:sz w:val="20"/>
      </w:rPr>
    </w:lvl>
    <w:lvl w:ilvl="5" w:tentative="1">
      <w:start w:val="1"/>
      <w:numFmt w:val="bullet"/>
      <w:lvlText w:val=""/>
      <w:lvlJc w:val="left"/>
      <w:pPr>
        <w:tabs>
          <w:tab w:val="num" w:pos="4537"/>
        </w:tabs>
        <w:ind w:left="4537" w:hanging="360"/>
      </w:pPr>
      <w:rPr>
        <w:rFonts w:ascii="Wingdings" w:hAnsi="Wingdings" w:hint="default"/>
        <w:sz w:val="20"/>
      </w:rPr>
    </w:lvl>
    <w:lvl w:ilvl="6" w:tentative="1">
      <w:start w:val="1"/>
      <w:numFmt w:val="bullet"/>
      <w:lvlText w:val=""/>
      <w:lvlJc w:val="left"/>
      <w:pPr>
        <w:tabs>
          <w:tab w:val="num" w:pos="5257"/>
        </w:tabs>
        <w:ind w:left="5257" w:hanging="360"/>
      </w:pPr>
      <w:rPr>
        <w:rFonts w:ascii="Wingdings" w:hAnsi="Wingdings" w:hint="default"/>
        <w:sz w:val="20"/>
      </w:rPr>
    </w:lvl>
    <w:lvl w:ilvl="7" w:tentative="1">
      <w:start w:val="1"/>
      <w:numFmt w:val="bullet"/>
      <w:lvlText w:val=""/>
      <w:lvlJc w:val="left"/>
      <w:pPr>
        <w:tabs>
          <w:tab w:val="num" w:pos="5977"/>
        </w:tabs>
        <w:ind w:left="5977" w:hanging="360"/>
      </w:pPr>
      <w:rPr>
        <w:rFonts w:ascii="Wingdings" w:hAnsi="Wingdings" w:hint="default"/>
        <w:sz w:val="20"/>
      </w:rPr>
    </w:lvl>
    <w:lvl w:ilvl="8" w:tentative="1">
      <w:start w:val="1"/>
      <w:numFmt w:val="bullet"/>
      <w:lvlText w:val=""/>
      <w:lvlJc w:val="left"/>
      <w:pPr>
        <w:tabs>
          <w:tab w:val="num" w:pos="6697"/>
        </w:tabs>
        <w:ind w:left="6697" w:hanging="360"/>
      </w:pPr>
      <w:rPr>
        <w:rFonts w:ascii="Wingdings" w:hAnsi="Wingdings" w:hint="default"/>
        <w:sz w:val="20"/>
      </w:rPr>
    </w:lvl>
  </w:abstractNum>
  <w:abstractNum w:abstractNumId="300" w15:restartNumberingAfterBreak="0">
    <w:nsid w:val="61B40D9A"/>
    <w:multiLevelType w:val="hybridMultilevel"/>
    <w:tmpl w:val="164CA92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1" w15:restartNumberingAfterBreak="0">
    <w:nsid w:val="62727790"/>
    <w:multiLevelType w:val="multilevel"/>
    <w:tmpl w:val="F5EE4A9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2" w15:restartNumberingAfterBreak="0">
    <w:nsid w:val="62B619BC"/>
    <w:multiLevelType w:val="hybridMultilevel"/>
    <w:tmpl w:val="CF0208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3" w15:restartNumberingAfterBreak="0">
    <w:nsid w:val="62D12BFD"/>
    <w:multiLevelType w:val="hybridMultilevel"/>
    <w:tmpl w:val="AE3011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4" w15:restartNumberingAfterBreak="0">
    <w:nsid w:val="62F5138E"/>
    <w:multiLevelType w:val="hybridMultilevel"/>
    <w:tmpl w:val="D3B200B0"/>
    <w:lvl w:ilvl="0" w:tplc="04150001">
      <w:start w:val="1"/>
      <w:numFmt w:val="bullet"/>
      <w:lvlText w:val=""/>
      <w:lvlJc w:val="left"/>
      <w:pPr>
        <w:ind w:left="720" w:hanging="360"/>
      </w:pPr>
      <w:rPr>
        <w:rFonts w:ascii="Symbol" w:hAnsi="Symbol" w:hint="default"/>
      </w:rPr>
    </w:lvl>
    <w:lvl w:ilvl="1" w:tplc="B978AC84">
      <w:start w:val="1"/>
      <w:numFmt w:val="decimal"/>
      <w:lvlText w:val="%2)"/>
      <w:lvlJc w:val="left"/>
      <w:pPr>
        <w:ind w:left="1500" w:hanging="420"/>
      </w:pPr>
      <w:rPr>
        <w:rFonts w:hint="default"/>
      </w:rPr>
    </w:lvl>
    <w:lvl w:ilvl="2" w:tplc="CE3206D6">
      <w:start w:val="1"/>
      <w:numFmt w:val="decimal"/>
      <w:lvlText w:val="%3."/>
      <w:lvlJc w:val="left"/>
      <w:pPr>
        <w:ind w:left="2400" w:hanging="420"/>
      </w:pPr>
      <w:rPr>
        <w:rFonts w:hint="default"/>
        <w:b/>
      </w:rPr>
    </w:lvl>
    <w:lvl w:ilvl="3" w:tplc="C3F2D2A4" w:tentative="1">
      <w:start w:val="1"/>
      <w:numFmt w:val="decimal"/>
      <w:lvlText w:val="%4."/>
      <w:lvlJc w:val="left"/>
      <w:pPr>
        <w:ind w:left="2880" w:hanging="360"/>
      </w:pPr>
    </w:lvl>
    <w:lvl w:ilvl="4" w:tplc="55DEB4B4" w:tentative="1">
      <w:start w:val="1"/>
      <w:numFmt w:val="lowerLetter"/>
      <w:lvlText w:val="%5."/>
      <w:lvlJc w:val="left"/>
      <w:pPr>
        <w:ind w:left="3600" w:hanging="360"/>
      </w:pPr>
    </w:lvl>
    <w:lvl w:ilvl="5" w:tplc="FB64DBA0" w:tentative="1">
      <w:start w:val="1"/>
      <w:numFmt w:val="lowerRoman"/>
      <w:lvlText w:val="%6."/>
      <w:lvlJc w:val="right"/>
      <w:pPr>
        <w:ind w:left="4320" w:hanging="180"/>
      </w:pPr>
    </w:lvl>
    <w:lvl w:ilvl="6" w:tplc="0A329A12" w:tentative="1">
      <w:start w:val="1"/>
      <w:numFmt w:val="decimal"/>
      <w:lvlText w:val="%7."/>
      <w:lvlJc w:val="left"/>
      <w:pPr>
        <w:ind w:left="5040" w:hanging="360"/>
      </w:pPr>
    </w:lvl>
    <w:lvl w:ilvl="7" w:tplc="35AECF78" w:tentative="1">
      <w:start w:val="1"/>
      <w:numFmt w:val="lowerLetter"/>
      <w:lvlText w:val="%8."/>
      <w:lvlJc w:val="left"/>
      <w:pPr>
        <w:ind w:left="5760" w:hanging="360"/>
      </w:pPr>
    </w:lvl>
    <w:lvl w:ilvl="8" w:tplc="AA66B6DA" w:tentative="1">
      <w:start w:val="1"/>
      <w:numFmt w:val="lowerRoman"/>
      <w:lvlText w:val="%9."/>
      <w:lvlJc w:val="right"/>
      <w:pPr>
        <w:ind w:left="6480" w:hanging="180"/>
      </w:pPr>
    </w:lvl>
  </w:abstractNum>
  <w:abstractNum w:abstractNumId="305" w15:restartNumberingAfterBreak="0">
    <w:nsid w:val="632C572B"/>
    <w:multiLevelType w:val="hybridMultilevel"/>
    <w:tmpl w:val="AB5ED61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6" w15:restartNumberingAfterBreak="0">
    <w:nsid w:val="63E80217"/>
    <w:multiLevelType w:val="hybridMultilevel"/>
    <w:tmpl w:val="C7687F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64B36D0F"/>
    <w:multiLevelType w:val="hybridMultilevel"/>
    <w:tmpl w:val="4DC27EEE"/>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8" w15:restartNumberingAfterBreak="0">
    <w:nsid w:val="64DC155A"/>
    <w:multiLevelType w:val="hybridMultilevel"/>
    <w:tmpl w:val="C1046F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651B0107"/>
    <w:multiLevelType w:val="hybridMultilevel"/>
    <w:tmpl w:val="45C2B8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0" w15:restartNumberingAfterBreak="0">
    <w:nsid w:val="654D011A"/>
    <w:multiLevelType w:val="hybridMultilevel"/>
    <w:tmpl w:val="D38C60D2"/>
    <w:lvl w:ilvl="0" w:tplc="FFFFFFFF">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1" w15:restartNumberingAfterBreak="0">
    <w:nsid w:val="658A3016"/>
    <w:multiLevelType w:val="hybridMultilevel"/>
    <w:tmpl w:val="FF5041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669A5E5D"/>
    <w:multiLevelType w:val="hybridMultilevel"/>
    <w:tmpl w:val="E3EC7C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3" w15:restartNumberingAfterBreak="0">
    <w:nsid w:val="669C4437"/>
    <w:multiLevelType w:val="hybridMultilevel"/>
    <w:tmpl w:val="5D8420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6713183C"/>
    <w:multiLevelType w:val="hybridMultilevel"/>
    <w:tmpl w:val="EE166D0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15" w15:restartNumberingAfterBreak="0">
    <w:nsid w:val="67904893"/>
    <w:multiLevelType w:val="hybridMultilevel"/>
    <w:tmpl w:val="F1DC111C"/>
    <w:lvl w:ilvl="0" w:tplc="FFFFFFFF">
      <w:start w:val="1"/>
      <w:numFmt w:val="bullet"/>
      <w:lvlText w:val=""/>
      <w:lvlJc w:val="left"/>
      <w:pPr>
        <w:ind w:left="1854" w:hanging="360"/>
      </w:pPr>
      <w:rPr>
        <w:rFonts w:ascii="Symbol" w:hAnsi="Symbol"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316" w15:restartNumberingAfterBreak="0">
    <w:nsid w:val="68B23516"/>
    <w:multiLevelType w:val="hybridMultilevel"/>
    <w:tmpl w:val="7E586D48"/>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7" w15:restartNumberingAfterBreak="0">
    <w:nsid w:val="6903671A"/>
    <w:multiLevelType w:val="hybridMultilevel"/>
    <w:tmpl w:val="2F66B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8" w15:restartNumberingAfterBreak="0">
    <w:nsid w:val="693B58C7"/>
    <w:multiLevelType w:val="hybridMultilevel"/>
    <w:tmpl w:val="084EDEEE"/>
    <w:lvl w:ilvl="0" w:tplc="FFFFFFF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69D02D0D"/>
    <w:multiLevelType w:val="hybridMultilevel"/>
    <w:tmpl w:val="312814B4"/>
    <w:lvl w:ilvl="0" w:tplc="04150001">
      <w:start w:val="1"/>
      <w:numFmt w:val="bullet"/>
      <w:lvlText w:val=""/>
      <w:lvlJc w:val="left"/>
      <w:pPr>
        <w:ind w:left="726" w:hanging="360"/>
      </w:pPr>
      <w:rPr>
        <w:rFonts w:ascii="Symbol" w:hAnsi="Symbol" w:hint="default"/>
      </w:rPr>
    </w:lvl>
    <w:lvl w:ilvl="1" w:tplc="04150003" w:tentative="1">
      <w:start w:val="1"/>
      <w:numFmt w:val="bullet"/>
      <w:lvlText w:val="o"/>
      <w:lvlJc w:val="left"/>
      <w:pPr>
        <w:ind w:left="1446" w:hanging="360"/>
      </w:pPr>
      <w:rPr>
        <w:rFonts w:ascii="Courier New" w:hAnsi="Courier New" w:cs="Courier New" w:hint="default"/>
      </w:rPr>
    </w:lvl>
    <w:lvl w:ilvl="2" w:tplc="04150005" w:tentative="1">
      <w:start w:val="1"/>
      <w:numFmt w:val="bullet"/>
      <w:lvlText w:val=""/>
      <w:lvlJc w:val="left"/>
      <w:pPr>
        <w:ind w:left="2166" w:hanging="360"/>
      </w:pPr>
      <w:rPr>
        <w:rFonts w:ascii="Wingdings" w:hAnsi="Wingdings" w:hint="default"/>
      </w:rPr>
    </w:lvl>
    <w:lvl w:ilvl="3" w:tplc="04150001" w:tentative="1">
      <w:start w:val="1"/>
      <w:numFmt w:val="bullet"/>
      <w:lvlText w:val=""/>
      <w:lvlJc w:val="left"/>
      <w:pPr>
        <w:ind w:left="2886" w:hanging="360"/>
      </w:pPr>
      <w:rPr>
        <w:rFonts w:ascii="Symbol" w:hAnsi="Symbol" w:hint="default"/>
      </w:rPr>
    </w:lvl>
    <w:lvl w:ilvl="4" w:tplc="04150003" w:tentative="1">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20" w15:restartNumberingAfterBreak="0">
    <w:nsid w:val="6A5F0FA7"/>
    <w:multiLevelType w:val="hybridMultilevel"/>
    <w:tmpl w:val="6750F3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6ADC3D1B"/>
    <w:multiLevelType w:val="multilevel"/>
    <w:tmpl w:val="2C5C2F62"/>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2" w15:restartNumberingAfterBreak="0">
    <w:nsid w:val="6B0A36F3"/>
    <w:multiLevelType w:val="hybridMultilevel"/>
    <w:tmpl w:val="A76AF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3" w15:restartNumberingAfterBreak="0">
    <w:nsid w:val="6B624BFB"/>
    <w:multiLevelType w:val="hybridMultilevel"/>
    <w:tmpl w:val="4D566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6B7649C9"/>
    <w:multiLevelType w:val="hybridMultilevel"/>
    <w:tmpl w:val="BA027DB2"/>
    <w:lvl w:ilvl="0" w:tplc="04150001">
      <w:start w:val="1"/>
      <w:numFmt w:val="bullet"/>
      <w:lvlText w:val=""/>
      <w:lvlJc w:val="left"/>
      <w:pPr>
        <w:ind w:left="1866" w:hanging="360"/>
      </w:pPr>
      <w:rPr>
        <w:rFonts w:ascii="Symbol" w:hAnsi="Symbol" w:hint="default"/>
      </w:rPr>
    </w:lvl>
    <w:lvl w:ilvl="1" w:tplc="04150003" w:tentative="1">
      <w:start w:val="1"/>
      <w:numFmt w:val="bullet"/>
      <w:lvlText w:val="o"/>
      <w:lvlJc w:val="left"/>
      <w:pPr>
        <w:ind w:left="2586" w:hanging="360"/>
      </w:pPr>
      <w:rPr>
        <w:rFonts w:ascii="Courier New" w:hAnsi="Courier New" w:cs="Courier New" w:hint="default"/>
      </w:rPr>
    </w:lvl>
    <w:lvl w:ilvl="2" w:tplc="04150005" w:tentative="1">
      <w:start w:val="1"/>
      <w:numFmt w:val="bullet"/>
      <w:lvlText w:val=""/>
      <w:lvlJc w:val="left"/>
      <w:pPr>
        <w:ind w:left="3306" w:hanging="360"/>
      </w:pPr>
      <w:rPr>
        <w:rFonts w:ascii="Wingdings" w:hAnsi="Wingdings" w:hint="default"/>
      </w:rPr>
    </w:lvl>
    <w:lvl w:ilvl="3" w:tplc="04150001" w:tentative="1">
      <w:start w:val="1"/>
      <w:numFmt w:val="bullet"/>
      <w:lvlText w:val=""/>
      <w:lvlJc w:val="left"/>
      <w:pPr>
        <w:ind w:left="4026" w:hanging="360"/>
      </w:pPr>
      <w:rPr>
        <w:rFonts w:ascii="Symbol" w:hAnsi="Symbol" w:hint="default"/>
      </w:rPr>
    </w:lvl>
    <w:lvl w:ilvl="4" w:tplc="04150003" w:tentative="1">
      <w:start w:val="1"/>
      <w:numFmt w:val="bullet"/>
      <w:lvlText w:val="o"/>
      <w:lvlJc w:val="left"/>
      <w:pPr>
        <w:ind w:left="4746" w:hanging="360"/>
      </w:pPr>
      <w:rPr>
        <w:rFonts w:ascii="Courier New" w:hAnsi="Courier New" w:cs="Courier New" w:hint="default"/>
      </w:rPr>
    </w:lvl>
    <w:lvl w:ilvl="5" w:tplc="04150005" w:tentative="1">
      <w:start w:val="1"/>
      <w:numFmt w:val="bullet"/>
      <w:lvlText w:val=""/>
      <w:lvlJc w:val="left"/>
      <w:pPr>
        <w:ind w:left="5466" w:hanging="360"/>
      </w:pPr>
      <w:rPr>
        <w:rFonts w:ascii="Wingdings" w:hAnsi="Wingdings" w:hint="default"/>
      </w:rPr>
    </w:lvl>
    <w:lvl w:ilvl="6" w:tplc="04150001" w:tentative="1">
      <w:start w:val="1"/>
      <w:numFmt w:val="bullet"/>
      <w:lvlText w:val=""/>
      <w:lvlJc w:val="left"/>
      <w:pPr>
        <w:ind w:left="6186" w:hanging="360"/>
      </w:pPr>
      <w:rPr>
        <w:rFonts w:ascii="Symbol" w:hAnsi="Symbol" w:hint="default"/>
      </w:rPr>
    </w:lvl>
    <w:lvl w:ilvl="7" w:tplc="04150003" w:tentative="1">
      <w:start w:val="1"/>
      <w:numFmt w:val="bullet"/>
      <w:lvlText w:val="o"/>
      <w:lvlJc w:val="left"/>
      <w:pPr>
        <w:ind w:left="6906" w:hanging="360"/>
      </w:pPr>
      <w:rPr>
        <w:rFonts w:ascii="Courier New" w:hAnsi="Courier New" w:cs="Courier New" w:hint="default"/>
      </w:rPr>
    </w:lvl>
    <w:lvl w:ilvl="8" w:tplc="04150005" w:tentative="1">
      <w:start w:val="1"/>
      <w:numFmt w:val="bullet"/>
      <w:lvlText w:val=""/>
      <w:lvlJc w:val="left"/>
      <w:pPr>
        <w:ind w:left="7626" w:hanging="360"/>
      </w:pPr>
      <w:rPr>
        <w:rFonts w:ascii="Wingdings" w:hAnsi="Wingdings" w:hint="default"/>
      </w:rPr>
    </w:lvl>
  </w:abstractNum>
  <w:abstractNum w:abstractNumId="325" w15:restartNumberingAfterBreak="0">
    <w:nsid w:val="6B795E4C"/>
    <w:multiLevelType w:val="hybridMultilevel"/>
    <w:tmpl w:val="C2C6CE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6" w15:restartNumberingAfterBreak="0">
    <w:nsid w:val="6C2A64AE"/>
    <w:multiLevelType w:val="multilevel"/>
    <w:tmpl w:val="F5EE4A9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15:restartNumberingAfterBreak="0">
    <w:nsid w:val="6C4137B7"/>
    <w:multiLevelType w:val="hybridMultilevel"/>
    <w:tmpl w:val="D95ACF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8" w15:restartNumberingAfterBreak="0">
    <w:nsid w:val="6CA122CD"/>
    <w:multiLevelType w:val="hybridMultilevel"/>
    <w:tmpl w:val="8C04E4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6CC517B4"/>
    <w:multiLevelType w:val="hybridMultilevel"/>
    <w:tmpl w:val="FBAE00B4"/>
    <w:lvl w:ilvl="0" w:tplc="F2288278">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30" w15:restartNumberingAfterBreak="0">
    <w:nsid w:val="6CCA4CFE"/>
    <w:multiLevelType w:val="hybridMultilevel"/>
    <w:tmpl w:val="E6A4C3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1" w15:restartNumberingAfterBreak="0">
    <w:nsid w:val="6CEA2121"/>
    <w:multiLevelType w:val="hybridMultilevel"/>
    <w:tmpl w:val="66C040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2" w15:restartNumberingAfterBreak="0">
    <w:nsid w:val="6D121BD0"/>
    <w:multiLevelType w:val="hybridMultilevel"/>
    <w:tmpl w:val="575A7D92"/>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3" w15:restartNumberingAfterBreak="0">
    <w:nsid w:val="6D286E0C"/>
    <w:multiLevelType w:val="hybridMultilevel"/>
    <w:tmpl w:val="9E36F5DA"/>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4" w15:restartNumberingAfterBreak="0">
    <w:nsid w:val="6D7D13CF"/>
    <w:multiLevelType w:val="hybridMultilevel"/>
    <w:tmpl w:val="256A99D0"/>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5" w15:restartNumberingAfterBreak="0">
    <w:nsid w:val="6DA75F64"/>
    <w:multiLevelType w:val="hybridMultilevel"/>
    <w:tmpl w:val="A45A99F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6" w15:restartNumberingAfterBreak="0">
    <w:nsid w:val="6DDC51D1"/>
    <w:multiLevelType w:val="hybridMultilevel"/>
    <w:tmpl w:val="F47863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7" w15:restartNumberingAfterBreak="0">
    <w:nsid w:val="6E7A0349"/>
    <w:multiLevelType w:val="hybridMultilevel"/>
    <w:tmpl w:val="851C18BC"/>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6EBB5D6C"/>
    <w:multiLevelType w:val="hybridMultilevel"/>
    <w:tmpl w:val="A664DD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9" w15:restartNumberingAfterBreak="0">
    <w:nsid w:val="6EBD202C"/>
    <w:multiLevelType w:val="hybridMultilevel"/>
    <w:tmpl w:val="5A6EA892"/>
    <w:lvl w:ilvl="0" w:tplc="662053DA">
      <w:start w:val="1"/>
      <w:numFmt w:val="bullet"/>
      <w:lvlText w:val=""/>
      <w:lvlJc w:val="left"/>
      <w:pPr>
        <w:ind w:left="1637" w:hanging="360"/>
      </w:pPr>
      <w:rPr>
        <w:rFonts w:ascii="Symbol" w:hAnsi="Symbol" w:hint="default"/>
        <w:b/>
        <w:sz w:val="16"/>
        <w:szCs w:val="16"/>
      </w:r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340" w15:restartNumberingAfterBreak="0">
    <w:nsid w:val="6F1248C2"/>
    <w:multiLevelType w:val="hybridMultilevel"/>
    <w:tmpl w:val="E3F83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1" w15:restartNumberingAfterBreak="0">
    <w:nsid w:val="7013462C"/>
    <w:multiLevelType w:val="hybridMultilevel"/>
    <w:tmpl w:val="986040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2" w15:restartNumberingAfterBreak="0">
    <w:nsid w:val="70541D37"/>
    <w:multiLevelType w:val="hybridMultilevel"/>
    <w:tmpl w:val="0CA0B5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3" w15:restartNumberingAfterBreak="0">
    <w:nsid w:val="705A046E"/>
    <w:multiLevelType w:val="multilevel"/>
    <w:tmpl w:val="1B26C338"/>
    <w:lvl w:ilvl="0">
      <w:start w:val="1"/>
      <w:numFmt w:val="bullet"/>
      <w:lvlText w:val=""/>
      <w:lvlJc w:val="left"/>
      <w:rPr>
        <w:rFonts w:ascii="Symbol" w:hAnsi="Symbol" w:hint="default"/>
        <w:b w:val="0"/>
        <w:bCs w:val="0"/>
        <w:i w:val="0"/>
        <w:iCs w:val="0"/>
        <w:smallCaps w:val="0"/>
        <w:strike w:val="0"/>
        <w:color w:val="000000"/>
        <w:spacing w:val="0"/>
        <w:w w:val="100"/>
        <w:position w:val="0"/>
        <w:sz w:val="19"/>
        <w:szCs w:val="19"/>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19"/>
        <w:szCs w:val="19"/>
        <w:u w:val="none"/>
      </w:rPr>
    </w:lvl>
  </w:abstractNum>
  <w:abstractNum w:abstractNumId="344" w15:restartNumberingAfterBreak="0">
    <w:nsid w:val="706D4FE0"/>
    <w:multiLevelType w:val="hybridMultilevel"/>
    <w:tmpl w:val="FDA41F68"/>
    <w:lvl w:ilvl="0" w:tplc="FFFFFFFF">
      <w:start w:val="1"/>
      <w:numFmt w:val="bullet"/>
      <w:lvlText w:val="−"/>
      <w:lvlJc w:val="left"/>
      <w:pPr>
        <w:ind w:left="1788" w:hanging="360"/>
      </w:pPr>
      <w:rPr>
        <w:rFonts w:ascii="Times New Roman" w:hAnsi="Times New Roman" w:cs="Times New Roman" w:hint="default"/>
      </w:rPr>
    </w:lvl>
    <w:lvl w:ilvl="1" w:tplc="E3DC1570" w:tentative="1">
      <w:start w:val="1"/>
      <w:numFmt w:val="lowerLetter"/>
      <w:lvlText w:val="%2."/>
      <w:lvlJc w:val="left"/>
      <w:pPr>
        <w:ind w:left="2508" w:hanging="360"/>
      </w:pPr>
    </w:lvl>
    <w:lvl w:ilvl="2" w:tplc="AA74B29A" w:tentative="1">
      <w:start w:val="1"/>
      <w:numFmt w:val="lowerRoman"/>
      <w:lvlText w:val="%3."/>
      <w:lvlJc w:val="right"/>
      <w:pPr>
        <w:ind w:left="3228" w:hanging="180"/>
      </w:pPr>
    </w:lvl>
    <w:lvl w:ilvl="3" w:tplc="71F8D872" w:tentative="1">
      <w:start w:val="1"/>
      <w:numFmt w:val="decimal"/>
      <w:lvlText w:val="%4."/>
      <w:lvlJc w:val="left"/>
      <w:pPr>
        <w:ind w:left="3948" w:hanging="360"/>
      </w:pPr>
    </w:lvl>
    <w:lvl w:ilvl="4" w:tplc="2BACA97A" w:tentative="1">
      <w:start w:val="1"/>
      <w:numFmt w:val="lowerLetter"/>
      <w:lvlText w:val="%5."/>
      <w:lvlJc w:val="left"/>
      <w:pPr>
        <w:ind w:left="4668" w:hanging="360"/>
      </w:pPr>
    </w:lvl>
    <w:lvl w:ilvl="5" w:tplc="232EED56" w:tentative="1">
      <w:start w:val="1"/>
      <w:numFmt w:val="lowerRoman"/>
      <w:lvlText w:val="%6."/>
      <w:lvlJc w:val="right"/>
      <w:pPr>
        <w:ind w:left="5388" w:hanging="180"/>
      </w:pPr>
    </w:lvl>
    <w:lvl w:ilvl="6" w:tplc="BA30763C" w:tentative="1">
      <w:start w:val="1"/>
      <w:numFmt w:val="decimal"/>
      <w:lvlText w:val="%7."/>
      <w:lvlJc w:val="left"/>
      <w:pPr>
        <w:ind w:left="6108" w:hanging="360"/>
      </w:pPr>
    </w:lvl>
    <w:lvl w:ilvl="7" w:tplc="3E1AC874" w:tentative="1">
      <w:start w:val="1"/>
      <w:numFmt w:val="lowerLetter"/>
      <w:lvlText w:val="%8."/>
      <w:lvlJc w:val="left"/>
      <w:pPr>
        <w:ind w:left="6828" w:hanging="360"/>
      </w:pPr>
    </w:lvl>
    <w:lvl w:ilvl="8" w:tplc="9AD8EF82" w:tentative="1">
      <w:start w:val="1"/>
      <w:numFmt w:val="lowerRoman"/>
      <w:lvlText w:val="%9."/>
      <w:lvlJc w:val="right"/>
      <w:pPr>
        <w:ind w:left="7548" w:hanging="180"/>
      </w:pPr>
    </w:lvl>
  </w:abstractNum>
  <w:abstractNum w:abstractNumId="345" w15:restartNumberingAfterBreak="0">
    <w:nsid w:val="70D7289E"/>
    <w:multiLevelType w:val="hybridMultilevel"/>
    <w:tmpl w:val="F04E6F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6" w15:restartNumberingAfterBreak="0">
    <w:nsid w:val="71843640"/>
    <w:multiLevelType w:val="hybridMultilevel"/>
    <w:tmpl w:val="41166E4C"/>
    <w:lvl w:ilvl="0" w:tplc="B4B2A7D4">
      <w:start w:val="1"/>
      <w:numFmt w:val="bullet"/>
      <w:lvlText w:val=""/>
      <w:lvlJc w:val="left"/>
      <w:pPr>
        <w:ind w:left="721" w:hanging="360"/>
      </w:pPr>
      <w:rPr>
        <w:rFonts w:ascii="Symbol" w:hAnsi="Symbol" w:hint="default"/>
        <w:sz w:val="16"/>
        <w:szCs w:val="16"/>
      </w:rPr>
    </w:lvl>
    <w:lvl w:ilvl="1" w:tplc="04150003" w:tentative="1">
      <w:start w:val="1"/>
      <w:numFmt w:val="bullet"/>
      <w:lvlText w:val="o"/>
      <w:lvlJc w:val="left"/>
      <w:pPr>
        <w:ind w:left="1441" w:hanging="360"/>
      </w:pPr>
      <w:rPr>
        <w:rFonts w:ascii="Courier New" w:hAnsi="Courier New" w:cs="Courier New" w:hint="default"/>
      </w:rPr>
    </w:lvl>
    <w:lvl w:ilvl="2" w:tplc="04150005" w:tentative="1">
      <w:start w:val="1"/>
      <w:numFmt w:val="bullet"/>
      <w:lvlText w:val=""/>
      <w:lvlJc w:val="left"/>
      <w:pPr>
        <w:ind w:left="2161" w:hanging="360"/>
      </w:pPr>
      <w:rPr>
        <w:rFonts w:ascii="Wingdings" w:hAnsi="Wingdings" w:hint="default"/>
      </w:rPr>
    </w:lvl>
    <w:lvl w:ilvl="3" w:tplc="04150001" w:tentative="1">
      <w:start w:val="1"/>
      <w:numFmt w:val="bullet"/>
      <w:lvlText w:val=""/>
      <w:lvlJc w:val="left"/>
      <w:pPr>
        <w:ind w:left="2881" w:hanging="360"/>
      </w:pPr>
      <w:rPr>
        <w:rFonts w:ascii="Symbol" w:hAnsi="Symbol" w:hint="default"/>
      </w:rPr>
    </w:lvl>
    <w:lvl w:ilvl="4" w:tplc="04150003" w:tentative="1">
      <w:start w:val="1"/>
      <w:numFmt w:val="bullet"/>
      <w:lvlText w:val="o"/>
      <w:lvlJc w:val="left"/>
      <w:pPr>
        <w:ind w:left="3601" w:hanging="360"/>
      </w:pPr>
      <w:rPr>
        <w:rFonts w:ascii="Courier New" w:hAnsi="Courier New" w:cs="Courier New" w:hint="default"/>
      </w:rPr>
    </w:lvl>
    <w:lvl w:ilvl="5" w:tplc="04150005" w:tentative="1">
      <w:start w:val="1"/>
      <w:numFmt w:val="bullet"/>
      <w:lvlText w:val=""/>
      <w:lvlJc w:val="left"/>
      <w:pPr>
        <w:ind w:left="4321" w:hanging="360"/>
      </w:pPr>
      <w:rPr>
        <w:rFonts w:ascii="Wingdings" w:hAnsi="Wingdings" w:hint="default"/>
      </w:rPr>
    </w:lvl>
    <w:lvl w:ilvl="6" w:tplc="04150001" w:tentative="1">
      <w:start w:val="1"/>
      <w:numFmt w:val="bullet"/>
      <w:lvlText w:val=""/>
      <w:lvlJc w:val="left"/>
      <w:pPr>
        <w:ind w:left="5041" w:hanging="360"/>
      </w:pPr>
      <w:rPr>
        <w:rFonts w:ascii="Symbol" w:hAnsi="Symbol" w:hint="default"/>
      </w:rPr>
    </w:lvl>
    <w:lvl w:ilvl="7" w:tplc="04150003" w:tentative="1">
      <w:start w:val="1"/>
      <w:numFmt w:val="bullet"/>
      <w:lvlText w:val="o"/>
      <w:lvlJc w:val="left"/>
      <w:pPr>
        <w:ind w:left="5761" w:hanging="360"/>
      </w:pPr>
      <w:rPr>
        <w:rFonts w:ascii="Courier New" w:hAnsi="Courier New" w:cs="Courier New" w:hint="default"/>
      </w:rPr>
    </w:lvl>
    <w:lvl w:ilvl="8" w:tplc="04150005" w:tentative="1">
      <w:start w:val="1"/>
      <w:numFmt w:val="bullet"/>
      <w:lvlText w:val=""/>
      <w:lvlJc w:val="left"/>
      <w:pPr>
        <w:ind w:left="6481" w:hanging="360"/>
      </w:pPr>
      <w:rPr>
        <w:rFonts w:ascii="Wingdings" w:hAnsi="Wingdings" w:hint="default"/>
      </w:rPr>
    </w:lvl>
  </w:abstractNum>
  <w:abstractNum w:abstractNumId="347" w15:restartNumberingAfterBreak="0">
    <w:nsid w:val="71FE62D4"/>
    <w:multiLevelType w:val="hybridMultilevel"/>
    <w:tmpl w:val="69D46F9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8" w15:restartNumberingAfterBreak="0">
    <w:nsid w:val="720D2903"/>
    <w:multiLevelType w:val="hybridMultilevel"/>
    <w:tmpl w:val="B3729E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72336CBF"/>
    <w:multiLevelType w:val="hybridMultilevel"/>
    <w:tmpl w:val="5CA6EA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0" w15:restartNumberingAfterBreak="0">
    <w:nsid w:val="72F44B78"/>
    <w:multiLevelType w:val="hybridMultilevel"/>
    <w:tmpl w:val="EA544E8A"/>
    <w:lvl w:ilvl="0" w:tplc="FFFFFFFF">
      <w:start w:val="1"/>
      <w:numFmt w:val="bullet"/>
      <w:lvlText w:val="−"/>
      <w:lvlJc w:val="left"/>
      <w:pPr>
        <w:ind w:left="720" w:hanging="360"/>
      </w:pPr>
      <w:rPr>
        <w:rFonts w:ascii="Times New Roman" w:hAnsi="Times New Roman" w:cs="Times New Roman" w:hint="default"/>
      </w:rPr>
    </w:lvl>
    <w:lvl w:ilvl="1" w:tplc="F4E24CC0" w:tentative="1">
      <w:start w:val="1"/>
      <w:numFmt w:val="lowerLetter"/>
      <w:lvlText w:val="%2."/>
      <w:lvlJc w:val="left"/>
      <w:pPr>
        <w:ind w:left="1440" w:hanging="360"/>
      </w:pPr>
    </w:lvl>
    <w:lvl w:ilvl="2" w:tplc="C3042864" w:tentative="1">
      <w:start w:val="1"/>
      <w:numFmt w:val="lowerRoman"/>
      <w:lvlText w:val="%3."/>
      <w:lvlJc w:val="right"/>
      <w:pPr>
        <w:ind w:left="2160" w:hanging="180"/>
      </w:pPr>
    </w:lvl>
    <w:lvl w:ilvl="3" w:tplc="E6000C54" w:tentative="1">
      <w:start w:val="1"/>
      <w:numFmt w:val="decimal"/>
      <w:lvlText w:val="%4."/>
      <w:lvlJc w:val="left"/>
      <w:pPr>
        <w:ind w:left="2880" w:hanging="360"/>
      </w:pPr>
    </w:lvl>
    <w:lvl w:ilvl="4" w:tplc="6AC2FE38" w:tentative="1">
      <w:start w:val="1"/>
      <w:numFmt w:val="lowerLetter"/>
      <w:lvlText w:val="%5."/>
      <w:lvlJc w:val="left"/>
      <w:pPr>
        <w:ind w:left="3600" w:hanging="360"/>
      </w:pPr>
    </w:lvl>
    <w:lvl w:ilvl="5" w:tplc="60ECC1FA" w:tentative="1">
      <w:start w:val="1"/>
      <w:numFmt w:val="lowerRoman"/>
      <w:lvlText w:val="%6."/>
      <w:lvlJc w:val="right"/>
      <w:pPr>
        <w:ind w:left="4320" w:hanging="180"/>
      </w:pPr>
    </w:lvl>
    <w:lvl w:ilvl="6" w:tplc="1F405FFE" w:tentative="1">
      <w:start w:val="1"/>
      <w:numFmt w:val="decimal"/>
      <w:lvlText w:val="%7."/>
      <w:lvlJc w:val="left"/>
      <w:pPr>
        <w:ind w:left="5040" w:hanging="360"/>
      </w:pPr>
    </w:lvl>
    <w:lvl w:ilvl="7" w:tplc="0C883154" w:tentative="1">
      <w:start w:val="1"/>
      <w:numFmt w:val="lowerLetter"/>
      <w:lvlText w:val="%8."/>
      <w:lvlJc w:val="left"/>
      <w:pPr>
        <w:ind w:left="5760" w:hanging="360"/>
      </w:pPr>
    </w:lvl>
    <w:lvl w:ilvl="8" w:tplc="CEA87BC6" w:tentative="1">
      <w:start w:val="1"/>
      <w:numFmt w:val="lowerRoman"/>
      <w:lvlText w:val="%9."/>
      <w:lvlJc w:val="right"/>
      <w:pPr>
        <w:ind w:left="6480" w:hanging="180"/>
      </w:pPr>
    </w:lvl>
  </w:abstractNum>
  <w:abstractNum w:abstractNumId="351" w15:restartNumberingAfterBreak="0">
    <w:nsid w:val="730E2B11"/>
    <w:multiLevelType w:val="multilevel"/>
    <w:tmpl w:val="A8F2E4CC"/>
    <w:styleLink w:val="Styl1"/>
    <w:lvl w:ilvl="0">
      <w:start w:val="1"/>
      <w:numFmt w:val="upperRoman"/>
      <w:lvlText w:val="%1."/>
      <w:lvlJc w:val="left"/>
      <w:pPr>
        <w:ind w:left="432" w:hanging="432"/>
      </w:pPr>
      <w:rPr>
        <w:rFonts w:hint="default"/>
      </w:rPr>
    </w:lvl>
    <w:lvl w:ilvl="1">
      <w:start w:val="1"/>
      <w:numFmt w:val="upperRoman"/>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2" w15:restartNumberingAfterBreak="0">
    <w:nsid w:val="7329483E"/>
    <w:multiLevelType w:val="hybridMultilevel"/>
    <w:tmpl w:val="85B4DEBA"/>
    <w:lvl w:ilvl="0" w:tplc="04150001">
      <w:start w:val="1"/>
      <w:numFmt w:val="bullet"/>
      <w:lvlText w:val=""/>
      <w:lvlJc w:val="left"/>
      <w:pPr>
        <w:ind w:left="1004" w:hanging="360"/>
      </w:pPr>
      <w:rPr>
        <w:rFonts w:ascii="Symbol" w:hAnsi="Symbol"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3" w15:restartNumberingAfterBreak="0">
    <w:nsid w:val="733871AE"/>
    <w:multiLevelType w:val="multilevel"/>
    <w:tmpl w:val="63B4764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eastAsia="Times New Roman" w:hint="default"/>
        <w:b/>
      </w:rPr>
    </w:lvl>
    <w:lvl w:ilvl="3">
      <w:start w:val="7"/>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73C775AE"/>
    <w:multiLevelType w:val="hybridMultilevel"/>
    <w:tmpl w:val="D92E4E3E"/>
    <w:lvl w:ilvl="0" w:tplc="F2288278">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355" w15:restartNumberingAfterBreak="0">
    <w:nsid w:val="73F42009"/>
    <w:multiLevelType w:val="hybridMultilevel"/>
    <w:tmpl w:val="C530733C"/>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6" w15:restartNumberingAfterBreak="0">
    <w:nsid w:val="74BA63E8"/>
    <w:multiLevelType w:val="hybridMultilevel"/>
    <w:tmpl w:val="01882284"/>
    <w:lvl w:ilvl="0" w:tplc="04150001">
      <w:start w:val="1"/>
      <w:numFmt w:val="bullet"/>
      <w:lvlText w:val=""/>
      <w:lvlJc w:val="left"/>
      <w:pPr>
        <w:ind w:left="1581" w:hanging="360"/>
      </w:pPr>
      <w:rPr>
        <w:rFonts w:ascii="Symbol" w:hAnsi="Symbol" w:hint="default"/>
      </w:rPr>
    </w:lvl>
    <w:lvl w:ilvl="1" w:tplc="04150003" w:tentative="1">
      <w:start w:val="1"/>
      <w:numFmt w:val="bullet"/>
      <w:lvlText w:val="o"/>
      <w:lvlJc w:val="left"/>
      <w:pPr>
        <w:ind w:left="2301" w:hanging="360"/>
      </w:pPr>
      <w:rPr>
        <w:rFonts w:ascii="Courier New" w:hAnsi="Courier New" w:cs="Courier New" w:hint="default"/>
      </w:rPr>
    </w:lvl>
    <w:lvl w:ilvl="2" w:tplc="04150005" w:tentative="1">
      <w:start w:val="1"/>
      <w:numFmt w:val="bullet"/>
      <w:lvlText w:val=""/>
      <w:lvlJc w:val="left"/>
      <w:pPr>
        <w:ind w:left="3021" w:hanging="360"/>
      </w:pPr>
      <w:rPr>
        <w:rFonts w:ascii="Wingdings" w:hAnsi="Wingdings" w:hint="default"/>
      </w:rPr>
    </w:lvl>
    <w:lvl w:ilvl="3" w:tplc="04150001" w:tentative="1">
      <w:start w:val="1"/>
      <w:numFmt w:val="bullet"/>
      <w:lvlText w:val=""/>
      <w:lvlJc w:val="left"/>
      <w:pPr>
        <w:ind w:left="3741" w:hanging="360"/>
      </w:pPr>
      <w:rPr>
        <w:rFonts w:ascii="Symbol" w:hAnsi="Symbol" w:hint="default"/>
      </w:rPr>
    </w:lvl>
    <w:lvl w:ilvl="4" w:tplc="04150003" w:tentative="1">
      <w:start w:val="1"/>
      <w:numFmt w:val="bullet"/>
      <w:lvlText w:val="o"/>
      <w:lvlJc w:val="left"/>
      <w:pPr>
        <w:ind w:left="4461" w:hanging="360"/>
      </w:pPr>
      <w:rPr>
        <w:rFonts w:ascii="Courier New" w:hAnsi="Courier New" w:cs="Courier New" w:hint="default"/>
      </w:rPr>
    </w:lvl>
    <w:lvl w:ilvl="5" w:tplc="04150005" w:tentative="1">
      <w:start w:val="1"/>
      <w:numFmt w:val="bullet"/>
      <w:lvlText w:val=""/>
      <w:lvlJc w:val="left"/>
      <w:pPr>
        <w:ind w:left="5181" w:hanging="360"/>
      </w:pPr>
      <w:rPr>
        <w:rFonts w:ascii="Wingdings" w:hAnsi="Wingdings" w:hint="default"/>
      </w:rPr>
    </w:lvl>
    <w:lvl w:ilvl="6" w:tplc="04150001" w:tentative="1">
      <w:start w:val="1"/>
      <w:numFmt w:val="bullet"/>
      <w:lvlText w:val=""/>
      <w:lvlJc w:val="left"/>
      <w:pPr>
        <w:ind w:left="5901" w:hanging="360"/>
      </w:pPr>
      <w:rPr>
        <w:rFonts w:ascii="Symbol" w:hAnsi="Symbol" w:hint="default"/>
      </w:rPr>
    </w:lvl>
    <w:lvl w:ilvl="7" w:tplc="04150003" w:tentative="1">
      <w:start w:val="1"/>
      <w:numFmt w:val="bullet"/>
      <w:lvlText w:val="o"/>
      <w:lvlJc w:val="left"/>
      <w:pPr>
        <w:ind w:left="6621" w:hanging="360"/>
      </w:pPr>
      <w:rPr>
        <w:rFonts w:ascii="Courier New" w:hAnsi="Courier New" w:cs="Courier New" w:hint="default"/>
      </w:rPr>
    </w:lvl>
    <w:lvl w:ilvl="8" w:tplc="04150005" w:tentative="1">
      <w:start w:val="1"/>
      <w:numFmt w:val="bullet"/>
      <w:lvlText w:val=""/>
      <w:lvlJc w:val="left"/>
      <w:pPr>
        <w:ind w:left="7341" w:hanging="360"/>
      </w:pPr>
      <w:rPr>
        <w:rFonts w:ascii="Wingdings" w:hAnsi="Wingdings" w:hint="default"/>
      </w:rPr>
    </w:lvl>
  </w:abstractNum>
  <w:abstractNum w:abstractNumId="357" w15:restartNumberingAfterBreak="0">
    <w:nsid w:val="74F36CDE"/>
    <w:multiLevelType w:val="hybridMultilevel"/>
    <w:tmpl w:val="814A7612"/>
    <w:lvl w:ilvl="0" w:tplc="FFFFFFFF">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8" w15:restartNumberingAfterBreak="0">
    <w:nsid w:val="75133D81"/>
    <w:multiLevelType w:val="hybridMultilevel"/>
    <w:tmpl w:val="A09C09FE"/>
    <w:lvl w:ilvl="0" w:tplc="FFFFFFFF">
      <w:start w:val="1"/>
      <w:numFmt w:val="bullet"/>
      <w:lvlText w:val="−"/>
      <w:lvlJc w:val="left"/>
      <w:pPr>
        <w:ind w:left="2563" w:hanging="360"/>
      </w:pPr>
      <w:rPr>
        <w:rFonts w:ascii="Times New Roman" w:hAnsi="Times New Roman" w:cs="Times New Roman"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359" w15:restartNumberingAfterBreak="0">
    <w:nsid w:val="753E16BC"/>
    <w:multiLevelType w:val="hybridMultilevel"/>
    <w:tmpl w:val="C478B3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0" w15:restartNumberingAfterBreak="0">
    <w:nsid w:val="75562BBD"/>
    <w:multiLevelType w:val="hybridMultilevel"/>
    <w:tmpl w:val="4F88AC06"/>
    <w:lvl w:ilvl="0" w:tplc="04150001">
      <w:start w:val="1"/>
      <w:numFmt w:val="bullet"/>
      <w:lvlText w:val=""/>
      <w:lvlJc w:val="left"/>
      <w:pPr>
        <w:ind w:left="1185" w:hanging="825"/>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1" w15:restartNumberingAfterBreak="0">
    <w:nsid w:val="7565638A"/>
    <w:multiLevelType w:val="hybridMultilevel"/>
    <w:tmpl w:val="D35299B0"/>
    <w:lvl w:ilvl="0" w:tplc="FFFFFFFF">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362" w15:restartNumberingAfterBreak="0">
    <w:nsid w:val="75A1646F"/>
    <w:multiLevelType w:val="hybridMultilevel"/>
    <w:tmpl w:val="232817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3" w15:restartNumberingAfterBreak="0">
    <w:nsid w:val="75C44334"/>
    <w:multiLevelType w:val="hybridMultilevel"/>
    <w:tmpl w:val="BF1047BA"/>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4" w15:restartNumberingAfterBreak="0">
    <w:nsid w:val="75E10CD2"/>
    <w:multiLevelType w:val="hybridMultilevel"/>
    <w:tmpl w:val="0BCE3F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5" w15:restartNumberingAfterBreak="0">
    <w:nsid w:val="75F91E40"/>
    <w:multiLevelType w:val="hybridMultilevel"/>
    <w:tmpl w:val="4A2600B0"/>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6" w15:restartNumberingAfterBreak="0">
    <w:nsid w:val="762C3A01"/>
    <w:multiLevelType w:val="hybridMultilevel"/>
    <w:tmpl w:val="F1EA6890"/>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7" w15:restartNumberingAfterBreak="0">
    <w:nsid w:val="765613BB"/>
    <w:multiLevelType w:val="hybridMultilevel"/>
    <w:tmpl w:val="74C4273C"/>
    <w:lvl w:ilvl="0" w:tplc="04150001">
      <w:start w:val="1"/>
      <w:numFmt w:val="bullet"/>
      <w:lvlText w:val=""/>
      <w:lvlJc w:val="left"/>
      <w:pPr>
        <w:ind w:left="1865" w:hanging="360"/>
      </w:pPr>
      <w:rPr>
        <w:rFonts w:ascii="Symbol" w:hAnsi="Symbol" w:hint="default"/>
      </w:rPr>
    </w:lvl>
    <w:lvl w:ilvl="1" w:tplc="04150003" w:tentative="1">
      <w:start w:val="1"/>
      <w:numFmt w:val="bullet"/>
      <w:lvlText w:val="o"/>
      <w:lvlJc w:val="left"/>
      <w:pPr>
        <w:ind w:left="2585" w:hanging="360"/>
      </w:pPr>
      <w:rPr>
        <w:rFonts w:ascii="Courier New" w:hAnsi="Courier New" w:cs="Courier New" w:hint="default"/>
      </w:rPr>
    </w:lvl>
    <w:lvl w:ilvl="2" w:tplc="04150005" w:tentative="1">
      <w:start w:val="1"/>
      <w:numFmt w:val="bullet"/>
      <w:lvlText w:val=""/>
      <w:lvlJc w:val="left"/>
      <w:pPr>
        <w:ind w:left="3305" w:hanging="360"/>
      </w:pPr>
      <w:rPr>
        <w:rFonts w:ascii="Wingdings" w:hAnsi="Wingdings" w:hint="default"/>
      </w:rPr>
    </w:lvl>
    <w:lvl w:ilvl="3" w:tplc="04150001" w:tentative="1">
      <w:start w:val="1"/>
      <w:numFmt w:val="bullet"/>
      <w:lvlText w:val=""/>
      <w:lvlJc w:val="left"/>
      <w:pPr>
        <w:ind w:left="4025" w:hanging="360"/>
      </w:pPr>
      <w:rPr>
        <w:rFonts w:ascii="Symbol" w:hAnsi="Symbol" w:hint="default"/>
      </w:rPr>
    </w:lvl>
    <w:lvl w:ilvl="4" w:tplc="04150003" w:tentative="1">
      <w:start w:val="1"/>
      <w:numFmt w:val="bullet"/>
      <w:lvlText w:val="o"/>
      <w:lvlJc w:val="left"/>
      <w:pPr>
        <w:ind w:left="4745" w:hanging="360"/>
      </w:pPr>
      <w:rPr>
        <w:rFonts w:ascii="Courier New" w:hAnsi="Courier New" w:cs="Courier New" w:hint="default"/>
      </w:rPr>
    </w:lvl>
    <w:lvl w:ilvl="5" w:tplc="04150005" w:tentative="1">
      <w:start w:val="1"/>
      <w:numFmt w:val="bullet"/>
      <w:lvlText w:val=""/>
      <w:lvlJc w:val="left"/>
      <w:pPr>
        <w:ind w:left="5465" w:hanging="360"/>
      </w:pPr>
      <w:rPr>
        <w:rFonts w:ascii="Wingdings" w:hAnsi="Wingdings" w:hint="default"/>
      </w:rPr>
    </w:lvl>
    <w:lvl w:ilvl="6" w:tplc="04150001" w:tentative="1">
      <w:start w:val="1"/>
      <w:numFmt w:val="bullet"/>
      <w:lvlText w:val=""/>
      <w:lvlJc w:val="left"/>
      <w:pPr>
        <w:ind w:left="6185" w:hanging="360"/>
      </w:pPr>
      <w:rPr>
        <w:rFonts w:ascii="Symbol" w:hAnsi="Symbol" w:hint="default"/>
      </w:rPr>
    </w:lvl>
    <w:lvl w:ilvl="7" w:tplc="04150003" w:tentative="1">
      <w:start w:val="1"/>
      <w:numFmt w:val="bullet"/>
      <w:lvlText w:val="o"/>
      <w:lvlJc w:val="left"/>
      <w:pPr>
        <w:ind w:left="6905" w:hanging="360"/>
      </w:pPr>
      <w:rPr>
        <w:rFonts w:ascii="Courier New" w:hAnsi="Courier New" w:cs="Courier New" w:hint="default"/>
      </w:rPr>
    </w:lvl>
    <w:lvl w:ilvl="8" w:tplc="04150005" w:tentative="1">
      <w:start w:val="1"/>
      <w:numFmt w:val="bullet"/>
      <w:lvlText w:val=""/>
      <w:lvlJc w:val="left"/>
      <w:pPr>
        <w:ind w:left="7625" w:hanging="360"/>
      </w:pPr>
      <w:rPr>
        <w:rFonts w:ascii="Wingdings" w:hAnsi="Wingdings" w:hint="default"/>
      </w:rPr>
    </w:lvl>
  </w:abstractNum>
  <w:abstractNum w:abstractNumId="368" w15:restartNumberingAfterBreak="0">
    <w:nsid w:val="76904405"/>
    <w:multiLevelType w:val="hybridMultilevel"/>
    <w:tmpl w:val="A24CAD8C"/>
    <w:lvl w:ilvl="0" w:tplc="FFFFFFFF">
      <w:start w:val="1"/>
      <w:numFmt w:val="lowerLetter"/>
      <w:lvlText w:val="%1."/>
      <w:lvlJc w:val="left"/>
      <w:pPr>
        <w:ind w:left="1440" w:hanging="360"/>
      </w:pPr>
    </w:lvl>
    <w:lvl w:ilvl="1" w:tplc="04150001">
      <w:start w:val="1"/>
      <w:numFmt w:val="bullet"/>
      <w:lvlText w:val=""/>
      <w:lvlJc w:val="left"/>
      <w:pPr>
        <w:ind w:left="2160" w:hanging="360"/>
      </w:pPr>
      <w:rPr>
        <w:rFonts w:ascii="Symbol" w:hAnsi="Symbol" w:hint="default"/>
      </w:rPr>
    </w:lvl>
    <w:lvl w:ilvl="2" w:tplc="1E4CAFBA">
      <w:start w:val="4"/>
      <w:numFmt w:val="decimal"/>
      <w:lvlText w:val="%3"/>
      <w:lvlJc w:val="left"/>
      <w:pPr>
        <w:ind w:left="3060" w:hanging="360"/>
      </w:pPr>
      <w:rPr>
        <w:rFonts w:hint="default"/>
      </w:rPr>
    </w:lvl>
    <w:lvl w:ilvl="3" w:tplc="63AE6102">
      <w:start w:val="1"/>
      <w:numFmt w:val="decimal"/>
      <w:lvlText w:val="%4."/>
      <w:lvlJc w:val="left"/>
      <w:pPr>
        <w:ind w:left="3600" w:hanging="360"/>
      </w:pPr>
      <w:rPr>
        <w:rFonts w:hint="default"/>
        <w:b/>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69" w15:restartNumberingAfterBreak="0">
    <w:nsid w:val="76A267DA"/>
    <w:multiLevelType w:val="hybridMultilevel"/>
    <w:tmpl w:val="C9789048"/>
    <w:lvl w:ilvl="0" w:tplc="04150001">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Times New Roman" w:hAnsi="Times New Roman" w:cs="Times New Roman"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0" w15:restartNumberingAfterBreak="0">
    <w:nsid w:val="76DF08F2"/>
    <w:multiLevelType w:val="hybridMultilevel"/>
    <w:tmpl w:val="773A7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1" w15:restartNumberingAfterBreak="0">
    <w:nsid w:val="77124A0E"/>
    <w:multiLevelType w:val="hybridMultilevel"/>
    <w:tmpl w:val="70D070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2" w15:restartNumberingAfterBreak="0">
    <w:nsid w:val="773872C1"/>
    <w:multiLevelType w:val="hybridMultilevel"/>
    <w:tmpl w:val="0226C5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3" w15:restartNumberingAfterBreak="0">
    <w:nsid w:val="7749783A"/>
    <w:multiLevelType w:val="hybridMultilevel"/>
    <w:tmpl w:val="482293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4" w15:restartNumberingAfterBreak="0">
    <w:nsid w:val="776A6030"/>
    <w:multiLevelType w:val="hybridMultilevel"/>
    <w:tmpl w:val="BBBCBE40"/>
    <w:lvl w:ilvl="0" w:tplc="431CF2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5" w15:restartNumberingAfterBreak="0">
    <w:nsid w:val="7798423A"/>
    <w:multiLevelType w:val="hybridMultilevel"/>
    <w:tmpl w:val="25E07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6" w15:restartNumberingAfterBreak="0">
    <w:nsid w:val="77C34AC8"/>
    <w:multiLevelType w:val="hybridMultilevel"/>
    <w:tmpl w:val="A54496B2"/>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77" w15:restartNumberingAfterBreak="0">
    <w:nsid w:val="77CA547B"/>
    <w:multiLevelType w:val="hybridMultilevel"/>
    <w:tmpl w:val="71403078"/>
    <w:lvl w:ilvl="0" w:tplc="FFFFFFFF">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8" w15:restartNumberingAfterBreak="0">
    <w:nsid w:val="77DC0C1A"/>
    <w:multiLevelType w:val="hybridMultilevel"/>
    <w:tmpl w:val="FE1049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9" w15:restartNumberingAfterBreak="0">
    <w:nsid w:val="78680C33"/>
    <w:multiLevelType w:val="hybridMultilevel"/>
    <w:tmpl w:val="6E762F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0" w15:restartNumberingAfterBreak="0">
    <w:nsid w:val="786B68BA"/>
    <w:multiLevelType w:val="hybridMultilevel"/>
    <w:tmpl w:val="D018DC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1" w15:restartNumberingAfterBreak="0">
    <w:nsid w:val="78762A6D"/>
    <w:multiLevelType w:val="hybridMultilevel"/>
    <w:tmpl w:val="ACF84B7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2" w15:restartNumberingAfterBreak="0">
    <w:nsid w:val="791915C5"/>
    <w:multiLevelType w:val="hybridMultilevel"/>
    <w:tmpl w:val="5882F6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3" w15:restartNumberingAfterBreak="0">
    <w:nsid w:val="79AF7C9F"/>
    <w:multiLevelType w:val="multilevel"/>
    <w:tmpl w:val="F5EE4A9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4" w15:restartNumberingAfterBreak="0">
    <w:nsid w:val="7A573819"/>
    <w:multiLevelType w:val="hybridMultilevel"/>
    <w:tmpl w:val="B0A2D058"/>
    <w:lvl w:ilvl="0" w:tplc="04150001">
      <w:start w:val="1"/>
      <w:numFmt w:val="bullet"/>
      <w:lvlText w:val=""/>
      <w:lvlJc w:val="left"/>
      <w:pPr>
        <w:ind w:left="720" w:hanging="360"/>
      </w:pPr>
      <w:rPr>
        <w:rFonts w:ascii="Symbol" w:hAnsi="Symbol" w:hint="default"/>
      </w:rPr>
    </w:lvl>
    <w:lvl w:ilvl="1" w:tplc="DA7EA624" w:tentative="1">
      <w:start w:val="1"/>
      <w:numFmt w:val="bullet"/>
      <w:lvlText w:val="o"/>
      <w:lvlJc w:val="left"/>
      <w:pPr>
        <w:ind w:left="1440" w:hanging="360"/>
      </w:pPr>
      <w:rPr>
        <w:rFonts w:ascii="Courier New" w:hAnsi="Courier New" w:cs="Courier New" w:hint="default"/>
      </w:rPr>
    </w:lvl>
    <w:lvl w:ilvl="2" w:tplc="36085DAA" w:tentative="1">
      <w:start w:val="1"/>
      <w:numFmt w:val="bullet"/>
      <w:lvlText w:val=""/>
      <w:lvlJc w:val="left"/>
      <w:pPr>
        <w:ind w:left="2160" w:hanging="360"/>
      </w:pPr>
      <w:rPr>
        <w:rFonts w:ascii="Wingdings" w:hAnsi="Wingdings" w:hint="default"/>
      </w:rPr>
    </w:lvl>
    <w:lvl w:ilvl="3" w:tplc="B60A1698" w:tentative="1">
      <w:start w:val="1"/>
      <w:numFmt w:val="bullet"/>
      <w:lvlText w:val=""/>
      <w:lvlJc w:val="left"/>
      <w:pPr>
        <w:ind w:left="2880" w:hanging="360"/>
      </w:pPr>
      <w:rPr>
        <w:rFonts w:ascii="Symbol" w:hAnsi="Symbol" w:hint="default"/>
      </w:rPr>
    </w:lvl>
    <w:lvl w:ilvl="4" w:tplc="155EF3B0" w:tentative="1">
      <w:start w:val="1"/>
      <w:numFmt w:val="bullet"/>
      <w:lvlText w:val="o"/>
      <w:lvlJc w:val="left"/>
      <w:pPr>
        <w:ind w:left="3600" w:hanging="360"/>
      </w:pPr>
      <w:rPr>
        <w:rFonts w:ascii="Courier New" w:hAnsi="Courier New" w:cs="Courier New" w:hint="default"/>
      </w:rPr>
    </w:lvl>
    <w:lvl w:ilvl="5" w:tplc="3CE6CEE6" w:tentative="1">
      <w:start w:val="1"/>
      <w:numFmt w:val="bullet"/>
      <w:lvlText w:val=""/>
      <w:lvlJc w:val="left"/>
      <w:pPr>
        <w:ind w:left="4320" w:hanging="360"/>
      </w:pPr>
      <w:rPr>
        <w:rFonts w:ascii="Wingdings" w:hAnsi="Wingdings" w:hint="default"/>
      </w:rPr>
    </w:lvl>
    <w:lvl w:ilvl="6" w:tplc="089A6E70" w:tentative="1">
      <w:start w:val="1"/>
      <w:numFmt w:val="bullet"/>
      <w:lvlText w:val=""/>
      <w:lvlJc w:val="left"/>
      <w:pPr>
        <w:ind w:left="5040" w:hanging="360"/>
      </w:pPr>
      <w:rPr>
        <w:rFonts w:ascii="Symbol" w:hAnsi="Symbol" w:hint="default"/>
      </w:rPr>
    </w:lvl>
    <w:lvl w:ilvl="7" w:tplc="4A7AAC7A" w:tentative="1">
      <w:start w:val="1"/>
      <w:numFmt w:val="bullet"/>
      <w:lvlText w:val="o"/>
      <w:lvlJc w:val="left"/>
      <w:pPr>
        <w:ind w:left="5760" w:hanging="360"/>
      </w:pPr>
      <w:rPr>
        <w:rFonts w:ascii="Courier New" w:hAnsi="Courier New" w:cs="Courier New" w:hint="default"/>
      </w:rPr>
    </w:lvl>
    <w:lvl w:ilvl="8" w:tplc="4BC2E510" w:tentative="1">
      <w:start w:val="1"/>
      <w:numFmt w:val="bullet"/>
      <w:lvlText w:val=""/>
      <w:lvlJc w:val="left"/>
      <w:pPr>
        <w:ind w:left="6480" w:hanging="360"/>
      </w:pPr>
      <w:rPr>
        <w:rFonts w:ascii="Wingdings" w:hAnsi="Wingdings" w:hint="default"/>
      </w:rPr>
    </w:lvl>
  </w:abstractNum>
  <w:abstractNum w:abstractNumId="385" w15:restartNumberingAfterBreak="0">
    <w:nsid w:val="7A6422CB"/>
    <w:multiLevelType w:val="hybridMultilevel"/>
    <w:tmpl w:val="B1E071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6" w15:restartNumberingAfterBreak="0">
    <w:nsid w:val="7A665CA1"/>
    <w:multiLevelType w:val="multilevel"/>
    <w:tmpl w:val="B93E38BC"/>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87" w15:restartNumberingAfterBreak="0">
    <w:nsid w:val="7A7709F7"/>
    <w:multiLevelType w:val="hybridMultilevel"/>
    <w:tmpl w:val="F94A189C"/>
    <w:lvl w:ilvl="0" w:tplc="FFFFFFFF">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8" w15:restartNumberingAfterBreak="0">
    <w:nsid w:val="7A833DE5"/>
    <w:multiLevelType w:val="hybridMultilevel"/>
    <w:tmpl w:val="8C4259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9" w15:restartNumberingAfterBreak="0">
    <w:nsid w:val="7B89085A"/>
    <w:multiLevelType w:val="hybridMultilevel"/>
    <w:tmpl w:val="41884F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0" w15:restartNumberingAfterBreak="0">
    <w:nsid w:val="7BE41B82"/>
    <w:multiLevelType w:val="hybridMultilevel"/>
    <w:tmpl w:val="7F0A09A0"/>
    <w:lvl w:ilvl="0" w:tplc="8DF68820">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1" w15:restartNumberingAfterBreak="0">
    <w:nsid w:val="7C077BB9"/>
    <w:multiLevelType w:val="hybridMultilevel"/>
    <w:tmpl w:val="78AA84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2" w15:restartNumberingAfterBreak="0">
    <w:nsid w:val="7C657D47"/>
    <w:multiLevelType w:val="hybridMultilevel"/>
    <w:tmpl w:val="B4965A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3" w15:restartNumberingAfterBreak="0">
    <w:nsid w:val="7C756A7A"/>
    <w:multiLevelType w:val="multilevel"/>
    <w:tmpl w:val="F5EE4A9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4" w15:restartNumberingAfterBreak="0">
    <w:nsid w:val="7D835DAC"/>
    <w:multiLevelType w:val="hybridMultilevel"/>
    <w:tmpl w:val="B5ECC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5" w15:restartNumberingAfterBreak="0">
    <w:nsid w:val="7DD537BD"/>
    <w:multiLevelType w:val="hybridMultilevel"/>
    <w:tmpl w:val="388820F0"/>
    <w:lvl w:ilvl="0" w:tplc="FFFFFFFF">
      <w:start w:val="1"/>
      <w:numFmt w:val="bullet"/>
      <w:lvlText w:val="−"/>
      <w:lvlJc w:val="left"/>
      <w:pPr>
        <w:ind w:left="1004" w:hanging="360"/>
      </w:pPr>
      <w:rPr>
        <w:rFonts w:ascii="Times New Roman" w:hAnsi="Times New Roman" w:cs="Times New Roman"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96" w15:restartNumberingAfterBreak="0">
    <w:nsid w:val="7E402EA4"/>
    <w:multiLevelType w:val="hybridMultilevel"/>
    <w:tmpl w:val="10E0B8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7" w15:restartNumberingAfterBreak="0">
    <w:nsid w:val="7E4D31CC"/>
    <w:multiLevelType w:val="multilevel"/>
    <w:tmpl w:val="35184560"/>
    <w:lvl w:ilvl="0">
      <w:start w:val="1"/>
      <w:numFmt w:val="bullet"/>
      <w:lvlText w:val=""/>
      <w:lvlJc w:val="left"/>
      <w:pPr>
        <w:ind w:left="720" w:hanging="360"/>
      </w:pPr>
      <w:rPr>
        <w:rFonts w:ascii="Symbol" w:hAnsi="Symbol" w:hint="default"/>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98" w15:restartNumberingAfterBreak="0">
    <w:nsid w:val="7E571807"/>
    <w:multiLevelType w:val="hybridMultilevel"/>
    <w:tmpl w:val="D4B6E090"/>
    <w:lvl w:ilvl="0" w:tplc="7A3E39A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9" w15:restartNumberingAfterBreak="0">
    <w:nsid w:val="7F9E3363"/>
    <w:multiLevelType w:val="hybridMultilevel"/>
    <w:tmpl w:val="EA72989C"/>
    <w:lvl w:ilvl="0" w:tplc="804EC838">
      <w:start w:val="1"/>
      <w:numFmt w:val="bullet"/>
      <w:lvlText w:val=""/>
      <w:lvlJc w:val="left"/>
      <w:pPr>
        <w:ind w:left="780" w:hanging="360"/>
      </w:pPr>
      <w:rPr>
        <w:rFonts w:ascii="Symbol" w:hAnsi="Symbol" w:hint="default"/>
        <w:color w:val="auto"/>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00" w15:restartNumberingAfterBreak="0">
    <w:nsid w:val="7FE016A0"/>
    <w:multiLevelType w:val="multilevel"/>
    <w:tmpl w:val="F5EE4A92"/>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15:restartNumberingAfterBreak="0">
    <w:nsid w:val="7FEB1DE1"/>
    <w:multiLevelType w:val="hybridMultilevel"/>
    <w:tmpl w:val="D198421C"/>
    <w:lvl w:ilvl="0" w:tplc="04150001">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402" w15:restartNumberingAfterBreak="0">
    <w:nsid w:val="7FF356BE"/>
    <w:multiLevelType w:val="hybridMultilevel"/>
    <w:tmpl w:val="F79831E8"/>
    <w:lvl w:ilvl="0" w:tplc="FFFFFFFF">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121"/>
    <w:lvlOverride w:ilvl="0">
      <w:lvl w:ilvl="0">
        <w:start w:val="1"/>
        <w:numFmt w:val="decimal"/>
        <w:pStyle w:val="Nagwek1"/>
        <w:lvlText w:val="%1."/>
        <w:lvlJc w:val="left"/>
        <w:pPr>
          <w:ind w:left="360" w:hanging="360"/>
        </w:pPr>
      </w:lvl>
    </w:lvlOverride>
    <w:lvlOverride w:ilvl="1">
      <w:lvl w:ilvl="1">
        <w:start w:val="1"/>
        <w:numFmt w:val="decimal"/>
        <w:pStyle w:val="Nagwek2"/>
        <w:lvlText w:val="%1.%2."/>
        <w:lvlJc w:val="left"/>
        <w:pPr>
          <w:ind w:left="792" w:hanging="432"/>
        </w:pPr>
      </w:lvl>
    </w:lvlOverride>
    <w:lvlOverride w:ilvl="2">
      <w:lvl w:ilvl="2">
        <w:start w:val="1"/>
        <w:numFmt w:val="decimal"/>
        <w:pStyle w:val="Nagwek3"/>
        <w:lvlText w:val="%1.%2.%3."/>
        <w:lvlJc w:val="left"/>
        <w:pPr>
          <w:ind w:left="122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 w:numId="2">
    <w:abstractNumId w:val="353"/>
  </w:num>
  <w:num w:numId="3">
    <w:abstractNumId w:val="367"/>
  </w:num>
  <w:num w:numId="4">
    <w:abstractNumId w:val="299"/>
  </w:num>
  <w:num w:numId="5">
    <w:abstractNumId w:val="265"/>
  </w:num>
  <w:num w:numId="6">
    <w:abstractNumId w:val="324"/>
  </w:num>
  <w:num w:numId="7">
    <w:abstractNumId w:val="213"/>
  </w:num>
  <w:num w:numId="8">
    <w:abstractNumId w:val="36"/>
  </w:num>
  <w:num w:numId="9">
    <w:abstractNumId w:val="84"/>
  </w:num>
  <w:num w:numId="10">
    <w:abstractNumId w:val="297"/>
  </w:num>
  <w:num w:numId="11">
    <w:abstractNumId w:val="159"/>
  </w:num>
  <w:num w:numId="12">
    <w:abstractNumId w:val="105"/>
  </w:num>
  <w:num w:numId="13">
    <w:abstractNumId w:val="212"/>
  </w:num>
  <w:num w:numId="14">
    <w:abstractNumId w:val="249"/>
  </w:num>
  <w:num w:numId="15">
    <w:abstractNumId w:val="17"/>
  </w:num>
  <w:num w:numId="16">
    <w:abstractNumId w:val="24"/>
  </w:num>
  <w:num w:numId="17">
    <w:abstractNumId w:val="2"/>
  </w:num>
  <w:num w:numId="18">
    <w:abstractNumId w:val="71"/>
  </w:num>
  <w:num w:numId="19">
    <w:abstractNumId w:val="142"/>
  </w:num>
  <w:num w:numId="20">
    <w:abstractNumId w:val="221"/>
  </w:num>
  <w:num w:numId="21">
    <w:abstractNumId w:val="123"/>
  </w:num>
  <w:num w:numId="22">
    <w:abstractNumId w:val="339"/>
  </w:num>
  <w:num w:numId="23">
    <w:abstractNumId w:val="46"/>
  </w:num>
  <w:num w:numId="24">
    <w:abstractNumId w:val="346"/>
  </w:num>
  <w:num w:numId="25">
    <w:abstractNumId w:val="11"/>
  </w:num>
  <w:num w:numId="26">
    <w:abstractNumId w:val="169"/>
  </w:num>
  <w:num w:numId="27">
    <w:abstractNumId w:val="210"/>
  </w:num>
  <w:num w:numId="28">
    <w:abstractNumId w:val="196"/>
  </w:num>
  <w:num w:numId="29">
    <w:abstractNumId w:val="12"/>
  </w:num>
  <w:num w:numId="30">
    <w:abstractNumId w:val="225"/>
  </w:num>
  <w:num w:numId="31">
    <w:abstractNumId w:val="217"/>
  </w:num>
  <w:num w:numId="32">
    <w:abstractNumId w:val="335"/>
  </w:num>
  <w:num w:numId="33">
    <w:abstractNumId w:val="173"/>
  </w:num>
  <w:num w:numId="34">
    <w:abstractNumId w:val="237"/>
  </w:num>
  <w:num w:numId="35">
    <w:abstractNumId w:val="95"/>
  </w:num>
  <w:num w:numId="36">
    <w:abstractNumId w:val="271"/>
  </w:num>
  <w:num w:numId="37">
    <w:abstractNumId w:val="188"/>
  </w:num>
  <w:num w:numId="38">
    <w:abstractNumId w:val="396"/>
  </w:num>
  <w:num w:numId="39">
    <w:abstractNumId w:val="146"/>
  </w:num>
  <w:num w:numId="40">
    <w:abstractNumId w:val="358"/>
  </w:num>
  <w:num w:numId="41">
    <w:abstractNumId w:val="41"/>
  </w:num>
  <w:num w:numId="42">
    <w:abstractNumId w:val="295"/>
  </w:num>
  <w:num w:numId="43">
    <w:abstractNumId w:val="124"/>
  </w:num>
  <w:num w:numId="44">
    <w:abstractNumId w:val="109"/>
  </w:num>
  <w:num w:numId="45">
    <w:abstractNumId w:val="103"/>
  </w:num>
  <w:num w:numId="46">
    <w:abstractNumId w:val="26"/>
  </w:num>
  <w:num w:numId="47">
    <w:abstractNumId w:val="285"/>
  </w:num>
  <w:num w:numId="48">
    <w:abstractNumId w:val="269"/>
  </w:num>
  <w:num w:numId="49">
    <w:abstractNumId w:val="74"/>
  </w:num>
  <w:num w:numId="50">
    <w:abstractNumId w:val="91"/>
  </w:num>
  <w:num w:numId="51">
    <w:abstractNumId w:val="386"/>
  </w:num>
  <w:num w:numId="52">
    <w:abstractNumId w:val="397"/>
  </w:num>
  <w:num w:numId="53">
    <w:abstractNumId w:val="247"/>
  </w:num>
  <w:num w:numId="54">
    <w:abstractNumId w:val="219"/>
  </w:num>
  <w:num w:numId="55">
    <w:abstractNumId w:val="214"/>
  </w:num>
  <w:num w:numId="56">
    <w:abstractNumId w:val="128"/>
  </w:num>
  <w:num w:numId="57">
    <w:abstractNumId w:val="43"/>
  </w:num>
  <w:num w:numId="58">
    <w:abstractNumId w:val="172"/>
  </w:num>
  <w:num w:numId="59">
    <w:abstractNumId w:val="275"/>
  </w:num>
  <w:num w:numId="60">
    <w:abstractNumId w:val="32"/>
  </w:num>
  <w:num w:numId="61">
    <w:abstractNumId w:val="161"/>
  </w:num>
  <w:num w:numId="62">
    <w:abstractNumId w:val="33"/>
  </w:num>
  <w:num w:numId="63">
    <w:abstractNumId w:val="255"/>
  </w:num>
  <w:num w:numId="64">
    <w:abstractNumId w:val="388"/>
  </w:num>
  <w:num w:numId="65">
    <w:abstractNumId w:val="158"/>
  </w:num>
  <w:num w:numId="66">
    <w:abstractNumId w:val="287"/>
  </w:num>
  <w:num w:numId="67">
    <w:abstractNumId w:val="306"/>
  </w:num>
  <w:num w:numId="68">
    <w:abstractNumId w:val="78"/>
  </w:num>
  <w:num w:numId="69">
    <w:abstractNumId w:val="357"/>
  </w:num>
  <w:num w:numId="70">
    <w:abstractNumId w:val="377"/>
  </w:num>
  <w:num w:numId="71">
    <w:abstractNumId w:val="204"/>
  </w:num>
  <w:num w:numId="72">
    <w:abstractNumId w:val="5"/>
  </w:num>
  <w:num w:numId="73">
    <w:abstractNumId w:val="333"/>
  </w:num>
  <w:num w:numId="74">
    <w:abstractNumId w:val="130"/>
  </w:num>
  <w:num w:numId="75">
    <w:abstractNumId w:val="155"/>
  </w:num>
  <w:num w:numId="76">
    <w:abstractNumId w:val="163"/>
  </w:num>
  <w:num w:numId="77">
    <w:abstractNumId w:val="241"/>
  </w:num>
  <w:num w:numId="78">
    <w:abstractNumId w:val="366"/>
  </w:num>
  <w:num w:numId="79">
    <w:abstractNumId w:val="143"/>
  </w:num>
  <w:num w:numId="80">
    <w:abstractNumId w:val="206"/>
  </w:num>
  <w:num w:numId="81">
    <w:abstractNumId w:val="200"/>
  </w:num>
  <w:num w:numId="82">
    <w:abstractNumId w:val="177"/>
  </w:num>
  <w:num w:numId="83">
    <w:abstractNumId w:val="10"/>
  </w:num>
  <w:num w:numId="84">
    <w:abstractNumId w:val="215"/>
  </w:num>
  <w:num w:numId="85">
    <w:abstractNumId w:val="310"/>
  </w:num>
  <w:num w:numId="86">
    <w:abstractNumId w:val="165"/>
  </w:num>
  <w:num w:numId="87">
    <w:abstractNumId w:val="224"/>
  </w:num>
  <w:num w:numId="88">
    <w:abstractNumId w:val="307"/>
  </w:num>
  <w:num w:numId="89">
    <w:abstractNumId w:val="365"/>
  </w:num>
  <w:num w:numId="90">
    <w:abstractNumId w:val="261"/>
  </w:num>
  <w:num w:numId="91">
    <w:abstractNumId w:val="290"/>
  </w:num>
  <w:num w:numId="92">
    <w:abstractNumId w:val="144"/>
  </w:num>
  <w:num w:numId="93">
    <w:abstractNumId w:val="72"/>
  </w:num>
  <w:num w:numId="94">
    <w:abstractNumId w:val="207"/>
  </w:num>
  <w:num w:numId="95">
    <w:abstractNumId w:val="23"/>
  </w:num>
  <w:num w:numId="96">
    <w:abstractNumId w:val="274"/>
  </w:num>
  <w:num w:numId="97">
    <w:abstractNumId w:val="262"/>
  </w:num>
  <w:num w:numId="98">
    <w:abstractNumId w:val="347"/>
  </w:num>
  <w:num w:numId="99">
    <w:abstractNumId w:val="276"/>
  </w:num>
  <w:num w:numId="100">
    <w:abstractNumId w:val="90"/>
  </w:num>
  <w:num w:numId="101">
    <w:abstractNumId w:val="89"/>
  </w:num>
  <w:num w:numId="102">
    <w:abstractNumId w:val="369"/>
  </w:num>
  <w:num w:numId="103">
    <w:abstractNumId w:val="69"/>
  </w:num>
  <w:num w:numId="104">
    <w:abstractNumId w:val="355"/>
  </w:num>
  <w:num w:numId="105">
    <w:abstractNumId w:val="94"/>
  </w:num>
  <w:num w:numId="106">
    <w:abstractNumId w:val="86"/>
  </w:num>
  <w:num w:numId="107">
    <w:abstractNumId w:val="92"/>
  </w:num>
  <w:num w:numId="108">
    <w:abstractNumId w:val="332"/>
  </w:num>
  <w:num w:numId="109">
    <w:abstractNumId w:val="107"/>
  </w:num>
  <w:num w:numId="110">
    <w:abstractNumId w:val="334"/>
  </w:num>
  <w:num w:numId="111">
    <w:abstractNumId w:val="277"/>
  </w:num>
  <w:num w:numId="112">
    <w:abstractNumId w:val="135"/>
  </w:num>
  <w:num w:numId="113">
    <w:abstractNumId w:val="190"/>
  </w:num>
  <w:num w:numId="114">
    <w:abstractNumId w:val="245"/>
  </w:num>
  <w:num w:numId="115">
    <w:abstractNumId w:val="227"/>
  </w:num>
  <w:num w:numId="116">
    <w:abstractNumId w:val="384"/>
  </w:num>
  <w:num w:numId="117">
    <w:abstractNumId w:val="93"/>
  </w:num>
  <w:num w:numId="118">
    <w:abstractNumId w:val="344"/>
  </w:num>
  <w:num w:numId="119">
    <w:abstractNumId w:val="232"/>
  </w:num>
  <w:num w:numId="120">
    <w:abstractNumId w:val="152"/>
  </w:num>
  <w:num w:numId="121">
    <w:abstractNumId w:val="211"/>
  </w:num>
  <w:num w:numId="122">
    <w:abstractNumId w:val="340"/>
  </w:num>
  <w:num w:numId="123">
    <w:abstractNumId w:val="350"/>
  </w:num>
  <w:num w:numId="124">
    <w:abstractNumId w:val="65"/>
  </w:num>
  <w:num w:numId="125">
    <w:abstractNumId w:val="178"/>
  </w:num>
  <w:num w:numId="126">
    <w:abstractNumId w:val="115"/>
  </w:num>
  <w:num w:numId="127">
    <w:abstractNumId w:val="293"/>
  </w:num>
  <w:num w:numId="128">
    <w:abstractNumId w:val="342"/>
  </w:num>
  <w:num w:numId="129">
    <w:abstractNumId w:val="240"/>
  </w:num>
  <w:num w:numId="130">
    <w:abstractNumId w:val="260"/>
  </w:num>
  <w:num w:numId="131">
    <w:abstractNumId w:val="170"/>
  </w:num>
  <w:num w:numId="132">
    <w:abstractNumId w:val="303"/>
  </w:num>
  <w:num w:numId="133">
    <w:abstractNumId w:val="296"/>
  </w:num>
  <w:num w:numId="134">
    <w:abstractNumId w:val="117"/>
  </w:num>
  <w:num w:numId="135">
    <w:abstractNumId w:val="56"/>
  </w:num>
  <w:num w:numId="136">
    <w:abstractNumId w:val="14"/>
  </w:num>
  <w:num w:numId="137">
    <w:abstractNumId w:val="252"/>
  </w:num>
  <w:num w:numId="138">
    <w:abstractNumId w:val="309"/>
  </w:num>
  <w:num w:numId="139">
    <w:abstractNumId w:val="134"/>
  </w:num>
  <w:num w:numId="140">
    <w:abstractNumId w:val="20"/>
  </w:num>
  <w:num w:numId="141">
    <w:abstractNumId w:val="391"/>
  </w:num>
  <w:num w:numId="142">
    <w:abstractNumId w:val="394"/>
  </w:num>
  <w:num w:numId="143">
    <w:abstractNumId w:val="291"/>
  </w:num>
  <w:num w:numId="144">
    <w:abstractNumId w:val="382"/>
  </w:num>
  <w:num w:numId="145">
    <w:abstractNumId w:val="283"/>
  </w:num>
  <w:num w:numId="146">
    <w:abstractNumId w:val="259"/>
  </w:num>
  <w:num w:numId="147">
    <w:abstractNumId w:val="87"/>
  </w:num>
  <w:num w:numId="148">
    <w:abstractNumId w:val="327"/>
  </w:num>
  <w:num w:numId="149">
    <w:abstractNumId w:val="162"/>
  </w:num>
  <w:num w:numId="150">
    <w:abstractNumId w:val="375"/>
  </w:num>
  <w:num w:numId="151">
    <w:abstractNumId w:val="21"/>
  </w:num>
  <w:num w:numId="152">
    <w:abstractNumId w:val="75"/>
  </w:num>
  <w:num w:numId="153">
    <w:abstractNumId w:val="228"/>
  </w:num>
  <w:num w:numId="154">
    <w:abstractNumId w:val="66"/>
  </w:num>
  <w:num w:numId="155">
    <w:abstractNumId w:val="253"/>
  </w:num>
  <w:num w:numId="156">
    <w:abstractNumId w:val="175"/>
  </w:num>
  <w:num w:numId="157">
    <w:abstractNumId w:val="199"/>
  </w:num>
  <w:num w:numId="158">
    <w:abstractNumId w:val="79"/>
  </w:num>
  <w:num w:numId="159">
    <w:abstractNumId w:val="153"/>
  </w:num>
  <w:num w:numId="160">
    <w:abstractNumId w:val="370"/>
  </w:num>
  <w:num w:numId="161">
    <w:abstractNumId w:val="313"/>
  </w:num>
  <w:num w:numId="162">
    <w:abstractNumId w:val="52"/>
  </w:num>
  <w:num w:numId="163">
    <w:abstractNumId w:val="64"/>
  </w:num>
  <w:num w:numId="164">
    <w:abstractNumId w:val="257"/>
  </w:num>
  <w:num w:numId="165">
    <w:abstractNumId w:val="174"/>
  </w:num>
  <w:num w:numId="166">
    <w:abstractNumId w:val="125"/>
  </w:num>
  <w:num w:numId="167">
    <w:abstractNumId w:val="187"/>
  </w:num>
  <w:num w:numId="168">
    <w:abstractNumId w:val="321"/>
  </w:num>
  <w:num w:numId="169">
    <w:abstractNumId w:val="154"/>
  </w:num>
  <w:num w:numId="170">
    <w:abstractNumId w:val="131"/>
  </w:num>
  <w:num w:numId="171">
    <w:abstractNumId w:val="268"/>
  </w:num>
  <w:num w:numId="172">
    <w:abstractNumId w:val="184"/>
  </w:num>
  <w:num w:numId="173">
    <w:abstractNumId w:val="193"/>
  </w:num>
  <w:num w:numId="174">
    <w:abstractNumId w:val="70"/>
  </w:num>
  <w:num w:numId="175">
    <w:abstractNumId w:val="102"/>
  </w:num>
  <w:num w:numId="176">
    <w:abstractNumId w:val="220"/>
  </w:num>
  <w:num w:numId="177">
    <w:abstractNumId w:val="390"/>
  </w:num>
  <w:num w:numId="178">
    <w:abstractNumId w:val="398"/>
  </w:num>
  <w:num w:numId="179">
    <w:abstractNumId w:val="8"/>
  </w:num>
  <w:num w:numId="180">
    <w:abstractNumId w:val="208"/>
  </w:num>
  <w:num w:numId="181">
    <w:abstractNumId w:val="96"/>
  </w:num>
  <w:num w:numId="182">
    <w:abstractNumId w:val="328"/>
  </w:num>
  <w:num w:numId="183">
    <w:abstractNumId w:val="147"/>
  </w:num>
  <w:num w:numId="184">
    <w:abstractNumId w:val="337"/>
  </w:num>
  <w:num w:numId="185">
    <w:abstractNumId w:val="100"/>
  </w:num>
  <w:num w:numId="186">
    <w:abstractNumId w:val="395"/>
  </w:num>
  <w:num w:numId="187">
    <w:abstractNumId w:val="61"/>
  </w:num>
  <w:num w:numId="188">
    <w:abstractNumId w:val="378"/>
  </w:num>
  <w:num w:numId="189">
    <w:abstractNumId w:val="273"/>
  </w:num>
  <w:num w:numId="190">
    <w:abstractNumId w:val="34"/>
  </w:num>
  <w:num w:numId="191">
    <w:abstractNumId w:val="166"/>
  </w:num>
  <w:num w:numId="192">
    <w:abstractNumId w:val="302"/>
  </w:num>
  <w:num w:numId="193">
    <w:abstractNumId w:val="203"/>
  </w:num>
  <w:num w:numId="194">
    <w:abstractNumId w:val="235"/>
  </w:num>
  <w:num w:numId="195">
    <w:abstractNumId w:val="226"/>
  </w:num>
  <w:num w:numId="196">
    <w:abstractNumId w:val="140"/>
  </w:num>
  <w:num w:numId="197">
    <w:abstractNumId w:val="116"/>
  </w:num>
  <w:num w:numId="198">
    <w:abstractNumId w:val="48"/>
  </w:num>
  <w:num w:numId="199">
    <w:abstractNumId w:val="345"/>
  </w:num>
  <w:num w:numId="200">
    <w:abstractNumId w:val="38"/>
  </w:num>
  <w:num w:numId="201">
    <w:abstractNumId w:val="312"/>
  </w:num>
  <w:num w:numId="202">
    <w:abstractNumId w:val="108"/>
  </w:num>
  <w:num w:numId="203">
    <w:abstractNumId w:val="164"/>
  </w:num>
  <w:num w:numId="204">
    <w:abstractNumId w:val="250"/>
  </w:num>
  <w:num w:numId="205">
    <w:abstractNumId w:val="18"/>
  </w:num>
  <w:num w:numId="206">
    <w:abstractNumId w:val="197"/>
  </w:num>
  <w:num w:numId="207">
    <w:abstractNumId w:val="137"/>
  </w:num>
  <w:num w:numId="208">
    <w:abstractNumId w:val="383"/>
  </w:num>
  <w:num w:numId="209">
    <w:abstractNumId w:val="393"/>
  </w:num>
  <w:num w:numId="210">
    <w:abstractNumId w:val="326"/>
  </w:num>
  <w:num w:numId="211">
    <w:abstractNumId w:val="349"/>
  </w:num>
  <w:num w:numId="212">
    <w:abstractNumId w:val="119"/>
  </w:num>
  <w:num w:numId="213">
    <w:abstractNumId w:val="42"/>
  </w:num>
  <w:num w:numId="214">
    <w:abstractNumId w:val="98"/>
  </w:num>
  <w:num w:numId="215">
    <w:abstractNumId w:val="400"/>
  </w:num>
  <w:num w:numId="216">
    <w:abstractNumId w:val="149"/>
  </w:num>
  <w:num w:numId="217">
    <w:abstractNumId w:val="301"/>
  </w:num>
  <w:num w:numId="218">
    <w:abstractNumId w:val="385"/>
  </w:num>
  <w:num w:numId="219">
    <w:abstractNumId w:val="54"/>
  </w:num>
  <w:num w:numId="220">
    <w:abstractNumId w:val="113"/>
  </w:num>
  <w:num w:numId="221">
    <w:abstractNumId w:val="160"/>
  </w:num>
  <w:num w:numId="222">
    <w:abstractNumId w:val="148"/>
  </w:num>
  <w:num w:numId="223">
    <w:abstractNumId w:val="157"/>
  </w:num>
  <w:num w:numId="224">
    <w:abstractNumId w:val="51"/>
  </w:num>
  <w:num w:numId="225">
    <w:abstractNumId w:val="73"/>
  </w:num>
  <w:num w:numId="226">
    <w:abstractNumId w:val="81"/>
  </w:num>
  <w:num w:numId="227">
    <w:abstractNumId w:val="88"/>
  </w:num>
  <w:num w:numId="228">
    <w:abstractNumId w:val="282"/>
  </w:num>
  <w:num w:numId="229">
    <w:abstractNumId w:val="264"/>
  </w:num>
  <w:num w:numId="230">
    <w:abstractNumId w:val="372"/>
  </w:num>
  <w:num w:numId="231">
    <w:abstractNumId w:val="29"/>
  </w:num>
  <w:num w:numId="232">
    <w:abstractNumId w:val="101"/>
  </w:num>
  <w:num w:numId="233">
    <w:abstractNumId w:val="202"/>
  </w:num>
  <w:num w:numId="234">
    <w:abstractNumId w:val="189"/>
  </w:num>
  <w:num w:numId="235">
    <w:abstractNumId w:val="231"/>
  </w:num>
  <w:num w:numId="236">
    <w:abstractNumId w:val="156"/>
  </w:num>
  <w:num w:numId="237">
    <w:abstractNumId w:val="55"/>
  </w:num>
  <w:num w:numId="238">
    <w:abstractNumId w:val="218"/>
  </w:num>
  <w:num w:numId="239">
    <w:abstractNumId w:val="267"/>
  </w:num>
  <w:num w:numId="240">
    <w:abstractNumId w:val="236"/>
  </w:num>
  <w:num w:numId="241">
    <w:abstractNumId w:val="374"/>
  </w:num>
  <w:num w:numId="242">
    <w:abstractNumId w:val="279"/>
  </w:num>
  <w:num w:numId="243">
    <w:abstractNumId w:val="198"/>
  </w:num>
  <w:num w:numId="244">
    <w:abstractNumId w:val="25"/>
  </w:num>
  <w:num w:numId="245">
    <w:abstractNumId w:val="110"/>
  </w:num>
  <w:num w:numId="246">
    <w:abstractNumId w:val="354"/>
  </w:num>
  <w:num w:numId="247">
    <w:abstractNumId w:val="80"/>
  </w:num>
  <w:num w:numId="248">
    <w:abstractNumId w:val="106"/>
  </w:num>
  <w:num w:numId="249">
    <w:abstractNumId w:val="114"/>
  </w:num>
  <w:num w:numId="250">
    <w:abstractNumId w:val="329"/>
  </w:num>
  <w:num w:numId="251">
    <w:abstractNumId w:val="28"/>
  </w:num>
  <w:num w:numId="252">
    <w:abstractNumId w:val="19"/>
  </w:num>
  <w:num w:numId="253">
    <w:abstractNumId w:val="209"/>
  </w:num>
  <w:num w:numId="254">
    <w:abstractNumId w:val="286"/>
  </w:num>
  <w:num w:numId="255">
    <w:abstractNumId w:val="37"/>
  </w:num>
  <w:num w:numId="256">
    <w:abstractNumId w:val="392"/>
  </w:num>
  <w:num w:numId="257">
    <w:abstractNumId w:val="22"/>
  </w:num>
  <w:num w:numId="258">
    <w:abstractNumId w:val="45"/>
  </w:num>
  <w:num w:numId="259">
    <w:abstractNumId w:val="145"/>
  </w:num>
  <w:num w:numId="260">
    <w:abstractNumId w:val="118"/>
  </w:num>
  <w:num w:numId="261">
    <w:abstractNumId w:val="389"/>
  </w:num>
  <w:num w:numId="262">
    <w:abstractNumId w:val="288"/>
  </w:num>
  <w:num w:numId="263">
    <w:abstractNumId w:val="57"/>
  </w:num>
  <w:num w:numId="264">
    <w:abstractNumId w:val="376"/>
  </w:num>
  <w:num w:numId="265">
    <w:abstractNumId w:val="76"/>
  </w:num>
  <w:num w:numId="266">
    <w:abstractNumId w:val="246"/>
  </w:num>
  <w:num w:numId="267">
    <w:abstractNumId w:val="266"/>
  </w:num>
  <w:num w:numId="268">
    <w:abstractNumId w:val="362"/>
  </w:num>
  <w:num w:numId="269">
    <w:abstractNumId w:val="151"/>
  </w:num>
  <w:num w:numId="270">
    <w:abstractNumId w:val="39"/>
  </w:num>
  <w:num w:numId="271">
    <w:abstractNumId w:val="254"/>
  </w:num>
  <w:num w:numId="272">
    <w:abstractNumId w:val="85"/>
  </w:num>
  <w:num w:numId="273">
    <w:abstractNumId w:val="60"/>
  </w:num>
  <w:num w:numId="274">
    <w:abstractNumId w:val="243"/>
  </w:num>
  <w:num w:numId="275">
    <w:abstractNumId w:val="111"/>
  </w:num>
  <w:num w:numId="276">
    <w:abstractNumId w:val="139"/>
  </w:num>
  <w:num w:numId="277">
    <w:abstractNumId w:val="222"/>
  </w:num>
  <w:num w:numId="278">
    <w:abstractNumId w:val="341"/>
  </w:num>
  <w:num w:numId="279">
    <w:abstractNumId w:val="59"/>
  </w:num>
  <w:num w:numId="280">
    <w:abstractNumId w:val="120"/>
  </w:num>
  <w:num w:numId="281">
    <w:abstractNumId w:val="112"/>
  </w:num>
  <w:num w:numId="282">
    <w:abstractNumId w:val="99"/>
  </w:num>
  <w:num w:numId="283">
    <w:abstractNumId w:val="233"/>
  </w:num>
  <w:num w:numId="284">
    <w:abstractNumId w:val="242"/>
  </w:num>
  <w:num w:numId="285">
    <w:abstractNumId w:val="244"/>
  </w:num>
  <w:num w:numId="286">
    <w:abstractNumId w:val="238"/>
  </w:num>
  <w:num w:numId="287">
    <w:abstractNumId w:val="399"/>
  </w:num>
  <w:num w:numId="288">
    <w:abstractNumId w:val="9"/>
  </w:num>
  <w:num w:numId="289">
    <w:abstractNumId w:val="317"/>
  </w:num>
  <w:num w:numId="290">
    <w:abstractNumId w:val="381"/>
  </w:num>
  <w:num w:numId="291">
    <w:abstractNumId w:val="338"/>
  </w:num>
  <w:num w:numId="292">
    <w:abstractNumId w:val="181"/>
  </w:num>
  <w:num w:numId="293">
    <w:abstractNumId w:val="298"/>
  </w:num>
  <w:num w:numId="294">
    <w:abstractNumId w:val="171"/>
  </w:num>
  <w:num w:numId="295">
    <w:abstractNumId w:val="27"/>
  </w:num>
  <w:num w:numId="296">
    <w:abstractNumId w:val="104"/>
  </w:num>
  <w:num w:numId="297">
    <w:abstractNumId w:val="336"/>
  </w:num>
  <w:num w:numId="298">
    <w:abstractNumId w:val="284"/>
  </w:num>
  <w:num w:numId="299">
    <w:abstractNumId w:val="258"/>
  </w:num>
  <w:num w:numId="300">
    <w:abstractNumId w:val="3"/>
  </w:num>
  <w:num w:numId="301">
    <w:abstractNumId w:val="194"/>
  </w:num>
  <w:num w:numId="302">
    <w:abstractNumId w:val="63"/>
  </w:num>
  <w:num w:numId="303">
    <w:abstractNumId w:val="348"/>
  </w:num>
  <w:num w:numId="304">
    <w:abstractNumId w:val="387"/>
  </w:num>
  <w:num w:numId="305">
    <w:abstractNumId w:val="325"/>
  </w:num>
  <w:num w:numId="306">
    <w:abstractNumId w:val="186"/>
  </w:num>
  <w:num w:numId="307">
    <w:abstractNumId w:val="360"/>
  </w:num>
  <w:num w:numId="308">
    <w:abstractNumId w:val="205"/>
  </w:num>
  <w:num w:numId="309">
    <w:abstractNumId w:val="314"/>
  </w:num>
  <w:num w:numId="310">
    <w:abstractNumId w:val="373"/>
  </w:num>
  <w:num w:numId="311">
    <w:abstractNumId w:val="133"/>
  </w:num>
  <w:num w:numId="312">
    <w:abstractNumId w:val="15"/>
  </w:num>
  <w:num w:numId="313">
    <w:abstractNumId w:val="292"/>
  </w:num>
  <w:num w:numId="314">
    <w:abstractNumId w:val="300"/>
  </w:num>
  <w:num w:numId="315">
    <w:abstractNumId w:val="316"/>
  </w:num>
  <w:num w:numId="316">
    <w:abstractNumId w:val="47"/>
  </w:num>
  <w:num w:numId="317">
    <w:abstractNumId w:val="35"/>
  </w:num>
  <w:num w:numId="318">
    <w:abstractNumId w:val="323"/>
  </w:num>
  <w:num w:numId="319">
    <w:abstractNumId w:val="304"/>
  </w:num>
  <w:num w:numId="320">
    <w:abstractNumId w:val="62"/>
  </w:num>
  <w:num w:numId="321">
    <w:abstractNumId w:val="201"/>
  </w:num>
  <w:num w:numId="322">
    <w:abstractNumId w:val="352"/>
  </w:num>
  <w:num w:numId="323">
    <w:abstractNumId w:val="331"/>
  </w:num>
  <w:num w:numId="324">
    <w:abstractNumId w:val="230"/>
  </w:num>
  <w:num w:numId="325">
    <w:abstractNumId w:val="179"/>
  </w:num>
  <w:num w:numId="326">
    <w:abstractNumId w:val="127"/>
  </w:num>
  <w:num w:numId="327">
    <w:abstractNumId w:val="77"/>
  </w:num>
  <w:num w:numId="328">
    <w:abstractNumId w:val="30"/>
  </w:num>
  <w:num w:numId="329">
    <w:abstractNumId w:val="318"/>
  </w:num>
  <w:num w:numId="330">
    <w:abstractNumId w:val="182"/>
  </w:num>
  <w:num w:numId="331">
    <w:abstractNumId w:val="308"/>
  </w:num>
  <w:num w:numId="332">
    <w:abstractNumId w:val="330"/>
  </w:num>
  <w:num w:numId="333">
    <w:abstractNumId w:val="251"/>
  </w:num>
  <w:num w:numId="334">
    <w:abstractNumId w:val="359"/>
  </w:num>
  <w:num w:numId="335">
    <w:abstractNumId w:val="176"/>
  </w:num>
  <w:num w:numId="336">
    <w:abstractNumId w:val="97"/>
  </w:num>
  <w:num w:numId="337">
    <w:abstractNumId w:val="50"/>
  </w:num>
  <w:num w:numId="338">
    <w:abstractNumId w:val="280"/>
  </w:num>
  <w:num w:numId="339">
    <w:abstractNumId w:val="185"/>
  </w:num>
  <w:num w:numId="340">
    <w:abstractNumId w:val="289"/>
  </w:num>
  <w:num w:numId="341">
    <w:abstractNumId w:val="401"/>
  </w:num>
  <w:num w:numId="342">
    <w:abstractNumId w:val="4"/>
  </w:num>
  <w:num w:numId="343">
    <w:abstractNumId w:val="16"/>
  </w:num>
  <w:num w:numId="344">
    <w:abstractNumId w:val="83"/>
  </w:num>
  <w:num w:numId="345">
    <w:abstractNumId w:val="380"/>
  </w:num>
  <w:num w:numId="346">
    <w:abstractNumId w:val="49"/>
  </w:num>
  <w:num w:numId="347">
    <w:abstractNumId w:val="270"/>
  </w:num>
  <w:num w:numId="348">
    <w:abstractNumId w:val="7"/>
  </w:num>
  <w:num w:numId="349">
    <w:abstractNumId w:val="126"/>
  </w:num>
  <w:num w:numId="350">
    <w:abstractNumId w:val="138"/>
  </w:num>
  <w:num w:numId="351">
    <w:abstractNumId w:val="40"/>
  </w:num>
  <w:num w:numId="352">
    <w:abstractNumId w:val="122"/>
  </w:num>
  <w:num w:numId="353">
    <w:abstractNumId w:val="371"/>
  </w:num>
  <w:num w:numId="354">
    <w:abstractNumId w:val="263"/>
  </w:num>
  <w:num w:numId="355">
    <w:abstractNumId w:val="343"/>
  </w:num>
  <w:num w:numId="356">
    <w:abstractNumId w:val="320"/>
  </w:num>
  <w:num w:numId="357">
    <w:abstractNumId w:val="67"/>
  </w:num>
  <w:num w:numId="358">
    <w:abstractNumId w:val="53"/>
  </w:num>
  <w:num w:numId="359">
    <w:abstractNumId w:val="183"/>
  </w:num>
  <w:num w:numId="360">
    <w:abstractNumId w:val="129"/>
  </w:num>
  <w:num w:numId="361">
    <w:abstractNumId w:val="256"/>
  </w:num>
  <w:num w:numId="362">
    <w:abstractNumId w:val="216"/>
  </w:num>
  <w:num w:numId="363">
    <w:abstractNumId w:val="361"/>
  </w:num>
  <w:num w:numId="364">
    <w:abstractNumId w:val="239"/>
  </w:num>
  <w:num w:numId="365">
    <w:abstractNumId w:val="402"/>
  </w:num>
  <w:num w:numId="366">
    <w:abstractNumId w:val="68"/>
  </w:num>
  <w:num w:numId="367">
    <w:abstractNumId w:val="272"/>
  </w:num>
  <w:num w:numId="368">
    <w:abstractNumId w:val="195"/>
  </w:num>
  <w:num w:numId="369">
    <w:abstractNumId w:val="356"/>
  </w:num>
  <w:num w:numId="370">
    <w:abstractNumId w:val="363"/>
  </w:num>
  <w:num w:numId="371">
    <w:abstractNumId w:val="379"/>
  </w:num>
  <w:num w:numId="372">
    <w:abstractNumId w:val="136"/>
  </w:num>
  <w:num w:numId="373">
    <w:abstractNumId w:val="248"/>
  </w:num>
  <w:num w:numId="374">
    <w:abstractNumId w:val="294"/>
  </w:num>
  <w:num w:numId="375">
    <w:abstractNumId w:val="319"/>
  </w:num>
  <w:num w:numId="376">
    <w:abstractNumId w:val="180"/>
  </w:num>
  <w:num w:numId="377">
    <w:abstractNumId w:val="278"/>
  </w:num>
  <w:num w:numId="378">
    <w:abstractNumId w:val="192"/>
  </w:num>
  <w:num w:numId="379">
    <w:abstractNumId w:val="281"/>
  </w:num>
  <w:num w:numId="380">
    <w:abstractNumId w:val="167"/>
  </w:num>
  <w:num w:numId="381">
    <w:abstractNumId w:val="58"/>
  </w:num>
  <w:num w:numId="382">
    <w:abstractNumId w:val="351"/>
  </w:num>
  <w:num w:numId="383">
    <w:abstractNumId w:val="121"/>
    <w:lvlOverride w:ilvl="0">
      <w:lvl w:ilvl="0">
        <w:start w:val="1"/>
        <w:numFmt w:val="decimal"/>
        <w:pStyle w:val="Nagwek1"/>
        <w:lvlText w:val="%1."/>
        <w:lvlJc w:val="left"/>
        <w:pPr>
          <w:ind w:left="360" w:hanging="360"/>
        </w:pPr>
      </w:lvl>
    </w:lvlOverride>
    <w:lvlOverride w:ilvl="1">
      <w:lvl w:ilvl="1">
        <w:start w:val="1"/>
        <w:numFmt w:val="decimal"/>
        <w:pStyle w:val="Nagwek2"/>
        <w:lvlText w:val="%1.%2."/>
        <w:lvlJc w:val="left"/>
        <w:pPr>
          <w:ind w:left="792" w:hanging="432"/>
        </w:pPr>
      </w:lvl>
    </w:lvlOverride>
    <w:lvlOverride w:ilvl="2">
      <w:lvl w:ilvl="2">
        <w:start w:val="1"/>
        <w:numFmt w:val="decimal"/>
        <w:pStyle w:val="Nagwek3"/>
        <w:lvlText w:val="%1.%2.%3."/>
        <w:lvlJc w:val="left"/>
        <w:pPr>
          <w:ind w:left="1224" w:hanging="504"/>
        </w:pPr>
      </w:lvl>
    </w:lvlOverride>
    <w:lvlOverride w:ilvl="3">
      <w:lvl w:ilvl="3">
        <w:start w:val="1"/>
        <w:numFmt w:val="decimal"/>
        <w:pStyle w:val="Nagwek4"/>
        <w:lvlText w:val="%1.%2.%3.%4."/>
        <w:lvlJc w:val="left"/>
        <w:pPr>
          <w:ind w:left="1728" w:hanging="648"/>
        </w:pPr>
      </w:lvl>
    </w:lvlOverride>
    <w:lvlOverride w:ilvl="4">
      <w:lvl w:ilvl="4">
        <w:start w:val="1"/>
        <w:numFmt w:val="decimal"/>
        <w:pStyle w:val="Nagwek5"/>
        <w:lvlText w:val="%1.%2.%3.%4.%5."/>
        <w:lvlJc w:val="left"/>
        <w:pPr>
          <w:ind w:left="2232" w:hanging="792"/>
        </w:pPr>
      </w:lvl>
    </w:lvlOverride>
    <w:lvlOverride w:ilvl="5">
      <w:lvl w:ilvl="5">
        <w:start w:val="1"/>
        <w:numFmt w:val="decimal"/>
        <w:pStyle w:val="Nagwek6"/>
        <w:lvlText w:val="%1.%2.%3.%4.%5.%6."/>
        <w:lvlJc w:val="left"/>
        <w:pPr>
          <w:ind w:left="2736" w:hanging="936"/>
        </w:pPr>
      </w:lvl>
    </w:lvlOverride>
    <w:lvlOverride w:ilvl="6">
      <w:lvl w:ilvl="6">
        <w:start w:val="1"/>
        <w:numFmt w:val="decimal"/>
        <w:pStyle w:val="Nagwek7"/>
        <w:lvlText w:val="%1.%2.%3.%4.%5.%6.%7."/>
        <w:lvlJc w:val="left"/>
        <w:pPr>
          <w:ind w:left="3240" w:hanging="1080"/>
        </w:pPr>
      </w:lvl>
    </w:lvlOverride>
    <w:lvlOverride w:ilvl="7">
      <w:lvl w:ilvl="7">
        <w:start w:val="1"/>
        <w:numFmt w:val="decimal"/>
        <w:pStyle w:val="Nagwek8"/>
        <w:lvlText w:val="%1.%2.%3.%4.%5.%6.%7.%8."/>
        <w:lvlJc w:val="left"/>
        <w:pPr>
          <w:ind w:left="3744" w:hanging="1224"/>
        </w:pPr>
      </w:lvl>
    </w:lvlOverride>
    <w:lvlOverride w:ilvl="8">
      <w:lvl w:ilvl="8">
        <w:start w:val="1"/>
        <w:numFmt w:val="decimal"/>
        <w:pStyle w:val="Nagwek9"/>
        <w:lvlText w:val="%1.%2.%3.%4.%5.%6.%7.%8.%9."/>
        <w:lvlJc w:val="left"/>
        <w:pPr>
          <w:ind w:left="4320" w:hanging="1440"/>
        </w:pPr>
      </w:lvl>
    </w:lvlOverride>
  </w:num>
  <w:num w:numId="384">
    <w:abstractNumId w:val="368"/>
  </w:num>
  <w:num w:numId="385">
    <w:abstractNumId w:val="311"/>
  </w:num>
  <w:num w:numId="386">
    <w:abstractNumId w:val="229"/>
  </w:num>
  <w:num w:numId="387">
    <w:abstractNumId w:val="13"/>
  </w:num>
  <w:num w:numId="388">
    <w:abstractNumId w:val="82"/>
  </w:num>
  <w:num w:numId="389">
    <w:abstractNumId w:val="31"/>
  </w:num>
  <w:num w:numId="390">
    <w:abstractNumId w:val="6"/>
  </w:num>
  <w:num w:numId="391">
    <w:abstractNumId w:val="223"/>
  </w:num>
  <w:num w:numId="392">
    <w:abstractNumId w:val="44"/>
  </w:num>
  <w:num w:numId="393">
    <w:abstractNumId w:val="141"/>
  </w:num>
  <w:num w:numId="394">
    <w:abstractNumId w:val="132"/>
  </w:num>
  <w:num w:numId="395">
    <w:abstractNumId w:val="191"/>
  </w:num>
  <w:num w:numId="396">
    <w:abstractNumId w:val="234"/>
  </w:num>
  <w:num w:numId="397">
    <w:abstractNumId w:val="364"/>
  </w:num>
  <w:num w:numId="398">
    <w:abstractNumId w:val="322"/>
  </w:num>
  <w:num w:numId="399">
    <w:abstractNumId w:val="315"/>
  </w:num>
  <w:num w:numId="400">
    <w:abstractNumId w:val="168"/>
  </w:num>
  <w:num w:numId="401">
    <w:abstractNumId w:val="305"/>
  </w:num>
  <w:num w:numId="402">
    <w:abstractNumId w:val="150"/>
  </w:num>
  <w:numIdMacAtCleanup w:val="3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A43"/>
    <w:rsid w:val="00000C86"/>
    <w:rsid w:val="00003F2A"/>
    <w:rsid w:val="00010F36"/>
    <w:rsid w:val="00011A0D"/>
    <w:rsid w:val="00015713"/>
    <w:rsid w:val="00015763"/>
    <w:rsid w:val="00020479"/>
    <w:rsid w:val="00021AEE"/>
    <w:rsid w:val="0002703B"/>
    <w:rsid w:val="00030A6C"/>
    <w:rsid w:val="00034A01"/>
    <w:rsid w:val="0003542C"/>
    <w:rsid w:val="00035E51"/>
    <w:rsid w:val="00036541"/>
    <w:rsid w:val="00041053"/>
    <w:rsid w:val="00043164"/>
    <w:rsid w:val="000436A1"/>
    <w:rsid w:val="00045540"/>
    <w:rsid w:val="0004697D"/>
    <w:rsid w:val="000478B4"/>
    <w:rsid w:val="00050B2A"/>
    <w:rsid w:val="000514D5"/>
    <w:rsid w:val="0005789A"/>
    <w:rsid w:val="00060A45"/>
    <w:rsid w:val="00061BE2"/>
    <w:rsid w:val="00063B1D"/>
    <w:rsid w:val="0006473C"/>
    <w:rsid w:val="00071004"/>
    <w:rsid w:val="00072C47"/>
    <w:rsid w:val="00074200"/>
    <w:rsid w:val="00074C6D"/>
    <w:rsid w:val="00077644"/>
    <w:rsid w:val="00077706"/>
    <w:rsid w:val="00077BF7"/>
    <w:rsid w:val="00080469"/>
    <w:rsid w:val="00080A38"/>
    <w:rsid w:val="000902E0"/>
    <w:rsid w:val="00093CB5"/>
    <w:rsid w:val="00094325"/>
    <w:rsid w:val="00094FD7"/>
    <w:rsid w:val="00096DB3"/>
    <w:rsid w:val="000A0F10"/>
    <w:rsid w:val="000A1AAA"/>
    <w:rsid w:val="000A25C2"/>
    <w:rsid w:val="000A348C"/>
    <w:rsid w:val="000A5E67"/>
    <w:rsid w:val="000A74B3"/>
    <w:rsid w:val="000B1611"/>
    <w:rsid w:val="000B1A43"/>
    <w:rsid w:val="000B3303"/>
    <w:rsid w:val="000B40AE"/>
    <w:rsid w:val="000B7941"/>
    <w:rsid w:val="000C2731"/>
    <w:rsid w:val="000C3673"/>
    <w:rsid w:val="000C4CE3"/>
    <w:rsid w:val="000C663F"/>
    <w:rsid w:val="000C6F7D"/>
    <w:rsid w:val="000D163A"/>
    <w:rsid w:val="000D3933"/>
    <w:rsid w:val="000D59B9"/>
    <w:rsid w:val="000D7CDE"/>
    <w:rsid w:val="000E09FE"/>
    <w:rsid w:val="000E1636"/>
    <w:rsid w:val="000E1E08"/>
    <w:rsid w:val="000E5641"/>
    <w:rsid w:val="000F11A9"/>
    <w:rsid w:val="000F1E6D"/>
    <w:rsid w:val="001024A6"/>
    <w:rsid w:val="00105686"/>
    <w:rsid w:val="0010663D"/>
    <w:rsid w:val="00106C7A"/>
    <w:rsid w:val="0011067F"/>
    <w:rsid w:val="00112060"/>
    <w:rsid w:val="0011256E"/>
    <w:rsid w:val="001144E2"/>
    <w:rsid w:val="00124353"/>
    <w:rsid w:val="001254CD"/>
    <w:rsid w:val="00126513"/>
    <w:rsid w:val="0012758C"/>
    <w:rsid w:val="0013095E"/>
    <w:rsid w:val="00130C41"/>
    <w:rsid w:val="00130DB6"/>
    <w:rsid w:val="00131231"/>
    <w:rsid w:val="00141E52"/>
    <w:rsid w:val="0015039B"/>
    <w:rsid w:val="00151065"/>
    <w:rsid w:val="001539E9"/>
    <w:rsid w:val="00153CF1"/>
    <w:rsid w:val="001579A5"/>
    <w:rsid w:val="001607BF"/>
    <w:rsid w:val="0016133F"/>
    <w:rsid w:val="00161FE6"/>
    <w:rsid w:val="00162677"/>
    <w:rsid w:val="001679C6"/>
    <w:rsid w:val="0017313F"/>
    <w:rsid w:val="00176610"/>
    <w:rsid w:val="00177B13"/>
    <w:rsid w:val="001818BF"/>
    <w:rsid w:val="001822AC"/>
    <w:rsid w:val="00182DBF"/>
    <w:rsid w:val="00183D5C"/>
    <w:rsid w:val="0018689A"/>
    <w:rsid w:val="001925EB"/>
    <w:rsid w:val="00193584"/>
    <w:rsid w:val="001A279B"/>
    <w:rsid w:val="001A5ADA"/>
    <w:rsid w:val="001B07F3"/>
    <w:rsid w:val="001B0FA2"/>
    <w:rsid w:val="001B1BA5"/>
    <w:rsid w:val="001B1F7A"/>
    <w:rsid w:val="001B6AB9"/>
    <w:rsid w:val="001B6D9E"/>
    <w:rsid w:val="001B6EF3"/>
    <w:rsid w:val="001B7AE5"/>
    <w:rsid w:val="001B7CB3"/>
    <w:rsid w:val="001C0289"/>
    <w:rsid w:val="001C344E"/>
    <w:rsid w:val="001C441C"/>
    <w:rsid w:val="001C46EE"/>
    <w:rsid w:val="001C52F8"/>
    <w:rsid w:val="001C54F1"/>
    <w:rsid w:val="001C5560"/>
    <w:rsid w:val="001C61EE"/>
    <w:rsid w:val="001D2636"/>
    <w:rsid w:val="001D2F30"/>
    <w:rsid w:val="001D3BEB"/>
    <w:rsid w:val="001D3C46"/>
    <w:rsid w:val="001D51D8"/>
    <w:rsid w:val="001D7B7A"/>
    <w:rsid w:val="001E1614"/>
    <w:rsid w:val="001E18F9"/>
    <w:rsid w:val="001E2259"/>
    <w:rsid w:val="001E37DE"/>
    <w:rsid w:val="001E4033"/>
    <w:rsid w:val="001E4255"/>
    <w:rsid w:val="001F1004"/>
    <w:rsid w:val="001F45F7"/>
    <w:rsid w:val="001F6B1C"/>
    <w:rsid w:val="001F75E0"/>
    <w:rsid w:val="002041DA"/>
    <w:rsid w:val="002048D2"/>
    <w:rsid w:val="00204D7D"/>
    <w:rsid w:val="0021092E"/>
    <w:rsid w:val="00210FF0"/>
    <w:rsid w:val="00212B4F"/>
    <w:rsid w:val="002145DD"/>
    <w:rsid w:val="002149D1"/>
    <w:rsid w:val="002161F8"/>
    <w:rsid w:val="00216A41"/>
    <w:rsid w:val="002205F8"/>
    <w:rsid w:val="00221AE0"/>
    <w:rsid w:val="00224DCE"/>
    <w:rsid w:val="00225116"/>
    <w:rsid w:val="0022781B"/>
    <w:rsid w:val="00231865"/>
    <w:rsid w:val="00232245"/>
    <w:rsid w:val="00233125"/>
    <w:rsid w:val="00234F50"/>
    <w:rsid w:val="0023590B"/>
    <w:rsid w:val="00236C4C"/>
    <w:rsid w:val="00237B5E"/>
    <w:rsid w:val="0024040E"/>
    <w:rsid w:val="00241BD0"/>
    <w:rsid w:val="00244B87"/>
    <w:rsid w:val="002465C9"/>
    <w:rsid w:val="00255CE2"/>
    <w:rsid w:val="0025693B"/>
    <w:rsid w:val="00256ED5"/>
    <w:rsid w:val="002578FE"/>
    <w:rsid w:val="00261282"/>
    <w:rsid w:val="00261601"/>
    <w:rsid w:val="00261FCE"/>
    <w:rsid w:val="00262293"/>
    <w:rsid w:val="00262AB9"/>
    <w:rsid w:val="00264285"/>
    <w:rsid w:val="0026510A"/>
    <w:rsid w:val="002737B9"/>
    <w:rsid w:val="00274917"/>
    <w:rsid w:val="00276E89"/>
    <w:rsid w:val="002815D0"/>
    <w:rsid w:val="00281D84"/>
    <w:rsid w:val="00282DC9"/>
    <w:rsid w:val="00287912"/>
    <w:rsid w:val="002924A5"/>
    <w:rsid w:val="0029322B"/>
    <w:rsid w:val="002A1454"/>
    <w:rsid w:val="002A2940"/>
    <w:rsid w:val="002B19FE"/>
    <w:rsid w:val="002B31DA"/>
    <w:rsid w:val="002B3DC0"/>
    <w:rsid w:val="002B5542"/>
    <w:rsid w:val="002B7BA1"/>
    <w:rsid w:val="002C093F"/>
    <w:rsid w:val="002C1314"/>
    <w:rsid w:val="002C25A0"/>
    <w:rsid w:val="002C28F4"/>
    <w:rsid w:val="002C3640"/>
    <w:rsid w:val="002C4A06"/>
    <w:rsid w:val="002C5FB0"/>
    <w:rsid w:val="002C64F2"/>
    <w:rsid w:val="002C6845"/>
    <w:rsid w:val="002C7440"/>
    <w:rsid w:val="002D3AAC"/>
    <w:rsid w:val="002D4445"/>
    <w:rsid w:val="002D4849"/>
    <w:rsid w:val="002D5038"/>
    <w:rsid w:val="002D6C4F"/>
    <w:rsid w:val="002E166A"/>
    <w:rsid w:val="002E4939"/>
    <w:rsid w:val="002F2A45"/>
    <w:rsid w:val="002F4B08"/>
    <w:rsid w:val="003015B1"/>
    <w:rsid w:val="00302131"/>
    <w:rsid w:val="0030625D"/>
    <w:rsid w:val="0031049E"/>
    <w:rsid w:val="00311D18"/>
    <w:rsid w:val="003126E4"/>
    <w:rsid w:val="00312FA7"/>
    <w:rsid w:val="00313829"/>
    <w:rsid w:val="00316B5B"/>
    <w:rsid w:val="00317682"/>
    <w:rsid w:val="00317D75"/>
    <w:rsid w:val="00321181"/>
    <w:rsid w:val="00323545"/>
    <w:rsid w:val="00324309"/>
    <w:rsid w:val="003245C4"/>
    <w:rsid w:val="00327679"/>
    <w:rsid w:val="00331151"/>
    <w:rsid w:val="0033760F"/>
    <w:rsid w:val="00341FBC"/>
    <w:rsid w:val="00342041"/>
    <w:rsid w:val="003429DD"/>
    <w:rsid w:val="003429F5"/>
    <w:rsid w:val="00344529"/>
    <w:rsid w:val="0034750E"/>
    <w:rsid w:val="00347CB2"/>
    <w:rsid w:val="003503DA"/>
    <w:rsid w:val="00350BCF"/>
    <w:rsid w:val="0035219D"/>
    <w:rsid w:val="00353262"/>
    <w:rsid w:val="00357ACB"/>
    <w:rsid w:val="003614D0"/>
    <w:rsid w:val="00365AC6"/>
    <w:rsid w:val="003707B0"/>
    <w:rsid w:val="00370EBA"/>
    <w:rsid w:val="0037348A"/>
    <w:rsid w:val="003743DD"/>
    <w:rsid w:val="00380914"/>
    <w:rsid w:val="0038186E"/>
    <w:rsid w:val="003837FA"/>
    <w:rsid w:val="0038435D"/>
    <w:rsid w:val="003847EB"/>
    <w:rsid w:val="0038543F"/>
    <w:rsid w:val="003862F4"/>
    <w:rsid w:val="00386705"/>
    <w:rsid w:val="00386862"/>
    <w:rsid w:val="003901A9"/>
    <w:rsid w:val="003901C7"/>
    <w:rsid w:val="00390FB3"/>
    <w:rsid w:val="0039152E"/>
    <w:rsid w:val="00391B13"/>
    <w:rsid w:val="00391F2A"/>
    <w:rsid w:val="00392F7C"/>
    <w:rsid w:val="00393951"/>
    <w:rsid w:val="003941A0"/>
    <w:rsid w:val="00395AE6"/>
    <w:rsid w:val="00397459"/>
    <w:rsid w:val="00397768"/>
    <w:rsid w:val="003A3F68"/>
    <w:rsid w:val="003B169E"/>
    <w:rsid w:val="003B3066"/>
    <w:rsid w:val="003B3FC3"/>
    <w:rsid w:val="003B6292"/>
    <w:rsid w:val="003B6CA5"/>
    <w:rsid w:val="003B7244"/>
    <w:rsid w:val="003C1988"/>
    <w:rsid w:val="003C19CB"/>
    <w:rsid w:val="003C3947"/>
    <w:rsid w:val="003C3FD9"/>
    <w:rsid w:val="003C5F4F"/>
    <w:rsid w:val="003C7BAA"/>
    <w:rsid w:val="003D1B50"/>
    <w:rsid w:val="003D2FF5"/>
    <w:rsid w:val="003D3533"/>
    <w:rsid w:val="003D508A"/>
    <w:rsid w:val="003E2E88"/>
    <w:rsid w:val="003E4295"/>
    <w:rsid w:val="003F1DAB"/>
    <w:rsid w:val="003F49A5"/>
    <w:rsid w:val="003F4A5D"/>
    <w:rsid w:val="003F6824"/>
    <w:rsid w:val="004006D7"/>
    <w:rsid w:val="00401539"/>
    <w:rsid w:val="00401E44"/>
    <w:rsid w:val="004020A2"/>
    <w:rsid w:val="004020CD"/>
    <w:rsid w:val="00403F40"/>
    <w:rsid w:val="004118D5"/>
    <w:rsid w:val="00413508"/>
    <w:rsid w:val="00414051"/>
    <w:rsid w:val="00414348"/>
    <w:rsid w:val="00414B78"/>
    <w:rsid w:val="004160D8"/>
    <w:rsid w:val="00416C51"/>
    <w:rsid w:val="0041794D"/>
    <w:rsid w:val="00420885"/>
    <w:rsid w:val="004226AA"/>
    <w:rsid w:val="00423164"/>
    <w:rsid w:val="00423C0D"/>
    <w:rsid w:val="0042561B"/>
    <w:rsid w:val="00427762"/>
    <w:rsid w:val="00431A80"/>
    <w:rsid w:val="00435479"/>
    <w:rsid w:val="004372A0"/>
    <w:rsid w:val="00445B68"/>
    <w:rsid w:val="00447209"/>
    <w:rsid w:val="00447699"/>
    <w:rsid w:val="00447B40"/>
    <w:rsid w:val="0045074F"/>
    <w:rsid w:val="0045156C"/>
    <w:rsid w:val="0045190F"/>
    <w:rsid w:val="00451B9D"/>
    <w:rsid w:val="0045423B"/>
    <w:rsid w:val="00454AE8"/>
    <w:rsid w:val="004566AA"/>
    <w:rsid w:val="004606E7"/>
    <w:rsid w:val="00462B4B"/>
    <w:rsid w:val="00462EAF"/>
    <w:rsid w:val="00463440"/>
    <w:rsid w:val="00466520"/>
    <w:rsid w:val="00466C93"/>
    <w:rsid w:val="00470DBE"/>
    <w:rsid w:val="00470FB3"/>
    <w:rsid w:val="00475EFA"/>
    <w:rsid w:val="00480AF6"/>
    <w:rsid w:val="00483779"/>
    <w:rsid w:val="00483D26"/>
    <w:rsid w:val="004854E3"/>
    <w:rsid w:val="00486334"/>
    <w:rsid w:val="00491617"/>
    <w:rsid w:val="00493925"/>
    <w:rsid w:val="00494AE8"/>
    <w:rsid w:val="00495FB4"/>
    <w:rsid w:val="004965A4"/>
    <w:rsid w:val="004A2351"/>
    <w:rsid w:val="004A5614"/>
    <w:rsid w:val="004A7248"/>
    <w:rsid w:val="004A762C"/>
    <w:rsid w:val="004B5289"/>
    <w:rsid w:val="004B7613"/>
    <w:rsid w:val="004C226B"/>
    <w:rsid w:val="004C3BEA"/>
    <w:rsid w:val="004D0D48"/>
    <w:rsid w:val="004D2D78"/>
    <w:rsid w:val="004D3257"/>
    <w:rsid w:val="004D389A"/>
    <w:rsid w:val="004D48DD"/>
    <w:rsid w:val="004D7B9C"/>
    <w:rsid w:val="004E037B"/>
    <w:rsid w:val="004E2CAB"/>
    <w:rsid w:val="004E42FA"/>
    <w:rsid w:val="004E4764"/>
    <w:rsid w:val="004E530A"/>
    <w:rsid w:val="004E6514"/>
    <w:rsid w:val="004E706B"/>
    <w:rsid w:val="004F0075"/>
    <w:rsid w:val="004F07E6"/>
    <w:rsid w:val="004F08BD"/>
    <w:rsid w:val="004F1B90"/>
    <w:rsid w:val="004F238E"/>
    <w:rsid w:val="004F4FA9"/>
    <w:rsid w:val="005013E4"/>
    <w:rsid w:val="0050177A"/>
    <w:rsid w:val="00507B2E"/>
    <w:rsid w:val="00510730"/>
    <w:rsid w:val="00510B2E"/>
    <w:rsid w:val="005119A8"/>
    <w:rsid w:val="00513838"/>
    <w:rsid w:val="00514D3A"/>
    <w:rsid w:val="00515016"/>
    <w:rsid w:val="0051797F"/>
    <w:rsid w:val="00517C93"/>
    <w:rsid w:val="00517DE6"/>
    <w:rsid w:val="00521797"/>
    <w:rsid w:val="00522157"/>
    <w:rsid w:val="0052333A"/>
    <w:rsid w:val="00523C20"/>
    <w:rsid w:val="00526000"/>
    <w:rsid w:val="005314AB"/>
    <w:rsid w:val="00534179"/>
    <w:rsid w:val="00535699"/>
    <w:rsid w:val="00540B2F"/>
    <w:rsid w:val="005411EC"/>
    <w:rsid w:val="0054524F"/>
    <w:rsid w:val="00546251"/>
    <w:rsid w:val="005467D3"/>
    <w:rsid w:val="00546D47"/>
    <w:rsid w:val="005472AB"/>
    <w:rsid w:val="00547664"/>
    <w:rsid w:val="00553257"/>
    <w:rsid w:val="00555466"/>
    <w:rsid w:val="0055722D"/>
    <w:rsid w:val="005615A4"/>
    <w:rsid w:val="00562373"/>
    <w:rsid w:val="00562598"/>
    <w:rsid w:val="0056277C"/>
    <w:rsid w:val="005639F7"/>
    <w:rsid w:val="00571781"/>
    <w:rsid w:val="005727A9"/>
    <w:rsid w:val="00573169"/>
    <w:rsid w:val="0057376E"/>
    <w:rsid w:val="0057657B"/>
    <w:rsid w:val="00577CB4"/>
    <w:rsid w:val="00582B80"/>
    <w:rsid w:val="0058363D"/>
    <w:rsid w:val="00584DC2"/>
    <w:rsid w:val="00586AB3"/>
    <w:rsid w:val="00592EF4"/>
    <w:rsid w:val="00593033"/>
    <w:rsid w:val="00597726"/>
    <w:rsid w:val="005A134E"/>
    <w:rsid w:val="005A30AA"/>
    <w:rsid w:val="005A3106"/>
    <w:rsid w:val="005A39BA"/>
    <w:rsid w:val="005A4229"/>
    <w:rsid w:val="005A4405"/>
    <w:rsid w:val="005A5E85"/>
    <w:rsid w:val="005A7983"/>
    <w:rsid w:val="005B3F15"/>
    <w:rsid w:val="005B49FD"/>
    <w:rsid w:val="005B55AA"/>
    <w:rsid w:val="005C2603"/>
    <w:rsid w:val="005C31A8"/>
    <w:rsid w:val="005C3E5F"/>
    <w:rsid w:val="005C3F15"/>
    <w:rsid w:val="005C713E"/>
    <w:rsid w:val="005C7305"/>
    <w:rsid w:val="005D2A2C"/>
    <w:rsid w:val="005D317B"/>
    <w:rsid w:val="005E07E1"/>
    <w:rsid w:val="005E3859"/>
    <w:rsid w:val="005E44A7"/>
    <w:rsid w:val="005F0A32"/>
    <w:rsid w:val="005F20F3"/>
    <w:rsid w:val="005F3D4B"/>
    <w:rsid w:val="005F4320"/>
    <w:rsid w:val="005F573C"/>
    <w:rsid w:val="005F7033"/>
    <w:rsid w:val="005F72CA"/>
    <w:rsid w:val="00600C38"/>
    <w:rsid w:val="006012C3"/>
    <w:rsid w:val="00602F15"/>
    <w:rsid w:val="0061047D"/>
    <w:rsid w:val="006145C4"/>
    <w:rsid w:val="006218DC"/>
    <w:rsid w:val="00621AA9"/>
    <w:rsid w:val="00624AA0"/>
    <w:rsid w:val="00625E89"/>
    <w:rsid w:val="00631378"/>
    <w:rsid w:val="00631D12"/>
    <w:rsid w:val="0063253C"/>
    <w:rsid w:val="0063334E"/>
    <w:rsid w:val="0063765B"/>
    <w:rsid w:val="00640C66"/>
    <w:rsid w:val="00640C8E"/>
    <w:rsid w:val="00641273"/>
    <w:rsid w:val="006425EF"/>
    <w:rsid w:val="006432A2"/>
    <w:rsid w:val="00644F0B"/>
    <w:rsid w:val="00645054"/>
    <w:rsid w:val="0064621E"/>
    <w:rsid w:val="006508D1"/>
    <w:rsid w:val="006526E9"/>
    <w:rsid w:val="00654580"/>
    <w:rsid w:val="00657ABE"/>
    <w:rsid w:val="006602F8"/>
    <w:rsid w:val="00661C05"/>
    <w:rsid w:val="006621E0"/>
    <w:rsid w:val="0066238D"/>
    <w:rsid w:val="00663C91"/>
    <w:rsid w:val="00663EAD"/>
    <w:rsid w:val="006648DD"/>
    <w:rsid w:val="00665715"/>
    <w:rsid w:val="00676358"/>
    <w:rsid w:val="0068155F"/>
    <w:rsid w:val="00684941"/>
    <w:rsid w:val="00693274"/>
    <w:rsid w:val="0069494F"/>
    <w:rsid w:val="00694F2D"/>
    <w:rsid w:val="00697B76"/>
    <w:rsid w:val="006A287D"/>
    <w:rsid w:val="006A5C7C"/>
    <w:rsid w:val="006A6EFE"/>
    <w:rsid w:val="006B3FCF"/>
    <w:rsid w:val="006B44A8"/>
    <w:rsid w:val="006B5754"/>
    <w:rsid w:val="006B6559"/>
    <w:rsid w:val="006C2F76"/>
    <w:rsid w:val="006C404F"/>
    <w:rsid w:val="006D311C"/>
    <w:rsid w:val="006D65C7"/>
    <w:rsid w:val="006D7378"/>
    <w:rsid w:val="006E0E56"/>
    <w:rsid w:val="006E1F88"/>
    <w:rsid w:val="006E663A"/>
    <w:rsid w:val="006F1645"/>
    <w:rsid w:val="006F1AED"/>
    <w:rsid w:val="006F415B"/>
    <w:rsid w:val="006F7647"/>
    <w:rsid w:val="007034B1"/>
    <w:rsid w:val="00704FE9"/>
    <w:rsid w:val="0071110C"/>
    <w:rsid w:val="00711F72"/>
    <w:rsid w:val="0071316B"/>
    <w:rsid w:val="00714156"/>
    <w:rsid w:val="0071465E"/>
    <w:rsid w:val="00715402"/>
    <w:rsid w:val="00715CF0"/>
    <w:rsid w:val="00715E22"/>
    <w:rsid w:val="00720A41"/>
    <w:rsid w:val="00721E0E"/>
    <w:rsid w:val="0072263B"/>
    <w:rsid w:val="007230B7"/>
    <w:rsid w:val="00727465"/>
    <w:rsid w:val="007314F5"/>
    <w:rsid w:val="00734EC6"/>
    <w:rsid w:val="00737CD3"/>
    <w:rsid w:val="00744B33"/>
    <w:rsid w:val="007461ED"/>
    <w:rsid w:val="00751B03"/>
    <w:rsid w:val="00753D91"/>
    <w:rsid w:val="00754157"/>
    <w:rsid w:val="00755085"/>
    <w:rsid w:val="00755F06"/>
    <w:rsid w:val="00757CEC"/>
    <w:rsid w:val="00763EC8"/>
    <w:rsid w:val="00764758"/>
    <w:rsid w:val="00766969"/>
    <w:rsid w:val="00766A2A"/>
    <w:rsid w:val="00766FD4"/>
    <w:rsid w:val="0076773A"/>
    <w:rsid w:val="007677E7"/>
    <w:rsid w:val="0077120A"/>
    <w:rsid w:val="00774004"/>
    <w:rsid w:val="00775DC2"/>
    <w:rsid w:val="00775F4B"/>
    <w:rsid w:val="00776E73"/>
    <w:rsid w:val="00781A8A"/>
    <w:rsid w:val="00781CF2"/>
    <w:rsid w:val="00783A21"/>
    <w:rsid w:val="00783F5E"/>
    <w:rsid w:val="007859D9"/>
    <w:rsid w:val="007901EA"/>
    <w:rsid w:val="00790624"/>
    <w:rsid w:val="00790CCC"/>
    <w:rsid w:val="00791E9F"/>
    <w:rsid w:val="007922E4"/>
    <w:rsid w:val="00795F7C"/>
    <w:rsid w:val="007A0EDD"/>
    <w:rsid w:val="007A1EA2"/>
    <w:rsid w:val="007A4479"/>
    <w:rsid w:val="007A44DB"/>
    <w:rsid w:val="007A6608"/>
    <w:rsid w:val="007B018F"/>
    <w:rsid w:val="007B329F"/>
    <w:rsid w:val="007B46A6"/>
    <w:rsid w:val="007B47BA"/>
    <w:rsid w:val="007B5A43"/>
    <w:rsid w:val="007B6577"/>
    <w:rsid w:val="007B71A6"/>
    <w:rsid w:val="007B7E79"/>
    <w:rsid w:val="007C5F35"/>
    <w:rsid w:val="007C611E"/>
    <w:rsid w:val="007C7245"/>
    <w:rsid w:val="007C7E8C"/>
    <w:rsid w:val="007D211F"/>
    <w:rsid w:val="007D3E1C"/>
    <w:rsid w:val="007D6AA7"/>
    <w:rsid w:val="007D6ACF"/>
    <w:rsid w:val="007E10EC"/>
    <w:rsid w:val="007E13EA"/>
    <w:rsid w:val="007E1A37"/>
    <w:rsid w:val="007E39EC"/>
    <w:rsid w:val="007E4205"/>
    <w:rsid w:val="007E721D"/>
    <w:rsid w:val="007E7B91"/>
    <w:rsid w:val="007F12CC"/>
    <w:rsid w:val="007F3622"/>
    <w:rsid w:val="007F5CDD"/>
    <w:rsid w:val="00801812"/>
    <w:rsid w:val="008035B3"/>
    <w:rsid w:val="00807D14"/>
    <w:rsid w:val="008126F0"/>
    <w:rsid w:val="00812B7B"/>
    <w:rsid w:val="00820D48"/>
    <w:rsid w:val="00823FEB"/>
    <w:rsid w:val="00824887"/>
    <w:rsid w:val="00826142"/>
    <w:rsid w:val="00826E73"/>
    <w:rsid w:val="00826EC8"/>
    <w:rsid w:val="00830E78"/>
    <w:rsid w:val="0083241F"/>
    <w:rsid w:val="00835584"/>
    <w:rsid w:val="00837951"/>
    <w:rsid w:val="008400E2"/>
    <w:rsid w:val="00840514"/>
    <w:rsid w:val="008439B2"/>
    <w:rsid w:val="00844BCC"/>
    <w:rsid w:val="008457FA"/>
    <w:rsid w:val="008459D0"/>
    <w:rsid w:val="008466C1"/>
    <w:rsid w:val="00852482"/>
    <w:rsid w:val="008524D9"/>
    <w:rsid w:val="0086028B"/>
    <w:rsid w:val="00861519"/>
    <w:rsid w:val="008628FD"/>
    <w:rsid w:val="0086295F"/>
    <w:rsid w:val="008650DC"/>
    <w:rsid w:val="008709FF"/>
    <w:rsid w:val="008719D4"/>
    <w:rsid w:val="0087360D"/>
    <w:rsid w:val="00883109"/>
    <w:rsid w:val="008841AF"/>
    <w:rsid w:val="008860CE"/>
    <w:rsid w:val="00886B18"/>
    <w:rsid w:val="00887958"/>
    <w:rsid w:val="00887A2B"/>
    <w:rsid w:val="008905FF"/>
    <w:rsid w:val="00891D5D"/>
    <w:rsid w:val="00893D2D"/>
    <w:rsid w:val="00893F9F"/>
    <w:rsid w:val="00894957"/>
    <w:rsid w:val="00894A7E"/>
    <w:rsid w:val="0089701F"/>
    <w:rsid w:val="008A2179"/>
    <w:rsid w:val="008A2FE2"/>
    <w:rsid w:val="008B1494"/>
    <w:rsid w:val="008B383C"/>
    <w:rsid w:val="008B5F8C"/>
    <w:rsid w:val="008B6F02"/>
    <w:rsid w:val="008B6F3B"/>
    <w:rsid w:val="008C1542"/>
    <w:rsid w:val="008C2278"/>
    <w:rsid w:val="008C4CFE"/>
    <w:rsid w:val="008C5A31"/>
    <w:rsid w:val="008C71A9"/>
    <w:rsid w:val="008D5B1C"/>
    <w:rsid w:val="008D650F"/>
    <w:rsid w:val="008E0752"/>
    <w:rsid w:val="008E0755"/>
    <w:rsid w:val="008E233B"/>
    <w:rsid w:val="008E37CE"/>
    <w:rsid w:val="008E4D81"/>
    <w:rsid w:val="008E786D"/>
    <w:rsid w:val="008F0FA0"/>
    <w:rsid w:val="008F3FBC"/>
    <w:rsid w:val="008F470A"/>
    <w:rsid w:val="008F4C68"/>
    <w:rsid w:val="008F5175"/>
    <w:rsid w:val="008F5B60"/>
    <w:rsid w:val="008F6EDB"/>
    <w:rsid w:val="00900C21"/>
    <w:rsid w:val="00903DBE"/>
    <w:rsid w:val="009048FA"/>
    <w:rsid w:val="009059CE"/>
    <w:rsid w:val="0090614F"/>
    <w:rsid w:val="00906F86"/>
    <w:rsid w:val="00911382"/>
    <w:rsid w:val="009126B0"/>
    <w:rsid w:val="00914732"/>
    <w:rsid w:val="009149B2"/>
    <w:rsid w:val="00915E20"/>
    <w:rsid w:val="009160B2"/>
    <w:rsid w:val="0091666E"/>
    <w:rsid w:val="0091762B"/>
    <w:rsid w:val="009179F7"/>
    <w:rsid w:val="00917A1D"/>
    <w:rsid w:val="00917C11"/>
    <w:rsid w:val="00920F70"/>
    <w:rsid w:val="00922B10"/>
    <w:rsid w:val="00924312"/>
    <w:rsid w:val="00925C0E"/>
    <w:rsid w:val="0093496A"/>
    <w:rsid w:val="0093687B"/>
    <w:rsid w:val="009415D2"/>
    <w:rsid w:val="00944D47"/>
    <w:rsid w:val="009516FC"/>
    <w:rsid w:val="00951BC2"/>
    <w:rsid w:val="009543F5"/>
    <w:rsid w:val="00954A0B"/>
    <w:rsid w:val="009558FC"/>
    <w:rsid w:val="00955F2E"/>
    <w:rsid w:val="009569AA"/>
    <w:rsid w:val="00956D08"/>
    <w:rsid w:val="00957B3D"/>
    <w:rsid w:val="0096105C"/>
    <w:rsid w:val="00961350"/>
    <w:rsid w:val="00963AD6"/>
    <w:rsid w:val="0096417A"/>
    <w:rsid w:val="0097172D"/>
    <w:rsid w:val="00972ACA"/>
    <w:rsid w:val="00980D1E"/>
    <w:rsid w:val="00987739"/>
    <w:rsid w:val="00987D74"/>
    <w:rsid w:val="00987FE0"/>
    <w:rsid w:val="0099213E"/>
    <w:rsid w:val="00992BD5"/>
    <w:rsid w:val="00992D30"/>
    <w:rsid w:val="0099394D"/>
    <w:rsid w:val="009948AA"/>
    <w:rsid w:val="0099651E"/>
    <w:rsid w:val="00996840"/>
    <w:rsid w:val="009A096B"/>
    <w:rsid w:val="009A1C19"/>
    <w:rsid w:val="009A2154"/>
    <w:rsid w:val="009A3815"/>
    <w:rsid w:val="009B3B29"/>
    <w:rsid w:val="009B3EB2"/>
    <w:rsid w:val="009B5AE0"/>
    <w:rsid w:val="009B7437"/>
    <w:rsid w:val="009B7D2E"/>
    <w:rsid w:val="009C096B"/>
    <w:rsid w:val="009C1D71"/>
    <w:rsid w:val="009C1E67"/>
    <w:rsid w:val="009C1E9A"/>
    <w:rsid w:val="009C2763"/>
    <w:rsid w:val="009C461F"/>
    <w:rsid w:val="009C4D33"/>
    <w:rsid w:val="009C5256"/>
    <w:rsid w:val="009C672C"/>
    <w:rsid w:val="009C7049"/>
    <w:rsid w:val="009D1BB2"/>
    <w:rsid w:val="009D1EA3"/>
    <w:rsid w:val="009D300F"/>
    <w:rsid w:val="009D554B"/>
    <w:rsid w:val="009D6248"/>
    <w:rsid w:val="009D7673"/>
    <w:rsid w:val="009E039A"/>
    <w:rsid w:val="009E1ACE"/>
    <w:rsid w:val="009F14C6"/>
    <w:rsid w:val="009F1785"/>
    <w:rsid w:val="009F3360"/>
    <w:rsid w:val="00A00C5F"/>
    <w:rsid w:val="00A064B4"/>
    <w:rsid w:val="00A06770"/>
    <w:rsid w:val="00A07803"/>
    <w:rsid w:val="00A07DC5"/>
    <w:rsid w:val="00A101C2"/>
    <w:rsid w:val="00A11C75"/>
    <w:rsid w:val="00A13299"/>
    <w:rsid w:val="00A154D9"/>
    <w:rsid w:val="00A20945"/>
    <w:rsid w:val="00A24ECE"/>
    <w:rsid w:val="00A24F1E"/>
    <w:rsid w:val="00A25283"/>
    <w:rsid w:val="00A30691"/>
    <w:rsid w:val="00A308B5"/>
    <w:rsid w:val="00A30D9A"/>
    <w:rsid w:val="00A321CA"/>
    <w:rsid w:val="00A35E7E"/>
    <w:rsid w:val="00A36392"/>
    <w:rsid w:val="00A3788E"/>
    <w:rsid w:val="00A40FBE"/>
    <w:rsid w:val="00A46DB9"/>
    <w:rsid w:val="00A478C9"/>
    <w:rsid w:val="00A5092A"/>
    <w:rsid w:val="00A51ADD"/>
    <w:rsid w:val="00A520AB"/>
    <w:rsid w:val="00A52173"/>
    <w:rsid w:val="00A554B8"/>
    <w:rsid w:val="00A55962"/>
    <w:rsid w:val="00A55AC6"/>
    <w:rsid w:val="00A56113"/>
    <w:rsid w:val="00A56118"/>
    <w:rsid w:val="00A5671F"/>
    <w:rsid w:val="00A56830"/>
    <w:rsid w:val="00A605EF"/>
    <w:rsid w:val="00A61C44"/>
    <w:rsid w:val="00A62BF0"/>
    <w:rsid w:val="00A62D94"/>
    <w:rsid w:val="00A67392"/>
    <w:rsid w:val="00A67B43"/>
    <w:rsid w:val="00A70417"/>
    <w:rsid w:val="00A70893"/>
    <w:rsid w:val="00A709DC"/>
    <w:rsid w:val="00A72B48"/>
    <w:rsid w:val="00A73D3B"/>
    <w:rsid w:val="00A77DEB"/>
    <w:rsid w:val="00A8064A"/>
    <w:rsid w:val="00A80DF0"/>
    <w:rsid w:val="00A82AA6"/>
    <w:rsid w:val="00A82D80"/>
    <w:rsid w:val="00A84211"/>
    <w:rsid w:val="00A84B3D"/>
    <w:rsid w:val="00A909F7"/>
    <w:rsid w:val="00A9161D"/>
    <w:rsid w:val="00A91CC3"/>
    <w:rsid w:val="00A92A69"/>
    <w:rsid w:val="00A93770"/>
    <w:rsid w:val="00A94CFB"/>
    <w:rsid w:val="00A9797A"/>
    <w:rsid w:val="00AA06DF"/>
    <w:rsid w:val="00AA3219"/>
    <w:rsid w:val="00AA58EF"/>
    <w:rsid w:val="00AA74F2"/>
    <w:rsid w:val="00AB012F"/>
    <w:rsid w:val="00AB0DC7"/>
    <w:rsid w:val="00AB0E9E"/>
    <w:rsid w:val="00AB1786"/>
    <w:rsid w:val="00AB5150"/>
    <w:rsid w:val="00AB5ADA"/>
    <w:rsid w:val="00AC5D32"/>
    <w:rsid w:val="00AC738B"/>
    <w:rsid w:val="00AD0BF8"/>
    <w:rsid w:val="00AD2619"/>
    <w:rsid w:val="00AD30F8"/>
    <w:rsid w:val="00AD3ADE"/>
    <w:rsid w:val="00AD5735"/>
    <w:rsid w:val="00AE4628"/>
    <w:rsid w:val="00AE56E1"/>
    <w:rsid w:val="00AE5ACB"/>
    <w:rsid w:val="00AF051D"/>
    <w:rsid w:val="00AF1617"/>
    <w:rsid w:val="00AF1D44"/>
    <w:rsid w:val="00AF22D5"/>
    <w:rsid w:val="00AF4115"/>
    <w:rsid w:val="00AF6E57"/>
    <w:rsid w:val="00B022DF"/>
    <w:rsid w:val="00B0385D"/>
    <w:rsid w:val="00B04172"/>
    <w:rsid w:val="00B04367"/>
    <w:rsid w:val="00B054BF"/>
    <w:rsid w:val="00B06E26"/>
    <w:rsid w:val="00B07ABA"/>
    <w:rsid w:val="00B10AC8"/>
    <w:rsid w:val="00B1185D"/>
    <w:rsid w:val="00B11D89"/>
    <w:rsid w:val="00B12973"/>
    <w:rsid w:val="00B13164"/>
    <w:rsid w:val="00B1333F"/>
    <w:rsid w:val="00B13B31"/>
    <w:rsid w:val="00B14C5E"/>
    <w:rsid w:val="00B14DF0"/>
    <w:rsid w:val="00B155A4"/>
    <w:rsid w:val="00B158B4"/>
    <w:rsid w:val="00B203E4"/>
    <w:rsid w:val="00B23828"/>
    <w:rsid w:val="00B252D2"/>
    <w:rsid w:val="00B254FF"/>
    <w:rsid w:val="00B25D75"/>
    <w:rsid w:val="00B262F1"/>
    <w:rsid w:val="00B26D7D"/>
    <w:rsid w:val="00B3062C"/>
    <w:rsid w:val="00B327BE"/>
    <w:rsid w:val="00B33180"/>
    <w:rsid w:val="00B337AF"/>
    <w:rsid w:val="00B33C1A"/>
    <w:rsid w:val="00B35C71"/>
    <w:rsid w:val="00B3717B"/>
    <w:rsid w:val="00B373CB"/>
    <w:rsid w:val="00B41CDD"/>
    <w:rsid w:val="00B42387"/>
    <w:rsid w:val="00B42B8C"/>
    <w:rsid w:val="00B4578C"/>
    <w:rsid w:val="00B47826"/>
    <w:rsid w:val="00B50CFB"/>
    <w:rsid w:val="00B53409"/>
    <w:rsid w:val="00B54AA1"/>
    <w:rsid w:val="00B55CC9"/>
    <w:rsid w:val="00B5703E"/>
    <w:rsid w:val="00B57715"/>
    <w:rsid w:val="00B606BB"/>
    <w:rsid w:val="00B62A72"/>
    <w:rsid w:val="00B64563"/>
    <w:rsid w:val="00B66023"/>
    <w:rsid w:val="00B7046C"/>
    <w:rsid w:val="00B72365"/>
    <w:rsid w:val="00B723E6"/>
    <w:rsid w:val="00B7259D"/>
    <w:rsid w:val="00B759B6"/>
    <w:rsid w:val="00B81D5F"/>
    <w:rsid w:val="00B83A21"/>
    <w:rsid w:val="00B876D5"/>
    <w:rsid w:val="00B90E75"/>
    <w:rsid w:val="00B930F4"/>
    <w:rsid w:val="00B9513F"/>
    <w:rsid w:val="00B95558"/>
    <w:rsid w:val="00B95608"/>
    <w:rsid w:val="00B95C68"/>
    <w:rsid w:val="00B974C0"/>
    <w:rsid w:val="00BA01AE"/>
    <w:rsid w:val="00BA3A00"/>
    <w:rsid w:val="00BA673F"/>
    <w:rsid w:val="00BB0C0C"/>
    <w:rsid w:val="00BB2299"/>
    <w:rsid w:val="00BB2799"/>
    <w:rsid w:val="00BB2C24"/>
    <w:rsid w:val="00BB55EB"/>
    <w:rsid w:val="00BB5AFD"/>
    <w:rsid w:val="00BB5D9D"/>
    <w:rsid w:val="00BC02D8"/>
    <w:rsid w:val="00BC0C2A"/>
    <w:rsid w:val="00BC3079"/>
    <w:rsid w:val="00BC53DA"/>
    <w:rsid w:val="00BC542A"/>
    <w:rsid w:val="00BD005B"/>
    <w:rsid w:val="00BD67BB"/>
    <w:rsid w:val="00BE080F"/>
    <w:rsid w:val="00BE18AF"/>
    <w:rsid w:val="00BE48EF"/>
    <w:rsid w:val="00BE5678"/>
    <w:rsid w:val="00BF1853"/>
    <w:rsid w:val="00BF4703"/>
    <w:rsid w:val="00BF7C80"/>
    <w:rsid w:val="00BF7ED9"/>
    <w:rsid w:val="00C010B3"/>
    <w:rsid w:val="00C052E8"/>
    <w:rsid w:val="00C10ECA"/>
    <w:rsid w:val="00C1178B"/>
    <w:rsid w:val="00C11E37"/>
    <w:rsid w:val="00C11ED8"/>
    <w:rsid w:val="00C13552"/>
    <w:rsid w:val="00C154C9"/>
    <w:rsid w:val="00C1609E"/>
    <w:rsid w:val="00C2077D"/>
    <w:rsid w:val="00C24027"/>
    <w:rsid w:val="00C24DA4"/>
    <w:rsid w:val="00C256BD"/>
    <w:rsid w:val="00C25A39"/>
    <w:rsid w:val="00C262E5"/>
    <w:rsid w:val="00C27002"/>
    <w:rsid w:val="00C31643"/>
    <w:rsid w:val="00C363D3"/>
    <w:rsid w:val="00C36B46"/>
    <w:rsid w:val="00C36C6B"/>
    <w:rsid w:val="00C37712"/>
    <w:rsid w:val="00C40BBC"/>
    <w:rsid w:val="00C40C82"/>
    <w:rsid w:val="00C4270E"/>
    <w:rsid w:val="00C43CB9"/>
    <w:rsid w:val="00C44070"/>
    <w:rsid w:val="00C50305"/>
    <w:rsid w:val="00C51B4A"/>
    <w:rsid w:val="00C550C9"/>
    <w:rsid w:val="00C55278"/>
    <w:rsid w:val="00C55BFE"/>
    <w:rsid w:val="00C57B02"/>
    <w:rsid w:val="00C60994"/>
    <w:rsid w:val="00C6356B"/>
    <w:rsid w:val="00C674F2"/>
    <w:rsid w:val="00C67651"/>
    <w:rsid w:val="00C72FA4"/>
    <w:rsid w:val="00C74919"/>
    <w:rsid w:val="00C77283"/>
    <w:rsid w:val="00C813A9"/>
    <w:rsid w:val="00C83679"/>
    <w:rsid w:val="00C83E68"/>
    <w:rsid w:val="00C879B1"/>
    <w:rsid w:val="00C95055"/>
    <w:rsid w:val="00C96C0A"/>
    <w:rsid w:val="00C97640"/>
    <w:rsid w:val="00CA12C4"/>
    <w:rsid w:val="00CA216B"/>
    <w:rsid w:val="00CA43EF"/>
    <w:rsid w:val="00CA69F6"/>
    <w:rsid w:val="00CB0D4D"/>
    <w:rsid w:val="00CB1885"/>
    <w:rsid w:val="00CB35E4"/>
    <w:rsid w:val="00CB3F75"/>
    <w:rsid w:val="00CB509F"/>
    <w:rsid w:val="00CB5451"/>
    <w:rsid w:val="00CB6A56"/>
    <w:rsid w:val="00CC2589"/>
    <w:rsid w:val="00CC3B5A"/>
    <w:rsid w:val="00CC4497"/>
    <w:rsid w:val="00CC4E8D"/>
    <w:rsid w:val="00CC582D"/>
    <w:rsid w:val="00CC7C68"/>
    <w:rsid w:val="00CD046D"/>
    <w:rsid w:val="00CD52E9"/>
    <w:rsid w:val="00CD77D7"/>
    <w:rsid w:val="00CE49CD"/>
    <w:rsid w:val="00CF1310"/>
    <w:rsid w:val="00CF2922"/>
    <w:rsid w:val="00CF7336"/>
    <w:rsid w:val="00D00E9E"/>
    <w:rsid w:val="00D01F76"/>
    <w:rsid w:val="00D026D7"/>
    <w:rsid w:val="00D04F5D"/>
    <w:rsid w:val="00D051DE"/>
    <w:rsid w:val="00D17379"/>
    <w:rsid w:val="00D20E72"/>
    <w:rsid w:val="00D24DF9"/>
    <w:rsid w:val="00D25801"/>
    <w:rsid w:val="00D25E1D"/>
    <w:rsid w:val="00D265BB"/>
    <w:rsid w:val="00D303D0"/>
    <w:rsid w:val="00D31655"/>
    <w:rsid w:val="00D3344B"/>
    <w:rsid w:val="00D33544"/>
    <w:rsid w:val="00D33A94"/>
    <w:rsid w:val="00D37782"/>
    <w:rsid w:val="00D403C5"/>
    <w:rsid w:val="00D42912"/>
    <w:rsid w:val="00D435AB"/>
    <w:rsid w:val="00D50313"/>
    <w:rsid w:val="00D53F34"/>
    <w:rsid w:val="00D544F8"/>
    <w:rsid w:val="00D575FE"/>
    <w:rsid w:val="00D5766C"/>
    <w:rsid w:val="00D576CB"/>
    <w:rsid w:val="00D60BEA"/>
    <w:rsid w:val="00D63E16"/>
    <w:rsid w:val="00D65C4B"/>
    <w:rsid w:val="00D67F37"/>
    <w:rsid w:val="00D709CA"/>
    <w:rsid w:val="00D70A25"/>
    <w:rsid w:val="00D71E8D"/>
    <w:rsid w:val="00D754AD"/>
    <w:rsid w:val="00D759BA"/>
    <w:rsid w:val="00D75B65"/>
    <w:rsid w:val="00D77CEB"/>
    <w:rsid w:val="00D809F9"/>
    <w:rsid w:val="00D8445F"/>
    <w:rsid w:val="00D856CD"/>
    <w:rsid w:val="00D85A94"/>
    <w:rsid w:val="00D86FF5"/>
    <w:rsid w:val="00D910F7"/>
    <w:rsid w:val="00D9184B"/>
    <w:rsid w:val="00D91BC3"/>
    <w:rsid w:val="00D91C2F"/>
    <w:rsid w:val="00D92613"/>
    <w:rsid w:val="00D978A5"/>
    <w:rsid w:val="00DA209F"/>
    <w:rsid w:val="00DA267B"/>
    <w:rsid w:val="00DA30C4"/>
    <w:rsid w:val="00DA4452"/>
    <w:rsid w:val="00DA7B13"/>
    <w:rsid w:val="00DB06B4"/>
    <w:rsid w:val="00DB166A"/>
    <w:rsid w:val="00DB1BC8"/>
    <w:rsid w:val="00DB3494"/>
    <w:rsid w:val="00DB6308"/>
    <w:rsid w:val="00DC329B"/>
    <w:rsid w:val="00DC44E2"/>
    <w:rsid w:val="00DC5280"/>
    <w:rsid w:val="00DC6062"/>
    <w:rsid w:val="00DC6520"/>
    <w:rsid w:val="00DC767F"/>
    <w:rsid w:val="00DD18EA"/>
    <w:rsid w:val="00DD2DA3"/>
    <w:rsid w:val="00DD4614"/>
    <w:rsid w:val="00DD5A25"/>
    <w:rsid w:val="00DE06A5"/>
    <w:rsid w:val="00DE07A0"/>
    <w:rsid w:val="00DE298D"/>
    <w:rsid w:val="00DE3C99"/>
    <w:rsid w:val="00DE5C93"/>
    <w:rsid w:val="00DE6DD7"/>
    <w:rsid w:val="00DE7628"/>
    <w:rsid w:val="00DF0DF8"/>
    <w:rsid w:val="00DF454A"/>
    <w:rsid w:val="00E015BC"/>
    <w:rsid w:val="00E03E4B"/>
    <w:rsid w:val="00E0510E"/>
    <w:rsid w:val="00E05136"/>
    <w:rsid w:val="00E06978"/>
    <w:rsid w:val="00E12F31"/>
    <w:rsid w:val="00E1300F"/>
    <w:rsid w:val="00E14F07"/>
    <w:rsid w:val="00E15DEF"/>
    <w:rsid w:val="00E210DD"/>
    <w:rsid w:val="00E22016"/>
    <w:rsid w:val="00E229E0"/>
    <w:rsid w:val="00E23F85"/>
    <w:rsid w:val="00E2562D"/>
    <w:rsid w:val="00E260BE"/>
    <w:rsid w:val="00E26F40"/>
    <w:rsid w:val="00E27C8B"/>
    <w:rsid w:val="00E307F0"/>
    <w:rsid w:val="00E30AF9"/>
    <w:rsid w:val="00E31574"/>
    <w:rsid w:val="00E345E6"/>
    <w:rsid w:val="00E35B17"/>
    <w:rsid w:val="00E35E6B"/>
    <w:rsid w:val="00E37612"/>
    <w:rsid w:val="00E41B95"/>
    <w:rsid w:val="00E41D6E"/>
    <w:rsid w:val="00E42188"/>
    <w:rsid w:val="00E45F1D"/>
    <w:rsid w:val="00E5103F"/>
    <w:rsid w:val="00E5122A"/>
    <w:rsid w:val="00E5179C"/>
    <w:rsid w:val="00E51AC1"/>
    <w:rsid w:val="00E54BAB"/>
    <w:rsid w:val="00E5701D"/>
    <w:rsid w:val="00E5760C"/>
    <w:rsid w:val="00E64738"/>
    <w:rsid w:val="00E64A42"/>
    <w:rsid w:val="00E704D2"/>
    <w:rsid w:val="00E70D90"/>
    <w:rsid w:val="00E7228A"/>
    <w:rsid w:val="00E729E7"/>
    <w:rsid w:val="00E7359C"/>
    <w:rsid w:val="00E75FED"/>
    <w:rsid w:val="00E82BE0"/>
    <w:rsid w:val="00E83F81"/>
    <w:rsid w:val="00E8534F"/>
    <w:rsid w:val="00E86509"/>
    <w:rsid w:val="00E900E1"/>
    <w:rsid w:val="00E9092E"/>
    <w:rsid w:val="00E922C4"/>
    <w:rsid w:val="00E925C7"/>
    <w:rsid w:val="00E9285C"/>
    <w:rsid w:val="00E931A6"/>
    <w:rsid w:val="00E937C5"/>
    <w:rsid w:val="00E943B6"/>
    <w:rsid w:val="00E94547"/>
    <w:rsid w:val="00E9634A"/>
    <w:rsid w:val="00E96950"/>
    <w:rsid w:val="00E97AFC"/>
    <w:rsid w:val="00EA01AF"/>
    <w:rsid w:val="00EA0495"/>
    <w:rsid w:val="00EA0D2A"/>
    <w:rsid w:val="00EA193A"/>
    <w:rsid w:val="00EA3692"/>
    <w:rsid w:val="00EA6679"/>
    <w:rsid w:val="00EB4875"/>
    <w:rsid w:val="00EB5969"/>
    <w:rsid w:val="00EB7266"/>
    <w:rsid w:val="00EC59CC"/>
    <w:rsid w:val="00ED1639"/>
    <w:rsid w:val="00ED18B8"/>
    <w:rsid w:val="00ED30C6"/>
    <w:rsid w:val="00EE0495"/>
    <w:rsid w:val="00EE322D"/>
    <w:rsid w:val="00EE3921"/>
    <w:rsid w:val="00EE669A"/>
    <w:rsid w:val="00EF0A98"/>
    <w:rsid w:val="00EF355C"/>
    <w:rsid w:val="00EF6D63"/>
    <w:rsid w:val="00EF7795"/>
    <w:rsid w:val="00F01135"/>
    <w:rsid w:val="00F015DA"/>
    <w:rsid w:val="00F02288"/>
    <w:rsid w:val="00F029C7"/>
    <w:rsid w:val="00F02CF9"/>
    <w:rsid w:val="00F030B8"/>
    <w:rsid w:val="00F05C81"/>
    <w:rsid w:val="00F05D44"/>
    <w:rsid w:val="00F06986"/>
    <w:rsid w:val="00F06B59"/>
    <w:rsid w:val="00F1491D"/>
    <w:rsid w:val="00F15643"/>
    <w:rsid w:val="00F17107"/>
    <w:rsid w:val="00F2053C"/>
    <w:rsid w:val="00F2203D"/>
    <w:rsid w:val="00F239DF"/>
    <w:rsid w:val="00F23D63"/>
    <w:rsid w:val="00F254F1"/>
    <w:rsid w:val="00F2731D"/>
    <w:rsid w:val="00F279D7"/>
    <w:rsid w:val="00F27A8A"/>
    <w:rsid w:val="00F31DCC"/>
    <w:rsid w:val="00F329DE"/>
    <w:rsid w:val="00F33D28"/>
    <w:rsid w:val="00F357B9"/>
    <w:rsid w:val="00F40195"/>
    <w:rsid w:val="00F4214D"/>
    <w:rsid w:val="00F42A69"/>
    <w:rsid w:val="00F42B2D"/>
    <w:rsid w:val="00F433AE"/>
    <w:rsid w:val="00F43ADA"/>
    <w:rsid w:val="00F46890"/>
    <w:rsid w:val="00F472B4"/>
    <w:rsid w:val="00F51F0D"/>
    <w:rsid w:val="00F5321C"/>
    <w:rsid w:val="00F55072"/>
    <w:rsid w:val="00F5528E"/>
    <w:rsid w:val="00F62613"/>
    <w:rsid w:val="00F62C5B"/>
    <w:rsid w:val="00F6716A"/>
    <w:rsid w:val="00F70044"/>
    <w:rsid w:val="00F70D5A"/>
    <w:rsid w:val="00F7285F"/>
    <w:rsid w:val="00F753C1"/>
    <w:rsid w:val="00F7614C"/>
    <w:rsid w:val="00F80658"/>
    <w:rsid w:val="00F83B9E"/>
    <w:rsid w:val="00F848D7"/>
    <w:rsid w:val="00F8792E"/>
    <w:rsid w:val="00F913F4"/>
    <w:rsid w:val="00F9195B"/>
    <w:rsid w:val="00F91BB1"/>
    <w:rsid w:val="00F92DCF"/>
    <w:rsid w:val="00F95264"/>
    <w:rsid w:val="00F95E75"/>
    <w:rsid w:val="00F9704B"/>
    <w:rsid w:val="00F97394"/>
    <w:rsid w:val="00F97CCB"/>
    <w:rsid w:val="00FA0FF8"/>
    <w:rsid w:val="00FA240C"/>
    <w:rsid w:val="00FA2510"/>
    <w:rsid w:val="00FA62C1"/>
    <w:rsid w:val="00FB15A8"/>
    <w:rsid w:val="00FB2B70"/>
    <w:rsid w:val="00FB50DF"/>
    <w:rsid w:val="00FB5390"/>
    <w:rsid w:val="00FB6CD9"/>
    <w:rsid w:val="00FC210F"/>
    <w:rsid w:val="00FC2614"/>
    <w:rsid w:val="00FC3D15"/>
    <w:rsid w:val="00FD10EA"/>
    <w:rsid w:val="00FD1752"/>
    <w:rsid w:val="00FD1912"/>
    <w:rsid w:val="00FD30BF"/>
    <w:rsid w:val="00FD3AAE"/>
    <w:rsid w:val="00FD60D2"/>
    <w:rsid w:val="00FD7B03"/>
    <w:rsid w:val="00FE02B3"/>
    <w:rsid w:val="00FE26A9"/>
    <w:rsid w:val="00FE405D"/>
    <w:rsid w:val="00FE60EC"/>
    <w:rsid w:val="00FF17CA"/>
    <w:rsid w:val="00FF1F11"/>
    <w:rsid w:val="00FF395B"/>
    <w:rsid w:val="00FF4E69"/>
    <w:rsid w:val="00FF57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FCD93CB"/>
  <w15:chartTrackingRefBased/>
  <w15:docId w15:val="{566BDCAA-58A4-4B23-BA12-51B9F28B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35E51"/>
    <w:pPr>
      <w:spacing w:after="200" w:line="276" w:lineRule="auto"/>
    </w:pPr>
  </w:style>
  <w:style w:type="paragraph" w:styleId="Nagwek1">
    <w:name w:val="heading 1"/>
    <w:basedOn w:val="Normalny"/>
    <w:next w:val="Normalny"/>
    <w:link w:val="Nagwek1Znak"/>
    <w:uiPriority w:val="9"/>
    <w:qFormat/>
    <w:rsid w:val="00714156"/>
    <w:pPr>
      <w:keepNext/>
      <w:keepLines/>
      <w:numPr>
        <w:numId w:val="1"/>
      </w:numPr>
      <w:spacing w:before="240" w:after="0"/>
      <w:outlineLvl w:val="0"/>
    </w:pPr>
    <w:rPr>
      <w:rFonts w:ascii="Times New Roman" w:eastAsiaTheme="majorEastAsia" w:hAnsi="Times New Roman" w:cstheme="majorBidi"/>
      <w:b/>
      <w:color w:val="00B0F0"/>
      <w:sz w:val="32"/>
      <w:szCs w:val="32"/>
    </w:rPr>
  </w:style>
  <w:style w:type="paragraph" w:styleId="Nagwek2">
    <w:name w:val="heading 2"/>
    <w:basedOn w:val="Normalny"/>
    <w:next w:val="Normalny"/>
    <w:link w:val="Nagwek2Znak"/>
    <w:uiPriority w:val="9"/>
    <w:unhideWhenUsed/>
    <w:qFormat/>
    <w:rsid w:val="00714156"/>
    <w:pPr>
      <w:keepNext/>
      <w:keepLines/>
      <w:numPr>
        <w:ilvl w:val="1"/>
        <w:numId w:val="1"/>
      </w:numPr>
      <w:spacing w:before="40" w:after="0"/>
      <w:outlineLvl w:val="1"/>
    </w:pPr>
    <w:rPr>
      <w:rFonts w:ascii="Times New Roman" w:eastAsiaTheme="majorEastAsia" w:hAnsi="Times New Roman" w:cstheme="majorBidi"/>
      <w:b/>
      <w:color w:val="00B0F0"/>
      <w:sz w:val="26"/>
      <w:szCs w:val="26"/>
    </w:rPr>
  </w:style>
  <w:style w:type="paragraph" w:styleId="Nagwek3">
    <w:name w:val="heading 3"/>
    <w:basedOn w:val="Normalny"/>
    <w:next w:val="Normalny"/>
    <w:link w:val="Nagwek3Znak"/>
    <w:uiPriority w:val="9"/>
    <w:semiHidden/>
    <w:unhideWhenUsed/>
    <w:qFormat/>
    <w:rsid w:val="0050177A"/>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B90E75"/>
    <w:pPr>
      <w:numPr>
        <w:ilvl w:val="3"/>
        <w:numId w:val="1"/>
      </w:numPr>
      <w:pBdr>
        <w:top w:val="dotted" w:sz="6" w:space="2" w:color="5B9BD5" w:themeColor="accent1"/>
      </w:pBdr>
      <w:spacing w:before="200" w:after="0"/>
      <w:outlineLvl w:val="3"/>
    </w:pPr>
    <w:rPr>
      <w:rFonts w:eastAsiaTheme="minorEastAsia"/>
      <w:caps/>
      <w:color w:val="2E74B5" w:themeColor="accent1" w:themeShade="BF"/>
      <w:spacing w:val="10"/>
      <w:sz w:val="20"/>
      <w:szCs w:val="20"/>
    </w:rPr>
  </w:style>
  <w:style w:type="paragraph" w:styleId="Nagwek5">
    <w:name w:val="heading 5"/>
    <w:basedOn w:val="Normalny"/>
    <w:next w:val="Normalny"/>
    <w:link w:val="Nagwek5Znak"/>
    <w:uiPriority w:val="9"/>
    <w:semiHidden/>
    <w:unhideWhenUsed/>
    <w:qFormat/>
    <w:rsid w:val="00B90E75"/>
    <w:pPr>
      <w:numPr>
        <w:ilvl w:val="4"/>
        <w:numId w:val="1"/>
      </w:numPr>
      <w:pBdr>
        <w:bottom w:val="single" w:sz="6" w:space="1" w:color="5B9BD5" w:themeColor="accent1"/>
      </w:pBdr>
      <w:spacing w:before="200" w:after="0"/>
      <w:outlineLvl w:val="4"/>
    </w:pPr>
    <w:rPr>
      <w:rFonts w:eastAsiaTheme="minorEastAsia"/>
      <w:caps/>
      <w:color w:val="2E74B5" w:themeColor="accent1" w:themeShade="BF"/>
      <w:spacing w:val="10"/>
      <w:sz w:val="20"/>
      <w:szCs w:val="20"/>
    </w:rPr>
  </w:style>
  <w:style w:type="paragraph" w:styleId="Nagwek6">
    <w:name w:val="heading 6"/>
    <w:basedOn w:val="Normalny"/>
    <w:next w:val="Normalny"/>
    <w:link w:val="Nagwek6Znak"/>
    <w:uiPriority w:val="9"/>
    <w:semiHidden/>
    <w:unhideWhenUsed/>
    <w:qFormat/>
    <w:rsid w:val="00B90E75"/>
    <w:pPr>
      <w:numPr>
        <w:ilvl w:val="5"/>
        <w:numId w:val="1"/>
      </w:numPr>
      <w:pBdr>
        <w:bottom w:val="dotted" w:sz="6" w:space="1" w:color="5B9BD5" w:themeColor="accent1"/>
      </w:pBdr>
      <w:spacing w:before="200" w:after="0"/>
      <w:outlineLvl w:val="5"/>
    </w:pPr>
    <w:rPr>
      <w:rFonts w:eastAsiaTheme="minorEastAsia"/>
      <w:caps/>
      <w:color w:val="2E74B5" w:themeColor="accent1" w:themeShade="BF"/>
      <w:spacing w:val="10"/>
      <w:sz w:val="20"/>
      <w:szCs w:val="20"/>
    </w:rPr>
  </w:style>
  <w:style w:type="paragraph" w:styleId="Nagwek7">
    <w:name w:val="heading 7"/>
    <w:basedOn w:val="Normalny"/>
    <w:next w:val="Normalny"/>
    <w:link w:val="Nagwek7Znak"/>
    <w:uiPriority w:val="9"/>
    <w:semiHidden/>
    <w:unhideWhenUsed/>
    <w:qFormat/>
    <w:rsid w:val="00B90E75"/>
    <w:pPr>
      <w:numPr>
        <w:ilvl w:val="6"/>
        <w:numId w:val="1"/>
      </w:numPr>
      <w:spacing w:before="200" w:after="0"/>
      <w:outlineLvl w:val="6"/>
    </w:pPr>
    <w:rPr>
      <w:rFonts w:eastAsiaTheme="minorEastAsia"/>
      <w:caps/>
      <w:color w:val="2E74B5" w:themeColor="accent1" w:themeShade="BF"/>
      <w:spacing w:val="10"/>
      <w:sz w:val="20"/>
      <w:szCs w:val="20"/>
    </w:rPr>
  </w:style>
  <w:style w:type="paragraph" w:styleId="Nagwek8">
    <w:name w:val="heading 8"/>
    <w:basedOn w:val="Normalny"/>
    <w:next w:val="Normalny"/>
    <w:link w:val="Nagwek8Znak"/>
    <w:uiPriority w:val="9"/>
    <w:semiHidden/>
    <w:unhideWhenUsed/>
    <w:qFormat/>
    <w:rsid w:val="00B90E75"/>
    <w:pPr>
      <w:numPr>
        <w:ilvl w:val="7"/>
        <w:numId w:val="1"/>
      </w:numPr>
      <w:spacing w:before="200" w:after="0"/>
      <w:outlineLvl w:val="7"/>
    </w:pPr>
    <w:rPr>
      <w:rFonts w:eastAsiaTheme="minorEastAsia"/>
      <w:caps/>
      <w:spacing w:val="10"/>
      <w:sz w:val="18"/>
      <w:szCs w:val="18"/>
    </w:rPr>
  </w:style>
  <w:style w:type="paragraph" w:styleId="Nagwek9">
    <w:name w:val="heading 9"/>
    <w:basedOn w:val="Normalny"/>
    <w:next w:val="Normalny"/>
    <w:link w:val="Nagwek9Znak"/>
    <w:uiPriority w:val="9"/>
    <w:semiHidden/>
    <w:unhideWhenUsed/>
    <w:qFormat/>
    <w:rsid w:val="00B90E75"/>
    <w:pPr>
      <w:numPr>
        <w:ilvl w:val="8"/>
        <w:numId w:val="1"/>
      </w:numPr>
      <w:spacing w:before="200" w:after="0"/>
      <w:outlineLvl w:val="8"/>
    </w:pPr>
    <w:rPr>
      <w:rFonts w:eastAsiaTheme="minorEastAsia"/>
      <w:i/>
      <w:iCs/>
      <w:caps/>
      <w:spacing w:val="10"/>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Bullet1,Styl moj,Akapit z listą11,List Paragraph1,aotm_załączniki,Paragraf,Dot pt,F5 List Paragraph,Recommendation,List Paragraph11,Numerowanie,Listaszerű bekezdés1,No Spacing1,Table of contents numbered,A_wyliczenie"/>
    <w:basedOn w:val="Normalny"/>
    <w:link w:val="AkapitzlistZnak"/>
    <w:uiPriority w:val="34"/>
    <w:qFormat/>
    <w:rsid w:val="0087360D"/>
    <w:pPr>
      <w:ind w:left="720"/>
      <w:contextualSpacing/>
    </w:pPr>
  </w:style>
  <w:style w:type="character" w:customStyle="1" w:styleId="Nagwek1Znak">
    <w:name w:val="Nagłówek 1 Znak"/>
    <w:basedOn w:val="Domylnaczcionkaakapitu"/>
    <w:link w:val="Nagwek1"/>
    <w:uiPriority w:val="9"/>
    <w:rsid w:val="00714156"/>
    <w:rPr>
      <w:rFonts w:ascii="Times New Roman" w:eastAsiaTheme="majorEastAsia" w:hAnsi="Times New Roman" w:cstheme="majorBidi"/>
      <w:b/>
      <w:color w:val="00B0F0"/>
      <w:sz w:val="32"/>
      <w:szCs w:val="32"/>
    </w:rPr>
  </w:style>
  <w:style w:type="paragraph" w:styleId="Nagwekspisutreci">
    <w:name w:val="TOC Heading"/>
    <w:basedOn w:val="Nagwek1"/>
    <w:next w:val="Normalny"/>
    <w:uiPriority w:val="39"/>
    <w:unhideWhenUsed/>
    <w:qFormat/>
    <w:rsid w:val="00B25D75"/>
    <w:pPr>
      <w:spacing w:line="259" w:lineRule="auto"/>
      <w:outlineLvl w:val="9"/>
    </w:pPr>
    <w:rPr>
      <w:lang w:eastAsia="pl-PL"/>
    </w:rPr>
  </w:style>
  <w:style w:type="character" w:customStyle="1" w:styleId="Nagwek2Znak">
    <w:name w:val="Nagłówek 2 Znak"/>
    <w:basedOn w:val="Domylnaczcionkaakapitu"/>
    <w:link w:val="Nagwek2"/>
    <w:uiPriority w:val="9"/>
    <w:rsid w:val="00714156"/>
    <w:rPr>
      <w:rFonts w:ascii="Times New Roman" w:eastAsiaTheme="majorEastAsia" w:hAnsi="Times New Roman" w:cstheme="majorBidi"/>
      <w:b/>
      <w:color w:val="00B0F0"/>
      <w:sz w:val="26"/>
      <w:szCs w:val="26"/>
    </w:rPr>
  </w:style>
  <w:style w:type="paragraph" w:styleId="Spistreci1">
    <w:name w:val="toc 1"/>
    <w:basedOn w:val="Normalny"/>
    <w:next w:val="Normalny"/>
    <w:autoRedefine/>
    <w:uiPriority w:val="39"/>
    <w:unhideWhenUsed/>
    <w:rsid w:val="008459D0"/>
    <w:pPr>
      <w:tabs>
        <w:tab w:val="left" w:pos="660"/>
        <w:tab w:val="right" w:leader="dot" w:pos="9356"/>
      </w:tabs>
      <w:spacing w:after="100"/>
      <w:jc w:val="both"/>
    </w:pPr>
  </w:style>
  <w:style w:type="paragraph" w:styleId="Spistreci2">
    <w:name w:val="toc 2"/>
    <w:basedOn w:val="Normalny"/>
    <w:next w:val="Normalny"/>
    <w:autoRedefine/>
    <w:uiPriority w:val="39"/>
    <w:unhideWhenUsed/>
    <w:rsid w:val="008459D0"/>
    <w:pPr>
      <w:tabs>
        <w:tab w:val="right" w:leader="dot" w:pos="9356"/>
      </w:tabs>
      <w:spacing w:after="100"/>
      <w:ind w:left="220"/>
      <w:jc w:val="both"/>
    </w:pPr>
  </w:style>
  <w:style w:type="character" w:styleId="Hipercze">
    <w:name w:val="Hyperlink"/>
    <w:basedOn w:val="Domylnaczcionkaakapitu"/>
    <w:uiPriority w:val="99"/>
    <w:unhideWhenUsed/>
    <w:rsid w:val="005A7983"/>
    <w:rPr>
      <w:color w:val="0563C1" w:themeColor="hyperlink"/>
      <w:u w:val="single"/>
    </w:rPr>
  </w:style>
  <w:style w:type="character" w:customStyle="1" w:styleId="Nagwek3Znak">
    <w:name w:val="Nagłówek 3 Znak"/>
    <w:basedOn w:val="Domylnaczcionkaakapitu"/>
    <w:link w:val="Nagwek3"/>
    <w:uiPriority w:val="9"/>
    <w:semiHidden/>
    <w:rsid w:val="0050177A"/>
    <w:rPr>
      <w:rFonts w:asciiTheme="majorHAnsi" w:eastAsiaTheme="majorEastAsia" w:hAnsiTheme="majorHAnsi" w:cstheme="majorBidi"/>
      <w:color w:val="1F4D78" w:themeColor="accent1" w:themeShade="7F"/>
      <w:sz w:val="24"/>
      <w:szCs w:val="24"/>
    </w:rPr>
  </w:style>
  <w:style w:type="paragraph" w:styleId="Nagwek">
    <w:name w:val="header"/>
    <w:basedOn w:val="Normalny"/>
    <w:link w:val="NagwekZnak"/>
    <w:uiPriority w:val="99"/>
    <w:unhideWhenUsed/>
    <w:rsid w:val="0050177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NagwekZnak">
    <w:name w:val="Nagłówek Znak"/>
    <w:basedOn w:val="Domylnaczcionkaakapitu"/>
    <w:link w:val="Nagwek"/>
    <w:uiPriority w:val="99"/>
    <w:rsid w:val="0050177A"/>
    <w:rPr>
      <w:rFonts w:ascii="Times New Roman" w:eastAsia="Times New Roman" w:hAnsi="Times New Roman" w:cs="Times New Roman"/>
      <w:sz w:val="20"/>
      <w:szCs w:val="20"/>
      <w:lang w:eastAsia="pl-PL"/>
    </w:rPr>
  </w:style>
  <w:style w:type="paragraph" w:customStyle="1" w:styleId="Default">
    <w:name w:val="Default"/>
    <w:rsid w:val="0050177A"/>
    <w:pPr>
      <w:autoSpaceDE w:val="0"/>
      <w:autoSpaceDN w:val="0"/>
      <w:adjustRightInd w:val="0"/>
      <w:spacing w:after="0" w:line="240" w:lineRule="auto"/>
    </w:pPr>
    <w:rPr>
      <w:rFonts w:ascii="Calibri" w:eastAsia="Calibri" w:hAnsi="Calibri" w:cs="Calibri"/>
      <w:color w:val="000000"/>
      <w:sz w:val="24"/>
      <w:szCs w:val="24"/>
    </w:rPr>
  </w:style>
  <w:style w:type="paragraph" w:styleId="NormalnyWeb">
    <w:name w:val="Normal (Web)"/>
    <w:basedOn w:val="Normalny"/>
    <w:uiPriority w:val="99"/>
    <w:unhideWhenUsed/>
    <w:rsid w:val="0050177A"/>
    <w:rPr>
      <w:rFonts w:ascii="Times New Roman" w:eastAsia="Calibri" w:hAnsi="Times New Roman" w:cs="Times New Roman"/>
      <w:sz w:val="24"/>
      <w:szCs w:val="24"/>
    </w:rPr>
  </w:style>
  <w:style w:type="paragraph" w:customStyle="1" w:styleId="single-page-text">
    <w:name w:val="single-page-text"/>
    <w:basedOn w:val="Normalny"/>
    <w:rsid w:val="0050177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50177A"/>
    <w:rPr>
      <w:b/>
      <w:bCs/>
    </w:rPr>
  </w:style>
  <w:style w:type="paragraph" w:styleId="Tekstprzypisudolnego">
    <w:name w:val="footnote text"/>
    <w:aliases w:val=" Znak,Footnote,Podrozdział,Tekst przypisu,Tekst przypisu Znak Znak Znak Znak,Tekst przypisu Znak Znak Znak Znak Znak,Tekst przypisu Znak Znak Znak Znak Znak Znak Znak,Tekst przypisu Znak Znak Znak Znak Znak Znak Znak Znak Zn,Znak"/>
    <w:basedOn w:val="Normalny"/>
    <w:link w:val="TekstprzypisudolnegoZnak"/>
    <w:uiPriority w:val="99"/>
    <w:unhideWhenUsed/>
    <w:qFormat/>
    <w:rsid w:val="0050177A"/>
    <w:pPr>
      <w:spacing w:after="0" w:line="240" w:lineRule="auto"/>
    </w:pPr>
    <w:rPr>
      <w:rFonts w:ascii="Calibri" w:eastAsia="Times New Roman" w:hAnsi="Calibri" w:cs="Times New Roman"/>
      <w:sz w:val="20"/>
      <w:szCs w:val="20"/>
      <w:lang w:eastAsia="pl-PL"/>
    </w:rPr>
  </w:style>
  <w:style w:type="character" w:customStyle="1" w:styleId="TekstprzypisudolnegoZnak">
    <w:name w:val="Tekst przypisu dolnego Znak"/>
    <w:aliases w:val=" Znak Znak,Footnote Znak,Podrozdział Znak,Tekst przypisu Znak,Tekst przypisu Znak Znak Znak Znak Znak1,Tekst przypisu Znak Znak Znak Znak Znak Znak,Tekst przypisu Znak Znak Znak Znak Znak Znak Znak Znak,Znak Znak"/>
    <w:basedOn w:val="Domylnaczcionkaakapitu"/>
    <w:link w:val="Tekstprzypisudolnego"/>
    <w:uiPriority w:val="99"/>
    <w:rsid w:val="0050177A"/>
    <w:rPr>
      <w:rFonts w:ascii="Calibri" w:eastAsia="Times New Roman" w:hAnsi="Calibri" w:cs="Times New Roman"/>
      <w:sz w:val="20"/>
      <w:szCs w:val="20"/>
      <w:lang w:eastAsia="pl-PL"/>
    </w:rPr>
  </w:style>
  <w:style w:type="character" w:styleId="Odwoanieprzypisudolnego">
    <w:name w:val="footnote reference"/>
    <w:aliases w:val="Footnote Reference Number,Footnote symbol,Footnote reference number,note TESI,Footnote Reference Superscript,SUPERS,EN Footnote Reference,Footnote number,FZ,(Voetnootmarkering),Appel note de bas de p,BVI fnr,Nota,E FNZ"/>
    <w:basedOn w:val="Domylnaczcionkaakapitu"/>
    <w:link w:val="FootnoteReferneceCarcter"/>
    <w:uiPriority w:val="99"/>
    <w:unhideWhenUsed/>
    <w:qFormat/>
    <w:rsid w:val="0050177A"/>
    <w:rPr>
      <w:vertAlign w:val="superscript"/>
    </w:rPr>
  </w:style>
  <w:style w:type="paragraph" w:customStyle="1" w:styleId="Standard">
    <w:name w:val="Standard"/>
    <w:rsid w:val="00F31DCC"/>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numbering" w:customStyle="1" w:styleId="WW8Num6">
    <w:name w:val="WW8Num6"/>
    <w:basedOn w:val="Bezlisty"/>
    <w:rsid w:val="00F31DCC"/>
    <w:pPr>
      <w:numPr>
        <w:numId w:val="12"/>
      </w:numPr>
    </w:pPr>
  </w:style>
  <w:style w:type="numbering" w:customStyle="1" w:styleId="WW8Num23">
    <w:name w:val="WW8Num23"/>
    <w:basedOn w:val="Bezlisty"/>
    <w:rsid w:val="00F31DCC"/>
    <w:pPr>
      <w:numPr>
        <w:numId w:val="13"/>
      </w:numPr>
    </w:pPr>
  </w:style>
  <w:style w:type="numbering" w:customStyle="1" w:styleId="WWNum30">
    <w:name w:val="WWNum30"/>
    <w:basedOn w:val="Bezlisty"/>
    <w:rsid w:val="00F31DCC"/>
    <w:pPr>
      <w:numPr>
        <w:numId w:val="14"/>
      </w:numPr>
    </w:pPr>
  </w:style>
  <w:style w:type="character" w:customStyle="1" w:styleId="AkapitzlistZnak">
    <w:name w:val="Akapit z listą Znak"/>
    <w:aliases w:val="Bullet1 Znak,Styl moj Znak,Akapit z listą11 Znak,List Paragraph1 Znak,aotm_załączniki Znak,Paragraf Znak,Dot pt Znak,F5 List Paragraph Znak,Recommendation Znak,List Paragraph11 Znak,Numerowanie Znak,Listaszerű bekezdés1 Znak"/>
    <w:link w:val="Akapitzlist"/>
    <w:uiPriority w:val="34"/>
    <w:qFormat/>
    <w:locked/>
    <w:rsid w:val="00F31DCC"/>
  </w:style>
  <w:style w:type="paragraph" w:styleId="HTML-wstpniesformatowany">
    <w:name w:val="HTML Preformatted"/>
    <w:basedOn w:val="Normalny"/>
    <w:link w:val="HTML-wstpniesformatowanyZnak"/>
    <w:uiPriority w:val="99"/>
    <w:unhideWhenUsed/>
    <w:qFormat/>
    <w:rsid w:val="00F31DCC"/>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F31DCC"/>
    <w:rPr>
      <w:rFonts w:ascii="Consolas" w:hAnsi="Consolas"/>
      <w:sz w:val="20"/>
      <w:szCs w:val="20"/>
    </w:rPr>
  </w:style>
  <w:style w:type="paragraph" w:styleId="Bezodstpw">
    <w:name w:val="No Spacing"/>
    <w:uiPriority w:val="1"/>
    <w:qFormat/>
    <w:rsid w:val="00F31DCC"/>
    <w:pPr>
      <w:suppressAutoHyphens/>
      <w:spacing w:after="0" w:line="240" w:lineRule="auto"/>
    </w:pPr>
    <w:rPr>
      <w:rFonts w:ascii="Calibri" w:eastAsia="Times New Roman" w:hAnsi="Calibri" w:cs="Times New Roman"/>
      <w:lang w:eastAsia="zh-CN"/>
    </w:rPr>
  </w:style>
  <w:style w:type="character" w:customStyle="1" w:styleId="Bodytext2">
    <w:name w:val="Body text (2)_"/>
    <w:basedOn w:val="Domylnaczcionkaakapitu"/>
    <w:link w:val="Bodytext20"/>
    <w:rsid w:val="00F31DCC"/>
    <w:rPr>
      <w:rFonts w:ascii="Arial" w:eastAsia="Arial" w:hAnsi="Arial" w:cs="Arial"/>
      <w:shd w:val="clear" w:color="auto" w:fill="FFFFFF"/>
    </w:rPr>
  </w:style>
  <w:style w:type="character" w:customStyle="1" w:styleId="Bodytext2Italic">
    <w:name w:val="Body text (2) + Italic"/>
    <w:basedOn w:val="Bodytext2"/>
    <w:rsid w:val="00F31DCC"/>
    <w:rPr>
      <w:rFonts w:ascii="Arial" w:eastAsia="Arial" w:hAnsi="Arial" w:cs="Arial"/>
      <w:i/>
      <w:iCs/>
      <w:color w:val="000000"/>
      <w:spacing w:val="0"/>
      <w:w w:val="100"/>
      <w:position w:val="0"/>
      <w:shd w:val="clear" w:color="auto" w:fill="FFFFFF"/>
      <w:lang w:val="pl-PL" w:eastAsia="pl-PL" w:bidi="pl-PL"/>
    </w:rPr>
  </w:style>
  <w:style w:type="paragraph" w:customStyle="1" w:styleId="Bodytext20">
    <w:name w:val="Body text (2)"/>
    <w:basedOn w:val="Normalny"/>
    <w:link w:val="Bodytext2"/>
    <w:rsid w:val="00F31DCC"/>
    <w:pPr>
      <w:widowControl w:val="0"/>
      <w:shd w:val="clear" w:color="auto" w:fill="FFFFFF"/>
      <w:spacing w:after="0" w:line="0" w:lineRule="atLeast"/>
      <w:ind w:hanging="420"/>
    </w:pPr>
    <w:rPr>
      <w:rFonts w:ascii="Arial" w:eastAsia="Arial" w:hAnsi="Arial" w:cs="Arial"/>
    </w:rPr>
  </w:style>
  <w:style w:type="paragraph" w:customStyle="1" w:styleId="Akapitzlist1">
    <w:name w:val="Akapit z listą1"/>
    <w:basedOn w:val="Normalny"/>
    <w:uiPriority w:val="99"/>
    <w:rsid w:val="00C72FA4"/>
    <w:pPr>
      <w:spacing w:after="0" w:line="240" w:lineRule="auto"/>
      <w:ind w:left="720"/>
    </w:pPr>
    <w:rPr>
      <w:rFonts w:ascii="Calibri" w:eastAsia="Calibri" w:hAnsi="Calibri" w:cs="Times New Roman"/>
      <w:sz w:val="24"/>
      <w:szCs w:val="24"/>
      <w:lang w:eastAsia="pl-PL"/>
    </w:rPr>
  </w:style>
  <w:style w:type="character" w:customStyle="1" w:styleId="editable-pre-wrapped">
    <w:name w:val="editable-pre-wrapped"/>
    <w:basedOn w:val="Domylnaczcionkaakapitu"/>
    <w:rsid w:val="00C72FA4"/>
  </w:style>
  <w:style w:type="character" w:customStyle="1" w:styleId="e24kjd">
    <w:name w:val="e24kjd"/>
    <w:rsid w:val="00C72FA4"/>
  </w:style>
  <w:style w:type="character" w:customStyle="1" w:styleId="czeinternetowe">
    <w:name w:val="Łącze internetowe"/>
    <w:rsid w:val="00C72FA4"/>
    <w:rPr>
      <w:color w:val="0000FF"/>
      <w:u w:val="single"/>
    </w:rPr>
  </w:style>
  <w:style w:type="table" w:styleId="Tabela-Siatka">
    <w:name w:val="Table Grid"/>
    <w:basedOn w:val="Standardowy"/>
    <w:uiPriority w:val="39"/>
    <w:rsid w:val="00CC3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odstawowyZnak">
    <w:name w:val="Tekst podstawowy Znak"/>
    <w:link w:val="Tekstpodstawowy"/>
    <w:uiPriority w:val="99"/>
    <w:rsid w:val="00AB1786"/>
    <w:rPr>
      <w:rFonts w:eastAsia="Lucida Sans Unicode"/>
      <w:kern w:val="1"/>
      <w:sz w:val="24"/>
      <w:szCs w:val="24"/>
    </w:rPr>
  </w:style>
  <w:style w:type="paragraph" w:styleId="Tekstpodstawowy">
    <w:name w:val="Body Text"/>
    <w:basedOn w:val="Normalny"/>
    <w:link w:val="TekstpodstawowyZnak"/>
    <w:uiPriority w:val="99"/>
    <w:rsid w:val="00AB1786"/>
    <w:pPr>
      <w:widowControl w:val="0"/>
      <w:suppressAutoHyphens/>
      <w:spacing w:after="120" w:line="240" w:lineRule="auto"/>
    </w:pPr>
    <w:rPr>
      <w:rFonts w:eastAsia="Lucida Sans Unicode"/>
      <w:kern w:val="1"/>
      <w:sz w:val="24"/>
      <w:szCs w:val="24"/>
    </w:rPr>
  </w:style>
  <w:style w:type="character" w:customStyle="1" w:styleId="TekstpodstawowyZnak1">
    <w:name w:val="Tekst podstawowy Znak1"/>
    <w:basedOn w:val="Domylnaczcionkaakapitu"/>
    <w:uiPriority w:val="99"/>
    <w:semiHidden/>
    <w:rsid w:val="00AB1786"/>
  </w:style>
  <w:style w:type="paragraph" w:customStyle="1" w:styleId="Pa8">
    <w:name w:val="Pa8"/>
    <w:basedOn w:val="Normalny"/>
    <w:next w:val="Normalny"/>
    <w:uiPriority w:val="99"/>
    <w:rsid w:val="00AB1786"/>
    <w:pPr>
      <w:autoSpaceDE w:val="0"/>
      <w:autoSpaceDN w:val="0"/>
      <w:adjustRightInd w:val="0"/>
      <w:spacing w:after="0" w:line="321" w:lineRule="atLeast"/>
    </w:pPr>
    <w:rPr>
      <w:rFonts w:ascii="Myriad Pro" w:eastAsia="Calibri" w:hAnsi="Myriad Pro" w:cs="Times New Roman"/>
      <w:sz w:val="24"/>
      <w:szCs w:val="24"/>
    </w:rPr>
  </w:style>
  <w:style w:type="paragraph" w:styleId="Tekstdymka">
    <w:name w:val="Balloon Text"/>
    <w:basedOn w:val="Normalny"/>
    <w:link w:val="TekstdymkaZnak"/>
    <w:uiPriority w:val="99"/>
    <w:rsid w:val="00AB1786"/>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AB1786"/>
    <w:rPr>
      <w:rFonts w:ascii="Segoe UI" w:eastAsia="Times New Roman" w:hAnsi="Segoe UI" w:cs="Segoe UI"/>
      <w:sz w:val="18"/>
      <w:szCs w:val="18"/>
      <w:lang w:eastAsia="pl-PL"/>
    </w:rPr>
  </w:style>
  <w:style w:type="paragraph" w:styleId="Stopka">
    <w:name w:val="footer"/>
    <w:basedOn w:val="Normalny"/>
    <w:link w:val="StopkaZnak"/>
    <w:uiPriority w:val="99"/>
    <w:rsid w:val="00AB1786"/>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AB1786"/>
    <w:rPr>
      <w:rFonts w:ascii="Times New Roman" w:eastAsia="Times New Roman" w:hAnsi="Times New Roman" w:cs="Times New Roman"/>
      <w:sz w:val="24"/>
      <w:szCs w:val="24"/>
      <w:lang w:eastAsia="pl-PL"/>
    </w:rPr>
  </w:style>
  <w:style w:type="table" w:styleId="Tabelasiatki6kolorowaakcent1">
    <w:name w:val="Grid Table 6 Colorful Accent 1"/>
    <w:basedOn w:val="Standardowy"/>
    <w:uiPriority w:val="51"/>
    <w:rsid w:val="00AB1786"/>
    <w:pPr>
      <w:spacing w:after="0" w:line="240" w:lineRule="auto"/>
    </w:pPr>
    <w:rPr>
      <w:rFonts w:ascii="Calibri" w:eastAsia="Calibri" w:hAnsi="Calibri" w:cs="Times New Roman"/>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elasiatki2akcent1">
    <w:name w:val="Grid Table 2 Accent 1"/>
    <w:basedOn w:val="Standardowy"/>
    <w:uiPriority w:val="47"/>
    <w:rsid w:val="00311D18"/>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1">
    <w:name w:val="Grid Table 4 Accent 1"/>
    <w:basedOn w:val="Standardowy"/>
    <w:uiPriority w:val="49"/>
    <w:rsid w:val="00311D1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asiatki4akcent2">
    <w:name w:val="Grid Table 4 Accent 2"/>
    <w:basedOn w:val="Standardowy"/>
    <w:uiPriority w:val="49"/>
    <w:rsid w:val="00311D1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asiatki4akcent3">
    <w:name w:val="Grid Table 4 Accent 3"/>
    <w:basedOn w:val="Standardowy"/>
    <w:uiPriority w:val="49"/>
    <w:rsid w:val="00311D1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asiatki4akcent4">
    <w:name w:val="Grid Table 4 Accent 4"/>
    <w:basedOn w:val="Standardowy"/>
    <w:uiPriority w:val="49"/>
    <w:rsid w:val="00311D1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4akcent6">
    <w:name w:val="Grid Table 4 Accent 6"/>
    <w:basedOn w:val="Standardowy"/>
    <w:uiPriority w:val="49"/>
    <w:rsid w:val="00311D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asiatki4akcent5">
    <w:name w:val="Grid Table 4 Accent 5"/>
    <w:basedOn w:val="Standardowy"/>
    <w:uiPriority w:val="49"/>
    <w:rsid w:val="00311D1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Kolorowalistaakcent11">
    <w:name w:val="Kolorowa lista — akcent 11"/>
    <w:basedOn w:val="Normalny"/>
    <w:uiPriority w:val="99"/>
    <w:rsid w:val="00311D18"/>
    <w:pPr>
      <w:ind w:left="720"/>
      <w:contextualSpacing/>
    </w:pPr>
    <w:rPr>
      <w:rFonts w:ascii="Calibri" w:eastAsia="Times New Roman" w:hAnsi="Calibri" w:cs="Times New Roman"/>
      <w:lang w:eastAsia="pl-PL"/>
    </w:rPr>
  </w:style>
  <w:style w:type="character" w:customStyle="1" w:styleId="Teksttreci5">
    <w:name w:val="Tekst treści (5)_"/>
    <w:link w:val="Teksttreci50"/>
    <w:rsid w:val="00311D18"/>
    <w:rPr>
      <w:rFonts w:cs="Calibri"/>
      <w:i/>
      <w:iCs/>
      <w:sz w:val="21"/>
      <w:szCs w:val="21"/>
      <w:shd w:val="clear" w:color="auto" w:fill="FFFFFF"/>
    </w:rPr>
  </w:style>
  <w:style w:type="paragraph" w:customStyle="1" w:styleId="Teksttreci50">
    <w:name w:val="Tekst treści (5)"/>
    <w:basedOn w:val="Normalny"/>
    <w:link w:val="Teksttreci5"/>
    <w:rsid w:val="00311D18"/>
    <w:pPr>
      <w:widowControl w:val="0"/>
      <w:shd w:val="clear" w:color="auto" w:fill="FFFFFF"/>
      <w:spacing w:after="0" w:line="310" w:lineRule="exact"/>
      <w:ind w:firstLine="420"/>
      <w:jc w:val="both"/>
    </w:pPr>
    <w:rPr>
      <w:rFonts w:cs="Calibri"/>
      <w:i/>
      <w:iCs/>
      <w:sz w:val="21"/>
      <w:szCs w:val="21"/>
    </w:rPr>
  </w:style>
  <w:style w:type="table" w:styleId="Tabelasiatki3akcent4">
    <w:name w:val="Grid Table 3 Accent 4"/>
    <w:basedOn w:val="Standardowy"/>
    <w:uiPriority w:val="48"/>
    <w:rsid w:val="00311D1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asiatki5ciemnaakcent4">
    <w:name w:val="Grid Table 5 Dark Accent 4"/>
    <w:basedOn w:val="Standardowy"/>
    <w:uiPriority w:val="50"/>
    <w:rsid w:val="00311D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asiatki6kolorowaakcent4">
    <w:name w:val="Grid Table 6 Colorful Accent 4"/>
    <w:basedOn w:val="Standardowy"/>
    <w:uiPriority w:val="51"/>
    <w:rsid w:val="00311D18"/>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asiatki6kolorowaakcent5">
    <w:name w:val="Grid Table 6 Colorful Accent 5"/>
    <w:basedOn w:val="Standardowy"/>
    <w:uiPriority w:val="51"/>
    <w:rsid w:val="00311D18"/>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Odwoaniedokomentarza">
    <w:name w:val="annotation reference"/>
    <w:basedOn w:val="Domylnaczcionkaakapitu"/>
    <w:uiPriority w:val="99"/>
    <w:semiHidden/>
    <w:unhideWhenUsed/>
    <w:rsid w:val="00311D18"/>
    <w:rPr>
      <w:sz w:val="16"/>
      <w:szCs w:val="16"/>
    </w:rPr>
  </w:style>
  <w:style w:type="paragraph" w:styleId="Tekstkomentarza">
    <w:name w:val="annotation text"/>
    <w:basedOn w:val="Normalny"/>
    <w:link w:val="TekstkomentarzaZnak"/>
    <w:uiPriority w:val="99"/>
    <w:semiHidden/>
    <w:unhideWhenUsed/>
    <w:rsid w:val="00311D18"/>
    <w:pPr>
      <w:spacing w:after="160" w:line="240" w:lineRule="auto"/>
    </w:pPr>
    <w:rPr>
      <w:sz w:val="20"/>
      <w:szCs w:val="20"/>
    </w:rPr>
  </w:style>
  <w:style w:type="character" w:customStyle="1" w:styleId="TekstkomentarzaZnak">
    <w:name w:val="Tekst komentarza Znak"/>
    <w:basedOn w:val="Domylnaczcionkaakapitu"/>
    <w:link w:val="Tekstkomentarza"/>
    <w:uiPriority w:val="99"/>
    <w:semiHidden/>
    <w:rsid w:val="00311D18"/>
    <w:rPr>
      <w:sz w:val="20"/>
      <w:szCs w:val="20"/>
    </w:rPr>
  </w:style>
  <w:style w:type="paragraph" w:styleId="Tematkomentarza">
    <w:name w:val="annotation subject"/>
    <w:basedOn w:val="Tekstkomentarza"/>
    <w:next w:val="Tekstkomentarza"/>
    <w:link w:val="TematkomentarzaZnak"/>
    <w:uiPriority w:val="99"/>
    <w:semiHidden/>
    <w:unhideWhenUsed/>
    <w:rsid w:val="00311D18"/>
    <w:rPr>
      <w:b/>
      <w:bCs/>
    </w:rPr>
  </w:style>
  <w:style w:type="character" w:customStyle="1" w:styleId="TematkomentarzaZnak">
    <w:name w:val="Temat komentarza Znak"/>
    <w:basedOn w:val="TekstkomentarzaZnak"/>
    <w:link w:val="Tematkomentarza"/>
    <w:uiPriority w:val="99"/>
    <w:semiHidden/>
    <w:rsid w:val="00311D18"/>
    <w:rPr>
      <w:b/>
      <w:bCs/>
      <w:sz w:val="20"/>
      <w:szCs w:val="20"/>
    </w:rPr>
  </w:style>
  <w:style w:type="table" w:customStyle="1" w:styleId="Tabelasiatki6kolorowaakcent11">
    <w:name w:val="Tabela siatki 6 — kolorowa — akcent 11"/>
    <w:basedOn w:val="Standardowy"/>
    <w:uiPriority w:val="51"/>
    <w:qFormat/>
    <w:rsid w:val="004854E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Teksttreci">
    <w:name w:val="Tekst treści_"/>
    <w:basedOn w:val="Domylnaczcionkaakapitu"/>
    <w:link w:val="Teksttreci0"/>
    <w:rsid w:val="00454AE8"/>
    <w:rPr>
      <w:rFonts w:ascii="Times New Roman" w:eastAsia="Times New Roman" w:hAnsi="Times New Roman" w:cs="Times New Roman"/>
      <w:sz w:val="23"/>
      <w:szCs w:val="23"/>
      <w:shd w:val="clear" w:color="auto" w:fill="FFFFFF"/>
    </w:rPr>
  </w:style>
  <w:style w:type="character" w:customStyle="1" w:styleId="TeksttreciKursywa">
    <w:name w:val="Tekst treści + Kursywa"/>
    <w:basedOn w:val="Teksttreci"/>
    <w:rsid w:val="00454AE8"/>
    <w:rPr>
      <w:rFonts w:ascii="Times New Roman" w:eastAsia="Times New Roman" w:hAnsi="Times New Roman" w:cs="Times New Roman"/>
      <w:i/>
      <w:iCs/>
      <w:color w:val="000000"/>
      <w:spacing w:val="0"/>
      <w:w w:val="100"/>
      <w:position w:val="0"/>
      <w:sz w:val="23"/>
      <w:szCs w:val="23"/>
      <w:shd w:val="clear" w:color="auto" w:fill="FFFFFF"/>
      <w:lang w:val="pl-PL"/>
    </w:rPr>
  </w:style>
  <w:style w:type="paragraph" w:customStyle="1" w:styleId="Teksttreci0">
    <w:name w:val="Tekst treści"/>
    <w:basedOn w:val="Normalny"/>
    <w:link w:val="Teksttreci"/>
    <w:rsid w:val="00454AE8"/>
    <w:pPr>
      <w:widowControl w:val="0"/>
      <w:shd w:val="clear" w:color="auto" w:fill="FFFFFF"/>
      <w:spacing w:after="600" w:line="0" w:lineRule="atLeast"/>
      <w:ind w:hanging="360"/>
      <w:jc w:val="right"/>
    </w:pPr>
    <w:rPr>
      <w:rFonts w:ascii="Times New Roman" w:eastAsia="Times New Roman" w:hAnsi="Times New Roman" w:cs="Times New Roman"/>
      <w:sz w:val="23"/>
      <w:szCs w:val="23"/>
    </w:rPr>
  </w:style>
  <w:style w:type="character" w:customStyle="1" w:styleId="Stopka0">
    <w:name w:val="Stopka_"/>
    <w:basedOn w:val="Domylnaczcionkaakapitu"/>
    <w:link w:val="Stopka2"/>
    <w:rsid w:val="005B49FD"/>
    <w:rPr>
      <w:rFonts w:ascii="Calibri" w:eastAsia="Calibri" w:hAnsi="Calibri" w:cs="Calibri"/>
      <w:sz w:val="19"/>
      <w:szCs w:val="19"/>
      <w:shd w:val="clear" w:color="auto" w:fill="FFFFFF"/>
      <w:lang w:val="en-US"/>
    </w:rPr>
  </w:style>
  <w:style w:type="character" w:customStyle="1" w:styleId="Stopka1">
    <w:name w:val="Stopka1"/>
    <w:basedOn w:val="Stopka0"/>
    <w:rsid w:val="005B49FD"/>
    <w:rPr>
      <w:rFonts w:ascii="Calibri" w:eastAsia="Calibri" w:hAnsi="Calibri" w:cs="Calibri"/>
      <w:color w:val="000000"/>
      <w:spacing w:val="0"/>
      <w:w w:val="100"/>
      <w:position w:val="0"/>
      <w:sz w:val="19"/>
      <w:szCs w:val="19"/>
      <w:u w:val="single"/>
      <w:shd w:val="clear" w:color="auto" w:fill="FFFFFF"/>
      <w:lang w:val="en-US"/>
    </w:rPr>
  </w:style>
  <w:style w:type="character" w:customStyle="1" w:styleId="Nagwek10">
    <w:name w:val="Nagłówek #1_"/>
    <w:basedOn w:val="Domylnaczcionkaakapitu"/>
    <w:link w:val="Nagwek11"/>
    <w:rsid w:val="005B49FD"/>
    <w:rPr>
      <w:rFonts w:ascii="Times New Roman" w:eastAsia="Times New Roman" w:hAnsi="Times New Roman" w:cs="Times New Roman"/>
      <w:sz w:val="23"/>
      <w:szCs w:val="23"/>
      <w:shd w:val="clear" w:color="auto" w:fill="FFFFFF"/>
    </w:rPr>
  </w:style>
  <w:style w:type="character" w:customStyle="1" w:styleId="PodpisobrazuExact">
    <w:name w:val="Podpis obrazu Exact"/>
    <w:basedOn w:val="Domylnaczcionkaakapitu"/>
    <w:link w:val="Podpisobrazu"/>
    <w:rsid w:val="005B49FD"/>
    <w:rPr>
      <w:rFonts w:ascii="Times New Roman" w:eastAsia="Times New Roman" w:hAnsi="Times New Roman" w:cs="Times New Roman"/>
      <w:spacing w:val="4"/>
      <w:sz w:val="21"/>
      <w:szCs w:val="21"/>
      <w:shd w:val="clear" w:color="auto" w:fill="FFFFFF"/>
    </w:rPr>
  </w:style>
  <w:style w:type="character" w:customStyle="1" w:styleId="Teksttreci4">
    <w:name w:val="Tekst treści (4)_"/>
    <w:basedOn w:val="Domylnaczcionkaakapitu"/>
    <w:rsid w:val="005B49FD"/>
    <w:rPr>
      <w:rFonts w:ascii="Times New Roman" w:eastAsia="Times New Roman" w:hAnsi="Times New Roman" w:cs="Times New Roman"/>
      <w:b/>
      <w:bCs/>
      <w:i w:val="0"/>
      <w:iCs w:val="0"/>
      <w:smallCaps w:val="0"/>
      <w:strike w:val="0"/>
      <w:sz w:val="16"/>
      <w:szCs w:val="16"/>
      <w:u w:val="none"/>
    </w:rPr>
  </w:style>
  <w:style w:type="character" w:customStyle="1" w:styleId="Teksttreci40">
    <w:name w:val="Tekst treści (4)"/>
    <w:basedOn w:val="Teksttreci4"/>
    <w:rsid w:val="005B49FD"/>
    <w:rPr>
      <w:rFonts w:ascii="Times New Roman" w:eastAsia="Times New Roman" w:hAnsi="Times New Roman" w:cs="Times New Roman"/>
      <w:b/>
      <w:bCs/>
      <w:i w:val="0"/>
      <w:iCs w:val="0"/>
      <w:smallCaps w:val="0"/>
      <w:strike w:val="0"/>
      <w:color w:val="000000"/>
      <w:spacing w:val="0"/>
      <w:w w:val="100"/>
      <w:position w:val="0"/>
      <w:sz w:val="16"/>
      <w:szCs w:val="16"/>
      <w:u w:val="none"/>
      <w:lang w:val="pl-PL"/>
    </w:rPr>
  </w:style>
  <w:style w:type="character" w:customStyle="1" w:styleId="Podpisobrazu2Exact">
    <w:name w:val="Podpis obrazu (2) Exact"/>
    <w:basedOn w:val="Domylnaczcionkaakapitu"/>
    <w:link w:val="Podpisobrazu2"/>
    <w:rsid w:val="005B49FD"/>
    <w:rPr>
      <w:rFonts w:ascii="Calibri" w:eastAsia="Calibri" w:hAnsi="Calibri" w:cs="Calibri"/>
      <w:spacing w:val="1"/>
      <w:sz w:val="18"/>
      <w:szCs w:val="18"/>
      <w:shd w:val="clear" w:color="auto" w:fill="FFFFFF"/>
    </w:rPr>
  </w:style>
  <w:style w:type="character" w:customStyle="1" w:styleId="Teksttreci6">
    <w:name w:val="Tekst treści (6)_"/>
    <w:basedOn w:val="Domylnaczcionkaakapitu"/>
    <w:link w:val="Teksttreci60"/>
    <w:rsid w:val="005B49FD"/>
    <w:rPr>
      <w:rFonts w:ascii="Calibri" w:eastAsia="Calibri" w:hAnsi="Calibri" w:cs="Calibri"/>
      <w:sz w:val="19"/>
      <w:szCs w:val="19"/>
      <w:shd w:val="clear" w:color="auto" w:fill="FFFFFF"/>
    </w:rPr>
  </w:style>
  <w:style w:type="character" w:customStyle="1" w:styleId="PogrubienieTeksttreciCalibri13pt">
    <w:name w:val="Pogrubienie;Tekst treści + Calibri;13 pt"/>
    <w:basedOn w:val="Teksttreci"/>
    <w:rsid w:val="005B49FD"/>
    <w:rPr>
      <w:rFonts w:ascii="Calibri" w:eastAsia="Calibri" w:hAnsi="Calibri" w:cs="Calibri"/>
      <w:b/>
      <w:bCs/>
      <w:i w:val="0"/>
      <w:iCs w:val="0"/>
      <w:smallCaps w:val="0"/>
      <w:strike w:val="0"/>
      <w:color w:val="000000"/>
      <w:spacing w:val="0"/>
      <w:w w:val="100"/>
      <w:position w:val="0"/>
      <w:sz w:val="26"/>
      <w:szCs w:val="26"/>
      <w:u w:val="none"/>
      <w:shd w:val="clear" w:color="auto" w:fill="FFFFFF"/>
      <w:lang w:val="pl-PL"/>
    </w:rPr>
  </w:style>
  <w:style w:type="character" w:customStyle="1" w:styleId="TeksttreciCalibri95pt">
    <w:name w:val="Tekst treści + Calibri;9;5 pt"/>
    <w:basedOn w:val="Teksttreci"/>
    <w:rsid w:val="005B49FD"/>
    <w:rPr>
      <w:rFonts w:ascii="Calibri" w:eastAsia="Calibri" w:hAnsi="Calibri" w:cs="Calibri"/>
      <w:b w:val="0"/>
      <w:bCs w:val="0"/>
      <w:i w:val="0"/>
      <w:iCs w:val="0"/>
      <w:smallCaps w:val="0"/>
      <w:strike w:val="0"/>
      <w:color w:val="000000"/>
      <w:spacing w:val="0"/>
      <w:w w:val="100"/>
      <w:position w:val="0"/>
      <w:sz w:val="19"/>
      <w:szCs w:val="19"/>
      <w:u w:val="none"/>
      <w:shd w:val="clear" w:color="auto" w:fill="FFFFFF"/>
      <w:lang w:val="pl-PL"/>
    </w:rPr>
  </w:style>
  <w:style w:type="character" w:customStyle="1" w:styleId="Teksttreci55ptOdstpy2pt">
    <w:name w:val="Tekst treści + 5;5 pt;Odstępy 2 pt"/>
    <w:basedOn w:val="Teksttreci"/>
    <w:rsid w:val="005B49FD"/>
    <w:rPr>
      <w:rFonts w:ascii="Times New Roman" w:eastAsia="Times New Roman" w:hAnsi="Times New Roman" w:cs="Times New Roman"/>
      <w:b w:val="0"/>
      <w:bCs w:val="0"/>
      <w:i w:val="0"/>
      <w:iCs w:val="0"/>
      <w:smallCaps w:val="0"/>
      <w:strike w:val="0"/>
      <w:color w:val="000000"/>
      <w:spacing w:val="50"/>
      <w:w w:val="100"/>
      <w:position w:val="0"/>
      <w:sz w:val="11"/>
      <w:szCs w:val="11"/>
      <w:u w:val="none"/>
      <w:shd w:val="clear" w:color="auto" w:fill="FFFFFF"/>
      <w:lang w:val="pl-PL"/>
    </w:rPr>
  </w:style>
  <w:style w:type="character" w:customStyle="1" w:styleId="TeksttreciSimSun9pt">
    <w:name w:val="Tekst treści + SimSun;9 pt"/>
    <w:basedOn w:val="Teksttreci"/>
    <w:rsid w:val="005B49FD"/>
    <w:rPr>
      <w:rFonts w:ascii="SimSun" w:eastAsia="SimSun" w:hAnsi="SimSun" w:cs="SimSun"/>
      <w:b w:val="0"/>
      <w:bCs w:val="0"/>
      <w:i w:val="0"/>
      <w:iCs w:val="0"/>
      <w:smallCaps w:val="0"/>
      <w:strike w:val="0"/>
      <w:color w:val="000000"/>
      <w:spacing w:val="0"/>
      <w:w w:val="100"/>
      <w:position w:val="0"/>
      <w:sz w:val="18"/>
      <w:szCs w:val="18"/>
      <w:u w:val="none"/>
      <w:shd w:val="clear" w:color="auto" w:fill="FFFFFF"/>
    </w:rPr>
  </w:style>
  <w:style w:type="character" w:customStyle="1" w:styleId="TeksttreciConstantia86ptKursywa">
    <w:name w:val="Tekst treści + Constantia;86 pt;Kursywa"/>
    <w:basedOn w:val="Teksttreci"/>
    <w:rsid w:val="005B49FD"/>
    <w:rPr>
      <w:rFonts w:ascii="Constantia" w:eastAsia="Constantia" w:hAnsi="Constantia" w:cs="Constantia"/>
      <w:b w:val="0"/>
      <w:bCs w:val="0"/>
      <w:i/>
      <w:iCs/>
      <w:smallCaps w:val="0"/>
      <w:strike w:val="0"/>
      <w:color w:val="000000"/>
      <w:spacing w:val="0"/>
      <w:w w:val="100"/>
      <w:position w:val="0"/>
      <w:sz w:val="172"/>
      <w:szCs w:val="172"/>
      <w:u w:val="none"/>
      <w:shd w:val="clear" w:color="auto" w:fill="FFFFFF"/>
    </w:rPr>
  </w:style>
  <w:style w:type="character" w:customStyle="1" w:styleId="Teksttreci5Exact">
    <w:name w:val="Tekst treści (5) Exact"/>
    <w:basedOn w:val="Domylnaczcionkaakapitu"/>
    <w:rsid w:val="005B49FD"/>
    <w:rPr>
      <w:rFonts w:ascii="Calibri" w:eastAsia="Calibri" w:hAnsi="Calibri" w:cs="Calibri"/>
      <w:b/>
      <w:bCs/>
      <w:i w:val="0"/>
      <w:iCs w:val="0"/>
      <w:smallCaps w:val="0"/>
      <w:strike w:val="0"/>
      <w:spacing w:val="2"/>
      <w:sz w:val="21"/>
      <w:szCs w:val="21"/>
      <w:u w:val="none"/>
    </w:rPr>
  </w:style>
  <w:style w:type="character" w:customStyle="1" w:styleId="Teksttreci6Exact">
    <w:name w:val="Tekst treści (6) Exact"/>
    <w:basedOn w:val="Domylnaczcionkaakapitu"/>
    <w:rsid w:val="005B49FD"/>
    <w:rPr>
      <w:rFonts w:ascii="Calibri" w:eastAsia="Calibri" w:hAnsi="Calibri" w:cs="Calibri"/>
      <w:b w:val="0"/>
      <w:bCs w:val="0"/>
      <w:i w:val="0"/>
      <w:iCs w:val="0"/>
      <w:smallCaps w:val="0"/>
      <w:strike w:val="0"/>
      <w:spacing w:val="1"/>
      <w:sz w:val="18"/>
      <w:szCs w:val="18"/>
      <w:u w:val="none"/>
    </w:rPr>
  </w:style>
  <w:style w:type="paragraph" w:customStyle="1" w:styleId="Stopka2">
    <w:name w:val="Stopka2"/>
    <w:basedOn w:val="Normalny"/>
    <w:link w:val="Stopka0"/>
    <w:rsid w:val="005B49FD"/>
    <w:pPr>
      <w:widowControl w:val="0"/>
      <w:shd w:val="clear" w:color="auto" w:fill="FFFFFF"/>
      <w:spacing w:after="0" w:line="408" w:lineRule="exact"/>
    </w:pPr>
    <w:rPr>
      <w:rFonts w:ascii="Calibri" w:eastAsia="Calibri" w:hAnsi="Calibri" w:cs="Calibri"/>
      <w:sz w:val="19"/>
      <w:szCs w:val="19"/>
      <w:lang w:val="en-US"/>
    </w:rPr>
  </w:style>
  <w:style w:type="paragraph" w:customStyle="1" w:styleId="Nagwek11">
    <w:name w:val="Nagłówek #1"/>
    <w:basedOn w:val="Normalny"/>
    <w:link w:val="Nagwek10"/>
    <w:rsid w:val="005B49FD"/>
    <w:pPr>
      <w:widowControl w:val="0"/>
      <w:shd w:val="clear" w:color="auto" w:fill="FFFFFF"/>
      <w:spacing w:after="0" w:line="413" w:lineRule="exact"/>
      <w:ind w:hanging="340"/>
      <w:jc w:val="both"/>
      <w:outlineLvl w:val="0"/>
    </w:pPr>
    <w:rPr>
      <w:rFonts w:ascii="Times New Roman" w:eastAsia="Times New Roman" w:hAnsi="Times New Roman" w:cs="Times New Roman"/>
      <w:sz w:val="23"/>
      <w:szCs w:val="23"/>
    </w:rPr>
  </w:style>
  <w:style w:type="paragraph" w:customStyle="1" w:styleId="Podpisobrazu">
    <w:name w:val="Podpis obrazu"/>
    <w:basedOn w:val="Normalny"/>
    <w:link w:val="PodpisobrazuExact"/>
    <w:rsid w:val="005B49FD"/>
    <w:pPr>
      <w:widowControl w:val="0"/>
      <w:shd w:val="clear" w:color="auto" w:fill="FFFFFF"/>
      <w:spacing w:after="0" w:line="0" w:lineRule="atLeast"/>
    </w:pPr>
    <w:rPr>
      <w:rFonts w:ascii="Times New Roman" w:eastAsia="Times New Roman" w:hAnsi="Times New Roman" w:cs="Times New Roman"/>
      <w:spacing w:val="4"/>
      <w:sz w:val="21"/>
      <w:szCs w:val="21"/>
    </w:rPr>
  </w:style>
  <w:style w:type="paragraph" w:customStyle="1" w:styleId="Podpisobrazu2">
    <w:name w:val="Podpis obrazu (2)"/>
    <w:basedOn w:val="Normalny"/>
    <w:link w:val="Podpisobrazu2Exact"/>
    <w:rsid w:val="005B49FD"/>
    <w:pPr>
      <w:widowControl w:val="0"/>
      <w:shd w:val="clear" w:color="auto" w:fill="FFFFFF"/>
      <w:spacing w:after="0" w:line="418" w:lineRule="exact"/>
    </w:pPr>
    <w:rPr>
      <w:rFonts w:ascii="Calibri" w:eastAsia="Calibri" w:hAnsi="Calibri" w:cs="Calibri"/>
      <w:spacing w:val="1"/>
      <w:sz w:val="18"/>
      <w:szCs w:val="18"/>
    </w:rPr>
  </w:style>
  <w:style w:type="paragraph" w:customStyle="1" w:styleId="Teksttreci60">
    <w:name w:val="Tekst treści (6)"/>
    <w:basedOn w:val="Normalny"/>
    <w:link w:val="Teksttreci6"/>
    <w:rsid w:val="005B49FD"/>
    <w:pPr>
      <w:widowControl w:val="0"/>
      <w:shd w:val="clear" w:color="auto" w:fill="FFFFFF"/>
      <w:spacing w:before="780" w:after="60" w:line="490" w:lineRule="exact"/>
      <w:jc w:val="both"/>
    </w:pPr>
    <w:rPr>
      <w:rFonts w:ascii="Calibri" w:eastAsia="Calibri" w:hAnsi="Calibri" w:cs="Calibri"/>
      <w:sz w:val="19"/>
      <w:szCs w:val="19"/>
    </w:rPr>
  </w:style>
  <w:style w:type="character" w:customStyle="1" w:styleId="Teksttreci6TrebuchetMSKursywa">
    <w:name w:val="Tekst treści (6) + Trebuchet MS;Kursywa"/>
    <w:basedOn w:val="Teksttreci6"/>
    <w:rsid w:val="006012C3"/>
    <w:rPr>
      <w:rFonts w:ascii="Trebuchet MS" w:eastAsia="Trebuchet MS" w:hAnsi="Trebuchet MS" w:cs="Trebuchet MS"/>
      <w:b w:val="0"/>
      <w:bCs w:val="0"/>
      <w:i/>
      <w:iCs/>
      <w:smallCaps w:val="0"/>
      <w:strike w:val="0"/>
      <w:color w:val="000000"/>
      <w:spacing w:val="0"/>
      <w:w w:val="100"/>
      <w:position w:val="0"/>
      <w:sz w:val="11"/>
      <w:szCs w:val="11"/>
      <w:u w:val="none"/>
      <w:shd w:val="clear" w:color="auto" w:fill="FFFFFF"/>
      <w:lang w:val="pl-PL"/>
    </w:rPr>
  </w:style>
  <w:style w:type="character" w:customStyle="1" w:styleId="Teksttreci75pt">
    <w:name w:val="Tekst treści + 7;5 pt"/>
    <w:basedOn w:val="Teksttreci"/>
    <w:rsid w:val="006012C3"/>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pl-PL"/>
    </w:rPr>
  </w:style>
  <w:style w:type="character" w:customStyle="1" w:styleId="Teksttreci6TrebuchetMSKursywaOdstpy0ptExact">
    <w:name w:val="Tekst treści (6) + Trebuchet MS;Kursywa;Odstępy 0 pt Exact"/>
    <w:basedOn w:val="Teksttreci6"/>
    <w:rsid w:val="00302131"/>
    <w:rPr>
      <w:rFonts w:ascii="Trebuchet MS" w:eastAsia="Trebuchet MS" w:hAnsi="Trebuchet MS" w:cs="Trebuchet MS"/>
      <w:b w:val="0"/>
      <w:bCs w:val="0"/>
      <w:i/>
      <w:iCs/>
      <w:smallCaps w:val="0"/>
      <w:strike w:val="0"/>
      <w:color w:val="000000"/>
      <w:spacing w:val="4"/>
      <w:w w:val="100"/>
      <w:position w:val="0"/>
      <w:sz w:val="8"/>
      <w:szCs w:val="8"/>
      <w:u w:val="none"/>
      <w:shd w:val="clear" w:color="auto" w:fill="FFFFFF"/>
      <w:lang w:val="pl-PL"/>
    </w:rPr>
  </w:style>
  <w:style w:type="character" w:customStyle="1" w:styleId="Teksttreci6ArialNarrowOdstpy0ptExact">
    <w:name w:val="Tekst treści (6) + Arial Narrow;Odstępy 0 pt Exact"/>
    <w:basedOn w:val="Teksttreci6"/>
    <w:rsid w:val="00302131"/>
    <w:rPr>
      <w:rFonts w:ascii="Arial Narrow" w:eastAsia="Arial Narrow" w:hAnsi="Arial Narrow" w:cs="Arial Narrow"/>
      <w:b w:val="0"/>
      <w:bCs w:val="0"/>
      <w:i w:val="0"/>
      <w:iCs w:val="0"/>
      <w:smallCaps w:val="0"/>
      <w:strike w:val="0"/>
      <w:color w:val="000000"/>
      <w:spacing w:val="3"/>
      <w:w w:val="100"/>
      <w:position w:val="0"/>
      <w:sz w:val="8"/>
      <w:szCs w:val="8"/>
      <w:u w:val="none"/>
      <w:shd w:val="clear" w:color="auto" w:fill="FFFFFF"/>
      <w:lang w:val="en-US"/>
    </w:rPr>
  </w:style>
  <w:style w:type="character" w:customStyle="1" w:styleId="Teksttreci6TrebuchetMSExact">
    <w:name w:val="Tekst treści (6) + Trebuchet MS Exact"/>
    <w:basedOn w:val="Teksttreci6"/>
    <w:rsid w:val="00302131"/>
    <w:rPr>
      <w:rFonts w:ascii="Trebuchet MS" w:eastAsia="Trebuchet MS" w:hAnsi="Trebuchet MS" w:cs="Trebuchet MS"/>
      <w:b w:val="0"/>
      <w:bCs w:val="0"/>
      <w:i w:val="0"/>
      <w:iCs w:val="0"/>
      <w:smallCaps w:val="0"/>
      <w:strike w:val="0"/>
      <w:color w:val="000000"/>
      <w:spacing w:val="2"/>
      <w:w w:val="100"/>
      <w:position w:val="0"/>
      <w:sz w:val="8"/>
      <w:szCs w:val="8"/>
      <w:u w:val="none"/>
      <w:shd w:val="clear" w:color="auto" w:fill="FFFFFF"/>
    </w:rPr>
  </w:style>
  <w:style w:type="character" w:customStyle="1" w:styleId="Teksttreci8">
    <w:name w:val="Tekst treści (8)_"/>
    <w:basedOn w:val="Domylnaczcionkaakapitu"/>
    <w:link w:val="Teksttreci80"/>
    <w:rsid w:val="00F753C1"/>
    <w:rPr>
      <w:rFonts w:ascii="Arial Narrow" w:eastAsia="Arial Narrow" w:hAnsi="Arial Narrow" w:cs="Arial Narrow"/>
      <w:sz w:val="10"/>
      <w:szCs w:val="10"/>
      <w:shd w:val="clear" w:color="auto" w:fill="FFFFFF"/>
    </w:rPr>
  </w:style>
  <w:style w:type="paragraph" w:customStyle="1" w:styleId="Teksttreci80">
    <w:name w:val="Tekst treści (8)"/>
    <w:basedOn w:val="Normalny"/>
    <w:link w:val="Teksttreci8"/>
    <w:rsid w:val="00F753C1"/>
    <w:pPr>
      <w:widowControl w:val="0"/>
      <w:shd w:val="clear" w:color="auto" w:fill="FFFFFF"/>
      <w:spacing w:before="60" w:after="0" w:line="0" w:lineRule="atLeast"/>
      <w:ind w:hanging="360"/>
      <w:jc w:val="both"/>
    </w:pPr>
    <w:rPr>
      <w:rFonts w:ascii="Arial Narrow" w:eastAsia="Arial Narrow" w:hAnsi="Arial Narrow" w:cs="Arial Narrow"/>
      <w:sz w:val="10"/>
      <w:szCs w:val="10"/>
    </w:rPr>
  </w:style>
  <w:style w:type="character" w:customStyle="1" w:styleId="Teksttreci11">
    <w:name w:val="Tekst treści (11)_"/>
    <w:basedOn w:val="Domylnaczcionkaakapitu"/>
    <w:link w:val="Teksttreci110"/>
    <w:rsid w:val="00F753C1"/>
    <w:rPr>
      <w:rFonts w:ascii="Trebuchet MS" w:eastAsia="Trebuchet MS" w:hAnsi="Trebuchet MS" w:cs="Trebuchet MS"/>
      <w:i/>
      <w:iCs/>
      <w:sz w:val="20"/>
      <w:szCs w:val="20"/>
      <w:shd w:val="clear" w:color="auto" w:fill="FFFFFF"/>
    </w:rPr>
  </w:style>
  <w:style w:type="character" w:customStyle="1" w:styleId="Teksttreci11Bezkursywy">
    <w:name w:val="Tekst treści (11) + Bez kursywy"/>
    <w:basedOn w:val="Teksttreci11"/>
    <w:rsid w:val="00F753C1"/>
    <w:rPr>
      <w:rFonts w:ascii="Trebuchet MS" w:eastAsia="Trebuchet MS" w:hAnsi="Trebuchet MS" w:cs="Trebuchet MS"/>
      <w:i/>
      <w:iCs/>
      <w:color w:val="000000"/>
      <w:spacing w:val="0"/>
      <w:w w:val="100"/>
      <w:position w:val="0"/>
      <w:sz w:val="20"/>
      <w:szCs w:val="20"/>
      <w:shd w:val="clear" w:color="auto" w:fill="FFFFFF"/>
      <w:lang w:val="pl-PL"/>
    </w:rPr>
  </w:style>
  <w:style w:type="character" w:customStyle="1" w:styleId="PodpisobrazuTrebuchetMSKursywaOdstpy0ptExact">
    <w:name w:val="Podpis obrazu + Trebuchet MS;Kursywa;Odstępy 0 pt Exact"/>
    <w:basedOn w:val="PodpisobrazuExact"/>
    <w:rsid w:val="00F753C1"/>
    <w:rPr>
      <w:rFonts w:ascii="Trebuchet MS" w:eastAsia="Trebuchet MS" w:hAnsi="Trebuchet MS" w:cs="Trebuchet MS"/>
      <w:b w:val="0"/>
      <w:bCs w:val="0"/>
      <w:i/>
      <w:iCs/>
      <w:smallCaps w:val="0"/>
      <w:strike w:val="0"/>
      <w:color w:val="000000"/>
      <w:spacing w:val="0"/>
      <w:w w:val="100"/>
      <w:position w:val="0"/>
      <w:sz w:val="9"/>
      <w:szCs w:val="9"/>
      <w:u w:val="none"/>
      <w:shd w:val="clear" w:color="auto" w:fill="FFFFFF"/>
      <w:lang w:val="pl-PL"/>
    </w:rPr>
  </w:style>
  <w:style w:type="paragraph" w:customStyle="1" w:styleId="Teksttreci110">
    <w:name w:val="Tekst treści (11)"/>
    <w:basedOn w:val="Normalny"/>
    <w:link w:val="Teksttreci11"/>
    <w:rsid w:val="00F753C1"/>
    <w:pPr>
      <w:widowControl w:val="0"/>
      <w:shd w:val="clear" w:color="auto" w:fill="FFFFFF"/>
      <w:spacing w:before="480" w:after="180" w:line="0" w:lineRule="atLeast"/>
      <w:ind w:hanging="340"/>
      <w:jc w:val="both"/>
    </w:pPr>
    <w:rPr>
      <w:rFonts w:ascii="Trebuchet MS" w:eastAsia="Trebuchet MS" w:hAnsi="Trebuchet MS" w:cs="Trebuchet MS"/>
      <w:i/>
      <w:iCs/>
      <w:sz w:val="20"/>
      <w:szCs w:val="20"/>
    </w:rPr>
  </w:style>
  <w:style w:type="character" w:customStyle="1" w:styleId="Teksttreci2">
    <w:name w:val="Tekst treści (2)_"/>
    <w:basedOn w:val="Domylnaczcionkaakapitu"/>
    <w:link w:val="Teksttreci20"/>
    <w:rsid w:val="00F753C1"/>
    <w:rPr>
      <w:rFonts w:ascii="Franklin Gothic Heavy" w:eastAsia="Franklin Gothic Heavy" w:hAnsi="Franklin Gothic Heavy" w:cs="Franklin Gothic Heavy"/>
      <w:sz w:val="10"/>
      <w:szCs w:val="10"/>
      <w:shd w:val="clear" w:color="auto" w:fill="FFFFFF"/>
    </w:rPr>
  </w:style>
  <w:style w:type="character" w:customStyle="1" w:styleId="Teksttreci2Exact">
    <w:name w:val="Tekst treści (2) Exact"/>
    <w:basedOn w:val="Domylnaczcionkaakapitu"/>
    <w:rsid w:val="00F753C1"/>
    <w:rPr>
      <w:rFonts w:ascii="Franklin Gothic Heavy" w:eastAsia="Franklin Gothic Heavy" w:hAnsi="Franklin Gothic Heavy" w:cs="Franklin Gothic Heavy"/>
      <w:b w:val="0"/>
      <w:bCs w:val="0"/>
      <w:i w:val="0"/>
      <w:iCs w:val="0"/>
      <w:smallCaps w:val="0"/>
      <w:strike w:val="0"/>
      <w:spacing w:val="5"/>
      <w:sz w:val="9"/>
      <w:szCs w:val="9"/>
      <w:u w:val="none"/>
    </w:rPr>
  </w:style>
  <w:style w:type="character" w:customStyle="1" w:styleId="Teksttreci2TrebuchetMSKursywaOdstpy0ptExact">
    <w:name w:val="Tekst treści (2) + Trebuchet MS;Kursywa;Odstępy 0 pt Exact"/>
    <w:basedOn w:val="Teksttreci2"/>
    <w:rsid w:val="00F753C1"/>
    <w:rPr>
      <w:rFonts w:ascii="Trebuchet MS" w:eastAsia="Trebuchet MS" w:hAnsi="Trebuchet MS" w:cs="Trebuchet MS"/>
      <w:i/>
      <w:iCs/>
      <w:color w:val="000000"/>
      <w:spacing w:val="0"/>
      <w:w w:val="100"/>
      <w:position w:val="0"/>
      <w:sz w:val="9"/>
      <w:szCs w:val="9"/>
      <w:shd w:val="clear" w:color="auto" w:fill="FFFFFF"/>
      <w:lang w:val="pl-PL"/>
    </w:rPr>
  </w:style>
  <w:style w:type="paragraph" w:customStyle="1" w:styleId="Teksttreci20">
    <w:name w:val="Tekst treści (2)"/>
    <w:basedOn w:val="Normalny"/>
    <w:link w:val="Teksttreci2"/>
    <w:rsid w:val="00F753C1"/>
    <w:pPr>
      <w:widowControl w:val="0"/>
      <w:shd w:val="clear" w:color="auto" w:fill="FFFFFF"/>
      <w:spacing w:after="600" w:line="0" w:lineRule="atLeast"/>
      <w:ind w:hanging="360"/>
      <w:jc w:val="right"/>
    </w:pPr>
    <w:rPr>
      <w:rFonts w:ascii="Franklin Gothic Heavy" w:eastAsia="Franklin Gothic Heavy" w:hAnsi="Franklin Gothic Heavy" w:cs="Franklin Gothic Heavy"/>
      <w:sz w:val="10"/>
      <w:szCs w:val="10"/>
    </w:rPr>
  </w:style>
  <w:style w:type="character" w:customStyle="1" w:styleId="Stopka7ptKursywa">
    <w:name w:val="Stopka + 7 pt;Kursywa"/>
    <w:basedOn w:val="Stopka0"/>
    <w:rsid w:val="006F7647"/>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pl-PL"/>
    </w:rPr>
  </w:style>
  <w:style w:type="character" w:customStyle="1" w:styleId="StopkaFranklinGothicHeavy5pt">
    <w:name w:val="Stopka + Franklin Gothic Heavy;5 pt"/>
    <w:basedOn w:val="Stopka0"/>
    <w:rsid w:val="006F7647"/>
    <w:rPr>
      <w:rFonts w:ascii="Franklin Gothic Heavy" w:eastAsia="Franklin Gothic Heavy" w:hAnsi="Franklin Gothic Heavy" w:cs="Franklin Gothic Heavy"/>
      <w:b w:val="0"/>
      <w:bCs w:val="0"/>
      <w:i w:val="0"/>
      <w:iCs w:val="0"/>
      <w:smallCaps w:val="0"/>
      <w:strike w:val="0"/>
      <w:color w:val="000000"/>
      <w:spacing w:val="0"/>
      <w:w w:val="100"/>
      <w:position w:val="0"/>
      <w:sz w:val="10"/>
      <w:szCs w:val="10"/>
      <w:u w:val="single"/>
      <w:shd w:val="clear" w:color="auto" w:fill="FFFFFF"/>
      <w:lang w:val="pl-PL"/>
    </w:rPr>
  </w:style>
  <w:style w:type="character" w:customStyle="1" w:styleId="st">
    <w:name w:val="st"/>
    <w:rsid w:val="000A25C2"/>
  </w:style>
  <w:style w:type="paragraph" w:customStyle="1" w:styleId="nagjed">
    <w:name w:val="nag_jed"/>
    <w:qFormat/>
    <w:rsid w:val="00D92613"/>
    <w:pPr>
      <w:spacing w:before="60" w:after="60" w:line="240" w:lineRule="auto"/>
      <w:jc w:val="center"/>
      <w:outlineLvl w:val="0"/>
    </w:pPr>
    <w:rPr>
      <w:rFonts w:ascii="Times New Roman" w:eastAsia="Calibri" w:hAnsi="Times New Roman" w:cs="Times New Roman"/>
      <w:b/>
      <w:sz w:val="24"/>
    </w:rPr>
  </w:style>
  <w:style w:type="paragraph" w:styleId="Tekstpodstawowywcity">
    <w:name w:val="Body Text Indent"/>
    <w:basedOn w:val="Normalny"/>
    <w:link w:val="TekstpodstawowywcityZnak"/>
    <w:uiPriority w:val="99"/>
    <w:unhideWhenUsed/>
    <w:rsid w:val="007E1A37"/>
    <w:pPr>
      <w:spacing w:after="120"/>
      <w:ind w:left="283"/>
    </w:pPr>
  </w:style>
  <w:style w:type="character" w:customStyle="1" w:styleId="TekstpodstawowywcityZnak">
    <w:name w:val="Tekst podstawowy wcięty Znak"/>
    <w:basedOn w:val="Domylnaczcionkaakapitu"/>
    <w:link w:val="Tekstpodstawowywcity"/>
    <w:uiPriority w:val="99"/>
    <w:rsid w:val="007E1A37"/>
  </w:style>
  <w:style w:type="paragraph" w:styleId="Tekstpodstawowy2">
    <w:name w:val="Body Text 2"/>
    <w:basedOn w:val="Normalny"/>
    <w:link w:val="Tekstpodstawowy2Znak"/>
    <w:uiPriority w:val="99"/>
    <w:unhideWhenUsed/>
    <w:rsid w:val="007E1A37"/>
    <w:pPr>
      <w:spacing w:after="120" w:line="480" w:lineRule="auto"/>
      <w:ind w:left="322" w:right="336" w:firstLine="705"/>
      <w:jc w:val="both"/>
    </w:pPr>
    <w:rPr>
      <w:rFonts w:ascii="Times New Roman" w:eastAsia="Times New Roman" w:hAnsi="Times New Roman" w:cs="Times New Roman"/>
      <w:color w:val="000000"/>
      <w:sz w:val="24"/>
      <w:lang w:eastAsia="pl-PL"/>
    </w:rPr>
  </w:style>
  <w:style w:type="character" w:customStyle="1" w:styleId="Tekstpodstawowy2Znak">
    <w:name w:val="Tekst podstawowy 2 Znak"/>
    <w:basedOn w:val="Domylnaczcionkaakapitu"/>
    <w:link w:val="Tekstpodstawowy2"/>
    <w:uiPriority w:val="99"/>
    <w:rsid w:val="007E1A37"/>
    <w:rPr>
      <w:rFonts w:ascii="Times New Roman" w:eastAsia="Times New Roman" w:hAnsi="Times New Roman" w:cs="Times New Roman"/>
      <w:color w:val="000000"/>
      <w:sz w:val="24"/>
      <w:lang w:eastAsia="pl-PL"/>
    </w:rPr>
  </w:style>
  <w:style w:type="paragraph" w:styleId="Legenda">
    <w:name w:val="caption"/>
    <w:basedOn w:val="Normalny"/>
    <w:next w:val="Normalny"/>
    <w:uiPriority w:val="35"/>
    <w:unhideWhenUsed/>
    <w:qFormat/>
    <w:rsid w:val="00D8445F"/>
    <w:pPr>
      <w:spacing w:line="240" w:lineRule="auto"/>
    </w:pPr>
    <w:rPr>
      <w:i/>
      <w:iCs/>
      <w:color w:val="44546A" w:themeColor="text2"/>
      <w:sz w:val="18"/>
      <w:szCs w:val="18"/>
    </w:rPr>
  </w:style>
  <w:style w:type="paragraph" w:customStyle="1" w:styleId="FootnoteReferneceCarcter">
    <w:name w:val="Footnote Refernece Carácter"/>
    <w:aliases w:val="ftref Carácter,4_G Carácter"/>
    <w:basedOn w:val="Normalny"/>
    <w:link w:val="Odwoanieprzypisudolnego"/>
    <w:rsid w:val="009160B2"/>
    <w:pPr>
      <w:spacing w:before="120" w:after="160" w:line="240" w:lineRule="exact"/>
      <w:jc w:val="both"/>
    </w:pPr>
    <w:rPr>
      <w:vertAlign w:val="superscript"/>
    </w:rPr>
  </w:style>
  <w:style w:type="character" w:customStyle="1" w:styleId="Nagwek4Znak">
    <w:name w:val="Nagłówek 4 Znak"/>
    <w:basedOn w:val="Domylnaczcionkaakapitu"/>
    <w:link w:val="Nagwek4"/>
    <w:uiPriority w:val="9"/>
    <w:semiHidden/>
    <w:rsid w:val="00B90E75"/>
    <w:rPr>
      <w:rFonts w:eastAsiaTheme="minorEastAsia"/>
      <w:caps/>
      <w:color w:val="2E74B5" w:themeColor="accent1" w:themeShade="BF"/>
      <w:spacing w:val="10"/>
      <w:sz w:val="20"/>
      <w:szCs w:val="20"/>
    </w:rPr>
  </w:style>
  <w:style w:type="character" w:customStyle="1" w:styleId="Nagwek5Znak">
    <w:name w:val="Nagłówek 5 Znak"/>
    <w:basedOn w:val="Domylnaczcionkaakapitu"/>
    <w:link w:val="Nagwek5"/>
    <w:uiPriority w:val="9"/>
    <w:semiHidden/>
    <w:rsid w:val="00B90E75"/>
    <w:rPr>
      <w:rFonts w:eastAsiaTheme="minorEastAsia"/>
      <w:caps/>
      <w:color w:val="2E74B5" w:themeColor="accent1" w:themeShade="BF"/>
      <w:spacing w:val="10"/>
      <w:sz w:val="20"/>
      <w:szCs w:val="20"/>
    </w:rPr>
  </w:style>
  <w:style w:type="character" w:customStyle="1" w:styleId="Nagwek6Znak">
    <w:name w:val="Nagłówek 6 Znak"/>
    <w:basedOn w:val="Domylnaczcionkaakapitu"/>
    <w:link w:val="Nagwek6"/>
    <w:uiPriority w:val="9"/>
    <w:semiHidden/>
    <w:rsid w:val="00B90E75"/>
    <w:rPr>
      <w:rFonts w:eastAsiaTheme="minorEastAsia"/>
      <w:caps/>
      <w:color w:val="2E74B5" w:themeColor="accent1" w:themeShade="BF"/>
      <w:spacing w:val="10"/>
      <w:sz w:val="20"/>
      <w:szCs w:val="20"/>
    </w:rPr>
  </w:style>
  <w:style w:type="character" w:customStyle="1" w:styleId="Nagwek7Znak">
    <w:name w:val="Nagłówek 7 Znak"/>
    <w:basedOn w:val="Domylnaczcionkaakapitu"/>
    <w:link w:val="Nagwek7"/>
    <w:uiPriority w:val="9"/>
    <w:semiHidden/>
    <w:rsid w:val="00B90E75"/>
    <w:rPr>
      <w:rFonts w:eastAsiaTheme="minorEastAsia"/>
      <w:caps/>
      <w:color w:val="2E74B5" w:themeColor="accent1" w:themeShade="BF"/>
      <w:spacing w:val="10"/>
      <w:sz w:val="20"/>
      <w:szCs w:val="20"/>
    </w:rPr>
  </w:style>
  <w:style w:type="character" w:customStyle="1" w:styleId="Nagwek8Znak">
    <w:name w:val="Nagłówek 8 Znak"/>
    <w:basedOn w:val="Domylnaczcionkaakapitu"/>
    <w:link w:val="Nagwek8"/>
    <w:uiPriority w:val="9"/>
    <w:semiHidden/>
    <w:rsid w:val="00B90E75"/>
    <w:rPr>
      <w:rFonts w:eastAsiaTheme="minorEastAsia"/>
      <w:caps/>
      <w:spacing w:val="10"/>
      <w:sz w:val="18"/>
      <w:szCs w:val="18"/>
    </w:rPr>
  </w:style>
  <w:style w:type="character" w:customStyle="1" w:styleId="Nagwek9Znak">
    <w:name w:val="Nagłówek 9 Znak"/>
    <w:basedOn w:val="Domylnaczcionkaakapitu"/>
    <w:link w:val="Nagwek9"/>
    <w:uiPriority w:val="9"/>
    <w:semiHidden/>
    <w:rsid w:val="00B90E75"/>
    <w:rPr>
      <w:rFonts w:eastAsiaTheme="minorEastAsia"/>
      <w:i/>
      <w:iCs/>
      <w:caps/>
      <w:spacing w:val="10"/>
      <w:sz w:val="18"/>
      <w:szCs w:val="18"/>
    </w:rPr>
  </w:style>
  <w:style w:type="table" w:customStyle="1" w:styleId="TableNormal1">
    <w:name w:val="Table Normal1"/>
    <w:uiPriority w:val="2"/>
    <w:semiHidden/>
    <w:unhideWhenUsed/>
    <w:qFormat/>
    <w:rsid w:val="00B90E75"/>
    <w:pPr>
      <w:widowControl w:val="0"/>
      <w:autoSpaceDE w:val="0"/>
      <w:autoSpaceDN w:val="0"/>
      <w:spacing w:before="100" w:after="0" w:line="240" w:lineRule="auto"/>
    </w:pPr>
    <w:rPr>
      <w:rFonts w:eastAsiaTheme="minorEastAsia"/>
      <w:sz w:val="20"/>
      <w:szCs w:val="20"/>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rsid w:val="00B90E75"/>
    <w:pPr>
      <w:widowControl w:val="0"/>
      <w:autoSpaceDE w:val="0"/>
      <w:autoSpaceDN w:val="0"/>
      <w:spacing w:before="100" w:after="0" w:line="240" w:lineRule="auto"/>
      <w:ind w:left="108"/>
    </w:pPr>
    <w:rPr>
      <w:rFonts w:ascii="Arial" w:eastAsia="Arial" w:hAnsi="Arial" w:cs="Arial"/>
      <w:sz w:val="20"/>
      <w:szCs w:val="20"/>
    </w:rPr>
  </w:style>
  <w:style w:type="paragraph" w:customStyle="1" w:styleId="pismamz">
    <w:name w:val="pisma_mz"/>
    <w:basedOn w:val="Normalny"/>
    <w:link w:val="pismamzZnak"/>
    <w:rsid w:val="00B90E75"/>
    <w:pPr>
      <w:spacing w:before="100" w:after="0" w:line="360" w:lineRule="auto"/>
      <w:contextualSpacing/>
      <w:jc w:val="both"/>
    </w:pPr>
    <w:rPr>
      <w:rFonts w:ascii="Arial" w:eastAsia="Calibri" w:hAnsi="Arial" w:cs="Times New Roman"/>
      <w:sz w:val="20"/>
      <w:szCs w:val="20"/>
    </w:rPr>
  </w:style>
  <w:style w:type="character" w:customStyle="1" w:styleId="pismamzZnak">
    <w:name w:val="pisma_mz Znak"/>
    <w:link w:val="pismamz"/>
    <w:rsid w:val="00B90E75"/>
    <w:rPr>
      <w:rFonts w:ascii="Arial" w:eastAsia="Calibri" w:hAnsi="Arial" w:cs="Times New Roman"/>
      <w:sz w:val="20"/>
      <w:szCs w:val="20"/>
    </w:rPr>
  </w:style>
  <w:style w:type="character" w:customStyle="1" w:styleId="UnresolvedMention1">
    <w:name w:val="Unresolved Mention1"/>
    <w:basedOn w:val="Domylnaczcionkaakapitu"/>
    <w:uiPriority w:val="99"/>
    <w:semiHidden/>
    <w:unhideWhenUsed/>
    <w:rsid w:val="00B90E75"/>
    <w:rPr>
      <w:color w:val="605E5C"/>
      <w:shd w:val="clear" w:color="auto" w:fill="E1DFDD"/>
    </w:rPr>
  </w:style>
  <w:style w:type="table" w:customStyle="1" w:styleId="TableNormal10">
    <w:name w:val="Table Normal1"/>
    <w:uiPriority w:val="2"/>
    <w:semiHidden/>
    <w:unhideWhenUsed/>
    <w:qFormat/>
    <w:rsid w:val="00B90E75"/>
    <w:pPr>
      <w:widowControl w:val="0"/>
      <w:autoSpaceDE w:val="0"/>
      <w:autoSpaceDN w:val="0"/>
      <w:spacing w:before="100" w:after="0" w:line="240" w:lineRule="auto"/>
    </w:pPr>
    <w:rPr>
      <w:rFonts w:eastAsiaTheme="minorEastAsia"/>
      <w:sz w:val="20"/>
      <w:szCs w:val="20"/>
      <w:lang w:val="en-US"/>
    </w:rPr>
    <w:tblPr>
      <w:tblInd w:w="0" w:type="dxa"/>
      <w:tblCellMar>
        <w:top w:w="0" w:type="dxa"/>
        <w:left w:w="0" w:type="dxa"/>
        <w:bottom w:w="0" w:type="dxa"/>
        <w:right w:w="0" w:type="dxa"/>
      </w:tblCellMar>
    </w:tblPr>
  </w:style>
  <w:style w:type="table" w:styleId="Tabelasiatki5ciemnaakcent1">
    <w:name w:val="Grid Table 5 Dark Accent 1"/>
    <w:basedOn w:val="Standardowy"/>
    <w:uiPriority w:val="50"/>
    <w:rsid w:val="00B90E75"/>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asiatki5ciemnaakcent5">
    <w:name w:val="Grid Table 5 Dark Accent 5"/>
    <w:basedOn w:val="Standardowy"/>
    <w:uiPriority w:val="50"/>
    <w:rsid w:val="00B90E75"/>
    <w:pPr>
      <w:spacing w:before="100" w:after="0" w:line="240" w:lineRule="auto"/>
    </w:pPr>
    <w:rPr>
      <w:rFonts w:eastAsiaTheme="minorEastAsia"/>
      <w:sz w:val="20"/>
      <w:szCs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paragraph" w:styleId="Tytu">
    <w:name w:val="Title"/>
    <w:basedOn w:val="Normalny"/>
    <w:next w:val="Normalny"/>
    <w:link w:val="TytuZnak"/>
    <w:uiPriority w:val="10"/>
    <w:qFormat/>
    <w:rsid w:val="00B90E75"/>
    <w:pPr>
      <w:spacing w:after="0"/>
    </w:pPr>
    <w:rPr>
      <w:rFonts w:asciiTheme="majorHAnsi" w:eastAsiaTheme="majorEastAsia" w:hAnsiTheme="majorHAnsi" w:cstheme="majorBidi"/>
      <w:caps/>
      <w:color w:val="5B9BD5" w:themeColor="accent1"/>
      <w:spacing w:val="10"/>
      <w:sz w:val="52"/>
      <w:szCs w:val="52"/>
    </w:rPr>
  </w:style>
  <w:style w:type="character" w:customStyle="1" w:styleId="TytuZnak">
    <w:name w:val="Tytuł Znak"/>
    <w:basedOn w:val="Domylnaczcionkaakapitu"/>
    <w:link w:val="Tytu"/>
    <w:uiPriority w:val="10"/>
    <w:rsid w:val="00B90E75"/>
    <w:rPr>
      <w:rFonts w:asciiTheme="majorHAnsi" w:eastAsiaTheme="majorEastAsia" w:hAnsiTheme="majorHAnsi" w:cstheme="majorBidi"/>
      <w:caps/>
      <w:color w:val="5B9BD5" w:themeColor="accent1"/>
      <w:spacing w:val="10"/>
      <w:sz w:val="52"/>
      <w:szCs w:val="52"/>
    </w:rPr>
  </w:style>
  <w:style w:type="paragraph" w:styleId="Podtytu">
    <w:name w:val="Subtitle"/>
    <w:basedOn w:val="Normalny"/>
    <w:next w:val="Normalny"/>
    <w:link w:val="PodtytuZnak"/>
    <w:uiPriority w:val="11"/>
    <w:qFormat/>
    <w:rsid w:val="00B90E75"/>
    <w:pPr>
      <w:spacing w:after="500" w:line="240" w:lineRule="auto"/>
    </w:pPr>
    <w:rPr>
      <w:rFonts w:eastAsiaTheme="minorEastAsia"/>
      <w:caps/>
      <w:color w:val="595959" w:themeColor="text1" w:themeTint="A6"/>
      <w:spacing w:val="10"/>
      <w:sz w:val="21"/>
      <w:szCs w:val="21"/>
    </w:rPr>
  </w:style>
  <w:style w:type="character" w:customStyle="1" w:styleId="PodtytuZnak">
    <w:name w:val="Podtytuł Znak"/>
    <w:basedOn w:val="Domylnaczcionkaakapitu"/>
    <w:link w:val="Podtytu"/>
    <w:uiPriority w:val="11"/>
    <w:rsid w:val="00B90E75"/>
    <w:rPr>
      <w:rFonts w:eastAsiaTheme="minorEastAsia"/>
      <w:caps/>
      <w:color w:val="595959" w:themeColor="text1" w:themeTint="A6"/>
      <w:spacing w:val="10"/>
      <w:sz w:val="21"/>
      <w:szCs w:val="21"/>
    </w:rPr>
  </w:style>
  <w:style w:type="character" w:styleId="Uwydatnienie">
    <w:name w:val="Emphasis"/>
    <w:uiPriority w:val="20"/>
    <w:qFormat/>
    <w:rsid w:val="00B90E75"/>
    <w:rPr>
      <w:caps/>
      <w:color w:val="1F4D78" w:themeColor="accent1" w:themeShade="7F"/>
      <w:spacing w:val="5"/>
    </w:rPr>
  </w:style>
  <w:style w:type="paragraph" w:styleId="Cytat">
    <w:name w:val="Quote"/>
    <w:basedOn w:val="Normalny"/>
    <w:next w:val="Normalny"/>
    <w:link w:val="CytatZnak"/>
    <w:uiPriority w:val="29"/>
    <w:qFormat/>
    <w:rsid w:val="00B90E75"/>
    <w:pPr>
      <w:spacing w:before="100"/>
    </w:pPr>
    <w:rPr>
      <w:rFonts w:eastAsiaTheme="minorEastAsia"/>
      <w:i/>
      <w:iCs/>
      <w:sz w:val="24"/>
      <w:szCs w:val="24"/>
    </w:rPr>
  </w:style>
  <w:style w:type="character" w:customStyle="1" w:styleId="CytatZnak">
    <w:name w:val="Cytat Znak"/>
    <w:basedOn w:val="Domylnaczcionkaakapitu"/>
    <w:link w:val="Cytat"/>
    <w:uiPriority w:val="29"/>
    <w:rsid w:val="00B90E75"/>
    <w:rPr>
      <w:rFonts w:eastAsiaTheme="minorEastAsia"/>
      <w:i/>
      <w:iCs/>
      <w:sz w:val="24"/>
      <w:szCs w:val="24"/>
    </w:rPr>
  </w:style>
  <w:style w:type="paragraph" w:styleId="Cytatintensywny">
    <w:name w:val="Intense Quote"/>
    <w:basedOn w:val="Normalny"/>
    <w:next w:val="Normalny"/>
    <w:link w:val="CytatintensywnyZnak"/>
    <w:uiPriority w:val="30"/>
    <w:qFormat/>
    <w:rsid w:val="00B90E75"/>
    <w:pPr>
      <w:spacing w:before="240" w:after="240" w:line="240" w:lineRule="auto"/>
      <w:ind w:left="1080" w:right="1080"/>
      <w:jc w:val="center"/>
    </w:pPr>
    <w:rPr>
      <w:rFonts w:eastAsiaTheme="minorEastAsia"/>
      <w:color w:val="5B9BD5" w:themeColor="accent1"/>
      <w:sz w:val="24"/>
      <w:szCs w:val="24"/>
    </w:rPr>
  </w:style>
  <w:style w:type="character" w:customStyle="1" w:styleId="CytatintensywnyZnak">
    <w:name w:val="Cytat intensywny Znak"/>
    <w:basedOn w:val="Domylnaczcionkaakapitu"/>
    <w:link w:val="Cytatintensywny"/>
    <w:uiPriority w:val="30"/>
    <w:rsid w:val="00B90E75"/>
    <w:rPr>
      <w:rFonts w:eastAsiaTheme="minorEastAsia"/>
      <w:color w:val="5B9BD5" w:themeColor="accent1"/>
      <w:sz w:val="24"/>
      <w:szCs w:val="24"/>
    </w:rPr>
  </w:style>
  <w:style w:type="character" w:styleId="Wyrnieniedelikatne">
    <w:name w:val="Subtle Emphasis"/>
    <w:uiPriority w:val="19"/>
    <w:qFormat/>
    <w:rsid w:val="00B90E75"/>
    <w:rPr>
      <w:i/>
      <w:iCs/>
      <w:color w:val="1F4D78" w:themeColor="accent1" w:themeShade="7F"/>
    </w:rPr>
  </w:style>
  <w:style w:type="character" w:styleId="Wyrnienieintensywne">
    <w:name w:val="Intense Emphasis"/>
    <w:uiPriority w:val="21"/>
    <w:qFormat/>
    <w:rsid w:val="00B90E75"/>
    <w:rPr>
      <w:b/>
      <w:bCs/>
      <w:caps/>
      <w:color w:val="1F4D78" w:themeColor="accent1" w:themeShade="7F"/>
      <w:spacing w:val="10"/>
    </w:rPr>
  </w:style>
  <w:style w:type="character" w:styleId="Odwoaniedelikatne">
    <w:name w:val="Subtle Reference"/>
    <w:uiPriority w:val="31"/>
    <w:qFormat/>
    <w:rsid w:val="00B90E75"/>
    <w:rPr>
      <w:b/>
      <w:bCs/>
      <w:color w:val="5B9BD5" w:themeColor="accent1"/>
    </w:rPr>
  </w:style>
  <w:style w:type="character" w:styleId="Odwoanieintensywne">
    <w:name w:val="Intense Reference"/>
    <w:uiPriority w:val="32"/>
    <w:qFormat/>
    <w:rsid w:val="00B90E75"/>
    <w:rPr>
      <w:b/>
      <w:bCs/>
      <w:i/>
      <w:iCs/>
      <w:caps/>
      <w:color w:val="5B9BD5" w:themeColor="accent1"/>
    </w:rPr>
  </w:style>
  <w:style w:type="character" w:styleId="Tytuksiki">
    <w:name w:val="Book Title"/>
    <w:uiPriority w:val="33"/>
    <w:qFormat/>
    <w:rsid w:val="00B90E75"/>
    <w:rPr>
      <w:b/>
      <w:bCs/>
      <w:i/>
      <w:iCs/>
      <w:spacing w:val="0"/>
    </w:rPr>
  </w:style>
  <w:style w:type="numbering" w:customStyle="1" w:styleId="Styl1">
    <w:name w:val="Styl1"/>
    <w:uiPriority w:val="99"/>
    <w:rsid w:val="00562373"/>
    <w:pPr>
      <w:numPr>
        <w:numId w:val="382"/>
      </w:numPr>
    </w:pPr>
  </w:style>
  <w:style w:type="paragraph" w:styleId="Spisilustracji">
    <w:name w:val="table of figures"/>
    <w:basedOn w:val="Normalny"/>
    <w:next w:val="Normalny"/>
    <w:uiPriority w:val="99"/>
    <w:unhideWhenUsed/>
    <w:rsid w:val="00887958"/>
    <w:pPr>
      <w:spacing w:after="0"/>
    </w:pPr>
  </w:style>
  <w:style w:type="paragraph" w:styleId="Tekstprzypisukocowego">
    <w:name w:val="endnote text"/>
    <w:basedOn w:val="Normalny"/>
    <w:link w:val="TekstprzypisukocowegoZnak"/>
    <w:uiPriority w:val="99"/>
    <w:semiHidden/>
    <w:unhideWhenUsed/>
    <w:rsid w:val="00D258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25801"/>
    <w:rPr>
      <w:sz w:val="20"/>
      <w:szCs w:val="20"/>
    </w:rPr>
  </w:style>
  <w:style w:type="character" w:styleId="Odwoanieprzypisukocowego">
    <w:name w:val="endnote reference"/>
    <w:basedOn w:val="Domylnaczcionkaakapitu"/>
    <w:uiPriority w:val="99"/>
    <w:semiHidden/>
    <w:unhideWhenUsed/>
    <w:rsid w:val="00D25801"/>
    <w:rPr>
      <w:vertAlign w:val="superscript"/>
    </w:rPr>
  </w:style>
  <w:style w:type="paragraph" w:customStyle="1" w:styleId="zwykly">
    <w:name w:val="zwykly"/>
    <w:basedOn w:val="Normalny"/>
    <w:qFormat/>
    <w:rsid w:val="001D7B7A"/>
    <w:pPr>
      <w:spacing w:before="360" w:after="240" w:line="360" w:lineRule="auto"/>
      <w:jc w:val="both"/>
    </w:pPr>
    <w:rPr>
      <w:rFonts w:eastAsia="Times New Roman"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920223">
      <w:bodyDiv w:val="1"/>
      <w:marLeft w:val="0"/>
      <w:marRight w:val="0"/>
      <w:marTop w:val="0"/>
      <w:marBottom w:val="0"/>
      <w:divBdr>
        <w:top w:val="none" w:sz="0" w:space="0" w:color="auto"/>
        <w:left w:val="none" w:sz="0" w:space="0" w:color="auto"/>
        <w:bottom w:val="none" w:sz="0" w:space="0" w:color="auto"/>
        <w:right w:val="none" w:sz="0" w:space="0" w:color="auto"/>
      </w:divBdr>
    </w:div>
    <w:div w:id="372732431">
      <w:bodyDiv w:val="1"/>
      <w:marLeft w:val="0"/>
      <w:marRight w:val="0"/>
      <w:marTop w:val="0"/>
      <w:marBottom w:val="0"/>
      <w:divBdr>
        <w:top w:val="none" w:sz="0" w:space="0" w:color="auto"/>
        <w:left w:val="none" w:sz="0" w:space="0" w:color="auto"/>
        <w:bottom w:val="none" w:sz="0" w:space="0" w:color="auto"/>
        <w:right w:val="none" w:sz="0" w:space="0" w:color="auto"/>
      </w:divBdr>
    </w:div>
    <w:div w:id="480736592">
      <w:bodyDiv w:val="1"/>
      <w:marLeft w:val="0"/>
      <w:marRight w:val="0"/>
      <w:marTop w:val="0"/>
      <w:marBottom w:val="0"/>
      <w:divBdr>
        <w:top w:val="none" w:sz="0" w:space="0" w:color="auto"/>
        <w:left w:val="none" w:sz="0" w:space="0" w:color="auto"/>
        <w:bottom w:val="none" w:sz="0" w:space="0" w:color="auto"/>
        <w:right w:val="none" w:sz="0" w:space="0" w:color="auto"/>
      </w:divBdr>
    </w:div>
    <w:div w:id="527792814">
      <w:bodyDiv w:val="1"/>
      <w:marLeft w:val="0"/>
      <w:marRight w:val="0"/>
      <w:marTop w:val="0"/>
      <w:marBottom w:val="0"/>
      <w:divBdr>
        <w:top w:val="none" w:sz="0" w:space="0" w:color="auto"/>
        <w:left w:val="none" w:sz="0" w:space="0" w:color="auto"/>
        <w:bottom w:val="none" w:sz="0" w:space="0" w:color="auto"/>
        <w:right w:val="none" w:sz="0" w:space="0" w:color="auto"/>
      </w:divBdr>
    </w:div>
    <w:div w:id="631718521">
      <w:bodyDiv w:val="1"/>
      <w:marLeft w:val="0"/>
      <w:marRight w:val="0"/>
      <w:marTop w:val="0"/>
      <w:marBottom w:val="0"/>
      <w:divBdr>
        <w:top w:val="none" w:sz="0" w:space="0" w:color="auto"/>
        <w:left w:val="none" w:sz="0" w:space="0" w:color="auto"/>
        <w:bottom w:val="none" w:sz="0" w:space="0" w:color="auto"/>
        <w:right w:val="none" w:sz="0" w:space="0" w:color="auto"/>
      </w:divBdr>
    </w:div>
    <w:div w:id="656306581">
      <w:bodyDiv w:val="1"/>
      <w:marLeft w:val="0"/>
      <w:marRight w:val="0"/>
      <w:marTop w:val="0"/>
      <w:marBottom w:val="0"/>
      <w:divBdr>
        <w:top w:val="none" w:sz="0" w:space="0" w:color="auto"/>
        <w:left w:val="none" w:sz="0" w:space="0" w:color="auto"/>
        <w:bottom w:val="none" w:sz="0" w:space="0" w:color="auto"/>
        <w:right w:val="none" w:sz="0" w:space="0" w:color="auto"/>
      </w:divBdr>
    </w:div>
    <w:div w:id="740444832">
      <w:bodyDiv w:val="1"/>
      <w:marLeft w:val="0"/>
      <w:marRight w:val="0"/>
      <w:marTop w:val="0"/>
      <w:marBottom w:val="0"/>
      <w:divBdr>
        <w:top w:val="none" w:sz="0" w:space="0" w:color="auto"/>
        <w:left w:val="none" w:sz="0" w:space="0" w:color="auto"/>
        <w:bottom w:val="none" w:sz="0" w:space="0" w:color="auto"/>
        <w:right w:val="none" w:sz="0" w:space="0" w:color="auto"/>
      </w:divBdr>
    </w:div>
    <w:div w:id="845292437">
      <w:bodyDiv w:val="1"/>
      <w:marLeft w:val="0"/>
      <w:marRight w:val="0"/>
      <w:marTop w:val="0"/>
      <w:marBottom w:val="0"/>
      <w:divBdr>
        <w:top w:val="none" w:sz="0" w:space="0" w:color="auto"/>
        <w:left w:val="none" w:sz="0" w:space="0" w:color="auto"/>
        <w:bottom w:val="none" w:sz="0" w:space="0" w:color="auto"/>
        <w:right w:val="none" w:sz="0" w:space="0" w:color="auto"/>
      </w:divBdr>
    </w:div>
    <w:div w:id="1096903008">
      <w:bodyDiv w:val="1"/>
      <w:marLeft w:val="0"/>
      <w:marRight w:val="0"/>
      <w:marTop w:val="0"/>
      <w:marBottom w:val="0"/>
      <w:divBdr>
        <w:top w:val="none" w:sz="0" w:space="0" w:color="auto"/>
        <w:left w:val="none" w:sz="0" w:space="0" w:color="auto"/>
        <w:bottom w:val="none" w:sz="0" w:space="0" w:color="auto"/>
        <w:right w:val="none" w:sz="0" w:space="0" w:color="auto"/>
      </w:divBdr>
    </w:div>
    <w:div w:id="1130712035">
      <w:bodyDiv w:val="1"/>
      <w:marLeft w:val="0"/>
      <w:marRight w:val="0"/>
      <w:marTop w:val="0"/>
      <w:marBottom w:val="0"/>
      <w:divBdr>
        <w:top w:val="none" w:sz="0" w:space="0" w:color="auto"/>
        <w:left w:val="none" w:sz="0" w:space="0" w:color="auto"/>
        <w:bottom w:val="none" w:sz="0" w:space="0" w:color="auto"/>
        <w:right w:val="none" w:sz="0" w:space="0" w:color="auto"/>
      </w:divBdr>
    </w:div>
    <w:div w:id="1192303983">
      <w:bodyDiv w:val="1"/>
      <w:marLeft w:val="0"/>
      <w:marRight w:val="0"/>
      <w:marTop w:val="0"/>
      <w:marBottom w:val="0"/>
      <w:divBdr>
        <w:top w:val="none" w:sz="0" w:space="0" w:color="auto"/>
        <w:left w:val="none" w:sz="0" w:space="0" w:color="auto"/>
        <w:bottom w:val="none" w:sz="0" w:space="0" w:color="auto"/>
        <w:right w:val="none" w:sz="0" w:space="0" w:color="auto"/>
      </w:divBdr>
    </w:div>
    <w:div w:id="1362779181">
      <w:bodyDiv w:val="1"/>
      <w:marLeft w:val="0"/>
      <w:marRight w:val="0"/>
      <w:marTop w:val="0"/>
      <w:marBottom w:val="0"/>
      <w:divBdr>
        <w:top w:val="none" w:sz="0" w:space="0" w:color="auto"/>
        <w:left w:val="none" w:sz="0" w:space="0" w:color="auto"/>
        <w:bottom w:val="none" w:sz="0" w:space="0" w:color="auto"/>
        <w:right w:val="none" w:sz="0" w:space="0" w:color="auto"/>
      </w:divBdr>
    </w:div>
    <w:div w:id="1505896602">
      <w:bodyDiv w:val="1"/>
      <w:marLeft w:val="0"/>
      <w:marRight w:val="0"/>
      <w:marTop w:val="0"/>
      <w:marBottom w:val="0"/>
      <w:divBdr>
        <w:top w:val="none" w:sz="0" w:space="0" w:color="auto"/>
        <w:left w:val="none" w:sz="0" w:space="0" w:color="auto"/>
        <w:bottom w:val="none" w:sz="0" w:space="0" w:color="auto"/>
        <w:right w:val="none" w:sz="0" w:space="0" w:color="auto"/>
      </w:divBdr>
    </w:div>
    <w:div w:id="1517964991">
      <w:bodyDiv w:val="1"/>
      <w:marLeft w:val="0"/>
      <w:marRight w:val="0"/>
      <w:marTop w:val="0"/>
      <w:marBottom w:val="0"/>
      <w:divBdr>
        <w:top w:val="none" w:sz="0" w:space="0" w:color="auto"/>
        <w:left w:val="none" w:sz="0" w:space="0" w:color="auto"/>
        <w:bottom w:val="none" w:sz="0" w:space="0" w:color="auto"/>
        <w:right w:val="none" w:sz="0" w:space="0" w:color="auto"/>
      </w:divBdr>
    </w:div>
    <w:div w:id="1655521921">
      <w:bodyDiv w:val="1"/>
      <w:marLeft w:val="0"/>
      <w:marRight w:val="0"/>
      <w:marTop w:val="0"/>
      <w:marBottom w:val="0"/>
      <w:divBdr>
        <w:top w:val="none" w:sz="0" w:space="0" w:color="auto"/>
        <w:left w:val="none" w:sz="0" w:space="0" w:color="auto"/>
        <w:bottom w:val="none" w:sz="0" w:space="0" w:color="auto"/>
        <w:right w:val="none" w:sz="0" w:space="0" w:color="auto"/>
      </w:divBdr>
    </w:div>
    <w:div w:id="1788695206">
      <w:bodyDiv w:val="1"/>
      <w:marLeft w:val="0"/>
      <w:marRight w:val="0"/>
      <w:marTop w:val="0"/>
      <w:marBottom w:val="0"/>
      <w:divBdr>
        <w:top w:val="none" w:sz="0" w:space="0" w:color="auto"/>
        <w:left w:val="none" w:sz="0" w:space="0" w:color="auto"/>
        <w:bottom w:val="none" w:sz="0" w:space="0" w:color="auto"/>
        <w:right w:val="none" w:sz="0" w:space="0" w:color="auto"/>
      </w:divBdr>
    </w:div>
    <w:div w:id="1817451918">
      <w:bodyDiv w:val="1"/>
      <w:marLeft w:val="0"/>
      <w:marRight w:val="0"/>
      <w:marTop w:val="0"/>
      <w:marBottom w:val="0"/>
      <w:divBdr>
        <w:top w:val="none" w:sz="0" w:space="0" w:color="auto"/>
        <w:left w:val="none" w:sz="0" w:space="0" w:color="auto"/>
        <w:bottom w:val="none" w:sz="0" w:space="0" w:color="auto"/>
        <w:right w:val="none" w:sz="0" w:space="0" w:color="auto"/>
      </w:divBdr>
    </w:div>
    <w:div w:id="1988312688">
      <w:bodyDiv w:val="1"/>
      <w:marLeft w:val="0"/>
      <w:marRight w:val="0"/>
      <w:marTop w:val="0"/>
      <w:marBottom w:val="0"/>
      <w:divBdr>
        <w:top w:val="none" w:sz="0" w:space="0" w:color="auto"/>
        <w:left w:val="none" w:sz="0" w:space="0" w:color="auto"/>
        <w:bottom w:val="none" w:sz="0" w:space="0" w:color="auto"/>
        <w:right w:val="none" w:sz="0" w:space="0" w:color="auto"/>
      </w:divBdr>
    </w:div>
    <w:div w:id="2029217018">
      <w:bodyDiv w:val="1"/>
      <w:marLeft w:val="0"/>
      <w:marRight w:val="0"/>
      <w:marTop w:val="0"/>
      <w:marBottom w:val="0"/>
      <w:divBdr>
        <w:top w:val="none" w:sz="0" w:space="0" w:color="auto"/>
        <w:left w:val="none" w:sz="0" w:space="0" w:color="auto"/>
        <w:bottom w:val="none" w:sz="0" w:space="0" w:color="auto"/>
        <w:right w:val="none" w:sz="0" w:space="0" w:color="auto"/>
      </w:divBdr>
    </w:div>
    <w:div w:id="206105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pracanazdrowie.pl/" TargetMode="External"/><Relationship Id="rId26" Type="http://schemas.openxmlformats.org/officeDocument/2006/relationships/chart" Target="charts/chart3.xml"/><Relationship Id="rId39" Type="http://schemas.openxmlformats.org/officeDocument/2006/relationships/hyperlink" Target="http://www.ccas.com.pl" TargetMode="External"/><Relationship Id="rId21" Type="http://schemas.openxmlformats.org/officeDocument/2006/relationships/image" Target="media/image8.png"/><Relationship Id="rId34" Type="http://schemas.openxmlformats.org/officeDocument/2006/relationships/hyperlink" Target="http://www.gops.pulawy.pl/projekt-gmina-pulawy-dla-seniorow/" TargetMode="External"/><Relationship Id="rId42" Type="http://schemas.openxmlformats.org/officeDocument/2006/relationships/hyperlink" Target="mailto:kontakt@fundacjaaktywnimy.pl" TargetMode="External"/><Relationship Id="rId47" Type="http://schemas.openxmlformats.org/officeDocument/2006/relationships/hyperlink" Target="http://www.bazaps.ekonomiaspoleczna.gov.pl/" TargetMode="External"/><Relationship Id="rId50" Type="http://schemas.openxmlformats.org/officeDocument/2006/relationships/hyperlink" Target="https://pracanazdrowie.pl/" TargetMode="External"/><Relationship Id="rId55" Type="http://schemas.openxmlformats.org/officeDocument/2006/relationships/hyperlink" Target="file:///C:\Users\aleksandra_wojcik\Desktop\2020\INFORMACJA%20ZA%202019%20R\KONSULTACJE%20WEWN&#280;TRZNE\Informacja%20za%202019%20r.%2017.08.2020%20r..docx" TargetMode="Externa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http://www.podatki.gov.pl" TargetMode="External"/><Relationship Id="rId25" Type="http://schemas.openxmlformats.org/officeDocument/2006/relationships/chart" Target="charts/chart2.xml"/><Relationship Id="rId33" Type="http://schemas.openxmlformats.org/officeDocument/2006/relationships/hyperlink" Target="https://zow.lublin.eu/sosdlaseniora/" TargetMode="External"/><Relationship Id="rId38" Type="http://schemas.openxmlformats.org/officeDocument/2006/relationships/hyperlink" Target="http://www.pps.czes" TargetMode="External"/><Relationship Id="rId46" Type="http://schemas.openxmlformats.org/officeDocument/2006/relationships/hyperlink" Target="http://www.zus.pl" TargetMode="Externa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7.png"/><Relationship Id="rId29" Type="http://schemas.openxmlformats.org/officeDocument/2006/relationships/hyperlink" Target="http://www.damy-rade.info" TargetMode="External"/><Relationship Id="rId41" Type="http://schemas.openxmlformats.org/officeDocument/2006/relationships/hyperlink" Target="http://www.centrum.chorzow.eu" TargetMode="External"/><Relationship Id="rId54" Type="http://schemas.openxmlformats.org/officeDocument/2006/relationships/hyperlink" Target="file:///C:\Users\aleksandra_wojcik\Desktop\2020\INFORMACJA%20ZA%202019%20R\KONSULTACJE%20WEWN&#280;TRZNE\Informacja%20za%202019%20r.%2017.08.2020%20r..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1.png"/><Relationship Id="rId32" Type="http://schemas.openxmlformats.org/officeDocument/2006/relationships/hyperlink" Target="http://www.puchaczow.pl/asp/pl_start.asp" TargetMode="External"/><Relationship Id="rId37" Type="http://schemas.openxmlformats.org/officeDocument/2006/relationships/hyperlink" Target="https://podlaskisenior.pl/" TargetMode="External"/><Relationship Id="rId40" Type="http://schemas.openxmlformats.org/officeDocument/2006/relationships/hyperlink" Target="http://www.caritas.czest.pl/caritas-i-seniorzy/" TargetMode="External"/><Relationship Id="rId45" Type="http://schemas.openxmlformats.org/officeDocument/2006/relationships/hyperlink" Target="http://www.zus.pl" TargetMode="External"/><Relationship Id="rId53" Type="http://schemas.openxmlformats.org/officeDocument/2006/relationships/hyperlink" Target="file:///C:\Users\aleksandra_wojcik\Desktop\2020\INFORMACJA%20ZA%202019%20R\KONSULTACJE%20WEWN&#280;TRZNE\Informacja%20za%202019%20r.%2017.08.2020%20r..docx" TargetMode="External"/><Relationship Id="rId5" Type="http://schemas.openxmlformats.org/officeDocument/2006/relationships/webSettings" Target="webSettings.xml"/><Relationship Id="rId15" Type="http://schemas.openxmlformats.org/officeDocument/2006/relationships/hyperlink" Target="http://www.SeniorNaDrodze.pl" TargetMode="External"/><Relationship Id="rId23" Type="http://schemas.openxmlformats.org/officeDocument/2006/relationships/image" Target="media/image10.png"/><Relationship Id="rId28" Type="http://schemas.openxmlformats.org/officeDocument/2006/relationships/footer" Target="footer2.xml"/><Relationship Id="rId36" Type="http://schemas.openxmlformats.org/officeDocument/2006/relationships/hyperlink" Target="http://www.bialystok.pl" TargetMode="External"/><Relationship Id="rId49" Type="http://schemas.openxmlformats.org/officeDocument/2006/relationships/hyperlink" Target="https://youtu.be/N2FUKgQfkYQ" TargetMode="External"/><Relationship Id="rId57"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hyperlink" Target="http://www.wyleczdepresje.pl" TargetMode="External"/><Relationship Id="rId31" Type="http://schemas.openxmlformats.org/officeDocument/2006/relationships/hyperlink" Target="http://www.otepienni.pl" TargetMode="External"/><Relationship Id="rId44" Type="http://schemas.openxmlformats.org/officeDocument/2006/relationships/hyperlink" Target="http://www.bazaps.ekonomiaspoleczna.gov.pl/" TargetMode="External"/><Relationship Id="rId52" Type="http://schemas.openxmlformats.org/officeDocument/2006/relationships/hyperlink" Target="file:///C:\Users\aleksandra_wojcik\Desktop\2020\INFORMACJA%20ZA%202019%20R\KONSULTACJE%20WEWN&#280;TRZNE\Informacja%20za%202019%20r.%2017.08.2020%20r..doc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hyperlink" Target="http://2019.wiziarozwoiu.pl/program/?topic=srebrna-gospodarka" TargetMode="External"/><Relationship Id="rId30" Type="http://schemas.openxmlformats.org/officeDocument/2006/relationships/hyperlink" Target="http://www.infosenior.rops.torun.pl" TargetMode="External"/><Relationship Id="rId35" Type="http://schemas.openxmlformats.org/officeDocument/2006/relationships/hyperlink" Target="http://www.seniorwopolu.pl/" TargetMode="External"/><Relationship Id="rId43" Type="http://schemas.openxmlformats.org/officeDocument/2006/relationships/hyperlink" Target="http://www.seniorzy.oborniki.pl" TargetMode="External"/><Relationship Id="rId48" Type="http://schemas.openxmlformats.org/officeDocument/2006/relationships/hyperlink" Target="https://www.youtube.com/watch?v=jGzrDLwmr6A" TargetMode="Externa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bazaps.ekonomiaspoleczna.gov.pl/"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6" Type="http://schemas.openxmlformats.org/officeDocument/2006/relationships/hyperlink" Target="https://www.bydgoszcz.pl/seniorzy/aktualnosci/srebrny-wolontariat-seniorzy-pomagaja-zwierzetom/" TargetMode="External"/><Relationship Id="rId117" Type="http://schemas.openxmlformats.org/officeDocument/2006/relationships/hyperlink" Target="https://seniorzy.slaskie.pl/" TargetMode="External"/><Relationship Id="rId21" Type="http://schemas.openxmlformats.org/officeDocument/2006/relationships/hyperlink" Target="https://www.razemzmieniamyswiat.pl/" TargetMode="External"/><Relationship Id="rId42" Type="http://schemas.openxmlformats.org/officeDocument/2006/relationships/hyperlink" Target="http://www.zbaszynek.pl//" TargetMode="External"/><Relationship Id="rId47" Type="http://schemas.openxmlformats.org/officeDocument/2006/relationships/hyperlink" Target="http://rcpslodz.pl/images/Pobieranie/2017_03_27_Strategia_Rozwoju_Woj_%20Lodzkiego_2020.pdf" TargetMode="External"/><Relationship Id="rId63" Type="http://schemas.openxmlformats.org/officeDocument/2006/relationships/hyperlink" Target="http://mcps.com.pl/wp" TargetMode="External"/><Relationship Id="rId68" Type="http://schemas.openxmlformats.org/officeDocument/2006/relationships/hyperlink" Target="http://www.pcprlubaczow.pl/pl/%2034660/192674/Obchody_Swiatowego_Dnia_Chorego_w_Lubaczowie_2019.html" TargetMode="External"/><Relationship Id="rId84" Type="http://schemas.openxmlformats.org/officeDocument/2006/relationships/hyperlink" Target="http://www.pzeriisuwalki.pl" TargetMode="External"/><Relationship Id="rId89" Type="http://schemas.openxmlformats.org/officeDocument/2006/relationships/hyperlink" Target="http://www.lomza.pl" TargetMode="External"/><Relationship Id="rId112" Type="http://schemas.openxmlformats.org/officeDocument/2006/relationships/hyperlink" Target="https://rops-katowice.pl/dopobrania/2015.09.14-strategia.pdf" TargetMode="External"/><Relationship Id="rId133" Type="http://schemas.openxmlformats.org/officeDocument/2006/relationships/hyperlink" Target="http://www.pcpr-wodzislaw.pl/projekty-oaza-aktywnosci,11" TargetMode="External"/><Relationship Id="rId138" Type="http://schemas.openxmlformats.org/officeDocument/2006/relationships/hyperlink" Target="https://bip.warmia.mazury.pl/1418/sprawozdanie-z-realizacji-programu-wspolpracy-samorzadu-wojewodztwa-warminsko-mazurskiego-z-organizacjami-pozarzadowymi-oraz-podmiotami-wymienionymi-w-art.-3-ust.-3-ustawy-o-dzialalnosci-pozytku-publicznego-i-o-wolontariacie-w-roku-2019.html" TargetMode="External"/><Relationship Id="rId154" Type="http://schemas.openxmlformats.org/officeDocument/2006/relationships/hyperlink" Target="http://www.rodzina.wzp.pl" TargetMode="External"/><Relationship Id="rId16" Type="http://schemas.openxmlformats.org/officeDocument/2006/relationships/hyperlink" Target="http://www.seniorzy.wroclaw.pl/node/910" TargetMode="External"/><Relationship Id="rId107" Type="http://schemas.openxmlformats.org/officeDocument/2006/relationships/hyperlink" Target="http://www.slupsk.pl/fachman-nowa-usluga-dla-osob-starszych-81181/" TargetMode="External"/><Relationship Id="rId11" Type="http://schemas.openxmlformats.org/officeDocument/2006/relationships/hyperlink" Target="https://www.dops.wroc.pl/publikacje.php" TargetMode="External"/><Relationship Id="rId32" Type="http://schemas.openxmlformats.org/officeDocument/2006/relationships/hyperlink" Target="https://rpo.lubelskie.pl/rpo/wiadomosci/prawo-i-dokumenty/strategia-rozwojuwojewodztwa-lubelskiego-na-lata-2014-2020-z-perspektywa-do-2030-roku/" TargetMode="External"/><Relationship Id="rId37" Type="http://schemas.openxmlformats.org/officeDocument/2006/relationships/hyperlink" Target="http://polityka-spoleczna.lubuskie.pl/pl/Strategia-i-programy-polityki-spolecznej" TargetMode="External"/><Relationship Id="rId53" Type="http://schemas.openxmlformats.org/officeDocument/2006/relationships/hyperlink" Target="https://bip.malopolska.pl/umwm/Article/get/id,1162746.html" TargetMode="External"/><Relationship Id="rId58" Type="http://schemas.openxmlformats.org/officeDocument/2006/relationships/hyperlink" Target="https://www.halogorlice.info/wiadomosci/21260,projekt-wspolnietworzymyklub" TargetMode="External"/><Relationship Id="rId74" Type="http://schemas.openxmlformats.org/officeDocument/2006/relationships/hyperlink" Target="https://strategia.wrotapodlasia.pl/pl/strategia_rozwoju_wojewdztwa_podlaskiego_2030/" TargetMode="External"/><Relationship Id="rId79" Type="http://schemas.openxmlformats.org/officeDocument/2006/relationships/hyperlink" Target="http://www.rops-bialystok.pl/rops/?page_id=2281" TargetMode="External"/><Relationship Id="rId102" Type="http://schemas.openxmlformats.org/officeDocument/2006/relationships/hyperlink" Target="https://tv.wrotapodlasia.pl/itv/101702/Podlaskie_Zdrowie_2019_odc_2_Otylosc.html%20odcinek3" TargetMode="External"/><Relationship Id="rId123" Type="http://schemas.openxmlformats.org/officeDocument/2006/relationships/hyperlink" Target="http://www.dpsdladoroslych.bytom.pl/;" TargetMode="External"/><Relationship Id="rId128" Type="http://schemas.openxmlformats.org/officeDocument/2006/relationships/hyperlink" Target="https://gliwice.eu/wydarzenia/kulturalne-festiwal/2019-09-07/festiwal-miasta-i-viii-rodzinny-piknik-seniora" TargetMode="External"/><Relationship Id="rId144" Type="http://schemas.openxmlformats.org/officeDocument/2006/relationships/hyperlink" Target="https://powiatmysliborski.pl/aktualnosci/pokaz/3922.dhtml" TargetMode="External"/><Relationship Id="rId149" Type="http://schemas.openxmlformats.org/officeDocument/2006/relationships/hyperlink" Target="http://www.seniorzy.darlowo.pl/" TargetMode="External"/><Relationship Id="rId5" Type="http://schemas.openxmlformats.org/officeDocument/2006/relationships/hyperlink" Target="https://arch-bip.ms.gov.pl/pl/prawaczlowieka/europejski-trybunal-praw-czlowieka/opracowania-i-analizy-standardy-w-zakresieochrony-praw-czlowieka/wybrane-zestawienia-tematyczne-orzecznictwa-etpcz/" TargetMode="External"/><Relationship Id="rId90" Type="http://schemas.openxmlformats.org/officeDocument/2006/relationships/hyperlink" Target="http://www.lomza.pl" TargetMode="External"/><Relationship Id="rId95" Type="http://schemas.openxmlformats.org/officeDocument/2006/relationships/hyperlink" Target="http://sokolka-powiat.pl/2019/07/04/kreatywne-seniorki-cykl-spotkan-rekodzielniczych/" TargetMode="External"/><Relationship Id="rId22" Type="http://schemas.openxmlformats.org/officeDocument/2006/relationships/hyperlink" Target="https://damy-rade.info/" TargetMode="External"/><Relationship Id="rId27" Type="http://schemas.openxmlformats.org/officeDocument/2006/relationships/hyperlink" Target="https://www.bydgoszcz.pl/aktualnosci/tresc/powstana-mieszkania-dedykowane-seniorom-1/" TargetMode="External"/><Relationship Id="rId43" Type="http://schemas.openxmlformats.org/officeDocument/2006/relationships/hyperlink" Target="http://www.zbaszynek.pl//" TargetMode="External"/><Relationship Id="rId48" Type="http://schemas.openxmlformats.org/officeDocument/2006/relationships/hyperlink" Target="http://rcpslodz.pl/images/Pobieranie/2017_03_27_Plan_przeciwdzialania_depopulacji_w_woj_lodzkim_2020.pdf" TargetMode="External"/><Relationship Id="rId64" Type="http://schemas.openxmlformats.org/officeDocument/2006/relationships/hyperlink" Target="http://www.rops-opole.pl/index.php?id=2" TargetMode="External"/><Relationship Id="rId69" Type="http://schemas.openxmlformats.org/officeDocument/2006/relationships/hyperlink" Target="https://powiatnizanski.pl/i%20ndex.php?option=com_content&amp;view=article&amp;id=2078:seniorzy-aktywni-dzieki-skutecznym-organizacjom-pozarzadowym-z-powiatu%20nizanskiego&amp;catid=341&amp;high%20light=WyJzZW5pb3J6eSJd&amp;Itemid=1118" TargetMode="External"/><Relationship Id="rId113" Type="http://schemas.openxmlformats.org/officeDocument/2006/relationships/hyperlink" Target="https://www.slaskie.pl/content/koncepcja-polityki-przeciwdzialania-negatywnym-zmianom-demograficznym-depopulacji-i-starzeniu-sie-spoleczenstwa" TargetMode="External"/><Relationship Id="rId118" Type="http://schemas.openxmlformats.org/officeDocument/2006/relationships/hyperlink" Target="https://rops-katowice.pl/strategia-programy-i-badania/" TargetMode="External"/><Relationship Id="rId134" Type="http://schemas.openxmlformats.org/officeDocument/2006/relationships/hyperlink" Target="https://www.kielce.uw.gov.pl/pl/urzad/polityka-spoleczna/program-rzadowy-senior/edycja2019/14588,Edycja-2019.html" TargetMode="External"/><Relationship Id="rId139" Type="http://schemas.openxmlformats.org/officeDocument/2006/relationships/hyperlink" Target="https://www.warmia.mazury.pl/images/Departamenty/Regionalny_Osrodek_Polityki_Spolecznej/12materialy_rozne/Sprawozdanie_z_realizacji_us%C5%82ug_teleopieku%C5%84czych_w_latach_2018-2019_2.pdf" TargetMode="External"/><Relationship Id="rId80" Type="http://schemas.openxmlformats.org/officeDocument/2006/relationships/hyperlink" Target="http://www.horyzont-seniorzy.pl" TargetMode="External"/><Relationship Id="rId85" Type="http://schemas.openxmlformats.org/officeDocument/2006/relationships/hyperlink" Target="http://www.pzeriisuwalki.pl" TargetMode="External"/><Relationship Id="rId150" Type="http://schemas.openxmlformats.org/officeDocument/2006/relationships/hyperlink" Target="https://zdazyczmiloscia.org.pl/zjedz-obiad-z-seniorem/" TargetMode="External"/><Relationship Id="rId155" Type="http://schemas.openxmlformats.org/officeDocument/2006/relationships/hyperlink" Target="http://bip.gops.grzmiaca.org.pl/Karta" TargetMode="External"/><Relationship Id="rId12" Type="http://schemas.openxmlformats.org/officeDocument/2006/relationships/hyperlink" Target="http://utw.swidnica.pl/" TargetMode="External"/><Relationship Id="rId17" Type="http://schemas.openxmlformats.org/officeDocument/2006/relationships/hyperlink" Target="http://zabkowice.express-miejski.pl/wiadomosc/36688,bo-radosc-jest-w-nas-vii-dolnoslaski-przeglad-artystycznie-zakreconych-seniorow-foto" TargetMode="External"/><Relationship Id="rId33" Type="http://schemas.openxmlformats.org/officeDocument/2006/relationships/hyperlink" Target="http://rops.lubelskie.pl/wp" TargetMode="External"/><Relationship Id="rId38" Type="http://schemas.openxmlformats.org/officeDocument/2006/relationships/hyperlink" Target="https://bip.lubuskie.pl/592/1115/Strategia_Polityki%20Spolecznej_Wojewodztwa_Lubuskiego_na_lata_2014-2020/" TargetMode="External"/><Relationship Id="rId59" Type="http://schemas.openxmlformats.org/officeDocument/2006/relationships/hyperlink" Target="https://www.gorlice.pl/pl/225/6973/wernisaz-prac-plastycznych-gorlickich-seniorow.html" TargetMode="External"/><Relationship Id="rId103" Type="http://schemas.openxmlformats.org/officeDocument/2006/relationships/hyperlink" Target="https://www.youtube.com/watch?v=xZGKSR0wZfw&amp;feature=youtu.be" TargetMode="External"/><Relationship Id="rId108" Type="http://schemas.openxmlformats.org/officeDocument/2006/relationships/hyperlink" Target="http://srebrnasiec.pl/" TargetMode="External"/><Relationship Id="rId124" Type="http://schemas.openxmlformats.org/officeDocument/2006/relationships/hyperlink" Target="https://www.faceb" TargetMode="External"/><Relationship Id="rId129" Type="http://schemas.openxmlformats.org/officeDocument/2006/relationships/hyperlink" Target="https://gliwiceonline.pl/20191010234245/um-gliwice-poswiec-ten-dzien-swojemu-zdrowiu1570745235" TargetMode="External"/><Relationship Id="rId20" Type="http://schemas.openxmlformats.org/officeDocument/2006/relationships/hyperlink" Target="https://kujawsko-pomorskie.pl/informacje-prasowe/34594-marszalkowskie-dotacje-na-zajecia-dla-aktywnych-seniorow" TargetMode="External"/><Relationship Id="rId41" Type="http://schemas.openxmlformats.org/officeDocument/2006/relationships/hyperlink" Target="http://www.ops.nowemiasteczko.pl/" TargetMode="External"/><Relationship Id="rId54" Type="http://schemas.openxmlformats.org/officeDocument/2006/relationships/hyperlink" Target="https://www.malopolska.pl/dla-mieszkanca/kultura-i-dziedzictwo/konkursy-grantowe/mecenat-malopolski" TargetMode="External"/><Relationship Id="rId62" Type="http://schemas.openxmlformats.org/officeDocument/2006/relationships/hyperlink" Target="https://www.dobczyce.pl/e-senior-w-gminie-dobczyce.html" TargetMode="External"/><Relationship Id="rId70" Type="http://schemas.openxmlformats.org/officeDocument/2006/relationships/hyperlink" Target="http://www.gminakrasne.pl/aktualnosci/blisko-mieszkamy-wspolnie-dzialamy,1194.html" TargetMode="External"/><Relationship Id="rId75" Type="http://schemas.openxmlformats.org/officeDocument/2006/relationships/hyperlink" Target="https://strategia.wrotapodlasia.pl/pl/strategia_rozwoju_wojewdztwa_do_roku_2020/o_strategii.html" TargetMode="External"/><Relationship Id="rId83" Type="http://schemas.openxmlformats.org/officeDocument/2006/relationships/hyperlink" Target="http://www.salosrp.pl" TargetMode="External"/><Relationship Id="rId88" Type="http://schemas.openxmlformats.org/officeDocument/2006/relationships/hyperlink" Target="http://www.horyzont-seniorzy.pl" TargetMode="External"/><Relationship Id="rId91" Type="http://schemas.openxmlformats.org/officeDocument/2006/relationships/hyperlink" Target="http://www.przedsiebiorczalomza.pl" TargetMode="External"/><Relationship Id="rId96" Type="http://schemas.openxmlformats.org/officeDocument/2006/relationships/hyperlink" Target="http://powiat.hajnowka.pl/aktualnosci/spotkanie-bezpieczenstwo-osob-starszych-i-niepelnosprawnych-1" TargetMode="External"/><Relationship Id="rId111" Type="http://schemas.openxmlformats.org/officeDocument/2006/relationships/hyperlink" Target="https://www.gdynia.pl/spoleczenstwo,7580/gdynia-mowi-stop-przestepczosci-wobec-seniorow,545406" TargetMode="External"/><Relationship Id="rId132" Type="http://schemas.openxmlformats.org/officeDocument/2006/relationships/hyperlink" Target="http://www.pcpr-wodzislaw.pl/projekty-pokonajmy-samotnosc---cieszmy-sie" TargetMode="External"/><Relationship Id="rId140" Type="http://schemas.openxmlformats.org/officeDocument/2006/relationships/hyperlink" Target="http://rodzina.wzp.pl/zks/" TargetMode="External"/><Relationship Id="rId145" Type="http://schemas.openxmlformats.org/officeDocument/2006/relationships/hyperlink" Target="http://opsgoleniow.pl/ds-cmiws.php" TargetMode="External"/><Relationship Id="rId153" Type="http://schemas.openxmlformats.org/officeDocument/2006/relationships/hyperlink" Target="http://www.rops.wzp.pl/aktualnosci-rops/marzenia-nie-odchodza-na-emeryture-marszalek-nagradza-w-konkursie-aktywni-dla-seniorow-2019" TargetMode="External"/><Relationship Id="rId1" Type="http://schemas.openxmlformats.org/officeDocument/2006/relationships/hyperlink" Target="http://www.bazaps.ekonomiaspoleczna.gov.pl/" TargetMode="External"/><Relationship Id="rId6" Type="http://schemas.openxmlformats.org/officeDocument/2006/relationships/hyperlink" Target="http://www.uokik.gov.pl/download.php?plik=23183" TargetMode="External"/><Relationship Id="rId15" Type="http://schemas.openxmlformats.org/officeDocument/2006/relationships/hyperlink" Target="http://fundacja-prana.pl/index.php/projekty-zakonczone/" TargetMode="External"/><Relationship Id="rId23" Type="http://schemas.openxmlformats.org/officeDocument/2006/relationships/hyperlink" Target="http://www.u3w.byd.pl/id,122/rsutw-wsg" TargetMode="External"/><Relationship Id="rId28" Type="http://schemas.openxmlformats.org/officeDocument/2006/relationships/hyperlink" Target="http://www.infosenior.rops.torun.pl/aktualnosc/poszukiwania-zlotej-raczki-dla-wloclawskich-seniorow" TargetMode="External"/><Relationship Id="rId36" Type="http://schemas.openxmlformats.org/officeDocument/2006/relationships/hyperlink" Target="https://mopr.lublin.eu/" TargetMode="External"/><Relationship Id="rId49" Type="http://schemas.openxmlformats.org/officeDocument/2006/relationships/hyperlink" Target="http://www.naszpowiat.eu/" TargetMode="External"/><Relationship Id="rId57" Type="http://schemas.openxmlformats.org/officeDocument/2006/relationships/hyperlink" Target="https://terazgorlice.pl/2019/12/30/projekt-wspolnie-tworzymy-klub-seniora/" TargetMode="External"/><Relationship Id="rId106" Type="http://schemas.openxmlformats.org/officeDocument/2006/relationships/hyperlink" Target="http://www.sutw.org/index.php/projekty/324-akademia-seniora" TargetMode="External"/><Relationship Id="rId114" Type="http://schemas.openxmlformats.org/officeDocument/2006/relationships/hyperlink" Target="https://archiwum-bip.slaskie.pl/dokumenty/2017/02/02/1486034614.pdf" TargetMode="External"/><Relationship Id="rId119" Type="http://schemas.openxmlformats.org/officeDocument/2006/relationships/hyperlink" Target="https://rops-katowice.pl/wp-content/uploads/2020/03/2020-03-05-Diagn_i-monit_wyb_prob_spol_w_woj_sl-2019.pdf" TargetMode="External"/><Relationship Id="rId127" Type="http://schemas.openxmlformats.org/officeDocument/2006/relationships/hyperlink" Target="https://gliwiceonline.pl/20190225143901/um-gliwice-o-zdrowiu-smacznie-i-muzycznie1551136030" TargetMode="External"/><Relationship Id="rId10" Type="http://schemas.openxmlformats.org/officeDocument/2006/relationships/hyperlink" Target="https://www.dops.wroc.pl/dane_adresowe.php" TargetMode="External"/><Relationship Id="rId31" Type="http://schemas.openxmlformats.org/officeDocument/2006/relationships/hyperlink" Target="https://rops.bip.lubelskie.pl/" TargetMode="External"/><Relationship Id="rId44" Type="http://schemas.openxmlformats.org/officeDocument/2006/relationships/hyperlink" Target="https://zielonagora.stat.gov.pl/publikacje-i-foldery/spisy-powszechne/gospodarstwa-domowe-i-rodziny-w-wojewodztwie-lubuskim-charakterystyka-demograficzna-narodowy-spis-powszechny-ludnosci-i-mieszkan-2011,9,1.html" TargetMode="External"/><Relationship Id="rId52" Type="http://schemas.openxmlformats.org/officeDocument/2006/relationships/hyperlink" Target="https://www.rops.krakow.pl/lewa/wspolpraca-z-organizacjami-pozarzadowymi-15/otwarte-konkursy-ofert-2016-2019-57.html" TargetMode="External"/><Relationship Id="rId60" Type="http://schemas.openxmlformats.org/officeDocument/2006/relationships/hyperlink" Target="https://pcpr-limanowa.pl/wypozyczalnia-sprzetu/" TargetMode="External"/><Relationship Id="rId65" Type="http://schemas.openxmlformats.org/officeDocument/2006/relationships/hyperlink" Target="https://rzeszow.uw.gov.pl/konkursy/otwarty-konkurs-ofert-3/" TargetMode="External"/><Relationship Id="rId73" Type="http://schemas.openxmlformats.org/officeDocument/2006/relationships/hyperlink" Target="http://www.mops-debica.pl/art,643,zdrowy-senior" TargetMode="External"/><Relationship Id="rId78" Type="http://schemas.openxmlformats.org/officeDocument/2006/relationships/hyperlink" Target="http://www.rops-bialystok.pl/rops/?page_id=2281" TargetMode="External"/><Relationship Id="rId81" Type="http://schemas.openxmlformats.org/officeDocument/2006/relationships/hyperlink" Target="http://www.dpskalina.suwalki.pl" TargetMode="External"/><Relationship Id="rId86" Type="http://schemas.openxmlformats.org/officeDocument/2006/relationships/hyperlink" Target="http://www.horyzont-seniorzy.pl" TargetMode="External"/><Relationship Id="rId94" Type="http://schemas.openxmlformats.org/officeDocument/2006/relationships/hyperlink" Target="https://umbielskpodlaski.pl/pl/aktualnosc/tylko-do-30-listopada-2019-roku-mo%C5%BCna-bezp%C5%82atnie-zaszczepi%C4%87-si%C4%99-przeciwko-grypie" TargetMode="External"/><Relationship Id="rId99" Type="http://schemas.openxmlformats.org/officeDocument/2006/relationships/hyperlink" Target="https://www.youtube.com/watch?v=LB-36H7VGKk" TargetMode="External"/><Relationship Id="rId101" Type="http://schemas.openxmlformats.org/officeDocument/2006/relationships/hyperlink" Target="https://www.youtube.com/watch?v=J9WWPY-Ws9s&amp;feature=youtu.be" TargetMode="External"/><Relationship Id="rId122" Type="http://schemas.openxmlformats.org/officeDocument/2006/relationships/hyperlink" Target="http://bcwbytom.prv.pl;" TargetMode="External"/><Relationship Id="rId130" Type="http://schemas.openxmlformats.org/officeDocument/2006/relationships/hyperlink" Target="https://gliwice.eu/aktualnosci/miasto/aqua-aerobik-dla-senior&#243;w" TargetMode="External"/><Relationship Id="rId135" Type="http://schemas.openxmlformats.org/officeDocument/2006/relationships/hyperlink" Target="https://warmia.mazury.pl/images/Departamenty/Regionalny_Osrodek_Polityki_Spolecznej/Polityka_senioralna_woj_wm_2014-2020.pdf" TargetMode="External"/><Relationship Id="rId143" Type="http://schemas.openxmlformats.org/officeDocument/2006/relationships/hyperlink" Target="http://seniorszczecin.pl/" TargetMode="External"/><Relationship Id="rId148" Type="http://schemas.openxmlformats.org/officeDocument/2006/relationships/hyperlink" Target="https://www.stargard.pl/dla-mieszkanca/trescprogramu-miasto-przyjazne-starzeniu" TargetMode="External"/><Relationship Id="rId151" Type="http://schemas.openxmlformats.org/officeDocument/2006/relationships/hyperlink" Target="http://bip.rbip.wzp.pl/artykul/uchwala-nr-xxxviii51714-sejmiku-wojewodztwa%20zachodniopomorskiego" TargetMode="External"/><Relationship Id="rId156" Type="http://schemas.openxmlformats.org/officeDocument/2006/relationships/hyperlink" Target="http://koperta-zycia.goleni&#243;w.pl/" TargetMode="External"/><Relationship Id="rId4" Type="http://schemas.openxmlformats.org/officeDocument/2006/relationships/hyperlink" Target="https://arch-bip.ms.gov.pl/pl/prawaczlowieka/europejski-trybunal-praw-czlowieka/opracowania-i-analizy-standardy-w-zakresieochrony-praw-czlowieka/wybrane-zestawienia-tematyczne-orzecznictwa-etpcz/" TargetMode="External"/><Relationship Id="rId9" Type="http://schemas.openxmlformats.org/officeDocument/2006/relationships/hyperlink" Target="file:///D:\18.06.2020%20seniorzy%20gus\Seniorzy-_Piotr_Klag.pdf" TargetMode="External"/><Relationship Id="rId13" Type="http://schemas.openxmlformats.org/officeDocument/2006/relationships/hyperlink" Target="https://muzyczneradio.pl/index.php/articles/24702/forum-utw-w-szklarskiej-porebie.html" TargetMode="External"/><Relationship Id="rId18" Type="http://schemas.openxmlformats.org/officeDocument/2006/relationships/hyperlink" Target="https://samorzad.pap.pl/klubsamorzadowy/polkowice/kategoria/wiadomosciklubowe/polkowice-leki-juz-za-darmo" TargetMode="External"/><Relationship Id="rId39" Type="http://schemas.openxmlformats.org/officeDocument/2006/relationships/hyperlink" Target="http://www.bezbarier.org.pl/projekt_obywatel-cyfrowej-przyszlosci-lubuskie.html" TargetMode="External"/><Relationship Id="rId109" Type="http://schemas.openxmlformats.org/officeDocument/2006/relationships/hyperlink" Target="https://kks.fundacjafly.pl/" TargetMode="External"/><Relationship Id="rId34" Type="http://schemas.openxmlformats.org/officeDocument/2006/relationships/hyperlink" Target="http://rops.lubelskie.pl/rops/informatory/" TargetMode="External"/><Relationship Id="rId50" Type="http://schemas.openxmlformats.org/officeDocument/2006/relationships/hyperlink" Target="http://wieruszow.pcpr.info/" TargetMode="External"/><Relationship Id="rId55" Type="http://schemas.openxmlformats.org/officeDocument/2006/relationships/hyperlink" Target="https://www.bo.malopolska.pl/" TargetMode="External"/><Relationship Id="rId76" Type="http://schemas.openxmlformats.org/officeDocument/2006/relationships/hyperlink" Target="http://www.rops-bialystok.pl/rops/?page_id=7250" TargetMode="External"/><Relationship Id="rId97" Type="http://schemas.openxmlformats.org/officeDocument/2006/relationships/hyperlink" Target="https://www.niebywalesuwalki.pl/2019/10/niezle-ziolka-we-wsi-sobolewo-powstala-pracownia-zielarska/" TargetMode="External"/><Relationship Id="rId104" Type="http://schemas.openxmlformats.org/officeDocument/2006/relationships/hyperlink" Target="https://tv.wrotapodlasia.pl/itv/101723/Podlaskie_zdrowie_2019_odc_3_Depresja_seniorow.html" TargetMode="External"/><Relationship Id="rId120" Type="http://schemas.openxmlformats.org/officeDocument/2006/relationships/hyperlink" Target="https://seniorzy.rops-katowice.pl/category/granty-dla-seniorow/" TargetMode="External"/><Relationship Id="rId125" Type="http://schemas.openxmlformats.org/officeDocument/2006/relationships/hyperlink" Target="https://youtu.be/OdCzW7J_vGI" TargetMode="External"/><Relationship Id="rId141" Type="http://schemas.openxmlformats.org/officeDocument/2006/relationships/hyperlink" Target="http://cal.goleniow.pl/aktualnosci/goleniowski-fundusz-aktywizacji-seniorow-edycja-iv/" TargetMode="External"/><Relationship Id="rId146" Type="http://schemas.openxmlformats.org/officeDocument/2006/relationships/hyperlink" Target="http://www.koszalin.pl/sites/default/files/pliki/sprawozdanie_z_realizacji_miejskiego_programu_na_rzecz_osob_starszych_na_lata_2018-2022_za_2019_rok_0.pdf" TargetMode="External"/><Relationship Id="rId7" Type="http://schemas.openxmlformats.org/officeDocument/2006/relationships/hyperlink" Target="https://www.uokik.gov.pl/download.php?plik=22870" TargetMode="External"/><Relationship Id="rId71" Type="http://schemas.openxmlformats.org/officeDocument/2006/relationships/hyperlink" Target="https://www.boguchwala.pl/364-aktualnosci/4592-wszystkie-aktualnosci/%209208-zabiegi-rehabilitacyjne-dla-mieszkancow-gminy-boguchwala.html" TargetMode="External"/><Relationship Id="rId92" Type="http://schemas.openxmlformats.org/officeDocument/2006/relationships/hyperlink" Target="http://www.um.suwalki.pl" TargetMode="External"/><Relationship Id="rId2" Type="http://schemas.openxmlformats.org/officeDocument/2006/relationships/hyperlink" Target="http://www.seniornadrodze.pl" TargetMode="External"/><Relationship Id="rId29" Type="http://schemas.openxmlformats.org/officeDocument/2006/relationships/hyperlink" Target="http://www.infosenior.rops.torun.pl/aktualnosc/teatralna-akademia-seniora-w-toruniu" TargetMode="External"/><Relationship Id="rId24" Type="http://schemas.openxmlformats.org/officeDocument/2006/relationships/hyperlink" Target="https://www.bydgoszcz.pl/seniorzy/bydgoskie-biuro-seniora/" TargetMode="External"/><Relationship Id="rId40" Type="http://schemas.openxmlformats.org/officeDocument/2006/relationships/hyperlink" Target="https://www.zgrani50.pl/" TargetMode="External"/><Relationship Id="rId45" Type="http://schemas.openxmlformats.org/officeDocument/2006/relationships/hyperlink" Target="https://stat.gov.pl/spisy-powszechne/nsp-2011/nsp-2011-wyniki/" TargetMode="External"/><Relationship Id="rId66" Type="http://schemas.openxmlformats.org/officeDocument/2006/relationships/hyperlink" Target="http://www.rops.rzeszow.pl/s-25-tresc-programu" TargetMode="External"/><Relationship Id="rId87" Type="http://schemas.openxmlformats.org/officeDocument/2006/relationships/hyperlink" Target="http://www.bialostocka.zhp.pl" TargetMode="External"/><Relationship Id="rId110" Type="http://schemas.openxmlformats.org/officeDocument/2006/relationships/hyperlink" Target="https://lis.gdynia.pl" TargetMode="External"/><Relationship Id="rId115" Type="http://schemas.openxmlformats.org/officeDocument/2006/relationships/hyperlink" Target="https://rops-katowice.pl/wp-content/uploads/2018/04/2018.2023-ppu.pdf" TargetMode="External"/><Relationship Id="rId131" Type="http://schemas.openxmlformats.org/officeDocument/2006/relationships/hyperlink" Target="http://www.dpswodzislaw.pl/" TargetMode="External"/><Relationship Id="rId136" Type="http://schemas.openxmlformats.org/officeDocument/2006/relationships/hyperlink" Target="https://www.warmia.mazury.pl/images/Departamenty/Regionalny_Osrodek_Polityki_Spolecznej/polityka_senioralna_/Raport_z_monitoringu_wdra%C5%BCania_programu_Polityka_senioralna_w_latach_2017-2018.pdf" TargetMode="External"/><Relationship Id="rId157" Type="http://schemas.openxmlformats.org/officeDocument/2006/relationships/hyperlink" Target="http://www.goleniow.pl/component/k2/item/7169-zaszczep-si%C4%99-przeciw-grypie/" TargetMode="External"/><Relationship Id="rId61" Type="http://schemas.openxmlformats.org/officeDocument/2006/relationships/hyperlink" Target="http://www.bibliotekaborzecin.pl/kluby/klub-mionikow-ksiki.html" TargetMode="External"/><Relationship Id="rId82" Type="http://schemas.openxmlformats.org/officeDocument/2006/relationships/hyperlink" Target="http://www.horyzont-seniorzy.pl" TargetMode="External"/><Relationship Id="rId152" Type="http://schemas.openxmlformats.org/officeDocument/2006/relationships/hyperlink" Target="http://expoarena.szczecin.pl/60plus/" TargetMode="External"/><Relationship Id="rId19" Type="http://schemas.openxmlformats.org/officeDocument/2006/relationships/hyperlink" Target="https://www.wroclaw.pl/portal/files/dokumenty/30060/Raport_o_stanie_gminy_2019.pdf" TargetMode="External"/><Relationship Id="rId14" Type="http://schemas.openxmlformats.org/officeDocument/2006/relationships/hyperlink" Target="http://www.mspdion.org.pl/zdrowy-styl-zycia-osob-60/372/news/706/entry/3388" TargetMode="External"/><Relationship Id="rId30" Type="http://schemas.openxmlformats.org/officeDocument/2006/relationships/hyperlink" Target="https://www.kujawsko-pomorskie.pl/biuro-prasowe/informacje-prasowe/33789-rozmawiamy-o-sprawach-seniorow" TargetMode="External"/><Relationship Id="rId35" Type="http://schemas.openxmlformats.org/officeDocument/2006/relationships/hyperlink" Target="https://lublin.eu/mieszkancy/seniorzy/program-lublin-strefa-60/informator-lks-znizki-i-ulgi/" TargetMode="External"/><Relationship Id="rId56" Type="http://schemas.openxmlformats.org/officeDocument/2006/relationships/hyperlink" Target="https://www.pfron.org.pl/o-funduszu/struktura-organizacyjna/oddzialy-funduszu/oddzial-malopolski/" TargetMode="External"/><Relationship Id="rId77" Type="http://schemas.openxmlformats.org/officeDocument/2006/relationships/hyperlink" Target="http://www.rops-bialystok.pl/rops/?page_id=2281" TargetMode="External"/><Relationship Id="rId100" Type="http://schemas.openxmlformats.org/officeDocument/2006/relationships/hyperlink" Target="http://tv.wrotapodlasia.pl/itv/101678/Podlaskie_Zdrowie_2019_odc.html%20odcinek2" TargetMode="External"/><Relationship Id="rId105" Type="http://schemas.openxmlformats.org/officeDocument/2006/relationships/hyperlink" Target="https://gcrt.pl/" TargetMode="External"/><Relationship Id="rId126" Type="http://schemas.openxmlformats.org/officeDocument/2006/relationships/hyperlink" Target="https://gliwice.eu/aktual%20nosci/miasto/przyjmiesz-pomocna-dlon-zapisz-sie" TargetMode="External"/><Relationship Id="rId147" Type="http://schemas.openxmlformats.org/officeDocument/2006/relationships/hyperlink" Target="http://www.gops.ryman.pl/index.php?option=com_content&amp;view=article&amp;id=75&amp;Itemid=69" TargetMode="External"/><Relationship Id="rId8" Type="http://schemas.openxmlformats.org/officeDocument/2006/relationships/hyperlink" Target="https://dops.wroc.pl/strategia/DSIS_20142020.pdf" TargetMode="External"/><Relationship Id="rId51" Type="http://schemas.openxmlformats.org/officeDocument/2006/relationships/hyperlink" Target="https://www.malopolska.pl/biznes/rozwoj-regionalny/rozwoj-wojewodztwa/programy-strategiczne" TargetMode="External"/><Relationship Id="rId72" Type="http://schemas.openxmlformats.org/officeDocument/2006/relationships/hyperlink" Target="https://www.facebook.com/search/top/?q=seniorzy%20w%20akcji%25%2020s%C5%25%2082odkie%20tajemnice&amp;epa=SEARCH_BOX" TargetMode="External"/><Relationship Id="rId93" Type="http://schemas.openxmlformats.org/officeDocument/2006/relationships/hyperlink" Target="https://umbielskpodlaski.pl/pl/aktualnosc/koperta-%C5%BCycia-dla-seniora" TargetMode="External"/><Relationship Id="rId98" Type="http://schemas.openxmlformats.org/officeDocument/2006/relationships/hyperlink" Target="https://orthodoxia.pl/pytanie-do-specjalisty" TargetMode="External"/><Relationship Id="rId121" Type="http://schemas.openxmlformats.org/officeDocument/2006/relationships/hyperlink" Target="https://www.pcpr.starostwo.bielsko.pl/niepelnosprawni/dofinansowania-z-pfron/przedmioty-ortopedyczne-i-srodki-pomocnicze" TargetMode="External"/><Relationship Id="rId142" Type="http://schemas.openxmlformats.org/officeDocument/2006/relationships/hyperlink" Target="https://www.facebook.com/pages/category/Society---Culture-Website/Imejda-1906611842773720/" TargetMode="External"/><Relationship Id="rId3" Type="http://schemas.openxmlformats.org/officeDocument/2006/relationships/hyperlink" Target="https://www.funduszeeuropejskie.gov.pl/strony/o-funduszach/fundusze-europejskie-bez-barier/dostepnosc-plus/multimedia/" TargetMode="External"/><Relationship Id="rId25" Type="http://schemas.openxmlformats.org/officeDocument/2006/relationships/hyperlink" Target="https://grudziadz.pl/artykul/69/14870/zakochaj-sie-w-zyciu-po-60-tce" TargetMode="External"/><Relationship Id="rId46" Type="http://schemas.openxmlformats.org/officeDocument/2006/relationships/hyperlink" Target="https://zielonagora.stat.gov.pl/opracowania-biezace/komunikaty-i-biuletyny/komunikat-o-sytuacji/komunikat-o-sytuacji-spoleczno-gospodarczej-wojewodztwa-lubuskiego-w-grudniu-2019-r-,1,84.html" TargetMode="External"/><Relationship Id="rId67" Type="http://schemas.openxmlformats.org/officeDocument/2006/relationships/hyperlink" Target="https://www.erzeszow.pl/pl/514-senior-w-miescie/7060-program-wydarzen.%20html" TargetMode="External"/><Relationship Id="rId116" Type="http://schemas.openxmlformats.org/officeDocument/2006/relationships/hyperlink" Target="https://rops-katowice.pl/wp-content/uploads/2019/07/Program-ub%C3%B3stwo_monitoring_3.07.2019.pdf" TargetMode="External"/><Relationship Id="rId137" Type="http://schemas.openxmlformats.org/officeDocument/2006/relationships/hyperlink" Target="https://bip.warmia.mazury.pl/akty/13135/uchwala-w-sprawie-uchwalenia-programu-wspolpracy-samorzadu-wojewodztwa-warminsko-mazurskiego-z-organizacjami-pozarzadowymi-oraz-podmiotami-wymienionymi-w-art.-3-ust.-3-ustawy-o-dzialalnosci-pozytku-publicznego-i-o-wolontariacie-na-rok-2019.html" TargetMode="External"/><Relationship Id="rId158" Type="http://schemas.openxmlformats.org/officeDocument/2006/relationships/hyperlink" Target="http://www.seniorzy.dar&#322;owo.pl/"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Arkusz1!$B$1</c:f>
              <c:strCache>
                <c:ptCount val="1"/>
                <c:pt idx="0">
                  <c:v>Udział starszych osób niepełnosprawnych 50+ w zajęciach sekcji, imprezach i obozach sportowych</c:v>
                </c:pt>
              </c:strCache>
            </c:strRef>
          </c:tx>
          <c:dPt>
            <c:idx val="0"/>
            <c:bubble3D val="0"/>
            <c:spPr>
              <a:solidFill>
                <a:schemeClr val="accent1"/>
              </a:solidFill>
              <a:ln>
                <a:noFill/>
              </a:ln>
              <a:effectLst/>
              <a:sp3d/>
            </c:spPr>
            <c:extLst>
              <c:ext xmlns:c16="http://schemas.microsoft.com/office/drawing/2014/chart" uri="{C3380CC4-5D6E-409C-BE32-E72D297353CC}">
                <c16:uniqueId val="{00000001-BCC2-42C3-84B8-CED970246E86}"/>
              </c:ext>
            </c:extLst>
          </c:dPt>
          <c:dPt>
            <c:idx val="1"/>
            <c:bubble3D val="0"/>
            <c:spPr>
              <a:solidFill>
                <a:schemeClr val="accent3"/>
              </a:solidFill>
              <a:ln>
                <a:noFill/>
              </a:ln>
              <a:effectLst/>
              <a:sp3d/>
            </c:spPr>
            <c:extLst>
              <c:ext xmlns:c16="http://schemas.microsoft.com/office/drawing/2014/chart" uri="{C3380CC4-5D6E-409C-BE32-E72D297353CC}">
                <c16:uniqueId val="{00000003-BCC2-42C3-84B8-CED970246E86}"/>
              </c:ext>
            </c:extLst>
          </c:dPt>
          <c:dPt>
            <c:idx val="2"/>
            <c:bubble3D val="0"/>
            <c:spPr>
              <a:solidFill>
                <a:schemeClr val="accent5"/>
              </a:solidFill>
              <a:ln>
                <a:noFill/>
              </a:ln>
              <a:effectLst/>
              <a:sp3d/>
            </c:spPr>
            <c:extLst>
              <c:ext xmlns:c16="http://schemas.microsoft.com/office/drawing/2014/chart" uri="{C3380CC4-5D6E-409C-BE32-E72D297353CC}">
                <c16:uniqueId val="{00000005-BCC2-42C3-84B8-CED970246E86}"/>
              </c:ext>
            </c:extLst>
          </c:dPt>
          <c:dPt>
            <c:idx val="3"/>
            <c:bubble3D val="0"/>
            <c:spPr>
              <a:solidFill>
                <a:schemeClr val="accent1">
                  <a:lumMod val="60000"/>
                </a:schemeClr>
              </a:solidFill>
              <a:ln>
                <a:noFill/>
              </a:ln>
              <a:effectLst/>
              <a:sp3d/>
            </c:spPr>
            <c:extLst>
              <c:ext xmlns:c16="http://schemas.microsoft.com/office/drawing/2014/chart" uri="{C3380CC4-5D6E-409C-BE32-E72D297353CC}">
                <c16:uniqueId val="{00000007-BCC2-42C3-84B8-CED970246E86}"/>
              </c:ext>
            </c:extLst>
          </c:dPt>
          <c:dLbls>
            <c:spPr>
              <a:noFill/>
              <a:ln w="25462">
                <a:noFill/>
              </a:ln>
              <a:effectLst/>
            </c:spPr>
            <c:txPr>
              <a:bodyPr rot="0" spcFirstLastPara="1" vertOverflow="ellipsis" vert="horz" wrap="square" lIns="38100" tIns="19050" rIns="38100" bIns="19050" anchor="ctr" anchorCtr="1">
                <a:spAutoFit/>
              </a:bodyPr>
              <a:lstStyle/>
              <a:p>
                <a:pPr>
                  <a:defRPr sz="1002" b="1" i="0" u="none" strike="noStrike" kern="1200" baseline="0">
                    <a:solidFill>
                      <a:srgbClr val="FFFFFF"/>
                    </a:solidFill>
                    <a:latin typeface="Calibri"/>
                    <a:ea typeface="Calibri"/>
                    <a:cs typeface="Calibri"/>
                  </a:defRPr>
                </a:pPr>
                <a:endParaRPr lang="pl-PL"/>
              </a:p>
            </c:txPr>
            <c:dLblPos val="bestFit"/>
            <c:showLegendKey val="0"/>
            <c:showVal val="1"/>
            <c:showCatName val="0"/>
            <c:showSerName val="0"/>
            <c:showPercent val="0"/>
            <c:showBubbleSize val="0"/>
            <c:showLeaderLines val="1"/>
            <c:leaderLines>
              <c:spPr>
                <a:ln w="9548" cap="flat" cmpd="sng" algn="ctr">
                  <a:solidFill>
                    <a:schemeClr val="tx1">
                      <a:lumMod val="35000"/>
                      <a:lumOff val="65000"/>
                    </a:schemeClr>
                  </a:solidFill>
                  <a:prstDash val="solid"/>
                  <a:round/>
                </a:ln>
                <a:effectLst/>
              </c:spPr>
            </c:leaderLines>
            <c:extLst>
              <c:ext xmlns:c15="http://schemas.microsoft.com/office/drawing/2012/chart" uri="{CE6537A1-D6FC-4f65-9D91-7224C49458BB}"/>
            </c:extLst>
          </c:dLbls>
          <c:cat>
            <c:strRef>
              <c:f>Arkusz1!$A$2:$A$5</c:f>
              <c:strCache>
                <c:ptCount val="4"/>
                <c:pt idx="0">
                  <c:v>Zajęcia sekcji</c:v>
                </c:pt>
                <c:pt idx="1">
                  <c:v>Imprezy</c:v>
                </c:pt>
                <c:pt idx="2">
                  <c:v>MP PP</c:v>
                </c:pt>
                <c:pt idx="3">
                  <c:v>Obozy</c:v>
                </c:pt>
              </c:strCache>
            </c:strRef>
          </c:cat>
          <c:val>
            <c:numRef>
              <c:f>Arkusz1!$B$2:$B$5</c:f>
              <c:numCache>
                <c:formatCode>General</c:formatCode>
                <c:ptCount val="4"/>
                <c:pt idx="0">
                  <c:v>2119</c:v>
                </c:pt>
                <c:pt idx="1">
                  <c:v>2518</c:v>
                </c:pt>
                <c:pt idx="2">
                  <c:v>517</c:v>
                </c:pt>
                <c:pt idx="3">
                  <c:v>597</c:v>
                </c:pt>
              </c:numCache>
            </c:numRef>
          </c:val>
          <c:extLst>
            <c:ext xmlns:c16="http://schemas.microsoft.com/office/drawing/2014/chart" uri="{C3380CC4-5D6E-409C-BE32-E72D297353CC}">
              <c16:uniqueId val="{00000008-BCC2-42C3-84B8-CED970246E86}"/>
            </c:ext>
          </c:extLst>
        </c:ser>
        <c:dLbls>
          <c:showLegendKey val="0"/>
          <c:showVal val="0"/>
          <c:showCatName val="0"/>
          <c:showSerName val="0"/>
          <c:showPercent val="0"/>
          <c:showBubbleSize val="0"/>
          <c:showLeaderLines val="1"/>
        </c:dLbls>
      </c:pie3DChart>
      <c:spPr>
        <a:noFill/>
        <a:ln w="25462">
          <a:noFill/>
        </a:ln>
        <a:effectLst/>
      </c:spPr>
    </c:plotArea>
    <c:legend>
      <c:legendPos val="r"/>
      <c:overlay val="0"/>
      <c:spPr>
        <a:noFill/>
        <a:ln w="25462">
          <a:noFill/>
        </a:ln>
        <a:effectLst/>
      </c:spPr>
      <c:txPr>
        <a:bodyPr rot="0" spcFirstLastPara="1" vertOverflow="ellipsis" vert="horz" wrap="square" anchor="ctr" anchorCtr="1"/>
        <a:lstStyle/>
        <a:p>
          <a:pPr>
            <a:defRPr sz="1103" b="0" i="0" u="none" strike="noStrike" kern="1200" baseline="0">
              <a:solidFill>
                <a:srgbClr val="000000"/>
              </a:solidFill>
              <a:latin typeface="Times New Roman"/>
              <a:ea typeface="Times New Roman"/>
              <a:cs typeface="Times New Roman"/>
            </a:defRPr>
          </a:pPr>
          <a:endParaRPr lang="pl-PL"/>
        </a:p>
      </c:txPr>
    </c:legend>
    <c:plotVisOnly val="1"/>
    <c:dispBlanksAs val="gap"/>
    <c:showDLblsOverMax val="0"/>
  </c:chart>
  <c:spPr>
    <a:solidFill>
      <a:schemeClr val="bg1"/>
    </a:solidFill>
    <a:ln w="9548" cap="flat" cmpd="sng" algn="ctr">
      <a:noFill/>
      <a:prstDash val="solid"/>
      <a:round/>
    </a:ln>
    <a:effectLst/>
  </c:spPr>
  <c:txPr>
    <a:bodyPr/>
    <a:lstStyle/>
    <a:p>
      <a:pPr>
        <a:defRPr sz="902" b="0" i="0" u="none" strike="noStrike" baseline="0">
          <a:solidFill>
            <a:srgbClr val="000000"/>
          </a:solidFill>
          <a:latin typeface="Calibri"/>
          <a:ea typeface="Calibri"/>
          <a:cs typeface="Calibri"/>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391759128700462E-2"/>
          <c:y val="5.0925925925925923E-2"/>
          <c:w val="0.61013887348588469"/>
          <c:h val="0.8416746864975212"/>
        </c:manualLayout>
      </c:layout>
      <c:lineChart>
        <c:grouping val="standard"/>
        <c:varyColors val="0"/>
        <c:ser>
          <c:idx val="0"/>
          <c:order val="0"/>
          <c:tx>
            <c:strRef>
              <c:f>'Data6 (2)'!$A$13</c:f>
              <c:strCache>
                <c:ptCount val="1"/>
                <c:pt idx="0">
                  <c:v>UE - uczestnitwo w edukacji pozaformalnej</c:v>
                </c:pt>
              </c:strCache>
            </c:strRef>
          </c:tx>
          <c:spPr>
            <a:ln w="28575" cap="rnd">
              <a:solidFill>
                <a:schemeClr val="accent1"/>
              </a:solidFill>
              <a:round/>
            </a:ln>
            <a:effectLst/>
          </c:spPr>
          <c:marker>
            <c:symbol val="none"/>
          </c:marker>
          <c:cat>
            <c:strRef>
              <c:f>'Data6 (2)'!$B$12:$K$12</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'Data6 (2)'!$B$13:$K$13</c:f>
              <c:numCache>
                <c:formatCode>#,##0</c:formatCode>
                <c:ptCount val="10"/>
                <c:pt idx="0">
                  <c:v>3.4</c:v>
                </c:pt>
                <c:pt idx="1">
                  <c:v>3.2</c:v>
                </c:pt>
                <c:pt idx="2">
                  <c:v>3.4</c:v>
                </c:pt>
                <c:pt idx="3">
                  <c:v>4.3</c:v>
                </c:pt>
                <c:pt idx="4">
                  <c:v>4.5</c:v>
                </c:pt>
                <c:pt idx="5">
                  <c:v>4.5</c:v>
                </c:pt>
                <c:pt idx="6">
                  <c:v>4.5999999999999996</c:v>
                </c:pt>
                <c:pt idx="7">
                  <c:v>4.5999999999999996</c:v>
                </c:pt>
                <c:pt idx="8">
                  <c:v>4.7</c:v>
                </c:pt>
                <c:pt idx="9">
                  <c:v>4.9000000000000004</c:v>
                </c:pt>
              </c:numCache>
            </c:numRef>
          </c:val>
          <c:smooth val="0"/>
          <c:extLst>
            <c:ext xmlns:c16="http://schemas.microsoft.com/office/drawing/2014/chart" uri="{C3380CC4-5D6E-409C-BE32-E72D297353CC}">
              <c16:uniqueId val="{00000000-3957-43FE-A778-68E1241F0BF6}"/>
            </c:ext>
          </c:extLst>
        </c:ser>
        <c:ser>
          <c:idx val="1"/>
          <c:order val="1"/>
          <c:tx>
            <c:strRef>
              <c:f>'Data6 (2)'!$A$14</c:f>
              <c:strCache>
                <c:ptCount val="1"/>
                <c:pt idx="0">
                  <c:v>UE - uczestnitwo w edukacji formalnej</c:v>
                </c:pt>
              </c:strCache>
            </c:strRef>
          </c:tx>
          <c:spPr>
            <a:ln w="28575" cap="rnd">
              <a:solidFill>
                <a:schemeClr val="accent3"/>
              </a:solidFill>
              <a:round/>
            </a:ln>
            <a:effectLst/>
          </c:spPr>
          <c:marker>
            <c:symbol val="none"/>
          </c:marker>
          <c:cat>
            <c:strRef>
              <c:f>'Data6 (2)'!$B$12:$K$12</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'Data6 (2)'!$B$14:$K$14</c:f>
              <c:numCache>
                <c:formatCode>#,##0</c:formatCode>
                <c:ptCount val="10"/>
                <c:pt idx="0">
                  <c:v>0.4</c:v>
                </c:pt>
                <c:pt idx="1">
                  <c:v>0.4</c:v>
                </c:pt>
                <c:pt idx="2">
                  <c:v>0.3</c:v>
                </c:pt>
                <c:pt idx="3">
                  <c:v>0.3</c:v>
                </c:pt>
                <c:pt idx="4">
                  <c:v>0.3</c:v>
                </c:pt>
                <c:pt idx="5">
                  <c:v>0.4</c:v>
                </c:pt>
                <c:pt idx="6">
                  <c:v>0.3</c:v>
                </c:pt>
                <c:pt idx="7">
                  <c:v>0.3</c:v>
                </c:pt>
                <c:pt idx="8">
                  <c:v>0.3</c:v>
                </c:pt>
                <c:pt idx="9">
                  <c:v>0.3</c:v>
                </c:pt>
              </c:numCache>
            </c:numRef>
          </c:val>
          <c:smooth val="0"/>
          <c:extLst>
            <c:ext xmlns:c16="http://schemas.microsoft.com/office/drawing/2014/chart" uri="{C3380CC4-5D6E-409C-BE32-E72D297353CC}">
              <c16:uniqueId val="{00000001-3957-43FE-A778-68E1241F0BF6}"/>
            </c:ext>
          </c:extLst>
        </c:ser>
        <c:ser>
          <c:idx val="2"/>
          <c:order val="2"/>
          <c:tx>
            <c:strRef>
              <c:f>'Data6 (2)'!$A$15</c:f>
              <c:strCache>
                <c:ptCount val="1"/>
                <c:pt idx="0">
                  <c:v>Polska - uczestnictwo w edukacji pozaformalnej</c:v>
                </c:pt>
              </c:strCache>
            </c:strRef>
          </c:tx>
          <c:spPr>
            <a:ln w="28575" cap="rnd">
              <a:solidFill>
                <a:schemeClr val="accent5"/>
              </a:solidFill>
              <a:round/>
            </a:ln>
            <a:effectLst/>
          </c:spPr>
          <c:marker>
            <c:symbol val="none"/>
          </c:marker>
          <c:cat>
            <c:strRef>
              <c:f>'Data6 (2)'!$B$12:$K$12</c:f>
              <c:strCache>
                <c:ptCount val="10"/>
                <c:pt idx="0">
                  <c:v>2010</c:v>
                </c:pt>
                <c:pt idx="1">
                  <c:v>2011</c:v>
                </c:pt>
                <c:pt idx="2">
                  <c:v>2012</c:v>
                </c:pt>
                <c:pt idx="3">
                  <c:v>2013</c:v>
                </c:pt>
                <c:pt idx="4">
                  <c:v>2014</c:v>
                </c:pt>
                <c:pt idx="5">
                  <c:v>2015</c:v>
                </c:pt>
                <c:pt idx="6">
                  <c:v>2016</c:v>
                </c:pt>
                <c:pt idx="7">
                  <c:v>2017</c:v>
                </c:pt>
                <c:pt idx="8">
                  <c:v>2018</c:v>
                </c:pt>
                <c:pt idx="9">
                  <c:v>2019</c:v>
                </c:pt>
              </c:strCache>
            </c:strRef>
          </c:cat>
          <c:val>
            <c:numRef>
              <c:f>'Data6 (2)'!$B$15:$K$15</c:f>
              <c:numCache>
                <c:formatCode>#,##0</c:formatCode>
                <c:ptCount val="10"/>
                <c:pt idx="0">
                  <c:v>0.7</c:v>
                </c:pt>
                <c:pt idx="1">
                  <c:v>0.6</c:v>
                </c:pt>
                <c:pt idx="2">
                  <c:v>0.5</c:v>
                </c:pt>
                <c:pt idx="3">
                  <c:v>0.6</c:v>
                </c:pt>
                <c:pt idx="4">
                  <c:v>0.7</c:v>
                </c:pt>
                <c:pt idx="5">
                  <c:v>0.6</c:v>
                </c:pt>
                <c:pt idx="6">
                  <c:v>0.8</c:v>
                </c:pt>
                <c:pt idx="7">
                  <c:v>0.9</c:v>
                </c:pt>
                <c:pt idx="8">
                  <c:v>1.6</c:v>
                </c:pt>
                <c:pt idx="9">
                  <c:v>1.4</c:v>
                </c:pt>
              </c:numCache>
            </c:numRef>
          </c:val>
          <c:smooth val="0"/>
          <c:extLst>
            <c:ext xmlns:c16="http://schemas.microsoft.com/office/drawing/2014/chart" uri="{C3380CC4-5D6E-409C-BE32-E72D297353CC}">
              <c16:uniqueId val="{00000002-3957-43FE-A778-68E1241F0BF6}"/>
            </c:ext>
          </c:extLst>
        </c:ser>
        <c:dLbls>
          <c:showLegendKey val="0"/>
          <c:showVal val="0"/>
          <c:showCatName val="0"/>
          <c:showSerName val="0"/>
          <c:showPercent val="0"/>
          <c:showBubbleSize val="0"/>
        </c:dLbls>
        <c:smooth val="0"/>
        <c:axId val="-1942613104"/>
        <c:axId val="-1942612016"/>
      </c:lineChart>
      <c:catAx>
        <c:axId val="-194261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42612016"/>
        <c:crosses val="autoZero"/>
        <c:auto val="1"/>
        <c:lblAlgn val="ctr"/>
        <c:lblOffset val="100"/>
        <c:noMultiLvlLbl val="0"/>
      </c:catAx>
      <c:valAx>
        <c:axId val="-19426120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42613104"/>
        <c:crosses val="autoZero"/>
        <c:crossBetween val="between"/>
      </c:valAx>
      <c:spPr>
        <a:noFill/>
        <a:ln>
          <a:noFill/>
        </a:ln>
        <a:effectLst/>
      </c:spPr>
    </c:plotArea>
    <c:legend>
      <c:legendPos val="r"/>
      <c:layout>
        <c:manualLayout>
          <c:xMode val="edge"/>
          <c:yMode val="edge"/>
          <c:x val="0.6841042756979322"/>
          <c:y val="0.14062335958005248"/>
          <c:w val="0.29922914565256808"/>
          <c:h val="0.723382910469524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'55-64F (2)'!$A$12:$B$12</c:f>
              <c:strCache>
                <c:ptCount val="2"/>
                <c:pt idx="0">
                  <c:v>UE-28</c:v>
                </c:pt>
                <c:pt idx="1">
                  <c:v>Uczestnictwo w edukacji formalnej</c:v>
                </c:pt>
              </c:strCache>
            </c:strRef>
          </c:tx>
          <c:spPr>
            <a:ln w="28575" cap="rnd">
              <a:solidFill>
                <a:schemeClr val="accent1"/>
              </a:solidFill>
              <a:round/>
            </a:ln>
            <a:effectLst/>
          </c:spPr>
          <c:marker>
            <c:symbol val="none"/>
          </c:marker>
          <c:cat>
            <c:strRef>
              <c:f>'55-64F (2)'!$C$11:$E$11</c:f>
              <c:strCache>
                <c:ptCount val="3"/>
                <c:pt idx="0">
                  <c:v>2007</c:v>
                </c:pt>
                <c:pt idx="1">
                  <c:v>2011</c:v>
                </c:pt>
                <c:pt idx="2">
                  <c:v>2016</c:v>
                </c:pt>
              </c:strCache>
            </c:strRef>
          </c:cat>
          <c:val>
            <c:numRef>
              <c:f>'55-64F (2)'!$C$12:$E$12</c:f>
              <c:numCache>
                <c:formatCode>#\ ##0.0</c:formatCode>
                <c:ptCount val="3"/>
                <c:pt idx="0">
                  <c:v>2.1</c:v>
                </c:pt>
                <c:pt idx="1">
                  <c:v>1.6</c:v>
                </c:pt>
                <c:pt idx="2">
                  <c:v>1.3</c:v>
                </c:pt>
              </c:numCache>
            </c:numRef>
          </c:val>
          <c:smooth val="0"/>
          <c:extLst>
            <c:ext xmlns:c16="http://schemas.microsoft.com/office/drawing/2014/chart" uri="{C3380CC4-5D6E-409C-BE32-E72D297353CC}">
              <c16:uniqueId val="{00000000-2C3F-42C6-B14B-053E727F664F}"/>
            </c:ext>
          </c:extLst>
        </c:ser>
        <c:ser>
          <c:idx val="1"/>
          <c:order val="1"/>
          <c:tx>
            <c:strRef>
              <c:f>'55-64F (2)'!$A$13:$B$13</c:f>
              <c:strCache>
                <c:ptCount val="2"/>
                <c:pt idx="0">
                  <c:v>UE-28</c:v>
                </c:pt>
                <c:pt idx="1">
                  <c:v>Uczestnictwo w edukacji pozaformalnej</c:v>
                </c:pt>
              </c:strCache>
            </c:strRef>
          </c:tx>
          <c:spPr>
            <a:ln w="28575" cap="rnd">
              <a:solidFill>
                <a:schemeClr val="accent3"/>
              </a:solidFill>
              <a:round/>
            </a:ln>
            <a:effectLst/>
          </c:spPr>
          <c:marker>
            <c:symbol val="none"/>
          </c:marker>
          <c:cat>
            <c:strRef>
              <c:f>'55-64F (2)'!$C$11:$E$11</c:f>
              <c:strCache>
                <c:ptCount val="3"/>
                <c:pt idx="0">
                  <c:v>2007</c:v>
                </c:pt>
                <c:pt idx="1">
                  <c:v>2011</c:v>
                </c:pt>
                <c:pt idx="2">
                  <c:v>2016</c:v>
                </c:pt>
              </c:strCache>
            </c:strRef>
          </c:cat>
          <c:val>
            <c:numRef>
              <c:f>'55-64F (2)'!$C$13:$E$13</c:f>
              <c:numCache>
                <c:formatCode>#\ ##0.0</c:formatCode>
                <c:ptCount val="3"/>
                <c:pt idx="0">
                  <c:v>20</c:v>
                </c:pt>
                <c:pt idx="1">
                  <c:v>25.6</c:v>
                </c:pt>
                <c:pt idx="2">
                  <c:v>32.4</c:v>
                </c:pt>
              </c:numCache>
            </c:numRef>
          </c:val>
          <c:smooth val="0"/>
          <c:extLst>
            <c:ext xmlns:c16="http://schemas.microsoft.com/office/drawing/2014/chart" uri="{C3380CC4-5D6E-409C-BE32-E72D297353CC}">
              <c16:uniqueId val="{00000001-2C3F-42C6-B14B-053E727F664F}"/>
            </c:ext>
          </c:extLst>
        </c:ser>
        <c:ser>
          <c:idx val="3"/>
          <c:order val="2"/>
          <c:tx>
            <c:strRef>
              <c:f>'55-64F (2)'!$A$15:$B$15</c:f>
              <c:strCache>
                <c:ptCount val="2"/>
                <c:pt idx="0">
                  <c:v>Polska</c:v>
                </c:pt>
                <c:pt idx="1">
                  <c:v>Uczestnictwo w edukacji pozaformalnej</c:v>
                </c:pt>
              </c:strCache>
            </c:strRef>
          </c:tx>
          <c:spPr>
            <a:ln w="28575" cap="rnd">
              <a:solidFill>
                <a:schemeClr val="accent1">
                  <a:lumMod val="60000"/>
                </a:schemeClr>
              </a:solidFill>
              <a:round/>
            </a:ln>
            <a:effectLst/>
          </c:spPr>
          <c:marker>
            <c:symbol val="none"/>
          </c:marker>
          <c:cat>
            <c:strRef>
              <c:f>'55-64F (2)'!$C$11:$E$11</c:f>
              <c:strCache>
                <c:ptCount val="3"/>
                <c:pt idx="0">
                  <c:v>2007</c:v>
                </c:pt>
                <c:pt idx="1">
                  <c:v>2011</c:v>
                </c:pt>
                <c:pt idx="2">
                  <c:v>2016</c:v>
                </c:pt>
              </c:strCache>
            </c:strRef>
          </c:cat>
          <c:val>
            <c:numRef>
              <c:f>'55-64F (2)'!$C$15:$E$15</c:f>
              <c:numCache>
                <c:formatCode>#\ ##0.0</c:formatCode>
                <c:ptCount val="3"/>
                <c:pt idx="0">
                  <c:v>6.7</c:v>
                </c:pt>
                <c:pt idx="1">
                  <c:v>9.4</c:v>
                </c:pt>
                <c:pt idx="2">
                  <c:v>13.3</c:v>
                </c:pt>
              </c:numCache>
            </c:numRef>
          </c:val>
          <c:smooth val="0"/>
          <c:extLst>
            <c:ext xmlns:c16="http://schemas.microsoft.com/office/drawing/2014/chart" uri="{C3380CC4-5D6E-409C-BE32-E72D297353CC}">
              <c16:uniqueId val="{00000002-2C3F-42C6-B14B-053E727F664F}"/>
            </c:ext>
          </c:extLst>
        </c:ser>
        <c:dLbls>
          <c:showLegendKey val="0"/>
          <c:showVal val="0"/>
          <c:showCatName val="0"/>
          <c:showSerName val="0"/>
          <c:showPercent val="0"/>
          <c:showBubbleSize val="0"/>
        </c:dLbls>
        <c:smooth val="0"/>
        <c:axId val="-1942618000"/>
        <c:axId val="-1942623440"/>
      </c:lineChart>
      <c:catAx>
        <c:axId val="-194261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42623440"/>
        <c:crosses val="autoZero"/>
        <c:auto val="1"/>
        <c:lblAlgn val="ctr"/>
        <c:lblOffset val="100"/>
        <c:noMultiLvlLbl val="0"/>
      </c:catAx>
      <c:valAx>
        <c:axId val="-1942623440"/>
        <c:scaling>
          <c:orientation val="minMax"/>
        </c:scaling>
        <c:delete val="0"/>
        <c:axPos val="l"/>
        <c:majorGridlines>
          <c:spPr>
            <a:ln w="9525" cap="flat" cmpd="sng" algn="ctr">
              <a:solidFill>
                <a:schemeClr val="tx1">
                  <a:lumMod val="15000"/>
                  <a:lumOff val="85000"/>
                </a:schemeClr>
              </a:solidFill>
              <a:round/>
            </a:ln>
            <a:effectLst/>
          </c:spPr>
        </c:majorGridlines>
        <c:numFmt formatCode="#\ ##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942618000"/>
        <c:crosses val="autoZero"/>
        <c:crossBetween val="between"/>
      </c:valAx>
      <c:spPr>
        <a:noFill/>
        <a:ln>
          <a:noFill/>
        </a:ln>
        <a:effectLst/>
      </c:spPr>
    </c:plotArea>
    <c:legend>
      <c:legendPos val="r"/>
      <c:layout>
        <c:manualLayout>
          <c:xMode val="edge"/>
          <c:yMode val="edge"/>
          <c:x val="0.65531462413352182"/>
          <c:y val="0.12762579974505847"/>
          <c:w val="0.33101016219126456"/>
          <c:h val="0.7652791057826923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D486E-D9E7-4A37-9523-9E81A6AAE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598</Pages>
  <Words>204322</Words>
  <Characters>1225933</Characters>
  <Application>Microsoft Office Word</Application>
  <DocSecurity>0</DocSecurity>
  <Lines>10216</Lines>
  <Paragraphs>2854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Wójcik</dc:creator>
  <cp:keywords/>
  <dc:description/>
  <cp:lastModifiedBy>Aleksandra Wójcik</cp:lastModifiedBy>
  <cp:revision>136</cp:revision>
  <cp:lastPrinted>2020-08-27T05:57:00Z</cp:lastPrinted>
  <dcterms:created xsi:type="dcterms:W3CDTF">2020-08-12T06:11:00Z</dcterms:created>
  <dcterms:modified xsi:type="dcterms:W3CDTF">2020-08-28T11:23:00Z</dcterms:modified>
</cp:coreProperties>
</file>